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C8793" w14:textId="5965B138" w:rsidR="00433659" w:rsidRDefault="00433659">
      <w:pPr>
        <w:rPr>
          <w:color w:val="0070C0"/>
          <w:sz w:val="102"/>
          <w:szCs w:val="102"/>
        </w:rPr>
      </w:pPr>
      <w:r>
        <w:rPr>
          <w:noProof/>
          <w:color w:val="0070C0"/>
          <w:sz w:val="102"/>
          <w:szCs w:val="102"/>
          <w:lang w:bidi="bn-BD"/>
        </w:rPr>
        <w:drawing>
          <wp:anchor distT="0" distB="0" distL="114300" distR="114300" simplePos="0" relativeHeight="251740672" behindDoc="1" locked="0" layoutInCell="1" allowOverlap="1" wp14:anchorId="32F240C0" wp14:editId="04A999E6">
            <wp:simplePos x="0" y="0"/>
            <wp:positionH relativeFrom="page">
              <wp:align>right</wp:align>
            </wp:positionH>
            <wp:positionV relativeFrom="paragraph">
              <wp:posOffset>-438702</wp:posOffset>
            </wp:positionV>
            <wp:extent cx="12765973" cy="7750471"/>
            <wp:effectExtent l="19050" t="19050" r="17145" b="222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dg_cover easel working-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5973" cy="7750471"/>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p>
    <w:p w14:paraId="2F74D6DF" w14:textId="31F4E9D5" w:rsidR="00433659" w:rsidRDefault="00F15399">
      <w:pPr>
        <w:rPr>
          <w:color w:val="0070C0"/>
          <w:sz w:val="102"/>
          <w:szCs w:val="102"/>
        </w:rPr>
      </w:pPr>
      <w:r>
        <w:rPr>
          <w:color w:val="0070C0"/>
          <w:sz w:val="102"/>
          <w:szCs w:val="102"/>
        </w:rPr>
        <w:br w:type="page"/>
      </w:r>
      <w:r w:rsidR="00433659">
        <w:rPr>
          <w:color w:val="0070C0"/>
          <w:sz w:val="102"/>
          <w:szCs w:val="102"/>
        </w:rPr>
        <w:lastRenderedPageBreak/>
        <w:br w:type="page"/>
      </w:r>
    </w:p>
    <w:p w14:paraId="1C3645F1" w14:textId="03B66A1F" w:rsidR="00843EC1" w:rsidRDefault="001024FB" w:rsidP="00ED1963">
      <w:pPr>
        <w:jc w:val="center"/>
        <w:rPr>
          <w:color w:val="0070C0"/>
          <w:sz w:val="60"/>
          <w:szCs w:val="60"/>
        </w:rPr>
      </w:pPr>
      <w:r>
        <w:rPr>
          <w:noProof/>
          <w:color w:val="0070C0"/>
          <w:sz w:val="102"/>
          <w:szCs w:val="102"/>
          <w:lang w:bidi="bn-BD"/>
        </w:rPr>
        <w:lastRenderedPageBreak/>
        <w:drawing>
          <wp:anchor distT="0" distB="0" distL="114300" distR="114300" simplePos="0" relativeHeight="251757056" behindDoc="1" locked="0" layoutInCell="1" allowOverlap="1" wp14:anchorId="24C174FD" wp14:editId="77F4250E">
            <wp:simplePos x="0" y="0"/>
            <wp:positionH relativeFrom="page">
              <wp:posOffset>5829300</wp:posOffset>
            </wp:positionH>
            <wp:positionV relativeFrom="paragraph">
              <wp:posOffset>12065</wp:posOffset>
            </wp:positionV>
            <wp:extent cx="6980555" cy="3244951"/>
            <wp:effectExtent l="0" t="0" r="0" b="0"/>
            <wp:wrapNone/>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dg_cover easel working-02.jpg"/>
                    <pic:cNvPicPr/>
                  </pic:nvPicPr>
                  <pic:blipFill rotWithShape="1">
                    <a:blip r:embed="rId9" cstate="print">
                      <a:extLst>
                        <a:ext uri="{28A0092B-C50C-407E-A947-70E740481C1C}">
                          <a14:useLocalDpi xmlns:a14="http://schemas.microsoft.com/office/drawing/2010/main" val="0"/>
                        </a:ext>
                      </a:extLst>
                    </a:blip>
                    <a:srcRect l="46859" t="6228" r="-149" b="52963"/>
                    <a:stretch/>
                  </pic:blipFill>
                  <pic:spPr bwMode="auto">
                    <a:xfrm>
                      <a:off x="0" y="0"/>
                      <a:ext cx="6980555" cy="3244951"/>
                    </a:xfrm>
                    <a:prstGeom prst="rect">
                      <a:avLst/>
                    </a:prstGeom>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3FE35" w14:textId="77777777" w:rsidR="001024FB" w:rsidRDefault="001024FB" w:rsidP="00ED1963">
      <w:pPr>
        <w:jc w:val="center"/>
      </w:pPr>
    </w:p>
    <w:p w14:paraId="6925E4F2" w14:textId="3043FB0C" w:rsidR="00ED1963" w:rsidRDefault="00ED1963" w:rsidP="00ED1963">
      <w:pPr>
        <w:jc w:val="center"/>
      </w:pPr>
    </w:p>
    <w:p w14:paraId="6DCD132B" w14:textId="78CC4B59" w:rsidR="00843EC1" w:rsidRDefault="00843EC1" w:rsidP="00ED1963">
      <w:pPr>
        <w:jc w:val="center"/>
        <w:rPr>
          <w:sz w:val="34"/>
          <w:szCs w:val="34"/>
        </w:rPr>
      </w:pPr>
    </w:p>
    <w:p w14:paraId="6F65511A" w14:textId="77777777" w:rsidR="00843EC1" w:rsidRDefault="00843EC1" w:rsidP="00ED1963">
      <w:pPr>
        <w:jc w:val="center"/>
        <w:rPr>
          <w:sz w:val="34"/>
          <w:szCs w:val="34"/>
        </w:rPr>
      </w:pPr>
    </w:p>
    <w:p w14:paraId="1CE555A6" w14:textId="3E009D54" w:rsidR="00843EC1" w:rsidRPr="00C56C18" w:rsidRDefault="00C56C18" w:rsidP="00C56C18">
      <w:pPr>
        <w:ind w:right="450"/>
        <w:jc w:val="right"/>
        <w:rPr>
          <w:sz w:val="8"/>
          <w:szCs w:val="8"/>
        </w:rPr>
      </w:pPr>
      <w:r w:rsidRPr="00C56C18">
        <w:rPr>
          <w:color w:val="0070C0"/>
          <w:sz w:val="76"/>
          <w:szCs w:val="76"/>
        </w:rPr>
        <w:t>DRAFT OF</w:t>
      </w:r>
    </w:p>
    <w:p w14:paraId="251376E1" w14:textId="6867AC7E" w:rsidR="00843EC1" w:rsidRDefault="001024FB" w:rsidP="001024FB">
      <w:pPr>
        <w:tabs>
          <w:tab w:val="left" w:pos="16280"/>
        </w:tabs>
        <w:rPr>
          <w:sz w:val="34"/>
          <w:szCs w:val="34"/>
        </w:rPr>
      </w:pPr>
      <w:r>
        <w:rPr>
          <w:sz w:val="34"/>
          <w:szCs w:val="34"/>
        </w:rPr>
        <w:tab/>
      </w:r>
    </w:p>
    <w:p w14:paraId="76C46AB4" w14:textId="4E07EA2F" w:rsidR="00843EC1" w:rsidRDefault="001024FB" w:rsidP="001024FB">
      <w:pPr>
        <w:tabs>
          <w:tab w:val="left" w:pos="13900"/>
        </w:tabs>
        <w:rPr>
          <w:sz w:val="34"/>
          <w:szCs w:val="34"/>
        </w:rPr>
      </w:pPr>
      <w:r>
        <w:rPr>
          <w:sz w:val="34"/>
          <w:szCs w:val="34"/>
        </w:rPr>
        <w:tab/>
      </w:r>
    </w:p>
    <w:p w14:paraId="683E7AD7" w14:textId="7B0C2685" w:rsidR="00843EC1" w:rsidRDefault="001024FB" w:rsidP="001024FB">
      <w:pPr>
        <w:tabs>
          <w:tab w:val="left" w:pos="15520"/>
        </w:tabs>
        <w:rPr>
          <w:sz w:val="34"/>
          <w:szCs w:val="34"/>
        </w:rPr>
      </w:pPr>
      <w:r>
        <w:rPr>
          <w:sz w:val="34"/>
          <w:szCs w:val="34"/>
        </w:rPr>
        <w:tab/>
      </w:r>
    </w:p>
    <w:p w14:paraId="2C412B88" w14:textId="77777777" w:rsidR="001024FB" w:rsidRDefault="001024FB" w:rsidP="00ED1963">
      <w:pPr>
        <w:jc w:val="center"/>
        <w:rPr>
          <w:sz w:val="34"/>
          <w:szCs w:val="34"/>
        </w:rPr>
      </w:pPr>
    </w:p>
    <w:p w14:paraId="5198D0D1" w14:textId="77777777" w:rsidR="001024FB" w:rsidRDefault="001024FB" w:rsidP="00ED1963">
      <w:pPr>
        <w:jc w:val="center"/>
        <w:rPr>
          <w:sz w:val="34"/>
          <w:szCs w:val="34"/>
        </w:rPr>
      </w:pPr>
    </w:p>
    <w:p w14:paraId="30425894" w14:textId="77777777" w:rsidR="00433659" w:rsidRDefault="00433659" w:rsidP="001024FB">
      <w:pPr>
        <w:ind w:right="540"/>
        <w:jc w:val="right"/>
        <w:rPr>
          <w:sz w:val="36"/>
          <w:szCs w:val="36"/>
        </w:rPr>
      </w:pPr>
    </w:p>
    <w:p w14:paraId="2D5358E2" w14:textId="77777777" w:rsidR="00433659" w:rsidRDefault="00433659" w:rsidP="001024FB">
      <w:pPr>
        <w:ind w:right="540"/>
        <w:jc w:val="right"/>
        <w:rPr>
          <w:sz w:val="36"/>
          <w:szCs w:val="36"/>
        </w:rPr>
      </w:pPr>
    </w:p>
    <w:p w14:paraId="2F908FAD" w14:textId="77777777" w:rsidR="00433659" w:rsidRDefault="00433659" w:rsidP="001024FB">
      <w:pPr>
        <w:ind w:right="540"/>
        <w:jc w:val="right"/>
        <w:rPr>
          <w:sz w:val="36"/>
          <w:szCs w:val="36"/>
        </w:rPr>
      </w:pPr>
    </w:p>
    <w:p w14:paraId="77E61DF5" w14:textId="77777777" w:rsidR="00433659" w:rsidRDefault="00433659" w:rsidP="001024FB">
      <w:pPr>
        <w:ind w:right="540"/>
        <w:jc w:val="right"/>
        <w:rPr>
          <w:sz w:val="36"/>
          <w:szCs w:val="36"/>
        </w:rPr>
      </w:pPr>
    </w:p>
    <w:p w14:paraId="3FFB8942" w14:textId="57E4999E" w:rsidR="00ED1963" w:rsidRPr="001024FB" w:rsidRDefault="00F82F6F" w:rsidP="001024FB">
      <w:pPr>
        <w:ind w:right="540"/>
        <w:jc w:val="right"/>
        <w:rPr>
          <w:sz w:val="36"/>
          <w:szCs w:val="36"/>
        </w:rPr>
      </w:pPr>
      <w:r w:rsidRPr="001024FB">
        <w:rPr>
          <w:sz w:val="36"/>
          <w:szCs w:val="36"/>
        </w:rPr>
        <w:t xml:space="preserve">June 2020 </w:t>
      </w:r>
    </w:p>
    <w:p w14:paraId="74920C56" w14:textId="21F03A17" w:rsidR="001024FB" w:rsidRDefault="001024FB" w:rsidP="001024FB">
      <w:pPr>
        <w:ind w:right="540"/>
        <w:jc w:val="right"/>
        <w:rPr>
          <w:sz w:val="34"/>
          <w:szCs w:val="34"/>
        </w:rPr>
      </w:pPr>
    </w:p>
    <w:p w14:paraId="5FB85746" w14:textId="3DF8F9FD" w:rsidR="001024FB" w:rsidRDefault="001024FB" w:rsidP="001024FB">
      <w:pPr>
        <w:ind w:right="540"/>
        <w:jc w:val="right"/>
        <w:rPr>
          <w:sz w:val="34"/>
          <w:szCs w:val="34"/>
        </w:rPr>
      </w:pPr>
    </w:p>
    <w:p w14:paraId="139B256C" w14:textId="77777777" w:rsidR="001024FB" w:rsidRPr="00ED1963" w:rsidRDefault="001024FB" w:rsidP="001024FB">
      <w:pPr>
        <w:ind w:right="540"/>
        <w:jc w:val="right"/>
        <w:rPr>
          <w:sz w:val="34"/>
          <w:szCs w:val="34"/>
        </w:rPr>
      </w:pPr>
    </w:p>
    <w:p w14:paraId="2FCD8C2F" w14:textId="0811CDC7" w:rsidR="00ED1963" w:rsidRDefault="00ED1963" w:rsidP="00ED1963">
      <w:pPr>
        <w:jc w:val="center"/>
      </w:pPr>
    </w:p>
    <w:p w14:paraId="2E100CB5" w14:textId="38C4452F" w:rsidR="00433659" w:rsidRDefault="00433659" w:rsidP="00ED1963">
      <w:pPr>
        <w:jc w:val="center"/>
      </w:pPr>
    </w:p>
    <w:p w14:paraId="1F15444F" w14:textId="27799087" w:rsidR="001A75C7" w:rsidRPr="00433659" w:rsidRDefault="001024FB" w:rsidP="001024FB">
      <w:pPr>
        <w:ind w:left="4860"/>
        <w:jc w:val="both"/>
        <w:rPr>
          <w:rFonts w:ascii="Tw Cen MT" w:hAnsi="Tw Cen MT"/>
          <w:b/>
          <w:bCs/>
          <w:color w:val="0070C0"/>
          <w:sz w:val="38"/>
          <w:szCs w:val="38"/>
          <w:lang w:bidi="bn-IN"/>
        </w:rPr>
      </w:pPr>
      <w:r w:rsidRPr="00433659">
        <w:rPr>
          <w:noProof/>
          <w:sz w:val="8"/>
          <w:szCs w:val="8"/>
          <w:lang w:bidi="bn-BD"/>
        </w:rPr>
        <w:drawing>
          <wp:anchor distT="0" distB="0" distL="114300" distR="114300" simplePos="0" relativeHeight="251758080" behindDoc="0" locked="0" layoutInCell="1" allowOverlap="1" wp14:anchorId="2A25B655" wp14:editId="061144E3">
            <wp:simplePos x="0" y="0"/>
            <wp:positionH relativeFrom="column">
              <wp:posOffset>2097405</wp:posOffset>
            </wp:positionH>
            <wp:positionV relativeFrom="paragraph">
              <wp:posOffset>10160</wp:posOffset>
            </wp:positionV>
            <wp:extent cx="803910" cy="800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BS-Logo_PNG.png"/>
                    <pic:cNvPicPr/>
                  </pic:nvPicPr>
                  <pic:blipFill>
                    <a:blip r:embed="rId10">
                      <a:extLst>
                        <a:ext uri="{28A0092B-C50C-407E-A947-70E740481C1C}">
                          <a14:useLocalDpi xmlns:a14="http://schemas.microsoft.com/office/drawing/2010/main" val="0"/>
                        </a:ext>
                      </a:extLst>
                    </a:blip>
                    <a:stretch>
                      <a:fillRect/>
                    </a:stretch>
                  </pic:blipFill>
                  <pic:spPr>
                    <a:xfrm>
                      <a:off x="0" y="0"/>
                      <a:ext cx="803910" cy="800100"/>
                    </a:xfrm>
                    <a:prstGeom prst="rect">
                      <a:avLst/>
                    </a:prstGeom>
                  </pic:spPr>
                </pic:pic>
              </a:graphicData>
            </a:graphic>
            <wp14:sizeRelH relativeFrom="margin">
              <wp14:pctWidth>0</wp14:pctWidth>
            </wp14:sizeRelH>
            <wp14:sizeRelV relativeFrom="margin">
              <wp14:pctHeight>0</wp14:pctHeight>
            </wp14:sizeRelV>
          </wp:anchor>
        </w:drawing>
      </w:r>
      <w:r w:rsidR="001A75C7" w:rsidRPr="00433659">
        <w:rPr>
          <w:rFonts w:ascii="Tw Cen MT" w:hAnsi="Tw Cen MT"/>
          <w:b/>
          <w:bCs/>
          <w:color w:val="0070C0"/>
          <w:sz w:val="38"/>
          <w:szCs w:val="38"/>
          <w:lang w:bidi="bn-IN"/>
        </w:rPr>
        <w:t>SDG CELL</w:t>
      </w:r>
    </w:p>
    <w:p w14:paraId="0DEA3B2E" w14:textId="204CF540" w:rsidR="00ED1963" w:rsidRPr="00433659" w:rsidRDefault="00ED1963" w:rsidP="001024FB">
      <w:pPr>
        <w:ind w:left="4860"/>
        <w:jc w:val="both"/>
        <w:rPr>
          <w:rFonts w:ascii="Tw Cen MT" w:hAnsi="Tw Cen MT"/>
          <w:b/>
          <w:bCs/>
          <w:color w:val="006600"/>
          <w:sz w:val="38"/>
          <w:szCs w:val="38"/>
          <w:lang w:bidi="bn-IN"/>
        </w:rPr>
      </w:pPr>
      <w:r w:rsidRPr="00433659">
        <w:rPr>
          <w:rFonts w:ascii="Tw Cen MT" w:hAnsi="Tw Cen MT"/>
          <w:b/>
          <w:bCs/>
          <w:color w:val="006600"/>
          <w:sz w:val="36"/>
          <w:szCs w:val="36"/>
          <w:lang w:bidi="bn-IN"/>
        </w:rPr>
        <w:t>Bangladesh Bureau of Statistics</w:t>
      </w:r>
      <w:r w:rsidRPr="00433659">
        <w:rPr>
          <w:rFonts w:ascii="Tw Cen MT" w:hAnsi="Tw Cen MT"/>
          <w:b/>
          <w:bCs/>
          <w:color w:val="006600"/>
          <w:sz w:val="38"/>
          <w:szCs w:val="38"/>
          <w:lang w:bidi="bn-IN"/>
        </w:rPr>
        <w:t xml:space="preserve"> </w:t>
      </w:r>
    </w:p>
    <w:p w14:paraId="1F657678" w14:textId="0B8429E8" w:rsidR="001024FB" w:rsidRPr="00433659" w:rsidRDefault="00ED1963" w:rsidP="001024FB">
      <w:pPr>
        <w:ind w:left="4860"/>
        <w:jc w:val="both"/>
        <w:rPr>
          <w:sz w:val="24"/>
        </w:rPr>
      </w:pPr>
      <w:r w:rsidRPr="00433659">
        <w:rPr>
          <w:sz w:val="24"/>
        </w:rPr>
        <w:t>Statistics and Informatics Division</w:t>
      </w:r>
      <w:r w:rsidR="00843EC1" w:rsidRPr="00433659">
        <w:rPr>
          <w:sz w:val="24"/>
        </w:rPr>
        <w:t xml:space="preserve">, </w:t>
      </w:r>
      <w:r w:rsidRPr="00433659">
        <w:rPr>
          <w:sz w:val="24"/>
        </w:rPr>
        <w:t>Ministry of Planning</w:t>
      </w:r>
    </w:p>
    <w:p w14:paraId="1BD15EE5" w14:textId="77777777" w:rsidR="001024FB" w:rsidRPr="00433659" w:rsidRDefault="001024FB" w:rsidP="001024FB">
      <w:pPr>
        <w:ind w:left="4860"/>
        <w:jc w:val="both"/>
        <w:rPr>
          <w:sz w:val="24"/>
        </w:rPr>
      </w:pPr>
    </w:p>
    <w:p w14:paraId="03D1FA52" w14:textId="41CD86C9" w:rsidR="001024FB" w:rsidRPr="00433659" w:rsidRDefault="001024FB" w:rsidP="001024FB">
      <w:pPr>
        <w:ind w:left="4860"/>
        <w:jc w:val="both"/>
        <w:rPr>
          <w:sz w:val="24"/>
        </w:rPr>
      </w:pPr>
    </w:p>
    <w:p w14:paraId="57B98D96" w14:textId="04B89315" w:rsidR="001024FB" w:rsidRPr="00433659" w:rsidRDefault="002E23A1" w:rsidP="001024FB">
      <w:pPr>
        <w:ind w:left="4860"/>
        <w:jc w:val="both"/>
        <w:rPr>
          <w:rFonts w:ascii="Tw Cen MT" w:hAnsi="Tw Cen MT"/>
          <w:b/>
          <w:bCs/>
          <w:color w:val="0070C0"/>
          <w:sz w:val="36"/>
          <w:szCs w:val="36"/>
          <w:lang w:bidi="bn-IN"/>
        </w:rPr>
      </w:pPr>
      <w:r w:rsidRPr="00433659">
        <w:rPr>
          <w:noProof/>
          <w:sz w:val="8"/>
          <w:szCs w:val="8"/>
          <w:lang w:bidi="bn-BD"/>
        </w:rPr>
        <w:drawing>
          <wp:anchor distT="0" distB="0" distL="114300" distR="114300" simplePos="0" relativeHeight="251755008" behindDoc="0" locked="0" layoutInCell="1" allowOverlap="1" wp14:anchorId="3CAF0F08" wp14:editId="08C2BC7D">
            <wp:simplePos x="0" y="0"/>
            <wp:positionH relativeFrom="column">
              <wp:posOffset>1054100</wp:posOffset>
            </wp:positionH>
            <wp:positionV relativeFrom="paragraph">
              <wp:posOffset>2540</wp:posOffset>
            </wp:positionV>
            <wp:extent cx="1789430" cy="461010"/>
            <wp:effectExtent l="0" t="0" r="1270" b="0"/>
            <wp:wrapNone/>
            <wp:docPr id="49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rcRect l="74942"/>
                    <a:stretch>
                      <a:fillRect/>
                    </a:stretch>
                  </pic:blipFill>
                  <pic:spPr bwMode="auto">
                    <a:xfrm>
                      <a:off x="0" y="0"/>
                      <a:ext cx="178943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024FB" w:rsidRPr="00433659">
        <w:rPr>
          <w:rFonts w:ascii="Tw Cen MT" w:hAnsi="Tw Cen MT"/>
          <w:b/>
          <w:bCs/>
          <w:color w:val="0070C0"/>
          <w:sz w:val="36"/>
          <w:szCs w:val="36"/>
          <w:lang w:bidi="bn-IN"/>
        </w:rPr>
        <w:t>United Nations</w:t>
      </w:r>
    </w:p>
    <w:p w14:paraId="6DED1B31" w14:textId="2D6D5DF0" w:rsidR="00ED1963" w:rsidRPr="001024FB" w:rsidRDefault="001024FB" w:rsidP="001024FB">
      <w:pPr>
        <w:ind w:left="4860"/>
        <w:jc w:val="both"/>
        <w:rPr>
          <w:sz w:val="32"/>
          <w:szCs w:val="32"/>
        </w:rPr>
      </w:pPr>
      <w:r w:rsidRPr="00433659">
        <w:rPr>
          <w:rFonts w:ascii="Tw Cen MT" w:hAnsi="Tw Cen MT"/>
          <w:b/>
          <w:bCs/>
          <w:color w:val="0070C0"/>
          <w:sz w:val="36"/>
          <w:szCs w:val="36"/>
          <w:lang w:bidi="bn-IN"/>
        </w:rPr>
        <w:t>Children’s Fund</w:t>
      </w:r>
      <w:r w:rsidR="00ED1963" w:rsidRPr="001024FB">
        <w:rPr>
          <w:sz w:val="32"/>
          <w:szCs w:val="32"/>
        </w:rPr>
        <w:br w:type="page"/>
      </w:r>
    </w:p>
    <w:p w14:paraId="0A0D67CD" w14:textId="6367BD92" w:rsidR="00EF203F" w:rsidRDefault="002E23A1" w:rsidP="00EF203F">
      <w:pPr>
        <w:pStyle w:val="NoSpacing"/>
        <w:spacing w:line="276" w:lineRule="auto"/>
        <w:jc w:val="both"/>
        <w:rPr>
          <w:rFonts w:ascii="Palatino Linotype" w:hAnsi="Palatino Linotype"/>
          <w:color w:val="000000" w:themeColor="text1"/>
          <w:sz w:val="24"/>
        </w:rPr>
      </w:pPr>
      <w:r w:rsidRPr="001024FB">
        <w:rPr>
          <w:noProof/>
          <w:sz w:val="6"/>
          <w:szCs w:val="10"/>
          <w:lang w:bidi="bn-BD"/>
        </w:rPr>
        <w:lastRenderedPageBreak/>
        <w:drawing>
          <wp:anchor distT="0" distB="0" distL="114300" distR="114300" simplePos="0" relativeHeight="251760128" behindDoc="0" locked="0" layoutInCell="1" allowOverlap="1" wp14:anchorId="5876E3EB" wp14:editId="1DE07809">
            <wp:simplePos x="0" y="0"/>
            <wp:positionH relativeFrom="margin">
              <wp:align>left</wp:align>
            </wp:positionH>
            <wp:positionV relativeFrom="paragraph">
              <wp:posOffset>1270</wp:posOffset>
            </wp:positionV>
            <wp:extent cx="803910" cy="800100"/>
            <wp:effectExtent l="0" t="0" r="0" b="0"/>
            <wp:wrapSquare wrapText="bothSides"/>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BS-Logo_PNG.png"/>
                    <pic:cNvPicPr/>
                  </pic:nvPicPr>
                  <pic:blipFill>
                    <a:blip r:embed="rId10">
                      <a:extLst>
                        <a:ext uri="{28A0092B-C50C-407E-A947-70E740481C1C}">
                          <a14:useLocalDpi xmlns:a14="http://schemas.microsoft.com/office/drawing/2010/main" val="0"/>
                        </a:ext>
                      </a:extLst>
                    </a:blip>
                    <a:stretch>
                      <a:fillRect/>
                    </a:stretch>
                  </pic:blipFill>
                  <pic:spPr>
                    <a:xfrm>
                      <a:off x="0" y="0"/>
                      <a:ext cx="803910" cy="800100"/>
                    </a:xfrm>
                    <a:prstGeom prst="rect">
                      <a:avLst/>
                    </a:prstGeom>
                  </pic:spPr>
                </pic:pic>
              </a:graphicData>
            </a:graphic>
            <wp14:sizeRelH relativeFrom="margin">
              <wp14:pctWidth>0</wp14:pctWidth>
            </wp14:sizeRelH>
            <wp14:sizeRelV relativeFrom="margin">
              <wp14:pctHeight>0</wp14:pctHeight>
            </wp14:sizeRelV>
          </wp:anchor>
        </w:drawing>
      </w:r>
    </w:p>
    <w:p w14:paraId="790C6FFA" w14:textId="30EC0AE3" w:rsidR="002E23A1" w:rsidRDefault="002E23A1" w:rsidP="00EF203F">
      <w:pPr>
        <w:pStyle w:val="NoSpacing"/>
        <w:spacing w:line="276" w:lineRule="auto"/>
        <w:jc w:val="both"/>
        <w:rPr>
          <w:rFonts w:ascii="Palatino Linotype" w:hAnsi="Palatino Linotype"/>
          <w:color w:val="000000" w:themeColor="text1"/>
          <w:sz w:val="24"/>
        </w:rPr>
      </w:pPr>
    </w:p>
    <w:p w14:paraId="22499F2E" w14:textId="2AD8BE5D" w:rsidR="002E23A1" w:rsidRDefault="002E23A1" w:rsidP="00EF203F">
      <w:pPr>
        <w:pStyle w:val="NoSpacing"/>
        <w:spacing w:line="276" w:lineRule="auto"/>
        <w:jc w:val="both"/>
        <w:rPr>
          <w:rFonts w:ascii="Palatino Linotype" w:hAnsi="Palatino Linotype"/>
          <w:color w:val="000000" w:themeColor="text1"/>
          <w:sz w:val="24"/>
        </w:rPr>
      </w:pPr>
    </w:p>
    <w:p w14:paraId="413DCEBF" w14:textId="756FE2C7" w:rsidR="002E23A1" w:rsidRDefault="002E23A1" w:rsidP="00EF203F">
      <w:pPr>
        <w:pStyle w:val="NoSpacing"/>
        <w:spacing w:line="276" w:lineRule="auto"/>
        <w:jc w:val="both"/>
        <w:rPr>
          <w:rFonts w:ascii="Palatino Linotype" w:hAnsi="Palatino Linotype"/>
          <w:color w:val="000000" w:themeColor="text1"/>
          <w:sz w:val="24"/>
        </w:rPr>
      </w:pPr>
    </w:p>
    <w:p w14:paraId="7F6BEC68" w14:textId="69DD21D4" w:rsidR="00EF203F" w:rsidRPr="008B182C" w:rsidRDefault="00EF203F" w:rsidP="00EF203F">
      <w:pPr>
        <w:pStyle w:val="NoSpacing"/>
        <w:spacing w:line="276" w:lineRule="auto"/>
        <w:jc w:val="both"/>
        <w:rPr>
          <w:rFonts w:ascii="Palatino Linotype" w:hAnsi="Palatino Linotype"/>
          <w:b/>
          <w:bCs/>
          <w:color w:val="000000" w:themeColor="text1"/>
          <w:sz w:val="24"/>
        </w:rPr>
      </w:pPr>
      <w:r>
        <w:rPr>
          <w:rFonts w:ascii="Palatino Linotype" w:hAnsi="Palatino Linotype"/>
          <w:b/>
          <w:bCs/>
          <w:color w:val="000000" w:themeColor="text1"/>
          <w:sz w:val="24"/>
        </w:rPr>
        <w:t xml:space="preserve">Prepared and </w:t>
      </w:r>
      <w:r w:rsidRPr="008B182C">
        <w:rPr>
          <w:rFonts w:ascii="Palatino Linotype" w:hAnsi="Palatino Linotype"/>
          <w:b/>
          <w:bCs/>
          <w:color w:val="000000" w:themeColor="text1"/>
          <w:sz w:val="24"/>
        </w:rPr>
        <w:t>Published by</w:t>
      </w:r>
    </w:p>
    <w:p w14:paraId="6A595714" w14:textId="2FCF9B85" w:rsidR="00EF203F" w:rsidRDefault="00EF203F" w:rsidP="00EF203F">
      <w:pPr>
        <w:pStyle w:val="NoSpacing"/>
        <w:spacing w:line="276" w:lineRule="auto"/>
        <w:jc w:val="both"/>
        <w:rPr>
          <w:rFonts w:ascii="Palatino Linotype" w:hAnsi="Palatino Linotype"/>
          <w:color w:val="000000" w:themeColor="text1"/>
          <w:sz w:val="24"/>
        </w:rPr>
      </w:pPr>
      <w:r>
        <w:rPr>
          <w:rFonts w:ascii="Palatino Linotype" w:hAnsi="Palatino Linotype"/>
          <w:color w:val="000000" w:themeColor="text1"/>
          <w:sz w:val="24"/>
        </w:rPr>
        <w:t>SDG C</w:t>
      </w:r>
      <w:r w:rsidR="002E23A1">
        <w:rPr>
          <w:rFonts w:ascii="Palatino Linotype" w:hAnsi="Palatino Linotype"/>
          <w:color w:val="000000" w:themeColor="text1"/>
          <w:sz w:val="24"/>
        </w:rPr>
        <w:t>ELL</w:t>
      </w:r>
    </w:p>
    <w:p w14:paraId="2DECCA02" w14:textId="0CFADE4D" w:rsidR="00EF203F" w:rsidRDefault="00EF203F" w:rsidP="00EF203F">
      <w:pPr>
        <w:pStyle w:val="NoSpacing"/>
        <w:spacing w:line="276" w:lineRule="auto"/>
        <w:jc w:val="both"/>
        <w:rPr>
          <w:rFonts w:ascii="Palatino Linotype" w:hAnsi="Palatino Linotype"/>
          <w:color w:val="000000" w:themeColor="text1"/>
          <w:sz w:val="24"/>
        </w:rPr>
      </w:pPr>
      <w:r>
        <w:rPr>
          <w:rFonts w:ascii="Palatino Linotype" w:hAnsi="Palatino Linotype"/>
          <w:color w:val="000000" w:themeColor="text1"/>
          <w:sz w:val="24"/>
        </w:rPr>
        <w:t>Bangladesh Bureau of Statistics</w:t>
      </w:r>
      <w:r w:rsidR="00F15399">
        <w:rPr>
          <w:rFonts w:ascii="Palatino Linotype" w:hAnsi="Palatino Linotype"/>
          <w:color w:val="000000" w:themeColor="text1"/>
          <w:sz w:val="24"/>
        </w:rPr>
        <w:t xml:space="preserve"> (BBS)</w:t>
      </w:r>
    </w:p>
    <w:p w14:paraId="0F2EE314" w14:textId="37C1CD18" w:rsidR="002E23A1" w:rsidRDefault="002E23A1" w:rsidP="00EF203F">
      <w:pPr>
        <w:pStyle w:val="NoSpacing"/>
        <w:spacing w:line="276" w:lineRule="auto"/>
        <w:jc w:val="both"/>
        <w:rPr>
          <w:rFonts w:ascii="Palatino Linotype" w:hAnsi="Palatino Linotype"/>
          <w:color w:val="000000" w:themeColor="text1"/>
          <w:sz w:val="24"/>
        </w:rPr>
      </w:pPr>
      <w:r>
        <w:rPr>
          <w:rFonts w:ascii="Palatino Linotype" w:hAnsi="Palatino Linotype"/>
          <w:color w:val="000000" w:themeColor="text1"/>
          <w:sz w:val="24"/>
        </w:rPr>
        <w:t>www.bbs.gov.bd</w:t>
      </w:r>
    </w:p>
    <w:p w14:paraId="6F86C878" w14:textId="77777777" w:rsidR="002E23A1" w:rsidRPr="008B182C" w:rsidRDefault="002E23A1" w:rsidP="00EF203F">
      <w:pPr>
        <w:pStyle w:val="NoSpacing"/>
        <w:spacing w:line="276" w:lineRule="auto"/>
        <w:jc w:val="both"/>
        <w:rPr>
          <w:rFonts w:ascii="Palatino Linotype" w:hAnsi="Palatino Linotype"/>
          <w:color w:val="000000" w:themeColor="text1"/>
          <w:sz w:val="24"/>
        </w:rPr>
      </w:pPr>
    </w:p>
    <w:p w14:paraId="2937F82C" w14:textId="4EFF1C11" w:rsidR="00EF203F" w:rsidRPr="008B182C" w:rsidRDefault="00EF203F" w:rsidP="00EF203F">
      <w:pPr>
        <w:pStyle w:val="NoSpacing"/>
        <w:spacing w:line="276" w:lineRule="auto"/>
        <w:jc w:val="both"/>
        <w:rPr>
          <w:rFonts w:ascii="Palatino Linotype" w:hAnsi="Palatino Linotype"/>
          <w:color w:val="000000" w:themeColor="text1"/>
          <w:sz w:val="24"/>
        </w:rPr>
      </w:pPr>
      <w:r>
        <w:rPr>
          <w:rFonts w:ascii="Palatino Linotype" w:hAnsi="Palatino Linotype"/>
          <w:color w:val="000000" w:themeColor="text1"/>
          <w:sz w:val="24"/>
        </w:rPr>
        <w:t>June</w:t>
      </w:r>
      <w:r w:rsidRPr="008B182C">
        <w:rPr>
          <w:rFonts w:ascii="Palatino Linotype" w:hAnsi="Palatino Linotype"/>
          <w:color w:val="000000" w:themeColor="text1"/>
          <w:sz w:val="24"/>
        </w:rPr>
        <w:t xml:space="preserve"> 2020</w:t>
      </w:r>
    </w:p>
    <w:p w14:paraId="63386D33" w14:textId="77777777" w:rsidR="00EF203F" w:rsidRPr="008B182C" w:rsidRDefault="00EF203F" w:rsidP="00EF203F">
      <w:pPr>
        <w:pStyle w:val="NoSpacing"/>
        <w:spacing w:line="276" w:lineRule="auto"/>
        <w:jc w:val="both"/>
        <w:rPr>
          <w:rFonts w:ascii="Palatino Linotype" w:hAnsi="Palatino Linotype"/>
          <w:color w:val="000000" w:themeColor="text1"/>
          <w:sz w:val="24"/>
        </w:rPr>
      </w:pPr>
    </w:p>
    <w:p w14:paraId="630DC46B" w14:textId="437FA45E" w:rsidR="00EF203F" w:rsidRDefault="00EF203F" w:rsidP="00EF203F">
      <w:pPr>
        <w:pStyle w:val="NoSpacing"/>
        <w:spacing w:line="276" w:lineRule="auto"/>
        <w:jc w:val="both"/>
        <w:rPr>
          <w:rFonts w:ascii="Palatino Linotype" w:hAnsi="Palatino Linotype"/>
          <w:color w:val="000000" w:themeColor="text1"/>
          <w:sz w:val="24"/>
        </w:rPr>
      </w:pPr>
      <w:r w:rsidRPr="008B182C">
        <w:rPr>
          <w:rFonts w:ascii="Palatino Linotype" w:hAnsi="Palatino Linotype"/>
          <w:color w:val="000000" w:themeColor="text1"/>
          <w:sz w:val="24"/>
        </w:rPr>
        <w:t xml:space="preserve">This document is prepared with the technical and financial support from </w:t>
      </w:r>
      <w:r w:rsidR="00F15399">
        <w:rPr>
          <w:rFonts w:ascii="Palatino Linotype" w:hAnsi="Palatino Linotype"/>
          <w:color w:val="000000" w:themeColor="text1"/>
          <w:sz w:val="24"/>
        </w:rPr>
        <w:t>UNICEF Bangladesh</w:t>
      </w:r>
    </w:p>
    <w:p w14:paraId="11FB289A" w14:textId="77777777" w:rsidR="00EF203F" w:rsidRPr="008B182C" w:rsidRDefault="00EF203F" w:rsidP="00EF203F">
      <w:pPr>
        <w:pStyle w:val="NoSpacing"/>
        <w:spacing w:line="276" w:lineRule="auto"/>
        <w:jc w:val="both"/>
        <w:rPr>
          <w:rFonts w:ascii="Palatino Linotype" w:hAnsi="Palatino Linotype"/>
          <w:color w:val="000000" w:themeColor="text1"/>
          <w:sz w:val="24"/>
        </w:rPr>
      </w:pPr>
    </w:p>
    <w:p w14:paraId="4C9997CA" w14:textId="63138671" w:rsidR="00EF203F" w:rsidRDefault="00EF203F" w:rsidP="00EF203F">
      <w:pPr>
        <w:pStyle w:val="NoSpacing"/>
        <w:spacing w:line="276" w:lineRule="auto"/>
        <w:jc w:val="both"/>
        <w:rPr>
          <w:rFonts w:ascii="Palatino Linotype" w:hAnsi="Palatino Linotype"/>
          <w:color w:val="000000" w:themeColor="text1"/>
          <w:sz w:val="24"/>
        </w:rPr>
      </w:pPr>
      <w:r w:rsidRPr="008B182C">
        <w:rPr>
          <w:rFonts w:ascii="Palatino Linotype" w:hAnsi="Palatino Linotype"/>
          <w:color w:val="000000" w:themeColor="text1"/>
          <w:sz w:val="24"/>
        </w:rPr>
        <w:t xml:space="preserve">Copyright © </w:t>
      </w:r>
      <w:r>
        <w:rPr>
          <w:rFonts w:ascii="Palatino Linotype" w:hAnsi="Palatino Linotype"/>
          <w:color w:val="000000" w:themeColor="text1"/>
          <w:sz w:val="24"/>
        </w:rPr>
        <w:t xml:space="preserve">Bangladesh Bureau of Statistics (BBS), Parishankhyan Bhaban, E-27/A, Agargaon, </w:t>
      </w:r>
      <w:r w:rsidRPr="008B182C">
        <w:rPr>
          <w:rFonts w:ascii="Palatino Linotype" w:hAnsi="Palatino Linotype"/>
          <w:color w:val="000000" w:themeColor="text1"/>
          <w:sz w:val="24"/>
        </w:rPr>
        <w:t>Dhaka-1207</w:t>
      </w:r>
    </w:p>
    <w:p w14:paraId="6BEE3C2E" w14:textId="77777777" w:rsidR="00EF203F" w:rsidRPr="008B182C" w:rsidRDefault="00EF203F" w:rsidP="00EF203F">
      <w:pPr>
        <w:pStyle w:val="NoSpacing"/>
        <w:spacing w:line="276" w:lineRule="auto"/>
        <w:jc w:val="both"/>
        <w:rPr>
          <w:rFonts w:ascii="Palatino Linotype" w:hAnsi="Palatino Linotype"/>
          <w:color w:val="000000" w:themeColor="text1"/>
          <w:sz w:val="24"/>
        </w:rPr>
      </w:pPr>
    </w:p>
    <w:p w14:paraId="4C2E1433" w14:textId="77777777" w:rsidR="00F15399" w:rsidRDefault="00F15399" w:rsidP="00EF203F">
      <w:pPr>
        <w:pStyle w:val="NoSpacing"/>
        <w:spacing w:line="276" w:lineRule="auto"/>
        <w:jc w:val="both"/>
        <w:rPr>
          <w:rFonts w:ascii="Palatino Linotype" w:hAnsi="Palatino Linotype"/>
          <w:color w:val="000000" w:themeColor="text1"/>
          <w:sz w:val="24"/>
        </w:rPr>
      </w:pPr>
      <w:r>
        <w:rPr>
          <w:rFonts w:ascii="Palatino Linotype" w:hAnsi="Palatino Linotype"/>
          <w:color w:val="000000" w:themeColor="text1"/>
          <w:sz w:val="24"/>
        </w:rPr>
        <w:t xml:space="preserve">Cover </w:t>
      </w:r>
      <w:r w:rsidR="00EF203F" w:rsidRPr="008B182C">
        <w:rPr>
          <w:rFonts w:ascii="Palatino Linotype" w:hAnsi="Palatino Linotype"/>
          <w:color w:val="000000" w:themeColor="text1"/>
          <w:sz w:val="24"/>
        </w:rPr>
        <w:t>Design</w:t>
      </w:r>
    </w:p>
    <w:p w14:paraId="13375366" w14:textId="20C5A85E" w:rsidR="00F15399" w:rsidRDefault="00F15399" w:rsidP="00EF203F">
      <w:pPr>
        <w:pStyle w:val="NoSpacing"/>
        <w:spacing w:line="276" w:lineRule="auto"/>
        <w:jc w:val="both"/>
        <w:rPr>
          <w:rFonts w:ascii="Palatino Linotype" w:hAnsi="Palatino Linotype"/>
          <w:color w:val="000000" w:themeColor="text1"/>
          <w:sz w:val="24"/>
        </w:rPr>
      </w:pPr>
      <w:r>
        <w:rPr>
          <w:rFonts w:ascii="Palatino Linotype" w:hAnsi="Palatino Linotype"/>
          <w:color w:val="000000" w:themeColor="text1"/>
          <w:sz w:val="24"/>
        </w:rPr>
        <w:t>Easel Mortuza</w:t>
      </w:r>
    </w:p>
    <w:p w14:paraId="59D8F2E4" w14:textId="72EAFF60" w:rsidR="002E23A1" w:rsidRDefault="002E23A1" w:rsidP="00EF203F">
      <w:pPr>
        <w:pStyle w:val="NoSpacing"/>
        <w:spacing w:line="276" w:lineRule="auto"/>
        <w:jc w:val="both"/>
        <w:rPr>
          <w:rFonts w:ascii="Palatino Linotype" w:hAnsi="Palatino Linotype"/>
          <w:color w:val="000000" w:themeColor="text1"/>
          <w:sz w:val="24"/>
        </w:rPr>
      </w:pPr>
    </w:p>
    <w:p w14:paraId="3C53EAF4" w14:textId="2A6A6B45" w:rsidR="002E23A1" w:rsidRDefault="002E23A1" w:rsidP="00EF203F">
      <w:pPr>
        <w:pStyle w:val="NoSpacing"/>
        <w:spacing w:line="276" w:lineRule="auto"/>
        <w:jc w:val="both"/>
        <w:rPr>
          <w:rFonts w:ascii="Palatino Linotype" w:hAnsi="Palatino Linotype"/>
          <w:color w:val="000000" w:themeColor="text1"/>
          <w:sz w:val="24"/>
        </w:rPr>
      </w:pPr>
      <w:r>
        <w:rPr>
          <w:rFonts w:ascii="Palatino Linotype" w:hAnsi="Palatino Linotype"/>
          <w:color w:val="000000" w:themeColor="text1"/>
          <w:sz w:val="24"/>
        </w:rPr>
        <w:t xml:space="preserve">ISBN: </w:t>
      </w:r>
    </w:p>
    <w:p w14:paraId="78176251" w14:textId="77777777" w:rsidR="00F15399" w:rsidRDefault="00F15399" w:rsidP="00EF203F">
      <w:pPr>
        <w:pStyle w:val="NoSpacing"/>
        <w:spacing w:line="276" w:lineRule="auto"/>
        <w:jc w:val="both"/>
        <w:rPr>
          <w:rFonts w:ascii="Palatino Linotype" w:hAnsi="Palatino Linotype"/>
          <w:color w:val="000000" w:themeColor="text1"/>
          <w:sz w:val="24"/>
        </w:rPr>
      </w:pPr>
    </w:p>
    <w:p w14:paraId="4BF88637" w14:textId="23B55A13" w:rsidR="00EF203F" w:rsidRPr="008B182C" w:rsidRDefault="00EF203F" w:rsidP="00EF203F">
      <w:pPr>
        <w:pStyle w:val="NoSpacing"/>
        <w:spacing w:line="276" w:lineRule="auto"/>
        <w:jc w:val="both"/>
        <w:rPr>
          <w:rFonts w:ascii="Palatino Linotype" w:hAnsi="Palatino Linotype"/>
          <w:color w:val="000000" w:themeColor="text1"/>
          <w:sz w:val="24"/>
        </w:rPr>
      </w:pPr>
      <w:r w:rsidRPr="008B182C">
        <w:rPr>
          <w:rFonts w:ascii="Palatino Linotype" w:hAnsi="Palatino Linotype"/>
          <w:color w:val="000000" w:themeColor="text1"/>
          <w:sz w:val="24"/>
        </w:rPr>
        <w:t>Printed by</w:t>
      </w:r>
    </w:p>
    <w:p w14:paraId="5A7ABEC5" w14:textId="18DF8237" w:rsidR="00EF203F" w:rsidRDefault="00EF203F" w:rsidP="001B437B">
      <w:pPr>
        <w:pStyle w:val="NoSpacing"/>
        <w:jc w:val="both"/>
        <w:rPr>
          <w:rFonts w:ascii="Palatino Linotype" w:hAnsi="Palatino Linotype" w:cs="Times New Roman"/>
          <w:b/>
          <w:bCs/>
          <w:color w:val="000000" w:themeColor="text1"/>
          <w:sz w:val="24"/>
        </w:rPr>
      </w:pPr>
      <w:r>
        <w:rPr>
          <w:rFonts w:ascii="Palatino Linotype" w:hAnsi="Palatino Linotype"/>
          <w:color w:val="000000" w:themeColor="text1"/>
          <w:sz w:val="24"/>
        </w:rPr>
        <w:t>……</w:t>
      </w:r>
    </w:p>
    <w:p w14:paraId="31F57B49" w14:textId="77777777" w:rsidR="00EF203F" w:rsidRDefault="00EF203F" w:rsidP="001B437B">
      <w:pPr>
        <w:pStyle w:val="NoSpacing"/>
        <w:jc w:val="both"/>
        <w:rPr>
          <w:rFonts w:ascii="Palatino Linotype" w:hAnsi="Palatino Linotype" w:cs="Times New Roman"/>
          <w:b/>
          <w:bCs/>
          <w:color w:val="000000" w:themeColor="text1"/>
          <w:sz w:val="24"/>
        </w:rPr>
      </w:pPr>
    </w:p>
    <w:p w14:paraId="318772B1" w14:textId="65ED0225" w:rsidR="00EF203F" w:rsidRDefault="002E23A1" w:rsidP="001B437B">
      <w:pPr>
        <w:pStyle w:val="NoSpacing"/>
        <w:jc w:val="both"/>
        <w:rPr>
          <w:rFonts w:ascii="Palatino Linotype" w:hAnsi="Palatino Linotype" w:cs="Times New Roman"/>
          <w:b/>
          <w:bCs/>
          <w:color w:val="000000" w:themeColor="text1"/>
          <w:sz w:val="24"/>
        </w:rPr>
      </w:pPr>
      <w:r>
        <w:rPr>
          <w:rFonts w:ascii="Palatino Linotype" w:hAnsi="Palatino Linotype" w:cs="Times New Roman"/>
          <w:b/>
          <w:bCs/>
          <w:color w:val="000000" w:themeColor="text1"/>
          <w:sz w:val="24"/>
        </w:rPr>
        <w:t>For further information on the publication, please contact:</w:t>
      </w:r>
    </w:p>
    <w:p w14:paraId="7990D4A8" w14:textId="7810A363" w:rsidR="002E23A1" w:rsidRPr="002E23A1" w:rsidRDefault="002E23A1" w:rsidP="001B437B">
      <w:pPr>
        <w:pStyle w:val="NoSpacing"/>
        <w:jc w:val="both"/>
        <w:rPr>
          <w:rFonts w:ascii="Palatino Linotype" w:hAnsi="Palatino Linotype" w:cs="Times New Roman"/>
          <w:color w:val="000000" w:themeColor="text1"/>
          <w:sz w:val="24"/>
        </w:rPr>
      </w:pPr>
      <w:r w:rsidRPr="002E23A1">
        <w:rPr>
          <w:rFonts w:ascii="Palatino Linotype" w:hAnsi="Palatino Linotype" w:cs="Times New Roman"/>
          <w:color w:val="000000" w:themeColor="text1"/>
          <w:sz w:val="24"/>
        </w:rPr>
        <w:t>Md. Alamgir Hossen, Focal Point, SDG Cell, Bangladesh Bureau of Statistics, Parishankhyan Bhaban, E-27/A Agargaon, Dhaka, Bangladesh</w:t>
      </w:r>
    </w:p>
    <w:p w14:paraId="31590FDE" w14:textId="2582260F" w:rsidR="002E23A1" w:rsidRPr="002E23A1" w:rsidRDefault="002E23A1" w:rsidP="001B437B">
      <w:pPr>
        <w:pStyle w:val="NoSpacing"/>
        <w:jc w:val="both"/>
        <w:rPr>
          <w:rFonts w:ascii="Palatino Linotype" w:hAnsi="Palatino Linotype" w:cs="Times New Roman"/>
          <w:color w:val="000000" w:themeColor="text1"/>
          <w:sz w:val="24"/>
        </w:rPr>
      </w:pPr>
      <w:r w:rsidRPr="002E23A1">
        <w:rPr>
          <w:rFonts w:ascii="Palatino Linotype" w:hAnsi="Palatino Linotype" w:cs="Times New Roman"/>
          <w:color w:val="000000" w:themeColor="text1"/>
          <w:sz w:val="24"/>
        </w:rPr>
        <w:t>Email: alamgir.hossen@bbs.gov.bd</w:t>
      </w:r>
    </w:p>
    <w:p w14:paraId="3447BB9B" w14:textId="77777777" w:rsidR="00EF203F" w:rsidRDefault="00EF203F" w:rsidP="001B437B">
      <w:pPr>
        <w:pStyle w:val="NoSpacing"/>
        <w:jc w:val="both"/>
        <w:rPr>
          <w:rFonts w:ascii="Palatino Linotype" w:hAnsi="Palatino Linotype" w:cs="Times New Roman"/>
          <w:b/>
          <w:bCs/>
          <w:color w:val="000000" w:themeColor="text1"/>
          <w:sz w:val="24"/>
        </w:rPr>
      </w:pPr>
    </w:p>
    <w:p w14:paraId="3EF4F1D7" w14:textId="77777777" w:rsidR="00EF203F" w:rsidRDefault="00EF203F" w:rsidP="001B437B">
      <w:pPr>
        <w:pStyle w:val="NoSpacing"/>
        <w:jc w:val="both"/>
        <w:rPr>
          <w:rFonts w:ascii="Palatino Linotype" w:hAnsi="Palatino Linotype" w:cs="Times New Roman"/>
          <w:b/>
          <w:bCs/>
          <w:color w:val="000000" w:themeColor="text1"/>
          <w:sz w:val="24"/>
        </w:rPr>
      </w:pPr>
    </w:p>
    <w:p w14:paraId="55EE985A" w14:textId="77777777" w:rsidR="00EF203F" w:rsidRDefault="00EF203F" w:rsidP="001B437B">
      <w:pPr>
        <w:pStyle w:val="NoSpacing"/>
        <w:jc w:val="both"/>
        <w:rPr>
          <w:rFonts w:ascii="Palatino Linotype" w:hAnsi="Palatino Linotype" w:cs="Times New Roman"/>
          <w:b/>
          <w:bCs/>
          <w:color w:val="000000" w:themeColor="text1"/>
          <w:sz w:val="24"/>
        </w:rPr>
      </w:pPr>
    </w:p>
    <w:p w14:paraId="3D5786F8" w14:textId="77777777" w:rsidR="00EF203F" w:rsidRDefault="00EF203F" w:rsidP="001B437B">
      <w:pPr>
        <w:pStyle w:val="NoSpacing"/>
        <w:jc w:val="both"/>
        <w:rPr>
          <w:rFonts w:ascii="Palatino Linotype" w:hAnsi="Palatino Linotype" w:cs="Times New Roman"/>
          <w:b/>
          <w:bCs/>
          <w:color w:val="000000" w:themeColor="text1"/>
          <w:sz w:val="24"/>
        </w:rPr>
      </w:pPr>
    </w:p>
    <w:p w14:paraId="61E19C80" w14:textId="77777777" w:rsidR="00EF203F" w:rsidRDefault="00EF203F" w:rsidP="001B437B">
      <w:pPr>
        <w:pStyle w:val="NoSpacing"/>
        <w:jc w:val="both"/>
        <w:rPr>
          <w:rFonts w:ascii="Palatino Linotype" w:hAnsi="Palatino Linotype" w:cs="Times New Roman"/>
          <w:b/>
          <w:bCs/>
          <w:color w:val="000000" w:themeColor="text1"/>
          <w:sz w:val="24"/>
        </w:rPr>
      </w:pPr>
    </w:p>
    <w:p w14:paraId="273DD47C" w14:textId="2674B9E2" w:rsidR="00EF203F" w:rsidRDefault="00EF203F" w:rsidP="001B437B">
      <w:pPr>
        <w:pStyle w:val="NoSpacing"/>
        <w:jc w:val="both"/>
        <w:rPr>
          <w:rFonts w:ascii="Palatino Linotype" w:hAnsi="Palatino Linotype" w:cs="Times New Roman"/>
          <w:b/>
          <w:bCs/>
          <w:color w:val="000000" w:themeColor="text1"/>
          <w:sz w:val="24"/>
        </w:rPr>
      </w:pPr>
    </w:p>
    <w:p w14:paraId="700F3D13" w14:textId="7B70FB4E" w:rsidR="001B437B" w:rsidRPr="008B182C" w:rsidRDefault="002E23A1" w:rsidP="001B437B">
      <w:pPr>
        <w:pStyle w:val="NoSpacing"/>
        <w:jc w:val="both"/>
        <w:rPr>
          <w:rFonts w:ascii="Palatino Linotype" w:hAnsi="Palatino Linotype" w:cs="Times New Roman"/>
          <w:b/>
          <w:bCs/>
          <w:color w:val="000000" w:themeColor="text1"/>
          <w:sz w:val="24"/>
        </w:rPr>
      </w:pPr>
      <w:r w:rsidRPr="008B182C">
        <w:rPr>
          <w:rFonts w:ascii="Palatino Linotype" w:hAnsi="Palatino Linotype" w:cs="Times New Roman"/>
          <w:b/>
          <w:bCs/>
          <w:noProof/>
          <w:color w:val="000000" w:themeColor="text1"/>
          <w:sz w:val="24"/>
          <w:lang w:bidi="bn-BD"/>
        </w:rPr>
        <w:drawing>
          <wp:anchor distT="0" distB="0" distL="114300" distR="114300" simplePos="0" relativeHeight="251627008" behindDoc="1" locked="0" layoutInCell="1" allowOverlap="1" wp14:anchorId="3A8A88EF" wp14:editId="244240C7">
            <wp:simplePos x="0" y="0"/>
            <wp:positionH relativeFrom="margin">
              <wp:posOffset>11258550</wp:posOffset>
            </wp:positionH>
            <wp:positionV relativeFrom="paragraph">
              <wp:posOffset>163195</wp:posOffset>
            </wp:positionV>
            <wp:extent cx="624205" cy="640080"/>
            <wp:effectExtent l="0" t="0" r="4445" b="7620"/>
            <wp:wrapTight wrapText="bothSides">
              <wp:wrapPolygon edited="0">
                <wp:start x="6592" y="0"/>
                <wp:lineTo x="0" y="3214"/>
                <wp:lineTo x="0" y="16071"/>
                <wp:lineTo x="4614" y="20571"/>
                <wp:lineTo x="6592" y="21214"/>
                <wp:lineTo x="14503" y="21214"/>
                <wp:lineTo x="21095" y="17357"/>
                <wp:lineTo x="21095" y="3214"/>
                <wp:lineTo x="14503" y="0"/>
                <wp:lineTo x="6592" y="0"/>
              </wp:wrapPolygon>
            </wp:wrapTight>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205" cy="640080"/>
                    </a:xfrm>
                    <a:prstGeom prst="rect">
                      <a:avLst/>
                    </a:prstGeom>
                  </pic:spPr>
                </pic:pic>
              </a:graphicData>
            </a:graphic>
            <wp14:sizeRelH relativeFrom="margin">
              <wp14:pctWidth>0</wp14:pctWidth>
            </wp14:sizeRelH>
          </wp:anchor>
        </w:drawing>
      </w:r>
      <w:r w:rsidR="00F15399" w:rsidRPr="008B182C">
        <w:rPr>
          <w:rFonts w:ascii="Palatino Linotype" w:hAnsi="Palatino Linotype"/>
          <w:noProof/>
          <w:color w:val="000000" w:themeColor="text1"/>
          <w:lang w:bidi="bn-BD"/>
        </w:rPr>
        <w:drawing>
          <wp:anchor distT="0" distB="0" distL="114300" distR="114300" simplePos="0" relativeHeight="251670528" behindDoc="1" locked="0" layoutInCell="1" allowOverlap="1" wp14:anchorId="101605A2" wp14:editId="266929D5">
            <wp:simplePos x="0" y="0"/>
            <wp:positionH relativeFrom="column">
              <wp:posOffset>23495</wp:posOffset>
            </wp:positionH>
            <wp:positionV relativeFrom="paragraph">
              <wp:posOffset>16510</wp:posOffset>
            </wp:positionV>
            <wp:extent cx="1101090" cy="1371600"/>
            <wp:effectExtent l="19050" t="19050" r="22860" b="19050"/>
            <wp:wrapNone/>
            <wp:docPr id="49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01090" cy="1371600"/>
                    </a:xfrm>
                    <a:prstGeom prst="rect">
                      <a:avLst/>
                    </a:prstGeom>
                    <a:ln w="12700" cap="sq" cmpd="thickThin">
                      <a:solidFill>
                        <a:schemeClr val="accent5">
                          <a:lumMod val="75000"/>
                        </a:schemeClr>
                      </a:solidFill>
                      <a:prstDash val="solid"/>
                      <a:miter lim="800000"/>
                    </a:ln>
                    <a:effectLst/>
                  </pic:spPr>
                </pic:pic>
              </a:graphicData>
            </a:graphic>
            <wp14:sizeRelH relativeFrom="page">
              <wp14:pctWidth>0</wp14:pctWidth>
            </wp14:sizeRelH>
            <wp14:sizeRelV relativeFrom="page">
              <wp14:pctHeight>0</wp14:pctHeight>
            </wp14:sizeRelV>
          </wp:anchor>
        </w:drawing>
      </w:r>
      <w:r w:rsidR="001B437B" w:rsidRPr="008B182C">
        <w:rPr>
          <w:rFonts w:ascii="Palatino Linotype" w:hAnsi="Palatino Linotype"/>
          <w:noProof/>
          <w:color w:val="000000" w:themeColor="text1"/>
          <w:lang w:bidi="bn-BD"/>
        </w:rPr>
        <mc:AlternateContent>
          <mc:Choice Requires="wps">
            <w:drawing>
              <wp:anchor distT="0" distB="0" distL="114300" distR="114300" simplePos="0" relativeHeight="251623936" behindDoc="0" locked="0" layoutInCell="1" allowOverlap="1" wp14:anchorId="19BC6C49" wp14:editId="05940779">
                <wp:simplePos x="0" y="0"/>
                <wp:positionH relativeFrom="column">
                  <wp:posOffset>3827780</wp:posOffset>
                </wp:positionH>
                <wp:positionV relativeFrom="paragraph">
                  <wp:posOffset>-1270</wp:posOffset>
                </wp:positionV>
                <wp:extent cx="2108200" cy="431800"/>
                <wp:effectExtent l="0" t="0" r="0" b="0"/>
                <wp:wrapNone/>
                <wp:docPr id="4934" name="Rectangle: Rounded Corners 36"/>
                <wp:cNvGraphicFramePr/>
                <a:graphic xmlns:a="http://schemas.openxmlformats.org/drawingml/2006/main">
                  <a:graphicData uri="http://schemas.microsoft.com/office/word/2010/wordprocessingShape">
                    <wps:wsp>
                      <wps:cNvSpPr/>
                      <wps:spPr>
                        <a:xfrm>
                          <a:off x="0" y="0"/>
                          <a:ext cx="2108200" cy="431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A8EBE" w14:textId="77777777" w:rsidR="00D20077" w:rsidRPr="00E33178" w:rsidRDefault="00D20077" w:rsidP="001B437B">
                            <w:pPr>
                              <w:jc w:val="center"/>
                              <w:rPr>
                                <w:rFonts w:ascii="Palatino Linotype" w:hAnsi="Palatino Linotype"/>
                                <w:b/>
                                <w:bCs/>
                                <w:color w:val="000000" w:themeColor="text1"/>
                                <w:sz w:val="32"/>
                                <w:szCs w:val="32"/>
                              </w:rPr>
                            </w:pPr>
                            <w:r w:rsidRPr="00E33178">
                              <w:rPr>
                                <w:rFonts w:ascii="Palatino Linotype" w:hAnsi="Palatino Linotype"/>
                                <w:b/>
                                <w:bCs/>
                                <w:color w:val="000000" w:themeColor="text1"/>
                                <w:sz w:val="32"/>
                                <w:szCs w:val="32"/>
                              </w:rP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9BC6C49" id="Rectangle: Rounded Corners 36" o:spid="_x0000_s1026" style="position:absolute;left:0;text-align:left;margin-left:301.4pt;margin-top:-.1pt;width:166pt;height:3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" filled="f" stroked="f" strokeweight="2pt">
                <v:textbox>
                  <w:txbxContent>
                    <w:p w14:paraId="0E8A8EBE" w14:textId="77777777" w:rsidR="00D20077" w:rsidRPr="00E33178" w:rsidRDefault="00D20077" w:rsidP="001B437B">
                      <w:pPr>
                        <w:jc w:val="center"/>
                        <w:rPr>
                          <w:rFonts w:ascii="Palatino Linotype" w:hAnsi="Palatino Linotype"/>
                          <w:b/>
                          <w:bCs/>
                          <w:color w:val="000000" w:themeColor="text1"/>
                          <w:sz w:val="32"/>
                          <w:szCs w:val="32"/>
                        </w:rPr>
                      </w:pPr>
                      <w:r w:rsidRPr="00E33178">
                        <w:rPr>
                          <w:rFonts w:ascii="Palatino Linotype" w:hAnsi="Palatino Linotype"/>
                          <w:b/>
                          <w:bCs/>
                          <w:color w:val="000000" w:themeColor="text1"/>
                          <w:sz w:val="32"/>
                          <w:szCs w:val="32"/>
                        </w:rPr>
                        <w:t>Message</w:t>
                      </w:r>
                    </w:p>
                  </w:txbxContent>
                </v:textbox>
              </v:roundrect>
            </w:pict>
          </mc:Fallback>
        </mc:AlternateContent>
      </w:r>
    </w:p>
    <w:p w14:paraId="754FE1F8" w14:textId="79278046" w:rsidR="001B437B" w:rsidRDefault="001B437B" w:rsidP="001B437B">
      <w:pPr>
        <w:pStyle w:val="NoSpacing"/>
        <w:jc w:val="right"/>
        <w:rPr>
          <w:rFonts w:ascii="Palatino Linotype" w:hAnsi="Palatino Linotype" w:cs="Times New Roman"/>
          <w:b/>
          <w:bCs/>
          <w:color w:val="000000" w:themeColor="text1"/>
          <w:sz w:val="24"/>
        </w:rPr>
      </w:pPr>
    </w:p>
    <w:p w14:paraId="149CECEB" w14:textId="77777777" w:rsidR="001B437B" w:rsidRDefault="001B437B" w:rsidP="001B437B">
      <w:pPr>
        <w:pStyle w:val="NoSpacing"/>
        <w:jc w:val="right"/>
        <w:rPr>
          <w:rFonts w:ascii="Palatino Linotype" w:hAnsi="Palatino Linotype" w:cs="Times New Roman"/>
          <w:b/>
          <w:bCs/>
          <w:color w:val="000000" w:themeColor="text1"/>
          <w:sz w:val="24"/>
        </w:rPr>
      </w:pPr>
    </w:p>
    <w:p w14:paraId="6339B6BB" w14:textId="77777777" w:rsidR="001B437B" w:rsidRDefault="001B437B" w:rsidP="001B437B">
      <w:pPr>
        <w:pStyle w:val="NoSpacing"/>
        <w:jc w:val="right"/>
        <w:rPr>
          <w:rFonts w:ascii="Palatino Linotype" w:hAnsi="Palatino Linotype" w:cs="Times New Roman"/>
          <w:b/>
          <w:bCs/>
          <w:color w:val="000000" w:themeColor="text1"/>
          <w:sz w:val="24"/>
        </w:rPr>
      </w:pPr>
    </w:p>
    <w:p w14:paraId="13A6F79E" w14:textId="77777777" w:rsidR="001B437B" w:rsidRPr="008B182C" w:rsidRDefault="001B437B" w:rsidP="001B437B">
      <w:pPr>
        <w:pStyle w:val="NoSpacing"/>
        <w:jc w:val="right"/>
        <w:rPr>
          <w:rFonts w:ascii="Palatino Linotype" w:hAnsi="Palatino Linotype" w:cs="Times New Roman"/>
          <w:b/>
          <w:bCs/>
          <w:color w:val="000000" w:themeColor="text1"/>
          <w:sz w:val="24"/>
        </w:rPr>
      </w:pPr>
      <w:r w:rsidRPr="008B182C">
        <w:rPr>
          <w:rFonts w:ascii="Palatino Linotype" w:hAnsi="Palatino Linotype" w:cs="Times New Roman"/>
          <w:b/>
          <w:bCs/>
          <w:color w:val="000000" w:themeColor="text1"/>
          <w:sz w:val="24"/>
        </w:rPr>
        <w:t xml:space="preserve">M. A. Mannan, </w:t>
      </w:r>
      <w:r w:rsidRPr="002E23A1">
        <w:rPr>
          <w:rFonts w:ascii="Palatino Linotype" w:hAnsi="Palatino Linotype" w:cs="Times New Roman"/>
          <w:color w:val="000000" w:themeColor="text1"/>
          <w:sz w:val="24"/>
        </w:rPr>
        <w:t>MP</w:t>
      </w:r>
    </w:p>
    <w:p w14:paraId="077629AA" w14:textId="38222077" w:rsidR="001B437B" w:rsidRPr="008B182C" w:rsidRDefault="001B437B" w:rsidP="001B437B">
      <w:pPr>
        <w:pStyle w:val="NoSpacing"/>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Minister</w:t>
      </w:r>
    </w:p>
    <w:p w14:paraId="5B291A40" w14:textId="77777777" w:rsidR="001B437B" w:rsidRPr="008B182C" w:rsidRDefault="001B437B" w:rsidP="001B437B">
      <w:pPr>
        <w:pStyle w:val="NoSpacing"/>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Ministry of Planning</w:t>
      </w:r>
    </w:p>
    <w:p w14:paraId="52E0EBA1" w14:textId="77777777" w:rsidR="001B437B" w:rsidRDefault="001B437B" w:rsidP="001B437B">
      <w:pPr>
        <w:pStyle w:val="NoSpacing"/>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Government of the People’s Republic of Bangladesh</w:t>
      </w:r>
    </w:p>
    <w:p w14:paraId="32334E4E" w14:textId="77777777" w:rsidR="001B437B" w:rsidRPr="008B182C" w:rsidRDefault="001B437B" w:rsidP="001B437B">
      <w:pPr>
        <w:pStyle w:val="NoSpacing"/>
        <w:jc w:val="right"/>
        <w:rPr>
          <w:rFonts w:ascii="Palatino Linotype" w:hAnsi="Palatino Linotype" w:cs="Times New Roman"/>
          <w:color w:val="000000" w:themeColor="text1"/>
          <w:sz w:val="24"/>
        </w:rPr>
      </w:pPr>
    </w:p>
    <w:p w14:paraId="33C09C96" w14:textId="77777777" w:rsidR="001B437B" w:rsidRPr="0020656A" w:rsidRDefault="001B437B" w:rsidP="001B437B">
      <w:pPr>
        <w:pStyle w:val="NoSpacing"/>
        <w:rPr>
          <w:rFonts w:ascii="Palatino Linotype" w:hAnsi="Palatino Linotype" w:cs="Times New Roman"/>
          <w:color w:val="000000" w:themeColor="text1"/>
          <w:sz w:val="24"/>
        </w:rPr>
      </w:pPr>
    </w:p>
    <w:p w14:paraId="52FB2A4A" w14:textId="77777777" w:rsidR="00484B5E" w:rsidRDefault="00484B5E" w:rsidP="001B437B">
      <w:pPr>
        <w:jc w:val="both"/>
        <w:rPr>
          <w:rFonts w:ascii="Palatino Linotype" w:hAnsi="Palatino Linotype"/>
          <w:sz w:val="24"/>
        </w:rPr>
        <w:sectPr w:rsidR="00484B5E" w:rsidSect="00D46636">
          <w:footerReference w:type="default" r:id="rId14"/>
          <w:pgSz w:w="20160" w:h="12240" w:orient="landscape" w:code="5"/>
          <w:pgMar w:top="720" w:right="720" w:bottom="720" w:left="720" w:header="720" w:footer="720" w:gutter="0"/>
          <w:cols w:space="720"/>
          <w:titlePg/>
          <w:docGrid w:linePitch="360"/>
        </w:sectPr>
      </w:pPr>
    </w:p>
    <w:p w14:paraId="7F43FC6E" w14:textId="31AB5693" w:rsidR="001B437B" w:rsidRDefault="001B437B" w:rsidP="001B437B">
      <w:pPr>
        <w:jc w:val="both"/>
        <w:rPr>
          <w:rFonts w:ascii="Palatino Linotype" w:hAnsi="Palatino Linotype"/>
          <w:sz w:val="24"/>
        </w:rPr>
      </w:pPr>
      <w:r w:rsidRPr="0020656A">
        <w:rPr>
          <w:rFonts w:ascii="Palatino Linotype" w:hAnsi="Palatino Linotype"/>
          <w:sz w:val="24"/>
        </w:rPr>
        <w:lastRenderedPageBreak/>
        <w:t>I am immensely pl</w:t>
      </w:r>
      <w:r>
        <w:rPr>
          <w:rFonts w:ascii="Palatino Linotype" w:hAnsi="Palatino Linotype"/>
          <w:sz w:val="24"/>
        </w:rPr>
        <w:t>eased to be informed that the</w:t>
      </w:r>
      <w:r w:rsidR="00E547A1">
        <w:rPr>
          <w:rFonts w:ascii="Palatino Linotype" w:hAnsi="Palatino Linotype"/>
          <w:sz w:val="24"/>
        </w:rPr>
        <w:t xml:space="preserve"> `</w:t>
      </w:r>
      <w:r w:rsidR="002E23A1">
        <w:rPr>
          <w:rFonts w:ascii="Palatino Linotype" w:hAnsi="Palatino Linotype"/>
          <w:sz w:val="24"/>
        </w:rPr>
        <w:t>Action Plan and Methodological Guidelines towards Data Generation and Disaggregation for Monitoring and Evaluation of SDGs</w:t>
      </w:r>
      <w:r w:rsidR="00E547A1">
        <w:rPr>
          <w:rFonts w:ascii="Palatino Linotype" w:hAnsi="Palatino Linotype"/>
          <w:sz w:val="24"/>
        </w:rPr>
        <w:t>’</w:t>
      </w:r>
      <w:r w:rsidRPr="0020656A">
        <w:rPr>
          <w:rFonts w:ascii="Palatino Linotype" w:hAnsi="Palatino Linotype"/>
          <w:sz w:val="24"/>
        </w:rPr>
        <w:t xml:space="preserve"> has been prepared by the </w:t>
      </w:r>
      <w:r w:rsidR="00E547A1">
        <w:rPr>
          <w:rFonts w:ascii="Palatino Linotype" w:hAnsi="Palatino Linotype"/>
          <w:sz w:val="24"/>
        </w:rPr>
        <w:t xml:space="preserve">SDG Cell, </w:t>
      </w:r>
      <w:r w:rsidRPr="0020656A">
        <w:rPr>
          <w:rFonts w:ascii="Palatino Linotype" w:hAnsi="Palatino Linotype"/>
          <w:sz w:val="24"/>
        </w:rPr>
        <w:t>Bangladesh Bureau of Statistics (BBS)</w:t>
      </w:r>
      <w:r>
        <w:rPr>
          <w:rFonts w:ascii="Palatino Linotype" w:hAnsi="Palatino Linotype"/>
          <w:sz w:val="24"/>
        </w:rPr>
        <w:t xml:space="preserve"> </w:t>
      </w:r>
      <w:r w:rsidRPr="0020656A">
        <w:rPr>
          <w:rFonts w:ascii="Palatino Linotype" w:hAnsi="Palatino Linotype"/>
          <w:sz w:val="24"/>
        </w:rPr>
        <w:t xml:space="preserve">of the Statistics and Informatics Division (SID) of the Government of the People’s Republic of Bangladesh within a shortest possible time which is being published now. </w:t>
      </w:r>
    </w:p>
    <w:p w14:paraId="15251966" w14:textId="77777777" w:rsidR="00B42609" w:rsidRPr="0020656A" w:rsidRDefault="00B42609" w:rsidP="001B437B">
      <w:pPr>
        <w:jc w:val="both"/>
        <w:rPr>
          <w:rFonts w:ascii="Palatino Linotype" w:hAnsi="Palatino Linotype"/>
          <w:sz w:val="24"/>
        </w:rPr>
      </w:pPr>
    </w:p>
    <w:p w14:paraId="4EABD8DC" w14:textId="77777777" w:rsidR="00B42609" w:rsidRDefault="001B437B" w:rsidP="001B437B">
      <w:pPr>
        <w:jc w:val="both"/>
        <w:rPr>
          <w:rFonts w:ascii="Palatino Linotype" w:hAnsi="Palatino Linotype"/>
          <w:sz w:val="24"/>
        </w:rPr>
      </w:pPr>
      <w:r>
        <w:rPr>
          <w:rFonts w:ascii="Palatino Linotype" w:hAnsi="Palatino Linotype"/>
          <w:sz w:val="24"/>
        </w:rPr>
        <w:t xml:space="preserve">This </w:t>
      </w:r>
      <w:r w:rsidR="00E547A1">
        <w:rPr>
          <w:rFonts w:ascii="Palatino Linotype" w:hAnsi="Palatino Linotype"/>
          <w:sz w:val="24"/>
        </w:rPr>
        <w:t>unique</w:t>
      </w:r>
      <w:r>
        <w:rPr>
          <w:rFonts w:ascii="Palatino Linotype" w:hAnsi="Palatino Linotype"/>
          <w:sz w:val="24"/>
        </w:rPr>
        <w:t xml:space="preserve"> publication</w:t>
      </w:r>
      <w:r w:rsidRPr="0020656A">
        <w:rPr>
          <w:rFonts w:ascii="Palatino Linotype" w:hAnsi="Palatino Linotype"/>
          <w:sz w:val="24"/>
        </w:rPr>
        <w:t xml:space="preserve"> has </w:t>
      </w:r>
      <w:r w:rsidR="00E547A1">
        <w:rPr>
          <w:rFonts w:ascii="Palatino Linotype" w:hAnsi="Palatino Linotype"/>
          <w:sz w:val="24"/>
        </w:rPr>
        <w:t xml:space="preserve">been </w:t>
      </w:r>
      <w:r w:rsidRPr="0020656A">
        <w:rPr>
          <w:rFonts w:ascii="Palatino Linotype" w:hAnsi="Palatino Linotype"/>
          <w:sz w:val="24"/>
        </w:rPr>
        <w:t xml:space="preserve">formulated </w:t>
      </w:r>
      <w:r w:rsidR="00E547A1">
        <w:rPr>
          <w:rFonts w:ascii="Palatino Linotype" w:hAnsi="Palatino Linotype"/>
          <w:sz w:val="24"/>
        </w:rPr>
        <w:t>incorporating</w:t>
      </w:r>
      <w:r w:rsidRPr="0020656A">
        <w:rPr>
          <w:rFonts w:ascii="Palatino Linotype" w:hAnsi="Palatino Linotype"/>
          <w:sz w:val="24"/>
        </w:rPr>
        <w:t xml:space="preserve"> distinct </w:t>
      </w:r>
      <w:r w:rsidR="00E547A1">
        <w:rPr>
          <w:rFonts w:ascii="Palatino Linotype" w:hAnsi="Palatino Linotype"/>
          <w:sz w:val="24"/>
        </w:rPr>
        <w:t>c</w:t>
      </w:r>
      <w:r w:rsidRPr="0020656A">
        <w:rPr>
          <w:rFonts w:ascii="Palatino Linotype" w:hAnsi="Palatino Linotype"/>
          <w:sz w:val="24"/>
        </w:rPr>
        <w:t xml:space="preserve">ustodian agency, </w:t>
      </w:r>
      <w:r w:rsidR="00E547A1">
        <w:rPr>
          <w:rFonts w:ascii="Palatino Linotype" w:hAnsi="Palatino Linotype"/>
          <w:sz w:val="24"/>
        </w:rPr>
        <w:t>indicator</w:t>
      </w:r>
      <w:r>
        <w:rPr>
          <w:rFonts w:ascii="Palatino Linotype" w:hAnsi="Palatino Linotype"/>
          <w:sz w:val="24"/>
        </w:rPr>
        <w:t xml:space="preserve"> </w:t>
      </w:r>
      <w:r w:rsidR="00E547A1">
        <w:rPr>
          <w:rFonts w:ascii="Palatino Linotype" w:hAnsi="Palatino Linotype"/>
          <w:sz w:val="24"/>
        </w:rPr>
        <w:t>computation</w:t>
      </w:r>
      <w:r w:rsidRPr="0020656A">
        <w:rPr>
          <w:rFonts w:ascii="Palatino Linotype" w:hAnsi="Palatino Linotype"/>
          <w:sz w:val="24"/>
        </w:rPr>
        <w:t xml:space="preserve"> procedure, data sources, </w:t>
      </w:r>
      <w:r w:rsidR="00E547A1">
        <w:rPr>
          <w:rFonts w:ascii="Palatino Linotype" w:hAnsi="Palatino Linotype"/>
          <w:sz w:val="24"/>
        </w:rPr>
        <w:t>frequency of data generation by indicator,</w:t>
      </w:r>
      <w:r w:rsidRPr="0020656A">
        <w:rPr>
          <w:rFonts w:ascii="Palatino Linotype" w:hAnsi="Palatino Linotype"/>
          <w:sz w:val="24"/>
        </w:rPr>
        <w:t xml:space="preserve"> </w:t>
      </w:r>
      <w:r w:rsidR="00E547A1">
        <w:rPr>
          <w:rFonts w:ascii="Palatino Linotype" w:hAnsi="Palatino Linotype"/>
          <w:sz w:val="24"/>
        </w:rPr>
        <w:t>d</w:t>
      </w:r>
      <w:r w:rsidRPr="0020656A">
        <w:rPr>
          <w:rFonts w:ascii="Palatino Linotype" w:hAnsi="Palatino Linotype"/>
          <w:sz w:val="24"/>
        </w:rPr>
        <w:t>eadline</w:t>
      </w:r>
      <w:r>
        <w:rPr>
          <w:rFonts w:ascii="Palatino Linotype" w:hAnsi="Palatino Linotype"/>
          <w:sz w:val="24"/>
        </w:rPr>
        <w:t>s</w:t>
      </w:r>
      <w:r w:rsidRPr="0020656A">
        <w:rPr>
          <w:rFonts w:ascii="Palatino Linotype" w:hAnsi="Palatino Linotype"/>
          <w:sz w:val="24"/>
        </w:rPr>
        <w:t xml:space="preserve"> for </w:t>
      </w:r>
      <w:r w:rsidR="00E547A1">
        <w:rPr>
          <w:rFonts w:ascii="Palatino Linotype" w:hAnsi="Palatino Linotype"/>
          <w:sz w:val="24"/>
        </w:rPr>
        <w:t>each of 2</w:t>
      </w:r>
      <w:r w:rsidRPr="0020656A">
        <w:rPr>
          <w:rFonts w:ascii="Palatino Linotype" w:hAnsi="Palatino Linotype"/>
          <w:sz w:val="24"/>
        </w:rPr>
        <w:t>47 indicators</w:t>
      </w:r>
      <w:r w:rsidR="00E547A1">
        <w:rPr>
          <w:rFonts w:ascii="Palatino Linotype" w:hAnsi="Palatino Linotype"/>
          <w:sz w:val="24"/>
        </w:rPr>
        <w:t xml:space="preserve"> with rounds</w:t>
      </w:r>
      <w:r w:rsidRPr="0020656A">
        <w:rPr>
          <w:rFonts w:ascii="Palatino Linotype" w:hAnsi="Palatino Linotype"/>
          <w:sz w:val="24"/>
        </w:rPr>
        <w:t xml:space="preserve">, so that organizations in global arena as well as country context will get a detailed oriented plan outlining actions needed to reach multiple goals. To be specific, by following this recapitulation, all data providers </w:t>
      </w:r>
      <w:r w:rsidR="00E547A1">
        <w:rPr>
          <w:rFonts w:ascii="Palatino Linotype" w:hAnsi="Palatino Linotype"/>
          <w:sz w:val="24"/>
        </w:rPr>
        <w:t xml:space="preserve">and users </w:t>
      </w:r>
      <w:r w:rsidRPr="0020656A">
        <w:rPr>
          <w:rFonts w:ascii="Palatino Linotype" w:hAnsi="Palatino Linotype"/>
          <w:sz w:val="24"/>
        </w:rPr>
        <w:t xml:space="preserve">will be able to monitor &amp; evaluate </w:t>
      </w:r>
      <w:r w:rsidR="00E547A1">
        <w:rPr>
          <w:rFonts w:ascii="Palatino Linotype" w:hAnsi="Palatino Linotype"/>
          <w:sz w:val="24"/>
        </w:rPr>
        <w:t xml:space="preserve">the development progress in light of </w:t>
      </w:r>
      <w:r w:rsidRPr="0020656A">
        <w:rPr>
          <w:rFonts w:ascii="Palatino Linotype" w:hAnsi="Palatino Linotype"/>
          <w:sz w:val="24"/>
        </w:rPr>
        <w:t>data disaggregation and generation for SDGs</w:t>
      </w:r>
      <w:r w:rsidR="00E547A1">
        <w:rPr>
          <w:rFonts w:ascii="Palatino Linotype" w:hAnsi="Palatino Linotype"/>
          <w:sz w:val="24"/>
        </w:rPr>
        <w:t xml:space="preserve"> to ensure Leave No One Behind</w:t>
      </w:r>
      <w:r w:rsidRPr="0020656A">
        <w:rPr>
          <w:rFonts w:ascii="Palatino Linotype" w:hAnsi="Palatino Linotype"/>
          <w:sz w:val="24"/>
        </w:rPr>
        <w:t xml:space="preserve">. </w:t>
      </w:r>
    </w:p>
    <w:p w14:paraId="78950E72" w14:textId="4B4C2948" w:rsidR="001B437B" w:rsidRDefault="001B437B" w:rsidP="001B437B">
      <w:pPr>
        <w:jc w:val="both"/>
        <w:rPr>
          <w:rFonts w:ascii="Palatino Linotype" w:hAnsi="Palatino Linotype"/>
          <w:sz w:val="24"/>
        </w:rPr>
      </w:pPr>
      <w:r w:rsidRPr="0020656A">
        <w:rPr>
          <w:rFonts w:ascii="Palatino Linotype" w:hAnsi="Palatino Linotype"/>
          <w:sz w:val="24"/>
        </w:rPr>
        <w:lastRenderedPageBreak/>
        <w:t xml:space="preserve">Moreover, this unprecedented publication will deliver ample room </w:t>
      </w:r>
      <w:r w:rsidR="00B42609">
        <w:rPr>
          <w:rFonts w:ascii="Palatino Linotype" w:hAnsi="Palatino Linotype"/>
          <w:sz w:val="24"/>
        </w:rPr>
        <w:t xml:space="preserve">for the National Statistical System </w:t>
      </w:r>
      <w:r w:rsidRPr="0020656A">
        <w:rPr>
          <w:rFonts w:ascii="Palatino Linotype" w:hAnsi="Palatino Linotype"/>
          <w:sz w:val="24"/>
        </w:rPr>
        <w:t xml:space="preserve">as a comprehensive checklist for the steps or tasks they need to complete </w:t>
      </w:r>
      <w:r w:rsidR="00E547A1">
        <w:rPr>
          <w:rFonts w:ascii="Palatino Linotype" w:hAnsi="Palatino Linotype"/>
          <w:sz w:val="24"/>
        </w:rPr>
        <w:t xml:space="preserve">for data generation </w:t>
      </w:r>
      <w:r w:rsidRPr="0020656A">
        <w:rPr>
          <w:rFonts w:ascii="Palatino Linotype" w:hAnsi="Palatino Linotype"/>
          <w:sz w:val="24"/>
        </w:rPr>
        <w:t xml:space="preserve">in order to achieve the SDGs. </w:t>
      </w:r>
    </w:p>
    <w:p w14:paraId="43D89715" w14:textId="77777777" w:rsidR="00B42609" w:rsidRPr="0020656A" w:rsidRDefault="00B42609" w:rsidP="001B437B">
      <w:pPr>
        <w:jc w:val="both"/>
        <w:rPr>
          <w:rFonts w:ascii="Palatino Linotype" w:hAnsi="Palatino Linotype"/>
          <w:sz w:val="24"/>
        </w:rPr>
      </w:pPr>
    </w:p>
    <w:p w14:paraId="09581A89" w14:textId="6728D7FE" w:rsidR="001B437B" w:rsidRDefault="001B437B" w:rsidP="001B437B">
      <w:pPr>
        <w:jc w:val="both"/>
        <w:rPr>
          <w:rFonts w:ascii="Palatino Linotype" w:hAnsi="Palatino Linotype"/>
          <w:sz w:val="24"/>
        </w:rPr>
      </w:pPr>
      <w:r w:rsidRPr="0020656A">
        <w:rPr>
          <w:rFonts w:ascii="Palatino Linotype" w:hAnsi="Palatino Linotype"/>
          <w:sz w:val="24"/>
        </w:rPr>
        <w:t xml:space="preserve">In this backdrop, I take this room to thank Secretary, Statistics and Informatics division and Director General, Bangladesh Bureau of Statistics for their sedulous work in conducting the data generation, outline, processing and preparation of this concise report. A plethora of extol is also due to the officials of the </w:t>
      </w:r>
      <w:r w:rsidR="00E547A1">
        <w:rPr>
          <w:rFonts w:ascii="Palatino Linotype" w:hAnsi="Palatino Linotype"/>
          <w:sz w:val="24"/>
        </w:rPr>
        <w:t>SDG Cell, BBS</w:t>
      </w:r>
      <w:r w:rsidRPr="0020656A">
        <w:rPr>
          <w:rFonts w:ascii="Palatino Linotype" w:hAnsi="Palatino Linotype"/>
          <w:sz w:val="24"/>
        </w:rPr>
        <w:t xml:space="preserve"> for </w:t>
      </w:r>
      <w:r w:rsidR="00E547A1">
        <w:rPr>
          <w:rFonts w:ascii="Palatino Linotype" w:hAnsi="Palatino Linotype"/>
          <w:sz w:val="24"/>
        </w:rPr>
        <w:t>their relentless efforts</w:t>
      </w:r>
      <w:r w:rsidRPr="0020656A">
        <w:rPr>
          <w:rFonts w:ascii="Palatino Linotype" w:hAnsi="Palatino Linotype"/>
          <w:sz w:val="24"/>
        </w:rPr>
        <w:t xml:space="preserve">. </w:t>
      </w:r>
    </w:p>
    <w:p w14:paraId="24F32389" w14:textId="77777777" w:rsidR="00B42609" w:rsidRPr="0020656A" w:rsidRDefault="00B42609" w:rsidP="001B437B">
      <w:pPr>
        <w:jc w:val="both"/>
        <w:rPr>
          <w:rFonts w:ascii="Palatino Linotype" w:hAnsi="Palatino Linotype"/>
          <w:sz w:val="24"/>
        </w:rPr>
      </w:pPr>
    </w:p>
    <w:p w14:paraId="08B8E942" w14:textId="38D92F7E" w:rsidR="00B42609" w:rsidRDefault="001B437B" w:rsidP="001B437B">
      <w:pPr>
        <w:jc w:val="both"/>
        <w:rPr>
          <w:rFonts w:ascii="Palatino Linotype" w:hAnsi="Palatino Linotype"/>
          <w:sz w:val="24"/>
        </w:rPr>
      </w:pPr>
      <w:r w:rsidRPr="0020656A">
        <w:rPr>
          <w:rFonts w:ascii="Palatino Linotype" w:hAnsi="Palatino Linotype"/>
          <w:sz w:val="24"/>
        </w:rPr>
        <w:t>Hopefully, this publication will work as impetus to the planners, policy makers, researchers, stakeholders and all of the data providers for proper data generation and monitoring &amp; evaluation planning of the country.</w:t>
      </w:r>
    </w:p>
    <w:p w14:paraId="207A7F2D" w14:textId="166D9713" w:rsidR="002E23A1" w:rsidRDefault="002E23A1" w:rsidP="001B437B">
      <w:pPr>
        <w:jc w:val="both"/>
        <w:rPr>
          <w:rFonts w:ascii="Palatino Linotype" w:hAnsi="Palatino Linotype"/>
          <w:sz w:val="24"/>
        </w:rPr>
      </w:pPr>
    </w:p>
    <w:p w14:paraId="05497073" w14:textId="6D6B9642" w:rsidR="002E23A1" w:rsidRDefault="002E23A1" w:rsidP="001B437B">
      <w:pPr>
        <w:jc w:val="both"/>
        <w:rPr>
          <w:rFonts w:ascii="Palatino Linotype" w:hAnsi="Palatino Linotype"/>
          <w:sz w:val="24"/>
        </w:rPr>
      </w:pPr>
    </w:p>
    <w:p w14:paraId="1964F12F" w14:textId="77777777" w:rsidR="002E23A1" w:rsidRDefault="002E23A1" w:rsidP="002E23A1">
      <w:pPr>
        <w:tabs>
          <w:tab w:val="right" w:pos="9000"/>
        </w:tabs>
        <w:rPr>
          <w:rFonts w:ascii="Palatino Linotype" w:hAnsi="Palatino Linotype"/>
          <w:sz w:val="24"/>
        </w:rPr>
      </w:pPr>
      <w:r w:rsidRPr="0020656A">
        <w:rPr>
          <w:rFonts w:ascii="Palatino Linotype" w:hAnsi="Palatino Linotype"/>
          <w:sz w:val="24"/>
        </w:rPr>
        <w:t>Dhaka, June 2020</w:t>
      </w:r>
      <w:r w:rsidRPr="0020656A">
        <w:rPr>
          <w:rFonts w:ascii="Palatino Linotype" w:hAnsi="Palatino Linotype"/>
          <w:sz w:val="24"/>
        </w:rPr>
        <w:tab/>
      </w:r>
      <w:r>
        <w:rPr>
          <w:rFonts w:ascii="Palatino Linotype" w:hAnsi="Palatino Linotype"/>
          <w:sz w:val="24"/>
        </w:rPr>
        <w:t xml:space="preserve">                                                  </w:t>
      </w:r>
      <w:r w:rsidRPr="00945EA6">
        <w:rPr>
          <w:rFonts w:ascii="Palatino Linotype" w:hAnsi="Palatino Linotype"/>
          <w:b/>
          <w:bCs/>
          <w:sz w:val="24"/>
        </w:rPr>
        <w:t>M. A. Mannan</w:t>
      </w:r>
      <w:r>
        <w:rPr>
          <w:rFonts w:ascii="Palatino Linotype" w:hAnsi="Palatino Linotype"/>
          <w:sz w:val="24"/>
        </w:rPr>
        <w:t>,</w:t>
      </w:r>
      <w:r w:rsidRPr="0020656A">
        <w:rPr>
          <w:rFonts w:ascii="Palatino Linotype" w:hAnsi="Palatino Linotype"/>
          <w:sz w:val="24"/>
        </w:rPr>
        <w:t xml:space="preserve"> </w:t>
      </w:r>
      <w:r w:rsidRPr="00945EA6">
        <w:rPr>
          <w:rFonts w:ascii="Palatino Linotype" w:hAnsi="Palatino Linotype"/>
          <w:i/>
          <w:iCs/>
          <w:sz w:val="22"/>
          <w:szCs w:val="22"/>
        </w:rPr>
        <w:t>MP</w:t>
      </w:r>
    </w:p>
    <w:p w14:paraId="537061CE" w14:textId="77777777" w:rsidR="002E23A1" w:rsidRDefault="002E23A1" w:rsidP="001B437B">
      <w:pPr>
        <w:jc w:val="both"/>
        <w:rPr>
          <w:rFonts w:ascii="Palatino Linotype" w:hAnsi="Palatino Linotype"/>
          <w:sz w:val="24"/>
        </w:rPr>
      </w:pPr>
    </w:p>
    <w:p w14:paraId="6D2943EF" w14:textId="77777777" w:rsidR="00484B5E" w:rsidRDefault="00484B5E" w:rsidP="001B437B">
      <w:pPr>
        <w:rPr>
          <w:rFonts w:ascii="Palatino Linotype" w:hAnsi="Palatino Linotype"/>
          <w:sz w:val="24"/>
        </w:rPr>
        <w:sectPr w:rsidR="00484B5E" w:rsidSect="00D46636">
          <w:type w:val="continuous"/>
          <w:pgSz w:w="20160" w:h="12240" w:orient="landscape" w:code="5"/>
          <w:pgMar w:top="720" w:right="720" w:bottom="720" w:left="720" w:header="720" w:footer="720" w:gutter="0"/>
          <w:cols w:num="2" w:space="720"/>
          <w:docGrid w:linePitch="360"/>
        </w:sectPr>
      </w:pPr>
    </w:p>
    <w:p w14:paraId="39F5A5AE" w14:textId="77777777" w:rsidR="001B437B" w:rsidRDefault="001B437B" w:rsidP="001B437B">
      <w:pPr>
        <w:rPr>
          <w:rFonts w:ascii="Palatino Linotype" w:hAnsi="Palatino Linotype"/>
          <w:sz w:val="24"/>
        </w:rPr>
      </w:pPr>
    </w:p>
    <w:p w14:paraId="1FE1E851" w14:textId="77777777" w:rsidR="001B437B" w:rsidRDefault="001B437B" w:rsidP="001B437B">
      <w:pPr>
        <w:rPr>
          <w:rFonts w:ascii="Palatino Linotype" w:hAnsi="Palatino Linotype"/>
          <w:sz w:val="24"/>
        </w:rPr>
      </w:pPr>
    </w:p>
    <w:p w14:paraId="389A38AD" w14:textId="77777777" w:rsidR="001B437B" w:rsidRDefault="001B437B" w:rsidP="001B437B">
      <w:pPr>
        <w:rPr>
          <w:rFonts w:ascii="Palatino Linotype" w:hAnsi="Palatino Linotype"/>
          <w:sz w:val="24"/>
        </w:rPr>
      </w:pPr>
    </w:p>
    <w:p w14:paraId="0F7D291B" w14:textId="77777777" w:rsidR="001B437B" w:rsidRDefault="001B437B" w:rsidP="001B437B">
      <w:pPr>
        <w:rPr>
          <w:rFonts w:ascii="Palatino Linotype" w:hAnsi="Palatino Linotype"/>
          <w:sz w:val="24"/>
        </w:rPr>
      </w:pPr>
    </w:p>
    <w:p w14:paraId="40828159" w14:textId="678EC221" w:rsidR="001B437B" w:rsidRDefault="00C40F4F" w:rsidP="001B437B">
      <w:pPr>
        <w:rPr>
          <w:rFonts w:ascii="Palatino Linotype" w:hAnsi="Palatino Linotype"/>
          <w:sz w:val="24"/>
        </w:rPr>
      </w:pPr>
      <w:r w:rsidRPr="008B182C">
        <w:rPr>
          <w:rFonts w:ascii="Palatino Linotype" w:hAnsi="Palatino Linotype"/>
          <w:noProof/>
          <w:color w:val="000000" w:themeColor="text1"/>
          <w:lang w:bidi="bn-BD"/>
        </w:rPr>
        <mc:AlternateContent>
          <mc:Choice Requires="wps">
            <w:drawing>
              <wp:anchor distT="0" distB="0" distL="114300" distR="114300" simplePos="0" relativeHeight="251638272" behindDoc="0" locked="0" layoutInCell="1" allowOverlap="1" wp14:anchorId="2B60B87C" wp14:editId="075204FA">
                <wp:simplePos x="0" y="0"/>
                <wp:positionH relativeFrom="margin">
                  <wp:align>center</wp:align>
                </wp:positionH>
                <wp:positionV relativeFrom="paragraph">
                  <wp:posOffset>8255</wp:posOffset>
                </wp:positionV>
                <wp:extent cx="2108200" cy="431800"/>
                <wp:effectExtent l="0" t="0" r="0" b="0"/>
                <wp:wrapNone/>
                <wp:docPr id="4938" name="Rectangle: Rounded Corners 37"/>
                <wp:cNvGraphicFramePr/>
                <a:graphic xmlns:a="http://schemas.openxmlformats.org/drawingml/2006/main">
                  <a:graphicData uri="http://schemas.microsoft.com/office/word/2010/wordprocessingShape">
                    <wps:wsp>
                      <wps:cNvSpPr/>
                      <wps:spPr>
                        <a:xfrm>
                          <a:off x="0" y="0"/>
                          <a:ext cx="2108200" cy="431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AC61A" w14:textId="77777777" w:rsidR="00D20077" w:rsidRPr="00E33178" w:rsidRDefault="00D20077" w:rsidP="001B437B">
                            <w:pPr>
                              <w:jc w:val="center"/>
                              <w:rPr>
                                <w:rFonts w:ascii="Palatino Linotype" w:hAnsi="Palatino Linotype"/>
                                <w:b/>
                                <w:bCs/>
                                <w:color w:val="000000" w:themeColor="text1"/>
                                <w:sz w:val="32"/>
                                <w:szCs w:val="32"/>
                              </w:rPr>
                            </w:pPr>
                            <w:r w:rsidRPr="00E33178">
                              <w:rPr>
                                <w:rFonts w:ascii="Palatino Linotype" w:hAnsi="Palatino Linotype"/>
                                <w:b/>
                                <w:bCs/>
                                <w:color w:val="000000" w:themeColor="text1"/>
                                <w:sz w:val="32"/>
                                <w:szCs w:val="32"/>
                              </w:rP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B60B87C" id="Rectangle: Rounded Corners 37" o:spid="_x0000_s1027" style="position:absolute;margin-left:0;margin-top:.65pt;width:166pt;height:34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" filled="f" stroked="f" strokeweight="2pt">
                <v:textbox>
                  <w:txbxContent>
                    <w:p w14:paraId="4CFAC61A" w14:textId="77777777" w:rsidR="00D20077" w:rsidRPr="00E33178" w:rsidRDefault="00D20077" w:rsidP="001B437B">
                      <w:pPr>
                        <w:jc w:val="center"/>
                        <w:rPr>
                          <w:rFonts w:ascii="Palatino Linotype" w:hAnsi="Palatino Linotype"/>
                          <w:b/>
                          <w:bCs/>
                          <w:color w:val="000000" w:themeColor="text1"/>
                          <w:sz w:val="32"/>
                          <w:szCs w:val="32"/>
                        </w:rPr>
                      </w:pPr>
                      <w:r w:rsidRPr="00E33178">
                        <w:rPr>
                          <w:rFonts w:ascii="Palatino Linotype" w:hAnsi="Palatino Linotype"/>
                          <w:b/>
                          <w:bCs/>
                          <w:color w:val="000000" w:themeColor="text1"/>
                          <w:sz w:val="32"/>
                          <w:szCs w:val="32"/>
                        </w:rPr>
                        <w:t>Message</w:t>
                      </w:r>
                    </w:p>
                  </w:txbxContent>
                </v:textbox>
                <w10:wrap anchorx="margin"/>
              </v:roundrect>
            </w:pict>
          </mc:Fallback>
        </mc:AlternateContent>
      </w:r>
    </w:p>
    <w:p w14:paraId="69A8FCC2" w14:textId="6ABA4766" w:rsidR="001B437B" w:rsidRDefault="00F15399" w:rsidP="001B437B">
      <w:pPr>
        <w:rPr>
          <w:rFonts w:ascii="Palatino Linotype" w:hAnsi="Palatino Linotype"/>
          <w:sz w:val="24"/>
        </w:rPr>
      </w:pPr>
      <w:r w:rsidRPr="008B182C">
        <w:rPr>
          <w:rFonts w:ascii="Palatino Linotype" w:hAnsi="Palatino Linotype" w:cs="Times New Roman"/>
          <w:b/>
          <w:bCs/>
          <w:noProof/>
          <w:color w:val="000000" w:themeColor="text1"/>
          <w:sz w:val="24"/>
          <w:lang w:bidi="bn-BD"/>
        </w:rPr>
        <w:drawing>
          <wp:anchor distT="0" distB="0" distL="114300" distR="114300" simplePos="0" relativeHeight="251742720" behindDoc="1" locked="0" layoutInCell="1" allowOverlap="1" wp14:anchorId="03BAC11A" wp14:editId="3A817DD8">
            <wp:simplePos x="0" y="0"/>
            <wp:positionH relativeFrom="margin">
              <wp:align>right</wp:align>
            </wp:positionH>
            <wp:positionV relativeFrom="paragraph">
              <wp:posOffset>63804</wp:posOffset>
            </wp:positionV>
            <wp:extent cx="624205" cy="640080"/>
            <wp:effectExtent l="0" t="0" r="4445" b="7620"/>
            <wp:wrapTight wrapText="bothSides">
              <wp:wrapPolygon edited="0">
                <wp:start x="6592" y="0"/>
                <wp:lineTo x="0" y="3214"/>
                <wp:lineTo x="0" y="16071"/>
                <wp:lineTo x="4614" y="20571"/>
                <wp:lineTo x="6592" y="21214"/>
                <wp:lineTo x="14503" y="21214"/>
                <wp:lineTo x="16480" y="20571"/>
                <wp:lineTo x="21095" y="16071"/>
                <wp:lineTo x="21095" y="3214"/>
                <wp:lineTo x="14503" y="0"/>
                <wp:lineTo x="6592"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205" cy="640080"/>
                    </a:xfrm>
                    <a:prstGeom prst="rect">
                      <a:avLst/>
                    </a:prstGeom>
                  </pic:spPr>
                </pic:pic>
              </a:graphicData>
            </a:graphic>
            <wp14:sizeRelH relativeFrom="margin">
              <wp14:pctWidth>0</wp14:pctWidth>
            </wp14:sizeRelH>
          </wp:anchor>
        </w:drawing>
      </w:r>
    </w:p>
    <w:p w14:paraId="3B4CFEAF" w14:textId="52AA9E29" w:rsidR="001B437B" w:rsidRPr="008B182C" w:rsidRDefault="001B437B" w:rsidP="001B437B">
      <w:pPr>
        <w:pStyle w:val="NoSpacing"/>
        <w:jc w:val="both"/>
        <w:rPr>
          <w:rFonts w:ascii="Palatino Linotype" w:hAnsi="Palatino Linotype" w:cs="Times New Roman"/>
          <w:b/>
          <w:bCs/>
          <w:color w:val="000000" w:themeColor="text1"/>
          <w:sz w:val="24"/>
        </w:rPr>
      </w:pPr>
      <w:r>
        <w:rPr>
          <w:rFonts w:ascii="Palatino Linotype" w:hAnsi="Palatino Linotype" w:cs="Times New Roman"/>
          <w:b/>
          <w:bCs/>
          <w:noProof/>
          <w:color w:val="000000" w:themeColor="text1"/>
          <w:sz w:val="24"/>
          <w:lang w:bidi="bn-BD"/>
        </w:rPr>
        <w:drawing>
          <wp:anchor distT="0" distB="0" distL="114300" distR="114300" simplePos="0" relativeHeight="251640320" behindDoc="1" locked="0" layoutInCell="1" allowOverlap="1" wp14:anchorId="72458F55" wp14:editId="33405934">
            <wp:simplePos x="0" y="0"/>
            <wp:positionH relativeFrom="column">
              <wp:posOffset>70733</wp:posOffset>
            </wp:positionH>
            <wp:positionV relativeFrom="paragraph">
              <wp:posOffset>19685</wp:posOffset>
            </wp:positionV>
            <wp:extent cx="1104108" cy="1390015"/>
            <wp:effectExtent l="19050" t="19050" r="20320" b="19685"/>
            <wp:wrapNone/>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04108" cy="1390015"/>
                    </a:xfrm>
                    <a:prstGeom prst="rect">
                      <a:avLst/>
                    </a:prstGeom>
                    <a:ln w="12700" cap="sq" cmpd="thickThin">
                      <a:solidFill>
                        <a:schemeClr val="accent5">
                          <a:lumMod val="75000"/>
                        </a:schemeClr>
                      </a:solidFill>
                      <a:prstDash val="solid"/>
                      <a:miter lim="800000"/>
                    </a:ln>
                    <a:effectLst/>
                  </pic:spPr>
                </pic:pic>
              </a:graphicData>
            </a:graphic>
            <wp14:sizeRelH relativeFrom="page">
              <wp14:pctWidth>0</wp14:pctWidth>
            </wp14:sizeRelH>
            <wp14:sizeRelV relativeFrom="page">
              <wp14:pctHeight>0</wp14:pctHeight>
            </wp14:sizeRelV>
          </wp:anchor>
        </w:drawing>
      </w:r>
    </w:p>
    <w:p w14:paraId="13D35525" w14:textId="35B12007" w:rsidR="001B437B" w:rsidRPr="008B182C" w:rsidRDefault="001B437B" w:rsidP="001B437B">
      <w:pPr>
        <w:pStyle w:val="NoSpacing"/>
        <w:jc w:val="center"/>
        <w:rPr>
          <w:rFonts w:ascii="Palatino Linotype" w:hAnsi="Palatino Linotype" w:cs="Times New Roman"/>
          <w:b/>
          <w:bCs/>
          <w:color w:val="000000" w:themeColor="text1"/>
          <w:sz w:val="24"/>
        </w:rPr>
      </w:pPr>
    </w:p>
    <w:p w14:paraId="3F959BC6" w14:textId="77777777" w:rsidR="001B437B" w:rsidRDefault="001B437B" w:rsidP="001B437B">
      <w:pPr>
        <w:pStyle w:val="NoSpacing"/>
        <w:ind w:left="8640" w:firstLine="720"/>
        <w:jc w:val="center"/>
        <w:rPr>
          <w:rFonts w:ascii="Palatino Linotype" w:hAnsi="Palatino Linotype" w:cs="Times New Roman"/>
          <w:b/>
          <w:bCs/>
          <w:color w:val="000000" w:themeColor="text1"/>
          <w:sz w:val="24"/>
        </w:rPr>
      </w:pPr>
    </w:p>
    <w:p w14:paraId="2D76308D" w14:textId="77777777" w:rsidR="001B437B" w:rsidRPr="008B182C" w:rsidRDefault="001B437B" w:rsidP="00F15399">
      <w:pPr>
        <w:pStyle w:val="NoSpacing"/>
        <w:ind w:left="8640" w:firstLine="720"/>
        <w:jc w:val="right"/>
        <w:rPr>
          <w:rFonts w:ascii="Palatino Linotype" w:hAnsi="Palatino Linotype" w:cs="Times New Roman"/>
          <w:b/>
          <w:bCs/>
          <w:color w:val="000000" w:themeColor="text1"/>
          <w:sz w:val="24"/>
        </w:rPr>
      </w:pPr>
      <w:r w:rsidRPr="008B182C">
        <w:rPr>
          <w:rFonts w:ascii="Palatino Linotype" w:hAnsi="Palatino Linotype" w:cs="Times New Roman"/>
          <w:b/>
          <w:bCs/>
          <w:color w:val="000000" w:themeColor="text1"/>
          <w:sz w:val="24"/>
        </w:rPr>
        <w:t>Zuena Aziz</w:t>
      </w:r>
    </w:p>
    <w:p w14:paraId="2A316F56" w14:textId="77777777" w:rsidR="001B437B" w:rsidRPr="008B182C" w:rsidRDefault="001B437B" w:rsidP="00F15399">
      <w:pPr>
        <w:pStyle w:val="NoSpacing"/>
        <w:ind w:left="8640" w:firstLine="720"/>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Principal Coordinator (SDG Affairs)</w:t>
      </w:r>
    </w:p>
    <w:p w14:paraId="4588EF1D" w14:textId="77777777" w:rsidR="001B437B" w:rsidRPr="008B182C" w:rsidRDefault="001B437B" w:rsidP="00F15399">
      <w:pPr>
        <w:pStyle w:val="NoSpacing"/>
        <w:ind w:left="8640" w:firstLine="720"/>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Prime Minister’s Office</w:t>
      </w:r>
    </w:p>
    <w:p w14:paraId="314A0035" w14:textId="2B50ADA8" w:rsidR="001B437B" w:rsidRPr="008B182C" w:rsidRDefault="001B437B" w:rsidP="00F15399">
      <w:pPr>
        <w:pStyle w:val="NoSpacing"/>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 xml:space="preserve">                           </w:t>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sidRPr="008B182C">
        <w:rPr>
          <w:rFonts w:ascii="Palatino Linotype" w:hAnsi="Palatino Linotype" w:cs="Times New Roman"/>
          <w:color w:val="000000" w:themeColor="text1"/>
          <w:sz w:val="24"/>
        </w:rPr>
        <w:t>Government of the People’s Republic of Bangladesh</w:t>
      </w:r>
    </w:p>
    <w:p w14:paraId="1EC23810" w14:textId="77777777" w:rsidR="001B437B" w:rsidRDefault="001B437B" w:rsidP="001B437B">
      <w:pPr>
        <w:rPr>
          <w:rFonts w:ascii="Palatino Linotype" w:hAnsi="Palatino Linotype"/>
          <w:sz w:val="24"/>
        </w:rPr>
      </w:pPr>
    </w:p>
    <w:p w14:paraId="12DE3F86" w14:textId="77777777" w:rsidR="00484B5E" w:rsidRDefault="00484B5E" w:rsidP="00B522B2">
      <w:pPr>
        <w:rPr>
          <w:rFonts w:ascii="Palatino Linotype" w:hAnsi="Palatino Linotype"/>
          <w:sz w:val="24"/>
        </w:rPr>
        <w:sectPr w:rsidR="00484B5E" w:rsidSect="00D46636">
          <w:type w:val="continuous"/>
          <w:pgSz w:w="20160" w:h="12240" w:orient="landscape" w:code="5"/>
          <w:pgMar w:top="720" w:right="720" w:bottom="720" w:left="720" w:header="720" w:footer="720" w:gutter="0"/>
          <w:cols w:space="720"/>
          <w:docGrid w:linePitch="360"/>
        </w:sectPr>
      </w:pPr>
    </w:p>
    <w:p w14:paraId="1BED6EBE" w14:textId="19223224" w:rsidR="001B437B" w:rsidRDefault="001B437B" w:rsidP="00484B5E">
      <w:pPr>
        <w:jc w:val="both"/>
        <w:rPr>
          <w:rFonts w:ascii="Palatino Linotype" w:hAnsi="Palatino Linotype"/>
          <w:sz w:val="24"/>
        </w:rPr>
      </w:pPr>
      <w:r>
        <w:rPr>
          <w:rFonts w:ascii="Palatino Linotype" w:hAnsi="Palatino Linotype"/>
          <w:sz w:val="24"/>
        </w:rPr>
        <w:lastRenderedPageBreak/>
        <w:t xml:space="preserve">I am highly delighted to learn that Bangladesh’s National Statistical Office (NSO), Bangladesh Bureau of Statistics (BBS) is going to publish </w:t>
      </w:r>
      <w:r w:rsidR="00E547A1">
        <w:rPr>
          <w:rFonts w:ascii="Palatino Linotype" w:hAnsi="Palatino Linotype"/>
          <w:sz w:val="24"/>
        </w:rPr>
        <w:t>an</w:t>
      </w:r>
      <w:r>
        <w:rPr>
          <w:rFonts w:ascii="Palatino Linotype" w:hAnsi="Palatino Linotype"/>
          <w:sz w:val="24"/>
        </w:rPr>
        <w:t xml:space="preserve"> incredible report “</w:t>
      </w:r>
      <w:r w:rsidR="00E547A1" w:rsidRPr="00E547A1">
        <w:rPr>
          <w:rFonts w:ascii="Palatino Linotype" w:hAnsi="Palatino Linotype"/>
          <w:sz w:val="24"/>
        </w:rPr>
        <w:t>Action Plan and Methodological Guidelines towards Data Generation and Disaggregation for Monitoring and Evaluation of SDGs</w:t>
      </w:r>
      <w:r>
        <w:rPr>
          <w:rFonts w:ascii="Palatino Linotype" w:hAnsi="Palatino Linotype"/>
          <w:sz w:val="24"/>
        </w:rPr>
        <w:t xml:space="preserve">”. By following this requisite manual, all </w:t>
      </w:r>
      <w:r w:rsidRPr="0020656A">
        <w:rPr>
          <w:rFonts w:ascii="Palatino Linotype" w:hAnsi="Palatino Linotype"/>
          <w:sz w:val="24"/>
        </w:rPr>
        <w:t>organizations in global arena as well as country context will get a</w:t>
      </w:r>
      <w:r>
        <w:rPr>
          <w:rFonts w:ascii="Palatino Linotype" w:hAnsi="Palatino Linotype"/>
          <w:sz w:val="24"/>
        </w:rPr>
        <w:t xml:space="preserve"> good support to check data generation and disaggregation status for SDGs monitoring and evaluation. </w:t>
      </w:r>
    </w:p>
    <w:p w14:paraId="7EBE39F3" w14:textId="43AD40DC" w:rsidR="001B437B" w:rsidRDefault="001B437B" w:rsidP="001B437B">
      <w:pPr>
        <w:jc w:val="both"/>
        <w:rPr>
          <w:rFonts w:ascii="Palatino Linotype" w:hAnsi="Palatino Linotype"/>
          <w:sz w:val="24"/>
        </w:rPr>
      </w:pPr>
      <w:r>
        <w:rPr>
          <w:rFonts w:ascii="Palatino Linotype" w:hAnsi="Palatino Linotype"/>
          <w:sz w:val="24"/>
        </w:rPr>
        <w:t>To sate a comprehensive follow-up for the data generation and disaggregation of SDGs 247 indicators, this incredible publication will be employed as like as a chief impetus. Contemplating all these, I believe that, this action plan</w:t>
      </w:r>
      <w:r w:rsidR="00E547A1">
        <w:rPr>
          <w:rFonts w:ascii="Palatino Linotype" w:hAnsi="Palatino Linotype"/>
          <w:sz w:val="24"/>
        </w:rPr>
        <w:t xml:space="preserve"> and methodological guideline</w:t>
      </w:r>
      <w:r>
        <w:rPr>
          <w:rFonts w:ascii="Palatino Linotype" w:hAnsi="Palatino Linotype"/>
          <w:sz w:val="24"/>
        </w:rPr>
        <w:t xml:space="preserve"> will be used efficiently for monitoring </w:t>
      </w:r>
      <w:r w:rsidR="00E547A1">
        <w:rPr>
          <w:rFonts w:ascii="Palatino Linotype" w:hAnsi="Palatino Linotype"/>
          <w:sz w:val="24"/>
        </w:rPr>
        <w:t xml:space="preserve">the </w:t>
      </w:r>
      <w:r w:rsidR="00484B5E">
        <w:rPr>
          <w:rFonts w:ascii="Palatino Linotype" w:hAnsi="Palatino Linotype"/>
          <w:sz w:val="24"/>
        </w:rPr>
        <w:t>P</w:t>
      </w:r>
      <w:r>
        <w:rPr>
          <w:rFonts w:ascii="Palatino Linotype" w:hAnsi="Palatino Linotype"/>
          <w:sz w:val="24"/>
        </w:rPr>
        <w:t>rogress of data generation and disaggregation of the SDGs indicators in Bangladesh</w:t>
      </w:r>
      <w:r w:rsidR="00E547A1">
        <w:rPr>
          <w:rFonts w:ascii="Palatino Linotype" w:hAnsi="Palatino Linotype"/>
          <w:sz w:val="24"/>
        </w:rPr>
        <w:t>.</w:t>
      </w:r>
      <w:r>
        <w:rPr>
          <w:rFonts w:ascii="Palatino Linotype" w:hAnsi="Palatino Linotype"/>
          <w:sz w:val="24"/>
        </w:rPr>
        <w:t xml:space="preserve"> </w:t>
      </w:r>
    </w:p>
    <w:p w14:paraId="62C211B1" w14:textId="77777777" w:rsidR="001B437B" w:rsidRDefault="001B437B" w:rsidP="001B437B">
      <w:pPr>
        <w:jc w:val="both"/>
        <w:rPr>
          <w:rFonts w:ascii="Palatino Linotype" w:hAnsi="Palatino Linotype"/>
          <w:sz w:val="24"/>
        </w:rPr>
      </w:pPr>
      <w:r>
        <w:rPr>
          <w:rFonts w:ascii="Palatino Linotype" w:hAnsi="Palatino Linotype"/>
          <w:sz w:val="24"/>
        </w:rPr>
        <w:lastRenderedPageBreak/>
        <w:t xml:space="preserve">Therefore, I would like to thank the SID officials for their initiative and relentless support in preparing and finalizing of this report. In addition to this, I would feel Good to thanks to several Ministries/ Divisions/ Agencies for providing their exemplary effort to finalize this publication. At the end, I wish that Bangladesh will be a role model in data generation and disaggregation of the SDGs as it performed good in achieving the MDGs. </w:t>
      </w:r>
    </w:p>
    <w:p w14:paraId="71E0F1EF" w14:textId="77777777" w:rsidR="001B437B" w:rsidRDefault="001B437B" w:rsidP="001B437B">
      <w:pPr>
        <w:rPr>
          <w:rFonts w:ascii="Palatino Linotype" w:hAnsi="Palatino Linotype"/>
          <w:sz w:val="24"/>
        </w:rPr>
      </w:pPr>
    </w:p>
    <w:p w14:paraId="7EF83AC9" w14:textId="77777777" w:rsidR="00484B5E" w:rsidRDefault="00484B5E" w:rsidP="001B437B">
      <w:pPr>
        <w:rPr>
          <w:rFonts w:ascii="Palatino Linotype" w:hAnsi="Palatino Linotype"/>
          <w:sz w:val="24"/>
        </w:rPr>
      </w:pPr>
    </w:p>
    <w:p w14:paraId="0487A6FF" w14:textId="7FF4F280" w:rsidR="00484B5E" w:rsidRPr="008B182C" w:rsidRDefault="001B437B" w:rsidP="00945EA6">
      <w:pPr>
        <w:pStyle w:val="NoSpacing"/>
        <w:tabs>
          <w:tab w:val="right" w:pos="9000"/>
        </w:tabs>
        <w:jc w:val="both"/>
        <w:rPr>
          <w:rFonts w:ascii="Palatino Linotype" w:hAnsi="Palatino Linotype" w:cs="Times New Roman"/>
          <w:b/>
          <w:bCs/>
          <w:color w:val="000000" w:themeColor="text1"/>
          <w:sz w:val="24"/>
        </w:rPr>
      </w:pPr>
      <w:r>
        <w:rPr>
          <w:rFonts w:ascii="Palatino Linotype" w:hAnsi="Palatino Linotype"/>
          <w:sz w:val="24"/>
        </w:rPr>
        <w:t>Dhaka, June 2020</w:t>
      </w:r>
      <w:r w:rsidR="00945EA6">
        <w:rPr>
          <w:rFonts w:ascii="Palatino Linotype" w:hAnsi="Palatino Linotype"/>
          <w:sz w:val="24"/>
        </w:rPr>
        <w:tab/>
      </w:r>
      <w:r w:rsidR="00484B5E" w:rsidRPr="00945EA6">
        <w:rPr>
          <w:rFonts w:ascii="Palatino Linotype" w:hAnsi="Palatino Linotype"/>
          <w:b/>
          <w:sz w:val="24"/>
        </w:rPr>
        <w:t xml:space="preserve"> </w:t>
      </w:r>
      <w:r w:rsidR="00484B5E" w:rsidRPr="00945EA6">
        <w:rPr>
          <w:rFonts w:ascii="Palatino Linotype" w:hAnsi="Palatino Linotype" w:cs="Times New Roman"/>
          <w:b/>
          <w:color w:val="000000" w:themeColor="text1"/>
          <w:sz w:val="24"/>
        </w:rPr>
        <w:t>Zuena Aziz</w:t>
      </w:r>
    </w:p>
    <w:p w14:paraId="52A8D770" w14:textId="6B645E6F" w:rsidR="001B437B" w:rsidRPr="008B182C" w:rsidRDefault="001B437B" w:rsidP="001B437B">
      <w:pPr>
        <w:pStyle w:val="NoSpacing"/>
        <w:jc w:val="both"/>
        <w:rPr>
          <w:rFonts w:ascii="Palatino Linotype" w:hAnsi="Palatino Linotype" w:cs="Times New Roman"/>
          <w:b/>
          <w:bCs/>
          <w:color w:val="000000" w:themeColor="text1"/>
          <w:sz w:val="24"/>
        </w:rPr>
      </w:pP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t xml:space="preserve">                                                                            </w:t>
      </w:r>
      <w:r w:rsidR="00484B5E">
        <w:rPr>
          <w:rFonts w:ascii="Palatino Linotype" w:hAnsi="Palatino Linotype"/>
          <w:sz w:val="24"/>
        </w:rPr>
        <w:t xml:space="preserve">                       </w:t>
      </w:r>
    </w:p>
    <w:p w14:paraId="3A5A6772" w14:textId="77777777" w:rsidR="00484B5E" w:rsidRDefault="00484B5E" w:rsidP="001B437B">
      <w:pPr>
        <w:rPr>
          <w:rFonts w:ascii="Palatino Linotype" w:hAnsi="Palatino Linotype"/>
          <w:sz w:val="24"/>
        </w:rPr>
        <w:sectPr w:rsidR="00484B5E" w:rsidSect="00D46636">
          <w:type w:val="continuous"/>
          <w:pgSz w:w="20160" w:h="12240" w:orient="landscape" w:code="5"/>
          <w:pgMar w:top="720" w:right="720" w:bottom="720" w:left="720" w:header="720" w:footer="720" w:gutter="0"/>
          <w:cols w:num="2" w:space="720"/>
          <w:docGrid w:linePitch="360"/>
        </w:sectPr>
      </w:pPr>
    </w:p>
    <w:p w14:paraId="325DB596" w14:textId="7337AFA6" w:rsidR="001B437B" w:rsidRDefault="001B437B" w:rsidP="001B437B">
      <w:pPr>
        <w:rPr>
          <w:rFonts w:ascii="Palatino Linotype" w:hAnsi="Palatino Linotype"/>
          <w:sz w:val="24"/>
        </w:rPr>
      </w:pPr>
    </w:p>
    <w:p w14:paraId="500C036C" w14:textId="77777777" w:rsidR="001B437B" w:rsidRDefault="001B437B" w:rsidP="001B437B">
      <w:pPr>
        <w:rPr>
          <w:rFonts w:ascii="Palatino Linotype" w:hAnsi="Palatino Linotype"/>
          <w:sz w:val="24"/>
        </w:rPr>
      </w:pPr>
    </w:p>
    <w:p w14:paraId="77EC2E75" w14:textId="77777777" w:rsidR="001B437B" w:rsidRDefault="001B437B" w:rsidP="001B437B">
      <w:pPr>
        <w:rPr>
          <w:b/>
          <w:sz w:val="36"/>
        </w:rPr>
      </w:pPr>
    </w:p>
    <w:p w14:paraId="5DAE5CE7" w14:textId="77777777" w:rsidR="001B437B" w:rsidRDefault="001B437B" w:rsidP="001B437B">
      <w:pPr>
        <w:rPr>
          <w:b/>
          <w:sz w:val="36"/>
        </w:rPr>
      </w:pPr>
    </w:p>
    <w:p w14:paraId="052EE629" w14:textId="300B6841" w:rsidR="00E853B0" w:rsidRDefault="00E853B0">
      <w:pPr>
        <w:rPr>
          <w:b/>
          <w:sz w:val="36"/>
        </w:rPr>
      </w:pPr>
      <w:r>
        <w:rPr>
          <w:b/>
          <w:sz w:val="36"/>
        </w:rPr>
        <w:br w:type="page"/>
      </w:r>
    </w:p>
    <w:p w14:paraId="40AB4BD2" w14:textId="77777777" w:rsidR="001B437B" w:rsidRDefault="001B437B" w:rsidP="001B437B">
      <w:pPr>
        <w:rPr>
          <w:b/>
          <w:sz w:val="36"/>
        </w:rPr>
      </w:pPr>
    </w:p>
    <w:p w14:paraId="73405702" w14:textId="5FB3D8E8" w:rsidR="001B437B" w:rsidRDefault="00225240" w:rsidP="001B437B">
      <w:pPr>
        <w:rPr>
          <w:b/>
          <w:sz w:val="36"/>
        </w:rPr>
      </w:pPr>
      <w:r>
        <w:rPr>
          <w:rFonts w:ascii="Palatino Linotype" w:hAnsi="Palatino Linotype" w:cs="Times New Roman"/>
          <w:b/>
          <w:bCs/>
          <w:noProof/>
          <w:color w:val="000000" w:themeColor="text1"/>
          <w:sz w:val="24"/>
          <w:lang w:bidi="bn-BD"/>
        </w:rPr>
        <w:drawing>
          <wp:anchor distT="0" distB="0" distL="114300" distR="114300" simplePos="0" relativeHeight="251653632" behindDoc="1" locked="0" layoutInCell="1" allowOverlap="1" wp14:anchorId="7E7A50EC" wp14:editId="47B598C3">
            <wp:simplePos x="0" y="0"/>
            <wp:positionH relativeFrom="column">
              <wp:posOffset>30977</wp:posOffset>
            </wp:positionH>
            <wp:positionV relativeFrom="paragraph">
              <wp:posOffset>88155</wp:posOffset>
            </wp:positionV>
            <wp:extent cx="1437184" cy="1790619"/>
            <wp:effectExtent l="19050" t="19050" r="10795" b="19685"/>
            <wp:wrapNone/>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Scretarty BBS.png"/>
                    <pic:cNvPicPr/>
                  </pic:nvPicPr>
                  <pic:blipFill rotWithShape="1">
                    <a:blip r:embed="rId16" cstate="print">
                      <a:extLst>
                        <a:ext uri="{28A0092B-C50C-407E-A947-70E740481C1C}">
                          <a14:useLocalDpi xmlns:a14="http://schemas.microsoft.com/office/drawing/2010/main" val="0"/>
                        </a:ext>
                      </a:extLst>
                    </a:blip>
                    <a:srcRect r="3313"/>
                    <a:stretch/>
                  </pic:blipFill>
                  <pic:spPr bwMode="auto">
                    <a:xfrm>
                      <a:off x="0" y="0"/>
                      <a:ext cx="1441220" cy="1795648"/>
                    </a:xfrm>
                    <a:prstGeom prst="rect">
                      <a:avLst/>
                    </a:prstGeom>
                    <a:ln w="12700" cap="sq" cmpd="thickThin" algn="ctr">
                      <a:solidFill>
                        <a:srgbClr val="4BACC6">
                          <a:lumMod val="75000"/>
                        </a:srgbClr>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399" w:rsidRPr="008B182C">
        <w:rPr>
          <w:rFonts w:ascii="Palatino Linotype" w:hAnsi="Palatino Linotype" w:cs="Times New Roman"/>
          <w:b/>
          <w:bCs/>
          <w:noProof/>
          <w:color w:val="000000" w:themeColor="text1"/>
          <w:sz w:val="24"/>
          <w:lang w:bidi="bn-BD"/>
        </w:rPr>
        <w:drawing>
          <wp:anchor distT="0" distB="0" distL="114300" distR="114300" simplePos="0" relativeHeight="251744768" behindDoc="1" locked="0" layoutInCell="1" allowOverlap="1" wp14:anchorId="331B160B" wp14:editId="5730E182">
            <wp:simplePos x="0" y="0"/>
            <wp:positionH relativeFrom="margin">
              <wp:align>right</wp:align>
            </wp:positionH>
            <wp:positionV relativeFrom="paragraph">
              <wp:posOffset>203780</wp:posOffset>
            </wp:positionV>
            <wp:extent cx="624205" cy="640080"/>
            <wp:effectExtent l="0" t="0" r="4445" b="7620"/>
            <wp:wrapTight wrapText="bothSides">
              <wp:wrapPolygon edited="0">
                <wp:start x="6592" y="0"/>
                <wp:lineTo x="0" y="3214"/>
                <wp:lineTo x="0" y="16071"/>
                <wp:lineTo x="4614" y="20571"/>
                <wp:lineTo x="6592" y="21214"/>
                <wp:lineTo x="14503" y="21214"/>
                <wp:lineTo x="16480" y="20571"/>
                <wp:lineTo x="21095" y="16071"/>
                <wp:lineTo x="21095" y="3214"/>
                <wp:lineTo x="14503" y="0"/>
                <wp:lineTo x="6592"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205" cy="640080"/>
                    </a:xfrm>
                    <a:prstGeom prst="rect">
                      <a:avLst/>
                    </a:prstGeom>
                  </pic:spPr>
                </pic:pic>
              </a:graphicData>
            </a:graphic>
            <wp14:sizeRelH relativeFrom="margin">
              <wp14:pctWidth>0</wp14:pctWidth>
            </wp14:sizeRelH>
          </wp:anchor>
        </w:drawing>
      </w:r>
      <w:r w:rsidR="00C40F4F">
        <w:rPr>
          <w:b/>
          <w:sz w:val="36"/>
        </w:rPr>
        <w:t xml:space="preserve">                                                                                      </w:t>
      </w:r>
      <w:r w:rsidR="00F15399">
        <w:rPr>
          <w:b/>
          <w:sz w:val="36"/>
        </w:rPr>
        <w:t>Foreword</w:t>
      </w:r>
    </w:p>
    <w:p w14:paraId="3ABF31BF" w14:textId="4DC6D3B0" w:rsidR="001B437B" w:rsidRDefault="00C40F4F" w:rsidP="001B437B">
      <w:pPr>
        <w:jc w:val="center"/>
        <w:rPr>
          <w:b/>
          <w:sz w:val="36"/>
        </w:rPr>
      </w:pPr>
      <w:r>
        <w:rPr>
          <w:b/>
          <w:sz w:val="36"/>
        </w:rPr>
        <w:t xml:space="preserve">                 </w:t>
      </w:r>
    </w:p>
    <w:p w14:paraId="53E42DF3" w14:textId="3605C399" w:rsidR="001B437B" w:rsidRDefault="001B437B" w:rsidP="001B437B">
      <w:pPr>
        <w:pStyle w:val="NoSpacing"/>
        <w:jc w:val="right"/>
        <w:rPr>
          <w:rFonts w:ascii="Palatino Linotype" w:hAnsi="Palatino Linotype" w:cs="Times New Roman"/>
          <w:b/>
          <w:bCs/>
          <w:color w:val="000000" w:themeColor="text1"/>
          <w:sz w:val="24"/>
        </w:rPr>
      </w:pPr>
    </w:p>
    <w:p w14:paraId="1DF168F5" w14:textId="1B1525CC" w:rsidR="001B437B" w:rsidRDefault="001B437B" w:rsidP="001B437B">
      <w:pPr>
        <w:pStyle w:val="NoSpacing"/>
        <w:jc w:val="right"/>
        <w:rPr>
          <w:rFonts w:ascii="Palatino Linotype" w:hAnsi="Palatino Linotype" w:cs="Times New Roman"/>
          <w:b/>
          <w:bCs/>
          <w:color w:val="000000" w:themeColor="text1"/>
          <w:sz w:val="24"/>
        </w:rPr>
      </w:pPr>
    </w:p>
    <w:p w14:paraId="73C39AA4" w14:textId="58D0F777" w:rsidR="001B437B" w:rsidRPr="008B182C" w:rsidRDefault="001B437B" w:rsidP="00F15399">
      <w:pPr>
        <w:pStyle w:val="NoSpacing"/>
        <w:ind w:left="10800" w:firstLine="720"/>
        <w:jc w:val="right"/>
        <w:rPr>
          <w:rFonts w:ascii="Palatino Linotype" w:hAnsi="Palatino Linotype" w:cs="Times New Roman"/>
          <w:b/>
          <w:bCs/>
          <w:color w:val="000000" w:themeColor="text1"/>
          <w:sz w:val="24"/>
        </w:rPr>
      </w:pPr>
      <w:r>
        <w:rPr>
          <w:rFonts w:ascii="Palatino Linotype" w:hAnsi="Palatino Linotype" w:cs="Times New Roman"/>
          <w:b/>
          <w:bCs/>
          <w:color w:val="000000" w:themeColor="text1"/>
          <w:sz w:val="24"/>
        </w:rPr>
        <w:t>Muhammad Yamin Chowdhury</w:t>
      </w:r>
    </w:p>
    <w:p w14:paraId="32107DD7" w14:textId="730821EA" w:rsidR="001B437B" w:rsidRDefault="001B437B" w:rsidP="00F15399">
      <w:pPr>
        <w:pStyle w:val="NoSpacing"/>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Secretary</w:t>
      </w:r>
    </w:p>
    <w:p w14:paraId="66A5465D" w14:textId="273893B6" w:rsidR="001B437B" w:rsidRDefault="001B437B" w:rsidP="00945EA6">
      <w:pPr>
        <w:pStyle w:val="NoSpacing"/>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 xml:space="preserve">  </w:t>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r>
      <w:r>
        <w:rPr>
          <w:rFonts w:ascii="Palatino Linotype" w:hAnsi="Palatino Linotype" w:cs="Times New Roman"/>
          <w:color w:val="000000" w:themeColor="text1"/>
          <w:sz w:val="24"/>
        </w:rPr>
        <w:tab/>
        <w:t>Statistics and Informatics Division</w:t>
      </w:r>
    </w:p>
    <w:p w14:paraId="40876A55" w14:textId="2D81AC35" w:rsidR="00945EA6" w:rsidRPr="008B182C" w:rsidRDefault="00945EA6" w:rsidP="00945EA6">
      <w:pPr>
        <w:pStyle w:val="NoSpacing"/>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Ministry of Planning</w:t>
      </w:r>
    </w:p>
    <w:p w14:paraId="6D894CE7" w14:textId="10444721" w:rsidR="001B437B" w:rsidRDefault="001B437B" w:rsidP="00F15399">
      <w:pPr>
        <w:pStyle w:val="NoSpacing"/>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Government of the People’s Republic of Bangladesh</w:t>
      </w:r>
    </w:p>
    <w:p w14:paraId="266984EC" w14:textId="77777777" w:rsidR="00945EA6" w:rsidRDefault="00945EA6" w:rsidP="00F15399">
      <w:pPr>
        <w:pStyle w:val="NoSpacing"/>
        <w:jc w:val="right"/>
        <w:rPr>
          <w:rFonts w:ascii="Palatino Linotype" w:hAnsi="Palatino Linotype" w:cs="Times New Roman"/>
          <w:color w:val="000000" w:themeColor="text1"/>
          <w:sz w:val="24"/>
        </w:rPr>
      </w:pPr>
    </w:p>
    <w:p w14:paraId="47582211" w14:textId="77777777" w:rsidR="001B437B" w:rsidRPr="001450D6" w:rsidRDefault="001B437B" w:rsidP="001B437B">
      <w:pPr>
        <w:pStyle w:val="NoSpacing"/>
        <w:rPr>
          <w:rFonts w:ascii="Palatino Linotype" w:hAnsi="Palatino Linotype" w:cs="Times New Roman"/>
          <w:color w:val="000000" w:themeColor="text1"/>
          <w:sz w:val="24"/>
        </w:rPr>
      </w:pPr>
    </w:p>
    <w:p w14:paraId="05A58392" w14:textId="77777777" w:rsidR="00484B5E" w:rsidRDefault="00484B5E" w:rsidP="003C6FB3">
      <w:pPr>
        <w:jc w:val="both"/>
        <w:rPr>
          <w:rFonts w:ascii="Palatino Linotype" w:hAnsi="Palatino Linotype"/>
          <w:sz w:val="24"/>
        </w:rPr>
        <w:sectPr w:rsidR="00484B5E" w:rsidSect="00D46636">
          <w:type w:val="continuous"/>
          <w:pgSz w:w="20160" w:h="12240" w:orient="landscape" w:code="5"/>
          <w:pgMar w:top="720" w:right="720" w:bottom="720" w:left="720" w:header="720" w:footer="720" w:gutter="0"/>
          <w:cols w:space="720"/>
          <w:docGrid w:linePitch="360"/>
        </w:sectPr>
      </w:pPr>
    </w:p>
    <w:p w14:paraId="1B1FD299" w14:textId="78824449" w:rsidR="001B437B" w:rsidRDefault="001B437B" w:rsidP="00484B5E">
      <w:pPr>
        <w:jc w:val="both"/>
        <w:rPr>
          <w:rFonts w:ascii="Palatino Linotype" w:hAnsi="Palatino Linotype"/>
          <w:sz w:val="24"/>
        </w:rPr>
      </w:pPr>
      <w:r w:rsidRPr="00603A27">
        <w:rPr>
          <w:rFonts w:ascii="Palatino Linotype" w:hAnsi="Palatino Linotype"/>
          <w:sz w:val="24"/>
        </w:rPr>
        <w:lastRenderedPageBreak/>
        <w:t>It is glaring to know that the</w:t>
      </w:r>
      <w:r w:rsidR="00B42609">
        <w:rPr>
          <w:rFonts w:ascii="Palatino Linotype" w:hAnsi="Palatino Linotype"/>
          <w:sz w:val="24"/>
        </w:rPr>
        <w:t xml:space="preserve"> `</w:t>
      </w:r>
      <w:r w:rsidR="00B42609" w:rsidRPr="00B42609">
        <w:rPr>
          <w:rFonts w:ascii="Palatino Linotype" w:hAnsi="Palatino Linotype"/>
          <w:sz w:val="24"/>
        </w:rPr>
        <w:t>Action Plan and Methodological Guidelines towards Data Generation and Disaggregation for Monitoring and Evaluation of SDGs</w:t>
      </w:r>
      <w:r w:rsidR="00B42609">
        <w:rPr>
          <w:rFonts w:ascii="Palatino Linotype" w:hAnsi="Palatino Linotype"/>
          <w:sz w:val="24"/>
        </w:rPr>
        <w:t>’</w:t>
      </w:r>
      <w:r w:rsidRPr="00603A27">
        <w:rPr>
          <w:rFonts w:ascii="Palatino Linotype" w:hAnsi="Palatino Linotype"/>
          <w:sz w:val="24"/>
        </w:rPr>
        <w:t xml:space="preserve"> has been prepared by</w:t>
      </w:r>
      <w:r w:rsidR="00B42609">
        <w:rPr>
          <w:rFonts w:ascii="Palatino Linotype" w:hAnsi="Palatino Linotype"/>
          <w:sz w:val="24"/>
        </w:rPr>
        <w:t xml:space="preserve"> SDG Cell of</w:t>
      </w:r>
      <w:r w:rsidRPr="00603A27">
        <w:rPr>
          <w:rFonts w:ascii="Palatino Linotype" w:hAnsi="Palatino Linotype"/>
          <w:sz w:val="24"/>
        </w:rPr>
        <w:t xml:space="preserve"> Bangladesh Bureau of Statistics (BBS)</w:t>
      </w:r>
      <w:r w:rsidR="00B42609">
        <w:rPr>
          <w:rFonts w:ascii="Palatino Linotype" w:hAnsi="Palatino Linotype"/>
          <w:sz w:val="24"/>
        </w:rPr>
        <w:t xml:space="preserve"> </w:t>
      </w:r>
      <w:r w:rsidRPr="00603A27">
        <w:rPr>
          <w:rFonts w:ascii="Palatino Linotype" w:hAnsi="Palatino Linotype"/>
          <w:sz w:val="24"/>
        </w:rPr>
        <w:t>within a very short time.</w:t>
      </w:r>
    </w:p>
    <w:p w14:paraId="3882A1F3" w14:textId="77777777" w:rsidR="00B42609" w:rsidRPr="00603A27" w:rsidRDefault="00B42609" w:rsidP="00484B5E">
      <w:pPr>
        <w:jc w:val="both"/>
        <w:rPr>
          <w:rFonts w:ascii="Palatino Linotype" w:hAnsi="Palatino Linotype"/>
          <w:sz w:val="24"/>
        </w:rPr>
      </w:pPr>
    </w:p>
    <w:p w14:paraId="0ED31A03" w14:textId="0E9CE0C5" w:rsidR="00484B5E" w:rsidRDefault="001B437B" w:rsidP="00484B5E">
      <w:pPr>
        <w:jc w:val="both"/>
        <w:rPr>
          <w:rFonts w:ascii="Palatino Linotype" w:hAnsi="Palatino Linotype"/>
          <w:sz w:val="24"/>
        </w:rPr>
      </w:pPr>
      <w:r w:rsidRPr="00603A27">
        <w:rPr>
          <w:rFonts w:ascii="Palatino Linotype" w:hAnsi="Palatino Linotype"/>
          <w:sz w:val="24"/>
        </w:rPr>
        <w:t>This exhaustive report will persuade the data providers</w:t>
      </w:r>
      <w:r w:rsidR="00B42609">
        <w:rPr>
          <w:rFonts w:ascii="Palatino Linotype" w:hAnsi="Palatino Linotype"/>
          <w:sz w:val="24"/>
        </w:rPr>
        <w:t xml:space="preserve"> and users</w:t>
      </w:r>
      <w:r w:rsidRPr="00603A27">
        <w:rPr>
          <w:rFonts w:ascii="Palatino Linotype" w:hAnsi="Palatino Linotype"/>
          <w:sz w:val="24"/>
        </w:rPr>
        <w:t xml:space="preserve"> to know implicit of any indicator by providing specific information on data source, data provider, data calculation procedure,</w:t>
      </w:r>
      <w:r w:rsidR="00B42609">
        <w:rPr>
          <w:rFonts w:ascii="Palatino Linotype" w:hAnsi="Palatino Linotype"/>
          <w:sz w:val="24"/>
        </w:rPr>
        <w:t xml:space="preserve"> </w:t>
      </w:r>
      <w:r w:rsidRPr="00603A27">
        <w:rPr>
          <w:rFonts w:ascii="Palatino Linotype" w:hAnsi="Palatino Linotype"/>
          <w:sz w:val="24"/>
        </w:rPr>
        <w:t>data delivery deadline</w:t>
      </w:r>
      <w:r w:rsidR="00B42609">
        <w:rPr>
          <w:rFonts w:ascii="Palatino Linotype" w:hAnsi="Palatino Linotype"/>
          <w:sz w:val="24"/>
        </w:rPr>
        <w:t>s</w:t>
      </w:r>
      <w:r w:rsidRPr="00603A27">
        <w:rPr>
          <w:rFonts w:ascii="Palatino Linotype" w:hAnsi="Palatino Linotype"/>
          <w:sz w:val="24"/>
        </w:rPr>
        <w:t xml:space="preserve"> and so more. Furthermore, this publication will work as a</w:t>
      </w:r>
      <w:r w:rsidR="00B42609">
        <w:rPr>
          <w:rFonts w:ascii="Palatino Linotype" w:hAnsi="Palatino Linotype"/>
          <w:sz w:val="24"/>
        </w:rPr>
        <w:t>n</w:t>
      </w:r>
      <w:r w:rsidRPr="00603A27">
        <w:rPr>
          <w:rFonts w:ascii="Palatino Linotype" w:hAnsi="Palatino Linotype"/>
          <w:sz w:val="24"/>
        </w:rPr>
        <w:t xml:space="preserve"> </w:t>
      </w:r>
      <w:r w:rsidR="00B42609">
        <w:rPr>
          <w:rFonts w:ascii="Palatino Linotype" w:hAnsi="Palatino Linotype"/>
          <w:sz w:val="24"/>
        </w:rPr>
        <w:t>encyclopedialike</w:t>
      </w:r>
      <w:r w:rsidRPr="00603A27">
        <w:rPr>
          <w:rFonts w:ascii="Palatino Linotype" w:hAnsi="Palatino Linotype"/>
          <w:sz w:val="24"/>
        </w:rPr>
        <w:t xml:space="preserve"> manual for the numerous ministries</w:t>
      </w:r>
      <w:r w:rsidR="00B42609">
        <w:rPr>
          <w:rFonts w:ascii="Palatino Linotype" w:hAnsi="Palatino Linotype"/>
          <w:sz w:val="24"/>
        </w:rPr>
        <w:t>, divisions</w:t>
      </w:r>
      <w:r w:rsidRPr="00603A27">
        <w:rPr>
          <w:rFonts w:ascii="Palatino Linotype" w:hAnsi="Palatino Linotype"/>
          <w:sz w:val="24"/>
        </w:rPr>
        <w:t xml:space="preserve"> and other data provider </w:t>
      </w:r>
      <w:r w:rsidR="00B42609">
        <w:rPr>
          <w:rFonts w:ascii="Palatino Linotype" w:hAnsi="Palatino Linotype"/>
          <w:sz w:val="24"/>
        </w:rPr>
        <w:t>agencies</w:t>
      </w:r>
      <w:r w:rsidRPr="00603A27">
        <w:rPr>
          <w:rFonts w:ascii="Palatino Linotype" w:hAnsi="Palatino Linotype"/>
          <w:sz w:val="24"/>
        </w:rPr>
        <w:t xml:space="preserve"> to check current status of data generation and data disaggregation. </w:t>
      </w:r>
    </w:p>
    <w:p w14:paraId="539990C6" w14:textId="77777777" w:rsidR="00484B5E" w:rsidRDefault="00484B5E" w:rsidP="00484B5E">
      <w:pPr>
        <w:jc w:val="both"/>
        <w:rPr>
          <w:rFonts w:ascii="Palatino Linotype" w:hAnsi="Palatino Linotype"/>
          <w:sz w:val="24"/>
        </w:rPr>
      </w:pPr>
    </w:p>
    <w:p w14:paraId="3DB7D8E6" w14:textId="37F8135E" w:rsidR="001B437B" w:rsidRDefault="001B437B" w:rsidP="00484B5E">
      <w:pPr>
        <w:pStyle w:val="NoSpacing"/>
        <w:jc w:val="both"/>
        <w:rPr>
          <w:rFonts w:ascii="Palatino Linotype" w:hAnsi="Palatino Linotype"/>
          <w:sz w:val="24"/>
        </w:rPr>
      </w:pPr>
      <w:r>
        <w:rPr>
          <w:rFonts w:ascii="Palatino Linotype" w:hAnsi="Palatino Linotype"/>
          <w:sz w:val="24"/>
        </w:rPr>
        <w:t xml:space="preserve">I would like to express my heartfelt thanks to </w:t>
      </w:r>
      <w:r w:rsidRPr="00CB7075">
        <w:rPr>
          <w:rFonts w:ascii="Palatino Linotype" w:hAnsi="Palatino Linotype" w:cs="Times New Roman"/>
          <w:bCs/>
          <w:color w:val="000000" w:themeColor="text1"/>
          <w:sz w:val="24"/>
        </w:rPr>
        <w:t>Mohammad Tajul Islam</w:t>
      </w:r>
      <w:r>
        <w:rPr>
          <w:rFonts w:ascii="Palatino Linotype" w:hAnsi="Palatino Linotype" w:cs="Times New Roman"/>
          <w:bCs/>
          <w:color w:val="000000" w:themeColor="text1"/>
          <w:sz w:val="24"/>
        </w:rPr>
        <w:t xml:space="preserve">, </w:t>
      </w:r>
      <w:r w:rsidRPr="0020656A">
        <w:rPr>
          <w:rFonts w:ascii="Palatino Linotype" w:hAnsi="Palatino Linotype"/>
          <w:sz w:val="24"/>
        </w:rPr>
        <w:t>Director General</w:t>
      </w:r>
      <w:r>
        <w:rPr>
          <w:rFonts w:ascii="Palatino Linotype" w:hAnsi="Palatino Linotype"/>
          <w:sz w:val="24"/>
        </w:rPr>
        <w:t xml:space="preserve"> of</w:t>
      </w:r>
      <w:r w:rsidRPr="0020656A">
        <w:rPr>
          <w:rFonts w:ascii="Palatino Linotype" w:hAnsi="Palatino Linotype"/>
          <w:sz w:val="24"/>
        </w:rPr>
        <w:t xml:space="preserve"> Bangladesh Bureau of Statistics</w:t>
      </w:r>
      <w:r>
        <w:rPr>
          <w:rFonts w:ascii="Palatino Linotype" w:hAnsi="Palatino Linotype"/>
          <w:sz w:val="24"/>
        </w:rPr>
        <w:t xml:space="preserve"> (BBS), Md. Alamgir Hoss</w:t>
      </w:r>
      <w:r w:rsidR="00B42609">
        <w:rPr>
          <w:rFonts w:ascii="Palatino Linotype" w:hAnsi="Palatino Linotype"/>
          <w:sz w:val="24"/>
        </w:rPr>
        <w:t>e</w:t>
      </w:r>
      <w:r>
        <w:rPr>
          <w:rFonts w:ascii="Palatino Linotype" w:hAnsi="Palatino Linotype"/>
          <w:sz w:val="24"/>
        </w:rPr>
        <w:t xml:space="preserve">n, Deputy </w:t>
      </w:r>
      <w:r>
        <w:rPr>
          <w:rFonts w:ascii="Palatino Linotype" w:hAnsi="Palatino Linotype"/>
          <w:sz w:val="24"/>
        </w:rPr>
        <w:lastRenderedPageBreak/>
        <w:t>Director and Focal point officer of</w:t>
      </w:r>
      <w:r w:rsidR="00B42609">
        <w:rPr>
          <w:rFonts w:ascii="Palatino Linotype" w:hAnsi="Palatino Linotype"/>
          <w:sz w:val="24"/>
        </w:rPr>
        <w:t xml:space="preserve"> </w:t>
      </w:r>
      <w:r>
        <w:rPr>
          <w:rFonts w:ascii="Palatino Linotype" w:hAnsi="Palatino Linotype"/>
          <w:sz w:val="24"/>
        </w:rPr>
        <w:t xml:space="preserve">SDG cell, BBS and </w:t>
      </w:r>
      <w:r w:rsidR="00B42609">
        <w:rPr>
          <w:rFonts w:ascii="Palatino Linotype" w:hAnsi="Palatino Linotype"/>
          <w:sz w:val="24"/>
        </w:rPr>
        <w:t>his team</w:t>
      </w:r>
      <w:r>
        <w:rPr>
          <w:rFonts w:ascii="Palatino Linotype" w:hAnsi="Palatino Linotype"/>
          <w:sz w:val="24"/>
        </w:rPr>
        <w:t xml:space="preserve"> and other officials for their intellectual musing and technical input in preparing this versatile report. </w:t>
      </w:r>
      <w:r w:rsidR="00B42609">
        <w:rPr>
          <w:rFonts w:ascii="Palatino Linotype" w:hAnsi="Palatino Linotype"/>
          <w:sz w:val="24"/>
        </w:rPr>
        <w:t>I would like to also convey my</w:t>
      </w:r>
      <w:r w:rsidR="00945EA6">
        <w:rPr>
          <w:rFonts w:ascii="Palatino Linotype" w:hAnsi="Palatino Linotype"/>
          <w:sz w:val="24"/>
        </w:rPr>
        <w:t xml:space="preserve"> thanks to the members of National Data Coordination Committee (NDCC) for their valuable suggestions in preparing this report.</w:t>
      </w:r>
    </w:p>
    <w:p w14:paraId="2E883ADA" w14:textId="77777777" w:rsidR="00B42609" w:rsidRPr="00CB7075" w:rsidRDefault="00B42609" w:rsidP="00484B5E">
      <w:pPr>
        <w:pStyle w:val="NoSpacing"/>
        <w:jc w:val="both"/>
        <w:rPr>
          <w:rFonts w:ascii="Palatino Linotype" w:hAnsi="Palatino Linotype" w:cs="Times New Roman"/>
          <w:b/>
          <w:bCs/>
          <w:color w:val="000000" w:themeColor="text1"/>
          <w:sz w:val="24"/>
        </w:rPr>
      </w:pPr>
    </w:p>
    <w:p w14:paraId="5108CDF7" w14:textId="432D1C22" w:rsidR="001B437B" w:rsidRDefault="001B437B" w:rsidP="00484B5E">
      <w:pPr>
        <w:jc w:val="both"/>
        <w:rPr>
          <w:rFonts w:ascii="Palatino Linotype" w:hAnsi="Palatino Linotype"/>
          <w:sz w:val="24"/>
        </w:rPr>
      </w:pPr>
      <w:r>
        <w:rPr>
          <w:rFonts w:ascii="Palatino Linotype" w:hAnsi="Palatino Linotype"/>
          <w:sz w:val="24"/>
        </w:rPr>
        <w:t>I wish</w:t>
      </w:r>
      <w:proofErr w:type="gramStart"/>
      <w:r>
        <w:rPr>
          <w:rFonts w:ascii="Palatino Linotype" w:hAnsi="Palatino Linotype"/>
          <w:sz w:val="24"/>
        </w:rPr>
        <w:t>,</w:t>
      </w:r>
      <w:proofErr w:type="gramEnd"/>
      <w:r>
        <w:rPr>
          <w:rFonts w:ascii="Palatino Linotype" w:hAnsi="Palatino Linotype"/>
          <w:sz w:val="24"/>
        </w:rPr>
        <w:t xml:space="preserve"> this publication will meet up as like as a requisite for the data provider</w:t>
      </w:r>
      <w:r w:rsidR="00945EA6">
        <w:rPr>
          <w:rFonts w:ascii="Palatino Linotype" w:hAnsi="Palatino Linotype"/>
          <w:sz w:val="24"/>
        </w:rPr>
        <w:t>s and users</w:t>
      </w:r>
      <w:r>
        <w:rPr>
          <w:rFonts w:ascii="Palatino Linotype" w:hAnsi="Palatino Linotype"/>
          <w:sz w:val="24"/>
        </w:rPr>
        <w:t xml:space="preserve"> </w:t>
      </w:r>
      <w:r w:rsidR="00945EA6">
        <w:rPr>
          <w:rFonts w:ascii="Palatino Linotype" w:hAnsi="Palatino Linotype"/>
          <w:sz w:val="24"/>
        </w:rPr>
        <w:t>to ensure the essence of SDGs ‘Leave No One Behind’ through</w:t>
      </w:r>
      <w:r>
        <w:rPr>
          <w:rFonts w:ascii="Palatino Linotype" w:hAnsi="Palatino Linotype"/>
          <w:sz w:val="24"/>
        </w:rPr>
        <w:t xml:space="preserve"> </w:t>
      </w:r>
      <w:r w:rsidRPr="00603A27">
        <w:rPr>
          <w:rFonts w:ascii="Palatino Linotype" w:hAnsi="Palatino Linotype"/>
          <w:sz w:val="24"/>
        </w:rPr>
        <w:t>Data Disaggregation for Monitoring and Evaluation</w:t>
      </w:r>
      <w:r w:rsidR="00945EA6">
        <w:rPr>
          <w:rFonts w:ascii="Palatino Linotype" w:hAnsi="Palatino Linotype"/>
          <w:sz w:val="24"/>
        </w:rPr>
        <w:t xml:space="preserve"> of SDGs</w:t>
      </w:r>
      <w:r>
        <w:rPr>
          <w:rFonts w:ascii="Palatino Linotype" w:hAnsi="Palatino Linotype"/>
          <w:sz w:val="24"/>
        </w:rPr>
        <w:t xml:space="preserve">. </w:t>
      </w:r>
    </w:p>
    <w:p w14:paraId="4C7744F4" w14:textId="77777777" w:rsidR="001B437B" w:rsidRDefault="001B437B" w:rsidP="00484B5E">
      <w:pPr>
        <w:jc w:val="both"/>
        <w:rPr>
          <w:rFonts w:ascii="Palatino Linotype" w:hAnsi="Palatino Linotype"/>
          <w:sz w:val="24"/>
        </w:rPr>
      </w:pPr>
    </w:p>
    <w:p w14:paraId="169D19C3" w14:textId="77777777" w:rsidR="001B437B" w:rsidRDefault="001B437B" w:rsidP="00484B5E">
      <w:pPr>
        <w:jc w:val="both"/>
        <w:rPr>
          <w:rFonts w:ascii="Palatino Linotype" w:hAnsi="Palatino Linotype"/>
          <w:sz w:val="24"/>
        </w:rPr>
      </w:pPr>
    </w:p>
    <w:p w14:paraId="59D25179" w14:textId="77777777" w:rsidR="001B437B" w:rsidRDefault="001B437B" w:rsidP="00484B5E">
      <w:pPr>
        <w:jc w:val="both"/>
        <w:rPr>
          <w:rFonts w:ascii="Palatino Linotype" w:hAnsi="Palatino Linotype"/>
          <w:sz w:val="24"/>
        </w:rPr>
      </w:pPr>
    </w:p>
    <w:p w14:paraId="2A968893" w14:textId="19ABB09C" w:rsidR="00484B5E" w:rsidRPr="008B182C" w:rsidRDefault="00484B5E" w:rsidP="00945EA6">
      <w:pPr>
        <w:pStyle w:val="NoSpacing"/>
        <w:tabs>
          <w:tab w:val="right" w:pos="9000"/>
        </w:tabs>
        <w:jc w:val="both"/>
        <w:rPr>
          <w:rFonts w:ascii="Palatino Linotype" w:hAnsi="Palatino Linotype" w:cs="Times New Roman"/>
          <w:b/>
          <w:bCs/>
          <w:color w:val="000000" w:themeColor="text1"/>
          <w:sz w:val="24"/>
        </w:rPr>
      </w:pPr>
      <w:r>
        <w:rPr>
          <w:rFonts w:ascii="Palatino Linotype" w:hAnsi="Palatino Linotype"/>
          <w:sz w:val="24"/>
        </w:rPr>
        <w:t xml:space="preserve"> </w:t>
      </w:r>
      <w:r w:rsidR="001B437B">
        <w:rPr>
          <w:rFonts w:ascii="Palatino Linotype" w:hAnsi="Palatino Linotype"/>
          <w:sz w:val="24"/>
        </w:rPr>
        <w:t>Dhaka, June 2020</w:t>
      </w:r>
      <w:r w:rsidR="001B437B">
        <w:rPr>
          <w:rFonts w:ascii="Palatino Linotype" w:hAnsi="Palatino Linotype"/>
          <w:sz w:val="24"/>
        </w:rPr>
        <w:tab/>
      </w:r>
      <w:r>
        <w:rPr>
          <w:rFonts w:ascii="Palatino Linotype" w:hAnsi="Palatino Linotype"/>
          <w:sz w:val="24"/>
        </w:rPr>
        <w:t xml:space="preserve">                       </w:t>
      </w:r>
      <w:bookmarkStart w:id="0" w:name="_Hlk44326227"/>
      <w:r w:rsidRPr="00945EA6">
        <w:rPr>
          <w:rFonts w:ascii="Palatino Linotype" w:hAnsi="Palatino Linotype" w:cs="Times New Roman"/>
          <w:b/>
          <w:color w:val="000000" w:themeColor="text1"/>
          <w:sz w:val="24"/>
        </w:rPr>
        <w:t>Muhammad Yamin Chowdhury</w:t>
      </w:r>
      <w:bookmarkEnd w:id="0"/>
    </w:p>
    <w:p w14:paraId="748C7981" w14:textId="1EC5F00B" w:rsidR="001B437B" w:rsidRPr="008B182C" w:rsidRDefault="001B437B" w:rsidP="00484B5E">
      <w:pPr>
        <w:pStyle w:val="NoSpacing"/>
        <w:jc w:val="both"/>
        <w:rPr>
          <w:rFonts w:ascii="Palatino Linotype" w:hAnsi="Palatino Linotype" w:cs="Times New Roman"/>
          <w:b/>
          <w:bCs/>
          <w:color w:val="000000" w:themeColor="text1"/>
          <w:sz w:val="24"/>
        </w:rPr>
      </w:pPr>
      <w:r>
        <w:rPr>
          <w:rFonts w:ascii="Palatino Linotype" w:hAnsi="Palatino Linotype"/>
          <w:sz w:val="24"/>
        </w:rPr>
        <w:tab/>
      </w:r>
      <w:r>
        <w:rPr>
          <w:rFonts w:ascii="Palatino Linotype" w:hAnsi="Palatino Linotype"/>
          <w:sz w:val="24"/>
        </w:rPr>
        <w:tab/>
        <w:t xml:space="preserve">                                                             </w:t>
      </w:r>
      <w:r w:rsidR="00484B5E">
        <w:rPr>
          <w:rFonts w:ascii="Palatino Linotype" w:hAnsi="Palatino Linotype"/>
          <w:sz w:val="24"/>
        </w:rPr>
        <w:t xml:space="preserve">                             </w:t>
      </w:r>
    </w:p>
    <w:p w14:paraId="78BD3CD1" w14:textId="77777777" w:rsidR="00484B5E" w:rsidRDefault="00484B5E" w:rsidP="001B437B">
      <w:pPr>
        <w:rPr>
          <w:rFonts w:ascii="Palatino Linotype" w:hAnsi="Palatino Linotype"/>
          <w:sz w:val="24"/>
        </w:rPr>
        <w:sectPr w:rsidR="00484B5E" w:rsidSect="00D46636">
          <w:type w:val="continuous"/>
          <w:pgSz w:w="20160" w:h="12240" w:orient="landscape" w:code="5"/>
          <w:pgMar w:top="720" w:right="720" w:bottom="720" w:left="720" w:header="720" w:footer="720" w:gutter="0"/>
          <w:cols w:num="2" w:space="720"/>
          <w:docGrid w:linePitch="360"/>
        </w:sectPr>
      </w:pPr>
    </w:p>
    <w:p w14:paraId="4C1E2EF1" w14:textId="39B53BA0" w:rsidR="001B437B" w:rsidRDefault="001B437B" w:rsidP="001B437B">
      <w:pPr>
        <w:rPr>
          <w:rFonts w:ascii="Palatino Linotype" w:hAnsi="Palatino Linotype"/>
          <w:sz w:val="24"/>
        </w:rPr>
      </w:pPr>
    </w:p>
    <w:p w14:paraId="3CFBAEBD" w14:textId="77777777" w:rsidR="001B437B" w:rsidRDefault="001B437B" w:rsidP="001B437B">
      <w:pPr>
        <w:rPr>
          <w:rFonts w:ascii="Palatino Linotype" w:hAnsi="Palatino Linotype"/>
          <w:sz w:val="24"/>
        </w:rPr>
      </w:pPr>
    </w:p>
    <w:p w14:paraId="1E6B64AD" w14:textId="77777777" w:rsidR="001B437B" w:rsidRDefault="001B437B" w:rsidP="001B437B">
      <w:pPr>
        <w:rPr>
          <w:rFonts w:ascii="Palatino Linotype" w:hAnsi="Palatino Linotype"/>
          <w:sz w:val="24"/>
        </w:rPr>
      </w:pPr>
    </w:p>
    <w:p w14:paraId="528C3A3A" w14:textId="77777777" w:rsidR="00F31936" w:rsidRDefault="00F31936" w:rsidP="001B437B">
      <w:pPr>
        <w:rPr>
          <w:rFonts w:ascii="Palatino Linotype" w:hAnsi="Palatino Linotype"/>
          <w:sz w:val="24"/>
        </w:rPr>
      </w:pPr>
    </w:p>
    <w:p w14:paraId="68A291E5" w14:textId="77777777" w:rsidR="00F31936" w:rsidRDefault="00F31936" w:rsidP="001B437B">
      <w:pPr>
        <w:rPr>
          <w:rFonts w:ascii="Palatino Linotype" w:hAnsi="Palatino Linotype"/>
          <w:sz w:val="24"/>
        </w:rPr>
      </w:pPr>
    </w:p>
    <w:p w14:paraId="1901F66D" w14:textId="77777777" w:rsidR="001B437B" w:rsidRDefault="001B437B" w:rsidP="001B437B">
      <w:pPr>
        <w:rPr>
          <w:rFonts w:ascii="Palatino Linotype" w:hAnsi="Palatino Linotype"/>
          <w:sz w:val="24"/>
        </w:rPr>
      </w:pPr>
    </w:p>
    <w:p w14:paraId="7B576233" w14:textId="16A6E001" w:rsidR="001B437B" w:rsidRPr="00F47023" w:rsidRDefault="00225240" w:rsidP="001B437B">
      <w:pPr>
        <w:jc w:val="center"/>
        <w:rPr>
          <w:rFonts w:ascii="Palatino Linotype" w:hAnsi="Palatino Linotype"/>
          <w:b/>
          <w:sz w:val="36"/>
        </w:rPr>
      </w:pPr>
      <w:r>
        <w:rPr>
          <w:rFonts w:ascii="Palatino Linotype" w:hAnsi="Palatino Linotype" w:cs="Times New Roman"/>
          <w:noProof/>
          <w:color w:val="000000" w:themeColor="text1"/>
          <w:sz w:val="24"/>
          <w:lang w:bidi="bn-BD"/>
        </w:rPr>
        <w:lastRenderedPageBreak/>
        <w:drawing>
          <wp:anchor distT="0" distB="0" distL="114300" distR="114300" simplePos="0" relativeHeight="251660800" behindDoc="1" locked="0" layoutInCell="1" allowOverlap="1" wp14:anchorId="69A9A47F" wp14:editId="7128AB84">
            <wp:simplePos x="0" y="0"/>
            <wp:positionH relativeFrom="column">
              <wp:posOffset>99060</wp:posOffset>
            </wp:positionH>
            <wp:positionV relativeFrom="paragraph">
              <wp:posOffset>10160</wp:posOffset>
            </wp:positionV>
            <wp:extent cx="1383030" cy="1779905"/>
            <wp:effectExtent l="19050" t="19050" r="26670" b="10795"/>
            <wp:wrapNone/>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 name="DG BBS.jpg"/>
                    <pic:cNvPicPr/>
                  </pic:nvPicPr>
                  <pic:blipFill rotWithShape="1">
                    <a:blip r:embed="rId17" cstate="print">
                      <a:extLst>
                        <a:ext uri="{28A0092B-C50C-407E-A947-70E740481C1C}">
                          <a14:useLocalDpi xmlns:a14="http://schemas.microsoft.com/office/drawing/2010/main" val="0"/>
                        </a:ext>
                      </a:extLst>
                    </a:blip>
                    <a:srcRect l="2578" r="1"/>
                    <a:stretch/>
                  </pic:blipFill>
                  <pic:spPr bwMode="auto">
                    <a:xfrm>
                      <a:off x="0" y="0"/>
                      <a:ext cx="1383030" cy="1779905"/>
                    </a:xfrm>
                    <a:prstGeom prst="rect">
                      <a:avLst/>
                    </a:prstGeom>
                    <a:ln w="12700" cap="sq" cmpd="thickThin" algn="ctr">
                      <a:solidFill>
                        <a:srgbClr val="4BACC6">
                          <a:lumMod val="75000"/>
                        </a:srgbClr>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15399" w:rsidRPr="008B182C">
        <w:rPr>
          <w:rFonts w:ascii="Palatino Linotype" w:hAnsi="Palatino Linotype" w:cs="Times New Roman"/>
          <w:b/>
          <w:bCs/>
          <w:noProof/>
          <w:color w:val="000000" w:themeColor="text1"/>
          <w:sz w:val="24"/>
          <w:lang w:bidi="bn-BD"/>
        </w:rPr>
        <w:drawing>
          <wp:anchor distT="0" distB="0" distL="114300" distR="114300" simplePos="0" relativeHeight="251746816" behindDoc="1" locked="0" layoutInCell="1" allowOverlap="1" wp14:anchorId="3022E2BB" wp14:editId="1AEC4109">
            <wp:simplePos x="0" y="0"/>
            <wp:positionH relativeFrom="margin">
              <wp:align>right</wp:align>
            </wp:positionH>
            <wp:positionV relativeFrom="paragraph">
              <wp:posOffset>140280</wp:posOffset>
            </wp:positionV>
            <wp:extent cx="624205" cy="636270"/>
            <wp:effectExtent l="0" t="0" r="4445" b="0"/>
            <wp:wrapTight wrapText="bothSides">
              <wp:wrapPolygon edited="0">
                <wp:start x="0" y="0"/>
                <wp:lineTo x="0" y="20695"/>
                <wp:lineTo x="21095" y="20695"/>
                <wp:lineTo x="2109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 Logo.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4205" cy="636806"/>
                    </a:xfrm>
                    <a:prstGeom prst="rect">
                      <a:avLst/>
                    </a:prstGeom>
                  </pic:spPr>
                </pic:pic>
              </a:graphicData>
            </a:graphic>
            <wp14:sizeRelH relativeFrom="margin">
              <wp14:pctWidth>0</wp14:pctWidth>
            </wp14:sizeRelH>
          </wp:anchor>
        </w:drawing>
      </w:r>
      <w:r w:rsidR="00F15399">
        <w:rPr>
          <w:rFonts w:ascii="Palatino Linotype" w:hAnsi="Palatino Linotype"/>
          <w:b/>
          <w:sz w:val="36"/>
        </w:rPr>
        <w:t>Preface</w:t>
      </w:r>
    </w:p>
    <w:p w14:paraId="78C43893" w14:textId="65EA7000" w:rsidR="00F31936" w:rsidRDefault="00F31936" w:rsidP="00F31936">
      <w:pPr>
        <w:pStyle w:val="NoSpacing"/>
        <w:jc w:val="center"/>
        <w:rPr>
          <w:rFonts w:ascii="Palatino Linotype" w:hAnsi="Palatino Linotype" w:cs="Times New Roman"/>
          <w:b/>
          <w:bCs/>
          <w:color w:val="000000" w:themeColor="text1"/>
          <w:sz w:val="24"/>
        </w:rPr>
      </w:pPr>
    </w:p>
    <w:p w14:paraId="1ABB4E86" w14:textId="5B71D16F" w:rsidR="00F31936" w:rsidRDefault="00F31936" w:rsidP="00F31936">
      <w:pPr>
        <w:pStyle w:val="NoSpacing"/>
        <w:jc w:val="center"/>
        <w:rPr>
          <w:rFonts w:ascii="Palatino Linotype" w:hAnsi="Palatino Linotype" w:cs="Times New Roman"/>
          <w:b/>
          <w:bCs/>
          <w:color w:val="000000" w:themeColor="text1"/>
          <w:sz w:val="24"/>
        </w:rPr>
      </w:pPr>
    </w:p>
    <w:p w14:paraId="1EC02C8B" w14:textId="359CDBC9" w:rsidR="00F31936" w:rsidRDefault="00F31936" w:rsidP="00F31936">
      <w:pPr>
        <w:pStyle w:val="NoSpacing"/>
        <w:jc w:val="center"/>
        <w:rPr>
          <w:rFonts w:ascii="Palatino Linotype" w:hAnsi="Palatino Linotype" w:cs="Times New Roman"/>
          <w:b/>
          <w:bCs/>
          <w:color w:val="000000" w:themeColor="text1"/>
          <w:sz w:val="24"/>
        </w:rPr>
      </w:pPr>
    </w:p>
    <w:p w14:paraId="625F3DFB" w14:textId="7186C660" w:rsidR="001B437B" w:rsidRPr="008B182C" w:rsidRDefault="00F31936" w:rsidP="00F15399">
      <w:pPr>
        <w:pStyle w:val="NoSpacing"/>
        <w:jc w:val="right"/>
        <w:rPr>
          <w:rFonts w:ascii="Palatino Linotype" w:hAnsi="Palatino Linotype" w:cs="Times New Roman"/>
          <w:b/>
          <w:bCs/>
          <w:color w:val="000000" w:themeColor="text1"/>
          <w:sz w:val="24"/>
        </w:rPr>
      </w:pPr>
      <w:r>
        <w:rPr>
          <w:rFonts w:ascii="Palatino Linotype" w:hAnsi="Palatino Linotype" w:cs="Times New Roman"/>
          <w:b/>
          <w:bCs/>
          <w:color w:val="000000" w:themeColor="text1"/>
          <w:sz w:val="24"/>
        </w:rPr>
        <w:t xml:space="preserve">                                   </w:t>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t xml:space="preserve">   </w:t>
      </w:r>
      <w:r w:rsidR="001B437B" w:rsidRPr="008B182C">
        <w:rPr>
          <w:rFonts w:ascii="Palatino Linotype" w:hAnsi="Palatino Linotype" w:cs="Times New Roman"/>
          <w:b/>
          <w:bCs/>
          <w:color w:val="000000" w:themeColor="text1"/>
          <w:sz w:val="24"/>
        </w:rPr>
        <w:t>M</w:t>
      </w:r>
      <w:r w:rsidR="001B437B">
        <w:rPr>
          <w:rFonts w:ascii="Palatino Linotype" w:hAnsi="Palatino Linotype" w:cs="Times New Roman"/>
          <w:b/>
          <w:bCs/>
          <w:color w:val="000000" w:themeColor="text1"/>
          <w:sz w:val="24"/>
        </w:rPr>
        <w:t>ohammad Tajul Islam</w:t>
      </w:r>
    </w:p>
    <w:p w14:paraId="7AD99EF8" w14:textId="391D1399" w:rsidR="001B437B" w:rsidRDefault="00F31936" w:rsidP="00F15399">
      <w:pPr>
        <w:pStyle w:val="NoSpacing"/>
        <w:ind w:left="8640" w:firstLine="720"/>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 xml:space="preserve">                                </w:t>
      </w:r>
      <w:r w:rsidR="001B437B">
        <w:rPr>
          <w:rFonts w:ascii="Palatino Linotype" w:hAnsi="Palatino Linotype" w:cs="Times New Roman"/>
          <w:color w:val="000000" w:themeColor="text1"/>
          <w:sz w:val="24"/>
        </w:rPr>
        <w:t>Director General</w:t>
      </w:r>
    </w:p>
    <w:p w14:paraId="09B499AA" w14:textId="31E93012" w:rsidR="001B437B" w:rsidRDefault="001B437B" w:rsidP="00F15399">
      <w:pPr>
        <w:pStyle w:val="NoSpacing"/>
        <w:ind w:left="10080" w:firstLine="720"/>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Bangladesh Bureau of Statistics</w:t>
      </w:r>
    </w:p>
    <w:p w14:paraId="59E5EBF8" w14:textId="5A1CEDEA" w:rsidR="00B240D7" w:rsidRDefault="00B240D7" w:rsidP="00F15399">
      <w:pPr>
        <w:pStyle w:val="NoSpacing"/>
        <w:ind w:left="10080" w:firstLine="720"/>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Statistics and Informatics Division</w:t>
      </w:r>
    </w:p>
    <w:p w14:paraId="22E0001A" w14:textId="55C5A5BE" w:rsidR="00B240D7" w:rsidRPr="008B182C" w:rsidRDefault="00B240D7" w:rsidP="00F15399">
      <w:pPr>
        <w:pStyle w:val="NoSpacing"/>
        <w:ind w:left="10080" w:firstLine="720"/>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Ministry of Planning</w:t>
      </w:r>
    </w:p>
    <w:p w14:paraId="7077D51D" w14:textId="0DCBBD8F" w:rsidR="001B437B" w:rsidRDefault="001B437B" w:rsidP="00F15399">
      <w:pPr>
        <w:pStyle w:val="NoSpacing"/>
        <w:ind w:left="8640" w:firstLine="720"/>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Government of the People’s Republic of Bangladesh</w:t>
      </w:r>
    </w:p>
    <w:p w14:paraId="4037A8E1" w14:textId="77777777" w:rsidR="001B437B" w:rsidRDefault="001B437B" w:rsidP="001B437B">
      <w:pPr>
        <w:rPr>
          <w:rFonts w:ascii="Palatino Linotype" w:hAnsi="Palatino Linotype"/>
          <w:sz w:val="24"/>
        </w:rPr>
      </w:pPr>
    </w:p>
    <w:p w14:paraId="0A675D0B" w14:textId="77777777" w:rsidR="00484B5E" w:rsidRDefault="00484B5E" w:rsidP="003C6FB3">
      <w:pPr>
        <w:rPr>
          <w:rFonts w:ascii="Palatino Linotype" w:hAnsi="Palatino Linotype"/>
          <w:sz w:val="24"/>
        </w:rPr>
      </w:pPr>
    </w:p>
    <w:p w14:paraId="535A79D2" w14:textId="77777777" w:rsidR="00484B5E" w:rsidRDefault="00484B5E" w:rsidP="003C6FB3">
      <w:pPr>
        <w:rPr>
          <w:rFonts w:ascii="Palatino Linotype" w:hAnsi="Palatino Linotype"/>
          <w:sz w:val="24"/>
        </w:rPr>
        <w:sectPr w:rsidR="00484B5E" w:rsidSect="00D46636">
          <w:type w:val="continuous"/>
          <w:pgSz w:w="20160" w:h="12240" w:orient="landscape" w:code="5"/>
          <w:pgMar w:top="720" w:right="720" w:bottom="720" w:left="720" w:header="720" w:footer="720" w:gutter="0"/>
          <w:cols w:space="720"/>
          <w:docGrid w:linePitch="360"/>
        </w:sectPr>
      </w:pPr>
    </w:p>
    <w:p w14:paraId="32569695" w14:textId="7D56C9EA" w:rsidR="001B437B" w:rsidRDefault="00945EA6" w:rsidP="00484B5E">
      <w:pPr>
        <w:jc w:val="both"/>
        <w:rPr>
          <w:rFonts w:ascii="Palatino Linotype" w:hAnsi="Palatino Linotype"/>
          <w:sz w:val="24"/>
        </w:rPr>
      </w:pPr>
      <w:r>
        <w:rPr>
          <w:rFonts w:ascii="Palatino Linotype" w:hAnsi="Palatino Linotype"/>
          <w:sz w:val="24"/>
        </w:rPr>
        <w:lastRenderedPageBreak/>
        <w:t>`</w:t>
      </w:r>
      <w:r w:rsidRPr="00945EA6">
        <w:rPr>
          <w:rFonts w:ascii="Palatino Linotype" w:hAnsi="Palatino Linotype"/>
          <w:sz w:val="24"/>
        </w:rPr>
        <w:t>Action Plan and Methodological Guidelines towards Data Generation and Disaggregation for Monitoring and Evaluation of SDGs</w:t>
      </w:r>
      <w:r>
        <w:rPr>
          <w:rFonts w:ascii="Palatino Linotype" w:hAnsi="Palatino Linotype"/>
          <w:sz w:val="24"/>
        </w:rPr>
        <w:t>’</w:t>
      </w:r>
      <w:r w:rsidR="001B437B">
        <w:rPr>
          <w:rFonts w:ascii="Palatino Linotype" w:hAnsi="Palatino Linotype"/>
          <w:sz w:val="24"/>
        </w:rPr>
        <w:t xml:space="preserve"> is the recap guideline and monitoring tool that Bangladesh has developed with a view to check and validate the calculation procedure and current status of data for SDGs in context of Bangladesh.</w:t>
      </w:r>
    </w:p>
    <w:p w14:paraId="058CFFCF" w14:textId="77777777" w:rsidR="00945EA6" w:rsidRPr="003C6FB3" w:rsidRDefault="00945EA6" w:rsidP="00484B5E">
      <w:pPr>
        <w:jc w:val="both"/>
      </w:pPr>
    </w:p>
    <w:p w14:paraId="3EDB999C" w14:textId="0D3E6DF6" w:rsidR="001B437B" w:rsidRDefault="001B437B" w:rsidP="00484B5E">
      <w:pPr>
        <w:jc w:val="both"/>
        <w:rPr>
          <w:rFonts w:ascii="Palatino Linotype" w:hAnsi="Palatino Linotype"/>
          <w:sz w:val="24"/>
        </w:rPr>
      </w:pPr>
      <w:r>
        <w:rPr>
          <w:rFonts w:ascii="Palatino Linotype" w:hAnsi="Palatino Linotype"/>
          <w:sz w:val="24"/>
        </w:rPr>
        <w:t xml:space="preserve">This Action Plan will come forward for country led systematic follow-up and review of current status of data for 247 indicators of the SDGs. All data producing organizations </w:t>
      </w:r>
      <w:r w:rsidRPr="0020656A">
        <w:rPr>
          <w:rFonts w:ascii="Palatino Linotype" w:hAnsi="Palatino Linotype"/>
          <w:sz w:val="24"/>
        </w:rPr>
        <w:t>in global arena as well as country context will get a</w:t>
      </w:r>
      <w:r>
        <w:rPr>
          <w:rFonts w:ascii="Palatino Linotype" w:hAnsi="Palatino Linotype"/>
          <w:sz w:val="24"/>
        </w:rPr>
        <w:t xml:space="preserve"> preferable guideline to check and validate their current status and formation of deliverable data with detailed oriented description and data analysis procedure. </w:t>
      </w:r>
    </w:p>
    <w:p w14:paraId="2F0D2DF7" w14:textId="77777777" w:rsidR="00945EA6" w:rsidRDefault="00945EA6" w:rsidP="00484B5E">
      <w:pPr>
        <w:jc w:val="both"/>
        <w:rPr>
          <w:rFonts w:ascii="Palatino Linotype" w:hAnsi="Palatino Linotype"/>
          <w:sz w:val="24"/>
        </w:rPr>
      </w:pPr>
    </w:p>
    <w:p w14:paraId="50D1CEDB" w14:textId="77777777" w:rsidR="00484B5E" w:rsidRDefault="001B437B" w:rsidP="00484B5E">
      <w:pPr>
        <w:jc w:val="both"/>
        <w:rPr>
          <w:rFonts w:ascii="Palatino Linotype" w:hAnsi="Palatino Linotype"/>
          <w:sz w:val="24"/>
        </w:rPr>
      </w:pPr>
      <w:r>
        <w:rPr>
          <w:rFonts w:ascii="Palatino Linotype" w:hAnsi="Palatino Linotype"/>
          <w:sz w:val="24"/>
        </w:rPr>
        <w:t xml:space="preserve">It is clear to mention from the Action Plan that main responsibility for data generation relies on Bangladesh Bureau of Statistics (BBS), the National Statistical Office (NSO) of the Government of Bangladesh. </w:t>
      </w:r>
    </w:p>
    <w:p w14:paraId="4C5F0950" w14:textId="77777777" w:rsidR="00484B5E" w:rsidRDefault="00484B5E" w:rsidP="00484B5E">
      <w:pPr>
        <w:jc w:val="both"/>
        <w:rPr>
          <w:rFonts w:ascii="Palatino Linotype" w:hAnsi="Palatino Linotype"/>
          <w:sz w:val="24"/>
        </w:rPr>
      </w:pPr>
    </w:p>
    <w:p w14:paraId="7DABD703" w14:textId="77777777" w:rsidR="00484B5E" w:rsidRDefault="00484B5E" w:rsidP="00484B5E">
      <w:pPr>
        <w:jc w:val="both"/>
        <w:rPr>
          <w:rFonts w:ascii="Palatino Linotype" w:hAnsi="Palatino Linotype"/>
          <w:sz w:val="24"/>
        </w:rPr>
      </w:pPr>
    </w:p>
    <w:p w14:paraId="09A0DA74" w14:textId="5C8D07F8" w:rsidR="001B437B" w:rsidRDefault="001B437B" w:rsidP="00484B5E">
      <w:pPr>
        <w:jc w:val="both"/>
        <w:rPr>
          <w:rFonts w:ascii="Palatino Linotype" w:hAnsi="Palatino Linotype"/>
          <w:sz w:val="24"/>
        </w:rPr>
      </w:pPr>
      <w:r>
        <w:rPr>
          <w:rFonts w:ascii="Palatino Linotype" w:hAnsi="Palatino Linotype"/>
          <w:sz w:val="24"/>
        </w:rPr>
        <w:lastRenderedPageBreak/>
        <w:t>It is responsible for generatin</w:t>
      </w:r>
      <w:r w:rsidR="00F31936">
        <w:rPr>
          <w:rFonts w:ascii="Palatino Linotype" w:hAnsi="Palatino Linotype"/>
          <w:sz w:val="24"/>
        </w:rPr>
        <w:t xml:space="preserve">g &amp; disaggregating data for 247 </w:t>
      </w:r>
      <w:r>
        <w:rPr>
          <w:rFonts w:ascii="Palatino Linotype" w:hAnsi="Palatino Linotype"/>
          <w:sz w:val="24"/>
        </w:rPr>
        <w:t>indicators for SDGs monitoring and evaluation. Apart from this, as the NSO, BBS has to guide other data producing agencies like</w:t>
      </w:r>
      <w:r w:rsidR="00F31936">
        <w:rPr>
          <w:rFonts w:ascii="Palatino Linotype" w:hAnsi="Palatino Linotype"/>
          <w:sz w:val="24"/>
        </w:rPr>
        <w:t xml:space="preserve"> ERD, DoE, DGHS, MoEFCC, BFD, FD, BB, BP, BoF</w:t>
      </w:r>
      <w:r w:rsidR="00FA6809">
        <w:rPr>
          <w:rFonts w:ascii="Palatino Linotype" w:hAnsi="Palatino Linotype"/>
          <w:sz w:val="24"/>
        </w:rPr>
        <w:t xml:space="preserve">, LGD, MoDMR, DDM, NIPORT, DPE, MoFA, SHED, BANBEIS, </w:t>
      </w:r>
      <w:proofErr w:type="gramStart"/>
      <w:r w:rsidR="00FA6809">
        <w:rPr>
          <w:rFonts w:ascii="Palatino Linotype" w:hAnsi="Palatino Linotype"/>
          <w:sz w:val="24"/>
        </w:rPr>
        <w:t>MoST</w:t>
      </w:r>
      <w:r>
        <w:rPr>
          <w:rFonts w:ascii="Palatino Linotype" w:hAnsi="Palatino Linotype"/>
          <w:sz w:val="24"/>
        </w:rPr>
        <w:t xml:space="preserve"> </w:t>
      </w:r>
      <w:r w:rsidR="00F31936">
        <w:rPr>
          <w:rFonts w:ascii="Palatino Linotype" w:hAnsi="Palatino Linotype"/>
          <w:sz w:val="24"/>
        </w:rPr>
        <w:t xml:space="preserve"> </w:t>
      </w:r>
      <w:r>
        <w:rPr>
          <w:rFonts w:ascii="Palatino Linotype" w:hAnsi="Palatino Linotype"/>
          <w:sz w:val="24"/>
        </w:rPr>
        <w:t>etc</w:t>
      </w:r>
      <w:proofErr w:type="gramEnd"/>
      <w:r w:rsidR="00945EA6">
        <w:rPr>
          <w:rFonts w:ascii="Palatino Linotype" w:hAnsi="Palatino Linotype"/>
          <w:sz w:val="24"/>
        </w:rPr>
        <w:t>.</w:t>
      </w:r>
      <w:r>
        <w:rPr>
          <w:rFonts w:ascii="Palatino Linotype" w:hAnsi="Palatino Linotype"/>
          <w:sz w:val="24"/>
        </w:rPr>
        <w:t xml:space="preserve"> in generating authentic and reliable data in timely following the metadata of SDGs suggested by the IAEG-SDGs. </w:t>
      </w:r>
    </w:p>
    <w:p w14:paraId="20579F75" w14:textId="77777777" w:rsidR="00945EA6" w:rsidRDefault="00945EA6" w:rsidP="00484B5E">
      <w:pPr>
        <w:jc w:val="both"/>
        <w:rPr>
          <w:rFonts w:ascii="Palatino Linotype" w:hAnsi="Palatino Linotype"/>
          <w:sz w:val="24"/>
        </w:rPr>
      </w:pPr>
    </w:p>
    <w:p w14:paraId="510058CF" w14:textId="043D392A" w:rsidR="00484B5E" w:rsidRDefault="001B437B" w:rsidP="00484B5E">
      <w:pPr>
        <w:jc w:val="both"/>
        <w:rPr>
          <w:rFonts w:ascii="Palatino Linotype" w:hAnsi="Palatino Linotype"/>
          <w:sz w:val="24"/>
        </w:rPr>
      </w:pPr>
      <w:r>
        <w:rPr>
          <w:rFonts w:ascii="Palatino Linotype" w:hAnsi="Palatino Linotype"/>
          <w:sz w:val="24"/>
        </w:rPr>
        <w:t xml:space="preserve">I would like to express thanks to the </w:t>
      </w:r>
      <w:r w:rsidR="00945EA6">
        <w:rPr>
          <w:rFonts w:ascii="Palatino Linotype" w:hAnsi="Palatino Linotype"/>
          <w:sz w:val="24"/>
        </w:rPr>
        <w:t xml:space="preserve">Mr. </w:t>
      </w:r>
      <w:r w:rsidR="00945EA6" w:rsidRPr="00945EA6">
        <w:rPr>
          <w:rFonts w:ascii="Palatino Linotype" w:hAnsi="Palatino Linotype"/>
          <w:sz w:val="24"/>
        </w:rPr>
        <w:t>Muhammad Yamin Chowdhury</w:t>
      </w:r>
      <w:r>
        <w:rPr>
          <w:rFonts w:ascii="Palatino Linotype" w:hAnsi="Palatino Linotype"/>
          <w:sz w:val="24"/>
        </w:rPr>
        <w:t>,</w:t>
      </w:r>
      <w:r w:rsidR="00945EA6">
        <w:rPr>
          <w:rFonts w:ascii="Palatino Linotype" w:hAnsi="Palatino Linotype"/>
          <w:sz w:val="24"/>
        </w:rPr>
        <w:t xml:space="preserve"> Secretary, Statistics Division for his continuous guidance as the chair of National Data Coordination Committee</w:t>
      </w:r>
      <w:r w:rsidR="00B240D7">
        <w:rPr>
          <w:rFonts w:ascii="Palatino Linotype" w:hAnsi="Palatino Linotype"/>
          <w:sz w:val="24"/>
        </w:rPr>
        <w:t xml:space="preserve"> (NDCC). I also like to thanks Mr. Md. Alamgir Hossen, Deputy Director and Focal Point of SDG Cell, BBS for his innovative idea for preparing and </w:t>
      </w:r>
      <w:r>
        <w:rPr>
          <w:rFonts w:ascii="Palatino Linotype" w:hAnsi="Palatino Linotype"/>
          <w:sz w:val="24"/>
        </w:rPr>
        <w:t>organiz</w:t>
      </w:r>
      <w:r w:rsidR="00B240D7">
        <w:rPr>
          <w:rFonts w:ascii="Palatino Linotype" w:hAnsi="Palatino Linotype"/>
          <w:sz w:val="24"/>
        </w:rPr>
        <w:t>ing</w:t>
      </w:r>
      <w:r>
        <w:rPr>
          <w:rFonts w:ascii="Palatino Linotype" w:hAnsi="Palatino Linotype"/>
          <w:sz w:val="24"/>
        </w:rPr>
        <w:t xml:space="preserve"> this </w:t>
      </w:r>
      <w:r w:rsidR="00B240D7">
        <w:rPr>
          <w:rFonts w:ascii="Palatino Linotype" w:hAnsi="Palatino Linotype"/>
          <w:sz w:val="24"/>
        </w:rPr>
        <w:t xml:space="preserve">momentous </w:t>
      </w:r>
      <w:r>
        <w:rPr>
          <w:rFonts w:ascii="Palatino Linotype" w:hAnsi="Palatino Linotype"/>
          <w:sz w:val="24"/>
        </w:rPr>
        <w:t xml:space="preserve">report. </w:t>
      </w:r>
    </w:p>
    <w:p w14:paraId="3BC6A785" w14:textId="77777777" w:rsidR="00B240D7" w:rsidRDefault="00B240D7" w:rsidP="00484B5E">
      <w:pPr>
        <w:jc w:val="both"/>
        <w:rPr>
          <w:rFonts w:ascii="Palatino Linotype" w:hAnsi="Palatino Linotype"/>
          <w:sz w:val="24"/>
        </w:rPr>
      </w:pPr>
    </w:p>
    <w:p w14:paraId="3E60ECC9" w14:textId="77777777" w:rsidR="001B437B" w:rsidRDefault="001B437B" w:rsidP="001B437B">
      <w:pPr>
        <w:rPr>
          <w:rFonts w:ascii="Palatino Linotype" w:hAnsi="Palatino Linotype"/>
          <w:sz w:val="24"/>
        </w:rPr>
      </w:pPr>
    </w:p>
    <w:p w14:paraId="5F7C29D1" w14:textId="0E711907" w:rsidR="00484B5E" w:rsidRPr="008B182C" w:rsidRDefault="001B437B" w:rsidP="00B240D7">
      <w:pPr>
        <w:pStyle w:val="NoSpacing"/>
        <w:tabs>
          <w:tab w:val="right" w:pos="9000"/>
        </w:tabs>
        <w:jc w:val="both"/>
        <w:rPr>
          <w:rFonts w:ascii="Palatino Linotype" w:hAnsi="Palatino Linotype" w:cs="Times New Roman"/>
          <w:b/>
          <w:bCs/>
          <w:color w:val="000000" w:themeColor="text1"/>
          <w:sz w:val="24"/>
        </w:rPr>
      </w:pPr>
      <w:r>
        <w:rPr>
          <w:rFonts w:ascii="Palatino Linotype" w:hAnsi="Palatino Linotype"/>
          <w:sz w:val="24"/>
        </w:rPr>
        <w:t>Dhaka, June 2020</w:t>
      </w:r>
      <w:r w:rsidR="00B240D7">
        <w:rPr>
          <w:rFonts w:ascii="Palatino Linotype" w:hAnsi="Palatino Linotype"/>
          <w:sz w:val="24"/>
        </w:rPr>
        <w:tab/>
      </w:r>
      <w:r w:rsidR="00484B5E" w:rsidRPr="00CB7075">
        <w:rPr>
          <w:rFonts w:ascii="Palatino Linotype" w:hAnsi="Palatino Linotype" w:cs="Times New Roman"/>
          <w:bCs/>
          <w:color w:val="000000" w:themeColor="text1"/>
          <w:sz w:val="24"/>
        </w:rPr>
        <w:t>Mohammad Tajul Islam</w:t>
      </w:r>
    </w:p>
    <w:p w14:paraId="395D25F8" w14:textId="77777777" w:rsidR="00484B5E" w:rsidRDefault="00484B5E" w:rsidP="00484B5E">
      <w:pPr>
        <w:rPr>
          <w:rFonts w:ascii="Palatino Linotype" w:hAnsi="Palatino Linotype"/>
          <w:sz w:val="24"/>
        </w:rPr>
        <w:sectPr w:rsidR="00484B5E" w:rsidSect="00D46636">
          <w:type w:val="continuous"/>
          <w:pgSz w:w="20160" w:h="12240" w:orient="landscape" w:code="5"/>
          <w:pgMar w:top="720" w:right="720" w:bottom="720" w:left="720" w:header="720" w:footer="720" w:gutter="0"/>
          <w:cols w:num="2" w:space="720"/>
          <w:docGrid w:linePitch="360"/>
        </w:sectPr>
      </w:pPr>
    </w:p>
    <w:p w14:paraId="00C691AA" w14:textId="3D441B78" w:rsidR="00A94BEA" w:rsidRDefault="001B437B" w:rsidP="00F15399">
      <w:pPr>
        <w:pStyle w:val="NoSpacing"/>
        <w:jc w:val="both"/>
        <w:rPr>
          <w:rFonts w:ascii="Palatino Linotype" w:hAnsi="Palatino Linotype"/>
          <w:sz w:val="24"/>
        </w:rPr>
      </w:pPr>
      <w:r>
        <w:rPr>
          <w:rFonts w:ascii="Palatino Linotype" w:hAnsi="Palatino Linotype"/>
          <w:sz w:val="24"/>
        </w:rPr>
        <w:lastRenderedPageBreak/>
        <w:tab/>
      </w:r>
    </w:p>
    <w:p w14:paraId="77DF0633" w14:textId="77777777" w:rsidR="00B240D7" w:rsidRDefault="00B240D7">
      <w:pPr>
        <w:rPr>
          <w:rFonts w:ascii="Palatino Linotype" w:hAnsi="Palatino Linotype"/>
          <w:b/>
          <w:sz w:val="36"/>
        </w:rPr>
      </w:pPr>
      <w:r>
        <w:rPr>
          <w:rFonts w:ascii="Palatino Linotype" w:hAnsi="Palatino Linotype"/>
          <w:b/>
          <w:sz w:val="36"/>
        </w:rPr>
        <w:br w:type="page"/>
      </w:r>
    </w:p>
    <w:p w14:paraId="563EF62A" w14:textId="23D9DC24" w:rsidR="001B437B" w:rsidRDefault="00F15399" w:rsidP="000A79DF">
      <w:pPr>
        <w:jc w:val="center"/>
        <w:rPr>
          <w:rFonts w:ascii="Palatino Linotype" w:hAnsi="Palatino Linotype"/>
          <w:b/>
          <w:sz w:val="36"/>
        </w:rPr>
      </w:pPr>
      <w:r>
        <w:rPr>
          <w:rFonts w:ascii="Palatino Linotype" w:hAnsi="Palatino Linotype" w:cs="Times New Roman"/>
          <w:b/>
          <w:bCs/>
          <w:noProof/>
          <w:color w:val="000000" w:themeColor="text1"/>
          <w:sz w:val="24"/>
          <w:lang w:bidi="bn-BD"/>
        </w:rPr>
        <w:lastRenderedPageBreak/>
        <w:drawing>
          <wp:anchor distT="0" distB="0" distL="114300" distR="114300" simplePos="0" relativeHeight="251747840" behindDoc="1" locked="0" layoutInCell="1" allowOverlap="1" wp14:anchorId="0097CF04" wp14:editId="6624EEC7">
            <wp:simplePos x="0" y="0"/>
            <wp:positionH relativeFrom="margin">
              <wp:align>right</wp:align>
            </wp:positionH>
            <wp:positionV relativeFrom="paragraph">
              <wp:posOffset>7035</wp:posOffset>
            </wp:positionV>
            <wp:extent cx="778119" cy="794108"/>
            <wp:effectExtent l="0" t="0" r="3175" b="6350"/>
            <wp:wrapNone/>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 name="bb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8119" cy="794108"/>
                    </a:xfrm>
                    <a:prstGeom prst="rect">
                      <a:avLst/>
                    </a:prstGeom>
                  </pic:spPr>
                </pic:pic>
              </a:graphicData>
            </a:graphic>
            <wp14:sizeRelH relativeFrom="margin">
              <wp14:pctWidth>0</wp14:pctWidth>
            </wp14:sizeRelH>
            <wp14:sizeRelV relativeFrom="margin">
              <wp14:pctHeight>0</wp14:pctHeight>
            </wp14:sizeRelV>
          </wp:anchor>
        </w:drawing>
      </w:r>
      <w:r w:rsidR="001A70DB">
        <w:rPr>
          <w:rFonts w:ascii="Palatino Linotype" w:hAnsi="Palatino Linotype" w:cs="Times New Roman"/>
          <w:noProof/>
          <w:color w:val="000000" w:themeColor="text1"/>
          <w:sz w:val="24"/>
          <w:lang w:bidi="bn-BD"/>
        </w:rPr>
        <w:drawing>
          <wp:anchor distT="0" distB="0" distL="114300" distR="114300" simplePos="0" relativeHeight="251739648" behindDoc="1" locked="0" layoutInCell="1" allowOverlap="1" wp14:anchorId="14754D0F" wp14:editId="18C295D1">
            <wp:simplePos x="0" y="0"/>
            <wp:positionH relativeFrom="margin">
              <wp:posOffset>44450</wp:posOffset>
            </wp:positionH>
            <wp:positionV relativeFrom="paragraph">
              <wp:posOffset>147320</wp:posOffset>
            </wp:positionV>
            <wp:extent cx="1213692" cy="1517650"/>
            <wp:effectExtent l="19050" t="19050" r="24765" b="25400"/>
            <wp:wrapNone/>
            <wp:docPr id="12775" name="Picture 1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 name="Alamgir Si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5991" cy="1520524"/>
                    </a:xfrm>
                    <a:prstGeom prst="rect">
                      <a:avLst/>
                    </a:prstGeom>
                    <a:ln w="12700" cap="sq" cmpd="thickThin">
                      <a:solidFill>
                        <a:schemeClr val="accent5">
                          <a:lumMod val="75000"/>
                        </a:schemeClr>
                      </a:solidFill>
                      <a:prstDash val="solid"/>
                      <a:miter lim="800000"/>
                    </a:ln>
                    <a:effectLst/>
                  </pic:spPr>
                </pic:pic>
              </a:graphicData>
            </a:graphic>
            <wp14:sizeRelH relativeFrom="margin">
              <wp14:pctWidth>0</wp14:pctWidth>
            </wp14:sizeRelH>
            <wp14:sizeRelV relativeFrom="margin">
              <wp14:pctHeight>0</wp14:pctHeight>
            </wp14:sizeRelV>
          </wp:anchor>
        </w:drawing>
      </w:r>
      <w:r w:rsidR="001B437B" w:rsidRPr="00F47023">
        <w:rPr>
          <w:rFonts w:ascii="Palatino Linotype" w:hAnsi="Palatino Linotype"/>
          <w:b/>
          <w:sz w:val="36"/>
        </w:rPr>
        <w:t>Acknowledgements</w:t>
      </w:r>
    </w:p>
    <w:p w14:paraId="1EF0A443" w14:textId="071A7AEF" w:rsidR="00484B5E" w:rsidRDefault="00484B5E" w:rsidP="00484B5E">
      <w:pPr>
        <w:pStyle w:val="NoSpacing"/>
        <w:jc w:val="center"/>
        <w:rPr>
          <w:rFonts w:ascii="Palatino Linotype" w:hAnsi="Palatino Linotype" w:cs="Times New Roman"/>
          <w:b/>
          <w:bCs/>
          <w:color w:val="000000" w:themeColor="text1"/>
          <w:sz w:val="24"/>
        </w:rPr>
      </w:pPr>
      <w:r>
        <w:rPr>
          <w:rFonts w:ascii="Palatino Linotype" w:hAnsi="Palatino Linotype" w:cs="Times New Roman"/>
          <w:b/>
          <w:bCs/>
          <w:color w:val="000000" w:themeColor="text1"/>
          <w:sz w:val="24"/>
        </w:rPr>
        <w:t xml:space="preserve">                             </w:t>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r>
        <w:rPr>
          <w:rFonts w:ascii="Palatino Linotype" w:hAnsi="Palatino Linotype" w:cs="Times New Roman"/>
          <w:b/>
          <w:bCs/>
          <w:color w:val="000000" w:themeColor="text1"/>
          <w:sz w:val="24"/>
        </w:rPr>
        <w:tab/>
      </w:r>
    </w:p>
    <w:p w14:paraId="26728335" w14:textId="77777777" w:rsidR="00484B5E" w:rsidRPr="000A79DF" w:rsidRDefault="00484B5E" w:rsidP="00484B5E">
      <w:pPr>
        <w:pStyle w:val="NoSpacing"/>
        <w:ind w:left="7920" w:firstLine="720"/>
        <w:jc w:val="center"/>
        <w:rPr>
          <w:rFonts w:ascii="Palatino Linotype" w:hAnsi="Palatino Linotype" w:cs="Times New Roman"/>
          <w:b/>
          <w:bCs/>
          <w:color w:val="000000" w:themeColor="text1"/>
          <w:sz w:val="38"/>
          <w:szCs w:val="38"/>
        </w:rPr>
      </w:pPr>
    </w:p>
    <w:p w14:paraId="658D74C3" w14:textId="5BF7583F" w:rsidR="00484B5E" w:rsidRPr="008B182C" w:rsidRDefault="00484B5E" w:rsidP="00F15399">
      <w:pPr>
        <w:pStyle w:val="NoSpacing"/>
        <w:ind w:left="8640"/>
        <w:jc w:val="right"/>
        <w:rPr>
          <w:rFonts w:ascii="Palatino Linotype" w:hAnsi="Palatino Linotype" w:cs="Times New Roman"/>
          <w:b/>
          <w:bCs/>
          <w:color w:val="000000" w:themeColor="text1"/>
          <w:sz w:val="24"/>
        </w:rPr>
      </w:pPr>
      <w:r w:rsidRPr="008B182C">
        <w:rPr>
          <w:rFonts w:ascii="Palatino Linotype" w:hAnsi="Palatino Linotype" w:cs="Times New Roman"/>
          <w:b/>
          <w:bCs/>
          <w:color w:val="000000" w:themeColor="text1"/>
          <w:sz w:val="24"/>
        </w:rPr>
        <w:t>M</w:t>
      </w:r>
      <w:r w:rsidR="001A70DB">
        <w:rPr>
          <w:rFonts w:ascii="Palatino Linotype" w:hAnsi="Palatino Linotype" w:cs="Times New Roman"/>
          <w:b/>
          <w:bCs/>
          <w:color w:val="000000" w:themeColor="text1"/>
          <w:sz w:val="24"/>
        </w:rPr>
        <w:t>d. Alamgir Hosse</w:t>
      </w:r>
      <w:r>
        <w:rPr>
          <w:rFonts w:ascii="Palatino Linotype" w:hAnsi="Palatino Linotype" w:cs="Times New Roman"/>
          <w:b/>
          <w:bCs/>
          <w:color w:val="000000" w:themeColor="text1"/>
          <w:sz w:val="24"/>
        </w:rPr>
        <w:t>n</w:t>
      </w:r>
    </w:p>
    <w:p w14:paraId="7EC55C24" w14:textId="451260F8" w:rsidR="00484B5E" w:rsidRDefault="001A70DB" w:rsidP="00F15399">
      <w:pPr>
        <w:pStyle w:val="NoSpacing"/>
        <w:ind w:left="8640" w:firstLine="720"/>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Focal Point Officer</w:t>
      </w:r>
      <w:r w:rsidR="000A79DF">
        <w:rPr>
          <w:rFonts w:ascii="Palatino Linotype" w:hAnsi="Palatino Linotype" w:cs="Times New Roman"/>
          <w:color w:val="000000" w:themeColor="text1"/>
          <w:sz w:val="24"/>
        </w:rPr>
        <w:t xml:space="preserve">, </w:t>
      </w:r>
      <w:r>
        <w:rPr>
          <w:rFonts w:ascii="Palatino Linotype" w:hAnsi="Palatino Linotype" w:cs="Times New Roman"/>
          <w:color w:val="000000" w:themeColor="text1"/>
          <w:sz w:val="24"/>
        </w:rPr>
        <w:t>SDG Cell</w:t>
      </w:r>
    </w:p>
    <w:p w14:paraId="746CC238" w14:textId="50FFD449" w:rsidR="00484B5E" w:rsidRPr="008B182C" w:rsidRDefault="00484B5E" w:rsidP="00F15399">
      <w:pPr>
        <w:pStyle w:val="NoSpacing"/>
        <w:ind w:left="8640" w:firstLine="720"/>
        <w:jc w:val="right"/>
        <w:rPr>
          <w:rFonts w:ascii="Palatino Linotype" w:hAnsi="Palatino Linotype" w:cs="Times New Roman"/>
          <w:color w:val="000000" w:themeColor="text1"/>
          <w:sz w:val="24"/>
        </w:rPr>
      </w:pPr>
      <w:r>
        <w:rPr>
          <w:rFonts w:ascii="Palatino Linotype" w:hAnsi="Palatino Linotype" w:cs="Times New Roman"/>
          <w:color w:val="000000" w:themeColor="text1"/>
          <w:sz w:val="24"/>
        </w:rPr>
        <w:t>Bangladesh Bureau of Statistics</w:t>
      </w:r>
      <w:r w:rsidR="001A70DB">
        <w:rPr>
          <w:rFonts w:ascii="Palatino Linotype" w:hAnsi="Palatino Linotype" w:cs="Times New Roman"/>
          <w:color w:val="000000" w:themeColor="text1"/>
          <w:sz w:val="24"/>
        </w:rPr>
        <w:t xml:space="preserve"> (BBS)</w:t>
      </w:r>
    </w:p>
    <w:p w14:paraId="0B63C2FA" w14:textId="77777777" w:rsidR="00484B5E" w:rsidRDefault="00484B5E" w:rsidP="00F15399">
      <w:pPr>
        <w:pStyle w:val="NoSpacing"/>
        <w:ind w:left="8640" w:firstLine="720"/>
        <w:jc w:val="right"/>
        <w:rPr>
          <w:rFonts w:ascii="Palatino Linotype" w:hAnsi="Palatino Linotype" w:cs="Times New Roman"/>
          <w:color w:val="000000" w:themeColor="text1"/>
          <w:sz w:val="24"/>
        </w:rPr>
      </w:pPr>
      <w:r w:rsidRPr="008B182C">
        <w:rPr>
          <w:rFonts w:ascii="Palatino Linotype" w:hAnsi="Palatino Linotype" w:cs="Times New Roman"/>
          <w:color w:val="000000" w:themeColor="text1"/>
          <w:sz w:val="24"/>
        </w:rPr>
        <w:t>Government of the People’s Republic of Bangladesh</w:t>
      </w:r>
    </w:p>
    <w:p w14:paraId="2AD28965" w14:textId="77777777" w:rsidR="00484B5E" w:rsidRPr="000A79DF" w:rsidRDefault="00484B5E" w:rsidP="003C6FB3">
      <w:pPr>
        <w:jc w:val="both"/>
        <w:rPr>
          <w:rFonts w:ascii="Palatino Linotype" w:hAnsi="Palatino Linotype"/>
          <w:b/>
          <w:sz w:val="12"/>
          <w:szCs w:val="8"/>
        </w:rPr>
      </w:pPr>
    </w:p>
    <w:p w14:paraId="32A6C755" w14:textId="221F6E2D" w:rsidR="000A79DF" w:rsidRPr="000A79DF" w:rsidRDefault="000A79DF" w:rsidP="003C6FB3">
      <w:pPr>
        <w:jc w:val="both"/>
        <w:rPr>
          <w:rFonts w:ascii="Palatino Linotype" w:hAnsi="Palatino Linotype"/>
          <w:sz w:val="8"/>
          <w:szCs w:val="8"/>
        </w:rPr>
        <w:sectPr w:rsidR="000A79DF" w:rsidRPr="000A79DF" w:rsidSect="00D46636">
          <w:type w:val="continuous"/>
          <w:pgSz w:w="20160" w:h="12240" w:orient="landscape" w:code="5"/>
          <w:pgMar w:top="720" w:right="720" w:bottom="720" w:left="720" w:header="720" w:footer="720" w:gutter="0"/>
          <w:cols w:space="720"/>
          <w:docGrid w:linePitch="360"/>
        </w:sectPr>
      </w:pPr>
    </w:p>
    <w:p w14:paraId="48768917" w14:textId="7877AC71" w:rsidR="001B437B" w:rsidRDefault="001B437B" w:rsidP="000A79DF">
      <w:pPr>
        <w:spacing w:line="228" w:lineRule="auto"/>
        <w:jc w:val="both"/>
        <w:rPr>
          <w:rFonts w:ascii="Palatino Linotype" w:hAnsi="Palatino Linotype"/>
          <w:sz w:val="24"/>
        </w:rPr>
      </w:pPr>
      <w:r>
        <w:rPr>
          <w:rFonts w:ascii="Palatino Linotype" w:hAnsi="Palatino Linotype"/>
          <w:sz w:val="24"/>
        </w:rPr>
        <w:lastRenderedPageBreak/>
        <w:t>The</w:t>
      </w:r>
      <w:r w:rsidR="00225240">
        <w:rPr>
          <w:rFonts w:ascii="Palatino Linotype" w:hAnsi="Palatino Linotype"/>
          <w:sz w:val="24"/>
        </w:rPr>
        <w:t xml:space="preserve"> ‘</w:t>
      </w:r>
      <w:r w:rsidR="003C6FB3" w:rsidRPr="003C6FB3">
        <w:rPr>
          <w:rFonts w:ascii="Palatino Linotype" w:hAnsi="Palatino Linotype"/>
          <w:sz w:val="24"/>
        </w:rPr>
        <w:t xml:space="preserve">Action plan and Methodological Guidelines towards Data Generation &amp; Disaggregation </w:t>
      </w:r>
      <w:r w:rsidR="000A79DF" w:rsidRPr="003C6FB3">
        <w:rPr>
          <w:rFonts w:ascii="Palatino Linotype" w:hAnsi="Palatino Linotype"/>
          <w:sz w:val="24"/>
        </w:rPr>
        <w:t>for</w:t>
      </w:r>
      <w:r w:rsidR="003C6FB3" w:rsidRPr="003C6FB3">
        <w:rPr>
          <w:rFonts w:ascii="Palatino Linotype" w:hAnsi="Palatino Linotype"/>
          <w:sz w:val="24"/>
        </w:rPr>
        <w:t xml:space="preserve"> Monitoring</w:t>
      </w:r>
      <w:r w:rsidR="00225240">
        <w:rPr>
          <w:rFonts w:ascii="Palatino Linotype" w:hAnsi="Palatino Linotype"/>
          <w:sz w:val="24"/>
        </w:rPr>
        <w:t xml:space="preserve"> </w:t>
      </w:r>
      <w:r w:rsidR="003C6FB3" w:rsidRPr="003C6FB3">
        <w:rPr>
          <w:rFonts w:ascii="Palatino Linotype" w:hAnsi="Palatino Linotype"/>
          <w:sz w:val="24"/>
        </w:rPr>
        <w:t>and evaluation of SDGs</w:t>
      </w:r>
      <w:r w:rsidR="00225240">
        <w:rPr>
          <w:rFonts w:ascii="Palatino Linotype" w:hAnsi="Palatino Linotype"/>
          <w:sz w:val="24"/>
        </w:rPr>
        <w:t xml:space="preserve">’ </w:t>
      </w:r>
      <w:r w:rsidRPr="00603A27">
        <w:rPr>
          <w:rFonts w:ascii="Palatino Linotype" w:hAnsi="Palatino Linotype"/>
          <w:sz w:val="24"/>
        </w:rPr>
        <w:t>has been</w:t>
      </w:r>
      <w:r>
        <w:rPr>
          <w:rFonts w:ascii="Palatino Linotype" w:hAnsi="Palatino Linotype"/>
          <w:sz w:val="24"/>
        </w:rPr>
        <w:t xml:space="preserve"> formulated in order to reflect the procedure and updated status of data generation and disaggregation in context of Bangladesh. </w:t>
      </w:r>
    </w:p>
    <w:p w14:paraId="06761D69" w14:textId="1AF4434C" w:rsidR="001B437B" w:rsidRDefault="001B437B" w:rsidP="000A79DF">
      <w:pPr>
        <w:spacing w:line="228" w:lineRule="auto"/>
        <w:jc w:val="both"/>
        <w:rPr>
          <w:rFonts w:ascii="Palatino Linotype" w:hAnsi="Palatino Linotype"/>
          <w:sz w:val="24"/>
        </w:rPr>
      </w:pPr>
      <w:r>
        <w:rPr>
          <w:rFonts w:ascii="Palatino Linotype" w:hAnsi="Palatino Linotype"/>
          <w:sz w:val="24"/>
        </w:rPr>
        <w:t xml:space="preserve">The process of initiative and formation started after completing several </w:t>
      </w:r>
      <w:r w:rsidR="00225240">
        <w:rPr>
          <w:rFonts w:ascii="Palatino Linotype" w:hAnsi="Palatino Linotype"/>
          <w:sz w:val="24"/>
        </w:rPr>
        <w:t>inter-</w:t>
      </w:r>
      <w:r>
        <w:rPr>
          <w:rFonts w:ascii="Palatino Linotype" w:hAnsi="Palatino Linotype"/>
          <w:sz w:val="24"/>
        </w:rPr>
        <w:t xml:space="preserve">ministerial workshops and different meetings of National </w:t>
      </w:r>
      <w:r w:rsidR="00225240">
        <w:rPr>
          <w:rFonts w:ascii="Palatino Linotype" w:hAnsi="Palatino Linotype"/>
          <w:sz w:val="24"/>
        </w:rPr>
        <w:t>D</w:t>
      </w:r>
      <w:r>
        <w:rPr>
          <w:rFonts w:ascii="Palatino Linotype" w:hAnsi="Palatino Linotype"/>
          <w:sz w:val="24"/>
        </w:rPr>
        <w:t xml:space="preserve">ata </w:t>
      </w:r>
      <w:r w:rsidR="00225240">
        <w:rPr>
          <w:rFonts w:ascii="Palatino Linotype" w:hAnsi="Palatino Linotype"/>
          <w:sz w:val="24"/>
        </w:rPr>
        <w:t>C</w:t>
      </w:r>
      <w:r>
        <w:rPr>
          <w:rFonts w:ascii="Palatino Linotype" w:hAnsi="Palatino Linotype"/>
          <w:sz w:val="24"/>
        </w:rPr>
        <w:t xml:space="preserve">oordination </w:t>
      </w:r>
      <w:r w:rsidR="00225240">
        <w:rPr>
          <w:rFonts w:ascii="Palatino Linotype" w:hAnsi="Palatino Linotype"/>
          <w:sz w:val="24"/>
        </w:rPr>
        <w:t>C</w:t>
      </w:r>
      <w:r>
        <w:rPr>
          <w:rFonts w:ascii="Palatino Linotype" w:hAnsi="Palatino Linotype"/>
          <w:sz w:val="24"/>
        </w:rPr>
        <w:t>ommittee (NDCC).</w:t>
      </w:r>
      <w:r w:rsidR="00225240">
        <w:rPr>
          <w:rFonts w:ascii="Palatino Linotype" w:hAnsi="Palatino Linotype"/>
          <w:sz w:val="24"/>
        </w:rPr>
        <w:t xml:space="preserve"> </w:t>
      </w:r>
      <w:r>
        <w:rPr>
          <w:rFonts w:ascii="Palatino Linotype" w:hAnsi="Palatino Linotype"/>
          <w:sz w:val="24"/>
        </w:rPr>
        <w:t>Different consultation workshop</w:t>
      </w:r>
      <w:r w:rsidR="00225240">
        <w:rPr>
          <w:rFonts w:ascii="Palatino Linotype" w:hAnsi="Palatino Linotype"/>
          <w:sz w:val="24"/>
        </w:rPr>
        <w:t>s</w:t>
      </w:r>
      <w:r>
        <w:rPr>
          <w:rFonts w:ascii="Palatino Linotype" w:hAnsi="Palatino Linotype"/>
          <w:sz w:val="24"/>
        </w:rPr>
        <w:t xml:space="preserve"> ha</w:t>
      </w:r>
      <w:r w:rsidR="00225240">
        <w:rPr>
          <w:rFonts w:ascii="Palatino Linotype" w:hAnsi="Palatino Linotype"/>
          <w:sz w:val="24"/>
        </w:rPr>
        <w:t>ve</w:t>
      </w:r>
      <w:r>
        <w:rPr>
          <w:rFonts w:ascii="Palatino Linotype" w:hAnsi="Palatino Linotype"/>
          <w:sz w:val="24"/>
        </w:rPr>
        <w:t xml:space="preserve"> been conducted to finalize this </w:t>
      </w:r>
      <w:r w:rsidR="00225240">
        <w:rPr>
          <w:rFonts w:ascii="Palatino Linotype" w:hAnsi="Palatino Linotype"/>
          <w:sz w:val="24"/>
        </w:rPr>
        <w:t>publication</w:t>
      </w:r>
      <w:r>
        <w:rPr>
          <w:rFonts w:ascii="Palatino Linotype" w:hAnsi="Palatino Linotype"/>
          <w:sz w:val="24"/>
        </w:rPr>
        <w:t xml:space="preserve"> and also a plethora of written opinions have collected from </w:t>
      </w:r>
      <w:r w:rsidR="00225240">
        <w:rPr>
          <w:rFonts w:ascii="Palatino Linotype" w:hAnsi="Palatino Linotype"/>
          <w:sz w:val="24"/>
        </w:rPr>
        <w:t>stakeholders</w:t>
      </w:r>
      <w:r>
        <w:rPr>
          <w:rFonts w:ascii="Palatino Linotype" w:hAnsi="Palatino Linotype"/>
          <w:sz w:val="24"/>
        </w:rPr>
        <w:t xml:space="preserve">. Apart from this, the action plan has been shared multiple times </w:t>
      </w:r>
      <w:r w:rsidR="00225240">
        <w:rPr>
          <w:rFonts w:ascii="Palatino Linotype" w:hAnsi="Palatino Linotype"/>
          <w:sz w:val="24"/>
        </w:rPr>
        <w:t>in</w:t>
      </w:r>
      <w:r>
        <w:rPr>
          <w:rFonts w:ascii="Palatino Linotype" w:hAnsi="Palatino Linotype"/>
          <w:sz w:val="24"/>
        </w:rPr>
        <w:t xml:space="preserve"> National </w:t>
      </w:r>
      <w:r w:rsidR="00225240">
        <w:rPr>
          <w:rFonts w:ascii="Palatino Linotype" w:hAnsi="Palatino Linotype"/>
          <w:sz w:val="24"/>
        </w:rPr>
        <w:t>D</w:t>
      </w:r>
      <w:r>
        <w:rPr>
          <w:rFonts w:ascii="Palatino Linotype" w:hAnsi="Palatino Linotype"/>
          <w:sz w:val="24"/>
        </w:rPr>
        <w:t xml:space="preserve">ata </w:t>
      </w:r>
      <w:r w:rsidR="00225240">
        <w:rPr>
          <w:rFonts w:ascii="Palatino Linotype" w:hAnsi="Palatino Linotype"/>
          <w:sz w:val="24"/>
        </w:rPr>
        <w:t>C</w:t>
      </w:r>
      <w:r>
        <w:rPr>
          <w:rFonts w:ascii="Palatino Linotype" w:hAnsi="Palatino Linotype"/>
          <w:sz w:val="24"/>
        </w:rPr>
        <w:t xml:space="preserve">oordination </w:t>
      </w:r>
      <w:r w:rsidR="00225240">
        <w:rPr>
          <w:rFonts w:ascii="Palatino Linotype" w:hAnsi="Palatino Linotype"/>
          <w:sz w:val="24"/>
        </w:rPr>
        <w:t>C</w:t>
      </w:r>
      <w:r>
        <w:rPr>
          <w:rFonts w:ascii="Palatino Linotype" w:hAnsi="Palatino Linotype"/>
          <w:sz w:val="24"/>
        </w:rPr>
        <w:t>ommittee (NDCC).</w:t>
      </w:r>
    </w:p>
    <w:p w14:paraId="031860FC" w14:textId="37DE998E" w:rsidR="00484B5E" w:rsidRDefault="00484B5E" w:rsidP="000A79DF">
      <w:pPr>
        <w:spacing w:line="228" w:lineRule="auto"/>
        <w:jc w:val="both"/>
        <w:rPr>
          <w:rFonts w:ascii="Palatino Linotype" w:hAnsi="Palatino Linotype"/>
          <w:sz w:val="24"/>
        </w:rPr>
      </w:pPr>
      <w:r w:rsidRPr="00484B5E">
        <w:rPr>
          <w:rFonts w:ascii="Palatino Linotype" w:hAnsi="Palatino Linotype"/>
          <w:sz w:val="24"/>
        </w:rPr>
        <w:t>To organize and validate, this report has been checked with SDG</w:t>
      </w:r>
      <w:r w:rsidR="00225240">
        <w:rPr>
          <w:rFonts w:ascii="Palatino Linotype" w:hAnsi="Palatino Linotype"/>
          <w:sz w:val="24"/>
        </w:rPr>
        <w:t>s</w:t>
      </w:r>
      <w:r w:rsidRPr="00484B5E">
        <w:rPr>
          <w:rFonts w:ascii="Palatino Linotype" w:hAnsi="Palatino Linotype"/>
          <w:sz w:val="24"/>
        </w:rPr>
        <w:t xml:space="preserve"> Data Availability Status Report, Revised Monitoring and Evaluation Framework of the Sustainable Development Goals (SDGs): Bangladesh Perspective and SDG Indicators Metadata repository. Later on, the indicators statement and Tier classification</w:t>
      </w:r>
      <w:r w:rsidR="00225240">
        <w:rPr>
          <w:rFonts w:ascii="Palatino Linotype" w:hAnsi="Palatino Linotype"/>
          <w:sz w:val="24"/>
        </w:rPr>
        <w:t>s</w:t>
      </w:r>
      <w:r w:rsidRPr="00484B5E">
        <w:rPr>
          <w:rFonts w:ascii="Palatino Linotype" w:hAnsi="Palatino Linotype"/>
          <w:sz w:val="24"/>
        </w:rPr>
        <w:t xml:space="preserve"> have been again checked with the Tier Classification Sheet (as of 17 April 2020).</w:t>
      </w:r>
    </w:p>
    <w:p w14:paraId="053009BC" w14:textId="2DA9EF64" w:rsidR="00BE19D1" w:rsidRDefault="00225240" w:rsidP="000A79DF">
      <w:pPr>
        <w:spacing w:line="228" w:lineRule="auto"/>
        <w:jc w:val="both"/>
        <w:rPr>
          <w:rFonts w:ascii="Palatino Linotype" w:hAnsi="Palatino Linotype"/>
          <w:sz w:val="24"/>
        </w:rPr>
      </w:pPr>
      <w:r>
        <w:rPr>
          <w:rFonts w:ascii="Palatino Linotype" w:hAnsi="Palatino Linotype"/>
          <w:sz w:val="24"/>
        </w:rPr>
        <w:t>I would like to acknowledge Ms.</w:t>
      </w:r>
      <w:r w:rsidR="001B437B">
        <w:rPr>
          <w:rFonts w:ascii="Palatino Linotype" w:hAnsi="Palatino Linotype"/>
          <w:sz w:val="24"/>
        </w:rPr>
        <w:t xml:space="preserve"> Zuena Aziz</w:t>
      </w:r>
      <w:r>
        <w:rPr>
          <w:rFonts w:ascii="Palatino Linotype" w:hAnsi="Palatino Linotype"/>
          <w:sz w:val="24"/>
        </w:rPr>
        <w:t>, Principal Coordinator (SDGs Affairs), PMO;</w:t>
      </w:r>
      <w:r w:rsidR="001B437B">
        <w:rPr>
          <w:rFonts w:ascii="Palatino Linotype" w:hAnsi="Palatino Linotype"/>
          <w:sz w:val="24"/>
        </w:rPr>
        <w:t xml:space="preserve"> </w:t>
      </w:r>
      <w:r>
        <w:rPr>
          <w:rFonts w:ascii="Palatino Linotype" w:hAnsi="Palatino Linotype"/>
          <w:sz w:val="24"/>
        </w:rPr>
        <w:t>Mr. Md. Abul Kalam Azad, Former Principal Coordinator (SDGs affairs), PMO; Mr. Md. Shamsul Alam, Member (Senior Secretary), General Economics Division; Mr. Mohammad Yamin Chowdhury, Secretary, Statistics and Informatics Division and Mr. Mohammad Tajul Islam, Director General, Bangladesh Bureau of Statistics for their continuous guidance and direction to prepare this document.</w:t>
      </w:r>
      <w:r w:rsidR="001B437B">
        <w:rPr>
          <w:rFonts w:ascii="Palatino Linotype" w:hAnsi="Palatino Linotype"/>
          <w:sz w:val="24"/>
        </w:rPr>
        <w:t xml:space="preserve"> </w:t>
      </w:r>
      <w:r>
        <w:rPr>
          <w:rFonts w:ascii="Palatino Linotype" w:hAnsi="Palatino Linotype"/>
          <w:sz w:val="24"/>
        </w:rPr>
        <w:t xml:space="preserve">Special thanks to </w:t>
      </w:r>
      <w:r w:rsidR="00BE19D1">
        <w:rPr>
          <w:rFonts w:ascii="Palatino Linotype" w:hAnsi="Palatino Linotype"/>
          <w:sz w:val="24"/>
        </w:rPr>
        <w:t xml:space="preserve">Mr. Mohammad Monirul Islam, Deputy Secretary, PMO; </w:t>
      </w:r>
      <w:r w:rsidR="001B437B">
        <w:rPr>
          <w:rFonts w:ascii="Palatino Linotype" w:hAnsi="Palatino Linotype"/>
          <w:sz w:val="24"/>
        </w:rPr>
        <w:t xml:space="preserve">Dr. </w:t>
      </w:r>
      <w:r w:rsidR="001B437B">
        <w:rPr>
          <w:rFonts w:ascii="Palatino Linotype" w:hAnsi="Palatino Linotype"/>
          <w:sz w:val="24"/>
        </w:rPr>
        <w:lastRenderedPageBreak/>
        <w:t>Dipankar Roy, Deputy Secretary</w:t>
      </w:r>
      <w:r>
        <w:rPr>
          <w:rFonts w:ascii="Palatino Linotype" w:hAnsi="Palatino Linotype"/>
          <w:sz w:val="24"/>
        </w:rPr>
        <w:t>, SID</w:t>
      </w:r>
      <w:r w:rsidR="00BE19D1">
        <w:rPr>
          <w:rFonts w:ascii="Palatino Linotype" w:hAnsi="Palatino Linotype"/>
          <w:sz w:val="24"/>
        </w:rPr>
        <w:t>; Mr. Md. Mahbubul Alam Siddique, Senior Assistant Chief, GED; Ms.</w:t>
      </w:r>
      <w:r w:rsidR="001B437B">
        <w:rPr>
          <w:rFonts w:ascii="Palatino Linotype" w:hAnsi="Palatino Linotype"/>
          <w:sz w:val="24"/>
        </w:rPr>
        <w:t xml:space="preserve"> Aklima </w:t>
      </w:r>
      <w:r w:rsidR="00BE19D1">
        <w:rPr>
          <w:rFonts w:ascii="Palatino Linotype" w:hAnsi="Palatino Linotype"/>
          <w:sz w:val="24"/>
        </w:rPr>
        <w:t>K</w:t>
      </w:r>
      <w:r w:rsidR="001B437B">
        <w:rPr>
          <w:rFonts w:ascii="Palatino Linotype" w:hAnsi="Palatino Linotype"/>
          <w:sz w:val="24"/>
        </w:rPr>
        <w:t>hat</w:t>
      </w:r>
      <w:r w:rsidR="00BE19D1">
        <w:rPr>
          <w:rFonts w:ascii="Palatino Linotype" w:hAnsi="Palatino Linotype"/>
          <w:sz w:val="24"/>
        </w:rPr>
        <w:t>u</w:t>
      </w:r>
      <w:r w:rsidR="001B437B">
        <w:rPr>
          <w:rFonts w:ascii="Palatino Linotype" w:hAnsi="Palatino Linotype"/>
          <w:sz w:val="24"/>
        </w:rPr>
        <w:t>n, Deputy Director,</w:t>
      </w:r>
      <w:r w:rsidR="00BE19D1">
        <w:rPr>
          <w:rFonts w:ascii="Palatino Linotype" w:hAnsi="Palatino Linotype"/>
          <w:sz w:val="24"/>
        </w:rPr>
        <w:t xml:space="preserve"> BBS; Ms. Naima Aktar, </w:t>
      </w:r>
      <w:r w:rsidR="00BE19D1" w:rsidRPr="00BE19D1">
        <w:rPr>
          <w:rFonts w:ascii="Palatino Linotype" w:hAnsi="Palatino Linotype"/>
          <w:sz w:val="24"/>
        </w:rPr>
        <w:t xml:space="preserve">Deputy Director, </w:t>
      </w:r>
      <w:r w:rsidR="00BE19D1">
        <w:rPr>
          <w:rFonts w:ascii="Palatino Linotype" w:hAnsi="Palatino Linotype"/>
          <w:sz w:val="24"/>
        </w:rPr>
        <w:t xml:space="preserve">SDG Cell, BBS; </w:t>
      </w:r>
      <w:r w:rsidR="00BE19D1" w:rsidRPr="00BE19D1">
        <w:rPr>
          <w:rFonts w:ascii="Palatino Linotype" w:hAnsi="Palatino Linotype"/>
          <w:sz w:val="24"/>
        </w:rPr>
        <w:t>Ms. Shaila Sharmin</w:t>
      </w:r>
      <w:r w:rsidR="00BE19D1">
        <w:rPr>
          <w:rFonts w:ascii="Palatino Linotype" w:hAnsi="Palatino Linotype"/>
          <w:sz w:val="24"/>
        </w:rPr>
        <w:t>, Statistical Officer, SDG Cell, BBS;</w:t>
      </w:r>
      <w:r w:rsidR="00BE19D1" w:rsidRPr="00BE19D1">
        <w:rPr>
          <w:rFonts w:ascii="Palatino Linotype" w:hAnsi="Palatino Linotype"/>
          <w:sz w:val="24"/>
        </w:rPr>
        <w:t xml:space="preserve"> </w:t>
      </w:r>
      <w:r w:rsidR="00BE19D1">
        <w:rPr>
          <w:rFonts w:ascii="Palatino Linotype" w:hAnsi="Palatino Linotype"/>
          <w:sz w:val="24"/>
        </w:rPr>
        <w:t xml:space="preserve">Mr. </w:t>
      </w:r>
      <w:r w:rsidR="00BE19D1" w:rsidRPr="00BE19D1">
        <w:rPr>
          <w:rFonts w:ascii="Palatino Linotype" w:hAnsi="Palatino Linotype"/>
          <w:sz w:val="24"/>
        </w:rPr>
        <w:t>Mohammad Junayed Bhuyan, Statistical Officer</w:t>
      </w:r>
      <w:r w:rsidR="00BE19D1">
        <w:rPr>
          <w:rFonts w:ascii="Palatino Linotype" w:hAnsi="Palatino Linotype"/>
          <w:sz w:val="24"/>
        </w:rPr>
        <w:t>,</w:t>
      </w:r>
      <w:r w:rsidR="00BE19D1" w:rsidRPr="00BE19D1">
        <w:rPr>
          <w:rFonts w:ascii="Palatino Linotype" w:hAnsi="Palatino Linotype"/>
          <w:sz w:val="24"/>
        </w:rPr>
        <w:t xml:space="preserve"> </w:t>
      </w:r>
      <w:r w:rsidR="00BE19D1">
        <w:rPr>
          <w:rFonts w:ascii="Palatino Linotype" w:hAnsi="Palatino Linotype"/>
          <w:sz w:val="24"/>
        </w:rPr>
        <w:t xml:space="preserve">Mr. Md. Khorshed Alam, Statistical Officer, SDG Cell, </w:t>
      </w:r>
      <w:r w:rsidR="00BE19D1" w:rsidRPr="00BE19D1">
        <w:rPr>
          <w:rFonts w:ascii="Palatino Linotype" w:hAnsi="Palatino Linotype"/>
          <w:sz w:val="24"/>
        </w:rPr>
        <w:t>BBS</w:t>
      </w:r>
      <w:r w:rsidR="00BE19D1">
        <w:rPr>
          <w:rFonts w:ascii="Palatino Linotype" w:hAnsi="Palatino Linotype"/>
          <w:sz w:val="24"/>
        </w:rPr>
        <w:t>;</w:t>
      </w:r>
      <w:r w:rsidR="00B240D7">
        <w:rPr>
          <w:rFonts w:ascii="Palatino Linotype" w:hAnsi="Palatino Linotype"/>
          <w:sz w:val="24"/>
        </w:rPr>
        <w:t xml:space="preserve"> Ms. Somapti Mojumder, Statistical Officer, BBS</w:t>
      </w:r>
      <w:r w:rsidR="00BE19D1">
        <w:rPr>
          <w:rFonts w:ascii="Palatino Linotype" w:hAnsi="Palatino Linotype"/>
          <w:sz w:val="24"/>
        </w:rPr>
        <w:t xml:space="preserve"> and Mr. S</w:t>
      </w:r>
      <w:r w:rsidR="000A79DF">
        <w:rPr>
          <w:rFonts w:ascii="Palatino Linotype" w:hAnsi="Palatino Linotype"/>
          <w:sz w:val="24"/>
        </w:rPr>
        <w:t xml:space="preserve">. </w:t>
      </w:r>
      <w:r w:rsidR="00BE19D1">
        <w:rPr>
          <w:rFonts w:ascii="Palatino Linotype" w:hAnsi="Palatino Linotype"/>
          <w:sz w:val="24"/>
        </w:rPr>
        <w:t>M</w:t>
      </w:r>
      <w:r w:rsidR="000A79DF">
        <w:rPr>
          <w:rFonts w:ascii="Palatino Linotype" w:hAnsi="Palatino Linotype"/>
          <w:sz w:val="24"/>
        </w:rPr>
        <w:t>.</w:t>
      </w:r>
      <w:r w:rsidR="00BE19D1">
        <w:rPr>
          <w:rFonts w:ascii="Palatino Linotype" w:hAnsi="Palatino Linotype"/>
          <w:sz w:val="24"/>
        </w:rPr>
        <w:t xml:space="preserve"> Ashiqur Rahman, Assis</w:t>
      </w:r>
      <w:r w:rsidR="000A79DF">
        <w:rPr>
          <w:rFonts w:ascii="Palatino Linotype" w:hAnsi="Palatino Linotype"/>
          <w:sz w:val="24"/>
        </w:rPr>
        <w:t>tant Cartographer, SDG Cell, BBS</w:t>
      </w:r>
      <w:r w:rsidR="00BE19D1">
        <w:rPr>
          <w:rFonts w:ascii="Palatino Linotype" w:hAnsi="Palatino Linotype"/>
          <w:sz w:val="24"/>
        </w:rPr>
        <w:t xml:space="preserve"> deserves special thanks for their relentless support.</w:t>
      </w:r>
    </w:p>
    <w:p w14:paraId="51B7B2A0" w14:textId="07A13843" w:rsidR="001B437B" w:rsidRDefault="00BE19D1" w:rsidP="000A79DF">
      <w:pPr>
        <w:spacing w:line="228" w:lineRule="auto"/>
        <w:jc w:val="both"/>
        <w:rPr>
          <w:rFonts w:ascii="Palatino Linotype" w:hAnsi="Palatino Linotype"/>
          <w:sz w:val="24"/>
        </w:rPr>
      </w:pPr>
      <w:r>
        <w:rPr>
          <w:rFonts w:ascii="Palatino Linotype" w:hAnsi="Palatino Linotype"/>
          <w:sz w:val="24"/>
        </w:rPr>
        <w:t xml:space="preserve">I also acknowledge the valuable input from the members of National Data Coordination Committee, </w:t>
      </w:r>
      <w:r w:rsidR="001B437B">
        <w:rPr>
          <w:rFonts w:ascii="Palatino Linotype" w:hAnsi="Palatino Linotype"/>
          <w:sz w:val="24"/>
        </w:rPr>
        <w:t xml:space="preserve">SDG </w:t>
      </w:r>
      <w:r>
        <w:rPr>
          <w:rFonts w:ascii="Palatino Linotype" w:hAnsi="Palatino Linotype"/>
          <w:sz w:val="24"/>
        </w:rPr>
        <w:t>Technical Working Committee</w:t>
      </w:r>
      <w:r w:rsidR="001B437B">
        <w:rPr>
          <w:rFonts w:ascii="Palatino Linotype" w:hAnsi="Palatino Linotype"/>
          <w:sz w:val="24"/>
        </w:rPr>
        <w:t xml:space="preserve">, </w:t>
      </w:r>
      <w:r>
        <w:rPr>
          <w:rFonts w:ascii="Palatino Linotype" w:hAnsi="Palatino Linotype"/>
          <w:sz w:val="24"/>
        </w:rPr>
        <w:t xml:space="preserve">Member-Secretary and </w:t>
      </w:r>
      <w:r w:rsidR="001B437B">
        <w:rPr>
          <w:rFonts w:ascii="Palatino Linotype" w:hAnsi="Palatino Linotype"/>
          <w:sz w:val="24"/>
        </w:rPr>
        <w:t>Cluster Focal Points</w:t>
      </w:r>
      <w:r>
        <w:rPr>
          <w:rFonts w:ascii="Palatino Linotype" w:hAnsi="Palatino Linotype"/>
          <w:sz w:val="24"/>
        </w:rPr>
        <w:t xml:space="preserve"> from different wings of BBS</w:t>
      </w:r>
      <w:r w:rsidR="001B437B">
        <w:rPr>
          <w:rFonts w:ascii="Palatino Linotype" w:hAnsi="Palatino Linotype"/>
          <w:sz w:val="24"/>
        </w:rPr>
        <w:t xml:space="preserve">. </w:t>
      </w:r>
      <w:r>
        <w:rPr>
          <w:rFonts w:ascii="Palatino Linotype" w:hAnsi="Palatino Linotype"/>
          <w:sz w:val="24"/>
        </w:rPr>
        <w:t>Special thank</w:t>
      </w:r>
      <w:r w:rsidR="000A79DF">
        <w:rPr>
          <w:rFonts w:ascii="Palatino Linotype" w:hAnsi="Palatino Linotype"/>
          <w:sz w:val="24"/>
        </w:rPr>
        <w:t>s</w:t>
      </w:r>
      <w:r>
        <w:rPr>
          <w:rFonts w:ascii="Palatino Linotype" w:hAnsi="Palatino Linotype"/>
          <w:sz w:val="24"/>
        </w:rPr>
        <w:t xml:space="preserve"> to UNICEF Bangladesh for providing their technical support for publishing this report. Mr. </w:t>
      </w:r>
      <w:r w:rsidR="001B437B">
        <w:rPr>
          <w:rFonts w:ascii="Palatino Linotype" w:hAnsi="Palatino Linotype"/>
          <w:sz w:val="24"/>
        </w:rPr>
        <w:t>Ariful Islam, Senior National Consultant</w:t>
      </w:r>
      <w:r>
        <w:rPr>
          <w:rFonts w:ascii="Palatino Linotype" w:hAnsi="Palatino Linotype"/>
          <w:sz w:val="24"/>
        </w:rPr>
        <w:t xml:space="preserve"> and Mr. </w:t>
      </w:r>
      <w:r w:rsidR="001B437B">
        <w:rPr>
          <w:rFonts w:ascii="Palatino Linotype" w:hAnsi="Palatino Linotype"/>
          <w:sz w:val="24"/>
        </w:rPr>
        <w:t>Ahammad Ullah Kabir, Statistician</w:t>
      </w:r>
      <w:r>
        <w:rPr>
          <w:rFonts w:ascii="Palatino Linotype" w:hAnsi="Palatino Linotype"/>
          <w:sz w:val="24"/>
        </w:rPr>
        <w:t xml:space="preserve">— </w:t>
      </w:r>
      <w:r w:rsidR="001B437B">
        <w:rPr>
          <w:rFonts w:ascii="Palatino Linotype" w:hAnsi="Palatino Linotype"/>
          <w:sz w:val="24"/>
        </w:rPr>
        <w:t>National Consultant</w:t>
      </w:r>
      <w:r>
        <w:rPr>
          <w:rFonts w:ascii="Palatino Linotype" w:hAnsi="Palatino Linotype"/>
          <w:sz w:val="24"/>
        </w:rPr>
        <w:t>,</w:t>
      </w:r>
      <w:r w:rsidR="001B437B">
        <w:rPr>
          <w:rFonts w:ascii="Palatino Linotype" w:hAnsi="Palatino Linotype"/>
          <w:sz w:val="24"/>
        </w:rPr>
        <w:t xml:space="preserve"> </w:t>
      </w:r>
      <w:r>
        <w:rPr>
          <w:rFonts w:ascii="Palatino Linotype" w:hAnsi="Palatino Linotype"/>
          <w:sz w:val="24"/>
        </w:rPr>
        <w:t>other staff members</w:t>
      </w:r>
      <w:r w:rsidR="001B437B">
        <w:rPr>
          <w:rFonts w:ascii="Palatino Linotype" w:hAnsi="Palatino Linotype"/>
          <w:sz w:val="24"/>
        </w:rPr>
        <w:t xml:space="preserve"> from SDG cell, </w:t>
      </w:r>
      <w:r w:rsidR="001B437B" w:rsidRPr="00750675">
        <w:rPr>
          <w:rFonts w:ascii="Palatino Linotype" w:hAnsi="Palatino Linotype"/>
          <w:sz w:val="24"/>
        </w:rPr>
        <w:t>BBS</w:t>
      </w:r>
      <w:r w:rsidR="001B437B">
        <w:rPr>
          <w:rFonts w:ascii="Palatino Linotype" w:hAnsi="Palatino Linotype"/>
          <w:color w:val="000000" w:themeColor="text1"/>
          <w:sz w:val="24"/>
        </w:rPr>
        <w:t xml:space="preserve"> </w:t>
      </w:r>
      <w:r w:rsidR="001B437B" w:rsidRPr="00750675">
        <w:rPr>
          <w:rFonts w:ascii="Palatino Linotype" w:hAnsi="Palatino Linotype"/>
          <w:sz w:val="24"/>
        </w:rPr>
        <w:t xml:space="preserve">also deserve </w:t>
      </w:r>
      <w:r>
        <w:rPr>
          <w:rFonts w:ascii="Palatino Linotype" w:hAnsi="Palatino Linotype"/>
          <w:sz w:val="24"/>
        </w:rPr>
        <w:t>hear</w:t>
      </w:r>
      <w:r w:rsidR="00D52BCB">
        <w:rPr>
          <w:rFonts w:ascii="Palatino Linotype" w:hAnsi="Palatino Linotype"/>
          <w:sz w:val="24"/>
        </w:rPr>
        <w:t>t</w:t>
      </w:r>
      <w:r>
        <w:rPr>
          <w:rFonts w:ascii="Palatino Linotype" w:hAnsi="Palatino Linotype"/>
          <w:sz w:val="24"/>
        </w:rPr>
        <w:t>ful</w:t>
      </w:r>
      <w:r w:rsidR="001B437B" w:rsidRPr="00750675">
        <w:rPr>
          <w:rFonts w:ascii="Palatino Linotype" w:hAnsi="Palatino Linotype"/>
          <w:sz w:val="24"/>
        </w:rPr>
        <w:t xml:space="preserve"> thanks for their relentless efforts</w:t>
      </w:r>
      <w:r w:rsidR="001B437B">
        <w:rPr>
          <w:rFonts w:ascii="Palatino Linotype" w:hAnsi="Palatino Linotype"/>
          <w:sz w:val="24"/>
        </w:rPr>
        <w:t xml:space="preserve"> with full compassion and dedication</w:t>
      </w:r>
      <w:r w:rsidR="001B437B" w:rsidRPr="00750675">
        <w:rPr>
          <w:rFonts w:ascii="Palatino Linotype" w:hAnsi="Palatino Linotype"/>
          <w:sz w:val="24"/>
        </w:rPr>
        <w:t xml:space="preserve"> in</w:t>
      </w:r>
      <w:r w:rsidR="001B437B">
        <w:rPr>
          <w:rFonts w:ascii="Palatino Linotype" w:hAnsi="Palatino Linotype"/>
          <w:sz w:val="24"/>
        </w:rPr>
        <w:t xml:space="preserve"> preparing of this guideline. </w:t>
      </w:r>
    </w:p>
    <w:p w14:paraId="0F4C97AB" w14:textId="5DF97F85" w:rsidR="001B437B" w:rsidRDefault="001B437B" w:rsidP="000A79DF">
      <w:pPr>
        <w:spacing w:line="228" w:lineRule="auto"/>
        <w:jc w:val="both"/>
        <w:rPr>
          <w:rFonts w:ascii="Palatino Linotype" w:hAnsi="Palatino Linotype"/>
          <w:color w:val="1C1E21"/>
          <w:sz w:val="24"/>
          <w:szCs w:val="21"/>
          <w:shd w:val="clear" w:color="auto" w:fill="FFFFFF"/>
        </w:rPr>
      </w:pPr>
      <w:proofErr w:type="gramStart"/>
      <w:r>
        <w:rPr>
          <w:rFonts w:ascii="Palatino Linotype" w:hAnsi="Palatino Linotype"/>
          <w:sz w:val="24"/>
        </w:rPr>
        <w:t xml:space="preserve">Profound gratitude to </w:t>
      </w:r>
      <w:r w:rsidR="001A70DB" w:rsidRPr="00CB7075">
        <w:rPr>
          <w:rFonts w:ascii="Palatino Linotype" w:hAnsi="Palatino Linotype" w:cs="Times New Roman"/>
          <w:bCs/>
          <w:color w:val="000000" w:themeColor="text1"/>
          <w:sz w:val="24"/>
        </w:rPr>
        <w:t>Muhammad Yamin Chowdhury</w:t>
      </w:r>
      <w:r w:rsidR="001A70DB">
        <w:rPr>
          <w:rFonts w:ascii="Palatino Linotype" w:hAnsi="Palatino Linotype"/>
          <w:color w:val="1C1E21"/>
          <w:sz w:val="24"/>
          <w:szCs w:val="21"/>
          <w:shd w:val="clear" w:color="auto" w:fill="FFFFFF"/>
        </w:rPr>
        <w:t xml:space="preserve">, </w:t>
      </w:r>
      <w:r w:rsidRPr="001D5A1C">
        <w:rPr>
          <w:rFonts w:ascii="Palatino Linotype" w:hAnsi="Palatino Linotype"/>
          <w:color w:val="1C1E21"/>
          <w:sz w:val="24"/>
          <w:szCs w:val="21"/>
          <w:shd w:val="clear" w:color="auto" w:fill="FFFFFF"/>
        </w:rPr>
        <w:t>Secretary, SID</w:t>
      </w:r>
      <w:r>
        <w:rPr>
          <w:rFonts w:ascii="Palatino Linotype" w:hAnsi="Palatino Linotype"/>
          <w:color w:val="1C1E21"/>
          <w:sz w:val="24"/>
          <w:szCs w:val="21"/>
          <w:shd w:val="clear" w:color="auto" w:fill="FFFFFF"/>
        </w:rPr>
        <w:t xml:space="preserve"> for his continuous guidance to the team and for editing the entire Action Plan in making this salient SDGs publication a reality.</w:t>
      </w:r>
      <w:proofErr w:type="gramEnd"/>
      <w:r>
        <w:rPr>
          <w:rFonts w:ascii="Palatino Linotype" w:hAnsi="Palatino Linotype"/>
          <w:color w:val="1C1E21"/>
          <w:sz w:val="24"/>
          <w:szCs w:val="21"/>
          <w:shd w:val="clear" w:color="auto" w:fill="FFFFFF"/>
        </w:rPr>
        <w:t xml:space="preserve"> </w:t>
      </w:r>
    </w:p>
    <w:p w14:paraId="23ACE0A5" w14:textId="77777777" w:rsidR="00FA6809" w:rsidRDefault="00FA6809" w:rsidP="000A79DF">
      <w:pPr>
        <w:spacing w:line="228" w:lineRule="auto"/>
        <w:rPr>
          <w:rFonts w:ascii="Palatino Linotype" w:hAnsi="Palatino Linotype"/>
          <w:sz w:val="24"/>
        </w:rPr>
      </w:pPr>
    </w:p>
    <w:p w14:paraId="3A32EC83" w14:textId="77777777" w:rsidR="00FA6809" w:rsidRDefault="00FA6809" w:rsidP="000A79DF">
      <w:pPr>
        <w:spacing w:line="228" w:lineRule="auto"/>
        <w:rPr>
          <w:rFonts w:ascii="Palatino Linotype" w:hAnsi="Palatino Linotype"/>
          <w:sz w:val="24"/>
        </w:rPr>
      </w:pPr>
    </w:p>
    <w:p w14:paraId="0863320C" w14:textId="31B471AB" w:rsidR="001B437B" w:rsidRDefault="001B437B" w:rsidP="000A79DF">
      <w:pPr>
        <w:spacing w:line="228" w:lineRule="auto"/>
        <w:rPr>
          <w:rFonts w:ascii="Palatino Linotype" w:hAnsi="Palatino Linotype"/>
          <w:sz w:val="24"/>
        </w:rPr>
      </w:pPr>
      <w:r w:rsidRPr="0020656A">
        <w:rPr>
          <w:rFonts w:ascii="Palatino Linotype" w:hAnsi="Palatino Linotype"/>
          <w:sz w:val="24"/>
        </w:rPr>
        <w:t>Dhaka, June 2020</w:t>
      </w:r>
      <w:r w:rsidRPr="0020656A">
        <w:rPr>
          <w:rFonts w:ascii="Palatino Linotype" w:hAnsi="Palatino Linotype"/>
          <w:sz w:val="24"/>
        </w:rPr>
        <w:tab/>
      </w:r>
      <w:r w:rsidR="001A70DB">
        <w:rPr>
          <w:rFonts w:ascii="Palatino Linotype" w:hAnsi="Palatino Linotype"/>
          <w:sz w:val="24"/>
        </w:rPr>
        <w:t xml:space="preserve">                                           Md. Alamgir Hossen</w:t>
      </w:r>
    </w:p>
    <w:p w14:paraId="1B08CA63" w14:textId="1FC76FD3" w:rsidR="00484B5E" w:rsidRDefault="00484B5E" w:rsidP="001B437B">
      <w:pPr>
        <w:rPr>
          <w:rFonts w:ascii="Palatino Linotype" w:hAnsi="Palatino Linotype"/>
          <w:sz w:val="24"/>
        </w:rPr>
        <w:sectPr w:rsidR="00484B5E" w:rsidSect="00D46636">
          <w:type w:val="continuous"/>
          <w:pgSz w:w="20160" w:h="12240" w:orient="landscape" w:code="5"/>
          <w:pgMar w:top="720" w:right="720" w:bottom="720" w:left="720" w:header="720" w:footer="720" w:gutter="0"/>
          <w:cols w:num="2" w:space="720"/>
          <w:docGrid w:linePitch="360"/>
        </w:sectPr>
      </w:pPr>
    </w:p>
    <w:p w14:paraId="31D761B7" w14:textId="77777777" w:rsidR="00B240D7" w:rsidRDefault="00B240D7">
      <w:pPr>
        <w:rPr>
          <w:rFonts w:ascii="Lucida Calligraphy" w:eastAsia="Lucida Calligraphy" w:hAnsi="Lucida Calligraphy" w:cs="Lucida Calligraphy"/>
          <w:b/>
          <w:i/>
          <w:sz w:val="26"/>
        </w:rPr>
      </w:pPr>
      <w:r>
        <w:rPr>
          <w:rFonts w:ascii="Lucida Calligraphy" w:eastAsia="Lucida Calligraphy" w:hAnsi="Lucida Calligraphy" w:cs="Lucida Calligraphy"/>
          <w:b/>
          <w:i/>
          <w:sz w:val="26"/>
        </w:rPr>
        <w:lastRenderedPageBreak/>
        <w:br w:type="page"/>
      </w:r>
    </w:p>
    <w:p w14:paraId="65D312A0" w14:textId="6B5187E6" w:rsidR="00B0021D" w:rsidRPr="00B240D7" w:rsidRDefault="00B0021D" w:rsidP="00B240D7">
      <w:pPr>
        <w:spacing w:after="34" w:line="276" w:lineRule="auto"/>
        <w:jc w:val="center"/>
        <w:rPr>
          <w:rFonts w:ascii="Palatino Linotype" w:hAnsi="Palatino Linotype"/>
          <w:iCs/>
          <w:w w:val="80"/>
        </w:rPr>
      </w:pPr>
      <w:r w:rsidRPr="00B240D7">
        <w:rPr>
          <w:rFonts w:ascii="Palatino Linotype" w:eastAsia="Lucida Calligraphy" w:hAnsi="Palatino Linotype" w:cs="Lucida Calligraphy"/>
          <w:b/>
          <w:iCs/>
          <w:w w:val="80"/>
          <w:sz w:val="26"/>
        </w:rPr>
        <w:lastRenderedPageBreak/>
        <w:t>ACRONYMS</w:t>
      </w:r>
    </w:p>
    <w:p w14:paraId="6D7E71AB" w14:textId="77777777" w:rsidR="00B0021D" w:rsidRPr="00B240D7" w:rsidRDefault="00B0021D" w:rsidP="00B240D7">
      <w:pPr>
        <w:spacing w:after="54" w:line="276" w:lineRule="auto"/>
        <w:jc w:val="center"/>
        <w:rPr>
          <w:rFonts w:ascii="Palatino Linotype" w:hAnsi="Palatino Linotype"/>
          <w:w w:val="80"/>
        </w:rPr>
      </w:pPr>
      <w:r w:rsidRPr="00B240D7">
        <w:rPr>
          <w:rFonts w:ascii="Palatino Linotype" w:eastAsia="Lucida Calligraphy" w:hAnsi="Palatino Linotype" w:cs="Lucida Calligraphy"/>
          <w:b/>
          <w:i/>
          <w:w w:val="80"/>
          <w:sz w:val="26"/>
        </w:rPr>
        <w:t xml:space="preserve"> </w:t>
      </w:r>
    </w:p>
    <w:p w14:paraId="6D6748B5" w14:textId="77777777" w:rsidR="000A79DF" w:rsidRPr="00B240D7" w:rsidRDefault="000A79DF" w:rsidP="00B240D7">
      <w:pPr>
        <w:spacing w:line="276" w:lineRule="auto"/>
        <w:rPr>
          <w:rFonts w:ascii="Palatino Linotype" w:hAnsi="Palatino Linotype"/>
          <w:w w:val="80"/>
        </w:rPr>
        <w:sectPr w:rsidR="000A79DF" w:rsidRPr="00B240D7" w:rsidSect="00D46636">
          <w:type w:val="continuous"/>
          <w:pgSz w:w="20160" w:h="12240" w:orient="landscape" w:code="5"/>
          <w:pgMar w:top="720" w:right="720" w:bottom="720" w:left="720" w:header="720" w:footer="720" w:gutter="0"/>
          <w:cols w:space="720"/>
          <w:docGrid w:linePitch="360"/>
        </w:sectPr>
      </w:pPr>
    </w:p>
    <w:p w14:paraId="1CE1269F" w14:textId="0AA8162C"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lastRenderedPageBreak/>
        <w:t xml:space="preserve">ADP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Annual Development Programme </w:t>
      </w:r>
      <w:r w:rsidRPr="00B240D7">
        <w:rPr>
          <w:rFonts w:ascii="Palatino Linotype" w:hAnsi="Palatino Linotype"/>
          <w:w w:val="70"/>
          <w:sz w:val="22"/>
          <w:szCs w:val="26"/>
        </w:rPr>
        <w:tab/>
      </w:r>
    </w:p>
    <w:p w14:paraId="04936D38"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7thFYP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Seventh Five Year Plan </w:t>
      </w:r>
      <w:r w:rsidRPr="00B240D7">
        <w:rPr>
          <w:rFonts w:ascii="Palatino Linotype" w:hAnsi="Palatino Linotype"/>
          <w:w w:val="70"/>
          <w:sz w:val="22"/>
          <w:szCs w:val="26"/>
        </w:rPr>
        <w:tab/>
        <w:t xml:space="preserve"> </w:t>
      </w:r>
    </w:p>
    <w:p w14:paraId="26D1AD73"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BBS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Bureau of Statistics </w:t>
      </w:r>
      <w:r w:rsidRPr="00B240D7">
        <w:rPr>
          <w:rFonts w:ascii="Palatino Linotype" w:hAnsi="Palatino Linotype"/>
          <w:w w:val="70"/>
          <w:sz w:val="22"/>
          <w:szCs w:val="26"/>
        </w:rPr>
        <w:tab/>
      </w:r>
    </w:p>
    <w:p w14:paraId="54F7DFC8"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BCCRF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Climate Change Resilience Fund </w:t>
      </w:r>
      <w:r w:rsidRPr="00B240D7">
        <w:rPr>
          <w:rFonts w:ascii="Palatino Linotype" w:hAnsi="Palatino Linotype"/>
          <w:w w:val="70"/>
          <w:sz w:val="22"/>
          <w:szCs w:val="26"/>
        </w:rPr>
        <w:tab/>
      </w:r>
    </w:p>
    <w:p w14:paraId="4450CEAD"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BCCSAP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Climate Change Strategy and Action Plan, 2009 </w:t>
      </w:r>
      <w:r w:rsidRPr="00B240D7">
        <w:rPr>
          <w:rFonts w:ascii="Palatino Linotype" w:hAnsi="Palatino Linotype"/>
          <w:w w:val="70"/>
          <w:sz w:val="22"/>
          <w:szCs w:val="26"/>
        </w:rPr>
        <w:tab/>
      </w:r>
    </w:p>
    <w:p w14:paraId="6B15A693"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BCCTF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Climate Change Trust Fund </w:t>
      </w:r>
      <w:r w:rsidRPr="00B240D7">
        <w:rPr>
          <w:rFonts w:ascii="Palatino Linotype" w:hAnsi="Palatino Linotype"/>
          <w:w w:val="70"/>
          <w:sz w:val="22"/>
          <w:szCs w:val="26"/>
        </w:rPr>
        <w:tab/>
      </w:r>
    </w:p>
    <w:p w14:paraId="38A44C8A"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BIDS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Institute of Development Studies </w:t>
      </w:r>
      <w:r w:rsidRPr="00B240D7">
        <w:rPr>
          <w:rFonts w:ascii="Palatino Linotype" w:hAnsi="Palatino Linotype"/>
          <w:w w:val="70"/>
          <w:sz w:val="22"/>
          <w:szCs w:val="26"/>
        </w:rPr>
        <w:tab/>
      </w:r>
    </w:p>
    <w:p w14:paraId="12191CC8"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BMET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Bureau of Manpower, Employment and Training </w:t>
      </w:r>
      <w:r w:rsidRPr="00B240D7">
        <w:rPr>
          <w:rFonts w:ascii="Palatino Linotype" w:hAnsi="Palatino Linotype"/>
          <w:w w:val="70"/>
          <w:sz w:val="22"/>
          <w:szCs w:val="26"/>
        </w:rPr>
        <w:tab/>
      </w:r>
    </w:p>
    <w:p w14:paraId="6871E58B"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BNH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National Herbarium </w:t>
      </w:r>
      <w:r w:rsidRPr="00B240D7">
        <w:rPr>
          <w:rFonts w:ascii="Palatino Linotype" w:hAnsi="Palatino Linotype"/>
          <w:w w:val="70"/>
          <w:sz w:val="22"/>
          <w:szCs w:val="26"/>
        </w:rPr>
        <w:tab/>
      </w:r>
    </w:p>
    <w:p w14:paraId="747FEADF"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BOP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Balance of Payment </w:t>
      </w:r>
      <w:r w:rsidRPr="00B240D7">
        <w:rPr>
          <w:rFonts w:ascii="Palatino Linotype" w:hAnsi="Palatino Linotype"/>
          <w:w w:val="70"/>
          <w:sz w:val="22"/>
          <w:szCs w:val="26"/>
        </w:rPr>
        <w:tab/>
      </w:r>
    </w:p>
    <w:p w14:paraId="6A6263FF"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BOU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Open University </w:t>
      </w:r>
      <w:r w:rsidRPr="00B240D7">
        <w:rPr>
          <w:rFonts w:ascii="Palatino Linotype" w:hAnsi="Palatino Linotype"/>
          <w:w w:val="70"/>
          <w:sz w:val="22"/>
          <w:szCs w:val="26"/>
        </w:rPr>
        <w:tab/>
      </w:r>
    </w:p>
    <w:p w14:paraId="5BA3188F"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BPD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Poverty Database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r>
    </w:p>
    <w:p w14:paraId="1AF20782"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BPDB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Power Development Board </w:t>
      </w:r>
      <w:r w:rsidRPr="00B240D7">
        <w:rPr>
          <w:rFonts w:ascii="Palatino Linotype" w:hAnsi="Palatino Linotype"/>
          <w:w w:val="70"/>
          <w:sz w:val="22"/>
          <w:szCs w:val="26"/>
        </w:rPr>
        <w:tab/>
      </w:r>
    </w:p>
    <w:p w14:paraId="5216CCBC"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BRAC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Agricultural Research Council </w:t>
      </w:r>
      <w:r w:rsidRPr="00B240D7">
        <w:rPr>
          <w:rFonts w:ascii="Palatino Linotype" w:hAnsi="Palatino Linotype"/>
          <w:w w:val="70"/>
          <w:sz w:val="22"/>
          <w:szCs w:val="26"/>
        </w:rPr>
        <w:tab/>
      </w:r>
    </w:p>
    <w:p w14:paraId="4FB91F37"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BRDB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Bangladesh Rural Development Board </w:t>
      </w:r>
      <w:r w:rsidRPr="00B240D7">
        <w:rPr>
          <w:rFonts w:ascii="Palatino Linotype" w:hAnsi="Palatino Linotype"/>
          <w:w w:val="70"/>
          <w:sz w:val="22"/>
          <w:szCs w:val="26"/>
        </w:rPr>
        <w:tab/>
      </w:r>
    </w:p>
    <w:p w14:paraId="0BEF4F6F"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CCA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Climate Change Adaptation </w:t>
      </w:r>
      <w:r w:rsidRPr="00B240D7">
        <w:rPr>
          <w:rFonts w:ascii="Palatino Linotype" w:hAnsi="Palatino Linotype"/>
          <w:w w:val="70"/>
          <w:sz w:val="22"/>
          <w:szCs w:val="26"/>
        </w:rPr>
        <w:tab/>
      </w:r>
    </w:p>
    <w:p w14:paraId="76C70F9E"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lastRenderedPageBreak/>
        <w:t xml:space="preserve">CCF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Chief Conservator of Forest </w:t>
      </w:r>
      <w:r w:rsidRPr="00B240D7">
        <w:rPr>
          <w:rFonts w:ascii="Palatino Linotype" w:hAnsi="Palatino Linotype"/>
          <w:w w:val="70"/>
          <w:sz w:val="22"/>
          <w:szCs w:val="26"/>
        </w:rPr>
        <w:tab/>
      </w:r>
    </w:p>
    <w:p w14:paraId="4DAF0660"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CCGT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Combined-Cycle Gas Turbine </w:t>
      </w:r>
      <w:r w:rsidRPr="00B240D7">
        <w:rPr>
          <w:rFonts w:ascii="Palatino Linotype" w:hAnsi="Palatino Linotype"/>
          <w:w w:val="70"/>
          <w:sz w:val="22"/>
          <w:szCs w:val="26"/>
        </w:rPr>
        <w:tab/>
      </w:r>
    </w:p>
    <w:p w14:paraId="4E9472F5"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CCKN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Climate Change Knowledge Network </w:t>
      </w:r>
      <w:r w:rsidRPr="00B240D7">
        <w:rPr>
          <w:rFonts w:ascii="Palatino Linotype" w:hAnsi="Palatino Linotype"/>
          <w:w w:val="70"/>
          <w:sz w:val="22"/>
          <w:szCs w:val="26"/>
        </w:rPr>
        <w:tab/>
      </w:r>
    </w:p>
    <w:p w14:paraId="300AF1EE"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CDM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Clean Development Mechanism </w:t>
      </w:r>
      <w:r w:rsidRPr="00B240D7">
        <w:rPr>
          <w:rFonts w:ascii="Palatino Linotype" w:hAnsi="Palatino Linotype"/>
          <w:w w:val="70"/>
          <w:sz w:val="22"/>
          <w:szCs w:val="26"/>
        </w:rPr>
        <w:tab/>
      </w:r>
    </w:p>
    <w:p w14:paraId="2EEFF188"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CDMP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Comprehensive Disaster Management Programme </w:t>
      </w:r>
      <w:r w:rsidRPr="00B240D7">
        <w:rPr>
          <w:rFonts w:ascii="Palatino Linotype" w:hAnsi="Palatino Linotype"/>
          <w:w w:val="70"/>
          <w:sz w:val="22"/>
          <w:szCs w:val="26"/>
        </w:rPr>
        <w:tab/>
      </w:r>
    </w:p>
    <w:p w14:paraId="4611BF7B"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CSO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Civil Society Organization </w:t>
      </w:r>
      <w:r w:rsidRPr="00B240D7">
        <w:rPr>
          <w:rFonts w:ascii="Palatino Linotype" w:hAnsi="Palatino Linotype"/>
          <w:w w:val="70"/>
          <w:sz w:val="22"/>
          <w:szCs w:val="26"/>
        </w:rPr>
        <w:tab/>
      </w:r>
    </w:p>
    <w:p w14:paraId="31EB99B1"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DRF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Development Results Framework </w:t>
      </w:r>
      <w:r w:rsidRPr="00B240D7">
        <w:rPr>
          <w:rFonts w:ascii="Palatino Linotype" w:hAnsi="Palatino Linotype"/>
          <w:w w:val="70"/>
          <w:sz w:val="22"/>
          <w:szCs w:val="26"/>
        </w:rPr>
        <w:tab/>
      </w:r>
    </w:p>
    <w:p w14:paraId="3673E422"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GED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General Economic Division </w:t>
      </w:r>
      <w:r w:rsidRPr="00B240D7">
        <w:rPr>
          <w:rFonts w:ascii="Palatino Linotype" w:hAnsi="Palatino Linotype"/>
          <w:w w:val="70"/>
          <w:sz w:val="22"/>
          <w:szCs w:val="26"/>
        </w:rPr>
        <w:tab/>
      </w:r>
    </w:p>
    <w:p w14:paraId="1703B51C"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HIES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Household Income and Expenditure Survey </w:t>
      </w:r>
      <w:r w:rsidRPr="00B240D7">
        <w:rPr>
          <w:rFonts w:ascii="Palatino Linotype" w:hAnsi="Palatino Linotype"/>
          <w:w w:val="70"/>
          <w:sz w:val="22"/>
          <w:szCs w:val="26"/>
        </w:rPr>
        <w:tab/>
      </w:r>
    </w:p>
    <w:p w14:paraId="0447B4F6"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OWG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Open Working Group </w:t>
      </w:r>
      <w:r w:rsidRPr="00B240D7">
        <w:rPr>
          <w:rFonts w:ascii="Palatino Linotype" w:hAnsi="Palatino Linotype"/>
          <w:w w:val="70"/>
          <w:sz w:val="22"/>
          <w:szCs w:val="26"/>
        </w:rPr>
        <w:tab/>
      </w:r>
    </w:p>
    <w:p w14:paraId="4DF60746"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OECD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Organization for Economic Co-operation and Development </w:t>
      </w:r>
      <w:r w:rsidRPr="00B240D7">
        <w:rPr>
          <w:rFonts w:ascii="Palatino Linotype" w:hAnsi="Palatino Linotype"/>
          <w:w w:val="70"/>
          <w:sz w:val="22"/>
          <w:szCs w:val="26"/>
        </w:rPr>
        <w:tab/>
      </w:r>
    </w:p>
    <w:p w14:paraId="7281F453"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PMO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Prime Minister’s Office </w:t>
      </w:r>
      <w:r w:rsidRPr="00B240D7">
        <w:rPr>
          <w:rFonts w:ascii="Palatino Linotype" w:hAnsi="Palatino Linotype"/>
          <w:w w:val="70"/>
          <w:sz w:val="22"/>
          <w:szCs w:val="26"/>
        </w:rPr>
        <w:tab/>
      </w:r>
    </w:p>
    <w:p w14:paraId="7E870391"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CEGIS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Centre for Environmental and Geographical Information Services </w:t>
      </w:r>
      <w:r w:rsidRPr="00B240D7">
        <w:rPr>
          <w:rFonts w:ascii="Palatino Linotype" w:hAnsi="Palatino Linotype"/>
          <w:w w:val="70"/>
          <w:sz w:val="22"/>
          <w:szCs w:val="26"/>
        </w:rPr>
        <w:tab/>
      </w:r>
    </w:p>
    <w:p w14:paraId="1CA0D5C7"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DDM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Department of Disaster Management </w:t>
      </w:r>
      <w:r w:rsidRPr="00B240D7">
        <w:rPr>
          <w:rFonts w:ascii="Palatino Linotype" w:hAnsi="Palatino Linotype"/>
          <w:w w:val="70"/>
          <w:sz w:val="22"/>
          <w:szCs w:val="26"/>
        </w:rPr>
        <w:tab/>
      </w:r>
    </w:p>
    <w:p w14:paraId="6135EFC2"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DAC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Development Assistance Committee </w:t>
      </w:r>
      <w:r w:rsidRPr="00B240D7">
        <w:rPr>
          <w:rFonts w:ascii="Palatino Linotype" w:hAnsi="Palatino Linotype"/>
          <w:w w:val="70"/>
          <w:sz w:val="22"/>
          <w:szCs w:val="26"/>
        </w:rPr>
        <w:tab/>
      </w:r>
    </w:p>
    <w:p w14:paraId="6D3BD5B7"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ERD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Economic Relations Division </w:t>
      </w:r>
      <w:r w:rsidRPr="00B240D7">
        <w:rPr>
          <w:rFonts w:ascii="Palatino Linotype" w:hAnsi="Palatino Linotype"/>
          <w:w w:val="70"/>
          <w:sz w:val="22"/>
          <w:szCs w:val="26"/>
        </w:rPr>
        <w:tab/>
      </w:r>
    </w:p>
    <w:p w14:paraId="2B82D16E"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lastRenderedPageBreak/>
        <w:t xml:space="preserve">LDC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Least Developed Countries </w:t>
      </w:r>
      <w:r w:rsidRPr="00B240D7">
        <w:rPr>
          <w:rFonts w:ascii="Palatino Linotype" w:hAnsi="Palatino Linotype"/>
          <w:w w:val="70"/>
          <w:sz w:val="22"/>
          <w:szCs w:val="26"/>
        </w:rPr>
        <w:tab/>
      </w:r>
    </w:p>
    <w:p w14:paraId="54A93DDB"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MoF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Ministry of Finance </w:t>
      </w:r>
      <w:r w:rsidRPr="00B240D7">
        <w:rPr>
          <w:rFonts w:ascii="Palatino Linotype" w:hAnsi="Palatino Linotype"/>
          <w:w w:val="70"/>
          <w:sz w:val="22"/>
          <w:szCs w:val="26"/>
        </w:rPr>
        <w:tab/>
      </w:r>
    </w:p>
    <w:p w14:paraId="7BB6CCAD"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NAS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National Accounts Statistics </w:t>
      </w:r>
      <w:r w:rsidRPr="00B240D7">
        <w:rPr>
          <w:rFonts w:ascii="Palatino Linotype" w:hAnsi="Palatino Linotype"/>
          <w:w w:val="70"/>
          <w:sz w:val="22"/>
          <w:szCs w:val="26"/>
        </w:rPr>
        <w:tab/>
      </w:r>
    </w:p>
    <w:p w14:paraId="2ED70C0C"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NSDS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National Strategy for the Development of Statistics </w:t>
      </w:r>
      <w:r w:rsidRPr="00B240D7">
        <w:rPr>
          <w:rFonts w:ascii="Palatino Linotype" w:hAnsi="Palatino Linotype"/>
          <w:w w:val="70"/>
          <w:sz w:val="22"/>
          <w:szCs w:val="26"/>
        </w:rPr>
        <w:tab/>
      </w:r>
    </w:p>
    <w:p w14:paraId="0AF6044D"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NBR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National Board of Revenue </w:t>
      </w:r>
      <w:r w:rsidRPr="00B240D7">
        <w:rPr>
          <w:rFonts w:ascii="Palatino Linotype" w:hAnsi="Palatino Linotype"/>
          <w:w w:val="70"/>
          <w:sz w:val="22"/>
          <w:szCs w:val="26"/>
        </w:rPr>
        <w:tab/>
      </w:r>
    </w:p>
    <w:p w14:paraId="1B0FAC95"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SID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Statistics and Informatics Division </w:t>
      </w:r>
      <w:r w:rsidRPr="00B240D7">
        <w:rPr>
          <w:rFonts w:ascii="Palatino Linotype" w:hAnsi="Palatino Linotype"/>
          <w:w w:val="70"/>
          <w:sz w:val="22"/>
          <w:szCs w:val="26"/>
        </w:rPr>
        <w:tab/>
      </w:r>
    </w:p>
    <w:p w14:paraId="435C82DB"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SDGs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Sustainable Development Goals (2016-30) </w:t>
      </w:r>
      <w:r w:rsidRPr="00B240D7">
        <w:rPr>
          <w:rFonts w:ascii="Palatino Linotype" w:hAnsi="Palatino Linotype"/>
          <w:w w:val="70"/>
          <w:sz w:val="22"/>
          <w:szCs w:val="26"/>
        </w:rPr>
        <w:tab/>
      </w:r>
    </w:p>
    <w:p w14:paraId="4F14E446"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SFDRR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Sendai Framework for Disaster Risk Reduction (2016-30) </w:t>
      </w:r>
    </w:p>
    <w:p w14:paraId="5C0E249E"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UNFCC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United Nations Framework Convention on Climate Change </w:t>
      </w:r>
      <w:r w:rsidRPr="00B240D7">
        <w:rPr>
          <w:rFonts w:ascii="Palatino Linotype" w:hAnsi="Palatino Linotype"/>
          <w:w w:val="70"/>
          <w:sz w:val="22"/>
          <w:szCs w:val="26"/>
        </w:rPr>
        <w:tab/>
      </w:r>
    </w:p>
    <w:p w14:paraId="259FAD4C" w14:textId="77777777"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SNA 2008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System of National Accounts, 2008 </w:t>
      </w:r>
      <w:r w:rsidRPr="00B240D7">
        <w:rPr>
          <w:rFonts w:ascii="Palatino Linotype" w:hAnsi="Palatino Linotype"/>
          <w:w w:val="70"/>
          <w:sz w:val="22"/>
          <w:szCs w:val="26"/>
        </w:rPr>
        <w:tab/>
      </w:r>
    </w:p>
    <w:p w14:paraId="79C805A9" w14:textId="351204CE"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UNSEEA </w:t>
      </w:r>
      <w:r w:rsidR="00B240D7" w:rsidRPr="00B240D7">
        <w:rPr>
          <w:rFonts w:ascii="Palatino Linotype" w:hAnsi="Palatino Linotype"/>
          <w:w w:val="70"/>
          <w:sz w:val="22"/>
          <w:szCs w:val="26"/>
        </w:rPr>
        <w:tab/>
      </w:r>
      <w:r w:rsidRPr="00B240D7">
        <w:rPr>
          <w:rFonts w:ascii="Palatino Linotype" w:hAnsi="Palatino Linotype"/>
          <w:w w:val="70"/>
          <w:sz w:val="22"/>
          <w:szCs w:val="26"/>
        </w:rPr>
        <w:t xml:space="preserve">: </w:t>
      </w:r>
      <w:r w:rsidRPr="00B240D7">
        <w:rPr>
          <w:rFonts w:ascii="Palatino Linotype" w:hAnsi="Palatino Linotype"/>
          <w:w w:val="70"/>
          <w:sz w:val="22"/>
          <w:szCs w:val="26"/>
        </w:rPr>
        <w:tab/>
        <w:t xml:space="preserve">United Nations System of Environmental Economic Accounting </w:t>
      </w:r>
      <w:r w:rsidRPr="00B240D7">
        <w:rPr>
          <w:rFonts w:ascii="Palatino Linotype" w:hAnsi="Palatino Linotype"/>
          <w:w w:val="70"/>
          <w:sz w:val="22"/>
          <w:szCs w:val="26"/>
        </w:rPr>
        <w:tab/>
      </w:r>
    </w:p>
    <w:p w14:paraId="098E286C" w14:textId="10D4096A" w:rsidR="000A79DF"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UNFDES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United Nations </w:t>
      </w:r>
      <w:r w:rsidR="00B240D7" w:rsidRPr="00B240D7">
        <w:rPr>
          <w:rFonts w:ascii="Palatino Linotype" w:hAnsi="Palatino Linotype"/>
          <w:w w:val="70"/>
          <w:sz w:val="22"/>
          <w:szCs w:val="26"/>
        </w:rPr>
        <w:t>Framework</w:t>
      </w:r>
      <w:r w:rsidRPr="00B240D7">
        <w:rPr>
          <w:rFonts w:ascii="Palatino Linotype" w:hAnsi="Palatino Linotype"/>
          <w:w w:val="70"/>
          <w:sz w:val="22"/>
          <w:szCs w:val="26"/>
        </w:rPr>
        <w:t xml:space="preserve"> for Development of Environment Statistics </w:t>
      </w:r>
      <w:r w:rsidRPr="00B240D7">
        <w:rPr>
          <w:rFonts w:ascii="Palatino Linotype" w:hAnsi="Palatino Linotype"/>
          <w:w w:val="70"/>
          <w:sz w:val="22"/>
          <w:szCs w:val="26"/>
        </w:rPr>
        <w:tab/>
      </w:r>
    </w:p>
    <w:p w14:paraId="4A5CF87F" w14:textId="2DB16CCF" w:rsidR="00B0021D" w:rsidRPr="00B240D7" w:rsidRDefault="000A79DF" w:rsidP="00B240D7">
      <w:pPr>
        <w:tabs>
          <w:tab w:val="left" w:pos="720"/>
          <w:tab w:val="left" w:pos="990"/>
        </w:tabs>
        <w:spacing w:line="276" w:lineRule="auto"/>
        <w:rPr>
          <w:rFonts w:ascii="Palatino Linotype" w:hAnsi="Palatino Linotype"/>
          <w:w w:val="70"/>
          <w:sz w:val="22"/>
          <w:szCs w:val="26"/>
        </w:rPr>
      </w:pPr>
      <w:r w:rsidRPr="00B240D7">
        <w:rPr>
          <w:rFonts w:ascii="Palatino Linotype" w:hAnsi="Palatino Linotype"/>
          <w:w w:val="70"/>
          <w:sz w:val="22"/>
          <w:szCs w:val="26"/>
        </w:rPr>
        <w:t xml:space="preserve">UNDP </w:t>
      </w:r>
      <w:r w:rsidRPr="00B240D7">
        <w:rPr>
          <w:rFonts w:ascii="Palatino Linotype" w:hAnsi="Palatino Linotype"/>
          <w:w w:val="70"/>
          <w:sz w:val="22"/>
          <w:szCs w:val="26"/>
        </w:rPr>
        <w:tab/>
        <w:t xml:space="preserve">: </w:t>
      </w:r>
      <w:r w:rsidRPr="00B240D7">
        <w:rPr>
          <w:rFonts w:ascii="Palatino Linotype" w:hAnsi="Palatino Linotype"/>
          <w:w w:val="70"/>
          <w:sz w:val="22"/>
          <w:szCs w:val="26"/>
        </w:rPr>
        <w:tab/>
        <w:t xml:space="preserve">United Nations Development Programme </w:t>
      </w:r>
      <w:r w:rsidRPr="00B240D7">
        <w:rPr>
          <w:rFonts w:ascii="Palatino Linotype" w:hAnsi="Palatino Linotype"/>
          <w:w w:val="70"/>
          <w:sz w:val="22"/>
          <w:szCs w:val="26"/>
        </w:rPr>
        <w:tab/>
      </w:r>
    </w:p>
    <w:p w14:paraId="4B73359E" w14:textId="77777777" w:rsidR="000A79DF" w:rsidRPr="00B240D7" w:rsidRDefault="000A79DF" w:rsidP="00B240D7">
      <w:pPr>
        <w:spacing w:line="360" w:lineRule="auto"/>
        <w:rPr>
          <w:sz w:val="22"/>
          <w:szCs w:val="26"/>
        </w:rPr>
        <w:sectPr w:rsidR="000A79DF" w:rsidRPr="00B240D7" w:rsidSect="00D46636">
          <w:type w:val="continuous"/>
          <w:pgSz w:w="20160" w:h="12240" w:orient="landscape" w:code="5"/>
          <w:pgMar w:top="720" w:right="720" w:bottom="720" w:left="720" w:header="720" w:footer="720" w:gutter="0"/>
          <w:cols w:num="3" w:space="720"/>
          <w:docGrid w:linePitch="360"/>
        </w:sectPr>
      </w:pPr>
    </w:p>
    <w:p w14:paraId="6BB600A4" w14:textId="2E5D46D5" w:rsidR="00B0021D" w:rsidRPr="00B240D7" w:rsidRDefault="00B0021D" w:rsidP="00B240D7">
      <w:pPr>
        <w:spacing w:line="360" w:lineRule="auto"/>
        <w:rPr>
          <w:sz w:val="22"/>
          <w:szCs w:val="26"/>
        </w:rPr>
      </w:pPr>
    </w:p>
    <w:p w14:paraId="5B54F8A1" w14:textId="77777777" w:rsidR="00B0021D" w:rsidRDefault="00B0021D" w:rsidP="001B437B">
      <w:pPr>
        <w:rPr>
          <w:rFonts w:ascii="Palatino Linotype" w:hAnsi="Palatino Linotype"/>
          <w:sz w:val="24"/>
        </w:rPr>
      </w:pPr>
    </w:p>
    <w:p w14:paraId="275A7D83" w14:textId="77777777" w:rsidR="00FA6809" w:rsidRDefault="00FA6809" w:rsidP="001B437B">
      <w:pPr>
        <w:rPr>
          <w:rFonts w:ascii="Palatino Linotype" w:hAnsi="Palatino Linotype"/>
          <w:sz w:val="24"/>
        </w:rPr>
      </w:pPr>
    </w:p>
    <w:p w14:paraId="1258F803" w14:textId="77777777" w:rsidR="00B0021D" w:rsidRDefault="00B0021D" w:rsidP="001B437B">
      <w:pPr>
        <w:rPr>
          <w:rFonts w:ascii="Palatino Linotype" w:hAnsi="Palatino Linotype"/>
          <w:sz w:val="24"/>
        </w:rPr>
      </w:pPr>
    </w:p>
    <w:p w14:paraId="7A2F37E5" w14:textId="77777777" w:rsidR="00B0021D" w:rsidRDefault="00B0021D" w:rsidP="001B437B">
      <w:pPr>
        <w:rPr>
          <w:rFonts w:ascii="Palatino Linotype" w:hAnsi="Palatino Linotype"/>
          <w:sz w:val="24"/>
        </w:rPr>
      </w:pPr>
    </w:p>
    <w:p w14:paraId="00803DDD" w14:textId="77777777" w:rsidR="00B0021D" w:rsidRDefault="00B0021D" w:rsidP="001B437B">
      <w:pPr>
        <w:rPr>
          <w:rFonts w:ascii="Palatino Linotype" w:hAnsi="Palatino Linotype"/>
          <w:sz w:val="24"/>
        </w:rPr>
      </w:pPr>
    </w:p>
    <w:p w14:paraId="2F1A474D" w14:textId="77777777" w:rsidR="00B0021D" w:rsidRDefault="00B0021D" w:rsidP="001B437B">
      <w:pPr>
        <w:rPr>
          <w:rFonts w:ascii="Palatino Linotype" w:hAnsi="Palatino Linotype"/>
          <w:sz w:val="24"/>
        </w:rPr>
      </w:pPr>
    </w:p>
    <w:p w14:paraId="10230230" w14:textId="77777777" w:rsidR="000A79DF" w:rsidRDefault="000A79DF">
      <w:pPr>
        <w:rPr>
          <w:rFonts w:ascii="Palatino Linotype" w:hAnsi="Palatino Linotype"/>
          <w:b/>
          <w:sz w:val="40"/>
        </w:rPr>
      </w:pPr>
      <w:r>
        <w:rPr>
          <w:rFonts w:ascii="Palatino Linotype" w:hAnsi="Palatino Linotype"/>
          <w:b/>
          <w:sz w:val="40"/>
        </w:rPr>
        <w:br w:type="page"/>
      </w:r>
    </w:p>
    <w:p w14:paraId="003B6580" w14:textId="5A2E1416" w:rsidR="00D20077" w:rsidRPr="0012153B" w:rsidRDefault="00D20077" w:rsidP="00D20077">
      <w:pPr>
        <w:jc w:val="center"/>
        <w:rPr>
          <w:rFonts w:ascii="Palatino Linotype" w:hAnsi="Palatino Linotype"/>
          <w:b/>
          <w:color w:val="0070C0"/>
          <w:sz w:val="42"/>
          <w:szCs w:val="42"/>
        </w:rPr>
      </w:pPr>
      <w:r w:rsidRPr="00D20077">
        <w:rPr>
          <w:rFonts w:ascii="Palatino Linotype" w:hAnsi="Palatino Linotype"/>
          <w:b/>
          <w:color w:val="0070C0"/>
          <w:sz w:val="52"/>
          <w:szCs w:val="52"/>
        </w:rPr>
        <w:lastRenderedPageBreak/>
        <w:t>INTRODUCTION</w:t>
      </w:r>
      <w:r w:rsidRPr="00D20077">
        <w:rPr>
          <w:rFonts w:ascii="Palatino Linotype" w:hAnsi="Palatino Linotype"/>
          <w:b/>
          <w:color w:val="0070C0"/>
          <w:sz w:val="52"/>
          <w:szCs w:val="52"/>
        </w:rPr>
        <w:br/>
      </w:r>
    </w:p>
    <w:p w14:paraId="619B6F39" w14:textId="358EE384" w:rsidR="007E4F8B" w:rsidRDefault="00425699" w:rsidP="00D20077">
      <w:pPr>
        <w:jc w:val="both"/>
        <w:rPr>
          <w:rFonts w:ascii="Palatino Linotype" w:hAnsi="Palatino Linotype"/>
          <w:sz w:val="24"/>
        </w:rPr>
      </w:pPr>
      <w:r>
        <w:rPr>
          <w:rFonts w:ascii="Palatino Linotype" w:hAnsi="Palatino Linotype"/>
          <w:noProof/>
          <w:sz w:val="24"/>
          <w:lang w:bidi="bn-BD"/>
        </w:rPr>
        <w:drawing>
          <wp:anchor distT="0" distB="0" distL="114300" distR="114300" simplePos="0" relativeHeight="251764224" behindDoc="0" locked="0" layoutInCell="1" allowOverlap="1" wp14:anchorId="40414BA6" wp14:editId="608F07FA">
            <wp:simplePos x="0" y="0"/>
            <wp:positionH relativeFrom="column">
              <wp:posOffset>6169660</wp:posOffset>
            </wp:positionH>
            <wp:positionV relativeFrom="paragraph">
              <wp:posOffset>13970</wp:posOffset>
            </wp:positionV>
            <wp:extent cx="5737225" cy="2969260"/>
            <wp:effectExtent l="19050" t="19050" r="15875" b="215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1_data_flow_SDG-1600x7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7225" cy="2969260"/>
                    </a:xfrm>
                    <a:prstGeom prst="rect">
                      <a:avLst/>
                    </a:prstGeom>
                    <a:ln w="19050">
                      <a:solidFill>
                        <a:srgbClr val="FF0000"/>
                      </a:solidFill>
                    </a:ln>
                  </pic:spPr>
                </pic:pic>
              </a:graphicData>
            </a:graphic>
            <wp14:sizeRelV relativeFrom="margin">
              <wp14:pctHeight>0</wp14:pctHeight>
            </wp14:sizeRelV>
          </wp:anchor>
        </w:drawing>
      </w:r>
      <w:r w:rsidR="0057283E">
        <w:rPr>
          <w:noProof/>
          <w:lang w:bidi="bn-BD"/>
        </w:rPr>
        <w:drawing>
          <wp:anchor distT="0" distB="0" distL="114300" distR="114300" simplePos="0" relativeHeight="251748864" behindDoc="0" locked="0" layoutInCell="1" allowOverlap="1" wp14:anchorId="47659FB0" wp14:editId="11AF2993">
            <wp:simplePos x="0" y="0"/>
            <wp:positionH relativeFrom="column">
              <wp:posOffset>13335</wp:posOffset>
            </wp:positionH>
            <wp:positionV relativeFrom="paragraph">
              <wp:posOffset>665480</wp:posOffset>
            </wp:positionV>
            <wp:extent cx="5702935" cy="2769870"/>
            <wp:effectExtent l="0" t="0" r="0" b="0"/>
            <wp:wrapSquare wrapText="bothSides"/>
            <wp:docPr id="61165" name="Picture 61165"/>
            <wp:cNvGraphicFramePr/>
            <a:graphic xmlns:a="http://schemas.openxmlformats.org/drawingml/2006/main">
              <a:graphicData uri="http://schemas.openxmlformats.org/drawingml/2006/picture">
                <pic:pic xmlns:pic="http://schemas.openxmlformats.org/drawingml/2006/picture">
                  <pic:nvPicPr>
                    <pic:cNvPr id="61165" name="Picture 611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2935" cy="2769870"/>
                    </a:xfrm>
                    <a:prstGeom prst="rect">
                      <a:avLst/>
                    </a:prstGeom>
                  </pic:spPr>
                </pic:pic>
              </a:graphicData>
            </a:graphic>
            <wp14:sizeRelH relativeFrom="margin">
              <wp14:pctWidth>0</wp14:pctWidth>
            </wp14:sizeRelH>
            <wp14:sizeRelV relativeFrom="margin">
              <wp14:pctHeight>0</wp14:pctHeight>
            </wp14:sizeRelV>
          </wp:anchor>
        </w:drawing>
      </w:r>
      <w:r w:rsidR="00D20077" w:rsidRPr="00D20077">
        <w:rPr>
          <w:rFonts w:ascii="Palatino Linotype" w:hAnsi="Palatino Linotype"/>
          <w:sz w:val="24"/>
        </w:rPr>
        <w:t>This report provides the current</w:t>
      </w:r>
      <w:r w:rsidR="00D20077">
        <w:rPr>
          <w:rFonts w:ascii="Palatino Linotype" w:hAnsi="Palatino Linotype"/>
          <w:sz w:val="24"/>
        </w:rPr>
        <w:t xml:space="preserve"> </w:t>
      </w:r>
      <w:r w:rsidR="00D20077" w:rsidRPr="00D20077">
        <w:rPr>
          <w:rFonts w:ascii="Palatino Linotype" w:hAnsi="Palatino Linotype"/>
          <w:sz w:val="24"/>
        </w:rPr>
        <w:t>status of 247</w:t>
      </w:r>
      <w:r>
        <w:rPr>
          <w:rFonts w:ascii="Palatino Linotype" w:hAnsi="Palatino Linotype"/>
          <w:sz w:val="24"/>
        </w:rPr>
        <w:t xml:space="preserve"> </w:t>
      </w:r>
      <w:r w:rsidRPr="00616F29">
        <w:rPr>
          <w:rFonts w:ascii="Palatino Linotype" w:hAnsi="Palatino Linotype"/>
          <w:sz w:val="24"/>
        </w:rPr>
        <w:t>indicators</w:t>
      </w:r>
      <w:r w:rsidR="007E4F8B" w:rsidRPr="00616F29">
        <w:rPr>
          <w:rFonts w:ascii="Palatino Linotype" w:hAnsi="Palatino Linotype"/>
          <w:sz w:val="24"/>
        </w:rPr>
        <w:t xml:space="preserve"> for the United Nations ‘Sustainable Development Goals’ (SDGs) with respect to the current situation in Bangladesh. This is the first publication as like as a manual to insist the Data generation procedures and respective deadlines for the National and International data providers in context of Bangladesh. This exclusive information hub has made available through extensive consultation with ministries, policy analysis organizations, knowledge institutes and NGOs.</w:t>
      </w:r>
    </w:p>
    <w:p w14:paraId="3D9880E5" w14:textId="77777777" w:rsidR="00425699" w:rsidRPr="00616F29" w:rsidRDefault="00425699" w:rsidP="00D20077">
      <w:pPr>
        <w:jc w:val="both"/>
        <w:rPr>
          <w:rFonts w:ascii="Palatino Linotype" w:hAnsi="Palatino Linotype"/>
          <w:sz w:val="24"/>
        </w:rPr>
      </w:pPr>
    </w:p>
    <w:p w14:paraId="2306CA6E" w14:textId="70B7CD97" w:rsidR="007E4F8B" w:rsidRDefault="007E4F8B" w:rsidP="007E4F8B">
      <w:pPr>
        <w:jc w:val="both"/>
        <w:rPr>
          <w:rFonts w:ascii="Palatino Linotype" w:hAnsi="Palatino Linotype"/>
          <w:sz w:val="24"/>
        </w:rPr>
      </w:pPr>
      <w:r w:rsidRPr="00616F29">
        <w:rPr>
          <w:rFonts w:ascii="Palatino Linotype" w:hAnsi="Palatino Linotype"/>
          <w:sz w:val="24"/>
        </w:rPr>
        <w:t xml:space="preserve">In September 2015, 193 members of the United Nations including Bangladesh, agreed a future agenda for sustainable development and signed up to an aspirant package of goals for sustainable development. There are 17 exhaustive goals, 169 sub-goals, 247 indicators (Uniquely 231) and all the Governments of United Nations member states bear responsibility for their countries implementation and </w:t>
      </w:r>
      <w:r w:rsidRPr="00616F29">
        <w:rPr>
          <w:rFonts w:ascii="Palatino Linotype" w:hAnsi="Palatino Linotype"/>
          <w:sz w:val="24"/>
        </w:rPr>
        <w:lastRenderedPageBreak/>
        <w:t>monitoring of progress of their Developments. For this purpose, they agreed that data required for monitoring will be reported by the countries, with the salient role of National Statistical offices (NSOs) of the respective countries.</w:t>
      </w:r>
    </w:p>
    <w:p w14:paraId="56570F91" w14:textId="1A2556F7" w:rsidR="00425699" w:rsidRDefault="00425699" w:rsidP="007E4F8B">
      <w:pPr>
        <w:jc w:val="both"/>
        <w:rPr>
          <w:rFonts w:ascii="Palatino Linotype" w:hAnsi="Palatino Linotype"/>
          <w:sz w:val="24"/>
        </w:rPr>
      </w:pPr>
    </w:p>
    <w:p w14:paraId="5842AE51" w14:textId="322939E5" w:rsidR="000A79DF" w:rsidRDefault="00243191" w:rsidP="007E4F8B">
      <w:pPr>
        <w:jc w:val="both"/>
        <w:rPr>
          <w:rFonts w:ascii="Palatino Linotype" w:hAnsi="Palatino Linotype"/>
          <w:sz w:val="24"/>
        </w:rPr>
      </w:pPr>
      <w:r>
        <w:rPr>
          <w:rFonts w:ascii="Palatino Linotype" w:hAnsi="Palatino Linotype"/>
          <w:sz w:val="24"/>
        </w:rPr>
        <w:t>This Publication title</w:t>
      </w:r>
      <w:r w:rsidR="000C569E">
        <w:rPr>
          <w:rFonts w:ascii="Palatino Linotype" w:hAnsi="Palatino Linotype"/>
          <w:sz w:val="24"/>
        </w:rPr>
        <w:t>d</w:t>
      </w:r>
      <w:r w:rsidR="00425699">
        <w:rPr>
          <w:rFonts w:ascii="Palatino Linotype" w:hAnsi="Palatino Linotype"/>
          <w:sz w:val="24"/>
        </w:rPr>
        <w:t xml:space="preserve"> `</w:t>
      </w:r>
      <w:r w:rsidR="000C569E" w:rsidRPr="003C6FB3">
        <w:rPr>
          <w:rFonts w:ascii="Palatino Linotype" w:hAnsi="Palatino Linotype"/>
          <w:sz w:val="24"/>
        </w:rPr>
        <w:t xml:space="preserve">Action plan and Methodological Guidelines towards Data Generation &amp; Disaggregation </w:t>
      </w:r>
      <w:r w:rsidR="000A79DF">
        <w:rPr>
          <w:rFonts w:ascii="Palatino Linotype" w:hAnsi="Palatino Linotype"/>
          <w:sz w:val="24"/>
        </w:rPr>
        <w:t>f</w:t>
      </w:r>
      <w:r w:rsidR="000C569E" w:rsidRPr="003C6FB3">
        <w:rPr>
          <w:rFonts w:ascii="Palatino Linotype" w:hAnsi="Palatino Linotype"/>
          <w:sz w:val="24"/>
        </w:rPr>
        <w:t xml:space="preserve">or </w:t>
      </w:r>
      <w:r w:rsidR="000A79DF" w:rsidRPr="003C6FB3">
        <w:rPr>
          <w:rFonts w:ascii="Palatino Linotype" w:hAnsi="Palatino Linotype"/>
          <w:sz w:val="24"/>
        </w:rPr>
        <w:t>Monitoring and</w:t>
      </w:r>
      <w:r w:rsidR="000C569E" w:rsidRPr="003C6FB3">
        <w:rPr>
          <w:rFonts w:ascii="Palatino Linotype" w:hAnsi="Palatino Linotype"/>
          <w:sz w:val="24"/>
        </w:rPr>
        <w:t xml:space="preserve"> evaluation of </w:t>
      </w:r>
      <w:r w:rsidR="00425699" w:rsidRPr="003C6FB3">
        <w:rPr>
          <w:rFonts w:ascii="Palatino Linotype" w:hAnsi="Palatino Linotype"/>
          <w:sz w:val="24"/>
        </w:rPr>
        <w:t>SDGs</w:t>
      </w:r>
      <w:r w:rsidR="00425699">
        <w:rPr>
          <w:rFonts w:ascii="Palatino Linotype" w:hAnsi="Palatino Linotype"/>
          <w:sz w:val="24"/>
        </w:rPr>
        <w:t>’ published</w:t>
      </w:r>
      <w:r w:rsidR="000C569E">
        <w:rPr>
          <w:rFonts w:ascii="Palatino Linotype" w:hAnsi="Palatino Linotype"/>
          <w:sz w:val="24"/>
        </w:rPr>
        <w:t xml:space="preserve"> in June 2020 by SDG Cell, Bangladesh Bureau of Statistics (BBS) of Statistics and Informatics Division (SID) was based on 247 indicators developed in 2020.</w:t>
      </w:r>
    </w:p>
    <w:p w14:paraId="5C270CD4" w14:textId="77777777" w:rsidR="00425699" w:rsidRDefault="00425699" w:rsidP="007E4F8B">
      <w:pPr>
        <w:jc w:val="both"/>
        <w:rPr>
          <w:rFonts w:ascii="Palatino Linotype" w:hAnsi="Palatino Linotype"/>
          <w:sz w:val="24"/>
        </w:rPr>
      </w:pPr>
    </w:p>
    <w:p w14:paraId="30512D0B" w14:textId="5E1FF023" w:rsidR="00A63466" w:rsidRDefault="00A63466" w:rsidP="00A63466">
      <w:pPr>
        <w:pStyle w:val="NoSpacing"/>
        <w:jc w:val="both"/>
        <w:rPr>
          <w:rFonts w:ascii="Palatino Linotype" w:hAnsi="Palatino Linotype"/>
          <w:sz w:val="24"/>
          <w:szCs w:val="20"/>
        </w:rPr>
        <w:sectPr w:rsidR="00A63466" w:rsidSect="00D46636">
          <w:type w:val="continuous"/>
          <w:pgSz w:w="20160" w:h="12240" w:orient="landscape" w:code="5"/>
          <w:pgMar w:top="720" w:right="720" w:bottom="720" w:left="720" w:header="720" w:footer="720" w:gutter="0"/>
          <w:cols w:num="2" w:space="720"/>
          <w:docGrid w:linePitch="360"/>
        </w:sectPr>
      </w:pPr>
      <w:r w:rsidRPr="00932BD1">
        <w:rPr>
          <w:rFonts w:ascii="Palatino Linotype" w:hAnsi="Palatino Linotype"/>
          <w:b/>
          <w:color w:val="000000" w:themeColor="text1"/>
          <w:sz w:val="24"/>
        </w:rPr>
        <w:t>Figure 1</w:t>
      </w:r>
      <w:r w:rsidRPr="001E1A3F">
        <w:rPr>
          <w:rFonts w:ascii="Palatino Linotype" w:hAnsi="Palatino Linotype"/>
          <w:color w:val="000000" w:themeColor="text1"/>
          <w:sz w:val="24"/>
        </w:rPr>
        <w:t xml:space="preserve"> summarizes that </w:t>
      </w:r>
      <w:r w:rsidRPr="00153024">
        <w:rPr>
          <w:rFonts w:ascii="Palatino Linotype" w:hAnsi="Palatino Linotype"/>
          <w:sz w:val="24"/>
          <w:szCs w:val="20"/>
        </w:rPr>
        <w:t xml:space="preserve">Apart from the government data providers, a total number of 52 custodian agencies are involved in the initiative. The list of custodian agencies includes different multilateral organizations working in different areas like economic growth, public health, food security, gender equality and empowerment etc. A few notable names among the </w:t>
      </w:r>
      <w:r>
        <w:rPr>
          <w:rFonts w:ascii="Palatino Linotype" w:hAnsi="Palatino Linotype"/>
          <w:sz w:val="24"/>
          <w:szCs w:val="20"/>
        </w:rPr>
        <w:t>custodian</w:t>
      </w:r>
      <w:r w:rsidRPr="00153024">
        <w:rPr>
          <w:rFonts w:ascii="Palatino Linotype" w:hAnsi="Palatino Linotype"/>
          <w:sz w:val="24"/>
          <w:szCs w:val="20"/>
        </w:rPr>
        <w:t xml:space="preserve"> agencies are World Health Organization, IMF, UNESCO, FAO, UN Women, </w:t>
      </w:r>
      <w:proofErr w:type="gramStart"/>
      <w:r w:rsidRPr="00153024">
        <w:rPr>
          <w:rFonts w:ascii="Palatino Linotype" w:hAnsi="Palatino Linotype"/>
          <w:sz w:val="24"/>
          <w:szCs w:val="20"/>
        </w:rPr>
        <w:t>IOM</w:t>
      </w:r>
      <w:proofErr w:type="gramEnd"/>
      <w:r w:rsidRPr="00153024">
        <w:rPr>
          <w:rFonts w:ascii="Palatino Linotype" w:hAnsi="Palatino Linotype"/>
          <w:sz w:val="24"/>
          <w:szCs w:val="20"/>
        </w:rPr>
        <w:t xml:space="preserve"> etc.</w:t>
      </w:r>
    </w:p>
    <w:p w14:paraId="24EC8375" w14:textId="2FD641AF" w:rsidR="000C569E" w:rsidRPr="000C569E" w:rsidRDefault="000C569E" w:rsidP="00A63466">
      <w:pPr>
        <w:pStyle w:val="NoSpacing"/>
        <w:jc w:val="both"/>
        <w:rPr>
          <w:rFonts w:ascii="Palatino Linotype" w:hAnsi="Palatino Linotype"/>
          <w:sz w:val="12"/>
        </w:rPr>
      </w:pPr>
    </w:p>
    <w:p w14:paraId="5F408886" w14:textId="49A2A83F" w:rsidR="007E4F8B" w:rsidRPr="0012153B" w:rsidRDefault="0072165C" w:rsidP="007E4F8B">
      <w:pPr>
        <w:rPr>
          <w:rStyle w:val="fontstyle01"/>
          <w:b w:val="0"/>
          <w:color w:val="000000" w:themeColor="text1"/>
          <w:sz w:val="30"/>
        </w:rPr>
      </w:pPr>
      <w:r w:rsidRPr="0012153B">
        <w:rPr>
          <w:rFonts w:ascii="Palatino Linotype" w:hAnsi="Palatino Linotype"/>
          <w:b/>
          <w:noProof/>
          <w:color w:val="0070C0"/>
          <w:sz w:val="28"/>
          <w:szCs w:val="22"/>
          <w:lang w:bidi="bn-BD"/>
        </w:rPr>
        <w:lastRenderedPageBreak/>
        <w:drawing>
          <wp:anchor distT="0" distB="0" distL="114300" distR="114300" simplePos="0" relativeHeight="251750912" behindDoc="0" locked="0" layoutInCell="1" allowOverlap="1" wp14:anchorId="1BD1EBF6" wp14:editId="72C23D7F">
            <wp:simplePos x="0" y="0"/>
            <wp:positionH relativeFrom="margin">
              <wp:posOffset>6169937</wp:posOffset>
            </wp:positionH>
            <wp:positionV relativeFrom="paragraph">
              <wp:posOffset>63670</wp:posOffset>
            </wp:positionV>
            <wp:extent cx="5703570" cy="5884752"/>
            <wp:effectExtent l="0" t="0" r="11430" b="1905"/>
            <wp:wrapSquare wrapText="bothSides"/>
            <wp:docPr id="4943" name="Chart 4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E4F8B" w:rsidRPr="0012153B">
        <w:rPr>
          <w:rFonts w:ascii="Palatino Linotype" w:hAnsi="Palatino Linotype"/>
          <w:b/>
          <w:color w:val="0070C0"/>
          <w:sz w:val="28"/>
          <w:szCs w:val="22"/>
        </w:rPr>
        <w:t>Goals, targets and indicators</w:t>
      </w:r>
      <w:r w:rsidR="000A79DF" w:rsidRPr="0012153B">
        <w:rPr>
          <w:rFonts w:ascii="Palatino Linotype" w:hAnsi="Palatino Linotype"/>
          <w:b/>
          <w:color w:val="0070C0"/>
          <w:sz w:val="28"/>
          <w:szCs w:val="22"/>
        </w:rPr>
        <w:t xml:space="preserve"> with Tier Classifications</w:t>
      </w:r>
    </w:p>
    <w:tbl>
      <w:tblPr>
        <w:tblW w:w="88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261"/>
        <w:gridCol w:w="1064"/>
        <w:gridCol w:w="997"/>
        <w:gridCol w:w="935"/>
        <w:gridCol w:w="1169"/>
      </w:tblGrid>
      <w:tr w:rsidR="000A79DF" w:rsidRPr="00AD1B3E" w14:paraId="465E170A" w14:textId="77777777" w:rsidTr="00B240D7">
        <w:trPr>
          <w:trHeight w:val="276"/>
        </w:trPr>
        <w:tc>
          <w:tcPr>
            <w:tcW w:w="3424" w:type="dxa"/>
            <w:vMerge w:val="restart"/>
            <w:shd w:val="clear" w:color="auto" w:fill="auto"/>
            <w:noWrap/>
            <w:vAlign w:val="center"/>
            <w:hideMark/>
          </w:tcPr>
          <w:p w14:paraId="58B90FE4" w14:textId="77777777" w:rsidR="000A79DF" w:rsidRPr="00AD1B3E" w:rsidRDefault="000A79DF" w:rsidP="00484B5E">
            <w:pPr>
              <w:jc w:val="center"/>
              <w:rPr>
                <w:rFonts w:ascii="Calibri" w:eastAsia="Times New Roman" w:hAnsi="Calibri" w:cs="Calibri"/>
                <w:b/>
                <w:bCs/>
              </w:rPr>
            </w:pPr>
            <w:r w:rsidRPr="00AD1B3E">
              <w:rPr>
                <w:rFonts w:ascii="Calibri" w:eastAsia="Times New Roman" w:hAnsi="Calibri" w:cs="Calibri"/>
                <w:b/>
                <w:bCs/>
              </w:rPr>
              <w:t>Goal</w:t>
            </w:r>
          </w:p>
        </w:tc>
        <w:tc>
          <w:tcPr>
            <w:tcW w:w="1261" w:type="dxa"/>
            <w:vMerge w:val="restart"/>
            <w:shd w:val="clear" w:color="auto" w:fill="auto"/>
            <w:vAlign w:val="center"/>
            <w:hideMark/>
          </w:tcPr>
          <w:p w14:paraId="727192ED" w14:textId="3942A978" w:rsidR="000A79DF" w:rsidRPr="00AD1B3E" w:rsidRDefault="000A79DF" w:rsidP="00484B5E">
            <w:pPr>
              <w:jc w:val="center"/>
              <w:rPr>
                <w:rFonts w:ascii="Tw Cen MT" w:eastAsia="Times New Roman" w:hAnsi="Tw Cen MT" w:cs="Calibri"/>
                <w:b/>
                <w:bCs/>
              </w:rPr>
            </w:pPr>
            <w:r w:rsidRPr="00AD1B3E">
              <w:rPr>
                <w:rFonts w:ascii="Tw Cen MT" w:eastAsia="Times New Roman" w:hAnsi="Tw Cen MT" w:cs="Calibri"/>
                <w:b/>
                <w:bCs/>
              </w:rPr>
              <w:t>Total Indicators</w:t>
            </w:r>
          </w:p>
        </w:tc>
        <w:tc>
          <w:tcPr>
            <w:tcW w:w="1064" w:type="dxa"/>
            <w:vMerge w:val="restart"/>
            <w:shd w:val="clear" w:color="auto" w:fill="auto"/>
            <w:noWrap/>
            <w:vAlign w:val="center"/>
            <w:hideMark/>
          </w:tcPr>
          <w:p w14:paraId="0A1E7B46" w14:textId="77777777" w:rsidR="000A79DF" w:rsidRPr="00AD1B3E" w:rsidRDefault="000A79DF" w:rsidP="00484B5E">
            <w:pPr>
              <w:jc w:val="center"/>
              <w:rPr>
                <w:rFonts w:ascii="Calibri" w:eastAsia="Times New Roman" w:hAnsi="Calibri" w:cs="Calibri"/>
                <w:b/>
                <w:bCs/>
              </w:rPr>
            </w:pPr>
            <w:r w:rsidRPr="00AD1B3E">
              <w:rPr>
                <w:rFonts w:ascii="Calibri" w:eastAsia="Times New Roman" w:hAnsi="Calibri" w:cs="Calibri"/>
                <w:b/>
                <w:bCs/>
              </w:rPr>
              <w:t>Tier I</w:t>
            </w:r>
          </w:p>
        </w:tc>
        <w:tc>
          <w:tcPr>
            <w:tcW w:w="997" w:type="dxa"/>
            <w:vMerge w:val="restart"/>
            <w:shd w:val="clear" w:color="auto" w:fill="auto"/>
            <w:noWrap/>
            <w:vAlign w:val="center"/>
            <w:hideMark/>
          </w:tcPr>
          <w:p w14:paraId="4E6BD291" w14:textId="77777777" w:rsidR="000A79DF" w:rsidRPr="00AD1B3E" w:rsidRDefault="000A79DF" w:rsidP="00484B5E">
            <w:pPr>
              <w:jc w:val="center"/>
              <w:rPr>
                <w:rFonts w:ascii="Calibri" w:eastAsia="Times New Roman" w:hAnsi="Calibri" w:cs="Calibri"/>
                <w:b/>
                <w:bCs/>
              </w:rPr>
            </w:pPr>
            <w:r w:rsidRPr="00AD1B3E">
              <w:rPr>
                <w:rFonts w:ascii="Calibri" w:eastAsia="Times New Roman" w:hAnsi="Calibri" w:cs="Calibri"/>
                <w:b/>
                <w:bCs/>
              </w:rPr>
              <w:t>Tier II</w:t>
            </w:r>
          </w:p>
        </w:tc>
        <w:tc>
          <w:tcPr>
            <w:tcW w:w="935" w:type="dxa"/>
            <w:vMerge w:val="restart"/>
            <w:shd w:val="clear" w:color="auto" w:fill="auto"/>
            <w:noWrap/>
            <w:vAlign w:val="center"/>
            <w:hideMark/>
          </w:tcPr>
          <w:p w14:paraId="1979EFFA" w14:textId="77777777" w:rsidR="000A79DF" w:rsidRPr="00AD1B3E" w:rsidRDefault="000A79DF" w:rsidP="00484B5E">
            <w:pPr>
              <w:jc w:val="center"/>
              <w:rPr>
                <w:rFonts w:ascii="Calibri" w:eastAsia="Times New Roman" w:hAnsi="Calibri" w:cs="Calibri"/>
                <w:b/>
                <w:bCs/>
              </w:rPr>
            </w:pPr>
            <w:r w:rsidRPr="00AD1B3E">
              <w:rPr>
                <w:rFonts w:ascii="Calibri" w:eastAsia="Times New Roman" w:hAnsi="Calibri" w:cs="Calibri"/>
                <w:b/>
                <w:bCs/>
              </w:rPr>
              <w:t>TBD</w:t>
            </w:r>
          </w:p>
        </w:tc>
        <w:tc>
          <w:tcPr>
            <w:tcW w:w="1169" w:type="dxa"/>
            <w:vMerge w:val="restart"/>
            <w:shd w:val="clear" w:color="auto" w:fill="auto"/>
            <w:vAlign w:val="center"/>
            <w:hideMark/>
          </w:tcPr>
          <w:p w14:paraId="75F8017D" w14:textId="77777777" w:rsidR="000A79DF" w:rsidRPr="00AD1B3E" w:rsidRDefault="000A79DF" w:rsidP="00484B5E">
            <w:pPr>
              <w:jc w:val="center"/>
              <w:rPr>
                <w:rFonts w:ascii="Calibri" w:eastAsia="Times New Roman" w:hAnsi="Calibri" w:cs="Calibri"/>
                <w:b/>
                <w:bCs/>
              </w:rPr>
            </w:pPr>
            <w:r w:rsidRPr="00AD1B3E">
              <w:rPr>
                <w:rFonts w:ascii="Calibri" w:eastAsia="Times New Roman" w:hAnsi="Calibri" w:cs="Calibri"/>
                <w:b/>
                <w:bCs/>
              </w:rPr>
              <w:t>Multiple Tier</w:t>
            </w:r>
          </w:p>
        </w:tc>
      </w:tr>
      <w:tr w:rsidR="000A79DF" w:rsidRPr="00AD1B3E" w14:paraId="45FF5ED3" w14:textId="77777777" w:rsidTr="00B240D7">
        <w:trPr>
          <w:trHeight w:val="244"/>
        </w:trPr>
        <w:tc>
          <w:tcPr>
            <w:tcW w:w="3424" w:type="dxa"/>
            <w:vMerge/>
            <w:vAlign w:val="center"/>
            <w:hideMark/>
          </w:tcPr>
          <w:p w14:paraId="22A6B393" w14:textId="77777777" w:rsidR="000A79DF" w:rsidRPr="00AD1B3E" w:rsidRDefault="000A79DF" w:rsidP="00484B5E">
            <w:pPr>
              <w:rPr>
                <w:rFonts w:ascii="Calibri" w:eastAsia="Times New Roman" w:hAnsi="Calibri" w:cs="Calibri"/>
                <w:b/>
                <w:bCs/>
              </w:rPr>
            </w:pPr>
          </w:p>
        </w:tc>
        <w:tc>
          <w:tcPr>
            <w:tcW w:w="1261" w:type="dxa"/>
            <w:vMerge/>
            <w:vAlign w:val="center"/>
            <w:hideMark/>
          </w:tcPr>
          <w:p w14:paraId="75EF9E30" w14:textId="77777777" w:rsidR="000A79DF" w:rsidRPr="00AD1B3E" w:rsidRDefault="000A79DF" w:rsidP="00484B5E">
            <w:pPr>
              <w:rPr>
                <w:rFonts w:ascii="Tw Cen MT" w:eastAsia="Times New Roman" w:hAnsi="Tw Cen MT" w:cs="Calibri"/>
                <w:b/>
                <w:bCs/>
              </w:rPr>
            </w:pPr>
          </w:p>
        </w:tc>
        <w:tc>
          <w:tcPr>
            <w:tcW w:w="1064" w:type="dxa"/>
            <w:vMerge/>
            <w:vAlign w:val="center"/>
            <w:hideMark/>
          </w:tcPr>
          <w:p w14:paraId="0494879C" w14:textId="77777777" w:rsidR="000A79DF" w:rsidRPr="00AD1B3E" w:rsidRDefault="000A79DF" w:rsidP="00484B5E">
            <w:pPr>
              <w:rPr>
                <w:rFonts w:ascii="Calibri" w:eastAsia="Times New Roman" w:hAnsi="Calibri" w:cs="Calibri"/>
                <w:b/>
                <w:bCs/>
              </w:rPr>
            </w:pPr>
          </w:p>
        </w:tc>
        <w:tc>
          <w:tcPr>
            <w:tcW w:w="997" w:type="dxa"/>
            <w:vMerge/>
            <w:vAlign w:val="center"/>
            <w:hideMark/>
          </w:tcPr>
          <w:p w14:paraId="51231C00" w14:textId="77777777" w:rsidR="000A79DF" w:rsidRPr="00AD1B3E" w:rsidRDefault="000A79DF" w:rsidP="00484B5E">
            <w:pPr>
              <w:rPr>
                <w:rFonts w:ascii="Calibri" w:eastAsia="Times New Roman" w:hAnsi="Calibri" w:cs="Calibri"/>
                <w:b/>
                <w:bCs/>
              </w:rPr>
            </w:pPr>
          </w:p>
        </w:tc>
        <w:tc>
          <w:tcPr>
            <w:tcW w:w="935" w:type="dxa"/>
            <w:vMerge/>
            <w:vAlign w:val="center"/>
            <w:hideMark/>
          </w:tcPr>
          <w:p w14:paraId="4AF60BE8" w14:textId="77777777" w:rsidR="000A79DF" w:rsidRPr="00AD1B3E" w:rsidRDefault="000A79DF" w:rsidP="00484B5E">
            <w:pPr>
              <w:rPr>
                <w:rFonts w:ascii="Calibri" w:eastAsia="Times New Roman" w:hAnsi="Calibri" w:cs="Calibri"/>
                <w:b/>
                <w:bCs/>
              </w:rPr>
            </w:pPr>
          </w:p>
        </w:tc>
        <w:tc>
          <w:tcPr>
            <w:tcW w:w="1169" w:type="dxa"/>
            <w:vMerge/>
            <w:vAlign w:val="center"/>
            <w:hideMark/>
          </w:tcPr>
          <w:p w14:paraId="5C33B04D" w14:textId="77777777" w:rsidR="000A79DF" w:rsidRPr="00AD1B3E" w:rsidRDefault="000A79DF" w:rsidP="00484B5E">
            <w:pPr>
              <w:rPr>
                <w:rFonts w:ascii="Calibri" w:eastAsia="Times New Roman" w:hAnsi="Calibri" w:cs="Calibri"/>
                <w:b/>
                <w:bCs/>
              </w:rPr>
            </w:pPr>
          </w:p>
        </w:tc>
      </w:tr>
      <w:tr w:rsidR="000A79DF" w:rsidRPr="00AD1B3E" w14:paraId="32FDEE98" w14:textId="77777777" w:rsidTr="00B240D7">
        <w:trPr>
          <w:trHeight w:val="235"/>
        </w:trPr>
        <w:tc>
          <w:tcPr>
            <w:tcW w:w="3424" w:type="dxa"/>
            <w:shd w:val="clear" w:color="000000" w:fill="D9E1F2"/>
            <w:noWrap/>
            <w:vAlign w:val="bottom"/>
            <w:hideMark/>
          </w:tcPr>
          <w:p w14:paraId="70E5B139" w14:textId="77777777" w:rsidR="000A79DF" w:rsidRPr="00AD1B3E" w:rsidRDefault="000A79DF" w:rsidP="00484B5E">
            <w:pPr>
              <w:jc w:val="center"/>
              <w:rPr>
                <w:rFonts w:ascii="Calibri" w:eastAsia="Times New Roman" w:hAnsi="Calibri" w:cs="Calibri"/>
                <w:b/>
                <w:bCs/>
                <w:i/>
                <w:iCs/>
              </w:rPr>
            </w:pPr>
            <w:r w:rsidRPr="00AD1B3E">
              <w:rPr>
                <w:rFonts w:ascii="Calibri" w:eastAsia="Times New Roman" w:hAnsi="Calibri" w:cs="Calibri"/>
                <w:b/>
                <w:bCs/>
                <w:i/>
                <w:iCs/>
              </w:rPr>
              <w:t>1</w:t>
            </w:r>
          </w:p>
        </w:tc>
        <w:tc>
          <w:tcPr>
            <w:tcW w:w="1261" w:type="dxa"/>
            <w:shd w:val="clear" w:color="000000" w:fill="D9E1F2"/>
            <w:vAlign w:val="bottom"/>
            <w:hideMark/>
          </w:tcPr>
          <w:p w14:paraId="66E66C78" w14:textId="77777777" w:rsidR="000A79DF" w:rsidRPr="00AD1B3E" w:rsidRDefault="000A79DF" w:rsidP="00484B5E">
            <w:pPr>
              <w:jc w:val="center"/>
              <w:rPr>
                <w:rFonts w:ascii="Tw Cen MT" w:eastAsia="Times New Roman" w:hAnsi="Tw Cen MT" w:cs="Calibri"/>
                <w:b/>
                <w:bCs/>
                <w:i/>
                <w:iCs/>
              </w:rPr>
            </w:pPr>
            <w:r w:rsidRPr="00AD1B3E">
              <w:rPr>
                <w:rFonts w:ascii="Tw Cen MT" w:eastAsia="Times New Roman" w:hAnsi="Tw Cen MT" w:cs="Calibri"/>
                <w:b/>
                <w:bCs/>
                <w:i/>
                <w:iCs/>
              </w:rPr>
              <w:t>3</w:t>
            </w:r>
          </w:p>
        </w:tc>
        <w:tc>
          <w:tcPr>
            <w:tcW w:w="1064" w:type="dxa"/>
            <w:shd w:val="clear" w:color="000000" w:fill="D9E1F2"/>
            <w:noWrap/>
            <w:vAlign w:val="bottom"/>
            <w:hideMark/>
          </w:tcPr>
          <w:p w14:paraId="30DC16C1" w14:textId="77777777" w:rsidR="000A79DF" w:rsidRPr="00AD1B3E" w:rsidRDefault="000A79DF" w:rsidP="00484B5E">
            <w:pPr>
              <w:jc w:val="center"/>
              <w:rPr>
                <w:rFonts w:ascii="Calibri" w:eastAsia="Times New Roman" w:hAnsi="Calibri" w:cs="Calibri"/>
                <w:b/>
                <w:bCs/>
                <w:i/>
                <w:iCs/>
              </w:rPr>
            </w:pPr>
            <w:r w:rsidRPr="00AD1B3E">
              <w:rPr>
                <w:rFonts w:ascii="Calibri" w:eastAsia="Times New Roman" w:hAnsi="Calibri" w:cs="Calibri"/>
                <w:b/>
                <w:bCs/>
                <w:i/>
                <w:iCs/>
              </w:rPr>
              <w:t>4</w:t>
            </w:r>
          </w:p>
        </w:tc>
        <w:tc>
          <w:tcPr>
            <w:tcW w:w="997" w:type="dxa"/>
            <w:shd w:val="clear" w:color="000000" w:fill="D9E1F2"/>
            <w:noWrap/>
            <w:vAlign w:val="bottom"/>
            <w:hideMark/>
          </w:tcPr>
          <w:p w14:paraId="0661B7D1" w14:textId="77777777" w:rsidR="000A79DF" w:rsidRPr="00AD1B3E" w:rsidRDefault="000A79DF" w:rsidP="00484B5E">
            <w:pPr>
              <w:jc w:val="center"/>
              <w:rPr>
                <w:rFonts w:ascii="Calibri" w:eastAsia="Times New Roman" w:hAnsi="Calibri" w:cs="Calibri"/>
                <w:b/>
                <w:bCs/>
                <w:i/>
                <w:iCs/>
              </w:rPr>
            </w:pPr>
            <w:r w:rsidRPr="00AD1B3E">
              <w:rPr>
                <w:rFonts w:ascii="Calibri" w:eastAsia="Times New Roman" w:hAnsi="Calibri" w:cs="Calibri"/>
                <w:b/>
                <w:bCs/>
                <w:i/>
                <w:iCs/>
              </w:rPr>
              <w:t>5</w:t>
            </w:r>
          </w:p>
        </w:tc>
        <w:tc>
          <w:tcPr>
            <w:tcW w:w="935" w:type="dxa"/>
            <w:shd w:val="clear" w:color="000000" w:fill="D9E1F2"/>
            <w:noWrap/>
            <w:vAlign w:val="bottom"/>
            <w:hideMark/>
          </w:tcPr>
          <w:p w14:paraId="6DD58E43" w14:textId="77777777" w:rsidR="000A79DF" w:rsidRPr="00AD1B3E" w:rsidRDefault="000A79DF" w:rsidP="00484B5E">
            <w:pPr>
              <w:jc w:val="center"/>
              <w:rPr>
                <w:rFonts w:ascii="Calibri" w:eastAsia="Times New Roman" w:hAnsi="Calibri" w:cs="Calibri"/>
                <w:b/>
                <w:bCs/>
                <w:i/>
                <w:iCs/>
              </w:rPr>
            </w:pPr>
            <w:r w:rsidRPr="00AD1B3E">
              <w:rPr>
                <w:rFonts w:ascii="Calibri" w:eastAsia="Times New Roman" w:hAnsi="Calibri" w:cs="Calibri"/>
                <w:b/>
                <w:bCs/>
                <w:i/>
                <w:iCs/>
              </w:rPr>
              <w:t>6</w:t>
            </w:r>
          </w:p>
        </w:tc>
        <w:tc>
          <w:tcPr>
            <w:tcW w:w="1169" w:type="dxa"/>
            <w:shd w:val="clear" w:color="000000" w:fill="D9E1F2"/>
            <w:vAlign w:val="bottom"/>
            <w:hideMark/>
          </w:tcPr>
          <w:p w14:paraId="34BF892A" w14:textId="77777777" w:rsidR="000A79DF" w:rsidRPr="00AD1B3E" w:rsidRDefault="000A79DF" w:rsidP="00484B5E">
            <w:pPr>
              <w:jc w:val="center"/>
              <w:rPr>
                <w:rFonts w:ascii="Calibri" w:eastAsia="Times New Roman" w:hAnsi="Calibri" w:cs="Calibri"/>
                <w:b/>
                <w:bCs/>
                <w:i/>
                <w:iCs/>
              </w:rPr>
            </w:pPr>
            <w:r w:rsidRPr="00AD1B3E">
              <w:rPr>
                <w:rFonts w:ascii="Calibri" w:eastAsia="Times New Roman" w:hAnsi="Calibri" w:cs="Calibri"/>
                <w:b/>
                <w:bCs/>
                <w:i/>
                <w:iCs/>
              </w:rPr>
              <w:t>7</w:t>
            </w:r>
          </w:p>
        </w:tc>
      </w:tr>
      <w:tr w:rsidR="000A79DF" w:rsidRPr="00AD1B3E" w14:paraId="5CB9D1E3" w14:textId="77777777" w:rsidTr="00B240D7">
        <w:trPr>
          <w:trHeight w:val="266"/>
        </w:trPr>
        <w:tc>
          <w:tcPr>
            <w:tcW w:w="3424" w:type="dxa"/>
            <w:shd w:val="clear" w:color="auto" w:fill="auto"/>
            <w:vAlign w:val="center"/>
            <w:hideMark/>
          </w:tcPr>
          <w:p w14:paraId="52B70AFE"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 Poverty</w:t>
            </w:r>
          </w:p>
        </w:tc>
        <w:tc>
          <w:tcPr>
            <w:tcW w:w="1261" w:type="dxa"/>
            <w:shd w:val="clear" w:color="auto" w:fill="auto"/>
            <w:vAlign w:val="bottom"/>
            <w:hideMark/>
          </w:tcPr>
          <w:p w14:paraId="18842242"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13</w:t>
            </w:r>
          </w:p>
        </w:tc>
        <w:tc>
          <w:tcPr>
            <w:tcW w:w="1064" w:type="dxa"/>
            <w:shd w:val="clear" w:color="auto" w:fill="auto"/>
            <w:noWrap/>
            <w:vAlign w:val="bottom"/>
            <w:hideMark/>
          </w:tcPr>
          <w:p w14:paraId="2022F640"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3</w:t>
            </w:r>
          </w:p>
        </w:tc>
        <w:tc>
          <w:tcPr>
            <w:tcW w:w="997" w:type="dxa"/>
            <w:shd w:val="clear" w:color="auto" w:fill="auto"/>
            <w:vAlign w:val="bottom"/>
            <w:hideMark/>
          </w:tcPr>
          <w:p w14:paraId="784DB888"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8</w:t>
            </w:r>
          </w:p>
        </w:tc>
        <w:tc>
          <w:tcPr>
            <w:tcW w:w="935" w:type="dxa"/>
            <w:shd w:val="clear" w:color="auto" w:fill="auto"/>
            <w:vAlign w:val="bottom"/>
            <w:hideMark/>
          </w:tcPr>
          <w:p w14:paraId="58AD3DF4"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w:t>
            </w:r>
          </w:p>
        </w:tc>
        <w:tc>
          <w:tcPr>
            <w:tcW w:w="1169" w:type="dxa"/>
            <w:shd w:val="clear" w:color="auto" w:fill="auto"/>
            <w:noWrap/>
            <w:vAlign w:val="bottom"/>
            <w:hideMark/>
          </w:tcPr>
          <w:p w14:paraId="092E9FEC"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55C3608B" w14:textId="77777777" w:rsidTr="00B240D7">
        <w:trPr>
          <w:trHeight w:val="266"/>
        </w:trPr>
        <w:tc>
          <w:tcPr>
            <w:tcW w:w="3424" w:type="dxa"/>
            <w:shd w:val="clear" w:color="auto" w:fill="auto"/>
            <w:vAlign w:val="center"/>
            <w:hideMark/>
          </w:tcPr>
          <w:p w14:paraId="5FB5D14C"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2: Hunger</w:t>
            </w:r>
          </w:p>
        </w:tc>
        <w:tc>
          <w:tcPr>
            <w:tcW w:w="1261" w:type="dxa"/>
            <w:shd w:val="clear" w:color="auto" w:fill="auto"/>
            <w:vAlign w:val="bottom"/>
            <w:hideMark/>
          </w:tcPr>
          <w:p w14:paraId="5DDCDA5E"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14</w:t>
            </w:r>
          </w:p>
        </w:tc>
        <w:tc>
          <w:tcPr>
            <w:tcW w:w="1064" w:type="dxa"/>
            <w:shd w:val="clear" w:color="auto" w:fill="auto"/>
            <w:noWrap/>
            <w:vAlign w:val="bottom"/>
            <w:hideMark/>
          </w:tcPr>
          <w:p w14:paraId="7CB23457"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8</w:t>
            </w:r>
          </w:p>
        </w:tc>
        <w:tc>
          <w:tcPr>
            <w:tcW w:w="997" w:type="dxa"/>
            <w:shd w:val="clear" w:color="auto" w:fill="auto"/>
            <w:vAlign w:val="bottom"/>
            <w:hideMark/>
          </w:tcPr>
          <w:p w14:paraId="5B8EF8E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5</w:t>
            </w:r>
          </w:p>
        </w:tc>
        <w:tc>
          <w:tcPr>
            <w:tcW w:w="935" w:type="dxa"/>
            <w:shd w:val="clear" w:color="auto" w:fill="auto"/>
            <w:vAlign w:val="bottom"/>
            <w:hideMark/>
          </w:tcPr>
          <w:p w14:paraId="16EF5CCF"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w:t>
            </w:r>
          </w:p>
        </w:tc>
        <w:tc>
          <w:tcPr>
            <w:tcW w:w="1169" w:type="dxa"/>
            <w:shd w:val="clear" w:color="auto" w:fill="auto"/>
            <w:noWrap/>
            <w:vAlign w:val="bottom"/>
            <w:hideMark/>
          </w:tcPr>
          <w:p w14:paraId="77C82F16"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5E35A827" w14:textId="77777777" w:rsidTr="00B240D7">
        <w:trPr>
          <w:trHeight w:val="266"/>
        </w:trPr>
        <w:tc>
          <w:tcPr>
            <w:tcW w:w="3424" w:type="dxa"/>
            <w:shd w:val="clear" w:color="auto" w:fill="auto"/>
            <w:vAlign w:val="center"/>
            <w:hideMark/>
          </w:tcPr>
          <w:p w14:paraId="435B9095"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3: Health</w:t>
            </w:r>
          </w:p>
        </w:tc>
        <w:tc>
          <w:tcPr>
            <w:tcW w:w="1261" w:type="dxa"/>
            <w:shd w:val="clear" w:color="auto" w:fill="auto"/>
            <w:vAlign w:val="bottom"/>
            <w:hideMark/>
          </w:tcPr>
          <w:p w14:paraId="1D37351F"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28</w:t>
            </w:r>
          </w:p>
        </w:tc>
        <w:tc>
          <w:tcPr>
            <w:tcW w:w="1064" w:type="dxa"/>
            <w:shd w:val="clear" w:color="auto" w:fill="auto"/>
            <w:noWrap/>
            <w:vAlign w:val="bottom"/>
            <w:hideMark/>
          </w:tcPr>
          <w:p w14:paraId="69FD995C"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25</w:t>
            </w:r>
          </w:p>
        </w:tc>
        <w:tc>
          <w:tcPr>
            <w:tcW w:w="997" w:type="dxa"/>
            <w:shd w:val="clear" w:color="auto" w:fill="auto"/>
            <w:vAlign w:val="bottom"/>
            <w:hideMark/>
          </w:tcPr>
          <w:p w14:paraId="40F159FB"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w:t>
            </w:r>
          </w:p>
        </w:tc>
        <w:tc>
          <w:tcPr>
            <w:tcW w:w="935" w:type="dxa"/>
            <w:shd w:val="clear" w:color="auto" w:fill="auto"/>
            <w:vAlign w:val="bottom"/>
            <w:hideMark/>
          </w:tcPr>
          <w:p w14:paraId="0615B9D2"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w:t>
            </w:r>
          </w:p>
        </w:tc>
        <w:tc>
          <w:tcPr>
            <w:tcW w:w="1169" w:type="dxa"/>
            <w:shd w:val="clear" w:color="auto" w:fill="auto"/>
            <w:noWrap/>
            <w:vAlign w:val="bottom"/>
            <w:hideMark/>
          </w:tcPr>
          <w:p w14:paraId="0A865348"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38EF391A" w14:textId="77777777" w:rsidTr="00B240D7">
        <w:trPr>
          <w:trHeight w:val="266"/>
        </w:trPr>
        <w:tc>
          <w:tcPr>
            <w:tcW w:w="3424" w:type="dxa"/>
            <w:shd w:val="clear" w:color="auto" w:fill="auto"/>
            <w:vAlign w:val="center"/>
            <w:hideMark/>
          </w:tcPr>
          <w:p w14:paraId="4B80C672"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4: Education</w:t>
            </w:r>
          </w:p>
        </w:tc>
        <w:tc>
          <w:tcPr>
            <w:tcW w:w="1261" w:type="dxa"/>
            <w:shd w:val="clear" w:color="auto" w:fill="auto"/>
            <w:vAlign w:val="bottom"/>
            <w:hideMark/>
          </w:tcPr>
          <w:p w14:paraId="7A60BC4A"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12</w:t>
            </w:r>
          </w:p>
        </w:tc>
        <w:tc>
          <w:tcPr>
            <w:tcW w:w="1064" w:type="dxa"/>
            <w:shd w:val="clear" w:color="auto" w:fill="auto"/>
            <w:noWrap/>
            <w:vAlign w:val="bottom"/>
            <w:hideMark/>
          </w:tcPr>
          <w:p w14:paraId="6C246F4C"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4</w:t>
            </w:r>
          </w:p>
        </w:tc>
        <w:tc>
          <w:tcPr>
            <w:tcW w:w="997" w:type="dxa"/>
            <w:shd w:val="clear" w:color="auto" w:fill="auto"/>
            <w:vAlign w:val="bottom"/>
            <w:hideMark/>
          </w:tcPr>
          <w:p w14:paraId="4CCE9FBC"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8</w:t>
            </w:r>
          </w:p>
        </w:tc>
        <w:tc>
          <w:tcPr>
            <w:tcW w:w="935" w:type="dxa"/>
            <w:shd w:val="clear" w:color="auto" w:fill="auto"/>
            <w:vAlign w:val="bottom"/>
            <w:hideMark/>
          </w:tcPr>
          <w:p w14:paraId="2DD2C32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w:t>
            </w:r>
          </w:p>
        </w:tc>
        <w:tc>
          <w:tcPr>
            <w:tcW w:w="1169" w:type="dxa"/>
            <w:shd w:val="clear" w:color="auto" w:fill="auto"/>
            <w:noWrap/>
            <w:vAlign w:val="bottom"/>
            <w:hideMark/>
          </w:tcPr>
          <w:p w14:paraId="09951FBD" w14:textId="77777777" w:rsidR="000A79DF" w:rsidRPr="00AD1B3E" w:rsidRDefault="000A79DF" w:rsidP="00484B5E">
            <w:pPr>
              <w:jc w:val="center"/>
              <w:rPr>
                <w:rFonts w:ascii="Calibri" w:eastAsia="Times New Roman" w:hAnsi="Calibri" w:cs="Calibri"/>
                <w:b/>
                <w:bCs/>
              </w:rPr>
            </w:pPr>
            <w:r w:rsidRPr="00AD1B3E">
              <w:rPr>
                <w:rFonts w:ascii="Calibri" w:eastAsia="Times New Roman" w:hAnsi="Calibri" w:cs="Calibri"/>
                <w:b/>
                <w:bCs/>
              </w:rPr>
              <w:t>1</w:t>
            </w:r>
          </w:p>
        </w:tc>
      </w:tr>
      <w:tr w:rsidR="000A79DF" w:rsidRPr="00AD1B3E" w14:paraId="6EC032B3" w14:textId="77777777" w:rsidTr="00B240D7">
        <w:trPr>
          <w:trHeight w:val="266"/>
        </w:trPr>
        <w:tc>
          <w:tcPr>
            <w:tcW w:w="3424" w:type="dxa"/>
            <w:shd w:val="clear" w:color="auto" w:fill="auto"/>
            <w:vAlign w:val="center"/>
            <w:hideMark/>
          </w:tcPr>
          <w:p w14:paraId="4C6E7110"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5: Gender</w:t>
            </w:r>
          </w:p>
        </w:tc>
        <w:tc>
          <w:tcPr>
            <w:tcW w:w="1261" w:type="dxa"/>
            <w:shd w:val="clear" w:color="auto" w:fill="auto"/>
            <w:vAlign w:val="bottom"/>
            <w:hideMark/>
          </w:tcPr>
          <w:p w14:paraId="0E0AF5E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14</w:t>
            </w:r>
          </w:p>
        </w:tc>
        <w:tc>
          <w:tcPr>
            <w:tcW w:w="1064" w:type="dxa"/>
            <w:shd w:val="clear" w:color="auto" w:fill="auto"/>
            <w:noWrap/>
            <w:vAlign w:val="bottom"/>
            <w:hideMark/>
          </w:tcPr>
          <w:p w14:paraId="5588104E"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4</w:t>
            </w:r>
          </w:p>
        </w:tc>
        <w:tc>
          <w:tcPr>
            <w:tcW w:w="997" w:type="dxa"/>
            <w:shd w:val="clear" w:color="auto" w:fill="auto"/>
            <w:vAlign w:val="bottom"/>
            <w:hideMark/>
          </w:tcPr>
          <w:p w14:paraId="5FE6706D" w14:textId="77777777" w:rsidR="000A79DF" w:rsidRPr="00AD1B3E" w:rsidRDefault="000A79DF" w:rsidP="00484B5E">
            <w:pPr>
              <w:jc w:val="center"/>
              <w:rPr>
                <w:rFonts w:ascii="Tw Cen MT" w:eastAsia="Times New Roman" w:hAnsi="Tw Cen MT" w:cs="Calibri"/>
              </w:rPr>
            </w:pPr>
            <w:r w:rsidRPr="00B56008">
              <w:rPr>
                <w:rFonts w:ascii="Tw Cen MT" w:eastAsia="Times New Roman" w:hAnsi="Tw Cen MT" w:cs="Calibri"/>
                <w:color w:val="FF0000"/>
              </w:rPr>
              <w:t>10</w:t>
            </w:r>
          </w:p>
        </w:tc>
        <w:tc>
          <w:tcPr>
            <w:tcW w:w="935" w:type="dxa"/>
            <w:shd w:val="clear" w:color="auto" w:fill="auto"/>
            <w:vAlign w:val="bottom"/>
            <w:hideMark/>
          </w:tcPr>
          <w:p w14:paraId="2673FB9D"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0</w:t>
            </w:r>
          </w:p>
        </w:tc>
        <w:tc>
          <w:tcPr>
            <w:tcW w:w="1169" w:type="dxa"/>
            <w:shd w:val="clear" w:color="auto" w:fill="auto"/>
            <w:noWrap/>
            <w:vAlign w:val="bottom"/>
            <w:hideMark/>
          </w:tcPr>
          <w:p w14:paraId="4A886CBC"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6D2BFA15" w14:textId="77777777" w:rsidTr="00B240D7">
        <w:trPr>
          <w:trHeight w:val="266"/>
        </w:trPr>
        <w:tc>
          <w:tcPr>
            <w:tcW w:w="3424" w:type="dxa"/>
            <w:shd w:val="clear" w:color="auto" w:fill="auto"/>
            <w:vAlign w:val="center"/>
            <w:hideMark/>
          </w:tcPr>
          <w:p w14:paraId="5E65E507"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6: WatSan</w:t>
            </w:r>
          </w:p>
        </w:tc>
        <w:tc>
          <w:tcPr>
            <w:tcW w:w="1261" w:type="dxa"/>
            <w:shd w:val="clear" w:color="auto" w:fill="auto"/>
            <w:vAlign w:val="bottom"/>
            <w:hideMark/>
          </w:tcPr>
          <w:p w14:paraId="330A5484"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11</w:t>
            </w:r>
          </w:p>
        </w:tc>
        <w:tc>
          <w:tcPr>
            <w:tcW w:w="1064" w:type="dxa"/>
            <w:shd w:val="clear" w:color="auto" w:fill="auto"/>
            <w:noWrap/>
            <w:vAlign w:val="bottom"/>
            <w:hideMark/>
          </w:tcPr>
          <w:p w14:paraId="2E591443"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7</w:t>
            </w:r>
          </w:p>
        </w:tc>
        <w:tc>
          <w:tcPr>
            <w:tcW w:w="997" w:type="dxa"/>
            <w:shd w:val="clear" w:color="auto" w:fill="auto"/>
            <w:vAlign w:val="bottom"/>
            <w:hideMark/>
          </w:tcPr>
          <w:p w14:paraId="2A6B0CAF"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4</w:t>
            </w:r>
          </w:p>
        </w:tc>
        <w:tc>
          <w:tcPr>
            <w:tcW w:w="935" w:type="dxa"/>
            <w:shd w:val="clear" w:color="auto" w:fill="auto"/>
            <w:vAlign w:val="bottom"/>
            <w:hideMark/>
          </w:tcPr>
          <w:p w14:paraId="67D24DD8"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0</w:t>
            </w:r>
          </w:p>
        </w:tc>
        <w:tc>
          <w:tcPr>
            <w:tcW w:w="1169" w:type="dxa"/>
            <w:shd w:val="clear" w:color="auto" w:fill="auto"/>
            <w:noWrap/>
            <w:vAlign w:val="bottom"/>
            <w:hideMark/>
          </w:tcPr>
          <w:p w14:paraId="0A01411F"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081528C5" w14:textId="77777777" w:rsidTr="00B240D7">
        <w:trPr>
          <w:trHeight w:val="266"/>
        </w:trPr>
        <w:tc>
          <w:tcPr>
            <w:tcW w:w="3424" w:type="dxa"/>
            <w:shd w:val="clear" w:color="auto" w:fill="auto"/>
            <w:vAlign w:val="center"/>
            <w:hideMark/>
          </w:tcPr>
          <w:p w14:paraId="4B25DDD5"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7: Energy</w:t>
            </w:r>
          </w:p>
        </w:tc>
        <w:tc>
          <w:tcPr>
            <w:tcW w:w="1261" w:type="dxa"/>
            <w:shd w:val="clear" w:color="auto" w:fill="auto"/>
            <w:vAlign w:val="bottom"/>
            <w:hideMark/>
          </w:tcPr>
          <w:p w14:paraId="7615DC0D"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6</w:t>
            </w:r>
          </w:p>
        </w:tc>
        <w:tc>
          <w:tcPr>
            <w:tcW w:w="1064" w:type="dxa"/>
            <w:shd w:val="clear" w:color="auto" w:fill="auto"/>
            <w:noWrap/>
            <w:vAlign w:val="bottom"/>
            <w:hideMark/>
          </w:tcPr>
          <w:p w14:paraId="3FA7C467"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5</w:t>
            </w:r>
          </w:p>
        </w:tc>
        <w:tc>
          <w:tcPr>
            <w:tcW w:w="997" w:type="dxa"/>
            <w:shd w:val="clear" w:color="auto" w:fill="auto"/>
            <w:vAlign w:val="bottom"/>
            <w:hideMark/>
          </w:tcPr>
          <w:p w14:paraId="222669A1"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0</w:t>
            </w:r>
          </w:p>
        </w:tc>
        <w:tc>
          <w:tcPr>
            <w:tcW w:w="935" w:type="dxa"/>
            <w:shd w:val="clear" w:color="auto" w:fill="auto"/>
            <w:vAlign w:val="bottom"/>
            <w:hideMark/>
          </w:tcPr>
          <w:p w14:paraId="36AF0088"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w:t>
            </w:r>
          </w:p>
        </w:tc>
        <w:tc>
          <w:tcPr>
            <w:tcW w:w="1169" w:type="dxa"/>
            <w:shd w:val="clear" w:color="auto" w:fill="auto"/>
            <w:noWrap/>
            <w:vAlign w:val="bottom"/>
            <w:hideMark/>
          </w:tcPr>
          <w:p w14:paraId="72B44056"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4009BE81" w14:textId="77777777" w:rsidTr="00B240D7">
        <w:trPr>
          <w:trHeight w:val="266"/>
        </w:trPr>
        <w:tc>
          <w:tcPr>
            <w:tcW w:w="3424" w:type="dxa"/>
            <w:shd w:val="clear" w:color="auto" w:fill="auto"/>
            <w:vAlign w:val="center"/>
            <w:hideMark/>
          </w:tcPr>
          <w:p w14:paraId="2EC9B50E"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8: Growth</w:t>
            </w:r>
          </w:p>
        </w:tc>
        <w:tc>
          <w:tcPr>
            <w:tcW w:w="1261" w:type="dxa"/>
            <w:shd w:val="clear" w:color="auto" w:fill="auto"/>
            <w:vAlign w:val="bottom"/>
            <w:hideMark/>
          </w:tcPr>
          <w:p w14:paraId="57F50F01"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16</w:t>
            </w:r>
          </w:p>
        </w:tc>
        <w:tc>
          <w:tcPr>
            <w:tcW w:w="1064" w:type="dxa"/>
            <w:shd w:val="clear" w:color="auto" w:fill="auto"/>
            <w:noWrap/>
            <w:vAlign w:val="bottom"/>
            <w:hideMark/>
          </w:tcPr>
          <w:p w14:paraId="6F4D785F"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8</w:t>
            </w:r>
          </w:p>
        </w:tc>
        <w:tc>
          <w:tcPr>
            <w:tcW w:w="997" w:type="dxa"/>
            <w:shd w:val="clear" w:color="auto" w:fill="auto"/>
            <w:vAlign w:val="bottom"/>
            <w:hideMark/>
          </w:tcPr>
          <w:p w14:paraId="0A0FBAA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8</w:t>
            </w:r>
          </w:p>
        </w:tc>
        <w:tc>
          <w:tcPr>
            <w:tcW w:w="935" w:type="dxa"/>
            <w:shd w:val="clear" w:color="auto" w:fill="auto"/>
            <w:vAlign w:val="bottom"/>
            <w:hideMark/>
          </w:tcPr>
          <w:p w14:paraId="1877EF3C"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0</w:t>
            </w:r>
          </w:p>
        </w:tc>
        <w:tc>
          <w:tcPr>
            <w:tcW w:w="1169" w:type="dxa"/>
            <w:shd w:val="clear" w:color="auto" w:fill="auto"/>
            <w:noWrap/>
            <w:vAlign w:val="bottom"/>
            <w:hideMark/>
          </w:tcPr>
          <w:p w14:paraId="4C21997A"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6BC43422" w14:textId="77777777" w:rsidTr="00B240D7">
        <w:trPr>
          <w:trHeight w:val="266"/>
        </w:trPr>
        <w:tc>
          <w:tcPr>
            <w:tcW w:w="3424" w:type="dxa"/>
            <w:shd w:val="clear" w:color="auto" w:fill="auto"/>
            <w:vAlign w:val="center"/>
            <w:hideMark/>
          </w:tcPr>
          <w:p w14:paraId="50DE24E4"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9: Infrastructure</w:t>
            </w:r>
          </w:p>
        </w:tc>
        <w:tc>
          <w:tcPr>
            <w:tcW w:w="1261" w:type="dxa"/>
            <w:shd w:val="clear" w:color="auto" w:fill="auto"/>
            <w:vAlign w:val="bottom"/>
            <w:hideMark/>
          </w:tcPr>
          <w:p w14:paraId="53778B4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12</w:t>
            </w:r>
          </w:p>
        </w:tc>
        <w:tc>
          <w:tcPr>
            <w:tcW w:w="1064" w:type="dxa"/>
            <w:shd w:val="clear" w:color="auto" w:fill="auto"/>
            <w:noWrap/>
            <w:vAlign w:val="bottom"/>
            <w:hideMark/>
          </w:tcPr>
          <w:p w14:paraId="2C26C87C"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10</w:t>
            </w:r>
          </w:p>
        </w:tc>
        <w:tc>
          <w:tcPr>
            <w:tcW w:w="997" w:type="dxa"/>
            <w:shd w:val="clear" w:color="auto" w:fill="auto"/>
            <w:vAlign w:val="bottom"/>
            <w:hideMark/>
          </w:tcPr>
          <w:p w14:paraId="66E5FE88"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w:t>
            </w:r>
          </w:p>
        </w:tc>
        <w:tc>
          <w:tcPr>
            <w:tcW w:w="935" w:type="dxa"/>
            <w:shd w:val="clear" w:color="auto" w:fill="auto"/>
            <w:vAlign w:val="bottom"/>
            <w:hideMark/>
          </w:tcPr>
          <w:p w14:paraId="20629E2B"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0</w:t>
            </w:r>
          </w:p>
        </w:tc>
        <w:tc>
          <w:tcPr>
            <w:tcW w:w="1169" w:type="dxa"/>
            <w:shd w:val="clear" w:color="auto" w:fill="auto"/>
            <w:noWrap/>
            <w:vAlign w:val="bottom"/>
            <w:hideMark/>
          </w:tcPr>
          <w:p w14:paraId="025AADA5"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79115266" w14:textId="77777777" w:rsidTr="00B240D7">
        <w:trPr>
          <w:trHeight w:val="266"/>
        </w:trPr>
        <w:tc>
          <w:tcPr>
            <w:tcW w:w="3424" w:type="dxa"/>
            <w:shd w:val="clear" w:color="auto" w:fill="auto"/>
            <w:vAlign w:val="center"/>
            <w:hideMark/>
          </w:tcPr>
          <w:p w14:paraId="6110E819"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10: Inequality</w:t>
            </w:r>
          </w:p>
        </w:tc>
        <w:tc>
          <w:tcPr>
            <w:tcW w:w="1261" w:type="dxa"/>
            <w:shd w:val="clear" w:color="auto" w:fill="auto"/>
            <w:vAlign w:val="bottom"/>
            <w:hideMark/>
          </w:tcPr>
          <w:p w14:paraId="34F01A62"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14</w:t>
            </w:r>
          </w:p>
        </w:tc>
        <w:tc>
          <w:tcPr>
            <w:tcW w:w="1064" w:type="dxa"/>
            <w:shd w:val="clear" w:color="auto" w:fill="auto"/>
            <w:noWrap/>
            <w:vAlign w:val="bottom"/>
            <w:hideMark/>
          </w:tcPr>
          <w:p w14:paraId="7A30F957"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5</w:t>
            </w:r>
          </w:p>
        </w:tc>
        <w:tc>
          <w:tcPr>
            <w:tcW w:w="997" w:type="dxa"/>
            <w:shd w:val="clear" w:color="auto" w:fill="auto"/>
            <w:vAlign w:val="bottom"/>
            <w:hideMark/>
          </w:tcPr>
          <w:p w14:paraId="43DA7358"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7</w:t>
            </w:r>
          </w:p>
        </w:tc>
        <w:tc>
          <w:tcPr>
            <w:tcW w:w="935" w:type="dxa"/>
            <w:shd w:val="clear" w:color="auto" w:fill="auto"/>
            <w:vAlign w:val="bottom"/>
            <w:hideMark/>
          </w:tcPr>
          <w:p w14:paraId="2E87D0CF"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3</w:t>
            </w:r>
          </w:p>
        </w:tc>
        <w:tc>
          <w:tcPr>
            <w:tcW w:w="1169" w:type="dxa"/>
            <w:shd w:val="clear" w:color="auto" w:fill="auto"/>
            <w:noWrap/>
            <w:vAlign w:val="bottom"/>
            <w:hideMark/>
          </w:tcPr>
          <w:p w14:paraId="2B6266DF" w14:textId="77777777" w:rsidR="000A79DF" w:rsidRPr="00AD1B3E" w:rsidRDefault="000A79DF" w:rsidP="00484B5E">
            <w:pPr>
              <w:jc w:val="center"/>
              <w:rPr>
                <w:rFonts w:ascii="Calibri" w:eastAsia="Times New Roman" w:hAnsi="Calibri" w:cs="Calibri"/>
                <w:b/>
                <w:bCs/>
              </w:rPr>
            </w:pPr>
            <w:r w:rsidRPr="00AD1B3E">
              <w:rPr>
                <w:rFonts w:ascii="Calibri" w:eastAsia="Times New Roman" w:hAnsi="Calibri" w:cs="Calibri"/>
                <w:b/>
                <w:bCs/>
              </w:rPr>
              <w:t>1</w:t>
            </w:r>
          </w:p>
        </w:tc>
      </w:tr>
      <w:tr w:rsidR="000A79DF" w:rsidRPr="00AD1B3E" w14:paraId="539C540F" w14:textId="77777777" w:rsidTr="00B240D7">
        <w:trPr>
          <w:trHeight w:val="266"/>
        </w:trPr>
        <w:tc>
          <w:tcPr>
            <w:tcW w:w="3424" w:type="dxa"/>
            <w:shd w:val="clear" w:color="auto" w:fill="auto"/>
            <w:vAlign w:val="center"/>
            <w:hideMark/>
          </w:tcPr>
          <w:p w14:paraId="289307A5"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11: Urban &amp; Community</w:t>
            </w:r>
          </w:p>
        </w:tc>
        <w:tc>
          <w:tcPr>
            <w:tcW w:w="1261" w:type="dxa"/>
            <w:shd w:val="clear" w:color="auto" w:fill="auto"/>
            <w:vAlign w:val="bottom"/>
            <w:hideMark/>
          </w:tcPr>
          <w:p w14:paraId="2A2248A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14</w:t>
            </w:r>
          </w:p>
        </w:tc>
        <w:tc>
          <w:tcPr>
            <w:tcW w:w="1064" w:type="dxa"/>
            <w:shd w:val="clear" w:color="auto" w:fill="auto"/>
            <w:noWrap/>
            <w:vAlign w:val="bottom"/>
            <w:hideMark/>
          </w:tcPr>
          <w:p w14:paraId="00499C77"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2</w:t>
            </w:r>
          </w:p>
        </w:tc>
        <w:tc>
          <w:tcPr>
            <w:tcW w:w="997" w:type="dxa"/>
            <w:shd w:val="clear" w:color="auto" w:fill="auto"/>
            <w:vAlign w:val="bottom"/>
            <w:hideMark/>
          </w:tcPr>
          <w:p w14:paraId="23042F63" w14:textId="77777777" w:rsidR="000A79DF" w:rsidRPr="00AD1B3E" w:rsidRDefault="000A79DF" w:rsidP="00484B5E">
            <w:pPr>
              <w:jc w:val="center"/>
              <w:rPr>
                <w:rFonts w:ascii="Tw Cen MT" w:eastAsia="Times New Roman" w:hAnsi="Tw Cen MT" w:cs="Calibri"/>
              </w:rPr>
            </w:pPr>
            <w:r w:rsidRPr="00B56008">
              <w:rPr>
                <w:rFonts w:ascii="Tw Cen MT" w:eastAsia="Times New Roman" w:hAnsi="Tw Cen MT" w:cs="Calibri"/>
                <w:color w:val="FF0000"/>
              </w:rPr>
              <w:t>11</w:t>
            </w:r>
          </w:p>
        </w:tc>
        <w:tc>
          <w:tcPr>
            <w:tcW w:w="935" w:type="dxa"/>
            <w:shd w:val="clear" w:color="auto" w:fill="auto"/>
            <w:vAlign w:val="bottom"/>
            <w:hideMark/>
          </w:tcPr>
          <w:p w14:paraId="729ABE9B"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w:t>
            </w:r>
          </w:p>
        </w:tc>
        <w:tc>
          <w:tcPr>
            <w:tcW w:w="1169" w:type="dxa"/>
            <w:shd w:val="clear" w:color="auto" w:fill="auto"/>
            <w:noWrap/>
            <w:vAlign w:val="bottom"/>
            <w:hideMark/>
          </w:tcPr>
          <w:p w14:paraId="358F4023"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36FABA10" w14:textId="77777777" w:rsidTr="00B240D7">
        <w:trPr>
          <w:trHeight w:val="266"/>
        </w:trPr>
        <w:tc>
          <w:tcPr>
            <w:tcW w:w="3424" w:type="dxa"/>
            <w:shd w:val="clear" w:color="auto" w:fill="auto"/>
            <w:vAlign w:val="center"/>
            <w:hideMark/>
          </w:tcPr>
          <w:p w14:paraId="2F519905"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12: Consumption</w:t>
            </w:r>
          </w:p>
        </w:tc>
        <w:tc>
          <w:tcPr>
            <w:tcW w:w="1261" w:type="dxa"/>
            <w:shd w:val="clear" w:color="auto" w:fill="auto"/>
            <w:vAlign w:val="bottom"/>
            <w:hideMark/>
          </w:tcPr>
          <w:p w14:paraId="7C911A34"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13</w:t>
            </w:r>
          </w:p>
        </w:tc>
        <w:tc>
          <w:tcPr>
            <w:tcW w:w="1064" w:type="dxa"/>
            <w:shd w:val="clear" w:color="auto" w:fill="auto"/>
            <w:noWrap/>
            <w:vAlign w:val="bottom"/>
            <w:hideMark/>
          </w:tcPr>
          <w:p w14:paraId="65A7427C"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3</w:t>
            </w:r>
          </w:p>
        </w:tc>
        <w:tc>
          <w:tcPr>
            <w:tcW w:w="997" w:type="dxa"/>
            <w:shd w:val="clear" w:color="auto" w:fill="auto"/>
            <w:vAlign w:val="bottom"/>
            <w:hideMark/>
          </w:tcPr>
          <w:p w14:paraId="5CAE8A27"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8</w:t>
            </w:r>
          </w:p>
        </w:tc>
        <w:tc>
          <w:tcPr>
            <w:tcW w:w="935" w:type="dxa"/>
            <w:shd w:val="clear" w:color="auto" w:fill="auto"/>
            <w:vAlign w:val="bottom"/>
            <w:hideMark/>
          </w:tcPr>
          <w:p w14:paraId="2EF6E4B8"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w:t>
            </w:r>
          </w:p>
        </w:tc>
        <w:tc>
          <w:tcPr>
            <w:tcW w:w="1169" w:type="dxa"/>
            <w:shd w:val="clear" w:color="auto" w:fill="auto"/>
            <w:noWrap/>
            <w:vAlign w:val="bottom"/>
            <w:hideMark/>
          </w:tcPr>
          <w:p w14:paraId="50B1258F"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6008AE06" w14:textId="77777777" w:rsidTr="00B240D7">
        <w:trPr>
          <w:trHeight w:val="266"/>
        </w:trPr>
        <w:tc>
          <w:tcPr>
            <w:tcW w:w="3424" w:type="dxa"/>
            <w:shd w:val="clear" w:color="auto" w:fill="auto"/>
            <w:vAlign w:val="center"/>
            <w:hideMark/>
          </w:tcPr>
          <w:p w14:paraId="4BC0CCDB"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13: Climate</w:t>
            </w:r>
          </w:p>
        </w:tc>
        <w:tc>
          <w:tcPr>
            <w:tcW w:w="1261" w:type="dxa"/>
            <w:shd w:val="clear" w:color="auto" w:fill="auto"/>
            <w:vAlign w:val="bottom"/>
            <w:hideMark/>
          </w:tcPr>
          <w:p w14:paraId="47FFFAFE"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8</w:t>
            </w:r>
          </w:p>
        </w:tc>
        <w:tc>
          <w:tcPr>
            <w:tcW w:w="1064" w:type="dxa"/>
            <w:shd w:val="clear" w:color="auto" w:fill="auto"/>
            <w:noWrap/>
            <w:vAlign w:val="bottom"/>
            <w:hideMark/>
          </w:tcPr>
          <w:p w14:paraId="424CBEE3"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c>
          <w:tcPr>
            <w:tcW w:w="997" w:type="dxa"/>
            <w:shd w:val="clear" w:color="auto" w:fill="auto"/>
            <w:vAlign w:val="bottom"/>
            <w:hideMark/>
          </w:tcPr>
          <w:p w14:paraId="1543D16D"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4</w:t>
            </w:r>
          </w:p>
        </w:tc>
        <w:tc>
          <w:tcPr>
            <w:tcW w:w="935" w:type="dxa"/>
            <w:shd w:val="clear" w:color="auto" w:fill="auto"/>
            <w:vAlign w:val="bottom"/>
            <w:hideMark/>
          </w:tcPr>
          <w:p w14:paraId="65C5F699"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4</w:t>
            </w:r>
          </w:p>
        </w:tc>
        <w:tc>
          <w:tcPr>
            <w:tcW w:w="1169" w:type="dxa"/>
            <w:shd w:val="clear" w:color="auto" w:fill="auto"/>
            <w:noWrap/>
            <w:vAlign w:val="bottom"/>
            <w:hideMark/>
          </w:tcPr>
          <w:p w14:paraId="769227AA"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461E707D" w14:textId="77777777" w:rsidTr="00B240D7">
        <w:trPr>
          <w:trHeight w:val="266"/>
        </w:trPr>
        <w:tc>
          <w:tcPr>
            <w:tcW w:w="3424" w:type="dxa"/>
            <w:shd w:val="clear" w:color="auto" w:fill="auto"/>
            <w:vAlign w:val="center"/>
            <w:hideMark/>
          </w:tcPr>
          <w:p w14:paraId="48091364"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14: Life below</w:t>
            </w:r>
          </w:p>
        </w:tc>
        <w:tc>
          <w:tcPr>
            <w:tcW w:w="1261" w:type="dxa"/>
            <w:shd w:val="clear" w:color="auto" w:fill="auto"/>
            <w:vAlign w:val="bottom"/>
            <w:hideMark/>
          </w:tcPr>
          <w:p w14:paraId="050C8CF2"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10</w:t>
            </w:r>
          </w:p>
        </w:tc>
        <w:tc>
          <w:tcPr>
            <w:tcW w:w="1064" w:type="dxa"/>
            <w:shd w:val="clear" w:color="auto" w:fill="auto"/>
            <w:noWrap/>
            <w:vAlign w:val="bottom"/>
            <w:hideMark/>
          </w:tcPr>
          <w:p w14:paraId="4D87C12F"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5</w:t>
            </w:r>
          </w:p>
        </w:tc>
        <w:tc>
          <w:tcPr>
            <w:tcW w:w="997" w:type="dxa"/>
            <w:shd w:val="clear" w:color="auto" w:fill="auto"/>
            <w:vAlign w:val="bottom"/>
            <w:hideMark/>
          </w:tcPr>
          <w:p w14:paraId="6C0AF46C"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5</w:t>
            </w:r>
          </w:p>
        </w:tc>
        <w:tc>
          <w:tcPr>
            <w:tcW w:w="935" w:type="dxa"/>
            <w:shd w:val="clear" w:color="auto" w:fill="auto"/>
            <w:vAlign w:val="bottom"/>
            <w:hideMark/>
          </w:tcPr>
          <w:p w14:paraId="7B4FD6F4"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0</w:t>
            </w:r>
          </w:p>
        </w:tc>
        <w:tc>
          <w:tcPr>
            <w:tcW w:w="1169" w:type="dxa"/>
            <w:shd w:val="clear" w:color="auto" w:fill="auto"/>
            <w:noWrap/>
            <w:vAlign w:val="bottom"/>
            <w:hideMark/>
          </w:tcPr>
          <w:p w14:paraId="40F65B6E"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631629CF" w14:textId="77777777" w:rsidTr="00B240D7">
        <w:trPr>
          <w:trHeight w:val="333"/>
        </w:trPr>
        <w:tc>
          <w:tcPr>
            <w:tcW w:w="3424" w:type="dxa"/>
            <w:shd w:val="clear" w:color="auto" w:fill="auto"/>
            <w:vAlign w:val="center"/>
            <w:hideMark/>
          </w:tcPr>
          <w:p w14:paraId="18CE49F9"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15: Life on Land</w:t>
            </w:r>
          </w:p>
        </w:tc>
        <w:tc>
          <w:tcPr>
            <w:tcW w:w="1261" w:type="dxa"/>
            <w:shd w:val="clear" w:color="auto" w:fill="auto"/>
            <w:vAlign w:val="bottom"/>
            <w:hideMark/>
          </w:tcPr>
          <w:p w14:paraId="26FD3B3D"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14</w:t>
            </w:r>
          </w:p>
        </w:tc>
        <w:tc>
          <w:tcPr>
            <w:tcW w:w="1064" w:type="dxa"/>
            <w:shd w:val="clear" w:color="auto" w:fill="auto"/>
            <w:noWrap/>
            <w:vAlign w:val="bottom"/>
            <w:hideMark/>
          </w:tcPr>
          <w:p w14:paraId="5BD652A0"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8</w:t>
            </w:r>
          </w:p>
        </w:tc>
        <w:tc>
          <w:tcPr>
            <w:tcW w:w="997" w:type="dxa"/>
            <w:shd w:val="clear" w:color="auto" w:fill="auto"/>
            <w:vAlign w:val="bottom"/>
            <w:hideMark/>
          </w:tcPr>
          <w:p w14:paraId="482C9832"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4</w:t>
            </w:r>
          </w:p>
        </w:tc>
        <w:tc>
          <w:tcPr>
            <w:tcW w:w="935" w:type="dxa"/>
            <w:shd w:val="clear" w:color="auto" w:fill="auto"/>
            <w:vAlign w:val="bottom"/>
            <w:hideMark/>
          </w:tcPr>
          <w:p w14:paraId="71D7885C"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w:t>
            </w:r>
          </w:p>
        </w:tc>
        <w:tc>
          <w:tcPr>
            <w:tcW w:w="1169" w:type="dxa"/>
            <w:shd w:val="clear" w:color="auto" w:fill="auto"/>
            <w:noWrap/>
            <w:vAlign w:val="bottom"/>
            <w:hideMark/>
          </w:tcPr>
          <w:p w14:paraId="74971539"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0FF6444A" w14:textId="77777777" w:rsidTr="00B240D7">
        <w:trPr>
          <w:trHeight w:val="272"/>
        </w:trPr>
        <w:tc>
          <w:tcPr>
            <w:tcW w:w="3424" w:type="dxa"/>
            <w:shd w:val="clear" w:color="auto" w:fill="auto"/>
            <w:vAlign w:val="center"/>
            <w:hideMark/>
          </w:tcPr>
          <w:p w14:paraId="644EDF03"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 xml:space="preserve">SDG 16: </w:t>
            </w:r>
            <w:r w:rsidRPr="000A79DF">
              <w:rPr>
                <w:rFonts w:ascii="Tw Cen MT" w:eastAsia="Times New Roman" w:hAnsi="Tw Cen MT" w:cs="Calibri"/>
                <w:w w:val="75"/>
              </w:rPr>
              <w:t>Peace, Justice, Strong Institution</w:t>
            </w:r>
          </w:p>
        </w:tc>
        <w:tc>
          <w:tcPr>
            <w:tcW w:w="1261" w:type="dxa"/>
            <w:shd w:val="clear" w:color="auto" w:fill="auto"/>
            <w:vAlign w:val="center"/>
            <w:hideMark/>
          </w:tcPr>
          <w:p w14:paraId="46E2C35D"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24</w:t>
            </w:r>
          </w:p>
        </w:tc>
        <w:tc>
          <w:tcPr>
            <w:tcW w:w="1064" w:type="dxa"/>
            <w:shd w:val="clear" w:color="auto" w:fill="auto"/>
            <w:noWrap/>
            <w:vAlign w:val="center"/>
            <w:hideMark/>
          </w:tcPr>
          <w:p w14:paraId="046DA8CC"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7</w:t>
            </w:r>
          </w:p>
        </w:tc>
        <w:tc>
          <w:tcPr>
            <w:tcW w:w="997" w:type="dxa"/>
            <w:shd w:val="clear" w:color="auto" w:fill="auto"/>
            <w:vAlign w:val="center"/>
            <w:hideMark/>
          </w:tcPr>
          <w:p w14:paraId="7DF13DB2" w14:textId="77777777" w:rsidR="000A79DF" w:rsidRPr="00B56008" w:rsidRDefault="000A79DF" w:rsidP="00484B5E">
            <w:pPr>
              <w:jc w:val="center"/>
              <w:rPr>
                <w:rFonts w:ascii="Tw Cen MT" w:eastAsia="Times New Roman" w:hAnsi="Tw Cen MT" w:cs="Calibri"/>
                <w:color w:val="FF0000"/>
              </w:rPr>
            </w:pPr>
            <w:r w:rsidRPr="00B56008">
              <w:rPr>
                <w:rFonts w:ascii="Tw Cen MT" w:eastAsia="Times New Roman" w:hAnsi="Tw Cen MT" w:cs="Calibri"/>
                <w:color w:val="FF0000"/>
              </w:rPr>
              <w:t>16</w:t>
            </w:r>
          </w:p>
        </w:tc>
        <w:tc>
          <w:tcPr>
            <w:tcW w:w="935" w:type="dxa"/>
            <w:shd w:val="clear" w:color="auto" w:fill="auto"/>
            <w:vAlign w:val="center"/>
            <w:hideMark/>
          </w:tcPr>
          <w:p w14:paraId="2AD8E09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1</w:t>
            </w:r>
          </w:p>
        </w:tc>
        <w:tc>
          <w:tcPr>
            <w:tcW w:w="1169" w:type="dxa"/>
            <w:shd w:val="clear" w:color="auto" w:fill="auto"/>
            <w:noWrap/>
            <w:vAlign w:val="center"/>
            <w:hideMark/>
          </w:tcPr>
          <w:p w14:paraId="5D2C84FA"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2463AE21" w14:textId="77777777" w:rsidTr="00B240D7">
        <w:trPr>
          <w:trHeight w:val="266"/>
        </w:trPr>
        <w:tc>
          <w:tcPr>
            <w:tcW w:w="3424" w:type="dxa"/>
            <w:shd w:val="clear" w:color="auto" w:fill="auto"/>
            <w:vAlign w:val="center"/>
            <w:hideMark/>
          </w:tcPr>
          <w:p w14:paraId="75A679B6" w14:textId="77777777" w:rsidR="000A79DF" w:rsidRPr="00AD1B3E" w:rsidRDefault="000A79DF" w:rsidP="00484B5E">
            <w:pPr>
              <w:rPr>
                <w:rFonts w:ascii="Tw Cen MT" w:eastAsia="Times New Roman" w:hAnsi="Tw Cen MT" w:cs="Calibri"/>
              </w:rPr>
            </w:pPr>
            <w:r w:rsidRPr="00AD1B3E">
              <w:rPr>
                <w:rFonts w:ascii="Tw Cen MT" w:eastAsia="Times New Roman" w:hAnsi="Tw Cen MT" w:cs="Calibri"/>
              </w:rPr>
              <w:t>SDG 17: Partnership</w:t>
            </w:r>
          </w:p>
        </w:tc>
        <w:tc>
          <w:tcPr>
            <w:tcW w:w="1261" w:type="dxa"/>
            <w:shd w:val="clear" w:color="auto" w:fill="auto"/>
            <w:vAlign w:val="bottom"/>
            <w:hideMark/>
          </w:tcPr>
          <w:p w14:paraId="7E6E09E2"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24</w:t>
            </w:r>
          </w:p>
        </w:tc>
        <w:tc>
          <w:tcPr>
            <w:tcW w:w="1064" w:type="dxa"/>
            <w:shd w:val="clear" w:color="auto" w:fill="auto"/>
            <w:noWrap/>
            <w:vAlign w:val="bottom"/>
            <w:hideMark/>
          </w:tcPr>
          <w:p w14:paraId="5E7E26D3"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15</w:t>
            </w:r>
          </w:p>
        </w:tc>
        <w:tc>
          <w:tcPr>
            <w:tcW w:w="997" w:type="dxa"/>
            <w:shd w:val="clear" w:color="auto" w:fill="auto"/>
            <w:vAlign w:val="bottom"/>
            <w:hideMark/>
          </w:tcPr>
          <w:p w14:paraId="28A45315"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6</w:t>
            </w:r>
          </w:p>
        </w:tc>
        <w:tc>
          <w:tcPr>
            <w:tcW w:w="935" w:type="dxa"/>
            <w:shd w:val="clear" w:color="auto" w:fill="auto"/>
            <w:vAlign w:val="bottom"/>
            <w:hideMark/>
          </w:tcPr>
          <w:p w14:paraId="43140BB8" w14:textId="77777777" w:rsidR="000A79DF" w:rsidRPr="00AD1B3E" w:rsidRDefault="000A79DF" w:rsidP="00484B5E">
            <w:pPr>
              <w:jc w:val="center"/>
              <w:rPr>
                <w:rFonts w:ascii="Tw Cen MT" w:eastAsia="Times New Roman" w:hAnsi="Tw Cen MT" w:cs="Calibri"/>
              </w:rPr>
            </w:pPr>
            <w:r w:rsidRPr="00AD1B3E">
              <w:rPr>
                <w:rFonts w:ascii="Tw Cen MT" w:eastAsia="Times New Roman" w:hAnsi="Tw Cen MT" w:cs="Calibri"/>
              </w:rPr>
              <w:t>3</w:t>
            </w:r>
          </w:p>
        </w:tc>
        <w:tc>
          <w:tcPr>
            <w:tcW w:w="1169" w:type="dxa"/>
            <w:shd w:val="clear" w:color="auto" w:fill="auto"/>
            <w:noWrap/>
            <w:vAlign w:val="bottom"/>
            <w:hideMark/>
          </w:tcPr>
          <w:p w14:paraId="7312696F" w14:textId="77777777" w:rsidR="000A79DF" w:rsidRPr="00AD1B3E" w:rsidRDefault="000A79DF" w:rsidP="00484B5E">
            <w:pPr>
              <w:jc w:val="center"/>
              <w:rPr>
                <w:rFonts w:ascii="Calibri" w:eastAsia="Times New Roman" w:hAnsi="Calibri" w:cs="Calibri"/>
              </w:rPr>
            </w:pPr>
            <w:r w:rsidRPr="00AD1B3E">
              <w:rPr>
                <w:rFonts w:ascii="Calibri" w:eastAsia="Times New Roman" w:hAnsi="Calibri" w:cs="Calibri"/>
              </w:rPr>
              <w:t>0</w:t>
            </w:r>
          </w:p>
        </w:tc>
      </w:tr>
      <w:tr w:rsidR="000A79DF" w:rsidRPr="00AD1B3E" w14:paraId="750FDADC" w14:textId="77777777" w:rsidTr="00B240D7">
        <w:trPr>
          <w:trHeight w:val="266"/>
        </w:trPr>
        <w:tc>
          <w:tcPr>
            <w:tcW w:w="3424" w:type="dxa"/>
            <w:shd w:val="clear" w:color="auto" w:fill="auto"/>
            <w:noWrap/>
            <w:vAlign w:val="center"/>
            <w:hideMark/>
          </w:tcPr>
          <w:p w14:paraId="1F1BE38F" w14:textId="77777777" w:rsidR="000A79DF" w:rsidRPr="000A79DF" w:rsidRDefault="000A79DF" w:rsidP="00484B5E">
            <w:pPr>
              <w:rPr>
                <w:rFonts w:ascii="Calibri" w:eastAsia="Times New Roman" w:hAnsi="Calibri" w:cs="Calibri"/>
                <w:b/>
                <w:bCs/>
              </w:rPr>
            </w:pPr>
            <w:r w:rsidRPr="000A79DF">
              <w:rPr>
                <w:rFonts w:ascii="Calibri" w:eastAsia="Times New Roman" w:hAnsi="Calibri" w:cs="Calibri"/>
                <w:b/>
                <w:bCs/>
              </w:rPr>
              <w:t>Total Indicators</w:t>
            </w:r>
          </w:p>
        </w:tc>
        <w:tc>
          <w:tcPr>
            <w:tcW w:w="1261" w:type="dxa"/>
            <w:shd w:val="clear" w:color="auto" w:fill="auto"/>
            <w:noWrap/>
            <w:vAlign w:val="bottom"/>
            <w:hideMark/>
          </w:tcPr>
          <w:p w14:paraId="6A38647F" w14:textId="77777777" w:rsidR="000A79DF" w:rsidRPr="000A79DF" w:rsidRDefault="000A79DF" w:rsidP="00484B5E">
            <w:pPr>
              <w:jc w:val="center"/>
              <w:rPr>
                <w:rFonts w:ascii="Calibri" w:eastAsia="Times New Roman" w:hAnsi="Calibri" w:cs="Calibri"/>
                <w:b/>
                <w:bCs/>
              </w:rPr>
            </w:pPr>
            <w:r w:rsidRPr="000A79DF">
              <w:rPr>
                <w:rFonts w:ascii="Calibri" w:eastAsia="Times New Roman" w:hAnsi="Calibri" w:cs="Calibri"/>
                <w:b/>
                <w:bCs/>
              </w:rPr>
              <w:t>247</w:t>
            </w:r>
          </w:p>
        </w:tc>
        <w:tc>
          <w:tcPr>
            <w:tcW w:w="1064" w:type="dxa"/>
            <w:shd w:val="clear" w:color="auto" w:fill="auto"/>
            <w:vAlign w:val="bottom"/>
            <w:hideMark/>
          </w:tcPr>
          <w:p w14:paraId="107452D4" w14:textId="77777777" w:rsidR="000A79DF" w:rsidRPr="000A79DF" w:rsidRDefault="000A79DF" w:rsidP="00484B5E">
            <w:pPr>
              <w:jc w:val="center"/>
              <w:rPr>
                <w:rFonts w:ascii="Tw Cen MT" w:eastAsia="Times New Roman" w:hAnsi="Tw Cen MT" w:cs="Calibri"/>
                <w:b/>
                <w:bCs/>
              </w:rPr>
            </w:pPr>
            <w:r w:rsidRPr="000A79DF">
              <w:rPr>
                <w:rFonts w:ascii="Tw Cen MT" w:eastAsia="Times New Roman" w:hAnsi="Tw Cen MT" w:cs="Calibri"/>
                <w:b/>
                <w:bCs/>
              </w:rPr>
              <w:t>119</w:t>
            </w:r>
          </w:p>
        </w:tc>
        <w:tc>
          <w:tcPr>
            <w:tcW w:w="997" w:type="dxa"/>
            <w:shd w:val="clear" w:color="auto" w:fill="auto"/>
            <w:vAlign w:val="bottom"/>
            <w:hideMark/>
          </w:tcPr>
          <w:p w14:paraId="599A37B3" w14:textId="77777777" w:rsidR="000A79DF" w:rsidRPr="000A79DF" w:rsidRDefault="000A79DF" w:rsidP="00484B5E">
            <w:pPr>
              <w:jc w:val="center"/>
              <w:rPr>
                <w:rFonts w:ascii="Tw Cen MT" w:eastAsia="Times New Roman" w:hAnsi="Tw Cen MT" w:cs="Calibri"/>
                <w:b/>
                <w:bCs/>
              </w:rPr>
            </w:pPr>
            <w:r w:rsidRPr="000A79DF">
              <w:rPr>
                <w:rFonts w:ascii="Tw Cen MT" w:eastAsia="Times New Roman" w:hAnsi="Tw Cen MT" w:cs="Calibri"/>
                <w:b/>
                <w:bCs/>
              </w:rPr>
              <w:t>108</w:t>
            </w:r>
          </w:p>
        </w:tc>
        <w:tc>
          <w:tcPr>
            <w:tcW w:w="935" w:type="dxa"/>
            <w:shd w:val="clear" w:color="auto" w:fill="auto"/>
            <w:vAlign w:val="bottom"/>
            <w:hideMark/>
          </w:tcPr>
          <w:p w14:paraId="0C57C012" w14:textId="77777777" w:rsidR="000A79DF" w:rsidRPr="000A79DF" w:rsidRDefault="000A79DF" w:rsidP="00484B5E">
            <w:pPr>
              <w:jc w:val="center"/>
              <w:rPr>
                <w:rFonts w:ascii="Tw Cen MT" w:eastAsia="Times New Roman" w:hAnsi="Tw Cen MT" w:cs="Calibri"/>
                <w:b/>
                <w:bCs/>
              </w:rPr>
            </w:pPr>
            <w:r w:rsidRPr="000A79DF">
              <w:rPr>
                <w:rFonts w:ascii="Tw Cen MT" w:eastAsia="Times New Roman" w:hAnsi="Tw Cen MT" w:cs="Calibri"/>
                <w:b/>
                <w:bCs/>
              </w:rPr>
              <w:t>22</w:t>
            </w:r>
          </w:p>
        </w:tc>
        <w:tc>
          <w:tcPr>
            <w:tcW w:w="1169" w:type="dxa"/>
            <w:shd w:val="clear" w:color="auto" w:fill="auto"/>
            <w:vAlign w:val="bottom"/>
            <w:hideMark/>
          </w:tcPr>
          <w:p w14:paraId="1D70378D" w14:textId="77777777" w:rsidR="000A79DF" w:rsidRPr="000A79DF" w:rsidRDefault="000A79DF" w:rsidP="00484B5E">
            <w:pPr>
              <w:jc w:val="center"/>
              <w:rPr>
                <w:rFonts w:ascii="Tw Cen MT" w:eastAsia="Times New Roman" w:hAnsi="Tw Cen MT" w:cs="Calibri"/>
                <w:b/>
                <w:bCs/>
              </w:rPr>
            </w:pPr>
            <w:r w:rsidRPr="000A79DF">
              <w:rPr>
                <w:rFonts w:ascii="Tw Cen MT" w:eastAsia="Times New Roman" w:hAnsi="Tw Cen MT" w:cs="Calibri"/>
                <w:b/>
                <w:bCs/>
              </w:rPr>
              <w:t>2</w:t>
            </w:r>
          </w:p>
        </w:tc>
      </w:tr>
      <w:tr w:rsidR="000A79DF" w:rsidRPr="00AD1B3E" w14:paraId="2CE2393C" w14:textId="77777777" w:rsidTr="00B240D7">
        <w:trPr>
          <w:trHeight w:val="266"/>
        </w:trPr>
        <w:tc>
          <w:tcPr>
            <w:tcW w:w="3424" w:type="dxa"/>
            <w:shd w:val="clear" w:color="auto" w:fill="auto"/>
            <w:noWrap/>
            <w:vAlign w:val="center"/>
            <w:hideMark/>
          </w:tcPr>
          <w:p w14:paraId="7C4C246D" w14:textId="77777777" w:rsidR="000A79DF" w:rsidRPr="000A79DF" w:rsidRDefault="000A79DF" w:rsidP="00484B5E">
            <w:pPr>
              <w:rPr>
                <w:rFonts w:ascii="Calibri" w:eastAsia="Times New Roman" w:hAnsi="Calibri" w:cs="Calibri"/>
                <w:b/>
                <w:bCs/>
              </w:rPr>
            </w:pPr>
            <w:r w:rsidRPr="000A79DF">
              <w:rPr>
                <w:rFonts w:ascii="Calibri" w:eastAsia="Times New Roman" w:hAnsi="Calibri" w:cs="Calibri"/>
                <w:b/>
                <w:bCs/>
              </w:rPr>
              <w:t>Total Unique Indicators</w:t>
            </w:r>
          </w:p>
        </w:tc>
        <w:tc>
          <w:tcPr>
            <w:tcW w:w="1261" w:type="dxa"/>
            <w:shd w:val="clear" w:color="auto" w:fill="auto"/>
            <w:noWrap/>
            <w:vAlign w:val="bottom"/>
            <w:hideMark/>
          </w:tcPr>
          <w:p w14:paraId="79B6B040" w14:textId="77777777" w:rsidR="000A79DF" w:rsidRPr="000A79DF" w:rsidRDefault="000A79DF" w:rsidP="00484B5E">
            <w:pPr>
              <w:jc w:val="center"/>
              <w:rPr>
                <w:rFonts w:ascii="Calibri" w:eastAsia="Times New Roman" w:hAnsi="Calibri" w:cs="Calibri"/>
                <w:b/>
                <w:bCs/>
              </w:rPr>
            </w:pPr>
            <w:r w:rsidRPr="000A79DF">
              <w:rPr>
                <w:rFonts w:ascii="Calibri" w:eastAsia="Times New Roman" w:hAnsi="Calibri" w:cs="Calibri"/>
                <w:b/>
                <w:bCs/>
              </w:rPr>
              <w:t>231</w:t>
            </w:r>
          </w:p>
        </w:tc>
        <w:tc>
          <w:tcPr>
            <w:tcW w:w="1064" w:type="dxa"/>
            <w:shd w:val="clear" w:color="auto" w:fill="auto"/>
            <w:vAlign w:val="bottom"/>
            <w:hideMark/>
          </w:tcPr>
          <w:p w14:paraId="70948893" w14:textId="2C6AFFBB" w:rsidR="000A79DF" w:rsidRPr="000A79DF" w:rsidRDefault="00D52BCB" w:rsidP="00484B5E">
            <w:pPr>
              <w:jc w:val="center"/>
              <w:rPr>
                <w:rFonts w:ascii="Tw Cen MT" w:eastAsia="Times New Roman" w:hAnsi="Tw Cen MT" w:cs="Calibri"/>
                <w:b/>
                <w:bCs/>
              </w:rPr>
            </w:pPr>
            <w:r>
              <w:rPr>
                <w:rFonts w:ascii="Tw Cen MT" w:eastAsia="Times New Roman" w:hAnsi="Tw Cen MT" w:cs="Calibri"/>
                <w:b/>
                <w:bCs/>
              </w:rPr>
              <w:t>115</w:t>
            </w:r>
          </w:p>
        </w:tc>
        <w:tc>
          <w:tcPr>
            <w:tcW w:w="997" w:type="dxa"/>
            <w:shd w:val="clear" w:color="auto" w:fill="auto"/>
            <w:vAlign w:val="bottom"/>
            <w:hideMark/>
          </w:tcPr>
          <w:p w14:paraId="0D485D07" w14:textId="1FE17896" w:rsidR="000A79DF" w:rsidRPr="000A79DF" w:rsidRDefault="00D52BCB" w:rsidP="00484B5E">
            <w:pPr>
              <w:jc w:val="center"/>
              <w:rPr>
                <w:rFonts w:ascii="Tw Cen MT" w:eastAsia="Times New Roman" w:hAnsi="Tw Cen MT" w:cs="Calibri"/>
                <w:b/>
                <w:bCs/>
              </w:rPr>
            </w:pPr>
            <w:r>
              <w:rPr>
                <w:rFonts w:ascii="Tw Cen MT" w:eastAsia="Times New Roman" w:hAnsi="Tw Cen MT" w:cs="Calibri"/>
                <w:b/>
                <w:bCs/>
              </w:rPr>
              <w:t>95</w:t>
            </w:r>
          </w:p>
        </w:tc>
        <w:tc>
          <w:tcPr>
            <w:tcW w:w="935" w:type="dxa"/>
            <w:shd w:val="clear" w:color="auto" w:fill="auto"/>
            <w:vAlign w:val="bottom"/>
            <w:hideMark/>
          </w:tcPr>
          <w:p w14:paraId="2C257F21" w14:textId="77777777" w:rsidR="000A79DF" w:rsidRPr="000A79DF" w:rsidRDefault="000A79DF" w:rsidP="00484B5E">
            <w:pPr>
              <w:jc w:val="center"/>
              <w:rPr>
                <w:rFonts w:ascii="Tw Cen MT" w:eastAsia="Times New Roman" w:hAnsi="Tw Cen MT" w:cs="Calibri"/>
                <w:b/>
                <w:bCs/>
              </w:rPr>
            </w:pPr>
            <w:r w:rsidRPr="000A79DF">
              <w:rPr>
                <w:rFonts w:ascii="Tw Cen MT" w:eastAsia="Times New Roman" w:hAnsi="Tw Cen MT" w:cs="Calibri"/>
                <w:b/>
                <w:bCs/>
              </w:rPr>
              <w:t>19</w:t>
            </w:r>
          </w:p>
        </w:tc>
        <w:tc>
          <w:tcPr>
            <w:tcW w:w="1169" w:type="dxa"/>
            <w:shd w:val="clear" w:color="auto" w:fill="auto"/>
            <w:vAlign w:val="bottom"/>
            <w:hideMark/>
          </w:tcPr>
          <w:p w14:paraId="358AE78F" w14:textId="77777777" w:rsidR="000A79DF" w:rsidRPr="000A79DF" w:rsidRDefault="000A79DF" w:rsidP="00484B5E">
            <w:pPr>
              <w:jc w:val="center"/>
              <w:rPr>
                <w:rFonts w:ascii="Tw Cen MT" w:eastAsia="Times New Roman" w:hAnsi="Tw Cen MT" w:cs="Calibri"/>
                <w:b/>
                <w:bCs/>
              </w:rPr>
            </w:pPr>
            <w:r w:rsidRPr="000A79DF">
              <w:rPr>
                <w:rFonts w:ascii="Tw Cen MT" w:eastAsia="Times New Roman" w:hAnsi="Tw Cen MT" w:cs="Calibri"/>
                <w:b/>
                <w:bCs/>
              </w:rPr>
              <w:t>2</w:t>
            </w:r>
          </w:p>
        </w:tc>
      </w:tr>
    </w:tbl>
    <w:p w14:paraId="0A6FA59E" w14:textId="77777777" w:rsidR="0072165C" w:rsidRDefault="0072165C" w:rsidP="007E4F8B">
      <w:pPr>
        <w:rPr>
          <w:rFonts w:ascii="Palatino Linotype" w:hAnsi="Palatino Linotype"/>
          <w:b/>
          <w:bCs/>
          <w:sz w:val="24"/>
        </w:rPr>
      </w:pPr>
    </w:p>
    <w:p w14:paraId="2CC91BDB" w14:textId="02D397B5" w:rsidR="007E4F8B" w:rsidRPr="0012153B" w:rsidRDefault="007E4F8B" w:rsidP="007E4F8B">
      <w:pPr>
        <w:rPr>
          <w:rFonts w:ascii="Palatino Linotype" w:hAnsi="Palatino Linotype"/>
          <w:b/>
          <w:color w:val="0070C0"/>
          <w:sz w:val="28"/>
          <w:szCs w:val="22"/>
        </w:rPr>
      </w:pPr>
      <w:r w:rsidRPr="0012153B">
        <w:rPr>
          <w:rFonts w:ascii="Palatino Linotype" w:hAnsi="Palatino Linotype"/>
          <w:b/>
          <w:color w:val="0070C0"/>
          <w:sz w:val="28"/>
          <w:szCs w:val="22"/>
        </w:rPr>
        <w:t>Partners of Custodian Agencies for SDG Indicators</w:t>
      </w:r>
    </w:p>
    <w:p w14:paraId="23261BB8" w14:textId="5EC28413" w:rsidR="00A63466" w:rsidRDefault="00A63466" w:rsidP="007E4F8B">
      <w:pPr>
        <w:rPr>
          <w:rFonts w:ascii="Palatino Linotype" w:hAnsi="Palatino Linotype"/>
          <w:color w:val="000000" w:themeColor="text1"/>
          <w:sz w:val="24"/>
        </w:rPr>
        <w:sectPr w:rsidR="00A63466" w:rsidSect="00D46636">
          <w:type w:val="continuous"/>
          <w:pgSz w:w="20160" w:h="12240" w:orient="landscape" w:code="5"/>
          <w:pgMar w:top="720" w:right="720" w:bottom="720" w:left="720" w:header="720" w:footer="720" w:gutter="0"/>
          <w:cols w:space="720"/>
          <w:docGrid w:linePitch="360"/>
        </w:sectPr>
      </w:pPr>
    </w:p>
    <w:p w14:paraId="62C2DF4C" w14:textId="552B3765" w:rsidR="00A63466" w:rsidRDefault="00A63466" w:rsidP="00A63466">
      <w:pPr>
        <w:jc w:val="both"/>
        <w:rPr>
          <w:rFonts w:ascii="Palatino Linotype" w:hAnsi="Palatino Linotype"/>
          <w:sz w:val="24"/>
          <w:szCs w:val="20"/>
        </w:rPr>
      </w:pPr>
      <w:r>
        <w:rPr>
          <w:rFonts w:ascii="Palatino Linotype" w:hAnsi="Palatino Linotype"/>
          <w:color w:val="000000" w:themeColor="text1"/>
          <w:sz w:val="24"/>
        </w:rPr>
        <w:lastRenderedPageBreak/>
        <w:t>T</w:t>
      </w:r>
      <w:r w:rsidR="007E4F8B" w:rsidRPr="004764C8">
        <w:rPr>
          <w:rFonts w:ascii="Palatino Linotype" w:hAnsi="Palatino Linotype"/>
          <w:sz w:val="24"/>
          <w:szCs w:val="20"/>
        </w:rPr>
        <w:t>here are 45 multiple other agencies partnering up with the Custodian Agencies. These Partner Agencies are responsible for collaborating and supporting the Custodian Agencies in multiple different areas of technical support. These partner agencies include many other organizations working to address different specific global issues in different specific areas like water and sanitation hygiene, labor rights, energy, refugee response etc. The partner agencies include 45 agencies including UNICEF, UNEP, Eurostat, ILO, UN Water, UN Energy etc.</w:t>
      </w:r>
      <w:r>
        <w:rPr>
          <w:rFonts w:ascii="Palatino Linotype" w:hAnsi="Palatino Linotype"/>
          <w:sz w:val="24"/>
          <w:szCs w:val="20"/>
        </w:rPr>
        <w:t xml:space="preserve"> </w:t>
      </w:r>
    </w:p>
    <w:p w14:paraId="75F8FF05" w14:textId="011619CD" w:rsidR="0072165C" w:rsidRDefault="0072165C" w:rsidP="00A63466">
      <w:pPr>
        <w:jc w:val="both"/>
        <w:rPr>
          <w:rFonts w:ascii="Palatino Linotype" w:hAnsi="Palatino Linotype"/>
          <w:sz w:val="24"/>
          <w:szCs w:val="20"/>
        </w:rPr>
      </w:pPr>
      <w:r w:rsidRPr="001E1A3F">
        <w:rPr>
          <w:rFonts w:ascii="Palatino Linotype" w:hAnsi="Palatino Linotype"/>
          <w:noProof/>
          <w:sz w:val="28"/>
          <w:lang w:bidi="bn-BD"/>
        </w:rPr>
        <w:lastRenderedPageBreak/>
        <w:drawing>
          <wp:anchor distT="0" distB="0" distL="114300" distR="114300" simplePos="0" relativeHeight="251670016" behindDoc="1" locked="0" layoutInCell="1" allowOverlap="1" wp14:anchorId="16D384B5" wp14:editId="3E384D98">
            <wp:simplePos x="0" y="0"/>
            <wp:positionH relativeFrom="column">
              <wp:align>right</wp:align>
            </wp:positionH>
            <wp:positionV relativeFrom="paragraph">
              <wp:posOffset>283613</wp:posOffset>
            </wp:positionV>
            <wp:extent cx="5711190" cy="6291580"/>
            <wp:effectExtent l="0" t="0" r="3810" b="13970"/>
            <wp:wrapTight wrapText="bothSides">
              <wp:wrapPolygon edited="0">
                <wp:start x="0" y="0"/>
                <wp:lineTo x="0" y="21583"/>
                <wp:lineTo x="21542" y="21583"/>
                <wp:lineTo x="21542" y="0"/>
                <wp:lineTo x="0" y="0"/>
              </wp:wrapPolygon>
            </wp:wrapTight>
            <wp:docPr id="4944" name="Chart 4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005374A" w14:textId="277FE24C" w:rsidR="00A63466" w:rsidRPr="0012153B" w:rsidRDefault="00A63466" w:rsidP="00A63466">
      <w:pPr>
        <w:jc w:val="both"/>
        <w:rPr>
          <w:rFonts w:ascii="Palatino Linotype" w:hAnsi="Palatino Linotype"/>
          <w:b/>
          <w:color w:val="0070C0"/>
          <w:sz w:val="28"/>
          <w:szCs w:val="22"/>
        </w:rPr>
      </w:pPr>
      <w:r w:rsidRPr="0012153B">
        <w:rPr>
          <w:rFonts w:ascii="Palatino Linotype" w:hAnsi="Palatino Linotype"/>
          <w:b/>
          <w:color w:val="0070C0"/>
          <w:sz w:val="28"/>
          <w:szCs w:val="22"/>
        </w:rPr>
        <w:lastRenderedPageBreak/>
        <w:t>Tier Classification of SDG Indicators</w:t>
      </w:r>
    </w:p>
    <w:p w14:paraId="6EBF5F5A" w14:textId="77777777" w:rsidR="00B91155" w:rsidRDefault="0072165C" w:rsidP="00DC3EBC">
      <w:pPr>
        <w:jc w:val="both"/>
        <w:rPr>
          <w:rFonts w:ascii="Palatino Linotype" w:hAnsi="Palatino Linotype"/>
          <w:sz w:val="24"/>
          <w:szCs w:val="20"/>
        </w:rPr>
      </w:pPr>
      <w:r>
        <w:rPr>
          <w:noProof/>
          <w:szCs w:val="20"/>
          <w:lang w:bidi="bn-BD"/>
        </w:rPr>
        <w:drawing>
          <wp:anchor distT="0" distB="0" distL="114300" distR="114300" simplePos="0" relativeHeight="251676672" behindDoc="0" locked="0" layoutInCell="1" allowOverlap="1" wp14:anchorId="03E9F309" wp14:editId="2E475966">
            <wp:simplePos x="0" y="0"/>
            <wp:positionH relativeFrom="column">
              <wp:align>right</wp:align>
            </wp:positionH>
            <wp:positionV relativeFrom="paragraph">
              <wp:posOffset>1577975</wp:posOffset>
            </wp:positionV>
            <wp:extent cx="5629275" cy="4713605"/>
            <wp:effectExtent l="57150" t="57150" r="47625" b="48895"/>
            <wp:wrapSquare wrapText="bothSides"/>
            <wp:docPr id="4945" name="Chart 4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A63466" w:rsidRPr="00A63466">
        <w:rPr>
          <w:rFonts w:ascii="Palatino Linotype" w:hAnsi="Palatino Linotype"/>
          <w:sz w:val="24"/>
          <w:szCs w:val="20"/>
        </w:rPr>
        <w:t xml:space="preserve">The following Pie chart shows that, </w:t>
      </w:r>
      <w:r w:rsidR="00D20077">
        <w:rPr>
          <w:rFonts w:ascii="Palatino Linotype" w:hAnsi="Palatino Linotype"/>
          <w:sz w:val="24"/>
          <w:szCs w:val="20"/>
        </w:rPr>
        <w:t>f</w:t>
      </w:r>
      <w:r w:rsidR="00A63466" w:rsidRPr="00A63466">
        <w:rPr>
          <w:rFonts w:ascii="Palatino Linotype" w:hAnsi="Palatino Linotype"/>
          <w:sz w:val="24"/>
          <w:szCs w:val="20"/>
        </w:rPr>
        <w:t xml:space="preserve">or the 17 global goals, there are 247 indicators that were decided to be evaluated. </w:t>
      </w:r>
      <w:r w:rsidR="00D20077">
        <w:rPr>
          <w:rFonts w:ascii="Palatino Linotype" w:hAnsi="Palatino Linotype"/>
          <w:sz w:val="24"/>
          <w:szCs w:val="20"/>
        </w:rPr>
        <w:t>The chart</w:t>
      </w:r>
      <w:r w:rsidR="00A63466" w:rsidRPr="00A63466">
        <w:rPr>
          <w:rFonts w:ascii="Palatino Linotype" w:hAnsi="Palatino Linotype"/>
          <w:sz w:val="24"/>
          <w:szCs w:val="20"/>
        </w:rPr>
        <w:t xml:space="preserve"> portrays that, a</w:t>
      </w:r>
      <w:r w:rsidR="00D20077">
        <w:rPr>
          <w:rFonts w:ascii="Palatino Linotype" w:hAnsi="Palatino Linotype"/>
          <w:sz w:val="24"/>
          <w:szCs w:val="20"/>
        </w:rPr>
        <w:t xml:space="preserve"> unique</w:t>
      </w:r>
      <w:r w:rsidR="00A63466" w:rsidRPr="00A63466">
        <w:rPr>
          <w:rFonts w:ascii="Palatino Linotype" w:hAnsi="Palatino Linotype"/>
          <w:sz w:val="24"/>
          <w:szCs w:val="20"/>
        </w:rPr>
        <w:t xml:space="preserve"> number of 11</w:t>
      </w:r>
      <w:r w:rsidR="00D20077">
        <w:rPr>
          <w:rFonts w:ascii="Palatino Linotype" w:hAnsi="Palatino Linotype"/>
          <w:sz w:val="24"/>
          <w:szCs w:val="20"/>
        </w:rPr>
        <w:t>5</w:t>
      </w:r>
      <w:r w:rsidR="00A63466" w:rsidRPr="00A63466">
        <w:rPr>
          <w:rFonts w:ascii="Palatino Linotype" w:hAnsi="Palatino Linotype"/>
          <w:sz w:val="24"/>
          <w:szCs w:val="20"/>
        </w:rPr>
        <w:t xml:space="preserve"> indicators </w:t>
      </w:r>
      <w:r w:rsidR="00D20077">
        <w:rPr>
          <w:rFonts w:ascii="Palatino Linotype" w:hAnsi="Palatino Linotype"/>
          <w:sz w:val="24"/>
          <w:szCs w:val="20"/>
        </w:rPr>
        <w:t>are categorized as</w:t>
      </w:r>
      <w:r w:rsidR="00A63466" w:rsidRPr="00A63466">
        <w:rPr>
          <w:rFonts w:ascii="Palatino Linotype" w:hAnsi="Palatino Linotype"/>
          <w:sz w:val="24"/>
          <w:szCs w:val="20"/>
        </w:rPr>
        <w:t xml:space="preserve"> Tier </w:t>
      </w:r>
      <w:r w:rsidR="00D20077">
        <w:rPr>
          <w:rFonts w:ascii="Palatino Linotype" w:hAnsi="Palatino Linotype"/>
          <w:sz w:val="24"/>
          <w:szCs w:val="20"/>
        </w:rPr>
        <w:t>I</w:t>
      </w:r>
      <w:r w:rsidR="00A63466" w:rsidRPr="00A63466">
        <w:rPr>
          <w:rFonts w:ascii="Palatino Linotype" w:hAnsi="Palatino Linotype"/>
          <w:sz w:val="24"/>
          <w:szCs w:val="20"/>
        </w:rPr>
        <w:t xml:space="preserve"> </w:t>
      </w:r>
      <w:r w:rsidR="00D20077">
        <w:rPr>
          <w:rFonts w:ascii="Palatino Linotype" w:hAnsi="Palatino Linotype"/>
          <w:sz w:val="24"/>
          <w:szCs w:val="20"/>
        </w:rPr>
        <w:t>whereas</w:t>
      </w:r>
      <w:r w:rsidR="00A63466" w:rsidRPr="00A63466">
        <w:rPr>
          <w:rFonts w:ascii="Palatino Linotype" w:hAnsi="Palatino Linotype"/>
          <w:sz w:val="24"/>
          <w:szCs w:val="20"/>
        </w:rPr>
        <w:t xml:space="preserve"> </w:t>
      </w:r>
      <w:r w:rsidR="00D20077">
        <w:rPr>
          <w:rFonts w:ascii="Palatino Linotype" w:hAnsi="Palatino Linotype"/>
          <w:sz w:val="24"/>
          <w:szCs w:val="20"/>
        </w:rPr>
        <w:t>95 unique</w:t>
      </w:r>
      <w:r w:rsidR="00A63466" w:rsidRPr="00A63466">
        <w:rPr>
          <w:rFonts w:ascii="Palatino Linotype" w:hAnsi="Palatino Linotype"/>
          <w:sz w:val="24"/>
          <w:szCs w:val="20"/>
        </w:rPr>
        <w:t xml:space="preserve"> indicators were </w:t>
      </w:r>
      <w:r w:rsidR="00D20077">
        <w:rPr>
          <w:rFonts w:ascii="Palatino Linotype" w:hAnsi="Palatino Linotype"/>
          <w:sz w:val="24"/>
          <w:szCs w:val="20"/>
        </w:rPr>
        <w:t>marked</w:t>
      </w:r>
      <w:r w:rsidR="00A63466" w:rsidRPr="00A63466">
        <w:rPr>
          <w:rFonts w:ascii="Palatino Linotype" w:hAnsi="Palatino Linotype"/>
          <w:sz w:val="24"/>
          <w:szCs w:val="20"/>
        </w:rPr>
        <w:t xml:space="preserve"> </w:t>
      </w:r>
      <w:r w:rsidR="00D20077">
        <w:rPr>
          <w:rFonts w:ascii="Palatino Linotype" w:hAnsi="Palatino Linotype"/>
          <w:sz w:val="24"/>
          <w:szCs w:val="20"/>
        </w:rPr>
        <w:t>as</w:t>
      </w:r>
      <w:r w:rsidR="00A63466" w:rsidRPr="00A63466">
        <w:rPr>
          <w:rFonts w:ascii="Palatino Linotype" w:hAnsi="Palatino Linotype"/>
          <w:sz w:val="24"/>
          <w:szCs w:val="20"/>
        </w:rPr>
        <w:t xml:space="preserve"> Tier</w:t>
      </w:r>
      <w:r w:rsidR="00D20077">
        <w:rPr>
          <w:rFonts w:ascii="Palatino Linotype" w:hAnsi="Palatino Linotype"/>
          <w:sz w:val="24"/>
          <w:szCs w:val="20"/>
        </w:rPr>
        <w:t xml:space="preserve"> II</w:t>
      </w:r>
      <w:r w:rsidR="00A63466" w:rsidRPr="00A63466">
        <w:rPr>
          <w:rFonts w:ascii="Palatino Linotype" w:hAnsi="Palatino Linotype"/>
          <w:sz w:val="24"/>
          <w:szCs w:val="20"/>
        </w:rPr>
        <w:t>.</w:t>
      </w:r>
      <w:r w:rsidR="00D20077">
        <w:rPr>
          <w:rFonts w:ascii="Palatino Linotype" w:hAnsi="Palatino Linotype"/>
          <w:sz w:val="24"/>
          <w:szCs w:val="20"/>
        </w:rPr>
        <w:t xml:space="preserve"> It is observed that Goal 3 is leading in number of Tier indicators with 25 indicators.</w:t>
      </w:r>
      <w:r w:rsidR="00A63466" w:rsidRPr="00A63466">
        <w:rPr>
          <w:rFonts w:ascii="Palatino Linotype" w:hAnsi="Palatino Linotype"/>
          <w:sz w:val="24"/>
          <w:szCs w:val="20"/>
        </w:rPr>
        <w:t xml:space="preserve"> In Tier </w:t>
      </w:r>
      <w:r w:rsidR="00D52BCB">
        <w:rPr>
          <w:rFonts w:ascii="Palatino Linotype" w:hAnsi="Palatino Linotype"/>
          <w:sz w:val="24"/>
          <w:szCs w:val="20"/>
        </w:rPr>
        <w:t>II</w:t>
      </w:r>
      <w:r w:rsidR="00A63466" w:rsidRPr="00A63466">
        <w:rPr>
          <w:rFonts w:ascii="Palatino Linotype" w:hAnsi="Palatino Linotype"/>
          <w:sz w:val="24"/>
          <w:szCs w:val="20"/>
        </w:rPr>
        <w:t xml:space="preserve">, Goal </w:t>
      </w:r>
      <w:r w:rsidR="00D20077">
        <w:rPr>
          <w:rFonts w:ascii="Palatino Linotype" w:hAnsi="Palatino Linotype"/>
          <w:sz w:val="24"/>
          <w:szCs w:val="20"/>
        </w:rPr>
        <w:t xml:space="preserve">16 holds the highest position with 16 indicators followed by </w:t>
      </w:r>
      <w:r w:rsidR="00A63466" w:rsidRPr="00A63466">
        <w:rPr>
          <w:rFonts w:ascii="Palatino Linotype" w:hAnsi="Palatino Linotype"/>
          <w:sz w:val="24"/>
          <w:szCs w:val="20"/>
        </w:rPr>
        <w:t xml:space="preserve">Goal 11 </w:t>
      </w:r>
      <w:r w:rsidR="00D20077">
        <w:rPr>
          <w:rFonts w:ascii="Palatino Linotype" w:hAnsi="Palatino Linotype"/>
          <w:sz w:val="24"/>
          <w:szCs w:val="20"/>
        </w:rPr>
        <w:t>and Goal 5. There is no Tier III indicator right now. However, t</w:t>
      </w:r>
      <w:r w:rsidR="00A63466" w:rsidRPr="00A63466">
        <w:rPr>
          <w:rFonts w:ascii="Palatino Linotype" w:hAnsi="Palatino Linotype"/>
          <w:sz w:val="24"/>
          <w:szCs w:val="20"/>
        </w:rPr>
        <w:t>here are 19 indicators that are yet to be decided upon further consideration</w:t>
      </w:r>
      <w:r w:rsidR="00D20077">
        <w:rPr>
          <w:rFonts w:ascii="Palatino Linotype" w:hAnsi="Palatino Linotype"/>
          <w:sz w:val="24"/>
          <w:szCs w:val="20"/>
        </w:rPr>
        <w:t>.</w:t>
      </w:r>
    </w:p>
    <w:p w14:paraId="3DC23361" w14:textId="77777777" w:rsidR="00B91155" w:rsidRPr="00B91155" w:rsidRDefault="00B91155" w:rsidP="00B91155">
      <w:pPr>
        <w:jc w:val="both"/>
        <w:rPr>
          <w:rFonts w:ascii="Palatino Linotype" w:hAnsi="Palatino Linotype"/>
          <w:b/>
          <w:bCs/>
          <w:sz w:val="24"/>
          <w:szCs w:val="20"/>
        </w:rPr>
      </w:pPr>
    </w:p>
    <w:p w14:paraId="67B12B7C" w14:textId="55C87B5D" w:rsidR="00A63466" w:rsidRDefault="0033206F" w:rsidP="00B91155">
      <w:pPr>
        <w:jc w:val="both"/>
        <w:rPr>
          <w:rFonts w:ascii="Palatino Linotype" w:hAnsi="Palatino Linotype"/>
          <w:sz w:val="24"/>
          <w:szCs w:val="20"/>
        </w:rPr>
      </w:pPr>
      <w:proofErr w:type="gramStart"/>
      <w:r w:rsidRPr="0033206F">
        <w:rPr>
          <w:rFonts w:ascii="Palatino Linotype" w:hAnsi="Palatino Linotype"/>
          <w:b/>
          <w:color w:val="0070C0"/>
          <w:sz w:val="28"/>
          <w:szCs w:val="22"/>
        </w:rPr>
        <w:t>Sources of Data</w:t>
      </w:r>
      <w:r>
        <w:rPr>
          <w:rFonts w:ascii="Palatino Linotype" w:hAnsi="Palatino Linotype"/>
          <w:sz w:val="24"/>
          <w:szCs w:val="20"/>
        </w:rPr>
        <w:t xml:space="preserve"> </w:t>
      </w:r>
      <w:r w:rsidR="00B91155" w:rsidRPr="00B91155">
        <w:rPr>
          <w:rFonts w:ascii="Palatino Linotype" w:hAnsi="Palatino Linotype"/>
          <w:sz w:val="24"/>
          <w:szCs w:val="20"/>
        </w:rPr>
        <w:t>The sources of data for the indicators.</w:t>
      </w:r>
      <w:proofErr w:type="gramEnd"/>
      <w:r w:rsidR="00B91155" w:rsidRPr="00B91155">
        <w:rPr>
          <w:rFonts w:ascii="Palatino Linotype" w:hAnsi="Palatino Linotype"/>
          <w:sz w:val="24"/>
          <w:szCs w:val="20"/>
        </w:rPr>
        <w:t xml:space="preserve"> The highest indicators (131 indicators) data will be generated from administrative </w:t>
      </w:r>
      <w:r w:rsidR="00B91155">
        <w:rPr>
          <w:rFonts w:ascii="Palatino Linotype" w:hAnsi="Palatino Linotype"/>
          <w:sz w:val="24"/>
          <w:szCs w:val="20"/>
        </w:rPr>
        <w:t>sources</w:t>
      </w:r>
      <w:r w:rsidR="0072165C">
        <w:rPr>
          <w:noProof/>
          <w:lang w:bidi="bn-BD"/>
        </w:rPr>
        <w:drawing>
          <wp:anchor distT="0" distB="0" distL="114300" distR="114300" simplePos="0" relativeHeight="251674112" behindDoc="0" locked="0" layoutInCell="1" allowOverlap="1" wp14:anchorId="22EC1F19" wp14:editId="0DD4C0E5">
            <wp:simplePos x="0" y="0"/>
            <wp:positionH relativeFrom="margin">
              <wp:posOffset>6169660</wp:posOffset>
            </wp:positionH>
            <wp:positionV relativeFrom="paragraph">
              <wp:posOffset>4445</wp:posOffset>
            </wp:positionV>
            <wp:extent cx="5712460" cy="6445885"/>
            <wp:effectExtent l="0" t="0" r="2540" b="12065"/>
            <wp:wrapSquare wrapText="bothSides"/>
            <wp:docPr id="4947" name="Chart 4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DC3EBC" w:rsidRPr="00932BD1">
        <w:rPr>
          <w:rFonts w:ascii="Palatino Linotype" w:hAnsi="Palatino Linotype"/>
          <w:sz w:val="24"/>
          <w:szCs w:val="20"/>
        </w:rPr>
        <w:t>. Survey</w:t>
      </w:r>
      <w:r w:rsidR="00B91155">
        <w:rPr>
          <w:rFonts w:ascii="Palatino Linotype" w:hAnsi="Palatino Linotype"/>
          <w:sz w:val="24"/>
          <w:szCs w:val="20"/>
        </w:rPr>
        <w:t>/census</w:t>
      </w:r>
      <w:r w:rsidR="00DC3EBC" w:rsidRPr="00932BD1">
        <w:rPr>
          <w:rFonts w:ascii="Palatino Linotype" w:hAnsi="Palatino Linotype"/>
          <w:sz w:val="24"/>
          <w:szCs w:val="20"/>
        </w:rPr>
        <w:t xml:space="preserve"> data composes of the second most data source</w:t>
      </w:r>
      <w:r w:rsidR="00B91155">
        <w:rPr>
          <w:rFonts w:ascii="Palatino Linotype" w:hAnsi="Palatino Linotype"/>
          <w:sz w:val="24"/>
          <w:szCs w:val="20"/>
        </w:rPr>
        <w:t>s</w:t>
      </w:r>
      <w:r w:rsidR="00DC3EBC" w:rsidRPr="00932BD1">
        <w:rPr>
          <w:rFonts w:ascii="Palatino Linotype" w:hAnsi="Palatino Linotype"/>
          <w:sz w:val="24"/>
          <w:szCs w:val="20"/>
        </w:rPr>
        <w:t xml:space="preserve"> and</w:t>
      </w:r>
      <w:r w:rsidR="00B91155">
        <w:rPr>
          <w:rFonts w:ascii="Palatino Linotype" w:hAnsi="Palatino Linotype"/>
          <w:sz w:val="24"/>
          <w:szCs w:val="20"/>
        </w:rPr>
        <w:t xml:space="preserve"> almost all of</w:t>
      </w:r>
      <w:r w:rsidR="00DC3EBC" w:rsidRPr="00932BD1">
        <w:rPr>
          <w:rFonts w:ascii="Palatino Linotype" w:hAnsi="Palatino Linotype"/>
          <w:sz w:val="24"/>
          <w:szCs w:val="20"/>
        </w:rPr>
        <w:t xml:space="preserve"> the survey</w:t>
      </w:r>
      <w:r w:rsidR="00B91155">
        <w:rPr>
          <w:rFonts w:ascii="Palatino Linotype" w:hAnsi="Palatino Linotype"/>
          <w:sz w:val="24"/>
          <w:szCs w:val="20"/>
        </w:rPr>
        <w:t>/census</w:t>
      </w:r>
      <w:r w:rsidR="00DC3EBC" w:rsidRPr="00932BD1">
        <w:rPr>
          <w:rFonts w:ascii="Palatino Linotype" w:hAnsi="Palatino Linotype"/>
          <w:sz w:val="24"/>
          <w:szCs w:val="20"/>
        </w:rPr>
        <w:t xml:space="preserve"> data will be provided by Bangladesh Bureau of Statistics</w:t>
      </w:r>
      <w:r w:rsidR="00B91155">
        <w:rPr>
          <w:rFonts w:ascii="Palatino Linotype" w:hAnsi="Palatino Linotype"/>
          <w:sz w:val="24"/>
          <w:szCs w:val="20"/>
        </w:rPr>
        <w:t xml:space="preserve"> (BBS)</w:t>
      </w:r>
      <w:r w:rsidR="00DC3EBC" w:rsidRPr="00932BD1">
        <w:rPr>
          <w:rFonts w:ascii="Palatino Linotype" w:hAnsi="Palatino Linotype"/>
          <w:sz w:val="24"/>
          <w:szCs w:val="20"/>
        </w:rPr>
        <w:t xml:space="preserve">. </w:t>
      </w:r>
      <w:r w:rsidR="00B91155">
        <w:rPr>
          <w:rFonts w:ascii="Palatino Linotype" w:hAnsi="Palatino Linotype"/>
          <w:sz w:val="24"/>
          <w:szCs w:val="20"/>
        </w:rPr>
        <w:t xml:space="preserve">Data </w:t>
      </w:r>
      <w:r w:rsidR="00DC3EBC" w:rsidRPr="00932BD1">
        <w:rPr>
          <w:rFonts w:ascii="Palatino Linotype" w:hAnsi="Palatino Linotype"/>
          <w:sz w:val="24"/>
          <w:szCs w:val="20"/>
        </w:rPr>
        <w:t xml:space="preserve">27 indictors will be </w:t>
      </w:r>
      <w:r w:rsidR="00B91155">
        <w:rPr>
          <w:rFonts w:ascii="Palatino Linotype" w:hAnsi="Palatino Linotype"/>
          <w:sz w:val="24"/>
          <w:szCs w:val="20"/>
        </w:rPr>
        <w:t>generated</w:t>
      </w:r>
      <w:r w:rsidR="00DC3EBC" w:rsidRPr="00932BD1">
        <w:rPr>
          <w:rFonts w:ascii="Palatino Linotype" w:hAnsi="Palatino Linotype"/>
          <w:sz w:val="24"/>
          <w:szCs w:val="20"/>
        </w:rPr>
        <w:t xml:space="preserve"> from </w:t>
      </w:r>
      <w:r w:rsidR="00B91155">
        <w:rPr>
          <w:rFonts w:ascii="Palatino Linotype" w:hAnsi="Palatino Linotype"/>
          <w:sz w:val="24"/>
          <w:szCs w:val="20"/>
        </w:rPr>
        <w:t>multiple</w:t>
      </w:r>
      <w:r w:rsidR="00DC3EBC" w:rsidRPr="00932BD1">
        <w:rPr>
          <w:rFonts w:ascii="Palatino Linotype" w:hAnsi="Palatino Linotype"/>
          <w:sz w:val="24"/>
          <w:szCs w:val="20"/>
        </w:rPr>
        <w:t xml:space="preserve"> data sources</w:t>
      </w:r>
      <w:r w:rsidR="00B91155">
        <w:rPr>
          <w:rFonts w:ascii="Palatino Linotype" w:hAnsi="Palatino Linotype"/>
          <w:sz w:val="24"/>
          <w:szCs w:val="20"/>
        </w:rPr>
        <w:t xml:space="preserve"> or in combination of different sources</w:t>
      </w:r>
      <w:r w:rsidR="00DC3EBC" w:rsidRPr="00932BD1">
        <w:rPr>
          <w:rFonts w:ascii="Palatino Linotype" w:hAnsi="Palatino Linotype"/>
          <w:sz w:val="24"/>
          <w:szCs w:val="20"/>
        </w:rPr>
        <w:t xml:space="preserve">. </w:t>
      </w:r>
      <w:r w:rsidR="00B91155">
        <w:rPr>
          <w:rFonts w:ascii="Palatino Linotype" w:hAnsi="Palatino Linotype"/>
          <w:sz w:val="24"/>
          <w:szCs w:val="20"/>
        </w:rPr>
        <w:t>About 9 indicators will be generated through innovative data approaches through big data initiatives including machine learning, artificial intelligence, internet of things etc.</w:t>
      </w:r>
    </w:p>
    <w:p w14:paraId="185FC91D" w14:textId="77777777" w:rsidR="0072165C" w:rsidRDefault="0072165C" w:rsidP="00DC3EBC">
      <w:pPr>
        <w:jc w:val="both"/>
        <w:rPr>
          <w:rFonts w:ascii="Palatino Linotype" w:hAnsi="Palatino Linotype"/>
          <w:b/>
          <w:bCs/>
          <w:sz w:val="24"/>
          <w:szCs w:val="20"/>
        </w:rPr>
      </w:pPr>
    </w:p>
    <w:p w14:paraId="481C6B28" w14:textId="4F3AA885" w:rsidR="0072165C" w:rsidRPr="0012153B" w:rsidRDefault="0072165C" w:rsidP="00DC3EBC">
      <w:pPr>
        <w:jc w:val="both"/>
        <w:rPr>
          <w:rFonts w:ascii="Palatino Linotype" w:hAnsi="Palatino Linotype"/>
          <w:b/>
          <w:color w:val="0070C0"/>
          <w:sz w:val="28"/>
          <w:szCs w:val="22"/>
        </w:rPr>
        <w:sectPr w:rsidR="0072165C" w:rsidRPr="0012153B" w:rsidSect="00D46636">
          <w:type w:val="continuous"/>
          <w:pgSz w:w="20160" w:h="12240" w:orient="landscape" w:code="5"/>
          <w:pgMar w:top="720" w:right="720" w:bottom="720" w:left="720" w:header="720" w:footer="720" w:gutter="0"/>
          <w:cols w:num="2" w:space="720"/>
          <w:docGrid w:linePitch="360"/>
        </w:sectPr>
      </w:pPr>
      <w:r w:rsidRPr="0012153B">
        <w:rPr>
          <w:rFonts w:ascii="Palatino Linotype" w:hAnsi="Palatino Linotype"/>
          <w:b/>
          <w:color w:val="0070C0"/>
          <w:sz w:val="28"/>
          <w:szCs w:val="22"/>
        </w:rPr>
        <w:t>Minimum Disaggregation</w:t>
      </w:r>
    </w:p>
    <w:p w14:paraId="7133614D" w14:textId="0EBD5C00" w:rsidR="00DC3EBC" w:rsidRDefault="0072165C" w:rsidP="00DC3EBC">
      <w:pPr>
        <w:jc w:val="both"/>
        <w:rPr>
          <w:szCs w:val="20"/>
        </w:rPr>
      </w:pPr>
      <w:r>
        <w:rPr>
          <w:noProof/>
          <w:szCs w:val="20"/>
          <w:lang w:bidi="bn-BD"/>
        </w:rPr>
        <w:lastRenderedPageBreak/>
        <w:drawing>
          <wp:anchor distT="0" distB="0" distL="114300" distR="114300" simplePos="0" relativeHeight="251762176" behindDoc="0" locked="0" layoutInCell="1" allowOverlap="1" wp14:anchorId="08140A7F" wp14:editId="0E8032D1">
            <wp:simplePos x="0" y="0"/>
            <wp:positionH relativeFrom="margin">
              <wp:align>left</wp:align>
            </wp:positionH>
            <wp:positionV relativeFrom="paragraph">
              <wp:posOffset>136525</wp:posOffset>
            </wp:positionV>
            <wp:extent cx="5766435" cy="4399280"/>
            <wp:effectExtent l="0" t="0" r="5715" b="1270"/>
            <wp:wrapSquare wrapText="bothSides"/>
            <wp:docPr id="4946" name="Chart 4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AAC1CA9" w14:textId="5FF45EBF" w:rsidR="00A63466" w:rsidRDefault="00A63466" w:rsidP="00F82F6F">
      <w:pPr>
        <w:jc w:val="both"/>
        <w:rPr>
          <w:rFonts w:ascii="Palatino Linotype" w:hAnsi="Palatino Linotype"/>
          <w:b/>
          <w:bCs/>
          <w:sz w:val="24"/>
          <w:szCs w:val="20"/>
        </w:rPr>
        <w:sectPr w:rsidR="00A63466" w:rsidSect="00D46636">
          <w:type w:val="continuous"/>
          <w:pgSz w:w="20160" w:h="12240" w:orient="landscape" w:code="5"/>
          <w:pgMar w:top="720" w:right="720" w:bottom="720" w:left="720" w:header="720" w:footer="720" w:gutter="0"/>
          <w:cols w:space="720"/>
          <w:docGrid w:linePitch="360"/>
        </w:sectPr>
      </w:pPr>
    </w:p>
    <w:p w14:paraId="41375C11" w14:textId="6E92CDB0" w:rsidR="00F82F6F" w:rsidRPr="0012153B" w:rsidRDefault="00F82F6F" w:rsidP="0012153B">
      <w:pPr>
        <w:rPr>
          <w:rFonts w:ascii="Palatino Linotype" w:hAnsi="Palatino Linotype"/>
          <w:b/>
          <w:color w:val="0070C0"/>
          <w:sz w:val="28"/>
          <w:szCs w:val="22"/>
        </w:rPr>
      </w:pPr>
      <w:r w:rsidRPr="0012153B">
        <w:rPr>
          <w:rFonts w:ascii="Palatino Linotype" w:hAnsi="Palatino Linotype"/>
          <w:b/>
          <w:color w:val="0070C0"/>
          <w:sz w:val="28"/>
          <w:szCs w:val="22"/>
        </w:rPr>
        <w:lastRenderedPageBreak/>
        <w:t>Dimensions for Generating SDGs Data</w:t>
      </w:r>
    </w:p>
    <w:p w14:paraId="414DF974" w14:textId="3AB5D247" w:rsidR="00DC3EBC" w:rsidRPr="00F82F6F" w:rsidRDefault="00DC3EBC" w:rsidP="00DC3EBC">
      <w:pPr>
        <w:jc w:val="both"/>
        <w:rPr>
          <w:rFonts w:ascii="Palatino Linotype" w:hAnsi="Palatino Linotype"/>
          <w:b/>
          <w:sz w:val="24"/>
          <w:szCs w:val="20"/>
        </w:rPr>
      </w:pPr>
      <w:r>
        <w:rPr>
          <w:rFonts w:ascii="Palatino Linotype" w:hAnsi="Palatino Linotype"/>
          <w:b/>
          <w:color w:val="000000" w:themeColor="text1"/>
          <w:sz w:val="24"/>
        </w:rPr>
        <w:t>Figure 5</w:t>
      </w:r>
      <w:r w:rsidRPr="00932BD1">
        <w:rPr>
          <w:rFonts w:ascii="Palatino Linotype" w:hAnsi="Palatino Linotype"/>
          <w:color w:val="000000" w:themeColor="text1"/>
          <w:sz w:val="32"/>
        </w:rPr>
        <w:t xml:space="preserve"> </w:t>
      </w:r>
      <w:r>
        <w:rPr>
          <w:rFonts w:ascii="Palatino Linotype" w:hAnsi="Palatino Linotype"/>
          <w:sz w:val="24"/>
          <w:szCs w:val="20"/>
        </w:rPr>
        <w:t>depicts</w:t>
      </w:r>
      <w:r w:rsidRPr="00932BD1">
        <w:rPr>
          <w:rFonts w:ascii="Palatino Linotype" w:hAnsi="Palatino Linotype"/>
          <w:sz w:val="24"/>
          <w:szCs w:val="20"/>
        </w:rPr>
        <w:t xml:space="preserve"> that different indicators are disaggregated by different demographic, geographic and other relevant measures such as gender, age group, geographical </w:t>
      </w:r>
      <w:r w:rsidR="0072165C">
        <w:rPr>
          <w:noProof/>
          <w:szCs w:val="20"/>
          <w:lang w:bidi="bn-BD"/>
        </w:rPr>
        <w:drawing>
          <wp:anchor distT="0" distB="0" distL="114300" distR="114300" simplePos="0" relativeHeight="251674624" behindDoc="1" locked="0" layoutInCell="1" allowOverlap="1" wp14:anchorId="462F89D7" wp14:editId="37AA7CD8">
            <wp:simplePos x="0" y="0"/>
            <wp:positionH relativeFrom="margin">
              <wp:align>left</wp:align>
            </wp:positionH>
            <wp:positionV relativeFrom="paragraph">
              <wp:posOffset>139700</wp:posOffset>
            </wp:positionV>
            <wp:extent cx="5703570" cy="4399915"/>
            <wp:effectExtent l="0" t="0" r="11430" b="635"/>
            <wp:wrapSquare wrapText="bothSides"/>
            <wp:docPr id="4949" name="Chart 4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932BD1">
        <w:rPr>
          <w:rFonts w:ascii="Palatino Linotype" w:hAnsi="Palatino Linotype"/>
          <w:sz w:val="24"/>
          <w:szCs w:val="20"/>
        </w:rPr>
        <w:t>region, residence and so on. Other indicators also bring economic, health-related and other relevant components like aid, financing, migration, disability type etc.</w:t>
      </w:r>
    </w:p>
    <w:p w14:paraId="6767A13E" w14:textId="62370357" w:rsidR="00DC3EBC" w:rsidRDefault="00DC3EBC" w:rsidP="00DC3EBC">
      <w:pPr>
        <w:jc w:val="both"/>
        <w:rPr>
          <w:szCs w:val="20"/>
        </w:rPr>
      </w:pPr>
    </w:p>
    <w:p w14:paraId="2ADEB228" w14:textId="706986C3" w:rsidR="00DC3EBC" w:rsidRPr="0012153B" w:rsidRDefault="00FB4665" w:rsidP="0012153B">
      <w:pPr>
        <w:rPr>
          <w:rFonts w:ascii="Palatino Linotype" w:hAnsi="Palatino Linotype"/>
          <w:b/>
          <w:color w:val="0070C0"/>
          <w:sz w:val="28"/>
          <w:szCs w:val="22"/>
        </w:rPr>
      </w:pPr>
      <w:r w:rsidRPr="0012153B">
        <w:rPr>
          <w:rFonts w:ascii="Palatino Linotype" w:hAnsi="Palatino Linotype"/>
          <w:b/>
          <w:color w:val="0070C0"/>
          <w:sz w:val="28"/>
          <w:szCs w:val="22"/>
        </w:rPr>
        <w:t>Frequency of data generation</w:t>
      </w:r>
    </w:p>
    <w:p w14:paraId="05177A47" w14:textId="5A6523C2" w:rsidR="00DC3EBC" w:rsidRDefault="00DC3EBC" w:rsidP="00DC3EBC">
      <w:pPr>
        <w:jc w:val="both"/>
        <w:rPr>
          <w:szCs w:val="20"/>
        </w:rPr>
      </w:pPr>
      <w:r w:rsidRPr="004E4DCB">
        <w:rPr>
          <w:rFonts w:ascii="Palatino Linotype" w:hAnsi="Palatino Linotype"/>
          <w:sz w:val="24"/>
          <w:szCs w:val="20"/>
        </w:rPr>
        <w:t xml:space="preserve">Indicators from different sources are expected to be evaluated in different time intervals. The indicators and other relevant measures will be evaluated </w:t>
      </w:r>
      <w:r w:rsidR="00B91155">
        <w:rPr>
          <w:rFonts w:ascii="Palatino Linotype" w:hAnsi="Palatino Linotype"/>
          <w:sz w:val="24"/>
          <w:szCs w:val="20"/>
        </w:rPr>
        <w:t xml:space="preserve">annually, </w:t>
      </w:r>
      <w:r w:rsidRPr="004E4DCB">
        <w:rPr>
          <w:rFonts w:ascii="Palatino Linotype" w:hAnsi="Palatino Linotype"/>
          <w:sz w:val="24"/>
          <w:szCs w:val="20"/>
        </w:rPr>
        <w:t>bi-</w:t>
      </w:r>
      <w:r w:rsidRPr="004E4DCB">
        <w:rPr>
          <w:rFonts w:ascii="Palatino Linotype" w:hAnsi="Palatino Linotype"/>
          <w:sz w:val="24"/>
          <w:szCs w:val="20"/>
        </w:rPr>
        <w:lastRenderedPageBreak/>
        <w:t xml:space="preserve">annually, triennially and five-yearly. </w:t>
      </w:r>
      <w:r w:rsidR="00B91155">
        <w:rPr>
          <w:rFonts w:ascii="Palatino Linotype" w:hAnsi="Palatino Linotype"/>
          <w:sz w:val="24"/>
          <w:szCs w:val="20"/>
        </w:rPr>
        <w:t xml:space="preserve">Total </w:t>
      </w:r>
      <w:r w:rsidRPr="004E4DCB">
        <w:rPr>
          <w:rFonts w:ascii="Palatino Linotype" w:hAnsi="Palatino Linotype"/>
          <w:sz w:val="24"/>
          <w:szCs w:val="20"/>
        </w:rPr>
        <w:t xml:space="preserve">125 </w:t>
      </w:r>
      <w:r w:rsidR="00B91155">
        <w:rPr>
          <w:rFonts w:ascii="Palatino Linotype" w:hAnsi="Palatino Linotype"/>
          <w:sz w:val="24"/>
          <w:szCs w:val="20"/>
        </w:rPr>
        <w:t xml:space="preserve">indicators data will be generated </w:t>
      </w:r>
      <w:r w:rsidRPr="004E4DCB">
        <w:rPr>
          <w:rFonts w:ascii="Palatino Linotype" w:hAnsi="Palatino Linotype"/>
          <w:sz w:val="24"/>
          <w:szCs w:val="20"/>
        </w:rPr>
        <w:t xml:space="preserve">annually, </w:t>
      </w:r>
      <w:r w:rsidR="0012153B">
        <w:rPr>
          <w:rFonts w:ascii="Palatino Linotype" w:hAnsi="Palatino Linotype"/>
          <w:sz w:val="24"/>
          <w:szCs w:val="20"/>
        </w:rPr>
        <w:t xml:space="preserve">followed by </w:t>
      </w:r>
      <w:r w:rsidRPr="004E4DCB">
        <w:rPr>
          <w:rFonts w:ascii="Palatino Linotype" w:hAnsi="Palatino Linotype"/>
          <w:sz w:val="24"/>
          <w:szCs w:val="20"/>
        </w:rPr>
        <w:t>92</w:t>
      </w:r>
      <w:r w:rsidR="0012153B">
        <w:rPr>
          <w:rFonts w:ascii="Palatino Linotype" w:hAnsi="Palatino Linotype"/>
          <w:sz w:val="24"/>
          <w:szCs w:val="20"/>
        </w:rPr>
        <w:t xml:space="preserve"> indicators</w:t>
      </w:r>
      <w:r w:rsidRPr="004E4DCB">
        <w:rPr>
          <w:rFonts w:ascii="Palatino Linotype" w:hAnsi="Palatino Linotype"/>
          <w:sz w:val="24"/>
          <w:szCs w:val="20"/>
        </w:rPr>
        <w:t xml:space="preserve"> triennially</w:t>
      </w:r>
      <w:r w:rsidR="0012153B">
        <w:rPr>
          <w:rFonts w:ascii="Palatino Linotype" w:hAnsi="Palatino Linotype"/>
          <w:sz w:val="24"/>
          <w:szCs w:val="20"/>
        </w:rPr>
        <w:t>,</w:t>
      </w:r>
      <w:r w:rsidRPr="004E4DCB">
        <w:rPr>
          <w:rFonts w:ascii="Palatino Linotype" w:hAnsi="Palatino Linotype"/>
          <w:sz w:val="24"/>
          <w:szCs w:val="20"/>
        </w:rPr>
        <w:t xml:space="preserve"> 19 </w:t>
      </w:r>
      <w:r w:rsidR="0012153B">
        <w:rPr>
          <w:rFonts w:ascii="Palatino Linotype" w:hAnsi="Palatino Linotype"/>
          <w:sz w:val="24"/>
          <w:szCs w:val="20"/>
        </w:rPr>
        <w:t xml:space="preserve">indicators </w:t>
      </w:r>
      <w:r w:rsidRPr="004E4DCB">
        <w:rPr>
          <w:rFonts w:ascii="Palatino Linotype" w:hAnsi="Palatino Linotype"/>
          <w:sz w:val="24"/>
          <w:szCs w:val="20"/>
        </w:rPr>
        <w:t>once in five years</w:t>
      </w:r>
      <w:r w:rsidR="0012153B">
        <w:rPr>
          <w:rFonts w:ascii="Palatino Linotype" w:hAnsi="Palatino Linotype"/>
          <w:sz w:val="24"/>
          <w:szCs w:val="20"/>
        </w:rPr>
        <w:t xml:space="preserve"> and 11 indicators </w:t>
      </w:r>
      <w:r w:rsidR="0012153B" w:rsidRPr="004E4DCB">
        <w:rPr>
          <w:rFonts w:ascii="Palatino Linotype" w:hAnsi="Palatino Linotype"/>
          <w:sz w:val="24"/>
          <w:szCs w:val="20"/>
        </w:rPr>
        <w:t xml:space="preserve">will be </w:t>
      </w:r>
      <w:r w:rsidR="0012153B">
        <w:rPr>
          <w:rFonts w:ascii="Palatino Linotype" w:hAnsi="Palatino Linotype"/>
          <w:sz w:val="24"/>
          <w:szCs w:val="20"/>
        </w:rPr>
        <w:t>generated</w:t>
      </w:r>
      <w:r w:rsidR="0012153B" w:rsidRPr="004E4DCB">
        <w:rPr>
          <w:rFonts w:ascii="Palatino Linotype" w:hAnsi="Palatino Linotype"/>
          <w:sz w:val="24"/>
          <w:szCs w:val="20"/>
        </w:rPr>
        <w:t xml:space="preserve"> bi-</w:t>
      </w:r>
      <w:r w:rsidR="0012153B">
        <w:rPr>
          <w:rFonts w:ascii="Palatino Linotype" w:hAnsi="Palatino Linotype"/>
          <w:sz w:val="24"/>
          <w:szCs w:val="20"/>
        </w:rPr>
        <w:t>annually.</w:t>
      </w:r>
    </w:p>
    <w:p w14:paraId="639F1CDE" w14:textId="3E0DEDBE" w:rsidR="00DC3EBC" w:rsidRDefault="00DC3EBC" w:rsidP="00DC3EBC">
      <w:pPr>
        <w:jc w:val="both"/>
        <w:rPr>
          <w:szCs w:val="20"/>
        </w:rPr>
      </w:pPr>
    </w:p>
    <w:p w14:paraId="01BC7A82" w14:textId="77777777" w:rsidR="0033206F" w:rsidRDefault="0072165C" w:rsidP="0033206F">
      <w:pPr>
        <w:jc w:val="both"/>
        <w:rPr>
          <w:rFonts w:ascii="Palatino Linotype" w:hAnsi="Palatino Linotype"/>
          <w:b/>
          <w:color w:val="0070C0"/>
          <w:sz w:val="28"/>
          <w:szCs w:val="22"/>
        </w:rPr>
      </w:pPr>
      <w:r>
        <w:rPr>
          <w:noProof/>
          <w:szCs w:val="20"/>
          <w:lang w:bidi="bn-BD"/>
        </w:rPr>
        <w:drawing>
          <wp:anchor distT="0" distB="0" distL="114300" distR="114300" simplePos="0" relativeHeight="251738624" behindDoc="1" locked="0" layoutInCell="1" allowOverlap="1" wp14:anchorId="418572A7" wp14:editId="038D7D51">
            <wp:simplePos x="0" y="0"/>
            <wp:positionH relativeFrom="column">
              <wp:align>right</wp:align>
            </wp:positionH>
            <wp:positionV relativeFrom="paragraph">
              <wp:posOffset>149225</wp:posOffset>
            </wp:positionV>
            <wp:extent cx="5710555" cy="4399915"/>
            <wp:effectExtent l="0" t="0" r="4445" b="635"/>
            <wp:wrapSquare wrapText="bothSides"/>
            <wp:docPr id="4948" name="Chart 4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2FF2ED5E" w14:textId="43C1ED61" w:rsidR="00B07827" w:rsidRPr="0012153B" w:rsidRDefault="0078672E" w:rsidP="0033206F">
      <w:pPr>
        <w:jc w:val="both"/>
        <w:rPr>
          <w:rFonts w:ascii="Palatino Linotype" w:hAnsi="Palatino Linotype"/>
          <w:b/>
          <w:color w:val="0070C0"/>
          <w:sz w:val="28"/>
          <w:szCs w:val="22"/>
        </w:rPr>
      </w:pPr>
      <w:r w:rsidRPr="0012153B">
        <w:rPr>
          <w:rFonts w:ascii="Palatino Linotype" w:hAnsi="Palatino Linotype"/>
          <w:b/>
          <w:color w:val="0070C0"/>
          <w:sz w:val="28"/>
          <w:szCs w:val="22"/>
        </w:rPr>
        <w:t>Local Indicator Group</w:t>
      </w:r>
    </w:p>
    <w:p w14:paraId="0B740D26" w14:textId="67A27E5F" w:rsidR="0012153B" w:rsidRDefault="00B07827" w:rsidP="00B07827">
      <w:pPr>
        <w:pStyle w:val="NoSpacing"/>
        <w:jc w:val="both"/>
        <w:rPr>
          <w:rFonts w:ascii="Palatino Linotype" w:hAnsi="Palatino Linotype"/>
          <w:sz w:val="24"/>
          <w:szCs w:val="20"/>
        </w:rPr>
        <w:sectPr w:rsidR="0012153B" w:rsidSect="00D46636">
          <w:type w:val="continuous"/>
          <w:pgSz w:w="20160" w:h="12240" w:orient="landscape" w:code="5"/>
          <w:pgMar w:top="720" w:right="720" w:bottom="720" w:left="720" w:header="720" w:footer="720" w:gutter="0"/>
          <w:cols w:num="2" w:space="720"/>
          <w:docGrid w:linePitch="360"/>
        </w:sectPr>
      </w:pPr>
      <w:r w:rsidRPr="004E4DCB">
        <w:rPr>
          <w:rFonts w:ascii="Palatino Linotype" w:hAnsi="Palatino Linotype"/>
          <w:sz w:val="24"/>
          <w:szCs w:val="20"/>
        </w:rPr>
        <w:t xml:space="preserve">Indicators were broken down into 3 major groups. About 118 </w:t>
      </w:r>
      <w:r w:rsidR="0012153B">
        <w:rPr>
          <w:rFonts w:ascii="Palatino Linotype" w:hAnsi="Palatino Linotype"/>
          <w:sz w:val="24"/>
          <w:szCs w:val="20"/>
        </w:rPr>
        <w:t>indicators in Group-1</w:t>
      </w:r>
      <w:r w:rsidRPr="004E4DCB">
        <w:rPr>
          <w:rFonts w:ascii="Palatino Linotype" w:hAnsi="Palatino Linotype"/>
          <w:sz w:val="24"/>
          <w:szCs w:val="20"/>
        </w:rPr>
        <w:t xml:space="preserve"> indicators already produced by NSS and data exist for baseline report. 77 indicators in an ongoing process or could be produced within the NSDS up to 2023 named as group 2 and 31 group 3 indicators need more </w:t>
      </w:r>
      <w:r>
        <w:rPr>
          <w:rFonts w:ascii="Palatino Linotype" w:hAnsi="Palatino Linotype"/>
          <w:sz w:val="24"/>
          <w:szCs w:val="20"/>
        </w:rPr>
        <w:t>efforts (</w:t>
      </w:r>
      <w:r w:rsidR="0033206F">
        <w:rPr>
          <w:rFonts w:ascii="Palatino Linotype" w:hAnsi="Palatino Linotype"/>
          <w:sz w:val="24"/>
          <w:szCs w:val="20"/>
        </w:rPr>
        <w:t>m</w:t>
      </w:r>
      <w:r>
        <w:rPr>
          <w:rFonts w:ascii="Palatino Linotype" w:hAnsi="Palatino Linotype"/>
          <w:sz w:val="24"/>
          <w:szCs w:val="20"/>
        </w:rPr>
        <w:t xml:space="preserve">ethods, financing </w:t>
      </w:r>
      <w:r w:rsidR="0033206F">
        <w:rPr>
          <w:rFonts w:ascii="Palatino Linotype" w:hAnsi="Palatino Linotype"/>
          <w:sz w:val="24"/>
          <w:szCs w:val="20"/>
        </w:rPr>
        <w:t>etc.</w:t>
      </w:r>
      <w:r w:rsidRPr="004E4DCB">
        <w:rPr>
          <w:rFonts w:ascii="Palatino Linotype" w:hAnsi="Palatino Linotype"/>
          <w:sz w:val="24"/>
          <w:szCs w:val="20"/>
        </w:rPr>
        <w:t>).</w:t>
      </w:r>
    </w:p>
    <w:p w14:paraId="13993C36" w14:textId="644ED54A" w:rsidR="008F35D0" w:rsidRPr="0012153B" w:rsidRDefault="00425699" w:rsidP="0057283E">
      <w:pPr>
        <w:rPr>
          <w:color w:val="0070C0"/>
          <w:sz w:val="22"/>
          <w:szCs w:val="22"/>
        </w:rPr>
        <w:sectPr w:rsidR="008F35D0" w:rsidRPr="0012153B" w:rsidSect="0012153B">
          <w:pgSz w:w="20160" w:h="12240" w:orient="landscape" w:code="5"/>
          <w:pgMar w:top="720" w:right="720" w:bottom="720" w:left="720" w:header="720" w:footer="720" w:gutter="0"/>
          <w:cols w:space="720"/>
          <w:docGrid w:linePitch="360"/>
        </w:sectPr>
      </w:pPr>
      <w:r w:rsidRPr="0057283E">
        <w:rPr>
          <w:rFonts w:ascii="Palatino Linotype" w:hAnsi="Palatino Linotype"/>
          <w:noProof/>
          <w:sz w:val="24"/>
          <w:szCs w:val="20"/>
          <w:lang w:bidi="bn-BD"/>
        </w:rPr>
        <w:lastRenderedPageBreak/>
        <w:drawing>
          <wp:anchor distT="0" distB="0" distL="114300" distR="114300" simplePos="0" relativeHeight="251763200" behindDoc="1" locked="0" layoutInCell="1" allowOverlap="1" wp14:anchorId="737BA62D" wp14:editId="3F595A57">
            <wp:simplePos x="0" y="0"/>
            <wp:positionH relativeFrom="margin">
              <wp:align>right</wp:align>
            </wp:positionH>
            <wp:positionV relativeFrom="paragraph">
              <wp:posOffset>77301</wp:posOffset>
            </wp:positionV>
            <wp:extent cx="7726045" cy="4262120"/>
            <wp:effectExtent l="19050" t="19050" r="27305" b="24130"/>
            <wp:wrapSquare wrapText="bothSides"/>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26045" cy="4262120"/>
                    </a:xfrm>
                    <a:prstGeom prst="rect">
                      <a:avLst/>
                    </a:prstGeom>
                    <a:noFill/>
                    <a:ln w="12700">
                      <a:solidFill>
                        <a:srgbClr val="0070C0"/>
                      </a:solidFill>
                    </a:ln>
                  </pic:spPr>
                </pic:pic>
              </a:graphicData>
            </a:graphic>
            <wp14:sizeRelH relativeFrom="margin">
              <wp14:pctWidth>0</wp14:pctWidth>
            </wp14:sizeRelH>
            <wp14:sizeRelV relativeFrom="margin">
              <wp14:pctHeight>0</wp14:pctHeight>
            </wp14:sizeRelV>
          </wp:anchor>
        </w:drawing>
      </w:r>
      <w:r w:rsidR="0057283E">
        <w:rPr>
          <w:rFonts w:ascii="Palatino Linotype" w:hAnsi="Palatino Linotype"/>
          <w:b/>
          <w:color w:val="0070C0"/>
          <w:sz w:val="28"/>
          <w:szCs w:val="22"/>
        </w:rPr>
        <w:t>National Data Coordination Committee</w:t>
      </w:r>
    </w:p>
    <w:p w14:paraId="42A0EC4A" w14:textId="1FFDBD2B" w:rsidR="0012153B" w:rsidRDefault="0012153B" w:rsidP="00DC3EBC">
      <w:pPr>
        <w:jc w:val="both"/>
        <w:rPr>
          <w:szCs w:val="20"/>
        </w:rPr>
        <w:sectPr w:rsidR="0012153B" w:rsidSect="00D46636">
          <w:type w:val="continuous"/>
          <w:pgSz w:w="20160" w:h="12240" w:orient="landscape" w:code="5"/>
          <w:pgMar w:top="720" w:right="720" w:bottom="720" w:left="720" w:header="720" w:footer="720" w:gutter="0"/>
          <w:cols w:space="720"/>
          <w:docGrid w:linePitch="360"/>
        </w:sectPr>
      </w:pPr>
    </w:p>
    <w:p w14:paraId="2654BD93" w14:textId="754F24D4" w:rsidR="00DC3EBC" w:rsidRPr="0057283E" w:rsidRDefault="0057283E" w:rsidP="0057283E">
      <w:pPr>
        <w:jc w:val="both"/>
        <w:rPr>
          <w:rFonts w:ascii="Palatino Linotype" w:hAnsi="Palatino Linotype"/>
          <w:sz w:val="24"/>
          <w:szCs w:val="20"/>
        </w:rPr>
      </w:pPr>
      <w:r w:rsidRPr="0057283E">
        <w:rPr>
          <w:rFonts w:ascii="Palatino Linotype" w:hAnsi="Palatino Linotype"/>
          <w:sz w:val="24"/>
          <w:szCs w:val="20"/>
        </w:rPr>
        <w:lastRenderedPageBreak/>
        <w:t>National Data Coordination Committee (NDCC) has been</w:t>
      </w:r>
      <w:r w:rsidR="007D6442">
        <w:rPr>
          <w:rFonts w:ascii="Palatino Linotype" w:hAnsi="Palatino Linotype"/>
          <w:sz w:val="24"/>
          <w:szCs w:val="20"/>
        </w:rPr>
        <w:t xml:space="preserve"> </w:t>
      </w:r>
      <w:r w:rsidRPr="0057283E">
        <w:rPr>
          <w:rFonts w:ascii="Palatino Linotype" w:hAnsi="Palatino Linotype"/>
          <w:sz w:val="24"/>
          <w:szCs w:val="20"/>
        </w:rPr>
        <w:t>constituted headed by Secretary, Statistics and Informatics Division by taking/through the</w:t>
      </w:r>
      <w:r w:rsidR="007D6442">
        <w:rPr>
          <w:rFonts w:ascii="Palatino Linotype" w:hAnsi="Palatino Linotype"/>
          <w:sz w:val="24"/>
          <w:szCs w:val="20"/>
        </w:rPr>
        <w:t xml:space="preserve"> </w:t>
      </w:r>
      <w:r w:rsidRPr="0057283E">
        <w:rPr>
          <w:rFonts w:ascii="Palatino Linotype" w:hAnsi="Palatino Linotype"/>
          <w:sz w:val="24"/>
          <w:szCs w:val="20"/>
        </w:rPr>
        <w:t>representatives from all data generating agencies/ministries of the government and also</w:t>
      </w:r>
      <w:r w:rsidR="007D6442">
        <w:rPr>
          <w:rFonts w:ascii="Palatino Linotype" w:hAnsi="Palatino Linotype"/>
          <w:sz w:val="24"/>
          <w:szCs w:val="20"/>
        </w:rPr>
        <w:t xml:space="preserve"> </w:t>
      </w:r>
      <w:r w:rsidRPr="0057283E">
        <w:rPr>
          <w:rFonts w:ascii="Palatino Linotype" w:hAnsi="Palatino Linotype"/>
          <w:sz w:val="24"/>
          <w:szCs w:val="20"/>
        </w:rPr>
        <w:t>representatives from private and CSOs to streamline the data generation system, reducing the</w:t>
      </w:r>
      <w:r w:rsidR="007D6442">
        <w:rPr>
          <w:rFonts w:ascii="Palatino Linotype" w:hAnsi="Palatino Linotype"/>
          <w:sz w:val="24"/>
          <w:szCs w:val="20"/>
        </w:rPr>
        <w:t xml:space="preserve"> </w:t>
      </w:r>
      <w:r w:rsidRPr="0057283E">
        <w:rPr>
          <w:rFonts w:ascii="Palatino Linotype" w:hAnsi="Palatino Linotype"/>
          <w:sz w:val="24"/>
          <w:szCs w:val="20"/>
        </w:rPr>
        <w:t>duplicity and prioritize the areas of the survey, identify data gaps, ensure the availability of</w:t>
      </w:r>
      <w:r w:rsidR="007D6442">
        <w:rPr>
          <w:rFonts w:ascii="Palatino Linotype" w:hAnsi="Palatino Linotype"/>
          <w:sz w:val="24"/>
          <w:szCs w:val="20"/>
        </w:rPr>
        <w:t xml:space="preserve"> </w:t>
      </w:r>
      <w:r w:rsidRPr="0057283E">
        <w:rPr>
          <w:rFonts w:ascii="Palatino Linotype" w:hAnsi="Palatino Linotype"/>
          <w:sz w:val="24"/>
          <w:szCs w:val="20"/>
        </w:rPr>
        <w:t>quality data and coordinate among ministries and divisions to make data available for SDGs</w:t>
      </w:r>
      <w:r w:rsidR="007D6442">
        <w:rPr>
          <w:rFonts w:ascii="Palatino Linotype" w:hAnsi="Palatino Linotype"/>
          <w:sz w:val="24"/>
          <w:szCs w:val="20"/>
        </w:rPr>
        <w:t xml:space="preserve"> </w:t>
      </w:r>
      <w:r w:rsidRPr="0057283E">
        <w:rPr>
          <w:rFonts w:ascii="Palatino Linotype" w:hAnsi="Palatino Linotype"/>
          <w:sz w:val="24"/>
          <w:szCs w:val="20"/>
        </w:rPr>
        <w:t>and monitor other international commitments.</w:t>
      </w:r>
    </w:p>
    <w:p w14:paraId="49E0FBC1" w14:textId="7844C3A3" w:rsidR="00DC3EBC" w:rsidRDefault="00DC3EBC" w:rsidP="00DC3EBC">
      <w:pPr>
        <w:jc w:val="both"/>
        <w:rPr>
          <w:szCs w:val="20"/>
        </w:rPr>
      </w:pPr>
    </w:p>
    <w:p w14:paraId="03E712CC" w14:textId="6482A502" w:rsidR="007D6442" w:rsidRDefault="007D6442" w:rsidP="007D6442">
      <w:pPr>
        <w:jc w:val="both"/>
        <w:rPr>
          <w:rFonts w:ascii="Palatino Linotype" w:hAnsi="Palatino Linotype"/>
          <w:sz w:val="24"/>
          <w:szCs w:val="20"/>
        </w:rPr>
      </w:pPr>
      <w:r w:rsidRPr="007D6442">
        <w:rPr>
          <w:rFonts w:ascii="Palatino Linotype" w:hAnsi="Palatino Linotype"/>
          <w:sz w:val="24"/>
          <w:szCs w:val="20"/>
        </w:rPr>
        <w:t>The Government of Bangladesh has launched an online SDGs</w:t>
      </w:r>
      <w:r>
        <w:rPr>
          <w:rFonts w:ascii="Palatino Linotype" w:hAnsi="Palatino Linotype"/>
          <w:sz w:val="24"/>
          <w:szCs w:val="20"/>
        </w:rPr>
        <w:t xml:space="preserve"> </w:t>
      </w:r>
      <w:r w:rsidRPr="007D6442">
        <w:rPr>
          <w:rFonts w:ascii="Palatino Linotype" w:hAnsi="Palatino Linotype"/>
          <w:sz w:val="24"/>
          <w:szCs w:val="20"/>
        </w:rPr>
        <w:t>Tracker which is being administered by BBS backstopping IT support from a2i Programme</w:t>
      </w:r>
      <w:r>
        <w:rPr>
          <w:rFonts w:ascii="Palatino Linotype" w:hAnsi="Palatino Linotype"/>
          <w:sz w:val="24"/>
          <w:szCs w:val="20"/>
        </w:rPr>
        <w:t xml:space="preserve"> </w:t>
      </w:r>
      <w:r w:rsidRPr="007D6442">
        <w:rPr>
          <w:rFonts w:ascii="Palatino Linotype" w:hAnsi="Palatino Linotype"/>
          <w:sz w:val="24"/>
          <w:szCs w:val="20"/>
        </w:rPr>
        <w:t>where all the data generating ministries are connected to provide data on the platform. In</w:t>
      </w:r>
      <w:r>
        <w:rPr>
          <w:rFonts w:ascii="Palatino Linotype" w:hAnsi="Palatino Linotype"/>
          <w:sz w:val="24"/>
          <w:szCs w:val="20"/>
        </w:rPr>
        <w:t xml:space="preserve"> </w:t>
      </w:r>
      <w:r w:rsidRPr="007D6442">
        <w:rPr>
          <w:rFonts w:ascii="Palatino Linotype" w:hAnsi="Palatino Linotype"/>
          <w:sz w:val="24"/>
          <w:szCs w:val="20"/>
        </w:rPr>
        <w:t>addition to coordination among the data providing agencies in the NSS, BBS is also providing</w:t>
      </w:r>
      <w:r>
        <w:rPr>
          <w:rFonts w:ascii="Palatino Linotype" w:hAnsi="Palatino Linotype"/>
          <w:sz w:val="24"/>
          <w:szCs w:val="20"/>
        </w:rPr>
        <w:t xml:space="preserve"> </w:t>
      </w:r>
      <w:r w:rsidRPr="007D6442">
        <w:rPr>
          <w:rFonts w:ascii="Palatino Linotype" w:hAnsi="Palatino Linotype"/>
          <w:sz w:val="24"/>
          <w:szCs w:val="20"/>
        </w:rPr>
        <w:t>technical support and training on metadata in light of their responsibility in data generation.</w:t>
      </w:r>
    </w:p>
    <w:p w14:paraId="03013697" w14:textId="77777777" w:rsidR="00425699" w:rsidRPr="007D6442" w:rsidRDefault="00425699" w:rsidP="007D6442">
      <w:pPr>
        <w:jc w:val="both"/>
        <w:rPr>
          <w:rFonts w:ascii="Palatino Linotype" w:hAnsi="Palatino Linotype"/>
          <w:sz w:val="24"/>
          <w:szCs w:val="20"/>
        </w:rPr>
      </w:pPr>
    </w:p>
    <w:p w14:paraId="56D2028A" w14:textId="77777777" w:rsidR="00724096" w:rsidRDefault="00425699" w:rsidP="00425699">
      <w:pPr>
        <w:jc w:val="both"/>
        <w:rPr>
          <w:rFonts w:ascii="Palatino Linotype" w:hAnsi="Palatino Linotype"/>
          <w:sz w:val="24"/>
          <w:szCs w:val="20"/>
        </w:rPr>
        <w:sectPr w:rsidR="00724096" w:rsidSect="007D6442">
          <w:type w:val="continuous"/>
          <w:pgSz w:w="20160" w:h="12240" w:orient="landscape" w:code="5"/>
          <w:pgMar w:top="720" w:right="720" w:bottom="720" w:left="720" w:header="720" w:footer="720" w:gutter="0"/>
          <w:cols w:num="2" w:space="720" w:equalWidth="0">
            <w:col w:w="5760" w:space="720"/>
            <w:col w:w="12240"/>
          </w:cols>
          <w:docGrid w:linePitch="360"/>
        </w:sectPr>
      </w:pPr>
      <w:r>
        <w:rPr>
          <w:rFonts w:ascii="Palatino Linotype" w:hAnsi="Palatino Linotype"/>
          <w:sz w:val="24"/>
          <w:szCs w:val="20"/>
        </w:rPr>
        <w:t xml:space="preserve">According to the Statistics Act, 2013, BBS, as the NSO is mandated to authenticate all the official statistics generated for national and international reporting. Besides, </w:t>
      </w:r>
      <w:r w:rsidR="007D6442" w:rsidRPr="007D6442">
        <w:rPr>
          <w:rFonts w:ascii="Palatino Linotype" w:hAnsi="Palatino Linotype"/>
          <w:sz w:val="24"/>
          <w:szCs w:val="20"/>
        </w:rPr>
        <w:t xml:space="preserve">BBS is the authority to </w:t>
      </w:r>
      <w:r>
        <w:rPr>
          <w:rFonts w:ascii="Palatino Linotype" w:hAnsi="Palatino Linotype"/>
          <w:sz w:val="24"/>
          <w:szCs w:val="20"/>
        </w:rPr>
        <w:t>authenticate</w:t>
      </w:r>
      <w:r w:rsidR="007D6442" w:rsidRPr="007D6442">
        <w:rPr>
          <w:rFonts w:ascii="Palatino Linotype" w:hAnsi="Palatino Linotype"/>
          <w:sz w:val="24"/>
          <w:szCs w:val="20"/>
        </w:rPr>
        <w:t xml:space="preserve"> of data provided by the</w:t>
      </w:r>
      <w:r>
        <w:rPr>
          <w:rFonts w:ascii="Palatino Linotype" w:hAnsi="Palatino Linotype"/>
          <w:sz w:val="24"/>
          <w:szCs w:val="20"/>
        </w:rPr>
        <w:t xml:space="preserve"> data</w:t>
      </w:r>
      <w:r w:rsidR="007D6442" w:rsidRPr="007D6442">
        <w:rPr>
          <w:rFonts w:ascii="Palatino Linotype" w:hAnsi="Palatino Linotype"/>
          <w:sz w:val="24"/>
          <w:szCs w:val="20"/>
        </w:rPr>
        <w:t xml:space="preserve"> focal points</w:t>
      </w:r>
      <w:r>
        <w:rPr>
          <w:rFonts w:ascii="Palatino Linotype" w:hAnsi="Palatino Linotype"/>
          <w:sz w:val="24"/>
          <w:szCs w:val="20"/>
        </w:rPr>
        <w:t xml:space="preserve"> for SDG Tracker from </w:t>
      </w:r>
      <w:r w:rsidR="007D6442" w:rsidRPr="007D6442">
        <w:rPr>
          <w:rFonts w:ascii="Palatino Linotype" w:hAnsi="Palatino Linotype"/>
          <w:sz w:val="24"/>
          <w:szCs w:val="20"/>
        </w:rPr>
        <w:t>166 of different</w:t>
      </w:r>
      <w:r>
        <w:rPr>
          <w:rFonts w:ascii="Palatino Linotype" w:hAnsi="Palatino Linotype"/>
          <w:sz w:val="24"/>
          <w:szCs w:val="20"/>
        </w:rPr>
        <w:t xml:space="preserve"> ministries/divisions/agencies</w:t>
      </w:r>
      <w:r w:rsidR="007D6442" w:rsidRPr="007D6442">
        <w:rPr>
          <w:rFonts w:ascii="Palatino Linotype" w:hAnsi="Palatino Linotype"/>
          <w:sz w:val="24"/>
          <w:szCs w:val="20"/>
        </w:rPr>
        <w:t>.</w:t>
      </w:r>
      <w:r>
        <w:rPr>
          <w:rFonts w:ascii="Palatino Linotype" w:hAnsi="Palatino Linotype"/>
          <w:sz w:val="24"/>
          <w:szCs w:val="20"/>
        </w:rPr>
        <w:t xml:space="preserve"> </w:t>
      </w:r>
      <w:proofErr w:type="gramStart"/>
      <w:r w:rsidR="007D6442" w:rsidRPr="007D6442">
        <w:rPr>
          <w:rFonts w:ascii="Palatino Linotype" w:hAnsi="Palatino Linotype"/>
          <w:sz w:val="24"/>
          <w:szCs w:val="20"/>
        </w:rPr>
        <w:t>A technical working committee, headed by</w:t>
      </w:r>
      <w:r>
        <w:rPr>
          <w:rFonts w:ascii="Palatino Linotype" w:hAnsi="Palatino Linotype"/>
          <w:sz w:val="24"/>
          <w:szCs w:val="20"/>
        </w:rPr>
        <w:t xml:space="preserve"> </w:t>
      </w:r>
      <w:r w:rsidR="007D6442" w:rsidRPr="007D6442">
        <w:rPr>
          <w:rFonts w:ascii="Palatino Linotype" w:hAnsi="Palatino Linotype"/>
          <w:sz w:val="24"/>
          <w:szCs w:val="20"/>
        </w:rPr>
        <w:t>Director General of BBS review</w:t>
      </w:r>
      <w:r>
        <w:rPr>
          <w:rFonts w:ascii="Palatino Linotype" w:hAnsi="Palatino Linotype"/>
          <w:sz w:val="24"/>
          <w:szCs w:val="20"/>
        </w:rPr>
        <w:t>s</w:t>
      </w:r>
      <w:r w:rsidR="007D6442" w:rsidRPr="007D6442">
        <w:rPr>
          <w:rFonts w:ascii="Palatino Linotype" w:hAnsi="Palatino Linotype"/>
          <w:sz w:val="24"/>
          <w:szCs w:val="20"/>
        </w:rPr>
        <w:t xml:space="preserve"> and authenticate</w:t>
      </w:r>
      <w:proofErr w:type="gramEnd"/>
      <w:r>
        <w:rPr>
          <w:rFonts w:ascii="Palatino Linotype" w:hAnsi="Palatino Linotype"/>
          <w:sz w:val="24"/>
          <w:szCs w:val="20"/>
        </w:rPr>
        <w:t xml:space="preserve"> all</w:t>
      </w:r>
      <w:r w:rsidR="007D6442" w:rsidRPr="007D6442">
        <w:rPr>
          <w:rFonts w:ascii="Palatino Linotype" w:hAnsi="Palatino Linotype"/>
          <w:sz w:val="24"/>
          <w:szCs w:val="20"/>
        </w:rPr>
        <w:t xml:space="preserve"> the data submitted </w:t>
      </w:r>
      <w:r>
        <w:rPr>
          <w:rFonts w:ascii="Palatino Linotype" w:hAnsi="Palatino Linotype"/>
          <w:sz w:val="24"/>
          <w:szCs w:val="20"/>
        </w:rPr>
        <w:t>to</w:t>
      </w:r>
      <w:r w:rsidR="007D6442" w:rsidRPr="007D6442">
        <w:rPr>
          <w:rFonts w:ascii="Palatino Linotype" w:hAnsi="Palatino Linotype"/>
          <w:sz w:val="24"/>
          <w:szCs w:val="20"/>
        </w:rPr>
        <w:t xml:space="preserve"> the</w:t>
      </w:r>
      <w:r>
        <w:rPr>
          <w:rFonts w:ascii="Palatino Linotype" w:hAnsi="Palatino Linotype"/>
          <w:sz w:val="24"/>
          <w:szCs w:val="20"/>
        </w:rPr>
        <w:t xml:space="preserve"> </w:t>
      </w:r>
      <w:r w:rsidR="007D6442" w:rsidRPr="007D6442">
        <w:rPr>
          <w:rFonts w:ascii="Palatino Linotype" w:hAnsi="Palatino Linotype"/>
          <w:sz w:val="24"/>
          <w:szCs w:val="20"/>
        </w:rPr>
        <w:t xml:space="preserve">SDG Tracker before </w:t>
      </w:r>
      <w:r>
        <w:rPr>
          <w:rFonts w:ascii="Palatino Linotype" w:hAnsi="Palatino Linotype"/>
          <w:sz w:val="24"/>
          <w:szCs w:val="20"/>
        </w:rPr>
        <w:t>opening it publicly</w:t>
      </w:r>
      <w:r w:rsidR="007D6442" w:rsidRPr="007D6442">
        <w:rPr>
          <w:rFonts w:ascii="Palatino Linotype" w:hAnsi="Palatino Linotype"/>
          <w:sz w:val="24"/>
          <w:szCs w:val="20"/>
        </w:rPr>
        <w:t>.</w:t>
      </w:r>
      <w:r>
        <w:rPr>
          <w:rFonts w:ascii="Palatino Linotype" w:hAnsi="Palatino Linotype"/>
          <w:sz w:val="24"/>
          <w:szCs w:val="20"/>
        </w:rPr>
        <w:t xml:space="preserve"> </w:t>
      </w:r>
      <w:proofErr w:type="gramStart"/>
      <w:r w:rsidR="007D6442" w:rsidRPr="007D6442">
        <w:rPr>
          <w:rFonts w:ascii="Palatino Linotype" w:hAnsi="Palatino Linotype"/>
          <w:sz w:val="24"/>
          <w:szCs w:val="20"/>
        </w:rPr>
        <w:t xml:space="preserve">The nominated cluster focal points of BBS </w:t>
      </w:r>
      <w:r>
        <w:rPr>
          <w:rFonts w:ascii="Palatino Linotype" w:hAnsi="Palatino Linotype"/>
          <w:sz w:val="24"/>
          <w:szCs w:val="20"/>
        </w:rPr>
        <w:t>coordinates from BBS</w:t>
      </w:r>
      <w:r w:rsidR="007D6442" w:rsidRPr="007D6442">
        <w:rPr>
          <w:rFonts w:ascii="Palatino Linotype" w:hAnsi="Palatino Linotype"/>
          <w:sz w:val="24"/>
          <w:szCs w:val="20"/>
        </w:rPr>
        <w:t xml:space="preserve"> </w:t>
      </w:r>
      <w:r>
        <w:rPr>
          <w:rFonts w:ascii="Palatino Linotype" w:hAnsi="Palatino Linotype"/>
          <w:sz w:val="24"/>
          <w:szCs w:val="20"/>
        </w:rPr>
        <w:t>in generation of quality data according to the metadata guidelines</w:t>
      </w:r>
      <w:r w:rsidR="007D6442" w:rsidRPr="007D6442">
        <w:rPr>
          <w:rFonts w:ascii="Palatino Linotype" w:hAnsi="Palatino Linotype"/>
          <w:sz w:val="24"/>
          <w:szCs w:val="20"/>
        </w:rPr>
        <w:t>.</w:t>
      </w:r>
      <w:proofErr w:type="gramEnd"/>
    </w:p>
    <w:p w14:paraId="6CA7B7FA" w14:textId="77777777" w:rsidR="001F0FD8" w:rsidRDefault="00724096" w:rsidP="00667225">
      <w:pPr>
        <w:rPr>
          <w:szCs w:val="20"/>
        </w:rPr>
        <w:sectPr w:rsidR="001F0FD8" w:rsidSect="00724096">
          <w:pgSz w:w="20160" w:h="12240" w:orient="landscape" w:code="5"/>
          <w:pgMar w:top="720" w:right="720" w:bottom="720" w:left="720" w:header="720" w:footer="720" w:gutter="0"/>
          <w:cols w:num="2" w:space="720" w:equalWidth="0">
            <w:col w:w="5760" w:space="720"/>
            <w:col w:w="12240"/>
          </w:cols>
          <w:docGrid w:linePitch="360"/>
        </w:sectPr>
      </w:pPr>
      <w:r>
        <w:rPr>
          <w:noProof/>
          <w:lang w:bidi="bn-BD"/>
        </w:rPr>
        <w:lastRenderedPageBreak/>
        <mc:AlternateContent>
          <mc:Choice Requires="wps">
            <w:drawing>
              <wp:anchor distT="0" distB="0" distL="114300" distR="114300" simplePos="0" relativeHeight="251590144" behindDoc="1" locked="0" layoutInCell="1" allowOverlap="1" wp14:anchorId="7659038B" wp14:editId="708891F0">
                <wp:simplePos x="0" y="0"/>
                <wp:positionH relativeFrom="page">
                  <wp:posOffset>-457200</wp:posOffset>
                </wp:positionH>
                <wp:positionV relativeFrom="paragraph">
                  <wp:posOffset>-445933</wp:posOffset>
                </wp:positionV>
                <wp:extent cx="13235305" cy="8194675"/>
                <wp:effectExtent l="0" t="0" r="23495" b="1587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5305" cy="8194675"/>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22C934D" id="Rectangle 2" o:spid="_x0000_s1026" style="position:absolute;margin-left:-36pt;margin-top:-35.1pt;width:1042.15pt;height:645.2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" fillcolor="#c00000">
                <w10:wrap anchorx="page"/>
              </v:rect>
            </w:pict>
          </mc:Fallback>
        </mc:AlternateContent>
      </w:r>
    </w:p>
    <w:p w14:paraId="737E1271" w14:textId="7E1FB9CA" w:rsidR="00262FC1" w:rsidRPr="00262FC1" w:rsidRDefault="00262FC1" w:rsidP="00262FC1">
      <w:pPr>
        <w:jc w:val="center"/>
        <w:rPr>
          <w:sz w:val="96"/>
          <w:szCs w:val="96"/>
        </w:rPr>
      </w:pPr>
      <w:r w:rsidRPr="00262FC1">
        <w:rPr>
          <w:noProof/>
          <w:lang w:bidi="bn-BD"/>
        </w:rPr>
        <w:lastRenderedPageBreak/>
        <w:drawing>
          <wp:inline distT="0" distB="0" distL="0" distR="0" wp14:anchorId="58CB08D1" wp14:editId="17C7C634">
            <wp:extent cx="1648046" cy="1648046"/>
            <wp:effectExtent l="38100" t="3810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1128" cy="1651128"/>
                    </a:xfrm>
                    <a:prstGeom prst="rect">
                      <a:avLst/>
                    </a:prstGeom>
                    <a:ln w="38100">
                      <a:solidFill>
                        <a:schemeClr val="bg1"/>
                      </a:solidFill>
                    </a:ln>
                  </pic:spPr>
                </pic:pic>
              </a:graphicData>
            </a:graphic>
          </wp:inline>
        </w:drawing>
      </w:r>
      <w:r>
        <w:t xml:space="preserve">  </w:t>
      </w:r>
      <w:r w:rsidRPr="00BC08EA">
        <w:rPr>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End Poverty in all its forms everywhere</w:t>
      </w:r>
    </w:p>
    <w:p w14:paraId="4696658C" w14:textId="77777777" w:rsidR="00D2173E" w:rsidRDefault="00D2173E" w:rsidP="00262FC1">
      <w:pPr>
        <w:jc w:val="center"/>
        <w:rPr>
          <w:color w:val="FFFFFF" w:themeColor="background1"/>
          <w:sz w:val="54"/>
          <w:szCs w:val="54"/>
        </w:rPr>
      </w:pPr>
    </w:p>
    <w:p w14:paraId="7304D63C" w14:textId="2C821CFA" w:rsidR="008F35D0" w:rsidRDefault="008F35D0" w:rsidP="00262FC1">
      <w:pPr>
        <w:jc w:val="center"/>
        <w:rPr>
          <w:color w:val="FFFFFF" w:themeColor="background1"/>
          <w:sz w:val="54"/>
          <w:szCs w:val="54"/>
        </w:rPr>
      </w:pPr>
    </w:p>
    <w:p w14:paraId="22895C84" w14:textId="77777777" w:rsidR="001F0FD8" w:rsidRDefault="00262FC1" w:rsidP="00262FC1">
      <w:pPr>
        <w:jc w:val="center"/>
        <w:rPr>
          <w:color w:val="FFFFFF" w:themeColor="background1"/>
          <w:sz w:val="54"/>
          <w:szCs w:val="54"/>
        </w:rPr>
        <w:sectPr w:rsidR="001F0FD8" w:rsidSect="001F0FD8">
          <w:type w:val="continuous"/>
          <w:pgSz w:w="20160" w:h="12240" w:orient="landscape" w:code="5"/>
          <w:pgMar w:top="720" w:right="720" w:bottom="720" w:left="720" w:header="720" w:footer="720" w:gutter="0"/>
          <w:cols w:space="720"/>
          <w:docGrid w:linePitch="360"/>
        </w:sectPr>
      </w:pPr>
      <w:r w:rsidRPr="00D2173E">
        <w:rPr>
          <w:color w:val="FFFFFF" w:themeColor="background1"/>
          <w:sz w:val="54"/>
          <w:szCs w:val="54"/>
        </w:rPr>
        <w:t>Total Target 7, Total Indicator</w:t>
      </w:r>
      <w:r w:rsidR="00D2173E" w:rsidRPr="00D2173E">
        <w:rPr>
          <w:color w:val="FFFFFF" w:themeColor="background1"/>
          <w:sz w:val="54"/>
          <w:szCs w:val="54"/>
        </w:rPr>
        <w:t>s</w:t>
      </w:r>
      <w:r w:rsidRPr="00D2173E">
        <w:rPr>
          <w:color w:val="FFFFFF" w:themeColor="background1"/>
          <w:sz w:val="54"/>
          <w:szCs w:val="54"/>
        </w:rPr>
        <w:t>: 14</w:t>
      </w:r>
    </w:p>
    <w:p w14:paraId="12C2864D" w14:textId="7949E2A9" w:rsidR="00262FC1" w:rsidRPr="00D2173E" w:rsidRDefault="00262FC1" w:rsidP="00262FC1">
      <w:pPr>
        <w:jc w:val="center"/>
        <w:rPr>
          <w:color w:val="FFFFFF" w:themeColor="background1"/>
          <w:sz w:val="54"/>
          <w:szCs w:val="54"/>
        </w:rPr>
      </w:pPr>
    </w:p>
    <w:p w14:paraId="4BA6F4AA" w14:textId="3379EDD9" w:rsidR="00262FC1" w:rsidRDefault="0085651F" w:rsidP="00262FC1">
      <w:pPr>
        <w:jc w:val="center"/>
      </w:pPr>
      <w:r w:rsidRPr="00262FC1">
        <w:rPr>
          <w:noProof/>
          <w:shd w:val="clear" w:color="auto" w:fill="00B050"/>
          <w:lang w:bidi="bn-BD"/>
        </w:rPr>
        <w:drawing>
          <wp:anchor distT="0" distB="0" distL="114300" distR="114300" simplePos="0" relativeHeight="251753984" behindDoc="0" locked="0" layoutInCell="1" allowOverlap="1" wp14:anchorId="2D934941" wp14:editId="0F7EB13A">
            <wp:simplePos x="0" y="0"/>
            <wp:positionH relativeFrom="margin">
              <wp:posOffset>4324803</wp:posOffset>
            </wp:positionH>
            <wp:positionV relativeFrom="paragraph">
              <wp:posOffset>8255</wp:posOffset>
            </wp:positionV>
            <wp:extent cx="3474720" cy="2468880"/>
            <wp:effectExtent l="0" t="0" r="11430" b="762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262FC1">
        <w:rPr>
          <w:noProof/>
          <w:shd w:val="clear" w:color="auto" w:fill="00B050"/>
          <w:lang w:bidi="bn-BD"/>
        </w:rPr>
        <w:drawing>
          <wp:anchor distT="0" distB="0" distL="114300" distR="114300" simplePos="0" relativeHeight="251752960" behindDoc="0" locked="0" layoutInCell="1" allowOverlap="1" wp14:anchorId="2A994E2B" wp14:editId="263186C7">
            <wp:simplePos x="0" y="0"/>
            <wp:positionH relativeFrom="margin">
              <wp:align>right</wp:align>
            </wp:positionH>
            <wp:positionV relativeFrom="paragraph">
              <wp:posOffset>4445</wp:posOffset>
            </wp:positionV>
            <wp:extent cx="3474720" cy="2468880"/>
            <wp:effectExtent l="0" t="0" r="11430" b="762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8F35D0" w:rsidRPr="00262FC1">
        <w:rPr>
          <w:noProof/>
          <w:shd w:val="clear" w:color="auto" w:fill="00B050"/>
          <w:lang w:bidi="bn-BD"/>
        </w:rPr>
        <w:drawing>
          <wp:anchor distT="0" distB="0" distL="114300" distR="114300" simplePos="0" relativeHeight="251751936" behindDoc="0" locked="0" layoutInCell="1" allowOverlap="1" wp14:anchorId="7E6F9147" wp14:editId="1E52E097">
            <wp:simplePos x="0" y="0"/>
            <wp:positionH relativeFrom="column">
              <wp:posOffset>279400</wp:posOffset>
            </wp:positionH>
            <wp:positionV relativeFrom="paragraph">
              <wp:posOffset>8255</wp:posOffset>
            </wp:positionV>
            <wp:extent cx="3474720" cy="2468880"/>
            <wp:effectExtent l="0" t="0" r="11430" b="762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333D00">
        <w:t xml:space="preserve">     </w:t>
      </w:r>
      <w:r w:rsidR="00262FC1">
        <w:t xml:space="preserve">    </w:t>
      </w:r>
      <w:r w:rsidR="00333D00">
        <w:t xml:space="preserve">         </w:t>
      </w:r>
    </w:p>
    <w:p w14:paraId="5F04FC8A" w14:textId="77777777" w:rsidR="00262FC1" w:rsidRDefault="00262FC1">
      <w:r>
        <w:br w:type="page"/>
      </w:r>
    </w:p>
    <w:p w14:paraId="5D5931B8" w14:textId="77777777" w:rsidR="00CC78FC" w:rsidRDefault="00CC78FC">
      <w:r>
        <w:lastRenderedPageBreak/>
        <w:br w:type="page"/>
      </w:r>
    </w:p>
    <w:p w14:paraId="75191FCD" w14:textId="77777777" w:rsidR="001F0FD8" w:rsidRDefault="001F0FD8" w:rsidP="005E0507">
      <w:pPr>
        <w:ind w:right="450"/>
        <w:jc w:val="both"/>
        <w:rPr>
          <w:color w:val="0070C0"/>
          <w:sz w:val="48"/>
          <w:szCs w:val="48"/>
        </w:rPr>
        <w:sectPr w:rsidR="001F0FD8" w:rsidSect="001F0FD8">
          <w:type w:val="continuous"/>
          <w:pgSz w:w="20160" w:h="12240" w:orient="landscape" w:code="5"/>
          <w:pgMar w:top="720" w:right="720" w:bottom="720" w:left="720" w:header="720" w:footer="720" w:gutter="0"/>
          <w:cols w:space="720"/>
          <w:docGrid w:linePitch="360"/>
        </w:sectPr>
      </w:pPr>
    </w:p>
    <w:p w14:paraId="41D535C9" w14:textId="0AAEF5D2" w:rsidR="00262FC1" w:rsidRPr="007B1DFD" w:rsidRDefault="00BB3B57" w:rsidP="005E0507">
      <w:pPr>
        <w:ind w:right="450"/>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0" w:type="auto"/>
        <w:tblInd w:w="108" w:type="dxa"/>
        <w:tblLayout w:type="fixed"/>
        <w:tblLook w:val="04A0" w:firstRow="1" w:lastRow="0" w:firstColumn="1" w:lastColumn="0" w:noHBand="0" w:noVBand="1"/>
      </w:tblPr>
      <w:tblGrid>
        <w:gridCol w:w="1597"/>
        <w:gridCol w:w="16990"/>
      </w:tblGrid>
      <w:tr w:rsidR="00CC78FC" w14:paraId="4824C979" w14:textId="77777777" w:rsidTr="001F0FD8">
        <w:trPr>
          <w:trHeight w:val="1262"/>
        </w:trPr>
        <w:tc>
          <w:tcPr>
            <w:tcW w:w="1597" w:type="dxa"/>
            <w:tcBorders>
              <w:left w:val="single" w:sz="4" w:space="0" w:color="C00000"/>
              <w:bottom w:val="single" w:sz="4" w:space="0" w:color="C00000"/>
            </w:tcBorders>
          </w:tcPr>
          <w:p w14:paraId="2B7D46F9" w14:textId="77777777" w:rsidR="00CC78FC" w:rsidRDefault="00CC78FC" w:rsidP="00815741">
            <w:pPr>
              <w:jc w:val="center"/>
              <w:rPr>
                <w:color w:val="C00000"/>
                <w:sz w:val="48"/>
                <w:szCs w:val="48"/>
              </w:rPr>
            </w:pPr>
            <w:r w:rsidRPr="00262FC1">
              <w:rPr>
                <w:noProof/>
                <w:lang w:bidi="bn-BD"/>
              </w:rPr>
              <w:drawing>
                <wp:inline distT="0" distB="0" distL="0" distR="0" wp14:anchorId="1E70FD7C" wp14:editId="6BECE025">
                  <wp:extent cx="812800" cy="812800"/>
                  <wp:effectExtent l="38100" t="38100" r="44450" b="44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1148" cy="821148"/>
                          </a:xfrm>
                          <a:prstGeom prst="rect">
                            <a:avLst/>
                          </a:prstGeom>
                          <a:ln w="38100">
                            <a:solidFill>
                              <a:schemeClr val="bg1"/>
                            </a:solidFill>
                          </a:ln>
                        </pic:spPr>
                      </pic:pic>
                    </a:graphicData>
                  </a:graphic>
                </wp:inline>
              </w:drawing>
            </w:r>
          </w:p>
        </w:tc>
        <w:tc>
          <w:tcPr>
            <w:tcW w:w="16990" w:type="dxa"/>
            <w:shd w:val="clear" w:color="auto" w:fill="C00000"/>
            <w:vAlign w:val="center"/>
          </w:tcPr>
          <w:p w14:paraId="001887F7" w14:textId="77777777" w:rsidR="00CC78FC" w:rsidRDefault="00CC78FC" w:rsidP="00CC78FC">
            <w:pPr>
              <w:jc w:val="both"/>
              <w:rPr>
                <w:color w:val="C00000"/>
                <w:sz w:val="48"/>
                <w:szCs w:val="48"/>
              </w:rPr>
            </w:pPr>
            <w:r w:rsidRPr="00BC08EA">
              <w:rPr>
                <w:color w:val="FFFFFF" w:themeColor="background1"/>
                <w:sz w:val="84"/>
                <w:szCs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End Poverty in all its forms everywhere</w:t>
            </w:r>
          </w:p>
        </w:tc>
      </w:tr>
    </w:tbl>
    <w:p w14:paraId="46521062" w14:textId="77777777" w:rsidR="00CC78FC" w:rsidRDefault="00CC78FC" w:rsidP="00CC78FC">
      <w:pPr>
        <w:jc w:val="both"/>
        <w:rPr>
          <w:color w:val="C00000"/>
          <w:sz w:val="30"/>
          <w:szCs w:val="30"/>
        </w:rPr>
      </w:pPr>
    </w:p>
    <w:tbl>
      <w:tblPr>
        <w:tblStyle w:val="TableGrid"/>
        <w:tblW w:w="0" w:type="auto"/>
        <w:tblLook w:val="04A0" w:firstRow="1" w:lastRow="0" w:firstColumn="1" w:lastColumn="0" w:noHBand="0" w:noVBand="1"/>
      </w:tblPr>
      <w:tblGrid>
        <w:gridCol w:w="987"/>
        <w:gridCol w:w="791"/>
        <w:gridCol w:w="1047"/>
        <w:gridCol w:w="6614"/>
        <w:gridCol w:w="1553"/>
        <w:gridCol w:w="1009"/>
        <w:gridCol w:w="946"/>
        <w:gridCol w:w="1030"/>
        <w:gridCol w:w="1454"/>
        <w:gridCol w:w="848"/>
        <w:gridCol w:w="736"/>
        <w:gridCol w:w="763"/>
        <w:gridCol w:w="1158"/>
      </w:tblGrid>
      <w:tr w:rsidR="00297195" w:rsidRPr="00EF4362" w14:paraId="62744F16" w14:textId="77777777" w:rsidTr="0085651F">
        <w:trPr>
          <w:tblHeader/>
        </w:trPr>
        <w:tc>
          <w:tcPr>
            <w:tcW w:w="0" w:type="auto"/>
            <w:shd w:val="clear" w:color="auto" w:fill="DDD9C3" w:themeFill="background2" w:themeFillShade="E6"/>
            <w:vAlign w:val="center"/>
          </w:tcPr>
          <w:p w14:paraId="554B5684" w14:textId="77777777" w:rsidR="00297195" w:rsidRPr="00EF4362" w:rsidRDefault="00297195" w:rsidP="00062516">
            <w:pPr>
              <w:jc w:val="center"/>
              <w:rPr>
                <w:b/>
                <w:bCs/>
                <w:szCs w:val="20"/>
              </w:rPr>
            </w:pPr>
            <w:r w:rsidRPr="00EF4362">
              <w:rPr>
                <w:b/>
                <w:bCs/>
                <w:szCs w:val="20"/>
              </w:rPr>
              <w:t>Goals and targets and Indicators</w:t>
            </w:r>
          </w:p>
        </w:tc>
        <w:tc>
          <w:tcPr>
            <w:tcW w:w="0" w:type="auto"/>
            <w:shd w:val="clear" w:color="auto" w:fill="DDD9C3" w:themeFill="background2" w:themeFillShade="E6"/>
            <w:vAlign w:val="center"/>
          </w:tcPr>
          <w:p w14:paraId="4642FAC4" w14:textId="77777777" w:rsidR="00297195" w:rsidRPr="00EF4362" w:rsidRDefault="00297195" w:rsidP="00062516">
            <w:pPr>
              <w:jc w:val="center"/>
              <w:rPr>
                <w:b/>
                <w:bCs/>
                <w:szCs w:val="20"/>
              </w:rPr>
            </w:pPr>
            <w:r w:rsidRPr="00EF4362">
              <w:rPr>
                <w:b/>
                <w:bCs/>
                <w:szCs w:val="20"/>
              </w:rPr>
              <w:t>Custodian Agency (ies)</w:t>
            </w:r>
          </w:p>
        </w:tc>
        <w:tc>
          <w:tcPr>
            <w:tcW w:w="0" w:type="auto"/>
            <w:shd w:val="clear" w:color="auto" w:fill="DDD9C3" w:themeFill="background2" w:themeFillShade="E6"/>
            <w:vAlign w:val="center"/>
          </w:tcPr>
          <w:p w14:paraId="129B11DD" w14:textId="77777777" w:rsidR="00297195" w:rsidRPr="00EF4362" w:rsidRDefault="00297195" w:rsidP="00062516">
            <w:pPr>
              <w:jc w:val="center"/>
              <w:rPr>
                <w:b/>
                <w:bCs/>
                <w:szCs w:val="20"/>
              </w:rPr>
            </w:pPr>
            <w:r w:rsidRPr="00EF4362">
              <w:rPr>
                <w:b/>
                <w:bCs/>
                <w:szCs w:val="20"/>
              </w:rPr>
              <w:t>Tier Classifications</w:t>
            </w:r>
          </w:p>
        </w:tc>
        <w:tc>
          <w:tcPr>
            <w:tcW w:w="0" w:type="auto"/>
            <w:shd w:val="clear" w:color="auto" w:fill="DDD9C3" w:themeFill="background2" w:themeFillShade="E6"/>
            <w:vAlign w:val="center"/>
          </w:tcPr>
          <w:p w14:paraId="62090AE6" w14:textId="77777777" w:rsidR="00297195" w:rsidRPr="00EF4362" w:rsidRDefault="00297195" w:rsidP="00062516">
            <w:pPr>
              <w:jc w:val="center"/>
              <w:rPr>
                <w:b/>
                <w:bCs/>
                <w:szCs w:val="20"/>
              </w:rPr>
            </w:pPr>
            <w:r w:rsidRPr="00EF4362">
              <w:rPr>
                <w:b/>
                <w:bCs/>
                <w:szCs w:val="20"/>
              </w:rPr>
              <w:t>Definition, Rationale, Concept, Computation Methods and formula</w:t>
            </w:r>
          </w:p>
        </w:tc>
        <w:tc>
          <w:tcPr>
            <w:tcW w:w="0" w:type="auto"/>
            <w:shd w:val="clear" w:color="auto" w:fill="DDD9C3" w:themeFill="background2" w:themeFillShade="E6"/>
            <w:vAlign w:val="center"/>
          </w:tcPr>
          <w:p w14:paraId="0FF3FB90" w14:textId="77777777" w:rsidR="00297195" w:rsidRPr="00EF4362" w:rsidRDefault="00297195" w:rsidP="00062516">
            <w:pPr>
              <w:jc w:val="center"/>
              <w:rPr>
                <w:b/>
                <w:bCs/>
                <w:szCs w:val="20"/>
              </w:rPr>
            </w:pPr>
            <w:r w:rsidRPr="00EF4362">
              <w:rPr>
                <w:b/>
                <w:bCs/>
                <w:szCs w:val="20"/>
              </w:rPr>
              <w:t>UN Suggested activities of data generation</w:t>
            </w:r>
          </w:p>
        </w:tc>
        <w:tc>
          <w:tcPr>
            <w:tcW w:w="0" w:type="auto"/>
            <w:shd w:val="clear" w:color="auto" w:fill="DDD9C3" w:themeFill="background2" w:themeFillShade="E6"/>
            <w:vAlign w:val="center"/>
          </w:tcPr>
          <w:p w14:paraId="1E068D45" w14:textId="77777777" w:rsidR="00297195" w:rsidRPr="00EF4362" w:rsidRDefault="00297195" w:rsidP="00062516">
            <w:pPr>
              <w:jc w:val="center"/>
              <w:rPr>
                <w:b/>
                <w:bCs/>
                <w:szCs w:val="20"/>
              </w:rPr>
            </w:pPr>
            <w:r w:rsidRPr="00EF4362">
              <w:rPr>
                <w:b/>
                <w:bCs/>
                <w:szCs w:val="20"/>
              </w:rPr>
              <w:t>UN Suggested data provider</w:t>
            </w:r>
          </w:p>
        </w:tc>
        <w:tc>
          <w:tcPr>
            <w:tcW w:w="0" w:type="auto"/>
            <w:shd w:val="clear" w:color="auto" w:fill="DDD9C3" w:themeFill="background2" w:themeFillShade="E6"/>
            <w:vAlign w:val="center"/>
          </w:tcPr>
          <w:p w14:paraId="7C664E41" w14:textId="77777777" w:rsidR="00297195" w:rsidRPr="00EF4362" w:rsidRDefault="00297195" w:rsidP="00062516">
            <w:pPr>
              <w:jc w:val="center"/>
              <w:rPr>
                <w:b/>
                <w:bCs/>
                <w:szCs w:val="20"/>
              </w:rPr>
            </w:pPr>
            <w:r w:rsidRPr="00EF4362">
              <w:rPr>
                <w:b/>
                <w:bCs/>
                <w:szCs w:val="20"/>
              </w:rPr>
              <w:t>Recent Available Data Sources</w:t>
            </w:r>
          </w:p>
        </w:tc>
        <w:tc>
          <w:tcPr>
            <w:tcW w:w="0" w:type="auto"/>
            <w:shd w:val="clear" w:color="auto" w:fill="DDD9C3" w:themeFill="background2" w:themeFillShade="E6"/>
            <w:vAlign w:val="center"/>
          </w:tcPr>
          <w:p w14:paraId="7BD50AAC" w14:textId="77777777" w:rsidR="00297195" w:rsidRPr="00EF4362" w:rsidRDefault="00297195" w:rsidP="00062516">
            <w:pPr>
              <w:jc w:val="center"/>
              <w:rPr>
                <w:b/>
                <w:bCs/>
                <w:szCs w:val="20"/>
              </w:rPr>
            </w:pPr>
            <w:r w:rsidRPr="00EF4362">
              <w:rPr>
                <w:b/>
                <w:bCs/>
                <w:szCs w:val="20"/>
              </w:rPr>
              <w:t>Possible future Sources</w:t>
            </w:r>
          </w:p>
        </w:tc>
        <w:tc>
          <w:tcPr>
            <w:tcW w:w="0" w:type="auto"/>
            <w:shd w:val="clear" w:color="auto" w:fill="DDD9C3" w:themeFill="background2" w:themeFillShade="E6"/>
            <w:vAlign w:val="center"/>
          </w:tcPr>
          <w:p w14:paraId="37075A74" w14:textId="77777777" w:rsidR="00297195" w:rsidRPr="00EF4362" w:rsidRDefault="00297195" w:rsidP="00062516">
            <w:pPr>
              <w:jc w:val="center"/>
              <w:rPr>
                <w:b/>
                <w:bCs/>
                <w:szCs w:val="20"/>
              </w:rPr>
            </w:pPr>
            <w:r w:rsidRPr="00EF4362">
              <w:rPr>
                <w:b/>
                <w:bCs/>
                <w:szCs w:val="20"/>
              </w:rPr>
              <w:t>Minimum Disaggregation Dimensions and Categories</w:t>
            </w:r>
          </w:p>
        </w:tc>
        <w:tc>
          <w:tcPr>
            <w:tcW w:w="0" w:type="auto"/>
            <w:shd w:val="clear" w:color="auto" w:fill="DDD9C3" w:themeFill="background2" w:themeFillShade="E6"/>
            <w:vAlign w:val="center"/>
          </w:tcPr>
          <w:p w14:paraId="3025D242" w14:textId="77777777" w:rsidR="00297195" w:rsidRPr="00EF4362" w:rsidRDefault="00297195" w:rsidP="00062516">
            <w:pPr>
              <w:jc w:val="center"/>
              <w:rPr>
                <w:b/>
                <w:bCs/>
                <w:szCs w:val="20"/>
              </w:rPr>
            </w:pPr>
            <w:r w:rsidRPr="00EF4362">
              <w:rPr>
                <w:b/>
                <w:bCs/>
                <w:szCs w:val="20"/>
              </w:rPr>
              <w:t>Frequency of data generation</w:t>
            </w:r>
          </w:p>
        </w:tc>
        <w:tc>
          <w:tcPr>
            <w:tcW w:w="0" w:type="auto"/>
            <w:shd w:val="clear" w:color="auto" w:fill="DDD9C3" w:themeFill="background2" w:themeFillShade="E6"/>
            <w:vAlign w:val="center"/>
          </w:tcPr>
          <w:p w14:paraId="35FFF7B5" w14:textId="77777777" w:rsidR="00297195" w:rsidRPr="00EF4362" w:rsidRDefault="00297195" w:rsidP="00062516">
            <w:pPr>
              <w:jc w:val="center"/>
              <w:rPr>
                <w:b/>
                <w:bCs/>
                <w:szCs w:val="20"/>
              </w:rPr>
            </w:pPr>
            <w:r w:rsidRPr="00EF4362">
              <w:rPr>
                <w:b/>
                <w:bCs/>
                <w:szCs w:val="20"/>
              </w:rPr>
              <w:t>Local Indicator Group</w:t>
            </w:r>
          </w:p>
        </w:tc>
        <w:tc>
          <w:tcPr>
            <w:tcW w:w="0" w:type="auto"/>
            <w:shd w:val="clear" w:color="auto" w:fill="DDD9C3" w:themeFill="background2" w:themeFillShade="E6"/>
          </w:tcPr>
          <w:p w14:paraId="37CEAA67" w14:textId="77777777" w:rsidR="00297195" w:rsidRPr="00EF4362" w:rsidRDefault="00297195" w:rsidP="00062516">
            <w:pPr>
              <w:jc w:val="center"/>
              <w:rPr>
                <w:b/>
                <w:bCs/>
                <w:szCs w:val="20"/>
              </w:rPr>
            </w:pPr>
            <w:r w:rsidRPr="00EF4362">
              <w:rPr>
                <w:b/>
                <w:bCs/>
                <w:szCs w:val="20"/>
              </w:rPr>
              <w:t>Deadline for Data providing</w:t>
            </w:r>
          </w:p>
        </w:tc>
        <w:tc>
          <w:tcPr>
            <w:tcW w:w="0" w:type="auto"/>
            <w:shd w:val="clear" w:color="auto" w:fill="DDD9C3" w:themeFill="background2" w:themeFillShade="E6"/>
            <w:vAlign w:val="center"/>
          </w:tcPr>
          <w:p w14:paraId="0E6C0E7B" w14:textId="77777777" w:rsidR="00297195" w:rsidRPr="00EF4362" w:rsidRDefault="00297195" w:rsidP="00062516">
            <w:pPr>
              <w:jc w:val="center"/>
              <w:rPr>
                <w:b/>
                <w:bCs/>
                <w:szCs w:val="20"/>
              </w:rPr>
            </w:pPr>
            <w:r w:rsidRPr="00EF4362">
              <w:rPr>
                <w:b/>
                <w:bCs/>
                <w:szCs w:val="20"/>
              </w:rPr>
              <w:t>Remarks</w:t>
            </w:r>
          </w:p>
        </w:tc>
      </w:tr>
      <w:tr w:rsidR="00297195" w:rsidRPr="00C07ED2" w14:paraId="1FD58824" w14:textId="77777777" w:rsidTr="0085651F">
        <w:trPr>
          <w:tblHeader/>
        </w:trPr>
        <w:tc>
          <w:tcPr>
            <w:tcW w:w="0" w:type="auto"/>
            <w:shd w:val="clear" w:color="auto" w:fill="00B0F0"/>
          </w:tcPr>
          <w:p w14:paraId="230AE6FF" w14:textId="77777777" w:rsidR="00297195" w:rsidRPr="00C07ED2" w:rsidRDefault="00297195" w:rsidP="00062516">
            <w:pPr>
              <w:jc w:val="center"/>
              <w:rPr>
                <w:b/>
                <w:bCs/>
                <w:i/>
                <w:iCs/>
                <w:sz w:val="18"/>
                <w:szCs w:val="18"/>
              </w:rPr>
            </w:pPr>
            <w:r w:rsidRPr="00C07ED2">
              <w:rPr>
                <w:b/>
                <w:bCs/>
                <w:i/>
                <w:iCs/>
                <w:sz w:val="18"/>
                <w:szCs w:val="18"/>
              </w:rPr>
              <w:t>1</w:t>
            </w:r>
          </w:p>
        </w:tc>
        <w:tc>
          <w:tcPr>
            <w:tcW w:w="0" w:type="auto"/>
            <w:shd w:val="clear" w:color="auto" w:fill="00B0F0"/>
          </w:tcPr>
          <w:p w14:paraId="744C7C9B" w14:textId="77777777" w:rsidR="00297195" w:rsidRPr="00C07ED2" w:rsidRDefault="00297195" w:rsidP="00062516">
            <w:pPr>
              <w:jc w:val="center"/>
              <w:rPr>
                <w:b/>
                <w:bCs/>
                <w:i/>
                <w:iCs/>
                <w:sz w:val="18"/>
                <w:szCs w:val="18"/>
              </w:rPr>
            </w:pPr>
            <w:r w:rsidRPr="00C07ED2">
              <w:rPr>
                <w:b/>
                <w:bCs/>
                <w:i/>
                <w:iCs/>
                <w:sz w:val="18"/>
                <w:szCs w:val="18"/>
              </w:rPr>
              <w:t>2</w:t>
            </w:r>
          </w:p>
        </w:tc>
        <w:tc>
          <w:tcPr>
            <w:tcW w:w="0" w:type="auto"/>
            <w:shd w:val="clear" w:color="auto" w:fill="00B0F0"/>
          </w:tcPr>
          <w:p w14:paraId="35553A73" w14:textId="77777777" w:rsidR="00297195" w:rsidRPr="00C07ED2" w:rsidRDefault="00297195" w:rsidP="00062516">
            <w:pPr>
              <w:jc w:val="center"/>
              <w:rPr>
                <w:b/>
                <w:bCs/>
                <w:i/>
                <w:iCs/>
                <w:sz w:val="18"/>
                <w:szCs w:val="18"/>
              </w:rPr>
            </w:pPr>
            <w:r w:rsidRPr="00C07ED2">
              <w:rPr>
                <w:b/>
                <w:bCs/>
                <w:i/>
                <w:iCs/>
                <w:sz w:val="18"/>
                <w:szCs w:val="18"/>
              </w:rPr>
              <w:t>3</w:t>
            </w:r>
          </w:p>
        </w:tc>
        <w:tc>
          <w:tcPr>
            <w:tcW w:w="0" w:type="auto"/>
            <w:shd w:val="clear" w:color="auto" w:fill="00B0F0"/>
          </w:tcPr>
          <w:p w14:paraId="21B0163C" w14:textId="77777777" w:rsidR="00297195" w:rsidRPr="00C07ED2" w:rsidRDefault="00297195" w:rsidP="00062516">
            <w:pPr>
              <w:jc w:val="center"/>
              <w:rPr>
                <w:b/>
                <w:bCs/>
                <w:i/>
                <w:iCs/>
                <w:sz w:val="18"/>
                <w:szCs w:val="18"/>
              </w:rPr>
            </w:pPr>
            <w:r w:rsidRPr="00C07ED2">
              <w:rPr>
                <w:b/>
                <w:bCs/>
                <w:i/>
                <w:iCs/>
                <w:sz w:val="18"/>
                <w:szCs w:val="18"/>
              </w:rPr>
              <w:t>4</w:t>
            </w:r>
          </w:p>
        </w:tc>
        <w:tc>
          <w:tcPr>
            <w:tcW w:w="0" w:type="auto"/>
            <w:shd w:val="clear" w:color="auto" w:fill="00B0F0"/>
          </w:tcPr>
          <w:p w14:paraId="7B51C812" w14:textId="77777777" w:rsidR="00297195" w:rsidRPr="00C07ED2" w:rsidRDefault="00297195" w:rsidP="00062516">
            <w:pPr>
              <w:jc w:val="center"/>
              <w:rPr>
                <w:b/>
                <w:bCs/>
                <w:i/>
                <w:iCs/>
                <w:sz w:val="18"/>
                <w:szCs w:val="18"/>
              </w:rPr>
            </w:pPr>
            <w:r w:rsidRPr="00C07ED2">
              <w:rPr>
                <w:b/>
                <w:bCs/>
                <w:i/>
                <w:iCs/>
                <w:sz w:val="18"/>
                <w:szCs w:val="18"/>
              </w:rPr>
              <w:t>5</w:t>
            </w:r>
          </w:p>
        </w:tc>
        <w:tc>
          <w:tcPr>
            <w:tcW w:w="0" w:type="auto"/>
            <w:shd w:val="clear" w:color="auto" w:fill="00B0F0"/>
          </w:tcPr>
          <w:p w14:paraId="0B75574C" w14:textId="77777777" w:rsidR="00297195" w:rsidRPr="00C07ED2" w:rsidRDefault="00297195" w:rsidP="00062516">
            <w:pPr>
              <w:jc w:val="center"/>
              <w:rPr>
                <w:b/>
                <w:bCs/>
                <w:i/>
                <w:iCs/>
                <w:sz w:val="18"/>
                <w:szCs w:val="18"/>
              </w:rPr>
            </w:pPr>
            <w:r w:rsidRPr="00C07ED2">
              <w:rPr>
                <w:b/>
                <w:bCs/>
                <w:i/>
                <w:iCs/>
                <w:sz w:val="18"/>
                <w:szCs w:val="18"/>
              </w:rPr>
              <w:t>6</w:t>
            </w:r>
          </w:p>
        </w:tc>
        <w:tc>
          <w:tcPr>
            <w:tcW w:w="0" w:type="auto"/>
            <w:shd w:val="clear" w:color="auto" w:fill="00B0F0"/>
          </w:tcPr>
          <w:p w14:paraId="2FA2C2B8" w14:textId="77777777" w:rsidR="00297195" w:rsidRPr="00C07ED2" w:rsidRDefault="00297195" w:rsidP="00062516">
            <w:pPr>
              <w:jc w:val="center"/>
              <w:rPr>
                <w:b/>
                <w:bCs/>
                <w:i/>
                <w:iCs/>
                <w:sz w:val="18"/>
                <w:szCs w:val="18"/>
              </w:rPr>
            </w:pPr>
            <w:r w:rsidRPr="00C07ED2">
              <w:rPr>
                <w:b/>
                <w:bCs/>
                <w:i/>
                <w:iCs/>
                <w:sz w:val="18"/>
                <w:szCs w:val="18"/>
              </w:rPr>
              <w:t>7</w:t>
            </w:r>
          </w:p>
        </w:tc>
        <w:tc>
          <w:tcPr>
            <w:tcW w:w="0" w:type="auto"/>
            <w:shd w:val="clear" w:color="auto" w:fill="00B0F0"/>
          </w:tcPr>
          <w:p w14:paraId="1214EAF5" w14:textId="77777777" w:rsidR="00297195" w:rsidRPr="00C07ED2" w:rsidRDefault="00297195" w:rsidP="00062516">
            <w:pPr>
              <w:jc w:val="center"/>
              <w:rPr>
                <w:b/>
                <w:bCs/>
                <w:i/>
                <w:iCs/>
                <w:sz w:val="18"/>
                <w:szCs w:val="18"/>
              </w:rPr>
            </w:pPr>
            <w:r w:rsidRPr="00C07ED2">
              <w:rPr>
                <w:b/>
                <w:bCs/>
                <w:i/>
                <w:iCs/>
                <w:sz w:val="18"/>
                <w:szCs w:val="18"/>
              </w:rPr>
              <w:t>8</w:t>
            </w:r>
          </w:p>
        </w:tc>
        <w:tc>
          <w:tcPr>
            <w:tcW w:w="0" w:type="auto"/>
            <w:shd w:val="clear" w:color="auto" w:fill="00B0F0"/>
          </w:tcPr>
          <w:p w14:paraId="478671E0" w14:textId="77777777" w:rsidR="00297195" w:rsidRPr="00C07ED2" w:rsidRDefault="00297195" w:rsidP="00062516">
            <w:pPr>
              <w:jc w:val="center"/>
              <w:rPr>
                <w:b/>
                <w:bCs/>
                <w:i/>
                <w:iCs/>
                <w:sz w:val="18"/>
                <w:szCs w:val="18"/>
              </w:rPr>
            </w:pPr>
            <w:r w:rsidRPr="00C07ED2">
              <w:rPr>
                <w:b/>
                <w:bCs/>
                <w:i/>
                <w:iCs/>
                <w:sz w:val="18"/>
                <w:szCs w:val="18"/>
              </w:rPr>
              <w:t>9</w:t>
            </w:r>
          </w:p>
        </w:tc>
        <w:tc>
          <w:tcPr>
            <w:tcW w:w="0" w:type="auto"/>
            <w:shd w:val="clear" w:color="auto" w:fill="00B0F0"/>
          </w:tcPr>
          <w:p w14:paraId="0BCB730C" w14:textId="77777777" w:rsidR="00297195" w:rsidRPr="00C07ED2" w:rsidRDefault="00297195" w:rsidP="00062516">
            <w:pPr>
              <w:jc w:val="center"/>
              <w:rPr>
                <w:b/>
                <w:bCs/>
                <w:i/>
                <w:iCs/>
                <w:sz w:val="18"/>
                <w:szCs w:val="18"/>
              </w:rPr>
            </w:pPr>
            <w:r w:rsidRPr="00C07ED2">
              <w:rPr>
                <w:b/>
                <w:bCs/>
                <w:i/>
                <w:iCs/>
                <w:sz w:val="18"/>
                <w:szCs w:val="18"/>
              </w:rPr>
              <w:t>10</w:t>
            </w:r>
          </w:p>
        </w:tc>
        <w:tc>
          <w:tcPr>
            <w:tcW w:w="0" w:type="auto"/>
            <w:shd w:val="clear" w:color="auto" w:fill="00B0F0"/>
          </w:tcPr>
          <w:p w14:paraId="17095094" w14:textId="77777777" w:rsidR="00297195" w:rsidRPr="00C07ED2" w:rsidRDefault="00297195" w:rsidP="00062516">
            <w:pPr>
              <w:jc w:val="center"/>
              <w:rPr>
                <w:b/>
                <w:bCs/>
                <w:i/>
                <w:iCs/>
                <w:sz w:val="18"/>
                <w:szCs w:val="18"/>
              </w:rPr>
            </w:pPr>
            <w:r w:rsidRPr="00C07ED2">
              <w:rPr>
                <w:b/>
                <w:bCs/>
                <w:i/>
                <w:iCs/>
                <w:sz w:val="18"/>
                <w:szCs w:val="18"/>
              </w:rPr>
              <w:t>11</w:t>
            </w:r>
          </w:p>
        </w:tc>
        <w:tc>
          <w:tcPr>
            <w:tcW w:w="0" w:type="auto"/>
            <w:shd w:val="clear" w:color="auto" w:fill="00B0F0"/>
          </w:tcPr>
          <w:p w14:paraId="5B65009A" w14:textId="77777777" w:rsidR="00297195" w:rsidRPr="00C07ED2" w:rsidRDefault="00297195" w:rsidP="00062516">
            <w:pPr>
              <w:jc w:val="center"/>
              <w:rPr>
                <w:b/>
                <w:bCs/>
                <w:i/>
                <w:iCs/>
                <w:sz w:val="18"/>
                <w:szCs w:val="18"/>
              </w:rPr>
            </w:pPr>
            <w:r>
              <w:rPr>
                <w:b/>
                <w:bCs/>
                <w:i/>
                <w:iCs/>
                <w:sz w:val="18"/>
                <w:szCs w:val="18"/>
              </w:rPr>
              <w:t>12</w:t>
            </w:r>
          </w:p>
        </w:tc>
        <w:tc>
          <w:tcPr>
            <w:tcW w:w="0" w:type="auto"/>
            <w:shd w:val="clear" w:color="auto" w:fill="00B0F0"/>
          </w:tcPr>
          <w:p w14:paraId="4CD4EEAF" w14:textId="77777777" w:rsidR="00297195" w:rsidRPr="00C07ED2" w:rsidRDefault="00297195" w:rsidP="00062516">
            <w:pPr>
              <w:jc w:val="center"/>
              <w:rPr>
                <w:b/>
                <w:bCs/>
                <w:i/>
                <w:iCs/>
                <w:sz w:val="18"/>
                <w:szCs w:val="18"/>
              </w:rPr>
            </w:pPr>
            <w:r>
              <w:rPr>
                <w:b/>
                <w:bCs/>
                <w:i/>
                <w:iCs/>
                <w:sz w:val="18"/>
                <w:szCs w:val="18"/>
              </w:rPr>
              <w:t>13</w:t>
            </w:r>
          </w:p>
        </w:tc>
      </w:tr>
      <w:tr w:rsidR="00297195" w14:paraId="4B006739" w14:textId="77777777" w:rsidTr="0085651F">
        <w:tc>
          <w:tcPr>
            <w:tcW w:w="0" w:type="auto"/>
            <w:gridSpan w:val="13"/>
            <w:shd w:val="clear" w:color="auto" w:fill="auto"/>
          </w:tcPr>
          <w:p w14:paraId="4059AAF6" w14:textId="77777777" w:rsidR="00297195" w:rsidRDefault="00297195" w:rsidP="00CC78FC">
            <w:pPr>
              <w:jc w:val="both"/>
              <w:rPr>
                <w:color w:val="C00000"/>
                <w:sz w:val="30"/>
                <w:szCs w:val="30"/>
              </w:rPr>
            </w:pPr>
            <w:r w:rsidRPr="00062516">
              <w:rPr>
                <w:color w:val="C00000"/>
                <w:sz w:val="30"/>
                <w:szCs w:val="30"/>
              </w:rPr>
              <w:t>Target 1.1: By 2030, eradicate extreme poverty for all people everywhere, currently measured as people living on less than $1.90 a day</w:t>
            </w:r>
          </w:p>
        </w:tc>
      </w:tr>
      <w:tr w:rsidR="00297195" w14:paraId="1B6A16D7" w14:textId="77777777" w:rsidTr="0085651F">
        <w:tc>
          <w:tcPr>
            <w:tcW w:w="0" w:type="auto"/>
            <w:shd w:val="clear" w:color="auto" w:fill="auto"/>
          </w:tcPr>
          <w:p w14:paraId="6984D6F6" w14:textId="77777777" w:rsidR="00297195" w:rsidRPr="00262FC1" w:rsidRDefault="00297195" w:rsidP="00406F3B">
            <w:pPr>
              <w:rPr>
                <w:b/>
                <w:szCs w:val="20"/>
              </w:rPr>
            </w:pPr>
            <w:r w:rsidRPr="009859CD">
              <w:rPr>
                <w:szCs w:val="20"/>
              </w:rPr>
              <w:t>1.1.1 Proportion of the population living below the international poverty line by sex, age, employment status and geographic location (urban/rural)</w:t>
            </w:r>
          </w:p>
        </w:tc>
        <w:tc>
          <w:tcPr>
            <w:tcW w:w="0" w:type="auto"/>
            <w:shd w:val="clear" w:color="auto" w:fill="auto"/>
          </w:tcPr>
          <w:p w14:paraId="283792BB" w14:textId="77777777" w:rsidR="00297195" w:rsidRDefault="00297195" w:rsidP="00406F3B">
            <w:pPr>
              <w:jc w:val="center"/>
              <w:rPr>
                <w:szCs w:val="20"/>
              </w:rPr>
            </w:pPr>
            <w:r w:rsidRPr="00262FC1">
              <w:rPr>
                <w:szCs w:val="20"/>
              </w:rPr>
              <w:t>World Bank</w:t>
            </w:r>
          </w:p>
          <w:p w14:paraId="7704D0F8" w14:textId="77777777" w:rsidR="00297195" w:rsidRDefault="00297195" w:rsidP="00406F3B">
            <w:pPr>
              <w:jc w:val="both"/>
              <w:rPr>
                <w:szCs w:val="20"/>
              </w:rPr>
            </w:pPr>
          </w:p>
          <w:p w14:paraId="0ED1AD69" w14:textId="77777777" w:rsidR="00297195" w:rsidRPr="00262FC1" w:rsidRDefault="00297195" w:rsidP="00406F3B">
            <w:pPr>
              <w:jc w:val="center"/>
              <w:rPr>
                <w:b/>
                <w:szCs w:val="20"/>
              </w:rPr>
            </w:pPr>
            <w:r>
              <w:rPr>
                <w:szCs w:val="20"/>
              </w:rPr>
              <w:t>Partner Agency: ILO</w:t>
            </w:r>
          </w:p>
        </w:tc>
        <w:tc>
          <w:tcPr>
            <w:tcW w:w="0" w:type="auto"/>
            <w:shd w:val="clear" w:color="auto" w:fill="auto"/>
          </w:tcPr>
          <w:p w14:paraId="1CF65D9A" w14:textId="77777777" w:rsidR="00297195" w:rsidRPr="00262FC1" w:rsidRDefault="00297195" w:rsidP="00406F3B">
            <w:pPr>
              <w:jc w:val="center"/>
              <w:rPr>
                <w:b/>
                <w:szCs w:val="20"/>
              </w:rPr>
            </w:pPr>
            <w:r w:rsidRPr="00262FC1">
              <w:rPr>
                <w:szCs w:val="20"/>
              </w:rPr>
              <w:t>Tier I</w:t>
            </w:r>
          </w:p>
        </w:tc>
        <w:tc>
          <w:tcPr>
            <w:tcW w:w="0" w:type="auto"/>
            <w:shd w:val="clear" w:color="auto" w:fill="auto"/>
          </w:tcPr>
          <w:p w14:paraId="3271A939" w14:textId="77777777" w:rsidR="00297195" w:rsidRDefault="00297195" w:rsidP="00406F3B">
            <w:pPr>
              <w:jc w:val="both"/>
              <w:rPr>
                <w:b/>
                <w:bCs/>
                <w:szCs w:val="20"/>
              </w:rPr>
            </w:pPr>
            <w:r>
              <w:rPr>
                <w:b/>
                <w:bCs/>
                <w:szCs w:val="20"/>
              </w:rPr>
              <w:t>For 1.1.1a</w:t>
            </w:r>
          </w:p>
          <w:p w14:paraId="4D75C619" w14:textId="77777777" w:rsidR="00297195" w:rsidRPr="00C766D7" w:rsidRDefault="00297195" w:rsidP="00406F3B">
            <w:pPr>
              <w:jc w:val="both"/>
              <w:rPr>
                <w:b/>
                <w:bCs/>
                <w:szCs w:val="20"/>
              </w:rPr>
            </w:pPr>
            <w:r w:rsidRPr="00C766D7">
              <w:rPr>
                <w:b/>
                <w:bCs/>
                <w:szCs w:val="20"/>
              </w:rPr>
              <w:t>Definition:</w:t>
            </w:r>
          </w:p>
          <w:p w14:paraId="3A3D977B" w14:textId="77777777" w:rsidR="00297195" w:rsidRDefault="00297195" w:rsidP="00406F3B">
            <w:pPr>
              <w:jc w:val="both"/>
              <w:rPr>
                <w:szCs w:val="20"/>
              </w:rPr>
            </w:pPr>
            <w:r w:rsidRPr="00C766D7">
              <w:rPr>
                <w:szCs w:val="20"/>
              </w:rPr>
              <w:t>The indicator Proportion of population below the international poverty line is defined as the percentage</w:t>
            </w:r>
            <w:r>
              <w:rPr>
                <w:szCs w:val="20"/>
              </w:rPr>
              <w:t xml:space="preserve"> </w:t>
            </w:r>
            <w:r w:rsidRPr="00C766D7">
              <w:rPr>
                <w:szCs w:val="20"/>
              </w:rPr>
              <w:t>of the population living on less than $1.90 a day at 2011 international prices. The 'international poverty</w:t>
            </w:r>
            <w:r>
              <w:rPr>
                <w:szCs w:val="20"/>
              </w:rPr>
              <w:t xml:space="preserve"> </w:t>
            </w:r>
            <w:r w:rsidRPr="00C766D7">
              <w:rPr>
                <w:szCs w:val="20"/>
              </w:rPr>
              <w:t>line' is currently set at $1.90 a day at 2011 international prices.</w:t>
            </w:r>
          </w:p>
          <w:p w14:paraId="67E920D3" w14:textId="77777777" w:rsidR="00297195" w:rsidRDefault="00297195" w:rsidP="00406F3B">
            <w:pPr>
              <w:jc w:val="both"/>
              <w:rPr>
                <w:szCs w:val="20"/>
              </w:rPr>
            </w:pPr>
          </w:p>
          <w:p w14:paraId="759D2201" w14:textId="77777777" w:rsidR="00297195" w:rsidRDefault="00297195" w:rsidP="00406F3B">
            <w:pPr>
              <w:jc w:val="both"/>
              <w:rPr>
                <w:b/>
                <w:bCs/>
                <w:szCs w:val="20"/>
              </w:rPr>
            </w:pPr>
            <w:r>
              <w:rPr>
                <w:b/>
                <w:bCs/>
                <w:szCs w:val="20"/>
              </w:rPr>
              <w:t>Rationale</w:t>
            </w:r>
          </w:p>
          <w:p w14:paraId="282E7B06" w14:textId="77777777" w:rsidR="00297195" w:rsidRPr="00D37824" w:rsidRDefault="00297195" w:rsidP="00406F3B">
            <w:pPr>
              <w:jc w:val="both"/>
              <w:rPr>
                <w:bCs/>
                <w:szCs w:val="20"/>
              </w:rPr>
            </w:pPr>
            <w:r w:rsidRPr="00D37824">
              <w:rPr>
                <w:bCs/>
                <w:szCs w:val="20"/>
              </w:rPr>
              <w:t>Monitoring poverty is important on the global development agenda as well as on the national development agenda of many countries. The World Bank produced its first global poverty estimates for developing countries for World Development Report 1990: Poverty (World Bank 1990) using household survey data for 22 countries (Ravallion, Datt, and van de Walle 1991).</w:t>
            </w:r>
          </w:p>
          <w:p w14:paraId="1A3255FF" w14:textId="77777777" w:rsidR="00297195" w:rsidRDefault="00297195" w:rsidP="00406F3B">
            <w:pPr>
              <w:jc w:val="both"/>
              <w:rPr>
                <w:b/>
                <w:bCs/>
                <w:szCs w:val="20"/>
              </w:rPr>
            </w:pPr>
            <w:r w:rsidRPr="00D37824">
              <w:rPr>
                <w:bCs/>
                <w:szCs w:val="20"/>
              </w:rPr>
              <w:t xml:space="preserve">The World Bank's Development Research Group maintains a database that is updated annually as new survey data become available (and thus may contain more recent data or revisions) and conducts a major reassessment of progress against poverty every year. </w:t>
            </w:r>
            <w:proofErr w:type="gramStart"/>
            <w:r w:rsidRPr="00D37824">
              <w:rPr>
                <w:bCs/>
                <w:szCs w:val="20"/>
              </w:rPr>
              <w:t>PovcalNet  [</w:t>
            </w:r>
            <w:proofErr w:type="gramEnd"/>
            <w:r w:rsidRPr="00D37824">
              <w:rPr>
                <w:bCs/>
                <w:szCs w:val="20"/>
              </w:rPr>
              <w:t>http://iresearch.worldbank.org/PovcalNet] is an interactive computational tool that allows users to replicate these internationally comparable $1.90 and $3.10 a day global, regional and country-level poverty estimates and to compute poverty measures for custom country groupings and for different poverty lines.</w:t>
            </w:r>
          </w:p>
          <w:p w14:paraId="1819CFB0" w14:textId="77777777" w:rsidR="00297195" w:rsidRDefault="00297195" w:rsidP="00406F3B">
            <w:pPr>
              <w:jc w:val="both"/>
              <w:rPr>
                <w:b/>
                <w:bCs/>
                <w:szCs w:val="20"/>
              </w:rPr>
            </w:pPr>
          </w:p>
          <w:p w14:paraId="31414152" w14:textId="1BAC0C0E" w:rsidR="00297195" w:rsidRDefault="00297195" w:rsidP="00406F3B">
            <w:pPr>
              <w:jc w:val="both"/>
              <w:rPr>
                <w:b/>
                <w:bCs/>
                <w:szCs w:val="20"/>
              </w:rPr>
            </w:pPr>
            <w:r w:rsidRPr="00C766D7">
              <w:rPr>
                <w:b/>
                <w:bCs/>
                <w:szCs w:val="20"/>
              </w:rPr>
              <w:t>Concepts:</w:t>
            </w:r>
          </w:p>
          <w:p w14:paraId="2F73AAFA" w14:textId="77777777" w:rsidR="00297195" w:rsidRPr="00C766D7" w:rsidRDefault="00297195" w:rsidP="00406F3B">
            <w:pPr>
              <w:jc w:val="both"/>
              <w:rPr>
                <w:b/>
                <w:bCs/>
                <w:szCs w:val="20"/>
              </w:rPr>
            </w:pPr>
          </w:p>
          <w:p w14:paraId="0372F78A" w14:textId="77777777" w:rsidR="00297195" w:rsidRDefault="00297195" w:rsidP="00406F3B">
            <w:pPr>
              <w:jc w:val="both"/>
              <w:rPr>
                <w:szCs w:val="20"/>
              </w:rPr>
            </w:pPr>
            <w:r w:rsidRPr="00C766D7">
              <w:rPr>
                <w:szCs w:val="20"/>
              </w:rPr>
              <w:t>Poverty lines across countries vary in terms of their purchasing power, and they have a</w:t>
            </w:r>
            <w:r>
              <w:rPr>
                <w:szCs w:val="20"/>
              </w:rPr>
              <w:t xml:space="preserve"> </w:t>
            </w:r>
            <w:r w:rsidRPr="00C766D7">
              <w:rPr>
                <w:szCs w:val="20"/>
              </w:rPr>
              <w:t>strong economic gradient, such that richer countries tend to adopt higher standards of living in defining</w:t>
            </w:r>
            <w:r>
              <w:rPr>
                <w:szCs w:val="20"/>
              </w:rPr>
              <w:t xml:space="preserve"> </w:t>
            </w:r>
            <w:r w:rsidRPr="00C766D7">
              <w:rPr>
                <w:szCs w:val="20"/>
              </w:rPr>
              <w:t>poverty. But to consistently measure global absolute poverty in terms of consumption we need to treat</w:t>
            </w:r>
            <w:r>
              <w:rPr>
                <w:szCs w:val="20"/>
              </w:rPr>
              <w:t xml:space="preserve"> </w:t>
            </w:r>
            <w:r w:rsidRPr="00C766D7">
              <w:rPr>
                <w:szCs w:val="20"/>
              </w:rPr>
              <w:t>two people with the same purchasing power over commodities the same way—both are either poor or</w:t>
            </w:r>
            <w:r>
              <w:rPr>
                <w:szCs w:val="20"/>
              </w:rPr>
              <w:t xml:space="preserve"> </w:t>
            </w:r>
            <w:r w:rsidRPr="00C766D7">
              <w:rPr>
                <w:szCs w:val="20"/>
              </w:rPr>
              <w:t>not poor—even if they live in different countries.</w:t>
            </w:r>
          </w:p>
          <w:p w14:paraId="6C8F1DE1" w14:textId="77777777" w:rsidR="00297195" w:rsidRDefault="00297195" w:rsidP="00406F3B">
            <w:pPr>
              <w:jc w:val="both"/>
              <w:rPr>
                <w:szCs w:val="20"/>
              </w:rPr>
            </w:pPr>
            <w:r w:rsidRPr="00C766D7">
              <w:rPr>
                <w:szCs w:val="20"/>
              </w:rPr>
              <w:t>The</w:t>
            </w:r>
            <w:r>
              <w:rPr>
                <w:szCs w:val="20"/>
              </w:rPr>
              <w:t xml:space="preserve"> </w:t>
            </w:r>
            <w:r w:rsidRPr="00C766D7">
              <w:rPr>
                <w:szCs w:val="20"/>
              </w:rPr>
              <w:t>welfare of people living in different countries can be measured on a common scale by adjusting for</w:t>
            </w:r>
            <w:r>
              <w:rPr>
                <w:szCs w:val="20"/>
              </w:rPr>
              <w:t xml:space="preserve"> </w:t>
            </w:r>
            <w:r w:rsidRPr="00C766D7">
              <w:rPr>
                <w:szCs w:val="20"/>
              </w:rPr>
              <w:t>differences in the purchasing power of currencies. The commonly used $1 a day standard, measured in</w:t>
            </w:r>
            <w:r>
              <w:rPr>
                <w:szCs w:val="20"/>
              </w:rPr>
              <w:t xml:space="preserve"> </w:t>
            </w:r>
            <w:r w:rsidRPr="00C766D7">
              <w:rPr>
                <w:szCs w:val="20"/>
              </w:rPr>
              <w:t>1985 international prices and adjusted to local currency using PPPs, was chosen for World Development</w:t>
            </w:r>
            <w:r>
              <w:rPr>
                <w:szCs w:val="20"/>
              </w:rPr>
              <w:t xml:space="preserve"> </w:t>
            </w:r>
            <w:r w:rsidRPr="00C766D7">
              <w:rPr>
                <w:szCs w:val="20"/>
              </w:rPr>
              <w:t>Report 1990</w:t>
            </w:r>
            <w:r>
              <w:rPr>
                <w:szCs w:val="20"/>
              </w:rPr>
              <w:t xml:space="preserve">. </w:t>
            </w:r>
            <w:r w:rsidRPr="00C766D7">
              <w:rPr>
                <w:szCs w:val="20"/>
              </w:rPr>
              <w:t xml:space="preserve"> </w:t>
            </w:r>
            <w:r>
              <w:rPr>
                <w:szCs w:val="20"/>
              </w:rPr>
              <w:t>T</w:t>
            </w:r>
            <w:r w:rsidRPr="00C766D7">
              <w:rPr>
                <w:szCs w:val="20"/>
              </w:rPr>
              <w:t>he international poverty line has to be</w:t>
            </w:r>
            <w:r>
              <w:rPr>
                <w:szCs w:val="20"/>
              </w:rPr>
              <w:t xml:space="preserve"> </w:t>
            </w:r>
            <w:r w:rsidRPr="00C766D7">
              <w:rPr>
                <w:szCs w:val="20"/>
              </w:rPr>
              <w:t>periodically updated using new PPP price data to reflect these changes. The last change was in October</w:t>
            </w:r>
            <w:r>
              <w:rPr>
                <w:szCs w:val="20"/>
              </w:rPr>
              <w:t xml:space="preserve"> </w:t>
            </w:r>
            <w:r w:rsidRPr="00C766D7">
              <w:rPr>
                <w:szCs w:val="20"/>
              </w:rPr>
              <w:t xml:space="preserve">2015, when the World Bank adopted $1.90 as the </w:t>
            </w:r>
            <w:r w:rsidRPr="00C766D7">
              <w:rPr>
                <w:szCs w:val="20"/>
              </w:rPr>
              <w:lastRenderedPageBreak/>
              <w:t>international poverty line using the 2011 PPP. Prior to</w:t>
            </w:r>
            <w:r>
              <w:rPr>
                <w:szCs w:val="20"/>
              </w:rPr>
              <w:t xml:space="preserve"> </w:t>
            </w:r>
            <w:r w:rsidRPr="00C766D7">
              <w:rPr>
                <w:szCs w:val="20"/>
              </w:rPr>
              <w:t>that, the 2008 update set the international poverty line at $1.25 using the 2005 PPP.</w:t>
            </w:r>
          </w:p>
          <w:p w14:paraId="497A3C25" w14:textId="2B919790" w:rsidR="00297195" w:rsidRDefault="00297195" w:rsidP="00406F3B">
            <w:pPr>
              <w:jc w:val="both"/>
              <w:rPr>
                <w:szCs w:val="20"/>
              </w:rPr>
            </w:pPr>
          </w:p>
          <w:p w14:paraId="71623792" w14:textId="77777777" w:rsidR="00297195" w:rsidRDefault="00297195" w:rsidP="00406F3B">
            <w:pPr>
              <w:jc w:val="both"/>
              <w:rPr>
                <w:szCs w:val="20"/>
              </w:rPr>
            </w:pPr>
          </w:p>
          <w:p w14:paraId="5FFADDF7" w14:textId="77777777" w:rsidR="00297195" w:rsidRDefault="00297195" w:rsidP="00406F3B">
            <w:pPr>
              <w:jc w:val="both"/>
              <w:rPr>
                <w:szCs w:val="20"/>
              </w:rPr>
            </w:pPr>
            <w:r>
              <w:rPr>
                <w:b/>
                <w:bCs/>
                <w:sz w:val="18"/>
                <w:szCs w:val="18"/>
              </w:rPr>
              <w:t>Computation Methods and</w:t>
            </w:r>
            <w:r w:rsidRPr="00C766D7">
              <w:rPr>
                <w:b/>
                <w:bCs/>
                <w:sz w:val="18"/>
                <w:szCs w:val="18"/>
              </w:rPr>
              <w:t xml:space="preserve"> formula</w:t>
            </w:r>
            <w:r>
              <w:rPr>
                <w:b/>
                <w:bCs/>
                <w:sz w:val="18"/>
                <w:szCs w:val="18"/>
              </w:rPr>
              <w:t>:</w:t>
            </w:r>
          </w:p>
          <w:p w14:paraId="3622255F" w14:textId="77777777" w:rsidR="00297195" w:rsidRDefault="00297195" w:rsidP="00406F3B">
            <w:pPr>
              <w:jc w:val="both"/>
              <w:rPr>
                <w:szCs w:val="20"/>
              </w:rPr>
            </w:pPr>
            <w:r w:rsidRPr="00C766D7">
              <w:rPr>
                <w:szCs w:val="20"/>
              </w:rPr>
              <w:t>The current extreme poverty line is set at $1.90 a day in 2011 PPP terms, which represents the mean of</w:t>
            </w:r>
            <w:r>
              <w:rPr>
                <w:szCs w:val="20"/>
              </w:rPr>
              <w:t xml:space="preserve"> </w:t>
            </w:r>
            <w:r w:rsidRPr="00C766D7">
              <w:rPr>
                <w:szCs w:val="20"/>
              </w:rPr>
              <w:t>the national poverty lines found in the same poorest 15 countries ranked by per capita consumption. The</w:t>
            </w:r>
            <w:r>
              <w:rPr>
                <w:szCs w:val="20"/>
              </w:rPr>
              <w:t xml:space="preserve"> </w:t>
            </w:r>
            <w:r w:rsidRPr="00C766D7">
              <w:rPr>
                <w:szCs w:val="20"/>
              </w:rPr>
              <w:t>new poverty line maintains the same standard for extreme poverty - the poverty line typical of the</w:t>
            </w:r>
            <w:r>
              <w:rPr>
                <w:szCs w:val="20"/>
              </w:rPr>
              <w:t xml:space="preserve"> </w:t>
            </w:r>
            <w:r w:rsidRPr="00C766D7">
              <w:rPr>
                <w:szCs w:val="20"/>
              </w:rPr>
              <w:t>poorest countries in the world - but updates it using the latest information on the cost of living in</w:t>
            </w:r>
            <w:r>
              <w:rPr>
                <w:szCs w:val="20"/>
              </w:rPr>
              <w:t xml:space="preserve"> </w:t>
            </w:r>
            <w:r w:rsidRPr="00C766D7">
              <w:rPr>
                <w:szCs w:val="20"/>
              </w:rPr>
              <w:t>developing countries.</w:t>
            </w:r>
          </w:p>
          <w:p w14:paraId="570082C7" w14:textId="77777777" w:rsidR="00297195" w:rsidRDefault="00297195" w:rsidP="00406F3B">
            <w:pPr>
              <w:jc w:val="both"/>
              <w:rPr>
                <w:bCs/>
                <w:szCs w:val="20"/>
              </w:rPr>
            </w:pPr>
            <w:r w:rsidRPr="00CB3103">
              <w:rPr>
                <w:bCs/>
                <w:szCs w:val="20"/>
              </w:rPr>
              <w:t>When measuring international poverty of a country, the international poverty line at PPP is converted to</w:t>
            </w:r>
            <w:r>
              <w:rPr>
                <w:bCs/>
                <w:szCs w:val="20"/>
              </w:rPr>
              <w:t xml:space="preserve"> </w:t>
            </w:r>
            <w:r w:rsidRPr="00CB3103">
              <w:rPr>
                <w:bCs/>
                <w:szCs w:val="20"/>
              </w:rPr>
              <w:t>local currencies in 2011 price and is then converted to the prices prevailing at the time of the relevant</w:t>
            </w:r>
            <w:r>
              <w:rPr>
                <w:bCs/>
                <w:szCs w:val="20"/>
              </w:rPr>
              <w:t xml:space="preserve"> </w:t>
            </w:r>
            <w:r w:rsidRPr="00CB3103">
              <w:rPr>
                <w:bCs/>
                <w:szCs w:val="20"/>
              </w:rPr>
              <w:t>household survey using the best available Consumer Price Index (CPI)</w:t>
            </w:r>
            <w:r>
              <w:rPr>
                <w:bCs/>
                <w:szCs w:val="20"/>
              </w:rPr>
              <w:t xml:space="preserve">. </w:t>
            </w:r>
            <w:r w:rsidRPr="00CB3103">
              <w:rPr>
                <w:bCs/>
                <w:szCs w:val="20"/>
              </w:rPr>
              <w:t xml:space="preserve"> Then the poverty rate is calculated from that survey. All inter-temporal</w:t>
            </w:r>
            <w:r>
              <w:rPr>
                <w:bCs/>
                <w:szCs w:val="20"/>
              </w:rPr>
              <w:t xml:space="preserve"> </w:t>
            </w:r>
            <w:r w:rsidRPr="00CB3103">
              <w:rPr>
                <w:bCs/>
                <w:szCs w:val="20"/>
              </w:rPr>
              <w:t>comparisons are real, as assessed using the country-specific CPI.</w:t>
            </w:r>
            <w:r>
              <w:rPr>
                <w:bCs/>
                <w:szCs w:val="20"/>
              </w:rPr>
              <w:t xml:space="preserve"> </w:t>
            </w:r>
            <w:r w:rsidRPr="00CB3103">
              <w:rPr>
                <w:bCs/>
                <w:szCs w:val="20"/>
              </w:rPr>
              <w:t>Interpolation/extrapolation methods are</w:t>
            </w:r>
            <w:r>
              <w:rPr>
                <w:bCs/>
                <w:szCs w:val="20"/>
              </w:rPr>
              <w:t xml:space="preserve"> </w:t>
            </w:r>
            <w:r w:rsidRPr="00CB3103">
              <w:rPr>
                <w:bCs/>
                <w:szCs w:val="20"/>
              </w:rPr>
              <w:t>used to line up the survey-based estimates with these reference years.</w:t>
            </w:r>
          </w:p>
          <w:p w14:paraId="49A60141" w14:textId="77777777" w:rsidR="00297195" w:rsidRDefault="00297195" w:rsidP="00406F3B">
            <w:pPr>
              <w:jc w:val="both"/>
              <w:rPr>
                <w:bCs/>
                <w:szCs w:val="20"/>
              </w:rPr>
            </w:pPr>
          </w:p>
          <w:p w14:paraId="008B0936" w14:textId="77777777" w:rsidR="00297195" w:rsidRDefault="00297195" w:rsidP="00406F3B">
            <w:pPr>
              <w:jc w:val="both"/>
              <w:rPr>
                <w:bCs/>
                <w:szCs w:val="20"/>
              </w:rPr>
            </w:pPr>
            <w:r>
              <w:rPr>
                <w:bCs/>
                <w:szCs w:val="20"/>
              </w:rPr>
              <w:t>For 1.1.1b</w:t>
            </w:r>
          </w:p>
          <w:p w14:paraId="70ED13FD" w14:textId="77777777" w:rsidR="00297195" w:rsidRPr="00D07E32" w:rsidRDefault="00297195" w:rsidP="00406F3B">
            <w:pPr>
              <w:jc w:val="both"/>
              <w:rPr>
                <w:b/>
                <w:szCs w:val="20"/>
              </w:rPr>
            </w:pPr>
            <w:r w:rsidRPr="00D07E32">
              <w:rPr>
                <w:b/>
                <w:szCs w:val="20"/>
              </w:rPr>
              <w:t>Definition:</w:t>
            </w:r>
          </w:p>
          <w:p w14:paraId="5224B3AB" w14:textId="77777777" w:rsidR="00297195" w:rsidRDefault="00297195" w:rsidP="00406F3B">
            <w:pPr>
              <w:jc w:val="both"/>
              <w:rPr>
                <w:szCs w:val="20"/>
              </w:rPr>
            </w:pPr>
            <w:r w:rsidRPr="00D37824">
              <w:rPr>
                <w:szCs w:val="20"/>
              </w:rPr>
              <w:t>The proportion of the employed population below the international poverty line of US$1.90 per day, also referred to as the working poverty rate, is defined as the share of employed persons living in households with per-capita consumption or income that is below the international poverty line of US$1.90.</w:t>
            </w:r>
          </w:p>
          <w:p w14:paraId="650D7592" w14:textId="77777777" w:rsidR="00297195" w:rsidRPr="00D07E32" w:rsidRDefault="00297195" w:rsidP="00406F3B">
            <w:pPr>
              <w:jc w:val="both"/>
              <w:rPr>
                <w:b/>
                <w:szCs w:val="20"/>
              </w:rPr>
            </w:pPr>
            <w:r w:rsidRPr="00D07E32">
              <w:rPr>
                <w:b/>
                <w:szCs w:val="20"/>
              </w:rPr>
              <w:t>Concepts:</w:t>
            </w:r>
          </w:p>
          <w:p w14:paraId="506442B2" w14:textId="77777777" w:rsidR="00297195" w:rsidRPr="00D37824" w:rsidRDefault="00297195" w:rsidP="00406F3B">
            <w:pPr>
              <w:jc w:val="both"/>
              <w:rPr>
                <w:szCs w:val="20"/>
              </w:rPr>
            </w:pPr>
            <w:r w:rsidRPr="00D37824">
              <w:rPr>
                <w:szCs w:val="20"/>
              </w:rPr>
              <w:t>Employment: All persons of working age who, during a short reference period (one week), were engaged in any activity to produce goods or provide services for pay or profit.</w:t>
            </w:r>
          </w:p>
          <w:p w14:paraId="315F8CA5" w14:textId="77777777" w:rsidR="00297195" w:rsidRPr="00D37824" w:rsidRDefault="00297195" w:rsidP="00406F3B">
            <w:pPr>
              <w:jc w:val="both"/>
              <w:rPr>
                <w:szCs w:val="20"/>
              </w:rPr>
            </w:pPr>
          </w:p>
          <w:p w14:paraId="39A35196" w14:textId="77777777" w:rsidR="00297195" w:rsidRPr="00D37824" w:rsidRDefault="00297195" w:rsidP="00406F3B">
            <w:pPr>
              <w:jc w:val="both"/>
              <w:rPr>
                <w:szCs w:val="20"/>
              </w:rPr>
            </w:pPr>
            <w:r w:rsidRPr="00D37824">
              <w:rPr>
                <w:szCs w:val="20"/>
              </w:rPr>
              <w:t>Poverty Line: Threshold below which individuals in the reference population are considered poor and above which they are considered non-poor. The threshold is generally defined as the per-capita monetary requirements an individual needs to afford the purchase of a basic bundle of goods and services. For the purpose of this indicator, an absolute international poverty line of US$1.90 per day is used.</w:t>
            </w:r>
          </w:p>
          <w:p w14:paraId="497DB172" w14:textId="77777777" w:rsidR="00297195" w:rsidRPr="00D37824" w:rsidRDefault="00297195" w:rsidP="00406F3B">
            <w:pPr>
              <w:jc w:val="both"/>
              <w:rPr>
                <w:szCs w:val="20"/>
              </w:rPr>
            </w:pPr>
          </w:p>
          <w:p w14:paraId="760D46F7" w14:textId="77777777" w:rsidR="00297195" w:rsidRPr="00D37824" w:rsidRDefault="00297195" w:rsidP="00406F3B">
            <w:pPr>
              <w:jc w:val="both"/>
              <w:rPr>
                <w:szCs w:val="20"/>
              </w:rPr>
            </w:pPr>
            <w:r w:rsidRPr="00D37824">
              <w:rPr>
                <w:szCs w:val="20"/>
              </w:rPr>
              <w:t>Household in poverty: Households are defined as poor if their income or consumption expenditure is below the poverty line taking into account the number of household members and composition (e.g., number of adults and children).</w:t>
            </w:r>
          </w:p>
          <w:p w14:paraId="766868CA" w14:textId="77777777" w:rsidR="00297195" w:rsidRPr="00D37824" w:rsidRDefault="00297195" w:rsidP="00406F3B">
            <w:pPr>
              <w:jc w:val="both"/>
              <w:rPr>
                <w:szCs w:val="20"/>
              </w:rPr>
            </w:pPr>
          </w:p>
          <w:p w14:paraId="1E88FF5A" w14:textId="77777777" w:rsidR="00297195" w:rsidRDefault="00297195" w:rsidP="00406F3B">
            <w:pPr>
              <w:jc w:val="both"/>
              <w:rPr>
                <w:szCs w:val="20"/>
              </w:rPr>
            </w:pPr>
            <w:r w:rsidRPr="00D37824">
              <w:rPr>
                <w:szCs w:val="20"/>
              </w:rPr>
              <w:t>Working poor: Employed persons living in households that are classified as poor, that is, that have income or consumption levels below the poverty line used for measurement.</w:t>
            </w:r>
          </w:p>
          <w:p w14:paraId="08B8DDD1" w14:textId="77777777" w:rsidR="00297195" w:rsidRDefault="00297195" w:rsidP="00406F3B">
            <w:pPr>
              <w:jc w:val="both"/>
              <w:rPr>
                <w:b/>
                <w:szCs w:val="20"/>
              </w:rPr>
            </w:pPr>
          </w:p>
          <w:p w14:paraId="37223E4B" w14:textId="77777777" w:rsidR="00297195" w:rsidRDefault="00297195" w:rsidP="00406F3B">
            <w:pPr>
              <w:jc w:val="both"/>
              <w:rPr>
                <w:b/>
                <w:szCs w:val="20"/>
              </w:rPr>
            </w:pPr>
            <w:r w:rsidRPr="00D07E32">
              <w:rPr>
                <w:b/>
                <w:szCs w:val="20"/>
              </w:rPr>
              <w:t>Computation Method:</w:t>
            </w:r>
          </w:p>
          <w:p w14:paraId="37BC92E5" w14:textId="77777777" w:rsidR="00297195" w:rsidRDefault="00297195" w:rsidP="00406F3B">
            <w:pPr>
              <w:jc w:val="both"/>
              <w:rPr>
                <w:b/>
                <w:szCs w:val="20"/>
              </w:rPr>
            </w:pPr>
          </w:p>
          <w:p w14:paraId="585C3840" w14:textId="77777777" w:rsidR="00297195" w:rsidRPr="00D07E32" w:rsidRDefault="00297195" w:rsidP="00406F3B">
            <w:pPr>
              <w:jc w:val="both"/>
              <w:rPr>
                <w:rFonts w:eastAsiaTheme="minorEastAsia"/>
                <w:color w:val="4A4A4A"/>
                <w:sz w:val="18"/>
                <w:szCs w:val="18"/>
                <w:lang w:eastAsia="en-GB"/>
              </w:rPr>
            </w:pPr>
            <m:oMathPara>
              <m:oMath>
                <m:r>
                  <m:rPr>
                    <m:sty m:val="p"/>
                  </m:rPr>
                  <w:rPr>
                    <w:rFonts w:ascii="Cambria Math" w:eastAsia="Times New Roman" w:hAnsi="Cambria Math" w:cs="Times New Roman"/>
                    <w:color w:val="4A4A4A"/>
                    <w:sz w:val="18"/>
                    <w:szCs w:val="18"/>
                    <w:lang w:eastAsia="en-GB"/>
                  </w:rPr>
                  <m:t>Working poverty rate</m:t>
                </m:r>
                <m:r>
                  <m:rPr>
                    <m:sty m:val="p"/>
                  </m:rPr>
                  <w:rPr>
                    <w:rFonts w:ascii="Cambria Math" w:eastAsia="Times New Roman" w:cs="Times New Roman"/>
                    <w:color w:val="4A4A4A"/>
                    <w:sz w:val="18"/>
                    <w:szCs w:val="18"/>
                    <w:lang w:eastAsia="en-GB"/>
                  </w:rPr>
                  <m:t xml:space="preserve">= </m:t>
                </m:r>
                <m:f>
                  <m:fPr>
                    <m:ctrlPr>
                      <w:rPr>
                        <w:rFonts w:ascii="Cambria Math" w:eastAsia="Times New Roman" w:hAnsi="Cambria Math" w:cs="Times New Roman"/>
                        <w:color w:val="4A4A4A"/>
                        <w:sz w:val="18"/>
                        <w:szCs w:val="18"/>
                        <w:lang w:eastAsia="en-GB"/>
                      </w:rPr>
                    </m:ctrlPr>
                  </m:fPr>
                  <m:num>
                    <m:r>
                      <m:rPr>
                        <m:sty m:val="p"/>
                      </m:rPr>
                      <w:rPr>
                        <w:rFonts w:ascii="Cambria Math" w:eastAsia="Times New Roman" w:hAnsi="Cambria Math" w:cs="Times New Roman"/>
                        <w:color w:val="4A4A4A"/>
                        <w:sz w:val="18"/>
                        <w:szCs w:val="18"/>
                        <w:lang w:eastAsia="en-GB"/>
                      </w:rPr>
                      <m:t>Employed persons living on less than US$ 1.90 a day</m:t>
                    </m:r>
                  </m:num>
                  <m:den>
                    <m:r>
                      <m:rPr>
                        <m:sty m:val="p"/>
                      </m:rPr>
                      <w:rPr>
                        <w:rFonts w:ascii="Cambria Math" w:eastAsia="Times New Roman" w:hAnsi="Cambria Math" w:cs="Times New Roman"/>
                        <w:color w:val="4A4A4A"/>
                        <w:sz w:val="18"/>
                        <w:szCs w:val="18"/>
                        <w:lang w:eastAsia="en-GB"/>
                      </w:rPr>
                      <m:t>Total employment</m:t>
                    </m:r>
                  </m:den>
                </m:f>
                <m:r>
                  <w:rPr>
                    <w:rFonts w:ascii="Cambria Math" w:eastAsia="Times New Roman" w:cs="Times New Roman"/>
                    <w:color w:val="4A4A4A"/>
                    <w:sz w:val="18"/>
                    <w:szCs w:val="18"/>
                    <w:lang w:eastAsia="en-GB"/>
                  </w:rPr>
                  <m:t xml:space="preserve"> </m:t>
                </m:r>
                <m:r>
                  <w:rPr>
                    <w:rFonts w:ascii="Cambria Math" w:eastAsia="Times New Roman" w:hAnsi="Cambria Math" w:cs="Times New Roman" w:hint="eastAsia"/>
                    <w:color w:val="4A4A4A"/>
                    <w:sz w:val="18"/>
                    <w:szCs w:val="18"/>
                    <w:lang w:eastAsia="en-GB"/>
                  </w:rPr>
                  <m:t>×</m:t>
                </m:r>
                <m:r>
                  <w:rPr>
                    <w:rFonts w:ascii="Cambria Math" w:eastAsia="Times New Roman" w:cs="Times New Roman"/>
                    <w:color w:val="4A4A4A"/>
                    <w:sz w:val="18"/>
                    <w:szCs w:val="18"/>
                    <w:lang w:eastAsia="en-GB"/>
                  </w:rPr>
                  <m:t>100</m:t>
                </m:r>
              </m:oMath>
            </m:oMathPara>
          </w:p>
          <w:p w14:paraId="64E6E004" w14:textId="77777777" w:rsidR="00297195" w:rsidRDefault="00297195" w:rsidP="00406F3B">
            <w:pPr>
              <w:jc w:val="both"/>
              <w:rPr>
                <w:rFonts w:eastAsiaTheme="minorEastAsia"/>
                <w:color w:val="4A4A4A"/>
                <w:sz w:val="18"/>
                <w:szCs w:val="18"/>
                <w:lang w:eastAsia="en-GB"/>
              </w:rPr>
            </w:pPr>
          </w:p>
          <w:p w14:paraId="082CE175" w14:textId="77777777" w:rsidR="00297195" w:rsidRPr="00827F84" w:rsidRDefault="00297195" w:rsidP="00406F3B">
            <w:pPr>
              <w:jc w:val="both"/>
              <w:rPr>
                <w:b/>
                <w:sz w:val="18"/>
                <w:szCs w:val="18"/>
              </w:rPr>
            </w:pPr>
          </w:p>
        </w:tc>
        <w:tc>
          <w:tcPr>
            <w:tcW w:w="0" w:type="auto"/>
            <w:shd w:val="clear" w:color="auto" w:fill="auto"/>
          </w:tcPr>
          <w:p w14:paraId="3CD1FD7A" w14:textId="77777777" w:rsidR="00297195" w:rsidRPr="00450A11" w:rsidRDefault="00297195" w:rsidP="00406F3B">
            <w:pPr>
              <w:rPr>
                <w:szCs w:val="20"/>
              </w:rPr>
            </w:pPr>
            <w:r w:rsidRPr="00450A11">
              <w:rPr>
                <w:szCs w:val="20"/>
              </w:rPr>
              <w:lastRenderedPageBreak/>
              <w:t xml:space="preserve">Regression model is used based on HIES data. </w:t>
            </w:r>
          </w:p>
          <w:p w14:paraId="5EF5FF18" w14:textId="77777777" w:rsidR="00297195" w:rsidRDefault="00297195" w:rsidP="00406F3B">
            <w:pPr>
              <w:rPr>
                <w:szCs w:val="20"/>
              </w:rPr>
            </w:pPr>
          </w:p>
          <w:p w14:paraId="1E482A64" w14:textId="77777777" w:rsidR="00297195" w:rsidRPr="00450A11" w:rsidRDefault="00297195" w:rsidP="00406F3B">
            <w:pPr>
              <w:rPr>
                <w:b/>
                <w:szCs w:val="20"/>
              </w:rPr>
            </w:pPr>
            <w:r w:rsidRPr="00450A11">
              <w:rPr>
                <w:szCs w:val="20"/>
              </w:rPr>
              <w:t>World Bank calculates the estimates based on the microdata.</w:t>
            </w:r>
          </w:p>
        </w:tc>
        <w:tc>
          <w:tcPr>
            <w:tcW w:w="0" w:type="auto"/>
            <w:shd w:val="clear" w:color="auto" w:fill="auto"/>
          </w:tcPr>
          <w:p w14:paraId="518EFCAB" w14:textId="77777777" w:rsidR="00297195" w:rsidRDefault="00297195" w:rsidP="00406F3B">
            <w:pPr>
              <w:rPr>
                <w:szCs w:val="20"/>
              </w:rPr>
            </w:pPr>
            <w:r w:rsidRPr="00262FC1">
              <w:rPr>
                <w:szCs w:val="20"/>
              </w:rPr>
              <w:t>The World Bank typically receives data from National Statistical Offices (NSOs) directly. In other cases it uses NSO data received indirectly.</w:t>
            </w:r>
          </w:p>
          <w:p w14:paraId="75800AC1" w14:textId="77777777" w:rsidR="00297195" w:rsidRDefault="00297195" w:rsidP="00406F3B">
            <w:pPr>
              <w:rPr>
                <w:szCs w:val="20"/>
              </w:rPr>
            </w:pPr>
          </w:p>
          <w:p w14:paraId="4C2977C3" w14:textId="77777777" w:rsidR="00297195" w:rsidRPr="00262FC1" w:rsidRDefault="00297195" w:rsidP="00406F3B">
            <w:pPr>
              <w:rPr>
                <w:b/>
                <w:szCs w:val="20"/>
              </w:rPr>
            </w:pPr>
          </w:p>
        </w:tc>
        <w:tc>
          <w:tcPr>
            <w:tcW w:w="0" w:type="auto"/>
            <w:shd w:val="clear" w:color="auto" w:fill="auto"/>
          </w:tcPr>
          <w:p w14:paraId="6B31561F" w14:textId="127EF7B3" w:rsidR="00297195" w:rsidRPr="00262FC1" w:rsidRDefault="00297195" w:rsidP="00406F3B">
            <w:pPr>
              <w:jc w:val="both"/>
              <w:rPr>
                <w:b/>
                <w:szCs w:val="20"/>
              </w:rPr>
            </w:pPr>
            <w:r>
              <w:rPr>
                <w:szCs w:val="20"/>
              </w:rPr>
              <w:t xml:space="preserve">PovcalNet, </w:t>
            </w:r>
            <w:r w:rsidRPr="00262FC1">
              <w:rPr>
                <w:szCs w:val="20"/>
              </w:rPr>
              <w:t>WB</w:t>
            </w:r>
          </w:p>
        </w:tc>
        <w:tc>
          <w:tcPr>
            <w:tcW w:w="0" w:type="auto"/>
            <w:shd w:val="clear" w:color="auto" w:fill="auto"/>
          </w:tcPr>
          <w:p w14:paraId="5EC1D214" w14:textId="77777777" w:rsidR="00297195" w:rsidRDefault="00297195" w:rsidP="00406F3B">
            <w:pPr>
              <w:jc w:val="both"/>
              <w:rPr>
                <w:szCs w:val="20"/>
              </w:rPr>
            </w:pPr>
            <w:r>
              <w:rPr>
                <w:szCs w:val="20"/>
              </w:rPr>
              <w:t xml:space="preserve">a) PovcalNet, </w:t>
            </w:r>
            <w:r w:rsidRPr="00262FC1">
              <w:rPr>
                <w:szCs w:val="20"/>
              </w:rPr>
              <w:t>WB</w:t>
            </w:r>
          </w:p>
          <w:p w14:paraId="4CA53BFB" w14:textId="777F27D5" w:rsidR="00297195" w:rsidRDefault="00297195" w:rsidP="00406F3B">
            <w:pPr>
              <w:jc w:val="both"/>
              <w:rPr>
                <w:szCs w:val="20"/>
              </w:rPr>
            </w:pPr>
            <w:r>
              <w:rPr>
                <w:szCs w:val="20"/>
              </w:rPr>
              <w:t xml:space="preserve">b) </w:t>
            </w:r>
            <w:r w:rsidRPr="00262FC1">
              <w:rPr>
                <w:szCs w:val="20"/>
              </w:rPr>
              <w:t>HIES</w:t>
            </w:r>
            <w:r>
              <w:rPr>
                <w:szCs w:val="20"/>
              </w:rPr>
              <w:t>,BBS</w:t>
            </w:r>
          </w:p>
          <w:p w14:paraId="79FAE98B" w14:textId="7659EC66" w:rsidR="00297195" w:rsidRPr="00262FC1" w:rsidRDefault="00297195" w:rsidP="00406F3B">
            <w:pPr>
              <w:jc w:val="both"/>
              <w:rPr>
                <w:b/>
                <w:szCs w:val="20"/>
              </w:rPr>
            </w:pPr>
          </w:p>
        </w:tc>
        <w:tc>
          <w:tcPr>
            <w:tcW w:w="0" w:type="auto"/>
            <w:shd w:val="clear" w:color="auto" w:fill="auto"/>
          </w:tcPr>
          <w:p w14:paraId="0F82929D" w14:textId="67FB06B1" w:rsidR="00297195" w:rsidRDefault="00297195" w:rsidP="00602245">
            <w:pPr>
              <w:pStyle w:val="ListParagraph"/>
              <w:numPr>
                <w:ilvl w:val="0"/>
                <w:numId w:val="2"/>
              </w:numPr>
              <w:spacing w:after="0" w:line="240" w:lineRule="auto"/>
              <w:rPr>
                <w:rFonts w:ascii="Tw Cen MT Condensed" w:hAnsi="Tw Cen MT Condensed"/>
              </w:rPr>
            </w:pPr>
            <w:r w:rsidRPr="00C3600F">
              <w:rPr>
                <w:rFonts w:ascii="Tw Cen MT Condensed" w:hAnsi="Tw Cen MT Condensed"/>
              </w:rPr>
              <w:t>Sex</w:t>
            </w:r>
            <w:r>
              <w:rPr>
                <w:rFonts w:ascii="Tw Cen MT Condensed" w:hAnsi="Tw Cen MT Condensed"/>
              </w:rPr>
              <w:t xml:space="preserve">: </w:t>
            </w:r>
            <w:r w:rsidRPr="00C3600F">
              <w:rPr>
                <w:rFonts w:ascii="Tw Cen MT Condensed" w:hAnsi="Tw Cen MT Condensed"/>
              </w:rPr>
              <w:t>male/female</w:t>
            </w:r>
          </w:p>
          <w:p w14:paraId="1F3F5D9D" w14:textId="77777777" w:rsidR="00297195" w:rsidRDefault="00297195" w:rsidP="00602245">
            <w:pPr>
              <w:pStyle w:val="ListParagraph"/>
              <w:numPr>
                <w:ilvl w:val="0"/>
                <w:numId w:val="2"/>
              </w:numPr>
              <w:spacing w:after="0" w:line="240" w:lineRule="auto"/>
              <w:rPr>
                <w:rFonts w:ascii="Tw Cen MT Condensed" w:hAnsi="Tw Cen MT Condensed"/>
              </w:rPr>
            </w:pPr>
            <w:r w:rsidRPr="00C3600F">
              <w:rPr>
                <w:rFonts w:ascii="Tw Cen MT Condensed" w:hAnsi="Tw Cen MT Condensed"/>
              </w:rPr>
              <w:t>Age</w:t>
            </w:r>
            <w:r>
              <w:rPr>
                <w:rFonts w:ascii="Tw Cen MT Condensed" w:hAnsi="Tw Cen MT Condensed"/>
              </w:rPr>
              <w:t xml:space="preserve">: </w:t>
            </w:r>
            <w:r w:rsidRPr="00C3600F">
              <w:rPr>
                <w:rFonts w:ascii="Tw Cen MT Condensed" w:hAnsi="Tw Cen MT Condensed"/>
              </w:rPr>
              <w:t>15 years and over/ 15 to 24 years/ 25 years and older</w:t>
            </w:r>
          </w:p>
          <w:p w14:paraId="5CF71BF0" w14:textId="77777777" w:rsidR="00297195" w:rsidRPr="00C3600F" w:rsidRDefault="00297195" w:rsidP="00602245">
            <w:pPr>
              <w:pStyle w:val="ListParagraph"/>
              <w:numPr>
                <w:ilvl w:val="0"/>
                <w:numId w:val="2"/>
              </w:numPr>
              <w:spacing w:after="0" w:line="240" w:lineRule="auto"/>
              <w:rPr>
                <w:rFonts w:ascii="Tw Cen MT Condensed" w:hAnsi="Tw Cen MT Condensed"/>
              </w:rPr>
            </w:pPr>
            <w:r w:rsidRPr="00C3600F">
              <w:rPr>
                <w:rFonts w:ascii="Tw Cen MT Condensed" w:hAnsi="Tw Cen MT Condensed"/>
              </w:rPr>
              <w:t>Employment status</w:t>
            </w:r>
            <w:r>
              <w:rPr>
                <w:rFonts w:ascii="Tw Cen MT Condensed" w:hAnsi="Tw Cen MT Condensed"/>
              </w:rPr>
              <w:t>: Employed, Unemployed</w:t>
            </w:r>
          </w:p>
          <w:p w14:paraId="224477D5" w14:textId="0EF7A01B" w:rsidR="00297195" w:rsidRPr="00CB3103" w:rsidRDefault="00297195" w:rsidP="00602245">
            <w:pPr>
              <w:pStyle w:val="ListParagraph"/>
              <w:numPr>
                <w:ilvl w:val="0"/>
                <w:numId w:val="2"/>
              </w:numPr>
              <w:spacing w:line="240" w:lineRule="auto"/>
              <w:jc w:val="both"/>
              <w:rPr>
                <w:rFonts w:ascii="Tw Cen MT Condensed" w:hAnsi="Tw Cen MT Condensed"/>
                <w:b/>
                <w:sz w:val="20"/>
                <w:szCs w:val="20"/>
              </w:rPr>
            </w:pPr>
            <w:r w:rsidRPr="00C3600F">
              <w:rPr>
                <w:rFonts w:ascii="Tw Cen MT Condensed" w:hAnsi="Tw Cen MT Condensed"/>
              </w:rPr>
              <w:t>Geographical location</w:t>
            </w:r>
            <w:r>
              <w:rPr>
                <w:rFonts w:ascii="Tw Cen MT Condensed" w:hAnsi="Tw Cen MT Condensed"/>
              </w:rPr>
              <w:t>: Rural, urban</w:t>
            </w:r>
          </w:p>
        </w:tc>
        <w:tc>
          <w:tcPr>
            <w:tcW w:w="0" w:type="auto"/>
            <w:shd w:val="clear" w:color="auto" w:fill="auto"/>
          </w:tcPr>
          <w:p w14:paraId="37B5E95E" w14:textId="77777777" w:rsidR="00297195" w:rsidRPr="00262FC1" w:rsidRDefault="00297195" w:rsidP="00406F3B">
            <w:pPr>
              <w:jc w:val="center"/>
              <w:rPr>
                <w:b/>
                <w:szCs w:val="20"/>
              </w:rPr>
            </w:pPr>
            <w:r>
              <w:t>Triennial</w:t>
            </w:r>
          </w:p>
        </w:tc>
        <w:tc>
          <w:tcPr>
            <w:tcW w:w="0" w:type="auto"/>
            <w:shd w:val="clear" w:color="auto" w:fill="auto"/>
          </w:tcPr>
          <w:p w14:paraId="58C67D75" w14:textId="77777777" w:rsidR="00297195" w:rsidRPr="00C766D7" w:rsidRDefault="00297195" w:rsidP="00406F3B">
            <w:pPr>
              <w:jc w:val="center"/>
              <w:rPr>
                <w:bCs/>
                <w:szCs w:val="20"/>
              </w:rPr>
            </w:pPr>
            <w:r w:rsidRPr="00C766D7">
              <w:rPr>
                <w:bCs/>
                <w:szCs w:val="20"/>
              </w:rPr>
              <w:t>Group 1</w:t>
            </w:r>
          </w:p>
        </w:tc>
        <w:tc>
          <w:tcPr>
            <w:tcW w:w="0" w:type="auto"/>
            <w:shd w:val="clear" w:color="auto" w:fill="auto"/>
          </w:tcPr>
          <w:p w14:paraId="51C7E831" w14:textId="77777777" w:rsidR="00297195" w:rsidRDefault="00297195" w:rsidP="00406F3B">
            <w:pPr>
              <w:pStyle w:val="NoSpacing"/>
            </w:pPr>
            <w:r>
              <w:t>1</w:t>
            </w:r>
            <w:r w:rsidRPr="00013ACB">
              <w:rPr>
                <w:vertAlign w:val="superscript"/>
              </w:rPr>
              <w:t>st</w:t>
            </w:r>
            <w:r>
              <w:t xml:space="preserve"> Round: 2016</w:t>
            </w:r>
          </w:p>
          <w:p w14:paraId="7D236ED9" w14:textId="77777777" w:rsidR="00297195" w:rsidRDefault="00297195" w:rsidP="00406F3B">
            <w:pPr>
              <w:pStyle w:val="NoSpacing"/>
            </w:pPr>
          </w:p>
          <w:p w14:paraId="53606CDF" w14:textId="77777777" w:rsidR="00297195" w:rsidRDefault="00297195" w:rsidP="00406F3B">
            <w:pPr>
              <w:pStyle w:val="NoSpacing"/>
            </w:pPr>
            <w:r>
              <w:t>2</w:t>
            </w:r>
            <w:r w:rsidRPr="00013ACB">
              <w:rPr>
                <w:vertAlign w:val="superscript"/>
              </w:rPr>
              <w:t>nd</w:t>
            </w:r>
            <w:r>
              <w:t xml:space="preserve"> Round: June, 2021</w:t>
            </w:r>
          </w:p>
          <w:p w14:paraId="353D9289" w14:textId="77777777" w:rsidR="00297195" w:rsidRDefault="00297195" w:rsidP="00406F3B">
            <w:pPr>
              <w:pStyle w:val="NoSpacing"/>
            </w:pPr>
          </w:p>
          <w:p w14:paraId="162B5E59" w14:textId="77777777" w:rsidR="00297195" w:rsidRDefault="00297195" w:rsidP="00406F3B">
            <w:pPr>
              <w:pStyle w:val="NoSpacing"/>
            </w:pPr>
            <w:r>
              <w:t>3</w:t>
            </w:r>
            <w:r w:rsidRPr="00013ACB">
              <w:rPr>
                <w:vertAlign w:val="superscript"/>
              </w:rPr>
              <w:t>rd</w:t>
            </w:r>
            <w:r>
              <w:t xml:space="preserve"> Round: </w:t>
            </w:r>
          </w:p>
          <w:p w14:paraId="18CF483D" w14:textId="77777777" w:rsidR="00297195" w:rsidRDefault="00297195" w:rsidP="00406F3B">
            <w:pPr>
              <w:pStyle w:val="NoSpacing"/>
            </w:pPr>
            <w:r>
              <w:t>June, 2024</w:t>
            </w:r>
          </w:p>
          <w:p w14:paraId="6312FFB6" w14:textId="77777777" w:rsidR="00297195" w:rsidRDefault="00297195" w:rsidP="00406F3B">
            <w:pPr>
              <w:pStyle w:val="NoSpacing"/>
            </w:pPr>
          </w:p>
          <w:p w14:paraId="6AE8C1C1" w14:textId="77777777" w:rsidR="00297195" w:rsidRDefault="00297195" w:rsidP="00406F3B">
            <w:pPr>
              <w:pStyle w:val="NoSpacing"/>
            </w:pPr>
            <w:r>
              <w:t>4</w:t>
            </w:r>
            <w:r w:rsidRPr="00013ACB">
              <w:rPr>
                <w:vertAlign w:val="superscript"/>
              </w:rPr>
              <w:t>th</w:t>
            </w:r>
            <w:r>
              <w:t xml:space="preserve"> Round: </w:t>
            </w:r>
          </w:p>
          <w:p w14:paraId="7E5E04BE" w14:textId="77777777" w:rsidR="00297195" w:rsidRDefault="00297195" w:rsidP="00406F3B">
            <w:pPr>
              <w:pStyle w:val="NoSpacing"/>
            </w:pPr>
            <w:r>
              <w:t>June, 2027</w:t>
            </w:r>
          </w:p>
          <w:p w14:paraId="77E8E222" w14:textId="77777777" w:rsidR="00297195" w:rsidRDefault="00297195" w:rsidP="00406F3B">
            <w:pPr>
              <w:pStyle w:val="NoSpacing"/>
            </w:pPr>
          </w:p>
          <w:p w14:paraId="3C382EF5" w14:textId="77777777" w:rsidR="00297195" w:rsidRDefault="00297195" w:rsidP="00406F3B">
            <w:pPr>
              <w:pStyle w:val="NoSpacing"/>
            </w:pPr>
            <w:r>
              <w:t>5</w:t>
            </w:r>
            <w:r w:rsidRPr="00013ACB">
              <w:rPr>
                <w:vertAlign w:val="superscript"/>
              </w:rPr>
              <w:t>th</w:t>
            </w:r>
            <w:r>
              <w:t xml:space="preserve"> Round:</w:t>
            </w:r>
          </w:p>
          <w:p w14:paraId="526E498A" w14:textId="77777777" w:rsidR="00297195" w:rsidRDefault="00297195" w:rsidP="00406F3B">
            <w:pPr>
              <w:pStyle w:val="NoSpacing"/>
            </w:pPr>
            <w:r>
              <w:t>June, 2030</w:t>
            </w:r>
          </w:p>
          <w:p w14:paraId="6C08197C" w14:textId="77777777" w:rsidR="00297195" w:rsidRDefault="00297195" w:rsidP="00406F3B">
            <w:pPr>
              <w:pStyle w:val="NoSpacing"/>
            </w:pPr>
            <w:r>
              <w:t xml:space="preserve"> </w:t>
            </w:r>
          </w:p>
          <w:p w14:paraId="0DC68889" w14:textId="77777777" w:rsidR="00297195" w:rsidRDefault="00297195" w:rsidP="00406F3B">
            <w:pPr>
              <w:pStyle w:val="NoSpacing"/>
            </w:pPr>
          </w:p>
          <w:p w14:paraId="1470A532" w14:textId="77777777" w:rsidR="00297195" w:rsidRDefault="00297195" w:rsidP="00406F3B">
            <w:pPr>
              <w:pStyle w:val="NoSpacing"/>
            </w:pPr>
          </w:p>
          <w:p w14:paraId="407E3632" w14:textId="6F2119D1" w:rsidR="00297195" w:rsidRPr="003265B9" w:rsidRDefault="00297195" w:rsidP="00406F3B">
            <w:pPr>
              <w:pStyle w:val="NoSpacing"/>
            </w:pPr>
          </w:p>
        </w:tc>
        <w:tc>
          <w:tcPr>
            <w:tcW w:w="0" w:type="auto"/>
            <w:shd w:val="clear" w:color="auto" w:fill="auto"/>
          </w:tcPr>
          <w:p w14:paraId="44F1FD7F" w14:textId="77777777" w:rsidR="00297195" w:rsidRDefault="00297195" w:rsidP="00406F3B">
            <w:pPr>
              <w:pStyle w:val="NoSpacing"/>
            </w:pPr>
            <w:r w:rsidRPr="00CF5CFB">
              <w:t>Estimate for Bangladesh is based on HIES data.</w:t>
            </w:r>
          </w:p>
          <w:p w14:paraId="1296C91B" w14:textId="77777777" w:rsidR="00297195" w:rsidRPr="00CF5CFB" w:rsidRDefault="00297195" w:rsidP="00406F3B">
            <w:pPr>
              <w:pStyle w:val="NoSpacing"/>
            </w:pPr>
            <w:r w:rsidRPr="00CF5CFB">
              <w:t xml:space="preserve"> </w:t>
            </w:r>
          </w:p>
          <w:p w14:paraId="3DADCDBA" w14:textId="77777777" w:rsidR="00297195" w:rsidRDefault="00297195" w:rsidP="00406F3B">
            <w:pPr>
              <w:pStyle w:val="NoSpacing"/>
            </w:pPr>
            <w:r w:rsidRPr="00CF5CFB">
              <w:t xml:space="preserve">BBS will input data subject to </w:t>
            </w:r>
            <w:proofErr w:type="gramStart"/>
            <w:r w:rsidRPr="00CF5CFB">
              <w:t>published</w:t>
            </w:r>
            <w:proofErr w:type="gramEnd"/>
            <w:r w:rsidRPr="00CF5CFB">
              <w:t xml:space="preserve"> by WB. </w:t>
            </w:r>
          </w:p>
          <w:p w14:paraId="4FBA25E5" w14:textId="77777777" w:rsidR="00297195" w:rsidRPr="00CF5CFB" w:rsidRDefault="00297195" w:rsidP="00406F3B">
            <w:pPr>
              <w:pStyle w:val="NoSpacing"/>
            </w:pPr>
          </w:p>
          <w:p w14:paraId="334CAD6A" w14:textId="77777777" w:rsidR="00297195" w:rsidRDefault="00297195" w:rsidP="00406F3B">
            <w:pPr>
              <w:pStyle w:val="NoSpacing"/>
            </w:pPr>
            <w:r>
              <w:t>Disaggregated data are not available.</w:t>
            </w:r>
          </w:p>
          <w:p w14:paraId="1FA59294" w14:textId="77777777" w:rsidR="00297195" w:rsidRDefault="00297195" w:rsidP="00406F3B">
            <w:pPr>
              <w:pStyle w:val="NoSpacing"/>
            </w:pPr>
          </w:p>
          <w:p w14:paraId="2DF4EDCA" w14:textId="77777777" w:rsidR="00297195" w:rsidRDefault="00297195" w:rsidP="00406F3B">
            <w:pPr>
              <w:pStyle w:val="NoSpacing"/>
            </w:pPr>
          </w:p>
          <w:p w14:paraId="285336CD" w14:textId="77777777" w:rsidR="00297195" w:rsidRPr="00CF5CFB" w:rsidRDefault="00297195" w:rsidP="00406F3B">
            <w:pPr>
              <w:pStyle w:val="NoSpacing"/>
            </w:pPr>
            <w:r w:rsidRPr="00CF5CFB">
              <w:t>UNSC 51 refinement</w:t>
            </w:r>
          </w:p>
        </w:tc>
      </w:tr>
      <w:tr w:rsidR="00297195" w14:paraId="0594283A" w14:textId="77777777" w:rsidTr="0085651F">
        <w:tc>
          <w:tcPr>
            <w:tcW w:w="0" w:type="auto"/>
            <w:gridSpan w:val="13"/>
            <w:shd w:val="clear" w:color="auto" w:fill="auto"/>
          </w:tcPr>
          <w:p w14:paraId="680AE8DC" w14:textId="77777777" w:rsidR="00297195" w:rsidRPr="009A1C23" w:rsidRDefault="00297195" w:rsidP="00406F3B">
            <w:pPr>
              <w:jc w:val="both"/>
              <w:rPr>
                <w:color w:val="C00000"/>
                <w:sz w:val="30"/>
                <w:szCs w:val="30"/>
              </w:rPr>
            </w:pPr>
            <w:r>
              <w:rPr>
                <w:color w:val="C00000"/>
                <w:sz w:val="30"/>
                <w:szCs w:val="30"/>
              </w:rPr>
              <w:lastRenderedPageBreak/>
              <w:t xml:space="preserve">Target </w:t>
            </w:r>
            <w:r w:rsidRPr="009A1C23">
              <w:rPr>
                <w:color w:val="C00000"/>
                <w:sz w:val="30"/>
                <w:szCs w:val="30"/>
              </w:rPr>
              <w:t>1.2</w:t>
            </w:r>
            <w:r>
              <w:rPr>
                <w:color w:val="C00000"/>
                <w:sz w:val="30"/>
                <w:szCs w:val="30"/>
              </w:rPr>
              <w:t>:</w:t>
            </w:r>
            <w:r w:rsidRPr="009A1C23">
              <w:rPr>
                <w:color w:val="C00000"/>
                <w:sz w:val="30"/>
                <w:szCs w:val="30"/>
              </w:rPr>
              <w:t xml:space="preserve"> By 2030, reduce at least by half the proportion of men, women and children of all ages living in poverty in all its dimensions according to national definitions</w:t>
            </w:r>
          </w:p>
        </w:tc>
      </w:tr>
      <w:tr w:rsidR="00297195" w14:paraId="4C25FE24" w14:textId="77777777" w:rsidTr="0085651F">
        <w:tc>
          <w:tcPr>
            <w:tcW w:w="0" w:type="auto"/>
            <w:shd w:val="clear" w:color="auto" w:fill="auto"/>
          </w:tcPr>
          <w:p w14:paraId="1FD7E68E" w14:textId="77777777" w:rsidR="00297195" w:rsidRPr="00262FC1" w:rsidRDefault="00297195" w:rsidP="00406F3B">
            <w:pPr>
              <w:pStyle w:val="NoSpacing"/>
              <w:rPr>
                <w:b/>
              </w:rPr>
            </w:pPr>
            <w:r w:rsidRPr="00262FC1">
              <w:t>1.2.1</w:t>
            </w:r>
            <w:r>
              <w:t>:</w:t>
            </w:r>
            <w:r w:rsidRPr="00262FC1">
              <w:t xml:space="preserve"> Proportion of population living below the national poverty line, by sex and age</w:t>
            </w:r>
          </w:p>
        </w:tc>
        <w:tc>
          <w:tcPr>
            <w:tcW w:w="0" w:type="auto"/>
            <w:shd w:val="clear" w:color="auto" w:fill="auto"/>
          </w:tcPr>
          <w:p w14:paraId="38B492E1" w14:textId="77777777" w:rsidR="00297195" w:rsidRPr="00DE3AFB" w:rsidRDefault="00297195" w:rsidP="00406F3B">
            <w:pPr>
              <w:pStyle w:val="NoSpacing"/>
            </w:pPr>
            <w:r w:rsidRPr="00DE3AFB">
              <w:t>World Bank</w:t>
            </w:r>
          </w:p>
          <w:p w14:paraId="02738B8C" w14:textId="77777777" w:rsidR="00297195" w:rsidRPr="00DE3AFB" w:rsidRDefault="00297195" w:rsidP="00406F3B">
            <w:pPr>
              <w:pStyle w:val="NoSpacing"/>
            </w:pPr>
          </w:p>
          <w:p w14:paraId="25BD2A1D" w14:textId="77777777" w:rsidR="00297195" w:rsidRPr="00262FC1" w:rsidRDefault="00297195" w:rsidP="00406F3B">
            <w:pPr>
              <w:pStyle w:val="NoSpacing"/>
              <w:rPr>
                <w:b/>
                <w:color w:val="000000" w:themeColor="text1"/>
              </w:rPr>
            </w:pPr>
            <w:r w:rsidRPr="00DE3AFB">
              <w:t>Partner Agency: UNICEF</w:t>
            </w:r>
          </w:p>
        </w:tc>
        <w:tc>
          <w:tcPr>
            <w:tcW w:w="0" w:type="auto"/>
            <w:shd w:val="clear" w:color="auto" w:fill="auto"/>
          </w:tcPr>
          <w:p w14:paraId="6505737A" w14:textId="77777777" w:rsidR="00297195" w:rsidRPr="00682525" w:rsidRDefault="00297195" w:rsidP="00406F3B">
            <w:pPr>
              <w:pStyle w:val="NoSpacing"/>
            </w:pPr>
            <w:r w:rsidRPr="00682525">
              <w:t>Tier I</w:t>
            </w:r>
          </w:p>
        </w:tc>
        <w:tc>
          <w:tcPr>
            <w:tcW w:w="0" w:type="auto"/>
            <w:shd w:val="clear" w:color="auto" w:fill="auto"/>
          </w:tcPr>
          <w:p w14:paraId="1D2BF11B" w14:textId="77777777" w:rsidR="00297195" w:rsidRPr="00827F84" w:rsidRDefault="00297195" w:rsidP="00406F3B">
            <w:pPr>
              <w:pStyle w:val="NoSpacing"/>
              <w:rPr>
                <w:b/>
              </w:rPr>
            </w:pPr>
            <w:r w:rsidRPr="00827F84">
              <w:rPr>
                <w:b/>
              </w:rPr>
              <w:t>Definition:</w:t>
            </w:r>
          </w:p>
          <w:p w14:paraId="39CD4DDC" w14:textId="77777777" w:rsidR="00297195" w:rsidRPr="00DE3AFB" w:rsidRDefault="00297195" w:rsidP="00406F3B">
            <w:pPr>
              <w:pStyle w:val="NoSpacing"/>
            </w:pPr>
            <w:r w:rsidRPr="00DE3AFB">
              <w:t>The national poverty rate is the percentage of the total population living below the national poverty line. The rural poverty rate is the percentage of the rural population living below the national poverty line (or in cases where a separate, rural poverty line is used, the rural poverty line). Urban poverty rate is the percentage of the urban population living below the national poverty line (or in cases where a separate, urban poverty line is used, the urban poverty line).</w:t>
            </w:r>
          </w:p>
          <w:p w14:paraId="1430BB7B" w14:textId="77777777" w:rsidR="00297195" w:rsidRPr="00827F84" w:rsidRDefault="00297195" w:rsidP="00406F3B">
            <w:pPr>
              <w:pStyle w:val="NoSpacing"/>
              <w:rPr>
                <w:b/>
              </w:rPr>
            </w:pPr>
            <w:r w:rsidRPr="00827F84">
              <w:rPr>
                <w:b/>
              </w:rPr>
              <w:t>Rationale:</w:t>
            </w:r>
          </w:p>
          <w:p w14:paraId="2C9506E5" w14:textId="77777777" w:rsidR="00297195" w:rsidRPr="00DE3AFB" w:rsidRDefault="00297195" w:rsidP="00406F3B">
            <w:pPr>
              <w:pStyle w:val="NoSpacing"/>
            </w:pPr>
            <w:r w:rsidRPr="00DE3AFB">
              <w:t>Monitoring national poverty is important for country-specific development agendas. National poverty lines are used to make more accurate estimates of poverty consistent with the country’s specific economic and social circumstances, and are not intended for international comparisons of poverty rates.</w:t>
            </w:r>
          </w:p>
          <w:p w14:paraId="6C365548" w14:textId="77777777" w:rsidR="00297195" w:rsidRPr="00827F84" w:rsidRDefault="00297195" w:rsidP="00406F3B">
            <w:pPr>
              <w:pStyle w:val="NoSpacing"/>
              <w:rPr>
                <w:b/>
              </w:rPr>
            </w:pPr>
            <w:r w:rsidRPr="00827F84">
              <w:rPr>
                <w:b/>
              </w:rPr>
              <w:t>Concepts:</w:t>
            </w:r>
          </w:p>
          <w:p w14:paraId="7B72A00B" w14:textId="77777777" w:rsidR="00297195" w:rsidRDefault="00297195" w:rsidP="00E81E46">
            <w:pPr>
              <w:pStyle w:val="NoSpacing"/>
              <w:jc w:val="both"/>
            </w:pPr>
            <w:r w:rsidRPr="00DE3AFB">
              <w:t>In assessing poverty in a given country, and how best to reduce poverty according to national definitions, one naturally focuses on a poverty line that is considered appropriate for that country. Poverty lines across countries vary in terms of their purchasing power, and they have a strong economic gradient, such that richer countries tend to adopt higher standards of living in defining poverty. Within a country, the cost of living is typically higher in urban areas than in rural areas. Some countries may have separate urban and rural poverty lines to represent different purchasing powers.</w:t>
            </w:r>
          </w:p>
          <w:p w14:paraId="7772AD9E" w14:textId="77777777" w:rsidR="00297195" w:rsidRDefault="00297195" w:rsidP="00406F3B">
            <w:pPr>
              <w:pStyle w:val="NoSpacing"/>
            </w:pPr>
          </w:p>
          <w:p w14:paraId="057B8EB2" w14:textId="77777777" w:rsidR="00297195" w:rsidRPr="00827F84" w:rsidRDefault="00297195" w:rsidP="00406F3B">
            <w:pPr>
              <w:pStyle w:val="NoSpacing"/>
              <w:rPr>
                <w:b/>
              </w:rPr>
            </w:pPr>
            <w:r w:rsidRPr="00827F84">
              <w:rPr>
                <w:b/>
              </w:rPr>
              <w:t>Comments and limitations:</w:t>
            </w:r>
          </w:p>
          <w:p w14:paraId="701E05B9" w14:textId="77777777" w:rsidR="00297195" w:rsidRDefault="00297195" w:rsidP="00E81E46">
            <w:pPr>
              <w:pStyle w:val="NoSpacing"/>
              <w:jc w:val="both"/>
            </w:pPr>
            <w:r w:rsidRPr="001F7A46">
              <w:t>To be useful for poverty estimates, surveys must be nationally representative.</w:t>
            </w:r>
            <w:r>
              <w:t xml:space="preserve"> </w:t>
            </w:r>
            <w:r w:rsidRPr="001F7A46">
              <w:t>Consumption is measured by using household survey questions on food and nonfood expenditures as well as food consumed from the household’s own production, which is particularly important in the poorest developing countries. This information is collected either through recall questions using lists of consumption items or through diaries in which respondents record all expenditures daily. But these methods do not always provide equivalent information, and depending on the approach used, consumption can be underestimated or overestimated. Different surveys use different recall or reference periods. Depending on the true flow of expenditures, the rate of spending reported is sensitive to the length of reporting period. The longer the reference period, the more likely respondents will fail to recall certain expenses—especially food items—thus resulting in underestimation of true expenditure.</w:t>
            </w:r>
          </w:p>
          <w:p w14:paraId="4ACE79DA" w14:textId="77777777" w:rsidR="00297195" w:rsidRPr="00DE3AFB" w:rsidRDefault="00297195" w:rsidP="00406F3B">
            <w:pPr>
              <w:pStyle w:val="NoSpacing"/>
            </w:pPr>
          </w:p>
          <w:p w14:paraId="6E256C8B" w14:textId="77777777" w:rsidR="00297195" w:rsidRPr="00827F84" w:rsidRDefault="00297195" w:rsidP="00406F3B">
            <w:pPr>
              <w:pStyle w:val="NoSpacing"/>
              <w:rPr>
                <w:b/>
              </w:rPr>
            </w:pPr>
            <w:r w:rsidRPr="00827F84">
              <w:rPr>
                <w:b/>
              </w:rPr>
              <w:t>Computation Methods and Formula:</w:t>
            </w:r>
          </w:p>
          <w:p w14:paraId="2CC21439" w14:textId="77777777" w:rsidR="00297195" w:rsidRPr="00DE3AFB" w:rsidRDefault="00297195" w:rsidP="00406F3B">
            <w:pPr>
              <w:pStyle w:val="NoSpacing"/>
            </w:pPr>
            <w:r w:rsidRPr="00DE3AFB">
              <w:t>The formula for calculating the proportion of the total, urban and rural population living below the national poverty line, or headcount</w:t>
            </w:r>
          </w:p>
          <w:p w14:paraId="2C8E8EC6" w14:textId="77777777" w:rsidR="00297195" w:rsidRPr="00DE3AFB" w:rsidRDefault="00297195" w:rsidP="00406F3B">
            <w:pPr>
              <w:pStyle w:val="NoSpacing"/>
            </w:pPr>
            <w:r w:rsidRPr="00DE3AFB">
              <w:rPr>
                <w:noProof/>
                <w:lang w:bidi="bn-BD"/>
              </w:rPr>
              <w:drawing>
                <wp:inline distT="0" distB="0" distL="0" distR="0" wp14:anchorId="31AD30D3" wp14:editId="795FD2C4">
                  <wp:extent cx="1298655" cy="560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duotone>
                              <a:prstClr val="black"/>
                              <a:srgbClr val="B3FFB3">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311016" cy="565400"/>
                          </a:xfrm>
                          <a:prstGeom prst="rect">
                            <a:avLst/>
                          </a:prstGeom>
                          <a:noFill/>
                          <a:ln>
                            <a:noFill/>
                          </a:ln>
                        </pic:spPr>
                      </pic:pic>
                    </a:graphicData>
                  </a:graphic>
                </wp:inline>
              </w:drawing>
            </w:r>
          </w:p>
          <w:p w14:paraId="74080104" w14:textId="77777777" w:rsidR="00297195" w:rsidRPr="00262FC1" w:rsidRDefault="00297195" w:rsidP="00406F3B">
            <w:pPr>
              <w:pStyle w:val="NoSpacing"/>
            </w:pPr>
            <w:r w:rsidRPr="00DE3AFB">
              <w:t xml:space="preserve">Where I (.) is an indicator function that takes on a value of 1 if the bracketed expression is true, and 0 otherwise. If individual consumption or income yi is less than the national poverty line </w:t>
            </w:r>
            <w:r w:rsidRPr="00DE3AFB">
              <w:br w:type="page"/>
              <w:t xml:space="preserve"> (for example, in </w:t>
            </w:r>
            <w:r w:rsidRPr="00DE3AFB">
              <w:lastRenderedPageBreak/>
              <w:t>absolute terms the line could be the price of a consumption bundle or in relative terms a percentage of the income distribution), then  yi is equal to 1 and the individual is counted as poor. Np</w:t>
            </w:r>
            <w:r w:rsidRPr="00DE3AFB">
              <w:br w:type="column"/>
              <w:t xml:space="preserve"> is the total, urban or rural number of poor. N is the total, urban or rural population.</w:t>
            </w:r>
          </w:p>
        </w:tc>
        <w:tc>
          <w:tcPr>
            <w:tcW w:w="0" w:type="auto"/>
            <w:shd w:val="clear" w:color="auto" w:fill="auto"/>
          </w:tcPr>
          <w:p w14:paraId="721BF468" w14:textId="77777777" w:rsidR="00297195" w:rsidRPr="00262FC1" w:rsidRDefault="00297195" w:rsidP="00406F3B">
            <w:pPr>
              <w:pStyle w:val="NoSpacing"/>
              <w:rPr>
                <w:b/>
              </w:rPr>
            </w:pPr>
            <w:r w:rsidRPr="00262FC1">
              <w:lastRenderedPageBreak/>
              <w:t>Household survey</w:t>
            </w:r>
          </w:p>
        </w:tc>
        <w:tc>
          <w:tcPr>
            <w:tcW w:w="0" w:type="auto"/>
            <w:shd w:val="clear" w:color="auto" w:fill="auto"/>
          </w:tcPr>
          <w:p w14:paraId="357C20A9" w14:textId="77777777" w:rsidR="00297195" w:rsidRPr="00262FC1" w:rsidRDefault="00297195" w:rsidP="00406F3B">
            <w:pPr>
              <w:pStyle w:val="NoSpacing"/>
              <w:rPr>
                <w:b/>
              </w:rPr>
            </w:pPr>
            <w:r>
              <w:t>National Statistic Office</w:t>
            </w:r>
          </w:p>
        </w:tc>
        <w:tc>
          <w:tcPr>
            <w:tcW w:w="0" w:type="auto"/>
            <w:shd w:val="clear" w:color="auto" w:fill="auto"/>
          </w:tcPr>
          <w:p w14:paraId="75FDB601" w14:textId="77777777" w:rsidR="00297195" w:rsidRPr="00262FC1" w:rsidRDefault="00297195" w:rsidP="00406F3B">
            <w:pPr>
              <w:rPr>
                <w:b/>
                <w:szCs w:val="20"/>
              </w:rPr>
            </w:pPr>
            <w:r w:rsidRPr="00262FC1">
              <w:rPr>
                <w:szCs w:val="20"/>
              </w:rPr>
              <w:t>HIES</w:t>
            </w:r>
            <w:r>
              <w:rPr>
                <w:szCs w:val="20"/>
              </w:rPr>
              <w:t>, BBS</w:t>
            </w:r>
          </w:p>
        </w:tc>
        <w:tc>
          <w:tcPr>
            <w:tcW w:w="0" w:type="auto"/>
            <w:shd w:val="clear" w:color="auto" w:fill="auto"/>
          </w:tcPr>
          <w:p w14:paraId="213C3090" w14:textId="77777777" w:rsidR="00297195" w:rsidRPr="00262FC1" w:rsidRDefault="00297195" w:rsidP="00406F3B">
            <w:pPr>
              <w:rPr>
                <w:b/>
                <w:szCs w:val="20"/>
              </w:rPr>
            </w:pPr>
            <w:r w:rsidRPr="00262FC1">
              <w:rPr>
                <w:szCs w:val="20"/>
              </w:rPr>
              <w:t>HIES</w:t>
            </w:r>
            <w:r>
              <w:rPr>
                <w:szCs w:val="20"/>
              </w:rPr>
              <w:t>, BBS</w:t>
            </w:r>
          </w:p>
        </w:tc>
        <w:tc>
          <w:tcPr>
            <w:tcW w:w="0" w:type="auto"/>
            <w:shd w:val="clear" w:color="auto" w:fill="auto"/>
          </w:tcPr>
          <w:p w14:paraId="7B020CAC" w14:textId="77777777" w:rsidR="00297195" w:rsidRPr="00AE7E46" w:rsidRDefault="00297195" w:rsidP="000C4849">
            <w:pPr>
              <w:pStyle w:val="ListParagraph"/>
              <w:numPr>
                <w:ilvl w:val="0"/>
                <w:numId w:val="2"/>
              </w:numPr>
              <w:spacing w:after="0" w:line="240" w:lineRule="auto"/>
              <w:ind w:left="119" w:hanging="119"/>
              <w:rPr>
                <w:rFonts w:ascii="Tw Cen MT Condensed" w:hAnsi="Tw Cen MT Condensed"/>
              </w:rPr>
            </w:pPr>
            <w:r w:rsidRPr="00AE7E46">
              <w:rPr>
                <w:rFonts w:ascii="Tw Cen MT Condensed" w:hAnsi="Tw Cen MT Condensed"/>
              </w:rPr>
              <w:t xml:space="preserve">Sex: </w:t>
            </w:r>
            <w:r w:rsidRPr="00C3600F">
              <w:rPr>
                <w:rFonts w:ascii="Tw Cen MT Condensed" w:hAnsi="Tw Cen MT Condensed"/>
              </w:rPr>
              <w:t>male/female</w:t>
            </w:r>
          </w:p>
          <w:p w14:paraId="21C82C92" w14:textId="1762B47C" w:rsidR="006856A8" w:rsidRDefault="00297195" w:rsidP="006856A8">
            <w:pPr>
              <w:pStyle w:val="ListParagraph"/>
              <w:numPr>
                <w:ilvl w:val="0"/>
                <w:numId w:val="2"/>
              </w:numPr>
              <w:spacing w:after="0" w:line="240" w:lineRule="auto"/>
              <w:rPr>
                <w:rFonts w:ascii="Tw Cen MT Condensed" w:hAnsi="Tw Cen MT Condensed"/>
              </w:rPr>
            </w:pPr>
            <w:r>
              <w:rPr>
                <w:rFonts w:ascii="Tw Cen MT Condensed" w:hAnsi="Tw Cen MT Condensed"/>
              </w:rPr>
              <w:t>Age:</w:t>
            </w:r>
            <w:r w:rsidR="006856A8" w:rsidRPr="00C3600F">
              <w:rPr>
                <w:rFonts w:ascii="Tw Cen MT Condensed" w:hAnsi="Tw Cen MT Condensed"/>
              </w:rPr>
              <w:t xml:space="preserve"> 15 years and over/ 15 to 24 years/ 25 years and older</w:t>
            </w:r>
          </w:p>
          <w:p w14:paraId="18AD2670" w14:textId="0D2AF03F" w:rsidR="00297195" w:rsidRPr="00AE7E46" w:rsidRDefault="00297195" w:rsidP="000C4849">
            <w:pPr>
              <w:pStyle w:val="ListParagraph"/>
              <w:numPr>
                <w:ilvl w:val="0"/>
                <w:numId w:val="2"/>
              </w:numPr>
              <w:spacing w:after="0" w:line="240" w:lineRule="auto"/>
              <w:ind w:left="119" w:hanging="119"/>
              <w:rPr>
                <w:rFonts w:ascii="Tw Cen MT Condensed" w:hAnsi="Tw Cen MT Condensed"/>
              </w:rPr>
            </w:pPr>
          </w:p>
          <w:p w14:paraId="70D7344A" w14:textId="45A84538" w:rsidR="00297195" w:rsidRPr="00CB3103" w:rsidRDefault="00297195" w:rsidP="000C4849">
            <w:pPr>
              <w:pStyle w:val="ListParagraph"/>
              <w:numPr>
                <w:ilvl w:val="0"/>
                <w:numId w:val="2"/>
              </w:numPr>
              <w:spacing w:line="240" w:lineRule="auto"/>
              <w:ind w:left="119" w:hanging="119"/>
              <w:jc w:val="both"/>
              <w:rPr>
                <w:rFonts w:ascii="Tw Cen MT Condensed" w:hAnsi="Tw Cen MT Condensed"/>
                <w:b/>
                <w:sz w:val="20"/>
                <w:szCs w:val="20"/>
              </w:rPr>
            </w:pPr>
            <w:r w:rsidRPr="00AE7E46">
              <w:rPr>
                <w:rFonts w:ascii="Tw Cen MT Condensed" w:hAnsi="Tw Cen MT Condensed"/>
              </w:rPr>
              <w:t>Geographical location: rural, urban</w:t>
            </w:r>
          </w:p>
        </w:tc>
        <w:tc>
          <w:tcPr>
            <w:tcW w:w="0" w:type="auto"/>
            <w:shd w:val="clear" w:color="auto" w:fill="auto"/>
          </w:tcPr>
          <w:p w14:paraId="0AFE008F" w14:textId="77777777" w:rsidR="00297195" w:rsidRPr="00262FC1" w:rsidRDefault="00297195" w:rsidP="00406F3B">
            <w:pPr>
              <w:rPr>
                <w:b/>
                <w:szCs w:val="20"/>
              </w:rPr>
            </w:pPr>
            <w:r>
              <w:t>Triennial</w:t>
            </w:r>
          </w:p>
        </w:tc>
        <w:tc>
          <w:tcPr>
            <w:tcW w:w="0" w:type="auto"/>
            <w:shd w:val="clear" w:color="auto" w:fill="auto"/>
          </w:tcPr>
          <w:p w14:paraId="4D682339" w14:textId="77777777" w:rsidR="00297195" w:rsidRPr="00262FC1" w:rsidRDefault="00297195" w:rsidP="00406F3B">
            <w:pPr>
              <w:rPr>
                <w:b/>
                <w:szCs w:val="20"/>
              </w:rPr>
            </w:pPr>
            <w:r w:rsidRPr="00262FC1">
              <w:rPr>
                <w:b/>
                <w:szCs w:val="20"/>
              </w:rPr>
              <w:t>Group 1</w:t>
            </w:r>
          </w:p>
        </w:tc>
        <w:tc>
          <w:tcPr>
            <w:tcW w:w="0" w:type="auto"/>
            <w:shd w:val="clear" w:color="auto" w:fill="auto"/>
          </w:tcPr>
          <w:p w14:paraId="2F1C212B" w14:textId="77777777" w:rsidR="00297195" w:rsidRDefault="00297195" w:rsidP="00406F3B">
            <w:pPr>
              <w:pStyle w:val="NoSpacing"/>
            </w:pPr>
            <w:r>
              <w:t>1</w:t>
            </w:r>
            <w:r w:rsidRPr="00013ACB">
              <w:rPr>
                <w:vertAlign w:val="superscript"/>
              </w:rPr>
              <w:t>st</w:t>
            </w:r>
            <w:r>
              <w:t xml:space="preserve"> Round: 2016</w:t>
            </w:r>
          </w:p>
          <w:p w14:paraId="653131D4" w14:textId="77777777" w:rsidR="00297195" w:rsidRDefault="00297195" w:rsidP="00406F3B">
            <w:pPr>
              <w:pStyle w:val="NoSpacing"/>
            </w:pPr>
          </w:p>
          <w:p w14:paraId="2B518F99" w14:textId="77777777" w:rsidR="00297195" w:rsidRDefault="00297195" w:rsidP="00406F3B">
            <w:pPr>
              <w:pStyle w:val="NoSpacing"/>
            </w:pPr>
            <w:r>
              <w:t>2</w:t>
            </w:r>
            <w:r w:rsidRPr="00013ACB">
              <w:rPr>
                <w:vertAlign w:val="superscript"/>
              </w:rPr>
              <w:t>nd</w:t>
            </w:r>
            <w:r>
              <w:t xml:space="preserve"> Round: June, 2021</w:t>
            </w:r>
          </w:p>
          <w:p w14:paraId="72FEA48A" w14:textId="77777777" w:rsidR="00297195" w:rsidRDefault="00297195" w:rsidP="00406F3B">
            <w:pPr>
              <w:pStyle w:val="NoSpacing"/>
            </w:pPr>
          </w:p>
          <w:p w14:paraId="2DFB38AC" w14:textId="77777777" w:rsidR="00297195" w:rsidRDefault="00297195" w:rsidP="00406F3B">
            <w:pPr>
              <w:pStyle w:val="NoSpacing"/>
            </w:pPr>
            <w:r>
              <w:t>3</w:t>
            </w:r>
            <w:r w:rsidRPr="00013ACB">
              <w:rPr>
                <w:vertAlign w:val="superscript"/>
              </w:rPr>
              <w:t>rd</w:t>
            </w:r>
            <w:r>
              <w:t xml:space="preserve"> Round: </w:t>
            </w:r>
          </w:p>
          <w:p w14:paraId="19B9DFC0" w14:textId="77777777" w:rsidR="00297195" w:rsidRDefault="00297195" w:rsidP="00406F3B">
            <w:pPr>
              <w:pStyle w:val="NoSpacing"/>
            </w:pPr>
            <w:r>
              <w:t>June, 2024</w:t>
            </w:r>
          </w:p>
          <w:p w14:paraId="0AC9843F" w14:textId="77777777" w:rsidR="00297195" w:rsidRDefault="00297195" w:rsidP="00406F3B">
            <w:pPr>
              <w:pStyle w:val="NoSpacing"/>
            </w:pPr>
          </w:p>
          <w:p w14:paraId="6FE320E7" w14:textId="77777777" w:rsidR="00297195" w:rsidRDefault="00297195" w:rsidP="00406F3B">
            <w:pPr>
              <w:pStyle w:val="NoSpacing"/>
            </w:pPr>
            <w:r>
              <w:t>4</w:t>
            </w:r>
            <w:r w:rsidRPr="00013ACB">
              <w:rPr>
                <w:vertAlign w:val="superscript"/>
              </w:rPr>
              <w:t>th</w:t>
            </w:r>
            <w:r>
              <w:t xml:space="preserve"> Round: </w:t>
            </w:r>
          </w:p>
          <w:p w14:paraId="77722AB6" w14:textId="77777777" w:rsidR="00297195" w:rsidRDefault="00297195" w:rsidP="00406F3B">
            <w:pPr>
              <w:pStyle w:val="NoSpacing"/>
            </w:pPr>
            <w:r>
              <w:t>June, 2027</w:t>
            </w:r>
          </w:p>
          <w:p w14:paraId="71DD7E6D" w14:textId="77777777" w:rsidR="00297195" w:rsidRDefault="00297195" w:rsidP="00406F3B">
            <w:pPr>
              <w:pStyle w:val="NoSpacing"/>
            </w:pPr>
          </w:p>
          <w:p w14:paraId="5948149B" w14:textId="77777777" w:rsidR="00297195" w:rsidRDefault="00297195" w:rsidP="00406F3B">
            <w:pPr>
              <w:pStyle w:val="NoSpacing"/>
            </w:pPr>
            <w:r>
              <w:t>5</w:t>
            </w:r>
            <w:r w:rsidRPr="00013ACB">
              <w:rPr>
                <w:vertAlign w:val="superscript"/>
              </w:rPr>
              <w:t>th</w:t>
            </w:r>
            <w:r>
              <w:t xml:space="preserve"> Round:</w:t>
            </w:r>
          </w:p>
          <w:p w14:paraId="3D4B65A3" w14:textId="77777777" w:rsidR="00297195" w:rsidRDefault="00297195" w:rsidP="00406F3B">
            <w:pPr>
              <w:pStyle w:val="NoSpacing"/>
            </w:pPr>
            <w:r>
              <w:t>June, 2030</w:t>
            </w:r>
          </w:p>
          <w:p w14:paraId="1086E433" w14:textId="52A0134A" w:rsidR="00297195" w:rsidRPr="00262FC1" w:rsidRDefault="00297195" w:rsidP="00406F3B">
            <w:pPr>
              <w:pStyle w:val="NoSpacing"/>
            </w:pPr>
          </w:p>
        </w:tc>
        <w:tc>
          <w:tcPr>
            <w:tcW w:w="0" w:type="auto"/>
            <w:shd w:val="clear" w:color="auto" w:fill="auto"/>
          </w:tcPr>
          <w:p w14:paraId="267E08D8" w14:textId="33E4702F" w:rsidR="00297195" w:rsidRPr="00262FC1" w:rsidRDefault="00297195" w:rsidP="00406F3B">
            <w:pPr>
              <w:pStyle w:val="NoSpacing"/>
              <w:rPr>
                <w:b/>
                <w:szCs w:val="20"/>
              </w:rPr>
            </w:pPr>
          </w:p>
        </w:tc>
      </w:tr>
      <w:tr w:rsidR="00297195" w14:paraId="1F4BC7CC" w14:textId="77777777" w:rsidTr="0085651F">
        <w:trPr>
          <w:trHeight w:val="1745"/>
        </w:trPr>
        <w:tc>
          <w:tcPr>
            <w:tcW w:w="0" w:type="auto"/>
            <w:shd w:val="clear" w:color="auto" w:fill="auto"/>
          </w:tcPr>
          <w:p w14:paraId="68938357" w14:textId="77777777" w:rsidR="00297195" w:rsidRPr="00262FC1" w:rsidRDefault="00297195" w:rsidP="00406F3B">
            <w:pPr>
              <w:rPr>
                <w:szCs w:val="20"/>
              </w:rPr>
            </w:pPr>
            <w:r w:rsidRPr="00682525">
              <w:rPr>
                <w:szCs w:val="20"/>
              </w:rPr>
              <w:lastRenderedPageBreak/>
              <w:t>1.2.2</w:t>
            </w:r>
            <w:r>
              <w:rPr>
                <w:szCs w:val="20"/>
              </w:rPr>
              <w:t>:</w:t>
            </w:r>
            <w:r w:rsidRPr="00682525">
              <w:rPr>
                <w:szCs w:val="20"/>
              </w:rPr>
              <w:t xml:space="preserve"> Proportion of men, women and children of all ages living in poverty in all its dimensions according to national definitions</w:t>
            </w:r>
          </w:p>
        </w:tc>
        <w:tc>
          <w:tcPr>
            <w:tcW w:w="0" w:type="auto"/>
            <w:shd w:val="clear" w:color="auto" w:fill="auto"/>
          </w:tcPr>
          <w:p w14:paraId="7E229FC1" w14:textId="77777777" w:rsidR="00297195" w:rsidRDefault="00297195" w:rsidP="00406F3B">
            <w:pPr>
              <w:jc w:val="center"/>
              <w:rPr>
                <w:bCs/>
                <w:szCs w:val="20"/>
              </w:rPr>
            </w:pPr>
            <w:r w:rsidRPr="00682525">
              <w:rPr>
                <w:bCs/>
                <w:szCs w:val="20"/>
              </w:rPr>
              <w:t>National Gov.</w:t>
            </w:r>
          </w:p>
          <w:p w14:paraId="1157B8AF" w14:textId="77777777" w:rsidR="00297195" w:rsidRDefault="00297195" w:rsidP="00406F3B">
            <w:pPr>
              <w:jc w:val="center"/>
              <w:rPr>
                <w:bCs/>
                <w:szCs w:val="20"/>
              </w:rPr>
            </w:pPr>
          </w:p>
          <w:p w14:paraId="6D54D7EE" w14:textId="77777777" w:rsidR="00297195" w:rsidRDefault="00297195" w:rsidP="00406F3B">
            <w:pPr>
              <w:jc w:val="center"/>
              <w:rPr>
                <w:bCs/>
                <w:szCs w:val="20"/>
              </w:rPr>
            </w:pPr>
            <w:r>
              <w:rPr>
                <w:bCs/>
                <w:szCs w:val="20"/>
              </w:rPr>
              <w:t>Partner Agencies:</w:t>
            </w:r>
          </w:p>
          <w:p w14:paraId="6AECB4CD" w14:textId="77777777" w:rsidR="00297195" w:rsidRPr="00682525" w:rsidRDefault="00297195" w:rsidP="00406F3B">
            <w:pPr>
              <w:jc w:val="center"/>
              <w:rPr>
                <w:bCs/>
                <w:szCs w:val="20"/>
              </w:rPr>
            </w:pPr>
            <w:r w:rsidRPr="00682525">
              <w:rPr>
                <w:bCs/>
                <w:szCs w:val="20"/>
              </w:rPr>
              <w:t xml:space="preserve">UNICEF,  </w:t>
            </w:r>
          </w:p>
          <w:p w14:paraId="15E119AE" w14:textId="77777777" w:rsidR="00297195" w:rsidRPr="00682525" w:rsidRDefault="00297195" w:rsidP="00406F3B">
            <w:pPr>
              <w:jc w:val="center"/>
              <w:rPr>
                <w:bCs/>
                <w:szCs w:val="20"/>
              </w:rPr>
            </w:pPr>
            <w:r w:rsidRPr="00682525">
              <w:rPr>
                <w:bCs/>
                <w:szCs w:val="20"/>
              </w:rPr>
              <w:t xml:space="preserve">World Bank, </w:t>
            </w:r>
          </w:p>
          <w:p w14:paraId="77A2EFC4" w14:textId="77777777" w:rsidR="00297195" w:rsidRPr="00682525" w:rsidRDefault="00297195" w:rsidP="00406F3B">
            <w:pPr>
              <w:jc w:val="center"/>
              <w:rPr>
                <w:bCs/>
                <w:szCs w:val="20"/>
              </w:rPr>
            </w:pPr>
            <w:r w:rsidRPr="00682525">
              <w:rPr>
                <w:bCs/>
                <w:szCs w:val="20"/>
              </w:rPr>
              <w:t>UNDP</w:t>
            </w:r>
          </w:p>
        </w:tc>
        <w:tc>
          <w:tcPr>
            <w:tcW w:w="0" w:type="auto"/>
            <w:shd w:val="clear" w:color="auto" w:fill="auto"/>
          </w:tcPr>
          <w:p w14:paraId="40D51DF3" w14:textId="77777777" w:rsidR="00297195" w:rsidRPr="00682525" w:rsidRDefault="00297195" w:rsidP="00406F3B">
            <w:pPr>
              <w:jc w:val="center"/>
              <w:rPr>
                <w:bCs/>
                <w:szCs w:val="20"/>
              </w:rPr>
            </w:pPr>
            <w:r w:rsidRPr="00682525">
              <w:rPr>
                <w:bCs/>
                <w:szCs w:val="20"/>
              </w:rPr>
              <w:t>Tier I</w:t>
            </w:r>
            <w:r>
              <w:rPr>
                <w:bCs/>
                <w:szCs w:val="20"/>
              </w:rPr>
              <w:t>I</w:t>
            </w:r>
          </w:p>
        </w:tc>
        <w:tc>
          <w:tcPr>
            <w:tcW w:w="0" w:type="auto"/>
            <w:shd w:val="clear" w:color="auto" w:fill="auto"/>
          </w:tcPr>
          <w:p w14:paraId="4AEAD4E9" w14:textId="77777777" w:rsidR="00297195" w:rsidRPr="008904FC" w:rsidRDefault="00297195" w:rsidP="00406F3B">
            <w:pPr>
              <w:pStyle w:val="NoSpacing"/>
            </w:pPr>
            <w:r>
              <w:t>National definition and standard should be finalized. Global metadata yet not published.</w:t>
            </w:r>
          </w:p>
        </w:tc>
        <w:tc>
          <w:tcPr>
            <w:tcW w:w="0" w:type="auto"/>
            <w:shd w:val="clear" w:color="auto" w:fill="auto"/>
          </w:tcPr>
          <w:p w14:paraId="2DF6BC1F" w14:textId="77777777" w:rsidR="00297195" w:rsidRPr="00262FC1" w:rsidRDefault="00297195" w:rsidP="00406F3B">
            <w:pPr>
              <w:rPr>
                <w:rFonts w:cs="Calibri"/>
                <w:color w:val="4A4A4A"/>
                <w:szCs w:val="20"/>
              </w:rPr>
            </w:pPr>
            <w:r>
              <w:rPr>
                <w:rFonts w:cs="Calibri"/>
                <w:color w:val="4A4A4A"/>
                <w:szCs w:val="20"/>
              </w:rPr>
              <w:t>-</w:t>
            </w:r>
          </w:p>
        </w:tc>
        <w:tc>
          <w:tcPr>
            <w:tcW w:w="0" w:type="auto"/>
            <w:shd w:val="clear" w:color="auto" w:fill="auto"/>
          </w:tcPr>
          <w:p w14:paraId="6D9BC40E" w14:textId="77777777" w:rsidR="00297195" w:rsidRDefault="00297195" w:rsidP="00406F3B">
            <w:pPr>
              <w:rPr>
                <w:rFonts w:cs="Calibri"/>
                <w:color w:val="4A4A4A"/>
                <w:szCs w:val="20"/>
              </w:rPr>
            </w:pPr>
            <w:r>
              <w:rPr>
                <w:rFonts w:cs="Calibri"/>
                <w:color w:val="4A4A4A"/>
                <w:szCs w:val="20"/>
              </w:rPr>
              <w:t>-</w:t>
            </w:r>
          </w:p>
        </w:tc>
        <w:tc>
          <w:tcPr>
            <w:tcW w:w="0" w:type="auto"/>
            <w:shd w:val="clear" w:color="auto" w:fill="auto"/>
          </w:tcPr>
          <w:p w14:paraId="0BBD4247" w14:textId="77777777" w:rsidR="00297195" w:rsidRPr="00262FC1" w:rsidRDefault="00297195" w:rsidP="00406F3B">
            <w:pPr>
              <w:rPr>
                <w:szCs w:val="20"/>
              </w:rPr>
            </w:pPr>
            <w:r>
              <w:rPr>
                <w:szCs w:val="20"/>
              </w:rPr>
              <w:t>MPI, BBS</w:t>
            </w:r>
          </w:p>
        </w:tc>
        <w:tc>
          <w:tcPr>
            <w:tcW w:w="0" w:type="auto"/>
            <w:shd w:val="clear" w:color="auto" w:fill="auto"/>
          </w:tcPr>
          <w:p w14:paraId="76A45490" w14:textId="77777777" w:rsidR="00297195" w:rsidRPr="00262FC1" w:rsidRDefault="00297195" w:rsidP="00406F3B">
            <w:pPr>
              <w:rPr>
                <w:szCs w:val="20"/>
              </w:rPr>
            </w:pPr>
            <w:r w:rsidRPr="00BC6F10">
              <w:rPr>
                <w:rFonts w:eastAsia="Times New Roman" w:cs="Times New Roman"/>
                <w:color w:val="FF0000"/>
                <w:szCs w:val="20"/>
              </w:rPr>
              <w:t>MICS</w:t>
            </w:r>
            <w:r>
              <w:rPr>
                <w:rFonts w:eastAsia="Times New Roman" w:cs="Times New Roman"/>
                <w:color w:val="FF0000"/>
                <w:szCs w:val="20"/>
              </w:rPr>
              <w:t>, BBS</w:t>
            </w:r>
          </w:p>
        </w:tc>
        <w:tc>
          <w:tcPr>
            <w:tcW w:w="0" w:type="auto"/>
            <w:shd w:val="clear" w:color="auto" w:fill="auto"/>
          </w:tcPr>
          <w:p w14:paraId="194D100D" w14:textId="77777777" w:rsidR="00297195" w:rsidRDefault="00297195" w:rsidP="00406F3B">
            <w:pPr>
              <w:pStyle w:val="ListParagraph"/>
              <w:numPr>
                <w:ilvl w:val="0"/>
                <w:numId w:val="2"/>
              </w:numPr>
              <w:spacing w:line="240" w:lineRule="auto"/>
              <w:ind w:left="157" w:hanging="157"/>
              <w:jc w:val="both"/>
              <w:rPr>
                <w:rFonts w:ascii="Tw Cen MT Condensed" w:hAnsi="Tw Cen MT Condensed"/>
                <w:sz w:val="20"/>
                <w:szCs w:val="20"/>
              </w:rPr>
            </w:pPr>
            <w:r>
              <w:rPr>
                <w:rFonts w:ascii="Tw Cen MT Condensed" w:hAnsi="Tw Cen MT Condensed"/>
                <w:sz w:val="20"/>
                <w:szCs w:val="20"/>
              </w:rPr>
              <w:t>Men/Women/Children</w:t>
            </w:r>
          </w:p>
          <w:p w14:paraId="26E2A6EA" w14:textId="77777777" w:rsidR="00690EEF" w:rsidRDefault="00297195" w:rsidP="00690EEF">
            <w:pPr>
              <w:pStyle w:val="ListParagraph"/>
              <w:numPr>
                <w:ilvl w:val="0"/>
                <w:numId w:val="2"/>
              </w:numPr>
              <w:spacing w:after="0" w:line="240" w:lineRule="auto"/>
              <w:rPr>
                <w:rFonts w:ascii="Tw Cen MT Condensed" w:hAnsi="Tw Cen MT Condensed"/>
              </w:rPr>
            </w:pPr>
            <w:r>
              <w:rPr>
                <w:rFonts w:ascii="Tw Cen MT Condensed" w:hAnsi="Tw Cen MT Condensed"/>
                <w:sz w:val="20"/>
                <w:szCs w:val="20"/>
              </w:rPr>
              <w:t>Age</w:t>
            </w:r>
            <w:r w:rsidR="006856A8">
              <w:rPr>
                <w:rFonts w:ascii="Tw Cen MT Condensed" w:hAnsi="Tw Cen MT Condensed"/>
                <w:sz w:val="20"/>
                <w:szCs w:val="20"/>
              </w:rPr>
              <w:t>: Below 15 yrs/</w:t>
            </w:r>
            <w:r w:rsidR="00690EEF" w:rsidRPr="00C3600F">
              <w:rPr>
                <w:rFonts w:ascii="Tw Cen MT Condensed" w:hAnsi="Tw Cen MT Condensed"/>
              </w:rPr>
              <w:t>15 years and over/ 15 to 24 years/ 25 years and older</w:t>
            </w:r>
          </w:p>
          <w:p w14:paraId="3C6D8064" w14:textId="1592415F" w:rsidR="00297195" w:rsidRPr="00A44C13" w:rsidRDefault="00297195" w:rsidP="00A44C13">
            <w:pPr>
              <w:rPr>
                <w:color w:val="FF0000"/>
                <w:szCs w:val="26"/>
              </w:rPr>
            </w:pPr>
          </w:p>
        </w:tc>
        <w:tc>
          <w:tcPr>
            <w:tcW w:w="0" w:type="auto"/>
            <w:shd w:val="clear" w:color="auto" w:fill="auto"/>
          </w:tcPr>
          <w:p w14:paraId="4FE3429C" w14:textId="77777777" w:rsidR="00297195" w:rsidRPr="00682525" w:rsidRDefault="00297195" w:rsidP="00406F3B">
            <w:pPr>
              <w:jc w:val="center"/>
              <w:rPr>
                <w:bCs/>
                <w:szCs w:val="20"/>
              </w:rPr>
            </w:pPr>
            <w:r>
              <w:t>Triennial</w:t>
            </w:r>
          </w:p>
        </w:tc>
        <w:tc>
          <w:tcPr>
            <w:tcW w:w="0" w:type="auto"/>
            <w:shd w:val="clear" w:color="auto" w:fill="auto"/>
          </w:tcPr>
          <w:p w14:paraId="5C7F430C" w14:textId="77777777" w:rsidR="00297195" w:rsidRPr="00682525" w:rsidRDefault="00297195" w:rsidP="00406F3B">
            <w:pPr>
              <w:jc w:val="center"/>
              <w:rPr>
                <w:bCs/>
                <w:szCs w:val="20"/>
              </w:rPr>
            </w:pPr>
            <w:r>
              <w:rPr>
                <w:bCs/>
                <w:szCs w:val="20"/>
              </w:rPr>
              <w:t>Group 3</w:t>
            </w:r>
          </w:p>
        </w:tc>
        <w:tc>
          <w:tcPr>
            <w:tcW w:w="0" w:type="auto"/>
            <w:shd w:val="clear" w:color="auto" w:fill="auto"/>
          </w:tcPr>
          <w:p w14:paraId="193BFE2D" w14:textId="77777777" w:rsidR="00297195" w:rsidRDefault="00297195" w:rsidP="00406F3B">
            <w:pPr>
              <w:pStyle w:val="NoSpacing"/>
            </w:pPr>
            <w:r>
              <w:t>1</w:t>
            </w:r>
            <w:r w:rsidRPr="00013ACB">
              <w:rPr>
                <w:vertAlign w:val="superscript"/>
              </w:rPr>
              <w:t>st</w:t>
            </w:r>
            <w:r>
              <w:t xml:space="preserve"> Round: 2019</w:t>
            </w:r>
          </w:p>
          <w:p w14:paraId="2D92BD85" w14:textId="77777777" w:rsidR="00297195" w:rsidRDefault="00297195" w:rsidP="00406F3B">
            <w:pPr>
              <w:pStyle w:val="NoSpacing"/>
            </w:pPr>
          </w:p>
          <w:p w14:paraId="717D617E" w14:textId="77777777" w:rsidR="00297195" w:rsidRDefault="00297195" w:rsidP="00406F3B">
            <w:pPr>
              <w:pStyle w:val="NoSpacing"/>
            </w:pPr>
            <w:r>
              <w:t>2</w:t>
            </w:r>
            <w:r w:rsidRPr="00013ACB">
              <w:rPr>
                <w:vertAlign w:val="superscript"/>
              </w:rPr>
              <w:t>nd</w:t>
            </w:r>
            <w:r>
              <w:t xml:space="preserve"> Round: December, 2022</w:t>
            </w:r>
          </w:p>
          <w:p w14:paraId="7212183B" w14:textId="77777777" w:rsidR="00297195" w:rsidRDefault="00297195" w:rsidP="00406F3B">
            <w:pPr>
              <w:pStyle w:val="NoSpacing"/>
            </w:pPr>
          </w:p>
          <w:p w14:paraId="3B387A35" w14:textId="77777777" w:rsidR="00297195" w:rsidRDefault="00297195" w:rsidP="00406F3B">
            <w:pPr>
              <w:pStyle w:val="NoSpacing"/>
            </w:pPr>
          </w:p>
          <w:p w14:paraId="00B516F4" w14:textId="77777777" w:rsidR="00297195" w:rsidRDefault="00297195" w:rsidP="00406F3B">
            <w:pPr>
              <w:pStyle w:val="NoSpacing"/>
            </w:pPr>
            <w:r>
              <w:t>3</w:t>
            </w:r>
            <w:r w:rsidRPr="00013ACB">
              <w:rPr>
                <w:vertAlign w:val="superscript"/>
              </w:rPr>
              <w:t>rd</w:t>
            </w:r>
            <w:r>
              <w:t xml:space="preserve"> Round: </w:t>
            </w:r>
          </w:p>
          <w:p w14:paraId="3E3E3DFF" w14:textId="77777777" w:rsidR="00297195" w:rsidRDefault="00297195" w:rsidP="00406F3B">
            <w:pPr>
              <w:pStyle w:val="NoSpacing"/>
            </w:pPr>
            <w:r>
              <w:t>December, 2025</w:t>
            </w:r>
          </w:p>
          <w:p w14:paraId="74DD31AE" w14:textId="77777777" w:rsidR="00297195" w:rsidRDefault="00297195" w:rsidP="00406F3B">
            <w:pPr>
              <w:pStyle w:val="NoSpacing"/>
            </w:pPr>
          </w:p>
          <w:p w14:paraId="64C7E7E7" w14:textId="77777777" w:rsidR="00297195" w:rsidRDefault="00297195" w:rsidP="00406F3B">
            <w:pPr>
              <w:pStyle w:val="NoSpacing"/>
            </w:pPr>
            <w:r>
              <w:t>4</w:t>
            </w:r>
            <w:r w:rsidRPr="00013ACB">
              <w:rPr>
                <w:vertAlign w:val="superscript"/>
              </w:rPr>
              <w:t>th</w:t>
            </w:r>
            <w:r>
              <w:t xml:space="preserve"> Round: </w:t>
            </w:r>
          </w:p>
          <w:p w14:paraId="64188752" w14:textId="77777777" w:rsidR="00297195" w:rsidRDefault="00297195" w:rsidP="00406F3B">
            <w:pPr>
              <w:pStyle w:val="NoSpacing"/>
            </w:pPr>
            <w:r>
              <w:t>December, 2028</w:t>
            </w:r>
          </w:p>
          <w:p w14:paraId="1C0C3F0A" w14:textId="77777777" w:rsidR="00297195" w:rsidRDefault="00297195" w:rsidP="00406F3B">
            <w:pPr>
              <w:pStyle w:val="NoSpacing"/>
            </w:pPr>
          </w:p>
          <w:p w14:paraId="1CDB2BD7" w14:textId="77777777" w:rsidR="00297195" w:rsidRDefault="00297195" w:rsidP="00406F3B">
            <w:pPr>
              <w:pStyle w:val="NoSpacing"/>
            </w:pPr>
            <w:r>
              <w:t>5</w:t>
            </w:r>
            <w:r w:rsidRPr="00013ACB">
              <w:rPr>
                <w:vertAlign w:val="superscript"/>
              </w:rPr>
              <w:t>th</w:t>
            </w:r>
            <w:r>
              <w:t xml:space="preserve"> Round: </w:t>
            </w:r>
          </w:p>
          <w:p w14:paraId="1F2D9C57" w14:textId="77777777" w:rsidR="00297195" w:rsidRDefault="00297195" w:rsidP="00406F3B">
            <w:pPr>
              <w:pStyle w:val="NoSpacing"/>
            </w:pPr>
            <w:r>
              <w:t>December, 2030</w:t>
            </w:r>
          </w:p>
          <w:p w14:paraId="33D38927" w14:textId="2F52647E" w:rsidR="00297195" w:rsidRPr="003265B9" w:rsidRDefault="00297195" w:rsidP="00406F3B">
            <w:pPr>
              <w:pStyle w:val="NoSpacing"/>
            </w:pPr>
          </w:p>
        </w:tc>
        <w:tc>
          <w:tcPr>
            <w:tcW w:w="0" w:type="auto"/>
            <w:shd w:val="clear" w:color="auto" w:fill="auto"/>
          </w:tcPr>
          <w:p w14:paraId="554164F3" w14:textId="77777777" w:rsidR="00297195" w:rsidRDefault="00297195" w:rsidP="00406F3B">
            <w:pPr>
              <w:numPr>
                <w:ilvl w:val="0"/>
                <w:numId w:val="3"/>
              </w:numPr>
              <w:spacing w:after="62" w:line="218" w:lineRule="auto"/>
              <w:ind w:right="16"/>
              <w:jc w:val="both"/>
            </w:pPr>
            <w:r>
              <w:rPr>
                <w:rFonts w:ascii="Tw Cen MT" w:eastAsia="Tw Cen MT" w:hAnsi="Tw Cen MT" w:cs="Tw Cen MT"/>
                <w:sz w:val="22"/>
              </w:rPr>
              <w:t xml:space="preserve">Child focused MPI has been estimated based on MICS 2012-13.  </w:t>
            </w:r>
          </w:p>
          <w:p w14:paraId="48CA9891" w14:textId="77777777" w:rsidR="00297195" w:rsidRPr="00EE31FB" w:rsidRDefault="00297195" w:rsidP="00406F3B">
            <w:pPr>
              <w:pStyle w:val="ListParagraph"/>
              <w:numPr>
                <w:ilvl w:val="0"/>
                <w:numId w:val="3"/>
              </w:numPr>
              <w:rPr>
                <w:rFonts w:ascii="Tw Cen MT Condensed" w:hAnsi="Tw Cen MT Condensed"/>
                <w:b/>
                <w:sz w:val="20"/>
                <w:szCs w:val="20"/>
              </w:rPr>
            </w:pPr>
            <w:r>
              <w:rPr>
                <w:rFonts w:ascii="Tw Cen MT" w:eastAsia="Tw Cen MT" w:hAnsi="Tw Cen MT" w:cs="Tw Cen MT"/>
                <w:color w:val="000000"/>
              </w:rPr>
              <w:t>Next C-MPI will be calculated based on MICS</w:t>
            </w:r>
            <w:r>
              <w:rPr>
                <w:rFonts w:ascii="Tw Cen MT Condensed" w:hAnsi="Tw Cen MT Condensed"/>
                <w:sz w:val="20"/>
                <w:szCs w:val="20"/>
              </w:rPr>
              <w:t>.</w:t>
            </w:r>
          </w:p>
        </w:tc>
      </w:tr>
      <w:tr w:rsidR="00297195" w14:paraId="1B739D68" w14:textId="77777777" w:rsidTr="0085651F">
        <w:tc>
          <w:tcPr>
            <w:tcW w:w="0" w:type="auto"/>
            <w:gridSpan w:val="13"/>
            <w:shd w:val="clear" w:color="auto" w:fill="auto"/>
          </w:tcPr>
          <w:p w14:paraId="657D8567" w14:textId="77777777" w:rsidR="00297195" w:rsidRPr="00EE31FB" w:rsidRDefault="00297195" w:rsidP="00406F3B">
            <w:pPr>
              <w:jc w:val="both"/>
              <w:rPr>
                <w:color w:val="C00000"/>
                <w:sz w:val="30"/>
                <w:szCs w:val="30"/>
              </w:rPr>
            </w:pPr>
            <w:r w:rsidRPr="00EE31FB">
              <w:rPr>
                <w:color w:val="C00000"/>
                <w:sz w:val="30"/>
                <w:szCs w:val="30"/>
              </w:rPr>
              <w:t>Target 1.3 Implement nationally appropriate social protection systems and measures for all, including floors, and by 2030 achieve substantial coverage of the poor and the vulnerable</w:t>
            </w:r>
          </w:p>
        </w:tc>
      </w:tr>
      <w:tr w:rsidR="00297195" w14:paraId="293B64FE" w14:textId="77777777" w:rsidTr="0085651F">
        <w:tc>
          <w:tcPr>
            <w:tcW w:w="0" w:type="auto"/>
            <w:shd w:val="clear" w:color="auto" w:fill="auto"/>
          </w:tcPr>
          <w:p w14:paraId="3D6A6238" w14:textId="77777777" w:rsidR="00297195" w:rsidRPr="00F40ACF" w:rsidRDefault="00297195" w:rsidP="00406F3B">
            <w:pPr>
              <w:pStyle w:val="Default"/>
              <w:rPr>
                <w:rFonts w:ascii="Tw Cen MT Condensed" w:hAnsi="Tw Cen MT Condensed" w:cs="Shonar Bangla"/>
                <w:szCs w:val="20"/>
              </w:rPr>
            </w:pPr>
            <w:r w:rsidRPr="00F40ACF">
              <w:rPr>
                <w:rFonts w:ascii="Tw Cen MT Condensed" w:hAnsi="Tw Cen MT Condensed" w:cs="Shonar Bangla"/>
                <w:szCs w:val="20"/>
              </w:rPr>
              <w:t xml:space="preserve">1.3.1 Proportion of population covered by social protection floors/systems, by sex, distinguishing children, unemployed persons, </w:t>
            </w:r>
            <w:r w:rsidRPr="00F40ACF">
              <w:rPr>
                <w:rFonts w:ascii="Tw Cen MT Condensed" w:hAnsi="Tw Cen MT Condensed" w:cs="Shonar Bangla"/>
                <w:szCs w:val="20"/>
              </w:rPr>
              <w:lastRenderedPageBreak/>
              <w:t>older persons, persons with disabilities, pregnant women, newborns, work-injury victims and the poor and the vulnerable.</w:t>
            </w:r>
          </w:p>
          <w:p w14:paraId="3546C41A" w14:textId="77777777" w:rsidR="00297195" w:rsidRPr="00F40ACF" w:rsidRDefault="00297195" w:rsidP="00406F3B">
            <w:pPr>
              <w:pStyle w:val="Default"/>
              <w:rPr>
                <w:rFonts w:ascii="Tw Cen MT Condensed" w:hAnsi="Tw Cen MT Condensed" w:cs="Shonar Bangla"/>
                <w:szCs w:val="20"/>
              </w:rPr>
            </w:pPr>
          </w:p>
        </w:tc>
        <w:tc>
          <w:tcPr>
            <w:tcW w:w="0" w:type="auto"/>
            <w:shd w:val="clear" w:color="auto" w:fill="auto"/>
          </w:tcPr>
          <w:p w14:paraId="76DDF767" w14:textId="77777777" w:rsidR="00297195" w:rsidRDefault="00297195" w:rsidP="00406F3B">
            <w:pPr>
              <w:jc w:val="center"/>
              <w:rPr>
                <w:szCs w:val="20"/>
              </w:rPr>
            </w:pPr>
            <w:r>
              <w:rPr>
                <w:szCs w:val="20"/>
              </w:rPr>
              <w:lastRenderedPageBreak/>
              <w:t>ILO</w:t>
            </w:r>
          </w:p>
          <w:p w14:paraId="3C692214" w14:textId="77777777" w:rsidR="00297195" w:rsidRDefault="00297195" w:rsidP="00406F3B">
            <w:pPr>
              <w:jc w:val="center"/>
              <w:rPr>
                <w:b/>
                <w:color w:val="000000" w:themeColor="text1"/>
                <w:szCs w:val="20"/>
              </w:rPr>
            </w:pPr>
          </w:p>
          <w:p w14:paraId="284D3641" w14:textId="77777777" w:rsidR="00297195" w:rsidRPr="00EE31FB" w:rsidRDefault="00297195" w:rsidP="00406F3B">
            <w:pPr>
              <w:jc w:val="center"/>
              <w:rPr>
                <w:bCs/>
                <w:color w:val="000000" w:themeColor="text1"/>
                <w:szCs w:val="20"/>
              </w:rPr>
            </w:pPr>
            <w:r w:rsidRPr="00EE31FB">
              <w:rPr>
                <w:bCs/>
                <w:color w:val="000000" w:themeColor="text1"/>
                <w:szCs w:val="20"/>
              </w:rPr>
              <w:t>Par</w:t>
            </w:r>
            <w:r>
              <w:rPr>
                <w:bCs/>
                <w:color w:val="000000" w:themeColor="text1"/>
                <w:szCs w:val="20"/>
              </w:rPr>
              <w:t>t</w:t>
            </w:r>
            <w:r w:rsidRPr="00EE31FB">
              <w:rPr>
                <w:bCs/>
                <w:color w:val="000000" w:themeColor="text1"/>
                <w:szCs w:val="20"/>
              </w:rPr>
              <w:t>ner Agency:</w:t>
            </w:r>
          </w:p>
          <w:p w14:paraId="35271F0D" w14:textId="77777777" w:rsidR="00297195" w:rsidRPr="00262FC1" w:rsidRDefault="00297195" w:rsidP="00406F3B">
            <w:pPr>
              <w:jc w:val="center"/>
              <w:rPr>
                <w:b/>
                <w:color w:val="000000" w:themeColor="text1"/>
                <w:szCs w:val="20"/>
              </w:rPr>
            </w:pPr>
            <w:r w:rsidRPr="00EE31FB">
              <w:rPr>
                <w:bCs/>
                <w:color w:val="000000" w:themeColor="text1"/>
                <w:szCs w:val="20"/>
              </w:rPr>
              <w:t>World Bank</w:t>
            </w:r>
          </w:p>
        </w:tc>
        <w:tc>
          <w:tcPr>
            <w:tcW w:w="0" w:type="auto"/>
            <w:shd w:val="clear" w:color="auto" w:fill="auto"/>
          </w:tcPr>
          <w:p w14:paraId="38DEFB7B" w14:textId="77777777" w:rsidR="00297195" w:rsidRPr="00EE31FB" w:rsidRDefault="00297195" w:rsidP="00406F3B">
            <w:pPr>
              <w:jc w:val="center"/>
              <w:rPr>
                <w:bCs/>
                <w:szCs w:val="20"/>
              </w:rPr>
            </w:pPr>
            <w:r>
              <w:rPr>
                <w:bCs/>
                <w:szCs w:val="20"/>
              </w:rPr>
              <w:t>Tier II</w:t>
            </w:r>
          </w:p>
        </w:tc>
        <w:tc>
          <w:tcPr>
            <w:tcW w:w="0" w:type="auto"/>
            <w:shd w:val="clear" w:color="auto" w:fill="auto"/>
          </w:tcPr>
          <w:p w14:paraId="5D627BA4" w14:textId="77777777" w:rsidR="00297195" w:rsidRDefault="00297195" w:rsidP="00406F3B">
            <w:pPr>
              <w:pStyle w:val="Default"/>
              <w:rPr>
                <w:rFonts w:ascii="Tw Cen MT Condensed" w:hAnsi="Tw Cen MT Condensed" w:cs="Shonar Bangla"/>
                <w:b/>
                <w:bCs/>
                <w:szCs w:val="20"/>
              </w:rPr>
            </w:pPr>
            <w:r>
              <w:rPr>
                <w:rFonts w:ascii="Tw Cen MT Condensed" w:hAnsi="Tw Cen MT Condensed" w:cs="Shonar Bangla"/>
                <w:b/>
                <w:bCs/>
                <w:szCs w:val="20"/>
              </w:rPr>
              <w:t>For 1.3.1a</w:t>
            </w:r>
          </w:p>
          <w:p w14:paraId="262E3A3E" w14:textId="77777777" w:rsidR="00297195" w:rsidRPr="009342DF" w:rsidRDefault="00297195" w:rsidP="00E81E46">
            <w:pPr>
              <w:pStyle w:val="Default"/>
              <w:jc w:val="both"/>
              <w:rPr>
                <w:rFonts w:ascii="Tw Cen MT Condensed" w:hAnsi="Tw Cen MT Condensed" w:cs="Shonar Bangla"/>
                <w:b/>
                <w:bCs/>
                <w:szCs w:val="20"/>
              </w:rPr>
            </w:pPr>
            <w:r w:rsidRPr="009342DF">
              <w:rPr>
                <w:rFonts w:ascii="Tw Cen MT Condensed" w:hAnsi="Tw Cen MT Condensed" w:cs="Shonar Bangla"/>
                <w:b/>
                <w:bCs/>
                <w:szCs w:val="20"/>
              </w:rPr>
              <w:t>Definition:</w:t>
            </w:r>
          </w:p>
          <w:p w14:paraId="567D1312" w14:textId="77777777" w:rsidR="00297195" w:rsidRPr="000C4849" w:rsidRDefault="00297195" w:rsidP="00E81E46">
            <w:pPr>
              <w:pStyle w:val="Default"/>
              <w:jc w:val="both"/>
              <w:rPr>
                <w:rFonts w:ascii="Tw Cen MT Condensed" w:hAnsi="Tw Cen MT Condensed" w:cs="Shonar Bangla"/>
                <w:bCs/>
                <w:szCs w:val="20"/>
              </w:rPr>
            </w:pPr>
            <w:r w:rsidRPr="000C4849">
              <w:rPr>
                <w:rFonts w:ascii="Tw Cen MT Condensed" w:hAnsi="Tw Cen MT Condensed" w:cs="Shonar Bangla"/>
                <w:bCs/>
                <w:szCs w:val="20"/>
              </w:rPr>
              <w:t xml:space="preserve">The indicator reflects the proportion of persons effectively covered by a social protection system, including social protection floors. It also reflects the main components of social protection: child and maternity benefits, support for persons without a job, persons with disabilities, victims of work injuries and older persons. </w:t>
            </w:r>
          </w:p>
          <w:p w14:paraId="17517C5F" w14:textId="77777777" w:rsidR="00297195" w:rsidRPr="000C4849" w:rsidRDefault="00297195" w:rsidP="00E81E46">
            <w:pPr>
              <w:pStyle w:val="Default"/>
              <w:jc w:val="both"/>
              <w:rPr>
                <w:rFonts w:ascii="Tw Cen MT Condensed" w:hAnsi="Tw Cen MT Condensed" w:cs="Shonar Bangla"/>
                <w:bCs/>
                <w:szCs w:val="20"/>
              </w:rPr>
            </w:pPr>
          </w:p>
          <w:p w14:paraId="2C1D1264" w14:textId="77777777" w:rsidR="00297195" w:rsidRPr="000C4849" w:rsidRDefault="00297195" w:rsidP="00E81E46">
            <w:pPr>
              <w:pStyle w:val="Default"/>
              <w:jc w:val="both"/>
              <w:rPr>
                <w:rFonts w:ascii="Tw Cen MT Condensed" w:hAnsi="Tw Cen MT Condensed" w:cs="Shonar Bangla"/>
                <w:bCs/>
                <w:szCs w:val="20"/>
              </w:rPr>
            </w:pPr>
            <w:r w:rsidRPr="000C4849">
              <w:rPr>
                <w:rFonts w:ascii="Tw Cen MT Condensed" w:hAnsi="Tw Cen MT Condensed" w:cs="Shonar Bangla"/>
                <w:bCs/>
                <w:szCs w:val="20"/>
              </w:rPr>
              <w:t>Effective coverage of social protection is measured by the number of people who are either actively contributing to a social insurance scheme or receiving benefits (contributory or non-contributory).</w:t>
            </w:r>
          </w:p>
          <w:p w14:paraId="725763E9" w14:textId="77777777" w:rsidR="00297195" w:rsidRDefault="00297195" w:rsidP="00E81E46">
            <w:pPr>
              <w:pStyle w:val="Default"/>
              <w:jc w:val="both"/>
              <w:rPr>
                <w:rFonts w:ascii="Tw Cen MT Condensed" w:hAnsi="Tw Cen MT Condensed" w:cs="Shonar Bangla"/>
                <w:b/>
                <w:bCs/>
                <w:szCs w:val="20"/>
              </w:rPr>
            </w:pPr>
          </w:p>
          <w:p w14:paraId="1DA0DCD4" w14:textId="77777777" w:rsidR="00297195" w:rsidRDefault="00297195" w:rsidP="00E81E46">
            <w:pPr>
              <w:pStyle w:val="Default"/>
              <w:jc w:val="both"/>
              <w:rPr>
                <w:rFonts w:ascii="Tw Cen MT Condensed" w:hAnsi="Tw Cen MT Condensed" w:cs="Shonar Bangla"/>
                <w:b/>
                <w:bCs/>
                <w:szCs w:val="20"/>
              </w:rPr>
            </w:pPr>
            <w:r w:rsidRPr="00262FC1">
              <w:rPr>
                <w:rFonts w:ascii="Tw Cen MT Condensed" w:hAnsi="Tw Cen MT Condensed" w:cs="Shonar Bangla"/>
                <w:b/>
                <w:bCs/>
                <w:szCs w:val="20"/>
              </w:rPr>
              <w:t xml:space="preserve">Concepts: </w:t>
            </w:r>
          </w:p>
          <w:p w14:paraId="3F447C2B" w14:textId="77777777" w:rsidR="00297195" w:rsidRPr="009342DF" w:rsidRDefault="00297195" w:rsidP="00E81E46">
            <w:pPr>
              <w:pStyle w:val="Default"/>
              <w:jc w:val="both"/>
              <w:rPr>
                <w:rFonts w:ascii="Tw Cen MT Condensed" w:hAnsi="Tw Cen MT Condensed" w:cs="Shonar Bangla"/>
                <w:szCs w:val="20"/>
              </w:rPr>
            </w:pPr>
            <w:r w:rsidRPr="009342DF">
              <w:rPr>
                <w:rFonts w:ascii="Tw Cen MT Condensed" w:hAnsi="Tw Cen MT Condensed" w:cs="Shonar Bangla"/>
                <w:szCs w:val="20"/>
              </w:rPr>
              <w:t xml:space="preserve">Social protection systems include contributory and non-contributory schemes for children, pregnant women with newborns, </w:t>
            </w:r>
            <w:proofErr w:type="gramStart"/>
            <w:r w:rsidRPr="009342DF">
              <w:rPr>
                <w:rFonts w:ascii="Tw Cen MT Condensed" w:hAnsi="Tw Cen MT Condensed" w:cs="Shonar Bangla"/>
                <w:szCs w:val="20"/>
              </w:rPr>
              <w:t>people</w:t>
            </w:r>
            <w:proofErr w:type="gramEnd"/>
            <w:r w:rsidRPr="009342DF">
              <w:rPr>
                <w:rFonts w:ascii="Tw Cen MT Condensed" w:hAnsi="Tw Cen MT Condensed" w:cs="Shonar Bangla"/>
                <w:szCs w:val="20"/>
              </w:rPr>
              <w:t xml:space="preserve"> in active age, older persons, for victims of work injuries and persons with </w:t>
            </w:r>
            <w:r w:rsidRPr="009342DF">
              <w:rPr>
                <w:rFonts w:ascii="Tw Cen MT Condensed" w:hAnsi="Tw Cen MT Condensed" w:cs="Shonar Bangla"/>
                <w:szCs w:val="20"/>
              </w:rPr>
              <w:lastRenderedPageBreak/>
              <w:t xml:space="preserve">disabilities. Social protection floors provide at least a basic level in all main contingencies along the life cycle, as defined in the Social Protection Floors Recommendation 2012 (no. 202) referred to in SDG 1.3. </w:t>
            </w:r>
          </w:p>
          <w:p w14:paraId="415C5E94" w14:textId="77777777" w:rsidR="00297195" w:rsidRPr="009342DF" w:rsidRDefault="00297195" w:rsidP="00E81E46">
            <w:pPr>
              <w:pStyle w:val="Default"/>
              <w:jc w:val="both"/>
              <w:rPr>
                <w:rFonts w:ascii="Tw Cen MT Condensed" w:hAnsi="Tw Cen MT Condensed" w:cs="Shonar Bangla"/>
                <w:szCs w:val="20"/>
              </w:rPr>
            </w:pPr>
          </w:p>
          <w:p w14:paraId="0FA52F42" w14:textId="77777777" w:rsidR="00297195" w:rsidRPr="00262FC1" w:rsidRDefault="00297195" w:rsidP="00E81E46">
            <w:pPr>
              <w:pStyle w:val="Default"/>
              <w:jc w:val="both"/>
              <w:rPr>
                <w:rFonts w:ascii="Tw Cen MT Condensed" w:hAnsi="Tw Cen MT Condensed" w:cs="Shonar Bangla"/>
                <w:szCs w:val="20"/>
              </w:rPr>
            </w:pPr>
            <w:r w:rsidRPr="009342DF">
              <w:rPr>
                <w:rFonts w:ascii="Tw Cen MT Condensed" w:hAnsi="Tw Cen MT Condensed" w:cs="Shonar Bangla"/>
                <w:szCs w:val="20"/>
              </w:rPr>
              <w:t>When assessing coverage and gaps in coverage, distinctions need to be made between coverage by (1) contributory social insurance, (2) universal schemes covering all residents (or all residents in a given category), and (3) means-tested schemes potentially covering all those who pass the required test of income and/or assets.</w:t>
            </w:r>
          </w:p>
          <w:p w14:paraId="18E2E42C" w14:textId="320F51B0" w:rsidR="00297195" w:rsidRPr="00262FC1" w:rsidRDefault="00297195" w:rsidP="00E81E46">
            <w:pPr>
              <w:jc w:val="both"/>
              <w:rPr>
                <w:szCs w:val="20"/>
              </w:rPr>
            </w:pPr>
          </w:p>
          <w:p w14:paraId="53581C16" w14:textId="77777777" w:rsidR="00297195" w:rsidRPr="00262FC1" w:rsidRDefault="00297195" w:rsidP="00E81E46">
            <w:pPr>
              <w:pStyle w:val="Default"/>
              <w:jc w:val="both"/>
              <w:rPr>
                <w:rFonts w:ascii="Tw Cen MT Condensed" w:hAnsi="Tw Cen MT Condensed" w:cs="Shonar Bangla"/>
                <w:szCs w:val="20"/>
              </w:rPr>
            </w:pPr>
          </w:p>
          <w:p w14:paraId="2F689C6E" w14:textId="77777777" w:rsidR="00297195" w:rsidRPr="000C4849" w:rsidRDefault="00297195" w:rsidP="00E81E46">
            <w:pPr>
              <w:jc w:val="both"/>
              <w:rPr>
                <w:b/>
                <w:szCs w:val="20"/>
              </w:rPr>
            </w:pPr>
            <w:r w:rsidRPr="000C4849">
              <w:rPr>
                <w:b/>
              </w:rPr>
              <w:t>Rationale</w:t>
            </w:r>
          </w:p>
          <w:p w14:paraId="5B45FA75" w14:textId="77777777" w:rsidR="00297195" w:rsidRDefault="00297195" w:rsidP="00E81E46">
            <w:pPr>
              <w:jc w:val="both"/>
              <w:rPr>
                <w:szCs w:val="20"/>
              </w:rPr>
            </w:pPr>
            <w:r w:rsidRPr="009342DF">
              <w:rPr>
                <w:szCs w:val="20"/>
              </w:rPr>
              <w:t>Measurements of effective coverage should reflect how in reality le</w:t>
            </w:r>
            <w:r>
              <w:rPr>
                <w:szCs w:val="20"/>
              </w:rPr>
              <w:t xml:space="preserve">gal provisions are implemented. </w:t>
            </w:r>
            <w:r w:rsidRPr="009342DF">
              <w:rPr>
                <w:szCs w:val="20"/>
              </w:rPr>
              <w:t>It refers to the percentage of people actually receiving benefits of contributory and non-contributory social protection programmes, plus the number of persons actively contributing to social insurance schemes.</w:t>
            </w:r>
          </w:p>
          <w:p w14:paraId="26A633D2" w14:textId="77777777" w:rsidR="00297195" w:rsidRDefault="00297195" w:rsidP="00E81E46">
            <w:pPr>
              <w:jc w:val="both"/>
              <w:rPr>
                <w:szCs w:val="20"/>
              </w:rPr>
            </w:pPr>
          </w:p>
          <w:p w14:paraId="511EC68C" w14:textId="77777777" w:rsidR="00297195" w:rsidRDefault="00297195" w:rsidP="00E81E46">
            <w:pPr>
              <w:jc w:val="both"/>
              <w:rPr>
                <w:b/>
                <w:bCs/>
                <w:szCs w:val="20"/>
              </w:rPr>
            </w:pPr>
            <w:r w:rsidRPr="00EE31FB">
              <w:rPr>
                <w:b/>
                <w:bCs/>
                <w:szCs w:val="20"/>
              </w:rPr>
              <w:t>Computation Methods and formula:</w:t>
            </w:r>
          </w:p>
          <w:p w14:paraId="24B3B8BC" w14:textId="77777777" w:rsidR="00297195" w:rsidRPr="000C4849" w:rsidRDefault="00297195" w:rsidP="00E81E46">
            <w:pPr>
              <w:jc w:val="both"/>
              <w:rPr>
                <w:bCs/>
                <w:szCs w:val="20"/>
              </w:rPr>
            </w:pPr>
            <w:r w:rsidRPr="000C4849">
              <w:rPr>
                <w:bCs/>
                <w:szCs w:val="20"/>
              </w:rPr>
              <w:t>Calculations include separate indicators in order to distinguish effective coverage for children, unemployed persons, older persons and persons with disabilities, mothers with newborns, workers protected in case of work injury, and the poor and the vulnerable.  For each case, coverage expressed as a share of the respective population.</w:t>
            </w:r>
          </w:p>
          <w:p w14:paraId="1DC2CFE7" w14:textId="77777777" w:rsidR="00297195" w:rsidRPr="000C4849" w:rsidRDefault="00297195" w:rsidP="00E81E46">
            <w:pPr>
              <w:jc w:val="both"/>
              <w:rPr>
                <w:bCs/>
                <w:szCs w:val="20"/>
              </w:rPr>
            </w:pPr>
          </w:p>
          <w:p w14:paraId="55AE8EF5" w14:textId="77777777" w:rsidR="00297195" w:rsidRPr="000C4849" w:rsidRDefault="00297195" w:rsidP="00E81E46">
            <w:pPr>
              <w:jc w:val="both"/>
              <w:rPr>
                <w:bCs/>
                <w:szCs w:val="20"/>
              </w:rPr>
            </w:pPr>
            <w:r w:rsidRPr="000C4849">
              <w:rPr>
                <w:bCs/>
                <w:szCs w:val="20"/>
              </w:rPr>
              <w:t>Indicators are obtained as follows:</w:t>
            </w:r>
          </w:p>
          <w:p w14:paraId="24AF3621" w14:textId="77777777" w:rsidR="00297195" w:rsidRPr="000C4849" w:rsidRDefault="00297195" w:rsidP="00E81E46">
            <w:pPr>
              <w:jc w:val="both"/>
              <w:rPr>
                <w:bCs/>
                <w:szCs w:val="20"/>
              </w:rPr>
            </w:pPr>
            <w:r w:rsidRPr="009342DF">
              <w:rPr>
                <w:bCs/>
                <w:szCs w:val="20"/>
              </w:rPr>
              <w:t>a)</w:t>
            </w:r>
            <w:r>
              <w:rPr>
                <w:bCs/>
                <w:szCs w:val="20"/>
              </w:rPr>
              <w:t xml:space="preserve"> </w:t>
            </w:r>
            <w:r w:rsidRPr="000C4849">
              <w:rPr>
                <w:bCs/>
                <w:szCs w:val="20"/>
              </w:rPr>
              <w:t>Proportion of children covered by social protection benefits: ratio of children/households receiving child or family cash benefits to the total number of children/households with children.</w:t>
            </w:r>
          </w:p>
          <w:p w14:paraId="70BC63C1" w14:textId="77777777" w:rsidR="00297195" w:rsidRPr="000C4849" w:rsidRDefault="00297195" w:rsidP="00E81E46">
            <w:pPr>
              <w:jc w:val="both"/>
              <w:rPr>
                <w:bCs/>
                <w:szCs w:val="20"/>
              </w:rPr>
            </w:pPr>
            <w:r w:rsidRPr="009342DF">
              <w:rPr>
                <w:bCs/>
                <w:szCs w:val="20"/>
              </w:rPr>
              <w:t>b)</w:t>
            </w:r>
            <w:r>
              <w:rPr>
                <w:bCs/>
                <w:szCs w:val="20"/>
              </w:rPr>
              <w:t xml:space="preserve"> </w:t>
            </w:r>
            <w:r w:rsidRPr="000C4849">
              <w:rPr>
                <w:bCs/>
                <w:szCs w:val="20"/>
              </w:rPr>
              <w:t>Proportion of women giving birth covered by maternity benefits: ratio of women receiving cash maternity benefits to women giving birth in the same year (estimated based on age-specific fertility rates published in the UN’s World Population Prospects or on the number of live births corrected for the share of twin and triplet births).</w:t>
            </w:r>
          </w:p>
          <w:p w14:paraId="064BE62B" w14:textId="77777777" w:rsidR="00297195" w:rsidRPr="000C4849" w:rsidRDefault="00297195" w:rsidP="00406F3B">
            <w:pPr>
              <w:jc w:val="both"/>
              <w:rPr>
                <w:bCs/>
                <w:szCs w:val="20"/>
              </w:rPr>
            </w:pPr>
            <w:r w:rsidRPr="009342DF">
              <w:rPr>
                <w:bCs/>
                <w:szCs w:val="20"/>
              </w:rPr>
              <w:t>c)</w:t>
            </w:r>
            <w:r>
              <w:rPr>
                <w:bCs/>
                <w:szCs w:val="20"/>
              </w:rPr>
              <w:t xml:space="preserve"> </w:t>
            </w:r>
            <w:r w:rsidRPr="000C4849">
              <w:rPr>
                <w:bCs/>
                <w:szCs w:val="20"/>
              </w:rPr>
              <w:t>Proportion of persons with disabilities receiving benefits: ratio of persons receiving disability cash benefits to persons with severe disabilities. The latter is calculated as the product of prevalence of disability ratios (published for each country group by the World Health Organization) and each country’s population.</w:t>
            </w:r>
          </w:p>
          <w:p w14:paraId="28C9A743" w14:textId="77777777" w:rsidR="00297195" w:rsidRPr="000C4849" w:rsidRDefault="00297195" w:rsidP="00406F3B">
            <w:pPr>
              <w:jc w:val="both"/>
              <w:rPr>
                <w:bCs/>
                <w:szCs w:val="20"/>
              </w:rPr>
            </w:pPr>
            <w:r w:rsidRPr="009342DF">
              <w:rPr>
                <w:bCs/>
                <w:szCs w:val="20"/>
              </w:rPr>
              <w:t>d)</w:t>
            </w:r>
            <w:r>
              <w:rPr>
                <w:bCs/>
                <w:szCs w:val="20"/>
              </w:rPr>
              <w:t xml:space="preserve"> </w:t>
            </w:r>
            <w:r w:rsidRPr="000C4849">
              <w:rPr>
                <w:bCs/>
                <w:szCs w:val="20"/>
              </w:rPr>
              <w:t>Proportion of unemployed receiving benefits: ratio of recipients of unemployment cash benefits to the number of unemployed persons.</w:t>
            </w:r>
          </w:p>
          <w:p w14:paraId="5B226C30" w14:textId="77777777" w:rsidR="00297195" w:rsidRPr="000C4849" w:rsidRDefault="00297195" w:rsidP="00406F3B">
            <w:pPr>
              <w:jc w:val="both"/>
              <w:rPr>
                <w:bCs/>
                <w:szCs w:val="20"/>
              </w:rPr>
            </w:pPr>
            <w:r w:rsidRPr="009342DF">
              <w:rPr>
                <w:bCs/>
                <w:szCs w:val="20"/>
              </w:rPr>
              <w:t>e)</w:t>
            </w:r>
            <w:r>
              <w:rPr>
                <w:bCs/>
                <w:szCs w:val="20"/>
              </w:rPr>
              <w:t xml:space="preserve"> </w:t>
            </w:r>
            <w:r w:rsidRPr="000C4849">
              <w:rPr>
                <w:bCs/>
                <w:szCs w:val="20"/>
              </w:rPr>
              <w:t xml:space="preserve">Proportion of workers covered in case of employment injury: ratio of workers protected by injury insurance to total employment or the labour force. </w:t>
            </w:r>
          </w:p>
          <w:p w14:paraId="529D45C7" w14:textId="77777777" w:rsidR="00297195" w:rsidRPr="000C4849" w:rsidRDefault="00297195" w:rsidP="00406F3B">
            <w:pPr>
              <w:jc w:val="both"/>
              <w:rPr>
                <w:bCs/>
                <w:szCs w:val="20"/>
              </w:rPr>
            </w:pPr>
            <w:r w:rsidRPr="009342DF">
              <w:rPr>
                <w:bCs/>
                <w:szCs w:val="20"/>
              </w:rPr>
              <w:t>f)</w:t>
            </w:r>
            <w:r>
              <w:rPr>
                <w:bCs/>
                <w:szCs w:val="20"/>
              </w:rPr>
              <w:t xml:space="preserve"> </w:t>
            </w:r>
            <w:r w:rsidRPr="000C4849">
              <w:rPr>
                <w:bCs/>
                <w:szCs w:val="20"/>
              </w:rPr>
              <w:t>Proportion of older persons receiving a pension: ratio of persons above statutory retirement age receiving an old-age pension to persons above statutory retirement age (including contributory and non-contributory).</w:t>
            </w:r>
          </w:p>
          <w:p w14:paraId="768AC30C" w14:textId="77777777" w:rsidR="00297195" w:rsidRPr="000C4849" w:rsidRDefault="00297195" w:rsidP="00406F3B">
            <w:pPr>
              <w:jc w:val="both"/>
              <w:rPr>
                <w:bCs/>
                <w:szCs w:val="20"/>
              </w:rPr>
            </w:pPr>
            <w:r w:rsidRPr="000C4849">
              <w:rPr>
                <w:bCs/>
                <w:szCs w:val="20"/>
              </w:rPr>
              <w:t>g)</w:t>
            </w:r>
            <w:r>
              <w:rPr>
                <w:bCs/>
                <w:szCs w:val="20"/>
              </w:rPr>
              <w:t xml:space="preserve"> </w:t>
            </w:r>
            <w:r w:rsidRPr="000C4849">
              <w:rPr>
                <w:bCs/>
                <w:szCs w:val="20"/>
              </w:rPr>
              <w:t>Proportion of vulnerable persons receiving benefits: ratio of social assistance recipients to the total number of vulnerable persons. The latter are calculated by subtracting from total population all people of working age who are contributing to a social insurance scheme or receiving contributory benefits, and all persons above retirement age receiving contributory benefits.</w:t>
            </w:r>
          </w:p>
          <w:p w14:paraId="4469A8CF" w14:textId="77777777" w:rsidR="00297195" w:rsidRPr="000C4849" w:rsidRDefault="00297195" w:rsidP="00406F3B">
            <w:pPr>
              <w:jc w:val="both"/>
              <w:rPr>
                <w:bCs/>
                <w:szCs w:val="20"/>
              </w:rPr>
            </w:pPr>
          </w:p>
          <w:p w14:paraId="247DD402" w14:textId="77777777" w:rsidR="00297195" w:rsidRPr="00EE31FB" w:rsidRDefault="00297195" w:rsidP="00406F3B">
            <w:pPr>
              <w:jc w:val="both"/>
              <w:rPr>
                <w:b/>
                <w:bCs/>
                <w:szCs w:val="20"/>
              </w:rPr>
            </w:pPr>
            <w:r w:rsidRPr="000C4849">
              <w:rPr>
                <w:bCs/>
                <w:szCs w:val="20"/>
              </w:rPr>
              <w:lastRenderedPageBreak/>
              <w:t>The aggregate indicator is calculated as the proportion of the total population receiving cash benefits under at least one of the contingencies (contributory or non-contributory benefit) or actively contributing to at least one social security scheme.</w:t>
            </w:r>
          </w:p>
          <w:p w14:paraId="58EBCF06" w14:textId="63A78B31" w:rsidR="00297195" w:rsidRDefault="00297195" w:rsidP="00406F3B">
            <w:pPr>
              <w:jc w:val="both"/>
              <w:rPr>
                <w:szCs w:val="20"/>
              </w:rPr>
            </w:pPr>
          </w:p>
          <w:p w14:paraId="697210FD" w14:textId="77777777" w:rsidR="00297195" w:rsidRDefault="00297195" w:rsidP="00406F3B">
            <w:pPr>
              <w:jc w:val="both"/>
              <w:rPr>
                <w:szCs w:val="20"/>
              </w:rPr>
            </w:pPr>
          </w:p>
          <w:p w14:paraId="5802A4C2" w14:textId="77777777" w:rsidR="00297195" w:rsidRDefault="00297195" w:rsidP="00406F3B">
            <w:pPr>
              <w:jc w:val="both"/>
              <w:rPr>
                <w:szCs w:val="20"/>
              </w:rPr>
            </w:pPr>
            <w:r>
              <w:rPr>
                <w:szCs w:val="20"/>
              </w:rPr>
              <w:t>For 1.3.1b</w:t>
            </w:r>
          </w:p>
          <w:p w14:paraId="78778110" w14:textId="77777777" w:rsidR="00297195" w:rsidRPr="0067323E" w:rsidRDefault="00297195" w:rsidP="00406F3B">
            <w:pPr>
              <w:jc w:val="both"/>
              <w:rPr>
                <w:b/>
                <w:szCs w:val="20"/>
              </w:rPr>
            </w:pPr>
            <w:r w:rsidRPr="0067323E">
              <w:rPr>
                <w:b/>
                <w:szCs w:val="20"/>
              </w:rPr>
              <w:t>Definition:</w:t>
            </w:r>
          </w:p>
          <w:p w14:paraId="1B9F33CF" w14:textId="77777777" w:rsidR="00297195" w:rsidRPr="0067323E" w:rsidRDefault="00297195" w:rsidP="00406F3B">
            <w:pPr>
              <w:jc w:val="both"/>
              <w:rPr>
                <w:b/>
                <w:szCs w:val="20"/>
              </w:rPr>
            </w:pPr>
          </w:p>
          <w:p w14:paraId="45933C61" w14:textId="77777777" w:rsidR="00297195" w:rsidRDefault="00297195" w:rsidP="00406F3B">
            <w:pPr>
              <w:jc w:val="both"/>
              <w:rPr>
                <w:szCs w:val="20"/>
              </w:rPr>
            </w:pPr>
            <w:r w:rsidRPr="000C4849">
              <w:rPr>
                <w:szCs w:val="20"/>
              </w:rPr>
              <w:t>Coverage of social protection and labor programs (SPL) is the percentage of population participating in social insurance, social safety net, and unemployment benefits and active labor market programs. Estimates include both direct and indirect beneficiaries.</w:t>
            </w:r>
          </w:p>
          <w:p w14:paraId="3C802736" w14:textId="77777777" w:rsidR="00297195" w:rsidRDefault="00297195" w:rsidP="00406F3B">
            <w:pPr>
              <w:jc w:val="both"/>
              <w:rPr>
                <w:szCs w:val="20"/>
              </w:rPr>
            </w:pPr>
          </w:p>
          <w:p w14:paraId="1B6D1185" w14:textId="77777777" w:rsidR="00297195" w:rsidRPr="0067323E" w:rsidRDefault="00297195" w:rsidP="00406F3B">
            <w:pPr>
              <w:jc w:val="both"/>
              <w:rPr>
                <w:szCs w:val="20"/>
              </w:rPr>
            </w:pPr>
            <w:r w:rsidRPr="0067323E">
              <w:rPr>
                <w:szCs w:val="20"/>
              </w:rPr>
              <w:t>Concepts:</w:t>
            </w:r>
          </w:p>
          <w:p w14:paraId="4245D90F" w14:textId="77777777" w:rsidR="00297195" w:rsidRPr="0067323E" w:rsidRDefault="00297195" w:rsidP="00406F3B">
            <w:pPr>
              <w:jc w:val="both"/>
              <w:rPr>
                <w:szCs w:val="20"/>
              </w:rPr>
            </w:pPr>
          </w:p>
          <w:p w14:paraId="0CA4E1B4" w14:textId="77777777" w:rsidR="00297195" w:rsidRPr="0067323E" w:rsidRDefault="00297195" w:rsidP="00406F3B">
            <w:pPr>
              <w:jc w:val="both"/>
              <w:rPr>
                <w:szCs w:val="20"/>
              </w:rPr>
            </w:pPr>
            <w:r w:rsidRPr="0067323E">
              <w:rPr>
                <w:szCs w:val="20"/>
              </w:rPr>
              <w:t xml:space="preserve">This indicator is estimated by program type, for the entire population and by quintiles of both the post-transfer and pre-transfer welfare distribution. Programs are aggregated into social assistance, social insurance and labor market according to ASPIRE (Atlas of Social Protection – Indicators of Resilience and Equity) classification. Indicators for all social protection and labor programs (SPL) provide the totals summing up the social assistance, social insurance and labor market figures. </w:t>
            </w:r>
          </w:p>
          <w:p w14:paraId="2C737448" w14:textId="77777777" w:rsidR="00297195" w:rsidRPr="0067323E" w:rsidRDefault="00297195" w:rsidP="00406F3B">
            <w:pPr>
              <w:jc w:val="both"/>
              <w:rPr>
                <w:szCs w:val="20"/>
              </w:rPr>
            </w:pPr>
          </w:p>
          <w:p w14:paraId="6440C958" w14:textId="77777777" w:rsidR="00297195" w:rsidRDefault="00297195" w:rsidP="00406F3B">
            <w:pPr>
              <w:jc w:val="both"/>
              <w:rPr>
                <w:szCs w:val="20"/>
              </w:rPr>
            </w:pPr>
            <w:r w:rsidRPr="0067323E">
              <w:rPr>
                <w:szCs w:val="20"/>
              </w:rPr>
              <w:t>ASPIRE is the World Bank's premier compilation of Social Protection and Labor (SPL) indicators gathered from officially-recognized international household surveys in order to analyze the distributional and poverty impact of Social Protection and Labor programs. ASPIRE is an ongoing project that aims to improve SPL data quality, comparability and availability to better inform SPL policies and programs.</w:t>
            </w:r>
          </w:p>
          <w:p w14:paraId="247910FC" w14:textId="77777777" w:rsidR="00297195" w:rsidRDefault="00297195" w:rsidP="00406F3B">
            <w:pPr>
              <w:jc w:val="both"/>
              <w:rPr>
                <w:szCs w:val="20"/>
              </w:rPr>
            </w:pPr>
          </w:p>
          <w:p w14:paraId="538D491F" w14:textId="77777777" w:rsidR="00297195" w:rsidRPr="0067323E" w:rsidRDefault="00297195" w:rsidP="00406F3B">
            <w:pPr>
              <w:jc w:val="both"/>
              <w:rPr>
                <w:szCs w:val="20"/>
              </w:rPr>
            </w:pPr>
            <w:r w:rsidRPr="0067323E">
              <w:rPr>
                <w:szCs w:val="20"/>
              </w:rPr>
              <w:t>Computation Method:</w:t>
            </w:r>
          </w:p>
          <w:p w14:paraId="6E3AFF3A" w14:textId="77777777" w:rsidR="00297195" w:rsidRPr="0067323E" w:rsidRDefault="00297195" w:rsidP="00406F3B">
            <w:pPr>
              <w:jc w:val="both"/>
              <w:rPr>
                <w:szCs w:val="20"/>
              </w:rPr>
            </w:pPr>
          </w:p>
          <w:p w14:paraId="685E5385" w14:textId="77777777" w:rsidR="00297195" w:rsidRPr="0067323E" w:rsidRDefault="00297195" w:rsidP="00406F3B">
            <w:pPr>
              <w:jc w:val="both"/>
              <w:rPr>
                <w:szCs w:val="20"/>
              </w:rPr>
            </w:pPr>
            <w:r w:rsidRPr="0067323E">
              <w:rPr>
                <w:szCs w:val="20"/>
              </w:rPr>
              <w:t xml:space="preserve">Data are calculated from national representative household surveys using ASPIRE: The Atlas of Social Protection - Indicators of Resilience and Equity, The World Bank (see datatopics.worldbank.org/aspire/). </w:t>
            </w:r>
          </w:p>
          <w:p w14:paraId="05B71479" w14:textId="77777777" w:rsidR="00297195" w:rsidRPr="0067323E" w:rsidRDefault="00297195" w:rsidP="00406F3B">
            <w:pPr>
              <w:jc w:val="both"/>
              <w:rPr>
                <w:szCs w:val="20"/>
              </w:rPr>
            </w:pPr>
          </w:p>
          <w:p w14:paraId="5B9922CC" w14:textId="77777777" w:rsidR="00297195" w:rsidRPr="0067323E" w:rsidRDefault="00297195" w:rsidP="00406F3B">
            <w:pPr>
              <w:jc w:val="both"/>
              <w:rPr>
                <w:szCs w:val="20"/>
              </w:rPr>
            </w:pPr>
            <w:r w:rsidRPr="0067323E">
              <w:rPr>
                <w:szCs w:val="20"/>
              </w:rPr>
              <w:t xml:space="preserve">Coverage = Number of beneficiaries in the total population (or group) / Total population (or group). </w:t>
            </w:r>
          </w:p>
          <w:p w14:paraId="1CD8D8D5" w14:textId="77777777" w:rsidR="00297195" w:rsidRPr="0067323E" w:rsidRDefault="00297195" w:rsidP="00406F3B">
            <w:pPr>
              <w:jc w:val="both"/>
              <w:rPr>
                <w:szCs w:val="20"/>
              </w:rPr>
            </w:pPr>
          </w:p>
          <w:p w14:paraId="46032C5C" w14:textId="77777777" w:rsidR="00297195" w:rsidRPr="000C4849" w:rsidRDefault="00297195" w:rsidP="00406F3B">
            <w:pPr>
              <w:jc w:val="both"/>
              <w:rPr>
                <w:szCs w:val="20"/>
              </w:rPr>
            </w:pPr>
            <w:r w:rsidRPr="0067323E">
              <w:rPr>
                <w:szCs w:val="20"/>
              </w:rPr>
              <w:t>Generally, ASPIRE indicators are based on a first level analysis of original household survey data (with no imputations) and on a unified methodology that does not necessarily reflect country-specific knowledge and in depth country analysis relying on different data sources (administrative program level data).</w:t>
            </w:r>
          </w:p>
        </w:tc>
        <w:tc>
          <w:tcPr>
            <w:tcW w:w="0" w:type="auto"/>
            <w:shd w:val="clear" w:color="auto" w:fill="auto"/>
          </w:tcPr>
          <w:p w14:paraId="02C99C1E" w14:textId="77777777" w:rsidR="00297195" w:rsidRDefault="00297195" w:rsidP="00406F3B">
            <w:pPr>
              <w:pStyle w:val="NoSpacing"/>
            </w:pPr>
            <w:r>
              <w:lastRenderedPageBreak/>
              <w:t>Administrative Records and</w:t>
            </w:r>
          </w:p>
          <w:p w14:paraId="0B76E472" w14:textId="77777777" w:rsidR="00297195" w:rsidRPr="00EE31FB" w:rsidRDefault="00297195" w:rsidP="00406F3B">
            <w:pPr>
              <w:pStyle w:val="NoSpacing"/>
            </w:pPr>
            <w:r>
              <w:t>Household Survey</w:t>
            </w:r>
            <w:r w:rsidRPr="00EE31FB">
              <w:t xml:space="preserve"> using ASPIRE: The Atlas of Social</w:t>
            </w:r>
          </w:p>
          <w:p w14:paraId="6B26B012" w14:textId="77777777" w:rsidR="00297195" w:rsidRPr="00262FC1" w:rsidRDefault="00297195" w:rsidP="00406F3B">
            <w:pPr>
              <w:pStyle w:val="NoSpacing"/>
            </w:pPr>
            <w:r w:rsidRPr="00EE31FB">
              <w:t xml:space="preserve">Protection </w:t>
            </w:r>
            <w:r>
              <w:t>–</w:t>
            </w:r>
            <w:r w:rsidRPr="00EE31FB">
              <w:t xml:space="preserve"> Indicators of Resilience and Equity</w:t>
            </w:r>
            <w:r>
              <w:t xml:space="preserve"> </w:t>
            </w:r>
          </w:p>
        </w:tc>
        <w:tc>
          <w:tcPr>
            <w:tcW w:w="0" w:type="auto"/>
            <w:shd w:val="clear" w:color="auto" w:fill="auto"/>
          </w:tcPr>
          <w:p w14:paraId="463D9E63" w14:textId="77777777" w:rsidR="00297195" w:rsidRPr="00EE31FB" w:rsidRDefault="00297195" w:rsidP="00406F3B">
            <w:pPr>
              <w:pStyle w:val="NoSpacing"/>
            </w:pPr>
            <w:r w:rsidRPr="00EE31FB">
              <w:t>ASPIRE: The Atlas of Social</w:t>
            </w:r>
          </w:p>
          <w:p w14:paraId="44F21042" w14:textId="77777777" w:rsidR="00297195" w:rsidRDefault="00297195" w:rsidP="00406F3B">
            <w:pPr>
              <w:pStyle w:val="NoSpacing"/>
            </w:pPr>
            <w:r w:rsidRPr="00EE31FB">
              <w:t xml:space="preserve">Protection </w:t>
            </w:r>
            <w:r>
              <w:t>–</w:t>
            </w:r>
            <w:r w:rsidRPr="00EE31FB">
              <w:t xml:space="preserve"> Indicators of Resilience and Equity</w:t>
            </w:r>
            <w:r>
              <w:t>, WB</w:t>
            </w:r>
          </w:p>
        </w:tc>
        <w:tc>
          <w:tcPr>
            <w:tcW w:w="0" w:type="auto"/>
            <w:shd w:val="clear" w:color="auto" w:fill="auto"/>
          </w:tcPr>
          <w:p w14:paraId="1C5825B6" w14:textId="4E75363C" w:rsidR="00297195" w:rsidRPr="00262FC1" w:rsidRDefault="00297195" w:rsidP="00406F3B">
            <w:pPr>
              <w:jc w:val="center"/>
              <w:rPr>
                <w:szCs w:val="20"/>
              </w:rPr>
            </w:pPr>
            <w:r w:rsidRPr="00BC6F10">
              <w:rPr>
                <w:rFonts w:eastAsia="Times New Roman" w:cs="Times New Roman"/>
                <w:color w:val="000000" w:themeColor="text1"/>
                <w:szCs w:val="20"/>
              </w:rPr>
              <w:t>HIES</w:t>
            </w:r>
            <w:r w:rsidRPr="00BC6F10">
              <w:t xml:space="preserve">, </w:t>
            </w:r>
            <w:r w:rsidRPr="00A65CA4">
              <w:t>BBS</w:t>
            </w:r>
          </w:p>
        </w:tc>
        <w:tc>
          <w:tcPr>
            <w:tcW w:w="0" w:type="auto"/>
            <w:shd w:val="clear" w:color="auto" w:fill="auto"/>
          </w:tcPr>
          <w:p w14:paraId="56FFBC92" w14:textId="1EE8DC1F" w:rsidR="00297195" w:rsidRPr="00262FC1" w:rsidRDefault="00297195" w:rsidP="00406F3B">
            <w:pPr>
              <w:jc w:val="both"/>
              <w:rPr>
                <w:szCs w:val="20"/>
              </w:rPr>
            </w:pPr>
            <w:r w:rsidRPr="00BC6F10">
              <w:rPr>
                <w:rFonts w:eastAsia="Times New Roman" w:cs="Times New Roman"/>
                <w:color w:val="000000" w:themeColor="text1"/>
                <w:szCs w:val="20"/>
              </w:rPr>
              <w:t>HIES/ NHD</w:t>
            </w:r>
            <w:r>
              <w:rPr>
                <w:rFonts w:eastAsia="Times New Roman" w:cs="Times New Roman"/>
                <w:color w:val="000000" w:themeColor="text1"/>
                <w:szCs w:val="20"/>
              </w:rPr>
              <w:t>, BBS</w:t>
            </w:r>
          </w:p>
        </w:tc>
        <w:tc>
          <w:tcPr>
            <w:tcW w:w="0" w:type="auto"/>
            <w:shd w:val="clear" w:color="auto" w:fill="auto"/>
          </w:tcPr>
          <w:p w14:paraId="609B866E" w14:textId="7A35664C" w:rsidR="00297195" w:rsidRPr="006856A8" w:rsidRDefault="00297195" w:rsidP="00A44C13">
            <w:pPr>
              <w:jc w:val="both"/>
              <w:rPr>
                <w:szCs w:val="20"/>
              </w:rPr>
            </w:pPr>
          </w:p>
          <w:p w14:paraId="498102AD" w14:textId="77777777" w:rsidR="00297195" w:rsidRPr="00054498" w:rsidRDefault="00297195" w:rsidP="00674476">
            <w:pPr>
              <w:pStyle w:val="ListParagraph"/>
              <w:numPr>
                <w:ilvl w:val="0"/>
                <w:numId w:val="2"/>
              </w:numPr>
              <w:spacing w:after="0" w:line="240" w:lineRule="auto"/>
              <w:rPr>
                <w:rFonts w:ascii="Tw Cen MT Condensed" w:hAnsi="Tw Cen MT Condensed"/>
              </w:rPr>
            </w:pPr>
            <w:r w:rsidRPr="00054498">
              <w:rPr>
                <w:rFonts w:ascii="Tw Cen MT Condensed" w:hAnsi="Tw Cen MT Condensed"/>
              </w:rPr>
              <w:t>Sex: male/female</w:t>
            </w:r>
          </w:p>
          <w:p w14:paraId="75508315" w14:textId="77777777" w:rsidR="00297195" w:rsidRPr="00054498" w:rsidRDefault="00297195" w:rsidP="00674476">
            <w:pPr>
              <w:pStyle w:val="ListParagraph"/>
              <w:numPr>
                <w:ilvl w:val="0"/>
                <w:numId w:val="2"/>
              </w:numPr>
              <w:spacing w:after="0" w:line="240" w:lineRule="auto"/>
              <w:rPr>
                <w:rFonts w:ascii="Tw Cen MT Condensed" w:hAnsi="Tw Cen MT Condensed"/>
              </w:rPr>
            </w:pPr>
            <w:r w:rsidRPr="00054498">
              <w:rPr>
                <w:rFonts w:ascii="Tw Cen MT Condensed" w:hAnsi="Tw Cen MT Condensed"/>
              </w:rPr>
              <w:t>Age: children/ retirement age</w:t>
            </w:r>
          </w:p>
          <w:p w14:paraId="2CC1AD79" w14:textId="77777777" w:rsidR="00297195" w:rsidRPr="00054498" w:rsidRDefault="00297195" w:rsidP="00674476">
            <w:pPr>
              <w:pStyle w:val="ListParagraph"/>
              <w:numPr>
                <w:ilvl w:val="0"/>
                <w:numId w:val="2"/>
              </w:numPr>
              <w:spacing w:after="0" w:line="240" w:lineRule="auto"/>
              <w:rPr>
                <w:rFonts w:ascii="Tw Cen MT Condensed" w:hAnsi="Tw Cen MT Condensed"/>
              </w:rPr>
            </w:pPr>
            <w:r w:rsidRPr="00054498">
              <w:rPr>
                <w:rFonts w:ascii="Tw Cen MT Condensed" w:hAnsi="Tw Cen MT Condensed"/>
              </w:rPr>
              <w:t xml:space="preserve">Income quintiles: </w:t>
            </w:r>
          </w:p>
          <w:p w14:paraId="1D28C391" w14:textId="77777777" w:rsidR="00297195" w:rsidRPr="00054498" w:rsidRDefault="00297195" w:rsidP="00674476">
            <w:pPr>
              <w:pStyle w:val="ListParagraph"/>
              <w:numPr>
                <w:ilvl w:val="0"/>
                <w:numId w:val="2"/>
              </w:numPr>
              <w:spacing w:after="0" w:line="240" w:lineRule="auto"/>
              <w:rPr>
                <w:rFonts w:ascii="Tw Cen MT Condensed" w:hAnsi="Tw Cen MT Condensed"/>
              </w:rPr>
            </w:pPr>
            <w:r w:rsidRPr="00054498">
              <w:rPr>
                <w:rFonts w:ascii="Tw Cen MT Condensed" w:hAnsi="Tw Cen MT Condensed"/>
              </w:rPr>
              <w:t xml:space="preserve">Employment status: unemployed/ </w:t>
            </w:r>
            <w:r w:rsidRPr="00054498">
              <w:rPr>
                <w:rFonts w:ascii="Tw Cen MT Condensed" w:hAnsi="Tw Cen MT Condensed"/>
              </w:rPr>
              <w:lastRenderedPageBreak/>
              <w:t>retired</w:t>
            </w:r>
          </w:p>
          <w:p w14:paraId="3FE34587" w14:textId="77777777" w:rsidR="00297195" w:rsidRPr="00054498" w:rsidRDefault="00297195" w:rsidP="00674476">
            <w:pPr>
              <w:pStyle w:val="ListParagraph"/>
              <w:numPr>
                <w:ilvl w:val="0"/>
                <w:numId w:val="2"/>
              </w:numPr>
              <w:spacing w:after="0" w:line="240" w:lineRule="auto"/>
              <w:rPr>
                <w:rFonts w:ascii="Tw Cen MT Condensed" w:hAnsi="Tw Cen MT Condensed"/>
              </w:rPr>
            </w:pPr>
            <w:r w:rsidRPr="00054498">
              <w:rPr>
                <w:rFonts w:ascii="Tw Cen MT Condensed" w:hAnsi="Tw Cen MT Condensed"/>
              </w:rPr>
              <w:t>Disability: severe disabilities collecting disability social protection benefits</w:t>
            </w:r>
          </w:p>
          <w:p w14:paraId="0CEF1A32" w14:textId="77777777" w:rsidR="00297195" w:rsidRPr="00054498" w:rsidRDefault="00297195" w:rsidP="00674476">
            <w:pPr>
              <w:pStyle w:val="ListParagraph"/>
              <w:numPr>
                <w:ilvl w:val="0"/>
                <w:numId w:val="2"/>
              </w:numPr>
              <w:spacing w:after="0" w:line="240" w:lineRule="auto"/>
              <w:rPr>
                <w:rFonts w:ascii="Tw Cen MT Condensed" w:hAnsi="Tw Cen MT Condensed"/>
              </w:rPr>
            </w:pPr>
            <w:r w:rsidRPr="00054498">
              <w:rPr>
                <w:rFonts w:ascii="Tw Cen MT Condensed" w:hAnsi="Tw Cen MT Condensed"/>
              </w:rPr>
              <w:t>Pregnancy: mothers receiving maternity benefits and benefits for new-borns</w:t>
            </w:r>
          </w:p>
          <w:p w14:paraId="4BCCB4F3" w14:textId="77777777" w:rsidR="00297195" w:rsidRPr="00054498" w:rsidRDefault="00297195" w:rsidP="00674476">
            <w:pPr>
              <w:pStyle w:val="ListParagraph"/>
              <w:numPr>
                <w:ilvl w:val="0"/>
                <w:numId w:val="2"/>
              </w:numPr>
              <w:spacing w:after="0" w:line="240" w:lineRule="auto"/>
              <w:rPr>
                <w:rFonts w:ascii="Tw Cen MT Condensed" w:hAnsi="Tw Cen MT Condensed"/>
              </w:rPr>
            </w:pPr>
            <w:r w:rsidRPr="00054498">
              <w:rPr>
                <w:rFonts w:ascii="Tw Cen MT Condensed" w:hAnsi="Tw Cen MT Condensed"/>
              </w:rPr>
              <w:t>Work injury victims:</w:t>
            </w:r>
          </w:p>
          <w:p w14:paraId="15136C13" w14:textId="07469E61" w:rsidR="00297195" w:rsidRPr="00674476" w:rsidRDefault="00297195" w:rsidP="00674476">
            <w:pPr>
              <w:pStyle w:val="ListParagraph"/>
              <w:numPr>
                <w:ilvl w:val="0"/>
                <w:numId w:val="2"/>
              </w:numPr>
              <w:spacing w:line="240" w:lineRule="auto"/>
              <w:jc w:val="both"/>
              <w:rPr>
                <w:rFonts w:ascii="Tw Cen MT Condensed" w:hAnsi="Tw Cen MT Condensed"/>
                <w:sz w:val="20"/>
                <w:szCs w:val="20"/>
              </w:rPr>
            </w:pPr>
            <w:r w:rsidRPr="00054498">
              <w:rPr>
                <w:rFonts w:ascii="Tw Cen MT Condensed" w:hAnsi="Tw Cen MT Condensed"/>
              </w:rPr>
              <w:t>Income: income quintiles</w:t>
            </w:r>
          </w:p>
        </w:tc>
        <w:tc>
          <w:tcPr>
            <w:tcW w:w="0" w:type="auto"/>
            <w:shd w:val="clear" w:color="auto" w:fill="auto"/>
          </w:tcPr>
          <w:p w14:paraId="2525DAAA" w14:textId="77777777" w:rsidR="00297195" w:rsidRPr="00371514" w:rsidRDefault="00297195" w:rsidP="00406F3B">
            <w:pPr>
              <w:jc w:val="center"/>
              <w:rPr>
                <w:bCs/>
                <w:szCs w:val="20"/>
              </w:rPr>
            </w:pPr>
            <w:r>
              <w:lastRenderedPageBreak/>
              <w:t>Triennial</w:t>
            </w:r>
          </w:p>
        </w:tc>
        <w:tc>
          <w:tcPr>
            <w:tcW w:w="0" w:type="auto"/>
            <w:shd w:val="clear" w:color="auto" w:fill="auto"/>
          </w:tcPr>
          <w:p w14:paraId="3842635B" w14:textId="77777777" w:rsidR="00297195" w:rsidRPr="00371514" w:rsidRDefault="00297195" w:rsidP="00406F3B">
            <w:pPr>
              <w:jc w:val="center"/>
              <w:rPr>
                <w:bCs/>
                <w:szCs w:val="20"/>
              </w:rPr>
            </w:pPr>
            <w:r w:rsidRPr="00371514">
              <w:rPr>
                <w:bCs/>
                <w:szCs w:val="20"/>
              </w:rPr>
              <w:t>Group 3</w:t>
            </w:r>
          </w:p>
        </w:tc>
        <w:tc>
          <w:tcPr>
            <w:tcW w:w="0" w:type="auto"/>
            <w:shd w:val="clear" w:color="auto" w:fill="auto"/>
          </w:tcPr>
          <w:p w14:paraId="65EA6B5B" w14:textId="77777777" w:rsidR="00297195" w:rsidRDefault="00297195" w:rsidP="00406F3B">
            <w:pPr>
              <w:pStyle w:val="NoSpacing"/>
            </w:pPr>
            <w:r>
              <w:t>1</w:t>
            </w:r>
            <w:r w:rsidRPr="00013ACB">
              <w:rPr>
                <w:vertAlign w:val="superscript"/>
              </w:rPr>
              <w:t>st</w:t>
            </w:r>
            <w:r>
              <w:t xml:space="preserve"> Round: </w:t>
            </w:r>
          </w:p>
          <w:p w14:paraId="6D255EF8" w14:textId="77777777" w:rsidR="00297195" w:rsidRDefault="00297195" w:rsidP="00406F3B">
            <w:pPr>
              <w:pStyle w:val="NoSpacing"/>
            </w:pPr>
            <w:r>
              <w:t>2016</w:t>
            </w:r>
          </w:p>
          <w:p w14:paraId="4DB932EC" w14:textId="77777777" w:rsidR="00297195" w:rsidRDefault="00297195" w:rsidP="00406F3B">
            <w:pPr>
              <w:pStyle w:val="NoSpacing"/>
            </w:pPr>
          </w:p>
          <w:p w14:paraId="54E3780D" w14:textId="77777777" w:rsidR="00297195" w:rsidRDefault="00297195" w:rsidP="00406F3B">
            <w:pPr>
              <w:pStyle w:val="NoSpacing"/>
            </w:pPr>
            <w:r>
              <w:t>2</w:t>
            </w:r>
            <w:r w:rsidRPr="00013ACB">
              <w:rPr>
                <w:vertAlign w:val="superscript"/>
              </w:rPr>
              <w:t>nd</w:t>
            </w:r>
            <w:r>
              <w:t xml:space="preserve"> Round: June, 2021</w:t>
            </w:r>
          </w:p>
          <w:p w14:paraId="35816F47" w14:textId="77777777" w:rsidR="00297195" w:rsidRDefault="00297195" w:rsidP="00406F3B">
            <w:pPr>
              <w:pStyle w:val="NoSpacing"/>
            </w:pPr>
          </w:p>
          <w:p w14:paraId="4196C77E" w14:textId="77777777" w:rsidR="00297195" w:rsidRDefault="00297195" w:rsidP="00406F3B">
            <w:pPr>
              <w:pStyle w:val="NoSpacing"/>
            </w:pPr>
            <w:r>
              <w:t>3</w:t>
            </w:r>
            <w:r w:rsidRPr="00013ACB">
              <w:rPr>
                <w:vertAlign w:val="superscript"/>
              </w:rPr>
              <w:t>rd</w:t>
            </w:r>
            <w:r>
              <w:t xml:space="preserve"> Round: </w:t>
            </w:r>
          </w:p>
          <w:p w14:paraId="506FF84D" w14:textId="77777777" w:rsidR="00297195" w:rsidRDefault="00297195" w:rsidP="00406F3B">
            <w:pPr>
              <w:pStyle w:val="NoSpacing"/>
            </w:pPr>
            <w:r>
              <w:t>June, 2024</w:t>
            </w:r>
          </w:p>
          <w:p w14:paraId="72957F68" w14:textId="77777777" w:rsidR="00297195" w:rsidRDefault="00297195" w:rsidP="00406F3B">
            <w:pPr>
              <w:pStyle w:val="NoSpacing"/>
            </w:pPr>
          </w:p>
          <w:p w14:paraId="6C45A606" w14:textId="77777777" w:rsidR="00297195" w:rsidRDefault="00297195" w:rsidP="00406F3B">
            <w:pPr>
              <w:pStyle w:val="NoSpacing"/>
            </w:pPr>
            <w:r>
              <w:t>4</w:t>
            </w:r>
            <w:r w:rsidRPr="00013ACB">
              <w:rPr>
                <w:vertAlign w:val="superscript"/>
              </w:rPr>
              <w:t>th</w:t>
            </w:r>
            <w:r>
              <w:t xml:space="preserve"> Round: </w:t>
            </w:r>
          </w:p>
          <w:p w14:paraId="46FF2E17" w14:textId="77777777" w:rsidR="00297195" w:rsidRDefault="00297195" w:rsidP="00406F3B">
            <w:pPr>
              <w:pStyle w:val="NoSpacing"/>
            </w:pPr>
            <w:r>
              <w:t>June, 2027</w:t>
            </w:r>
          </w:p>
          <w:p w14:paraId="4697F036" w14:textId="77777777" w:rsidR="00297195" w:rsidRDefault="00297195" w:rsidP="00406F3B">
            <w:pPr>
              <w:pStyle w:val="NoSpacing"/>
            </w:pPr>
          </w:p>
          <w:p w14:paraId="4DE728E0" w14:textId="77777777" w:rsidR="00297195" w:rsidRDefault="00297195" w:rsidP="00406F3B">
            <w:pPr>
              <w:pStyle w:val="NoSpacing"/>
            </w:pPr>
            <w:r>
              <w:t>5</w:t>
            </w:r>
            <w:r w:rsidRPr="00013ACB">
              <w:rPr>
                <w:vertAlign w:val="superscript"/>
              </w:rPr>
              <w:t>th</w:t>
            </w:r>
            <w:r>
              <w:t xml:space="preserve"> Round: </w:t>
            </w:r>
          </w:p>
          <w:p w14:paraId="3817EA60" w14:textId="77777777" w:rsidR="00297195" w:rsidRDefault="00297195" w:rsidP="00406F3B">
            <w:pPr>
              <w:pStyle w:val="NoSpacing"/>
            </w:pPr>
            <w:r>
              <w:t>June, 2030</w:t>
            </w:r>
          </w:p>
          <w:p w14:paraId="088725EB" w14:textId="472811E9" w:rsidR="00297195" w:rsidRPr="003265B9" w:rsidRDefault="00297195" w:rsidP="00406F3B">
            <w:pPr>
              <w:pStyle w:val="NoSpacing"/>
            </w:pPr>
          </w:p>
        </w:tc>
        <w:tc>
          <w:tcPr>
            <w:tcW w:w="0" w:type="auto"/>
            <w:shd w:val="clear" w:color="auto" w:fill="auto"/>
          </w:tcPr>
          <w:p w14:paraId="43C64EF6" w14:textId="77777777" w:rsidR="00297195" w:rsidRPr="00901CCA" w:rsidRDefault="00297195" w:rsidP="00406F3B">
            <w:pPr>
              <w:pStyle w:val="NoSpacing"/>
            </w:pPr>
            <w:r w:rsidRPr="00901CCA">
              <w:lastRenderedPageBreak/>
              <w:t xml:space="preserve">Coverage of social protection floors/systems is wider which need to be addressed in future </w:t>
            </w:r>
          </w:p>
          <w:p w14:paraId="29CFFBC0" w14:textId="77777777" w:rsidR="00297195" w:rsidRPr="00901CCA" w:rsidRDefault="00297195" w:rsidP="00406F3B">
            <w:pPr>
              <w:pStyle w:val="NoSpacing"/>
            </w:pPr>
            <w:r w:rsidRPr="00901CCA">
              <w:t xml:space="preserve">DPP for HIES 2020 has been sent to Planning </w:t>
            </w:r>
          </w:p>
          <w:p w14:paraId="2AF9BA0F" w14:textId="77777777" w:rsidR="00297195" w:rsidRDefault="00297195" w:rsidP="00406F3B">
            <w:pPr>
              <w:pStyle w:val="NoSpacing"/>
            </w:pPr>
            <w:r>
              <w:t xml:space="preserve">Commission for </w:t>
            </w:r>
            <w:r>
              <w:lastRenderedPageBreak/>
              <w:t>approval</w:t>
            </w:r>
          </w:p>
          <w:p w14:paraId="4963ABF6" w14:textId="77777777" w:rsidR="00297195" w:rsidRDefault="00297195" w:rsidP="00406F3B">
            <w:pPr>
              <w:pStyle w:val="NoSpacing"/>
            </w:pPr>
          </w:p>
          <w:p w14:paraId="0FC8E665" w14:textId="77777777" w:rsidR="00297195" w:rsidRPr="00CF5CFB" w:rsidRDefault="00297195" w:rsidP="00406F3B">
            <w:pPr>
              <w:pStyle w:val="NoSpacing"/>
            </w:pPr>
            <w:r w:rsidRPr="00CF5CFB">
              <w:t>IAEG-SDG 3rd meeting: Lack of sufficient data coverage (classified as Tier II)</w:t>
            </w:r>
          </w:p>
        </w:tc>
      </w:tr>
      <w:tr w:rsidR="00681484" w14:paraId="42503AAC" w14:textId="77777777" w:rsidTr="0085651F">
        <w:tc>
          <w:tcPr>
            <w:tcW w:w="0" w:type="auto"/>
            <w:gridSpan w:val="13"/>
            <w:shd w:val="clear" w:color="auto" w:fill="auto"/>
          </w:tcPr>
          <w:p w14:paraId="5E857E6E" w14:textId="77777777" w:rsidR="00681484" w:rsidRPr="00AF1F5E" w:rsidRDefault="00681484" w:rsidP="00406F3B">
            <w:pPr>
              <w:jc w:val="both"/>
              <w:rPr>
                <w:color w:val="C00000"/>
                <w:sz w:val="30"/>
                <w:szCs w:val="30"/>
              </w:rPr>
            </w:pPr>
            <w:r w:rsidRPr="00AF1F5E">
              <w:rPr>
                <w:color w:val="C00000"/>
                <w:sz w:val="30"/>
                <w:szCs w:val="30"/>
              </w:rPr>
              <w:lastRenderedPageBreak/>
              <w:t>Target 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r>
      <w:tr w:rsidR="00297195" w14:paraId="48B38346" w14:textId="77777777" w:rsidTr="0085651F">
        <w:tc>
          <w:tcPr>
            <w:tcW w:w="0" w:type="auto"/>
            <w:shd w:val="clear" w:color="auto" w:fill="auto"/>
          </w:tcPr>
          <w:p w14:paraId="1AE7A3DD" w14:textId="77777777" w:rsidR="00297195" w:rsidRPr="00F40ACF" w:rsidRDefault="00297195" w:rsidP="00406F3B">
            <w:pPr>
              <w:pStyle w:val="Default"/>
              <w:rPr>
                <w:rFonts w:ascii="Tw Cen MT Condensed" w:hAnsi="Tw Cen MT Condensed" w:cs="Shonar Bangla"/>
                <w:szCs w:val="20"/>
              </w:rPr>
            </w:pPr>
            <w:r w:rsidRPr="00F40ACF">
              <w:rPr>
                <w:rFonts w:ascii="Tw Cen MT Condensed" w:hAnsi="Tw Cen MT Condensed" w:cs="Shonar Bangla"/>
                <w:szCs w:val="20"/>
              </w:rPr>
              <w:t xml:space="preserve">1.4.1 Proportion of population living in </w:t>
            </w:r>
            <w:r w:rsidRPr="00F40ACF">
              <w:rPr>
                <w:rFonts w:ascii="Tw Cen MT Condensed" w:hAnsi="Tw Cen MT Condensed" w:cs="Shonar Bangla"/>
                <w:szCs w:val="20"/>
              </w:rPr>
              <w:lastRenderedPageBreak/>
              <w:t>households with access to basic services.</w:t>
            </w:r>
          </w:p>
        </w:tc>
        <w:tc>
          <w:tcPr>
            <w:tcW w:w="0" w:type="auto"/>
            <w:shd w:val="clear" w:color="auto" w:fill="auto"/>
          </w:tcPr>
          <w:p w14:paraId="101B17CD" w14:textId="77777777" w:rsidR="00297195" w:rsidRDefault="00297195" w:rsidP="00406F3B">
            <w:pPr>
              <w:jc w:val="center"/>
              <w:rPr>
                <w:szCs w:val="20"/>
              </w:rPr>
            </w:pPr>
            <w:r w:rsidRPr="00874F62">
              <w:rPr>
                <w:szCs w:val="20"/>
              </w:rPr>
              <w:lastRenderedPageBreak/>
              <w:t>UN-Habitat</w:t>
            </w:r>
          </w:p>
          <w:p w14:paraId="38A93A81" w14:textId="77777777" w:rsidR="00297195" w:rsidRDefault="00297195" w:rsidP="00406F3B">
            <w:pPr>
              <w:jc w:val="center"/>
              <w:rPr>
                <w:szCs w:val="20"/>
              </w:rPr>
            </w:pPr>
          </w:p>
          <w:p w14:paraId="438624C9" w14:textId="7A6CBD5B" w:rsidR="00297195" w:rsidRDefault="00297195" w:rsidP="00406F3B">
            <w:pPr>
              <w:jc w:val="center"/>
              <w:rPr>
                <w:szCs w:val="20"/>
              </w:rPr>
            </w:pPr>
            <w:r>
              <w:rPr>
                <w:szCs w:val="20"/>
              </w:rPr>
              <w:t>Partner Agencies:</w:t>
            </w:r>
          </w:p>
          <w:p w14:paraId="0C3E0226" w14:textId="77777777" w:rsidR="00297195" w:rsidRPr="00874F62" w:rsidRDefault="00297195" w:rsidP="00406F3B">
            <w:pPr>
              <w:jc w:val="center"/>
              <w:rPr>
                <w:szCs w:val="20"/>
              </w:rPr>
            </w:pPr>
            <w:r w:rsidRPr="00874F62">
              <w:rPr>
                <w:szCs w:val="20"/>
              </w:rPr>
              <w:lastRenderedPageBreak/>
              <w:t xml:space="preserve">UNICEF, </w:t>
            </w:r>
          </w:p>
          <w:p w14:paraId="41E51816" w14:textId="77777777" w:rsidR="00297195" w:rsidRDefault="00297195" w:rsidP="00406F3B">
            <w:pPr>
              <w:jc w:val="center"/>
              <w:rPr>
                <w:szCs w:val="20"/>
              </w:rPr>
            </w:pPr>
            <w:r>
              <w:rPr>
                <w:szCs w:val="20"/>
              </w:rPr>
              <w:t>WHO</w:t>
            </w:r>
          </w:p>
        </w:tc>
        <w:tc>
          <w:tcPr>
            <w:tcW w:w="0" w:type="auto"/>
            <w:shd w:val="clear" w:color="auto" w:fill="auto"/>
          </w:tcPr>
          <w:p w14:paraId="0CD9EB3F" w14:textId="7F831812" w:rsidR="00297195" w:rsidRDefault="00297195" w:rsidP="00406F3B">
            <w:pPr>
              <w:jc w:val="center"/>
              <w:rPr>
                <w:bCs/>
                <w:szCs w:val="20"/>
              </w:rPr>
            </w:pPr>
          </w:p>
          <w:p w14:paraId="1F228EE7" w14:textId="77777777" w:rsidR="00297195" w:rsidRDefault="00297195" w:rsidP="00406F3B">
            <w:pPr>
              <w:jc w:val="center"/>
              <w:rPr>
                <w:bCs/>
                <w:szCs w:val="20"/>
              </w:rPr>
            </w:pPr>
            <w:r>
              <w:rPr>
                <w:bCs/>
                <w:szCs w:val="20"/>
              </w:rPr>
              <w:t>Tier I</w:t>
            </w:r>
          </w:p>
        </w:tc>
        <w:tc>
          <w:tcPr>
            <w:tcW w:w="0" w:type="auto"/>
            <w:shd w:val="clear" w:color="auto" w:fill="auto"/>
          </w:tcPr>
          <w:p w14:paraId="0BD1048B" w14:textId="77777777" w:rsidR="00297195" w:rsidRPr="000C4849" w:rsidRDefault="00297195" w:rsidP="00406F3B">
            <w:pPr>
              <w:pStyle w:val="Default"/>
              <w:jc w:val="both"/>
              <w:rPr>
                <w:rFonts w:ascii="Tw Cen MT Condensed" w:hAnsi="Tw Cen MT Condensed" w:cs="Shonar Bangla"/>
                <w:b/>
                <w:szCs w:val="20"/>
              </w:rPr>
            </w:pPr>
            <w:r w:rsidRPr="000C4849">
              <w:rPr>
                <w:rFonts w:ascii="Tw Cen MT Condensed" w:hAnsi="Tw Cen MT Condensed" w:cs="Shonar Bangla"/>
                <w:b/>
                <w:szCs w:val="20"/>
              </w:rPr>
              <w:t>Concepts and definitions:</w:t>
            </w:r>
          </w:p>
          <w:p w14:paraId="6CA80D0E" w14:textId="77777777" w:rsidR="00297195" w:rsidRPr="002709D8" w:rsidRDefault="00297195" w:rsidP="00406F3B">
            <w:pPr>
              <w:pStyle w:val="Default"/>
              <w:jc w:val="both"/>
              <w:rPr>
                <w:rFonts w:ascii="Tw Cen MT Condensed" w:hAnsi="Tw Cen MT Condensed" w:cs="Shonar Bangla"/>
                <w:szCs w:val="20"/>
              </w:rPr>
            </w:pPr>
            <w:r w:rsidRPr="002709D8">
              <w:rPr>
                <w:rFonts w:ascii="Tw Cen MT Condensed" w:hAnsi="Tw Cen MT Condensed" w:cs="Shonar Bangla"/>
                <w:szCs w:val="20"/>
              </w:rPr>
              <w:t>The following key concepts were defined to support the indicator in the context of poverty eradication. Basic Services refer to public service provision systems that meet human basic needs including drinking water, sanitation and hygiene, energy, mobility, waste collection, health care, education and information technologies.</w:t>
            </w:r>
          </w:p>
          <w:p w14:paraId="0609B3A5" w14:textId="77777777" w:rsidR="00297195" w:rsidRPr="002709D8" w:rsidRDefault="00297195" w:rsidP="00406F3B">
            <w:pPr>
              <w:pStyle w:val="Default"/>
              <w:jc w:val="both"/>
              <w:rPr>
                <w:rFonts w:ascii="Tw Cen MT Condensed" w:hAnsi="Tw Cen MT Condensed" w:cs="Shonar Bangla"/>
                <w:szCs w:val="20"/>
              </w:rPr>
            </w:pPr>
          </w:p>
          <w:p w14:paraId="3D3D8799" w14:textId="77777777" w:rsidR="00297195" w:rsidRPr="002709D8" w:rsidRDefault="00297195" w:rsidP="00406F3B">
            <w:pPr>
              <w:pStyle w:val="Default"/>
              <w:jc w:val="both"/>
              <w:rPr>
                <w:rFonts w:ascii="Tw Cen MT Condensed" w:hAnsi="Tw Cen MT Condensed" w:cs="Shonar Bangla"/>
                <w:szCs w:val="20"/>
              </w:rPr>
            </w:pPr>
            <w:r w:rsidRPr="000C4849">
              <w:rPr>
                <w:rFonts w:ascii="Tw Cen MT Condensed" w:hAnsi="Tw Cen MT Condensed" w:cs="Shonar Bangla"/>
                <w:b/>
                <w:szCs w:val="20"/>
              </w:rPr>
              <w:t>Access to basic services</w:t>
            </w:r>
            <w:r w:rsidRPr="002709D8">
              <w:rPr>
                <w:rFonts w:ascii="Tw Cen MT Condensed" w:hAnsi="Tw Cen MT Condensed" w:cs="Shonar Bangla"/>
                <w:szCs w:val="20"/>
              </w:rPr>
              <w:t xml:space="preserve"> implies that sufficient and affordable service is reliably available with adequate quality.</w:t>
            </w:r>
          </w:p>
          <w:p w14:paraId="7C87DD6F" w14:textId="77777777" w:rsidR="00297195" w:rsidRPr="002709D8" w:rsidRDefault="00297195" w:rsidP="00406F3B">
            <w:pPr>
              <w:pStyle w:val="Default"/>
              <w:jc w:val="both"/>
              <w:rPr>
                <w:rFonts w:ascii="Tw Cen MT Condensed" w:hAnsi="Tw Cen MT Condensed" w:cs="Shonar Bangla"/>
                <w:szCs w:val="20"/>
              </w:rPr>
            </w:pPr>
          </w:p>
          <w:p w14:paraId="0346D7E6" w14:textId="77777777" w:rsidR="00297195" w:rsidRPr="002709D8" w:rsidRDefault="00297195" w:rsidP="00406F3B">
            <w:pPr>
              <w:pStyle w:val="Default"/>
              <w:jc w:val="both"/>
              <w:rPr>
                <w:rFonts w:ascii="Tw Cen MT Condensed" w:hAnsi="Tw Cen MT Condensed" w:cs="Shonar Bangla"/>
                <w:szCs w:val="20"/>
              </w:rPr>
            </w:pPr>
            <w:r w:rsidRPr="000C4849">
              <w:rPr>
                <w:rFonts w:ascii="Tw Cen MT Condensed" w:hAnsi="Tw Cen MT Condensed" w:cs="Shonar Bangla"/>
                <w:b/>
                <w:szCs w:val="20"/>
              </w:rPr>
              <w:t>Access to Basic Drinking Water Services</w:t>
            </w:r>
            <w:r w:rsidRPr="002709D8">
              <w:rPr>
                <w:rFonts w:ascii="Tw Cen MT Condensed" w:hAnsi="Tw Cen MT Condensed" w:cs="Shonar Bangla"/>
                <w:szCs w:val="20"/>
              </w:rPr>
              <w:t xml:space="preserve"> refers to drinking water from an improved source is available with collection time not more than 30 minutes for a round trip, including queuing. Improved sources include; piped water, boreholes or tube wells, protected dug wells, protected springs, and packaged or delivered water. This definition is based on SDG indicator 6.1.</w:t>
            </w:r>
          </w:p>
          <w:p w14:paraId="4FD54DAC" w14:textId="77777777" w:rsidR="00297195" w:rsidRPr="002709D8" w:rsidRDefault="00297195" w:rsidP="00406F3B">
            <w:pPr>
              <w:pStyle w:val="Default"/>
              <w:jc w:val="both"/>
              <w:rPr>
                <w:rFonts w:ascii="Tw Cen MT Condensed" w:hAnsi="Tw Cen MT Condensed" w:cs="Shonar Bangla"/>
                <w:szCs w:val="20"/>
              </w:rPr>
            </w:pPr>
          </w:p>
          <w:p w14:paraId="4511A564" w14:textId="77777777" w:rsidR="00297195" w:rsidRPr="002709D8" w:rsidRDefault="00297195" w:rsidP="00406F3B">
            <w:pPr>
              <w:pStyle w:val="Default"/>
              <w:jc w:val="both"/>
              <w:rPr>
                <w:rFonts w:ascii="Tw Cen MT Condensed" w:hAnsi="Tw Cen MT Condensed" w:cs="Shonar Bangla"/>
                <w:szCs w:val="20"/>
              </w:rPr>
            </w:pPr>
            <w:r w:rsidRPr="000C4849">
              <w:rPr>
                <w:rFonts w:ascii="Tw Cen MT Condensed" w:hAnsi="Tw Cen MT Condensed" w:cs="Shonar Bangla"/>
                <w:b/>
                <w:szCs w:val="20"/>
              </w:rPr>
              <w:t>Access to Basic Sanitation Services</w:t>
            </w:r>
            <w:r w:rsidRPr="002709D8">
              <w:rPr>
                <w:rFonts w:ascii="Tw Cen MT Condensed" w:hAnsi="Tw Cen MT Condensed" w:cs="Shonar Bangla"/>
                <w:szCs w:val="20"/>
              </w:rPr>
              <w:t xml:space="preserve"> refers to the use of improved facilities that are not shared with other households. Improved facilities include flush/pour flush to piped sewer systems, septic tanks or pit latrines; ventilated improved pit latrines, composting toilets or pit latrines with slabs. This definition is based on SDG 6.2.</w:t>
            </w:r>
          </w:p>
          <w:p w14:paraId="5102B901" w14:textId="77777777" w:rsidR="00297195" w:rsidRPr="002709D8" w:rsidRDefault="00297195" w:rsidP="00406F3B">
            <w:pPr>
              <w:pStyle w:val="Default"/>
              <w:jc w:val="both"/>
              <w:rPr>
                <w:rFonts w:ascii="Tw Cen MT Condensed" w:hAnsi="Tw Cen MT Condensed" w:cs="Shonar Bangla"/>
                <w:szCs w:val="20"/>
              </w:rPr>
            </w:pPr>
          </w:p>
          <w:p w14:paraId="708046BC" w14:textId="77777777" w:rsidR="00297195" w:rsidRPr="002709D8" w:rsidRDefault="00297195" w:rsidP="00406F3B">
            <w:pPr>
              <w:pStyle w:val="Default"/>
              <w:jc w:val="both"/>
              <w:rPr>
                <w:rFonts w:ascii="Tw Cen MT Condensed" w:hAnsi="Tw Cen MT Condensed" w:cs="Shonar Bangla"/>
                <w:szCs w:val="20"/>
              </w:rPr>
            </w:pPr>
            <w:r w:rsidRPr="000C4849">
              <w:rPr>
                <w:rFonts w:ascii="Tw Cen MT Condensed" w:hAnsi="Tw Cen MT Condensed" w:cs="Shonar Bangla"/>
                <w:b/>
                <w:szCs w:val="20"/>
              </w:rPr>
              <w:t>Access to Basic Hygiene Facilities</w:t>
            </w:r>
            <w:r w:rsidRPr="002709D8">
              <w:rPr>
                <w:rFonts w:ascii="Tw Cen MT Condensed" w:hAnsi="Tw Cen MT Condensed" w:cs="Shonar Bangla"/>
                <w:szCs w:val="20"/>
              </w:rPr>
              <w:t xml:space="preserve"> refers to availability of a handwashing facility on premises with soap and water. Handwashing facilities may be fixed or mobile and include a sink with tap water, buckets with taps, tippy-taps, and jugs or basins designated for handwashing. Soap includes bar soap, liquid soap, powder detergent, and soapy water but does not include ash, soil, sand or other handwashing agents. This definition is based on SDG 6.2.</w:t>
            </w:r>
          </w:p>
          <w:p w14:paraId="04267F4E" w14:textId="77777777" w:rsidR="00297195" w:rsidRPr="002709D8" w:rsidRDefault="00297195" w:rsidP="00406F3B">
            <w:pPr>
              <w:pStyle w:val="Default"/>
              <w:jc w:val="both"/>
              <w:rPr>
                <w:rFonts w:ascii="Tw Cen MT Condensed" w:hAnsi="Tw Cen MT Condensed" w:cs="Shonar Bangla"/>
                <w:szCs w:val="20"/>
              </w:rPr>
            </w:pPr>
          </w:p>
          <w:p w14:paraId="53EE811E" w14:textId="77777777" w:rsidR="00297195" w:rsidRDefault="00297195" w:rsidP="00406F3B">
            <w:pPr>
              <w:pStyle w:val="Default"/>
              <w:jc w:val="both"/>
              <w:rPr>
                <w:rFonts w:ascii="Tw Cen MT Condensed" w:hAnsi="Tw Cen MT Condensed" w:cs="Shonar Bangla"/>
                <w:szCs w:val="20"/>
              </w:rPr>
            </w:pPr>
            <w:r w:rsidRPr="000C4849">
              <w:rPr>
                <w:rFonts w:ascii="Tw Cen MT Condensed" w:hAnsi="Tw Cen MT Condensed" w:cs="Shonar Bangla"/>
                <w:b/>
                <w:szCs w:val="20"/>
              </w:rPr>
              <w:t>Access to Basic Mobility</w:t>
            </w:r>
            <w:r w:rsidRPr="002709D8">
              <w:rPr>
                <w:rFonts w:ascii="Tw Cen MT Condensed" w:hAnsi="Tw Cen MT Condensed" w:cs="Shonar Bangla"/>
                <w:szCs w:val="20"/>
              </w:rPr>
              <w:t xml:space="preserve"> refers to having access to all-weather-roads in a rural context (SDG 9.1.1) or having access to public transport in an urban context (SDG 11.2.1).  The computation of “Access to Basic Mobility” shall therefore be a combination of the above.</w:t>
            </w:r>
          </w:p>
          <w:p w14:paraId="7FDC350F" w14:textId="77777777" w:rsidR="00297195" w:rsidRDefault="00297195" w:rsidP="00406F3B">
            <w:pPr>
              <w:pStyle w:val="Default"/>
              <w:jc w:val="both"/>
              <w:rPr>
                <w:rFonts w:ascii="Tw Cen MT Condensed" w:hAnsi="Tw Cen MT Condensed" w:cs="Shonar Bangla"/>
                <w:szCs w:val="20"/>
              </w:rPr>
            </w:pPr>
          </w:p>
          <w:p w14:paraId="3DEC867F" w14:textId="77777777" w:rsidR="00297195" w:rsidRPr="000C4849" w:rsidRDefault="00297195" w:rsidP="00406F3B">
            <w:pPr>
              <w:pStyle w:val="Default"/>
              <w:jc w:val="both"/>
              <w:rPr>
                <w:rFonts w:ascii="Tw Cen MT Condensed" w:hAnsi="Tw Cen MT Condensed" w:cs="Shonar Bangla"/>
                <w:b/>
                <w:szCs w:val="20"/>
              </w:rPr>
            </w:pPr>
            <w:r w:rsidRPr="000C4849">
              <w:rPr>
                <w:rFonts w:ascii="Tw Cen MT Condensed" w:hAnsi="Tw Cen MT Condensed" w:cs="Shonar Bangla"/>
                <w:b/>
                <w:szCs w:val="20"/>
              </w:rPr>
              <w:t>Urban Context:</w:t>
            </w:r>
          </w:p>
          <w:p w14:paraId="35F08E54" w14:textId="77777777" w:rsidR="00297195" w:rsidRDefault="00297195" w:rsidP="00406F3B">
            <w:pPr>
              <w:pStyle w:val="Default"/>
              <w:jc w:val="both"/>
              <w:rPr>
                <w:rFonts w:ascii="Tw Cen MT Condensed" w:hAnsi="Tw Cen MT Condensed" w:cs="Shonar Bangla"/>
                <w:szCs w:val="20"/>
              </w:rPr>
            </w:pPr>
          </w:p>
          <w:p w14:paraId="6890FE56" w14:textId="77777777" w:rsidR="00297195" w:rsidRPr="00337DF7" w:rsidRDefault="00297195" w:rsidP="00406F3B">
            <w:pPr>
              <w:pStyle w:val="Default"/>
              <w:jc w:val="both"/>
              <w:rPr>
                <w:rFonts w:ascii="Tw Cen MT Condensed" w:hAnsi="Tw Cen MT Condensed" w:cs="Shonar Bangla"/>
                <w:szCs w:val="20"/>
              </w:rPr>
            </w:pPr>
            <w:r w:rsidRPr="000C4849">
              <w:rPr>
                <w:rFonts w:ascii="Tw Cen MT Condensed" w:hAnsi="Tw Cen MT Condensed" w:cs="Shonar Bangla"/>
                <w:b/>
                <w:szCs w:val="20"/>
              </w:rPr>
              <w:t>Access to Basic Waste Collection Services</w:t>
            </w:r>
            <w:r w:rsidRPr="00337DF7">
              <w:rPr>
                <w:rFonts w:ascii="Tw Cen MT Condensed" w:hAnsi="Tw Cen MT Condensed" w:cs="Shonar Bangla"/>
                <w:szCs w:val="20"/>
              </w:rPr>
              <w:t xml:space="preserve"> refers to the access that the population have to a reliable waste collection service, including both formal municipal and informal sector services. A ‘collection service’ may be ‘door to door’ or by deposit into a community container. ‘Collection’ includes collection for recycling as well as for treatment and disposal (so includes e.g. collection of recyclables by itinerant waste buyers). ‘Reliable’ means regular - frequency will depend on local conditions and on any pre-separation of the waste. For example, both mixed waste and organic waste are often collected daily in tropical climates for public health reasons, and generally at least weekly; source-separated dry recyclables may be collected less frequently.</w:t>
            </w:r>
          </w:p>
          <w:p w14:paraId="1D7A1092" w14:textId="77777777" w:rsidR="00297195" w:rsidRDefault="00297195" w:rsidP="00406F3B">
            <w:pPr>
              <w:pStyle w:val="Default"/>
              <w:jc w:val="both"/>
              <w:rPr>
                <w:rFonts w:ascii="Tw Cen MT Condensed" w:hAnsi="Tw Cen MT Condensed" w:cs="Shonar Bangla"/>
                <w:szCs w:val="20"/>
              </w:rPr>
            </w:pPr>
            <w:r w:rsidRPr="000C4849">
              <w:rPr>
                <w:rFonts w:ascii="Tw Cen MT Condensed" w:hAnsi="Tw Cen MT Condensed" w:cs="Shonar Bangla"/>
                <w:b/>
                <w:szCs w:val="20"/>
              </w:rPr>
              <w:t>Access to Basic Health Care Services</w:t>
            </w:r>
            <w:r w:rsidRPr="00337DF7">
              <w:rPr>
                <w:rFonts w:ascii="Tw Cen MT Condensed" w:hAnsi="Tw Cen MT Condensed" w:cs="Shonar Bangla"/>
                <w:szCs w:val="20"/>
              </w:rPr>
              <w:t xml:space="preserve"> refers to access to services that cover in and out-of-area emergency services, inpatient hospital and physician care, outpatient medical services, laboratory and radiology services, and preventive health services. Basic health care services also extend to access to limited treatment of mental illness and substance abuse in accordance with minimum standards prescribed by local and national ministries of health</w:t>
            </w:r>
            <w:r>
              <w:rPr>
                <w:rFonts w:ascii="Tw Cen MT Condensed" w:hAnsi="Tw Cen MT Condensed" w:cs="Shonar Bangla"/>
                <w:szCs w:val="20"/>
              </w:rPr>
              <w:t>.</w:t>
            </w:r>
          </w:p>
          <w:p w14:paraId="6EDA7705" w14:textId="77777777" w:rsidR="00297195" w:rsidRDefault="00297195" w:rsidP="00406F3B">
            <w:pPr>
              <w:pStyle w:val="Default"/>
              <w:jc w:val="both"/>
              <w:rPr>
                <w:rFonts w:ascii="Tw Cen MT Condensed" w:hAnsi="Tw Cen MT Condensed" w:cs="Shonar Bangla"/>
                <w:szCs w:val="20"/>
              </w:rPr>
            </w:pPr>
          </w:p>
          <w:p w14:paraId="4E14EDAE" w14:textId="77777777" w:rsidR="00297195" w:rsidRPr="00337DF7" w:rsidRDefault="00297195" w:rsidP="00406F3B">
            <w:pPr>
              <w:pStyle w:val="Default"/>
              <w:jc w:val="both"/>
              <w:rPr>
                <w:rFonts w:ascii="Tw Cen MT Condensed" w:hAnsi="Tw Cen MT Condensed" w:cs="Shonar Bangla"/>
                <w:szCs w:val="20"/>
              </w:rPr>
            </w:pPr>
            <w:r w:rsidRPr="00337DF7">
              <w:rPr>
                <w:rFonts w:ascii="Tw Cen MT Condensed" w:hAnsi="Tw Cen MT Condensed" w:cs="Shonar Bangla"/>
                <w:szCs w:val="20"/>
              </w:rPr>
              <w:t xml:space="preserve">Access to Basic Education refers to access to education </w:t>
            </w:r>
            <w:proofErr w:type="gramStart"/>
            <w:r w:rsidRPr="00337DF7">
              <w:rPr>
                <w:rFonts w:ascii="Tw Cen MT Condensed" w:hAnsi="Tw Cen MT Condensed" w:cs="Shonar Bangla"/>
                <w:szCs w:val="20"/>
              </w:rPr>
              <w:t>services that provides</w:t>
            </w:r>
            <w:proofErr w:type="gramEnd"/>
            <w:r w:rsidRPr="00337DF7">
              <w:rPr>
                <w:rFonts w:ascii="Tw Cen MT Condensed" w:hAnsi="Tw Cen MT Condensed" w:cs="Shonar Bangla"/>
                <w:szCs w:val="20"/>
              </w:rPr>
              <w:t xml:space="preserve"> all learners with capabilities they require to become economically productive, develop sustainable livelihoods, contribute to peaceful and democratic societies and enhance individual well-being. For this indicator we examine access to </w:t>
            </w:r>
            <w:r w:rsidRPr="00337DF7">
              <w:rPr>
                <w:rFonts w:ascii="Tw Cen MT Condensed" w:hAnsi="Tw Cen MT Condensed" w:cs="Shonar Bangla"/>
                <w:szCs w:val="20"/>
              </w:rPr>
              <w:lastRenderedPageBreak/>
              <w:t xml:space="preserve">education services in the school going age of 5 – 21 years of pupils. The right to education is a multi-faceted right that has at least two dimensions that need to be fulfilled: </w:t>
            </w:r>
          </w:p>
          <w:p w14:paraId="13EF1796" w14:textId="77777777" w:rsidR="00297195" w:rsidRPr="00337DF7" w:rsidRDefault="00297195" w:rsidP="00406F3B">
            <w:pPr>
              <w:pStyle w:val="Default"/>
              <w:jc w:val="both"/>
              <w:rPr>
                <w:rFonts w:ascii="Tw Cen MT Condensed" w:hAnsi="Tw Cen MT Condensed" w:cs="Shonar Bangla"/>
                <w:szCs w:val="20"/>
              </w:rPr>
            </w:pPr>
            <w:r w:rsidRPr="00337DF7">
              <w:rPr>
                <w:rFonts w:ascii="Tw Cen MT Condensed" w:hAnsi="Tw Cen MT Condensed" w:cs="Shonar Bangla"/>
                <w:szCs w:val="20"/>
              </w:rPr>
              <w:t xml:space="preserve">(a) quantitative (for everyone), </w:t>
            </w:r>
          </w:p>
          <w:p w14:paraId="56689422" w14:textId="77777777" w:rsidR="00297195" w:rsidRPr="00337DF7" w:rsidRDefault="00297195" w:rsidP="00406F3B">
            <w:pPr>
              <w:pStyle w:val="Default"/>
              <w:jc w:val="both"/>
              <w:rPr>
                <w:rFonts w:ascii="Tw Cen MT Condensed" w:hAnsi="Tw Cen MT Condensed" w:cs="Shonar Bangla"/>
                <w:szCs w:val="20"/>
              </w:rPr>
            </w:pPr>
            <w:r w:rsidRPr="00337DF7">
              <w:rPr>
                <w:rFonts w:ascii="Tw Cen MT Condensed" w:hAnsi="Tw Cen MT Condensed" w:cs="Shonar Bangla"/>
                <w:szCs w:val="20"/>
              </w:rPr>
              <w:t xml:space="preserve">(b) qualitative (right to what education, for how long, provided by whom and for whom and also leading to full development of the human personality fundamental to the fulfilment of other rights, freedom and maintenance of peace. </w:t>
            </w:r>
            <w:proofErr w:type="gramStart"/>
            <w:r w:rsidRPr="00337DF7">
              <w:rPr>
                <w:rFonts w:ascii="Tw Cen MT Condensed" w:hAnsi="Tw Cen MT Condensed" w:cs="Shonar Bangla"/>
                <w:szCs w:val="20"/>
              </w:rPr>
              <w:t>Article 26 of the Universal Declaration of Human rights (1948) note</w:t>
            </w:r>
            <w:proofErr w:type="gramEnd"/>
            <w:r w:rsidRPr="00337DF7">
              <w:rPr>
                <w:rFonts w:ascii="Tw Cen MT Condensed" w:hAnsi="Tw Cen MT Condensed" w:cs="Shonar Bangla"/>
                <w:szCs w:val="20"/>
              </w:rPr>
              <w:t xml:space="preserve"> that: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14:paraId="0507B080" w14:textId="77777777" w:rsidR="00297195" w:rsidRPr="00337DF7" w:rsidRDefault="00297195" w:rsidP="00406F3B">
            <w:pPr>
              <w:pStyle w:val="Default"/>
              <w:jc w:val="both"/>
              <w:rPr>
                <w:rFonts w:ascii="Tw Cen MT Condensed" w:hAnsi="Tw Cen MT Condensed" w:cs="Shonar Bangla"/>
                <w:szCs w:val="20"/>
              </w:rPr>
            </w:pPr>
          </w:p>
          <w:p w14:paraId="130AD14E" w14:textId="77777777" w:rsidR="00297195" w:rsidRDefault="00297195" w:rsidP="00406F3B">
            <w:pPr>
              <w:pStyle w:val="Default"/>
              <w:jc w:val="both"/>
              <w:rPr>
                <w:rFonts w:ascii="Tw Cen MT Condensed" w:hAnsi="Tw Cen MT Condensed" w:cs="Shonar Bangla"/>
                <w:szCs w:val="20"/>
              </w:rPr>
            </w:pPr>
            <w:r w:rsidRPr="00337DF7">
              <w:rPr>
                <w:rFonts w:ascii="Tw Cen MT Condensed" w:hAnsi="Tw Cen MT Condensed" w:cs="Shonar Bangla"/>
                <w:szCs w:val="20"/>
              </w:rPr>
              <w:t xml:space="preserve">Access to Basic Information Services refers to having a broadband internet access. Broadband is defined as technologies that deliver advertised download speeds </w:t>
            </w:r>
            <w:proofErr w:type="gramStart"/>
            <w:r w:rsidRPr="00337DF7">
              <w:rPr>
                <w:rFonts w:ascii="Tw Cen MT Condensed" w:hAnsi="Tw Cen MT Condensed" w:cs="Shonar Bangla"/>
                <w:szCs w:val="20"/>
              </w:rPr>
              <w:t>of at least 256 kbit/s</w:t>
            </w:r>
            <w:proofErr w:type="gramEnd"/>
            <w:r w:rsidRPr="00337DF7">
              <w:rPr>
                <w:rFonts w:ascii="Tw Cen MT Condensed" w:hAnsi="Tw Cen MT Condensed" w:cs="Shonar Bangla"/>
                <w:szCs w:val="20"/>
              </w:rPr>
              <w:t>. The main types of broadband services are: 1) Fixed (wired) broadband network, such as DSL, cable modem, high speed leased lines, fibre to- the-home/building, powerline and other fixed (wired) broadband; 2) Terrestrial fixed (wireless) broadband network, such as WiMAX, fixed CDMA; 3) Satellite broadband network (via a satellite connection); 4) Mobile broadband network (at least 3G, e.g. UMTS) via a handset and 5) Mobile broadband network (at least 3G, e.g. UMTS) via a card (e.g. integrated SIM card in a computer) or USB modem.</w:t>
            </w:r>
          </w:p>
          <w:p w14:paraId="2764888D" w14:textId="39E3F86D" w:rsidR="00297195" w:rsidRDefault="00297195" w:rsidP="00406F3B">
            <w:pPr>
              <w:pStyle w:val="Default"/>
              <w:jc w:val="both"/>
              <w:rPr>
                <w:rFonts w:ascii="Tw Cen MT Condensed" w:hAnsi="Tw Cen MT Condensed" w:cs="Shonar Bangla"/>
                <w:szCs w:val="20"/>
              </w:rPr>
            </w:pPr>
          </w:p>
          <w:p w14:paraId="56D7599F" w14:textId="77777777" w:rsidR="00297195" w:rsidRPr="000C4849" w:rsidRDefault="00297195" w:rsidP="00406F3B">
            <w:pPr>
              <w:pStyle w:val="Default"/>
              <w:jc w:val="both"/>
              <w:rPr>
                <w:rFonts w:ascii="Tw Cen MT Condensed" w:hAnsi="Tw Cen MT Condensed" w:cs="Shonar Bangla"/>
                <w:b/>
                <w:szCs w:val="20"/>
              </w:rPr>
            </w:pPr>
            <w:r w:rsidRPr="000C4849">
              <w:rPr>
                <w:rFonts w:ascii="Tw Cen MT Condensed" w:hAnsi="Tw Cen MT Condensed" w:cs="Shonar Bangla"/>
                <w:b/>
                <w:szCs w:val="20"/>
              </w:rPr>
              <w:t>Computation Method:</w:t>
            </w:r>
          </w:p>
          <w:p w14:paraId="1E95FEC8" w14:textId="77777777" w:rsidR="00297195" w:rsidRPr="00337DF7" w:rsidRDefault="00297195" w:rsidP="00406F3B">
            <w:pPr>
              <w:pStyle w:val="Default"/>
              <w:jc w:val="both"/>
              <w:rPr>
                <w:rFonts w:ascii="Tw Cen MT Condensed" w:hAnsi="Tw Cen MT Condensed" w:cs="Shonar Bangla"/>
                <w:szCs w:val="20"/>
              </w:rPr>
            </w:pPr>
            <w:r w:rsidRPr="00337DF7">
              <w:rPr>
                <w:rFonts w:ascii="Tw Cen MT Condensed" w:hAnsi="Tw Cen MT Condensed" w:cs="Shonar Bangla"/>
                <w:szCs w:val="20"/>
              </w:rPr>
              <w:t xml:space="preserve">There are two computation stages that we have applied depending on the level at which data is collected.  Step 1 is getting proportion of population that </w:t>
            </w:r>
            <w:proofErr w:type="gramStart"/>
            <w:r w:rsidRPr="00337DF7">
              <w:rPr>
                <w:rFonts w:ascii="Tw Cen MT Condensed" w:hAnsi="Tw Cen MT Condensed" w:cs="Shonar Bangla"/>
                <w:szCs w:val="20"/>
              </w:rPr>
              <w:t>have</w:t>
            </w:r>
            <w:proofErr w:type="gramEnd"/>
            <w:r w:rsidRPr="00337DF7">
              <w:rPr>
                <w:rFonts w:ascii="Tw Cen MT Condensed" w:hAnsi="Tw Cen MT Condensed" w:cs="Shonar Bangla"/>
                <w:szCs w:val="20"/>
              </w:rPr>
              <w:t xml:space="preserve"> access to ALL the basic services mentioned above from primary data sources such as household surveys and census. </w:t>
            </w:r>
          </w:p>
          <w:p w14:paraId="7B5C0636" w14:textId="77777777" w:rsidR="00297195" w:rsidRPr="00337DF7" w:rsidRDefault="00297195" w:rsidP="00406F3B">
            <w:pPr>
              <w:pStyle w:val="Default"/>
              <w:jc w:val="both"/>
              <w:rPr>
                <w:rFonts w:ascii="Tw Cen MT Condensed" w:hAnsi="Tw Cen MT Condensed" w:cs="Shonar Bangla"/>
                <w:szCs w:val="20"/>
              </w:rPr>
            </w:pPr>
          </w:p>
          <w:p w14:paraId="1467315E" w14:textId="77777777" w:rsidR="00297195" w:rsidRPr="00F404B9" w:rsidRDefault="00297195" w:rsidP="000C4849">
            <w:pPr>
              <w:pStyle w:val="Default"/>
              <w:rPr>
                <w:rFonts w:ascii="Tw Cen MT Condensed" w:hAnsi="Tw Cen MT Condensed" w:cs="Shonar Bangla"/>
                <w:szCs w:val="20"/>
              </w:rPr>
            </w:pPr>
            <w:r w:rsidRPr="000C4849">
              <w:rPr>
                <w:rFonts w:ascii="Tw Cen MT Condensed" w:hAnsi="Tw Cen MT Condensed" w:cs="Shonar Bangla"/>
                <w:b/>
                <w:szCs w:val="20"/>
              </w:rPr>
              <w:t>Proportion of Population with access to basic services</w:t>
            </w:r>
            <w:r>
              <w:rPr>
                <w:rFonts w:ascii="Tw Cen MT Condensed" w:hAnsi="Tw Cen MT Condensed" w:cs="Shonar Bangla"/>
                <w:szCs w:val="20"/>
              </w:rPr>
              <w:t xml:space="preserve"> </w:t>
            </w:r>
            <m:oMath>
              <m:r>
                <m:rPr>
                  <m:sty m:val="b"/>
                </m:rPr>
                <w:rPr>
                  <w:rFonts w:ascii="Cambria Math" w:hAnsi="Cambria Math"/>
                  <w:szCs w:val="20"/>
                </w:rPr>
                <m:t>= 100</m:t>
              </m:r>
              <m:d>
                <m:dPr>
                  <m:begChr m:val="["/>
                  <m:endChr m:val="]"/>
                  <m:ctrlPr>
                    <w:rPr>
                      <w:rFonts w:ascii="Cambria Math" w:hAnsi="Cambria Math"/>
                      <w:b/>
                      <w:bCs/>
                      <w:szCs w:val="20"/>
                    </w:rPr>
                  </m:ctrlPr>
                </m:dPr>
                <m:e>
                  <m:f>
                    <m:fPr>
                      <m:ctrlPr>
                        <w:rPr>
                          <w:rFonts w:ascii="Cambria Math" w:hAnsi="Cambria Math"/>
                          <w:b/>
                          <w:bCs/>
                          <w:szCs w:val="20"/>
                        </w:rPr>
                      </m:ctrlPr>
                    </m:fPr>
                    <m:num>
                      <m:r>
                        <m:rPr>
                          <m:sty m:val="b"/>
                        </m:rPr>
                        <w:rPr>
                          <w:rFonts w:ascii="Cambria Math" w:hAnsi="Cambria Math"/>
                          <w:szCs w:val="20"/>
                        </w:rPr>
                        <m:t xml:space="preserve">No.  of  people with access to ALL the basic services </m:t>
                      </m:r>
                    </m:num>
                    <m:den>
                      <m:r>
                        <m:rPr>
                          <m:sty m:val="b"/>
                        </m:rPr>
                        <w:rPr>
                          <w:rFonts w:ascii="Cambria Math" w:hAnsi="Cambria Math"/>
                          <w:szCs w:val="20"/>
                        </w:rPr>
                        <m:t xml:space="preserve"> population</m:t>
                      </m:r>
                    </m:den>
                  </m:f>
                </m:e>
              </m:d>
            </m:oMath>
          </w:p>
        </w:tc>
        <w:tc>
          <w:tcPr>
            <w:tcW w:w="0" w:type="auto"/>
            <w:shd w:val="clear" w:color="auto" w:fill="auto"/>
          </w:tcPr>
          <w:p w14:paraId="55DD9E6A" w14:textId="77777777" w:rsidR="00297195" w:rsidRDefault="00297195" w:rsidP="00406F3B">
            <w:pPr>
              <w:pStyle w:val="NoSpacing"/>
            </w:pPr>
            <w:r>
              <w:lastRenderedPageBreak/>
              <w:t>Household Surveys</w:t>
            </w:r>
          </w:p>
          <w:p w14:paraId="32133C59" w14:textId="77777777" w:rsidR="00297195" w:rsidRDefault="00297195" w:rsidP="00406F3B">
            <w:pPr>
              <w:pStyle w:val="NoSpacing"/>
            </w:pPr>
            <w:r>
              <w:t>Administrative Records</w:t>
            </w:r>
          </w:p>
          <w:p w14:paraId="26FEF521" w14:textId="77777777" w:rsidR="00297195" w:rsidRPr="00F404B9" w:rsidRDefault="00297195" w:rsidP="00406F3B">
            <w:pPr>
              <w:pStyle w:val="NoSpacing"/>
            </w:pPr>
            <w:r>
              <w:t>Satellite image and remote sensing</w:t>
            </w:r>
          </w:p>
        </w:tc>
        <w:tc>
          <w:tcPr>
            <w:tcW w:w="0" w:type="auto"/>
            <w:shd w:val="clear" w:color="auto" w:fill="auto"/>
          </w:tcPr>
          <w:p w14:paraId="1E0EC1D1" w14:textId="77777777" w:rsidR="00297195" w:rsidRPr="00EE31FB" w:rsidRDefault="00297195" w:rsidP="00406F3B">
            <w:pPr>
              <w:pStyle w:val="NoSpacing"/>
            </w:pPr>
            <w:r>
              <w:t>National Statistics Office and Line Agencies</w:t>
            </w:r>
          </w:p>
        </w:tc>
        <w:tc>
          <w:tcPr>
            <w:tcW w:w="0" w:type="auto"/>
            <w:shd w:val="clear" w:color="auto" w:fill="auto"/>
          </w:tcPr>
          <w:p w14:paraId="372E25B3" w14:textId="446F2CB7" w:rsidR="00297195" w:rsidRDefault="00297195" w:rsidP="00406F3B">
            <w:pPr>
              <w:jc w:val="center"/>
              <w:rPr>
                <w:szCs w:val="20"/>
              </w:rPr>
            </w:pPr>
          </w:p>
          <w:p w14:paraId="00691567" w14:textId="77777777" w:rsidR="00297195" w:rsidRPr="00DA2117" w:rsidRDefault="00297195" w:rsidP="00406F3B">
            <w:pPr>
              <w:rPr>
                <w:color w:val="FF0000"/>
              </w:rPr>
            </w:pPr>
            <w:r w:rsidRPr="00DA2117">
              <w:rPr>
                <w:color w:val="FF0000"/>
              </w:rPr>
              <w:t>MICS, BBS</w:t>
            </w:r>
          </w:p>
          <w:p w14:paraId="5A66CDEF" w14:textId="77777777" w:rsidR="00297195" w:rsidRPr="00EE31FB" w:rsidRDefault="00297195" w:rsidP="00406F3B">
            <w:pPr>
              <w:jc w:val="center"/>
              <w:rPr>
                <w:szCs w:val="20"/>
              </w:rPr>
            </w:pPr>
            <w:r w:rsidRPr="00DA2117">
              <w:rPr>
                <w:color w:val="FF0000"/>
              </w:rPr>
              <w:t>SVRS, BBS</w:t>
            </w:r>
          </w:p>
        </w:tc>
        <w:tc>
          <w:tcPr>
            <w:tcW w:w="0" w:type="auto"/>
            <w:shd w:val="clear" w:color="auto" w:fill="auto"/>
          </w:tcPr>
          <w:p w14:paraId="34F72889" w14:textId="0E93FDED" w:rsidR="00297195" w:rsidRDefault="00297195" w:rsidP="00406F3B">
            <w:pPr>
              <w:jc w:val="center"/>
              <w:rPr>
                <w:szCs w:val="20"/>
              </w:rPr>
            </w:pPr>
          </w:p>
          <w:p w14:paraId="08DAE86A" w14:textId="77777777" w:rsidR="00297195" w:rsidRDefault="00297195" w:rsidP="00406F3B">
            <w:pPr>
              <w:jc w:val="center"/>
              <w:rPr>
                <w:szCs w:val="20"/>
              </w:rPr>
            </w:pPr>
            <w:r w:rsidRPr="00BC6F10">
              <w:rPr>
                <w:rFonts w:eastAsia="Times New Roman" w:cs="Times New Roman"/>
                <w:color w:val="FF0000"/>
                <w:szCs w:val="20"/>
              </w:rPr>
              <w:t>MICS/</w:t>
            </w:r>
            <w:r>
              <w:rPr>
                <w:rFonts w:eastAsia="Times New Roman" w:cs="Times New Roman"/>
                <w:color w:val="FF0000"/>
                <w:szCs w:val="20"/>
              </w:rPr>
              <w:t>SVRS/ /EHS/CPHS/</w:t>
            </w:r>
            <w:r w:rsidRPr="00BC6F10">
              <w:rPr>
                <w:rFonts w:eastAsia="Times New Roman" w:cs="Times New Roman"/>
                <w:color w:val="000000" w:themeColor="text1"/>
                <w:szCs w:val="20"/>
              </w:rPr>
              <w:t>HIES</w:t>
            </w:r>
            <w:r>
              <w:rPr>
                <w:rFonts w:eastAsia="Times New Roman" w:cs="Times New Roman"/>
                <w:color w:val="000000" w:themeColor="text1"/>
                <w:szCs w:val="20"/>
              </w:rPr>
              <w:t>/</w:t>
            </w:r>
            <w:r w:rsidRPr="009F1657">
              <w:rPr>
                <w:rFonts w:ascii="Palatino Linotype" w:hAnsi="Palatino Linotype"/>
                <w:color w:val="000000" w:themeColor="text1"/>
                <w:szCs w:val="20"/>
              </w:rPr>
              <w:t xml:space="preserve"> </w:t>
            </w:r>
            <w:r w:rsidRPr="009F1657">
              <w:rPr>
                <w:rFonts w:eastAsia="Times New Roman" w:cs="Times New Roman"/>
                <w:color w:val="000000" w:themeColor="text1"/>
                <w:szCs w:val="20"/>
              </w:rPr>
              <w:t xml:space="preserve">APTRCS </w:t>
            </w:r>
            <w:r>
              <w:rPr>
                <w:rFonts w:eastAsia="Times New Roman" w:cs="Times New Roman"/>
                <w:color w:val="000000" w:themeColor="text1"/>
                <w:szCs w:val="20"/>
              </w:rPr>
              <w:t xml:space="preserve">/NHS/PHC, </w:t>
            </w:r>
            <w:r>
              <w:rPr>
                <w:rFonts w:eastAsia="Times New Roman" w:cs="Times New Roman"/>
                <w:color w:val="000000" w:themeColor="text1"/>
                <w:szCs w:val="20"/>
              </w:rPr>
              <w:lastRenderedPageBreak/>
              <w:t>BBS</w:t>
            </w:r>
          </w:p>
        </w:tc>
        <w:tc>
          <w:tcPr>
            <w:tcW w:w="0" w:type="auto"/>
            <w:shd w:val="clear" w:color="auto" w:fill="auto"/>
          </w:tcPr>
          <w:p w14:paraId="539DAEF6" w14:textId="4D3BDDF2" w:rsidR="00297195" w:rsidRDefault="00297195" w:rsidP="00406F3B">
            <w:pPr>
              <w:jc w:val="center"/>
              <w:rPr>
                <w:szCs w:val="20"/>
              </w:rPr>
            </w:pPr>
          </w:p>
          <w:p w14:paraId="3332BADD" w14:textId="77777777" w:rsidR="00297195" w:rsidRDefault="00297195" w:rsidP="000C4849">
            <w:pPr>
              <w:pStyle w:val="ListParagraph"/>
              <w:numPr>
                <w:ilvl w:val="0"/>
                <w:numId w:val="48"/>
              </w:numPr>
              <w:spacing w:after="0" w:line="240" w:lineRule="auto"/>
              <w:ind w:left="160" w:hanging="160"/>
            </w:pPr>
            <w:r>
              <w:rPr>
                <w:rFonts w:ascii="Tw Cen MT Condensed" w:hAnsi="Tw Cen MT Condensed"/>
              </w:rPr>
              <w:t>Income: High/medium/low</w:t>
            </w:r>
          </w:p>
          <w:p w14:paraId="5112D96A" w14:textId="3C3782DB" w:rsidR="00297195" w:rsidRPr="00892004" w:rsidRDefault="00297195" w:rsidP="000C4849">
            <w:pPr>
              <w:pStyle w:val="ListParagraph"/>
              <w:numPr>
                <w:ilvl w:val="0"/>
                <w:numId w:val="48"/>
              </w:numPr>
              <w:spacing w:after="0" w:line="240" w:lineRule="auto"/>
              <w:ind w:left="160" w:hanging="160"/>
            </w:pPr>
            <w:r w:rsidRPr="00183DE1">
              <w:rPr>
                <w:rFonts w:ascii="Tw Cen MT Condensed" w:hAnsi="Tw Cen MT Condensed"/>
              </w:rPr>
              <w:lastRenderedPageBreak/>
              <w:t xml:space="preserve">Sex: </w:t>
            </w:r>
            <w:r w:rsidRPr="00C3600F">
              <w:rPr>
                <w:rFonts w:ascii="Tw Cen MT Condensed" w:hAnsi="Tw Cen MT Condensed"/>
              </w:rPr>
              <w:t>male/female</w:t>
            </w:r>
          </w:p>
        </w:tc>
        <w:tc>
          <w:tcPr>
            <w:tcW w:w="0" w:type="auto"/>
            <w:shd w:val="clear" w:color="auto" w:fill="auto"/>
          </w:tcPr>
          <w:p w14:paraId="5B2B861B" w14:textId="77777777" w:rsidR="00297195" w:rsidRPr="00371514" w:rsidRDefault="00297195" w:rsidP="00406F3B">
            <w:pPr>
              <w:pStyle w:val="NoSpacing"/>
              <w:rPr>
                <w:bCs/>
                <w:szCs w:val="20"/>
              </w:rPr>
            </w:pPr>
            <w:r>
              <w:lastRenderedPageBreak/>
              <w:t>Triennial</w:t>
            </w:r>
          </w:p>
        </w:tc>
        <w:tc>
          <w:tcPr>
            <w:tcW w:w="0" w:type="auto"/>
            <w:shd w:val="clear" w:color="auto" w:fill="auto"/>
          </w:tcPr>
          <w:p w14:paraId="2FC4A867" w14:textId="77777777" w:rsidR="00297195" w:rsidRPr="00371514" w:rsidRDefault="00297195" w:rsidP="00406F3B">
            <w:pPr>
              <w:jc w:val="center"/>
              <w:rPr>
                <w:bCs/>
                <w:szCs w:val="20"/>
              </w:rPr>
            </w:pPr>
            <w:r>
              <w:rPr>
                <w:bCs/>
                <w:szCs w:val="20"/>
              </w:rPr>
              <w:t>Group 3</w:t>
            </w:r>
          </w:p>
        </w:tc>
        <w:tc>
          <w:tcPr>
            <w:tcW w:w="0" w:type="auto"/>
            <w:shd w:val="clear" w:color="auto" w:fill="auto"/>
          </w:tcPr>
          <w:p w14:paraId="267D5528" w14:textId="77777777" w:rsidR="00297195" w:rsidRDefault="00297195" w:rsidP="00406F3B">
            <w:pPr>
              <w:pStyle w:val="NoSpacing"/>
            </w:pPr>
            <w:r>
              <w:t>1</w:t>
            </w:r>
            <w:r w:rsidRPr="00013ACB">
              <w:rPr>
                <w:vertAlign w:val="superscript"/>
              </w:rPr>
              <w:t>st</w:t>
            </w:r>
            <w:r>
              <w:t xml:space="preserve"> Round: </w:t>
            </w:r>
          </w:p>
          <w:p w14:paraId="31389BED" w14:textId="77777777" w:rsidR="00297195" w:rsidRDefault="00297195" w:rsidP="00406F3B">
            <w:pPr>
              <w:pStyle w:val="NoSpacing"/>
            </w:pPr>
            <w:r>
              <w:t>2013</w:t>
            </w:r>
          </w:p>
          <w:p w14:paraId="63C29602" w14:textId="77777777" w:rsidR="00297195" w:rsidRDefault="00297195" w:rsidP="00406F3B">
            <w:pPr>
              <w:pStyle w:val="NoSpacing"/>
            </w:pPr>
            <w:r>
              <w:t>2</w:t>
            </w:r>
            <w:r w:rsidRPr="00013ACB">
              <w:rPr>
                <w:vertAlign w:val="superscript"/>
              </w:rPr>
              <w:t>nd</w:t>
            </w:r>
            <w:r>
              <w:t xml:space="preserve"> Round: </w:t>
            </w:r>
          </w:p>
          <w:p w14:paraId="3B01AC6F" w14:textId="77777777" w:rsidR="00297195" w:rsidRDefault="00297195" w:rsidP="00406F3B">
            <w:pPr>
              <w:pStyle w:val="NoSpacing"/>
            </w:pPr>
            <w:r>
              <w:lastRenderedPageBreak/>
              <w:t>June, 2019</w:t>
            </w:r>
          </w:p>
          <w:p w14:paraId="4A40F2C5" w14:textId="77777777" w:rsidR="00297195" w:rsidRDefault="00297195" w:rsidP="00406F3B">
            <w:pPr>
              <w:pStyle w:val="NoSpacing"/>
            </w:pPr>
            <w:r>
              <w:t>3</w:t>
            </w:r>
            <w:r w:rsidRPr="00013ACB">
              <w:rPr>
                <w:vertAlign w:val="superscript"/>
              </w:rPr>
              <w:t>rd</w:t>
            </w:r>
            <w:r>
              <w:t xml:space="preserve"> Round: </w:t>
            </w:r>
          </w:p>
          <w:p w14:paraId="38AE3E3E" w14:textId="77777777" w:rsidR="00297195" w:rsidRDefault="00297195" w:rsidP="00406F3B">
            <w:pPr>
              <w:pStyle w:val="NoSpacing"/>
            </w:pPr>
            <w:r>
              <w:t>June, 2022</w:t>
            </w:r>
          </w:p>
          <w:p w14:paraId="0F969FBA" w14:textId="77777777" w:rsidR="00297195" w:rsidRDefault="00297195" w:rsidP="00406F3B">
            <w:pPr>
              <w:pStyle w:val="NoSpacing"/>
            </w:pPr>
            <w:r>
              <w:t>4</w:t>
            </w:r>
            <w:r w:rsidRPr="00013ACB">
              <w:rPr>
                <w:vertAlign w:val="superscript"/>
              </w:rPr>
              <w:t>th</w:t>
            </w:r>
            <w:r>
              <w:t xml:space="preserve"> Round: </w:t>
            </w:r>
          </w:p>
          <w:p w14:paraId="207A55D3" w14:textId="77777777" w:rsidR="00297195" w:rsidRDefault="00297195" w:rsidP="00406F3B">
            <w:pPr>
              <w:pStyle w:val="NoSpacing"/>
            </w:pPr>
            <w:r>
              <w:t>June, 2025</w:t>
            </w:r>
          </w:p>
          <w:p w14:paraId="103B3C6C" w14:textId="77777777" w:rsidR="00297195" w:rsidRDefault="00297195" w:rsidP="00406F3B">
            <w:pPr>
              <w:pStyle w:val="NoSpacing"/>
            </w:pPr>
            <w:r>
              <w:t>5</w:t>
            </w:r>
            <w:r w:rsidRPr="00013ACB">
              <w:rPr>
                <w:vertAlign w:val="superscript"/>
              </w:rPr>
              <w:t>th</w:t>
            </w:r>
            <w:r>
              <w:t xml:space="preserve"> Round: </w:t>
            </w:r>
          </w:p>
          <w:p w14:paraId="4B89BAA0" w14:textId="77777777" w:rsidR="00297195" w:rsidRDefault="00297195" w:rsidP="00406F3B">
            <w:pPr>
              <w:pStyle w:val="NoSpacing"/>
            </w:pPr>
            <w:r>
              <w:t>June, 2028</w:t>
            </w:r>
          </w:p>
          <w:p w14:paraId="7DC95939" w14:textId="77968473" w:rsidR="00297195" w:rsidRPr="003265B9" w:rsidRDefault="00297195" w:rsidP="00406F3B">
            <w:pPr>
              <w:pStyle w:val="NoSpacing"/>
            </w:pPr>
          </w:p>
        </w:tc>
        <w:tc>
          <w:tcPr>
            <w:tcW w:w="0" w:type="auto"/>
            <w:shd w:val="clear" w:color="auto" w:fill="auto"/>
          </w:tcPr>
          <w:p w14:paraId="3070DC64" w14:textId="77777777" w:rsidR="00297195" w:rsidRDefault="00297195" w:rsidP="00406F3B">
            <w:pPr>
              <w:pStyle w:val="NoSpacing"/>
            </w:pPr>
            <w:r>
              <w:rPr>
                <w:rFonts w:ascii="Segoe UI Symbol" w:eastAsia="Segoe UI Symbol" w:hAnsi="Segoe UI Symbol" w:cs="Segoe UI Symbol"/>
              </w:rPr>
              <w:lastRenderedPageBreak/>
              <w:t>•</w:t>
            </w:r>
            <w:r>
              <w:rPr>
                <w:rFonts w:ascii="Arial" w:eastAsia="Arial" w:hAnsi="Arial" w:cs="Arial"/>
              </w:rPr>
              <w:t xml:space="preserve"> </w:t>
            </w:r>
            <w:r>
              <w:t xml:space="preserve">This is an index based on HH size, drinking water service (6.1.1), </w:t>
            </w:r>
            <w:r>
              <w:lastRenderedPageBreak/>
              <w:t xml:space="preserve">Sanitation service </w:t>
            </w:r>
          </w:p>
          <w:p w14:paraId="74C3A564" w14:textId="77777777" w:rsidR="00297195" w:rsidRDefault="00297195" w:rsidP="00406F3B">
            <w:pPr>
              <w:pStyle w:val="NoSpacing"/>
            </w:pPr>
          </w:p>
          <w:p w14:paraId="10ACEEF5" w14:textId="77777777" w:rsidR="00297195" w:rsidRDefault="00297195" w:rsidP="00406F3B">
            <w:pPr>
              <w:pStyle w:val="NoSpacing"/>
            </w:pPr>
          </w:p>
          <w:p w14:paraId="5557E9C5" w14:textId="77777777" w:rsidR="00297195" w:rsidRDefault="00297195" w:rsidP="00406F3B">
            <w:pPr>
              <w:pStyle w:val="NoSpacing"/>
            </w:pPr>
            <w:r>
              <w:t>Data availability reviewed in Oct. 2019</w:t>
            </w:r>
          </w:p>
          <w:p w14:paraId="28B01052" w14:textId="77777777" w:rsidR="00297195" w:rsidRDefault="00297195" w:rsidP="00406F3B">
            <w:pPr>
              <w:pStyle w:val="NoSpacing"/>
            </w:pPr>
            <w:r>
              <w:t>(classified as Tier I)</w:t>
            </w:r>
          </w:p>
          <w:p w14:paraId="056EE6E5" w14:textId="77777777" w:rsidR="00297195" w:rsidRDefault="00297195" w:rsidP="00406F3B">
            <w:pPr>
              <w:pStyle w:val="NoSpacing"/>
            </w:pPr>
          </w:p>
          <w:p w14:paraId="0A9C8F26" w14:textId="77777777" w:rsidR="00297195" w:rsidRDefault="00297195" w:rsidP="00406F3B">
            <w:pPr>
              <w:pStyle w:val="NoSpacing"/>
            </w:pPr>
            <w:r>
              <w:t>Reviewed at Sept 2018 WebEx meeting</w:t>
            </w:r>
          </w:p>
          <w:p w14:paraId="332C61DF" w14:textId="77777777" w:rsidR="00297195" w:rsidRPr="00901CCA" w:rsidRDefault="00297195" w:rsidP="00406F3B">
            <w:pPr>
              <w:pStyle w:val="NoSpacing"/>
            </w:pPr>
            <w:r>
              <w:t>(classified as Tier II)</w:t>
            </w:r>
          </w:p>
        </w:tc>
      </w:tr>
      <w:tr w:rsidR="00297195" w14:paraId="0B414A90" w14:textId="77777777" w:rsidTr="0085651F">
        <w:tc>
          <w:tcPr>
            <w:tcW w:w="0" w:type="auto"/>
            <w:shd w:val="clear" w:color="auto" w:fill="auto"/>
          </w:tcPr>
          <w:p w14:paraId="29BFF769" w14:textId="77777777" w:rsidR="00297195" w:rsidRDefault="00297195" w:rsidP="00406F3B">
            <w:pPr>
              <w:pStyle w:val="Default"/>
              <w:rPr>
                <w:rFonts w:ascii="Tw Cen MT Condensed" w:hAnsi="Tw Cen MT Condensed" w:cs="Shonar Bangla"/>
                <w:szCs w:val="20"/>
              </w:rPr>
            </w:pPr>
            <w:r w:rsidRPr="00F40ACF">
              <w:rPr>
                <w:rFonts w:ascii="Tw Cen MT Condensed" w:hAnsi="Tw Cen MT Condensed" w:cs="Shonar Bangla"/>
                <w:szCs w:val="20"/>
              </w:rPr>
              <w:lastRenderedPageBreak/>
              <w:t xml:space="preserve">1.4.2 Proportion of </w:t>
            </w:r>
          </w:p>
          <w:p w14:paraId="44834EF6" w14:textId="77777777" w:rsidR="00297195" w:rsidRPr="00F40ACF" w:rsidRDefault="00297195" w:rsidP="00406F3B">
            <w:pPr>
              <w:pStyle w:val="Default"/>
              <w:rPr>
                <w:rFonts w:ascii="Tw Cen MT Condensed" w:hAnsi="Tw Cen MT Condensed" w:cs="Shonar Bangla"/>
                <w:szCs w:val="20"/>
              </w:rPr>
            </w:pPr>
            <w:r w:rsidRPr="00F40ACF">
              <w:rPr>
                <w:rFonts w:ascii="Tw Cen MT Condensed" w:hAnsi="Tw Cen MT Condensed" w:cs="Shonar Bangla"/>
                <w:szCs w:val="20"/>
              </w:rPr>
              <w:t xml:space="preserve">total adult population with secure tenure rights to land, with legally recognized documentation and who perceive their rights to land as secure, by </w:t>
            </w:r>
            <w:r w:rsidRPr="00F40ACF">
              <w:rPr>
                <w:rFonts w:ascii="Tw Cen MT Condensed" w:hAnsi="Tw Cen MT Condensed" w:cs="Shonar Bangla"/>
                <w:szCs w:val="20"/>
              </w:rPr>
              <w:lastRenderedPageBreak/>
              <w:t>sex and by type of tenure</w:t>
            </w:r>
          </w:p>
        </w:tc>
        <w:tc>
          <w:tcPr>
            <w:tcW w:w="0" w:type="auto"/>
            <w:shd w:val="clear" w:color="auto" w:fill="auto"/>
          </w:tcPr>
          <w:p w14:paraId="7C7908B5" w14:textId="77777777" w:rsidR="00297195" w:rsidRDefault="00297195" w:rsidP="00406F3B">
            <w:pPr>
              <w:autoSpaceDE w:val="0"/>
              <w:autoSpaceDN w:val="0"/>
              <w:adjustRightInd w:val="0"/>
              <w:jc w:val="center"/>
              <w:rPr>
                <w:szCs w:val="20"/>
              </w:rPr>
            </w:pPr>
            <w:r w:rsidRPr="00262FC1">
              <w:rPr>
                <w:szCs w:val="20"/>
              </w:rPr>
              <w:lastRenderedPageBreak/>
              <w:t>UN-Habitat and World Bank</w:t>
            </w:r>
          </w:p>
          <w:p w14:paraId="4A5003AF" w14:textId="77777777" w:rsidR="00297195" w:rsidRDefault="00297195" w:rsidP="00406F3B">
            <w:pPr>
              <w:autoSpaceDE w:val="0"/>
              <w:autoSpaceDN w:val="0"/>
              <w:adjustRightInd w:val="0"/>
              <w:jc w:val="center"/>
              <w:rPr>
                <w:szCs w:val="20"/>
              </w:rPr>
            </w:pPr>
          </w:p>
          <w:p w14:paraId="7AAA3B32" w14:textId="77777777" w:rsidR="00297195" w:rsidRPr="00757112" w:rsidRDefault="00297195" w:rsidP="00406F3B">
            <w:pPr>
              <w:autoSpaceDE w:val="0"/>
              <w:autoSpaceDN w:val="0"/>
              <w:adjustRightInd w:val="0"/>
              <w:jc w:val="center"/>
              <w:rPr>
                <w:szCs w:val="20"/>
              </w:rPr>
            </w:pPr>
            <w:r>
              <w:rPr>
                <w:szCs w:val="20"/>
              </w:rPr>
              <w:t xml:space="preserve">Partner Agencies: </w:t>
            </w:r>
            <w:r w:rsidRPr="00757112">
              <w:rPr>
                <w:szCs w:val="20"/>
              </w:rPr>
              <w:t>FAO,</w:t>
            </w:r>
          </w:p>
          <w:p w14:paraId="6FADD935" w14:textId="77777777" w:rsidR="00297195" w:rsidRPr="00757112" w:rsidRDefault="00297195" w:rsidP="00406F3B">
            <w:pPr>
              <w:autoSpaceDE w:val="0"/>
              <w:autoSpaceDN w:val="0"/>
              <w:adjustRightInd w:val="0"/>
              <w:jc w:val="center"/>
              <w:rPr>
                <w:szCs w:val="20"/>
              </w:rPr>
            </w:pPr>
            <w:r w:rsidRPr="00757112">
              <w:rPr>
                <w:szCs w:val="20"/>
              </w:rPr>
              <w:t>UNSD,</w:t>
            </w:r>
          </w:p>
          <w:p w14:paraId="7B72C3C1" w14:textId="77777777" w:rsidR="00297195" w:rsidRPr="00757112" w:rsidRDefault="00297195" w:rsidP="00406F3B">
            <w:pPr>
              <w:autoSpaceDE w:val="0"/>
              <w:autoSpaceDN w:val="0"/>
              <w:adjustRightInd w:val="0"/>
              <w:jc w:val="center"/>
              <w:rPr>
                <w:szCs w:val="20"/>
              </w:rPr>
            </w:pPr>
            <w:r w:rsidRPr="00757112">
              <w:rPr>
                <w:szCs w:val="20"/>
              </w:rPr>
              <w:t>UN Women,</w:t>
            </w:r>
          </w:p>
          <w:p w14:paraId="7CCCCCE7" w14:textId="77777777" w:rsidR="00297195" w:rsidRPr="00757112" w:rsidRDefault="00297195" w:rsidP="00406F3B">
            <w:pPr>
              <w:autoSpaceDE w:val="0"/>
              <w:autoSpaceDN w:val="0"/>
              <w:adjustRightInd w:val="0"/>
              <w:jc w:val="center"/>
              <w:rPr>
                <w:szCs w:val="20"/>
              </w:rPr>
            </w:pPr>
            <w:r w:rsidRPr="00757112">
              <w:rPr>
                <w:szCs w:val="20"/>
              </w:rPr>
              <w:t>UNEP,</w:t>
            </w:r>
          </w:p>
          <w:p w14:paraId="57DDBB9E" w14:textId="77777777" w:rsidR="00297195" w:rsidRPr="00262FC1" w:rsidRDefault="00297195" w:rsidP="00406F3B">
            <w:pPr>
              <w:autoSpaceDE w:val="0"/>
              <w:autoSpaceDN w:val="0"/>
              <w:adjustRightInd w:val="0"/>
              <w:jc w:val="center"/>
              <w:rPr>
                <w:szCs w:val="20"/>
              </w:rPr>
            </w:pPr>
            <w:r w:rsidRPr="00757112">
              <w:rPr>
                <w:szCs w:val="20"/>
              </w:rPr>
              <w:t>IFAD"</w:t>
            </w:r>
          </w:p>
          <w:p w14:paraId="7073866B" w14:textId="77777777" w:rsidR="00297195" w:rsidRPr="00262FC1" w:rsidRDefault="00297195" w:rsidP="00406F3B">
            <w:pPr>
              <w:jc w:val="center"/>
              <w:rPr>
                <w:color w:val="4F4E4E"/>
                <w:szCs w:val="20"/>
                <w:shd w:val="clear" w:color="auto" w:fill="FFFFFF"/>
              </w:rPr>
            </w:pPr>
          </w:p>
        </w:tc>
        <w:tc>
          <w:tcPr>
            <w:tcW w:w="0" w:type="auto"/>
            <w:shd w:val="clear" w:color="auto" w:fill="auto"/>
          </w:tcPr>
          <w:p w14:paraId="1AF8B7E6" w14:textId="77777777" w:rsidR="00297195" w:rsidRPr="00262FC1" w:rsidRDefault="00297195" w:rsidP="00406F3B">
            <w:pPr>
              <w:jc w:val="center"/>
              <w:rPr>
                <w:szCs w:val="20"/>
              </w:rPr>
            </w:pPr>
            <w:r w:rsidRPr="00262FC1">
              <w:rPr>
                <w:szCs w:val="20"/>
              </w:rPr>
              <w:t>Tier II</w:t>
            </w:r>
          </w:p>
        </w:tc>
        <w:tc>
          <w:tcPr>
            <w:tcW w:w="0" w:type="auto"/>
            <w:shd w:val="clear" w:color="auto" w:fill="auto"/>
          </w:tcPr>
          <w:p w14:paraId="52B3C44D" w14:textId="77777777" w:rsidR="00297195" w:rsidRPr="00757112" w:rsidRDefault="00297195" w:rsidP="00406F3B">
            <w:pPr>
              <w:jc w:val="both"/>
              <w:rPr>
                <w:b/>
                <w:bCs/>
                <w:szCs w:val="20"/>
              </w:rPr>
            </w:pPr>
            <w:r w:rsidRPr="00757112">
              <w:rPr>
                <w:b/>
                <w:bCs/>
                <w:szCs w:val="20"/>
              </w:rPr>
              <w:t>Concepts:</w:t>
            </w:r>
          </w:p>
          <w:p w14:paraId="758CECFB" w14:textId="268534F1" w:rsidR="00297195" w:rsidRDefault="00297195" w:rsidP="00406F3B">
            <w:pPr>
              <w:jc w:val="both"/>
              <w:rPr>
                <w:szCs w:val="20"/>
              </w:rPr>
            </w:pPr>
            <w:r w:rsidRPr="00262FC1">
              <w:rPr>
                <w:szCs w:val="20"/>
              </w:rPr>
              <w:t xml:space="preserve">The concepts below are based on the “Voluntary Guidelines for the Responsible Governance of Tenure of Land, Forests and Fisheries in the Context of National Food Security” (shorthand VGGT), which were endorsed by the United Nations World Committee on World Food Security in 2012 and therefore considered an internationally accepted standard. Other international frameworks using these concepts are the African Union Agenda on Land as laid out in the 2009 Framework and Guidelines on Land Policy in Africa and the 2014 Nairobi Action Plan on Large-Scale Land-Based Investments. </w:t>
            </w:r>
          </w:p>
          <w:p w14:paraId="3A6C4BAD" w14:textId="77777777" w:rsidR="00297195" w:rsidRPr="00757112" w:rsidRDefault="00297195" w:rsidP="00406F3B">
            <w:pPr>
              <w:jc w:val="both"/>
              <w:rPr>
                <w:b/>
                <w:bCs/>
                <w:szCs w:val="20"/>
              </w:rPr>
            </w:pPr>
            <w:r w:rsidRPr="00757112">
              <w:rPr>
                <w:b/>
                <w:bCs/>
                <w:szCs w:val="20"/>
              </w:rPr>
              <w:t>Definition</w:t>
            </w:r>
            <w:r>
              <w:rPr>
                <w:b/>
                <w:bCs/>
                <w:szCs w:val="20"/>
              </w:rPr>
              <w:t>s</w:t>
            </w:r>
            <w:r w:rsidRPr="00757112">
              <w:rPr>
                <w:b/>
                <w:bCs/>
                <w:szCs w:val="20"/>
              </w:rPr>
              <w:t>:</w:t>
            </w:r>
          </w:p>
          <w:p w14:paraId="679FF44D" w14:textId="77777777" w:rsidR="00297195" w:rsidRDefault="00297195" w:rsidP="00406F3B">
            <w:pPr>
              <w:jc w:val="both"/>
              <w:rPr>
                <w:szCs w:val="20"/>
              </w:rPr>
            </w:pPr>
            <w:r w:rsidRPr="000C4849">
              <w:rPr>
                <w:b/>
                <w:i/>
                <w:iCs/>
                <w:szCs w:val="20"/>
              </w:rPr>
              <w:t>Tenure:</w:t>
            </w:r>
            <w:r w:rsidRPr="00262FC1">
              <w:rPr>
                <w:szCs w:val="20"/>
              </w:rPr>
              <w:t xml:space="preserve"> How people, communities and others gain access to land and </w:t>
            </w:r>
            <w:proofErr w:type="gramStart"/>
            <w:r w:rsidRPr="00262FC1">
              <w:rPr>
                <w:szCs w:val="20"/>
              </w:rPr>
              <w:t>natural resources (including fisheries</w:t>
            </w:r>
            <w:r>
              <w:rPr>
                <w:szCs w:val="20"/>
              </w:rPr>
              <w:t xml:space="preserve"> </w:t>
            </w:r>
            <w:r w:rsidRPr="00262FC1">
              <w:rPr>
                <w:szCs w:val="20"/>
              </w:rPr>
              <w:t>and forests) is</w:t>
            </w:r>
            <w:proofErr w:type="gramEnd"/>
            <w:r w:rsidRPr="00262FC1">
              <w:rPr>
                <w:szCs w:val="20"/>
              </w:rPr>
              <w:t xml:space="preserve"> defined and regulated by societies through systems of tenure. These tenure systems determine who can use which resources, for how long, and under what conditions. Tenure systems may be based on written policies and laws, as well as on unwritten customs and practices. No tenure right, including private ownership, is absolute. All tenure rights are limited by the rights of others and by the measures taken by states for public purposes (VGGT, 2012). </w:t>
            </w:r>
          </w:p>
          <w:p w14:paraId="7E6C209C" w14:textId="77777777" w:rsidR="00297195" w:rsidRDefault="00297195" w:rsidP="00406F3B">
            <w:pPr>
              <w:jc w:val="both"/>
              <w:rPr>
                <w:szCs w:val="20"/>
              </w:rPr>
            </w:pPr>
            <w:r w:rsidRPr="000C4849">
              <w:rPr>
                <w:b/>
                <w:i/>
                <w:iCs/>
                <w:szCs w:val="20"/>
              </w:rPr>
              <w:t>Tenure typology:</w:t>
            </w:r>
            <w:r w:rsidRPr="00262FC1">
              <w:rPr>
                <w:szCs w:val="20"/>
              </w:rPr>
              <w:t xml:space="preserve"> A tenure typology is country specific and refers to categories of tenure rights, for example customary, leasehold, public and freehold. Rights can be held collectively, jointly or individually and may cover one or more elements of the bundle of rights (the right of possession, of control, of </w:t>
            </w:r>
            <w:r w:rsidRPr="00262FC1">
              <w:rPr>
                <w:szCs w:val="20"/>
              </w:rPr>
              <w:lastRenderedPageBreak/>
              <w:t>exclusion, of enjoyment and of disposition).</w:t>
            </w:r>
          </w:p>
          <w:p w14:paraId="152BFD6E" w14:textId="77777777" w:rsidR="00297195" w:rsidRDefault="00297195" w:rsidP="00406F3B">
            <w:pPr>
              <w:jc w:val="both"/>
              <w:rPr>
                <w:szCs w:val="20"/>
              </w:rPr>
            </w:pPr>
            <w:r w:rsidRPr="00757112">
              <w:rPr>
                <w:i/>
                <w:iCs/>
                <w:szCs w:val="20"/>
              </w:rPr>
              <w:t>Land governance:</w:t>
            </w:r>
            <w:r w:rsidRPr="00262FC1">
              <w:rPr>
                <w:szCs w:val="20"/>
              </w:rPr>
              <w:t xml:space="preserve"> Rules, processes and structures through which decisions are made regarding access to and the use (and transfer) of land, how those decisions are implemented and the way that conflicting interests in land are managed. States provide legal recognition for tenure rights through policies, law and land administration services, and define the categories of rights that are considered official.</w:t>
            </w:r>
          </w:p>
          <w:p w14:paraId="53A62912" w14:textId="77777777" w:rsidR="00297195" w:rsidRDefault="00297195" w:rsidP="00406F3B">
            <w:pPr>
              <w:jc w:val="both"/>
              <w:rPr>
                <w:szCs w:val="20"/>
              </w:rPr>
            </w:pPr>
            <w:r w:rsidRPr="000C4849">
              <w:rPr>
                <w:b/>
                <w:i/>
                <w:iCs/>
                <w:szCs w:val="20"/>
              </w:rPr>
              <w:t>Secure tenure rights:</w:t>
            </w:r>
            <w:r w:rsidRPr="00757112">
              <w:rPr>
                <w:szCs w:val="20"/>
              </w:rPr>
              <w:t xml:space="preserve"> comprised of two sub-components: (i) legally recognized documentation and (ii) perception of the security of tenure, which are both necessary to provide a full measurement of tenure security.</w:t>
            </w:r>
            <w:r>
              <w:rPr>
                <w:szCs w:val="20"/>
              </w:rPr>
              <w:t xml:space="preserve"> </w:t>
            </w:r>
          </w:p>
          <w:p w14:paraId="288275A7" w14:textId="77777777" w:rsidR="00297195" w:rsidRDefault="00297195" w:rsidP="00406F3B">
            <w:pPr>
              <w:jc w:val="both"/>
              <w:rPr>
                <w:szCs w:val="20"/>
              </w:rPr>
            </w:pPr>
            <w:r w:rsidRPr="000C4849">
              <w:rPr>
                <w:b/>
                <w:i/>
                <w:iCs/>
                <w:szCs w:val="20"/>
              </w:rPr>
              <w:t>Legally recognized documentation:</w:t>
            </w:r>
            <w:r w:rsidRPr="00757112">
              <w:rPr>
                <w:szCs w:val="20"/>
              </w:rPr>
              <w:t xml:space="preserve"> Legal documentation of rights refers to the recording and publication of information on the nature and location of land, rights and right holders in a form that is recognized by government, and is therefore official. For purposes of computing SDG Indicator 1.4.2, the country specific metadata will define what documentation on land rights will be counted as legally recognized</w:t>
            </w:r>
            <w:r>
              <w:rPr>
                <w:szCs w:val="20"/>
              </w:rPr>
              <w:t>.</w:t>
            </w:r>
          </w:p>
          <w:p w14:paraId="2FE8408A" w14:textId="77777777" w:rsidR="00297195" w:rsidRDefault="00297195" w:rsidP="00406F3B">
            <w:pPr>
              <w:jc w:val="both"/>
              <w:rPr>
                <w:szCs w:val="20"/>
              </w:rPr>
            </w:pPr>
            <w:r w:rsidRPr="000C4849">
              <w:rPr>
                <w:b/>
                <w:i/>
                <w:iCs/>
                <w:szCs w:val="20"/>
              </w:rPr>
              <w:t>Perceived security of tenure:</w:t>
            </w:r>
            <w:r w:rsidRPr="00757112">
              <w:rPr>
                <w:szCs w:val="20"/>
              </w:rPr>
              <w:t xml:space="preserve"> Perception of tenure security refers to an individual’s perception of the likelihood of involuntary loss of land, such as disagreement of the ownership rights over land or ability to use it, regardless of the formal status and can be more optimistic or pessimistic. Although those without land rights’ documentation may frequently be perceived to be under threat, and those with documentation perceived as protected, there may be situations where documented land rights alone are insufficient to guarantee tenure security. Conversely, even without legally recognized documentation, individuals may feel themselves to be protected against eviction or dispossession. Therefore, capturing and analysing these diverse ranges of situations will enable a more comprehensive understanding of land tenure security, based on a country specific context.</w:t>
            </w:r>
          </w:p>
          <w:p w14:paraId="7C00C2CC" w14:textId="77777777" w:rsidR="00297195" w:rsidRDefault="00297195" w:rsidP="00406F3B">
            <w:pPr>
              <w:jc w:val="both"/>
              <w:rPr>
                <w:szCs w:val="20"/>
              </w:rPr>
            </w:pPr>
            <w:r w:rsidRPr="00757112">
              <w:rPr>
                <w:szCs w:val="20"/>
              </w:rPr>
              <w:t xml:space="preserve">For purposes of constructing the indicator, we define perceptions of tenure to be secure if: </w:t>
            </w:r>
          </w:p>
          <w:p w14:paraId="443E160D" w14:textId="77777777" w:rsidR="00297195" w:rsidRPr="00757112" w:rsidRDefault="00297195" w:rsidP="00406F3B">
            <w:pPr>
              <w:pStyle w:val="ListParagraph"/>
              <w:numPr>
                <w:ilvl w:val="0"/>
                <w:numId w:val="6"/>
              </w:numPr>
              <w:ind w:left="633" w:hanging="273"/>
              <w:jc w:val="both"/>
              <w:rPr>
                <w:rFonts w:ascii="Tw Cen MT Condensed" w:hAnsi="Tw Cen MT Condensed"/>
                <w:sz w:val="20"/>
                <w:szCs w:val="20"/>
              </w:rPr>
            </w:pPr>
            <w:r w:rsidRPr="00757112">
              <w:rPr>
                <w:rFonts w:ascii="Tw Cen MT Condensed" w:hAnsi="Tw Cen MT Condensed"/>
                <w:sz w:val="20"/>
                <w:szCs w:val="20"/>
              </w:rPr>
              <w:t xml:space="preserve">The landholder does not report a fear of involuntary loss of the land within the next five years due to, for example, intra-family, community or external threats and </w:t>
            </w:r>
          </w:p>
          <w:p w14:paraId="1CE0DA00" w14:textId="77777777" w:rsidR="00297195" w:rsidRPr="00757112" w:rsidRDefault="00297195" w:rsidP="00406F3B">
            <w:pPr>
              <w:pStyle w:val="ListParagraph"/>
              <w:numPr>
                <w:ilvl w:val="0"/>
                <w:numId w:val="6"/>
              </w:numPr>
              <w:ind w:left="633" w:hanging="273"/>
              <w:jc w:val="both"/>
              <w:rPr>
                <w:rFonts w:ascii="Tw Cen MT Condensed" w:hAnsi="Tw Cen MT Condensed"/>
                <w:sz w:val="20"/>
                <w:szCs w:val="20"/>
              </w:rPr>
            </w:pPr>
            <w:r w:rsidRPr="00757112">
              <w:rPr>
                <w:rFonts w:ascii="Tw Cen MT Condensed" w:hAnsi="Tw Cen MT Condensed"/>
                <w:sz w:val="20"/>
                <w:szCs w:val="20"/>
              </w:rPr>
              <w:t>The landholder reports having the right to bequeath the land.</w:t>
            </w:r>
          </w:p>
          <w:p w14:paraId="7917ED57" w14:textId="77777777" w:rsidR="00297195" w:rsidRPr="00757112" w:rsidRDefault="00297195" w:rsidP="00406F3B">
            <w:pPr>
              <w:jc w:val="both"/>
              <w:rPr>
                <w:b/>
                <w:bCs/>
                <w:szCs w:val="20"/>
              </w:rPr>
            </w:pPr>
            <w:r w:rsidRPr="00757112">
              <w:rPr>
                <w:b/>
                <w:bCs/>
                <w:szCs w:val="20"/>
              </w:rPr>
              <w:t>Computation Method and formula:</w:t>
            </w:r>
          </w:p>
          <w:p w14:paraId="25F91D6A" w14:textId="77777777" w:rsidR="00297195" w:rsidRPr="00262FC1" w:rsidRDefault="00297195" w:rsidP="00406F3B">
            <w:pPr>
              <w:jc w:val="both"/>
              <w:rPr>
                <w:szCs w:val="20"/>
              </w:rPr>
            </w:pPr>
            <w:r w:rsidRPr="00262FC1">
              <w:rPr>
                <w:szCs w:val="20"/>
              </w:rPr>
              <w:t>Indicator 1.4.2 is</w:t>
            </w:r>
            <w:r>
              <w:rPr>
                <w:szCs w:val="20"/>
              </w:rPr>
              <w:t xml:space="preserve"> </w:t>
            </w:r>
            <w:r w:rsidRPr="00262FC1">
              <w:rPr>
                <w:szCs w:val="20"/>
              </w:rPr>
              <w:t>composed of two parts: (A) measures the incidence of adults with legally recognized documentation over land among the total adult population; while (B) focuses on the incidence of adults who report having perceived secure rights to land among the adult population.</w:t>
            </w:r>
            <w:r>
              <w:rPr>
                <w:szCs w:val="20"/>
              </w:rPr>
              <w:t xml:space="preserve"> </w:t>
            </w:r>
            <w:r w:rsidRPr="00262FC1">
              <w:rPr>
                <w:szCs w:val="20"/>
              </w:rPr>
              <w:t xml:space="preserve">Part (A) and part (B) provide two complementary data sets on security of tenure rights, needed for measuring the indicator. </w:t>
            </w:r>
          </w:p>
          <w:p w14:paraId="60EA3A41" w14:textId="77777777" w:rsidR="00297195" w:rsidRPr="00262FC1" w:rsidRDefault="00297195" w:rsidP="00406F3B">
            <w:pPr>
              <w:pStyle w:val="ListParagraph"/>
              <w:spacing w:after="0" w:line="240" w:lineRule="auto"/>
              <w:rPr>
                <w:rFonts w:ascii="Tw Cen MT Condensed" w:hAnsi="Tw Cen MT Condensed" w:cs="Shonar Bangla"/>
                <w:i/>
                <w:sz w:val="20"/>
                <w:szCs w:val="20"/>
              </w:rPr>
            </w:pPr>
          </w:p>
          <w:p w14:paraId="14C9CC26" w14:textId="77777777" w:rsidR="00297195" w:rsidRPr="00262FC1" w:rsidRDefault="00297195" w:rsidP="00406F3B">
            <w:pPr>
              <w:ind w:left="-24"/>
              <w:rPr>
                <w:szCs w:val="20"/>
              </w:rPr>
            </w:pPr>
            <w:r w:rsidRPr="00262FC1">
              <w:rPr>
                <w:szCs w:val="20"/>
              </w:rPr>
              <w:t xml:space="preserve">Part (A):  </w:t>
            </w:r>
            <m:oMath>
              <m:f>
                <m:fPr>
                  <m:ctrlPr>
                    <w:rPr>
                      <w:rFonts w:ascii="Cambria Math" w:hAnsi="Cambria Math"/>
                      <w:i/>
                      <w:w w:val="90"/>
                      <w:szCs w:val="20"/>
                    </w:rPr>
                  </m:ctrlPr>
                </m:fPr>
                <m:num>
                  <m:r>
                    <m:rPr>
                      <m:sty m:val="bi"/>
                    </m:rPr>
                    <w:rPr>
                      <w:rFonts w:ascii="Cambria Math" w:hAnsi="Cambria Math"/>
                      <w:w w:val="90"/>
                      <w:szCs w:val="20"/>
                    </w:rPr>
                    <m:t>People (Adult) with legally recognized documentation over land</m:t>
                  </m:r>
                </m:num>
                <m:den>
                  <m:r>
                    <m:rPr>
                      <m:sty m:val="bi"/>
                    </m:rPr>
                    <w:rPr>
                      <w:rFonts w:ascii="Cambria Math" w:hAnsi="Cambria Math"/>
                      <w:w w:val="90"/>
                      <w:szCs w:val="20"/>
                    </w:rPr>
                    <m:t xml:space="preserve">Total adult population </m:t>
                  </m:r>
                </m:den>
              </m:f>
            </m:oMath>
            <w:r>
              <w:rPr>
                <w:szCs w:val="20"/>
              </w:rPr>
              <w:t>X</w:t>
            </w:r>
            <w:r w:rsidRPr="00262FC1">
              <w:rPr>
                <w:szCs w:val="20"/>
              </w:rPr>
              <w:t>100</w:t>
            </w:r>
          </w:p>
          <w:p w14:paraId="1CA97CF0" w14:textId="77777777" w:rsidR="00297195" w:rsidRDefault="00297195" w:rsidP="00406F3B">
            <w:pPr>
              <w:rPr>
                <w:szCs w:val="20"/>
              </w:rPr>
            </w:pPr>
            <w:r w:rsidRPr="00262FC1">
              <w:rPr>
                <w:szCs w:val="20"/>
              </w:rPr>
              <w:t>Part (B):</w:t>
            </w:r>
          </w:p>
          <w:p w14:paraId="2D2AC055" w14:textId="77777777" w:rsidR="00297195" w:rsidRPr="00262FC1" w:rsidRDefault="00297195" w:rsidP="00406F3B">
            <w:pPr>
              <w:rPr>
                <w:szCs w:val="20"/>
              </w:rPr>
            </w:pPr>
            <w:r w:rsidRPr="00262FC1">
              <w:rPr>
                <w:szCs w:val="20"/>
              </w:rPr>
              <w:t xml:space="preserve"> </w:t>
            </w:r>
            <m:oMath>
              <m:f>
                <m:fPr>
                  <m:ctrlPr>
                    <w:rPr>
                      <w:rFonts w:ascii="Cambria Math" w:hAnsi="Cambria Math"/>
                      <w:i/>
                      <w:szCs w:val="20"/>
                    </w:rPr>
                  </m:ctrlPr>
                </m:fPr>
                <m:num>
                  <m:r>
                    <m:rPr>
                      <m:sty m:val="bi"/>
                    </m:rPr>
                    <w:rPr>
                      <w:rFonts w:ascii="Cambria Math" w:hAnsi="Cambria Math"/>
                      <w:szCs w:val="20"/>
                    </w:rPr>
                    <m:t xml:space="preserve">People </m:t>
                  </m:r>
                  <m:d>
                    <m:dPr>
                      <m:ctrlPr>
                        <w:rPr>
                          <w:rFonts w:ascii="Cambria Math" w:hAnsi="Cambria Math"/>
                          <w:i/>
                          <w:szCs w:val="20"/>
                        </w:rPr>
                      </m:ctrlPr>
                    </m:dPr>
                    <m:e>
                      <m:r>
                        <m:rPr>
                          <m:sty m:val="bi"/>
                        </m:rPr>
                        <w:rPr>
                          <w:rFonts w:ascii="Cambria Math" w:hAnsi="Cambria Math"/>
                          <w:szCs w:val="20"/>
                        </w:rPr>
                        <m:t>adult</m:t>
                      </m:r>
                    </m:e>
                  </m:d>
                  <m:r>
                    <m:rPr>
                      <m:sty m:val="bi"/>
                    </m:rPr>
                    <w:rPr>
                      <w:rFonts w:ascii="Cambria Math" w:hAnsi="Cambria Math"/>
                      <w:szCs w:val="20"/>
                    </w:rPr>
                    <m:t>who perceive their rights as secure</m:t>
                  </m:r>
                </m:num>
                <m:den>
                  <m:r>
                    <m:rPr>
                      <m:sty m:val="bi"/>
                    </m:rPr>
                    <w:rPr>
                      <w:rFonts w:ascii="Cambria Math" w:hAnsi="Cambria Math"/>
                      <w:szCs w:val="20"/>
                    </w:rPr>
                    <m:t xml:space="preserve">Total adult population </m:t>
                  </m:r>
                </m:den>
              </m:f>
            </m:oMath>
            <w:r w:rsidRPr="00262FC1">
              <w:rPr>
                <w:szCs w:val="20"/>
              </w:rPr>
              <w:t>x 100</w:t>
            </w:r>
          </w:p>
          <w:p w14:paraId="5C2138BF" w14:textId="77777777" w:rsidR="00297195" w:rsidRPr="00262FC1" w:rsidRDefault="00297195" w:rsidP="00406F3B">
            <w:pPr>
              <w:jc w:val="both"/>
              <w:rPr>
                <w:szCs w:val="20"/>
              </w:rPr>
            </w:pPr>
            <w:r w:rsidRPr="00262FC1">
              <w:rPr>
                <w:szCs w:val="20"/>
              </w:rPr>
              <w:t xml:space="preserve">Part A will be computed using national census data or household survey data generated by the national statistical system and/or administrative data generated by land agency (depending on data availability). </w:t>
            </w:r>
          </w:p>
          <w:p w14:paraId="018AD640" w14:textId="77777777" w:rsidR="00297195" w:rsidRPr="00262FC1" w:rsidRDefault="00297195" w:rsidP="00406F3B">
            <w:pPr>
              <w:jc w:val="both"/>
              <w:rPr>
                <w:szCs w:val="20"/>
              </w:rPr>
            </w:pPr>
            <w:r w:rsidRPr="00262FC1">
              <w:rPr>
                <w:szCs w:val="20"/>
              </w:rPr>
              <w:t>Part B will be computed using national census data or household survey data that feature the perception questions globally agreed through the EGMs and standardized in a module with essential questions discussed in section 5.1.1).</w:t>
            </w:r>
          </w:p>
          <w:p w14:paraId="464A0714" w14:textId="77777777" w:rsidR="00297195" w:rsidRDefault="00297195" w:rsidP="00406F3B">
            <w:pPr>
              <w:jc w:val="both"/>
              <w:rPr>
                <w:szCs w:val="20"/>
              </w:rPr>
            </w:pPr>
            <w:r w:rsidRPr="00262FC1">
              <w:rPr>
                <w:szCs w:val="20"/>
              </w:rPr>
              <w:lastRenderedPageBreak/>
              <w:t>The indicator gives equal weight to both components.</w:t>
            </w:r>
          </w:p>
          <w:p w14:paraId="20FE5C17" w14:textId="77777777" w:rsidR="00297195" w:rsidRPr="00757112" w:rsidRDefault="00297195" w:rsidP="00406F3B">
            <w:pPr>
              <w:jc w:val="both"/>
              <w:rPr>
                <w:szCs w:val="20"/>
              </w:rPr>
            </w:pPr>
            <w:r w:rsidRPr="00757112">
              <w:rPr>
                <w:rFonts w:ascii="Cambria Math" w:hAnsi="Cambria Math" w:cs="Cambria Math"/>
                <w:szCs w:val="20"/>
              </w:rPr>
              <w:t>𝐼𝑛𝑑𝑖𝑐𝑎𝑡𝑜𝑟</w:t>
            </w:r>
            <w:r w:rsidRPr="00757112">
              <w:rPr>
                <w:szCs w:val="20"/>
              </w:rPr>
              <w:t xml:space="preserve"> 1.4.2 = 0.5 </w:t>
            </w:r>
            <w:r w:rsidRPr="00757112">
              <w:rPr>
                <w:rFonts w:ascii="Cambria Math" w:hAnsi="Cambria Math" w:cs="Cambria Math"/>
                <w:szCs w:val="20"/>
              </w:rPr>
              <w:t>∗</w:t>
            </w:r>
            <w:r w:rsidRPr="00757112">
              <w:rPr>
                <w:szCs w:val="20"/>
              </w:rPr>
              <w:t xml:space="preserve"> </w:t>
            </w:r>
            <w:r w:rsidRPr="00757112">
              <w:rPr>
                <w:rFonts w:ascii="Cambria Math" w:hAnsi="Cambria Math" w:cs="Cambria Math"/>
                <w:szCs w:val="20"/>
              </w:rPr>
              <w:t>𝑝𝑎𝑟𝑡</w:t>
            </w:r>
            <w:r w:rsidRPr="00757112">
              <w:rPr>
                <w:szCs w:val="20"/>
              </w:rPr>
              <w:t>(</w:t>
            </w:r>
            <w:r w:rsidRPr="00757112">
              <w:rPr>
                <w:rFonts w:ascii="Cambria Math" w:hAnsi="Cambria Math" w:cs="Cambria Math"/>
                <w:szCs w:val="20"/>
              </w:rPr>
              <w:t>𝐴</w:t>
            </w:r>
            <w:r w:rsidRPr="00757112">
              <w:rPr>
                <w:szCs w:val="20"/>
              </w:rPr>
              <w:t xml:space="preserve">) + 0.5 </w:t>
            </w:r>
            <w:r w:rsidRPr="00757112">
              <w:rPr>
                <w:rFonts w:ascii="Cambria Math" w:hAnsi="Cambria Math" w:cs="Cambria Math"/>
                <w:szCs w:val="20"/>
              </w:rPr>
              <w:t>∗</w:t>
            </w:r>
            <w:r w:rsidRPr="00757112">
              <w:rPr>
                <w:szCs w:val="20"/>
              </w:rPr>
              <w:t xml:space="preserve"> </w:t>
            </w:r>
            <w:r w:rsidRPr="00757112">
              <w:rPr>
                <w:rFonts w:ascii="Cambria Math" w:hAnsi="Cambria Math" w:cs="Cambria Math"/>
                <w:szCs w:val="20"/>
              </w:rPr>
              <w:t>𝑃𝑎𝑟𝑡</w:t>
            </w:r>
            <w:r w:rsidRPr="00757112">
              <w:rPr>
                <w:szCs w:val="20"/>
              </w:rPr>
              <w:t>(</w:t>
            </w:r>
            <w:r w:rsidRPr="00757112">
              <w:rPr>
                <w:rFonts w:ascii="Cambria Math" w:hAnsi="Cambria Math" w:cs="Cambria Math"/>
                <w:szCs w:val="20"/>
              </w:rPr>
              <w:t>𝐵</w:t>
            </w:r>
            <w:r w:rsidRPr="00757112">
              <w:rPr>
                <w:szCs w:val="20"/>
              </w:rPr>
              <w:t>)</w:t>
            </w:r>
          </w:p>
        </w:tc>
        <w:tc>
          <w:tcPr>
            <w:tcW w:w="0" w:type="auto"/>
            <w:shd w:val="clear" w:color="auto" w:fill="auto"/>
          </w:tcPr>
          <w:p w14:paraId="591FAAC8" w14:textId="77777777" w:rsidR="00297195" w:rsidRPr="00297674" w:rsidRDefault="00297195" w:rsidP="00406F3B">
            <w:pPr>
              <w:pStyle w:val="ListParagraph"/>
              <w:numPr>
                <w:ilvl w:val="0"/>
                <w:numId w:val="8"/>
              </w:numPr>
              <w:ind w:left="449"/>
              <w:jc w:val="both"/>
              <w:rPr>
                <w:rFonts w:ascii="Tw Cen MT Condensed" w:hAnsi="Tw Cen MT Condensed" w:cs="Calibri"/>
                <w:sz w:val="20"/>
                <w:szCs w:val="20"/>
              </w:rPr>
            </w:pPr>
            <w:r w:rsidRPr="00297674">
              <w:rPr>
                <w:rFonts w:ascii="Tw Cen MT Condensed" w:hAnsi="Tw Cen MT Condensed" w:cs="Calibri"/>
                <w:sz w:val="20"/>
                <w:szCs w:val="20"/>
              </w:rPr>
              <w:lastRenderedPageBreak/>
              <w:t xml:space="preserve">Agriculture Census </w:t>
            </w:r>
          </w:p>
          <w:p w14:paraId="2EE79EFD" w14:textId="77777777" w:rsidR="00297195" w:rsidRPr="00297674" w:rsidRDefault="00297195" w:rsidP="00406F3B">
            <w:pPr>
              <w:pStyle w:val="ListParagraph"/>
              <w:numPr>
                <w:ilvl w:val="0"/>
                <w:numId w:val="8"/>
              </w:numPr>
              <w:ind w:left="449"/>
              <w:jc w:val="both"/>
              <w:rPr>
                <w:rFonts w:ascii="Tw Cen MT Condensed" w:hAnsi="Tw Cen MT Condensed" w:cs="Calibri"/>
                <w:sz w:val="20"/>
                <w:szCs w:val="20"/>
              </w:rPr>
            </w:pPr>
            <w:r w:rsidRPr="00297674">
              <w:rPr>
                <w:rFonts w:ascii="Tw Cen MT Condensed" w:hAnsi="Tw Cen MT Condensed" w:cs="Calibri"/>
                <w:sz w:val="20"/>
                <w:szCs w:val="20"/>
              </w:rPr>
              <w:t xml:space="preserve">Household-level consumption/expenditure surveys </w:t>
            </w:r>
          </w:p>
          <w:p w14:paraId="06CB0BB5" w14:textId="77777777" w:rsidR="00297195" w:rsidRPr="00297674" w:rsidRDefault="00297195" w:rsidP="00406F3B">
            <w:pPr>
              <w:pStyle w:val="ListParagraph"/>
              <w:numPr>
                <w:ilvl w:val="0"/>
                <w:numId w:val="8"/>
              </w:numPr>
              <w:ind w:left="449"/>
              <w:jc w:val="both"/>
              <w:rPr>
                <w:rFonts w:ascii="Tw Cen MT Condensed" w:hAnsi="Tw Cen MT Condensed" w:cs="Calibri"/>
                <w:sz w:val="20"/>
                <w:szCs w:val="20"/>
              </w:rPr>
            </w:pPr>
            <w:r w:rsidRPr="00297674">
              <w:rPr>
                <w:rFonts w:ascii="Tw Cen MT Condensed" w:hAnsi="Tw Cen MT Condensed" w:cs="Calibri"/>
                <w:sz w:val="20"/>
                <w:szCs w:val="20"/>
              </w:rPr>
              <w:t>multi-topic household surveys</w:t>
            </w:r>
          </w:p>
          <w:p w14:paraId="368CD048" w14:textId="77777777" w:rsidR="00297195" w:rsidRPr="00297674" w:rsidRDefault="00297195" w:rsidP="00406F3B">
            <w:pPr>
              <w:pStyle w:val="ListParagraph"/>
              <w:numPr>
                <w:ilvl w:val="0"/>
                <w:numId w:val="8"/>
              </w:numPr>
              <w:ind w:left="449"/>
              <w:jc w:val="both"/>
              <w:rPr>
                <w:rFonts w:ascii="Tw Cen MT Condensed" w:hAnsi="Tw Cen MT Condensed" w:cs="Calibri"/>
                <w:sz w:val="20"/>
                <w:szCs w:val="20"/>
              </w:rPr>
            </w:pPr>
            <w:r w:rsidRPr="00297674">
              <w:rPr>
                <w:rFonts w:ascii="Tw Cen MT Condensed" w:hAnsi="Tw Cen MT Condensed" w:cs="Calibri"/>
                <w:sz w:val="20"/>
                <w:szCs w:val="20"/>
              </w:rPr>
              <w:t>Demographic and Health Surveys (DHS)</w:t>
            </w:r>
          </w:p>
          <w:p w14:paraId="531F3678" w14:textId="77777777" w:rsidR="00297195" w:rsidRPr="00297674" w:rsidRDefault="00297195" w:rsidP="00406F3B">
            <w:pPr>
              <w:pStyle w:val="ListParagraph"/>
              <w:numPr>
                <w:ilvl w:val="0"/>
                <w:numId w:val="8"/>
              </w:numPr>
              <w:ind w:left="449"/>
              <w:jc w:val="both"/>
              <w:rPr>
                <w:rFonts w:ascii="Tw Cen MT Condensed" w:hAnsi="Tw Cen MT Condensed" w:cs="Calibri"/>
                <w:sz w:val="20"/>
                <w:szCs w:val="20"/>
              </w:rPr>
            </w:pPr>
            <w:r w:rsidRPr="00297674">
              <w:rPr>
                <w:rFonts w:ascii="Tw Cen MT Condensed" w:hAnsi="Tw Cen MT Condensed" w:cs="Calibri"/>
                <w:sz w:val="20"/>
                <w:szCs w:val="20"/>
              </w:rPr>
              <w:t xml:space="preserve">Multiple Indicator </w:t>
            </w:r>
            <w:r w:rsidRPr="00297674">
              <w:rPr>
                <w:rFonts w:ascii="Tw Cen MT Condensed" w:hAnsi="Tw Cen MT Condensed" w:cs="Calibri"/>
                <w:sz w:val="20"/>
                <w:szCs w:val="20"/>
              </w:rPr>
              <w:lastRenderedPageBreak/>
              <w:t>Cluster Surveys (MICS)</w:t>
            </w:r>
          </w:p>
        </w:tc>
        <w:tc>
          <w:tcPr>
            <w:tcW w:w="0" w:type="auto"/>
            <w:shd w:val="clear" w:color="auto" w:fill="auto"/>
          </w:tcPr>
          <w:p w14:paraId="6F796B0A" w14:textId="77777777" w:rsidR="00297195" w:rsidRDefault="00297195" w:rsidP="00406F3B">
            <w:pPr>
              <w:pStyle w:val="NoSpacing"/>
              <w:jc w:val="center"/>
            </w:pPr>
            <w:r>
              <w:lastRenderedPageBreak/>
              <w:t>NSO</w:t>
            </w:r>
          </w:p>
        </w:tc>
        <w:tc>
          <w:tcPr>
            <w:tcW w:w="0" w:type="auto"/>
            <w:shd w:val="clear" w:color="auto" w:fill="auto"/>
          </w:tcPr>
          <w:p w14:paraId="200C497C" w14:textId="77777777" w:rsidR="00297195" w:rsidRDefault="00297195" w:rsidP="00406F3B">
            <w:pPr>
              <w:jc w:val="center"/>
              <w:rPr>
                <w:szCs w:val="20"/>
              </w:rPr>
            </w:pPr>
            <w:r>
              <w:rPr>
                <w:szCs w:val="20"/>
              </w:rPr>
              <w:t>Not Available</w:t>
            </w:r>
          </w:p>
        </w:tc>
        <w:tc>
          <w:tcPr>
            <w:tcW w:w="0" w:type="auto"/>
            <w:shd w:val="clear" w:color="auto" w:fill="auto"/>
          </w:tcPr>
          <w:p w14:paraId="037BCFC7" w14:textId="40B9A72E" w:rsidR="00297195" w:rsidRDefault="00297195" w:rsidP="00406F3B">
            <w:pPr>
              <w:jc w:val="both"/>
              <w:rPr>
                <w:szCs w:val="20"/>
              </w:rPr>
            </w:pPr>
          </w:p>
          <w:p w14:paraId="3FDEB1A7" w14:textId="77777777" w:rsidR="00297195" w:rsidRDefault="00297195" w:rsidP="00406F3B">
            <w:pPr>
              <w:jc w:val="both"/>
              <w:rPr>
                <w:szCs w:val="20"/>
              </w:rPr>
            </w:pPr>
            <w:r w:rsidRPr="00BC6F10">
              <w:rPr>
                <w:rFonts w:eastAsia="Times New Roman" w:cs="Times New Roman"/>
                <w:color w:val="000000" w:themeColor="text1"/>
                <w:szCs w:val="20"/>
              </w:rPr>
              <w:t>Agriculture</w:t>
            </w:r>
            <w:r>
              <w:rPr>
                <w:rFonts w:eastAsia="Times New Roman" w:cs="Times New Roman"/>
                <w:color w:val="000000" w:themeColor="text1"/>
                <w:szCs w:val="20"/>
              </w:rPr>
              <w:t xml:space="preserve"> Sample</w:t>
            </w:r>
            <w:r w:rsidRPr="00BC6F10">
              <w:rPr>
                <w:rFonts w:eastAsia="Times New Roman" w:cs="Times New Roman"/>
                <w:color w:val="000000" w:themeColor="text1"/>
                <w:szCs w:val="20"/>
              </w:rPr>
              <w:t xml:space="preserve"> census</w:t>
            </w:r>
            <w:r>
              <w:rPr>
                <w:rFonts w:eastAsia="Times New Roman" w:cs="Times New Roman"/>
                <w:color w:val="000000" w:themeColor="text1"/>
                <w:szCs w:val="20"/>
              </w:rPr>
              <w:t>, BBS</w:t>
            </w:r>
          </w:p>
        </w:tc>
        <w:tc>
          <w:tcPr>
            <w:tcW w:w="0" w:type="auto"/>
            <w:shd w:val="clear" w:color="auto" w:fill="auto"/>
          </w:tcPr>
          <w:p w14:paraId="0DC329D8" w14:textId="0F548C80" w:rsidR="00297195" w:rsidRDefault="00297195" w:rsidP="00674476">
            <w:pPr>
              <w:pStyle w:val="ListParagraph"/>
              <w:numPr>
                <w:ilvl w:val="0"/>
                <w:numId w:val="48"/>
              </w:numPr>
              <w:spacing w:after="0" w:line="240" w:lineRule="auto"/>
              <w:ind w:left="160" w:hanging="160"/>
              <w:rPr>
                <w:rFonts w:ascii="Tw Cen MT Condensed" w:hAnsi="Tw Cen MT Condensed"/>
              </w:rPr>
            </w:pPr>
            <w:r w:rsidRPr="00183DE1">
              <w:rPr>
                <w:rFonts w:ascii="Tw Cen MT Condensed" w:hAnsi="Tw Cen MT Condensed"/>
              </w:rPr>
              <w:t xml:space="preserve"> </w:t>
            </w:r>
          </w:p>
          <w:p w14:paraId="7E7846E9" w14:textId="1328FBD1" w:rsidR="00297195" w:rsidRPr="00183DE1" w:rsidRDefault="00297195" w:rsidP="00674476">
            <w:pPr>
              <w:pStyle w:val="ListParagraph"/>
              <w:numPr>
                <w:ilvl w:val="0"/>
                <w:numId w:val="48"/>
              </w:numPr>
              <w:spacing w:after="0" w:line="240" w:lineRule="auto"/>
              <w:ind w:left="160" w:hanging="160"/>
              <w:rPr>
                <w:rFonts w:ascii="Tw Cen MT Condensed" w:hAnsi="Tw Cen MT Condensed"/>
              </w:rPr>
            </w:pPr>
            <w:r w:rsidRPr="00183DE1">
              <w:rPr>
                <w:rFonts w:ascii="Tw Cen MT Condensed" w:hAnsi="Tw Cen MT Condensed"/>
              </w:rPr>
              <w:t xml:space="preserve">Sex: </w:t>
            </w:r>
            <w:r w:rsidRPr="00C3600F">
              <w:rPr>
                <w:rFonts w:ascii="Tw Cen MT Condensed" w:hAnsi="Tw Cen MT Condensed"/>
              </w:rPr>
              <w:t>male/female</w:t>
            </w:r>
          </w:p>
          <w:p w14:paraId="67456249" w14:textId="43D4BF10" w:rsidR="00297195" w:rsidRPr="00183DE1" w:rsidRDefault="00297195" w:rsidP="00674476">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Type of tenure</w:t>
            </w:r>
            <w:r w:rsidR="00FB70F6">
              <w:rPr>
                <w:rFonts w:ascii="Tw Cen MT Condensed" w:hAnsi="Tw Cen MT Condensed"/>
              </w:rPr>
              <w:t>: Occupied/Non occupied</w:t>
            </w:r>
            <w:r>
              <w:rPr>
                <w:rFonts w:ascii="Tw Cen MT Condensed" w:hAnsi="Tw Cen MT Condensed"/>
              </w:rPr>
              <w:t xml:space="preserve">   </w:t>
            </w:r>
          </w:p>
          <w:p w14:paraId="6BD87E48" w14:textId="47FD44A1" w:rsidR="00297195" w:rsidRPr="00183DE1" w:rsidRDefault="00297195" w:rsidP="00674476">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Income</w:t>
            </w:r>
            <w:r w:rsidR="00FB70F6">
              <w:rPr>
                <w:rFonts w:ascii="Tw Cen MT Condensed" w:hAnsi="Tw Cen MT Condensed"/>
              </w:rPr>
              <w:t>: high/Medium/Low</w:t>
            </w:r>
          </w:p>
          <w:p w14:paraId="31F6C4F0" w14:textId="6B718258" w:rsidR="00297195" w:rsidRPr="00674476" w:rsidRDefault="00297195" w:rsidP="00674476">
            <w:pPr>
              <w:pStyle w:val="ListParagraph"/>
              <w:numPr>
                <w:ilvl w:val="0"/>
                <w:numId w:val="7"/>
              </w:numPr>
              <w:spacing w:after="0" w:line="240" w:lineRule="auto"/>
              <w:ind w:left="279" w:hanging="180"/>
              <w:jc w:val="both"/>
              <w:rPr>
                <w:rFonts w:ascii="Tw Cen MT Condensed" w:hAnsi="Tw Cen MT Condensed"/>
                <w:sz w:val="20"/>
                <w:szCs w:val="20"/>
              </w:rPr>
            </w:pPr>
            <w:r w:rsidRPr="00183DE1">
              <w:rPr>
                <w:rFonts w:ascii="Tw Cen MT Condensed" w:hAnsi="Tw Cen MT Condensed"/>
              </w:rPr>
              <w:t xml:space="preserve">Geographical location: rural, urban, </w:t>
            </w:r>
            <w:r>
              <w:rPr>
                <w:rFonts w:ascii="Tw Cen MT Condensed" w:hAnsi="Tw Cen MT Condensed"/>
              </w:rPr>
              <w:t>Division, District, Upazila</w:t>
            </w:r>
          </w:p>
        </w:tc>
        <w:tc>
          <w:tcPr>
            <w:tcW w:w="0" w:type="auto"/>
            <w:shd w:val="clear" w:color="auto" w:fill="auto"/>
          </w:tcPr>
          <w:p w14:paraId="62EDFC2F" w14:textId="77777777" w:rsidR="00297195" w:rsidRDefault="00297195" w:rsidP="00406F3B">
            <w:pPr>
              <w:pStyle w:val="NoSpacing"/>
              <w:rPr>
                <w:bCs/>
                <w:szCs w:val="20"/>
              </w:rPr>
            </w:pPr>
            <w:r>
              <w:t>Triennial</w:t>
            </w:r>
          </w:p>
        </w:tc>
        <w:tc>
          <w:tcPr>
            <w:tcW w:w="0" w:type="auto"/>
            <w:shd w:val="clear" w:color="auto" w:fill="auto"/>
          </w:tcPr>
          <w:p w14:paraId="5EF07E79" w14:textId="77777777" w:rsidR="00297195" w:rsidRDefault="00297195" w:rsidP="00406F3B">
            <w:pPr>
              <w:jc w:val="center"/>
              <w:rPr>
                <w:bCs/>
                <w:szCs w:val="20"/>
              </w:rPr>
            </w:pPr>
            <w:r>
              <w:rPr>
                <w:bCs/>
                <w:szCs w:val="20"/>
              </w:rPr>
              <w:t>Group 3</w:t>
            </w:r>
          </w:p>
        </w:tc>
        <w:tc>
          <w:tcPr>
            <w:tcW w:w="0" w:type="auto"/>
            <w:shd w:val="clear" w:color="auto" w:fill="auto"/>
          </w:tcPr>
          <w:p w14:paraId="4B30DB45" w14:textId="77777777" w:rsidR="00297195" w:rsidRDefault="00297195">
            <w:pPr>
              <w:pStyle w:val="NoSpacing"/>
            </w:pPr>
            <w:r>
              <w:t>1</w:t>
            </w:r>
            <w:r w:rsidRPr="00013ACB">
              <w:rPr>
                <w:vertAlign w:val="superscript"/>
              </w:rPr>
              <w:t>st</w:t>
            </w:r>
            <w:r>
              <w:t xml:space="preserve"> Round: </w:t>
            </w:r>
          </w:p>
          <w:p w14:paraId="2C58D4D0" w14:textId="77777777" w:rsidR="00297195" w:rsidRDefault="00297195">
            <w:pPr>
              <w:pStyle w:val="NoSpacing"/>
            </w:pPr>
            <w:r>
              <w:t>December, 2020</w:t>
            </w:r>
          </w:p>
          <w:p w14:paraId="66E8F4DE" w14:textId="77777777" w:rsidR="00297195" w:rsidRDefault="00297195">
            <w:pPr>
              <w:pStyle w:val="NoSpacing"/>
            </w:pPr>
          </w:p>
          <w:p w14:paraId="1206E987" w14:textId="77777777" w:rsidR="00297195" w:rsidRDefault="00297195">
            <w:pPr>
              <w:pStyle w:val="NoSpacing"/>
            </w:pPr>
            <w:r>
              <w:t>2</w:t>
            </w:r>
            <w:r w:rsidRPr="00013ACB">
              <w:rPr>
                <w:vertAlign w:val="superscript"/>
              </w:rPr>
              <w:t>nd</w:t>
            </w:r>
            <w:r>
              <w:t xml:space="preserve"> Round: December, 2023</w:t>
            </w:r>
          </w:p>
          <w:p w14:paraId="2E39A3B4" w14:textId="77777777" w:rsidR="00297195" w:rsidRDefault="00297195">
            <w:pPr>
              <w:pStyle w:val="NoSpacing"/>
            </w:pPr>
          </w:p>
          <w:p w14:paraId="744A0B0D" w14:textId="77777777" w:rsidR="00297195" w:rsidRDefault="00297195">
            <w:pPr>
              <w:pStyle w:val="NoSpacing"/>
            </w:pPr>
            <w:r>
              <w:t>3</w:t>
            </w:r>
            <w:r w:rsidRPr="00013ACB">
              <w:rPr>
                <w:vertAlign w:val="superscript"/>
              </w:rPr>
              <w:t>rd</w:t>
            </w:r>
            <w:r>
              <w:t xml:space="preserve"> Round: </w:t>
            </w:r>
          </w:p>
          <w:p w14:paraId="5796E9AF" w14:textId="77777777" w:rsidR="00297195" w:rsidRDefault="00297195">
            <w:pPr>
              <w:pStyle w:val="NoSpacing"/>
            </w:pPr>
            <w:r>
              <w:t>December, 2026</w:t>
            </w:r>
          </w:p>
          <w:p w14:paraId="538FB112" w14:textId="77777777" w:rsidR="00297195" w:rsidRDefault="00297195">
            <w:pPr>
              <w:pStyle w:val="NoSpacing"/>
            </w:pPr>
          </w:p>
          <w:p w14:paraId="4A88D8DA" w14:textId="77777777" w:rsidR="00297195" w:rsidRDefault="00297195">
            <w:pPr>
              <w:pStyle w:val="NoSpacing"/>
            </w:pPr>
            <w:r>
              <w:t>4</w:t>
            </w:r>
            <w:r w:rsidRPr="00013ACB">
              <w:rPr>
                <w:vertAlign w:val="superscript"/>
              </w:rPr>
              <w:t>th</w:t>
            </w:r>
            <w:r>
              <w:t xml:space="preserve"> Round: </w:t>
            </w:r>
          </w:p>
          <w:p w14:paraId="7EF410D0" w14:textId="77777777" w:rsidR="00297195" w:rsidRDefault="00297195">
            <w:pPr>
              <w:pStyle w:val="NoSpacing"/>
            </w:pPr>
            <w:r>
              <w:lastRenderedPageBreak/>
              <w:t>December, 2029</w:t>
            </w:r>
          </w:p>
          <w:p w14:paraId="7435F1CC" w14:textId="77777777" w:rsidR="00297195" w:rsidRDefault="00297195">
            <w:pPr>
              <w:pStyle w:val="NoSpacing"/>
            </w:pPr>
          </w:p>
          <w:p w14:paraId="548A1139" w14:textId="77777777" w:rsidR="00297195" w:rsidRDefault="00297195">
            <w:pPr>
              <w:pStyle w:val="NoSpacing"/>
            </w:pPr>
            <w:r>
              <w:t>5</w:t>
            </w:r>
            <w:r w:rsidRPr="00013ACB">
              <w:rPr>
                <w:vertAlign w:val="superscript"/>
              </w:rPr>
              <w:t>th</w:t>
            </w:r>
            <w:r>
              <w:t xml:space="preserve"> Round: </w:t>
            </w:r>
          </w:p>
          <w:p w14:paraId="4FC3AA1F" w14:textId="77777777" w:rsidR="00297195" w:rsidRDefault="00297195">
            <w:pPr>
              <w:pStyle w:val="NoSpacing"/>
            </w:pPr>
            <w:r>
              <w:t>December, 2030</w:t>
            </w:r>
          </w:p>
          <w:p w14:paraId="20624F1D" w14:textId="1E7AD8F4" w:rsidR="00297195" w:rsidRDefault="00297195">
            <w:pPr>
              <w:pStyle w:val="NoSpacing"/>
              <w:rPr>
                <w:bCs/>
                <w:szCs w:val="20"/>
              </w:rPr>
            </w:pPr>
          </w:p>
        </w:tc>
        <w:tc>
          <w:tcPr>
            <w:tcW w:w="0" w:type="auto"/>
            <w:shd w:val="clear" w:color="auto" w:fill="auto"/>
          </w:tcPr>
          <w:p w14:paraId="7681DBEE" w14:textId="77777777" w:rsidR="00297195" w:rsidRDefault="00297195">
            <w:pPr>
              <w:pStyle w:val="NoSpacing"/>
            </w:pPr>
            <w:r>
              <w:lastRenderedPageBreak/>
              <w:t>Data will be collected through Agriculture Sample Census 2019.</w:t>
            </w:r>
          </w:p>
          <w:p w14:paraId="6EDF35D7" w14:textId="77777777" w:rsidR="00297195" w:rsidRDefault="00297195">
            <w:pPr>
              <w:pStyle w:val="NoSpacing"/>
            </w:pPr>
          </w:p>
          <w:p w14:paraId="04216707" w14:textId="77777777" w:rsidR="00297195" w:rsidRDefault="00297195">
            <w:pPr>
              <w:pStyle w:val="NoSpacing"/>
            </w:pPr>
          </w:p>
          <w:p w14:paraId="107A3D01" w14:textId="77777777" w:rsidR="00297195" w:rsidRDefault="00297195">
            <w:pPr>
              <w:pStyle w:val="NoSpacing"/>
            </w:pPr>
          </w:p>
          <w:p w14:paraId="3C831173" w14:textId="77777777" w:rsidR="00297195" w:rsidRPr="00901CCA" w:rsidRDefault="00297195">
            <w:pPr>
              <w:pStyle w:val="NoSpacing"/>
            </w:pPr>
            <w:r w:rsidRPr="00901CCA">
              <w:t>Reviewed at 6th IAEG-SDG meeting (classified as Tier II)</w:t>
            </w:r>
          </w:p>
        </w:tc>
      </w:tr>
      <w:tr w:rsidR="00297195" w14:paraId="12B78D5D" w14:textId="77777777" w:rsidTr="0085651F">
        <w:tc>
          <w:tcPr>
            <w:tcW w:w="0" w:type="auto"/>
            <w:gridSpan w:val="13"/>
            <w:shd w:val="clear" w:color="auto" w:fill="auto"/>
          </w:tcPr>
          <w:p w14:paraId="4D4A5957" w14:textId="77777777" w:rsidR="00297195" w:rsidRPr="00D838C5" w:rsidRDefault="00297195" w:rsidP="00406F3B">
            <w:pPr>
              <w:jc w:val="both"/>
              <w:rPr>
                <w:color w:val="C00000"/>
                <w:sz w:val="30"/>
                <w:szCs w:val="30"/>
              </w:rPr>
            </w:pPr>
            <w:r w:rsidRPr="00D838C5">
              <w:rPr>
                <w:color w:val="C00000"/>
                <w:sz w:val="30"/>
                <w:szCs w:val="30"/>
              </w:rPr>
              <w:lastRenderedPageBreak/>
              <w:t>Target 1.5: By 2030, build the resilience of the poor and those in vulnerable situations and reduce their exposure and vulnerability to climate-related extreme events and other economic, social and environmental shocks and disasters</w:t>
            </w:r>
          </w:p>
        </w:tc>
      </w:tr>
      <w:tr w:rsidR="00297195" w14:paraId="1FBDEF57" w14:textId="77777777" w:rsidTr="0085651F">
        <w:tc>
          <w:tcPr>
            <w:tcW w:w="0" w:type="auto"/>
            <w:shd w:val="clear" w:color="auto" w:fill="auto"/>
          </w:tcPr>
          <w:p w14:paraId="26B6F0DE" w14:textId="77777777" w:rsidR="00297195" w:rsidRPr="00F40ACF" w:rsidRDefault="00297195" w:rsidP="00406F3B">
            <w:pPr>
              <w:rPr>
                <w:szCs w:val="20"/>
              </w:rPr>
            </w:pPr>
            <w:r w:rsidRPr="00F40ACF">
              <w:rPr>
                <w:szCs w:val="20"/>
              </w:rPr>
              <w:t>1.5.1 Number of deaths, missing persons and directly affected persons attributed to disasters per 100,000 population</w:t>
            </w:r>
          </w:p>
        </w:tc>
        <w:tc>
          <w:tcPr>
            <w:tcW w:w="0" w:type="auto"/>
            <w:shd w:val="clear" w:color="auto" w:fill="auto"/>
          </w:tcPr>
          <w:p w14:paraId="53434472" w14:textId="77777777" w:rsidR="00297195" w:rsidRDefault="00297195" w:rsidP="00406F3B">
            <w:pPr>
              <w:jc w:val="center"/>
              <w:rPr>
                <w:szCs w:val="20"/>
              </w:rPr>
            </w:pPr>
            <w:r w:rsidRPr="00262FC1">
              <w:rPr>
                <w:szCs w:val="20"/>
              </w:rPr>
              <w:t>United Nations Office for Disaster Reduction (UNISDR)</w:t>
            </w:r>
          </w:p>
          <w:p w14:paraId="56A5B469" w14:textId="77777777" w:rsidR="00297195" w:rsidRDefault="00297195" w:rsidP="00406F3B">
            <w:pPr>
              <w:jc w:val="center"/>
              <w:rPr>
                <w:szCs w:val="20"/>
              </w:rPr>
            </w:pPr>
          </w:p>
          <w:p w14:paraId="2E0708AC" w14:textId="77777777" w:rsidR="00297195" w:rsidRPr="00F40ACF" w:rsidRDefault="00297195" w:rsidP="00406F3B">
            <w:pPr>
              <w:jc w:val="center"/>
              <w:rPr>
                <w:szCs w:val="20"/>
              </w:rPr>
            </w:pPr>
            <w:r>
              <w:rPr>
                <w:szCs w:val="20"/>
              </w:rPr>
              <w:t xml:space="preserve">Partner </w:t>
            </w:r>
            <w:r w:rsidRPr="00F40ACF">
              <w:rPr>
                <w:szCs w:val="20"/>
              </w:rPr>
              <w:t>Agencies:</w:t>
            </w:r>
          </w:p>
          <w:p w14:paraId="5EE470DF" w14:textId="77777777" w:rsidR="00297195" w:rsidRPr="00F40ACF" w:rsidRDefault="00297195" w:rsidP="00406F3B">
            <w:pPr>
              <w:jc w:val="center"/>
              <w:rPr>
                <w:szCs w:val="20"/>
              </w:rPr>
            </w:pPr>
            <w:r w:rsidRPr="00F40ACF">
              <w:rPr>
                <w:szCs w:val="20"/>
              </w:rPr>
              <w:t>UN-Habitat,</w:t>
            </w:r>
          </w:p>
          <w:p w14:paraId="7CCAF24D" w14:textId="77777777" w:rsidR="00297195" w:rsidRPr="00F40ACF" w:rsidRDefault="00297195" w:rsidP="00406F3B">
            <w:pPr>
              <w:jc w:val="center"/>
              <w:rPr>
                <w:szCs w:val="20"/>
              </w:rPr>
            </w:pPr>
            <w:r w:rsidRPr="00F40ACF">
              <w:rPr>
                <w:szCs w:val="20"/>
              </w:rPr>
              <w:t>UNEP,</w:t>
            </w:r>
          </w:p>
          <w:p w14:paraId="10BE6544" w14:textId="77777777" w:rsidR="00297195" w:rsidRPr="00F40ACF" w:rsidRDefault="00297195" w:rsidP="00406F3B">
            <w:pPr>
              <w:jc w:val="center"/>
              <w:rPr>
                <w:szCs w:val="20"/>
              </w:rPr>
            </w:pPr>
            <w:r w:rsidRPr="00F40ACF">
              <w:rPr>
                <w:szCs w:val="20"/>
              </w:rPr>
              <w:t>DESA Population Division</w:t>
            </w:r>
          </w:p>
        </w:tc>
        <w:tc>
          <w:tcPr>
            <w:tcW w:w="0" w:type="auto"/>
            <w:shd w:val="clear" w:color="auto" w:fill="auto"/>
          </w:tcPr>
          <w:p w14:paraId="733FADC1" w14:textId="77777777" w:rsidR="00297195" w:rsidRPr="00262FC1" w:rsidRDefault="00297195" w:rsidP="00406F3B">
            <w:pPr>
              <w:jc w:val="center"/>
              <w:rPr>
                <w:szCs w:val="20"/>
              </w:rPr>
            </w:pPr>
            <w:r w:rsidRPr="00262FC1">
              <w:rPr>
                <w:szCs w:val="20"/>
              </w:rPr>
              <w:t>Tier II</w:t>
            </w:r>
          </w:p>
        </w:tc>
        <w:tc>
          <w:tcPr>
            <w:tcW w:w="0" w:type="auto"/>
            <w:shd w:val="clear" w:color="auto" w:fill="auto"/>
          </w:tcPr>
          <w:p w14:paraId="6CF9ACF6" w14:textId="77777777" w:rsidR="00297195" w:rsidRPr="003C7A65" w:rsidRDefault="00297195" w:rsidP="00406F3B">
            <w:pPr>
              <w:jc w:val="both"/>
              <w:rPr>
                <w:b/>
                <w:bCs/>
                <w:szCs w:val="20"/>
              </w:rPr>
            </w:pPr>
            <w:r w:rsidRPr="003C7A65">
              <w:rPr>
                <w:b/>
                <w:bCs/>
                <w:szCs w:val="20"/>
              </w:rPr>
              <w:t>Definition:</w:t>
            </w:r>
          </w:p>
          <w:p w14:paraId="416D5047" w14:textId="77777777" w:rsidR="00297195" w:rsidRPr="000C4849" w:rsidRDefault="00297195" w:rsidP="00406F3B">
            <w:pPr>
              <w:jc w:val="both"/>
              <w:rPr>
                <w:bCs/>
                <w:szCs w:val="20"/>
              </w:rPr>
            </w:pPr>
            <w:r w:rsidRPr="000C4849">
              <w:rPr>
                <w:bCs/>
                <w:szCs w:val="20"/>
              </w:rPr>
              <w:t xml:space="preserve">This indicator measures the number of people who died, went missing or were directly affected by disasters per 100,000 </w:t>
            </w:r>
            <w:proofErr w:type="gramStart"/>
            <w:r w:rsidRPr="000C4849">
              <w:rPr>
                <w:bCs/>
                <w:szCs w:val="20"/>
              </w:rPr>
              <w:t>population</w:t>
            </w:r>
            <w:proofErr w:type="gramEnd"/>
            <w:r w:rsidRPr="000C4849">
              <w:rPr>
                <w:bCs/>
                <w:szCs w:val="20"/>
              </w:rPr>
              <w:t>.</w:t>
            </w:r>
          </w:p>
          <w:p w14:paraId="19AD97D3" w14:textId="77777777" w:rsidR="00297195" w:rsidRDefault="00297195" w:rsidP="00406F3B">
            <w:pPr>
              <w:jc w:val="both"/>
              <w:rPr>
                <w:b/>
                <w:bCs/>
                <w:szCs w:val="20"/>
              </w:rPr>
            </w:pPr>
          </w:p>
          <w:p w14:paraId="33A63FF0" w14:textId="77777777" w:rsidR="00297195" w:rsidRPr="003C7A65" w:rsidRDefault="00297195" w:rsidP="00406F3B">
            <w:pPr>
              <w:jc w:val="both"/>
              <w:rPr>
                <w:b/>
                <w:bCs/>
                <w:szCs w:val="20"/>
              </w:rPr>
            </w:pPr>
            <w:r w:rsidRPr="003C7A65">
              <w:rPr>
                <w:b/>
                <w:bCs/>
                <w:szCs w:val="20"/>
              </w:rPr>
              <w:t>Concepts:</w:t>
            </w:r>
          </w:p>
          <w:p w14:paraId="0BEF9C34" w14:textId="77777777" w:rsidR="00297195" w:rsidRPr="000C4849" w:rsidRDefault="00297195" w:rsidP="00406F3B">
            <w:pPr>
              <w:jc w:val="both"/>
              <w:rPr>
                <w:bCs/>
                <w:szCs w:val="20"/>
              </w:rPr>
            </w:pPr>
            <w:r w:rsidRPr="003C7A65">
              <w:rPr>
                <w:b/>
                <w:bCs/>
                <w:szCs w:val="20"/>
              </w:rPr>
              <w:t>Death:</w:t>
            </w:r>
            <w:r w:rsidRPr="000C4849">
              <w:rPr>
                <w:bCs/>
                <w:szCs w:val="20"/>
              </w:rPr>
              <w:t xml:space="preserve"> The number of people who died during the disaster, or directly after, as a direct result of the hazardous event.</w:t>
            </w:r>
          </w:p>
          <w:p w14:paraId="02482B58" w14:textId="77777777" w:rsidR="00297195" w:rsidRPr="000C4849" w:rsidRDefault="00297195" w:rsidP="00406F3B">
            <w:pPr>
              <w:jc w:val="both"/>
              <w:rPr>
                <w:bCs/>
                <w:szCs w:val="20"/>
              </w:rPr>
            </w:pPr>
            <w:r w:rsidRPr="003C7A65">
              <w:rPr>
                <w:b/>
                <w:bCs/>
                <w:szCs w:val="20"/>
              </w:rPr>
              <w:t>Missing:</w:t>
            </w:r>
            <w:r w:rsidRPr="000C4849">
              <w:rPr>
                <w:bCs/>
                <w:szCs w:val="20"/>
              </w:rPr>
              <w:t xml:space="preserve"> The number of people whose whereabouts is unknown since the hazardous event. It includes people who are presumed dead, for whom there is no physical evidence such as a body, and for which an official/legal report has been filed with competent authorities.</w:t>
            </w:r>
          </w:p>
          <w:p w14:paraId="25B38824" w14:textId="77777777" w:rsidR="00297195" w:rsidRPr="000C4849" w:rsidRDefault="00297195" w:rsidP="00406F3B">
            <w:pPr>
              <w:jc w:val="both"/>
              <w:rPr>
                <w:bCs/>
                <w:szCs w:val="20"/>
              </w:rPr>
            </w:pPr>
            <w:r w:rsidRPr="003C7A65">
              <w:rPr>
                <w:b/>
                <w:bCs/>
                <w:szCs w:val="20"/>
              </w:rPr>
              <w:t>Directly affected:</w:t>
            </w:r>
            <w:r w:rsidRPr="000C4849">
              <w:rPr>
                <w:bCs/>
                <w:szCs w:val="20"/>
              </w:rPr>
              <w:t xml:space="preserve">  The number of people who have suffered injury, illness or other health effects; who were evacuated, displaced, relocated or have suffered direct damage to their livelihoods, economic, physical, social, cultural and environmental assets. Indirectly affected are people who have suffered consequences, other than or in addition to direct effects, over time, due to disruption or changes in economy, critical infrastructure, basic services, commerce or work, or social, health and psychological consequences.</w:t>
            </w:r>
          </w:p>
          <w:p w14:paraId="737A9742" w14:textId="77777777" w:rsidR="00297195" w:rsidRDefault="00297195" w:rsidP="00406F3B">
            <w:pPr>
              <w:jc w:val="both"/>
              <w:rPr>
                <w:b/>
                <w:bCs/>
                <w:szCs w:val="20"/>
              </w:rPr>
            </w:pPr>
          </w:p>
          <w:p w14:paraId="1B2231AD" w14:textId="77777777" w:rsidR="00297195" w:rsidRDefault="00297195" w:rsidP="00406F3B">
            <w:pPr>
              <w:jc w:val="both"/>
              <w:rPr>
                <w:szCs w:val="20"/>
              </w:rPr>
            </w:pPr>
          </w:p>
          <w:p w14:paraId="09D86E4D" w14:textId="77777777" w:rsidR="00297195" w:rsidRPr="000C4849" w:rsidRDefault="00297195" w:rsidP="00406F3B">
            <w:pPr>
              <w:jc w:val="both"/>
              <w:rPr>
                <w:b/>
                <w:szCs w:val="20"/>
              </w:rPr>
            </w:pPr>
            <w:r w:rsidRPr="000C4849">
              <w:rPr>
                <w:b/>
                <w:szCs w:val="20"/>
              </w:rPr>
              <w:t>Computation Method:</w:t>
            </w:r>
          </w:p>
          <w:p w14:paraId="4F0C3924" w14:textId="77777777" w:rsidR="00297195" w:rsidRPr="003C7A65" w:rsidRDefault="00297195" w:rsidP="00406F3B">
            <w:pPr>
              <w:jc w:val="both"/>
              <w:rPr>
                <w:szCs w:val="20"/>
              </w:rPr>
            </w:pPr>
            <w:r w:rsidRPr="003C7A65">
              <w:rPr>
                <w:szCs w:val="20"/>
              </w:rPr>
              <w:t>Related indicators as of February 2020</w:t>
            </w:r>
          </w:p>
          <w:p w14:paraId="22F90A9F" w14:textId="77777777" w:rsidR="00297195" w:rsidRPr="003C7A65" w:rsidRDefault="00297195" w:rsidP="00406F3B">
            <w:pPr>
              <w:jc w:val="both"/>
              <w:rPr>
                <w:szCs w:val="20"/>
              </w:rPr>
            </w:pPr>
          </w:p>
          <w:p w14:paraId="471948DB" w14:textId="77777777" w:rsidR="00297195" w:rsidRPr="003C7A65" w:rsidRDefault="004B4A24" w:rsidP="00406F3B">
            <w:pPr>
              <w:jc w:val="both"/>
              <w:rPr>
                <w:szCs w:val="20"/>
              </w:rPr>
            </w:pPr>
            <m:oMathPara>
              <m:oMath>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X</m:t>
                    </m:r>
                  </m:e>
                  <m:sub/>
                </m:sSub>
                <m:r>
                  <w:rPr>
                    <w:rFonts w:ascii="Cambria Math" w:eastAsia="Times New Roman" w:hAnsi="Cambria Math" w:cs="Times New Roman"/>
                    <w:noProof/>
                    <w:color w:val="4A4A4A"/>
                    <w:sz w:val="21"/>
                    <w:szCs w:val="21"/>
                    <w:lang w:eastAsia="en-GB"/>
                  </w:rPr>
                  <m:t>=</m:t>
                </m:r>
                <m:f>
                  <m:fPr>
                    <m:ctrlPr>
                      <w:rPr>
                        <w:rFonts w:ascii="Cambria Math" w:eastAsia="Times New Roman" w:hAnsi="Cambria Math" w:cs="Times New Roman"/>
                        <w:i/>
                        <w:noProof/>
                        <w:color w:val="4A4A4A"/>
                        <w:sz w:val="21"/>
                        <w:szCs w:val="21"/>
                        <w:lang w:eastAsia="en-GB"/>
                      </w:rPr>
                    </m:ctrlPr>
                  </m:fPr>
                  <m:num>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A</m:t>
                        </m:r>
                      </m:e>
                      <m:sub>
                        <m:r>
                          <w:rPr>
                            <w:rFonts w:ascii="Cambria Math" w:eastAsia="Times New Roman" w:hAnsi="Cambria Math" w:cs="Times New Roman"/>
                            <w:noProof/>
                            <w:color w:val="4A4A4A"/>
                            <w:sz w:val="21"/>
                            <w:szCs w:val="21"/>
                            <w:lang w:eastAsia="en-GB"/>
                          </w:rPr>
                          <m:t>2</m:t>
                        </m:r>
                      </m:sub>
                    </m:sSub>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A</m:t>
                        </m:r>
                      </m:e>
                      <m:sub>
                        <m:r>
                          <w:rPr>
                            <w:rFonts w:ascii="Cambria Math" w:eastAsia="Times New Roman" w:hAnsi="Cambria Math" w:cs="Times New Roman"/>
                            <w:noProof/>
                            <w:color w:val="4A4A4A"/>
                            <w:sz w:val="21"/>
                            <w:szCs w:val="21"/>
                            <w:lang w:eastAsia="en-GB"/>
                          </w:rPr>
                          <m:t>3</m:t>
                        </m:r>
                      </m:sub>
                    </m:sSub>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B</m:t>
                        </m:r>
                      </m:e>
                      <m:sub>
                        <m:r>
                          <w:rPr>
                            <w:rFonts w:ascii="Cambria Math" w:eastAsia="Times New Roman" w:hAnsi="Cambria Math" w:cs="Times New Roman"/>
                            <w:noProof/>
                            <w:color w:val="4A4A4A"/>
                            <w:sz w:val="21"/>
                            <w:szCs w:val="21"/>
                            <w:lang w:eastAsia="en-GB"/>
                          </w:rPr>
                          <m:t>1</m:t>
                        </m:r>
                      </m:sub>
                    </m:sSub>
                    <m:r>
                      <w:rPr>
                        <w:rFonts w:ascii="Cambria Math" w:eastAsia="Times New Roman" w:hAnsi="Cambria Math" w:cs="Times New Roman"/>
                        <w:noProof/>
                        <w:color w:val="4A4A4A"/>
                        <w:sz w:val="21"/>
                        <w:szCs w:val="21"/>
                        <w:lang w:eastAsia="en-GB"/>
                      </w:rPr>
                      <m:t>)</m:t>
                    </m:r>
                  </m:num>
                  <m:den>
                    <m:r>
                      <w:rPr>
                        <w:rFonts w:ascii="Cambria Math" w:eastAsia="Times New Roman" w:hAnsi="Cambria Math" w:cs="Times New Roman"/>
                        <w:noProof/>
                        <w:color w:val="4A4A4A"/>
                        <w:sz w:val="21"/>
                        <w:szCs w:val="21"/>
                        <w:lang w:eastAsia="en-GB"/>
                      </w:rPr>
                      <m:t>Global Population</m:t>
                    </m:r>
                  </m:den>
                </m:f>
                <m:r>
                  <w:rPr>
                    <w:rFonts w:ascii="Cambria Math" w:eastAsia="Times New Roman" w:hAnsi="Cambria Math" w:cs="Times New Roman"/>
                    <w:noProof/>
                    <w:color w:val="4A4A4A"/>
                    <w:sz w:val="21"/>
                    <w:szCs w:val="21"/>
                    <w:lang w:eastAsia="en-GB"/>
                  </w:rPr>
                  <m:t xml:space="preserve"> ×100,000</m:t>
                </m:r>
              </m:oMath>
            </m:oMathPara>
          </w:p>
          <w:p w14:paraId="300CE442" w14:textId="77777777" w:rsidR="00297195" w:rsidRPr="003C7A65" w:rsidRDefault="00297195" w:rsidP="00406F3B">
            <w:pPr>
              <w:jc w:val="both"/>
              <w:rPr>
                <w:szCs w:val="20"/>
              </w:rPr>
            </w:pPr>
            <w:r w:rsidRPr="003C7A65">
              <w:rPr>
                <w:szCs w:val="20"/>
              </w:rPr>
              <w:t>Where:</w:t>
            </w:r>
          </w:p>
          <w:p w14:paraId="799D84A0" w14:textId="77777777" w:rsidR="00297195" w:rsidRPr="003C7A65" w:rsidRDefault="00297195" w:rsidP="00406F3B">
            <w:pPr>
              <w:jc w:val="both"/>
              <w:rPr>
                <w:szCs w:val="20"/>
              </w:rPr>
            </w:pPr>
            <w:r w:rsidRPr="003C7A65">
              <w:rPr>
                <w:szCs w:val="20"/>
              </w:rPr>
              <w:t xml:space="preserve">A2  Number of deaths attributed to disasters; </w:t>
            </w:r>
          </w:p>
          <w:p w14:paraId="2AF5E75C" w14:textId="77777777" w:rsidR="00297195" w:rsidRPr="003C7A65" w:rsidRDefault="00297195" w:rsidP="00406F3B">
            <w:pPr>
              <w:jc w:val="both"/>
              <w:rPr>
                <w:szCs w:val="20"/>
              </w:rPr>
            </w:pPr>
            <w:r w:rsidRPr="003C7A65">
              <w:rPr>
                <w:szCs w:val="20"/>
              </w:rPr>
              <w:t xml:space="preserve">A3 Number of missing persons attributed to disasters; and </w:t>
            </w:r>
          </w:p>
          <w:p w14:paraId="36B98A5E" w14:textId="77777777" w:rsidR="00297195" w:rsidRDefault="00297195" w:rsidP="00406F3B">
            <w:pPr>
              <w:jc w:val="both"/>
              <w:rPr>
                <w:szCs w:val="20"/>
              </w:rPr>
            </w:pPr>
            <w:r w:rsidRPr="003C7A65">
              <w:rPr>
                <w:szCs w:val="20"/>
              </w:rPr>
              <w:t>B1 Number of directly affected people attributed to disasters.</w:t>
            </w:r>
          </w:p>
          <w:p w14:paraId="06FDF8BE" w14:textId="77777777" w:rsidR="00297195" w:rsidRDefault="00297195" w:rsidP="00406F3B">
            <w:pPr>
              <w:jc w:val="both"/>
              <w:rPr>
                <w:szCs w:val="20"/>
              </w:rPr>
            </w:pPr>
          </w:p>
          <w:p w14:paraId="4F42A935" w14:textId="36CF95D7" w:rsidR="00297195" w:rsidRPr="00262FC1" w:rsidRDefault="00297195" w:rsidP="00406F3B">
            <w:pPr>
              <w:jc w:val="both"/>
              <w:rPr>
                <w:szCs w:val="20"/>
              </w:rPr>
            </w:pPr>
          </w:p>
        </w:tc>
        <w:tc>
          <w:tcPr>
            <w:tcW w:w="0" w:type="auto"/>
            <w:shd w:val="clear" w:color="auto" w:fill="auto"/>
          </w:tcPr>
          <w:p w14:paraId="4B6245E6" w14:textId="77777777" w:rsidR="00297195" w:rsidRPr="00960F8D" w:rsidRDefault="00297195" w:rsidP="00406F3B">
            <w:pPr>
              <w:jc w:val="both"/>
              <w:rPr>
                <w:rFonts w:cs="Calibri"/>
                <w:color w:val="4A4A4A"/>
                <w:szCs w:val="20"/>
              </w:rPr>
            </w:pPr>
            <w:r>
              <w:rPr>
                <w:rFonts w:cs="Calibri"/>
                <w:color w:val="4A4A4A"/>
                <w:szCs w:val="20"/>
              </w:rPr>
              <w:t xml:space="preserve">Administrative Record: </w:t>
            </w:r>
            <w:r w:rsidRPr="004570AC">
              <w:rPr>
                <w:rFonts w:cs="Calibri"/>
                <w:color w:val="4A4A4A"/>
                <w:szCs w:val="20"/>
              </w:rPr>
              <w:t>National disaster loss database, reported to UNISDR</w:t>
            </w:r>
          </w:p>
        </w:tc>
        <w:tc>
          <w:tcPr>
            <w:tcW w:w="0" w:type="auto"/>
            <w:shd w:val="clear" w:color="auto" w:fill="auto"/>
          </w:tcPr>
          <w:p w14:paraId="142054C2" w14:textId="77777777" w:rsidR="00297195" w:rsidRPr="004570AC" w:rsidRDefault="00297195" w:rsidP="00406F3B">
            <w:pPr>
              <w:jc w:val="center"/>
              <w:rPr>
                <w:rFonts w:cs="Calibri"/>
                <w:color w:val="4A4A4A"/>
                <w:szCs w:val="20"/>
              </w:rPr>
            </w:pPr>
            <w:r>
              <w:rPr>
                <w:rFonts w:cs="Calibri"/>
                <w:color w:val="4A4A4A"/>
                <w:szCs w:val="20"/>
              </w:rPr>
              <w:t>N</w:t>
            </w:r>
            <w:r w:rsidRPr="004570AC">
              <w:rPr>
                <w:rFonts w:cs="Calibri"/>
                <w:color w:val="4A4A4A"/>
                <w:szCs w:val="20"/>
              </w:rPr>
              <w:t>ational disaster management agencies, civil protection agencies, and meteorological</w:t>
            </w:r>
          </w:p>
          <w:p w14:paraId="376065E7" w14:textId="77777777" w:rsidR="00297195" w:rsidRDefault="00297195" w:rsidP="00406F3B">
            <w:pPr>
              <w:jc w:val="center"/>
              <w:rPr>
                <w:rFonts w:cs="Calibri"/>
                <w:color w:val="4A4A4A"/>
                <w:szCs w:val="20"/>
              </w:rPr>
            </w:pPr>
            <w:r w:rsidRPr="004570AC">
              <w:rPr>
                <w:rFonts w:cs="Calibri"/>
                <w:color w:val="4A4A4A"/>
                <w:szCs w:val="20"/>
              </w:rPr>
              <w:t>agencies, and disaster data collected by line ministries</w:t>
            </w:r>
          </w:p>
        </w:tc>
        <w:tc>
          <w:tcPr>
            <w:tcW w:w="0" w:type="auto"/>
            <w:shd w:val="clear" w:color="auto" w:fill="auto"/>
          </w:tcPr>
          <w:p w14:paraId="08321714" w14:textId="2AFDDC19" w:rsidR="00297195" w:rsidRDefault="00297195" w:rsidP="00406F3B">
            <w:pPr>
              <w:jc w:val="both"/>
              <w:rPr>
                <w:szCs w:val="20"/>
              </w:rPr>
            </w:pPr>
          </w:p>
          <w:p w14:paraId="04AC0AAC" w14:textId="77777777" w:rsidR="00297195" w:rsidRDefault="00297195" w:rsidP="00406F3B">
            <w:pPr>
              <w:jc w:val="both"/>
              <w:rPr>
                <w:rFonts w:eastAsia="Times New Roman" w:cs="Times New Roman"/>
                <w:color w:val="000000" w:themeColor="text1"/>
                <w:szCs w:val="20"/>
              </w:rPr>
            </w:pPr>
            <w:r w:rsidRPr="00BC6F10">
              <w:rPr>
                <w:rFonts w:eastAsia="Times New Roman" w:cs="Times New Roman"/>
                <w:color w:val="000000" w:themeColor="text1"/>
                <w:szCs w:val="20"/>
              </w:rPr>
              <w:t>BDRHS, BBS</w:t>
            </w:r>
          </w:p>
          <w:p w14:paraId="572228FF" w14:textId="77777777" w:rsidR="00297195" w:rsidRDefault="00297195" w:rsidP="00406F3B">
            <w:pPr>
              <w:jc w:val="both"/>
              <w:rPr>
                <w:rFonts w:eastAsia="Times New Roman" w:cs="Times New Roman"/>
                <w:color w:val="000000" w:themeColor="text1"/>
                <w:szCs w:val="20"/>
              </w:rPr>
            </w:pPr>
          </w:p>
          <w:p w14:paraId="548BA789" w14:textId="77777777" w:rsidR="00297195" w:rsidRPr="004570AC" w:rsidRDefault="00297195" w:rsidP="00406F3B">
            <w:pPr>
              <w:jc w:val="both"/>
              <w:rPr>
                <w:szCs w:val="20"/>
              </w:rPr>
            </w:pPr>
          </w:p>
        </w:tc>
        <w:tc>
          <w:tcPr>
            <w:tcW w:w="0" w:type="auto"/>
            <w:shd w:val="clear" w:color="auto" w:fill="auto"/>
          </w:tcPr>
          <w:p w14:paraId="01507AB1" w14:textId="004BE0AC" w:rsidR="00297195" w:rsidRDefault="00297195" w:rsidP="00406F3B">
            <w:pPr>
              <w:jc w:val="both"/>
              <w:rPr>
                <w:szCs w:val="20"/>
              </w:rPr>
            </w:pPr>
          </w:p>
          <w:p w14:paraId="077F7EBE" w14:textId="77777777" w:rsidR="00297195" w:rsidRDefault="00297195" w:rsidP="00406F3B">
            <w:pPr>
              <w:jc w:val="both"/>
              <w:rPr>
                <w:rFonts w:eastAsia="Times New Roman" w:cs="Times New Roman"/>
                <w:color w:val="000000" w:themeColor="text1"/>
                <w:szCs w:val="20"/>
              </w:rPr>
            </w:pPr>
            <w:r w:rsidRPr="00BC6F10">
              <w:rPr>
                <w:rFonts w:eastAsia="Times New Roman" w:cs="Times New Roman"/>
                <w:color w:val="000000" w:themeColor="text1"/>
                <w:szCs w:val="20"/>
              </w:rPr>
              <w:t>BDRHS, BBS</w:t>
            </w:r>
          </w:p>
          <w:p w14:paraId="412DF978" w14:textId="77777777" w:rsidR="00297195" w:rsidRDefault="00297195" w:rsidP="00406F3B">
            <w:pPr>
              <w:jc w:val="both"/>
              <w:rPr>
                <w:rFonts w:eastAsia="Times New Roman" w:cs="Times New Roman"/>
                <w:color w:val="000000" w:themeColor="text1"/>
                <w:szCs w:val="20"/>
              </w:rPr>
            </w:pPr>
          </w:p>
          <w:p w14:paraId="1BC849A6" w14:textId="77777777" w:rsidR="00297195" w:rsidRDefault="00297195" w:rsidP="00406F3B">
            <w:pPr>
              <w:jc w:val="both"/>
            </w:pPr>
            <w:r>
              <w:t>DDM, MoDMR</w:t>
            </w:r>
          </w:p>
          <w:p w14:paraId="6DBE2764" w14:textId="77777777" w:rsidR="00297195" w:rsidRDefault="00297195" w:rsidP="00406F3B">
            <w:pPr>
              <w:jc w:val="both"/>
            </w:pPr>
          </w:p>
          <w:p w14:paraId="32FA091C" w14:textId="77777777" w:rsidR="00297195" w:rsidRDefault="00297195" w:rsidP="00406F3B">
            <w:pPr>
              <w:jc w:val="both"/>
              <w:rPr>
                <w:szCs w:val="20"/>
              </w:rPr>
            </w:pPr>
            <w:r>
              <w:t>Administrative Record</w:t>
            </w:r>
          </w:p>
        </w:tc>
        <w:tc>
          <w:tcPr>
            <w:tcW w:w="0" w:type="auto"/>
            <w:shd w:val="clear" w:color="auto" w:fill="auto"/>
          </w:tcPr>
          <w:p w14:paraId="501F765B" w14:textId="143F9337" w:rsidR="00297195" w:rsidRPr="00FB70F6" w:rsidRDefault="00297195" w:rsidP="00A44C13"/>
          <w:p w14:paraId="58C4162C" w14:textId="280E6D70" w:rsidR="00297195" w:rsidRPr="001E2AB8" w:rsidRDefault="00297195" w:rsidP="00510E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Income</w:t>
            </w:r>
            <w:r w:rsidR="00FB70F6">
              <w:rPr>
                <w:rFonts w:ascii="Tw Cen MT Condensed" w:hAnsi="Tw Cen MT Condensed"/>
              </w:rPr>
              <w:t>: High/medium/low</w:t>
            </w:r>
          </w:p>
          <w:p w14:paraId="75936D0C" w14:textId="5F868AA4" w:rsidR="00297195" w:rsidRPr="001E2AB8" w:rsidRDefault="00297195" w:rsidP="00510E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Event</w:t>
            </w:r>
            <w:r w:rsidR="003C7A4A">
              <w:rPr>
                <w:rFonts w:ascii="Tw Cen MT Condensed" w:hAnsi="Tw Cen MT Condensed"/>
              </w:rPr>
              <w:t xml:space="preserve"> (as occurred)</w:t>
            </w:r>
          </w:p>
          <w:p w14:paraId="33CB681C" w14:textId="77777777" w:rsidR="00297195" w:rsidRPr="001E2AB8" w:rsidRDefault="00297195" w:rsidP="00510E72">
            <w:pPr>
              <w:pStyle w:val="ListParagraph"/>
              <w:numPr>
                <w:ilvl w:val="0"/>
                <w:numId w:val="48"/>
              </w:numPr>
              <w:spacing w:after="0" w:line="240" w:lineRule="auto"/>
              <w:ind w:left="160" w:hanging="160"/>
              <w:rPr>
                <w:rFonts w:ascii="Tw Cen MT Condensed" w:hAnsi="Tw Cen MT Condensed"/>
              </w:rPr>
            </w:pPr>
            <w:r w:rsidRPr="001E2AB8">
              <w:rPr>
                <w:rFonts w:ascii="Tw Cen MT Condensed" w:hAnsi="Tw Cen MT Condensed"/>
              </w:rPr>
              <w:t>Hazard family: IRDR classification</w:t>
            </w:r>
          </w:p>
          <w:p w14:paraId="1D65D2AA" w14:textId="77777777" w:rsidR="00297195" w:rsidRPr="005F15DC" w:rsidRDefault="00297195" w:rsidP="00510E72">
            <w:pPr>
              <w:pStyle w:val="ListParagraph"/>
              <w:numPr>
                <w:ilvl w:val="0"/>
                <w:numId w:val="48"/>
              </w:numPr>
              <w:spacing w:after="0" w:line="240" w:lineRule="auto"/>
              <w:ind w:left="160" w:hanging="160"/>
              <w:rPr>
                <w:rFonts w:ascii="Tw Cen MT Condensed" w:hAnsi="Tw Cen MT Condensed"/>
              </w:rPr>
            </w:pPr>
            <w:r w:rsidRPr="005F15DC">
              <w:rPr>
                <w:rFonts w:ascii="Tw Cen MT Condensed" w:hAnsi="Tw Cen MT Condensed"/>
              </w:rPr>
              <w:t>Disaster-related victims: dead,  missed, directly affected</w:t>
            </w:r>
          </w:p>
          <w:p w14:paraId="664F8B16" w14:textId="77777777" w:rsidR="00297195" w:rsidRPr="001E2AB8" w:rsidRDefault="00297195" w:rsidP="00510E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Age</w:t>
            </w:r>
          </w:p>
          <w:p w14:paraId="1497C833" w14:textId="77777777" w:rsidR="00297195" w:rsidRPr="001E2AB8" w:rsidRDefault="00297195" w:rsidP="00510E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Hazard type</w:t>
            </w:r>
          </w:p>
          <w:p w14:paraId="1DE81403" w14:textId="77777777" w:rsidR="00297195" w:rsidRPr="001E2AB8" w:rsidRDefault="00297195" w:rsidP="00510E72">
            <w:pPr>
              <w:pStyle w:val="ListParagraph"/>
              <w:numPr>
                <w:ilvl w:val="0"/>
                <w:numId w:val="48"/>
              </w:numPr>
              <w:spacing w:after="0" w:line="240" w:lineRule="auto"/>
              <w:ind w:left="160" w:hanging="160"/>
              <w:rPr>
                <w:rFonts w:ascii="Tw Cen MT Condensed" w:hAnsi="Tw Cen MT Condensed"/>
              </w:rPr>
            </w:pPr>
            <w:r w:rsidRPr="001E2AB8">
              <w:rPr>
                <w:rFonts w:ascii="Tw Cen MT Condensed" w:hAnsi="Tw Cen MT Condensed"/>
              </w:rPr>
              <w:t xml:space="preserve">Sex: </w:t>
            </w:r>
            <w:r w:rsidRPr="00C3600F">
              <w:rPr>
                <w:rFonts w:ascii="Tw Cen MT Condensed" w:hAnsi="Tw Cen MT Condensed"/>
              </w:rPr>
              <w:t>male/female</w:t>
            </w:r>
          </w:p>
          <w:p w14:paraId="6B547581" w14:textId="77777777" w:rsidR="00297195" w:rsidRPr="001E2AB8" w:rsidRDefault="00297195" w:rsidP="00510E72">
            <w:pPr>
              <w:pStyle w:val="ListParagraph"/>
              <w:numPr>
                <w:ilvl w:val="0"/>
                <w:numId w:val="48"/>
              </w:numPr>
              <w:spacing w:after="0" w:line="240" w:lineRule="auto"/>
              <w:ind w:left="160" w:hanging="160"/>
              <w:rPr>
                <w:rFonts w:ascii="Tw Cen MT Condensed" w:hAnsi="Tw Cen MT Condensed"/>
              </w:rPr>
            </w:pPr>
            <w:r w:rsidRPr="001E2AB8">
              <w:rPr>
                <w:rFonts w:ascii="Tw Cen MT Condensed" w:hAnsi="Tw Cen MT Condensed"/>
              </w:rPr>
              <w:t>Location of residence: sub-national administrative unit</w:t>
            </w:r>
          </w:p>
          <w:p w14:paraId="136DB8B9" w14:textId="222CBB78" w:rsidR="00297195" w:rsidRPr="004570AC" w:rsidRDefault="00297195" w:rsidP="00510E72">
            <w:pPr>
              <w:pStyle w:val="ListParagraph"/>
              <w:numPr>
                <w:ilvl w:val="0"/>
                <w:numId w:val="9"/>
              </w:numPr>
              <w:ind w:left="144" w:hanging="144"/>
              <w:rPr>
                <w:rFonts w:ascii="Tw Cen MT Condensed" w:hAnsi="Tw Cen MT Condensed"/>
                <w:sz w:val="20"/>
                <w:szCs w:val="20"/>
              </w:rPr>
            </w:pPr>
            <w:r w:rsidRPr="001E2AB8">
              <w:rPr>
                <w:rFonts w:ascii="Tw Cen MT Condensed" w:hAnsi="Tw Cen MT Condensed"/>
              </w:rPr>
              <w:t>Other characteristics:</w:t>
            </w:r>
          </w:p>
        </w:tc>
        <w:tc>
          <w:tcPr>
            <w:tcW w:w="0" w:type="auto"/>
            <w:shd w:val="clear" w:color="auto" w:fill="auto"/>
          </w:tcPr>
          <w:p w14:paraId="73543C5D" w14:textId="77777777" w:rsidR="00297195" w:rsidRDefault="00297195" w:rsidP="00406F3B">
            <w:pPr>
              <w:pStyle w:val="NoSpacing"/>
            </w:pPr>
            <w:r>
              <w:t xml:space="preserve">5-Yearly </w:t>
            </w:r>
          </w:p>
          <w:p w14:paraId="019CAD9B" w14:textId="77777777" w:rsidR="00297195" w:rsidRDefault="00297195" w:rsidP="00406F3B">
            <w:pPr>
              <w:pStyle w:val="NoSpacing"/>
            </w:pPr>
          </w:p>
        </w:tc>
        <w:tc>
          <w:tcPr>
            <w:tcW w:w="0" w:type="auto"/>
            <w:shd w:val="clear" w:color="auto" w:fill="auto"/>
          </w:tcPr>
          <w:p w14:paraId="72BCC37C" w14:textId="77777777" w:rsidR="00297195" w:rsidRDefault="00297195" w:rsidP="00406F3B">
            <w:pPr>
              <w:jc w:val="center"/>
              <w:rPr>
                <w:bCs/>
                <w:szCs w:val="20"/>
              </w:rPr>
            </w:pPr>
            <w:r>
              <w:rPr>
                <w:bCs/>
                <w:szCs w:val="20"/>
              </w:rPr>
              <w:t>Group 3</w:t>
            </w:r>
          </w:p>
        </w:tc>
        <w:tc>
          <w:tcPr>
            <w:tcW w:w="0" w:type="auto"/>
            <w:shd w:val="clear" w:color="auto" w:fill="auto"/>
          </w:tcPr>
          <w:p w14:paraId="4EA46462" w14:textId="77777777" w:rsidR="00297195" w:rsidRDefault="00297195" w:rsidP="00406F3B">
            <w:pPr>
              <w:pStyle w:val="NoSpacing"/>
            </w:pPr>
            <w:r>
              <w:t>1</w:t>
            </w:r>
            <w:r w:rsidRPr="00013ACB">
              <w:rPr>
                <w:vertAlign w:val="superscript"/>
              </w:rPr>
              <w:t>st</w:t>
            </w:r>
            <w:r>
              <w:t xml:space="preserve"> Round: </w:t>
            </w:r>
          </w:p>
          <w:p w14:paraId="13ABDE0B" w14:textId="77777777" w:rsidR="00297195" w:rsidRDefault="00297195" w:rsidP="00406F3B">
            <w:pPr>
              <w:pStyle w:val="NoSpacing"/>
            </w:pPr>
            <w:r>
              <w:t>2014</w:t>
            </w:r>
          </w:p>
          <w:p w14:paraId="437208B0" w14:textId="77777777" w:rsidR="00297195" w:rsidRDefault="00297195" w:rsidP="00406F3B">
            <w:pPr>
              <w:pStyle w:val="NoSpacing"/>
            </w:pPr>
            <w:r>
              <w:t>2</w:t>
            </w:r>
            <w:r w:rsidRPr="00013ACB">
              <w:rPr>
                <w:vertAlign w:val="superscript"/>
              </w:rPr>
              <w:t>nd</w:t>
            </w:r>
            <w:r>
              <w:t xml:space="preserve"> Round: </w:t>
            </w:r>
          </w:p>
          <w:p w14:paraId="08C426BA" w14:textId="77777777" w:rsidR="00297195" w:rsidRDefault="00297195" w:rsidP="00406F3B">
            <w:pPr>
              <w:pStyle w:val="NoSpacing"/>
            </w:pPr>
            <w:r>
              <w:t>December, 2020</w:t>
            </w:r>
          </w:p>
          <w:p w14:paraId="680E586D" w14:textId="77777777" w:rsidR="00297195" w:rsidRDefault="00297195" w:rsidP="00406F3B">
            <w:pPr>
              <w:pStyle w:val="NoSpacing"/>
            </w:pPr>
          </w:p>
          <w:p w14:paraId="096349E8" w14:textId="77777777" w:rsidR="00297195" w:rsidRDefault="00297195" w:rsidP="00406F3B">
            <w:pPr>
              <w:pStyle w:val="NoSpacing"/>
            </w:pPr>
            <w:r>
              <w:t>3</w:t>
            </w:r>
            <w:r w:rsidRPr="00013ACB">
              <w:rPr>
                <w:vertAlign w:val="superscript"/>
              </w:rPr>
              <w:t>rd</w:t>
            </w:r>
            <w:r>
              <w:t xml:space="preserve"> Round: </w:t>
            </w:r>
          </w:p>
          <w:p w14:paraId="411709DF" w14:textId="77777777" w:rsidR="00297195" w:rsidRDefault="00297195" w:rsidP="00406F3B">
            <w:pPr>
              <w:pStyle w:val="NoSpacing"/>
            </w:pPr>
            <w:r>
              <w:t>December, 2023</w:t>
            </w:r>
          </w:p>
          <w:p w14:paraId="2BE27985" w14:textId="77777777" w:rsidR="00297195" w:rsidRDefault="00297195" w:rsidP="00406F3B">
            <w:pPr>
              <w:pStyle w:val="NoSpacing"/>
            </w:pPr>
          </w:p>
          <w:p w14:paraId="2A5C9E10" w14:textId="77777777" w:rsidR="00297195" w:rsidRDefault="00297195" w:rsidP="00406F3B">
            <w:pPr>
              <w:pStyle w:val="NoSpacing"/>
            </w:pPr>
            <w:r>
              <w:t>4</w:t>
            </w:r>
            <w:r w:rsidRPr="00013ACB">
              <w:rPr>
                <w:vertAlign w:val="superscript"/>
              </w:rPr>
              <w:t>th</w:t>
            </w:r>
            <w:r>
              <w:t xml:space="preserve"> Round: </w:t>
            </w:r>
          </w:p>
          <w:p w14:paraId="3E288EE0" w14:textId="77777777" w:rsidR="00297195" w:rsidRDefault="00297195" w:rsidP="00406F3B">
            <w:pPr>
              <w:pStyle w:val="NoSpacing"/>
            </w:pPr>
            <w:r>
              <w:t>December, 2026</w:t>
            </w:r>
          </w:p>
          <w:p w14:paraId="34FDF0A8" w14:textId="77777777" w:rsidR="00297195" w:rsidRDefault="00297195" w:rsidP="00406F3B">
            <w:pPr>
              <w:pStyle w:val="NoSpacing"/>
            </w:pPr>
          </w:p>
          <w:p w14:paraId="0D06293D" w14:textId="77777777" w:rsidR="00297195" w:rsidRDefault="00297195" w:rsidP="00406F3B">
            <w:pPr>
              <w:pStyle w:val="NoSpacing"/>
            </w:pPr>
            <w:r>
              <w:t>5</w:t>
            </w:r>
            <w:r w:rsidRPr="00013ACB">
              <w:rPr>
                <w:vertAlign w:val="superscript"/>
              </w:rPr>
              <w:t>th</w:t>
            </w:r>
            <w:r>
              <w:t xml:space="preserve"> Round: </w:t>
            </w:r>
          </w:p>
          <w:p w14:paraId="4068B239" w14:textId="77777777" w:rsidR="00297195" w:rsidRDefault="00297195" w:rsidP="00406F3B">
            <w:pPr>
              <w:pStyle w:val="NoSpacing"/>
            </w:pPr>
            <w:r>
              <w:t>December, 2029</w:t>
            </w:r>
          </w:p>
          <w:p w14:paraId="0B89FCDE" w14:textId="31FE1A19" w:rsidR="00297195" w:rsidRDefault="00297195" w:rsidP="00406F3B">
            <w:pPr>
              <w:pStyle w:val="NoSpacing"/>
              <w:rPr>
                <w:bCs/>
                <w:szCs w:val="20"/>
              </w:rPr>
            </w:pPr>
          </w:p>
        </w:tc>
        <w:tc>
          <w:tcPr>
            <w:tcW w:w="0" w:type="auto"/>
            <w:shd w:val="clear" w:color="auto" w:fill="auto"/>
          </w:tcPr>
          <w:p w14:paraId="47B6810D" w14:textId="77777777" w:rsidR="00297195" w:rsidRDefault="00297195" w:rsidP="00406F3B">
            <w:pPr>
              <w:pStyle w:val="NoSpacing"/>
            </w:pPr>
            <w:r>
              <w:t>DPP is has been sent to Planning Commission for approval.</w:t>
            </w:r>
          </w:p>
          <w:p w14:paraId="3F81B699" w14:textId="77777777" w:rsidR="00297195" w:rsidRDefault="00297195" w:rsidP="00406F3B">
            <w:pPr>
              <w:pStyle w:val="NoSpacing"/>
            </w:pPr>
          </w:p>
          <w:p w14:paraId="6E46F47B" w14:textId="77777777" w:rsidR="00297195" w:rsidRDefault="00297195" w:rsidP="00406F3B">
            <w:pPr>
              <w:pStyle w:val="NoSpacing"/>
            </w:pPr>
            <w:r>
              <w:t>Sendai modification; Reviewed at 5th IAEG-SDG meeting (classified as Tier II)</w:t>
            </w:r>
          </w:p>
          <w:p w14:paraId="331DF7EA" w14:textId="77777777" w:rsidR="00297195" w:rsidRDefault="00297195" w:rsidP="00406F3B">
            <w:pPr>
              <w:pStyle w:val="NoSpacing"/>
            </w:pPr>
          </w:p>
          <w:p w14:paraId="1FBC8EC5" w14:textId="05C01D52" w:rsidR="00297195" w:rsidRPr="00901CCA" w:rsidRDefault="00297195" w:rsidP="00406F3B">
            <w:pPr>
              <w:pStyle w:val="NoSpacing"/>
            </w:pPr>
            <w:r>
              <w:t>11.5.1 and 13.1.1 are repeated</w:t>
            </w:r>
          </w:p>
        </w:tc>
      </w:tr>
      <w:tr w:rsidR="00297195" w14:paraId="4C810784" w14:textId="77777777" w:rsidTr="0085651F">
        <w:tc>
          <w:tcPr>
            <w:tcW w:w="0" w:type="auto"/>
            <w:shd w:val="clear" w:color="auto" w:fill="auto"/>
          </w:tcPr>
          <w:p w14:paraId="549392ED" w14:textId="77777777" w:rsidR="00297195" w:rsidRPr="00F40ACF" w:rsidRDefault="00297195" w:rsidP="00406F3B">
            <w:pPr>
              <w:rPr>
                <w:szCs w:val="20"/>
              </w:rPr>
            </w:pPr>
            <w:r w:rsidRPr="00F40ACF">
              <w:rPr>
                <w:szCs w:val="20"/>
              </w:rPr>
              <w:t xml:space="preserve">1.5.2 Direct economic loss attributed to disasters in relation to global gross domestic </w:t>
            </w:r>
            <w:r w:rsidRPr="00F40ACF">
              <w:rPr>
                <w:szCs w:val="20"/>
              </w:rPr>
              <w:lastRenderedPageBreak/>
              <w:t>product (GDP)</w:t>
            </w:r>
          </w:p>
        </w:tc>
        <w:tc>
          <w:tcPr>
            <w:tcW w:w="0" w:type="auto"/>
            <w:shd w:val="clear" w:color="auto" w:fill="auto"/>
          </w:tcPr>
          <w:p w14:paraId="3C788263" w14:textId="77777777" w:rsidR="00297195" w:rsidRDefault="00297195" w:rsidP="00406F3B">
            <w:pPr>
              <w:jc w:val="center"/>
              <w:rPr>
                <w:szCs w:val="20"/>
              </w:rPr>
            </w:pPr>
            <w:r w:rsidRPr="00262FC1">
              <w:rPr>
                <w:szCs w:val="20"/>
              </w:rPr>
              <w:lastRenderedPageBreak/>
              <w:t>United Nations Office for Disaster Reduction (UNISDR)</w:t>
            </w:r>
          </w:p>
          <w:p w14:paraId="762EE634" w14:textId="77777777" w:rsidR="00297195" w:rsidRPr="00F40ACF" w:rsidRDefault="00297195" w:rsidP="00406F3B">
            <w:pPr>
              <w:jc w:val="center"/>
              <w:rPr>
                <w:szCs w:val="20"/>
              </w:rPr>
            </w:pPr>
          </w:p>
          <w:p w14:paraId="00425BB8" w14:textId="77777777" w:rsidR="00297195" w:rsidRPr="00F40ACF" w:rsidRDefault="00297195" w:rsidP="00406F3B">
            <w:pPr>
              <w:jc w:val="center"/>
              <w:rPr>
                <w:szCs w:val="20"/>
              </w:rPr>
            </w:pPr>
            <w:r w:rsidRPr="00F40ACF">
              <w:rPr>
                <w:szCs w:val="20"/>
              </w:rPr>
              <w:lastRenderedPageBreak/>
              <w:t>Partner Agencies:</w:t>
            </w:r>
          </w:p>
          <w:p w14:paraId="0CC55B04" w14:textId="77777777" w:rsidR="00297195" w:rsidRPr="00F40ACF" w:rsidRDefault="00297195" w:rsidP="00406F3B">
            <w:pPr>
              <w:jc w:val="center"/>
              <w:rPr>
                <w:szCs w:val="20"/>
              </w:rPr>
            </w:pPr>
            <w:r w:rsidRPr="00F40ACF">
              <w:rPr>
                <w:szCs w:val="20"/>
              </w:rPr>
              <w:t>UNEP, FAO</w:t>
            </w:r>
          </w:p>
        </w:tc>
        <w:tc>
          <w:tcPr>
            <w:tcW w:w="0" w:type="auto"/>
            <w:shd w:val="clear" w:color="auto" w:fill="auto"/>
          </w:tcPr>
          <w:p w14:paraId="0A4172A3" w14:textId="77777777" w:rsidR="00297195" w:rsidRPr="00262FC1" w:rsidRDefault="00297195" w:rsidP="00406F3B">
            <w:pPr>
              <w:jc w:val="center"/>
              <w:rPr>
                <w:szCs w:val="20"/>
              </w:rPr>
            </w:pPr>
            <w:r w:rsidRPr="00262FC1">
              <w:rPr>
                <w:szCs w:val="20"/>
              </w:rPr>
              <w:lastRenderedPageBreak/>
              <w:t>Tier II</w:t>
            </w:r>
          </w:p>
        </w:tc>
        <w:tc>
          <w:tcPr>
            <w:tcW w:w="0" w:type="auto"/>
            <w:shd w:val="clear" w:color="auto" w:fill="auto"/>
          </w:tcPr>
          <w:p w14:paraId="0BD79254" w14:textId="77777777" w:rsidR="00297195" w:rsidRPr="000C0727" w:rsidRDefault="00297195" w:rsidP="00406F3B">
            <w:pPr>
              <w:jc w:val="both"/>
              <w:rPr>
                <w:b/>
                <w:bCs/>
                <w:szCs w:val="20"/>
              </w:rPr>
            </w:pPr>
            <w:r w:rsidRPr="000C0727">
              <w:rPr>
                <w:b/>
                <w:bCs/>
                <w:szCs w:val="20"/>
              </w:rPr>
              <w:t>Definition:</w:t>
            </w:r>
          </w:p>
          <w:p w14:paraId="681550CC" w14:textId="77777777" w:rsidR="00297195" w:rsidRPr="000C4849" w:rsidRDefault="00297195" w:rsidP="00406F3B">
            <w:pPr>
              <w:jc w:val="both"/>
              <w:rPr>
                <w:bCs/>
                <w:szCs w:val="20"/>
              </w:rPr>
            </w:pPr>
            <w:r w:rsidRPr="000C4849">
              <w:rPr>
                <w:bCs/>
                <w:szCs w:val="20"/>
              </w:rPr>
              <w:t>This indicator measures the ratio of direct economic loss attributed to disasters in relation to GDP.</w:t>
            </w:r>
          </w:p>
          <w:p w14:paraId="14C98276" w14:textId="77777777" w:rsidR="00297195" w:rsidRPr="000C4849" w:rsidRDefault="00297195" w:rsidP="00406F3B">
            <w:pPr>
              <w:jc w:val="both"/>
              <w:rPr>
                <w:bCs/>
                <w:szCs w:val="20"/>
              </w:rPr>
            </w:pPr>
          </w:p>
          <w:p w14:paraId="119EA3B0" w14:textId="77777777" w:rsidR="00297195" w:rsidRPr="000C0727" w:rsidRDefault="00297195" w:rsidP="00406F3B">
            <w:pPr>
              <w:jc w:val="both"/>
              <w:rPr>
                <w:b/>
                <w:bCs/>
                <w:szCs w:val="20"/>
              </w:rPr>
            </w:pPr>
            <w:r w:rsidRPr="000C0727">
              <w:rPr>
                <w:b/>
                <w:bCs/>
                <w:szCs w:val="20"/>
              </w:rPr>
              <w:t>Concepts:</w:t>
            </w:r>
          </w:p>
          <w:p w14:paraId="0DFA60F8" w14:textId="77777777" w:rsidR="00297195" w:rsidRPr="000C4849" w:rsidRDefault="00297195" w:rsidP="00406F3B">
            <w:pPr>
              <w:jc w:val="both"/>
              <w:rPr>
                <w:bCs/>
                <w:szCs w:val="20"/>
              </w:rPr>
            </w:pPr>
            <w:r w:rsidRPr="000C4849">
              <w:rPr>
                <w:bCs/>
                <w:szCs w:val="20"/>
              </w:rPr>
              <w:t>Economic Loss: Total economic impact that consists of direct economic loss and indirect economic loss.</w:t>
            </w:r>
          </w:p>
          <w:p w14:paraId="5966CF40" w14:textId="77777777" w:rsidR="00297195" w:rsidRPr="000C4849" w:rsidRDefault="00297195" w:rsidP="00406F3B">
            <w:pPr>
              <w:jc w:val="both"/>
              <w:rPr>
                <w:bCs/>
                <w:szCs w:val="20"/>
              </w:rPr>
            </w:pPr>
            <w:r w:rsidRPr="000C4849">
              <w:rPr>
                <w:bCs/>
                <w:szCs w:val="20"/>
              </w:rPr>
              <w:t>Direct economic loss: the monetary value of total or partial destruction of physical assets existing in the affected area. Direct economic loss is nearly equivalent to physical damage.</w:t>
            </w:r>
          </w:p>
          <w:p w14:paraId="5829BD30" w14:textId="77777777" w:rsidR="00297195" w:rsidRPr="000C4849" w:rsidRDefault="00297195" w:rsidP="00406F3B">
            <w:pPr>
              <w:jc w:val="both"/>
              <w:rPr>
                <w:bCs/>
                <w:szCs w:val="20"/>
              </w:rPr>
            </w:pPr>
            <w:r w:rsidRPr="000C4849">
              <w:rPr>
                <w:bCs/>
                <w:szCs w:val="20"/>
              </w:rPr>
              <w:t xml:space="preserve">Indirect economic loss: a decline in economic value added as a consequence of direct economic loss and/or </w:t>
            </w:r>
            <w:r w:rsidRPr="000C4849">
              <w:rPr>
                <w:bCs/>
                <w:szCs w:val="20"/>
              </w:rPr>
              <w:lastRenderedPageBreak/>
              <w:t>human and environmental impacts.</w:t>
            </w:r>
          </w:p>
          <w:p w14:paraId="544BCCB4" w14:textId="77777777" w:rsidR="00297195" w:rsidRDefault="00297195" w:rsidP="00406F3B">
            <w:pPr>
              <w:jc w:val="both"/>
              <w:rPr>
                <w:b/>
                <w:bCs/>
                <w:szCs w:val="20"/>
              </w:rPr>
            </w:pPr>
          </w:p>
          <w:p w14:paraId="3E325B2A" w14:textId="77777777" w:rsidR="00297195" w:rsidRDefault="00297195" w:rsidP="00406F3B">
            <w:pPr>
              <w:jc w:val="both"/>
              <w:rPr>
                <w:szCs w:val="20"/>
              </w:rPr>
            </w:pPr>
          </w:p>
          <w:p w14:paraId="664D55BC" w14:textId="77777777" w:rsidR="00297195" w:rsidRDefault="00297195" w:rsidP="00406F3B">
            <w:pPr>
              <w:jc w:val="both"/>
              <w:rPr>
                <w:szCs w:val="20"/>
              </w:rPr>
            </w:pPr>
          </w:p>
          <w:p w14:paraId="3FDEEC88" w14:textId="77777777" w:rsidR="00297195" w:rsidRPr="000C0727" w:rsidRDefault="00297195" w:rsidP="00406F3B">
            <w:pPr>
              <w:jc w:val="both"/>
              <w:rPr>
                <w:szCs w:val="20"/>
              </w:rPr>
            </w:pPr>
            <w:r w:rsidRPr="000C0727">
              <w:rPr>
                <w:szCs w:val="20"/>
              </w:rPr>
              <w:t>Computation Method:</w:t>
            </w:r>
          </w:p>
          <w:p w14:paraId="6624F213" w14:textId="77777777" w:rsidR="00297195" w:rsidRPr="000C0727" w:rsidRDefault="00297195" w:rsidP="00406F3B">
            <w:pPr>
              <w:jc w:val="both"/>
              <w:rPr>
                <w:szCs w:val="20"/>
              </w:rPr>
            </w:pPr>
            <w:r w:rsidRPr="000C0727">
              <w:rPr>
                <w:szCs w:val="20"/>
              </w:rPr>
              <w:t>Related indicators as of February 2020</w:t>
            </w:r>
          </w:p>
          <w:p w14:paraId="3267A67C" w14:textId="77777777" w:rsidR="00297195" w:rsidRPr="000C0727" w:rsidRDefault="004B4A24" w:rsidP="00406F3B">
            <w:pPr>
              <w:jc w:val="both"/>
              <w:rPr>
                <w:szCs w:val="20"/>
              </w:rPr>
            </w:pPr>
            <m:oMathPara>
              <m:oMath>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X</m:t>
                    </m:r>
                  </m:e>
                  <m:sub/>
                </m:sSub>
                <m:r>
                  <w:rPr>
                    <w:rFonts w:ascii="Cambria Math" w:eastAsia="Times New Roman" w:hAnsi="Cambria Math" w:cs="Times New Roman"/>
                    <w:noProof/>
                    <w:color w:val="4A4A4A"/>
                    <w:sz w:val="21"/>
                    <w:szCs w:val="21"/>
                    <w:lang w:eastAsia="en-GB"/>
                  </w:rPr>
                  <m:t>=</m:t>
                </m:r>
                <m:f>
                  <m:fPr>
                    <m:ctrlPr>
                      <w:rPr>
                        <w:rFonts w:ascii="Cambria Math" w:eastAsia="Times New Roman" w:hAnsi="Cambria Math" w:cs="Times New Roman"/>
                        <w:i/>
                        <w:noProof/>
                        <w:color w:val="4A4A4A"/>
                        <w:sz w:val="21"/>
                        <w:szCs w:val="21"/>
                        <w:lang w:eastAsia="en-GB"/>
                      </w:rPr>
                    </m:ctrlPr>
                  </m:fPr>
                  <m:num>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C</m:t>
                        </m:r>
                      </m:e>
                      <m:sub>
                        <m:r>
                          <w:rPr>
                            <w:rFonts w:ascii="Cambria Math" w:eastAsia="Times New Roman" w:hAnsi="Cambria Math" w:cs="Times New Roman"/>
                            <w:noProof/>
                            <w:color w:val="4A4A4A"/>
                            <w:sz w:val="21"/>
                            <w:szCs w:val="21"/>
                            <w:lang w:eastAsia="en-GB"/>
                          </w:rPr>
                          <m:t>2</m:t>
                        </m:r>
                      </m:sub>
                    </m:sSub>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C</m:t>
                        </m:r>
                      </m:e>
                      <m:sub>
                        <m:r>
                          <w:rPr>
                            <w:rFonts w:ascii="Cambria Math" w:eastAsia="Times New Roman" w:hAnsi="Cambria Math" w:cs="Times New Roman"/>
                            <w:noProof/>
                            <w:color w:val="4A4A4A"/>
                            <w:sz w:val="21"/>
                            <w:szCs w:val="21"/>
                            <w:lang w:eastAsia="en-GB"/>
                          </w:rPr>
                          <m:t>3</m:t>
                        </m:r>
                      </m:sub>
                    </m:sSub>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C</m:t>
                        </m:r>
                      </m:e>
                      <m:sub>
                        <m:r>
                          <w:rPr>
                            <w:rFonts w:ascii="Cambria Math" w:eastAsia="Times New Roman" w:hAnsi="Cambria Math" w:cs="Times New Roman"/>
                            <w:noProof/>
                            <w:color w:val="4A4A4A"/>
                            <w:sz w:val="21"/>
                            <w:szCs w:val="21"/>
                            <w:lang w:eastAsia="en-GB"/>
                          </w:rPr>
                          <m:t>4</m:t>
                        </m:r>
                      </m:sub>
                    </m:sSub>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C</m:t>
                        </m:r>
                      </m:e>
                      <m:sub>
                        <m:r>
                          <w:rPr>
                            <w:rFonts w:ascii="Cambria Math" w:eastAsia="Times New Roman" w:hAnsi="Cambria Math" w:cs="Times New Roman"/>
                            <w:noProof/>
                            <w:color w:val="4A4A4A"/>
                            <w:sz w:val="21"/>
                            <w:szCs w:val="21"/>
                            <w:lang w:eastAsia="en-GB"/>
                          </w:rPr>
                          <m:t>5</m:t>
                        </m:r>
                      </m:sub>
                    </m:sSub>
                    <m:r>
                      <w:rPr>
                        <w:rFonts w:ascii="Cambria Math" w:eastAsia="Times New Roman" w:hAnsi="Cambria Math" w:cs="Times New Roman"/>
                        <w:noProof/>
                        <w:color w:val="4A4A4A"/>
                        <w:sz w:val="21"/>
                        <w:szCs w:val="21"/>
                        <w:lang w:eastAsia="en-GB"/>
                      </w:rPr>
                      <m:t>+</m:t>
                    </m:r>
                    <m:sSub>
                      <m:sSubPr>
                        <m:ctrlPr>
                          <w:rPr>
                            <w:rFonts w:ascii="Cambria Math" w:eastAsia="Times New Roman" w:hAnsi="Cambria Math" w:cs="Times New Roman"/>
                            <w:i/>
                            <w:noProof/>
                            <w:color w:val="4A4A4A"/>
                            <w:sz w:val="21"/>
                            <w:szCs w:val="21"/>
                            <w:lang w:eastAsia="en-GB"/>
                          </w:rPr>
                        </m:ctrlPr>
                      </m:sSubPr>
                      <m:e>
                        <m:r>
                          <w:rPr>
                            <w:rFonts w:ascii="Cambria Math" w:eastAsia="Times New Roman" w:hAnsi="Cambria Math" w:cs="Times New Roman"/>
                            <w:noProof/>
                            <w:color w:val="4A4A4A"/>
                            <w:sz w:val="21"/>
                            <w:szCs w:val="21"/>
                            <w:lang w:eastAsia="en-GB"/>
                          </w:rPr>
                          <m:t>C</m:t>
                        </m:r>
                      </m:e>
                      <m:sub>
                        <m:r>
                          <w:rPr>
                            <w:rFonts w:ascii="Cambria Math" w:eastAsia="Times New Roman" w:hAnsi="Cambria Math" w:cs="Times New Roman"/>
                            <w:noProof/>
                            <w:color w:val="4A4A4A"/>
                            <w:sz w:val="21"/>
                            <w:szCs w:val="21"/>
                            <w:lang w:eastAsia="en-GB"/>
                          </w:rPr>
                          <m:t>6</m:t>
                        </m:r>
                      </m:sub>
                    </m:sSub>
                    <m:r>
                      <w:rPr>
                        <w:rFonts w:ascii="Cambria Math" w:eastAsia="Times New Roman" w:hAnsi="Cambria Math" w:cs="Times New Roman"/>
                        <w:noProof/>
                        <w:color w:val="4A4A4A"/>
                        <w:sz w:val="21"/>
                        <w:szCs w:val="21"/>
                        <w:lang w:eastAsia="en-GB"/>
                      </w:rPr>
                      <m:t>)</m:t>
                    </m:r>
                  </m:num>
                  <m:den>
                    <m:r>
                      <w:rPr>
                        <w:rFonts w:ascii="Cambria Math" w:eastAsia="Times New Roman" w:hAnsi="Cambria Math" w:cs="Times New Roman"/>
                        <w:noProof/>
                        <w:color w:val="4A4A4A"/>
                        <w:sz w:val="21"/>
                        <w:szCs w:val="21"/>
                        <w:lang w:eastAsia="en-GB"/>
                      </w:rPr>
                      <m:t>Global GDP</m:t>
                    </m:r>
                  </m:den>
                </m:f>
              </m:oMath>
            </m:oMathPara>
          </w:p>
          <w:p w14:paraId="4D6AA5E2" w14:textId="77777777" w:rsidR="00297195" w:rsidRPr="000C0727" w:rsidRDefault="00297195" w:rsidP="00406F3B">
            <w:pPr>
              <w:jc w:val="both"/>
              <w:rPr>
                <w:szCs w:val="20"/>
              </w:rPr>
            </w:pPr>
            <w:r w:rsidRPr="000C0727">
              <w:rPr>
                <w:szCs w:val="20"/>
              </w:rPr>
              <w:t>Where:</w:t>
            </w:r>
          </w:p>
          <w:p w14:paraId="0F6AA9D8" w14:textId="77777777" w:rsidR="00297195" w:rsidRPr="000C0727" w:rsidRDefault="00297195" w:rsidP="00406F3B">
            <w:pPr>
              <w:jc w:val="both"/>
              <w:rPr>
                <w:szCs w:val="20"/>
              </w:rPr>
            </w:pPr>
            <w:r w:rsidRPr="000C0727">
              <w:rPr>
                <w:szCs w:val="20"/>
              </w:rPr>
              <w:t>C2  Direct agricultural loss attributed to disasters;</w:t>
            </w:r>
          </w:p>
          <w:p w14:paraId="0A0275AD" w14:textId="77777777" w:rsidR="00297195" w:rsidRPr="000C0727" w:rsidRDefault="00297195" w:rsidP="00406F3B">
            <w:pPr>
              <w:jc w:val="both"/>
              <w:rPr>
                <w:szCs w:val="20"/>
              </w:rPr>
            </w:pPr>
            <w:r>
              <w:rPr>
                <w:szCs w:val="20"/>
              </w:rPr>
              <w:t xml:space="preserve">C3 </w:t>
            </w:r>
            <w:r w:rsidRPr="000C0727">
              <w:rPr>
                <w:szCs w:val="20"/>
              </w:rPr>
              <w:t>Direct economic loss to all other damaged or destroyed productive assets attributed to disasters;</w:t>
            </w:r>
          </w:p>
          <w:p w14:paraId="1B6915C9" w14:textId="77777777" w:rsidR="00297195" w:rsidRPr="000C0727" w:rsidRDefault="00297195" w:rsidP="00406F3B">
            <w:pPr>
              <w:jc w:val="both"/>
              <w:rPr>
                <w:szCs w:val="20"/>
              </w:rPr>
            </w:pPr>
            <w:r w:rsidRPr="000C0727">
              <w:rPr>
                <w:szCs w:val="20"/>
              </w:rPr>
              <w:t>C4  Direct economic loss in the housing sector attributed to disasters;</w:t>
            </w:r>
          </w:p>
          <w:p w14:paraId="297592BE" w14:textId="77777777" w:rsidR="00297195" w:rsidRPr="000C0727" w:rsidRDefault="00297195" w:rsidP="00406F3B">
            <w:pPr>
              <w:jc w:val="both"/>
              <w:rPr>
                <w:szCs w:val="20"/>
              </w:rPr>
            </w:pPr>
            <w:r>
              <w:rPr>
                <w:szCs w:val="20"/>
              </w:rPr>
              <w:t xml:space="preserve">C5 </w:t>
            </w:r>
            <w:r w:rsidRPr="000C0727">
              <w:rPr>
                <w:szCs w:val="20"/>
              </w:rPr>
              <w:t>Direct economic loss resulting from damaged or destroyed critical infrastructure attributed to disasters;</w:t>
            </w:r>
          </w:p>
          <w:p w14:paraId="1E8B4AE2" w14:textId="77777777" w:rsidR="00297195" w:rsidRDefault="00297195" w:rsidP="00406F3B">
            <w:pPr>
              <w:jc w:val="both"/>
              <w:rPr>
                <w:szCs w:val="20"/>
              </w:rPr>
            </w:pPr>
            <w:proofErr w:type="gramStart"/>
            <w:r w:rsidRPr="000C0727">
              <w:rPr>
                <w:szCs w:val="20"/>
              </w:rPr>
              <w:t>C6  Direct</w:t>
            </w:r>
            <w:proofErr w:type="gramEnd"/>
            <w:r w:rsidRPr="000C0727">
              <w:rPr>
                <w:szCs w:val="20"/>
              </w:rPr>
              <w:t xml:space="preserve"> economic loss to cultural heritage damaged or destroyed attributed to disasters.</w:t>
            </w:r>
          </w:p>
          <w:p w14:paraId="60C47AFE" w14:textId="77777777" w:rsidR="00297195" w:rsidRPr="00262FC1" w:rsidRDefault="00297195" w:rsidP="00406F3B">
            <w:pPr>
              <w:jc w:val="both"/>
              <w:rPr>
                <w:szCs w:val="20"/>
              </w:rPr>
            </w:pPr>
          </w:p>
        </w:tc>
        <w:tc>
          <w:tcPr>
            <w:tcW w:w="0" w:type="auto"/>
            <w:shd w:val="clear" w:color="auto" w:fill="auto"/>
          </w:tcPr>
          <w:p w14:paraId="6CAF59A2" w14:textId="77777777" w:rsidR="00297195" w:rsidRPr="004570AC" w:rsidRDefault="00297195" w:rsidP="00406F3B">
            <w:pPr>
              <w:pStyle w:val="NoSpacing"/>
            </w:pPr>
            <w:r>
              <w:lastRenderedPageBreak/>
              <w:t xml:space="preserve">Administrative Record: </w:t>
            </w:r>
            <w:r w:rsidRPr="00AE1146">
              <w:t>National disaster loss database, reported to UNISDR</w:t>
            </w:r>
          </w:p>
        </w:tc>
        <w:tc>
          <w:tcPr>
            <w:tcW w:w="0" w:type="auto"/>
            <w:shd w:val="clear" w:color="auto" w:fill="auto"/>
          </w:tcPr>
          <w:p w14:paraId="1E0E8341" w14:textId="77777777" w:rsidR="00297195" w:rsidRDefault="00297195" w:rsidP="00406F3B">
            <w:pPr>
              <w:pStyle w:val="NoSpacing"/>
            </w:pPr>
            <w:r>
              <w:t>N</w:t>
            </w:r>
            <w:r w:rsidRPr="004570AC">
              <w:t>ational disaster management agencies</w:t>
            </w:r>
          </w:p>
        </w:tc>
        <w:tc>
          <w:tcPr>
            <w:tcW w:w="0" w:type="auto"/>
            <w:shd w:val="clear" w:color="auto" w:fill="auto"/>
          </w:tcPr>
          <w:p w14:paraId="2DCE2191" w14:textId="06F14350" w:rsidR="00297195" w:rsidRDefault="00297195" w:rsidP="00406F3B">
            <w:pPr>
              <w:jc w:val="center"/>
              <w:rPr>
                <w:szCs w:val="20"/>
              </w:rPr>
            </w:pPr>
          </w:p>
          <w:p w14:paraId="57EA800E" w14:textId="77777777" w:rsidR="00297195" w:rsidRPr="004570AC" w:rsidRDefault="00297195" w:rsidP="00406F3B">
            <w:pPr>
              <w:jc w:val="center"/>
              <w:rPr>
                <w:szCs w:val="20"/>
              </w:rPr>
            </w:pPr>
            <w:r w:rsidRPr="00BC6F10">
              <w:rPr>
                <w:rFonts w:eastAsia="Times New Roman" w:cs="Times New Roman"/>
                <w:color w:val="FF0000"/>
                <w:szCs w:val="20"/>
              </w:rPr>
              <w:t>BDRHS, BBS</w:t>
            </w:r>
          </w:p>
        </w:tc>
        <w:tc>
          <w:tcPr>
            <w:tcW w:w="0" w:type="auto"/>
            <w:shd w:val="clear" w:color="auto" w:fill="auto"/>
          </w:tcPr>
          <w:p w14:paraId="51D4E0FD" w14:textId="293FB94F" w:rsidR="00297195" w:rsidRDefault="00297195" w:rsidP="00406F3B">
            <w:pPr>
              <w:jc w:val="both"/>
              <w:rPr>
                <w:szCs w:val="20"/>
              </w:rPr>
            </w:pPr>
          </w:p>
          <w:p w14:paraId="6EC833EE" w14:textId="77777777" w:rsidR="00297195" w:rsidRDefault="00297195" w:rsidP="00406F3B">
            <w:pPr>
              <w:jc w:val="both"/>
              <w:rPr>
                <w:szCs w:val="20"/>
              </w:rPr>
            </w:pPr>
            <w:r w:rsidRPr="00BC6F10">
              <w:rPr>
                <w:rFonts w:eastAsia="Times New Roman" w:cs="Times New Roman"/>
                <w:color w:val="FF0000"/>
                <w:szCs w:val="20"/>
              </w:rPr>
              <w:t>BDRHS, BBS</w:t>
            </w:r>
          </w:p>
        </w:tc>
        <w:tc>
          <w:tcPr>
            <w:tcW w:w="0" w:type="auto"/>
            <w:shd w:val="clear" w:color="auto" w:fill="auto"/>
          </w:tcPr>
          <w:p w14:paraId="117D327E" w14:textId="32B6AEF2" w:rsidR="00297195" w:rsidRDefault="00297195" w:rsidP="00406F3B">
            <w:pPr>
              <w:pStyle w:val="ListParagraph"/>
              <w:numPr>
                <w:ilvl w:val="0"/>
                <w:numId w:val="9"/>
              </w:numPr>
              <w:ind w:left="130" w:hanging="180"/>
              <w:rPr>
                <w:rFonts w:ascii="Tw Cen MT Condensed" w:hAnsi="Tw Cen MT Condensed"/>
                <w:sz w:val="20"/>
                <w:szCs w:val="20"/>
              </w:rPr>
            </w:pPr>
            <w:r>
              <w:rPr>
                <w:rFonts w:ascii="Tw Cen MT Condensed" w:hAnsi="Tw Cen MT Condensed"/>
                <w:sz w:val="20"/>
                <w:szCs w:val="20"/>
              </w:rPr>
              <w:t>by event</w:t>
            </w:r>
            <w:r w:rsidR="003C7A4A">
              <w:rPr>
                <w:rFonts w:ascii="Tw Cen MT Condensed" w:hAnsi="Tw Cen MT Condensed"/>
                <w:sz w:val="20"/>
                <w:szCs w:val="20"/>
              </w:rPr>
              <w:t xml:space="preserve"> (as occurred)</w:t>
            </w:r>
          </w:p>
          <w:p w14:paraId="0B06B729" w14:textId="77777777" w:rsidR="00297195" w:rsidRPr="0027534B" w:rsidRDefault="00297195" w:rsidP="00406F3B">
            <w:pPr>
              <w:pStyle w:val="ListParagraph"/>
              <w:numPr>
                <w:ilvl w:val="0"/>
                <w:numId w:val="9"/>
              </w:numPr>
              <w:ind w:left="130" w:hanging="180"/>
              <w:rPr>
                <w:rFonts w:ascii="Tw Cen MT Condensed" w:hAnsi="Tw Cen MT Condensed"/>
                <w:sz w:val="20"/>
                <w:szCs w:val="20"/>
              </w:rPr>
            </w:pPr>
            <w:r w:rsidRPr="0027534B">
              <w:rPr>
                <w:rFonts w:ascii="Tw Cen MT Condensed" w:hAnsi="Tw Cen MT Condensed"/>
                <w:sz w:val="20"/>
                <w:szCs w:val="20"/>
              </w:rPr>
              <w:t xml:space="preserve">by hazard type (e.g. disaggregation by climatological, hydrological, </w:t>
            </w:r>
            <w:r w:rsidRPr="0027534B">
              <w:rPr>
                <w:rFonts w:ascii="Tw Cen MT Condensed" w:hAnsi="Tw Cen MT Condensed"/>
                <w:sz w:val="20"/>
                <w:szCs w:val="20"/>
              </w:rPr>
              <w:lastRenderedPageBreak/>
              <w:t>meteorological, geophysical, biological and extra-terrestrial for natural hazards is possible following IRDR classification)</w:t>
            </w:r>
          </w:p>
          <w:p w14:paraId="1BAD59E4" w14:textId="77777777" w:rsidR="00297195" w:rsidRPr="0027534B" w:rsidRDefault="00297195" w:rsidP="00406F3B">
            <w:pPr>
              <w:pStyle w:val="ListParagraph"/>
              <w:numPr>
                <w:ilvl w:val="0"/>
                <w:numId w:val="9"/>
              </w:numPr>
              <w:ind w:left="130" w:hanging="196"/>
              <w:rPr>
                <w:rFonts w:ascii="Tw Cen MT Condensed" w:hAnsi="Tw Cen MT Condensed"/>
                <w:sz w:val="20"/>
                <w:szCs w:val="20"/>
              </w:rPr>
            </w:pPr>
            <w:r w:rsidRPr="0027534B">
              <w:rPr>
                <w:rFonts w:ascii="Tw Cen MT Condensed" w:hAnsi="Tw Cen MT Condensed"/>
                <w:sz w:val="20"/>
                <w:szCs w:val="20"/>
              </w:rPr>
              <w:t xml:space="preserve">By asset loss category </w:t>
            </w:r>
            <w:r w:rsidRPr="00AE1146">
              <w:rPr>
                <w:rFonts w:ascii="Tw Cen MT Condensed" w:hAnsi="Tw Cen MT Condensed"/>
                <w:sz w:val="20"/>
                <w:szCs w:val="20"/>
              </w:rPr>
              <w:t>(health/education/road etc.)</w:t>
            </w:r>
          </w:p>
          <w:p w14:paraId="645E49EE" w14:textId="77777777" w:rsidR="00297195" w:rsidRPr="0027534B" w:rsidRDefault="00297195" w:rsidP="00406F3B">
            <w:pPr>
              <w:pStyle w:val="ListParagraph"/>
              <w:numPr>
                <w:ilvl w:val="0"/>
                <w:numId w:val="9"/>
              </w:numPr>
              <w:ind w:left="130" w:hanging="180"/>
              <w:rPr>
                <w:rFonts w:ascii="Tw Cen MT Condensed" w:hAnsi="Tw Cen MT Condensed"/>
                <w:sz w:val="20"/>
                <w:szCs w:val="20"/>
              </w:rPr>
            </w:pPr>
            <w:r>
              <w:rPr>
                <w:rFonts w:ascii="Tw Cen MT Condensed" w:hAnsi="Tw Cen MT Condensed"/>
                <w:sz w:val="20"/>
                <w:szCs w:val="20"/>
              </w:rPr>
              <w:t>B</w:t>
            </w:r>
            <w:r w:rsidRPr="0027534B">
              <w:rPr>
                <w:rFonts w:ascii="Tw Cen MT Condensed" w:hAnsi="Tw Cen MT Condensed"/>
                <w:sz w:val="20"/>
                <w:szCs w:val="20"/>
              </w:rPr>
              <w:t xml:space="preserve">y transportation mode </w:t>
            </w:r>
          </w:p>
          <w:p w14:paraId="104721F4" w14:textId="0DA59D8D" w:rsidR="00297195" w:rsidRDefault="00297195" w:rsidP="00406F3B">
            <w:pPr>
              <w:pStyle w:val="ListParagraph"/>
              <w:numPr>
                <w:ilvl w:val="0"/>
                <w:numId w:val="9"/>
              </w:numPr>
              <w:ind w:left="130" w:hanging="180"/>
              <w:rPr>
                <w:rFonts w:ascii="Tw Cen MT Condensed" w:hAnsi="Tw Cen MT Condensed"/>
                <w:sz w:val="20"/>
                <w:szCs w:val="20"/>
              </w:rPr>
            </w:pPr>
            <w:r w:rsidRPr="0027534B">
              <w:rPr>
                <w:rFonts w:ascii="Tw Cen MT Condensed" w:hAnsi="Tw Cen MT Condensed"/>
                <w:sz w:val="20"/>
                <w:szCs w:val="20"/>
              </w:rPr>
              <w:t>By service sector</w:t>
            </w:r>
            <w:r w:rsidR="00970164">
              <w:rPr>
                <w:rFonts w:ascii="Tw Cen MT Condensed" w:hAnsi="Tw Cen MT Condensed"/>
                <w:sz w:val="20"/>
                <w:szCs w:val="20"/>
              </w:rPr>
              <w:t>: as agriculture/fishing/others</w:t>
            </w:r>
          </w:p>
          <w:p w14:paraId="13EE5619" w14:textId="77777777" w:rsidR="00297195" w:rsidRPr="004570AC" w:rsidRDefault="00297195" w:rsidP="00406F3B">
            <w:pPr>
              <w:pStyle w:val="ListParagraph"/>
              <w:numPr>
                <w:ilvl w:val="0"/>
                <w:numId w:val="9"/>
              </w:numPr>
              <w:ind w:left="130" w:hanging="180"/>
              <w:rPr>
                <w:rFonts w:ascii="Tw Cen MT Condensed" w:hAnsi="Tw Cen MT Condensed"/>
                <w:sz w:val="20"/>
                <w:szCs w:val="20"/>
              </w:rPr>
            </w:pPr>
            <w:r>
              <w:rPr>
                <w:rFonts w:ascii="Tw Cen MT Condensed" w:hAnsi="Tw Cen MT Condensed"/>
                <w:sz w:val="20"/>
                <w:szCs w:val="20"/>
              </w:rPr>
              <w:t>By division/district</w:t>
            </w:r>
          </w:p>
        </w:tc>
        <w:tc>
          <w:tcPr>
            <w:tcW w:w="0" w:type="auto"/>
            <w:shd w:val="clear" w:color="auto" w:fill="auto"/>
          </w:tcPr>
          <w:p w14:paraId="3969C95C" w14:textId="77777777" w:rsidR="00297195" w:rsidRDefault="00297195" w:rsidP="00406F3B">
            <w:pPr>
              <w:pStyle w:val="NoSpacing"/>
              <w:rPr>
                <w:bCs/>
                <w:szCs w:val="20"/>
              </w:rPr>
            </w:pPr>
            <w:r>
              <w:lastRenderedPageBreak/>
              <w:t>Five-yearly</w:t>
            </w:r>
          </w:p>
        </w:tc>
        <w:tc>
          <w:tcPr>
            <w:tcW w:w="0" w:type="auto"/>
            <w:shd w:val="clear" w:color="auto" w:fill="auto"/>
          </w:tcPr>
          <w:p w14:paraId="2A5EA4D1" w14:textId="77777777" w:rsidR="00297195" w:rsidRDefault="00297195" w:rsidP="00406F3B">
            <w:pPr>
              <w:jc w:val="center"/>
              <w:rPr>
                <w:bCs/>
                <w:szCs w:val="20"/>
              </w:rPr>
            </w:pPr>
            <w:r>
              <w:rPr>
                <w:bCs/>
                <w:szCs w:val="20"/>
              </w:rPr>
              <w:t>Group 3</w:t>
            </w:r>
          </w:p>
        </w:tc>
        <w:tc>
          <w:tcPr>
            <w:tcW w:w="0" w:type="auto"/>
            <w:shd w:val="clear" w:color="auto" w:fill="auto"/>
          </w:tcPr>
          <w:p w14:paraId="0BE5A9F7" w14:textId="77777777" w:rsidR="00297195" w:rsidRDefault="00297195" w:rsidP="00406F3B">
            <w:pPr>
              <w:pStyle w:val="NoSpacing"/>
            </w:pPr>
            <w:r>
              <w:t>1</w:t>
            </w:r>
            <w:r w:rsidRPr="00013ACB">
              <w:rPr>
                <w:vertAlign w:val="superscript"/>
              </w:rPr>
              <w:t>st</w:t>
            </w:r>
            <w:r>
              <w:t xml:space="preserve"> Round: </w:t>
            </w:r>
          </w:p>
          <w:p w14:paraId="04B61983" w14:textId="77777777" w:rsidR="00297195" w:rsidRDefault="00297195" w:rsidP="00406F3B">
            <w:pPr>
              <w:pStyle w:val="NoSpacing"/>
            </w:pPr>
            <w:r>
              <w:t>2015</w:t>
            </w:r>
          </w:p>
          <w:p w14:paraId="58FD7395" w14:textId="77777777" w:rsidR="00297195" w:rsidRDefault="00297195" w:rsidP="00406F3B">
            <w:pPr>
              <w:pStyle w:val="NoSpacing"/>
            </w:pPr>
            <w:r>
              <w:t>2</w:t>
            </w:r>
            <w:r w:rsidRPr="00013ACB">
              <w:rPr>
                <w:vertAlign w:val="superscript"/>
              </w:rPr>
              <w:t>nd</w:t>
            </w:r>
            <w:r>
              <w:t xml:space="preserve"> Round: </w:t>
            </w:r>
          </w:p>
          <w:p w14:paraId="0E47EF6D" w14:textId="77777777" w:rsidR="00297195" w:rsidRDefault="00297195" w:rsidP="00406F3B">
            <w:pPr>
              <w:pStyle w:val="NoSpacing"/>
            </w:pPr>
            <w:r>
              <w:t>December, 2020</w:t>
            </w:r>
          </w:p>
          <w:p w14:paraId="78B8E955" w14:textId="77777777" w:rsidR="00297195" w:rsidRDefault="00297195" w:rsidP="00406F3B">
            <w:pPr>
              <w:pStyle w:val="NoSpacing"/>
            </w:pPr>
          </w:p>
          <w:p w14:paraId="68DC5FAE" w14:textId="77777777" w:rsidR="00297195" w:rsidRDefault="00297195" w:rsidP="00406F3B">
            <w:pPr>
              <w:pStyle w:val="NoSpacing"/>
            </w:pPr>
            <w:r>
              <w:lastRenderedPageBreak/>
              <w:t>3</w:t>
            </w:r>
            <w:r w:rsidRPr="00013ACB">
              <w:rPr>
                <w:vertAlign w:val="superscript"/>
              </w:rPr>
              <w:t>rd</w:t>
            </w:r>
            <w:r>
              <w:t xml:space="preserve"> Round: </w:t>
            </w:r>
          </w:p>
          <w:p w14:paraId="694F9583" w14:textId="77777777" w:rsidR="00297195" w:rsidRDefault="00297195" w:rsidP="00406F3B">
            <w:pPr>
              <w:pStyle w:val="NoSpacing"/>
            </w:pPr>
            <w:r>
              <w:t>December, 2025</w:t>
            </w:r>
          </w:p>
          <w:p w14:paraId="2D27B3BC" w14:textId="77777777" w:rsidR="00297195" w:rsidRDefault="00297195" w:rsidP="00406F3B">
            <w:pPr>
              <w:pStyle w:val="NoSpacing"/>
            </w:pPr>
          </w:p>
          <w:p w14:paraId="6726F169" w14:textId="77777777" w:rsidR="00297195" w:rsidRDefault="00297195" w:rsidP="00406F3B">
            <w:pPr>
              <w:pStyle w:val="NoSpacing"/>
            </w:pPr>
            <w:r>
              <w:t>4</w:t>
            </w:r>
            <w:r w:rsidRPr="00013ACB">
              <w:rPr>
                <w:vertAlign w:val="superscript"/>
              </w:rPr>
              <w:t>th</w:t>
            </w:r>
            <w:r>
              <w:t xml:space="preserve"> Round: </w:t>
            </w:r>
          </w:p>
          <w:p w14:paraId="5C08393C" w14:textId="77777777" w:rsidR="00297195" w:rsidRDefault="00297195" w:rsidP="00406F3B">
            <w:pPr>
              <w:pStyle w:val="NoSpacing"/>
            </w:pPr>
            <w:r>
              <w:t>December, 2030</w:t>
            </w:r>
          </w:p>
          <w:p w14:paraId="4288A8CF" w14:textId="20A3F6E9" w:rsidR="00297195" w:rsidRPr="003265B9" w:rsidRDefault="00297195" w:rsidP="00406F3B">
            <w:pPr>
              <w:pStyle w:val="NoSpacing"/>
            </w:pPr>
          </w:p>
        </w:tc>
        <w:tc>
          <w:tcPr>
            <w:tcW w:w="0" w:type="auto"/>
            <w:shd w:val="clear" w:color="auto" w:fill="auto"/>
          </w:tcPr>
          <w:p w14:paraId="0FC0EA43" w14:textId="77777777" w:rsidR="00297195" w:rsidRDefault="00297195" w:rsidP="00406F3B">
            <w:pPr>
              <w:pStyle w:val="NoSpacing"/>
            </w:pPr>
            <w:r>
              <w:lastRenderedPageBreak/>
              <w:t>DPP is has been sent to Planning Commission for approval.</w:t>
            </w:r>
          </w:p>
          <w:p w14:paraId="76E7D6BE" w14:textId="77777777" w:rsidR="00297195" w:rsidRDefault="00297195" w:rsidP="00406F3B">
            <w:pPr>
              <w:pStyle w:val="NoSpacing"/>
            </w:pPr>
          </w:p>
          <w:p w14:paraId="37261F06" w14:textId="651A16B7" w:rsidR="00297195" w:rsidRPr="00DE3AFB" w:rsidRDefault="00297195" w:rsidP="00406F3B">
            <w:pPr>
              <w:pStyle w:val="NoSpacing"/>
            </w:pPr>
            <w:r w:rsidRPr="00DE3AFB">
              <w:t xml:space="preserve">Sendai modification; </w:t>
            </w:r>
            <w:r w:rsidRPr="00DE3AFB">
              <w:lastRenderedPageBreak/>
              <w:t>Reviewed at 5th IAEG-SDG meeting (classified as Tier II)</w:t>
            </w:r>
          </w:p>
        </w:tc>
      </w:tr>
      <w:tr w:rsidR="00297195" w14:paraId="2C4AE225" w14:textId="77777777" w:rsidTr="0085651F">
        <w:tc>
          <w:tcPr>
            <w:tcW w:w="0" w:type="auto"/>
            <w:shd w:val="clear" w:color="auto" w:fill="auto"/>
          </w:tcPr>
          <w:p w14:paraId="0D0A20BB" w14:textId="77777777" w:rsidR="00297195" w:rsidRPr="002969FF" w:rsidRDefault="00297195" w:rsidP="00406F3B">
            <w:pPr>
              <w:pStyle w:val="NoSpacing"/>
            </w:pPr>
            <w:r w:rsidRPr="002969FF">
              <w:lastRenderedPageBreak/>
              <w:t>1.5.3 Number of countries that adopt and implement national disaster risk reduction strategies in line with the Sendai Framework for Disaster Risk Reduction 2015-2030</w:t>
            </w:r>
          </w:p>
        </w:tc>
        <w:tc>
          <w:tcPr>
            <w:tcW w:w="0" w:type="auto"/>
            <w:shd w:val="clear" w:color="auto" w:fill="auto"/>
          </w:tcPr>
          <w:p w14:paraId="58966E3D" w14:textId="77777777" w:rsidR="00297195" w:rsidRPr="002969FF" w:rsidRDefault="00297195" w:rsidP="00406F3B">
            <w:pPr>
              <w:pStyle w:val="NoSpacing"/>
            </w:pPr>
            <w:r w:rsidRPr="002969FF">
              <w:t>United Nations Office for Disaster Reduction (UNISDR)</w:t>
            </w:r>
          </w:p>
          <w:p w14:paraId="1E0FFEDE" w14:textId="77777777" w:rsidR="00297195" w:rsidRPr="002969FF" w:rsidRDefault="00297195" w:rsidP="00406F3B">
            <w:pPr>
              <w:pStyle w:val="NoSpacing"/>
            </w:pPr>
          </w:p>
          <w:p w14:paraId="66B142EB" w14:textId="77777777" w:rsidR="00297195" w:rsidRPr="002969FF" w:rsidRDefault="00297195" w:rsidP="00406F3B">
            <w:pPr>
              <w:pStyle w:val="NoSpacing"/>
            </w:pPr>
            <w:r w:rsidRPr="002969FF">
              <w:t>Partner Agencies:</w:t>
            </w:r>
          </w:p>
          <w:p w14:paraId="39611B05" w14:textId="77777777" w:rsidR="00297195" w:rsidRPr="002969FF" w:rsidRDefault="00297195" w:rsidP="00406F3B">
            <w:pPr>
              <w:pStyle w:val="NoSpacing"/>
            </w:pPr>
            <w:r w:rsidRPr="002969FF">
              <w:t>UNEP</w:t>
            </w:r>
          </w:p>
        </w:tc>
        <w:tc>
          <w:tcPr>
            <w:tcW w:w="0" w:type="auto"/>
            <w:shd w:val="clear" w:color="auto" w:fill="auto"/>
          </w:tcPr>
          <w:p w14:paraId="433CBE70" w14:textId="77777777" w:rsidR="00297195" w:rsidRPr="00262FC1" w:rsidRDefault="00297195">
            <w:pPr>
              <w:pStyle w:val="NoSpacing"/>
            </w:pPr>
            <w:r w:rsidRPr="00262FC1">
              <w:rPr>
                <w:szCs w:val="20"/>
              </w:rPr>
              <w:t>Tier II</w:t>
            </w:r>
          </w:p>
        </w:tc>
        <w:tc>
          <w:tcPr>
            <w:tcW w:w="0" w:type="auto"/>
            <w:shd w:val="clear" w:color="auto" w:fill="auto"/>
          </w:tcPr>
          <w:p w14:paraId="0C62B2A5" w14:textId="77777777" w:rsidR="00297195" w:rsidRDefault="00297195" w:rsidP="00406F3B">
            <w:pPr>
              <w:pStyle w:val="NoSpacing"/>
            </w:pPr>
            <w:r>
              <w:t>Definition:</w:t>
            </w:r>
          </w:p>
          <w:p w14:paraId="1DA412E1" w14:textId="67E0B79E" w:rsidR="00297195" w:rsidRDefault="00297195" w:rsidP="00DC1CFF">
            <w:pPr>
              <w:pStyle w:val="NoSpacing"/>
              <w:jc w:val="both"/>
            </w:pPr>
            <w:r w:rsidRPr="00DC1CFF">
              <w:t>The indicator will build bridge between the SDGs and the Sendai Framework</w:t>
            </w:r>
            <w:r>
              <w:t xml:space="preserve"> </w:t>
            </w:r>
            <w:r w:rsidRPr="00DC1CFF">
              <w:t xml:space="preserve">for DRR. Increasing number of national governments that adopt and implement national and local DRR strategies, which the Sendai Framework calls for, will contribute to sustainable development from economic, environmental and social perspectives. </w:t>
            </w:r>
          </w:p>
          <w:p w14:paraId="2047499D" w14:textId="77777777" w:rsidR="00297195" w:rsidRDefault="00297195" w:rsidP="00406F3B">
            <w:pPr>
              <w:pStyle w:val="NoSpacing"/>
            </w:pPr>
          </w:p>
          <w:p w14:paraId="69DFC8CD" w14:textId="77777777" w:rsidR="00297195" w:rsidRDefault="00297195" w:rsidP="00406F3B">
            <w:pPr>
              <w:pStyle w:val="NoSpacing"/>
            </w:pPr>
            <w:r>
              <w:t>[a] An open-ended intergovernmental expert working group on indicators and terminology relating to disaster risk reduction established by the General Assembly (resolution 69/284) is developing a set of indicators to measure global progress in the implementation of the Sendai Framework. These indicators will eventually reflect the agreements on the Sendai Framework indicators.</w:t>
            </w:r>
          </w:p>
          <w:p w14:paraId="4927463A" w14:textId="77777777" w:rsidR="00297195" w:rsidRDefault="00297195" w:rsidP="00406F3B">
            <w:pPr>
              <w:pStyle w:val="NoSpacing"/>
            </w:pPr>
          </w:p>
          <w:p w14:paraId="02BDEC2D" w14:textId="77777777" w:rsidR="00297195" w:rsidRPr="000C4849" w:rsidRDefault="00297195" w:rsidP="00406F3B">
            <w:pPr>
              <w:pStyle w:val="NoSpacing"/>
              <w:rPr>
                <w:b/>
              </w:rPr>
            </w:pPr>
            <w:r w:rsidRPr="000C4849">
              <w:rPr>
                <w:b/>
              </w:rPr>
              <w:t>Rationale:</w:t>
            </w:r>
          </w:p>
          <w:p w14:paraId="4B1A2A4D" w14:textId="77777777" w:rsidR="00297195" w:rsidRPr="00262FC1" w:rsidRDefault="00297195" w:rsidP="00406F3B">
            <w:pPr>
              <w:pStyle w:val="NoSpacing"/>
            </w:pPr>
            <w:r w:rsidRPr="00D62E40">
              <w:t>The indicator will build bridge between the SDGs and the Sendai Framework for DRR. Increasing number</w:t>
            </w:r>
            <w:r>
              <w:t xml:space="preserve"> </w:t>
            </w:r>
            <w:r w:rsidRPr="00D62E40">
              <w:t>of national governments that adopt and implement national and local DRR strategies, which the Sendai</w:t>
            </w:r>
            <w:r>
              <w:t xml:space="preserve"> </w:t>
            </w:r>
            <w:r w:rsidRPr="00D62E40">
              <w:t>Framework calls for, will contribute to sustainable development from economic, environmental and</w:t>
            </w:r>
            <w:r>
              <w:t xml:space="preserve"> </w:t>
            </w:r>
            <w:r w:rsidRPr="00D62E40">
              <w:t xml:space="preserve">social perspectives. </w:t>
            </w:r>
          </w:p>
          <w:p w14:paraId="2E4221FE" w14:textId="77777777" w:rsidR="00297195" w:rsidRDefault="00297195" w:rsidP="00406F3B">
            <w:pPr>
              <w:pStyle w:val="NoSpacing"/>
            </w:pPr>
          </w:p>
          <w:p w14:paraId="2DF599C4" w14:textId="77777777" w:rsidR="00297195" w:rsidRPr="00DC1CFF" w:rsidRDefault="00297195" w:rsidP="00DC1CFF">
            <w:pPr>
              <w:pStyle w:val="NoSpacing"/>
              <w:rPr>
                <w:b/>
                <w:bCs/>
              </w:rPr>
            </w:pPr>
            <w:r w:rsidRPr="00DC1CFF">
              <w:rPr>
                <w:b/>
                <w:bCs/>
              </w:rPr>
              <w:lastRenderedPageBreak/>
              <w:t>Computation Method:</w:t>
            </w:r>
          </w:p>
          <w:p w14:paraId="4218BB89" w14:textId="77777777" w:rsidR="00297195" w:rsidRPr="00DC1CFF" w:rsidRDefault="00297195" w:rsidP="00DC1CFF">
            <w:pPr>
              <w:pStyle w:val="NoSpacing"/>
            </w:pPr>
          </w:p>
          <w:p w14:paraId="49DF4D9C" w14:textId="77777777" w:rsidR="00297195" w:rsidRPr="00DC1CFF" w:rsidRDefault="00297195" w:rsidP="00DC1CFF">
            <w:pPr>
              <w:pStyle w:val="NoSpacing"/>
            </w:pPr>
            <w:r w:rsidRPr="00DC1CFF">
              <w:t>Note: Computation methodology for several indicators is very comprehensive, very long (about 180 pages) and probably out of the scope of this Metadata. UNISDR prefers to refer to the outcome of the Open Ended Intergovernmental Working Group, which provides a full detailed methodology for each indicator and sub-indicator.</w:t>
            </w:r>
          </w:p>
          <w:p w14:paraId="16B14785" w14:textId="77777777" w:rsidR="00297195" w:rsidRPr="00DC1CFF" w:rsidRDefault="00297195" w:rsidP="00DC1CFF">
            <w:pPr>
              <w:pStyle w:val="NoSpacing"/>
            </w:pPr>
          </w:p>
          <w:p w14:paraId="2A1177BC" w14:textId="77777777" w:rsidR="00297195" w:rsidRPr="00DC1CFF" w:rsidRDefault="00297195" w:rsidP="00DC1CFF">
            <w:pPr>
              <w:pStyle w:val="NoSpacing"/>
            </w:pPr>
            <w:r w:rsidRPr="00DC1CFF">
              <w:t>The latest version of these methodologies can be obtained at:</w:t>
            </w:r>
          </w:p>
          <w:p w14:paraId="7B2B2688" w14:textId="77777777" w:rsidR="00297195" w:rsidRPr="00DC1CFF" w:rsidRDefault="00297195" w:rsidP="00DC1CFF">
            <w:pPr>
              <w:pStyle w:val="NoSpacing"/>
            </w:pPr>
          </w:p>
          <w:p w14:paraId="41723B4C" w14:textId="77777777" w:rsidR="00297195" w:rsidRPr="00DC1CFF" w:rsidRDefault="00297195" w:rsidP="00DC1CFF">
            <w:pPr>
              <w:pStyle w:val="NoSpacing"/>
            </w:pPr>
            <w:r w:rsidRPr="00DC1CFF">
              <w:t>http://www.preventionweb.net/documents/oiewg/Technical%20Collection%20of%20Concept%20Notes%20on%20Indicators.pdf</w:t>
            </w:r>
          </w:p>
          <w:p w14:paraId="5659B13E" w14:textId="77777777" w:rsidR="00297195" w:rsidRPr="00DC1CFF" w:rsidRDefault="00297195" w:rsidP="00DC1CFF">
            <w:pPr>
              <w:pStyle w:val="NoSpacing"/>
            </w:pPr>
          </w:p>
          <w:p w14:paraId="49F1812C" w14:textId="77777777" w:rsidR="00297195" w:rsidRPr="00DC1CFF" w:rsidRDefault="00297195" w:rsidP="00DC1CFF">
            <w:pPr>
              <w:pStyle w:val="NoSpacing"/>
            </w:pPr>
            <w:r w:rsidRPr="00DC1CFF">
              <w:t>A short summary:</w:t>
            </w:r>
          </w:p>
          <w:p w14:paraId="50F5532B" w14:textId="77777777" w:rsidR="00297195" w:rsidRPr="00DC1CFF" w:rsidRDefault="00297195" w:rsidP="00DC1CFF">
            <w:pPr>
              <w:pStyle w:val="NoSpacing"/>
            </w:pPr>
          </w:p>
          <w:p w14:paraId="45D5AF68" w14:textId="6E847ED2" w:rsidR="00297195" w:rsidRPr="00262FC1" w:rsidRDefault="00297195" w:rsidP="00DC1CFF">
            <w:pPr>
              <w:pStyle w:val="NoSpacing"/>
            </w:pPr>
            <w:r w:rsidRPr="00DC1CFF">
              <w:t>Summation of data from National Progress Reports of the Sendai Monitor</w:t>
            </w:r>
          </w:p>
        </w:tc>
        <w:tc>
          <w:tcPr>
            <w:tcW w:w="0" w:type="auto"/>
            <w:shd w:val="clear" w:color="auto" w:fill="auto"/>
          </w:tcPr>
          <w:p w14:paraId="31B6F4AF" w14:textId="77777777" w:rsidR="00297195" w:rsidRPr="00AE1146" w:rsidRDefault="00297195" w:rsidP="00406F3B">
            <w:pPr>
              <w:pStyle w:val="NoSpacing"/>
            </w:pPr>
            <w:r>
              <w:lastRenderedPageBreak/>
              <w:t xml:space="preserve">Administrative Record: </w:t>
            </w:r>
            <w:r w:rsidRPr="00D62E40">
              <w:t>National Progress Report of the Sendai Monitor, reported to UNISDR</w:t>
            </w:r>
          </w:p>
        </w:tc>
        <w:tc>
          <w:tcPr>
            <w:tcW w:w="0" w:type="auto"/>
            <w:shd w:val="clear" w:color="auto" w:fill="auto"/>
          </w:tcPr>
          <w:p w14:paraId="52D5B77D" w14:textId="77777777" w:rsidR="00297195" w:rsidRDefault="00297195" w:rsidP="00406F3B">
            <w:pPr>
              <w:pStyle w:val="NoSpacing"/>
            </w:pPr>
            <w:r w:rsidRPr="00D62E40">
              <w:t>National Progress Report of the Sendai Monitor, reported to UNISDR</w:t>
            </w:r>
          </w:p>
        </w:tc>
        <w:tc>
          <w:tcPr>
            <w:tcW w:w="0" w:type="auto"/>
            <w:shd w:val="clear" w:color="auto" w:fill="auto"/>
          </w:tcPr>
          <w:p w14:paraId="6BED0F0C" w14:textId="50268103" w:rsidR="00297195" w:rsidRDefault="00297195" w:rsidP="00406F3B">
            <w:pPr>
              <w:jc w:val="center"/>
              <w:rPr>
                <w:szCs w:val="20"/>
              </w:rPr>
            </w:pPr>
          </w:p>
        </w:tc>
        <w:tc>
          <w:tcPr>
            <w:tcW w:w="0" w:type="auto"/>
            <w:shd w:val="clear" w:color="auto" w:fill="auto"/>
          </w:tcPr>
          <w:p w14:paraId="00673AFF" w14:textId="77777777" w:rsidR="00297195" w:rsidRDefault="00297195" w:rsidP="00406F3B">
            <w:pPr>
              <w:jc w:val="center"/>
              <w:rPr>
                <w:szCs w:val="20"/>
              </w:rPr>
            </w:pPr>
            <w:r>
              <w:rPr>
                <w:szCs w:val="20"/>
              </w:rPr>
              <w:t>MoDMR</w:t>
            </w:r>
          </w:p>
        </w:tc>
        <w:tc>
          <w:tcPr>
            <w:tcW w:w="0" w:type="auto"/>
            <w:shd w:val="clear" w:color="auto" w:fill="auto"/>
          </w:tcPr>
          <w:p w14:paraId="3078F489" w14:textId="77777777" w:rsidR="00297195" w:rsidRDefault="00297195" w:rsidP="006F016B">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sz w:val="20"/>
                <w:szCs w:val="20"/>
              </w:rPr>
              <w:t>Qualitative Indicator</w:t>
            </w:r>
            <w:r>
              <w:rPr>
                <w:rFonts w:ascii="Tw Cen MT Condensed" w:hAnsi="Tw Cen MT Condensed"/>
              </w:rPr>
              <w:t xml:space="preserve"> </w:t>
            </w:r>
          </w:p>
          <w:p w14:paraId="19550C59" w14:textId="3078F832" w:rsidR="00297195" w:rsidRPr="00FB2C18" w:rsidRDefault="00970164" w:rsidP="006F016B">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I</w:t>
            </w:r>
            <w:r w:rsidR="00297195">
              <w:rPr>
                <w:rFonts w:ascii="Tw Cen MT Condensed" w:hAnsi="Tw Cen MT Condensed"/>
              </w:rPr>
              <w:t>ncome</w:t>
            </w:r>
            <w:r>
              <w:rPr>
                <w:rFonts w:ascii="Tw Cen MT Condensed" w:hAnsi="Tw Cen MT Condensed"/>
              </w:rPr>
              <w:t>: high/medium/low</w:t>
            </w:r>
          </w:p>
          <w:p w14:paraId="6EC781AE" w14:textId="77777777" w:rsidR="00297195" w:rsidRPr="00FB2C18" w:rsidRDefault="00297195" w:rsidP="006F016B">
            <w:pPr>
              <w:pStyle w:val="ListParagraph"/>
              <w:numPr>
                <w:ilvl w:val="0"/>
                <w:numId w:val="48"/>
              </w:numPr>
              <w:spacing w:after="0" w:line="240" w:lineRule="auto"/>
              <w:ind w:left="160" w:hanging="160"/>
              <w:rPr>
                <w:rFonts w:ascii="Tw Cen MT Condensed" w:hAnsi="Tw Cen MT Condensed"/>
              </w:rPr>
            </w:pPr>
            <w:r w:rsidRPr="00FB2C18">
              <w:rPr>
                <w:rFonts w:ascii="Tw Cen MT Condensed" w:hAnsi="Tw Cen MT Condensed"/>
              </w:rPr>
              <w:t>city: sub-national administrative units</w:t>
            </w:r>
          </w:p>
          <w:p w14:paraId="134EF107" w14:textId="77777777" w:rsidR="00297195" w:rsidRDefault="00297195" w:rsidP="000C4849">
            <w:pPr>
              <w:pStyle w:val="ListParagraph"/>
              <w:ind w:left="130"/>
              <w:rPr>
                <w:rFonts w:ascii="Tw Cen MT Condensed" w:hAnsi="Tw Cen MT Condensed"/>
                <w:sz w:val="20"/>
                <w:szCs w:val="20"/>
              </w:rPr>
            </w:pPr>
          </w:p>
        </w:tc>
        <w:tc>
          <w:tcPr>
            <w:tcW w:w="0" w:type="auto"/>
            <w:shd w:val="clear" w:color="auto" w:fill="auto"/>
          </w:tcPr>
          <w:p w14:paraId="56814959" w14:textId="77777777" w:rsidR="00297195" w:rsidRDefault="00297195" w:rsidP="00406F3B">
            <w:pPr>
              <w:pStyle w:val="NoSpacing"/>
              <w:rPr>
                <w:bCs/>
                <w:szCs w:val="20"/>
              </w:rPr>
            </w:pPr>
            <w:r>
              <w:t>Triennial</w:t>
            </w:r>
          </w:p>
        </w:tc>
        <w:tc>
          <w:tcPr>
            <w:tcW w:w="0" w:type="auto"/>
            <w:shd w:val="clear" w:color="auto" w:fill="auto"/>
          </w:tcPr>
          <w:p w14:paraId="38E7BF32" w14:textId="77777777" w:rsidR="00297195" w:rsidRDefault="00297195" w:rsidP="00406F3B">
            <w:pPr>
              <w:jc w:val="center"/>
              <w:rPr>
                <w:bCs/>
                <w:szCs w:val="20"/>
              </w:rPr>
            </w:pPr>
            <w:r>
              <w:rPr>
                <w:bCs/>
                <w:szCs w:val="20"/>
              </w:rPr>
              <w:t>Group 1</w:t>
            </w:r>
          </w:p>
        </w:tc>
        <w:tc>
          <w:tcPr>
            <w:tcW w:w="0" w:type="auto"/>
            <w:shd w:val="clear" w:color="auto" w:fill="auto"/>
          </w:tcPr>
          <w:p w14:paraId="2D9EA161" w14:textId="77777777" w:rsidR="00297195" w:rsidRDefault="00297195" w:rsidP="00406F3B">
            <w:pPr>
              <w:pStyle w:val="NoSpacing"/>
            </w:pPr>
            <w:r>
              <w:t>1</w:t>
            </w:r>
            <w:r w:rsidRPr="00013ACB">
              <w:rPr>
                <w:vertAlign w:val="superscript"/>
              </w:rPr>
              <w:t>st</w:t>
            </w:r>
            <w:r>
              <w:t xml:space="preserve"> Round: </w:t>
            </w:r>
          </w:p>
          <w:p w14:paraId="39A1D344" w14:textId="77777777" w:rsidR="00297195" w:rsidRDefault="00297195" w:rsidP="00406F3B">
            <w:pPr>
              <w:pStyle w:val="NoSpacing"/>
            </w:pPr>
            <w:r>
              <w:t>December, 2020</w:t>
            </w:r>
          </w:p>
          <w:p w14:paraId="1032A70E" w14:textId="77777777" w:rsidR="00297195" w:rsidRDefault="00297195" w:rsidP="00406F3B">
            <w:pPr>
              <w:pStyle w:val="NoSpacing"/>
            </w:pPr>
          </w:p>
          <w:p w14:paraId="023F8547" w14:textId="77777777" w:rsidR="00297195" w:rsidRDefault="00297195" w:rsidP="00406F3B">
            <w:pPr>
              <w:pStyle w:val="NoSpacing"/>
            </w:pPr>
            <w:r>
              <w:t>2</w:t>
            </w:r>
            <w:r w:rsidRPr="00013ACB">
              <w:rPr>
                <w:vertAlign w:val="superscript"/>
              </w:rPr>
              <w:t>nd</w:t>
            </w:r>
            <w:r>
              <w:t xml:space="preserve"> Round: </w:t>
            </w:r>
          </w:p>
          <w:p w14:paraId="59E8A951" w14:textId="77777777" w:rsidR="00297195" w:rsidRDefault="00297195" w:rsidP="00406F3B">
            <w:pPr>
              <w:pStyle w:val="NoSpacing"/>
            </w:pPr>
            <w:r>
              <w:t>December, 2021</w:t>
            </w:r>
          </w:p>
          <w:p w14:paraId="4DB46EEE" w14:textId="77777777" w:rsidR="00297195" w:rsidRDefault="00297195" w:rsidP="00406F3B">
            <w:pPr>
              <w:pStyle w:val="NoSpacing"/>
            </w:pPr>
          </w:p>
          <w:p w14:paraId="1E107D86" w14:textId="77777777" w:rsidR="00297195" w:rsidRDefault="00297195" w:rsidP="00406F3B">
            <w:pPr>
              <w:pStyle w:val="NoSpacing"/>
            </w:pPr>
            <w:r>
              <w:t>3</w:t>
            </w:r>
            <w:r w:rsidRPr="00013ACB">
              <w:rPr>
                <w:vertAlign w:val="superscript"/>
              </w:rPr>
              <w:t>rd</w:t>
            </w:r>
            <w:r>
              <w:t xml:space="preserve"> Round: </w:t>
            </w:r>
          </w:p>
          <w:p w14:paraId="79AC4815" w14:textId="77777777" w:rsidR="00297195" w:rsidRDefault="00297195" w:rsidP="00406F3B">
            <w:pPr>
              <w:pStyle w:val="NoSpacing"/>
            </w:pPr>
            <w:r>
              <w:t>December, 2024</w:t>
            </w:r>
          </w:p>
          <w:p w14:paraId="615635A1" w14:textId="77777777" w:rsidR="00297195" w:rsidRDefault="00297195" w:rsidP="00406F3B">
            <w:pPr>
              <w:pStyle w:val="NoSpacing"/>
            </w:pPr>
          </w:p>
          <w:p w14:paraId="43543FD3" w14:textId="77777777" w:rsidR="00297195" w:rsidRDefault="00297195" w:rsidP="00406F3B">
            <w:pPr>
              <w:pStyle w:val="NoSpacing"/>
            </w:pPr>
            <w:r>
              <w:t>4</w:t>
            </w:r>
            <w:r w:rsidRPr="00013ACB">
              <w:rPr>
                <w:vertAlign w:val="superscript"/>
              </w:rPr>
              <w:t>th</w:t>
            </w:r>
            <w:r>
              <w:t xml:space="preserve"> Round: </w:t>
            </w:r>
          </w:p>
          <w:p w14:paraId="12214F6E" w14:textId="77777777" w:rsidR="00297195" w:rsidRDefault="00297195" w:rsidP="00406F3B">
            <w:pPr>
              <w:pStyle w:val="NoSpacing"/>
            </w:pPr>
            <w:r>
              <w:lastRenderedPageBreak/>
              <w:t>December, 2027</w:t>
            </w:r>
          </w:p>
          <w:p w14:paraId="22F0F745" w14:textId="77777777" w:rsidR="00297195" w:rsidRDefault="00297195" w:rsidP="00406F3B">
            <w:pPr>
              <w:pStyle w:val="NoSpacing"/>
            </w:pPr>
          </w:p>
          <w:p w14:paraId="114AD069" w14:textId="77777777" w:rsidR="00297195" w:rsidRDefault="00297195" w:rsidP="00406F3B">
            <w:pPr>
              <w:pStyle w:val="NoSpacing"/>
            </w:pPr>
            <w:r>
              <w:t>5</w:t>
            </w:r>
            <w:r w:rsidRPr="00013ACB">
              <w:rPr>
                <w:vertAlign w:val="superscript"/>
              </w:rPr>
              <w:t>th</w:t>
            </w:r>
            <w:r>
              <w:t xml:space="preserve"> Round: </w:t>
            </w:r>
          </w:p>
          <w:p w14:paraId="7E2A046A" w14:textId="77777777" w:rsidR="00297195" w:rsidRDefault="00297195" w:rsidP="00406F3B">
            <w:pPr>
              <w:pStyle w:val="NoSpacing"/>
            </w:pPr>
            <w:r>
              <w:t>December, 2030</w:t>
            </w:r>
          </w:p>
          <w:p w14:paraId="2CF84029" w14:textId="77777777" w:rsidR="00297195" w:rsidRDefault="00297195" w:rsidP="00406F3B">
            <w:pPr>
              <w:pStyle w:val="NoSpacing"/>
            </w:pPr>
          </w:p>
          <w:p w14:paraId="4AC21CDE" w14:textId="63DC4EA3" w:rsidR="00297195" w:rsidRPr="003265B9" w:rsidRDefault="00297195" w:rsidP="00406F3B">
            <w:pPr>
              <w:pStyle w:val="NoSpacing"/>
            </w:pPr>
          </w:p>
        </w:tc>
        <w:tc>
          <w:tcPr>
            <w:tcW w:w="0" w:type="auto"/>
            <w:shd w:val="clear" w:color="auto" w:fill="auto"/>
          </w:tcPr>
          <w:p w14:paraId="13DA3E6D" w14:textId="77777777" w:rsidR="00297195" w:rsidRDefault="00297195" w:rsidP="00406F3B">
            <w:pPr>
              <w:pStyle w:val="NoSpacing"/>
            </w:pPr>
            <w:r>
              <w:lastRenderedPageBreak/>
              <w:t xml:space="preserve">Data to be provided by </w:t>
            </w:r>
          </w:p>
          <w:p w14:paraId="3699A3E8" w14:textId="77777777" w:rsidR="00297195" w:rsidRDefault="00297195" w:rsidP="00406F3B">
            <w:pPr>
              <w:pStyle w:val="NoSpacing"/>
              <w:rPr>
                <w:bCs/>
                <w:szCs w:val="20"/>
              </w:rPr>
            </w:pPr>
            <w:r>
              <w:t>MoDMR following metadata</w:t>
            </w:r>
          </w:p>
          <w:p w14:paraId="3F31B99F" w14:textId="77777777" w:rsidR="00297195" w:rsidRDefault="00297195" w:rsidP="00406F3B">
            <w:pPr>
              <w:jc w:val="both"/>
              <w:rPr>
                <w:bCs/>
                <w:szCs w:val="20"/>
              </w:rPr>
            </w:pPr>
          </w:p>
          <w:p w14:paraId="71AAE765" w14:textId="77777777" w:rsidR="00297195" w:rsidRDefault="00297195" w:rsidP="00406F3B">
            <w:pPr>
              <w:jc w:val="both"/>
              <w:rPr>
                <w:bCs/>
                <w:szCs w:val="20"/>
              </w:rPr>
            </w:pPr>
          </w:p>
          <w:p w14:paraId="447BF757" w14:textId="77777777" w:rsidR="00297195" w:rsidRDefault="00297195" w:rsidP="00406F3B">
            <w:pPr>
              <w:jc w:val="both"/>
              <w:rPr>
                <w:bCs/>
                <w:szCs w:val="20"/>
              </w:rPr>
            </w:pPr>
          </w:p>
          <w:p w14:paraId="62CCA2F0" w14:textId="77777777" w:rsidR="00297195" w:rsidRPr="00DE3AFB" w:rsidRDefault="00297195" w:rsidP="00406F3B">
            <w:pPr>
              <w:jc w:val="both"/>
              <w:rPr>
                <w:bCs/>
                <w:szCs w:val="20"/>
              </w:rPr>
            </w:pPr>
            <w:r w:rsidRPr="00DE3AFB">
              <w:rPr>
                <w:bCs/>
                <w:szCs w:val="20"/>
              </w:rPr>
              <w:t>Data availability reviewed in Oct. 2019 (classified as Tier II)</w:t>
            </w:r>
          </w:p>
          <w:p w14:paraId="5F93C553" w14:textId="77777777" w:rsidR="00297195" w:rsidRPr="00DE3AFB" w:rsidRDefault="00297195" w:rsidP="00406F3B">
            <w:pPr>
              <w:jc w:val="both"/>
              <w:rPr>
                <w:bCs/>
                <w:szCs w:val="20"/>
              </w:rPr>
            </w:pPr>
          </w:p>
          <w:p w14:paraId="4305EFD2" w14:textId="77777777" w:rsidR="00297195" w:rsidRPr="00DE3AFB" w:rsidRDefault="00297195" w:rsidP="00406F3B">
            <w:pPr>
              <w:jc w:val="both"/>
              <w:rPr>
                <w:bCs/>
                <w:szCs w:val="20"/>
              </w:rPr>
            </w:pPr>
            <w:r w:rsidRPr="00DE3AFB">
              <w:rPr>
                <w:bCs/>
                <w:szCs w:val="20"/>
              </w:rPr>
              <w:t xml:space="preserve">Data availability </w:t>
            </w:r>
            <w:r w:rsidRPr="00DE3AFB">
              <w:rPr>
                <w:bCs/>
                <w:szCs w:val="20"/>
              </w:rPr>
              <w:lastRenderedPageBreak/>
              <w:t>reviewed in Nov. 2017 (classified as Tier I)</w:t>
            </w:r>
          </w:p>
          <w:p w14:paraId="55CE2FFE" w14:textId="77777777" w:rsidR="00297195" w:rsidRPr="00DE3AFB" w:rsidRDefault="00297195" w:rsidP="00406F3B">
            <w:pPr>
              <w:jc w:val="both"/>
              <w:rPr>
                <w:bCs/>
                <w:szCs w:val="20"/>
              </w:rPr>
            </w:pPr>
          </w:p>
          <w:p w14:paraId="621401E8" w14:textId="77777777" w:rsidR="00297195" w:rsidRPr="00DE3AFB" w:rsidRDefault="00297195" w:rsidP="00406F3B">
            <w:pPr>
              <w:jc w:val="both"/>
              <w:rPr>
                <w:bCs/>
                <w:szCs w:val="20"/>
              </w:rPr>
            </w:pPr>
            <w:r w:rsidRPr="00DE3AFB">
              <w:rPr>
                <w:bCs/>
                <w:szCs w:val="20"/>
              </w:rPr>
              <w:t>Sendai modification; Reviewed at 5th IAEG-SDG meeting (classified as Tier II)</w:t>
            </w:r>
          </w:p>
          <w:p w14:paraId="349A0AEE" w14:textId="77777777" w:rsidR="00297195" w:rsidRPr="00DE3AFB" w:rsidRDefault="00297195" w:rsidP="00406F3B">
            <w:pPr>
              <w:jc w:val="both"/>
              <w:rPr>
                <w:bCs/>
                <w:szCs w:val="20"/>
              </w:rPr>
            </w:pPr>
          </w:p>
          <w:p w14:paraId="14A22AA6" w14:textId="77777777" w:rsidR="00297195" w:rsidRPr="00D62E40" w:rsidRDefault="00297195" w:rsidP="00406F3B">
            <w:pPr>
              <w:pStyle w:val="NoSpacing"/>
            </w:pPr>
            <w:r w:rsidRPr="00DE3AFB">
              <w:t>1.5.3/11.b.1/13.1.2 are repeats</w:t>
            </w:r>
          </w:p>
        </w:tc>
      </w:tr>
      <w:tr w:rsidR="00297195" w14:paraId="1F4A1158" w14:textId="77777777" w:rsidTr="0085651F">
        <w:tc>
          <w:tcPr>
            <w:tcW w:w="0" w:type="auto"/>
            <w:shd w:val="clear" w:color="auto" w:fill="auto"/>
          </w:tcPr>
          <w:p w14:paraId="4FD275FD" w14:textId="77777777" w:rsidR="00297195" w:rsidRPr="002969FF" w:rsidRDefault="00297195" w:rsidP="00406F3B">
            <w:pPr>
              <w:rPr>
                <w:szCs w:val="20"/>
              </w:rPr>
            </w:pPr>
            <w:r w:rsidRPr="002969FF">
              <w:rPr>
                <w:szCs w:val="20"/>
              </w:rPr>
              <w:lastRenderedPageBreak/>
              <w:t>1.5.4 Proportion of local governments that adopt and implement local disaster risk reduction strategies in line with national disaster risk reduction strategies</w:t>
            </w:r>
          </w:p>
        </w:tc>
        <w:tc>
          <w:tcPr>
            <w:tcW w:w="0" w:type="auto"/>
            <w:shd w:val="clear" w:color="auto" w:fill="auto"/>
          </w:tcPr>
          <w:p w14:paraId="58054EDD" w14:textId="77777777" w:rsidR="00297195" w:rsidRPr="002969FF" w:rsidRDefault="00297195" w:rsidP="00406F3B">
            <w:pPr>
              <w:rPr>
                <w:szCs w:val="20"/>
              </w:rPr>
            </w:pPr>
            <w:r w:rsidRPr="002969FF">
              <w:rPr>
                <w:szCs w:val="20"/>
              </w:rPr>
              <w:t>United Nations Office for Disaster Reduction (UNISDR)</w:t>
            </w:r>
          </w:p>
          <w:p w14:paraId="5EAF59F6" w14:textId="77777777" w:rsidR="00297195" w:rsidRPr="002969FF" w:rsidRDefault="00297195" w:rsidP="00406F3B">
            <w:pPr>
              <w:jc w:val="center"/>
              <w:rPr>
                <w:szCs w:val="20"/>
              </w:rPr>
            </w:pPr>
          </w:p>
        </w:tc>
        <w:tc>
          <w:tcPr>
            <w:tcW w:w="0" w:type="auto"/>
            <w:shd w:val="clear" w:color="auto" w:fill="auto"/>
          </w:tcPr>
          <w:p w14:paraId="081B1EDE" w14:textId="77777777" w:rsidR="00297195" w:rsidRPr="00262FC1" w:rsidRDefault="00297195" w:rsidP="00406F3B">
            <w:pPr>
              <w:jc w:val="center"/>
              <w:rPr>
                <w:szCs w:val="20"/>
              </w:rPr>
            </w:pPr>
            <w:r w:rsidRPr="00262FC1">
              <w:rPr>
                <w:szCs w:val="20"/>
              </w:rPr>
              <w:t>Tier II</w:t>
            </w:r>
          </w:p>
        </w:tc>
        <w:tc>
          <w:tcPr>
            <w:tcW w:w="0" w:type="auto"/>
            <w:shd w:val="clear" w:color="auto" w:fill="auto"/>
          </w:tcPr>
          <w:p w14:paraId="137BDEBA" w14:textId="77777777" w:rsidR="00297195" w:rsidRPr="002969FF" w:rsidRDefault="00297195" w:rsidP="00406F3B">
            <w:pPr>
              <w:jc w:val="both"/>
              <w:rPr>
                <w:b/>
                <w:bCs/>
                <w:szCs w:val="20"/>
              </w:rPr>
            </w:pPr>
            <w:r w:rsidRPr="002969FF">
              <w:rPr>
                <w:b/>
                <w:bCs/>
                <w:szCs w:val="20"/>
              </w:rPr>
              <w:t>Definition:</w:t>
            </w:r>
          </w:p>
          <w:p w14:paraId="121C4244" w14:textId="77777777" w:rsidR="00297195" w:rsidRPr="002969FF" w:rsidRDefault="00297195" w:rsidP="00406F3B">
            <w:pPr>
              <w:jc w:val="both"/>
              <w:rPr>
                <w:szCs w:val="20"/>
              </w:rPr>
            </w:pPr>
            <w:r w:rsidRPr="002969FF">
              <w:rPr>
                <w:szCs w:val="20"/>
              </w:rPr>
              <w:t>The Sendai Framework for Disaster Risk Reduction 2015-2030 was adopted by UN Member States in March 2015 as a global policy of disaster risk reduction. One of the targets is: “Substantially increase the number of countries with national and local disaster risk reduction strategies by 2020”.</w:t>
            </w:r>
          </w:p>
          <w:p w14:paraId="6126E31F" w14:textId="77777777" w:rsidR="00297195" w:rsidRPr="002969FF" w:rsidRDefault="00297195" w:rsidP="00406F3B">
            <w:pPr>
              <w:jc w:val="both"/>
              <w:rPr>
                <w:szCs w:val="20"/>
              </w:rPr>
            </w:pPr>
            <w:r w:rsidRPr="002969FF">
              <w:rPr>
                <w:szCs w:val="20"/>
              </w:rPr>
              <w:t>In line with the Sendai Framework for Disaster Risk Reduction 2015-2030, disaster risk reduction strategies and policies should mainstream and integrate disaster risk reduction within and across all sectors, across different timescales and with targets, indicators and time frames. These strategies should be aimed at preventing the creation of disaster risk, the reduction of existing risk and the strengthening of economic, social, health and environmental resilience.</w:t>
            </w:r>
          </w:p>
          <w:p w14:paraId="2BE413D9" w14:textId="77777777" w:rsidR="00297195" w:rsidRPr="002969FF" w:rsidRDefault="00297195" w:rsidP="00406F3B">
            <w:pPr>
              <w:jc w:val="both"/>
              <w:rPr>
                <w:szCs w:val="20"/>
              </w:rPr>
            </w:pPr>
            <w:r w:rsidRPr="002969FF">
              <w:rPr>
                <w:szCs w:val="20"/>
              </w:rPr>
              <w:t>The open-ended intergovernmental expert working group on indicators and terminology relating to disaster risk reduction (OIEWG) established by the General Assembly (resolution 69/284) has developed a set of indicators to measure global progress in the implementation of the Sendai Framework, which was endorsed by the UNGA The relevant SDG indicators reflect the Sendai Framework indicators.</w:t>
            </w:r>
          </w:p>
          <w:p w14:paraId="67DA41C6" w14:textId="77777777" w:rsidR="00297195" w:rsidRDefault="00297195" w:rsidP="00406F3B">
            <w:pPr>
              <w:jc w:val="both"/>
              <w:rPr>
                <w:szCs w:val="20"/>
              </w:rPr>
            </w:pPr>
            <w:r w:rsidRPr="002969FF">
              <w:rPr>
                <w:szCs w:val="20"/>
              </w:rPr>
              <w:t>Member States count the number of local governments that adopt and implement local DRR strategies in line with the national strategy and express it as a percentage of the total number of local governments in the country.</w:t>
            </w:r>
          </w:p>
          <w:p w14:paraId="3B1A2FE2" w14:textId="77777777" w:rsidR="00297195" w:rsidRDefault="00297195" w:rsidP="00406F3B">
            <w:pPr>
              <w:jc w:val="both"/>
              <w:rPr>
                <w:szCs w:val="20"/>
              </w:rPr>
            </w:pPr>
          </w:p>
          <w:p w14:paraId="76ABBA9A" w14:textId="77777777" w:rsidR="00297195" w:rsidRPr="000C4849" w:rsidRDefault="00297195" w:rsidP="00406F3B">
            <w:pPr>
              <w:jc w:val="both"/>
              <w:rPr>
                <w:b/>
                <w:szCs w:val="20"/>
              </w:rPr>
            </w:pPr>
            <w:r w:rsidRPr="000C4849">
              <w:rPr>
                <w:b/>
                <w:szCs w:val="20"/>
              </w:rPr>
              <w:t>Computation Method:</w:t>
            </w:r>
          </w:p>
          <w:p w14:paraId="3522AD6B" w14:textId="77777777" w:rsidR="00297195" w:rsidRPr="002969FF" w:rsidRDefault="00297195" w:rsidP="00406F3B">
            <w:pPr>
              <w:jc w:val="both"/>
              <w:rPr>
                <w:szCs w:val="20"/>
              </w:rPr>
            </w:pPr>
            <w:r w:rsidRPr="00405FAD">
              <w:rPr>
                <w:szCs w:val="20"/>
              </w:rPr>
              <w:t>Member States count the number of local governments that adopt and implement local DRR strategies in line with the national strategy and express it as a percentage of the total number of local governments in the country.</w:t>
            </w:r>
          </w:p>
          <w:p w14:paraId="0E63A4EF" w14:textId="77777777" w:rsidR="00297195" w:rsidRPr="002969FF" w:rsidRDefault="00297195" w:rsidP="00406F3B">
            <w:pPr>
              <w:jc w:val="both"/>
              <w:rPr>
                <w:szCs w:val="20"/>
              </w:rPr>
            </w:pPr>
            <w:r w:rsidRPr="002969FF">
              <w:rPr>
                <w:szCs w:val="20"/>
              </w:rPr>
              <w:t>Local governments are determined by the reporting country for this indicator, considering sub-national public administrations with responsibility to develop local disaster risk reduction strategies. It is recommended that countries report on progress made by the lowest level of government accorded the mandate for disaster risk reduction, as the Sendai Framework promotes the adoption and implementation of local disaster risk reduction strategies in every local authority.</w:t>
            </w:r>
          </w:p>
          <w:p w14:paraId="1FBB2E1B" w14:textId="77777777" w:rsidR="00297195" w:rsidRDefault="00297195" w:rsidP="00406F3B">
            <w:pPr>
              <w:jc w:val="both"/>
              <w:rPr>
                <w:szCs w:val="20"/>
              </w:rPr>
            </w:pPr>
            <w:r w:rsidRPr="002969FF">
              <w:rPr>
                <w:szCs w:val="20"/>
              </w:rPr>
              <w:t xml:space="preserve">Each Member State will calculate the ratio of the number of local governments with local DRR strategies in </w:t>
            </w:r>
            <w:r w:rsidRPr="002969FF">
              <w:rPr>
                <w:szCs w:val="20"/>
              </w:rPr>
              <w:lastRenderedPageBreak/>
              <w:t>line with national strategies and the total number of local governments.</w:t>
            </w:r>
          </w:p>
          <w:p w14:paraId="6AE48E02" w14:textId="77777777" w:rsidR="00297195" w:rsidRPr="002969FF" w:rsidRDefault="00297195" w:rsidP="00406F3B">
            <w:pPr>
              <w:jc w:val="both"/>
              <w:rPr>
                <w:szCs w:val="20"/>
              </w:rPr>
            </w:pPr>
            <w:r w:rsidRPr="00405FAD">
              <w:rPr>
                <w:szCs w:val="20"/>
              </w:rPr>
              <w:t>Global Average will then be calculated as below through arithmetic average of the data from each Member State.</w:t>
            </w:r>
          </w:p>
        </w:tc>
        <w:tc>
          <w:tcPr>
            <w:tcW w:w="0" w:type="auto"/>
            <w:shd w:val="clear" w:color="auto" w:fill="auto"/>
          </w:tcPr>
          <w:p w14:paraId="5D28D883" w14:textId="77777777" w:rsidR="00297195" w:rsidRPr="006F67D3" w:rsidRDefault="00297195" w:rsidP="00406F3B">
            <w:pPr>
              <w:jc w:val="both"/>
              <w:rPr>
                <w:rFonts w:cs="Calibri"/>
                <w:color w:val="auto"/>
                <w:szCs w:val="20"/>
              </w:rPr>
            </w:pPr>
            <w:r w:rsidRPr="006F67D3">
              <w:rPr>
                <w:rFonts w:cs="Calibri"/>
                <w:color w:val="auto"/>
                <w:szCs w:val="20"/>
              </w:rPr>
              <w:lastRenderedPageBreak/>
              <w:t>Administrative Record: National Progress Report of the Sendai Monitor, reported to UNISDR</w:t>
            </w:r>
          </w:p>
        </w:tc>
        <w:tc>
          <w:tcPr>
            <w:tcW w:w="0" w:type="auto"/>
            <w:shd w:val="clear" w:color="auto" w:fill="auto"/>
          </w:tcPr>
          <w:p w14:paraId="0307081D" w14:textId="77777777" w:rsidR="00297195" w:rsidRPr="006F67D3" w:rsidRDefault="00297195" w:rsidP="00406F3B">
            <w:pPr>
              <w:jc w:val="center"/>
              <w:rPr>
                <w:rFonts w:cs="Calibri"/>
                <w:color w:val="auto"/>
                <w:szCs w:val="20"/>
              </w:rPr>
            </w:pPr>
            <w:r w:rsidRPr="006F67D3">
              <w:rPr>
                <w:rFonts w:cs="Calibri"/>
                <w:color w:val="auto"/>
                <w:szCs w:val="20"/>
              </w:rPr>
              <w:t>National Progress Report of the Sendai Monitor, reported to UNISDR</w:t>
            </w:r>
          </w:p>
        </w:tc>
        <w:tc>
          <w:tcPr>
            <w:tcW w:w="0" w:type="auto"/>
            <w:shd w:val="clear" w:color="auto" w:fill="auto"/>
          </w:tcPr>
          <w:p w14:paraId="3FCEF0F0" w14:textId="77777777" w:rsidR="00297195" w:rsidRDefault="00297195" w:rsidP="00406F3B">
            <w:pPr>
              <w:jc w:val="center"/>
              <w:rPr>
                <w:szCs w:val="20"/>
              </w:rPr>
            </w:pPr>
            <w:r>
              <w:rPr>
                <w:szCs w:val="20"/>
              </w:rPr>
              <w:t>MoDMR</w:t>
            </w:r>
          </w:p>
        </w:tc>
        <w:tc>
          <w:tcPr>
            <w:tcW w:w="0" w:type="auto"/>
            <w:shd w:val="clear" w:color="auto" w:fill="auto"/>
          </w:tcPr>
          <w:p w14:paraId="00FE0E12" w14:textId="77777777" w:rsidR="00297195" w:rsidRDefault="00297195" w:rsidP="00406F3B">
            <w:pPr>
              <w:jc w:val="center"/>
              <w:rPr>
                <w:szCs w:val="20"/>
              </w:rPr>
            </w:pPr>
            <w:r>
              <w:t xml:space="preserve">DDM, </w:t>
            </w:r>
            <w:r>
              <w:rPr>
                <w:szCs w:val="20"/>
              </w:rPr>
              <w:t>MoDMR</w:t>
            </w:r>
          </w:p>
        </w:tc>
        <w:tc>
          <w:tcPr>
            <w:tcW w:w="0" w:type="auto"/>
            <w:shd w:val="clear" w:color="auto" w:fill="auto"/>
          </w:tcPr>
          <w:p w14:paraId="6D6145A3" w14:textId="77777777" w:rsidR="00297195" w:rsidRPr="000C4849" w:rsidRDefault="00297195" w:rsidP="003D6C10">
            <w:pPr>
              <w:pStyle w:val="ListParagraph"/>
              <w:numPr>
                <w:ilvl w:val="0"/>
                <w:numId w:val="48"/>
              </w:numPr>
              <w:spacing w:after="160" w:line="259" w:lineRule="auto"/>
              <w:ind w:left="160" w:hanging="160"/>
              <w:rPr>
                <w:rFonts w:ascii="Tw Cen MT Condensed" w:hAnsi="Tw Cen MT Condensed"/>
              </w:rPr>
            </w:pPr>
            <w:r>
              <w:rPr>
                <w:rFonts w:ascii="Tw Cen MT Condensed" w:hAnsi="Tw Cen MT Condensed"/>
                <w:sz w:val="20"/>
                <w:szCs w:val="20"/>
              </w:rPr>
              <w:t>Qualitative Indicator</w:t>
            </w:r>
            <w:r>
              <w:t xml:space="preserve"> </w:t>
            </w:r>
          </w:p>
          <w:p w14:paraId="4A861013" w14:textId="1F2124FC" w:rsidR="00297195" w:rsidRPr="00FB2C18" w:rsidRDefault="00970164" w:rsidP="003D6C10">
            <w:pPr>
              <w:pStyle w:val="ListParagraph"/>
              <w:numPr>
                <w:ilvl w:val="0"/>
                <w:numId w:val="48"/>
              </w:numPr>
              <w:spacing w:after="160" w:line="259" w:lineRule="auto"/>
              <w:ind w:left="160" w:hanging="160"/>
              <w:rPr>
                <w:rFonts w:ascii="Tw Cen MT Condensed" w:hAnsi="Tw Cen MT Condensed"/>
              </w:rPr>
            </w:pPr>
            <w:r>
              <w:rPr>
                <w:rFonts w:ascii="Tw Cen MT Condensed" w:hAnsi="Tw Cen MT Condensed"/>
              </w:rPr>
              <w:t>I</w:t>
            </w:r>
            <w:r w:rsidR="00297195">
              <w:rPr>
                <w:rFonts w:ascii="Tw Cen MT Condensed" w:hAnsi="Tw Cen MT Condensed"/>
              </w:rPr>
              <w:t>ncome</w:t>
            </w:r>
            <w:r>
              <w:rPr>
                <w:rFonts w:ascii="Tw Cen MT Condensed" w:hAnsi="Tw Cen MT Condensed"/>
              </w:rPr>
              <w:t>: high/medium/low</w:t>
            </w:r>
          </w:p>
          <w:p w14:paraId="1423921B" w14:textId="77777777" w:rsidR="00297195" w:rsidRPr="00FB2C18" w:rsidRDefault="00297195" w:rsidP="003D6C10">
            <w:pPr>
              <w:pStyle w:val="ListParagraph"/>
              <w:numPr>
                <w:ilvl w:val="0"/>
                <w:numId w:val="48"/>
              </w:numPr>
              <w:spacing w:after="160" w:line="259" w:lineRule="auto"/>
              <w:ind w:left="160" w:hanging="160"/>
              <w:rPr>
                <w:rFonts w:ascii="Tw Cen MT Condensed" w:hAnsi="Tw Cen MT Condensed"/>
              </w:rPr>
            </w:pPr>
            <w:r w:rsidRPr="00FB2C18">
              <w:rPr>
                <w:rFonts w:ascii="Tw Cen MT Condensed" w:hAnsi="Tw Cen MT Condensed"/>
              </w:rPr>
              <w:t>city: sub-national administrative units</w:t>
            </w:r>
          </w:p>
          <w:p w14:paraId="2D6E7BB7" w14:textId="77777777" w:rsidR="00297195" w:rsidRDefault="00297195" w:rsidP="000C4849">
            <w:pPr>
              <w:pStyle w:val="ListParagraph"/>
              <w:ind w:left="130"/>
              <w:rPr>
                <w:rFonts w:ascii="Tw Cen MT Condensed" w:hAnsi="Tw Cen MT Condensed"/>
                <w:sz w:val="20"/>
                <w:szCs w:val="20"/>
              </w:rPr>
            </w:pPr>
          </w:p>
        </w:tc>
        <w:tc>
          <w:tcPr>
            <w:tcW w:w="0" w:type="auto"/>
            <w:shd w:val="clear" w:color="auto" w:fill="auto"/>
          </w:tcPr>
          <w:p w14:paraId="028CF7A6" w14:textId="77777777" w:rsidR="00297195" w:rsidRDefault="00297195" w:rsidP="00406F3B">
            <w:pPr>
              <w:jc w:val="center"/>
              <w:rPr>
                <w:bCs/>
                <w:szCs w:val="20"/>
              </w:rPr>
            </w:pPr>
            <w:r>
              <w:rPr>
                <w:rFonts w:ascii="Tw Cen MT" w:eastAsia="Tw Cen MT" w:hAnsi="Tw Cen MT" w:cs="Tw Cen MT"/>
                <w:sz w:val="22"/>
              </w:rPr>
              <w:t>Annual</w:t>
            </w:r>
          </w:p>
        </w:tc>
        <w:tc>
          <w:tcPr>
            <w:tcW w:w="0" w:type="auto"/>
            <w:shd w:val="clear" w:color="auto" w:fill="auto"/>
          </w:tcPr>
          <w:p w14:paraId="750543F3" w14:textId="77777777" w:rsidR="00297195" w:rsidRDefault="00297195" w:rsidP="00406F3B">
            <w:pPr>
              <w:jc w:val="center"/>
              <w:rPr>
                <w:bCs/>
                <w:szCs w:val="20"/>
              </w:rPr>
            </w:pPr>
            <w:r>
              <w:rPr>
                <w:bCs/>
                <w:szCs w:val="20"/>
              </w:rPr>
              <w:t>Group 1</w:t>
            </w:r>
          </w:p>
        </w:tc>
        <w:tc>
          <w:tcPr>
            <w:tcW w:w="0" w:type="auto"/>
            <w:shd w:val="clear" w:color="auto" w:fill="auto"/>
          </w:tcPr>
          <w:p w14:paraId="660CC304" w14:textId="77777777" w:rsidR="00297195" w:rsidRDefault="00297195" w:rsidP="00406F3B">
            <w:pPr>
              <w:pStyle w:val="NoSpacing"/>
            </w:pPr>
          </w:p>
          <w:p w14:paraId="12A261D3" w14:textId="77777777" w:rsidR="00297195" w:rsidRDefault="00297195" w:rsidP="00406F3B">
            <w:pPr>
              <w:pStyle w:val="NoSpacing"/>
            </w:pPr>
            <w:r>
              <w:t>1</w:t>
            </w:r>
            <w:r w:rsidRPr="00013ACB">
              <w:rPr>
                <w:vertAlign w:val="superscript"/>
              </w:rPr>
              <w:t>st</w:t>
            </w:r>
            <w:r>
              <w:t xml:space="preserve"> Round: </w:t>
            </w:r>
          </w:p>
          <w:p w14:paraId="7A8F884E" w14:textId="77777777" w:rsidR="00297195" w:rsidRDefault="00297195" w:rsidP="00406F3B">
            <w:pPr>
              <w:pStyle w:val="NoSpacing"/>
            </w:pPr>
            <w:r>
              <w:t>2019</w:t>
            </w:r>
          </w:p>
          <w:p w14:paraId="6F6D226D" w14:textId="77777777" w:rsidR="00297195" w:rsidRDefault="00297195" w:rsidP="00406F3B">
            <w:pPr>
              <w:pStyle w:val="NoSpacing"/>
            </w:pPr>
            <w:r>
              <w:t>2</w:t>
            </w:r>
            <w:r w:rsidRPr="00013ACB">
              <w:rPr>
                <w:vertAlign w:val="superscript"/>
              </w:rPr>
              <w:t>nd</w:t>
            </w:r>
            <w:r>
              <w:t xml:space="preserve"> Round: </w:t>
            </w:r>
          </w:p>
          <w:p w14:paraId="48CEA6CF" w14:textId="77777777" w:rsidR="00297195" w:rsidRDefault="00297195" w:rsidP="00406F3B">
            <w:pPr>
              <w:pStyle w:val="NoSpacing"/>
            </w:pPr>
            <w:r>
              <w:t>August, 2020</w:t>
            </w:r>
          </w:p>
          <w:p w14:paraId="3AE22CBD" w14:textId="77777777" w:rsidR="00297195" w:rsidRDefault="00297195" w:rsidP="00406F3B">
            <w:pPr>
              <w:pStyle w:val="NoSpacing"/>
            </w:pPr>
          </w:p>
          <w:p w14:paraId="11DB2AD3" w14:textId="77777777" w:rsidR="00297195" w:rsidRDefault="00297195" w:rsidP="00406F3B">
            <w:pPr>
              <w:pStyle w:val="NoSpacing"/>
            </w:pPr>
            <w:r>
              <w:t>3</w:t>
            </w:r>
            <w:r w:rsidRPr="00013ACB">
              <w:rPr>
                <w:vertAlign w:val="superscript"/>
              </w:rPr>
              <w:t>rd</w:t>
            </w:r>
            <w:r>
              <w:t xml:space="preserve"> Round: </w:t>
            </w:r>
          </w:p>
          <w:p w14:paraId="2006A42A" w14:textId="77777777" w:rsidR="00297195" w:rsidRDefault="00297195" w:rsidP="00406F3B">
            <w:pPr>
              <w:pStyle w:val="NoSpacing"/>
            </w:pPr>
            <w:r>
              <w:t>August, 2021</w:t>
            </w:r>
          </w:p>
          <w:p w14:paraId="39D4ABFC" w14:textId="77777777" w:rsidR="00297195" w:rsidRDefault="00297195" w:rsidP="00406F3B">
            <w:pPr>
              <w:pStyle w:val="NoSpacing"/>
            </w:pPr>
          </w:p>
          <w:p w14:paraId="2ED6BC63" w14:textId="77777777" w:rsidR="00297195" w:rsidRDefault="00297195" w:rsidP="00406F3B">
            <w:pPr>
              <w:pStyle w:val="NoSpacing"/>
            </w:pPr>
            <w:r>
              <w:t>4</w:t>
            </w:r>
            <w:r w:rsidRPr="00013ACB">
              <w:rPr>
                <w:vertAlign w:val="superscript"/>
              </w:rPr>
              <w:t>th</w:t>
            </w:r>
            <w:r>
              <w:t xml:space="preserve"> Round: </w:t>
            </w:r>
          </w:p>
          <w:p w14:paraId="7F05F3A2" w14:textId="77777777" w:rsidR="00297195" w:rsidRDefault="00297195" w:rsidP="00406F3B">
            <w:pPr>
              <w:pStyle w:val="NoSpacing"/>
            </w:pPr>
            <w:r>
              <w:t>August, 2022</w:t>
            </w:r>
          </w:p>
          <w:p w14:paraId="22608D9B" w14:textId="77777777" w:rsidR="00297195" w:rsidRDefault="00297195" w:rsidP="00406F3B">
            <w:pPr>
              <w:pStyle w:val="NoSpacing"/>
            </w:pPr>
          </w:p>
          <w:p w14:paraId="6D25419B" w14:textId="77777777" w:rsidR="00297195" w:rsidRDefault="00297195" w:rsidP="00406F3B">
            <w:pPr>
              <w:pStyle w:val="NoSpacing"/>
            </w:pPr>
            <w:r>
              <w:t>5</w:t>
            </w:r>
            <w:r w:rsidRPr="00013ACB">
              <w:rPr>
                <w:vertAlign w:val="superscript"/>
              </w:rPr>
              <w:t>th</w:t>
            </w:r>
            <w:r>
              <w:t xml:space="preserve"> Round: </w:t>
            </w:r>
          </w:p>
          <w:p w14:paraId="4952D064" w14:textId="77777777" w:rsidR="00297195" w:rsidRDefault="00297195" w:rsidP="00406F3B">
            <w:pPr>
              <w:pStyle w:val="NoSpacing"/>
            </w:pPr>
            <w:r>
              <w:t>August, 2023</w:t>
            </w:r>
          </w:p>
          <w:p w14:paraId="09117A8D" w14:textId="7F4A9AE6" w:rsidR="00297195" w:rsidRPr="003265B9" w:rsidRDefault="00297195" w:rsidP="00406F3B">
            <w:pPr>
              <w:pStyle w:val="NoSpacing"/>
            </w:pPr>
          </w:p>
        </w:tc>
        <w:tc>
          <w:tcPr>
            <w:tcW w:w="0" w:type="auto"/>
            <w:shd w:val="clear" w:color="auto" w:fill="auto"/>
          </w:tcPr>
          <w:p w14:paraId="7E972E1D" w14:textId="77777777" w:rsidR="00297195" w:rsidRDefault="00297195" w:rsidP="00406F3B">
            <w:pPr>
              <w:pStyle w:val="NoSpacing"/>
            </w:pPr>
            <w:r>
              <w:t xml:space="preserve">City Corporation of Rangpur and Municipalities of Tangail, Rangamati and Sunamganj </w:t>
            </w:r>
            <w:proofErr w:type="gramStart"/>
            <w:r>
              <w:t>have</w:t>
            </w:r>
            <w:proofErr w:type="gramEnd"/>
            <w:r>
              <w:t xml:space="preserve"> disaster risk reduction strategies in line with national disaster risk reduction strategies.</w:t>
            </w:r>
          </w:p>
          <w:p w14:paraId="08D105E6" w14:textId="77777777" w:rsidR="00297195" w:rsidRDefault="00297195" w:rsidP="00406F3B">
            <w:pPr>
              <w:pStyle w:val="NoSpacing"/>
            </w:pPr>
          </w:p>
          <w:p w14:paraId="55DC09AB" w14:textId="77777777" w:rsidR="00297195" w:rsidRDefault="00297195" w:rsidP="00406F3B">
            <w:pPr>
              <w:pStyle w:val="NoSpacing"/>
            </w:pPr>
          </w:p>
          <w:p w14:paraId="756BB90A" w14:textId="77777777" w:rsidR="00297195" w:rsidRPr="00DE3AFB" w:rsidRDefault="00297195" w:rsidP="00406F3B">
            <w:pPr>
              <w:pStyle w:val="NoSpacing"/>
              <w:rPr>
                <w:bCs/>
                <w:szCs w:val="20"/>
              </w:rPr>
            </w:pPr>
            <w:r w:rsidRPr="00DE3AFB">
              <w:rPr>
                <w:bCs/>
                <w:szCs w:val="20"/>
              </w:rPr>
              <w:t>Reviewed at 6th IAEG-SDG meeting (classified as Tier II)</w:t>
            </w:r>
          </w:p>
          <w:p w14:paraId="40A69F42" w14:textId="77777777" w:rsidR="00297195" w:rsidRPr="00DE3AFB" w:rsidRDefault="00297195" w:rsidP="00406F3B">
            <w:pPr>
              <w:pStyle w:val="NoSpacing"/>
              <w:rPr>
                <w:bCs/>
                <w:szCs w:val="20"/>
              </w:rPr>
            </w:pPr>
          </w:p>
          <w:p w14:paraId="53386CBC" w14:textId="7D5D4F28" w:rsidR="00297195" w:rsidRPr="00DE3AFB" w:rsidRDefault="00297195" w:rsidP="00406F3B">
            <w:pPr>
              <w:pStyle w:val="NoSpacing"/>
              <w:rPr>
                <w:bCs/>
                <w:szCs w:val="20"/>
              </w:rPr>
            </w:pPr>
            <w:r w:rsidRPr="00DE3AFB">
              <w:rPr>
                <w:bCs/>
                <w:szCs w:val="20"/>
              </w:rPr>
              <w:t xml:space="preserve">Sendai modification; Reviewed at 5th IAEG-SDG </w:t>
            </w:r>
            <w:r w:rsidRPr="00DE3AFB">
              <w:rPr>
                <w:bCs/>
                <w:szCs w:val="20"/>
              </w:rPr>
              <w:lastRenderedPageBreak/>
              <w:t xml:space="preserve">meeting (classified as </w:t>
            </w:r>
            <w:r>
              <w:rPr>
                <w:bCs/>
                <w:szCs w:val="20"/>
              </w:rPr>
              <w:t>TBD</w:t>
            </w:r>
            <w:r w:rsidRPr="00DE3AFB">
              <w:rPr>
                <w:bCs/>
                <w:szCs w:val="20"/>
              </w:rPr>
              <w:t>)</w:t>
            </w:r>
          </w:p>
          <w:p w14:paraId="36B04642" w14:textId="77777777" w:rsidR="00297195" w:rsidRPr="00DE3AFB" w:rsidRDefault="00297195" w:rsidP="00406F3B">
            <w:pPr>
              <w:pStyle w:val="NoSpacing"/>
              <w:rPr>
                <w:bCs/>
                <w:szCs w:val="20"/>
              </w:rPr>
            </w:pPr>
          </w:p>
          <w:p w14:paraId="23842347" w14:textId="4122CA5D" w:rsidR="00297195" w:rsidRPr="00D62E40" w:rsidRDefault="00297195" w:rsidP="00406F3B">
            <w:pPr>
              <w:pStyle w:val="NoSpacing"/>
              <w:rPr>
                <w:bCs/>
                <w:szCs w:val="20"/>
              </w:rPr>
            </w:pPr>
            <w:r w:rsidRPr="00DE3AFB">
              <w:rPr>
                <w:bCs/>
                <w:szCs w:val="20"/>
              </w:rPr>
              <w:t>11.b.2</w:t>
            </w:r>
            <w:r>
              <w:rPr>
                <w:bCs/>
                <w:szCs w:val="20"/>
              </w:rPr>
              <w:t xml:space="preserve"> &amp; </w:t>
            </w:r>
            <w:r w:rsidRPr="00DE3AFB">
              <w:rPr>
                <w:bCs/>
                <w:szCs w:val="20"/>
              </w:rPr>
              <w:t>13.1.3 are repeat</w:t>
            </w:r>
            <w:r>
              <w:rPr>
                <w:bCs/>
                <w:szCs w:val="20"/>
              </w:rPr>
              <w:t>ed</w:t>
            </w:r>
          </w:p>
        </w:tc>
      </w:tr>
      <w:tr w:rsidR="00297195" w14:paraId="53DD4369" w14:textId="77777777" w:rsidTr="0085651F">
        <w:tc>
          <w:tcPr>
            <w:tcW w:w="0" w:type="auto"/>
            <w:gridSpan w:val="2"/>
            <w:shd w:val="clear" w:color="auto" w:fill="auto"/>
          </w:tcPr>
          <w:p w14:paraId="7788196F" w14:textId="77777777" w:rsidR="00297195" w:rsidRPr="006F67D3" w:rsidRDefault="00297195" w:rsidP="00406F3B">
            <w:pPr>
              <w:jc w:val="both"/>
              <w:rPr>
                <w:color w:val="C00000"/>
                <w:sz w:val="30"/>
                <w:szCs w:val="30"/>
              </w:rPr>
            </w:pPr>
          </w:p>
        </w:tc>
        <w:tc>
          <w:tcPr>
            <w:tcW w:w="0" w:type="auto"/>
            <w:gridSpan w:val="11"/>
            <w:shd w:val="clear" w:color="auto" w:fill="auto"/>
          </w:tcPr>
          <w:p w14:paraId="3B44A791" w14:textId="77777777" w:rsidR="00297195" w:rsidRPr="006F67D3" w:rsidRDefault="00297195" w:rsidP="00406F3B">
            <w:pPr>
              <w:jc w:val="both"/>
              <w:rPr>
                <w:color w:val="C00000"/>
                <w:sz w:val="30"/>
                <w:szCs w:val="30"/>
              </w:rPr>
            </w:pPr>
            <w:r w:rsidRPr="006F67D3">
              <w:rPr>
                <w:color w:val="C00000"/>
                <w:sz w:val="30"/>
                <w:szCs w:val="30"/>
              </w:rPr>
              <w:t>Target 1.a Ensure significant mobilization of resources from a variety of sources, including through enhanced development cooperation, in order to provide adequate and predictable means for developing countries, in particular least developed countries, to implement programmes and policies to end poverty in all its dimensions</w:t>
            </w:r>
          </w:p>
        </w:tc>
      </w:tr>
      <w:tr w:rsidR="00297195" w14:paraId="2B1A9D8D" w14:textId="77777777" w:rsidTr="0085651F">
        <w:tc>
          <w:tcPr>
            <w:tcW w:w="0" w:type="auto"/>
            <w:shd w:val="clear" w:color="auto" w:fill="auto"/>
          </w:tcPr>
          <w:p w14:paraId="6A6FF5E6" w14:textId="77777777" w:rsidR="00297195" w:rsidRPr="00F40ACF" w:rsidRDefault="00297195" w:rsidP="00406F3B">
            <w:pPr>
              <w:rPr>
                <w:szCs w:val="20"/>
              </w:rPr>
            </w:pPr>
            <w:r w:rsidRPr="003654A8">
              <w:rPr>
                <w:szCs w:val="20"/>
              </w:rPr>
              <w:t>1.a.1 Total official development assistance grants from all donors that focus on poverty reduction as a share of the recipient country’s gross national income</w:t>
            </w:r>
          </w:p>
        </w:tc>
        <w:tc>
          <w:tcPr>
            <w:tcW w:w="0" w:type="auto"/>
            <w:shd w:val="clear" w:color="auto" w:fill="auto"/>
          </w:tcPr>
          <w:p w14:paraId="643961D4" w14:textId="77777777" w:rsidR="00297195" w:rsidRPr="00F40ACF" w:rsidRDefault="00297195" w:rsidP="00406F3B">
            <w:pPr>
              <w:jc w:val="center"/>
              <w:rPr>
                <w:szCs w:val="20"/>
              </w:rPr>
            </w:pPr>
            <w:r w:rsidRPr="00F40ACF">
              <w:rPr>
                <w:szCs w:val="20"/>
              </w:rPr>
              <w:t>-</w:t>
            </w:r>
          </w:p>
        </w:tc>
        <w:tc>
          <w:tcPr>
            <w:tcW w:w="0" w:type="auto"/>
            <w:shd w:val="clear" w:color="auto" w:fill="auto"/>
          </w:tcPr>
          <w:p w14:paraId="086AE3BA" w14:textId="4750A7B3" w:rsidR="00297195" w:rsidRPr="00262FC1" w:rsidRDefault="00297195" w:rsidP="00406F3B">
            <w:pPr>
              <w:jc w:val="center"/>
              <w:rPr>
                <w:szCs w:val="20"/>
              </w:rPr>
            </w:pPr>
            <w:r>
              <w:rPr>
                <w:szCs w:val="20"/>
              </w:rPr>
              <w:t>TBD</w:t>
            </w:r>
          </w:p>
        </w:tc>
        <w:tc>
          <w:tcPr>
            <w:tcW w:w="0" w:type="auto"/>
            <w:shd w:val="clear" w:color="auto" w:fill="auto"/>
          </w:tcPr>
          <w:p w14:paraId="07AF04A8" w14:textId="77777777" w:rsidR="00297195" w:rsidRPr="00DC1CFF" w:rsidRDefault="00297195" w:rsidP="00406F3B">
            <w:pPr>
              <w:pStyle w:val="NoSpacing"/>
              <w:rPr>
                <w:b/>
                <w:bCs/>
              </w:rPr>
            </w:pPr>
            <w:r w:rsidRPr="00DC1CFF">
              <w:rPr>
                <w:b/>
                <w:bCs/>
              </w:rPr>
              <w:t xml:space="preserve">Definition: </w:t>
            </w:r>
          </w:p>
          <w:p w14:paraId="60524957" w14:textId="77777777" w:rsidR="00297195" w:rsidRDefault="00297195" w:rsidP="00406F3B">
            <w:pPr>
              <w:pStyle w:val="NoSpacing"/>
            </w:pPr>
            <w:r>
              <w:t xml:space="preserve"> </w:t>
            </w:r>
          </w:p>
          <w:p w14:paraId="4FD4842B" w14:textId="77777777" w:rsidR="00297195" w:rsidRDefault="00297195" w:rsidP="00406F3B">
            <w:pPr>
              <w:pStyle w:val="NoSpacing"/>
            </w:pPr>
            <w:r>
              <w:t xml:space="preserve">Total official development assistance (ODA) grants from all donors that focus on poverty reduction as a share of the recipient country’s gross national income.  </w:t>
            </w:r>
          </w:p>
          <w:p w14:paraId="26DF3F3D" w14:textId="77777777" w:rsidR="00297195" w:rsidRDefault="00297195" w:rsidP="00406F3B">
            <w:pPr>
              <w:pStyle w:val="NoSpacing"/>
            </w:pPr>
            <w:r>
              <w:t xml:space="preserve"> </w:t>
            </w:r>
          </w:p>
          <w:p w14:paraId="5D89C3ED" w14:textId="77777777" w:rsidR="00297195" w:rsidRDefault="00297195" w:rsidP="00406F3B">
            <w:pPr>
              <w:pStyle w:val="NoSpacing"/>
            </w:pPr>
            <w:r>
              <w:t xml:space="preserve">The OECD/Development Assistance Committee (DAC) defines ODA as “flows to countries and territories on the DAC List of ODA Recipients and to multilateral institutions which are i)  provided by official agencies, including state and local governments, or by their executive agencies; and ii)  each transaction  is administered with the promotion of the economic development and welfare of developing countries as its main objective; and is concessional in character and conveys a grant element of at least 25 per cent </w:t>
            </w:r>
          </w:p>
          <w:p w14:paraId="092E40DB" w14:textId="77777777" w:rsidR="00297195" w:rsidRDefault="00297195" w:rsidP="00406F3B">
            <w:pPr>
              <w:pStyle w:val="NoSpacing"/>
            </w:pPr>
            <w:r>
              <w:t>(</w:t>
            </w:r>
            <w:proofErr w:type="gramStart"/>
            <w:r>
              <w:t>calculated</w:t>
            </w:r>
            <w:proofErr w:type="gramEnd"/>
            <w:r>
              <w:t xml:space="preserve"> at a rate of discount of 10 per cent). (See </w:t>
            </w:r>
            <w:hyperlink r:id="rId37">
              <w:r>
                <w:rPr>
                  <w:color w:val="0000FF"/>
                  <w:u w:val="single" w:color="0000FF"/>
                </w:rPr>
                <w:t>http://www.oecd.org/dac/stats/officialdevelopmentassistancedefinitionandcoverage.htm</w:t>
              </w:r>
            </w:hyperlink>
            <w:hyperlink r:id="rId38">
              <w:r>
                <w:t>)</w:t>
              </w:r>
            </w:hyperlink>
            <w:r>
              <w:t xml:space="preserve">. </w:t>
            </w:r>
          </w:p>
          <w:p w14:paraId="4E7AB84C" w14:textId="77777777" w:rsidR="00297195" w:rsidRDefault="00297195" w:rsidP="00406F3B">
            <w:pPr>
              <w:pStyle w:val="NoSpacing"/>
            </w:pPr>
            <w:r>
              <w:t xml:space="preserve"> </w:t>
            </w:r>
          </w:p>
          <w:p w14:paraId="54FD11ED" w14:textId="77777777" w:rsidR="00297195" w:rsidRDefault="00297195" w:rsidP="00406F3B">
            <w:pPr>
              <w:pStyle w:val="NoSpacing"/>
            </w:pPr>
            <w:r>
              <w:t xml:space="preserve">Poverty reduction items can be defined as ODA to basic social services (basic health, basic education, basic water and sanitation, population programmes and reproductive health) and developmental food aid (see here: </w:t>
            </w:r>
            <w:hyperlink r:id="rId39">
              <w:r>
                <w:rPr>
                  <w:color w:val="0000FF"/>
                  <w:u w:val="single" w:color="0000FF"/>
                </w:rPr>
                <w:t>http://www.oecd.org/dac/stats/purposecodessectorclassification.htm</w:t>
              </w:r>
            </w:hyperlink>
            <w:hyperlink r:id="rId40">
              <w:r>
                <w:t>)</w:t>
              </w:r>
            </w:hyperlink>
            <w:r>
              <w:t xml:space="preserve">. </w:t>
            </w:r>
          </w:p>
          <w:p w14:paraId="0BA59488" w14:textId="77777777" w:rsidR="00297195" w:rsidRDefault="00297195" w:rsidP="00406F3B">
            <w:pPr>
              <w:pStyle w:val="NoSpacing"/>
            </w:pPr>
            <w:r>
              <w:t xml:space="preserve"> </w:t>
            </w:r>
          </w:p>
          <w:p w14:paraId="6A3FDA4E" w14:textId="77777777" w:rsidR="00297195" w:rsidRPr="000C4849" w:rsidRDefault="00297195" w:rsidP="00406F3B">
            <w:pPr>
              <w:pStyle w:val="NoSpacing"/>
              <w:rPr>
                <w:b/>
              </w:rPr>
            </w:pPr>
            <w:r w:rsidRPr="000C4849">
              <w:rPr>
                <w:b/>
              </w:rPr>
              <w:t xml:space="preserve">Concepts: </w:t>
            </w:r>
          </w:p>
          <w:p w14:paraId="2EA6C551" w14:textId="77777777" w:rsidR="00297195" w:rsidRDefault="00297195" w:rsidP="00406F3B">
            <w:pPr>
              <w:pStyle w:val="NoSpacing"/>
            </w:pPr>
            <w:r>
              <w:t xml:space="preserve"> </w:t>
            </w:r>
          </w:p>
          <w:p w14:paraId="48F0AD74" w14:textId="77777777" w:rsidR="00297195" w:rsidRDefault="00297195" w:rsidP="00406F3B">
            <w:pPr>
              <w:pStyle w:val="NoSpacing"/>
            </w:pPr>
            <w:r>
              <w:t xml:space="preserve">Basic social services and development food aid, which focus on poverty reduction, are defined using the following OECD Creditor Reporting System purpose codes, which identify the sector the activity is intended to target:  </w:t>
            </w:r>
          </w:p>
          <w:p w14:paraId="543B1940" w14:textId="77777777" w:rsidR="00297195" w:rsidRDefault="00297195" w:rsidP="00406F3B">
            <w:pPr>
              <w:pStyle w:val="NoSpacing"/>
            </w:pPr>
            <w:r>
              <w:t xml:space="preserve"> </w:t>
            </w:r>
          </w:p>
          <w:p w14:paraId="7A448B7B" w14:textId="77777777" w:rsidR="00297195" w:rsidRDefault="00297195" w:rsidP="00406F3B">
            <w:pPr>
              <w:pStyle w:val="NoSpacing"/>
            </w:pPr>
            <w:r>
              <w:t xml:space="preserve">Basic Education (CRS codes 112xx) </w:t>
            </w:r>
          </w:p>
          <w:p w14:paraId="32A7E8B8" w14:textId="77777777" w:rsidR="00297195" w:rsidRDefault="00297195" w:rsidP="00406F3B">
            <w:pPr>
              <w:pStyle w:val="NoSpacing"/>
            </w:pPr>
            <w:r>
              <w:t xml:space="preserve">Basic Health (CRS codes (122xx) </w:t>
            </w:r>
          </w:p>
          <w:p w14:paraId="6E979835" w14:textId="77777777" w:rsidR="00297195" w:rsidRDefault="00297195" w:rsidP="00406F3B">
            <w:pPr>
              <w:pStyle w:val="NoSpacing"/>
            </w:pPr>
            <w:r>
              <w:t xml:space="preserve">Water Supply and Sanitation (CRS codes 140xx) </w:t>
            </w:r>
          </w:p>
          <w:p w14:paraId="48B72064" w14:textId="77777777" w:rsidR="00297195" w:rsidRDefault="00297195" w:rsidP="00406F3B">
            <w:pPr>
              <w:pStyle w:val="NoSpacing"/>
            </w:pPr>
            <w:r>
              <w:t xml:space="preserve">Multisector aid for basic social services (CRS code 16050) </w:t>
            </w:r>
          </w:p>
          <w:p w14:paraId="34626EFA" w14:textId="77777777" w:rsidR="00297195" w:rsidRDefault="00297195" w:rsidP="00406F3B">
            <w:pPr>
              <w:pStyle w:val="NoSpacing"/>
            </w:pPr>
            <w:r>
              <w:t xml:space="preserve">Development Food Aid (CRS code 52010) </w:t>
            </w:r>
          </w:p>
          <w:p w14:paraId="3F482DB5" w14:textId="77777777" w:rsidR="00297195" w:rsidRDefault="00297195" w:rsidP="00406F3B">
            <w:pPr>
              <w:pStyle w:val="NoSpacing"/>
            </w:pPr>
            <w:r>
              <w:t xml:space="preserve"> </w:t>
            </w:r>
          </w:p>
          <w:p w14:paraId="4F0E5E22" w14:textId="77777777" w:rsidR="00297195" w:rsidRDefault="00297195" w:rsidP="00406F3B">
            <w:pPr>
              <w:pStyle w:val="NoSpacing"/>
            </w:pPr>
            <w:r>
              <w:t xml:space="preserve">The detailed list of CRS purpose codes and their definitions are available here: </w:t>
            </w:r>
          </w:p>
          <w:p w14:paraId="753E0EF9" w14:textId="77777777" w:rsidR="00297195" w:rsidRDefault="004B4A24" w:rsidP="00406F3B">
            <w:pPr>
              <w:pStyle w:val="NoSpacing"/>
            </w:pPr>
            <w:hyperlink r:id="rId41">
              <w:r w:rsidR="00297195">
                <w:rPr>
                  <w:color w:val="0000FF"/>
                  <w:u w:val="single" w:color="0000FF"/>
                </w:rPr>
                <w:t>http://www.oecd.org/dac/stats/purposecodessectorclassification.htm</w:t>
              </w:r>
            </w:hyperlink>
            <w:hyperlink r:id="rId42">
              <w:r w:rsidR="00297195">
                <w:rPr>
                  <w:rFonts w:ascii="Arial" w:eastAsia="Arial" w:hAnsi="Arial" w:cs="Arial"/>
                </w:rPr>
                <w:t xml:space="preserve"> </w:t>
              </w:r>
            </w:hyperlink>
          </w:p>
          <w:p w14:paraId="68D15161" w14:textId="77777777" w:rsidR="00297195" w:rsidRDefault="00297195" w:rsidP="00406F3B">
            <w:pPr>
              <w:pStyle w:val="NoSpacing"/>
            </w:pPr>
            <w:r>
              <w:t xml:space="preserve"> </w:t>
            </w:r>
          </w:p>
          <w:p w14:paraId="412BD7DF" w14:textId="77777777" w:rsidR="00297195" w:rsidRDefault="00297195" w:rsidP="00406F3B">
            <w:pPr>
              <w:pStyle w:val="NoSpacing"/>
            </w:pPr>
            <w:r>
              <w:t xml:space="preserve">Comments and limitations: </w:t>
            </w:r>
          </w:p>
          <w:p w14:paraId="4A05537D" w14:textId="77777777" w:rsidR="00297195" w:rsidRDefault="00297195" w:rsidP="00406F3B">
            <w:pPr>
              <w:pStyle w:val="NoSpacing"/>
            </w:pPr>
            <w:r>
              <w:t xml:space="preserve"> </w:t>
            </w:r>
          </w:p>
          <w:p w14:paraId="4960B535" w14:textId="77777777" w:rsidR="00297195" w:rsidRDefault="00297195" w:rsidP="00406F3B">
            <w:pPr>
              <w:pStyle w:val="NoSpacing"/>
            </w:pPr>
            <w:r>
              <w:lastRenderedPageBreak/>
              <w:t xml:space="preserve">Data in the Creditor Reporting System (i.e. at an activity level), are available from 1973 onwards.  However, the data coverage is considered complete since 1995 for commitments and 2002 for disbursements. </w:t>
            </w:r>
          </w:p>
          <w:p w14:paraId="1E148115" w14:textId="77777777" w:rsidR="00297195" w:rsidRDefault="00297195" w:rsidP="00406F3B">
            <w:pPr>
              <w:pStyle w:val="NoSpacing"/>
            </w:pPr>
            <w:r>
              <w:t xml:space="preserve"> </w:t>
            </w:r>
          </w:p>
          <w:p w14:paraId="13A8B968" w14:textId="77777777" w:rsidR="00297195" w:rsidRDefault="00297195" w:rsidP="00406F3B">
            <w:pPr>
              <w:pStyle w:val="NoSpacing"/>
            </w:pPr>
            <w:r>
              <w:t xml:space="preserve">Computation Method: </w:t>
            </w:r>
          </w:p>
          <w:p w14:paraId="4ADD75CA" w14:textId="77777777" w:rsidR="00297195" w:rsidRDefault="00297195" w:rsidP="00406F3B">
            <w:pPr>
              <w:pStyle w:val="NoSpacing"/>
            </w:pPr>
            <w:r>
              <w:t xml:space="preserve"> </w:t>
            </w:r>
          </w:p>
          <w:p w14:paraId="2CFCAA44" w14:textId="77777777" w:rsidR="00297195" w:rsidRDefault="00297195" w:rsidP="00406F3B">
            <w:pPr>
              <w:pStyle w:val="NoSpacing"/>
            </w:pPr>
            <w:r>
              <w:rPr>
                <w:u w:val="single" w:color="4A4A4A"/>
              </w:rPr>
              <w:t>From a donor country’s perspective</w:t>
            </w:r>
            <w:r>
              <w:t xml:space="preserve">: The sum of bilateral ODA grants by donor that focus on poverty reduction as a share of the donor country’s gross national income.  </w:t>
            </w:r>
          </w:p>
          <w:p w14:paraId="741CAB0C" w14:textId="77777777" w:rsidR="00297195" w:rsidRDefault="00297195" w:rsidP="00406F3B">
            <w:pPr>
              <w:pStyle w:val="NoSpacing"/>
            </w:pPr>
            <w:r>
              <w:t xml:space="preserve"> </w:t>
            </w:r>
          </w:p>
          <w:p w14:paraId="0ADADBFB" w14:textId="77777777" w:rsidR="00297195" w:rsidRDefault="00297195" w:rsidP="00406F3B">
            <w:pPr>
              <w:pStyle w:val="NoSpacing"/>
            </w:pPr>
            <w:r>
              <w:rPr>
                <w:u w:val="single" w:color="4A4A4A"/>
              </w:rPr>
              <w:t>From a recipient country’s perspective</w:t>
            </w:r>
            <w:r>
              <w:t xml:space="preserve">: The sum of total ODA grants from all donors (i.e. DAC donors, multilateral organisations and other bilateral providers of development cooperation) that focus on poverty reduction as a share of the developing country’s gross national income.  </w:t>
            </w:r>
          </w:p>
          <w:p w14:paraId="0935DFF6" w14:textId="77777777" w:rsidR="00297195" w:rsidRPr="00F40ACF" w:rsidRDefault="00297195" w:rsidP="00406F3B">
            <w:pPr>
              <w:pStyle w:val="NoSpacing"/>
            </w:pPr>
          </w:p>
        </w:tc>
        <w:tc>
          <w:tcPr>
            <w:tcW w:w="0" w:type="auto"/>
            <w:shd w:val="clear" w:color="auto" w:fill="auto"/>
          </w:tcPr>
          <w:p w14:paraId="72DDA78C" w14:textId="77777777" w:rsidR="00297195" w:rsidRDefault="00297195">
            <w:r>
              <w:lastRenderedPageBreak/>
              <w:t xml:space="preserve">A statistical reporter is responsible for the collection of DAC statistics in each providing country/agency.  This reporter is usually located in the national aid agency, Ministry of Foreign Affairs or Finance etc. </w:t>
            </w:r>
          </w:p>
          <w:p w14:paraId="3C719521" w14:textId="77777777" w:rsidR="00297195" w:rsidRDefault="00297195">
            <w:pPr>
              <w:spacing w:after="68"/>
            </w:pPr>
            <w:r>
              <w:t xml:space="preserve"> </w:t>
            </w:r>
          </w:p>
          <w:p w14:paraId="6C72E2C9" w14:textId="77777777" w:rsidR="00297195" w:rsidRDefault="00297195">
            <w:r>
              <w:t xml:space="preserve">The OECD prepares and sends a questionnaire on aid flows (at an activity level and aggregate level) to the national statistical reporter every year.  </w:t>
            </w:r>
          </w:p>
          <w:p w14:paraId="0E732405" w14:textId="77777777" w:rsidR="00297195" w:rsidRPr="006F67D3" w:rsidRDefault="00297195" w:rsidP="000C4849">
            <w:pPr>
              <w:rPr>
                <w:rFonts w:cs="Calibri"/>
                <w:color w:val="auto"/>
                <w:szCs w:val="20"/>
              </w:rPr>
            </w:pPr>
          </w:p>
        </w:tc>
        <w:tc>
          <w:tcPr>
            <w:tcW w:w="0" w:type="auto"/>
            <w:shd w:val="clear" w:color="auto" w:fill="auto"/>
          </w:tcPr>
          <w:p w14:paraId="723995FA" w14:textId="77777777" w:rsidR="00297195" w:rsidRDefault="00297195" w:rsidP="00406F3B">
            <w:r>
              <w:t xml:space="preserve">A statistical reporter is responsible for the collection of DAC statistics in each providing country/agency.  This reporter is usually located in the national aid agency, Ministry of Foreign Affairs or Finance etc. </w:t>
            </w:r>
          </w:p>
          <w:p w14:paraId="263B8092" w14:textId="77777777" w:rsidR="00297195" w:rsidRPr="006F67D3" w:rsidRDefault="00297195" w:rsidP="00406F3B">
            <w:pPr>
              <w:jc w:val="center"/>
              <w:rPr>
                <w:rFonts w:cs="Calibri"/>
                <w:color w:val="auto"/>
                <w:szCs w:val="20"/>
              </w:rPr>
            </w:pPr>
          </w:p>
        </w:tc>
        <w:tc>
          <w:tcPr>
            <w:tcW w:w="0" w:type="auto"/>
            <w:shd w:val="clear" w:color="auto" w:fill="auto"/>
          </w:tcPr>
          <w:p w14:paraId="10439F8D" w14:textId="0DF3B573" w:rsidR="00297195" w:rsidRDefault="00297195" w:rsidP="00406F3B">
            <w:pPr>
              <w:jc w:val="center"/>
              <w:rPr>
                <w:szCs w:val="20"/>
              </w:rPr>
            </w:pPr>
          </w:p>
        </w:tc>
        <w:tc>
          <w:tcPr>
            <w:tcW w:w="0" w:type="auto"/>
            <w:shd w:val="clear" w:color="auto" w:fill="auto"/>
          </w:tcPr>
          <w:p w14:paraId="50D72381" w14:textId="70C86129" w:rsidR="00297195" w:rsidRDefault="00297195" w:rsidP="00406F3B">
            <w:pPr>
              <w:pStyle w:val="NoSpacing"/>
              <w:rPr>
                <w:szCs w:val="20"/>
              </w:rPr>
            </w:pPr>
            <w:r w:rsidRPr="00102C84">
              <w:rPr>
                <w:color w:val="FF0000"/>
              </w:rPr>
              <w:t>ERD</w:t>
            </w:r>
            <w:r w:rsidDel="00BD4133">
              <w:rPr>
                <w:szCs w:val="20"/>
              </w:rPr>
              <w:t xml:space="preserve"> </w:t>
            </w:r>
            <w:r>
              <w:t>Administrative data</w:t>
            </w:r>
          </w:p>
        </w:tc>
        <w:tc>
          <w:tcPr>
            <w:tcW w:w="0" w:type="auto"/>
            <w:shd w:val="clear" w:color="auto" w:fill="auto"/>
          </w:tcPr>
          <w:p w14:paraId="6568C5CF" w14:textId="753F309B" w:rsidR="00297195" w:rsidRPr="003D6C10" w:rsidRDefault="00297195" w:rsidP="003D6C10">
            <w:pPr>
              <w:pStyle w:val="ListParagraph"/>
              <w:ind w:left="130"/>
              <w:jc w:val="center"/>
              <w:rPr>
                <w:rFonts w:ascii="Tw Cen MT Condensed" w:hAnsi="Tw Cen MT Condensed"/>
                <w:sz w:val="20"/>
                <w:szCs w:val="20"/>
              </w:rPr>
            </w:pPr>
          </w:p>
          <w:p w14:paraId="71E8C929" w14:textId="42F04573" w:rsidR="00297195" w:rsidRDefault="00297195" w:rsidP="000C4849">
            <w:pPr>
              <w:pStyle w:val="ListParagraph"/>
              <w:numPr>
                <w:ilvl w:val="0"/>
                <w:numId w:val="9"/>
              </w:numPr>
              <w:ind w:left="130" w:hanging="180"/>
              <w:rPr>
                <w:rFonts w:ascii="Tw Cen MT Condensed" w:hAnsi="Tw Cen MT Condensed"/>
                <w:sz w:val="20"/>
                <w:szCs w:val="20"/>
              </w:rPr>
            </w:pPr>
            <w:r w:rsidRPr="003D6C10">
              <w:rPr>
                <w:rFonts w:ascii="Tw Cen MT Condensed" w:hAnsi="Tw Cen MT Condensed"/>
                <w:sz w:val="20"/>
                <w:szCs w:val="20"/>
              </w:rPr>
              <w:t>by donor</w:t>
            </w:r>
            <w:r w:rsidR="00970164">
              <w:rPr>
                <w:rFonts w:ascii="Tw Cen MT Condensed" w:hAnsi="Tw Cen MT Condensed"/>
                <w:sz w:val="20"/>
                <w:szCs w:val="20"/>
              </w:rPr>
              <w:t xml:space="preserve"> (country/agency)</w:t>
            </w:r>
          </w:p>
          <w:p w14:paraId="08C83433" w14:textId="65FF6558" w:rsidR="00297195" w:rsidRDefault="00297195" w:rsidP="000C4849">
            <w:pPr>
              <w:pStyle w:val="ListParagraph"/>
              <w:numPr>
                <w:ilvl w:val="0"/>
                <w:numId w:val="9"/>
              </w:numPr>
              <w:ind w:left="130" w:hanging="180"/>
              <w:rPr>
                <w:rFonts w:ascii="Tw Cen MT Condensed" w:hAnsi="Tw Cen MT Condensed"/>
                <w:sz w:val="20"/>
                <w:szCs w:val="20"/>
              </w:rPr>
            </w:pPr>
            <w:r w:rsidRPr="003D6C10">
              <w:rPr>
                <w:rFonts w:ascii="Tw Cen MT Condensed" w:hAnsi="Tw Cen MT Condensed"/>
                <w:sz w:val="20"/>
                <w:szCs w:val="20"/>
              </w:rPr>
              <w:t>,by recipient country,</w:t>
            </w:r>
          </w:p>
          <w:p w14:paraId="756C2BAA" w14:textId="77777777" w:rsidR="00297195" w:rsidRDefault="00297195" w:rsidP="000C4849">
            <w:pPr>
              <w:pStyle w:val="ListParagraph"/>
              <w:numPr>
                <w:ilvl w:val="0"/>
                <w:numId w:val="9"/>
              </w:numPr>
              <w:ind w:left="130" w:hanging="180"/>
              <w:rPr>
                <w:rFonts w:ascii="Tw Cen MT Condensed" w:hAnsi="Tw Cen MT Condensed"/>
                <w:sz w:val="20"/>
                <w:szCs w:val="20"/>
              </w:rPr>
            </w:pPr>
            <w:r w:rsidRPr="003D6C10">
              <w:rPr>
                <w:rFonts w:ascii="Tw Cen MT Condensed" w:hAnsi="Tw Cen MT Condensed"/>
                <w:sz w:val="20"/>
                <w:szCs w:val="20"/>
              </w:rPr>
              <w:t xml:space="preserve"> by type of finance, </w:t>
            </w:r>
          </w:p>
          <w:p w14:paraId="4CEEB3A8" w14:textId="558F3439" w:rsidR="00297195" w:rsidRDefault="00297195" w:rsidP="000C4849">
            <w:pPr>
              <w:pStyle w:val="ListParagraph"/>
              <w:numPr>
                <w:ilvl w:val="0"/>
                <w:numId w:val="9"/>
              </w:numPr>
              <w:ind w:left="130" w:hanging="180"/>
              <w:rPr>
                <w:rFonts w:ascii="Tw Cen MT Condensed" w:hAnsi="Tw Cen MT Condensed"/>
                <w:sz w:val="20"/>
                <w:szCs w:val="20"/>
              </w:rPr>
            </w:pPr>
            <w:r w:rsidRPr="003D6C10">
              <w:rPr>
                <w:rFonts w:ascii="Tw Cen MT Condensed" w:hAnsi="Tw Cen MT Condensed"/>
                <w:sz w:val="20"/>
                <w:szCs w:val="20"/>
              </w:rPr>
              <w:t>by type of aid</w:t>
            </w:r>
            <w:r w:rsidR="00C06595">
              <w:rPr>
                <w:rFonts w:ascii="Tw Cen MT Condensed" w:hAnsi="Tw Cen MT Condensed"/>
                <w:sz w:val="20"/>
                <w:szCs w:val="20"/>
              </w:rPr>
              <w:t>: Financial/ Non Financial</w:t>
            </w:r>
            <w:r w:rsidRPr="003D6C10">
              <w:rPr>
                <w:rFonts w:ascii="Tw Cen MT Condensed" w:hAnsi="Tw Cen MT Condensed"/>
                <w:sz w:val="20"/>
                <w:szCs w:val="20"/>
              </w:rPr>
              <w:t xml:space="preserve">, </w:t>
            </w:r>
          </w:p>
          <w:p w14:paraId="4BBBD273" w14:textId="77777777" w:rsidR="00297195" w:rsidRDefault="00297195" w:rsidP="000C4849">
            <w:pPr>
              <w:pStyle w:val="ListParagraph"/>
              <w:numPr>
                <w:ilvl w:val="0"/>
                <w:numId w:val="9"/>
              </w:numPr>
              <w:ind w:left="130" w:hanging="180"/>
              <w:rPr>
                <w:rFonts w:ascii="Tw Cen MT Condensed" w:hAnsi="Tw Cen MT Condensed"/>
                <w:sz w:val="20"/>
                <w:szCs w:val="20"/>
              </w:rPr>
            </w:pPr>
            <w:r w:rsidRPr="003D6C10">
              <w:rPr>
                <w:rFonts w:ascii="Tw Cen MT Condensed" w:hAnsi="Tw Cen MT Condensed"/>
                <w:sz w:val="20"/>
                <w:szCs w:val="20"/>
              </w:rPr>
              <w:t>by sub</w:t>
            </w:r>
            <w:r w:rsidRPr="000C4849">
              <w:rPr>
                <w:rFonts w:ascii="Tw Cen MT Condensed" w:hAnsi="Tw Cen MT Condensed"/>
                <w:sz w:val="20"/>
                <w:szCs w:val="20"/>
              </w:rPr>
              <w:t xml:space="preserve">-sector, </w:t>
            </w:r>
          </w:p>
          <w:p w14:paraId="3C726DE5" w14:textId="77777777" w:rsidR="00297195" w:rsidRDefault="00297195" w:rsidP="000C4849">
            <w:pPr>
              <w:pStyle w:val="ListParagraph"/>
              <w:numPr>
                <w:ilvl w:val="0"/>
                <w:numId w:val="9"/>
              </w:numPr>
              <w:ind w:left="130" w:hanging="180"/>
              <w:rPr>
                <w:rFonts w:ascii="Tw Cen MT Condensed" w:hAnsi="Tw Cen MT Condensed"/>
                <w:sz w:val="20"/>
                <w:szCs w:val="20"/>
              </w:rPr>
            </w:pPr>
            <w:r w:rsidRPr="000C4849">
              <w:rPr>
                <w:rFonts w:ascii="Tw Cen MT Condensed" w:hAnsi="Tw Cen MT Condensed"/>
                <w:sz w:val="20"/>
                <w:szCs w:val="20"/>
              </w:rPr>
              <w:t>by policy marker</w:t>
            </w:r>
          </w:p>
          <w:p w14:paraId="6879FB94" w14:textId="16A524D2" w:rsidR="00297195" w:rsidRPr="000C4849" w:rsidRDefault="00297195" w:rsidP="000C4849">
            <w:pPr>
              <w:pStyle w:val="ListParagraph"/>
              <w:numPr>
                <w:ilvl w:val="0"/>
                <w:numId w:val="9"/>
              </w:numPr>
              <w:ind w:left="130" w:hanging="180"/>
              <w:rPr>
                <w:rFonts w:ascii="Tw Cen MT Condensed" w:hAnsi="Tw Cen MT Condensed"/>
                <w:sz w:val="20"/>
                <w:szCs w:val="20"/>
              </w:rPr>
            </w:pPr>
            <w:r>
              <w:rPr>
                <w:rFonts w:ascii="Tw Cen MT Condensed" w:hAnsi="Tw Cen MT Condensed"/>
                <w:sz w:val="20"/>
                <w:szCs w:val="20"/>
              </w:rPr>
              <w:t>by gender</w:t>
            </w:r>
            <w:r w:rsidR="00970164">
              <w:rPr>
                <w:rFonts w:ascii="Tw Cen MT Condensed" w:hAnsi="Tw Cen MT Condensed"/>
                <w:sz w:val="20"/>
                <w:szCs w:val="20"/>
              </w:rPr>
              <w:t xml:space="preserve"> : male/female/tarnsgender</w:t>
            </w:r>
          </w:p>
        </w:tc>
        <w:tc>
          <w:tcPr>
            <w:tcW w:w="0" w:type="auto"/>
            <w:shd w:val="clear" w:color="auto" w:fill="auto"/>
          </w:tcPr>
          <w:p w14:paraId="2AB5564D" w14:textId="77777777" w:rsidR="00297195" w:rsidRDefault="00297195" w:rsidP="00406F3B">
            <w:pPr>
              <w:jc w:val="center"/>
              <w:rPr>
                <w:bCs/>
                <w:szCs w:val="20"/>
              </w:rPr>
            </w:pPr>
            <w:r>
              <w:rPr>
                <w:rFonts w:ascii="Tw Cen MT" w:eastAsia="Tw Cen MT" w:hAnsi="Tw Cen MT" w:cs="Tw Cen MT"/>
                <w:sz w:val="22"/>
              </w:rPr>
              <w:t>Annual</w:t>
            </w:r>
          </w:p>
        </w:tc>
        <w:tc>
          <w:tcPr>
            <w:tcW w:w="0" w:type="auto"/>
            <w:shd w:val="clear" w:color="auto" w:fill="auto"/>
          </w:tcPr>
          <w:p w14:paraId="09BC9347" w14:textId="77777777" w:rsidR="00297195" w:rsidRDefault="00297195" w:rsidP="00406F3B">
            <w:pPr>
              <w:jc w:val="center"/>
              <w:rPr>
                <w:bCs/>
                <w:szCs w:val="20"/>
              </w:rPr>
            </w:pPr>
            <w:r>
              <w:rPr>
                <w:bCs/>
                <w:szCs w:val="20"/>
              </w:rPr>
              <w:t>-</w:t>
            </w:r>
          </w:p>
        </w:tc>
        <w:tc>
          <w:tcPr>
            <w:tcW w:w="0" w:type="auto"/>
            <w:shd w:val="clear" w:color="auto" w:fill="auto"/>
          </w:tcPr>
          <w:p w14:paraId="226AD353" w14:textId="77777777" w:rsidR="00297195" w:rsidRDefault="00297195" w:rsidP="00406F3B">
            <w:pPr>
              <w:pStyle w:val="NoSpacing"/>
            </w:pPr>
            <w:r>
              <w:t>1</w:t>
            </w:r>
            <w:r w:rsidRPr="00013ACB">
              <w:rPr>
                <w:vertAlign w:val="superscript"/>
              </w:rPr>
              <w:t>st</w:t>
            </w:r>
            <w:r>
              <w:t xml:space="preserve"> Round: </w:t>
            </w:r>
          </w:p>
          <w:p w14:paraId="7739EA65" w14:textId="77777777" w:rsidR="00297195" w:rsidRDefault="00297195" w:rsidP="00406F3B">
            <w:pPr>
              <w:pStyle w:val="NoSpacing"/>
            </w:pPr>
            <w:r>
              <w:t>December, 2020</w:t>
            </w:r>
          </w:p>
          <w:p w14:paraId="03E21D54" w14:textId="77777777" w:rsidR="00297195" w:rsidRDefault="00297195" w:rsidP="00406F3B">
            <w:pPr>
              <w:pStyle w:val="NoSpacing"/>
            </w:pPr>
          </w:p>
          <w:p w14:paraId="148BE414" w14:textId="77777777" w:rsidR="00297195" w:rsidRDefault="00297195" w:rsidP="00406F3B">
            <w:pPr>
              <w:pStyle w:val="NoSpacing"/>
            </w:pPr>
            <w:r>
              <w:t>2</w:t>
            </w:r>
            <w:r w:rsidRPr="00013ACB">
              <w:rPr>
                <w:vertAlign w:val="superscript"/>
              </w:rPr>
              <w:t>nd</w:t>
            </w:r>
            <w:r>
              <w:t xml:space="preserve"> Round: </w:t>
            </w:r>
          </w:p>
          <w:p w14:paraId="55B98E75" w14:textId="77777777" w:rsidR="00297195" w:rsidRDefault="00297195" w:rsidP="00406F3B">
            <w:pPr>
              <w:pStyle w:val="NoSpacing"/>
            </w:pPr>
            <w:r>
              <w:t>December, 2021</w:t>
            </w:r>
          </w:p>
          <w:p w14:paraId="4A9B0B60" w14:textId="77777777" w:rsidR="00297195" w:rsidRDefault="00297195" w:rsidP="00406F3B">
            <w:pPr>
              <w:pStyle w:val="NoSpacing"/>
            </w:pPr>
          </w:p>
          <w:p w14:paraId="391038CB" w14:textId="77777777" w:rsidR="00297195" w:rsidRDefault="00297195" w:rsidP="00406F3B">
            <w:pPr>
              <w:pStyle w:val="NoSpacing"/>
            </w:pPr>
            <w:r>
              <w:t>3</w:t>
            </w:r>
            <w:r w:rsidRPr="00013ACB">
              <w:rPr>
                <w:vertAlign w:val="superscript"/>
              </w:rPr>
              <w:t>rd</w:t>
            </w:r>
            <w:r>
              <w:t xml:space="preserve"> Round: </w:t>
            </w:r>
          </w:p>
          <w:p w14:paraId="3E5F9232" w14:textId="77777777" w:rsidR="00297195" w:rsidRDefault="00297195" w:rsidP="00406F3B">
            <w:pPr>
              <w:pStyle w:val="NoSpacing"/>
            </w:pPr>
            <w:r>
              <w:t>December, 2022</w:t>
            </w:r>
          </w:p>
          <w:p w14:paraId="737868D2" w14:textId="77777777" w:rsidR="00297195" w:rsidRDefault="00297195" w:rsidP="00406F3B">
            <w:pPr>
              <w:pStyle w:val="NoSpacing"/>
            </w:pPr>
          </w:p>
          <w:p w14:paraId="6D5A2644" w14:textId="77777777" w:rsidR="00297195" w:rsidRDefault="00297195" w:rsidP="00406F3B">
            <w:pPr>
              <w:pStyle w:val="NoSpacing"/>
            </w:pPr>
            <w:r>
              <w:t>4</w:t>
            </w:r>
            <w:r w:rsidRPr="00013ACB">
              <w:rPr>
                <w:vertAlign w:val="superscript"/>
              </w:rPr>
              <w:t>th</w:t>
            </w:r>
            <w:r>
              <w:t xml:space="preserve"> Round: </w:t>
            </w:r>
          </w:p>
          <w:p w14:paraId="367AE0C9" w14:textId="77777777" w:rsidR="00297195" w:rsidRDefault="00297195" w:rsidP="00406F3B">
            <w:pPr>
              <w:pStyle w:val="NoSpacing"/>
            </w:pPr>
            <w:r>
              <w:t>December, 2023</w:t>
            </w:r>
          </w:p>
          <w:p w14:paraId="230E5005" w14:textId="77777777" w:rsidR="00297195" w:rsidRDefault="00297195" w:rsidP="00406F3B">
            <w:pPr>
              <w:pStyle w:val="NoSpacing"/>
            </w:pPr>
          </w:p>
          <w:p w14:paraId="772090DA" w14:textId="77777777" w:rsidR="00297195" w:rsidRDefault="00297195" w:rsidP="00406F3B">
            <w:pPr>
              <w:pStyle w:val="NoSpacing"/>
            </w:pPr>
            <w:r>
              <w:t>5</w:t>
            </w:r>
            <w:r w:rsidRPr="00013ACB">
              <w:rPr>
                <w:vertAlign w:val="superscript"/>
              </w:rPr>
              <w:t>th</w:t>
            </w:r>
            <w:r>
              <w:t xml:space="preserve"> Round: </w:t>
            </w:r>
          </w:p>
          <w:p w14:paraId="3761EE83" w14:textId="77777777" w:rsidR="00297195" w:rsidRDefault="00297195" w:rsidP="00406F3B">
            <w:pPr>
              <w:pStyle w:val="NoSpacing"/>
            </w:pPr>
            <w:r>
              <w:t>December, 2024</w:t>
            </w:r>
          </w:p>
          <w:p w14:paraId="4307E00C" w14:textId="5425D401" w:rsidR="00297195" w:rsidRPr="003265B9" w:rsidRDefault="00297195" w:rsidP="00406F3B">
            <w:pPr>
              <w:pStyle w:val="NoSpacing"/>
            </w:pPr>
          </w:p>
        </w:tc>
        <w:tc>
          <w:tcPr>
            <w:tcW w:w="0" w:type="auto"/>
            <w:shd w:val="clear" w:color="auto" w:fill="auto"/>
          </w:tcPr>
          <w:p w14:paraId="202AF8A3" w14:textId="77777777" w:rsidR="00297195" w:rsidRPr="00DE3AFB" w:rsidRDefault="00297195" w:rsidP="00406F3B">
            <w:pPr>
              <w:pStyle w:val="NoSpacing"/>
            </w:pPr>
            <w:r w:rsidRPr="00DE3AFB">
              <w:t xml:space="preserve">Metadata </w:t>
            </w:r>
            <w:r w:rsidRPr="00DE3AFB">
              <w:tab/>
            </w:r>
          </w:p>
          <w:p w14:paraId="2B915B9C" w14:textId="77777777" w:rsidR="00297195" w:rsidRPr="00DE3AFB" w:rsidRDefault="00297195" w:rsidP="00406F3B">
            <w:pPr>
              <w:pStyle w:val="NoSpacing"/>
            </w:pPr>
            <w:r w:rsidRPr="00DE3AFB">
              <w:t xml:space="preserve">yet to finalised </w:t>
            </w:r>
          </w:p>
          <w:p w14:paraId="027433B6" w14:textId="77777777" w:rsidR="00297195" w:rsidRDefault="00297195" w:rsidP="00406F3B">
            <w:pPr>
              <w:pStyle w:val="NoSpacing"/>
            </w:pPr>
          </w:p>
          <w:p w14:paraId="3EF07DE5" w14:textId="77777777" w:rsidR="00297195" w:rsidRDefault="00297195" w:rsidP="00406F3B">
            <w:pPr>
              <w:pStyle w:val="NoSpacing"/>
            </w:pPr>
            <w:r w:rsidRPr="00DE3AFB">
              <w:t>UNSC 51 replacement included in the 2020 comprehensive review; new indicator 1.a.1 is a replacement for indicator 1.a.3</w:t>
            </w:r>
          </w:p>
        </w:tc>
      </w:tr>
      <w:tr w:rsidR="00297195" w14:paraId="0CC5AD02" w14:textId="77777777" w:rsidTr="0085651F">
        <w:tc>
          <w:tcPr>
            <w:tcW w:w="0" w:type="auto"/>
            <w:shd w:val="clear" w:color="auto" w:fill="auto"/>
          </w:tcPr>
          <w:p w14:paraId="371AEF28" w14:textId="77777777" w:rsidR="00297195" w:rsidRPr="002969FF" w:rsidRDefault="00297195" w:rsidP="00406F3B">
            <w:pPr>
              <w:rPr>
                <w:szCs w:val="20"/>
              </w:rPr>
            </w:pPr>
            <w:r w:rsidRPr="002969FF">
              <w:rPr>
                <w:szCs w:val="20"/>
              </w:rPr>
              <w:lastRenderedPageBreak/>
              <w:t>1.a.2 Proportion of total government spending on essential services (education, health and social protection)</w:t>
            </w:r>
          </w:p>
        </w:tc>
        <w:tc>
          <w:tcPr>
            <w:tcW w:w="0" w:type="auto"/>
            <w:shd w:val="clear" w:color="auto" w:fill="auto"/>
          </w:tcPr>
          <w:p w14:paraId="1F55AF92" w14:textId="77777777" w:rsidR="00297195" w:rsidRPr="002969FF" w:rsidRDefault="00297195" w:rsidP="00406F3B">
            <w:pPr>
              <w:jc w:val="center"/>
              <w:rPr>
                <w:szCs w:val="20"/>
              </w:rPr>
            </w:pPr>
            <w:r w:rsidRPr="002969FF">
              <w:rPr>
                <w:szCs w:val="20"/>
              </w:rPr>
              <w:t>Under discussion among agencies (ILO, UNESCO-UIS, WHO)</w:t>
            </w:r>
          </w:p>
        </w:tc>
        <w:tc>
          <w:tcPr>
            <w:tcW w:w="0" w:type="auto"/>
            <w:shd w:val="clear" w:color="auto" w:fill="auto"/>
          </w:tcPr>
          <w:p w14:paraId="353D25F1" w14:textId="77777777" w:rsidR="00297195" w:rsidRPr="00262FC1" w:rsidRDefault="00297195" w:rsidP="00406F3B">
            <w:pPr>
              <w:jc w:val="center"/>
              <w:rPr>
                <w:szCs w:val="20"/>
              </w:rPr>
            </w:pPr>
            <w:r w:rsidRPr="00262FC1">
              <w:rPr>
                <w:szCs w:val="20"/>
              </w:rPr>
              <w:t>Tier II</w:t>
            </w:r>
          </w:p>
        </w:tc>
        <w:tc>
          <w:tcPr>
            <w:tcW w:w="0" w:type="auto"/>
            <w:shd w:val="clear" w:color="auto" w:fill="auto"/>
          </w:tcPr>
          <w:p w14:paraId="05E56758" w14:textId="77777777" w:rsidR="00297195" w:rsidRPr="002969FF" w:rsidRDefault="00297195" w:rsidP="00406F3B">
            <w:pPr>
              <w:jc w:val="center"/>
              <w:rPr>
                <w:szCs w:val="20"/>
              </w:rPr>
            </w:pPr>
            <w:r w:rsidRPr="002969FF">
              <w:rPr>
                <w:szCs w:val="20"/>
              </w:rPr>
              <w:t>Metadata for this indicator is not yet available</w:t>
            </w:r>
          </w:p>
        </w:tc>
        <w:tc>
          <w:tcPr>
            <w:tcW w:w="0" w:type="auto"/>
            <w:shd w:val="clear" w:color="auto" w:fill="auto"/>
          </w:tcPr>
          <w:p w14:paraId="4CBA57CF" w14:textId="77777777" w:rsidR="00297195" w:rsidRDefault="00297195" w:rsidP="00406F3B">
            <w:pPr>
              <w:jc w:val="center"/>
              <w:rPr>
                <w:rFonts w:cs="Calibri"/>
                <w:color w:val="auto"/>
                <w:szCs w:val="20"/>
              </w:rPr>
            </w:pPr>
            <w:r>
              <w:rPr>
                <w:rFonts w:cs="Calibri"/>
                <w:color w:val="auto"/>
                <w:szCs w:val="20"/>
              </w:rPr>
              <w:t>Administrative Record</w:t>
            </w:r>
          </w:p>
        </w:tc>
        <w:tc>
          <w:tcPr>
            <w:tcW w:w="0" w:type="auto"/>
            <w:shd w:val="clear" w:color="auto" w:fill="auto"/>
          </w:tcPr>
          <w:p w14:paraId="23C78CEC" w14:textId="77777777" w:rsidR="00297195" w:rsidRDefault="00297195" w:rsidP="00406F3B">
            <w:pPr>
              <w:jc w:val="center"/>
              <w:rPr>
                <w:rFonts w:cs="Calibri"/>
                <w:color w:val="auto"/>
                <w:szCs w:val="20"/>
              </w:rPr>
            </w:pPr>
            <w:r>
              <w:rPr>
                <w:rFonts w:cs="Calibri"/>
                <w:color w:val="auto"/>
                <w:szCs w:val="20"/>
              </w:rPr>
              <w:t>-</w:t>
            </w:r>
          </w:p>
        </w:tc>
        <w:tc>
          <w:tcPr>
            <w:tcW w:w="0" w:type="auto"/>
            <w:shd w:val="clear" w:color="auto" w:fill="auto"/>
          </w:tcPr>
          <w:p w14:paraId="397602B7" w14:textId="77777777" w:rsidR="00297195" w:rsidRDefault="00297195" w:rsidP="00406F3B">
            <w:pPr>
              <w:jc w:val="center"/>
              <w:rPr>
                <w:szCs w:val="20"/>
              </w:rPr>
            </w:pPr>
            <w:r>
              <w:rPr>
                <w:szCs w:val="20"/>
              </w:rPr>
              <w:t>FD</w:t>
            </w:r>
          </w:p>
          <w:p w14:paraId="7F52FD2B" w14:textId="77777777" w:rsidR="00297195" w:rsidRDefault="00297195" w:rsidP="00406F3B">
            <w:pPr>
              <w:pStyle w:val="NoSpacing"/>
              <w:rPr>
                <w:szCs w:val="20"/>
              </w:rPr>
            </w:pPr>
            <w:r>
              <w:t>Administrative data</w:t>
            </w:r>
          </w:p>
        </w:tc>
        <w:tc>
          <w:tcPr>
            <w:tcW w:w="0" w:type="auto"/>
            <w:shd w:val="clear" w:color="auto" w:fill="auto"/>
          </w:tcPr>
          <w:p w14:paraId="2DC760E5" w14:textId="77777777" w:rsidR="00297195" w:rsidRDefault="00297195" w:rsidP="00406F3B">
            <w:pPr>
              <w:jc w:val="center"/>
              <w:rPr>
                <w:szCs w:val="20"/>
              </w:rPr>
            </w:pPr>
            <w:r>
              <w:rPr>
                <w:szCs w:val="20"/>
              </w:rPr>
              <w:t>FD</w:t>
            </w:r>
          </w:p>
          <w:p w14:paraId="54DCF7D9" w14:textId="77777777" w:rsidR="00297195" w:rsidRDefault="00297195" w:rsidP="00406F3B">
            <w:pPr>
              <w:pStyle w:val="NoSpacing"/>
              <w:rPr>
                <w:szCs w:val="20"/>
              </w:rPr>
            </w:pPr>
            <w:r>
              <w:t>Administrative data</w:t>
            </w:r>
          </w:p>
        </w:tc>
        <w:tc>
          <w:tcPr>
            <w:tcW w:w="0" w:type="auto"/>
            <w:shd w:val="clear" w:color="auto" w:fill="auto"/>
          </w:tcPr>
          <w:p w14:paraId="63516207" w14:textId="77777777" w:rsidR="00297195" w:rsidRDefault="00297195" w:rsidP="00406F3B">
            <w:pPr>
              <w:pStyle w:val="ListParagraph"/>
              <w:numPr>
                <w:ilvl w:val="0"/>
                <w:numId w:val="9"/>
              </w:numPr>
              <w:ind w:left="312"/>
              <w:jc w:val="both"/>
              <w:rPr>
                <w:rFonts w:ascii="Tw Cen MT Condensed" w:hAnsi="Tw Cen MT Condensed"/>
                <w:sz w:val="20"/>
                <w:szCs w:val="20"/>
              </w:rPr>
            </w:pPr>
            <w:r>
              <w:rPr>
                <w:rFonts w:ascii="Tw Cen MT Condensed" w:hAnsi="Tw Cen MT Condensed"/>
                <w:sz w:val="20"/>
                <w:szCs w:val="20"/>
              </w:rPr>
              <w:t>Sectors (education, health and social protection)</w:t>
            </w:r>
          </w:p>
          <w:p w14:paraId="3C1D24B0" w14:textId="3AA4E7D2" w:rsidR="00297195" w:rsidRDefault="00297195" w:rsidP="00406F3B">
            <w:pPr>
              <w:pStyle w:val="ListParagraph"/>
              <w:numPr>
                <w:ilvl w:val="0"/>
                <w:numId w:val="9"/>
              </w:numPr>
              <w:ind w:left="312"/>
              <w:jc w:val="both"/>
              <w:rPr>
                <w:rFonts w:ascii="Tw Cen MT Condensed" w:hAnsi="Tw Cen MT Condensed"/>
                <w:sz w:val="20"/>
                <w:szCs w:val="20"/>
              </w:rPr>
            </w:pPr>
            <w:r>
              <w:rPr>
                <w:rFonts w:ascii="Tw Cen MT Condensed" w:hAnsi="Tw Cen MT Condensed"/>
                <w:sz w:val="20"/>
                <w:szCs w:val="20"/>
              </w:rPr>
              <w:t>By geographical region</w:t>
            </w:r>
            <w:r w:rsidR="00970164">
              <w:rPr>
                <w:rFonts w:ascii="Tw Cen MT Condensed" w:hAnsi="Tw Cen MT Condensed"/>
                <w:sz w:val="20"/>
                <w:szCs w:val="20"/>
              </w:rPr>
              <w:t>: Division</w:t>
            </w:r>
          </w:p>
        </w:tc>
        <w:tc>
          <w:tcPr>
            <w:tcW w:w="0" w:type="auto"/>
            <w:shd w:val="clear" w:color="auto" w:fill="auto"/>
          </w:tcPr>
          <w:p w14:paraId="45153A25" w14:textId="77777777" w:rsidR="00297195" w:rsidRDefault="00297195" w:rsidP="00406F3B">
            <w:pPr>
              <w:jc w:val="center"/>
              <w:rPr>
                <w:bCs/>
                <w:szCs w:val="20"/>
              </w:rPr>
            </w:pPr>
            <w:r>
              <w:rPr>
                <w:bCs/>
                <w:szCs w:val="20"/>
              </w:rPr>
              <w:t>Annual</w:t>
            </w:r>
          </w:p>
        </w:tc>
        <w:tc>
          <w:tcPr>
            <w:tcW w:w="0" w:type="auto"/>
            <w:shd w:val="clear" w:color="auto" w:fill="auto"/>
          </w:tcPr>
          <w:p w14:paraId="5A647ED9" w14:textId="77777777" w:rsidR="00297195" w:rsidRDefault="00297195" w:rsidP="00406F3B">
            <w:pPr>
              <w:jc w:val="center"/>
              <w:rPr>
                <w:bCs/>
                <w:szCs w:val="20"/>
              </w:rPr>
            </w:pPr>
            <w:r>
              <w:rPr>
                <w:bCs/>
                <w:szCs w:val="20"/>
              </w:rPr>
              <w:t>Group 2</w:t>
            </w:r>
          </w:p>
        </w:tc>
        <w:tc>
          <w:tcPr>
            <w:tcW w:w="0" w:type="auto"/>
            <w:shd w:val="clear" w:color="auto" w:fill="auto"/>
          </w:tcPr>
          <w:p w14:paraId="5C6329C4" w14:textId="77777777" w:rsidR="00297195" w:rsidRDefault="00297195" w:rsidP="00406F3B">
            <w:pPr>
              <w:pStyle w:val="NoSpacing"/>
            </w:pPr>
          </w:p>
          <w:p w14:paraId="6346235C" w14:textId="77777777" w:rsidR="00297195" w:rsidRDefault="00297195" w:rsidP="00406F3B">
            <w:pPr>
              <w:pStyle w:val="NoSpacing"/>
            </w:pPr>
            <w:r>
              <w:t>1</w:t>
            </w:r>
            <w:r w:rsidRPr="00013ACB">
              <w:rPr>
                <w:vertAlign w:val="superscript"/>
              </w:rPr>
              <w:t>st</w:t>
            </w:r>
            <w:r>
              <w:t xml:space="preserve"> Round: </w:t>
            </w:r>
          </w:p>
          <w:p w14:paraId="14C7747D" w14:textId="77777777" w:rsidR="00297195" w:rsidRDefault="00297195" w:rsidP="00406F3B">
            <w:pPr>
              <w:pStyle w:val="NoSpacing"/>
            </w:pPr>
            <w:r>
              <w:t>2015</w:t>
            </w:r>
          </w:p>
          <w:p w14:paraId="42CCA0BF" w14:textId="77777777" w:rsidR="00297195" w:rsidRDefault="00297195" w:rsidP="00406F3B">
            <w:pPr>
              <w:pStyle w:val="NoSpacing"/>
            </w:pPr>
            <w:r>
              <w:t>2</w:t>
            </w:r>
            <w:r w:rsidRPr="00013ACB">
              <w:rPr>
                <w:vertAlign w:val="superscript"/>
              </w:rPr>
              <w:t>nd</w:t>
            </w:r>
            <w:r>
              <w:t xml:space="preserve"> Round: </w:t>
            </w:r>
          </w:p>
          <w:p w14:paraId="3F3FA836" w14:textId="77777777" w:rsidR="00297195" w:rsidRDefault="00297195" w:rsidP="00406F3B">
            <w:pPr>
              <w:pStyle w:val="NoSpacing"/>
            </w:pPr>
            <w:r>
              <w:t>January, 2019</w:t>
            </w:r>
          </w:p>
          <w:p w14:paraId="0824FDE1" w14:textId="77777777" w:rsidR="00297195" w:rsidRDefault="00297195" w:rsidP="00406F3B">
            <w:pPr>
              <w:pStyle w:val="NoSpacing"/>
            </w:pPr>
          </w:p>
          <w:p w14:paraId="0E2C678D" w14:textId="77777777" w:rsidR="00297195" w:rsidRDefault="00297195" w:rsidP="00406F3B">
            <w:pPr>
              <w:pStyle w:val="NoSpacing"/>
            </w:pPr>
            <w:r>
              <w:t>3</w:t>
            </w:r>
            <w:r w:rsidRPr="00013ACB">
              <w:rPr>
                <w:vertAlign w:val="superscript"/>
              </w:rPr>
              <w:t>rd</w:t>
            </w:r>
            <w:r>
              <w:t xml:space="preserve"> Round: </w:t>
            </w:r>
          </w:p>
          <w:p w14:paraId="588D3249" w14:textId="77777777" w:rsidR="00297195" w:rsidRDefault="00297195" w:rsidP="00406F3B">
            <w:pPr>
              <w:pStyle w:val="NoSpacing"/>
            </w:pPr>
            <w:r>
              <w:t>January, 2020</w:t>
            </w:r>
          </w:p>
          <w:p w14:paraId="3BCEFED9" w14:textId="77777777" w:rsidR="00297195" w:rsidRDefault="00297195" w:rsidP="00406F3B">
            <w:pPr>
              <w:pStyle w:val="NoSpacing"/>
            </w:pPr>
          </w:p>
          <w:p w14:paraId="0F13ACFE" w14:textId="77777777" w:rsidR="00297195" w:rsidRDefault="00297195" w:rsidP="00406F3B">
            <w:pPr>
              <w:pStyle w:val="NoSpacing"/>
            </w:pPr>
            <w:r>
              <w:t>4</w:t>
            </w:r>
            <w:r w:rsidRPr="00013ACB">
              <w:rPr>
                <w:vertAlign w:val="superscript"/>
              </w:rPr>
              <w:t>th</w:t>
            </w:r>
            <w:r>
              <w:t xml:space="preserve"> Round: </w:t>
            </w:r>
          </w:p>
          <w:p w14:paraId="00E03DCE" w14:textId="77777777" w:rsidR="00297195" w:rsidRDefault="00297195" w:rsidP="00406F3B">
            <w:pPr>
              <w:pStyle w:val="NoSpacing"/>
            </w:pPr>
            <w:r>
              <w:t>January, 2021</w:t>
            </w:r>
          </w:p>
          <w:p w14:paraId="35AFBDC9" w14:textId="77777777" w:rsidR="00297195" w:rsidRDefault="00297195" w:rsidP="00406F3B">
            <w:pPr>
              <w:pStyle w:val="NoSpacing"/>
            </w:pPr>
          </w:p>
          <w:p w14:paraId="32109978" w14:textId="77777777" w:rsidR="00297195" w:rsidRDefault="00297195" w:rsidP="00406F3B">
            <w:pPr>
              <w:pStyle w:val="NoSpacing"/>
            </w:pPr>
            <w:r>
              <w:t>5</w:t>
            </w:r>
            <w:r w:rsidRPr="00013ACB">
              <w:rPr>
                <w:vertAlign w:val="superscript"/>
              </w:rPr>
              <w:t>th</w:t>
            </w:r>
            <w:r>
              <w:t xml:space="preserve"> Round: </w:t>
            </w:r>
          </w:p>
          <w:p w14:paraId="41DC608B" w14:textId="77777777" w:rsidR="00297195" w:rsidRDefault="00297195" w:rsidP="00406F3B">
            <w:pPr>
              <w:pStyle w:val="NoSpacing"/>
            </w:pPr>
            <w:r>
              <w:t>January, 2022</w:t>
            </w:r>
          </w:p>
          <w:p w14:paraId="3E708711" w14:textId="34E2D288" w:rsidR="00297195" w:rsidRPr="003265B9" w:rsidRDefault="00297195" w:rsidP="00406F3B">
            <w:pPr>
              <w:pStyle w:val="NoSpacing"/>
            </w:pPr>
          </w:p>
        </w:tc>
        <w:tc>
          <w:tcPr>
            <w:tcW w:w="0" w:type="auto"/>
            <w:shd w:val="clear" w:color="auto" w:fill="auto"/>
          </w:tcPr>
          <w:p w14:paraId="7DFA7775" w14:textId="77777777" w:rsidR="00297195" w:rsidRDefault="00297195" w:rsidP="00406F3B">
            <w:pPr>
              <w:jc w:val="center"/>
              <w:rPr>
                <w:bCs/>
                <w:szCs w:val="20"/>
              </w:rPr>
            </w:pPr>
            <w:r>
              <w:rPr>
                <w:bCs/>
                <w:szCs w:val="20"/>
              </w:rPr>
              <w:t>FD should comply with the metadata for reporting subject to availability</w:t>
            </w:r>
          </w:p>
        </w:tc>
      </w:tr>
      <w:tr w:rsidR="00297195" w14:paraId="418D5DEE" w14:textId="77777777" w:rsidTr="0085651F">
        <w:tc>
          <w:tcPr>
            <w:tcW w:w="0" w:type="auto"/>
            <w:gridSpan w:val="2"/>
            <w:shd w:val="clear" w:color="auto" w:fill="auto"/>
          </w:tcPr>
          <w:p w14:paraId="519B9A72" w14:textId="77777777" w:rsidR="00297195" w:rsidRPr="004907C6" w:rsidRDefault="00297195" w:rsidP="00406F3B">
            <w:pPr>
              <w:jc w:val="both"/>
              <w:rPr>
                <w:color w:val="C00000"/>
                <w:sz w:val="30"/>
                <w:szCs w:val="30"/>
              </w:rPr>
            </w:pPr>
          </w:p>
        </w:tc>
        <w:tc>
          <w:tcPr>
            <w:tcW w:w="0" w:type="auto"/>
            <w:gridSpan w:val="11"/>
            <w:shd w:val="clear" w:color="auto" w:fill="auto"/>
          </w:tcPr>
          <w:p w14:paraId="5980E992" w14:textId="77777777" w:rsidR="00297195" w:rsidRPr="004907C6" w:rsidRDefault="00297195" w:rsidP="00406F3B">
            <w:pPr>
              <w:jc w:val="both"/>
              <w:rPr>
                <w:color w:val="C00000"/>
                <w:sz w:val="30"/>
                <w:szCs w:val="30"/>
              </w:rPr>
            </w:pPr>
            <w:r w:rsidRPr="004907C6">
              <w:rPr>
                <w:color w:val="C00000"/>
                <w:sz w:val="30"/>
                <w:szCs w:val="30"/>
              </w:rPr>
              <w:t>1.b Create sound policy frameworks at the national, regional and international levels, based on pro-poor and gender-sensitive development strategies, to support accelerated investment in poverty eradication actions</w:t>
            </w:r>
          </w:p>
        </w:tc>
      </w:tr>
      <w:tr w:rsidR="00297195" w14:paraId="2A4C438C" w14:textId="77777777" w:rsidTr="0085651F">
        <w:tc>
          <w:tcPr>
            <w:tcW w:w="0" w:type="auto"/>
            <w:shd w:val="clear" w:color="auto" w:fill="auto"/>
          </w:tcPr>
          <w:p w14:paraId="67594FC5" w14:textId="77777777" w:rsidR="00297195" w:rsidRPr="00F40ACF" w:rsidRDefault="00297195" w:rsidP="00406F3B">
            <w:pPr>
              <w:rPr>
                <w:szCs w:val="20"/>
              </w:rPr>
            </w:pPr>
            <w:r w:rsidRPr="003654A8">
              <w:rPr>
                <w:szCs w:val="20"/>
              </w:rPr>
              <w:t xml:space="preserve">1.b.1 Pro-poor public social </w:t>
            </w:r>
            <w:r w:rsidRPr="003654A8">
              <w:rPr>
                <w:szCs w:val="20"/>
              </w:rPr>
              <w:lastRenderedPageBreak/>
              <w:t>spending</w:t>
            </w:r>
          </w:p>
        </w:tc>
        <w:tc>
          <w:tcPr>
            <w:tcW w:w="0" w:type="auto"/>
            <w:shd w:val="clear" w:color="auto" w:fill="auto"/>
          </w:tcPr>
          <w:p w14:paraId="68563060" w14:textId="77777777" w:rsidR="00297195" w:rsidRPr="00F40ACF" w:rsidRDefault="00297195" w:rsidP="00406F3B">
            <w:pPr>
              <w:jc w:val="center"/>
              <w:rPr>
                <w:szCs w:val="20"/>
              </w:rPr>
            </w:pPr>
            <w:r w:rsidRPr="00F40ACF">
              <w:rPr>
                <w:szCs w:val="20"/>
              </w:rPr>
              <w:lastRenderedPageBreak/>
              <w:t>-</w:t>
            </w:r>
          </w:p>
        </w:tc>
        <w:tc>
          <w:tcPr>
            <w:tcW w:w="0" w:type="auto"/>
            <w:shd w:val="clear" w:color="auto" w:fill="auto"/>
          </w:tcPr>
          <w:p w14:paraId="4D8ABDB9" w14:textId="7CB37429" w:rsidR="00297195" w:rsidRDefault="00297195" w:rsidP="00406F3B">
            <w:pPr>
              <w:jc w:val="center"/>
              <w:rPr>
                <w:szCs w:val="20"/>
              </w:rPr>
            </w:pPr>
            <w:r>
              <w:rPr>
                <w:szCs w:val="20"/>
              </w:rPr>
              <w:t>TBD</w:t>
            </w:r>
          </w:p>
          <w:p w14:paraId="5E9D3CCB" w14:textId="4F56A63A" w:rsidR="00297195" w:rsidRPr="00262FC1" w:rsidRDefault="00297195" w:rsidP="00406F3B">
            <w:pPr>
              <w:jc w:val="center"/>
              <w:rPr>
                <w:szCs w:val="20"/>
              </w:rPr>
            </w:pPr>
          </w:p>
        </w:tc>
        <w:tc>
          <w:tcPr>
            <w:tcW w:w="0" w:type="auto"/>
            <w:shd w:val="clear" w:color="auto" w:fill="auto"/>
          </w:tcPr>
          <w:p w14:paraId="513228BD" w14:textId="77777777" w:rsidR="00297195" w:rsidRDefault="00297195" w:rsidP="00406F3B">
            <w:pPr>
              <w:spacing w:after="72"/>
              <w:ind w:right="-15"/>
            </w:pPr>
            <w:r>
              <w:rPr>
                <w:rFonts w:ascii="Calibri" w:eastAsia="Calibri" w:hAnsi="Calibri" w:cs="Calibri"/>
                <w:b/>
              </w:rPr>
              <w:t>Definition:</w:t>
            </w:r>
            <w:r>
              <w:t xml:space="preserve"> </w:t>
            </w:r>
          </w:p>
          <w:p w14:paraId="0C51B135" w14:textId="77777777" w:rsidR="00297195" w:rsidRDefault="00297195" w:rsidP="00406F3B">
            <w:r>
              <w:t xml:space="preserve">Proportion of government spending towards health and education and direct transfers which benefit </w:t>
            </w:r>
            <w:r>
              <w:lastRenderedPageBreak/>
              <w:t xml:space="preserve">directly the monetary poor. Government spending measures public expenditures on health and education services. Direct transfers refer to cash transfers and near-cash transfers. The definition of the monetary poor follows national standards, with poverty levels determined by national definition of income or consumption poverty (consistent with SDG 1.2.1).  </w:t>
            </w:r>
          </w:p>
          <w:p w14:paraId="3507E9DD" w14:textId="77777777" w:rsidR="00297195" w:rsidRDefault="00297195" w:rsidP="00406F3B">
            <w:pPr>
              <w:spacing w:after="68"/>
            </w:pPr>
            <w:r>
              <w:t xml:space="preserve"> </w:t>
            </w:r>
          </w:p>
          <w:p w14:paraId="0BA39230" w14:textId="77777777" w:rsidR="00297195" w:rsidRDefault="00297195" w:rsidP="00406F3B">
            <w:pPr>
              <w:spacing w:after="72"/>
              <w:ind w:right="-15"/>
            </w:pPr>
            <w:r>
              <w:rPr>
                <w:rFonts w:ascii="Calibri" w:eastAsia="Calibri" w:hAnsi="Calibri" w:cs="Calibri"/>
                <w:b/>
              </w:rPr>
              <w:t>Concepts:</w:t>
            </w:r>
            <w:r>
              <w:t xml:space="preserve"> </w:t>
            </w:r>
          </w:p>
          <w:p w14:paraId="1D2BF92E" w14:textId="77777777" w:rsidR="00297195" w:rsidRDefault="00297195" w:rsidP="00406F3B">
            <w:r>
              <w:rPr>
                <w:u w:val="single" w:color="4A4A4A"/>
              </w:rPr>
              <w:t>Proportion of public spending:</w:t>
            </w:r>
            <w:r>
              <w:t xml:space="preserve"> Expenditures by governments on health, education and direct transfers (cash transfers and near-cash transfers).   </w:t>
            </w:r>
          </w:p>
          <w:p w14:paraId="3B0326F6" w14:textId="77777777" w:rsidR="00297195" w:rsidRDefault="00297195" w:rsidP="00406F3B">
            <w:r>
              <w:t xml:space="preserve"> </w:t>
            </w:r>
          </w:p>
          <w:p w14:paraId="02FA8FA0" w14:textId="77777777" w:rsidR="00297195" w:rsidRDefault="00297195" w:rsidP="00406F3B">
            <w:r>
              <w:t xml:space="preserve">The poor: Monetary Poverty as determined by national definition of income/consumption poverty (consistent with SDG 1.2.1):  </w:t>
            </w:r>
          </w:p>
          <w:p w14:paraId="6164A1F3" w14:textId="77777777" w:rsidR="00297195" w:rsidRDefault="00297195" w:rsidP="00406F3B">
            <w:r>
              <w:t xml:space="preserve"> </w:t>
            </w:r>
          </w:p>
          <w:p w14:paraId="6CA5C34A" w14:textId="77777777" w:rsidR="00297195" w:rsidRPr="000C4849" w:rsidRDefault="00297195" w:rsidP="00406F3B">
            <w:pPr>
              <w:rPr>
                <w:b/>
              </w:rPr>
            </w:pPr>
            <w:r w:rsidRPr="000C4849">
              <w:rPr>
                <w:b/>
              </w:rPr>
              <w:t>Rationale:</w:t>
            </w:r>
          </w:p>
          <w:p w14:paraId="2E41E0D3" w14:textId="77777777" w:rsidR="00297195" w:rsidRDefault="00297195" w:rsidP="00406F3B">
            <w:r>
              <w:t>The indicator measures the extent to which public spending in three key areas which are critical for poverty eradication, including health, education, and other direct transfers is directly allocated to individuals or households in the monetary poor as per the national definition.</w:t>
            </w:r>
          </w:p>
          <w:p w14:paraId="305ACAB5" w14:textId="77777777" w:rsidR="00297195" w:rsidRDefault="00297195" w:rsidP="00406F3B">
            <w:r>
              <w:t>The indicator measures if public spending is targeting the monetary poor. Pro-poor social spending is defined if the proportion of government expenditures on social services is higher than the proportion of the population, measured at the level determined by national definition of income/consumption poverty (consistent with SDG 1.2.1). For instance, if the proportion of public spending received by the poor exceeds (falls below) the proportion of poor as defined by national definitions, public expenditures can be interpreted as pro-poor (not pro-poor). This is a strong measurement of the financial commitment governments make to target their services and transfers on the poor groups of society, reinforcing propoor</w:t>
            </w:r>
          </w:p>
          <w:p w14:paraId="261F433E" w14:textId="77777777" w:rsidR="00297195" w:rsidRDefault="00297195" w:rsidP="00406F3B">
            <w:proofErr w:type="gramStart"/>
            <w:r>
              <w:t>development</w:t>
            </w:r>
            <w:proofErr w:type="gramEnd"/>
            <w:r>
              <w:t xml:space="preserve"> strategies.</w:t>
            </w:r>
          </w:p>
          <w:p w14:paraId="186371ED" w14:textId="77777777" w:rsidR="00297195" w:rsidRDefault="00297195" w:rsidP="00406F3B">
            <w:r>
              <w:t xml:space="preserve">Further developments of the methodology and improvements in data availability may allow </w:t>
            </w:r>
            <w:proofErr w:type="gramStart"/>
            <w:r>
              <w:t>to expand</w:t>
            </w:r>
            <w:proofErr w:type="gramEnd"/>
            <w:r>
              <w:t xml:space="preserve"> this indicator to other vulnerable groups, such as women and children.</w:t>
            </w:r>
          </w:p>
          <w:p w14:paraId="3A1640C1" w14:textId="77777777" w:rsidR="00297195" w:rsidRDefault="00297195" w:rsidP="00406F3B">
            <w:pPr>
              <w:spacing w:after="72"/>
              <w:ind w:right="-15"/>
            </w:pPr>
            <w:r>
              <w:rPr>
                <w:rFonts w:ascii="Calibri" w:eastAsia="Calibri" w:hAnsi="Calibri" w:cs="Calibri"/>
                <w:b/>
              </w:rPr>
              <w:t xml:space="preserve">Comments and limitations: </w:t>
            </w:r>
          </w:p>
          <w:p w14:paraId="02BEF3AD" w14:textId="77777777" w:rsidR="00297195" w:rsidRDefault="00297195" w:rsidP="00406F3B">
            <w:r>
              <w:t xml:space="preserve">Feasibility: The indicator can be estimated for any country for which (a) a micro-data set detailing incomes or expenditures and services utilization (i.e. education, health, and cash transfers receipts) at the individual or household level exists and (b) a set of fiscal, administrative, or budgetary records detailing public expenditures at the program level is available. </w:t>
            </w:r>
          </w:p>
          <w:p w14:paraId="7296D2DD" w14:textId="77777777" w:rsidR="00297195" w:rsidRDefault="00297195" w:rsidP="00406F3B">
            <w:r>
              <w:t xml:space="preserve"> </w:t>
            </w:r>
          </w:p>
          <w:p w14:paraId="1F247023" w14:textId="77777777" w:rsidR="00297195" w:rsidRDefault="00297195" w:rsidP="00406F3B">
            <w:r>
              <w:t xml:space="preserve">Suitability/relevance: The indicator provides an estimate how well public resources are allocated to sectors which disproportionally benefit the poor. This reflects the financial consequences of policy frameworks, which are based on pro-poor development strategies, which allows to measure progress on the SDG target 1.b. </w:t>
            </w:r>
          </w:p>
          <w:p w14:paraId="53EE9EE5" w14:textId="77777777" w:rsidR="00297195" w:rsidRDefault="00297195" w:rsidP="00406F3B">
            <w:pPr>
              <w:spacing w:after="68"/>
            </w:pPr>
            <w:r>
              <w:t xml:space="preserve"> </w:t>
            </w:r>
          </w:p>
          <w:p w14:paraId="0452892B" w14:textId="77777777" w:rsidR="00297195" w:rsidRDefault="00297195" w:rsidP="00406F3B">
            <w:r>
              <w:t xml:space="preserve">Limitations: The indicator does not take into effect the consequences of revenue-related fiscal activities, such as taxes or contributions to public insurance systems, on the poor. The proposed methodology does not currently expand to other groups, such as women or children.  </w:t>
            </w:r>
          </w:p>
          <w:p w14:paraId="6D64DF28" w14:textId="77777777" w:rsidR="00297195" w:rsidRDefault="00297195" w:rsidP="00406F3B">
            <w:pPr>
              <w:spacing w:after="98"/>
            </w:pPr>
            <w:r>
              <w:lastRenderedPageBreak/>
              <w:t xml:space="preserve"> </w:t>
            </w:r>
          </w:p>
          <w:p w14:paraId="51D1E5A2" w14:textId="77777777" w:rsidR="00297195" w:rsidRDefault="00297195" w:rsidP="00406F3B">
            <w:pPr>
              <w:spacing w:after="72"/>
              <w:ind w:right="-15"/>
            </w:pPr>
            <w:r>
              <w:rPr>
                <w:rFonts w:ascii="Calibri" w:eastAsia="Calibri" w:hAnsi="Calibri" w:cs="Calibri"/>
                <w:b/>
              </w:rPr>
              <w:t xml:space="preserve">Computation Method: </w:t>
            </w:r>
          </w:p>
          <w:p w14:paraId="7C636B76" w14:textId="77777777" w:rsidR="00297195" w:rsidRDefault="00297195" w:rsidP="00406F3B">
            <w:r>
              <w:rPr>
                <w:u w:val="single" w:color="4A4A4A"/>
              </w:rPr>
              <w:t>Monetary Poverty</w:t>
            </w:r>
            <w:r>
              <w:t xml:space="preserve"> can be derived directly from a nationally representative micro-data set (an Income and Expenditure Survey, for example). Procedures for estimations are detailed comprehensively in the 1.2.1 metadata. The estimates used for this indicator would be the same as the ones for Target 1.2.1. </w:t>
            </w:r>
          </w:p>
          <w:p w14:paraId="0D1E987D" w14:textId="77777777" w:rsidR="00297195" w:rsidRDefault="00297195" w:rsidP="00406F3B">
            <w:r>
              <w:rPr>
                <w:u w:val="single" w:color="4A4A4A"/>
              </w:rPr>
              <w:t>Public spending on social services</w:t>
            </w:r>
            <w:r>
              <w:t xml:space="preserve"> can be directly derived from budget administrative data. </w:t>
            </w:r>
          </w:p>
          <w:p w14:paraId="6B64A18C" w14:textId="6F70DAA2" w:rsidR="00297195" w:rsidRDefault="00297195" w:rsidP="00406F3B">
            <w:r>
              <w:t xml:space="preserve">A fiscal incidence analysis is required to estimate the benefit the poor individuals or households (depending on underlying survey data) are receiving from those services. The incidence analysis measures the monetised value of in-kind transfers in education and health services at average government costs. In addition, this indicator includes cash and near cash transfers in the definition of social services (conditional and unconditional cash transfers, school feeding programmes etc.). The procedures are described in detailed in the CEQ Handbook, Meerman, Jacob (1979), Selowsky, Marcelo (1979), and many other ones. </w:t>
            </w:r>
          </w:p>
          <w:p w14:paraId="0E9671EC" w14:textId="77777777" w:rsidR="00297195" w:rsidRPr="00F40ACF" w:rsidRDefault="00297195" w:rsidP="00406F3B">
            <w:pPr>
              <w:pStyle w:val="NoSpacing"/>
            </w:pPr>
          </w:p>
        </w:tc>
        <w:tc>
          <w:tcPr>
            <w:tcW w:w="0" w:type="auto"/>
            <w:shd w:val="clear" w:color="auto" w:fill="auto"/>
          </w:tcPr>
          <w:p w14:paraId="3C9D1A2A" w14:textId="77777777" w:rsidR="00297195" w:rsidRDefault="00297195" w:rsidP="00406F3B">
            <w:pPr>
              <w:jc w:val="center"/>
              <w:rPr>
                <w:rFonts w:cs="Calibri"/>
                <w:color w:val="auto"/>
                <w:szCs w:val="20"/>
              </w:rPr>
            </w:pPr>
            <w:r>
              <w:rPr>
                <w:rFonts w:cs="Calibri"/>
                <w:color w:val="auto"/>
                <w:szCs w:val="20"/>
              </w:rPr>
              <w:lastRenderedPageBreak/>
              <w:t>Administrative Record</w:t>
            </w:r>
          </w:p>
        </w:tc>
        <w:tc>
          <w:tcPr>
            <w:tcW w:w="0" w:type="auto"/>
            <w:shd w:val="clear" w:color="auto" w:fill="auto"/>
          </w:tcPr>
          <w:p w14:paraId="72019645" w14:textId="77777777" w:rsidR="00297195" w:rsidRDefault="00297195" w:rsidP="00406F3B">
            <w:r>
              <w:t xml:space="preserve">Ultimately the data providers </w:t>
            </w:r>
            <w:r>
              <w:lastRenderedPageBreak/>
              <w:t xml:space="preserve">are national-level statistical agencies for the micro-data sets and nationallevel fiscal agencies and bodies for the budgetary and administrative data.  </w:t>
            </w:r>
          </w:p>
          <w:p w14:paraId="41EECD2D" w14:textId="77777777" w:rsidR="00297195" w:rsidRDefault="00297195" w:rsidP="00406F3B">
            <w:pPr>
              <w:pStyle w:val="NoSpacing"/>
            </w:pPr>
          </w:p>
        </w:tc>
        <w:tc>
          <w:tcPr>
            <w:tcW w:w="0" w:type="auto"/>
            <w:shd w:val="clear" w:color="auto" w:fill="auto"/>
          </w:tcPr>
          <w:p w14:paraId="43307B92" w14:textId="241BC1E1" w:rsidR="00297195" w:rsidRPr="00DE3AFB" w:rsidRDefault="00297195" w:rsidP="00406F3B">
            <w:pPr>
              <w:pStyle w:val="NoSpacing"/>
            </w:pPr>
          </w:p>
        </w:tc>
        <w:tc>
          <w:tcPr>
            <w:tcW w:w="0" w:type="auto"/>
            <w:shd w:val="clear" w:color="auto" w:fill="auto"/>
          </w:tcPr>
          <w:p w14:paraId="3601677B" w14:textId="77777777" w:rsidR="00297195" w:rsidRDefault="00297195" w:rsidP="00406F3B">
            <w:pPr>
              <w:pStyle w:val="NoSpacing"/>
            </w:pPr>
            <w:r>
              <w:t xml:space="preserve">FD </w:t>
            </w:r>
          </w:p>
          <w:p w14:paraId="399D3A74" w14:textId="77777777" w:rsidR="00297195" w:rsidRDefault="00297195" w:rsidP="00406F3B">
            <w:pPr>
              <w:jc w:val="both"/>
            </w:pPr>
            <w:r>
              <w:t>Administrative data</w:t>
            </w:r>
          </w:p>
          <w:p w14:paraId="5FD84330" w14:textId="77777777" w:rsidR="00297195" w:rsidRDefault="00297195" w:rsidP="00406F3B">
            <w:pPr>
              <w:jc w:val="both"/>
            </w:pPr>
          </w:p>
          <w:p w14:paraId="06967A7B" w14:textId="77777777" w:rsidR="00297195" w:rsidRDefault="00297195" w:rsidP="00406F3B">
            <w:pPr>
              <w:jc w:val="both"/>
              <w:rPr>
                <w:szCs w:val="20"/>
              </w:rPr>
            </w:pPr>
            <w:r>
              <w:t>HIES, BBS</w:t>
            </w:r>
          </w:p>
        </w:tc>
        <w:tc>
          <w:tcPr>
            <w:tcW w:w="0" w:type="auto"/>
            <w:shd w:val="clear" w:color="auto" w:fill="auto"/>
          </w:tcPr>
          <w:p w14:paraId="4D7990FF" w14:textId="0DC65296" w:rsidR="00297195" w:rsidRDefault="00297195" w:rsidP="00406F3B">
            <w:pPr>
              <w:jc w:val="center"/>
              <w:rPr>
                <w:szCs w:val="20"/>
              </w:rPr>
            </w:pPr>
          </w:p>
          <w:p w14:paraId="55E585B1" w14:textId="7F7829F7" w:rsidR="00297195" w:rsidRPr="004907C6" w:rsidRDefault="00297195" w:rsidP="009B314D">
            <w:pPr>
              <w:jc w:val="center"/>
              <w:rPr>
                <w:szCs w:val="20"/>
              </w:rPr>
            </w:pPr>
            <w:r>
              <w:rPr>
                <w:szCs w:val="20"/>
              </w:rPr>
              <w:t xml:space="preserve">• </w:t>
            </w:r>
            <w:r w:rsidRPr="00A44C13">
              <w:rPr>
                <w:rFonts w:cs="Calibri"/>
                <w:color w:val="000000" w:themeColor="text1"/>
                <w:sz w:val="21"/>
                <w:szCs w:val="21"/>
              </w:rPr>
              <w:t>by subnational level</w:t>
            </w:r>
            <w:r w:rsidR="00970164">
              <w:rPr>
                <w:rFonts w:cs="Calibri"/>
                <w:color w:val="000000" w:themeColor="text1"/>
                <w:sz w:val="21"/>
                <w:szCs w:val="21"/>
              </w:rPr>
              <w:t xml:space="preserve">: Division, </w:t>
            </w:r>
            <w:r w:rsidR="00970164">
              <w:rPr>
                <w:rFonts w:cs="Calibri"/>
                <w:color w:val="000000" w:themeColor="text1"/>
                <w:sz w:val="21"/>
                <w:szCs w:val="21"/>
              </w:rPr>
              <w:lastRenderedPageBreak/>
              <w:t>District</w:t>
            </w:r>
          </w:p>
        </w:tc>
        <w:tc>
          <w:tcPr>
            <w:tcW w:w="0" w:type="auto"/>
            <w:shd w:val="clear" w:color="auto" w:fill="auto"/>
          </w:tcPr>
          <w:p w14:paraId="6146BC4D" w14:textId="77777777" w:rsidR="00297195" w:rsidRDefault="00297195" w:rsidP="00406F3B">
            <w:pPr>
              <w:jc w:val="center"/>
              <w:rPr>
                <w:bCs/>
                <w:szCs w:val="20"/>
              </w:rPr>
            </w:pPr>
            <w:r>
              <w:rPr>
                <w:bCs/>
                <w:szCs w:val="20"/>
              </w:rPr>
              <w:lastRenderedPageBreak/>
              <w:t>Annual</w:t>
            </w:r>
          </w:p>
        </w:tc>
        <w:tc>
          <w:tcPr>
            <w:tcW w:w="0" w:type="auto"/>
            <w:shd w:val="clear" w:color="auto" w:fill="auto"/>
          </w:tcPr>
          <w:p w14:paraId="71B2D07A" w14:textId="77777777" w:rsidR="00297195" w:rsidRDefault="00297195" w:rsidP="00406F3B">
            <w:pPr>
              <w:jc w:val="center"/>
              <w:rPr>
                <w:bCs/>
                <w:szCs w:val="20"/>
              </w:rPr>
            </w:pPr>
            <w:r>
              <w:rPr>
                <w:bCs/>
                <w:szCs w:val="20"/>
              </w:rPr>
              <w:t>Group 2</w:t>
            </w:r>
          </w:p>
        </w:tc>
        <w:tc>
          <w:tcPr>
            <w:tcW w:w="0" w:type="auto"/>
            <w:shd w:val="clear" w:color="auto" w:fill="auto"/>
          </w:tcPr>
          <w:p w14:paraId="73F4D7D8" w14:textId="77777777" w:rsidR="00297195" w:rsidRDefault="00297195" w:rsidP="00406F3B">
            <w:pPr>
              <w:pStyle w:val="NoSpacing"/>
            </w:pPr>
            <w:r>
              <w:t>1</w:t>
            </w:r>
            <w:r w:rsidRPr="00013ACB">
              <w:rPr>
                <w:vertAlign w:val="superscript"/>
              </w:rPr>
              <w:t>st</w:t>
            </w:r>
            <w:r>
              <w:t xml:space="preserve"> Round: 2016</w:t>
            </w:r>
          </w:p>
          <w:p w14:paraId="13097FAB" w14:textId="77777777" w:rsidR="00297195" w:rsidRDefault="00297195" w:rsidP="00406F3B">
            <w:pPr>
              <w:pStyle w:val="NoSpacing"/>
            </w:pPr>
          </w:p>
          <w:p w14:paraId="6E7382E2" w14:textId="77777777" w:rsidR="00297195" w:rsidRDefault="00297195" w:rsidP="00406F3B">
            <w:pPr>
              <w:pStyle w:val="NoSpacing"/>
            </w:pPr>
            <w:r>
              <w:t>2</w:t>
            </w:r>
            <w:r w:rsidRPr="00013ACB">
              <w:rPr>
                <w:vertAlign w:val="superscript"/>
              </w:rPr>
              <w:t>nd</w:t>
            </w:r>
            <w:r>
              <w:t xml:space="preserve"> Round: June, 2021</w:t>
            </w:r>
          </w:p>
          <w:p w14:paraId="6071080B" w14:textId="77777777" w:rsidR="00297195" w:rsidRDefault="00297195" w:rsidP="00406F3B">
            <w:pPr>
              <w:pStyle w:val="NoSpacing"/>
            </w:pPr>
          </w:p>
          <w:p w14:paraId="6B4E7638" w14:textId="77777777" w:rsidR="00297195" w:rsidRDefault="00297195" w:rsidP="00406F3B">
            <w:pPr>
              <w:pStyle w:val="NoSpacing"/>
            </w:pPr>
            <w:r>
              <w:t>3</w:t>
            </w:r>
            <w:r w:rsidRPr="00013ACB">
              <w:rPr>
                <w:vertAlign w:val="superscript"/>
              </w:rPr>
              <w:t>rd</w:t>
            </w:r>
            <w:r>
              <w:t xml:space="preserve"> Round: </w:t>
            </w:r>
          </w:p>
          <w:p w14:paraId="3C1A3596" w14:textId="77777777" w:rsidR="00297195" w:rsidRDefault="00297195" w:rsidP="00406F3B">
            <w:pPr>
              <w:pStyle w:val="NoSpacing"/>
            </w:pPr>
            <w:r>
              <w:t>June, 2024</w:t>
            </w:r>
          </w:p>
          <w:p w14:paraId="54867D0E" w14:textId="77777777" w:rsidR="00297195" w:rsidRDefault="00297195" w:rsidP="00406F3B">
            <w:pPr>
              <w:pStyle w:val="NoSpacing"/>
            </w:pPr>
          </w:p>
          <w:p w14:paraId="46785974" w14:textId="77777777" w:rsidR="00297195" w:rsidRDefault="00297195" w:rsidP="00406F3B">
            <w:pPr>
              <w:pStyle w:val="NoSpacing"/>
            </w:pPr>
            <w:r>
              <w:t>4</w:t>
            </w:r>
            <w:r w:rsidRPr="00013ACB">
              <w:rPr>
                <w:vertAlign w:val="superscript"/>
              </w:rPr>
              <w:t>th</w:t>
            </w:r>
            <w:r>
              <w:t xml:space="preserve"> Round: </w:t>
            </w:r>
          </w:p>
          <w:p w14:paraId="120C890A" w14:textId="77777777" w:rsidR="00297195" w:rsidRDefault="00297195" w:rsidP="00406F3B">
            <w:pPr>
              <w:pStyle w:val="NoSpacing"/>
            </w:pPr>
            <w:r>
              <w:t>June, 2027</w:t>
            </w:r>
          </w:p>
          <w:p w14:paraId="05F20C91" w14:textId="77777777" w:rsidR="00297195" w:rsidRDefault="00297195" w:rsidP="00406F3B">
            <w:pPr>
              <w:pStyle w:val="NoSpacing"/>
            </w:pPr>
          </w:p>
          <w:p w14:paraId="31D8D88A" w14:textId="77777777" w:rsidR="00297195" w:rsidRDefault="00297195" w:rsidP="00406F3B">
            <w:pPr>
              <w:pStyle w:val="NoSpacing"/>
            </w:pPr>
            <w:r>
              <w:t>5</w:t>
            </w:r>
            <w:r w:rsidRPr="00013ACB">
              <w:rPr>
                <w:vertAlign w:val="superscript"/>
              </w:rPr>
              <w:t>th</w:t>
            </w:r>
            <w:r>
              <w:t xml:space="preserve"> Round:</w:t>
            </w:r>
          </w:p>
          <w:p w14:paraId="66F7F302" w14:textId="77777777" w:rsidR="00297195" w:rsidRDefault="00297195" w:rsidP="00406F3B">
            <w:pPr>
              <w:pStyle w:val="NoSpacing"/>
            </w:pPr>
            <w:r>
              <w:t>June, 2030</w:t>
            </w:r>
          </w:p>
          <w:p w14:paraId="51327B80" w14:textId="77777777" w:rsidR="00297195" w:rsidRDefault="00297195" w:rsidP="00406F3B">
            <w:pPr>
              <w:pStyle w:val="NoSpacing"/>
            </w:pPr>
            <w:r>
              <w:t xml:space="preserve"> </w:t>
            </w:r>
          </w:p>
          <w:p w14:paraId="18B8CD4C" w14:textId="77777777" w:rsidR="00297195" w:rsidRDefault="00297195" w:rsidP="00406F3B">
            <w:pPr>
              <w:pStyle w:val="NoSpacing"/>
            </w:pPr>
          </w:p>
          <w:p w14:paraId="04A89064" w14:textId="77777777" w:rsidR="00297195" w:rsidRDefault="00297195" w:rsidP="00406F3B">
            <w:pPr>
              <w:pStyle w:val="NoSpacing"/>
            </w:pPr>
          </w:p>
          <w:p w14:paraId="51B7ED25" w14:textId="64A5AFF3" w:rsidR="00297195" w:rsidRPr="003265B9" w:rsidRDefault="00297195" w:rsidP="00406F3B">
            <w:pPr>
              <w:pStyle w:val="NoSpacing"/>
            </w:pPr>
          </w:p>
        </w:tc>
        <w:tc>
          <w:tcPr>
            <w:tcW w:w="0" w:type="auto"/>
            <w:shd w:val="clear" w:color="auto" w:fill="auto"/>
          </w:tcPr>
          <w:p w14:paraId="181193B6" w14:textId="77777777" w:rsidR="00297195" w:rsidRDefault="00297195" w:rsidP="000C4849">
            <w:pPr>
              <w:rPr>
                <w:bCs/>
                <w:szCs w:val="20"/>
              </w:rPr>
            </w:pPr>
            <w:r>
              <w:rPr>
                <w:bCs/>
                <w:szCs w:val="20"/>
              </w:rPr>
              <w:lastRenderedPageBreak/>
              <w:t xml:space="preserve">FD should comply with the metadata </w:t>
            </w:r>
            <w:r>
              <w:rPr>
                <w:bCs/>
                <w:szCs w:val="20"/>
              </w:rPr>
              <w:lastRenderedPageBreak/>
              <w:t>for reporting subject to</w:t>
            </w:r>
          </w:p>
          <w:p w14:paraId="755C7CD7" w14:textId="77777777" w:rsidR="00297195" w:rsidRDefault="00297195" w:rsidP="000C4849">
            <w:pPr>
              <w:rPr>
                <w:bCs/>
                <w:szCs w:val="20"/>
              </w:rPr>
            </w:pPr>
            <w:r>
              <w:rPr>
                <w:bCs/>
                <w:szCs w:val="20"/>
              </w:rPr>
              <w:t>availability</w:t>
            </w:r>
          </w:p>
          <w:p w14:paraId="782E2822" w14:textId="77777777" w:rsidR="00297195" w:rsidRDefault="00297195" w:rsidP="00235520">
            <w:pPr>
              <w:rPr>
                <w:bCs/>
                <w:szCs w:val="20"/>
              </w:rPr>
            </w:pPr>
          </w:p>
          <w:p w14:paraId="1DC68D13" w14:textId="77777777" w:rsidR="00297195" w:rsidRDefault="00297195" w:rsidP="00235520">
            <w:pPr>
              <w:rPr>
                <w:bCs/>
                <w:szCs w:val="20"/>
              </w:rPr>
            </w:pPr>
          </w:p>
          <w:p w14:paraId="651EDAF5" w14:textId="77777777" w:rsidR="00297195" w:rsidRDefault="00297195">
            <w:pPr>
              <w:rPr>
                <w:bCs/>
                <w:szCs w:val="20"/>
              </w:rPr>
            </w:pPr>
          </w:p>
          <w:p w14:paraId="6BC2C6A9" w14:textId="77777777" w:rsidR="00297195" w:rsidRDefault="00297195">
            <w:pPr>
              <w:rPr>
                <w:bCs/>
                <w:szCs w:val="20"/>
              </w:rPr>
            </w:pPr>
            <w:r w:rsidRPr="00DE3AFB">
              <w:rPr>
                <w:bCs/>
                <w:szCs w:val="20"/>
              </w:rPr>
              <w:t>UNSC 51 replacement included in the 2020 comprehensive review</w:t>
            </w:r>
          </w:p>
        </w:tc>
      </w:tr>
    </w:tbl>
    <w:p w14:paraId="4AC818F7" w14:textId="77777777" w:rsidR="00062516" w:rsidRDefault="00062516" w:rsidP="00CC78FC">
      <w:pPr>
        <w:jc w:val="both"/>
        <w:rPr>
          <w:color w:val="C00000"/>
          <w:sz w:val="30"/>
          <w:szCs w:val="30"/>
        </w:rPr>
      </w:pPr>
    </w:p>
    <w:p w14:paraId="7972A407" w14:textId="77777777" w:rsidR="00062516" w:rsidRDefault="00062516" w:rsidP="00CC78FC">
      <w:pPr>
        <w:jc w:val="both"/>
        <w:rPr>
          <w:color w:val="C00000"/>
          <w:sz w:val="30"/>
          <w:szCs w:val="30"/>
        </w:rPr>
      </w:pPr>
    </w:p>
    <w:p w14:paraId="3E0B9AC0" w14:textId="77777777" w:rsidR="00701B09" w:rsidRDefault="00701B09" w:rsidP="00CC78FC">
      <w:pPr>
        <w:jc w:val="both"/>
        <w:rPr>
          <w:color w:val="C00000"/>
          <w:sz w:val="30"/>
          <w:szCs w:val="30"/>
        </w:rPr>
        <w:sectPr w:rsidR="00701B09" w:rsidSect="001F0FD8">
          <w:type w:val="continuous"/>
          <w:pgSz w:w="20160" w:h="12240" w:orient="landscape" w:code="5"/>
          <w:pgMar w:top="720" w:right="720" w:bottom="720" w:left="720" w:header="720" w:footer="720" w:gutter="0"/>
          <w:cols w:space="720"/>
          <w:docGrid w:linePitch="360"/>
        </w:sectPr>
      </w:pPr>
    </w:p>
    <w:p w14:paraId="5E3C9B7A" w14:textId="77777777" w:rsidR="00701B09" w:rsidRPr="00262FC1" w:rsidRDefault="00BC08EA" w:rsidP="00701B09">
      <w:pPr>
        <w:jc w:val="center"/>
        <w:rPr>
          <w:sz w:val="96"/>
          <w:szCs w:val="96"/>
        </w:rPr>
      </w:pPr>
      <w:r>
        <w:rPr>
          <w:noProof/>
          <w:lang w:bidi="bn-BD"/>
        </w:rPr>
        <w:lastRenderedPageBreak/>
        <mc:AlternateContent>
          <mc:Choice Requires="wps">
            <w:drawing>
              <wp:anchor distT="0" distB="0" distL="114300" distR="114300" simplePos="0" relativeHeight="251571712" behindDoc="1" locked="0" layoutInCell="1" allowOverlap="1" wp14:anchorId="3D88693A" wp14:editId="6C25959F">
                <wp:simplePos x="0" y="0"/>
                <wp:positionH relativeFrom="column">
                  <wp:posOffset>-903605</wp:posOffset>
                </wp:positionH>
                <wp:positionV relativeFrom="paragraph">
                  <wp:posOffset>-914400</wp:posOffset>
                </wp:positionV>
                <wp:extent cx="12780010" cy="7761605"/>
                <wp:effectExtent l="10795" t="9525" r="10795" b="10795"/>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0010" cy="7761605"/>
                        </a:xfrm>
                        <a:prstGeom prst="rect">
                          <a:avLst/>
                        </a:prstGeom>
                        <a:solidFill>
                          <a:srgbClr val="99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EB4CA1" id="Rectangle 3" o:spid="_x0000_s1026" style="position:absolute;margin-left:-71.15pt;margin-top:-1in;width:1006.3pt;height:611.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" fillcolor="#960"/>
            </w:pict>
          </mc:Fallback>
        </mc:AlternateContent>
      </w:r>
      <w:r w:rsidR="00701B09" w:rsidRPr="00262FC1">
        <w:rPr>
          <w:noProof/>
          <w:lang w:bidi="bn-BD"/>
        </w:rPr>
        <w:drawing>
          <wp:inline distT="0" distB="0" distL="0" distR="0" wp14:anchorId="01354E49" wp14:editId="78E9EEAB">
            <wp:extent cx="1651128" cy="1651128"/>
            <wp:effectExtent l="38100" t="38100" r="254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1128" cy="1651128"/>
                    </a:xfrm>
                    <a:prstGeom prst="rect">
                      <a:avLst/>
                    </a:prstGeom>
                    <a:ln w="38100">
                      <a:solidFill>
                        <a:schemeClr val="bg1"/>
                      </a:solidFill>
                    </a:ln>
                  </pic:spPr>
                </pic:pic>
              </a:graphicData>
            </a:graphic>
          </wp:inline>
        </w:drawing>
      </w:r>
      <w:r w:rsidR="00701B09">
        <w:t xml:space="preserve">  </w:t>
      </w:r>
      <w:r w:rsidR="00701B09" w:rsidRPr="00BC08EA">
        <w:rPr>
          <w:color w:val="FFFFFF" w:themeColor="background1"/>
          <w:sz w:val="50"/>
          <w:szCs w:val="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End hunger, achieve food security and improved nutrition and promote sustainable agriculture</w:t>
      </w:r>
    </w:p>
    <w:p w14:paraId="56258E75" w14:textId="77777777" w:rsidR="00701B09" w:rsidRDefault="00701B09" w:rsidP="00701B09">
      <w:pPr>
        <w:jc w:val="center"/>
        <w:rPr>
          <w:color w:val="FFFFFF" w:themeColor="background1"/>
          <w:sz w:val="54"/>
          <w:szCs w:val="54"/>
        </w:rPr>
      </w:pPr>
    </w:p>
    <w:p w14:paraId="79D6F0FF" w14:textId="77777777" w:rsidR="00701B09" w:rsidRPr="00D2173E" w:rsidRDefault="00701B09" w:rsidP="00701B09">
      <w:pPr>
        <w:jc w:val="center"/>
        <w:rPr>
          <w:color w:val="FFFFFF" w:themeColor="background1"/>
          <w:sz w:val="54"/>
          <w:szCs w:val="54"/>
        </w:rPr>
      </w:pPr>
      <w:r w:rsidRPr="00D2173E">
        <w:rPr>
          <w:color w:val="FFFFFF" w:themeColor="background1"/>
          <w:sz w:val="54"/>
          <w:szCs w:val="54"/>
        </w:rPr>
        <w:t xml:space="preserve">Total Target </w:t>
      </w:r>
      <w:r>
        <w:rPr>
          <w:color w:val="FFFFFF" w:themeColor="background1"/>
          <w:sz w:val="54"/>
          <w:szCs w:val="54"/>
        </w:rPr>
        <w:t>8</w:t>
      </w:r>
      <w:r w:rsidRPr="00D2173E">
        <w:rPr>
          <w:color w:val="FFFFFF" w:themeColor="background1"/>
          <w:sz w:val="54"/>
          <w:szCs w:val="54"/>
        </w:rPr>
        <w:t>, Total Indicators: 1</w:t>
      </w:r>
      <w:r>
        <w:rPr>
          <w:color w:val="FFFFFF" w:themeColor="background1"/>
          <w:sz w:val="54"/>
          <w:szCs w:val="54"/>
        </w:rPr>
        <w:t>3</w:t>
      </w:r>
    </w:p>
    <w:p w14:paraId="45E86651" w14:textId="77777777" w:rsidR="00701B09" w:rsidRDefault="00701B09" w:rsidP="00701B09">
      <w:pPr>
        <w:jc w:val="center"/>
      </w:pPr>
      <w:r w:rsidRPr="00262FC1">
        <w:rPr>
          <w:noProof/>
          <w:shd w:val="clear" w:color="auto" w:fill="00B050"/>
          <w:lang w:bidi="bn-BD"/>
        </w:rPr>
        <w:drawing>
          <wp:inline distT="0" distB="0" distL="0" distR="0" wp14:anchorId="752934C5" wp14:editId="41760457">
            <wp:extent cx="3322621" cy="2290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t xml:space="preserve">         </w:t>
      </w:r>
      <w:r w:rsidRPr="00262FC1">
        <w:rPr>
          <w:noProof/>
          <w:shd w:val="clear" w:color="auto" w:fill="00B050"/>
          <w:lang w:bidi="bn-BD"/>
        </w:rPr>
        <w:drawing>
          <wp:inline distT="0" distB="0" distL="0" distR="0" wp14:anchorId="7F3DAF1E" wp14:editId="67915EEF">
            <wp:extent cx="3675707" cy="230314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sidRPr="00262FC1">
        <w:rPr>
          <w:noProof/>
          <w:shd w:val="clear" w:color="auto" w:fill="00B050"/>
          <w:lang w:bidi="bn-BD"/>
        </w:rPr>
        <w:drawing>
          <wp:inline distT="0" distB="0" distL="0" distR="0" wp14:anchorId="0D209306" wp14:editId="4EF3F527">
            <wp:extent cx="3322622" cy="227877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FA9F8AE" w14:textId="77777777" w:rsidR="00701B09" w:rsidRDefault="00701B09" w:rsidP="00701B09">
      <w:r>
        <w:br w:type="page"/>
      </w:r>
    </w:p>
    <w:p w14:paraId="36B62173" w14:textId="77777777" w:rsidR="00701B09" w:rsidRDefault="00701B09">
      <w:pPr>
        <w:rPr>
          <w:color w:val="C00000"/>
          <w:sz w:val="30"/>
          <w:szCs w:val="30"/>
        </w:rPr>
      </w:pPr>
      <w:r>
        <w:rPr>
          <w:color w:val="C00000"/>
          <w:sz w:val="30"/>
          <w:szCs w:val="30"/>
        </w:rPr>
        <w:lastRenderedPageBreak/>
        <w:br w:type="page"/>
      </w:r>
    </w:p>
    <w:p w14:paraId="042E0489" w14:textId="4B099188" w:rsidR="00815741" w:rsidRPr="007B1DFD" w:rsidRDefault="00BB3B57" w:rsidP="00815741">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0" w:type="auto"/>
        <w:tblInd w:w="85" w:type="dxa"/>
        <w:tblLook w:val="04A0" w:firstRow="1" w:lastRow="0" w:firstColumn="1" w:lastColumn="0" w:noHBand="0" w:noVBand="1"/>
      </w:tblPr>
      <w:tblGrid>
        <w:gridCol w:w="1236"/>
        <w:gridCol w:w="15992"/>
      </w:tblGrid>
      <w:tr w:rsidR="00701B09" w14:paraId="3DCE22A4" w14:textId="77777777" w:rsidTr="0085651F">
        <w:tc>
          <w:tcPr>
            <w:tcW w:w="1193" w:type="dxa"/>
            <w:tcBorders>
              <w:left w:val="single" w:sz="4" w:space="0" w:color="C00000"/>
              <w:bottom w:val="single" w:sz="4" w:space="0" w:color="C00000"/>
            </w:tcBorders>
          </w:tcPr>
          <w:p w14:paraId="7470A161" w14:textId="77777777" w:rsidR="00701B09" w:rsidRDefault="00701B09" w:rsidP="0064695C">
            <w:pPr>
              <w:jc w:val="center"/>
              <w:rPr>
                <w:color w:val="C00000"/>
                <w:sz w:val="48"/>
                <w:szCs w:val="48"/>
              </w:rPr>
            </w:pPr>
            <w:r w:rsidRPr="00262FC1">
              <w:rPr>
                <w:noProof/>
                <w:lang w:bidi="bn-BD"/>
              </w:rPr>
              <w:drawing>
                <wp:inline distT="0" distB="0" distL="0" distR="0" wp14:anchorId="7D84EC14" wp14:editId="0010BC74">
                  <wp:extent cx="590203" cy="590203"/>
                  <wp:effectExtent l="38100" t="3810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203" cy="590203"/>
                          </a:xfrm>
                          <a:prstGeom prst="rect">
                            <a:avLst/>
                          </a:prstGeom>
                          <a:ln w="38100">
                            <a:solidFill>
                              <a:schemeClr val="bg1"/>
                            </a:solidFill>
                          </a:ln>
                        </pic:spPr>
                      </pic:pic>
                    </a:graphicData>
                  </a:graphic>
                </wp:inline>
              </w:drawing>
            </w:r>
          </w:p>
        </w:tc>
        <w:tc>
          <w:tcPr>
            <w:tcW w:w="15992" w:type="dxa"/>
            <w:shd w:val="clear" w:color="auto" w:fill="996600"/>
            <w:vAlign w:val="center"/>
          </w:tcPr>
          <w:p w14:paraId="1FEC0D7C" w14:textId="77777777" w:rsidR="00701B09" w:rsidRDefault="00701B09" w:rsidP="0064695C">
            <w:pPr>
              <w:jc w:val="both"/>
              <w:rPr>
                <w:color w:val="C00000"/>
                <w:sz w:val="48"/>
                <w:szCs w:val="48"/>
              </w:rPr>
            </w:pPr>
            <w:r w:rsidRPr="00BC08EA">
              <w:rPr>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End hunger, achieve food security and improved nutrition and promote sustainable agriculture</w:t>
            </w:r>
          </w:p>
        </w:tc>
      </w:tr>
    </w:tbl>
    <w:p w14:paraId="2813CA31" w14:textId="77777777" w:rsidR="00701B09" w:rsidRDefault="00701B09" w:rsidP="00701B09">
      <w:pPr>
        <w:jc w:val="both"/>
        <w:rPr>
          <w:color w:val="C00000"/>
          <w:sz w:val="30"/>
          <w:szCs w:val="30"/>
        </w:rPr>
      </w:pPr>
    </w:p>
    <w:tbl>
      <w:tblPr>
        <w:tblStyle w:val="TableGrid"/>
        <w:tblW w:w="0" w:type="auto"/>
        <w:tblInd w:w="108" w:type="dxa"/>
        <w:tblLook w:val="04A0" w:firstRow="1" w:lastRow="0" w:firstColumn="1" w:lastColumn="0" w:noHBand="0" w:noVBand="1"/>
      </w:tblPr>
      <w:tblGrid>
        <w:gridCol w:w="1606"/>
        <w:gridCol w:w="22"/>
        <w:gridCol w:w="906"/>
        <w:gridCol w:w="1026"/>
        <w:gridCol w:w="4583"/>
        <w:gridCol w:w="1158"/>
        <w:gridCol w:w="1168"/>
        <w:gridCol w:w="746"/>
        <w:gridCol w:w="1054"/>
        <w:gridCol w:w="1746"/>
        <w:gridCol w:w="832"/>
        <w:gridCol w:w="723"/>
        <w:gridCol w:w="791"/>
        <w:gridCol w:w="1027"/>
      </w:tblGrid>
      <w:tr w:rsidR="0098022F" w14:paraId="73D7DD4A" w14:textId="77777777" w:rsidTr="0085651F">
        <w:trPr>
          <w:tblHeader/>
        </w:trPr>
        <w:tc>
          <w:tcPr>
            <w:tcW w:w="0" w:type="auto"/>
            <w:gridSpan w:val="2"/>
            <w:shd w:val="clear" w:color="auto" w:fill="EEECE1" w:themeFill="background2"/>
            <w:vAlign w:val="center"/>
          </w:tcPr>
          <w:p w14:paraId="1A4080C3" w14:textId="77777777" w:rsidR="00EF4362" w:rsidRPr="00C766D7" w:rsidRDefault="00EF4362" w:rsidP="0064695C">
            <w:pPr>
              <w:jc w:val="center"/>
              <w:rPr>
                <w:b/>
                <w:bCs/>
                <w:sz w:val="18"/>
                <w:szCs w:val="18"/>
              </w:rPr>
            </w:pPr>
            <w:r w:rsidRPr="00C766D7">
              <w:rPr>
                <w:b/>
                <w:bCs/>
                <w:sz w:val="18"/>
                <w:szCs w:val="18"/>
              </w:rPr>
              <w:t>Goals and targets and Indicators</w:t>
            </w:r>
          </w:p>
        </w:tc>
        <w:tc>
          <w:tcPr>
            <w:tcW w:w="0" w:type="auto"/>
            <w:shd w:val="clear" w:color="auto" w:fill="EEECE1" w:themeFill="background2"/>
            <w:vAlign w:val="center"/>
          </w:tcPr>
          <w:p w14:paraId="37986CD7" w14:textId="77777777" w:rsidR="00EF4362" w:rsidRPr="00C766D7" w:rsidRDefault="00EF4362" w:rsidP="0064695C">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EEECE1" w:themeFill="background2"/>
            <w:vAlign w:val="center"/>
          </w:tcPr>
          <w:p w14:paraId="6D945031" w14:textId="77777777" w:rsidR="00EF4362" w:rsidRPr="00C766D7" w:rsidRDefault="00EF4362" w:rsidP="0064695C">
            <w:pPr>
              <w:jc w:val="center"/>
              <w:rPr>
                <w:b/>
                <w:bCs/>
                <w:sz w:val="18"/>
                <w:szCs w:val="18"/>
              </w:rPr>
            </w:pPr>
            <w:r w:rsidRPr="00C766D7">
              <w:rPr>
                <w:b/>
                <w:bCs/>
                <w:sz w:val="18"/>
                <w:szCs w:val="18"/>
              </w:rPr>
              <w:t>Tier Classifications</w:t>
            </w:r>
          </w:p>
        </w:tc>
        <w:tc>
          <w:tcPr>
            <w:tcW w:w="0" w:type="auto"/>
            <w:shd w:val="clear" w:color="auto" w:fill="EEECE1" w:themeFill="background2"/>
            <w:vAlign w:val="center"/>
          </w:tcPr>
          <w:p w14:paraId="6DD54AB4" w14:textId="77777777" w:rsidR="00EF4362" w:rsidRPr="00C766D7" w:rsidRDefault="00EF4362" w:rsidP="0064695C">
            <w:pPr>
              <w:jc w:val="center"/>
              <w:rPr>
                <w:b/>
                <w:bCs/>
                <w:sz w:val="18"/>
                <w:szCs w:val="18"/>
              </w:rPr>
            </w:pPr>
            <w:r>
              <w:rPr>
                <w:b/>
                <w:bCs/>
                <w:sz w:val="18"/>
                <w:szCs w:val="18"/>
              </w:rPr>
              <w:t xml:space="preserve">Definition, Rationale,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EEECE1" w:themeFill="background2"/>
            <w:vAlign w:val="center"/>
          </w:tcPr>
          <w:p w14:paraId="2A9FD29A" w14:textId="77777777" w:rsidR="00EF4362" w:rsidRPr="00C766D7" w:rsidRDefault="00EF4362" w:rsidP="0064695C">
            <w:pPr>
              <w:jc w:val="center"/>
              <w:rPr>
                <w:b/>
                <w:bCs/>
                <w:sz w:val="18"/>
                <w:szCs w:val="18"/>
              </w:rPr>
            </w:pPr>
            <w:r w:rsidRPr="00C766D7">
              <w:rPr>
                <w:b/>
                <w:bCs/>
                <w:sz w:val="18"/>
                <w:szCs w:val="18"/>
              </w:rPr>
              <w:t>UN Suggested activities of data generation</w:t>
            </w:r>
          </w:p>
        </w:tc>
        <w:tc>
          <w:tcPr>
            <w:tcW w:w="0" w:type="auto"/>
            <w:shd w:val="clear" w:color="auto" w:fill="EEECE1" w:themeFill="background2"/>
            <w:vAlign w:val="center"/>
          </w:tcPr>
          <w:p w14:paraId="505F377C" w14:textId="77777777" w:rsidR="00EF4362" w:rsidRPr="00C766D7" w:rsidRDefault="00EF4362" w:rsidP="0064695C">
            <w:pPr>
              <w:jc w:val="center"/>
              <w:rPr>
                <w:b/>
                <w:bCs/>
                <w:sz w:val="18"/>
                <w:szCs w:val="18"/>
              </w:rPr>
            </w:pPr>
            <w:r w:rsidRPr="00C766D7">
              <w:rPr>
                <w:b/>
                <w:bCs/>
                <w:sz w:val="18"/>
                <w:szCs w:val="18"/>
              </w:rPr>
              <w:t>UN Suggested data provider</w:t>
            </w:r>
          </w:p>
        </w:tc>
        <w:tc>
          <w:tcPr>
            <w:tcW w:w="0" w:type="auto"/>
            <w:shd w:val="clear" w:color="auto" w:fill="EEECE1" w:themeFill="background2"/>
            <w:vAlign w:val="center"/>
          </w:tcPr>
          <w:p w14:paraId="6FE06C35" w14:textId="77777777" w:rsidR="00EF4362" w:rsidRPr="00C766D7" w:rsidRDefault="00EF4362" w:rsidP="0064695C">
            <w:pPr>
              <w:jc w:val="center"/>
              <w:rPr>
                <w:b/>
                <w:bCs/>
                <w:sz w:val="18"/>
                <w:szCs w:val="18"/>
              </w:rPr>
            </w:pPr>
            <w:r w:rsidRPr="00C766D7">
              <w:rPr>
                <w:b/>
                <w:bCs/>
                <w:sz w:val="18"/>
                <w:szCs w:val="18"/>
              </w:rPr>
              <w:t>Recent Available Data Sources</w:t>
            </w:r>
          </w:p>
        </w:tc>
        <w:tc>
          <w:tcPr>
            <w:tcW w:w="0" w:type="auto"/>
            <w:shd w:val="clear" w:color="auto" w:fill="EEECE1" w:themeFill="background2"/>
            <w:vAlign w:val="center"/>
          </w:tcPr>
          <w:p w14:paraId="0FA41722" w14:textId="77777777" w:rsidR="00EF4362" w:rsidRPr="00C766D7" w:rsidRDefault="00EF4362" w:rsidP="0064695C">
            <w:pPr>
              <w:jc w:val="center"/>
              <w:rPr>
                <w:b/>
                <w:bCs/>
                <w:sz w:val="18"/>
                <w:szCs w:val="18"/>
              </w:rPr>
            </w:pPr>
            <w:r w:rsidRPr="00C766D7">
              <w:rPr>
                <w:b/>
                <w:bCs/>
                <w:sz w:val="18"/>
                <w:szCs w:val="18"/>
              </w:rPr>
              <w:t>Possible future Sources</w:t>
            </w:r>
          </w:p>
        </w:tc>
        <w:tc>
          <w:tcPr>
            <w:tcW w:w="0" w:type="auto"/>
            <w:shd w:val="clear" w:color="auto" w:fill="EEECE1" w:themeFill="background2"/>
            <w:vAlign w:val="center"/>
          </w:tcPr>
          <w:p w14:paraId="251819CB" w14:textId="77777777" w:rsidR="00EF4362" w:rsidRPr="00C766D7" w:rsidRDefault="00EF4362" w:rsidP="0064695C">
            <w:pPr>
              <w:jc w:val="center"/>
              <w:rPr>
                <w:b/>
                <w:bCs/>
                <w:sz w:val="18"/>
                <w:szCs w:val="18"/>
              </w:rPr>
            </w:pPr>
            <w:r>
              <w:rPr>
                <w:b/>
                <w:bCs/>
                <w:sz w:val="18"/>
                <w:szCs w:val="18"/>
              </w:rPr>
              <w:t>Minimum Disaggregation Dimensions and Categories</w:t>
            </w:r>
          </w:p>
        </w:tc>
        <w:tc>
          <w:tcPr>
            <w:tcW w:w="0" w:type="auto"/>
            <w:shd w:val="clear" w:color="auto" w:fill="EEECE1" w:themeFill="background2"/>
            <w:vAlign w:val="center"/>
          </w:tcPr>
          <w:p w14:paraId="28A23B31" w14:textId="77777777" w:rsidR="00EF4362" w:rsidRPr="00C766D7" w:rsidRDefault="00EF4362" w:rsidP="0064695C">
            <w:pPr>
              <w:jc w:val="center"/>
              <w:rPr>
                <w:b/>
                <w:bCs/>
                <w:sz w:val="18"/>
                <w:szCs w:val="18"/>
              </w:rPr>
            </w:pPr>
            <w:r w:rsidRPr="00C766D7">
              <w:rPr>
                <w:b/>
                <w:bCs/>
                <w:sz w:val="18"/>
                <w:szCs w:val="18"/>
              </w:rPr>
              <w:t>Frequency of data generation</w:t>
            </w:r>
          </w:p>
        </w:tc>
        <w:tc>
          <w:tcPr>
            <w:tcW w:w="0" w:type="auto"/>
            <w:shd w:val="clear" w:color="auto" w:fill="EEECE1" w:themeFill="background2"/>
            <w:vAlign w:val="center"/>
          </w:tcPr>
          <w:p w14:paraId="72C59459" w14:textId="77777777" w:rsidR="00EF4362" w:rsidRPr="00C766D7" w:rsidRDefault="00EF4362" w:rsidP="0064695C">
            <w:pPr>
              <w:jc w:val="center"/>
              <w:rPr>
                <w:b/>
                <w:bCs/>
                <w:sz w:val="18"/>
                <w:szCs w:val="18"/>
              </w:rPr>
            </w:pPr>
            <w:r w:rsidRPr="00C766D7">
              <w:rPr>
                <w:b/>
                <w:bCs/>
                <w:sz w:val="18"/>
                <w:szCs w:val="18"/>
              </w:rPr>
              <w:t>Local Indicator Group</w:t>
            </w:r>
          </w:p>
        </w:tc>
        <w:tc>
          <w:tcPr>
            <w:tcW w:w="0" w:type="auto"/>
            <w:shd w:val="clear" w:color="auto" w:fill="EEECE1" w:themeFill="background2"/>
          </w:tcPr>
          <w:p w14:paraId="20D91A76" w14:textId="77777777" w:rsidR="00EF4362" w:rsidRDefault="00F6754D" w:rsidP="0064695C">
            <w:pPr>
              <w:jc w:val="center"/>
              <w:rPr>
                <w:b/>
                <w:bCs/>
                <w:sz w:val="18"/>
                <w:szCs w:val="18"/>
              </w:rPr>
            </w:pPr>
            <w:r w:rsidRPr="00F6754D">
              <w:rPr>
                <w:b/>
                <w:bCs/>
                <w:sz w:val="18"/>
                <w:szCs w:val="18"/>
              </w:rPr>
              <w:t>Deadline for Data providing</w:t>
            </w:r>
          </w:p>
        </w:tc>
        <w:tc>
          <w:tcPr>
            <w:tcW w:w="0" w:type="auto"/>
            <w:shd w:val="clear" w:color="auto" w:fill="EEECE1" w:themeFill="background2"/>
            <w:vAlign w:val="center"/>
          </w:tcPr>
          <w:p w14:paraId="43D8EBB8" w14:textId="77777777" w:rsidR="00EF4362" w:rsidRPr="00C766D7" w:rsidRDefault="00EF4362" w:rsidP="0064695C">
            <w:pPr>
              <w:jc w:val="center"/>
              <w:rPr>
                <w:b/>
                <w:bCs/>
                <w:sz w:val="18"/>
                <w:szCs w:val="18"/>
              </w:rPr>
            </w:pPr>
            <w:r>
              <w:rPr>
                <w:b/>
                <w:bCs/>
                <w:sz w:val="18"/>
                <w:szCs w:val="18"/>
              </w:rPr>
              <w:t>Remarks</w:t>
            </w:r>
          </w:p>
        </w:tc>
      </w:tr>
      <w:tr w:rsidR="00EF4362" w:rsidRPr="00C07ED2" w14:paraId="7FAA8879" w14:textId="77777777" w:rsidTr="0085651F">
        <w:trPr>
          <w:tblHeader/>
        </w:trPr>
        <w:tc>
          <w:tcPr>
            <w:tcW w:w="0" w:type="auto"/>
            <w:gridSpan w:val="2"/>
            <w:shd w:val="clear" w:color="auto" w:fill="00B0F0"/>
          </w:tcPr>
          <w:p w14:paraId="3B514BDB" w14:textId="77777777" w:rsidR="00EF4362" w:rsidRPr="00C07ED2" w:rsidRDefault="00EF4362" w:rsidP="0064695C">
            <w:pPr>
              <w:jc w:val="center"/>
              <w:rPr>
                <w:b/>
                <w:bCs/>
                <w:i/>
                <w:iCs/>
                <w:sz w:val="18"/>
                <w:szCs w:val="18"/>
              </w:rPr>
            </w:pPr>
            <w:r w:rsidRPr="00C07ED2">
              <w:rPr>
                <w:b/>
                <w:bCs/>
                <w:i/>
                <w:iCs/>
                <w:sz w:val="18"/>
                <w:szCs w:val="18"/>
              </w:rPr>
              <w:t>1</w:t>
            </w:r>
          </w:p>
        </w:tc>
        <w:tc>
          <w:tcPr>
            <w:tcW w:w="0" w:type="auto"/>
            <w:shd w:val="clear" w:color="auto" w:fill="00B0F0"/>
          </w:tcPr>
          <w:p w14:paraId="38D7E0A8" w14:textId="77777777" w:rsidR="00EF4362" w:rsidRPr="00C07ED2" w:rsidRDefault="00EF4362" w:rsidP="0064695C">
            <w:pPr>
              <w:jc w:val="center"/>
              <w:rPr>
                <w:b/>
                <w:bCs/>
                <w:i/>
                <w:iCs/>
                <w:sz w:val="18"/>
                <w:szCs w:val="18"/>
              </w:rPr>
            </w:pPr>
            <w:r w:rsidRPr="00C07ED2">
              <w:rPr>
                <w:b/>
                <w:bCs/>
                <w:i/>
                <w:iCs/>
                <w:sz w:val="18"/>
                <w:szCs w:val="18"/>
              </w:rPr>
              <w:t>2</w:t>
            </w:r>
          </w:p>
        </w:tc>
        <w:tc>
          <w:tcPr>
            <w:tcW w:w="0" w:type="auto"/>
            <w:shd w:val="clear" w:color="auto" w:fill="00B0F0"/>
          </w:tcPr>
          <w:p w14:paraId="4CD26D8A" w14:textId="77777777" w:rsidR="00EF4362" w:rsidRPr="00C07ED2" w:rsidRDefault="00EF4362" w:rsidP="0064695C">
            <w:pPr>
              <w:jc w:val="center"/>
              <w:rPr>
                <w:b/>
                <w:bCs/>
                <w:i/>
                <w:iCs/>
                <w:sz w:val="18"/>
                <w:szCs w:val="18"/>
              </w:rPr>
            </w:pPr>
            <w:r w:rsidRPr="00C07ED2">
              <w:rPr>
                <w:b/>
                <w:bCs/>
                <w:i/>
                <w:iCs/>
                <w:sz w:val="18"/>
                <w:szCs w:val="18"/>
              </w:rPr>
              <w:t>3</w:t>
            </w:r>
          </w:p>
        </w:tc>
        <w:tc>
          <w:tcPr>
            <w:tcW w:w="0" w:type="auto"/>
            <w:shd w:val="clear" w:color="auto" w:fill="00B0F0"/>
          </w:tcPr>
          <w:p w14:paraId="3FC11F2D" w14:textId="77777777" w:rsidR="00EF4362" w:rsidRPr="00C07ED2" w:rsidRDefault="00EF4362" w:rsidP="0064695C">
            <w:pPr>
              <w:jc w:val="center"/>
              <w:rPr>
                <w:b/>
                <w:bCs/>
                <w:i/>
                <w:iCs/>
                <w:sz w:val="18"/>
                <w:szCs w:val="18"/>
              </w:rPr>
            </w:pPr>
            <w:r w:rsidRPr="00C07ED2">
              <w:rPr>
                <w:b/>
                <w:bCs/>
                <w:i/>
                <w:iCs/>
                <w:sz w:val="18"/>
                <w:szCs w:val="18"/>
              </w:rPr>
              <w:t>4</w:t>
            </w:r>
          </w:p>
        </w:tc>
        <w:tc>
          <w:tcPr>
            <w:tcW w:w="0" w:type="auto"/>
            <w:shd w:val="clear" w:color="auto" w:fill="00B0F0"/>
          </w:tcPr>
          <w:p w14:paraId="6ED5C53B" w14:textId="77777777" w:rsidR="00EF4362" w:rsidRPr="00C07ED2" w:rsidRDefault="00EF4362" w:rsidP="0064695C">
            <w:pPr>
              <w:jc w:val="center"/>
              <w:rPr>
                <w:b/>
                <w:bCs/>
                <w:i/>
                <w:iCs/>
                <w:sz w:val="18"/>
                <w:szCs w:val="18"/>
              </w:rPr>
            </w:pPr>
            <w:r w:rsidRPr="00C07ED2">
              <w:rPr>
                <w:b/>
                <w:bCs/>
                <w:i/>
                <w:iCs/>
                <w:sz w:val="18"/>
                <w:szCs w:val="18"/>
              </w:rPr>
              <w:t>5</w:t>
            </w:r>
          </w:p>
        </w:tc>
        <w:tc>
          <w:tcPr>
            <w:tcW w:w="0" w:type="auto"/>
            <w:shd w:val="clear" w:color="auto" w:fill="00B0F0"/>
          </w:tcPr>
          <w:p w14:paraId="19FC5801" w14:textId="77777777" w:rsidR="00EF4362" w:rsidRPr="00C07ED2" w:rsidRDefault="00EF4362" w:rsidP="0064695C">
            <w:pPr>
              <w:jc w:val="center"/>
              <w:rPr>
                <w:b/>
                <w:bCs/>
                <w:i/>
                <w:iCs/>
                <w:sz w:val="18"/>
                <w:szCs w:val="18"/>
              </w:rPr>
            </w:pPr>
            <w:r w:rsidRPr="00C07ED2">
              <w:rPr>
                <w:b/>
                <w:bCs/>
                <w:i/>
                <w:iCs/>
                <w:sz w:val="18"/>
                <w:szCs w:val="18"/>
              </w:rPr>
              <w:t>6</w:t>
            </w:r>
          </w:p>
        </w:tc>
        <w:tc>
          <w:tcPr>
            <w:tcW w:w="0" w:type="auto"/>
            <w:shd w:val="clear" w:color="auto" w:fill="00B0F0"/>
          </w:tcPr>
          <w:p w14:paraId="00C8E3AD" w14:textId="77777777" w:rsidR="00EF4362" w:rsidRPr="00C07ED2" w:rsidRDefault="00EF4362" w:rsidP="0064695C">
            <w:pPr>
              <w:jc w:val="center"/>
              <w:rPr>
                <w:b/>
                <w:bCs/>
                <w:i/>
                <w:iCs/>
                <w:sz w:val="18"/>
                <w:szCs w:val="18"/>
              </w:rPr>
            </w:pPr>
            <w:r w:rsidRPr="00C07ED2">
              <w:rPr>
                <w:b/>
                <w:bCs/>
                <w:i/>
                <w:iCs/>
                <w:sz w:val="18"/>
                <w:szCs w:val="18"/>
              </w:rPr>
              <w:t>7</w:t>
            </w:r>
          </w:p>
        </w:tc>
        <w:tc>
          <w:tcPr>
            <w:tcW w:w="0" w:type="auto"/>
            <w:shd w:val="clear" w:color="auto" w:fill="00B0F0"/>
          </w:tcPr>
          <w:p w14:paraId="35D31800" w14:textId="77777777" w:rsidR="00EF4362" w:rsidRPr="00C07ED2" w:rsidRDefault="00EF4362" w:rsidP="0064695C">
            <w:pPr>
              <w:jc w:val="center"/>
              <w:rPr>
                <w:b/>
                <w:bCs/>
                <w:i/>
                <w:iCs/>
                <w:sz w:val="18"/>
                <w:szCs w:val="18"/>
              </w:rPr>
            </w:pPr>
            <w:r w:rsidRPr="00C07ED2">
              <w:rPr>
                <w:b/>
                <w:bCs/>
                <w:i/>
                <w:iCs/>
                <w:sz w:val="18"/>
                <w:szCs w:val="18"/>
              </w:rPr>
              <w:t>8</w:t>
            </w:r>
          </w:p>
        </w:tc>
        <w:tc>
          <w:tcPr>
            <w:tcW w:w="0" w:type="auto"/>
            <w:shd w:val="clear" w:color="auto" w:fill="00B0F0"/>
          </w:tcPr>
          <w:p w14:paraId="7E4C7BA8" w14:textId="77777777" w:rsidR="00EF4362" w:rsidRPr="00C07ED2" w:rsidRDefault="00EF4362" w:rsidP="0064695C">
            <w:pPr>
              <w:jc w:val="center"/>
              <w:rPr>
                <w:b/>
                <w:bCs/>
                <w:i/>
                <w:iCs/>
                <w:sz w:val="18"/>
                <w:szCs w:val="18"/>
              </w:rPr>
            </w:pPr>
            <w:r w:rsidRPr="00C07ED2">
              <w:rPr>
                <w:b/>
                <w:bCs/>
                <w:i/>
                <w:iCs/>
                <w:sz w:val="18"/>
                <w:szCs w:val="18"/>
              </w:rPr>
              <w:t>9</w:t>
            </w:r>
          </w:p>
        </w:tc>
        <w:tc>
          <w:tcPr>
            <w:tcW w:w="0" w:type="auto"/>
            <w:shd w:val="clear" w:color="auto" w:fill="00B0F0"/>
          </w:tcPr>
          <w:p w14:paraId="5730E885" w14:textId="77777777" w:rsidR="00EF4362" w:rsidRPr="00C07ED2" w:rsidRDefault="00EF4362" w:rsidP="0064695C">
            <w:pPr>
              <w:jc w:val="center"/>
              <w:rPr>
                <w:b/>
                <w:bCs/>
                <w:i/>
                <w:iCs/>
                <w:sz w:val="18"/>
                <w:szCs w:val="18"/>
              </w:rPr>
            </w:pPr>
            <w:r w:rsidRPr="00C07ED2">
              <w:rPr>
                <w:b/>
                <w:bCs/>
                <w:i/>
                <w:iCs/>
                <w:sz w:val="18"/>
                <w:szCs w:val="18"/>
              </w:rPr>
              <w:t>10</w:t>
            </w:r>
          </w:p>
        </w:tc>
        <w:tc>
          <w:tcPr>
            <w:tcW w:w="0" w:type="auto"/>
            <w:shd w:val="clear" w:color="auto" w:fill="00B0F0"/>
          </w:tcPr>
          <w:p w14:paraId="0A552656" w14:textId="77777777" w:rsidR="00EF4362" w:rsidRPr="00C07ED2" w:rsidRDefault="00EF4362" w:rsidP="0064695C">
            <w:pPr>
              <w:jc w:val="center"/>
              <w:rPr>
                <w:b/>
                <w:bCs/>
                <w:i/>
                <w:iCs/>
                <w:sz w:val="18"/>
                <w:szCs w:val="18"/>
              </w:rPr>
            </w:pPr>
            <w:r w:rsidRPr="00C07ED2">
              <w:rPr>
                <w:b/>
                <w:bCs/>
                <w:i/>
                <w:iCs/>
                <w:sz w:val="18"/>
                <w:szCs w:val="18"/>
              </w:rPr>
              <w:t>11</w:t>
            </w:r>
          </w:p>
        </w:tc>
        <w:tc>
          <w:tcPr>
            <w:tcW w:w="0" w:type="auto"/>
            <w:shd w:val="clear" w:color="auto" w:fill="00B0F0"/>
          </w:tcPr>
          <w:p w14:paraId="7FAC79EB" w14:textId="77777777" w:rsidR="00EF4362" w:rsidRPr="00C07ED2" w:rsidRDefault="00EF4362" w:rsidP="0064695C">
            <w:pPr>
              <w:jc w:val="center"/>
              <w:rPr>
                <w:b/>
                <w:bCs/>
                <w:i/>
                <w:iCs/>
                <w:sz w:val="18"/>
                <w:szCs w:val="18"/>
              </w:rPr>
            </w:pPr>
            <w:r>
              <w:rPr>
                <w:b/>
                <w:bCs/>
                <w:i/>
                <w:iCs/>
                <w:sz w:val="18"/>
                <w:szCs w:val="18"/>
              </w:rPr>
              <w:t>12</w:t>
            </w:r>
          </w:p>
        </w:tc>
        <w:tc>
          <w:tcPr>
            <w:tcW w:w="0" w:type="auto"/>
            <w:shd w:val="clear" w:color="auto" w:fill="00B0F0"/>
          </w:tcPr>
          <w:p w14:paraId="16CE33EB" w14:textId="77777777" w:rsidR="00EF4362" w:rsidRPr="00C07ED2" w:rsidRDefault="00EF4362" w:rsidP="0064695C">
            <w:pPr>
              <w:jc w:val="center"/>
              <w:rPr>
                <w:b/>
                <w:bCs/>
                <w:i/>
                <w:iCs/>
                <w:sz w:val="18"/>
                <w:szCs w:val="18"/>
              </w:rPr>
            </w:pPr>
            <w:r>
              <w:rPr>
                <w:b/>
                <w:bCs/>
                <w:i/>
                <w:iCs/>
                <w:sz w:val="18"/>
                <w:szCs w:val="18"/>
              </w:rPr>
              <w:t>13</w:t>
            </w:r>
          </w:p>
        </w:tc>
      </w:tr>
      <w:tr w:rsidR="00EF4362" w14:paraId="63549A12" w14:textId="77777777" w:rsidTr="0085651F">
        <w:tc>
          <w:tcPr>
            <w:tcW w:w="0" w:type="auto"/>
            <w:shd w:val="clear" w:color="auto" w:fill="auto"/>
          </w:tcPr>
          <w:p w14:paraId="4C427C72" w14:textId="77777777" w:rsidR="00EF4362" w:rsidRPr="00D66833" w:rsidRDefault="00EF4362" w:rsidP="00816E43">
            <w:pPr>
              <w:ind w:left="970" w:hanging="970"/>
              <w:jc w:val="both"/>
              <w:rPr>
                <w:color w:val="996600"/>
                <w:sz w:val="30"/>
                <w:szCs w:val="30"/>
              </w:rPr>
            </w:pPr>
          </w:p>
        </w:tc>
        <w:tc>
          <w:tcPr>
            <w:tcW w:w="0" w:type="auto"/>
            <w:gridSpan w:val="13"/>
            <w:shd w:val="clear" w:color="auto" w:fill="auto"/>
          </w:tcPr>
          <w:p w14:paraId="2DAD103C" w14:textId="77777777" w:rsidR="00EF4362" w:rsidRPr="00D66833" w:rsidRDefault="00EF4362" w:rsidP="00816E43">
            <w:pPr>
              <w:ind w:left="970" w:hanging="970"/>
              <w:jc w:val="both"/>
              <w:rPr>
                <w:color w:val="996600"/>
                <w:sz w:val="30"/>
                <w:szCs w:val="30"/>
              </w:rPr>
            </w:pPr>
            <w:r w:rsidRPr="00D66833">
              <w:rPr>
                <w:color w:val="996600"/>
                <w:sz w:val="30"/>
                <w:szCs w:val="30"/>
              </w:rPr>
              <w:t>Target 2.1 By 2030, end hunger and ensure access by all people, in particular the poor and people in vulnerable situations, including infants, to safe, nutritious and sufficient food all year round</w:t>
            </w:r>
          </w:p>
        </w:tc>
      </w:tr>
      <w:tr w:rsidR="0098022F" w14:paraId="0FC37F97" w14:textId="77777777" w:rsidTr="0085651F">
        <w:tc>
          <w:tcPr>
            <w:tcW w:w="0" w:type="auto"/>
            <w:gridSpan w:val="2"/>
            <w:shd w:val="clear" w:color="auto" w:fill="auto"/>
          </w:tcPr>
          <w:p w14:paraId="3FA7A14C" w14:textId="77777777" w:rsidR="00406F3B" w:rsidRPr="00701B09" w:rsidRDefault="00406F3B" w:rsidP="00406F3B">
            <w:pPr>
              <w:jc w:val="both"/>
              <w:rPr>
                <w:szCs w:val="20"/>
              </w:rPr>
            </w:pPr>
            <w:r w:rsidRPr="00701B09">
              <w:rPr>
                <w:szCs w:val="20"/>
              </w:rPr>
              <w:t>2.1.1 Prevalence of undernourishment</w:t>
            </w:r>
          </w:p>
        </w:tc>
        <w:tc>
          <w:tcPr>
            <w:tcW w:w="0" w:type="auto"/>
            <w:shd w:val="clear" w:color="auto" w:fill="auto"/>
          </w:tcPr>
          <w:p w14:paraId="1CE3A4A6" w14:textId="77777777" w:rsidR="00406F3B" w:rsidRPr="00262FC1" w:rsidRDefault="00406F3B" w:rsidP="00406F3B">
            <w:pPr>
              <w:rPr>
                <w:color w:val="4F4E4E"/>
                <w:szCs w:val="20"/>
                <w:shd w:val="clear" w:color="auto" w:fill="FFFFFF"/>
              </w:rPr>
            </w:pPr>
            <w:r w:rsidRPr="00262FC1">
              <w:rPr>
                <w:szCs w:val="20"/>
              </w:rPr>
              <w:t>Food and Agriculture Organization of the United Nations (UN FAO)</w:t>
            </w:r>
          </w:p>
        </w:tc>
        <w:tc>
          <w:tcPr>
            <w:tcW w:w="0" w:type="auto"/>
            <w:shd w:val="clear" w:color="auto" w:fill="auto"/>
          </w:tcPr>
          <w:p w14:paraId="64302515" w14:textId="77777777" w:rsidR="00406F3B" w:rsidRPr="00262FC1" w:rsidRDefault="00406F3B" w:rsidP="00406F3B">
            <w:pPr>
              <w:jc w:val="center"/>
              <w:rPr>
                <w:szCs w:val="20"/>
              </w:rPr>
            </w:pPr>
            <w:r w:rsidRPr="00262FC1">
              <w:rPr>
                <w:szCs w:val="20"/>
              </w:rPr>
              <w:t>Tier I</w:t>
            </w:r>
          </w:p>
        </w:tc>
        <w:tc>
          <w:tcPr>
            <w:tcW w:w="0" w:type="auto"/>
            <w:shd w:val="clear" w:color="auto" w:fill="auto"/>
          </w:tcPr>
          <w:p w14:paraId="260B79FC" w14:textId="77777777" w:rsidR="00406F3B" w:rsidRPr="005153EF" w:rsidRDefault="00406F3B" w:rsidP="00406F3B">
            <w:pPr>
              <w:jc w:val="both"/>
              <w:rPr>
                <w:b/>
                <w:bCs/>
                <w:szCs w:val="20"/>
              </w:rPr>
            </w:pPr>
            <w:r w:rsidRPr="005153EF">
              <w:rPr>
                <w:b/>
                <w:bCs/>
                <w:szCs w:val="20"/>
              </w:rPr>
              <w:t xml:space="preserve">Definition: </w:t>
            </w:r>
          </w:p>
          <w:p w14:paraId="21538CD8" w14:textId="77777777" w:rsidR="00406F3B" w:rsidRPr="005153EF" w:rsidRDefault="00406F3B" w:rsidP="00406F3B">
            <w:pPr>
              <w:jc w:val="both"/>
              <w:rPr>
                <w:b/>
                <w:bCs/>
                <w:szCs w:val="20"/>
              </w:rPr>
            </w:pPr>
          </w:p>
          <w:p w14:paraId="1D4EFB36" w14:textId="77777777" w:rsidR="00406F3B" w:rsidRPr="000C4849" w:rsidRDefault="00406F3B" w:rsidP="00406F3B">
            <w:pPr>
              <w:jc w:val="both"/>
              <w:rPr>
                <w:bCs/>
                <w:szCs w:val="20"/>
              </w:rPr>
            </w:pPr>
            <w:r w:rsidRPr="000C4849">
              <w:rPr>
                <w:bCs/>
                <w:szCs w:val="20"/>
              </w:rPr>
              <w:t>The prevalence of undernourishment (PoU) (French: pourcentage de sous-alimentation; Spanish: porcentaje de sub-alimentación; Italian: prevalenza di sotto-alimentazione) is an estimate of the proportion of the population whose habitual food consumption is insufficient to provide the dietary energy levels that are required to maintain a normal active and healthy life. It is expressed as a percentage.</w:t>
            </w:r>
          </w:p>
          <w:p w14:paraId="7A07F7B1" w14:textId="77777777" w:rsidR="00406F3B" w:rsidRDefault="00406F3B" w:rsidP="00406F3B">
            <w:pPr>
              <w:jc w:val="both"/>
              <w:rPr>
                <w:b/>
                <w:bCs/>
                <w:szCs w:val="20"/>
              </w:rPr>
            </w:pPr>
          </w:p>
          <w:p w14:paraId="1EB64088" w14:textId="77777777" w:rsidR="00406F3B" w:rsidRPr="005153EF" w:rsidRDefault="00406F3B" w:rsidP="00406F3B">
            <w:pPr>
              <w:jc w:val="both"/>
              <w:rPr>
                <w:b/>
                <w:bCs/>
                <w:szCs w:val="20"/>
              </w:rPr>
            </w:pPr>
            <w:r w:rsidRPr="005153EF">
              <w:rPr>
                <w:b/>
                <w:bCs/>
                <w:szCs w:val="20"/>
              </w:rPr>
              <w:t xml:space="preserve">Rationale: </w:t>
            </w:r>
          </w:p>
          <w:p w14:paraId="50D6655E" w14:textId="77777777" w:rsidR="00406F3B" w:rsidRPr="005153EF" w:rsidRDefault="00406F3B" w:rsidP="00406F3B">
            <w:pPr>
              <w:jc w:val="both"/>
              <w:rPr>
                <w:b/>
                <w:bCs/>
                <w:szCs w:val="20"/>
              </w:rPr>
            </w:pPr>
          </w:p>
          <w:p w14:paraId="4BFB9752" w14:textId="77777777" w:rsidR="00406F3B" w:rsidRPr="000C4849" w:rsidRDefault="00406F3B" w:rsidP="00406F3B">
            <w:pPr>
              <w:jc w:val="both"/>
              <w:rPr>
                <w:bCs/>
                <w:szCs w:val="20"/>
              </w:rPr>
            </w:pPr>
            <w:r w:rsidRPr="000C4849">
              <w:rPr>
                <w:bCs/>
                <w:szCs w:val="20"/>
              </w:rPr>
              <w:t xml:space="preserve">The indicator has been used by FAO to monitor the World Food Summit Target and the MDG Target 1C, at national, regional and global level, since 1999. It allows monitoring trends in the extent of dietary energy inadequacy in a population over time, generated as a result of the combination of changes in the overall availability of food, in the households’ ability to access it, and in the socio-demographic characteristics of the population, as well as differences across countries and regions in any given moment in time. </w:t>
            </w:r>
          </w:p>
          <w:p w14:paraId="0DE90C45" w14:textId="77777777" w:rsidR="00406F3B" w:rsidRPr="000C4849" w:rsidRDefault="00406F3B" w:rsidP="00406F3B">
            <w:pPr>
              <w:jc w:val="both"/>
              <w:rPr>
                <w:bCs/>
                <w:szCs w:val="20"/>
              </w:rPr>
            </w:pPr>
          </w:p>
          <w:p w14:paraId="408860A0" w14:textId="77777777" w:rsidR="00406F3B" w:rsidRPr="000C4849" w:rsidRDefault="00406F3B" w:rsidP="00406F3B">
            <w:pPr>
              <w:jc w:val="both"/>
              <w:rPr>
                <w:bCs/>
                <w:szCs w:val="20"/>
              </w:rPr>
            </w:pPr>
            <w:r w:rsidRPr="000C4849">
              <w:rPr>
                <w:bCs/>
                <w:szCs w:val="20"/>
              </w:rPr>
              <w:t>The parametric approach adopted by FAO allows obtaining reliable estimated for relatively large population groups. As it reflects a severe condition of lack of food, it is fully consistent with the spirit of a Goal that aims at reducing hunger.</w:t>
            </w:r>
          </w:p>
          <w:p w14:paraId="4AEF9E62" w14:textId="77777777" w:rsidR="00406F3B" w:rsidRDefault="00406F3B" w:rsidP="00406F3B">
            <w:pPr>
              <w:jc w:val="both"/>
              <w:rPr>
                <w:b/>
                <w:bCs/>
                <w:szCs w:val="20"/>
              </w:rPr>
            </w:pPr>
          </w:p>
          <w:p w14:paraId="659C01A5" w14:textId="77777777" w:rsidR="00406F3B" w:rsidRPr="00701B09" w:rsidRDefault="00406F3B" w:rsidP="00406F3B">
            <w:pPr>
              <w:jc w:val="both"/>
              <w:rPr>
                <w:b/>
                <w:bCs/>
                <w:szCs w:val="20"/>
              </w:rPr>
            </w:pPr>
            <w:r w:rsidRPr="00701B09">
              <w:rPr>
                <w:b/>
                <w:bCs/>
                <w:szCs w:val="20"/>
              </w:rPr>
              <w:t>Concepts:</w:t>
            </w:r>
          </w:p>
          <w:p w14:paraId="2CF8144C" w14:textId="77777777" w:rsidR="00406F3B" w:rsidRPr="00262FC1" w:rsidRDefault="00406F3B" w:rsidP="00406F3B">
            <w:pPr>
              <w:jc w:val="both"/>
              <w:rPr>
                <w:szCs w:val="20"/>
              </w:rPr>
            </w:pPr>
            <w:r w:rsidRPr="00262FC1">
              <w:rPr>
                <w:szCs w:val="20"/>
              </w:rPr>
              <w:t>Undernourishment is defined as the condition by which a person has access, on a regular basis, to amounts of food that are insufficient to provide the energy required for conducting a normal, healthy and active life, given his or her own dietary energy requirements. Though strictly related, “undernourishment” as defined here is different from the physical conditions of “malnutrition” and “undernutrition” as it refers to the condition of insufficient intake of food, rather than to the outcome in terms of nutritional status. In French, Spanish and Italian the difference is marked by the use of the terms alimentation, alimentación, or alimentazione, instead of nutrition, nutrición or nutrizione, in the name of the indicator. A more appropriate expression in English that would render the precise meaning of the indicator might have been “prevalence of under-feeding” but by now the term “undernourishment” has long been associated with the indicator. While the undernourishment condition applies to individuals, due to conceptual and data-related considerations, the indicator can only be referred to a population, or group of individuals. The prevalence of undernourishment is thus an estimate of the percentage of individuals in a group that are in that condition, but it does not allow for the identification of which individuals in the group are, in fact, undernourished.</w:t>
            </w:r>
          </w:p>
          <w:p w14:paraId="5B45AF9E" w14:textId="77777777" w:rsidR="00406F3B" w:rsidRDefault="00406F3B" w:rsidP="00406F3B">
            <w:pPr>
              <w:jc w:val="both"/>
              <w:rPr>
                <w:szCs w:val="20"/>
              </w:rPr>
            </w:pPr>
          </w:p>
          <w:p w14:paraId="1B6F1F09" w14:textId="77777777" w:rsidR="00406F3B" w:rsidRPr="00701B09" w:rsidRDefault="00406F3B" w:rsidP="00406F3B">
            <w:pPr>
              <w:jc w:val="both"/>
              <w:rPr>
                <w:b/>
                <w:bCs/>
                <w:szCs w:val="20"/>
              </w:rPr>
            </w:pPr>
            <w:r w:rsidRPr="00701B09">
              <w:rPr>
                <w:b/>
                <w:bCs/>
                <w:szCs w:val="20"/>
              </w:rPr>
              <w:t>Computation Method and Formula:</w:t>
            </w:r>
          </w:p>
          <w:p w14:paraId="11065F8F" w14:textId="77777777" w:rsidR="00406F3B" w:rsidRDefault="00406F3B" w:rsidP="00406F3B">
            <w:pPr>
              <w:jc w:val="both"/>
              <w:rPr>
                <w:szCs w:val="20"/>
              </w:rPr>
            </w:pPr>
            <w:r w:rsidRPr="00262FC1">
              <w:rPr>
                <w:szCs w:val="20"/>
              </w:rPr>
              <w:t xml:space="preserve">The indicator is computed at the population level. To this aim, the population is represented by an “average” individual for </w:t>
            </w:r>
            <w:proofErr w:type="gramStart"/>
            <w:r w:rsidRPr="00262FC1">
              <w:rPr>
                <w:szCs w:val="20"/>
              </w:rPr>
              <w:t>which</w:t>
            </w:r>
            <w:proofErr w:type="gramEnd"/>
            <w:r w:rsidRPr="00262FC1">
              <w:rPr>
                <w:szCs w:val="20"/>
              </w:rPr>
              <w:t xml:space="preserve"> a probability distribution of the habitual daily dietary energy intake levels is modelled through a parametric probability density function (pdf). Once the pdf is characterized, the indicator is obtained as the cumulative probability that daily habitual dietary energy intakes (x) are below the lower bound of the range of normal dietary energy requirements for that representative, or average individual (MDER), as in the formula below:</w:t>
            </w:r>
          </w:p>
          <w:p w14:paraId="3C8CA8C5" w14:textId="77777777" w:rsidR="00406F3B" w:rsidRDefault="00406F3B" w:rsidP="00406F3B">
            <w:pPr>
              <w:jc w:val="both"/>
              <w:rPr>
                <w:szCs w:val="20"/>
              </w:rPr>
            </w:pPr>
            <w:r w:rsidRPr="00262FC1">
              <w:rPr>
                <w:szCs w:val="20"/>
              </w:rPr>
              <w:t xml:space="preserve"> </w:t>
            </w:r>
            <w:r w:rsidRPr="00701B09">
              <w:rPr>
                <w:szCs w:val="20"/>
              </w:rPr>
              <w:t>PoU= ∫_(x&lt;MDER) f(x | DEC; CV; Skew) dx</w:t>
            </w:r>
          </w:p>
          <w:p w14:paraId="7B3373C4" w14:textId="77777777" w:rsidR="00406F3B" w:rsidRPr="00262FC1" w:rsidRDefault="00406F3B" w:rsidP="00406F3B">
            <w:pPr>
              <w:jc w:val="both"/>
              <w:rPr>
                <w:szCs w:val="20"/>
              </w:rPr>
            </w:pPr>
            <w:proofErr w:type="gramStart"/>
            <w:r w:rsidRPr="00701B09">
              <w:rPr>
                <w:szCs w:val="20"/>
              </w:rPr>
              <w:t>where</w:t>
            </w:r>
            <w:proofErr w:type="gramEnd"/>
            <w:r w:rsidRPr="00701B09">
              <w:rPr>
                <w:szCs w:val="20"/>
              </w:rPr>
              <w:t xml:space="preserve"> DEC, CV and Skew are the mean, coefficient of variation and skewness that characterize the</w:t>
            </w:r>
            <w:r>
              <w:rPr>
                <w:szCs w:val="20"/>
              </w:rPr>
              <w:t xml:space="preserve"> </w:t>
            </w:r>
            <w:r w:rsidRPr="00701B09">
              <w:rPr>
                <w:szCs w:val="20"/>
              </w:rPr>
              <w:t>distribution of habitual dietary energy consumption levels in the population.</w:t>
            </w:r>
          </w:p>
        </w:tc>
        <w:tc>
          <w:tcPr>
            <w:tcW w:w="0" w:type="auto"/>
            <w:shd w:val="clear" w:color="auto" w:fill="auto"/>
          </w:tcPr>
          <w:p w14:paraId="7FED1D1C" w14:textId="77777777" w:rsidR="00406F3B" w:rsidRPr="00701B09" w:rsidRDefault="00406F3B" w:rsidP="00406F3B">
            <w:pPr>
              <w:jc w:val="center"/>
              <w:rPr>
                <w:bCs/>
                <w:szCs w:val="20"/>
              </w:rPr>
            </w:pPr>
            <w:r>
              <w:rPr>
                <w:bCs/>
                <w:szCs w:val="20"/>
              </w:rPr>
              <w:lastRenderedPageBreak/>
              <w:t>I</w:t>
            </w:r>
            <w:r w:rsidRPr="00701B09">
              <w:rPr>
                <w:bCs/>
                <w:szCs w:val="20"/>
              </w:rPr>
              <w:t>ndividual dietary intake survey</w:t>
            </w:r>
          </w:p>
        </w:tc>
        <w:tc>
          <w:tcPr>
            <w:tcW w:w="0" w:type="auto"/>
            <w:shd w:val="clear" w:color="auto" w:fill="auto"/>
          </w:tcPr>
          <w:p w14:paraId="4682C590" w14:textId="77777777" w:rsidR="00406F3B" w:rsidRPr="00701B09" w:rsidRDefault="00406F3B" w:rsidP="00406F3B">
            <w:pPr>
              <w:jc w:val="center"/>
              <w:rPr>
                <w:bCs/>
                <w:szCs w:val="20"/>
              </w:rPr>
            </w:pPr>
            <w:r>
              <w:rPr>
                <w:bCs/>
                <w:szCs w:val="20"/>
              </w:rPr>
              <w:t>NSO</w:t>
            </w:r>
          </w:p>
        </w:tc>
        <w:tc>
          <w:tcPr>
            <w:tcW w:w="0" w:type="auto"/>
            <w:shd w:val="clear" w:color="auto" w:fill="auto"/>
          </w:tcPr>
          <w:p w14:paraId="21E21209" w14:textId="77777777" w:rsidR="00406F3B" w:rsidRDefault="00406F3B" w:rsidP="00406F3B">
            <w:pPr>
              <w:jc w:val="center"/>
              <w:rPr>
                <w:rFonts w:eastAsia="Times New Roman" w:cs="Times New Roman"/>
                <w:color w:val="000000" w:themeColor="text1"/>
                <w:szCs w:val="20"/>
              </w:rPr>
            </w:pPr>
            <w:r w:rsidRPr="00BC6F10">
              <w:rPr>
                <w:rFonts w:eastAsia="Times New Roman" w:cs="Times New Roman"/>
                <w:color w:val="000000" w:themeColor="text1"/>
                <w:szCs w:val="20"/>
              </w:rPr>
              <w:t>FAO</w:t>
            </w:r>
          </w:p>
          <w:p w14:paraId="78DAAC3F" w14:textId="718A1A9A" w:rsidR="00406F3B" w:rsidRPr="00701B09" w:rsidRDefault="00406F3B" w:rsidP="00406F3B">
            <w:pPr>
              <w:jc w:val="center"/>
              <w:rPr>
                <w:bCs/>
                <w:szCs w:val="20"/>
              </w:rPr>
            </w:pPr>
          </w:p>
        </w:tc>
        <w:tc>
          <w:tcPr>
            <w:tcW w:w="0" w:type="auto"/>
            <w:shd w:val="clear" w:color="auto" w:fill="auto"/>
          </w:tcPr>
          <w:p w14:paraId="5E352F78" w14:textId="031F493B" w:rsidR="00406F3B" w:rsidRDefault="00406F3B" w:rsidP="00406F3B">
            <w:pPr>
              <w:rPr>
                <w:bCs/>
                <w:szCs w:val="20"/>
              </w:rPr>
            </w:pPr>
          </w:p>
          <w:p w14:paraId="396AF65F" w14:textId="77777777" w:rsidR="00406F3B" w:rsidRDefault="00406F3B" w:rsidP="00406F3B">
            <w:pPr>
              <w:rPr>
                <w:bCs/>
                <w:szCs w:val="20"/>
              </w:rPr>
            </w:pPr>
            <w:r>
              <w:rPr>
                <w:rFonts w:eastAsia="Times New Roman" w:cs="Times New Roman"/>
                <w:color w:val="FF0000"/>
                <w:szCs w:val="20"/>
              </w:rPr>
              <w:t>Data mining</w:t>
            </w:r>
          </w:p>
          <w:p w14:paraId="577A63F1" w14:textId="77777777" w:rsidR="00406F3B" w:rsidRPr="00236132" w:rsidRDefault="00406F3B" w:rsidP="00406F3B">
            <w:pPr>
              <w:spacing w:line="276" w:lineRule="auto"/>
              <w:jc w:val="center"/>
            </w:pPr>
            <w:r w:rsidRPr="00236132">
              <w:t>a) BBS (HIES)</w:t>
            </w:r>
          </w:p>
          <w:p w14:paraId="0D58EEB1" w14:textId="77777777" w:rsidR="00406F3B" w:rsidRPr="00C32B0B" w:rsidRDefault="00406F3B" w:rsidP="00406F3B">
            <w:r w:rsidRPr="00236132">
              <w:t>b) FAO</w:t>
            </w:r>
          </w:p>
        </w:tc>
        <w:tc>
          <w:tcPr>
            <w:tcW w:w="0" w:type="auto"/>
            <w:shd w:val="clear" w:color="auto" w:fill="auto"/>
          </w:tcPr>
          <w:p w14:paraId="27C9C37C" w14:textId="77777777" w:rsidR="00406F3B" w:rsidRPr="00701B09" w:rsidRDefault="00406F3B" w:rsidP="00406F3B">
            <w:pPr>
              <w:pStyle w:val="ListParagraph"/>
              <w:numPr>
                <w:ilvl w:val="0"/>
                <w:numId w:val="2"/>
              </w:numPr>
              <w:spacing w:line="240" w:lineRule="auto"/>
              <w:ind w:left="157" w:hanging="157"/>
              <w:jc w:val="both"/>
              <w:rPr>
                <w:rFonts w:ascii="Tw Cen MT Condensed" w:hAnsi="Tw Cen MT Condensed"/>
                <w:bCs/>
                <w:sz w:val="20"/>
                <w:szCs w:val="20"/>
              </w:rPr>
            </w:pPr>
            <w:r w:rsidRPr="00701B09">
              <w:rPr>
                <w:rFonts w:ascii="Tw Cen MT Condensed" w:hAnsi="Tw Cen MT Condensed"/>
                <w:bCs/>
                <w:sz w:val="20"/>
                <w:szCs w:val="20"/>
              </w:rPr>
              <w:t>Rural-urban</w:t>
            </w:r>
          </w:p>
          <w:p w14:paraId="025D34F5" w14:textId="77777777" w:rsidR="00406F3B" w:rsidRPr="00701B09" w:rsidRDefault="00406F3B" w:rsidP="00406F3B">
            <w:pPr>
              <w:pStyle w:val="ListParagraph"/>
              <w:numPr>
                <w:ilvl w:val="0"/>
                <w:numId w:val="2"/>
              </w:numPr>
              <w:spacing w:line="240" w:lineRule="auto"/>
              <w:ind w:left="157" w:hanging="157"/>
              <w:jc w:val="both"/>
              <w:rPr>
                <w:rFonts w:ascii="Tw Cen MT Condensed" w:hAnsi="Tw Cen MT Condensed"/>
                <w:bCs/>
                <w:sz w:val="20"/>
                <w:szCs w:val="20"/>
              </w:rPr>
            </w:pPr>
            <w:r w:rsidRPr="00701B09">
              <w:rPr>
                <w:rFonts w:ascii="Tw Cen MT Condensed" w:hAnsi="Tw Cen MT Condensed"/>
                <w:bCs/>
                <w:sz w:val="20"/>
                <w:szCs w:val="20"/>
              </w:rPr>
              <w:t>Division</w:t>
            </w:r>
          </w:p>
          <w:p w14:paraId="69C45C83" w14:textId="6CFA40C2" w:rsidR="00892004" w:rsidRPr="000C4849" w:rsidRDefault="00406F3B" w:rsidP="00406F3B">
            <w:pPr>
              <w:pStyle w:val="ListParagraph"/>
              <w:numPr>
                <w:ilvl w:val="0"/>
                <w:numId w:val="2"/>
              </w:numPr>
              <w:spacing w:line="240" w:lineRule="auto"/>
              <w:ind w:left="157" w:hanging="157"/>
              <w:jc w:val="both"/>
              <w:rPr>
                <w:rFonts w:ascii="Tw Cen MT Condensed" w:hAnsi="Tw Cen MT Condensed"/>
                <w:b/>
                <w:sz w:val="20"/>
                <w:szCs w:val="20"/>
              </w:rPr>
            </w:pPr>
            <w:r w:rsidRPr="00701B09">
              <w:rPr>
                <w:rFonts w:ascii="Tw Cen MT Condensed" w:hAnsi="Tw Cen MT Condensed"/>
                <w:bCs/>
                <w:sz w:val="20"/>
                <w:szCs w:val="20"/>
              </w:rPr>
              <w:t>Sex of Head of Househo</w:t>
            </w:r>
            <w:r>
              <w:rPr>
                <w:rFonts w:ascii="Tw Cen MT Condensed" w:hAnsi="Tw Cen MT Condensed"/>
                <w:bCs/>
                <w:sz w:val="20"/>
                <w:szCs w:val="20"/>
              </w:rPr>
              <w:t>l</w:t>
            </w:r>
            <w:r w:rsidRPr="00701B09">
              <w:rPr>
                <w:rFonts w:ascii="Tw Cen MT Condensed" w:hAnsi="Tw Cen MT Condensed"/>
                <w:bCs/>
                <w:sz w:val="20"/>
                <w:szCs w:val="20"/>
              </w:rPr>
              <w:t>d</w:t>
            </w:r>
            <w:r w:rsidR="00970164">
              <w:rPr>
                <w:rFonts w:ascii="Tw Cen MT Condensed" w:hAnsi="Tw Cen MT Condensed"/>
                <w:bCs/>
                <w:sz w:val="20"/>
                <w:szCs w:val="20"/>
              </w:rPr>
              <w:t>:Male/female</w:t>
            </w:r>
          </w:p>
          <w:p w14:paraId="4CC5445D" w14:textId="3C5ED46A" w:rsidR="00406F3B" w:rsidRPr="00CB3103" w:rsidRDefault="00892004" w:rsidP="00406F3B">
            <w:pPr>
              <w:pStyle w:val="ListParagraph"/>
              <w:numPr>
                <w:ilvl w:val="0"/>
                <w:numId w:val="2"/>
              </w:numPr>
              <w:spacing w:line="240" w:lineRule="auto"/>
              <w:ind w:left="157" w:hanging="157"/>
              <w:jc w:val="both"/>
              <w:rPr>
                <w:rFonts w:ascii="Tw Cen MT Condensed" w:hAnsi="Tw Cen MT Condensed"/>
                <w:b/>
                <w:sz w:val="20"/>
                <w:szCs w:val="20"/>
              </w:rPr>
            </w:pPr>
            <w:r>
              <w:rPr>
                <w:rFonts w:ascii="Tw Cen MT Condensed" w:hAnsi="Tw Cen MT Condensed"/>
                <w:bCs/>
                <w:sz w:val="20"/>
                <w:szCs w:val="20"/>
              </w:rPr>
              <w:t>Income classes</w:t>
            </w:r>
            <w:r w:rsidR="00970164">
              <w:rPr>
                <w:rFonts w:ascii="Tw Cen MT Condensed" w:hAnsi="Tw Cen MT Condensed"/>
                <w:bCs/>
                <w:sz w:val="20"/>
                <w:szCs w:val="20"/>
              </w:rPr>
              <w:t>:high/medium/low</w:t>
            </w:r>
            <w:r w:rsidR="00406F3B">
              <w:rPr>
                <w:rFonts w:ascii="Tw Cen MT Condensed" w:hAnsi="Tw Cen MT Condensed"/>
                <w:bCs/>
                <w:sz w:val="20"/>
                <w:szCs w:val="20"/>
              </w:rPr>
              <w:t xml:space="preserve">  </w:t>
            </w:r>
          </w:p>
        </w:tc>
        <w:tc>
          <w:tcPr>
            <w:tcW w:w="0" w:type="auto"/>
            <w:shd w:val="clear" w:color="auto" w:fill="auto"/>
          </w:tcPr>
          <w:p w14:paraId="46DC87D1" w14:textId="14474272" w:rsidR="00406F3B" w:rsidRPr="00701B09" w:rsidRDefault="005F24FB" w:rsidP="00406F3B">
            <w:pPr>
              <w:jc w:val="center"/>
              <w:rPr>
                <w:bCs/>
                <w:szCs w:val="20"/>
              </w:rPr>
            </w:pPr>
            <w:r>
              <w:rPr>
                <w:bCs/>
                <w:szCs w:val="20"/>
              </w:rPr>
              <w:t>Triennial</w:t>
            </w:r>
          </w:p>
        </w:tc>
        <w:tc>
          <w:tcPr>
            <w:tcW w:w="0" w:type="auto"/>
            <w:shd w:val="clear" w:color="auto" w:fill="auto"/>
          </w:tcPr>
          <w:p w14:paraId="15533A37" w14:textId="77777777" w:rsidR="00406F3B" w:rsidRPr="00C766D7" w:rsidRDefault="00406F3B" w:rsidP="00406F3B">
            <w:pPr>
              <w:jc w:val="center"/>
              <w:rPr>
                <w:bCs/>
                <w:szCs w:val="20"/>
              </w:rPr>
            </w:pPr>
            <w:r>
              <w:rPr>
                <w:bCs/>
                <w:szCs w:val="20"/>
              </w:rPr>
              <w:t>Group 3</w:t>
            </w:r>
          </w:p>
        </w:tc>
        <w:tc>
          <w:tcPr>
            <w:tcW w:w="0" w:type="auto"/>
            <w:shd w:val="clear" w:color="auto" w:fill="auto"/>
          </w:tcPr>
          <w:p w14:paraId="34ED08ED" w14:textId="77777777" w:rsidR="00406F3B" w:rsidRDefault="00406F3B" w:rsidP="00406F3B">
            <w:pPr>
              <w:pStyle w:val="NoSpacing"/>
            </w:pPr>
            <w:r>
              <w:t>1</w:t>
            </w:r>
            <w:r w:rsidRPr="00013ACB">
              <w:rPr>
                <w:vertAlign w:val="superscript"/>
              </w:rPr>
              <w:t>st</w:t>
            </w:r>
            <w:r>
              <w:t xml:space="preserve"> Round: </w:t>
            </w:r>
          </w:p>
          <w:p w14:paraId="047C47BD" w14:textId="77777777" w:rsidR="00406F3B" w:rsidRDefault="00406F3B" w:rsidP="00406F3B">
            <w:pPr>
              <w:pStyle w:val="NoSpacing"/>
            </w:pPr>
            <w:r>
              <w:t>2016</w:t>
            </w:r>
          </w:p>
          <w:p w14:paraId="2ED8D6C2" w14:textId="77777777" w:rsidR="00406F3B" w:rsidRDefault="00406F3B" w:rsidP="00406F3B">
            <w:pPr>
              <w:pStyle w:val="NoSpacing"/>
            </w:pPr>
          </w:p>
          <w:p w14:paraId="4FB393B0" w14:textId="77777777" w:rsidR="00406F3B" w:rsidRDefault="00406F3B" w:rsidP="00406F3B">
            <w:pPr>
              <w:pStyle w:val="NoSpacing"/>
            </w:pPr>
            <w:r>
              <w:t>2</w:t>
            </w:r>
            <w:r w:rsidRPr="00013ACB">
              <w:rPr>
                <w:vertAlign w:val="superscript"/>
              </w:rPr>
              <w:t>nd</w:t>
            </w:r>
            <w:r>
              <w:t xml:space="preserve"> Round: </w:t>
            </w:r>
          </w:p>
          <w:p w14:paraId="37359E28" w14:textId="77777777" w:rsidR="00406F3B" w:rsidRDefault="00406F3B" w:rsidP="00406F3B">
            <w:pPr>
              <w:pStyle w:val="NoSpacing"/>
            </w:pPr>
            <w:r>
              <w:t xml:space="preserve">December </w:t>
            </w:r>
          </w:p>
          <w:p w14:paraId="1F01287E" w14:textId="77777777" w:rsidR="00406F3B" w:rsidRDefault="00406F3B" w:rsidP="00406F3B">
            <w:pPr>
              <w:pStyle w:val="NoSpacing"/>
            </w:pPr>
            <w:r>
              <w:t>2019</w:t>
            </w:r>
          </w:p>
          <w:p w14:paraId="0A7B39F3" w14:textId="77777777" w:rsidR="00406F3B" w:rsidRDefault="00406F3B" w:rsidP="00406F3B">
            <w:pPr>
              <w:pStyle w:val="NoSpacing"/>
            </w:pPr>
          </w:p>
          <w:p w14:paraId="346AE064" w14:textId="77777777" w:rsidR="00406F3B" w:rsidRDefault="00406F3B" w:rsidP="00406F3B">
            <w:pPr>
              <w:pStyle w:val="NoSpacing"/>
            </w:pPr>
            <w:r>
              <w:t>3</w:t>
            </w:r>
            <w:r w:rsidRPr="00013ACB">
              <w:rPr>
                <w:vertAlign w:val="superscript"/>
              </w:rPr>
              <w:t>rd</w:t>
            </w:r>
            <w:r>
              <w:t xml:space="preserve"> Round: </w:t>
            </w:r>
          </w:p>
          <w:p w14:paraId="032F3040" w14:textId="77777777" w:rsidR="00406F3B" w:rsidRDefault="00406F3B" w:rsidP="00406F3B">
            <w:pPr>
              <w:pStyle w:val="NoSpacing"/>
            </w:pPr>
            <w:r>
              <w:t xml:space="preserve">December </w:t>
            </w:r>
          </w:p>
          <w:p w14:paraId="445ACB82" w14:textId="77777777" w:rsidR="00406F3B" w:rsidRDefault="00406F3B" w:rsidP="00406F3B">
            <w:pPr>
              <w:pStyle w:val="NoSpacing"/>
            </w:pPr>
            <w:r>
              <w:t>2022</w:t>
            </w:r>
          </w:p>
          <w:p w14:paraId="6A3E2646" w14:textId="77777777" w:rsidR="00406F3B" w:rsidRDefault="00406F3B" w:rsidP="00406F3B">
            <w:pPr>
              <w:pStyle w:val="NoSpacing"/>
            </w:pPr>
          </w:p>
          <w:p w14:paraId="6D4F396C" w14:textId="77777777" w:rsidR="00406F3B" w:rsidRDefault="00406F3B" w:rsidP="00406F3B">
            <w:pPr>
              <w:pStyle w:val="NoSpacing"/>
            </w:pPr>
            <w:r>
              <w:t>4</w:t>
            </w:r>
            <w:r w:rsidRPr="00013ACB">
              <w:rPr>
                <w:vertAlign w:val="superscript"/>
              </w:rPr>
              <w:t>th</w:t>
            </w:r>
            <w:r>
              <w:t xml:space="preserve"> Round: </w:t>
            </w:r>
          </w:p>
          <w:p w14:paraId="135AD6F4" w14:textId="77777777" w:rsidR="00406F3B" w:rsidRDefault="00406F3B" w:rsidP="00406F3B">
            <w:pPr>
              <w:pStyle w:val="NoSpacing"/>
            </w:pPr>
            <w:r>
              <w:t xml:space="preserve">December </w:t>
            </w:r>
          </w:p>
          <w:p w14:paraId="1EF505B7" w14:textId="77777777" w:rsidR="00406F3B" w:rsidRDefault="00406F3B" w:rsidP="00406F3B">
            <w:pPr>
              <w:pStyle w:val="NoSpacing"/>
            </w:pPr>
            <w:r>
              <w:t>2025</w:t>
            </w:r>
          </w:p>
          <w:p w14:paraId="38E9045D" w14:textId="77777777" w:rsidR="00406F3B" w:rsidRDefault="00406F3B" w:rsidP="00406F3B">
            <w:pPr>
              <w:pStyle w:val="NoSpacing"/>
            </w:pPr>
          </w:p>
          <w:p w14:paraId="5E59372E" w14:textId="77777777" w:rsidR="00406F3B" w:rsidRDefault="00406F3B" w:rsidP="00406F3B">
            <w:pPr>
              <w:pStyle w:val="NoSpacing"/>
            </w:pPr>
            <w:r>
              <w:t>5</w:t>
            </w:r>
            <w:r w:rsidRPr="00013ACB">
              <w:rPr>
                <w:vertAlign w:val="superscript"/>
              </w:rPr>
              <w:t>th</w:t>
            </w:r>
            <w:r>
              <w:t xml:space="preserve"> Round: </w:t>
            </w:r>
          </w:p>
          <w:p w14:paraId="1FA6BFEC" w14:textId="77777777" w:rsidR="00406F3B" w:rsidRDefault="00406F3B" w:rsidP="00406F3B">
            <w:pPr>
              <w:pStyle w:val="NoSpacing"/>
            </w:pPr>
            <w:r>
              <w:lastRenderedPageBreak/>
              <w:t xml:space="preserve">December </w:t>
            </w:r>
          </w:p>
          <w:p w14:paraId="5B1D7CE7" w14:textId="77777777" w:rsidR="00406F3B" w:rsidRDefault="00406F3B" w:rsidP="00406F3B">
            <w:pPr>
              <w:pStyle w:val="NoSpacing"/>
            </w:pPr>
            <w:r>
              <w:t>2028</w:t>
            </w:r>
          </w:p>
          <w:p w14:paraId="58F2A497" w14:textId="2A138F26" w:rsidR="00406F3B" w:rsidRPr="003265B9" w:rsidRDefault="00406F3B" w:rsidP="00406F3B">
            <w:pPr>
              <w:pStyle w:val="NoSpacing"/>
            </w:pPr>
          </w:p>
        </w:tc>
        <w:tc>
          <w:tcPr>
            <w:tcW w:w="0" w:type="auto"/>
            <w:shd w:val="clear" w:color="auto" w:fill="auto"/>
          </w:tcPr>
          <w:p w14:paraId="6FA1082C" w14:textId="77777777" w:rsidR="00406F3B" w:rsidRPr="003965A9" w:rsidRDefault="00406F3B" w:rsidP="00406F3B">
            <w:pPr>
              <w:jc w:val="both"/>
              <w:rPr>
                <w:bCs/>
                <w:szCs w:val="20"/>
              </w:rPr>
            </w:pPr>
            <w:r>
              <w:rPr>
                <w:bCs/>
                <w:szCs w:val="20"/>
              </w:rPr>
              <w:lastRenderedPageBreak/>
              <w:t>HIES, BBS data can be explored or incorporate individual dietary intake in HIES data.</w:t>
            </w:r>
          </w:p>
        </w:tc>
      </w:tr>
      <w:tr w:rsidR="0098022F" w14:paraId="121DECBB" w14:textId="77777777" w:rsidTr="0085651F">
        <w:tc>
          <w:tcPr>
            <w:tcW w:w="0" w:type="auto"/>
            <w:gridSpan w:val="2"/>
            <w:shd w:val="clear" w:color="auto" w:fill="auto"/>
          </w:tcPr>
          <w:p w14:paraId="5A028438" w14:textId="77777777" w:rsidR="00406F3B" w:rsidRPr="00701B09" w:rsidRDefault="00406F3B" w:rsidP="00406F3B">
            <w:pPr>
              <w:jc w:val="both"/>
              <w:rPr>
                <w:szCs w:val="20"/>
              </w:rPr>
            </w:pPr>
            <w:r w:rsidRPr="003965A9">
              <w:rPr>
                <w:szCs w:val="20"/>
              </w:rPr>
              <w:lastRenderedPageBreak/>
              <w:t xml:space="preserve">2.1.2 Prevalence of moderate or severe food insecurity in the </w:t>
            </w:r>
            <w:r w:rsidRPr="003965A9">
              <w:rPr>
                <w:szCs w:val="20"/>
              </w:rPr>
              <w:lastRenderedPageBreak/>
              <w:t>population, based on the Food Insecurity Experience Scale (FIES)</w:t>
            </w:r>
          </w:p>
        </w:tc>
        <w:tc>
          <w:tcPr>
            <w:tcW w:w="0" w:type="auto"/>
            <w:shd w:val="clear" w:color="auto" w:fill="auto"/>
          </w:tcPr>
          <w:p w14:paraId="2D97334F" w14:textId="77777777" w:rsidR="00406F3B" w:rsidRPr="00262FC1" w:rsidRDefault="00406F3B" w:rsidP="00406F3B">
            <w:pPr>
              <w:rPr>
                <w:color w:val="4F4E4E"/>
                <w:szCs w:val="20"/>
                <w:shd w:val="clear" w:color="auto" w:fill="FFFFFF"/>
              </w:rPr>
            </w:pPr>
            <w:r w:rsidRPr="00262FC1">
              <w:rPr>
                <w:szCs w:val="20"/>
              </w:rPr>
              <w:lastRenderedPageBreak/>
              <w:t xml:space="preserve"> Food and Agriculture Organisati</w:t>
            </w:r>
            <w:r w:rsidRPr="00262FC1">
              <w:rPr>
                <w:szCs w:val="20"/>
              </w:rPr>
              <w:lastRenderedPageBreak/>
              <w:t>on of the United Nations (FAO)</w:t>
            </w:r>
          </w:p>
        </w:tc>
        <w:tc>
          <w:tcPr>
            <w:tcW w:w="0" w:type="auto"/>
            <w:shd w:val="clear" w:color="auto" w:fill="auto"/>
          </w:tcPr>
          <w:p w14:paraId="1C9824CF" w14:textId="77777777" w:rsidR="00406F3B" w:rsidRPr="00262FC1" w:rsidRDefault="00406F3B" w:rsidP="00406F3B">
            <w:pPr>
              <w:jc w:val="center"/>
              <w:rPr>
                <w:szCs w:val="20"/>
              </w:rPr>
            </w:pPr>
            <w:r w:rsidRPr="00262FC1">
              <w:rPr>
                <w:szCs w:val="20"/>
              </w:rPr>
              <w:lastRenderedPageBreak/>
              <w:t>Tier II</w:t>
            </w:r>
          </w:p>
        </w:tc>
        <w:tc>
          <w:tcPr>
            <w:tcW w:w="0" w:type="auto"/>
            <w:shd w:val="clear" w:color="auto" w:fill="auto"/>
          </w:tcPr>
          <w:p w14:paraId="13C8DB24" w14:textId="77777777" w:rsidR="00406F3B" w:rsidRPr="00D4653E" w:rsidRDefault="00406F3B" w:rsidP="00406F3B">
            <w:pPr>
              <w:pStyle w:val="Default"/>
              <w:rPr>
                <w:rFonts w:ascii="Tw Cen MT Condensed" w:hAnsi="Tw Cen MT Condensed" w:cs="Shonar Bangla"/>
                <w:b/>
                <w:szCs w:val="20"/>
              </w:rPr>
            </w:pPr>
            <w:r w:rsidRPr="00D4653E">
              <w:rPr>
                <w:rFonts w:ascii="Tw Cen MT Condensed" w:hAnsi="Tw Cen MT Condensed" w:cs="Shonar Bangla"/>
                <w:b/>
                <w:szCs w:val="20"/>
              </w:rPr>
              <w:t>Definition:</w:t>
            </w:r>
          </w:p>
          <w:p w14:paraId="1B8BA190" w14:textId="77777777" w:rsidR="00406F3B" w:rsidRPr="000C4849" w:rsidRDefault="00406F3B" w:rsidP="00406F3B">
            <w:pPr>
              <w:pStyle w:val="Default"/>
              <w:rPr>
                <w:rFonts w:ascii="Tw Cen MT Condensed" w:hAnsi="Tw Cen MT Condensed" w:cs="Shonar Bangla"/>
                <w:szCs w:val="20"/>
              </w:rPr>
            </w:pPr>
            <w:r w:rsidRPr="000C4849">
              <w:rPr>
                <w:rFonts w:ascii="Tw Cen MT Condensed" w:hAnsi="Tw Cen MT Condensed" w:cs="Shonar Bangla"/>
                <w:szCs w:val="20"/>
              </w:rPr>
              <w:t xml:space="preserve">The indicator measures the percentage of individuals in the population who have experienced food insecurity at moderate or severe levels </w:t>
            </w:r>
            <w:r w:rsidRPr="000C4849">
              <w:rPr>
                <w:rFonts w:ascii="Tw Cen MT Condensed" w:hAnsi="Tw Cen MT Condensed" w:cs="Shonar Bangla"/>
                <w:szCs w:val="20"/>
              </w:rPr>
              <w:lastRenderedPageBreak/>
              <w:t>during the reference period. The severity of food insecurity, defined as a latent trait, is measured on the Food Insecurity Experience Scale global reference scale, a measurement standard established by FAO through the application of the Food Insecurity Experience Scale in more than 140 countries worldwide, starting in 2014.</w:t>
            </w:r>
          </w:p>
          <w:p w14:paraId="56C1CE9A" w14:textId="77777777" w:rsidR="00406F3B" w:rsidRPr="00D4653E" w:rsidRDefault="00406F3B" w:rsidP="00406F3B">
            <w:pPr>
              <w:pStyle w:val="Default"/>
              <w:rPr>
                <w:rFonts w:ascii="Tw Cen MT Condensed" w:hAnsi="Tw Cen MT Condensed" w:cs="Shonar Bangla"/>
                <w:b/>
                <w:szCs w:val="20"/>
              </w:rPr>
            </w:pPr>
            <w:r w:rsidRPr="00D4653E">
              <w:rPr>
                <w:rFonts w:ascii="Tw Cen MT Condensed" w:hAnsi="Tw Cen MT Condensed" w:cs="Shonar Bangla"/>
                <w:b/>
                <w:szCs w:val="20"/>
              </w:rPr>
              <w:t>Rationale:</w:t>
            </w:r>
          </w:p>
          <w:p w14:paraId="641FDA1C" w14:textId="77777777" w:rsidR="00406F3B" w:rsidRPr="000C4849" w:rsidRDefault="00406F3B" w:rsidP="00406F3B">
            <w:pPr>
              <w:pStyle w:val="Default"/>
              <w:rPr>
                <w:rFonts w:ascii="Tw Cen MT Condensed" w:hAnsi="Tw Cen MT Condensed" w:cs="Shonar Bangla"/>
                <w:szCs w:val="20"/>
              </w:rPr>
            </w:pPr>
            <w:r w:rsidRPr="000C4849">
              <w:rPr>
                <w:rFonts w:ascii="Tw Cen MT Condensed" w:hAnsi="Tw Cen MT Condensed" w:cs="Shonar Bangla"/>
                <w:szCs w:val="20"/>
              </w:rPr>
              <w:t>Food insecurity at moderate levels of severity is typically associated with the inability to regularly eat healthy, balanced diets. As such, high prevalence of food insecurity at moderate levels can be considered a predictor of various forms of diet-related health conditions in the population, associated with micronutrient deficiency and unbalanced diets. Severe levels of food insecurity, on the other hand, imply a high probability of reduced food intake and therefore can lead to more severe forms of undernutrition, including hunger.</w:t>
            </w:r>
          </w:p>
          <w:p w14:paraId="34FF6127" w14:textId="77777777" w:rsidR="00406F3B" w:rsidRPr="000C4849" w:rsidRDefault="00406F3B" w:rsidP="00406F3B">
            <w:pPr>
              <w:pStyle w:val="Default"/>
              <w:rPr>
                <w:rFonts w:ascii="Tw Cen MT Condensed" w:hAnsi="Tw Cen MT Condensed" w:cs="Shonar Bangla"/>
                <w:szCs w:val="20"/>
              </w:rPr>
            </w:pPr>
          </w:p>
          <w:p w14:paraId="443EEE1C" w14:textId="77777777" w:rsidR="00406F3B" w:rsidRPr="00D66833" w:rsidRDefault="00406F3B" w:rsidP="00406F3B">
            <w:pPr>
              <w:pStyle w:val="Default"/>
              <w:rPr>
                <w:rFonts w:ascii="Tw Cen MT Condensed" w:hAnsi="Tw Cen MT Condensed" w:cs="Shonar Bangla"/>
                <w:b/>
                <w:szCs w:val="20"/>
              </w:rPr>
            </w:pPr>
            <w:r>
              <w:rPr>
                <w:rFonts w:ascii="Tw Cen MT Condensed" w:hAnsi="Tw Cen MT Condensed" w:cs="Shonar Bangla"/>
                <w:b/>
                <w:szCs w:val="20"/>
              </w:rPr>
              <w:t>Concept</w:t>
            </w:r>
            <w:r w:rsidRPr="00D66833">
              <w:rPr>
                <w:rFonts w:ascii="Tw Cen MT Condensed" w:hAnsi="Tw Cen MT Condensed" w:cs="Shonar Bangla"/>
                <w:b/>
                <w:szCs w:val="20"/>
              </w:rPr>
              <w:t xml:space="preserve">: </w:t>
            </w:r>
          </w:p>
          <w:p w14:paraId="3D4172F3" w14:textId="77777777" w:rsidR="00406F3B" w:rsidRPr="00262FC1" w:rsidRDefault="00406F3B" w:rsidP="00406F3B">
            <w:pPr>
              <w:pStyle w:val="Default"/>
              <w:rPr>
                <w:rFonts w:ascii="Tw Cen MT Condensed" w:hAnsi="Tw Cen MT Condensed" w:cs="Shonar Bangla"/>
                <w:szCs w:val="20"/>
              </w:rPr>
            </w:pPr>
            <w:r w:rsidRPr="00262FC1">
              <w:rPr>
                <w:rFonts w:ascii="Tw Cen MT Condensed" w:hAnsi="Tw Cen MT Condensed" w:cs="Shonar Bangla"/>
                <w:szCs w:val="20"/>
              </w:rPr>
              <w:t xml:space="preserve">Extensive research over more than 25 years has demonstrated that the inability to access food results in a series of experiences and conditions that are fairly common across cultures and socio-economic contexts and that range from being concerned about the ability to obtain enough food, to the need to </w:t>
            </w:r>
          </w:p>
          <w:p w14:paraId="12E3B8C2" w14:textId="77777777" w:rsidR="00406F3B" w:rsidRPr="00262FC1" w:rsidRDefault="00406F3B" w:rsidP="00406F3B">
            <w:pPr>
              <w:pStyle w:val="Default"/>
              <w:pageBreakBefore/>
              <w:jc w:val="both"/>
              <w:rPr>
                <w:rFonts w:ascii="Tw Cen MT Condensed" w:hAnsi="Tw Cen MT Condensed" w:cs="Shonar Bangla"/>
                <w:szCs w:val="20"/>
              </w:rPr>
            </w:pPr>
            <w:proofErr w:type="gramStart"/>
            <w:r w:rsidRPr="00262FC1">
              <w:rPr>
                <w:rFonts w:ascii="Tw Cen MT Condensed" w:hAnsi="Tw Cen MT Condensed" w:cs="Shonar Bangla"/>
                <w:szCs w:val="20"/>
              </w:rPr>
              <w:t>compromise</w:t>
            </w:r>
            <w:proofErr w:type="gramEnd"/>
            <w:r w:rsidRPr="00262FC1">
              <w:rPr>
                <w:rFonts w:ascii="Tw Cen MT Condensed" w:hAnsi="Tw Cen MT Condensed" w:cs="Shonar Bangla"/>
                <w:szCs w:val="20"/>
              </w:rPr>
              <w:t xml:space="preserve"> on the quality or the diversity of food consumed, to being forced to reduce the intake of food by cutting portion sizes or skipping meals, up to the extreme condition of feeling hungry and not having means to access any food for a whole day. Typical conditions like these form the basis of an experience-based food insecurity measurement scale. When analysed through sound statistical methods rooted in Item Response Theory, data collected through such scales provide the basis to compute theoretically consistent, cross country comparable measures of the prevalence of food insecurity. The severity of the food insecurity condition as measured by this indicator thus directly reflects the extent of households’ or individuals’ inability to regularly access the food they need. </w:t>
            </w:r>
          </w:p>
          <w:p w14:paraId="773AFDBC" w14:textId="77777777" w:rsidR="00406F3B" w:rsidRDefault="00406F3B" w:rsidP="00406F3B">
            <w:pPr>
              <w:jc w:val="both"/>
              <w:rPr>
                <w:szCs w:val="20"/>
              </w:rPr>
            </w:pPr>
          </w:p>
          <w:p w14:paraId="2D250B3C" w14:textId="77777777" w:rsidR="00406F3B" w:rsidRPr="003965A9" w:rsidRDefault="00406F3B" w:rsidP="00406F3B">
            <w:pPr>
              <w:jc w:val="both"/>
              <w:rPr>
                <w:b/>
                <w:bCs/>
                <w:szCs w:val="20"/>
              </w:rPr>
            </w:pPr>
            <w:r w:rsidRPr="003965A9">
              <w:rPr>
                <w:b/>
                <w:bCs/>
                <w:szCs w:val="20"/>
              </w:rPr>
              <w:t>Computation Method:</w:t>
            </w:r>
          </w:p>
          <w:p w14:paraId="012CD30B" w14:textId="77777777" w:rsidR="00406F3B" w:rsidRDefault="00406F3B" w:rsidP="00406F3B">
            <w:pPr>
              <w:jc w:val="both"/>
              <w:rPr>
                <w:szCs w:val="20"/>
              </w:rPr>
            </w:pPr>
            <w:r w:rsidRPr="003965A9">
              <w:rPr>
                <w:szCs w:val="20"/>
              </w:rPr>
              <w:t>Data at the individual or household level is collected by applying an experience-based food security scale</w:t>
            </w:r>
            <w:r>
              <w:rPr>
                <w:szCs w:val="20"/>
              </w:rPr>
              <w:t xml:space="preserve"> </w:t>
            </w:r>
            <w:r w:rsidRPr="003965A9">
              <w:rPr>
                <w:szCs w:val="20"/>
              </w:rPr>
              <w:t>questionnaire within a survey. The food security survey module collects answers to questions asking</w:t>
            </w:r>
            <w:r>
              <w:rPr>
                <w:szCs w:val="20"/>
              </w:rPr>
              <w:t xml:space="preserve"> </w:t>
            </w:r>
            <w:r w:rsidRPr="003965A9">
              <w:rPr>
                <w:szCs w:val="20"/>
              </w:rPr>
              <w:t xml:space="preserve">respondents to report the occurrence of several typical experiences and </w:t>
            </w:r>
            <w:r w:rsidRPr="003965A9">
              <w:rPr>
                <w:szCs w:val="20"/>
              </w:rPr>
              <w:lastRenderedPageBreak/>
              <w:t>conditions associated with food</w:t>
            </w:r>
            <w:r>
              <w:rPr>
                <w:szCs w:val="20"/>
              </w:rPr>
              <w:t xml:space="preserve"> </w:t>
            </w:r>
            <w:r w:rsidRPr="003965A9">
              <w:rPr>
                <w:szCs w:val="20"/>
              </w:rPr>
              <w:t>insecurity. The data is analysed using the Rasch model (also known as one-parameter logistic model, 1-PL), which postulates that the probability of observing an affirmative answer by respondent i to question</w:t>
            </w:r>
            <w:r>
              <w:rPr>
                <w:szCs w:val="20"/>
              </w:rPr>
              <w:t xml:space="preserve"> </w:t>
            </w:r>
            <w:r w:rsidRPr="003965A9">
              <w:rPr>
                <w:szCs w:val="20"/>
              </w:rPr>
              <w:t>j, is a logistic function of the distance, on an underlying scale of severity, between the position of the</w:t>
            </w:r>
            <w:r>
              <w:rPr>
                <w:szCs w:val="20"/>
              </w:rPr>
              <w:t xml:space="preserve"> </w:t>
            </w:r>
            <w:r w:rsidRPr="003965A9">
              <w:rPr>
                <w:szCs w:val="20"/>
              </w:rPr>
              <w:t xml:space="preserve">respondent, </w:t>
            </w:r>
            <w:r w:rsidRPr="003965A9">
              <w:rPr>
                <w:rFonts w:ascii="Cambria Math" w:hAnsi="Cambria Math" w:cs="Cambria Math"/>
                <w:szCs w:val="20"/>
              </w:rPr>
              <w:t>𝑎𝑖</w:t>
            </w:r>
            <w:r>
              <w:rPr>
                <w:rFonts w:ascii="Cambria Math" w:hAnsi="Cambria Math" w:cs="Cambria Math"/>
                <w:szCs w:val="20"/>
              </w:rPr>
              <w:t xml:space="preserve"> </w:t>
            </w:r>
            <w:r w:rsidRPr="003965A9">
              <w:rPr>
                <w:szCs w:val="20"/>
              </w:rPr>
              <w:t xml:space="preserve">, and that of the item, </w:t>
            </w:r>
            <w:r w:rsidRPr="003965A9">
              <w:rPr>
                <w:rFonts w:ascii="Cambria Math" w:hAnsi="Cambria Math" w:cs="Cambria Math"/>
                <w:szCs w:val="20"/>
              </w:rPr>
              <w:t>𝑏𝑗</w:t>
            </w:r>
            <w:r>
              <w:rPr>
                <w:szCs w:val="20"/>
              </w:rPr>
              <w:t>.</w:t>
            </w:r>
          </w:p>
          <w:p w14:paraId="2FA90318" w14:textId="77777777" w:rsidR="00406F3B" w:rsidRDefault="00406F3B" w:rsidP="00406F3B">
            <w:pPr>
              <w:jc w:val="center"/>
              <w:rPr>
                <w:szCs w:val="20"/>
              </w:rPr>
            </w:pPr>
            <w:r w:rsidRPr="003965A9">
              <w:rPr>
                <w:noProof/>
                <w:szCs w:val="20"/>
                <w:lang w:bidi="bn-BD"/>
              </w:rPr>
              <w:drawing>
                <wp:inline distT="0" distB="0" distL="0" distR="0" wp14:anchorId="109E9C28" wp14:editId="1D1A551B">
                  <wp:extent cx="1692998" cy="3366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duotone>
                              <a:prstClr val="black"/>
                              <a:srgbClr val="FFCAB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712793" cy="340630"/>
                          </a:xfrm>
                          <a:prstGeom prst="rect">
                            <a:avLst/>
                          </a:prstGeom>
                          <a:noFill/>
                          <a:ln>
                            <a:noFill/>
                          </a:ln>
                        </pic:spPr>
                      </pic:pic>
                    </a:graphicData>
                  </a:graphic>
                </wp:inline>
              </w:drawing>
            </w:r>
          </w:p>
          <w:p w14:paraId="01E88F1C" w14:textId="77777777" w:rsidR="00406F3B" w:rsidRDefault="00406F3B" w:rsidP="00406F3B">
            <w:pPr>
              <w:jc w:val="both"/>
              <w:rPr>
                <w:szCs w:val="20"/>
              </w:rPr>
            </w:pPr>
            <w:r w:rsidRPr="003965A9">
              <w:rPr>
                <w:szCs w:val="20"/>
              </w:rPr>
              <w:t xml:space="preserve">Parameters </w:t>
            </w:r>
            <w:r w:rsidRPr="003965A9">
              <w:rPr>
                <w:rFonts w:ascii="Cambria Math" w:hAnsi="Cambria Math" w:cs="Cambria Math"/>
                <w:szCs w:val="20"/>
              </w:rPr>
              <w:t>𝑎𝑖</w:t>
            </w:r>
            <w:r w:rsidRPr="003965A9">
              <w:rPr>
                <w:szCs w:val="20"/>
              </w:rPr>
              <w:t xml:space="preserve"> and </w:t>
            </w:r>
            <w:r w:rsidRPr="003965A9">
              <w:rPr>
                <w:rFonts w:ascii="Cambria Math" w:hAnsi="Cambria Math" w:cs="Cambria Math"/>
                <w:szCs w:val="20"/>
              </w:rPr>
              <w:t>𝑏𝑗</w:t>
            </w:r>
            <w:r w:rsidRPr="003965A9">
              <w:rPr>
                <w:szCs w:val="20"/>
              </w:rPr>
              <w:t xml:space="preserve"> can be estimated using maximum likelihood procedures. Parameters </w:t>
            </w:r>
            <w:r w:rsidRPr="003965A9">
              <w:rPr>
                <w:rFonts w:ascii="Cambria Math" w:hAnsi="Cambria Math" w:cs="Cambria Math"/>
                <w:szCs w:val="20"/>
              </w:rPr>
              <w:t>𝑎𝑖</w:t>
            </w:r>
            <w:r w:rsidRPr="003965A9">
              <w:rPr>
                <w:szCs w:val="20"/>
              </w:rPr>
              <w:t>, in particular, are interpreted as a measure of the severity of the food security condition for each respondent and are used to classify them into classes of food insecurity.</w:t>
            </w:r>
          </w:p>
          <w:p w14:paraId="51C6C68D" w14:textId="77777777" w:rsidR="00406F3B" w:rsidRDefault="00406F3B" w:rsidP="00406F3B">
            <w:pPr>
              <w:jc w:val="both"/>
              <w:rPr>
                <w:szCs w:val="20"/>
              </w:rPr>
            </w:pPr>
            <w:r w:rsidRPr="003965A9">
              <w:rPr>
                <w:szCs w:val="20"/>
              </w:rPr>
              <w:t>The FIES considers the three classes of (a) food security or mild food insecurity; b) moderate or severe food insecurity, and (c) severe food insecurity, and estimates the probability of being moderately or severely food insecure (</w:t>
            </w:r>
            <w:r w:rsidRPr="003965A9">
              <w:rPr>
                <w:rFonts w:ascii="Cambria Math" w:hAnsi="Cambria Math" w:cs="Cambria Math"/>
                <w:szCs w:val="20"/>
              </w:rPr>
              <w:t>𝑝</w:t>
            </w:r>
            <w:r w:rsidRPr="003965A9">
              <w:rPr>
                <w:szCs w:val="20"/>
              </w:rPr>
              <w:t>mod+sev) and the probability of being severely food insecure (</w:t>
            </w:r>
            <w:r w:rsidRPr="003965A9">
              <w:rPr>
                <w:rFonts w:ascii="Cambria Math" w:hAnsi="Cambria Math" w:cs="Cambria Math"/>
                <w:szCs w:val="20"/>
              </w:rPr>
              <w:t>𝑝</w:t>
            </w:r>
            <w:r w:rsidRPr="003965A9">
              <w:rPr>
                <w:szCs w:val="20"/>
              </w:rPr>
              <w:t>sev) for each respondent, with 0&lt;</w:t>
            </w:r>
            <w:r w:rsidRPr="003965A9">
              <w:rPr>
                <w:rFonts w:ascii="Cambria Math" w:hAnsi="Cambria Math" w:cs="Cambria Math"/>
                <w:szCs w:val="20"/>
              </w:rPr>
              <w:t>𝑝</w:t>
            </w:r>
            <w:r w:rsidRPr="003965A9">
              <w:rPr>
                <w:szCs w:val="20"/>
              </w:rPr>
              <w:t>sev&lt;</w:t>
            </w:r>
            <w:r w:rsidRPr="003965A9">
              <w:rPr>
                <w:rFonts w:ascii="Cambria Math" w:hAnsi="Cambria Math" w:cs="Cambria Math"/>
                <w:szCs w:val="20"/>
              </w:rPr>
              <w:t>𝑝</w:t>
            </w:r>
            <w:r w:rsidRPr="003965A9">
              <w:rPr>
                <w:szCs w:val="20"/>
              </w:rPr>
              <w:t xml:space="preserve">mod+sev&lt;1. The probability of being food secure or mildly food insecure can be obtained as </w:t>
            </w:r>
            <w:r w:rsidRPr="003965A9">
              <w:rPr>
                <w:rFonts w:ascii="Cambria Math" w:hAnsi="Cambria Math" w:cs="Cambria Math"/>
                <w:szCs w:val="20"/>
              </w:rPr>
              <w:t>𝑝</w:t>
            </w:r>
            <w:r w:rsidRPr="003965A9">
              <w:rPr>
                <w:szCs w:val="20"/>
              </w:rPr>
              <w:t>fs=1</w:t>
            </w:r>
            <w:r w:rsidRPr="003965A9">
              <w:rPr>
                <w:rFonts w:ascii="Arial" w:hAnsi="Arial" w:cs="Arial"/>
                <w:szCs w:val="20"/>
              </w:rPr>
              <w:t>−</w:t>
            </w:r>
            <w:r w:rsidRPr="003965A9">
              <w:rPr>
                <w:rFonts w:ascii="Cambria Math" w:hAnsi="Cambria Math" w:cs="Cambria Math"/>
                <w:szCs w:val="20"/>
              </w:rPr>
              <w:t>𝑝</w:t>
            </w:r>
            <w:r w:rsidRPr="003965A9">
              <w:rPr>
                <w:szCs w:val="20"/>
              </w:rPr>
              <w:t>mod+sev.</w:t>
            </w:r>
          </w:p>
          <w:p w14:paraId="51BBF936" w14:textId="77777777" w:rsidR="00406F3B" w:rsidRDefault="00406F3B" w:rsidP="00406F3B">
            <w:pPr>
              <w:jc w:val="both"/>
              <w:rPr>
                <w:szCs w:val="20"/>
              </w:rPr>
            </w:pPr>
            <w:r w:rsidRPr="003965A9">
              <w:rPr>
                <w:szCs w:val="20"/>
              </w:rPr>
              <w:t>Given a representative sample, the prevalence of food insecurity at moderate or severe levels (FImod+sev), and at severe levels (FIsev) in the population are computed as the weighted sum of the probability of belonging to the moderate or severe food insecurity class, and to the severe food insecurity class, respectively, of all individual or household respondents in a sample:</w:t>
            </w:r>
          </w:p>
          <w:p w14:paraId="33546795" w14:textId="77777777" w:rsidR="00406F3B" w:rsidRDefault="00406F3B" w:rsidP="00406F3B">
            <w:pPr>
              <w:jc w:val="both"/>
              <w:rPr>
                <w:szCs w:val="20"/>
              </w:rPr>
            </w:pPr>
            <w:r w:rsidRPr="003965A9">
              <w:rPr>
                <w:noProof/>
                <w:szCs w:val="20"/>
                <w:lang w:bidi="bn-BD"/>
              </w:rPr>
              <w:drawing>
                <wp:inline distT="0" distB="0" distL="0" distR="0" wp14:anchorId="4467DCD3" wp14:editId="163FB1AC">
                  <wp:extent cx="1502875" cy="3227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duotone>
                              <a:prstClr val="black"/>
                              <a:srgbClr val="FFCAB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537048" cy="330062"/>
                          </a:xfrm>
                          <a:prstGeom prst="rect">
                            <a:avLst/>
                          </a:prstGeom>
                          <a:noFill/>
                          <a:ln>
                            <a:noFill/>
                          </a:ln>
                        </pic:spPr>
                      </pic:pic>
                    </a:graphicData>
                  </a:graphic>
                </wp:inline>
              </w:drawing>
            </w:r>
            <w:r>
              <w:rPr>
                <w:szCs w:val="20"/>
              </w:rPr>
              <w:t xml:space="preserve"> and </w:t>
            </w:r>
            <w:r w:rsidRPr="003965A9">
              <w:rPr>
                <w:noProof/>
                <w:szCs w:val="20"/>
                <w:lang w:bidi="bn-BD"/>
              </w:rPr>
              <w:drawing>
                <wp:inline distT="0" distB="0" distL="0" distR="0" wp14:anchorId="1BBB7FB0" wp14:editId="248FD1D4">
                  <wp:extent cx="1385180" cy="3245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duotone>
                              <a:prstClr val="black"/>
                              <a:srgbClr val="FFCAB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648475" cy="386269"/>
                          </a:xfrm>
                          <a:prstGeom prst="rect">
                            <a:avLst/>
                          </a:prstGeom>
                          <a:noFill/>
                          <a:ln>
                            <a:noFill/>
                          </a:ln>
                        </pic:spPr>
                      </pic:pic>
                    </a:graphicData>
                  </a:graphic>
                </wp:inline>
              </w:drawing>
            </w:r>
          </w:p>
          <w:p w14:paraId="4816863C" w14:textId="77777777" w:rsidR="00406F3B" w:rsidRDefault="00406F3B" w:rsidP="00406F3B">
            <w:pPr>
              <w:jc w:val="both"/>
              <w:rPr>
                <w:szCs w:val="20"/>
              </w:rPr>
            </w:pPr>
            <w:proofErr w:type="gramStart"/>
            <w:r w:rsidRPr="0064695C">
              <w:rPr>
                <w:szCs w:val="20"/>
              </w:rPr>
              <w:t>where</w:t>
            </w:r>
            <w:proofErr w:type="gramEnd"/>
            <w:r w:rsidRPr="0064695C">
              <w:rPr>
                <w:szCs w:val="20"/>
              </w:rPr>
              <w:t xml:space="preserve"> </w:t>
            </w:r>
            <w:r w:rsidRPr="0064695C">
              <w:rPr>
                <w:rFonts w:ascii="Cambria Math" w:hAnsi="Cambria Math" w:cs="Cambria Math"/>
                <w:szCs w:val="20"/>
              </w:rPr>
              <w:t>𝑤𝑖</w:t>
            </w:r>
            <w:r w:rsidRPr="0064695C">
              <w:rPr>
                <w:szCs w:val="20"/>
              </w:rPr>
              <w:t xml:space="preserve"> are post-stratification weights that indicate the proportion of individual or households in the national population represented by each element in the sample.</w:t>
            </w:r>
            <w:r>
              <w:rPr>
                <w:szCs w:val="20"/>
              </w:rPr>
              <w:t xml:space="preserve"> </w:t>
            </w:r>
            <w:r w:rsidRPr="0064695C">
              <w:rPr>
                <w:szCs w:val="20"/>
              </w:rPr>
              <w:t xml:space="preserve">It is important to note that if </w:t>
            </w:r>
            <w:r w:rsidRPr="0064695C">
              <w:rPr>
                <w:rFonts w:ascii="Cambria Math" w:hAnsi="Cambria Math" w:cs="Cambria Math"/>
                <w:szCs w:val="20"/>
              </w:rPr>
              <w:t>𝑤𝑖</w:t>
            </w:r>
            <w:r w:rsidRPr="0064695C">
              <w:rPr>
                <w:szCs w:val="20"/>
              </w:rPr>
              <w:t xml:space="preserve"> are individual sampling weights, then the prevalence of food insecurity refers to the total population of individuals, while if they are household weights, the prevalence refers to the population of households. For the calculation of the indicator 2.1.2, objective is to produce a prevalence of individuals. </w:t>
            </w:r>
            <w:r w:rsidRPr="0064695C">
              <w:rPr>
                <w:szCs w:val="20"/>
              </w:rPr>
              <w:lastRenderedPageBreak/>
              <w:t>This implies that:</w:t>
            </w:r>
          </w:p>
          <w:p w14:paraId="23289419" w14:textId="77777777" w:rsidR="00406F3B" w:rsidRPr="00262FC1" w:rsidRDefault="00406F3B" w:rsidP="00406F3B">
            <w:pPr>
              <w:jc w:val="both"/>
              <w:rPr>
                <w:szCs w:val="20"/>
              </w:rPr>
            </w:pPr>
            <w:proofErr w:type="gramStart"/>
            <w:r w:rsidRPr="0064695C">
              <w:rPr>
                <w:szCs w:val="20"/>
              </w:rPr>
              <w:t>if</w:t>
            </w:r>
            <w:proofErr w:type="gramEnd"/>
            <w:r w:rsidRPr="0064695C">
              <w:rPr>
                <w:szCs w:val="20"/>
              </w:rPr>
              <w:t xml:space="preserve"> a survey is at household level, and provides household sampling weights, they should be transformed to individual sampling weights by multiplying the weights by the household size. This individual weighting system can then be used to calculate the individual prevalence rates in formulas (1) and (2)</w:t>
            </w:r>
          </w:p>
        </w:tc>
        <w:tc>
          <w:tcPr>
            <w:tcW w:w="0" w:type="auto"/>
            <w:shd w:val="clear" w:color="auto" w:fill="auto"/>
          </w:tcPr>
          <w:p w14:paraId="66C656ED" w14:textId="77777777" w:rsidR="00406F3B" w:rsidRDefault="00406F3B" w:rsidP="00406F3B">
            <w:pPr>
              <w:jc w:val="center"/>
              <w:rPr>
                <w:bCs/>
                <w:szCs w:val="20"/>
              </w:rPr>
            </w:pPr>
            <w:r>
              <w:rPr>
                <w:bCs/>
                <w:szCs w:val="20"/>
              </w:rPr>
              <w:lastRenderedPageBreak/>
              <w:t>Household based survey</w:t>
            </w:r>
          </w:p>
        </w:tc>
        <w:tc>
          <w:tcPr>
            <w:tcW w:w="0" w:type="auto"/>
            <w:shd w:val="clear" w:color="auto" w:fill="auto"/>
          </w:tcPr>
          <w:p w14:paraId="6201A5C0" w14:textId="77777777" w:rsidR="00406F3B" w:rsidRDefault="00406F3B" w:rsidP="00406F3B">
            <w:pPr>
              <w:jc w:val="center"/>
              <w:rPr>
                <w:bCs/>
                <w:szCs w:val="20"/>
              </w:rPr>
            </w:pPr>
            <w:r>
              <w:rPr>
                <w:bCs/>
                <w:szCs w:val="20"/>
              </w:rPr>
              <w:t>NSO</w:t>
            </w:r>
          </w:p>
        </w:tc>
        <w:tc>
          <w:tcPr>
            <w:tcW w:w="0" w:type="auto"/>
            <w:shd w:val="clear" w:color="auto" w:fill="auto"/>
          </w:tcPr>
          <w:p w14:paraId="7440A6EA" w14:textId="442296F9" w:rsidR="00406F3B" w:rsidRDefault="00406F3B" w:rsidP="00406F3B">
            <w:pPr>
              <w:jc w:val="center"/>
              <w:rPr>
                <w:bCs/>
                <w:szCs w:val="20"/>
              </w:rPr>
            </w:pPr>
          </w:p>
          <w:p w14:paraId="6F505BFC" w14:textId="77777777" w:rsidR="00406F3B" w:rsidRDefault="00406F3B" w:rsidP="00406F3B">
            <w:pPr>
              <w:jc w:val="center"/>
              <w:rPr>
                <w:bCs/>
                <w:szCs w:val="20"/>
              </w:rPr>
            </w:pPr>
            <w:r>
              <w:t>FAO</w:t>
            </w:r>
          </w:p>
        </w:tc>
        <w:tc>
          <w:tcPr>
            <w:tcW w:w="0" w:type="auto"/>
            <w:shd w:val="clear" w:color="auto" w:fill="auto"/>
          </w:tcPr>
          <w:p w14:paraId="23B0630D" w14:textId="7107ED83" w:rsidR="00406F3B" w:rsidRDefault="00406F3B" w:rsidP="00406F3B">
            <w:pPr>
              <w:jc w:val="both"/>
              <w:rPr>
                <w:bCs/>
                <w:szCs w:val="20"/>
              </w:rPr>
            </w:pPr>
          </w:p>
          <w:p w14:paraId="40D4AEE2" w14:textId="77777777" w:rsidR="00406F3B" w:rsidRPr="00701B09" w:rsidRDefault="00406F3B" w:rsidP="00406F3B">
            <w:pPr>
              <w:jc w:val="both"/>
              <w:rPr>
                <w:bCs/>
                <w:szCs w:val="20"/>
              </w:rPr>
            </w:pPr>
            <w:r>
              <w:rPr>
                <w:szCs w:val="20"/>
              </w:rPr>
              <w:t>(</w:t>
            </w:r>
            <w:r w:rsidRPr="00BC6F10">
              <w:rPr>
                <w:szCs w:val="20"/>
              </w:rPr>
              <w:t>FIES</w:t>
            </w:r>
            <w:r>
              <w:rPr>
                <w:szCs w:val="20"/>
              </w:rPr>
              <w:t>/ CPHS/ ASC ) SID, BBS</w:t>
            </w:r>
          </w:p>
        </w:tc>
        <w:tc>
          <w:tcPr>
            <w:tcW w:w="0" w:type="auto"/>
            <w:shd w:val="clear" w:color="auto" w:fill="auto"/>
          </w:tcPr>
          <w:p w14:paraId="3A45E0AE" w14:textId="180F7BDC" w:rsidR="00406F3B" w:rsidRDefault="00406F3B" w:rsidP="00406F3B">
            <w:pPr>
              <w:pStyle w:val="ListParagraph"/>
              <w:numPr>
                <w:ilvl w:val="0"/>
                <w:numId w:val="2"/>
              </w:numPr>
              <w:spacing w:line="240" w:lineRule="auto"/>
              <w:ind w:left="230" w:hanging="230"/>
              <w:jc w:val="both"/>
              <w:rPr>
                <w:rFonts w:ascii="Tw Cen MT Condensed" w:hAnsi="Tw Cen MT Condensed"/>
                <w:bCs/>
                <w:sz w:val="20"/>
                <w:szCs w:val="20"/>
              </w:rPr>
            </w:pPr>
            <w:r w:rsidRPr="00D66833">
              <w:rPr>
                <w:rFonts w:ascii="Tw Cen MT Condensed" w:hAnsi="Tw Cen MT Condensed"/>
                <w:bCs/>
                <w:sz w:val="20"/>
                <w:szCs w:val="20"/>
              </w:rPr>
              <w:t>Location</w:t>
            </w:r>
            <w:r w:rsidR="00970164">
              <w:rPr>
                <w:rFonts w:ascii="Tw Cen MT Condensed" w:hAnsi="Tw Cen MT Condensed"/>
                <w:bCs/>
                <w:sz w:val="20"/>
                <w:szCs w:val="20"/>
              </w:rPr>
              <w:t>: Urban/Rural</w:t>
            </w:r>
          </w:p>
          <w:p w14:paraId="25C93F1D" w14:textId="250F5D79" w:rsidR="00406F3B" w:rsidRDefault="00406F3B" w:rsidP="00406F3B">
            <w:pPr>
              <w:pStyle w:val="ListParagraph"/>
              <w:numPr>
                <w:ilvl w:val="0"/>
                <w:numId w:val="2"/>
              </w:numPr>
              <w:spacing w:line="240" w:lineRule="auto"/>
              <w:ind w:left="230" w:hanging="230"/>
              <w:jc w:val="both"/>
              <w:rPr>
                <w:rFonts w:ascii="Tw Cen MT Condensed" w:hAnsi="Tw Cen MT Condensed"/>
                <w:bCs/>
                <w:sz w:val="20"/>
                <w:szCs w:val="20"/>
              </w:rPr>
            </w:pPr>
            <w:r w:rsidRPr="00D66833">
              <w:rPr>
                <w:rFonts w:ascii="Tw Cen MT Condensed" w:hAnsi="Tw Cen MT Condensed"/>
                <w:bCs/>
                <w:sz w:val="20"/>
                <w:szCs w:val="20"/>
              </w:rPr>
              <w:t>household income</w:t>
            </w:r>
            <w:r w:rsidR="00970164">
              <w:rPr>
                <w:rFonts w:ascii="Tw Cen MT Condensed" w:hAnsi="Tw Cen MT Condensed"/>
                <w:bCs/>
                <w:sz w:val="20"/>
                <w:szCs w:val="20"/>
              </w:rPr>
              <w:t>: High/Medium/Low</w:t>
            </w:r>
          </w:p>
          <w:p w14:paraId="34871573" w14:textId="77777777" w:rsidR="00406F3B" w:rsidRDefault="00406F3B" w:rsidP="00406F3B">
            <w:pPr>
              <w:pStyle w:val="ListParagraph"/>
              <w:numPr>
                <w:ilvl w:val="0"/>
                <w:numId w:val="2"/>
              </w:numPr>
              <w:spacing w:line="240" w:lineRule="auto"/>
              <w:ind w:left="230" w:hanging="230"/>
              <w:jc w:val="both"/>
              <w:rPr>
                <w:rFonts w:ascii="Tw Cen MT Condensed" w:hAnsi="Tw Cen MT Condensed"/>
                <w:bCs/>
                <w:sz w:val="20"/>
                <w:szCs w:val="20"/>
              </w:rPr>
            </w:pPr>
            <w:proofErr w:type="gramStart"/>
            <w:r w:rsidRPr="00D66833">
              <w:rPr>
                <w:rFonts w:ascii="Tw Cen MT Condensed" w:hAnsi="Tw Cen MT Condensed"/>
                <w:bCs/>
                <w:sz w:val="20"/>
                <w:szCs w:val="20"/>
              </w:rPr>
              <w:lastRenderedPageBreak/>
              <w:t>composition</w:t>
            </w:r>
            <w:proofErr w:type="gramEnd"/>
            <w:r w:rsidRPr="00D66833">
              <w:rPr>
                <w:rFonts w:ascii="Tw Cen MT Condensed" w:hAnsi="Tw Cen MT Condensed"/>
                <w:bCs/>
                <w:sz w:val="20"/>
                <w:szCs w:val="20"/>
              </w:rPr>
              <w:t xml:space="preserve"> (including for example presence and number of small children, members with disabilities, elderly members, etc.)</w:t>
            </w:r>
          </w:p>
          <w:p w14:paraId="3D4EB56B" w14:textId="5981A76C" w:rsidR="00406F3B" w:rsidRDefault="00406F3B" w:rsidP="00406F3B">
            <w:pPr>
              <w:pStyle w:val="ListParagraph"/>
              <w:numPr>
                <w:ilvl w:val="0"/>
                <w:numId w:val="2"/>
              </w:numPr>
              <w:spacing w:line="240" w:lineRule="auto"/>
              <w:ind w:left="230" w:hanging="230"/>
              <w:jc w:val="both"/>
              <w:rPr>
                <w:rFonts w:ascii="Tw Cen MT Condensed" w:hAnsi="Tw Cen MT Condensed"/>
                <w:bCs/>
                <w:sz w:val="20"/>
                <w:szCs w:val="20"/>
              </w:rPr>
            </w:pPr>
            <w:r w:rsidRPr="00D66833">
              <w:rPr>
                <w:rFonts w:ascii="Tw Cen MT Condensed" w:hAnsi="Tw Cen MT Condensed"/>
                <w:bCs/>
                <w:sz w:val="20"/>
                <w:szCs w:val="20"/>
              </w:rPr>
              <w:t>sex</w:t>
            </w:r>
            <w:r w:rsidR="00970164">
              <w:rPr>
                <w:rFonts w:ascii="Tw Cen MT Condensed" w:hAnsi="Tw Cen MT Condensed"/>
                <w:bCs/>
                <w:sz w:val="20"/>
                <w:szCs w:val="20"/>
              </w:rPr>
              <w:t>: Male/Female</w:t>
            </w:r>
          </w:p>
          <w:p w14:paraId="1A013EF8" w14:textId="1DA338EF" w:rsidR="00690EEF" w:rsidRPr="00690EEF" w:rsidRDefault="00406F3B" w:rsidP="00690EEF">
            <w:pPr>
              <w:pStyle w:val="ListParagraph"/>
              <w:numPr>
                <w:ilvl w:val="0"/>
                <w:numId w:val="2"/>
              </w:numPr>
              <w:spacing w:line="240" w:lineRule="auto"/>
              <w:ind w:left="230" w:hanging="230"/>
              <w:jc w:val="both"/>
              <w:rPr>
                <w:rFonts w:ascii="Tw Cen MT Condensed" w:hAnsi="Tw Cen MT Condensed"/>
                <w:bCs/>
                <w:sz w:val="20"/>
                <w:szCs w:val="20"/>
              </w:rPr>
            </w:pPr>
            <w:r w:rsidRPr="00D66833">
              <w:rPr>
                <w:rFonts w:ascii="Tw Cen MT Condensed" w:hAnsi="Tw Cen MT Condensed"/>
                <w:bCs/>
                <w:sz w:val="20"/>
                <w:szCs w:val="20"/>
              </w:rPr>
              <w:t>age</w:t>
            </w:r>
            <w:r w:rsidR="00690EEF">
              <w:rPr>
                <w:rFonts w:ascii="Tw Cen MT Condensed" w:hAnsi="Tw Cen MT Condensed"/>
                <w:bCs/>
                <w:sz w:val="20"/>
                <w:szCs w:val="20"/>
              </w:rPr>
              <w:t>: 0-5 years/below 15 yrs/ 15 yrs and over</w:t>
            </w:r>
          </w:p>
          <w:p w14:paraId="3B03E9FB" w14:textId="77777777" w:rsidR="00892004" w:rsidRPr="000C4849" w:rsidRDefault="00406F3B" w:rsidP="00892004">
            <w:pPr>
              <w:pStyle w:val="ListParagraph"/>
              <w:numPr>
                <w:ilvl w:val="0"/>
                <w:numId w:val="48"/>
              </w:numPr>
              <w:spacing w:after="0" w:line="240" w:lineRule="auto"/>
              <w:ind w:left="160" w:hanging="160"/>
              <w:rPr>
                <w:rFonts w:ascii="Tw Cen MT Condensed" w:hAnsi="Tw Cen MT Condensed"/>
              </w:rPr>
            </w:pPr>
            <w:r w:rsidRPr="00D66833">
              <w:rPr>
                <w:rFonts w:ascii="Tw Cen MT Condensed" w:hAnsi="Tw Cen MT Condensed"/>
                <w:bCs/>
                <w:sz w:val="20"/>
                <w:szCs w:val="20"/>
              </w:rPr>
              <w:t>educ</w:t>
            </w:r>
            <w:r>
              <w:rPr>
                <w:rFonts w:ascii="Tw Cen MT Condensed" w:hAnsi="Tw Cen MT Condensed"/>
                <w:bCs/>
                <w:sz w:val="20"/>
                <w:szCs w:val="20"/>
              </w:rPr>
              <w:t>ation of the household head</w:t>
            </w:r>
          </w:p>
          <w:p w14:paraId="06EFF6AF" w14:textId="7C5EB61B" w:rsidR="00406F3B" w:rsidRPr="00701B09" w:rsidRDefault="00406F3B" w:rsidP="00892004">
            <w:pPr>
              <w:pStyle w:val="ListParagraph"/>
              <w:numPr>
                <w:ilvl w:val="0"/>
                <w:numId w:val="2"/>
              </w:numPr>
              <w:spacing w:line="240" w:lineRule="auto"/>
              <w:ind w:left="230" w:hanging="230"/>
              <w:jc w:val="both"/>
              <w:rPr>
                <w:rFonts w:ascii="Tw Cen MT Condensed" w:hAnsi="Tw Cen MT Condensed"/>
                <w:bCs/>
                <w:sz w:val="20"/>
                <w:szCs w:val="20"/>
              </w:rPr>
            </w:pPr>
          </w:p>
        </w:tc>
        <w:tc>
          <w:tcPr>
            <w:tcW w:w="0" w:type="auto"/>
            <w:shd w:val="clear" w:color="auto" w:fill="auto"/>
          </w:tcPr>
          <w:p w14:paraId="3ED73971" w14:textId="25E4D2F0" w:rsidR="00406F3B" w:rsidRPr="00701B09" w:rsidRDefault="005F24FB" w:rsidP="00406F3B">
            <w:pPr>
              <w:jc w:val="center"/>
              <w:rPr>
                <w:bCs/>
                <w:szCs w:val="20"/>
              </w:rPr>
            </w:pPr>
            <w:r>
              <w:rPr>
                <w:bCs/>
                <w:szCs w:val="20"/>
              </w:rPr>
              <w:lastRenderedPageBreak/>
              <w:t>Triennial</w:t>
            </w:r>
          </w:p>
        </w:tc>
        <w:tc>
          <w:tcPr>
            <w:tcW w:w="0" w:type="auto"/>
            <w:shd w:val="clear" w:color="auto" w:fill="auto"/>
          </w:tcPr>
          <w:p w14:paraId="61C381C9" w14:textId="77777777" w:rsidR="00406F3B" w:rsidRDefault="00406F3B" w:rsidP="00406F3B">
            <w:pPr>
              <w:jc w:val="center"/>
              <w:rPr>
                <w:bCs/>
                <w:szCs w:val="20"/>
              </w:rPr>
            </w:pPr>
            <w:r>
              <w:rPr>
                <w:bCs/>
                <w:szCs w:val="20"/>
              </w:rPr>
              <w:t>Group 3</w:t>
            </w:r>
          </w:p>
        </w:tc>
        <w:tc>
          <w:tcPr>
            <w:tcW w:w="0" w:type="auto"/>
            <w:shd w:val="clear" w:color="auto" w:fill="auto"/>
          </w:tcPr>
          <w:p w14:paraId="2456DEC7" w14:textId="77777777" w:rsidR="00406F3B" w:rsidRDefault="00406F3B" w:rsidP="00406F3B">
            <w:pPr>
              <w:pStyle w:val="NoSpacing"/>
            </w:pPr>
            <w:r>
              <w:t>1</w:t>
            </w:r>
            <w:r w:rsidRPr="00013ACB">
              <w:rPr>
                <w:vertAlign w:val="superscript"/>
              </w:rPr>
              <w:t>st</w:t>
            </w:r>
            <w:r>
              <w:t xml:space="preserve"> Round: </w:t>
            </w:r>
          </w:p>
          <w:p w14:paraId="33AD3B34" w14:textId="77777777" w:rsidR="00406F3B" w:rsidRDefault="00406F3B" w:rsidP="00406F3B">
            <w:pPr>
              <w:pStyle w:val="NoSpacing"/>
            </w:pPr>
            <w:r>
              <w:t>2014</w:t>
            </w:r>
          </w:p>
          <w:p w14:paraId="17C51B9A" w14:textId="77777777" w:rsidR="00406F3B" w:rsidRDefault="00406F3B" w:rsidP="00406F3B">
            <w:pPr>
              <w:pStyle w:val="NoSpacing"/>
            </w:pPr>
          </w:p>
          <w:p w14:paraId="7FC09106" w14:textId="77777777" w:rsidR="00406F3B" w:rsidRDefault="00406F3B" w:rsidP="00406F3B">
            <w:pPr>
              <w:pStyle w:val="NoSpacing"/>
            </w:pPr>
            <w:r>
              <w:t>2</w:t>
            </w:r>
            <w:r w:rsidRPr="00013ACB">
              <w:rPr>
                <w:vertAlign w:val="superscript"/>
              </w:rPr>
              <w:t>nd</w:t>
            </w:r>
            <w:r>
              <w:t xml:space="preserve"> Round: </w:t>
            </w:r>
          </w:p>
          <w:p w14:paraId="19888838" w14:textId="77777777" w:rsidR="00406F3B" w:rsidRDefault="00406F3B" w:rsidP="00406F3B">
            <w:pPr>
              <w:pStyle w:val="NoSpacing"/>
            </w:pPr>
            <w:r>
              <w:t>July 2020</w:t>
            </w:r>
          </w:p>
          <w:p w14:paraId="25DE9BB2" w14:textId="77777777" w:rsidR="00406F3B" w:rsidRDefault="00406F3B" w:rsidP="00406F3B">
            <w:pPr>
              <w:pStyle w:val="NoSpacing"/>
            </w:pPr>
          </w:p>
          <w:p w14:paraId="6807BCD9" w14:textId="77777777" w:rsidR="00406F3B" w:rsidRDefault="00406F3B" w:rsidP="00406F3B">
            <w:pPr>
              <w:pStyle w:val="NoSpacing"/>
            </w:pPr>
            <w:r>
              <w:t>3</w:t>
            </w:r>
            <w:r w:rsidRPr="00013ACB">
              <w:rPr>
                <w:vertAlign w:val="superscript"/>
              </w:rPr>
              <w:t>rd</w:t>
            </w:r>
            <w:r>
              <w:t xml:space="preserve"> Round: </w:t>
            </w:r>
          </w:p>
          <w:p w14:paraId="0BE4D216" w14:textId="77777777" w:rsidR="00406F3B" w:rsidRDefault="00406F3B" w:rsidP="00406F3B">
            <w:pPr>
              <w:pStyle w:val="NoSpacing"/>
            </w:pPr>
            <w:r>
              <w:t>July 2023</w:t>
            </w:r>
          </w:p>
          <w:p w14:paraId="645C5621" w14:textId="77777777" w:rsidR="00406F3B" w:rsidRDefault="00406F3B" w:rsidP="00406F3B">
            <w:pPr>
              <w:pStyle w:val="NoSpacing"/>
            </w:pPr>
          </w:p>
          <w:p w14:paraId="45611C69" w14:textId="77777777" w:rsidR="00406F3B" w:rsidRDefault="00406F3B" w:rsidP="00406F3B">
            <w:pPr>
              <w:pStyle w:val="NoSpacing"/>
            </w:pPr>
            <w:r>
              <w:t>4</w:t>
            </w:r>
            <w:r w:rsidRPr="00013ACB">
              <w:rPr>
                <w:vertAlign w:val="superscript"/>
              </w:rPr>
              <w:t>th</w:t>
            </w:r>
            <w:r>
              <w:t xml:space="preserve"> Round: </w:t>
            </w:r>
          </w:p>
          <w:p w14:paraId="398BBB9E" w14:textId="77777777" w:rsidR="00406F3B" w:rsidRDefault="00406F3B" w:rsidP="00406F3B">
            <w:pPr>
              <w:pStyle w:val="NoSpacing"/>
            </w:pPr>
            <w:r>
              <w:t>July 2026</w:t>
            </w:r>
          </w:p>
          <w:p w14:paraId="40A95D36" w14:textId="77777777" w:rsidR="00406F3B" w:rsidRDefault="00406F3B" w:rsidP="00406F3B">
            <w:pPr>
              <w:pStyle w:val="NoSpacing"/>
            </w:pPr>
          </w:p>
          <w:p w14:paraId="3C69BF07" w14:textId="77777777" w:rsidR="00406F3B" w:rsidRDefault="00406F3B" w:rsidP="00406F3B">
            <w:pPr>
              <w:pStyle w:val="NoSpacing"/>
            </w:pPr>
            <w:r>
              <w:t>5</w:t>
            </w:r>
            <w:r w:rsidRPr="00013ACB">
              <w:rPr>
                <w:vertAlign w:val="superscript"/>
              </w:rPr>
              <w:t>th</w:t>
            </w:r>
            <w:r>
              <w:t xml:space="preserve"> Round: </w:t>
            </w:r>
          </w:p>
          <w:p w14:paraId="3FD2444A" w14:textId="77777777" w:rsidR="00406F3B" w:rsidRDefault="00406F3B" w:rsidP="00406F3B">
            <w:pPr>
              <w:pStyle w:val="NoSpacing"/>
            </w:pPr>
            <w:r>
              <w:t>July 2029</w:t>
            </w:r>
          </w:p>
          <w:p w14:paraId="00928F12" w14:textId="79B57C61" w:rsidR="00406F3B" w:rsidRDefault="00406F3B" w:rsidP="00406F3B">
            <w:pPr>
              <w:pStyle w:val="NoSpacing"/>
              <w:rPr>
                <w:bCs/>
                <w:szCs w:val="20"/>
              </w:rPr>
            </w:pPr>
          </w:p>
        </w:tc>
        <w:tc>
          <w:tcPr>
            <w:tcW w:w="0" w:type="auto"/>
            <w:shd w:val="clear" w:color="auto" w:fill="auto"/>
          </w:tcPr>
          <w:p w14:paraId="11876442" w14:textId="77777777" w:rsidR="00406F3B" w:rsidRDefault="00406F3B" w:rsidP="00406F3B">
            <w:pPr>
              <w:jc w:val="both"/>
              <w:rPr>
                <w:bCs/>
                <w:szCs w:val="20"/>
              </w:rPr>
            </w:pPr>
            <w:r>
              <w:rPr>
                <w:bCs/>
                <w:szCs w:val="20"/>
              </w:rPr>
              <w:lastRenderedPageBreak/>
              <w:t>BBS should conduct CMNS Survey asap.</w:t>
            </w:r>
          </w:p>
        </w:tc>
      </w:tr>
      <w:tr w:rsidR="00406F3B" w14:paraId="689B4687" w14:textId="77777777" w:rsidTr="0085651F">
        <w:tc>
          <w:tcPr>
            <w:tcW w:w="0" w:type="auto"/>
            <w:shd w:val="clear" w:color="auto" w:fill="auto"/>
          </w:tcPr>
          <w:p w14:paraId="210F7C1E" w14:textId="3CD97720" w:rsidR="00406F3B" w:rsidRPr="00D66833" w:rsidRDefault="00406F3B" w:rsidP="00406F3B">
            <w:pPr>
              <w:ind w:left="970" w:hanging="970"/>
              <w:jc w:val="both"/>
              <w:rPr>
                <w:color w:val="996600"/>
                <w:sz w:val="30"/>
                <w:szCs w:val="30"/>
              </w:rPr>
            </w:pPr>
          </w:p>
        </w:tc>
        <w:tc>
          <w:tcPr>
            <w:tcW w:w="0" w:type="auto"/>
            <w:gridSpan w:val="13"/>
            <w:shd w:val="clear" w:color="auto" w:fill="auto"/>
          </w:tcPr>
          <w:p w14:paraId="6A19533D" w14:textId="77777777" w:rsidR="00406F3B" w:rsidRPr="00D66833" w:rsidRDefault="00406F3B" w:rsidP="00406F3B">
            <w:pPr>
              <w:ind w:left="970" w:hanging="970"/>
              <w:jc w:val="both"/>
              <w:rPr>
                <w:color w:val="996600"/>
                <w:sz w:val="30"/>
                <w:szCs w:val="30"/>
              </w:rPr>
            </w:pPr>
            <w:r w:rsidRPr="00D66833">
              <w:rPr>
                <w:color w:val="996600"/>
                <w:sz w:val="30"/>
                <w:szCs w:val="30"/>
              </w:rPr>
              <w:t>Target 2.2 By 2030, end all forms of malnutrition, including achieving, by 2025, the internationally agreed targets on stunting and wasting in children under 5 years of age, and address the nutritional needs of adolescent girls, pregnant and lactating women and older persons</w:t>
            </w:r>
          </w:p>
        </w:tc>
      </w:tr>
      <w:tr w:rsidR="0098022F" w14:paraId="31B74195" w14:textId="77777777" w:rsidTr="0085651F">
        <w:tc>
          <w:tcPr>
            <w:tcW w:w="0" w:type="auto"/>
            <w:gridSpan w:val="2"/>
            <w:shd w:val="clear" w:color="auto" w:fill="auto"/>
          </w:tcPr>
          <w:p w14:paraId="27ED98D6" w14:textId="77777777" w:rsidR="00406F3B" w:rsidRPr="003965A9" w:rsidRDefault="00406F3B" w:rsidP="00406F3B">
            <w:pPr>
              <w:jc w:val="both"/>
              <w:rPr>
                <w:szCs w:val="20"/>
              </w:rPr>
            </w:pPr>
            <w:r w:rsidRPr="00D66833">
              <w:rPr>
                <w:szCs w:val="20"/>
              </w:rPr>
              <w:t>2.2.1 Prevalence of stunting (height for age &lt;-2 standard deviation from the median of the World Health Organization (WHO) Child Growth Standards) among children under 5 years of age</w:t>
            </w:r>
          </w:p>
        </w:tc>
        <w:tc>
          <w:tcPr>
            <w:tcW w:w="0" w:type="auto"/>
            <w:shd w:val="clear" w:color="auto" w:fill="auto"/>
          </w:tcPr>
          <w:p w14:paraId="610D23E1" w14:textId="77777777" w:rsidR="00406F3B" w:rsidRPr="00262FC1" w:rsidRDefault="00406F3B" w:rsidP="00406F3B">
            <w:pPr>
              <w:pStyle w:val="Default"/>
              <w:jc w:val="center"/>
              <w:rPr>
                <w:rFonts w:ascii="Tw Cen MT Condensed" w:hAnsi="Tw Cen MT Condensed" w:cs="Shonar Bangla"/>
                <w:szCs w:val="20"/>
              </w:rPr>
            </w:pPr>
            <w:r>
              <w:rPr>
                <w:rFonts w:ascii="Tw Cen MT Condensed" w:hAnsi="Tw Cen MT Condensed" w:cs="Shonar Bangla"/>
                <w:szCs w:val="20"/>
              </w:rPr>
              <w:t>UNICEF, WHO, WB</w:t>
            </w:r>
          </w:p>
        </w:tc>
        <w:tc>
          <w:tcPr>
            <w:tcW w:w="0" w:type="auto"/>
            <w:shd w:val="clear" w:color="auto" w:fill="auto"/>
          </w:tcPr>
          <w:p w14:paraId="50265C48" w14:textId="77777777" w:rsidR="00406F3B" w:rsidRPr="00262FC1" w:rsidRDefault="00406F3B" w:rsidP="00406F3B">
            <w:pPr>
              <w:jc w:val="center"/>
              <w:rPr>
                <w:szCs w:val="20"/>
              </w:rPr>
            </w:pPr>
            <w:r>
              <w:rPr>
                <w:szCs w:val="20"/>
              </w:rPr>
              <w:t>Tier I</w:t>
            </w:r>
          </w:p>
        </w:tc>
        <w:tc>
          <w:tcPr>
            <w:tcW w:w="0" w:type="auto"/>
            <w:shd w:val="clear" w:color="auto" w:fill="auto"/>
          </w:tcPr>
          <w:p w14:paraId="6AAF256C" w14:textId="77777777" w:rsidR="00406F3B" w:rsidRPr="00D66833" w:rsidRDefault="00406F3B" w:rsidP="00406F3B">
            <w:pPr>
              <w:pStyle w:val="Default"/>
              <w:rPr>
                <w:rFonts w:ascii="Tw Cen MT Condensed" w:hAnsi="Tw Cen MT Condensed"/>
                <w:b/>
                <w:bCs/>
                <w:szCs w:val="20"/>
              </w:rPr>
            </w:pPr>
            <w:r w:rsidRPr="00D66833">
              <w:rPr>
                <w:rFonts w:ascii="Tw Cen MT Condensed" w:hAnsi="Tw Cen MT Condensed"/>
                <w:b/>
                <w:bCs/>
                <w:szCs w:val="20"/>
              </w:rPr>
              <w:t xml:space="preserve">Definition: </w:t>
            </w:r>
          </w:p>
          <w:p w14:paraId="5C3B9652" w14:textId="77777777" w:rsidR="00406F3B" w:rsidRDefault="00406F3B" w:rsidP="00406F3B">
            <w:pPr>
              <w:pStyle w:val="Default"/>
              <w:jc w:val="both"/>
              <w:rPr>
                <w:rFonts w:ascii="Tw Cen MT Condensed" w:hAnsi="Tw Cen MT Condensed"/>
                <w:szCs w:val="20"/>
              </w:rPr>
            </w:pPr>
            <w:r w:rsidRPr="00262FC1">
              <w:rPr>
                <w:rFonts w:ascii="Tw Cen MT Condensed" w:hAnsi="Tw Cen MT Condensed"/>
                <w:szCs w:val="20"/>
              </w:rPr>
              <w:t>Prevalence of stunting (height-for-age &lt;-2 standard deviation from the median of the World Health Organization (WHO) Child Growth Standards) among children under 5 years of age.</w:t>
            </w:r>
          </w:p>
          <w:p w14:paraId="7502ABD1" w14:textId="77777777" w:rsidR="00406F3B" w:rsidRDefault="00406F3B" w:rsidP="00406F3B">
            <w:pPr>
              <w:pStyle w:val="Default"/>
              <w:rPr>
                <w:rFonts w:ascii="Tw Cen MT Condensed" w:hAnsi="Tw Cen MT Condensed"/>
                <w:szCs w:val="20"/>
              </w:rPr>
            </w:pPr>
          </w:p>
          <w:p w14:paraId="02865D93" w14:textId="77777777" w:rsidR="00406F3B" w:rsidRPr="000C4849" w:rsidRDefault="00406F3B" w:rsidP="00406F3B">
            <w:pPr>
              <w:pStyle w:val="Default"/>
              <w:rPr>
                <w:rFonts w:ascii="Tw Cen MT Condensed" w:hAnsi="Tw Cen MT Condensed"/>
                <w:b/>
                <w:szCs w:val="20"/>
              </w:rPr>
            </w:pPr>
            <w:r w:rsidRPr="000C4849">
              <w:rPr>
                <w:rFonts w:ascii="Tw Cen MT Condensed" w:hAnsi="Tw Cen MT Condensed"/>
                <w:b/>
                <w:szCs w:val="20"/>
              </w:rPr>
              <w:t>Rationale:</w:t>
            </w:r>
          </w:p>
          <w:p w14:paraId="77C09290" w14:textId="77777777" w:rsidR="00406F3B" w:rsidRDefault="00406F3B" w:rsidP="000C4849">
            <w:pPr>
              <w:pStyle w:val="Default"/>
              <w:jc w:val="both"/>
              <w:rPr>
                <w:rFonts w:ascii="Tw Cen MT Condensed" w:hAnsi="Tw Cen MT Condensed"/>
                <w:szCs w:val="20"/>
              </w:rPr>
            </w:pPr>
            <w:r w:rsidRPr="00D4653E">
              <w:rPr>
                <w:rFonts w:ascii="Tw Cen MT Condensed" w:hAnsi="Tw Cen MT Condensed"/>
                <w:szCs w:val="20"/>
              </w:rPr>
              <w:t>Child growth is an internationally accepted outcome reflecting child nutritional status. Child stunting refers to a child who is too short for his or her age and is the result of chronic or recurrent malnutrition. Stunting is a contributing risk factor to child mortality and is also a marker of inequalities in human development. Stunted children fail to reach their physical and cognitive potential. Child stunting is one of the World Health Assembly nutrition target indicators.</w:t>
            </w:r>
          </w:p>
          <w:p w14:paraId="31C38711" w14:textId="77777777" w:rsidR="00406F3B" w:rsidRDefault="00406F3B" w:rsidP="00406F3B">
            <w:pPr>
              <w:pStyle w:val="Default"/>
              <w:rPr>
                <w:rFonts w:ascii="Tw Cen MT Condensed" w:hAnsi="Tw Cen MT Condensed"/>
                <w:szCs w:val="20"/>
              </w:rPr>
            </w:pPr>
          </w:p>
          <w:p w14:paraId="35215F2F" w14:textId="77777777" w:rsidR="00406F3B" w:rsidRPr="00D66833" w:rsidRDefault="00406F3B" w:rsidP="00406F3B">
            <w:pPr>
              <w:pStyle w:val="Default"/>
              <w:rPr>
                <w:rFonts w:ascii="Tw Cen MT Condensed" w:hAnsi="Tw Cen MT Condensed"/>
                <w:b/>
                <w:bCs/>
                <w:szCs w:val="20"/>
              </w:rPr>
            </w:pPr>
            <w:r w:rsidRPr="00D66833">
              <w:rPr>
                <w:rFonts w:ascii="Tw Cen MT Condensed" w:hAnsi="Tw Cen MT Condensed"/>
                <w:b/>
                <w:bCs/>
                <w:szCs w:val="20"/>
              </w:rPr>
              <w:t xml:space="preserve">Computation Method: </w:t>
            </w:r>
          </w:p>
          <w:p w14:paraId="5C4D56E7" w14:textId="77777777" w:rsidR="00406F3B" w:rsidRDefault="00406F3B" w:rsidP="00406F3B">
            <w:pPr>
              <w:pStyle w:val="Default"/>
              <w:jc w:val="both"/>
              <w:rPr>
                <w:rFonts w:ascii="Tw Cen MT Condensed" w:hAnsi="Tw Cen MT Condensed" w:cs="Shonar Bangla"/>
                <w:b/>
                <w:szCs w:val="20"/>
              </w:rPr>
            </w:pPr>
            <w:r w:rsidRPr="00262FC1">
              <w:rPr>
                <w:rFonts w:ascii="Tw Cen MT Condensed" w:hAnsi="Tw Cen MT Condensed"/>
                <w:szCs w:val="20"/>
              </w:rPr>
              <w:t>Survey estimates are based on standardized methodology using the WHO Child Growth Standards as described elsewhere (Ref: Anthro software manual). Global and regional estimates are based on methodology outlined in UNICEF-WHO-The World Bank: Joint child malnutrition estimates - Levels and trends (UNICEF/WHO/WB 2012 )</w:t>
            </w:r>
          </w:p>
        </w:tc>
        <w:tc>
          <w:tcPr>
            <w:tcW w:w="0" w:type="auto"/>
            <w:shd w:val="clear" w:color="auto" w:fill="auto"/>
          </w:tcPr>
          <w:p w14:paraId="1E0BCB0A" w14:textId="77777777" w:rsidR="00406F3B" w:rsidRDefault="00406F3B" w:rsidP="00406F3B">
            <w:pPr>
              <w:jc w:val="center"/>
              <w:rPr>
                <w:bCs/>
                <w:szCs w:val="20"/>
              </w:rPr>
            </w:pPr>
            <w:r>
              <w:rPr>
                <w:bCs/>
                <w:szCs w:val="20"/>
              </w:rPr>
              <w:t>Household Survey</w:t>
            </w:r>
          </w:p>
        </w:tc>
        <w:tc>
          <w:tcPr>
            <w:tcW w:w="0" w:type="auto"/>
            <w:shd w:val="clear" w:color="auto" w:fill="auto"/>
          </w:tcPr>
          <w:p w14:paraId="4579006B" w14:textId="77777777" w:rsidR="00406F3B" w:rsidRDefault="00406F3B" w:rsidP="00406F3B">
            <w:pPr>
              <w:jc w:val="center"/>
              <w:rPr>
                <w:bCs/>
                <w:szCs w:val="20"/>
              </w:rPr>
            </w:pPr>
            <w:r>
              <w:rPr>
                <w:bCs/>
                <w:szCs w:val="20"/>
              </w:rPr>
              <w:t>NSO</w:t>
            </w:r>
          </w:p>
        </w:tc>
        <w:tc>
          <w:tcPr>
            <w:tcW w:w="0" w:type="auto"/>
            <w:shd w:val="clear" w:color="auto" w:fill="auto"/>
          </w:tcPr>
          <w:p w14:paraId="01B3ACE1" w14:textId="77777777" w:rsidR="00406F3B" w:rsidRPr="005F24FB" w:rsidRDefault="00406F3B" w:rsidP="00406F3B">
            <w:pPr>
              <w:rPr>
                <w:bCs/>
                <w:color w:val="auto"/>
                <w:szCs w:val="20"/>
              </w:rPr>
            </w:pPr>
            <w:r w:rsidRPr="005F24FB">
              <w:rPr>
                <w:rFonts w:eastAsia="Times New Roman" w:cs="Times New Roman"/>
                <w:color w:val="auto"/>
                <w:szCs w:val="20"/>
              </w:rPr>
              <w:t>MICS, BBS</w:t>
            </w:r>
          </w:p>
        </w:tc>
        <w:tc>
          <w:tcPr>
            <w:tcW w:w="0" w:type="auto"/>
            <w:shd w:val="clear" w:color="auto" w:fill="auto"/>
          </w:tcPr>
          <w:p w14:paraId="64FBEB09" w14:textId="77777777" w:rsidR="00406F3B" w:rsidRPr="00D66833" w:rsidRDefault="00406F3B" w:rsidP="00406F3B">
            <w:pPr>
              <w:jc w:val="both"/>
              <w:rPr>
                <w:bCs/>
                <w:szCs w:val="20"/>
              </w:rPr>
            </w:pPr>
            <w:r w:rsidRPr="00D66833">
              <w:rPr>
                <w:bCs/>
                <w:szCs w:val="20"/>
              </w:rPr>
              <w:t>a) MICS, BBS</w:t>
            </w:r>
          </w:p>
          <w:p w14:paraId="2660E17C" w14:textId="281B7125" w:rsidR="00406F3B" w:rsidRPr="00D66833" w:rsidRDefault="00406F3B" w:rsidP="00406F3B">
            <w:pPr>
              <w:jc w:val="both"/>
              <w:rPr>
                <w:bCs/>
                <w:szCs w:val="20"/>
              </w:rPr>
            </w:pPr>
          </w:p>
        </w:tc>
        <w:tc>
          <w:tcPr>
            <w:tcW w:w="0" w:type="auto"/>
            <w:shd w:val="clear" w:color="auto" w:fill="auto"/>
          </w:tcPr>
          <w:p w14:paraId="6DB72A4F" w14:textId="19CBF9B6" w:rsidR="00406F3B" w:rsidRDefault="00406F3B" w:rsidP="00406F3B">
            <w:pPr>
              <w:pStyle w:val="ListParagraph"/>
              <w:numPr>
                <w:ilvl w:val="0"/>
                <w:numId w:val="2"/>
              </w:numPr>
              <w:spacing w:line="240" w:lineRule="auto"/>
              <w:jc w:val="both"/>
              <w:rPr>
                <w:rFonts w:ascii="Tw Cen MT Condensed" w:hAnsi="Tw Cen MT Condensed"/>
                <w:bCs/>
                <w:sz w:val="20"/>
                <w:szCs w:val="20"/>
              </w:rPr>
            </w:pPr>
            <w:r w:rsidRPr="00D66833">
              <w:rPr>
                <w:rFonts w:ascii="Tw Cen MT Condensed" w:hAnsi="Tw Cen MT Condensed"/>
                <w:bCs/>
                <w:sz w:val="20"/>
                <w:szCs w:val="20"/>
              </w:rPr>
              <w:t>Sex</w:t>
            </w:r>
            <w:r w:rsidR="00690EEF">
              <w:rPr>
                <w:rFonts w:ascii="Tw Cen MT Condensed" w:hAnsi="Tw Cen MT Condensed"/>
                <w:bCs/>
                <w:sz w:val="20"/>
                <w:szCs w:val="20"/>
              </w:rPr>
              <w:t>:Male/female</w:t>
            </w:r>
          </w:p>
          <w:p w14:paraId="26DF17DB" w14:textId="413784E2" w:rsidR="00406F3B" w:rsidRDefault="00406F3B" w:rsidP="00406F3B">
            <w:pPr>
              <w:pStyle w:val="ListParagraph"/>
              <w:numPr>
                <w:ilvl w:val="0"/>
                <w:numId w:val="2"/>
              </w:numPr>
              <w:spacing w:line="240" w:lineRule="auto"/>
              <w:jc w:val="both"/>
              <w:rPr>
                <w:rFonts w:ascii="Tw Cen MT Condensed" w:hAnsi="Tw Cen MT Condensed"/>
                <w:bCs/>
                <w:sz w:val="20"/>
                <w:szCs w:val="20"/>
              </w:rPr>
            </w:pPr>
            <w:r w:rsidRPr="00D66833">
              <w:rPr>
                <w:rFonts w:ascii="Tw Cen MT Condensed" w:hAnsi="Tw Cen MT Condensed"/>
                <w:bCs/>
                <w:sz w:val="20"/>
                <w:szCs w:val="20"/>
              </w:rPr>
              <w:t>Age groups</w:t>
            </w:r>
            <w:r w:rsidR="00690EEF">
              <w:rPr>
                <w:rFonts w:ascii="Tw Cen MT Condensed" w:hAnsi="Tw Cen MT Condensed"/>
                <w:bCs/>
                <w:sz w:val="20"/>
                <w:szCs w:val="20"/>
              </w:rPr>
              <w:t>: 0-12 months/0-24 months/0-59 months/24-59 months</w:t>
            </w:r>
          </w:p>
          <w:p w14:paraId="57A2E979" w14:textId="193CA8BB" w:rsidR="00406F3B" w:rsidRDefault="00406F3B" w:rsidP="00406F3B">
            <w:pPr>
              <w:pStyle w:val="ListParagraph"/>
              <w:numPr>
                <w:ilvl w:val="0"/>
                <w:numId w:val="2"/>
              </w:numPr>
              <w:spacing w:line="240" w:lineRule="auto"/>
              <w:jc w:val="both"/>
              <w:rPr>
                <w:rFonts w:ascii="Tw Cen MT Condensed" w:hAnsi="Tw Cen MT Condensed"/>
                <w:bCs/>
                <w:sz w:val="20"/>
                <w:szCs w:val="20"/>
              </w:rPr>
            </w:pPr>
            <w:r w:rsidRPr="00D66833">
              <w:rPr>
                <w:rFonts w:ascii="Tw Cen MT Condensed" w:hAnsi="Tw Cen MT Condensed"/>
                <w:bCs/>
                <w:sz w:val="20"/>
                <w:szCs w:val="20"/>
              </w:rPr>
              <w:t>Wealth</w:t>
            </w:r>
            <w:r w:rsidR="00690EEF">
              <w:rPr>
                <w:rFonts w:ascii="Tw Cen MT Condensed" w:hAnsi="Tw Cen MT Condensed"/>
                <w:bCs/>
                <w:sz w:val="20"/>
                <w:szCs w:val="20"/>
              </w:rPr>
              <w:t xml:space="preserve"> quantile</w:t>
            </w:r>
          </w:p>
          <w:p w14:paraId="1FE3BAA6" w14:textId="4721C8D4" w:rsidR="00406F3B" w:rsidRDefault="00406F3B" w:rsidP="00406F3B">
            <w:pPr>
              <w:pStyle w:val="ListParagraph"/>
              <w:numPr>
                <w:ilvl w:val="0"/>
                <w:numId w:val="2"/>
              </w:numPr>
              <w:spacing w:line="240" w:lineRule="auto"/>
              <w:jc w:val="both"/>
              <w:rPr>
                <w:rFonts w:ascii="Tw Cen MT Condensed" w:hAnsi="Tw Cen MT Condensed"/>
                <w:bCs/>
                <w:sz w:val="20"/>
                <w:szCs w:val="20"/>
              </w:rPr>
            </w:pPr>
            <w:r w:rsidRPr="00D66833">
              <w:rPr>
                <w:rFonts w:ascii="Tw Cen MT Condensed" w:hAnsi="Tw Cen MT Condensed"/>
                <w:bCs/>
                <w:sz w:val="20"/>
                <w:szCs w:val="20"/>
              </w:rPr>
              <w:t>Mothers</w:t>
            </w:r>
            <w:r>
              <w:rPr>
                <w:rFonts w:ascii="Tw Cen MT Condensed" w:hAnsi="Tw Cen MT Condensed"/>
                <w:bCs/>
                <w:sz w:val="20"/>
                <w:szCs w:val="20"/>
              </w:rPr>
              <w:t>’</w:t>
            </w:r>
            <w:r w:rsidRPr="00D66833">
              <w:rPr>
                <w:rFonts w:ascii="Tw Cen MT Condensed" w:hAnsi="Tw Cen MT Condensed"/>
                <w:bCs/>
                <w:sz w:val="20"/>
                <w:szCs w:val="20"/>
              </w:rPr>
              <w:t xml:space="preserve"> education</w:t>
            </w:r>
            <w:r w:rsidR="00690EEF">
              <w:rPr>
                <w:rFonts w:ascii="Tw Cen MT Condensed" w:hAnsi="Tw Cen MT Condensed"/>
                <w:bCs/>
                <w:sz w:val="20"/>
                <w:szCs w:val="20"/>
              </w:rPr>
              <w:t>: illiterate/primary/higher</w:t>
            </w:r>
          </w:p>
          <w:p w14:paraId="7E7C3729" w14:textId="09F1B86B" w:rsidR="00406F3B" w:rsidRPr="00D66833" w:rsidRDefault="00406F3B" w:rsidP="00406F3B">
            <w:pPr>
              <w:pStyle w:val="ListParagraph"/>
              <w:numPr>
                <w:ilvl w:val="0"/>
                <w:numId w:val="2"/>
              </w:numPr>
              <w:spacing w:line="240" w:lineRule="auto"/>
              <w:jc w:val="both"/>
              <w:rPr>
                <w:rFonts w:ascii="Tw Cen MT Condensed" w:hAnsi="Tw Cen MT Condensed"/>
                <w:bCs/>
                <w:sz w:val="20"/>
                <w:szCs w:val="20"/>
              </w:rPr>
            </w:pPr>
            <w:r w:rsidRPr="00D66833">
              <w:rPr>
                <w:rFonts w:ascii="Tw Cen MT Condensed" w:hAnsi="Tw Cen MT Condensed"/>
                <w:bCs/>
                <w:sz w:val="20"/>
                <w:szCs w:val="20"/>
              </w:rPr>
              <w:t>Residence</w:t>
            </w:r>
            <w:r w:rsidR="00690EEF">
              <w:rPr>
                <w:rFonts w:ascii="Tw Cen MT Condensed" w:hAnsi="Tw Cen MT Condensed"/>
                <w:bCs/>
                <w:sz w:val="20"/>
                <w:szCs w:val="20"/>
              </w:rPr>
              <w:t>: urban/rural</w:t>
            </w:r>
          </w:p>
        </w:tc>
        <w:tc>
          <w:tcPr>
            <w:tcW w:w="0" w:type="auto"/>
            <w:shd w:val="clear" w:color="auto" w:fill="auto"/>
          </w:tcPr>
          <w:p w14:paraId="7E5D1D52" w14:textId="04E4DDE6" w:rsidR="00406F3B" w:rsidRDefault="005F24FB" w:rsidP="00406F3B">
            <w:pPr>
              <w:jc w:val="center"/>
              <w:rPr>
                <w:bCs/>
                <w:szCs w:val="20"/>
              </w:rPr>
            </w:pPr>
            <w:r>
              <w:rPr>
                <w:bCs/>
                <w:szCs w:val="20"/>
              </w:rPr>
              <w:t>Triennial</w:t>
            </w:r>
          </w:p>
        </w:tc>
        <w:tc>
          <w:tcPr>
            <w:tcW w:w="0" w:type="auto"/>
            <w:shd w:val="clear" w:color="auto" w:fill="auto"/>
          </w:tcPr>
          <w:p w14:paraId="553AD5B0" w14:textId="77777777" w:rsidR="00406F3B" w:rsidRDefault="00406F3B" w:rsidP="00406F3B">
            <w:pPr>
              <w:jc w:val="center"/>
              <w:rPr>
                <w:bCs/>
                <w:szCs w:val="20"/>
              </w:rPr>
            </w:pPr>
            <w:r>
              <w:rPr>
                <w:bCs/>
                <w:szCs w:val="20"/>
              </w:rPr>
              <w:t>Group 1</w:t>
            </w:r>
          </w:p>
        </w:tc>
        <w:tc>
          <w:tcPr>
            <w:tcW w:w="0" w:type="auto"/>
            <w:shd w:val="clear" w:color="auto" w:fill="auto"/>
          </w:tcPr>
          <w:p w14:paraId="4D24A75D" w14:textId="77777777" w:rsidR="00406F3B" w:rsidRDefault="00406F3B" w:rsidP="00406F3B">
            <w:pPr>
              <w:pStyle w:val="NoSpacing"/>
            </w:pPr>
            <w:r>
              <w:t>1</w:t>
            </w:r>
            <w:r w:rsidRPr="00013ACB">
              <w:rPr>
                <w:vertAlign w:val="superscript"/>
              </w:rPr>
              <w:t>st</w:t>
            </w:r>
            <w:r>
              <w:t xml:space="preserve"> Round: </w:t>
            </w:r>
          </w:p>
          <w:p w14:paraId="1235803E" w14:textId="77777777" w:rsidR="00406F3B" w:rsidRDefault="00406F3B" w:rsidP="00406F3B">
            <w:pPr>
              <w:pStyle w:val="NoSpacing"/>
            </w:pPr>
            <w:r>
              <w:t>2013</w:t>
            </w:r>
          </w:p>
          <w:p w14:paraId="29857BC1" w14:textId="77777777" w:rsidR="00406F3B" w:rsidRDefault="00406F3B" w:rsidP="00406F3B">
            <w:pPr>
              <w:pStyle w:val="NoSpacing"/>
            </w:pPr>
          </w:p>
          <w:p w14:paraId="00E95B8E" w14:textId="77777777" w:rsidR="00406F3B" w:rsidRDefault="00406F3B" w:rsidP="00406F3B">
            <w:pPr>
              <w:pStyle w:val="NoSpacing"/>
            </w:pPr>
            <w:r>
              <w:t>2</w:t>
            </w:r>
            <w:r w:rsidRPr="00013ACB">
              <w:rPr>
                <w:vertAlign w:val="superscript"/>
              </w:rPr>
              <w:t>nd</w:t>
            </w:r>
            <w:r>
              <w:t xml:space="preserve"> Round: </w:t>
            </w:r>
          </w:p>
          <w:p w14:paraId="136A1228" w14:textId="77777777" w:rsidR="00406F3B" w:rsidRDefault="00406F3B" w:rsidP="00406F3B">
            <w:pPr>
              <w:pStyle w:val="NoSpacing"/>
            </w:pPr>
            <w:r>
              <w:t>August 2019</w:t>
            </w:r>
          </w:p>
          <w:p w14:paraId="67474B84" w14:textId="77777777" w:rsidR="00406F3B" w:rsidRDefault="00406F3B" w:rsidP="00406F3B">
            <w:pPr>
              <w:pStyle w:val="NoSpacing"/>
            </w:pPr>
          </w:p>
          <w:p w14:paraId="3528FB21" w14:textId="77777777" w:rsidR="00406F3B" w:rsidRDefault="00406F3B" w:rsidP="00406F3B">
            <w:pPr>
              <w:pStyle w:val="NoSpacing"/>
            </w:pPr>
            <w:r>
              <w:t>3</w:t>
            </w:r>
            <w:r w:rsidRPr="00013ACB">
              <w:rPr>
                <w:vertAlign w:val="superscript"/>
              </w:rPr>
              <w:t>rd</w:t>
            </w:r>
            <w:r>
              <w:t xml:space="preserve"> Round: </w:t>
            </w:r>
          </w:p>
          <w:p w14:paraId="00370000" w14:textId="77777777" w:rsidR="00406F3B" w:rsidRDefault="00406F3B" w:rsidP="00406F3B">
            <w:pPr>
              <w:pStyle w:val="NoSpacing"/>
            </w:pPr>
            <w:r>
              <w:t>August 2022</w:t>
            </w:r>
          </w:p>
          <w:p w14:paraId="5907BFC3" w14:textId="77777777" w:rsidR="00406F3B" w:rsidRDefault="00406F3B" w:rsidP="00406F3B">
            <w:pPr>
              <w:pStyle w:val="NoSpacing"/>
            </w:pPr>
          </w:p>
          <w:p w14:paraId="19548BC9" w14:textId="77777777" w:rsidR="00406F3B" w:rsidRDefault="00406F3B" w:rsidP="00406F3B">
            <w:pPr>
              <w:pStyle w:val="NoSpacing"/>
            </w:pPr>
            <w:r>
              <w:t>4</w:t>
            </w:r>
            <w:r w:rsidRPr="00013ACB">
              <w:rPr>
                <w:vertAlign w:val="superscript"/>
              </w:rPr>
              <w:t>th</w:t>
            </w:r>
            <w:r>
              <w:t xml:space="preserve"> Round: </w:t>
            </w:r>
          </w:p>
          <w:p w14:paraId="5B836E1E" w14:textId="77777777" w:rsidR="00406F3B" w:rsidRDefault="00406F3B" w:rsidP="00406F3B">
            <w:pPr>
              <w:pStyle w:val="NoSpacing"/>
            </w:pPr>
            <w:r>
              <w:t>August 2025</w:t>
            </w:r>
          </w:p>
          <w:p w14:paraId="5C245568" w14:textId="77777777" w:rsidR="00406F3B" w:rsidRDefault="00406F3B" w:rsidP="00406F3B">
            <w:pPr>
              <w:pStyle w:val="NoSpacing"/>
            </w:pPr>
          </w:p>
          <w:p w14:paraId="78ED4ED2" w14:textId="77777777" w:rsidR="00406F3B" w:rsidRDefault="00406F3B" w:rsidP="00406F3B">
            <w:pPr>
              <w:pStyle w:val="NoSpacing"/>
            </w:pPr>
            <w:r>
              <w:t>5</w:t>
            </w:r>
            <w:r w:rsidRPr="00013ACB">
              <w:rPr>
                <w:vertAlign w:val="superscript"/>
              </w:rPr>
              <w:t>th</w:t>
            </w:r>
            <w:r>
              <w:t xml:space="preserve"> Round: </w:t>
            </w:r>
          </w:p>
          <w:p w14:paraId="42F5B88A" w14:textId="652173DF" w:rsidR="00406F3B" w:rsidRPr="003265B9" w:rsidRDefault="00406F3B" w:rsidP="00406F3B">
            <w:pPr>
              <w:pStyle w:val="NoSpacing"/>
            </w:pPr>
            <w:r>
              <w:t>August 2028</w:t>
            </w:r>
          </w:p>
        </w:tc>
        <w:tc>
          <w:tcPr>
            <w:tcW w:w="0" w:type="auto"/>
            <w:shd w:val="clear" w:color="auto" w:fill="auto"/>
          </w:tcPr>
          <w:p w14:paraId="67B54F7C" w14:textId="70D88C1F" w:rsidR="00406F3B" w:rsidRPr="000B17C6" w:rsidRDefault="00406F3B" w:rsidP="00406F3B">
            <w:pPr>
              <w:pStyle w:val="NoSpacing"/>
            </w:pPr>
          </w:p>
        </w:tc>
      </w:tr>
      <w:tr w:rsidR="0098022F" w14:paraId="0D7F7065" w14:textId="77777777" w:rsidTr="0085651F">
        <w:tc>
          <w:tcPr>
            <w:tcW w:w="0" w:type="auto"/>
            <w:gridSpan w:val="2"/>
            <w:shd w:val="clear" w:color="auto" w:fill="auto"/>
          </w:tcPr>
          <w:p w14:paraId="5E5BBC6E" w14:textId="77777777" w:rsidR="00406F3B" w:rsidRPr="00D66833" w:rsidRDefault="00406F3B" w:rsidP="00406F3B">
            <w:pPr>
              <w:jc w:val="both"/>
              <w:rPr>
                <w:szCs w:val="20"/>
              </w:rPr>
            </w:pPr>
            <w:r w:rsidRPr="00D66833">
              <w:rPr>
                <w:szCs w:val="20"/>
              </w:rPr>
              <w:t xml:space="preserve">2.2.2 Prevalence of malnutrition (weight for height &gt;+2 or &lt;-2 standard deviation from the median of the WHO Child Growth </w:t>
            </w:r>
            <w:r w:rsidRPr="00D66833">
              <w:rPr>
                <w:szCs w:val="20"/>
              </w:rPr>
              <w:lastRenderedPageBreak/>
              <w:t>Standards) among children under 5 years of age, by type (wasting and overweight)</w:t>
            </w:r>
          </w:p>
        </w:tc>
        <w:tc>
          <w:tcPr>
            <w:tcW w:w="0" w:type="auto"/>
            <w:shd w:val="clear" w:color="auto" w:fill="auto"/>
          </w:tcPr>
          <w:p w14:paraId="0058B6DC" w14:textId="77777777" w:rsidR="00406F3B" w:rsidRDefault="00406F3B" w:rsidP="00406F3B">
            <w:pPr>
              <w:pStyle w:val="Default"/>
              <w:jc w:val="center"/>
              <w:rPr>
                <w:rFonts w:ascii="Tw Cen MT Condensed" w:hAnsi="Tw Cen MT Condensed" w:cs="Shonar Bangla"/>
                <w:szCs w:val="20"/>
              </w:rPr>
            </w:pPr>
            <w:r>
              <w:rPr>
                <w:rFonts w:ascii="Tw Cen MT Condensed" w:hAnsi="Tw Cen MT Condensed" w:cs="Shonar Bangla"/>
                <w:szCs w:val="20"/>
              </w:rPr>
              <w:lastRenderedPageBreak/>
              <w:t>UNICEF, WHO, WB</w:t>
            </w:r>
          </w:p>
        </w:tc>
        <w:tc>
          <w:tcPr>
            <w:tcW w:w="0" w:type="auto"/>
            <w:shd w:val="clear" w:color="auto" w:fill="auto"/>
          </w:tcPr>
          <w:p w14:paraId="666BC2CD" w14:textId="77777777" w:rsidR="00406F3B" w:rsidRDefault="00406F3B" w:rsidP="00406F3B">
            <w:pPr>
              <w:jc w:val="center"/>
              <w:rPr>
                <w:szCs w:val="20"/>
              </w:rPr>
            </w:pPr>
            <w:r>
              <w:rPr>
                <w:szCs w:val="20"/>
              </w:rPr>
              <w:t>Tier I</w:t>
            </w:r>
          </w:p>
        </w:tc>
        <w:tc>
          <w:tcPr>
            <w:tcW w:w="0" w:type="auto"/>
            <w:shd w:val="clear" w:color="auto" w:fill="auto"/>
          </w:tcPr>
          <w:p w14:paraId="4F1D2B1C" w14:textId="77777777" w:rsidR="00406F3B" w:rsidRDefault="00406F3B" w:rsidP="00406F3B">
            <w:pPr>
              <w:pStyle w:val="Default"/>
              <w:rPr>
                <w:rFonts w:ascii="Tw Cen MT Condensed" w:hAnsi="Tw Cen MT Condensed"/>
                <w:b/>
                <w:bCs/>
                <w:szCs w:val="20"/>
              </w:rPr>
            </w:pPr>
            <w:r>
              <w:rPr>
                <w:rFonts w:ascii="Tw Cen MT Condensed" w:hAnsi="Tw Cen MT Condensed"/>
                <w:b/>
                <w:bCs/>
                <w:szCs w:val="20"/>
              </w:rPr>
              <w:t>For 2.2.2a</w:t>
            </w:r>
          </w:p>
          <w:p w14:paraId="2D0BA3F8" w14:textId="77777777" w:rsidR="00406F3B" w:rsidRPr="00963E2A" w:rsidRDefault="00406F3B" w:rsidP="00406F3B">
            <w:pPr>
              <w:pStyle w:val="Default"/>
              <w:rPr>
                <w:rFonts w:ascii="Tw Cen MT Condensed" w:hAnsi="Tw Cen MT Condensed"/>
                <w:b/>
                <w:bCs/>
                <w:szCs w:val="20"/>
              </w:rPr>
            </w:pPr>
            <w:r w:rsidRPr="00963E2A">
              <w:rPr>
                <w:rFonts w:ascii="Tw Cen MT Condensed" w:hAnsi="Tw Cen MT Condensed"/>
                <w:b/>
                <w:bCs/>
                <w:szCs w:val="20"/>
              </w:rPr>
              <w:t>Definition:</w:t>
            </w:r>
          </w:p>
          <w:p w14:paraId="329E2FEB" w14:textId="77777777" w:rsidR="00406F3B" w:rsidRPr="000C4849" w:rsidRDefault="00406F3B" w:rsidP="000C4849">
            <w:pPr>
              <w:pStyle w:val="Default"/>
              <w:jc w:val="both"/>
              <w:rPr>
                <w:rFonts w:ascii="Tw Cen MT Condensed" w:hAnsi="Tw Cen MT Condensed"/>
                <w:bCs/>
                <w:szCs w:val="20"/>
              </w:rPr>
            </w:pPr>
            <w:r w:rsidRPr="000C4849">
              <w:rPr>
                <w:rFonts w:ascii="Tw Cen MT Condensed" w:hAnsi="Tw Cen MT Condensed"/>
                <w:bCs/>
                <w:szCs w:val="20"/>
              </w:rPr>
              <w:t>Prevalence of overweight (weight for height &gt;+2 standard deviation from the median of the World Health Organization (WHO) Child Growth Standards) among children under 5 years of age.</w:t>
            </w:r>
          </w:p>
          <w:p w14:paraId="79A12781" w14:textId="77777777" w:rsidR="00406F3B" w:rsidRPr="00963E2A" w:rsidRDefault="00406F3B" w:rsidP="00406F3B">
            <w:pPr>
              <w:pStyle w:val="Default"/>
              <w:rPr>
                <w:rFonts w:ascii="Tw Cen MT Condensed" w:hAnsi="Tw Cen MT Condensed"/>
                <w:b/>
                <w:bCs/>
                <w:szCs w:val="20"/>
              </w:rPr>
            </w:pPr>
          </w:p>
          <w:p w14:paraId="3675779A" w14:textId="77777777" w:rsidR="00406F3B" w:rsidRPr="00963E2A" w:rsidRDefault="00406F3B" w:rsidP="00406F3B">
            <w:pPr>
              <w:pStyle w:val="Default"/>
              <w:rPr>
                <w:rFonts w:ascii="Tw Cen MT Condensed" w:hAnsi="Tw Cen MT Condensed"/>
                <w:b/>
                <w:bCs/>
                <w:szCs w:val="20"/>
              </w:rPr>
            </w:pPr>
            <w:r w:rsidRPr="00963E2A">
              <w:rPr>
                <w:rFonts w:ascii="Tw Cen MT Condensed" w:hAnsi="Tw Cen MT Condensed"/>
                <w:b/>
                <w:bCs/>
                <w:szCs w:val="20"/>
              </w:rPr>
              <w:lastRenderedPageBreak/>
              <w:t>Rationale:</w:t>
            </w:r>
          </w:p>
          <w:p w14:paraId="537A0C9C" w14:textId="77777777" w:rsidR="00406F3B" w:rsidRPr="000C4849" w:rsidRDefault="00406F3B" w:rsidP="000C4849">
            <w:pPr>
              <w:pStyle w:val="Default"/>
              <w:jc w:val="both"/>
              <w:rPr>
                <w:rFonts w:ascii="Tw Cen MT Condensed" w:hAnsi="Tw Cen MT Condensed"/>
                <w:bCs/>
                <w:szCs w:val="20"/>
              </w:rPr>
            </w:pPr>
            <w:r w:rsidRPr="000C4849">
              <w:rPr>
                <w:rFonts w:ascii="Tw Cen MT Condensed" w:hAnsi="Tw Cen MT Condensed"/>
                <w:bCs/>
                <w:szCs w:val="20"/>
              </w:rPr>
              <w:t>Child growth is an internationally accepted outcome area reflecting child nutritional status. Child overweight refers to a child who is too heavy for his or her height. This form of malnutrition results from expending too few calories for the amount of food consumed and increases the risk of noncommunicable diseases later in life. Child overweight is one of the World Health Assembly nutrition target indicators.</w:t>
            </w:r>
          </w:p>
          <w:p w14:paraId="0C42A952" w14:textId="77777777" w:rsidR="00406F3B" w:rsidRDefault="00406F3B" w:rsidP="00406F3B">
            <w:pPr>
              <w:pStyle w:val="Default"/>
              <w:rPr>
                <w:rFonts w:ascii="Tw Cen MT Condensed" w:hAnsi="Tw Cen MT Condensed"/>
                <w:b/>
                <w:bCs/>
                <w:szCs w:val="20"/>
              </w:rPr>
            </w:pPr>
          </w:p>
          <w:p w14:paraId="746670CC" w14:textId="77777777" w:rsidR="00406F3B" w:rsidRPr="00D66833" w:rsidRDefault="00406F3B" w:rsidP="00406F3B">
            <w:pPr>
              <w:pStyle w:val="Default"/>
              <w:rPr>
                <w:rFonts w:ascii="Tw Cen MT Condensed" w:hAnsi="Tw Cen MT Condensed"/>
                <w:b/>
                <w:bCs/>
                <w:szCs w:val="20"/>
              </w:rPr>
            </w:pPr>
            <w:r w:rsidRPr="00D66833">
              <w:rPr>
                <w:rFonts w:ascii="Tw Cen MT Condensed" w:hAnsi="Tw Cen MT Condensed"/>
                <w:b/>
                <w:bCs/>
                <w:szCs w:val="20"/>
              </w:rPr>
              <w:t>Concepts:</w:t>
            </w:r>
          </w:p>
          <w:p w14:paraId="1902434A" w14:textId="77777777" w:rsidR="00406F3B" w:rsidRDefault="00406F3B" w:rsidP="00406F3B">
            <w:pPr>
              <w:pStyle w:val="Default"/>
              <w:jc w:val="both"/>
              <w:rPr>
                <w:rFonts w:ascii="Tw Cen MT Condensed" w:hAnsi="Tw Cen MT Condensed"/>
                <w:szCs w:val="20"/>
              </w:rPr>
            </w:pPr>
            <w:r w:rsidRPr="00D66833">
              <w:rPr>
                <w:rFonts w:ascii="Tw Cen MT Condensed" w:hAnsi="Tw Cen MT Condensed"/>
                <w:szCs w:val="20"/>
              </w:rPr>
              <w:t>The official MDG indicator is overweight as assessed using weight for height. Overweight can however</w:t>
            </w:r>
            <w:r>
              <w:rPr>
                <w:rFonts w:ascii="Tw Cen MT Condensed" w:hAnsi="Tw Cen MT Condensed"/>
                <w:szCs w:val="20"/>
              </w:rPr>
              <w:t xml:space="preserve"> </w:t>
            </w:r>
            <w:r w:rsidRPr="00D66833">
              <w:rPr>
                <w:rFonts w:ascii="Tw Cen MT Condensed" w:hAnsi="Tw Cen MT Condensed"/>
                <w:szCs w:val="20"/>
              </w:rPr>
              <w:t>also be assessed with other indicators such body mass index for age. In general BMI for age is not used in</w:t>
            </w:r>
            <w:r>
              <w:rPr>
                <w:rFonts w:ascii="Tw Cen MT Condensed" w:hAnsi="Tw Cen MT Condensed"/>
                <w:szCs w:val="20"/>
              </w:rPr>
              <w:t xml:space="preserve"> </w:t>
            </w:r>
            <w:r w:rsidRPr="00D66833">
              <w:rPr>
                <w:rFonts w:ascii="Tw Cen MT Condensed" w:hAnsi="Tw Cen MT Condensed"/>
                <w:szCs w:val="20"/>
              </w:rPr>
              <w:t>the joint dataset but has been considered in absence of any other available estimates.</w:t>
            </w:r>
          </w:p>
          <w:p w14:paraId="06DC270F" w14:textId="77777777" w:rsidR="00406F3B" w:rsidRPr="00D66833" w:rsidRDefault="00406F3B" w:rsidP="00406F3B">
            <w:pPr>
              <w:pStyle w:val="Default"/>
              <w:jc w:val="both"/>
              <w:rPr>
                <w:rFonts w:ascii="Tw Cen MT Condensed" w:hAnsi="Tw Cen MT Condensed"/>
                <w:szCs w:val="20"/>
              </w:rPr>
            </w:pPr>
          </w:p>
          <w:p w14:paraId="3C0591CF" w14:textId="77777777" w:rsidR="00406F3B" w:rsidRPr="000C4849" w:rsidRDefault="00406F3B" w:rsidP="00406F3B">
            <w:pPr>
              <w:pStyle w:val="Default"/>
              <w:jc w:val="both"/>
              <w:rPr>
                <w:rFonts w:ascii="Tw Cen MT Condensed" w:hAnsi="Tw Cen MT Condensed"/>
                <w:b/>
                <w:szCs w:val="20"/>
              </w:rPr>
            </w:pPr>
            <w:r w:rsidRPr="000C4849">
              <w:rPr>
                <w:rFonts w:ascii="Tw Cen MT Condensed" w:hAnsi="Tw Cen MT Condensed"/>
                <w:b/>
                <w:szCs w:val="20"/>
              </w:rPr>
              <w:t>Computation Method:</w:t>
            </w:r>
          </w:p>
          <w:p w14:paraId="3CB77EDA" w14:textId="77777777" w:rsidR="00406F3B" w:rsidRDefault="00406F3B" w:rsidP="00406F3B">
            <w:pPr>
              <w:autoSpaceDE w:val="0"/>
              <w:autoSpaceDN w:val="0"/>
              <w:adjustRightInd w:val="0"/>
              <w:jc w:val="both"/>
              <w:rPr>
                <w:color w:val="auto"/>
                <w:szCs w:val="20"/>
              </w:rPr>
            </w:pPr>
            <w:r w:rsidRPr="00D66833">
              <w:rPr>
                <w:color w:val="auto"/>
                <w:szCs w:val="20"/>
              </w:rPr>
              <w:t>Survey estimates are based on standardized methodology using the WHO Child Growth Standards as</w:t>
            </w:r>
            <w:r>
              <w:rPr>
                <w:color w:val="auto"/>
                <w:szCs w:val="20"/>
              </w:rPr>
              <w:t xml:space="preserve"> </w:t>
            </w:r>
            <w:r w:rsidRPr="00D66833">
              <w:rPr>
                <w:color w:val="auto"/>
                <w:szCs w:val="20"/>
              </w:rPr>
              <w:t>described elsewhere (Ref: Anthro software manual). Global and regional estimates are based on</w:t>
            </w:r>
            <w:r>
              <w:rPr>
                <w:color w:val="auto"/>
                <w:szCs w:val="20"/>
              </w:rPr>
              <w:t xml:space="preserve"> </w:t>
            </w:r>
            <w:r w:rsidRPr="00D66833">
              <w:rPr>
                <w:color w:val="auto"/>
                <w:szCs w:val="20"/>
              </w:rPr>
              <w:t>methodology outlined in UNICEF-WHO-The World Bank: Joint child malnutrition estimates - Levels and</w:t>
            </w:r>
            <w:r>
              <w:rPr>
                <w:color w:val="auto"/>
                <w:szCs w:val="20"/>
              </w:rPr>
              <w:t xml:space="preserve"> </w:t>
            </w:r>
            <w:r w:rsidRPr="00D66833">
              <w:rPr>
                <w:color w:val="auto"/>
                <w:szCs w:val="20"/>
              </w:rPr>
              <w:t>trends (UNICEF/</w:t>
            </w:r>
            <w:r>
              <w:rPr>
                <w:color w:val="auto"/>
                <w:szCs w:val="20"/>
              </w:rPr>
              <w:t xml:space="preserve"> </w:t>
            </w:r>
            <w:r w:rsidRPr="00D66833">
              <w:rPr>
                <w:color w:val="auto"/>
                <w:szCs w:val="20"/>
              </w:rPr>
              <w:t>WHO/</w:t>
            </w:r>
            <w:r>
              <w:rPr>
                <w:color w:val="auto"/>
                <w:szCs w:val="20"/>
              </w:rPr>
              <w:t xml:space="preserve"> </w:t>
            </w:r>
            <w:r w:rsidRPr="00D66833">
              <w:rPr>
                <w:color w:val="auto"/>
                <w:szCs w:val="20"/>
              </w:rPr>
              <w:t>WB 2012 )</w:t>
            </w:r>
          </w:p>
          <w:p w14:paraId="668A4410" w14:textId="77777777" w:rsidR="00406F3B" w:rsidRDefault="00406F3B" w:rsidP="00406F3B">
            <w:pPr>
              <w:autoSpaceDE w:val="0"/>
              <w:autoSpaceDN w:val="0"/>
              <w:adjustRightInd w:val="0"/>
              <w:jc w:val="both"/>
              <w:rPr>
                <w:b/>
                <w:bCs/>
                <w:szCs w:val="20"/>
              </w:rPr>
            </w:pPr>
            <w:r>
              <w:rPr>
                <w:b/>
                <w:bCs/>
                <w:szCs w:val="20"/>
              </w:rPr>
              <w:t>For 2.2.2b</w:t>
            </w:r>
          </w:p>
          <w:p w14:paraId="616215F8" w14:textId="77777777" w:rsidR="00406F3B" w:rsidRPr="00CD43D3" w:rsidRDefault="00406F3B" w:rsidP="00406F3B">
            <w:pPr>
              <w:autoSpaceDE w:val="0"/>
              <w:autoSpaceDN w:val="0"/>
              <w:adjustRightInd w:val="0"/>
              <w:jc w:val="both"/>
              <w:rPr>
                <w:b/>
                <w:bCs/>
                <w:szCs w:val="20"/>
              </w:rPr>
            </w:pPr>
            <w:r w:rsidRPr="00CD43D3">
              <w:rPr>
                <w:b/>
                <w:bCs/>
                <w:szCs w:val="20"/>
              </w:rPr>
              <w:t>Definition:</w:t>
            </w:r>
          </w:p>
          <w:p w14:paraId="0AF1A41D" w14:textId="77777777" w:rsidR="00406F3B" w:rsidRDefault="00406F3B" w:rsidP="00406F3B">
            <w:pPr>
              <w:autoSpaceDE w:val="0"/>
              <w:autoSpaceDN w:val="0"/>
              <w:adjustRightInd w:val="0"/>
              <w:jc w:val="both"/>
              <w:rPr>
                <w:bCs/>
                <w:szCs w:val="20"/>
              </w:rPr>
            </w:pPr>
            <w:r w:rsidRPr="000C4849">
              <w:rPr>
                <w:bCs/>
                <w:szCs w:val="20"/>
              </w:rPr>
              <w:t>Prevalence of wasting (weight for height &lt;-2 standard deviation from the median of the World Health Organization (WHO) Child Growth Standards) among children under 5 years of age.</w:t>
            </w:r>
          </w:p>
          <w:p w14:paraId="733197EA" w14:textId="77777777" w:rsidR="00406F3B" w:rsidRPr="00CD43D3" w:rsidRDefault="00406F3B" w:rsidP="00406F3B">
            <w:pPr>
              <w:autoSpaceDE w:val="0"/>
              <w:autoSpaceDN w:val="0"/>
              <w:adjustRightInd w:val="0"/>
              <w:jc w:val="both"/>
              <w:rPr>
                <w:bCs/>
                <w:szCs w:val="20"/>
              </w:rPr>
            </w:pPr>
            <w:r w:rsidRPr="00CD43D3">
              <w:rPr>
                <w:bCs/>
                <w:szCs w:val="20"/>
              </w:rPr>
              <w:t>Concepts:</w:t>
            </w:r>
          </w:p>
          <w:p w14:paraId="509DF2BA" w14:textId="77777777" w:rsidR="00406F3B" w:rsidRDefault="00406F3B" w:rsidP="00406F3B">
            <w:pPr>
              <w:autoSpaceDE w:val="0"/>
              <w:autoSpaceDN w:val="0"/>
              <w:adjustRightInd w:val="0"/>
              <w:jc w:val="both"/>
              <w:rPr>
                <w:bCs/>
                <w:szCs w:val="20"/>
              </w:rPr>
            </w:pPr>
            <w:r w:rsidRPr="00CD43D3">
              <w:rPr>
                <w:bCs/>
                <w:szCs w:val="20"/>
              </w:rPr>
              <w:t xml:space="preserve">The official MDG indicator is wasting as assessed using weight for height.  Wasting can however also be assessed with mid upper arm circumference (MUAC). Estimates of wasting based </w:t>
            </w:r>
            <w:proofErr w:type="gramStart"/>
            <w:r w:rsidRPr="00CD43D3">
              <w:rPr>
                <w:bCs/>
                <w:szCs w:val="20"/>
              </w:rPr>
              <w:t>on  MUAC</w:t>
            </w:r>
            <w:proofErr w:type="gramEnd"/>
            <w:r w:rsidRPr="00CD43D3">
              <w:rPr>
                <w:bCs/>
                <w:szCs w:val="20"/>
              </w:rPr>
              <w:t xml:space="preserve"> are not considered for the joint dataset.  In addition, while wasting constitutes the major form of moderate acute malnutrition (MAM), there are acutely malnourished children who would not be picked up with weight-for-height or MUAC, namely those presenting bilateral pitting  odema (characterized by swollen feet, face and limbs).  For Surveys that report oedema cases, in the joint data set these are included in the prevalence of low weight-for-height.</w:t>
            </w:r>
          </w:p>
          <w:p w14:paraId="5675BA30" w14:textId="77777777" w:rsidR="00406F3B" w:rsidRPr="00CD43D3" w:rsidRDefault="00406F3B" w:rsidP="00406F3B">
            <w:pPr>
              <w:autoSpaceDE w:val="0"/>
              <w:autoSpaceDN w:val="0"/>
              <w:adjustRightInd w:val="0"/>
              <w:jc w:val="both"/>
              <w:rPr>
                <w:bCs/>
                <w:szCs w:val="20"/>
              </w:rPr>
            </w:pPr>
            <w:r w:rsidRPr="00CD43D3">
              <w:rPr>
                <w:bCs/>
                <w:szCs w:val="20"/>
              </w:rPr>
              <w:t>Computation Method:</w:t>
            </w:r>
          </w:p>
          <w:p w14:paraId="7D749D7F" w14:textId="77777777" w:rsidR="00406F3B" w:rsidRPr="000C4849" w:rsidRDefault="00406F3B" w:rsidP="00406F3B">
            <w:pPr>
              <w:autoSpaceDE w:val="0"/>
              <w:autoSpaceDN w:val="0"/>
              <w:adjustRightInd w:val="0"/>
              <w:jc w:val="both"/>
              <w:rPr>
                <w:bCs/>
                <w:szCs w:val="20"/>
              </w:rPr>
            </w:pPr>
            <w:r w:rsidRPr="00CD43D3">
              <w:rPr>
                <w:bCs/>
                <w:szCs w:val="20"/>
              </w:rPr>
              <w:t xml:space="preserve">Survey estimates are based on standardized methodology using the </w:t>
            </w:r>
            <w:r w:rsidRPr="00CD43D3">
              <w:rPr>
                <w:bCs/>
                <w:szCs w:val="20"/>
              </w:rPr>
              <w:lastRenderedPageBreak/>
              <w:t xml:space="preserve">WHO Child Growth Standards as described elsewhere (Ref: Anthro software manual). Global and regional estimates are based on methodology outlined in UNICEF-WHO-The World Bank: Joint child malnutrition estimates - Levels and trends (UNICEF/WHO/WB </w:t>
            </w:r>
            <w:proofErr w:type="gramStart"/>
            <w:r w:rsidRPr="00CD43D3">
              <w:rPr>
                <w:bCs/>
                <w:szCs w:val="20"/>
              </w:rPr>
              <w:t>2012 )</w:t>
            </w:r>
            <w:proofErr w:type="gramEnd"/>
            <w:r>
              <w:rPr>
                <w:bCs/>
                <w:szCs w:val="20"/>
              </w:rPr>
              <w:t>.</w:t>
            </w:r>
          </w:p>
        </w:tc>
        <w:tc>
          <w:tcPr>
            <w:tcW w:w="0" w:type="auto"/>
            <w:shd w:val="clear" w:color="auto" w:fill="auto"/>
          </w:tcPr>
          <w:p w14:paraId="7DCB1E13" w14:textId="77777777" w:rsidR="00406F3B" w:rsidRDefault="00406F3B" w:rsidP="00406F3B">
            <w:pPr>
              <w:jc w:val="center"/>
              <w:rPr>
                <w:bCs/>
                <w:szCs w:val="20"/>
              </w:rPr>
            </w:pPr>
            <w:r>
              <w:rPr>
                <w:bCs/>
                <w:szCs w:val="20"/>
              </w:rPr>
              <w:lastRenderedPageBreak/>
              <w:t>Household Survey</w:t>
            </w:r>
          </w:p>
        </w:tc>
        <w:tc>
          <w:tcPr>
            <w:tcW w:w="0" w:type="auto"/>
            <w:shd w:val="clear" w:color="auto" w:fill="auto"/>
          </w:tcPr>
          <w:p w14:paraId="744DB25D" w14:textId="77777777" w:rsidR="00406F3B" w:rsidRDefault="00406F3B" w:rsidP="00406F3B">
            <w:pPr>
              <w:jc w:val="center"/>
              <w:rPr>
                <w:bCs/>
                <w:szCs w:val="20"/>
              </w:rPr>
            </w:pPr>
            <w:r>
              <w:rPr>
                <w:bCs/>
                <w:szCs w:val="20"/>
              </w:rPr>
              <w:t>NSO</w:t>
            </w:r>
          </w:p>
        </w:tc>
        <w:tc>
          <w:tcPr>
            <w:tcW w:w="0" w:type="auto"/>
            <w:shd w:val="clear" w:color="auto" w:fill="auto"/>
          </w:tcPr>
          <w:p w14:paraId="6E5C169A" w14:textId="3A29582B" w:rsidR="00406F3B" w:rsidRDefault="00406F3B" w:rsidP="00406F3B">
            <w:pPr>
              <w:rPr>
                <w:bCs/>
                <w:szCs w:val="20"/>
              </w:rPr>
            </w:pPr>
          </w:p>
          <w:p w14:paraId="5DDC166B" w14:textId="77777777" w:rsidR="00406F3B" w:rsidRPr="00BC6F10" w:rsidRDefault="00406F3B" w:rsidP="00406F3B">
            <w:pPr>
              <w:spacing w:line="276" w:lineRule="auto"/>
              <w:jc w:val="center"/>
              <w:rPr>
                <w:rFonts w:eastAsia="Times New Roman" w:cs="Times New Roman"/>
                <w:color w:val="000000" w:themeColor="text1"/>
                <w:szCs w:val="20"/>
              </w:rPr>
            </w:pPr>
            <w:r w:rsidRPr="00BC6F10">
              <w:rPr>
                <w:rFonts w:eastAsia="Times New Roman" w:cs="Times New Roman"/>
                <w:color w:val="000000" w:themeColor="text1"/>
                <w:szCs w:val="20"/>
              </w:rPr>
              <w:t>a) BDHS</w:t>
            </w:r>
          </w:p>
          <w:p w14:paraId="5F54E61A" w14:textId="77777777" w:rsidR="00406F3B" w:rsidRDefault="00406F3B" w:rsidP="00406F3B">
            <w:pPr>
              <w:rPr>
                <w:bCs/>
                <w:szCs w:val="20"/>
              </w:rPr>
            </w:pPr>
            <w:r w:rsidRPr="00BC6F10">
              <w:rPr>
                <w:rFonts w:eastAsia="Times New Roman" w:cs="Times New Roman"/>
                <w:color w:val="000000" w:themeColor="text1"/>
                <w:szCs w:val="20"/>
              </w:rPr>
              <w:t>b) MICS</w:t>
            </w:r>
          </w:p>
        </w:tc>
        <w:tc>
          <w:tcPr>
            <w:tcW w:w="0" w:type="auto"/>
            <w:shd w:val="clear" w:color="auto" w:fill="auto"/>
          </w:tcPr>
          <w:p w14:paraId="570C6E7A" w14:textId="60E23C62" w:rsidR="00406F3B" w:rsidRPr="00D66833" w:rsidRDefault="00406F3B" w:rsidP="00406F3B">
            <w:pPr>
              <w:jc w:val="both"/>
              <w:rPr>
                <w:bCs/>
                <w:szCs w:val="20"/>
              </w:rPr>
            </w:pPr>
            <w:r w:rsidRPr="00D66833">
              <w:rPr>
                <w:bCs/>
                <w:szCs w:val="20"/>
              </w:rPr>
              <w:t>MICS, BBS</w:t>
            </w:r>
          </w:p>
          <w:p w14:paraId="2DDC5DC1" w14:textId="62EEECEF" w:rsidR="00406F3B" w:rsidRPr="00D66833" w:rsidRDefault="00406F3B" w:rsidP="00406F3B">
            <w:pPr>
              <w:jc w:val="both"/>
              <w:rPr>
                <w:bCs/>
                <w:szCs w:val="20"/>
              </w:rPr>
            </w:pPr>
          </w:p>
        </w:tc>
        <w:tc>
          <w:tcPr>
            <w:tcW w:w="0" w:type="auto"/>
            <w:shd w:val="clear" w:color="auto" w:fill="auto"/>
          </w:tcPr>
          <w:p w14:paraId="7A058FD9" w14:textId="1187BDF4" w:rsidR="00406F3B" w:rsidRDefault="00406F3B" w:rsidP="00406F3B">
            <w:pPr>
              <w:pStyle w:val="ListParagraph"/>
              <w:numPr>
                <w:ilvl w:val="0"/>
                <w:numId w:val="2"/>
              </w:numPr>
              <w:spacing w:after="0" w:line="240" w:lineRule="auto"/>
              <w:ind w:left="187" w:hanging="187"/>
              <w:jc w:val="both"/>
              <w:rPr>
                <w:rFonts w:ascii="Tw Cen MT Condensed" w:hAnsi="Tw Cen MT Condensed"/>
                <w:bCs/>
                <w:sz w:val="20"/>
                <w:szCs w:val="20"/>
              </w:rPr>
            </w:pPr>
            <w:r w:rsidRPr="00D66833">
              <w:rPr>
                <w:rFonts w:ascii="Tw Cen MT Condensed" w:hAnsi="Tw Cen MT Condensed"/>
                <w:bCs/>
                <w:sz w:val="20"/>
                <w:szCs w:val="20"/>
              </w:rPr>
              <w:t>Sex</w:t>
            </w:r>
            <w:r w:rsidR="00690EEF">
              <w:rPr>
                <w:rFonts w:ascii="Tw Cen MT Condensed" w:hAnsi="Tw Cen MT Condensed"/>
                <w:bCs/>
                <w:sz w:val="20"/>
                <w:szCs w:val="20"/>
              </w:rPr>
              <w:t xml:space="preserve"> Male/female</w:t>
            </w:r>
          </w:p>
          <w:p w14:paraId="426C76C3" w14:textId="05E3DD73" w:rsidR="00406F3B" w:rsidRDefault="00406F3B" w:rsidP="00406F3B">
            <w:pPr>
              <w:pStyle w:val="ListParagraph"/>
              <w:numPr>
                <w:ilvl w:val="0"/>
                <w:numId w:val="2"/>
              </w:numPr>
              <w:spacing w:after="0" w:line="240" w:lineRule="auto"/>
              <w:ind w:left="187" w:hanging="187"/>
              <w:jc w:val="both"/>
              <w:rPr>
                <w:rFonts w:ascii="Tw Cen MT Condensed" w:hAnsi="Tw Cen MT Condensed"/>
                <w:bCs/>
                <w:sz w:val="20"/>
                <w:szCs w:val="20"/>
              </w:rPr>
            </w:pPr>
            <w:r w:rsidRPr="00D66833">
              <w:rPr>
                <w:rFonts w:ascii="Tw Cen MT Condensed" w:hAnsi="Tw Cen MT Condensed"/>
                <w:bCs/>
                <w:sz w:val="20"/>
                <w:szCs w:val="20"/>
              </w:rPr>
              <w:t>Age groups</w:t>
            </w:r>
            <w:r w:rsidR="00690EEF">
              <w:rPr>
                <w:rFonts w:ascii="Tw Cen MT Condensed" w:hAnsi="Tw Cen MT Condensed"/>
                <w:bCs/>
                <w:sz w:val="20"/>
                <w:szCs w:val="20"/>
              </w:rPr>
              <w:t>:0-12 months/0-24 months/0-59 months/24-59 months</w:t>
            </w:r>
          </w:p>
          <w:p w14:paraId="5614E54A" w14:textId="3168A691" w:rsidR="00406F3B" w:rsidRDefault="00406F3B" w:rsidP="00406F3B">
            <w:pPr>
              <w:pStyle w:val="ListParagraph"/>
              <w:numPr>
                <w:ilvl w:val="0"/>
                <w:numId w:val="2"/>
              </w:numPr>
              <w:spacing w:after="0" w:line="240" w:lineRule="auto"/>
              <w:ind w:left="187" w:hanging="187"/>
              <w:jc w:val="both"/>
              <w:rPr>
                <w:rFonts w:ascii="Tw Cen MT Condensed" w:hAnsi="Tw Cen MT Condensed"/>
                <w:bCs/>
                <w:sz w:val="20"/>
                <w:szCs w:val="20"/>
              </w:rPr>
            </w:pPr>
            <w:r w:rsidRPr="00D66833">
              <w:rPr>
                <w:rFonts w:ascii="Tw Cen MT Condensed" w:hAnsi="Tw Cen MT Condensed"/>
                <w:bCs/>
                <w:sz w:val="20"/>
                <w:szCs w:val="20"/>
              </w:rPr>
              <w:t>Wealth</w:t>
            </w:r>
            <w:r w:rsidR="00690EEF">
              <w:rPr>
                <w:rFonts w:ascii="Tw Cen MT Condensed" w:hAnsi="Tw Cen MT Condensed"/>
                <w:bCs/>
                <w:sz w:val="20"/>
                <w:szCs w:val="20"/>
              </w:rPr>
              <w:t xml:space="preserve"> quantile</w:t>
            </w:r>
          </w:p>
          <w:p w14:paraId="7AAD2889" w14:textId="26E2C59B" w:rsidR="00406F3B" w:rsidRDefault="00406F3B" w:rsidP="00406F3B">
            <w:pPr>
              <w:pStyle w:val="ListParagraph"/>
              <w:numPr>
                <w:ilvl w:val="0"/>
                <w:numId w:val="2"/>
              </w:numPr>
              <w:spacing w:after="0" w:line="240" w:lineRule="auto"/>
              <w:ind w:left="187" w:hanging="187"/>
              <w:jc w:val="both"/>
              <w:rPr>
                <w:rFonts w:ascii="Tw Cen MT Condensed" w:hAnsi="Tw Cen MT Condensed"/>
                <w:bCs/>
                <w:sz w:val="20"/>
                <w:szCs w:val="20"/>
              </w:rPr>
            </w:pPr>
            <w:r w:rsidRPr="00D66833">
              <w:rPr>
                <w:rFonts w:ascii="Tw Cen MT Condensed" w:hAnsi="Tw Cen MT Condensed"/>
                <w:bCs/>
                <w:sz w:val="20"/>
                <w:szCs w:val="20"/>
              </w:rPr>
              <w:lastRenderedPageBreak/>
              <w:t>Mothers' education</w:t>
            </w:r>
            <w:r w:rsidR="00690EEF">
              <w:rPr>
                <w:rFonts w:ascii="Tw Cen MT Condensed" w:hAnsi="Tw Cen MT Condensed"/>
                <w:bCs/>
                <w:sz w:val="20"/>
                <w:szCs w:val="20"/>
              </w:rPr>
              <w:t>: illiterate/primary/higher</w:t>
            </w:r>
          </w:p>
          <w:p w14:paraId="3907E5B2" w14:textId="5666F202" w:rsidR="00892004" w:rsidRDefault="00406F3B" w:rsidP="00892004">
            <w:pPr>
              <w:pStyle w:val="ListParagraph"/>
              <w:numPr>
                <w:ilvl w:val="0"/>
                <w:numId w:val="48"/>
              </w:numPr>
              <w:spacing w:after="0" w:line="240" w:lineRule="auto"/>
              <w:ind w:left="160" w:hanging="160"/>
              <w:rPr>
                <w:rFonts w:ascii="Tw Cen MT Condensed" w:hAnsi="Tw Cen MT Condensed"/>
              </w:rPr>
            </w:pPr>
            <w:r w:rsidRPr="00D66833">
              <w:rPr>
                <w:rFonts w:ascii="Tw Cen MT Condensed" w:hAnsi="Tw Cen MT Condensed"/>
                <w:bCs/>
                <w:sz w:val="20"/>
                <w:szCs w:val="20"/>
              </w:rPr>
              <w:t>Residence</w:t>
            </w:r>
            <w:r w:rsidR="00690EEF">
              <w:rPr>
                <w:rFonts w:ascii="Tw Cen MT Condensed" w:hAnsi="Tw Cen MT Condensed"/>
                <w:bCs/>
                <w:sz w:val="20"/>
                <w:szCs w:val="20"/>
              </w:rPr>
              <w:t>: urban/rural</w:t>
            </w:r>
            <w:r w:rsidR="00892004" w:rsidRPr="00D50E1C">
              <w:rPr>
                <w:rFonts w:ascii="Tw Cen MT Condensed" w:hAnsi="Tw Cen MT Condensed"/>
              </w:rPr>
              <w:t xml:space="preserve"> </w:t>
            </w:r>
          </w:p>
          <w:p w14:paraId="3988C243" w14:textId="7F03ACDC" w:rsidR="00892004" w:rsidRPr="003314D0" w:rsidRDefault="00892004" w:rsidP="00892004">
            <w:pPr>
              <w:pStyle w:val="ListParagraph"/>
              <w:numPr>
                <w:ilvl w:val="0"/>
                <w:numId w:val="48"/>
              </w:numPr>
              <w:spacing w:after="0" w:line="240" w:lineRule="auto"/>
              <w:ind w:left="160" w:hanging="160"/>
              <w:rPr>
                <w:rFonts w:ascii="Tw Cen MT Condensed" w:hAnsi="Tw Cen MT Condensed"/>
              </w:rPr>
            </w:pPr>
            <w:r w:rsidRPr="00D50E1C">
              <w:rPr>
                <w:rFonts w:ascii="Tw Cen MT Condensed" w:hAnsi="Tw Cen MT Condensed"/>
              </w:rPr>
              <w:t>Malnutrition</w:t>
            </w:r>
            <w:r>
              <w:rPr>
                <w:rFonts w:ascii="Tw Cen MT Condensed" w:hAnsi="Tw Cen MT Condensed"/>
              </w:rPr>
              <w:t xml:space="preserve">: </w:t>
            </w:r>
            <w:r w:rsidRPr="002D5F62">
              <w:rPr>
                <w:rFonts w:ascii="Tw Cen MT Condensed" w:hAnsi="Tw Cen MT Condensed"/>
              </w:rPr>
              <w:t>wasted/</w:t>
            </w:r>
            <w:r w:rsidRPr="003314D0">
              <w:rPr>
                <w:rFonts w:ascii="Tw Cen MT Condensed" w:hAnsi="Tw Cen MT Condensed"/>
              </w:rPr>
              <w:t>overweight</w:t>
            </w:r>
          </w:p>
          <w:p w14:paraId="5FF91C1C" w14:textId="77777777" w:rsidR="00406F3B" w:rsidRPr="00690EEF" w:rsidRDefault="00406F3B" w:rsidP="00A44C13">
            <w:pPr>
              <w:jc w:val="both"/>
              <w:rPr>
                <w:bCs/>
                <w:szCs w:val="20"/>
              </w:rPr>
            </w:pPr>
          </w:p>
        </w:tc>
        <w:tc>
          <w:tcPr>
            <w:tcW w:w="0" w:type="auto"/>
            <w:shd w:val="clear" w:color="auto" w:fill="auto"/>
          </w:tcPr>
          <w:p w14:paraId="72B84040" w14:textId="2EE89782" w:rsidR="00406F3B" w:rsidRDefault="005F24FB" w:rsidP="00406F3B">
            <w:pPr>
              <w:jc w:val="center"/>
              <w:rPr>
                <w:bCs/>
                <w:szCs w:val="20"/>
              </w:rPr>
            </w:pPr>
            <w:r>
              <w:rPr>
                <w:bCs/>
                <w:szCs w:val="20"/>
              </w:rPr>
              <w:lastRenderedPageBreak/>
              <w:t>Triennial</w:t>
            </w:r>
          </w:p>
        </w:tc>
        <w:tc>
          <w:tcPr>
            <w:tcW w:w="0" w:type="auto"/>
            <w:shd w:val="clear" w:color="auto" w:fill="auto"/>
          </w:tcPr>
          <w:p w14:paraId="2185CE8A" w14:textId="77777777" w:rsidR="00406F3B" w:rsidRDefault="00406F3B" w:rsidP="00406F3B">
            <w:pPr>
              <w:jc w:val="center"/>
              <w:rPr>
                <w:bCs/>
                <w:szCs w:val="20"/>
              </w:rPr>
            </w:pPr>
            <w:r>
              <w:rPr>
                <w:bCs/>
                <w:szCs w:val="20"/>
              </w:rPr>
              <w:t>Group 1</w:t>
            </w:r>
          </w:p>
        </w:tc>
        <w:tc>
          <w:tcPr>
            <w:tcW w:w="0" w:type="auto"/>
            <w:shd w:val="clear" w:color="auto" w:fill="auto"/>
          </w:tcPr>
          <w:p w14:paraId="25513E34" w14:textId="77777777" w:rsidR="00406F3B" w:rsidRPr="00097C47" w:rsidRDefault="00406F3B" w:rsidP="00406F3B">
            <w:pPr>
              <w:pStyle w:val="NoSpacing"/>
              <w:rPr>
                <w:color w:val="000000" w:themeColor="text1"/>
              </w:rPr>
            </w:pPr>
            <w:r w:rsidRPr="00097C47">
              <w:rPr>
                <w:color w:val="000000" w:themeColor="text1"/>
              </w:rPr>
              <w:t>For (a)</w:t>
            </w:r>
          </w:p>
          <w:p w14:paraId="38CC21F7" w14:textId="77777777" w:rsidR="00406F3B" w:rsidRPr="00097C47" w:rsidRDefault="00406F3B" w:rsidP="00406F3B">
            <w:pPr>
              <w:pStyle w:val="NoSpacing"/>
              <w:rPr>
                <w:color w:val="000000" w:themeColor="text1"/>
              </w:rPr>
            </w:pPr>
            <w:r w:rsidRPr="00097C47">
              <w:rPr>
                <w:color w:val="000000" w:themeColor="text1"/>
              </w:rPr>
              <w:t>1</w:t>
            </w:r>
            <w:r w:rsidRPr="00097C47">
              <w:rPr>
                <w:color w:val="000000" w:themeColor="text1"/>
                <w:vertAlign w:val="superscript"/>
              </w:rPr>
              <w:t>st</w:t>
            </w:r>
            <w:r w:rsidRPr="00097C47">
              <w:rPr>
                <w:color w:val="000000" w:themeColor="text1"/>
              </w:rPr>
              <w:t xml:space="preserve"> Round: </w:t>
            </w:r>
          </w:p>
          <w:p w14:paraId="0A3FC8BD" w14:textId="77777777" w:rsidR="00406F3B" w:rsidRPr="00097C47" w:rsidRDefault="00406F3B" w:rsidP="00406F3B">
            <w:pPr>
              <w:pStyle w:val="NoSpacing"/>
              <w:rPr>
                <w:color w:val="000000" w:themeColor="text1"/>
              </w:rPr>
            </w:pPr>
            <w:r w:rsidRPr="00097C47">
              <w:rPr>
                <w:rFonts w:eastAsia="Times New Roman" w:cs="Times New Roman"/>
                <w:color w:val="000000" w:themeColor="text1"/>
                <w:szCs w:val="20"/>
              </w:rPr>
              <w:t>2014</w:t>
            </w:r>
          </w:p>
          <w:p w14:paraId="4C04C37D" w14:textId="77777777" w:rsidR="00406F3B" w:rsidRPr="00097C47" w:rsidRDefault="00406F3B" w:rsidP="00406F3B">
            <w:pPr>
              <w:pStyle w:val="NoSpacing"/>
              <w:rPr>
                <w:color w:val="000000" w:themeColor="text1"/>
              </w:rPr>
            </w:pPr>
            <w:r w:rsidRPr="00097C47">
              <w:rPr>
                <w:color w:val="000000" w:themeColor="text1"/>
              </w:rPr>
              <w:t>2</w:t>
            </w:r>
            <w:r w:rsidRPr="00097C47">
              <w:rPr>
                <w:color w:val="000000" w:themeColor="text1"/>
                <w:vertAlign w:val="superscript"/>
              </w:rPr>
              <w:t>nd</w:t>
            </w:r>
            <w:r w:rsidRPr="00097C47">
              <w:rPr>
                <w:color w:val="000000" w:themeColor="text1"/>
              </w:rPr>
              <w:t xml:space="preserve"> Round: </w:t>
            </w:r>
          </w:p>
          <w:p w14:paraId="6DCC8187" w14:textId="77777777" w:rsidR="00406F3B" w:rsidRPr="00097C47" w:rsidRDefault="00406F3B" w:rsidP="00406F3B">
            <w:pPr>
              <w:pStyle w:val="NoSpacing"/>
              <w:rPr>
                <w:color w:val="000000" w:themeColor="text1"/>
              </w:rPr>
            </w:pPr>
            <w:r w:rsidRPr="00097C47">
              <w:rPr>
                <w:color w:val="000000" w:themeColor="text1"/>
              </w:rPr>
              <w:lastRenderedPageBreak/>
              <w:t>August 2019</w:t>
            </w:r>
          </w:p>
          <w:p w14:paraId="59920031" w14:textId="77777777" w:rsidR="00406F3B" w:rsidRPr="00097C47" w:rsidRDefault="00406F3B" w:rsidP="00406F3B">
            <w:pPr>
              <w:pStyle w:val="NoSpacing"/>
              <w:rPr>
                <w:color w:val="000000" w:themeColor="text1"/>
              </w:rPr>
            </w:pPr>
            <w:r w:rsidRPr="00097C47">
              <w:rPr>
                <w:color w:val="000000" w:themeColor="text1"/>
              </w:rPr>
              <w:t>3</w:t>
            </w:r>
            <w:r w:rsidRPr="00097C47">
              <w:rPr>
                <w:color w:val="000000" w:themeColor="text1"/>
                <w:vertAlign w:val="superscript"/>
              </w:rPr>
              <w:t>rd</w:t>
            </w:r>
            <w:r w:rsidRPr="00097C47">
              <w:rPr>
                <w:color w:val="000000" w:themeColor="text1"/>
              </w:rPr>
              <w:t xml:space="preserve"> Round: </w:t>
            </w:r>
          </w:p>
          <w:p w14:paraId="511E4439" w14:textId="77777777" w:rsidR="00406F3B" w:rsidRPr="00097C47" w:rsidRDefault="00406F3B" w:rsidP="00406F3B">
            <w:pPr>
              <w:pStyle w:val="NoSpacing"/>
              <w:rPr>
                <w:color w:val="000000" w:themeColor="text1"/>
              </w:rPr>
            </w:pPr>
            <w:r>
              <w:rPr>
                <w:color w:val="000000" w:themeColor="text1"/>
              </w:rPr>
              <w:t>August 2022</w:t>
            </w:r>
          </w:p>
          <w:p w14:paraId="112C122E" w14:textId="77777777" w:rsidR="00406F3B" w:rsidRPr="00097C47" w:rsidRDefault="00406F3B" w:rsidP="00406F3B">
            <w:pPr>
              <w:pStyle w:val="NoSpacing"/>
              <w:rPr>
                <w:color w:val="000000" w:themeColor="text1"/>
              </w:rPr>
            </w:pPr>
            <w:r w:rsidRPr="00097C47">
              <w:rPr>
                <w:color w:val="000000" w:themeColor="text1"/>
              </w:rPr>
              <w:t>4</w:t>
            </w:r>
            <w:r w:rsidRPr="00097C47">
              <w:rPr>
                <w:color w:val="000000" w:themeColor="text1"/>
                <w:vertAlign w:val="superscript"/>
              </w:rPr>
              <w:t>th</w:t>
            </w:r>
            <w:r w:rsidRPr="00097C47">
              <w:rPr>
                <w:color w:val="000000" w:themeColor="text1"/>
              </w:rPr>
              <w:t xml:space="preserve"> Round: </w:t>
            </w:r>
          </w:p>
          <w:p w14:paraId="62C22F86" w14:textId="77777777" w:rsidR="00406F3B" w:rsidRPr="00097C47" w:rsidRDefault="00406F3B" w:rsidP="00406F3B">
            <w:pPr>
              <w:pStyle w:val="NoSpacing"/>
              <w:rPr>
                <w:color w:val="000000" w:themeColor="text1"/>
              </w:rPr>
            </w:pPr>
            <w:r>
              <w:rPr>
                <w:color w:val="000000" w:themeColor="text1"/>
              </w:rPr>
              <w:t>August 2025</w:t>
            </w:r>
          </w:p>
          <w:p w14:paraId="4EA60617" w14:textId="77777777" w:rsidR="00406F3B" w:rsidRPr="00097C47" w:rsidRDefault="00406F3B" w:rsidP="00406F3B">
            <w:pPr>
              <w:pStyle w:val="NoSpacing"/>
              <w:rPr>
                <w:color w:val="000000" w:themeColor="text1"/>
              </w:rPr>
            </w:pPr>
            <w:r w:rsidRPr="00097C47">
              <w:rPr>
                <w:color w:val="000000" w:themeColor="text1"/>
              </w:rPr>
              <w:t>5</w:t>
            </w:r>
            <w:r w:rsidRPr="00097C47">
              <w:rPr>
                <w:color w:val="000000" w:themeColor="text1"/>
                <w:vertAlign w:val="superscript"/>
              </w:rPr>
              <w:t>th</w:t>
            </w:r>
            <w:r w:rsidRPr="00097C47">
              <w:rPr>
                <w:color w:val="000000" w:themeColor="text1"/>
              </w:rPr>
              <w:t xml:space="preserve"> Round: </w:t>
            </w:r>
          </w:p>
          <w:p w14:paraId="52447519" w14:textId="77777777" w:rsidR="00406F3B" w:rsidRPr="00097C47" w:rsidRDefault="00406F3B" w:rsidP="00406F3B">
            <w:pPr>
              <w:pStyle w:val="NoSpacing"/>
              <w:rPr>
                <w:color w:val="000000" w:themeColor="text1"/>
              </w:rPr>
            </w:pPr>
            <w:r>
              <w:rPr>
                <w:color w:val="000000" w:themeColor="text1"/>
              </w:rPr>
              <w:t>August 2028</w:t>
            </w:r>
          </w:p>
          <w:p w14:paraId="274D2AA2" w14:textId="77777777" w:rsidR="00406F3B" w:rsidRDefault="00406F3B" w:rsidP="00406F3B">
            <w:pPr>
              <w:pStyle w:val="NoSpacing"/>
              <w:rPr>
                <w:color w:val="FF0000"/>
              </w:rPr>
            </w:pPr>
          </w:p>
          <w:p w14:paraId="56694791" w14:textId="77777777" w:rsidR="00406F3B" w:rsidRDefault="00406F3B" w:rsidP="00406F3B">
            <w:pPr>
              <w:pStyle w:val="NoSpacing"/>
              <w:rPr>
                <w:color w:val="FF0000"/>
              </w:rPr>
            </w:pPr>
          </w:p>
          <w:p w14:paraId="1FEB60CA" w14:textId="77777777" w:rsidR="00406F3B" w:rsidRPr="00097C47" w:rsidRDefault="00406F3B" w:rsidP="00406F3B">
            <w:pPr>
              <w:pStyle w:val="NoSpacing"/>
              <w:rPr>
                <w:color w:val="000000" w:themeColor="text1"/>
              </w:rPr>
            </w:pPr>
            <w:r>
              <w:rPr>
                <w:color w:val="000000" w:themeColor="text1"/>
              </w:rPr>
              <w:t>For (b</w:t>
            </w:r>
            <w:r w:rsidRPr="00097C47">
              <w:rPr>
                <w:color w:val="000000" w:themeColor="text1"/>
              </w:rPr>
              <w:t>)</w:t>
            </w:r>
          </w:p>
          <w:p w14:paraId="23ECFA6E" w14:textId="77777777" w:rsidR="00406F3B" w:rsidRPr="00097C47" w:rsidRDefault="00406F3B" w:rsidP="00406F3B">
            <w:pPr>
              <w:pStyle w:val="NoSpacing"/>
              <w:rPr>
                <w:color w:val="000000" w:themeColor="text1"/>
              </w:rPr>
            </w:pPr>
            <w:r w:rsidRPr="00097C47">
              <w:rPr>
                <w:color w:val="000000" w:themeColor="text1"/>
              </w:rPr>
              <w:t>1</w:t>
            </w:r>
            <w:r w:rsidRPr="00097C47">
              <w:rPr>
                <w:color w:val="000000" w:themeColor="text1"/>
                <w:vertAlign w:val="superscript"/>
              </w:rPr>
              <w:t>st</w:t>
            </w:r>
            <w:r w:rsidRPr="00097C47">
              <w:rPr>
                <w:color w:val="000000" w:themeColor="text1"/>
              </w:rPr>
              <w:t xml:space="preserve"> Round: </w:t>
            </w:r>
          </w:p>
          <w:p w14:paraId="555007A8" w14:textId="77777777" w:rsidR="00406F3B" w:rsidRPr="00097C47" w:rsidRDefault="00406F3B" w:rsidP="00406F3B">
            <w:pPr>
              <w:pStyle w:val="NoSpacing"/>
              <w:rPr>
                <w:color w:val="000000" w:themeColor="text1"/>
              </w:rPr>
            </w:pPr>
            <w:r w:rsidRPr="00097C47">
              <w:rPr>
                <w:rFonts w:eastAsia="Times New Roman" w:cs="Times New Roman"/>
                <w:color w:val="000000" w:themeColor="text1"/>
                <w:szCs w:val="20"/>
              </w:rPr>
              <w:t>2014</w:t>
            </w:r>
          </w:p>
          <w:p w14:paraId="7A428C9F" w14:textId="77777777" w:rsidR="00406F3B" w:rsidRPr="00097C47" w:rsidRDefault="00406F3B" w:rsidP="00406F3B">
            <w:pPr>
              <w:pStyle w:val="NoSpacing"/>
              <w:rPr>
                <w:color w:val="000000" w:themeColor="text1"/>
              </w:rPr>
            </w:pPr>
            <w:r w:rsidRPr="00097C47">
              <w:rPr>
                <w:color w:val="000000" w:themeColor="text1"/>
              </w:rPr>
              <w:t>2</w:t>
            </w:r>
            <w:r w:rsidRPr="00097C47">
              <w:rPr>
                <w:color w:val="000000" w:themeColor="text1"/>
                <w:vertAlign w:val="superscript"/>
              </w:rPr>
              <w:t>nd</w:t>
            </w:r>
            <w:r w:rsidRPr="00097C47">
              <w:rPr>
                <w:color w:val="000000" w:themeColor="text1"/>
              </w:rPr>
              <w:t xml:space="preserve"> Round: </w:t>
            </w:r>
          </w:p>
          <w:p w14:paraId="6619B2BC" w14:textId="77777777" w:rsidR="00406F3B" w:rsidRPr="00097C47" w:rsidRDefault="00406F3B" w:rsidP="00406F3B">
            <w:pPr>
              <w:pStyle w:val="NoSpacing"/>
              <w:rPr>
                <w:color w:val="000000" w:themeColor="text1"/>
              </w:rPr>
            </w:pPr>
            <w:r w:rsidRPr="00097C47">
              <w:rPr>
                <w:color w:val="000000" w:themeColor="text1"/>
              </w:rPr>
              <w:t>August 2019</w:t>
            </w:r>
          </w:p>
          <w:p w14:paraId="02EAC39F" w14:textId="77777777" w:rsidR="00406F3B" w:rsidRPr="00097C47" w:rsidRDefault="00406F3B" w:rsidP="00406F3B">
            <w:pPr>
              <w:pStyle w:val="NoSpacing"/>
              <w:rPr>
                <w:color w:val="000000" w:themeColor="text1"/>
              </w:rPr>
            </w:pPr>
            <w:r w:rsidRPr="00097C47">
              <w:rPr>
                <w:color w:val="000000" w:themeColor="text1"/>
              </w:rPr>
              <w:t>3</w:t>
            </w:r>
            <w:r w:rsidRPr="00097C47">
              <w:rPr>
                <w:color w:val="000000" w:themeColor="text1"/>
                <w:vertAlign w:val="superscript"/>
              </w:rPr>
              <w:t>rd</w:t>
            </w:r>
            <w:r w:rsidRPr="00097C47">
              <w:rPr>
                <w:color w:val="000000" w:themeColor="text1"/>
              </w:rPr>
              <w:t xml:space="preserve"> Round: </w:t>
            </w:r>
          </w:p>
          <w:p w14:paraId="035F5EC4" w14:textId="77777777" w:rsidR="00406F3B" w:rsidRPr="00097C47" w:rsidRDefault="00406F3B" w:rsidP="00406F3B">
            <w:pPr>
              <w:pStyle w:val="NoSpacing"/>
              <w:rPr>
                <w:color w:val="000000" w:themeColor="text1"/>
              </w:rPr>
            </w:pPr>
            <w:r>
              <w:rPr>
                <w:color w:val="000000" w:themeColor="text1"/>
              </w:rPr>
              <w:t>August 2022</w:t>
            </w:r>
          </w:p>
          <w:p w14:paraId="7CC33AED" w14:textId="77777777" w:rsidR="00406F3B" w:rsidRPr="00097C47" w:rsidRDefault="00406F3B" w:rsidP="00406F3B">
            <w:pPr>
              <w:pStyle w:val="NoSpacing"/>
              <w:rPr>
                <w:color w:val="000000" w:themeColor="text1"/>
              </w:rPr>
            </w:pPr>
            <w:r w:rsidRPr="00097C47">
              <w:rPr>
                <w:color w:val="000000" w:themeColor="text1"/>
              </w:rPr>
              <w:t>4</w:t>
            </w:r>
            <w:r w:rsidRPr="00097C47">
              <w:rPr>
                <w:color w:val="000000" w:themeColor="text1"/>
                <w:vertAlign w:val="superscript"/>
              </w:rPr>
              <w:t>th</w:t>
            </w:r>
            <w:r w:rsidRPr="00097C47">
              <w:rPr>
                <w:color w:val="000000" w:themeColor="text1"/>
              </w:rPr>
              <w:t xml:space="preserve"> Round: </w:t>
            </w:r>
          </w:p>
          <w:p w14:paraId="68B88FFF" w14:textId="77777777" w:rsidR="00406F3B" w:rsidRPr="00097C47" w:rsidRDefault="00406F3B" w:rsidP="00406F3B">
            <w:pPr>
              <w:pStyle w:val="NoSpacing"/>
              <w:rPr>
                <w:color w:val="000000" w:themeColor="text1"/>
              </w:rPr>
            </w:pPr>
            <w:r>
              <w:rPr>
                <w:color w:val="000000" w:themeColor="text1"/>
              </w:rPr>
              <w:t>August 2025</w:t>
            </w:r>
          </w:p>
          <w:p w14:paraId="0B790893" w14:textId="77777777" w:rsidR="00406F3B" w:rsidRPr="00097C47" w:rsidRDefault="00406F3B" w:rsidP="00406F3B">
            <w:pPr>
              <w:pStyle w:val="NoSpacing"/>
              <w:rPr>
                <w:color w:val="000000" w:themeColor="text1"/>
              </w:rPr>
            </w:pPr>
            <w:r w:rsidRPr="00097C47">
              <w:rPr>
                <w:color w:val="000000" w:themeColor="text1"/>
              </w:rPr>
              <w:t>5</w:t>
            </w:r>
            <w:r w:rsidRPr="00097C47">
              <w:rPr>
                <w:color w:val="000000" w:themeColor="text1"/>
                <w:vertAlign w:val="superscript"/>
              </w:rPr>
              <w:t>th</w:t>
            </w:r>
            <w:r w:rsidRPr="00097C47">
              <w:rPr>
                <w:color w:val="000000" w:themeColor="text1"/>
              </w:rPr>
              <w:t xml:space="preserve"> Round: </w:t>
            </w:r>
          </w:p>
          <w:p w14:paraId="3D4AA833" w14:textId="77777777" w:rsidR="00406F3B" w:rsidRPr="00097C47" w:rsidRDefault="00406F3B" w:rsidP="00406F3B">
            <w:pPr>
              <w:pStyle w:val="NoSpacing"/>
              <w:rPr>
                <w:color w:val="000000" w:themeColor="text1"/>
              </w:rPr>
            </w:pPr>
            <w:r>
              <w:rPr>
                <w:color w:val="000000" w:themeColor="text1"/>
              </w:rPr>
              <w:t>August 2028</w:t>
            </w:r>
          </w:p>
          <w:p w14:paraId="74237A3A" w14:textId="2E660E8E" w:rsidR="00406F3B" w:rsidRPr="003265B9" w:rsidRDefault="00406F3B" w:rsidP="00406F3B">
            <w:pPr>
              <w:pStyle w:val="NoSpacing"/>
            </w:pPr>
          </w:p>
        </w:tc>
        <w:tc>
          <w:tcPr>
            <w:tcW w:w="0" w:type="auto"/>
            <w:shd w:val="clear" w:color="auto" w:fill="auto"/>
          </w:tcPr>
          <w:p w14:paraId="1014EAC6" w14:textId="567CFEC7" w:rsidR="00406F3B" w:rsidRDefault="00406F3B" w:rsidP="00406F3B">
            <w:pPr>
              <w:pStyle w:val="NoSpacing"/>
              <w:rPr>
                <w:bCs/>
                <w:szCs w:val="20"/>
              </w:rPr>
            </w:pPr>
          </w:p>
        </w:tc>
      </w:tr>
      <w:tr w:rsidR="0098022F" w14:paraId="50C0A35C" w14:textId="77777777" w:rsidTr="0085651F">
        <w:tc>
          <w:tcPr>
            <w:tcW w:w="0" w:type="auto"/>
            <w:gridSpan w:val="2"/>
            <w:shd w:val="clear" w:color="auto" w:fill="auto"/>
          </w:tcPr>
          <w:p w14:paraId="6D078A96" w14:textId="77777777" w:rsidR="00406F3B" w:rsidRPr="00D66833" w:rsidRDefault="00406F3B" w:rsidP="00406F3B">
            <w:pPr>
              <w:jc w:val="both"/>
              <w:rPr>
                <w:szCs w:val="20"/>
              </w:rPr>
            </w:pPr>
            <w:r w:rsidRPr="003654A8">
              <w:rPr>
                <w:szCs w:val="20"/>
              </w:rPr>
              <w:lastRenderedPageBreak/>
              <w:t>2.2.3 Prevalence of anaemia in women aged 15 to 49 years, by pregnancy status (percentage)</w:t>
            </w:r>
          </w:p>
        </w:tc>
        <w:tc>
          <w:tcPr>
            <w:tcW w:w="0" w:type="auto"/>
            <w:shd w:val="clear" w:color="auto" w:fill="auto"/>
          </w:tcPr>
          <w:p w14:paraId="555C89A9" w14:textId="77777777" w:rsidR="00406F3B" w:rsidRDefault="00406F3B" w:rsidP="00406F3B">
            <w:pPr>
              <w:pStyle w:val="Default"/>
              <w:jc w:val="center"/>
              <w:rPr>
                <w:rFonts w:ascii="Tw Cen MT Condensed" w:hAnsi="Tw Cen MT Condensed" w:cs="Shonar Bangla"/>
                <w:szCs w:val="20"/>
              </w:rPr>
            </w:pPr>
          </w:p>
        </w:tc>
        <w:tc>
          <w:tcPr>
            <w:tcW w:w="0" w:type="auto"/>
            <w:shd w:val="clear" w:color="auto" w:fill="auto"/>
          </w:tcPr>
          <w:p w14:paraId="5A1A0B42" w14:textId="03EA5543" w:rsidR="00406F3B" w:rsidRDefault="00754676" w:rsidP="00406F3B">
            <w:pPr>
              <w:pStyle w:val="NoSpacing"/>
            </w:pPr>
            <w:r>
              <w:t>TBD</w:t>
            </w:r>
          </w:p>
        </w:tc>
        <w:tc>
          <w:tcPr>
            <w:tcW w:w="0" w:type="auto"/>
            <w:shd w:val="clear" w:color="auto" w:fill="auto"/>
          </w:tcPr>
          <w:p w14:paraId="342ECE46" w14:textId="77777777" w:rsidR="00406F3B" w:rsidRPr="00D66833" w:rsidRDefault="00406F3B" w:rsidP="00406F3B">
            <w:pPr>
              <w:pStyle w:val="Default"/>
              <w:jc w:val="both"/>
              <w:rPr>
                <w:rFonts w:ascii="Tw Cen MT Condensed" w:hAnsi="Tw Cen MT Condensed"/>
                <w:b/>
                <w:bCs/>
                <w:szCs w:val="20"/>
              </w:rPr>
            </w:pPr>
            <w:r w:rsidRPr="00D66833">
              <w:rPr>
                <w:rFonts w:ascii="Tw Cen MT Condensed" w:hAnsi="Tw Cen MT Condensed"/>
                <w:b/>
                <w:bCs/>
                <w:szCs w:val="20"/>
              </w:rPr>
              <w:t>Definition:</w:t>
            </w:r>
          </w:p>
          <w:p w14:paraId="02AC3178" w14:textId="77777777" w:rsidR="00406F3B" w:rsidRDefault="00406F3B" w:rsidP="00406F3B">
            <w:pPr>
              <w:pStyle w:val="NoSpacing"/>
            </w:pPr>
            <w:r>
              <w:t>Percentage of women aged 15</w:t>
            </w:r>
            <w:r>
              <w:rPr>
                <w:rFonts w:ascii="Arial" w:hAnsi="Arial" w:cs="Arial"/>
              </w:rPr>
              <w:t>−</w:t>
            </w:r>
            <w:r>
              <w:t>49 years with a haemoglobin concentration less than 120 g/L for nonpregnant women and lactating women, and less than 110 g/L for pregnant women, adjusted for altitude and smoking.</w:t>
            </w:r>
          </w:p>
          <w:p w14:paraId="22F27A80" w14:textId="77777777" w:rsidR="00406F3B" w:rsidRDefault="00406F3B" w:rsidP="00406F3B">
            <w:pPr>
              <w:pStyle w:val="NoSpacing"/>
            </w:pPr>
          </w:p>
          <w:p w14:paraId="4B5232EE" w14:textId="77777777" w:rsidR="00406F3B" w:rsidRPr="000C4849" w:rsidRDefault="00406F3B" w:rsidP="00406F3B">
            <w:pPr>
              <w:pStyle w:val="NoSpacing"/>
              <w:rPr>
                <w:b/>
              </w:rPr>
            </w:pPr>
            <w:r w:rsidRPr="000C4849">
              <w:rPr>
                <w:b/>
              </w:rPr>
              <w:t xml:space="preserve">Concepts: </w:t>
            </w:r>
          </w:p>
          <w:p w14:paraId="2B78A84F" w14:textId="77777777" w:rsidR="00406F3B" w:rsidRDefault="00406F3B" w:rsidP="00406F3B">
            <w:pPr>
              <w:pStyle w:val="NoSpacing"/>
            </w:pPr>
            <w:r w:rsidRPr="000B3CCB">
              <w:t xml:space="preserve">Anaemia: condition in which the concentration of blood haemoglobin falls below established cut-off values. </w:t>
            </w:r>
          </w:p>
          <w:p w14:paraId="4EDD9BFD" w14:textId="77777777" w:rsidR="00406F3B" w:rsidRDefault="00406F3B" w:rsidP="00406F3B">
            <w:pPr>
              <w:pStyle w:val="NoSpacing"/>
            </w:pPr>
            <w:r w:rsidRPr="000B3CCB">
              <w:t xml:space="preserve">Iron deficiency state in which there is insufficient iron to maintain the normal physiological function of blood, brain and muscles (ICD-11, 5B5K.0 iron deficiency) </w:t>
            </w:r>
          </w:p>
          <w:p w14:paraId="26B62914" w14:textId="77777777" w:rsidR="00406F3B" w:rsidRDefault="00406F3B" w:rsidP="00406F3B">
            <w:pPr>
              <w:pStyle w:val="NoSpacing"/>
            </w:pPr>
            <w:r w:rsidRPr="000B3CCB">
              <w:t>Iron deficiency anaemia: (ICD-11, 3A00, iron deficiency anaemia) Blood haemoglobin concentration: concentration of haemoglobin in whole blood</w:t>
            </w:r>
          </w:p>
          <w:p w14:paraId="3552BAE2" w14:textId="77777777" w:rsidR="00406F3B" w:rsidRPr="000C4849" w:rsidRDefault="00406F3B" w:rsidP="00406F3B">
            <w:pPr>
              <w:pStyle w:val="NoSpacing"/>
              <w:rPr>
                <w:b/>
              </w:rPr>
            </w:pPr>
            <w:r w:rsidRPr="000C4849">
              <w:rPr>
                <w:b/>
              </w:rPr>
              <w:t xml:space="preserve">Computation Method: </w:t>
            </w:r>
          </w:p>
          <w:p w14:paraId="41D8490B" w14:textId="77777777" w:rsidR="00406F3B" w:rsidRDefault="00406F3B" w:rsidP="00406F3B">
            <w:pPr>
              <w:pStyle w:val="NoSpacing"/>
            </w:pPr>
            <w:r w:rsidRPr="000B3CCB">
              <w:t>The anaemia status of women is assessed using blood haemoglobin concentrations. In surveys, blood haemoglobin concentrations are typically measured using the direct cyanmethemoglobin method in a laboratory or with a portable, battery-operated, haemoglobin photometer in the field that uses the azide-methaemoglobin method.</w:t>
            </w:r>
          </w:p>
          <w:p w14:paraId="2176F5C7" w14:textId="77777777" w:rsidR="00406F3B" w:rsidRPr="007F406A" w:rsidRDefault="00406F3B" w:rsidP="00406F3B">
            <w:pPr>
              <w:pStyle w:val="NoSpacing"/>
            </w:pPr>
            <w:r w:rsidRPr="000B3CCB">
              <w:t xml:space="preserve">Prevalence of anaemia and/or mean haemoglobin in women of reproductive age </w:t>
            </w:r>
            <w:proofErr w:type="gramStart"/>
            <w:r w:rsidRPr="000B3CCB">
              <w:t>were</w:t>
            </w:r>
            <w:proofErr w:type="gramEnd"/>
            <w:r w:rsidRPr="000B3CCB">
              <w:t xml:space="preserve"> obtained from 303 population-representative data sources from 116 countries worldwide. Data collected from 1990 to 2016 were used. Adjustment of data on blood haemoglobin concentrations for altitude and smoking was carried out whenever possible. Biologically implausible haemoglobin values (&lt;25 g/L or &gt;200 g/L) were excluded. A Bayesian hierarchical mixture model was used to estimate haemoglobin distributions and systematically addressed missing data, non-linear time trends, and representativeness of data sources.</w:t>
            </w:r>
          </w:p>
        </w:tc>
        <w:tc>
          <w:tcPr>
            <w:tcW w:w="0" w:type="auto"/>
            <w:shd w:val="clear" w:color="auto" w:fill="auto"/>
          </w:tcPr>
          <w:p w14:paraId="6BBF9168" w14:textId="77777777" w:rsidR="00406F3B" w:rsidRDefault="00406F3B" w:rsidP="00406F3B">
            <w:pPr>
              <w:pStyle w:val="NoSpacing"/>
            </w:pPr>
            <w:r>
              <w:t>Survey</w:t>
            </w:r>
          </w:p>
          <w:p w14:paraId="2F3A32E0" w14:textId="77777777" w:rsidR="00406F3B" w:rsidRDefault="00406F3B" w:rsidP="00406F3B">
            <w:pPr>
              <w:pStyle w:val="NoSpacing"/>
            </w:pPr>
          </w:p>
          <w:p w14:paraId="66BE8B06" w14:textId="77777777" w:rsidR="00406F3B" w:rsidRDefault="00406F3B" w:rsidP="00406F3B">
            <w:pPr>
              <w:pStyle w:val="NoSpacing"/>
            </w:pPr>
          </w:p>
          <w:p w14:paraId="36E8423E" w14:textId="77777777" w:rsidR="00406F3B" w:rsidRDefault="00406F3B" w:rsidP="00406F3B">
            <w:pPr>
              <w:pStyle w:val="NoSpacing"/>
            </w:pPr>
            <w:r>
              <w:t xml:space="preserve">Bayesian hierarchical mixture model </w:t>
            </w:r>
          </w:p>
          <w:p w14:paraId="07420EEE" w14:textId="77777777" w:rsidR="00406F3B" w:rsidRPr="002268CE" w:rsidRDefault="00406F3B" w:rsidP="00406F3B">
            <w:pPr>
              <w:pStyle w:val="NoSpacing"/>
            </w:pPr>
          </w:p>
        </w:tc>
        <w:tc>
          <w:tcPr>
            <w:tcW w:w="0" w:type="auto"/>
            <w:shd w:val="clear" w:color="auto" w:fill="auto"/>
          </w:tcPr>
          <w:p w14:paraId="0C43821A" w14:textId="77777777" w:rsidR="00406F3B" w:rsidRDefault="00406F3B" w:rsidP="00406F3B">
            <w:pPr>
              <w:pStyle w:val="NoSpacing"/>
            </w:pPr>
            <w:r w:rsidRPr="002268CE">
              <w:t xml:space="preserve">Ministries of Health through WHO regional and country offices,  </w:t>
            </w:r>
          </w:p>
          <w:p w14:paraId="14E2D76B" w14:textId="77777777" w:rsidR="00406F3B" w:rsidRPr="002268CE" w:rsidRDefault="00406F3B" w:rsidP="00406F3B">
            <w:pPr>
              <w:pStyle w:val="NoSpacing"/>
            </w:pPr>
          </w:p>
          <w:p w14:paraId="5D6EF1A5" w14:textId="77777777" w:rsidR="00406F3B" w:rsidRDefault="00406F3B" w:rsidP="00406F3B">
            <w:pPr>
              <w:pStyle w:val="NoSpacing"/>
            </w:pPr>
            <w:r w:rsidRPr="002268CE">
              <w:t xml:space="preserve">National research and academic institutions, </w:t>
            </w:r>
          </w:p>
          <w:p w14:paraId="0439359D" w14:textId="77777777" w:rsidR="00406F3B" w:rsidRPr="002268CE" w:rsidRDefault="00406F3B" w:rsidP="00406F3B">
            <w:pPr>
              <w:pStyle w:val="NoSpacing"/>
            </w:pPr>
          </w:p>
          <w:p w14:paraId="21CA8661" w14:textId="77777777" w:rsidR="00406F3B" w:rsidRPr="002268CE" w:rsidRDefault="00406F3B" w:rsidP="00406F3B">
            <w:pPr>
              <w:pStyle w:val="NoSpacing"/>
            </w:pPr>
            <w:r w:rsidRPr="002268CE">
              <w:t xml:space="preserve">Nongovernmental organizations, and </w:t>
            </w:r>
          </w:p>
          <w:p w14:paraId="7191EF82" w14:textId="77777777" w:rsidR="00406F3B" w:rsidRPr="002268CE" w:rsidRDefault="00406F3B" w:rsidP="00406F3B">
            <w:pPr>
              <w:pStyle w:val="NoSpacing"/>
            </w:pPr>
            <w:r w:rsidRPr="002268CE">
              <w:t>Organizations of th</w:t>
            </w:r>
            <w:hyperlink r:id="rId51">
              <w:r w:rsidRPr="002268CE">
                <w:t xml:space="preserve">e </w:t>
              </w:r>
            </w:hyperlink>
            <w:hyperlink r:id="rId52">
              <w:r w:rsidRPr="002268CE">
                <w:t>United Nations</w:t>
              </w:r>
            </w:hyperlink>
            <w:hyperlink r:id="rId53">
              <w:r w:rsidRPr="002268CE">
                <w:t xml:space="preserve"> </w:t>
              </w:r>
            </w:hyperlink>
            <w:r w:rsidRPr="002268CE">
              <w:t xml:space="preserve">system.  </w:t>
            </w:r>
          </w:p>
          <w:p w14:paraId="069E37E1" w14:textId="77777777" w:rsidR="00406F3B" w:rsidRPr="002268CE" w:rsidRDefault="00406F3B" w:rsidP="00406F3B">
            <w:pPr>
              <w:pStyle w:val="NoSpacing"/>
            </w:pPr>
          </w:p>
        </w:tc>
        <w:tc>
          <w:tcPr>
            <w:tcW w:w="0" w:type="auto"/>
            <w:shd w:val="clear" w:color="auto" w:fill="auto"/>
          </w:tcPr>
          <w:p w14:paraId="7ED26AB5" w14:textId="77777777" w:rsidR="00406F3B" w:rsidRPr="00D66833" w:rsidRDefault="00406F3B" w:rsidP="00406F3B">
            <w:pPr>
              <w:jc w:val="both"/>
              <w:rPr>
                <w:bCs/>
                <w:szCs w:val="20"/>
              </w:rPr>
            </w:pPr>
            <w:r>
              <w:rPr>
                <w:rFonts w:eastAsia="Times New Roman" w:cs="Times New Roman"/>
                <w:color w:val="FF0000"/>
                <w:szCs w:val="26"/>
              </w:rPr>
              <w:t>NMSB, IPHN</w:t>
            </w:r>
          </w:p>
        </w:tc>
        <w:tc>
          <w:tcPr>
            <w:tcW w:w="0" w:type="auto"/>
            <w:shd w:val="clear" w:color="auto" w:fill="auto"/>
          </w:tcPr>
          <w:p w14:paraId="695495E4" w14:textId="77777777" w:rsidR="00406F3B" w:rsidRDefault="00406F3B" w:rsidP="00406F3B">
            <w:pPr>
              <w:spacing w:line="276" w:lineRule="auto"/>
              <w:rPr>
                <w:color w:val="FF0000"/>
                <w:szCs w:val="26"/>
              </w:rPr>
            </w:pPr>
            <w:r w:rsidRPr="0036388E">
              <w:rPr>
                <w:color w:val="FF0000"/>
                <w:szCs w:val="26"/>
              </w:rPr>
              <w:t xml:space="preserve">a) </w:t>
            </w:r>
            <w:r>
              <w:rPr>
                <w:color w:val="FF0000"/>
                <w:szCs w:val="26"/>
              </w:rPr>
              <w:t>MICS/</w:t>
            </w:r>
            <w:r w:rsidRPr="0036388E">
              <w:rPr>
                <w:color w:val="FF0000"/>
                <w:szCs w:val="26"/>
              </w:rPr>
              <w:t xml:space="preserve"> HMSS</w:t>
            </w:r>
            <w:r>
              <w:rPr>
                <w:color w:val="FF0000"/>
                <w:szCs w:val="26"/>
              </w:rPr>
              <w:t xml:space="preserve">, </w:t>
            </w:r>
            <w:r w:rsidRPr="0036388E">
              <w:rPr>
                <w:color w:val="FF0000"/>
                <w:szCs w:val="26"/>
              </w:rPr>
              <w:t xml:space="preserve">BBS </w:t>
            </w:r>
          </w:p>
          <w:p w14:paraId="6D073AA5" w14:textId="77777777" w:rsidR="00406F3B" w:rsidRPr="00D66833" w:rsidRDefault="00406F3B" w:rsidP="00406F3B">
            <w:pPr>
              <w:jc w:val="both"/>
              <w:rPr>
                <w:bCs/>
                <w:szCs w:val="20"/>
              </w:rPr>
            </w:pPr>
            <w:r w:rsidRPr="0036388E">
              <w:rPr>
                <w:color w:val="FF0000"/>
                <w:szCs w:val="26"/>
              </w:rPr>
              <w:t>b)</w:t>
            </w:r>
            <w:r>
              <w:rPr>
                <w:color w:val="FF0000"/>
                <w:szCs w:val="26"/>
              </w:rPr>
              <w:t xml:space="preserve"> IPHN, DGHS</w:t>
            </w:r>
          </w:p>
        </w:tc>
        <w:tc>
          <w:tcPr>
            <w:tcW w:w="0" w:type="auto"/>
            <w:shd w:val="clear" w:color="auto" w:fill="auto"/>
          </w:tcPr>
          <w:p w14:paraId="6C9A8F9D" w14:textId="77777777" w:rsidR="00892004" w:rsidRDefault="00892004" w:rsidP="00892004">
            <w:pPr>
              <w:pStyle w:val="ListParagraph"/>
              <w:numPr>
                <w:ilvl w:val="0"/>
                <w:numId w:val="48"/>
              </w:numPr>
              <w:spacing w:after="0" w:line="240" w:lineRule="auto"/>
              <w:ind w:left="160" w:hanging="160"/>
              <w:rPr>
                <w:rFonts w:ascii="Tw Cen MT Condensed" w:hAnsi="Tw Cen MT Condensed"/>
                <w:color w:val="FF0000"/>
                <w:sz w:val="20"/>
                <w:szCs w:val="26"/>
              </w:rPr>
            </w:pPr>
            <w:r>
              <w:rPr>
                <w:rFonts w:ascii="Tw Cen MT Condensed" w:hAnsi="Tw Cen MT Condensed"/>
                <w:color w:val="FF0000"/>
                <w:sz w:val="20"/>
                <w:szCs w:val="26"/>
              </w:rPr>
              <w:t>Age: 15-19 yrs/ 20-24 yrs/25-29 yrs/30-34 yrs/35-39 yrs/40-44 yrs/45-49 yrs</w:t>
            </w:r>
          </w:p>
          <w:p w14:paraId="598798CD" w14:textId="77777777" w:rsidR="00892004" w:rsidRPr="000C4849" w:rsidRDefault="00892004" w:rsidP="000C4849">
            <w:pPr>
              <w:pStyle w:val="ListParagraph"/>
              <w:numPr>
                <w:ilvl w:val="0"/>
                <w:numId w:val="48"/>
              </w:numPr>
              <w:spacing w:after="0" w:line="240" w:lineRule="auto"/>
              <w:ind w:left="160" w:hanging="160"/>
              <w:rPr>
                <w:rFonts w:ascii="Tw Cen MT Condensed" w:hAnsi="Tw Cen MT Condensed"/>
                <w:bCs/>
                <w:sz w:val="20"/>
                <w:szCs w:val="20"/>
              </w:rPr>
            </w:pPr>
            <w:r>
              <w:rPr>
                <w:rFonts w:ascii="Tw Cen MT Condensed" w:hAnsi="Tw Cen MT Condensed"/>
                <w:color w:val="FF0000"/>
                <w:sz w:val="20"/>
                <w:szCs w:val="26"/>
              </w:rPr>
              <w:t>Residence: Rural/Urban</w:t>
            </w:r>
          </w:p>
          <w:p w14:paraId="4961BE95" w14:textId="41FDC73D" w:rsidR="00406F3B" w:rsidRPr="00D66833" w:rsidRDefault="00892004" w:rsidP="000C4849">
            <w:pPr>
              <w:pStyle w:val="ListParagraph"/>
              <w:numPr>
                <w:ilvl w:val="0"/>
                <w:numId w:val="48"/>
              </w:numPr>
              <w:spacing w:after="0" w:line="240" w:lineRule="auto"/>
              <w:ind w:left="160" w:hanging="160"/>
              <w:rPr>
                <w:rFonts w:ascii="Tw Cen MT Condensed" w:hAnsi="Tw Cen MT Condensed"/>
                <w:bCs/>
                <w:sz w:val="20"/>
                <w:szCs w:val="20"/>
              </w:rPr>
            </w:pPr>
            <w:r>
              <w:rPr>
                <w:rFonts w:ascii="Tw Cen MT Condensed" w:hAnsi="Tw Cen MT Condensed"/>
                <w:color w:val="FF0000"/>
                <w:sz w:val="20"/>
                <w:szCs w:val="26"/>
              </w:rPr>
              <w:t>Location: Division/District</w:t>
            </w:r>
          </w:p>
        </w:tc>
        <w:tc>
          <w:tcPr>
            <w:tcW w:w="0" w:type="auto"/>
            <w:shd w:val="clear" w:color="auto" w:fill="auto"/>
          </w:tcPr>
          <w:p w14:paraId="45D930AC" w14:textId="77777777" w:rsidR="00406F3B" w:rsidRDefault="00406F3B" w:rsidP="00406F3B">
            <w:pPr>
              <w:jc w:val="center"/>
              <w:rPr>
                <w:bCs/>
                <w:szCs w:val="20"/>
              </w:rPr>
            </w:pPr>
          </w:p>
        </w:tc>
        <w:tc>
          <w:tcPr>
            <w:tcW w:w="0" w:type="auto"/>
            <w:shd w:val="clear" w:color="auto" w:fill="auto"/>
          </w:tcPr>
          <w:p w14:paraId="382D0875" w14:textId="77777777" w:rsidR="00406F3B" w:rsidRDefault="00406F3B" w:rsidP="00406F3B">
            <w:pPr>
              <w:jc w:val="center"/>
              <w:rPr>
                <w:bCs/>
                <w:szCs w:val="20"/>
              </w:rPr>
            </w:pPr>
          </w:p>
        </w:tc>
        <w:tc>
          <w:tcPr>
            <w:tcW w:w="0" w:type="auto"/>
            <w:shd w:val="clear" w:color="auto" w:fill="auto"/>
          </w:tcPr>
          <w:p w14:paraId="32AA3F68" w14:textId="77777777" w:rsidR="00406F3B" w:rsidRDefault="00406F3B" w:rsidP="00406F3B">
            <w:pPr>
              <w:pStyle w:val="NoSpacing"/>
            </w:pPr>
            <w:r>
              <w:t>1</w:t>
            </w:r>
            <w:r w:rsidRPr="00013ACB">
              <w:rPr>
                <w:vertAlign w:val="superscript"/>
              </w:rPr>
              <w:t>st</w:t>
            </w:r>
            <w:r>
              <w:t xml:space="preserve"> Round: </w:t>
            </w:r>
          </w:p>
          <w:p w14:paraId="484F3686" w14:textId="77777777" w:rsidR="00406F3B" w:rsidRDefault="00406F3B" w:rsidP="00406F3B">
            <w:pPr>
              <w:pStyle w:val="NoSpacing"/>
            </w:pPr>
            <w:r>
              <w:t>2012</w:t>
            </w:r>
          </w:p>
          <w:p w14:paraId="21EB7FEF" w14:textId="77777777" w:rsidR="00406F3B" w:rsidRDefault="00406F3B" w:rsidP="00406F3B">
            <w:pPr>
              <w:pStyle w:val="NoSpacing"/>
            </w:pPr>
            <w:r>
              <w:t>2</w:t>
            </w:r>
            <w:r w:rsidRPr="00013ACB">
              <w:rPr>
                <w:vertAlign w:val="superscript"/>
              </w:rPr>
              <w:t>nd</w:t>
            </w:r>
            <w:r>
              <w:t xml:space="preserve"> Round: </w:t>
            </w:r>
          </w:p>
          <w:p w14:paraId="6297B1B7" w14:textId="77777777" w:rsidR="00406F3B" w:rsidRDefault="00406F3B" w:rsidP="00406F3B">
            <w:pPr>
              <w:pStyle w:val="NoSpacing"/>
            </w:pPr>
            <w:r>
              <w:t>December, 2020</w:t>
            </w:r>
          </w:p>
          <w:p w14:paraId="708994AA" w14:textId="77777777" w:rsidR="00406F3B" w:rsidRDefault="00406F3B" w:rsidP="00406F3B">
            <w:pPr>
              <w:pStyle w:val="NoSpacing"/>
            </w:pPr>
            <w:r>
              <w:t>3</w:t>
            </w:r>
            <w:r w:rsidRPr="00013ACB">
              <w:rPr>
                <w:vertAlign w:val="superscript"/>
              </w:rPr>
              <w:t>rd</w:t>
            </w:r>
            <w:r>
              <w:t xml:space="preserve"> Round: </w:t>
            </w:r>
          </w:p>
          <w:p w14:paraId="69194021" w14:textId="77777777" w:rsidR="00406F3B" w:rsidRDefault="00406F3B" w:rsidP="00406F3B">
            <w:pPr>
              <w:pStyle w:val="NoSpacing"/>
            </w:pPr>
            <w:r>
              <w:t>December, 2023</w:t>
            </w:r>
          </w:p>
          <w:p w14:paraId="08BE344B" w14:textId="77777777" w:rsidR="00406F3B" w:rsidRDefault="00406F3B" w:rsidP="00406F3B">
            <w:pPr>
              <w:pStyle w:val="NoSpacing"/>
            </w:pPr>
          </w:p>
          <w:p w14:paraId="03E8CFDB" w14:textId="77777777" w:rsidR="00406F3B" w:rsidRDefault="00406F3B" w:rsidP="00406F3B">
            <w:pPr>
              <w:pStyle w:val="NoSpacing"/>
            </w:pPr>
            <w:r>
              <w:t>4</w:t>
            </w:r>
            <w:r w:rsidRPr="00013ACB">
              <w:rPr>
                <w:vertAlign w:val="superscript"/>
              </w:rPr>
              <w:t>th</w:t>
            </w:r>
            <w:r>
              <w:t xml:space="preserve"> Round: </w:t>
            </w:r>
          </w:p>
          <w:p w14:paraId="157AB74A" w14:textId="77777777" w:rsidR="00406F3B" w:rsidRDefault="00406F3B" w:rsidP="00406F3B">
            <w:pPr>
              <w:pStyle w:val="NoSpacing"/>
            </w:pPr>
            <w:r>
              <w:t>December, 2026</w:t>
            </w:r>
          </w:p>
          <w:p w14:paraId="1FD6443D" w14:textId="77777777" w:rsidR="00406F3B" w:rsidRDefault="00406F3B" w:rsidP="00406F3B">
            <w:pPr>
              <w:pStyle w:val="NoSpacing"/>
            </w:pPr>
          </w:p>
          <w:p w14:paraId="7A048E08" w14:textId="77777777" w:rsidR="00406F3B" w:rsidRDefault="00406F3B" w:rsidP="00406F3B">
            <w:pPr>
              <w:pStyle w:val="NoSpacing"/>
            </w:pPr>
            <w:r>
              <w:t>5</w:t>
            </w:r>
            <w:r w:rsidRPr="00013ACB">
              <w:rPr>
                <w:vertAlign w:val="superscript"/>
              </w:rPr>
              <w:t>th</w:t>
            </w:r>
            <w:r>
              <w:t xml:space="preserve"> Round: </w:t>
            </w:r>
          </w:p>
          <w:p w14:paraId="1BC9B9C0" w14:textId="77777777" w:rsidR="00406F3B" w:rsidRDefault="00406F3B" w:rsidP="00406F3B">
            <w:pPr>
              <w:pStyle w:val="NoSpacing"/>
            </w:pPr>
            <w:r>
              <w:t>December, 2029</w:t>
            </w:r>
          </w:p>
          <w:p w14:paraId="24E7C382" w14:textId="6C9D2D17" w:rsidR="00406F3B" w:rsidRDefault="00406F3B" w:rsidP="00406F3B">
            <w:pPr>
              <w:pStyle w:val="NoSpacing"/>
            </w:pPr>
          </w:p>
        </w:tc>
        <w:tc>
          <w:tcPr>
            <w:tcW w:w="0" w:type="auto"/>
            <w:shd w:val="clear" w:color="auto" w:fill="auto"/>
          </w:tcPr>
          <w:p w14:paraId="220FBC11" w14:textId="77777777" w:rsidR="00406F3B" w:rsidRDefault="003971E3" w:rsidP="00406F3B">
            <w:pPr>
              <w:jc w:val="both"/>
              <w:rPr>
                <w:bCs/>
                <w:szCs w:val="20"/>
              </w:rPr>
            </w:pPr>
            <w:r w:rsidRPr="003971E3">
              <w:rPr>
                <w:bCs/>
                <w:szCs w:val="20"/>
              </w:rPr>
              <w:t>UNSC 51 addition included in the 2020 comprehensive review</w:t>
            </w:r>
          </w:p>
          <w:p w14:paraId="50AEA461" w14:textId="77777777" w:rsidR="003971E3" w:rsidRDefault="003971E3" w:rsidP="00406F3B">
            <w:pPr>
              <w:jc w:val="both"/>
              <w:rPr>
                <w:bCs/>
                <w:szCs w:val="20"/>
              </w:rPr>
            </w:pPr>
          </w:p>
          <w:p w14:paraId="6A441403" w14:textId="0487C09A" w:rsidR="003971E3" w:rsidRDefault="003971E3" w:rsidP="00406F3B">
            <w:pPr>
              <w:jc w:val="both"/>
              <w:rPr>
                <w:bCs/>
                <w:szCs w:val="20"/>
              </w:rPr>
            </w:pPr>
          </w:p>
        </w:tc>
      </w:tr>
      <w:tr w:rsidR="00406F3B" w14:paraId="22A91222" w14:textId="77777777" w:rsidTr="0085651F">
        <w:tc>
          <w:tcPr>
            <w:tcW w:w="0" w:type="auto"/>
            <w:shd w:val="clear" w:color="auto" w:fill="auto"/>
          </w:tcPr>
          <w:p w14:paraId="0947EC53" w14:textId="77777777" w:rsidR="00406F3B" w:rsidRPr="00D66833" w:rsidRDefault="00406F3B" w:rsidP="00406F3B">
            <w:pPr>
              <w:ind w:left="970" w:hanging="970"/>
              <w:jc w:val="both"/>
              <w:rPr>
                <w:color w:val="996600"/>
                <w:sz w:val="30"/>
                <w:szCs w:val="30"/>
              </w:rPr>
            </w:pPr>
          </w:p>
        </w:tc>
        <w:tc>
          <w:tcPr>
            <w:tcW w:w="0" w:type="auto"/>
            <w:gridSpan w:val="13"/>
            <w:shd w:val="clear" w:color="auto" w:fill="auto"/>
          </w:tcPr>
          <w:p w14:paraId="2741CED9" w14:textId="77777777" w:rsidR="00406F3B" w:rsidRPr="00FC49A3" w:rsidRDefault="00406F3B" w:rsidP="00406F3B">
            <w:pPr>
              <w:ind w:left="970" w:hanging="970"/>
              <w:jc w:val="both"/>
              <w:rPr>
                <w:color w:val="996600"/>
                <w:sz w:val="30"/>
                <w:szCs w:val="30"/>
              </w:rPr>
            </w:pPr>
            <w:r w:rsidRPr="00D66833">
              <w:rPr>
                <w:color w:val="996600"/>
                <w:sz w:val="30"/>
                <w:szCs w:val="30"/>
              </w:rPr>
              <w:t xml:space="preserve">Target </w:t>
            </w:r>
            <w:r w:rsidRPr="00FC49A3">
              <w:rPr>
                <w:color w:val="996600"/>
                <w:sz w:val="30"/>
                <w:szCs w:val="30"/>
              </w:rPr>
              <w:t>2.3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tc>
      </w:tr>
      <w:tr w:rsidR="0098022F" w14:paraId="570FA8A3" w14:textId="77777777" w:rsidTr="0085651F">
        <w:tc>
          <w:tcPr>
            <w:tcW w:w="0" w:type="auto"/>
            <w:gridSpan w:val="2"/>
            <w:shd w:val="clear" w:color="auto" w:fill="auto"/>
          </w:tcPr>
          <w:p w14:paraId="4B2957C6" w14:textId="77777777" w:rsidR="00406F3B" w:rsidRPr="00FC49A3" w:rsidRDefault="00406F3B" w:rsidP="00406F3B">
            <w:pPr>
              <w:rPr>
                <w:szCs w:val="20"/>
              </w:rPr>
            </w:pPr>
            <w:r w:rsidRPr="00FC49A3">
              <w:rPr>
                <w:szCs w:val="20"/>
              </w:rPr>
              <w:lastRenderedPageBreak/>
              <w:t>2.3.1 Volume of production per labour unit by classes of farming/pastoral/forestry enterprise size</w:t>
            </w:r>
          </w:p>
        </w:tc>
        <w:tc>
          <w:tcPr>
            <w:tcW w:w="0" w:type="auto"/>
            <w:shd w:val="clear" w:color="auto" w:fill="auto"/>
          </w:tcPr>
          <w:p w14:paraId="0C193454" w14:textId="77777777" w:rsidR="00406F3B" w:rsidRPr="00262FC1" w:rsidRDefault="00406F3B" w:rsidP="00406F3B">
            <w:pPr>
              <w:rPr>
                <w:szCs w:val="20"/>
              </w:rPr>
            </w:pPr>
            <w:r w:rsidRPr="00262FC1">
              <w:rPr>
                <w:szCs w:val="20"/>
              </w:rPr>
              <w:t xml:space="preserve">Food and Agriculture Organization of the United Nations  </w:t>
            </w:r>
          </w:p>
          <w:p w14:paraId="3DF9357C" w14:textId="77777777" w:rsidR="00406F3B" w:rsidRPr="00262FC1" w:rsidRDefault="00406F3B" w:rsidP="00406F3B">
            <w:pPr>
              <w:rPr>
                <w:color w:val="4F4E4E"/>
                <w:szCs w:val="20"/>
                <w:shd w:val="clear" w:color="auto" w:fill="FFFFFF"/>
              </w:rPr>
            </w:pPr>
          </w:p>
        </w:tc>
        <w:tc>
          <w:tcPr>
            <w:tcW w:w="0" w:type="auto"/>
            <w:shd w:val="clear" w:color="auto" w:fill="auto"/>
          </w:tcPr>
          <w:p w14:paraId="1C85AE04" w14:textId="77777777" w:rsidR="00406F3B" w:rsidRDefault="00406F3B" w:rsidP="00406F3B">
            <w:pPr>
              <w:jc w:val="center"/>
              <w:rPr>
                <w:szCs w:val="20"/>
              </w:rPr>
            </w:pPr>
            <w:r w:rsidRPr="006C014F">
              <w:rPr>
                <w:szCs w:val="20"/>
              </w:rPr>
              <w:t>Tier II</w:t>
            </w:r>
          </w:p>
          <w:p w14:paraId="4F718C5F" w14:textId="64D7AFAF" w:rsidR="00406F3B" w:rsidRPr="00262FC1" w:rsidRDefault="00406F3B" w:rsidP="00406F3B">
            <w:pPr>
              <w:jc w:val="center"/>
              <w:rPr>
                <w:szCs w:val="20"/>
              </w:rPr>
            </w:pPr>
          </w:p>
        </w:tc>
        <w:tc>
          <w:tcPr>
            <w:tcW w:w="0" w:type="auto"/>
            <w:shd w:val="clear" w:color="auto" w:fill="auto"/>
          </w:tcPr>
          <w:p w14:paraId="5222E5D6" w14:textId="417BAECE" w:rsidR="00406F3B" w:rsidRDefault="00406F3B" w:rsidP="00406F3B">
            <w:pPr>
              <w:pStyle w:val="Default"/>
              <w:jc w:val="both"/>
              <w:rPr>
                <w:rFonts w:ascii="Tw Cen MT Condensed" w:hAnsi="Tw Cen MT Condensed"/>
                <w:szCs w:val="20"/>
              </w:rPr>
            </w:pPr>
          </w:p>
          <w:p w14:paraId="1FD82DF8" w14:textId="77777777" w:rsidR="00406F3B" w:rsidRPr="00675E7E" w:rsidRDefault="00406F3B" w:rsidP="00406F3B">
            <w:pPr>
              <w:pStyle w:val="Default"/>
              <w:jc w:val="both"/>
              <w:rPr>
                <w:rFonts w:ascii="Tw Cen MT Condensed" w:hAnsi="Tw Cen MT Condensed"/>
                <w:szCs w:val="20"/>
              </w:rPr>
            </w:pPr>
            <w:r w:rsidRPr="00675E7E">
              <w:rPr>
                <w:rFonts w:ascii="Tw Cen MT Condensed" w:hAnsi="Tw Cen MT Condensed"/>
                <w:szCs w:val="20"/>
              </w:rPr>
              <w:t>Definition:</w:t>
            </w:r>
          </w:p>
          <w:p w14:paraId="436833CC" w14:textId="77777777" w:rsidR="00406F3B" w:rsidRPr="00675E7E" w:rsidRDefault="00406F3B" w:rsidP="00406F3B">
            <w:pPr>
              <w:pStyle w:val="Default"/>
              <w:jc w:val="both"/>
              <w:rPr>
                <w:rFonts w:ascii="Tw Cen MT Condensed" w:hAnsi="Tw Cen MT Condensed"/>
                <w:szCs w:val="20"/>
              </w:rPr>
            </w:pPr>
            <w:r w:rsidRPr="00675E7E">
              <w:rPr>
                <w:rFonts w:ascii="Tw Cen MT Condensed" w:hAnsi="Tw Cen MT Condensed"/>
                <w:szCs w:val="20"/>
              </w:rPr>
              <w:t>Volume of agricultural production of small-scale food producer in crop, livestock, fisheries, and forestry activities per number of days.</w:t>
            </w:r>
          </w:p>
          <w:p w14:paraId="0F97F580" w14:textId="77777777" w:rsidR="00406F3B" w:rsidRPr="00675E7E" w:rsidRDefault="00406F3B" w:rsidP="00406F3B">
            <w:pPr>
              <w:pStyle w:val="Default"/>
              <w:jc w:val="both"/>
              <w:rPr>
                <w:rFonts w:ascii="Tw Cen MT Condensed" w:hAnsi="Tw Cen MT Condensed"/>
                <w:szCs w:val="20"/>
              </w:rPr>
            </w:pPr>
          </w:p>
          <w:p w14:paraId="53B1E18D" w14:textId="77777777" w:rsidR="00406F3B" w:rsidRPr="00675E7E" w:rsidRDefault="00406F3B" w:rsidP="00406F3B">
            <w:pPr>
              <w:pStyle w:val="Default"/>
              <w:jc w:val="both"/>
              <w:rPr>
                <w:rFonts w:ascii="Tw Cen MT Condensed" w:hAnsi="Tw Cen MT Condensed"/>
                <w:szCs w:val="20"/>
              </w:rPr>
            </w:pPr>
            <w:r w:rsidRPr="00675E7E">
              <w:rPr>
                <w:rFonts w:ascii="Tw Cen MT Condensed" w:hAnsi="Tw Cen MT Condensed"/>
                <w:szCs w:val="20"/>
              </w:rPr>
              <w:t xml:space="preserve">The indicator is computed as a ratio of annual output to the number of working days in one year. </w:t>
            </w:r>
          </w:p>
          <w:p w14:paraId="6A26C4F2" w14:textId="77777777" w:rsidR="00406F3B" w:rsidRPr="00675E7E" w:rsidRDefault="00406F3B" w:rsidP="00406F3B">
            <w:pPr>
              <w:pStyle w:val="Default"/>
              <w:jc w:val="both"/>
              <w:rPr>
                <w:rFonts w:ascii="Tw Cen MT Condensed" w:hAnsi="Tw Cen MT Condensed"/>
                <w:szCs w:val="20"/>
              </w:rPr>
            </w:pPr>
          </w:p>
          <w:p w14:paraId="6C5E793D" w14:textId="77777777" w:rsidR="00406F3B" w:rsidRPr="000C4849" w:rsidRDefault="00406F3B" w:rsidP="00406F3B">
            <w:pPr>
              <w:pStyle w:val="Default"/>
              <w:jc w:val="both"/>
              <w:rPr>
                <w:rFonts w:ascii="Tw Cen MT Condensed" w:hAnsi="Tw Cen MT Condensed"/>
                <w:b/>
                <w:szCs w:val="20"/>
              </w:rPr>
            </w:pPr>
            <w:r w:rsidRPr="000C4849">
              <w:rPr>
                <w:rFonts w:ascii="Tw Cen MT Condensed" w:hAnsi="Tw Cen MT Condensed"/>
                <w:b/>
                <w:szCs w:val="20"/>
              </w:rPr>
              <w:t>Concepts:</w:t>
            </w:r>
          </w:p>
          <w:p w14:paraId="7F5E06A0" w14:textId="77777777" w:rsidR="00406F3B" w:rsidRPr="00675E7E" w:rsidRDefault="00406F3B" w:rsidP="00406F3B">
            <w:pPr>
              <w:pStyle w:val="Default"/>
              <w:jc w:val="both"/>
              <w:rPr>
                <w:rFonts w:ascii="Tw Cen MT Condensed" w:hAnsi="Tw Cen MT Condensed"/>
                <w:szCs w:val="20"/>
              </w:rPr>
            </w:pPr>
            <w:r>
              <w:rPr>
                <w:rFonts w:ascii="Tw Cen MT Condensed" w:hAnsi="Tw Cen MT Condensed"/>
                <w:szCs w:val="20"/>
              </w:rPr>
              <w:t xml:space="preserve">• </w:t>
            </w:r>
            <w:r w:rsidRPr="00675E7E">
              <w:rPr>
                <w:rFonts w:ascii="Tw Cen MT Condensed" w:hAnsi="Tw Cen MT Condensed"/>
                <w:szCs w:val="20"/>
              </w:rPr>
              <w:t>The following concepts are adopted for the computation of indicators 2.3.1:</w:t>
            </w:r>
          </w:p>
          <w:p w14:paraId="553136DD" w14:textId="77777777" w:rsidR="00406F3B" w:rsidRPr="00675E7E" w:rsidRDefault="00406F3B" w:rsidP="00406F3B">
            <w:pPr>
              <w:pStyle w:val="Default"/>
              <w:jc w:val="both"/>
              <w:rPr>
                <w:rFonts w:ascii="Tw Cen MT Condensed" w:hAnsi="Tw Cen MT Condensed"/>
                <w:szCs w:val="20"/>
              </w:rPr>
            </w:pPr>
            <w:r>
              <w:rPr>
                <w:rFonts w:ascii="Tw Cen MT Condensed" w:hAnsi="Tw Cen MT Condensed"/>
                <w:szCs w:val="20"/>
              </w:rPr>
              <w:t xml:space="preserve">• </w:t>
            </w:r>
            <w:r w:rsidRPr="00675E7E">
              <w:rPr>
                <w:rFonts w:ascii="Tw Cen MT Condensed" w:hAnsi="Tw Cen MT Condensed"/>
                <w:szCs w:val="20"/>
              </w:rPr>
              <w:t>Small-scale food producers are defined as those falling in the intersection of the bottom 40 percent of the cumulative distribution of land, livestock and revenues.</w:t>
            </w:r>
          </w:p>
          <w:p w14:paraId="5C12972C" w14:textId="77777777" w:rsidR="00406F3B" w:rsidRPr="00675E7E" w:rsidRDefault="00406F3B" w:rsidP="00406F3B">
            <w:pPr>
              <w:pStyle w:val="Default"/>
              <w:jc w:val="both"/>
              <w:rPr>
                <w:rFonts w:ascii="Tw Cen MT Condensed" w:hAnsi="Tw Cen MT Condensed"/>
                <w:szCs w:val="20"/>
              </w:rPr>
            </w:pPr>
            <w:r>
              <w:rPr>
                <w:rFonts w:ascii="Tw Cen MT Condensed" w:hAnsi="Tw Cen MT Condensed"/>
                <w:szCs w:val="20"/>
              </w:rPr>
              <w:t xml:space="preserve">• </w:t>
            </w:r>
            <w:r w:rsidRPr="00675E7E">
              <w:rPr>
                <w:rFonts w:ascii="Tw Cen MT Condensed" w:hAnsi="Tw Cen MT Condensed"/>
                <w:szCs w:val="20"/>
              </w:rPr>
              <w:t xml:space="preserve">Tropical Livestock Units are a conversion scale used for standardization and measurement of the number of livestock heads. One TLU is the metabolic weight equivalent of one cattle in North America. The complete list of conversion factors can be found in the Guidelines for the preparation of livestock sector Reviews  </w:t>
            </w:r>
          </w:p>
          <w:p w14:paraId="503E597C" w14:textId="77777777" w:rsidR="00406F3B" w:rsidRDefault="00406F3B" w:rsidP="00406F3B">
            <w:pPr>
              <w:pStyle w:val="Default"/>
              <w:jc w:val="both"/>
              <w:rPr>
                <w:rFonts w:ascii="Tw Cen MT Condensed" w:hAnsi="Tw Cen MT Condensed"/>
                <w:szCs w:val="20"/>
              </w:rPr>
            </w:pPr>
            <w:r>
              <w:rPr>
                <w:rFonts w:ascii="Tw Cen MT Condensed" w:hAnsi="Tw Cen MT Condensed"/>
                <w:szCs w:val="20"/>
              </w:rPr>
              <w:t xml:space="preserve">• </w:t>
            </w:r>
            <w:r w:rsidRPr="00675E7E">
              <w:rPr>
                <w:rFonts w:ascii="Tw Cen MT Condensed" w:hAnsi="Tw Cen MT Condensed"/>
                <w:szCs w:val="20"/>
              </w:rPr>
              <w:t>The concept of productivity is standardized by OECD’s Manual for Measuring Productivity. This defines productivity as “a ratio of a volume measure of outputs to a volume measure of input use.” More information on possible definitions can be found in “Productivity and Efficiency Measurement in Agriculture: Literature Review and Gaps Analysis”.</w:t>
            </w:r>
          </w:p>
          <w:p w14:paraId="02FBD679" w14:textId="77777777" w:rsidR="00406F3B" w:rsidRDefault="00406F3B" w:rsidP="00406F3B">
            <w:pPr>
              <w:pStyle w:val="Default"/>
              <w:jc w:val="both"/>
              <w:rPr>
                <w:rFonts w:ascii="Tw Cen MT Condensed" w:hAnsi="Tw Cen MT Condensed"/>
                <w:szCs w:val="20"/>
              </w:rPr>
            </w:pPr>
          </w:p>
          <w:p w14:paraId="125F8D11" w14:textId="77777777" w:rsidR="00406F3B" w:rsidRPr="000C4849" w:rsidRDefault="00406F3B" w:rsidP="00406F3B">
            <w:pPr>
              <w:pStyle w:val="Default"/>
              <w:jc w:val="both"/>
              <w:rPr>
                <w:rFonts w:ascii="Tw Cen MT Condensed" w:hAnsi="Tw Cen MT Condensed"/>
                <w:b/>
                <w:szCs w:val="20"/>
              </w:rPr>
            </w:pPr>
            <w:r w:rsidRPr="000C4849">
              <w:rPr>
                <w:rFonts w:ascii="Tw Cen MT Condensed" w:hAnsi="Tw Cen MT Condensed"/>
                <w:b/>
                <w:szCs w:val="20"/>
              </w:rPr>
              <w:t>Computation Method:</w:t>
            </w:r>
          </w:p>
          <w:p w14:paraId="76B385FD" w14:textId="77777777" w:rsidR="00406F3B" w:rsidRPr="00675E7E" w:rsidRDefault="00406F3B" w:rsidP="00406F3B">
            <w:pPr>
              <w:pStyle w:val="Default"/>
              <w:jc w:val="both"/>
              <w:rPr>
                <w:rFonts w:ascii="Tw Cen MT Condensed" w:hAnsi="Tw Cen MT Condensed"/>
                <w:szCs w:val="20"/>
              </w:rPr>
            </w:pPr>
            <m:oMathPara>
              <m:oMath>
                <m:r>
                  <m:rPr>
                    <m:sty m:val="p"/>
                  </m:rPr>
                  <w:rPr>
                    <w:rFonts w:ascii="Cambria Math" w:hAnsi="Cambria Math" w:hint="eastAsia"/>
                  </w:rPr>
                  <m:t>SDG 2.3.1=</m:t>
                </m:r>
                <m:sSubSup>
                  <m:sSubSupPr>
                    <m:ctrlPr>
                      <w:rPr>
                        <w:rFonts w:ascii="Cambria Math" w:hAnsi="Cambria Math"/>
                      </w:rPr>
                    </m:ctrlPr>
                  </m:sSubSupPr>
                  <m:e>
                    <m:r>
                      <w:rPr>
                        <w:rFonts w:ascii="Cambria Math" w:hAnsi="Cambria Math" w:hint="eastAsia"/>
                      </w:rPr>
                      <m:t>I</m:t>
                    </m:r>
                  </m:e>
                  <m:sub>
                    <m:r>
                      <m:rPr>
                        <m:sty m:val="p"/>
                      </m:rPr>
                      <w:rPr>
                        <w:rFonts w:ascii="Cambria Math" w:hAnsi="Cambria Math" w:hint="eastAsia"/>
                      </w:rPr>
                      <m:t>2.3.1</m:t>
                    </m:r>
                  </m:sub>
                  <m:sup>
                    <m:r>
                      <w:rPr>
                        <w:rFonts w:ascii="Cambria Math" w:hAnsi="Cambria Math" w:hint="eastAsia"/>
                      </w:rPr>
                      <m:t>t</m:t>
                    </m:r>
                  </m:sup>
                </m:sSubSup>
                <m:r>
                  <m:rPr>
                    <m:sty m:val="p"/>
                  </m:rPr>
                  <w:rPr>
                    <w:rFonts w:ascii="Cambria Math" w:hAnsi="Cambria Math" w:hint="eastAsia"/>
                  </w:rPr>
                  <m:t>=</m:t>
                </m:r>
                <m:f>
                  <m:fPr>
                    <m:type m:val="lin"/>
                    <m:ctrlPr>
                      <w:rPr>
                        <w:rFonts w:ascii="Cambria Math" w:hAnsi="Cambria Math"/>
                      </w:rPr>
                    </m:ctrlPr>
                  </m:fPr>
                  <m:num>
                    <m:nary>
                      <m:naryPr>
                        <m:chr m:val="∑"/>
                        <m:limLoc m:val="undOvr"/>
                        <m:ctrlPr>
                          <w:rPr>
                            <w:rFonts w:ascii="Cambria Math" w:hAnsi="Cambria Math"/>
                          </w:rPr>
                        </m:ctrlPr>
                      </m:naryPr>
                      <m:sub>
                        <m:r>
                          <w:rPr>
                            <w:rFonts w:ascii="Cambria Math" w:hAnsi="Cambria Math" w:hint="eastAsia"/>
                          </w:rPr>
                          <m:t>j</m:t>
                        </m:r>
                        <m:r>
                          <m:rPr>
                            <m:sty m:val="p"/>
                          </m:rPr>
                          <w:rPr>
                            <w:rFonts w:ascii="Cambria Math" w:hAnsi="Cambria Math" w:hint="eastAsia"/>
                          </w:rPr>
                          <m:t>=1</m:t>
                        </m:r>
                      </m:sub>
                      <m:sup>
                        <m:r>
                          <w:rPr>
                            <w:rFonts w:ascii="Cambria Math" w:hAnsi="Cambria Math" w:hint="eastAsia"/>
                          </w:rPr>
                          <m:t>n</m:t>
                        </m:r>
                      </m:sup>
                      <m:e>
                        <m:r>
                          <m:rPr>
                            <m:sty m:val="p"/>
                          </m:rPr>
                          <w:rPr>
                            <w:rFonts w:ascii="Cambria Math" w:hAnsi="Cambria Math" w:hint="eastAsia"/>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hint="eastAsia"/>
                                  </w:rPr>
                                  <m:t>i</m:t>
                                </m:r>
                              </m:sub>
                              <m:sup/>
                              <m:e>
                                <m:sSubSup>
                                  <m:sSubSupPr>
                                    <m:ctrlPr>
                                      <w:rPr>
                                        <w:rFonts w:ascii="Cambria Math" w:hAnsi="Cambria Math"/>
                                      </w:rPr>
                                    </m:ctrlPr>
                                  </m:sSubSupPr>
                                  <m:e>
                                    <m:r>
                                      <w:rPr>
                                        <w:rFonts w:ascii="Cambria Math" w:hAnsi="Cambria Math" w:hint="eastAsia"/>
                                      </w:rPr>
                                      <m:t>V</m:t>
                                    </m:r>
                                  </m:e>
                                  <m:sub>
                                    <m:r>
                                      <w:rPr>
                                        <w:rFonts w:ascii="Cambria Math" w:hAnsi="Cambria Math" w:hint="eastAsia"/>
                                      </w:rPr>
                                      <m:t>ij</m:t>
                                    </m:r>
                                  </m:sub>
                                  <m:sup>
                                    <m:r>
                                      <w:rPr>
                                        <w:rFonts w:ascii="Cambria Math" w:hAnsi="Cambria Math" w:hint="eastAsia"/>
                                      </w:rPr>
                                      <m:t>t</m:t>
                                    </m:r>
                                  </m:sup>
                                </m:sSubSup>
                                <m:sSubSup>
                                  <m:sSubSupPr>
                                    <m:ctrlPr>
                                      <w:rPr>
                                        <w:rFonts w:ascii="Cambria Math" w:hAnsi="Cambria Math"/>
                                      </w:rPr>
                                    </m:ctrlPr>
                                  </m:sSubSupPr>
                                  <m:e>
                                    <m:r>
                                      <w:rPr>
                                        <w:rFonts w:ascii="Cambria Math" w:hAnsi="Cambria Math" w:hint="eastAsia"/>
                                      </w:rPr>
                                      <m:t>p</m:t>
                                    </m:r>
                                  </m:e>
                                  <m:sub>
                                    <m:r>
                                      <w:rPr>
                                        <w:rFonts w:ascii="Cambria Math" w:hAnsi="Cambria Math" w:hint="eastAsia"/>
                                      </w:rPr>
                                      <m:t>ij</m:t>
                                    </m:r>
                                  </m:sub>
                                  <m:sup>
                                    <m:r>
                                      <w:rPr>
                                        <w:rFonts w:ascii="Cambria Math" w:hAnsi="Cambria Math" w:hint="eastAsia"/>
                                      </w:rPr>
                                      <m:t>t</m:t>
                                    </m:r>
                                  </m:sup>
                                </m:sSubSup>
                              </m:e>
                            </m:nary>
                          </m:num>
                          <m:den>
                            <m:sSubSup>
                              <m:sSubSupPr>
                                <m:ctrlPr>
                                  <w:rPr>
                                    <w:rFonts w:ascii="Cambria Math" w:hAnsi="Cambria Math"/>
                                  </w:rPr>
                                </m:ctrlPr>
                              </m:sSubSupPr>
                              <m:e>
                                <m:r>
                                  <w:rPr>
                                    <w:rFonts w:ascii="Cambria Math" w:hAnsi="Cambria Math" w:hint="eastAsia"/>
                                  </w:rPr>
                                  <m:t>Ld</m:t>
                                </m:r>
                              </m:e>
                              <m:sub>
                                <m:r>
                                  <w:rPr>
                                    <w:rFonts w:ascii="Cambria Math" w:hAnsi="Cambria Math" w:hint="eastAsia"/>
                                  </w:rPr>
                                  <m:t>j</m:t>
                                </m:r>
                              </m:sub>
                              <m:sup>
                                <m:r>
                                  <w:rPr>
                                    <w:rFonts w:ascii="Cambria Math" w:hAnsi="Cambria Math" w:hint="eastAsia"/>
                                  </w:rPr>
                                  <m:t>t</m:t>
                                </m:r>
                              </m:sup>
                            </m:sSubSup>
                          </m:den>
                        </m:f>
                        <m:r>
                          <m:rPr>
                            <m:sty m:val="p"/>
                          </m:rPr>
                          <w:rPr>
                            <w:rFonts w:ascii="Cambria Math" w:hAnsi="Cambria Math" w:hint="eastAsia"/>
                          </w:rPr>
                          <m:t>)</m:t>
                        </m:r>
                      </m:e>
                    </m:nary>
                  </m:num>
                  <m:den>
                    <m:r>
                      <w:rPr>
                        <w:rFonts w:ascii="Cambria Math" w:hAnsi="Cambria Math" w:hint="eastAsia"/>
                      </w:rPr>
                      <m:t>n</m:t>
                    </m:r>
                  </m:den>
                </m:f>
              </m:oMath>
            </m:oMathPara>
          </w:p>
          <w:p w14:paraId="60283052" w14:textId="77777777" w:rsidR="00406F3B" w:rsidRPr="00675E7E" w:rsidRDefault="00406F3B" w:rsidP="00406F3B">
            <w:pPr>
              <w:pStyle w:val="Default"/>
              <w:jc w:val="both"/>
              <w:rPr>
                <w:rFonts w:ascii="Tw Cen MT Condensed" w:hAnsi="Tw Cen MT Condensed"/>
                <w:szCs w:val="20"/>
              </w:rPr>
            </w:pPr>
          </w:p>
          <w:p w14:paraId="00D2ABE9" w14:textId="77777777" w:rsidR="00406F3B" w:rsidRPr="00675E7E" w:rsidRDefault="00406F3B" w:rsidP="00406F3B">
            <w:pPr>
              <w:pStyle w:val="Default"/>
              <w:jc w:val="both"/>
              <w:rPr>
                <w:rFonts w:ascii="Tw Cen MT Condensed" w:hAnsi="Tw Cen MT Condensed"/>
                <w:szCs w:val="20"/>
              </w:rPr>
            </w:pPr>
            <w:r w:rsidRPr="00675E7E">
              <w:rPr>
                <w:rFonts w:ascii="Tw Cen MT Condensed" w:hAnsi="Tw Cen MT Condensed"/>
                <w:szCs w:val="20"/>
              </w:rPr>
              <w:t xml:space="preserve">where: </w:t>
            </w:r>
          </w:p>
          <w:p w14:paraId="2D19AF43" w14:textId="77777777" w:rsidR="00406F3B" w:rsidRPr="00675E7E" w:rsidRDefault="00406F3B" w:rsidP="00406F3B">
            <w:pPr>
              <w:pStyle w:val="Default"/>
              <w:jc w:val="both"/>
              <w:rPr>
                <w:rFonts w:ascii="Tw Cen MT Condensed" w:hAnsi="Tw Cen MT Condensed"/>
                <w:szCs w:val="20"/>
              </w:rPr>
            </w:pPr>
            <w:r w:rsidRPr="00675E7E">
              <w:rPr>
                <w:rFonts w:ascii="Tw Cen MT Condensed" w:hAnsi="Tw Cen MT Condensed"/>
                <w:szCs w:val="20"/>
              </w:rPr>
              <w:t xml:space="preserve">V_ij^t is the physical volume of agricultural product i sold by the small-scale food producer j during year t; </w:t>
            </w:r>
          </w:p>
          <w:p w14:paraId="4D6557DC" w14:textId="77777777" w:rsidR="00406F3B" w:rsidRPr="00675E7E" w:rsidRDefault="00406F3B" w:rsidP="00406F3B">
            <w:pPr>
              <w:pStyle w:val="Default"/>
              <w:jc w:val="both"/>
              <w:rPr>
                <w:rFonts w:ascii="Tw Cen MT Condensed" w:hAnsi="Tw Cen MT Condensed"/>
                <w:szCs w:val="20"/>
              </w:rPr>
            </w:pPr>
            <w:r w:rsidRPr="00675E7E">
              <w:rPr>
                <w:rFonts w:ascii="Tw Cen MT Condensed" w:hAnsi="Tw Cen MT Condensed"/>
                <w:szCs w:val="20"/>
              </w:rPr>
              <w:t xml:space="preserve">p_ij^t is the constant sale price received by the small-scale food producer j for the agricultural product i during same year t; </w:t>
            </w:r>
          </w:p>
          <w:p w14:paraId="43E872F1" w14:textId="77777777" w:rsidR="00406F3B" w:rsidRPr="00675E7E" w:rsidRDefault="00406F3B" w:rsidP="00406F3B">
            <w:pPr>
              <w:pStyle w:val="Default"/>
              <w:jc w:val="both"/>
              <w:rPr>
                <w:rFonts w:ascii="Tw Cen MT Condensed" w:hAnsi="Tw Cen MT Condensed"/>
                <w:szCs w:val="20"/>
              </w:rPr>
            </w:pPr>
            <w:r w:rsidRPr="00675E7E">
              <w:rPr>
                <w:rFonts w:ascii="Tw Cen MT Condensed" w:hAnsi="Tw Cen MT Condensed" w:cs="Cambria Math"/>
                <w:szCs w:val="20"/>
              </w:rPr>
              <w:t>〖</w:t>
            </w:r>
            <w:r w:rsidRPr="00675E7E">
              <w:rPr>
                <w:rFonts w:ascii="Tw Cen MT Condensed" w:hAnsi="Tw Cen MT Condensed"/>
                <w:szCs w:val="20"/>
              </w:rPr>
              <w:t>Ld</w:t>
            </w:r>
            <w:r w:rsidRPr="00675E7E">
              <w:rPr>
                <w:rFonts w:ascii="Tw Cen MT Condensed" w:hAnsi="Tw Cen MT Condensed" w:cs="Cambria Math"/>
                <w:szCs w:val="20"/>
              </w:rPr>
              <w:t>〗</w:t>
            </w:r>
            <w:r w:rsidRPr="00675E7E">
              <w:rPr>
                <w:rFonts w:ascii="Tw Cen MT Condensed" w:hAnsi="Tw Cen MT Condensed"/>
                <w:szCs w:val="20"/>
              </w:rPr>
              <w:t xml:space="preserve">_j^t is the number of labour days utilized by the small-scale food producer j during year t; </w:t>
            </w:r>
          </w:p>
          <w:p w14:paraId="478E6BCE" w14:textId="77777777" w:rsidR="00406F3B" w:rsidRPr="00FC49A3" w:rsidRDefault="00406F3B" w:rsidP="00406F3B">
            <w:pPr>
              <w:pStyle w:val="Default"/>
              <w:jc w:val="both"/>
              <w:rPr>
                <w:rFonts w:ascii="Tw Cen MT Condensed" w:hAnsi="Tw Cen MT Condensed"/>
                <w:szCs w:val="20"/>
              </w:rPr>
            </w:pPr>
            <w:proofErr w:type="gramStart"/>
            <w:r w:rsidRPr="00675E7E">
              <w:rPr>
                <w:rFonts w:ascii="Tw Cen MT Condensed" w:hAnsi="Tw Cen MT Condensed"/>
                <w:szCs w:val="20"/>
              </w:rPr>
              <w:lastRenderedPageBreak/>
              <w:t>n</w:t>
            </w:r>
            <w:proofErr w:type="gramEnd"/>
            <w:r w:rsidRPr="00675E7E">
              <w:rPr>
                <w:rFonts w:ascii="Tw Cen MT Condensed" w:hAnsi="Tw Cen MT Condensed"/>
                <w:szCs w:val="20"/>
              </w:rPr>
              <w:t xml:space="preserve"> is the number of small-scale food producer.</w:t>
            </w:r>
          </w:p>
        </w:tc>
        <w:tc>
          <w:tcPr>
            <w:tcW w:w="0" w:type="auto"/>
            <w:shd w:val="clear" w:color="auto" w:fill="auto"/>
          </w:tcPr>
          <w:p w14:paraId="1F3D93C2" w14:textId="40EDF3B2" w:rsidR="00406F3B" w:rsidRDefault="006A0120" w:rsidP="00406F3B">
            <w:pPr>
              <w:jc w:val="center"/>
              <w:rPr>
                <w:rFonts w:eastAsia="Times New Roman" w:cs="Times New Roman"/>
                <w:color w:val="FF0000"/>
                <w:szCs w:val="20"/>
              </w:rPr>
            </w:pPr>
            <w:r>
              <w:rPr>
                <w:bCs/>
                <w:szCs w:val="20"/>
              </w:rPr>
              <w:lastRenderedPageBreak/>
              <w:t>Agriculture Census/</w:t>
            </w:r>
            <w:r w:rsidRPr="00BC6F10">
              <w:rPr>
                <w:rFonts w:eastAsia="Times New Roman" w:cs="Times New Roman"/>
                <w:color w:val="FF0000"/>
                <w:szCs w:val="20"/>
              </w:rPr>
              <w:t xml:space="preserve"> Agriculture Survey</w:t>
            </w:r>
            <w:r>
              <w:rPr>
                <w:rFonts w:eastAsia="Times New Roman" w:cs="Times New Roman"/>
                <w:color w:val="FF0000"/>
                <w:szCs w:val="20"/>
              </w:rPr>
              <w:t xml:space="preserve"> </w:t>
            </w:r>
          </w:p>
          <w:p w14:paraId="3DCA9906" w14:textId="58D14369" w:rsidR="006A0120" w:rsidRDefault="006A0120" w:rsidP="00406F3B">
            <w:pPr>
              <w:jc w:val="center"/>
              <w:rPr>
                <w:bCs/>
                <w:szCs w:val="20"/>
              </w:rPr>
            </w:pPr>
            <w:r w:rsidRPr="0070109B">
              <w:rPr>
                <w:rFonts w:eastAsia="Times New Roman" w:cs="Times New Roman"/>
                <w:color w:val="4A4A4A"/>
                <w:sz w:val="21"/>
                <w:szCs w:val="21"/>
                <w:lang w:eastAsia="en-GB"/>
              </w:rPr>
              <w:t>administrative data</w:t>
            </w:r>
          </w:p>
        </w:tc>
        <w:tc>
          <w:tcPr>
            <w:tcW w:w="0" w:type="auto"/>
            <w:shd w:val="clear" w:color="auto" w:fill="auto"/>
          </w:tcPr>
          <w:p w14:paraId="205D5732" w14:textId="03AACBDC" w:rsidR="00406F3B" w:rsidRDefault="006A0120" w:rsidP="00406F3B">
            <w:pPr>
              <w:jc w:val="center"/>
              <w:rPr>
                <w:bCs/>
                <w:szCs w:val="20"/>
              </w:rPr>
            </w:pPr>
            <w:r>
              <w:rPr>
                <w:bCs/>
                <w:szCs w:val="20"/>
              </w:rPr>
              <w:t>NSO</w:t>
            </w:r>
          </w:p>
        </w:tc>
        <w:tc>
          <w:tcPr>
            <w:tcW w:w="0" w:type="auto"/>
            <w:shd w:val="clear" w:color="auto" w:fill="auto"/>
          </w:tcPr>
          <w:p w14:paraId="37E6CEBD" w14:textId="77777777" w:rsidR="00406F3B" w:rsidRPr="00D66833" w:rsidRDefault="00406F3B" w:rsidP="00406F3B">
            <w:pPr>
              <w:jc w:val="center"/>
              <w:rPr>
                <w:bCs/>
                <w:szCs w:val="20"/>
              </w:rPr>
            </w:pPr>
            <w:r>
              <w:rPr>
                <w:bCs/>
                <w:szCs w:val="20"/>
              </w:rPr>
              <w:t>-</w:t>
            </w:r>
          </w:p>
        </w:tc>
        <w:tc>
          <w:tcPr>
            <w:tcW w:w="0" w:type="auto"/>
            <w:shd w:val="clear" w:color="auto" w:fill="auto"/>
          </w:tcPr>
          <w:p w14:paraId="2C95FDA1" w14:textId="77777777" w:rsidR="00406F3B" w:rsidRPr="000C4149" w:rsidRDefault="00406F3B" w:rsidP="00406F3B">
            <w:pPr>
              <w:jc w:val="both"/>
              <w:rPr>
                <w:bCs/>
                <w:szCs w:val="20"/>
                <w:cs/>
                <w:lang w:bidi="bn-IN"/>
              </w:rPr>
            </w:pPr>
            <w:r>
              <w:rPr>
                <w:bCs/>
                <w:szCs w:val="20"/>
              </w:rPr>
              <w:t>a) Agriculture Sample Census</w:t>
            </w:r>
            <w:r w:rsidRPr="00BC6F10">
              <w:rPr>
                <w:rFonts w:eastAsia="Times New Roman" w:cs="Times New Roman"/>
                <w:color w:val="FF0000"/>
                <w:szCs w:val="20"/>
              </w:rPr>
              <w:t xml:space="preserve"> Agriculture Survey</w:t>
            </w:r>
            <w:r>
              <w:rPr>
                <w:rFonts w:eastAsia="Times New Roman" w:cs="Times New Roman"/>
                <w:color w:val="FF0000"/>
                <w:szCs w:val="20"/>
              </w:rPr>
              <w:t xml:space="preserve"> /</w:t>
            </w:r>
            <w:r>
              <w:rPr>
                <w:bCs/>
                <w:szCs w:val="20"/>
              </w:rPr>
              <w:t>, BBS</w:t>
            </w:r>
          </w:p>
          <w:p w14:paraId="112FE295" w14:textId="77777777" w:rsidR="00406F3B" w:rsidRDefault="00406F3B" w:rsidP="00406F3B">
            <w:pPr>
              <w:jc w:val="both"/>
              <w:rPr>
                <w:bCs/>
                <w:szCs w:val="20"/>
              </w:rPr>
            </w:pPr>
            <w:r>
              <w:rPr>
                <w:bCs/>
                <w:szCs w:val="20"/>
              </w:rPr>
              <w:t>b) Cost of Agriculture Production Survey, BBS</w:t>
            </w:r>
          </w:p>
          <w:p w14:paraId="202EEAEC" w14:textId="2EDA0A91" w:rsidR="00406F3B" w:rsidRPr="00D66833" w:rsidRDefault="00406F3B" w:rsidP="00406F3B">
            <w:pPr>
              <w:jc w:val="both"/>
              <w:rPr>
                <w:bCs/>
                <w:szCs w:val="20"/>
              </w:rPr>
            </w:pPr>
          </w:p>
        </w:tc>
        <w:tc>
          <w:tcPr>
            <w:tcW w:w="0" w:type="auto"/>
            <w:shd w:val="clear" w:color="auto" w:fill="auto"/>
          </w:tcPr>
          <w:p w14:paraId="7711FDCF" w14:textId="7DD422A8" w:rsidR="00406F3B" w:rsidRDefault="00406F3B" w:rsidP="00406F3B">
            <w:pPr>
              <w:jc w:val="center"/>
              <w:rPr>
                <w:bCs/>
                <w:szCs w:val="20"/>
              </w:rPr>
            </w:pPr>
          </w:p>
          <w:p w14:paraId="0842E5B7" w14:textId="77777777" w:rsidR="00892004" w:rsidRDefault="00892004" w:rsidP="00892004">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C</w:t>
            </w:r>
            <w:r w:rsidRPr="00357B0B">
              <w:rPr>
                <w:rFonts w:ascii="Tw Cen MT Condensed" w:hAnsi="Tw Cen MT Condensed"/>
              </w:rPr>
              <w:t>lasses of farming/pastoral/forestry enterprise size</w:t>
            </w:r>
            <w:r>
              <w:rPr>
                <w:rFonts w:ascii="Tw Cen MT Condensed" w:hAnsi="Tw Cen MT Condensed"/>
              </w:rPr>
              <w:t>: TPE/Capital</w:t>
            </w:r>
          </w:p>
          <w:p w14:paraId="0973462C" w14:textId="77777777" w:rsidR="00892004" w:rsidRDefault="00892004" w:rsidP="00892004">
            <w:pPr>
              <w:pStyle w:val="ListParagraph"/>
              <w:numPr>
                <w:ilvl w:val="0"/>
                <w:numId w:val="48"/>
              </w:numPr>
              <w:spacing w:after="0" w:line="240" w:lineRule="auto"/>
              <w:ind w:left="162" w:hanging="162"/>
              <w:rPr>
                <w:rFonts w:ascii="Tw Cen MT Condensed" w:hAnsi="Tw Cen MT Condensed"/>
              </w:rPr>
            </w:pPr>
            <w:r>
              <w:rPr>
                <w:rFonts w:ascii="Tw Cen MT Condensed" w:hAnsi="Tw Cen MT Condensed"/>
              </w:rPr>
              <w:t>TPE by sex, Sex of unit head: Male, Female.</w:t>
            </w:r>
          </w:p>
          <w:p w14:paraId="2657AB4D" w14:textId="77777777" w:rsidR="00892004" w:rsidRDefault="00892004" w:rsidP="00892004">
            <w:pPr>
              <w:pStyle w:val="ListParagraph"/>
              <w:numPr>
                <w:ilvl w:val="0"/>
                <w:numId w:val="48"/>
              </w:numPr>
              <w:spacing w:after="0" w:line="240" w:lineRule="auto"/>
              <w:ind w:left="162" w:hanging="162"/>
              <w:rPr>
                <w:rFonts w:ascii="Tw Cen MT Condensed" w:hAnsi="Tw Cen MT Condensed"/>
              </w:rPr>
            </w:pPr>
            <w:r w:rsidRPr="00357B0B">
              <w:rPr>
                <w:rFonts w:ascii="Tw Cen MT Condensed" w:hAnsi="Tw Cen MT Condensed"/>
              </w:rPr>
              <w:t xml:space="preserve"> </w:t>
            </w:r>
            <w:r>
              <w:rPr>
                <w:rFonts w:ascii="Tw Cen MT Condensed" w:hAnsi="Tw Cen MT Condensed"/>
              </w:rPr>
              <w:t>T</w:t>
            </w:r>
            <w:r w:rsidRPr="00357B0B">
              <w:rPr>
                <w:rFonts w:ascii="Tw Cen MT Condensed" w:hAnsi="Tw Cen MT Condensed"/>
              </w:rPr>
              <w:t xml:space="preserve">ype of enterprise </w:t>
            </w:r>
          </w:p>
          <w:p w14:paraId="42F72A4A" w14:textId="0C536DFC" w:rsidR="00892004" w:rsidRPr="00FC49A3" w:rsidRDefault="00892004" w:rsidP="00892004">
            <w:pPr>
              <w:jc w:val="center"/>
              <w:rPr>
                <w:bCs/>
                <w:szCs w:val="20"/>
              </w:rPr>
            </w:pPr>
            <w:r>
              <w:t>C</w:t>
            </w:r>
            <w:r w:rsidRPr="00357B0B">
              <w:t>ommunity</w:t>
            </w:r>
            <w:r>
              <w:t xml:space="preserve"> </w:t>
            </w:r>
            <w:r w:rsidRPr="00357B0B">
              <w:t>of reference</w:t>
            </w:r>
          </w:p>
        </w:tc>
        <w:tc>
          <w:tcPr>
            <w:tcW w:w="0" w:type="auto"/>
            <w:shd w:val="clear" w:color="auto" w:fill="auto"/>
          </w:tcPr>
          <w:p w14:paraId="1F1E2876" w14:textId="766C1A85" w:rsidR="00406F3B" w:rsidRDefault="005F24FB" w:rsidP="00406F3B">
            <w:pPr>
              <w:jc w:val="center"/>
              <w:rPr>
                <w:bCs/>
                <w:szCs w:val="20"/>
              </w:rPr>
            </w:pPr>
            <w:r>
              <w:rPr>
                <w:bCs/>
                <w:szCs w:val="20"/>
              </w:rPr>
              <w:t>Triennial</w:t>
            </w:r>
          </w:p>
        </w:tc>
        <w:tc>
          <w:tcPr>
            <w:tcW w:w="0" w:type="auto"/>
            <w:shd w:val="clear" w:color="auto" w:fill="auto"/>
          </w:tcPr>
          <w:p w14:paraId="6302E698" w14:textId="77777777" w:rsidR="00406F3B" w:rsidRDefault="00406F3B" w:rsidP="00406F3B">
            <w:pPr>
              <w:jc w:val="center"/>
              <w:rPr>
                <w:bCs/>
                <w:szCs w:val="20"/>
              </w:rPr>
            </w:pPr>
            <w:r>
              <w:rPr>
                <w:bCs/>
                <w:szCs w:val="20"/>
              </w:rPr>
              <w:t>Group 3</w:t>
            </w:r>
          </w:p>
        </w:tc>
        <w:tc>
          <w:tcPr>
            <w:tcW w:w="0" w:type="auto"/>
            <w:shd w:val="clear" w:color="auto" w:fill="auto"/>
          </w:tcPr>
          <w:p w14:paraId="01554A1C" w14:textId="77777777" w:rsidR="00406F3B" w:rsidRPr="007C443E" w:rsidRDefault="00406F3B" w:rsidP="00406F3B">
            <w:pPr>
              <w:pStyle w:val="NoSpacing"/>
              <w:rPr>
                <w:color w:val="FF0000"/>
              </w:rPr>
            </w:pPr>
            <w:r w:rsidRPr="007C443E">
              <w:rPr>
                <w:color w:val="FF0000"/>
              </w:rPr>
              <w:t>1</w:t>
            </w:r>
            <w:r w:rsidRPr="007C443E">
              <w:rPr>
                <w:color w:val="FF0000"/>
                <w:vertAlign w:val="superscript"/>
              </w:rPr>
              <w:t>st</w:t>
            </w:r>
            <w:r w:rsidRPr="007C443E">
              <w:rPr>
                <w:color w:val="FF0000"/>
              </w:rPr>
              <w:t xml:space="preserve"> Round: </w:t>
            </w:r>
          </w:p>
          <w:p w14:paraId="4008D56F" w14:textId="77777777" w:rsidR="00406F3B" w:rsidRPr="007C443E" w:rsidRDefault="00406F3B" w:rsidP="00406F3B">
            <w:pPr>
              <w:pStyle w:val="NoSpacing"/>
              <w:rPr>
                <w:color w:val="FF0000"/>
              </w:rPr>
            </w:pPr>
            <w:r w:rsidRPr="007C443E">
              <w:rPr>
                <w:color w:val="FF0000"/>
              </w:rPr>
              <w:t xml:space="preserve">December </w:t>
            </w:r>
          </w:p>
          <w:p w14:paraId="2DF0E52F" w14:textId="77777777" w:rsidR="00406F3B" w:rsidRPr="007C443E" w:rsidRDefault="00406F3B" w:rsidP="00406F3B">
            <w:pPr>
              <w:pStyle w:val="NoSpacing"/>
              <w:rPr>
                <w:color w:val="FF0000"/>
              </w:rPr>
            </w:pPr>
            <w:r w:rsidRPr="007C443E">
              <w:rPr>
                <w:color w:val="FF0000"/>
              </w:rPr>
              <w:t>2020</w:t>
            </w:r>
          </w:p>
          <w:p w14:paraId="0D95038F" w14:textId="77777777" w:rsidR="00406F3B" w:rsidRPr="007C443E" w:rsidRDefault="00406F3B" w:rsidP="00406F3B">
            <w:pPr>
              <w:pStyle w:val="NoSpacing"/>
              <w:rPr>
                <w:color w:val="FF0000"/>
              </w:rPr>
            </w:pPr>
          </w:p>
          <w:p w14:paraId="28B6435E" w14:textId="77777777" w:rsidR="00406F3B" w:rsidRPr="007C443E" w:rsidRDefault="00406F3B" w:rsidP="00406F3B">
            <w:pPr>
              <w:pStyle w:val="NoSpacing"/>
              <w:rPr>
                <w:color w:val="FF0000"/>
              </w:rPr>
            </w:pPr>
            <w:r w:rsidRPr="007C443E">
              <w:rPr>
                <w:color w:val="FF0000"/>
              </w:rPr>
              <w:t>2</w:t>
            </w:r>
            <w:r w:rsidRPr="007C443E">
              <w:rPr>
                <w:color w:val="FF0000"/>
                <w:vertAlign w:val="superscript"/>
              </w:rPr>
              <w:t>nd</w:t>
            </w:r>
            <w:r w:rsidRPr="007C443E">
              <w:rPr>
                <w:color w:val="FF0000"/>
              </w:rPr>
              <w:t xml:space="preserve"> Round: </w:t>
            </w:r>
          </w:p>
          <w:p w14:paraId="73432C63" w14:textId="77777777" w:rsidR="00406F3B" w:rsidRPr="007C443E" w:rsidRDefault="00406F3B" w:rsidP="00406F3B">
            <w:pPr>
              <w:pStyle w:val="NoSpacing"/>
              <w:rPr>
                <w:color w:val="FF0000"/>
              </w:rPr>
            </w:pPr>
            <w:r w:rsidRPr="007C443E">
              <w:rPr>
                <w:color w:val="FF0000"/>
              </w:rPr>
              <w:t xml:space="preserve">December </w:t>
            </w:r>
          </w:p>
          <w:p w14:paraId="730AB77D" w14:textId="77777777" w:rsidR="00406F3B" w:rsidRPr="007C443E" w:rsidRDefault="00406F3B" w:rsidP="00406F3B">
            <w:pPr>
              <w:pStyle w:val="NoSpacing"/>
              <w:rPr>
                <w:color w:val="FF0000"/>
              </w:rPr>
            </w:pPr>
            <w:r w:rsidRPr="007C443E">
              <w:rPr>
                <w:color w:val="FF0000"/>
              </w:rPr>
              <w:t>2025</w:t>
            </w:r>
          </w:p>
          <w:p w14:paraId="7D2E3B68" w14:textId="77777777" w:rsidR="00406F3B" w:rsidRPr="007C443E" w:rsidRDefault="00406F3B" w:rsidP="00406F3B">
            <w:pPr>
              <w:pStyle w:val="NoSpacing"/>
              <w:rPr>
                <w:color w:val="FF0000"/>
              </w:rPr>
            </w:pPr>
          </w:p>
          <w:p w14:paraId="71A9EE81" w14:textId="77777777" w:rsidR="00406F3B" w:rsidRPr="007C443E" w:rsidRDefault="00406F3B" w:rsidP="00406F3B">
            <w:pPr>
              <w:pStyle w:val="NoSpacing"/>
              <w:rPr>
                <w:color w:val="FF0000"/>
              </w:rPr>
            </w:pPr>
            <w:r w:rsidRPr="007C443E">
              <w:rPr>
                <w:color w:val="FF0000"/>
              </w:rPr>
              <w:t>3</w:t>
            </w:r>
            <w:r w:rsidRPr="007C443E">
              <w:rPr>
                <w:color w:val="FF0000"/>
                <w:vertAlign w:val="superscript"/>
              </w:rPr>
              <w:t>rd</w:t>
            </w:r>
            <w:r w:rsidRPr="007C443E">
              <w:rPr>
                <w:color w:val="FF0000"/>
              </w:rPr>
              <w:t xml:space="preserve"> Round: </w:t>
            </w:r>
          </w:p>
          <w:p w14:paraId="1F2FB018" w14:textId="77777777" w:rsidR="00406F3B" w:rsidRPr="007C443E" w:rsidRDefault="00406F3B" w:rsidP="00406F3B">
            <w:pPr>
              <w:pStyle w:val="NoSpacing"/>
              <w:rPr>
                <w:color w:val="FF0000"/>
              </w:rPr>
            </w:pPr>
            <w:r w:rsidRPr="007C443E">
              <w:rPr>
                <w:color w:val="FF0000"/>
              </w:rPr>
              <w:t xml:space="preserve">December </w:t>
            </w:r>
          </w:p>
          <w:p w14:paraId="03834B7C" w14:textId="77777777" w:rsidR="00406F3B" w:rsidRPr="007C443E" w:rsidRDefault="00406F3B" w:rsidP="00406F3B">
            <w:pPr>
              <w:pStyle w:val="NoSpacing"/>
              <w:rPr>
                <w:color w:val="FF0000"/>
              </w:rPr>
            </w:pPr>
            <w:r w:rsidRPr="007C443E">
              <w:rPr>
                <w:color w:val="FF0000"/>
              </w:rPr>
              <w:t>2030</w:t>
            </w:r>
          </w:p>
          <w:p w14:paraId="5EF38174" w14:textId="77777777" w:rsidR="00406F3B" w:rsidRDefault="00406F3B" w:rsidP="00406F3B">
            <w:pPr>
              <w:pStyle w:val="NoSpacing"/>
            </w:pPr>
          </w:p>
          <w:p w14:paraId="3EBA1BD4" w14:textId="77777777" w:rsidR="00406F3B" w:rsidRDefault="00406F3B" w:rsidP="00406F3B">
            <w:pPr>
              <w:pStyle w:val="NoSpacing"/>
            </w:pPr>
          </w:p>
          <w:p w14:paraId="631C30CB" w14:textId="674B3190" w:rsidR="00406F3B" w:rsidRPr="003265B9" w:rsidRDefault="00406F3B" w:rsidP="00406F3B">
            <w:pPr>
              <w:pStyle w:val="NoSpacing"/>
            </w:pPr>
          </w:p>
        </w:tc>
        <w:tc>
          <w:tcPr>
            <w:tcW w:w="0" w:type="auto"/>
            <w:shd w:val="clear" w:color="auto" w:fill="auto"/>
          </w:tcPr>
          <w:p w14:paraId="4B88B835" w14:textId="77777777" w:rsidR="00406F3B" w:rsidRDefault="00406F3B" w:rsidP="00406F3B">
            <w:pPr>
              <w:jc w:val="both"/>
              <w:rPr>
                <w:bCs/>
                <w:szCs w:val="20"/>
              </w:rPr>
            </w:pPr>
          </w:p>
        </w:tc>
      </w:tr>
      <w:tr w:rsidR="0098022F" w14:paraId="2BA71CAB" w14:textId="77777777" w:rsidTr="0085651F">
        <w:tc>
          <w:tcPr>
            <w:tcW w:w="0" w:type="auto"/>
            <w:gridSpan w:val="2"/>
            <w:shd w:val="clear" w:color="auto" w:fill="auto"/>
          </w:tcPr>
          <w:p w14:paraId="0EC557D3" w14:textId="185A3C8A" w:rsidR="00406F3B" w:rsidRPr="00FC49A3" w:rsidRDefault="00406F3B" w:rsidP="00406F3B">
            <w:pPr>
              <w:rPr>
                <w:szCs w:val="20"/>
              </w:rPr>
            </w:pPr>
            <w:r w:rsidRPr="00FC49A3">
              <w:rPr>
                <w:szCs w:val="20"/>
              </w:rPr>
              <w:lastRenderedPageBreak/>
              <w:t>2.3.2 Average income of small-scale food producers, by sex and indigenous status</w:t>
            </w:r>
          </w:p>
        </w:tc>
        <w:tc>
          <w:tcPr>
            <w:tcW w:w="0" w:type="auto"/>
            <w:shd w:val="clear" w:color="auto" w:fill="auto"/>
          </w:tcPr>
          <w:p w14:paraId="43C6EEA0" w14:textId="77777777" w:rsidR="00406F3B" w:rsidRPr="00262FC1" w:rsidRDefault="00406F3B" w:rsidP="00406F3B">
            <w:pPr>
              <w:rPr>
                <w:szCs w:val="20"/>
              </w:rPr>
            </w:pPr>
            <w:r w:rsidRPr="00262FC1">
              <w:rPr>
                <w:szCs w:val="20"/>
              </w:rPr>
              <w:t xml:space="preserve">Food and Agriculture Organization of the United Nations </w:t>
            </w:r>
          </w:p>
          <w:p w14:paraId="41BD5A13" w14:textId="77777777" w:rsidR="00406F3B" w:rsidRPr="00262FC1" w:rsidRDefault="00406F3B" w:rsidP="00406F3B">
            <w:pPr>
              <w:rPr>
                <w:color w:val="4F4E4E"/>
                <w:szCs w:val="20"/>
                <w:shd w:val="clear" w:color="auto" w:fill="FFFFFF"/>
              </w:rPr>
            </w:pPr>
          </w:p>
        </w:tc>
        <w:tc>
          <w:tcPr>
            <w:tcW w:w="0" w:type="auto"/>
            <w:shd w:val="clear" w:color="auto" w:fill="auto"/>
          </w:tcPr>
          <w:p w14:paraId="18355E9A" w14:textId="77777777" w:rsidR="00406F3B" w:rsidRDefault="00406F3B" w:rsidP="00406F3B">
            <w:pPr>
              <w:jc w:val="center"/>
              <w:rPr>
                <w:szCs w:val="20"/>
              </w:rPr>
            </w:pPr>
            <w:r w:rsidRPr="006C014F">
              <w:rPr>
                <w:szCs w:val="20"/>
              </w:rPr>
              <w:t>Tier II</w:t>
            </w:r>
          </w:p>
          <w:p w14:paraId="527AE94D" w14:textId="4AB94651" w:rsidR="00406F3B" w:rsidRPr="00262FC1" w:rsidRDefault="00406F3B" w:rsidP="00406F3B">
            <w:pPr>
              <w:jc w:val="center"/>
              <w:rPr>
                <w:szCs w:val="20"/>
              </w:rPr>
            </w:pPr>
          </w:p>
        </w:tc>
        <w:tc>
          <w:tcPr>
            <w:tcW w:w="0" w:type="auto"/>
            <w:shd w:val="clear" w:color="auto" w:fill="auto"/>
          </w:tcPr>
          <w:p w14:paraId="50550105" w14:textId="40CB6592" w:rsidR="00406F3B" w:rsidRDefault="00406F3B" w:rsidP="00406F3B">
            <w:pPr>
              <w:pStyle w:val="Default"/>
              <w:jc w:val="both"/>
              <w:rPr>
                <w:rFonts w:ascii="Tw Cen MT Condensed" w:hAnsi="Tw Cen MT Condensed"/>
                <w:szCs w:val="20"/>
              </w:rPr>
            </w:pPr>
          </w:p>
          <w:p w14:paraId="6814F2AF" w14:textId="77777777" w:rsidR="00406F3B" w:rsidRPr="000C4849" w:rsidRDefault="00406F3B" w:rsidP="00406F3B">
            <w:pPr>
              <w:pStyle w:val="Default"/>
              <w:jc w:val="both"/>
              <w:rPr>
                <w:rFonts w:ascii="Tw Cen MT Condensed" w:hAnsi="Tw Cen MT Condensed"/>
                <w:b/>
                <w:szCs w:val="20"/>
              </w:rPr>
            </w:pPr>
            <w:r w:rsidRPr="000C4849">
              <w:rPr>
                <w:rFonts w:ascii="Tw Cen MT Condensed" w:hAnsi="Tw Cen MT Condensed"/>
                <w:b/>
                <w:szCs w:val="20"/>
              </w:rPr>
              <w:t>Definition:</w:t>
            </w:r>
          </w:p>
          <w:p w14:paraId="06AF0390"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t xml:space="preserve">SDG indicator 2.3.2 measures income from on-farm production activities, which is related to the production of food and agricultural products. This includes income from crop production, livestock production, fisheries and aquaculture production, and from forestry production. </w:t>
            </w:r>
          </w:p>
          <w:p w14:paraId="03285294" w14:textId="77777777" w:rsidR="00406F3B" w:rsidRDefault="00406F3B" w:rsidP="00406F3B">
            <w:pPr>
              <w:pStyle w:val="Default"/>
              <w:jc w:val="both"/>
              <w:rPr>
                <w:rFonts w:ascii="Tw Cen MT Condensed" w:hAnsi="Tw Cen MT Condensed"/>
                <w:szCs w:val="20"/>
              </w:rPr>
            </w:pPr>
            <w:r w:rsidRPr="009156DB">
              <w:rPr>
                <w:rFonts w:ascii="Tw Cen MT Condensed" w:hAnsi="Tw Cen MT Condensed"/>
                <w:szCs w:val="20"/>
              </w:rPr>
              <w:t>The indicator is computed as annual income.</w:t>
            </w:r>
          </w:p>
          <w:p w14:paraId="3CF4B223" w14:textId="77777777" w:rsidR="00406F3B" w:rsidRPr="000C4849" w:rsidRDefault="00406F3B" w:rsidP="00406F3B">
            <w:pPr>
              <w:pStyle w:val="Default"/>
              <w:jc w:val="both"/>
              <w:rPr>
                <w:rFonts w:ascii="Tw Cen MT Condensed" w:hAnsi="Tw Cen MT Condensed"/>
                <w:b/>
                <w:szCs w:val="20"/>
              </w:rPr>
            </w:pPr>
            <w:r w:rsidRPr="000C4849">
              <w:rPr>
                <w:rFonts w:ascii="Tw Cen MT Condensed" w:hAnsi="Tw Cen MT Condensed"/>
                <w:b/>
                <w:szCs w:val="20"/>
              </w:rPr>
              <w:t>Concepts:</w:t>
            </w:r>
          </w:p>
          <w:p w14:paraId="1262AF4E"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t>The following concepts are adopted for the computation of indicators 2.3.2:</w:t>
            </w:r>
          </w:p>
          <w:p w14:paraId="6EEBEB7F" w14:textId="77777777" w:rsidR="00406F3B" w:rsidRPr="009156DB" w:rsidRDefault="00406F3B" w:rsidP="00406F3B">
            <w:pPr>
              <w:pStyle w:val="Default"/>
              <w:jc w:val="both"/>
              <w:rPr>
                <w:rFonts w:ascii="Tw Cen MT Condensed" w:hAnsi="Tw Cen MT Condensed"/>
                <w:szCs w:val="20"/>
              </w:rPr>
            </w:pPr>
            <w:r>
              <w:rPr>
                <w:rFonts w:ascii="Tw Cen MT Condensed" w:hAnsi="Tw Cen MT Condensed"/>
                <w:szCs w:val="20"/>
              </w:rPr>
              <w:t xml:space="preserve">• </w:t>
            </w:r>
            <w:r w:rsidRPr="009156DB">
              <w:rPr>
                <w:rFonts w:ascii="Tw Cen MT Condensed" w:hAnsi="Tw Cen MT Condensed"/>
                <w:szCs w:val="20"/>
              </w:rPr>
              <w:t>Small-scale food producers are defined as those falling in the intersection of the bottom 40 percent of the cumulative distribution of land, livestock and revenues.</w:t>
            </w:r>
          </w:p>
          <w:p w14:paraId="6BB64EC3" w14:textId="77777777" w:rsidR="00406F3B" w:rsidRPr="009156DB" w:rsidRDefault="00406F3B" w:rsidP="00406F3B">
            <w:pPr>
              <w:pStyle w:val="Default"/>
              <w:jc w:val="both"/>
              <w:rPr>
                <w:rFonts w:ascii="Tw Cen MT Condensed" w:hAnsi="Tw Cen MT Condensed"/>
                <w:szCs w:val="20"/>
              </w:rPr>
            </w:pPr>
            <w:r>
              <w:rPr>
                <w:rFonts w:ascii="Tw Cen MT Condensed" w:hAnsi="Tw Cen MT Condensed"/>
                <w:szCs w:val="20"/>
              </w:rPr>
              <w:t xml:space="preserve">• </w:t>
            </w:r>
            <w:r w:rsidRPr="009156DB">
              <w:rPr>
                <w:rFonts w:ascii="Tw Cen MT Condensed" w:hAnsi="Tw Cen MT Condensed"/>
                <w:szCs w:val="20"/>
              </w:rPr>
              <w:t xml:space="preserve">Tropical Livestock Units are a conversion scale used for standardization and measurement of the number of livestock heads. One TLU is the metabolic weight equivalent of one cattle in North America. The complete list of conversion factors can be found in the Guidelines for the preparation of livestock sector Reviews  </w:t>
            </w:r>
          </w:p>
          <w:p w14:paraId="4BF870C5" w14:textId="77777777" w:rsidR="00406F3B" w:rsidRDefault="00406F3B" w:rsidP="00406F3B">
            <w:pPr>
              <w:pStyle w:val="Default"/>
              <w:jc w:val="both"/>
              <w:rPr>
                <w:rFonts w:ascii="Tw Cen MT Condensed" w:hAnsi="Tw Cen MT Condensed"/>
                <w:szCs w:val="20"/>
              </w:rPr>
            </w:pPr>
            <w:r>
              <w:rPr>
                <w:rFonts w:ascii="Tw Cen MT Condensed" w:hAnsi="Tw Cen MT Condensed"/>
                <w:szCs w:val="20"/>
              </w:rPr>
              <w:t xml:space="preserve">• </w:t>
            </w:r>
            <w:r w:rsidRPr="009156DB">
              <w:rPr>
                <w:rFonts w:ascii="Tw Cen MT Condensed" w:hAnsi="Tw Cen MT Condensed"/>
                <w:szCs w:val="20"/>
              </w:rPr>
              <w:t>The computation of income is based on the resolution adopted by the 17th International Conference of Labour Statisticians (ICLS). Income should be computed by deducting from revenues the operating costs and the depreciation of assets.</w:t>
            </w:r>
          </w:p>
          <w:p w14:paraId="150B1EFE" w14:textId="77777777" w:rsidR="00406F3B" w:rsidRPr="000C4849" w:rsidRDefault="00406F3B" w:rsidP="00406F3B">
            <w:pPr>
              <w:pStyle w:val="Default"/>
              <w:jc w:val="both"/>
              <w:rPr>
                <w:rFonts w:ascii="Tw Cen MT Condensed" w:hAnsi="Tw Cen MT Condensed"/>
                <w:b/>
                <w:szCs w:val="20"/>
              </w:rPr>
            </w:pPr>
            <w:r w:rsidRPr="000C4849">
              <w:rPr>
                <w:rFonts w:ascii="Tw Cen MT Condensed" w:hAnsi="Tw Cen MT Condensed"/>
                <w:b/>
                <w:szCs w:val="20"/>
              </w:rPr>
              <w:t>Computation Method:</w:t>
            </w:r>
          </w:p>
          <w:p w14:paraId="66B0BF8D"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t xml:space="preserve">Given i agricultural activities, including crops, livestock, fisheries and forestry activities, and j [1,…,n] small scale food producers defined as in the first section as a subset of all N [1,…,k] food producers, the SDG indicator 2.3.2 must be computed using the following formula: </w:t>
            </w:r>
          </w:p>
          <w:p w14:paraId="25B176CA" w14:textId="77777777" w:rsidR="00406F3B" w:rsidRPr="009156DB" w:rsidRDefault="00406F3B" w:rsidP="00406F3B">
            <w:pPr>
              <w:pStyle w:val="Default"/>
              <w:jc w:val="both"/>
              <w:rPr>
                <w:rFonts w:ascii="Tw Cen MT Condensed" w:hAnsi="Tw Cen MT Condensed"/>
                <w:szCs w:val="20"/>
              </w:rPr>
            </w:pPr>
          </w:p>
          <w:p w14:paraId="2426F2CF" w14:textId="77777777" w:rsidR="00406F3B" w:rsidRDefault="00406F3B" w:rsidP="00406F3B">
            <w:pPr>
              <w:pStyle w:val="Default"/>
              <w:jc w:val="both"/>
              <w:rPr>
                <w:rFonts w:ascii="Tw Cen MT Condensed" w:hAnsi="Tw Cen MT Condensed"/>
                <w:szCs w:val="20"/>
              </w:rPr>
            </w:pPr>
            <m:oMathPara>
              <m:oMath>
                <m:r>
                  <m:rPr>
                    <m:sty m:val="p"/>
                  </m:rPr>
                  <w:rPr>
                    <w:rFonts w:ascii="Cambria Math" w:hAnsi="Cambria Math"/>
                  </w:rPr>
                  <m:t>SDG 2.3.2=</m:t>
                </m:r>
                <m:sSubSup>
                  <m:sSubSupPr>
                    <m:ctrlPr>
                      <w:rPr>
                        <w:rFonts w:ascii="Cambria Math" w:hAnsi="Cambria Math"/>
                      </w:rPr>
                    </m:ctrlPr>
                  </m:sSubSupPr>
                  <m:e>
                    <m:r>
                      <w:rPr>
                        <w:rFonts w:ascii="Cambria Math" w:hAnsi="Cambria Math"/>
                      </w:rPr>
                      <m:t>I</m:t>
                    </m:r>
                  </m:e>
                  <m:sub>
                    <m:r>
                      <m:rPr>
                        <m:sty m:val="p"/>
                      </m:rPr>
                      <w:rPr>
                        <w:rFonts w:ascii="Cambria Math" w:hAnsi="Cambria Math"/>
                      </w:rPr>
                      <m:t>2.3.2</m:t>
                    </m:r>
                  </m:sub>
                  <m:sup>
                    <m:r>
                      <w:rPr>
                        <w:rFonts w:ascii="Cambria Math" w:hAnsi="Cambria Math"/>
                      </w:rPr>
                      <m:t>t</m:t>
                    </m:r>
                  </m:sup>
                </m:sSubSup>
                <m:r>
                  <m:rPr>
                    <m:sty m:val="p"/>
                  </m:rPr>
                  <w:rPr>
                    <w:rFonts w:ascii="Cambria Math" w:hAnsi="Cambria Math"/>
                  </w:rPr>
                  <m:t>=</m:t>
                </m:r>
                <m:f>
                  <m:fPr>
                    <m:type m:val="lin"/>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sSubSup>
                                  <m:sSubSupPr>
                                    <m:ctrlPr>
                                      <w:rPr>
                                        <w:rFonts w:ascii="Cambria Math" w:hAnsi="Cambria Math"/>
                                      </w:rPr>
                                    </m:ctrlPr>
                                  </m:sSubSupPr>
                                  <m:e>
                                    <m:r>
                                      <m:rPr>
                                        <m:sty m:val="p"/>
                                      </m:rPr>
                                      <w:rPr>
                                        <w:rFonts w:ascii="Cambria Math" w:hAnsi="Cambria Math"/>
                                      </w:rPr>
                                      <m:t>(</m:t>
                                    </m:r>
                                    <m:r>
                                      <w:rPr>
                                        <w:rFonts w:ascii="Cambria Math" w:hAnsi="Cambria Math"/>
                                      </w:rPr>
                                      <m:t>V</m:t>
                                    </m:r>
                                  </m:e>
                                  <m:sub>
                                    <m:r>
                                      <w:rPr>
                                        <w:rFonts w:ascii="Cambria Math" w:hAnsi="Cambria Math"/>
                                      </w:rPr>
                                      <m:t>ij</m:t>
                                    </m:r>
                                  </m:sub>
                                  <m:sup>
                                    <m:r>
                                      <w:rPr>
                                        <w:rFonts w:ascii="Cambria Math" w:hAnsi="Cambria Math"/>
                                      </w:rPr>
                                      <m:t>t</m:t>
                                    </m:r>
                                  </m:sup>
                                </m:sSubSup>
                                <m:sSubSup>
                                  <m:sSubSupPr>
                                    <m:ctrlPr>
                                      <w:rPr>
                                        <w:rFonts w:ascii="Cambria Math" w:hAnsi="Cambria Math"/>
                                      </w:rPr>
                                    </m:ctrlPr>
                                  </m:sSubSupPr>
                                  <m:e>
                                    <m:r>
                                      <w:rPr>
                                        <w:rFonts w:ascii="Cambria Math" w:hAnsi="Cambria Math"/>
                                      </w:rPr>
                                      <m:t>p</m:t>
                                    </m:r>
                                  </m:e>
                                  <m:sub>
                                    <m:r>
                                      <w:rPr>
                                        <w:rFonts w:ascii="Cambria Math" w:hAnsi="Cambria Math"/>
                                      </w:rPr>
                                      <m:t>ij</m:t>
                                    </m:r>
                                  </m:sub>
                                  <m:sup>
                                    <m:r>
                                      <w:rPr>
                                        <w:rFonts w:ascii="Cambria Math" w:hAnsi="Cambria Math"/>
                                      </w:rPr>
                                      <m:t>t</m:t>
                                    </m:r>
                                  </m:sup>
                                </m:sSubSup>
                              </m:e>
                            </m:nary>
                            <m:r>
                              <m:rPr>
                                <m:sty m:val="p"/>
                              </m:rPr>
                              <w:rPr>
                                <w:rFonts w:ascii="Cambria Math" w:hAnsi="Cambria Math"/>
                              </w:rPr>
                              <m:t xml:space="preserve">- </m:t>
                            </m:r>
                            <m:sSubSup>
                              <m:sSubSupPr>
                                <m:ctrlPr>
                                  <w:rPr>
                                    <w:rFonts w:ascii="Cambria Math" w:hAnsi="Cambria Math"/>
                                  </w:rPr>
                                </m:ctrlPr>
                              </m:sSubSupPr>
                              <m:e>
                                <m:r>
                                  <w:rPr>
                                    <w:rFonts w:ascii="Cambria Math" w:hAnsi="Cambria Math"/>
                                  </w:rPr>
                                  <m:t>C</m:t>
                                </m:r>
                              </m:e>
                              <m:sub>
                                <m:r>
                                  <w:rPr>
                                    <w:rFonts w:ascii="Cambria Math" w:hAnsi="Cambria Math"/>
                                  </w:rPr>
                                  <m:t>ij</m:t>
                                </m:r>
                              </m:sub>
                              <m:sup>
                                <m:r>
                                  <w:rPr>
                                    <w:rFonts w:ascii="Cambria Math" w:hAnsi="Cambria Math"/>
                                  </w:rPr>
                                  <m:t>t</m:t>
                                </m:r>
                              </m:sup>
                            </m:sSubSup>
                          </m:e>
                        </m:d>
                      </m:e>
                    </m:nary>
                  </m:num>
                  <m:den>
                    <m:r>
                      <w:rPr>
                        <w:rFonts w:ascii="Cambria Math" w:hAnsi="Cambria Math"/>
                      </w:rPr>
                      <m:t>n</m:t>
                    </m:r>
                  </m:den>
                </m:f>
              </m:oMath>
            </m:oMathPara>
          </w:p>
          <w:p w14:paraId="053DB75C"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t>where:</w:t>
            </w:r>
          </w:p>
          <w:p w14:paraId="2BAFF4D4"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t xml:space="preserve"> </w:t>
            </w:r>
          </w:p>
          <w:p w14:paraId="18502988"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t xml:space="preserve">V_ij^t is the physical volume of agricultural product i sold by the small-scale food producer j during year t; </w:t>
            </w:r>
          </w:p>
          <w:p w14:paraId="565608F1"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t xml:space="preserve">p_ij^t is the constant sale price received by the small-scale food producer j for the agricultural product i during year t; </w:t>
            </w:r>
          </w:p>
          <w:p w14:paraId="3DA1EAC8" w14:textId="77777777" w:rsidR="00406F3B" w:rsidRPr="009156DB" w:rsidRDefault="00406F3B" w:rsidP="00406F3B">
            <w:pPr>
              <w:pStyle w:val="Default"/>
              <w:jc w:val="both"/>
              <w:rPr>
                <w:rFonts w:ascii="Tw Cen MT Condensed" w:hAnsi="Tw Cen MT Condensed"/>
                <w:szCs w:val="20"/>
              </w:rPr>
            </w:pPr>
            <w:r w:rsidRPr="009156DB">
              <w:rPr>
                <w:rFonts w:ascii="Tw Cen MT Condensed" w:hAnsi="Tw Cen MT Condensed"/>
                <w:szCs w:val="20"/>
              </w:rPr>
              <w:lastRenderedPageBreak/>
              <w:t xml:space="preserve">C_ij^t is the production cost of agricultural product i supported by the small-scale food producer j during year t; </w:t>
            </w:r>
          </w:p>
          <w:p w14:paraId="07B8BD59" w14:textId="77777777" w:rsidR="00406F3B" w:rsidRPr="00FC49A3" w:rsidRDefault="00406F3B" w:rsidP="00406F3B">
            <w:pPr>
              <w:pStyle w:val="Default"/>
              <w:jc w:val="both"/>
              <w:rPr>
                <w:rFonts w:ascii="Tw Cen MT Condensed" w:hAnsi="Tw Cen MT Condensed"/>
                <w:szCs w:val="20"/>
              </w:rPr>
            </w:pPr>
            <w:proofErr w:type="gramStart"/>
            <w:r w:rsidRPr="009156DB">
              <w:rPr>
                <w:rFonts w:ascii="Tw Cen MT Condensed" w:hAnsi="Tw Cen MT Condensed"/>
                <w:szCs w:val="20"/>
              </w:rPr>
              <w:t>n</w:t>
            </w:r>
            <w:proofErr w:type="gramEnd"/>
            <w:r w:rsidRPr="009156DB">
              <w:rPr>
                <w:rFonts w:ascii="Tw Cen MT Condensed" w:hAnsi="Tw Cen MT Condensed"/>
                <w:szCs w:val="20"/>
              </w:rPr>
              <w:t xml:space="preserve"> is the number of small-scale food producer.</w:t>
            </w:r>
          </w:p>
        </w:tc>
        <w:tc>
          <w:tcPr>
            <w:tcW w:w="0" w:type="auto"/>
            <w:shd w:val="clear" w:color="auto" w:fill="auto"/>
          </w:tcPr>
          <w:p w14:paraId="707FD9D6" w14:textId="77777777" w:rsidR="006A0120" w:rsidRDefault="006A0120" w:rsidP="006A0120">
            <w:pPr>
              <w:jc w:val="center"/>
              <w:rPr>
                <w:rFonts w:eastAsia="Times New Roman" w:cs="Times New Roman"/>
                <w:color w:val="FF0000"/>
                <w:szCs w:val="20"/>
              </w:rPr>
            </w:pPr>
            <w:r>
              <w:rPr>
                <w:bCs/>
                <w:szCs w:val="20"/>
              </w:rPr>
              <w:lastRenderedPageBreak/>
              <w:t>Agriculture Census/</w:t>
            </w:r>
            <w:r w:rsidRPr="00BC6F10">
              <w:rPr>
                <w:rFonts w:eastAsia="Times New Roman" w:cs="Times New Roman"/>
                <w:color w:val="FF0000"/>
                <w:szCs w:val="20"/>
              </w:rPr>
              <w:t xml:space="preserve"> Agriculture Survey</w:t>
            </w:r>
            <w:r>
              <w:rPr>
                <w:rFonts w:eastAsia="Times New Roman" w:cs="Times New Roman"/>
                <w:color w:val="FF0000"/>
                <w:szCs w:val="20"/>
              </w:rPr>
              <w:t xml:space="preserve"> </w:t>
            </w:r>
          </w:p>
          <w:p w14:paraId="5544A5C5" w14:textId="56046B34" w:rsidR="00406F3B" w:rsidRDefault="006A0120" w:rsidP="006A0120">
            <w:pPr>
              <w:jc w:val="center"/>
              <w:rPr>
                <w:bCs/>
                <w:szCs w:val="20"/>
              </w:rPr>
            </w:pPr>
            <w:r w:rsidRPr="0070109B">
              <w:rPr>
                <w:rFonts w:eastAsia="Times New Roman" w:cs="Times New Roman"/>
                <w:color w:val="4A4A4A"/>
                <w:sz w:val="21"/>
                <w:szCs w:val="21"/>
                <w:lang w:eastAsia="en-GB"/>
              </w:rPr>
              <w:t>administrative data</w:t>
            </w:r>
          </w:p>
        </w:tc>
        <w:tc>
          <w:tcPr>
            <w:tcW w:w="0" w:type="auto"/>
            <w:shd w:val="clear" w:color="auto" w:fill="auto"/>
          </w:tcPr>
          <w:p w14:paraId="45985760" w14:textId="02918994" w:rsidR="00406F3B" w:rsidRDefault="006A0120" w:rsidP="00406F3B">
            <w:pPr>
              <w:jc w:val="center"/>
              <w:rPr>
                <w:bCs/>
                <w:szCs w:val="20"/>
              </w:rPr>
            </w:pPr>
            <w:r>
              <w:rPr>
                <w:bCs/>
                <w:szCs w:val="20"/>
              </w:rPr>
              <w:t>NSO</w:t>
            </w:r>
          </w:p>
        </w:tc>
        <w:tc>
          <w:tcPr>
            <w:tcW w:w="0" w:type="auto"/>
            <w:shd w:val="clear" w:color="auto" w:fill="auto"/>
          </w:tcPr>
          <w:p w14:paraId="005CCB6E" w14:textId="77777777" w:rsidR="00406F3B" w:rsidRPr="00D66833" w:rsidRDefault="00406F3B" w:rsidP="00406F3B">
            <w:pPr>
              <w:jc w:val="center"/>
              <w:rPr>
                <w:bCs/>
                <w:szCs w:val="20"/>
              </w:rPr>
            </w:pPr>
            <w:r>
              <w:rPr>
                <w:bCs/>
                <w:szCs w:val="20"/>
              </w:rPr>
              <w:t>-</w:t>
            </w:r>
          </w:p>
        </w:tc>
        <w:tc>
          <w:tcPr>
            <w:tcW w:w="0" w:type="auto"/>
            <w:shd w:val="clear" w:color="auto" w:fill="auto"/>
          </w:tcPr>
          <w:p w14:paraId="02F4EE5E" w14:textId="2457A485" w:rsidR="00406F3B" w:rsidRDefault="00406F3B" w:rsidP="00406F3B">
            <w:pPr>
              <w:jc w:val="center"/>
              <w:rPr>
                <w:bCs/>
                <w:szCs w:val="20"/>
              </w:rPr>
            </w:pPr>
          </w:p>
          <w:p w14:paraId="0969307E" w14:textId="77777777" w:rsidR="00406F3B" w:rsidRPr="00D66833" w:rsidRDefault="00406F3B" w:rsidP="00406F3B">
            <w:pPr>
              <w:jc w:val="center"/>
              <w:rPr>
                <w:bCs/>
                <w:szCs w:val="20"/>
              </w:rPr>
            </w:pPr>
            <w:r w:rsidRPr="00BC6F10">
              <w:rPr>
                <w:rFonts w:eastAsia="Times New Roman" w:cs="Times New Roman"/>
                <w:color w:val="FF0000"/>
                <w:szCs w:val="20"/>
              </w:rPr>
              <w:t>Agriculture Sample Census/</w:t>
            </w:r>
            <w:r w:rsidRPr="00BC6F10" w:rsidDel="009F1657">
              <w:rPr>
                <w:rFonts w:eastAsia="Times New Roman" w:cs="Times New Roman"/>
                <w:color w:val="FF0000"/>
                <w:szCs w:val="20"/>
              </w:rPr>
              <w:t xml:space="preserve"> </w:t>
            </w:r>
            <w:r>
              <w:rPr>
                <w:rFonts w:eastAsia="Times New Roman" w:cs="Times New Roman"/>
                <w:color w:val="FF0000"/>
                <w:szCs w:val="20"/>
              </w:rPr>
              <w:t xml:space="preserve">/ </w:t>
            </w:r>
            <w:r w:rsidRPr="009F1657">
              <w:rPr>
                <w:rFonts w:eastAsia="Times New Roman" w:cs="Times New Roman"/>
                <w:bCs/>
                <w:color w:val="FF0000"/>
                <w:szCs w:val="20"/>
              </w:rPr>
              <w:t>Cost of Production Survey</w:t>
            </w:r>
            <w:r>
              <w:rPr>
                <w:rFonts w:eastAsia="Times New Roman" w:cs="Times New Roman"/>
                <w:bCs/>
                <w:color w:val="FF0000"/>
                <w:szCs w:val="20"/>
              </w:rPr>
              <w:t>, BBS</w:t>
            </w:r>
          </w:p>
        </w:tc>
        <w:tc>
          <w:tcPr>
            <w:tcW w:w="0" w:type="auto"/>
            <w:shd w:val="clear" w:color="auto" w:fill="auto"/>
          </w:tcPr>
          <w:p w14:paraId="5DC32737" w14:textId="6A506D12" w:rsidR="00406F3B" w:rsidRDefault="00406F3B" w:rsidP="00406F3B">
            <w:pPr>
              <w:jc w:val="center"/>
              <w:rPr>
                <w:bCs/>
                <w:szCs w:val="20"/>
              </w:rPr>
            </w:pPr>
          </w:p>
          <w:p w14:paraId="22C44059" w14:textId="77777777" w:rsidR="00892004" w:rsidRDefault="00892004" w:rsidP="00892004">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C</w:t>
            </w:r>
            <w:r w:rsidRPr="00357B0B">
              <w:rPr>
                <w:rFonts w:ascii="Tw Cen MT Condensed" w:hAnsi="Tw Cen MT Condensed"/>
              </w:rPr>
              <w:t>lasses of farming/pastoral/forestry enterprise size</w:t>
            </w:r>
            <w:r>
              <w:rPr>
                <w:rFonts w:ascii="Tw Cen MT Condensed" w:hAnsi="Tw Cen MT Condensed"/>
              </w:rPr>
              <w:t>: TPE/Capital</w:t>
            </w:r>
          </w:p>
          <w:p w14:paraId="5DE5683A" w14:textId="77777777" w:rsidR="00892004" w:rsidRDefault="00892004" w:rsidP="00892004">
            <w:pPr>
              <w:pStyle w:val="ListParagraph"/>
              <w:numPr>
                <w:ilvl w:val="0"/>
                <w:numId w:val="48"/>
              </w:numPr>
              <w:spacing w:after="0" w:line="240" w:lineRule="auto"/>
              <w:ind w:left="162" w:hanging="162"/>
              <w:rPr>
                <w:rFonts w:ascii="Tw Cen MT Condensed" w:hAnsi="Tw Cen MT Condensed"/>
              </w:rPr>
            </w:pPr>
            <w:r>
              <w:rPr>
                <w:rFonts w:ascii="Tw Cen MT Condensed" w:hAnsi="Tw Cen MT Condensed"/>
              </w:rPr>
              <w:t>TPE by sex, Sex of unit head: Male, Female.</w:t>
            </w:r>
          </w:p>
          <w:p w14:paraId="44DC675D" w14:textId="4B6E2A8F" w:rsidR="00892004" w:rsidRDefault="00892004" w:rsidP="004330E6">
            <w:pPr>
              <w:pStyle w:val="ListParagraph"/>
              <w:numPr>
                <w:ilvl w:val="0"/>
                <w:numId w:val="48"/>
              </w:numPr>
              <w:spacing w:after="0" w:line="240" w:lineRule="auto"/>
              <w:rPr>
                <w:rFonts w:ascii="Tw Cen MT Condensed" w:hAnsi="Tw Cen MT Condensed"/>
              </w:rPr>
            </w:pPr>
            <w:r w:rsidRPr="00357B0B">
              <w:rPr>
                <w:rFonts w:ascii="Tw Cen MT Condensed" w:hAnsi="Tw Cen MT Condensed"/>
              </w:rPr>
              <w:t xml:space="preserve"> </w:t>
            </w:r>
            <w:r>
              <w:rPr>
                <w:rFonts w:ascii="Tw Cen MT Condensed" w:hAnsi="Tw Cen MT Condensed"/>
              </w:rPr>
              <w:t>T</w:t>
            </w:r>
            <w:r w:rsidRPr="00357B0B">
              <w:rPr>
                <w:rFonts w:ascii="Tw Cen MT Condensed" w:hAnsi="Tw Cen MT Condensed"/>
              </w:rPr>
              <w:t xml:space="preserve">ype of enterprise </w:t>
            </w:r>
            <w:r w:rsidR="004330E6">
              <w:rPr>
                <w:rFonts w:ascii="Tw Cen MT Condensed" w:hAnsi="Tw Cen MT Condensed"/>
              </w:rPr>
              <w:t>:</w:t>
            </w:r>
            <w:r w:rsidR="004330E6" w:rsidRPr="0070109B">
              <w:rPr>
                <w:rFonts w:eastAsia="Times New Roman" w:cs="Times New Roman"/>
                <w:color w:val="4A4A4A"/>
                <w:sz w:val="21"/>
                <w:szCs w:val="21"/>
                <w:lang w:eastAsia="en-GB"/>
              </w:rPr>
              <w:t xml:space="preserve"> </w:t>
            </w:r>
            <w:r w:rsidR="004330E6" w:rsidRPr="004330E6">
              <w:rPr>
                <w:rFonts w:ascii="Tw Cen MT Condensed" w:eastAsia="Times New Roman" w:hAnsi="Tw Cen MT Condensed" w:cs="Times New Roman"/>
                <w:color w:val="4A4A4A"/>
                <w:sz w:val="21"/>
                <w:szCs w:val="21"/>
                <w:lang w:eastAsia="en-GB"/>
              </w:rPr>
              <w:t>farming/pastoral/forestry</w:t>
            </w:r>
          </w:p>
          <w:p w14:paraId="2376174C" w14:textId="0B6CE60E" w:rsidR="00892004" w:rsidRPr="00FC49A3" w:rsidRDefault="00892004" w:rsidP="00892004">
            <w:pPr>
              <w:jc w:val="center"/>
              <w:rPr>
                <w:bCs/>
                <w:szCs w:val="20"/>
              </w:rPr>
            </w:pPr>
            <w:r>
              <w:t>C</w:t>
            </w:r>
            <w:r w:rsidRPr="00357B0B">
              <w:t>ommunity</w:t>
            </w:r>
            <w:r>
              <w:t xml:space="preserve"> </w:t>
            </w:r>
            <w:r w:rsidRPr="00357B0B">
              <w:t>of reference</w:t>
            </w:r>
            <w:r w:rsidR="004330E6">
              <w:t xml:space="preserve">: </w:t>
            </w:r>
            <w:r w:rsidR="004330E6" w:rsidRPr="004330E6">
              <w:t>women, indigenous peoples, family farmers, pastoralists and fishers</w:t>
            </w:r>
          </w:p>
        </w:tc>
        <w:tc>
          <w:tcPr>
            <w:tcW w:w="0" w:type="auto"/>
            <w:shd w:val="clear" w:color="auto" w:fill="auto"/>
          </w:tcPr>
          <w:p w14:paraId="046887C8" w14:textId="06B4C024" w:rsidR="00406F3B" w:rsidRDefault="005F24FB" w:rsidP="00406F3B">
            <w:pPr>
              <w:jc w:val="center"/>
              <w:rPr>
                <w:bCs/>
                <w:szCs w:val="20"/>
              </w:rPr>
            </w:pPr>
            <w:r>
              <w:rPr>
                <w:bCs/>
                <w:szCs w:val="20"/>
              </w:rPr>
              <w:t>Triennial</w:t>
            </w:r>
          </w:p>
        </w:tc>
        <w:tc>
          <w:tcPr>
            <w:tcW w:w="0" w:type="auto"/>
            <w:shd w:val="clear" w:color="auto" w:fill="auto"/>
          </w:tcPr>
          <w:p w14:paraId="392DB23A" w14:textId="77777777" w:rsidR="00406F3B" w:rsidRDefault="00406F3B" w:rsidP="00406F3B">
            <w:pPr>
              <w:jc w:val="center"/>
              <w:rPr>
                <w:bCs/>
                <w:szCs w:val="20"/>
              </w:rPr>
            </w:pPr>
            <w:r>
              <w:rPr>
                <w:bCs/>
                <w:szCs w:val="20"/>
              </w:rPr>
              <w:t>Group 3</w:t>
            </w:r>
          </w:p>
        </w:tc>
        <w:tc>
          <w:tcPr>
            <w:tcW w:w="0" w:type="auto"/>
            <w:shd w:val="clear" w:color="auto" w:fill="auto"/>
          </w:tcPr>
          <w:p w14:paraId="291B1D7F" w14:textId="77777777" w:rsidR="00406F3B" w:rsidRDefault="00406F3B" w:rsidP="00406F3B">
            <w:pPr>
              <w:pStyle w:val="NoSpacing"/>
            </w:pPr>
            <w:r>
              <w:t>1</w:t>
            </w:r>
            <w:r w:rsidRPr="00013ACB">
              <w:rPr>
                <w:vertAlign w:val="superscript"/>
              </w:rPr>
              <w:t>st</w:t>
            </w:r>
            <w:r>
              <w:t xml:space="preserve"> Round: </w:t>
            </w:r>
          </w:p>
          <w:p w14:paraId="104758C5" w14:textId="77777777" w:rsidR="00406F3B" w:rsidRDefault="00406F3B" w:rsidP="00406F3B">
            <w:pPr>
              <w:pStyle w:val="NoSpacing"/>
            </w:pPr>
            <w:r>
              <w:t xml:space="preserve">December </w:t>
            </w:r>
          </w:p>
          <w:p w14:paraId="1C2549EC" w14:textId="77777777" w:rsidR="00406F3B" w:rsidRDefault="00406F3B" w:rsidP="00406F3B">
            <w:pPr>
              <w:jc w:val="both"/>
            </w:pPr>
            <w:r>
              <w:t>2020</w:t>
            </w:r>
          </w:p>
          <w:p w14:paraId="5D9199BB" w14:textId="77777777" w:rsidR="00406F3B" w:rsidRDefault="00406F3B" w:rsidP="00406F3B">
            <w:pPr>
              <w:pStyle w:val="NoSpacing"/>
            </w:pPr>
          </w:p>
          <w:p w14:paraId="35C38136" w14:textId="77777777" w:rsidR="00406F3B" w:rsidRDefault="00406F3B" w:rsidP="00406F3B">
            <w:pPr>
              <w:pStyle w:val="NoSpacing"/>
            </w:pPr>
            <w:r>
              <w:t>2</w:t>
            </w:r>
            <w:r w:rsidRPr="00013ACB">
              <w:rPr>
                <w:vertAlign w:val="superscript"/>
              </w:rPr>
              <w:t>nd</w:t>
            </w:r>
            <w:r>
              <w:t xml:space="preserve"> Round: </w:t>
            </w:r>
          </w:p>
          <w:p w14:paraId="2840CC23" w14:textId="77777777" w:rsidR="00406F3B" w:rsidRDefault="00406F3B" w:rsidP="00406F3B">
            <w:pPr>
              <w:pStyle w:val="NoSpacing"/>
            </w:pPr>
            <w:r>
              <w:t xml:space="preserve">December </w:t>
            </w:r>
          </w:p>
          <w:p w14:paraId="58E4142F" w14:textId="77777777" w:rsidR="00406F3B" w:rsidRDefault="00406F3B" w:rsidP="00406F3B">
            <w:pPr>
              <w:jc w:val="both"/>
            </w:pPr>
            <w:r>
              <w:t>2023</w:t>
            </w:r>
          </w:p>
          <w:p w14:paraId="40E73520" w14:textId="77777777" w:rsidR="00406F3B" w:rsidRDefault="00406F3B" w:rsidP="00406F3B">
            <w:pPr>
              <w:pStyle w:val="NoSpacing"/>
            </w:pPr>
          </w:p>
          <w:p w14:paraId="00EDF59B" w14:textId="77777777" w:rsidR="00406F3B" w:rsidRDefault="00406F3B" w:rsidP="00406F3B">
            <w:pPr>
              <w:pStyle w:val="NoSpacing"/>
            </w:pPr>
            <w:r>
              <w:t>3</w:t>
            </w:r>
            <w:r w:rsidRPr="00013ACB">
              <w:rPr>
                <w:vertAlign w:val="superscript"/>
              </w:rPr>
              <w:t>rd</w:t>
            </w:r>
            <w:r>
              <w:t xml:space="preserve"> Round: </w:t>
            </w:r>
          </w:p>
          <w:p w14:paraId="43F3DAC7" w14:textId="77777777" w:rsidR="00406F3B" w:rsidRDefault="00406F3B" w:rsidP="00406F3B">
            <w:pPr>
              <w:pStyle w:val="NoSpacing"/>
            </w:pPr>
            <w:r>
              <w:t xml:space="preserve">December </w:t>
            </w:r>
          </w:p>
          <w:p w14:paraId="7D1CE938" w14:textId="77777777" w:rsidR="00406F3B" w:rsidRDefault="00406F3B" w:rsidP="00406F3B">
            <w:pPr>
              <w:jc w:val="both"/>
            </w:pPr>
            <w:r>
              <w:t>2026</w:t>
            </w:r>
          </w:p>
          <w:p w14:paraId="592C0859" w14:textId="77777777" w:rsidR="00406F3B" w:rsidRDefault="00406F3B" w:rsidP="00406F3B">
            <w:pPr>
              <w:pStyle w:val="NoSpacing"/>
            </w:pPr>
          </w:p>
          <w:p w14:paraId="094913AE" w14:textId="77777777" w:rsidR="00406F3B" w:rsidRDefault="00406F3B" w:rsidP="00406F3B">
            <w:pPr>
              <w:pStyle w:val="NoSpacing"/>
            </w:pPr>
            <w:r>
              <w:t>4</w:t>
            </w:r>
            <w:r w:rsidRPr="00013ACB">
              <w:rPr>
                <w:vertAlign w:val="superscript"/>
              </w:rPr>
              <w:t>th</w:t>
            </w:r>
            <w:r>
              <w:t xml:space="preserve"> Round: </w:t>
            </w:r>
          </w:p>
          <w:p w14:paraId="5384A96A" w14:textId="77777777" w:rsidR="00406F3B" w:rsidRDefault="00406F3B" w:rsidP="00406F3B">
            <w:pPr>
              <w:pStyle w:val="NoSpacing"/>
            </w:pPr>
            <w:r>
              <w:t xml:space="preserve">December </w:t>
            </w:r>
          </w:p>
          <w:p w14:paraId="236431FC" w14:textId="77777777" w:rsidR="00406F3B" w:rsidRDefault="00406F3B" w:rsidP="00406F3B">
            <w:pPr>
              <w:jc w:val="both"/>
            </w:pPr>
            <w:r>
              <w:t>2029</w:t>
            </w:r>
          </w:p>
          <w:p w14:paraId="55DE484B" w14:textId="77777777" w:rsidR="00406F3B" w:rsidRDefault="00406F3B" w:rsidP="00406F3B">
            <w:pPr>
              <w:pStyle w:val="NoSpacing"/>
            </w:pPr>
          </w:p>
          <w:p w14:paraId="4B88447B" w14:textId="77777777" w:rsidR="00406F3B" w:rsidRDefault="00406F3B" w:rsidP="00406F3B">
            <w:pPr>
              <w:pStyle w:val="NoSpacing"/>
            </w:pPr>
            <w:r>
              <w:t>5</w:t>
            </w:r>
            <w:r w:rsidRPr="00013ACB">
              <w:rPr>
                <w:vertAlign w:val="superscript"/>
              </w:rPr>
              <w:t>th</w:t>
            </w:r>
            <w:r>
              <w:t xml:space="preserve"> Round: </w:t>
            </w:r>
          </w:p>
          <w:p w14:paraId="45B7F75A" w14:textId="77777777" w:rsidR="00406F3B" w:rsidRDefault="00406F3B" w:rsidP="00406F3B">
            <w:pPr>
              <w:pStyle w:val="NoSpacing"/>
            </w:pPr>
            <w:r>
              <w:t xml:space="preserve">December </w:t>
            </w:r>
          </w:p>
          <w:p w14:paraId="3D991B47" w14:textId="77777777" w:rsidR="00406F3B" w:rsidRDefault="00406F3B" w:rsidP="00406F3B">
            <w:pPr>
              <w:jc w:val="both"/>
            </w:pPr>
            <w:r>
              <w:t>2030</w:t>
            </w:r>
          </w:p>
          <w:p w14:paraId="76EE3C39" w14:textId="6C839C42" w:rsidR="00406F3B" w:rsidRDefault="00406F3B" w:rsidP="00406F3B">
            <w:pPr>
              <w:jc w:val="both"/>
              <w:rPr>
                <w:bCs/>
                <w:szCs w:val="20"/>
              </w:rPr>
            </w:pPr>
          </w:p>
        </w:tc>
        <w:tc>
          <w:tcPr>
            <w:tcW w:w="0" w:type="auto"/>
            <w:shd w:val="clear" w:color="auto" w:fill="auto"/>
          </w:tcPr>
          <w:p w14:paraId="2C8955A3" w14:textId="77777777" w:rsidR="00406F3B" w:rsidRDefault="00406F3B" w:rsidP="00406F3B">
            <w:pPr>
              <w:jc w:val="both"/>
              <w:rPr>
                <w:bCs/>
                <w:szCs w:val="20"/>
              </w:rPr>
            </w:pPr>
          </w:p>
        </w:tc>
      </w:tr>
      <w:tr w:rsidR="00406F3B" w14:paraId="7DF6550D" w14:textId="77777777" w:rsidTr="0085651F">
        <w:tc>
          <w:tcPr>
            <w:tcW w:w="0" w:type="auto"/>
            <w:shd w:val="clear" w:color="auto" w:fill="auto"/>
          </w:tcPr>
          <w:p w14:paraId="4503866A" w14:textId="77777777" w:rsidR="00406F3B" w:rsidRPr="00D66833" w:rsidRDefault="00406F3B" w:rsidP="00406F3B">
            <w:pPr>
              <w:ind w:left="970" w:hanging="970"/>
              <w:jc w:val="both"/>
              <w:rPr>
                <w:color w:val="996600"/>
                <w:sz w:val="30"/>
                <w:szCs w:val="30"/>
              </w:rPr>
            </w:pPr>
          </w:p>
        </w:tc>
        <w:tc>
          <w:tcPr>
            <w:tcW w:w="0" w:type="auto"/>
            <w:gridSpan w:val="13"/>
            <w:shd w:val="clear" w:color="auto" w:fill="auto"/>
          </w:tcPr>
          <w:p w14:paraId="3348767C" w14:textId="77777777" w:rsidR="00406F3B" w:rsidRPr="001B3158" w:rsidRDefault="00406F3B" w:rsidP="00406F3B">
            <w:pPr>
              <w:ind w:left="970" w:hanging="970"/>
              <w:jc w:val="both"/>
              <w:rPr>
                <w:color w:val="996600"/>
                <w:sz w:val="30"/>
                <w:szCs w:val="30"/>
              </w:rPr>
            </w:pPr>
            <w:r w:rsidRPr="00D66833">
              <w:rPr>
                <w:color w:val="996600"/>
                <w:sz w:val="30"/>
                <w:szCs w:val="30"/>
              </w:rPr>
              <w:t xml:space="preserve">Target </w:t>
            </w:r>
            <w:r w:rsidRPr="001B3158">
              <w:rPr>
                <w:color w:val="996600"/>
                <w:sz w:val="30"/>
                <w:szCs w:val="30"/>
              </w:rPr>
              <w:t>2.4 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tc>
      </w:tr>
      <w:tr w:rsidR="0098022F" w14:paraId="406EDABF" w14:textId="77777777" w:rsidTr="0085651F">
        <w:tc>
          <w:tcPr>
            <w:tcW w:w="0" w:type="auto"/>
            <w:gridSpan w:val="2"/>
            <w:shd w:val="clear" w:color="auto" w:fill="auto"/>
          </w:tcPr>
          <w:p w14:paraId="6E29C40A" w14:textId="77777777" w:rsidR="00406F3B" w:rsidRPr="00BD7335" w:rsidRDefault="00406F3B" w:rsidP="00406F3B">
            <w:pPr>
              <w:rPr>
                <w:szCs w:val="20"/>
              </w:rPr>
            </w:pPr>
            <w:r w:rsidRPr="00BD7335">
              <w:rPr>
                <w:szCs w:val="20"/>
              </w:rPr>
              <w:t>2.4.1 Proportion of agricultural area under productive and sustainable agriculture</w:t>
            </w:r>
          </w:p>
        </w:tc>
        <w:tc>
          <w:tcPr>
            <w:tcW w:w="0" w:type="auto"/>
            <w:shd w:val="clear" w:color="auto" w:fill="auto"/>
          </w:tcPr>
          <w:p w14:paraId="53529843" w14:textId="77777777" w:rsidR="00406F3B" w:rsidRPr="00262FC1" w:rsidRDefault="00406F3B" w:rsidP="00406F3B">
            <w:pPr>
              <w:rPr>
                <w:szCs w:val="20"/>
              </w:rPr>
            </w:pPr>
            <w:r w:rsidRPr="00262FC1">
              <w:rPr>
                <w:szCs w:val="20"/>
              </w:rPr>
              <w:t>Food and Agriculture Organization of the United Nations</w:t>
            </w:r>
          </w:p>
          <w:p w14:paraId="22A81A15" w14:textId="77777777" w:rsidR="00406F3B" w:rsidRPr="00262FC1" w:rsidRDefault="00406F3B" w:rsidP="00406F3B">
            <w:pPr>
              <w:rPr>
                <w:szCs w:val="20"/>
                <w:shd w:val="clear" w:color="auto" w:fill="FFFFFF"/>
              </w:rPr>
            </w:pPr>
          </w:p>
        </w:tc>
        <w:tc>
          <w:tcPr>
            <w:tcW w:w="0" w:type="auto"/>
            <w:shd w:val="clear" w:color="auto" w:fill="auto"/>
          </w:tcPr>
          <w:p w14:paraId="25FD6601" w14:textId="77777777" w:rsidR="00406F3B" w:rsidRDefault="00406F3B" w:rsidP="00406F3B">
            <w:pPr>
              <w:jc w:val="center"/>
              <w:rPr>
                <w:szCs w:val="20"/>
              </w:rPr>
            </w:pPr>
            <w:r w:rsidRPr="006C014F">
              <w:rPr>
                <w:szCs w:val="20"/>
              </w:rPr>
              <w:t>Tier II</w:t>
            </w:r>
          </w:p>
          <w:p w14:paraId="053F0E0E" w14:textId="19AFA72F" w:rsidR="00406F3B" w:rsidRPr="00262FC1" w:rsidRDefault="00406F3B" w:rsidP="00406F3B">
            <w:pPr>
              <w:jc w:val="center"/>
              <w:rPr>
                <w:szCs w:val="20"/>
              </w:rPr>
            </w:pPr>
          </w:p>
        </w:tc>
        <w:tc>
          <w:tcPr>
            <w:tcW w:w="0" w:type="auto"/>
            <w:shd w:val="clear" w:color="auto" w:fill="auto"/>
          </w:tcPr>
          <w:p w14:paraId="5F0AF2D2" w14:textId="77777777" w:rsidR="00406F3B" w:rsidRPr="002B7E20" w:rsidRDefault="00406F3B" w:rsidP="00406F3B">
            <w:pPr>
              <w:pStyle w:val="Default"/>
              <w:jc w:val="both"/>
              <w:rPr>
                <w:rFonts w:ascii="Tw Cen MT Condensed" w:hAnsi="Tw Cen MT Condensed"/>
                <w:b/>
                <w:bCs/>
                <w:szCs w:val="20"/>
              </w:rPr>
            </w:pPr>
            <w:r w:rsidRPr="002B7E20">
              <w:rPr>
                <w:rFonts w:ascii="Tw Cen MT Condensed" w:hAnsi="Tw Cen MT Condensed"/>
                <w:b/>
                <w:bCs/>
                <w:szCs w:val="20"/>
              </w:rPr>
              <w:t>Definition:</w:t>
            </w:r>
          </w:p>
          <w:p w14:paraId="421243EC" w14:textId="77777777" w:rsidR="00406F3B" w:rsidRPr="000C4849" w:rsidRDefault="00406F3B" w:rsidP="00406F3B">
            <w:pPr>
              <w:pStyle w:val="Default"/>
              <w:jc w:val="both"/>
              <w:rPr>
                <w:rFonts w:ascii="Tw Cen MT Condensed" w:hAnsi="Tw Cen MT Condensed"/>
                <w:bCs/>
                <w:szCs w:val="20"/>
              </w:rPr>
            </w:pPr>
            <w:r w:rsidRPr="000C4849">
              <w:rPr>
                <w:rFonts w:ascii="Tw Cen MT Condensed" w:hAnsi="Tw Cen MT Condensed"/>
                <w:bCs/>
                <w:szCs w:val="20"/>
              </w:rPr>
              <w:t>The indicator is defined by the formula:</w:t>
            </w:r>
          </w:p>
          <w:p w14:paraId="51C48236" w14:textId="77777777" w:rsidR="00406F3B" w:rsidRPr="000C4849" w:rsidRDefault="00406F3B" w:rsidP="00406F3B">
            <w:pPr>
              <w:pStyle w:val="Default"/>
              <w:jc w:val="both"/>
              <w:rPr>
                <w:rFonts w:ascii="Tw Cen MT Condensed" w:hAnsi="Tw Cen MT Condensed"/>
                <w:bCs/>
                <w:szCs w:val="20"/>
              </w:rPr>
            </w:pPr>
          </w:p>
          <w:p w14:paraId="7AC42469" w14:textId="77777777" w:rsidR="00406F3B" w:rsidRPr="000C4849" w:rsidRDefault="00406F3B" w:rsidP="00406F3B">
            <w:pPr>
              <w:pStyle w:val="Default"/>
              <w:jc w:val="both"/>
              <w:rPr>
                <w:rFonts w:ascii="Tw Cen MT Condensed" w:hAnsi="Tw Cen MT Condensed"/>
                <w:bCs/>
                <w:szCs w:val="20"/>
              </w:rPr>
            </w:pPr>
            <m:oMathPara>
              <m:oMath>
                <m:r>
                  <w:rPr>
                    <w:rFonts w:ascii="Cambria Math" w:hAnsi="Cambria Math" w:cstheme="minorHAnsi"/>
                    <w:szCs w:val="20"/>
                    <w:lang w:val="it-IT"/>
                  </w:rPr>
                  <m:t>SDG</m:t>
                </m:r>
                <m:r>
                  <w:rPr>
                    <w:rFonts w:ascii="Cambria Math" w:hAnsi="Cambria Math" w:cstheme="minorHAnsi"/>
                    <w:szCs w:val="20"/>
                  </w:rPr>
                  <m:t>2.4.1=</m:t>
                </m:r>
                <m:f>
                  <m:fPr>
                    <m:ctrlPr>
                      <w:rPr>
                        <w:rFonts w:ascii="Cambria Math" w:hAnsi="Cambria Math" w:cstheme="minorHAnsi"/>
                        <w:i/>
                        <w:iCs/>
                        <w:szCs w:val="20"/>
                      </w:rPr>
                    </m:ctrlPr>
                  </m:fPr>
                  <m:num>
                    <m:r>
                      <w:rPr>
                        <w:rFonts w:ascii="Cambria Math" w:hAnsi="Cambria Math" w:cstheme="minorHAnsi"/>
                        <w:szCs w:val="20"/>
                      </w:rPr>
                      <m:t>Area under productive and sustainable agriculture </m:t>
                    </m:r>
                  </m:num>
                  <m:den>
                    <m:r>
                      <w:rPr>
                        <w:rFonts w:ascii="Cambria Math" w:hAnsi="Cambria Math" w:cstheme="minorHAnsi"/>
                        <w:szCs w:val="20"/>
                      </w:rPr>
                      <m:t>Agricultural land area</m:t>
                    </m:r>
                    <m:r>
                      <w:rPr>
                        <w:rStyle w:val="FootnoteReference"/>
                        <w:rFonts w:ascii="Cambria Math" w:hAnsi="Cambria Math" w:cstheme="minorHAnsi"/>
                        <w:i/>
                        <w:szCs w:val="20"/>
                      </w:rPr>
                      <w:footnoteReference w:id="1"/>
                    </m:r>
                  </m:den>
                </m:f>
              </m:oMath>
            </m:oMathPara>
          </w:p>
          <w:p w14:paraId="51B5C555" w14:textId="77777777" w:rsidR="00406F3B" w:rsidRPr="000C4849" w:rsidRDefault="00406F3B" w:rsidP="00406F3B">
            <w:pPr>
              <w:pStyle w:val="Default"/>
              <w:jc w:val="both"/>
              <w:rPr>
                <w:rFonts w:ascii="Tw Cen MT Condensed" w:hAnsi="Tw Cen MT Condensed"/>
                <w:bCs/>
                <w:szCs w:val="20"/>
              </w:rPr>
            </w:pPr>
            <w:r w:rsidRPr="000C4849">
              <w:rPr>
                <w:rFonts w:ascii="Tw Cen MT Condensed" w:hAnsi="Tw Cen MT Condensed"/>
                <w:bCs/>
                <w:szCs w:val="20"/>
              </w:rPr>
              <w:t>This implies the need to measure both the extent of land under productive and sustainable agriculture (the numerator), as well as the extent of agriculture land area (the denominator).</w:t>
            </w:r>
          </w:p>
          <w:p w14:paraId="45602B04" w14:textId="77777777" w:rsidR="00406F3B" w:rsidRPr="000C4849" w:rsidRDefault="00406F3B" w:rsidP="00406F3B">
            <w:pPr>
              <w:pStyle w:val="Default"/>
              <w:jc w:val="both"/>
              <w:rPr>
                <w:rFonts w:ascii="Tw Cen MT Condensed" w:hAnsi="Tw Cen MT Condensed"/>
                <w:bCs/>
                <w:szCs w:val="20"/>
              </w:rPr>
            </w:pPr>
          </w:p>
          <w:p w14:paraId="155F09D4" w14:textId="77777777" w:rsidR="00406F3B" w:rsidRPr="000C4849" w:rsidRDefault="00406F3B" w:rsidP="00406F3B">
            <w:pPr>
              <w:pStyle w:val="Default"/>
              <w:jc w:val="both"/>
              <w:rPr>
                <w:rFonts w:ascii="Tw Cen MT Condensed" w:hAnsi="Tw Cen MT Condensed"/>
                <w:bCs/>
                <w:szCs w:val="20"/>
              </w:rPr>
            </w:pPr>
            <w:r w:rsidRPr="000C4849">
              <w:rPr>
                <w:rFonts w:ascii="Tw Cen MT Condensed" w:hAnsi="Tw Cen MT Condensed"/>
                <w:bCs/>
                <w:szCs w:val="20"/>
              </w:rPr>
              <w:t>The numerator captures the three dimensions of sustainable production: environmental, economic and social. It corresponds to agricultural land area of the farms that satisfy sub-indicators selected across all three dimensions.</w:t>
            </w:r>
          </w:p>
          <w:p w14:paraId="7A08C787" w14:textId="77777777" w:rsidR="00406F3B" w:rsidRPr="000C4849" w:rsidRDefault="00406F3B" w:rsidP="00406F3B">
            <w:pPr>
              <w:pStyle w:val="Default"/>
              <w:jc w:val="both"/>
              <w:rPr>
                <w:rFonts w:ascii="Tw Cen MT Condensed" w:hAnsi="Tw Cen MT Condensed"/>
                <w:bCs/>
                <w:szCs w:val="20"/>
              </w:rPr>
            </w:pPr>
          </w:p>
          <w:p w14:paraId="3DDB8B1E" w14:textId="77777777" w:rsidR="00406F3B" w:rsidRPr="000C4849" w:rsidRDefault="00406F3B" w:rsidP="00406F3B">
            <w:pPr>
              <w:pStyle w:val="Default"/>
              <w:jc w:val="both"/>
              <w:rPr>
                <w:rFonts w:ascii="Tw Cen MT Condensed" w:hAnsi="Tw Cen MT Condensed"/>
                <w:bCs/>
                <w:szCs w:val="20"/>
              </w:rPr>
            </w:pPr>
            <w:r w:rsidRPr="000C4849">
              <w:rPr>
                <w:rFonts w:ascii="Tw Cen MT Condensed" w:hAnsi="Tw Cen MT Condensed"/>
                <w:bCs/>
                <w:szCs w:val="20"/>
              </w:rPr>
              <w:t>The denominator in turn the sum of agricultural land area (as defined by FAO) utilized by agricultural holdings that are owned (excluding rented-out), rented-in, leased, sharecropped or borrowed. State or communal land used by farm holdings is not included. Please see the methodological document prepared by FAO for a more detailed explanation.</w:t>
            </w:r>
          </w:p>
          <w:p w14:paraId="2A74C827" w14:textId="77777777" w:rsidR="00406F3B" w:rsidRDefault="00406F3B" w:rsidP="00406F3B">
            <w:pPr>
              <w:pStyle w:val="Default"/>
              <w:jc w:val="both"/>
              <w:rPr>
                <w:rFonts w:ascii="Tw Cen MT Condensed" w:hAnsi="Tw Cen MT Condensed"/>
                <w:b/>
                <w:bCs/>
                <w:szCs w:val="20"/>
              </w:rPr>
            </w:pPr>
          </w:p>
          <w:p w14:paraId="5D2F5A3B" w14:textId="77777777" w:rsidR="00406F3B" w:rsidRPr="002B7E20" w:rsidRDefault="00406F3B" w:rsidP="00406F3B">
            <w:pPr>
              <w:pStyle w:val="Default"/>
              <w:jc w:val="both"/>
              <w:rPr>
                <w:rFonts w:ascii="Tw Cen MT Condensed" w:hAnsi="Tw Cen MT Condensed"/>
                <w:b/>
                <w:bCs/>
                <w:szCs w:val="20"/>
              </w:rPr>
            </w:pPr>
            <w:r w:rsidRPr="002B7E20">
              <w:rPr>
                <w:rFonts w:ascii="Tw Cen MT Condensed" w:hAnsi="Tw Cen MT Condensed"/>
                <w:b/>
                <w:bCs/>
                <w:szCs w:val="20"/>
              </w:rPr>
              <w:t>Concepts:</w:t>
            </w:r>
          </w:p>
          <w:p w14:paraId="7CA57002" w14:textId="77777777" w:rsidR="00406F3B" w:rsidRPr="002B7E20" w:rsidRDefault="00406F3B" w:rsidP="00406F3B">
            <w:pPr>
              <w:pStyle w:val="Default"/>
              <w:jc w:val="both"/>
              <w:rPr>
                <w:rFonts w:ascii="Tw Cen MT Condensed" w:hAnsi="Tw Cen MT Condensed"/>
                <w:b/>
                <w:bCs/>
                <w:szCs w:val="20"/>
              </w:rPr>
            </w:pPr>
          </w:p>
          <w:p w14:paraId="71C6F01D" w14:textId="77777777" w:rsidR="00406F3B" w:rsidRPr="000C4849" w:rsidRDefault="00406F3B" w:rsidP="00406F3B">
            <w:pPr>
              <w:pStyle w:val="Default"/>
              <w:jc w:val="both"/>
              <w:rPr>
                <w:rFonts w:ascii="Tw Cen MT Condensed" w:hAnsi="Tw Cen MT Condensed"/>
                <w:bCs/>
                <w:szCs w:val="20"/>
              </w:rPr>
            </w:pPr>
            <w:r w:rsidRPr="000C4849">
              <w:rPr>
                <w:rFonts w:ascii="Tw Cen MT Condensed" w:hAnsi="Tw Cen MT Condensed"/>
                <w:bCs/>
                <w:szCs w:val="20"/>
              </w:rPr>
              <w:t xml:space="preserve">The literature review (Hayati, 2017) identified a large number of potential sustainability themes across the three dimensions of sustainability and, for each theme, usually a large number of possible sub-indicators. The key considerations in the selection of themes are </w:t>
            </w:r>
            <w:r w:rsidRPr="000C4849">
              <w:rPr>
                <w:rFonts w:ascii="Tw Cen MT Condensed" w:hAnsi="Tw Cen MT Condensed"/>
                <w:bCs/>
                <w:szCs w:val="20"/>
              </w:rPr>
              <w:lastRenderedPageBreak/>
              <w:t>relevance and measurability. In terms of relevance, the relationship between the associated sub-indicator and sustainable agriculture outcomes at farm level should be strong. Following this approach, only sub-indicators that are responsive to farm level policies aimed at improving sustainable agriculture are considered. In terms of measurability, only a “core” set of themes and sub-indicators for which measurement and reporting is expected in the majority of countries are selected.</w:t>
            </w:r>
          </w:p>
          <w:p w14:paraId="77F67E3F" w14:textId="77777777" w:rsidR="00406F3B" w:rsidRPr="000C4849" w:rsidRDefault="00406F3B" w:rsidP="00406F3B">
            <w:pPr>
              <w:pStyle w:val="Default"/>
              <w:jc w:val="both"/>
              <w:rPr>
                <w:rFonts w:ascii="Tw Cen MT Condensed" w:hAnsi="Tw Cen MT Condensed"/>
                <w:bCs/>
                <w:szCs w:val="20"/>
              </w:rPr>
            </w:pPr>
          </w:p>
          <w:p w14:paraId="46561E83" w14:textId="77777777" w:rsidR="00406F3B" w:rsidRPr="000C4849" w:rsidRDefault="00406F3B" w:rsidP="00406F3B">
            <w:pPr>
              <w:pStyle w:val="Default"/>
              <w:jc w:val="both"/>
              <w:rPr>
                <w:rFonts w:ascii="Tw Cen MT Condensed" w:hAnsi="Tw Cen MT Condensed"/>
                <w:bCs/>
                <w:szCs w:val="20"/>
              </w:rPr>
            </w:pPr>
            <w:r w:rsidRPr="000C4849">
              <w:rPr>
                <w:rFonts w:ascii="Tw Cen MT Condensed" w:hAnsi="Tw Cen MT Condensed"/>
                <w:bCs/>
                <w:szCs w:val="20"/>
              </w:rPr>
              <w:t>A key aspect of all approaches to measuring sustainable agriculture is the recognition that sustainability is a multi-dimensional concept, and that these multiple dimensions need to be reflected in the construction of the indicator. This implies that SDG indicator 2.4.1 must be based on a set of sub-indicators that cover these three dimensions.</w:t>
            </w:r>
          </w:p>
          <w:p w14:paraId="07A7FF44" w14:textId="77777777" w:rsidR="00406F3B" w:rsidRDefault="00406F3B" w:rsidP="00406F3B">
            <w:pPr>
              <w:pStyle w:val="Default"/>
              <w:jc w:val="both"/>
              <w:rPr>
                <w:rFonts w:ascii="Tw Cen MT Condensed" w:hAnsi="Tw Cen MT Condensed"/>
                <w:szCs w:val="20"/>
              </w:rPr>
            </w:pPr>
          </w:p>
          <w:p w14:paraId="52F8914B" w14:textId="77777777" w:rsidR="00406F3B" w:rsidRPr="000C4849" w:rsidRDefault="00406F3B" w:rsidP="00406F3B">
            <w:pPr>
              <w:pStyle w:val="Default"/>
              <w:jc w:val="both"/>
              <w:rPr>
                <w:rFonts w:ascii="Tw Cen MT Condensed" w:hAnsi="Tw Cen MT Condensed"/>
                <w:b/>
                <w:szCs w:val="20"/>
              </w:rPr>
            </w:pPr>
            <w:r w:rsidRPr="000C4849">
              <w:rPr>
                <w:rFonts w:ascii="Tw Cen MT Condensed" w:hAnsi="Tw Cen MT Condensed"/>
                <w:b/>
                <w:szCs w:val="20"/>
              </w:rPr>
              <w:t>Computation Method:</w:t>
            </w:r>
          </w:p>
          <w:p w14:paraId="24EACFED" w14:textId="77777777" w:rsidR="00406F3B" w:rsidRPr="002B7E20" w:rsidRDefault="00406F3B" w:rsidP="00406F3B">
            <w:pPr>
              <w:pStyle w:val="Default"/>
              <w:jc w:val="both"/>
              <w:rPr>
                <w:rFonts w:ascii="Tw Cen MT Condensed" w:hAnsi="Tw Cen MT Condensed"/>
                <w:szCs w:val="20"/>
              </w:rPr>
            </w:pPr>
          </w:p>
          <w:p w14:paraId="5F377D3B" w14:textId="77777777" w:rsidR="00406F3B" w:rsidRPr="002B7E20" w:rsidRDefault="00406F3B" w:rsidP="00406F3B">
            <w:pPr>
              <w:pStyle w:val="Default"/>
              <w:jc w:val="both"/>
              <w:rPr>
                <w:rFonts w:ascii="Tw Cen MT Condensed" w:hAnsi="Tw Cen MT Condensed"/>
                <w:szCs w:val="20"/>
              </w:rPr>
            </w:pPr>
            <w:r w:rsidRPr="002B7E20">
              <w:rPr>
                <w:rFonts w:ascii="Tw Cen MT Condensed" w:hAnsi="Tw Cen MT Condensed"/>
                <w:szCs w:val="20"/>
              </w:rPr>
              <w:t>Steps to calculate SDG 2.4.1 include:</w:t>
            </w:r>
          </w:p>
          <w:p w14:paraId="6ECC1ADF" w14:textId="77777777" w:rsidR="00406F3B" w:rsidRPr="002B7E20" w:rsidRDefault="00406F3B" w:rsidP="00406F3B">
            <w:pPr>
              <w:pStyle w:val="Default"/>
              <w:jc w:val="both"/>
              <w:rPr>
                <w:rFonts w:ascii="Tw Cen MT Condensed" w:hAnsi="Tw Cen MT Condensed"/>
                <w:szCs w:val="20"/>
              </w:rPr>
            </w:pPr>
            <w:r>
              <w:rPr>
                <w:rFonts w:ascii="Tw Cen MT Condensed" w:hAnsi="Tw Cen MT Condensed"/>
                <w:szCs w:val="20"/>
              </w:rPr>
              <w:t xml:space="preserve">1. </w:t>
            </w:r>
            <w:r w:rsidRPr="002B7E20">
              <w:rPr>
                <w:rFonts w:ascii="Tw Cen MT Condensed" w:hAnsi="Tw Cen MT Condensed"/>
                <w:szCs w:val="20"/>
              </w:rPr>
              <w:t>Determining the scope of the indicator: The scope of Indicator 2.4.1 is the agricultural farm holding, and more precisely the agricultural land area of the farm holding, i.e., land used primarily to grow crops and raise livestock. Forestry, fisheries and aquaculture activities may be included to the extent that they are secondary activities conducted on the agricultural area of the farm holding, for example rice-fish farming and similar systems.</w:t>
            </w:r>
          </w:p>
          <w:p w14:paraId="272FC012" w14:textId="77777777" w:rsidR="00406F3B" w:rsidRPr="002B7E20" w:rsidRDefault="00406F3B" w:rsidP="00406F3B">
            <w:pPr>
              <w:pStyle w:val="Default"/>
              <w:jc w:val="both"/>
              <w:rPr>
                <w:rFonts w:ascii="Tw Cen MT Condensed" w:hAnsi="Tw Cen MT Condensed"/>
                <w:szCs w:val="20"/>
              </w:rPr>
            </w:pPr>
            <w:r>
              <w:rPr>
                <w:rFonts w:ascii="Tw Cen MT Condensed" w:hAnsi="Tw Cen MT Condensed"/>
                <w:szCs w:val="20"/>
              </w:rPr>
              <w:t xml:space="preserve">2. </w:t>
            </w:r>
            <w:r w:rsidRPr="002B7E20">
              <w:rPr>
                <w:rFonts w:ascii="Tw Cen MT Condensed" w:hAnsi="Tw Cen MT Condensed"/>
                <w:szCs w:val="20"/>
              </w:rPr>
              <w:t xml:space="preserve">Determining the dimensions to be covered: Indicator 2.4.1 includes environmental, economic and social dimensions in the sustainability assessment. </w:t>
            </w:r>
          </w:p>
          <w:p w14:paraId="6DE82B1C" w14:textId="77777777" w:rsidR="00406F3B" w:rsidRPr="002B7E20" w:rsidRDefault="00406F3B" w:rsidP="00406F3B">
            <w:pPr>
              <w:pStyle w:val="Default"/>
              <w:jc w:val="both"/>
              <w:rPr>
                <w:rFonts w:ascii="Tw Cen MT Condensed" w:hAnsi="Tw Cen MT Condensed"/>
                <w:szCs w:val="20"/>
              </w:rPr>
            </w:pPr>
            <w:r>
              <w:rPr>
                <w:rFonts w:ascii="Tw Cen MT Condensed" w:hAnsi="Tw Cen MT Condensed"/>
                <w:szCs w:val="20"/>
              </w:rPr>
              <w:t xml:space="preserve">3. </w:t>
            </w:r>
            <w:r w:rsidRPr="002B7E20">
              <w:rPr>
                <w:rFonts w:ascii="Tw Cen MT Condensed" w:hAnsi="Tw Cen MT Condensed"/>
                <w:szCs w:val="20"/>
              </w:rPr>
              <w:t>Choosing the scale for the sustainability assessment: Indicator 2.4.1 is farm level with aggregation to higher levels.</w:t>
            </w:r>
          </w:p>
          <w:p w14:paraId="7ECAB054" w14:textId="77777777" w:rsidR="00406F3B" w:rsidRPr="002B7E20" w:rsidRDefault="00406F3B" w:rsidP="00406F3B">
            <w:pPr>
              <w:pStyle w:val="Default"/>
              <w:jc w:val="both"/>
              <w:rPr>
                <w:rFonts w:ascii="Tw Cen MT Condensed" w:hAnsi="Tw Cen MT Condensed"/>
                <w:szCs w:val="20"/>
              </w:rPr>
            </w:pPr>
            <w:r>
              <w:rPr>
                <w:rFonts w:ascii="Tw Cen MT Condensed" w:hAnsi="Tw Cen MT Condensed"/>
                <w:szCs w:val="20"/>
              </w:rPr>
              <w:t xml:space="preserve">4. </w:t>
            </w:r>
            <w:r w:rsidRPr="002B7E20">
              <w:rPr>
                <w:rFonts w:ascii="Tw Cen MT Condensed" w:hAnsi="Tw Cen MT Condensed"/>
                <w:szCs w:val="20"/>
              </w:rPr>
              <w:t>Selecting the data collection instrument(s). It is recommended that indicator 2.4.1 be collected through a farm survey.</w:t>
            </w:r>
          </w:p>
          <w:p w14:paraId="40DB7ABB" w14:textId="77777777" w:rsidR="00406F3B" w:rsidRPr="002B7E20" w:rsidRDefault="00406F3B" w:rsidP="00406F3B">
            <w:pPr>
              <w:pStyle w:val="Default"/>
              <w:jc w:val="both"/>
              <w:rPr>
                <w:rFonts w:ascii="Tw Cen MT Condensed" w:hAnsi="Tw Cen MT Condensed"/>
                <w:szCs w:val="20"/>
              </w:rPr>
            </w:pPr>
            <w:r>
              <w:rPr>
                <w:rFonts w:ascii="Tw Cen MT Condensed" w:hAnsi="Tw Cen MT Condensed"/>
                <w:szCs w:val="20"/>
              </w:rPr>
              <w:t xml:space="preserve">5. </w:t>
            </w:r>
            <w:r w:rsidRPr="002B7E20">
              <w:rPr>
                <w:rFonts w:ascii="Tw Cen MT Condensed" w:hAnsi="Tw Cen MT Condensed"/>
                <w:szCs w:val="20"/>
              </w:rPr>
              <w:t xml:space="preserve">Selecting the themes within each dimension, and choosing a sub-indicator for each theme. The sub-indicators should satisfy a number of criteria (described in annex 1 for each sub-indicator, respectively). </w:t>
            </w:r>
          </w:p>
          <w:p w14:paraId="3F002748" w14:textId="77777777" w:rsidR="00406F3B" w:rsidRPr="002B7E20" w:rsidRDefault="00406F3B" w:rsidP="00406F3B">
            <w:pPr>
              <w:pStyle w:val="Default"/>
              <w:jc w:val="both"/>
              <w:rPr>
                <w:rFonts w:ascii="Tw Cen MT Condensed" w:hAnsi="Tw Cen MT Condensed"/>
                <w:szCs w:val="20"/>
              </w:rPr>
            </w:pPr>
            <w:r>
              <w:rPr>
                <w:rFonts w:ascii="Tw Cen MT Condensed" w:hAnsi="Tw Cen MT Condensed"/>
                <w:szCs w:val="20"/>
              </w:rPr>
              <w:t xml:space="preserve">6. </w:t>
            </w:r>
            <w:r w:rsidRPr="002B7E20">
              <w:rPr>
                <w:rFonts w:ascii="Tw Cen MT Condensed" w:hAnsi="Tw Cen MT Condensed"/>
                <w:szCs w:val="20"/>
              </w:rPr>
              <w:t xml:space="preserve">Assessing sustainability performance at farm level for each sub-indicator: Specific sustainability criteria are applied in order to assess the sustainability level of the farm for each theme according to the respective sub-indicators. </w:t>
            </w:r>
          </w:p>
          <w:p w14:paraId="03EFDCB6" w14:textId="77777777" w:rsidR="00406F3B" w:rsidRPr="002B7E20" w:rsidRDefault="00406F3B" w:rsidP="00406F3B">
            <w:pPr>
              <w:pStyle w:val="Default"/>
              <w:jc w:val="both"/>
              <w:rPr>
                <w:rFonts w:ascii="Tw Cen MT Condensed" w:hAnsi="Tw Cen MT Condensed"/>
                <w:szCs w:val="20"/>
              </w:rPr>
            </w:pPr>
            <w:r>
              <w:rPr>
                <w:rFonts w:ascii="Tw Cen MT Condensed" w:hAnsi="Tw Cen MT Condensed"/>
                <w:szCs w:val="20"/>
              </w:rPr>
              <w:lastRenderedPageBreak/>
              <w:t xml:space="preserve">7. </w:t>
            </w:r>
            <w:r w:rsidRPr="002B7E20">
              <w:rPr>
                <w:rFonts w:ascii="Tw Cen MT Condensed" w:hAnsi="Tw Cen MT Condensed"/>
                <w:szCs w:val="20"/>
              </w:rPr>
              <w:t>Deciding the periodicity of monitoring the indicator. It is recommended to be collected at least every three years.</w:t>
            </w:r>
          </w:p>
          <w:p w14:paraId="23F2E6A5" w14:textId="77777777" w:rsidR="00406F3B" w:rsidRDefault="00406F3B" w:rsidP="00406F3B">
            <w:pPr>
              <w:pStyle w:val="Default"/>
              <w:jc w:val="both"/>
              <w:rPr>
                <w:rFonts w:ascii="Tw Cen MT Condensed" w:hAnsi="Tw Cen MT Condensed"/>
                <w:szCs w:val="20"/>
              </w:rPr>
            </w:pPr>
            <w:r>
              <w:rPr>
                <w:rFonts w:ascii="Tw Cen MT Condensed" w:hAnsi="Tw Cen MT Condensed"/>
                <w:szCs w:val="20"/>
              </w:rPr>
              <w:t xml:space="preserve">8. </w:t>
            </w:r>
            <w:r w:rsidRPr="002B7E20">
              <w:rPr>
                <w:rFonts w:ascii="Tw Cen MT Condensed" w:hAnsi="Tw Cen MT Condensed"/>
                <w:szCs w:val="20"/>
              </w:rPr>
              <w:t>Modality of reporting the indicator. The set of sub-indicators are presented in the form of a dashboard. The dashboard approach offers a response in terms of measuring sustainability at farm level and aggregating it at national level.</w:t>
            </w:r>
          </w:p>
          <w:p w14:paraId="262589BA" w14:textId="0FE3EEA5" w:rsidR="00406F3B" w:rsidRPr="00FC49A3" w:rsidRDefault="00406F3B" w:rsidP="00406F3B">
            <w:pPr>
              <w:pStyle w:val="Default"/>
              <w:jc w:val="both"/>
              <w:rPr>
                <w:rFonts w:ascii="Tw Cen MT Condensed" w:hAnsi="Tw Cen MT Condensed"/>
                <w:szCs w:val="20"/>
              </w:rPr>
            </w:pPr>
          </w:p>
        </w:tc>
        <w:tc>
          <w:tcPr>
            <w:tcW w:w="0" w:type="auto"/>
            <w:shd w:val="clear" w:color="auto" w:fill="auto"/>
          </w:tcPr>
          <w:p w14:paraId="32394180" w14:textId="3646DC4D" w:rsidR="00406F3B" w:rsidRDefault="00406F3B" w:rsidP="00406F3B">
            <w:pPr>
              <w:jc w:val="center"/>
              <w:rPr>
                <w:szCs w:val="20"/>
              </w:rPr>
            </w:pPr>
          </w:p>
          <w:p w14:paraId="09217B7E" w14:textId="59928BDD" w:rsidR="006A0120" w:rsidRPr="00262FC1" w:rsidRDefault="006A0120" w:rsidP="00406F3B">
            <w:pPr>
              <w:jc w:val="center"/>
              <w:rPr>
                <w:szCs w:val="20"/>
              </w:rPr>
            </w:pPr>
            <w:r>
              <w:t>environmental monitoring systems, administrative data or household surveys</w:t>
            </w:r>
          </w:p>
        </w:tc>
        <w:tc>
          <w:tcPr>
            <w:tcW w:w="0" w:type="auto"/>
            <w:shd w:val="clear" w:color="auto" w:fill="auto"/>
          </w:tcPr>
          <w:p w14:paraId="648B38DC" w14:textId="77777777" w:rsidR="00406F3B" w:rsidRPr="00262FC1" w:rsidRDefault="00406F3B" w:rsidP="00406F3B">
            <w:pPr>
              <w:jc w:val="center"/>
              <w:rPr>
                <w:szCs w:val="20"/>
              </w:rPr>
            </w:pPr>
            <w:r w:rsidRPr="00262FC1">
              <w:rPr>
                <w:szCs w:val="20"/>
              </w:rPr>
              <w:t>National Statistical Office</w:t>
            </w:r>
          </w:p>
        </w:tc>
        <w:tc>
          <w:tcPr>
            <w:tcW w:w="0" w:type="auto"/>
            <w:shd w:val="clear" w:color="auto" w:fill="auto"/>
          </w:tcPr>
          <w:p w14:paraId="4A8183BE" w14:textId="2116CF46" w:rsidR="00406F3B" w:rsidRPr="00262FC1" w:rsidRDefault="00406F3B" w:rsidP="00406F3B">
            <w:pPr>
              <w:jc w:val="center"/>
              <w:rPr>
                <w:szCs w:val="20"/>
              </w:rPr>
            </w:pPr>
          </w:p>
        </w:tc>
        <w:tc>
          <w:tcPr>
            <w:tcW w:w="0" w:type="auto"/>
            <w:shd w:val="clear" w:color="auto" w:fill="auto"/>
          </w:tcPr>
          <w:p w14:paraId="76FCE6DC" w14:textId="0BC63EF5" w:rsidR="00406F3B" w:rsidRDefault="00406F3B" w:rsidP="00406F3B">
            <w:pPr>
              <w:jc w:val="center"/>
              <w:rPr>
                <w:szCs w:val="20"/>
              </w:rPr>
            </w:pPr>
          </w:p>
          <w:p w14:paraId="5F316A79" w14:textId="77777777" w:rsidR="00406F3B" w:rsidRPr="00262FC1" w:rsidRDefault="00406F3B" w:rsidP="00406F3B">
            <w:pPr>
              <w:jc w:val="center"/>
              <w:rPr>
                <w:szCs w:val="20"/>
              </w:rPr>
            </w:pPr>
            <w:r w:rsidRPr="00922290">
              <w:rPr>
                <w:rFonts w:eastAsia="Times New Roman" w:cs="Times New Roman"/>
                <w:color w:val="FF0000"/>
                <w:szCs w:val="20"/>
              </w:rPr>
              <w:t>ASC/Agriculture Production Survey</w:t>
            </w:r>
            <w:r>
              <w:rPr>
                <w:rFonts w:eastAsia="Times New Roman" w:cs="Times New Roman"/>
                <w:color w:val="FF0000"/>
                <w:szCs w:val="20"/>
              </w:rPr>
              <w:t>, BBS</w:t>
            </w:r>
          </w:p>
        </w:tc>
        <w:tc>
          <w:tcPr>
            <w:tcW w:w="0" w:type="auto"/>
            <w:shd w:val="clear" w:color="auto" w:fill="auto"/>
          </w:tcPr>
          <w:p w14:paraId="6F5CAF0D" w14:textId="2F1026C9" w:rsidR="00CD0C95" w:rsidRPr="000C4849" w:rsidRDefault="00CD0C95" w:rsidP="00A44C13">
            <w:pPr>
              <w:pStyle w:val="ListParagraph"/>
              <w:spacing w:after="0" w:line="240" w:lineRule="auto"/>
              <w:ind w:left="160"/>
              <w:rPr>
                <w:rFonts w:ascii="Tw Cen MT Condensed" w:hAnsi="Tw Cen MT Condensed"/>
              </w:rPr>
            </w:pPr>
          </w:p>
          <w:p w14:paraId="122917E2" w14:textId="51B47152" w:rsidR="00CD0C95" w:rsidRDefault="00CD0C95" w:rsidP="00CD0C95">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Administrative Area: Division/District</w:t>
            </w:r>
          </w:p>
          <w:p w14:paraId="4D860467" w14:textId="77777777" w:rsidR="00CD0C95" w:rsidRPr="000D5F7C" w:rsidRDefault="00CD0C95" w:rsidP="00CD0C95">
            <w:pPr>
              <w:pStyle w:val="ListParagraph"/>
              <w:numPr>
                <w:ilvl w:val="0"/>
                <w:numId w:val="48"/>
              </w:numPr>
              <w:spacing w:after="0" w:line="240" w:lineRule="auto"/>
              <w:ind w:left="157" w:hanging="157"/>
              <w:rPr>
                <w:rFonts w:ascii="Tw Cen MT Condensed" w:hAnsi="Tw Cen MT Condensed"/>
              </w:rPr>
            </w:pPr>
            <w:r w:rsidRPr="000D5F7C">
              <w:rPr>
                <w:rFonts w:ascii="Tw Cen MT Condensed" w:hAnsi="Tw Cen MT Condensed"/>
              </w:rPr>
              <w:t xml:space="preserve">Type </w:t>
            </w:r>
            <w:r>
              <w:rPr>
                <w:rFonts w:ascii="Tw Cen MT Condensed" w:hAnsi="Tw Cen MT Condensed"/>
              </w:rPr>
              <w:t>o</w:t>
            </w:r>
            <w:r w:rsidRPr="000D5F7C">
              <w:rPr>
                <w:rFonts w:ascii="Tw Cen MT Condensed" w:hAnsi="Tw Cen MT Condensed"/>
              </w:rPr>
              <w:t>f Farming System</w:t>
            </w:r>
            <w:r>
              <w:rPr>
                <w:rFonts w:ascii="Tw Cen MT Condensed" w:hAnsi="Tw Cen MT Condensed"/>
              </w:rPr>
              <w:t xml:space="preserve">: </w:t>
            </w:r>
            <w:r w:rsidRPr="000D5F7C">
              <w:rPr>
                <w:rFonts w:ascii="Tw Cen MT Condensed" w:hAnsi="Tw Cen MT Condensed"/>
              </w:rPr>
              <w:t>Crop, Livestock</w:t>
            </w:r>
            <w:r>
              <w:rPr>
                <w:rFonts w:ascii="Tw Cen MT Condensed" w:hAnsi="Tw Cen MT Condensed"/>
              </w:rPr>
              <w:t>,</w:t>
            </w:r>
            <w:r w:rsidRPr="000D5F7C">
              <w:rPr>
                <w:rFonts w:ascii="Tw Cen MT Condensed" w:hAnsi="Tw Cen MT Condensed"/>
              </w:rPr>
              <w:t xml:space="preserve"> Mixed</w:t>
            </w:r>
            <w:r>
              <w:rPr>
                <w:rFonts w:ascii="Tw Cen MT Condensed" w:hAnsi="Tw Cen MT Condensed"/>
              </w:rPr>
              <w:t>.</w:t>
            </w:r>
          </w:p>
          <w:p w14:paraId="62239A15" w14:textId="2963D250" w:rsidR="00406F3B" w:rsidRPr="001B3158" w:rsidRDefault="00CD0C95" w:rsidP="00CD0C95">
            <w:pPr>
              <w:pStyle w:val="ListParagraph"/>
              <w:numPr>
                <w:ilvl w:val="0"/>
                <w:numId w:val="9"/>
              </w:numPr>
              <w:ind w:left="160" w:hanging="180"/>
              <w:jc w:val="both"/>
              <w:rPr>
                <w:rFonts w:ascii="Tw Cen MT Condensed" w:hAnsi="Tw Cen MT Condensed"/>
                <w:sz w:val="20"/>
                <w:szCs w:val="20"/>
              </w:rPr>
            </w:pPr>
            <w:r w:rsidRPr="000D5F7C">
              <w:rPr>
                <w:rFonts w:ascii="Tw Cen MT Condensed" w:hAnsi="Tw Cen MT Condensed"/>
              </w:rPr>
              <w:t xml:space="preserve">Other Characteristics </w:t>
            </w:r>
            <w:r>
              <w:rPr>
                <w:rFonts w:ascii="Tw Cen MT Condensed" w:hAnsi="Tw Cen MT Condensed"/>
              </w:rPr>
              <w:t>o</w:t>
            </w:r>
            <w:r w:rsidRPr="000D5F7C">
              <w:rPr>
                <w:rFonts w:ascii="Tw Cen MT Condensed" w:hAnsi="Tw Cen MT Condensed"/>
              </w:rPr>
              <w:t xml:space="preserve">f </w:t>
            </w:r>
            <w:r>
              <w:rPr>
                <w:rFonts w:ascii="Tw Cen MT Condensed" w:hAnsi="Tw Cen MT Condensed"/>
              </w:rPr>
              <w:t>t</w:t>
            </w:r>
            <w:r w:rsidRPr="000D5F7C">
              <w:rPr>
                <w:rFonts w:ascii="Tw Cen MT Condensed" w:hAnsi="Tw Cen MT Condensed"/>
              </w:rPr>
              <w:t>he Farm</w:t>
            </w:r>
            <w:r>
              <w:rPr>
                <w:rFonts w:ascii="Tw Cen MT Condensed" w:hAnsi="Tw Cen MT Condensed"/>
              </w:rPr>
              <w:t>:</w:t>
            </w:r>
            <w:r w:rsidRPr="000D5F7C">
              <w:rPr>
                <w:rFonts w:ascii="Tw Cen MT Condensed" w:hAnsi="Tw Cen MT Condensed"/>
              </w:rPr>
              <w:t xml:space="preserve"> E.G. Size, Gender </w:t>
            </w:r>
            <w:r>
              <w:rPr>
                <w:rFonts w:ascii="Tw Cen MT Condensed" w:hAnsi="Tw Cen MT Condensed"/>
              </w:rPr>
              <w:t>o</w:t>
            </w:r>
            <w:r w:rsidRPr="000D5F7C">
              <w:rPr>
                <w:rFonts w:ascii="Tw Cen MT Condensed" w:hAnsi="Tw Cen MT Condensed"/>
              </w:rPr>
              <w:t xml:space="preserve">f </w:t>
            </w:r>
            <w:r>
              <w:rPr>
                <w:rFonts w:ascii="Tw Cen MT Condensed" w:hAnsi="Tw Cen MT Condensed"/>
              </w:rPr>
              <w:t>t</w:t>
            </w:r>
            <w:r w:rsidRPr="000D5F7C">
              <w:rPr>
                <w:rFonts w:ascii="Tw Cen MT Condensed" w:hAnsi="Tw Cen MT Condensed"/>
              </w:rPr>
              <w:t>he Farm Holder.</w:t>
            </w:r>
          </w:p>
          <w:p w14:paraId="0ADB1330" w14:textId="77777777" w:rsidR="00406F3B" w:rsidRPr="00262FC1" w:rsidRDefault="00406F3B" w:rsidP="00406F3B">
            <w:pPr>
              <w:rPr>
                <w:szCs w:val="20"/>
              </w:rPr>
            </w:pPr>
          </w:p>
        </w:tc>
        <w:tc>
          <w:tcPr>
            <w:tcW w:w="0" w:type="auto"/>
            <w:shd w:val="clear" w:color="auto" w:fill="auto"/>
          </w:tcPr>
          <w:p w14:paraId="117BE012" w14:textId="77777777" w:rsidR="00406F3B" w:rsidRPr="00262FC1" w:rsidRDefault="00406F3B" w:rsidP="00406F3B">
            <w:pPr>
              <w:jc w:val="center"/>
              <w:rPr>
                <w:szCs w:val="20"/>
              </w:rPr>
            </w:pPr>
            <w:r>
              <w:rPr>
                <w:szCs w:val="20"/>
              </w:rPr>
              <w:t>2 Years</w:t>
            </w:r>
          </w:p>
        </w:tc>
        <w:tc>
          <w:tcPr>
            <w:tcW w:w="0" w:type="auto"/>
            <w:shd w:val="clear" w:color="auto" w:fill="auto"/>
          </w:tcPr>
          <w:p w14:paraId="584FDEE4" w14:textId="77777777" w:rsidR="00406F3B" w:rsidRPr="00262FC1" w:rsidRDefault="00406F3B" w:rsidP="00406F3B">
            <w:pPr>
              <w:rPr>
                <w:szCs w:val="20"/>
              </w:rPr>
            </w:pPr>
            <w:r>
              <w:rPr>
                <w:szCs w:val="20"/>
              </w:rPr>
              <w:t>Group 3</w:t>
            </w:r>
          </w:p>
        </w:tc>
        <w:tc>
          <w:tcPr>
            <w:tcW w:w="0" w:type="auto"/>
            <w:shd w:val="clear" w:color="auto" w:fill="auto"/>
          </w:tcPr>
          <w:p w14:paraId="0B26AE31" w14:textId="77777777" w:rsidR="00406F3B" w:rsidRDefault="00406F3B" w:rsidP="00406F3B">
            <w:pPr>
              <w:pStyle w:val="NoSpacing"/>
            </w:pPr>
            <w:r>
              <w:t>1</w:t>
            </w:r>
            <w:r w:rsidRPr="00013ACB">
              <w:rPr>
                <w:vertAlign w:val="superscript"/>
              </w:rPr>
              <w:t>st</w:t>
            </w:r>
            <w:r>
              <w:t xml:space="preserve"> Round: </w:t>
            </w:r>
          </w:p>
          <w:p w14:paraId="65F54DB6" w14:textId="77777777" w:rsidR="00406F3B" w:rsidRDefault="00406F3B" w:rsidP="00406F3B">
            <w:pPr>
              <w:pStyle w:val="NoSpacing"/>
            </w:pPr>
            <w:r>
              <w:t xml:space="preserve">December </w:t>
            </w:r>
          </w:p>
          <w:p w14:paraId="0EB33D00" w14:textId="77777777" w:rsidR="00406F3B" w:rsidRDefault="00406F3B" w:rsidP="00406F3B">
            <w:pPr>
              <w:pStyle w:val="NoSpacing"/>
            </w:pPr>
            <w:r>
              <w:t>2020</w:t>
            </w:r>
          </w:p>
          <w:p w14:paraId="0D37E279" w14:textId="77777777" w:rsidR="00406F3B" w:rsidRDefault="00406F3B" w:rsidP="00406F3B">
            <w:pPr>
              <w:pStyle w:val="NoSpacing"/>
            </w:pPr>
          </w:p>
          <w:p w14:paraId="33F7FBA6" w14:textId="77777777" w:rsidR="00406F3B" w:rsidRDefault="00406F3B" w:rsidP="00406F3B">
            <w:pPr>
              <w:pStyle w:val="NoSpacing"/>
            </w:pPr>
            <w:r>
              <w:t>2</w:t>
            </w:r>
            <w:r w:rsidRPr="00013ACB">
              <w:rPr>
                <w:vertAlign w:val="superscript"/>
              </w:rPr>
              <w:t>nd</w:t>
            </w:r>
            <w:r>
              <w:t xml:space="preserve"> Round: </w:t>
            </w:r>
          </w:p>
          <w:p w14:paraId="4B7DD1EA" w14:textId="77777777" w:rsidR="00406F3B" w:rsidRDefault="00406F3B" w:rsidP="00406F3B">
            <w:pPr>
              <w:pStyle w:val="NoSpacing"/>
            </w:pPr>
            <w:r>
              <w:t xml:space="preserve">December </w:t>
            </w:r>
          </w:p>
          <w:p w14:paraId="34EAEA35" w14:textId="77777777" w:rsidR="00406F3B" w:rsidRDefault="00406F3B" w:rsidP="00406F3B">
            <w:pPr>
              <w:pStyle w:val="NoSpacing"/>
            </w:pPr>
            <w:r>
              <w:t>2023</w:t>
            </w:r>
          </w:p>
          <w:p w14:paraId="3327B1D2" w14:textId="77777777" w:rsidR="00406F3B" w:rsidRDefault="00406F3B" w:rsidP="00406F3B">
            <w:pPr>
              <w:pStyle w:val="NoSpacing"/>
            </w:pPr>
          </w:p>
          <w:p w14:paraId="14DD9278" w14:textId="77777777" w:rsidR="00406F3B" w:rsidRDefault="00406F3B" w:rsidP="00406F3B">
            <w:pPr>
              <w:pStyle w:val="NoSpacing"/>
            </w:pPr>
            <w:r>
              <w:t>3</w:t>
            </w:r>
            <w:r w:rsidRPr="00013ACB">
              <w:rPr>
                <w:vertAlign w:val="superscript"/>
              </w:rPr>
              <w:t>rd</w:t>
            </w:r>
            <w:r>
              <w:t xml:space="preserve"> Round: </w:t>
            </w:r>
          </w:p>
          <w:p w14:paraId="1348BC85" w14:textId="77777777" w:rsidR="00406F3B" w:rsidRDefault="00406F3B" w:rsidP="00406F3B">
            <w:pPr>
              <w:pStyle w:val="NoSpacing"/>
            </w:pPr>
            <w:r>
              <w:t xml:space="preserve">December </w:t>
            </w:r>
          </w:p>
          <w:p w14:paraId="6874F343" w14:textId="77777777" w:rsidR="00406F3B" w:rsidRDefault="00406F3B" w:rsidP="00406F3B">
            <w:pPr>
              <w:pStyle w:val="NoSpacing"/>
            </w:pPr>
            <w:r>
              <w:t>2026</w:t>
            </w:r>
          </w:p>
          <w:p w14:paraId="69A52CFA" w14:textId="77777777" w:rsidR="00406F3B" w:rsidRDefault="00406F3B" w:rsidP="00406F3B">
            <w:pPr>
              <w:pStyle w:val="NoSpacing"/>
            </w:pPr>
          </w:p>
          <w:p w14:paraId="00BB5248" w14:textId="77777777" w:rsidR="00406F3B" w:rsidRDefault="00406F3B" w:rsidP="00406F3B">
            <w:pPr>
              <w:pStyle w:val="NoSpacing"/>
            </w:pPr>
            <w:r>
              <w:t>4</w:t>
            </w:r>
            <w:r w:rsidRPr="00013ACB">
              <w:rPr>
                <w:vertAlign w:val="superscript"/>
              </w:rPr>
              <w:t>th</w:t>
            </w:r>
            <w:r>
              <w:t xml:space="preserve"> Round: </w:t>
            </w:r>
          </w:p>
          <w:p w14:paraId="2D50575E" w14:textId="77777777" w:rsidR="00406F3B" w:rsidRDefault="00406F3B" w:rsidP="00406F3B">
            <w:pPr>
              <w:pStyle w:val="NoSpacing"/>
            </w:pPr>
            <w:r>
              <w:t xml:space="preserve">December </w:t>
            </w:r>
          </w:p>
          <w:p w14:paraId="7E34885D" w14:textId="77777777" w:rsidR="00406F3B" w:rsidRDefault="00406F3B" w:rsidP="00406F3B">
            <w:pPr>
              <w:pStyle w:val="NoSpacing"/>
            </w:pPr>
            <w:r>
              <w:t>2029</w:t>
            </w:r>
          </w:p>
          <w:p w14:paraId="40604D9C" w14:textId="77777777" w:rsidR="00406F3B" w:rsidRDefault="00406F3B" w:rsidP="00406F3B">
            <w:pPr>
              <w:pStyle w:val="NoSpacing"/>
            </w:pPr>
          </w:p>
          <w:p w14:paraId="498E389B" w14:textId="77777777" w:rsidR="00406F3B" w:rsidRDefault="00406F3B" w:rsidP="00406F3B">
            <w:pPr>
              <w:pStyle w:val="NoSpacing"/>
            </w:pPr>
            <w:r>
              <w:t>5</w:t>
            </w:r>
            <w:r w:rsidRPr="00013ACB">
              <w:rPr>
                <w:vertAlign w:val="superscript"/>
              </w:rPr>
              <w:t>th</w:t>
            </w:r>
            <w:r>
              <w:t xml:space="preserve"> Round: </w:t>
            </w:r>
          </w:p>
          <w:p w14:paraId="701E7177" w14:textId="77777777" w:rsidR="00406F3B" w:rsidRDefault="00406F3B" w:rsidP="00406F3B">
            <w:pPr>
              <w:pStyle w:val="NoSpacing"/>
            </w:pPr>
            <w:r>
              <w:t xml:space="preserve">December </w:t>
            </w:r>
          </w:p>
          <w:p w14:paraId="5AF3D64B" w14:textId="77777777" w:rsidR="00406F3B" w:rsidRDefault="00406F3B" w:rsidP="00406F3B">
            <w:pPr>
              <w:pStyle w:val="NoSpacing"/>
            </w:pPr>
            <w:r>
              <w:t>2030</w:t>
            </w:r>
          </w:p>
          <w:p w14:paraId="20C2269D" w14:textId="54F1616C" w:rsidR="00406F3B" w:rsidRPr="00E8761A" w:rsidRDefault="00406F3B" w:rsidP="00406F3B">
            <w:pPr>
              <w:pStyle w:val="NoSpacing"/>
            </w:pPr>
          </w:p>
        </w:tc>
        <w:tc>
          <w:tcPr>
            <w:tcW w:w="0" w:type="auto"/>
            <w:shd w:val="clear" w:color="auto" w:fill="auto"/>
          </w:tcPr>
          <w:p w14:paraId="2C657222" w14:textId="77777777" w:rsidR="001A2C6C" w:rsidRPr="000C4849" w:rsidRDefault="001A2C6C" w:rsidP="000C4849">
            <w:pPr>
              <w:jc w:val="both"/>
              <w:rPr>
                <w:color w:val="000000" w:themeColor="text1"/>
              </w:rPr>
            </w:pPr>
            <w:r w:rsidRPr="000C4849">
              <w:rPr>
                <w:color w:val="000000" w:themeColor="text1"/>
              </w:rPr>
              <w:lastRenderedPageBreak/>
              <w:t>UNSC 51 revision included in the 2020 comprehensive review; revision of metadata: change in “use of biodiversity-supporting practices subindicator.</w:t>
            </w:r>
          </w:p>
          <w:p w14:paraId="615B32EA" w14:textId="77777777" w:rsidR="003971E3" w:rsidRDefault="001A2C6C" w:rsidP="001A2C6C">
            <w:pPr>
              <w:rPr>
                <w:color w:val="000000" w:themeColor="text1"/>
              </w:rPr>
            </w:pPr>
            <w:r w:rsidRPr="000C4849">
              <w:rPr>
                <w:color w:val="000000" w:themeColor="text1"/>
              </w:rPr>
              <w:t>Pilot Survey on Agricultural Area Under Productive and Sustainable Agriculture is being conducted by BBS in 2019.</w:t>
            </w:r>
          </w:p>
          <w:p w14:paraId="2D341F38" w14:textId="77777777" w:rsidR="003971E3" w:rsidRDefault="003971E3" w:rsidP="001A2C6C">
            <w:pPr>
              <w:rPr>
                <w:color w:val="000000" w:themeColor="text1"/>
              </w:rPr>
            </w:pPr>
          </w:p>
          <w:p w14:paraId="1E337C64" w14:textId="77777777" w:rsidR="003971E3" w:rsidRPr="003971E3" w:rsidRDefault="003971E3" w:rsidP="003971E3">
            <w:pPr>
              <w:rPr>
                <w:szCs w:val="20"/>
              </w:rPr>
            </w:pPr>
            <w:r w:rsidRPr="003971E3">
              <w:rPr>
                <w:szCs w:val="20"/>
              </w:rPr>
              <w:t xml:space="preserve">UNSC 51 revision included in </w:t>
            </w:r>
            <w:r w:rsidRPr="003971E3">
              <w:rPr>
                <w:szCs w:val="20"/>
              </w:rPr>
              <w:lastRenderedPageBreak/>
              <w:t>the 2020 comprehensive review; revision of metadata: change in “use of biodiversity-supporting practices” subindicator</w:t>
            </w:r>
          </w:p>
          <w:p w14:paraId="3837BC67" w14:textId="77777777" w:rsidR="003971E3" w:rsidRPr="003971E3" w:rsidRDefault="003971E3" w:rsidP="003971E3">
            <w:pPr>
              <w:rPr>
                <w:szCs w:val="20"/>
              </w:rPr>
            </w:pPr>
          </w:p>
          <w:p w14:paraId="4D439E79" w14:textId="77777777" w:rsidR="003971E3" w:rsidRPr="003971E3" w:rsidRDefault="003971E3" w:rsidP="003971E3">
            <w:pPr>
              <w:rPr>
                <w:szCs w:val="20"/>
              </w:rPr>
            </w:pPr>
            <w:r w:rsidRPr="003971E3">
              <w:rPr>
                <w:szCs w:val="20"/>
              </w:rPr>
              <w:t>Reviewed at 8th IAEG-SDG meeting (classified as Tier II)</w:t>
            </w:r>
          </w:p>
          <w:p w14:paraId="362366BE" w14:textId="77777777" w:rsidR="003971E3" w:rsidRPr="003971E3" w:rsidRDefault="003971E3" w:rsidP="003971E3">
            <w:pPr>
              <w:rPr>
                <w:szCs w:val="20"/>
              </w:rPr>
            </w:pPr>
          </w:p>
          <w:p w14:paraId="535008CF" w14:textId="4B3341F4" w:rsidR="00406F3B" w:rsidRPr="00262FC1" w:rsidRDefault="003971E3" w:rsidP="003971E3">
            <w:pPr>
              <w:rPr>
                <w:szCs w:val="20"/>
              </w:rPr>
            </w:pPr>
            <w:r w:rsidRPr="003971E3">
              <w:rPr>
                <w:szCs w:val="20"/>
              </w:rPr>
              <w:t>IAEG-SDG 6th meeting: Review of results of pilot studies necessary and more testing needed before indicator can be reclassified</w:t>
            </w:r>
          </w:p>
        </w:tc>
      </w:tr>
      <w:tr w:rsidR="00DB32C0" w14:paraId="0C7B5420" w14:textId="77777777" w:rsidTr="0085651F">
        <w:tc>
          <w:tcPr>
            <w:tcW w:w="0" w:type="auto"/>
            <w:gridSpan w:val="14"/>
            <w:shd w:val="clear" w:color="auto" w:fill="auto"/>
          </w:tcPr>
          <w:p w14:paraId="328DFEF9" w14:textId="77777777" w:rsidR="00DB32C0" w:rsidRPr="00F02676" w:rsidRDefault="00DB32C0" w:rsidP="00406F3B">
            <w:pPr>
              <w:ind w:left="970" w:hanging="970"/>
              <w:jc w:val="both"/>
              <w:rPr>
                <w:color w:val="996600"/>
                <w:sz w:val="30"/>
                <w:szCs w:val="30"/>
              </w:rPr>
            </w:pPr>
            <w:r w:rsidRPr="00D66833">
              <w:rPr>
                <w:color w:val="996600"/>
                <w:sz w:val="30"/>
                <w:szCs w:val="30"/>
              </w:rPr>
              <w:lastRenderedPageBreak/>
              <w:t xml:space="preserve">Target </w:t>
            </w:r>
            <w:r w:rsidRPr="00F02676">
              <w:rPr>
                <w:color w:val="996600"/>
                <w:sz w:val="30"/>
                <w:szCs w:val="30"/>
              </w:rPr>
              <w:t>2.5 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tc>
      </w:tr>
      <w:tr w:rsidR="0098022F" w14:paraId="7B7A0FD8" w14:textId="77777777" w:rsidTr="0085651F">
        <w:tc>
          <w:tcPr>
            <w:tcW w:w="0" w:type="auto"/>
            <w:gridSpan w:val="2"/>
            <w:shd w:val="clear" w:color="auto" w:fill="auto"/>
          </w:tcPr>
          <w:p w14:paraId="725715E8" w14:textId="77777777" w:rsidR="00406F3B" w:rsidRPr="00BD7335" w:rsidRDefault="00406F3B" w:rsidP="00406F3B">
            <w:pPr>
              <w:rPr>
                <w:szCs w:val="20"/>
              </w:rPr>
            </w:pPr>
            <w:r w:rsidRPr="00262FC1">
              <w:rPr>
                <w:rFonts w:eastAsia="Times New Roman"/>
                <w:color w:val="000000" w:themeColor="text1"/>
                <w:szCs w:val="20"/>
              </w:rPr>
              <w:t>2.5.1 Number of plant and animal genetic resources for food and agriculture secured in either medium or long-term conservation facilities</w:t>
            </w:r>
          </w:p>
        </w:tc>
        <w:tc>
          <w:tcPr>
            <w:tcW w:w="0" w:type="auto"/>
            <w:shd w:val="clear" w:color="auto" w:fill="auto"/>
          </w:tcPr>
          <w:p w14:paraId="11F04DA9" w14:textId="77777777" w:rsidR="00406F3B" w:rsidRPr="00262FC1" w:rsidRDefault="00406F3B" w:rsidP="00406F3B">
            <w:pPr>
              <w:rPr>
                <w:color w:val="4F4E4E"/>
                <w:szCs w:val="20"/>
                <w:shd w:val="clear" w:color="auto" w:fill="FFFFFF"/>
              </w:rPr>
            </w:pPr>
            <w:r w:rsidRPr="00262FC1">
              <w:rPr>
                <w:rFonts w:cs="Calibri"/>
                <w:szCs w:val="20"/>
              </w:rPr>
              <w:t xml:space="preserve"> Food and Agriculture Organization of the United Nations (UN FAO)</w:t>
            </w:r>
          </w:p>
        </w:tc>
        <w:tc>
          <w:tcPr>
            <w:tcW w:w="0" w:type="auto"/>
            <w:shd w:val="clear" w:color="auto" w:fill="auto"/>
          </w:tcPr>
          <w:p w14:paraId="4AE000EB" w14:textId="77777777" w:rsidR="00406F3B" w:rsidRPr="00262FC1" w:rsidRDefault="00406F3B" w:rsidP="00406F3B">
            <w:pPr>
              <w:jc w:val="center"/>
              <w:rPr>
                <w:szCs w:val="20"/>
              </w:rPr>
            </w:pPr>
            <w:r w:rsidRPr="00262FC1">
              <w:rPr>
                <w:szCs w:val="20"/>
              </w:rPr>
              <w:t>Tier I</w:t>
            </w:r>
          </w:p>
        </w:tc>
        <w:tc>
          <w:tcPr>
            <w:tcW w:w="0" w:type="auto"/>
            <w:shd w:val="clear" w:color="auto" w:fill="auto"/>
          </w:tcPr>
          <w:p w14:paraId="0E901DE0" w14:textId="77777777" w:rsidR="00406F3B" w:rsidRPr="00735A73" w:rsidRDefault="00406F3B" w:rsidP="00406F3B">
            <w:pPr>
              <w:jc w:val="both"/>
              <w:rPr>
                <w:b/>
                <w:szCs w:val="20"/>
              </w:rPr>
            </w:pPr>
            <w:r w:rsidRPr="00735A73">
              <w:rPr>
                <w:b/>
                <w:szCs w:val="20"/>
              </w:rPr>
              <w:t>Definition:</w:t>
            </w:r>
          </w:p>
          <w:p w14:paraId="49D6E06F" w14:textId="77777777" w:rsidR="00406F3B" w:rsidRPr="000C4849" w:rsidRDefault="00406F3B" w:rsidP="00406F3B">
            <w:pPr>
              <w:jc w:val="both"/>
              <w:rPr>
                <w:szCs w:val="20"/>
              </w:rPr>
            </w:pPr>
            <w:r w:rsidRPr="000C4849">
              <w:rPr>
                <w:szCs w:val="20"/>
              </w:rPr>
              <w:t>The conservation of plant and animal genetic resources for food and agriculture (GRFA) in medium or long term conservation facilities (ex situ, in genebanks) represents the most trusted means of conserving genetic resources worldwide. Plant and animal GRFA conserved in these facilities can be easily used in breeding programmes as well, even directly on-farm.</w:t>
            </w:r>
          </w:p>
          <w:p w14:paraId="536CD5CB" w14:textId="77777777" w:rsidR="00406F3B" w:rsidRPr="000C4849" w:rsidRDefault="00406F3B" w:rsidP="00406F3B">
            <w:pPr>
              <w:jc w:val="both"/>
              <w:rPr>
                <w:szCs w:val="20"/>
              </w:rPr>
            </w:pPr>
          </w:p>
          <w:p w14:paraId="1152B3ED" w14:textId="77777777" w:rsidR="00406F3B" w:rsidRDefault="00406F3B" w:rsidP="00406F3B">
            <w:pPr>
              <w:jc w:val="both"/>
              <w:rPr>
                <w:b/>
                <w:szCs w:val="20"/>
              </w:rPr>
            </w:pPr>
            <w:r w:rsidRPr="000C4849">
              <w:rPr>
                <w:szCs w:val="20"/>
              </w:rPr>
              <w:t>The measure of trends in ex situ conserved materials provides an overall assessment of the extent to which we are managing to maintain and/or increase the total genetic diversity available for future use and thus protected from any permanent loss of genetic diversity which may occur in the natural habitat, i.e. in situ, or on-farm.</w:t>
            </w:r>
          </w:p>
          <w:p w14:paraId="2CCD4325" w14:textId="77777777" w:rsidR="00406F3B" w:rsidRPr="000C4849" w:rsidRDefault="00406F3B" w:rsidP="00406F3B">
            <w:pPr>
              <w:jc w:val="both"/>
              <w:rPr>
                <w:szCs w:val="20"/>
              </w:rPr>
            </w:pPr>
            <w:r w:rsidRPr="000C4849">
              <w:rPr>
                <w:szCs w:val="20"/>
              </w:rPr>
              <w:t>The two components of the indicator, plant and animal GRFA, are separately counted.</w:t>
            </w:r>
          </w:p>
          <w:p w14:paraId="5995B72F" w14:textId="77777777" w:rsidR="00406F3B" w:rsidRDefault="00406F3B" w:rsidP="00406F3B">
            <w:pPr>
              <w:jc w:val="both"/>
              <w:rPr>
                <w:b/>
                <w:szCs w:val="20"/>
              </w:rPr>
            </w:pPr>
          </w:p>
          <w:p w14:paraId="5FA1709F" w14:textId="77777777" w:rsidR="00406F3B" w:rsidRPr="00735A73" w:rsidRDefault="00406F3B" w:rsidP="00406F3B">
            <w:pPr>
              <w:jc w:val="both"/>
              <w:rPr>
                <w:b/>
                <w:szCs w:val="20"/>
              </w:rPr>
            </w:pPr>
            <w:r w:rsidRPr="00735A73">
              <w:rPr>
                <w:b/>
                <w:szCs w:val="20"/>
              </w:rPr>
              <w:t>Concepts:</w:t>
            </w:r>
          </w:p>
          <w:p w14:paraId="4F6A68D7" w14:textId="77777777" w:rsidR="00406F3B" w:rsidRPr="000C4849" w:rsidRDefault="00406F3B" w:rsidP="00406F3B">
            <w:pPr>
              <w:jc w:val="both"/>
              <w:rPr>
                <w:szCs w:val="20"/>
              </w:rPr>
            </w:pPr>
            <w:r w:rsidRPr="000C4849">
              <w:rPr>
                <w:szCs w:val="20"/>
              </w:rPr>
              <w:t>Plant genetic resources</w:t>
            </w:r>
          </w:p>
          <w:p w14:paraId="4044DB38" w14:textId="77777777" w:rsidR="00406F3B" w:rsidRPr="000C4849" w:rsidRDefault="00406F3B" w:rsidP="00406F3B">
            <w:pPr>
              <w:jc w:val="both"/>
              <w:rPr>
                <w:szCs w:val="20"/>
              </w:rPr>
            </w:pPr>
            <w:r w:rsidRPr="000C4849">
              <w:rPr>
                <w:szCs w:val="20"/>
              </w:rPr>
              <w:t>Plant genetic resources for food and agriculture (PGRFA): Any genetic material of plant origin of actual or potential value for food and agriculture.</w:t>
            </w:r>
          </w:p>
          <w:p w14:paraId="2C9AC864" w14:textId="77777777" w:rsidR="00406F3B" w:rsidRPr="000C4849" w:rsidRDefault="00406F3B" w:rsidP="00406F3B">
            <w:pPr>
              <w:jc w:val="both"/>
              <w:rPr>
                <w:szCs w:val="20"/>
              </w:rPr>
            </w:pPr>
            <w:r w:rsidRPr="000C4849">
              <w:rPr>
                <w:szCs w:val="20"/>
              </w:rPr>
              <w:t xml:space="preserve">Accession: An accession is defined as a sample of seeds, planting materials or plants representing </w:t>
            </w:r>
            <w:proofErr w:type="gramStart"/>
            <w:r w:rsidRPr="000C4849">
              <w:rPr>
                <w:szCs w:val="20"/>
              </w:rPr>
              <w:t>either a</w:t>
            </w:r>
            <w:proofErr w:type="gramEnd"/>
            <w:r w:rsidRPr="000C4849">
              <w:rPr>
                <w:szCs w:val="20"/>
              </w:rPr>
              <w:t xml:space="preserve"> wild population, a landrace, a breeding line or an improved cultivar, which is conserved in a genebank. Each accession should be distinct and, in terms of genetic integrity, as close as possible to the sample provided originally.</w:t>
            </w:r>
          </w:p>
          <w:p w14:paraId="49065E06" w14:textId="77777777" w:rsidR="00406F3B" w:rsidRPr="000C4849" w:rsidRDefault="00406F3B" w:rsidP="00406F3B">
            <w:pPr>
              <w:jc w:val="both"/>
              <w:rPr>
                <w:szCs w:val="20"/>
              </w:rPr>
            </w:pPr>
            <w:r w:rsidRPr="000C4849">
              <w:rPr>
                <w:szCs w:val="20"/>
              </w:rPr>
              <w:t xml:space="preserve">Base collection: A base collection is defined as a set of unique accessions </w:t>
            </w:r>
            <w:r w:rsidRPr="000C4849">
              <w:rPr>
                <w:szCs w:val="20"/>
              </w:rPr>
              <w:lastRenderedPageBreak/>
              <w:t>to be preserved for a medium to long-term period.</w:t>
            </w:r>
          </w:p>
          <w:p w14:paraId="1451E0C7" w14:textId="77777777" w:rsidR="00406F3B" w:rsidRPr="000C4849" w:rsidRDefault="00406F3B" w:rsidP="00406F3B">
            <w:pPr>
              <w:jc w:val="both"/>
              <w:rPr>
                <w:szCs w:val="20"/>
              </w:rPr>
            </w:pPr>
            <w:r w:rsidRPr="000C4849">
              <w:rPr>
                <w:szCs w:val="20"/>
              </w:rPr>
              <w:t xml:space="preserve">Active collection: An active collection is defined as a set of distinct accessions that is used for regeneration, multiplication, distribution, characterization and evaluation. Active collections are maintained in short to medium-term storage and usually duplicated in a base collection. </w:t>
            </w:r>
          </w:p>
          <w:p w14:paraId="2428E88B" w14:textId="77777777" w:rsidR="00406F3B" w:rsidRPr="000C4849" w:rsidRDefault="00406F3B" w:rsidP="00406F3B">
            <w:pPr>
              <w:jc w:val="both"/>
              <w:rPr>
                <w:szCs w:val="20"/>
              </w:rPr>
            </w:pPr>
            <w:r w:rsidRPr="000C4849">
              <w:rPr>
                <w:szCs w:val="20"/>
              </w:rPr>
              <w:t xml:space="preserve">Medium or long term conservation facilities: Biological diversity is often conserved ex situ, outside its natural habitat, in facilities called genebanks. In the case of plant genetic resources, genebanks conserve base collections under medium or long term storage conditions, in the form of seeds in cold rooms, plants in the field and tissues in vitro and/or cryoconserved. </w:t>
            </w:r>
          </w:p>
          <w:p w14:paraId="506DE374" w14:textId="77777777" w:rsidR="00406F3B" w:rsidRPr="000C4849" w:rsidRDefault="00406F3B" w:rsidP="00406F3B">
            <w:pPr>
              <w:jc w:val="both"/>
              <w:rPr>
                <w:szCs w:val="20"/>
              </w:rPr>
            </w:pPr>
            <w:r w:rsidRPr="000C4849">
              <w:rPr>
                <w:szCs w:val="20"/>
              </w:rPr>
              <w:t>Animal genetic resources</w:t>
            </w:r>
          </w:p>
          <w:p w14:paraId="22BBB382" w14:textId="77777777" w:rsidR="00406F3B" w:rsidRPr="000C4849" w:rsidRDefault="00406F3B" w:rsidP="00406F3B">
            <w:pPr>
              <w:jc w:val="both"/>
              <w:rPr>
                <w:szCs w:val="20"/>
              </w:rPr>
            </w:pPr>
            <w:r w:rsidRPr="000C4849">
              <w:rPr>
                <w:szCs w:val="20"/>
              </w:rPr>
              <w:t xml:space="preserve">Breed: A breed is either a sub-specific group of domestic livestock with definable and identifiable external characteristics that enable it to be separated by visual appraisal from other similarly defined groups within the same species, or a group for which geographical and/or cultural separation from phenotypically similar groups has led to acceptance of its separate identity.  </w:t>
            </w:r>
          </w:p>
          <w:p w14:paraId="15E237F4" w14:textId="77777777" w:rsidR="00406F3B" w:rsidRPr="000C4849" w:rsidRDefault="00406F3B" w:rsidP="00406F3B">
            <w:pPr>
              <w:jc w:val="both"/>
              <w:rPr>
                <w:szCs w:val="20"/>
              </w:rPr>
            </w:pPr>
            <w:r w:rsidRPr="000C4849">
              <w:rPr>
                <w:szCs w:val="20"/>
              </w:rPr>
              <w:t xml:space="preserve">Medium or long term conservation facilities: Biological diversity is often conserved ex situ, outside its natural habitat, in facilities called genebanks. In the case of domestic animal diversity, ex situ conservation includes both the maintenance of live animals (in vivo) and cryoconservation. </w:t>
            </w:r>
          </w:p>
          <w:p w14:paraId="2289482F" w14:textId="77777777" w:rsidR="00406F3B" w:rsidRDefault="00406F3B" w:rsidP="00406F3B">
            <w:pPr>
              <w:jc w:val="both"/>
              <w:rPr>
                <w:szCs w:val="20"/>
              </w:rPr>
            </w:pPr>
            <w:r w:rsidRPr="000C4849">
              <w:rPr>
                <w:szCs w:val="20"/>
              </w:rPr>
              <w:t>Cryoconservation is the collection and deep-freezing of semen, ova, embryos or tissues for potential future use in breeding or regenerating animals.</w:t>
            </w:r>
          </w:p>
          <w:p w14:paraId="07A303ED" w14:textId="77777777" w:rsidR="00406F3B" w:rsidRDefault="00406F3B" w:rsidP="00406F3B">
            <w:pPr>
              <w:jc w:val="both"/>
              <w:rPr>
                <w:szCs w:val="20"/>
              </w:rPr>
            </w:pPr>
          </w:p>
          <w:p w14:paraId="13DA4E34" w14:textId="77777777" w:rsidR="00406F3B" w:rsidRPr="000C4849" w:rsidRDefault="00406F3B" w:rsidP="00406F3B">
            <w:pPr>
              <w:jc w:val="both"/>
              <w:rPr>
                <w:b/>
                <w:szCs w:val="20"/>
              </w:rPr>
            </w:pPr>
            <w:r w:rsidRPr="000C4849">
              <w:rPr>
                <w:b/>
                <w:szCs w:val="20"/>
              </w:rPr>
              <w:t>Computation Method:</w:t>
            </w:r>
          </w:p>
          <w:p w14:paraId="38F6CFB9" w14:textId="77777777" w:rsidR="00406F3B" w:rsidRPr="00735A73" w:rsidRDefault="00406F3B" w:rsidP="00406F3B">
            <w:pPr>
              <w:jc w:val="both"/>
              <w:rPr>
                <w:szCs w:val="20"/>
              </w:rPr>
            </w:pPr>
            <w:r w:rsidRPr="00735A73">
              <w:rPr>
                <w:szCs w:val="20"/>
              </w:rPr>
              <w:t>Plant genetic resources</w:t>
            </w:r>
          </w:p>
          <w:p w14:paraId="6F8BB3D6" w14:textId="77777777" w:rsidR="00406F3B" w:rsidRPr="00735A73" w:rsidRDefault="00406F3B" w:rsidP="00406F3B">
            <w:pPr>
              <w:jc w:val="both"/>
              <w:rPr>
                <w:szCs w:val="20"/>
              </w:rPr>
            </w:pPr>
            <w:r w:rsidRPr="00735A73">
              <w:rPr>
                <w:szCs w:val="20"/>
              </w:rPr>
              <w:t xml:space="preserve">The plant component of the indicator is calculated as the total number of unique accessions of plant genetic resources secured in medium to long term conservation facilities. This should include all the accessions in base collections, and unique accessions stored in medium term conservation facilities, as active collections, only when these accessions are considered to become part of the national base collections. Base collections may include </w:t>
            </w:r>
            <w:proofErr w:type="gramStart"/>
            <w:r w:rsidRPr="00735A73">
              <w:rPr>
                <w:szCs w:val="20"/>
              </w:rPr>
              <w:t>both seed</w:t>
            </w:r>
            <w:proofErr w:type="gramEnd"/>
            <w:r w:rsidRPr="00735A73">
              <w:rPr>
                <w:szCs w:val="20"/>
              </w:rPr>
              <w:t>, field, cryo-preserved or in vitro collections depending on the species conserved and the available facilities in the country.</w:t>
            </w:r>
          </w:p>
          <w:p w14:paraId="5D7F0B75" w14:textId="77777777" w:rsidR="00406F3B" w:rsidRPr="00735A73" w:rsidRDefault="00406F3B" w:rsidP="00406F3B">
            <w:pPr>
              <w:jc w:val="both"/>
              <w:rPr>
                <w:szCs w:val="20"/>
              </w:rPr>
            </w:pPr>
          </w:p>
          <w:p w14:paraId="6DE764F0" w14:textId="77777777" w:rsidR="00406F3B" w:rsidRPr="00735A73" w:rsidRDefault="00406F3B" w:rsidP="00406F3B">
            <w:pPr>
              <w:jc w:val="both"/>
              <w:rPr>
                <w:szCs w:val="20"/>
              </w:rPr>
            </w:pPr>
            <w:r w:rsidRPr="00735A73">
              <w:rPr>
                <w:szCs w:val="20"/>
              </w:rPr>
              <w:t>Animal genetic resources</w:t>
            </w:r>
          </w:p>
          <w:p w14:paraId="6118386E" w14:textId="77777777" w:rsidR="00406F3B" w:rsidRDefault="00406F3B" w:rsidP="00406F3B">
            <w:pPr>
              <w:jc w:val="both"/>
              <w:rPr>
                <w:szCs w:val="20"/>
              </w:rPr>
            </w:pPr>
            <w:r w:rsidRPr="00735A73">
              <w:rPr>
                <w:szCs w:val="20"/>
              </w:rPr>
              <w:t>For the animal component the indicator is calculated as the number of local breeds with enough genetic material stored within genebank collections  allowing to reconstitute the breed in case of extinction</w:t>
            </w:r>
          </w:p>
          <w:p w14:paraId="7939CDDE" w14:textId="77777777" w:rsidR="00406F3B" w:rsidRDefault="00406F3B" w:rsidP="00406F3B">
            <w:pPr>
              <w:jc w:val="both"/>
              <w:rPr>
                <w:szCs w:val="20"/>
              </w:rPr>
            </w:pPr>
          </w:p>
          <w:p w14:paraId="399BABCB" w14:textId="77777777" w:rsidR="00406F3B" w:rsidRPr="000C4849" w:rsidRDefault="00406F3B" w:rsidP="00406F3B">
            <w:pPr>
              <w:jc w:val="both"/>
              <w:rPr>
                <w:szCs w:val="20"/>
              </w:rPr>
            </w:pPr>
          </w:p>
          <w:p w14:paraId="334AE427" w14:textId="5F741D8F" w:rsidR="00406F3B" w:rsidRPr="00262FC1" w:rsidRDefault="00406F3B" w:rsidP="00406F3B">
            <w:pPr>
              <w:jc w:val="both"/>
              <w:rPr>
                <w:szCs w:val="20"/>
              </w:rPr>
            </w:pPr>
          </w:p>
        </w:tc>
        <w:tc>
          <w:tcPr>
            <w:tcW w:w="0" w:type="auto"/>
            <w:shd w:val="clear" w:color="auto" w:fill="auto"/>
          </w:tcPr>
          <w:p w14:paraId="5B1F821C" w14:textId="77777777" w:rsidR="00406F3B" w:rsidRDefault="00406F3B" w:rsidP="00406F3B">
            <w:pPr>
              <w:jc w:val="center"/>
              <w:rPr>
                <w:bCs/>
                <w:szCs w:val="20"/>
              </w:rPr>
            </w:pPr>
            <w:r>
              <w:rPr>
                <w:bCs/>
                <w:szCs w:val="20"/>
              </w:rPr>
              <w:lastRenderedPageBreak/>
              <w:t>-</w:t>
            </w:r>
          </w:p>
        </w:tc>
        <w:tc>
          <w:tcPr>
            <w:tcW w:w="0" w:type="auto"/>
            <w:shd w:val="clear" w:color="auto" w:fill="auto"/>
          </w:tcPr>
          <w:p w14:paraId="62CF531F" w14:textId="77777777" w:rsidR="00406F3B" w:rsidRPr="00262FC1" w:rsidRDefault="00406F3B" w:rsidP="00406F3B">
            <w:pPr>
              <w:rPr>
                <w:szCs w:val="20"/>
              </w:rPr>
            </w:pPr>
            <w:r w:rsidRPr="00262FC1">
              <w:rPr>
                <w:szCs w:val="20"/>
              </w:rPr>
              <w:t>The officially nominated National Focal Points / National Coordinators.</w:t>
            </w:r>
          </w:p>
        </w:tc>
        <w:tc>
          <w:tcPr>
            <w:tcW w:w="0" w:type="auto"/>
            <w:shd w:val="clear" w:color="auto" w:fill="auto"/>
          </w:tcPr>
          <w:p w14:paraId="46B4BC21" w14:textId="049ED3DD" w:rsidR="00406F3B" w:rsidRPr="00262FC1" w:rsidRDefault="00406F3B" w:rsidP="00406F3B">
            <w:pPr>
              <w:rPr>
                <w:szCs w:val="20"/>
              </w:rPr>
            </w:pPr>
            <w:r w:rsidRPr="00262FC1">
              <w:rPr>
                <w:szCs w:val="20"/>
              </w:rPr>
              <w:t>MoA</w:t>
            </w:r>
          </w:p>
          <w:p w14:paraId="428AE5B9" w14:textId="161BF7DD" w:rsidR="00406F3B" w:rsidRPr="00262FC1" w:rsidRDefault="00406F3B" w:rsidP="00406F3B">
            <w:pPr>
              <w:rPr>
                <w:szCs w:val="20"/>
              </w:rPr>
            </w:pPr>
          </w:p>
        </w:tc>
        <w:tc>
          <w:tcPr>
            <w:tcW w:w="0" w:type="auto"/>
            <w:shd w:val="clear" w:color="auto" w:fill="auto"/>
          </w:tcPr>
          <w:p w14:paraId="51046AEE" w14:textId="01E855D4" w:rsidR="00406F3B" w:rsidRDefault="00406F3B" w:rsidP="00406F3B">
            <w:pPr>
              <w:rPr>
                <w:szCs w:val="20"/>
              </w:rPr>
            </w:pPr>
          </w:p>
          <w:p w14:paraId="31871357" w14:textId="77777777" w:rsidR="00406F3B" w:rsidRDefault="00406F3B" w:rsidP="00406F3B">
            <w:pPr>
              <w:rPr>
                <w:rFonts w:eastAsia="Times New Roman" w:cs="Times New Roman"/>
                <w:color w:val="000000" w:themeColor="text1"/>
                <w:szCs w:val="20"/>
              </w:rPr>
            </w:pPr>
            <w:r>
              <w:rPr>
                <w:rFonts w:eastAsia="Times New Roman" w:cs="Times New Roman"/>
                <w:color w:val="000000" w:themeColor="text1"/>
                <w:szCs w:val="20"/>
              </w:rPr>
              <w:t>a) BARC, MoA</w:t>
            </w:r>
          </w:p>
          <w:p w14:paraId="25FDB325" w14:textId="77777777" w:rsidR="00406F3B" w:rsidRPr="00BC6F10" w:rsidRDefault="00406F3B" w:rsidP="00406F3B">
            <w:pPr>
              <w:rPr>
                <w:rFonts w:eastAsia="Times New Roman" w:cs="Times New Roman"/>
                <w:color w:val="000000" w:themeColor="text1"/>
                <w:szCs w:val="20"/>
              </w:rPr>
            </w:pPr>
            <w:r>
              <w:rPr>
                <w:rFonts w:eastAsia="Times New Roman" w:cs="Times New Roman"/>
                <w:color w:val="000000" w:themeColor="text1"/>
                <w:szCs w:val="20"/>
              </w:rPr>
              <w:t>b) BRRI, MoA</w:t>
            </w:r>
            <w:r w:rsidRPr="00BC6F10">
              <w:rPr>
                <w:rFonts w:eastAsia="Times New Roman" w:cs="Times New Roman"/>
                <w:color w:val="000000" w:themeColor="text1"/>
                <w:szCs w:val="20"/>
              </w:rPr>
              <w:br/>
            </w:r>
            <w:r>
              <w:rPr>
                <w:rFonts w:eastAsia="Times New Roman" w:cs="Times New Roman"/>
                <w:color w:val="000000" w:themeColor="text1"/>
                <w:szCs w:val="20"/>
              </w:rPr>
              <w:t>c</w:t>
            </w:r>
            <w:r w:rsidRPr="00BC6F10">
              <w:rPr>
                <w:rFonts w:eastAsia="Times New Roman" w:cs="Times New Roman"/>
                <w:color w:val="000000" w:themeColor="text1"/>
                <w:szCs w:val="20"/>
              </w:rPr>
              <w:t xml:space="preserve">) </w:t>
            </w:r>
            <w:r>
              <w:rPr>
                <w:rFonts w:eastAsia="Times New Roman" w:cs="Times New Roman"/>
                <w:color w:val="000000" w:themeColor="text1"/>
                <w:szCs w:val="20"/>
              </w:rPr>
              <w:t xml:space="preserve">BLRI, </w:t>
            </w:r>
            <w:r w:rsidRPr="00BC6F10">
              <w:rPr>
                <w:rFonts w:eastAsia="Times New Roman" w:cs="Times New Roman"/>
                <w:color w:val="000000" w:themeColor="text1"/>
                <w:szCs w:val="20"/>
              </w:rPr>
              <w:t>MoFL</w:t>
            </w:r>
            <w:r w:rsidRPr="00BC6F10">
              <w:rPr>
                <w:rFonts w:eastAsia="Times New Roman" w:cs="Times New Roman"/>
                <w:color w:val="000000" w:themeColor="text1"/>
                <w:szCs w:val="20"/>
              </w:rPr>
              <w:br/>
            </w:r>
            <w:r>
              <w:rPr>
                <w:rFonts w:eastAsia="Times New Roman" w:cs="Times New Roman"/>
                <w:color w:val="000000" w:themeColor="text1"/>
                <w:szCs w:val="20"/>
              </w:rPr>
              <w:t>d</w:t>
            </w:r>
            <w:r w:rsidRPr="00BC6F10">
              <w:rPr>
                <w:rFonts w:eastAsia="Times New Roman" w:cs="Times New Roman"/>
                <w:color w:val="000000" w:themeColor="text1"/>
                <w:szCs w:val="20"/>
              </w:rPr>
              <w:t>) MoST</w:t>
            </w:r>
          </w:p>
          <w:p w14:paraId="10CE514F" w14:textId="77777777" w:rsidR="00406F3B" w:rsidRPr="00262FC1" w:rsidRDefault="00406F3B" w:rsidP="00406F3B">
            <w:pPr>
              <w:rPr>
                <w:szCs w:val="20"/>
              </w:rPr>
            </w:pPr>
            <w:r>
              <w:rPr>
                <w:rFonts w:eastAsia="Times New Roman" w:cs="Times New Roman"/>
                <w:color w:val="000000" w:themeColor="text1"/>
                <w:szCs w:val="20"/>
              </w:rPr>
              <w:t>e</w:t>
            </w:r>
            <w:r w:rsidRPr="00BC6F10">
              <w:rPr>
                <w:rFonts w:eastAsia="Times New Roman" w:cs="Times New Roman"/>
                <w:color w:val="000000" w:themeColor="text1"/>
                <w:szCs w:val="20"/>
              </w:rPr>
              <w:t xml:space="preserve">) </w:t>
            </w:r>
            <w:r w:rsidRPr="00BC6F10">
              <w:rPr>
                <w:rFonts w:cs="Times New Roman"/>
                <w:szCs w:val="20"/>
              </w:rPr>
              <w:t>BFRI</w:t>
            </w:r>
          </w:p>
        </w:tc>
        <w:tc>
          <w:tcPr>
            <w:tcW w:w="0" w:type="auto"/>
            <w:shd w:val="clear" w:color="auto" w:fill="auto"/>
          </w:tcPr>
          <w:p w14:paraId="56120662" w14:textId="77777777" w:rsidR="00406F3B" w:rsidRPr="00795CB3" w:rsidRDefault="00406F3B" w:rsidP="00406F3B">
            <w:pPr>
              <w:pStyle w:val="ListParagraph"/>
              <w:numPr>
                <w:ilvl w:val="0"/>
                <w:numId w:val="12"/>
              </w:numPr>
              <w:jc w:val="both"/>
              <w:rPr>
                <w:rFonts w:ascii="Tw Cen MT Condensed" w:hAnsi="Tw Cen MT Condensed"/>
                <w:bCs/>
                <w:sz w:val="20"/>
                <w:szCs w:val="20"/>
              </w:rPr>
            </w:pPr>
            <w:r w:rsidRPr="00795CB3">
              <w:rPr>
                <w:rFonts w:ascii="Tw Cen MT Condensed" w:hAnsi="Tw Cen MT Condensed"/>
                <w:bCs/>
                <w:sz w:val="20"/>
                <w:szCs w:val="20"/>
              </w:rPr>
              <w:t>For both, plant and animal</w:t>
            </w:r>
          </w:p>
          <w:p w14:paraId="0C8BD0C5" w14:textId="026F689B" w:rsidR="00406F3B" w:rsidRPr="00795CB3" w:rsidRDefault="00406F3B" w:rsidP="00406F3B">
            <w:pPr>
              <w:pStyle w:val="ListParagraph"/>
              <w:numPr>
                <w:ilvl w:val="0"/>
                <w:numId w:val="12"/>
              </w:numPr>
              <w:jc w:val="both"/>
              <w:rPr>
                <w:rFonts w:ascii="Tw Cen MT Condensed" w:hAnsi="Tw Cen MT Condensed"/>
                <w:bCs/>
                <w:sz w:val="20"/>
                <w:szCs w:val="20"/>
              </w:rPr>
            </w:pPr>
            <w:r w:rsidRPr="00795CB3">
              <w:rPr>
                <w:rFonts w:ascii="Tw Cen MT Condensed" w:hAnsi="Tw Cen MT Condensed"/>
                <w:bCs/>
                <w:sz w:val="20"/>
                <w:szCs w:val="20"/>
              </w:rPr>
              <w:t xml:space="preserve">components geographic disaggregation (national, regional, global) </w:t>
            </w:r>
            <w:r w:rsidR="004330E6">
              <w:rPr>
                <w:rFonts w:ascii="Tw Cen MT Condensed" w:hAnsi="Tw Cen MT Condensed"/>
                <w:bCs/>
                <w:sz w:val="20"/>
                <w:szCs w:val="20"/>
              </w:rPr>
              <w:t>: Division</w:t>
            </w:r>
          </w:p>
        </w:tc>
        <w:tc>
          <w:tcPr>
            <w:tcW w:w="0" w:type="auto"/>
            <w:shd w:val="clear" w:color="auto" w:fill="auto"/>
          </w:tcPr>
          <w:p w14:paraId="6AD4D002" w14:textId="2C3E6E7B" w:rsidR="00406F3B" w:rsidRDefault="005D0400" w:rsidP="00406F3B">
            <w:pPr>
              <w:jc w:val="center"/>
              <w:rPr>
                <w:bCs/>
                <w:szCs w:val="20"/>
              </w:rPr>
            </w:pPr>
            <w:r>
              <w:rPr>
                <w:bCs/>
                <w:szCs w:val="20"/>
              </w:rPr>
              <w:t>Bi-</w:t>
            </w:r>
            <w:r w:rsidR="00406F3B">
              <w:rPr>
                <w:bCs/>
                <w:szCs w:val="20"/>
              </w:rPr>
              <w:t>Annual</w:t>
            </w:r>
          </w:p>
        </w:tc>
        <w:tc>
          <w:tcPr>
            <w:tcW w:w="0" w:type="auto"/>
            <w:shd w:val="clear" w:color="auto" w:fill="auto"/>
          </w:tcPr>
          <w:p w14:paraId="013CD0A5" w14:textId="77777777" w:rsidR="00406F3B" w:rsidRDefault="00406F3B" w:rsidP="00406F3B">
            <w:pPr>
              <w:jc w:val="center"/>
              <w:rPr>
                <w:bCs/>
                <w:szCs w:val="20"/>
              </w:rPr>
            </w:pPr>
            <w:r>
              <w:rPr>
                <w:bCs/>
                <w:szCs w:val="20"/>
              </w:rPr>
              <w:t>Group 2</w:t>
            </w:r>
          </w:p>
        </w:tc>
        <w:tc>
          <w:tcPr>
            <w:tcW w:w="0" w:type="auto"/>
            <w:shd w:val="clear" w:color="auto" w:fill="auto"/>
          </w:tcPr>
          <w:p w14:paraId="151CFD6C" w14:textId="77777777" w:rsidR="00406F3B" w:rsidRDefault="00406F3B" w:rsidP="00406F3B">
            <w:pPr>
              <w:pStyle w:val="NoSpacing"/>
            </w:pPr>
            <w:r>
              <w:t>1</w:t>
            </w:r>
            <w:r w:rsidRPr="00013ACB">
              <w:rPr>
                <w:vertAlign w:val="superscript"/>
              </w:rPr>
              <w:t>st</w:t>
            </w:r>
            <w:r>
              <w:t xml:space="preserve"> Round: </w:t>
            </w:r>
          </w:p>
          <w:p w14:paraId="1432C38C" w14:textId="77777777" w:rsidR="00406F3B" w:rsidRDefault="00406F3B" w:rsidP="00406F3B">
            <w:pPr>
              <w:pStyle w:val="NoSpacing"/>
            </w:pPr>
            <w:r>
              <w:t xml:space="preserve">January </w:t>
            </w:r>
          </w:p>
          <w:p w14:paraId="7A849062" w14:textId="77777777" w:rsidR="00406F3B" w:rsidRDefault="00406F3B" w:rsidP="00406F3B">
            <w:pPr>
              <w:pStyle w:val="NoSpacing"/>
            </w:pPr>
            <w:r>
              <w:t>2019</w:t>
            </w:r>
          </w:p>
          <w:p w14:paraId="4AA402D7" w14:textId="77777777" w:rsidR="00406F3B" w:rsidRDefault="00406F3B" w:rsidP="00406F3B">
            <w:pPr>
              <w:pStyle w:val="NoSpacing"/>
            </w:pPr>
          </w:p>
          <w:p w14:paraId="110DBE50" w14:textId="77777777" w:rsidR="00406F3B" w:rsidRDefault="00406F3B" w:rsidP="00406F3B">
            <w:pPr>
              <w:pStyle w:val="NoSpacing"/>
            </w:pPr>
            <w:r>
              <w:t>2</w:t>
            </w:r>
            <w:r w:rsidRPr="00013ACB">
              <w:rPr>
                <w:vertAlign w:val="superscript"/>
              </w:rPr>
              <w:t>nd</w:t>
            </w:r>
            <w:r>
              <w:t xml:space="preserve"> Round: </w:t>
            </w:r>
          </w:p>
          <w:p w14:paraId="574AAC1F" w14:textId="77777777" w:rsidR="00406F3B" w:rsidRDefault="00406F3B" w:rsidP="00406F3B">
            <w:pPr>
              <w:pStyle w:val="NoSpacing"/>
            </w:pPr>
            <w:r>
              <w:t xml:space="preserve">January </w:t>
            </w:r>
          </w:p>
          <w:p w14:paraId="66BA0FC7" w14:textId="77777777" w:rsidR="00406F3B" w:rsidRDefault="00406F3B" w:rsidP="00406F3B">
            <w:pPr>
              <w:pStyle w:val="NoSpacing"/>
            </w:pPr>
            <w:r>
              <w:t>2021</w:t>
            </w:r>
          </w:p>
          <w:p w14:paraId="0AFC426D" w14:textId="77777777" w:rsidR="00406F3B" w:rsidRDefault="00406F3B" w:rsidP="00406F3B">
            <w:pPr>
              <w:pStyle w:val="NoSpacing"/>
            </w:pPr>
          </w:p>
          <w:p w14:paraId="0A8D101D" w14:textId="77777777" w:rsidR="00406F3B" w:rsidRDefault="00406F3B" w:rsidP="00406F3B">
            <w:pPr>
              <w:pStyle w:val="NoSpacing"/>
            </w:pPr>
            <w:r>
              <w:t>3</w:t>
            </w:r>
            <w:r w:rsidRPr="00013ACB">
              <w:rPr>
                <w:vertAlign w:val="superscript"/>
              </w:rPr>
              <w:t>rd</w:t>
            </w:r>
            <w:r>
              <w:t xml:space="preserve"> Round: </w:t>
            </w:r>
          </w:p>
          <w:p w14:paraId="60AFEB12" w14:textId="77777777" w:rsidR="00406F3B" w:rsidRDefault="00406F3B" w:rsidP="00406F3B">
            <w:pPr>
              <w:pStyle w:val="NoSpacing"/>
            </w:pPr>
            <w:r>
              <w:t xml:space="preserve">January </w:t>
            </w:r>
          </w:p>
          <w:p w14:paraId="57D9F6C4" w14:textId="77777777" w:rsidR="00406F3B" w:rsidRDefault="00406F3B" w:rsidP="00406F3B">
            <w:pPr>
              <w:pStyle w:val="NoSpacing"/>
            </w:pPr>
            <w:r>
              <w:t>2023</w:t>
            </w:r>
          </w:p>
          <w:p w14:paraId="5FDCA640" w14:textId="77777777" w:rsidR="00406F3B" w:rsidRDefault="00406F3B" w:rsidP="00406F3B">
            <w:pPr>
              <w:pStyle w:val="NoSpacing"/>
            </w:pPr>
          </w:p>
          <w:p w14:paraId="2EE2D86B" w14:textId="77777777" w:rsidR="00406F3B" w:rsidRDefault="00406F3B" w:rsidP="00406F3B">
            <w:pPr>
              <w:pStyle w:val="NoSpacing"/>
            </w:pPr>
            <w:r>
              <w:t>4</w:t>
            </w:r>
            <w:r w:rsidRPr="00013ACB">
              <w:rPr>
                <w:vertAlign w:val="superscript"/>
              </w:rPr>
              <w:t>th</w:t>
            </w:r>
            <w:r>
              <w:t xml:space="preserve"> Round: </w:t>
            </w:r>
          </w:p>
          <w:p w14:paraId="4F953B51" w14:textId="77777777" w:rsidR="00406F3B" w:rsidRDefault="00406F3B" w:rsidP="00406F3B">
            <w:pPr>
              <w:pStyle w:val="NoSpacing"/>
            </w:pPr>
            <w:r>
              <w:t xml:space="preserve">January </w:t>
            </w:r>
          </w:p>
          <w:p w14:paraId="2B115FFA" w14:textId="77777777" w:rsidR="00406F3B" w:rsidRDefault="00406F3B" w:rsidP="00406F3B">
            <w:pPr>
              <w:pStyle w:val="NoSpacing"/>
            </w:pPr>
            <w:r>
              <w:t>2025</w:t>
            </w:r>
          </w:p>
          <w:p w14:paraId="549BD395" w14:textId="77777777" w:rsidR="00406F3B" w:rsidRDefault="00406F3B" w:rsidP="00406F3B">
            <w:pPr>
              <w:pStyle w:val="NoSpacing"/>
            </w:pPr>
          </w:p>
          <w:p w14:paraId="7910EC31" w14:textId="77777777" w:rsidR="00406F3B" w:rsidRDefault="00406F3B" w:rsidP="00406F3B">
            <w:pPr>
              <w:pStyle w:val="NoSpacing"/>
            </w:pPr>
            <w:r>
              <w:t>5</w:t>
            </w:r>
            <w:r w:rsidRPr="00013ACB">
              <w:rPr>
                <w:vertAlign w:val="superscript"/>
              </w:rPr>
              <w:t>th</w:t>
            </w:r>
            <w:r>
              <w:t xml:space="preserve"> Round: </w:t>
            </w:r>
          </w:p>
          <w:p w14:paraId="194217AD" w14:textId="77777777" w:rsidR="00406F3B" w:rsidRDefault="00406F3B" w:rsidP="00406F3B">
            <w:pPr>
              <w:pStyle w:val="NoSpacing"/>
            </w:pPr>
            <w:r>
              <w:t xml:space="preserve">January </w:t>
            </w:r>
          </w:p>
          <w:p w14:paraId="179315B3" w14:textId="77777777" w:rsidR="00406F3B" w:rsidRDefault="00406F3B" w:rsidP="00406F3B">
            <w:pPr>
              <w:pStyle w:val="NoSpacing"/>
            </w:pPr>
            <w:r>
              <w:t>2027</w:t>
            </w:r>
          </w:p>
          <w:p w14:paraId="1E86C18F" w14:textId="0403F6CF" w:rsidR="00406F3B" w:rsidRPr="003265B9" w:rsidRDefault="00406F3B" w:rsidP="00406F3B">
            <w:pPr>
              <w:pStyle w:val="NoSpacing"/>
            </w:pPr>
          </w:p>
        </w:tc>
        <w:tc>
          <w:tcPr>
            <w:tcW w:w="0" w:type="auto"/>
            <w:shd w:val="clear" w:color="auto" w:fill="auto"/>
          </w:tcPr>
          <w:p w14:paraId="32BC4399" w14:textId="77777777" w:rsidR="00406F3B" w:rsidRDefault="00406F3B" w:rsidP="00406F3B">
            <w:pPr>
              <w:jc w:val="center"/>
              <w:rPr>
                <w:bCs/>
                <w:szCs w:val="20"/>
              </w:rPr>
            </w:pPr>
          </w:p>
        </w:tc>
      </w:tr>
      <w:tr w:rsidR="0098022F" w14:paraId="39E9EA02" w14:textId="77777777" w:rsidTr="0085651F">
        <w:tc>
          <w:tcPr>
            <w:tcW w:w="0" w:type="auto"/>
            <w:gridSpan w:val="2"/>
            <w:shd w:val="clear" w:color="auto" w:fill="auto"/>
          </w:tcPr>
          <w:p w14:paraId="14BED010" w14:textId="77777777" w:rsidR="00406F3B" w:rsidRPr="007449F8" w:rsidRDefault="00406F3B" w:rsidP="00406F3B">
            <w:pPr>
              <w:rPr>
                <w:szCs w:val="20"/>
              </w:rPr>
            </w:pPr>
            <w:r w:rsidRPr="003654A8">
              <w:rPr>
                <w:szCs w:val="20"/>
              </w:rPr>
              <w:lastRenderedPageBreak/>
              <w:t>2.5.2 Proportion of local breeds classified as being at risk of extinction</w:t>
            </w:r>
          </w:p>
        </w:tc>
        <w:tc>
          <w:tcPr>
            <w:tcW w:w="0" w:type="auto"/>
            <w:shd w:val="clear" w:color="auto" w:fill="auto"/>
          </w:tcPr>
          <w:p w14:paraId="7740B7F9" w14:textId="77777777" w:rsidR="00406F3B" w:rsidRDefault="00406F3B" w:rsidP="00406F3B">
            <w:pPr>
              <w:jc w:val="center"/>
              <w:rPr>
                <w:szCs w:val="20"/>
              </w:rPr>
            </w:pPr>
            <w:r w:rsidRPr="007449F8">
              <w:rPr>
                <w:szCs w:val="20"/>
              </w:rPr>
              <w:t>FAO</w:t>
            </w:r>
          </w:p>
          <w:p w14:paraId="08DEB436" w14:textId="77777777" w:rsidR="00406F3B" w:rsidRDefault="00406F3B" w:rsidP="00406F3B">
            <w:pPr>
              <w:jc w:val="center"/>
              <w:rPr>
                <w:szCs w:val="20"/>
              </w:rPr>
            </w:pPr>
          </w:p>
          <w:p w14:paraId="62B42CB2" w14:textId="77777777" w:rsidR="00406F3B" w:rsidRDefault="00406F3B" w:rsidP="00406F3B">
            <w:pPr>
              <w:jc w:val="center"/>
              <w:rPr>
                <w:szCs w:val="20"/>
              </w:rPr>
            </w:pPr>
            <w:r>
              <w:rPr>
                <w:szCs w:val="20"/>
              </w:rPr>
              <w:t>Partner Agency:</w:t>
            </w:r>
          </w:p>
          <w:p w14:paraId="35238188" w14:textId="77777777" w:rsidR="00406F3B" w:rsidRPr="007449F8" w:rsidRDefault="00406F3B" w:rsidP="00406F3B">
            <w:pPr>
              <w:jc w:val="center"/>
              <w:rPr>
                <w:szCs w:val="20"/>
              </w:rPr>
            </w:pPr>
            <w:r>
              <w:rPr>
                <w:szCs w:val="20"/>
              </w:rPr>
              <w:t>UNEP</w:t>
            </w:r>
          </w:p>
        </w:tc>
        <w:tc>
          <w:tcPr>
            <w:tcW w:w="0" w:type="auto"/>
            <w:shd w:val="clear" w:color="auto" w:fill="auto"/>
          </w:tcPr>
          <w:p w14:paraId="2E2D0238" w14:textId="77777777" w:rsidR="00406F3B" w:rsidRPr="00262FC1" w:rsidRDefault="00406F3B" w:rsidP="00406F3B">
            <w:pPr>
              <w:jc w:val="center"/>
              <w:rPr>
                <w:szCs w:val="20"/>
              </w:rPr>
            </w:pPr>
            <w:r w:rsidRPr="003654A8">
              <w:rPr>
                <w:szCs w:val="20"/>
              </w:rPr>
              <w:t>Tier II</w:t>
            </w:r>
          </w:p>
        </w:tc>
        <w:tc>
          <w:tcPr>
            <w:tcW w:w="0" w:type="auto"/>
            <w:shd w:val="clear" w:color="auto" w:fill="auto"/>
          </w:tcPr>
          <w:p w14:paraId="0FBAE095" w14:textId="77777777" w:rsidR="00406F3B" w:rsidRPr="00026A93" w:rsidRDefault="00406F3B" w:rsidP="00406F3B">
            <w:pPr>
              <w:jc w:val="both"/>
              <w:rPr>
                <w:b/>
                <w:bCs/>
                <w:szCs w:val="20"/>
              </w:rPr>
            </w:pPr>
            <w:r w:rsidRPr="00026A93">
              <w:rPr>
                <w:b/>
                <w:bCs/>
                <w:szCs w:val="20"/>
              </w:rPr>
              <w:t>Definition:</w:t>
            </w:r>
          </w:p>
          <w:p w14:paraId="0F467D7D" w14:textId="77777777" w:rsidR="00406F3B" w:rsidRPr="000C4849" w:rsidRDefault="00406F3B" w:rsidP="00406F3B">
            <w:pPr>
              <w:jc w:val="both"/>
              <w:rPr>
                <w:bCs/>
                <w:szCs w:val="20"/>
              </w:rPr>
            </w:pPr>
            <w:r w:rsidRPr="000C4849">
              <w:rPr>
                <w:bCs/>
                <w:szCs w:val="20"/>
              </w:rPr>
              <w:t>The indicator presents the percentage of livestock breeds classified as being at risk, not at risk or of unknown risk of extinctions at a certain moment in time, as well as the trends for those percentages.</w:t>
            </w:r>
          </w:p>
          <w:p w14:paraId="1E48D138" w14:textId="77777777" w:rsidR="00406F3B" w:rsidRDefault="00406F3B" w:rsidP="00406F3B">
            <w:pPr>
              <w:jc w:val="both"/>
              <w:rPr>
                <w:b/>
                <w:bCs/>
                <w:szCs w:val="20"/>
              </w:rPr>
            </w:pPr>
          </w:p>
          <w:p w14:paraId="6A8F1CA5" w14:textId="77777777" w:rsidR="00406F3B" w:rsidRPr="007449F8" w:rsidRDefault="00406F3B" w:rsidP="00406F3B">
            <w:pPr>
              <w:jc w:val="both"/>
              <w:rPr>
                <w:b/>
                <w:bCs/>
                <w:szCs w:val="20"/>
              </w:rPr>
            </w:pPr>
            <w:r w:rsidRPr="007449F8">
              <w:rPr>
                <w:b/>
                <w:bCs/>
                <w:szCs w:val="20"/>
              </w:rPr>
              <w:t>Concept:</w:t>
            </w:r>
          </w:p>
          <w:p w14:paraId="0F4AD4D7" w14:textId="77777777" w:rsidR="00406F3B" w:rsidRPr="00262FC1" w:rsidRDefault="00406F3B" w:rsidP="00406F3B">
            <w:pPr>
              <w:jc w:val="both"/>
              <w:rPr>
                <w:szCs w:val="20"/>
              </w:rPr>
            </w:pPr>
            <w:r w:rsidRPr="00262FC1">
              <w:rPr>
                <w:szCs w:val="20"/>
              </w:rPr>
              <w:t>This indicator was originally proposed for the Target 15.5, and it serves also as an indicator for the Aichi Target 13 “Genetic Diversity of Terrestrial Domesticated Animals” under the Convention on Biological Diversity (CBD). It is described on the webpage of the Biodiversity Indicators Partnership (BIP), a network of organizations, which have come together to provide the most up-to date biodiversity information possible for tracking progress towards the Aichi Targets.</w:t>
            </w:r>
          </w:p>
          <w:p w14:paraId="109E042F" w14:textId="3F95824A" w:rsidR="00406F3B" w:rsidRDefault="00406F3B" w:rsidP="00406F3B">
            <w:pPr>
              <w:jc w:val="both"/>
              <w:rPr>
                <w:szCs w:val="20"/>
              </w:rPr>
            </w:pPr>
          </w:p>
          <w:p w14:paraId="1913437D" w14:textId="65B41AAF" w:rsidR="00406F3B" w:rsidRDefault="00406F3B" w:rsidP="00406F3B">
            <w:pPr>
              <w:jc w:val="both"/>
              <w:rPr>
                <w:szCs w:val="20"/>
              </w:rPr>
            </w:pPr>
          </w:p>
          <w:p w14:paraId="1310BFAB" w14:textId="77777777" w:rsidR="00406F3B" w:rsidRPr="000C4849" w:rsidRDefault="00406F3B" w:rsidP="00406F3B">
            <w:pPr>
              <w:jc w:val="both"/>
              <w:rPr>
                <w:b/>
                <w:szCs w:val="20"/>
              </w:rPr>
            </w:pPr>
            <w:r w:rsidRPr="000C4849">
              <w:rPr>
                <w:b/>
                <w:szCs w:val="20"/>
              </w:rPr>
              <w:t xml:space="preserve">Computation Method: </w:t>
            </w:r>
          </w:p>
          <w:p w14:paraId="0495D1E0" w14:textId="77777777" w:rsidR="00406F3B" w:rsidRPr="00026A93" w:rsidRDefault="00406F3B" w:rsidP="00406F3B">
            <w:pPr>
              <w:jc w:val="both"/>
              <w:rPr>
                <w:szCs w:val="20"/>
              </w:rPr>
            </w:pPr>
            <w:r w:rsidRPr="00026A93">
              <w:rPr>
                <w:szCs w:val="20"/>
              </w:rPr>
              <w:t xml:space="preserve">The indicator is based on the data contained in FAO’s Global Databank for Animal Genetic Resources DAD-IS (http://dad.fao.org/). Risk classes are defined based on population sizes of breeds reported to DAD-IS. The risk class is considered to be “unknown” if (i) no population sizes are reported or (ii) the most recent population size reported refers to a year more than 10- years before the year of calculation (10 year cut off point). </w:t>
            </w:r>
          </w:p>
          <w:p w14:paraId="02A12E2F" w14:textId="77777777" w:rsidR="00406F3B" w:rsidRPr="00262FC1" w:rsidRDefault="00406F3B" w:rsidP="00406F3B">
            <w:pPr>
              <w:jc w:val="both"/>
              <w:rPr>
                <w:szCs w:val="20"/>
              </w:rPr>
            </w:pPr>
            <w:r w:rsidRPr="00026A93">
              <w:rPr>
                <w:szCs w:val="20"/>
              </w:rPr>
              <w:t xml:space="preserve"> Species are assigned to two groups. The first group comprises species that have high reproductive capacity, such as pigs, rabbits, guinea pigs and avian species, and the second comprises species that</w:t>
            </w:r>
            <w:r>
              <w:rPr>
                <w:szCs w:val="20"/>
              </w:rPr>
              <w:t xml:space="preserve"> </w:t>
            </w:r>
            <w:r w:rsidRPr="00026A93">
              <w:rPr>
                <w:szCs w:val="20"/>
              </w:rPr>
              <w:t>have low reproductive capacity, i.e. those belonging to the taxonomical families Bovidae,</w:t>
            </w:r>
            <w:r>
              <w:rPr>
                <w:szCs w:val="20"/>
              </w:rPr>
              <w:t xml:space="preserve"> </w:t>
            </w:r>
            <w:r w:rsidRPr="00026A93">
              <w:rPr>
                <w:szCs w:val="20"/>
              </w:rPr>
              <w:t>Equidae, Camelidae and Cervidae.</w:t>
            </w:r>
          </w:p>
        </w:tc>
        <w:tc>
          <w:tcPr>
            <w:tcW w:w="0" w:type="auto"/>
            <w:shd w:val="clear" w:color="auto" w:fill="auto"/>
          </w:tcPr>
          <w:p w14:paraId="7C757033" w14:textId="77777777" w:rsidR="00406F3B" w:rsidRPr="00262FC1" w:rsidRDefault="00406F3B" w:rsidP="00406F3B">
            <w:pPr>
              <w:rPr>
                <w:szCs w:val="20"/>
              </w:rPr>
            </w:pPr>
            <w:r w:rsidRPr="00262FC1">
              <w:rPr>
                <w:szCs w:val="20"/>
              </w:rPr>
              <w:t>Global Databank for Animal Genetic Resources</w:t>
            </w:r>
          </w:p>
        </w:tc>
        <w:tc>
          <w:tcPr>
            <w:tcW w:w="0" w:type="auto"/>
            <w:shd w:val="clear" w:color="auto" w:fill="auto"/>
          </w:tcPr>
          <w:p w14:paraId="405E5E66" w14:textId="77777777" w:rsidR="00406F3B" w:rsidRPr="00262FC1" w:rsidRDefault="00406F3B" w:rsidP="00406F3B">
            <w:pPr>
              <w:rPr>
                <w:szCs w:val="20"/>
              </w:rPr>
            </w:pPr>
            <w:r w:rsidRPr="00262FC1">
              <w:rPr>
                <w:szCs w:val="20"/>
              </w:rPr>
              <w:t>National Coordinators for the Management of Animal Genetic Resources (NCs)</w:t>
            </w:r>
          </w:p>
        </w:tc>
        <w:tc>
          <w:tcPr>
            <w:tcW w:w="0" w:type="auto"/>
            <w:shd w:val="clear" w:color="auto" w:fill="auto"/>
          </w:tcPr>
          <w:p w14:paraId="77E8D6C2" w14:textId="01FF2888" w:rsidR="00406F3B" w:rsidRDefault="00406F3B" w:rsidP="00406F3B">
            <w:pPr>
              <w:rPr>
                <w:szCs w:val="20"/>
              </w:rPr>
            </w:pPr>
          </w:p>
          <w:p w14:paraId="3A83CBE2" w14:textId="77777777" w:rsidR="00406F3B" w:rsidRPr="00262FC1" w:rsidRDefault="00406F3B" w:rsidP="00406F3B">
            <w:pPr>
              <w:rPr>
                <w:szCs w:val="20"/>
              </w:rPr>
            </w:pPr>
            <w:r>
              <w:rPr>
                <w:rFonts w:cs="Times New Roman"/>
                <w:color w:val="000000" w:themeColor="text1"/>
                <w:sz w:val="16"/>
              </w:rPr>
              <w:t>BLRI</w:t>
            </w:r>
          </w:p>
        </w:tc>
        <w:tc>
          <w:tcPr>
            <w:tcW w:w="0" w:type="auto"/>
            <w:shd w:val="clear" w:color="auto" w:fill="auto"/>
          </w:tcPr>
          <w:p w14:paraId="1E9E425D" w14:textId="3B585B8E" w:rsidR="00406F3B" w:rsidRDefault="00406F3B" w:rsidP="00406F3B">
            <w:pPr>
              <w:rPr>
                <w:szCs w:val="20"/>
              </w:rPr>
            </w:pPr>
          </w:p>
          <w:p w14:paraId="38649C10" w14:textId="77777777" w:rsidR="00406F3B" w:rsidRPr="0007340D" w:rsidRDefault="00406F3B" w:rsidP="00406F3B">
            <w:pPr>
              <w:rPr>
                <w:rFonts w:eastAsia="Times New Roman" w:cs="Times New Roman"/>
                <w:color w:val="FF0000"/>
                <w:sz w:val="18"/>
                <w:szCs w:val="18"/>
              </w:rPr>
            </w:pPr>
            <w:r w:rsidRPr="0007340D">
              <w:rPr>
                <w:rFonts w:eastAsia="Times New Roman" w:cs="Times New Roman"/>
                <w:color w:val="FF0000"/>
                <w:sz w:val="18"/>
                <w:szCs w:val="18"/>
              </w:rPr>
              <w:t>a) BLRI, MoFL</w:t>
            </w:r>
          </w:p>
          <w:p w14:paraId="06C3E716" w14:textId="77777777" w:rsidR="00406F3B" w:rsidRDefault="00406F3B" w:rsidP="00406F3B">
            <w:pPr>
              <w:rPr>
                <w:rFonts w:eastAsia="Times New Roman" w:cs="Times New Roman"/>
                <w:color w:val="FF0000"/>
                <w:sz w:val="18"/>
                <w:szCs w:val="18"/>
              </w:rPr>
            </w:pPr>
            <w:r w:rsidRPr="0007340D">
              <w:rPr>
                <w:rFonts w:eastAsia="Times New Roman" w:cs="Times New Roman"/>
                <w:color w:val="FF0000"/>
                <w:sz w:val="18"/>
                <w:szCs w:val="18"/>
              </w:rPr>
              <w:t>b) GDAGR, FAO</w:t>
            </w:r>
          </w:p>
          <w:p w14:paraId="2484DF3B" w14:textId="77777777" w:rsidR="00406F3B" w:rsidRPr="00262FC1" w:rsidRDefault="00406F3B" w:rsidP="00406F3B">
            <w:pPr>
              <w:rPr>
                <w:szCs w:val="20"/>
              </w:rPr>
            </w:pPr>
            <w:r>
              <w:rPr>
                <w:rFonts w:eastAsia="Times New Roman" w:cs="Times New Roman"/>
                <w:color w:val="000000" w:themeColor="text1"/>
                <w:szCs w:val="20"/>
              </w:rPr>
              <w:t>Administrative Data</w:t>
            </w:r>
          </w:p>
        </w:tc>
        <w:tc>
          <w:tcPr>
            <w:tcW w:w="0" w:type="auto"/>
            <w:shd w:val="clear" w:color="auto" w:fill="auto"/>
          </w:tcPr>
          <w:p w14:paraId="62EB2892" w14:textId="6E0851C4" w:rsidR="00406F3B" w:rsidRDefault="00406F3B" w:rsidP="00406F3B">
            <w:pPr>
              <w:jc w:val="center"/>
              <w:rPr>
                <w:szCs w:val="20"/>
              </w:rPr>
            </w:pPr>
          </w:p>
          <w:p w14:paraId="44E760C8" w14:textId="77777777" w:rsidR="004330E6" w:rsidRPr="00F91CBB" w:rsidRDefault="004330E6" w:rsidP="00A44C13">
            <w:pPr>
              <w:pStyle w:val="ListParagraph"/>
              <w:numPr>
                <w:ilvl w:val="0"/>
                <w:numId w:val="9"/>
              </w:numPr>
              <w:jc w:val="center"/>
              <w:rPr>
                <w:szCs w:val="20"/>
              </w:rPr>
            </w:pPr>
            <w:r w:rsidRPr="00A44C13">
              <w:rPr>
                <w:rFonts w:ascii="Tw Cen MT Condensed" w:hAnsi="Tw Cen MT Condensed"/>
                <w:szCs w:val="20"/>
              </w:rPr>
              <w:t>National</w:t>
            </w:r>
          </w:p>
          <w:p w14:paraId="1874A2AB" w14:textId="7B78A36E" w:rsidR="004330E6" w:rsidRPr="00262FC1" w:rsidRDefault="004330E6" w:rsidP="00A44C13">
            <w:pPr>
              <w:pStyle w:val="ListParagraph"/>
              <w:numPr>
                <w:ilvl w:val="0"/>
                <w:numId w:val="9"/>
              </w:numPr>
              <w:jc w:val="center"/>
              <w:rPr>
                <w:szCs w:val="20"/>
              </w:rPr>
            </w:pPr>
            <w:r w:rsidRPr="00A44C13">
              <w:rPr>
                <w:rFonts w:ascii="Tw Cen MT Condensed" w:hAnsi="Tw Cen MT Condensed"/>
                <w:szCs w:val="20"/>
              </w:rPr>
              <w:t>DIvision</w:t>
            </w:r>
          </w:p>
        </w:tc>
        <w:tc>
          <w:tcPr>
            <w:tcW w:w="0" w:type="auto"/>
            <w:shd w:val="clear" w:color="auto" w:fill="auto"/>
          </w:tcPr>
          <w:p w14:paraId="4D91317E" w14:textId="77777777" w:rsidR="00406F3B" w:rsidRDefault="00406F3B" w:rsidP="00406F3B">
            <w:pPr>
              <w:jc w:val="center"/>
              <w:rPr>
                <w:bCs/>
                <w:szCs w:val="20"/>
              </w:rPr>
            </w:pPr>
            <w:r>
              <w:rPr>
                <w:bCs/>
                <w:szCs w:val="20"/>
              </w:rPr>
              <w:t>Annual</w:t>
            </w:r>
          </w:p>
        </w:tc>
        <w:tc>
          <w:tcPr>
            <w:tcW w:w="0" w:type="auto"/>
            <w:shd w:val="clear" w:color="auto" w:fill="auto"/>
          </w:tcPr>
          <w:p w14:paraId="56249187" w14:textId="77777777" w:rsidR="00406F3B" w:rsidRDefault="00406F3B" w:rsidP="00406F3B">
            <w:pPr>
              <w:jc w:val="center"/>
              <w:rPr>
                <w:bCs/>
                <w:szCs w:val="20"/>
              </w:rPr>
            </w:pPr>
            <w:r>
              <w:rPr>
                <w:bCs/>
                <w:szCs w:val="20"/>
              </w:rPr>
              <w:t>Group 2</w:t>
            </w:r>
          </w:p>
          <w:p w14:paraId="53EFD151" w14:textId="77777777" w:rsidR="00406F3B" w:rsidRDefault="00406F3B" w:rsidP="00406F3B">
            <w:pPr>
              <w:jc w:val="center"/>
              <w:rPr>
                <w:bCs/>
                <w:szCs w:val="20"/>
              </w:rPr>
            </w:pPr>
          </w:p>
          <w:p w14:paraId="323DF222" w14:textId="77777777" w:rsidR="00406F3B" w:rsidRDefault="00406F3B" w:rsidP="00406F3B">
            <w:pPr>
              <w:jc w:val="center"/>
              <w:rPr>
                <w:bCs/>
                <w:szCs w:val="20"/>
              </w:rPr>
            </w:pPr>
          </w:p>
        </w:tc>
        <w:tc>
          <w:tcPr>
            <w:tcW w:w="0" w:type="auto"/>
            <w:shd w:val="clear" w:color="auto" w:fill="auto"/>
          </w:tcPr>
          <w:p w14:paraId="0D7ED6CD" w14:textId="77777777" w:rsidR="00406F3B" w:rsidRDefault="00406F3B" w:rsidP="00406F3B">
            <w:pPr>
              <w:pStyle w:val="NoSpacing"/>
            </w:pPr>
            <w:r>
              <w:t>1</w:t>
            </w:r>
            <w:r w:rsidRPr="00013ACB">
              <w:rPr>
                <w:vertAlign w:val="superscript"/>
              </w:rPr>
              <w:t>st</w:t>
            </w:r>
            <w:r>
              <w:t xml:space="preserve"> Round: </w:t>
            </w:r>
          </w:p>
          <w:p w14:paraId="56031EC8" w14:textId="77777777" w:rsidR="00406F3B" w:rsidRDefault="00406F3B" w:rsidP="00406F3B">
            <w:pPr>
              <w:pStyle w:val="NoSpacing"/>
            </w:pPr>
            <w:r>
              <w:t>2015</w:t>
            </w:r>
          </w:p>
          <w:p w14:paraId="50C0D438" w14:textId="77777777" w:rsidR="00406F3B" w:rsidRDefault="00406F3B" w:rsidP="00406F3B">
            <w:pPr>
              <w:pStyle w:val="NoSpacing"/>
            </w:pPr>
          </w:p>
          <w:p w14:paraId="109A41F6" w14:textId="77777777" w:rsidR="00406F3B" w:rsidRDefault="00406F3B" w:rsidP="00406F3B">
            <w:pPr>
              <w:pStyle w:val="NoSpacing"/>
            </w:pPr>
            <w:r>
              <w:t>2</w:t>
            </w:r>
            <w:r w:rsidRPr="00013ACB">
              <w:rPr>
                <w:vertAlign w:val="superscript"/>
              </w:rPr>
              <w:t>nd</w:t>
            </w:r>
            <w:r>
              <w:t xml:space="preserve"> Round: </w:t>
            </w:r>
          </w:p>
          <w:p w14:paraId="08E13723" w14:textId="77777777" w:rsidR="00406F3B" w:rsidRDefault="00406F3B" w:rsidP="00406F3B">
            <w:pPr>
              <w:pStyle w:val="NoSpacing"/>
            </w:pPr>
            <w:r>
              <w:t xml:space="preserve">December, </w:t>
            </w:r>
          </w:p>
          <w:p w14:paraId="430CF91B" w14:textId="77777777" w:rsidR="00406F3B" w:rsidRDefault="00406F3B" w:rsidP="00406F3B">
            <w:pPr>
              <w:pStyle w:val="NoSpacing"/>
            </w:pPr>
            <w:r>
              <w:t>2020</w:t>
            </w:r>
          </w:p>
          <w:p w14:paraId="63BD4DE8" w14:textId="77777777" w:rsidR="00406F3B" w:rsidRDefault="00406F3B" w:rsidP="00406F3B">
            <w:pPr>
              <w:pStyle w:val="NoSpacing"/>
            </w:pPr>
          </w:p>
          <w:p w14:paraId="7062B9F6" w14:textId="77777777" w:rsidR="00406F3B" w:rsidRDefault="00406F3B" w:rsidP="00406F3B">
            <w:pPr>
              <w:pStyle w:val="NoSpacing"/>
            </w:pPr>
            <w:r>
              <w:t>3</w:t>
            </w:r>
            <w:r w:rsidRPr="00013ACB">
              <w:rPr>
                <w:vertAlign w:val="superscript"/>
              </w:rPr>
              <w:t>rd</w:t>
            </w:r>
            <w:r>
              <w:t xml:space="preserve"> Round: </w:t>
            </w:r>
          </w:p>
          <w:p w14:paraId="1684F5CD" w14:textId="77777777" w:rsidR="00406F3B" w:rsidRDefault="00406F3B" w:rsidP="00406F3B">
            <w:pPr>
              <w:pStyle w:val="NoSpacing"/>
            </w:pPr>
            <w:r>
              <w:t xml:space="preserve">December, </w:t>
            </w:r>
          </w:p>
          <w:p w14:paraId="05D66E73" w14:textId="77777777" w:rsidR="00406F3B" w:rsidRDefault="00406F3B" w:rsidP="00406F3B">
            <w:pPr>
              <w:pStyle w:val="NoSpacing"/>
            </w:pPr>
            <w:r>
              <w:t>2022</w:t>
            </w:r>
          </w:p>
          <w:p w14:paraId="0E57F55E" w14:textId="77777777" w:rsidR="00406F3B" w:rsidRDefault="00406F3B" w:rsidP="00406F3B">
            <w:pPr>
              <w:pStyle w:val="NoSpacing"/>
            </w:pPr>
          </w:p>
          <w:p w14:paraId="5F6CC47A" w14:textId="77777777" w:rsidR="00406F3B" w:rsidRDefault="00406F3B" w:rsidP="00406F3B">
            <w:pPr>
              <w:pStyle w:val="NoSpacing"/>
            </w:pPr>
            <w:r>
              <w:t>4</w:t>
            </w:r>
            <w:r w:rsidRPr="00013ACB">
              <w:rPr>
                <w:vertAlign w:val="superscript"/>
              </w:rPr>
              <w:t>th</w:t>
            </w:r>
            <w:r>
              <w:t xml:space="preserve"> Round: </w:t>
            </w:r>
          </w:p>
          <w:p w14:paraId="6ABA7866" w14:textId="77777777" w:rsidR="00406F3B" w:rsidRDefault="00406F3B" w:rsidP="00406F3B">
            <w:pPr>
              <w:pStyle w:val="NoSpacing"/>
            </w:pPr>
            <w:r>
              <w:t xml:space="preserve">December, </w:t>
            </w:r>
          </w:p>
          <w:p w14:paraId="0EA9D978" w14:textId="77777777" w:rsidR="00406F3B" w:rsidRDefault="00406F3B" w:rsidP="00406F3B">
            <w:pPr>
              <w:pStyle w:val="NoSpacing"/>
            </w:pPr>
            <w:r>
              <w:t>2024</w:t>
            </w:r>
          </w:p>
          <w:p w14:paraId="2508801A" w14:textId="77777777" w:rsidR="00406F3B" w:rsidRDefault="00406F3B" w:rsidP="00406F3B">
            <w:pPr>
              <w:pStyle w:val="NoSpacing"/>
            </w:pPr>
          </w:p>
          <w:p w14:paraId="52271F10" w14:textId="77777777" w:rsidR="00406F3B" w:rsidRDefault="00406F3B" w:rsidP="00406F3B">
            <w:pPr>
              <w:pStyle w:val="NoSpacing"/>
            </w:pPr>
            <w:r>
              <w:t>5</w:t>
            </w:r>
            <w:r w:rsidRPr="00013ACB">
              <w:rPr>
                <w:vertAlign w:val="superscript"/>
              </w:rPr>
              <w:t>th</w:t>
            </w:r>
            <w:r>
              <w:t xml:space="preserve"> Round: </w:t>
            </w:r>
          </w:p>
          <w:p w14:paraId="41DF9CCD" w14:textId="77777777" w:rsidR="00406F3B" w:rsidRDefault="00406F3B" w:rsidP="00406F3B">
            <w:pPr>
              <w:pStyle w:val="NoSpacing"/>
            </w:pPr>
            <w:r>
              <w:t xml:space="preserve">December, </w:t>
            </w:r>
          </w:p>
          <w:p w14:paraId="3A8F4535" w14:textId="77777777" w:rsidR="00406F3B" w:rsidRDefault="00406F3B" w:rsidP="00406F3B">
            <w:pPr>
              <w:pStyle w:val="NoSpacing"/>
            </w:pPr>
            <w:r>
              <w:t>2026</w:t>
            </w:r>
          </w:p>
          <w:p w14:paraId="255EC8D7" w14:textId="77777777" w:rsidR="00406F3B" w:rsidRDefault="00406F3B" w:rsidP="00406F3B">
            <w:pPr>
              <w:pStyle w:val="NoSpacing"/>
            </w:pPr>
          </w:p>
          <w:p w14:paraId="404B97A1" w14:textId="47BD3479" w:rsidR="00406F3B" w:rsidRPr="003265B9" w:rsidRDefault="00406F3B" w:rsidP="00406F3B">
            <w:pPr>
              <w:pStyle w:val="NoSpacing"/>
            </w:pPr>
          </w:p>
        </w:tc>
        <w:tc>
          <w:tcPr>
            <w:tcW w:w="0" w:type="auto"/>
            <w:shd w:val="clear" w:color="auto" w:fill="auto"/>
          </w:tcPr>
          <w:p w14:paraId="2F04C5D2" w14:textId="77777777" w:rsidR="00406F3B" w:rsidRDefault="00406F3B" w:rsidP="00406F3B">
            <w:pPr>
              <w:pStyle w:val="NoSpacing"/>
            </w:pPr>
            <w:r>
              <w:t>UNSC 51 revision included in the 2020 comprehensive review</w:t>
            </w:r>
          </w:p>
          <w:p w14:paraId="6525C3F5" w14:textId="77777777" w:rsidR="00406F3B" w:rsidRDefault="00406F3B" w:rsidP="00406F3B">
            <w:pPr>
              <w:pStyle w:val="NoSpacing"/>
            </w:pPr>
          </w:p>
          <w:p w14:paraId="74DB7075" w14:textId="77777777" w:rsidR="00406F3B" w:rsidRDefault="00406F3B" w:rsidP="00406F3B">
            <w:pPr>
              <w:pStyle w:val="NoSpacing"/>
            </w:pPr>
            <w:r>
              <w:t>Data availability reviewed in Oct. 2019 (classified as Tier II)</w:t>
            </w:r>
          </w:p>
          <w:p w14:paraId="21762C45" w14:textId="77777777" w:rsidR="00406F3B" w:rsidRDefault="00406F3B" w:rsidP="00406F3B">
            <w:pPr>
              <w:pStyle w:val="NoSpacing"/>
            </w:pPr>
          </w:p>
          <w:p w14:paraId="4D8D1EF8" w14:textId="77777777" w:rsidR="00406F3B" w:rsidRDefault="00406F3B" w:rsidP="00406F3B">
            <w:pPr>
              <w:pStyle w:val="NoSpacing"/>
            </w:pPr>
            <w:r>
              <w:t>Data availability reviewed in Nov. 2017 (classified as Tier I)</w:t>
            </w:r>
          </w:p>
        </w:tc>
      </w:tr>
      <w:tr w:rsidR="00DB32C0" w14:paraId="3DCAD579" w14:textId="77777777" w:rsidTr="0085651F">
        <w:tc>
          <w:tcPr>
            <w:tcW w:w="0" w:type="auto"/>
            <w:gridSpan w:val="14"/>
            <w:shd w:val="clear" w:color="auto" w:fill="auto"/>
          </w:tcPr>
          <w:p w14:paraId="22CA166B" w14:textId="3EC61593" w:rsidR="00DB32C0" w:rsidRPr="00D44E1C" w:rsidRDefault="00DB32C0" w:rsidP="00406F3B">
            <w:pPr>
              <w:ind w:left="970" w:hanging="970"/>
              <w:jc w:val="both"/>
              <w:rPr>
                <w:color w:val="996600"/>
                <w:sz w:val="30"/>
                <w:szCs w:val="30"/>
              </w:rPr>
            </w:pPr>
            <w:r w:rsidRPr="00D44E1C">
              <w:rPr>
                <w:color w:val="996600"/>
                <w:sz w:val="30"/>
                <w:szCs w:val="30"/>
              </w:rPr>
              <w:t xml:space="preserve">Target 2.a: Increase investment, including through enhanced international cooperation, in rural infrastructure, agricultural research and extension services, technology development and plant </w:t>
            </w:r>
            <w:r w:rsidRPr="00D44E1C">
              <w:rPr>
                <w:color w:val="996600"/>
                <w:sz w:val="30"/>
                <w:szCs w:val="30"/>
              </w:rPr>
              <w:lastRenderedPageBreak/>
              <w:t>and livestock gene banks in order to enhance agricultural productive capacity in developing countries, in particular least developed countries</w:t>
            </w:r>
          </w:p>
        </w:tc>
      </w:tr>
      <w:tr w:rsidR="0098022F" w14:paraId="7A4DEE10" w14:textId="77777777" w:rsidTr="0085651F">
        <w:tc>
          <w:tcPr>
            <w:tcW w:w="0" w:type="auto"/>
            <w:gridSpan w:val="2"/>
            <w:shd w:val="clear" w:color="auto" w:fill="auto"/>
          </w:tcPr>
          <w:p w14:paraId="296C4B31" w14:textId="77777777" w:rsidR="00406F3B" w:rsidRPr="007609DC" w:rsidRDefault="00406F3B" w:rsidP="00406F3B">
            <w:pPr>
              <w:rPr>
                <w:szCs w:val="20"/>
              </w:rPr>
            </w:pPr>
            <w:r w:rsidRPr="00262FC1">
              <w:rPr>
                <w:szCs w:val="20"/>
              </w:rPr>
              <w:lastRenderedPageBreak/>
              <w:t>2.a.1: The agriculture orientation index for government expenditures</w:t>
            </w:r>
          </w:p>
        </w:tc>
        <w:tc>
          <w:tcPr>
            <w:tcW w:w="0" w:type="auto"/>
            <w:shd w:val="clear" w:color="auto" w:fill="auto"/>
          </w:tcPr>
          <w:p w14:paraId="3A8D4E2C" w14:textId="77777777" w:rsidR="00406F3B" w:rsidRPr="00262FC1" w:rsidRDefault="00406F3B" w:rsidP="00406F3B">
            <w:pPr>
              <w:jc w:val="center"/>
              <w:rPr>
                <w:color w:val="4F4E4E"/>
                <w:szCs w:val="20"/>
                <w:shd w:val="clear" w:color="auto" w:fill="FFFFFF"/>
              </w:rPr>
            </w:pPr>
            <w:r w:rsidRPr="00262FC1">
              <w:rPr>
                <w:szCs w:val="20"/>
              </w:rPr>
              <w:t>FAO</w:t>
            </w:r>
          </w:p>
        </w:tc>
        <w:tc>
          <w:tcPr>
            <w:tcW w:w="0" w:type="auto"/>
            <w:shd w:val="clear" w:color="auto" w:fill="auto"/>
          </w:tcPr>
          <w:p w14:paraId="59FCD0BD" w14:textId="77777777" w:rsidR="00406F3B" w:rsidRDefault="00406F3B" w:rsidP="00406F3B">
            <w:pPr>
              <w:jc w:val="center"/>
              <w:rPr>
                <w:szCs w:val="20"/>
              </w:rPr>
            </w:pPr>
            <w:r w:rsidRPr="006C014F">
              <w:rPr>
                <w:szCs w:val="20"/>
              </w:rPr>
              <w:t>Tier I</w:t>
            </w:r>
          </w:p>
          <w:p w14:paraId="52E0CBEF" w14:textId="4092D049" w:rsidR="00406F3B" w:rsidRPr="00262FC1" w:rsidRDefault="00406F3B" w:rsidP="00406F3B">
            <w:pPr>
              <w:jc w:val="center"/>
              <w:rPr>
                <w:szCs w:val="20"/>
              </w:rPr>
            </w:pPr>
          </w:p>
        </w:tc>
        <w:tc>
          <w:tcPr>
            <w:tcW w:w="0" w:type="auto"/>
            <w:shd w:val="clear" w:color="auto" w:fill="auto"/>
          </w:tcPr>
          <w:p w14:paraId="14FC7189" w14:textId="77777777" w:rsidR="00406F3B" w:rsidRPr="00813029" w:rsidRDefault="00406F3B" w:rsidP="00406F3B">
            <w:pPr>
              <w:shd w:val="clear" w:color="auto" w:fill="FFFFFF"/>
              <w:rPr>
                <w:rFonts w:cs="Times New Roman"/>
                <w:color w:val="4A4A4A"/>
                <w:sz w:val="21"/>
                <w:szCs w:val="21"/>
              </w:rPr>
            </w:pPr>
            <w:r w:rsidRPr="00813029">
              <w:rPr>
                <w:rStyle w:val="Strong"/>
                <w:rFonts w:cs="Times New Roman"/>
                <w:color w:val="4A4A4A"/>
                <w:sz w:val="21"/>
                <w:szCs w:val="21"/>
              </w:rPr>
              <w:t>Concepts:</w:t>
            </w:r>
          </w:p>
          <w:p w14:paraId="339C42DA" w14:textId="77777777" w:rsidR="00406F3B" w:rsidRDefault="00406F3B" w:rsidP="00406F3B">
            <w:pPr>
              <w:rPr>
                <w:szCs w:val="20"/>
              </w:rPr>
            </w:pPr>
          </w:p>
          <w:p w14:paraId="0CBD73E0" w14:textId="77777777" w:rsidR="00406F3B" w:rsidRPr="00262FC1" w:rsidRDefault="00406F3B" w:rsidP="00406F3B">
            <w:pPr>
              <w:rPr>
                <w:szCs w:val="20"/>
              </w:rPr>
            </w:pPr>
            <w:r w:rsidRPr="00262FC1">
              <w:rPr>
                <w:szCs w:val="20"/>
              </w:rPr>
              <w:t xml:space="preserve">Agriculture refers to the agriculture, forestry, fishing and hunting sector, or Division A of ISIC Rev 4 (equal to Division A+B of ISIC Rev 3.2). </w:t>
            </w:r>
            <w:r w:rsidRPr="0061486E">
              <w:rPr>
                <w:szCs w:val="20"/>
              </w:rPr>
              <w:t xml:space="preserve">Government Expenditure are all expense and acquisition of non-financial assets associated with supporting a particular sector, as defined in the Government Finance Statistics Manual (GFSM) 2014 developed by the International Monetary Fund (IMF). </w:t>
            </w:r>
            <w:r w:rsidRPr="00262FC1">
              <w:rPr>
                <w:szCs w:val="20"/>
              </w:rPr>
              <w:t>Government Expenditures are based on the Classification of the Functions of Government (COFOG) developed by the OECD and published by the United Nations Statistics Division (UNSD).</w:t>
            </w:r>
          </w:p>
          <w:p w14:paraId="5B130136" w14:textId="77777777" w:rsidR="00406F3B" w:rsidRDefault="00406F3B" w:rsidP="00406F3B">
            <w:pPr>
              <w:jc w:val="both"/>
              <w:rPr>
                <w:szCs w:val="20"/>
              </w:rPr>
            </w:pPr>
            <w:r w:rsidRPr="000C4849">
              <w:rPr>
                <w:b/>
                <w:szCs w:val="20"/>
              </w:rPr>
              <w:t>Definition:</w:t>
            </w:r>
            <w:r w:rsidRPr="00262FC1">
              <w:rPr>
                <w:szCs w:val="20"/>
              </w:rPr>
              <w:t xml:space="preserve"> The Agriculture Orientation Index (AOI) for Government Expenditures is defined as the Agriculture Share of Government Expenditures, divided by the Agriculture Share of GDP, where Agriculture refers to the agriculture, forestry, fishing and hunting sector. The measure in a currency-free index, calculated as the ratio of these two shares. National governments are requested to compile Government Expenditures according to the international Classification of Functions of Government (COFOC), and Agriculture Share of GDP according to the System of National Accounts (SNA).</w:t>
            </w:r>
          </w:p>
          <w:p w14:paraId="03224E3C" w14:textId="77777777" w:rsidR="00406F3B" w:rsidRDefault="00406F3B" w:rsidP="00406F3B">
            <w:pPr>
              <w:jc w:val="both"/>
              <w:rPr>
                <w:b/>
                <w:szCs w:val="20"/>
              </w:rPr>
            </w:pPr>
            <w:r w:rsidRPr="000C4849">
              <w:rPr>
                <w:b/>
                <w:szCs w:val="20"/>
              </w:rPr>
              <w:t>Computation Method:</w:t>
            </w:r>
          </w:p>
          <w:p w14:paraId="56201090" w14:textId="77777777" w:rsidR="00406F3B" w:rsidRPr="000C4849" w:rsidRDefault="00406F3B" w:rsidP="00406F3B">
            <w:pPr>
              <w:jc w:val="both"/>
              <w:rPr>
                <w:b/>
                <w:sz w:val="16"/>
                <w:szCs w:val="16"/>
              </w:rPr>
            </w:pPr>
            <m:oMathPara>
              <m:oMath>
                <m:r>
                  <w:rPr>
                    <w:rFonts w:ascii="Cambria Math" w:hAnsi="Cambria Math"/>
                    <w:color w:val="4A4A4A"/>
                    <w:sz w:val="16"/>
                    <w:szCs w:val="16"/>
                  </w:rPr>
                  <m:t xml:space="preserve">AOI = </m:t>
                </m:r>
                <m:f>
                  <m:fPr>
                    <m:ctrlPr>
                      <w:rPr>
                        <w:rFonts w:ascii="Cambria Math" w:hAnsi="Cambria Math"/>
                        <w:i/>
                        <w:iCs/>
                        <w:color w:val="4A4A4A"/>
                        <w:sz w:val="16"/>
                        <w:szCs w:val="16"/>
                      </w:rPr>
                    </m:ctrlPr>
                  </m:fPr>
                  <m:num>
                    <m:r>
                      <w:rPr>
                        <w:rFonts w:ascii="Cambria Math" w:hAnsi="Cambria Math"/>
                        <w:color w:val="4A4A4A"/>
                        <w:sz w:val="16"/>
                        <w:szCs w:val="16"/>
                      </w:rPr>
                      <m:t>Agriculture Share of Government Expenditures</m:t>
                    </m:r>
                  </m:num>
                  <m:den>
                    <m:r>
                      <w:rPr>
                        <w:rFonts w:ascii="Cambria Math" w:hAnsi="Cambria Math"/>
                        <w:color w:val="4A4A4A"/>
                        <w:sz w:val="16"/>
                        <w:szCs w:val="16"/>
                      </w:rPr>
                      <m:t>Agric</m:t>
                    </m:r>
                    <m:r>
                      <w:rPr>
                        <w:rFonts w:ascii="Cambria Math" w:hAnsi="Cambria Math"/>
                        <w:color w:val="4A4A4A"/>
                        <w:sz w:val="16"/>
                        <w:szCs w:val="16"/>
                      </w:rPr>
                      <m:t>ulture value added Share of GDP</m:t>
                    </m:r>
                  </m:den>
                </m:f>
              </m:oMath>
            </m:oMathPara>
          </w:p>
          <w:p w14:paraId="27284A12" w14:textId="77777777" w:rsidR="00406F3B" w:rsidRDefault="00406F3B" w:rsidP="00406F3B">
            <w:pPr>
              <w:jc w:val="both"/>
              <w:rPr>
                <w:szCs w:val="20"/>
              </w:rPr>
            </w:pPr>
          </w:p>
          <w:p w14:paraId="4FAE5248" w14:textId="77777777" w:rsidR="00406F3B" w:rsidRDefault="00406F3B" w:rsidP="00406F3B">
            <w:pPr>
              <w:jc w:val="both"/>
              <w:rPr>
                <w:szCs w:val="20"/>
              </w:rPr>
            </w:pPr>
            <w:r w:rsidRPr="00813029">
              <w:rPr>
                <w:rFonts w:asciiTheme="minorHAnsi" w:hAnsiTheme="minorHAnsi"/>
                <w:color w:val="4A4A4A"/>
                <w:sz w:val="21"/>
                <w:szCs w:val="21"/>
              </w:rPr>
              <w:t>Where</w:t>
            </w:r>
            <w:r>
              <w:rPr>
                <w:rFonts w:asciiTheme="minorHAnsi" w:hAnsiTheme="minorHAnsi"/>
                <w:color w:val="4A4A4A"/>
                <w:sz w:val="21"/>
                <w:szCs w:val="21"/>
              </w:rPr>
              <w:t>:</w:t>
            </w:r>
          </w:p>
          <w:p w14:paraId="6D976168" w14:textId="77777777" w:rsidR="00406F3B" w:rsidRDefault="00406F3B" w:rsidP="00406F3B">
            <w:pPr>
              <w:jc w:val="both"/>
              <w:rPr>
                <w:szCs w:val="20"/>
              </w:rPr>
            </w:pPr>
            <m:oMathPara>
              <m:oMath>
                <m:r>
                  <w:rPr>
                    <w:rFonts w:ascii="Cambria Math" w:hAnsi="Cambria Math"/>
                    <w:color w:val="4A4A4A"/>
                    <w:sz w:val="16"/>
                    <w:szCs w:val="16"/>
                  </w:rPr>
                  <m:t>Agriculture Share of Government Expenditure=</m:t>
                </m:r>
              </m:oMath>
            </m:oMathPara>
          </w:p>
          <w:p w14:paraId="6380B709" w14:textId="77777777" w:rsidR="00406F3B" w:rsidRPr="000C4849" w:rsidRDefault="004B4A24" w:rsidP="00406F3B">
            <w:pPr>
              <w:jc w:val="both"/>
              <w:rPr>
                <w:sz w:val="16"/>
                <w:szCs w:val="16"/>
              </w:rPr>
            </w:pPr>
            <m:oMathPara>
              <m:oMath>
                <m:f>
                  <m:fPr>
                    <m:ctrlPr>
                      <w:rPr>
                        <w:rFonts w:ascii="Cambria Math" w:hAnsi="Cambria Math"/>
                        <w:i/>
                        <w:color w:val="4A4A4A"/>
                        <w:sz w:val="16"/>
                        <w:szCs w:val="16"/>
                      </w:rPr>
                    </m:ctrlPr>
                  </m:fPr>
                  <m:num>
                    <m:r>
                      <w:rPr>
                        <w:rFonts w:ascii="Cambria Math" w:hAnsi="Cambria Math"/>
                        <w:color w:val="4A4A4A"/>
                        <w:sz w:val="16"/>
                        <w:szCs w:val="16"/>
                      </w:rPr>
                      <m:t>Central Government Expenditure on Agriculture</m:t>
                    </m:r>
                  </m:num>
                  <m:den>
                    <m:r>
                      <w:rPr>
                        <w:rFonts w:ascii="Cambria Math" w:hAnsi="Cambria Math"/>
                        <w:color w:val="4A4A4A"/>
                        <w:sz w:val="16"/>
                        <w:szCs w:val="16"/>
                      </w:rPr>
                      <m:t>Total Central Government Expenditure</m:t>
                    </m:r>
                  </m:den>
                </m:f>
                <m:r>
                  <w:rPr>
                    <w:rFonts w:ascii="Cambria Math" w:hAnsi="Cambria Math"/>
                    <w:color w:val="4A4A4A"/>
                    <w:sz w:val="16"/>
                    <w:szCs w:val="16"/>
                  </w:rPr>
                  <m:t>*100</m:t>
                </m:r>
              </m:oMath>
            </m:oMathPara>
          </w:p>
          <w:p w14:paraId="5BFAAF9B" w14:textId="77777777" w:rsidR="00406F3B" w:rsidRDefault="00406F3B" w:rsidP="00406F3B">
            <w:pPr>
              <w:jc w:val="both"/>
              <w:rPr>
                <w:szCs w:val="20"/>
              </w:rPr>
            </w:pPr>
            <w:r w:rsidRPr="0061486E">
              <w:rPr>
                <w:szCs w:val="20"/>
              </w:rPr>
              <w:t>Agriculture refers to COFOG category 042 (agriculture, forestry, fishing and hunting); and</w:t>
            </w:r>
          </w:p>
          <w:p w14:paraId="3B2FB742" w14:textId="77777777" w:rsidR="00406F3B" w:rsidRPr="000C4849" w:rsidRDefault="00406F3B" w:rsidP="00406F3B">
            <w:pPr>
              <w:jc w:val="both"/>
              <w:rPr>
                <w:sz w:val="16"/>
                <w:szCs w:val="16"/>
              </w:rPr>
            </w:pPr>
            <m:oMathPara>
              <m:oMath>
                <m:r>
                  <w:rPr>
                    <w:rFonts w:ascii="Cambria Math" w:hAnsi="Cambria Math"/>
                    <w:color w:val="4A4A4A"/>
                    <w:sz w:val="16"/>
                    <w:szCs w:val="16"/>
                  </w:rPr>
                  <m:t>Agriculture value added Share of GDP=</m:t>
                </m:r>
              </m:oMath>
            </m:oMathPara>
          </w:p>
          <w:p w14:paraId="309632AC" w14:textId="77777777" w:rsidR="00406F3B" w:rsidRPr="000C4849" w:rsidRDefault="00406F3B" w:rsidP="00406F3B">
            <w:pPr>
              <w:jc w:val="both"/>
              <w:rPr>
                <w:sz w:val="16"/>
                <w:szCs w:val="16"/>
              </w:rPr>
            </w:pPr>
            <m:oMathPara>
              <m:oMath>
                <m:r>
                  <w:rPr>
                    <w:rFonts w:ascii="Cambria Math" w:hAnsi="Cambria Math"/>
                    <w:color w:val="4A4A4A"/>
                    <w:sz w:val="16"/>
                    <w:szCs w:val="16"/>
                  </w:rPr>
                  <m:t xml:space="preserve"> </m:t>
                </m:r>
                <m:f>
                  <m:fPr>
                    <m:ctrlPr>
                      <w:rPr>
                        <w:rFonts w:ascii="Cambria Math" w:hAnsi="Cambria Math"/>
                        <w:i/>
                        <w:color w:val="4A4A4A"/>
                        <w:sz w:val="16"/>
                        <w:szCs w:val="16"/>
                      </w:rPr>
                    </m:ctrlPr>
                  </m:fPr>
                  <m:num>
                    <m:r>
                      <m:rPr>
                        <m:sty m:val="p"/>
                      </m:rPr>
                      <w:rPr>
                        <w:rFonts w:ascii="Cambria Math" w:hAnsi="Cambria Math"/>
                        <w:color w:val="4A4A4A"/>
                        <w:sz w:val="16"/>
                        <w:szCs w:val="16"/>
                      </w:rPr>
                      <m:t>Agriculture value added</m:t>
                    </m:r>
                  </m:num>
                  <m:den>
                    <m:r>
                      <w:rPr>
                        <w:rFonts w:ascii="Cambria Math" w:hAnsi="Cambria Math"/>
                        <w:color w:val="4A4A4A"/>
                        <w:sz w:val="16"/>
                        <w:szCs w:val="16"/>
                      </w:rPr>
                      <m:t>GDP</m:t>
                    </m:r>
                  </m:den>
                </m:f>
                <m:r>
                  <w:rPr>
                    <w:rFonts w:ascii="Cambria Math" w:hAnsi="Cambria Math"/>
                    <w:color w:val="4A4A4A"/>
                    <w:sz w:val="16"/>
                    <w:szCs w:val="16"/>
                  </w:rPr>
                  <m:t>*100</m:t>
                </m:r>
              </m:oMath>
            </m:oMathPara>
          </w:p>
          <w:p w14:paraId="0D22C635" w14:textId="77777777" w:rsidR="00406F3B" w:rsidRDefault="00406F3B" w:rsidP="00406F3B">
            <w:pPr>
              <w:jc w:val="both"/>
              <w:rPr>
                <w:szCs w:val="20"/>
              </w:rPr>
            </w:pPr>
            <w:r w:rsidRPr="00AE5FAF">
              <w:rPr>
                <w:szCs w:val="20"/>
              </w:rPr>
              <w:t>Agriculture refers to the Division A of ISIC Rev 4 (agriculture, forestry, fishing and hunting), equal to Division A+B of ISIC Rev 3.2.</w:t>
            </w:r>
          </w:p>
          <w:p w14:paraId="0A1A8AF1" w14:textId="77777777" w:rsidR="00406F3B" w:rsidRDefault="00406F3B" w:rsidP="00406F3B">
            <w:pPr>
              <w:jc w:val="both"/>
              <w:rPr>
                <w:szCs w:val="20"/>
              </w:rPr>
            </w:pPr>
          </w:p>
          <w:p w14:paraId="3750EF0E" w14:textId="5FA6DB3B" w:rsidR="00406F3B" w:rsidRPr="00262FC1" w:rsidRDefault="00406F3B" w:rsidP="00406F3B">
            <w:pPr>
              <w:jc w:val="both"/>
              <w:rPr>
                <w:szCs w:val="20"/>
              </w:rPr>
            </w:pPr>
          </w:p>
        </w:tc>
        <w:tc>
          <w:tcPr>
            <w:tcW w:w="0" w:type="auto"/>
            <w:shd w:val="clear" w:color="auto" w:fill="auto"/>
          </w:tcPr>
          <w:p w14:paraId="36EFCC12" w14:textId="77777777" w:rsidR="00406F3B" w:rsidRPr="00262FC1" w:rsidRDefault="00406F3B" w:rsidP="00406F3B">
            <w:pPr>
              <w:jc w:val="center"/>
              <w:rPr>
                <w:szCs w:val="20"/>
              </w:rPr>
            </w:pPr>
            <w:r>
              <w:rPr>
                <w:szCs w:val="20"/>
              </w:rPr>
              <w:t>-</w:t>
            </w:r>
          </w:p>
        </w:tc>
        <w:tc>
          <w:tcPr>
            <w:tcW w:w="0" w:type="auto"/>
            <w:shd w:val="clear" w:color="auto" w:fill="auto"/>
          </w:tcPr>
          <w:p w14:paraId="28749C2B" w14:textId="77777777" w:rsidR="00406F3B" w:rsidRPr="00262FC1" w:rsidRDefault="00406F3B" w:rsidP="00406F3B">
            <w:pPr>
              <w:rPr>
                <w:szCs w:val="20"/>
              </w:rPr>
            </w:pPr>
            <w:r w:rsidRPr="00262FC1">
              <w:rPr>
                <w:szCs w:val="20"/>
              </w:rPr>
              <w:t>Department of Finance (or other central planning agency), National Statistics Office, and/or Ministry of Agriculture</w:t>
            </w:r>
          </w:p>
        </w:tc>
        <w:tc>
          <w:tcPr>
            <w:tcW w:w="0" w:type="auto"/>
            <w:shd w:val="clear" w:color="auto" w:fill="auto"/>
          </w:tcPr>
          <w:p w14:paraId="7E5C3C71" w14:textId="460BD392" w:rsidR="00406F3B" w:rsidRPr="00262FC1" w:rsidRDefault="00406F3B" w:rsidP="00406F3B">
            <w:pPr>
              <w:rPr>
                <w:szCs w:val="20"/>
              </w:rPr>
            </w:pPr>
            <w:r w:rsidRPr="00262FC1">
              <w:rPr>
                <w:szCs w:val="20"/>
              </w:rPr>
              <w:t>FAO</w:t>
            </w:r>
          </w:p>
        </w:tc>
        <w:tc>
          <w:tcPr>
            <w:tcW w:w="0" w:type="auto"/>
            <w:shd w:val="clear" w:color="auto" w:fill="auto"/>
          </w:tcPr>
          <w:p w14:paraId="3387ABBE" w14:textId="4EC064E0" w:rsidR="00406F3B" w:rsidRPr="00262FC1" w:rsidRDefault="00406F3B" w:rsidP="00406F3B">
            <w:pPr>
              <w:rPr>
                <w:szCs w:val="20"/>
              </w:rPr>
            </w:pPr>
            <w:r w:rsidRPr="00262FC1">
              <w:rPr>
                <w:szCs w:val="20"/>
              </w:rPr>
              <w:t>BBS (NAW), SID</w:t>
            </w:r>
          </w:p>
          <w:p w14:paraId="76D4790D" w14:textId="45EAC13D" w:rsidR="00406F3B" w:rsidRPr="00262FC1" w:rsidRDefault="00406F3B" w:rsidP="00406F3B">
            <w:pPr>
              <w:rPr>
                <w:szCs w:val="20"/>
              </w:rPr>
            </w:pPr>
            <w:r w:rsidRPr="00262FC1">
              <w:rPr>
                <w:szCs w:val="20"/>
              </w:rPr>
              <w:t>FAO</w:t>
            </w:r>
          </w:p>
        </w:tc>
        <w:tc>
          <w:tcPr>
            <w:tcW w:w="0" w:type="auto"/>
            <w:shd w:val="clear" w:color="auto" w:fill="auto"/>
          </w:tcPr>
          <w:p w14:paraId="5034F08B" w14:textId="77777777" w:rsidR="00406F3B" w:rsidRPr="00262FC1" w:rsidRDefault="00406F3B" w:rsidP="00406F3B">
            <w:pPr>
              <w:rPr>
                <w:szCs w:val="20"/>
              </w:rPr>
            </w:pPr>
            <w:r w:rsidRPr="00262FC1">
              <w:rPr>
                <w:szCs w:val="20"/>
              </w:rPr>
              <w:t>Since this indicator is based on national accounts data and total central government expenditures, it does not allow for disaggregation by demographic characteristics or geographic location.</w:t>
            </w:r>
          </w:p>
        </w:tc>
        <w:tc>
          <w:tcPr>
            <w:tcW w:w="0" w:type="auto"/>
            <w:shd w:val="clear" w:color="auto" w:fill="auto"/>
          </w:tcPr>
          <w:p w14:paraId="19FCD20D" w14:textId="77777777" w:rsidR="00406F3B" w:rsidRDefault="00406F3B" w:rsidP="00406F3B">
            <w:pPr>
              <w:jc w:val="center"/>
              <w:rPr>
                <w:bCs/>
                <w:szCs w:val="20"/>
              </w:rPr>
            </w:pPr>
            <w:r>
              <w:rPr>
                <w:bCs/>
                <w:szCs w:val="20"/>
              </w:rPr>
              <w:t>Annual</w:t>
            </w:r>
          </w:p>
        </w:tc>
        <w:tc>
          <w:tcPr>
            <w:tcW w:w="0" w:type="auto"/>
            <w:shd w:val="clear" w:color="auto" w:fill="auto"/>
          </w:tcPr>
          <w:p w14:paraId="1312F020" w14:textId="77777777" w:rsidR="00406F3B" w:rsidRDefault="00406F3B" w:rsidP="00406F3B">
            <w:pPr>
              <w:jc w:val="center"/>
              <w:rPr>
                <w:bCs/>
                <w:szCs w:val="20"/>
              </w:rPr>
            </w:pPr>
            <w:r>
              <w:rPr>
                <w:bCs/>
                <w:szCs w:val="20"/>
              </w:rPr>
              <w:t>Group 2</w:t>
            </w:r>
          </w:p>
        </w:tc>
        <w:tc>
          <w:tcPr>
            <w:tcW w:w="0" w:type="auto"/>
            <w:shd w:val="clear" w:color="auto" w:fill="auto"/>
          </w:tcPr>
          <w:p w14:paraId="5892C654" w14:textId="77777777" w:rsidR="00406F3B" w:rsidRDefault="00406F3B" w:rsidP="00406F3B">
            <w:pPr>
              <w:pStyle w:val="NoSpacing"/>
            </w:pPr>
            <w:r>
              <w:t>1</w:t>
            </w:r>
            <w:r w:rsidRPr="00013ACB">
              <w:rPr>
                <w:vertAlign w:val="superscript"/>
              </w:rPr>
              <w:t>st</w:t>
            </w:r>
            <w:r>
              <w:t xml:space="preserve"> Round: </w:t>
            </w:r>
          </w:p>
          <w:p w14:paraId="11CF6207" w14:textId="77777777" w:rsidR="00406F3B" w:rsidRDefault="00406F3B" w:rsidP="00406F3B">
            <w:pPr>
              <w:pStyle w:val="NoSpacing"/>
            </w:pPr>
            <w:r>
              <w:t>2013</w:t>
            </w:r>
          </w:p>
          <w:p w14:paraId="5BF07464" w14:textId="77777777" w:rsidR="00406F3B" w:rsidRDefault="00406F3B" w:rsidP="00406F3B">
            <w:pPr>
              <w:pStyle w:val="NoSpacing"/>
            </w:pPr>
            <w:r>
              <w:t>2</w:t>
            </w:r>
            <w:r w:rsidRPr="00013ACB">
              <w:rPr>
                <w:vertAlign w:val="superscript"/>
              </w:rPr>
              <w:t>nd</w:t>
            </w:r>
            <w:r>
              <w:t xml:space="preserve"> Round: </w:t>
            </w:r>
          </w:p>
          <w:p w14:paraId="32AE15F7" w14:textId="77777777" w:rsidR="00406F3B" w:rsidRDefault="00406F3B" w:rsidP="00406F3B">
            <w:pPr>
              <w:pStyle w:val="NoSpacing"/>
            </w:pPr>
            <w:r>
              <w:t>July 2019</w:t>
            </w:r>
          </w:p>
          <w:p w14:paraId="5B8D8550" w14:textId="77777777" w:rsidR="00406F3B" w:rsidRDefault="00406F3B" w:rsidP="00406F3B">
            <w:pPr>
              <w:pStyle w:val="NoSpacing"/>
            </w:pPr>
          </w:p>
          <w:p w14:paraId="5F402D12" w14:textId="77777777" w:rsidR="00406F3B" w:rsidRDefault="00406F3B" w:rsidP="00406F3B">
            <w:pPr>
              <w:pStyle w:val="NoSpacing"/>
            </w:pPr>
            <w:r>
              <w:t>3</w:t>
            </w:r>
            <w:r w:rsidRPr="00013ACB">
              <w:rPr>
                <w:vertAlign w:val="superscript"/>
              </w:rPr>
              <w:t>rd</w:t>
            </w:r>
            <w:r>
              <w:t xml:space="preserve"> Round: </w:t>
            </w:r>
          </w:p>
          <w:p w14:paraId="3C0DF1AB" w14:textId="77777777" w:rsidR="00406F3B" w:rsidRDefault="00406F3B" w:rsidP="00406F3B">
            <w:pPr>
              <w:pStyle w:val="NoSpacing"/>
            </w:pPr>
            <w:r>
              <w:t>July 2020</w:t>
            </w:r>
          </w:p>
          <w:p w14:paraId="7DFCF6B2" w14:textId="77777777" w:rsidR="00406F3B" w:rsidRDefault="00406F3B" w:rsidP="00406F3B">
            <w:pPr>
              <w:pStyle w:val="NoSpacing"/>
            </w:pPr>
          </w:p>
          <w:p w14:paraId="6C91191A" w14:textId="77777777" w:rsidR="00406F3B" w:rsidRDefault="00406F3B" w:rsidP="00406F3B">
            <w:pPr>
              <w:pStyle w:val="NoSpacing"/>
            </w:pPr>
            <w:r>
              <w:t>4</w:t>
            </w:r>
            <w:r w:rsidRPr="00013ACB">
              <w:rPr>
                <w:vertAlign w:val="superscript"/>
              </w:rPr>
              <w:t>th</w:t>
            </w:r>
            <w:r>
              <w:t xml:space="preserve"> Round: </w:t>
            </w:r>
          </w:p>
          <w:p w14:paraId="157CDFD4" w14:textId="77777777" w:rsidR="00406F3B" w:rsidRDefault="00406F3B" w:rsidP="00406F3B">
            <w:pPr>
              <w:pStyle w:val="NoSpacing"/>
            </w:pPr>
            <w:r>
              <w:t>July 2021</w:t>
            </w:r>
          </w:p>
          <w:p w14:paraId="72A37259" w14:textId="77777777" w:rsidR="00406F3B" w:rsidRDefault="00406F3B" w:rsidP="00406F3B">
            <w:pPr>
              <w:pStyle w:val="NoSpacing"/>
            </w:pPr>
          </w:p>
          <w:p w14:paraId="0366B23A" w14:textId="77777777" w:rsidR="00406F3B" w:rsidRDefault="00406F3B" w:rsidP="00406F3B">
            <w:pPr>
              <w:pStyle w:val="NoSpacing"/>
            </w:pPr>
            <w:r>
              <w:t>5</w:t>
            </w:r>
            <w:r w:rsidRPr="00013ACB">
              <w:rPr>
                <w:vertAlign w:val="superscript"/>
              </w:rPr>
              <w:t>th</w:t>
            </w:r>
            <w:r>
              <w:t xml:space="preserve"> Round: </w:t>
            </w:r>
          </w:p>
          <w:p w14:paraId="15D01225" w14:textId="77777777" w:rsidR="00406F3B" w:rsidRDefault="00406F3B" w:rsidP="00406F3B">
            <w:pPr>
              <w:pStyle w:val="NoSpacing"/>
            </w:pPr>
            <w:r>
              <w:t>July 2022</w:t>
            </w:r>
          </w:p>
          <w:p w14:paraId="6A54DC52" w14:textId="5A040F29" w:rsidR="00406F3B" w:rsidRDefault="00406F3B" w:rsidP="00406F3B">
            <w:pPr>
              <w:pStyle w:val="NoSpacing"/>
            </w:pPr>
          </w:p>
        </w:tc>
        <w:tc>
          <w:tcPr>
            <w:tcW w:w="0" w:type="auto"/>
            <w:shd w:val="clear" w:color="auto" w:fill="auto"/>
          </w:tcPr>
          <w:p w14:paraId="54952F8C" w14:textId="77777777" w:rsidR="00406F3B" w:rsidRDefault="00406F3B" w:rsidP="00406F3B">
            <w:pPr>
              <w:jc w:val="center"/>
              <w:rPr>
                <w:bCs/>
                <w:szCs w:val="20"/>
              </w:rPr>
            </w:pPr>
          </w:p>
        </w:tc>
      </w:tr>
      <w:tr w:rsidR="0098022F" w14:paraId="37A09139" w14:textId="77777777" w:rsidTr="0085651F">
        <w:tc>
          <w:tcPr>
            <w:tcW w:w="0" w:type="auto"/>
            <w:gridSpan w:val="2"/>
            <w:shd w:val="clear" w:color="auto" w:fill="auto"/>
          </w:tcPr>
          <w:p w14:paraId="1AB2E4B6" w14:textId="77777777" w:rsidR="00406F3B" w:rsidRPr="00262FC1" w:rsidRDefault="00406F3B" w:rsidP="00406F3B">
            <w:pPr>
              <w:rPr>
                <w:szCs w:val="20"/>
              </w:rPr>
            </w:pPr>
            <w:r w:rsidRPr="00795CB3">
              <w:rPr>
                <w:szCs w:val="20"/>
              </w:rPr>
              <w:lastRenderedPageBreak/>
              <w:t>2.a.2 Total official flows (official development assistance plus other official flows) to the agriculture sector</w:t>
            </w:r>
          </w:p>
        </w:tc>
        <w:tc>
          <w:tcPr>
            <w:tcW w:w="0" w:type="auto"/>
            <w:shd w:val="clear" w:color="auto" w:fill="auto"/>
          </w:tcPr>
          <w:p w14:paraId="5BFCC832" w14:textId="77777777" w:rsidR="00406F3B" w:rsidRDefault="00406F3B" w:rsidP="00406F3B">
            <w:pPr>
              <w:jc w:val="center"/>
              <w:rPr>
                <w:szCs w:val="20"/>
              </w:rPr>
            </w:pPr>
            <w:r w:rsidRPr="00795CB3">
              <w:rPr>
                <w:szCs w:val="20"/>
              </w:rPr>
              <w:t>OECD</w:t>
            </w:r>
          </w:p>
          <w:p w14:paraId="0B991B35" w14:textId="77777777" w:rsidR="00406F3B" w:rsidRDefault="00406F3B" w:rsidP="00406F3B">
            <w:pPr>
              <w:jc w:val="center"/>
              <w:rPr>
                <w:szCs w:val="20"/>
              </w:rPr>
            </w:pPr>
          </w:p>
          <w:p w14:paraId="0BB56918" w14:textId="77777777" w:rsidR="00406F3B" w:rsidRDefault="00406F3B" w:rsidP="00406F3B">
            <w:pPr>
              <w:jc w:val="center"/>
              <w:rPr>
                <w:szCs w:val="20"/>
              </w:rPr>
            </w:pPr>
            <w:r>
              <w:rPr>
                <w:szCs w:val="20"/>
              </w:rPr>
              <w:t>Partner Agency:</w:t>
            </w:r>
          </w:p>
          <w:p w14:paraId="498D70F8" w14:textId="77777777" w:rsidR="00406F3B" w:rsidRPr="00262FC1" w:rsidRDefault="00406F3B" w:rsidP="00406F3B">
            <w:pPr>
              <w:jc w:val="center"/>
              <w:rPr>
                <w:szCs w:val="20"/>
              </w:rPr>
            </w:pPr>
            <w:r>
              <w:rPr>
                <w:szCs w:val="20"/>
              </w:rPr>
              <w:t>FAO</w:t>
            </w:r>
          </w:p>
        </w:tc>
        <w:tc>
          <w:tcPr>
            <w:tcW w:w="0" w:type="auto"/>
            <w:shd w:val="clear" w:color="auto" w:fill="auto"/>
          </w:tcPr>
          <w:p w14:paraId="5233BD39" w14:textId="77777777" w:rsidR="00406F3B" w:rsidRPr="00262FC1" w:rsidRDefault="00406F3B" w:rsidP="00406F3B">
            <w:pPr>
              <w:jc w:val="center"/>
              <w:rPr>
                <w:szCs w:val="20"/>
              </w:rPr>
            </w:pPr>
            <w:r>
              <w:rPr>
                <w:szCs w:val="20"/>
              </w:rPr>
              <w:t>Tier I</w:t>
            </w:r>
          </w:p>
        </w:tc>
        <w:tc>
          <w:tcPr>
            <w:tcW w:w="0" w:type="auto"/>
            <w:shd w:val="clear" w:color="auto" w:fill="auto"/>
          </w:tcPr>
          <w:p w14:paraId="25EF1976" w14:textId="77777777" w:rsidR="00406F3B" w:rsidRPr="00795CB3" w:rsidRDefault="00406F3B" w:rsidP="00406F3B">
            <w:pPr>
              <w:jc w:val="both"/>
              <w:rPr>
                <w:b/>
                <w:bCs/>
                <w:szCs w:val="20"/>
              </w:rPr>
            </w:pPr>
            <w:r w:rsidRPr="00795CB3">
              <w:rPr>
                <w:b/>
                <w:bCs/>
                <w:szCs w:val="20"/>
              </w:rPr>
              <w:t>Concepts:</w:t>
            </w:r>
          </w:p>
          <w:p w14:paraId="60B090F7" w14:textId="77777777" w:rsidR="00406F3B" w:rsidRDefault="00406F3B" w:rsidP="00406F3B">
            <w:pPr>
              <w:jc w:val="both"/>
              <w:rPr>
                <w:szCs w:val="20"/>
              </w:rPr>
            </w:pPr>
            <w:r w:rsidRPr="00262FC1">
              <w:rPr>
                <w:szCs w:val="20"/>
              </w:rPr>
              <w:t xml:space="preserve">ODA: The DAC defines ODA as “those flows to countries and territories on the DAC List of ODA Recipients and to multilateral institutions which are </w:t>
            </w:r>
          </w:p>
          <w:p w14:paraId="70B65069" w14:textId="77777777" w:rsidR="00406F3B" w:rsidRPr="00795CB3" w:rsidRDefault="00406F3B" w:rsidP="00406F3B">
            <w:pPr>
              <w:pStyle w:val="ListParagraph"/>
              <w:numPr>
                <w:ilvl w:val="0"/>
                <w:numId w:val="10"/>
              </w:numPr>
              <w:ind w:left="173" w:hanging="180"/>
              <w:jc w:val="both"/>
              <w:rPr>
                <w:rFonts w:ascii="Tw Cen MT Condensed" w:hAnsi="Tw Cen MT Condensed"/>
                <w:sz w:val="20"/>
                <w:szCs w:val="20"/>
              </w:rPr>
            </w:pPr>
            <w:r w:rsidRPr="00795CB3">
              <w:rPr>
                <w:rFonts w:ascii="Tw Cen MT Condensed" w:hAnsi="Tw Cen MT Condensed"/>
                <w:sz w:val="20"/>
                <w:szCs w:val="20"/>
              </w:rPr>
              <w:t xml:space="preserve">provided by official agencies, including state and local governments, or by their executive agencies; and </w:t>
            </w:r>
          </w:p>
          <w:p w14:paraId="1D37AF94" w14:textId="77777777" w:rsidR="00406F3B" w:rsidRPr="00795CB3" w:rsidRDefault="00406F3B" w:rsidP="00406F3B">
            <w:pPr>
              <w:pStyle w:val="ListParagraph"/>
              <w:numPr>
                <w:ilvl w:val="0"/>
                <w:numId w:val="10"/>
              </w:numPr>
              <w:ind w:left="173" w:hanging="180"/>
              <w:jc w:val="both"/>
              <w:rPr>
                <w:rFonts w:ascii="Tw Cen MT Condensed" w:hAnsi="Tw Cen MT Condensed"/>
                <w:sz w:val="20"/>
                <w:szCs w:val="20"/>
              </w:rPr>
            </w:pPr>
            <w:proofErr w:type="gramStart"/>
            <w:r w:rsidRPr="00795CB3">
              <w:rPr>
                <w:rFonts w:ascii="Tw Cen MT Condensed" w:hAnsi="Tw Cen MT Condensed"/>
                <w:sz w:val="20"/>
                <w:szCs w:val="20"/>
              </w:rPr>
              <w:t>each</w:t>
            </w:r>
            <w:proofErr w:type="gramEnd"/>
            <w:r w:rsidRPr="00795CB3">
              <w:rPr>
                <w:rFonts w:ascii="Tw Cen MT Condensed" w:hAnsi="Tw Cen MT Condensed"/>
                <w:sz w:val="20"/>
                <w:szCs w:val="20"/>
              </w:rPr>
              <w:t xml:space="preserve"> transaction is administered with the promotion of the economic development and welfare of developing countries as its main objective; and is concessional in character and conveys a grant element of at least 25 per cent (calculated at a rate of discount of 10 per cent).</w:t>
            </w:r>
          </w:p>
          <w:p w14:paraId="7C5775BD" w14:textId="77777777" w:rsidR="00406F3B" w:rsidRPr="00795CB3" w:rsidRDefault="00406F3B" w:rsidP="00406F3B">
            <w:pPr>
              <w:jc w:val="both"/>
              <w:rPr>
                <w:b/>
                <w:bCs/>
                <w:szCs w:val="20"/>
              </w:rPr>
            </w:pPr>
            <w:r w:rsidRPr="00795CB3">
              <w:rPr>
                <w:b/>
                <w:bCs/>
                <w:szCs w:val="20"/>
              </w:rPr>
              <w:t>Definition:</w:t>
            </w:r>
          </w:p>
          <w:p w14:paraId="424CBD9C" w14:textId="77777777" w:rsidR="00406F3B" w:rsidRDefault="00406F3B" w:rsidP="00406F3B">
            <w:pPr>
              <w:jc w:val="both"/>
              <w:rPr>
                <w:szCs w:val="20"/>
              </w:rPr>
            </w:pPr>
            <w:r w:rsidRPr="00262FC1">
              <w:rPr>
                <w:szCs w:val="20"/>
              </w:rPr>
              <w:t>Gross disbursements of total ODA and other official flows from all donors to the agriculture sector.</w:t>
            </w:r>
          </w:p>
          <w:p w14:paraId="1512DD85" w14:textId="77777777" w:rsidR="00406F3B" w:rsidRDefault="00406F3B" w:rsidP="00406F3B">
            <w:pPr>
              <w:jc w:val="both"/>
              <w:rPr>
                <w:szCs w:val="20"/>
              </w:rPr>
            </w:pPr>
          </w:p>
          <w:p w14:paraId="0FC8F49C" w14:textId="77777777" w:rsidR="00406F3B" w:rsidRPr="00795CB3" w:rsidRDefault="00406F3B" w:rsidP="00406F3B">
            <w:pPr>
              <w:jc w:val="both"/>
              <w:rPr>
                <w:b/>
                <w:bCs/>
                <w:szCs w:val="20"/>
              </w:rPr>
            </w:pPr>
            <w:r w:rsidRPr="00795CB3">
              <w:rPr>
                <w:b/>
                <w:bCs/>
                <w:szCs w:val="20"/>
              </w:rPr>
              <w:t>Computation Formula:</w:t>
            </w:r>
          </w:p>
          <w:p w14:paraId="2B5CCE7A" w14:textId="77777777" w:rsidR="00406F3B" w:rsidRPr="00262FC1" w:rsidRDefault="00406F3B" w:rsidP="00406F3B">
            <w:pPr>
              <w:jc w:val="both"/>
              <w:rPr>
                <w:szCs w:val="20"/>
              </w:rPr>
            </w:pPr>
            <w:r w:rsidRPr="00262FC1">
              <w:rPr>
                <w:szCs w:val="20"/>
              </w:rPr>
              <w:t>The sum of ODA and OOF flows from all donors to developing countries in the agriculture sector.</w:t>
            </w:r>
          </w:p>
        </w:tc>
        <w:tc>
          <w:tcPr>
            <w:tcW w:w="0" w:type="auto"/>
            <w:shd w:val="clear" w:color="auto" w:fill="auto"/>
          </w:tcPr>
          <w:p w14:paraId="2269F4F1" w14:textId="77777777" w:rsidR="00406F3B" w:rsidRDefault="00406F3B" w:rsidP="00406F3B">
            <w:pPr>
              <w:pStyle w:val="ListParagraph"/>
              <w:numPr>
                <w:ilvl w:val="0"/>
                <w:numId w:val="13"/>
              </w:numPr>
              <w:ind w:left="170" w:hanging="170"/>
              <w:jc w:val="both"/>
              <w:rPr>
                <w:rFonts w:ascii="Tw Cen MT Condensed" w:hAnsi="Tw Cen MT Condensed"/>
                <w:sz w:val="20"/>
                <w:szCs w:val="20"/>
              </w:rPr>
            </w:pPr>
            <w:r>
              <w:rPr>
                <w:rFonts w:ascii="Tw Cen MT Condensed" w:hAnsi="Tw Cen MT Condensed"/>
                <w:sz w:val="20"/>
                <w:szCs w:val="20"/>
              </w:rPr>
              <w:t>Administrative Report</w:t>
            </w:r>
          </w:p>
          <w:p w14:paraId="55E67420" w14:textId="77777777" w:rsidR="00406F3B" w:rsidRPr="00D521BB" w:rsidRDefault="00406F3B" w:rsidP="00406F3B">
            <w:pPr>
              <w:pStyle w:val="ListParagraph"/>
              <w:numPr>
                <w:ilvl w:val="0"/>
                <w:numId w:val="13"/>
              </w:numPr>
              <w:ind w:left="150" w:hanging="150"/>
              <w:jc w:val="both"/>
              <w:rPr>
                <w:rFonts w:ascii="Tw Cen MT Condensed" w:hAnsi="Tw Cen MT Condensed"/>
                <w:sz w:val="20"/>
                <w:szCs w:val="20"/>
              </w:rPr>
            </w:pPr>
            <w:r>
              <w:rPr>
                <w:rFonts w:ascii="Tw Cen MT Condensed" w:hAnsi="Tw Cen MT Condensed"/>
                <w:sz w:val="20"/>
                <w:szCs w:val="20"/>
              </w:rPr>
              <w:t>OECD</w:t>
            </w:r>
          </w:p>
          <w:p w14:paraId="0501E0C5" w14:textId="77777777" w:rsidR="00406F3B" w:rsidRDefault="00406F3B" w:rsidP="00406F3B">
            <w:pPr>
              <w:jc w:val="center"/>
              <w:rPr>
                <w:szCs w:val="20"/>
              </w:rPr>
            </w:pPr>
          </w:p>
        </w:tc>
        <w:tc>
          <w:tcPr>
            <w:tcW w:w="0" w:type="auto"/>
            <w:shd w:val="clear" w:color="auto" w:fill="auto"/>
          </w:tcPr>
          <w:p w14:paraId="3418A3AF" w14:textId="77777777" w:rsidR="00406F3B" w:rsidRPr="00262FC1" w:rsidRDefault="00406F3B" w:rsidP="00406F3B">
            <w:pPr>
              <w:jc w:val="center"/>
              <w:rPr>
                <w:szCs w:val="20"/>
              </w:rPr>
            </w:pPr>
            <w:r>
              <w:rPr>
                <w:szCs w:val="20"/>
              </w:rPr>
              <w:t>N</w:t>
            </w:r>
            <w:r w:rsidRPr="00795CB3">
              <w:rPr>
                <w:szCs w:val="20"/>
              </w:rPr>
              <w:t>ational aid agency, Ministry of Foreign Affairs or Finance etc.</w:t>
            </w:r>
          </w:p>
        </w:tc>
        <w:tc>
          <w:tcPr>
            <w:tcW w:w="0" w:type="auto"/>
            <w:shd w:val="clear" w:color="auto" w:fill="auto"/>
          </w:tcPr>
          <w:p w14:paraId="304C3A4E" w14:textId="77777777" w:rsidR="00406F3B" w:rsidRDefault="00406F3B" w:rsidP="00406F3B">
            <w:pPr>
              <w:jc w:val="center"/>
              <w:rPr>
                <w:szCs w:val="20"/>
              </w:rPr>
            </w:pPr>
            <w:r>
              <w:rPr>
                <w:szCs w:val="20"/>
              </w:rPr>
              <w:t>ERD</w:t>
            </w:r>
          </w:p>
          <w:p w14:paraId="776591FB" w14:textId="77777777" w:rsidR="00406F3B" w:rsidRPr="00262FC1" w:rsidRDefault="00406F3B" w:rsidP="00406F3B">
            <w:pPr>
              <w:jc w:val="center"/>
              <w:rPr>
                <w:szCs w:val="20"/>
              </w:rPr>
            </w:pPr>
            <w:r>
              <w:rPr>
                <w:rFonts w:cs="Times New Roman"/>
                <w:szCs w:val="20"/>
              </w:rPr>
              <w:t>FAO</w:t>
            </w:r>
          </w:p>
        </w:tc>
        <w:tc>
          <w:tcPr>
            <w:tcW w:w="0" w:type="auto"/>
            <w:shd w:val="clear" w:color="auto" w:fill="auto"/>
          </w:tcPr>
          <w:p w14:paraId="0E9E4D9C" w14:textId="68C6751A" w:rsidR="00406F3B" w:rsidRDefault="00406F3B" w:rsidP="00406F3B">
            <w:pPr>
              <w:rPr>
                <w:szCs w:val="20"/>
              </w:rPr>
            </w:pPr>
            <w:r>
              <w:rPr>
                <w:szCs w:val="20"/>
              </w:rPr>
              <w:t xml:space="preserve">ERD </w:t>
            </w:r>
          </w:p>
          <w:p w14:paraId="6A142439" w14:textId="77777777" w:rsidR="00406F3B" w:rsidRPr="00262FC1" w:rsidRDefault="00406F3B" w:rsidP="00406F3B">
            <w:pPr>
              <w:rPr>
                <w:szCs w:val="20"/>
              </w:rPr>
            </w:pPr>
            <w:r>
              <w:rPr>
                <w:rFonts w:eastAsia="Times New Roman" w:cs="Times New Roman"/>
                <w:color w:val="000000" w:themeColor="text1"/>
                <w:szCs w:val="20"/>
              </w:rPr>
              <w:t>Administrative Data</w:t>
            </w:r>
          </w:p>
        </w:tc>
        <w:tc>
          <w:tcPr>
            <w:tcW w:w="0" w:type="auto"/>
            <w:shd w:val="clear" w:color="auto" w:fill="auto"/>
          </w:tcPr>
          <w:p w14:paraId="21BE94A5" w14:textId="77777777" w:rsidR="00406F3B" w:rsidRPr="00795CB3" w:rsidRDefault="00406F3B" w:rsidP="00406F3B">
            <w:pPr>
              <w:pStyle w:val="ListParagraph"/>
              <w:numPr>
                <w:ilvl w:val="0"/>
                <w:numId w:val="11"/>
              </w:numPr>
              <w:rPr>
                <w:rFonts w:ascii="Tw Cen MT Condensed" w:hAnsi="Tw Cen MT Condensed"/>
                <w:sz w:val="20"/>
                <w:szCs w:val="20"/>
              </w:rPr>
            </w:pPr>
            <w:r w:rsidRPr="00795CB3">
              <w:rPr>
                <w:rFonts w:ascii="Tw Cen MT Condensed" w:hAnsi="Tw Cen MT Condensed"/>
                <w:sz w:val="20"/>
                <w:szCs w:val="20"/>
              </w:rPr>
              <w:t>Type of flow (ODA or OOF)</w:t>
            </w:r>
          </w:p>
          <w:p w14:paraId="27595409" w14:textId="77777777" w:rsidR="00406F3B" w:rsidRPr="00981658" w:rsidRDefault="00406F3B" w:rsidP="00406F3B">
            <w:pPr>
              <w:pStyle w:val="ListParagraph"/>
              <w:numPr>
                <w:ilvl w:val="0"/>
                <w:numId w:val="11"/>
              </w:numPr>
              <w:rPr>
                <w:rFonts w:ascii="Tw Cen MT Condensed" w:hAnsi="Tw Cen MT Condensed"/>
                <w:sz w:val="20"/>
                <w:szCs w:val="20"/>
              </w:rPr>
            </w:pPr>
            <w:r>
              <w:rPr>
                <w:rFonts w:ascii="Tw Cen MT Condensed" w:hAnsi="Tw Cen MT Condensed"/>
                <w:sz w:val="20"/>
                <w:szCs w:val="20"/>
              </w:rPr>
              <w:t>By Development Partner</w:t>
            </w:r>
          </w:p>
          <w:p w14:paraId="28F9ABCC" w14:textId="77777777" w:rsidR="00406F3B" w:rsidRPr="00795CB3" w:rsidRDefault="00406F3B" w:rsidP="00406F3B">
            <w:pPr>
              <w:pStyle w:val="ListParagraph"/>
              <w:numPr>
                <w:ilvl w:val="0"/>
                <w:numId w:val="11"/>
              </w:numPr>
              <w:rPr>
                <w:rFonts w:ascii="Tw Cen MT Condensed" w:hAnsi="Tw Cen MT Condensed"/>
                <w:sz w:val="20"/>
                <w:szCs w:val="20"/>
              </w:rPr>
            </w:pPr>
            <w:r w:rsidRPr="00795CB3">
              <w:rPr>
                <w:rFonts w:ascii="Tw Cen MT Condensed" w:hAnsi="Tw Cen MT Condensed"/>
                <w:sz w:val="20"/>
                <w:szCs w:val="20"/>
              </w:rPr>
              <w:t>Type of finance</w:t>
            </w:r>
          </w:p>
          <w:p w14:paraId="0D407260" w14:textId="77777777" w:rsidR="00406F3B" w:rsidRPr="00795CB3" w:rsidRDefault="00406F3B" w:rsidP="00406F3B">
            <w:pPr>
              <w:pStyle w:val="ListParagraph"/>
              <w:numPr>
                <w:ilvl w:val="0"/>
                <w:numId w:val="11"/>
              </w:numPr>
              <w:rPr>
                <w:rFonts w:ascii="Tw Cen MT Condensed" w:hAnsi="Tw Cen MT Condensed"/>
                <w:sz w:val="20"/>
                <w:szCs w:val="20"/>
              </w:rPr>
            </w:pPr>
            <w:r w:rsidRPr="00795CB3">
              <w:rPr>
                <w:rFonts w:ascii="Tw Cen MT Condensed" w:hAnsi="Tw Cen MT Condensed"/>
                <w:sz w:val="20"/>
                <w:szCs w:val="20"/>
              </w:rPr>
              <w:t>Type of aid (project agriculture sub-sector) etc.</w:t>
            </w:r>
          </w:p>
        </w:tc>
        <w:tc>
          <w:tcPr>
            <w:tcW w:w="0" w:type="auto"/>
            <w:shd w:val="clear" w:color="auto" w:fill="auto"/>
          </w:tcPr>
          <w:p w14:paraId="7C70885D" w14:textId="77777777" w:rsidR="00406F3B" w:rsidRDefault="00406F3B" w:rsidP="00406F3B">
            <w:pPr>
              <w:jc w:val="center"/>
              <w:rPr>
                <w:bCs/>
                <w:szCs w:val="20"/>
              </w:rPr>
            </w:pPr>
            <w:r>
              <w:rPr>
                <w:bCs/>
                <w:szCs w:val="20"/>
              </w:rPr>
              <w:t>Annual</w:t>
            </w:r>
          </w:p>
        </w:tc>
        <w:tc>
          <w:tcPr>
            <w:tcW w:w="0" w:type="auto"/>
            <w:shd w:val="clear" w:color="auto" w:fill="auto"/>
          </w:tcPr>
          <w:p w14:paraId="042C6089" w14:textId="77777777" w:rsidR="00406F3B" w:rsidRDefault="00406F3B" w:rsidP="00406F3B">
            <w:pPr>
              <w:jc w:val="center"/>
              <w:rPr>
                <w:bCs/>
                <w:szCs w:val="20"/>
              </w:rPr>
            </w:pPr>
            <w:r>
              <w:rPr>
                <w:bCs/>
                <w:szCs w:val="20"/>
              </w:rPr>
              <w:t>Group 1</w:t>
            </w:r>
          </w:p>
        </w:tc>
        <w:tc>
          <w:tcPr>
            <w:tcW w:w="0" w:type="auto"/>
            <w:shd w:val="clear" w:color="auto" w:fill="auto"/>
          </w:tcPr>
          <w:p w14:paraId="358007EA" w14:textId="77777777" w:rsidR="00406F3B" w:rsidRDefault="00406F3B" w:rsidP="00406F3B">
            <w:pPr>
              <w:pStyle w:val="NoSpacing"/>
            </w:pPr>
            <w:r>
              <w:t>1</w:t>
            </w:r>
            <w:r w:rsidRPr="00013ACB">
              <w:rPr>
                <w:vertAlign w:val="superscript"/>
              </w:rPr>
              <w:t>st</w:t>
            </w:r>
            <w:r>
              <w:t xml:space="preserve"> Round: </w:t>
            </w:r>
          </w:p>
          <w:p w14:paraId="0BBC72EE" w14:textId="77777777" w:rsidR="00406F3B" w:rsidRDefault="00406F3B" w:rsidP="00406F3B">
            <w:pPr>
              <w:pStyle w:val="NoSpacing"/>
            </w:pPr>
            <w:r>
              <w:t>2015</w:t>
            </w:r>
          </w:p>
          <w:p w14:paraId="5791BC8C" w14:textId="77777777" w:rsidR="00406F3B" w:rsidRDefault="00406F3B" w:rsidP="00406F3B">
            <w:pPr>
              <w:pStyle w:val="NoSpacing"/>
            </w:pPr>
            <w:r>
              <w:t>2</w:t>
            </w:r>
            <w:r w:rsidRPr="00013ACB">
              <w:rPr>
                <w:vertAlign w:val="superscript"/>
              </w:rPr>
              <w:t>nd</w:t>
            </w:r>
            <w:r>
              <w:t xml:space="preserve"> Round: </w:t>
            </w:r>
          </w:p>
          <w:p w14:paraId="0CFB2785" w14:textId="77777777" w:rsidR="00406F3B" w:rsidRDefault="00406F3B" w:rsidP="00406F3B">
            <w:pPr>
              <w:pStyle w:val="NoSpacing"/>
            </w:pPr>
            <w:r>
              <w:t xml:space="preserve">September </w:t>
            </w:r>
          </w:p>
          <w:p w14:paraId="1A27D8EF" w14:textId="77777777" w:rsidR="00406F3B" w:rsidRDefault="00406F3B" w:rsidP="00406F3B">
            <w:pPr>
              <w:pStyle w:val="NoSpacing"/>
            </w:pPr>
            <w:r>
              <w:t>2019</w:t>
            </w:r>
          </w:p>
          <w:p w14:paraId="05BA0479" w14:textId="77777777" w:rsidR="00406F3B" w:rsidRDefault="00406F3B" w:rsidP="00406F3B">
            <w:pPr>
              <w:pStyle w:val="NoSpacing"/>
            </w:pPr>
          </w:p>
          <w:p w14:paraId="4C4A398C" w14:textId="77777777" w:rsidR="00406F3B" w:rsidRDefault="00406F3B" w:rsidP="00406F3B">
            <w:pPr>
              <w:pStyle w:val="NoSpacing"/>
            </w:pPr>
            <w:r>
              <w:t>3</w:t>
            </w:r>
            <w:r w:rsidRPr="00013ACB">
              <w:rPr>
                <w:vertAlign w:val="superscript"/>
              </w:rPr>
              <w:t>rd</w:t>
            </w:r>
            <w:r>
              <w:t xml:space="preserve"> Round: </w:t>
            </w:r>
          </w:p>
          <w:p w14:paraId="568E9469" w14:textId="77777777" w:rsidR="00406F3B" w:rsidRDefault="00406F3B" w:rsidP="00406F3B">
            <w:pPr>
              <w:pStyle w:val="NoSpacing"/>
            </w:pPr>
            <w:r>
              <w:t xml:space="preserve">September </w:t>
            </w:r>
          </w:p>
          <w:p w14:paraId="36E07735" w14:textId="77777777" w:rsidR="00406F3B" w:rsidRDefault="00406F3B" w:rsidP="00406F3B">
            <w:pPr>
              <w:pStyle w:val="NoSpacing"/>
            </w:pPr>
            <w:r>
              <w:t>2020</w:t>
            </w:r>
          </w:p>
          <w:p w14:paraId="5C49F7C8" w14:textId="77777777" w:rsidR="00406F3B" w:rsidRDefault="00406F3B" w:rsidP="00406F3B">
            <w:pPr>
              <w:pStyle w:val="NoSpacing"/>
            </w:pPr>
          </w:p>
          <w:p w14:paraId="1CB39118" w14:textId="77777777" w:rsidR="00406F3B" w:rsidRDefault="00406F3B" w:rsidP="00406F3B">
            <w:pPr>
              <w:pStyle w:val="NoSpacing"/>
            </w:pPr>
            <w:r>
              <w:t>4</w:t>
            </w:r>
            <w:r w:rsidRPr="00013ACB">
              <w:rPr>
                <w:vertAlign w:val="superscript"/>
              </w:rPr>
              <w:t>th</w:t>
            </w:r>
            <w:r>
              <w:t xml:space="preserve"> Round: </w:t>
            </w:r>
          </w:p>
          <w:p w14:paraId="2FD20C9A" w14:textId="77777777" w:rsidR="00406F3B" w:rsidRDefault="00406F3B" w:rsidP="00406F3B">
            <w:pPr>
              <w:pStyle w:val="NoSpacing"/>
            </w:pPr>
            <w:r>
              <w:t xml:space="preserve">September </w:t>
            </w:r>
          </w:p>
          <w:p w14:paraId="283A4358" w14:textId="77777777" w:rsidR="00406F3B" w:rsidRDefault="00406F3B" w:rsidP="00406F3B">
            <w:pPr>
              <w:pStyle w:val="NoSpacing"/>
            </w:pPr>
            <w:r>
              <w:t>2021</w:t>
            </w:r>
          </w:p>
          <w:p w14:paraId="5E3640D0" w14:textId="77777777" w:rsidR="00406F3B" w:rsidRDefault="00406F3B" w:rsidP="00406F3B">
            <w:pPr>
              <w:pStyle w:val="NoSpacing"/>
            </w:pPr>
          </w:p>
          <w:p w14:paraId="62614E17" w14:textId="77777777" w:rsidR="00406F3B" w:rsidRDefault="00406F3B" w:rsidP="00406F3B">
            <w:pPr>
              <w:pStyle w:val="NoSpacing"/>
            </w:pPr>
            <w:r>
              <w:t>5</w:t>
            </w:r>
            <w:r w:rsidRPr="00013ACB">
              <w:rPr>
                <w:vertAlign w:val="superscript"/>
              </w:rPr>
              <w:t>th</w:t>
            </w:r>
            <w:r>
              <w:t xml:space="preserve"> Round: </w:t>
            </w:r>
          </w:p>
          <w:p w14:paraId="49FDC316" w14:textId="77777777" w:rsidR="00406F3B" w:rsidRDefault="00406F3B" w:rsidP="00406F3B">
            <w:pPr>
              <w:pStyle w:val="NoSpacing"/>
            </w:pPr>
            <w:r>
              <w:t xml:space="preserve">September </w:t>
            </w:r>
          </w:p>
          <w:p w14:paraId="27321110" w14:textId="77777777" w:rsidR="00406F3B" w:rsidRDefault="00406F3B" w:rsidP="00406F3B">
            <w:pPr>
              <w:pStyle w:val="NoSpacing"/>
            </w:pPr>
            <w:r>
              <w:t>2022</w:t>
            </w:r>
          </w:p>
          <w:p w14:paraId="1DEBFF98" w14:textId="05404291" w:rsidR="00406F3B" w:rsidRPr="003265B9" w:rsidRDefault="00406F3B" w:rsidP="00406F3B">
            <w:pPr>
              <w:pStyle w:val="NoSpacing"/>
            </w:pPr>
          </w:p>
        </w:tc>
        <w:tc>
          <w:tcPr>
            <w:tcW w:w="0" w:type="auto"/>
            <w:shd w:val="clear" w:color="auto" w:fill="auto"/>
          </w:tcPr>
          <w:p w14:paraId="01B92A83" w14:textId="77777777" w:rsidR="00406F3B" w:rsidRDefault="00406F3B" w:rsidP="00406F3B">
            <w:pPr>
              <w:jc w:val="center"/>
              <w:rPr>
                <w:bCs/>
                <w:szCs w:val="20"/>
              </w:rPr>
            </w:pPr>
            <w:r>
              <w:rPr>
                <w:bCs/>
                <w:szCs w:val="20"/>
              </w:rPr>
              <w:t>Both DAC and ODA figure should be compiled</w:t>
            </w:r>
          </w:p>
        </w:tc>
      </w:tr>
      <w:tr w:rsidR="00DB32C0" w14:paraId="338A7F6A" w14:textId="77777777" w:rsidTr="0085651F">
        <w:tc>
          <w:tcPr>
            <w:tcW w:w="0" w:type="auto"/>
            <w:gridSpan w:val="14"/>
            <w:shd w:val="clear" w:color="auto" w:fill="auto"/>
          </w:tcPr>
          <w:p w14:paraId="03AD89C2" w14:textId="77777777" w:rsidR="00DB32C0" w:rsidRPr="00D521BB" w:rsidRDefault="00DB32C0" w:rsidP="00406F3B">
            <w:pPr>
              <w:ind w:left="970" w:hanging="970"/>
              <w:jc w:val="both"/>
              <w:rPr>
                <w:color w:val="996600"/>
                <w:sz w:val="30"/>
                <w:szCs w:val="30"/>
              </w:rPr>
            </w:pPr>
            <w:r w:rsidRPr="00D521BB">
              <w:rPr>
                <w:color w:val="996600"/>
                <w:sz w:val="30"/>
                <w:szCs w:val="30"/>
              </w:rPr>
              <w:t>Target 2.b: 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tc>
      </w:tr>
      <w:tr w:rsidR="0098022F" w14:paraId="76D31564" w14:textId="77777777" w:rsidTr="0085651F">
        <w:tc>
          <w:tcPr>
            <w:tcW w:w="0" w:type="auto"/>
            <w:gridSpan w:val="2"/>
            <w:shd w:val="clear" w:color="auto" w:fill="auto"/>
          </w:tcPr>
          <w:p w14:paraId="6346D83A" w14:textId="77777777" w:rsidR="00406F3B" w:rsidRPr="00795CB3" w:rsidRDefault="00406F3B" w:rsidP="00406F3B">
            <w:pPr>
              <w:rPr>
                <w:szCs w:val="20"/>
              </w:rPr>
            </w:pPr>
            <w:r w:rsidRPr="00D521BB">
              <w:rPr>
                <w:szCs w:val="20"/>
              </w:rPr>
              <w:t>2.b.1: Agricultural export subsidies</w:t>
            </w:r>
          </w:p>
        </w:tc>
        <w:tc>
          <w:tcPr>
            <w:tcW w:w="0" w:type="auto"/>
            <w:shd w:val="clear" w:color="auto" w:fill="auto"/>
          </w:tcPr>
          <w:p w14:paraId="2FE2174B" w14:textId="77777777" w:rsidR="00406F3B" w:rsidRPr="00795CB3" w:rsidRDefault="00406F3B" w:rsidP="00406F3B">
            <w:pPr>
              <w:jc w:val="center"/>
              <w:rPr>
                <w:szCs w:val="20"/>
              </w:rPr>
            </w:pPr>
            <w:r>
              <w:rPr>
                <w:szCs w:val="20"/>
              </w:rPr>
              <w:t>WTO</w:t>
            </w:r>
          </w:p>
        </w:tc>
        <w:tc>
          <w:tcPr>
            <w:tcW w:w="0" w:type="auto"/>
            <w:shd w:val="clear" w:color="auto" w:fill="auto"/>
          </w:tcPr>
          <w:p w14:paraId="0FA45325" w14:textId="77777777" w:rsidR="00406F3B" w:rsidRDefault="00406F3B" w:rsidP="00406F3B">
            <w:pPr>
              <w:jc w:val="center"/>
              <w:rPr>
                <w:szCs w:val="20"/>
              </w:rPr>
            </w:pPr>
            <w:r>
              <w:rPr>
                <w:szCs w:val="20"/>
              </w:rPr>
              <w:t>Tier I</w:t>
            </w:r>
          </w:p>
        </w:tc>
        <w:tc>
          <w:tcPr>
            <w:tcW w:w="0" w:type="auto"/>
            <w:shd w:val="clear" w:color="auto" w:fill="auto"/>
          </w:tcPr>
          <w:p w14:paraId="2E165D14" w14:textId="77777777" w:rsidR="00406F3B" w:rsidRPr="00D521BB" w:rsidRDefault="00406F3B" w:rsidP="00406F3B">
            <w:pPr>
              <w:jc w:val="both"/>
              <w:rPr>
                <w:b/>
                <w:bCs/>
                <w:szCs w:val="20"/>
              </w:rPr>
            </w:pPr>
            <w:r w:rsidRPr="00D521BB">
              <w:rPr>
                <w:b/>
                <w:bCs/>
                <w:szCs w:val="20"/>
              </w:rPr>
              <w:t>Definition:</w:t>
            </w:r>
          </w:p>
          <w:p w14:paraId="2AFD894E" w14:textId="77777777" w:rsidR="00406F3B" w:rsidRDefault="00406F3B" w:rsidP="00406F3B">
            <w:pPr>
              <w:jc w:val="both"/>
              <w:rPr>
                <w:szCs w:val="20"/>
              </w:rPr>
            </w:pPr>
            <w:r w:rsidRPr="00D521BB">
              <w:rPr>
                <w:szCs w:val="20"/>
              </w:rPr>
              <w:t>Agricultural export subsidies are defined as export subsidies budgetary outlays and quantities as notified</w:t>
            </w:r>
            <w:r>
              <w:rPr>
                <w:szCs w:val="20"/>
              </w:rPr>
              <w:t xml:space="preserve"> </w:t>
            </w:r>
            <w:r w:rsidRPr="00D521BB">
              <w:rPr>
                <w:szCs w:val="20"/>
              </w:rPr>
              <w:t>by WTO Members in Tables ES</w:t>
            </w:r>
            <w:proofErr w:type="gramStart"/>
            <w:r w:rsidRPr="00D521BB">
              <w:rPr>
                <w:szCs w:val="20"/>
              </w:rPr>
              <w:t>:1</w:t>
            </w:r>
            <w:proofErr w:type="gramEnd"/>
            <w:r w:rsidRPr="00D521BB">
              <w:rPr>
                <w:szCs w:val="20"/>
              </w:rPr>
              <w:t xml:space="preserve"> and supporting Tables ES:2 (following templates in document G/AG/2</w:t>
            </w:r>
            <w:r>
              <w:rPr>
                <w:szCs w:val="20"/>
              </w:rPr>
              <w:t xml:space="preserve"> </w:t>
            </w:r>
            <w:r w:rsidRPr="00D521BB">
              <w:rPr>
                <w:szCs w:val="20"/>
              </w:rPr>
              <w:t>dated 30 June 1995).</w:t>
            </w:r>
          </w:p>
          <w:p w14:paraId="5B894249" w14:textId="77777777" w:rsidR="00406F3B" w:rsidRDefault="00406F3B" w:rsidP="00406F3B">
            <w:pPr>
              <w:jc w:val="both"/>
              <w:rPr>
                <w:b/>
                <w:bCs/>
                <w:szCs w:val="20"/>
              </w:rPr>
            </w:pPr>
          </w:p>
          <w:p w14:paraId="3BC0D944" w14:textId="77777777" w:rsidR="00406F3B" w:rsidRDefault="00406F3B" w:rsidP="00406F3B">
            <w:pPr>
              <w:jc w:val="both"/>
              <w:rPr>
                <w:b/>
                <w:bCs/>
                <w:szCs w:val="20"/>
              </w:rPr>
            </w:pPr>
            <w:r>
              <w:rPr>
                <w:b/>
                <w:bCs/>
                <w:szCs w:val="20"/>
              </w:rPr>
              <w:t>Data Cover:</w:t>
            </w:r>
          </w:p>
          <w:p w14:paraId="705BCB02" w14:textId="77777777" w:rsidR="00406F3B" w:rsidRPr="00D521BB" w:rsidRDefault="00406F3B" w:rsidP="00406F3B">
            <w:pPr>
              <w:pStyle w:val="ListParagraph"/>
              <w:numPr>
                <w:ilvl w:val="0"/>
                <w:numId w:val="14"/>
              </w:numPr>
              <w:tabs>
                <w:tab w:val="left" w:pos="110"/>
              </w:tabs>
              <w:ind w:left="200" w:hanging="180"/>
              <w:jc w:val="both"/>
              <w:rPr>
                <w:rFonts w:ascii="Tw Cen MT Condensed" w:hAnsi="Tw Cen MT Condensed"/>
                <w:sz w:val="20"/>
                <w:szCs w:val="20"/>
              </w:rPr>
            </w:pPr>
            <w:r>
              <w:rPr>
                <w:rFonts w:ascii="Tw Cen MT Condensed" w:hAnsi="Tw Cen MT Condensed"/>
                <w:sz w:val="20"/>
                <w:szCs w:val="20"/>
              </w:rPr>
              <w:tab/>
            </w:r>
            <w:r w:rsidRPr="00D521BB">
              <w:rPr>
                <w:rFonts w:ascii="Tw Cen MT Condensed" w:hAnsi="Tw Cen MT Condensed"/>
                <w:sz w:val="20"/>
                <w:szCs w:val="20"/>
              </w:rPr>
              <w:t xml:space="preserve">Notifications by WTO Members with export subsidy reduction </w:t>
            </w:r>
            <w:r w:rsidRPr="00D521BB">
              <w:rPr>
                <w:rFonts w:ascii="Tw Cen MT Condensed" w:hAnsi="Tw Cen MT Condensed"/>
                <w:sz w:val="20"/>
                <w:szCs w:val="20"/>
              </w:rPr>
              <w:lastRenderedPageBreak/>
              <w:t>commitments included in part IV of their Schedules;</w:t>
            </w:r>
          </w:p>
          <w:p w14:paraId="0C880C9B" w14:textId="77777777" w:rsidR="00406F3B" w:rsidRPr="00D521BB" w:rsidRDefault="00406F3B" w:rsidP="00406F3B">
            <w:pPr>
              <w:pStyle w:val="ListParagraph"/>
              <w:numPr>
                <w:ilvl w:val="0"/>
                <w:numId w:val="14"/>
              </w:numPr>
              <w:tabs>
                <w:tab w:val="left" w:pos="110"/>
              </w:tabs>
              <w:ind w:left="200" w:hanging="180"/>
              <w:jc w:val="both"/>
              <w:rPr>
                <w:rFonts w:ascii="Tw Cen MT Condensed" w:hAnsi="Tw Cen MT Condensed"/>
                <w:sz w:val="20"/>
                <w:szCs w:val="20"/>
              </w:rPr>
            </w:pPr>
            <w:r>
              <w:rPr>
                <w:rFonts w:ascii="Tw Cen MT Condensed" w:hAnsi="Tw Cen MT Condensed"/>
                <w:sz w:val="20"/>
                <w:szCs w:val="20"/>
              </w:rPr>
              <w:tab/>
            </w:r>
            <w:r w:rsidRPr="00D521BB">
              <w:rPr>
                <w:rFonts w:ascii="Tw Cen MT Condensed" w:hAnsi="Tw Cen MT Condensed"/>
                <w:sz w:val="20"/>
                <w:szCs w:val="20"/>
              </w:rPr>
              <w:t>Notifications of export subsidies by developing country Members pursuant to the provisions of article 9.4 of the Agreement on Agriculture.</w:t>
            </w:r>
          </w:p>
          <w:p w14:paraId="5A5859F8" w14:textId="77777777" w:rsidR="00406F3B" w:rsidRDefault="00406F3B" w:rsidP="00406F3B">
            <w:pPr>
              <w:jc w:val="both"/>
              <w:rPr>
                <w:szCs w:val="20"/>
              </w:rPr>
            </w:pPr>
            <w:r w:rsidRPr="00D521BB">
              <w:rPr>
                <w:szCs w:val="20"/>
              </w:rPr>
              <w:t>Other WTO Members are not entitled to use export subsidies and their notifications are therefore not</w:t>
            </w:r>
            <w:r>
              <w:rPr>
                <w:szCs w:val="20"/>
              </w:rPr>
              <w:t xml:space="preserve"> </w:t>
            </w:r>
            <w:r w:rsidRPr="00D521BB">
              <w:rPr>
                <w:szCs w:val="20"/>
              </w:rPr>
              <w:t>recorded in the indicator series.</w:t>
            </w:r>
          </w:p>
          <w:p w14:paraId="0A8059C3" w14:textId="77777777" w:rsidR="00406F3B" w:rsidRDefault="00406F3B" w:rsidP="00406F3B">
            <w:pPr>
              <w:jc w:val="both"/>
              <w:rPr>
                <w:szCs w:val="20"/>
              </w:rPr>
            </w:pPr>
          </w:p>
          <w:p w14:paraId="79003912" w14:textId="77777777" w:rsidR="00406F3B" w:rsidRPr="00D521BB" w:rsidRDefault="00406F3B" w:rsidP="00406F3B">
            <w:pPr>
              <w:jc w:val="both"/>
              <w:rPr>
                <w:szCs w:val="20"/>
              </w:rPr>
            </w:pPr>
            <w:r w:rsidRPr="00D521BB">
              <w:rPr>
                <w:szCs w:val="20"/>
              </w:rPr>
              <w:t>Budgetary outlays and quantities are expressed in a currency (national or other) and in quantity units as</w:t>
            </w:r>
            <w:r>
              <w:rPr>
                <w:szCs w:val="20"/>
              </w:rPr>
              <w:t xml:space="preserve"> </w:t>
            </w:r>
            <w:r w:rsidRPr="00D521BB">
              <w:rPr>
                <w:szCs w:val="20"/>
              </w:rPr>
              <w:t>per Member's notification practices. For Members with export subsidy reduction commitments included</w:t>
            </w:r>
            <w:r>
              <w:rPr>
                <w:szCs w:val="20"/>
              </w:rPr>
              <w:t xml:space="preserve"> </w:t>
            </w:r>
            <w:r w:rsidRPr="00D521BB">
              <w:rPr>
                <w:szCs w:val="20"/>
              </w:rPr>
              <w:t>in part IV of their Schedules, the currency used in the notifications is similar to the one used in the</w:t>
            </w:r>
            <w:r>
              <w:rPr>
                <w:szCs w:val="20"/>
              </w:rPr>
              <w:t xml:space="preserve"> </w:t>
            </w:r>
            <w:r w:rsidRPr="00D521BB">
              <w:rPr>
                <w:szCs w:val="20"/>
              </w:rPr>
              <w:t>Schedules.</w:t>
            </w:r>
          </w:p>
          <w:p w14:paraId="189A6054" w14:textId="77777777" w:rsidR="00406F3B" w:rsidRDefault="00406F3B" w:rsidP="00406F3B">
            <w:pPr>
              <w:jc w:val="both"/>
              <w:rPr>
                <w:szCs w:val="20"/>
              </w:rPr>
            </w:pPr>
            <w:r w:rsidRPr="00D521BB">
              <w:rPr>
                <w:szCs w:val="20"/>
              </w:rPr>
              <w:t>Data are available by country and by products or groups of products, according to Members' schedules</w:t>
            </w:r>
            <w:r>
              <w:rPr>
                <w:szCs w:val="20"/>
              </w:rPr>
              <w:t xml:space="preserve"> </w:t>
            </w:r>
            <w:r w:rsidRPr="00D521BB">
              <w:rPr>
                <w:szCs w:val="20"/>
              </w:rPr>
              <w:t>for Members with export subsidy reduction commitments included in part IV of their Schedules and</w:t>
            </w:r>
            <w:r>
              <w:rPr>
                <w:szCs w:val="20"/>
              </w:rPr>
              <w:t xml:space="preserve"> </w:t>
            </w:r>
            <w:r w:rsidRPr="00D521BB">
              <w:rPr>
                <w:szCs w:val="20"/>
              </w:rPr>
              <w:t>according to Member's notification practices in the case of developing country Members using export</w:t>
            </w:r>
            <w:r>
              <w:rPr>
                <w:szCs w:val="20"/>
              </w:rPr>
              <w:t xml:space="preserve"> </w:t>
            </w:r>
            <w:r w:rsidRPr="00D521BB">
              <w:rPr>
                <w:szCs w:val="20"/>
              </w:rPr>
              <w:t>subsidies under the provisions of article 9.4 of the Agreement on Agriculture.</w:t>
            </w:r>
          </w:p>
          <w:p w14:paraId="756E227F" w14:textId="77777777" w:rsidR="00406F3B" w:rsidRDefault="00406F3B" w:rsidP="00406F3B">
            <w:pPr>
              <w:jc w:val="both"/>
              <w:rPr>
                <w:szCs w:val="20"/>
              </w:rPr>
            </w:pPr>
          </w:p>
          <w:p w14:paraId="1D2E53E1" w14:textId="77777777" w:rsidR="00406F3B" w:rsidRPr="00D521BB" w:rsidRDefault="00406F3B" w:rsidP="00406F3B">
            <w:pPr>
              <w:jc w:val="both"/>
              <w:rPr>
                <w:b/>
                <w:bCs/>
                <w:szCs w:val="20"/>
              </w:rPr>
            </w:pPr>
            <w:r w:rsidRPr="00D521BB">
              <w:rPr>
                <w:b/>
                <w:bCs/>
                <w:szCs w:val="20"/>
              </w:rPr>
              <w:t>Computation Method:</w:t>
            </w:r>
          </w:p>
          <w:p w14:paraId="1554AE64" w14:textId="77777777" w:rsidR="00406F3B" w:rsidRPr="00D521BB" w:rsidRDefault="00406F3B" w:rsidP="00406F3B">
            <w:pPr>
              <w:jc w:val="both"/>
              <w:rPr>
                <w:szCs w:val="20"/>
              </w:rPr>
            </w:pPr>
            <w:r w:rsidRPr="00D521BB">
              <w:rPr>
                <w:szCs w:val="20"/>
              </w:rPr>
              <w:t>The country level data come directly from Members' notifications to the WTO and are not subject to any</w:t>
            </w:r>
            <w:r>
              <w:rPr>
                <w:szCs w:val="20"/>
              </w:rPr>
              <w:t xml:space="preserve"> </w:t>
            </w:r>
            <w:r w:rsidRPr="00D521BB">
              <w:rPr>
                <w:szCs w:val="20"/>
              </w:rPr>
              <w:t>computation by the WTO. Each WTO Member collects data following his own national practice to prepare</w:t>
            </w:r>
            <w:r>
              <w:rPr>
                <w:szCs w:val="20"/>
              </w:rPr>
              <w:t xml:space="preserve"> </w:t>
            </w:r>
            <w:r w:rsidRPr="00D521BB">
              <w:rPr>
                <w:szCs w:val="20"/>
              </w:rPr>
              <w:t>his notification.</w:t>
            </w:r>
          </w:p>
        </w:tc>
        <w:tc>
          <w:tcPr>
            <w:tcW w:w="0" w:type="auto"/>
            <w:shd w:val="clear" w:color="auto" w:fill="auto"/>
          </w:tcPr>
          <w:p w14:paraId="6CB2E906" w14:textId="77777777" w:rsidR="00406F3B" w:rsidRDefault="00406F3B" w:rsidP="00406F3B">
            <w:pPr>
              <w:jc w:val="center"/>
              <w:rPr>
                <w:szCs w:val="20"/>
              </w:rPr>
            </w:pPr>
            <w:r>
              <w:rPr>
                <w:szCs w:val="20"/>
              </w:rPr>
              <w:lastRenderedPageBreak/>
              <w:t>Administrative Record</w:t>
            </w:r>
          </w:p>
        </w:tc>
        <w:tc>
          <w:tcPr>
            <w:tcW w:w="0" w:type="auto"/>
            <w:shd w:val="clear" w:color="auto" w:fill="auto"/>
          </w:tcPr>
          <w:p w14:paraId="26A27BF3" w14:textId="77777777" w:rsidR="00406F3B" w:rsidRPr="00D521BB" w:rsidRDefault="00406F3B" w:rsidP="00406F3B">
            <w:pPr>
              <w:jc w:val="both"/>
              <w:rPr>
                <w:szCs w:val="20"/>
              </w:rPr>
            </w:pPr>
            <w:r w:rsidRPr="00D521BB">
              <w:rPr>
                <w:szCs w:val="20"/>
              </w:rPr>
              <w:t>WTO Members' notifications in their Table ES:1 and supporting table ES:2</w:t>
            </w:r>
          </w:p>
          <w:p w14:paraId="4279DAFD" w14:textId="77777777" w:rsidR="00406F3B" w:rsidRPr="00D521BB" w:rsidRDefault="00406F3B" w:rsidP="00406F3B">
            <w:pPr>
              <w:jc w:val="both"/>
              <w:rPr>
                <w:szCs w:val="20"/>
              </w:rPr>
            </w:pPr>
            <w:r w:rsidRPr="00D521BB">
              <w:rPr>
                <w:szCs w:val="20"/>
              </w:rPr>
              <w:t xml:space="preserve">notifications, pursuant to the notification requirements </w:t>
            </w:r>
            <w:r w:rsidRPr="00D521BB">
              <w:rPr>
                <w:szCs w:val="20"/>
              </w:rPr>
              <w:lastRenderedPageBreak/>
              <w:t>and formats adopted by the WTO Committee on</w:t>
            </w:r>
          </w:p>
          <w:p w14:paraId="57D30136" w14:textId="77777777" w:rsidR="00406F3B" w:rsidRPr="00795CB3" w:rsidRDefault="00406F3B" w:rsidP="00406F3B">
            <w:pPr>
              <w:jc w:val="both"/>
              <w:rPr>
                <w:szCs w:val="20"/>
              </w:rPr>
            </w:pPr>
            <w:r w:rsidRPr="00D521BB">
              <w:rPr>
                <w:szCs w:val="20"/>
              </w:rPr>
              <w:t>Agriculture and contained in document G/AG/2.</w:t>
            </w:r>
          </w:p>
        </w:tc>
        <w:tc>
          <w:tcPr>
            <w:tcW w:w="0" w:type="auto"/>
            <w:shd w:val="clear" w:color="auto" w:fill="auto"/>
          </w:tcPr>
          <w:p w14:paraId="0C3B89E6" w14:textId="61DFA8C9" w:rsidR="00406F3B" w:rsidRDefault="00406F3B" w:rsidP="00406F3B">
            <w:pPr>
              <w:rPr>
                <w:szCs w:val="20"/>
              </w:rPr>
            </w:pPr>
          </w:p>
          <w:p w14:paraId="6325F75F" w14:textId="77777777" w:rsidR="00406F3B" w:rsidRDefault="00406F3B" w:rsidP="00406F3B">
            <w:pPr>
              <w:rPr>
                <w:szCs w:val="20"/>
              </w:rPr>
            </w:pPr>
            <w:r w:rsidRPr="00AB746F">
              <w:rPr>
                <w:rFonts w:eastAsia="Times New Roman" w:cs="Times New Roman"/>
                <w:color w:val="FF0000"/>
                <w:szCs w:val="20"/>
              </w:rPr>
              <w:t>BB</w:t>
            </w:r>
          </w:p>
        </w:tc>
        <w:tc>
          <w:tcPr>
            <w:tcW w:w="0" w:type="auto"/>
            <w:shd w:val="clear" w:color="auto" w:fill="auto"/>
          </w:tcPr>
          <w:p w14:paraId="25C07471" w14:textId="2CEEAA8F" w:rsidR="00406F3B" w:rsidRDefault="00406F3B" w:rsidP="00406F3B">
            <w:pPr>
              <w:rPr>
                <w:szCs w:val="20"/>
              </w:rPr>
            </w:pPr>
          </w:p>
          <w:p w14:paraId="633FDFA0" w14:textId="77777777" w:rsidR="00406F3B" w:rsidRDefault="00406F3B" w:rsidP="00406F3B">
            <w:pPr>
              <w:rPr>
                <w:rFonts w:eastAsia="Times New Roman" w:cs="Times New Roman"/>
                <w:color w:val="000000" w:themeColor="text1"/>
                <w:szCs w:val="20"/>
              </w:rPr>
            </w:pPr>
            <w:r>
              <w:rPr>
                <w:rFonts w:eastAsia="Times New Roman" w:cs="Times New Roman"/>
                <w:color w:val="000000" w:themeColor="text1"/>
                <w:szCs w:val="20"/>
              </w:rPr>
              <w:t>(Administrative Data) FID</w:t>
            </w:r>
          </w:p>
          <w:p w14:paraId="2472EF65" w14:textId="77777777" w:rsidR="00406F3B" w:rsidRDefault="00406F3B" w:rsidP="00406F3B">
            <w:pPr>
              <w:rPr>
                <w:szCs w:val="20"/>
              </w:rPr>
            </w:pPr>
            <w:r w:rsidRPr="00B930EF">
              <w:rPr>
                <w:rFonts w:eastAsia="Times New Roman" w:cs="Times New Roman"/>
                <w:color w:val="FF0000"/>
                <w:szCs w:val="20"/>
              </w:rPr>
              <w:t>BB</w:t>
            </w:r>
          </w:p>
        </w:tc>
        <w:tc>
          <w:tcPr>
            <w:tcW w:w="0" w:type="auto"/>
            <w:shd w:val="clear" w:color="auto" w:fill="auto"/>
          </w:tcPr>
          <w:p w14:paraId="6856A93D" w14:textId="77777777" w:rsidR="00406F3B" w:rsidRPr="00FE5144" w:rsidRDefault="00406F3B" w:rsidP="00406F3B">
            <w:pPr>
              <w:pStyle w:val="ListParagraph"/>
              <w:numPr>
                <w:ilvl w:val="0"/>
                <w:numId w:val="11"/>
              </w:numPr>
              <w:ind w:left="210" w:hanging="210"/>
              <w:jc w:val="both"/>
              <w:rPr>
                <w:rFonts w:ascii="Tw Cen MT Condensed" w:hAnsi="Tw Cen MT Condensed"/>
                <w:sz w:val="20"/>
                <w:szCs w:val="20"/>
              </w:rPr>
            </w:pPr>
            <w:r w:rsidRPr="00D521BB">
              <w:rPr>
                <w:rFonts w:ascii="Tw Cen MT Condensed" w:hAnsi="Tw Cen MT Condensed"/>
                <w:sz w:val="20"/>
                <w:szCs w:val="20"/>
              </w:rPr>
              <w:t>The indicator gives country and product-based information on the level of applied export subsidies, both</w:t>
            </w:r>
            <w:r>
              <w:rPr>
                <w:rFonts w:ascii="Tw Cen MT Condensed" w:hAnsi="Tw Cen MT Condensed"/>
                <w:sz w:val="20"/>
                <w:szCs w:val="20"/>
              </w:rPr>
              <w:t xml:space="preserve"> </w:t>
            </w:r>
            <w:r w:rsidRPr="00FE5144">
              <w:rPr>
                <w:rFonts w:ascii="Tw Cen MT Condensed" w:hAnsi="Tw Cen MT Condensed"/>
                <w:sz w:val="20"/>
                <w:szCs w:val="20"/>
              </w:rPr>
              <w:t xml:space="preserve">in terms of budgetary outlays </w:t>
            </w:r>
            <w:r w:rsidRPr="00FE5144">
              <w:rPr>
                <w:rFonts w:ascii="Tw Cen MT Condensed" w:hAnsi="Tw Cen MT Condensed"/>
                <w:sz w:val="20"/>
                <w:szCs w:val="20"/>
              </w:rPr>
              <w:lastRenderedPageBreak/>
              <w:t>and quantities.</w:t>
            </w:r>
          </w:p>
        </w:tc>
        <w:tc>
          <w:tcPr>
            <w:tcW w:w="0" w:type="auto"/>
            <w:shd w:val="clear" w:color="auto" w:fill="auto"/>
          </w:tcPr>
          <w:p w14:paraId="5FA78829" w14:textId="77777777" w:rsidR="00406F3B" w:rsidRDefault="00406F3B" w:rsidP="00406F3B">
            <w:pPr>
              <w:jc w:val="center"/>
              <w:rPr>
                <w:bCs/>
                <w:szCs w:val="20"/>
              </w:rPr>
            </w:pPr>
            <w:r>
              <w:rPr>
                <w:bCs/>
                <w:szCs w:val="20"/>
              </w:rPr>
              <w:lastRenderedPageBreak/>
              <w:t>Annual</w:t>
            </w:r>
          </w:p>
        </w:tc>
        <w:tc>
          <w:tcPr>
            <w:tcW w:w="0" w:type="auto"/>
            <w:shd w:val="clear" w:color="auto" w:fill="auto"/>
          </w:tcPr>
          <w:p w14:paraId="391F8887" w14:textId="77777777" w:rsidR="00406F3B" w:rsidRDefault="00406F3B" w:rsidP="00406F3B">
            <w:pPr>
              <w:jc w:val="center"/>
              <w:rPr>
                <w:bCs/>
                <w:szCs w:val="20"/>
              </w:rPr>
            </w:pPr>
            <w:r>
              <w:rPr>
                <w:bCs/>
                <w:szCs w:val="20"/>
              </w:rPr>
              <w:t>Group 2</w:t>
            </w:r>
          </w:p>
        </w:tc>
        <w:tc>
          <w:tcPr>
            <w:tcW w:w="0" w:type="auto"/>
            <w:shd w:val="clear" w:color="auto" w:fill="auto"/>
          </w:tcPr>
          <w:p w14:paraId="09C571A5" w14:textId="77777777" w:rsidR="00406F3B" w:rsidRDefault="00406F3B" w:rsidP="00406F3B">
            <w:pPr>
              <w:pStyle w:val="NoSpacing"/>
            </w:pPr>
            <w:r>
              <w:t>1</w:t>
            </w:r>
            <w:r w:rsidRPr="00013ACB">
              <w:rPr>
                <w:vertAlign w:val="superscript"/>
              </w:rPr>
              <w:t>st</w:t>
            </w:r>
            <w:r>
              <w:t xml:space="preserve"> Round: </w:t>
            </w:r>
          </w:p>
          <w:p w14:paraId="76A58F2B" w14:textId="77777777" w:rsidR="00406F3B" w:rsidRDefault="00406F3B" w:rsidP="00406F3B">
            <w:pPr>
              <w:pStyle w:val="NoSpacing"/>
            </w:pPr>
            <w:r>
              <w:t>2018</w:t>
            </w:r>
          </w:p>
          <w:p w14:paraId="487268B8" w14:textId="77777777" w:rsidR="00406F3B" w:rsidRDefault="00406F3B" w:rsidP="00406F3B">
            <w:pPr>
              <w:pStyle w:val="NoSpacing"/>
            </w:pPr>
          </w:p>
          <w:p w14:paraId="68283DAC" w14:textId="77777777" w:rsidR="00406F3B" w:rsidRDefault="00406F3B" w:rsidP="00406F3B">
            <w:pPr>
              <w:pStyle w:val="NoSpacing"/>
            </w:pPr>
            <w:r>
              <w:t>2</w:t>
            </w:r>
            <w:r w:rsidRPr="00013ACB">
              <w:rPr>
                <w:vertAlign w:val="superscript"/>
              </w:rPr>
              <w:t>nd</w:t>
            </w:r>
            <w:r>
              <w:t xml:space="preserve"> Round: </w:t>
            </w:r>
          </w:p>
          <w:p w14:paraId="6AD2DFBA" w14:textId="77777777" w:rsidR="00406F3B" w:rsidRDefault="00406F3B" w:rsidP="00406F3B">
            <w:pPr>
              <w:pStyle w:val="NoSpacing"/>
            </w:pPr>
            <w:r>
              <w:t xml:space="preserve">January </w:t>
            </w:r>
          </w:p>
          <w:p w14:paraId="36DDC028" w14:textId="77777777" w:rsidR="00406F3B" w:rsidRDefault="00406F3B" w:rsidP="00406F3B">
            <w:pPr>
              <w:pStyle w:val="NoSpacing"/>
            </w:pPr>
            <w:r>
              <w:t>2019</w:t>
            </w:r>
          </w:p>
          <w:p w14:paraId="7421936C" w14:textId="77777777" w:rsidR="00406F3B" w:rsidRDefault="00406F3B" w:rsidP="00406F3B">
            <w:pPr>
              <w:pStyle w:val="NoSpacing"/>
            </w:pPr>
          </w:p>
          <w:p w14:paraId="47218EB8" w14:textId="77777777" w:rsidR="00406F3B" w:rsidRDefault="00406F3B" w:rsidP="00406F3B">
            <w:pPr>
              <w:pStyle w:val="NoSpacing"/>
            </w:pPr>
            <w:r>
              <w:lastRenderedPageBreak/>
              <w:t>3</w:t>
            </w:r>
            <w:r w:rsidRPr="00013ACB">
              <w:rPr>
                <w:vertAlign w:val="superscript"/>
              </w:rPr>
              <w:t>rd</w:t>
            </w:r>
            <w:r>
              <w:t xml:space="preserve"> Round: </w:t>
            </w:r>
          </w:p>
          <w:p w14:paraId="6D6D05AD" w14:textId="77777777" w:rsidR="00406F3B" w:rsidRDefault="00406F3B" w:rsidP="00406F3B">
            <w:pPr>
              <w:pStyle w:val="NoSpacing"/>
            </w:pPr>
            <w:r>
              <w:t xml:space="preserve">January </w:t>
            </w:r>
          </w:p>
          <w:p w14:paraId="0A7FC014" w14:textId="77777777" w:rsidR="00406F3B" w:rsidRDefault="00406F3B" w:rsidP="00406F3B">
            <w:pPr>
              <w:pStyle w:val="NoSpacing"/>
            </w:pPr>
            <w:r>
              <w:t>2020</w:t>
            </w:r>
          </w:p>
          <w:p w14:paraId="61F8670D" w14:textId="77777777" w:rsidR="00406F3B" w:rsidRDefault="00406F3B" w:rsidP="00406F3B">
            <w:pPr>
              <w:pStyle w:val="NoSpacing"/>
            </w:pPr>
          </w:p>
          <w:p w14:paraId="119648E0" w14:textId="77777777" w:rsidR="00406F3B" w:rsidRDefault="00406F3B" w:rsidP="00406F3B">
            <w:pPr>
              <w:pStyle w:val="NoSpacing"/>
            </w:pPr>
            <w:r>
              <w:t>4</w:t>
            </w:r>
            <w:r w:rsidRPr="00013ACB">
              <w:rPr>
                <w:vertAlign w:val="superscript"/>
              </w:rPr>
              <w:t>th</w:t>
            </w:r>
            <w:r>
              <w:t xml:space="preserve"> Round: </w:t>
            </w:r>
          </w:p>
          <w:p w14:paraId="4D76631C" w14:textId="77777777" w:rsidR="00406F3B" w:rsidRDefault="00406F3B" w:rsidP="00406F3B">
            <w:pPr>
              <w:pStyle w:val="NoSpacing"/>
            </w:pPr>
            <w:r>
              <w:t xml:space="preserve">January </w:t>
            </w:r>
          </w:p>
          <w:p w14:paraId="51C509AE" w14:textId="77777777" w:rsidR="00406F3B" w:rsidRDefault="00406F3B" w:rsidP="00406F3B">
            <w:pPr>
              <w:pStyle w:val="NoSpacing"/>
            </w:pPr>
            <w:r>
              <w:t>2021</w:t>
            </w:r>
          </w:p>
          <w:p w14:paraId="0F113041" w14:textId="77777777" w:rsidR="00406F3B" w:rsidRDefault="00406F3B" w:rsidP="00406F3B">
            <w:pPr>
              <w:pStyle w:val="NoSpacing"/>
            </w:pPr>
          </w:p>
          <w:p w14:paraId="2174F180" w14:textId="77777777" w:rsidR="00406F3B" w:rsidRDefault="00406F3B" w:rsidP="00406F3B">
            <w:pPr>
              <w:pStyle w:val="NoSpacing"/>
            </w:pPr>
            <w:r>
              <w:t>5</w:t>
            </w:r>
            <w:r w:rsidRPr="00013ACB">
              <w:rPr>
                <w:vertAlign w:val="superscript"/>
              </w:rPr>
              <w:t>th</w:t>
            </w:r>
            <w:r>
              <w:t xml:space="preserve"> Round: </w:t>
            </w:r>
          </w:p>
          <w:p w14:paraId="1E6184B5" w14:textId="77777777" w:rsidR="00406F3B" w:rsidRDefault="00406F3B" w:rsidP="00406F3B">
            <w:pPr>
              <w:pStyle w:val="NoSpacing"/>
            </w:pPr>
            <w:r>
              <w:t xml:space="preserve">January </w:t>
            </w:r>
          </w:p>
          <w:p w14:paraId="1E2CD8FD" w14:textId="77777777" w:rsidR="00406F3B" w:rsidRDefault="00406F3B" w:rsidP="00406F3B">
            <w:pPr>
              <w:pStyle w:val="NoSpacing"/>
            </w:pPr>
            <w:r>
              <w:t>2022</w:t>
            </w:r>
          </w:p>
          <w:p w14:paraId="79489148" w14:textId="597F508F" w:rsidR="00406F3B" w:rsidRPr="001C238F" w:rsidRDefault="00406F3B" w:rsidP="00406F3B">
            <w:pPr>
              <w:pStyle w:val="NoSpacing"/>
            </w:pPr>
          </w:p>
        </w:tc>
        <w:tc>
          <w:tcPr>
            <w:tcW w:w="0" w:type="auto"/>
            <w:shd w:val="clear" w:color="auto" w:fill="auto"/>
          </w:tcPr>
          <w:p w14:paraId="6FFA77CE" w14:textId="77777777" w:rsidR="00406F3B" w:rsidRDefault="00406F3B" w:rsidP="00406F3B">
            <w:pPr>
              <w:jc w:val="both"/>
              <w:rPr>
                <w:bCs/>
                <w:szCs w:val="20"/>
              </w:rPr>
            </w:pPr>
            <w:r>
              <w:rPr>
                <w:bCs/>
                <w:szCs w:val="20"/>
              </w:rPr>
              <w:lastRenderedPageBreak/>
              <w:t>There are no agricultural export subsidies in Bangladesh</w:t>
            </w:r>
          </w:p>
        </w:tc>
      </w:tr>
      <w:tr w:rsidR="00DB32C0" w14:paraId="24B06AFD" w14:textId="77777777" w:rsidTr="0085651F">
        <w:tc>
          <w:tcPr>
            <w:tcW w:w="0" w:type="auto"/>
            <w:gridSpan w:val="14"/>
            <w:shd w:val="clear" w:color="auto" w:fill="auto"/>
          </w:tcPr>
          <w:p w14:paraId="66389B73" w14:textId="77777777" w:rsidR="00DB32C0" w:rsidRPr="00D521BB" w:rsidRDefault="00DB32C0" w:rsidP="00406F3B">
            <w:pPr>
              <w:ind w:left="970" w:hanging="970"/>
              <w:jc w:val="both"/>
              <w:rPr>
                <w:color w:val="996600"/>
                <w:sz w:val="30"/>
                <w:szCs w:val="30"/>
              </w:rPr>
            </w:pPr>
            <w:r>
              <w:rPr>
                <w:color w:val="996600"/>
                <w:sz w:val="30"/>
                <w:szCs w:val="30"/>
              </w:rPr>
              <w:lastRenderedPageBreak/>
              <w:t xml:space="preserve">Target </w:t>
            </w:r>
            <w:r w:rsidRPr="00D521BB">
              <w:rPr>
                <w:color w:val="996600"/>
                <w:sz w:val="30"/>
                <w:szCs w:val="30"/>
              </w:rPr>
              <w:t>2.c Adopt measures to ensure the proper functioning of food commodity markets and their derivatives and facilitate timely access to market information, including on food reserves, in order to help limit extreme food price volatility</w:t>
            </w:r>
          </w:p>
        </w:tc>
      </w:tr>
      <w:tr w:rsidR="0098022F" w14:paraId="4CE41227" w14:textId="77777777" w:rsidTr="0085651F">
        <w:tc>
          <w:tcPr>
            <w:tcW w:w="0" w:type="auto"/>
            <w:gridSpan w:val="2"/>
            <w:shd w:val="clear" w:color="auto" w:fill="auto"/>
          </w:tcPr>
          <w:p w14:paraId="1F052814" w14:textId="77777777" w:rsidR="00406F3B" w:rsidRPr="00D521BB" w:rsidRDefault="00406F3B" w:rsidP="00406F3B">
            <w:pPr>
              <w:rPr>
                <w:szCs w:val="20"/>
              </w:rPr>
            </w:pPr>
            <w:r w:rsidRPr="00D521BB">
              <w:rPr>
                <w:szCs w:val="20"/>
              </w:rPr>
              <w:t>2.c.1 Indicator of food price anomalies</w:t>
            </w:r>
          </w:p>
        </w:tc>
        <w:tc>
          <w:tcPr>
            <w:tcW w:w="0" w:type="auto"/>
            <w:shd w:val="clear" w:color="auto" w:fill="auto"/>
          </w:tcPr>
          <w:p w14:paraId="23DF5BA3" w14:textId="77777777" w:rsidR="00406F3B" w:rsidRDefault="00406F3B" w:rsidP="00406F3B">
            <w:pPr>
              <w:jc w:val="center"/>
              <w:rPr>
                <w:szCs w:val="20"/>
              </w:rPr>
            </w:pPr>
            <w:r>
              <w:rPr>
                <w:szCs w:val="20"/>
              </w:rPr>
              <w:t>FAO</w:t>
            </w:r>
          </w:p>
        </w:tc>
        <w:tc>
          <w:tcPr>
            <w:tcW w:w="0" w:type="auto"/>
            <w:shd w:val="clear" w:color="auto" w:fill="auto"/>
          </w:tcPr>
          <w:p w14:paraId="4ACB43EC" w14:textId="77777777" w:rsidR="00406F3B" w:rsidRDefault="00406F3B" w:rsidP="00406F3B">
            <w:pPr>
              <w:jc w:val="center"/>
              <w:rPr>
                <w:szCs w:val="20"/>
              </w:rPr>
            </w:pPr>
            <w:r>
              <w:rPr>
                <w:szCs w:val="20"/>
              </w:rPr>
              <w:t>Tier II</w:t>
            </w:r>
          </w:p>
        </w:tc>
        <w:tc>
          <w:tcPr>
            <w:tcW w:w="0" w:type="auto"/>
            <w:shd w:val="clear" w:color="auto" w:fill="auto"/>
          </w:tcPr>
          <w:p w14:paraId="72F9880D" w14:textId="77777777" w:rsidR="00406F3B" w:rsidRPr="00D521BB" w:rsidRDefault="00406F3B" w:rsidP="00406F3B">
            <w:pPr>
              <w:jc w:val="both"/>
              <w:rPr>
                <w:b/>
                <w:bCs/>
                <w:szCs w:val="20"/>
              </w:rPr>
            </w:pPr>
            <w:r w:rsidRPr="00D521BB">
              <w:rPr>
                <w:b/>
                <w:bCs/>
                <w:szCs w:val="20"/>
              </w:rPr>
              <w:t>Definition:</w:t>
            </w:r>
          </w:p>
          <w:p w14:paraId="69E55A53" w14:textId="77777777" w:rsidR="00406F3B" w:rsidRDefault="00406F3B" w:rsidP="00406F3B">
            <w:pPr>
              <w:jc w:val="both"/>
              <w:rPr>
                <w:szCs w:val="20"/>
              </w:rPr>
            </w:pPr>
            <w:r w:rsidRPr="00A4052A">
              <w:rPr>
                <w:szCs w:val="20"/>
              </w:rPr>
              <w:t>The indicator of food price anomalies (IFPA) identifies markets prices that are abnormally high. The IFPA</w:t>
            </w:r>
            <w:r>
              <w:rPr>
                <w:szCs w:val="20"/>
              </w:rPr>
              <w:t xml:space="preserve"> </w:t>
            </w:r>
            <w:r w:rsidRPr="00A4052A">
              <w:rPr>
                <w:szCs w:val="20"/>
              </w:rPr>
              <w:t>relies on a weighted compound growth rate that accounts for both within year and across year price</w:t>
            </w:r>
            <w:r>
              <w:rPr>
                <w:szCs w:val="20"/>
              </w:rPr>
              <w:t xml:space="preserve"> </w:t>
            </w:r>
            <w:r w:rsidRPr="00A4052A">
              <w:rPr>
                <w:szCs w:val="20"/>
              </w:rPr>
              <w:t>growth. The indicator directly evaluates growth in prices over a particular month over many years, taking</w:t>
            </w:r>
            <w:r>
              <w:rPr>
                <w:szCs w:val="20"/>
              </w:rPr>
              <w:t xml:space="preserve"> </w:t>
            </w:r>
            <w:r w:rsidRPr="00A4052A">
              <w:rPr>
                <w:szCs w:val="20"/>
              </w:rPr>
              <w:t xml:space="preserve">into account seasonality in agricultural markets and inflation, allowing </w:t>
            </w:r>
            <w:proofErr w:type="gramStart"/>
            <w:r w:rsidRPr="00A4052A">
              <w:rPr>
                <w:szCs w:val="20"/>
              </w:rPr>
              <w:t>to answer</w:t>
            </w:r>
            <w:proofErr w:type="gramEnd"/>
            <w:r w:rsidRPr="00A4052A">
              <w:rPr>
                <w:szCs w:val="20"/>
              </w:rPr>
              <w:t xml:space="preserve"> the question of whether</w:t>
            </w:r>
            <w:r>
              <w:rPr>
                <w:szCs w:val="20"/>
              </w:rPr>
              <w:t xml:space="preserve"> </w:t>
            </w:r>
            <w:r w:rsidRPr="00A4052A">
              <w:rPr>
                <w:szCs w:val="20"/>
              </w:rPr>
              <w:t>or not a change in price is abnormal for any particular period.</w:t>
            </w:r>
          </w:p>
          <w:p w14:paraId="54AC7AB3" w14:textId="77777777" w:rsidR="00406F3B" w:rsidRDefault="00406F3B" w:rsidP="00406F3B">
            <w:pPr>
              <w:jc w:val="both"/>
              <w:rPr>
                <w:b/>
                <w:bCs/>
                <w:szCs w:val="20"/>
              </w:rPr>
            </w:pPr>
            <w:r w:rsidRPr="00D521BB">
              <w:rPr>
                <w:b/>
                <w:bCs/>
                <w:szCs w:val="20"/>
              </w:rPr>
              <w:t>Concepts:</w:t>
            </w:r>
          </w:p>
          <w:p w14:paraId="77EC127F" w14:textId="77777777" w:rsidR="00406F3B" w:rsidRPr="000C4849" w:rsidRDefault="00406F3B" w:rsidP="00406F3B">
            <w:pPr>
              <w:jc w:val="both"/>
              <w:rPr>
                <w:bCs/>
                <w:szCs w:val="20"/>
              </w:rPr>
            </w:pPr>
            <w:r w:rsidRPr="000C4849">
              <w:rPr>
                <w:bCs/>
                <w:szCs w:val="20"/>
              </w:rPr>
              <w:t xml:space="preserve">The indicator of price anomalies (IFPA) relies on two compound growth </w:t>
            </w:r>
            <w:r w:rsidRPr="000C4849">
              <w:rPr>
                <w:bCs/>
                <w:szCs w:val="20"/>
              </w:rPr>
              <w:lastRenderedPageBreak/>
              <w:t xml:space="preserve">rates (CGR’s), a quarterly compound growth rate (CQGR) and an annual compound growth rate (CAGR). A CGR is a geometric </w:t>
            </w:r>
            <w:proofErr w:type="gramStart"/>
            <w:r w:rsidRPr="000C4849">
              <w:rPr>
                <w:bCs/>
                <w:szCs w:val="20"/>
              </w:rPr>
              <w:t>mean  that</w:t>
            </w:r>
            <w:proofErr w:type="gramEnd"/>
            <w:r w:rsidRPr="000C4849">
              <w:rPr>
                <w:bCs/>
                <w:szCs w:val="20"/>
              </w:rPr>
              <w:t xml:space="preserve"> assumes that a random variable grows at a steady rate, compounded over a specific period of time. Because it assumes a steady rate of growth the CGR smoothes the effect of volatility of price changes. The CGR is the growth in any random variable from time period t_A to t_B, raised to the power of one over the length of the period of time being considered</w:t>
            </w:r>
          </w:p>
          <w:p w14:paraId="368E7A70" w14:textId="77777777" w:rsidR="00406F3B" w:rsidRDefault="004B4A24" w:rsidP="00406F3B">
            <w:pPr>
              <w:jc w:val="both"/>
              <w:rPr>
                <w:bCs/>
                <w:szCs w:val="20"/>
              </w:rPr>
            </w:pPr>
            <m:oMathPara>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CXGR</m:t>
                    </m:r>
                  </m:e>
                  <m:sub>
                    <m:r>
                      <w:rPr>
                        <w:rFonts w:ascii="Cambria Math" w:hAnsi="Cambria Math" w:cstheme="minorHAnsi"/>
                        <w:color w:val="262626" w:themeColor="text1" w:themeTint="D9"/>
                        <w:sz w:val="21"/>
                        <w:szCs w:val="21"/>
                      </w:rPr>
                      <m:t>t</m:t>
                    </m:r>
                  </m:sub>
                </m:sSub>
                <m:r>
                  <w:rPr>
                    <w:rFonts w:ascii="Cambria Math" w:hAnsi="Cambria Math" w:cstheme="minorHAnsi"/>
                    <w:color w:val="262626" w:themeColor="text1" w:themeTint="D9"/>
                    <w:sz w:val="21"/>
                    <w:szCs w:val="21"/>
                  </w:rPr>
                  <m:t>=</m:t>
                </m:r>
                <m:sSup>
                  <m:sSupPr>
                    <m:ctrlPr>
                      <w:rPr>
                        <w:rFonts w:ascii="Cambria Math" w:hAnsi="Cambria Math" w:cstheme="minorHAnsi"/>
                        <w:i/>
                        <w:iCs/>
                        <w:color w:val="262626" w:themeColor="text1" w:themeTint="D9"/>
                        <w:sz w:val="21"/>
                        <w:szCs w:val="21"/>
                      </w:rPr>
                    </m:ctrlPr>
                  </m:sSupPr>
                  <m:e>
                    <m:d>
                      <m:dPr>
                        <m:ctrlPr>
                          <w:rPr>
                            <w:rFonts w:ascii="Cambria Math" w:hAnsi="Cambria Math" w:cstheme="minorHAnsi"/>
                            <w:i/>
                            <w:iCs/>
                            <w:color w:val="262626" w:themeColor="text1" w:themeTint="D9"/>
                            <w:sz w:val="21"/>
                            <w:szCs w:val="21"/>
                          </w:rPr>
                        </m:ctrlPr>
                      </m:dPr>
                      <m:e>
                        <m:f>
                          <m:fPr>
                            <m:ctrlPr>
                              <w:rPr>
                                <w:rFonts w:ascii="Cambria Math" w:hAnsi="Cambria Math" w:cstheme="minorHAnsi"/>
                                <w:i/>
                                <w:iCs/>
                                <w:color w:val="262626" w:themeColor="text1" w:themeTint="D9"/>
                                <w:sz w:val="21"/>
                                <w:szCs w:val="21"/>
                              </w:rPr>
                            </m:ctrlPr>
                          </m:fPr>
                          <m:num>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P</m:t>
                                </m:r>
                              </m:e>
                              <m:sub>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B</m:t>
                                    </m:r>
                                  </m:sub>
                                </m:sSub>
                              </m:sub>
                            </m:sSub>
                          </m:num>
                          <m:den>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P</m:t>
                                </m:r>
                              </m:e>
                              <m:sub>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A</m:t>
                                    </m:r>
                                  </m:sub>
                                </m:sSub>
                              </m:sub>
                            </m:sSub>
                          </m:den>
                        </m:f>
                      </m:e>
                    </m:d>
                  </m:e>
                  <m:sup>
                    <m:f>
                      <m:fPr>
                        <m:ctrlPr>
                          <w:rPr>
                            <w:rFonts w:ascii="Cambria Math" w:hAnsi="Cambria Math" w:cstheme="minorHAnsi"/>
                            <w:i/>
                            <w:iCs/>
                            <w:color w:val="262626" w:themeColor="text1" w:themeTint="D9"/>
                            <w:sz w:val="21"/>
                            <w:szCs w:val="21"/>
                          </w:rPr>
                        </m:ctrlPr>
                      </m:fPr>
                      <m:num>
                        <m:r>
                          <w:rPr>
                            <w:rFonts w:ascii="Cambria Math" w:hAnsi="Cambria Math" w:cstheme="minorHAnsi"/>
                            <w:color w:val="262626" w:themeColor="text1" w:themeTint="D9"/>
                            <w:sz w:val="21"/>
                            <w:szCs w:val="21"/>
                          </w:rPr>
                          <m:t>1</m:t>
                        </m:r>
                      </m:num>
                      <m:den>
                        <m:sSub>
                          <m:sSubPr>
                            <m:ctrlPr>
                              <w:rPr>
                                <w:rFonts w:ascii="Cambria Math" w:hAnsi="Cambria Math" w:cstheme="minorHAnsi"/>
                                <w:i/>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B</m:t>
                            </m:r>
                          </m:sub>
                        </m:sSub>
                        <m:r>
                          <w:rPr>
                            <w:rFonts w:ascii="Cambria Math" w:hAnsi="Cambria Math" w:cstheme="minorHAnsi"/>
                            <w:color w:val="262626" w:themeColor="text1" w:themeTint="D9"/>
                            <w:sz w:val="21"/>
                            <w:szCs w:val="21"/>
                          </w:rPr>
                          <m:t>-</m:t>
                        </m:r>
                        <m:sSub>
                          <m:sSubPr>
                            <m:ctrlPr>
                              <w:rPr>
                                <w:rFonts w:ascii="Cambria Math" w:hAnsi="Cambria Math" w:cstheme="minorHAnsi"/>
                                <w:i/>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A</m:t>
                            </m:r>
                          </m:sub>
                        </m:sSub>
                      </m:den>
                    </m:f>
                  </m:sup>
                </m:sSup>
                <m:r>
                  <w:rPr>
                    <w:rFonts w:ascii="Cambria Math" w:hAnsi="Cambria Math" w:cstheme="minorHAnsi"/>
                    <w:color w:val="262626" w:themeColor="text1" w:themeTint="D9"/>
                    <w:sz w:val="21"/>
                    <w:szCs w:val="21"/>
                  </w:rPr>
                  <m:t>-1</m:t>
                </m:r>
              </m:oMath>
            </m:oMathPara>
          </w:p>
          <w:p w14:paraId="12FBEE89" w14:textId="77777777" w:rsidR="00406F3B" w:rsidRPr="000C4849" w:rsidRDefault="00406F3B" w:rsidP="00406F3B">
            <w:pPr>
              <w:jc w:val="both"/>
              <w:rPr>
                <w:bCs/>
                <w:szCs w:val="20"/>
              </w:rPr>
            </w:pPr>
            <w:r w:rsidRPr="000C4849">
              <w:rPr>
                <w:bCs/>
                <w:szCs w:val="20"/>
              </w:rPr>
              <w:t>Where:</w:t>
            </w:r>
          </w:p>
          <w:p w14:paraId="65FABB0F" w14:textId="77777777" w:rsidR="00406F3B" w:rsidRPr="000C4849" w:rsidRDefault="004B4A24" w:rsidP="00406F3B">
            <w:pPr>
              <w:jc w:val="both"/>
              <w:rPr>
                <w:bCs/>
                <w:szCs w:val="20"/>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CXGR</m:t>
                  </m:r>
                </m:e>
                <m:sub>
                  <m:r>
                    <w:rPr>
                      <w:rFonts w:ascii="Cambria Math" w:hAnsi="Cambria Math" w:cstheme="minorHAnsi"/>
                      <w:color w:val="262626" w:themeColor="text1" w:themeTint="D9"/>
                      <w:sz w:val="21"/>
                      <w:szCs w:val="21"/>
                    </w:rPr>
                    <m:t>t</m:t>
                  </m:r>
                </m:sub>
              </m:sSub>
            </m:oMath>
            <w:r w:rsidR="00406F3B" w:rsidRPr="000C4849">
              <w:rPr>
                <w:bCs/>
                <w:szCs w:val="20"/>
              </w:rPr>
              <w:t>is the quarterly or annual compound growth rate in month t</w:t>
            </w:r>
          </w:p>
          <w:p w14:paraId="5EE71E9E" w14:textId="77777777" w:rsidR="00406F3B" w:rsidRPr="000C4849" w:rsidRDefault="004B4A24" w:rsidP="00406F3B">
            <w:pPr>
              <w:jc w:val="both"/>
              <w:rPr>
                <w:bCs/>
                <w:szCs w:val="20"/>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P</m:t>
                  </m:r>
                </m:e>
                <m:sub>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A</m:t>
                      </m:r>
                    </m:sub>
                  </m:sSub>
                </m:sub>
              </m:sSub>
            </m:oMath>
            <w:r w:rsidR="00406F3B">
              <w:rPr>
                <w:bCs/>
                <w:szCs w:val="20"/>
              </w:rPr>
              <w:t xml:space="preserve"> </w:t>
            </w:r>
            <w:r w:rsidR="00406F3B" w:rsidRPr="000C4849">
              <w:rPr>
                <w:bCs/>
                <w:szCs w:val="20"/>
              </w:rPr>
              <w:t>is the price at the beginning of the period</w:t>
            </w:r>
          </w:p>
          <w:p w14:paraId="638E6A04" w14:textId="77777777" w:rsidR="00406F3B" w:rsidRPr="000C4849" w:rsidRDefault="004B4A24" w:rsidP="00406F3B">
            <w:pPr>
              <w:jc w:val="both"/>
              <w:rPr>
                <w:bCs/>
                <w:szCs w:val="20"/>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P</m:t>
                  </m:r>
                </m:e>
                <m:sub>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B</m:t>
                      </m:r>
                    </m:sub>
                  </m:sSub>
                </m:sub>
              </m:sSub>
              <m:r>
                <w:rPr>
                  <w:rFonts w:ascii="Cambria Math" w:hAnsi="Cambria Math" w:cstheme="minorHAnsi"/>
                  <w:color w:val="262626" w:themeColor="text1" w:themeTint="D9"/>
                  <w:sz w:val="21"/>
                  <w:szCs w:val="21"/>
                </w:rPr>
                <m:t xml:space="preserve"> </m:t>
              </m:r>
            </m:oMath>
            <w:r w:rsidR="00406F3B" w:rsidRPr="000C4849">
              <w:rPr>
                <w:bCs/>
                <w:szCs w:val="20"/>
              </w:rPr>
              <w:t xml:space="preserve">is the price at the end of the period, </w:t>
            </w:r>
          </w:p>
          <w:p w14:paraId="6985F464" w14:textId="77777777" w:rsidR="00406F3B" w:rsidRPr="000C4849" w:rsidRDefault="004B4A24" w:rsidP="00406F3B">
            <w:pPr>
              <w:jc w:val="both"/>
              <w:rPr>
                <w:bCs/>
                <w:szCs w:val="20"/>
              </w:rPr>
            </w:pPr>
            <m:oMath>
              <m:sSub>
                <m:sSubPr>
                  <m:ctrlPr>
                    <w:rPr>
                      <w:rFonts w:ascii="Cambria Math" w:hAnsi="Cambria Math" w:cstheme="minorHAnsi"/>
                      <w:i/>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B</m:t>
                  </m:r>
                </m:sub>
              </m:sSub>
              <m:r>
                <w:rPr>
                  <w:rFonts w:ascii="Cambria Math" w:hAnsi="Cambria Math" w:cstheme="minorHAnsi"/>
                  <w:color w:val="262626" w:themeColor="text1" w:themeTint="D9"/>
                  <w:sz w:val="21"/>
                  <w:szCs w:val="21"/>
                </w:rPr>
                <m:t>-</m:t>
              </m:r>
              <m:sSub>
                <m:sSubPr>
                  <m:ctrlPr>
                    <w:rPr>
                      <w:rFonts w:ascii="Cambria Math" w:hAnsi="Cambria Math" w:cstheme="minorHAnsi"/>
                      <w:i/>
                      <w:color w:val="262626" w:themeColor="text1" w:themeTint="D9"/>
                      <w:sz w:val="21"/>
                      <w:szCs w:val="21"/>
                    </w:rPr>
                  </m:ctrlPr>
                </m:sSubPr>
                <m:e>
                  <m:r>
                    <w:rPr>
                      <w:rFonts w:ascii="Cambria Math" w:hAnsi="Cambria Math" w:cstheme="minorHAnsi"/>
                      <w:color w:val="262626" w:themeColor="text1" w:themeTint="D9"/>
                      <w:sz w:val="21"/>
                      <w:szCs w:val="21"/>
                    </w:rPr>
                    <m:t>t</m:t>
                  </m:r>
                </m:e>
                <m:sub>
                  <m:r>
                    <w:rPr>
                      <w:rFonts w:ascii="Cambria Math" w:hAnsi="Cambria Math" w:cstheme="minorHAnsi"/>
                      <w:color w:val="262626" w:themeColor="text1" w:themeTint="D9"/>
                      <w:sz w:val="21"/>
                      <w:szCs w:val="21"/>
                    </w:rPr>
                    <m:t>A</m:t>
                  </m:r>
                </m:sub>
              </m:sSub>
            </m:oMath>
            <w:r w:rsidR="00406F3B" w:rsidRPr="000C4849">
              <w:rPr>
                <w:bCs/>
                <w:szCs w:val="20"/>
              </w:rPr>
              <w:t xml:space="preserve"> </w:t>
            </w:r>
            <w:proofErr w:type="gramStart"/>
            <w:r w:rsidR="00406F3B" w:rsidRPr="000C4849">
              <w:rPr>
                <w:bCs/>
                <w:szCs w:val="20"/>
              </w:rPr>
              <w:t>is</w:t>
            </w:r>
            <w:proofErr w:type="gramEnd"/>
            <w:r w:rsidR="00406F3B" w:rsidRPr="000C4849">
              <w:rPr>
                <w:bCs/>
                <w:szCs w:val="20"/>
              </w:rPr>
              <w:t xml:space="preserve"> the time in months between periods A and B.</w:t>
            </w:r>
          </w:p>
          <w:p w14:paraId="52FD9178" w14:textId="77777777" w:rsidR="00406F3B" w:rsidRPr="000C4849" w:rsidRDefault="00406F3B" w:rsidP="00406F3B">
            <w:pPr>
              <w:jc w:val="both"/>
              <w:rPr>
                <w:bCs/>
                <w:szCs w:val="20"/>
              </w:rPr>
            </w:pPr>
            <w:r w:rsidRPr="000C4849">
              <w:rPr>
                <w:bCs/>
                <w:szCs w:val="20"/>
              </w:rPr>
              <w:t xml:space="preserve">The quarterly </w:t>
            </w:r>
            <m:oMath>
              <m:r>
                <w:rPr>
                  <w:rFonts w:ascii="Cambria Math" w:hAnsi="Cambria Math" w:cstheme="minorHAnsi"/>
                  <w:color w:val="262626" w:themeColor="text1" w:themeTint="D9"/>
                  <w:sz w:val="21"/>
                  <w:szCs w:val="21"/>
                </w:rPr>
                <m:t>(</m:t>
              </m:r>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QIFPA</m:t>
                  </m:r>
                </m:e>
                <m:sub>
                  <m:r>
                    <w:rPr>
                      <w:rFonts w:ascii="Cambria Math" w:hAnsi="Cambria Math" w:cstheme="minorHAnsi"/>
                      <w:color w:val="262626" w:themeColor="text1" w:themeTint="D9"/>
                      <w:sz w:val="21"/>
                      <w:szCs w:val="21"/>
                    </w:rPr>
                    <m:t>yt</m:t>
                  </m:r>
                </m:sub>
                <m:sup/>
              </m:sSubSup>
              <m:r>
                <w:rPr>
                  <w:rFonts w:ascii="Cambria Math" w:hAnsi="Cambria Math" w:cstheme="minorHAnsi"/>
                  <w:color w:val="262626" w:themeColor="text1" w:themeTint="D9"/>
                  <w:sz w:val="21"/>
                  <w:szCs w:val="21"/>
                </w:rPr>
                <m:t>)</m:t>
              </m:r>
            </m:oMath>
            <w:r w:rsidRPr="000C4849">
              <w:rPr>
                <w:bCs/>
                <w:szCs w:val="20"/>
              </w:rPr>
              <w:t xml:space="preserve"> and annual </w:t>
            </w:r>
            <m:oMath>
              <m:r>
                <w:rPr>
                  <w:rFonts w:ascii="Cambria Math" w:hAnsi="Cambria Math" w:cstheme="minorHAnsi"/>
                  <w:color w:val="262626" w:themeColor="text1" w:themeTint="D9"/>
                  <w:sz w:val="21"/>
                  <w:szCs w:val="21"/>
                </w:rPr>
                <m:t>(</m:t>
              </m:r>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AIFPA</m:t>
                  </m:r>
                </m:e>
                <m:sub>
                  <m:r>
                    <w:rPr>
                      <w:rFonts w:ascii="Cambria Math" w:hAnsi="Cambria Math" w:cstheme="minorHAnsi"/>
                      <w:color w:val="262626" w:themeColor="text1" w:themeTint="D9"/>
                      <w:sz w:val="21"/>
                      <w:szCs w:val="21"/>
                    </w:rPr>
                    <m:t>yt</m:t>
                  </m:r>
                </m:sub>
                <m:sup/>
              </m:sSubSup>
              <m:r>
                <w:rPr>
                  <w:rFonts w:ascii="Cambria Math" w:hAnsi="Cambria Math" w:cstheme="minorHAnsi"/>
                  <w:color w:val="262626" w:themeColor="text1" w:themeTint="D9"/>
                  <w:sz w:val="21"/>
                  <w:szCs w:val="21"/>
                </w:rPr>
                <m:t>)</m:t>
              </m:r>
            </m:oMath>
            <w:r w:rsidRPr="000C4849">
              <w:rPr>
                <w:bCs/>
                <w:szCs w:val="20"/>
              </w:rPr>
              <w:t>indicators of food price anomalies are then defined as:</w:t>
            </w:r>
          </w:p>
          <w:p w14:paraId="64C28D12" w14:textId="77777777" w:rsidR="00406F3B" w:rsidRPr="000C4849" w:rsidRDefault="004B4A24" w:rsidP="00406F3B">
            <w:pPr>
              <w:jc w:val="both"/>
              <w:rPr>
                <w:rFonts w:eastAsiaTheme="minorEastAsia"/>
                <w:iCs/>
                <w:color w:val="262626" w:themeColor="text1" w:themeTint="D9"/>
                <w:sz w:val="21"/>
                <w:szCs w:val="21"/>
              </w:rPr>
            </w:pPr>
            <m:oMathPara>
              <m:oMath>
                <m:d>
                  <m:dPr>
                    <m:ctrlPr>
                      <w:rPr>
                        <w:rFonts w:ascii="Cambria Math" w:hAnsi="Cambria Math" w:cstheme="minorHAnsi"/>
                        <w:i/>
                        <w:iCs/>
                        <w:color w:val="262626" w:themeColor="text1" w:themeTint="D9"/>
                        <w:sz w:val="21"/>
                        <w:szCs w:val="21"/>
                      </w:rPr>
                    </m:ctrlPr>
                  </m:dPr>
                  <m:e>
                    <m:f>
                      <m:fPr>
                        <m:ctrlPr>
                          <w:rPr>
                            <w:rFonts w:ascii="Cambria Math" w:hAnsi="Cambria Math" w:cstheme="minorHAnsi"/>
                            <w:i/>
                            <w:iCs/>
                            <w:color w:val="262626" w:themeColor="text1" w:themeTint="D9"/>
                            <w:sz w:val="21"/>
                            <w:szCs w:val="21"/>
                          </w:rPr>
                        </m:ctrlPr>
                      </m:fPr>
                      <m:num>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CXGR</m:t>
                            </m:r>
                          </m:e>
                          <m:sub>
                            <m:r>
                              <w:rPr>
                                <w:rFonts w:ascii="Cambria Math" w:hAnsi="Cambria Math" w:cstheme="minorHAnsi"/>
                                <w:color w:val="262626" w:themeColor="text1" w:themeTint="D9"/>
                                <w:sz w:val="21"/>
                                <w:szCs w:val="21"/>
                              </w:rPr>
                              <m:t>yt</m:t>
                            </m:r>
                          </m:sub>
                        </m:sSub>
                        <m:r>
                          <w:rPr>
                            <w:rFonts w:ascii="Cambria Math" w:hAnsi="Cambria Math" w:cstheme="minorHAnsi"/>
                            <w:color w:val="262626" w:themeColor="text1" w:themeTint="D9"/>
                            <w:sz w:val="21"/>
                            <w:szCs w:val="21"/>
                          </w:rPr>
                          <m:t>-</m:t>
                        </m:r>
                        <m:sSub>
                          <m:sSubPr>
                            <m:ctrlPr>
                              <w:rPr>
                                <w:rFonts w:ascii="Cambria Math" w:hAnsi="Cambria Math" w:cstheme="minorHAnsi"/>
                                <w:i/>
                                <w:color w:val="262626" w:themeColor="text1" w:themeTint="D9"/>
                                <w:sz w:val="21"/>
                                <w:szCs w:val="21"/>
                              </w:rPr>
                            </m:ctrlPr>
                          </m:sSubPr>
                          <m:e>
                            <m:bar>
                              <m:barPr>
                                <m:pos m:val="top"/>
                                <m:ctrlPr>
                                  <w:rPr>
                                    <w:rFonts w:ascii="Cambria Math" w:hAnsi="Cambria Math" w:cstheme="minorHAnsi"/>
                                    <w:i/>
                                    <w:color w:val="262626" w:themeColor="text1" w:themeTint="D9"/>
                                    <w:sz w:val="21"/>
                                    <w:szCs w:val="21"/>
                                  </w:rPr>
                                </m:ctrlPr>
                              </m:barPr>
                              <m:e>
                                <m:sSub>
                                  <m:sSubPr>
                                    <m:ctrlPr>
                                      <w:rPr>
                                        <w:rFonts w:ascii="Cambria Math" w:hAnsi="Cambria Math" w:cstheme="minorHAnsi"/>
                                        <w:i/>
                                        <w:color w:val="262626" w:themeColor="text1" w:themeTint="D9"/>
                                        <w:sz w:val="21"/>
                                        <w:szCs w:val="21"/>
                                      </w:rPr>
                                    </m:ctrlPr>
                                  </m:sSubPr>
                                  <m:e>
                                    <m:r>
                                      <w:rPr>
                                        <w:rFonts w:ascii="Cambria Math" w:hAnsi="Cambria Math" w:cstheme="minorHAnsi"/>
                                        <w:color w:val="262626" w:themeColor="text1" w:themeTint="D9"/>
                                        <w:sz w:val="21"/>
                                        <w:szCs w:val="21"/>
                                      </w:rPr>
                                      <m:t>W</m:t>
                                    </m:r>
                                  </m:e>
                                  <m:sub>
                                    <m:r>
                                      <w:rPr>
                                        <w:rFonts w:ascii="Cambria Math" w:hAnsi="Cambria Math" w:cstheme="minorHAnsi"/>
                                        <w:color w:val="262626" w:themeColor="text1" w:themeTint="D9"/>
                                        <w:sz w:val="21"/>
                                        <w:szCs w:val="21"/>
                                      </w:rPr>
                                      <m:t>CXGR</m:t>
                                    </m:r>
                                  </m:sub>
                                </m:sSub>
                              </m:e>
                            </m:bar>
                          </m:e>
                          <m:sub>
                            <m:r>
                              <w:rPr>
                                <w:rFonts w:ascii="Cambria Math" w:hAnsi="Cambria Math" w:cstheme="minorHAnsi"/>
                                <w:color w:val="262626" w:themeColor="text1" w:themeTint="D9"/>
                                <w:sz w:val="21"/>
                                <w:szCs w:val="21"/>
                              </w:rPr>
                              <m:t>t</m:t>
                            </m:r>
                          </m:sub>
                        </m:sSub>
                      </m:num>
                      <m:den>
                        <m:sSub>
                          <m:sSubPr>
                            <m:ctrlPr>
                              <w:rPr>
                                <w:rFonts w:ascii="Cambria Math" w:hAnsi="Cambria Math" w:cstheme="minorHAnsi"/>
                                <w:i/>
                                <w:color w:val="262626" w:themeColor="text1" w:themeTint="D9"/>
                                <w:sz w:val="21"/>
                                <w:szCs w:val="21"/>
                              </w:rPr>
                            </m:ctrlPr>
                          </m:sSubPr>
                          <m:e>
                            <m:acc>
                              <m:accPr>
                                <m:ctrlPr>
                                  <w:rPr>
                                    <w:rFonts w:ascii="Cambria Math" w:hAnsi="Cambria Math" w:cstheme="minorHAnsi"/>
                                    <w:i/>
                                    <w:color w:val="262626" w:themeColor="text1" w:themeTint="D9"/>
                                    <w:sz w:val="21"/>
                                    <w:szCs w:val="21"/>
                                  </w:rPr>
                                </m:ctrlPr>
                              </m:accPr>
                              <m:e>
                                <m:r>
                                  <w:rPr>
                                    <w:rFonts w:ascii="Cambria Math" w:hAnsi="Cambria Math" w:cstheme="minorHAnsi"/>
                                    <w:color w:val="262626" w:themeColor="text1" w:themeTint="D9"/>
                                    <w:sz w:val="21"/>
                                    <w:szCs w:val="21"/>
                                  </w:rPr>
                                  <m:t>σ</m:t>
                                </m:r>
                              </m:e>
                            </m:acc>
                          </m:e>
                          <m:sub>
                            <m:sSub>
                              <m:sSubPr>
                                <m:ctrlPr>
                                  <w:rPr>
                                    <w:rFonts w:ascii="Cambria Math" w:hAnsi="Cambria Math" w:cstheme="minorHAnsi"/>
                                    <w:i/>
                                    <w:color w:val="262626" w:themeColor="text1" w:themeTint="D9"/>
                                    <w:sz w:val="21"/>
                                    <w:szCs w:val="21"/>
                                  </w:rPr>
                                </m:ctrlPr>
                              </m:sSubPr>
                              <m:e>
                                <m:sSub>
                                  <m:sSubPr>
                                    <m:ctrlPr>
                                      <w:rPr>
                                        <w:rFonts w:ascii="Cambria Math" w:hAnsi="Cambria Math" w:cstheme="minorHAnsi"/>
                                        <w:i/>
                                        <w:color w:val="262626" w:themeColor="text1" w:themeTint="D9"/>
                                        <w:sz w:val="21"/>
                                        <w:szCs w:val="21"/>
                                      </w:rPr>
                                    </m:ctrlPr>
                                  </m:sSubPr>
                                  <m:e>
                                    <m:r>
                                      <w:rPr>
                                        <w:rFonts w:ascii="Cambria Math" w:hAnsi="Cambria Math" w:cstheme="minorHAnsi"/>
                                        <w:color w:val="262626" w:themeColor="text1" w:themeTint="D9"/>
                                        <w:sz w:val="21"/>
                                        <w:szCs w:val="21"/>
                                      </w:rPr>
                                      <m:t>W</m:t>
                                    </m:r>
                                  </m:e>
                                  <m:sub>
                                    <m:r>
                                      <w:rPr>
                                        <w:rFonts w:ascii="Cambria Math" w:hAnsi="Cambria Math" w:cstheme="minorHAnsi"/>
                                        <w:color w:val="262626" w:themeColor="text1" w:themeTint="D9"/>
                                        <w:sz w:val="21"/>
                                        <w:szCs w:val="21"/>
                                      </w:rPr>
                                      <m:t>CXGR</m:t>
                                    </m:r>
                                  </m:sub>
                                </m:sSub>
                              </m:e>
                              <m:sub>
                                <m:r>
                                  <w:rPr>
                                    <w:rFonts w:ascii="Cambria Math" w:hAnsi="Cambria Math" w:cstheme="minorHAnsi"/>
                                    <w:color w:val="262626" w:themeColor="text1" w:themeTint="D9"/>
                                    <w:sz w:val="21"/>
                                    <w:szCs w:val="21"/>
                                  </w:rPr>
                                  <m:t>t</m:t>
                                </m:r>
                              </m:sub>
                            </m:sSub>
                          </m:sub>
                        </m:sSub>
                      </m:den>
                    </m:f>
                  </m:e>
                </m:d>
                <m:r>
                  <w:rPr>
                    <w:rFonts w:ascii="Cambria Math" w:hAnsi="Cambria Math" w:cstheme="minorHAnsi"/>
                    <w:color w:val="262626" w:themeColor="text1" w:themeTint="D9"/>
                    <w:sz w:val="21"/>
                    <w:szCs w:val="21"/>
                  </w:rPr>
                  <m:t>=</m:t>
                </m:r>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XIFPA</m:t>
                    </m:r>
                  </m:e>
                  <m:sub>
                    <m:r>
                      <w:rPr>
                        <w:rFonts w:ascii="Cambria Math" w:hAnsi="Cambria Math" w:cstheme="minorHAnsi"/>
                        <w:color w:val="262626" w:themeColor="text1" w:themeTint="D9"/>
                        <w:sz w:val="21"/>
                        <w:szCs w:val="21"/>
                      </w:rPr>
                      <m:t>yt</m:t>
                    </m:r>
                  </m:sub>
                  <m:sup/>
                </m:sSubSup>
              </m:oMath>
            </m:oMathPara>
          </w:p>
          <w:p w14:paraId="16AADBA2" w14:textId="77777777" w:rsidR="00406F3B" w:rsidRPr="000C4849" w:rsidRDefault="00406F3B" w:rsidP="00406F3B">
            <w:pPr>
              <w:jc w:val="both"/>
              <w:rPr>
                <w:rFonts w:eastAsiaTheme="minorEastAsia"/>
                <w:bCs/>
                <w:szCs w:val="20"/>
              </w:rPr>
            </w:pPr>
            <w:r w:rsidRPr="000C4849">
              <w:rPr>
                <w:bCs/>
                <w:szCs w:val="20"/>
              </w:rPr>
              <w:t>Where:</w:t>
            </w:r>
          </w:p>
          <w:p w14:paraId="33B8A580" w14:textId="77777777" w:rsidR="00406F3B" w:rsidRPr="000C4849" w:rsidRDefault="004B4A24" w:rsidP="00406F3B">
            <w:pPr>
              <w:jc w:val="both"/>
              <w:rPr>
                <w:bCs/>
                <w:szCs w:val="20"/>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CXGR</m:t>
                  </m:r>
                </m:e>
                <m:sub>
                  <m:r>
                    <w:rPr>
                      <w:rFonts w:ascii="Cambria Math" w:hAnsi="Cambria Math" w:cstheme="minorHAnsi"/>
                      <w:color w:val="262626" w:themeColor="text1" w:themeTint="D9"/>
                      <w:sz w:val="21"/>
                      <w:szCs w:val="21"/>
                    </w:rPr>
                    <m:t>yt</m:t>
                  </m:r>
                </m:sub>
              </m:sSub>
            </m:oMath>
            <w:r w:rsidR="00406F3B" w:rsidRPr="000C4849">
              <w:rPr>
                <w:bCs/>
                <w:szCs w:val="20"/>
              </w:rPr>
              <w:t xml:space="preserve"> is either the quarterly or annual compound growth rate in month t for year y</w:t>
            </w:r>
          </w:p>
          <w:p w14:paraId="4DB1FC8F" w14:textId="77777777" w:rsidR="00406F3B" w:rsidRPr="000C4849" w:rsidRDefault="004B4A24" w:rsidP="00406F3B">
            <w:pPr>
              <w:jc w:val="both"/>
              <w:rPr>
                <w:bCs/>
                <w:szCs w:val="20"/>
              </w:rPr>
            </w:pPr>
            <m:oMath>
              <m:sSub>
                <m:sSubPr>
                  <m:ctrlPr>
                    <w:rPr>
                      <w:rFonts w:ascii="Cambria Math" w:hAnsi="Cambria Math" w:cstheme="minorHAnsi"/>
                      <w:i/>
                      <w:color w:val="262626" w:themeColor="text1" w:themeTint="D9"/>
                      <w:sz w:val="21"/>
                      <w:szCs w:val="21"/>
                    </w:rPr>
                  </m:ctrlPr>
                </m:sSubPr>
                <m:e>
                  <m:bar>
                    <m:barPr>
                      <m:pos m:val="top"/>
                      <m:ctrlPr>
                        <w:rPr>
                          <w:rFonts w:ascii="Cambria Math" w:hAnsi="Cambria Math" w:cstheme="minorHAnsi"/>
                          <w:i/>
                          <w:color w:val="262626" w:themeColor="text1" w:themeTint="D9"/>
                          <w:sz w:val="21"/>
                          <w:szCs w:val="21"/>
                        </w:rPr>
                      </m:ctrlPr>
                    </m:barPr>
                    <m:e>
                      <m:r>
                        <w:rPr>
                          <w:rFonts w:ascii="Cambria Math" w:hAnsi="Cambria Math" w:cstheme="minorHAnsi"/>
                          <w:color w:val="262626" w:themeColor="text1" w:themeTint="D9"/>
                          <w:sz w:val="21"/>
                          <w:szCs w:val="21"/>
                        </w:rPr>
                        <m:t>W_CXGR</m:t>
                      </m:r>
                    </m:e>
                  </m:bar>
                </m:e>
                <m:sub>
                  <m:r>
                    <w:rPr>
                      <w:rFonts w:ascii="Cambria Math" w:hAnsi="Cambria Math" w:cstheme="minorHAnsi"/>
                      <w:color w:val="262626" w:themeColor="text1" w:themeTint="D9"/>
                      <w:sz w:val="21"/>
                      <w:szCs w:val="21"/>
                    </w:rPr>
                    <m:t>t</m:t>
                  </m:r>
                </m:sub>
              </m:sSub>
            </m:oMath>
            <w:r w:rsidR="00406F3B" w:rsidRPr="000C4849">
              <w:rPr>
                <w:bCs/>
                <w:szCs w:val="20"/>
              </w:rPr>
              <w:t xml:space="preserve"> is the weighted average of either the quarterly or annual compound growth rate for month t across years y</w:t>
            </w:r>
          </w:p>
          <w:p w14:paraId="4032EAB7" w14:textId="77777777" w:rsidR="00406F3B" w:rsidRPr="000C4849" w:rsidRDefault="004B4A24" w:rsidP="00406F3B">
            <w:pPr>
              <w:jc w:val="both"/>
              <w:rPr>
                <w:bCs/>
                <w:szCs w:val="20"/>
              </w:rPr>
            </w:pPr>
            <m:oMath>
              <m:sSub>
                <m:sSubPr>
                  <m:ctrlPr>
                    <w:rPr>
                      <w:rFonts w:ascii="Cambria Math" w:hAnsi="Cambria Math" w:cstheme="minorHAnsi"/>
                      <w:i/>
                      <w:color w:val="262626" w:themeColor="text1" w:themeTint="D9"/>
                      <w:sz w:val="21"/>
                      <w:szCs w:val="21"/>
                    </w:rPr>
                  </m:ctrlPr>
                </m:sSubPr>
                <m:e>
                  <m:acc>
                    <m:accPr>
                      <m:ctrlPr>
                        <w:rPr>
                          <w:rFonts w:ascii="Cambria Math" w:hAnsi="Cambria Math" w:cstheme="minorHAnsi"/>
                          <w:i/>
                          <w:color w:val="262626" w:themeColor="text1" w:themeTint="D9"/>
                          <w:sz w:val="21"/>
                          <w:szCs w:val="21"/>
                        </w:rPr>
                      </m:ctrlPr>
                    </m:accPr>
                    <m:e>
                      <m:r>
                        <w:rPr>
                          <w:rFonts w:ascii="Cambria Math" w:hAnsi="Cambria Math" w:cstheme="minorHAnsi"/>
                          <w:color w:val="262626" w:themeColor="text1" w:themeTint="D9"/>
                          <w:sz w:val="21"/>
                          <w:szCs w:val="21"/>
                        </w:rPr>
                        <m:t>σ</m:t>
                      </m:r>
                    </m:e>
                  </m:acc>
                </m:e>
                <m:sub>
                  <m:sSub>
                    <m:sSubPr>
                      <m:ctrlPr>
                        <w:rPr>
                          <w:rFonts w:ascii="Cambria Math" w:hAnsi="Cambria Math" w:cstheme="minorHAnsi"/>
                          <w:i/>
                          <w:color w:val="262626" w:themeColor="text1" w:themeTint="D9"/>
                          <w:sz w:val="21"/>
                          <w:szCs w:val="21"/>
                        </w:rPr>
                      </m:ctrlPr>
                    </m:sSubPr>
                    <m:e>
                      <m:r>
                        <w:rPr>
                          <w:rFonts w:ascii="Cambria Math" w:hAnsi="Cambria Math" w:cstheme="minorHAnsi"/>
                          <w:color w:val="262626" w:themeColor="text1" w:themeTint="D9"/>
                          <w:sz w:val="21"/>
                          <w:szCs w:val="21"/>
                        </w:rPr>
                        <m:t>W_CXGR</m:t>
                      </m:r>
                    </m:e>
                    <m:sub>
                      <m:r>
                        <w:rPr>
                          <w:rFonts w:ascii="Cambria Math" w:hAnsi="Cambria Math" w:cstheme="minorHAnsi"/>
                          <w:color w:val="262626" w:themeColor="text1" w:themeTint="D9"/>
                          <w:sz w:val="21"/>
                          <w:szCs w:val="21"/>
                        </w:rPr>
                        <m:t>t</m:t>
                      </m:r>
                    </m:sub>
                  </m:sSub>
                </m:sub>
              </m:sSub>
            </m:oMath>
            <w:r w:rsidR="00406F3B" w:rsidRPr="000C4849">
              <w:rPr>
                <w:bCs/>
                <w:szCs w:val="20"/>
              </w:rPr>
              <w:t xml:space="preserve"> is the weighted standard deviation of either the quarterly or annual compound growth rate for month t over years y, </w:t>
            </w:r>
          </w:p>
          <w:p w14:paraId="7C63567A" w14:textId="77777777" w:rsidR="00406F3B" w:rsidRPr="000C4849" w:rsidRDefault="004B4A24" w:rsidP="00406F3B">
            <w:pPr>
              <w:jc w:val="both"/>
              <w:rPr>
                <w:bCs/>
                <w:szCs w:val="20"/>
              </w:rPr>
            </w:pPr>
            <m:oMath>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XIFPA</m:t>
                  </m:r>
                </m:e>
                <m:sub>
                  <m:r>
                    <w:rPr>
                      <w:rFonts w:ascii="Cambria Math" w:hAnsi="Cambria Math" w:cstheme="minorHAnsi"/>
                      <w:color w:val="262626" w:themeColor="text1" w:themeTint="D9"/>
                      <w:sz w:val="21"/>
                      <w:szCs w:val="21"/>
                    </w:rPr>
                    <m:t>yt</m:t>
                  </m:r>
                </m:sub>
                <m:sup/>
              </m:sSubSup>
            </m:oMath>
            <w:r w:rsidR="00406F3B" w:rsidRPr="000C4849">
              <w:rPr>
                <w:bCs/>
                <w:szCs w:val="20"/>
              </w:rPr>
              <w:t xml:space="preserve">  </w:t>
            </w:r>
            <w:proofErr w:type="gramStart"/>
            <w:r w:rsidR="00406F3B" w:rsidRPr="000C4849">
              <w:rPr>
                <w:bCs/>
                <w:szCs w:val="20"/>
              </w:rPr>
              <w:t>is</w:t>
            </w:r>
            <w:proofErr w:type="gramEnd"/>
            <w:r w:rsidR="00406F3B" w:rsidRPr="000C4849">
              <w:rPr>
                <w:bCs/>
                <w:szCs w:val="20"/>
              </w:rPr>
              <w:t xml:space="preserve"> either the quarterly or annual indicator of a price anomaly.</w:t>
            </w:r>
          </w:p>
          <w:p w14:paraId="09F98B06" w14:textId="77777777" w:rsidR="00406F3B" w:rsidRDefault="00406F3B" w:rsidP="00406F3B">
            <w:pPr>
              <w:jc w:val="both"/>
              <w:rPr>
                <w:szCs w:val="20"/>
              </w:rPr>
            </w:pPr>
          </w:p>
          <w:p w14:paraId="55C0C246" w14:textId="77777777" w:rsidR="00406F3B" w:rsidRDefault="00406F3B" w:rsidP="00406F3B">
            <w:pPr>
              <w:jc w:val="both"/>
              <w:rPr>
                <w:szCs w:val="20"/>
              </w:rPr>
            </w:pPr>
          </w:p>
          <w:p w14:paraId="5EE9D670" w14:textId="77777777" w:rsidR="00406F3B" w:rsidRDefault="00406F3B" w:rsidP="00406F3B">
            <w:pPr>
              <w:jc w:val="both"/>
              <w:rPr>
                <w:b/>
                <w:bCs/>
                <w:szCs w:val="20"/>
              </w:rPr>
            </w:pPr>
            <w:r w:rsidRPr="00D521BB">
              <w:rPr>
                <w:b/>
                <w:bCs/>
                <w:szCs w:val="20"/>
              </w:rPr>
              <w:t>Computation Method:</w:t>
            </w:r>
          </w:p>
          <w:p w14:paraId="4BD46CD0" w14:textId="77777777" w:rsidR="00406F3B" w:rsidRPr="000C4849" w:rsidRDefault="00406F3B" w:rsidP="00406F3B">
            <w:pPr>
              <w:pStyle w:val="BodyText"/>
              <w:ind w:left="0"/>
              <w:rPr>
                <w:rFonts w:ascii="Tw Cen MT Condensed" w:hAnsi="Tw Cen MT Condensed" w:cstheme="minorHAnsi"/>
                <w:iCs/>
                <w:color w:val="262626" w:themeColor="text1" w:themeTint="D9"/>
                <w:sz w:val="21"/>
                <w:szCs w:val="21"/>
              </w:rPr>
            </w:pPr>
            <w:r w:rsidRPr="000C4849">
              <w:rPr>
                <w:rFonts w:ascii="Tw Cen MT Condensed" w:hAnsi="Tw Cen MT Condensed" w:cstheme="minorHAnsi"/>
                <w:color w:val="262626" w:themeColor="text1" w:themeTint="D9"/>
                <w:sz w:val="21"/>
                <w:szCs w:val="21"/>
              </w:rPr>
              <w:t xml:space="preserve">Mathematically the IFPA for a particular year </w:t>
            </w:r>
            <m:oMath>
              <m:r>
                <w:rPr>
                  <w:rFonts w:ascii="Cambria Math" w:hAnsi="Cambria Math" w:cstheme="minorHAnsi"/>
                  <w:color w:val="262626" w:themeColor="text1" w:themeTint="D9"/>
                  <w:sz w:val="21"/>
                  <w:szCs w:val="21"/>
                </w:rPr>
                <m:t>y</m:t>
              </m:r>
            </m:oMath>
            <w:r w:rsidRPr="000C4849">
              <w:rPr>
                <w:rFonts w:ascii="Tw Cen MT Condensed" w:hAnsi="Tw Cen MT Condensed" w:cstheme="minorHAnsi"/>
                <w:color w:val="262626" w:themeColor="text1" w:themeTint="D9"/>
                <w:sz w:val="21"/>
                <w:szCs w:val="21"/>
              </w:rPr>
              <w:t xml:space="preserve"> in month </w:t>
            </w:r>
            <m:oMath>
              <m:r>
                <w:rPr>
                  <w:rFonts w:ascii="Cambria Math" w:hAnsi="Cambria Math" w:cstheme="minorHAnsi"/>
                  <w:color w:val="262626" w:themeColor="text1" w:themeTint="D9"/>
                  <w:sz w:val="21"/>
                  <w:szCs w:val="21"/>
                </w:rPr>
                <m:t xml:space="preserve">t </m:t>
              </m:r>
            </m:oMath>
            <w:r w:rsidRPr="000C4849">
              <w:rPr>
                <w:rFonts w:ascii="Tw Cen MT Condensed" w:hAnsi="Tw Cen MT Condensed" w:cstheme="minorHAnsi"/>
                <w:color w:val="262626" w:themeColor="text1" w:themeTint="D9"/>
                <w:sz w:val="21"/>
                <w:szCs w:val="21"/>
              </w:rPr>
              <w:t xml:space="preserve"> is calculated as the weighted sum of </w:t>
            </w:r>
            <w:r w:rsidRPr="000C4849">
              <w:rPr>
                <w:rFonts w:ascii="Tw Cen MT Condensed" w:hAnsi="Tw Cen MT Condensed" w:cstheme="minorHAnsi"/>
                <w:iCs/>
                <w:color w:val="262626" w:themeColor="text1" w:themeTint="D9"/>
                <w:sz w:val="21"/>
                <w:szCs w:val="21"/>
              </w:rPr>
              <w:t xml:space="preserve">the quarterly indicator of food price </w:t>
            </w:r>
            <w:proofErr w:type="gramStart"/>
            <w:r w:rsidRPr="000C4849">
              <w:rPr>
                <w:rFonts w:ascii="Tw Cen MT Condensed" w:hAnsi="Tw Cen MT Condensed" w:cstheme="minorHAnsi"/>
                <w:iCs/>
                <w:color w:val="262626" w:themeColor="text1" w:themeTint="D9"/>
                <w:sz w:val="21"/>
                <w:szCs w:val="21"/>
              </w:rPr>
              <w:t>anomalies</w:t>
            </w:r>
            <w:r w:rsidRPr="000C4849">
              <w:rPr>
                <w:rFonts w:ascii="Tw Cen MT Condensed" w:hAnsi="Tw Cen MT Condensed" w:cstheme="minorHAnsi"/>
                <w:color w:val="262626" w:themeColor="text1" w:themeTint="D9"/>
                <w:sz w:val="21"/>
                <w:szCs w:val="21"/>
              </w:rPr>
              <w:t xml:space="preserve"> </w:t>
            </w:r>
            <w:proofErr w:type="gramEnd"/>
            <m:oMath>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(QIFPA</m:t>
                  </m:r>
                </m:e>
                <m:sub>
                  <m:r>
                    <w:rPr>
                      <w:rFonts w:ascii="Cambria Math" w:hAnsi="Cambria Math" w:cstheme="minorHAnsi"/>
                      <w:color w:val="262626" w:themeColor="text1" w:themeTint="D9"/>
                      <w:sz w:val="21"/>
                      <w:szCs w:val="21"/>
                    </w:rPr>
                    <m:t>yt</m:t>
                  </m:r>
                </m:sub>
                <m:sup/>
              </m:sSubSup>
            </m:oMath>
            <w:r w:rsidRPr="000C4849">
              <w:rPr>
                <w:rFonts w:ascii="Tw Cen MT Condensed" w:hAnsi="Tw Cen MT Condensed" w:cstheme="minorHAnsi"/>
                <w:iCs/>
                <w:color w:val="262626" w:themeColor="text1" w:themeTint="D9"/>
                <w:sz w:val="21"/>
                <w:szCs w:val="21"/>
              </w:rPr>
              <w:t xml:space="preserve">), and the annual indicator of food price </w:t>
            </w:r>
            <w:r w:rsidRPr="000C4849">
              <w:rPr>
                <w:rFonts w:ascii="Tw Cen MT Condensed" w:hAnsi="Tw Cen MT Condensed" w:cstheme="minorHAnsi"/>
                <w:iCs/>
                <w:color w:val="262626" w:themeColor="text1" w:themeTint="D9"/>
                <w:sz w:val="21"/>
                <w:szCs w:val="21"/>
              </w:rPr>
              <w:lastRenderedPageBreak/>
              <w:t>anomalies</w:t>
            </w:r>
            <m:oMath>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(AIFPA</m:t>
                  </m:r>
                </m:e>
                <m:sub>
                  <m:r>
                    <w:rPr>
                      <w:rFonts w:ascii="Cambria Math" w:hAnsi="Cambria Math" w:cstheme="minorHAnsi"/>
                      <w:color w:val="262626" w:themeColor="text1" w:themeTint="D9"/>
                      <w:sz w:val="21"/>
                      <w:szCs w:val="21"/>
                    </w:rPr>
                    <m:t>yt</m:t>
                  </m:r>
                </m:sub>
                <m:sup/>
              </m:sSubSup>
              <m:r>
                <w:rPr>
                  <w:rFonts w:ascii="Cambria Math" w:hAnsi="Cambria Math" w:cstheme="minorHAnsi"/>
                  <w:color w:val="262626" w:themeColor="text1" w:themeTint="D9"/>
                  <w:sz w:val="21"/>
                  <w:szCs w:val="21"/>
                </w:rPr>
                <m:t>)</m:t>
              </m:r>
            </m:oMath>
            <w:r w:rsidRPr="000C4849">
              <w:rPr>
                <w:rFonts w:ascii="Tw Cen MT Condensed" w:hAnsi="Tw Cen MT Condensed" w:cstheme="minorHAnsi"/>
                <w:iCs/>
                <w:color w:val="262626" w:themeColor="text1" w:themeTint="D9"/>
                <w:sz w:val="21"/>
                <w:szCs w:val="21"/>
              </w:rPr>
              <w:t xml:space="preserve"> as stated in equation 1.</w:t>
            </w:r>
          </w:p>
          <w:p w14:paraId="2F5F5782" w14:textId="77777777" w:rsidR="00406F3B" w:rsidRPr="00063C20" w:rsidRDefault="00406F3B" w:rsidP="00406F3B">
            <w:pPr>
              <w:rPr>
                <w:rFonts w:cstheme="minorHAnsi"/>
                <w:iCs/>
                <w:color w:val="262626" w:themeColor="text1" w:themeTint="D9"/>
                <w:sz w:val="21"/>
                <w:szCs w:val="21"/>
              </w:rPr>
            </w:pPr>
          </w:p>
          <w:p w14:paraId="77ACD7F0" w14:textId="77777777" w:rsidR="00406F3B" w:rsidRPr="00063C20" w:rsidRDefault="004B4A24" w:rsidP="00406F3B">
            <w:pPr>
              <w:spacing w:line="360" w:lineRule="auto"/>
              <w:rPr>
                <w:rFonts w:cstheme="minorHAnsi"/>
                <w:color w:val="262626" w:themeColor="text1" w:themeTint="D9"/>
                <w:sz w:val="21"/>
                <w:szCs w:val="21"/>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IFPA</m:t>
                  </m:r>
                </m:e>
                <m:sub>
                  <m:r>
                    <w:rPr>
                      <w:rFonts w:ascii="Cambria Math" w:hAnsi="Cambria Math" w:cstheme="minorHAnsi"/>
                      <w:color w:val="262626" w:themeColor="text1" w:themeTint="D9"/>
                      <w:sz w:val="21"/>
                      <w:szCs w:val="21"/>
                    </w:rPr>
                    <m:t>yt</m:t>
                  </m:r>
                </m:sub>
              </m:sSub>
              <m:r>
                <w:rPr>
                  <w:rFonts w:ascii="Cambria Math" w:hAnsi="Cambria Math" w:cstheme="minorHAnsi"/>
                  <w:color w:val="262626" w:themeColor="text1" w:themeTint="D9"/>
                  <w:sz w:val="21"/>
                  <w:szCs w:val="21"/>
                </w:rPr>
                <m:t>=γ</m:t>
              </m:r>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QIFPA</m:t>
                  </m:r>
                </m:e>
                <m:sub>
                  <m:r>
                    <w:rPr>
                      <w:rFonts w:ascii="Cambria Math" w:hAnsi="Cambria Math" w:cstheme="minorHAnsi"/>
                      <w:color w:val="262626" w:themeColor="text1" w:themeTint="D9"/>
                      <w:sz w:val="21"/>
                      <w:szCs w:val="21"/>
                    </w:rPr>
                    <m:t>yt</m:t>
                  </m:r>
                </m:sub>
                <m:sup/>
              </m:sSubSup>
              <m:r>
                <w:rPr>
                  <w:rFonts w:ascii="Cambria Math" w:hAnsi="Cambria Math" w:cstheme="minorHAnsi"/>
                  <w:color w:val="262626" w:themeColor="text1" w:themeTint="D9"/>
                  <w:sz w:val="21"/>
                  <w:szCs w:val="21"/>
                </w:rPr>
                <m:t>+</m:t>
              </m:r>
              <m:d>
                <m:dPr>
                  <m:ctrlPr>
                    <w:rPr>
                      <w:rFonts w:ascii="Cambria Math" w:hAnsi="Cambria Math" w:cstheme="minorHAnsi"/>
                      <w:i/>
                      <w:iCs/>
                      <w:color w:val="262626" w:themeColor="text1" w:themeTint="D9"/>
                      <w:sz w:val="21"/>
                      <w:szCs w:val="21"/>
                    </w:rPr>
                  </m:ctrlPr>
                </m:dPr>
                <m:e>
                  <m:r>
                    <w:rPr>
                      <w:rFonts w:ascii="Cambria Math" w:hAnsi="Cambria Math" w:cstheme="minorHAnsi"/>
                      <w:color w:val="262626" w:themeColor="text1" w:themeTint="D9"/>
                      <w:sz w:val="21"/>
                      <w:szCs w:val="21"/>
                    </w:rPr>
                    <m:t>1-γ</m:t>
                  </m:r>
                </m:e>
              </m:d>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AIFPA</m:t>
                  </m:r>
                </m:e>
                <m:sub>
                  <m:r>
                    <w:rPr>
                      <w:rFonts w:ascii="Cambria Math" w:hAnsi="Cambria Math" w:cstheme="minorHAnsi"/>
                      <w:color w:val="262626" w:themeColor="text1" w:themeTint="D9"/>
                      <w:sz w:val="21"/>
                      <w:szCs w:val="21"/>
                    </w:rPr>
                    <m:t>yt</m:t>
                  </m:r>
                </m:sub>
                <m:sup/>
              </m:sSubSup>
            </m:oMath>
            <w:r w:rsidR="00406F3B">
              <w:rPr>
                <w:rFonts w:cstheme="minorHAnsi"/>
                <w:color w:val="262626" w:themeColor="text1" w:themeTint="D9"/>
                <w:sz w:val="21"/>
                <w:szCs w:val="21"/>
              </w:rPr>
              <w:t xml:space="preserve"> </w:t>
            </w:r>
          </w:p>
          <w:p w14:paraId="3CE4F77E" w14:textId="77777777" w:rsidR="00406F3B" w:rsidRPr="00063C20" w:rsidRDefault="00406F3B" w:rsidP="00406F3B">
            <w:pPr>
              <w:rPr>
                <w:rFonts w:cstheme="minorHAnsi"/>
                <w:color w:val="262626" w:themeColor="text1" w:themeTint="D9"/>
                <w:sz w:val="21"/>
                <w:szCs w:val="21"/>
              </w:rPr>
            </w:pPr>
            <w:r w:rsidRPr="00063C20">
              <w:rPr>
                <w:rFonts w:cstheme="minorHAnsi"/>
                <w:color w:val="262626" w:themeColor="text1" w:themeTint="D9"/>
                <w:sz w:val="21"/>
                <w:szCs w:val="21"/>
              </w:rPr>
              <w:t xml:space="preserve">Where: </w:t>
            </w:r>
          </w:p>
          <w:p w14:paraId="36F7666E" w14:textId="77777777" w:rsidR="00406F3B" w:rsidRPr="00063C20" w:rsidRDefault="004B4A24" w:rsidP="00406F3B">
            <w:pPr>
              <w:rPr>
                <w:rFonts w:cstheme="minorHAnsi"/>
                <w:color w:val="262626" w:themeColor="text1" w:themeTint="D9"/>
                <w:sz w:val="21"/>
                <w:szCs w:val="21"/>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I</m:t>
                  </m:r>
                  <m:r>
                    <w:rPr>
                      <w:rFonts w:ascii="Cambria Math" w:hAnsi="Cambria Math" w:cstheme="minorHAnsi"/>
                      <w:color w:val="262626" w:themeColor="text1" w:themeTint="D9"/>
                      <w:sz w:val="21"/>
                      <w:szCs w:val="21"/>
                    </w:rPr>
                    <m:t>FPA</m:t>
                  </m:r>
                </m:e>
                <m:sub>
                  <m:r>
                    <w:rPr>
                      <w:rFonts w:ascii="Cambria Math" w:hAnsi="Cambria Math" w:cstheme="minorHAnsi"/>
                      <w:color w:val="262626" w:themeColor="text1" w:themeTint="D9"/>
                      <w:sz w:val="21"/>
                      <w:szCs w:val="21"/>
                    </w:rPr>
                    <m:t>yt</m:t>
                  </m:r>
                </m:sub>
              </m:sSub>
            </m:oMath>
            <w:r w:rsidR="00406F3B" w:rsidRPr="00063C20">
              <w:rPr>
                <w:rFonts w:cstheme="minorHAnsi"/>
                <w:iCs/>
                <w:color w:val="262626" w:themeColor="text1" w:themeTint="D9"/>
                <w:sz w:val="21"/>
                <w:szCs w:val="21"/>
              </w:rPr>
              <w:t xml:space="preserve"> is the indicator of food price anomalies in year </w:t>
            </w:r>
            <m:oMath>
              <m:r>
                <w:rPr>
                  <w:rFonts w:ascii="Cambria Math" w:hAnsi="Cambria Math" w:cstheme="minorHAnsi"/>
                  <w:color w:val="262626" w:themeColor="text1" w:themeTint="D9"/>
                  <w:sz w:val="21"/>
                  <w:szCs w:val="21"/>
                </w:rPr>
                <m:t xml:space="preserve">y </m:t>
              </m:r>
            </m:oMath>
            <w:r w:rsidR="00406F3B" w:rsidRPr="00063C20">
              <w:rPr>
                <w:rFonts w:cstheme="minorHAnsi"/>
                <w:iCs/>
                <w:color w:val="262626" w:themeColor="text1" w:themeTint="D9"/>
                <w:sz w:val="21"/>
                <w:szCs w:val="21"/>
              </w:rPr>
              <w:t xml:space="preserve">and month </w:t>
            </w:r>
            <m:oMath>
              <m:r>
                <w:rPr>
                  <w:rFonts w:ascii="Cambria Math" w:hAnsi="Cambria Math" w:cstheme="minorHAnsi"/>
                  <w:color w:val="262626" w:themeColor="text1" w:themeTint="D9"/>
                  <w:sz w:val="21"/>
                  <w:szCs w:val="21"/>
                </w:rPr>
                <m:t>t</m:t>
              </m:r>
            </m:oMath>
            <w:r w:rsidR="00406F3B" w:rsidRPr="00063C20">
              <w:rPr>
                <w:rFonts w:cstheme="minorHAnsi"/>
                <w:color w:val="262626" w:themeColor="text1" w:themeTint="D9"/>
                <w:sz w:val="21"/>
                <w:szCs w:val="21"/>
              </w:rPr>
              <w:t xml:space="preserve"> </w:t>
            </w:r>
          </w:p>
          <w:p w14:paraId="4C2152A4" w14:textId="77777777" w:rsidR="00406F3B" w:rsidRPr="00063C20" w:rsidRDefault="004B4A24" w:rsidP="00406F3B">
            <w:pPr>
              <w:rPr>
                <w:rFonts w:cstheme="minorHAnsi"/>
                <w:color w:val="262626" w:themeColor="text1" w:themeTint="D9"/>
                <w:sz w:val="21"/>
                <w:szCs w:val="21"/>
              </w:rPr>
            </w:pPr>
            <m:oMath>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QIFPA</m:t>
                  </m:r>
                </m:e>
                <m:sub>
                  <m:r>
                    <w:rPr>
                      <w:rFonts w:ascii="Cambria Math" w:hAnsi="Cambria Math" w:cstheme="minorHAnsi"/>
                      <w:color w:val="262626" w:themeColor="text1" w:themeTint="D9"/>
                      <w:sz w:val="21"/>
                      <w:szCs w:val="21"/>
                    </w:rPr>
                    <m:t>yt</m:t>
                  </m:r>
                </m:sub>
                <m:sup/>
              </m:sSubSup>
            </m:oMath>
            <w:r w:rsidR="00406F3B" w:rsidRPr="00063C20">
              <w:rPr>
                <w:rFonts w:cstheme="minorHAnsi"/>
                <w:color w:val="262626" w:themeColor="text1" w:themeTint="D9"/>
                <w:sz w:val="21"/>
                <w:szCs w:val="21"/>
              </w:rPr>
              <w:t xml:space="preserve"> is the quarterly </w:t>
            </w:r>
            <w:r w:rsidR="00406F3B" w:rsidRPr="00063C20">
              <w:rPr>
                <w:rFonts w:cstheme="minorHAnsi"/>
                <w:iCs/>
                <w:color w:val="262626" w:themeColor="text1" w:themeTint="D9"/>
                <w:sz w:val="21"/>
                <w:szCs w:val="21"/>
              </w:rPr>
              <w:t xml:space="preserve">indicator of food price anomalies in year </w:t>
            </w:r>
            <m:oMath>
              <m:r>
                <w:rPr>
                  <w:rFonts w:ascii="Cambria Math" w:hAnsi="Cambria Math" w:cstheme="minorHAnsi"/>
                  <w:color w:val="262626" w:themeColor="text1" w:themeTint="D9"/>
                  <w:sz w:val="21"/>
                  <w:szCs w:val="21"/>
                </w:rPr>
                <m:t xml:space="preserve">y </m:t>
              </m:r>
            </m:oMath>
            <w:r w:rsidR="00406F3B" w:rsidRPr="00063C20">
              <w:rPr>
                <w:rFonts w:cstheme="minorHAnsi"/>
                <w:iCs/>
                <w:color w:val="262626" w:themeColor="text1" w:themeTint="D9"/>
                <w:sz w:val="21"/>
                <w:szCs w:val="21"/>
              </w:rPr>
              <w:t xml:space="preserve">and month </w:t>
            </w:r>
            <m:oMath>
              <m:r>
                <w:rPr>
                  <w:rFonts w:ascii="Cambria Math" w:hAnsi="Cambria Math" w:cstheme="minorHAnsi"/>
                  <w:color w:val="262626" w:themeColor="text1" w:themeTint="D9"/>
                  <w:sz w:val="21"/>
                  <w:szCs w:val="21"/>
                </w:rPr>
                <m:t>t</m:t>
              </m:r>
            </m:oMath>
          </w:p>
          <w:p w14:paraId="356C3EC3" w14:textId="77777777" w:rsidR="00406F3B" w:rsidRPr="00063C20" w:rsidRDefault="004B4A24" w:rsidP="00406F3B">
            <w:pPr>
              <w:rPr>
                <w:rFonts w:cstheme="minorHAnsi"/>
                <w:color w:val="262626" w:themeColor="text1" w:themeTint="D9"/>
                <w:sz w:val="21"/>
                <w:szCs w:val="21"/>
              </w:rPr>
            </w:pPr>
            <m:oMath>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AIFPA</m:t>
                  </m:r>
                </m:e>
                <m:sub>
                  <m:r>
                    <w:rPr>
                      <w:rFonts w:ascii="Cambria Math" w:hAnsi="Cambria Math" w:cstheme="minorHAnsi"/>
                      <w:color w:val="262626" w:themeColor="text1" w:themeTint="D9"/>
                      <w:sz w:val="21"/>
                      <w:szCs w:val="21"/>
                    </w:rPr>
                    <m:t>yt</m:t>
                  </m:r>
                </m:sub>
                <m:sup/>
              </m:sSubSup>
            </m:oMath>
            <w:r w:rsidR="00406F3B" w:rsidRPr="00063C20">
              <w:rPr>
                <w:rFonts w:cstheme="minorHAnsi"/>
                <w:color w:val="262626" w:themeColor="text1" w:themeTint="D9"/>
                <w:sz w:val="21"/>
                <w:szCs w:val="21"/>
              </w:rPr>
              <w:t xml:space="preserve"> is the annual </w:t>
            </w:r>
            <w:r w:rsidR="00406F3B" w:rsidRPr="00063C20">
              <w:rPr>
                <w:rFonts w:cstheme="minorHAnsi"/>
                <w:iCs/>
                <w:color w:val="262626" w:themeColor="text1" w:themeTint="D9"/>
                <w:sz w:val="21"/>
                <w:szCs w:val="21"/>
              </w:rPr>
              <w:t xml:space="preserve">indicator of food price anomalies in year </w:t>
            </w:r>
            <m:oMath>
              <m:r>
                <w:rPr>
                  <w:rFonts w:ascii="Cambria Math" w:hAnsi="Cambria Math" w:cstheme="minorHAnsi"/>
                  <w:color w:val="262626" w:themeColor="text1" w:themeTint="D9"/>
                  <w:sz w:val="21"/>
                  <w:szCs w:val="21"/>
                </w:rPr>
                <m:t xml:space="preserve">y </m:t>
              </m:r>
            </m:oMath>
            <w:r w:rsidR="00406F3B" w:rsidRPr="00063C20">
              <w:rPr>
                <w:rFonts w:cstheme="minorHAnsi"/>
                <w:iCs/>
                <w:color w:val="262626" w:themeColor="text1" w:themeTint="D9"/>
                <w:sz w:val="21"/>
                <w:szCs w:val="21"/>
              </w:rPr>
              <w:t xml:space="preserve">and month </w:t>
            </w:r>
            <m:oMath>
              <m:r>
                <w:rPr>
                  <w:rFonts w:ascii="Cambria Math" w:hAnsi="Cambria Math" w:cstheme="minorHAnsi"/>
                  <w:color w:val="262626" w:themeColor="text1" w:themeTint="D9"/>
                  <w:sz w:val="21"/>
                  <w:szCs w:val="21"/>
                </w:rPr>
                <m:t>t</m:t>
              </m:r>
            </m:oMath>
          </w:p>
          <w:p w14:paraId="14B088DF" w14:textId="77777777" w:rsidR="00406F3B" w:rsidRPr="00063C20" w:rsidRDefault="00406F3B" w:rsidP="00406F3B">
            <w:pPr>
              <w:rPr>
                <w:rFonts w:cstheme="minorHAnsi"/>
                <w:color w:val="262626" w:themeColor="text1" w:themeTint="D9"/>
                <w:sz w:val="21"/>
                <w:szCs w:val="21"/>
              </w:rPr>
            </w:pPr>
            <m:oMath>
              <m:r>
                <w:rPr>
                  <w:rFonts w:ascii="Cambria Math" w:hAnsi="Cambria Math" w:cstheme="minorHAnsi"/>
                  <w:color w:val="262626" w:themeColor="text1" w:themeTint="D9"/>
                  <w:sz w:val="21"/>
                  <w:szCs w:val="21"/>
                </w:rPr>
                <m:t>γ</m:t>
              </m:r>
            </m:oMath>
            <w:r w:rsidRPr="00063C20">
              <w:rPr>
                <w:rFonts w:cstheme="minorHAnsi"/>
                <w:color w:val="262626" w:themeColor="text1" w:themeTint="D9"/>
                <w:sz w:val="21"/>
                <w:szCs w:val="21"/>
              </w:rPr>
              <w:t xml:space="preserve"> </w:t>
            </w:r>
            <w:proofErr w:type="gramStart"/>
            <w:r w:rsidRPr="00063C20">
              <w:rPr>
                <w:rFonts w:cstheme="minorHAnsi"/>
                <w:color w:val="262626" w:themeColor="text1" w:themeTint="D9"/>
                <w:sz w:val="21"/>
                <w:szCs w:val="21"/>
              </w:rPr>
              <w:t>is</w:t>
            </w:r>
            <w:proofErr w:type="gramEnd"/>
            <w:r w:rsidRPr="00063C20">
              <w:rPr>
                <w:rFonts w:cstheme="minorHAnsi"/>
                <w:color w:val="262626" w:themeColor="text1" w:themeTint="D9"/>
                <w:sz w:val="21"/>
                <w:szCs w:val="21"/>
              </w:rPr>
              <w:t xml:space="preserve"> a weight with a value of 0.4</w:t>
            </w:r>
            <w:r>
              <w:rPr>
                <w:rFonts w:cstheme="minorHAnsi"/>
                <w:color w:val="262626" w:themeColor="text1" w:themeTint="D9"/>
                <w:sz w:val="21"/>
                <w:szCs w:val="21"/>
              </w:rPr>
              <w:t>.</w:t>
            </w:r>
          </w:p>
          <w:p w14:paraId="537F982B" w14:textId="77777777" w:rsidR="00406F3B" w:rsidRPr="00063C20" w:rsidRDefault="00406F3B" w:rsidP="00406F3B">
            <w:pPr>
              <w:pStyle w:val="BodyText"/>
              <w:rPr>
                <w:rFonts w:asciiTheme="minorHAnsi" w:hAnsiTheme="minorHAnsi" w:cstheme="minorHAnsi"/>
                <w:color w:val="262626" w:themeColor="text1" w:themeTint="D9"/>
                <w:sz w:val="21"/>
                <w:szCs w:val="21"/>
              </w:rPr>
            </w:pPr>
          </w:p>
          <w:p w14:paraId="60FD9C8F" w14:textId="77777777" w:rsidR="00406F3B" w:rsidRPr="00063C20" w:rsidRDefault="00406F3B" w:rsidP="00406F3B">
            <w:pPr>
              <w:ind w:firstLine="540"/>
              <w:rPr>
                <w:rFonts w:cstheme="minorHAnsi"/>
                <w:color w:val="262626" w:themeColor="text1" w:themeTint="D9"/>
                <w:sz w:val="21"/>
                <w:szCs w:val="21"/>
              </w:rPr>
            </w:pPr>
            <w:r w:rsidRPr="00063C20">
              <w:rPr>
                <w:rFonts w:cstheme="minorHAnsi"/>
                <w:color w:val="262626" w:themeColor="text1" w:themeTint="D9"/>
                <w:sz w:val="21"/>
                <w:szCs w:val="21"/>
              </w:rPr>
              <w:t xml:space="preserve">The weight </w:t>
            </w:r>
            <m:oMath>
              <m:r>
                <w:rPr>
                  <w:rFonts w:ascii="Cambria Math" w:hAnsi="Cambria Math" w:cstheme="minorHAnsi"/>
                  <w:color w:val="262626" w:themeColor="text1" w:themeTint="D9"/>
                  <w:sz w:val="21"/>
                  <w:szCs w:val="21"/>
                </w:rPr>
                <m:t>γ</m:t>
              </m:r>
            </m:oMath>
            <w:r w:rsidRPr="00063C20">
              <w:rPr>
                <w:rFonts w:cstheme="minorHAnsi"/>
                <w:color w:val="262626" w:themeColor="text1" w:themeTint="D9"/>
                <w:sz w:val="21"/>
                <w:szCs w:val="21"/>
              </w:rPr>
              <w:t xml:space="preserve"> establishes the relative importance of quarterly (</w:t>
            </w:r>
            <m:oMath>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QIFPA</m:t>
                  </m:r>
                </m:e>
                <m:sub>
                  <m:r>
                    <w:rPr>
                      <w:rFonts w:ascii="Cambria Math" w:hAnsi="Cambria Math" w:cstheme="minorHAnsi"/>
                      <w:color w:val="262626" w:themeColor="text1" w:themeTint="D9"/>
                      <w:sz w:val="21"/>
                      <w:szCs w:val="21"/>
                    </w:rPr>
                    <m:t>t</m:t>
                  </m:r>
                </m:sub>
                <m:sup/>
              </m:sSubSup>
            </m:oMath>
            <w:r w:rsidRPr="00063C20">
              <w:rPr>
                <w:rFonts w:cstheme="minorHAnsi"/>
                <w:iCs/>
                <w:color w:val="262626" w:themeColor="text1" w:themeTint="D9"/>
                <w:sz w:val="21"/>
                <w:szCs w:val="21"/>
              </w:rPr>
              <w:t>) anomalies to the year-on-year price variations (</w:t>
            </w:r>
            <m:oMath>
              <m:sSubSup>
                <m:sSubSupPr>
                  <m:ctrlPr>
                    <w:rPr>
                      <w:rFonts w:ascii="Cambria Math" w:hAnsi="Cambria Math" w:cstheme="minorHAnsi"/>
                      <w:i/>
                      <w:iCs/>
                      <w:color w:val="262626" w:themeColor="text1" w:themeTint="D9"/>
                      <w:sz w:val="21"/>
                      <w:szCs w:val="21"/>
                    </w:rPr>
                  </m:ctrlPr>
                </m:sSubSupPr>
                <m:e>
                  <m:r>
                    <w:rPr>
                      <w:rFonts w:ascii="Cambria Math" w:hAnsi="Cambria Math" w:cstheme="minorHAnsi"/>
                      <w:color w:val="262626" w:themeColor="text1" w:themeTint="D9"/>
                      <w:sz w:val="21"/>
                      <w:szCs w:val="21"/>
                    </w:rPr>
                    <m:t>AIFPA</m:t>
                  </m:r>
                </m:e>
                <m:sub>
                  <m:r>
                    <w:rPr>
                      <w:rFonts w:ascii="Cambria Math" w:hAnsi="Cambria Math" w:cstheme="minorHAnsi"/>
                      <w:color w:val="262626" w:themeColor="text1" w:themeTint="D9"/>
                      <w:sz w:val="21"/>
                      <w:szCs w:val="21"/>
                    </w:rPr>
                    <m:t>yt</m:t>
                  </m:r>
                </m:sub>
                <m:sup/>
              </m:sSubSup>
              <m:r>
                <w:rPr>
                  <w:rFonts w:ascii="Cambria Math" w:hAnsi="Cambria Math" w:cstheme="minorHAnsi"/>
                  <w:color w:val="262626" w:themeColor="text1" w:themeTint="D9"/>
                  <w:sz w:val="21"/>
                  <w:szCs w:val="21"/>
                </w:rPr>
                <m:t>)</m:t>
              </m:r>
            </m:oMath>
            <w:r w:rsidRPr="00063C20">
              <w:rPr>
                <w:rFonts w:cstheme="minorHAnsi"/>
                <w:iCs/>
                <w:color w:val="262626" w:themeColor="text1" w:themeTint="D9"/>
                <w:sz w:val="21"/>
                <w:szCs w:val="21"/>
              </w:rPr>
              <w:t xml:space="preserve">. </w:t>
            </w:r>
            <w:r w:rsidRPr="00063C20">
              <w:rPr>
                <w:rFonts w:cstheme="minorHAnsi"/>
                <w:color w:val="262626" w:themeColor="text1" w:themeTint="D9"/>
                <w:sz w:val="21"/>
                <w:szCs w:val="21"/>
              </w:rPr>
              <w:t>The weight</w:t>
            </w:r>
            <w:r w:rsidRPr="00063C20">
              <w:rPr>
                <w:rFonts w:cstheme="minorHAnsi"/>
                <w:vanish/>
                <w:color w:val="262626" w:themeColor="text1" w:themeTint="D9"/>
                <w:sz w:val="21"/>
                <w:szCs w:val="21"/>
              </w:rPr>
              <w:t xml:space="preserve"> </w:t>
            </w:r>
            <m:oMath>
              <m:r>
                <w:rPr>
                  <w:rFonts w:ascii="Cambria Math" w:hAnsi="Cambria Math" w:cstheme="minorHAnsi"/>
                  <w:color w:val="262626" w:themeColor="text1" w:themeTint="D9"/>
                  <w:sz w:val="21"/>
                  <w:szCs w:val="21"/>
                </w:rPr>
                <m:t>γ</m:t>
              </m:r>
            </m:oMath>
            <w:r w:rsidRPr="00063C20">
              <w:rPr>
                <w:rFonts w:cstheme="minorHAnsi"/>
                <w:color w:val="262626" w:themeColor="text1" w:themeTint="D9"/>
                <w:sz w:val="21"/>
                <w:szCs w:val="21"/>
              </w:rPr>
              <w:t xml:space="preserve"> </w:t>
            </w:r>
            <w:r w:rsidRPr="00063C20">
              <w:rPr>
                <w:rFonts w:cstheme="minorHAnsi"/>
                <w:vanish/>
                <w:color w:val="262626" w:themeColor="text1" w:themeTint="D9"/>
                <w:sz w:val="21"/>
                <w:szCs w:val="21"/>
              </w:rPr>
              <w:t>is set to 0.4, giving a weight of 0.6--</w:t>
            </w:r>
            <m:oMath>
              <m:d>
                <m:dPr>
                  <m:ctrlPr>
                    <w:rPr>
                      <w:rFonts w:ascii="Cambria Math" w:hAnsi="Cambria Math" w:cstheme="minorHAnsi"/>
                      <w:i/>
                      <w:iCs/>
                      <w:color w:val="262626" w:themeColor="text1" w:themeTint="D9"/>
                      <w:sz w:val="21"/>
                      <w:szCs w:val="21"/>
                    </w:rPr>
                  </m:ctrlPr>
                </m:dPr>
                <m:e>
                  <m:r>
                    <w:rPr>
                      <w:rFonts w:ascii="Cambria Math" w:hAnsi="Cambria Math" w:cstheme="minorHAnsi"/>
                      <w:color w:val="262626" w:themeColor="text1" w:themeTint="D9"/>
                      <w:sz w:val="21"/>
                      <w:szCs w:val="21"/>
                    </w:rPr>
                    <m:t>1-γ</m:t>
                  </m:r>
                </m:e>
              </m:d>
            </m:oMath>
            <w:r w:rsidRPr="00063C20">
              <w:rPr>
                <w:rFonts w:cstheme="minorHAnsi"/>
                <w:iCs/>
                <w:color w:val="262626" w:themeColor="text1" w:themeTint="D9"/>
                <w:sz w:val="21"/>
                <w:szCs w:val="21"/>
              </w:rPr>
              <w:t>--</w:t>
            </w:r>
            <w:r w:rsidRPr="00063C20">
              <w:rPr>
                <w:rFonts w:cstheme="minorHAnsi"/>
                <w:vanish/>
                <w:color w:val="262626" w:themeColor="text1" w:themeTint="D9"/>
                <w:sz w:val="21"/>
                <w:szCs w:val="21"/>
              </w:rPr>
              <w:t xml:space="preserve"> to abnormal price growth from year-to-year. This is done to better capture the price level relative to its seasonal trends, which is measured to the price level a year earlier. </w:t>
            </w:r>
            <w:r w:rsidRPr="00063C20">
              <w:rPr>
                <w:rFonts w:cstheme="minorHAnsi"/>
                <w:color w:val="262626" w:themeColor="text1" w:themeTint="D9"/>
                <w:sz w:val="21"/>
                <w:szCs w:val="21"/>
              </w:rPr>
              <w:t xml:space="preserve">SDG indicator 2.c.1 is then calculated as the arithmetic mean over </w:t>
            </w:r>
            <m:oMath>
              <m:r>
                <w:rPr>
                  <w:rFonts w:ascii="Cambria Math" w:hAnsi="Cambria Math" w:cstheme="minorHAnsi"/>
                  <w:color w:val="262626" w:themeColor="text1" w:themeTint="D9"/>
                  <w:sz w:val="21"/>
                  <w:szCs w:val="21"/>
                </w:rPr>
                <m:t>t</m:t>
              </m:r>
            </m:oMath>
            <w:r w:rsidRPr="00063C20">
              <w:rPr>
                <w:rFonts w:cstheme="minorHAnsi"/>
                <w:color w:val="262626" w:themeColor="text1" w:themeTint="D9"/>
                <w:sz w:val="21"/>
                <w:szCs w:val="21"/>
              </w:rPr>
              <w:t xml:space="preserve"> months of the</w:t>
            </w:r>
          </w:p>
          <w:p w14:paraId="7C6C0C36" w14:textId="77777777" w:rsidR="00406F3B" w:rsidRPr="00063C20" w:rsidRDefault="00406F3B" w:rsidP="00406F3B">
            <w:pPr>
              <w:ind w:firstLine="540"/>
              <w:rPr>
                <w:rFonts w:cstheme="minorHAnsi"/>
                <w:vanish/>
                <w:color w:val="262626" w:themeColor="text1" w:themeTint="D9"/>
                <w:sz w:val="21"/>
                <w:szCs w:val="21"/>
              </w:rPr>
            </w:pPr>
            <w:r w:rsidRPr="00063C20">
              <w:rPr>
                <w:rFonts w:cstheme="minorHAnsi"/>
                <w:color w:val="262626" w:themeColor="text1" w:themeTint="D9"/>
                <w:sz w:val="21"/>
                <w:szCs w:val="21"/>
              </w:rPr>
              <w:t xml:space="preserve"> </w:t>
            </w: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IFPA</m:t>
                  </m:r>
                </m:e>
                <m:sub>
                  <m:r>
                    <w:rPr>
                      <w:rFonts w:ascii="Cambria Math" w:hAnsi="Cambria Math" w:cstheme="minorHAnsi"/>
                      <w:color w:val="262626" w:themeColor="text1" w:themeTint="D9"/>
                      <w:sz w:val="21"/>
                      <w:szCs w:val="21"/>
                    </w:rPr>
                    <m:t>yt</m:t>
                  </m:r>
                </m:sub>
              </m:sSub>
            </m:oMath>
            <w:r w:rsidRPr="00063C20">
              <w:rPr>
                <w:rFonts w:cstheme="minorHAnsi"/>
                <w:vanish/>
                <w:color w:val="262626" w:themeColor="text1" w:themeTint="D9"/>
                <w:sz w:val="21"/>
                <w:szCs w:val="21"/>
              </w:rPr>
              <w:t xml:space="preserve"> as follows:</w:t>
            </w:r>
          </w:p>
          <w:p w14:paraId="581D73E5" w14:textId="77777777" w:rsidR="00406F3B" w:rsidRPr="00063C20" w:rsidRDefault="00406F3B" w:rsidP="00406F3B">
            <w:pPr>
              <w:ind w:firstLine="540"/>
              <w:rPr>
                <w:rFonts w:cstheme="minorHAnsi"/>
                <w:vanish/>
                <w:color w:val="262626" w:themeColor="text1" w:themeTint="D9"/>
                <w:sz w:val="21"/>
                <w:szCs w:val="21"/>
              </w:rPr>
            </w:pPr>
          </w:p>
          <w:p w14:paraId="7CF3F0D4" w14:textId="77777777" w:rsidR="00406F3B" w:rsidRPr="00063C20" w:rsidRDefault="004B4A24" w:rsidP="00406F3B">
            <w:pPr>
              <w:spacing w:line="360" w:lineRule="auto"/>
              <w:rPr>
                <w:rFonts w:cstheme="minorHAnsi"/>
                <w:color w:val="262626" w:themeColor="text1" w:themeTint="D9"/>
                <w:sz w:val="21"/>
                <w:szCs w:val="21"/>
              </w:rPr>
            </w:pPr>
            <m:oMathPara>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IFPA</m:t>
                    </m:r>
                  </m:e>
                  <m:sub>
                    <m:r>
                      <w:rPr>
                        <w:rFonts w:ascii="Cambria Math" w:hAnsi="Cambria Math" w:cstheme="minorHAnsi"/>
                        <w:color w:val="262626" w:themeColor="text1" w:themeTint="D9"/>
                        <w:sz w:val="21"/>
                        <w:szCs w:val="21"/>
                      </w:rPr>
                      <m:t>y</m:t>
                    </m:r>
                  </m:sub>
                </m:sSub>
                <m:r>
                  <w:rPr>
                    <w:rFonts w:ascii="Cambria Math" w:hAnsi="Cambria Math" w:cstheme="minorHAnsi"/>
                    <w:color w:val="262626" w:themeColor="text1" w:themeTint="D9"/>
                    <w:sz w:val="21"/>
                    <w:szCs w:val="21"/>
                  </w:rPr>
                  <m:t>=</m:t>
                </m:r>
                <m:f>
                  <m:fPr>
                    <m:ctrlPr>
                      <w:rPr>
                        <w:rFonts w:ascii="Cambria Math" w:hAnsi="Cambria Math" w:cstheme="minorHAnsi"/>
                        <w:i/>
                        <w:iCs/>
                        <w:color w:val="262626" w:themeColor="text1" w:themeTint="D9"/>
                        <w:sz w:val="21"/>
                        <w:szCs w:val="21"/>
                      </w:rPr>
                    </m:ctrlPr>
                  </m:fPr>
                  <m:num>
                    <m:r>
                      <w:rPr>
                        <w:rFonts w:ascii="Cambria Math" w:hAnsi="Cambria Math" w:cstheme="minorHAnsi"/>
                        <w:color w:val="262626" w:themeColor="text1" w:themeTint="D9"/>
                        <w:sz w:val="21"/>
                        <w:szCs w:val="21"/>
                      </w:rPr>
                      <m:t>1</m:t>
                    </m:r>
                  </m:num>
                  <m:den>
                    <m:r>
                      <w:rPr>
                        <w:rFonts w:ascii="Cambria Math" w:hAnsi="Cambria Math" w:cstheme="minorHAnsi"/>
                        <w:color w:val="262626" w:themeColor="text1" w:themeTint="D9"/>
                        <w:sz w:val="21"/>
                        <w:szCs w:val="21"/>
                      </w:rPr>
                      <m:t>t</m:t>
                    </m:r>
                  </m:den>
                </m:f>
                <m:nary>
                  <m:naryPr>
                    <m:chr m:val="∑"/>
                    <m:limLoc m:val="undOvr"/>
                    <m:ctrlPr>
                      <w:rPr>
                        <w:rFonts w:ascii="Cambria Math" w:hAnsi="Cambria Math" w:cstheme="minorHAnsi"/>
                        <w:i/>
                        <w:iCs/>
                        <w:color w:val="262626" w:themeColor="text1" w:themeTint="D9"/>
                        <w:sz w:val="21"/>
                        <w:szCs w:val="21"/>
                      </w:rPr>
                    </m:ctrlPr>
                  </m:naryPr>
                  <m:sub>
                    <m:r>
                      <w:rPr>
                        <w:rFonts w:ascii="Cambria Math" w:hAnsi="Cambria Math" w:cstheme="minorHAnsi"/>
                        <w:color w:val="262626" w:themeColor="text1" w:themeTint="D9"/>
                        <w:sz w:val="21"/>
                        <w:szCs w:val="21"/>
                      </w:rPr>
                      <m:t>i=1</m:t>
                    </m:r>
                  </m:sub>
                  <m:sup>
                    <m:r>
                      <w:rPr>
                        <w:rFonts w:ascii="Cambria Math" w:hAnsi="Cambria Math" w:cstheme="minorHAnsi"/>
                        <w:color w:val="262626" w:themeColor="text1" w:themeTint="D9"/>
                        <w:sz w:val="21"/>
                        <w:szCs w:val="21"/>
                      </w:rPr>
                      <m:t>t</m:t>
                    </m:r>
                  </m:sup>
                  <m:e>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IFPA</m:t>
                        </m:r>
                      </m:e>
                      <m:sub>
                        <m:r>
                          <w:rPr>
                            <w:rFonts w:ascii="Cambria Math" w:hAnsi="Cambria Math" w:cstheme="minorHAnsi"/>
                            <w:color w:val="262626" w:themeColor="text1" w:themeTint="D9"/>
                            <w:sz w:val="21"/>
                            <w:szCs w:val="21"/>
                          </w:rPr>
                          <m:t>yt</m:t>
                        </m:r>
                      </m:sub>
                    </m:sSub>
                  </m:e>
                </m:nary>
              </m:oMath>
            </m:oMathPara>
          </w:p>
          <w:p w14:paraId="356AF0A6" w14:textId="77777777" w:rsidR="00406F3B" w:rsidRPr="00063C20" w:rsidRDefault="00406F3B" w:rsidP="00406F3B">
            <w:pPr>
              <w:rPr>
                <w:rFonts w:cstheme="minorHAnsi"/>
                <w:color w:val="262626" w:themeColor="text1" w:themeTint="D9"/>
                <w:sz w:val="21"/>
                <w:szCs w:val="21"/>
              </w:rPr>
            </w:pPr>
            <w:r w:rsidRPr="00063C20">
              <w:rPr>
                <w:rFonts w:cstheme="minorHAnsi"/>
                <w:color w:val="262626" w:themeColor="text1" w:themeTint="D9"/>
                <w:sz w:val="21"/>
                <w:szCs w:val="21"/>
              </w:rPr>
              <w:t xml:space="preserve">Where: </w:t>
            </w:r>
          </w:p>
          <w:p w14:paraId="629EDF0D" w14:textId="77777777" w:rsidR="00406F3B" w:rsidRPr="00063C20" w:rsidRDefault="004B4A24" w:rsidP="00406F3B">
            <w:pPr>
              <w:rPr>
                <w:rFonts w:cstheme="minorHAnsi"/>
                <w:color w:val="262626" w:themeColor="text1" w:themeTint="D9"/>
                <w:sz w:val="21"/>
                <w:szCs w:val="21"/>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IFPA</m:t>
                  </m:r>
                </m:e>
                <m:sub>
                  <m:r>
                    <w:rPr>
                      <w:rFonts w:ascii="Cambria Math" w:hAnsi="Cambria Math" w:cstheme="minorHAnsi"/>
                      <w:color w:val="262626" w:themeColor="text1" w:themeTint="D9"/>
                      <w:sz w:val="21"/>
                      <w:szCs w:val="21"/>
                    </w:rPr>
                    <m:t>y</m:t>
                  </m:r>
                </m:sub>
              </m:sSub>
            </m:oMath>
            <w:r w:rsidR="00406F3B" w:rsidRPr="00063C20">
              <w:rPr>
                <w:rFonts w:cstheme="minorHAnsi"/>
                <w:color w:val="262626" w:themeColor="text1" w:themeTint="D9"/>
                <w:sz w:val="21"/>
                <w:szCs w:val="21"/>
              </w:rPr>
              <w:t xml:space="preserve"> is the annual indicator of food price anomalies in year </w:t>
            </w:r>
            <m:oMath>
              <m:r>
                <w:rPr>
                  <w:rFonts w:ascii="Cambria Math" w:hAnsi="Cambria Math" w:cstheme="minorHAnsi"/>
                  <w:color w:val="262626" w:themeColor="text1" w:themeTint="D9"/>
                  <w:sz w:val="21"/>
                  <w:szCs w:val="21"/>
                </w:rPr>
                <m:t>y</m:t>
              </m:r>
            </m:oMath>
            <w:r w:rsidR="00406F3B" w:rsidRPr="00063C20">
              <w:rPr>
                <w:rFonts w:cstheme="minorHAnsi"/>
                <w:color w:val="262626" w:themeColor="text1" w:themeTint="D9"/>
                <w:sz w:val="21"/>
                <w:szCs w:val="21"/>
              </w:rPr>
              <w:t xml:space="preserve"> </w:t>
            </w:r>
          </w:p>
          <w:p w14:paraId="03DFF242" w14:textId="77777777" w:rsidR="00406F3B" w:rsidRPr="00063C20" w:rsidRDefault="004B4A24" w:rsidP="00406F3B">
            <w:pPr>
              <w:rPr>
                <w:rFonts w:cstheme="minorHAnsi"/>
                <w:color w:val="262626" w:themeColor="text1" w:themeTint="D9"/>
                <w:sz w:val="21"/>
                <w:szCs w:val="21"/>
              </w:rPr>
            </w:pPr>
            <m:oMath>
              <m:sSub>
                <m:sSubPr>
                  <m:ctrlPr>
                    <w:rPr>
                      <w:rFonts w:ascii="Cambria Math" w:hAnsi="Cambria Math" w:cstheme="minorHAnsi"/>
                      <w:i/>
                      <w:iCs/>
                      <w:color w:val="262626" w:themeColor="text1" w:themeTint="D9"/>
                      <w:sz w:val="21"/>
                      <w:szCs w:val="21"/>
                    </w:rPr>
                  </m:ctrlPr>
                </m:sSubPr>
                <m:e>
                  <m:r>
                    <w:rPr>
                      <w:rFonts w:ascii="Cambria Math" w:hAnsi="Cambria Math" w:cstheme="minorHAnsi"/>
                      <w:color w:val="262626" w:themeColor="text1" w:themeTint="D9"/>
                      <w:sz w:val="21"/>
                      <w:szCs w:val="21"/>
                    </w:rPr>
                    <m:t>IFPA</m:t>
                  </m:r>
                </m:e>
                <m:sub>
                  <m:r>
                    <w:rPr>
                      <w:rFonts w:ascii="Cambria Math" w:hAnsi="Cambria Math" w:cstheme="minorHAnsi"/>
                      <w:color w:val="262626" w:themeColor="text1" w:themeTint="D9"/>
                      <w:sz w:val="21"/>
                      <w:szCs w:val="21"/>
                    </w:rPr>
                    <m:t>yt</m:t>
                  </m:r>
                </m:sub>
              </m:sSub>
            </m:oMath>
            <w:r w:rsidR="00406F3B" w:rsidRPr="00063C20">
              <w:rPr>
                <w:rFonts w:cstheme="minorHAnsi"/>
                <w:iCs/>
                <w:color w:val="262626" w:themeColor="text1" w:themeTint="D9"/>
                <w:sz w:val="21"/>
                <w:szCs w:val="21"/>
              </w:rPr>
              <w:t xml:space="preserve"> is the indicator of food price anomalies in year </w:t>
            </w:r>
            <m:oMath>
              <m:r>
                <w:rPr>
                  <w:rFonts w:ascii="Cambria Math" w:hAnsi="Cambria Math" w:cstheme="minorHAnsi"/>
                  <w:color w:val="262626" w:themeColor="text1" w:themeTint="D9"/>
                  <w:sz w:val="21"/>
                  <w:szCs w:val="21"/>
                </w:rPr>
                <m:t xml:space="preserve">y </m:t>
              </m:r>
            </m:oMath>
            <w:r w:rsidR="00406F3B" w:rsidRPr="00063C20">
              <w:rPr>
                <w:rFonts w:cstheme="minorHAnsi"/>
                <w:iCs/>
                <w:color w:val="262626" w:themeColor="text1" w:themeTint="D9"/>
                <w:sz w:val="21"/>
                <w:szCs w:val="21"/>
              </w:rPr>
              <w:t xml:space="preserve">and month </w:t>
            </w:r>
            <m:oMath>
              <m:r>
                <w:rPr>
                  <w:rFonts w:ascii="Cambria Math" w:hAnsi="Cambria Math" w:cstheme="minorHAnsi"/>
                  <w:color w:val="262626" w:themeColor="text1" w:themeTint="D9"/>
                  <w:sz w:val="21"/>
                  <w:szCs w:val="21"/>
                </w:rPr>
                <m:t>t</m:t>
              </m:r>
            </m:oMath>
          </w:p>
          <w:p w14:paraId="415D7D1B" w14:textId="77777777" w:rsidR="00406F3B" w:rsidRPr="00063C20" w:rsidRDefault="00406F3B" w:rsidP="00406F3B">
            <w:pPr>
              <w:rPr>
                <w:rFonts w:cstheme="minorHAnsi"/>
                <w:color w:val="262626" w:themeColor="text1" w:themeTint="D9"/>
                <w:sz w:val="21"/>
                <w:szCs w:val="21"/>
              </w:rPr>
            </w:pPr>
            <m:oMath>
              <m:r>
                <w:rPr>
                  <w:rFonts w:ascii="Cambria Math" w:hAnsi="Cambria Math" w:cstheme="minorHAnsi"/>
                  <w:color w:val="262626" w:themeColor="text1" w:themeTint="D9"/>
                  <w:sz w:val="21"/>
                  <w:szCs w:val="21"/>
                </w:rPr>
                <m:t>t</m:t>
              </m:r>
            </m:oMath>
            <w:r w:rsidRPr="00063C20">
              <w:rPr>
                <w:rFonts w:cstheme="minorHAnsi"/>
                <w:color w:val="262626" w:themeColor="text1" w:themeTint="D9"/>
                <w:sz w:val="21"/>
                <w:szCs w:val="21"/>
              </w:rPr>
              <w:t xml:space="preserve">  is the number of months in a year</w:t>
            </w:r>
          </w:p>
          <w:p w14:paraId="3A955850" w14:textId="77777777" w:rsidR="00406F3B" w:rsidRPr="00D521BB" w:rsidRDefault="00406F3B" w:rsidP="00406F3B">
            <w:pPr>
              <w:jc w:val="both"/>
              <w:rPr>
                <w:b/>
                <w:bCs/>
                <w:szCs w:val="20"/>
              </w:rPr>
            </w:pPr>
          </w:p>
          <w:p w14:paraId="64CFDEFF" w14:textId="294A4269" w:rsidR="00406F3B" w:rsidRDefault="00406F3B" w:rsidP="00406F3B">
            <w:pPr>
              <w:ind w:left="470" w:hanging="470"/>
              <w:jc w:val="both"/>
              <w:rPr>
                <w:szCs w:val="20"/>
              </w:rPr>
            </w:pPr>
          </w:p>
          <w:p w14:paraId="15AAD4D3" w14:textId="77777777" w:rsidR="00406F3B" w:rsidRPr="00D521BB" w:rsidRDefault="00406F3B" w:rsidP="00406F3B">
            <w:pPr>
              <w:ind w:left="470" w:hanging="470"/>
              <w:jc w:val="both"/>
              <w:rPr>
                <w:b/>
                <w:bCs/>
                <w:szCs w:val="20"/>
              </w:rPr>
            </w:pPr>
          </w:p>
        </w:tc>
        <w:tc>
          <w:tcPr>
            <w:tcW w:w="0" w:type="auto"/>
            <w:shd w:val="clear" w:color="auto" w:fill="auto"/>
          </w:tcPr>
          <w:p w14:paraId="55B3639D" w14:textId="77777777" w:rsidR="00406F3B" w:rsidRDefault="00406F3B" w:rsidP="00406F3B">
            <w:pPr>
              <w:jc w:val="center"/>
              <w:rPr>
                <w:szCs w:val="20"/>
              </w:rPr>
            </w:pPr>
            <w:r w:rsidRPr="00D521BB">
              <w:rPr>
                <w:szCs w:val="20"/>
              </w:rPr>
              <w:lastRenderedPageBreak/>
              <w:t>FPMA Price Tool</w:t>
            </w:r>
            <w:r>
              <w:rPr>
                <w:szCs w:val="20"/>
              </w:rPr>
              <w:t>, FAO</w:t>
            </w:r>
          </w:p>
        </w:tc>
        <w:tc>
          <w:tcPr>
            <w:tcW w:w="0" w:type="auto"/>
            <w:shd w:val="clear" w:color="auto" w:fill="auto"/>
          </w:tcPr>
          <w:p w14:paraId="5E016A61" w14:textId="77777777" w:rsidR="00406F3B" w:rsidRPr="00D521BB" w:rsidRDefault="00406F3B" w:rsidP="00406F3B">
            <w:pPr>
              <w:jc w:val="both"/>
              <w:rPr>
                <w:szCs w:val="20"/>
              </w:rPr>
            </w:pPr>
            <w:r w:rsidRPr="00D521BB">
              <w:rPr>
                <w:szCs w:val="20"/>
              </w:rPr>
              <w:t>National line-ministries</w:t>
            </w:r>
            <w:r>
              <w:rPr>
                <w:szCs w:val="20"/>
              </w:rPr>
              <w:t>-</w:t>
            </w:r>
            <w:r w:rsidRPr="00D521BB">
              <w:rPr>
                <w:szCs w:val="20"/>
              </w:rPr>
              <w:t>mostly agricultural</w:t>
            </w:r>
          </w:p>
          <w:p w14:paraId="775AFE1A" w14:textId="77777777" w:rsidR="00406F3B" w:rsidRPr="00D521BB" w:rsidRDefault="00406F3B" w:rsidP="00406F3B">
            <w:pPr>
              <w:jc w:val="both"/>
              <w:rPr>
                <w:szCs w:val="20"/>
              </w:rPr>
            </w:pPr>
            <w:r w:rsidRPr="00D521BB">
              <w:rPr>
                <w:szCs w:val="20"/>
              </w:rPr>
              <w:t>ministries</w:t>
            </w:r>
          </w:p>
        </w:tc>
        <w:tc>
          <w:tcPr>
            <w:tcW w:w="0" w:type="auto"/>
            <w:shd w:val="clear" w:color="auto" w:fill="auto"/>
          </w:tcPr>
          <w:p w14:paraId="78D316BD" w14:textId="77777777" w:rsidR="00406F3B" w:rsidRDefault="00406F3B" w:rsidP="00406F3B">
            <w:pPr>
              <w:jc w:val="center"/>
              <w:rPr>
                <w:szCs w:val="20"/>
              </w:rPr>
            </w:pPr>
            <w:r>
              <w:rPr>
                <w:szCs w:val="20"/>
              </w:rPr>
              <w:t>FAO</w:t>
            </w:r>
          </w:p>
        </w:tc>
        <w:tc>
          <w:tcPr>
            <w:tcW w:w="0" w:type="auto"/>
            <w:shd w:val="clear" w:color="auto" w:fill="auto"/>
          </w:tcPr>
          <w:p w14:paraId="56103D24" w14:textId="3B28DA18" w:rsidR="00406F3B" w:rsidRDefault="00406F3B" w:rsidP="00406F3B">
            <w:pPr>
              <w:rPr>
                <w:szCs w:val="20"/>
              </w:rPr>
            </w:pPr>
          </w:p>
          <w:p w14:paraId="48066D29" w14:textId="77777777" w:rsidR="00406F3B" w:rsidRDefault="00406F3B" w:rsidP="00406F3B">
            <w:pPr>
              <w:jc w:val="both"/>
            </w:pPr>
            <w:r>
              <w:t xml:space="preserve">a) </w:t>
            </w:r>
            <w:r w:rsidRPr="00BC6F10">
              <w:t>BBS</w:t>
            </w:r>
          </w:p>
          <w:p w14:paraId="3996AAFE" w14:textId="77777777" w:rsidR="00406F3B" w:rsidRPr="009F1657" w:rsidRDefault="00406F3B" w:rsidP="00406F3B">
            <w:pPr>
              <w:rPr>
                <w:color w:val="FF0000"/>
              </w:rPr>
            </w:pPr>
            <w:r w:rsidRPr="009F1657">
              <w:rPr>
                <w:color w:val="FF0000"/>
              </w:rPr>
              <w:t>b) FAO</w:t>
            </w:r>
          </w:p>
          <w:p w14:paraId="642A97BB" w14:textId="77777777" w:rsidR="00406F3B" w:rsidRDefault="00406F3B" w:rsidP="00406F3B">
            <w:pPr>
              <w:rPr>
                <w:szCs w:val="20"/>
              </w:rPr>
            </w:pPr>
          </w:p>
        </w:tc>
        <w:tc>
          <w:tcPr>
            <w:tcW w:w="0" w:type="auto"/>
            <w:shd w:val="clear" w:color="auto" w:fill="auto"/>
          </w:tcPr>
          <w:p w14:paraId="510BC962" w14:textId="77777777" w:rsidR="00406F3B" w:rsidRDefault="00406F3B" w:rsidP="00406F3B">
            <w:pPr>
              <w:pStyle w:val="ListParagraph"/>
              <w:numPr>
                <w:ilvl w:val="0"/>
                <w:numId w:val="11"/>
              </w:numPr>
              <w:rPr>
                <w:rFonts w:ascii="Tw Cen MT Condensed" w:hAnsi="Tw Cen MT Condensed"/>
                <w:sz w:val="20"/>
                <w:szCs w:val="20"/>
              </w:rPr>
            </w:pPr>
            <w:r w:rsidRPr="00D521BB">
              <w:rPr>
                <w:rFonts w:ascii="Tw Cen MT Condensed" w:hAnsi="Tw Cen MT Condensed"/>
                <w:sz w:val="20"/>
                <w:szCs w:val="20"/>
              </w:rPr>
              <w:t>Market</w:t>
            </w:r>
            <w:r>
              <w:rPr>
                <w:rFonts w:ascii="Tw Cen MT Condensed" w:hAnsi="Tw Cen MT Condensed"/>
                <w:sz w:val="20"/>
                <w:szCs w:val="20"/>
              </w:rPr>
              <w:t xml:space="preserve"> (Rural/Urban, Retail/Wholesale)</w:t>
            </w:r>
          </w:p>
          <w:p w14:paraId="4C399662" w14:textId="77777777" w:rsidR="00406F3B" w:rsidRDefault="00406F3B" w:rsidP="00406F3B">
            <w:pPr>
              <w:pStyle w:val="ListParagraph"/>
              <w:numPr>
                <w:ilvl w:val="0"/>
                <w:numId w:val="11"/>
              </w:numPr>
              <w:jc w:val="both"/>
              <w:rPr>
                <w:rFonts w:ascii="Tw Cen MT Condensed" w:hAnsi="Tw Cen MT Condensed"/>
                <w:sz w:val="20"/>
                <w:szCs w:val="20"/>
              </w:rPr>
            </w:pPr>
            <w:r w:rsidRPr="00D521BB">
              <w:rPr>
                <w:rFonts w:ascii="Tw Cen MT Condensed" w:hAnsi="Tw Cen MT Condensed"/>
                <w:sz w:val="20"/>
                <w:szCs w:val="20"/>
              </w:rPr>
              <w:t>Commodity</w:t>
            </w:r>
            <w:r>
              <w:rPr>
                <w:rFonts w:ascii="Tw Cen MT Condensed" w:hAnsi="Tw Cen MT Condensed"/>
                <w:sz w:val="20"/>
                <w:szCs w:val="20"/>
              </w:rPr>
              <w:t xml:space="preserve"> (Cereals, Breads, Meat, Fish, Vegetables, Oils and Fats, Oilseeds, </w:t>
            </w:r>
            <w:r>
              <w:rPr>
                <w:rFonts w:ascii="Tw Cen MT Condensed" w:hAnsi="Tw Cen MT Condensed"/>
                <w:sz w:val="20"/>
                <w:szCs w:val="20"/>
              </w:rPr>
              <w:lastRenderedPageBreak/>
              <w:t>etc.)</w:t>
            </w:r>
          </w:p>
          <w:p w14:paraId="584B0903" w14:textId="77777777" w:rsidR="00406F3B" w:rsidRPr="00D521BB" w:rsidRDefault="00406F3B" w:rsidP="00406F3B">
            <w:pPr>
              <w:pStyle w:val="ListParagraph"/>
              <w:numPr>
                <w:ilvl w:val="0"/>
                <w:numId w:val="11"/>
              </w:numPr>
              <w:jc w:val="both"/>
              <w:rPr>
                <w:rFonts w:ascii="Tw Cen MT Condensed" w:hAnsi="Tw Cen MT Condensed"/>
                <w:sz w:val="20"/>
                <w:szCs w:val="20"/>
              </w:rPr>
            </w:pPr>
            <w:r>
              <w:rPr>
                <w:rFonts w:ascii="Tw Cen MT Condensed" w:hAnsi="Tw Cen MT Condensed"/>
                <w:sz w:val="20"/>
                <w:szCs w:val="20"/>
              </w:rPr>
              <w:t>Division/District</w:t>
            </w:r>
          </w:p>
        </w:tc>
        <w:tc>
          <w:tcPr>
            <w:tcW w:w="0" w:type="auto"/>
            <w:shd w:val="clear" w:color="auto" w:fill="auto"/>
          </w:tcPr>
          <w:p w14:paraId="51A5A902" w14:textId="5035B16E" w:rsidR="00406F3B" w:rsidRDefault="0098022F" w:rsidP="00406F3B">
            <w:pPr>
              <w:jc w:val="center"/>
              <w:rPr>
                <w:bCs/>
                <w:szCs w:val="20"/>
              </w:rPr>
            </w:pPr>
            <w:r>
              <w:rPr>
                <w:bCs/>
                <w:szCs w:val="20"/>
              </w:rPr>
              <w:lastRenderedPageBreak/>
              <w:t>Annualy</w:t>
            </w:r>
          </w:p>
        </w:tc>
        <w:tc>
          <w:tcPr>
            <w:tcW w:w="0" w:type="auto"/>
            <w:shd w:val="clear" w:color="auto" w:fill="auto"/>
          </w:tcPr>
          <w:p w14:paraId="5B51814D" w14:textId="77777777" w:rsidR="00406F3B" w:rsidRDefault="00406F3B" w:rsidP="00406F3B">
            <w:pPr>
              <w:jc w:val="center"/>
              <w:rPr>
                <w:bCs/>
                <w:szCs w:val="20"/>
              </w:rPr>
            </w:pPr>
            <w:r>
              <w:rPr>
                <w:bCs/>
                <w:szCs w:val="20"/>
              </w:rPr>
              <w:t>Group 3</w:t>
            </w:r>
          </w:p>
        </w:tc>
        <w:tc>
          <w:tcPr>
            <w:tcW w:w="0" w:type="auto"/>
            <w:shd w:val="clear" w:color="auto" w:fill="auto"/>
          </w:tcPr>
          <w:p w14:paraId="60DA3D10" w14:textId="77777777" w:rsidR="00406F3B" w:rsidRDefault="00406F3B" w:rsidP="00406F3B">
            <w:pPr>
              <w:pStyle w:val="NoSpacing"/>
            </w:pPr>
            <w:r>
              <w:t>1</w:t>
            </w:r>
            <w:r w:rsidRPr="00013ACB">
              <w:rPr>
                <w:vertAlign w:val="superscript"/>
              </w:rPr>
              <w:t>st</w:t>
            </w:r>
            <w:r>
              <w:t xml:space="preserve"> Round: </w:t>
            </w:r>
          </w:p>
          <w:p w14:paraId="2F6583B4" w14:textId="77777777" w:rsidR="00406F3B" w:rsidRDefault="00406F3B" w:rsidP="00406F3B">
            <w:pPr>
              <w:pStyle w:val="NoSpacing"/>
            </w:pPr>
            <w:r>
              <w:t>2016</w:t>
            </w:r>
          </w:p>
          <w:p w14:paraId="647A51A7" w14:textId="77777777" w:rsidR="00406F3B" w:rsidRDefault="00406F3B" w:rsidP="00406F3B">
            <w:pPr>
              <w:pStyle w:val="NoSpacing"/>
            </w:pPr>
          </w:p>
          <w:p w14:paraId="439B5586" w14:textId="77777777" w:rsidR="00406F3B" w:rsidRDefault="00406F3B" w:rsidP="00406F3B">
            <w:pPr>
              <w:pStyle w:val="NoSpacing"/>
            </w:pPr>
            <w:r>
              <w:t>2</w:t>
            </w:r>
            <w:r w:rsidRPr="00013ACB">
              <w:rPr>
                <w:vertAlign w:val="superscript"/>
              </w:rPr>
              <w:t>nd</w:t>
            </w:r>
            <w:r>
              <w:t xml:space="preserve"> Round: </w:t>
            </w:r>
          </w:p>
          <w:p w14:paraId="392CD810" w14:textId="77777777" w:rsidR="00406F3B" w:rsidRDefault="00406F3B" w:rsidP="00406F3B">
            <w:pPr>
              <w:pStyle w:val="NoSpacing"/>
            </w:pPr>
            <w:r>
              <w:t xml:space="preserve">December </w:t>
            </w:r>
          </w:p>
          <w:p w14:paraId="0869A440" w14:textId="77777777" w:rsidR="00406F3B" w:rsidRDefault="00406F3B" w:rsidP="00406F3B">
            <w:pPr>
              <w:pStyle w:val="NoSpacing"/>
            </w:pPr>
            <w:r>
              <w:t>2019</w:t>
            </w:r>
          </w:p>
          <w:p w14:paraId="57CED4D6" w14:textId="77777777" w:rsidR="00406F3B" w:rsidRDefault="00406F3B" w:rsidP="00406F3B">
            <w:pPr>
              <w:pStyle w:val="NoSpacing"/>
            </w:pPr>
          </w:p>
          <w:p w14:paraId="34C7E850" w14:textId="77777777" w:rsidR="00406F3B" w:rsidRDefault="00406F3B" w:rsidP="00406F3B">
            <w:pPr>
              <w:pStyle w:val="NoSpacing"/>
            </w:pPr>
            <w:r>
              <w:lastRenderedPageBreak/>
              <w:t>3</w:t>
            </w:r>
            <w:r w:rsidRPr="00013ACB">
              <w:rPr>
                <w:vertAlign w:val="superscript"/>
              </w:rPr>
              <w:t>rd</w:t>
            </w:r>
            <w:r>
              <w:t xml:space="preserve"> Round: </w:t>
            </w:r>
          </w:p>
          <w:p w14:paraId="74282558" w14:textId="77777777" w:rsidR="00406F3B" w:rsidRDefault="00406F3B" w:rsidP="00406F3B">
            <w:pPr>
              <w:pStyle w:val="NoSpacing"/>
            </w:pPr>
            <w:r>
              <w:t xml:space="preserve">December </w:t>
            </w:r>
          </w:p>
          <w:p w14:paraId="432D8A78" w14:textId="77777777" w:rsidR="00406F3B" w:rsidRDefault="00406F3B" w:rsidP="00406F3B">
            <w:pPr>
              <w:pStyle w:val="NoSpacing"/>
            </w:pPr>
            <w:r>
              <w:t>2020</w:t>
            </w:r>
          </w:p>
          <w:p w14:paraId="4525EDD8" w14:textId="77777777" w:rsidR="00406F3B" w:rsidRDefault="00406F3B" w:rsidP="00406F3B">
            <w:pPr>
              <w:pStyle w:val="NoSpacing"/>
            </w:pPr>
          </w:p>
          <w:p w14:paraId="5B223F8C" w14:textId="77777777" w:rsidR="00406F3B" w:rsidRDefault="00406F3B" w:rsidP="00406F3B">
            <w:pPr>
              <w:pStyle w:val="NoSpacing"/>
            </w:pPr>
            <w:r>
              <w:t>4</w:t>
            </w:r>
            <w:r w:rsidRPr="00013ACB">
              <w:rPr>
                <w:vertAlign w:val="superscript"/>
              </w:rPr>
              <w:t>th</w:t>
            </w:r>
            <w:r>
              <w:t xml:space="preserve"> Round: </w:t>
            </w:r>
          </w:p>
          <w:p w14:paraId="4BECD405" w14:textId="77777777" w:rsidR="00406F3B" w:rsidRDefault="00406F3B" w:rsidP="00406F3B">
            <w:pPr>
              <w:pStyle w:val="NoSpacing"/>
            </w:pPr>
            <w:r>
              <w:t xml:space="preserve">December </w:t>
            </w:r>
          </w:p>
          <w:p w14:paraId="578EAED0" w14:textId="77777777" w:rsidR="00406F3B" w:rsidRDefault="00406F3B" w:rsidP="00406F3B">
            <w:pPr>
              <w:pStyle w:val="NoSpacing"/>
            </w:pPr>
            <w:r>
              <w:t>2021</w:t>
            </w:r>
          </w:p>
          <w:p w14:paraId="17D54A17" w14:textId="77777777" w:rsidR="00406F3B" w:rsidRDefault="00406F3B" w:rsidP="00406F3B">
            <w:pPr>
              <w:pStyle w:val="NoSpacing"/>
            </w:pPr>
          </w:p>
          <w:p w14:paraId="6C8816BD" w14:textId="77777777" w:rsidR="00406F3B" w:rsidRDefault="00406F3B" w:rsidP="00406F3B">
            <w:pPr>
              <w:pStyle w:val="NoSpacing"/>
            </w:pPr>
            <w:r>
              <w:t>5</w:t>
            </w:r>
            <w:r w:rsidRPr="00013ACB">
              <w:rPr>
                <w:vertAlign w:val="superscript"/>
              </w:rPr>
              <w:t>th</w:t>
            </w:r>
            <w:r>
              <w:t xml:space="preserve"> Round: </w:t>
            </w:r>
          </w:p>
          <w:p w14:paraId="3BDD4E51" w14:textId="77777777" w:rsidR="00406F3B" w:rsidRDefault="00406F3B" w:rsidP="00406F3B">
            <w:pPr>
              <w:pStyle w:val="NoSpacing"/>
            </w:pPr>
            <w:r>
              <w:t xml:space="preserve">December </w:t>
            </w:r>
          </w:p>
          <w:p w14:paraId="3412446E" w14:textId="77777777" w:rsidR="00406F3B" w:rsidRDefault="00406F3B" w:rsidP="00406F3B">
            <w:pPr>
              <w:pStyle w:val="NoSpacing"/>
            </w:pPr>
            <w:r>
              <w:t>2022</w:t>
            </w:r>
          </w:p>
          <w:p w14:paraId="68F73AE9" w14:textId="2226DDF8" w:rsidR="00406F3B" w:rsidRPr="001C238F" w:rsidRDefault="00406F3B" w:rsidP="00406F3B">
            <w:pPr>
              <w:pStyle w:val="NoSpacing"/>
            </w:pPr>
          </w:p>
        </w:tc>
        <w:tc>
          <w:tcPr>
            <w:tcW w:w="0" w:type="auto"/>
            <w:shd w:val="clear" w:color="auto" w:fill="auto"/>
          </w:tcPr>
          <w:p w14:paraId="6F9BF3C7" w14:textId="77777777" w:rsidR="00406F3B" w:rsidRDefault="00406F3B" w:rsidP="00406F3B">
            <w:pPr>
              <w:jc w:val="both"/>
              <w:rPr>
                <w:bCs/>
                <w:szCs w:val="20"/>
              </w:rPr>
            </w:pPr>
            <w:r>
              <w:rPr>
                <w:bCs/>
                <w:szCs w:val="20"/>
              </w:rPr>
              <w:lastRenderedPageBreak/>
              <w:t>NAW, BBS should revise the commodity list and price collection schedule as required.</w:t>
            </w:r>
          </w:p>
        </w:tc>
      </w:tr>
    </w:tbl>
    <w:p w14:paraId="64993B8E" w14:textId="33FA3FEE" w:rsidR="004B5464" w:rsidRDefault="004B5464" w:rsidP="00CC78FC">
      <w:pPr>
        <w:jc w:val="both"/>
        <w:rPr>
          <w:color w:val="C00000"/>
          <w:sz w:val="30"/>
          <w:szCs w:val="30"/>
        </w:rPr>
      </w:pPr>
    </w:p>
    <w:p w14:paraId="22735B17" w14:textId="3E7A3BBA" w:rsidR="0085651F" w:rsidRDefault="0085651F" w:rsidP="00CC78FC">
      <w:pPr>
        <w:jc w:val="both"/>
        <w:rPr>
          <w:color w:val="C00000"/>
          <w:sz w:val="30"/>
          <w:szCs w:val="30"/>
        </w:rPr>
      </w:pPr>
    </w:p>
    <w:p w14:paraId="72521526" w14:textId="5202570D" w:rsidR="0085651F" w:rsidRDefault="0085651F" w:rsidP="00CC78FC">
      <w:pPr>
        <w:jc w:val="both"/>
        <w:rPr>
          <w:color w:val="C00000"/>
          <w:sz w:val="30"/>
          <w:szCs w:val="30"/>
        </w:rPr>
      </w:pPr>
    </w:p>
    <w:p w14:paraId="3ED27E7D" w14:textId="2C4B696A" w:rsidR="0085651F" w:rsidRDefault="0085651F" w:rsidP="00CC78FC">
      <w:pPr>
        <w:jc w:val="both"/>
        <w:rPr>
          <w:color w:val="C00000"/>
          <w:sz w:val="30"/>
          <w:szCs w:val="30"/>
        </w:rPr>
      </w:pPr>
    </w:p>
    <w:p w14:paraId="6417BF7A" w14:textId="7E199F75" w:rsidR="0085651F" w:rsidRDefault="0085651F">
      <w:pPr>
        <w:rPr>
          <w:color w:val="C00000"/>
          <w:sz w:val="30"/>
          <w:szCs w:val="30"/>
        </w:rPr>
      </w:pPr>
      <w:r>
        <w:rPr>
          <w:color w:val="C00000"/>
          <w:sz w:val="30"/>
          <w:szCs w:val="30"/>
        </w:rPr>
        <w:lastRenderedPageBreak/>
        <w:br w:type="page"/>
      </w:r>
    </w:p>
    <w:p w14:paraId="38073A2C" w14:textId="56EA9EAB" w:rsidR="0085651F" w:rsidRDefault="0085651F" w:rsidP="00CC78FC">
      <w:pPr>
        <w:jc w:val="both"/>
        <w:rPr>
          <w:color w:val="C00000"/>
          <w:sz w:val="30"/>
          <w:szCs w:val="30"/>
        </w:rPr>
      </w:pPr>
      <w:r>
        <w:rPr>
          <w:noProof/>
          <w:lang w:bidi="bn-BD"/>
        </w:rPr>
        <w:lastRenderedPageBreak/>
        <mc:AlternateContent>
          <mc:Choice Requires="wps">
            <w:drawing>
              <wp:anchor distT="0" distB="0" distL="114300" distR="114300" simplePos="0" relativeHeight="251574784" behindDoc="1" locked="0" layoutInCell="1" allowOverlap="1" wp14:anchorId="3C396E3A" wp14:editId="01D5E595">
                <wp:simplePos x="0" y="0"/>
                <wp:positionH relativeFrom="page">
                  <wp:align>right</wp:align>
                </wp:positionH>
                <wp:positionV relativeFrom="paragraph">
                  <wp:posOffset>-905686</wp:posOffset>
                </wp:positionV>
                <wp:extent cx="12780010" cy="7761605"/>
                <wp:effectExtent l="0" t="0" r="21590" b="107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0010" cy="776160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448637" id="Rectangle 4" o:spid="_x0000_s1026" style="position:absolute;margin-left:955.1pt;margin-top:-71.3pt;width:1006.3pt;height:611.15pt;z-index:-251741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" fillcolor="#00b050">
                <w10:wrap anchorx="page"/>
              </v:rect>
            </w:pict>
          </mc:Fallback>
        </mc:AlternateContent>
      </w:r>
    </w:p>
    <w:p w14:paraId="658EAB2C" w14:textId="77777777" w:rsidR="004B5464" w:rsidRDefault="004B5464" w:rsidP="00CC78FC">
      <w:pPr>
        <w:framePr w:hSpace="180" w:wrap="around" w:vAnchor="text" w:hAnchor="text" w:y="1"/>
        <w:suppressOverlap/>
        <w:jc w:val="both"/>
        <w:rPr>
          <w:color w:val="C00000"/>
          <w:sz w:val="30"/>
          <w:szCs w:val="30"/>
        </w:rPr>
      </w:pPr>
    </w:p>
    <w:p w14:paraId="2D49A91A" w14:textId="77777777" w:rsidR="00C06D83" w:rsidRPr="00262FC1" w:rsidRDefault="00C06D83">
      <w:pPr>
        <w:rPr>
          <w:sz w:val="22"/>
          <w:szCs w:val="22"/>
        </w:rPr>
      </w:pPr>
    </w:p>
    <w:p w14:paraId="7DE9166B" w14:textId="77777777" w:rsidR="006173AD" w:rsidRPr="00262FC1" w:rsidRDefault="006173AD">
      <w:pPr>
        <w:rPr>
          <w:sz w:val="22"/>
          <w:szCs w:val="22"/>
        </w:rPr>
      </w:pPr>
    </w:p>
    <w:p w14:paraId="720E0E1D" w14:textId="77777777" w:rsidR="006173AD" w:rsidRPr="00262FC1" w:rsidRDefault="006173AD">
      <w:pPr>
        <w:rPr>
          <w:sz w:val="22"/>
          <w:szCs w:val="22"/>
        </w:rPr>
      </w:pPr>
    </w:p>
    <w:p w14:paraId="2040697F" w14:textId="3EA18EA8" w:rsidR="00996F1A" w:rsidRPr="00BC08EA" w:rsidRDefault="00996F1A" w:rsidP="00996F1A">
      <w:pPr>
        <w:jc w:val="both"/>
        <w:rPr>
          <w:color w:val="FFFFFF" w:themeColor="background1"/>
          <w:sz w:val="50"/>
          <w:szCs w:val="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62FC1">
        <w:rPr>
          <w:noProof/>
          <w:lang w:bidi="bn-BD"/>
        </w:rPr>
        <w:drawing>
          <wp:inline distT="0" distB="0" distL="0" distR="0" wp14:anchorId="66844B0A" wp14:editId="66075C2B">
            <wp:extent cx="1651128" cy="1651128"/>
            <wp:effectExtent l="38100" t="38100" r="2540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51128" cy="1651128"/>
                    </a:xfrm>
                    <a:prstGeom prst="rect">
                      <a:avLst/>
                    </a:prstGeom>
                    <a:ln w="38100">
                      <a:solidFill>
                        <a:schemeClr val="bg1"/>
                      </a:solidFill>
                    </a:ln>
                  </pic:spPr>
                </pic:pic>
              </a:graphicData>
            </a:graphic>
          </wp:inline>
        </w:drawing>
      </w:r>
      <w:r>
        <w:t xml:space="preserve">  </w:t>
      </w:r>
      <w:r w:rsidRPr="00BC08EA">
        <w:rPr>
          <w:color w:val="FFFFFF" w:themeColor="background1"/>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Ensure healthy lives and promote well-being for all at all ages</w:t>
      </w:r>
    </w:p>
    <w:p w14:paraId="621BE375" w14:textId="77777777" w:rsidR="00996F1A" w:rsidRDefault="00996F1A" w:rsidP="00996F1A">
      <w:pPr>
        <w:jc w:val="center"/>
        <w:rPr>
          <w:color w:val="FFFFFF" w:themeColor="background1"/>
          <w:sz w:val="54"/>
          <w:szCs w:val="54"/>
        </w:rPr>
      </w:pPr>
    </w:p>
    <w:p w14:paraId="62F1F3CA" w14:textId="77777777" w:rsidR="00996F1A" w:rsidRPr="00D2173E" w:rsidRDefault="00996F1A" w:rsidP="00996F1A">
      <w:pPr>
        <w:jc w:val="center"/>
        <w:rPr>
          <w:color w:val="FFFFFF" w:themeColor="background1"/>
          <w:sz w:val="54"/>
          <w:szCs w:val="54"/>
        </w:rPr>
      </w:pPr>
      <w:r w:rsidRPr="00D2173E">
        <w:rPr>
          <w:color w:val="FFFFFF" w:themeColor="background1"/>
          <w:sz w:val="54"/>
          <w:szCs w:val="54"/>
        </w:rPr>
        <w:t xml:space="preserve">Total Target </w:t>
      </w:r>
      <w:r w:rsidR="00666C27">
        <w:rPr>
          <w:color w:val="FFFFFF" w:themeColor="background1"/>
          <w:sz w:val="54"/>
          <w:szCs w:val="54"/>
        </w:rPr>
        <w:t>13</w:t>
      </w:r>
      <w:r w:rsidRPr="00D2173E">
        <w:rPr>
          <w:color w:val="FFFFFF" w:themeColor="background1"/>
          <w:sz w:val="54"/>
          <w:szCs w:val="54"/>
        </w:rPr>
        <w:t xml:space="preserve">, Total Indicators: </w:t>
      </w:r>
      <w:r w:rsidR="00666C27">
        <w:rPr>
          <w:color w:val="FFFFFF" w:themeColor="background1"/>
          <w:sz w:val="54"/>
          <w:szCs w:val="54"/>
        </w:rPr>
        <w:t>27</w:t>
      </w:r>
    </w:p>
    <w:p w14:paraId="772288FC" w14:textId="77777777" w:rsidR="00996F1A" w:rsidRDefault="00996F1A" w:rsidP="00996F1A">
      <w:pPr>
        <w:jc w:val="center"/>
      </w:pPr>
      <w:r w:rsidRPr="00262FC1">
        <w:rPr>
          <w:noProof/>
          <w:shd w:val="clear" w:color="auto" w:fill="00B050"/>
          <w:lang w:bidi="bn-BD"/>
        </w:rPr>
        <w:drawing>
          <wp:inline distT="0" distB="0" distL="0" distR="0" wp14:anchorId="33D3E891" wp14:editId="4367BBCE">
            <wp:extent cx="3322621" cy="2290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t xml:space="preserve">         </w:t>
      </w:r>
      <w:r w:rsidRPr="00262FC1">
        <w:rPr>
          <w:noProof/>
          <w:shd w:val="clear" w:color="auto" w:fill="00B050"/>
          <w:lang w:bidi="bn-BD"/>
        </w:rPr>
        <w:drawing>
          <wp:inline distT="0" distB="0" distL="0" distR="0" wp14:anchorId="5194252E" wp14:editId="7D9CB409">
            <wp:extent cx="3675707" cy="230314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sidRPr="00262FC1">
        <w:rPr>
          <w:noProof/>
          <w:shd w:val="clear" w:color="auto" w:fill="00B050"/>
          <w:lang w:bidi="bn-BD"/>
        </w:rPr>
        <w:drawing>
          <wp:inline distT="0" distB="0" distL="0" distR="0" wp14:anchorId="684938B3" wp14:editId="7FB3B42D">
            <wp:extent cx="3322622" cy="2278774"/>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EE2E60" w14:textId="77777777" w:rsidR="00996F1A" w:rsidRDefault="00996F1A" w:rsidP="00996F1A">
      <w:r>
        <w:br w:type="page"/>
      </w:r>
    </w:p>
    <w:p w14:paraId="0675D20D" w14:textId="77777777" w:rsidR="00996F1A" w:rsidRDefault="00996F1A">
      <w:pPr>
        <w:rPr>
          <w:sz w:val="22"/>
          <w:szCs w:val="22"/>
        </w:rPr>
      </w:pPr>
      <w:r>
        <w:rPr>
          <w:sz w:val="22"/>
          <w:szCs w:val="22"/>
        </w:rPr>
        <w:lastRenderedPageBreak/>
        <w:br w:type="page"/>
      </w:r>
    </w:p>
    <w:p w14:paraId="7107E08A" w14:textId="1040B621" w:rsidR="00815741" w:rsidRPr="007B1DFD" w:rsidRDefault="00BB3B57" w:rsidP="00815741">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0" w:type="auto"/>
        <w:tblLook w:val="04A0" w:firstRow="1" w:lastRow="0" w:firstColumn="1" w:lastColumn="0" w:noHBand="0" w:noVBand="1"/>
      </w:tblPr>
      <w:tblGrid>
        <w:gridCol w:w="1278"/>
        <w:gridCol w:w="16110"/>
      </w:tblGrid>
      <w:tr w:rsidR="00996F1A" w14:paraId="1C652535" w14:textId="77777777" w:rsidTr="00996F1A">
        <w:tc>
          <w:tcPr>
            <w:tcW w:w="1278" w:type="dxa"/>
            <w:tcBorders>
              <w:left w:val="single" w:sz="4" w:space="0" w:color="C00000"/>
              <w:bottom w:val="single" w:sz="4" w:space="0" w:color="C00000"/>
            </w:tcBorders>
          </w:tcPr>
          <w:p w14:paraId="563DF839" w14:textId="77777777" w:rsidR="00996F1A" w:rsidRDefault="00996F1A" w:rsidP="00A05F9D">
            <w:pPr>
              <w:jc w:val="center"/>
              <w:rPr>
                <w:color w:val="C00000"/>
                <w:sz w:val="48"/>
                <w:szCs w:val="48"/>
              </w:rPr>
            </w:pPr>
            <w:r w:rsidRPr="00262FC1">
              <w:rPr>
                <w:noProof/>
                <w:lang w:bidi="bn-BD"/>
              </w:rPr>
              <w:drawing>
                <wp:inline distT="0" distB="0" distL="0" distR="0" wp14:anchorId="19E2460A" wp14:editId="2C142CBE">
                  <wp:extent cx="590203" cy="590203"/>
                  <wp:effectExtent l="38100" t="38100" r="1968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0203" cy="590203"/>
                          </a:xfrm>
                          <a:prstGeom prst="rect">
                            <a:avLst/>
                          </a:prstGeom>
                          <a:ln w="38100">
                            <a:solidFill>
                              <a:schemeClr val="bg1"/>
                            </a:solidFill>
                          </a:ln>
                        </pic:spPr>
                      </pic:pic>
                    </a:graphicData>
                  </a:graphic>
                </wp:inline>
              </w:drawing>
            </w:r>
          </w:p>
        </w:tc>
        <w:tc>
          <w:tcPr>
            <w:tcW w:w="16110" w:type="dxa"/>
            <w:shd w:val="clear" w:color="auto" w:fill="00B050"/>
            <w:vAlign w:val="center"/>
          </w:tcPr>
          <w:p w14:paraId="22687535" w14:textId="77777777" w:rsidR="00996F1A" w:rsidRPr="00996F1A" w:rsidRDefault="00996F1A" w:rsidP="00A05F9D">
            <w:pPr>
              <w:jc w:val="both"/>
              <w:rPr>
                <w:color w:val="C00000"/>
                <w:sz w:val="64"/>
                <w:szCs w:val="64"/>
              </w:rPr>
            </w:pPr>
            <w:r w:rsidRPr="00BC08EA">
              <w:rPr>
                <w:color w:val="FFFFFF" w:themeColor="background1"/>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Ensure healthy lives and promote well-being for all at all ages</w:t>
            </w:r>
          </w:p>
        </w:tc>
      </w:tr>
    </w:tbl>
    <w:p w14:paraId="6F512982" w14:textId="77777777" w:rsidR="00996F1A" w:rsidRDefault="00996F1A" w:rsidP="00996F1A">
      <w:pPr>
        <w:jc w:val="both"/>
        <w:rPr>
          <w:color w:val="C00000"/>
          <w:sz w:val="30"/>
          <w:szCs w:val="30"/>
        </w:rPr>
      </w:pPr>
    </w:p>
    <w:tbl>
      <w:tblPr>
        <w:tblStyle w:val="TableGrid"/>
        <w:tblW w:w="0" w:type="auto"/>
        <w:tblInd w:w="108" w:type="dxa"/>
        <w:tblLook w:val="04A0" w:firstRow="1" w:lastRow="0" w:firstColumn="1" w:lastColumn="0" w:noHBand="0" w:noVBand="1"/>
      </w:tblPr>
      <w:tblGrid>
        <w:gridCol w:w="1113"/>
        <w:gridCol w:w="216"/>
        <w:gridCol w:w="594"/>
        <w:gridCol w:w="990"/>
        <w:gridCol w:w="5345"/>
        <w:gridCol w:w="975"/>
        <w:gridCol w:w="1068"/>
        <w:gridCol w:w="727"/>
        <w:gridCol w:w="1369"/>
        <w:gridCol w:w="1739"/>
        <w:gridCol w:w="805"/>
        <w:gridCol w:w="757"/>
        <w:gridCol w:w="700"/>
        <w:gridCol w:w="990"/>
      </w:tblGrid>
      <w:tr w:rsidR="00BF3271" w14:paraId="4FF0481C" w14:textId="77777777" w:rsidTr="0085651F">
        <w:trPr>
          <w:tblHeader/>
        </w:trPr>
        <w:tc>
          <w:tcPr>
            <w:tcW w:w="0" w:type="auto"/>
            <w:gridSpan w:val="2"/>
            <w:shd w:val="clear" w:color="auto" w:fill="DDD9C3" w:themeFill="background2" w:themeFillShade="E6"/>
            <w:vAlign w:val="center"/>
          </w:tcPr>
          <w:p w14:paraId="17B25677" w14:textId="77777777" w:rsidR="00DC25C3" w:rsidRPr="00C766D7" w:rsidRDefault="00DC25C3" w:rsidP="00A05F9D">
            <w:pPr>
              <w:jc w:val="center"/>
              <w:rPr>
                <w:b/>
                <w:bCs/>
                <w:sz w:val="18"/>
                <w:szCs w:val="18"/>
              </w:rPr>
            </w:pPr>
            <w:r w:rsidRPr="00C766D7">
              <w:rPr>
                <w:b/>
                <w:bCs/>
                <w:sz w:val="18"/>
                <w:szCs w:val="18"/>
              </w:rPr>
              <w:t>Goals and targets and Indicators</w:t>
            </w:r>
          </w:p>
        </w:tc>
        <w:tc>
          <w:tcPr>
            <w:tcW w:w="0" w:type="auto"/>
            <w:shd w:val="clear" w:color="auto" w:fill="DDD9C3" w:themeFill="background2" w:themeFillShade="E6"/>
            <w:vAlign w:val="center"/>
          </w:tcPr>
          <w:p w14:paraId="2FABDEFC" w14:textId="77777777" w:rsidR="00DC25C3" w:rsidRPr="00C766D7" w:rsidRDefault="00DC25C3" w:rsidP="00A05F9D">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DDD9C3" w:themeFill="background2" w:themeFillShade="E6"/>
            <w:vAlign w:val="center"/>
          </w:tcPr>
          <w:p w14:paraId="6F963586" w14:textId="77777777" w:rsidR="00DC25C3" w:rsidRPr="00C766D7" w:rsidRDefault="00DC25C3" w:rsidP="00A05F9D">
            <w:pPr>
              <w:jc w:val="center"/>
              <w:rPr>
                <w:b/>
                <w:bCs/>
                <w:sz w:val="18"/>
                <w:szCs w:val="18"/>
              </w:rPr>
            </w:pPr>
            <w:r w:rsidRPr="00C766D7">
              <w:rPr>
                <w:b/>
                <w:bCs/>
                <w:sz w:val="18"/>
                <w:szCs w:val="18"/>
              </w:rPr>
              <w:t>Tier Classifications</w:t>
            </w:r>
          </w:p>
        </w:tc>
        <w:tc>
          <w:tcPr>
            <w:tcW w:w="0" w:type="auto"/>
            <w:shd w:val="clear" w:color="auto" w:fill="DDD9C3" w:themeFill="background2" w:themeFillShade="E6"/>
            <w:vAlign w:val="center"/>
          </w:tcPr>
          <w:p w14:paraId="7090368F" w14:textId="77777777" w:rsidR="00DC25C3" w:rsidRPr="00C766D7" w:rsidRDefault="00DC25C3" w:rsidP="00A05F9D">
            <w:pPr>
              <w:jc w:val="center"/>
              <w:rPr>
                <w:b/>
                <w:bCs/>
                <w:sz w:val="18"/>
                <w:szCs w:val="18"/>
              </w:rPr>
            </w:pPr>
            <w:r>
              <w:rPr>
                <w:b/>
                <w:bCs/>
                <w:sz w:val="18"/>
                <w:szCs w:val="18"/>
              </w:rPr>
              <w:t xml:space="preserve">Definition, Rationale,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DDD9C3" w:themeFill="background2" w:themeFillShade="E6"/>
            <w:vAlign w:val="center"/>
          </w:tcPr>
          <w:p w14:paraId="678A06E8" w14:textId="77777777" w:rsidR="00DC25C3" w:rsidRPr="00C766D7" w:rsidRDefault="00DC25C3" w:rsidP="00A05F9D">
            <w:pPr>
              <w:jc w:val="center"/>
              <w:rPr>
                <w:b/>
                <w:bCs/>
                <w:sz w:val="18"/>
                <w:szCs w:val="18"/>
              </w:rPr>
            </w:pPr>
            <w:r w:rsidRPr="00C766D7">
              <w:rPr>
                <w:b/>
                <w:bCs/>
                <w:sz w:val="18"/>
                <w:szCs w:val="18"/>
              </w:rPr>
              <w:t>UN Suggested activities of data generation</w:t>
            </w:r>
          </w:p>
        </w:tc>
        <w:tc>
          <w:tcPr>
            <w:tcW w:w="0" w:type="auto"/>
            <w:shd w:val="clear" w:color="auto" w:fill="DDD9C3" w:themeFill="background2" w:themeFillShade="E6"/>
            <w:vAlign w:val="center"/>
          </w:tcPr>
          <w:p w14:paraId="3537CEF8" w14:textId="77777777" w:rsidR="00DC25C3" w:rsidRPr="00C766D7" w:rsidRDefault="00DC25C3" w:rsidP="00A05F9D">
            <w:pPr>
              <w:jc w:val="center"/>
              <w:rPr>
                <w:b/>
                <w:bCs/>
                <w:sz w:val="18"/>
                <w:szCs w:val="18"/>
              </w:rPr>
            </w:pPr>
            <w:r w:rsidRPr="00C766D7">
              <w:rPr>
                <w:b/>
                <w:bCs/>
                <w:sz w:val="18"/>
                <w:szCs w:val="18"/>
              </w:rPr>
              <w:t>UN Suggested data provider</w:t>
            </w:r>
          </w:p>
        </w:tc>
        <w:tc>
          <w:tcPr>
            <w:tcW w:w="0" w:type="auto"/>
            <w:shd w:val="clear" w:color="auto" w:fill="DDD9C3" w:themeFill="background2" w:themeFillShade="E6"/>
            <w:vAlign w:val="center"/>
          </w:tcPr>
          <w:p w14:paraId="390BCE05" w14:textId="77777777" w:rsidR="00DC25C3" w:rsidRPr="00C766D7" w:rsidRDefault="00DC25C3" w:rsidP="00A05F9D">
            <w:pPr>
              <w:jc w:val="center"/>
              <w:rPr>
                <w:b/>
                <w:bCs/>
                <w:sz w:val="18"/>
                <w:szCs w:val="18"/>
              </w:rPr>
            </w:pPr>
            <w:r w:rsidRPr="00C766D7">
              <w:rPr>
                <w:b/>
                <w:bCs/>
                <w:sz w:val="18"/>
                <w:szCs w:val="18"/>
              </w:rPr>
              <w:t>Recent Available Data Sources</w:t>
            </w:r>
          </w:p>
        </w:tc>
        <w:tc>
          <w:tcPr>
            <w:tcW w:w="0" w:type="auto"/>
            <w:shd w:val="clear" w:color="auto" w:fill="DDD9C3" w:themeFill="background2" w:themeFillShade="E6"/>
            <w:vAlign w:val="center"/>
          </w:tcPr>
          <w:p w14:paraId="14EB6C10" w14:textId="77777777" w:rsidR="00DC25C3" w:rsidRPr="00C766D7" w:rsidRDefault="00DC25C3" w:rsidP="00A05F9D">
            <w:pPr>
              <w:jc w:val="center"/>
              <w:rPr>
                <w:b/>
                <w:bCs/>
                <w:sz w:val="18"/>
                <w:szCs w:val="18"/>
              </w:rPr>
            </w:pPr>
            <w:r w:rsidRPr="00C766D7">
              <w:rPr>
                <w:b/>
                <w:bCs/>
                <w:sz w:val="18"/>
                <w:szCs w:val="18"/>
              </w:rPr>
              <w:t>Possible future Sources</w:t>
            </w:r>
          </w:p>
        </w:tc>
        <w:tc>
          <w:tcPr>
            <w:tcW w:w="0" w:type="auto"/>
            <w:shd w:val="clear" w:color="auto" w:fill="DDD9C3" w:themeFill="background2" w:themeFillShade="E6"/>
            <w:vAlign w:val="center"/>
          </w:tcPr>
          <w:p w14:paraId="269D57EA" w14:textId="77777777" w:rsidR="00DC25C3" w:rsidRPr="00C766D7" w:rsidRDefault="00DC25C3" w:rsidP="00A05F9D">
            <w:pPr>
              <w:jc w:val="center"/>
              <w:rPr>
                <w:b/>
                <w:bCs/>
                <w:sz w:val="18"/>
                <w:szCs w:val="18"/>
              </w:rPr>
            </w:pPr>
            <w:r>
              <w:rPr>
                <w:b/>
                <w:bCs/>
                <w:sz w:val="18"/>
                <w:szCs w:val="18"/>
              </w:rPr>
              <w:t>Minimum Disaggregation Dimensions and Categories</w:t>
            </w:r>
          </w:p>
        </w:tc>
        <w:tc>
          <w:tcPr>
            <w:tcW w:w="0" w:type="auto"/>
            <w:shd w:val="clear" w:color="auto" w:fill="DDD9C3" w:themeFill="background2" w:themeFillShade="E6"/>
            <w:vAlign w:val="center"/>
          </w:tcPr>
          <w:p w14:paraId="7D426506" w14:textId="77777777" w:rsidR="00DC25C3" w:rsidRPr="00C766D7" w:rsidRDefault="00DC25C3" w:rsidP="00A05F9D">
            <w:pPr>
              <w:jc w:val="center"/>
              <w:rPr>
                <w:b/>
                <w:bCs/>
                <w:sz w:val="18"/>
                <w:szCs w:val="18"/>
              </w:rPr>
            </w:pPr>
            <w:r w:rsidRPr="00C766D7">
              <w:rPr>
                <w:b/>
                <w:bCs/>
                <w:sz w:val="18"/>
                <w:szCs w:val="18"/>
              </w:rPr>
              <w:t>Frequency of data generation</w:t>
            </w:r>
          </w:p>
        </w:tc>
        <w:tc>
          <w:tcPr>
            <w:tcW w:w="0" w:type="auto"/>
            <w:shd w:val="clear" w:color="auto" w:fill="DDD9C3" w:themeFill="background2" w:themeFillShade="E6"/>
            <w:vAlign w:val="center"/>
          </w:tcPr>
          <w:p w14:paraId="772AA025" w14:textId="77777777" w:rsidR="00DC25C3" w:rsidRPr="002175FB" w:rsidRDefault="00DC25C3" w:rsidP="00A05F9D">
            <w:pPr>
              <w:jc w:val="center"/>
              <w:rPr>
                <w:b/>
                <w:bCs/>
                <w:sz w:val="18"/>
                <w:szCs w:val="18"/>
              </w:rPr>
            </w:pPr>
            <w:r w:rsidRPr="007B7E7E">
              <w:rPr>
                <w:b/>
                <w:bCs/>
                <w:sz w:val="18"/>
                <w:szCs w:val="18"/>
              </w:rPr>
              <w:t>Deadline for Data providing</w:t>
            </w:r>
          </w:p>
        </w:tc>
        <w:tc>
          <w:tcPr>
            <w:tcW w:w="682" w:type="dxa"/>
            <w:shd w:val="clear" w:color="auto" w:fill="DDD9C3" w:themeFill="background2" w:themeFillShade="E6"/>
            <w:vAlign w:val="center"/>
          </w:tcPr>
          <w:p w14:paraId="394EAD25" w14:textId="77777777" w:rsidR="00DC25C3" w:rsidRDefault="00DC25C3" w:rsidP="007B7E7E">
            <w:pPr>
              <w:rPr>
                <w:b/>
                <w:bCs/>
                <w:sz w:val="18"/>
                <w:szCs w:val="18"/>
              </w:rPr>
            </w:pPr>
            <w:r w:rsidRPr="00C766D7">
              <w:rPr>
                <w:b/>
                <w:bCs/>
                <w:sz w:val="18"/>
                <w:szCs w:val="18"/>
              </w:rPr>
              <w:t>Local Indicator Group</w:t>
            </w:r>
          </w:p>
        </w:tc>
        <w:tc>
          <w:tcPr>
            <w:tcW w:w="983" w:type="dxa"/>
            <w:shd w:val="clear" w:color="auto" w:fill="DDD9C3" w:themeFill="background2" w:themeFillShade="E6"/>
            <w:vAlign w:val="center"/>
          </w:tcPr>
          <w:p w14:paraId="1A55281B" w14:textId="77777777" w:rsidR="00DC25C3" w:rsidRPr="00C766D7" w:rsidRDefault="00DC25C3" w:rsidP="00A05F9D">
            <w:pPr>
              <w:jc w:val="center"/>
              <w:rPr>
                <w:b/>
                <w:bCs/>
                <w:sz w:val="18"/>
                <w:szCs w:val="18"/>
              </w:rPr>
            </w:pPr>
            <w:r>
              <w:rPr>
                <w:b/>
                <w:bCs/>
                <w:sz w:val="18"/>
                <w:szCs w:val="18"/>
              </w:rPr>
              <w:t>Remarks</w:t>
            </w:r>
          </w:p>
        </w:tc>
      </w:tr>
      <w:tr w:rsidR="00BF3271" w:rsidRPr="00C07ED2" w14:paraId="34382148" w14:textId="77777777" w:rsidTr="0085651F">
        <w:trPr>
          <w:tblHeader/>
        </w:trPr>
        <w:tc>
          <w:tcPr>
            <w:tcW w:w="0" w:type="auto"/>
            <w:gridSpan w:val="2"/>
            <w:shd w:val="clear" w:color="auto" w:fill="00B0F0"/>
          </w:tcPr>
          <w:p w14:paraId="500B2BC5" w14:textId="77777777" w:rsidR="00DC25C3" w:rsidRPr="00C07ED2" w:rsidRDefault="00DC25C3" w:rsidP="00A05F9D">
            <w:pPr>
              <w:jc w:val="center"/>
              <w:rPr>
                <w:b/>
                <w:bCs/>
                <w:i/>
                <w:iCs/>
                <w:sz w:val="18"/>
                <w:szCs w:val="18"/>
              </w:rPr>
            </w:pPr>
            <w:r w:rsidRPr="00C07ED2">
              <w:rPr>
                <w:b/>
                <w:bCs/>
                <w:i/>
                <w:iCs/>
                <w:sz w:val="18"/>
                <w:szCs w:val="18"/>
              </w:rPr>
              <w:t>1</w:t>
            </w:r>
          </w:p>
        </w:tc>
        <w:tc>
          <w:tcPr>
            <w:tcW w:w="0" w:type="auto"/>
            <w:shd w:val="clear" w:color="auto" w:fill="00B0F0"/>
          </w:tcPr>
          <w:p w14:paraId="579AF6FD" w14:textId="77777777" w:rsidR="00DC25C3" w:rsidRPr="00C07ED2" w:rsidRDefault="00DC25C3" w:rsidP="00A05F9D">
            <w:pPr>
              <w:jc w:val="center"/>
              <w:rPr>
                <w:b/>
                <w:bCs/>
                <w:i/>
                <w:iCs/>
                <w:sz w:val="18"/>
                <w:szCs w:val="18"/>
              </w:rPr>
            </w:pPr>
            <w:r w:rsidRPr="00C07ED2">
              <w:rPr>
                <w:b/>
                <w:bCs/>
                <w:i/>
                <w:iCs/>
                <w:sz w:val="18"/>
                <w:szCs w:val="18"/>
              </w:rPr>
              <w:t>2</w:t>
            </w:r>
          </w:p>
        </w:tc>
        <w:tc>
          <w:tcPr>
            <w:tcW w:w="0" w:type="auto"/>
            <w:shd w:val="clear" w:color="auto" w:fill="00B0F0"/>
          </w:tcPr>
          <w:p w14:paraId="6F021A41" w14:textId="77777777" w:rsidR="00DC25C3" w:rsidRPr="00C07ED2" w:rsidRDefault="00DC25C3" w:rsidP="00A05F9D">
            <w:pPr>
              <w:jc w:val="center"/>
              <w:rPr>
                <w:b/>
                <w:bCs/>
                <w:i/>
                <w:iCs/>
                <w:sz w:val="18"/>
                <w:szCs w:val="18"/>
              </w:rPr>
            </w:pPr>
            <w:r w:rsidRPr="00C07ED2">
              <w:rPr>
                <w:b/>
                <w:bCs/>
                <w:i/>
                <w:iCs/>
                <w:sz w:val="18"/>
                <w:szCs w:val="18"/>
              </w:rPr>
              <w:t>3</w:t>
            </w:r>
          </w:p>
        </w:tc>
        <w:tc>
          <w:tcPr>
            <w:tcW w:w="0" w:type="auto"/>
            <w:shd w:val="clear" w:color="auto" w:fill="00B0F0"/>
          </w:tcPr>
          <w:p w14:paraId="3EB6215B" w14:textId="77777777" w:rsidR="00DC25C3" w:rsidRPr="00C07ED2" w:rsidRDefault="00DC25C3" w:rsidP="00A05F9D">
            <w:pPr>
              <w:jc w:val="center"/>
              <w:rPr>
                <w:b/>
                <w:bCs/>
                <w:i/>
                <w:iCs/>
                <w:sz w:val="18"/>
                <w:szCs w:val="18"/>
              </w:rPr>
            </w:pPr>
            <w:r w:rsidRPr="00C07ED2">
              <w:rPr>
                <w:b/>
                <w:bCs/>
                <w:i/>
                <w:iCs/>
                <w:sz w:val="18"/>
                <w:szCs w:val="18"/>
              </w:rPr>
              <w:t>4</w:t>
            </w:r>
          </w:p>
        </w:tc>
        <w:tc>
          <w:tcPr>
            <w:tcW w:w="0" w:type="auto"/>
            <w:shd w:val="clear" w:color="auto" w:fill="00B0F0"/>
          </w:tcPr>
          <w:p w14:paraId="6C2A6FB4" w14:textId="77777777" w:rsidR="00DC25C3" w:rsidRPr="00C07ED2" w:rsidRDefault="00DC25C3" w:rsidP="00A05F9D">
            <w:pPr>
              <w:jc w:val="center"/>
              <w:rPr>
                <w:b/>
                <w:bCs/>
                <w:i/>
                <w:iCs/>
                <w:sz w:val="18"/>
                <w:szCs w:val="18"/>
              </w:rPr>
            </w:pPr>
            <w:r w:rsidRPr="00C07ED2">
              <w:rPr>
                <w:b/>
                <w:bCs/>
                <w:i/>
                <w:iCs/>
                <w:sz w:val="18"/>
                <w:szCs w:val="18"/>
              </w:rPr>
              <w:t>5</w:t>
            </w:r>
          </w:p>
        </w:tc>
        <w:tc>
          <w:tcPr>
            <w:tcW w:w="0" w:type="auto"/>
            <w:shd w:val="clear" w:color="auto" w:fill="00B0F0"/>
          </w:tcPr>
          <w:p w14:paraId="330C4FD1" w14:textId="77777777" w:rsidR="00DC25C3" w:rsidRPr="00C07ED2" w:rsidRDefault="00DC25C3" w:rsidP="00A05F9D">
            <w:pPr>
              <w:jc w:val="center"/>
              <w:rPr>
                <w:b/>
                <w:bCs/>
                <w:i/>
                <w:iCs/>
                <w:sz w:val="18"/>
                <w:szCs w:val="18"/>
              </w:rPr>
            </w:pPr>
            <w:r w:rsidRPr="00C07ED2">
              <w:rPr>
                <w:b/>
                <w:bCs/>
                <w:i/>
                <w:iCs/>
                <w:sz w:val="18"/>
                <w:szCs w:val="18"/>
              </w:rPr>
              <w:t>6</w:t>
            </w:r>
          </w:p>
        </w:tc>
        <w:tc>
          <w:tcPr>
            <w:tcW w:w="0" w:type="auto"/>
            <w:shd w:val="clear" w:color="auto" w:fill="00B0F0"/>
          </w:tcPr>
          <w:p w14:paraId="7A5ECF7A" w14:textId="77777777" w:rsidR="00DC25C3" w:rsidRPr="00C07ED2" w:rsidRDefault="00DC25C3" w:rsidP="00A05F9D">
            <w:pPr>
              <w:jc w:val="center"/>
              <w:rPr>
                <w:b/>
                <w:bCs/>
                <w:i/>
                <w:iCs/>
                <w:sz w:val="18"/>
                <w:szCs w:val="18"/>
              </w:rPr>
            </w:pPr>
            <w:r w:rsidRPr="00C07ED2">
              <w:rPr>
                <w:b/>
                <w:bCs/>
                <w:i/>
                <w:iCs/>
                <w:sz w:val="18"/>
                <w:szCs w:val="18"/>
              </w:rPr>
              <w:t>7</w:t>
            </w:r>
          </w:p>
        </w:tc>
        <w:tc>
          <w:tcPr>
            <w:tcW w:w="0" w:type="auto"/>
            <w:shd w:val="clear" w:color="auto" w:fill="00B0F0"/>
          </w:tcPr>
          <w:p w14:paraId="224A7142" w14:textId="77777777" w:rsidR="00DC25C3" w:rsidRPr="00C07ED2" w:rsidRDefault="00DC25C3" w:rsidP="00A05F9D">
            <w:pPr>
              <w:jc w:val="center"/>
              <w:rPr>
                <w:b/>
                <w:bCs/>
                <w:i/>
                <w:iCs/>
                <w:sz w:val="18"/>
                <w:szCs w:val="18"/>
              </w:rPr>
            </w:pPr>
            <w:r w:rsidRPr="00C07ED2">
              <w:rPr>
                <w:b/>
                <w:bCs/>
                <w:i/>
                <w:iCs/>
                <w:sz w:val="18"/>
                <w:szCs w:val="18"/>
              </w:rPr>
              <w:t>8</w:t>
            </w:r>
          </w:p>
        </w:tc>
        <w:tc>
          <w:tcPr>
            <w:tcW w:w="0" w:type="auto"/>
            <w:shd w:val="clear" w:color="auto" w:fill="00B0F0"/>
          </w:tcPr>
          <w:p w14:paraId="1CE7C739" w14:textId="77777777" w:rsidR="00DC25C3" w:rsidRPr="00C07ED2" w:rsidRDefault="00DC25C3" w:rsidP="00A05F9D">
            <w:pPr>
              <w:jc w:val="center"/>
              <w:rPr>
                <w:b/>
                <w:bCs/>
                <w:i/>
                <w:iCs/>
                <w:sz w:val="18"/>
                <w:szCs w:val="18"/>
              </w:rPr>
            </w:pPr>
            <w:r w:rsidRPr="00C07ED2">
              <w:rPr>
                <w:b/>
                <w:bCs/>
                <w:i/>
                <w:iCs/>
                <w:sz w:val="18"/>
                <w:szCs w:val="18"/>
              </w:rPr>
              <w:t>9</w:t>
            </w:r>
          </w:p>
        </w:tc>
        <w:tc>
          <w:tcPr>
            <w:tcW w:w="0" w:type="auto"/>
            <w:shd w:val="clear" w:color="auto" w:fill="00B0F0"/>
          </w:tcPr>
          <w:p w14:paraId="02D28BCF" w14:textId="77777777" w:rsidR="00DC25C3" w:rsidRPr="00C07ED2" w:rsidRDefault="00DC25C3" w:rsidP="00A05F9D">
            <w:pPr>
              <w:jc w:val="center"/>
              <w:rPr>
                <w:b/>
                <w:bCs/>
                <w:i/>
                <w:iCs/>
                <w:sz w:val="18"/>
                <w:szCs w:val="18"/>
              </w:rPr>
            </w:pPr>
            <w:r w:rsidRPr="00C07ED2">
              <w:rPr>
                <w:b/>
                <w:bCs/>
                <w:i/>
                <w:iCs/>
                <w:sz w:val="18"/>
                <w:szCs w:val="18"/>
              </w:rPr>
              <w:t>10</w:t>
            </w:r>
          </w:p>
        </w:tc>
        <w:tc>
          <w:tcPr>
            <w:tcW w:w="0" w:type="auto"/>
            <w:shd w:val="clear" w:color="auto" w:fill="00B0F0"/>
          </w:tcPr>
          <w:p w14:paraId="624A3D38" w14:textId="77777777" w:rsidR="00DC25C3" w:rsidRPr="002175FB" w:rsidRDefault="00DC25C3" w:rsidP="00A05F9D">
            <w:pPr>
              <w:jc w:val="center"/>
              <w:rPr>
                <w:b/>
                <w:bCs/>
                <w:i/>
                <w:iCs/>
                <w:sz w:val="18"/>
                <w:szCs w:val="18"/>
              </w:rPr>
            </w:pPr>
            <w:r>
              <w:rPr>
                <w:b/>
                <w:bCs/>
                <w:i/>
                <w:iCs/>
                <w:sz w:val="18"/>
                <w:szCs w:val="18"/>
              </w:rPr>
              <w:t>11</w:t>
            </w:r>
          </w:p>
        </w:tc>
        <w:tc>
          <w:tcPr>
            <w:tcW w:w="682" w:type="dxa"/>
            <w:shd w:val="clear" w:color="auto" w:fill="00B0F0"/>
          </w:tcPr>
          <w:p w14:paraId="551B6FF3" w14:textId="77777777" w:rsidR="00DC25C3" w:rsidRPr="00C07ED2" w:rsidRDefault="00DC25C3" w:rsidP="00A05F9D">
            <w:pPr>
              <w:jc w:val="center"/>
              <w:rPr>
                <w:b/>
                <w:bCs/>
                <w:i/>
                <w:iCs/>
                <w:sz w:val="18"/>
                <w:szCs w:val="18"/>
              </w:rPr>
            </w:pPr>
            <w:r>
              <w:rPr>
                <w:b/>
                <w:bCs/>
                <w:i/>
                <w:iCs/>
                <w:sz w:val="18"/>
                <w:szCs w:val="18"/>
              </w:rPr>
              <w:t>12</w:t>
            </w:r>
          </w:p>
        </w:tc>
        <w:tc>
          <w:tcPr>
            <w:tcW w:w="983" w:type="dxa"/>
            <w:shd w:val="clear" w:color="auto" w:fill="00B0F0"/>
          </w:tcPr>
          <w:p w14:paraId="18A2AF9F" w14:textId="77777777" w:rsidR="00DC25C3" w:rsidRPr="00C07ED2" w:rsidRDefault="00DC25C3" w:rsidP="00A05F9D">
            <w:pPr>
              <w:jc w:val="center"/>
              <w:rPr>
                <w:b/>
                <w:bCs/>
                <w:i/>
                <w:iCs/>
                <w:sz w:val="18"/>
                <w:szCs w:val="18"/>
              </w:rPr>
            </w:pPr>
            <w:r w:rsidRPr="00C07ED2">
              <w:rPr>
                <w:b/>
                <w:bCs/>
                <w:i/>
                <w:iCs/>
                <w:sz w:val="18"/>
                <w:szCs w:val="18"/>
              </w:rPr>
              <w:t>12</w:t>
            </w:r>
          </w:p>
        </w:tc>
      </w:tr>
      <w:tr w:rsidR="00D46636" w14:paraId="6211D9DA" w14:textId="77777777" w:rsidTr="0085651F">
        <w:tc>
          <w:tcPr>
            <w:tcW w:w="0" w:type="auto"/>
            <w:gridSpan w:val="14"/>
            <w:shd w:val="clear" w:color="auto" w:fill="auto"/>
          </w:tcPr>
          <w:p w14:paraId="039E117F" w14:textId="77777777" w:rsidR="00D46636" w:rsidRPr="002175FB" w:rsidRDefault="00D46636" w:rsidP="00A05F9D">
            <w:pPr>
              <w:ind w:left="970" w:hanging="970"/>
              <w:jc w:val="both"/>
              <w:rPr>
                <w:color w:val="006600"/>
                <w:sz w:val="30"/>
                <w:szCs w:val="30"/>
              </w:rPr>
            </w:pPr>
            <w:r w:rsidRPr="002175FB">
              <w:rPr>
                <w:color w:val="006600"/>
                <w:sz w:val="30"/>
                <w:szCs w:val="30"/>
              </w:rPr>
              <w:t>Target 3.1 By 2030, reduce the global maternal mortality ratio to less than 70 per 100,000 live births</w:t>
            </w:r>
          </w:p>
        </w:tc>
      </w:tr>
      <w:tr w:rsidR="00BF3271" w14:paraId="5250D298" w14:textId="77777777" w:rsidTr="0085651F">
        <w:tc>
          <w:tcPr>
            <w:tcW w:w="0" w:type="auto"/>
            <w:gridSpan w:val="2"/>
            <w:shd w:val="clear" w:color="auto" w:fill="auto"/>
          </w:tcPr>
          <w:p w14:paraId="61DF5A2F" w14:textId="77777777" w:rsidR="00221C59" w:rsidRPr="00701B09" w:rsidRDefault="00221C59" w:rsidP="00221C59">
            <w:pPr>
              <w:jc w:val="both"/>
              <w:rPr>
                <w:szCs w:val="20"/>
              </w:rPr>
            </w:pPr>
            <w:r w:rsidRPr="00996F1A">
              <w:rPr>
                <w:szCs w:val="20"/>
              </w:rPr>
              <w:t>3.1.1 Maternal mortality ratio</w:t>
            </w:r>
          </w:p>
        </w:tc>
        <w:tc>
          <w:tcPr>
            <w:tcW w:w="0" w:type="auto"/>
            <w:shd w:val="clear" w:color="auto" w:fill="auto"/>
          </w:tcPr>
          <w:p w14:paraId="50939CAF" w14:textId="77777777" w:rsidR="00221C59" w:rsidRDefault="00221C59" w:rsidP="00221C59">
            <w:pPr>
              <w:rPr>
                <w:szCs w:val="20"/>
              </w:rPr>
            </w:pPr>
            <w:r>
              <w:rPr>
                <w:szCs w:val="20"/>
              </w:rPr>
              <w:t>WHO</w:t>
            </w:r>
          </w:p>
          <w:p w14:paraId="49EEB6B9" w14:textId="77777777" w:rsidR="00221C59" w:rsidRDefault="00221C59" w:rsidP="00221C59">
            <w:pPr>
              <w:rPr>
                <w:szCs w:val="20"/>
              </w:rPr>
            </w:pPr>
          </w:p>
          <w:p w14:paraId="65E4A62E" w14:textId="77777777" w:rsidR="00221C59" w:rsidRPr="00996F1A" w:rsidRDefault="00221C59" w:rsidP="00221C59">
            <w:pPr>
              <w:rPr>
                <w:b/>
                <w:bCs/>
                <w:szCs w:val="20"/>
              </w:rPr>
            </w:pPr>
            <w:r w:rsidRPr="00996F1A">
              <w:rPr>
                <w:b/>
                <w:bCs/>
                <w:szCs w:val="20"/>
              </w:rPr>
              <w:t>Partner Agencies:</w:t>
            </w:r>
          </w:p>
          <w:p w14:paraId="0FC81DC9" w14:textId="77777777" w:rsidR="00221C59" w:rsidRPr="00996F1A" w:rsidRDefault="00221C59" w:rsidP="00221C59">
            <w:pPr>
              <w:rPr>
                <w:szCs w:val="20"/>
              </w:rPr>
            </w:pPr>
            <w:r w:rsidRPr="00996F1A">
              <w:rPr>
                <w:szCs w:val="20"/>
              </w:rPr>
              <w:t xml:space="preserve">UNFPA, </w:t>
            </w:r>
          </w:p>
          <w:p w14:paraId="0B2B7127" w14:textId="77777777" w:rsidR="00221C59" w:rsidRPr="00996F1A" w:rsidRDefault="00221C59" w:rsidP="00221C59">
            <w:pPr>
              <w:rPr>
                <w:szCs w:val="20"/>
              </w:rPr>
            </w:pPr>
            <w:r w:rsidRPr="00996F1A">
              <w:rPr>
                <w:szCs w:val="20"/>
              </w:rPr>
              <w:t xml:space="preserve">DESA Population Division, </w:t>
            </w:r>
          </w:p>
          <w:p w14:paraId="1CA0A370" w14:textId="77777777" w:rsidR="00221C59" w:rsidRPr="00996F1A" w:rsidRDefault="00221C59" w:rsidP="00221C59">
            <w:pPr>
              <w:rPr>
                <w:szCs w:val="20"/>
              </w:rPr>
            </w:pPr>
            <w:r w:rsidRPr="00996F1A">
              <w:rPr>
                <w:szCs w:val="20"/>
              </w:rPr>
              <w:t>World Bank</w:t>
            </w:r>
          </w:p>
        </w:tc>
        <w:tc>
          <w:tcPr>
            <w:tcW w:w="0" w:type="auto"/>
            <w:shd w:val="clear" w:color="auto" w:fill="auto"/>
          </w:tcPr>
          <w:p w14:paraId="59AAB0FD" w14:textId="77777777" w:rsidR="00221C59" w:rsidRPr="00262FC1" w:rsidRDefault="00221C59" w:rsidP="00221C59">
            <w:pPr>
              <w:jc w:val="center"/>
              <w:rPr>
                <w:szCs w:val="20"/>
              </w:rPr>
            </w:pPr>
            <w:r>
              <w:rPr>
                <w:szCs w:val="20"/>
              </w:rPr>
              <w:t>Tier I</w:t>
            </w:r>
          </w:p>
        </w:tc>
        <w:tc>
          <w:tcPr>
            <w:tcW w:w="0" w:type="auto"/>
            <w:shd w:val="clear" w:color="auto" w:fill="auto"/>
          </w:tcPr>
          <w:p w14:paraId="0454C7AF" w14:textId="77777777" w:rsidR="00221C59" w:rsidRPr="00996F1A" w:rsidRDefault="00221C59" w:rsidP="00221C59">
            <w:pPr>
              <w:jc w:val="both"/>
              <w:rPr>
                <w:b/>
                <w:bCs/>
                <w:szCs w:val="20"/>
              </w:rPr>
            </w:pPr>
            <w:r w:rsidRPr="00996F1A">
              <w:rPr>
                <w:b/>
                <w:bCs/>
                <w:szCs w:val="20"/>
              </w:rPr>
              <w:t>Concepts:</w:t>
            </w:r>
          </w:p>
          <w:p w14:paraId="437D3C05" w14:textId="77777777" w:rsidR="00221C59" w:rsidRDefault="00221C59" w:rsidP="00221C59">
            <w:pPr>
              <w:jc w:val="both"/>
              <w:rPr>
                <w:szCs w:val="20"/>
              </w:rPr>
            </w:pPr>
            <w:r w:rsidRPr="00996F1A">
              <w:rPr>
                <w:szCs w:val="20"/>
              </w:rPr>
              <w:t xml:space="preserve">Definitions related to maternal death in ICD-10 </w:t>
            </w:r>
          </w:p>
          <w:p w14:paraId="3674758B" w14:textId="77777777" w:rsidR="00221C59" w:rsidRDefault="00221C59" w:rsidP="00221C59">
            <w:pPr>
              <w:jc w:val="both"/>
              <w:rPr>
                <w:szCs w:val="20"/>
              </w:rPr>
            </w:pPr>
            <w:r w:rsidRPr="00996F1A">
              <w:rPr>
                <w:szCs w:val="20"/>
              </w:rPr>
              <w:t xml:space="preserve">Maternal death: The death of a woman while pregnant or within 42 days of termination of pregnancy, irrespective of the duration and site of the pregnancy, from any cause related to or aggravated by the pregnancy or its management (from direct or indirect obstetric death), but not from accidental or incidental causes. </w:t>
            </w:r>
          </w:p>
          <w:p w14:paraId="2CCE144A" w14:textId="77777777" w:rsidR="00221C59" w:rsidRDefault="00221C59" w:rsidP="00221C59">
            <w:pPr>
              <w:jc w:val="both"/>
              <w:rPr>
                <w:szCs w:val="20"/>
              </w:rPr>
            </w:pPr>
            <w:r w:rsidRPr="00996F1A">
              <w:rPr>
                <w:szCs w:val="20"/>
              </w:rPr>
              <w:t xml:space="preserve">Pregnancy-related death: The death of a woman while pregnant or within 42 days of termination of pregnancy, irrespective of the cause of death. </w:t>
            </w:r>
          </w:p>
          <w:p w14:paraId="78ED1699" w14:textId="77777777" w:rsidR="00221C59" w:rsidRPr="00996F1A" w:rsidRDefault="00221C59" w:rsidP="00221C59">
            <w:pPr>
              <w:jc w:val="both"/>
              <w:rPr>
                <w:szCs w:val="20"/>
              </w:rPr>
            </w:pPr>
            <w:r w:rsidRPr="00996F1A">
              <w:rPr>
                <w:szCs w:val="20"/>
              </w:rPr>
              <w:t>Late maternal death: The death of a woman from direct or indirect obstetric causes, more than 42 days, but less than one year after termination of pregnancy.</w:t>
            </w:r>
          </w:p>
          <w:p w14:paraId="3A88E2DE" w14:textId="77777777" w:rsidR="00221C59" w:rsidRPr="00996F1A" w:rsidRDefault="00221C59" w:rsidP="00221C59">
            <w:pPr>
              <w:jc w:val="both"/>
              <w:rPr>
                <w:szCs w:val="20"/>
              </w:rPr>
            </w:pPr>
          </w:p>
          <w:p w14:paraId="30743F15" w14:textId="77777777" w:rsidR="00221C59" w:rsidRPr="00996F1A" w:rsidRDefault="00221C59" w:rsidP="00221C59">
            <w:pPr>
              <w:jc w:val="both"/>
              <w:rPr>
                <w:b/>
                <w:bCs/>
                <w:szCs w:val="20"/>
              </w:rPr>
            </w:pPr>
            <w:r w:rsidRPr="00996F1A">
              <w:rPr>
                <w:b/>
                <w:bCs/>
                <w:szCs w:val="20"/>
              </w:rPr>
              <w:t xml:space="preserve">Definition: </w:t>
            </w:r>
          </w:p>
          <w:p w14:paraId="76A4D9B3" w14:textId="77777777" w:rsidR="00221C59" w:rsidRDefault="00221C59" w:rsidP="00221C59">
            <w:pPr>
              <w:jc w:val="both"/>
              <w:rPr>
                <w:szCs w:val="20"/>
              </w:rPr>
            </w:pPr>
            <w:r w:rsidRPr="00996F1A">
              <w:rPr>
                <w:szCs w:val="20"/>
              </w:rPr>
              <w:t xml:space="preserve">The maternal mortality ratio (MMR) is defined as the number of maternal deaths during a given time period per 100,000 live births during the same time period. It depicts the risk of maternal death relative to the number of live births and essentially captures the risk of death in a single pregnancy or a single live birth. </w:t>
            </w:r>
          </w:p>
          <w:p w14:paraId="2D409666" w14:textId="77777777" w:rsidR="00221C59" w:rsidRDefault="00221C59" w:rsidP="00221C59">
            <w:pPr>
              <w:jc w:val="both"/>
              <w:rPr>
                <w:szCs w:val="20"/>
              </w:rPr>
            </w:pPr>
            <w:r w:rsidRPr="00996F1A">
              <w:rPr>
                <w:szCs w:val="20"/>
              </w:rPr>
              <w:t>Maternal deaths: The annual number of female deaths from any cause related to or aggravated by pregnancy or its management (excluding accidental or incidental causes) during pregnancy and childbirth or within 42 days of termination of pregnancy, irrespective of the duration and site of the pregnancy, expressed per 100,000 live births, for a specified time period.</w:t>
            </w:r>
          </w:p>
          <w:p w14:paraId="21D68FF6" w14:textId="77777777" w:rsidR="00221C59" w:rsidRDefault="00221C59" w:rsidP="00221C59">
            <w:pPr>
              <w:jc w:val="both"/>
              <w:rPr>
                <w:szCs w:val="20"/>
              </w:rPr>
            </w:pPr>
          </w:p>
          <w:p w14:paraId="3F5DA017" w14:textId="77777777" w:rsidR="00221C59" w:rsidRPr="00996F1A" w:rsidRDefault="00221C59" w:rsidP="00221C59">
            <w:pPr>
              <w:jc w:val="both"/>
              <w:rPr>
                <w:b/>
                <w:bCs/>
                <w:szCs w:val="20"/>
              </w:rPr>
            </w:pPr>
            <w:r w:rsidRPr="00996F1A">
              <w:rPr>
                <w:b/>
                <w:bCs/>
                <w:szCs w:val="20"/>
              </w:rPr>
              <w:t>Computation Formula:</w:t>
            </w:r>
          </w:p>
          <w:p w14:paraId="05D37663" w14:textId="77777777" w:rsidR="00221C59" w:rsidRDefault="00221C59" w:rsidP="00221C59">
            <w:pPr>
              <w:jc w:val="both"/>
              <w:rPr>
                <w:szCs w:val="20"/>
              </w:rPr>
            </w:pPr>
            <w:r w:rsidRPr="00996F1A">
              <w:rPr>
                <w:szCs w:val="20"/>
              </w:rPr>
              <w:t xml:space="preserve">The maternal mortality ratio can be calculated by dividing recorded (or estimated) maternal deaths by total recorded (or estimated) live births in the same period and </w:t>
            </w:r>
            <w:r w:rsidRPr="00996F1A">
              <w:rPr>
                <w:szCs w:val="20"/>
              </w:rPr>
              <w:lastRenderedPageBreak/>
              <w:t>multiplying by 100 000. Measurement requires information on pregnancy status, timing of death (during pregnancy, childbirth, or within 42 days of termination of pregnancy), and cause of death. The maternal mortality ratio can be calculated directly from data collected through vital registration systems, household surveys or other sources. There are often data quality problems, particularly related to the underreporting and misclassification of maternal deaths. Therefore, data are often adjusted in order to take these data quality issues into account. Some countries undertake these adjustments or corrections as part of specialized/confidential enquiries or administrative efforts embedded within maternal mortality monitoring programmes.</w:t>
            </w:r>
          </w:p>
          <w:p w14:paraId="1C717A40" w14:textId="77777777" w:rsidR="00221C59" w:rsidRDefault="00221C59" w:rsidP="00221C59">
            <w:pPr>
              <w:jc w:val="both"/>
              <w:rPr>
                <w:szCs w:val="20"/>
              </w:rPr>
            </w:pPr>
          </w:p>
          <w:p w14:paraId="486BAB43" w14:textId="77777777" w:rsidR="00221C59" w:rsidRPr="00262FC1" w:rsidRDefault="00221C59" w:rsidP="00221C59">
            <w:pPr>
              <w:jc w:val="center"/>
              <w:rPr>
                <w:szCs w:val="20"/>
              </w:rPr>
            </w:pPr>
            <w:r w:rsidRPr="00996F1A">
              <w:rPr>
                <w:szCs w:val="20"/>
              </w:rPr>
              <w:t>MMR=PM ×(All female deaths at ages 15-49/Number of live births)</w:t>
            </w:r>
          </w:p>
        </w:tc>
        <w:tc>
          <w:tcPr>
            <w:tcW w:w="0" w:type="auto"/>
            <w:shd w:val="clear" w:color="auto" w:fill="auto"/>
          </w:tcPr>
          <w:p w14:paraId="65960427" w14:textId="77777777" w:rsidR="00221C59" w:rsidRPr="00996F1A" w:rsidRDefault="00221C59" w:rsidP="00221C59">
            <w:pPr>
              <w:jc w:val="center"/>
              <w:rPr>
                <w:bCs/>
                <w:szCs w:val="20"/>
              </w:rPr>
            </w:pPr>
            <w:r>
              <w:rPr>
                <w:bCs/>
                <w:szCs w:val="20"/>
              </w:rPr>
              <w:lastRenderedPageBreak/>
              <w:t>V</w:t>
            </w:r>
            <w:r w:rsidRPr="00996F1A">
              <w:rPr>
                <w:bCs/>
                <w:szCs w:val="20"/>
              </w:rPr>
              <w:t>ital registration</w:t>
            </w:r>
          </w:p>
          <w:p w14:paraId="472A2BB4" w14:textId="77777777" w:rsidR="00221C59" w:rsidRPr="00701B09" w:rsidRDefault="00221C59" w:rsidP="00221C59">
            <w:pPr>
              <w:jc w:val="center"/>
              <w:rPr>
                <w:bCs/>
                <w:szCs w:val="20"/>
              </w:rPr>
            </w:pPr>
            <w:r w:rsidRPr="00996F1A">
              <w:rPr>
                <w:bCs/>
                <w:szCs w:val="20"/>
              </w:rPr>
              <w:t>systems, household surveys or other sources</w:t>
            </w:r>
          </w:p>
        </w:tc>
        <w:tc>
          <w:tcPr>
            <w:tcW w:w="0" w:type="auto"/>
            <w:shd w:val="clear" w:color="auto" w:fill="auto"/>
          </w:tcPr>
          <w:p w14:paraId="37DB6292" w14:textId="77777777" w:rsidR="00221C59" w:rsidRPr="00701B09" w:rsidRDefault="00221C59" w:rsidP="00221C59">
            <w:pPr>
              <w:jc w:val="center"/>
              <w:rPr>
                <w:bCs/>
                <w:szCs w:val="20"/>
              </w:rPr>
            </w:pPr>
            <w:r>
              <w:rPr>
                <w:bCs/>
                <w:szCs w:val="20"/>
              </w:rPr>
              <w:t>NSO</w:t>
            </w:r>
          </w:p>
        </w:tc>
        <w:tc>
          <w:tcPr>
            <w:tcW w:w="0" w:type="auto"/>
            <w:shd w:val="clear" w:color="auto" w:fill="auto"/>
          </w:tcPr>
          <w:p w14:paraId="76614E22" w14:textId="77777777" w:rsidR="00221C59" w:rsidRDefault="00221C59" w:rsidP="00221C59">
            <w:pPr>
              <w:pStyle w:val="ListParagraph"/>
              <w:numPr>
                <w:ilvl w:val="0"/>
                <w:numId w:val="15"/>
              </w:numPr>
              <w:ind w:left="160" w:hanging="160"/>
              <w:rPr>
                <w:rFonts w:ascii="Tw Cen MT Condensed" w:hAnsi="Tw Cen MT Condensed"/>
                <w:bCs/>
                <w:sz w:val="20"/>
                <w:szCs w:val="20"/>
              </w:rPr>
            </w:pPr>
            <w:r>
              <w:rPr>
                <w:rFonts w:ascii="Tw Cen MT Condensed" w:hAnsi="Tw Cen MT Condensed"/>
                <w:bCs/>
                <w:sz w:val="20"/>
                <w:szCs w:val="20"/>
              </w:rPr>
              <w:t>SVRS, BBS</w:t>
            </w:r>
          </w:p>
          <w:p w14:paraId="0DFF590E" w14:textId="481E3CE6" w:rsidR="00221C59" w:rsidRPr="00996F1A" w:rsidRDefault="00221C59" w:rsidP="00221C59">
            <w:pPr>
              <w:pStyle w:val="ListParagraph"/>
              <w:numPr>
                <w:ilvl w:val="0"/>
                <w:numId w:val="15"/>
              </w:numPr>
              <w:ind w:left="160" w:hanging="160"/>
              <w:rPr>
                <w:rFonts w:ascii="Tw Cen MT Condensed" w:hAnsi="Tw Cen MT Condensed"/>
                <w:bCs/>
                <w:sz w:val="20"/>
                <w:szCs w:val="20"/>
              </w:rPr>
            </w:pPr>
          </w:p>
        </w:tc>
        <w:tc>
          <w:tcPr>
            <w:tcW w:w="0" w:type="auto"/>
            <w:shd w:val="clear" w:color="auto" w:fill="auto"/>
          </w:tcPr>
          <w:p w14:paraId="18081461" w14:textId="77777777" w:rsidR="00221C59" w:rsidRPr="00996F1A" w:rsidRDefault="00221C59" w:rsidP="00221C59">
            <w:pPr>
              <w:pStyle w:val="ListParagraph"/>
              <w:numPr>
                <w:ilvl w:val="0"/>
                <w:numId w:val="16"/>
              </w:numPr>
              <w:ind w:left="260" w:hanging="180"/>
              <w:rPr>
                <w:rFonts w:ascii="Tw Cen MT Condensed" w:hAnsi="Tw Cen MT Condensed"/>
                <w:bCs/>
                <w:sz w:val="20"/>
                <w:szCs w:val="20"/>
              </w:rPr>
            </w:pPr>
            <w:r w:rsidRPr="00996F1A">
              <w:rPr>
                <w:rFonts w:ascii="Tw Cen MT Condensed" w:hAnsi="Tw Cen MT Condensed"/>
                <w:bCs/>
                <w:sz w:val="20"/>
                <w:szCs w:val="20"/>
              </w:rPr>
              <w:t>SVRS</w:t>
            </w:r>
            <w:r>
              <w:rPr>
                <w:rFonts w:ascii="Tw Cen MT Condensed" w:hAnsi="Tw Cen MT Condensed"/>
                <w:bCs/>
                <w:sz w:val="20"/>
                <w:szCs w:val="20"/>
              </w:rPr>
              <w:t>/PHC</w:t>
            </w:r>
            <w:r w:rsidRPr="00996F1A">
              <w:rPr>
                <w:rFonts w:ascii="Tw Cen MT Condensed" w:hAnsi="Tw Cen MT Condensed"/>
                <w:bCs/>
                <w:sz w:val="20"/>
                <w:szCs w:val="20"/>
              </w:rPr>
              <w:t>, BBS</w:t>
            </w:r>
          </w:p>
          <w:p w14:paraId="090279C0" w14:textId="4B131A2C" w:rsidR="00221C59" w:rsidRPr="00996F1A" w:rsidRDefault="00221C59" w:rsidP="00221C59">
            <w:pPr>
              <w:pStyle w:val="ListParagraph"/>
              <w:numPr>
                <w:ilvl w:val="0"/>
                <w:numId w:val="16"/>
              </w:numPr>
              <w:ind w:left="260" w:hanging="180"/>
              <w:rPr>
                <w:rFonts w:ascii="Tw Cen MT Condensed" w:hAnsi="Tw Cen MT Condensed"/>
                <w:bCs/>
                <w:sz w:val="20"/>
                <w:szCs w:val="20"/>
              </w:rPr>
            </w:pPr>
          </w:p>
        </w:tc>
        <w:tc>
          <w:tcPr>
            <w:tcW w:w="0" w:type="auto"/>
            <w:shd w:val="clear" w:color="auto" w:fill="auto"/>
          </w:tcPr>
          <w:p w14:paraId="3F056A2E" w14:textId="697D005A" w:rsidR="00221C59" w:rsidRPr="00996F1A" w:rsidRDefault="00221C59" w:rsidP="00221C59">
            <w:pPr>
              <w:pStyle w:val="ListParagraph"/>
              <w:numPr>
                <w:ilvl w:val="0"/>
                <w:numId w:val="2"/>
              </w:numPr>
              <w:spacing w:line="240" w:lineRule="auto"/>
              <w:ind w:left="157" w:hanging="157"/>
              <w:jc w:val="both"/>
              <w:rPr>
                <w:rFonts w:ascii="Tw Cen MT Condensed" w:hAnsi="Tw Cen MT Condensed"/>
                <w:bCs/>
                <w:sz w:val="20"/>
                <w:szCs w:val="20"/>
              </w:rPr>
            </w:pPr>
            <w:r w:rsidRPr="00996F1A">
              <w:rPr>
                <w:rFonts w:ascii="Tw Cen MT Condensed" w:hAnsi="Tw Cen MT Condensed"/>
                <w:bCs/>
                <w:sz w:val="20"/>
                <w:szCs w:val="20"/>
              </w:rPr>
              <w:t>Income Group</w:t>
            </w:r>
            <w:r w:rsidR="009128F5">
              <w:rPr>
                <w:rFonts w:ascii="Tw Cen MT Condensed" w:hAnsi="Tw Cen MT Condensed"/>
                <w:bCs/>
                <w:sz w:val="20"/>
                <w:szCs w:val="20"/>
              </w:rPr>
              <w:t>: High/Medium/Low</w:t>
            </w:r>
          </w:p>
          <w:p w14:paraId="4DC73FBA" w14:textId="77777777" w:rsidR="00221C59" w:rsidRPr="00996F1A" w:rsidRDefault="00221C59" w:rsidP="00221C59">
            <w:pPr>
              <w:pStyle w:val="ListParagraph"/>
              <w:numPr>
                <w:ilvl w:val="0"/>
                <w:numId w:val="2"/>
              </w:numPr>
              <w:spacing w:line="240" w:lineRule="auto"/>
              <w:ind w:left="157" w:hanging="157"/>
              <w:jc w:val="both"/>
              <w:rPr>
                <w:rFonts w:ascii="Tw Cen MT Condensed" w:hAnsi="Tw Cen MT Condensed"/>
                <w:bCs/>
                <w:sz w:val="20"/>
                <w:szCs w:val="20"/>
              </w:rPr>
            </w:pPr>
            <w:r w:rsidRPr="00996F1A">
              <w:rPr>
                <w:rFonts w:ascii="Tw Cen MT Condensed" w:hAnsi="Tw Cen MT Condensed"/>
                <w:bCs/>
                <w:sz w:val="20"/>
                <w:szCs w:val="20"/>
              </w:rPr>
              <w:t>Division/District</w:t>
            </w:r>
          </w:p>
          <w:p w14:paraId="6FE49451" w14:textId="77777777" w:rsidR="00221C59" w:rsidRPr="00CB3103" w:rsidRDefault="00221C59" w:rsidP="00221C59">
            <w:pPr>
              <w:pStyle w:val="ListParagraph"/>
              <w:numPr>
                <w:ilvl w:val="0"/>
                <w:numId w:val="2"/>
              </w:numPr>
              <w:spacing w:line="240" w:lineRule="auto"/>
              <w:ind w:left="157" w:hanging="157"/>
              <w:jc w:val="both"/>
              <w:rPr>
                <w:rFonts w:ascii="Tw Cen MT Condensed" w:hAnsi="Tw Cen MT Condensed"/>
                <w:b/>
                <w:sz w:val="20"/>
                <w:szCs w:val="20"/>
              </w:rPr>
            </w:pPr>
            <w:r w:rsidRPr="00996F1A">
              <w:rPr>
                <w:rFonts w:ascii="Tw Cen MT Condensed" w:hAnsi="Tw Cen MT Condensed"/>
                <w:bCs/>
                <w:sz w:val="20"/>
                <w:szCs w:val="20"/>
              </w:rPr>
              <w:t>Location (Rural/Urban)</w:t>
            </w:r>
          </w:p>
        </w:tc>
        <w:tc>
          <w:tcPr>
            <w:tcW w:w="0" w:type="auto"/>
            <w:shd w:val="clear" w:color="auto" w:fill="auto"/>
          </w:tcPr>
          <w:p w14:paraId="2F1AC7C9" w14:textId="77777777" w:rsidR="00221C59" w:rsidRPr="00701B09" w:rsidRDefault="00221C59" w:rsidP="00221C59">
            <w:pPr>
              <w:jc w:val="center"/>
              <w:rPr>
                <w:bCs/>
                <w:szCs w:val="20"/>
              </w:rPr>
            </w:pPr>
            <w:r>
              <w:rPr>
                <w:bCs/>
                <w:szCs w:val="20"/>
              </w:rPr>
              <w:t>Annual</w:t>
            </w:r>
          </w:p>
        </w:tc>
        <w:tc>
          <w:tcPr>
            <w:tcW w:w="0" w:type="auto"/>
            <w:shd w:val="clear" w:color="auto" w:fill="auto"/>
          </w:tcPr>
          <w:p w14:paraId="316F3446" w14:textId="77777777" w:rsidR="00221C59" w:rsidRDefault="00221C59" w:rsidP="00221C59">
            <w:pPr>
              <w:pStyle w:val="NoSpacing"/>
            </w:pPr>
            <w:r>
              <w:t>1</w:t>
            </w:r>
            <w:r w:rsidRPr="00013ACB">
              <w:rPr>
                <w:vertAlign w:val="superscript"/>
              </w:rPr>
              <w:t>st</w:t>
            </w:r>
            <w:r>
              <w:t xml:space="preserve"> Round: </w:t>
            </w:r>
          </w:p>
          <w:p w14:paraId="12353B7F" w14:textId="77777777" w:rsidR="00221C59" w:rsidRDefault="00221C59" w:rsidP="00221C59">
            <w:pPr>
              <w:pStyle w:val="NoSpacing"/>
            </w:pPr>
            <w:r>
              <w:t>2015</w:t>
            </w:r>
          </w:p>
          <w:p w14:paraId="1F38375A" w14:textId="77777777" w:rsidR="00221C59" w:rsidRDefault="00221C59" w:rsidP="00221C59">
            <w:pPr>
              <w:pStyle w:val="NoSpacing"/>
            </w:pPr>
          </w:p>
          <w:p w14:paraId="4AB044B9" w14:textId="77777777" w:rsidR="00221C59" w:rsidRDefault="00221C59" w:rsidP="00221C59">
            <w:pPr>
              <w:pStyle w:val="NoSpacing"/>
            </w:pPr>
            <w:r>
              <w:t>2</w:t>
            </w:r>
            <w:r w:rsidRPr="00013ACB">
              <w:rPr>
                <w:vertAlign w:val="superscript"/>
              </w:rPr>
              <w:t>nd</w:t>
            </w:r>
            <w:r>
              <w:t xml:space="preserve"> Round: </w:t>
            </w:r>
          </w:p>
          <w:p w14:paraId="67493C8E" w14:textId="77777777" w:rsidR="00221C59" w:rsidRDefault="00221C59" w:rsidP="00221C59">
            <w:pPr>
              <w:pStyle w:val="NoSpacing"/>
              <w:rPr>
                <w:szCs w:val="22"/>
              </w:rPr>
            </w:pPr>
            <w:r w:rsidRPr="00BC6F10">
              <w:rPr>
                <w:szCs w:val="22"/>
              </w:rPr>
              <w:t>July 2019</w:t>
            </w:r>
          </w:p>
          <w:p w14:paraId="7FA4FB22" w14:textId="77777777" w:rsidR="00221C59" w:rsidRDefault="00221C59" w:rsidP="00221C59">
            <w:pPr>
              <w:pStyle w:val="NoSpacing"/>
            </w:pPr>
          </w:p>
          <w:p w14:paraId="7743489A" w14:textId="77777777" w:rsidR="00221C59" w:rsidRDefault="00221C59" w:rsidP="00221C59">
            <w:pPr>
              <w:pStyle w:val="NoSpacing"/>
            </w:pPr>
            <w:r>
              <w:t>3</w:t>
            </w:r>
            <w:r w:rsidRPr="00013ACB">
              <w:rPr>
                <w:vertAlign w:val="superscript"/>
              </w:rPr>
              <w:t>rd</w:t>
            </w:r>
            <w:r>
              <w:t xml:space="preserve"> Round: </w:t>
            </w:r>
          </w:p>
          <w:p w14:paraId="6B452285" w14:textId="77777777" w:rsidR="00221C59" w:rsidRDefault="00221C59" w:rsidP="00221C59">
            <w:pPr>
              <w:pStyle w:val="NoSpacing"/>
              <w:rPr>
                <w:szCs w:val="22"/>
              </w:rPr>
            </w:pPr>
            <w:r>
              <w:rPr>
                <w:szCs w:val="22"/>
              </w:rPr>
              <w:t>July 2020</w:t>
            </w:r>
          </w:p>
          <w:p w14:paraId="564A3BC8" w14:textId="77777777" w:rsidR="00221C59" w:rsidRDefault="00221C59" w:rsidP="00221C59">
            <w:pPr>
              <w:pStyle w:val="NoSpacing"/>
            </w:pPr>
          </w:p>
          <w:p w14:paraId="78E43E0C" w14:textId="77777777" w:rsidR="00221C59" w:rsidRDefault="00221C59" w:rsidP="00221C59">
            <w:pPr>
              <w:pStyle w:val="NoSpacing"/>
            </w:pPr>
            <w:r>
              <w:t>4</w:t>
            </w:r>
            <w:r w:rsidRPr="00013ACB">
              <w:rPr>
                <w:vertAlign w:val="superscript"/>
              </w:rPr>
              <w:t>th</w:t>
            </w:r>
            <w:r>
              <w:t xml:space="preserve"> Round: </w:t>
            </w:r>
          </w:p>
          <w:p w14:paraId="672D3CC1" w14:textId="77777777" w:rsidR="00221C59" w:rsidRDefault="00221C59" w:rsidP="00221C59">
            <w:pPr>
              <w:pStyle w:val="NoSpacing"/>
              <w:rPr>
                <w:szCs w:val="22"/>
              </w:rPr>
            </w:pPr>
            <w:r>
              <w:rPr>
                <w:szCs w:val="22"/>
              </w:rPr>
              <w:t>July 2021</w:t>
            </w:r>
          </w:p>
          <w:p w14:paraId="4D80B59E" w14:textId="77777777" w:rsidR="00221C59" w:rsidRDefault="00221C59" w:rsidP="00221C59">
            <w:pPr>
              <w:pStyle w:val="NoSpacing"/>
            </w:pPr>
          </w:p>
          <w:p w14:paraId="5DC451C0" w14:textId="77777777" w:rsidR="00221C59" w:rsidRDefault="00221C59" w:rsidP="00221C59">
            <w:pPr>
              <w:pStyle w:val="NoSpacing"/>
            </w:pPr>
            <w:r>
              <w:t>5</w:t>
            </w:r>
            <w:r w:rsidRPr="00013ACB">
              <w:rPr>
                <w:vertAlign w:val="superscript"/>
              </w:rPr>
              <w:t>th</w:t>
            </w:r>
            <w:r>
              <w:t xml:space="preserve"> Round: </w:t>
            </w:r>
          </w:p>
          <w:p w14:paraId="4F812D68" w14:textId="77777777" w:rsidR="00221C59" w:rsidRDefault="00221C59" w:rsidP="00221C59">
            <w:pPr>
              <w:pStyle w:val="NoSpacing"/>
              <w:rPr>
                <w:szCs w:val="22"/>
              </w:rPr>
            </w:pPr>
            <w:r>
              <w:rPr>
                <w:szCs w:val="22"/>
              </w:rPr>
              <w:t>July 2022</w:t>
            </w:r>
          </w:p>
          <w:p w14:paraId="29B7D5E2" w14:textId="461168E0" w:rsidR="00221C59" w:rsidRPr="002175FB" w:rsidRDefault="00221C59" w:rsidP="00221C59">
            <w:pPr>
              <w:jc w:val="center"/>
              <w:rPr>
                <w:bCs/>
                <w:szCs w:val="20"/>
              </w:rPr>
            </w:pPr>
          </w:p>
        </w:tc>
        <w:tc>
          <w:tcPr>
            <w:tcW w:w="682" w:type="dxa"/>
            <w:shd w:val="clear" w:color="auto" w:fill="auto"/>
          </w:tcPr>
          <w:p w14:paraId="0C95168C" w14:textId="77777777" w:rsidR="00221C59" w:rsidRDefault="00221C59" w:rsidP="00221C59">
            <w:pPr>
              <w:jc w:val="both"/>
              <w:rPr>
                <w:bCs/>
                <w:szCs w:val="20"/>
              </w:rPr>
            </w:pPr>
            <w:r>
              <w:rPr>
                <w:bCs/>
                <w:szCs w:val="20"/>
              </w:rPr>
              <w:t>Group 1</w:t>
            </w:r>
          </w:p>
        </w:tc>
        <w:tc>
          <w:tcPr>
            <w:tcW w:w="983" w:type="dxa"/>
            <w:shd w:val="clear" w:color="auto" w:fill="auto"/>
          </w:tcPr>
          <w:p w14:paraId="4E8EAB5C" w14:textId="77777777" w:rsidR="00221C59" w:rsidRPr="003965A9" w:rsidRDefault="00221C59" w:rsidP="00221C59">
            <w:pPr>
              <w:jc w:val="both"/>
              <w:rPr>
                <w:bCs/>
                <w:szCs w:val="20"/>
              </w:rPr>
            </w:pPr>
            <w:r>
              <w:rPr>
                <w:bCs/>
                <w:szCs w:val="20"/>
              </w:rPr>
              <w:t>SVRS should confirm disaggregation in reporting</w:t>
            </w:r>
          </w:p>
        </w:tc>
      </w:tr>
      <w:tr w:rsidR="00BF3271" w14:paraId="2E1C62B1" w14:textId="77777777" w:rsidTr="0085651F">
        <w:tc>
          <w:tcPr>
            <w:tcW w:w="0" w:type="auto"/>
            <w:gridSpan w:val="2"/>
            <w:shd w:val="clear" w:color="auto" w:fill="auto"/>
          </w:tcPr>
          <w:p w14:paraId="01ABF9D3" w14:textId="77777777" w:rsidR="00221C59" w:rsidRPr="00996F1A" w:rsidRDefault="00221C59" w:rsidP="00221C59">
            <w:pPr>
              <w:jc w:val="both"/>
              <w:rPr>
                <w:szCs w:val="20"/>
              </w:rPr>
            </w:pPr>
            <w:r w:rsidRPr="00996F1A">
              <w:rPr>
                <w:szCs w:val="20"/>
              </w:rPr>
              <w:lastRenderedPageBreak/>
              <w:t>3.1.2 Proportion of births attended by skilled health personnel</w:t>
            </w:r>
          </w:p>
        </w:tc>
        <w:tc>
          <w:tcPr>
            <w:tcW w:w="0" w:type="auto"/>
            <w:shd w:val="clear" w:color="auto" w:fill="auto"/>
          </w:tcPr>
          <w:p w14:paraId="3D9BB6A5" w14:textId="77777777" w:rsidR="00221C59" w:rsidRDefault="00221C59" w:rsidP="00221C59">
            <w:pPr>
              <w:rPr>
                <w:szCs w:val="20"/>
              </w:rPr>
            </w:pPr>
            <w:r>
              <w:rPr>
                <w:szCs w:val="20"/>
              </w:rPr>
              <w:t>UNICEF</w:t>
            </w:r>
          </w:p>
          <w:p w14:paraId="19BAAB1E" w14:textId="77777777" w:rsidR="00221C59" w:rsidRDefault="00221C59" w:rsidP="00221C59">
            <w:pPr>
              <w:rPr>
                <w:szCs w:val="20"/>
              </w:rPr>
            </w:pPr>
          </w:p>
          <w:p w14:paraId="294359D8" w14:textId="77777777" w:rsidR="00221C59" w:rsidRPr="00996F1A" w:rsidRDefault="00221C59" w:rsidP="00221C59">
            <w:pPr>
              <w:rPr>
                <w:b/>
                <w:bCs/>
                <w:szCs w:val="20"/>
              </w:rPr>
            </w:pPr>
            <w:r w:rsidRPr="00996F1A">
              <w:rPr>
                <w:b/>
                <w:bCs/>
                <w:szCs w:val="20"/>
              </w:rPr>
              <w:t>Partner Agencies:</w:t>
            </w:r>
          </w:p>
          <w:p w14:paraId="17DA72F0" w14:textId="77777777" w:rsidR="00221C59" w:rsidRDefault="00221C59" w:rsidP="00221C59">
            <w:pPr>
              <w:rPr>
                <w:szCs w:val="20"/>
              </w:rPr>
            </w:pPr>
            <w:r>
              <w:rPr>
                <w:szCs w:val="20"/>
              </w:rPr>
              <w:t xml:space="preserve">WHO, </w:t>
            </w:r>
            <w:r w:rsidRPr="00996F1A">
              <w:rPr>
                <w:szCs w:val="20"/>
              </w:rPr>
              <w:t>UNFPA</w:t>
            </w:r>
          </w:p>
        </w:tc>
        <w:tc>
          <w:tcPr>
            <w:tcW w:w="0" w:type="auto"/>
            <w:shd w:val="clear" w:color="auto" w:fill="auto"/>
          </w:tcPr>
          <w:p w14:paraId="32780EE5" w14:textId="77777777" w:rsidR="00221C59" w:rsidRDefault="00221C59" w:rsidP="00221C59">
            <w:pPr>
              <w:jc w:val="center"/>
              <w:rPr>
                <w:szCs w:val="20"/>
              </w:rPr>
            </w:pPr>
            <w:r>
              <w:rPr>
                <w:szCs w:val="20"/>
              </w:rPr>
              <w:t>Tier I</w:t>
            </w:r>
          </w:p>
        </w:tc>
        <w:tc>
          <w:tcPr>
            <w:tcW w:w="0" w:type="auto"/>
            <w:shd w:val="clear" w:color="auto" w:fill="auto"/>
          </w:tcPr>
          <w:p w14:paraId="42E03963" w14:textId="77777777" w:rsidR="00221C59" w:rsidRPr="00996F1A" w:rsidRDefault="00221C59" w:rsidP="00221C59">
            <w:pPr>
              <w:jc w:val="both"/>
              <w:rPr>
                <w:b/>
                <w:bCs/>
                <w:color w:val="000000" w:themeColor="text1"/>
                <w:szCs w:val="20"/>
              </w:rPr>
            </w:pPr>
            <w:r w:rsidRPr="00996F1A">
              <w:rPr>
                <w:b/>
                <w:bCs/>
                <w:color w:val="000000" w:themeColor="text1"/>
                <w:szCs w:val="20"/>
              </w:rPr>
              <w:t>Definition:</w:t>
            </w:r>
          </w:p>
          <w:p w14:paraId="2F066EC5" w14:textId="77777777" w:rsidR="00221C59" w:rsidRDefault="00221C59" w:rsidP="00221C59">
            <w:pPr>
              <w:jc w:val="both"/>
              <w:rPr>
                <w:color w:val="000000" w:themeColor="text1"/>
                <w:szCs w:val="20"/>
              </w:rPr>
            </w:pPr>
            <w:r w:rsidRPr="00996F1A">
              <w:rPr>
                <w:color w:val="000000" w:themeColor="text1"/>
                <w:szCs w:val="20"/>
              </w:rPr>
              <w:t>Percentage of births attended by skilled health personnel (generally doctors, nurses or midwives) is the percentage of deliveries attended by health personnel trained in providing lifesaving obstetric care, including giving the necessary supervision, care and advice to women during pregnancy, labour and the post-partum period, conducting deliveries on their own, and caring for newborns. Traditional birth attendants, even if they receive a short training course, are not included.</w:t>
            </w:r>
          </w:p>
          <w:p w14:paraId="24D4534F" w14:textId="77777777" w:rsidR="00221C59" w:rsidRPr="000C4849" w:rsidRDefault="00221C59" w:rsidP="00221C59">
            <w:pPr>
              <w:jc w:val="both"/>
              <w:rPr>
                <w:b/>
                <w:color w:val="000000" w:themeColor="text1"/>
                <w:szCs w:val="20"/>
              </w:rPr>
            </w:pPr>
            <w:r w:rsidRPr="000C4849">
              <w:rPr>
                <w:b/>
                <w:color w:val="000000" w:themeColor="text1"/>
                <w:szCs w:val="20"/>
              </w:rPr>
              <w:t>Rationale:</w:t>
            </w:r>
          </w:p>
          <w:p w14:paraId="008CCC14" w14:textId="77777777" w:rsidR="00221C59" w:rsidRDefault="00221C59" w:rsidP="00221C59">
            <w:pPr>
              <w:jc w:val="both"/>
              <w:rPr>
                <w:color w:val="000000" w:themeColor="text1"/>
                <w:szCs w:val="20"/>
              </w:rPr>
            </w:pPr>
            <w:r w:rsidRPr="00B33143">
              <w:rPr>
                <w:color w:val="000000" w:themeColor="text1"/>
                <w:szCs w:val="20"/>
              </w:rPr>
              <w:t>Having a skilled attendant at the time of childbirth is an important lifesaving intervention for both women and babies. Not having access to this key assistance is detrimental to women's health because it could cause the death of the women or long lasting morbidity, especially in vulnerable settings.</w:t>
            </w:r>
          </w:p>
          <w:p w14:paraId="347DCE98" w14:textId="77777777" w:rsidR="00221C59" w:rsidRDefault="00221C59" w:rsidP="00221C59">
            <w:pPr>
              <w:jc w:val="both"/>
              <w:rPr>
                <w:color w:val="000000" w:themeColor="text1"/>
                <w:szCs w:val="20"/>
              </w:rPr>
            </w:pPr>
          </w:p>
          <w:p w14:paraId="596B60F4" w14:textId="77777777" w:rsidR="00221C59" w:rsidRPr="00996F1A" w:rsidRDefault="00221C59" w:rsidP="00221C59">
            <w:pPr>
              <w:jc w:val="both"/>
              <w:rPr>
                <w:b/>
                <w:bCs/>
                <w:color w:val="000000" w:themeColor="text1"/>
                <w:szCs w:val="20"/>
              </w:rPr>
            </w:pPr>
            <w:r w:rsidRPr="00996F1A">
              <w:rPr>
                <w:b/>
                <w:bCs/>
                <w:color w:val="000000" w:themeColor="text1"/>
                <w:szCs w:val="20"/>
              </w:rPr>
              <w:t>Computation Formula:</w:t>
            </w:r>
          </w:p>
          <w:p w14:paraId="07735DC7" w14:textId="77777777" w:rsidR="00221C59" w:rsidRPr="00996F1A" w:rsidRDefault="00221C59" w:rsidP="00221C59">
            <w:pPr>
              <w:jc w:val="both"/>
              <w:rPr>
                <w:color w:val="000000" w:themeColor="text1"/>
                <w:szCs w:val="20"/>
              </w:rPr>
            </w:pPr>
            <w:r w:rsidRPr="00996F1A">
              <w:rPr>
                <w:color w:val="000000" w:themeColor="text1"/>
                <w:szCs w:val="20"/>
              </w:rPr>
              <w:t xml:space="preserve">The number of women aged 15-49 with a live birth attended </w:t>
            </w:r>
            <w:proofErr w:type="gramStart"/>
            <w:r w:rsidRPr="00996F1A">
              <w:rPr>
                <w:color w:val="000000" w:themeColor="text1"/>
                <w:szCs w:val="20"/>
              </w:rPr>
              <w:t>by a</w:t>
            </w:r>
            <w:proofErr w:type="gramEnd"/>
            <w:r w:rsidRPr="00996F1A">
              <w:rPr>
                <w:color w:val="000000" w:themeColor="text1"/>
                <w:szCs w:val="20"/>
              </w:rPr>
              <w:t xml:space="preserve"> skilled health personnel (doctors, nurses or midwives) during delivery is expressed as a percentage of women aged 15-49 with a live birth in the same period.</w:t>
            </w:r>
          </w:p>
        </w:tc>
        <w:tc>
          <w:tcPr>
            <w:tcW w:w="0" w:type="auto"/>
            <w:shd w:val="clear" w:color="auto" w:fill="auto"/>
          </w:tcPr>
          <w:p w14:paraId="6FE15117" w14:textId="77777777" w:rsidR="00221C59" w:rsidRDefault="00221C59" w:rsidP="00221C59">
            <w:pPr>
              <w:jc w:val="center"/>
              <w:rPr>
                <w:bCs/>
                <w:szCs w:val="20"/>
              </w:rPr>
            </w:pPr>
            <w:r w:rsidRPr="00996F1A">
              <w:rPr>
                <w:bCs/>
                <w:szCs w:val="20"/>
              </w:rPr>
              <w:t>Household surveys or administrative sources</w:t>
            </w:r>
          </w:p>
        </w:tc>
        <w:tc>
          <w:tcPr>
            <w:tcW w:w="0" w:type="auto"/>
            <w:shd w:val="clear" w:color="auto" w:fill="auto"/>
          </w:tcPr>
          <w:p w14:paraId="31F0C93B" w14:textId="77777777" w:rsidR="00221C59" w:rsidRDefault="00221C59" w:rsidP="00221C59">
            <w:pPr>
              <w:jc w:val="center"/>
              <w:rPr>
                <w:bCs/>
                <w:szCs w:val="20"/>
              </w:rPr>
            </w:pPr>
            <w:r w:rsidRPr="00996F1A">
              <w:rPr>
                <w:bCs/>
                <w:szCs w:val="20"/>
              </w:rPr>
              <w:t>Ministries of Health and National Statistical Offices</w:t>
            </w:r>
          </w:p>
        </w:tc>
        <w:tc>
          <w:tcPr>
            <w:tcW w:w="0" w:type="auto"/>
            <w:shd w:val="clear" w:color="auto" w:fill="auto"/>
          </w:tcPr>
          <w:p w14:paraId="0CD75EDD" w14:textId="2C71B600" w:rsidR="00221C59" w:rsidRDefault="00221C59" w:rsidP="00221C59">
            <w:pPr>
              <w:rPr>
                <w:bCs/>
                <w:szCs w:val="20"/>
              </w:rPr>
            </w:pPr>
          </w:p>
          <w:p w14:paraId="3D5EF7B0" w14:textId="77777777" w:rsidR="00221C59" w:rsidRPr="00996F1A" w:rsidRDefault="00221C59" w:rsidP="00221C59">
            <w:pPr>
              <w:rPr>
                <w:bCs/>
                <w:szCs w:val="20"/>
              </w:rPr>
            </w:pPr>
            <w:r w:rsidRPr="009E1359">
              <w:rPr>
                <w:rFonts w:eastAsia="Times New Roman" w:cs="Times New Roman"/>
                <w:color w:val="000000" w:themeColor="text1"/>
                <w:szCs w:val="22"/>
              </w:rPr>
              <w:t>BDHS</w:t>
            </w:r>
          </w:p>
        </w:tc>
        <w:tc>
          <w:tcPr>
            <w:tcW w:w="0" w:type="auto"/>
            <w:shd w:val="clear" w:color="auto" w:fill="auto"/>
          </w:tcPr>
          <w:p w14:paraId="5D86A216" w14:textId="4BDEB40C" w:rsidR="00221C59" w:rsidRDefault="00221C59" w:rsidP="00221C59">
            <w:pPr>
              <w:spacing w:line="264" w:lineRule="auto"/>
              <w:rPr>
                <w:bCs/>
                <w:szCs w:val="20"/>
              </w:rPr>
            </w:pPr>
          </w:p>
          <w:p w14:paraId="11051A36" w14:textId="77777777" w:rsidR="00221C59" w:rsidRPr="00996F1A" w:rsidRDefault="00221C59" w:rsidP="00221C59">
            <w:pPr>
              <w:spacing w:line="264" w:lineRule="auto"/>
              <w:rPr>
                <w:bCs/>
                <w:szCs w:val="20"/>
              </w:rPr>
            </w:pPr>
            <w:r w:rsidRPr="00BC6F10">
              <w:rPr>
                <w:rFonts w:eastAsia="Times New Roman" w:cs="Times New Roman"/>
                <w:color w:val="000000" w:themeColor="text1"/>
                <w:szCs w:val="20"/>
              </w:rPr>
              <w:t>MICS</w:t>
            </w:r>
            <w:r>
              <w:rPr>
                <w:rFonts w:eastAsia="Times New Roman" w:cs="Times New Roman"/>
                <w:color w:val="000000" w:themeColor="text1"/>
                <w:szCs w:val="20"/>
              </w:rPr>
              <w:t>/SVRS/HMSS, BBS</w:t>
            </w:r>
          </w:p>
        </w:tc>
        <w:tc>
          <w:tcPr>
            <w:tcW w:w="0" w:type="auto"/>
            <w:shd w:val="clear" w:color="auto" w:fill="auto"/>
          </w:tcPr>
          <w:p w14:paraId="0BCB3288" w14:textId="77777777" w:rsidR="00221C59" w:rsidRDefault="00221C59" w:rsidP="00221C59">
            <w:pPr>
              <w:pStyle w:val="ListParagraph"/>
              <w:numPr>
                <w:ilvl w:val="0"/>
                <w:numId w:val="2"/>
              </w:numPr>
              <w:spacing w:line="240" w:lineRule="auto"/>
              <w:ind w:left="178" w:hanging="178"/>
              <w:jc w:val="both"/>
              <w:rPr>
                <w:rFonts w:ascii="Tw Cen MT Condensed" w:hAnsi="Tw Cen MT Condensed"/>
                <w:bCs/>
                <w:sz w:val="20"/>
                <w:szCs w:val="20"/>
              </w:rPr>
            </w:pPr>
            <w:r>
              <w:rPr>
                <w:rFonts w:ascii="Tw Cen MT Condensed" w:hAnsi="Tw Cen MT Condensed"/>
                <w:bCs/>
                <w:sz w:val="20"/>
                <w:szCs w:val="20"/>
              </w:rPr>
              <w:t>R</w:t>
            </w:r>
            <w:r w:rsidRPr="00A94431">
              <w:rPr>
                <w:rFonts w:ascii="Tw Cen MT Condensed" w:hAnsi="Tw Cen MT Condensed"/>
                <w:bCs/>
                <w:sz w:val="20"/>
                <w:szCs w:val="20"/>
              </w:rPr>
              <w:t>esidence (urban/rural)</w:t>
            </w:r>
          </w:p>
          <w:p w14:paraId="0D5E45A1" w14:textId="77777777" w:rsidR="00221C59" w:rsidRDefault="00221C59" w:rsidP="00221C59">
            <w:pPr>
              <w:pStyle w:val="ListParagraph"/>
              <w:numPr>
                <w:ilvl w:val="0"/>
                <w:numId w:val="2"/>
              </w:numPr>
              <w:spacing w:line="240" w:lineRule="auto"/>
              <w:ind w:left="178" w:hanging="178"/>
              <w:jc w:val="both"/>
              <w:rPr>
                <w:rFonts w:ascii="Tw Cen MT Condensed" w:hAnsi="Tw Cen MT Condensed"/>
                <w:bCs/>
                <w:sz w:val="20"/>
                <w:szCs w:val="20"/>
              </w:rPr>
            </w:pPr>
            <w:r>
              <w:rPr>
                <w:rFonts w:ascii="Tw Cen MT Condensed" w:hAnsi="Tw Cen MT Condensed"/>
                <w:bCs/>
                <w:sz w:val="20"/>
                <w:szCs w:val="20"/>
              </w:rPr>
              <w:t>H</w:t>
            </w:r>
            <w:r w:rsidRPr="00A94431">
              <w:rPr>
                <w:rFonts w:ascii="Tw Cen MT Condensed" w:hAnsi="Tw Cen MT Condensed"/>
                <w:bCs/>
                <w:sz w:val="20"/>
                <w:szCs w:val="20"/>
              </w:rPr>
              <w:t>ousehold wealth (quintiles)</w:t>
            </w:r>
          </w:p>
          <w:p w14:paraId="74A1EA22" w14:textId="2A6DF3E9" w:rsidR="00221C59" w:rsidRDefault="00221C59" w:rsidP="00221C59">
            <w:pPr>
              <w:pStyle w:val="ListParagraph"/>
              <w:numPr>
                <w:ilvl w:val="0"/>
                <w:numId w:val="2"/>
              </w:numPr>
              <w:spacing w:line="240" w:lineRule="auto"/>
              <w:ind w:left="178" w:hanging="178"/>
              <w:jc w:val="both"/>
              <w:rPr>
                <w:rFonts w:ascii="Tw Cen MT Condensed" w:hAnsi="Tw Cen MT Condensed"/>
                <w:bCs/>
                <w:sz w:val="20"/>
                <w:szCs w:val="20"/>
              </w:rPr>
            </w:pPr>
            <w:r>
              <w:rPr>
                <w:rFonts w:ascii="Tw Cen MT Condensed" w:hAnsi="Tw Cen MT Condensed"/>
                <w:bCs/>
                <w:sz w:val="20"/>
                <w:szCs w:val="20"/>
              </w:rPr>
              <w:t>M</w:t>
            </w:r>
            <w:r w:rsidRPr="00A94431">
              <w:rPr>
                <w:rFonts w:ascii="Tw Cen MT Condensed" w:hAnsi="Tw Cen MT Condensed"/>
                <w:bCs/>
                <w:sz w:val="20"/>
                <w:szCs w:val="20"/>
              </w:rPr>
              <w:t>aternal age</w:t>
            </w:r>
            <w:r w:rsidR="009128F5">
              <w:rPr>
                <w:rFonts w:ascii="Tw Cen MT Condensed" w:hAnsi="Tw Cen MT Condensed"/>
                <w:bCs/>
                <w:sz w:val="20"/>
                <w:szCs w:val="20"/>
              </w:rPr>
              <w:t xml:space="preserve">: </w:t>
            </w:r>
            <w:r w:rsidR="009128F5">
              <w:rPr>
                <w:rFonts w:ascii="Tw Cen MT Condensed" w:hAnsi="Tw Cen MT Condensed"/>
                <w:color w:val="FF0000"/>
                <w:sz w:val="20"/>
                <w:szCs w:val="26"/>
              </w:rPr>
              <w:t>15-19 yrs/ 20-24 yrs/25-29 yrs/30-34 yrs/35-39 yrs/40-44 yrs/45-49 yrs</w:t>
            </w:r>
          </w:p>
          <w:p w14:paraId="02A0007C" w14:textId="77777777" w:rsidR="00221C59" w:rsidRPr="00996F1A" w:rsidRDefault="00221C59" w:rsidP="00221C59">
            <w:pPr>
              <w:pStyle w:val="ListParagraph"/>
              <w:numPr>
                <w:ilvl w:val="0"/>
                <w:numId w:val="2"/>
              </w:numPr>
              <w:spacing w:line="240" w:lineRule="auto"/>
              <w:ind w:left="178" w:hanging="178"/>
              <w:jc w:val="both"/>
              <w:rPr>
                <w:rFonts w:ascii="Tw Cen MT Condensed" w:hAnsi="Tw Cen MT Condensed"/>
                <w:bCs/>
                <w:sz w:val="20"/>
                <w:szCs w:val="20"/>
              </w:rPr>
            </w:pPr>
            <w:r>
              <w:rPr>
                <w:rFonts w:ascii="Tw Cen MT Condensed" w:hAnsi="Tw Cen MT Condensed"/>
                <w:bCs/>
                <w:sz w:val="20"/>
                <w:szCs w:val="20"/>
              </w:rPr>
              <w:t>G</w:t>
            </w:r>
            <w:r w:rsidRPr="00A94431">
              <w:rPr>
                <w:rFonts w:ascii="Tw Cen MT Condensed" w:hAnsi="Tw Cen MT Condensed"/>
                <w:bCs/>
                <w:sz w:val="20"/>
                <w:szCs w:val="20"/>
              </w:rPr>
              <w:t>eographic regions</w:t>
            </w:r>
            <w:r>
              <w:rPr>
                <w:rFonts w:ascii="Tw Cen MT Condensed" w:hAnsi="Tw Cen MT Condensed"/>
                <w:bCs/>
                <w:sz w:val="20"/>
                <w:szCs w:val="20"/>
              </w:rPr>
              <w:t xml:space="preserve"> (Division/District)</w:t>
            </w:r>
          </w:p>
        </w:tc>
        <w:tc>
          <w:tcPr>
            <w:tcW w:w="0" w:type="auto"/>
            <w:shd w:val="clear" w:color="auto" w:fill="auto"/>
          </w:tcPr>
          <w:p w14:paraId="4F3F3856" w14:textId="77777777" w:rsidR="00221C59" w:rsidRDefault="00221C59" w:rsidP="00221C59">
            <w:pPr>
              <w:jc w:val="center"/>
              <w:rPr>
                <w:bCs/>
                <w:szCs w:val="20"/>
              </w:rPr>
            </w:pPr>
            <w:r>
              <w:rPr>
                <w:bCs/>
                <w:szCs w:val="20"/>
              </w:rPr>
              <w:t>Annual</w:t>
            </w:r>
          </w:p>
        </w:tc>
        <w:tc>
          <w:tcPr>
            <w:tcW w:w="0" w:type="auto"/>
            <w:shd w:val="clear" w:color="auto" w:fill="auto"/>
          </w:tcPr>
          <w:p w14:paraId="47612A4A" w14:textId="77777777" w:rsidR="00221C59" w:rsidRDefault="00221C59" w:rsidP="00221C59">
            <w:pPr>
              <w:pStyle w:val="NoSpacing"/>
            </w:pPr>
            <w:r>
              <w:t>1</w:t>
            </w:r>
            <w:r w:rsidRPr="00013ACB">
              <w:rPr>
                <w:vertAlign w:val="superscript"/>
              </w:rPr>
              <w:t>st</w:t>
            </w:r>
            <w:r>
              <w:t xml:space="preserve"> Round: </w:t>
            </w:r>
          </w:p>
          <w:p w14:paraId="75A02AB4" w14:textId="77777777" w:rsidR="00221C59" w:rsidRDefault="00221C59" w:rsidP="00221C59">
            <w:pPr>
              <w:pStyle w:val="NoSpacing"/>
            </w:pPr>
            <w:r>
              <w:t>2014</w:t>
            </w:r>
          </w:p>
          <w:p w14:paraId="1C9322B8" w14:textId="77777777" w:rsidR="00221C59" w:rsidRDefault="00221C59" w:rsidP="00221C59">
            <w:pPr>
              <w:pStyle w:val="NoSpacing"/>
            </w:pPr>
            <w:r>
              <w:t>2</w:t>
            </w:r>
            <w:r w:rsidRPr="00013ACB">
              <w:rPr>
                <w:vertAlign w:val="superscript"/>
              </w:rPr>
              <w:t>nd</w:t>
            </w:r>
            <w:r>
              <w:t xml:space="preserve"> Round: </w:t>
            </w:r>
          </w:p>
          <w:p w14:paraId="53A7B2E7" w14:textId="77777777" w:rsidR="00221C59" w:rsidRDefault="00221C59" w:rsidP="00221C59">
            <w:pPr>
              <w:pStyle w:val="NoSpacing"/>
            </w:pPr>
            <w:r>
              <w:rPr>
                <w:szCs w:val="22"/>
              </w:rPr>
              <w:t>August</w:t>
            </w:r>
            <w:r w:rsidRPr="00BC6F10">
              <w:rPr>
                <w:szCs w:val="22"/>
              </w:rPr>
              <w:t xml:space="preserve"> 2019</w:t>
            </w:r>
          </w:p>
          <w:p w14:paraId="63871B63" w14:textId="77777777" w:rsidR="00221C59" w:rsidRDefault="00221C59" w:rsidP="00221C59">
            <w:pPr>
              <w:pStyle w:val="NoSpacing"/>
            </w:pPr>
            <w:r>
              <w:t>3</w:t>
            </w:r>
            <w:r w:rsidRPr="00013ACB">
              <w:rPr>
                <w:vertAlign w:val="superscript"/>
              </w:rPr>
              <w:t>rd</w:t>
            </w:r>
            <w:r>
              <w:t xml:space="preserve"> Round: </w:t>
            </w:r>
          </w:p>
          <w:p w14:paraId="51328C24" w14:textId="77777777" w:rsidR="00221C59" w:rsidRDefault="00221C59" w:rsidP="00221C59">
            <w:pPr>
              <w:pStyle w:val="NoSpacing"/>
            </w:pPr>
            <w:r>
              <w:rPr>
                <w:szCs w:val="22"/>
              </w:rPr>
              <w:t>August 2020</w:t>
            </w:r>
          </w:p>
          <w:p w14:paraId="1B371F7E" w14:textId="77777777" w:rsidR="00221C59" w:rsidRDefault="00221C59" w:rsidP="00221C59">
            <w:pPr>
              <w:pStyle w:val="NoSpacing"/>
            </w:pPr>
            <w:r>
              <w:t>4</w:t>
            </w:r>
            <w:r w:rsidRPr="00013ACB">
              <w:rPr>
                <w:vertAlign w:val="superscript"/>
              </w:rPr>
              <w:t>th</w:t>
            </w:r>
            <w:r>
              <w:t xml:space="preserve"> Round: </w:t>
            </w:r>
          </w:p>
          <w:p w14:paraId="2CBFD328" w14:textId="77777777" w:rsidR="00221C59" w:rsidRDefault="00221C59" w:rsidP="00221C59">
            <w:pPr>
              <w:pStyle w:val="NoSpacing"/>
            </w:pPr>
            <w:r>
              <w:rPr>
                <w:szCs w:val="22"/>
              </w:rPr>
              <w:t>August 2021</w:t>
            </w:r>
          </w:p>
          <w:p w14:paraId="561469B7" w14:textId="77777777" w:rsidR="00221C59" w:rsidRDefault="00221C59" w:rsidP="00221C59">
            <w:pPr>
              <w:pStyle w:val="NoSpacing"/>
            </w:pPr>
            <w:r>
              <w:t>5</w:t>
            </w:r>
            <w:r w:rsidRPr="00013ACB">
              <w:rPr>
                <w:vertAlign w:val="superscript"/>
              </w:rPr>
              <w:t>th</w:t>
            </w:r>
            <w:r>
              <w:t xml:space="preserve"> Round: </w:t>
            </w:r>
          </w:p>
          <w:p w14:paraId="6828768E" w14:textId="67455B9E" w:rsidR="00221C59" w:rsidRPr="002175FB" w:rsidRDefault="00221C59" w:rsidP="00221C59">
            <w:pPr>
              <w:jc w:val="center"/>
              <w:rPr>
                <w:bCs/>
                <w:szCs w:val="20"/>
              </w:rPr>
            </w:pPr>
            <w:r>
              <w:rPr>
                <w:szCs w:val="22"/>
              </w:rPr>
              <w:t>August 2022</w:t>
            </w:r>
          </w:p>
        </w:tc>
        <w:tc>
          <w:tcPr>
            <w:tcW w:w="682" w:type="dxa"/>
            <w:shd w:val="clear" w:color="auto" w:fill="auto"/>
          </w:tcPr>
          <w:p w14:paraId="7359270F" w14:textId="77777777" w:rsidR="00221C59" w:rsidRDefault="00221C59" w:rsidP="00221C59">
            <w:pPr>
              <w:jc w:val="both"/>
              <w:rPr>
                <w:bCs/>
                <w:szCs w:val="20"/>
              </w:rPr>
            </w:pPr>
            <w:r>
              <w:rPr>
                <w:bCs/>
                <w:szCs w:val="20"/>
              </w:rPr>
              <w:t>Group 1</w:t>
            </w:r>
          </w:p>
        </w:tc>
        <w:tc>
          <w:tcPr>
            <w:tcW w:w="983" w:type="dxa"/>
            <w:shd w:val="clear" w:color="auto" w:fill="auto"/>
          </w:tcPr>
          <w:p w14:paraId="3E3C65DB" w14:textId="77777777" w:rsidR="00221C59" w:rsidRDefault="00221C59" w:rsidP="00221C59">
            <w:pPr>
              <w:jc w:val="both"/>
              <w:rPr>
                <w:bCs/>
                <w:szCs w:val="20"/>
              </w:rPr>
            </w:pPr>
            <w:r>
              <w:rPr>
                <w:bCs/>
                <w:szCs w:val="20"/>
              </w:rPr>
              <w:t>SVRS report should ensure disaggregation as recommended</w:t>
            </w:r>
          </w:p>
        </w:tc>
      </w:tr>
      <w:tr w:rsidR="0085651F" w14:paraId="6A070A9F" w14:textId="77777777" w:rsidTr="0085651F">
        <w:tc>
          <w:tcPr>
            <w:tcW w:w="0" w:type="auto"/>
            <w:gridSpan w:val="14"/>
            <w:shd w:val="clear" w:color="auto" w:fill="auto"/>
          </w:tcPr>
          <w:p w14:paraId="178525C7" w14:textId="77777777" w:rsidR="0085651F" w:rsidRPr="002175FB" w:rsidRDefault="0085651F" w:rsidP="00221C59">
            <w:pPr>
              <w:ind w:left="970" w:hanging="970"/>
              <w:jc w:val="both"/>
              <w:rPr>
                <w:color w:val="006600"/>
                <w:sz w:val="30"/>
                <w:szCs w:val="30"/>
              </w:rPr>
            </w:pPr>
            <w:r w:rsidRPr="002175FB">
              <w:rPr>
                <w:color w:val="006600"/>
                <w:sz w:val="30"/>
                <w:szCs w:val="30"/>
              </w:rPr>
              <w:t>Target 3.2: By 2030, end preventable deaths of newborns and children under 5 years of age, with all countries aiming to reduce neonatal mortality to at least as low as 12 per 1,000 live births and under-5 mortality to at least as low as 25 per 1,000 live births</w:t>
            </w:r>
          </w:p>
        </w:tc>
      </w:tr>
      <w:tr w:rsidR="00BF3271" w14:paraId="52180756" w14:textId="77777777" w:rsidTr="0085651F">
        <w:tc>
          <w:tcPr>
            <w:tcW w:w="0" w:type="auto"/>
            <w:gridSpan w:val="2"/>
            <w:shd w:val="clear" w:color="auto" w:fill="auto"/>
          </w:tcPr>
          <w:p w14:paraId="2B2F72F8" w14:textId="77777777" w:rsidR="00221C59" w:rsidRPr="00996F1A" w:rsidRDefault="00221C59" w:rsidP="00221C59">
            <w:pPr>
              <w:rPr>
                <w:szCs w:val="20"/>
              </w:rPr>
            </w:pPr>
            <w:r w:rsidRPr="00A94431">
              <w:rPr>
                <w:szCs w:val="20"/>
              </w:rPr>
              <w:t>3.2.1: Under-five mortality rate</w:t>
            </w:r>
          </w:p>
        </w:tc>
        <w:tc>
          <w:tcPr>
            <w:tcW w:w="0" w:type="auto"/>
            <w:shd w:val="clear" w:color="auto" w:fill="auto"/>
          </w:tcPr>
          <w:p w14:paraId="565A5B93" w14:textId="77777777" w:rsidR="00221C59" w:rsidRDefault="00221C59" w:rsidP="00221C59">
            <w:pPr>
              <w:rPr>
                <w:szCs w:val="20"/>
              </w:rPr>
            </w:pPr>
            <w:r w:rsidRPr="00A94431">
              <w:rPr>
                <w:szCs w:val="20"/>
              </w:rPr>
              <w:t>UNICEF</w:t>
            </w:r>
          </w:p>
          <w:p w14:paraId="6377FB2E" w14:textId="77777777" w:rsidR="00221C59" w:rsidRDefault="00221C59" w:rsidP="00221C59">
            <w:pPr>
              <w:rPr>
                <w:szCs w:val="20"/>
              </w:rPr>
            </w:pPr>
          </w:p>
          <w:p w14:paraId="0CEBF951" w14:textId="77777777" w:rsidR="00221C59" w:rsidRPr="00A94431" w:rsidRDefault="00221C59" w:rsidP="00221C59">
            <w:pPr>
              <w:rPr>
                <w:b/>
                <w:bCs/>
                <w:szCs w:val="20"/>
              </w:rPr>
            </w:pPr>
            <w:r w:rsidRPr="00A94431">
              <w:rPr>
                <w:b/>
                <w:bCs/>
                <w:szCs w:val="20"/>
              </w:rPr>
              <w:t>Part</w:t>
            </w:r>
            <w:r w:rsidRPr="00A94431">
              <w:rPr>
                <w:b/>
                <w:bCs/>
                <w:szCs w:val="20"/>
              </w:rPr>
              <w:lastRenderedPageBreak/>
              <w:t>ner Agencies:</w:t>
            </w:r>
          </w:p>
          <w:p w14:paraId="53C85797" w14:textId="77777777" w:rsidR="00221C59" w:rsidRPr="00A94431" w:rsidRDefault="00221C59" w:rsidP="00221C59">
            <w:pPr>
              <w:rPr>
                <w:szCs w:val="20"/>
              </w:rPr>
            </w:pPr>
            <w:r w:rsidRPr="00A94431">
              <w:rPr>
                <w:szCs w:val="20"/>
              </w:rPr>
              <w:t xml:space="preserve">DESA Population Division, </w:t>
            </w:r>
          </w:p>
          <w:p w14:paraId="47D51A6A" w14:textId="77777777" w:rsidR="00221C59" w:rsidRDefault="00221C59" w:rsidP="00221C59">
            <w:pPr>
              <w:rPr>
                <w:szCs w:val="20"/>
              </w:rPr>
            </w:pPr>
            <w:r w:rsidRPr="00A94431">
              <w:rPr>
                <w:szCs w:val="20"/>
              </w:rPr>
              <w:t>World Bank</w:t>
            </w:r>
          </w:p>
        </w:tc>
        <w:tc>
          <w:tcPr>
            <w:tcW w:w="0" w:type="auto"/>
            <w:shd w:val="clear" w:color="auto" w:fill="auto"/>
          </w:tcPr>
          <w:p w14:paraId="55633730" w14:textId="77777777" w:rsidR="00221C59" w:rsidRDefault="00221C59" w:rsidP="00221C59">
            <w:pPr>
              <w:jc w:val="center"/>
              <w:rPr>
                <w:szCs w:val="20"/>
              </w:rPr>
            </w:pPr>
            <w:r>
              <w:rPr>
                <w:szCs w:val="20"/>
              </w:rPr>
              <w:lastRenderedPageBreak/>
              <w:t>Tier I</w:t>
            </w:r>
          </w:p>
        </w:tc>
        <w:tc>
          <w:tcPr>
            <w:tcW w:w="0" w:type="auto"/>
            <w:shd w:val="clear" w:color="auto" w:fill="auto"/>
          </w:tcPr>
          <w:p w14:paraId="5A490EBE" w14:textId="77777777" w:rsidR="00221C59" w:rsidRPr="00A94431" w:rsidRDefault="00221C59" w:rsidP="00221C59">
            <w:pPr>
              <w:jc w:val="both"/>
              <w:rPr>
                <w:b/>
                <w:bCs/>
                <w:color w:val="000000" w:themeColor="text1"/>
                <w:szCs w:val="20"/>
              </w:rPr>
            </w:pPr>
            <w:r w:rsidRPr="00A94431">
              <w:rPr>
                <w:b/>
                <w:bCs/>
                <w:color w:val="000000" w:themeColor="text1"/>
                <w:szCs w:val="20"/>
              </w:rPr>
              <w:t>Definition:</w:t>
            </w:r>
          </w:p>
          <w:p w14:paraId="3FC774DA" w14:textId="77777777" w:rsidR="00221C59" w:rsidRDefault="00221C59" w:rsidP="00221C59">
            <w:pPr>
              <w:jc w:val="both"/>
              <w:rPr>
                <w:color w:val="000000" w:themeColor="text1"/>
                <w:szCs w:val="20"/>
              </w:rPr>
            </w:pPr>
            <w:r w:rsidRPr="00A94431">
              <w:rPr>
                <w:color w:val="000000" w:themeColor="text1"/>
                <w:szCs w:val="20"/>
              </w:rPr>
              <w:t>Under-five mortality is the probability of a child born in a specific year or period dying before reaching</w:t>
            </w:r>
            <w:r>
              <w:rPr>
                <w:color w:val="000000" w:themeColor="text1"/>
                <w:szCs w:val="20"/>
              </w:rPr>
              <w:t xml:space="preserve"> </w:t>
            </w:r>
            <w:r w:rsidRPr="00A94431">
              <w:rPr>
                <w:color w:val="000000" w:themeColor="text1"/>
                <w:szCs w:val="20"/>
              </w:rPr>
              <w:t>the age of 5 years, if subject to age specific mortality rates of that period, expressed per 1000 live births.</w:t>
            </w:r>
          </w:p>
          <w:p w14:paraId="61DAA343" w14:textId="77777777" w:rsidR="00221C59" w:rsidRDefault="00221C59" w:rsidP="00221C59">
            <w:pPr>
              <w:jc w:val="both"/>
              <w:rPr>
                <w:color w:val="000000" w:themeColor="text1"/>
                <w:szCs w:val="20"/>
              </w:rPr>
            </w:pPr>
          </w:p>
          <w:p w14:paraId="1BB639E7" w14:textId="77777777" w:rsidR="00221C59" w:rsidRPr="00A94431" w:rsidRDefault="00221C59" w:rsidP="00221C59">
            <w:pPr>
              <w:jc w:val="both"/>
              <w:rPr>
                <w:b/>
                <w:bCs/>
                <w:color w:val="000000" w:themeColor="text1"/>
                <w:szCs w:val="20"/>
              </w:rPr>
            </w:pPr>
            <w:r w:rsidRPr="00A94431">
              <w:rPr>
                <w:b/>
                <w:bCs/>
                <w:color w:val="000000" w:themeColor="text1"/>
                <w:szCs w:val="20"/>
              </w:rPr>
              <w:t>Concepts:</w:t>
            </w:r>
          </w:p>
          <w:p w14:paraId="38D8105C" w14:textId="77777777" w:rsidR="00221C59" w:rsidRPr="00A94431" w:rsidRDefault="00221C59" w:rsidP="00221C59">
            <w:pPr>
              <w:jc w:val="both"/>
              <w:rPr>
                <w:color w:val="000000" w:themeColor="text1"/>
                <w:szCs w:val="20"/>
              </w:rPr>
            </w:pPr>
            <w:r w:rsidRPr="00A94431">
              <w:rPr>
                <w:color w:val="000000" w:themeColor="text1"/>
                <w:szCs w:val="20"/>
              </w:rPr>
              <w:t>The under-five mortality rate as defined here is, strictly speaking, not a rate (i.e. the number of deaths</w:t>
            </w:r>
            <w:r>
              <w:rPr>
                <w:color w:val="000000" w:themeColor="text1"/>
                <w:szCs w:val="20"/>
              </w:rPr>
              <w:t xml:space="preserve"> </w:t>
            </w:r>
            <w:r w:rsidRPr="00A94431">
              <w:rPr>
                <w:color w:val="000000" w:themeColor="text1"/>
                <w:szCs w:val="20"/>
              </w:rPr>
              <w:t>divided by the number of population at risk during a certain period of time) but a probability of death</w:t>
            </w:r>
            <w:r>
              <w:rPr>
                <w:color w:val="000000" w:themeColor="text1"/>
                <w:szCs w:val="20"/>
              </w:rPr>
              <w:t xml:space="preserve"> </w:t>
            </w:r>
            <w:r w:rsidRPr="00A94431">
              <w:rPr>
                <w:color w:val="000000" w:themeColor="text1"/>
                <w:szCs w:val="20"/>
              </w:rPr>
              <w:t>derived from a life table and expressed as a rate per 1000 live births.</w:t>
            </w:r>
            <w:r w:rsidRPr="00A94431">
              <w:rPr>
                <w:color w:val="000000" w:themeColor="text1"/>
                <w:szCs w:val="20"/>
              </w:rPr>
              <w:cr/>
            </w:r>
          </w:p>
          <w:p w14:paraId="53F87129" w14:textId="77777777" w:rsidR="00221C59" w:rsidRPr="00A94431" w:rsidRDefault="00221C59" w:rsidP="00221C59">
            <w:pPr>
              <w:jc w:val="both"/>
              <w:rPr>
                <w:b/>
                <w:bCs/>
                <w:color w:val="000000" w:themeColor="text1"/>
                <w:szCs w:val="20"/>
              </w:rPr>
            </w:pPr>
            <w:r w:rsidRPr="00A94431">
              <w:rPr>
                <w:b/>
                <w:bCs/>
                <w:color w:val="000000" w:themeColor="text1"/>
                <w:szCs w:val="20"/>
              </w:rPr>
              <w:t>Computation Method:</w:t>
            </w:r>
          </w:p>
          <w:p w14:paraId="7D1A26A1" w14:textId="77777777" w:rsidR="00221C59" w:rsidRPr="00A94431" w:rsidRDefault="00221C59" w:rsidP="00221C59">
            <w:pPr>
              <w:jc w:val="both"/>
              <w:rPr>
                <w:color w:val="000000" w:themeColor="text1"/>
                <w:szCs w:val="20"/>
              </w:rPr>
            </w:pPr>
            <w:r w:rsidRPr="00A94431">
              <w:rPr>
                <w:color w:val="000000" w:themeColor="text1"/>
                <w:szCs w:val="20"/>
              </w:rPr>
              <w:t xml:space="preserve">The UN Inter-agency Group for Child Mortality Estimation (UN IGME) estimates </w:t>
            </w:r>
            <w:proofErr w:type="gramStart"/>
            <w:r w:rsidRPr="00A94431">
              <w:rPr>
                <w:color w:val="000000" w:themeColor="text1"/>
                <w:szCs w:val="20"/>
              </w:rPr>
              <w:t>are</w:t>
            </w:r>
            <w:proofErr w:type="gramEnd"/>
            <w:r w:rsidRPr="00A94431">
              <w:rPr>
                <w:color w:val="000000" w:themeColor="text1"/>
                <w:szCs w:val="20"/>
              </w:rPr>
              <w:t xml:space="preserve"> derived from national</w:t>
            </w:r>
            <w:r>
              <w:rPr>
                <w:color w:val="000000" w:themeColor="text1"/>
                <w:szCs w:val="20"/>
              </w:rPr>
              <w:t xml:space="preserve"> </w:t>
            </w:r>
            <w:r w:rsidRPr="00A94431">
              <w:rPr>
                <w:color w:val="000000" w:themeColor="text1"/>
                <w:szCs w:val="20"/>
              </w:rPr>
              <w:t>data from censuses, surveys or vital registration systems. The UN IGME does not use any covariates to</w:t>
            </w:r>
            <w:r>
              <w:rPr>
                <w:color w:val="000000" w:themeColor="text1"/>
                <w:szCs w:val="20"/>
              </w:rPr>
              <w:t xml:space="preserve"> </w:t>
            </w:r>
            <w:r w:rsidRPr="00A94431">
              <w:rPr>
                <w:color w:val="000000" w:themeColor="text1"/>
                <w:szCs w:val="20"/>
              </w:rPr>
              <w:t>derive its estimates. It only applies a curve fitting method to good-quality empirical data to derive trend</w:t>
            </w:r>
            <w:r>
              <w:rPr>
                <w:color w:val="000000" w:themeColor="text1"/>
                <w:szCs w:val="20"/>
              </w:rPr>
              <w:t xml:space="preserve"> </w:t>
            </w:r>
            <w:r w:rsidRPr="00A94431">
              <w:rPr>
                <w:color w:val="000000" w:themeColor="text1"/>
                <w:szCs w:val="20"/>
              </w:rPr>
              <w:t>estimates after data quality assessment. In most cases, the UN IGME estimates are close to the</w:t>
            </w:r>
            <w:r>
              <w:rPr>
                <w:color w:val="000000" w:themeColor="text1"/>
                <w:szCs w:val="20"/>
              </w:rPr>
              <w:t xml:space="preserve"> </w:t>
            </w:r>
            <w:r w:rsidRPr="00A94431">
              <w:rPr>
                <w:color w:val="000000" w:themeColor="text1"/>
                <w:szCs w:val="20"/>
              </w:rPr>
              <w:t>underlying data. The UN IGME aims to minimize the errors for each estimate, harmonize trends over time</w:t>
            </w:r>
            <w:r>
              <w:rPr>
                <w:color w:val="000000" w:themeColor="text1"/>
                <w:szCs w:val="20"/>
              </w:rPr>
              <w:t xml:space="preserve"> </w:t>
            </w:r>
            <w:r w:rsidRPr="00A94431">
              <w:rPr>
                <w:color w:val="000000" w:themeColor="text1"/>
                <w:szCs w:val="20"/>
              </w:rPr>
              <w:t>and produce up-to-date and properly assessed estimates. The UN IGME applies the Bayesian B-splines</w:t>
            </w:r>
            <w:r>
              <w:rPr>
                <w:color w:val="000000" w:themeColor="text1"/>
                <w:szCs w:val="20"/>
              </w:rPr>
              <w:t xml:space="preserve"> </w:t>
            </w:r>
            <w:r w:rsidRPr="00A94431">
              <w:rPr>
                <w:color w:val="000000" w:themeColor="text1"/>
                <w:szCs w:val="20"/>
              </w:rPr>
              <w:t>bias-reduction model to empirical data to derive trend estimates of under-five mortality for all countries.</w:t>
            </w:r>
          </w:p>
        </w:tc>
        <w:tc>
          <w:tcPr>
            <w:tcW w:w="0" w:type="auto"/>
            <w:shd w:val="clear" w:color="auto" w:fill="auto"/>
          </w:tcPr>
          <w:p w14:paraId="6F48EE8A" w14:textId="77777777" w:rsidR="00221C59" w:rsidRDefault="00221C59" w:rsidP="00221C59">
            <w:pPr>
              <w:jc w:val="center"/>
              <w:rPr>
                <w:bCs/>
                <w:szCs w:val="20"/>
              </w:rPr>
            </w:pPr>
            <w:r>
              <w:rPr>
                <w:bCs/>
                <w:szCs w:val="20"/>
              </w:rPr>
              <w:lastRenderedPageBreak/>
              <w:t xml:space="preserve">Population Census; Sample Survey </w:t>
            </w:r>
            <w:r>
              <w:rPr>
                <w:bCs/>
                <w:szCs w:val="20"/>
              </w:rPr>
              <w:lastRenderedPageBreak/>
              <w:t>(MICS/DHS);</w:t>
            </w:r>
          </w:p>
          <w:p w14:paraId="5BF40E4E" w14:textId="77777777" w:rsidR="00221C59" w:rsidRPr="00996F1A" w:rsidRDefault="00221C59" w:rsidP="00221C59">
            <w:pPr>
              <w:rPr>
                <w:bCs/>
                <w:szCs w:val="20"/>
              </w:rPr>
            </w:pPr>
            <w:r>
              <w:rPr>
                <w:bCs/>
                <w:szCs w:val="20"/>
              </w:rPr>
              <w:t>Civil Registration</w:t>
            </w:r>
          </w:p>
        </w:tc>
        <w:tc>
          <w:tcPr>
            <w:tcW w:w="0" w:type="auto"/>
            <w:shd w:val="clear" w:color="auto" w:fill="auto"/>
          </w:tcPr>
          <w:p w14:paraId="3CD5AF03" w14:textId="77777777" w:rsidR="00221C59" w:rsidRDefault="00221C59" w:rsidP="00221C59">
            <w:pPr>
              <w:jc w:val="center"/>
              <w:rPr>
                <w:bCs/>
                <w:szCs w:val="20"/>
              </w:rPr>
            </w:pPr>
            <w:r>
              <w:rPr>
                <w:bCs/>
                <w:szCs w:val="20"/>
              </w:rPr>
              <w:lastRenderedPageBreak/>
              <w:t>National Statistics Office;</w:t>
            </w:r>
          </w:p>
          <w:p w14:paraId="6CA7D669" w14:textId="77777777" w:rsidR="00221C59" w:rsidRPr="00996F1A" w:rsidRDefault="00221C59" w:rsidP="00221C59">
            <w:pPr>
              <w:jc w:val="center"/>
              <w:rPr>
                <w:bCs/>
                <w:szCs w:val="20"/>
              </w:rPr>
            </w:pPr>
            <w:r>
              <w:rPr>
                <w:bCs/>
                <w:szCs w:val="20"/>
              </w:rPr>
              <w:t xml:space="preserve">Civil </w:t>
            </w:r>
            <w:r>
              <w:rPr>
                <w:bCs/>
                <w:szCs w:val="20"/>
              </w:rPr>
              <w:lastRenderedPageBreak/>
              <w:t>Registration Authority</w:t>
            </w:r>
          </w:p>
        </w:tc>
        <w:tc>
          <w:tcPr>
            <w:tcW w:w="0" w:type="auto"/>
            <w:shd w:val="clear" w:color="auto" w:fill="auto"/>
          </w:tcPr>
          <w:p w14:paraId="32B7A172" w14:textId="1E3F13F6" w:rsidR="00221C59" w:rsidRDefault="00221C59" w:rsidP="00221C59">
            <w:pPr>
              <w:rPr>
                <w:color w:val="000000" w:themeColor="text1"/>
                <w:szCs w:val="20"/>
              </w:rPr>
            </w:pPr>
          </w:p>
          <w:p w14:paraId="49B953E7" w14:textId="77777777" w:rsidR="00221C59" w:rsidRPr="00A94431" w:rsidRDefault="00221C59" w:rsidP="00221C59">
            <w:pPr>
              <w:rPr>
                <w:color w:val="000000" w:themeColor="text1"/>
                <w:szCs w:val="20"/>
              </w:rPr>
            </w:pPr>
            <w:r>
              <w:rPr>
                <w:rFonts w:eastAsia="Times New Roman" w:cs="Times New Roman"/>
                <w:color w:val="000000" w:themeColor="text1"/>
                <w:szCs w:val="20"/>
              </w:rPr>
              <w:t>SVRS/PHC, BBS</w:t>
            </w:r>
          </w:p>
        </w:tc>
        <w:tc>
          <w:tcPr>
            <w:tcW w:w="0" w:type="auto"/>
            <w:shd w:val="clear" w:color="auto" w:fill="auto"/>
          </w:tcPr>
          <w:p w14:paraId="65D49550" w14:textId="74ED7C69" w:rsidR="00221C59" w:rsidRPr="00A94431" w:rsidRDefault="00221C59" w:rsidP="00221C59">
            <w:pPr>
              <w:ind w:left="72" w:hanging="72"/>
              <w:rPr>
                <w:color w:val="000000" w:themeColor="text1"/>
                <w:szCs w:val="20"/>
              </w:rPr>
            </w:pPr>
            <w:r w:rsidRPr="00A94431">
              <w:rPr>
                <w:color w:val="000000" w:themeColor="text1"/>
                <w:szCs w:val="20"/>
              </w:rPr>
              <w:t>SVRS, BBS</w:t>
            </w:r>
          </w:p>
          <w:p w14:paraId="41B26BD7" w14:textId="54AB4F0F" w:rsidR="00221C59" w:rsidRPr="00A94431" w:rsidRDefault="00221C59" w:rsidP="00221C59">
            <w:pPr>
              <w:ind w:left="72" w:hanging="72"/>
              <w:rPr>
                <w:color w:val="000000" w:themeColor="text1"/>
                <w:szCs w:val="20"/>
              </w:rPr>
            </w:pPr>
          </w:p>
        </w:tc>
        <w:tc>
          <w:tcPr>
            <w:tcW w:w="0" w:type="auto"/>
            <w:shd w:val="clear" w:color="auto" w:fill="auto"/>
          </w:tcPr>
          <w:p w14:paraId="74DFF896" w14:textId="7AAD5D82" w:rsidR="00221C59" w:rsidRDefault="00221C59" w:rsidP="00221C59">
            <w:pPr>
              <w:pStyle w:val="ListParagraph"/>
              <w:numPr>
                <w:ilvl w:val="0"/>
                <w:numId w:val="2"/>
              </w:numPr>
              <w:ind w:left="105" w:hanging="105"/>
              <w:jc w:val="both"/>
              <w:rPr>
                <w:rFonts w:ascii="Tw Cen MT Condensed" w:hAnsi="Tw Cen MT Condensed"/>
                <w:bCs/>
                <w:sz w:val="20"/>
                <w:szCs w:val="20"/>
              </w:rPr>
            </w:pPr>
            <w:r w:rsidRPr="00A94431">
              <w:rPr>
                <w:rFonts w:ascii="Tw Cen MT Condensed" w:hAnsi="Tw Cen MT Condensed"/>
                <w:bCs/>
                <w:sz w:val="20"/>
                <w:szCs w:val="20"/>
              </w:rPr>
              <w:t>Sex</w:t>
            </w:r>
            <w:r w:rsidR="00893A83">
              <w:rPr>
                <w:rFonts w:ascii="Tw Cen MT Condensed" w:hAnsi="Tw Cen MT Condensed"/>
                <w:bCs/>
                <w:sz w:val="20"/>
                <w:szCs w:val="20"/>
              </w:rPr>
              <w:t>: male/female</w:t>
            </w:r>
          </w:p>
          <w:p w14:paraId="4F507865" w14:textId="77777777" w:rsidR="00221C59" w:rsidRDefault="00221C59" w:rsidP="00221C59">
            <w:pPr>
              <w:pStyle w:val="ListParagraph"/>
              <w:numPr>
                <w:ilvl w:val="0"/>
                <w:numId w:val="2"/>
              </w:numPr>
              <w:ind w:left="105" w:hanging="105"/>
              <w:jc w:val="both"/>
              <w:rPr>
                <w:rFonts w:ascii="Tw Cen MT Condensed" w:hAnsi="Tw Cen MT Condensed"/>
                <w:bCs/>
                <w:sz w:val="20"/>
                <w:szCs w:val="20"/>
              </w:rPr>
            </w:pPr>
            <w:r>
              <w:rPr>
                <w:rFonts w:ascii="Tw Cen MT Condensed" w:hAnsi="Tw Cen MT Condensed"/>
                <w:bCs/>
                <w:sz w:val="20"/>
                <w:szCs w:val="20"/>
              </w:rPr>
              <w:t>A</w:t>
            </w:r>
            <w:r w:rsidRPr="00A94431">
              <w:rPr>
                <w:rFonts w:ascii="Tw Cen MT Condensed" w:hAnsi="Tw Cen MT Condensed"/>
                <w:bCs/>
                <w:sz w:val="20"/>
                <w:szCs w:val="20"/>
              </w:rPr>
              <w:t>ge (neonatal, infant,</w:t>
            </w:r>
            <w:r>
              <w:rPr>
                <w:rFonts w:ascii="Tw Cen MT Condensed" w:hAnsi="Tw Cen MT Condensed"/>
                <w:bCs/>
                <w:sz w:val="20"/>
                <w:szCs w:val="20"/>
              </w:rPr>
              <w:t xml:space="preserve"> </w:t>
            </w:r>
            <w:r w:rsidRPr="00A94431">
              <w:rPr>
                <w:rFonts w:ascii="Tw Cen MT Condensed" w:hAnsi="Tw Cen MT Condensed"/>
                <w:bCs/>
                <w:sz w:val="20"/>
                <w:szCs w:val="20"/>
              </w:rPr>
              <w:t>child)</w:t>
            </w:r>
          </w:p>
          <w:p w14:paraId="5D2795BA" w14:textId="77777777" w:rsidR="00221C59" w:rsidRDefault="00221C59" w:rsidP="00221C59">
            <w:pPr>
              <w:pStyle w:val="ListParagraph"/>
              <w:numPr>
                <w:ilvl w:val="0"/>
                <w:numId w:val="2"/>
              </w:numPr>
              <w:ind w:left="105" w:hanging="105"/>
              <w:jc w:val="both"/>
              <w:rPr>
                <w:rFonts w:ascii="Tw Cen MT Condensed" w:hAnsi="Tw Cen MT Condensed"/>
                <w:bCs/>
                <w:sz w:val="20"/>
                <w:szCs w:val="20"/>
              </w:rPr>
            </w:pPr>
            <w:r w:rsidRPr="00A94431">
              <w:rPr>
                <w:rFonts w:ascii="Tw Cen MT Condensed" w:hAnsi="Tw Cen MT Condensed"/>
                <w:bCs/>
                <w:sz w:val="20"/>
                <w:szCs w:val="20"/>
              </w:rPr>
              <w:lastRenderedPageBreak/>
              <w:t>Wealth quintile</w:t>
            </w:r>
          </w:p>
          <w:p w14:paraId="52A7F502" w14:textId="77777777" w:rsidR="00221C59" w:rsidRDefault="00221C59" w:rsidP="00221C59">
            <w:pPr>
              <w:pStyle w:val="ListParagraph"/>
              <w:numPr>
                <w:ilvl w:val="0"/>
                <w:numId w:val="2"/>
              </w:numPr>
              <w:ind w:left="105" w:hanging="105"/>
              <w:jc w:val="both"/>
              <w:rPr>
                <w:rFonts w:ascii="Tw Cen MT Condensed" w:hAnsi="Tw Cen MT Condensed"/>
                <w:bCs/>
                <w:sz w:val="20"/>
                <w:szCs w:val="20"/>
              </w:rPr>
            </w:pPr>
            <w:r w:rsidRPr="00A94431">
              <w:rPr>
                <w:rFonts w:ascii="Tw Cen MT Condensed" w:hAnsi="Tw Cen MT Condensed"/>
                <w:bCs/>
                <w:sz w:val="20"/>
                <w:szCs w:val="20"/>
              </w:rPr>
              <w:t>Residence</w:t>
            </w:r>
            <w:r>
              <w:rPr>
                <w:rFonts w:ascii="Tw Cen MT Condensed" w:hAnsi="Tw Cen MT Condensed"/>
                <w:bCs/>
                <w:sz w:val="20"/>
                <w:szCs w:val="20"/>
              </w:rPr>
              <w:t xml:space="preserve"> (rural/urban)</w:t>
            </w:r>
          </w:p>
          <w:p w14:paraId="106F31E9" w14:textId="36E4B216" w:rsidR="00221C59" w:rsidRDefault="00221C59" w:rsidP="00221C59">
            <w:pPr>
              <w:pStyle w:val="ListParagraph"/>
              <w:numPr>
                <w:ilvl w:val="0"/>
                <w:numId w:val="2"/>
              </w:numPr>
              <w:ind w:left="105" w:hanging="105"/>
              <w:jc w:val="both"/>
              <w:rPr>
                <w:rFonts w:ascii="Tw Cen MT Condensed" w:hAnsi="Tw Cen MT Condensed"/>
                <w:bCs/>
                <w:sz w:val="20"/>
                <w:szCs w:val="20"/>
              </w:rPr>
            </w:pPr>
            <w:r w:rsidRPr="00A94431">
              <w:rPr>
                <w:rFonts w:ascii="Tw Cen MT Condensed" w:hAnsi="Tw Cen MT Condensed"/>
                <w:bCs/>
                <w:sz w:val="20"/>
                <w:szCs w:val="20"/>
              </w:rPr>
              <w:t>Mother’s education</w:t>
            </w:r>
            <w:r w:rsidR="00893A83">
              <w:rPr>
                <w:rFonts w:ascii="Tw Cen MT Condensed" w:hAnsi="Tw Cen MT Condensed"/>
                <w:bCs/>
                <w:sz w:val="20"/>
                <w:szCs w:val="20"/>
              </w:rPr>
              <w:t>: illiterate/primary/ higher</w:t>
            </w:r>
          </w:p>
        </w:tc>
        <w:tc>
          <w:tcPr>
            <w:tcW w:w="0" w:type="auto"/>
            <w:shd w:val="clear" w:color="auto" w:fill="auto"/>
          </w:tcPr>
          <w:p w14:paraId="14DA6581" w14:textId="77777777" w:rsidR="00221C59" w:rsidRDefault="00221C59" w:rsidP="00221C59">
            <w:pPr>
              <w:jc w:val="center"/>
              <w:rPr>
                <w:bCs/>
                <w:szCs w:val="20"/>
              </w:rPr>
            </w:pPr>
            <w:r>
              <w:rPr>
                <w:bCs/>
                <w:szCs w:val="20"/>
              </w:rPr>
              <w:lastRenderedPageBreak/>
              <w:t>Annual</w:t>
            </w:r>
          </w:p>
        </w:tc>
        <w:tc>
          <w:tcPr>
            <w:tcW w:w="0" w:type="auto"/>
            <w:shd w:val="clear" w:color="auto" w:fill="auto"/>
          </w:tcPr>
          <w:p w14:paraId="1974BFA3" w14:textId="77777777" w:rsidR="00221C59" w:rsidRDefault="00221C59" w:rsidP="00221C59">
            <w:pPr>
              <w:pStyle w:val="NoSpacing"/>
            </w:pPr>
            <w:r>
              <w:t>1</w:t>
            </w:r>
            <w:r w:rsidRPr="00013ACB">
              <w:rPr>
                <w:vertAlign w:val="superscript"/>
              </w:rPr>
              <w:t>st</w:t>
            </w:r>
            <w:r>
              <w:t xml:space="preserve"> Round: </w:t>
            </w:r>
          </w:p>
          <w:p w14:paraId="2EE8856A" w14:textId="77777777" w:rsidR="00221C59" w:rsidRDefault="00221C59" w:rsidP="00221C59">
            <w:pPr>
              <w:pStyle w:val="NoSpacing"/>
            </w:pPr>
            <w:r>
              <w:t>2015</w:t>
            </w:r>
          </w:p>
          <w:p w14:paraId="29530C00" w14:textId="77777777" w:rsidR="00221C59" w:rsidRDefault="00221C59" w:rsidP="00221C59">
            <w:pPr>
              <w:pStyle w:val="NoSpacing"/>
            </w:pPr>
            <w:r>
              <w:t>2</w:t>
            </w:r>
            <w:r w:rsidRPr="00013ACB">
              <w:rPr>
                <w:vertAlign w:val="superscript"/>
              </w:rPr>
              <w:t>nd</w:t>
            </w:r>
            <w:r>
              <w:t xml:space="preserve"> </w:t>
            </w:r>
            <w:r>
              <w:lastRenderedPageBreak/>
              <w:t xml:space="preserve">Round: </w:t>
            </w:r>
          </w:p>
          <w:p w14:paraId="72002354" w14:textId="77777777" w:rsidR="00221C59" w:rsidRDefault="00221C59" w:rsidP="00221C59">
            <w:pPr>
              <w:pStyle w:val="NoSpacing"/>
            </w:pPr>
            <w:r w:rsidRPr="00BC6F10">
              <w:rPr>
                <w:szCs w:val="22"/>
              </w:rPr>
              <w:t>July 2019</w:t>
            </w:r>
          </w:p>
          <w:p w14:paraId="0A584AB9" w14:textId="77777777" w:rsidR="00221C59" w:rsidRDefault="00221C59" w:rsidP="00221C59">
            <w:pPr>
              <w:pStyle w:val="NoSpacing"/>
            </w:pPr>
            <w:r>
              <w:t>3</w:t>
            </w:r>
            <w:r w:rsidRPr="00013ACB">
              <w:rPr>
                <w:vertAlign w:val="superscript"/>
              </w:rPr>
              <w:t>rd</w:t>
            </w:r>
            <w:r>
              <w:t xml:space="preserve"> Round: </w:t>
            </w:r>
          </w:p>
          <w:p w14:paraId="783762C3" w14:textId="77777777" w:rsidR="00221C59" w:rsidRDefault="00221C59" w:rsidP="00221C59">
            <w:pPr>
              <w:pStyle w:val="NoSpacing"/>
            </w:pPr>
            <w:r>
              <w:rPr>
                <w:szCs w:val="22"/>
              </w:rPr>
              <w:t>July 2020</w:t>
            </w:r>
          </w:p>
          <w:p w14:paraId="7FD4BE95" w14:textId="77777777" w:rsidR="00221C59" w:rsidRDefault="00221C59" w:rsidP="00221C59">
            <w:pPr>
              <w:pStyle w:val="NoSpacing"/>
            </w:pPr>
            <w:r>
              <w:t>4</w:t>
            </w:r>
            <w:r w:rsidRPr="00013ACB">
              <w:rPr>
                <w:vertAlign w:val="superscript"/>
              </w:rPr>
              <w:t>th</w:t>
            </w:r>
            <w:r>
              <w:t xml:space="preserve"> Round: </w:t>
            </w:r>
          </w:p>
          <w:p w14:paraId="1FA06220" w14:textId="77777777" w:rsidR="00221C59" w:rsidRDefault="00221C59" w:rsidP="00221C59">
            <w:pPr>
              <w:pStyle w:val="NoSpacing"/>
            </w:pPr>
            <w:r>
              <w:rPr>
                <w:szCs w:val="22"/>
              </w:rPr>
              <w:t>July 2021</w:t>
            </w:r>
          </w:p>
          <w:p w14:paraId="66E1332C" w14:textId="77777777" w:rsidR="00221C59" w:rsidRDefault="00221C59" w:rsidP="00221C59">
            <w:pPr>
              <w:pStyle w:val="NoSpacing"/>
            </w:pPr>
            <w:r>
              <w:t>5</w:t>
            </w:r>
            <w:r w:rsidRPr="00013ACB">
              <w:rPr>
                <w:vertAlign w:val="superscript"/>
              </w:rPr>
              <w:t>th</w:t>
            </w:r>
            <w:r>
              <w:t xml:space="preserve"> Round: </w:t>
            </w:r>
          </w:p>
          <w:p w14:paraId="68751F1C" w14:textId="11B0C979" w:rsidR="00221C59" w:rsidRPr="002175FB" w:rsidRDefault="00221C59" w:rsidP="00221C59">
            <w:pPr>
              <w:jc w:val="center"/>
              <w:rPr>
                <w:bCs/>
                <w:szCs w:val="20"/>
              </w:rPr>
            </w:pPr>
            <w:r>
              <w:rPr>
                <w:szCs w:val="22"/>
              </w:rPr>
              <w:t>July 2022</w:t>
            </w:r>
          </w:p>
        </w:tc>
        <w:tc>
          <w:tcPr>
            <w:tcW w:w="682" w:type="dxa"/>
            <w:shd w:val="clear" w:color="auto" w:fill="auto"/>
          </w:tcPr>
          <w:p w14:paraId="7037663C" w14:textId="77777777" w:rsidR="00221C59" w:rsidRDefault="00221C59" w:rsidP="00221C59">
            <w:pPr>
              <w:jc w:val="both"/>
              <w:rPr>
                <w:bCs/>
                <w:szCs w:val="20"/>
              </w:rPr>
            </w:pPr>
            <w:r>
              <w:rPr>
                <w:bCs/>
                <w:szCs w:val="20"/>
              </w:rPr>
              <w:lastRenderedPageBreak/>
              <w:t>Group 1</w:t>
            </w:r>
          </w:p>
        </w:tc>
        <w:tc>
          <w:tcPr>
            <w:tcW w:w="983" w:type="dxa"/>
            <w:shd w:val="clear" w:color="auto" w:fill="auto"/>
          </w:tcPr>
          <w:p w14:paraId="185A0FAC" w14:textId="77777777" w:rsidR="00221C59" w:rsidRDefault="00221C59" w:rsidP="00221C59">
            <w:pPr>
              <w:jc w:val="both"/>
              <w:rPr>
                <w:bCs/>
                <w:szCs w:val="20"/>
              </w:rPr>
            </w:pPr>
          </w:p>
        </w:tc>
      </w:tr>
      <w:tr w:rsidR="00BF3271" w14:paraId="2AD258B7" w14:textId="77777777" w:rsidTr="0085651F">
        <w:tc>
          <w:tcPr>
            <w:tcW w:w="0" w:type="auto"/>
            <w:gridSpan w:val="2"/>
            <w:shd w:val="clear" w:color="auto" w:fill="auto"/>
          </w:tcPr>
          <w:p w14:paraId="7EDE3D83" w14:textId="77777777" w:rsidR="00221C59" w:rsidRPr="00A94431" w:rsidRDefault="00221C59" w:rsidP="00221C59">
            <w:pPr>
              <w:rPr>
                <w:szCs w:val="20"/>
              </w:rPr>
            </w:pPr>
            <w:r w:rsidRPr="00A94431">
              <w:rPr>
                <w:szCs w:val="20"/>
              </w:rPr>
              <w:lastRenderedPageBreak/>
              <w:t>3.2.2 Neonatal mortality rate</w:t>
            </w:r>
          </w:p>
        </w:tc>
        <w:tc>
          <w:tcPr>
            <w:tcW w:w="0" w:type="auto"/>
            <w:shd w:val="clear" w:color="auto" w:fill="auto"/>
          </w:tcPr>
          <w:p w14:paraId="2EEAD189" w14:textId="77777777" w:rsidR="00221C59" w:rsidRDefault="00221C59" w:rsidP="00221C59">
            <w:pPr>
              <w:rPr>
                <w:szCs w:val="20"/>
              </w:rPr>
            </w:pPr>
            <w:r w:rsidRPr="00A94431">
              <w:rPr>
                <w:szCs w:val="20"/>
              </w:rPr>
              <w:t>UNICEF</w:t>
            </w:r>
          </w:p>
          <w:p w14:paraId="017553DC" w14:textId="77777777" w:rsidR="00221C59" w:rsidRDefault="00221C59" w:rsidP="00221C59">
            <w:pPr>
              <w:rPr>
                <w:szCs w:val="20"/>
              </w:rPr>
            </w:pPr>
          </w:p>
          <w:p w14:paraId="0D1EBF4B" w14:textId="77777777" w:rsidR="00221C59" w:rsidRPr="00A94431" w:rsidRDefault="00221C59" w:rsidP="00221C59">
            <w:pPr>
              <w:rPr>
                <w:b/>
                <w:bCs/>
                <w:szCs w:val="20"/>
              </w:rPr>
            </w:pPr>
            <w:r w:rsidRPr="00A94431">
              <w:rPr>
                <w:b/>
                <w:bCs/>
                <w:szCs w:val="20"/>
              </w:rPr>
              <w:t>Partner Agencies:</w:t>
            </w:r>
          </w:p>
          <w:p w14:paraId="6F9D65B4" w14:textId="77777777" w:rsidR="00221C59" w:rsidRPr="00A94431" w:rsidRDefault="00221C59" w:rsidP="00221C59">
            <w:pPr>
              <w:rPr>
                <w:szCs w:val="20"/>
              </w:rPr>
            </w:pPr>
            <w:r w:rsidRPr="00A94431">
              <w:rPr>
                <w:szCs w:val="20"/>
              </w:rPr>
              <w:t xml:space="preserve">DESA Population Division, </w:t>
            </w:r>
          </w:p>
          <w:p w14:paraId="04539E59" w14:textId="77777777" w:rsidR="00221C59" w:rsidRDefault="00221C59" w:rsidP="00221C59">
            <w:pPr>
              <w:rPr>
                <w:szCs w:val="20"/>
              </w:rPr>
            </w:pPr>
            <w:r w:rsidRPr="00A94431">
              <w:rPr>
                <w:szCs w:val="20"/>
              </w:rPr>
              <w:t>World Bank</w:t>
            </w:r>
          </w:p>
        </w:tc>
        <w:tc>
          <w:tcPr>
            <w:tcW w:w="0" w:type="auto"/>
            <w:shd w:val="clear" w:color="auto" w:fill="auto"/>
          </w:tcPr>
          <w:p w14:paraId="16EE6013" w14:textId="77777777" w:rsidR="00221C59" w:rsidRDefault="00221C59" w:rsidP="00221C59">
            <w:pPr>
              <w:jc w:val="center"/>
              <w:rPr>
                <w:szCs w:val="20"/>
              </w:rPr>
            </w:pPr>
            <w:r>
              <w:rPr>
                <w:szCs w:val="20"/>
              </w:rPr>
              <w:t>Tier I</w:t>
            </w:r>
          </w:p>
        </w:tc>
        <w:tc>
          <w:tcPr>
            <w:tcW w:w="0" w:type="auto"/>
            <w:shd w:val="clear" w:color="auto" w:fill="auto"/>
          </w:tcPr>
          <w:p w14:paraId="51E88507" w14:textId="77777777" w:rsidR="00221C59" w:rsidRPr="00A94431" w:rsidRDefault="00221C59" w:rsidP="00221C59">
            <w:pPr>
              <w:jc w:val="both"/>
              <w:rPr>
                <w:b/>
                <w:bCs/>
                <w:color w:val="000000" w:themeColor="text1"/>
                <w:szCs w:val="20"/>
              </w:rPr>
            </w:pPr>
            <w:r w:rsidRPr="00A94431">
              <w:rPr>
                <w:b/>
                <w:bCs/>
                <w:color w:val="000000" w:themeColor="text1"/>
                <w:szCs w:val="20"/>
              </w:rPr>
              <w:t>Definition:</w:t>
            </w:r>
          </w:p>
          <w:p w14:paraId="60444C5C" w14:textId="77777777" w:rsidR="00221C59" w:rsidRPr="00A94431" w:rsidRDefault="00221C59" w:rsidP="00221C59">
            <w:pPr>
              <w:jc w:val="both"/>
              <w:rPr>
                <w:color w:val="000000" w:themeColor="text1"/>
                <w:szCs w:val="20"/>
              </w:rPr>
            </w:pPr>
            <w:r w:rsidRPr="00A94431">
              <w:rPr>
                <w:color w:val="000000" w:themeColor="text1"/>
                <w:szCs w:val="20"/>
              </w:rPr>
              <w:t>The neonatal mortality rate is the probability that a child born in a specific year or period will die during the first 28 completed days of life if subject to age-specific mortality rates of that period, expressed per 1000 live births.</w:t>
            </w:r>
          </w:p>
          <w:p w14:paraId="37325810" w14:textId="77777777" w:rsidR="00221C59" w:rsidRPr="00A94431" w:rsidRDefault="00221C59" w:rsidP="00221C59">
            <w:pPr>
              <w:jc w:val="both"/>
              <w:rPr>
                <w:color w:val="000000" w:themeColor="text1"/>
                <w:szCs w:val="20"/>
              </w:rPr>
            </w:pPr>
          </w:p>
          <w:p w14:paraId="21693435" w14:textId="77777777" w:rsidR="00221C59" w:rsidRDefault="00221C59" w:rsidP="00221C59">
            <w:pPr>
              <w:jc w:val="both"/>
              <w:rPr>
                <w:color w:val="000000" w:themeColor="text1"/>
                <w:szCs w:val="20"/>
              </w:rPr>
            </w:pPr>
            <w:r w:rsidRPr="00A94431">
              <w:rPr>
                <w:color w:val="000000" w:themeColor="text1"/>
                <w:szCs w:val="20"/>
              </w:rPr>
              <w:t>Neonatal deaths (deaths among live births during the first 28 completed days of life) may be subdivided into early neonatal deaths, occurring during the first 7 days of life, and late neonatal deaths, occurring after the 7th day but before the 28th completed day of life.</w:t>
            </w:r>
          </w:p>
          <w:p w14:paraId="5C04994A" w14:textId="77777777" w:rsidR="00221C59" w:rsidRPr="000C4849" w:rsidRDefault="00221C59" w:rsidP="00221C59">
            <w:pPr>
              <w:jc w:val="both"/>
              <w:rPr>
                <w:b/>
                <w:color w:val="000000" w:themeColor="text1"/>
                <w:szCs w:val="20"/>
              </w:rPr>
            </w:pPr>
            <w:r w:rsidRPr="000C4849">
              <w:rPr>
                <w:b/>
                <w:color w:val="000000" w:themeColor="text1"/>
                <w:szCs w:val="20"/>
              </w:rPr>
              <w:t>Rationale:</w:t>
            </w:r>
          </w:p>
          <w:p w14:paraId="37798306" w14:textId="77777777" w:rsidR="00221C59" w:rsidRPr="00E6692E" w:rsidRDefault="00221C59" w:rsidP="00221C59">
            <w:pPr>
              <w:jc w:val="both"/>
              <w:rPr>
                <w:color w:val="000000" w:themeColor="text1"/>
                <w:szCs w:val="20"/>
              </w:rPr>
            </w:pPr>
          </w:p>
          <w:p w14:paraId="4BA46089" w14:textId="77777777" w:rsidR="00221C59" w:rsidRDefault="00221C59" w:rsidP="00221C59">
            <w:pPr>
              <w:jc w:val="both"/>
              <w:rPr>
                <w:color w:val="000000" w:themeColor="text1"/>
                <w:szCs w:val="20"/>
              </w:rPr>
            </w:pPr>
            <w:r w:rsidRPr="00E6692E">
              <w:rPr>
                <w:color w:val="000000" w:themeColor="text1"/>
                <w:szCs w:val="20"/>
              </w:rPr>
              <w:t>Mortality rates among young children are a key output indicator for child health and well-being, and, more broadly, for social and economic development. It is a closely watched public health indicator because it reflects the access of children and communities to basic health interventions such as vaccination, medical treatment of infectious diseases and adequate nutrition.</w:t>
            </w:r>
          </w:p>
          <w:p w14:paraId="7C183C0F" w14:textId="77777777" w:rsidR="00221C59" w:rsidRDefault="00221C59" w:rsidP="00221C59">
            <w:pPr>
              <w:jc w:val="both"/>
              <w:rPr>
                <w:b/>
                <w:bCs/>
                <w:color w:val="000000" w:themeColor="text1"/>
                <w:szCs w:val="20"/>
              </w:rPr>
            </w:pPr>
          </w:p>
          <w:p w14:paraId="48C518EA" w14:textId="77777777" w:rsidR="00221C59" w:rsidRPr="00A94431" w:rsidRDefault="00221C59" w:rsidP="00221C59">
            <w:pPr>
              <w:jc w:val="both"/>
              <w:rPr>
                <w:b/>
                <w:bCs/>
                <w:color w:val="000000" w:themeColor="text1"/>
                <w:szCs w:val="20"/>
              </w:rPr>
            </w:pPr>
            <w:r w:rsidRPr="00A94431">
              <w:rPr>
                <w:b/>
                <w:bCs/>
                <w:color w:val="000000" w:themeColor="text1"/>
                <w:szCs w:val="20"/>
              </w:rPr>
              <w:t>Computation Method:</w:t>
            </w:r>
          </w:p>
          <w:p w14:paraId="77A47F4E" w14:textId="77777777" w:rsidR="005962A6" w:rsidRPr="005962A6" w:rsidRDefault="005962A6" w:rsidP="005962A6">
            <w:pPr>
              <w:jc w:val="both"/>
              <w:rPr>
                <w:color w:val="000000" w:themeColor="text1"/>
                <w:szCs w:val="20"/>
              </w:rPr>
            </w:pPr>
            <w:r w:rsidRPr="005962A6">
              <w:rPr>
                <w:color w:val="000000" w:themeColor="text1"/>
                <w:szCs w:val="20"/>
              </w:rPr>
              <w:t xml:space="preserve">The UN Inter-agency Group for Child Mortality Estimation (UN IGME) estimates </w:t>
            </w:r>
            <w:proofErr w:type="gramStart"/>
            <w:r w:rsidRPr="005962A6">
              <w:rPr>
                <w:color w:val="000000" w:themeColor="text1"/>
                <w:szCs w:val="20"/>
              </w:rPr>
              <w:t>are</w:t>
            </w:r>
            <w:proofErr w:type="gramEnd"/>
            <w:r w:rsidRPr="005962A6">
              <w:rPr>
                <w:color w:val="000000" w:themeColor="text1"/>
                <w:szCs w:val="20"/>
              </w:rPr>
              <w:t xml:space="preserve"> derived from nationally representative data from censuses, surveys or vital registration systems. The UN IGME does not use any covariates to derive its </w:t>
            </w:r>
            <w:r w:rsidRPr="005962A6">
              <w:rPr>
                <w:color w:val="000000" w:themeColor="text1"/>
                <w:szCs w:val="20"/>
              </w:rPr>
              <w:lastRenderedPageBreak/>
              <w:t xml:space="preserve">estimates. It only applies a curve fitting method to good-quality empirical data to derive trend estimates after data quality assessment. In most cases, the UN IGME estimates are close to the underlying data. The UN IGME aims to minimize the errors for each estimate, harmonize trends over time and produce up-to-date and properly assessed estimates. The UN IGME produces neonatal mortality rate estimates with a Bayesian spline regression model which models the ratio of neonatal mortality rate / (under-five mortality rate - neonatal mortality rate). Estimates of NMR are obtained by recombining the estimates of the ratio with the UN IGME-estimated under-five mortality rate. See the references for details. </w:t>
            </w:r>
          </w:p>
          <w:p w14:paraId="7CB4CCB7" w14:textId="77777777" w:rsidR="005962A6" w:rsidRPr="005962A6" w:rsidRDefault="005962A6" w:rsidP="005962A6">
            <w:pPr>
              <w:jc w:val="both"/>
              <w:rPr>
                <w:color w:val="000000" w:themeColor="text1"/>
                <w:szCs w:val="20"/>
              </w:rPr>
            </w:pPr>
          </w:p>
          <w:p w14:paraId="3F1E9293" w14:textId="77777777" w:rsidR="005962A6" w:rsidRPr="005962A6" w:rsidRDefault="005962A6" w:rsidP="005962A6">
            <w:pPr>
              <w:jc w:val="both"/>
              <w:rPr>
                <w:color w:val="000000" w:themeColor="text1"/>
                <w:szCs w:val="20"/>
              </w:rPr>
            </w:pPr>
            <w:r w:rsidRPr="005962A6">
              <w:rPr>
                <w:color w:val="000000" w:themeColor="text1"/>
                <w:szCs w:val="20"/>
              </w:rPr>
              <w:t>For the underlying data mentioned above, the most frequently used methods are as follows:</w:t>
            </w:r>
          </w:p>
          <w:p w14:paraId="12E9E241" w14:textId="77777777" w:rsidR="005962A6" w:rsidRPr="005962A6" w:rsidRDefault="005962A6" w:rsidP="005962A6">
            <w:pPr>
              <w:jc w:val="both"/>
              <w:rPr>
                <w:color w:val="000000" w:themeColor="text1"/>
                <w:szCs w:val="20"/>
              </w:rPr>
            </w:pPr>
          </w:p>
          <w:p w14:paraId="31998AB7" w14:textId="77777777" w:rsidR="005962A6" w:rsidRPr="005962A6" w:rsidRDefault="005962A6" w:rsidP="005962A6">
            <w:pPr>
              <w:jc w:val="both"/>
              <w:rPr>
                <w:color w:val="000000" w:themeColor="text1"/>
                <w:szCs w:val="20"/>
              </w:rPr>
            </w:pPr>
            <w:r w:rsidRPr="005962A6">
              <w:rPr>
                <w:color w:val="000000" w:themeColor="text1"/>
                <w:szCs w:val="20"/>
              </w:rPr>
              <w:t>Civil registration: Number of children who died during the first 28 days of life and the number of births used to calculate neonatal mortality rates.</w:t>
            </w:r>
          </w:p>
          <w:p w14:paraId="6A6B63AC" w14:textId="77777777" w:rsidR="005962A6" w:rsidRPr="005962A6" w:rsidRDefault="005962A6" w:rsidP="005962A6">
            <w:pPr>
              <w:jc w:val="both"/>
              <w:rPr>
                <w:color w:val="000000" w:themeColor="text1"/>
                <w:szCs w:val="20"/>
              </w:rPr>
            </w:pPr>
          </w:p>
          <w:p w14:paraId="34DBAB7B" w14:textId="77777777" w:rsidR="005962A6" w:rsidRPr="005962A6" w:rsidRDefault="005962A6" w:rsidP="005962A6">
            <w:pPr>
              <w:jc w:val="both"/>
              <w:rPr>
                <w:color w:val="000000" w:themeColor="text1"/>
                <w:szCs w:val="20"/>
              </w:rPr>
            </w:pPr>
            <w:r w:rsidRPr="005962A6">
              <w:rPr>
                <w:color w:val="000000" w:themeColor="text1"/>
                <w:szCs w:val="20"/>
              </w:rPr>
              <w:t>Censuses and surveys: Censuses and surveys often include questions on household deaths in the last 12 months, which can be used to calculate mortality estimates.</w:t>
            </w:r>
          </w:p>
          <w:p w14:paraId="6A4E5A09" w14:textId="77777777" w:rsidR="005962A6" w:rsidRPr="005962A6" w:rsidRDefault="005962A6" w:rsidP="005962A6">
            <w:pPr>
              <w:jc w:val="both"/>
              <w:rPr>
                <w:color w:val="000000" w:themeColor="text1"/>
                <w:szCs w:val="20"/>
              </w:rPr>
            </w:pPr>
          </w:p>
          <w:p w14:paraId="256D34A5" w14:textId="5AE0E8A1" w:rsidR="00221C59" w:rsidRPr="00A94431" w:rsidRDefault="005962A6" w:rsidP="005962A6">
            <w:pPr>
              <w:jc w:val="both"/>
              <w:rPr>
                <w:b/>
                <w:bCs/>
                <w:color w:val="000000" w:themeColor="text1"/>
                <w:szCs w:val="20"/>
              </w:rPr>
            </w:pPr>
            <w:r w:rsidRPr="005962A6">
              <w:rPr>
                <w:color w:val="000000" w:themeColor="text1"/>
                <w:szCs w:val="20"/>
              </w:rPr>
              <w:t>Surveys: A direct method is used based on a full birth history, a series of detailed questions on each child a woman has given birth to during her lifetime. Neonatal, post-neonatal, infant, child and under-five mortality estimates can be derived from the full birth history module.</w:t>
            </w:r>
          </w:p>
        </w:tc>
        <w:tc>
          <w:tcPr>
            <w:tcW w:w="0" w:type="auto"/>
            <w:shd w:val="clear" w:color="auto" w:fill="auto"/>
          </w:tcPr>
          <w:p w14:paraId="698961C0" w14:textId="77777777" w:rsidR="00221C59" w:rsidRDefault="00221C59" w:rsidP="00221C59">
            <w:pPr>
              <w:jc w:val="center"/>
              <w:rPr>
                <w:bCs/>
                <w:szCs w:val="20"/>
              </w:rPr>
            </w:pPr>
            <w:r>
              <w:rPr>
                <w:bCs/>
                <w:szCs w:val="20"/>
              </w:rPr>
              <w:lastRenderedPageBreak/>
              <w:t>Population Census; Sample Survey (MICS/DHS);</w:t>
            </w:r>
          </w:p>
          <w:p w14:paraId="5677EB59" w14:textId="77777777" w:rsidR="00221C59" w:rsidRPr="00996F1A" w:rsidRDefault="00221C59" w:rsidP="00221C59">
            <w:pPr>
              <w:rPr>
                <w:bCs/>
                <w:szCs w:val="20"/>
              </w:rPr>
            </w:pPr>
            <w:r>
              <w:rPr>
                <w:bCs/>
                <w:szCs w:val="20"/>
              </w:rPr>
              <w:t>Civil Registration</w:t>
            </w:r>
          </w:p>
        </w:tc>
        <w:tc>
          <w:tcPr>
            <w:tcW w:w="0" w:type="auto"/>
            <w:shd w:val="clear" w:color="auto" w:fill="auto"/>
          </w:tcPr>
          <w:p w14:paraId="518CA50D" w14:textId="77777777" w:rsidR="00221C59" w:rsidRDefault="00221C59" w:rsidP="00221C59">
            <w:pPr>
              <w:jc w:val="center"/>
              <w:rPr>
                <w:bCs/>
                <w:szCs w:val="20"/>
              </w:rPr>
            </w:pPr>
            <w:r>
              <w:rPr>
                <w:bCs/>
                <w:szCs w:val="20"/>
              </w:rPr>
              <w:t>National Statistics Office;</w:t>
            </w:r>
          </w:p>
          <w:p w14:paraId="1BA4B6E5" w14:textId="77777777" w:rsidR="00221C59" w:rsidRPr="00996F1A" w:rsidRDefault="00221C59" w:rsidP="00221C59">
            <w:pPr>
              <w:jc w:val="center"/>
              <w:rPr>
                <w:bCs/>
                <w:szCs w:val="20"/>
              </w:rPr>
            </w:pPr>
            <w:r>
              <w:rPr>
                <w:bCs/>
                <w:szCs w:val="20"/>
              </w:rPr>
              <w:t>Civil Registration Authority</w:t>
            </w:r>
          </w:p>
        </w:tc>
        <w:tc>
          <w:tcPr>
            <w:tcW w:w="0" w:type="auto"/>
            <w:shd w:val="clear" w:color="auto" w:fill="auto"/>
          </w:tcPr>
          <w:p w14:paraId="1215E2AC" w14:textId="68892157" w:rsidR="00221C59" w:rsidRDefault="00221C59" w:rsidP="00221C59">
            <w:pPr>
              <w:rPr>
                <w:color w:val="000000" w:themeColor="text1"/>
                <w:szCs w:val="20"/>
              </w:rPr>
            </w:pPr>
          </w:p>
          <w:p w14:paraId="6CA58D5D" w14:textId="77777777" w:rsidR="00221C59" w:rsidRPr="00A94431" w:rsidRDefault="00221C59" w:rsidP="00221C59">
            <w:pPr>
              <w:rPr>
                <w:color w:val="000000" w:themeColor="text1"/>
                <w:szCs w:val="20"/>
              </w:rPr>
            </w:pPr>
            <w:r>
              <w:rPr>
                <w:rFonts w:eastAsia="Times New Roman" w:cs="Times New Roman"/>
                <w:color w:val="000000" w:themeColor="text1"/>
                <w:szCs w:val="20"/>
              </w:rPr>
              <w:t>SVRS/PHC</w:t>
            </w:r>
          </w:p>
        </w:tc>
        <w:tc>
          <w:tcPr>
            <w:tcW w:w="0" w:type="auto"/>
            <w:shd w:val="clear" w:color="auto" w:fill="auto"/>
          </w:tcPr>
          <w:p w14:paraId="262D216C" w14:textId="6FD0E516" w:rsidR="00221C59" w:rsidRPr="00A94431" w:rsidRDefault="00221C59" w:rsidP="00221C59">
            <w:pPr>
              <w:ind w:left="72" w:hanging="72"/>
              <w:rPr>
                <w:color w:val="000000" w:themeColor="text1"/>
                <w:szCs w:val="20"/>
              </w:rPr>
            </w:pPr>
            <w:r w:rsidRPr="00A94431">
              <w:rPr>
                <w:color w:val="000000" w:themeColor="text1"/>
                <w:szCs w:val="20"/>
              </w:rPr>
              <w:t>SVRS, BBS</w:t>
            </w:r>
          </w:p>
          <w:p w14:paraId="2C67F0CC" w14:textId="3BF17F11" w:rsidR="00221C59" w:rsidRPr="00A94431" w:rsidRDefault="00221C59" w:rsidP="00221C59">
            <w:pPr>
              <w:ind w:left="72" w:hanging="72"/>
              <w:rPr>
                <w:color w:val="000000" w:themeColor="text1"/>
                <w:szCs w:val="20"/>
              </w:rPr>
            </w:pPr>
          </w:p>
        </w:tc>
        <w:tc>
          <w:tcPr>
            <w:tcW w:w="0" w:type="auto"/>
            <w:shd w:val="clear" w:color="auto" w:fill="auto"/>
          </w:tcPr>
          <w:p w14:paraId="2A8D7D4E" w14:textId="78D69A05" w:rsidR="00221C59" w:rsidRDefault="00221C59" w:rsidP="00221C59">
            <w:pPr>
              <w:pStyle w:val="ListParagraph"/>
              <w:numPr>
                <w:ilvl w:val="0"/>
                <w:numId w:val="2"/>
              </w:numPr>
              <w:ind w:left="105" w:hanging="105"/>
              <w:jc w:val="both"/>
              <w:rPr>
                <w:rFonts w:ascii="Tw Cen MT Condensed" w:hAnsi="Tw Cen MT Condensed"/>
                <w:bCs/>
                <w:sz w:val="20"/>
                <w:szCs w:val="20"/>
              </w:rPr>
            </w:pPr>
            <w:r w:rsidRPr="00A94431">
              <w:rPr>
                <w:rFonts w:ascii="Tw Cen MT Condensed" w:hAnsi="Tw Cen MT Condensed"/>
                <w:bCs/>
                <w:sz w:val="20"/>
                <w:szCs w:val="20"/>
              </w:rPr>
              <w:t>Sex</w:t>
            </w:r>
            <w:r w:rsidR="00893A83">
              <w:rPr>
                <w:rFonts w:ascii="Tw Cen MT Condensed" w:hAnsi="Tw Cen MT Condensed"/>
                <w:bCs/>
                <w:sz w:val="20"/>
                <w:szCs w:val="20"/>
              </w:rPr>
              <w:t xml:space="preserve"> male/female</w:t>
            </w:r>
          </w:p>
          <w:p w14:paraId="110CDFD9" w14:textId="77777777" w:rsidR="00221C59" w:rsidRDefault="00221C59" w:rsidP="00221C59">
            <w:pPr>
              <w:pStyle w:val="ListParagraph"/>
              <w:numPr>
                <w:ilvl w:val="0"/>
                <w:numId w:val="2"/>
              </w:numPr>
              <w:ind w:left="105" w:hanging="105"/>
              <w:jc w:val="both"/>
              <w:rPr>
                <w:rFonts w:ascii="Tw Cen MT Condensed" w:hAnsi="Tw Cen MT Condensed"/>
                <w:bCs/>
                <w:sz w:val="20"/>
                <w:szCs w:val="20"/>
              </w:rPr>
            </w:pPr>
            <w:r>
              <w:rPr>
                <w:rFonts w:ascii="Tw Cen MT Condensed" w:hAnsi="Tw Cen MT Condensed"/>
                <w:bCs/>
                <w:sz w:val="20"/>
                <w:szCs w:val="20"/>
              </w:rPr>
              <w:t>A</w:t>
            </w:r>
            <w:r w:rsidRPr="00A94431">
              <w:rPr>
                <w:rFonts w:ascii="Tw Cen MT Condensed" w:hAnsi="Tw Cen MT Condensed"/>
                <w:bCs/>
                <w:sz w:val="20"/>
                <w:szCs w:val="20"/>
              </w:rPr>
              <w:t>ge (neonatal, infant,</w:t>
            </w:r>
            <w:r>
              <w:rPr>
                <w:rFonts w:ascii="Tw Cen MT Condensed" w:hAnsi="Tw Cen MT Condensed"/>
                <w:bCs/>
                <w:sz w:val="20"/>
                <w:szCs w:val="20"/>
              </w:rPr>
              <w:t xml:space="preserve"> </w:t>
            </w:r>
            <w:r w:rsidRPr="00A94431">
              <w:rPr>
                <w:rFonts w:ascii="Tw Cen MT Condensed" w:hAnsi="Tw Cen MT Condensed"/>
                <w:bCs/>
                <w:sz w:val="20"/>
                <w:szCs w:val="20"/>
              </w:rPr>
              <w:t>child)</w:t>
            </w:r>
          </w:p>
          <w:p w14:paraId="35F43863" w14:textId="77777777" w:rsidR="00221C59" w:rsidRDefault="00221C59" w:rsidP="00221C59">
            <w:pPr>
              <w:pStyle w:val="ListParagraph"/>
              <w:numPr>
                <w:ilvl w:val="0"/>
                <w:numId w:val="2"/>
              </w:numPr>
              <w:ind w:left="105" w:hanging="105"/>
              <w:jc w:val="both"/>
              <w:rPr>
                <w:rFonts w:ascii="Tw Cen MT Condensed" w:hAnsi="Tw Cen MT Condensed"/>
                <w:bCs/>
                <w:sz w:val="20"/>
                <w:szCs w:val="20"/>
              </w:rPr>
            </w:pPr>
            <w:r>
              <w:rPr>
                <w:rFonts w:ascii="Tw Cen MT Condensed" w:hAnsi="Tw Cen MT Condensed"/>
                <w:bCs/>
                <w:sz w:val="20"/>
                <w:szCs w:val="20"/>
              </w:rPr>
              <w:t>W</w:t>
            </w:r>
            <w:r w:rsidRPr="00A94431">
              <w:rPr>
                <w:rFonts w:ascii="Tw Cen MT Condensed" w:hAnsi="Tw Cen MT Condensed"/>
                <w:bCs/>
                <w:sz w:val="20"/>
                <w:szCs w:val="20"/>
              </w:rPr>
              <w:t>ealth quintile</w:t>
            </w:r>
          </w:p>
          <w:p w14:paraId="7523FC69" w14:textId="5BDF99AA" w:rsidR="00221C59" w:rsidRDefault="00221C59" w:rsidP="00221C59">
            <w:pPr>
              <w:pStyle w:val="ListParagraph"/>
              <w:numPr>
                <w:ilvl w:val="0"/>
                <w:numId w:val="2"/>
              </w:numPr>
              <w:ind w:left="105" w:hanging="105"/>
              <w:jc w:val="both"/>
              <w:rPr>
                <w:rFonts w:ascii="Tw Cen MT Condensed" w:hAnsi="Tw Cen MT Condensed"/>
                <w:bCs/>
                <w:sz w:val="20"/>
                <w:szCs w:val="20"/>
              </w:rPr>
            </w:pPr>
            <w:r>
              <w:rPr>
                <w:rFonts w:ascii="Tw Cen MT Condensed" w:hAnsi="Tw Cen MT Condensed"/>
                <w:bCs/>
                <w:sz w:val="20"/>
                <w:szCs w:val="20"/>
              </w:rPr>
              <w:t>R</w:t>
            </w:r>
            <w:r w:rsidRPr="00A94431">
              <w:rPr>
                <w:rFonts w:ascii="Tw Cen MT Condensed" w:hAnsi="Tw Cen MT Condensed"/>
                <w:bCs/>
                <w:sz w:val="20"/>
                <w:szCs w:val="20"/>
              </w:rPr>
              <w:t>esidence</w:t>
            </w:r>
            <w:r w:rsidR="00893A83">
              <w:rPr>
                <w:rFonts w:ascii="Tw Cen MT Condensed" w:hAnsi="Tw Cen MT Condensed"/>
                <w:bCs/>
                <w:sz w:val="20"/>
                <w:szCs w:val="20"/>
              </w:rPr>
              <w:t xml:space="preserve"> (urban/Rural)</w:t>
            </w:r>
          </w:p>
          <w:p w14:paraId="00974F2B" w14:textId="1C90889D" w:rsidR="00221C59" w:rsidRDefault="00221C59" w:rsidP="00221C59">
            <w:pPr>
              <w:pStyle w:val="ListParagraph"/>
              <w:numPr>
                <w:ilvl w:val="0"/>
                <w:numId w:val="2"/>
              </w:numPr>
              <w:ind w:left="105" w:hanging="105"/>
              <w:jc w:val="both"/>
              <w:rPr>
                <w:rFonts w:ascii="Tw Cen MT Condensed" w:hAnsi="Tw Cen MT Condensed"/>
                <w:bCs/>
                <w:sz w:val="20"/>
                <w:szCs w:val="20"/>
              </w:rPr>
            </w:pPr>
            <w:r>
              <w:rPr>
                <w:rFonts w:ascii="Tw Cen MT Condensed" w:hAnsi="Tw Cen MT Condensed"/>
                <w:bCs/>
                <w:sz w:val="20"/>
                <w:szCs w:val="20"/>
              </w:rPr>
              <w:t>M</w:t>
            </w:r>
            <w:r w:rsidRPr="00A94431">
              <w:rPr>
                <w:rFonts w:ascii="Tw Cen MT Condensed" w:hAnsi="Tw Cen MT Condensed"/>
                <w:bCs/>
                <w:sz w:val="20"/>
                <w:szCs w:val="20"/>
              </w:rPr>
              <w:t>other’s education</w:t>
            </w:r>
            <w:r w:rsidR="00893A83">
              <w:rPr>
                <w:rFonts w:ascii="Tw Cen MT Condensed" w:hAnsi="Tw Cen MT Condensed"/>
                <w:bCs/>
                <w:sz w:val="20"/>
                <w:szCs w:val="20"/>
              </w:rPr>
              <w:t>: illiterate/primary/ higher</w:t>
            </w:r>
          </w:p>
          <w:p w14:paraId="7DA23149" w14:textId="77777777" w:rsidR="00B22244" w:rsidRPr="000C4849" w:rsidRDefault="00221C59" w:rsidP="00221C59">
            <w:pPr>
              <w:pStyle w:val="ListParagraph"/>
              <w:numPr>
                <w:ilvl w:val="0"/>
                <w:numId w:val="2"/>
              </w:numPr>
              <w:ind w:left="105" w:hanging="105"/>
              <w:jc w:val="both"/>
              <w:rPr>
                <w:rFonts w:ascii="Tw Cen MT Condensed" w:hAnsi="Tw Cen MT Condensed"/>
                <w:bCs/>
                <w:sz w:val="20"/>
                <w:szCs w:val="20"/>
              </w:rPr>
            </w:pPr>
            <w:r>
              <w:rPr>
                <w:rFonts w:ascii="Tw Cen MT Condensed" w:hAnsi="Tw Cen MT Condensed"/>
                <w:bCs/>
                <w:sz w:val="20"/>
                <w:szCs w:val="20"/>
              </w:rPr>
              <w:t>G</w:t>
            </w:r>
            <w:r w:rsidRPr="00A94431">
              <w:rPr>
                <w:rFonts w:ascii="Tw Cen MT Condensed" w:hAnsi="Tw Cen MT Condensed"/>
                <w:bCs/>
                <w:sz w:val="20"/>
                <w:szCs w:val="20"/>
              </w:rPr>
              <w:t>eographic location</w:t>
            </w:r>
            <w:r>
              <w:rPr>
                <w:rFonts w:ascii="Tw Cen MT Condensed" w:hAnsi="Tw Cen MT Condensed"/>
                <w:bCs/>
                <w:sz w:val="20"/>
                <w:szCs w:val="20"/>
              </w:rPr>
              <w:t xml:space="preserve"> (Division, District)</w:t>
            </w:r>
            <w:r w:rsidR="00B22244" w:rsidRPr="001C591D">
              <w:rPr>
                <w:rFonts w:ascii="Tw Cen MT Condensed" w:hAnsi="Tw Cen MT Condensed"/>
              </w:rPr>
              <w:t xml:space="preserve"> </w:t>
            </w:r>
          </w:p>
          <w:p w14:paraId="47C4E463" w14:textId="5249BE8C" w:rsidR="00221C59" w:rsidRPr="00A94431" w:rsidRDefault="00B22244" w:rsidP="00221C59">
            <w:pPr>
              <w:pStyle w:val="ListParagraph"/>
              <w:numPr>
                <w:ilvl w:val="0"/>
                <w:numId w:val="2"/>
              </w:numPr>
              <w:ind w:left="105" w:hanging="105"/>
              <w:jc w:val="both"/>
              <w:rPr>
                <w:rFonts w:ascii="Tw Cen MT Condensed" w:hAnsi="Tw Cen MT Condensed"/>
                <w:bCs/>
                <w:sz w:val="20"/>
                <w:szCs w:val="20"/>
              </w:rPr>
            </w:pPr>
            <w:r w:rsidRPr="001C591D">
              <w:rPr>
                <w:rFonts w:ascii="Tw Cen MT Condensed" w:hAnsi="Tw Cen MT Condensed"/>
              </w:rPr>
              <w:t>neonatal mortality cause: preterm birth complication, pneumonia, diarrhoea</w:t>
            </w:r>
          </w:p>
        </w:tc>
        <w:tc>
          <w:tcPr>
            <w:tcW w:w="0" w:type="auto"/>
            <w:shd w:val="clear" w:color="auto" w:fill="auto"/>
          </w:tcPr>
          <w:p w14:paraId="677A738B" w14:textId="77777777" w:rsidR="00221C59" w:rsidRDefault="00221C59" w:rsidP="00221C59">
            <w:pPr>
              <w:jc w:val="center"/>
              <w:rPr>
                <w:bCs/>
                <w:szCs w:val="20"/>
              </w:rPr>
            </w:pPr>
            <w:r>
              <w:rPr>
                <w:bCs/>
                <w:szCs w:val="20"/>
              </w:rPr>
              <w:t>Annual</w:t>
            </w:r>
          </w:p>
        </w:tc>
        <w:tc>
          <w:tcPr>
            <w:tcW w:w="0" w:type="auto"/>
            <w:shd w:val="clear" w:color="auto" w:fill="auto"/>
          </w:tcPr>
          <w:p w14:paraId="5FAF8F09" w14:textId="77777777" w:rsidR="00221C59" w:rsidRDefault="00221C59" w:rsidP="00221C59">
            <w:pPr>
              <w:pStyle w:val="NoSpacing"/>
            </w:pPr>
            <w:r>
              <w:t>1</w:t>
            </w:r>
            <w:r w:rsidRPr="00013ACB">
              <w:rPr>
                <w:vertAlign w:val="superscript"/>
              </w:rPr>
              <w:t>st</w:t>
            </w:r>
            <w:r>
              <w:t xml:space="preserve"> Round: </w:t>
            </w:r>
          </w:p>
          <w:p w14:paraId="6D0F298E" w14:textId="77777777" w:rsidR="00221C59" w:rsidRDefault="00221C59" w:rsidP="00221C59">
            <w:pPr>
              <w:pStyle w:val="NoSpacing"/>
            </w:pPr>
            <w:r>
              <w:t>2015</w:t>
            </w:r>
          </w:p>
          <w:p w14:paraId="79BA0BE4" w14:textId="77777777" w:rsidR="00221C59" w:rsidRDefault="00221C59" w:rsidP="00221C59">
            <w:pPr>
              <w:pStyle w:val="NoSpacing"/>
            </w:pPr>
            <w:r>
              <w:t>2</w:t>
            </w:r>
            <w:r w:rsidRPr="00013ACB">
              <w:rPr>
                <w:vertAlign w:val="superscript"/>
              </w:rPr>
              <w:t>nd</w:t>
            </w:r>
            <w:r>
              <w:t xml:space="preserve"> Round: </w:t>
            </w:r>
          </w:p>
          <w:p w14:paraId="71672BD3" w14:textId="77777777" w:rsidR="00221C59" w:rsidRDefault="00221C59" w:rsidP="00221C59">
            <w:pPr>
              <w:pStyle w:val="NoSpacing"/>
            </w:pPr>
            <w:r w:rsidRPr="00BC6F10">
              <w:rPr>
                <w:szCs w:val="22"/>
              </w:rPr>
              <w:t>July 2019</w:t>
            </w:r>
          </w:p>
          <w:p w14:paraId="1E09438D" w14:textId="77777777" w:rsidR="00221C59" w:rsidRDefault="00221C59" w:rsidP="00221C59">
            <w:pPr>
              <w:pStyle w:val="NoSpacing"/>
            </w:pPr>
            <w:r>
              <w:t>3</w:t>
            </w:r>
            <w:r w:rsidRPr="00013ACB">
              <w:rPr>
                <w:vertAlign w:val="superscript"/>
              </w:rPr>
              <w:t>rd</w:t>
            </w:r>
            <w:r>
              <w:t xml:space="preserve"> Round: </w:t>
            </w:r>
          </w:p>
          <w:p w14:paraId="6471427A" w14:textId="77777777" w:rsidR="00221C59" w:rsidRDefault="00221C59" w:rsidP="00221C59">
            <w:pPr>
              <w:pStyle w:val="NoSpacing"/>
            </w:pPr>
            <w:r>
              <w:rPr>
                <w:szCs w:val="22"/>
              </w:rPr>
              <w:t>July 2020</w:t>
            </w:r>
          </w:p>
          <w:p w14:paraId="68101C62" w14:textId="77777777" w:rsidR="00221C59" w:rsidRDefault="00221C59" w:rsidP="00221C59">
            <w:pPr>
              <w:pStyle w:val="NoSpacing"/>
            </w:pPr>
            <w:r>
              <w:t>4</w:t>
            </w:r>
            <w:r w:rsidRPr="00013ACB">
              <w:rPr>
                <w:vertAlign w:val="superscript"/>
              </w:rPr>
              <w:t>th</w:t>
            </w:r>
            <w:r>
              <w:t xml:space="preserve"> Round: </w:t>
            </w:r>
          </w:p>
          <w:p w14:paraId="4D1DC22E" w14:textId="77777777" w:rsidR="00221C59" w:rsidRDefault="00221C59" w:rsidP="00221C59">
            <w:pPr>
              <w:pStyle w:val="NoSpacing"/>
            </w:pPr>
            <w:r>
              <w:rPr>
                <w:szCs w:val="22"/>
              </w:rPr>
              <w:t>July 2021</w:t>
            </w:r>
          </w:p>
          <w:p w14:paraId="09AF2BBE" w14:textId="77777777" w:rsidR="00221C59" w:rsidRDefault="00221C59" w:rsidP="00221C59">
            <w:pPr>
              <w:pStyle w:val="NoSpacing"/>
            </w:pPr>
            <w:r>
              <w:t>5</w:t>
            </w:r>
            <w:r w:rsidRPr="00013ACB">
              <w:rPr>
                <w:vertAlign w:val="superscript"/>
              </w:rPr>
              <w:t>th</w:t>
            </w:r>
            <w:r>
              <w:t xml:space="preserve"> Round: </w:t>
            </w:r>
          </w:p>
          <w:p w14:paraId="202DC103" w14:textId="570C1A66" w:rsidR="00221C59" w:rsidRPr="002175FB" w:rsidRDefault="00221C59" w:rsidP="00221C59">
            <w:pPr>
              <w:jc w:val="center"/>
              <w:rPr>
                <w:bCs/>
                <w:szCs w:val="20"/>
              </w:rPr>
            </w:pPr>
            <w:r>
              <w:rPr>
                <w:szCs w:val="22"/>
              </w:rPr>
              <w:t>July 2022</w:t>
            </w:r>
          </w:p>
        </w:tc>
        <w:tc>
          <w:tcPr>
            <w:tcW w:w="682" w:type="dxa"/>
            <w:shd w:val="clear" w:color="auto" w:fill="auto"/>
          </w:tcPr>
          <w:p w14:paraId="16525148" w14:textId="77777777" w:rsidR="00221C59" w:rsidRDefault="00221C59" w:rsidP="00221C59">
            <w:pPr>
              <w:jc w:val="both"/>
              <w:rPr>
                <w:bCs/>
                <w:szCs w:val="20"/>
              </w:rPr>
            </w:pPr>
            <w:r>
              <w:rPr>
                <w:bCs/>
                <w:szCs w:val="20"/>
              </w:rPr>
              <w:t>Group 1</w:t>
            </w:r>
          </w:p>
        </w:tc>
        <w:tc>
          <w:tcPr>
            <w:tcW w:w="983" w:type="dxa"/>
            <w:shd w:val="clear" w:color="auto" w:fill="auto"/>
          </w:tcPr>
          <w:p w14:paraId="6F04EBAE" w14:textId="77777777" w:rsidR="00221C59" w:rsidRDefault="00221C59" w:rsidP="00221C59">
            <w:pPr>
              <w:jc w:val="both"/>
              <w:rPr>
                <w:bCs/>
                <w:szCs w:val="20"/>
              </w:rPr>
            </w:pPr>
          </w:p>
        </w:tc>
      </w:tr>
      <w:tr w:rsidR="00D46636" w14:paraId="6FCAD21E" w14:textId="77777777" w:rsidTr="0085651F">
        <w:tc>
          <w:tcPr>
            <w:tcW w:w="0" w:type="auto"/>
            <w:gridSpan w:val="14"/>
            <w:shd w:val="clear" w:color="auto" w:fill="auto"/>
          </w:tcPr>
          <w:p w14:paraId="0246C39B"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3.3: By 2030, end the epidemics of AIDS, tuberculosis, malaria and neglected tropical diseases and combat hepatitis, water-borne diseases and other communicable diseases</w:t>
            </w:r>
          </w:p>
        </w:tc>
      </w:tr>
      <w:tr w:rsidR="00BF3271" w14:paraId="4E9B34E8" w14:textId="77777777" w:rsidTr="0085651F">
        <w:tc>
          <w:tcPr>
            <w:tcW w:w="0" w:type="auto"/>
            <w:gridSpan w:val="2"/>
            <w:shd w:val="clear" w:color="auto" w:fill="auto"/>
          </w:tcPr>
          <w:p w14:paraId="52EBCDAC" w14:textId="77777777" w:rsidR="00221C59" w:rsidRPr="00A94431" w:rsidRDefault="00221C59" w:rsidP="00221C59">
            <w:pPr>
              <w:jc w:val="both"/>
              <w:rPr>
                <w:szCs w:val="20"/>
              </w:rPr>
            </w:pPr>
            <w:r w:rsidRPr="00A94431">
              <w:rPr>
                <w:szCs w:val="20"/>
              </w:rPr>
              <w:t>3.3.1 Number of new HIV infections per 1,000 uninfected population, by sex, age and key populations</w:t>
            </w:r>
          </w:p>
        </w:tc>
        <w:tc>
          <w:tcPr>
            <w:tcW w:w="0" w:type="auto"/>
            <w:shd w:val="clear" w:color="auto" w:fill="auto"/>
          </w:tcPr>
          <w:p w14:paraId="3B3E2B4F" w14:textId="77777777" w:rsidR="00221C59" w:rsidRDefault="00221C59" w:rsidP="00221C59">
            <w:pPr>
              <w:rPr>
                <w:szCs w:val="20"/>
              </w:rPr>
            </w:pPr>
            <w:r w:rsidRPr="00A94431">
              <w:rPr>
                <w:szCs w:val="20"/>
              </w:rPr>
              <w:t>UNAIDS</w:t>
            </w:r>
          </w:p>
          <w:p w14:paraId="5B1037C9" w14:textId="77777777" w:rsidR="00221C59" w:rsidRDefault="00221C59" w:rsidP="00221C59">
            <w:pPr>
              <w:rPr>
                <w:szCs w:val="20"/>
              </w:rPr>
            </w:pPr>
          </w:p>
          <w:p w14:paraId="1838FBCE" w14:textId="77777777" w:rsidR="00221C59" w:rsidRPr="00A94431" w:rsidRDefault="00221C59" w:rsidP="00221C59">
            <w:pPr>
              <w:rPr>
                <w:b/>
                <w:bCs/>
                <w:szCs w:val="20"/>
              </w:rPr>
            </w:pPr>
            <w:r w:rsidRPr="00A94431">
              <w:rPr>
                <w:b/>
                <w:bCs/>
                <w:szCs w:val="20"/>
              </w:rPr>
              <w:t>Partner Agencies:</w:t>
            </w:r>
          </w:p>
          <w:p w14:paraId="5D20C2E2" w14:textId="77777777" w:rsidR="00221C59" w:rsidRPr="00A94431" w:rsidRDefault="00221C59" w:rsidP="00221C59">
            <w:pPr>
              <w:rPr>
                <w:szCs w:val="20"/>
              </w:rPr>
            </w:pPr>
            <w:r w:rsidRPr="00A94431">
              <w:rPr>
                <w:szCs w:val="20"/>
              </w:rPr>
              <w:t xml:space="preserve">WHO, </w:t>
            </w:r>
          </w:p>
          <w:p w14:paraId="4CE14905" w14:textId="77777777" w:rsidR="00221C59" w:rsidRPr="00A94431" w:rsidRDefault="00221C59" w:rsidP="00221C59">
            <w:pPr>
              <w:rPr>
                <w:szCs w:val="20"/>
              </w:rPr>
            </w:pPr>
            <w:r w:rsidRPr="00A94431">
              <w:rPr>
                <w:szCs w:val="20"/>
              </w:rPr>
              <w:t>UNFPA</w:t>
            </w:r>
          </w:p>
        </w:tc>
        <w:tc>
          <w:tcPr>
            <w:tcW w:w="0" w:type="auto"/>
            <w:shd w:val="clear" w:color="auto" w:fill="auto"/>
          </w:tcPr>
          <w:p w14:paraId="79BB1463" w14:textId="77777777" w:rsidR="00221C59" w:rsidRDefault="00221C59" w:rsidP="00221C59">
            <w:pPr>
              <w:jc w:val="center"/>
              <w:rPr>
                <w:szCs w:val="20"/>
              </w:rPr>
            </w:pPr>
            <w:r>
              <w:rPr>
                <w:szCs w:val="20"/>
              </w:rPr>
              <w:t>Tier I</w:t>
            </w:r>
          </w:p>
          <w:p w14:paraId="190A166C" w14:textId="065D92A6" w:rsidR="00221C59" w:rsidRDefault="00221C59" w:rsidP="00221C59">
            <w:pPr>
              <w:jc w:val="center"/>
              <w:rPr>
                <w:szCs w:val="20"/>
              </w:rPr>
            </w:pPr>
          </w:p>
        </w:tc>
        <w:tc>
          <w:tcPr>
            <w:tcW w:w="0" w:type="auto"/>
            <w:shd w:val="clear" w:color="auto" w:fill="auto"/>
          </w:tcPr>
          <w:p w14:paraId="330AFBD6" w14:textId="77777777" w:rsidR="00221C59" w:rsidRPr="00A94431" w:rsidRDefault="00221C59" w:rsidP="00221C59">
            <w:pPr>
              <w:jc w:val="both"/>
              <w:rPr>
                <w:b/>
                <w:bCs/>
                <w:color w:val="000000" w:themeColor="text1"/>
                <w:szCs w:val="20"/>
              </w:rPr>
            </w:pPr>
            <w:r w:rsidRPr="00A94431">
              <w:rPr>
                <w:b/>
                <w:bCs/>
                <w:color w:val="000000" w:themeColor="text1"/>
                <w:szCs w:val="20"/>
              </w:rPr>
              <w:t>Definition:</w:t>
            </w:r>
          </w:p>
          <w:p w14:paraId="476C08F9" w14:textId="77777777" w:rsidR="00221C59" w:rsidRDefault="00221C59" w:rsidP="00221C59">
            <w:pPr>
              <w:jc w:val="both"/>
              <w:rPr>
                <w:color w:val="000000" w:themeColor="text1"/>
                <w:szCs w:val="20"/>
              </w:rPr>
            </w:pPr>
            <w:r w:rsidRPr="00A94431">
              <w:rPr>
                <w:color w:val="000000" w:themeColor="text1"/>
                <w:szCs w:val="20"/>
              </w:rPr>
              <w:t>The number of new HIV infections per 1,000 uninfected population, by sex, age and key populations as</w:t>
            </w:r>
            <w:r>
              <w:rPr>
                <w:color w:val="000000" w:themeColor="text1"/>
                <w:szCs w:val="20"/>
              </w:rPr>
              <w:t xml:space="preserve"> </w:t>
            </w:r>
            <w:r w:rsidRPr="00A94431">
              <w:rPr>
                <w:color w:val="000000" w:themeColor="text1"/>
                <w:szCs w:val="20"/>
              </w:rPr>
              <w:t>defined as the number of new HIV infections per 1000 person-years among the uninfected population.</w:t>
            </w:r>
          </w:p>
          <w:p w14:paraId="16A11632" w14:textId="77777777" w:rsidR="00221C59" w:rsidRDefault="00221C59" w:rsidP="00221C59">
            <w:pPr>
              <w:jc w:val="both"/>
              <w:rPr>
                <w:b/>
                <w:bCs/>
                <w:color w:val="000000" w:themeColor="text1"/>
                <w:szCs w:val="20"/>
              </w:rPr>
            </w:pPr>
          </w:p>
          <w:p w14:paraId="3CDD388F" w14:textId="77777777" w:rsidR="00221C59" w:rsidRPr="00A94431" w:rsidRDefault="00221C59" w:rsidP="00221C59">
            <w:pPr>
              <w:jc w:val="both"/>
              <w:rPr>
                <w:b/>
                <w:bCs/>
                <w:color w:val="000000" w:themeColor="text1"/>
                <w:szCs w:val="20"/>
              </w:rPr>
            </w:pPr>
            <w:r w:rsidRPr="00A94431">
              <w:rPr>
                <w:b/>
                <w:bCs/>
                <w:color w:val="000000" w:themeColor="text1"/>
                <w:szCs w:val="20"/>
              </w:rPr>
              <w:t>Computation Method:</w:t>
            </w:r>
          </w:p>
          <w:p w14:paraId="0DCF88DD" w14:textId="77777777" w:rsidR="00221C59" w:rsidRDefault="00221C59" w:rsidP="00221C59">
            <w:pPr>
              <w:jc w:val="both"/>
              <w:rPr>
                <w:color w:val="000000" w:themeColor="text1"/>
                <w:szCs w:val="20"/>
              </w:rPr>
            </w:pPr>
            <w:r w:rsidRPr="00A94431">
              <w:rPr>
                <w:color w:val="000000" w:themeColor="text1"/>
                <w:szCs w:val="20"/>
              </w:rPr>
              <w:t>Longitudinal data on individuals are the best source of data but are rarely available for large populations.</w:t>
            </w:r>
            <w:r>
              <w:rPr>
                <w:color w:val="000000" w:themeColor="text1"/>
                <w:szCs w:val="20"/>
              </w:rPr>
              <w:t xml:space="preserve"> </w:t>
            </w:r>
            <w:r w:rsidRPr="00A94431">
              <w:rPr>
                <w:color w:val="000000" w:themeColor="text1"/>
                <w:szCs w:val="20"/>
              </w:rPr>
              <w:t>Special diagnostic tests in surveys or from health facilities can be used to obtain data on HIV incidence.</w:t>
            </w:r>
            <w:r>
              <w:rPr>
                <w:color w:val="000000" w:themeColor="text1"/>
                <w:szCs w:val="20"/>
              </w:rPr>
              <w:t xml:space="preserve"> </w:t>
            </w:r>
            <w:r w:rsidRPr="00A94431">
              <w:rPr>
                <w:color w:val="000000" w:themeColor="text1"/>
                <w:szCs w:val="20"/>
              </w:rPr>
              <w:t>HIV incidence is thus modelled using the Spectrum software.</w:t>
            </w:r>
          </w:p>
          <w:p w14:paraId="505C91EF" w14:textId="350D0A3B" w:rsidR="00221C59" w:rsidRPr="00A94431" w:rsidRDefault="00221C59" w:rsidP="00221C59">
            <w:pPr>
              <w:jc w:val="both"/>
              <w:rPr>
                <w:b/>
                <w:bCs/>
                <w:color w:val="000000" w:themeColor="text1"/>
                <w:szCs w:val="20"/>
              </w:rPr>
            </w:pPr>
          </w:p>
        </w:tc>
        <w:tc>
          <w:tcPr>
            <w:tcW w:w="0" w:type="auto"/>
            <w:shd w:val="clear" w:color="auto" w:fill="auto"/>
          </w:tcPr>
          <w:p w14:paraId="0A574C94" w14:textId="77777777" w:rsidR="00221C59" w:rsidRDefault="00221C59" w:rsidP="00221C59">
            <w:pPr>
              <w:jc w:val="center"/>
              <w:rPr>
                <w:bCs/>
                <w:szCs w:val="20"/>
              </w:rPr>
            </w:pPr>
            <w:r w:rsidRPr="00A94431">
              <w:rPr>
                <w:bCs/>
                <w:szCs w:val="20"/>
              </w:rPr>
              <w:t>Spectrum modelling, household or key population surveys with HIV incidence-testing,</w:t>
            </w:r>
          </w:p>
          <w:p w14:paraId="52217992" w14:textId="77777777" w:rsidR="00221C59" w:rsidRPr="00A94431" w:rsidRDefault="00221C59" w:rsidP="00221C59">
            <w:pPr>
              <w:jc w:val="center"/>
              <w:rPr>
                <w:bCs/>
                <w:szCs w:val="20"/>
              </w:rPr>
            </w:pPr>
          </w:p>
          <w:p w14:paraId="6941AB88" w14:textId="77777777" w:rsidR="00221C59" w:rsidRDefault="00221C59" w:rsidP="00221C59">
            <w:pPr>
              <w:jc w:val="center"/>
              <w:rPr>
                <w:bCs/>
                <w:szCs w:val="20"/>
              </w:rPr>
            </w:pPr>
            <w:r w:rsidRPr="00A94431">
              <w:rPr>
                <w:bCs/>
                <w:szCs w:val="20"/>
              </w:rPr>
              <w:t xml:space="preserve">Other possible data </w:t>
            </w:r>
            <w:r w:rsidRPr="00A94431">
              <w:rPr>
                <w:bCs/>
                <w:szCs w:val="20"/>
              </w:rPr>
              <w:lastRenderedPageBreak/>
              <w:t>sources: Regular surveillance system among key populations</w:t>
            </w:r>
          </w:p>
        </w:tc>
        <w:tc>
          <w:tcPr>
            <w:tcW w:w="0" w:type="auto"/>
            <w:shd w:val="clear" w:color="auto" w:fill="auto"/>
          </w:tcPr>
          <w:p w14:paraId="175E63EA" w14:textId="77777777" w:rsidR="00221C59" w:rsidRPr="00A94431" w:rsidRDefault="00221C59" w:rsidP="00221C59">
            <w:pPr>
              <w:jc w:val="center"/>
              <w:rPr>
                <w:bCs/>
                <w:szCs w:val="20"/>
              </w:rPr>
            </w:pPr>
            <w:r>
              <w:rPr>
                <w:bCs/>
                <w:szCs w:val="20"/>
              </w:rPr>
              <w:lastRenderedPageBreak/>
              <w:t>T</w:t>
            </w:r>
            <w:r w:rsidRPr="00A94431">
              <w:rPr>
                <w:bCs/>
                <w:szCs w:val="20"/>
              </w:rPr>
              <w:t>eam consisting of ministry of health, national AIDS advisory groups and</w:t>
            </w:r>
          </w:p>
          <w:p w14:paraId="1B2BC3E1" w14:textId="77777777" w:rsidR="00221C59" w:rsidRDefault="00221C59" w:rsidP="00221C59">
            <w:pPr>
              <w:jc w:val="center"/>
              <w:rPr>
                <w:bCs/>
                <w:szCs w:val="20"/>
              </w:rPr>
            </w:pPr>
            <w:proofErr w:type="gramStart"/>
            <w:r w:rsidRPr="00A94431">
              <w:rPr>
                <w:bCs/>
                <w:szCs w:val="20"/>
              </w:rPr>
              <w:t>development</w:t>
            </w:r>
            <w:proofErr w:type="gramEnd"/>
            <w:r w:rsidRPr="00A94431">
              <w:rPr>
                <w:bCs/>
                <w:szCs w:val="20"/>
              </w:rPr>
              <w:t xml:space="preserve"> partners.</w:t>
            </w:r>
          </w:p>
        </w:tc>
        <w:tc>
          <w:tcPr>
            <w:tcW w:w="0" w:type="auto"/>
            <w:shd w:val="clear" w:color="auto" w:fill="auto"/>
          </w:tcPr>
          <w:p w14:paraId="7906473B" w14:textId="77777777" w:rsidR="00221C59" w:rsidRPr="00A94431" w:rsidRDefault="00221C59" w:rsidP="00221C59">
            <w:pPr>
              <w:jc w:val="center"/>
              <w:rPr>
                <w:color w:val="000000" w:themeColor="text1"/>
                <w:szCs w:val="20"/>
              </w:rPr>
            </w:pPr>
            <w:r>
              <w:rPr>
                <w:color w:val="000000" w:themeColor="text1"/>
                <w:szCs w:val="20"/>
              </w:rPr>
              <w:t>UNAIDS</w:t>
            </w:r>
          </w:p>
        </w:tc>
        <w:tc>
          <w:tcPr>
            <w:tcW w:w="0" w:type="auto"/>
            <w:shd w:val="clear" w:color="auto" w:fill="auto"/>
          </w:tcPr>
          <w:p w14:paraId="00E7A0FE" w14:textId="77777777" w:rsidR="00221C59" w:rsidRPr="00A94431" w:rsidRDefault="00221C59" w:rsidP="00221C59">
            <w:pPr>
              <w:ind w:left="61" w:hanging="61"/>
              <w:rPr>
                <w:color w:val="000000" w:themeColor="text1"/>
                <w:szCs w:val="20"/>
              </w:rPr>
            </w:pPr>
            <w:r w:rsidRPr="00A94431">
              <w:rPr>
                <w:color w:val="000000" w:themeColor="text1"/>
                <w:szCs w:val="20"/>
              </w:rPr>
              <w:t>a) DGHS (NASP),</w:t>
            </w:r>
          </w:p>
          <w:p w14:paraId="5117DBCE" w14:textId="504E4D94" w:rsidR="00221C59" w:rsidRPr="00A94431" w:rsidRDefault="00221C59" w:rsidP="00221C59">
            <w:pPr>
              <w:ind w:left="61" w:hanging="61"/>
              <w:rPr>
                <w:color w:val="000000" w:themeColor="text1"/>
                <w:szCs w:val="20"/>
              </w:rPr>
            </w:pPr>
            <w:r>
              <w:t>HSD</w:t>
            </w:r>
          </w:p>
          <w:p w14:paraId="1B585C22" w14:textId="77777777" w:rsidR="00221C59" w:rsidRPr="00A94431" w:rsidRDefault="00221C59" w:rsidP="00221C59">
            <w:pPr>
              <w:ind w:left="61" w:hanging="61"/>
              <w:rPr>
                <w:color w:val="000000" w:themeColor="text1"/>
                <w:szCs w:val="20"/>
              </w:rPr>
            </w:pPr>
            <w:r w:rsidRPr="00A94431">
              <w:rPr>
                <w:color w:val="000000" w:themeColor="text1"/>
                <w:szCs w:val="20"/>
              </w:rPr>
              <w:t>b) IEDCR, MoHFW</w:t>
            </w:r>
          </w:p>
          <w:p w14:paraId="27D351AE" w14:textId="77777777" w:rsidR="00221C59" w:rsidRDefault="00221C59" w:rsidP="00221C59">
            <w:pPr>
              <w:ind w:left="61" w:hanging="61"/>
              <w:rPr>
                <w:color w:val="000000" w:themeColor="text1"/>
                <w:szCs w:val="20"/>
              </w:rPr>
            </w:pPr>
            <w:r w:rsidRPr="00A94431">
              <w:rPr>
                <w:color w:val="000000" w:themeColor="text1"/>
                <w:szCs w:val="20"/>
              </w:rPr>
              <w:t>c) UNAIDS</w:t>
            </w:r>
          </w:p>
          <w:p w14:paraId="70F14511" w14:textId="77777777" w:rsidR="00221C59" w:rsidRPr="00A94431" w:rsidRDefault="00221C59" w:rsidP="00221C59">
            <w:pPr>
              <w:ind w:left="61" w:hanging="61"/>
              <w:rPr>
                <w:color w:val="000000" w:themeColor="text1"/>
                <w:szCs w:val="20"/>
              </w:rPr>
            </w:pPr>
            <w:r>
              <w:rPr>
                <w:rFonts w:eastAsia="Times New Roman" w:cs="Times New Roman"/>
                <w:color w:val="000000" w:themeColor="text1"/>
                <w:szCs w:val="20"/>
              </w:rPr>
              <w:t>Administrative Data</w:t>
            </w:r>
          </w:p>
        </w:tc>
        <w:tc>
          <w:tcPr>
            <w:tcW w:w="0" w:type="auto"/>
            <w:shd w:val="clear" w:color="auto" w:fill="auto"/>
          </w:tcPr>
          <w:p w14:paraId="72F39A9A" w14:textId="77777777" w:rsidR="00221C59" w:rsidRDefault="00221C59" w:rsidP="00221C59">
            <w:pPr>
              <w:pStyle w:val="ListParagraph"/>
              <w:numPr>
                <w:ilvl w:val="0"/>
                <w:numId w:val="2"/>
              </w:numPr>
              <w:ind w:left="155" w:hanging="155"/>
              <w:jc w:val="both"/>
              <w:rPr>
                <w:rFonts w:ascii="Tw Cen MT Condensed" w:hAnsi="Tw Cen MT Condensed"/>
                <w:bCs/>
                <w:sz w:val="20"/>
                <w:szCs w:val="20"/>
              </w:rPr>
            </w:pPr>
            <w:r w:rsidRPr="00A94431">
              <w:rPr>
                <w:rFonts w:ascii="Tw Cen MT Condensed" w:hAnsi="Tw Cen MT Condensed"/>
                <w:bCs/>
                <w:sz w:val="20"/>
                <w:szCs w:val="20"/>
              </w:rPr>
              <w:t>General population</w:t>
            </w:r>
          </w:p>
          <w:p w14:paraId="067F08D9" w14:textId="77777777" w:rsidR="00221C59" w:rsidRDefault="00221C59" w:rsidP="00221C59">
            <w:pPr>
              <w:pStyle w:val="ListParagraph"/>
              <w:numPr>
                <w:ilvl w:val="0"/>
                <w:numId w:val="2"/>
              </w:numPr>
              <w:ind w:left="155" w:hanging="155"/>
              <w:jc w:val="both"/>
              <w:rPr>
                <w:rFonts w:ascii="Tw Cen MT Condensed" w:hAnsi="Tw Cen MT Condensed"/>
                <w:bCs/>
                <w:sz w:val="20"/>
                <w:szCs w:val="20"/>
              </w:rPr>
            </w:pPr>
            <w:r w:rsidRPr="00A94431">
              <w:rPr>
                <w:rFonts w:ascii="Tw Cen MT Condensed" w:hAnsi="Tw Cen MT Condensed"/>
                <w:bCs/>
                <w:sz w:val="20"/>
                <w:szCs w:val="20"/>
              </w:rPr>
              <w:t>Key populations (men who have sex with men, sex workers, people who inject drugs, transgender people, prisoners)</w:t>
            </w:r>
          </w:p>
          <w:p w14:paraId="52832CE5" w14:textId="77777777" w:rsidR="00221C59" w:rsidRDefault="00221C59" w:rsidP="00221C59">
            <w:pPr>
              <w:pStyle w:val="ListParagraph"/>
              <w:numPr>
                <w:ilvl w:val="0"/>
                <w:numId w:val="2"/>
              </w:numPr>
              <w:ind w:left="155" w:hanging="155"/>
              <w:jc w:val="both"/>
              <w:rPr>
                <w:rFonts w:ascii="Tw Cen MT Condensed" w:hAnsi="Tw Cen MT Condensed"/>
                <w:bCs/>
                <w:sz w:val="20"/>
                <w:szCs w:val="20"/>
              </w:rPr>
            </w:pPr>
            <w:r w:rsidRPr="00A94431">
              <w:rPr>
                <w:rFonts w:ascii="Tw Cen MT Condensed" w:hAnsi="Tw Cen MT Condensed"/>
                <w:bCs/>
                <w:sz w:val="20"/>
                <w:szCs w:val="20"/>
              </w:rPr>
              <w:t>Age groups (0-14, 15-24, 15-49, 50+ years), for key populations (&lt; 25, 25+</w:t>
            </w:r>
            <w:r>
              <w:rPr>
                <w:rFonts w:ascii="Tw Cen MT Condensed" w:hAnsi="Tw Cen MT Condensed"/>
                <w:bCs/>
                <w:sz w:val="20"/>
                <w:szCs w:val="20"/>
              </w:rPr>
              <w:t xml:space="preserve"> </w:t>
            </w:r>
            <w:r w:rsidRPr="00A94431">
              <w:rPr>
                <w:rFonts w:ascii="Tw Cen MT Condensed" w:hAnsi="Tw Cen MT Condensed"/>
                <w:bCs/>
                <w:sz w:val="20"/>
                <w:szCs w:val="20"/>
              </w:rPr>
              <w:t>years)</w:t>
            </w:r>
          </w:p>
          <w:p w14:paraId="0D5E32A6" w14:textId="77777777" w:rsidR="00221C59" w:rsidRDefault="00221C59" w:rsidP="00221C59">
            <w:pPr>
              <w:pStyle w:val="ListParagraph"/>
              <w:numPr>
                <w:ilvl w:val="0"/>
                <w:numId w:val="2"/>
              </w:numPr>
              <w:ind w:left="155" w:hanging="155"/>
              <w:jc w:val="both"/>
              <w:rPr>
                <w:rFonts w:ascii="Tw Cen MT Condensed" w:hAnsi="Tw Cen MT Condensed"/>
                <w:bCs/>
                <w:sz w:val="20"/>
                <w:szCs w:val="20"/>
              </w:rPr>
            </w:pPr>
            <w:r>
              <w:rPr>
                <w:rFonts w:ascii="Tw Cen MT Condensed" w:hAnsi="Tw Cen MT Condensed"/>
                <w:bCs/>
                <w:sz w:val="20"/>
                <w:szCs w:val="20"/>
              </w:rPr>
              <w:lastRenderedPageBreak/>
              <w:t>M</w:t>
            </w:r>
            <w:r w:rsidRPr="00A94431">
              <w:rPr>
                <w:rFonts w:ascii="Tw Cen MT Condensed" w:hAnsi="Tw Cen MT Condensed"/>
                <w:bCs/>
                <w:sz w:val="20"/>
                <w:szCs w:val="20"/>
              </w:rPr>
              <w:t>ode of transmission (including mother-to-child transmission),</w:t>
            </w:r>
          </w:p>
          <w:p w14:paraId="71C9BB88" w14:textId="77777777" w:rsidR="00221C59" w:rsidRDefault="00221C59" w:rsidP="00221C59">
            <w:pPr>
              <w:pStyle w:val="ListParagraph"/>
              <w:numPr>
                <w:ilvl w:val="0"/>
                <w:numId w:val="2"/>
              </w:numPr>
              <w:ind w:left="155" w:hanging="155"/>
              <w:jc w:val="both"/>
              <w:rPr>
                <w:rFonts w:ascii="Tw Cen MT Condensed" w:hAnsi="Tw Cen MT Condensed"/>
                <w:bCs/>
                <w:sz w:val="20"/>
                <w:szCs w:val="20"/>
              </w:rPr>
            </w:pPr>
            <w:r>
              <w:rPr>
                <w:rFonts w:ascii="Tw Cen MT Condensed" w:hAnsi="Tw Cen MT Condensed"/>
                <w:bCs/>
                <w:sz w:val="20"/>
                <w:szCs w:val="20"/>
              </w:rPr>
              <w:t>P</w:t>
            </w:r>
            <w:r w:rsidRPr="00A94431">
              <w:rPr>
                <w:rFonts w:ascii="Tw Cen MT Condensed" w:hAnsi="Tw Cen MT Condensed"/>
                <w:bCs/>
                <w:sz w:val="20"/>
                <w:szCs w:val="20"/>
              </w:rPr>
              <w:t>lace of residence</w:t>
            </w:r>
            <w:r>
              <w:rPr>
                <w:rFonts w:ascii="Tw Cen MT Condensed" w:hAnsi="Tw Cen MT Condensed"/>
                <w:bCs/>
                <w:sz w:val="20"/>
                <w:szCs w:val="20"/>
              </w:rPr>
              <w:t xml:space="preserve"> (Rural/Urban)</w:t>
            </w:r>
          </w:p>
          <w:p w14:paraId="632C3735" w14:textId="73019F2A" w:rsidR="00221C59" w:rsidRPr="00A94431" w:rsidRDefault="00221C59" w:rsidP="00221C59">
            <w:pPr>
              <w:pStyle w:val="ListParagraph"/>
              <w:numPr>
                <w:ilvl w:val="0"/>
                <w:numId w:val="2"/>
              </w:numPr>
              <w:ind w:left="155" w:hanging="155"/>
              <w:jc w:val="both"/>
              <w:rPr>
                <w:rFonts w:ascii="Tw Cen MT Condensed" w:hAnsi="Tw Cen MT Condensed"/>
                <w:bCs/>
                <w:sz w:val="20"/>
                <w:szCs w:val="20"/>
              </w:rPr>
            </w:pPr>
            <w:r>
              <w:rPr>
                <w:rFonts w:ascii="Tw Cen MT Condensed" w:hAnsi="Tw Cen MT Condensed"/>
                <w:bCs/>
                <w:sz w:val="20"/>
                <w:szCs w:val="20"/>
              </w:rPr>
              <w:t>S</w:t>
            </w:r>
            <w:r w:rsidRPr="00A94431">
              <w:rPr>
                <w:rFonts w:ascii="Tw Cen MT Condensed" w:hAnsi="Tw Cen MT Condensed"/>
                <w:bCs/>
                <w:sz w:val="20"/>
                <w:szCs w:val="20"/>
              </w:rPr>
              <w:t>ex</w:t>
            </w:r>
            <w:r w:rsidR="00893A83">
              <w:rPr>
                <w:rFonts w:ascii="Tw Cen MT Condensed" w:hAnsi="Tw Cen MT Condensed"/>
                <w:bCs/>
                <w:sz w:val="20"/>
                <w:szCs w:val="20"/>
              </w:rPr>
              <w:t>: male/female/transgender</w:t>
            </w:r>
          </w:p>
        </w:tc>
        <w:tc>
          <w:tcPr>
            <w:tcW w:w="0" w:type="auto"/>
            <w:shd w:val="clear" w:color="auto" w:fill="auto"/>
          </w:tcPr>
          <w:p w14:paraId="324ECE30" w14:textId="5D91BBA6" w:rsidR="00221C59" w:rsidRDefault="005F24FB" w:rsidP="00221C59">
            <w:pPr>
              <w:jc w:val="center"/>
              <w:rPr>
                <w:bCs/>
                <w:szCs w:val="20"/>
              </w:rPr>
            </w:pPr>
            <w:r>
              <w:rPr>
                <w:bCs/>
                <w:szCs w:val="20"/>
              </w:rPr>
              <w:lastRenderedPageBreak/>
              <w:t>Triennial</w:t>
            </w:r>
          </w:p>
        </w:tc>
        <w:tc>
          <w:tcPr>
            <w:tcW w:w="0" w:type="auto"/>
            <w:shd w:val="clear" w:color="auto" w:fill="auto"/>
          </w:tcPr>
          <w:p w14:paraId="1448CA6D" w14:textId="77777777" w:rsidR="00221C59" w:rsidRDefault="00221C59" w:rsidP="00221C59">
            <w:pPr>
              <w:pStyle w:val="NoSpacing"/>
            </w:pPr>
            <w:r>
              <w:t>1</w:t>
            </w:r>
            <w:r w:rsidRPr="00013ACB">
              <w:rPr>
                <w:vertAlign w:val="superscript"/>
              </w:rPr>
              <w:t>st</w:t>
            </w:r>
            <w:r>
              <w:t xml:space="preserve"> Round: </w:t>
            </w:r>
          </w:p>
          <w:p w14:paraId="478A79E9" w14:textId="77777777" w:rsidR="00221C59" w:rsidRDefault="00221C59" w:rsidP="00221C59">
            <w:pPr>
              <w:pStyle w:val="NoSpacing"/>
            </w:pPr>
            <w:r>
              <w:t>2016</w:t>
            </w:r>
          </w:p>
          <w:p w14:paraId="2673AFF8" w14:textId="77777777" w:rsidR="00221C59" w:rsidRDefault="00221C59" w:rsidP="00221C59">
            <w:pPr>
              <w:pStyle w:val="NoSpacing"/>
            </w:pPr>
          </w:p>
          <w:p w14:paraId="3F328C25" w14:textId="77777777" w:rsidR="00221C59" w:rsidRDefault="00221C59" w:rsidP="00221C59">
            <w:pPr>
              <w:pStyle w:val="NoSpacing"/>
            </w:pPr>
            <w:r>
              <w:t>2</w:t>
            </w:r>
            <w:r w:rsidRPr="00013ACB">
              <w:rPr>
                <w:vertAlign w:val="superscript"/>
              </w:rPr>
              <w:t>nd</w:t>
            </w:r>
            <w:r>
              <w:t xml:space="preserve"> Round: </w:t>
            </w:r>
          </w:p>
          <w:p w14:paraId="1137331F" w14:textId="77777777" w:rsidR="00221C59" w:rsidRDefault="00221C59" w:rsidP="00221C59">
            <w:pPr>
              <w:pStyle w:val="NoSpacing"/>
              <w:rPr>
                <w:szCs w:val="20"/>
              </w:rPr>
            </w:pPr>
            <w:r w:rsidRPr="00BC6F10">
              <w:rPr>
                <w:szCs w:val="20"/>
              </w:rPr>
              <w:t>January 2019</w:t>
            </w:r>
          </w:p>
          <w:p w14:paraId="0DB0F146" w14:textId="77777777" w:rsidR="00221C59" w:rsidRDefault="00221C59" w:rsidP="00221C59">
            <w:pPr>
              <w:pStyle w:val="NoSpacing"/>
            </w:pPr>
          </w:p>
          <w:p w14:paraId="5824C912" w14:textId="77777777" w:rsidR="00221C59" w:rsidRDefault="00221C59" w:rsidP="00221C59">
            <w:pPr>
              <w:pStyle w:val="NoSpacing"/>
            </w:pPr>
            <w:r>
              <w:t>3</w:t>
            </w:r>
            <w:r w:rsidRPr="00013ACB">
              <w:rPr>
                <w:vertAlign w:val="superscript"/>
              </w:rPr>
              <w:t>rd</w:t>
            </w:r>
            <w:r>
              <w:t xml:space="preserve"> Round: </w:t>
            </w:r>
          </w:p>
          <w:p w14:paraId="16428BB0" w14:textId="77777777" w:rsidR="00221C59" w:rsidRDefault="00221C59" w:rsidP="00221C59">
            <w:pPr>
              <w:pStyle w:val="NoSpacing"/>
              <w:rPr>
                <w:szCs w:val="20"/>
              </w:rPr>
            </w:pPr>
            <w:r w:rsidRPr="00BC6F10">
              <w:rPr>
                <w:szCs w:val="20"/>
              </w:rPr>
              <w:t>January 20</w:t>
            </w:r>
            <w:r>
              <w:rPr>
                <w:szCs w:val="20"/>
              </w:rPr>
              <w:t>20</w:t>
            </w:r>
          </w:p>
          <w:p w14:paraId="11F591BE" w14:textId="77777777" w:rsidR="00221C59" w:rsidRDefault="00221C59" w:rsidP="00221C59">
            <w:pPr>
              <w:pStyle w:val="NoSpacing"/>
            </w:pPr>
          </w:p>
          <w:p w14:paraId="14E4DF59" w14:textId="77777777" w:rsidR="00221C59" w:rsidRDefault="00221C59" w:rsidP="00221C59">
            <w:pPr>
              <w:pStyle w:val="NoSpacing"/>
            </w:pPr>
            <w:r>
              <w:t>4</w:t>
            </w:r>
            <w:r w:rsidRPr="00013ACB">
              <w:rPr>
                <w:vertAlign w:val="superscript"/>
              </w:rPr>
              <w:t>th</w:t>
            </w:r>
            <w:r>
              <w:t xml:space="preserve"> Round: </w:t>
            </w:r>
          </w:p>
          <w:p w14:paraId="2B590B16" w14:textId="77777777" w:rsidR="00221C59" w:rsidRDefault="00221C59" w:rsidP="00221C59">
            <w:pPr>
              <w:pStyle w:val="NoSpacing"/>
              <w:rPr>
                <w:szCs w:val="20"/>
              </w:rPr>
            </w:pPr>
            <w:r w:rsidRPr="00BC6F10">
              <w:rPr>
                <w:szCs w:val="20"/>
              </w:rPr>
              <w:t>January 20</w:t>
            </w:r>
            <w:r>
              <w:rPr>
                <w:szCs w:val="20"/>
              </w:rPr>
              <w:t>21</w:t>
            </w:r>
          </w:p>
          <w:p w14:paraId="120B15D9" w14:textId="77777777" w:rsidR="00221C59" w:rsidRDefault="00221C59" w:rsidP="00221C59">
            <w:pPr>
              <w:pStyle w:val="NoSpacing"/>
            </w:pPr>
          </w:p>
          <w:p w14:paraId="4E51EAEA" w14:textId="77777777" w:rsidR="00221C59" w:rsidRDefault="00221C59" w:rsidP="00221C59">
            <w:pPr>
              <w:pStyle w:val="NoSpacing"/>
            </w:pPr>
            <w:r>
              <w:t>5</w:t>
            </w:r>
            <w:r w:rsidRPr="00013ACB">
              <w:rPr>
                <w:vertAlign w:val="superscript"/>
              </w:rPr>
              <w:t>th</w:t>
            </w:r>
            <w:r>
              <w:t xml:space="preserve"> Round: </w:t>
            </w:r>
          </w:p>
          <w:p w14:paraId="37ADFEFB" w14:textId="79212D24" w:rsidR="00221C59" w:rsidRPr="002175FB" w:rsidRDefault="00221C59" w:rsidP="00221C59">
            <w:pPr>
              <w:jc w:val="center"/>
              <w:rPr>
                <w:bCs/>
                <w:szCs w:val="20"/>
              </w:rPr>
            </w:pPr>
            <w:r w:rsidRPr="00BC6F10">
              <w:rPr>
                <w:szCs w:val="20"/>
              </w:rPr>
              <w:t>January 20</w:t>
            </w:r>
            <w:r>
              <w:rPr>
                <w:szCs w:val="20"/>
              </w:rPr>
              <w:t>22</w:t>
            </w:r>
          </w:p>
        </w:tc>
        <w:tc>
          <w:tcPr>
            <w:tcW w:w="682" w:type="dxa"/>
            <w:shd w:val="clear" w:color="auto" w:fill="auto"/>
          </w:tcPr>
          <w:p w14:paraId="291BB335" w14:textId="77777777" w:rsidR="00221C59" w:rsidRDefault="00221C59" w:rsidP="00221C59">
            <w:pPr>
              <w:jc w:val="both"/>
              <w:rPr>
                <w:bCs/>
                <w:szCs w:val="20"/>
              </w:rPr>
            </w:pPr>
            <w:r>
              <w:rPr>
                <w:bCs/>
                <w:szCs w:val="20"/>
              </w:rPr>
              <w:lastRenderedPageBreak/>
              <w:t>Group 2</w:t>
            </w:r>
          </w:p>
        </w:tc>
        <w:tc>
          <w:tcPr>
            <w:tcW w:w="983" w:type="dxa"/>
            <w:shd w:val="clear" w:color="auto" w:fill="auto"/>
          </w:tcPr>
          <w:p w14:paraId="26B6D1CC" w14:textId="77777777" w:rsidR="00221C59" w:rsidRDefault="00221C59" w:rsidP="00221C59">
            <w:pPr>
              <w:jc w:val="both"/>
              <w:rPr>
                <w:bCs/>
                <w:szCs w:val="20"/>
              </w:rPr>
            </w:pPr>
          </w:p>
        </w:tc>
      </w:tr>
      <w:tr w:rsidR="00BF3271" w14:paraId="65C52D78" w14:textId="77777777" w:rsidTr="0085651F">
        <w:tc>
          <w:tcPr>
            <w:tcW w:w="0" w:type="auto"/>
            <w:gridSpan w:val="2"/>
            <w:shd w:val="clear" w:color="auto" w:fill="auto"/>
          </w:tcPr>
          <w:p w14:paraId="33499228" w14:textId="77777777" w:rsidR="00221C59" w:rsidRPr="00A94431" w:rsidRDefault="00221C59" w:rsidP="00221C59">
            <w:pPr>
              <w:jc w:val="both"/>
              <w:rPr>
                <w:szCs w:val="20"/>
              </w:rPr>
            </w:pPr>
            <w:r w:rsidRPr="00A94431">
              <w:rPr>
                <w:szCs w:val="20"/>
              </w:rPr>
              <w:lastRenderedPageBreak/>
              <w:t>Indicator 3.3.2: Tuberculosis incidence per 100,000 population</w:t>
            </w:r>
          </w:p>
        </w:tc>
        <w:tc>
          <w:tcPr>
            <w:tcW w:w="0" w:type="auto"/>
            <w:shd w:val="clear" w:color="auto" w:fill="auto"/>
          </w:tcPr>
          <w:p w14:paraId="2878D542" w14:textId="77777777" w:rsidR="00221C59" w:rsidRPr="00A94431" w:rsidRDefault="00221C59" w:rsidP="00221C59">
            <w:pPr>
              <w:jc w:val="center"/>
              <w:rPr>
                <w:szCs w:val="20"/>
              </w:rPr>
            </w:pPr>
            <w:r>
              <w:rPr>
                <w:szCs w:val="20"/>
              </w:rPr>
              <w:t>WHO</w:t>
            </w:r>
          </w:p>
        </w:tc>
        <w:tc>
          <w:tcPr>
            <w:tcW w:w="0" w:type="auto"/>
            <w:shd w:val="clear" w:color="auto" w:fill="auto"/>
          </w:tcPr>
          <w:p w14:paraId="3E9A1ED1" w14:textId="77777777" w:rsidR="00221C59" w:rsidRDefault="00221C59" w:rsidP="00221C59">
            <w:pPr>
              <w:jc w:val="center"/>
              <w:rPr>
                <w:szCs w:val="20"/>
              </w:rPr>
            </w:pPr>
            <w:r>
              <w:rPr>
                <w:szCs w:val="20"/>
              </w:rPr>
              <w:t>Tier I</w:t>
            </w:r>
          </w:p>
        </w:tc>
        <w:tc>
          <w:tcPr>
            <w:tcW w:w="0" w:type="auto"/>
            <w:shd w:val="clear" w:color="auto" w:fill="auto"/>
          </w:tcPr>
          <w:p w14:paraId="399D0999" w14:textId="77777777" w:rsidR="00221C59" w:rsidRPr="00A94431" w:rsidRDefault="00221C59" w:rsidP="00221C59">
            <w:pPr>
              <w:jc w:val="both"/>
              <w:rPr>
                <w:b/>
                <w:bCs/>
                <w:color w:val="000000" w:themeColor="text1"/>
                <w:szCs w:val="20"/>
              </w:rPr>
            </w:pPr>
            <w:r w:rsidRPr="00A94431">
              <w:rPr>
                <w:b/>
                <w:bCs/>
                <w:color w:val="000000" w:themeColor="text1"/>
                <w:szCs w:val="20"/>
              </w:rPr>
              <w:t>Definition:</w:t>
            </w:r>
          </w:p>
          <w:p w14:paraId="58860BF8" w14:textId="77777777" w:rsidR="00221C59" w:rsidRDefault="00221C59" w:rsidP="00221C59">
            <w:pPr>
              <w:jc w:val="both"/>
              <w:rPr>
                <w:color w:val="000000" w:themeColor="text1"/>
                <w:szCs w:val="20"/>
              </w:rPr>
            </w:pPr>
            <w:r w:rsidRPr="00A94431">
              <w:rPr>
                <w:color w:val="000000" w:themeColor="text1"/>
                <w:szCs w:val="20"/>
              </w:rPr>
              <w:t>The tuberculosis incidence per 100,000 population as defined as the estimated number of new and</w:t>
            </w:r>
            <w:r>
              <w:rPr>
                <w:color w:val="000000" w:themeColor="text1"/>
                <w:szCs w:val="20"/>
              </w:rPr>
              <w:t xml:space="preserve"> </w:t>
            </w:r>
            <w:r w:rsidRPr="00A94431">
              <w:rPr>
                <w:color w:val="000000" w:themeColor="text1"/>
                <w:szCs w:val="20"/>
              </w:rPr>
              <w:t>relapse TB cases (all forms of TB, including cases in people living with HIV) arising in a given year,</w:t>
            </w:r>
            <w:r>
              <w:rPr>
                <w:color w:val="000000" w:themeColor="text1"/>
                <w:szCs w:val="20"/>
              </w:rPr>
              <w:t xml:space="preserve"> </w:t>
            </w:r>
            <w:r w:rsidRPr="00A94431">
              <w:rPr>
                <w:color w:val="000000" w:themeColor="text1"/>
                <w:szCs w:val="20"/>
              </w:rPr>
              <w:t>expressed as a rate per 100 000 population.</w:t>
            </w:r>
          </w:p>
          <w:p w14:paraId="29861DAF" w14:textId="77777777" w:rsidR="00221C59" w:rsidRDefault="00221C59" w:rsidP="00221C59">
            <w:pPr>
              <w:jc w:val="both"/>
              <w:rPr>
                <w:b/>
                <w:bCs/>
                <w:color w:val="000000" w:themeColor="text1"/>
                <w:szCs w:val="20"/>
              </w:rPr>
            </w:pPr>
          </w:p>
          <w:p w14:paraId="192D8E54" w14:textId="77777777" w:rsidR="00221C59" w:rsidRPr="00A94431" w:rsidRDefault="00221C59" w:rsidP="00221C59">
            <w:pPr>
              <w:jc w:val="both"/>
              <w:rPr>
                <w:b/>
                <w:bCs/>
                <w:color w:val="000000" w:themeColor="text1"/>
                <w:szCs w:val="20"/>
              </w:rPr>
            </w:pPr>
            <w:r w:rsidRPr="00A94431">
              <w:rPr>
                <w:b/>
                <w:bCs/>
                <w:color w:val="000000" w:themeColor="text1"/>
                <w:szCs w:val="20"/>
              </w:rPr>
              <w:t>Concepts:</w:t>
            </w:r>
          </w:p>
          <w:p w14:paraId="03B9F87F" w14:textId="77777777" w:rsidR="00221C59" w:rsidRDefault="00221C59" w:rsidP="00221C59">
            <w:pPr>
              <w:jc w:val="both"/>
              <w:rPr>
                <w:color w:val="000000" w:themeColor="text1"/>
                <w:szCs w:val="20"/>
              </w:rPr>
            </w:pPr>
            <w:r w:rsidRPr="00A94431">
              <w:rPr>
                <w:color w:val="000000" w:themeColor="text1"/>
                <w:szCs w:val="20"/>
              </w:rPr>
              <w:t xml:space="preserve">Direct measurement requires high-quality surveillance systems in which underreporting is </w:t>
            </w:r>
            <w:proofErr w:type="gramStart"/>
            <w:r w:rsidRPr="00A94431">
              <w:rPr>
                <w:color w:val="000000" w:themeColor="text1"/>
                <w:szCs w:val="20"/>
              </w:rPr>
              <w:t>negligible,</w:t>
            </w:r>
            <w:proofErr w:type="gramEnd"/>
            <w:r w:rsidRPr="00A94431">
              <w:rPr>
                <w:color w:val="000000" w:themeColor="text1"/>
                <w:szCs w:val="20"/>
              </w:rPr>
              <w:t xml:space="preserve"> and</w:t>
            </w:r>
            <w:r>
              <w:rPr>
                <w:color w:val="000000" w:themeColor="text1"/>
                <w:szCs w:val="20"/>
              </w:rPr>
              <w:t xml:space="preserve"> </w:t>
            </w:r>
            <w:r w:rsidRPr="00A94431">
              <w:rPr>
                <w:color w:val="000000" w:themeColor="text1"/>
                <w:szCs w:val="20"/>
              </w:rPr>
              <w:t>strong health systems so that under-diagnosis is also negligible; otherwise indirect estimates are based</w:t>
            </w:r>
            <w:r>
              <w:rPr>
                <w:color w:val="000000" w:themeColor="text1"/>
                <w:szCs w:val="20"/>
              </w:rPr>
              <w:t xml:space="preserve"> </w:t>
            </w:r>
            <w:r w:rsidRPr="00A94431">
              <w:rPr>
                <w:color w:val="000000" w:themeColor="text1"/>
                <w:szCs w:val="20"/>
              </w:rPr>
              <w:t>on notification data and estimates of levels of underreporting and under-diagnosis.</w:t>
            </w:r>
          </w:p>
          <w:p w14:paraId="107EDAA9" w14:textId="77777777" w:rsidR="00221C59" w:rsidRDefault="00221C59" w:rsidP="00221C59">
            <w:pPr>
              <w:jc w:val="both"/>
              <w:rPr>
                <w:b/>
                <w:bCs/>
                <w:color w:val="000000" w:themeColor="text1"/>
                <w:szCs w:val="20"/>
              </w:rPr>
            </w:pPr>
          </w:p>
          <w:p w14:paraId="6D97338C" w14:textId="77777777" w:rsidR="00221C59" w:rsidRPr="00A94431" w:rsidRDefault="00221C59" w:rsidP="00221C59">
            <w:pPr>
              <w:jc w:val="both"/>
              <w:rPr>
                <w:b/>
                <w:bCs/>
                <w:color w:val="000000" w:themeColor="text1"/>
                <w:szCs w:val="20"/>
              </w:rPr>
            </w:pPr>
            <w:r w:rsidRPr="00A94431">
              <w:rPr>
                <w:b/>
                <w:bCs/>
                <w:color w:val="000000" w:themeColor="text1"/>
                <w:szCs w:val="20"/>
              </w:rPr>
              <w:t>Computation Method:</w:t>
            </w:r>
          </w:p>
          <w:p w14:paraId="5CA17DDD" w14:textId="77777777" w:rsidR="00221C59" w:rsidRPr="00A94431" w:rsidRDefault="00221C59" w:rsidP="00221C59">
            <w:pPr>
              <w:jc w:val="both"/>
              <w:rPr>
                <w:color w:val="000000" w:themeColor="text1"/>
                <w:szCs w:val="20"/>
              </w:rPr>
            </w:pPr>
            <w:r w:rsidRPr="00A94431">
              <w:rPr>
                <w:color w:val="000000" w:themeColor="text1"/>
                <w:szCs w:val="20"/>
              </w:rPr>
              <w:t xml:space="preserve">Estimates of TB incidence are produced through a consultative and analytical process led by </w:t>
            </w:r>
            <w:proofErr w:type="gramStart"/>
            <w:r w:rsidRPr="00A94431">
              <w:rPr>
                <w:color w:val="000000" w:themeColor="text1"/>
                <w:szCs w:val="20"/>
              </w:rPr>
              <w:t>WHO</w:t>
            </w:r>
            <w:proofErr w:type="gramEnd"/>
            <w:r w:rsidRPr="00A94431">
              <w:rPr>
                <w:color w:val="000000" w:themeColor="text1"/>
                <w:szCs w:val="20"/>
              </w:rPr>
              <w:t xml:space="preserve"> and are</w:t>
            </w:r>
            <w:r>
              <w:rPr>
                <w:color w:val="000000" w:themeColor="text1"/>
                <w:szCs w:val="20"/>
              </w:rPr>
              <w:t xml:space="preserve"> </w:t>
            </w:r>
            <w:r w:rsidRPr="00A94431">
              <w:rPr>
                <w:color w:val="000000" w:themeColor="text1"/>
                <w:szCs w:val="20"/>
              </w:rPr>
              <w:t>published annually. These estimates are based on annual case notifications, assessments of the quality</w:t>
            </w:r>
            <w:r>
              <w:rPr>
                <w:color w:val="000000" w:themeColor="text1"/>
                <w:szCs w:val="20"/>
              </w:rPr>
              <w:t xml:space="preserve"> </w:t>
            </w:r>
            <w:r w:rsidRPr="00A94431">
              <w:rPr>
                <w:color w:val="000000" w:themeColor="text1"/>
                <w:szCs w:val="20"/>
              </w:rPr>
              <w:t>and coverage of TB notification data, national surveys of the prevalence of TB disease and information</w:t>
            </w:r>
            <w:r>
              <w:rPr>
                <w:color w:val="000000" w:themeColor="text1"/>
                <w:szCs w:val="20"/>
              </w:rPr>
              <w:t xml:space="preserve"> </w:t>
            </w:r>
            <w:r w:rsidRPr="00A94431">
              <w:rPr>
                <w:color w:val="000000" w:themeColor="text1"/>
                <w:szCs w:val="20"/>
              </w:rPr>
              <w:t>from death (vital) registration systems.</w:t>
            </w:r>
          </w:p>
          <w:p w14:paraId="3A6678CD" w14:textId="77777777" w:rsidR="00221C59" w:rsidRDefault="00221C59" w:rsidP="00221C59">
            <w:pPr>
              <w:jc w:val="both"/>
              <w:rPr>
                <w:color w:val="000000" w:themeColor="text1"/>
                <w:szCs w:val="20"/>
              </w:rPr>
            </w:pPr>
            <w:r w:rsidRPr="00A94431">
              <w:rPr>
                <w:color w:val="000000" w:themeColor="text1"/>
                <w:szCs w:val="20"/>
              </w:rPr>
              <w:t>Estimates of incidence for each country are derived, using one or more of the following approaches</w:t>
            </w:r>
            <w:r>
              <w:rPr>
                <w:color w:val="000000" w:themeColor="text1"/>
                <w:szCs w:val="20"/>
              </w:rPr>
              <w:t xml:space="preserve"> </w:t>
            </w:r>
            <w:r w:rsidRPr="00A94431">
              <w:rPr>
                <w:color w:val="000000" w:themeColor="text1"/>
                <w:szCs w:val="20"/>
              </w:rPr>
              <w:t xml:space="preserve">depending on available data: </w:t>
            </w:r>
          </w:p>
          <w:p w14:paraId="0835316F" w14:textId="77777777" w:rsidR="00221C59" w:rsidRPr="00A94431" w:rsidRDefault="00221C59" w:rsidP="00221C59">
            <w:pPr>
              <w:pStyle w:val="ListParagraph"/>
              <w:numPr>
                <w:ilvl w:val="0"/>
                <w:numId w:val="17"/>
              </w:numPr>
              <w:spacing w:after="0"/>
              <w:ind w:left="608" w:hanging="248"/>
              <w:jc w:val="both"/>
              <w:rPr>
                <w:rFonts w:ascii="Tw Cen MT Condensed" w:hAnsi="Tw Cen MT Condensed"/>
                <w:color w:val="000000" w:themeColor="text1"/>
                <w:sz w:val="20"/>
                <w:szCs w:val="20"/>
              </w:rPr>
            </w:pPr>
            <w:r w:rsidRPr="00A94431">
              <w:rPr>
                <w:rFonts w:ascii="Tw Cen MT Condensed" w:hAnsi="Tw Cen MT Condensed"/>
                <w:color w:val="000000" w:themeColor="text1"/>
                <w:sz w:val="20"/>
                <w:szCs w:val="20"/>
              </w:rPr>
              <w:t xml:space="preserve">incidence= case notifications/estimated proportion of cases detected; </w:t>
            </w:r>
          </w:p>
          <w:p w14:paraId="7BB62472" w14:textId="77777777" w:rsidR="00221C59" w:rsidRDefault="00221C59" w:rsidP="00221C59">
            <w:pPr>
              <w:pStyle w:val="ListParagraph"/>
              <w:numPr>
                <w:ilvl w:val="0"/>
                <w:numId w:val="17"/>
              </w:numPr>
              <w:spacing w:after="0"/>
              <w:ind w:left="608" w:hanging="248"/>
              <w:jc w:val="both"/>
              <w:rPr>
                <w:rFonts w:ascii="Tw Cen MT Condensed" w:hAnsi="Tw Cen MT Condensed"/>
                <w:color w:val="000000" w:themeColor="text1"/>
                <w:sz w:val="20"/>
                <w:szCs w:val="20"/>
              </w:rPr>
            </w:pPr>
            <w:r w:rsidRPr="00A94431">
              <w:rPr>
                <w:rFonts w:ascii="Tw Cen MT Condensed" w:hAnsi="Tw Cen MT Condensed"/>
                <w:color w:val="000000" w:themeColor="text1"/>
                <w:sz w:val="20"/>
                <w:szCs w:val="20"/>
              </w:rPr>
              <w:t>capture-recapture modelling</w:t>
            </w:r>
          </w:p>
          <w:p w14:paraId="15A1214D" w14:textId="77777777" w:rsidR="00221C59" w:rsidRDefault="00221C59" w:rsidP="00221C59">
            <w:pPr>
              <w:pStyle w:val="ListParagraph"/>
              <w:numPr>
                <w:ilvl w:val="0"/>
                <w:numId w:val="17"/>
              </w:numPr>
              <w:spacing w:after="0"/>
              <w:ind w:left="608" w:hanging="248"/>
              <w:jc w:val="both"/>
              <w:rPr>
                <w:rFonts w:ascii="Tw Cen MT Condensed" w:hAnsi="Tw Cen MT Condensed"/>
                <w:color w:val="000000" w:themeColor="text1"/>
                <w:sz w:val="20"/>
                <w:szCs w:val="20"/>
              </w:rPr>
            </w:pPr>
            <w:proofErr w:type="gramStart"/>
            <w:r w:rsidRPr="00A94431">
              <w:rPr>
                <w:rFonts w:ascii="Tw Cen MT Condensed" w:hAnsi="Tw Cen MT Condensed"/>
                <w:color w:val="000000" w:themeColor="text1"/>
                <w:sz w:val="20"/>
                <w:szCs w:val="20"/>
              </w:rPr>
              <w:t>incidence</w:t>
            </w:r>
            <w:proofErr w:type="gramEnd"/>
            <w:r w:rsidRPr="00A94431">
              <w:rPr>
                <w:rFonts w:ascii="Tw Cen MT Condensed" w:hAnsi="Tw Cen MT Condensed"/>
                <w:color w:val="000000" w:themeColor="text1"/>
                <w:sz w:val="20"/>
                <w:szCs w:val="20"/>
              </w:rPr>
              <w:t xml:space="preserve"> = prevalence/duration of condition.</w:t>
            </w:r>
          </w:p>
          <w:p w14:paraId="6187526C" w14:textId="77777777" w:rsidR="00221C59" w:rsidRDefault="00221C59" w:rsidP="00221C59">
            <w:pPr>
              <w:jc w:val="both"/>
              <w:rPr>
                <w:color w:val="000000" w:themeColor="text1"/>
                <w:szCs w:val="20"/>
              </w:rPr>
            </w:pPr>
          </w:p>
          <w:p w14:paraId="1F71F611" w14:textId="77777777" w:rsidR="00221C59" w:rsidRDefault="00221C59" w:rsidP="00221C59">
            <w:pPr>
              <w:jc w:val="both"/>
              <w:rPr>
                <w:color w:val="000000" w:themeColor="text1"/>
                <w:szCs w:val="20"/>
              </w:rPr>
            </w:pPr>
            <w:r w:rsidRPr="00A94431">
              <w:rPr>
                <w:color w:val="000000" w:themeColor="text1"/>
                <w:szCs w:val="20"/>
              </w:rPr>
              <w:t>Uncertainty bounds are provided in addition to best estimates.</w:t>
            </w:r>
          </w:p>
          <w:p w14:paraId="71F9B52D" w14:textId="77777777" w:rsidR="00221C59" w:rsidRPr="00A94431" w:rsidRDefault="00221C59" w:rsidP="00221C59">
            <w:pPr>
              <w:jc w:val="both"/>
              <w:rPr>
                <w:color w:val="000000" w:themeColor="text1"/>
                <w:szCs w:val="20"/>
              </w:rPr>
            </w:pPr>
          </w:p>
          <w:p w14:paraId="13A878BC" w14:textId="77777777" w:rsidR="00221C59" w:rsidRPr="00A94431" w:rsidRDefault="00221C59" w:rsidP="00221C59">
            <w:pPr>
              <w:jc w:val="both"/>
              <w:rPr>
                <w:b/>
                <w:bCs/>
                <w:color w:val="000000" w:themeColor="text1"/>
                <w:szCs w:val="20"/>
              </w:rPr>
            </w:pPr>
            <w:r w:rsidRPr="00A94431">
              <w:rPr>
                <w:color w:val="000000" w:themeColor="text1"/>
                <w:szCs w:val="20"/>
              </w:rPr>
              <w:t>Details are available from TB impact measurement: policy and recommendations for how to assess the</w:t>
            </w:r>
            <w:r>
              <w:rPr>
                <w:color w:val="000000" w:themeColor="text1"/>
                <w:szCs w:val="20"/>
              </w:rPr>
              <w:t xml:space="preserve"> </w:t>
            </w:r>
            <w:r w:rsidRPr="00A94431">
              <w:rPr>
                <w:color w:val="000000" w:themeColor="text1"/>
                <w:szCs w:val="20"/>
              </w:rPr>
              <w:t xml:space="preserve">epidemiological burden of TB and the impact of TB control and from </w:t>
            </w:r>
            <w:r w:rsidRPr="00A94431">
              <w:rPr>
                <w:color w:val="000000" w:themeColor="text1"/>
                <w:szCs w:val="20"/>
              </w:rPr>
              <w:lastRenderedPageBreak/>
              <w:t>the online technical appendix to the</w:t>
            </w:r>
            <w:r>
              <w:rPr>
                <w:color w:val="000000" w:themeColor="text1"/>
                <w:szCs w:val="20"/>
              </w:rPr>
              <w:t xml:space="preserve"> </w:t>
            </w:r>
            <w:r w:rsidRPr="00A94431">
              <w:rPr>
                <w:color w:val="000000" w:themeColor="text1"/>
                <w:szCs w:val="20"/>
              </w:rPr>
              <w:t>WHO global tuberculosis report 2017 and https://arxiv.org/abs/1603.00278</w:t>
            </w:r>
          </w:p>
        </w:tc>
        <w:tc>
          <w:tcPr>
            <w:tcW w:w="0" w:type="auto"/>
            <w:shd w:val="clear" w:color="auto" w:fill="auto"/>
          </w:tcPr>
          <w:p w14:paraId="412C81AA" w14:textId="77777777" w:rsidR="00221C59" w:rsidRPr="00A94431" w:rsidRDefault="00221C59" w:rsidP="00221C59">
            <w:pPr>
              <w:jc w:val="center"/>
              <w:rPr>
                <w:bCs/>
                <w:szCs w:val="20"/>
              </w:rPr>
            </w:pPr>
            <w:r w:rsidRPr="00A94431">
              <w:rPr>
                <w:bCs/>
                <w:szCs w:val="20"/>
              </w:rPr>
              <w:lastRenderedPageBreak/>
              <w:t>Case notification data combined with expert opinion about case detection</w:t>
            </w:r>
          </w:p>
          <w:p w14:paraId="63772787" w14:textId="77777777" w:rsidR="00221C59" w:rsidRDefault="00221C59" w:rsidP="00221C59">
            <w:pPr>
              <w:jc w:val="center"/>
              <w:rPr>
                <w:bCs/>
                <w:szCs w:val="20"/>
              </w:rPr>
            </w:pPr>
            <w:r w:rsidRPr="00A94431">
              <w:rPr>
                <w:bCs/>
                <w:szCs w:val="20"/>
              </w:rPr>
              <w:t>Gaps</w:t>
            </w:r>
            <w:r>
              <w:rPr>
                <w:bCs/>
                <w:szCs w:val="20"/>
              </w:rPr>
              <w:t xml:space="preserve">; </w:t>
            </w:r>
          </w:p>
          <w:p w14:paraId="6D345EE6" w14:textId="77777777" w:rsidR="00221C59" w:rsidRPr="00A94431" w:rsidRDefault="00221C59" w:rsidP="00221C59">
            <w:pPr>
              <w:jc w:val="center"/>
              <w:rPr>
                <w:bCs/>
                <w:szCs w:val="20"/>
              </w:rPr>
            </w:pPr>
            <w:r w:rsidRPr="00A94431">
              <w:rPr>
                <w:bCs/>
                <w:szCs w:val="20"/>
              </w:rPr>
              <w:t>national TB prevalence surveys</w:t>
            </w:r>
          </w:p>
        </w:tc>
        <w:tc>
          <w:tcPr>
            <w:tcW w:w="0" w:type="auto"/>
            <w:shd w:val="clear" w:color="auto" w:fill="auto"/>
          </w:tcPr>
          <w:p w14:paraId="0D299D3C" w14:textId="77777777" w:rsidR="00221C59" w:rsidRDefault="00221C59" w:rsidP="00221C59">
            <w:pPr>
              <w:jc w:val="center"/>
              <w:rPr>
                <w:bCs/>
                <w:szCs w:val="20"/>
              </w:rPr>
            </w:pPr>
            <w:r w:rsidRPr="00A94431">
              <w:rPr>
                <w:bCs/>
                <w:szCs w:val="20"/>
              </w:rPr>
              <w:t>National TB Programmes, Ministries of Health</w:t>
            </w:r>
          </w:p>
        </w:tc>
        <w:tc>
          <w:tcPr>
            <w:tcW w:w="0" w:type="auto"/>
            <w:shd w:val="clear" w:color="auto" w:fill="auto"/>
          </w:tcPr>
          <w:p w14:paraId="1081CE0F" w14:textId="77777777" w:rsidR="00221C59" w:rsidRDefault="00221C59" w:rsidP="00221C59">
            <w:pPr>
              <w:jc w:val="center"/>
              <w:rPr>
                <w:color w:val="000000" w:themeColor="text1"/>
                <w:szCs w:val="20"/>
              </w:rPr>
            </w:pPr>
            <w:r w:rsidRPr="00A94431">
              <w:rPr>
                <w:color w:val="000000" w:themeColor="text1"/>
                <w:sz w:val="18"/>
                <w:szCs w:val="18"/>
              </w:rPr>
              <w:t>NTP, DGHS</w:t>
            </w:r>
          </w:p>
        </w:tc>
        <w:tc>
          <w:tcPr>
            <w:tcW w:w="0" w:type="auto"/>
            <w:shd w:val="clear" w:color="auto" w:fill="auto"/>
          </w:tcPr>
          <w:p w14:paraId="5ECABEF5" w14:textId="77777777" w:rsidR="00221C59" w:rsidRPr="00A94431" w:rsidRDefault="00221C59" w:rsidP="00221C59">
            <w:pPr>
              <w:ind w:left="61" w:hanging="106"/>
              <w:rPr>
                <w:color w:val="000000" w:themeColor="text1"/>
                <w:sz w:val="18"/>
                <w:szCs w:val="18"/>
              </w:rPr>
            </w:pPr>
            <w:r w:rsidRPr="00A94431">
              <w:rPr>
                <w:color w:val="000000" w:themeColor="text1"/>
                <w:sz w:val="18"/>
                <w:szCs w:val="18"/>
              </w:rPr>
              <w:t>a) HMSS</w:t>
            </w:r>
            <w:r>
              <w:rPr>
                <w:color w:val="000000" w:themeColor="text1"/>
                <w:sz w:val="18"/>
                <w:szCs w:val="18"/>
              </w:rPr>
              <w:t>, BBS</w:t>
            </w:r>
          </w:p>
          <w:p w14:paraId="230CAEF9" w14:textId="77777777" w:rsidR="00221C59" w:rsidRPr="00A94431" w:rsidRDefault="00221C59" w:rsidP="00221C59">
            <w:pPr>
              <w:ind w:left="61" w:hanging="106"/>
              <w:rPr>
                <w:color w:val="000000" w:themeColor="text1"/>
                <w:sz w:val="18"/>
                <w:szCs w:val="18"/>
              </w:rPr>
            </w:pPr>
            <w:r w:rsidRPr="00A94431">
              <w:rPr>
                <w:color w:val="000000" w:themeColor="text1"/>
                <w:sz w:val="18"/>
                <w:szCs w:val="18"/>
              </w:rPr>
              <w:t>b) NTP, DGHS</w:t>
            </w:r>
          </w:p>
          <w:p w14:paraId="38A14480" w14:textId="77777777" w:rsidR="00221C59" w:rsidRPr="00A94431" w:rsidRDefault="00221C59" w:rsidP="00221C59">
            <w:pPr>
              <w:ind w:left="61" w:hanging="106"/>
              <w:rPr>
                <w:color w:val="000000" w:themeColor="text1"/>
                <w:sz w:val="18"/>
                <w:szCs w:val="18"/>
              </w:rPr>
            </w:pPr>
            <w:r w:rsidRPr="00A94431">
              <w:rPr>
                <w:color w:val="000000" w:themeColor="text1"/>
                <w:sz w:val="18"/>
                <w:szCs w:val="18"/>
              </w:rPr>
              <w:t>c) WHO</w:t>
            </w:r>
          </w:p>
        </w:tc>
        <w:tc>
          <w:tcPr>
            <w:tcW w:w="0" w:type="auto"/>
            <w:shd w:val="clear" w:color="auto" w:fill="auto"/>
          </w:tcPr>
          <w:p w14:paraId="1DCDA543" w14:textId="6F8C4F85" w:rsidR="00221C59" w:rsidRDefault="00221C59" w:rsidP="00221C59">
            <w:pPr>
              <w:pStyle w:val="ListParagraph"/>
              <w:numPr>
                <w:ilvl w:val="0"/>
                <w:numId w:val="2"/>
              </w:numPr>
              <w:spacing w:after="0"/>
              <w:ind w:left="130" w:hanging="130"/>
              <w:jc w:val="both"/>
              <w:rPr>
                <w:rFonts w:ascii="Tw Cen MT Condensed" w:hAnsi="Tw Cen MT Condensed"/>
                <w:bCs/>
                <w:sz w:val="20"/>
                <w:szCs w:val="20"/>
              </w:rPr>
            </w:pPr>
            <w:r w:rsidRPr="00A94431">
              <w:rPr>
                <w:rFonts w:ascii="Tw Cen MT Condensed" w:hAnsi="Tw Cen MT Condensed"/>
                <w:bCs/>
                <w:sz w:val="20"/>
                <w:szCs w:val="20"/>
              </w:rPr>
              <w:t>Sex</w:t>
            </w:r>
            <w:r w:rsidR="00893A83">
              <w:rPr>
                <w:rFonts w:ascii="Tw Cen MT Condensed" w:hAnsi="Tw Cen MT Condensed"/>
                <w:bCs/>
                <w:sz w:val="20"/>
                <w:szCs w:val="20"/>
              </w:rPr>
              <w:t>: male/female/transgender</w:t>
            </w:r>
          </w:p>
          <w:p w14:paraId="7549CF1B" w14:textId="77777777" w:rsidR="00221C59" w:rsidRPr="00A94431" w:rsidRDefault="00221C59" w:rsidP="00221C59">
            <w:pPr>
              <w:pStyle w:val="ListParagraph"/>
              <w:numPr>
                <w:ilvl w:val="0"/>
                <w:numId w:val="2"/>
              </w:numPr>
              <w:spacing w:after="0"/>
              <w:ind w:left="130" w:hanging="130"/>
              <w:rPr>
                <w:rFonts w:ascii="Tw Cen MT Condensed" w:hAnsi="Tw Cen MT Condensed"/>
                <w:bCs/>
                <w:sz w:val="20"/>
                <w:szCs w:val="20"/>
              </w:rPr>
            </w:pPr>
            <w:r w:rsidRPr="00A94431">
              <w:rPr>
                <w:rFonts w:ascii="Tw Cen MT Condensed" w:hAnsi="Tw Cen MT Condensed"/>
                <w:bCs/>
                <w:sz w:val="20"/>
                <w:szCs w:val="20"/>
              </w:rPr>
              <w:t>Age (children vs adults)</w:t>
            </w:r>
          </w:p>
        </w:tc>
        <w:tc>
          <w:tcPr>
            <w:tcW w:w="0" w:type="auto"/>
            <w:shd w:val="clear" w:color="auto" w:fill="auto"/>
          </w:tcPr>
          <w:p w14:paraId="2B9B41DC" w14:textId="77777777" w:rsidR="00221C59" w:rsidRDefault="00221C59" w:rsidP="00221C59">
            <w:pPr>
              <w:jc w:val="center"/>
              <w:rPr>
                <w:bCs/>
                <w:szCs w:val="20"/>
              </w:rPr>
            </w:pPr>
            <w:r>
              <w:rPr>
                <w:bCs/>
                <w:szCs w:val="20"/>
              </w:rPr>
              <w:t>Annual</w:t>
            </w:r>
          </w:p>
        </w:tc>
        <w:tc>
          <w:tcPr>
            <w:tcW w:w="0" w:type="auto"/>
            <w:shd w:val="clear" w:color="auto" w:fill="auto"/>
          </w:tcPr>
          <w:p w14:paraId="7E3A62EB" w14:textId="77777777" w:rsidR="00221C59" w:rsidRDefault="00221C59" w:rsidP="00221C59">
            <w:pPr>
              <w:pStyle w:val="NoSpacing"/>
            </w:pPr>
            <w:r>
              <w:t>1</w:t>
            </w:r>
            <w:r w:rsidRPr="00013ACB">
              <w:rPr>
                <w:vertAlign w:val="superscript"/>
              </w:rPr>
              <w:t>st</w:t>
            </w:r>
            <w:r>
              <w:t xml:space="preserve"> Round: </w:t>
            </w:r>
          </w:p>
          <w:p w14:paraId="20F1D4F3" w14:textId="77777777" w:rsidR="00221C59" w:rsidRDefault="00221C59" w:rsidP="00221C59">
            <w:pPr>
              <w:pStyle w:val="NoSpacing"/>
            </w:pPr>
            <w:r>
              <w:t>2016</w:t>
            </w:r>
          </w:p>
          <w:p w14:paraId="78832040" w14:textId="77777777" w:rsidR="00221C59" w:rsidRDefault="00221C59" w:rsidP="00221C59">
            <w:pPr>
              <w:pStyle w:val="NoSpacing"/>
            </w:pPr>
            <w:r>
              <w:t>2</w:t>
            </w:r>
            <w:r w:rsidRPr="00013ACB">
              <w:rPr>
                <w:vertAlign w:val="superscript"/>
              </w:rPr>
              <w:t>nd</w:t>
            </w:r>
            <w:r>
              <w:t xml:space="preserve"> Round: </w:t>
            </w:r>
          </w:p>
          <w:p w14:paraId="59793D5F" w14:textId="77777777" w:rsidR="00221C59" w:rsidRDefault="00221C59" w:rsidP="00221C59">
            <w:pPr>
              <w:pStyle w:val="NoSpacing"/>
            </w:pPr>
            <w:r w:rsidRPr="00BC6F10">
              <w:rPr>
                <w:szCs w:val="22"/>
              </w:rPr>
              <w:t>July 2019</w:t>
            </w:r>
          </w:p>
          <w:p w14:paraId="1B3444C0" w14:textId="77777777" w:rsidR="00221C59" w:rsidRDefault="00221C59" w:rsidP="00221C59">
            <w:pPr>
              <w:pStyle w:val="NoSpacing"/>
            </w:pPr>
            <w:r>
              <w:t>3</w:t>
            </w:r>
            <w:r w:rsidRPr="00013ACB">
              <w:rPr>
                <w:vertAlign w:val="superscript"/>
              </w:rPr>
              <w:t>rd</w:t>
            </w:r>
            <w:r>
              <w:t xml:space="preserve"> Round: </w:t>
            </w:r>
          </w:p>
          <w:p w14:paraId="3F3E280E" w14:textId="77777777" w:rsidR="00221C59" w:rsidRDefault="00221C59" w:rsidP="00221C59">
            <w:pPr>
              <w:pStyle w:val="NoSpacing"/>
            </w:pPr>
            <w:r>
              <w:rPr>
                <w:szCs w:val="22"/>
              </w:rPr>
              <w:t>July 2020</w:t>
            </w:r>
          </w:p>
          <w:p w14:paraId="4E9384AA" w14:textId="77777777" w:rsidR="00221C59" w:rsidRDefault="00221C59" w:rsidP="00221C59">
            <w:pPr>
              <w:pStyle w:val="NoSpacing"/>
            </w:pPr>
            <w:r>
              <w:t>4</w:t>
            </w:r>
            <w:r w:rsidRPr="00013ACB">
              <w:rPr>
                <w:vertAlign w:val="superscript"/>
              </w:rPr>
              <w:t>th</w:t>
            </w:r>
            <w:r>
              <w:t xml:space="preserve"> Round: </w:t>
            </w:r>
          </w:p>
          <w:p w14:paraId="0C5556F6" w14:textId="77777777" w:rsidR="00221C59" w:rsidRDefault="00221C59" w:rsidP="00221C59">
            <w:pPr>
              <w:pStyle w:val="NoSpacing"/>
            </w:pPr>
            <w:r>
              <w:rPr>
                <w:szCs w:val="22"/>
              </w:rPr>
              <w:t>July 2021</w:t>
            </w:r>
          </w:p>
          <w:p w14:paraId="40F5CFBE" w14:textId="77777777" w:rsidR="00221C59" w:rsidRDefault="00221C59" w:rsidP="00221C59">
            <w:pPr>
              <w:pStyle w:val="NoSpacing"/>
            </w:pPr>
            <w:r>
              <w:t>5</w:t>
            </w:r>
            <w:r w:rsidRPr="00013ACB">
              <w:rPr>
                <w:vertAlign w:val="superscript"/>
              </w:rPr>
              <w:t>th</w:t>
            </w:r>
            <w:r>
              <w:t xml:space="preserve"> Round: </w:t>
            </w:r>
          </w:p>
          <w:p w14:paraId="312F8497" w14:textId="57C784CD" w:rsidR="00221C59" w:rsidRPr="002175FB" w:rsidRDefault="00221C59" w:rsidP="00221C59">
            <w:pPr>
              <w:jc w:val="center"/>
              <w:rPr>
                <w:bCs/>
                <w:szCs w:val="20"/>
              </w:rPr>
            </w:pPr>
            <w:r>
              <w:rPr>
                <w:bCs/>
                <w:szCs w:val="20"/>
                <w:lang w:val="en-GB"/>
              </w:rPr>
              <w:t>July 2022</w:t>
            </w:r>
          </w:p>
        </w:tc>
        <w:tc>
          <w:tcPr>
            <w:tcW w:w="682" w:type="dxa"/>
            <w:shd w:val="clear" w:color="auto" w:fill="auto"/>
          </w:tcPr>
          <w:p w14:paraId="06FE6329" w14:textId="77777777" w:rsidR="00221C59" w:rsidRDefault="00221C59" w:rsidP="00221C59">
            <w:pPr>
              <w:jc w:val="both"/>
              <w:rPr>
                <w:bCs/>
                <w:szCs w:val="20"/>
              </w:rPr>
            </w:pPr>
            <w:r>
              <w:rPr>
                <w:bCs/>
                <w:szCs w:val="20"/>
              </w:rPr>
              <w:t>Group 1</w:t>
            </w:r>
          </w:p>
        </w:tc>
        <w:tc>
          <w:tcPr>
            <w:tcW w:w="983" w:type="dxa"/>
            <w:shd w:val="clear" w:color="auto" w:fill="auto"/>
          </w:tcPr>
          <w:p w14:paraId="682EC840" w14:textId="77777777" w:rsidR="00221C59" w:rsidRDefault="00221C59" w:rsidP="00221C59">
            <w:pPr>
              <w:jc w:val="both"/>
              <w:rPr>
                <w:bCs/>
                <w:szCs w:val="20"/>
              </w:rPr>
            </w:pPr>
          </w:p>
        </w:tc>
      </w:tr>
      <w:tr w:rsidR="00BF3271" w14:paraId="7EE97D1F" w14:textId="77777777" w:rsidTr="0085651F">
        <w:tc>
          <w:tcPr>
            <w:tcW w:w="0" w:type="auto"/>
            <w:gridSpan w:val="2"/>
            <w:shd w:val="clear" w:color="auto" w:fill="auto"/>
          </w:tcPr>
          <w:p w14:paraId="586E35D9" w14:textId="77777777" w:rsidR="00221C59" w:rsidRPr="00A94431" w:rsidRDefault="00221C59" w:rsidP="00221C59">
            <w:pPr>
              <w:jc w:val="both"/>
              <w:rPr>
                <w:szCs w:val="20"/>
              </w:rPr>
            </w:pPr>
            <w:r w:rsidRPr="00CA531B">
              <w:rPr>
                <w:szCs w:val="20"/>
              </w:rPr>
              <w:lastRenderedPageBreak/>
              <w:t>3.3.3: Malaria incidence per 1,000 population</w:t>
            </w:r>
          </w:p>
        </w:tc>
        <w:tc>
          <w:tcPr>
            <w:tcW w:w="0" w:type="auto"/>
            <w:shd w:val="clear" w:color="auto" w:fill="auto"/>
          </w:tcPr>
          <w:p w14:paraId="1714BD32" w14:textId="77777777" w:rsidR="00221C59" w:rsidRDefault="00221C59" w:rsidP="00221C59">
            <w:pPr>
              <w:jc w:val="center"/>
              <w:rPr>
                <w:szCs w:val="20"/>
              </w:rPr>
            </w:pPr>
            <w:r>
              <w:rPr>
                <w:szCs w:val="20"/>
              </w:rPr>
              <w:t>GMP of WHO</w:t>
            </w:r>
          </w:p>
        </w:tc>
        <w:tc>
          <w:tcPr>
            <w:tcW w:w="0" w:type="auto"/>
            <w:shd w:val="clear" w:color="auto" w:fill="auto"/>
          </w:tcPr>
          <w:p w14:paraId="11AAE834" w14:textId="77777777" w:rsidR="00221C59" w:rsidRDefault="00221C59" w:rsidP="00221C59">
            <w:pPr>
              <w:jc w:val="center"/>
              <w:rPr>
                <w:szCs w:val="20"/>
              </w:rPr>
            </w:pPr>
            <w:r>
              <w:rPr>
                <w:szCs w:val="20"/>
              </w:rPr>
              <w:t>Tier I</w:t>
            </w:r>
          </w:p>
        </w:tc>
        <w:tc>
          <w:tcPr>
            <w:tcW w:w="0" w:type="auto"/>
            <w:shd w:val="clear" w:color="auto" w:fill="auto"/>
          </w:tcPr>
          <w:p w14:paraId="649ADFD7" w14:textId="77777777" w:rsidR="00221C59" w:rsidRPr="00CA531B" w:rsidRDefault="00221C59" w:rsidP="00221C59">
            <w:pPr>
              <w:jc w:val="both"/>
              <w:rPr>
                <w:b/>
                <w:bCs/>
                <w:color w:val="000000" w:themeColor="text1"/>
                <w:szCs w:val="20"/>
              </w:rPr>
            </w:pPr>
            <w:r w:rsidRPr="00CA531B">
              <w:rPr>
                <w:b/>
                <w:bCs/>
                <w:color w:val="000000" w:themeColor="text1"/>
                <w:szCs w:val="20"/>
              </w:rPr>
              <w:t>Definition:</w:t>
            </w:r>
          </w:p>
          <w:p w14:paraId="248A29DA" w14:textId="77777777" w:rsidR="00221C59" w:rsidRPr="00CA531B" w:rsidRDefault="00221C59" w:rsidP="00221C59">
            <w:pPr>
              <w:jc w:val="both"/>
              <w:rPr>
                <w:color w:val="000000" w:themeColor="text1"/>
                <w:szCs w:val="20"/>
              </w:rPr>
            </w:pPr>
            <w:r w:rsidRPr="00CA531B">
              <w:rPr>
                <w:color w:val="000000" w:themeColor="text1"/>
                <w:szCs w:val="20"/>
              </w:rPr>
              <w:t>Incidence of malaria is defined as the number of new cases of malaria per 1,000 people at risk each year.</w:t>
            </w:r>
          </w:p>
          <w:p w14:paraId="63745581" w14:textId="77777777" w:rsidR="00221C59" w:rsidRPr="00CA531B" w:rsidRDefault="00221C59" w:rsidP="00221C59">
            <w:pPr>
              <w:jc w:val="both"/>
              <w:rPr>
                <w:color w:val="000000" w:themeColor="text1"/>
                <w:szCs w:val="20"/>
              </w:rPr>
            </w:pPr>
          </w:p>
          <w:p w14:paraId="01011061" w14:textId="77777777" w:rsidR="00221C59" w:rsidRPr="00CA531B" w:rsidRDefault="00221C59" w:rsidP="00221C59">
            <w:pPr>
              <w:jc w:val="both"/>
              <w:rPr>
                <w:b/>
                <w:bCs/>
                <w:color w:val="000000" w:themeColor="text1"/>
                <w:szCs w:val="20"/>
              </w:rPr>
            </w:pPr>
            <w:r w:rsidRPr="00CA531B">
              <w:rPr>
                <w:b/>
                <w:bCs/>
                <w:color w:val="000000" w:themeColor="text1"/>
                <w:szCs w:val="20"/>
              </w:rPr>
              <w:t>Concepts:</w:t>
            </w:r>
          </w:p>
          <w:p w14:paraId="20DE1CE7" w14:textId="77777777" w:rsidR="00221C59" w:rsidRPr="00CA531B" w:rsidRDefault="00221C59" w:rsidP="00221C59">
            <w:pPr>
              <w:jc w:val="both"/>
              <w:rPr>
                <w:color w:val="000000" w:themeColor="text1"/>
                <w:szCs w:val="20"/>
              </w:rPr>
            </w:pPr>
            <w:r w:rsidRPr="00CA531B">
              <w:rPr>
                <w:color w:val="000000" w:themeColor="text1"/>
                <w:szCs w:val="20"/>
              </w:rPr>
              <w:t>Case of malaria is defined as the occurrence of malaria infection in a person whom the presence of malaria parasites in the blood has been confirmed by a diagnostic test. The population considered is the population at risk of the disease.</w:t>
            </w:r>
          </w:p>
          <w:p w14:paraId="04077E39" w14:textId="77777777" w:rsidR="00221C59" w:rsidRPr="00CA531B" w:rsidRDefault="00221C59" w:rsidP="00221C59">
            <w:pPr>
              <w:jc w:val="both"/>
              <w:rPr>
                <w:color w:val="000000" w:themeColor="text1"/>
                <w:szCs w:val="20"/>
              </w:rPr>
            </w:pPr>
          </w:p>
          <w:p w14:paraId="2E820772" w14:textId="77777777" w:rsidR="00221C59" w:rsidRPr="00CA531B" w:rsidRDefault="00221C59" w:rsidP="00221C59">
            <w:pPr>
              <w:jc w:val="both"/>
              <w:rPr>
                <w:b/>
                <w:bCs/>
                <w:color w:val="000000" w:themeColor="text1"/>
                <w:szCs w:val="20"/>
              </w:rPr>
            </w:pPr>
            <w:r w:rsidRPr="00CA531B">
              <w:rPr>
                <w:b/>
                <w:bCs/>
                <w:color w:val="000000" w:themeColor="text1"/>
                <w:szCs w:val="20"/>
              </w:rPr>
              <w:t>Comments and limitations:</w:t>
            </w:r>
          </w:p>
          <w:p w14:paraId="4D645B1F" w14:textId="77777777" w:rsidR="00221C59" w:rsidRPr="00CA531B" w:rsidRDefault="00221C59" w:rsidP="00221C59">
            <w:pPr>
              <w:jc w:val="both"/>
              <w:rPr>
                <w:color w:val="000000" w:themeColor="text1"/>
                <w:szCs w:val="20"/>
              </w:rPr>
            </w:pPr>
            <w:r w:rsidRPr="00CA531B">
              <w:rPr>
                <w:color w:val="000000" w:themeColor="text1"/>
                <w:szCs w:val="20"/>
              </w:rPr>
              <w:t>The estimated incidence can differ from the incidence reported by a Ministry of Health which can be affected by:</w:t>
            </w:r>
          </w:p>
          <w:p w14:paraId="1E088706" w14:textId="77777777" w:rsidR="00221C59" w:rsidRPr="00CA531B" w:rsidRDefault="00221C59" w:rsidP="00221C59">
            <w:pPr>
              <w:ind w:left="163" w:hanging="163"/>
              <w:jc w:val="both"/>
              <w:rPr>
                <w:color w:val="000000" w:themeColor="text1"/>
                <w:szCs w:val="20"/>
              </w:rPr>
            </w:pPr>
            <w:r w:rsidRPr="00CA531B">
              <w:rPr>
                <w:color w:val="000000" w:themeColor="text1"/>
                <w:szCs w:val="20"/>
              </w:rPr>
              <w:t>• the completeness of reporting: the number of reported cases can be lower than the estimated cases if the percentage of health facilities reporting in a month is less than 100%</w:t>
            </w:r>
          </w:p>
          <w:p w14:paraId="4830A960" w14:textId="77777777" w:rsidR="00221C59" w:rsidRPr="00CA531B" w:rsidRDefault="00221C59" w:rsidP="00221C59">
            <w:pPr>
              <w:ind w:left="163" w:hanging="163"/>
              <w:jc w:val="both"/>
              <w:rPr>
                <w:color w:val="000000" w:themeColor="text1"/>
                <w:szCs w:val="20"/>
              </w:rPr>
            </w:pPr>
            <w:r w:rsidRPr="00CA531B">
              <w:rPr>
                <w:color w:val="000000" w:themeColor="text1"/>
                <w:szCs w:val="20"/>
              </w:rPr>
              <w:t>• the extent of malaria diagnostic testing (the number of slides examined or RDTs performed)</w:t>
            </w:r>
          </w:p>
          <w:p w14:paraId="0DDEAA8F" w14:textId="77777777" w:rsidR="00221C59" w:rsidRPr="00CA531B" w:rsidRDefault="00221C59" w:rsidP="00221C59">
            <w:pPr>
              <w:ind w:left="163" w:hanging="163"/>
              <w:jc w:val="both"/>
              <w:rPr>
                <w:color w:val="000000" w:themeColor="text1"/>
                <w:szCs w:val="20"/>
              </w:rPr>
            </w:pPr>
            <w:r w:rsidRPr="00CA531B">
              <w:rPr>
                <w:color w:val="000000" w:themeColor="text1"/>
                <w:szCs w:val="20"/>
              </w:rPr>
              <w:t xml:space="preserve">• </w:t>
            </w:r>
            <w:proofErr w:type="gramStart"/>
            <w:r w:rsidRPr="00CA531B">
              <w:rPr>
                <w:color w:val="000000" w:themeColor="text1"/>
                <w:szCs w:val="20"/>
              </w:rPr>
              <w:t>the</w:t>
            </w:r>
            <w:proofErr w:type="gramEnd"/>
            <w:r w:rsidRPr="00CA531B">
              <w:rPr>
                <w:color w:val="000000" w:themeColor="text1"/>
                <w:szCs w:val="20"/>
              </w:rPr>
              <w:t xml:space="preserve"> use of private health facilities which are usually not included in reporting systems.</w:t>
            </w:r>
          </w:p>
          <w:p w14:paraId="3241EBE5" w14:textId="77777777" w:rsidR="00221C59" w:rsidRPr="00CA531B" w:rsidRDefault="00221C59" w:rsidP="00221C59">
            <w:pPr>
              <w:ind w:left="163" w:hanging="163"/>
              <w:jc w:val="both"/>
              <w:rPr>
                <w:color w:val="000000" w:themeColor="text1"/>
                <w:szCs w:val="20"/>
              </w:rPr>
            </w:pPr>
            <w:r w:rsidRPr="00CA531B">
              <w:rPr>
                <w:color w:val="000000" w:themeColor="text1"/>
                <w:szCs w:val="20"/>
              </w:rPr>
              <w:t>• the indicator is estimated only where malaria transmission occurs</w:t>
            </w:r>
          </w:p>
          <w:p w14:paraId="26036FA8" w14:textId="77777777" w:rsidR="00221C59" w:rsidRPr="00CA531B" w:rsidRDefault="00221C59" w:rsidP="00221C59">
            <w:pPr>
              <w:ind w:left="163" w:hanging="163"/>
              <w:jc w:val="both"/>
              <w:rPr>
                <w:color w:val="000000" w:themeColor="text1"/>
                <w:szCs w:val="20"/>
              </w:rPr>
            </w:pPr>
          </w:p>
          <w:p w14:paraId="6CDF5419" w14:textId="77777777" w:rsidR="00221C59" w:rsidRPr="00CA531B" w:rsidRDefault="00221C59" w:rsidP="00221C59">
            <w:pPr>
              <w:ind w:left="163" w:hanging="163"/>
              <w:jc w:val="both"/>
              <w:rPr>
                <w:b/>
                <w:bCs/>
                <w:color w:val="000000" w:themeColor="text1"/>
                <w:szCs w:val="20"/>
              </w:rPr>
            </w:pPr>
            <w:r w:rsidRPr="00CA531B">
              <w:rPr>
                <w:b/>
                <w:bCs/>
                <w:color w:val="000000" w:themeColor="text1"/>
                <w:szCs w:val="20"/>
              </w:rPr>
              <w:t>Computation Method:</w:t>
            </w:r>
          </w:p>
          <w:p w14:paraId="4EAA3BA4" w14:textId="77777777" w:rsidR="00221C59" w:rsidRPr="00BF5EA0" w:rsidRDefault="00221C59" w:rsidP="00221C59">
            <w:pPr>
              <w:jc w:val="both"/>
              <w:rPr>
                <w:color w:val="000000" w:themeColor="text1"/>
                <w:szCs w:val="20"/>
              </w:rPr>
            </w:pPr>
            <w:r w:rsidRPr="00BF5EA0">
              <w:rPr>
                <w:color w:val="000000" w:themeColor="text1"/>
                <w:szCs w:val="20"/>
              </w:rPr>
              <w:t xml:space="preserve">Malaria incidence (1) is expressed as the number of new cases per 100,000 </w:t>
            </w:r>
            <w:proofErr w:type="gramStart"/>
            <w:r w:rsidRPr="00BF5EA0">
              <w:rPr>
                <w:color w:val="000000" w:themeColor="text1"/>
                <w:szCs w:val="20"/>
              </w:rPr>
              <w:t>population</w:t>
            </w:r>
            <w:proofErr w:type="gramEnd"/>
            <w:r w:rsidRPr="00BF5EA0">
              <w:rPr>
                <w:color w:val="000000" w:themeColor="text1"/>
                <w:szCs w:val="20"/>
              </w:rPr>
              <w:t xml:space="preserve"> per year with the population of a country derived from projections made by the UN Population Division and the total proportion at risk estimated by a country’s National Malaria Control Programme. More specifically, the country estimates what is the proportion at high risk (H) and what is the proportion at low risk (L) and the total population at risk is estimated as UN Population x (H + L).</w:t>
            </w:r>
          </w:p>
          <w:p w14:paraId="73BEE674" w14:textId="77777777" w:rsidR="00221C59" w:rsidRPr="00BF5EA0" w:rsidRDefault="00221C59" w:rsidP="00221C59">
            <w:pPr>
              <w:jc w:val="both"/>
              <w:rPr>
                <w:color w:val="000000" w:themeColor="text1"/>
                <w:szCs w:val="20"/>
              </w:rPr>
            </w:pPr>
          </w:p>
          <w:p w14:paraId="7D9BF536" w14:textId="77777777" w:rsidR="00221C59" w:rsidRDefault="00221C59" w:rsidP="00221C59">
            <w:pPr>
              <w:jc w:val="both"/>
              <w:rPr>
                <w:color w:val="000000" w:themeColor="text1"/>
                <w:szCs w:val="20"/>
              </w:rPr>
            </w:pPr>
            <w:r w:rsidRPr="00BF5EA0">
              <w:rPr>
                <w:color w:val="000000" w:themeColor="text1"/>
                <w:szCs w:val="20"/>
              </w:rPr>
              <w:t xml:space="preserve">The total number of new cases, T, is estimated from the number of malaria cases reported by a Ministry of Health which is adjusted to take into account (i) incompleteness in reporting systems (ii) patients seeking treatment in the private sector, self-medicating or not seeking treatment at all, and (iii) potential over-diagnosis through the lack of laboratory confirmation of cases. The procedure, which is described in the World malaria report 2009 (2), combines data reported by NMCPs (reported cases, reporting completeness and likelihood that cases are parasite </w:t>
            </w:r>
            <w:r w:rsidRPr="00BF5EA0">
              <w:rPr>
                <w:color w:val="000000" w:themeColor="text1"/>
                <w:szCs w:val="20"/>
              </w:rPr>
              <w:lastRenderedPageBreak/>
              <w:t>positive) with data obtained from nationally representative household surveys on health-service use. Briefly,</w:t>
            </w:r>
          </w:p>
          <w:p w14:paraId="631B093C" w14:textId="77777777" w:rsidR="00221C59" w:rsidRDefault="00221C59" w:rsidP="00221C59">
            <w:pPr>
              <w:jc w:val="both"/>
              <w:rPr>
                <w:color w:val="000000" w:themeColor="text1"/>
                <w:szCs w:val="20"/>
              </w:rPr>
            </w:pPr>
          </w:p>
          <w:p w14:paraId="1F3E1CF0" w14:textId="77777777" w:rsidR="00221C59" w:rsidRDefault="00221C59" w:rsidP="00221C59">
            <w:pPr>
              <w:jc w:val="both"/>
              <w:rPr>
                <w:color w:val="000000" w:themeColor="text1"/>
                <w:szCs w:val="20"/>
              </w:rPr>
            </w:pPr>
            <m:oMathPara>
              <m:oMath>
                <m:r>
                  <w:rPr>
                    <w:rFonts w:ascii="Cambria Math" w:hAnsi="Cambria Math"/>
                  </w:rPr>
                  <m:t>T=</m:t>
                </m:r>
                <m:d>
                  <m:dPr>
                    <m:ctrlPr>
                      <w:rPr>
                        <w:rFonts w:ascii="Cambria Math" w:hAnsi="Cambria Math"/>
                        <w:i/>
                      </w:rPr>
                    </m:ctrlPr>
                  </m:dPr>
                  <m:e>
                    <m:r>
                      <m:rPr>
                        <m:nor/>
                      </m:rPr>
                      <w:rPr>
                        <w:rFonts w:ascii="Cambria Math" w:hAnsi="Cambria Math"/>
                      </w:rPr>
                      <m:t>a</m:t>
                    </m:r>
                    <m:r>
                      <w:rPr>
                        <w:rFonts w:ascii="Cambria Math" w:hAnsi="Cambria Math"/>
                      </w:rPr>
                      <m:t>+</m:t>
                    </m:r>
                    <m:f>
                      <m:fPr>
                        <m:type m:val="lin"/>
                        <m:ctrlPr>
                          <w:rPr>
                            <w:rFonts w:ascii="Cambria Math" w:hAnsi="Cambria Math"/>
                            <w:i/>
                          </w:rPr>
                        </m:ctrlPr>
                      </m:fPr>
                      <m:num>
                        <m:d>
                          <m:dPr>
                            <m:ctrlPr>
                              <w:rPr>
                                <w:rFonts w:ascii="Cambria Math" w:hAnsi="Cambria Math"/>
                              </w:rPr>
                            </m:ctrlPr>
                          </m:dPr>
                          <m:e>
                            <m:r>
                              <w:rPr>
                                <w:rFonts w:ascii="Cambria Math" w:hAnsi="Cambria Math"/>
                              </w:rPr>
                              <m:t>c × e</m:t>
                            </m:r>
                          </m:e>
                        </m:d>
                      </m:num>
                      <m:den>
                        <m:r>
                          <w:rPr>
                            <w:rFonts w:ascii="Cambria Math" w:hAnsi="Cambria Math"/>
                          </w:rPr>
                          <m:t>d</m:t>
                        </m:r>
                      </m:den>
                    </m:f>
                  </m:e>
                </m:d>
                <m:r>
                  <w:rPr>
                    <w:rFonts w:ascii="Cambria Math" w:hAnsi="Cambria Math"/>
                  </w:rPr>
                  <m:t>×</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h</m:t>
                        </m:r>
                      </m:num>
                      <m:den>
                        <m:r>
                          <w:rPr>
                            <w:rFonts w:ascii="Cambria Math" w:hAnsi="Cambria Math"/>
                          </w:rPr>
                          <m:t>g</m:t>
                        </m:r>
                      </m:den>
                    </m:f>
                    <m:r>
                      <w:rPr>
                        <w:rFonts w:ascii="Cambria Math" w:hAnsi="Cambria Math"/>
                      </w:rPr>
                      <m:t>+</m:t>
                    </m:r>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r>
                                      <w:rPr>
                                        <w:rFonts w:ascii="Cambria Math" w:hAnsi="Cambria Math"/>
                                      </w:rPr>
                                      <m:t>1-g-h</m:t>
                                    </m:r>
                                  </m:e>
                                </m:d>
                              </m:num>
                              <m:den>
                                <m:r>
                                  <w:rPr>
                                    <w:rFonts w:ascii="Cambria Math" w:hAnsi="Cambria Math"/>
                                  </w:rPr>
                                  <m:t>2</m:t>
                                </m:r>
                              </m:den>
                            </m:f>
                          </m:e>
                        </m:d>
                      </m:num>
                      <m:den>
                        <m:r>
                          <w:rPr>
                            <w:rFonts w:ascii="Cambria Math" w:hAnsi="Cambria Math"/>
                          </w:rPr>
                          <m:t>g</m:t>
                        </m:r>
                      </m:den>
                    </m:f>
                  </m:e>
                </m:d>
              </m:oMath>
            </m:oMathPara>
          </w:p>
          <w:p w14:paraId="2CE8EA5F" w14:textId="77777777" w:rsidR="00221C59" w:rsidRDefault="00221C59" w:rsidP="00221C59">
            <w:pPr>
              <w:jc w:val="both"/>
              <w:rPr>
                <w:color w:val="000000" w:themeColor="text1"/>
                <w:szCs w:val="20"/>
              </w:rPr>
            </w:pPr>
          </w:p>
          <w:p w14:paraId="7E74076A" w14:textId="77777777" w:rsidR="00221C59" w:rsidRPr="00BF5EA0" w:rsidRDefault="00221C59" w:rsidP="00221C59">
            <w:pPr>
              <w:jc w:val="both"/>
              <w:rPr>
                <w:color w:val="000000" w:themeColor="text1"/>
                <w:szCs w:val="20"/>
              </w:rPr>
            </w:pPr>
            <w:r w:rsidRPr="00BF5EA0">
              <w:rPr>
                <w:color w:val="000000" w:themeColor="text1"/>
                <w:szCs w:val="20"/>
              </w:rPr>
              <w:t>where:</w:t>
            </w:r>
          </w:p>
          <w:p w14:paraId="444D6398" w14:textId="77777777" w:rsidR="00221C59" w:rsidRPr="00BF5EA0" w:rsidRDefault="00221C59" w:rsidP="00221C59">
            <w:pPr>
              <w:jc w:val="both"/>
              <w:rPr>
                <w:color w:val="000000" w:themeColor="text1"/>
                <w:szCs w:val="20"/>
              </w:rPr>
            </w:pPr>
            <w:r w:rsidRPr="00BF5EA0">
              <w:rPr>
                <w:color w:val="000000" w:themeColor="text1"/>
                <w:szCs w:val="20"/>
              </w:rPr>
              <w:t>a is malaria cases confirmed in public sector</w:t>
            </w:r>
          </w:p>
          <w:p w14:paraId="67F2A23F" w14:textId="77777777" w:rsidR="00221C59" w:rsidRPr="00BF5EA0" w:rsidRDefault="00221C59" w:rsidP="00221C59">
            <w:pPr>
              <w:jc w:val="both"/>
              <w:rPr>
                <w:color w:val="000000" w:themeColor="text1"/>
                <w:szCs w:val="20"/>
              </w:rPr>
            </w:pPr>
            <w:r w:rsidRPr="00BF5EA0">
              <w:rPr>
                <w:color w:val="000000" w:themeColor="text1"/>
                <w:szCs w:val="20"/>
              </w:rPr>
              <w:t>b is suspected cases tested</w:t>
            </w:r>
          </w:p>
          <w:p w14:paraId="62473788" w14:textId="77777777" w:rsidR="00221C59" w:rsidRPr="00BF5EA0" w:rsidRDefault="00221C59" w:rsidP="00221C59">
            <w:pPr>
              <w:jc w:val="both"/>
              <w:rPr>
                <w:color w:val="000000" w:themeColor="text1"/>
                <w:szCs w:val="20"/>
              </w:rPr>
            </w:pPr>
            <w:r w:rsidRPr="00BF5EA0">
              <w:rPr>
                <w:color w:val="000000" w:themeColor="text1"/>
                <w:szCs w:val="20"/>
              </w:rPr>
              <w:t>c is presumed cases (not tested but treated as malaria)</w:t>
            </w:r>
          </w:p>
          <w:p w14:paraId="612A44C8" w14:textId="77777777" w:rsidR="00221C59" w:rsidRPr="00BF5EA0" w:rsidRDefault="00221C59" w:rsidP="00221C59">
            <w:pPr>
              <w:jc w:val="both"/>
              <w:rPr>
                <w:color w:val="000000" w:themeColor="text1"/>
                <w:szCs w:val="20"/>
              </w:rPr>
            </w:pPr>
            <w:r w:rsidRPr="00BF5EA0">
              <w:rPr>
                <w:color w:val="000000" w:themeColor="text1"/>
                <w:szCs w:val="20"/>
              </w:rPr>
              <w:t>d is reporting completeness</w:t>
            </w:r>
          </w:p>
          <w:p w14:paraId="2D9D8779" w14:textId="77777777" w:rsidR="00221C59" w:rsidRPr="00BF5EA0" w:rsidRDefault="00221C59" w:rsidP="00221C59">
            <w:pPr>
              <w:jc w:val="both"/>
              <w:rPr>
                <w:color w:val="000000" w:themeColor="text1"/>
                <w:szCs w:val="20"/>
              </w:rPr>
            </w:pPr>
            <w:r w:rsidRPr="00BF5EA0">
              <w:rPr>
                <w:color w:val="000000" w:themeColor="text1"/>
                <w:szCs w:val="20"/>
              </w:rPr>
              <w:t>e is test positivity rate (malaria positive fraction) = a/b</w:t>
            </w:r>
          </w:p>
          <w:p w14:paraId="0F62E621" w14:textId="77777777" w:rsidR="00221C59" w:rsidRPr="00BF5EA0" w:rsidRDefault="00221C59" w:rsidP="00221C59">
            <w:pPr>
              <w:jc w:val="both"/>
              <w:rPr>
                <w:color w:val="000000" w:themeColor="text1"/>
                <w:szCs w:val="20"/>
              </w:rPr>
            </w:pPr>
            <w:r w:rsidRPr="00BF5EA0">
              <w:rPr>
                <w:color w:val="000000" w:themeColor="text1"/>
                <w:szCs w:val="20"/>
              </w:rPr>
              <w:t>f is cases in public sector, calculated by (a + (c x e))/d</w:t>
            </w:r>
          </w:p>
          <w:p w14:paraId="60234A2A" w14:textId="77777777" w:rsidR="00221C59" w:rsidRPr="00BF5EA0" w:rsidRDefault="00221C59" w:rsidP="00221C59">
            <w:pPr>
              <w:jc w:val="both"/>
              <w:rPr>
                <w:color w:val="000000" w:themeColor="text1"/>
                <w:szCs w:val="20"/>
              </w:rPr>
            </w:pPr>
            <w:r w:rsidRPr="00BF5EA0">
              <w:rPr>
                <w:color w:val="000000" w:themeColor="text1"/>
                <w:szCs w:val="20"/>
              </w:rPr>
              <w:t>g is treatment seeking fraction in public sector</w:t>
            </w:r>
          </w:p>
          <w:p w14:paraId="44E126B7" w14:textId="77777777" w:rsidR="00221C59" w:rsidRPr="00BF5EA0" w:rsidRDefault="00221C59" w:rsidP="00221C59">
            <w:pPr>
              <w:jc w:val="both"/>
              <w:rPr>
                <w:color w:val="000000" w:themeColor="text1"/>
                <w:szCs w:val="20"/>
              </w:rPr>
            </w:pPr>
            <w:r w:rsidRPr="00BF5EA0">
              <w:rPr>
                <w:color w:val="000000" w:themeColor="text1"/>
                <w:szCs w:val="20"/>
              </w:rPr>
              <w:t>h is treatment seeking fraction in private sector</w:t>
            </w:r>
          </w:p>
          <w:p w14:paraId="0C97252F" w14:textId="77777777" w:rsidR="00221C59" w:rsidRPr="00BF5EA0" w:rsidRDefault="00221C59" w:rsidP="00221C59">
            <w:pPr>
              <w:jc w:val="both"/>
              <w:rPr>
                <w:color w:val="000000" w:themeColor="text1"/>
                <w:szCs w:val="20"/>
              </w:rPr>
            </w:pPr>
            <w:r w:rsidRPr="00BF5EA0">
              <w:rPr>
                <w:color w:val="000000" w:themeColor="text1"/>
                <w:szCs w:val="20"/>
              </w:rPr>
              <w:t xml:space="preserve">i is the fraction not seeking treatment, calculated by (1-g-h)/2 </w:t>
            </w:r>
          </w:p>
          <w:p w14:paraId="1D7A225D" w14:textId="77777777" w:rsidR="00221C59" w:rsidRPr="00BF5EA0" w:rsidRDefault="00221C59" w:rsidP="00221C59">
            <w:pPr>
              <w:jc w:val="both"/>
              <w:rPr>
                <w:color w:val="000000" w:themeColor="text1"/>
                <w:szCs w:val="20"/>
              </w:rPr>
            </w:pPr>
            <w:r w:rsidRPr="00BF5EA0">
              <w:rPr>
                <w:color w:val="000000" w:themeColor="text1"/>
                <w:szCs w:val="20"/>
              </w:rPr>
              <w:t>j is cases in private sector, calculated by f x h/g</w:t>
            </w:r>
          </w:p>
          <w:p w14:paraId="71851CA7" w14:textId="77777777" w:rsidR="00221C59" w:rsidRPr="00BF5EA0" w:rsidRDefault="00221C59" w:rsidP="00221C59">
            <w:pPr>
              <w:jc w:val="both"/>
              <w:rPr>
                <w:color w:val="000000" w:themeColor="text1"/>
                <w:szCs w:val="20"/>
              </w:rPr>
            </w:pPr>
            <w:r w:rsidRPr="00BF5EA0">
              <w:rPr>
                <w:color w:val="000000" w:themeColor="text1"/>
                <w:szCs w:val="20"/>
              </w:rPr>
              <w:t>k is cases not in private and not in public, calculated by f x i/g</w:t>
            </w:r>
          </w:p>
          <w:p w14:paraId="1AA92ED4" w14:textId="77777777" w:rsidR="00221C59" w:rsidRDefault="00221C59" w:rsidP="00221C59">
            <w:pPr>
              <w:jc w:val="both"/>
              <w:rPr>
                <w:color w:val="000000" w:themeColor="text1"/>
                <w:szCs w:val="20"/>
              </w:rPr>
            </w:pPr>
            <w:r w:rsidRPr="00BF5EA0">
              <w:rPr>
                <w:color w:val="000000" w:themeColor="text1"/>
                <w:szCs w:val="20"/>
              </w:rPr>
              <w:t>T is total cases, calculated by f + j + k.</w:t>
            </w:r>
          </w:p>
          <w:p w14:paraId="67762DBD" w14:textId="77777777" w:rsidR="00221C59" w:rsidRDefault="00221C59" w:rsidP="00221C59">
            <w:pPr>
              <w:jc w:val="both"/>
              <w:rPr>
                <w:color w:val="000000" w:themeColor="text1"/>
                <w:szCs w:val="20"/>
              </w:rPr>
            </w:pPr>
          </w:p>
          <w:p w14:paraId="3BC5AABD" w14:textId="77777777" w:rsidR="00221C59" w:rsidRDefault="00221C59" w:rsidP="00221C59">
            <w:pPr>
              <w:jc w:val="both"/>
              <w:rPr>
                <w:color w:val="000000" w:themeColor="text1"/>
                <w:szCs w:val="20"/>
              </w:rPr>
            </w:pPr>
            <w:r w:rsidRPr="00BF5EA0">
              <w:rPr>
                <w:color w:val="000000" w:themeColor="text1"/>
                <w:szCs w:val="20"/>
              </w:rPr>
              <w:t xml:space="preserve">To estimate the uncertainty around the number of cases, the test positivity rate was assumed to have a normal distribution centred on the Test positivity rate value and standard deviation defined as 0.244 × </w:t>
            </w:r>
            <w:r w:rsidRPr="00BF5EA0">
              <w:rPr>
                <w:rFonts w:ascii="Cambria Math" w:hAnsi="Cambria Math" w:cs="Cambria Math"/>
                <w:color w:val="000000" w:themeColor="text1"/>
                <w:szCs w:val="20"/>
              </w:rPr>
              <w:t>〖</w:t>
            </w:r>
            <w:r w:rsidRPr="00BF5EA0">
              <w:rPr>
                <w:color w:val="000000" w:themeColor="text1"/>
                <w:szCs w:val="20"/>
              </w:rPr>
              <w:t>Test positivity rate</w:t>
            </w:r>
            <w:r w:rsidRPr="00BF5EA0">
              <w:rPr>
                <w:rFonts w:ascii="Cambria Math" w:hAnsi="Cambria Math" w:cs="Cambria Math"/>
                <w:color w:val="000000" w:themeColor="text1"/>
                <w:szCs w:val="20"/>
              </w:rPr>
              <w:t>〗</w:t>
            </w:r>
            <w:r w:rsidRPr="00BF5EA0">
              <w:rPr>
                <w:color w:val="000000" w:themeColor="text1"/>
                <w:szCs w:val="20"/>
              </w:rPr>
              <w:t>^0.5547 and truncated to be in the range 0, 1. Reporting completeness was assumed to have one of three distributions, depending on the range or value reported by the NMCP. If the range was greater than 80% the distribution was assumed to be triangular, with limits of 0.8 and 1 and the peak at 0.8. If the range was greater than 50% then the distribution was assumed to be rectangular, with limits of 0.5 and 0.8. Finally, if the range was lower than 50% the distribution was assumed to be triangular, with limits of 0 and 0.5 and the peak at 0.5 (3</w:t>
            </w:r>
            <w:proofErr w:type="gramStart"/>
            <w:r w:rsidRPr="00BF5EA0">
              <w:rPr>
                <w:color w:val="000000" w:themeColor="text1"/>
                <w:szCs w:val="20"/>
              </w:rPr>
              <w:t>) .</w:t>
            </w:r>
            <w:proofErr w:type="gramEnd"/>
            <w:r w:rsidRPr="00BF5EA0">
              <w:rPr>
                <w:color w:val="000000" w:themeColor="text1"/>
                <w:szCs w:val="20"/>
              </w:rPr>
              <w:t xml:space="preserve"> If the reporting completeness was reported as a value and was greater than 80%, a beta distribution was assumed with a mean value of the reported value (maximum of 95%) and confidence intervals (CIs) of 5% round the mean value. The proportions of children for whom care was sought in the private sector and in the public sector were assumed to have a beta distribution, with the mean value being the estimated value in the survey and the standard deviation calculated from the range of the estimated 95% confidence intervals (CI) divided by 4. The proportion of children for whom care was not sought was assumed to have a rectangular distribution, with the lower limit 0 and upper limit calculated as 1 minus </w:t>
            </w:r>
            <w:r w:rsidRPr="00BF5EA0">
              <w:rPr>
                <w:color w:val="000000" w:themeColor="text1"/>
                <w:szCs w:val="20"/>
              </w:rPr>
              <w:lastRenderedPageBreak/>
              <w:t>the proportion that sought care in public or private sector.</w:t>
            </w:r>
          </w:p>
          <w:p w14:paraId="2933F0E6" w14:textId="77777777" w:rsidR="00221C59" w:rsidRDefault="00221C59" w:rsidP="00221C59">
            <w:pPr>
              <w:jc w:val="both"/>
              <w:rPr>
                <w:color w:val="000000" w:themeColor="text1"/>
                <w:szCs w:val="20"/>
              </w:rPr>
            </w:pPr>
          </w:p>
          <w:p w14:paraId="503C4D6D" w14:textId="6819ED82" w:rsidR="00221C59" w:rsidRPr="00CA531B" w:rsidRDefault="00221C59" w:rsidP="00221C59">
            <w:pPr>
              <w:jc w:val="both"/>
              <w:rPr>
                <w:szCs w:val="20"/>
              </w:rPr>
            </w:pPr>
          </w:p>
          <w:p w14:paraId="3473345A" w14:textId="77777777" w:rsidR="00221C59" w:rsidRPr="00CA531B" w:rsidRDefault="00221C59" w:rsidP="00221C59">
            <w:pPr>
              <w:jc w:val="both"/>
              <w:rPr>
                <w:szCs w:val="20"/>
              </w:rPr>
            </w:pPr>
          </w:p>
          <w:p w14:paraId="42AC2DCC" w14:textId="77777777" w:rsidR="00221C59" w:rsidRPr="00CA531B" w:rsidRDefault="00221C59" w:rsidP="00221C59">
            <w:pPr>
              <w:jc w:val="both"/>
              <w:rPr>
                <w:b/>
                <w:bCs/>
                <w:szCs w:val="20"/>
              </w:rPr>
            </w:pPr>
            <w:r w:rsidRPr="00CA531B">
              <w:rPr>
                <w:b/>
                <w:bCs/>
                <w:szCs w:val="20"/>
              </w:rPr>
              <w:t>Treatment of missing values:</w:t>
            </w:r>
          </w:p>
          <w:p w14:paraId="6265C16D" w14:textId="77777777" w:rsidR="00221C59" w:rsidRPr="00CA531B" w:rsidRDefault="00221C59" w:rsidP="00221C59">
            <w:pPr>
              <w:jc w:val="both"/>
              <w:rPr>
                <w:szCs w:val="20"/>
              </w:rPr>
            </w:pPr>
            <w:r w:rsidRPr="00CA531B">
              <w:rPr>
                <w:szCs w:val="20"/>
              </w:rPr>
              <w:t>• At country level for missing values of the parameters (test positivity rate and reporting completeness) a distribution based on a mixture of the distribution of the available values is used, if any value exists for the country or from the region otherwise. Values for health seeking behaviour parameters are imputed by linear interpolation of the values when the surveys where made or extrapolation of the first or last survey. When no reported data is available the number of cases is interpolated taking into account the population growth.</w:t>
            </w:r>
          </w:p>
        </w:tc>
        <w:tc>
          <w:tcPr>
            <w:tcW w:w="0" w:type="auto"/>
            <w:shd w:val="clear" w:color="auto" w:fill="auto"/>
          </w:tcPr>
          <w:p w14:paraId="74BA5606" w14:textId="77777777" w:rsidR="00221C59" w:rsidRDefault="00221C59" w:rsidP="00221C59">
            <w:pPr>
              <w:jc w:val="center"/>
              <w:rPr>
                <w:bCs/>
                <w:szCs w:val="20"/>
              </w:rPr>
            </w:pPr>
            <w:r>
              <w:rPr>
                <w:bCs/>
                <w:szCs w:val="20"/>
              </w:rPr>
              <w:lastRenderedPageBreak/>
              <w:t xml:space="preserve">National Malaria Control Programme </w:t>
            </w:r>
            <w:r w:rsidRPr="00CA531B">
              <w:rPr>
                <w:bCs/>
                <w:szCs w:val="20"/>
              </w:rPr>
              <w:t>summarized in a DHIS2</w:t>
            </w:r>
            <w:r>
              <w:rPr>
                <w:bCs/>
                <w:szCs w:val="20"/>
              </w:rPr>
              <w:t xml:space="preserve"> application;</w:t>
            </w:r>
          </w:p>
          <w:p w14:paraId="2B8325CF" w14:textId="77777777" w:rsidR="00221C59" w:rsidRDefault="00221C59" w:rsidP="00221C59">
            <w:pPr>
              <w:jc w:val="center"/>
              <w:rPr>
                <w:bCs/>
                <w:szCs w:val="20"/>
              </w:rPr>
            </w:pPr>
            <w:r>
              <w:rPr>
                <w:bCs/>
                <w:szCs w:val="20"/>
              </w:rPr>
              <w:t>DHS;</w:t>
            </w:r>
          </w:p>
          <w:p w14:paraId="614E32F7" w14:textId="77777777" w:rsidR="00221C59" w:rsidRPr="00A94431" w:rsidRDefault="00221C59" w:rsidP="00221C59">
            <w:pPr>
              <w:jc w:val="center"/>
              <w:rPr>
                <w:bCs/>
                <w:szCs w:val="20"/>
              </w:rPr>
            </w:pPr>
            <w:r w:rsidRPr="00CA531B">
              <w:rPr>
                <w:bCs/>
                <w:szCs w:val="20"/>
              </w:rPr>
              <w:t>Malaria Indicator Survey</w:t>
            </w:r>
          </w:p>
        </w:tc>
        <w:tc>
          <w:tcPr>
            <w:tcW w:w="0" w:type="auto"/>
            <w:shd w:val="clear" w:color="auto" w:fill="auto"/>
          </w:tcPr>
          <w:p w14:paraId="1006137D" w14:textId="77777777" w:rsidR="00221C59" w:rsidRPr="00A94431" w:rsidRDefault="00221C59" w:rsidP="00221C59">
            <w:pPr>
              <w:jc w:val="center"/>
              <w:rPr>
                <w:bCs/>
                <w:szCs w:val="20"/>
              </w:rPr>
            </w:pPr>
            <w:r w:rsidRPr="00CA531B">
              <w:rPr>
                <w:bCs/>
                <w:szCs w:val="20"/>
              </w:rPr>
              <w:t>National Malaria Control Program at the Ministry of Health</w:t>
            </w:r>
          </w:p>
        </w:tc>
        <w:tc>
          <w:tcPr>
            <w:tcW w:w="0" w:type="auto"/>
            <w:shd w:val="clear" w:color="auto" w:fill="auto"/>
          </w:tcPr>
          <w:p w14:paraId="54264926" w14:textId="7E90C9C2" w:rsidR="00221C59" w:rsidRPr="00A94431" w:rsidRDefault="00F91CBB" w:rsidP="00221C59">
            <w:pPr>
              <w:jc w:val="center"/>
              <w:rPr>
                <w:color w:val="000000" w:themeColor="text1"/>
                <w:sz w:val="18"/>
                <w:szCs w:val="18"/>
              </w:rPr>
            </w:pPr>
            <w:r>
              <w:rPr>
                <w:color w:val="000000" w:themeColor="text1"/>
                <w:sz w:val="18"/>
                <w:szCs w:val="18"/>
              </w:rPr>
              <w:t xml:space="preserve"> NMEP</w:t>
            </w:r>
          </w:p>
        </w:tc>
        <w:tc>
          <w:tcPr>
            <w:tcW w:w="0" w:type="auto"/>
            <w:shd w:val="clear" w:color="auto" w:fill="auto"/>
          </w:tcPr>
          <w:p w14:paraId="5BD10D1F" w14:textId="77777777" w:rsidR="00221C59" w:rsidRPr="00CA531B" w:rsidRDefault="00221C59" w:rsidP="00221C59">
            <w:pPr>
              <w:ind w:left="61" w:hanging="106"/>
              <w:rPr>
                <w:color w:val="000000" w:themeColor="text1"/>
                <w:sz w:val="18"/>
                <w:szCs w:val="18"/>
              </w:rPr>
            </w:pPr>
            <w:r w:rsidRPr="00CA531B">
              <w:rPr>
                <w:color w:val="000000" w:themeColor="text1"/>
                <w:sz w:val="18"/>
                <w:szCs w:val="18"/>
              </w:rPr>
              <w:t>a) HMSS, BBS</w:t>
            </w:r>
          </w:p>
          <w:p w14:paraId="7DF141B0" w14:textId="2ECC3235" w:rsidR="00221C59" w:rsidRPr="00A94431" w:rsidRDefault="00221C59" w:rsidP="00F91CBB">
            <w:pPr>
              <w:ind w:left="61" w:hanging="106"/>
              <w:rPr>
                <w:color w:val="000000" w:themeColor="text1"/>
                <w:sz w:val="18"/>
                <w:szCs w:val="18"/>
              </w:rPr>
            </w:pPr>
            <w:r w:rsidRPr="00CA531B">
              <w:rPr>
                <w:color w:val="000000" w:themeColor="text1"/>
                <w:sz w:val="18"/>
                <w:szCs w:val="18"/>
              </w:rPr>
              <w:t>b)</w:t>
            </w:r>
            <w:r w:rsidR="00F91CBB">
              <w:rPr>
                <w:color w:val="000000" w:themeColor="text1"/>
                <w:sz w:val="18"/>
                <w:szCs w:val="18"/>
              </w:rPr>
              <w:t xml:space="preserve"> NMEP</w:t>
            </w:r>
            <w:r w:rsidRPr="00CA531B">
              <w:rPr>
                <w:color w:val="000000" w:themeColor="text1"/>
                <w:sz w:val="18"/>
                <w:szCs w:val="18"/>
              </w:rPr>
              <w:t>, DGHS</w:t>
            </w:r>
            <w:r>
              <w:rPr>
                <w:color w:val="000000" w:themeColor="text1"/>
                <w:sz w:val="18"/>
                <w:szCs w:val="18"/>
              </w:rPr>
              <w:t>,HSD</w:t>
            </w:r>
          </w:p>
        </w:tc>
        <w:tc>
          <w:tcPr>
            <w:tcW w:w="0" w:type="auto"/>
            <w:shd w:val="clear" w:color="auto" w:fill="auto"/>
          </w:tcPr>
          <w:p w14:paraId="2B71FE91" w14:textId="77777777" w:rsidR="00221C59" w:rsidRDefault="00221C59" w:rsidP="00221C59">
            <w:pPr>
              <w:pStyle w:val="ListParagraph"/>
              <w:numPr>
                <w:ilvl w:val="0"/>
                <w:numId w:val="2"/>
              </w:numPr>
              <w:spacing w:after="0"/>
              <w:ind w:left="130" w:hanging="130"/>
              <w:jc w:val="both"/>
              <w:rPr>
                <w:rFonts w:ascii="Tw Cen MT Condensed" w:hAnsi="Tw Cen MT Condensed"/>
                <w:bCs/>
                <w:sz w:val="20"/>
                <w:szCs w:val="20"/>
              </w:rPr>
            </w:pPr>
            <w:r>
              <w:rPr>
                <w:rFonts w:ascii="Tw Cen MT Condensed" w:hAnsi="Tw Cen MT Condensed"/>
                <w:bCs/>
                <w:sz w:val="20"/>
                <w:szCs w:val="20"/>
              </w:rPr>
              <w:t>Division</w:t>
            </w:r>
          </w:p>
          <w:p w14:paraId="721FD274" w14:textId="77777777" w:rsidR="00221C59" w:rsidRDefault="00221C59" w:rsidP="00221C59">
            <w:pPr>
              <w:pStyle w:val="ListParagraph"/>
              <w:numPr>
                <w:ilvl w:val="0"/>
                <w:numId w:val="2"/>
              </w:numPr>
              <w:spacing w:after="0"/>
              <w:ind w:left="130" w:hanging="130"/>
              <w:jc w:val="both"/>
              <w:rPr>
                <w:rFonts w:ascii="Tw Cen MT Condensed" w:hAnsi="Tw Cen MT Condensed"/>
                <w:bCs/>
                <w:sz w:val="20"/>
                <w:szCs w:val="20"/>
              </w:rPr>
            </w:pPr>
            <w:r>
              <w:rPr>
                <w:rFonts w:ascii="Tw Cen MT Condensed" w:hAnsi="Tw Cen MT Condensed"/>
                <w:bCs/>
                <w:sz w:val="20"/>
                <w:szCs w:val="20"/>
              </w:rPr>
              <w:t>District</w:t>
            </w:r>
          </w:p>
          <w:p w14:paraId="4F3FBD71" w14:textId="3C17553F" w:rsidR="00B22244" w:rsidRPr="00A94431" w:rsidRDefault="00B22244" w:rsidP="00221C59">
            <w:pPr>
              <w:pStyle w:val="ListParagraph"/>
              <w:numPr>
                <w:ilvl w:val="0"/>
                <w:numId w:val="2"/>
              </w:numPr>
              <w:spacing w:after="0"/>
              <w:ind w:left="130" w:hanging="130"/>
              <w:jc w:val="both"/>
              <w:rPr>
                <w:rFonts w:ascii="Tw Cen MT Condensed" w:hAnsi="Tw Cen MT Condensed"/>
                <w:bCs/>
                <w:sz w:val="20"/>
                <w:szCs w:val="20"/>
              </w:rPr>
            </w:pPr>
            <w:r>
              <w:rPr>
                <w:rFonts w:ascii="Tw Cen MT Condensed" w:hAnsi="Tw Cen MT Condensed"/>
                <w:bCs/>
                <w:sz w:val="20"/>
                <w:szCs w:val="20"/>
              </w:rPr>
              <w:t>Location (Urban/Rural)</w:t>
            </w:r>
          </w:p>
        </w:tc>
        <w:tc>
          <w:tcPr>
            <w:tcW w:w="0" w:type="auto"/>
            <w:shd w:val="clear" w:color="auto" w:fill="auto"/>
          </w:tcPr>
          <w:p w14:paraId="5B537DCD" w14:textId="77777777" w:rsidR="00221C59" w:rsidRDefault="00221C59" w:rsidP="00221C59">
            <w:pPr>
              <w:jc w:val="center"/>
              <w:rPr>
                <w:bCs/>
                <w:szCs w:val="20"/>
              </w:rPr>
            </w:pPr>
            <w:r>
              <w:rPr>
                <w:bCs/>
                <w:szCs w:val="20"/>
              </w:rPr>
              <w:t>Annual</w:t>
            </w:r>
          </w:p>
        </w:tc>
        <w:tc>
          <w:tcPr>
            <w:tcW w:w="0" w:type="auto"/>
            <w:shd w:val="clear" w:color="auto" w:fill="auto"/>
          </w:tcPr>
          <w:p w14:paraId="2D0E14F0" w14:textId="77777777" w:rsidR="00221C59" w:rsidRDefault="00221C59" w:rsidP="00221C59">
            <w:pPr>
              <w:pStyle w:val="NoSpacing"/>
            </w:pPr>
            <w:r>
              <w:t>1</w:t>
            </w:r>
            <w:r w:rsidRPr="00013ACB">
              <w:rPr>
                <w:vertAlign w:val="superscript"/>
              </w:rPr>
              <w:t>st</w:t>
            </w:r>
            <w:r>
              <w:t xml:space="preserve"> Round: </w:t>
            </w:r>
          </w:p>
          <w:p w14:paraId="10461182" w14:textId="77777777" w:rsidR="00221C59" w:rsidRDefault="00221C59" w:rsidP="00221C59">
            <w:pPr>
              <w:pStyle w:val="NoSpacing"/>
            </w:pPr>
            <w:r>
              <w:t>2015</w:t>
            </w:r>
          </w:p>
          <w:p w14:paraId="6B1A654A" w14:textId="77777777" w:rsidR="00221C59" w:rsidRDefault="00221C59" w:rsidP="00221C59">
            <w:pPr>
              <w:pStyle w:val="NoSpacing"/>
            </w:pPr>
            <w:r>
              <w:t>2</w:t>
            </w:r>
            <w:r w:rsidRPr="00013ACB">
              <w:rPr>
                <w:vertAlign w:val="superscript"/>
              </w:rPr>
              <w:t>nd</w:t>
            </w:r>
            <w:r>
              <w:t xml:space="preserve"> Round: </w:t>
            </w:r>
          </w:p>
          <w:p w14:paraId="6EACC982" w14:textId="77777777" w:rsidR="00221C59" w:rsidRDefault="00221C59" w:rsidP="00221C59">
            <w:pPr>
              <w:pStyle w:val="NoSpacing"/>
            </w:pPr>
            <w:r w:rsidRPr="00BC6F10">
              <w:rPr>
                <w:szCs w:val="22"/>
              </w:rPr>
              <w:t>July 2019</w:t>
            </w:r>
          </w:p>
          <w:p w14:paraId="75BB635B" w14:textId="77777777" w:rsidR="00221C59" w:rsidRDefault="00221C59" w:rsidP="00221C59">
            <w:pPr>
              <w:pStyle w:val="NoSpacing"/>
            </w:pPr>
            <w:r>
              <w:t>3</w:t>
            </w:r>
            <w:r w:rsidRPr="00013ACB">
              <w:rPr>
                <w:vertAlign w:val="superscript"/>
              </w:rPr>
              <w:t>rd</w:t>
            </w:r>
            <w:r>
              <w:t xml:space="preserve"> Round: </w:t>
            </w:r>
          </w:p>
          <w:p w14:paraId="30DF7FE3" w14:textId="77777777" w:rsidR="00221C59" w:rsidRDefault="00221C59" w:rsidP="00221C59">
            <w:pPr>
              <w:pStyle w:val="NoSpacing"/>
            </w:pPr>
            <w:r>
              <w:rPr>
                <w:szCs w:val="22"/>
              </w:rPr>
              <w:t>July 2022</w:t>
            </w:r>
          </w:p>
          <w:p w14:paraId="0939FB9D" w14:textId="77777777" w:rsidR="00221C59" w:rsidRDefault="00221C59" w:rsidP="00221C59">
            <w:pPr>
              <w:pStyle w:val="NoSpacing"/>
            </w:pPr>
            <w:r>
              <w:t>4</w:t>
            </w:r>
            <w:r w:rsidRPr="00013ACB">
              <w:rPr>
                <w:vertAlign w:val="superscript"/>
              </w:rPr>
              <w:t>th</w:t>
            </w:r>
            <w:r>
              <w:t xml:space="preserve"> Round: </w:t>
            </w:r>
          </w:p>
          <w:p w14:paraId="107668D7" w14:textId="77777777" w:rsidR="00221C59" w:rsidRDefault="00221C59" w:rsidP="00221C59">
            <w:pPr>
              <w:pStyle w:val="NoSpacing"/>
            </w:pPr>
            <w:r>
              <w:rPr>
                <w:szCs w:val="22"/>
              </w:rPr>
              <w:t>July 2025</w:t>
            </w:r>
          </w:p>
          <w:p w14:paraId="29A0B96D" w14:textId="77777777" w:rsidR="00221C59" w:rsidRDefault="00221C59" w:rsidP="00221C59">
            <w:pPr>
              <w:pStyle w:val="NoSpacing"/>
            </w:pPr>
            <w:r>
              <w:t>5</w:t>
            </w:r>
            <w:r w:rsidRPr="00013ACB">
              <w:rPr>
                <w:vertAlign w:val="superscript"/>
              </w:rPr>
              <w:t>th</w:t>
            </w:r>
            <w:r>
              <w:t xml:space="preserve"> Round: </w:t>
            </w:r>
          </w:p>
          <w:p w14:paraId="15F662B7" w14:textId="5DD02488" w:rsidR="00221C59" w:rsidRPr="002175FB" w:rsidRDefault="00221C59" w:rsidP="00221C59">
            <w:pPr>
              <w:jc w:val="center"/>
              <w:rPr>
                <w:bCs/>
                <w:szCs w:val="20"/>
              </w:rPr>
            </w:pPr>
            <w:r>
              <w:rPr>
                <w:szCs w:val="22"/>
              </w:rPr>
              <w:t>July 2028</w:t>
            </w:r>
          </w:p>
        </w:tc>
        <w:tc>
          <w:tcPr>
            <w:tcW w:w="682" w:type="dxa"/>
            <w:shd w:val="clear" w:color="auto" w:fill="auto"/>
          </w:tcPr>
          <w:p w14:paraId="2835D156" w14:textId="77777777" w:rsidR="00221C59" w:rsidRDefault="00221C59" w:rsidP="00221C59">
            <w:pPr>
              <w:jc w:val="both"/>
              <w:rPr>
                <w:bCs/>
                <w:szCs w:val="20"/>
              </w:rPr>
            </w:pPr>
            <w:r>
              <w:rPr>
                <w:bCs/>
                <w:szCs w:val="20"/>
              </w:rPr>
              <w:t>Group 1</w:t>
            </w:r>
          </w:p>
        </w:tc>
        <w:tc>
          <w:tcPr>
            <w:tcW w:w="983" w:type="dxa"/>
            <w:shd w:val="clear" w:color="auto" w:fill="auto"/>
          </w:tcPr>
          <w:p w14:paraId="33AC9554" w14:textId="77777777" w:rsidR="00221C59" w:rsidRDefault="00221C59" w:rsidP="00221C59">
            <w:pPr>
              <w:jc w:val="both"/>
              <w:rPr>
                <w:bCs/>
                <w:szCs w:val="20"/>
              </w:rPr>
            </w:pPr>
          </w:p>
        </w:tc>
      </w:tr>
      <w:tr w:rsidR="00BF3271" w14:paraId="5026789E" w14:textId="77777777" w:rsidTr="0085651F">
        <w:tc>
          <w:tcPr>
            <w:tcW w:w="0" w:type="auto"/>
            <w:gridSpan w:val="2"/>
            <w:shd w:val="clear" w:color="auto" w:fill="auto"/>
          </w:tcPr>
          <w:p w14:paraId="5E7204A6" w14:textId="77777777" w:rsidR="00221C59" w:rsidRPr="00CA531B" w:rsidRDefault="00221C59" w:rsidP="00221C59">
            <w:pPr>
              <w:jc w:val="both"/>
              <w:rPr>
                <w:szCs w:val="20"/>
              </w:rPr>
            </w:pPr>
            <w:r w:rsidRPr="00CA531B">
              <w:rPr>
                <w:szCs w:val="20"/>
              </w:rPr>
              <w:lastRenderedPageBreak/>
              <w:t>3.3.4: Hepatitis B incidence per 100,000 population</w:t>
            </w:r>
          </w:p>
        </w:tc>
        <w:tc>
          <w:tcPr>
            <w:tcW w:w="0" w:type="auto"/>
            <w:shd w:val="clear" w:color="auto" w:fill="auto"/>
          </w:tcPr>
          <w:p w14:paraId="57292DD8" w14:textId="77777777" w:rsidR="00221C59" w:rsidRDefault="00221C59" w:rsidP="00221C59">
            <w:pPr>
              <w:jc w:val="center"/>
              <w:rPr>
                <w:szCs w:val="20"/>
              </w:rPr>
            </w:pPr>
            <w:r>
              <w:rPr>
                <w:szCs w:val="20"/>
              </w:rPr>
              <w:t>WHO</w:t>
            </w:r>
          </w:p>
        </w:tc>
        <w:tc>
          <w:tcPr>
            <w:tcW w:w="0" w:type="auto"/>
            <w:shd w:val="clear" w:color="auto" w:fill="auto"/>
          </w:tcPr>
          <w:p w14:paraId="61D093A1" w14:textId="77777777" w:rsidR="00221C59" w:rsidRDefault="00221C59" w:rsidP="00221C59">
            <w:pPr>
              <w:jc w:val="center"/>
              <w:rPr>
                <w:szCs w:val="20"/>
              </w:rPr>
            </w:pPr>
            <w:r>
              <w:rPr>
                <w:szCs w:val="20"/>
              </w:rPr>
              <w:t>Tier I</w:t>
            </w:r>
          </w:p>
          <w:p w14:paraId="19BC715D" w14:textId="15167084" w:rsidR="00221C59" w:rsidRDefault="00221C59" w:rsidP="00221C59">
            <w:pPr>
              <w:jc w:val="center"/>
              <w:rPr>
                <w:szCs w:val="20"/>
              </w:rPr>
            </w:pPr>
          </w:p>
        </w:tc>
        <w:tc>
          <w:tcPr>
            <w:tcW w:w="0" w:type="auto"/>
            <w:shd w:val="clear" w:color="auto" w:fill="auto"/>
          </w:tcPr>
          <w:p w14:paraId="0F20806F" w14:textId="07657E44" w:rsidR="00221C59" w:rsidRDefault="005962A6" w:rsidP="00221C59">
            <w:pPr>
              <w:jc w:val="both"/>
              <w:rPr>
                <w:b/>
                <w:bCs/>
                <w:color w:val="000000" w:themeColor="text1"/>
                <w:szCs w:val="20"/>
              </w:rPr>
            </w:pPr>
            <w:r>
              <w:rPr>
                <w:b/>
                <w:bCs/>
                <w:color w:val="000000" w:themeColor="text1"/>
                <w:szCs w:val="20"/>
              </w:rPr>
              <w:t>Definition:</w:t>
            </w:r>
          </w:p>
          <w:p w14:paraId="5BA99BF1" w14:textId="5AB6C6DE" w:rsidR="005962A6" w:rsidRDefault="005962A6" w:rsidP="00221C59">
            <w:pPr>
              <w:jc w:val="both"/>
              <w:rPr>
                <w:color w:val="000000" w:themeColor="text1"/>
                <w:szCs w:val="20"/>
              </w:rPr>
            </w:pPr>
            <w:r w:rsidRPr="005962A6">
              <w:rPr>
                <w:color w:val="000000" w:themeColor="text1"/>
                <w:szCs w:val="20"/>
              </w:rPr>
              <w:t>Estimated number of new and relapse TB cases (all forms of TB, including cases in people living with HIV) arising in a given year, expressed as a rate per 100 000 population.</w:t>
            </w:r>
          </w:p>
          <w:p w14:paraId="30F818DA" w14:textId="38DE33BE" w:rsidR="005962A6" w:rsidRDefault="005962A6" w:rsidP="00221C59">
            <w:pPr>
              <w:jc w:val="both"/>
              <w:rPr>
                <w:color w:val="000000" w:themeColor="text1"/>
                <w:szCs w:val="20"/>
              </w:rPr>
            </w:pPr>
          </w:p>
          <w:p w14:paraId="3F73E3FA" w14:textId="5C8AE4ED" w:rsidR="005962A6" w:rsidRDefault="005962A6" w:rsidP="00221C59">
            <w:pPr>
              <w:jc w:val="both"/>
              <w:rPr>
                <w:b/>
                <w:bCs/>
                <w:color w:val="000000" w:themeColor="text1"/>
                <w:szCs w:val="20"/>
              </w:rPr>
            </w:pPr>
            <w:r>
              <w:rPr>
                <w:b/>
                <w:bCs/>
                <w:color w:val="000000" w:themeColor="text1"/>
                <w:szCs w:val="20"/>
              </w:rPr>
              <w:t>Computation Method:</w:t>
            </w:r>
          </w:p>
          <w:p w14:paraId="63C3A913" w14:textId="643A1DBC" w:rsidR="00470026" w:rsidRDefault="00470026" w:rsidP="00470026">
            <w:pPr>
              <w:jc w:val="both"/>
              <w:rPr>
                <w:color w:val="000000" w:themeColor="text1"/>
                <w:szCs w:val="20"/>
              </w:rPr>
            </w:pPr>
            <w:r w:rsidRPr="00470026">
              <w:rPr>
                <w:color w:val="000000" w:themeColor="text1"/>
                <w:szCs w:val="20"/>
              </w:rPr>
              <w:t xml:space="preserve">Direct measurement requires high-quality surveillance systems in which underreporting is </w:t>
            </w:r>
            <w:proofErr w:type="gramStart"/>
            <w:r w:rsidRPr="00470026">
              <w:rPr>
                <w:color w:val="000000" w:themeColor="text1"/>
                <w:szCs w:val="20"/>
              </w:rPr>
              <w:t>negligible,</w:t>
            </w:r>
            <w:proofErr w:type="gramEnd"/>
            <w:r w:rsidRPr="00470026">
              <w:rPr>
                <w:color w:val="000000" w:themeColor="text1"/>
                <w:szCs w:val="20"/>
              </w:rPr>
              <w:t xml:space="preserve"> and strong health systems so that underdiagnosis is also negligible; otherwise indirect estimates based on notification data and estimates of levels of underreporting and under-diagnosis. </w:t>
            </w:r>
          </w:p>
          <w:p w14:paraId="24939B5A" w14:textId="77777777" w:rsidR="00470026" w:rsidRDefault="00470026" w:rsidP="00470026">
            <w:pPr>
              <w:jc w:val="both"/>
              <w:rPr>
                <w:color w:val="000000" w:themeColor="text1"/>
                <w:szCs w:val="20"/>
              </w:rPr>
            </w:pPr>
          </w:p>
          <w:p w14:paraId="60E299E8" w14:textId="758E00DA" w:rsidR="00470026" w:rsidRPr="00470026" w:rsidRDefault="00470026" w:rsidP="00470026">
            <w:pPr>
              <w:jc w:val="both"/>
              <w:rPr>
                <w:color w:val="000000" w:themeColor="text1"/>
                <w:szCs w:val="20"/>
              </w:rPr>
            </w:pPr>
            <w:r w:rsidRPr="00470026">
              <w:rPr>
                <w:color w:val="000000" w:themeColor="text1"/>
                <w:szCs w:val="20"/>
              </w:rPr>
              <w:t>Method of estimation</w:t>
            </w:r>
            <w:r>
              <w:rPr>
                <w:color w:val="000000" w:themeColor="text1"/>
                <w:szCs w:val="20"/>
              </w:rPr>
              <w:t>:</w:t>
            </w:r>
          </w:p>
          <w:p w14:paraId="7037355E" w14:textId="4DBB8E4E" w:rsidR="00470026" w:rsidRDefault="00470026" w:rsidP="00470026">
            <w:pPr>
              <w:jc w:val="both"/>
              <w:rPr>
                <w:color w:val="000000" w:themeColor="text1"/>
                <w:szCs w:val="20"/>
              </w:rPr>
            </w:pPr>
            <w:r w:rsidRPr="00470026">
              <w:rPr>
                <w:color w:val="000000" w:themeColor="text1"/>
                <w:szCs w:val="20"/>
              </w:rPr>
              <w:t xml:space="preserve">Estimates of TB incidence are produced through a consultative and analytical process led by </w:t>
            </w:r>
            <w:proofErr w:type="gramStart"/>
            <w:r w:rsidRPr="00470026">
              <w:rPr>
                <w:color w:val="000000" w:themeColor="text1"/>
                <w:szCs w:val="20"/>
              </w:rPr>
              <w:t>WHO</w:t>
            </w:r>
            <w:proofErr w:type="gramEnd"/>
            <w:r w:rsidRPr="00470026">
              <w:rPr>
                <w:color w:val="000000" w:themeColor="text1"/>
                <w:szCs w:val="20"/>
              </w:rPr>
              <w:t xml:space="preserve"> and are published annually. These estimates are based on annual case notifications, assessments of the quality and coverage of TB notification data, national surveys of the prevalence of TB disease and information from death (vital) registration systems.</w:t>
            </w:r>
          </w:p>
          <w:p w14:paraId="2F4F3289" w14:textId="77777777" w:rsidR="00470026" w:rsidRPr="00470026" w:rsidRDefault="00470026" w:rsidP="00470026">
            <w:pPr>
              <w:jc w:val="both"/>
              <w:rPr>
                <w:color w:val="000000" w:themeColor="text1"/>
                <w:szCs w:val="20"/>
              </w:rPr>
            </w:pPr>
          </w:p>
          <w:p w14:paraId="11073A0F" w14:textId="0C527057" w:rsidR="00470026" w:rsidRDefault="00470026" w:rsidP="00470026">
            <w:pPr>
              <w:jc w:val="both"/>
              <w:rPr>
                <w:color w:val="000000" w:themeColor="text1"/>
                <w:szCs w:val="20"/>
              </w:rPr>
            </w:pPr>
            <w:r w:rsidRPr="00470026">
              <w:rPr>
                <w:color w:val="000000" w:themeColor="text1"/>
                <w:szCs w:val="20"/>
              </w:rPr>
              <w:t>Estimates of incidence for each country are derived, using one or more of the following approaches depending on available data: (i) incidence = case notifications/estimated proportion of cases detected; (ii) incidence = prevalence/duration of condition; (iii) incidence = deaths/proportion of incident cases that die.</w:t>
            </w:r>
          </w:p>
          <w:p w14:paraId="51AC606B" w14:textId="77777777" w:rsidR="00470026" w:rsidRPr="00470026" w:rsidRDefault="00470026" w:rsidP="00470026">
            <w:pPr>
              <w:jc w:val="both"/>
              <w:rPr>
                <w:color w:val="000000" w:themeColor="text1"/>
                <w:szCs w:val="20"/>
              </w:rPr>
            </w:pPr>
          </w:p>
          <w:p w14:paraId="577D52C1" w14:textId="20AFD94A" w:rsidR="00470026" w:rsidRPr="00470026" w:rsidRDefault="00470026" w:rsidP="00470026">
            <w:pPr>
              <w:jc w:val="both"/>
              <w:rPr>
                <w:color w:val="000000" w:themeColor="text1"/>
                <w:szCs w:val="20"/>
              </w:rPr>
            </w:pPr>
            <w:r w:rsidRPr="00470026">
              <w:rPr>
                <w:color w:val="000000" w:themeColor="text1"/>
                <w:szCs w:val="20"/>
              </w:rPr>
              <w:t>Uncertainty bounds are provided in addition to best estimates.</w:t>
            </w:r>
          </w:p>
          <w:p w14:paraId="152FC114" w14:textId="77777777" w:rsidR="00470026" w:rsidRDefault="00470026" w:rsidP="00470026">
            <w:pPr>
              <w:jc w:val="both"/>
              <w:rPr>
                <w:b/>
                <w:bCs/>
                <w:color w:val="000000" w:themeColor="text1"/>
                <w:szCs w:val="20"/>
              </w:rPr>
            </w:pPr>
          </w:p>
          <w:p w14:paraId="7F415228" w14:textId="5CFBC628" w:rsidR="00221C59" w:rsidRPr="00470026" w:rsidRDefault="005962A6" w:rsidP="00470026">
            <w:pPr>
              <w:jc w:val="both"/>
              <w:rPr>
                <w:color w:val="000000" w:themeColor="text1"/>
                <w:szCs w:val="20"/>
              </w:rPr>
            </w:pPr>
            <w:r w:rsidRPr="005962A6">
              <w:rPr>
                <w:color w:val="000000" w:themeColor="text1"/>
                <w:szCs w:val="20"/>
              </w:rPr>
              <w:lastRenderedPageBreak/>
              <w:t>Hepatitis B incidence per 100,000 population</w:t>
            </w:r>
            <w:r>
              <w:rPr>
                <w:color w:val="000000" w:themeColor="text1"/>
                <w:szCs w:val="20"/>
              </w:rPr>
              <w:t>= (</w:t>
            </w:r>
            <w:r w:rsidRPr="005962A6">
              <w:rPr>
                <w:color w:val="000000" w:themeColor="text1"/>
                <w:szCs w:val="20"/>
              </w:rPr>
              <w:t>Number of new and relapse TB cases arising in a specified time period</w:t>
            </w:r>
            <w:r>
              <w:rPr>
                <w:color w:val="000000" w:themeColor="text1"/>
                <w:szCs w:val="20"/>
              </w:rPr>
              <w:t>/</w:t>
            </w:r>
            <w:r w:rsidRPr="005962A6">
              <w:rPr>
                <w:color w:val="000000" w:themeColor="text1"/>
                <w:szCs w:val="20"/>
              </w:rPr>
              <w:t>Number of person-years of exposure</w:t>
            </w:r>
            <w:r>
              <w:rPr>
                <w:color w:val="000000" w:themeColor="text1"/>
                <w:szCs w:val="20"/>
              </w:rPr>
              <w:t>)×1000000</w:t>
            </w:r>
          </w:p>
        </w:tc>
        <w:tc>
          <w:tcPr>
            <w:tcW w:w="0" w:type="auto"/>
            <w:shd w:val="clear" w:color="auto" w:fill="auto"/>
          </w:tcPr>
          <w:p w14:paraId="07F9C584" w14:textId="77777777" w:rsidR="00221C59" w:rsidRDefault="00221C59" w:rsidP="00221C59">
            <w:pPr>
              <w:jc w:val="center"/>
              <w:rPr>
                <w:bCs/>
                <w:szCs w:val="20"/>
              </w:rPr>
            </w:pPr>
            <w:r>
              <w:rPr>
                <w:bCs/>
                <w:szCs w:val="20"/>
              </w:rPr>
              <w:lastRenderedPageBreak/>
              <w:t>Administrative Data;</w:t>
            </w:r>
          </w:p>
          <w:p w14:paraId="141B0B88" w14:textId="751A0CC7" w:rsidR="00221C59" w:rsidRDefault="00470026" w:rsidP="00221C59">
            <w:pPr>
              <w:jc w:val="center"/>
              <w:rPr>
                <w:bCs/>
                <w:szCs w:val="20"/>
              </w:rPr>
            </w:pPr>
            <w:r w:rsidRPr="00470026">
              <w:rPr>
                <w:bCs/>
                <w:szCs w:val="20"/>
              </w:rPr>
              <w:t>Population-based health surveys with TB diagnostic testing</w:t>
            </w:r>
          </w:p>
        </w:tc>
        <w:tc>
          <w:tcPr>
            <w:tcW w:w="0" w:type="auto"/>
            <w:shd w:val="clear" w:color="auto" w:fill="auto"/>
          </w:tcPr>
          <w:p w14:paraId="6C962B2F" w14:textId="77777777" w:rsidR="00221C59" w:rsidRDefault="00221C59" w:rsidP="00221C59">
            <w:pPr>
              <w:jc w:val="center"/>
              <w:rPr>
                <w:bCs/>
                <w:szCs w:val="20"/>
              </w:rPr>
            </w:pPr>
            <w:r>
              <w:rPr>
                <w:bCs/>
                <w:szCs w:val="20"/>
              </w:rPr>
              <w:t>Ministry of Health;</w:t>
            </w:r>
          </w:p>
          <w:p w14:paraId="58038E8D" w14:textId="77777777" w:rsidR="00221C59" w:rsidRPr="00CA531B" w:rsidRDefault="00221C59" w:rsidP="00221C59">
            <w:pPr>
              <w:jc w:val="center"/>
              <w:rPr>
                <w:bCs/>
                <w:szCs w:val="20"/>
              </w:rPr>
            </w:pPr>
            <w:r>
              <w:rPr>
                <w:bCs/>
                <w:szCs w:val="20"/>
              </w:rPr>
              <w:t>NSO</w:t>
            </w:r>
          </w:p>
        </w:tc>
        <w:tc>
          <w:tcPr>
            <w:tcW w:w="0" w:type="auto"/>
            <w:shd w:val="clear" w:color="auto" w:fill="auto"/>
          </w:tcPr>
          <w:p w14:paraId="1B80A765" w14:textId="4A6AB7F6" w:rsidR="00221C59" w:rsidRDefault="00221C59" w:rsidP="00221C59">
            <w:pPr>
              <w:jc w:val="center"/>
              <w:rPr>
                <w:color w:val="000000" w:themeColor="text1"/>
                <w:sz w:val="18"/>
                <w:szCs w:val="18"/>
              </w:rPr>
            </w:pPr>
          </w:p>
          <w:p w14:paraId="31A27DF2" w14:textId="77777777" w:rsidR="00221C59" w:rsidRDefault="00221C59" w:rsidP="00221C59">
            <w:pPr>
              <w:jc w:val="center"/>
              <w:rPr>
                <w:color w:val="000000" w:themeColor="text1"/>
                <w:sz w:val="18"/>
                <w:szCs w:val="18"/>
              </w:rPr>
            </w:pPr>
            <w:r>
              <w:rPr>
                <w:color w:val="000000" w:themeColor="text1"/>
                <w:sz w:val="18"/>
                <w:szCs w:val="18"/>
              </w:rPr>
              <w:t>WHO</w:t>
            </w:r>
          </w:p>
        </w:tc>
        <w:tc>
          <w:tcPr>
            <w:tcW w:w="0" w:type="auto"/>
            <w:shd w:val="clear" w:color="auto" w:fill="auto"/>
          </w:tcPr>
          <w:p w14:paraId="41C685DB" w14:textId="77777777" w:rsidR="00221C59" w:rsidRPr="00CA531B" w:rsidRDefault="00221C59" w:rsidP="00221C59">
            <w:pPr>
              <w:ind w:left="61" w:hanging="106"/>
              <w:rPr>
                <w:color w:val="000000" w:themeColor="text1"/>
                <w:sz w:val="18"/>
                <w:szCs w:val="18"/>
              </w:rPr>
            </w:pPr>
            <w:r w:rsidRPr="00CA531B">
              <w:rPr>
                <w:color w:val="000000" w:themeColor="text1"/>
                <w:sz w:val="18"/>
                <w:szCs w:val="18"/>
              </w:rPr>
              <w:t>a) HMSS, BBS</w:t>
            </w:r>
          </w:p>
          <w:p w14:paraId="7809ED55" w14:textId="77777777" w:rsidR="00221C59" w:rsidRPr="00CA531B" w:rsidRDefault="00221C59" w:rsidP="00221C59">
            <w:pPr>
              <w:ind w:left="61" w:hanging="106"/>
              <w:rPr>
                <w:color w:val="000000" w:themeColor="text1"/>
                <w:sz w:val="18"/>
                <w:szCs w:val="18"/>
              </w:rPr>
            </w:pPr>
            <w:r w:rsidRPr="00CA531B">
              <w:rPr>
                <w:color w:val="000000" w:themeColor="text1"/>
                <w:sz w:val="18"/>
                <w:szCs w:val="18"/>
              </w:rPr>
              <w:t>b) CDC Unit, DGHS</w:t>
            </w:r>
            <w:r>
              <w:rPr>
                <w:color w:val="000000" w:themeColor="text1"/>
                <w:sz w:val="18"/>
                <w:szCs w:val="18"/>
              </w:rPr>
              <w:t>, HSD</w:t>
            </w:r>
          </w:p>
          <w:p w14:paraId="2FE2E0B9" w14:textId="7B202DA2" w:rsidR="00221C59" w:rsidRPr="00CA531B" w:rsidRDefault="00221C59" w:rsidP="00221C59">
            <w:pPr>
              <w:ind w:left="61" w:hanging="106"/>
              <w:rPr>
                <w:color w:val="000000" w:themeColor="text1"/>
                <w:sz w:val="18"/>
                <w:szCs w:val="18"/>
              </w:rPr>
            </w:pPr>
          </w:p>
        </w:tc>
        <w:tc>
          <w:tcPr>
            <w:tcW w:w="0" w:type="auto"/>
            <w:shd w:val="clear" w:color="auto" w:fill="auto"/>
          </w:tcPr>
          <w:p w14:paraId="2DD3E303" w14:textId="6D1BF0B3" w:rsidR="00221C59" w:rsidRDefault="00221C59" w:rsidP="00221C59">
            <w:pPr>
              <w:pStyle w:val="ListParagraph"/>
              <w:numPr>
                <w:ilvl w:val="0"/>
                <w:numId w:val="2"/>
              </w:numPr>
              <w:ind w:left="147" w:hanging="147"/>
              <w:jc w:val="both"/>
              <w:rPr>
                <w:rFonts w:ascii="Tw Cen MT Condensed" w:hAnsi="Tw Cen MT Condensed"/>
                <w:bCs/>
                <w:sz w:val="20"/>
                <w:szCs w:val="20"/>
              </w:rPr>
            </w:pPr>
            <w:r w:rsidRPr="00CA531B">
              <w:rPr>
                <w:rFonts w:ascii="Tw Cen MT Condensed" w:hAnsi="Tw Cen MT Condensed"/>
                <w:bCs/>
                <w:sz w:val="20"/>
                <w:szCs w:val="20"/>
              </w:rPr>
              <w:t>Place of residence</w:t>
            </w:r>
            <w:r w:rsidR="005962A6">
              <w:rPr>
                <w:rFonts w:ascii="Tw Cen MT Condensed" w:hAnsi="Tw Cen MT Condensed"/>
                <w:bCs/>
                <w:sz w:val="20"/>
                <w:szCs w:val="20"/>
              </w:rPr>
              <w:t>:</w:t>
            </w:r>
            <w:r>
              <w:rPr>
                <w:rFonts w:ascii="Tw Cen MT Condensed" w:hAnsi="Tw Cen MT Condensed"/>
                <w:bCs/>
                <w:sz w:val="20"/>
                <w:szCs w:val="20"/>
              </w:rPr>
              <w:t xml:space="preserve"> (Rural/Urban)</w:t>
            </w:r>
          </w:p>
          <w:p w14:paraId="34B8C0B5" w14:textId="77777777" w:rsidR="00221C59" w:rsidRDefault="00221C59" w:rsidP="00221C59">
            <w:pPr>
              <w:pStyle w:val="ListParagraph"/>
              <w:numPr>
                <w:ilvl w:val="0"/>
                <w:numId w:val="2"/>
              </w:numPr>
              <w:ind w:left="147" w:hanging="147"/>
              <w:jc w:val="both"/>
              <w:rPr>
                <w:rFonts w:ascii="Tw Cen MT Condensed" w:hAnsi="Tw Cen MT Condensed"/>
                <w:bCs/>
                <w:sz w:val="20"/>
                <w:szCs w:val="20"/>
              </w:rPr>
            </w:pPr>
            <w:r>
              <w:rPr>
                <w:rFonts w:ascii="Tw Cen MT Condensed" w:hAnsi="Tw Cen MT Condensed"/>
                <w:bCs/>
                <w:sz w:val="20"/>
                <w:szCs w:val="20"/>
              </w:rPr>
              <w:t>E</w:t>
            </w:r>
            <w:r w:rsidRPr="00CA531B">
              <w:rPr>
                <w:rFonts w:ascii="Tw Cen MT Condensed" w:hAnsi="Tw Cen MT Condensed"/>
                <w:bCs/>
                <w:sz w:val="20"/>
                <w:szCs w:val="20"/>
              </w:rPr>
              <w:t>xposure to the birth dose hepatitis B vaccine</w:t>
            </w:r>
            <w:r>
              <w:rPr>
                <w:rFonts w:ascii="Tw Cen MT Condensed" w:hAnsi="Tw Cen MT Condensed"/>
                <w:bCs/>
                <w:sz w:val="20"/>
                <w:szCs w:val="20"/>
              </w:rPr>
              <w:t xml:space="preserve"> </w:t>
            </w:r>
            <w:r w:rsidRPr="00CA531B">
              <w:rPr>
                <w:rFonts w:ascii="Tw Cen MT Condensed" w:hAnsi="Tw Cen MT Condensed"/>
                <w:bCs/>
                <w:sz w:val="20"/>
                <w:szCs w:val="20"/>
              </w:rPr>
              <w:t>(official records)</w:t>
            </w:r>
          </w:p>
          <w:p w14:paraId="3D57DC3F" w14:textId="77777777" w:rsidR="00221C59" w:rsidRDefault="00221C59" w:rsidP="00221C59">
            <w:pPr>
              <w:pStyle w:val="ListParagraph"/>
              <w:numPr>
                <w:ilvl w:val="0"/>
                <w:numId w:val="2"/>
              </w:numPr>
              <w:ind w:left="147" w:hanging="147"/>
              <w:jc w:val="both"/>
              <w:rPr>
                <w:rFonts w:ascii="Tw Cen MT Condensed" w:hAnsi="Tw Cen MT Condensed"/>
                <w:bCs/>
                <w:sz w:val="20"/>
                <w:szCs w:val="20"/>
              </w:rPr>
            </w:pPr>
            <w:r>
              <w:rPr>
                <w:rFonts w:ascii="Tw Cen MT Condensed" w:hAnsi="Tw Cen MT Condensed"/>
                <w:bCs/>
                <w:sz w:val="20"/>
                <w:szCs w:val="20"/>
              </w:rPr>
              <w:t>E</w:t>
            </w:r>
            <w:r w:rsidRPr="00CA531B">
              <w:rPr>
                <w:rFonts w:ascii="Tw Cen MT Condensed" w:hAnsi="Tw Cen MT Condensed"/>
                <w:bCs/>
                <w:sz w:val="20"/>
                <w:szCs w:val="20"/>
              </w:rPr>
              <w:t>xposure to three doses of hepatitis B vaccine</w:t>
            </w:r>
          </w:p>
          <w:p w14:paraId="5FF22B33" w14:textId="13841199" w:rsidR="005962A6" w:rsidRDefault="005962A6" w:rsidP="00221C59">
            <w:pPr>
              <w:pStyle w:val="ListParagraph"/>
              <w:numPr>
                <w:ilvl w:val="0"/>
                <w:numId w:val="2"/>
              </w:numPr>
              <w:ind w:left="147" w:hanging="147"/>
              <w:jc w:val="both"/>
              <w:rPr>
                <w:rFonts w:ascii="Tw Cen MT Condensed" w:hAnsi="Tw Cen MT Condensed"/>
                <w:bCs/>
                <w:sz w:val="20"/>
                <w:szCs w:val="20"/>
              </w:rPr>
            </w:pPr>
            <w:r w:rsidRPr="005962A6">
              <w:rPr>
                <w:rFonts w:ascii="Tw Cen MT Condensed" w:hAnsi="Tw Cen MT Condensed"/>
                <w:bCs/>
                <w:sz w:val="20"/>
                <w:szCs w:val="20"/>
              </w:rPr>
              <w:t>Age</w:t>
            </w:r>
            <w:r>
              <w:rPr>
                <w:rFonts w:ascii="Tw Cen MT Condensed" w:hAnsi="Tw Cen MT Condensed"/>
                <w:bCs/>
                <w:sz w:val="20"/>
                <w:szCs w:val="20"/>
              </w:rPr>
              <w:t>: Below 15 yrs, 15-24 yrs, 25-39 yrs, 40-59 yrs, 60 yrs+</w:t>
            </w:r>
          </w:p>
          <w:p w14:paraId="76BAA484" w14:textId="6BFEA3ED" w:rsidR="005962A6" w:rsidRDefault="005962A6" w:rsidP="00221C59">
            <w:pPr>
              <w:pStyle w:val="ListParagraph"/>
              <w:numPr>
                <w:ilvl w:val="0"/>
                <w:numId w:val="2"/>
              </w:numPr>
              <w:ind w:left="147" w:hanging="147"/>
              <w:jc w:val="both"/>
              <w:rPr>
                <w:rFonts w:ascii="Tw Cen MT Condensed" w:hAnsi="Tw Cen MT Condensed"/>
                <w:bCs/>
                <w:sz w:val="20"/>
                <w:szCs w:val="20"/>
              </w:rPr>
            </w:pPr>
            <w:r w:rsidRPr="005962A6">
              <w:rPr>
                <w:rFonts w:ascii="Tw Cen MT Condensed" w:hAnsi="Tw Cen MT Condensed"/>
                <w:bCs/>
                <w:sz w:val="20"/>
                <w:szCs w:val="20"/>
              </w:rPr>
              <w:t>HIV status</w:t>
            </w:r>
            <w:r>
              <w:rPr>
                <w:rFonts w:ascii="Tw Cen MT Condensed" w:hAnsi="Tw Cen MT Condensed"/>
                <w:bCs/>
                <w:sz w:val="20"/>
                <w:szCs w:val="20"/>
              </w:rPr>
              <w:t>: Positive/Negative</w:t>
            </w:r>
          </w:p>
          <w:p w14:paraId="2EC5B8B2" w14:textId="717916C5" w:rsidR="005962A6" w:rsidRDefault="005962A6" w:rsidP="00221C59">
            <w:pPr>
              <w:pStyle w:val="ListParagraph"/>
              <w:numPr>
                <w:ilvl w:val="0"/>
                <w:numId w:val="2"/>
              </w:numPr>
              <w:ind w:left="147" w:hanging="147"/>
              <w:jc w:val="both"/>
              <w:rPr>
                <w:rFonts w:ascii="Tw Cen MT Condensed" w:hAnsi="Tw Cen MT Condensed"/>
                <w:bCs/>
                <w:sz w:val="20"/>
                <w:szCs w:val="20"/>
              </w:rPr>
            </w:pPr>
            <w:r>
              <w:rPr>
                <w:rFonts w:ascii="Tw Cen MT Condensed" w:hAnsi="Tw Cen MT Condensed"/>
                <w:bCs/>
                <w:sz w:val="20"/>
                <w:szCs w:val="20"/>
              </w:rPr>
              <w:t>S</w:t>
            </w:r>
            <w:r w:rsidRPr="005962A6">
              <w:rPr>
                <w:rFonts w:ascii="Tw Cen MT Condensed" w:hAnsi="Tw Cen MT Condensed"/>
                <w:bCs/>
                <w:sz w:val="20"/>
                <w:szCs w:val="20"/>
              </w:rPr>
              <w:t>ex</w:t>
            </w:r>
            <w:r>
              <w:rPr>
                <w:rFonts w:ascii="Tw Cen MT Condensed" w:hAnsi="Tw Cen MT Condensed"/>
                <w:bCs/>
                <w:sz w:val="20"/>
                <w:szCs w:val="20"/>
              </w:rPr>
              <w:t>: Male, Female, Transgender</w:t>
            </w:r>
          </w:p>
        </w:tc>
        <w:tc>
          <w:tcPr>
            <w:tcW w:w="0" w:type="auto"/>
            <w:shd w:val="clear" w:color="auto" w:fill="auto"/>
          </w:tcPr>
          <w:p w14:paraId="724B4F71" w14:textId="77777777" w:rsidR="00221C59" w:rsidRDefault="00221C59" w:rsidP="00221C59">
            <w:pPr>
              <w:jc w:val="center"/>
              <w:rPr>
                <w:bCs/>
                <w:szCs w:val="20"/>
              </w:rPr>
            </w:pPr>
            <w:r>
              <w:rPr>
                <w:bCs/>
                <w:szCs w:val="20"/>
              </w:rPr>
              <w:t>Annual</w:t>
            </w:r>
          </w:p>
        </w:tc>
        <w:tc>
          <w:tcPr>
            <w:tcW w:w="0" w:type="auto"/>
            <w:shd w:val="clear" w:color="auto" w:fill="auto"/>
          </w:tcPr>
          <w:p w14:paraId="4E338687" w14:textId="77777777" w:rsidR="00221C59" w:rsidRDefault="00221C59" w:rsidP="00221C59">
            <w:pPr>
              <w:pStyle w:val="NoSpacing"/>
            </w:pPr>
            <w:r>
              <w:t>1</w:t>
            </w:r>
            <w:r w:rsidRPr="00013ACB">
              <w:rPr>
                <w:vertAlign w:val="superscript"/>
              </w:rPr>
              <w:t>st</w:t>
            </w:r>
            <w:r>
              <w:t xml:space="preserve"> Round: </w:t>
            </w:r>
          </w:p>
          <w:p w14:paraId="29BCD936" w14:textId="77777777" w:rsidR="00221C59" w:rsidRDefault="00221C59" w:rsidP="00221C59">
            <w:pPr>
              <w:pStyle w:val="NoSpacing"/>
            </w:pPr>
            <w:r>
              <w:t>2015</w:t>
            </w:r>
          </w:p>
          <w:p w14:paraId="4CE5C33C" w14:textId="77777777" w:rsidR="00221C59" w:rsidRDefault="00221C59" w:rsidP="00221C59">
            <w:pPr>
              <w:pStyle w:val="NoSpacing"/>
            </w:pPr>
            <w:r>
              <w:t>2</w:t>
            </w:r>
            <w:r w:rsidRPr="00013ACB">
              <w:rPr>
                <w:vertAlign w:val="superscript"/>
              </w:rPr>
              <w:t>nd</w:t>
            </w:r>
            <w:r>
              <w:t xml:space="preserve"> Round: </w:t>
            </w:r>
          </w:p>
          <w:p w14:paraId="257FADBD" w14:textId="77777777" w:rsidR="00221C59" w:rsidRDefault="00221C59" w:rsidP="00221C59">
            <w:pPr>
              <w:pStyle w:val="NoSpacing"/>
            </w:pPr>
            <w:r w:rsidRPr="00BC6F10">
              <w:rPr>
                <w:szCs w:val="22"/>
              </w:rPr>
              <w:t>July 2019</w:t>
            </w:r>
          </w:p>
          <w:p w14:paraId="2E38F671" w14:textId="77777777" w:rsidR="00221C59" w:rsidRDefault="00221C59" w:rsidP="00221C59">
            <w:pPr>
              <w:pStyle w:val="NoSpacing"/>
            </w:pPr>
            <w:r>
              <w:t>3</w:t>
            </w:r>
            <w:r w:rsidRPr="00013ACB">
              <w:rPr>
                <w:vertAlign w:val="superscript"/>
              </w:rPr>
              <w:t>rd</w:t>
            </w:r>
            <w:r>
              <w:t xml:space="preserve"> Round: </w:t>
            </w:r>
          </w:p>
          <w:p w14:paraId="5A530B2A" w14:textId="77777777" w:rsidR="00221C59" w:rsidRDefault="00221C59" w:rsidP="00221C59">
            <w:pPr>
              <w:pStyle w:val="NoSpacing"/>
            </w:pPr>
            <w:r>
              <w:rPr>
                <w:szCs w:val="22"/>
              </w:rPr>
              <w:t>July 2022</w:t>
            </w:r>
          </w:p>
          <w:p w14:paraId="3EE03A5A" w14:textId="77777777" w:rsidR="00221C59" w:rsidRDefault="00221C59" w:rsidP="00221C59">
            <w:pPr>
              <w:pStyle w:val="NoSpacing"/>
            </w:pPr>
            <w:r>
              <w:t>4</w:t>
            </w:r>
            <w:r w:rsidRPr="00013ACB">
              <w:rPr>
                <w:vertAlign w:val="superscript"/>
              </w:rPr>
              <w:t>th</w:t>
            </w:r>
            <w:r>
              <w:t xml:space="preserve"> Round: </w:t>
            </w:r>
          </w:p>
          <w:p w14:paraId="3B2B5E58" w14:textId="77777777" w:rsidR="00221C59" w:rsidRDefault="00221C59" w:rsidP="00221C59">
            <w:pPr>
              <w:pStyle w:val="NoSpacing"/>
            </w:pPr>
            <w:r>
              <w:rPr>
                <w:szCs w:val="22"/>
              </w:rPr>
              <w:t>July 2025</w:t>
            </w:r>
          </w:p>
          <w:p w14:paraId="09CF3309" w14:textId="77777777" w:rsidR="00221C59" w:rsidRDefault="00221C59" w:rsidP="00221C59">
            <w:pPr>
              <w:pStyle w:val="NoSpacing"/>
            </w:pPr>
            <w:r>
              <w:t>5</w:t>
            </w:r>
            <w:r w:rsidRPr="00013ACB">
              <w:rPr>
                <w:vertAlign w:val="superscript"/>
              </w:rPr>
              <w:t>th</w:t>
            </w:r>
            <w:r>
              <w:t xml:space="preserve"> Round: </w:t>
            </w:r>
          </w:p>
          <w:p w14:paraId="6CE5844F" w14:textId="798A6222" w:rsidR="00221C59" w:rsidRPr="002175FB" w:rsidRDefault="00221C59" w:rsidP="00221C59">
            <w:pPr>
              <w:jc w:val="center"/>
              <w:rPr>
                <w:bCs/>
                <w:szCs w:val="20"/>
              </w:rPr>
            </w:pPr>
            <w:r>
              <w:rPr>
                <w:szCs w:val="22"/>
              </w:rPr>
              <w:t>July 2028</w:t>
            </w:r>
          </w:p>
        </w:tc>
        <w:tc>
          <w:tcPr>
            <w:tcW w:w="682" w:type="dxa"/>
            <w:shd w:val="clear" w:color="auto" w:fill="auto"/>
          </w:tcPr>
          <w:p w14:paraId="3C11B2B3" w14:textId="77777777" w:rsidR="00221C59" w:rsidRPr="00E64C3A" w:rsidRDefault="00221C59" w:rsidP="00221C59">
            <w:pPr>
              <w:pStyle w:val="ListParagraph"/>
              <w:numPr>
                <w:ilvl w:val="0"/>
                <w:numId w:val="18"/>
              </w:numPr>
              <w:ind w:left="108" w:hanging="108"/>
              <w:jc w:val="both"/>
              <w:rPr>
                <w:rFonts w:ascii="Tw Cen MT Condensed" w:hAnsi="Tw Cen MT Condensed"/>
                <w:bCs/>
                <w:sz w:val="20"/>
                <w:szCs w:val="20"/>
              </w:rPr>
            </w:pPr>
            <w:r>
              <w:rPr>
                <w:rFonts w:ascii="Tw Cen MT Condensed" w:hAnsi="Tw Cen MT Condensed"/>
                <w:bCs/>
                <w:sz w:val="20"/>
                <w:szCs w:val="20"/>
              </w:rPr>
              <w:t>Group 2</w:t>
            </w:r>
          </w:p>
        </w:tc>
        <w:tc>
          <w:tcPr>
            <w:tcW w:w="983" w:type="dxa"/>
            <w:shd w:val="clear" w:color="auto" w:fill="auto"/>
          </w:tcPr>
          <w:p w14:paraId="0E015B5E" w14:textId="77777777" w:rsidR="00221C59" w:rsidRDefault="00221C59" w:rsidP="00221C59">
            <w:pPr>
              <w:pStyle w:val="ListParagraph"/>
              <w:numPr>
                <w:ilvl w:val="0"/>
                <w:numId w:val="18"/>
              </w:numPr>
              <w:ind w:left="108" w:hanging="108"/>
              <w:jc w:val="both"/>
              <w:rPr>
                <w:rFonts w:ascii="Tw Cen MT Condensed" w:hAnsi="Tw Cen MT Condensed"/>
                <w:bCs/>
                <w:sz w:val="20"/>
                <w:szCs w:val="20"/>
              </w:rPr>
            </w:pPr>
            <w:r w:rsidRPr="00E64C3A">
              <w:rPr>
                <w:rFonts w:ascii="Tw Cen MT Condensed" w:hAnsi="Tw Cen MT Condensed"/>
                <w:bCs/>
                <w:sz w:val="20"/>
                <w:szCs w:val="20"/>
              </w:rPr>
              <w:t>Final Metadata not yet available</w:t>
            </w:r>
            <w:r>
              <w:rPr>
                <w:rFonts w:ascii="Tw Cen MT Condensed" w:hAnsi="Tw Cen MT Condensed"/>
                <w:bCs/>
                <w:sz w:val="20"/>
                <w:szCs w:val="20"/>
              </w:rPr>
              <w:t>.</w:t>
            </w:r>
          </w:p>
          <w:p w14:paraId="651ACC8F" w14:textId="77777777" w:rsidR="00221C59" w:rsidRPr="00E64C3A" w:rsidRDefault="00221C59" w:rsidP="00221C59">
            <w:pPr>
              <w:pStyle w:val="ListParagraph"/>
              <w:numPr>
                <w:ilvl w:val="0"/>
                <w:numId w:val="18"/>
              </w:numPr>
              <w:ind w:left="107" w:hanging="107"/>
              <w:jc w:val="both"/>
              <w:rPr>
                <w:rFonts w:ascii="Tw Cen MT Condensed" w:hAnsi="Tw Cen MT Condensed"/>
                <w:bCs/>
                <w:sz w:val="20"/>
                <w:szCs w:val="20"/>
              </w:rPr>
            </w:pPr>
            <w:r w:rsidRPr="00E64C3A">
              <w:rPr>
                <w:rFonts w:ascii="Tw Cen MT Condensed" w:hAnsi="Tw Cen MT Condensed"/>
                <w:bCs/>
                <w:sz w:val="20"/>
                <w:szCs w:val="20"/>
              </w:rPr>
              <w:t xml:space="preserve">HMSS questionnaire should be modified for </w:t>
            </w:r>
            <w:r>
              <w:rPr>
                <w:rFonts w:ascii="Tw Cen MT Condensed" w:hAnsi="Tw Cen MT Condensed"/>
                <w:bCs/>
                <w:sz w:val="20"/>
                <w:szCs w:val="20"/>
              </w:rPr>
              <w:t>estimate</w:t>
            </w:r>
            <w:r w:rsidRPr="00E64C3A">
              <w:rPr>
                <w:rFonts w:ascii="Tw Cen MT Condensed" w:hAnsi="Tw Cen MT Condensed"/>
                <w:bCs/>
                <w:sz w:val="20"/>
                <w:szCs w:val="20"/>
              </w:rPr>
              <w:t xml:space="preserve"> the </w:t>
            </w:r>
            <w:r>
              <w:rPr>
                <w:rFonts w:ascii="Tw Cen MT Condensed" w:hAnsi="Tw Cen MT Condensed"/>
                <w:bCs/>
                <w:sz w:val="20"/>
                <w:szCs w:val="20"/>
              </w:rPr>
              <w:t>‘</w:t>
            </w:r>
            <w:r w:rsidRPr="00E64C3A">
              <w:rPr>
                <w:rFonts w:ascii="Tw Cen MT Condensed" w:hAnsi="Tw Cen MT Condensed"/>
                <w:bCs/>
                <w:sz w:val="20"/>
                <w:szCs w:val="20"/>
              </w:rPr>
              <w:t>incidence</w:t>
            </w:r>
            <w:r>
              <w:rPr>
                <w:rFonts w:ascii="Tw Cen MT Condensed" w:hAnsi="Tw Cen MT Condensed"/>
                <w:bCs/>
                <w:sz w:val="20"/>
                <w:szCs w:val="20"/>
              </w:rPr>
              <w:t>’ in place of prevalence.</w:t>
            </w:r>
          </w:p>
        </w:tc>
      </w:tr>
      <w:tr w:rsidR="00BF3271" w14:paraId="7E7DF01F" w14:textId="77777777" w:rsidTr="0085651F">
        <w:tc>
          <w:tcPr>
            <w:tcW w:w="0" w:type="auto"/>
            <w:gridSpan w:val="2"/>
            <w:shd w:val="clear" w:color="auto" w:fill="auto"/>
          </w:tcPr>
          <w:p w14:paraId="6EEE2A19" w14:textId="77777777" w:rsidR="00221C59" w:rsidRPr="00CA531B" w:rsidRDefault="00221C59" w:rsidP="00221C59">
            <w:pPr>
              <w:jc w:val="both"/>
              <w:rPr>
                <w:szCs w:val="20"/>
              </w:rPr>
            </w:pPr>
            <w:r w:rsidRPr="00FA3D89">
              <w:rPr>
                <w:szCs w:val="20"/>
              </w:rPr>
              <w:lastRenderedPageBreak/>
              <w:t>3.3.5 Number of people requiring interventions against neglected tropical diseases</w:t>
            </w:r>
          </w:p>
        </w:tc>
        <w:tc>
          <w:tcPr>
            <w:tcW w:w="0" w:type="auto"/>
            <w:shd w:val="clear" w:color="auto" w:fill="auto"/>
          </w:tcPr>
          <w:p w14:paraId="41D20614" w14:textId="77777777" w:rsidR="00221C59" w:rsidRDefault="00221C59" w:rsidP="00221C59">
            <w:pPr>
              <w:jc w:val="center"/>
              <w:rPr>
                <w:szCs w:val="20"/>
              </w:rPr>
            </w:pPr>
            <w:r>
              <w:rPr>
                <w:szCs w:val="20"/>
              </w:rPr>
              <w:t>WHO</w:t>
            </w:r>
          </w:p>
        </w:tc>
        <w:tc>
          <w:tcPr>
            <w:tcW w:w="0" w:type="auto"/>
            <w:shd w:val="clear" w:color="auto" w:fill="auto"/>
          </w:tcPr>
          <w:p w14:paraId="314016FE" w14:textId="77777777" w:rsidR="00221C59" w:rsidRDefault="00221C59" w:rsidP="00221C59">
            <w:pPr>
              <w:jc w:val="center"/>
              <w:rPr>
                <w:szCs w:val="20"/>
              </w:rPr>
            </w:pPr>
            <w:r>
              <w:rPr>
                <w:szCs w:val="20"/>
              </w:rPr>
              <w:t>Tier I</w:t>
            </w:r>
          </w:p>
        </w:tc>
        <w:tc>
          <w:tcPr>
            <w:tcW w:w="0" w:type="auto"/>
            <w:shd w:val="clear" w:color="auto" w:fill="auto"/>
          </w:tcPr>
          <w:p w14:paraId="02BECD11" w14:textId="77777777" w:rsidR="00221C59" w:rsidRPr="00FA3D89" w:rsidRDefault="00221C59" w:rsidP="00221C59">
            <w:pPr>
              <w:jc w:val="both"/>
              <w:rPr>
                <w:b/>
                <w:bCs/>
                <w:color w:val="000000" w:themeColor="text1"/>
                <w:szCs w:val="20"/>
              </w:rPr>
            </w:pPr>
            <w:r w:rsidRPr="00FA3D89">
              <w:rPr>
                <w:b/>
                <w:bCs/>
                <w:color w:val="000000" w:themeColor="text1"/>
                <w:szCs w:val="20"/>
              </w:rPr>
              <w:t>Definition:</w:t>
            </w:r>
          </w:p>
          <w:p w14:paraId="6CCDC0E4" w14:textId="77777777" w:rsidR="00221C59" w:rsidRPr="00FA3D89" w:rsidRDefault="00221C59" w:rsidP="00221C59">
            <w:pPr>
              <w:jc w:val="both"/>
              <w:rPr>
                <w:color w:val="000000" w:themeColor="text1"/>
                <w:szCs w:val="20"/>
              </w:rPr>
            </w:pPr>
            <w:r w:rsidRPr="00FA3D89">
              <w:rPr>
                <w:color w:val="000000" w:themeColor="text1"/>
                <w:szCs w:val="20"/>
              </w:rPr>
              <w:t xml:space="preserve">Number of people requiring treatment and care for any one of the neglected tropical diseases (NTDs) targeted by the WHO NTD Roadmap and World Health Assembly resolutions and reported to </w:t>
            </w:r>
            <w:proofErr w:type="gramStart"/>
            <w:r w:rsidRPr="00FA3D89">
              <w:rPr>
                <w:color w:val="000000" w:themeColor="text1"/>
                <w:szCs w:val="20"/>
              </w:rPr>
              <w:t>WHO</w:t>
            </w:r>
            <w:proofErr w:type="gramEnd"/>
            <w:r w:rsidRPr="00FA3D89">
              <w:rPr>
                <w:color w:val="000000" w:themeColor="text1"/>
                <w:szCs w:val="20"/>
              </w:rPr>
              <w:t>.</w:t>
            </w:r>
          </w:p>
          <w:p w14:paraId="2C6DE21E" w14:textId="77777777" w:rsidR="00221C59" w:rsidRDefault="00221C59" w:rsidP="00221C59">
            <w:pPr>
              <w:jc w:val="both"/>
              <w:rPr>
                <w:b/>
                <w:bCs/>
                <w:color w:val="000000" w:themeColor="text1"/>
                <w:szCs w:val="20"/>
              </w:rPr>
            </w:pPr>
          </w:p>
          <w:p w14:paraId="0E886A0D" w14:textId="77777777" w:rsidR="00221C59" w:rsidRDefault="00221C59" w:rsidP="00221C59">
            <w:pPr>
              <w:jc w:val="both"/>
              <w:rPr>
                <w:b/>
                <w:bCs/>
                <w:color w:val="000000" w:themeColor="text1"/>
                <w:szCs w:val="20"/>
              </w:rPr>
            </w:pPr>
            <w:r w:rsidRPr="00FA3D89">
              <w:rPr>
                <w:b/>
                <w:bCs/>
                <w:color w:val="000000" w:themeColor="text1"/>
                <w:szCs w:val="20"/>
              </w:rPr>
              <w:t>Concepts:</w:t>
            </w:r>
          </w:p>
          <w:p w14:paraId="22591D56" w14:textId="77777777" w:rsidR="00221C59" w:rsidRDefault="00221C59" w:rsidP="00221C59">
            <w:pPr>
              <w:jc w:val="both"/>
              <w:rPr>
                <w:color w:val="000000" w:themeColor="text1"/>
                <w:szCs w:val="20"/>
              </w:rPr>
            </w:pPr>
            <w:r w:rsidRPr="00FA3D89">
              <w:rPr>
                <w:color w:val="000000" w:themeColor="text1"/>
                <w:szCs w:val="20"/>
              </w:rPr>
              <w:t xml:space="preserve">Treatment and care is broadly defined to allow for preventive, curative, surgical or rehabilitative treatment and care. In particular, it includes both: </w:t>
            </w:r>
          </w:p>
          <w:p w14:paraId="4FC730F3" w14:textId="77777777" w:rsidR="00221C59" w:rsidRDefault="00221C59" w:rsidP="00221C59">
            <w:pPr>
              <w:jc w:val="both"/>
              <w:rPr>
                <w:color w:val="000000" w:themeColor="text1"/>
                <w:szCs w:val="20"/>
              </w:rPr>
            </w:pPr>
            <w:r w:rsidRPr="00FA3D89">
              <w:rPr>
                <w:color w:val="000000" w:themeColor="text1"/>
                <w:szCs w:val="20"/>
              </w:rPr>
              <w:t xml:space="preserve">1) Average annual number of people requiring mass treatment known as preventive chemotherapy (PC) for at least one PC-NTD; and </w:t>
            </w:r>
          </w:p>
          <w:p w14:paraId="27ADC9C6" w14:textId="77777777" w:rsidR="00221C59" w:rsidRDefault="00221C59" w:rsidP="00221C59">
            <w:pPr>
              <w:jc w:val="both"/>
              <w:rPr>
                <w:color w:val="000000" w:themeColor="text1"/>
                <w:szCs w:val="20"/>
              </w:rPr>
            </w:pPr>
            <w:r w:rsidRPr="00FA3D89">
              <w:rPr>
                <w:color w:val="000000" w:themeColor="text1"/>
                <w:szCs w:val="20"/>
              </w:rPr>
              <w:t>2) Number of new cases requiring individual treatment and care for other NTDs.</w:t>
            </w:r>
          </w:p>
          <w:p w14:paraId="51226F32" w14:textId="77777777" w:rsidR="00221C59" w:rsidRDefault="00221C59" w:rsidP="00221C59">
            <w:pPr>
              <w:jc w:val="both"/>
              <w:rPr>
                <w:color w:val="000000" w:themeColor="text1"/>
                <w:szCs w:val="20"/>
              </w:rPr>
            </w:pPr>
          </w:p>
          <w:p w14:paraId="3110A8D5" w14:textId="77777777" w:rsidR="00221C59" w:rsidRPr="00FA3D89" w:rsidRDefault="00221C59" w:rsidP="00221C59">
            <w:pPr>
              <w:jc w:val="both"/>
              <w:rPr>
                <w:color w:val="000000" w:themeColor="text1"/>
                <w:szCs w:val="20"/>
              </w:rPr>
            </w:pPr>
            <w:r w:rsidRPr="00FA3D89">
              <w:rPr>
                <w:color w:val="000000" w:themeColor="text1"/>
                <w:szCs w:val="20"/>
              </w:rPr>
              <w:t>Other key interventions against NTDs (e.g. vector management, veterinary public health, water,</w:t>
            </w:r>
          </w:p>
          <w:p w14:paraId="6729BAC9" w14:textId="77777777" w:rsidR="00221C59" w:rsidRPr="00FA3D89" w:rsidRDefault="00221C59" w:rsidP="00221C59">
            <w:pPr>
              <w:jc w:val="both"/>
              <w:rPr>
                <w:color w:val="000000" w:themeColor="text1"/>
                <w:szCs w:val="20"/>
              </w:rPr>
            </w:pPr>
            <w:r w:rsidRPr="00FA3D89">
              <w:rPr>
                <w:color w:val="000000" w:themeColor="text1"/>
                <w:szCs w:val="20"/>
              </w:rPr>
              <w:t>sanitation and hygiene) are to be addressed in the context of other targets and indicators, namely</w:t>
            </w:r>
          </w:p>
          <w:p w14:paraId="46EF8ED4" w14:textId="77777777" w:rsidR="00221C59" w:rsidRDefault="00221C59" w:rsidP="00221C59">
            <w:pPr>
              <w:jc w:val="both"/>
              <w:rPr>
                <w:color w:val="000000" w:themeColor="text1"/>
                <w:szCs w:val="20"/>
              </w:rPr>
            </w:pPr>
            <w:r w:rsidRPr="00FA3D89">
              <w:rPr>
                <w:color w:val="000000" w:themeColor="text1"/>
                <w:szCs w:val="20"/>
              </w:rPr>
              <w:t>Universal Health Coverage (UHC) and universal access to water and sanitation.</w:t>
            </w:r>
          </w:p>
          <w:p w14:paraId="6F4744BD" w14:textId="77777777" w:rsidR="00221C59" w:rsidRDefault="00221C59" w:rsidP="00221C59">
            <w:pPr>
              <w:jc w:val="both"/>
              <w:rPr>
                <w:color w:val="000000" w:themeColor="text1"/>
                <w:szCs w:val="20"/>
              </w:rPr>
            </w:pPr>
          </w:p>
          <w:p w14:paraId="1C24EBD1" w14:textId="77777777" w:rsidR="00221C59" w:rsidRPr="00FA3D89" w:rsidRDefault="00221C59" w:rsidP="00221C59">
            <w:pPr>
              <w:jc w:val="both"/>
              <w:rPr>
                <w:b/>
                <w:bCs/>
                <w:color w:val="000000" w:themeColor="text1"/>
                <w:szCs w:val="20"/>
              </w:rPr>
            </w:pPr>
            <w:r w:rsidRPr="00FA3D89">
              <w:rPr>
                <w:b/>
                <w:bCs/>
                <w:color w:val="000000" w:themeColor="text1"/>
                <w:szCs w:val="20"/>
              </w:rPr>
              <w:t>Computation Method:</w:t>
            </w:r>
          </w:p>
          <w:p w14:paraId="4F776CCB" w14:textId="77777777" w:rsidR="00221C59" w:rsidRPr="00FA3D89" w:rsidRDefault="00221C59" w:rsidP="00221C59">
            <w:pPr>
              <w:jc w:val="both"/>
              <w:rPr>
                <w:color w:val="000000" w:themeColor="text1"/>
                <w:szCs w:val="20"/>
              </w:rPr>
            </w:pPr>
            <w:r w:rsidRPr="00FA3D89">
              <w:rPr>
                <w:color w:val="000000" w:themeColor="text1"/>
                <w:szCs w:val="20"/>
              </w:rPr>
              <w:t>Some estimation is required to aggregate data across interventions and diseases. There is an established</w:t>
            </w:r>
            <w:r>
              <w:rPr>
                <w:color w:val="000000" w:themeColor="text1"/>
                <w:szCs w:val="20"/>
              </w:rPr>
              <w:t xml:space="preserve"> </w:t>
            </w:r>
            <w:r w:rsidRPr="00FA3D89">
              <w:rPr>
                <w:color w:val="000000" w:themeColor="text1"/>
                <w:szCs w:val="20"/>
              </w:rPr>
              <w:t>methodology that has been tested and an agreed international standard.</w:t>
            </w:r>
            <w:r>
              <w:rPr>
                <w:color w:val="000000" w:themeColor="text1"/>
                <w:szCs w:val="20"/>
              </w:rPr>
              <w:t xml:space="preserve"> </w:t>
            </w:r>
            <w:r w:rsidRPr="00FA3D89">
              <w:rPr>
                <w:color w:val="000000" w:themeColor="text1"/>
                <w:szCs w:val="20"/>
              </w:rPr>
              <w:t>[http://www.who.int/wer/2012/wer8702.pdf?ua=1]</w:t>
            </w:r>
          </w:p>
          <w:p w14:paraId="3395869B" w14:textId="77777777" w:rsidR="00221C59" w:rsidRDefault="00221C59" w:rsidP="00221C59">
            <w:pPr>
              <w:jc w:val="both"/>
              <w:rPr>
                <w:color w:val="000000" w:themeColor="text1"/>
                <w:szCs w:val="20"/>
              </w:rPr>
            </w:pPr>
            <w:r w:rsidRPr="00FA3D89">
              <w:rPr>
                <w:color w:val="000000" w:themeColor="text1"/>
                <w:szCs w:val="20"/>
              </w:rPr>
              <w:t>1) Average annual number of people requiring mass treatment known as PC for at least one PC-NTD:</w:t>
            </w:r>
            <w:r>
              <w:rPr>
                <w:color w:val="000000" w:themeColor="text1"/>
                <w:szCs w:val="20"/>
              </w:rPr>
              <w:t xml:space="preserve"> </w:t>
            </w:r>
            <w:r w:rsidRPr="00FA3D89">
              <w:rPr>
                <w:color w:val="000000" w:themeColor="text1"/>
                <w:szCs w:val="20"/>
              </w:rPr>
              <w:t>People may require PC for more than one PC-NTD. The number of people requiring PC is compared across</w:t>
            </w:r>
            <w:r>
              <w:rPr>
                <w:color w:val="000000" w:themeColor="text1"/>
                <w:szCs w:val="20"/>
              </w:rPr>
              <w:t xml:space="preserve"> </w:t>
            </w:r>
            <w:r w:rsidRPr="00FA3D89">
              <w:rPr>
                <w:color w:val="000000" w:themeColor="text1"/>
                <w:szCs w:val="20"/>
              </w:rPr>
              <w:t>the PC-NTDs, by age group and implementation unit (e.g. district). The largest number of people requiring</w:t>
            </w:r>
            <w:r>
              <w:rPr>
                <w:color w:val="000000" w:themeColor="text1"/>
                <w:szCs w:val="20"/>
              </w:rPr>
              <w:t xml:space="preserve"> </w:t>
            </w:r>
            <w:r w:rsidRPr="00FA3D89">
              <w:rPr>
                <w:color w:val="000000" w:themeColor="text1"/>
                <w:szCs w:val="20"/>
              </w:rPr>
              <w:t>PC is retained for each age group in each implementation unit. The total is considered to be a</w:t>
            </w:r>
            <w:r>
              <w:rPr>
                <w:color w:val="000000" w:themeColor="text1"/>
                <w:szCs w:val="20"/>
              </w:rPr>
              <w:t xml:space="preserve"> </w:t>
            </w:r>
            <w:r w:rsidRPr="00FA3D89">
              <w:rPr>
                <w:color w:val="000000" w:themeColor="text1"/>
                <w:szCs w:val="20"/>
              </w:rPr>
              <w:t>conservative estimate of the number of people requiring PC for at least one PC-NTD. Prevalence surveys</w:t>
            </w:r>
            <w:r>
              <w:rPr>
                <w:color w:val="000000" w:themeColor="text1"/>
                <w:szCs w:val="20"/>
              </w:rPr>
              <w:t xml:space="preserve"> </w:t>
            </w:r>
            <w:r w:rsidRPr="00FA3D89">
              <w:rPr>
                <w:color w:val="000000" w:themeColor="text1"/>
                <w:szCs w:val="20"/>
              </w:rPr>
              <w:t>determine when an NTD has been eliminated or controlled and PC can be stopped or reduced in</w:t>
            </w:r>
            <w:r>
              <w:rPr>
                <w:color w:val="000000" w:themeColor="text1"/>
                <w:szCs w:val="20"/>
              </w:rPr>
              <w:t xml:space="preserve"> </w:t>
            </w:r>
            <w:r w:rsidRPr="00FA3D89">
              <w:rPr>
                <w:color w:val="000000" w:themeColor="text1"/>
                <w:szCs w:val="20"/>
              </w:rPr>
              <w:t>frequency, such that the average annual number of people requiring PC is reduced.</w:t>
            </w:r>
          </w:p>
          <w:p w14:paraId="0A59C081" w14:textId="77777777" w:rsidR="00221C59" w:rsidRPr="00FA3D89" w:rsidRDefault="00221C59" w:rsidP="00221C59">
            <w:pPr>
              <w:jc w:val="both"/>
              <w:rPr>
                <w:color w:val="000000" w:themeColor="text1"/>
                <w:szCs w:val="20"/>
              </w:rPr>
            </w:pPr>
          </w:p>
          <w:p w14:paraId="303AC053" w14:textId="77777777" w:rsidR="00221C59" w:rsidRDefault="00221C59" w:rsidP="00221C59">
            <w:pPr>
              <w:jc w:val="both"/>
              <w:rPr>
                <w:color w:val="000000" w:themeColor="text1"/>
                <w:szCs w:val="20"/>
              </w:rPr>
            </w:pPr>
            <w:r w:rsidRPr="00FA3D89">
              <w:rPr>
                <w:color w:val="000000" w:themeColor="text1"/>
                <w:szCs w:val="20"/>
              </w:rPr>
              <w:t>2) Number of new cases requiring individual treatment and care for other NTDs: The number of new</w:t>
            </w:r>
            <w:r>
              <w:rPr>
                <w:color w:val="000000" w:themeColor="text1"/>
                <w:szCs w:val="20"/>
              </w:rPr>
              <w:t xml:space="preserve"> </w:t>
            </w:r>
            <w:r w:rsidRPr="00FA3D89">
              <w:rPr>
                <w:color w:val="000000" w:themeColor="text1"/>
                <w:szCs w:val="20"/>
              </w:rPr>
              <w:t>cases is based on country reports, whenever available, of new and known cases of Buruli ulcer, Chagas</w:t>
            </w:r>
            <w:r>
              <w:rPr>
                <w:color w:val="000000" w:themeColor="text1"/>
                <w:szCs w:val="20"/>
              </w:rPr>
              <w:t xml:space="preserve"> </w:t>
            </w:r>
            <w:r w:rsidRPr="00FA3D89">
              <w:rPr>
                <w:color w:val="000000" w:themeColor="text1"/>
                <w:szCs w:val="20"/>
              </w:rPr>
              <w:t>disease, cysticercosis, dengue, guinea-worm disease, echinococcosis, human African trypanosomiasis</w:t>
            </w:r>
            <w:r>
              <w:rPr>
                <w:color w:val="000000" w:themeColor="text1"/>
                <w:szCs w:val="20"/>
              </w:rPr>
              <w:t xml:space="preserve"> </w:t>
            </w:r>
            <w:r w:rsidRPr="00FA3D89">
              <w:rPr>
                <w:color w:val="000000" w:themeColor="text1"/>
                <w:szCs w:val="20"/>
              </w:rPr>
              <w:t xml:space="preserve">(HAT), leprosy, the </w:t>
            </w:r>
            <w:r w:rsidRPr="00FA3D89">
              <w:rPr>
                <w:color w:val="000000" w:themeColor="text1"/>
                <w:szCs w:val="20"/>
              </w:rPr>
              <w:lastRenderedPageBreak/>
              <w:t>leishmaniases, rabies and yaws. Where the number of people requiring and</w:t>
            </w:r>
            <w:r>
              <w:rPr>
                <w:color w:val="000000" w:themeColor="text1"/>
                <w:szCs w:val="20"/>
              </w:rPr>
              <w:t xml:space="preserve"> </w:t>
            </w:r>
            <w:r w:rsidRPr="00FA3D89">
              <w:rPr>
                <w:color w:val="000000" w:themeColor="text1"/>
                <w:szCs w:val="20"/>
              </w:rPr>
              <w:t>requesting surgery for PC-NTDs (e.g. trichiasis or hydrocele surgery) is reported, it can be added here.</w:t>
            </w:r>
            <w:r>
              <w:rPr>
                <w:color w:val="000000" w:themeColor="text1"/>
                <w:szCs w:val="20"/>
              </w:rPr>
              <w:t xml:space="preserve"> </w:t>
            </w:r>
            <w:r w:rsidRPr="00FA3D89">
              <w:rPr>
                <w:color w:val="000000" w:themeColor="text1"/>
                <w:szCs w:val="20"/>
              </w:rPr>
              <w:t>Similarly, new cases requiring and requesting rehabilitation (e.g. leprosy or lymphoedema) can be added</w:t>
            </w:r>
            <w:r>
              <w:rPr>
                <w:color w:val="000000" w:themeColor="text1"/>
                <w:szCs w:val="20"/>
              </w:rPr>
              <w:t xml:space="preserve"> </w:t>
            </w:r>
            <w:r w:rsidRPr="00FA3D89">
              <w:rPr>
                <w:color w:val="000000" w:themeColor="text1"/>
                <w:szCs w:val="20"/>
              </w:rPr>
              <w:t>whenever available.</w:t>
            </w:r>
            <w:r>
              <w:rPr>
                <w:color w:val="000000" w:themeColor="text1"/>
                <w:szCs w:val="20"/>
              </w:rPr>
              <w:t xml:space="preserve"> </w:t>
            </w:r>
          </w:p>
          <w:p w14:paraId="58F0F11D" w14:textId="77777777" w:rsidR="00221C59" w:rsidRDefault="00221C59" w:rsidP="00221C59">
            <w:pPr>
              <w:jc w:val="both"/>
              <w:rPr>
                <w:color w:val="000000" w:themeColor="text1"/>
                <w:szCs w:val="20"/>
              </w:rPr>
            </w:pPr>
          </w:p>
          <w:p w14:paraId="2E5ED1E2" w14:textId="77777777" w:rsidR="00221C59" w:rsidRPr="00FA3D89" w:rsidRDefault="00221C59" w:rsidP="00221C59">
            <w:pPr>
              <w:jc w:val="both"/>
              <w:rPr>
                <w:color w:val="000000" w:themeColor="text1"/>
                <w:szCs w:val="20"/>
              </w:rPr>
            </w:pPr>
            <w:r w:rsidRPr="00FA3D89">
              <w:rPr>
                <w:color w:val="000000" w:themeColor="text1"/>
                <w:szCs w:val="20"/>
              </w:rPr>
              <w:t>Populations referred to under 1) and 2) may overlap; the sum would overestimate the total number of</w:t>
            </w:r>
            <w:r>
              <w:rPr>
                <w:color w:val="000000" w:themeColor="text1"/>
                <w:szCs w:val="20"/>
              </w:rPr>
              <w:t xml:space="preserve"> </w:t>
            </w:r>
            <w:r w:rsidRPr="00FA3D89">
              <w:rPr>
                <w:color w:val="000000" w:themeColor="text1"/>
                <w:szCs w:val="20"/>
              </w:rPr>
              <w:t>people requiring treatment and care. The maximum of 1) or 2) is therefore retained at the lowest</w:t>
            </w:r>
            <w:r>
              <w:rPr>
                <w:color w:val="000000" w:themeColor="text1"/>
                <w:szCs w:val="20"/>
              </w:rPr>
              <w:t xml:space="preserve"> </w:t>
            </w:r>
            <w:r w:rsidRPr="00FA3D89">
              <w:rPr>
                <w:color w:val="000000" w:themeColor="text1"/>
                <w:szCs w:val="20"/>
              </w:rPr>
              <w:t>common implementation unit and summed to get conservative country, regional and global aggregates.</w:t>
            </w:r>
            <w:r>
              <w:rPr>
                <w:color w:val="000000" w:themeColor="text1"/>
                <w:szCs w:val="20"/>
              </w:rPr>
              <w:t xml:space="preserve"> </w:t>
            </w:r>
            <w:r w:rsidRPr="00FA3D89">
              <w:rPr>
                <w:color w:val="000000" w:themeColor="text1"/>
                <w:szCs w:val="20"/>
              </w:rPr>
              <w:t>By 2030, improved co-endemicity data and models will validate the trends obtained using this simplified</w:t>
            </w:r>
          </w:p>
          <w:p w14:paraId="06A6979B" w14:textId="77777777" w:rsidR="00221C59" w:rsidRPr="00FA3D89" w:rsidRDefault="00221C59" w:rsidP="00221C59">
            <w:pPr>
              <w:jc w:val="both"/>
              <w:rPr>
                <w:color w:val="000000" w:themeColor="text1"/>
                <w:szCs w:val="20"/>
              </w:rPr>
            </w:pPr>
            <w:proofErr w:type="gramStart"/>
            <w:r w:rsidRPr="00FA3D89">
              <w:rPr>
                <w:color w:val="000000" w:themeColor="text1"/>
                <w:szCs w:val="20"/>
              </w:rPr>
              <w:t>approach</w:t>
            </w:r>
            <w:proofErr w:type="gramEnd"/>
            <w:r w:rsidRPr="00FA3D89">
              <w:rPr>
                <w:color w:val="000000" w:themeColor="text1"/>
                <w:szCs w:val="20"/>
              </w:rPr>
              <w:t>.</w:t>
            </w:r>
          </w:p>
        </w:tc>
        <w:tc>
          <w:tcPr>
            <w:tcW w:w="0" w:type="auto"/>
            <w:shd w:val="clear" w:color="auto" w:fill="auto"/>
          </w:tcPr>
          <w:p w14:paraId="4012DA3E" w14:textId="77777777" w:rsidR="00221C59" w:rsidRPr="00FA3D89" w:rsidRDefault="00221C59" w:rsidP="00221C59">
            <w:pPr>
              <w:jc w:val="center"/>
              <w:rPr>
                <w:bCs/>
                <w:szCs w:val="20"/>
              </w:rPr>
            </w:pPr>
            <w:r>
              <w:rPr>
                <w:bCs/>
                <w:szCs w:val="20"/>
              </w:rPr>
              <w:lastRenderedPageBreak/>
              <w:t xml:space="preserve">Administrative Source, </w:t>
            </w:r>
            <w:r w:rsidRPr="00FA3D89">
              <w:rPr>
                <w:bCs/>
                <w:szCs w:val="20"/>
              </w:rPr>
              <w:t>NTD</w:t>
            </w:r>
          </w:p>
          <w:p w14:paraId="2E4B5A8F" w14:textId="77777777" w:rsidR="00221C59" w:rsidRDefault="00221C59" w:rsidP="00221C59">
            <w:pPr>
              <w:jc w:val="center"/>
              <w:rPr>
                <w:bCs/>
                <w:szCs w:val="20"/>
              </w:rPr>
            </w:pPr>
            <w:r w:rsidRPr="00FA3D89">
              <w:rPr>
                <w:bCs/>
                <w:szCs w:val="20"/>
              </w:rPr>
              <w:t>Database</w:t>
            </w:r>
            <w:r>
              <w:rPr>
                <w:bCs/>
                <w:szCs w:val="20"/>
              </w:rPr>
              <w:t>;</w:t>
            </w:r>
          </w:p>
          <w:p w14:paraId="1BDDF838" w14:textId="77777777" w:rsidR="00221C59" w:rsidRDefault="00221C59" w:rsidP="00221C59">
            <w:pPr>
              <w:jc w:val="center"/>
              <w:rPr>
                <w:bCs/>
                <w:szCs w:val="20"/>
              </w:rPr>
            </w:pPr>
            <w:r>
              <w:rPr>
                <w:bCs/>
                <w:szCs w:val="20"/>
              </w:rPr>
              <w:t>WHO</w:t>
            </w:r>
          </w:p>
        </w:tc>
        <w:tc>
          <w:tcPr>
            <w:tcW w:w="0" w:type="auto"/>
            <w:shd w:val="clear" w:color="auto" w:fill="auto"/>
          </w:tcPr>
          <w:p w14:paraId="2D882EC6" w14:textId="77777777" w:rsidR="00221C59" w:rsidRDefault="00221C59" w:rsidP="00221C59">
            <w:pPr>
              <w:jc w:val="center"/>
              <w:rPr>
                <w:bCs/>
                <w:szCs w:val="20"/>
              </w:rPr>
            </w:pPr>
            <w:r>
              <w:rPr>
                <w:bCs/>
                <w:szCs w:val="20"/>
              </w:rPr>
              <w:t>NTD, WHO</w:t>
            </w:r>
          </w:p>
        </w:tc>
        <w:tc>
          <w:tcPr>
            <w:tcW w:w="0" w:type="auto"/>
            <w:shd w:val="clear" w:color="auto" w:fill="auto"/>
          </w:tcPr>
          <w:p w14:paraId="5C771EC5" w14:textId="77777777" w:rsidR="00221C59" w:rsidRPr="00CA531B" w:rsidRDefault="00221C59" w:rsidP="00221C59">
            <w:pPr>
              <w:jc w:val="both"/>
              <w:rPr>
                <w:color w:val="000000" w:themeColor="text1"/>
                <w:sz w:val="18"/>
                <w:szCs w:val="18"/>
              </w:rPr>
            </w:pPr>
            <w:r w:rsidRPr="00FA3D89">
              <w:rPr>
                <w:color w:val="000000" w:themeColor="text1"/>
                <w:sz w:val="18"/>
                <w:szCs w:val="18"/>
              </w:rPr>
              <w:t>a) WHO</w:t>
            </w:r>
          </w:p>
        </w:tc>
        <w:tc>
          <w:tcPr>
            <w:tcW w:w="0" w:type="auto"/>
            <w:shd w:val="clear" w:color="auto" w:fill="auto"/>
          </w:tcPr>
          <w:p w14:paraId="60E45849" w14:textId="4CE3B759" w:rsidR="00221C59" w:rsidRPr="00FA3D89" w:rsidRDefault="00221C59" w:rsidP="00221C59">
            <w:pPr>
              <w:ind w:left="-17"/>
              <w:rPr>
                <w:color w:val="000000" w:themeColor="text1"/>
                <w:sz w:val="18"/>
                <w:szCs w:val="18"/>
              </w:rPr>
            </w:pPr>
            <w:r w:rsidRPr="00FA3D89">
              <w:rPr>
                <w:color w:val="000000" w:themeColor="text1"/>
                <w:sz w:val="18"/>
                <w:szCs w:val="18"/>
              </w:rPr>
              <w:t xml:space="preserve">a) CDC Unit, DGHS, </w:t>
            </w:r>
            <w:r>
              <w:rPr>
                <w:color w:val="000000" w:themeColor="text1"/>
                <w:sz w:val="18"/>
                <w:szCs w:val="18"/>
              </w:rPr>
              <w:t>HSD</w:t>
            </w:r>
          </w:p>
          <w:p w14:paraId="331BD7DD" w14:textId="77777777" w:rsidR="00221C59" w:rsidRDefault="00221C59" w:rsidP="00221C59">
            <w:pPr>
              <w:ind w:left="-17"/>
              <w:rPr>
                <w:color w:val="000000" w:themeColor="text1"/>
                <w:sz w:val="18"/>
                <w:szCs w:val="18"/>
              </w:rPr>
            </w:pPr>
            <w:r w:rsidRPr="00FA3D89">
              <w:rPr>
                <w:color w:val="000000" w:themeColor="text1"/>
                <w:sz w:val="18"/>
                <w:szCs w:val="18"/>
              </w:rPr>
              <w:t>b) WHO</w:t>
            </w:r>
          </w:p>
          <w:p w14:paraId="4E350FFA" w14:textId="77777777" w:rsidR="00221C59" w:rsidRDefault="00221C59" w:rsidP="00221C59">
            <w:pPr>
              <w:ind w:left="-17"/>
              <w:rPr>
                <w:color w:val="000000" w:themeColor="text1"/>
                <w:sz w:val="18"/>
                <w:szCs w:val="18"/>
              </w:rPr>
            </w:pPr>
          </w:p>
          <w:p w14:paraId="64B2C9BA" w14:textId="77777777" w:rsidR="00221C59" w:rsidRPr="00CA531B" w:rsidRDefault="00221C59" w:rsidP="00221C59">
            <w:pPr>
              <w:ind w:left="-17"/>
              <w:rPr>
                <w:color w:val="000000" w:themeColor="text1"/>
                <w:sz w:val="18"/>
                <w:szCs w:val="18"/>
              </w:rPr>
            </w:pPr>
            <w:r>
              <w:rPr>
                <w:rFonts w:eastAsia="Times New Roman" w:cs="Times New Roman"/>
                <w:color w:val="000000" w:themeColor="text1"/>
                <w:szCs w:val="20"/>
              </w:rPr>
              <w:t>Administrative Data</w:t>
            </w:r>
          </w:p>
        </w:tc>
        <w:tc>
          <w:tcPr>
            <w:tcW w:w="0" w:type="auto"/>
            <w:shd w:val="clear" w:color="auto" w:fill="auto"/>
          </w:tcPr>
          <w:p w14:paraId="39F1D197" w14:textId="423A7B46" w:rsidR="00221C59" w:rsidRDefault="00221C59" w:rsidP="00221C59">
            <w:pPr>
              <w:pStyle w:val="ListParagraph"/>
              <w:numPr>
                <w:ilvl w:val="0"/>
                <w:numId w:val="2"/>
              </w:numPr>
              <w:ind w:left="122" w:hanging="122"/>
              <w:jc w:val="both"/>
              <w:rPr>
                <w:rFonts w:ascii="Tw Cen MT Condensed" w:hAnsi="Tw Cen MT Condensed"/>
                <w:bCs/>
                <w:sz w:val="20"/>
                <w:szCs w:val="20"/>
              </w:rPr>
            </w:pPr>
            <w:r>
              <w:rPr>
                <w:rFonts w:ascii="Tw Cen MT Condensed" w:hAnsi="Tw Cen MT Condensed"/>
                <w:bCs/>
                <w:sz w:val="20"/>
                <w:szCs w:val="20"/>
              </w:rPr>
              <w:t>B</w:t>
            </w:r>
            <w:r w:rsidRPr="00FA3D89">
              <w:rPr>
                <w:rFonts w:ascii="Tw Cen MT Condensed" w:hAnsi="Tw Cen MT Condensed"/>
                <w:bCs/>
                <w:sz w:val="20"/>
                <w:szCs w:val="20"/>
              </w:rPr>
              <w:t>y disease</w:t>
            </w:r>
            <w:r w:rsidR="00893A83">
              <w:rPr>
                <w:rFonts w:ascii="Tw Cen MT Condensed" w:hAnsi="Tw Cen MT Condensed"/>
                <w:bCs/>
                <w:sz w:val="20"/>
                <w:szCs w:val="20"/>
              </w:rPr>
              <w:t xml:space="preserve"> (tropical as occurred)</w:t>
            </w:r>
          </w:p>
          <w:p w14:paraId="0D0272B6" w14:textId="77777777" w:rsidR="00221C59" w:rsidRPr="00CA531B" w:rsidRDefault="00221C59" w:rsidP="00221C59">
            <w:pPr>
              <w:pStyle w:val="ListParagraph"/>
              <w:numPr>
                <w:ilvl w:val="0"/>
                <w:numId w:val="2"/>
              </w:numPr>
              <w:ind w:left="122" w:hanging="122"/>
              <w:jc w:val="both"/>
              <w:rPr>
                <w:rFonts w:ascii="Tw Cen MT Condensed" w:hAnsi="Tw Cen MT Condensed"/>
                <w:bCs/>
                <w:sz w:val="20"/>
                <w:szCs w:val="20"/>
              </w:rPr>
            </w:pPr>
            <w:proofErr w:type="gramStart"/>
            <w:r w:rsidRPr="00FA3D89">
              <w:rPr>
                <w:rFonts w:ascii="Tw Cen MT Condensed" w:hAnsi="Tw Cen MT Condensed"/>
                <w:bCs/>
                <w:sz w:val="20"/>
                <w:szCs w:val="20"/>
              </w:rPr>
              <w:t>age</w:t>
            </w:r>
            <w:proofErr w:type="gramEnd"/>
            <w:r w:rsidRPr="00FA3D89">
              <w:rPr>
                <w:rFonts w:ascii="Tw Cen MT Condensed" w:hAnsi="Tw Cen MT Condensed"/>
                <w:bCs/>
                <w:sz w:val="20"/>
                <w:szCs w:val="20"/>
              </w:rPr>
              <w:t xml:space="preserve"> </w:t>
            </w:r>
            <w:r>
              <w:rPr>
                <w:rFonts w:ascii="Tw Cen MT Condensed" w:hAnsi="Tw Cen MT Condensed"/>
                <w:bCs/>
                <w:sz w:val="20"/>
                <w:szCs w:val="20"/>
              </w:rPr>
              <w:t>[</w:t>
            </w:r>
            <w:r w:rsidRPr="00FA3D89">
              <w:rPr>
                <w:rFonts w:ascii="Tw Cen MT Condensed" w:hAnsi="Tw Cen MT Condensed"/>
                <w:bCs/>
                <w:sz w:val="20"/>
                <w:szCs w:val="20"/>
              </w:rPr>
              <w:t>pre-school-aged children (1-4 years), school-aged (5-14 years)</w:t>
            </w:r>
            <w:r>
              <w:rPr>
                <w:rFonts w:ascii="Tw Cen MT Condensed" w:hAnsi="Tw Cen MT Condensed"/>
                <w:bCs/>
                <w:sz w:val="20"/>
                <w:szCs w:val="20"/>
              </w:rPr>
              <w:t xml:space="preserve"> </w:t>
            </w:r>
            <w:r w:rsidRPr="00FA3D89">
              <w:rPr>
                <w:rFonts w:ascii="Tw Cen MT Condensed" w:hAnsi="Tw Cen MT Condensed"/>
                <w:bCs/>
                <w:sz w:val="20"/>
                <w:szCs w:val="20"/>
              </w:rPr>
              <w:t>and adults (= 15 years).</w:t>
            </w:r>
          </w:p>
        </w:tc>
        <w:tc>
          <w:tcPr>
            <w:tcW w:w="0" w:type="auto"/>
            <w:shd w:val="clear" w:color="auto" w:fill="auto"/>
          </w:tcPr>
          <w:p w14:paraId="31F77654" w14:textId="77777777" w:rsidR="00221C59" w:rsidRDefault="00221C59" w:rsidP="00221C59">
            <w:pPr>
              <w:jc w:val="center"/>
              <w:rPr>
                <w:bCs/>
                <w:szCs w:val="20"/>
              </w:rPr>
            </w:pPr>
            <w:r>
              <w:rPr>
                <w:bCs/>
                <w:szCs w:val="20"/>
              </w:rPr>
              <w:t>Annual</w:t>
            </w:r>
          </w:p>
        </w:tc>
        <w:tc>
          <w:tcPr>
            <w:tcW w:w="0" w:type="auto"/>
            <w:shd w:val="clear" w:color="auto" w:fill="auto"/>
          </w:tcPr>
          <w:p w14:paraId="7D832F8E" w14:textId="77777777" w:rsidR="00221C59" w:rsidRDefault="00221C59" w:rsidP="00221C59">
            <w:pPr>
              <w:pStyle w:val="NoSpacing"/>
            </w:pPr>
            <w:r>
              <w:t>1</w:t>
            </w:r>
            <w:r w:rsidRPr="00013ACB">
              <w:rPr>
                <w:vertAlign w:val="superscript"/>
              </w:rPr>
              <w:t>st</w:t>
            </w:r>
            <w:r>
              <w:t xml:space="preserve"> Round: </w:t>
            </w:r>
          </w:p>
          <w:p w14:paraId="2CC45FE3" w14:textId="77777777" w:rsidR="00221C59" w:rsidRDefault="00221C59" w:rsidP="00221C59">
            <w:pPr>
              <w:pStyle w:val="NoSpacing"/>
            </w:pPr>
            <w:r>
              <w:t>2016</w:t>
            </w:r>
          </w:p>
          <w:p w14:paraId="049F4057" w14:textId="77777777" w:rsidR="00221C59" w:rsidRDefault="00221C59" w:rsidP="00221C59">
            <w:pPr>
              <w:pStyle w:val="NoSpacing"/>
            </w:pPr>
            <w:r>
              <w:t>2</w:t>
            </w:r>
            <w:r w:rsidRPr="00013ACB">
              <w:rPr>
                <w:vertAlign w:val="superscript"/>
              </w:rPr>
              <w:t>nd</w:t>
            </w:r>
            <w:r>
              <w:t xml:space="preserve"> Round: </w:t>
            </w:r>
          </w:p>
          <w:p w14:paraId="6C73F7E9" w14:textId="77777777" w:rsidR="00221C59" w:rsidRDefault="00221C59" w:rsidP="00221C59">
            <w:pPr>
              <w:pStyle w:val="NoSpacing"/>
            </w:pPr>
            <w:r w:rsidRPr="00BC6F10">
              <w:rPr>
                <w:szCs w:val="20"/>
              </w:rPr>
              <w:t>January 2019</w:t>
            </w:r>
          </w:p>
          <w:p w14:paraId="37FA893A" w14:textId="77777777" w:rsidR="00221C59" w:rsidRDefault="00221C59" w:rsidP="00221C59">
            <w:pPr>
              <w:pStyle w:val="NoSpacing"/>
            </w:pPr>
            <w:r>
              <w:t>3</w:t>
            </w:r>
            <w:r w:rsidRPr="00013ACB">
              <w:rPr>
                <w:vertAlign w:val="superscript"/>
              </w:rPr>
              <w:t>rd</w:t>
            </w:r>
            <w:r>
              <w:t xml:space="preserve"> Round: </w:t>
            </w:r>
          </w:p>
          <w:p w14:paraId="216F38FC" w14:textId="77777777" w:rsidR="00221C59" w:rsidRDefault="00221C59" w:rsidP="00221C59">
            <w:pPr>
              <w:pStyle w:val="NoSpacing"/>
            </w:pPr>
            <w:r>
              <w:rPr>
                <w:szCs w:val="20"/>
              </w:rPr>
              <w:t>January 2020</w:t>
            </w:r>
          </w:p>
          <w:p w14:paraId="42E9D6E4" w14:textId="77777777" w:rsidR="00221C59" w:rsidRDefault="00221C59" w:rsidP="00221C59">
            <w:pPr>
              <w:pStyle w:val="NoSpacing"/>
            </w:pPr>
            <w:r>
              <w:t>4</w:t>
            </w:r>
            <w:r w:rsidRPr="00013ACB">
              <w:rPr>
                <w:vertAlign w:val="superscript"/>
              </w:rPr>
              <w:t>th</w:t>
            </w:r>
            <w:r>
              <w:t xml:space="preserve"> Round: </w:t>
            </w:r>
          </w:p>
          <w:p w14:paraId="1FE5BD46" w14:textId="77777777" w:rsidR="00221C59" w:rsidRDefault="00221C59" w:rsidP="00221C59">
            <w:pPr>
              <w:pStyle w:val="NoSpacing"/>
            </w:pPr>
            <w:r>
              <w:rPr>
                <w:szCs w:val="20"/>
              </w:rPr>
              <w:t>January 2021</w:t>
            </w:r>
          </w:p>
          <w:p w14:paraId="4B9AF51B" w14:textId="77777777" w:rsidR="00221C59" w:rsidRDefault="00221C59" w:rsidP="00221C59">
            <w:pPr>
              <w:pStyle w:val="NoSpacing"/>
            </w:pPr>
            <w:r>
              <w:t>5</w:t>
            </w:r>
            <w:r w:rsidRPr="00013ACB">
              <w:rPr>
                <w:vertAlign w:val="superscript"/>
              </w:rPr>
              <w:t>th</w:t>
            </w:r>
            <w:r>
              <w:t xml:space="preserve"> Round: </w:t>
            </w:r>
          </w:p>
          <w:p w14:paraId="12B9DC03" w14:textId="56FDBB0E" w:rsidR="00221C59" w:rsidRPr="002175FB" w:rsidRDefault="00221C59" w:rsidP="00221C59">
            <w:pPr>
              <w:jc w:val="center"/>
              <w:rPr>
                <w:bCs/>
                <w:szCs w:val="20"/>
              </w:rPr>
            </w:pPr>
            <w:r>
              <w:rPr>
                <w:szCs w:val="20"/>
              </w:rPr>
              <w:t>January 2022</w:t>
            </w:r>
          </w:p>
        </w:tc>
        <w:tc>
          <w:tcPr>
            <w:tcW w:w="682" w:type="dxa"/>
            <w:shd w:val="clear" w:color="auto" w:fill="auto"/>
          </w:tcPr>
          <w:p w14:paraId="7F3A1256" w14:textId="77777777" w:rsidR="00221C59" w:rsidRPr="00E64C3A" w:rsidRDefault="00221C59" w:rsidP="00221C59">
            <w:pPr>
              <w:pStyle w:val="ListParagraph"/>
              <w:ind w:left="108"/>
              <w:jc w:val="both"/>
              <w:rPr>
                <w:rFonts w:ascii="Tw Cen MT Condensed" w:hAnsi="Tw Cen MT Condensed"/>
                <w:bCs/>
                <w:sz w:val="20"/>
                <w:szCs w:val="20"/>
              </w:rPr>
            </w:pPr>
            <w:r>
              <w:rPr>
                <w:rFonts w:ascii="Tw Cen MT Condensed" w:hAnsi="Tw Cen MT Condensed"/>
                <w:bCs/>
                <w:sz w:val="20"/>
                <w:szCs w:val="20"/>
              </w:rPr>
              <w:t>Group 3</w:t>
            </w:r>
          </w:p>
        </w:tc>
        <w:tc>
          <w:tcPr>
            <w:tcW w:w="983" w:type="dxa"/>
            <w:shd w:val="clear" w:color="auto" w:fill="auto"/>
          </w:tcPr>
          <w:p w14:paraId="71DE76BC" w14:textId="77777777" w:rsidR="00221C59" w:rsidRPr="00E64C3A" w:rsidRDefault="00221C59" w:rsidP="00221C59">
            <w:pPr>
              <w:pStyle w:val="ListParagraph"/>
              <w:ind w:left="108"/>
              <w:jc w:val="both"/>
              <w:rPr>
                <w:rFonts w:ascii="Tw Cen MT Condensed" w:hAnsi="Tw Cen MT Condensed"/>
                <w:bCs/>
                <w:sz w:val="20"/>
                <w:szCs w:val="20"/>
              </w:rPr>
            </w:pPr>
          </w:p>
        </w:tc>
      </w:tr>
      <w:tr w:rsidR="00D46636" w14:paraId="53B2727D" w14:textId="77777777" w:rsidTr="0085651F">
        <w:tc>
          <w:tcPr>
            <w:tcW w:w="0" w:type="auto"/>
            <w:gridSpan w:val="14"/>
            <w:shd w:val="clear" w:color="auto" w:fill="auto"/>
          </w:tcPr>
          <w:p w14:paraId="693C91CE"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3.4  By 2030, reduce by one third premature mortality from non-communicable diseases through prevention and treatment and promote mental health and well-being</w:t>
            </w:r>
          </w:p>
        </w:tc>
      </w:tr>
      <w:tr w:rsidR="00BF3271" w14:paraId="1655D9FC" w14:textId="77777777" w:rsidTr="0085651F">
        <w:tc>
          <w:tcPr>
            <w:tcW w:w="0" w:type="auto"/>
            <w:gridSpan w:val="2"/>
            <w:shd w:val="clear" w:color="auto" w:fill="auto"/>
          </w:tcPr>
          <w:p w14:paraId="7FDEF967" w14:textId="77777777" w:rsidR="00221C59" w:rsidRPr="00FA3D89" w:rsidRDefault="00221C59" w:rsidP="00221C59">
            <w:pPr>
              <w:jc w:val="both"/>
              <w:rPr>
                <w:szCs w:val="20"/>
              </w:rPr>
            </w:pPr>
            <w:r w:rsidRPr="00557F8F">
              <w:rPr>
                <w:szCs w:val="20"/>
              </w:rPr>
              <w:t>3.4.1 Mortality rate attributed to cardiovascular disease, cancer, diabetes or chronic respiratory disease</w:t>
            </w:r>
          </w:p>
        </w:tc>
        <w:tc>
          <w:tcPr>
            <w:tcW w:w="0" w:type="auto"/>
            <w:shd w:val="clear" w:color="auto" w:fill="auto"/>
          </w:tcPr>
          <w:p w14:paraId="2812D603" w14:textId="77777777" w:rsidR="00221C59" w:rsidRDefault="00221C59" w:rsidP="00221C59">
            <w:pPr>
              <w:jc w:val="center"/>
              <w:rPr>
                <w:szCs w:val="20"/>
              </w:rPr>
            </w:pPr>
            <w:r>
              <w:rPr>
                <w:szCs w:val="20"/>
              </w:rPr>
              <w:t>WHO</w:t>
            </w:r>
          </w:p>
        </w:tc>
        <w:tc>
          <w:tcPr>
            <w:tcW w:w="0" w:type="auto"/>
            <w:shd w:val="clear" w:color="auto" w:fill="auto"/>
          </w:tcPr>
          <w:p w14:paraId="75A8F2A6" w14:textId="77777777" w:rsidR="00221C59" w:rsidRDefault="00221C59" w:rsidP="00221C59">
            <w:pPr>
              <w:jc w:val="center"/>
              <w:rPr>
                <w:szCs w:val="20"/>
              </w:rPr>
            </w:pPr>
            <w:r>
              <w:rPr>
                <w:szCs w:val="20"/>
              </w:rPr>
              <w:t>Tier I</w:t>
            </w:r>
          </w:p>
        </w:tc>
        <w:tc>
          <w:tcPr>
            <w:tcW w:w="0" w:type="auto"/>
            <w:shd w:val="clear" w:color="auto" w:fill="auto"/>
          </w:tcPr>
          <w:p w14:paraId="6D71C808" w14:textId="77777777" w:rsidR="00221C59" w:rsidRPr="00557F8F" w:rsidRDefault="00221C59" w:rsidP="00221C59">
            <w:pPr>
              <w:jc w:val="both"/>
              <w:rPr>
                <w:b/>
                <w:bCs/>
                <w:color w:val="000000" w:themeColor="text1"/>
                <w:szCs w:val="20"/>
              </w:rPr>
            </w:pPr>
            <w:r w:rsidRPr="00557F8F">
              <w:rPr>
                <w:b/>
                <w:bCs/>
                <w:color w:val="000000" w:themeColor="text1"/>
                <w:szCs w:val="20"/>
              </w:rPr>
              <w:t>Definition:</w:t>
            </w:r>
          </w:p>
          <w:p w14:paraId="4113D351" w14:textId="77777777" w:rsidR="00221C59" w:rsidRDefault="00221C59" w:rsidP="00221C59">
            <w:pPr>
              <w:jc w:val="both"/>
              <w:rPr>
                <w:color w:val="000000" w:themeColor="text1"/>
                <w:szCs w:val="20"/>
              </w:rPr>
            </w:pPr>
            <w:r w:rsidRPr="00557F8F">
              <w:rPr>
                <w:color w:val="000000" w:themeColor="text1"/>
                <w:szCs w:val="20"/>
              </w:rPr>
              <w:t>Mortality rate attributed to cardiovascular disease, cancer, diabetes or chronic respiratory disease.</w:t>
            </w:r>
            <w:r>
              <w:rPr>
                <w:color w:val="000000" w:themeColor="text1"/>
                <w:szCs w:val="20"/>
              </w:rPr>
              <w:t xml:space="preserve"> </w:t>
            </w:r>
            <w:r w:rsidRPr="00557F8F">
              <w:rPr>
                <w:color w:val="000000" w:themeColor="text1"/>
                <w:szCs w:val="20"/>
              </w:rPr>
              <w:t>Probability of dying between the ages of 30 and 70 years from cardiovascular diseases, cancer, diabetes</w:t>
            </w:r>
            <w:r>
              <w:rPr>
                <w:color w:val="000000" w:themeColor="text1"/>
                <w:szCs w:val="20"/>
              </w:rPr>
              <w:t xml:space="preserve"> </w:t>
            </w:r>
            <w:r w:rsidRPr="00557F8F">
              <w:rPr>
                <w:color w:val="000000" w:themeColor="text1"/>
                <w:szCs w:val="20"/>
              </w:rPr>
              <w:t>or chronic respiratory diseases, defined as the per cent of 30-year-old-people who would die before their</w:t>
            </w:r>
            <w:r>
              <w:rPr>
                <w:color w:val="000000" w:themeColor="text1"/>
                <w:szCs w:val="20"/>
              </w:rPr>
              <w:t xml:space="preserve"> </w:t>
            </w:r>
            <w:r w:rsidRPr="00557F8F">
              <w:rPr>
                <w:color w:val="000000" w:themeColor="text1"/>
                <w:szCs w:val="20"/>
              </w:rPr>
              <w:t>70th birthday from cardiovascular disease, cancer, diabetes, or chronic respiratory disease, assuming that</w:t>
            </w:r>
            <w:r>
              <w:rPr>
                <w:color w:val="000000" w:themeColor="text1"/>
                <w:szCs w:val="20"/>
              </w:rPr>
              <w:t xml:space="preserve"> </w:t>
            </w:r>
            <w:r w:rsidRPr="00557F8F">
              <w:rPr>
                <w:color w:val="000000" w:themeColor="text1"/>
                <w:szCs w:val="20"/>
              </w:rPr>
              <w:t>s/he would experience current mortality rates at every age and s/he would not die from any other cause</w:t>
            </w:r>
            <w:r>
              <w:rPr>
                <w:color w:val="000000" w:themeColor="text1"/>
                <w:szCs w:val="20"/>
              </w:rPr>
              <w:t xml:space="preserve"> </w:t>
            </w:r>
            <w:r w:rsidRPr="00557F8F">
              <w:rPr>
                <w:color w:val="000000" w:themeColor="text1"/>
                <w:szCs w:val="20"/>
              </w:rPr>
              <w:t>of death (e.g., injuries or HIV/AIDS). This indicator is calculated using life table methods (see further</w:t>
            </w:r>
            <w:r>
              <w:rPr>
                <w:color w:val="000000" w:themeColor="text1"/>
                <w:szCs w:val="20"/>
              </w:rPr>
              <w:t xml:space="preserve"> </w:t>
            </w:r>
            <w:r w:rsidRPr="00557F8F">
              <w:rPr>
                <w:color w:val="000000" w:themeColor="text1"/>
                <w:szCs w:val="20"/>
              </w:rPr>
              <w:t>details in section 3.3).</w:t>
            </w:r>
          </w:p>
          <w:p w14:paraId="309EA05F" w14:textId="77777777" w:rsidR="00221C59" w:rsidRPr="00557F8F" w:rsidRDefault="00221C59" w:rsidP="00221C59">
            <w:pPr>
              <w:jc w:val="both"/>
              <w:rPr>
                <w:color w:val="000000" w:themeColor="text1"/>
                <w:szCs w:val="20"/>
              </w:rPr>
            </w:pPr>
          </w:p>
          <w:p w14:paraId="507B1D19" w14:textId="77777777" w:rsidR="00221C59" w:rsidRPr="00557F8F" w:rsidRDefault="00221C59" w:rsidP="00221C59">
            <w:pPr>
              <w:jc w:val="both"/>
              <w:rPr>
                <w:b/>
                <w:bCs/>
                <w:color w:val="000000" w:themeColor="text1"/>
                <w:szCs w:val="20"/>
              </w:rPr>
            </w:pPr>
            <w:r w:rsidRPr="00557F8F">
              <w:rPr>
                <w:b/>
                <w:bCs/>
                <w:color w:val="000000" w:themeColor="text1"/>
                <w:szCs w:val="20"/>
              </w:rPr>
              <w:t>Concepts:</w:t>
            </w:r>
          </w:p>
          <w:p w14:paraId="1E1837F4" w14:textId="77777777" w:rsidR="00221C59" w:rsidRPr="00557F8F" w:rsidRDefault="00221C59" w:rsidP="00221C59">
            <w:pPr>
              <w:jc w:val="both"/>
              <w:rPr>
                <w:color w:val="000000" w:themeColor="text1"/>
                <w:szCs w:val="20"/>
              </w:rPr>
            </w:pPr>
            <w:r w:rsidRPr="00557F8F">
              <w:rPr>
                <w:i/>
                <w:iCs/>
                <w:color w:val="000000" w:themeColor="text1"/>
                <w:szCs w:val="20"/>
              </w:rPr>
              <w:t>Probability of dying:</w:t>
            </w:r>
            <w:r w:rsidRPr="00557F8F">
              <w:rPr>
                <w:color w:val="000000" w:themeColor="text1"/>
                <w:szCs w:val="20"/>
              </w:rPr>
              <w:t xml:space="preserve"> The likelihood that an individual would die between two ages given current mortality</w:t>
            </w:r>
            <w:r>
              <w:rPr>
                <w:color w:val="000000" w:themeColor="text1"/>
                <w:szCs w:val="20"/>
              </w:rPr>
              <w:t xml:space="preserve"> </w:t>
            </w:r>
            <w:r w:rsidRPr="00557F8F">
              <w:rPr>
                <w:color w:val="000000" w:themeColor="text1"/>
                <w:szCs w:val="20"/>
              </w:rPr>
              <w:t>rates at each age, calculated using life table methods. The probability of death between two ages may be</w:t>
            </w:r>
            <w:r>
              <w:rPr>
                <w:color w:val="000000" w:themeColor="text1"/>
                <w:szCs w:val="20"/>
              </w:rPr>
              <w:t xml:space="preserve"> </w:t>
            </w:r>
            <w:r w:rsidRPr="00557F8F">
              <w:rPr>
                <w:color w:val="000000" w:themeColor="text1"/>
                <w:szCs w:val="20"/>
              </w:rPr>
              <w:t>called a mortality rate.</w:t>
            </w:r>
          </w:p>
          <w:p w14:paraId="22274663" w14:textId="77777777" w:rsidR="00221C59" w:rsidRPr="00557F8F" w:rsidRDefault="00221C59" w:rsidP="00221C59">
            <w:pPr>
              <w:jc w:val="both"/>
              <w:rPr>
                <w:color w:val="000000" w:themeColor="text1"/>
                <w:szCs w:val="20"/>
              </w:rPr>
            </w:pPr>
            <w:r w:rsidRPr="00557F8F">
              <w:rPr>
                <w:i/>
                <w:iCs/>
                <w:color w:val="000000" w:themeColor="text1"/>
                <w:szCs w:val="20"/>
              </w:rPr>
              <w:t>Life table:</w:t>
            </w:r>
            <w:r w:rsidRPr="00557F8F">
              <w:rPr>
                <w:color w:val="000000" w:themeColor="text1"/>
                <w:szCs w:val="20"/>
              </w:rPr>
              <w:t xml:space="preserve"> A table showing the mortality experience of a hypothetical group of infants born at the same</w:t>
            </w:r>
            <w:r>
              <w:rPr>
                <w:color w:val="000000" w:themeColor="text1"/>
                <w:szCs w:val="20"/>
              </w:rPr>
              <w:t xml:space="preserve"> </w:t>
            </w:r>
            <w:r w:rsidRPr="00557F8F">
              <w:rPr>
                <w:color w:val="000000" w:themeColor="text1"/>
                <w:szCs w:val="20"/>
              </w:rPr>
              <w:t>time and subject throughout their lifetime to a set of age-specific mortality rates.</w:t>
            </w:r>
          </w:p>
          <w:p w14:paraId="57C40706" w14:textId="77777777" w:rsidR="00221C59" w:rsidRDefault="00221C59" w:rsidP="00221C59">
            <w:pPr>
              <w:jc w:val="both"/>
              <w:rPr>
                <w:color w:val="000000" w:themeColor="text1"/>
                <w:szCs w:val="20"/>
              </w:rPr>
            </w:pPr>
            <w:r w:rsidRPr="00557F8F">
              <w:rPr>
                <w:i/>
                <w:iCs/>
                <w:color w:val="000000" w:themeColor="text1"/>
                <w:szCs w:val="20"/>
              </w:rPr>
              <w:t>Cardiovascular disease, cancer, diabetes or chronic respiratory diseases:</w:t>
            </w:r>
            <w:r w:rsidRPr="00557F8F">
              <w:rPr>
                <w:color w:val="000000" w:themeColor="text1"/>
                <w:szCs w:val="20"/>
              </w:rPr>
              <w:t xml:space="preserve"> ICD-10 underlying causes of</w:t>
            </w:r>
            <w:r>
              <w:rPr>
                <w:color w:val="000000" w:themeColor="text1"/>
                <w:szCs w:val="20"/>
              </w:rPr>
              <w:t xml:space="preserve"> </w:t>
            </w:r>
            <w:r w:rsidRPr="00557F8F">
              <w:rPr>
                <w:color w:val="000000" w:themeColor="text1"/>
                <w:szCs w:val="20"/>
              </w:rPr>
              <w:t>death I00-I99, COO-C97, E10-E14 and J30-J98.</w:t>
            </w:r>
          </w:p>
          <w:p w14:paraId="164E60D3" w14:textId="77777777" w:rsidR="00221C59" w:rsidRDefault="00221C59" w:rsidP="00221C59">
            <w:pPr>
              <w:jc w:val="both"/>
              <w:rPr>
                <w:b/>
                <w:bCs/>
                <w:color w:val="000000" w:themeColor="text1"/>
                <w:szCs w:val="20"/>
              </w:rPr>
            </w:pPr>
          </w:p>
          <w:p w14:paraId="57E54ADA" w14:textId="77777777" w:rsidR="00221C59" w:rsidRPr="00557F8F" w:rsidRDefault="00221C59" w:rsidP="00221C59">
            <w:pPr>
              <w:jc w:val="both"/>
              <w:rPr>
                <w:b/>
                <w:bCs/>
                <w:color w:val="000000" w:themeColor="text1"/>
                <w:szCs w:val="20"/>
              </w:rPr>
            </w:pPr>
            <w:r w:rsidRPr="00557F8F">
              <w:rPr>
                <w:b/>
                <w:bCs/>
                <w:color w:val="000000" w:themeColor="text1"/>
                <w:szCs w:val="20"/>
              </w:rPr>
              <w:t>Computation Method:</w:t>
            </w:r>
          </w:p>
          <w:p w14:paraId="127582FC" w14:textId="77777777" w:rsidR="00221C59" w:rsidRPr="00557F8F" w:rsidRDefault="00221C59" w:rsidP="00221C59">
            <w:pPr>
              <w:ind w:left="175" w:hanging="175"/>
              <w:jc w:val="both"/>
              <w:rPr>
                <w:color w:val="000000" w:themeColor="text1"/>
                <w:szCs w:val="20"/>
              </w:rPr>
            </w:pPr>
            <w:r w:rsidRPr="00557F8F">
              <w:rPr>
                <w:color w:val="000000" w:themeColor="text1"/>
                <w:szCs w:val="20"/>
              </w:rPr>
              <w:t>There are 4 steps involved in the calculation of this indicator:</w:t>
            </w:r>
          </w:p>
          <w:p w14:paraId="412EC5B4" w14:textId="77777777" w:rsidR="00221C59" w:rsidRPr="00557F8F" w:rsidRDefault="00221C59" w:rsidP="00221C59">
            <w:pPr>
              <w:ind w:left="175" w:hanging="175"/>
              <w:jc w:val="both"/>
              <w:rPr>
                <w:color w:val="000000" w:themeColor="text1"/>
                <w:szCs w:val="20"/>
              </w:rPr>
            </w:pPr>
            <w:r w:rsidRPr="00557F8F">
              <w:rPr>
                <w:color w:val="000000" w:themeColor="text1"/>
                <w:szCs w:val="20"/>
              </w:rPr>
              <w:t>1. Estimation of WHO life tables, based on the UN World Population Prospects 2012 revision.</w:t>
            </w:r>
          </w:p>
          <w:p w14:paraId="3A636129" w14:textId="77777777" w:rsidR="00221C59" w:rsidRPr="00557F8F" w:rsidRDefault="00221C59" w:rsidP="00221C59">
            <w:pPr>
              <w:ind w:left="175" w:hanging="175"/>
              <w:jc w:val="both"/>
              <w:rPr>
                <w:color w:val="000000" w:themeColor="text1"/>
                <w:szCs w:val="20"/>
              </w:rPr>
            </w:pPr>
            <w:r w:rsidRPr="00557F8F">
              <w:rPr>
                <w:color w:val="000000" w:themeColor="text1"/>
                <w:szCs w:val="20"/>
              </w:rPr>
              <w:t>2. Estimation of cause-of-death distributions.</w:t>
            </w:r>
          </w:p>
          <w:p w14:paraId="11932269" w14:textId="77777777" w:rsidR="00221C59" w:rsidRPr="00557F8F" w:rsidRDefault="00221C59" w:rsidP="00221C59">
            <w:pPr>
              <w:ind w:left="175" w:hanging="175"/>
              <w:jc w:val="both"/>
              <w:rPr>
                <w:color w:val="000000" w:themeColor="text1"/>
                <w:szCs w:val="20"/>
              </w:rPr>
            </w:pPr>
            <w:r w:rsidRPr="00557F8F">
              <w:rPr>
                <w:color w:val="000000" w:themeColor="text1"/>
                <w:szCs w:val="20"/>
              </w:rPr>
              <w:lastRenderedPageBreak/>
              <w:t>3. Calculation of age-specific mortality rates from the four main NCDs for each five-year age range</w:t>
            </w:r>
            <w:r>
              <w:rPr>
                <w:color w:val="000000" w:themeColor="text1"/>
                <w:szCs w:val="20"/>
              </w:rPr>
              <w:t xml:space="preserve"> </w:t>
            </w:r>
            <w:r w:rsidRPr="00557F8F">
              <w:rPr>
                <w:color w:val="000000" w:themeColor="text1"/>
                <w:szCs w:val="20"/>
              </w:rPr>
              <w:t>between 30 and 70.</w:t>
            </w:r>
          </w:p>
          <w:p w14:paraId="549BD8AE" w14:textId="77777777" w:rsidR="00221C59" w:rsidRPr="00FA3D89" w:rsidRDefault="00221C59" w:rsidP="00221C59">
            <w:pPr>
              <w:ind w:left="175" w:hanging="175"/>
              <w:jc w:val="both"/>
              <w:rPr>
                <w:b/>
                <w:bCs/>
                <w:color w:val="000000" w:themeColor="text1"/>
                <w:szCs w:val="20"/>
              </w:rPr>
            </w:pPr>
            <w:r w:rsidRPr="00557F8F">
              <w:rPr>
                <w:color w:val="000000" w:themeColor="text1"/>
                <w:szCs w:val="20"/>
              </w:rPr>
              <w:t>4. Calculation of the probability of dying between the ages of 30 and 70 years from cardiovascular</w:t>
            </w:r>
            <w:r>
              <w:rPr>
                <w:color w:val="000000" w:themeColor="text1"/>
                <w:szCs w:val="20"/>
              </w:rPr>
              <w:t xml:space="preserve"> </w:t>
            </w:r>
            <w:r w:rsidRPr="00557F8F">
              <w:rPr>
                <w:color w:val="000000" w:themeColor="text1"/>
                <w:szCs w:val="20"/>
              </w:rPr>
              <w:t>diseases, cancer, diabetes or chronic respiratory diseases.</w:t>
            </w:r>
          </w:p>
        </w:tc>
        <w:tc>
          <w:tcPr>
            <w:tcW w:w="0" w:type="auto"/>
            <w:shd w:val="clear" w:color="auto" w:fill="auto"/>
          </w:tcPr>
          <w:p w14:paraId="79D47070" w14:textId="77777777" w:rsidR="00221C59" w:rsidRPr="00557F8F" w:rsidRDefault="00221C59" w:rsidP="00221C59">
            <w:pPr>
              <w:jc w:val="center"/>
              <w:rPr>
                <w:bCs/>
                <w:szCs w:val="20"/>
              </w:rPr>
            </w:pPr>
            <w:r>
              <w:rPr>
                <w:bCs/>
                <w:szCs w:val="20"/>
              </w:rPr>
              <w:lastRenderedPageBreak/>
              <w:t>D</w:t>
            </w:r>
            <w:r w:rsidRPr="00557F8F">
              <w:rPr>
                <w:bCs/>
                <w:szCs w:val="20"/>
              </w:rPr>
              <w:t>eath registration systems with complete coverage</w:t>
            </w:r>
            <w:r>
              <w:rPr>
                <w:bCs/>
                <w:szCs w:val="20"/>
              </w:rPr>
              <w:t>;</w:t>
            </w:r>
            <w:r w:rsidRPr="00557F8F">
              <w:rPr>
                <w:bCs/>
                <w:szCs w:val="20"/>
              </w:rPr>
              <w:t xml:space="preserve"> medical certification</w:t>
            </w:r>
          </w:p>
          <w:p w14:paraId="65EA61BC" w14:textId="77777777" w:rsidR="00221C59" w:rsidRPr="00557F8F" w:rsidRDefault="00221C59" w:rsidP="00221C59">
            <w:pPr>
              <w:jc w:val="center"/>
              <w:rPr>
                <w:bCs/>
                <w:szCs w:val="20"/>
              </w:rPr>
            </w:pPr>
            <w:r w:rsidRPr="00557F8F">
              <w:rPr>
                <w:bCs/>
                <w:szCs w:val="20"/>
              </w:rPr>
              <w:t>of cause of death</w:t>
            </w:r>
            <w:r>
              <w:rPr>
                <w:bCs/>
                <w:szCs w:val="20"/>
              </w:rPr>
              <w:t xml:space="preserve">; </w:t>
            </w:r>
            <w:r w:rsidRPr="00557F8F">
              <w:rPr>
                <w:bCs/>
                <w:szCs w:val="20"/>
              </w:rPr>
              <w:t>household surveys with verbal autopsy, and</w:t>
            </w:r>
          </w:p>
          <w:p w14:paraId="6BB45C9C" w14:textId="77777777" w:rsidR="00221C59" w:rsidRDefault="00221C59" w:rsidP="00221C59">
            <w:pPr>
              <w:jc w:val="center"/>
              <w:rPr>
                <w:bCs/>
                <w:szCs w:val="20"/>
              </w:rPr>
            </w:pPr>
            <w:r w:rsidRPr="00557F8F">
              <w:rPr>
                <w:bCs/>
                <w:szCs w:val="20"/>
              </w:rPr>
              <w:t>sample or sentinel registration systems</w:t>
            </w:r>
          </w:p>
        </w:tc>
        <w:tc>
          <w:tcPr>
            <w:tcW w:w="0" w:type="auto"/>
            <w:shd w:val="clear" w:color="auto" w:fill="auto"/>
          </w:tcPr>
          <w:p w14:paraId="0151BB6C" w14:textId="77777777" w:rsidR="00221C59" w:rsidRDefault="00221C59" w:rsidP="00221C59">
            <w:pPr>
              <w:jc w:val="center"/>
              <w:rPr>
                <w:bCs/>
                <w:szCs w:val="20"/>
              </w:rPr>
            </w:pPr>
            <w:r w:rsidRPr="00557F8F">
              <w:rPr>
                <w:bCs/>
                <w:szCs w:val="20"/>
              </w:rPr>
              <w:t>National statistics offices and/or ministries of health</w:t>
            </w:r>
          </w:p>
        </w:tc>
        <w:tc>
          <w:tcPr>
            <w:tcW w:w="0" w:type="auto"/>
            <w:shd w:val="clear" w:color="auto" w:fill="auto"/>
          </w:tcPr>
          <w:p w14:paraId="378FBD55" w14:textId="77777777" w:rsidR="00221C59" w:rsidRPr="00FA3D89" w:rsidRDefault="00221C59" w:rsidP="00221C59">
            <w:pPr>
              <w:jc w:val="center"/>
              <w:rPr>
                <w:color w:val="000000" w:themeColor="text1"/>
                <w:sz w:val="18"/>
                <w:szCs w:val="18"/>
              </w:rPr>
            </w:pPr>
            <w:r>
              <w:rPr>
                <w:color w:val="000000" w:themeColor="text1"/>
                <w:sz w:val="18"/>
                <w:szCs w:val="18"/>
              </w:rPr>
              <w:t>WHO</w:t>
            </w:r>
          </w:p>
        </w:tc>
        <w:tc>
          <w:tcPr>
            <w:tcW w:w="0" w:type="auto"/>
            <w:shd w:val="clear" w:color="auto" w:fill="auto"/>
          </w:tcPr>
          <w:p w14:paraId="7D8D1BF9" w14:textId="17525E73" w:rsidR="00221C59" w:rsidRDefault="00221C59" w:rsidP="00221C59">
            <w:pPr>
              <w:rPr>
                <w:color w:val="000000" w:themeColor="text1"/>
                <w:sz w:val="18"/>
                <w:szCs w:val="18"/>
              </w:rPr>
            </w:pPr>
          </w:p>
          <w:p w14:paraId="29771938" w14:textId="77777777" w:rsidR="00221C59" w:rsidRDefault="00221C59" w:rsidP="00221C59">
            <w:pPr>
              <w:spacing w:line="276" w:lineRule="auto"/>
              <w:jc w:val="center"/>
              <w:rPr>
                <w:rFonts w:eastAsia="Times New Roman" w:cs="Times New Roman"/>
                <w:color w:val="000000" w:themeColor="text1"/>
                <w:szCs w:val="20"/>
              </w:rPr>
            </w:pPr>
            <w:r>
              <w:rPr>
                <w:rFonts w:eastAsia="Times New Roman" w:cs="Times New Roman"/>
                <w:color w:val="000000" w:themeColor="text1"/>
                <w:szCs w:val="20"/>
              </w:rPr>
              <w:t>Household Survey;</w:t>
            </w:r>
          </w:p>
          <w:p w14:paraId="590F3343" w14:textId="77777777" w:rsidR="00221C59" w:rsidRDefault="00221C59" w:rsidP="00221C59">
            <w:pPr>
              <w:rPr>
                <w:rFonts w:eastAsia="Times New Roman" w:cs="Times New Roman"/>
                <w:color w:val="000000" w:themeColor="text1"/>
                <w:szCs w:val="20"/>
              </w:rPr>
            </w:pPr>
            <w:r>
              <w:rPr>
                <w:rFonts w:eastAsia="Times New Roman" w:cs="Times New Roman"/>
                <w:color w:val="000000" w:themeColor="text1"/>
                <w:szCs w:val="20"/>
              </w:rPr>
              <w:t>Hospital MIS</w:t>
            </w:r>
          </w:p>
          <w:p w14:paraId="372E7AD7" w14:textId="77777777" w:rsidR="00221C59" w:rsidRDefault="00221C59" w:rsidP="00221C59">
            <w:pPr>
              <w:ind w:left="-48"/>
            </w:pPr>
            <w:r>
              <w:t xml:space="preserve">a) </w:t>
            </w:r>
            <w:r w:rsidRPr="00B50FB0">
              <w:t>NCDC Unit, DGHS</w:t>
            </w:r>
            <w:r>
              <w:t>, HSD</w:t>
            </w:r>
          </w:p>
          <w:p w14:paraId="0D2B5A5B" w14:textId="77777777" w:rsidR="00221C59" w:rsidRDefault="00221C59" w:rsidP="00221C59">
            <w:pPr>
              <w:ind w:left="-48"/>
            </w:pPr>
            <w:r w:rsidRPr="00B50FB0">
              <w:br/>
              <w:t>b)</w:t>
            </w:r>
            <w:r>
              <w:t xml:space="preserve"> MIS, DGHS, HSD</w:t>
            </w:r>
          </w:p>
          <w:p w14:paraId="53361D24" w14:textId="77777777" w:rsidR="00221C59" w:rsidRDefault="00221C59" w:rsidP="00221C59">
            <w:pPr>
              <w:ind w:left="-48"/>
            </w:pPr>
          </w:p>
          <w:p w14:paraId="5E08BDE0" w14:textId="77777777" w:rsidR="00221C59" w:rsidRDefault="00221C59" w:rsidP="00221C59">
            <w:pPr>
              <w:ind w:left="-48"/>
            </w:pPr>
            <w:r>
              <w:t>c) SVRS, BBS, SID</w:t>
            </w:r>
          </w:p>
          <w:p w14:paraId="10692560" w14:textId="77777777" w:rsidR="00221C59" w:rsidRPr="00FA3D89" w:rsidRDefault="00221C59" w:rsidP="00221C59">
            <w:pPr>
              <w:rPr>
                <w:color w:val="000000" w:themeColor="text1"/>
                <w:sz w:val="18"/>
                <w:szCs w:val="18"/>
              </w:rPr>
            </w:pPr>
            <w:r>
              <w:t>d) WHO</w:t>
            </w:r>
          </w:p>
        </w:tc>
        <w:tc>
          <w:tcPr>
            <w:tcW w:w="0" w:type="auto"/>
            <w:shd w:val="clear" w:color="auto" w:fill="auto"/>
          </w:tcPr>
          <w:p w14:paraId="2CCB960A" w14:textId="4897B20C" w:rsidR="00221C59" w:rsidRDefault="00221C59" w:rsidP="00221C59">
            <w:pPr>
              <w:pStyle w:val="ListParagraph"/>
              <w:numPr>
                <w:ilvl w:val="0"/>
                <w:numId w:val="2"/>
              </w:numPr>
              <w:ind w:left="122" w:hanging="122"/>
              <w:jc w:val="both"/>
              <w:rPr>
                <w:rFonts w:ascii="Tw Cen MT Condensed" w:hAnsi="Tw Cen MT Condensed"/>
                <w:bCs/>
                <w:sz w:val="20"/>
                <w:szCs w:val="20"/>
              </w:rPr>
            </w:pPr>
            <w:r>
              <w:rPr>
                <w:rFonts w:ascii="Tw Cen MT Condensed" w:hAnsi="Tw Cen MT Condensed"/>
                <w:bCs/>
                <w:sz w:val="20"/>
                <w:szCs w:val="20"/>
              </w:rPr>
              <w:t>Sex</w:t>
            </w:r>
            <w:r w:rsidR="00893A83">
              <w:rPr>
                <w:rFonts w:ascii="Tw Cen MT Condensed" w:hAnsi="Tw Cen MT Condensed"/>
                <w:bCs/>
                <w:sz w:val="20"/>
                <w:szCs w:val="20"/>
              </w:rPr>
              <w:t>:Male/female/both</w:t>
            </w:r>
          </w:p>
          <w:p w14:paraId="1947C006" w14:textId="267A9AF7" w:rsidR="00221C59" w:rsidRDefault="00221C59" w:rsidP="00221C59">
            <w:pPr>
              <w:pStyle w:val="ListParagraph"/>
              <w:numPr>
                <w:ilvl w:val="0"/>
                <w:numId w:val="2"/>
              </w:numPr>
              <w:ind w:left="122" w:hanging="122"/>
              <w:jc w:val="both"/>
              <w:rPr>
                <w:rFonts w:ascii="Tw Cen MT Condensed" w:hAnsi="Tw Cen MT Condensed"/>
                <w:bCs/>
                <w:sz w:val="20"/>
                <w:szCs w:val="20"/>
              </w:rPr>
            </w:pPr>
            <w:r>
              <w:rPr>
                <w:rFonts w:ascii="Tw Cen MT Condensed" w:hAnsi="Tw Cen MT Condensed"/>
                <w:bCs/>
                <w:sz w:val="20"/>
                <w:szCs w:val="20"/>
              </w:rPr>
              <w:t>Age</w:t>
            </w:r>
            <w:r w:rsidR="00893A83">
              <w:rPr>
                <w:rFonts w:ascii="Tw Cen MT Condensed" w:hAnsi="Tw Cen MT Condensed"/>
                <w:bCs/>
                <w:sz w:val="20"/>
                <w:szCs w:val="20"/>
              </w:rPr>
              <w:t>: 30-40 yrs/41-50 yrs/51-60 yrs/61-70 yrs</w:t>
            </w:r>
          </w:p>
          <w:p w14:paraId="300589C9" w14:textId="77777777" w:rsidR="00B22244" w:rsidRDefault="00221C59" w:rsidP="00B22244">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bCs/>
                <w:sz w:val="20"/>
                <w:szCs w:val="20"/>
              </w:rPr>
              <w:t>Cause</w:t>
            </w:r>
            <w:r w:rsidR="00B22244" w:rsidRPr="00B63997">
              <w:rPr>
                <w:rFonts w:ascii="Tw Cen MT Condensed" w:hAnsi="Tw Cen MT Condensed"/>
              </w:rPr>
              <w:t xml:space="preserve"> </w:t>
            </w:r>
          </w:p>
          <w:p w14:paraId="709E571B" w14:textId="7DE9A20A" w:rsidR="00221C59" w:rsidRPr="000C4849" w:rsidRDefault="00B22244" w:rsidP="000C4849">
            <w:pPr>
              <w:pStyle w:val="ListParagraph"/>
              <w:numPr>
                <w:ilvl w:val="0"/>
                <w:numId w:val="48"/>
              </w:numPr>
              <w:spacing w:after="0" w:line="240" w:lineRule="auto"/>
              <w:ind w:left="160" w:hanging="160"/>
              <w:rPr>
                <w:rFonts w:ascii="Tw Cen MT Condensed" w:hAnsi="Tw Cen MT Condensed"/>
              </w:rPr>
            </w:pPr>
            <w:r w:rsidRPr="00B63997">
              <w:rPr>
                <w:rFonts w:ascii="Tw Cen MT Condensed" w:hAnsi="Tw Cen MT Condensed"/>
              </w:rPr>
              <w:t>Type of disease: cancer, cardiovascular disease, chronic respiratory disease, diabetes</w:t>
            </w:r>
          </w:p>
        </w:tc>
        <w:tc>
          <w:tcPr>
            <w:tcW w:w="0" w:type="auto"/>
            <w:shd w:val="clear" w:color="auto" w:fill="auto"/>
          </w:tcPr>
          <w:p w14:paraId="0580981B" w14:textId="77777777" w:rsidR="00221C59" w:rsidRDefault="00221C59" w:rsidP="00221C59">
            <w:pPr>
              <w:jc w:val="center"/>
              <w:rPr>
                <w:bCs/>
                <w:szCs w:val="20"/>
              </w:rPr>
            </w:pPr>
            <w:r>
              <w:rPr>
                <w:bCs/>
                <w:szCs w:val="20"/>
              </w:rPr>
              <w:t>Annual</w:t>
            </w:r>
          </w:p>
        </w:tc>
        <w:tc>
          <w:tcPr>
            <w:tcW w:w="0" w:type="auto"/>
            <w:shd w:val="clear" w:color="auto" w:fill="auto"/>
          </w:tcPr>
          <w:p w14:paraId="3157E980" w14:textId="77777777" w:rsidR="00221C59" w:rsidRDefault="00221C59" w:rsidP="00221C59">
            <w:pPr>
              <w:pStyle w:val="NoSpacing"/>
            </w:pPr>
            <w:r>
              <w:t>1</w:t>
            </w:r>
            <w:r w:rsidRPr="00013ACB">
              <w:rPr>
                <w:vertAlign w:val="superscript"/>
              </w:rPr>
              <w:t>st</w:t>
            </w:r>
            <w:r>
              <w:t xml:space="preserve"> Round: </w:t>
            </w:r>
          </w:p>
          <w:p w14:paraId="14A594FE" w14:textId="77777777" w:rsidR="00221C59" w:rsidRDefault="00221C59" w:rsidP="00221C59">
            <w:pPr>
              <w:pStyle w:val="NoSpacing"/>
            </w:pPr>
            <w:r>
              <w:t>2016</w:t>
            </w:r>
          </w:p>
          <w:p w14:paraId="2F517E4F" w14:textId="77777777" w:rsidR="00221C59" w:rsidRDefault="00221C59" w:rsidP="00221C59">
            <w:pPr>
              <w:pStyle w:val="NoSpacing"/>
            </w:pPr>
          </w:p>
          <w:p w14:paraId="646772B7" w14:textId="77777777" w:rsidR="00221C59" w:rsidRDefault="00221C59" w:rsidP="00221C59">
            <w:pPr>
              <w:pStyle w:val="NoSpacing"/>
            </w:pPr>
            <w:r>
              <w:t>2</w:t>
            </w:r>
            <w:r w:rsidRPr="00013ACB">
              <w:rPr>
                <w:vertAlign w:val="superscript"/>
              </w:rPr>
              <w:t>nd</w:t>
            </w:r>
            <w:r>
              <w:t xml:space="preserve"> Round: </w:t>
            </w:r>
          </w:p>
          <w:p w14:paraId="6FA8C466" w14:textId="77777777" w:rsidR="00221C59" w:rsidRDefault="00221C59" w:rsidP="00221C59">
            <w:pPr>
              <w:rPr>
                <w:bCs/>
                <w:szCs w:val="20"/>
              </w:rPr>
            </w:pPr>
            <w:r>
              <w:rPr>
                <w:bCs/>
                <w:szCs w:val="20"/>
              </w:rPr>
              <w:t>June, 2019</w:t>
            </w:r>
          </w:p>
          <w:p w14:paraId="388368CD" w14:textId="77777777" w:rsidR="00221C59" w:rsidRDefault="00221C59" w:rsidP="00221C59">
            <w:pPr>
              <w:pStyle w:val="NoSpacing"/>
            </w:pPr>
          </w:p>
          <w:p w14:paraId="2458621B" w14:textId="77777777" w:rsidR="00221C59" w:rsidRDefault="00221C59" w:rsidP="00221C59">
            <w:pPr>
              <w:pStyle w:val="NoSpacing"/>
            </w:pPr>
            <w:r>
              <w:t>3</w:t>
            </w:r>
            <w:r w:rsidRPr="00013ACB">
              <w:rPr>
                <w:vertAlign w:val="superscript"/>
              </w:rPr>
              <w:t>rd</w:t>
            </w:r>
            <w:r>
              <w:t xml:space="preserve"> Round: </w:t>
            </w:r>
          </w:p>
          <w:p w14:paraId="6DB87348" w14:textId="77777777" w:rsidR="00221C59" w:rsidRDefault="00221C59" w:rsidP="00221C59">
            <w:pPr>
              <w:rPr>
                <w:bCs/>
                <w:szCs w:val="20"/>
              </w:rPr>
            </w:pPr>
            <w:r>
              <w:rPr>
                <w:bCs/>
                <w:szCs w:val="20"/>
              </w:rPr>
              <w:t>June, 2020</w:t>
            </w:r>
          </w:p>
          <w:p w14:paraId="582B8A50" w14:textId="77777777" w:rsidR="00221C59" w:rsidRDefault="00221C59" w:rsidP="00221C59">
            <w:pPr>
              <w:pStyle w:val="NoSpacing"/>
            </w:pPr>
          </w:p>
          <w:p w14:paraId="19661454" w14:textId="77777777" w:rsidR="00221C59" w:rsidRDefault="00221C59" w:rsidP="00221C59">
            <w:pPr>
              <w:pStyle w:val="NoSpacing"/>
            </w:pPr>
            <w:r>
              <w:t>4</w:t>
            </w:r>
            <w:r w:rsidRPr="00013ACB">
              <w:rPr>
                <w:vertAlign w:val="superscript"/>
              </w:rPr>
              <w:t>th</w:t>
            </w:r>
            <w:r>
              <w:t xml:space="preserve"> Round: </w:t>
            </w:r>
          </w:p>
          <w:p w14:paraId="7C269841" w14:textId="77777777" w:rsidR="00221C59" w:rsidRDefault="00221C59" w:rsidP="00221C59">
            <w:pPr>
              <w:rPr>
                <w:bCs/>
                <w:szCs w:val="20"/>
              </w:rPr>
            </w:pPr>
            <w:r>
              <w:rPr>
                <w:bCs/>
                <w:szCs w:val="20"/>
              </w:rPr>
              <w:t>June, 2021</w:t>
            </w:r>
          </w:p>
          <w:p w14:paraId="6FABE93A" w14:textId="77777777" w:rsidR="00221C59" w:rsidRDefault="00221C59" w:rsidP="00221C59">
            <w:pPr>
              <w:pStyle w:val="NoSpacing"/>
            </w:pPr>
          </w:p>
          <w:p w14:paraId="311F3A67" w14:textId="77777777" w:rsidR="00221C59" w:rsidRDefault="00221C59" w:rsidP="00221C59">
            <w:pPr>
              <w:pStyle w:val="NoSpacing"/>
            </w:pPr>
            <w:r>
              <w:t>5</w:t>
            </w:r>
            <w:r w:rsidRPr="00013ACB">
              <w:rPr>
                <w:vertAlign w:val="superscript"/>
              </w:rPr>
              <w:t>th</w:t>
            </w:r>
            <w:r>
              <w:t xml:space="preserve"> Round: </w:t>
            </w:r>
          </w:p>
          <w:p w14:paraId="16103D4A" w14:textId="77777777" w:rsidR="00221C59" w:rsidRDefault="00221C59" w:rsidP="00221C59">
            <w:pPr>
              <w:rPr>
                <w:bCs/>
                <w:szCs w:val="20"/>
              </w:rPr>
            </w:pPr>
            <w:r>
              <w:rPr>
                <w:bCs/>
                <w:szCs w:val="20"/>
              </w:rPr>
              <w:t>June, 2022</w:t>
            </w:r>
          </w:p>
          <w:p w14:paraId="080BF862" w14:textId="4DFE1BD9" w:rsidR="00221C59" w:rsidRPr="002175FB" w:rsidRDefault="00221C59" w:rsidP="00221C59">
            <w:pPr>
              <w:jc w:val="center"/>
              <w:rPr>
                <w:bCs/>
                <w:szCs w:val="20"/>
              </w:rPr>
            </w:pPr>
          </w:p>
        </w:tc>
        <w:tc>
          <w:tcPr>
            <w:tcW w:w="682" w:type="dxa"/>
            <w:shd w:val="clear" w:color="auto" w:fill="auto"/>
          </w:tcPr>
          <w:p w14:paraId="4E44796E" w14:textId="77777777" w:rsidR="00221C59" w:rsidRDefault="00221C59" w:rsidP="00221C59">
            <w:pPr>
              <w:pStyle w:val="ListParagraph"/>
              <w:ind w:left="108"/>
              <w:jc w:val="both"/>
              <w:rPr>
                <w:rFonts w:ascii="Tw Cen MT Condensed" w:hAnsi="Tw Cen MT Condensed"/>
                <w:bCs/>
                <w:sz w:val="20"/>
                <w:szCs w:val="20"/>
              </w:rPr>
            </w:pPr>
            <w:r>
              <w:rPr>
                <w:rFonts w:ascii="Tw Cen MT Condensed" w:hAnsi="Tw Cen MT Condensed"/>
                <w:bCs/>
                <w:sz w:val="20"/>
                <w:szCs w:val="20"/>
              </w:rPr>
              <w:t>Group 2</w:t>
            </w:r>
          </w:p>
        </w:tc>
        <w:tc>
          <w:tcPr>
            <w:tcW w:w="983" w:type="dxa"/>
            <w:shd w:val="clear" w:color="auto" w:fill="auto"/>
          </w:tcPr>
          <w:p w14:paraId="33F342C9" w14:textId="77777777" w:rsidR="00221C59" w:rsidRPr="00E64C3A" w:rsidRDefault="00221C59" w:rsidP="00221C59">
            <w:pPr>
              <w:pStyle w:val="ListParagraph"/>
              <w:ind w:left="108"/>
              <w:jc w:val="both"/>
              <w:rPr>
                <w:rFonts w:ascii="Tw Cen MT Condensed" w:hAnsi="Tw Cen MT Condensed"/>
                <w:bCs/>
                <w:sz w:val="20"/>
                <w:szCs w:val="20"/>
              </w:rPr>
            </w:pPr>
            <w:r>
              <w:rPr>
                <w:rFonts w:ascii="Tw Cen MT Condensed" w:hAnsi="Tw Cen MT Condensed"/>
                <w:bCs/>
                <w:sz w:val="20"/>
                <w:szCs w:val="20"/>
              </w:rPr>
              <w:t>SVRS, BBS introduced ICD-10 and will ensure reporting from SVRS 2018 on the indicator</w:t>
            </w:r>
          </w:p>
        </w:tc>
      </w:tr>
      <w:tr w:rsidR="00BF3271" w14:paraId="277A4329" w14:textId="77777777" w:rsidTr="0085651F">
        <w:tc>
          <w:tcPr>
            <w:tcW w:w="0" w:type="auto"/>
            <w:gridSpan w:val="2"/>
            <w:shd w:val="clear" w:color="auto" w:fill="auto"/>
          </w:tcPr>
          <w:p w14:paraId="76985E87" w14:textId="77777777" w:rsidR="00221C59" w:rsidRPr="00557F8F" w:rsidRDefault="00221C59" w:rsidP="00221C59">
            <w:pPr>
              <w:jc w:val="both"/>
              <w:rPr>
                <w:szCs w:val="20"/>
              </w:rPr>
            </w:pPr>
            <w:r w:rsidRPr="00AF5798">
              <w:rPr>
                <w:szCs w:val="20"/>
              </w:rPr>
              <w:lastRenderedPageBreak/>
              <w:t>3.4.2: Suicide mortality rate</w:t>
            </w:r>
          </w:p>
        </w:tc>
        <w:tc>
          <w:tcPr>
            <w:tcW w:w="0" w:type="auto"/>
            <w:shd w:val="clear" w:color="auto" w:fill="auto"/>
          </w:tcPr>
          <w:p w14:paraId="4E6F53E8" w14:textId="77777777" w:rsidR="00221C59" w:rsidRDefault="00221C59" w:rsidP="00221C59">
            <w:pPr>
              <w:jc w:val="center"/>
              <w:rPr>
                <w:szCs w:val="20"/>
              </w:rPr>
            </w:pPr>
            <w:r>
              <w:rPr>
                <w:szCs w:val="20"/>
              </w:rPr>
              <w:t>WHO</w:t>
            </w:r>
          </w:p>
        </w:tc>
        <w:tc>
          <w:tcPr>
            <w:tcW w:w="0" w:type="auto"/>
            <w:shd w:val="clear" w:color="auto" w:fill="auto"/>
          </w:tcPr>
          <w:p w14:paraId="1FF2D6A8" w14:textId="77777777" w:rsidR="00221C59" w:rsidRDefault="00221C59" w:rsidP="00221C59">
            <w:pPr>
              <w:jc w:val="center"/>
              <w:rPr>
                <w:szCs w:val="20"/>
              </w:rPr>
            </w:pPr>
            <w:r>
              <w:rPr>
                <w:szCs w:val="20"/>
              </w:rPr>
              <w:t>Tier I</w:t>
            </w:r>
          </w:p>
        </w:tc>
        <w:tc>
          <w:tcPr>
            <w:tcW w:w="0" w:type="auto"/>
            <w:shd w:val="clear" w:color="auto" w:fill="auto"/>
          </w:tcPr>
          <w:p w14:paraId="4221A9AC" w14:textId="77777777" w:rsidR="00221C59" w:rsidRPr="00AF5798" w:rsidRDefault="00221C59" w:rsidP="00221C59">
            <w:pPr>
              <w:jc w:val="both"/>
              <w:rPr>
                <w:b/>
                <w:bCs/>
                <w:color w:val="000000" w:themeColor="text1"/>
                <w:szCs w:val="20"/>
              </w:rPr>
            </w:pPr>
            <w:r w:rsidRPr="00AF5798">
              <w:rPr>
                <w:b/>
                <w:bCs/>
                <w:color w:val="000000" w:themeColor="text1"/>
                <w:szCs w:val="20"/>
              </w:rPr>
              <w:t>Definition:</w:t>
            </w:r>
          </w:p>
          <w:p w14:paraId="2076FFA2" w14:textId="77777777" w:rsidR="00221C59" w:rsidRDefault="00221C59" w:rsidP="00221C59">
            <w:pPr>
              <w:jc w:val="both"/>
              <w:rPr>
                <w:color w:val="000000" w:themeColor="text1"/>
                <w:szCs w:val="20"/>
              </w:rPr>
            </w:pPr>
            <w:r w:rsidRPr="00AF5798">
              <w:rPr>
                <w:color w:val="000000" w:themeColor="text1"/>
                <w:szCs w:val="20"/>
              </w:rPr>
              <w:t>The Suicide mortality rate as defined as the number of suicide deaths in a year, divided by the population,</w:t>
            </w:r>
            <w:r>
              <w:rPr>
                <w:color w:val="000000" w:themeColor="text1"/>
                <w:szCs w:val="20"/>
              </w:rPr>
              <w:t xml:space="preserve"> </w:t>
            </w:r>
            <w:r w:rsidRPr="00AF5798">
              <w:rPr>
                <w:color w:val="000000" w:themeColor="text1"/>
                <w:szCs w:val="20"/>
              </w:rPr>
              <w:t>and multiplied by 100 000.</w:t>
            </w:r>
          </w:p>
          <w:p w14:paraId="10399CA8" w14:textId="77777777" w:rsidR="00221C59" w:rsidRPr="00AF5798" w:rsidRDefault="00221C59" w:rsidP="00221C59">
            <w:pPr>
              <w:jc w:val="both"/>
              <w:rPr>
                <w:color w:val="000000" w:themeColor="text1"/>
                <w:szCs w:val="20"/>
              </w:rPr>
            </w:pPr>
          </w:p>
          <w:p w14:paraId="0D3B925B" w14:textId="77777777" w:rsidR="00221C59" w:rsidRPr="00AF5798" w:rsidRDefault="00221C59" w:rsidP="00221C59">
            <w:pPr>
              <w:jc w:val="both"/>
              <w:rPr>
                <w:b/>
                <w:bCs/>
                <w:color w:val="000000" w:themeColor="text1"/>
                <w:szCs w:val="20"/>
              </w:rPr>
            </w:pPr>
            <w:r w:rsidRPr="00AF5798">
              <w:rPr>
                <w:b/>
                <w:bCs/>
                <w:color w:val="000000" w:themeColor="text1"/>
                <w:szCs w:val="20"/>
              </w:rPr>
              <w:t>Comments and limitations:</w:t>
            </w:r>
          </w:p>
          <w:p w14:paraId="416A5ED0" w14:textId="77777777" w:rsidR="00221C59" w:rsidRPr="00AF5798" w:rsidRDefault="00221C59" w:rsidP="00221C59">
            <w:pPr>
              <w:jc w:val="both"/>
              <w:rPr>
                <w:color w:val="000000" w:themeColor="text1"/>
                <w:szCs w:val="20"/>
              </w:rPr>
            </w:pPr>
            <w:r w:rsidRPr="00AF5798">
              <w:rPr>
                <w:color w:val="000000" w:themeColor="text1"/>
                <w:szCs w:val="20"/>
              </w:rPr>
              <w:t>The complete recording of suicide deaths in death-registration systems requires good linkages with coronial and police systems, but can be seriously impeded by stigma, social and legal considerations, and delays in determining cause of death. Less than one half of WHO Member States have well-functioning death-registration systems that record causes of death.</w:t>
            </w:r>
          </w:p>
          <w:p w14:paraId="28C41C6B" w14:textId="77777777" w:rsidR="00221C59" w:rsidRPr="00AF5798" w:rsidRDefault="00221C59" w:rsidP="00221C59">
            <w:pPr>
              <w:jc w:val="both"/>
              <w:rPr>
                <w:b/>
                <w:bCs/>
                <w:color w:val="000000" w:themeColor="text1"/>
                <w:szCs w:val="20"/>
              </w:rPr>
            </w:pPr>
          </w:p>
          <w:p w14:paraId="0682F9F5" w14:textId="77777777" w:rsidR="00221C59" w:rsidRPr="00AF5798" w:rsidRDefault="00221C59" w:rsidP="00221C59">
            <w:pPr>
              <w:jc w:val="both"/>
              <w:rPr>
                <w:b/>
                <w:bCs/>
                <w:color w:val="000000" w:themeColor="text1"/>
                <w:szCs w:val="20"/>
              </w:rPr>
            </w:pPr>
            <w:r w:rsidRPr="00AF5798">
              <w:rPr>
                <w:b/>
                <w:bCs/>
                <w:color w:val="000000" w:themeColor="text1"/>
                <w:szCs w:val="20"/>
              </w:rPr>
              <w:t>Computation Method:</w:t>
            </w:r>
          </w:p>
          <w:p w14:paraId="69BBF19C" w14:textId="77777777" w:rsidR="00221C59" w:rsidRDefault="00221C59" w:rsidP="00221C59">
            <w:pPr>
              <w:jc w:val="both"/>
              <w:rPr>
                <w:color w:val="000000" w:themeColor="text1"/>
                <w:szCs w:val="20"/>
              </w:rPr>
            </w:pPr>
            <w:r w:rsidRPr="00AF5798">
              <w:rPr>
                <w:color w:val="000000" w:themeColor="text1"/>
                <w:szCs w:val="20"/>
              </w:rPr>
              <w:t>Suicide mortality rate (per 100,000 population) = (Number of suicide deaths in a year x 100,000) / Midyear</w:t>
            </w:r>
            <w:r>
              <w:rPr>
                <w:color w:val="000000" w:themeColor="text1"/>
                <w:szCs w:val="20"/>
              </w:rPr>
              <w:t xml:space="preserve"> </w:t>
            </w:r>
            <w:r w:rsidRPr="00AF5798">
              <w:rPr>
                <w:color w:val="000000" w:themeColor="text1"/>
                <w:szCs w:val="20"/>
              </w:rPr>
              <w:t>population for the same calendar year</w:t>
            </w:r>
            <w:r>
              <w:rPr>
                <w:color w:val="000000" w:themeColor="text1"/>
                <w:szCs w:val="20"/>
              </w:rPr>
              <w:t xml:space="preserve"> </w:t>
            </w:r>
          </w:p>
          <w:p w14:paraId="6A30E40E" w14:textId="0F8CFFB7" w:rsidR="00221C59" w:rsidRPr="00557F8F" w:rsidRDefault="00221C59" w:rsidP="00221C59">
            <w:pPr>
              <w:jc w:val="both"/>
              <w:rPr>
                <w:b/>
                <w:bCs/>
                <w:color w:val="000000" w:themeColor="text1"/>
                <w:szCs w:val="20"/>
              </w:rPr>
            </w:pPr>
          </w:p>
        </w:tc>
        <w:tc>
          <w:tcPr>
            <w:tcW w:w="0" w:type="auto"/>
            <w:shd w:val="clear" w:color="auto" w:fill="auto"/>
          </w:tcPr>
          <w:p w14:paraId="70A9ECFC" w14:textId="77777777" w:rsidR="00221C59" w:rsidRPr="00AF5798" w:rsidRDefault="00221C59" w:rsidP="00221C59">
            <w:pPr>
              <w:jc w:val="both"/>
              <w:rPr>
                <w:bCs/>
                <w:szCs w:val="20"/>
              </w:rPr>
            </w:pPr>
            <w:r>
              <w:rPr>
                <w:bCs/>
                <w:szCs w:val="20"/>
              </w:rPr>
              <w:t>D</w:t>
            </w:r>
            <w:r w:rsidRPr="00AF5798">
              <w:rPr>
                <w:bCs/>
                <w:szCs w:val="20"/>
              </w:rPr>
              <w:t>eath registration systems with complete coverage</w:t>
            </w:r>
            <w:r>
              <w:rPr>
                <w:bCs/>
                <w:szCs w:val="20"/>
              </w:rPr>
              <w:t>;</w:t>
            </w:r>
            <w:r w:rsidRPr="00AF5798">
              <w:rPr>
                <w:bCs/>
                <w:szCs w:val="20"/>
              </w:rPr>
              <w:t xml:space="preserve"> medical certification</w:t>
            </w:r>
          </w:p>
          <w:p w14:paraId="41F58212" w14:textId="77777777" w:rsidR="00221C59" w:rsidRDefault="00221C59" w:rsidP="00221C59">
            <w:pPr>
              <w:jc w:val="both"/>
              <w:rPr>
                <w:bCs/>
                <w:szCs w:val="20"/>
              </w:rPr>
            </w:pPr>
            <w:r w:rsidRPr="00AF5798">
              <w:rPr>
                <w:bCs/>
                <w:szCs w:val="20"/>
              </w:rPr>
              <w:t>of cause of death</w:t>
            </w:r>
            <w:r>
              <w:rPr>
                <w:bCs/>
                <w:szCs w:val="20"/>
              </w:rPr>
              <w:t xml:space="preserve"> using ICD-10; H</w:t>
            </w:r>
            <w:r w:rsidRPr="00AF5798">
              <w:rPr>
                <w:bCs/>
                <w:szCs w:val="20"/>
              </w:rPr>
              <w:t>ousehold surveys with verbal autopsy</w:t>
            </w:r>
            <w:r>
              <w:rPr>
                <w:bCs/>
                <w:szCs w:val="20"/>
              </w:rPr>
              <w:t xml:space="preserve">; </w:t>
            </w:r>
            <w:r w:rsidRPr="00AF5798">
              <w:rPr>
                <w:bCs/>
                <w:szCs w:val="20"/>
              </w:rPr>
              <w:t xml:space="preserve">sample or sentinel </w:t>
            </w:r>
            <w:r>
              <w:rPr>
                <w:bCs/>
                <w:szCs w:val="20"/>
              </w:rPr>
              <w:t>r</w:t>
            </w:r>
            <w:r w:rsidRPr="00AF5798">
              <w:rPr>
                <w:bCs/>
                <w:szCs w:val="20"/>
              </w:rPr>
              <w:t>egistration systems</w:t>
            </w:r>
            <w:r>
              <w:rPr>
                <w:bCs/>
                <w:szCs w:val="20"/>
              </w:rPr>
              <w:t>; S</w:t>
            </w:r>
            <w:r w:rsidRPr="00AF5798">
              <w:rPr>
                <w:bCs/>
                <w:szCs w:val="20"/>
              </w:rPr>
              <w:t>pecial studies and surveillance</w:t>
            </w:r>
            <w:r>
              <w:rPr>
                <w:bCs/>
                <w:szCs w:val="20"/>
              </w:rPr>
              <w:t xml:space="preserve"> </w:t>
            </w:r>
            <w:r w:rsidRPr="00AF5798">
              <w:rPr>
                <w:bCs/>
                <w:szCs w:val="20"/>
              </w:rPr>
              <w:t>systems</w:t>
            </w:r>
          </w:p>
        </w:tc>
        <w:tc>
          <w:tcPr>
            <w:tcW w:w="0" w:type="auto"/>
            <w:shd w:val="clear" w:color="auto" w:fill="auto"/>
          </w:tcPr>
          <w:p w14:paraId="028BD691" w14:textId="77777777" w:rsidR="00221C59" w:rsidRPr="00557F8F" w:rsidRDefault="00221C59" w:rsidP="00221C59">
            <w:pPr>
              <w:jc w:val="center"/>
              <w:rPr>
                <w:bCs/>
                <w:szCs w:val="20"/>
              </w:rPr>
            </w:pPr>
            <w:r w:rsidRPr="00AF5798">
              <w:rPr>
                <w:bCs/>
                <w:szCs w:val="20"/>
              </w:rPr>
              <w:t>National statistics offices and/or ministries of health</w:t>
            </w:r>
          </w:p>
        </w:tc>
        <w:tc>
          <w:tcPr>
            <w:tcW w:w="0" w:type="auto"/>
            <w:shd w:val="clear" w:color="auto" w:fill="auto"/>
          </w:tcPr>
          <w:p w14:paraId="49B32CFA" w14:textId="77777777" w:rsidR="00221C59" w:rsidRDefault="00221C59" w:rsidP="00221C59">
            <w:pPr>
              <w:jc w:val="center"/>
              <w:rPr>
                <w:color w:val="000000" w:themeColor="text1"/>
                <w:sz w:val="18"/>
                <w:szCs w:val="18"/>
              </w:rPr>
            </w:pPr>
            <w:r>
              <w:rPr>
                <w:color w:val="000000" w:themeColor="text1"/>
                <w:sz w:val="18"/>
                <w:szCs w:val="18"/>
              </w:rPr>
              <w:t>BP, PSD</w:t>
            </w:r>
          </w:p>
        </w:tc>
        <w:tc>
          <w:tcPr>
            <w:tcW w:w="0" w:type="auto"/>
            <w:shd w:val="clear" w:color="auto" w:fill="auto"/>
          </w:tcPr>
          <w:p w14:paraId="79D1446B" w14:textId="77777777" w:rsidR="00221C59" w:rsidRPr="00AF5798" w:rsidRDefault="00221C59" w:rsidP="00221C59">
            <w:pPr>
              <w:pStyle w:val="ListParagraph"/>
              <w:numPr>
                <w:ilvl w:val="0"/>
                <w:numId w:val="19"/>
              </w:numPr>
              <w:ind w:left="131" w:hanging="148"/>
              <w:rPr>
                <w:rFonts w:ascii="Tw Cen MT Condensed" w:hAnsi="Tw Cen MT Condensed"/>
                <w:color w:val="000000" w:themeColor="text1"/>
                <w:sz w:val="18"/>
                <w:szCs w:val="18"/>
              </w:rPr>
            </w:pPr>
            <w:r w:rsidRPr="00AF5798">
              <w:rPr>
                <w:rFonts w:ascii="Tw Cen MT Condensed" w:hAnsi="Tw Cen MT Condensed"/>
                <w:color w:val="000000" w:themeColor="text1"/>
                <w:sz w:val="18"/>
                <w:szCs w:val="18"/>
              </w:rPr>
              <w:t>BP, PSD</w:t>
            </w:r>
            <w:r>
              <w:rPr>
                <w:rFonts w:ascii="Tw Cen MT Condensed" w:hAnsi="Tw Cen MT Condensed"/>
                <w:color w:val="000000" w:themeColor="text1"/>
                <w:sz w:val="18"/>
                <w:szCs w:val="18"/>
              </w:rPr>
              <w:t xml:space="preserve">, </w:t>
            </w:r>
            <w:r w:rsidRPr="00BC6F10">
              <w:rPr>
                <w:rFonts w:ascii="Tw Cen MT Condensed" w:hAnsi="Tw Cen MT Condensed"/>
              </w:rPr>
              <w:t>MoHA</w:t>
            </w:r>
          </w:p>
          <w:p w14:paraId="6C3AA64B" w14:textId="2F3AD83D" w:rsidR="00221C59" w:rsidRDefault="00221C59" w:rsidP="00221C59">
            <w:pPr>
              <w:pStyle w:val="ListParagraph"/>
              <w:numPr>
                <w:ilvl w:val="0"/>
                <w:numId w:val="19"/>
              </w:numPr>
              <w:ind w:left="131" w:hanging="148"/>
              <w:rPr>
                <w:rFonts w:ascii="Tw Cen MT Condensed" w:hAnsi="Tw Cen MT Condensed"/>
                <w:color w:val="000000" w:themeColor="text1"/>
                <w:sz w:val="18"/>
                <w:szCs w:val="18"/>
              </w:rPr>
            </w:pPr>
          </w:p>
          <w:p w14:paraId="210A7AF7" w14:textId="77777777" w:rsidR="00221C59" w:rsidRPr="000C4849" w:rsidRDefault="00221C59" w:rsidP="000C4849">
            <w:pPr>
              <w:rPr>
                <w:color w:val="000000" w:themeColor="text1"/>
                <w:sz w:val="18"/>
                <w:szCs w:val="18"/>
              </w:rPr>
            </w:pPr>
            <w:r>
              <w:rPr>
                <w:rFonts w:eastAsia="Times New Roman" w:cs="Times New Roman"/>
                <w:color w:val="000000" w:themeColor="text1"/>
                <w:szCs w:val="20"/>
              </w:rPr>
              <w:t>Administrative Data</w:t>
            </w:r>
          </w:p>
        </w:tc>
        <w:tc>
          <w:tcPr>
            <w:tcW w:w="0" w:type="auto"/>
            <w:shd w:val="clear" w:color="auto" w:fill="auto"/>
          </w:tcPr>
          <w:p w14:paraId="2A1C28FA" w14:textId="04117254" w:rsidR="00221C59" w:rsidRDefault="00221C59" w:rsidP="00221C59">
            <w:pPr>
              <w:pStyle w:val="ListParagraph"/>
              <w:numPr>
                <w:ilvl w:val="0"/>
                <w:numId w:val="2"/>
              </w:numPr>
              <w:ind w:left="204" w:hanging="180"/>
              <w:jc w:val="both"/>
              <w:rPr>
                <w:rFonts w:ascii="Tw Cen MT Condensed" w:hAnsi="Tw Cen MT Condensed"/>
                <w:bCs/>
                <w:sz w:val="20"/>
                <w:szCs w:val="20"/>
              </w:rPr>
            </w:pPr>
            <w:r w:rsidRPr="00AF5798">
              <w:rPr>
                <w:rFonts w:ascii="Tw Cen MT Condensed" w:hAnsi="Tw Cen MT Condensed"/>
                <w:bCs/>
                <w:sz w:val="20"/>
                <w:szCs w:val="20"/>
              </w:rPr>
              <w:t>Sex</w:t>
            </w:r>
            <w:r w:rsidR="00B22244" w:rsidRPr="005574D6">
              <w:rPr>
                <w:rFonts w:ascii="Tw Cen MT Condensed" w:hAnsi="Tw Cen MT Condensed"/>
              </w:rPr>
              <w:t xml:space="preserve">: </w:t>
            </w:r>
            <w:r w:rsidR="00B22244">
              <w:rPr>
                <w:rFonts w:ascii="Tw Cen MT Condensed" w:hAnsi="Tw Cen MT Condensed"/>
              </w:rPr>
              <w:t>F</w:t>
            </w:r>
            <w:r w:rsidR="00B22244" w:rsidRPr="005574D6">
              <w:rPr>
                <w:rFonts w:ascii="Tw Cen MT Condensed" w:hAnsi="Tw Cen MT Condensed"/>
              </w:rPr>
              <w:t xml:space="preserve">emale, </w:t>
            </w:r>
            <w:r w:rsidR="00B22244">
              <w:rPr>
                <w:rFonts w:ascii="Tw Cen MT Condensed" w:hAnsi="Tw Cen MT Condensed"/>
              </w:rPr>
              <w:t>M</w:t>
            </w:r>
            <w:r w:rsidR="00B22244" w:rsidRPr="005574D6">
              <w:rPr>
                <w:rFonts w:ascii="Tw Cen MT Condensed" w:hAnsi="Tw Cen MT Condensed"/>
              </w:rPr>
              <w:t>ale, both</w:t>
            </w:r>
          </w:p>
          <w:p w14:paraId="155CD118" w14:textId="4DDF3248" w:rsidR="00221C59" w:rsidRDefault="00221C59" w:rsidP="00221C59">
            <w:pPr>
              <w:pStyle w:val="ListParagraph"/>
              <w:numPr>
                <w:ilvl w:val="0"/>
                <w:numId w:val="2"/>
              </w:numPr>
              <w:ind w:left="204" w:hanging="180"/>
              <w:jc w:val="both"/>
              <w:rPr>
                <w:rFonts w:ascii="Tw Cen MT Condensed" w:hAnsi="Tw Cen MT Condensed"/>
                <w:bCs/>
                <w:sz w:val="20"/>
                <w:szCs w:val="20"/>
              </w:rPr>
            </w:pPr>
            <w:r>
              <w:rPr>
                <w:rFonts w:ascii="Tw Cen MT Condensed" w:hAnsi="Tw Cen MT Condensed"/>
                <w:bCs/>
                <w:sz w:val="20"/>
                <w:szCs w:val="20"/>
              </w:rPr>
              <w:t>A</w:t>
            </w:r>
            <w:r w:rsidRPr="00AF5798">
              <w:rPr>
                <w:rFonts w:ascii="Tw Cen MT Condensed" w:hAnsi="Tw Cen MT Condensed"/>
                <w:bCs/>
                <w:sz w:val="20"/>
                <w:szCs w:val="20"/>
              </w:rPr>
              <w:t>ge group</w:t>
            </w:r>
            <w:r w:rsidR="00B22244">
              <w:rPr>
                <w:rFonts w:ascii="Tw Cen MT Condensed" w:hAnsi="Tw Cen MT Condensed"/>
              </w:rPr>
              <w:t xml:space="preserve">: </w:t>
            </w:r>
            <w:r w:rsidR="00B22244" w:rsidRPr="0059076C">
              <w:rPr>
                <w:rFonts w:ascii="Tw Cen MT Condensed" w:hAnsi="Tw Cen MT Condensed"/>
              </w:rPr>
              <w:t>0-14, 15-24, 25-39, 40-59, 60-64, 65+</w:t>
            </w:r>
          </w:p>
          <w:p w14:paraId="2C5BAB00" w14:textId="77777777" w:rsidR="00221C59" w:rsidRDefault="00221C59" w:rsidP="00221C59">
            <w:pPr>
              <w:pStyle w:val="ListParagraph"/>
              <w:numPr>
                <w:ilvl w:val="0"/>
                <w:numId w:val="2"/>
              </w:numPr>
              <w:ind w:left="204" w:hanging="180"/>
              <w:jc w:val="both"/>
              <w:rPr>
                <w:rFonts w:ascii="Tw Cen MT Condensed" w:hAnsi="Tw Cen MT Condensed"/>
                <w:bCs/>
                <w:sz w:val="20"/>
                <w:szCs w:val="20"/>
              </w:rPr>
            </w:pPr>
            <w:r>
              <w:rPr>
                <w:rFonts w:ascii="Tw Cen MT Condensed" w:hAnsi="Tw Cen MT Condensed"/>
                <w:bCs/>
                <w:sz w:val="20"/>
                <w:szCs w:val="20"/>
              </w:rPr>
              <w:t>Division/ District</w:t>
            </w:r>
          </w:p>
          <w:p w14:paraId="24CE4A21" w14:textId="53BBF877" w:rsidR="00B22244" w:rsidRDefault="00B22244" w:rsidP="00221C59">
            <w:pPr>
              <w:pStyle w:val="ListParagraph"/>
              <w:numPr>
                <w:ilvl w:val="0"/>
                <w:numId w:val="2"/>
              </w:numPr>
              <w:ind w:left="204" w:hanging="180"/>
              <w:jc w:val="both"/>
              <w:rPr>
                <w:rFonts w:ascii="Tw Cen MT Condensed" w:hAnsi="Tw Cen MT Condensed"/>
                <w:bCs/>
                <w:sz w:val="20"/>
                <w:szCs w:val="20"/>
              </w:rPr>
            </w:pPr>
            <w:r>
              <w:rPr>
                <w:rFonts w:ascii="Tw Cen MT Condensed" w:hAnsi="Tw Cen MT Condensed"/>
                <w:bCs/>
                <w:sz w:val="20"/>
                <w:szCs w:val="20"/>
              </w:rPr>
              <w:t>Urban/Rural</w:t>
            </w:r>
          </w:p>
        </w:tc>
        <w:tc>
          <w:tcPr>
            <w:tcW w:w="0" w:type="auto"/>
            <w:shd w:val="clear" w:color="auto" w:fill="auto"/>
          </w:tcPr>
          <w:p w14:paraId="18FEA79C" w14:textId="77777777" w:rsidR="00221C59" w:rsidRDefault="00221C59" w:rsidP="00221C59">
            <w:pPr>
              <w:jc w:val="center"/>
              <w:rPr>
                <w:bCs/>
                <w:szCs w:val="20"/>
              </w:rPr>
            </w:pPr>
            <w:r>
              <w:rPr>
                <w:bCs/>
                <w:szCs w:val="20"/>
              </w:rPr>
              <w:t>Annual</w:t>
            </w:r>
          </w:p>
        </w:tc>
        <w:tc>
          <w:tcPr>
            <w:tcW w:w="0" w:type="auto"/>
            <w:shd w:val="clear" w:color="auto" w:fill="auto"/>
          </w:tcPr>
          <w:p w14:paraId="7C70DA6B" w14:textId="77777777" w:rsidR="00221C59" w:rsidRDefault="00221C59" w:rsidP="00221C59">
            <w:pPr>
              <w:pStyle w:val="NoSpacing"/>
            </w:pPr>
            <w:r>
              <w:t>1</w:t>
            </w:r>
            <w:r w:rsidRPr="00013ACB">
              <w:rPr>
                <w:vertAlign w:val="superscript"/>
              </w:rPr>
              <w:t>st</w:t>
            </w:r>
            <w:r>
              <w:t xml:space="preserve"> Round: </w:t>
            </w:r>
          </w:p>
          <w:p w14:paraId="10783768" w14:textId="77777777" w:rsidR="00221C59" w:rsidRDefault="00221C59" w:rsidP="00221C59">
            <w:pPr>
              <w:pStyle w:val="NoSpacing"/>
            </w:pPr>
            <w:r>
              <w:t>2015</w:t>
            </w:r>
          </w:p>
          <w:p w14:paraId="6EF2400F" w14:textId="77777777" w:rsidR="00221C59" w:rsidRDefault="00221C59" w:rsidP="00221C59">
            <w:pPr>
              <w:pStyle w:val="NoSpacing"/>
            </w:pPr>
            <w:r>
              <w:t>2</w:t>
            </w:r>
            <w:r w:rsidRPr="00013ACB">
              <w:rPr>
                <w:vertAlign w:val="superscript"/>
              </w:rPr>
              <w:t>nd</w:t>
            </w:r>
            <w:r>
              <w:t xml:space="preserve"> Round: </w:t>
            </w:r>
          </w:p>
          <w:p w14:paraId="5E9070E4" w14:textId="77777777" w:rsidR="00221C59" w:rsidRDefault="00221C59" w:rsidP="00221C59">
            <w:pPr>
              <w:pStyle w:val="NoSpacing"/>
            </w:pPr>
            <w:r w:rsidRPr="00BC6F10">
              <w:rPr>
                <w:szCs w:val="22"/>
              </w:rPr>
              <w:t>July 2019</w:t>
            </w:r>
          </w:p>
          <w:p w14:paraId="6647B4F7" w14:textId="77777777" w:rsidR="00221C59" w:rsidRDefault="00221C59" w:rsidP="00221C59">
            <w:pPr>
              <w:pStyle w:val="NoSpacing"/>
            </w:pPr>
            <w:r>
              <w:t>3</w:t>
            </w:r>
            <w:r w:rsidRPr="00013ACB">
              <w:rPr>
                <w:vertAlign w:val="superscript"/>
              </w:rPr>
              <w:t>rd</w:t>
            </w:r>
            <w:r>
              <w:t xml:space="preserve"> Round: </w:t>
            </w:r>
          </w:p>
          <w:p w14:paraId="67F65546" w14:textId="77777777" w:rsidR="00221C59" w:rsidRDefault="00221C59" w:rsidP="00221C59">
            <w:pPr>
              <w:pStyle w:val="NoSpacing"/>
            </w:pPr>
            <w:r>
              <w:rPr>
                <w:szCs w:val="22"/>
              </w:rPr>
              <w:t>July 2020</w:t>
            </w:r>
          </w:p>
          <w:p w14:paraId="70324DB2" w14:textId="77777777" w:rsidR="00221C59" w:rsidRDefault="00221C59" w:rsidP="00221C59">
            <w:pPr>
              <w:pStyle w:val="NoSpacing"/>
            </w:pPr>
            <w:r>
              <w:t>4</w:t>
            </w:r>
            <w:r w:rsidRPr="00013ACB">
              <w:rPr>
                <w:vertAlign w:val="superscript"/>
              </w:rPr>
              <w:t>th</w:t>
            </w:r>
            <w:r>
              <w:t xml:space="preserve"> Round: </w:t>
            </w:r>
          </w:p>
          <w:p w14:paraId="54DB9BC0" w14:textId="77777777" w:rsidR="00221C59" w:rsidRDefault="00221C59" w:rsidP="00221C59">
            <w:pPr>
              <w:pStyle w:val="NoSpacing"/>
            </w:pPr>
            <w:r>
              <w:rPr>
                <w:szCs w:val="22"/>
              </w:rPr>
              <w:t>July 2021</w:t>
            </w:r>
          </w:p>
          <w:p w14:paraId="07F2F8C8" w14:textId="77777777" w:rsidR="00221C59" w:rsidRDefault="00221C59" w:rsidP="00221C59">
            <w:pPr>
              <w:pStyle w:val="NoSpacing"/>
            </w:pPr>
            <w:r>
              <w:t>5</w:t>
            </w:r>
            <w:r w:rsidRPr="00013ACB">
              <w:rPr>
                <w:vertAlign w:val="superscript"/>
              </w:rPr>
              <w:t>th</w:t>
            </w:r>
            <w:r>
              <w:t xml:space="preserve"> Round: </w:t>
            </w:r>
          </w:p>
          <w:p w14:paraId="0F3ED6F1" w14:textId="7F865DF2" w:rsidR="00221C59" w:rsidRPr="002175FB" w:rsidRDefault="00221C59" w:rsidP="00221C59">
            <w:pPr>
              <w:jc w:val="center"/>
              <w:rPr>
                <w:bCs/>
                <w:szCs w:val="20"/>
              </w:rPr>
            </w:pPr>
            <w:r>
              <w:rPr>
                <w:szCs w:val="22"/>
              </w:rPr>
              <w:t>July 2022</w:t>
            </w:r>
          </w:p>
        </w:tc>
        <w:tc>
          <w:tcPr>
            <w:tcW w:w="682" w:type="dxa"/>
            <w:shd w:val="clear" w:color="auto" w:fill="auto"/>
          </w:tcPr>
          <w:p w14:paraId="78C89D8F" w14:textId="77777777" w:rsidR="00221C59" w:rsidRDefault="00221C59" w:rsidP="00221C59">
            <w:pPr>
              <w:pStyle w:val="ListParagraph"/>
              <w:ind w:left="108"/>
              <w:jc w:val="both"/>
              <w:rPr>
                <w:rFonts w:ascii="Tw Cen MT Condensed" w:hAnsi="Tw Cen MT Condensed"/>
                <w:bCs/>
                <w:sz w:val="20"/>
                <w:szCs w:val="20"/>
              </w:rPr>
            </w:pPr>
            <w:r>
              <w:rPr>
                <w:rFonts w:ascii="Tw Cen MT Condensed" w:hAnsi="Tw Cen MT Condensed"/>
                <w:bCs/>
                <w:sz w:val="20"/>
                <w:szCs w:val="20"/>
              </w:rPr>
              <w:t>Group 2</w:t>
            </w:r>
          </w:p>
        </w:tc>
        <w:tc>
          <w:tcPr>
            <w:tcW w:w="983" w:type="dxa"/>
            <w:shd w:val="clear" w:color="auto" w:fill="auto"/>
          </w:tcPr>
          <w:p w14:paraId="43517820" w14:textId="77777777" w:rsidR="00221C59" w:rsidRDefault="00221C59" w:rsidP="00221C59">
            <w:pPr>
              <w:pStyle w:val="ListParagraph"/>
              <w:ind w:left="108"/>
              <w:jc w:val="both"/>
              <w:rPr>
                <w:rFonts w:ascii="Tw Cen MT Condensed" w:hAnsi="Tw Cen MT Condensed"/>
                <w:bCs/>
                <w:sz w:val="20"/>
                <w:szCs w:val="20"/>
              </w:rPr>
            </w:pPr>
          </w:p>
        </w:tc>
      </w:tr>
      <w:tr w:rsidR="00D46636" w14:paraId="53523655" w14:textId="77777777" w:rsidTr="0085651F">
        <w:tc>
          <w:tcPr>
            <w:tcW w:w="0" w:type="auto"/>
            <w:gridSpan w:val="14"/>
            <w:shd w:val="clear" w:color="auto" w:fill="auto"/>
          </w:tcPr>
          <w:p w14:paraId="7FE019FF" w14:textId="77777777" w:rsidR="00D46636" w:rsidRPr="002175FB" w:rsidRDefault="00D46636" w:rsidP="00221C59">
            <w:pPr>
              <w:ind w:left="970" w:hanging="970"/>
              <w:jc w:val="both"/>
              <w:rPr>
                <w:color w:val="006600"/>
                <w:sz w:val="30"/>
                <w:szCs w:val="30"/>
              </w:rPr>
            </w:pPr>
            <w:r w:rsidRPr="002175FB">
              <w:rPr>
                <w:color w:val="006600"/>
                <w:sz w:val="30"/>
                <w:szCs w:val="30"/>
              </w:rPr>
              <w:t>Target 3.5 Strengthen the prevention and treatment of substance abuse, including narcotic drug abuse and harmful use of alcohol</w:t>
            </w:r>
          </w:p>
        </w:tc>
      </w:tr>
      <w:tr w:rsidR="00BF3271" w14:paraId="414A40CD" w14:textId="77777777" w:rsidTr="0085651F">
        <w:tc>
          <w:tcPr>
            <w:tcW w:w="0" w:type="auto"/>
            <w:gridSpan w:val="2"/>
            <w:shd w:val="clear" w:color="auto" w:fill="auto"/>
          </w:tcPr>
          <w:p w14:paraId="13FB4DE6" w14:textId="77777777" w:rsidR="00221C59" w:rsidRPr="00382069" w:rsidRDefault="00221C59" w:rsidP="00221C59">
            <w:pPr>
              <w:pStyle w:val="NoSpacing"/>
            </w:pPr>
            <w:r w:rsidRPr="00382069">
              <w:t>3.5.1 Coverage of treatment interventions (pharmacological, psychosocial and rehabilitation and aftercare services) for substance use disorders</w:t>
            </w:r>
          </w:p>
        </w:tc>
        <w:tc>
          <w:tcPr>
            <w:tcW w:w="0" w:type="auto"/>
            <w:shd w:val="clear" w:color="auto" w:fill="auto"/>
          </w:tcPr>
          <w:p w14:paraId="2AE81D10" w14:textId="77777777" w:rsidR="00221C59" w:rsidRPr="00382069" w:rsidRDefault="00221C59" w:rsidP="00221C59">
            <w:pPr>
              <w:jc w:val="center"/>
              <w:rPr>
                <w:szCs w:val="20"/>
              </w:rPr>
            </w:pPr>
            <w:r w:rsidRPr="00382069">
              <w:rPr>
                <w:szCs w:val="20"/>
              </w:rPr>
              <w:t>WHO,</w:t>
            </w:r>
          </w:p>
          <w:p w14:paraId="25AFC49B" w14:textId="77777777" w:rsidR="00221C59" w:rsidRPr="00382069" w:rsidRDefault="00221C59" w:rsidP="00221C59">
            <w:pPr>
              <w:jc w:val="center"/>
              <w:rPr>
                <w:szCs w:val="20"/>
              </w:rPr>
            </w:pPr>
            <w:r w:rsidRPr="00382069">
              <w:rPr>
                <w:szCs w:val="20"/>
              </w:rPr>
              <w:t>UNODC</w:t>
            </w:r>
          </w:p>
        </w:tc>
        <w:tc>
          <w:tcPr>
            <w:tcW w:w="0" w:type="auto"/>
            <w:shd w:val="clear" w:color="auto" w:fill="auto"/>
          </w:tcPr>
          <w:p w14:paraId="63164752" w14:textId="77777777" w:rsidR="00221C59" w:rsidRDefault="00221C59" w:rsidP="00221C59">
            <w:pPr>
              <w:jc w:val="center"/>
              <w:rPr>
                <w:szCs w:val="20"/>
              </w:rPr>
            </w:pPr>
            <w:r w:rsidRPr="006C014F">
              <w:rPr>
                <w:szCs w:val="20"/>
              </w:rPr>
              <w:t>Tier II</w:t>
            </w:r>
          </w:p>
          <w:p w14:paraId="68BB0CE6" w14:textId="60CEF92F" w:rsidR="00221C59" w:rsidRDefault="00221C59" w:rsidP="00221C59">
            <w:pPr>
              <w:jc w:val="center"/>
              <w:rPr>
                <w:szCs w:val="20"/>
              </w:rPr>
            </w:pPr>
          </w:p>
        </w:tc>
        <w:tc>
          <w:tcPr>
            <w:tcW w:w="0" w:type="auto"/>
            <w:shd w:val="clear" w:color="auto" w:fill="auto"/>
          </w:tcPr>
          <w:p w14:paraId="6AEAB3E9" w14:textId="7F3A6C0B" w:rsidR="00221C59" w:rsidRDefault="00221C59" w:rsidP="00221C59">
            <w:pPr>
              <w:jc w:val="both"/>
              <w:rPr>
                <w:color w:val="000000" w:themeColor="text1"/>
                <w:szCs w:val="20"/>
              </w:rPr>
            </w:pPr>
          </w:p>
          <w:p w14:paraId="4904E21D" w14:textId="77777777" w:rsidR="00221C59" w:rsidRPr="000C4849" w:rsidRDefault="00221C59" w:rsidP="00221C59">
            <w:pPr>
              <w:jc w:val="both"/>
              <w:rPr>
                <w:b/>
                <w:color w:val="000000" w:themeColor="text1"/>
                <w:szCs w:val="20"/>
              </w:rPr>
            </w:pPr>
            <w:r w:rsidRPr="000C4849">
              <w:rPr>
                <w:b/>
                <w:color w:val="000000" w:themeColor="text1"/>
                <w:szCs w:val="20"/>
              </w:rPr>
              <w:t>Definition:</w:t>
            </w:r>
          </w:p>
          <w:p w14:paraId="5B633EBC" w14:textId="77777777" w:rsidR="00221C59" w:rsidRPr="00E25A69" w:rsidRDefault="00221C59" w:rsidP="00221C59">
            <w:pPr>
              <w:jc w:val="both"/>
              <w:rPr>
                <w:color w:val="000000" w:themeColor="text1"/>
                <w:szCs w:val="20"/>
              </w:rPr>
            </w:pPr>
            <w:r w:rsidRPr="00E25A69">
              <w:rPr>
                <w:color w:val="000000" w:themeColor="text1"/>
                <w:szCs w:val="20"/>
              </w:rPr>
              <w:t xml:space="preserve">The coverage of treatment interventions for substance use disorders is defined as the number of people who received treatment in a year divided by the total number of people with substance use disorders in the same year. This indicator is disaggregated by two broad groups of psychoactive substances: (1) drugs, (2) alcohol and other psychoactive substances. </w:t>
            </w:r>
          </w:p>
          <w:p w14:paraId="096AA816" w14:textId="77777777" w:rsidR="00221C59" w:rsidRPr="00E25A69" w:rsidRDefault="00221C59" w:rsidP="00221C59">
            <w:pPr>
              <w:jc w:val="both"/>
              <w:rPr>
                <w:color w:val="000000" w:themeColor="text1"/>
                <w:szCs w:val="20"/>
              </w:rPr>
            </w:pPr>
          </w:p>
          <w:p w14:paraId="5BBF1C26" w14:textId="77777777" w:rsidR="00221C59" w:rsidRDefault="00221C59" w:rsidP="00221C59">
            <w:pPr>
              <w:jc w:val="both"/>
              <w:rPr>
                <w:color w:val="000000" w:themeColor="text1"/>
                <w:szCs w:val="20"/>
              </w:rPr>
            </w:pPr>
            <w:r w:rsidRPr="00E25A69">
              <w:rPr>
                <w:color w:val="000000" w:themeColor="text1"/>
                <w:szCs w:val="20"/>
              </w:rPr>
              <w:t xml:space="preserve">Whenever possible, this indicator is additionally disaggregated by type of treatment </w:t>
            </w:r>
            <w:r w:rsidRPr="00E25A69">
              <w:rPr>
                <w:color w:val="000000" w:themeColor="text1"/>
                <w:szCs w:val="20"/>
              </w:rPr>
              <w:lastRenderedPageBreak/>
              <w:t>interventions (pharmacological, psychosocial and rehabilitation and aftercare services). The proposed indicator will be accompanied, with contextual information on availability coverage, i.e. treatment capacity for substance use disorders generated at national level to provide additional information for interpretation of the contact coverage data.</w:t>
            </w:r>
          </w:p>
          <w:p w14:paraId="4DA7B492" w14:textId="77777777" w:rsidR="00221C59" w:rsidRDefault="00221C59" w:rsidP="00221C59">
            <w:pPr>
              <w:jc w:val="both"/>
              <w:rPr>
                <w:color w:val="000000" w:themeColor="text1"/>
                <w:szCs w:val="20"/>
              </w:rPr>
            </w:pPr>
          </w:p>
          <w:p w14:paraId="35C72BEB" w14:textId="77777777" w:rsidR="00221C59" w:rsidRPr="000C4849" w:rsidRDefault="00221C59" w:rsidP="00221C59">
            <w:pPr>
              <w:jc w:val="both"/>
              <w:rPr>
                <w:b/>
                <w:color w:val="000000" w:themeColor="text1"/>
                <w:szCs w:val="20"/>
              </w:rPr>
            </w:pPr>
            <w:r w:rsidRPr="000C4849">
              <w:rPr>
                <w:b/>
                <w:color w:val="000000" w:themeColor="text1"/>
                <w:szCs w:val="20"/>
              </w:rPr>
              <w:t>Concepts:</w:t>
            </w:r>
          </w:p>
          <w:p w14:paraId="34EC98E9" w14:textId="77777777" w:rsidR="00221C59" w:rsidRPr="00E25A69" w:rsidRDefault="00221C59" w:rsidP="00221C59">
            <w:pPr>
              <w:jc w:val="both"/>
              <w:rPr>
                <w:color w:val="000000" w:themeColor="text1"/>
                <w:szCs w:val="20"/>
              </w:rPr>
            </w:pPr>
            <w:r w:rsidRPr="00E25A69">
              <w:rPr>
                <w:color w:val="000000" w:themeColor="text1"/>
                <w:szCs w:val="20"/>
              </w:rPr>
              <w:t>The central concept of “substance abuse” in the SDG health target 3.5 implies the use of psychoactive substances that, when taken in or administered into one's system, affect mental processes, e.g. perception, consciousness, cognition or affect. The concept of “substance use disorders” includes both “drugs use disorders” and “alcohol use disorders” according to the International Classification of Diseases (ICD-10 and ICD-11).</w:t>
            </w:r>
          </w:p>
          <w:p w14:paraId="73B2E182" w14:textId="77777777" w:rsidR="00221C59" w:rsidRPr="00E25A69" w:rsidRDefault="00221C59" w:rsidP="00221C59">
            <w:pPr>
              <w:jc w:val="both"/>
              <w:rPr>
                <w:color w:val="000000" w:themeColor="text1"/>
                <w:szCs w:val="20"/>
              </w:rPr>
            </w:pPr>
          </w:p>
          <w:p w14:paraId="30822147" w14:textId="77777777" w:rsidR="00221C59" w:rsidRPr="00E25A69" w:rsidRDefault="00221C59" w:rsidP="00221C59">
            <w:pPr>
              <w:jc w:val="both"/>
              <w:rPr>
                <w:color w:val="000000" w:themeColor="text1"/>
                <w:szCs w:val="20"/>
              </w:rPr>
            </w:pPr>
            <w:r w:rsidRPr="00E25A69">
              <w:rPr>
                <w:color w:val="000000" w:themeColor="text1"/>
                <w:szCs w:val="20"/>
              </w:rPr>
              <w:t xml:space="preserve">The term “drugs” refers to controlled psychoactive substances as scheduled by the three Drug Control Conventions (1961, 1971 and 1988), substances controlled under national legislation and new psychoactive substances (NPS) that are not controlled under the Conventions, but may pose a public health threat. “Alcohol” refers to ethanol - a psychoactive substance with dependence producing properties that is consumed in ethanol-based or alcoholic beverages. </w:t>
            </w:r>
          </w:p>
          <w:p w14:paraId="0B436DBF" w14:textId="77777777" w:rsidR="00221C59" w:rsidRPr="00E25A69" w:rsidRDefault="00221C59" w:rsidP="00221C59">
            <w:pPr>
              <w:jc w:val="both"/>
              <w:rPr>
                <w:color w:val="000000" w:themeColor="text1"/>
                <w:szCs w:val="20"/>
              </w:rPr>
            </w:pPr>
          </w:p>
          <w:p w14:paraId="34D600C5" w14:textId="77777777" w:rsidR="00221C59" w:rsidRPr="00E25A69" w:rsidRDefault="00221C59" w:rsidP="00221C59">
            <w:pPr>
              <w:jc w:val="both"/>
              <w:rPr>
                <w:color w:val="000000" w:themeColor="text1"/>
                <w:szCs w:val="20"/>
              </w:rPr>
            </w:pPr>
            <w:r w:rsidRPr="00E25A69">
              <w:rPr>
                <w:color w:val="000000" w:themeColor="text1"/>
                <w:szCs w:val="20"/>
              </w:rPr>
              <w:t>People with substance use disorders are those with harmful substance use and/or affected by substance dependence. Harmful substance use is defined in the ICD-11 as a pattern of use of substances that has caused damage to a person’s physical or mental health or has resulted in behaviour leading to harm to the health of others. According to ICD-11, dependence arises from repeated or continuous use of psychoactive substances. The characteristic feature is a strong internal drive to use psychoactive substance, which is manifested by impaired ability to control use, increasing priority given to use over other activities and persistence of use despite harm or negative consequences.</w:t>
            </w:r>
          </w:p>
          <w:p w14:paraId="10E84AE1" w14:textId="77777777" w:rsidR="00221C59" w:rsidRPr="00E25A69" w:rsidRDefault="00221C59" w:rsidP="00221C59">
            <w:pPr>
              <w:jc w:val="both"/>
              <w:rPr>
                <w:color w:val="000000" w:themeColor="text1"/>
                <w:szCs w:val="20"/>
              </w:rPr>
            </w:pPr>
          </w:p>
          <w:p w14:paraId="3A8D4DE4" w14:textId="77777777" w:rsidR="00221C59" w:rsidRPr="00E25A69" w:rsidRDefault="00221C59" w:rsidP="00221C59">
            <w:pPr>
              <w:jc w:val="both"/>
              <w:rPr>
                <w:color w:val="000000" w:themeColor="text1"/>
                <w:szCs w:val="20"/>
              </w:rPr>
            </w:pPr>
            <w:r w:rsidRPr="00E25A69">
              <w:rPr>
                <w:color w:val="000000" w:themeColor="text1"/>
                <w:szCs w:val="20"/>
              </w:rPr>
              <w:t xml:space="preserve">Treatment of substance use disorder -any structured intervention that is aimed specifically to a) reduce substance use and cravings for substance use; b) improve health, well-being and social functioning of the affected individual, and c) prevent future harms by decreasing the risk of complications and relapse. These may include pharmacological treatment, psychosocial interventions and rehabilitation and aftercare. All evidence-based used for treatment of substance use disorders are well defined in WHO and UNODC related documents. </w:t>
            </w:r>
          </w:p>
          <w:p w14:paraId="59F1E77D" w14:textId="77777777" w:rsidR="00221C59" w:rsidRPr="00E25A69" w:rsidRDefault="00221C59" w:rsidP="00221C59">
            <w:pPr>
              <w:jc w:val="both"/>
              <w:rPr>
                <w:color w:val="000000" w:themeColor="text1"/>
                <w:szCs w:val="20"/>
              </w:rPr>
            </w:pPr>
          </w:p>
          <w:p w14:paraId="304A8113" w14:textId="77777777" w:rsidR="00221C59" w:rsidRPr="00E25A69" w:rsidRDefault="00221C59" w:rsidP="00221C59">
            <w:pPr>
              <w:jc w:val="both"/>
              <w:rPr>
                <w:color w:val="000000" w:themeColor="text1"/>
                <w:szCs w:val="20"/>
              </w:rPr>
            </w:pPr>
            <w:r w:rsidRPr="00E25A69">
              <w:rPr>
                <w:color w:val="000000" w:themeColor="text1"/>
                <w:szCs w:val="20"/>
              </w:rPr>
              <w:t xml:space="preserve">Pharmacological treatment refers to interventions that include detoxification, opioid agonist maintenance therapy (OAMT) and antagonist maintenance (WHO, UNODC International Standards for the treatment of drug use disorders, 2016). </w:t>
            </w:r>
          </w:p>
          <w:p w14:paraId="35468780" w14:textId="77777777" w:rsidR="00221C59" w:rsidRPr="00E25A69" w:rsidRDefault="00221C59" w:rsidP="00221C59">
            <w:pPr>
              <w:jc w:val="both"/>
              <w:rPr>
                <w:color w:val="000000" w:themeColor="text1"/>
                <w:szCs w:val="20"/>
              </w:rPr>
            </w:pPr>
          </w:p>
          <w:p w14:paraId="6DC90BEB" w14:textId="77777777" w:rsidR="00221C59" w:rsidRPr="00E25A69" w:rsidRDefault="00221C59" w:rsidP="00221C59">
            <w:pPr>
              <w:jc w:val="both"/>
              <w:rPr>
                <w:color w:val="000000" w:themeColor="text1"/>
                <w:szCs w:val="20"/>
              </w:rPr>
            </w:pPr>
            <w:r w:rsidRPr="00E25A69">
              <w:rPr>
                <w:color w:val="000000" w:themeColor="text1"/>
                <w:szCs w:val="20"/>
              </w:rPr>
              <w:t>Psychosocial interventions refer to programs that address motivational, behavioral, psychological, social, and environmental factors related to substance use and have been shown to reduce drug use, promote abstinence and prevent relapse. For different drug use disorders, the evidence from clinical trials supports the effectiveness of treatment planning, screening, counselling, peer support groups, cognitive behavioral therapy (CBT), motivational interviewing (MI), community reinforcement approach (CRA), motivational enhancement therapy (MET), family therapy (FT) modalities, contingency management (CM), counselling, insight-oriented treatments, housing and employment support among others. (UNODC WHO International Standards for the Treatment of Drug Use Disorders, 2016).</w:t>
            </w:r>
          </w:p>
          <w:p w14:paraId="54DB2F14" w14:textId="77777777" w:rsidR="00221C59" w:rsidRPr="00E25A69" w:rsidRDefault="00221C59" w:rsidP="00221C59">
            <w:pPr>
              <w:jc w:val="both"/>
              <w:rPr>
                <w:color w:val="000000" w:themeColor="text1"/>
                <w:szCs w:val="20"/>
              </w:rPr>
            </w:pPr>
          </w:p>
          <w:p w14:paraId="77AA0414" w14:textId="77777777" w:rsidR="00221C59" w:rsidRDefault="00221C59" w:rsidP="00221C59">
            <w:pPr>
              <w:jc w:val="both"/>
              <w:rPr>
                <w:color w:val="000000" w:themeColor="text1"/>
                <w:szCs w:val="20"/>
              </w:rPr>
            </w:pPr>
            <w:r w:rsidRPr="00E25A69">
              <w:rPr>
                <w:color w:val="000000" w:themeColor="text1"/>
                <w:szCs w:val="20"/>
              </w:rPr>
              <w:t>Rehabilitation and aftercare (Recovery Management and Social Support) refers to interventions that are based on scientific evidence and focused on the process of rehabilitation, recovery and social reintegration dedicated to treat drug use disorders.</w:t>
            </w:r>
          </w:p>
          <w:p w14:paraId="506B7018" w14:textId="77777777" w:rsidR="00221C59" w:rsidRDefault="00221C59" w:rsidP="00221C59">
            <w:pPr>
              <w:jc w:val="both"/>
              <w:rPr>
                <w:color w:val="000000" w:themeColor="text1"/>
                <w:szCs w:val="20"/>
              </w:rPr>
            </w:pPr>
          </w:p>
          <w:p w14:paraId="44B83A3C" w14:textId="77777777" w:rsidR="00221C59" w:rsidRPr="000C4849" w:rsidRDefault="00221C59" w:rsidP="00221C59">
            <w:pPr>
              <w:jc w:val="both"/>
              <w:rPr>
                <w:b/>
                <w:color w:val="000000" w:themeColor="text1"/>
                <w:szCs w:val="20"/>
              </w:rPr>
            </w:pPr>
            <w:r w:rsidRPr="000C4849">
              <w:rPr>
                <w:b/>
                <w:color w:val="000000" w:themeColor="text1"/>
                <w:szCs w:val="20"/>
              </w:rPr>
              <w:t>Computation Method:</w:t>
            </w:r>
          </w:p>
          <w:p w14:paraId="6A9EF0C0" w14:textId="77777777" w:rsidR="00221C59" w:rsidRPr="00E25A69" w:rsidRDefault="00221C59" w:rsidP="00221C59">
            <w:pPr>
              <w:jc w:val="both"/>
              <w:rPr>
                <w:color w:val="000000" w:themeColor="text1"/>
                <w:szCs w:val="20"/>
              </w:rPr>
            </w:pPr>
          </w:p>
          <w:p w14:paraId="6E86F799" w14:textId="77777777" w:rsidR="00221C59" w:rsidRDefault="00221C59" w:rsidP="00221C59">
            <w:pPr>
              <w:jc w:val="both"/>
              <w:rPr>
                <w:color w:val="000000" w:themeColor="text1"/>
                <w:szCs w:val="20"/>
              </w:rPr>
            </w:pPr>
            <w:r w:rsidRPr="00E25A69">
              <w:rPr>
                <w:color w:val="000000" w:themeColor="text1"/>
                <w:szCs w:val="20"/>
              </w:rPr>
              <w:t>The indicator will be computed by dividing the number of people receiving treatment services at least once in a year by the total number of people with substance use disorders in the same year:</w:t>
            </w:r>
          </w:p>
          <w:p w14:paraId="4AD5A078" w14:textId="77777777" w:rsidR="00221C59" w:rsidRDefault="00221C59" w:rsidP="00221C59">
            <w:pPr>
              <w:jc w:val="both"/>
              <w:rPr>
                <w:color w:val="000000" w:themeColor="text1"/>
                <w:szCs w:val="20"/>
              </w:rPr>
            </w:pPr>
          </w:p>
          <w:p w14:paraId="0079E70D" w14:textId="77777777" w:rsidR="00221C59" w:rsidRPr="000C4849" w:rsidRDefault="004B4A24" w:rsidP="00221C59">
            <w:pPr>
              <w:jc w:val="both"/>
              <w:rPr>
                <w:color w:val="000000" w:themeColor="text1"/>
                <w:sz w:val="18"/>
                <w:szCs w:val="18"/>
              </w:rPr>
            </w:pPr>
            <m:oMathPara>
              <m:oMath>
                <m:sSub>
                  <m:sSubPr>
                    <m:ctrlPr>
                      <w:rPr>
                        <w:rFonts w:ascii="Cambria Math" w:eastAsia="Times New Roman" w:hAnsi="Cambria Math" w:cs="TimesNewRomanPS-BoldMT"/>
                        <w:color w:val="4A4A4A"/>
                        <w:sz w:val="18"/>
                        <w:szCs w:val="18"/>
                        <w:lang w:eastAsia="en-GB"/>
                      </w:rPr>
                    </m:ctrlPr>
                  </m:sSubPr>
                  <m:e>
                    <m:r>
                      <w:rPr>
                        <w:rFonts w:ascii="Cambria Math" w:eastAsia="Cambria Math" w:hAnsi="Cambria Math" w:cs="Cambria Math"/>
                        <w:color w:val="4A4A4A"/>
                        <w:sz w:val="18"/>
                        <w:szCs w:val="18"/>
                        <w:lang w:eastAsia="en-GB"/>
                      </w:rPr>
                      <m:t>Coverage</m:t>
                    </m:r>
                  </m:e>
                  <m:sub>
                    <m:r>
                      <w:rPr>
                        <w:rFonts w:ascii="Cambria Math" w:eastAsia="Cambria Math" w:hAnsi="Cambria Math" w:cs="Cambria Math"/>
                        <w:color w:val="4A4A4A"/>
                        <w:sz w:val="18"/>
                        <w:szCs w:val="18"/>
                        <w:lang w:eastAsia="en-GB"/>
                      </w:rPr>
                      <m:t>SUD</m:t>
                    </m:r>
                  </m:sub>
                </m:sSub>
                <m:r>
                  <m:rPr>
                    <m:sty m:val="p"/>
                  </m:rPr>
                  <w:rPr>
                    <w:rFonts w:ascii="Cambria Math" w:eastAsia="Times New Roman" w:hAnsi="Cambria Math" w:cs="TimesNewRomanPS-BoldMT"/>
                    <w:color w:val="4A4A4A"/>
                    <w:sz w:val="18"/>
                    <w:szCs w:val="18"/>
                    <w:lang w:eastAsia="en-GB"/>
                  </w:rPr>
                  <m:t>=</m:t>
                </m:r>
                <m:f>
                  <m:fPr>
                    <m:ctrlPr>
                      <w:rPr>
                        <w:rFonts w:ascii="Cambria Math" w:eastAsia="Times New Roman" w:hAnsi="Cambria Math" w:cs="TimesNewRomanPS-BoldMT"/>
                        <w:color w:val="4A4A4A"/>
                        <w:sz w:val="18"/>
                        <w:szCs w:val="18"/>
                        <w:lang w:eastAsia="en-GB"/>
                      </w:rPr>
                    </m:ctrlPr>
                  </m:fPr>
                  <m:num>
                    <m:r>
                      <m:rPr>
                        <m:sty m:val="p"/>
                      </m:rPr>
                      <w:rPr>
                        <w:rFonts w:ascii="Cambria Math" w:eastAsia="Times New Roman" w:hAnsi="Cambria Math" w:cs="Cambria Math"/>
                        <w:color w:val="4A4A4A"/>
                        <w:sz w:val="18"/>
                        <w:szCs w:val="18"/>
                        <w:lang w:eastAsia="en-GB"/>
                      </w:rPr>
                      <m:t xml:space="preserve"> number of people in treatment for SUD </m:t>
                    </m:r>
                  </m:num>
                  <m:den>
                    <m:r>
                      <m:rPr>
                        <m:sty m:val="p"/>
                      </m:rPr>
                      <w:rPr>
                        <w:rFonts w:ascii="Cambria Math" w:eastAsia="Times New Roman" w:hAnsi="Cambria Math" w:cs="Cambria Math"/>
                        <w:color w:val="4A4A4A"/>
                        <w:sz w:val="18"/>
                        <w:szCs w:val="18"/>
                        <w:lang w:eastAsia="en-GB"/>
                      </w:rPr>
                      <m:t>number of people with SUD</m:t>
                    </m:r>
                  </m:den>
                </m:f>
                <m:r>
                  <w:rPr>
                    <w:rFonts w:ascii="Cambria Math" w:eastAsia="Times New Roman" w:hAnsi="Cambria Math" w:cs="TimesNewRomanPS-BoldMT"/>
                    <w:color w:val="4A4A4A"/>
                    <w:sz w:val="18"/>
                    <w:szCs w:val="18"/>
                    <w:lang w:eastAsia="en-GB"/>
                  </w:rPr>
                  <m:t>X</m:t>
                </m:r>
                <m:r>
                  <m:rPr>
                    <m:sty m:val="p"/>
                  </m:rPr>
                  <w:rPr>
                    <w:rFonts w:ascii="Cambria Math" w:eastAsia="Times New Roman" w:hAnsi="Cambria Math" w:cs="TimesNewRomanPS-BoldMT"/>
                    <w:color w:val="4A4A4A"/>
                    <w:sz w:val="18"/>
                    <w:szCs w:val="18"/>
                    <w:lang w:eastAsia="en-GB"/>
                  </w:rPr>
                  <m:t xml:space="preserve"> 100</m:t>
                </m:r>
              </m:oMath>
            </m:oMathPara>
          </w:p>
          <w:p w14:paraId="5FA18DD3" w14:textId="77777777" w:rsidR="00221C59" w:rsidRDefault="00221C59" w:rsidP="00221C59">
            <w:pPr>
              <w:jc w:val="both"/>
              <w:rPr>
                <w:rFonts w:eastAsia="Times New Roman" w:cs="TimesNewRomanPS-BoldMT"/>
                <w:color w:val="4A4A4A"/>
                <w:sz w:val="21"/>
                <w:szCs w:val="21"/>
                <w:lang w:eastAsia="en-GB"/>
              </w:rPr>
            </w:pPr>
            <w:r w:rsidRPr="00231825">
              <w:rPr>
                <w:rFonts w:eastAsia="Times New Roman" w:cs="TimesNewRomanPS-BoldMT"/>
                <w:color w:val="4A4A4A"/>
                <w:sz w:val="21"/>
                <w:szCs w:val="21"/>
                <w:lang w:eastAsia="en-GB"/>
              </w:rPr>
              <w:t xml:space="preserve">Where: </w:t>
            </w:r>
          </w:p>
          <w:p w14:paraId="53CAC905" w14:textId="77777777" w:rsidR="00221C59" w:rsidRDefault="00221C59" w:rsidP="00221C59">
            <w:pPr>
              <w:jc w:val="both"/>
              <w:rPr>
                <w:rFonts w:eastAsia="Times New Roman" w:cs="TimesNewRomanPS-BoldMT"/>
                <w:color w:val="4A4A4A"/>
                <w:sz w:val="21"/>
                <w:szCs w:val="21"/>
                <w:lang w:eastAsia="en-GB"/>
              </w:rPr>
            </w:pPr>
            <w:r w:rsidRPr="00231825">
              <w:rPr>
                <w:rFonts w:eastAsia="Times New Roman" w:cs="TimesNewRomanPS-BoldMT"/>
                <w:color w:val="4A4A4A"/>
                <w:sz w:val="21"/>
                <w:szCs w:val="21"/>
                <w:lang w:eastAsia="en-GB"/>
              </w:rPr>
              <w:t>SUD – Substance use disorders</w:t>
            </w:r>
          </w:p>
          <w:p w14:paraId="258EA34E" w14:textId="77777777" w:rsidR="00221C59" w:rsidRDefault="00221C59" w:rsidP="00221C59">
            <w:pPr>
              <w:jc w:val="both"/>
              <w:rPr>
                <w:rFonts w:eastAsia="Times New Roman" w:cs="TimesNewRomanPS-BoldMT"/>
                <w:color w:val="4A4A4A"/>
                <w:sz w:val="21"/>
                <w:szCs w:val="21"/>
                <w:lang w:eastAsia="en-GB"/>
              </w:rPr>
            </w:pPr>
          </w:p>
          <w:p w14:paraId="6C1B9CAF" w14:textId="77777777" w:rsidR="00221C59" w:rsidRPr="000C4849" w:rsidRDefault="00221C59" w:rsidP="00221C59">
            <w:pPr>
              <w:jc w:val="both"/>
              <w:rPr>
                <w:rFonts w:eastAsia="Times New Roman" w:cs="TimesNewRomanPS-BoldMT"/>
                <w:b/>
                <w:color w:val="4A4A4A"/>
                <w:sz w:val="21"/>
                <w:szCs w:val="21"/>
                <w:lang w:eastAsia="en-GB"/>
              </w:rPr>
            </w:pPr>
            <w:r w:rsidRPr="000C4849">
              <w:rPr>
                <w:rFonts w:eastAsia="Times New Roman" w:cs="TimesNewRomanPS-BoldMT"/>
                <w:b/>
                <w:color w:val="4A4A4A"/>
                <w:sz w:val="21"/>
                <w:szCs w:val="21"/>
                <w:lang w:eastAsia="en-GB"/>
              </w:rPr>
              <w:t>Treatment of missing values:</w:t>
            </w:r>
          </w:p>
          <w:p w14:paraId="7A56CBFF" w14:textId="77777777" w:rsidR="00221C59" w:rsidRPr="000C4849" w:rsidRDefault="00221C59" w:rsidP="00221C59">
            <w:pPr>
              <w:jc w:val="both"/>
              <w:rPr>
                <w:rFonts w:eastAsia="Times New Roman" w:cs="TimesNewRomanPS-BoldMT"/>
                <w:b/>
                <w:color w:val="4A4A4A"/>
                <w:sz w:val="21"/>
                <w:szCs w:val="21"/>
                <w:lang w:eastAsia="en-GB"/>
              </w:rPr>
            </w:pPr>
            <w:r w:rsidRPr="000C4849">
              <w:rPr>
                <w:rFonts w:eastAsia="Times New Roman" w:cs="TimesNewRomanPS-BoldMT"/>
                <w:b/>
                <w:color w:val="4A4A4A"/>
                <w:sz w:val="21"/>
                <w:szCs w:val="21"/>
                <w:lang w:eastAsia="en-GB"/>
              </w:rPr>
              <w:t>At country level</w:t>
            </w:r>
          </w:p>
          <w:p w14:paraId="6EDD0186" w14:textId="77777777" w:rsidR="00221C59" w:rsidRPr="00A42EEE" w:rsidRDefault="00221C59" w:rsidP="00221C59">
            <w:pPr>
              <w:jc w:val="both"/>
              <w:rPr>
                <w:rFonts w:eastAsia="Times New Roman" w:cs="TimesNewRomanPS-BoldMT"/>
                <w:color w:val="4A4A4A"/>
                <w:sz w:val="21"/>
                <w:szCs w:val="21"/>
                <w:lang w:eastAsia="en-GB"/>
              </w:rPr>
            </w:pPr>
            <w:r w:rsidRPr="00A42EEE">
              <w:rPr>
                <w:rFonts w:eastAsia="Times New Roman" w:cs="TimesNewRomanPS-BoldMT"/>
                <w:color w:val="4A4A4A"/>
                <w:sz w:val="21"/>
                <w:szCs w:val="21"/>
                <w:lang w:eastAsia="en-GB"/>
              </w:rPr>
              <w:t>For drug use disorder, data will be provided for countries where information is available for both numerator and denominator. No data estimates will be done at the national level.</w:t>
            </w:r>
          </w:p>
          <w:p w14:paraId="2F9076AE" w14:textId="77777777" w:rsidR="00221C59" w:rsidRPr="00A42EEE" w:rsidRDefault="00221C59" w:rsidP="00221C59">
            <w:pPr>
              <w:jc w:val="both"/>
              <w:rPr>
                <w:rFonts w:eastAsia="Times New Roman" w:cs="TimesNewRomanPS-BoldMT"/>
                <w:color w:val="4A4A4A"/>
                <w:sz w:val="21"/>
                <w:szCs w:val="21"/>
                <w:lang w:eastAsia="en-GB"/>
              </w:rPr>
            </w:pPr>
          </w:p>
          <w:p w14:paraId="5425B492" w14:textId="77777777" w:rsidR="00221C59" w:rsidRDefault="00221C59" w:rsidP="00221C59">
            <w:pPr>
              <w:jc w:val="both"/>
              <w:rPr>
                <w:rFonts w:eastAsia="Times New Roman" w:cs="TimesNewRomanPS-BoldMT"/>
                <w:color w:val="4A4A4A"/>
                <w:sz w:val="21"/>
                <w:szCs w:val="21"/>
                <w:lang w:eastAsia="en-GB"/>
              </w:rPr>
            </w:pPr>
            <w:r w:rsidRPr="00A42EEE">
              <w:rPr>
                <w:rFonts w:eastAsia="Times New Roman" w:cs="TimesNewRomanPS-BoldMT"/>
                <w:color w:val="4A4A4A"/>
                <w:sz w:val="21"/>
                <w:szCs w:val="21"/>
                <w:lang w:eastAsia="en-GB"/>
              </w:rPr>
              <w:t>For alcohol, when information on service utilization is missing in a country, several approaches will be used to produce estimates based on all available pieces of contextual service capacity data in the country and regionally. Link to be established between service availability and service utilization to get rough understanding on number of people who might be using services for countries where no direct information on number of people using services is available at all.</w:t>
            </w:r>
          </w:p>
          <w:p w14:paraId="458D2A31" w14:textId="77777777" w:rsidR="00221C59" w:rsidRDefault="00221C59" w:rsidP="00221C59">
            <w:pPr>
              <w:jc w:val="both"/>
              <w:rPr>
                <w:color w:val="000000" w:themeColor="text1"/>
                <w:szCs w:val="20"/>
              </w:rPr>
            </w:pPr>
          </w:p>
          <w:p w14:paraId="53987BE2" w14:textId="77777777" w:rsidR="00221C59" w:rsidRPr="00382069" w:rsidRDefault="00221C59" w:rsidP="00221C59">
            <w:pPr>
              <w:jc w:val="both"/>
              <w:rPr>
                <w:color w:val="000000" w:themeColor="text1"/>
                <w:szCs w:val="20"/>
              </w:rPr>
            </w:pPr>
          </w:p>
        </w:tc>
        <w:tc>
          <w:tcPr>
            <w:tcW w:w="0" w:type="auto"/>
            <w:shd w:val="clear" w:color="auto" w:fill="auto"/>
          </w:tcPr>
          <w:p w14:paraId="0DD54455" w14:textId="7F4FD861" w:rsidR="00221C59" w:rsidRDefault="00221C59" w:rsidP="00221C59">
            <w:pPr>
              <w:jc w:val="center"/>
              <w:rPr>
                <w:bCs/>
                <w:szCs w:val="20"/>
              </w:rPr>
            </w:pPr>
          </w:p>
          <w:p w14:paraId="6D92F000" w14:textId="74412C38" w:rsidR="000B076D" w:rsidRDefault="000B076D" w:rsidP="00221C59">
            <w:pPr>
              <w:jc w:val="center"/>
              <w:rPr>
                <w:rFonts w:eastAsia="Times New Roman" w:cs="Times New Roman"/>
                <w:color w:val="4A4A4A"/>
                <w:sz w:val="21"/>
                <w:szCs w:val="21"/>
                <w:lang w:eastAsia="en-GB"/>
              </w:rPr>
            </w:pPr>
            <w:r w:rsidRPr="00231825">
              <w:rPr>
                <w:rFonts w:eastAsia="Times New Roman" w:cs="Times New Roman"/>
                <w:color w:val="4A4A4A"/>
                <w:sz w:val="21"/>
                <w:szCs w:val="21"/>
                <w:lang w:eastAsia="en-GB"/>
              </w:rPr>
              <w:t>Household survey</w:t>
            </w:r>
            <w:r>
              <w:rPr>
                <w:rFonts w:eastAsia="Times New Roman" w:cs="Times New Roman"/>
                <w:color w:val="4A4A4A"/>
                <w:sz w:val="21"/>
                <w:szCs w:val="21"/>
                <w:lang w:eastAsia="en-GB"/>
              </w:rPr>
              <w:t>.</w:t>
            </w:r>
          </w:p>
          <w:p w14:paraId="1BD55E07" w14:textId="7D75B2D8" w:rsidR="000B076D" w:rsidRDefault="000B076D" w:rsidP="00221C59">
            <w:pPr>
              <w:jc w:val="center"/>
              <w:rPr>
                <w:bCs/>
                <w:szCs w:val="20"/>
              </w:rPr>
            </w:pPr>
          </w:p>
        </w:tc>
        <w:tc>
          <w:tcPr>
            <w:tcW w:w="0" w:type="auto"/>
            <w:shd w:val="clear" w:color="auto" w:fill="auto"/>
          </w:tcPr>
          <w:p w14:paraId="1EAD94AB" w14:textId="352D0124" w:rsidR="00221C59" w:rsidRDefault="00221C59" w:rsidP="00221C59">
            <w:pPr>
              <w:jc w:val="center"/>
              <w:rPr>
                <w:bCs/>
                <w:szCs w:val="20"/>
              </w:rPr>
            </w:pPr>
          </w:p>
          <w:p w14:paraId="55F12093" w14:textId="77777777" w:rsidR="000B076D" w:rsidRDefault="000B076D" w:rsidP="00221C59">
            <w:pPr>
              <w:jc w:val="center"/>
              <w:rPr>
                <w:rFonts w:eastAsia="Times New Roman" w:cs="Times New Roman"/>
                <w:color w:val="4A4A4A"/>
                <w:sz w:val="21"/>
                <w:szCs w:val="21"/>
                <w:lang w:eastAsia="en-GB"/>
              </w:rPr>
            </w:pPr>
            <w:r w:rsidRPr="00AD4D96">
              <w:rPr>
                <w:rFonts w:eastAsia="Times New Roman" w:cs="Times New Roman"/>
                <w:color w:val="4A4A4A"/>
                <w:sz w:val="21"/>
                <w:szCs w:val="21"/>
                <w:lang w:eastAsia="en-GB"/>
              </w:rPr>
              <w:t>Drug use disorders data are collected through national focal points.</w:t>
            </w:r>
          </w:p>
          <w:p w14:paraId="6384EC9C" w14:textId="517A582E" w:rsidR="000B076D" w:rsidRPr="00AF5798" w:rsidRDefault="000B076D" w:rsidP="00221C59">
            <w:pPr>
              <w:jc w:val="center"/>
              <w:rPr>
                <w:bCs/>
                <w:szCs w:val="20"/>
              </w:rPr>
            </w:pPr>
            <w:r w:rsidRPr="00AD4D96">
              <w:rPr>
                <w:rFonts w:eastAsia="Times New Roman" w:cs="Times New Roman"/>
                <w:color w:val="4A4A4A"/>
                <w:sz w:val="21"/>
                <w:szCs w:val="21"/>
                <w:lang w:eastAsia="en-GB"/>
              </w:rPr>
              <w:t xml:space="preserve">Ministries of </w:t>
            </w:r>
            <w:r w:rsidRPr="00AD4D96">
              <w:rPr>
                <w:rFonts w:eastAsia="Times New Roman" w:cs="Times New Roman"/>
                <w:color w:val="4A4A4A"/>
                <w:sz w:val="21"/>
                <w:szCs w:val="21"/>
                <w:lang w:eastAsia="en-GB"/>
              </w:rPr>
              <w:lastRenderedPageBreak/>
              <w:t>Health and/or National Statistical Offices.</w:t>
            </w:r>
          </w:p>
        </w:tc>
        <w:tc>
          <w:tcPr>
            <w:tcW w:w="0" w:type="auto"/>
            <w:shd w:val="clear" w:color="auto" w:fill="auto"/>
          </w:tcPr>
          <w:p w14:paraId="7D76141B" w14:textId="77777777" w:rsidR="00221C59" w:rsidRPr="00382069" w:rsidDel="00C13DAE" w:rsidRDefault="00221C59" w:rsidP="00221C59">
            <w:pPr>
              <w:jc w:val="center"/>
              <w:rPr>
                <w:color w:val="000000" w:themeColor="text1"/>
                <w:sz w:val="18"/>
                <w:szCs w:val="18"/>
              </w:rPr>
            </w:pPr>
            <w:r>
              <w:rPr>
                <w:color w:val="000000" w:themeColor="text1"/>
                <w:sz w:val="18"/>
                <w:szCs w:val="18"/>
              </w:rPr>
              <w:lastRenderedPageBreak/>
              <w:t>-</w:t>
            </w:r>
            <w:r>
              <w:t xml:space="preserve"> </w:t>
            </w:r>
            <w:r w:rsidRPr="00382069">
              <w:rPr>
                <w:color w:val="000000" w:themeColor="text1"/>
                <w:sz w:val="18"/>
                <w:szCs w:val="18"/>
              </w:rPr>
              <w:t xml:space="preserve">a) DNC, </w:t>
            </w:r>
          </w:p>
          <w:p w14:paraId="0FD4339F" w14:textId="5F7353E7" w:rsidR="00221C59" w:rsidRDefault="00221C59" w:rsidP="00221C59">
            <w:pPr>
              <w:jc w:val="center"/>
              <w:rPr>
                <w:color w:val="000000" w:themeColor="text1"/>
                <w:sz w:val="18"/>
                <w:szCs w:val="18"/>
              </w:rPr>
            </w:pPr>
          </w:p>
        </w:tc>
        <w:tc>
          <w:tcPr>
            <w:tcW w:w="0" w:type="auto"/>
            <w:shd w:val="clear" w:color="auto" w:fill="auto"/>
          </w:tcPr>
          <w:p w14:paraId="5ACD041F" w14:textId="77777777" w:rsidR="00221C59" w:rsidRDefault="00221C59" w:rsidP="00221C59">
            <w:pPr>
              <w:jc w:val="center"/>
            </w:pPr>
            <w:r w:rsidRPr="00BC6F10">
              <w:t>a) DNC, SSD, MoHA</w:t>
            </w:r>
          </w:p>
          <w:p w14:paraId="0623FD4B" w14:textId="77777777" w:rsidR="00221C59" w:rsidRPr="00AF5798" w:rsidRDefault="00221C59" w:rsidP="000C4849">
            <w:pPr>
              <w:pStyle w:val="ListParagraph"/>
              <w:numPr>
                <w:ilvl w:val="0"/>
                <w:numId w:val="19"/>
              </w:numPr>
              <w:ind w:left="131" w:hanging="148"/>
              <w:rPr>
                <w:rFonts w:ascii="Tw Cen MT Condensed" w:hAnsi="Tw Cen MT Condensed"/>
                <w:color w:val="000000" w:themeColor="text1"/>
                <w:sz w:val="18"/>
                <w:szCs w:val="18"/>
              </w:rPr>
            </w:pPr>
            <w:r w:rsidRPr="003B12D4">
              <w:rPr>
                <w:rFonts w:ascii="Tw Cen MT Condensed" w:hAnsi="Tw Cen MT Condensed"/>
              </w:rPr>
              <w:t>b) MIS, DGHS, HSD</w:t>
            </w:r>
          </w:p>
        </w:tc>
        <w:tc>
          <w:tcPr>
            <w:tcW w:w="0" w:type="auto"/>
            <w:shd w:val="clear" w:color="auto" w:fill="auto"/>
          </w:tcPr>
          <w:p w14:paraId="2DB8EC88" w14:textId="5BB4D506" w:rsidR="00221C59" w:rsidRDefault="00221C59" w:rsidP="00B22244">
            <w:pPr>
              <w:pStyle w:val="ListParagraph"/>
              <w:numPr>
                <w:ilvl w:val="0"/>
                <w:numId w:val="2"/>
              </w:numPr>
              <w:jc w:val="both"/>
              <w:rPr>
                <w:rFonts w:ascii="Tw Cen MT Condensed" w:hAnsi="Tw Cen MT Condensed"/>
                <w:bCs/>
                <w:sz w:val="20"/>
                <w:szCs w:val="20"/>
              </w:rPr>
            </w:pPr>
            <w:proofErr w:type="gramStart"/>
            <w:r w:rsidRPr="00382069">
              <w:rPr>
                <w:rFonts w:ascii="Tw Cen MT Condensed" w:hAnsi="Tw Cen MT Condensed"/>
                <w:bCs/>
                <w:sz w:val="20"/>
                <w:szCs w:val="20"/>
              </w:rPr>
              <w:t>by</w:t>
            </w:r>
            <w:proofErr w:type="gramEnd"/>
            <w:r w:rsidRPr="00382069">
              <w:rPr>
                <w:rFonts w:ascii="Tw Cen MT Condensed" w:hAnsi="Tw Cen MT Condensed"/>
                <w:bCs/>
                <w:sz w:val="20"/>
                <w:szCs w:val="20"/>
              </w:rPr>
              <w:t xml:space="preserve"> the settings, type of intervention</w:t>
            </w:r>
            <w:r w:rsidR="00B22244" w:rsidRPr="00B22244">
              <w:rPr>
                <w:rFonts w:ascii="Tw Cen MT Condensed" w:hAnsi="Tw Cen MT Condensed"/>
                <w:bCs/>
                <w:sz w:val="20"/>
                <w:szCs w:val="20"/>
              </w:rPr>
              <w:t>(pharmacological, psychosocial, rehabilitation and aftercare)</w:t>
            </w:r>
            <w:r>
              <w:rPr>
                <w:rFonts w:ascii="Tw Cen MT Condensed" w:hAnsi="Tw Cen MT Condensed"/>
                <w:bCs/>
                <w:sz w:val="20"/>
                <w:szCs w:val="20"/>
              </w:rPr>
              <w:t xml:space="preserve"> </w:t>
            </w:r>
            <w:r w:rsidRPr="00382069">
              <w:rPr>
                <w:rFonts w:ascii="Tw Cen MT Condensed" w:hAnsi="Tw Cen MT Condensed"/>
                <w:bCs/>
                <w:sz w:val="20"/>
                <w:szCs w:val="20"/>
              </w:rPr>
              <w:t>for the population groups.</w:t>
            </w:r>
          </w:p>
          <w:p w14:paraId="2A56DF6B" w14:textId="10DD2C41" w:rsidR="00221C59" w:rsidRDefault="00221C59" w:rsidP="00221C59">
            <w:pPr>
              <w:pStyle w:val="ListParagraph"/>
              <w:numPr>
                <w:ilvl w:val="0"/>
                <w:numId w:val="2"/>
              </w:numPr>
              <w:jc w:val="both"/>
              <w:rPr>
                <w:rFonts w:ascii="Tw Cen MT Condensed" w:hAnsi="Tw Cen MT Condensed"/>
                <w:bCs/>
                <w:sz w:val="20"/>
                <w:szCs w:val="20"/>
              </w:rPr>
            </w:pPr>
            <w:r>
              <w:rPr>
                <w:rFonts w:ascii="Tw Cen MT Condensed" w:hAnsi="Tw Cen MT Condensed"/>
                <w:bCs/>
                <w:sz w:val="20"/>
                <w:szCs w:val="20"/>
              </w:rPr>
              <w:lastRenderedPageBreak/>
              <w:t>Age</w:t>
            </w:r>
            <w:r w:rsidR="005C5D45">
              <w:rPr>
                <w:rFonts w:ascii="Tw Cen MT Condensed" w:hAnsi="Tw Cen MT Condensed"/>
                <w:bCs/>
                <w:sz w:val="20"/>
                <w:szCs w:val="20"/>
              </w:rPr>
              <w:t>:</w:t>
            </w:r>
            <w:r w:rsidR="005C5D45" w:rsidRPr="0059076C">
              <w:rPr>
                <w:rFonts w:ascii="Tw Cen MT Condensed" w:hAnsi="Tw Cen MT Condensed"/>
              </w:rPr>
              <w:t xml:space="preserve"> 15-24, 25-39, 40-59, 60-64, 65+</w:t>
            </w:r>
            <w:r>
              <w:rPr>
                <w:rFonts w:ascii="Tw Cen MT Condensed" w:hAnsi="Tw Cen MT Condensed"/>
                <w:bCs/>
                <w:sz w:val="20"/>
                <w:szCs w:val="20"/>
              </w:rPr>
              <w:t xml:space="preserve"> </w:t>
            </w:r>
          </w:p>
          <w:p w14:paraId="61C5E6AF" w14:textId="7CB8D212" w:rsidR="00221C59" w:rsidRPr="00AF5798" w:rsidRDefault="00221C59" w:rsidP="00221C59">
            <w:pPr>
              <w:pStyle w:val="ListParagraph"/>
              <w:numPr>
                <w:ilvl w:val="0"/>
                <w:numId w:val="2"/>
              </w:numPr>
              <w:jc w:val="both"/>
              <w:rPr>
                <w:rFonts w:ascii="Tw Cen MT Condensed" w:hAnsi="Tw Cen MT Condensed"/>
                <w:bCs/>
                <w:sz w:val="20"/>
                <w:szCs w:val="20"/>
              </w:rPr>
            </w:pPr>
            <w:r>
              <w:rPr>
                <w:rFonts w:ascii="Tw Cen MT Condensed" w:hAnsi="Tw Cen MT Condensed"/>
                <w:bCs/>
                <w:sz w:val="20"/>
                <w:szCs w:val="20"/>
              </w:rPr>
              <w:t>Sex</w:t>
            </w:r>
            <w:r w:rsidR="005C5D45">
              <w:rPr>
                <w:rFonts w:ascii="Tw Cen MT Condensed" w:hAnsi="Tw Cen MT Condensed"/>
                <w:bCs/>
                <w:sz w:val="20"/>
                <w:szCs w:val="20"/>
              </w:rPr>
              <w:t>: male/female</w:t>
            </w:r>
          </w:p>
        </w:tc>
        <w:tc>
          <w:tcPr>
            <w:tcW w:w="0" w:type="auto"/>
            <w:shd w:val="clear" w:color="auto" w:fill="auto"/>
          </w:tcPr>
          <w:p w14:paraId="002FA71D" w14:textId="77777777" w:rsidR="00221C59" w:rsidRDefault="00221C59" w:rsidP="00221C59">
            <w:pPr>
              <w:jc w:val="center"/>
              <w:rPr>
                <w:bCs/>
                <w:szCs w:val="20"/>
              </w:rPr>
            </w:pPr>
            <w:r>
              <w:rPr>
                <w:bCs/>
                <w:szCs w:val="20"/>
              </w:rPr>
              <w:lastRenderedPageBreak/>
              <w:t>Annual</w:t>
            </w:r>
          </w:p>
        </w:tc>
        <w:tc>
          <w:tcPr>
            <w:tcW w:w="0" w:type="auto"/>
            <w:shd w:val="clear" w:color="auto" w:fill="auto"/>
          </w:tcPr>
          <w:p w14:paraId="3F2AA75A" w14:textId="77777777" w:rsidR="00221C59" w:rsidRDefault="00221C59" w:rsidP="00221C59">
            <w:pPr>
              <w:pStyle w:val="NoSpacing"/>
            </w:pPr>
            <w:r>
              <w:t>1</w:t>
            </w:r>
            <w:r w:rsidRPr="00013ACB">
              <w:rPr>
                <w:vertAlign w:val="superscript"/>
              </w:rPr>
              <w:t>st</w:t>
            </w:r>
            <w:r>
              <w:t xml:space="preserve"> Round: </w:t>
            </w:r>
          </w:p>
          <w:p w14:paraId="6262FACA" w14:textId="77777777" w:rsidR="00221C59" w:rsidRDefault="00221C59" w:rsidP="00221C59">
            <w:pPr>
              <w:pStyle w:val="NoSpacing"/>
            </w:pPr>
            <w:r>
              <w:t>2015</w:t>
            </w:r>
          </w:p>
          <w:p w14:paraId="0A3C1078" w14:textId="77777777" w:rsidR="00221C59" w:rsidRDefault="00221C59" w:rsidP="00221C59">
            <w:pPr>
              <w:pStyle w:val="NoSpacing"/>
            </w:pPr>
            <w:r>
              <w:t>2</w:t>
            </w:r>
            <w:r w:rsidRPr="00013ACB">
              <w:rPr>
                <w:vertAlign w:val="superscript"/>
              </w:rPr>
              <w:t>nd</w:t>
            </w:r>
            <w:r>
              <w:t xml:space="preserve"> Round: </w:t>
            </w:r>
          </w:p>
          <w:p w14:paraId="3D509373" w14:textId="77777777" w:rsidR="00221C59" w:rsidRDefault="00221C59" w:rsidP="00221C59">
            <w:pPr>
              <w:pStyle w:val="NoSpacing"/>
            </w:pPr>
            <w:r w:rsidRPr="00BC6F10">
              <w:rPr>
                <w:szCs w:val="22"/>
              </w:rPr>
              <w:t>July 2019</w:t>
            </w:r>
          </w:p>
          <w:p w14:paraId="57358408" w14:textId="77777777" w:rsidR="00221C59" w:rsidRDefault="00221C59" w:rsidP="00221C59">
            <w:pPr>
              <w:pStyle w:val="NoSpacing"/>
            </w:pPr>
            <w:r>
              <w:t>3</w:t>
            </w:r>
            <w:r w:rsidRPr="00013ACB">
              <w:rPr>
                <w:vertAlign w:val="superscript"/>
              </w:rPr>
              <w:t>rd</w:t>
            </w:r>
            <w:r>
              <w:t xml:space="preserve"> Round: </w:t>
            </w:r>
          </w:p>
          <w:p w14:paraId="3B171E45" w14:textId="77777777" w:rsidR="00221C59" w:rsidRDefault="00221C59" w:rsidP="00221C59">
            <w:pPr>
              <w:pStyle w:val="NoSpacing"/>
            </w:pPr>
            <w:r>
              <w:rPr>
                <w:szCs w:val="22"/>
              </w:rPr>
              <w:lastRenderedPageBreak/>
              <w:t>July 2020</w:t>
            </w:r>
          </w:p>
          <w:p w14:paraId="00F0FE1C" w14:textId="77777777" w:rsidR="00221C59" w:rsidRDefault="00221C59" w:rsidP="00221C59">
            <w:pPr>
              <w:pStyle w:val="NoSpacing"/>
            </w:pPr>
            <w:r>
              <w:t>4</w:t>
            </w:r>
            <w:r w:rsidRPr="00013ACB">
              <w:rPr>
                <w:vertAlign w:val="superscript"/>
              </w:rPr>
              <w:t>th</w:t>
            </w:r>
            <w:r>
              <w:t xml:space="preserve"> Round: </w:t>
            </w:r>
          </w:p>
          <w:p w14:paraId="38511EC3" w14:textId="77777777" w:rsidR="00221C59" w:rsidRDefault="00221C59" w:rsidP="00221C59">
            <w:pPr>
              <w:pStyle w:val="NoSpacing"/>
            </w:pPr>
            <w:r>
              <w:rPr>
                <w:szCs w:val="22"/>
              </w:rPr>
              <w:t>July 2021</w:t>
            </w:r>
          </w:p>
          <w:p w14:paraId="1B15E739" w14:textId="77777777" w:rsidR="00221C59" w:rsidRDefault="00221C59" w:rsidP="00221C59">
            <w:pPr>
              <w:pStyle w:val="NoSpacing"/>
            </w:pPr>
            <w:r>
              <w:t>5</w:t>
            </w:r>
            <w:r w:rsidRPr="00013ACB">
              <w:rPr>
                <w:vertAlign w:val="superscript"/>
              </w:rPr>
              <w:t>th</w:t>
            </w:r>
            <w:r>
              <w:t xml:space="preserve"> Round: </w:t>
            </w:r>
          </w:p>
          <w:p w14:paraId="3254467B" w14:textId="6666B3E2" w:rsidR="00221C59" w:rsidRPr="002175FB" w:rsidRDefault="00221C59" w:rsidP="00221C59">
            <w:pPr>
              <w:jc w:val="center"/>
              <w:rPr>
                <w:bCs/>
                <w:szCs w:val="20"/>
              </w:rPr>
            </w:pPr>
            <w:r>
              <w:rPr>
                <w:szCs w:val="22"/>
              </w:rPr>
              <w:t>July 2022</w:t>
            </w:r>
          </w:p>
        </w:tc>
        <w:tc>
          <w:tcPr>
            <w:tcW w:w="682" w:type="dxa"/>
            <w:shd w:val="clear" w:color="auto" w:fill="auto"/>
          </w:tcPr>
          <w:p w14:paraId="6620AF2D" w14:textId="77777777" w:rsidR="00221C59" w:rsidRDefault="00221C59" w:rsidP="00221C59">
            <w:pPr>
              <w:pStyle w:val="ListParagraph"/>
              <w:ind w:left="108"/>
              <w:jc w:val="both"/>
              <w:rPr>
                <w:rFonts w:ascii="Tw Cen MT Condensed" w:hAnsi="Tw Cen MT Condensed"/>
                <w:bCs/>
                <w:sz w:val="20"/>
                <w:szCs w:val="20"/>
              </w:rPr>
            </w:pPr>
            <w:r>
              <w:rPr>
                <w:rFonts w:ascii="Tw Cen MT Condensed" w:hAnsi="Tw Cen MT Condensed"/>
                <w:bCs/>
                <w:sz w:val="20"/>
                <w:szCs w:val="20"/>
              </w:rPr>
              <w:lastRenderedPageBreak/>
              <w:t>Group 2</w:t>
            </w:r>
          </w:p>
        </w:tc>
        <w:tc>
          <w:tcPr>
            <w:tcW w:w="983" w:type="dxa"/>
            <w:shd w:val="clear" w:color="auto" w:fill="auto"/>
          </w:tcPr>
          <w:p w14:paraId="0EED5107" w14:textId="77777777" w:rsidR="00221C59" w:rsidRDefault="00221C59" w:rsidP="00221C59">
            <w:pPr>
              <w:pStyle w:val="ListParagraph"/>
              <w:ind w:left="108"/>
              <w:jc w:val="both"/>
              <w:rPr>
                <w:rFonts w:ascii="Tw Cen MT Condensed" w:hAnsi="Tw Cen MT Condensed"/>
                <w:bCs/>
                <w:sz w:val="20"/>
                <w:szCs w:val="20"/>
              </w:rPr>
            </w:pPr>
          </w:p>
        </w:tc>
      </w:tr>
      <w:tr w:rsidR="00BF3271" w14:paraId="467495C1" w14:textId="77777777" w:rsidTr="0085651F">
        <w:tc>
          <w:tcPr>
            <w:tcW w:w="0" w:type="auto"/>
            <w:gridSpan w:val="2"/>
            <w:shd w:val="clear" w:color="auto" w:fill="auto"/>
          </w:tcPr>
          <w:p w14:paraId="58A4C858" w14:textId="56F97185" w:rsidR="00221C59" w:rsidRPr="00DF7D63" w:rsidRDefault="00221C59" w:rsidP="00221C59">
            <w:pPr>
              <w:pStyle w:val="NoSpacing"/>
            </w:pPr>
            <w:r w:rsidRPr="00DF7D63">
              <w:lastRenderedPageBreak/>
              <w:t>3.5.2 Alcohol per capita consumption (aged 15 years and older) within a calendar year in litres of pure alcohol</w:t>
            </w:r>
          </w:p>
        </w:tc>
        <w:tc>
          <w:tcPr>
            <w:tcW w:w="0" w:type="auto"/>
            <w:shd w:val="clear" w:color="auto" w:fill="auto"/>
          </w:tcPr>
          <w:p w14:paraId="44A6C9EF" w14:textId="77777777" w:rsidR="00221C59" w:rsidRPr="00382069" w:rsidRDefault="00221C59" w:rsidP="00221C59">
            <w:pPr>
              <w:jc w:val="center"/>
              <w:rPr>
                <w:szCs w:val="20"/>
              </w:rPr>
            </w:pPr>
            <w:r>
              <w:rPr>
                <w:szCs w:val="20"/>
              </w:rPr>
              <w:t>WHO</w:t>
            </w:r>
          </w:p>
        </w:tc>
        <w:tc>
          <w:tcPr>
            <w:tcW w:w="0" w:type="auto"/>
            <w:shd w:val="clear" w:color="auto" w:fill="auto"/>
          </w:tcPr>
          <w:p w14:paraId="4D9DBA3A" w14:textId="77777777" w:rsidR="00221C59" w:rsidRDefault="00221C59" w:rsidP="00221C59">
            <w:pPr>
              <w:jc w:val="center"/>
              <w:rPr>
                <w:szCs w:val="20"/>
              </w:rPr>
            </w:pPr>
            <w:r>
              <w:rPr>
                <w:szCs w:val="20"/>
              </w:rPr>
              <w:t>Tier I</w:t>
            </w:r>
          </w:p>
        </w:tc>
        <w:tc>
          <w:tcPr>
            <w:tcW w:w="0" w:type="auto"/>
            <w:shd w:val="clear" w:color="auto" w:fill="auto"/>
          </w:tcPr>
          <w:p w14:paraId="36FE2C32" w14:textId="77777777" w:rsidR="00221C59" w:rsidRPr="00382069" w:rsidRDefault="00221C59" w:rsidP="00221C59">
            <w:pPr>
              <w:jc w:val="both"/>
              <w:rPr>
                <w:color w:val="000000" w:themeColor="text1"/>
                <w:szCs w:val="20"/>
              </w:rPr>
            </w:pPr>
            <w:r w:rsidRPr="00382069">
              <w:rPr>
                <w:color w:val="000000" w:themeColor="text1"/>
                <w:szCs w:val="20"/>
              </w:rPr>
              <w:t>Definition:</w:t>
            </w:r>
          </w:p>
          <w:p w14:paraId="4FF24DEF" w14:textId="77777777" w:rsidR="00221C59" w:rsidRDefault="00221C59" w:rsidP="00221C59">
            <w:pPr>
              <w:jc w:val="both"/>
              <w:rPr>
                <w:color w:val="000000" w:themeColor="text1"/>
                <w:szCs w:val="20"/>
              </w:rPr>
            </w:pPr>
            <w:r w:rsidRPr="00382069">
              <w:rPr>
                <w:color w:val="000000" w:themeColor="text1"/>
                <w:szCs w:val="20"/>
              </w:rPr>
              <w:t>Harmful use of alcohol, defined according to the national context as alcohol per capita consumption</w:t>
            </w:r>
            <w:r>
              <w:rPr>
                <w:color w:val="000000" w:themeColor="text1"/>
                <w:szCs w:val="20"/>
              </w:rPr>
              <w:t xml:space="preserve"> </w:t>
            </w:r>
            <w:r w:rsidRPr="00382069">
              <w:rPr>
                <w:color w:val="000000" w:themeColor="text1"/>
                <w:szCs w:val="20"/>
              </w:rPr>
              <w:t>(aged 15 years and older) within a calendar year in litres of pure alcohol</w:t>
            </w:r>
            <w:r>
              <w:rPr>
                <w:color w:val="000000" w:themeColor="text1"/>
                <w:szCs w:val="20"/>
              </w:rPr>
              <w:t xml:space="preserve"> </w:t>
            </w:r>
            <w:r w:rsidRPr="00382069">
              <w:rPr>
                <w:color w:val="000000" w:themeColor="text1"/>
                <w:szCs w:val="20"/>
              </w:rPr>
              <w:t>Total alcohol per capita consumption (APC) is defined as the total (sum of recorded APC three-year</w:t>
            </w:r>
            <w:r>
              <w:rPr>
                <w:color w:val="000000" w:themeColor="text1"/>
                <w:szCs w:val="20"/>
              </w:rPr>
              <w:t xml:space="preserve"> </w:t>
            </w:r>
            <w:r w:rsidRPr="00382069">
              <w:rPr>
                <w:color w:val="000000" w:themeColor="text1"/>
                <w:szCs w:val="20"/>
              </w:rPr>
              <w:t>average and unrecorded APC as a proportion of total) amount of alcohol consumed per adult (15+ years)</w:t>
            </w:r>
            <w:r>
              <w:rPr>
                <w:color w:val="000000" w:themeColor="text1"/>
                <w:szCs w:val="20"/>
              </w:rPr>
              <w:t xml:space="preserve"> </w:t>
            </w:r>
            <w:r w:rsidRPr="00382069">
              <w:rPr>
                <w:color w:val="000000" w:themeColor="text1"/>
                <w:szCs w:val="20"/>
              </w:rPr>
              <w:t>over a calendar year, in litres of pure alcohol, adjusted for tourist consumption. Recorded alcohol</w:t>
            </w:r>
            <w:r>
              <w:rPr>
                <w:color w:val="000000" w:themeColor="text1"/>
                <w:szCs w:val="20"/>
              </w:rPr>
              <w:t xml:space="preserve"> </w:t>
            </w:r>
            <w:r w:rsidRPr="00382069">
              <w:rPr>
                <w:color w:val="000000" w:themeColor="text1"/>
                <w:szCs w:val="20"/>
              </w:rPr>
              <w:t>consumption refers to official statistics at country level (production, import, export, and sales or taxation</w:t>
            </w:r>
            <w:r>
              <w:rPr>
                <w:color w:val="000000" w:themeColor="text1"/>
                <w:szCs w:val="20"/>
              </w:rPr>
              <w:t xml:space="preserve"> </w:t>
            </w:r>
            <w:r w:rsidRPr="00382069">
              <w:rPr>
                <w:color w:val="000000" w:themeColor="text1"/>
                <w:szCs w:val="20"/>
              </w:rPr>
              <w:t>data), while the unrecorded alcohol consumption refers to alcohol which is not taxed and is outside the</w:t>
            </w:r>
            <w:r>
              <w:rPr>
                <w:color w:val="000000" w:themeColor="text1"/>
                <w:szCs w:val="20"/>
              </w:rPr>
              <w:t xml:space="preserve"> </w:t>
            </w:r>
            <w:r w:rsidRPr="00382069">
              <w:rPr>
                <w:color w:val="000000" w:themeColor="text1"/>
                <w:szCs w:val="20"/>
              </w:rPr>
              <w:t>usual system of governmental control, such as home or informally produced alcohol (legal or illegal),</w:t>
            </w:r>
            <w:r>
              <w:rPr>
                <w:color w:val="000000" w:themeColor="text1"/>
                <w:szCs w:val="20"/>
              </w:rPr>
              <w:t xml:space="preserve"> </w:t>
            </w:r>
            <w:r w:rsidRPr="00382069">
              <w:rPr>
                <w:color w:val="000000" w:themeColor="text1"/>
                <w:szCs w:val="20"/>
              </w:rPr>
              <w:t>smuggled alcohol, surrogate alcohol (which is alcohol not intended for human consumption), or alcohol</w:t>
            </w:r>
            <w:r>
              <w:rPr>
                <w:color w:val="000000" w:themeColor="text1"/>
                <w:szCs w:val="20"/>
              </w:rPr>
              <w:t xml:space="preserve"> </w:t>
            </w:r>
            <w:r w:rsidRPr="00382069">
              <w:rPr>
                <w:color w:val="000000" w:themeColor="text1"/>
                <w:szCs w:val="20"/>
              </w:rPr>
              <w:t>obtained through cross-border shopping (which is recorded in a different jurisdiction). Tourist</w:t>
            </w:r>
            <w:r>
              <w:rPr>
                <w:color w:val="000000" w:themeColor="text1"/>
                <w:szCs w:val="20"/>
              </w:rPr>
              <w:t xml:space="preserve"> </w:t>
            </w:r>
            <w:r w:rsidRPr="00382069">
              <w:rPr>
                <w:color w:val="000000" w:themeColor="text1"/>
                <w:szCs w:val="20"/>
              </w:rPr>
              <w:t>consumption takes into account tourists visiting the country and inhabitants visiting other countries.</w:t>
            </w:r>
            <w:r>
              <w:rPr>
                <w:color w:val="000000" w:themeColor="text1"/>
                <w:szCs w:val="20"/>
              </w:rPr>
              <w:t xml:space="preserve"> </w:t>
            </w:r>
            <w:r w:rsidRPr="00382069">
              <w:rPr>
                <w:color w:val="000000" w:themeColor="text1"/>
                <w:szCs w:val="20"/>
              </w:rPr>
              <w:t>Positive figures denote alcohol consumption of outbound tourists being greater than alcohol</w:t>
            </w:r>
            <w:r>
              <w:rPr>
                <w:color w:val="000000" w:themeColor="text1"/>
                <w:szCs w:val="20"/>
              </w:rPr>
              <w:t xml:space="preserve"> </w:t>
            </w:r>
            <w:r w:rsidRPr="00382069">
              <w:rPr>
                <w:color w:val="000000" w:themeColor="text1"/>
                <w:szCs w:val="20"/>
              </w:rPr>
              <w:t>consumption by inbound tourists, negative numbers the opposite. Tourist consumption is based on UN</w:t>
            </w:r>
            <w:r>
              <w:rPr>
                <w:color w:val="000000" w:themeColor="text1"/>
                <w:szCs w:val="20"/>
              </w:rPr>
              <w:t xml:space="preserve"> </w:t>
            </w:r>
            <w:r w:rsidRPr="00382069">
              <w:rPr>
                <w:color w:val="000000" w:themeColor="text1"/>
                <w:szCs w:val="20"/>
              </w:rPr>
              <w:t>statistics, and data are provided by IHME</w:t>
            </w:r>
            <w:r>
              <w:rPr>
                <w:color w:val="000000" w:themeColor="text1"/>
                <w:szCs w:val="20"/>
              </w:rPr>
              <w:t>.</w:t>
            </w:r>
          </w:p>
          <w:p w14:paraId="1DA4A683" w14:textId="77777777" w:rsidR="00221C59" w:rsidRDefault="00221C59" w:rsidP="00221C59">
            <w:pPr>
              <w:jc w:val="both"/>
              <w:rPr>
                <w:color w:val="000000" w:themeColor="text1"/>
                <w:szCs w:val="20"/>
              </w:rPr>
            </w:pPr>
          </w:p>
          <w:p w14:paraId="5094BD84" w14:textId="77777777" w:rsidR="00221C59" w:rsidRPr="00382069" w:rsidRDefault="00221C59" w:rsidP="00221C59">
            <w:pPr>
              <w:jc w:val="both"/>
              <w:rPr>
                <w:b/>
                <w:bCs/>
                <w:color w:val="000000" w:themeColor="text1"/>
                <w:szCs w:val="20"/>
              </w:rPr>
            </w:pPr>
            <w:r w:rsidRPr="00382069">
              <w:rPr>
                <w:b/>
                <w:bCs/>
                <w:color w:val="000000" w:themeColor="text1"/>
                <w:szCs w:val="20"/>
              </w:rPr>
              <w:t>Concepts:</w:t>
            </w:r>
          </w:p>
          <w:p w14:paraId="75374731" w14:textId="77777777" w:rsidR="00221C59" w:rsidRDefault="00221C59" w:rsidP="00221C59">
            <w:pPr>
              <w:jc w:val="both"/>
              <w:rPr>
                <w:color w:val="000000" w:themeColor="text1"/>
                <w:szCs w:val="20"/>
              </w:rPr>
            </w:pPr>
            <w:r w:rsidRPr="00382069">
              <w:rPr>
                <w:color w:val="000000" w:themeColor="text1"/>
                <w:szCs w:val="20"/>
              </w:rPr>
              <w:t>Recorded alcohol per capita (15+) consumption of pure alcohol is calculated as the sum of beverage</w:t>
            </w:r>
            <w:r>
              <w:rPr>
                <w:color w:val="000000" w:themeColor="text1"/>
                <w:szCs w:val="20"/>
              </w:rPr>
              <w:t xml:space="preserve"> </w:t>
            </w:r>
            <w:r w:rsidRPr="00382069">
              <w:rPr>
                <w:color w:val="000000" w:themeColor="text1"/>
                <w:szCs w:val="20"/>
              </w:rPr>
              <w:t>specific</w:t>
            </w:r>
            <w:r>
              <w:rPr>
                <w:color w:val="000000" w:themeColor="text1"/>
                <w:szCs w:val="20"/>
              </w:rPr>
              <w:t xml:space="preserve"> </w:t>
            </w:r>
            <w:r w:rsidRPr="00382069">
              <w:rPr>
                <w:color w:val="000000" w:themeColor="text1"/>
                <w:szCs w:val="20"/>
              </w:rPr>
              <w:t>alcohol consumption of pure alcohol (beer, wine, spirits, other) from different sources. The first</w:t>
            </w:r>
            <w:r>
              <w:rPr>
                <w:color w:val="000000" w:themeColor="text1"/>
                <w:szCs w:val="20"/>
              </w:rPr>
              <w:t xml:space="preserve"> </w:t>
            </w:r>
            <w:r w:rsidRPr="00382069">
              <w:rPr>
                <w:color w:val="000000" w:themeColor="text1"/>
                <w:szCs w:val="20"/>
              </w:rPr>
              <w:t>priority in the decision tree is given to government national statistics; second are country-specific alcohol</w:t>
            </w:r>
            <w:r>
              <w:rPr>
                <w:color w:val="000000" w:themeColor="text1"/>
                <w:szCs w:val="20"/>
              </w:rPr>
              <w:t xml:space="preserve"> </w:t>
            </w:r>
            <w:r w:rsidRPr="00382069">
              <w:rPr>
                <w:color w:val="000000" w:themeColor="text1"/>
                <w:szCs w:val="20"/>
              </w:rPr>
              <w:t>industry statistics in the public domain based on interviews or fieldwork (GlobalData (formerly</w:t>
            </w:r>
            <w:r>
              <w:rPr>
                <w:color w:val="000000" w:themeColor="text1"/>
                <w:szCs w:val="20"/>
              </w:rPr>
              <w:t xml:space="preserve"> </w:t>
            </w:r>
            <w:r w:rsidRPr="00382069">
              <w:rPr>
                <w:color w:val="000000" w:themeColor="text1"/>
                <w:szCs w:val="20"/>
              </w:rPr>
              <w:t>Canadean), International Wine and Spirit Research (IWSR), Wine Institute; historically World Drink</w:t>
            </w:r>
            <w:r>
              <w:rPr>
                <w:color w:val="000000" w:themeColor="text1"/>
                <w:szCs w:val="20"/>
              </w:rPr>
              <w:t xml:space="preserve"> </w:t>
            </w:r>
            <w:r w:rsidRPr="00382069">
              <w:rPr>
                <w:color w:val="000000" w:themeColor="text1"/>
                <w:szCs w:val="20"/>
              </w:rPr>
              <w:t xml:space="preserve">Trends) or data from the International Organisation of Vine and Wine </w:t>
            </w:r>
            <w:r w:rsidRPr="00382069">
              <w:rPr>
                <w:color w:val="000000" w:themeColor="text1"/>
                <w:szCs w:val="20"/>
              </w:rPr>
              <w:lastRenderedPageBreak/>
              <w:t>(OIV); third is the Food and</w:t>
            </w:r>
            <w:r>
              <w:rPr>
                <w:color w:val="000000" w:themeColor="text1"/>
                <w:szCs w:val="20"/>
              </w:rPr>
              <w:t xml:space="preserve"> </w:t>
            </w:r>
            <w:r w:rsidRPr="00382069">
              <w:rPr>
                <w:color w:val="000000" w:themeColor="text1"/>
                <w:szCs w:val="20"/>
              </w:rPr>
              <w:t>Agriculture Organization of the United Nations' statistical database (FAOSTAT), and fourth is data from</w:t>
            </w:r>
            <w:r>
              <w:rPr>
                <w:color w:val="000000" w:themeColor="text1"/>
                <w:szCs w:val="20"/>
              </w:rPr>
              <w:t xml:space="preserve"> </w:t>
            </w:r>
            <w:r w:rsidRPr="00382069">
              <w:rPr>
                <w:color w:val="000000" w:themeColor="text1"/>
                <w:szCs w:val="20"/>
              </w:rPr>
              <w:t>alcohol industry statistics in the public domain based on desk review. For countries, where the data</w:t>
            </w:r>
            <w:r>
              <w:rPr>
                <w:color w:val="000000" w:themeColor="text1"/>
                <w:szCs w:val="20"/>
              </w:rPr>
              <w:t xml:space="preserve"> </w:t>
            </w:r>
            <w:r w:rsidRPr="00382069">
              <w:rPr>
                <w:color w:val="000000" w:themeColor="text1"/>
                <w:szCs w:val="20"/>
              </w:rPr>
              <w:t>source is FAOSTAT the unrecorded consumption may be included in the recorded consumption. As from</w:t>
            </w:r>
            <w:r>
              <w:rPr>
                <w:color w:val="000000" w:themeColor="text1"/>
                <w:szCs w:val="20"/>
              </w:rPr>
              <w:t xml:space="preserve"> </w:t>
            </w:r>
            <w:r w:rsidRPr="00382069">
              <w:rPr>
                <w:color w:val="000000" w:themeColor="text1"/>
                <w:szCs w:val="20"/>
              </w:rPr>
              <w:t>the introduction of the "Other" beverage-specific category, beer includes malt beers, wine includes wine</w:t>
            </w:r>
            <w:r>
              <w:rPr>
                <w:color w:val="000000" w:themeColor="text1"/>
                <w:szCs w:val="20"/>
              </w:rPr>
              <w:t xml:space="preserve"> </w:t>
            </w:r>
            <w:r w:rsidRPr="00382069">
              <w:rPr>
                <w:color w:val="000000" w:themeColor="text1"/>
                <w:szCs w:val="20"/>
              </w:rPr>
              <w:t>made from grapes, spirits include all distilled beverages, and other includes one or several other alcoholic</w:t>
            </w:r>
            <w:r>
              <w:rPr>
                <w:color w:val="000000" w:themeColor="text1"/>
                <w:szCs w:val="20"/>
              </w:rPr>
              <w:t xml:space="preserve"> </w:t>
            </w:r>
            <w:r w:rsidRPr="00382069">
              <w:rPr>
                <w:color w:val="000000" w:themeColor="text1"/>
                <w:szCs w:val="20"/>
              </w:rPr>
              <w:t>beverages, such as fermented beverages made from sorghum, maize, millet, rice, or cider, fruit wine,</w:t>
            </w:r>
            <w:r>
              <w:rPr>
                <w:color w:val="000000" w:themeColor="text1"/>
                <w:szCs w:val="20"/>
              </w:rPr>
              <w:t xml:space="preserve"> </w:t>
            </w:r>
            <w:r w:rsidRPr="00382069">
              <w:rPr>
                <w:color w:val="000000" w:themeColor="text1"/>
                <w:szCs w:val="20"/>
              </w:rPr>
              <w:t>fortified wine, etc. For unrecorded APC, the first priority in the decision tree is given to nationally</w:t>
            </w:r>
            <w:r>
              <w:rPr>
                <w:color w:val="000000" w:themeColor="text1"/>
                <w:szCs w:val="20"/>
              </w:rPr>
              <w:t xml:space="preserve"> </w:t>
            </w:r>
            <w:r w:rsidRPr="00382069">
              <w:rPr>
                <w:color w:val="000000" w:themeColor="text1"/>
                <w:szCs w:val="20"/>
              </w:rPr>
              <w:t>representative empirical data; these are often general population surveys in countries where alcohol is</w:t>
            </w:r>
            <w:r>
              <w:rPr>
                <w:color w:val="000000" w:themeColor="text1"/>
                <w:szCs w:val="20"/>
              </w:rPr>
              <w:t xml:space="preserve"> </w:t>
            </w:r>
            <w:r w:rsidRPr="00382069">
              <w:rPr>
                <w:color w:val="000000" w:themeColor="text1"/>
                <w:szCs w:val="20"/>
              </w:rPr>
              <w:t xml:space="preserve">legal. </w:t>
            </w:r>
            <w:r w:rsidRPr="000D2C87">
              <w:rPr>
                <w:color w:val="000000" w:themeColor="text1"/>
                <w:szCs w:val="20"/>
              </w:rPr>
              <w:t>Second are specific other empirical investigations, and third is expert opinion supported by periodic survey of experts at country level (50 countries with significant estimates of unrecorded alcohol consumption) using modified Delphi-technique.</w:t>
            </w:r>
          </w:p>
          <w:p w14:paraId="64B325A0" w14:textId="77777777" w:rsidR="00221C59" w:rsidRDefault="00221C59" w:rsidP="00221C59">
            <w:pPr>
              <w:jc w:val="both"/>
              <w:rPr>
                <w:color w:val="000000" w:themeColor="text1"/>
                <w:szCs w:val="20"/>
              </w:rPr>
            </w:pPr>
          </w:p>
          <w:p w14:paraId="47B74AA9" w14:textId="77777777" w:rsidR="00221C59" w:rsidRDefault="00221C59" w:rsidP="00221C59">
            <w:pPr>
              <w:jc w:val="both"/>
              <w:rPr>
                <w:color w:val="000000" w:themeColor="text1"/>
                <w:szCs w:val="20"/>
              </w:rPr>
            </w:pPr>
            <w:r w:rsidRPr="000D2C87">
              <w:rPr>
                <w:color w:val="000000" w:themeColor="text1"/>
                <w:szCs w:val="20"/>
              </w:rPr>
              <w:t xml:space="preserve">For recorded APC, </w:t>
            </w:r>
            <w:r>
              <w:rPr>
                <w:color w:val="000000" w:themeColor="text1"/>
                <w:szCs w:val="20"/>
              </w:rPr>
              <w:t>I</w:t>
            </w:r>
            <w:r w:rsidRPr="00382069">
              <w:rPr>
                <w:color w:val="000000" w:themeColor="text1"/>
                <w:szCs w:val="20"/>
              </w:rPr>
              <w:t>n order to make the conversion into litres of pure alcohol, the alcohol content (%</w:t>
            </w:r>
            <w:r>
              <w:rPr>
                <w:color w:val="000000" w:themeColor="text1"/>
                <w:szCs w:val="20"/>
              </w:rPr>
              <w:t xml:space="preserve"> </w:t>
            </w:r>
            <w:r w:rsidRPr="00382069">
              <w:rPr>
                <w:color w:val="000000" w:themeColor="text1"/>
                <w:szCs w:val="20"/>
              </w:rPr>
              <w:t>alcohol by volume) is considered to be as follows: Beer (barley beer 5%), Wine (grape wine 12%; must of</w:t>
            </w:r>
            <w:r>
              <w:rPr>
                <w:color w:val="000000" w:themeColor="text1"/>
                <w:szCs w:val="20"/>
              </w:rPr>
              <w:t xml:space="preserve"> </w:t>
            </w:r>
            <w:r w:rsidRPr="00382069">
              <w:rPr>
                <w:color w:val="000000" w:themeColor="text1"/>
                <w:szCs w:val="20"/>
              </w:rPr>
              <w:t>grape 9%, vermouth 16%), Spirits (distilled spirits 40%; spirit-like 30%), and Other (sorghum, millet, maize</w:t>
            </w:r>
            <w:r>
              <w:rPr>
                <w:color w:val="000000" w:themeColor="text1"/>
                <w:szCs w:val="20"/>
              </w:rPr>
              <w:t xml:space="preserve"> </w:t>
            </w:r>
            <w:r w:rsidRPr="00382069">
              <w:rPr>
                <w:color w:val="000000" w:themeColor="text1"/>
                <w:szCs w:val="20"/>
              </w:rPr>
              <w:t>beers 5%; cider 5%; fortified wine 17% and 18%; fermented wheat and fermented rice 9%; other</w:t>
            </w:r>
            <w:r>
              <w:rPr>
                <w:color w:val="000000" w:themeColor="text1"/>
                <w:szCs w:val="20"/>
              </w:rPr>
              <w:t xml:space="preserve"> </w:t>
            </w:r>
            <w:r w:rsidRPr="00382069">
              <w:rPr>
                <w:color w:val="000000" w:themeColor="text1"/>
                <w:szCs w:val="20"/>
              </w:rPr>
              <w:t>fermented beverages 9%). Survey questions on consumption of unrecorded alcohol are converted into</w:t>
            </w:r>
            <w:r>
              <w:rPr>
                <w:color w:val="000000" w:themeColor="text1"/>
                <w:szCs w:val="20"/>
              </w:rPr>
              <w:t xml:space="preserve"> </w:t>
            </w:r>
            <w:r w:rsidRPr="00382069">
              <w:rPr>
                <w:color w:val="000000" w:themeColor="text1"/>
                <w:szCs w:val="20"/>
              </w:rPr>
              <w:t>estimates per year of unrecorded APC.</w:t>
            </w:r>
          </w:p>
          <w:p w14:paraId="5DB7FF92" w14:textId="77777777" w:rsidR="00221C59" w:rsidRDefault="00221C59" w:rsidP="00221C59">
            <w:pPr>
              <w:jc w:val="both"/>
              <w:rPr>
                <w:color w:val="000000" w:themeColor="text1"/>
                <w:szCs w:val="20"/>
              </w:rPr>
            </w:pPr>
          </w:p>
          <w:p w14:paraId="76D47D7F" w14:textId="77777777" w:rsidR="00221C59" w:rsidRPr="00382069" w:rsidRDefault="00221C59" w:rsidP="00221C59">
            <w:pPr>
              <w:jc w:val="both"/>
              <w:rPr>
                <w:b/>
                <w:bCs/>
                <w:color w:val="000000" w:themeColor="text1"/>
                <w:szCs w:val="20"/>
              </w:rPr>
            </w:pPr>
            <w:r w:rsidRPr="00382069">
              <w:rPr>
                <w:b/>
                <w:bCs/>
                <w:color w:val="000000" w:themeColor="text1"/>
                <w:szCs w:val="20"/>
              </w:rPr>
              <w:t>Computation Method:</w:t>
            </w:r>
          </w:p>
          <w:p w14:paraId="50DF5BD5" w14:textId="77777777" w:rsidR="00221C59" w:rsidRPr="00382069" w:rsidRDefault="00221C59" w:rsidP="00221C59">
            <w:pPr>
              <w:jc w:val="both"/>
              <w:rPr>
                <w:color w:val="000000" w:themeColor="text1"/>
                <w:szCs w:val="20"/>
              </w:rPr>
            </w:pPr>
            <w:r w:rsidRPr="00382069">
              <w:rPr>
                <w:i/>
                <w:iCs/>
                <w:color w:val="000000" w:themeColor="text1"/>
                <w:szCs w:val="20"/>
              </w:rPr>
              <w:t>Numerator:</w:t>
            </w:r>
            <w:r w:rsidRPr="00382069">
              <w:rPr>
                <w:color w:val="000000" w:themeColor="text1"/>
                <w:szCs w:val="20"/>
              </w:rPr>
              <w:t xml:space="preserve"> The sum of the amount of recorded alcohol consumed per capita (15+ years), average during</w:t>
            </w:r>
            <w:r>
              <w:rPr>
                <w:color w:val="000000" w:themeColor="text1"/>
                <w:szCs w:val="20"/>
              </w:rPr>
              <w:t xml:space="preserve"> </w:t>
            </w:r>
            <w:r w:rsidRPr="00382069">
              <w:rPr>
                <w:color w:val="000000" w:themeColor="text1"/>
                <w:szCs w:val="20"/>
              </w:rPr>
              <w:t>three calendar years, in litres of pure alcohol, and the amount of unrecorded alcohol per capita</w:t>
            </w:r>
            <w:r>
              <w:rPr>
                <w:color w:val="000000" w:themeColor="text1"/>
                <w:szCs w:val="20"/>
              </w:rPr>
              <w:t xml:space="preserve"> </w:t>
            </w:r>
            <w:r w:rsidRPr="00382069">
              <w:rPr>
                <w:color w:val="000000" w:themeColor="text1"/>
                <w:szCs w:val="20"/>
              </w:rPr>
              <w:t>consumption (15+ years), during a calendar year, in litres of pure alcohol, adjusted for tourist</w:t>
            </w:r>
            <w:r>
              <w:rPr>
                <w:color w:val="000000" w:themeColor="text1"/>
                <w:szCs w:val="20"/>
              </w:rPr>
              <w:t xml:space="preserve"> </w:t>
            </w:r>
            <w:r w:rsidRPr="00382069">
              <w:rPr>
                <w:color w:val="000000" w:themeColor="text1"/>
                <w:szCs w:val="20"/>
              </w:rPr>
              <w:t>consumption.</w:t>
            </w:r>
          </w:p>
          <w:p w14:paraId="23D2ED65" w14:textId="77777777" w:rsidR="00221C59" w:rsidRPr="00382069" w:rsidRDefault="00221C59" w:rsidP="00221C59">
            <w:pPr>
              <w:jc w:val="both"/>
              <w:rPr>
                <w:color w:val="000000" w:themeColor="text1"/>
                <w:szCs w:val="20"/>
              </w:rPr>
            </w:pPr>
            <w:r w:rsidRPr="00382069">
              <w:rPr>
                <w:i/>
                <w:iCs/>
                <w:color w:val="000000" w:themeColor="text1"/>
                <w:szCs w:val="20"/>
              </w:rPr>
              <w:t>Denominator:</w:t>
            </w:r>
            <w:r w:rsidRPr="00382069">
              <w:rPr>
                <w:color w:val="000000" w:themeColor="text1"/>
                <w:szCs w:val="20"/>
              </w:rPr>
              <w:t xml:space="preserve"> Midyear resident population (15+ years) for the same calendar year, UN World Population</w:t>
            </w:r>
            <w:r>
              <w:rPr>
                <w:color w:val="000000" w:themeColor="text1"/>
                <w:szCs w:val="20"/>
              </w:rPr>
              <w:t xml:space="preserve"> </w:t>
            </w:r>
            <w:r w:rsidRPr="00382069">
              <w:rPr>
                <w:color w:val="000000" w:themeColor="text1"/>
                <w:szCs w:val="20"/>
              </w:rPr>
              <w:t>Prospects, medium variant.</w:t>
            </w:r>
          </w:p>
        </w:tc>
        <w:tc>
          <w:tcPr>
            <w:tcW w:w="0" w:type="auto"/>
            <w:shd w:val="clear" w:color="auto" w:fill="auto"/>
          </w:tcPr>
          <w:p w14:paraId="6DEA0E8F" w14:textId="77777777" w:rsidR="00221C59" w:rsidRDefault="00221C59" w:rsidP="00221C59">
            <w:pPr>
              <w:jc w:val="center"/>
              <w:rPr>
                <w:bCs/>
                <w:szCs w:val="20"/>
              </w:rPr>
            </w:pPr>
            <w:r>
              <w:rPr>
                <w:bCs/>
                <w:szCs w:val="20"/>
              </w:rPr>
              <w:lastRenderedPageBreak/>
              <w:t>Administrative Record</w:t>
            </w:r>
          </w:p>
        </w:tc>
        <w:tc>
          <w:tcPr>
            <w:tcW w:w="0" w:type="auto"/>
            <w:shd w:val="clear" w:color="auto" w:fill="auto"/>
          </w:tcPr>
          <w:p w14:paraId="473D801B" w14:textId="77777777" w:rsidR="00221C59" w:rsidRPr="00592663" w:rsidRDefault="00221C59" w:rsidP="00221C59">
            <w:pPr>
              <w:jc w:val="center"/>
              <w:rPr>
                <w:bCs/>
                <w:szCs w:val="20"/>
              </w:rPr>
            </w:pPr>
            <w:r w:rsidRPr="00592663">
              <w:rPr>
                <w:bCs/>
                <w:szCs w:val="20"/>
              </w:rPr>
              <w:t>Ministries of Health; National statistical bureau/agencies (data on alcohol production and trade/sales);</w:t>
            </w:r>
          </w:p>
          <w:p w14:paraId="1D6864E7" w14:textId="77777777" w:rsidR="00221C59" w:rsidRPr="00592663" w:rsidRDefault="00221C59" w:rsidP="00221C59">
            <w:pPr>
              <w:jc w:val="center"/>
              <w:rPr>
                <w:bCs/>
                <w:szCs w:val="20"/>
              </w:rPr>
            </w:pPr>
            <w:r w:rsidRPr="00592663">
              <w:rPr>
                <w:bCs/>
                <w:szCs w:val="20"/>
              </w:rPr>
              <w:t>National monitoring centres on alcohol and drug use; National academic and monitoring centres</w:t>
            </w:r>
          </w:p>
          <w:p w14:paraId="48F3A445" w14:textId="77777777" w:rsidR="00221C59" w:rsidRDefault="00221C59" w:rsidP="00221C59">
            <w:pPr>
              <w:jc w:val="both"/>
              <w:rPr>
                <w:bCs/>
                <w:szCs w:val="20"/>
              </w:rPr>
            </w:pPr>
            <w:proofErr w:type="gramStart"/>
            <w:r w:rsidRPr="00592663">
              <w:rPr>
                <w:bCs/>
                <w:szCs w:val="20"/>
              </w:rPr>
              <w:t>concerned</w:t>
            </w:r>
            <w:proofErr w:type="gramEnd"/>
            <w:r w:rsidRPr="00592663">
              <w:rPr>
                <w:bCs/>
                <w:szCs w:val="20"/>
              </w:rPr>
              <w:t xml:space="preserve"> with population-based surveys of risk factors to health.</w:t>
            </w:r>
          </w:p>
        </w:tc>
        <w:tc>
          <w:tcPr>
            <w:tcW w:w="0" w:type="auto"/>
            <w:shd w:val="clear" w:color="auto" w:fill="auto"/>
          </w:tcPr>
          <w:p w14:paraId="45F1C74E" w14:textId="77777777" w:rsidR="00221C59" w:rsidRDefault="00221C59" w:rsidP="00221C59">
            <w:pPr>
              <w:jc w:val="center"/>
              <w:rPr>
                <w:color w:val="000000" w:themeColor="text1"/>
                <w:sz w:val="18"/>
                <w:szCs w:val="18"/>
              </w:rPr>
            </w:pPr>
            <w:r>
              <w:rPr>
                <w:color w:val="000000" w:themeColor="text1"/>
                <w:sz w:val="18"/>
                <w:szCs w:val="18"/>
              </w:rPr>
              <w:t>WHO</w:t>
            </w:r>
          </w:p>
        </w:tc>
        <w:tc>
          <w:tcPr>
            <w:tcW w:w="0" w:type="auto"/>
            <w:shd w:val="clear" w:color="auto" w:fill="auto"/>
          </w:tcPr>
          <w:p w14:paraId="6777C5D0" w14:textId="77777777" w:rsidR="00221C59" w:rsidRPr="00382069" w:rsidRDefault="00221C59" w:rsidP="00221C59">
            <w:pPr>
              <w:jc w:val="both"/>
              <w:rPr>
                <w:bCs/>
                <w:szCs w:val="20"/>
              </w:rPr>
            </w:pPr>
            <w:r w:rsidRPr="00382069">
              <w:rPr>
                <w:bCs/>
                <w:szCs w:val="20"/>
              </w:rPr>
              <w:t>a) DNC, SSD</w:t>
            </w:r>
            <w:r>
              <w:rPr>
                <w:bCs/>
                <w:szCs w:val="20"/>
              </w:rPr>
              <w:t xml:space="preserve">, </w:t>
            </w:r>
            <w:r w:rsidRPr="00BC6F10">
              <w:t>MoHA</w:t>
            </w:r>
          </w:p>
          <w:p w14:paraId="78ECAB87" w14:textId="77777777" w:rsidR="00221C59" w:rsidRPr="00382069" w:rsidRDefault="00221C59" w:rsidP="00221C59">
            <w:pPr>
              <w:rPr>
                <w:color w:val="000000" w:themeColor="text1"/>
                <w:sz w:val="18"/>
                <w:szCs w:val="18"/>
              </w:rPr>
            </w:pPr>
            <w:r w:rsidRPr="00382069">
              <w:rPr>
                <w:bCs/>
                <w:szCs w:val="20"/>
              </w:rPr>
              <w:t>b) WHO</w:t>
            </w:r>
          </w:p>
        </w:tc>
        <w:tc>
          <w:tcPr>
            <w:tcW w:w="0" w:type="auto"/>
            <w:shd w:val="clear" w:color="auto" w:fill="auto"/>
          </w:tcPr>
          <w:p w14:paraId="2A7D5A9F" w14:textId="27B3F884" w:rsidR="00221C59" w:rsidRDefault="00221C59" w:rsidP="00221C59">
            <w:pPr>
              <w:pStyle w:val="ListParagraph"/>
              <w:numPr>
                <w:ilvl w:val="0"/>
                <w:numId w:val="2"/>
              </w:numPr>
              <w:jc w:val="both"/>
              <w:rPr>
                <w:rFonts w:ascii="Tw Cen MT Condensed" w:hAnsi="Tw Cen MT Condensed"/>
                <w:bCs/>
                <w:sz w:val="20"/>
                <w:szCs w:val="20"/>
              </w:rPr>
            </w:pPr>
            <w:r w:rsidRPr="00382069">
              <w:rPr>
                <w:rFonts w:ascii="Tw Cen MT Condensed" w:hAnsi="Tw Cen MT Condensed"/>
                <w:bCs/>
                <w:sz w:val="20"/>
                <w:szCs w:val="20"/>
              </w:rPr>
              <w:t>Sex</w:t>
            </w:r>
            <w:r w:rsidR="005C5D45">
              <w:rPr>
                <w:rFonts w:ascii="Tw Cen MT Condensed" w:hAnsi="Tw Cen MT Condensed"/>
                <w:bCs/>
                <w:sz w:val="20"/>
                <w:szCs w:val="20"/>
              </w:rPr>
              <w:t>: male/female</w:t>
            </w:r>
          </w:p>
          <w:p w14:paraId="260A53EA" w14:textId="0E02B3A7" w:rsidR="00221C59" w:rsidRPr="00382069" w:rsidRDefault="00221C59" w:rsidP="00221C59">
            <w:pPr>
              <w:pStyle w:val="ListParagraph"/>
              <w:numPr>
                <w:ilvl w:val="0"/>
                <w:numId w:val="2"/>
              </w:numPr>
              <w:jc w:val="both"/>
              <w:rPr>
                <w:rFonts w:ascii="Tw Cen MT Condensed" w:hAnsi="Tw Cen MT Condensed"/>
                <w:bCs/>
                <w:sz w:val="20"/>
                <w:szCs w:val="20"/>
              </w:rPr>
            </w:pPr>
            <w:r>
              <w:rPr>
                <w:rFonts w:ascii="Tw Cen MT Condensed" w:hAnsi="Tw Cen MT Condensed"/>
                <w:bCs/>
                <w:sz w:val="20"/>
                <w:szCs w:val="20"/>
              </w:rPr>
              <w:t>A</w:t>
            </w:r>
            <w:r w:rsidRPr="00382069">
              <w:rPr>
                <w:rFonts w:ascii="Tw Cen MT Condensed" w:hAnsi="Tw Cen MT Condensed"/>
                <w:bCs/>
                <w:sz w:val="20"/>
                <w:szCs w:val="20"/>
              </w:rPr>
              <w:t>ge</w:t>
            </w:r>
            <w:r w:rsidR="00B22244">
              <w:rPr>
                <w:rFonts w:ascii="Tw Cen MT Condensed" w:hAnsi="Tw Cen MT Condensed"/>
                <w:bCs/>
                <w:sz w:val="20"/>
                <w:szCs w:val="20"/>
              </w:rPr>
              <w:t xml:space="preserve"> </w:t>
            </w:r>
            <w:r w:rsidR="00B22244" w:rsidRPr="006F2A0A">
              <w:rPr>
                <w:rFonts w:ascii="Tw Cen MT Condensed" w:hAnsi="Tw Cen MT Condensed"/>
              </w:rPr>
              <w:t xml:space="preserve">15 Years Old </w:t>
            </w:r>
            <w:r w:rsidR="00B22244">
              <w:rPr>
                <w:rFonts w:ascii="Tw Cen MT Condensed" w:hAnsi="Tw Cen MT Condensed"/>
              </w:rPr>
              <w:t>a</w:t>
            </w:r>
            <w:r w:rsidR="00B22244" w:rsidRPr="006F2A0A">
              <w:rPr>
                <w:rFonts w:ascii="Tw Cen MT Condensed" w:hAnsi="Tw Cen MT Condensed"/>
              </w:rPr>
              <w:t>nd over</w:t>
            </w:r>
          </w:p>
        </w:tc>
        <w:tc>
          <w:tcPr>
            <w:tcW w:w="0" w:type="auto"/>
            <w:shd w:val="clear" w:color="auto" w:fill="auto"/>
          </w:tcPr>
          <w:p w14:paraId="7541FCCA" w14:textId="77777777" w:rsidR="00221C59" w:rsidRDefault="00221C59" w:rsidP="00221C59">
            <w:pPr>
              <w:jc w:val="center"/>
              <w:rPr>
                <w:bCs/>
                <w:szCs w:val="20"/>
              </w:rPr>
            </w:pPr>
            <w:r>
              <w:rPr>
                <w:bCs/>
                <w:szCs w:val="20"/>
              </w:rPr>
              <w:t>Annual</w:t>
            </w:r>
          </w:p>
        </w:tc>
        <w:tc>
          <w:tcPr>
            <w:tcW w:w="0" w:type="auto"/>
            <w:shd w:val="clear" w:color="auto" w:fill="auto"/>
          </w:tcPr>
          <w:p w14:paraId="7F8BC7D7" w14:textId="77777777" w:rsidR="00221C59" w:rsidRDefault="00221C59" w:rsidP="00221C59">
            <w:pPr>
              <w:pStyle w:val="NoSpacing"/>
            </w:pPr>
            <w:r>
              <w:t>1</w:t>
            </w:r>
            <w:r w:rsidRPr="00013ACB">
              <w:rPr>
                <w:vertAlign w:val="superscript"/>
              </w:rPr>
              <w:t>st</w:t>
            </w:r>
            <w:r>
              <w:t xml:space="preserve"> Round: </w:t>
            </w:r>
          </w:p>
          <w:p w14:paraId="307E8A0D" w14:textId="77777777" w:rsidR="00221C59" w:rsidRDefault="00221C59" w:rsidP="00221C59">
            <w:pPr>
              <w:pStyle w:val="NoSpacing"/>
            </w:pPr>
            <w:r>
              <w:t>2016</w:t>
            </w:r>
          </w:p>
          <w:p w14:paraId="0182F3D0" w14:textId="77777777" w:rsidR="00221C59" w:rsidRDefault="00221C59" w:rsidP="00221C59">
            <w:pPr>
              <w:pStyle w:val="NoSpacing"/>
            </w:pPr>
            <w:r>
              <w:t>2</w:t>
            </w:r>
            <w:r w:rsidRPr="00013ACB">
              <w:rPr>
                <w:vertAlign w:val="superscript"/>
              </w:rPr>
              <w:t>nd</w:t>
            </w:r>
            <w:r>
              <w:t xml:space="preserve"> Round: </w:t>
            </w:r>
          </w:p>
          <w:p w14:paraId="17D012EF" w14:textId="77777777" w:rsidR="00221C59" w:rsidRDefault="00221C59" w:rsidP="00221C59">
            <w:pPr>
              <w:pStyle w:val="NoSpacing"/>
            </w:pPr>
            <w:r w:rsidRPr="00BC6F10">
              <w:rPr>
                <w:szCs w:val="22"/>
              </w:rPr>
              <w:t>July 2019</w:t>
            </w:r>
          </w:p>
          <w:p w14:paraId="24732049" w14:textId="77777777" w:rsidR="00221C59" w:rsidRDefault="00221C59" w:rsidP="00221C59">
            <w:pPr>
              <w:pStyle w:val="NoSpacing"/>
            </w:pPr>
            <w:r>
              <w:t>3</w:t>
            </w:r>
            <w:r w:rsidRPr="00013ACB">
              <w:rPr>
                <w:vertAlign w:val="superscript"/>
              </w:rPr>
              <w:t>rd</w:t>
            </w:r>
            <w:r>
              <w:t xml:space="preserve"> Round: </w:t>
            </w:r>
          </w:p>
          <w:p w14:paraId="6FAA5E1B" w14:textId="77777777" w:rsidR="00221C59" w:rsidRDefault="00221C59" w:rsidP="00221C59">
            <w:pPr>
              <w:pStyle w:val="NoSpacing"/>
            </w:pPr>
            <w:r>
              <w:rPr>
                <w:szCs w:val="22"/>
              </w:rPr>
              <w:t>July 2020</w:t>
            </w:r>
          </w:p>
          <w:p w14:paraId="75E9223C" w14:textId="77777777" w:rsidR="00221C59" w:rsidRDefault="00221C59" w:rsidP="00221C59">
            <w:pPr>
              <w:pStyle w:val="NoSpacing"/>
            </w:pPr>
            <w:r>
              <w:t>4</w:t>
            </w:r>
            <w:r w:rsidRPr="00013ACB">
              <w:rPr>
                <w:vertAlign w:val="superscript"/>
              </w:rPr>
              <w:t>th</w:t>
            </w:r>
            <w:r>
              <w:t xml:space="preserve"> Round: </w:t>
            </w:r>
          </w:p>
          <w:p w14:paraId="0BD35A1A" w14:textId="77777777" w:rsidR="00221C59" w:rsidRDefault="00221C59" w:rsidP="00221C59">
            <w:pPr>
              <w:pStyle w:val="NoSpacing"/>
            </w:pPr>
            <w:r>
              <w:rPr>
                <w:szCs w:val="22"/>
              </w:rPr>
              <w:t>July 2021</w:t>
            </w:r>
          </w:p>
          <w:p w14:paraId="46344620" w14:textId="77777777" w:rsidR="00221C59" w:rsidRDefault="00221C59" w:rsidP="00221C59">
            <w:pPr>
              <w:pStyle w:val="NoSpacing"/>
            </w:pPr>
            <w:r>
              <w:t>5</w:t>
            </w:r>
            <w:r w:rsidRPr="00013ACB">
              <w:rPr>
                <w:vertAlign w:val="superscript"/>
              </w:rPr>
              <w:t>th</w:t>
            </w:r>
            <w:r>
              <w:t xml:space="preserve"> Round: </w:t>
            </w:r>
          </w:p>
          <w:p w14:paraId="5E7319AE" w14:textId="0D0FE5AF" w:rsidR="00221C59" w:rsidRPr="002175FB" w:rsidRDefault="00221C59" w:rsidP="00221C59">
            <w:pPr>
              <w:jc w:val="center"/>
              <w:rPr>
                <w:bCs/>
                <w:szCs w:val="20"/>
              </w:rPr>
            </w:pPr>
            <w:r>
              <w:rPr>
                <w:szCs w:val="22"/>
              </w:rPr>
              <w:t>July 2022</w:t>
            </w:r>
          </w:p>
        </w:tc>
        <w:tc>
          <w:tcPr>
            <w:tcW w:w="682" w:type="dxa"/>
            <w:shd w:val="clear" w:color="auto" w:fill="auto"/>
          </w:tcPr>
          <w:p w14:paraId="00AD232C" w14:textId="77777777" w:rsidR="00221C59" w:rsidRDefault="00221C59" w:rsidP="00221C59">
            <w:pPr>
              <w:pStyle w:val="ListParagraph"/>
              <w:ind w:left="108"/>
              <w:jc w:val="both"/>
              <w:rPr>
                <w:rFonts w:ascii="Tw Cen MT Condensed" w:hAnsi="Tw Cen MT Condensed"/>
                <w:bCs/>
                <w:sz w:val="20"/>
                <w:szCs w:val="20"/>
              </w:rPr>
            </w:pPr>
            <w:r>
              <w:rPr>
                <w:rFonts w:ascii="Tw Cen MT Condensed" w:hAnsi="Tw Cen MT Condensed"/>
                <w:bCs/>
                <w:sz w:val="20"/>
                <w:szCs w:val="20"/>
              </w:rPr>
              <w:t>Group 3</w:t>
            </w:r>
          </w:p>
        </w:tc>
        <w:tc>
          <w:tcPr>
            <w:tcW w:w="983" w:type="dxa"/>
            <w:shd w:val="clear" w:color="auto" w:fill="auto"/>
          </w:tcPr>
          <w:p w14:paraId="0D2B053C" w14:textId="77777777" w:rsidR="00221C59" w:rsidRDefault="00221C59" w:rsidP="00221C59">
            <w:pPr>
              <w:pStyle w:val="NoSpacing"/>
            </w:pPr>
            <w:r w:rsidRPr="003654A8">
              <w:t>UNSC 51 refinement</w:t>
            </w:r>
          </w:p>
        </w:tc>
      </w:tr>
      <w:tr w:rsidR="00D46636" w14:paraId="5CA4F9F8" w14:textId="77777777" w:rsidTr="0085651F">
        <w:tc>
          <w:tcPr>
            <w:tcW w:w="0" w:type="auto"/>
            <w:gridSpan w:val="14"/>
            <w:shd w:val="clear" w:color="auto" w:fill="auto"/>
          </w:tcPr>
          <w:p w14:paraId="3CF34B85"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3.6 By 2020, halve the number of global deaths and injuries from road traffic accidents</w:t>
            </w:r>
          </w:p>
        </w:tc>
      </w:tr>
      <w:tr w:rsidR="00BF3271" w14:paraId="7F01C545" w14:textId="77777777" w:rsidTr="0085651F">
        <w:tc>
          <w:tcPr>
            <w:tcW w:w="0" w:type="auto"/>
            <w:gridSpan w:val="2"/>
            <w:shd w:val="clear" w:color="auto" w:fill="auto"/>
          </w:tcPr>
          <w:p w14:paraId="40167D6E" w14:textId="77777777" w:rsidR="00221C59" w:rsidRPr="00382069" w:rsidRDefault="00221C59" w:rsidP="00221C59">
            <w:pPr>
              <w:jc w:val="both"/>
              <w:rPr>
                <w:szCs w:val="20"/>
              </w:rPr>
            </w:pPr>
            <w:r w:rsidRPr="00592663">
              <w:rPr>
                <w:szCs w:val="20"/>
              </w:rPr>
              <w:t>3.6.1 Death rate due to road traffic injuries</w:t>
            </w:r>
          </w:p>
        </w:tc>
        <w:tc>
          <w:tcPr>
            <w:tcW w:w="0" w:type="auto"/>
            <w:shd w:val="clear" w:color="auto" w:fill="auto"/>
          </w:tcPr>
          <w:p w14:paraId="39D6B2BD" w14:textId="77777777" w:rsidR="00221C59" w:rsidRDefault="00221C59" w:rsidP="00221C59">
            <w:pPr>
              <w:jc w:val="center"/>
              <w:rPr>
                <w:szCs w:val="20"/>
              </w:rPr>
            </w:pPr>
            <w:r>
              <w:rPr>
                <w:szCs w:val="20"/>
              </w:rPr>
              <w:t>WHO</w:t>
            </w:r>
          </w:p>
          <w:p w14:paraId="7C93C4F6" w14:textId="77777777" w:rsidR="00221C59" w:rsidRDefault="00221C59" w:rsidP="00221C59">
            <w:pPr>
              <w:jc w:val="center"/>
              <w:rPr>
                <w:szCs w:val="20"/>
              </w:rPr>
            </w:pPr>
          </w:p>
          <w:p w14:paraId="4BF81C6F" w14:textId="77777777" w:rsidR="00221C59" w:rsidRDefault="00221C59" w:rsidP="00221C59">
            <w:pPr>
              <w:jc w:val="center"/>
              <w:rPr>
                <w:szCs w:val="20"/>
              </w:rPr>
            </w:pPr>
            <w:r>
              <w:rPr>
                <w:szCs w:val="20"/>
              </w:rPr>
              <w:t>Partner Agency:</w:t>
            </w:r>
          </w:p>
          <w:p w14:paraId="0867ACF6" w14:textId="77777777" w:rsidR="00221C59" w:rsidRDefault="00221C59" w:rsidP="00221C59">
            <w:pPr>
              <w:jc w:val="center"/>
              <w:rPr>
                <w:szCs w:val="20"/>
              </w:rPr>
            </w:pPr>
            <w:r>
              <w:rPr>
                <w:szCs w:val="20"/>
              </w:rPr>
              <w:lastRenderedPageBreak/>
              <w:t>UNCE</w:t>
            </w:r>
          </w:p>
        </w:tc>
        <w:tc>
          <w:tcPr>
            <w:tcW w:w="0" w:type="auto"/>
            <w:shd w:val="clear" w:color="auto" w:fill="auto"/>
          </w:tcPr>
          <w:p w14:paraId="0C631CA8" w14:textId="77777777" w:rsidR="00221C59" w:rsidRDefault="00221C59" w:rsidP="00221C59">
            <w:pPr>
              <w:jc w:val="center"/>
              <w:rPr>
                <w:szCs w:val="20"/>
              </w:rPr>
            </w:pPr>
            <w:r>
              <w:rPr>
                <w:szCs w:val="20"/>
              </w:rPr>
              <w:lastRenderedPageBreak/>
              <w:t>Tier I</w:t>
            </w:r>
          </w:p>
        </w:tc>
        <w:tc>
          <w:tcPr>
            <w:tcW w:w="0" w:type="auto"/>
            <w:shd w:val="clear" w:color="auto" w:fill="auto"/>
          </w:tcPr>
          <w:p w14:paraId="514F10DA" w14:textId="77777777" w:rsidR="00221C59" w:rsidRPr="00592663" w:rsidRDefault="00221C59" w:rsidP="00221C59">
            <w:pPr>
              <w:jc w:val="both"/>
              <w:rPr>
                <w:b/>
                <w:bCs/>
                <w:color w:val="000000" w:themeColor="text1"/>
                <w:szCs w:val="20"/>
              </w:rPr>
            </w:pPr>
            <w:r w:rsidRPr="00592663">
              <w:rPr>
                <w:b/>
                <w:bCs/>
                <w:color w:val="000000" w:themeColor="text1"/>
                <w:szCs w:val="20"/>
              </w:rPr>
              <w:t>Definition:</w:t>
            </w:r>
          </w:p>
          <w:p w14:paraId="61466165" w14:textId="77777777" w:rsidR="00221C59" w:rsidRDefault="00221C59" w:rsidP="00221C59">
            <w:pPr>
              <w:jc w:val="both"/>
              <w:rPr>
                <w:color w:val="000000" w:themeColor="text1"/>
                <w:szCs w:val="20"/>
              </w:rPr>
            </w:pPr>
            <w:r w:rsidRPr="00592663">
              <w:rPr>
                <w:color w:val="000000" w:themeColor="text1"/>
                <w:szCs w:val="20"/>
              </w:rPr>
              <w:t>Death rate due to road traffic injuries as defined as the number of road traffic fatal injury deaths per</w:t>
            </w:r>
            <w:r>
              <w:rPr>
                <w:color w:val="000000" w:themeColor="text1"/>
                <w:szCs w:val="20"/>
              </w:rPr>
              <w:t xml:space="preserve"> </w:t>
            </w:r>
            <w:r w:rsidRPr="00592663">
              <w:rPr>
                <w:color w:val="000000" w:themeColor="text1"/>
                <w:szCs w:val="20"/>
              </w:rPr>
              <w:t xml:space="preserve">100,000 </w:t>
            </w:r>
            <w:proofErr w:type="gramStart"/>
            <w:r w:rsidRPr="00592663">
              <w:rPr>
                <w:color w:val="000000" w:themeColor="text1"/>
                <w:szCs w:val="20"/>
              </w:rPr>
              <w:t>population</w:t>
            </w:r>
            <w:proofErr w:type="gramEnd"/>
            <w:r w:rsidRPr="00592663">
              <w:rPr>
                <w:color w:val="000000" w:themeColor="text1"/>
                <w:szCs w:val="20"/>
              </w:rPr>
              <w:t>.</w:t>
            </w:r>
          </w:p>
          <w:p w14:paraId="6413569A" w14:textId="77777777" w:rsidR="00221C59" w:rsidRPr="00592663" w:rsidRDefault="00221C59" w:rsidP="00221C59">
            <w:pPr>
              <w:jc w:val="both"/>
              <w:rPr>
                <w:color w:val="000000" w:themeColor="text1"/>
                <w:szCs w:val="20"/>
              </w:rPr>
            </w:pPr>
          </w:p>
          <w:p w14:paraId="54EE35E6" w14:textId="77777777" w:rsidR="00221C59" w:rsidRPr="00592663" w:rsidRDefault="00221C59" w:rsidP="00221C59">
            <w:pPr>
              <w:jc w:val="both"/>
              <w:rPr>
                <w:b/>
                <w:bCs/>
                <w:color w:val="000000" w:themeColor="text1"/>
                <w:szCs w:val="20"/>
              </w:rPr>
            </w:pPr>
            <w:r w:rsidRPr="00592663">
              <w:rPr>
                <w:b/>
                <w:bCs/>
                <w:color w:val="000000" w:themeColor="text1"/>
                <w:szCs w:val="20"/>
              </w:rPr>
              <w:t>Concepts:</w:t>
            </w:r>
          </w:p>
          <w:p w14:paraId="51969E3B" w14:textId="77777777" w:rsidR="00221C59" w:rsidRPr="00592663" w:rsidRDefault="00221C59" w:rsidP="00221C59">
            <w:pPr>
              <w:jc w:val="both"/>
              <w:rPr>
                <w:color w:val="000000" w:themeColor="text1"/>
                <w:szCs w:val="20"/>
              </w:rPr>
            </w:pPr>
            <w:r w:rsidRPr="00592663">
              <w:rPr>
                <w:i/>
                <w:iCs/>
                <w:color w:val="000000" w:themeColor="text1"/>
                <w:szCs w:val="20"/>
              </w:rPr>
              <w:t>Numerator:</w:t>
            </w:r>
            <w:r w:rsidRPr="00592663">
              <w:rPr>
                <w:color w:val="000000" w:themeColor="text1"/>
                <w:szCs w:val="20"/>
              </w:rPr>
              <w:t xml:space="preserve"> Number of deaths due to road traffic crashes</w:t>
            </w:r>
            <w:r>
              <w:rPr>
                <w:color w:val="000000" w:themeColor="text1"/>
                <w:szCs w:val="20"/>
              </w:rPr>
              <w:t xml:space="preserve"> </w:t>
            </w:r>
            <w:r w:rsidRPr="00592663">
              <w:rPr>
                <w:color w:val="000000" w:themeColor="text1"/>
                <w:szCs w:val="20"/>
              </w:rPr>
              <w:t xml:space="preserve">Absolute figure indicating </w:t>
            </w:r>
            <w:r w:rsidRPr="00592663">
              <w:rPr>
                <w:color w:val="000000" w:themeColor="text1"/>
                <w:szCs w:val="20"/>
              </w:rPr>
              <w:lastRenderedPageBreak/>
              <w:t>the number of people who die as a result of a road traffic crash.</w:t>
            </w:r>
          </w:p>
          <w:p w14:paraId="1A4129EF" w14:textId="77777777" w:rsidR="00221C59" w:rsidRDefault="00221C59" w:rsidP="00221C59">
            <w:pPr>
              <w:jc w:val="both"/>
              <w:rPr>
                <w:color w:val="000000" w:themeColor="text1"/>
                <w:szCs w:val="20"/>
              </w:rPr>
            </w:pPr>
            <w:r w:rsidRPr="00592663">
              <w:rPr>
                <w:i/>
                <w:iCs/>
                <w:color w:val="000000" w:themeColor="text1"/>
                <w:szCs w:val="20"/>
              </w:rPr>
              <w:t>Denominator:</w:t>
            </w:r>
            <w:r w:rsidRPr="00592663">
              <w:rPr>
                <w:color w:val="000000" w:themeColor="text1"/>
                <w:szCs w:val="20"/>
              </w:rPr>
              <w:t xml:space="preserve"> Population (number of people by country)</w:t>
            </w:r>
            <w:r>
              <w:rPr>
                <w:color w:val="000000" w:themeColor="text1"/>
                <w:szCs w:val="20"/>
              </w:rPr>
              <w:t>.</w:t>
            </w:r>
          </w:p>
          <w:p w14:paraId="50F269E6" w14:textId="77777777" w:rsidR="00221C59" w:rsidRDefault="00221C59" w:rsidP="00221C59">
            <w:pPr>
              <w:jc w:val="both"/>
              <w:rPr>
                <w:color w:val="000000" w:themeColor="text1"/>
                <w:szCs w:val="20"/>
              </w:rPr>
            </w:pPr>
          </w:p>
          <w:p w14:paraId="7ED57F9B" w14:textId="77777777" w:rsidR="00221C59" w:rsidRPr="00592663" w:rsidRDefault="00221C59" w:rsidP="00221C59">
            <w:pPr>
              <w:jc w:val="both"/>
              <w:rPr>
                <w:b/>
                <w:bCs/>
                <w:color w:val="000000" w:themeColor="text1"/>
                <w:szCs w:val="20"/>
              </w:rPr>
            </w:pPr>
            <w:r w:rsidRPr="00592663">
              <w:rPr>
                <w:b/>
                <w:bCs/>
                <w:color w:val="000000" w:themeColor="text1"/>
                <w:szCs w:val="20"/>
              </w:rPr>
              <w:t>Computation Method:</w:t>
            </w:r>
          </w:p>
          <w:p w14:paraId="5F8D6274" w14:textId="77777777" w:rsidR="00221C59" w:rsidRPr="00382069" w:rsidRDefault="00221C59" w:rsidP="00221C59">
            <w:pPr>
              <w:jc w:val="both"/>
              <w:rPr>
                <w:color w:val="000000" w:themeColor="text1"/>
                <w:szCs w:val="20"/>
              </w:rPr>
            </w:pPr>
            <w:r w:rsidRPr="00592663">
              <w:rPr>
                <w:color w:val="000000" w:themeColor="text1"/>
                <w:szCs w:val="20"/>
              </w:rPr>
              <w:t>Our model is based on the quality of data we received. As a health organization, we rely primarily on the</w:t>
            </w:r>
            <w:r>
              <w:rPr>
                <w:color w:val="000000" w:themeColor="text1"/>
                <w:szCs w:val="20"/>
              </w:rPr>
              <w:t xml:space="preserve"> </w:t>
            </w:r>
            <w:r w:rsidRPr="00592663">
              <w:rPr>
                <w:color w:val="000000" w:themeColor="text1"/>
                <w:szCs w:val="20"/>
              </w:rPr>
              <w:t xml:space="preserve">submission of vital registration data from countries’ Ministries of Health to </w:t>
            </w:r>
            <w:proofErr w:type="gramStart"/>
            <w:r w:rsidRPr="00592663">
              <w:rPr>
                <w:color w:val="000000" w:themeColor="text1"/>
                <w:szCs w:val="20"/>
              </w:rPr>
              <w:t>WHO</w:t>
            </w:r>
            <w:proofErr w:type="gramEnd"/>
            <w:r w:rsidRPr="00592663">
              <w:rPr>
                <w:color w:val="000000" w:themeColor="text1"/>
                <w:szCs w:val="20"/>
              </w:rPr>
              <w:t xml:space="preserve"> (through the official</w:t>
            </w:r>
            <w:r>
              <w:rPr>
                <w:color w:val="000000" w:themeColor="text1"/>
                <w:szCs w:val="20"/>
              </w:rPr>
              <w:t xml:space="preserve"> </w:t>
            </w:r>
            <w:r w:rsidRPr="00592663">
              <w:rPr>
                <w:color w:val="000000" w:themeColor="text1"/>
                <w:szCs w:val="20"/>
              </w:rPr>
              <w:t>channels). These data, on all causes of death, are then analysed by our colleagues in the Health</w:t>
            </w:r>
            <w:r>
              <w:rPr>
                <w:color w:val="000000" w:themeColor="text1"/>
                <w:szCs w:val="20"/>
              </w:rPr>
              <w:t xml:space="preserve"> </w:t>
            </w:r>
            <w:r w:rsidRPr="00592663">
              <w:rPr>
                <w:color w:val="000000" w:themeColor="text1"/>
                <w:szCs w:val="20"/>
              </w:rPr>
              <w:t>Information Systems department to decide on how good the data are, that is, determining if there is</w:t>
            </w:r>
            <w:r>
              <w:rPr>
                <w:color w:val="000000" w:themeColor="text1"/>
                <w:szCs w:val="20"/>
              </w:rPr>
              <w:t xml:space="preserve"> </w:t>
            </w:r>
            <w:r w:rsidRPr="00592663">
              <w:rPr>
                <w:color w:val="000000" w:themeColor="text1"/>
                <w:szCs w:val="20"/>
              </w:rPr>
              <w:t>good completeness and coverage of deaths for all causes.</w:t>
            </w:r>
          </w:p>
        </w:tc>
        <w:tc>
          <w:tcPr>
            <w:tcW w:w="0" w:type="auto"/>
            <w:shd w:val="clear" w:color="auto" w:fill="auto"/>
          </w:tcPr>
          <w:p w14:paraId="4E06F3CD" w14:textId="77777777" w:rsidR="00221C59" w:rsidRPr="00592663" w:rsidRDefault="00221C59" w:rsidP="00221C59">
            <w:pPr>
              <w:jc w:val="center"/>
              <w:rPr>
                <w:bCs/>
                <w:szCs w:val="20"/>
              </w:rPr>
            </w:pPr>
            <w:r w:rsidRPr="00592663">
              <w:rPr>
                <w:bCs/>
                <w:szCs w:val="20"/>
              </w:rPr>
              <w:lastRenderedPageBreak/>
              <w:t>Road Safety</w:t>
            </w:r>
          </w:p>
          <w:p w14:paraId="7BC3DC61" w14:textId="77777777" w:rsidR="00221C59" w:rsidRDefault="00221C59" w:rsidP="00221C59">
            <w:pPr>
              <w:jc w:val="center"/>
              <w:rPr>
                <w:bCs/>
                <w:szCs w:val="20"/>
              </w:rPr>
            </w:pPr>
            <w:r w:rsidRPr="00592663">
              <w:rPr>
                <w:bCs/>
                <w:szCs w:val="20"/>
              </w:rPr>
              <w:t>Survey</w:t>
            </w:r>
            <w:r>
              <w:rPr>
                <w:bCs/>
                <w:szCs w:val="20"/>
              </w:rPr>
              <w:t xml:space="preserve">; </w:t>
            </w:r>
            <w:r w:rsidRPr="00592663">
              <w:rPr>
                <w:bCs/>
                <w:szCs w:val="20"/>
              </w:rPr>
              <w:t xml:space="preserve"> Vital registration</w:t>
            </w:r>
            <w:r>
              <w:rPr>
                <w:bCs/>
                <w:szCs w:val="20"/>
              </w:rPr>
              <w:t xml:space="preserve">; </w:t>
            </w:r>
            <w:r w:rsidRPr="00592663">
              <w:rPr>
                <w:bCs/>
                <w:szCs w:val="20"/>
              </w:rPr>
              <w:t xml:space="preserve"> certificate deaths data</w:t>
            </w:r>
          </w:p>
        </w:tc>
        <w:tc>
          <w:tcPr>
            <w:tcW w:w="0" w:type="auto"/>
            <w:shd w:val="clear" w:color="auto" w:fill="auto"/>
          </w:tcPr>
          <w:p w14:paraId="23EA7E6F" w14:textId="77777777" w:rsidR="00221C59" w:rsidRPr="00592663" w:rsidRDefault="00221C59" w:rsidP="00221C59">
            <w:pPr>
              <w:jc w:val="center"/>
              <w:rPr>
                <w:bCs/>
                <w:szCs w:val="20"/>
              </w:rPr>
            </w:pPr>
            <w:r>
              <w:rPr>
                <w:bCs/>
                <w:szCs w:val="20"/>
              </w:rPr>
              <w:t>M</w:t>
            </w:r>
            <w:r w:rsidRPr="00592663">
              <w:rPr>
                <w:bCs/>
                <w:szCs w:val="20"/>
              </w:rPr>
              <w:t>inistry of</w:t>
            </w:r>
          </w:p>
          <w:p w14:paraId="76013247" w14:textId="77777777" w:rsidR="00221C59" w:rsidRPr="00382069" w:rsidRDefault="00221C59" w:rsidP="00221C59">
            <w:pPr>
              <w:jc w:val="center"/>
              <w:rPr>
                <w:bCs/>
                <w:szCs w:val="20"/>
              </w:rPr>
            </w:pPr>
            <w:r w:rsidRPr="00592663">
              <w:rPr>
                <w:bCs/>
                <w:szCs w:val="20"/>
              </w:rPr>
              <w:t xml:space="preserve">health, </w:t>
            </w:r>
            <w:r>
              <w:rPr>
                <w:bCs/>
                <w:szCs w:val="20"/>
              </w:rPr>
              <w:t>M</w:t>
            </w:r>
            <w:r w:rsidRPr="00592663">
              <w:rPr>
                <w:bCs/>
                <w:szCs w:val="20"/>
              </w:rPr>
              <w:t xml:space="preserve">inistry of interior and </w:t>
            </w:r>
            <w:r>
              <w:rPr>
                <w:bCs/>
                <w:szCs w:val="20"/>
              </w:rPr>
              <w:t>M</w:t>
            </w:r>
            <w:r w:rsidRPr="00592663">
              <w:rPr>
                <w:bCs/>
                <w:szCs w:val="20"/>
              </w:rPr>
              <w:t>inistry of transport</w:t>
            </w:r>
          </w:p>
        </w:tc>
        <w:tc>
          <w:tcPr>
            <w:tcW w:w="0" w:type="auto"/>
            <w:shd w:val="clear" w:color="auto" w:fill="auto"/>
          </w:tcPr>
          <w:p w14:paraId="26F2B259" w14:textId="77777777" w:rsidR="00221C59" w:rsidRDefault="00221C59" w:rsidP="00221C59">
            <w:pPr>
              <w:jc w:val="center"/>
              <w:rPr>
                <w:color w:val="000000" w:themeColor="text1"/>
                <w:sz w:val="18"/>
                <w:szCs w:val="18"/>
              </w:rPr>
            </w:pPr>
            <w:r>
              <w:rPr>
                <w:color w:val="000000" w:themeColor="text1"/>
                <w:sz w:val="18"/>
                <w:szCs w:val="18"/>
              </w:rPr>
              <w:t>BP, PSD</w:t>
            </w:r>
          </w:p>
        </w:tc>
        <w:tc>
          <w:tcPr>
            <w:tcW w:w="0" w:type="auto"/>
            <w:shd w:val="clear" w:color="auto" w:fill="auto"/>
          </w:tcPr>
          <w:p w14:paraId="47B0D12E" w14:textId="77777777" w:rsidR="00221C59" w:rsidRDefault="00221C59" w:rsidP="00221C59">
            <w:pPr>
              <w:jc w:val="both"/>
              <w:rPr>
                <w:bCs/>
                <w:szCs w:val="20"/>
              </w:rPr>
            </w:pPr>
            <w:r>
              <w:rPr>
                <w:rFonts w:eastAsia="Times New Roman" w:cs="Times New Roman"/>
                <w:color w:val="000000" w:themeColor="text1"/>
                <w:szCs w:val="20"/>
              </w:rPr>
              <w:t>Administrative record</w:t>
            </w:r>
          </w:p>
          <w:p w14:paraId="6555AB2C" w14:textId="77777777" w:rsidR="00221C59" w:rsidRDefault="00221C59" w:rsidP="00221C59">
            <w:pPr>
              <w:jc w:val="both"/>
              <w:rPr>
                <w:bCs/>
                <w:szCs w:val="20"/>
              </w:rPr>
            </w:pPr>
            <w:r>
              <w:rPr>
                <w:bCs/>
                <w:szCs w:val="20"/>
              </w:rPr>
              <w:t>a) BP, PSD</w:t>
            </w:r>
          </w:p>
          <w:p w14:paraId="2294B28B" w14:textId="77777777" w:rsidR="00221C59" w:rsidRPr="00382069" w:rsidRDefault="00221C59" w:rsidP="00221C59">
            <w:pPr>
              <w:jc w:val="both"/>
              <w:rPr>
                <w:bCs/>
                <w:szCs w:val="20"/>
              </w:rPr>
            </w:pPr>
            <w:r>
              <w:rPr>
                <w:bCs/>
                <w:szCs w:val="20"/>
              </w:rPr>
              <w:t>b) SVRS, BBS</w:t>
            </w:r>
          </w:p>
        </w:tc>
        <w:tc>
          <w:tcPr>
            <w:tcW w:w="0" w:type="auto"/>
            <w:shd w:val="clear" w:color="auto" w:fill="auto"/>
          </w:tcPr>
          <w:p w14:paraId="6CE9E9BA" w14:textId="6878EA6A" w:rsidR="00B22244" w:rsidRPr="00B22244" w:rsidRDefault="00B22244" w:rsidP="00B22244">
            <w:pPr>
              <w:pStyle w:val="ListParagraph"/>
              <w:numPr>
                <w:ilvl w:val="0"/>
                <w:numId w:val="48"/>
              </w:numPr>
              <w:spacing w:after="0" w:line="240" w:lineRule="auto"/>
              <w:ind w:left="160" w:hanging="160"/>
              <w:rPr>
                <w:rFonts w:ascii="Tw Cen MT Condensed" w:hAnsi="Tw Cen MT Condensed"/>
                <w:sz w:val="20"/>
                <w:szCs w:val="26"/>
              </w:rPr>
            </w:pPr>
          </w:p>
          <w:p w14:paraId="56FA5B38" w14:textId="64B87124" w:rsidR="00B22244" w:rsidRPr="00CA0CE4" w:rsidRDefault="00B22244" w:rsidP="00B22244">
            <w:pPr>
              <w:pStyle w:val="ListParagraph"/>
              <w:numPr>
                <w:ilvl w:val="0"/>
                <w:numId w:val="48"/>
              </w:numPr>
              <w:spacing w:after="0" w:line="240" w:lineRule="auto"/>
              <w:ind w:left="160" w:hanging="160"/>
              <w:rPr>
                <w:rFonts w:ascii="Tw Cen MT Condensed" w:hAnsi="Tw Cen MT Condensed"/>
                <w:sz w:val="20"/>
                <w:szCs w:val="26"/>
              </w:rPr>
            </w:pPr>
            <w:r w:rsidRPr="00CA0CE4">
              <w:rPr>
                <w:rFonts w:ascii="Tw Cen MT Condensed" w:hAnsi="Tw Cen MT Condensed"/>
                <w:sz w:val="20"/>
                <w:szCs w:val="26"/>
              </w:rPr>
              <w:t>Types of road users: Pedestrian, Driver, Passenger</w:t>
            </w:r>
          </w:p>
          <w:p w14:paraId="5D8A4F34" w14:textId="77777777" w:rsidR="00B22244" w:rsidRPr="00CA0CE4" w:rsidRDefault="00B22244" w:rsidP="00B22244">
            <w:pPr>
              <w:pStyle w:val="ListParagraph"/>
              <w:numPr>
                <w:ilvl w:val="0"/>
                <w:numId w:val="48"/>
              </w:numPr>
              <w:spacing w:after="0" w:line="240" w:lineRule="auto"/>
              <w:ind w:left="160" w:hanging="160"/>
              <w:rPr>
                <w:rFonts w:ascii="Tw Cen MT Condensed" w:hAnsi="Tw Cen MT Condensed"/>
                <w:sz w:val="20"/>
                <w:szCs w:val="26"/>
              </w:rPr>
            </w:pPr>
            <w:r w:rsidRPr="00CA0CE4">
              <w:rPr>
                <w:rFonts w:ascii="Tw Cen MT Condensed" w:hAnsi="Tw Cen MT Condensed"/>
                <w:sz w:val="20"/>
                <w:szCs w:val="26"/>
              </w:rPr>
              <w:t>Age: 0-17, 18-64, 64+</w:t>
            </w:r>
          </w:p>
          <w:p w14:paraId="1E0D7242" w14:textId="77777777" w:rsidR="00B22244" w:rsidRPr="00CA0CE4" w:rsidRDefault="00B22244" w:rsidP="00B22244">
            <w:pPr>
              <w:pStyle w:val="ListParagraph"/>
              <w:numPr>
                <w:ilvl w:val="0"/>
                <w:numId w:val="48"/>
              </w:numPr>
              <w:spacing w:after="0" w:line="240" w:lineRule="auto"/>
              <w:ind w:left="160" w:hanging="160"/>
              <w:rPr>
                <w:rFonts w:ascii="Tw Cen MT Condensed" w:hAnsi="Tw Cen MT Condensed"/>
                <w:sz w:val="20"/>
                <w:szCs w:val="26"/>
              </w:rPr>
            </w:pPr>
            <w:r w:rsidRPr="00CA0CE4">
              <w:rPr>
                <w:rFonts w:ascii="Tw Cen MT Condensed" w:hAnsi="Tw Cen MT Condensed"/>
                <w:sz w:val="20"/>
                <w:szCs w:val="26"/>
              </w:rPr>
              <w:lastRenderedPageBreak/>
              <w:t>Sex: male, female</w:t>
            </w:r>
          </w:p>
          <w:p w14:paraId="04E504D4" w14:textId="77777777" w:rsidR="00B22244" w:rsidRPr="00CA0CE4" w:rsidRDefault="00B22244" w:rsidP="00B22244">
            <w:pPr>
              <w:pStyle w:val="ListParagraph"/>
              <w:numPr>
                <w:ilvl w:val="0"/>
                <w:numId w:val="48"/>
              </w:numPr>
              <w:spacing w:after="0" w:line="240" w:lineRule="auto"/>
              <w:ind w:left="160" w:hanging="160"/>
              <w:rPr>
                <w:rFonts w:ascii="Tw Cen MT Condensed" w:hAnsi="Tw Cen MT Condensed"/>
                <w:sz w:val="20"/>
                <w:szCs w:val="26"/>
              </w:rPr>
            </w:pPr>
            <w:r w:rsidRPr="00CA0CE4">
              <w:rPr>
                <w:rFonts w:ascii="Tw Cen MT Condensed" w:hAnsi="Tw Cen MT Condensed"/>
                <w:sz w:val="20"/>
                <w:szCs w:val="26"/>
              </w:rPr>
              <w:t>Income groups: Low, medium, high</w:t>
            </w:r>
          </w:p>
          <w:p w14:paraId="416C983E" w14:textId="60F6EAFE" w:rsidR="00221C59" w:rsidRPr="00382069" w:rsidRDefault="00B22244" w:rsidP="00B22244">
            <w:pPr>
              <w:pStyle w:val="ListParagraph"/>
              <w:numPr>
                <w:ilvl w:val="0"/>
                <w:numId w:val="2"/>
              </w:numPr>
              <w:spacing w:line="240" w:lineRule="auto"/>
              <w:ind w:left="171" w:hanging="171"/>
              <w:jc w:val="both"/>
              <w:rPr>
                <w:rFonts w:ascii="Tw Cen MT Condensed" w:hAnsi="Tw Cen MT Condensed"/>
                <w:bCs/>
                <w:sz w:val="20"/>
                <w:szCs w:val="20"/>
              </w:rPr>
            </w:pPr>
            <w:r w:rsidRPr="00CA0CE4">
              <w:rPr>
                <w:rFonts w:ascii="Tw Cen MT Condensed" w:hAnsi="Tw Cen MT Condensed"/>
                <w:sz w:val="20"/>
                <w:szCs w:val="26"/>
              </w:rPr>
              <w:t>District: 64 districts</w:t>
            </w:r>
          </w:p>
        </w:tc>
        <w:tc>
          <w:tcPr>
            <w:tcW w:w="0" w:type="auto"/>
            <w:shd w:val="clear" w:color="auto" w:fill="auto"/>
          </w:tcPr>
          <w:p w14:paraId="7E19625A" w14:textId="77777777" w:rsidR="00221C59" w:rsidRDefault="00221C59" w:rsidP="00221C59">
            <w:pPr>
              <w:jc w:val="center"/>
              <w:rPr>
                <w:bCs/>
                <w:szCs w:val="20"/>
              </w:rPr>
            </w:pPr>
            <w:r>
              <w:rPr>
                <w:bCs/>
                <w:szCs w:val="20"/>
              </w:rPr>
              <w:lastRenderedPageBreak/>
              <w:t>Annual</w:t>
            </w:r>
          </w:p>
        </w:tc>
        <w:tc>
          <w:tcPr>
            <w:tcW w:w="0" w:type="auto"/>
            <w:shd w:val="clear" w:color="auto" w:fill="auto"/>
          </w:tcPr>
          <w:p w14:paraId="2EDF231D" w14:textId="77777777" w:rsidR="00221C59" w:rsidRDefault="00221C59" w:rsidP="00221C59">
            <w:pPr>
              <w:pStyle w:val="NoSpacing"/>
            </w:pPr>
            <w:r>
              <w:t>1</w:t>
            </w:r>
            <w:r w:rsidRPr="00013ACB">
              <w:rPr>
                <w:vertAlign w:val="superscript"/>
              </w:rPr>
              <w:t>st</w:t>
            </w:r>
            <w:r>
              <w:t xml:space="preserve"> Round: </w:t>
            </w:r>
          </w:p>
          <w:p w14:paraId="4152D24C" w14:textId="77777777" w:rsidR="00221C59" w:rsidRDefault="00221C59" w:rsidP="00221C59">
            <w:pPr>
              <w:pStyle w:val="NoSpacing"/>
            </w:pPr>
            <w:r>
              <w:t>2015</w:t>
            </w:r>
          </w:p>
          <w:p w14:paraId="215A8162" w14:textId="77777777" w:rsidR="00221C59" w:rsidRDefault="00221C59" w:rsidP="00221C59">
            <w:pPr>
              <w:pStyle w:val="NoSpacing"/>
            </w:pPr>
            <w:r>
              <w:t>2</w:t>
            </w:r>
            <w:r w:rsidRPr="00013ACB">
              <w:rPr>
                <w:vertAlign w:val="superscript"/>
              </w:rPr>
              <w:t>nd</w:t>
            </w:r>
            <w:r>
              <w:t xml:space="preserve"> Round: </w:t>
            </w:r>
          </w:p>
          <w:p w14:paraId="282242ED" w14:textId="77777777" w:rsidR="00221C59" w:rsidRDefault="00221C59" w:rsidP="00221C59">
            <w:pPr>
              <w:pStyle w:val="NoSpacing"/>
            </w:pPr>
            <w:r>
              <w:rPr>
                <w:szCs w:val="22"/>
              </w:rPr>
              <w:t xml:space="preserve">July </w:t>
            </w:r>
            <w:r>
              <w:rPr>
                <w:szCs w:val="22"/>
              </w:rPr>
              <w:lastRenderedPageBreak/>
              <w:t>2020</w:t>
            </w:r>
          </w:p>
          <w:p w14:paraId="456E4C06" w14:textId="77777777" w:rsidR="00221C59" w:rsidRDefault="00221C59" w:rsidP="00221C59">
            <w:pPr>
              <w:pStyle w:val="NoSpacing"/>
            </w:pPr>
            <w:r>
              <w:t>3</w:t>
            </w:r>
            <w:r w:rsidRPr="00013ACB">
              <w:rPr>
                <w:vertAlign w:val="superscript"/>
              </w:rPr>
              <w:t>rd</w:t>
            </w:r>
            <w:r>
              <w:t xml:space="preserve"> Round: </w:t>
            </w:r>
          </w:p>
          <w:p w14:paraId="3367586C" w14:textId="77777777" w:rsidR="00221C59" w:rsidRDefault="00221C59" w:rsidP="00221C59">
            <w:pPr>
              <w:pStyle w:val="NoSpacing"/>
            </w:pPr>
            <w:r>
              <w:rPr>
                <w:szCs w:val="22"/>
              </w:rPr>
              <w:t>July 2021</w:t>
            </w:r>
          </w:p>
          <w:p w14:paraId="1EB803B3" w14:textId="77777777" w:rsidR="00221C59" w:rsidRDefault="00221C59" w:rsidP="00221C59">
            <w:pPr>
              <w:pStyle w:val="NoSpacing"/>
            </w:pPr>
            <w:r>
              <w:t>4</w:t>
            </w:r>
            <w:r w:rsidRPr="00013ACB">
              <w:rPr>
                <w:vertAlign w:val="superscript"/>
              </w:rPr>
              <w:t>th</w:t>
            </w:r>
            <w:r>
              <w:t xml:space="preserve"> Round: </w:t>
            </w:r>
          </w:p>
          <w:p w14:paraId="1472A30D" w14:textId="77777777" w:rsidR="00221C59" w:rsidRDefault="00221C59" w:rsidP="00221C59">
            <w:pPr>
              <w:pStyle w:val="NoSpacing"/>
            </w:pPr>
            <w:r>
              <w:rPr>
                <w:szCs w:val="22"/>
              </w:rPr>
              <w:t>July 2022</w:t>
            </w:r>
          </w:p>
          <w:p w14:paraId="0CE5E5F8" w14:textId="77777777" w:rsidR="00221C59" w:rsidRDefault="00221C59" w:rsidP="00221C59">
            <w:pPr>
              <w:pStyle w:val="NoSpacing"/>
            </w:pPr>
            <w:r>
              <w:t>5</w:t>
            </w:r>
            <w:r w:rsidRPr="00013ACB">
              <w:rPr>
                <w:vertAlign w:val="superscript"/>
              </w:rPr>
              <w:t>th</w:t>
            </w:r>
            <w:r>
              <w:t xml:space="preserve"> Round: </w:t>
            </w:r>
          </w:p>
          <w:p w14:paraId="6AB41011" w14:textId="77777777" w:rsidR="00221C59" w:rsidRDefault="00221C59" w:rsidP="00221C59">
            <w:pPr>
              <w:pStyle w:val="NoSpacing"/>
            </w:pPr>
            <w:r>
              <w:rPr>
                <w:szCs w:val="22"/>
              </w:rPr>
              <w:t>July 2023</w:t>
            </w:r>
          </w:p>
          <w:p w14:paraId="18D94621" w14:textId="1DB36503" w:rsidR="00221C59" w:rsidRPr="002175FB" w:rsidRDefault="00221C59" w:rsidP="00221C59">
            <w:pPr>
              <w:jc w:val="center"/>
              <w:rPr>
                <w:bCs/>
                <w:szCs w:val="20"/>
              </w:rPr>
            </w:pPr>
          </w:p>
        </w:tc>
        <w:tc>
          <w:tcPr>
            <w:tcW w:w="682" w:type="dxa"/>
            <w:shd w:val="clear" w:color="auto" w:fill="auto"/>
          </w:tcPr>
          <w:p w14:paraId="62640D51"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lastRenderedPageBreak/>
              <w:t>Group 2</w:t>
            </w:r>
          </w:p>
        </w:tc>
        <w:tc>
          <w:tcPr>
            <w:tcW w:w="983" w:type="dxa"/>
            <w:shd w:val="clear" w:color="auto" w:fill="auto"/>
          </w:tcPr>
          <w:p w14:paraId="335FD882" w14:textId="77777777" w:rsidR="00221C59" w:rsidRPr="00E64C3A" w:rsidRDefault="00221C59" w:rsidP="00221C59">
            <w:pPr>
              <w:pStyle w:val="NoSpacing"/>
              <w:rPr>
                <w:bCs/>
                <w:szCs w:val="20"/>
              </w:rPr>
            </w:pPr>
            <w:r>
              <w:t>Values have</w:t>
            </w:r>
            <w:r>
              <w:br/>
              <w:t>been</w:t>
            </w:r>
            <w:r>
              <w:br/>
              <w:t>recalculated</w:t>
            </w:r>
            <w:r>
              <w:br/>
              <w:t>by BP with</w:t>
            </w:r>
            <w:r>
              <w:br/>
              <w:t>BBS</w:t>
            </w:r>
            <w:r>
              <w:br/>
              <w:t>Population.</w:t>
            </w:r>
          </w:p>
        </w:tc>
      </w:tr>
      <w:tr w:rsidR="00D46636" w14:paraId="3373AF97" w14:textId="77777777" w:rsidTr="0085651F">
        <w:tc>
          <w:tcPr>
            <w:tcW w:w="0" w:type="auto"/>
            <w:gridSpan w:val="14"/>
            <w:shd w:val="clear" w:color="auto" w:fill="auto"/>
          </w:tcPr>
          <w:p w14:paraId="6AB817BD"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3.7 By 2030, ensure universal access to sexual and reproductive health-care services, including for family planning, information and education, and the integration of reproductive health into national strategies and programmes</w:t>
            </w:r>
          </w:p>
        </w:tc>
      </w:tr>
      <w:tr w:rsidR="00BF3271" w14:paraId="26B1EB52" w14:textId="77777777" w:rsidTr="0085651F">
        <w:tc>
          <w:tcPr>
            <w:tcW w:w="0" w:type="auto"/>
            <w:gridSpan w:val="2"/>
            <w:shd w:val="clear" w:color="auto" w:fill="auto"/>
          </w:tcPr>
          <w:p w14:paraId="7823FCFB" w14:textId="77777777" w:rsidR="00221C59" w:rsidRPr="00592663" w:rsidRDefault="00221C59" w:rsidP="00221C59">
            <w:pPr>
              <w:jc w:val="both"/>
              <w:rPr>
                <w:szCs w:val="20"/>
              </w:rPr>
            </w:pPr>
            <w:r w:rsidRPr="00A2664F">
              <w:rPr>
                <w:szCs w:val="20"/>
              </w:rPr>
              <w:t>3.7.1 Proportion of women of reproductive age (aged 15–49 years) who have their need for family planning satisfied with modern methods</w:t>
            </w:r>
          </w:p>
        </w:tc>
        <w:tc>
          <w:tcPr>
            <w:tcW w:w="0" w:type="auto"/>
            <w:shd w:val="clear" w:color="auto" w:fill="auto"/>
          </w:tcPr>
          <w:p w14:paraId="17AD342E" w14:textId="77777777" w:rsidR="00221C59" w:rsidRDefault="00221C59" w:rsidP="00221C59">
            <w:pPr>
              <w:jc w:val="center"/>
              <w:rPr>
                <w:szCs w:val="20"/>
              </w:rPr>
            </w:pPr>
            <w:r w:rsidRPr="00A2664F">
              <w:rPr>
                <w:szCs w:val="20"/>
              </w:rPr>
              <w:t>DESA Population Division</w:t>
            </w:r>
          </w:p>
          <w:p w14:paraId="6AB77A16" w14:textId="77777777" w:rsidR="00221C59" w:rsidRDefault="00221C59" w:rsidP="00221C59">
            <w:pPr>
              <w:jc w:val="center"/>
              <w:rPr>
                <w:szCs w:val="20"/>
              </w:rPr>
            </w:pPr>
          </w:p>
          <w:p w14:paraId="1BD392BC" w14:textId="77777777" w:rsidR="00221C59" w:rsidRDefault="00221C59" w:rsidP="00221C59">
            <w:pPr>
              <w:jc w:val="center"/>
              <w:rPr>
                <w:szCs w:val="20"/>
              </w:rPr>
            </w:pPr>
            <w:r>
              <w:rPr>
                <w:szCs w:val="20"/>
              </w:rPr>
              <w:t>Partner Ageny:</w:t>
            </w:r>
          </w:p>
          <w:p w14:paraId="1EB0E9A0" w14:textId="77777777" w:rsidR="00221C59" w:rsidRPr="00A2664F" w:rsidRDefault="00221C59" w:rsidP="00221C59">
            <w:pPr>
              <w:jc w:val="center"/>
              <w:rPr>
                <w:szCs w:val="20"/>
              </w:rPr>
            </w:pPr>
            <w:r w:rsidRPr="00A2664F">
              <w:rPr>
                <w:szCs w:val="20"/>
              </w:rPr>
              <w:t>UNFPA,</w:t>
            </w:r>
          </w:p>
          <w:p w14:paraId="03FF62DD" w14:textId="77777777" w:rsidR="00221C59" w:rsidRDefault="00221C59" w:rsidP="00221C59">
            <w:pPr>
              <w:jc w:val="center"/>
              <w:rPr>
                <w:szCs w:val="20"/>
              </w:rPr>
            </w:pPr>
            <w:r w:rsidRPr="00A2664F">
              <w:rPr>
                <w:szCs w:val="20"/>
              </w:rPr>
              <w:t>WHO</w:t>
            </w:r>
          </w:p>
        </w:tc>
        <w:tc>
          <w:tcPr>
            <w:tcW w:w="0" w:type="auto"/>
            <w:shd w:val="clear" w:color="auto" w:fill="auto"/>
          </w:tcPr>
          <w:p w14:paraId="7780738D" w14:textId="77777777" w:rsidR="00221C59" w:rsidRDefault="00221C59" w:rsidP="00221C59">
            <w:pPr>
              <w:jc w:val="center"/>
              <w:rPr>
                <w:szCs w:val="20"/>
              </w:rPr>
            </w:pPr>
            <w:r>
              <w:rPr>
                <w:szCs w:val="20"/>
              </w:rPr>
              <w:t>Tier I</w:t>
            </w:r>
          </w:p>
        </w:tc>
        <w:tc>
          <w:tcPr>
            <w:tcW w:w="0" w:type="auto"/>
            <w:shd w:val="clear" w:color="auto" w:fill="auto"/>
          </w:tcPr>
          <w:p w14:paraId="15DDDC11" w14:textId="77777777" w:rsidR="00221C59" w:rsidRPr="00A2664F" w:rsidRDefault="00221C59" w:rsidP="00221C59">
            <w:pPr>
              <w:jc w:val="both"/>
              <w:rPr>
                <w:b/>
                <w:bCs/>
                <w:color w:val="000000" w:themeColor="text1"/>
                <w:szCs w:val="20"/>
              </w:rPr>
            </w:pPr>
            <w:r w:rsidRPr="00A2664F">
              <w:rPr>
                <w:b/>
                <w:bCs/>
                <w:color w:val="000000" w:themeColor="text1"/>
                <w:szCs w:val="20"/>
              </w:rPr>
              <w:t>Definition:</w:t>
            </w:r>
          </w:p>
          <w:p w14:paraId="7B5024C1" w14:textId="77777777" w:rsidR="00221C59" w:rsidRPr="00A2664F" w:rsidRDefault="00221C59" w:rsidP="00221C59">
            <w:pPr>
              <w:jc w:val="both"/>
              <w:rPr>
                <w:color w:val="000000" w:themeColor="text1"/>
                <w:szCs w:val="20"/>
              </w:rPr>
            </w:pPr>
            <w:r w:rsidRPr="00A2664F">
              <w:rPr>
                <w:color w:val="000000" w:themeColor="text1"/>
                <w:szCs w:val="20"/>
              </w:rPr>
              <w:t>The percentage of women of reproductive age (15-49 years) who desire either to have no (additional)</w:t>
            </w:r>
            <w:r>
              <w:rPr>
                <w:color w:val="000000" w:themeColor="text1"/>
                <w:szCs w:val="20"/>
              </w:rPr>
              <w:t xml:space="preserve"> </w:t>
            </w:r>
            <w:r w:rsidRPr="00A2664F">
              <w:rPr>
                <w:color w:val="000000" w:themeColor="text1"/>
                <w:szCs w:val="20"/>
              </w:rPr>
              <w:t>children or to postpone the next child and who are currently using a modern contraceptive method.</w:t>
            </w:r>
          </w:p>
          <w:p w14:paraId="4C9F033D" w14:textId="77777777" w:rsidR="00221C59" w:rsidRPr="000C4849" w:rsidRDefault="00221C59" w:rsidP="00221C59">
            <w:pPr>
              <w:jc w:val="both"/>
              <w:rPr>
                <w:bCs/>
                <w:color w:val="000000" w:themeColor="text1"/>
                <w:szCs w:val="20"/>
              </w:rPr>
            </w:pPr>
            <w:r w:rsidRPr="000C4849">
              <w:rPr>
                <w:bCs/>
                <w:color w:val="000000" w:themeColor="text1"/>
                <w:szCs w:val="20"/>
              </w:rPr>
              <w:t>The indicator is also referred to as the demand for family planning satisfied with modern methods.</w:t>
            </w:r>
          </w:p>
          <w:p w14:paraId="0B4C1035" w14:textId="77777777" w:rsidR="00221C59" w:rsidRDefault="00221C59" w:rsidP="00221C59">
            <w:pPr>
              <w:jc w:val="both"/>
              <w:rPr>
                <w:b/>
                <w:bCs/>
                <w:color w:val="000000" w:themeColor="text1"/>
                <w:szCs w:val="20"/>
              </w:rPr>
            </w:pPr>
          </w:p>
          <w:p w14:paraId="00167AF4" w14:textId="77777777" w:rsidR="00221C59" w:rsidRPr="00A2664F" w:rsidRDefault="00221C59" w:rsidP="00221C59">
            <w:pPr>
              <w:jc w:val="both"/>
              <w:rPr>
                <w:b/>
                <w:bCs/>
                <w:color w:val="000000" w:themeColor="text1"/>
                <w:szCs w:val="20"/>
              </w:rPr>
            </w:pPr>
            <w:r w:rsidRPr="00A2664F">
              <w:rPr>
                <w:b/>
                <w:bCs/>
                <w:color w:val="000000" w:themeColor="text1"/>
                <w:szCs w:val="20"/>
              </w:rPr>
              <w:t>Concepts:</w:t>
            </w:r>
          </w:p>
          <w:p w14:paraId="797790DE" w14:textId="77777777" w:rsidR="00221C59" w:rsidRDefault="00221C59" w:rsidP="00221C59">
            <w:pPr>
              <w:jc w:val="both"/>
              <w:rPr>
                <w:color w:val="000000" w:themeColor="text1"/>
                <w:szCs w:val="20"/>
              </w:rPr>
            </w:pPr>
            <w:r w:rsidRPr="00A2664F">
              <w:rPr>
                <w:color w:val="000000" w:themeColor="text1"/>
                <w:szCs w:val="20"/>
              </w:rPr>
              <w:t>The percentage of women of reproductive age (15-49 years) who have their need for family planning</w:t>
            </w:r>
            <w:r>
              <w:rPr>
                <w:color w:val="000000" w:themeColor="text1"/>
                <w:szCs w:val="20"/>
              </w:rPr>
              <w:t xml:space="preserve"> </w:t>
            </w:r>
            <w:r w:rsidRPr="00A2664F">
              <w:rPr>
                <w:color w:val="000000" w:themeColor="text1"/>
                <w:szCs w:val="20"/>
              </w:rPr>
              <w:t>satisfied with modern methods is also referred to as the proportion of demand satisfied by modern</w:t>
            </w:r>
            <w:r>
              <w:rPr>
                <w:color w:val="000000" w:themeColor="text1"/>
                <w:szCs w:val="20"/>
              </w:rPr>
              <w:t xml:space="preserve"> </w:t>
            </w:r>
            <w:r w:rsidRPr="00A2664F">
              <w:rPr>
                <w:color w:val="000000" w:themeColor="text1"/>
                <w:szCs w:val="20"/>
              </w:rPr>
              <w:t>methods.</w:t>
            </w:r>
            <w:r>
              <w:rPr>
                <w:color w:val="000000" w:themeColor="text1"/>
                <w:szCs w:val="20"/>
              </w:rPr>
              <w:t xml:space="preserve"> </w:t>
            </w:r>
            <w:r w:rsidRPr="00A2664F">
              <w:rPr>
                <w:color w:val="000000" w:themeColor="text1"/>
                <w:szCs w:val="20"/>
              </w:rPr>
              <w:t>The components of the indicator are contraceptive prevalence (any method and modern</w:t>
            </w:r>
            <w:r>
              <w:rPr>
                <w:color w:val="000000" w:themeColor="text1"/>
                <w:szCs w:val="20"/>
              </w:rPr>
              <w:t xml:space="preserve"> </w:t>
            </w:r>
            <w:r w:rsidRPr="00A2664F">
              <w:rPr>
                <w:color w:val="000000" w:themeColor="text1"/>
                <w:szCs w:val="20"/>
              </w:rPr>
              <w:t>methods) and unmet need for family planning.</w:t>
            </w:r>
            <w:r>
              <w:rPr>
                <w:color w:val="000000" w:themeColor="text1"/>
                <w:szCs w:val="20"/>
              </w:rPr>
              <w:t xml:space="preserve"> </w:t>
            </w:r>
            <w:r w:rsidRPr="00A2664F">
              <w:rPr>
                <w:color w:val="000000" w:themeColor="text1"/>
                <w:szCs w:val="20"/>
              </w:rPr>
              <w:t>Contraceptive prevalence is the percentage of women who are currently using, or whose sexual partner</w:t>
            </w:r>
            <w:r>
              <w:rPr>
                <w:color w:val="000000" w:themeColor="text1"/>
                <w:szCs w:val="20"/>
              </w:rPr>
              <w:t xml:space="preserve"> </w:t>
            </w:r>
            <w:r w:rsidRPr="00A2664F">
              <w:rPr>
                <w:color w:val="000000" w:themeColor="text1"/>
                <w:szCs w:val="20"/>
              </w:rPr>
              <w:t>is currently using, at least one method of contraception, regardless of the method used. Unmet need for</w:t>
            </w:r>
            <w:r>
              <w:rPr>
                <w:color w:val="000000" w:themeColor="text1"/>
                <w:szCs w:val="20"/>
              </w:rPr>
              <w:t xml:space="preserve"> </w:t>
            </w:r>
            <w:r w:rsidRPr="00A2664F">
              <w:rPr>
                <w:color w:val="000000" w:themeColor="text1"/>
                <w:szCs w:val="20"/>
              </w:rPr>
              <w:t>family planning is defined as the percentage of women of reproductive age, either married or in a union,</w:t>
            </w:r>
            <w:r>
              <w:rPr>
                <w:color w:val="000000" w:themeColor="text1"/>
                <w:szCs w:val="20"/>
              </w:rPr>
              <w:t xml:space="preserve"> </w:t>
            </w:r>
            <w:r w:rsidRPr="00A2664F">
              <w:rPr>
                <w:color w:val="000000" w:themeColor="text1"/>
                <w:szCs w:val="20"/>
              </w:rPr>
              <w:t>who want to stop or delay childbearing but are not using any method of contraception.</w:t>
            </w:r>
            <w:r>
              <w:rPr>
                <w:color w:val="000000" w:themeColor="text1"/>
                <w:szCs w:val="20"/>
              </w:rPr>
              <w:t xml:space="preserve"> </w:t>
            </w:r>
            <w:r w:rsidRPr="00A2664F">
              <w:rPr>
                <w:color w:val="000000" w:themeColor="text1"/>
                <w:szCs w:val="20"/>
              </w:rPr>
              <w:t>For analytical purposes, contraceptive methods are often classified as either modern or traditional.</w:t>
            </w:r>
            <w:r>
              <w:rPr>
                <w:color w:val="000000" w:themeColor="text1"/>
                <w:szCs w:val="20"/>
              </w:rPr>
              <w:t xml:space="preserve"> </w:t>
            </w:r>
            <w:r w:rsidRPr="00A2664F">
              <w:rPr>
                <w:color w:val="000000" w:themeColor="text1"/>
                <w:szCs w:val="20"/>
              </w:rPr>
              <w:t>Modern methods of contraception include female and male sterilization, the intra-uterine device (IUD),</w:t>
            </w:r>
            <w:r>
              <w:rPr>
                <w:color w:val="000000" w:themeColor="text1"/>
                <w:szCs w:val="20"/>
              </w:rPr>
              <w:t xml:space="preserve"> </w:t>
            </w:r>
            <w:r w:rsidRPr="00A2664F">
              <w:rPr>
                <w:color w:val="000000" w:themeColor="text1"/>
                <w:szCs w:val="20"/>
              </w:rPr>
              <w:t>the implant, injectables, oral contraceptive pills, male and female condoms, vaginal barrier methods</w:t>
            </w:r>
            <w:r>
              <w:rPr>
                <w:color w:val="000000" w:themeColor="text1"/>
                <w:szCs w:val="20"/>
              </w:rPr>
              <w:t xml:space="preserve"> </w:t>
            </w:r>
            <w:r w:rsidRPr="00A2664F">
              <w:rPr>
                <w:color w:val="000000" w:themeColor="text1"/>
                <w:szCs w:val="20"/>
              </w:rPr>
              <w:t xml:space="preserve">(including the </w:t>
            </w:r>
            <w:r w:rsidRPr="00A2664F">
              <w:rPr>
                <w:color w:val="000000" w:themeColor="text1"/>
                <w:szCs w:val="20"/>
              </w:rPr>
              <w:lastRenderedPageBreak/>
              <w:t>diaphragm, cervical cap and spermicidal foam, jelly, cream and sponge), lactational</w:t>
            </w:r>
            <w:r>
              <w:rPr>
                <w:color w:val="000000" w:themeColor="text1"/>
                <w:szCs w:val="20"/>
              </w:rPr>
              <w:t xml:space="preserve"> </w:t>
            </w:r>
            <w:r w:rsidRPr="00A2664F">
              <w:rPr>
                <w:color w:val="000000" w:themeColor="text1"/>
                <w:szCs w:val="20"/>
              </w:rPr>
              <w:t>amenorrhea method (LAM), emergency contraception and other modern methods not reported</w:t>
            </w:r>
            <w:r>
              <w:rPr>
                <w:color w:val="000000" w:themeColor="text1"/>
                <w:szCs w:val="20"/>
              </w:rPr>
              <w:t xml:space="preserve"> </w:t>
            </w:r>
            <w:r w:rsidRPr="00A2664F">
              <w:rPr>
                <w:color w:val="000000" w:themeColor="text1"/>
                <w:szCs w:val="20"/>
              </w:rPr>
              <w:t>separately (e.g., the contraceptive patch or vaginal ring). Traditional methods of contraception include</w:t>
            </w:r>
            <w:r>
              <w:rPr>
                <w:color w:val="000000" w:themeColor="text1"/>
                <w:szCs w:val="20"/>
              </w:rPr>
              <w:t xml:space="preserve"> </w:t>
            </w:r>
            <w:r w:rsidRPr="00A2664F">
              <w:rPr>
                <w:color w:val="000000" w:themeColor="text1"/>
                <w:szCs w:val="20"/>
              </w:rPr>
              <w:t>rhythm (e.g., fertility awareness-based methods, periodic abstinence), withdrawal and other traditional</w:t>
            </w:r>
            <w:r>
              <w:rPr>
                <w:color w:val="000000" w:themeColor="text1"/>
                <w:szCs w:val="20"/>
              </w:rPr>
              <w:t xml:space="preserve"> </w:t>
            </w:r>
            <w:r w:rsidRPr="00A2664F">
              <w:rPr>
                <w:color w:val="000000" w:themeColor="text1"/>
                <w:szCs w:val="20"/>
              </w:rPr>
              <w:t>methods not reported separately.</w:t>
            </w:r>
          </w:p>
          <w:p w14:paraId="7AFD979F" w14:textId="77777777" w:rsidR="00221C59" w:rsidRDefault="00221C59" w:rsidP="00221C59">
            <w:pPr>
              <w:jc w:val="both"/>
              <w:rPr>
                <w:b/>
                <w:bCs/>
                <w:color w:val="000000" w:themeColor="text1"/>
                <w:szCs w:val="20"/>
              </w:rPr>
            </w:pPr>
          </w:p>
          <w:p w14:paraId="6DAEA9DE" w14:textId="77777777" w:rsidR="00221C59" w:rsidRPr="00A2664F" w:rsidRDefault="00221C59" w:rsidP="00221C59">
            <w:pPr>
              <w:jc w:val="both"/>
              <w:rPr>
                <w:b/>
                <w:bCs/>
                <w:color w:val="000000" w:themeColor="text1"/>
                <w:szCs w:val="20"/>
              </w:rPr>
            </w:pPr>
            <w:r w:rsidRPr="00A2664F">
              <w:rPr>
                <w:b/>
                <w:bCs/>
                <w:color w:val="000000" w:themeColor="text1"/>
                <w:szCs w:val="20"/>
              </w:rPr>
              <w:t>Computation Method:</w:t>
            </w:r>
          </w:p>
          <w:p w14:paraId="60B79445" w14:textId="77777777" w:rsidR="00221C59" w:rsidRPr="00A2664F" w:rsidRDefault="00221C59" w:rsidP="00221C59">
            <w:pPr>
              <w:jc w:val="both"/>
              <w:rPr>
                <w:color w:val="000000" w:themeColor="text1"/>
                <w:szCs w:val="20"/>
              </w:rPr>
            </w:pPr>
            <w:r w:rsidRPr="00A2664F">
              <w:rPr>
                <w:color w:val="000000" w:themeColor="text1"/>
                <w:szCs w:val="20"/>
              </w:rPr>
              <w:t>The numerator is the percentage of women of reproductive age (15-49 years old) who are currently</w:t>
            </w:r>
            <w:r>
              <w:rPr>
                <w:color w:val="000000" w:themeColor="text1"/>
                <w:szCs w:val="20"/>
              </w:rPr>
              <w:t xml:space="preserve"> </w:t>
            </w:r>
            <w:r w:rsidRPr="00A2664F">
              <w:rPr>
                <w:color w:val="000000" w:themeColor="text1"/>
                <w:szCs w:val="20"/>
              </w:rPr>
              <w:t>using, or whose sexual partner is currently using, at least one modern contraceptive method. The</w:t>
            </w:r>
          </w:p>
          <w:p w14:paraId="7DC0072F" w14:textId="77777777" w:rsidR="00221C59" w:rsidRDefault="00221C59" w:rsidP="00221C59">
            <w:pPr>
              <w:jc w:val="both"/>
              <w:rPr>
                <w:color w:val="000000" w:themeColor="text1"/>
                <w:szCs w:val="20"/>
              </w:rPr>
            </w:pPr>
            <w:proofErr w:type="gramStart"/>
            <w:r w:rsidRPr="00A2664F">
              <w:rPr>
                <w:color w:val="000000" w:themeColor="text1"/>
                <w:szCs w:val="20"/>
              </w:rPr>
              <w:t>denominator</w:t>
            </w:r>
            <w:proofErr w:type="gramEnd"/>
            <w:r w:rsidRPr="00A2664F">
              <w:rPr>
                <w:color w:val="000000" w:themeColor="text1"/>
                <w:szCs w:val="20"/>
              </w:rPr>
              <w:t xml:space="preserve"> is the total demand for family planning (the sum of contraceptive prevalence (any method)</w:t>
            </w:r>
            <w:r>
              <w:rPr>
                <w:color w:val="000000" w:themeColor="text1"/>
                <w:szCs w:val="20"/>
              </w:rPr>
              <w:t xml:space="preserve"> </w:t>
            </w:r>
            <w:r w:rsidRPr="00A2664F">
              <w:rPr>
                <w:color w:val="000000" w:themeColor="text1"/>
                <w:szCs w:val="20"/>
              </w:rPr>
              <w:t>and the unmet need for family planning). Estimates are with respect to women who are married or in a</w:t>
            </w:r>
            <w:r>
              <w:rPr>
                <w:color w:val="000000" w:themeColor="text1"/>
                <w:szCs w:val="20"/>
              </w:rPr>
              <w:t xml:space="preserve"> </w:t>
            </w:r>
            <w:r w:rsidRPr="00A2664F">
              <w:rPr>
                <w:color w:val="000000" w:themeColor="text1"/>
                <w:szCs w:val="20"/>
              </w:rPr>
              <w:t>union.</w:t>
            </w:r>
          </w:p>
          <w:p w14:paraId="4AE09A66" w14:textId="77777777" w:rsidR="00221C59" w:rsidRDefault="00221C59" w:rsidP="00221C59">
            <w:pPr>
              <w:jc w:val="both"/>
              <w:rPr>
                <w:color w:val="000000" w:themeColor="text1"/>
                <w:szCs w:val="20"/>
              </w:rPr>
            </w:pPr>
          </w:p>
          <w:p w14:paraId="25900C81" w14:textId="77777777" w:rsidR="00221C59" w:rsidRPr="00592663" w:rsidRDefault="00221C59" w:rsidP="000C4849">
            <w:pPr>
              <w:rPr>
                <w:b/>
                <w:bCs/>
                <w:color w:val="000000" w:themeColor="text1"/>
                <w:szCs w:val="20"/>
              </w:rPr>
            </w:pPr>
            <w:r>
              <w:rPr>
                <w:rFonts w:cs="Calibri"/>
              </w:rPr>
              <w:t>Demand satisfied by modern methods= (</w:t>
            </w:r>
            <w:r w:rsidRPr="006833CE">
              <w:rPr>
                <w:rFonts w:cs="Calibri"/>
              </w:rPr>
              <w:t xml:space="preserve">Number of women </w:t>
            </w:r>
            <w:r>
              <w:rPr>
                <w:rFonts w:cs="Calibri"/>
              </w:rPr>
              <w:t xml:space="preserve">who </w:t>
            </w:r>
            <w:r w:rsidRPr="006833CE">
              <w:rPr>
                <w:rFonts w:cs="Calibri"/>
              </w:rPr>
              <w:t xml:space="preserve">are currently using a </w:t>
            </w:r>
            <w:r>
              <w:rPr>
                <w:rFonts w:cs="Calibri"/>
              </w:rPr>
              <w:t xml:space="preserve">modern </w:t>
            </w:r>
            <w:r w:rsidRPr="006833CE">
              <w:rPr>
                <w:rFonts w:cs="Calibri"/>
              </w:rPr>
              <w:t>method of contraception</w:t>
            </w:r>
            <w:r>
              <w:rPr>
                <w:rFonts w:cs="Calibri"/>
              </w:rPr>
              <w:t>) / (N</w:t>
            </w:r>
            <w:r w:rsidRPr="006833CE">
              <w:rPr>
                <w:rFonts w:cs="Calibri"/>
              </w:rPr>
              <w:t xml:space="preserve">umber of women </w:t>
            </w:r>
            <w:r>
              <w:rPr>
                <w:rFonts w:cs="Calibri"/>
              </w:rPr>
              <w:t>who are using any method of contraception or are having an unmet need for family planning)</w:t>
            </w:r>
          </w:p>
        </w:tc>
        <w:tc>
          <w:tcPr>
            <w:tcW w:w="0" w:type="auto"/>
            <w:shd w:val="clear" w:color="auto" w:fill="auto"/>
          </w:tcPr>
          <w:p w14:paraId="223C755A" w14:textId="77777777" w:rsidR="00221C59" w:rsidRPr="00A2664F" w:rsidRDefault="00221C59" w:rsidP="00221C59">
            <w:pPr>
              <w:jc w:val="center"/>
              <w:rPr>
                <w:bCs/>
                <w:szCs w:val="20"/>
              </w:rPr>
            </w:pPr>
            <w:r>
              <w:rPr>
                <w:bCs/>
                <w:szCs w:val="20"/>
              </w:rPr>
              <w:lastRenderedPageBreak/>
              <w:t>Nationally representative h</w:t>
            </w:r>
            <w:r w:rsidRPr="00A2664F">
              <w:rPr>
                <w:bCs/>
                <w:szCs w:val="20"/>
              </w:rPr>
              <w:t>ousehold survey</w:t>
            </w:r>
            <w:r>
              <w:rPr>
                <w:bCs/>
                <w:szCs w:val="20"/>
              </w:rPr>
              <w:t xml:space="preserve">- </w:t>
            </w:r>
            <w:r w:rsidRPr="00A2664F">
              <w:rPr>
                <w:bCs/>
                <w:szCs w:val="20"/>
              </w:rPr>
              <w:t>Contraceptive Prevalence Surveys (CPS),</w:t>
            </w:r>
          </w:p>
          <w:p w14:paraId="046EB1ED" w14:textId="77777777" w:rsidR="00221C59" w:rsidRPr="00A2664F" w:rsidRDefault="00221C59" w:rsidP="00221C59">
            <w:pPr>
              <w:jc w:val="center"/>
              <w:rPr>
                <w:bCs/>
                <w:szCs w:val="20"/>
              </w:rPr>
            </w:pPr>
            <w:r w:rsidRPr="00A2664F">
              <w:rPr>
                <w:bCs/>
                <w:szCs w:val="20"/>
              </w:rPr>
              <w:t>Demographic and Health Surveys (DHS), Fertility and Family Surveys (FFS), Reproductive Health Surveys</w:t>
            </w:r>
          </w:p>
          <w:p w14:paraId="25AC755D" w14:textId="77777777" w:rsidR="00221C59" w:rsidRPr="00592663" w:rsidRDefault="00221C59" w:rsidP="00221C59">
            <w:pPr>
              <w:jc w:val="center"/>
              <w:rPr>
                <w:bCs/>
                <w:szCs w:val="20"/>
              </w:rPr>
            </w:pPr>
            <w:r w:rsidRPr="00A2664F">
              <w:rPr>
                <w:bCs/>
                <w:szCs w:val="20"/>
              </w:rPr>
              <w:lastRenderedPageBreak/>
              <w:t>(RHS), Multiple Indicator Cluster Surveys (MICS)</w:t>
            </w:r>
          </w:p>
        </w:tc>
        <w:tc>
          <w:tcPr>
            <w:tcW w:w="0" w:type="auto"/>
            <w:shd w:val="clear" w:color="auto" w:fill="auto"/>
          </w:tcPr>
          <w:p w14:paraId="641F4753" w14:textId="77777777" w:rsidR="00221C59" w:rsidRDefault="00221C59" w:rsidP="00221C59">
            <w:pPr>
              <w:jc w:val="center"/>
              <w:rPr>
                <w:bCs/>
                <w:szCs w:val="20"/>
              </w:rPr>
            </w:pPr>
            <w:r>
              <w:rPr>
                <w:bCs/>
                <w:szCs w:val="20"/>
              </w:rPr>
              <w:lastRenderedPageBreak/>
              <w:t>National Statistics Office</w:t>
            </w:r>
          </w:p>
        </w:tc>
        <w:tc>
          <w:tcPr>
            <w:tcW w:w="0" w:type="auto"/>
            <w:shd w:val="clear" w:color="auto" w:fill="auto"/>
          </w:tcPr>
          <w:p w14:paraId="1F00337D" w14:textId="0636D519" w:rsidR="00221C59" w:rsidRDefault="00221C59" w:rsidP="00221C59">
            <w:pPr>
              <w:jc w:val="center"/>
              <w:rPr>
                <w:color w:val="000000" w:themeColor="text1"/>
                <w:sz w:val="18"/>
                <w:szCs w:val="18"/>
              </w:rPr>
            </w:pPr>
            <w:r>
              <w:rPr>
                <w:color w:val="000000" w:themeColor="text1"/>
                <w:sz w:val="18"/>
                <w:szCs w:val="18"/>
              </w:rPr>
              <w:t xml:space="preserve">BDHS, </w:t>
            </w:r>
          </w:p>
        </w:tc>
        <w:tc>
          <w:tcPr>
            <w:tcW w:w="0" w:type="auto"/>
            <w:shd w:val="clear" w:color="auto" w:fill="auto"/>
          </w:tcPr>
          <w:p w14:paraId="65C4114F" w14:textId="77777777" w:rsidR="00221C59" w:rsidRPr="00A2664F" w:rsidRDefault="00221C59" w:rsidP="00221C59">
            <w:pPr>
              <w:jc w:val="both"/>
              <w:rPr>
                <w:bCs/>
                <w:szCs w:val="20"/>
              </w:rPr>
            </w:pPr>
            <w:r w:rsidRPr="00A2664F">
              <w:rPr>
                <w:bCs/>
                <w:szCs w:val="20"/>
              </w:rPr>
              <w:t>a) MICS</w:t>
            </w:r>
            <w:r>
              <w:rPr>
                <w:bCs/>
                <w:szCs w:val="20"/>
              </w:rPr>
              <w:t>/SVRS</w:t>
            </w:r>
            <w:r w:rsidRPr="00A2664F">
              <w:rPr>
                <w:bCs/>
                <w:szCs w:val="20"/>
              </w:rPr>
              <w:t>, BBS</w:t>
            </w:r>
          </w:p>
          <w:p w14:paraId="2DD8E7CE" w14:textId="77777777" w:rsidR="00221C59" w:rsidRPr="00A2664F" w:rsidRDefault="00221C59" w:rsidP="00221C59">
            <w:pPr>
              <w:jc w:val="both"/>
              <w:rPr>
                <w:bCs/>
                <w:szCs w:val="20"/>
              </w:rPr>
            </w:pPr>
            <w:r w:rsidRPr="00A2664F">
              <w:rPr>
                <w:bCs/>
                <w:szCs w:val="20"/>
              </w:rPr>
              <w:t>b)</w:t>
            </w:r>
            <w:r>
              <w:rPr>
                <w:bCs/>
                <w:szCs w:val="20"/>
              </w:rPr>
              <w:t xml:space="preserve"> </w:t>
            </w:r>
            <w:r w:rsidRPr="00A2664F">
              <w:rPr>
                <w:bCs/>
                <w:szCs w:val="20"/>
              </w:rPr>
              <w:t>BDHS</w:t>
            </w:r>
            <w:r>
              <w:rPr>
                <w:bCs/>
                <w:szCs w:val="20"/>
              </w:rPr>
              <w:t>, MEFWD</w:t>
            </w:r>
            <w:r w:rsidRPr="00A2664F">
              <w:rPr>
                <w:bCs/>
                <w:szCs w:val="20"/>
              </w:rPr>
              <w:t>, NIPORT</w:t>
            </w:r>
          </w:p>
          <w:p w14:paraId="75419716" w14:textId="0099E29F" w:rsidR="00221C59" w:rsidRDefault="00221C59" w:rsidP="00221C59">
            <w:pPr>
              <w:jc w:val="both"/>
              <w:rPr>
                <w:bCs/>
                <w:szCs w:val="20"/>
              </w:rPr>
            </w:pPr>
          </w:p>
        </w:tc>
        <w:tc>
          <w:tcPr>
            <w:tcW w:w="0" w:type="auto"/>
            <w:shd w:val="clear" w:color="auto" w:fill="auto"/>
          </w:tcPr>
          <w:p w14:paraId="1B3E3423" w14:textId="3C62D0B9" w:rsidR="005C5D45" w:rsidRDefault="00221C59" w:rsidP="005C5D45">
            <w:pPr>
              <w:pStyle w:val="ListParagraph"/>
              <w:numPr>
                <w:ilvl w:val="0"/>
                <w:numId w:val="2"/>
              </w:numPr>
              <w:spacing w:line="240" w:lineRule="auto"/>
              <w:ind w:left="178" w:hanging="178"/>
              <w:jc w:val="both"/>
              <w:rPr>
                <w:rFonts w:ascii="Tw Cen MT Condensed" w:hAnsi="Tw Cen MT Condensed"/>
                <w:bCs/>
                <w:sz w:val="20"/>
                <w:szCs w:val="20"/>
              </w:rPr>
            </w:pPr>
            <w:r w:rsidRPr="00A2664F">
              <w:rPr>
                <w:rFonts w:ascii="Tw Cen MT Condensed" w:hAnsi="Tw Cen MT Condensed"/>
                <w:bCs/>
                <w:sz w:val="20"/>
                <w:szCs w:val="20"/>
              </w:rPr>
              <w:t>Age</w:t>
            </w:r>
            <w:r w:rsidR="005C5D45">
              <w:rPr>
                <w:rFonts w:ascii="Tw Cen MT Condensed" w:hAnsi="Tw Cen MT Condensed"/>
                <w:bCs/>
                <w:sz w:val="20"/>
                <w:szCs w:val="20"/>
              </w:rPr>
              <w:t>:</w:t>
            </w:r>
            <w:r w:rsidR="005C5D45">
              <w:rPr>
                <w:rFonts w:ascii="Tw Cen MT Condensed" w:hAnsi="Tw Cen MT Condensed"/>
                <w:color w:val="FF0000"/>
                <w:sz w:val="20"/>
                <w:szCs w:val="26"/>
              </w:rPr>
              <w:t xml:space="preserve"> 15-19 yrs/ 20-24 yrs/25-29 yrs/30-34 yrs/35-39 yrs/40-44 yrs/45-49 yrs</w:t>
            </w:r>
          </w:p>
          <w:p w14:paraId="704E0B3E" w14:textId="68FF0A62" w:rsidR="00221C59" w:rsidRDefault="00221C59" w:rsidP="00221C59">
            <w:pPr>
              <w:pStyle w:val="ListParagraph"/>
              <w:numPr>
                <w:ilvl w:val="0"/>
                <w:numId w:val="2"/>
              </w:numPr>
              <w:ind w:left="220" w:hanging="220"/>
              <w:jc w:val="both"/>
              <w:rPr>
                <w:rFonts w:ascii="Tw Cen MT Condensed" w:hAnsi="Tw Cen MT Condensed"/>
                <w:bCs/>
                <w:sz w:val="20"/>
                <w:szCs w:val="20"/>
              </w:rPr>
            </w:pPr>
          </w:p>
          <w:p w14:paraId="7D124B39" w14:textId="77777777" w:rsidR="00221C59" w:rsidRDefault="00221C59" w:rsidP="00221C59">
            <w:pPr>
              <w:pStyle w:val="ListParagraph"/>
              <w:numPr>
                <w:ilvl w:val="0"/>
                <w:numId w:val="2"/>
              </w:numPr>
              <w:ind w:left="220" w:hanging="220"/>
              <w:jc w:val="both"/>
              <w:rPr>
                <w:rFonts w:ascii="Tw Cen MT Condensed" w:hAnsi="Tw Cen MT Condensed"/>
                <w:bCs/>
                <w:sz w:val="20"/>
                <w:szCs w:val="20"/>
              </w:rPr>
            </w:pPr>
            <w:r>
              <w:rPr>
                <w:rFonts w:ascii="Tw Cen MT Condensed" w:hAnsi="Tw Cen MT Condensed"/>
                <w:bCs/>
                <w:sz w:val="20"/>
                <w:szCs w:val="20"/>
              </w:rPr>
              <w:t>G</w:t>
            </w:r>
            <w:r w:rsidRPr="00A2664F">
              <w:rPr>
                <w:rFonts w:ascii="Tw Cen MT Condensed" w:hAnsi="Tw Cen MT Condensed"/>
                <w:bCs/>
                <w:sz w:val="20"/>
                <w:szCs w:val="20"/>
              </w:rPr>
              <w:t>eographic location</w:t>
            </w:r>
            <w:r>
              <w:rPr>
                <w:rFonts w:ascii="Tw Cen MT Condensed" w:hAnsi="Tw Cen MT Condensed"/>
                <w:bCs/>
                <w:sz w:val="20"/>
                <w:szCs w:val="20"/>
              </w:rPr>
              <w:t xml:space="preserve"> (Rural/Urban, Division/District)</w:t>
            </w:r>
          </w:p>
          <w:p w14:paraId="41DCB3BB" w14:textId="77777777" w:rsidR="00221C59" w:rsidRDefault="00221C59" w:rsidP="00221C59">
            <w:pPr>
              <w:pStyle w:val="ListParagraph"/>
              <w:numPr>
                <w:ilvl w:val="0"/>
                <w:numId w:val="2"/>
              </w:numPr>
              <w:ind w:left="220" w:hanging="220"/>
              <w:jc w:val="both"/>
              <w:rPr>
                <w:rFonts w:ascii="Tw Cen MT Condensed" w:hAnsi="Tw Cen MT Condensed"/>
                <w:bCs/>
                <w:sz w:val="20"/>
                <w:szCs w:val="20"/>
              </w:rPr>
            </w:pPr>
            <w:r>
              <w:rPr>
                <w:rFonts w:ascii="Tw Cen MT Condensed" w:hAnsi="Tw Cen MT Condensed"/>
                <w:bCs/>
                <w:sz w:val="20"/>
                <w:szCs w:val="20"/>
              </w:rPr>
              <w:t>M</w:t>
            </w:r>
            <w:r w:rsidRPr="00A2664F">
              <w:rPr>
                <w:rFonts w:ascii="Tw Cen MT Condensed" w:hAnsi="Tw Cen MT Condensed"/>
                <w:bCs/>
                <w:sz w:val="20"/>
                <w:szCs w:val="20"/>
              </w:rPr>
              <w:t>arital status</w:t>
            </w:r>
          </w:p>
          <w:p w14:paraId="12D95390" w14:textId="77777777" w:rsidR="00221C59" w:rsidRDefault="00221C59" w:rsidP="00221C59">
            <w:pPr>
              <w:pStyle w:val="ListParagraph"/>
              <w:numPr>
                <w:ilvl w:val="0"/>
                <w:numId w:val="2"/>
              </w:numPr>
              <w:ind w:left="220" w:hanging="220"/>
              <w:jc w:val="both"/>
              <w:rPr>
                <w:rFonts w:ascii="Tw Cen MT Condensed" w:hAnsi="Tw Cen MT Condensed"/>
                <w:bCs/>
                <w:sz w:val="20"/>
                <w:szCs w:val="20"/>
              </w:rPr>
            </w:pPr>
            <w:r>
              <w:rPr>
                <w:rFonts w:ascii="Tw Cen MT Condensed" w:hAnsi="Tw Cen MT Condensed"/>
                <w:bCs/>
                <w:sz w:val="20"/>
                <w:szCs w:val="20"/>
              </w:rPr>
              <w:t>S</w:t>
            </w:r>
            <w:r w:rsidRPr="00A2664F">
              <w:rPr>
                <w:rFonts w:ascii="Tw Cen MT Condensed" w:hAnsi="Tw Cen MT Condensed"/>
                <w:bCs/>
                <w:sz w:val="20"/>
                <w:szCs w:val="20"/>
              </w:rPr>
              <w:t>ocioeconomic status</w:t>
            </w:r>
          </w:p>
          <w:p w14:paraId="4AE7E7AC" w14:textId="36677ADA" w:rsidR="00B22244" w:rsidRDefault="00B22244" w:rsidP="00221C59">
            <w:pPr>
              <w:pStyle w:val="ListParagraph"/>
              <w:numPr>
                <w:ilvl w:val="0"/>
                <w:numId w:val="2"/>
              </w:numPr>
              <w:ind w:left="220" w:hanging="220"/>
              <w:jc w:val="both"/>
              <w:rPr>
                <w:rFonts w:ascii="Tw Cen MT Condensed" w:hAnsi="Tw Cen MT Condensed"/>
                <w:bCs/>
                <w:sz w:val="20"/>
                <w:szCs w:val="20"/>
              </w:rPr>
            </w:pPr>
            <w:r>
              <w:rPr>
                <w:rFonts w:ascii="Tw Cen MT Condensed" w:hAnsi="Tw Cen MT Condensed"/>
                <w:bCs/>
                <w:sz w:val="20"/>
                <w:szCs w:val="20"/>
              </w:rPr>
              <w:t>Other categories</w:t>
            </w:r>
          </w:p>
        </w:tc>
        <w:tc>
          <w:tcPr>
            <w:tcW w:w="0" w:type="auto"/>
            <w:shd w:val="clear" w:color="auto" w:fill="auto"/>
          </w:tcPr>
          <w:p w14:paraId="3DAF8A0D" w14:textId="77777777" w:rsidR="00221C59" w:rsidRDefault="00221C59" w:rsidP="00221C59">
            <w:pPr>
              <w:jc w:val="center"/>
              <w:rPr>
                <w:bCs/>
                <w:szCs w:val="20"/>
              </w:rPr>
            </w:pPr>
            <w:r>
              <w:rPr>
                <w:bCs/>
                <w:szCs w:val="20"/>
              </w:rPr>
              <w:t>3-Year</w:t>
            </w:r>
          </w:p>
        </w:tc>
        <w:tc>
          <w:tcPr>
            <w:tcW w:w="0" w:type="auto"/>
            <w:shd w:val="clear" w:color="auto" w:fill="auto"/>
          </w:tcPr>
          <w:p w14:paraId="124FE307" w14:textId="77777777" w:rsidR="00221C59" w:rsidRDefault="00221C59" w:rsidP="00221C59">
            <w:pPr>
              <w:pStyle w:val="NoSpacing"/>
            </w:pPr>
            <w:r>
              <w:t>1</w:t>
            </w:r>
            <w:r w:rsidRPr="00013ACB">
              <w:rPr>
                <w:vertAlign w:val="superscript"/>
              </w:rPr>
              <w:t>st</w:t>
            </w:r>
            <w:r>
              <w:t xml:space="preserve"> Round: </w:t>
            </w:r>
          </w:p>
          <w:p w14:paraId="1DC52FE7" w14:textId="77777777" w:rsidR="00221C59" w:rsidRDefault="00221C59" w:rsidP="00221C59">
            <w:pPr>
              <w:pStyle w:val="NoSpacing"/>
            </w:pPr>
            <w:r>
              <w:t>2014</w:t>
            </w:r>
          </w:p>
          <w:p w14:paraId="30CB78C7" w14:textId="77777777" w:rsidR="00221C59" w:rsidRDefault="00221C59" w:rsidP="00221C59">
            <w:pPr>
              <w:pStyle w:val="NoSpacing"/>
            </w:pPr>
            <w:r>
              <w:t>2</w:t>
            </w:r>
            <w:r w:rsidRPr="00013ACB">
              <w:rPr>
                <w:vertAlign w:val="superscript"/>
              </w:rPr>
              <w:t>nd</w:t>
            </w:r>
            <w:r>
              <w:t xml:space="preserve"> Round: </w:t>
            </w:r>
          </w:p>
          <w:p w14:paraId="08E52531" w14:textId="77777777" w:rsidR="00221C59" w:rsidRDefault="00221C59" w:rsidP="00221C59">
            <w:pPr>
              <w:pStyle w:val="NoSpacing"/>
            </w:pPr>
            <w:r w:rsidRPr="00BC6F10">
              <w:rPr>
                <w:szCs w:val="22"/>
              </w:rPr>
              <w:t>July 2019</w:t>
            </w:r>
          </w:p>
          <w:p w14:paraId="59D0736F" w14:textId="77777777" w:rsidR="00221C59" w:rsidRDefault="00221C59" w:rsidP="00221C59">
            <w:pPr>
              <w:pStyle w:val="NoSpacing"/>
            </w:pPr>
            <w:r>
              <w:t>3</w:t>
            </w:r>
            <w:r w:rsidRPr="00013ACB">
              <w:rPr>
                <w:vertAlign w:val="superscript"/>
              </w:rPr>
              <w:t>rd</w:t>
            </w:r>
            <w:r>
              <w:t xml:space="preserve"> Round: </w:t>
            </w:r>
          </w:p>
          <w:p w14:paraId="2CE950BA" w14:textId="77777777" w:rsidR="00221C59" w:rsidRDefault="00221C59" w:rsidP="00221C59">
            <w:pPr>
              <w:pStyle w:val="NoSpacing"/>
            </w:pPr>
            <w:r>
              <w:rPr>
                <w:szCs w:val="22"/>
              </w:rPr>
              <w:t>July 2020</w:t>
            </w:r>
          </w:p>
          <w:p w14:paraId="0DCABC86" w14:textId="77777777" w:rsidR="00221C59" w:rsidRDefault="00221C59" w:rsidP="00221C59">
            <w:pPr>
              <w:pStyle w:val="NoSpacing"/>
            </w:pPr>
            <w:r>
              <w:t>4</w:t>
            </w:r>
            <w:r w:rsidRPr="00013ACB">
              <w:rPr>
                <w:vertAlign w:val="superscript"/>
              </w:rPr>
              <w:t>th</w:t>
            </w:r>
            <w:r>
              <w:t xml:space="preserve"> Round: </w:t>
            </w:r>
          </w:p>
          <w:p w14:paraId="35AF2910" w14:textId="77777777" w:rsidR="00221C59" w:rsidRDefault="00221C59" w:rsidP="00221C59">
            <w:pPr>
              <w:pStyle w:val="NoSpacing"/>
            </w:pPr>
            <w:r>
              <w:rPr>
                <w:szCs w:val="22"/>
              </w:rPr>
              <w:t>July 2021</w:t>
            </w:r>
          </w:p>
          <w:p w14:paraId="1BC71020" w14:textId="77777777" w:rsidR="00221C59" w:rsidRDefault="00221C59" w:rsidP="00221C59">
            <w:pPr>
              <w:pStyle w:val="NoSpacing"/>
            </w:pPr>
            <w:r>
              <w:t>5</w:t>
            </w:r>
            <w:r w:rsidRPr="00013ACB">
              <w:rPr>
                <w:vertAlign w:val="superscript"/>
              </w:rPr>
              <w:t>th</w:t>
            </w:r>
            <w:r>
              <w:t xml:space="preserve"> Round: </w:t>
            </w:r>
          </w:p>
          <w:p w14:paraId="3EC24FC7" w14:textId="77777777" w:rsidR="00221C59" w:rsidRDefault="00221C59" w:rsidP="00221C59">
            <w:pPr>
              <w:pStyle w:val="NoSpacing"/>
              <w:rPr>
                <w:szCs w:val="22"/>
              </w:rPr>
            </w:pPr>
            <w:r>
              <w:rPr>
                <w:szCs w:val="22"/>
              </w:rPr>
              <w:t>July 2022</w:t>
            </w:r>
          </w:p>
          <w:p w14:paraId="3F7B48F4" w14:textId="2A97ACA1" w:rsidR="00221C59" w:rsidRPr="002175FB" w:rsidRDefault="00221C59" w:rsidP="00221C59">
            <w:pPr>
              <w:jc w:val="center"/>
              <w:rPr>
                <w:bCs/>
                <w:szCs w:val="20"/>
              </w:rPr>
            </w:pPr>
          </w:p>
        </w:tc>
        <w:tc>
          <w:tcPr>
            <w:tcW w:w="682" w:type="dxa"/>
            <w:shd w:val="clear" w:color="auto" w:fill="auto"/>
          </w:tcPr>
          <w:p w14:paraId="77AA934D"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Group 1</w:t>
            </w:r>
          </w:p>
        </w:tc>
        <w:tc>
          <w:tcPr>
            <w:tcW w:w="983" w:type="dxa"/>
            <w:shd w:val="clear" w:color="auto" w:fill="auto"/>
          </w:tcPr>
          <w:p w14:paraId="65E1E8EE"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SVRS, BBS should revise the contraceptive module to generate data annually</w:t>
            </w:r>
          </w:p>
        </w:tc>
      </w:tr>
      <w:tr w:rsidR="00BF3271" w14:paraId="384E8627" w14:textId="77777777" w:rsidTr="0085651F">
        <w:tc>
          <w:tcPr>
            <w:tcW w:w="0" w:type="auto"/>
            <w:gridSpan w:val="2"/>
            <w:shd w:val="clear" w:color="auto" w:fill="auto"/>
          </w:tcPr>
          <w:p w14:paraId="129D821B" w14:textId="77777777" w:rsidR="00221C59" w:rsidRPr="00A2664F" w:rsidRDefault="00221C59" w:rsidP="00221C59">
            <w:pPr>
              <w:jc w:val="both"/>
              <w:rPr>
                <w:szCs w:val="20"/>
              </w:rPr>
            </w:pPr>
            <w:r w:rsidRPr="00751C54">
              <w:rPr>
                <w:szCs w:val="20"/>
              </w:rPr>
              <w:lastRenderedPageBreak/>
              <w:t>3.7.2 Adolescent birth rate (aged 10–14 years; aged 15–19 years) per 1,000 women in that age group</w:t>
            </w:r>
          </w:p>
        </w:tc>
        <w:tc>
          <w:tcPr>
            <w:tcW w:w="0" w:type="auto"/>
            <w:shd w:val="clear" w:color="auto" w:fill="auto"/>
          </w:tcPr>
          <w:p w14:paraId="3F950D11" w14:textId="77777777" w:rsidR="00221C59" w:rsidRDefault="00221C59" w:rsidP="00221C59">
            <w:pPr>
              <w:jc w:val="center"/>
              <w:rPr>
                <w:szCs w:val="20"/>
              </w:rPr>
            </w:pPr>
            <w:r w:rsidRPr="00A2664F">
              <w:rPr>
                <w:szCs w:val="20"/>
              </w:rPr>
              <w:t>DESA Population Division</w:t>
            </w:r>
          </w:p>
          <w:p w14:paraId="5423150C" w14:textId="77777777" w:rsidR="00221C59" w:rsidRDefault="00221C59" w:rsidP="00221C59">
            <w:pPr>
              <w:jc w:val="center"/>
              <w:rPr>
                <w:szCs w:val="20"/>
              </w:rPr>
            </w:pPr>
          </w:p>
          <w:p w14:paraId="60EB5F53" w14:textId="77777777" w:rsidR="00221C59" w:rsidRDefault="00221C59" w:rsidP="00221C59">
            <w:pPr>
              <w:jc w:val="center"/>
              <w:rPr>
                <w:szCs w:val="20"/>
              </w:rPr>
            </w:pPr>
            <w:r>
              <w:rPr>
                <w:szCs w:val="20"/>
              </w:rPr>
              <w:t>Partner Ageny:</w:t>
            </w:r>
          </w:p>
          <w:p w14:paraId="40B4D78E" w14:textId="77777777" w:rsidR="00221C59" w:rsidRPr="00A2664F" w:rsidRDefault="00221C59" w:rsidP="00221C59">
            <w:pPr>
              <w:jc w:val="center"/>
              <w:rPr>
                <w:szCs w:val="20"/>
              </w:rPr>
            </w:pPr>
            <w:r w:rsidRPr="00A2664F">
              <w:rPr>
                <w:szCs w:val="20"/>
              </w:rPr>
              <w:t>UNFPA,</w:t>
            </w:r>
          </w:p>
          <w:p w14:paraId="74BE4BB5" w14:textId="77777777" w:rsidR="00221C59" w:rsidRDefault="00221C59" w:rsidP="00221C59">
            <w:pPr>
              <w:jc w:val="center"/>
              <w:rPr>
                <w:szCs w:val="20"/>
              </w:rPr>
            </w:pPr>
            <w:r w:rsidRPr="00A2664F">
              <w:rPr>
                <w:szCs w:val="20"/>
              </w:rPr>
              <w:t>WHO</w:t>
            </w:r>
          </w:p>
        </w:tc>
        <w:tc>
          <w:tcPr>
            <w:tcW w:w="0" w:type="auto"/>
            <w:shd w:val="clear" w:color="auto" w:fill="auto"/>
          </w:tcPr>
          <w:p w14:paraId="436B58E3" w14:textId="77777777" w:rsidR="00221C59" w:rsidRDefault="00221C59" w:rsidP="00221C59">
            <w:pPr>
              <w:jc w:val="center"/>
              <w:rPr>
                <w:szCs w:val="20"/>
              </w:rPr>
            </w:pPr>
            <w:r>
              <w:rPr>
                <w:szCs w:val="20"/>
              </w:rPr>
              <w:t>Tier I</w:t>
            </w:r>
          </w:p>
          <w:p w14:paraId="083DD94E" w14:textId="17C65F2E" w:rsidR="00221C59" w:rsidRDefault="00221C59" w:rsidP="00221C59">
            <w:pPr>
              <w:jc w:val="center"/>
              <w:rPr>
                <w:szCs w:val="20"/>
              </w:rPr>
            </w:pPr>
          </w:p>
        </w:tc>
        <w:tc>
          <w:tcPr>
            <w:tcW w:w="0" w:type="auto"/>
            <w:shd w:val="clear" w:color="auto" w:fill="auto"/>
          </w:tcPr>
          <w:p w14:paraId="47C63AD6" w14:textId="77777777" w:rsidR="00221C59" w:rsidRPr="00751C54" w:rsidRDefault="00221C59" w:rsidP="00221C59">
            <w:pPr>
              <w:jc w:val="both"/>
              <w:rPr>
                <w:b/>
                <w:bCs/>
                <w:color w:val="000000" w:themeColor="text1"/>
                <w:szCs w:val="20"/>
              </w:rPr>
            </w:pPr>
            <w:r w:rsidRPr="00751C54">
              <w:rPr>
                <w:b/>
                <w:bCs/>
                <w:color w:val="000000" w:themeColor="text1"/>
                <w:szCs w:val="20"/>
              </w:rPr>
              <w:t>Definition:</w:t>
            </w:r>
          </w:p>
          <w:p w14:paraId="1ACBF1BF" w14:textId="77777777" w:rsidR="00221C59" w:rsidRDefault="00221C59" w:rsidP="00221C59">
            <w:pPr>
              <w:jc w:val="both"/>
              <w:rPr>
                <w:color w:val="000000" w:themeColor="text1"/>
                <w:szCs w:val="20"/>
              </w:rPr>
            </w:pPr>
            <w:r w:rsidRPr="00751C54">
              <w:rPr>
                <w:color w:val="000000" w:themeColor="text1"/>
                <w:szCs w:val="20"/>
              </w:rPr>
              <w:t>Annual number of births to females aged 10-14 or 15-19 years per 1,000 females in the respective age group.</w:t>
            </w:r>
          </w:p>
          <w:p w14:paraId="1D05E33D" w14:textId="77777777" w:rsidR="00221C59" w:rsidRDefault="00221C59" w:rsidP="00221C59">
            <w:pPr>
              <w:jc w:val="both"/>
              <w:rPr>
                <w:color w:val="000000" w:themeColor="text1"/>
                <w:szCs w:val="20"/>
              </w:rPr>
            </w:pPr>
          </w:p>
          <w:p w14:paraId="05EB4D24" w14:textId="77777777" w:rsidR="00221C59" w:rsidRPr="00751C54" w:rsidRDefault="00221C59" w:rsidP="00221C59">
            <w:pPr>
              <w:jc w:val="both"/>
              <w:rPr>
                <w:b/>
                <w:bCs/>
                <w:color w:val="000000" w:themeColor="text1"/>
                <w:szCs w:val="20"/>
              </w:rPr>
            </w:pPr>
            <w:r w:rsidRPr="00751C54">
              <w:rPr>
                <w:b/>
                <w:bCs/>
                <w:color w:val="000000" w:themeColor="text1"/>
                <w:szCs w:val="20"/>
              </w:rPr>
              <w:t>Concepts:</w:t>
            </w:r>
          </w:p>
          <w:p w14:paraId="2EFB1779" w14:textId="77777777" w:rsidR="00221C59" w:rsidRDefault="00221C59" w:rsidP="00221C59">
            <w:pPr>
              <w:jc w:val="both"/>
              <w:rPr>
                <w:color w:val="000000" w:themeColor="text1"/>
                <w:szCs w:val="20"/>
              </w:rPr>
            </w:pPr>
            <w:r w:rsidRPr="00751C54">
              <w:rPr>
                <w:color w:val="000000" w:themeColor="text1"/>
                <w:szCs w:val="20"/>
              </w:rPr>
              <w:t>The adolescent birth rate represents the risk of childbearing among females</w:t>
            </w:r>
            <w:r>
              <w:rPr>
                <w:color w:val="000000" w:themeColor="text1"/>
                <w:szCs w:val="20"/>
              </w:rPr>
              <w:t xml:space="preserve"> </w:t>
            </w:r>
            <w:r w:rsidRPr="00751C54">
              <w:rPr>
                <w:color w:val="000000" w:themeColor="text1"/>
                <w:szCs w:val="20"/>
              </w:rPr>
              <w:t>in the particular age group.</w:t>
            </w:r>
            <w:r>
              <w:rPr>
                <w:color w:val="000000" w:themeColor="text1"/>
                <w:szCs w:val="20"/>
              </w:rPr>
              <w:t xml:space="preserve"> </w:t>
            </w:r>
            <w:r w:rsidRPr="00751C54">
              <w:rPr>
                <w:color w:val="000000" w:themeColor="text1"/>
                <w:szCs w:val="20"/>
              </w:rPr>
              <w:t>The adolescent birth rate among women aged 15-19 years is also referred to as the age-specific fertility</w:t>
            </w:r>
            <w:r>
              <w:rPr>
                <w:color w:val="000000" w:themeColor="text1"/>
                <w:szCs w:val="20"/>
              </w:rPr>
              <w:t xml:space="preserve"> </w:t>
            </w:r>
            <w:r w:rsidRPr="00751C54">
              <w:rPr>
                <w:color w:val="000000" w:themeColor="text1"/>
                <w:szCs w:val="20"/>
              </w:rPr>
              <w:t>rate for women aged 15-19.</w:t>
            </w:r>
          </w:p>
          <w:p w14:paraId="71C05C0A" w14:textId="77777777" w:rsidR="00221C59" w:rsidRDefault="00221C59" w:rsidP="00221C59">
            <w:pPr>
              <w:jc w:val="both"/>
              <w:rPr>
                <w:color w:val="000000" w:themeColor="text1"/>
                <w:szCs w:val="20"/>
              </w:rPr>
            </w:pPr>
          </w:p>
          <w:p w14:paraId="7B97D8BA" w14:textId="77777777" w:rsidR="00221C59" w:rsidRPr="00751C54" w:rsidRDefault="00221C59" w:rsidP="00221C59">
            <w:pPr>
              <w:jc w:val="both"/>
              <w:rPr>
                <w:b/>
                <w:bCs/>
                <w:color w:val="000000" w:themeColor="text1"/>
                <w:szCs w:val="20"/>
              </w:rPr>
            </w:pPr>
            <w:r w:rsidRPr="00751C54">
              <w:rPr>
                <w:b/>
                <w:bCs/>
                <w:color w:val="000000" w:themeColor="text1"/>
                <w:szCs w:val="20"/>
              </w:rPr>
              <w:t>Computation Method:</w:t>
            </w:r>
          </w:p>
          <w:p w14:paraId="0B624365" w14:textId="77777777" w:rsidR="00221C59" w:rsidRDefault="00221C59" w:rsidP="00221C59">
            <w:pPr>
              <w:jc w:val="both"/>
              <w:rPr>
                <w:color w:val="000000" w:themeColor="text1"/>
                <w:szCs w:val="20"/>
              </w:rPr>
            </w:pPr>
            <w:r w:rsidRPr="00751C54">
              <w:rPr>
                <w:color w:val="000000" w:themeColor="text1"/>
                <w:szCs w:val="20"/>
              </w:rPr>
              <w:t>The adolescent birth rate is computed as a ratio. The numerator is the number of live births to women</w:t>
            </w:r>
            <w:r>
              <w:rPr>
                <w:color w:val="000000" w:themeColor="text1"/>
                <w:szCs w:val="20"/>
              </w:rPr>
              <w:t xml:space="preserve"> </w:t>
            </w:r>
            <w:r w:rsidRPr="00751C54">
              <w:rPr>
                <w:color w:val="000000" w:themeColor="text1"/>
                <w:szCs w:val="20"/>
              </w:rPr>
              <w:t>aged 15-19 years, and the denominator an estimate of exposure to childbearing by women aged 15-19</w:t>
            </w:r>
            <w:r>
              <w:rPr>
                <w:color w:val="000000" w:themeColor="text1"/>
                <w:szCs w:val="20"/>
              </w:rPr>
              <w:t xml:space="preserve"> </w:t>
            </w:r>
            <w:r w:rsidRPr="00751C54">
              <w:rPr>
                <w:color w:val="000000" w:themeColor="text1"/>
                <w:szCs w:val="20"/>
              </w:rPr>
              <w:t>years. The computation is the same for the age group 10-14 years. The numerator and the denominator</w:t>
            </w:r>
            <w:r>
              <w:rPr>
                <w:color w:val="000000" w:themeColor="text1"/>
                <w:szCs w:val="20"/>
              </w:rPr>
              <w:t xml:space="preserve"> </w:t>
            </w:r>
            <w:r w:rsidRPr="00751C54">
              <w:rPr>
                <w:color w:val="000000" w:themeColor="text1"/>
                <w:szCs w:val="20"/>
              </w:rPr>
              <w:t>are calculated differently for civil registration, survey and census data.</w:t>
            </w:r>
          </w:p>
          <w:p w14:paraId="53C03BDA" w14:textId="77777777" w:rsidR="00221C59" w:rsidRDefault="00221C59" w:rsidP="00221C59">
            <w:pPr>
              <w:jc w:val="both"/>
              <w:rPr>
                <w:color w:val="000000" w:themeColor="text1"/>
                <w:szCs w:val="20"/>
              </w:rPr>
            </w:pPr>
          </w:p>
          <w:p w14:paraId="10C502F3" w14:textId="77777777" w:rsidR="00221C59" w:rsidRDefault="00221C59" w:rsidP="00221C59">
            <w:pPr>
              <w:jc w:val="both"/>
              <w:rPr>
                <w:color w:val="000000" w:themeColor="text1"/>
                <w:szCs w:val="20"/>
              </w:rPr>
            </w:pPr>
            <w:r w:rsidRPr="00453A9E">
              <w:rPr>
                <w:color w:val="000000" w:themeColor="text1"/>
                <w:szCs w:val="20"/>
              </w:rPr>
              <w:t>In the case of civil registration data, the numerator is the registered number of live births born to women aged 15-19 years during a given year, and the denominator is the estimated or enumerated population of women aged 15-19 years.</w:t>
            </w:r>
          </w:p>
          <w:p w14:paraId="710ED534" w14:textId="77777777" w:rsidR="00221C59" w:rsidRDefault="00221C59" w:rsidP="00221C59">
            <w:pPr>
              <w:jc w:val="both"/>
              <w:rPr>
                <w:color w:val="000000" w:themeColor="text1"/>
                <w:szCs w:val="20"/>
              </w:rPr>
            </w:pPr>
          </w:p>
          <w:p w14:paraId="61161D2E" w14:textId="77777777" w:rsidR="00221C59" w:rsidRDefault="00221C59" w:rsidP="00221C59">
            <w:pPr>
              <w:jc w:val="both"/>
              <w:rPr>
                <w:color w:val="000000" w:themeColor="text1"/>
                <w:szCs w:val="20"/>
              </w:rPr>
            </w:pPr>
            <w:r w:rsidRPr="00751C54">
              <w:rPr>
                <w:color w:val="000000" w:themeColor="text1"/>
                <w:szCs w:val="20"/>
              </w:rPr>
              <w:lastRenderedPageBreak/>
              <w:t>In the case of survey data, the numerator is the number of live births obtained from retrospective birth</w:t>
            </w:r>
            <w:r>
              <w:rPr>
                <w:color w:val="000000" w:themeColor="text1"/>
                <w:szCs w:val="20"/>
              </w:rPr>
              <w:t xml:space="preserve"> </w:t>
            </w:r>
            <w:r w:rsidRPr="00751C54">
              <w:rPr>
                <w:color w:val="000000" w:themeColor="text1"/>
                <w:szCs w:val="20"/>
              </w:rPr>
              <w:t>histories of the interviewed women who were 15-19 years of age at the time of the births during a</w:t>
            </w:r>
            <w:r>
              <w:rPr>
                <w:color w:val="000000" w:themeColor="text1"/>
                <w:szCs w:val="20"/>
              </w:rPr>
              <w:t xml:space="preserve"> </w:t>
            </w:r>
            <w:r w:rsidRPr="00751C54">
              <w:rPr>
                <w:color w:val="000000" w:themeColor="text1"/>
                <w:szCs w:val="20"/>
              </w:rPr>
              <w:t>reference period before the interview, and the denominator is person-years</w:t>
            </w:r>
            <w:r>
              <w:rPr>
                <w:color w:val="000000" w:themeColor="text1"/>
                <w:szCs w:val="20"/>
              </w:rPr>
              <w:t xml:space="preserve"> </w:t>
            </w:r>
            <w:r w:rsidRPr="00751C54">
              <w:rPr>
                <w:color w:val="000000" w:themeColor="text1"/>
                <w:szCs w:val="20"/>
              </w:rPr>
              <w:t>lived between the ages of</w:t>
            </w:r>
            <w:r>
              <w:rPr>
                <w:color w:val="000000" w:themeColor="text1"/>
                <w:szCs w:val="20"/>
              </w:rPr>
              <w:t xml:space="preserve"> </w:t>
            </w:r>
            <w:r w:rsidRPr="00751C54">
              <w:rPr>
                <w:color w:val="000000" w:themeColor="text1"/>
                <w:szCs w:val="20"/>
              </w:rPr>
              <w:t>15 and 19 years by the interviewed women during the same reference period. The reported observation</w:t>
            </w:r>
            <w:r>
              <w:rPr>
                <w:color w:val="000000" w:themeColor="text1"/>
                <w:szCs w:val="20"/>
              </w:rPr>
              <w:t xml:space="preserve"> </w:t>
            </w:r>
            <w:r w:rsidRPr="00751C54">
              <w:rPr>
                <w:color w:val="000000" w:themeColor="text1"/>
                <w:szCs w:val="20"/>
              </w:rPr>
              <w:t>year corresponds</w:t>
            </w:r>
            <w:r>
              <w:rPr>
                <w:color w:val="000000" w:themeColor="text1"/>
                <w:szCs w:val="20"/>
              </w:rPr>
              <w:t xml:space="preserve"> </w:t>
            </w:r>
            <w:r w:rsidRPr="00751C54">
              <w:rPr>
                <w:color w:val="000000" w:themeColor="text1"/>
                <w:szCs w:val="20"/>
              </w:rPr>
              <w:t>to the middle of the reference period. For some surveys without data on retrospective</w:t>
            </w:r>
            <w:r>
              <w:rPr>
                <w:color w:val="000000" w:themeColor="text1"/>
                <w:szCs w:val="20"/>
              </w:rPr>
              <w:t xml:space="preserve"> </w:t>
            </w:r>
            <w:r w:rsidRPr="00751C54">
              <w:rPr>
                <w:color w:val="000000" w:themeColor="text1"/>
                <w:szCs w:val="20"/>
              </w:rPr>
              <w:t>birth histories, computation of the adolescent birth rate is based on the date of last birth or the number</w:t>
            </w:r>
            <w:r>
              <w:rPr>
                <w:color w:val="000000" w:themeColor="text1"/>
                <w:szCs w:val="20"/>
              </w:rPr>
              <w:t xml:space="preserve"> </w:t>
            </w:r>
            <w:r w:rsidRPr="00751C54">
              <w:rPr>
                <w:color w:val="000000" w:themeColor="text1"/>
                <w:szCs w:val="20"/>
              </w:rPr>
              <w:t>of births</w:t>
            </w:r>
            <w:r>
              <w:rPr>
                <w:color w:val="000000" w:themeColor="text1"/>
                <w:szCs w:val="20"/>
              </w:rPr>
              <w:t xml:space="preserve"> </w:t>
            </w:r>
            <w:r w:rsidRPr="00751C54">
              <w:rPr>
                <w:color w:val="000000" w:themeColor="text1"/>
                <w:szCs w:val="20"/>
              </w:rPr>
              <w:t>in the 12 months preceding the survey.</w:t>
            </w:r>
          </w:p>
          <w:p w14:paraId="286A6021" w14:textId="77777777" w:rsidR="00221C59" w:rsidRDefault="00221C59" w:rsidP="00221C59">
            <w:pPr>
              <w:jc w:val="both"/>
              <w:rPr>
                <w:color w:val="000000" w:themeColor="text1"/>
                <w:szCs w:val="20"/>
              </w:rPr>
            </w:pPr>
          </w:p>
          <w:p w14:paraId="13F6937B" w14:textId="77777777" w:rsidR="00221C59" w:rsidRDefault="00221C59" w:rsidP="00221C59">
            <w:pPr>
              <w:jc w:val="both"/>
              <w:rPr>
                <w:color w:val="000000" w:themeColor="text1"/>
                <w:szCs w:val="20"/>
              </w:rPr>
            </w:pPr>
            <w:r w:rsidRPr="00751C54">
              <w:rPr>
                <w:color w:val="000000" w:themeColor="text1"/>
                <w:szCs w:val="20"/>
              </w:rPr>
              <w:t>With census data, the adolescent birth rate is computed on the basis of the date of last birth or the</w:t>
            </w:r>
            <w:r>
              <w:rPr>
                <w:color w:val="000000" w:themeColor="text1"/>
                <w:szCs w:val="20"/>
              </w:rPr>
              <w:t xml:space="preserve"> </w:t>
            </w:r>
            <w:r w:rsidRPr="00751C54">
              <w:rPr>
                <w:color w:val="000000" w:themeColor="text1"/>
                <w:szCs w:val="20"/>
              </w:rPr>
              <w:t>number of births in the 12 months preceding the enumeration. The census provides both the numerator</w:t>
            </w:r>
            <w:r>
              <w:rPr>
                <w:color w:val="000000" w:themeColor="text1"/>
                <w:szCs w:val="20"/>
              </w:rPr>
              <w:t xml:space="preserve"> </w:t>
            </w:r>
            <w:r w:rsidRPr="00751C54">
              <w:rPr>
                <w:color w:val="000000" w:themeColor="text1"/>
                <w:szCs w:val="20"/>
              </w:rPr>
              <w:t>and the denominator for the rates. In some cases, the rates based on censuses are adjusted for under registration</w:t>
            </w:r>
            <w:r>
              <w:rPr>
                <w:color w:val="000000" w:themeColor="text1"/>
                <w:szCs w:val="20"/>
              </w:rPr>
              <w:t xml:space="preserve"> </w:t>
            </w:r>
            <w:r w:rsidRPr="00751C54">
              <w:rPr>
                <w:color w:val="000000" w:themeColor="text1"/>
                <w:szCs w:val="20"/>
              </w:rPr>
              <w:t>based on indirect methods of estimation. For some countries with no other reliable data,</w:t>
            </w:r>
            <w:r>
              <w:rPr>
                <w:color w:val="000000" w:themeColor="text1"/>
                <w:szCs w:val="20"/>
              </w:rPr>
              <w:t xml:space="preserve"> </w:t>
            </w:r>
            <w:r w:rsidRPr="00751C54">
              <w:rPr>
                <w:color w:val="000000" w:themeColor="text1"/>
                <w:szCs w:val="20"/>
              </w:rPr>
              <w:t>the own-children method of indirect estimation provides estimates of the adolescent birth rate for a</w:t>
            </w:r>
            <w:r>
              <w:rPr>
                <w:color w:val="000000" w:themeColor="text1"/>
                <w:szCs w:val="20"/>
              </w:rPr>
              <w:t xml:space="preserve"> </w:t>
            </w:r>
            <w:r w:rsidRPr="00751C54">
              <w:rPr>
                <w:color w:val="000000" w:themeColor="text1"/>
                <w:szCs w:val="20"/>
              </w:rPr>
              <w:t>number of years before the census.</w:t>
            </w:r>
          </w:p>
          <w:p w14:paraId="75847FB7" w14:textId="77777777" w:rsidR="00221C59" w:rsidRPr="00751C54" w:rsidRDefault="00221C59" w:rsidP="00221C59">
            <w:pPr>
              <w:jc w:val="both"/>
              <w:rPr>
                <w:color w:val="000000" w:themeColor="text1"/>
                <w:szCs w:val="20"/>
              </w:rPr>
            </w:pPr>
          </w:p>
          <w:p w14:paraId="77248BDC" w14:textId="77777777" w:rsidR="00221C59" w:rsidRPr="00751C54" w:rsidRDefault="00221C59" w:rsidP="00221C59">
            <w:pPr>
              <w:jc w:val="both"/>
              <w:rPr>
                <w:color w:val="000000" w:themeColor="text1"/>
                <w:szCs w:val="20"/>
              </w:rPr>
            </w:pPr>
            <w:r w:rsidRPr="00751C54">
              <w:rPr>
                <w:color w:val="000000" w:themeColor="text1"/>
                <w:szCs w:val="20"/>
              </w:rPr>
              <w:t>If data are available, adolescent fertility at ages 10-14 years can also be computed.</w:t>
            </w:r>
          </w:p>
        </w:tc>
        <w:tc>
          <w:tcPr>
            <w:tcW w:w="0" w:type="auto"/>
            <w:shd w:val="clear" w:color="auto" w:fill="auto"/>
          </w:tcPr>
          <w:p w14:paraId="501664D7" w14:textId="77777777" w:rsidR="00221C59" w:rsidRDefault="00221C59" w:rsidP="00221C59">
            <w:pPr>
              <w:jc w:val="center"/>
              <w:rPr>
                <w:bCs/>
                <w:szCs w:val="20"/>
              </w:rPr>
            </w:pPr>
            <w:r>
              <w:rPr>
                <w:bCs/>
                <w:szCs w:val="20"/>
              </w:rPr>
              <w:lastRenderedPageBreak/>
              <w:t>Civil Registration System; Population Census; Household Survey</w:t>
            </w:r>
          </w:p>
        </w:tc>
        <w:tc>
          <w:tcPr>
            <w:tcW w:w="0" w:type="auto"/>
            <w:shd w:val="clear" w:color="auto" w:fill="auto"/>
          </w:tcPr>
          <w:p w14:paraId="062777EE" w14:textId="77777777" w:rsidR="00221C59" w:rsidRDefault="00221C59" w:rsidP="00221C59">
            <w:pPr>
              <w:jc w:val="center"/>
              <w:rPr>
                <w:bCs/>
                <w:szCs w:val="20"/>
              </w:rPr>
            </w:pPr>
            <w:r>
              <w:rPr>
                <w:bCs/>
                <w:szCs w:val="20"/>
              </w:rPr>
              <w:t>Civil Registration Authority; National Statistics Office</w:t>
            </w:r>
          </w:p>
        </w:tc>
        <w:tc>
          <w:tcPr>
            <w:tcW w:w="0" w:type="auto"/>
            <w:shd w:val="clear" w:color="auto" w:fill="auto"/>
          </w:tcPr>
          <w:p w14:paraId="3330A78C" w14:textId="77777777" w:rsidR="00221C59" w:rsidRDefault="00221C59" w:rsidP="00221C59">
            <w:pPr>
              <w:jc w:val="center"/>
              <w:rPr>
                <w:color w:val="000000" w:themeColor="text1"/>
                <w:sz w:val="18"/>
                <w:szCs w:val="18"/>
              </w:rPr>
            </w:pPr>
            <w:r>
              <w:rPr>
                <w:color w:val="000000" w:themeColor="text1"/>
                <w:sz w:val="18"/>
                <w:szCs w:val="18"/>
              </w:rPr>
              <w:t>SVRS, BBS</w:t>
            </w:r>
          </w:p>
        </w:tc>
        <w:tc>
          <w:tcPr>
            <w:tcW w:w="0" w:type="auto"/>
            <w:shd w:val="clear" w:color="auto" w:fill="auto"/>
          </w:tcPr>
          <w:p w14:paraId="1E8CCFD4" w14:textId="761901E7" w:rsidR="00221C59" w:rsidRDefault="00221C59" w:rsidP="00221C59">
            <w:pPr>
              <w:rPr>
                <w:bCs/>
                <w:szCs w:val="20"/>
              </w:rPr>
            </w:pPr>
          </w:p>
          <w:p w14:paraId="1B0DC798" w14:textId="77777777" w:rsidR="00221C59" w:rsidRPr="00A2664F" w:rsidRDefault="00221C59" w:rsidP="00221C59">
            <w:pPr>
              <w:rPr>
                <w:bCs/>
                <w:szCs w:val="20"/>
              </w:rPr>
            </w:pPr>
            <w:r w:rsidRPr="00BC6F10">
              <w:rPr>
                <w:rFonts w:eastAsia="Times New Roman" w:cs="Times New Roman"/>
                <w:color w:val="000000" w:themeColor="text1"/>
                <w:szCs w:val="20"/>
              </w:rPr>
              <w:t>SVRS</w:t>
            </w:r>
            <w:r w:rsidRPr="00D676D6">
              <w:rPr>
                <w:rFonts w:eastAsia="Times New Roman" w:cs="Times New Roman"/>
                <w:color w:val="000000" w:themeColor="text1"/>
                <w:szCs w:val="20"/>
              </w:rPr>
              <w:t>/MICS/PHC</w:t>
            </w:r>
            <w:r>
              <w:rPr>
                <w:rFonts w:eastAsia="Times New Roman" w:cs="Times New Roman"/>
                <w:color w:val="000000" w:themeColor="text1"/>
                <w:szCs w:val="20"/>
              </w:rPr>
              <w:t>, BBS</w:t>
            </w:r>
          </w:p>
        </w:tc>
        <w:tc>
          <w:tcPr>
            <w:tcW w:w="0" w:type="auto"/>
            <w:shd w:val="clear" w:color="auto" w:fill="auto"/>
          </w:tcPr>
          <w:p w14:paraId="7AAEC1F2" w14:textId="56CE2A54" w:rsidR="00221C59" w:rsidRDefault="00221C59" w:rsidP="00221C59">
            <w:pPr>
              <w:pStyle w:val="ListParagraph"/>
              <w:numPr>
                <w:ilvl w:val="0"/>
                <w:numId w:val="2"/>
              </w:numPr>
              <w:ind w:left="130" w:hanging="130"/>
              <w:rPr>
                <w:rFonts w:ascii="Tw Cen MT Condensed" w:hAnsi="Tw Cen MT Condensed"/>
                <w:bCs/>
                <w:sz w:val="20"/>
                <w:szCs w:val="20"/>
              </w:rPr>
            </w:pPr>
            <w:r w:rsidRPr="00751C54">
              <w:rPr>
                <w:rFonts w:ascii="Tw Cen MT Condensed" w:hAnsi="Tw Cen MT Condensed"/>
                <w:bCs/>
                <w:sz w:val="20"/>
                <w:szCs w:val="20"/>
              </w:rPr>
              <w:t>Age</w:t>
            </w:r>
            <w:r w:rsidR="00BE6D76" w:rsidRPr="00F852F0">
              <w:rPr>
                <w:rFonts w:ascii="Tw Cen MT Condensed" w:hAnsi="Tw Cen MT Condensed"/>
              </w:rPr>
              <w:t xml:space="preserve">: </w:t>
            </w:r>
            <w:r w:rsidR="00BE6D76">
              <w:rPr>
                <w:rFonts w:ascii="Tw Cen MT Condensed" w:hAnsi="Tw Cen MT Condensed"/>
              </w:rPr>
              <w:t xml:space="preserve">10-14 years, </w:t>
            </w:r>
            <w:r w:rsidR="00BE6D76" w:rsidRPr="00F852F0">
              <w:rPr>
                <w:rFonts w:ascii="Tw Cen MT Condensed" w:hAnsi="Tw Cen MT Condensed"/>
              </w:rPr>
              <w:t>15</w:t>
            </w:r>
            <w:r w:rsidR="00BE6D76">
              <w:rPr>
                <w:rFonts w:ascii="Tw Cen MT Condensed" w:hAnsi="Tw Cen MT Condensed"/>
              </w:rPr>
              <w:t>-1</w:t>
            </w:r>
            <w:r w:rsidR="00BE6D76" w:rsidRPr="00F852F0">
              <w:rPr>
                <w:rFonts w:ascii="Tw Cen MT Condensed" w:hAnsi="Tw Cen MT Condensed"/>
              </w:rPr>
              <w:t>9 years</w:t>
            </w:r>
          </w:p>
          <w:p w14:paraId="1D5355CE" w14:textId="77777777" w:rsidR="00221C59" w:rsidRDefault="00221C59" w:rsidP="00221C59">
            <w:pPr>
              <w:pStyle w:val="ListParagraph"/>
              <w:numPr>
                <w:ilvl w:val="0"/>
                <w:numId w:val="2"/>
              </w:numPr>
              <w:ind w:left="130" w:hanging="130"/>
              <w:rPr>
                <w:rFonts w:ascii="Tw Cen MT Condensed" w:hAnsi="Tw Cen MT Condensed"/>
                <w:bCs/>
                <w:sz w:val="20"/>
                <w:szCs w:val="20"/>
              </w:rPr>
            </w:pPr>
            <w:r>
              <w:rPr>
                <w:rFonts w:ascii="Tw Cen MT Condensed" w:hAnsi="Tw Cen MT Condensed"/>
                <w:bCs/>
                <w:sz w:val="20"/>
                <w:szCs w:val="20"/>
              </w:rPr>
              <w:t>E</w:t>
            </w:r>
            <w:r w:rsidRPr="00751C54">
              <w:rPr>
                <w:rFonts w:ascii="Tw Cen MT Condensed" w:hAnsi="Tw Cen MT Condensed"/>
                <w:bCs/>
                <w:sz w:val="20"/>
                <w:szCs w:val="20"/>
              </w:rPr>
              <w:t>ducation</w:t>
            </w:r>
          </w:p>
          <w:p w14:paraId="210F811A" w14:textId="77777777" w:rsidR="00221C59" w:rsidRDefault="00221C59" w:rsidP="00221C59">
            <w:pPr>
              <w:pStyle w:val="ListParagraph"/>
              <w:numPr>
                <w:ilvl w:val="0"/>
                <w:numId w:val="2"/>
              </w:numPr>
              <w:ind w:left="130" w:hanging="130"/>
              <w:rPr>
                <w:rFonts w:ascii="Tw Cen MT Condensed" w:hAnsi="Tw Cen MT Condensed"/>
                <w:bCs/>
                <w:sz w:val="20"/>
                <w:szCs w:val="20"/>
              </w:rPr>
            </w:pPr>
            <w:r>
              <w:rPr>
                <w:rFonts w:ascii="Tw Cen MT Condensed" w:hAnsi="Tw Cen MT Condensed"/>
                <w:bCs/>
                <w:sz w:val="20"/>
                <w:szCs w:val="20"/>
              </w:rPr>
              <w:t>N</w:t>
            </w:r>
            <w:r w:rsidRPr="00751C54">
              <w:rPr>
                <w:rFonts w:ascii="Tw Cen MT Condensed" w:hAnsi="Tw Cen MT Condensed"/>
                <w:bCs/>
                <w:sz w:val="20"/>
                <w:szCs w:val="20"/>
              </w:rPr>
              <w:t>umber of living children</w:t>
            </w:r>
          </w:p>
          <w:p w14:paraId="6AD87DF0" w14:textId="35EE10EA" w:rsidR="00221C59" w:rsidRDefault="00221C59" w:rsidP="00221C59">
            <w:pPr>
              <w:pStyle w:val="ListParagraph"/>
              <w:numPr>
                <w:ilvl w:val="0"/>
                <w:numId w:val="2"/>
              </w:numPr>
              <w:ind w:left="130" w:hanging="130"/>
              <w:rPr>
                <w:rFonts w:ascii="Tw Cen MT Condensed" w:hAnsi="Tw Cen MT Condensed"/>
                <w:bCs/>
                <w:sz w:val="20"/>
                <w:szCs w:val="20"/>
              </w:rPr>
            </w:pPr>
            <w:r>
              <w:rPr>
                <w:rFonts w:ascii="Tw Cen MT Condensed" w:hAnsi="Tw Cen MT Condensed"/>
                <w:bCs/>
                <w:sz w:val="20"/>
                <w:szCs w:val="20"/>
              </w:rPr>
              <w:t>M</w:t>
            </w:r>
            <w:r w:rsidRPr="00751C54">
              <w:rPr>
                <w:rFonts w:ascii="Tw Cen MT Condensed" w:hAnsi="Tw Cen MT Condensed"/>
                <w:bCs/>
                <w:sz w:val="20"/>
                <w:szCs w:val="20"/>
              </w:rPr>
              <w:t>arital</w:t>
            </w:r>
            <w:r>
              <w:rPr>
                <w:rFonts w:ascii="Tw Cen MT Condensed" w:hAnsi="Tw Cen MT Condensed"/>
                <w:bCs/>
                <w:sz w:val="20"/>
                <w:szCs w:val="20"/>
              </w:rPr>
              <w:t xml:space="preserve"> </w:t>
            </w:r>
            <w:r w:rsidRPr="00751C54">
              <w:rPr>
                <w:rFonts w:ascii="Tw Cen MT Condensed" w:hAnsi="Tw Cen MT Condensed"/>
                <w:bCs/>
                <w:sz w:val="20"/>
                <w:szCs w:val="20"/>
              </w:rPr>
              <w:t>status</w:t>
            </w:r>
            <w:r w:rsidR="005C5D45">
              <w:rPr>
                <w:rFonts w:ascii="Tw Cen MT Condensed" w:hAnsi="Tw Cen MT Condensed"/>
                <w:bCs/>
                <w:sz w:val="20"/>
                <w:szCs w:val="20"/>
              </w:rPr>
              <w:t>: Married/Unmarried/other</w:t>
            </w:r>
          </w:p>
          <w:p w14:paraId="0E644292" w14:textId="5D06AA09" w:rsidR="00221C59" w:rsidRDefault="00221C59" w:rsidP="00221C59">
            <w:pPr>
              <w:pStyle w:val="ListParagraph"/>
              <w:numPr>
                <w:ilvl w:val="0"/>
                <w:numId w:val="2"/>
              </w:numPr>
              <w:ind w:left="130" w:hanging="130"/>
              <w:rPr>
                <w:rFonts w:ascii="Tw Cen MT Condensed" w:hAnsi="Tw Cen MT Condensed"/>
                <w:bCs/>
                <w:sz w:val="20"/>
                <w:szCs w:val="20"/>
              </w:rPr>
            </w:pPr>
            <w:r>
              <w:rPr>
                <w:rFonts w:ascii="Tw Cen MT Condensed" w:hAnsi="Tw Cen MT Condensed"/>
                <w:bCs/>
                <w:sz w:val="20"/>
                <w:szCs w:val="20"/>
              </w:rPr>
              <w:t>S</w:t>
            </w:r>
            <w:r w:rsidRPr="00751C54">
              <w:rPr>
                <w:rFonts w:ascii="Tw Cen MT Condensed" w:hAnsi="Tw Cen MT Condensed"/>
                <w:bCs/>
                <w:sz w:val="20"/>
                <w:szCs w:val="20"/>
              </w:rPr>
              <w:t>ocioeconomic status</w:t>
            </w:r>
            <w:r w:rsidR="00DF6E64">
              <w:rPr>
                <w:rFonts w:ascii="Tw Cen MT Condensed" w:hAnsi="Tw Cen MT Condensed"/>
                <w:bCs/>
                <w:sz w:val="20"/>
                <w:szCs w:val="20"/>
              </w:rPr>
              <w:t>: High/Medium/ Low</w:t>
            </w:r>
          </w:p>
          <w:p w14:paraId="375AA18C" w14:textId="590FC7BF" w:rsidR="00221C59" w:rsidRPr="00A2664F" w:rsidRDefault="00221C59" w:rsidP="00221C59">
            <w:pPr>
              <w:pStyle w:val="ListParagraph"/>
              <w:numPr>
                <w:ilvl w:val="0"/>
                <w:numId w:val="2"/>
              </w:numPr>
              <w:ind w:left="130" w:hanging="130"/>
              <w:rPr>
                <w:rFonts w:ascii="Tw Cen MT Condensed" w:hAnsi="Tw Cen MT Condensed"/>
                <w:bCs/>
                <w:sz w:val="20"/>
                <w:szCs w:val="20"/>
              </w:rPr>
            </w:pPr>
            <w:r>
              <w:rPr>
                <w:rFonts w:ascii="Tw Cen MT Condensed" w:hAnsi="Tw Cen MT Condensed"/>
                <w:bCs/>
                <w:sz w:val="20"/>
                <w:szCs w:val="20"/>
              </w:rPr>
              <w:t>G</w:t>
            </w:r>
            <w:r w:rsidRPr="00751C54">
              <w:rPr>
                <w:rFonts w:ascii="Tw Cen MT Condensed" w:hAnsi="Tw Cen MT Condensed"/>
                <w:bCs/>
                <w:sz w:val="20"/>
                <w:szCs w:val="20"/>
              </w:rPr>
              <w:t>eographic location</w:t>
            </w:r>
            <w:r w:rsidR="00DF6E64">
              <w:rPr>
                <w:rFonts w:ascii="Tw Cen MT Condensed" w:hAnsi="Tw Cen MT Condensed"/>
                <w:bCs/>
                <w:sz w:val="20"/>
                <w:szCs w:val="20"/>
              </w:rPr>
              <w:t xml:space="preserve"> (Urban/Rural), Division/Distric</w:t>
            </w:r>
          </w:p>
        </w:tc>
        <w:tc>
          <w:tcPr>
            <w:tcW w:w="0" w:type="auto"/>
            <w:shd w:val="clear" w:color="auto" w:fill="auto"/>
          </w:tcPr>
          <w:p w14:paraId="2AF44EC7" w14:textId="77777777" w:rsidR="00221C59" w:rsidRDefault="00221C59" w:rsidP="00221C59">
            <w:pPr>
              <w:jc w:val="center"/>
              <w:rPr>
                <w:bCs/>
                <w:szCs w:val="20"/>
              </w:rPr>
            </w:pPr>
            <w:r>
              <w:rPr>
                <w:bCs/>
                <w:szCs w:val="20"/>
              </w:rPr>
              <w:t>Annual</w:t>
            </w:r>
          </w:p>
        </w:tc>
        <w:tc>
          <w:tcPr>
            <w:tcW w:w="0" w:type="auto"/>
            <w:shd w:val="clear" w:color="auto" w:fill="auto"/>
          </w:tcPr>
          <w:p w14:paraId="797EF6BD" w14:textId="77777777" w:rsidR="00221C59" w:rsidRDefault="00221C59" w:rsidP="00221C59">
            <w:pPr>
              <w:pStyle w:val="NoSpacing"/>
            </w:pPr>
            <w:r>
              <w:t>1</w:t>
            </w:r>
            <w:r w:rsidRPr="00013ACB">
              <w:rPr>
                <w:vertAlign w:val="superscript"/>
              </w:rPr>
              <w:t>st</w:t>
            </w:r>
            <w:r>
              <w:t xml:space="preserve"> Round: </w:t>
            </w:r>
          </w:p>
          <w:p w14:paraId="16CCB7AF" w14:textId="77777777" w:rsidR="00221C59" w:rsidRDefault="00221C59" w:rsidP="00221C59">
            <w:pPr>
              <w:pStyle w:val="NoSpacing"/>
            </w:pPr>
            <w:r>
              <w:t>2015</w:t>
            </w:r>
          </w:p>
          <w:p w14:paraId="46AF7457" w14:textId="77777777" w:rsidR="00221C59" w:rsidRDefault="00221C59" w:rsidP="00221C59">
            <w:pPr>
              <w:pStyle w:val="NoSpacing"/>
            </w:pPr>
            <w:r>
              <w:t>2</w:t>
            </w:r>
            <w:r w:rsidRPr="00013ACB">
              <w:rPr>
                <w:vertAlign w:val="superscript"/>
              </w:rPr>
              <w:t>nd</w:t>
            </w:r>
            <w:r>
              <w:t xml:space="preserve"> Round: </w:t>
            </w:r>
          </w:p>
          <w:p w14:paraId="540EF72F" w14:textId="77777777" w:rsidR="00221C59" w:rsidRDefault="00221C59" w:rsidP="00221C59">
            <w:pPr>
              <w:pStyle w:val="NoSpacing"/>
            </w:pPr>
            <w:r w:rsidRPr="00BC6F10">
              <w:rPr>
                <w:szCs w:val="22"/>
              </w:rPr>
              <w:t>July 2019</w:t>
            </w:r>
          </w:p>
          <w:p w14:paraId="5D2DAE26" w14:textId="77777777" w:rsidR="00221C59" w:rsidRDefault="00221C59" w:rsidP="00221C59">
            <w:pPr>
              <w:pStyle w:val="NoSpacing"/>
            </w:pPr>
            <w:r>
              <w:t>3</w:t>
            </w:r>
            <w:r w:rsidRPr="00013ACB">
              <w:rPr>
                <w:vertAlign w:val="superscript"/>
              </w:rPr>
              <w:t>rd</w:t>
            </w:r>
            <w:r>
              <w:t xml:space="preserve"> Round: </w:t>
            </w:r>
          </w:p>
          <w:p w14:paraId="3C7ECD1C" w14:textId="77777777" w:rsidR="00221C59" w:rsidRDefault="00221C59" w:rsidP="00221C59">
            <w:pPr>
              <w:pStyle w:val="NoSpacing"/>
            </w:pPr>
            <w:r>
              <w:rPr>
                <w:szCs w:val="22"/>
              </w:rPr>
              <w:t>July 2020</w:t>
            </w:r>
          </w:p>
          <w:p w14:paraId="678F74D3" w14:textId="77777777" w:rsidR="00221C59" w:rsidRDefault="00221C59" w:rsidP="00221C59">
            <w:pPr>
              <w:pStyle w:val="NoSpacing"/>
            </w:pPr>
            <w:r>
              <w:t>4</w:t>
            </w:r>
            <w:r w:rsidRPr="00013ACB">
              <w:rPr>
                <w:vertAlign w:val="superscript"/>
              </w:rPr>
              <w:t>th</w:t>
            </w:r>
            <w:r>
              <w:t xml:space="preserve"> Round: </w:t>
            </w:r>
          </w:p>
          <w:p w14:paraId="0581B1B3" w14:textId="77777777" w:rsidR="00221C59" w:rsidRDefault="00221C59" w:rsidP="00221C59">
            <w:pPr>
              <w:pStyle w:val="NoSpacing"/>
            </w:pPr>
            <w:r>
              <w:rPr>
                <w:szCs w:val="22"/>
              </w:rPr>
              <w:t>July 2021</w:t>
            </w:r>
          </w:p>
          <w:p w14:paraId="5B8ADAD8" w14:textId="77777777" w:rsidR="00221C59" w:rsidRDefault="00221C59" w:rsidP="00221C59">
            <w:pPr>
              <w:pStyle w:val="NoSpacing"/>
            </w:pPr>
            <w:r>
              <w:t>5</w:t>
            </w:r>
            <w:r w:rsidRPr="00013ACB">
              <w:rPr>
                <w:vertAlign w:val="superscript"/>
              </w:rPr>
              <w:t>th</w:t>
            </w:r>
            <w:r>
              <w:t xml:space="preserve"> Round: </w:t>
            </w:r>
          </w:p>
          <w:p w14:paraId="78FA80DC" w14:textId="77777777" w:rsidR="00221C59" w:rsidRDefault="00221C59" w:rsidP="00221C59">
            <w:pPr>
              <w:pStyle w:val="NoSpacing"/>
            </w:pPr>
            <w:r>
              <w:rPr>
                <w:szCs w:val="22"/>
              </w:rPr>
              <w:t>July 2022</w:t>
            </w:r>
          </w:p>
          <w:p w14:paraId="3D2E6372" w14:textId="386AF99F" w:rsidR="00221C59" w:rsidRPr="002175FB" w:rsidRDefault="00221C59" w:rsidP="00221C59">
            <w:pPr>
              <w:jc w:val="center"/>
              <w:rPr>
                <w:bCs/>
                <w:szCs w:val="20"/>
              </w:rPr>
            </w:pPr>
          </w:p>
        </w:tc>
        <w:tc>
          <w:tcPr>
            <w:tcW w:w="682" w:type="dxa"/>
            <w:shd w:val="clear" w:color="auto" w:fill="auto"/>
          </w:tcPr>
          <w:p w14:paraId="37A9D911"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Group 2</w:t>
            </w:r>
          </w:p>
        </w:tc>
        <w:tc>
          <w:tcPr>
            <w:tcW w:w="983" w:type="dxa"/>
            <w:shd w:val="clear" w:color="auto" w:fill="auto"/>
          </w:tcPr>
          <w:p w14:paraId="09F9340D" w14:textId="77777777" w:rsidR="00221C59" w:rsidRDefault="00221C59" w:rsidP="00221C59">
            <w:pPr>
              <w:pStyle w:val="ListParagraph"/>
              <w:ind w:left="-1"/>
              <w:jc w:val="both"/>
              <w:rPr>
                <w:rFonts w:ascii="Tw Cen MT Condensed" w:hAnsi="Tw Cen MT Condensed"/>
                <w:bCs/>
                <w:sz w:val="20"/>
                <w:szCs w:val="20"/>
              </w:rPr>
            </w:pPr>
          </w:p>
        </w:tc>
      </w:tr>
      <w:tr w:rsidR="00D46636" w:rsidRPr="00A951DD" w14:paraId="659DDBA5" w14:textId="77777777" w:rsidTr="0085651F">
        <w:tc>
          <w:tcPr>
            <w:tcW w:w="0" w:type="auto"/>
            <w:gridSpan w:val="14"/>
            <w:shd w:val="clear" w:color="auto" w:fill="auto"/>
          </w:tcPr>
          <w:p w14:paraId="5FB95FD2"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3.8: Achieve universal health coverage, including financial risk protection, access to quality essential health-care services and access to safe, effective, quality and affordable essential medicines and vaccines for all</w:t>
            </w:r>
          </w:p>
        </w:tc>
      </w:tr>
      <w:tr w:rsidR="00BF3271" w14:paraId="35C59AEC" w14:textId="77777777" w:rsidTr="0085651F">
        <w:tc>
          <w:tcPr>
            <w:tcW w:w="0" w:type="auto"/>
            <w:gridSpan w:val="2"/>
            <w:shd w:val="clear" w:color="auto" w:fill="auto"/>
          </w:tcPr>
          <w:p w14:paraId="74003968" w14:textId="77777777" w:rsidR="00221C59" w:rsidRPr="00751C54" w:rsidRDefault="00221C59" w:rsidP="00221C59">
            <w:pPr>
              <w:pStyle w:val="NoSpacing"/>
            </w:pPr>
            <w:r w:rsidRPr="00221158">
              <w:t>3.8.1 Coverage of essential health services</w:t>
            </w:r>
          </w:p>
        </w:tc>
        <w:tc>
          <w:tcPr>
            <w:tcW w:w="0" w:type="auto"/>
            <w:shd w:val="clear" w:color="auto" w:fill="auto"/>
          </w:tcPr>
          <w:p w14:paraId="47A73D46" w14:textId="77777777" w:rsidR="00221C59" w:rsidRDefault="00221C59" w:rsidP="00221C59">
            <w:pPr>
              <w:jc w:val="center"/>
              <w:rPr>
                <w:szCs w:val="20"/>
              </w:rPr>
            </w:pPr>
            <w:r w:rsidRPr="00A951DD">
              <w:rPr>
                <w:szCs w:val="20"/>
              </w:rPr>
              <w:t>WHO</w:t>
            </w:r>
          </w:p>
          <w:p w14:paraId="75E66EE2" w14:textId="77777777" w:rsidR="00221C59" w:rsidRDefault="00221C59" w:rsidP="00221C59">
            <w:pPr>
              <w:jc w:val="center"/>
              <w:rPr>
                <w:szCs w:val="20"/>
              </w:rPr>
            </w:pPr>
          </w:p>
          <w:p w14:paraId="2438C6BE" w14:textId="77777777" w:rsidR="00221C59" w:rsidRDefault="00221C59" w:rsidP="00221C59">
            <w:pPr>
              <w:jc w:val="center"/>
              <w:rPr>
                <w:szCs w:val="20"/>
              </w:rPr>
            </w:pPr>
            <w:r>
              <w:rPr>
                <w:szCs w:val="20"/>
              </w:rPr>
              <w:t>Partner Agencies:</w:t>
            </w:r>
          </w:p>
          <w:p w14:paraId="312D3D91" w14:textId="77777777" w:rsidR="00221C59" w:rsidRPr="00A951DD" w:rsidRDefault="00221C59" w:rsidP="00221C59">
            <w:pPr>
              <w:jc w:val="center"/>
              <w:rPr>
                <w:szCs w:val="20"/>
              </w:rPr>
            </w:pPr>
            <w:r w:rsidRPr="00A951DD">
              <w:rPr>
                <w:szCs w:val="20"/>
              </w:rPr>
              <w:t xml:space="preserve">UNICEF, </w:t>
            </w:r>
          </w:p>
          <w:p w14:paraId="2F9FB5A6" w14:textId="77777777" w:rsidR="00221C59" w:rsidRPr="00A951DD" w:rsidRDefault="00221C59" w:rsidP="00221C59">
            <w:pPr>
              <w:jc w:val="center"/>
              <w:rPr>
                <w:szCs w:val="20"/>
              </w:rPr>
            </w:pPr>
            <w:r w:rsidRPr="00A951DD">
              <w:rPr>
                <w:szCs w:val="20"/>
              </w:rPr>
              <w:t xml:space="preserve">UNFPA, </w:t>
            </w:r>
          </w:p>
          <w:p w14:paraId="1D087035" w14:textId="77777777" w:rsidR="00221C59" w:rsidRPr="00A2664F" w:rsidRDefault="00221C59" w:rsidP="00221C59">
            <w:pPr>
              <w:jc w:val="center"/>
              <w:rPr>
                <w:szCs w:val="20"/>
              </w:rPr>
            </w:pPr>
            <w:r w:rsidRPr="00A951DD">
              <w:rPr>
                <w:szCs w:val="20"/>
              </w:rPr>
              <w:t>DESA Population Division</w:t>
            </w:r>
          </w:p>
        </w:tc>
        <w:tc>
          <w:tcPr>
            <w:tcW w:w="0" w:type="auto"/>
            <w:shd w:val="clear" w:color="auto" w:fill="auto"/>
          </w:tcPr>
          <w:p w14:paraId="67C55EFE" w14:textId="77777777" w:rsidR="00221C59" w:rsidRDefault="00221C59" w:rsidP="00221C59">
            <w:pPr>
              <w:jc w:val="center"/>
              <w:rPr>
                <w:szCs w:val="20"/>
              </w:rPr>
            </w:pPr>
            <w:r>
              <w:rPr>
                <w:szCs w:val="20"/>
              </w:rPr>
              <w:t>Tier I</w:t>
            </w:r>
          </w:p>
          <w:p w14:paraId="19DA29E4" w14:textId="7AF72897" w:rsidR="00221C59" w:rsidRDefault="00221C59" w:rsidP="00221C59">
            <w:pPr>
              <w:jc w:val="center"/>
              <w:rPr>
                <w:szCs w:val="20"/>
              </w:rPr>
            </w:pPr>
          </w:p>
        </w:tc>
        <w:tc>
          <w:tcPr>
            <w:tcW w:w="0" w:type="auto"/>
            <w:shd w:val="clear" w:color="auto" w:fill="auto"/>
          </w:tcPr>
          <w:p w14:paraId="6185CDB8" w14:textId="77777777" w:rsidR="00221C59" w:rsidRPr="00A951DD" w:rsidRDefault="00221C59" w:rsidP="00221C59">
            <w:pPr>
              <w:jc w:val="both"/>
              <w:rPr>
                <w:b/>
                <w:bCs/>
                <w:color w:val="000000" w:themeColor="text1"/>
                <w:szCs w:val="20"/>
              </w:rPr>
            </w:pPr>
            <w:r w:rsidRPr="00A951DD">
              <w:rPr>
                <w:b/>
                <w:bCs/>
                <w:color w:val="000000" w:themeColor="text1"/>
                <w:szCs w:val="20"/>
              </w:rPr>
              <w:t>Definition:</w:t>
            </w:r>
          </w:p>
          <w:p w14:paraId="6531E708" w14:textId="77777777" w:rsidR="00221C59" w:rsidRDefault="00221C59" w:rsidP="00221C59">
            <w:pPr>
              <w:jc w:val="both"/>
              <w:rPr>
                <w:color w:val="000000" w:themeColor="text1"/>
                <w:szCs w:val="20"/>
              </w:rPr>
            </w:pPr>
            <w:r w:rsidRPr="00A951DD">
              <w:rPr>
                <w:color w:val="000000" w:themeColor="text1"/>
                <w:szCs w:val="20"/>
              </w:rPr>
              <w:t>Coverage of essential health services (defined as the average coverage of essential services based on</w:t>
            </w:r>
            <w:r>
              <w:rPr>
                <w:color w:val="000000" w:themeColor="text1"/>
                <w:szCs w:val="20"/>
              </w:rPr>
              <w:t xml:space="preserve"> </w:t>
            </w:r>
            <w:r w:rsidRPr="00A951DD">
              <w:rPr>
                <w:color w:val="000000" w:themeColor="text1"/>
                <w:szCs w:val="20"/>
              </w:rPr>
              <w:t xml:space="preserve">tracer interventions that include reproductive, maternal, </w:t>
            </w:r>
            <w:proofErr w:type="gramStart"/>
            <w:r w:rsidRPr="00A951DD">
              <w:rPr>
                <w:color w:val="000000" w:themeColor="text1"/>
                <w:szCs w:val="20"/>
              </w:rPr>
              <w:t>newborn</w:t>
            </w:r>
            <w:proofErr w:type="gramEnd"/>
            <w:r w:rsidRPr="00A951DD">
              <w:rPr>
                <w:color w:val="000000" w:themeColor="text1"/>
                <w:szCs w:val="20"/>
              </w:rPr>
              <w:t xml:space="preserve"> and child health, infectious diseases,</w:t>
            </w:r>
            <w:r>
              <w:rPr>
                <w:color w:val="000000" w:themeColor="text1"/>
                <w:szCs w:val="20"/>
              </w:rPr>
              <w:t xml:space="preserve"> </w:t>
            </w:r>
            <w:r w:rsidRPr="00A951DD">
              <w:rPr>
                <w:color w:val="000000" w:themeColor="text1"/>
                <w:szCs w:val="20"/>
              </w:rPr>
              <w:t>non-communicable diseases and service capacity and access, among the general and the most</w:t>
            </w:r>
            <w:r>
              <w:rPr>
                <w:color w:val="000000" w:themeColor="text1"/>
                <w:szCs w:val="20"/>
              </w:rPr>
              <w:t xml:space="preserve"> </w:t>
            </w:r>
            <w:r w:rsidRPr="00A951DD">
              <w:rPr>
                <w:color w:val="000000" w:themeColor="text1"/>
                <w:szCs w:val="20"/>
              </w:rPr>
              <w:t>disadvantaged population).</w:t>
            </w:r>
          </w:p>
          <w:p w14:paraId="4678F9EB" w14:textId="77777777" w:rsidR="00221C59" w:rsidRPr="00A951DD" w:rsidRDefault="00221C59" w:rsidP="00221C59">
            <w:pPr>
              <w:jc w:val="both"/>
              <w:rPr>
                <w:color w:val="000000" w:themeColor="text1"/>
                <w:szCs w:val="20"/>
              </w:rPr>
            </w:pPr>
          </w:p>
          <w:p w14:paraId="2A18884F" w14:textId="77777777" w:rsidR="00221C59" w:rsidRDefault="00221C59" w:rsidP="00221C59">
            <w:pPr>
              <w:jc w:val="both"/>
              <w:rPr>
                <w:color w:val="000000" w:themeColor="text1"/>
                <w:szCs w:val="20"/>
              </w:rPr>
            </w:pPr>
            <w:r w:rsidRPr="00A951DD">
              <w:rPr>
                <w:color w:val="000000" w:themeColor="text1"/>
                <w:szCs w:val="20"/>
              </w:rPr>
              <w:t>The indicator is an index reported on a unitless scale of 0 to 100, which is computed as the geometric</w:t>
            </w:r>
            <w:r>
              <w:rPr>
                <w:color w:val="000000" w:themeColor="text1"/>
                <w:szCs w:val="20"/>
              </w:rPr>
              <w:t xml:space="preserve"> </w:t>
            </w:r>
            <w:r w:rsidRPr="00A951DD">
              <w:rPr>
                <w:color w:val="000000" w:themeColor="text1"/>
                <w:szCs w:val="20"/>
              </w:rPr>
              <w:t>mean of 14 tracer indicators of health service coverage.</w:t>
            </w:r>
          </w:p>
          <w:p w14:paraId="0A3213AC" w14:textId="77777777" w:rsidR="00221C59" w:rsidRDefault="00221C59" w:rsidP="00221C59">
            <w:pPr>
              <w:jc w:val="both"/>
              <w:rPr>
                <w:b/>
                <w:bCs/>
                <w:color w:val="000000" w:themeColor="text1"/>
                <w:szCs w:val="20"/>
              </w:rPr>
            </w:pPr>
          </w:p>
          <w:p w14:paraId="3E296036" w14:textId="77777777" w:rsidR="00221C59" w:rsidRDefault="00221C59" w:rsidP="00221C59">
            <w:pPr>
              <w:jc w:val="both"/>
              <w:rPr>
                <w:b/>
                <w:bCs/>
                <w:color w:val="000000" w:themeColor="text1"/>
                <w:szCs w:val="20"/>
              </w:rPr>
            </w:pPr>
            <w:r w:rsidRPr="00A951DD">
              <w:rPr>
                <w:b/>
                <w:bCs/>
                <w:color w:val="000000" w:themeColor="text1"/>
                <w:szCs w:val="20"/>
              </w:rPr>
              <w:t>Concepts:</w:t>
            </w:r>
          </w:p>
          <w:p w14:paraId="545CD055" w14:textId="77777777" w:rsidR="00221C59" w:rsidRDefault="00221C59" w:rsidP="00221C59">
            <w:pPr>
              <w:jc w:val="both"/>
              <w:rPr>
                <w:color w:val="000000" w:themeColor="text1"/>
                <w:szCs w:val="20"/>
              </w:rPr>
            </w:pPr>
            <w:r w:rsidRPr="00A951DD">
              <w:rPr>
                <w:color w:val="000000" w:themeColor="text1"/>
                <w:szCs w:val="20"/>
              </w:rPr>
              <w:t>The index of health service coverage is computed as the geometric means of 14 tracer indicators. The 14</w:t>
            </w:r>
            <w:r>
              <w:rPr>
                <w:color w:val="000000" w:themeColor="text1"/>
                <w:szCs w:val="20"/>
              </w:rPr>
              <w:t xml:space="preserve"> </w:t>
            </w:r>
            <w:r w:rsidRPr="00A951DD">
              <w:rPr>
                <w:color w:val="000000" w:themeColor="text1"/>
                <w:szCs w:val="20"/>
              </w:rPr>
              <w:t xml:space="preserve">indicators are listed below and detailed metadata for each of the components are </w:t>
            </w:r>
            <w:r>
              <w:rPr>
                <w:color w:val="000000" w:themeColor="text1"/>
                <w:szCs w:val="20"/>
              </w:rPr>
              <w:t>available</w:t>
            </w:r>
            <w:r w:rsidRPr="00A951DD">
              <w:rPr>
                <w:color w:val="000000" w:themeColor="text1"/>
                <w:szCs w:val="20"/>
              </w:rPr>
              <w:t xml:space="preserve"> online</w:t>
            </w:r>
          </w:p>
          <w:p w14:paraId="07B1291F" w14:textId="77777777" w:rsidR="00221C59" w:rsidRDefault="00221C59" w:rsidP="00221C59">
            <w:pPr>
              <w:jc w:val="both"/>
              <w:rPr>
                <w:color w:val="000000" w:themeColor="text1"/>
                <w:szCs w:val="20"/>
              </w:rPr>
            </w:pPr>
            <w:r w:rsidRPr="00A951DD">
              <w:rPr>
                <w:color w:val="000000" w:themeColor="text1"/>
                <w:szCs w:val="20"/>
              </w:rPr>
              <w:t>(http://www.who.int/healthinfo/universal_health_coverage/UHC_Tracer_Indicators_Metadata.pdf) and</w:t>
            </w:r>
            <w:r>
              <w:rPr>
                <w:color w:val="000000" w:themeColor="text1"/>
                <w:szCs w:val="20"/>
              </w:rPr>
              <w:t xml:space="preserve"> </w:t>
            </w:r>
            <w:r w:rsidRPr="00A951DD">
              <w:rPr>
                <w:color w:val="000000" w:themeColor="text1"/>
                <w:szCs w:val="20"/>
              </w:rPr>
              <w:t>Annex 1. The tracer indicators are as follows, organized by four broad categories of service coverage:</w:t>
            </w:r>
          </w:p>
          <w:p w14:paraId="32832E61" w14:textId="77777777" w:rsidR="00221C59" w:rsidRPr="00A951DD" w:rsidRDefault="00221C59" w:rsidP="00221C59">
            <w:pPr>
              <w:jc w:val="both"/>
              <w:rPr>
                <w:color w:val="000000" w:themeColor="text1"/>
                <w:szCs w:val="20"/>
              </w:rPr>
            </w:pPr>
          </w:p>
          <w:p w14:paraId="6D9707D7" w14:textId="77777777" w:rsidR="00221C59" w:rsidRPr="00A951DD" w:rsidRDefault="00221C59" w:rsidP="00221C59">
            <w:pPr>
              <w:jc w:val="both"/>
              <w:rPr>
                <w:i/>
                <w:iCs/>
                <w:color w:val="000000" w:themeColor="text1"/>
                <w:szCs w:val="20"/>
              </w:rPr>
            </w:pPr>
            <w:r w:rsidRPr="00A951DD">
              <w:rPr>
                <w:i/>
                <w:iCs/>
                <w:color w:val="000000" w:themeColor="text1"/>
                <w:szCs w:val="20"/>
              </w:rPr>
              <w:lastRenderedPageBreak/>
              <w:t xml:space="preserve">I. </w:t>
            </w:r>
            <w:r w:rsidRPr="000C4849">
              <w:rPr>
                <w:iCs/>
                <w:color w:val="000000" w:themeColor="text1"/>
                <w:szCs w:val="20"/>
              </w:rPr>
              <w:t>REPRODUCTIVE, MATERNAL, NEWBORN AND CHILD HEALTH</w:t>
            </w:r>
          </w:p>
          <w:p w14:paraId="5614C3AE" w14:textId="77777777" w:rsidR="00221C59" w:rsidRDefault="00221C59" w:rsidP="00221C59">
            <w:pPr>
              <w:ind w:left="250" w:hanging="250"/>
              <w:jc w:val="both"/>
              <w:rPr>
                <w:color w:val="000000" w:themeColor="text1"/>
                <w:szCs w:val="20"/>
              </w:rPr>
            </w:pPr>
            <w:r w:rsidRPr="00A951DD">
              <w:rPr>
                <w:color w:val="000000" w:themeColor="text1"/>
                <w:szCs w:val="20"/>
              </w:rPr>
              <w:t>1. Family planning: Percentage of women of reproductive age (15</w:t>
            </w:r>
            <w:r w:rsidRPr="00A951DD">
              <w:rPr>
                <w:rFonts w:ascii="Arial" w:hAnsi="Arial" w:cs="Arial"/>
                <w:color w:val="000000" w:themeColor="text1"/>
                <w:szCs w:val="20"/>
              </w:rPr>
              <w:t>−</w:t>
            </w:r>
            <w:r w:rsidRPr="00A951DD">
              <w:rPr>
                <w:color w:val="000000" w:themeColor="text1"/>
                <w:szCs w:val="20"/>
              </w:rPr>
              <w:t>49 years) who are married or in</w:t>
            </w:r>
            <w:r>
              <w:rPr>
                <w:color w:val="000000" w:themeColor="text1"/>
                <w:szCs w:val="20"/>
              </w:rPr>
              <w:t xml:space="preserve"> </w:t>
            </w:r>
            <w:r w:rsidRPr="00A951DD">
              <w:rPr>
                <w:color w:val="000000" w:themeColor="text1"/>
                <w:szCs w:val="20"/>
              </w:rPr>
              <w:t>union</w:t>
            </w:r>
            <w:r>
              <w:rPr>
                <w:color w:val="000000" w:themeColor="text1"/>
                <w:szCs w:val="20"/>
              </w:rPr>
              <w:t xml:space="preserve"> </w:t>
            </w:r>
            <w:r w:rsidRPr="00A951DD">
              <w:rPr>
                <w:color w:val="000000" w:themeColor="text1"/>
                <w:szCs w:val="20"/>
              </w:rPr>
              <w:t>who have their need for family planning satisfied with modern methods</w:t>
            </w:r>
            <w:r>
              <w:rPr>
                <w:color w:val="000000" w:themeColor="text1"/>
                <w:szCs w:val="20"/>
              </w:rPr>
              <w:t>.</w:t>
            </w:r>
          </w:p>
          <w:p w14:paraId="75A3DEB9" w14:textId="77777777" w:rsidR="00221C59" w:rsidRPr="00A951DD" w:rsidRDefault="00221C59" w:rsidP="00221C59">
            <w:pPr>
              <w:ind w:left="250" w:hanging="250"/>
              <w:jc w:val="both"/>
              <w:rPr>
                <w:color w:val="000000" w:themeColor="text1"/>
                <w:szCs w:val="20"/>
              </w:rPr>
            </w:pPr>
            <w:r w:rsidRPr="00A951DD">
              <w:rPr>
                <w:color w:val="000000" w:themeColor="text1"/>
                <w:szCs w:val="20"/>
              </w:rPr>
              <w:t>2. Pregnancy and delivery care: Percentage of women aged 15-49 years with a live birth in a given time</w:t>
            </w:r>
            <w:r>
              <w:rPr>
                <w:color w:val="000000" w:themeColor="text1"/>
                <w:szCs w:val="20"/>
              </w:rPr>
              <w:t xml:space="preserve"> </w:t>
            </w:r>
            <w:r w:rsidRPr="00A951DD">
              <w:rPr>
                <w:color w:val="000000" w:themeColor="text1"/>
                <w:szCs w:val="20"/>
              </w:rPr>
              <w:t>period who received antenatal care four or more times</w:t>
            </w:r>
            <w:r>
              <w:rPr>
                <w:color w:val="000000" w:themeColor="text1"/>
                <w:szCs w:val="20"/>
              </w:rPr>
              <w:t>.</w:t>
            </w:r>
          </w:p>
          <w:p w14:paraId="2AA44A5B" w14:textId="77777777" w:rsidR="00221C59" w:rsidRPr="00A951DD" w:rsidRDefault="00221C59" w:rsidP="00221C59">
            <w:pPr>
              <w:ind w:left="250" w:hanging="250"/>
              <w:jc w:val="both"/>
              <w:rPr>
                <w:color w:val="000000" w:themeColor="text1"/>
                <w:szCs w:val="20"/>
              </w:rPr>
            </w:pPr>
            <w:r w:rsidRPr="00A951DD">
              <w:rPr>
                <w:color w:val="000000" w:themeColor="text1"/>
                <w:szCs w:val="20"/>
              </w:rPr>
              <w:t>3. Child immunization: Percentage of infants receiving three doses of diphtheria-tetanus-pertussis</w:t>
            </w:r>
            <w:r>
              <w:rPr>
                <w:color w:val="000000" w:themeColor="text1"/>
                <w:szCs w:val="20"/>
              </w:rPr>
              <w:t xml:space="preserve"> </w:t>
            </w:r>
            <w:r w:rsidRPr="00A951DD">
              <w:rPr>
                <w:color w:val="000000" w:themeColor="text1"/>
                <w:szCs w:val="20"/>
              </w:rPr>
              <w:t>containing vaccine</w:t>
            </w:r>
            <w:r>
              <w:rPr>
                <w:color w:val="000000" w:themeColor="text1"/>
                <w:szCs w:val="20"/>
              </w:rPr>
              <w:t>.</w:t>
            </w:r>
          </w:p>
          <w:p w14:paraId="7BC5554E" w14:textId="77777777" w:rsidR="00221C59" w:rsidRDefault="00221C59" w:rsidP="00221C59">
            <w:pPr>
              <w:ind w:left="250" w:hanging="250"/>
              <w:jc w:val="both"/>
              <w:rPr>
                <w:color w:val="000000" w:themeColor="text1"/>
                <w:szCs w:val="20"/>
              </w:rPr>
            </w:pPr>
            <w:r w:rsidRPr="00A951DD">
              <w:rPr>
                <w:color w:val="000000" w:themeColor="text1"/>
                <w:szCs w:val="20"/>
              </w:rPr>
              <w:t>4. Child treatment: Percentage of children under 5 years of age with suspected pneumonia (cough and</w:t>
            </w:r>
            <w:r>
              <w:rPr>
                <w:color w:val="000000" w:themeColor="text1"/>
                <w:szCs w:val="20"/>
              </w:rPr>
              <w:t xml:space="preserve"> </w:t>
            </w:r>
            <w:r w:rsidRPr="00A951DD">
              <w:rPr>
                <w:color w:val="000000" w:themeColor="text1"/>
                <w:szCs w:val="20"/>
              </w:rPr>
              <w:t>difficult breathing NOT due to a problem in the chest and a blocked nose) in the two weeks</w:t>
            </w:r>
            <w:r>
              <w:rPr>
                <w:color w:val="000000" w:themeColor="text1"/>
                <w:szCs w:val="20"/>
              </w:rPr>
              <w:t xml:space="preserve"> </w:t>
            </w:r>
            <w:r w:rsidRPr="00A951DD">
              <w:rPr>
                <w:color w:val="000000" w:themeColor="text1"/>
                <w:szCs w:val="20"/>
              </w:rPr>
              <w:t>preceding the survey taken to an appropriate health facility or provider</w:t>
            </w:r>
            <w:r>
              <w:rPr>
                <w:color w:val="000000" w:themeColor="text1"/>
                <w:szCs w:val="20"/>
              </w:rPr>
              <w:t>.</w:t>
            </w:r>
          </w:p>
          <w:p w14:paraId="5C667FC7" w14:textId="77777777" w:rsidR="00221C59" w:rsidRPr="00A951DD" w:rsidRDefault="00221C59" w:rsidP="00221C59">
            <w:pPr>
              <w:jc w:val="both"/>
              <w:rPr>
                <w:i/>
                <w:iCs/>
                <w:color w:val="000000" w:themeColor="text1"/>
                <w:szCs w:val="20"/>
              </w:rPr>
            </w:pPr>
            <w:r w:rsidRPr="00A951DD">
              <w:rPr>
                <w:i/>
                <w:iCs/>
                <w:color w:val="000000" w:themeColor="text1"/>
                <w:szCs w:val="20"/>
              </w:rPr>
              <w:t>II. INFECTIOUS DISEASES</w:t>
            </w:r>
          </w:p>
          <w:p w14:paraId="6340EB9A" w14:textId="77777777" w:rsidR="00221C59" w:rsidRPr="00A951DD" w:rsidRDefault="00221C59" w:rsidP="00221C59">
            <w:pPr>
              <w:ind w:left="250" w:hanging="250"/>
              <w:jc w:val="both"/>
              <w:rPr>
                <w:color w:val="000000" w:themeColor="text1"/>
                <w:szCs w:val="20"/>
              </w:rPr>
            </w:pPr>
            <w:r w:rsidRPr="00A951DD">
              <w:rPr>
                <w:color w:val="000000" w:themeColor="text1"/>
                <w:szCs w:val="20"/>
              </w:rPr>
              <w:t xml:space="preserve">5. Tuberculosis: Percentage of incident TB cases </w:t>
            </w:r>
            <w:proofErr w:type="gramStart"/>
            <w:r w:rsidRPr="00A951DD">
              <w:rPr>
                <w:color w:val="000000" w:themeColor="text1"/>
                <w:szCs w:val="20"/>
              </w:rPr>
              <w:t>that are</w:t>
            </w:r>
            <w:proofErr w:type="gramEnd"/>
            <w:r w:rsidRPr="00A951DD">
              <w:rPr>
                <w:color w:val="000000" w:themeColor="text1"/>
                <w:szCs w:val="20"/>
              </w:rPr>
              <w:t xml:space="preserve"> detected and successfully treated</w:t>
            </w:r>
            <w:r>
              <w:rPr>
                <w:color w:val="000000" w:themeColor="text1"/>
                <w:szCs w:val="20"/>
              </w:rPr>
              <w:t>.</w:t>
            </w:r>
          </w:p>
          <w:p w14:paraId="4C9B6BE1" w14:textId="77777777" w:rsidR="00221C59" w:rsidRPr="00A951DD" w:rsidRDefault="00221C59" w:rsidP="00221C59">
            <w:pPr>
              <w:ind w:left="250" w:hanging="250"/>
              <w:jc w:val="both"/>
              <w:rPr>
                <w:color w:val="000000" w:themeColor="text1"/>
                <w:szCs w:val="20"/>
              </w:rPr>
            </w:pPr>
            <w:r w:rsidRPr="00A951DD">
              <w:rPr>
                <w:color w:val="000000" w:themeColor="text1"/>
                <w:szCs w:val="20"/>
              </w:rPr>
              <w:t>6. HIV/AIDS: Percentage of people living with HIV currently receiving antiretroviral therapy</w:t>
            </w:r>
            <w:r>
              <w:rPr>
                <w:color w:val="000000" w:themeColor="text1"/>
                <w:szCs w:val="20"/>
              </w:rPr>
              <w:t>.</w:t>
            </w:r>
          </w:p>
          <w:p w14:paraId="01867706" w14:textId="77777777" w:rsidR="00221C59" w:rsidRPr="00A951DD" w:rsidRDefault="00221C59" w:rsidP="00221C59">
            <w:pPr>
              <w:ind w:left="250" w:hanging="250"/>
              <w:jc w:val="both"/>
              <w:rPr>
                <w:color w:val="000000" w:themeColor="text1"/>
                <w:szCs w:val="20"/>
              </w:rPr>
            </w:pPr>
            <w:r w:rsidRPr="00A951DD">
              <w:rPr>
                <w:color w:val="000000" w:themeColor="text1"/>
                <w:szCs w:val="20"/>
              </w:rPr>
              <w:t>7. Malaria: Percentage of population in malaria-endemic areas who slept under an insecticide-treated</w:t>
            </w:r>
            <w:r>
              <w:rPr>
                <w:color w:val="000000" w:themeColor="text1"/>
                <w:szCs w:val="20"/>
              </w:rPr>
              <w:t xml:space="preserve"> </w:t>
            </w:r>
            <w:r w:rsidRPr="00A951DD">
              <w:rPr>
                <w:color w:val="000000" w:themeColor="text1"/>
                <w:szCs w:val="20"/>
              </w:rPr>
              <w:t>net the previous night [only for countries with high malaria burden]</w:t>
            </w:r>
            <w:r>
              <w:rPr>
                <w:color w:val="000000" w:themeColor="text1"/>
                <w:szCs w:val="20"/>
              </w:rPr>
              <w:t>.</w:t>
            </w:r>
          </w:p>
          <w:p w14:paraId="1E90E451" w14:textId="77777777" w:rsidR="00221C59" w:rsidRDefault="00221C59" w:rsidP="00221C59">
            <w:pPr>
              <w:ind w:left="250" w:hanging="250"/>
              <w:jc w:val="both"/>
              <w:rPr>
                <w:color w:val="000000" w:themeColor="text1"/>
                <w:szCs w:val="20"/>
              </w:rPr>
            </w:pPr>
            <w:r w:rsidRPr="00A951DD">
              <w:rPr>
                <w:color w:val="000000" w:themeColor="text1"/>
                <w:szCs w:val="20"/>
              </w:rPr>
              <w:t>8. Water and sanitation: Percentage of households using improved sanitation facilities</w:t>
            </w:r>
            <w:r>
              <w:rPr>
                <w:color w:val="000000" w:themeColor="text1"/>
                <w:szCs w:val="20"/>
              </w:rPr>
              <w:t>.</w:t>
            </w:r>
          </w:p>
          <w:p w14:paraId="3793C7AD" w14:textId="77777777" w:rsidR="00221C59" w:rsidRPr="00A951DD" w:rsidRDefault="00221C59" w:rsidP="00221C59">
            <w:pPr>
              <w:jc w:val="both"/>
              <w:rPr>
                <w:i/>
                <w:iCs/>
                <w:color w:val="000000" w:themeColor="text1"/>
                <w:szCs w:val="20"/>
              </w:rPr>
            </w:pPr>
            <w:r w:rsidRPr="00A951DD">
              <w:rPr>
                <w:i/>
                <w:iCs/>
                <w:color w:val="000000" w:themeColor="text1"/>
                <w:szCs w:val="20"/>
              </w:rPr>
              <w:t>III. NONCOMMUNICABLE DISEASES</w:t>
            </w:r>
          </w:p>
          <w:p w14:paraId="3B600B6E" w14:textId="77777777" w:rsidR="00221C59" w:rsidRPr="00A951DD" w:rsidRDefault="00221C59" w:rsidP="00221C59">
            <w:pPr>
              <w:ind w:left="250" w:hanging="250"/>
              <w:jc w:val="both"/>
              <w:rPr>
                <w:color w:val="000000" w:themeColor="text1"/>
                <w:szCs w:val="20"/>
              </w:rPr>
            </w:pPr>
            <w:r w:rsidRPr="00A951DD">
              <w:rPr>
                <w:color w:val="000000" w:themeColor="text1"/>
                <w:szCs w:val="20"/>
              </w:rPr>
              <w:t>9. Hypertension: Age-standardized prevalence of non-raised blood pressure (systolic blood pressure</w:t>
            </w:r>
            <w:r>
              <w:rPr>
                <w:color w:val="000000" w:themeColor="text1"/>
                <w:szCs w:val="20"/>
              </w:rPr>
              <w:t xml:space="preserve"> </w:t>
            </w:r>
            <w:r w:rsidRPr="00A951DD">
              <w:rPr>
                <w:color w:val="000000" w:themeColor="text1"/>
                <w:szCs w:val="20"/>
              </w:rPr>
              <w:t>&lt;140 mm Hg or diastolic blood pressure &lt;90 mm Hg) among adults aged 18 years and older</w:t>
            </w:r>
            <w:r>
              <w:rPr>
                <w:color w:val="000000" w:themeColor="text1"/>
                <w:szCs w:val="20"/>
              </w:rPr>
              <w:t>.</w:t>
            </w:r>
          </w:p>
          <w:p w14:paraId="6EA3595E" w14:textId="77777777" w:rsidR="00221C59" w:rsidRPr="00A951DD" w:rsidRDefault="00221C59" w:rsidP="00221C59">
            <w:pPr>
              <w:ind w:left="250" w:hanging="250"/>
              <w:jc w:val="both"/>
              <w:rPr>
                <w:color w:val="000000" w:themeColor="text1"/>
                <w:szCs w:val="20"/>
              </w:rPr>
            </w:pPr>
            <w:r w:rsidRPr="00A951DD">
              <w:rPr>
                <w:color w:val="000000" w:themeColor="text1"/>
                <w:szCs w:val="20"/>
              </w:rPr>
              <w:t>10. Diabetes: Age-standardized mean fasting plasma glucose (mmol/L) for adults aged 25 years and</w:t>
            </w:r>
            <w:r>
              <w:rPr>
                <w:color w:val="000000" w:themeColor="text1"/>
                <w:szCs w:val="20"/>
              </w:rPr>
              <w:t xml:space="preserve"> </w:t>
            </w:r>
            <w:r w:rsidRPr="00A951DD">
              <w:rPr>
                <w:color w:val="000000" w:themeColor="text1"/>
                <w:szCs w:val="20"/>
              </w:rPr>
              <w:t>older</w:t>
            </w:r>
            <w:r>
              <w:rPr>
                <w:color w:val="000000" w:themeColor="text1"/>
                <w:szCs w:val="20"/>
              </w:rPr>
              <w:t>.</w:t>
            </w:r>
          </w:p>
          <w:p w14:paraId="0BA86642" w14:textId="77777777" w:rsidR="00221C59" w:rsidRDefault="00221C59" w:rsidP="00221C59">
            <w:pPr>
              <w:ind w:left="250" w:hanging="250"/>
              <w:jc w:val="both"/>
              <w:rPr>
                <w:color w:val="000000" w:themeColor="text1"/>
                <w:szCs w:val="20"/>
              </w:rPr>
            </w:pPr>
            <w:r w:rsidRPr="00A951DD">
              <w:rPr>
                <w:color w:val="000000" w:themeColor="text1"/>
                <w:szCs w:val="20"/>
              </w:rPr>
              <w:t>11. Tobacco: Age-standardized prevalence of adults &gt;=15 years not smoking tobacco in last 30 days</w:t>
            </w:r>
            <w:r>
              <w:rPr>
                <w:color w:val="000000" w:themeColor="text1"/>
                <w:szCs w:val="20"/>
              </w:rPr>
              <w:t>.</w:t>
            </w:r>
          </w:p>
          <w:p w14:paraId="5667B63C" w14:textId="77777777" w:rsidR="00221C59" w:rsidRPr="00A951DD" w:rsidRDefault="00221C59" w:rsidP="00221C59">
            <w:pPr>
              <w:jc w:val="both"/>
              <w:rPr>
                <w:i/>
                <w:iCs/>
                <w:color w:val="000000" w:themeColor="text1"/>
                <w:szCs w:val="20"/>
              </w:rPr>
            </w:pPr>
            <w:r w:rsidRPr="00A951DD">
              <w:rPr>
                <w:i/>
                <w:iCs/>
                <w:color w:val="000000" w:themeColor="text1"/>
                <w:szCs w:val="20"/>
              </w:rPr>
              <w:t>IV. SERVICE CAPACITY AND ACCESS</w:t>
            </w:r>
          </w:p>
          <w:p w14:paraId="63C707D7" w14:textId="77777777" w:rsidR="00221C59" w:rsidRPr="00A951DD" w:rsidRDefault="00221C59" w:rsidP="00221C59">
            <w:pPr>
              <w:ind w:left="250" w:hanging="250"/>
              <w:jc w:val="both"/>
              <w:rPr>
                <w:color w:val="000000" w:themeColor="text1"/>
                <w:szCs w:val="20"/>
              </w:rPr>
            </w:pPr>
            <w:r w:rsidRPr="00A951DD">
              <w:rPr>
                <w:color w:val="000000" w:themeColor="text1"/>
                <w:szCs w:val="20"/>
              </w:rPr>
              <w:t>12. Hospital access: Hospital beds per capita, relative to a maximum threshold of 18 per 10,000</w:t>
            </w:r>
            <w:r>
              <w:rPr>
                <w:rFonts w:hint="cs"/>
                <w:color w:val="000000" w:themeColor="text1"/>
                <w:szCs w:val="20"/>
                <w:cs/>
                <w:lang w:bidi="bn-BD"/>
              </w:rPr>
              <w:t xml:space="preserve"> </w:t>
            </w:r>
            <w:r w:rsidRPr="00A951DD">
              <w:rPr>
                <w:color w:val="000000" w:themeColor="text1"/>
                <w:szCs w:val="20"/>
              </w:rPr>
              <w:t>Population</w:t>
            </w:r>
            <w:r>
              <w:rPr>
                <w:color w:val="000000" w:themeColor="text1"/>
                <w:szCs w:val="20"/>
              </w:rPr>
              <w:t>.</w:t>
            </w:r>
          </w:p>
          <w:p w14:paraId="6584C075" w14:textId="77777777" w:rsidR="00221C59" w:rsidRPr="00A951DD" w:rsidRDefault="00221C59" w:rsidP="00221C59">
            <w:pPr>
              <w:ind w:left="250" w:hanging="250"/>
              <w:jc w:val="both"/>
              <w:rPr>
                <w:color w:val="000000" w:themeColor="text1"/>
                <w:szCs w:val="20"/>
              </w:rPr>
            </w:pPr>
            <w:r w:rsidRPr="00A951DD">
              <w:rPr>
                <w:color w:val="000000" w:themeColor="text1"/>
                <w:szCs w:val="20"/>
              </w:rPr>
              <w:t>13. Health workforce: Health professionals (physicians, psychiatrists, and surgeons) per capita, relative</w:t>
            </w:r>
            <w:r>
              <w:rPr>
                <w:color w:val="000000" w:themeColor="text1"/>
                <w:szCs w:val="20"/>
              </w:rPr>
              <w:t xml:space="preserve"> </w:t>
            </w:r>
            <w:r w:rsidRPr="00A951DD">
              <w:rPr>
                <w:color w:val="000000" w:themeColor="text1"/>
                <w:szCs w:val="20"/>
              </w:rPr>
              <w:t>to maximum thresholds for each cadre</w:t>
            </w:r>
            <w:r>
              <w:rPr>
                <w:color w:val="000000" w:themeColor="text1"/>
                <w:szCs w:val="20"/>
              </w:rPr>
              <w:t>.</w:t>
            </w:r>
          </w:p>
          <w:p w14:paraId="30D84449" w14:textId="77777777" w:rsidR="00221C59" w:rsidRDefault="00221C59" w:rsidP="00221C59">
            <w:pPr>
              <w:ind w:left="250" w:hanging="250"/>
              <w:jc w:val="both"/>
              <w:rPr>
                <w:color w:val="000000" w:themeColor="text1"/>
                <w:szCs w:val="20"/>
              </w:rPr>
            </w:pPr>
            <w:r w:rsidRPr="00A951DD">
              <w:rPr>
                <w:color w:val="000000" w:themeColor="text1"/>
                <w:szCs w:val="20"/>
              </w:rPr>
              <w:t>14. Health security: International Health Regulations (IHR) core capacity index, which is the average</w:t>
            </w:r>
            <w:r>
              <w:rPr>
                <w:color w:val="000000" w:themeColor="text1"/>
                <w:szCs w:val="20"/>
              </w:rPr>
              <w:t xml:space="preserve"> </w:t>
            </w:r>
            <w:r w:rsidRPr="00A951DD">
              <w:rPr>
                <w:color w:val="000000" w:themeColor="text1"/>
                <w:szCs w:val="20"/>
              </w:rPr>
              <w:t>percentage of attributes of 13 core capacities that have been attained</w:t>
            </w:r>
            <w:r>
              <w:rPr>
                <w:color w:val="000000" w:themeColor="text1"/>
                <w:szCs w:val="20"/>
              </w:rPr>
              <w:t>.</w:t>
            </w:r>
          </w:p>
          <w:p w14:paraId="73C0810E" w14:textId="77777777" w:rsidR="00221C59" w:rsidRDefault="00221C59" w:rsidP="00221C59">
            <w:pPr>
              <w:ind w:left="250" w:hanging="250"/>
              <w:jc w:val="both"/>
              <w:rPr>
                <w:color w:val="000000" w:themeColor="text1"/>
                <w:szCs w:val="20"/>
              </w:rPr>
            </w:pPr>
          </w:p>
          <w:p w14:paraId="3B23DC70" w14:textId="77777777" w:rsidR="00221C59" w:rsidRPr="008F5625" w:rsidRDefault="00221C59" w:rsidP="00221C59">
            <w:pPr>
              <w:ind w:left="250" w:hanging="250"/>
              <w:jc w:val="both"/>
              <w:rPr>
                <w:b/>
                <w:bCs/>
                <w:color w:val="000000" w:themeColor="text1"/>
                <w:szCs w:val="20"/>
              </w:rPr>
            </w:pPr>
            <w:r w:rsidRPr="008F5625">
              <w:rPr>
                <w:b/>
                <w:bCs/>
                <w:color w:val="000000" w:themeColor="text1"/>
                <w:szCs w:val="20"/>
              </w:rPr>
              <w:t>Computation Method:</w:t>
            </w:r>
          </w:p>
          <w:p w14:paraId="69CC9352" w14:textId="77777777" w:rsidR="00221C59" w:rsidRPr="008F5625" w:rsidRDefault="00221C59" w:rsidP="00221C59">
            <w:pPr>
              <w:jc w:val="both"/>
              <w:rPr>
                <w:color w:val="000000" w:themeColor="text1"/>
                <w:szCs w:val="20"/>
              </w:rPr>
            </w:pPr>
            <w:r w:rsidRPr="008F5625">
              <w:rPr>
                <w:color w:val="000000" w:themeColor="text1"/>
                <w:szCs w:val="20"/>
              </w:rPr>
              <w:t>The index is computed with geometric means, based on the methods used for the Human Development</w:t>
            </w:r>
            <w:r>
              <w:rPr>
                <w:color w:val="000000" w:themeColor="text1"/>
                <w:szCs w:val="20"/>
              </w:rPr>
              <w:t xml:space="preserve"> </w:t>
            </w:r>
            <w:r w:rsidRPr="008F5625">
              <w:rPr>
                <w:color w:val="000000" w:themeColor="text1"/>
                <w:szCs w:val="20"/>
              </w:rPr>
              <w:t>Index. The calculation of the 3.8.1 indicator requires first preparing the 14 tracer indicators so that they</w:t>
            </w:r>
            <w:r>
              <w:rPr>
                <w:color w:val="000000" w:themeColor="text1"/>
                <w:szCs w:val="20"/>
              </w:rPr>
              <w:t xml:space="preserve"> </w:t>
            </w:r>
            <w:r w:rsidRPr="008F5625">
              <w:rPr>
                <w:color w:val="000000" w:themeColor="text1"/>
                <w:szCs w:val="20"/>
              </w:rPr>
              <w:t>can be combined into the index, and then computing the index from those values.</w:t>
            </w:r>
          </w:p>
          <w:p w14:paraId="683C9A70" w14:textId="77777777" w:rsidR="00221C59" w:rsidRPr="008F5625" w:rsidRDefault="00221C59" w:rsidP="00221C59">
            <w:pPr>
              <w:jc w:val="both"/>
              <w:rPr>
                <w:color w:val="000000" w:themeColor="text1"/>
                <w:szCs w:val="20"/>
              </w:rPr>
            </w:pPr>
            <w:r w:rsidRPr="008F5625">
              <w:rPr>
                <w:color w:val="000000" w:themeColor="text1"/>
                <w:szCs w:val="20"/>
              </w:rPr>
              <w:t>The 14 tracer indicators are first all placed on the same scale, with 0 being the lowest value and 100</w:t>
            </w:r>
            <w:r>
              <w:rPr>
                <w:color w:val="000000" w:themeColor="text1"/>
                <w:szCs w:val="20"/>
              </w:rPr>
              <w:t xml:space="preserve"> </w:t>
            </w:r>
            <w:r w:rsidRPr="008F5625">
              <w:rPr>
                <w:color w:val="000000" w:themeColor="text1"/>
                <w:szCs w:val="20"/>
              </w:rPr>
              <w:t>being the optimal value. For most indicators, this scale is the natural scale of measurement, e.g., the</w:t>
            </w:r>
            <w:r>
              <w:rPr>
                <w:color w:val="000000" w:themeColor="text1"/>
                <w:szCs w:val="20"/>
              </w:rPr>
              <w:t xml:space="preserve"> </w:t>
            </w:r>
            <w:r w:rsidRPr="008F5625">
              <w:rPr>
                <w:color w:val="000000" w:themeColor="text1"/>
                <w:szCs w:val="20"/>
              </w:rPr>
              <w:t>percentage of infants who have been immunized ranges from 0 to 100 percent. However, for a few</w:t>
            </w:r>
            <w:r>
              <w:rPr>
                <w:color w:val="000000" w:themeColor="text1"/>
                <w:szCs w:val="20"/>
              </w:rPr>
              <w:t xml:space="preserve"> </w:t>
            </w:r>
            <w:r w:rsidRPr="008F5625">
              <w:rPr>
                <w:color w:val="000000" w:themeColor="text1"/>
                <w:szCs w:val="20"/>
              </w:rPr>
              <w:t>indicators additional rescaling is required to obtain appropriate values from 0 to 100, as follows:</w:t>
            </w:r>
          </w:p>
          <w:p w14:paraId="77FD98DF" w14:textId="77777777" w:rsidR="00221C59" w:rsidRDefault="00221C59" w:rsidP="00221C59">
            <w:pPr>
              <w:ind w:left="160" w:hanging="160"/>
              <w:jc w:val="both"/>
              <w:rPr>
                <w:color w:val="000000" w:themeColor="text1"/>
                <w:szCs w:val="20"/>
              </w:rPr>
            </w:pPr>
            <w:r w:rsidRPr="008F5625">
              <w:rPr>
                <w:color w:val="000000" w:themeColor="text1"/>
                <w:szCs w:val="20"/>
              </w:rPr>
              <w:t>• Rescaling based on a non-zero minimum to obtain finer resolution (this “stretches” the</w:t>
            </w:r>
            <w:r>
              <w:rPr>
                <w:color w:val="000000" w:themeColor="text1"/>
                <w:szCs w:val="20"/>
              </w:rPr>
              <w:t xml:space="preserve"> </w:t>
            </w:r>
            <w:r w:rsidRPr="008F5625">
              <w:rPr>
                <w:color w:val="000000" w:themeColor="text1"/>
                <w:szCs w:val="20"/>
              </w:rPr>
              <w:t>distribution across countries): prevalence of non-raised blood pressure and prevalence of nonuse</w:t>
            </w:r>
            <w:r>
              <w:rPr>
                <w:color w:val="000000" w:themeColor="text1"/>
                <w:szCs w:val="20"/>
              </w:rPr>
              <w:t xml:space="preserve"> </w:t>
            </w:r>
            <w:r w:rsidRPr="008F5625">
              <w:rPr>
                <w:color w:val="000000" w:themeColor="text1"/>
                <w:szCs w:val="20"/>
              </w:rPr>
              <w:t>of tobacco are both rescaled using a minimum value of 50%.</w:t>
            </w:r>
            <w:r>
              <w:rPr>
                <w:color w:val="000000" w:themeColor="text1"/>
                <w:szCs w:val="20"/>
              </w:rPr>
              <w:t xml:space="preserve"> </w:t>
            </w:r>
          </w:p>
          <w:p w14:paraId="56DE8936" w14:textId="77777777" w:rsidR="00221C59" w:rsidRPr="008F5625" w:rsidRDefault="00221C59" w:rsidP="00221C59">
            <w:pPr>
              <w:ind w:left="160" w:hanging="160"/>
              <w:jc w:val="both"/>
              <w:rPr>
                <w:color w:val="000000" w:themeColor="text1"/>
                <w:szCs w:val="20"/>
              </w:rPr>
            </w:pPr>
            <w:r>
              <w:rPr>
                <w:color w:val="000000" w:themeColor="text1"/>
                <w:szCs w:val="20"/>
              </w:rPr>
              <w:tab/>
            </w:r>
            <w:r>
              <w:rPr>
                <w:color w:val="000000" w:themeColor="text1"/>
                <w:szCs w:val="20"/>
              </w:rPr>
              <w:tab/>
            </w:r>
            <w:r w:rsidRPr="008F5625">
              <w:rPr>
                <w:color w:val="000000" w:themeColor="text1"/>
                <w:szCs w:val="20"/>
              </w:rPr>
              <w:t>rescaled value = (X-50)/(100-50)*100</w:t>
            </w:r>
          </w:p>
          <w:p w14:paraId="3242D388" w14:textId="77777777" w:rsidR="00221C59" w:rsidRPr="008F5625" w:rsidRDefault="00221C59" w:rsidP="00221C59">
            <w:pPr>
              <w:ind w:left="160" w:hanging="160"/>
              <w:jc w:val="both"/>
              <w:rPr>
                <w:color w:val="000000" w:themeColor="text1"/>
                <w:szCs w:val="20"/>
              </w:rPr>
            </w:pPr>
            <w:r w:rsidRPr="008F5625">
              <w:rPr>
                <w:color w:val="000000" w:themeColor="text1"/>
                <w:szCs w:val="20"/>
              </w:rPr>
              <w:t>• Rescaling for a continuous measure: mean fasting plasma glucose, which is a continuous</w:t>
            </w:r>
            <w:r>
              <w:rPr>
                <w:color w:val="000000" w:themeColor="text1"/>
                <w:szCs w:val="20"/>
              </w:rPr>
              <w:t xml:space="preserve"> </w:t>
            </w:r>
            <w:r w:rsidRPr="008F5625">
              <w:rPr>
                <w:color w:val="000000" w:themeColor="text1"/>
                <w:szCs w:val="20"/>
              </w:rPr>
              <w:t>measure (units of mmol/L), is converted to a scale of 0 to 100 using the minimum theoretical</w:t>
            </w:r>
            <w:r>
              <w:rPr>
                <w:color w:val="000000" w:themeColor="text1"/>
                <w:szCs w:val="20"/>
              </w:rPr>
              <w:t xml:space="preserve"> </w:t>
            </w:r>
            <w:r w:rsidRPr="008F5625">
              <w:rPr>
                <w:color w:val="000000" w:themeColor="text1"/>
                <w:szCs w:val="20"/>
              </w:rPr>
              <w:t xml:space="preserve">biological risk </w:t>
            </w:r>
            <w:proofErr w:type="gramStart"/>
            <w:r w:rsidRPr="008F5625">
              <w:rPr>
                <w:color w:val="000000" w:themeColor="text1"/>
                <w:szCs w:val="20"/>
              </w:rPr>
              <w:t>(5.1 mmol/L)</w:t>
            </w:r>
            <w:proofErr w:type="gramEnd"/>
            <w:r w:rsidRPr="008F5625">
              <w:rPr>
                <w:color w:val="000000" w:themeColor="text1"/>
                <w:szCs w:val="20"/>
              </w:rPr>
              <w:t xml:space="preserve"> and observed maximum across countries (7.1 mmol/L).</w:t>
            </w:r>
          </w:p>
          <w:p w14:paraId="48B9C5FF" w14:textId="77777777" w:rsidR="00221C59" w:rsidRPr="008F5625" w:rsidRDefault="00221C59" w:rsidP="00221C59">
            <w:pPr>
              <w:jc w:val="both"/>
              <w:rPr>
                <w:color w:val="000000" w:themeColor="text1"/>
                <w:szCs w:val="20"/>
              </w:rPr>
            </w:pPr>
            <w:r>
              <w:rPr>
                <w:color w:val="000000" w:themeColor="text1"/>
                <w:szCs w:val="20"/>
              </w:rPr>
              <w:tab/>
            </w:r>
            <w:r w:rsidRPr="008F5625">
              <w:rPr>
                <w:color w:val="000000" w:themeColor="text1"/>
                <w:szCs w:val="20"/>
              </w:rPr>
              <w:t>rescaled value = (7.1 - original value)/</w:t>
            </w:r>
            <w:r>
              <w:rPr>
                <w:color w:val="000000" w:themeColor="text1"/>
                <w:szCs w:val="20"/>
              </w:rPr>
              <w:t xml:space="preserve"> </w:t>
            </w:r>
            <w:r w:rsidRPr="008F5625">
              <w:rPr>
                <w:color w:val="000000" w:themeColor="text1"/>
                <w:szCs w:val="20"/>
              </w:rPr>
              <w:t>(7.1-5.1)</w:t>
            </w:r>
            <w:r>
              <w:rPr>
                <w:color w:val="000000" w:themeColor="text1"/>
                <w:szCs w:val="20"/>
              </w:rPr>
              <w:t xml:space="preserve"> </w:t>
            </w:r>
            <w:r w:rsidRPr="008F5625">
              <w:rPr>
                <w:color w:val="000000" w:themeColor="text1"/>
                <w:szCs w:val="20"/>
              </w:rPr>
              <w:t>*100</w:t>
            </w:r>
          </w:p>
          <w:p w14:paraId="19EDAD51" w14:textId="77777777" w:rsidR="00221C59" w:rsidRPr="008F5625" w:rsidRDefault="00221C59" w:rsidP="00221C59">
            <w:pPr>
              <w:jc w:val="both"/>
              <w:rPr>
                <w:color w:val="000000" w:themeColor="text1"/>
                <w:szCs w:val="20"/>
              </w:rPr>
            </w:pPr>
            <w:r w:rsidRPr="008F5625">
              <w:rPr>
                <w:color w:val="000000" w:themeColor="text1"/>
                <w:szCs w:val="20"/>
              </w:rPr>
              <w:t>• Maximum thresholds for rate indicators: hospital bed density and health workforce density are</w:t>
            </w:r>
            <w:r>
              <w:rPr>
                <w:color w:val="000000" w:themeColor="text1"/>
                <w:szCs w:val="20"/>
              </w:rPr>
              <w:t xml:space="preserve"> </w:t>
            </w:r>
            <w:r w:rsidRPr="008F5625">
              <w:rPr>
                <w:color w:val="000000" w:themeColor="text1"/>
                <w:szCs w:val="20"/>
              </w:rPr>
              <w:t>both capped at maximum thresholds, and values above this threshold are held constant at 100.</w:t>
            </w:r>
            <w:r>
              <w:rPr>
                <w:color w:val="000000" w:themeColor="text1"/>
                <w:szCs w:val="20"/>
              </w:rPr>
              <w:t xml:space="preserve"> </w:t>
            </w:r>
            <w:r w:rsidRPr="008F5625">
              <w:rPr>
                <w:color w:val="000000" w:themeColor="text1"/>
                <w:szCs w:val="20"/>
              </w:rPr>
              <w:t>These thresholds are based on minimum values observed across OECD countries.</w:t>
            </w:r>
          </w:p>
          <w:p w14:paraId="4E1EC28F" w14:textId="77777777" w:rsidR="00221C59" w:rsidRPr="008F5625" w:rsidRDefault="00221C59" w:rsidP="00221C59">
            <w:pPr>
              <w:jc w:val="both"/>
              <w:rPr>
                <w:color w:val="000000" w:themeColor="text1"/>
                <w:szCs w:val="20"/>
              </w:rPr>
            </w:pPr>
            <w:r w:rsidRPr="008F5625">
              <w:rPr>
                <w:color w:val="000000" w:themeColor="text1"/>
                <w:szCs w:val="20"/>
              </w:rPr>
              <w:t>rescaled hospital beds per 10,000 = minimum</w:t>
            </w:r>
            <w:r>
              <w:rPr>
                <w:color w:val="000000" w:themeColor="text1"/>
                <w:szCs w:val="20"/>
              </w:rPr>
              <w:t xml:space="preserve"> </w:t>
            </w:r>
            <w:r w:rsidRPr="008F5625">
              <w:rPr>
                <w:color w:val="000000" w:themeColor="text1"/>
                <w:szCs w:val="20"/>
              </w:rPr>
              <w:t>(100, original value / 18*100)</w:t>
            </w:r>
          </w:p>
          <w:p w14:paraId="0D1AC264" w14:textId="77777777" w:rsidR="00221C59" w:rsidRPr="008F5625" w:rsidRDefault="00221C59" w:rsidP="00221C59">
            <w:pPr>
              <w:jc w:val="both"/>
              <w:rPr>
                <w:color w:val="000000" w:themeColor="text1"/>
                <w:szCs w:val="20"/>
              </w:rPr>
            </w:pPr>
            <w:r w:rsidRPr="008F5625">
              <w:rPr>
                <w:color w:val="000000" w:themeColor="text1"/>
                <w:szCs w:val="20"/>
              </w:rPr>
              <w:t>rescaled physicians per 1,000 = minimum</w:t>
            </w:r>
            <w:r>
              <w:rPr>
                <w:color w:val="000000" w:themeColor="text1"/>
                <w:szCs w:val="20"/>
              </w:rPr>
              <w:t xml:space="preserve"> </w:t>
            </w:r>
            <w:r w:rsidRPr="008F5625">
              <w:rPr>
                <w:color w:val="000000" w:themeColor="text1"/>
                <w:szCs w:val="20"/>
              </w:rPr>
              <w:t>(100, original value / 0.9*100)</w:t>
            </w:r>
          </w:p>
          <w:p w14:paraId="56A03305" w14:textId="77777777" w:rsidR="00221C59" w:rsidRPr="008F5625" w:rsidRDefault="00221C59" w:rsidP="00221C59">
            <w:pPr>
              <w:jc w:val="both"/>
              <w:rPr>
                <w:color w:val="000000" w:themeColor="text1"/>
                <w:szCs w:val="20"/>
              </w:rPr>
            </w:pPr>
            <w:r w:rsidRPr="008F5625">
              <w:rPr>
                <w:color w:val="000000" w:themeColor="text1"/>
                <w:szCs w:val="20"/>
              </w:rPr>
              <w:t>rescaled psychiatrists per 100,000 = minimum (100, original value / 1*100)</w:t>
            </w:r>
          </w:p>
          <w:p w14:paraId="5AD22599" w14:textId="77777777" w:rsidR="00221C59" w:rsidRPr="008F5625" w:rsidRDefault="00221C59" w:rsidP="00221C59">
            <w:pPr>
              <w:jc w:val="both"/>
              <w:rPr>
                <w:color w:val="000000" w:themeColor="text1"/>
                <w:szCs w:val="20"/>
              </w:rPr>
            </w:pPr>
            <w:r w:rsidRPr="008F5625">
              <w:rPr>
                <w:color w:val="000000" w:themeColor="text1"/>
                <w:szCs w:val="20"/>
              </w:rPr>
              <w:t>rescaled surgeons per 100,000 = minimum (100, original value / 14*100)</w:t>
            </w:r>
          </w:p>
          <w:p w14:paraId="4AF9562B" w14:textId="77777777" w:rsidR="00221C59" w:rsidRDefault="00221C59" w:rsidP="00221C59">
            <w:pPr>
              <w:jc w:val="both"/>
              <w:rPr>
                <w:color w:val="000000" w:themeColor="text1"/>
                <w:szCs w:val="20"/>
              </w:rPr>
            </w:pPr>
            <w:r w:rsidRPr="008F5625">
              <w:rPr>
                <w:color w:val="000000" w:themeColor="text1"/>
                <w:szCs w:val="20"/>
              </w:rPr>
              <w:t>Once all tracer indicator values are on a scale of 0 to 100, geometric means are computed within each of</w:t>
            </w:r>
            <w:r>
              <w:rPr>
                <w:color w:val="000000" w:themeColor="text1"/>
                <w:szCs w:val="20"/>
              </w:rPr>
              <w:t xml:space="preserve"> </w:t>
            </w:r>
            <w:r w:rsidRPr="008F5625">
              <w:rPr>
                <w:color w:val="000000" w:themeColor="text1"/>
                <w:szCs w:val="20"/>
              </w:rPr>
              <w:t>the four health service areas, and then a geometric mean is taken of those four values. If the value of a</w:t>
            </w:r>
            <w:r>
              <w:rPr>
                <w:color w:val="000000" w:themeColor="text1"/>
                <w:szCs w:val="20"/>
              </w:rPr>
              <w:t xml:space="preserve"> </w:t>
            </w:r>
            <w:r w:rsidRPr="008F5625">
              <w:rPr>
                <w:color w:val="000000" w:themeColor="text1"/>
                <w:szCs w:val="20"/>
              </w:rPr>
              <w:t xml:space="preserve">tracer indicator happens to be zero, it is set to 1 (out of 100) before computing the geometric mean. </w:t>
            </w:r>
          </w:p>
          <w:p w14:paraId="5A6B8590" w14:textId="77777777" w:rsidR="00221C59" w:rsidRDefault="00221C59" w:rsidP="00221C59">
            <w:pPr>
              <w:jc w:val="both"/>
              <w:rPr>
                <w:color w:val="000000" w:themeColor="text1"/>
                <w:szCs w:val="20"/>
              </w:rPr>
            </w:pPr>
            <w:r w:rsidRPr="008F5625">
              <w:rPr>
                <w:color w:val="000000" w:themeColor="text1"/>
                <w:szCs w:val="20"/>
              </w:rPr>
              <w:t>The</w:t>
            </w:r>
            <w:r>
              <w:rPr>
                <w:color w:val="000000" w:themeColor="text1"/>
                <w:szCs w:val="20"/>
              </w:rPr>
              <w:t xml:space="preserve"> </w:t>
            </w:r>
            <w:r w:rsidRPr="008F5625">
              <w:rPr>
                <w:color w:val="000000" w:themeColor="text1"/>
                <w:szCs w:val="20"/>
              </w:rPr>
              <w:t>following diagram illustrates the calculations.</w:t>
            </w:r>
          </w:p>
          <w:p w14:paraId="69EFCC43" w14:textId="77777777" w:rsidR="00221C59" w:rsidRPr="00A951DD" w:rsidRDefault="00221C59" w:rsidP="00221C59">
            <w:pPr>
              <w:jc w:val="both"/>
              <w:rPr>
                <w:color w:val="000000" w:themeColor="text1"/>
                <w:szCs w:val="20"/>
              </w:rPr>
            </w:pPr>
            <w:r w:rsidRPr="00277750">
              <w:rPr>
                <w:noProof/>
                <w:color w:val="000000" w:themeColor="text1"/>
                <w:szCs w:val="20"/>
                <w:lang w:bidi="bn-BD"/>
              </w:rPr>
              <w:lastRenderedPageBreak/>
              <w:drawing>
                <wp:inline distT="0" distB="0" distL="0" distR="0" wp14:anchorId="26AF2F00" wp14:editId="1D053B62">
                  <wp:extent cx="3529965" cy="3931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550806" cy="3955134"/>
                          </a:xfrm>
                          <a:prstGeom prst="rect">
                            <a:avLst/>
                          </a:prstGeom>
                          <a:noFill/>
                          <a:ln>
                            <a:noFill/>
                          </a:ln>
                        </pic:spPr>
                      </pic:pic>
                    </a:graphicData>
                  </a:graphic>
                </wp:inline>
              </w:drawing>
            </w:r>
          </w:p>
        </w:tc>
        <w:tc>
          <w:tcPr>
            <w:tcW w:w="0" w:type="auto"/>
            <w:shd w:val="clear" w:color="auto" w:fill="auto"/>
          </w:tcPr>
          <w:p w14:paraId="2F7C1636" w14:textId="77777777" w:rsidR="00221C59" w:rsidRPr="00277750" w:rsidRDefault="00221C59" w:rsidP="00221C59">
            <w:pPr>
              <w:jc w:val="center"/>
              <w:rPr>
                <w:bCs/>
                <w:szCs w:val="20"/>
              </w:rPr>
            </w:pPr>
            <w:r>
              <w:rPr>
                <w:bCs/>
                <w:szCs w:val="20"/>
              </w:rPr>
              <w:lastRenderedPageBreak/>
              <w:t>H</w:t>
            </w:r>
            <w:r w:rsidRPr="00277750">
              <w:rPr>
                <w:bCs/>
                <w:szCs w:val="20"/>
              </w:rPr>
              <w:t>ousehold surveys</w:t>
            </w:r>
            <w:r>
              <w:rPr>
                <w:bCs/>
                <w:szCs w:val="20"/>
              </w:rPr>
              <w:t>; however,</w:t>
            </w:r>
          </w:p>
          <w:p w14:paraId="466CD05C" w14:textId="77777777" w:rsidR="00221C59" w:rsidRDefault="00221C59" w:rsidP="00221C59">
            <w:pPr>
              <w:jc w:val="center"/>
              <w:rPr>
                <w:bCs/>
                <w:szCs w:val="20"/>
              </w:rPr>
            </w:pPr>
            <w:r w:rsidRPr="00277750">
              <w:rPr>
                <w:bCs/>
                <w:szCs w:val="20"/>
              </w:rPr>
              <w:t>administrative data, facility data, facility surveys, and sentinel surveillance</w:t>
            </w:r>
            <w:r>
              <w:rPr>
                <w:bCs/>
                <w:szCs w:val="20"/>
              </w:rPr>
              <w:t xml:space="preserve"> system data can be used for different indicator</w:t>
            </w:r>
          </w:p>
        </w:tc>
        <w:tc>
          <w:tcPr>
            <w:tcW w:w="0" w:type="auto"/>
            <w:shd w:val="clear" w:color="auto" w:fill="auto"/>
          </w:tcPr>
          <w:p w14:paraId="578242D8" w14:textId="77777777" w:rsidR="00221C59" w:rsidRDefault="00221C59" w:rsidP="00221C59">
            <w:pPr>
              <w:jc w:val="center"/>
              <w:rPr>
                <w:bCs/>
                <w:szCs w:val="20"/>
              </w:rPr>
            </w:pPr>
            <w:r w:rsidRPr="00277750">
              <w:rPr>
                <w:bCs/>
                <w:szCs w:val="20"/>
              </w:rPr>
              <w:t>Ministr</w:t>
            </w:r>
            <w:r>
              <w:rPr>
                <w:bCs/>
                <w:szCs w:val="20"/>
              </w:rPr>
              <w:t>y</w:t>
            </w:r>
            <w:r w:rsidRPr="00277750">
              <w:rPr>
                <w:bCs/>
                <w:szCs w:val="20"/>
              </w:rPr>
              <w:t xml:space="preserve"> of Health and National Statistical Office</w:t>
            </w:r>
          </w:p>
        </w:tc>
        <w:tc>
          <w:tcPr>
            <w:tcW w:w="0" w:type="auto"/>
            <w:shd w:val="clear" w:color="auto" w:fill="auto"/>
          </w:tcPr>
          <w:p w14:paraId="3B4B481D" w14:textId="77777777" w:rsidR="00221C59" w:rsidRDefault="00221C59" w:rsidP="00221C59">
            <w:pPr>
              <w:jc w:val="center"/>
              <w:rPr>
                <w:color w:val="000000" w:themeColor="text1"/>
                <w:sz w:val="18"/>
                <w:szCs w:val="18"/>
              </w:rPr>
            </w:pPr>
            <w:r>
              <w:rPr>
                <w:color w:val="000000" w:themeColor="text1"/>
                <w:sz w:val="18"/>
                <w:szCs w:val="18"/>
              </w:rPr>
              <w:t>WHO</w:t>
            </w:r>
          </w:p>
        </w:tc>
        <w:tc>
          <w:tcPr>
            <w:tcW w:w="0" w:type="auto"/>
            <w:shd w:val="clear" w:color="auto" w:fill="auto"/>
          </w:tcPr>
          <w:p w14:paraId="0CF33F83" w14:textId="78A3FA1B" w:rsidR="00221C59" w:rsidRDefault="00221C59" w:rsidP="00221C59">
            <w:pPr>
              <w:rPr>
                <w:bCs/>
                <w:szCs w:val="20"/>
              </w:rPr>
            </w:pPr>
          </w:p>
          <w:p w14:paraId="6AD84746" w14:textId="77777777" w:rsidR="00221C59" w:rsidRPr="007A25FE" w:rsidRDefault="00221C59" w:rsidP="00221C59">
            <w:r w:rsidRPr="007A25FE">
              <w:t xml:space="preserve">a) DGHS, </w:t>
            </w:r>
            <w:r>
              <w:t>HSD</w:t>
            </w:r>
          </w:p>
          <w:p w14:paraId="06333B99" w14:textId="77777777" w:rsidR="00221C59" w:rsidRPr="007A25FE" w:rsidRDefault="00221C59" w:rsidP="00221C59">
            <w:r w:rsidRPr="007A25FE">
              <w:t xml:space="preserve">b) </w:t>
            </w:r>
            <w:r w:rsidRPr="0081242E">
              <w:rPr>
                <w:highlight w:val="yellow"/>
              </w:rPr>
              <w:t>NIPORT</w:t>
            </w:r>
            <w:r w:rsidRPr="007A25FE">
              <w:t xml:space="preserve"> (BDHS), </w:t>
            </w:r>
            <w:r>
              <w:t>MEFWD</w:t>
            </w:r>
          </w:p>
          <w:p w14:paraId="76821719" w14:textId="77777777" w:rsidR="00221C59" w:rsidRPr="007A25FE" w:rsidRDefault="00221C59" w:rsidP="00221C59">
            <w:r w:rsidRPr="007A25FE">
              <w:t>c) HEU</w:t>
            </w:r>
            <w:r w:rsidRPr="006B1068">
              <w:t>, MoHFW</w:t>
            </w:r>
            <w:r w:rsidRPr="007A25FE">
              <w:t xml:space="preserve">, </w:t>
            </w:r>
            <w:r>
              <w:t>HSD</w:t>
            </w:r>
          </w:p>
          <w:p w14:paraId="77BD14F6" w14:textId="77777777" w:rsidR="00221C59" w:rsidRDefault="00221C59" w:rsidP="00221C59">
            <w:r w:rsidRPr="007A25FE">
              <w:t>d) WHO</w:t>
            </w:r>
          </w:p>
          <w:p w14:paraId="2BDA1D60" w14:textId="77777777" w:rsidR="00221C59" w:rsidRDefault="00221C59" w:rsidP="00221C59">
            <w:pPr>
              <w:rPr>
                <w:color w:val="FF0000"/>
              </w:rPr>
            </w:pPr>
            <w:r w:rsidRPr="00B24706">
              <w:rPr>
                <w:color w:val="FF0000"/>
              </w:rPr>
              <w:t xml:space="preserve">e) </w:t>
            </w:r>
            <w:r>
              <w:rPr>
                <w:color w:val="FF0000"/>
              </w:rPr>
              <w:t>MICS, BBS</w:t>
            </w:r>
          </w:p>
          <w:p w14:paraId="69A5B707" w14:textId="77777777" w:rsidR="00221C59" w:rsidRDefault="00221C59" w:rsidP="00221C59">
            <w:pPr>
              <w:rPr>
                <w:color w:val="FF0000"/>
              </w:rPr>
            </w:pPr>
            <w:r>
              <w:rPr>
                <w:color w:val="FF0000"/>
              </w:rPr>
              <w:t>f) SVRS, BBS</w:t>
            </w:r>
          </w:p>
          <w:p w14:paraId="156B6881" w14:textId="77777777" w:rsidR="00221C59" w:rsidRPr="00751C54" w:rsidRDefault="00221C59" w:rsidP="00221C59">
            <w:pPr>
              <w:rPr>
                <w:bCs/>
                <w:szCs w:val="20"/>
              </w:rPr>
            </w:pPr>
            <w:r>
              <w:rPr>
                <w:color w:val="FF0000"/>
              </w:rPr>
              <w:t>g) STEP Survey, NIPSOM</w:t>
            </w:r>
          </w:p>
        </w:tc>
        <w:tc>
          <w:tcPr>
            <w:tcW w:w="0" w:type="auto"/>
            <w:shd w:val="clear" w:color="auto" w:fill="auto"/>
          </w:tcPr>
          <w:p w14:paraId="5494D1FD" w14:textId="77777777" w:rsidR="00221C59" w:rsidRDefault="00221C59" w:rsidP="00221C59">
            <w:pPr>
              <w:pStyle w:val="ListParagraph"/>
              <w:numPr>
                <w:ilvl w:val="0"/>
                <w:numId w:val="2"/>
              </w:numPr>
              <w:ind w:left="193" w:hanging="193"/>
              <w:rPr>
                <w:rFonts w:ascii="Tw Cen MT Condensed" w:hAnsi="Tw Cen MT Condensed"/>
                <w:bCs/>
                <w:sz w:val="20"/>
                <w:szCs w:val="20"/>
              </w:rPr>
            </w:pPr>
            <w:r>
              <w:rPr>
                <w:rFonts w:ascii="Tw Cen MT Condensed" w:hAnsi="Tw Cen MT Condensed"/>
                <w:bCs/>
                <w:sz w:val="20"/>
                <w:szCs w:val="20"/>
              </w:rPr>
              <w:t>G</w:t>
            </w:r>
            <w:r w:rsidRPr="00277750">
              <w:rPr>
                <w:rFonts w:ascii="Tw Cen MT Condensed" w:hAnsi="Tw Cen MT Condensed"/>
                <w:bCs/>
                <w:sz w:val="20"/>
                <w:szCs w:val="20"/>
              </w:rPr>
              <w:t>eographic location</w:t>
            </w:r>
            <w:r>
              <w:rPr>
                <w:rFonts w:ascii="Tw Cen MT Condensed" w:hAnsi="Tw Cen MT Condensed"/>
                <w:bCs/>
                <w:sz w:val="20"/>
                <w:szCs w:val="20"/>
              </w:rPr>
              <w:t xml:space="preserve"> (Division/District)</w:t>
            </w:r>
          </w:p>
          <w:p w14:paraId="6C48A86E" w14:textId="77777777" w:rsidR="00221C59" w:rsidRDefault="00221C59" w:rsidP="00221C59">
            <w:pPr>
              <w:pStyle w:val="ListParagraph"/>
              <w:numPr>
                <w:ilvl w:val="0"/>
                <w:numId w:val="2"/>
              </w:numPr>
              <w:ind w:left="193" w:hanging="193"/>
              <w:rPr>
                <w:rFonts w:ascii="Tw Cen MT Condensed" w:hAnsi="Tw Cen MT Condensed"/>
                <w:bCs/>
                <w:sz w:val="20"/>
                <w:szCs w:val="20"/>
              </w:rPr>
            </w:pPr>
            <w:r>
              <w:rPr>
                <w:rFonts w:ascii="Tw Cen MT Condensed" w:hAnsi="Tw Cen MT Condensed"/>
                <w:bCs/>
                <w:sz w:val="20"/>
                <w:szCs w:val="20"/>
              </w:rPr>
              <w:t>Residence (Urban/Rural)</w:t>
            </w:r>
          </w:p>
          <w:p w14:paraId="3A7275C7" w14:textId="77777777" w:rsidR="00221C59" w:rsidRDefault="00221C59" w:rsidP="00221C59">
            <w:pPr>
              <w:pStyle w:val="ListParagraph"/>
              <w:numPr>
                <w:ilvl w:val="0"/>
                <w:numId w:val="2"/>
              </w:numPr>
              <w:ind w:left="193" w:hanging="193"/>
              <w:rPr>
                <w:rFonts w:ascii="Tw Cen MT Condensed" w:hAnsi="Tw Cen MT Condensed"/>
                <w:bCs/>
                <w:sz w:val="20"/>
                <w:szCs w:val="20"/>
              </w:rPr>
            </w:pPr>
            <w:r>
              <w:rPr>
                <w:rFonts w:ascii="Tw Cen MT Condensed" w:hAnsi="Tw Cen MT Condensed"/>
                <w:bCs/>
                <w:sz w:val="20"/>
                <w:szCs w:val="20"/>
              </w:rPr>
              <w:t>H</w:t>
            </w:r>
            <w:r w:rsidRPr="00277750">
              <w:rPr>
                <w:rFonts w:ascii="Tw Cen MT Condensed" w:hAnsi="Tw Cen MT Condensed"/>
                <w:bCs/>
                <w:sz w:val="20"/>
                <w:szCs w:val="20"/>
              </w:rPr>
              <w:t>ousehold wealth</w:t>
            </w:r>
            <w:r>
              <w:rPr>
                <w:rFonts w:ascii="Tw Cen MT Condensed" w:hAnsi="Tw Cen MT Condensed"/>
                <w:bCs/>
                <w:sz w:val="20"/>
                <w:szCs w:val="20"/>
              </w:rPr>
              <w:t xml:space="preserve"> </w:t>
            </w:r>
          </w:p>
          <w:p w14:paraId="541D29D6" w14:textId="77777777" w:rsidR="00221C59" w:rsidRDefault="00221C59" w:rsidP="00221C59">
            <w:pPr>
              <w:pStyle w:val="ListParagraph"/>
              <w:numPr>
                <w:ilvl w:val="0"/>
                <w:numId w:val="2"/>
              </w:numPr>
              <w:ind w:left="193" w:hanging="193"/>
              <w:rPr>
                <w:rFonts w:ascii="Tw Cen MT Condensed" w:hAnsi="Tw Cen MT Condensed"/>
                <w:bCs/>
                <w:sz w:val="20"/>
                <w:szCs w:val="20"/>
              </w:rPr>
            </w:pPr>
            <w:r>
              <w:rPr>
                <w:rFonts w:ascii="Tw Cen MT Condensed" w:hAnsi="Tw Cen MT Condensed"/>
                <w:bCs/>
                <w:sz w:val="20"/>
                <w:szCs w:val="20"/>
              </w:rPr>
              <w:t>S</w:t>
            </w:r>
            <w:r w:rsidRPr="00277750">
              <w:rPr>
                <w:rFonts w:ascii="Tw Cen MT Condensed" w:hAnsi="Tw Cen MT Condensed"/>
                <w:bCs/>
                <w:sz w:val="20"/>
                <w:szCs w:val="20"/>
              </w:rPr>
              <w:t>ervice coverage across key inequality dimensions</w:t>
            </w:r>
          </w:p>
          <w:p w14:paraId="3E3AB919" w14:textId="77777777" w:rsidR="00221C59" w:rsidRDefault="00221C59" w:rsidP="00221C59">
            <w:pPr>
              <w:pStyle w:val="ListParagraph"/>
              <w:numPr>
                <w:ilvl w:val="0"/>
                <w:numId w:val="2"/>
              </w:numPr>
              <w:ind w:left="193" w:hanging="193"/>
              <w:rPr>
                <w:rFonts w:ascii="Tw Cen MT Condensed" w:hAnsi="Tw Cen MT Condensed"/>
                <w:bCs/>
                <w:sz w:val="20"/>
                <w:szCs w:val="20"/>
              </w:rPr>
            </w:pPr>
            <w:r>
              <w:rPr>
                <w:rFonts w:ascii="Tw Cen MT Condensed" w:hAnsi="Tw Cen MT Condensed"/>
                <w:bCs/>
                <w:sz w:val="20"/>
                <w:szCs w:val="20"/>
              </w:rPr>
              <w:t>A</w:t>
            </w:r>
            <w:r w:rsidRPr="00277750">
              <w:rPr>
                <w:rFonts w:ascii="Tw Cen MT Condensed" w:hAnsi="Tw Cen MT Condensed"/>
                <w:bCs/>
                <w:sz w:val="20"/>
                <w:szCs w:val="20"/>
              </w:rPr>
              <w:t>ll 14 tracer indicators</w:t>
            </w:r>
          </w:p>
          <w:p w14:paraId="7DDAC8B6" w14:textId="4D6EBD42" w:rsidR="00BE6D76" w:rsidRPr="00751C54" w:rsidRDefault="00BE6D76" w:rsidP="00221C59">
            <w:pPr>
              <w:pStyle w:val="ListParagraph"/>
              <w:numPr>
                <w:ilvl w:val="0"/>
                <w:numId w:val="2"/>
              </w:numPr>
              <w:ind w:left="193" w:hanging="193"/>
              <w:rPr>
                <w:rFonts w:ascii="Tw Cen MT Condensed" w:hAnsi="Tw Cen MT Condensed"/>
                <w:bCs/>
                <w:sz w:val="20"/>
                <w:szCs w:val="20"/>
              </w:rPr>
            </w:pPr>
            <w:r>
              <w:rPr>
                <w:rFonts w:ascii="Tw Cen MT Condensed" w:hAnsi="Tw Cen MT Condensed"/>
                <w:bCs/>
                <w:sz w:val="20"/>
                <w:szCs w:val="20"/>
              </w:rPr>
              <w:t>Income</w:t>
            </w:r>
            <w:r w:rsidR="00DF6E64">
              <w:rPr>
                <w:rFonts w:ascii="Tw Cen MT Condensed" w:hAnsi="Tw Cen MT Condensed"/>
                <w:bCs/>
                <w:sz w:val="20"/>
                <w:szCs w:val="20"/>
              </w:rPr>
              <w:t>: High/Medium/Low</w:t>
            </w:r>
          </w:p>
        </w:tc>
        <w:tc>
          <w:tcPr>
            <w:tcW w:w="0" w:type="auto"/>
            <w:shd w:val="clear" w:color="auto" w:fill="auto"/>
          </w:tcPr>
          <w:p w14:paraId="4D52E361" w14:textId="77777777" w:rsidR="00221C59" w:rsidRDefault="00221C59" w:rsidP="00221C59">
            <w:pPr>
              <w:jc w:val="center"/>
              <w:rPr>
                <w:bCs/>
                <w:szCs w:val="20"/>
              </w:rPr>
            </w:pPr>
            <w:r w:rsidRPr="00277750">
              <w:rPr>
                <w:bCs/>
                <w:szCs w:val="20"/>
              </w:rPr>
              <w:t>5 years</w:t>
            </w:r>
          </w:p>
        </w:tc>
        <w:tc>
          <w:tcPr>
            <w:tcW w:w="0" w:type="auto"/>
            <w:shd w:val="clear" w:color="auto" w:fill="auto"/>
          </w:tcPr>
          <w:p w14:paraId="7FE9E46A" w14:textId="77777777" w:rsidR="00221C59" w:rsidRDefault="00221C59" w:rsidP="00221C59">
            <w:pPr>
              <w:pStyle w:val="NoSpacing"/>
            </w:pPr>
            <w:r>
              <w:t>1</w:t>
            </w:r>
            <w:r w:rsidRPr="00013ACB">
              <w:rPr>
                <w:vertAlign w:val="superscript"/>
              </w:rPr>
              <w:t>st</w:t>
            </w:r>
            <w:r>
              <w:t xml:space="preserve"> Round: </w:t>
            </w:r>
          </w:p>
          <w:p w14:paraId="4AECB117" w14:textId="77777777" w:rsidR="00221C59" w:rsidRDefault="00221C59" w:rsidP="00221C59">
            <w:pPr>
              <w:pStyle w:val="NoSpacing"/>
            </w:pPr>
            <w:r>
              <w:t>2016</w:t>
            </w:r>
          </w:p>
          <w:p w14:paraId="75529F7C" w14:textId="77777777" w:rsidR="00221C59" w:rsidRDefault="00221C59" w:rsidP="00221C59">
            <w:pPr>
              <w:pStyle w:val="NoSpacing"/>
            </w:pPr>
            <w:r>
              <w:t>2</w:t>
            </w:r>
            <w:r w:rsidRPr="00013ACB">
              <w:rPr>
                <w:vertAlign w:val="superscript"/>
              </w:rPr>
              <w:t>nd</w:t>
            </w:r>
            <w:r>
              <w:t xml:space="preserve"> Round: </w:t>
            </w:r>
          </w:p>
          <w:p w14:paraId="7DBD59F8" w14:textId="77777777" w:rsidR="00221C59" w:rsidRDefault="00221C59" w:rsidP="00221C59">
            <w:pPr>
              <w:pStyle w:val="NoSpacing"/>
            </w:pPr>
            <w:r>
              <w:rPr>
                <w:szCs w:val="20"/>
              </w:rPr>
              <w:t>August, 2019</w:t>
            </w:r>
          </w:p>
          <w:p w14:paraId="64317E18" w14:textId="77777777" w:rsidR="00221C59" w:rsidRDefault="00221C59" w:rsidP="00221C59">
            <w:pPr>
              <w:pStyle w:val="NoSpacing"/>
            </w:pPr>
            <w:r>
              <w:t>3</w:t>
            </w:r>
            <w:r w:rsidRPr="00013ACB">
              <w:rPr>
                <w:vertAlign w:val="superscript"/>
              </w:rPr>
              <w:t>rd</w:t>
            </w:r>
            <w:r>
              <w:t xml:space="preserve"> Round: </w:t>
            </w:r>
          </w:p>
          <w:p w14:paraId="59BF5A6D" w14:textId="77777777" w:rsidR="00221C59" w:rsidRDefault="00221C59" w:rsidP="00221C59">
            <w:pPr>
              <w:pStyle w:val="NoSpacing"/>
            </w:pPr>
            <w:r>
              <w:rPr>
                <w:szCs w:val="20"/>
              </w:rPr>
              <w:t>August, 2020</w:t>
            </w:r>
          </w:p>
          <w:p w14:paraId="1CFCDD2B" w14:textId="77777777" w:rsidR="00221C59" w:rsidRDefault="00221C59" w:rsidP="00221C59">
            <w:pPr>
              <w:pStyle w:val="NoSpacing"/>
            </w:pPr>
            <w:r>
              <w:t>4</w:t>
            </w:r>
            <w:r w:rsidRPr="00013ACB">
              <w:rPr>
                <w:vertAlign w:val="superscript"/>
              </w:rPr>
              <w:t>th</w:t>
            </w:r>
            <w:r>
              <w:t xml:space="preserve"> Round: </w:t>
            </w:r>
          </w:p>
          <w:p w14:paraId="2BBD7EBC" w14:textId="77777777" w:rsidR="00221C59" w:rsidRDefault="00221C59" w:rsidP="00221C59">
            <w:pPr>
              <w:pStyle w:val="NoSpacing"/>
            </w:pPr>
            <w:r>
              <w:rPr>
                <w:szCs w:val="20"/>
              </w:rPr>
              <w:t>August, 2021</w:t>
            </w:r>
          </w:p>
          <w:p w14:paraId="1FB3AA0C" w14:textId="77777777" w:rsidR="00221C59" w:rsidRDefault="00221C59" w:rsidP="00221C59">
            <w:pPr>
              <w:pStyle w:val="NoSpacing"/>
            </w:pPr>
            <w:r>
              <w:t>5</w:t>
            </w:r>
            <w:r w:rsidRPr="00013ACB">
              <w:rPr>
                <w:vertAlign w:val="superscript"/>
              </w:rPr>
              <w:t>th</w:t>
            </w:r>
            <w:r>
              <w:t xml:space="preserve"> Round: </w:t>
            </w:r>
          </w:p>
          <w:p w14:paraId="4A8F473B" w14:textId="77777777" w:rsidR="00221C59" w:rsidRDefault="00221C59" w:rsidP="00221C59">
            <w:pPr>
              <w:rPr>
                <w:szCs w:val="20"/>
              </w:rPr>
            </w:pPr>
            <w:r>
              <w:rPr>
                <w:szCs w:val="20"/>
              </w:rPr>
              <w:lastRenderedPageBreak/>
              <w:t>August, 2022</w:t>
            </w:r>
          </w:p>
          <w:p w14:paraId="75AC771A" w14:textId="45BECA61" w:rsidR="00221C59" w:rsidRPr="002175FB" w:rsidRDefault="00221C59" w:rsidP="00221C59">
            <w:pPr>
              <w:jc w:val="center"/>
              <w:rPr>
                <w:bCs/>
                <w:szCs w:val="20"/>
              </w:rPr>
            </w:pPr>
          </w:p>
        </w:tc>
        <w:tc>
          <w:tcPr>
            <w:tcW w:w="682" w:type="dxa"/>
            <w:shd w:val="clear" w:color="auto" w:fill="auto"/>
          </w:tcPr>
          <w:p w14:paraId="74620406" w14:textId="77777777" w:rsidR="00221C59" w:rsidRPr="008F5625"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lastRenderedPageBreak/>
              <w:t>Group 3</w:t>
            </w:r>
          </w:p>
        </w:tc>
        <w:tc>
          <w:tcPr>
            <w:tcW w:w="983" w:type="dxa"/>
            <w:shd w:val="clear" w:color="auto" w:fill="auto"/>
          </w:tcPr>
          <w:p w14:paraId="6F414374" w14:textId="77777777" w:rsidR="00221C59" w:rsidRDefault="00221C59" w:rsidP="00221C59">
            <w:pPr>
              <w:pStyle w:val="NoSpacing"/>
              <w:rPr>
                <w:bCs/>
                <w:szCs w:val="20"/>
              </w:rPr>
            </w:pPr>
            <w:r>
              <w:t>BHFS, NIPORT</w:t>
            </w:r>
            <w:r>
              <w:br/>
              <w:t>can only</w:t>
            </w:r>
            <w:r>
              <w:br/>
              <w:t>provide,</w:t>
            </w:r>
            <w:r>
              <w:br/>
              <w:t>service</w:t>
            </w:r>
            <w:r>
              <w:br/>
              <w:t>availability</w:t>
            </w:r>
            <w:r>
              <w:br/>
              <w:t>and</w:t>
            </w:r>
            <w:r>
              <w:br/>
              <w:t>readiness of</w:t>
            </w:r>
            <w:r>
              <w:br/>
              <w:t>Family</w:t>
            </w:r>
            <w:r>
              <w:br/>
              <w:t>Planning,</w:t>
            </w:r>
            <w:r>
              <w:br/>
              <w:t>Antenatal</w:t>
            </w:r>
            <w:r>
              <w:br/>
              <w:t>Care (ANC),</w:t>
            </w:r>
            <w:r>
              <w:br/>
              <w:t>Maternal</w:t>
            </w:r>
            <w:r>
              <w:br/>
              <w:t>Health, Child</w:t>
            </w:r>
            <w:r>
              <w:br/>
              <w:t>Health</w:t>
            </w:r>
          </w:p>
        </w:tc>
      </w:tr>
      <w:tr w:rsidR="00BF3271" w14:paraId="2E41621B" w14:textId="77777777" w:rsidTr="0085651F">
        <w:tc>
          <w:tcPr>
            <w:tcW w:w="0" w:type="auto"/>
            <w:gridSpan w:val="2"/>
            <w:shd w:val="clear" w:color="auto" w:fill="auto"/>
          </w:tcPr>
          <w:p w14:paraId="78D52B38" w14:textId="77777777" w:rsidR="00221C59" w:rsidRPr="00A951DD" w:rsidRDefault="00221C59" w:rsidP="00221C59">
            <w:pPr>
              <w:jc w:val="both"/>
              <w:rPr>
                <w:szCs w:val="20"/>
              </w:rPr>
            </w:pPr>
            <w:r w:rsidRPr="00277750">
              <w:rPr>
                <w:szCs w:val="20"/>
              </w:rPr>
              <w:lastRenderedPageBreak/>
              <w:t>3.8.2 Proportion of population with large household expenditures on health as a share of total household expenditure or income</w:t>
            </w:r>
          </w:p>
        </w:tc>
        <w:tc>
          <w:tcPr>
            <w:tcW w:w="0" w:type="auto"/>
            <w:shd w:val="clear" w:color="auto" w:fill="auto"/>
          </w:tcPr>
          <w:p w14:paraId="24E7FB3B" w14:textId="77777777" w:rsidR="00221C59" w:rsidRDefault="00221C59" w:rsidP="00221C59">
            <w:pPr>
              <w:jc w:val="center"/>
              <w:rPr>
                <w:szCs w:val="20"/>
              </w:rPr>
            </w:pPr>
            <w:r>
              <w:rPr>
                <w:szCs w:val="20"/>
              </w:rPr>
              <w:t>WHO</w:t>
            </w:r>
          </w:p>
          <w:p w14:paraId="729DD1E2" w14:textId="77777777" w:rsidR="00221C59" w:rsidRDefault="00221C59" w:rsidP="00221C59">
            <w:pPr>
              <w:jc w:val="center"/>
              <w:rPr>
                <w:szCs w:val="20"/>
              </w:rPr>
            </w:pPr>
          </w:p>
          <w:p w14:paraId="2B89C7EF" w14:textId="77777777" w:rsidR="00221C59" w:rsidRDefault="00221C59" w:rsidP="00221C59">
            <w:pPr>
              <w:jc w:val="center"/>
              <w:rPr>
                <w:szCs w:val="20"/>
              </w:rPr>
            </w:pPr>
            <w:r>
              <w:rPr>
                <w:szCs w:val="20"/>
              </w:rPr>
              <w:t>Partner Agency:</w:t>
            </w:r>
          </w:p>
          <w:p w14:paraId="5FC7E6FA" w14:textId="77777777" w:rsidR="00221C59" w:rsidRPr="00A951DD" w:rsidRDefault="00221C59" w:rsidP="00221C59">
            <w:pPr>
              <w:jc w:val="center"/>
              <w:rPr>
                <w:szCs w:val="20"/>
              </w:rPr>
            </w:pPr>
            <w:r>
              <w:rPr>
                <w:szCs w:val="20"/>
              </w:rPr>
              <w:t>World Bank</w:t>
            </w:r>
          </w:p>
        </w:tc>
        <w:tc>
          <w:tcPr>
            <w:tcW w:w="0" w:type="auto"/>
            <w:shd w:val="clear" w:color="auto" w:fill="auto"/>
          </w:tcPr>
          <w:p w14:paraId="12F4E5C8" w14:textId="77777777" w:rsidR="00221C59" w:rsidRDefault="00221C59" w:rsidP="00221C59">
            <w:pPr>
              <w:jc w:val="center"/>
              <w:rPr>
                <w:szCs w:val="20"/>
              </w:rPr>
            </w:pPr>
            <w:r>
              <w:rPr>
                <w:szCs w:val="20"/>
              </w:rPr>
              <w:t>Tier I</w:t>
            </w:r>
          </w:p>
          <w:p w14:paraId="581FDEC7" w14:textId="4366CCB8" w:rsidR="00221C59" w:rsidRDefault="00221C59" w:rsidP="00221C59">
            <w:pPr>
              <w:jc w:val="center"/>
              <w:rPr>
                <w:szCs w:val="20"/>
              </w:rPr>
            </w:pPr>
          </w:p>
        </w:tc>
        <w:tc>
          <w:tcPr>
            <w:tcW w:w="0" w:type="auto"/>
            <w:shd w:val="clear" w:color="auto" w:fill="auto"/>
          </w:tcPr>
          <w:p w14:paraId="59B2702D" w14:textId="77777777" w:rsidR="00221C59" w:rsidRPr="00277750" w:rsidRDefault="00221C59" w:rsidP="00221C59">
            <w:pPr>
              <w:jc w:val="both"/>
              <w:rPr>
                <w:b/>
                <w:bCs/>
                <w:color w:val="000000" w:themeColor="text1"/>
                <w:szCs w:val="20"/>
              </w:rPr>
            </w:pPr>
            <w:r w:rsidRPr="00277750">
              <w:rPr>
                <w:b/>
                <w:bCs/>
                <w:color w:val="000000" w:themeColor="text1"/>
                <w:szCs w:val="20"/>
              </w:rPr>
              <w:t>Definition:</w:t>
            </w:r>
          </w:p>
          <w:p w14:paraId="2D86602A" w14:textId="77777777" w:rsidR="00221C59" w:rsidRDefault="00221C59" w:rsidP="00221C59">
            <w:pPr>
              <w:jc w:val="both"/>
              <w:rPr>
                <w:color w:val="000000" w:themeColor="text1"/>
                <w:szCs w:val="20"/>
              </w:rPr>
            </w:pPr>
            <w:r w:rsidRPr="00277750">
              <w:rPr>
                <w:color w:val="000000" w:themeColor="text1"/>
                <w:szCs w:val="20"/>
              </w:rPr>
              <w:t>Proportion of the population with large household expenditure on health as a share of total household</w:t>
            </w:r>
            <w:r>
              <w:rPr>
                <w:color w:val="000000" w:themeColor="text1"/>
                <w:szCs w:val="20"/>
              </w:rPr>
              <w:t xml:space="preserve"> </w:t>
            </w:r>
            <w:r w:rsidRPr="00277750">
              <w:rPr>
                <w:color w:val="000000" w:themeColor="text1"/>
                <w:szCs w:val="20"/>
              </w:rPr>
              <w:t>expenditure or income.</w:t>
            </w:r>
            <w:r>
              <w:rPr>
                <w:color w:val="000000" w:themeColor="text1"/>
                <w:szCs w:val="20"/>
              </w:rPr>
              <w:t xml:space="preserve"> </w:t>
            </w:r>
            <w:r w:rsidRPr="00277750">
              <w:rPr>
                <w:color w:val="000000" w:themeColor="text1"/>
                <w:szCs w:val="20"/>
              </w:rPr>
              <w:t>Two thresholds are used to define “large household expenditure on health”: greater than 10% and</w:t>
            </w:r>
            <w:r>
              <w:rPr>
                <w:color w:val="000000" w:themeColor="text1"/>
                <w:szCs w:val="20"/>
              </w:rPr>
              <w:t xml:space="preserve"> </w:t>
            </w:r>
            <w:r w:rsidRPr="00277750">
              <w:rPr>
                <w:color w:val="000000" w:themeColor="text1"/>
                <w:szCs w:val="20"/>
              </w:rPr>
              <w:t>greater than 25% of total household expenditure or income.</w:t>
            </w:r>
          </w:p>
          <w:p w14:paraId="172401BA" w14:textId="77777777" w:rsidR="00221C59" w:rsidRDefault="00221C59" w:rsidP="00221C59">
            <w:pPr>
              <w:jc w:val="both"/>
              <w:rPr>
                <w:b/>
                <w:bCs/>
                <w:color w:val="000000" w:themeColor="text1"/>
                <w:szCs w:val="20"/>
              </w:rPr>
            </w:pPr>
          </w:p>
          <w:p w14:paraId="5B630792" w14:textId="77777777" w:rsidR="00221C59" w:rsidRPr="00277750" w:rsidRDefault="00221C59" w:rsidP="00221C59">
            <w:pPr>
              <w:jc w:val="both"/>
              <w:rPr>
                <w:b/>
                <w:bCs/>
                <w:color w:val="000000" w:themeColor="text1"/>
                <w:szCs w:val="20"/>
              </w:rPr>
            </w:pPr>
            <w:r w:rsidRPr="00277750">
              <w:rPr>
                <w:b/>
                <w:bCs/>
                <w:color w:val="000000" w:themeColor="text1"/>
                <w:szCs w:val="20"/>
              </w:rPr>
              <w:t>Concepts:</w:t>
            </w:r>
          </w:p>
          <w:p w14:paraId="0126656D" w14:textId="77777777" w:rsidR="00221C59" w:rsidRDefault="00221C59" w:rsidP="00221C59">
            <w:pPr>
              <w:jc w:val="both"/>
              <w:rPr>
                <w:color w:val="000000" w:themeColor="text1"/>
                <w:szCs w:val="20"/>
              </w:rPr>
            </w:pPr>
            <w:r w:rsidRPr="00277750">
              <w:rPr>
                <w:color w:val="000000" w:themeColor="text1"/>
                <w:szCs w:val="20"/>
              </w:rPr>
              <w:t>Indicator 3.8.2 is defined as the “Proportion of the population with large household expenditure on</w:t>
            </w:r>
            <w:r>
              <w:rPr>
                <w:color w:val="000000" w:themeColor="text1"/>
                <w:szCs w:val="20"/>
              </w:rPr>
              <w:t xml:space="preserve"> </w:t>
            </w:r>
            <w:r w:rsidRPr="00277750">
              <w:rPr>
                <w:color w:val="000000" w:themeColor="text1"/>
                <w:szCs w:val="20"/>
              </w:rPr>
              <w:t xml:space="preserve">health as a share of total household expenditure or income”. In effect </w:t>
            </w:r>
            <w:r w:rsidRPr="00277750">
              <w:rPr>
                <w:color w:val="000000" w:themeColor="text1"/>
                <w:szCs w:val="20"/>
              </w:rPr>
              <w:lastRenderedPageBreak/>
              <w:t>it is based on a ratio exceeding a</w:t>
            </w:r>
            <w:r>
              <w:rPr>
                <w:color w:val="000000" w:themeColor="text1"/>
                <w:szCs w:val="20"/>
              </w:rPr>
              <w:t xml:space="preserve"> </w:t>
            </w:r>
            <w:r w:rsidRPr="00277750">
              <w:rPr>
                <w:color w:val="000000" w:themeColor="text1"/>
                <w:szCs w:val="20"/>
              </w:rPr>
              <w:t>threshold. The two main concepts of interest behind this ratio are household expenditure on health</w:t>
            </w:r>
            <w:r>
              <w:rPr>
                <w:color w:val="000000" w:themeColor="text1"/>
                <w:szCs w:val="20"/>
              </w:rPr>
              <w:t xml:space="preserve"> </w:t>
            </w:r>
            <w:r w:rsidRPr="00277750">
              <w:rPr>
                <w:color w:val="000000" w:themeColor="text1"/>
                <w:szCs w:val="20"/>
              </w:rPr>
              <w:t>(numerator) and total household consumption expenditure or, when unavailable, income (denominator).</w:t>
            </w:r>
          </w:p>
          <w:p w14:paraId="390DC3F7" w14:textId="77777777" w:rsidR="00221C59" w:rsidRDefault="00221C59" w:rsidP="00221C59">
            <w:pPr>
              <w:jc w:val="both"/>
              <w:rPr>
                <w:b/>
                <w:bCs/>
                <w:color w:val="000000" w:themeColor="text1"/>
                <w:szCs w:val="20"/>
              </w:rPr>
            </w:pPr>
          </w:p>
          <w:p w14:paraId="6023AB81" w14:textId="77777777" w:rsidR="00221C59" w:rsidRPr="00277750" w:rsidRDefault="00221C59" w:rsidP="00221C59">
            <w:pPr>
              <w:jc w:val="both"/>
              <w:rPr>
                <w:b/>
                <w:bCs/>
                <w:color w:val="000000" w:themeColor="text1"/>
                <w:szCs w:val="20"/>
              </w:rPr>
            </w:pPr>
            <w:r w:rsidRPr="00277750">
              <w:rPr>
                <w:b/>
                <w:bCs/>
                <w:color w:val="000000" w:themeColor="text1"/>
                <w:szCs w:val="20"/>
              </w:rPr>
              <w:t>Numerator</w:t>
            </w:r>
          </w:p>
          <w:p w14:paraId="537751D3" w14:textId="77777777" w:rsidR="00221C59" w:rsidRDefault="00221C59" w:rsidP="00221C59">
            <w:pPr>
              <w:jc w:val="both"/>
              <w:rPr>
                <w:color w:val="000000" w:themeColor="text1"/>
                <w:szCs w:val="20"/>
              </w:rPr>
            </w:pPr>
            <w:r w:rsidRPr="00277750">
              <w:rPr>
                <w:color w:val="000000" w:themeColor="text1"/>
                <w:szCs w:val="20"/>
              </w:rPr>
              <w:t>Household expenditure on health is defined as any expenditure incurred at the time of service use to get</w:t>
            </w:r>
            <w:r>
              <w:rPr>
                <w:color w:val="000000" w:themeColor="text1"/>
                <w:szCs w:val="20"/>
              </w:rPr>
              <w:t xml:space="preserve"> </w:t>
            </w:r>
            <w:r w:rsidRPr="00277750">
              <w:rPr>
                <w:color w:val="000000" w:themeColor="text1"/>
                <w:szCs w:val="20"/>
              </w:rPr>
              <w:t>any type of care (promotive, preventive, curative, rehabilitative, palliative or long-term care) including all</w:t>
            </w:r>
            <w:r>
              <w:rPr>
                <w:color w:val="000000" w:themeColor="text1"/>
                <w:szCs w:val="20"/>
              </w:rPr>
              <w:t xml:space="preserve"> </w:t>
            </w:r>
            <w:r w:rsidRPr="00277750">
              <w:rPr>
                <w:color w:val="000000" w:themeColor="text1"/>
                <w:szCs w:val="20"/>
              </w:rPr>
              <w:t>medicines, vaccines and other pharmaceutical preparations as well as all health products, from any type</w:t>
            </w:r>
            <w:r>
              <w:rPr>
                <w:color w:val="000000" w:themeColor="text1"/>
                <w:szCs w:val="20"/>
              </w:rPr>
              <w:t xml:space="preserve"> </w:t>
            </w:r>
            <w:r w:rsidRPr="00277750">
              <w:rPr>
                <w:color w:val="000000" w:themeColor="text1"/>
                <w:szCs w:val="20"/>
              </w:rPr>
              <w:t>of provider and for all members of the household. These health expenditures are characterized by a direct</w:t>
            </w:r>
            <w:r>
              <w:rPr>
                <w:color w:val="000000" w:themeColor="text1"/>
                <w:szCs w:val="20"/>
              </w:rPr>
              <w:t xml:space="preserve"> </w:t>
            </w:r>
            <w:r w:rsidRPr="00277750">
              <w:rPr>
                <w:color w:val="000000" w:themeColor="text1"/>
                <w:szCs w:val="20"/>
              </w:rPr>
              <w:t>payments that are financed by a household’s income (including remittances), savings or loans but do not</w:t>
            </w:r>
            <w:r>
              <w:rPr>
                <w:color w:val="000000" w:themeColor="text1"/>
                <w:szCs w:val="20"/>
              </w:rPr>
              <w:t xml:space="preserve"> </w:t>
            </w:r>
            <w:r w:rsidRPr="00277750">
              <w:rPr>
                <w:color w:val="000000" w:themeColor="text1"/>
                <w:szCs w:val="20"/>
              </w:rPr>
              <w:t>include any third-party payer reimbursement. As such they only grant access to the health services and</w:t>
            </w:r>
            <w:r>
              <w:rPr>
                <w:color w:val="000000" w:themeColor="text1"/>
                <w:szCs w:val="20"/>
              </w:rPr>
              <w:t xml:space="preserve"> </w:t>
            </w:r>
            <w:r w:rsidRPr="00277750">
              <w:rPr>
                <w:color w:val="000000" w:themeColor="text1"/>
                <w:szCs w:val="20"/>
              </w:rPr>
              <w:t>health products individuals can pay for, without any solidarity between the healthy and the sick beyond</w:t>
            </w:r>
            <w:r>
              <w:rPr>
                <w:color w:val="000000" w:themeColor="text1"/>
                <w:szCs w:val="20"/>
              </w:rPr>
              <w:t xml:space="preserve"> </w:t>
            </w:r>
            <w:r w:rsidRPr="00277750">
              <w:rPr>
                <w:color w:val="000000" w:themeColor="text1"/>
                <w:szCs w:val="20"/>
              </w:rPr>
              <w:t>the household and solely based on the willingness and ability of the household to pay. Direct health care</w:t>
            </w:r>
            <w:r>
              <w:rPr>
                <w:color w:val="000000" w:themeColor="text1"/>
                <w:szCs w:val="20"/>
              </w:rPr>
              <w:t xml:space="preserve"> </w:t>
            </w:r>
            <w:r w:rsidRPr="00277750">
              <w:rPr>
                <w:color w:val="000000" w:themeColor="text1"/>
                <w:szCs w:val="20"/>
              </w:rPr>
              <w:t>payments are labelled Out-Of-Pocket (OOP) payments in the classification of health care financing</w:t>
            </w:r>
            <w:r>
              <w:rPr>
                <w:color w:val="000000" w:themeColor="text1"/>
                <w:szCs w:val="20"/>
              </w:rPr>
              <w:t xml:space="preserve"> </w:t>
            </w:r>
            <w:r w:rsidRPr="00277750">
              <w:rPr>
                <w:color w:val="000000" w:themeColor="text1"/>
                <w:szCs w:val="20"/>
              </w:rPr>
              <w:t>schemes (HF) of the international Classification for Health Accounts (ICHA). OOP health expenditures are</w:t>
            </w:r>
            <w:r>
              <w:rPr>
                <w:color w:val="000000" w:themeColor="text1"/>
                <w:szCs w:val="20"/>
              </w:rPr>
              <w:t xml:space="preserve"> </w:t>
            </w:r>
            <w:r w:rsidRPr="00277750">
              <w:rPr>
                <w:color w:val="000000" w:themeColor="text1"/>
                <w:szCs w:val="20"/>
              </w:rPr>
              <w:t>the most unequitable source of funding for the health system.</w:t>
            </w:r>
          </w:p>
          <w:p w14:paraId="238ADCF4" w14:textId="77777777" w:rsidR="00221C59" w:rsidRPr="00277750" w:rsidRDefault="00221C59" w:rsidP="00221C59">
            <w:pPr>
              <w:jc w:val="both"/>
              <w:rPr>
                <w:color w:val="000000" w:themeColor="text1"/>
                <w:szCs w:val="20"/>
              </w:rPr>
            </w:pPr>
          </w:p>
          <w:p w14:paraId="214B3331" w14:textId="77777777" w:rsidR="00221C59" w:rsidRPr="00277750" w:rsidRDefault="00221C59" w:rsidP="00221C59">
            <w:pPr>
              <w:jc w:val="both"/>
              <w:rPr>
                <w:color w:val="000000" w:themeColor="text1"/>
                <w:szCs w:val="20"/>
              </w:rPr>
            </w:pPr>
            <w:r w:rsidRPr="00277750">
              <w:rPr>
                <w:color w:val="000000" w:themeColor="text1"/>
                <w:szCs w:val="20"/>
              </w:rPr>
              <w:t>The components of a household’s health care consumption expenditure so defined should be consistent</w:t>
            </w:r>
            <w:r>
              <w:rPr>
                <w:color w:val="000000" w:themeColor="text1"/>
                <w:szCs w:val="20"/>
              </w:rPr>
              <w:t xml:space="preserve"> </w:t>
            </w:r>
            <w:r w:rsidRPr="00277750">
              <w:rPr>
                <w:color w:val="000000" w:themeColor="text1"/>
                <w:szCs w:val="20"/>
              </w:rPr>
              <w:t>with division 06 on health of the UN Classification of Individual Consumption According to Purpose</w:t>
            </w:r>
            <w:r>
              <w:rPr>
                <w:color w:val="000000" w:themeColor="text1"/>
                <w:szCs w:val="20"/>
              </w:rPr>
              <w:t xml:space="preserve"> </w:t>
            </w:r>
            <w:r w:rsidRPr="00277750">
              <w:rPr>
                <w:color w:val="000000" w:themeColor="text1"/>
                <w:szCs w:val="20"/>
              </w:rPr>
              <w:t>(COICOP) which currently includes expenditures on medicines and medical products (06.1), outpatient</w:t>
            </w:r>
            <w:r>
              <w:rPr>
                <w:color w:val="000000" w:themeColor="text1"/>
                <w:szCs w:val="20"/>
              </w:rPr>
              <w:t xml:space="preserve"> </w:t>
            </w:r>
            <w:r w:rsidRPr="00277750">
              <w:rPr>
                <w:color w:val="000000" w:themeColor="text1"/>
                <w:szCs w:val="20"/>
              </w:rPr>
              <w:t>care services (06.2) and inpatient care services (06.3) but is being expanded</w:t>
            </w:r>
            <w:r>
              <w:rPr>
                <w:color w:val="000000" w:themeColor="text1"/>
                <w:szCs w:val="20"/>
              </w:rPr>
              <w:t>.</w:t>
            </w:r>
          </w:p>
          <w:p w14:paraId="5CF79B44" w14:textId="77777777" w:rsidR="00221C59" w:rsidRPr="00277750" w:rsidRDefault="00221C59" w:rsidP="00221C59">
            <w:pPr>
              <w:jc w:val="both"/>
              <w:rPr>
                <w:color w:val="000000" w:themeColor="text1"/>
                <w:szCs w:val="20"/>
              </w:rPr>
            </w:pPr>
            <w:r w:rsidRPr="00277750">
              <w:rPr>
                <w:color w:val="000000" w:themeColor="text1"/>
                <w:szCs w:val="20"/>
              </w:rPr>
              <w:t>.</w:t>
            </w:r>
          </w:p>
          <w:p w14:paraId="220C6FF3" w14:textId="77777777" w:rsidR="00221C59" w:rsidRPr="00277750" w:rsidRDefault="00221C59" w:rsidP="00221C59">
            <w:pPr>
              <w:jc w:val="both"/>
              <w:rPr>
                <w:color w:val="000000" w:themeColor="text1"/>
                <w:szCs w:val="20"/>
              </w:rPr>
            </w:pPr>
            <w:r w:rsidRPr="00277750">
              <w:rPr>
                <w:color w:val="000000" w:themeColor="text1"/>
                <w:szCs w:val="20"/>
              </w:rPr>
              <w:t>Further information on definitions and classifications (for example by provider, by beneficiary</w:t>
            </w:r>
          </w:p>
          <w:p w14:paraId="522F7480" w14:textId="77777777" w:rsidR="00221C59" w:rsidRDefault="00221C59" w:rsidP="00221C59">
            <w:pPr>
              <w:jc w:val="both"/>
              <w:rPr>
                <w:color w:val="000000" w:themeColor="text1"/>
                <w:szCs w:val="20"/>
              </w:rPr>
            </w:pPr>
            <w:proofErr w:type="gramStart"/>
            <w:r w:rsidRPr="00277750">
              <w:rPr>
                <w:color w:val="000000" w:themeColor="text1"/>
                <w:szCs w:val="20"/>
              </w:rPr>
              <w:t>characteristics</w:t>
            </w:r>
            <w:proofErr w:type="gramEnd"/>
            <w:r w:rsidRPr="00277750">
              <w:rPr>
                <w:color w:val="000000" w:themeColor="text1"/>
                <w:szCs w:val="20"/>
              </w:rPr>
              <w:t>) of health expenditures should be consistent with the international classification for health</w:t>
            </w:r>
            <w:r>
              <w:rPr>
                <w:color w:val="000000" w:themeColor="text1"/>
                <w:szCs w:val="20"/>
              </w:rPr>
              <w:t xml:space="preserve"> </w:t>
            </w:r>
            <w:r w:rsidRPr="00277750">
              <w:rPr>
                <w:color w:val="000000" w:themeColor="text1"/>
                <w:szCs w:val="20"/>
              </w:rPr>
              <w:t xml:space="preserve">accounts </w:t>
            </w:r>
            <w:r>
              <w:rPr>
                <w:color w:val="000000" w:themeColor="text1"/>
                <w:szCs w:val="20"/>
              </w:rPr>
              <w:t>(</w:t>
            </w:r>
            <w:r w:rsidRPr="00277750">
              <w:rPr>
                <w:color w:val="000000" w:themeColor="text1"/>
                <w:szCs w:val="20"/>
              </w:rPr>
              <w:t>http://www.who.int/health-accounts/methodology/en/</w:t>
            </w:r>
            <w:r>
              <w:rPr>
                <w:color w:val="000000" w:themeColor="text1"/>
                <w:szCs w:val="20"/>
              </w:rPr>
              <w:t xml:space="preserve">) </w:t>
            </w:r>
            <w:r w:rsidRPr="00277750">
              <w:rPr>
                <w:color w:val="000000" w:themeColor="text1"/>
                <w:szCs w:val="20"/>
              </w:rPr>
              <w:t>and its family of classifications. ICHA results from collaboration between OECD, Eurostat and the</w:t>
            </w:r>
            <w:r>
              <w:rPr>
                <w:color w:val="000000" w:themeColor="text1"/>
                <w:szCs w:val="20"/>
              </w:rPr>
              <w:t xml:space="preserve"> </w:t>
            </w:r>
            <w:r w:rsidRPr="00277750">
              <w:rPr>
                <w:color w:val="000000" w:themeColor="text1"/>
                <w:szCs w:val="20"/>
              </w:rPr>
              <w:t>World Health Organization.</w:t>
            </w:r>
          </w:p>
          <w:p w14:paraId="01952753" w14:textId="77777777" w:rsidR="00221C59" w:rsidRDefault="00221C59" w:rsidP="00221C59">
            <w:pPr>
              <w:jc w:val="both"/>
              <w:rPr>
                <w:b/>
                <w:bCs/>
                <w:color w:val="000000" w:themeColor="text1"/>
                <w:szCs w:val="20"/>
              </w:rPr>
            </w:pPr>
          </w:p>
          <w:p w14:paraId="52123FF1" w14:textId="77777777" w:rsidR="00221C59" w:rsidRPr="00277750" w:rsidRDefault="00221C59" w:rsidP="00221C59">
            <w:pPr>
              <w:jc w:val="both"/>
              <w:rPr>
                <w:b/>
                <w:bCs/>
                <w:color w:val="000000" w:themeColor="text1"/>
                <w:szCs w:val="20"/>
              </w:rPr>
            </w:pPr>
            <w:r w:rsidRPr="00277750">
              <w:rPr>
                <w:b/>
                <w:bCs/>
                <w:color w:val="000000" w:themeColor="text1"/>
                <w:szCs w:val="20"/>
              </w:rPr>
              <w:t>Denominator</w:t>
            </w:r>
          </w:p>
          <w:p w14:paraId="212BE183" w14:textId="77777777" w:rsidR="00221C59" w:rsidRPr="00277750" w:rsidRDefault="00221C59" w:rsidP="00221C59">
            <w:pPr>
              <w:jc w:val="both"/>
              <w:rPr>
                <w:color w:val="000000" w:themeColor="text1"/>
                <w:szCs w:val="20"/>
              </w:rPr>
            </w:pPr>
            <w:r w:rsidRPr="00277750">
              <w:rPr>
                <w:color w:val="000000" w:themeColor="text1"/>
                <w:szCs w:val="20"/>
              </w:rPr>
              <w:t>Expenditure on household consumption and household income are both monetary welfare measures.</w:t>
            </w:r>
            <w:r>
              <w:rPr>
                <w:color w:val="000000" w:themeColor="text1"/>
                <w:szCs w:val="20"/>
              </w:rPr>
              <w:t xml:space="preserve"> </w:t>
            </w:r>
            <w:r w:rsidRPr="00277750">
              <w:rPr>
                <w:color w:val="000000" w:themeColor="text1"/>
                <w:szCs w:val="20"/>
              </w:rPr>
              <w:t>Household consumption is a function of permanent income, which is a measure of a household’s long</w:t>
            </w:r>
            <w:r>
              <w:rPr>
                <w:color w:val="000000" w:themeColor="text1"/>
                <w:szCs w:val="20"/>
              </w:rPr>
              <w:t xml:space="preserve"> </w:t>
            </w:r>
            <w:r w:rsidRPr="00277750">
              <w:rPr>
                <w:color w:val="000000" w:themeColor="text1"/>
                <w:szCs w:val="20"/>
              </w:rPr>
              <w:t>term</w:t>
            </w:r>
            <w:r>
              <w:rPr>
                <w:color w:val="000000" w:themeColor="text1"/>
                <w:szCs w:val="20"/>
              </w:rPr>
              <w:t xml:space="preserve"> </w:t>
            </w:r>
            <w:r w:rsidRPr="00277750">
              <w:rPr>
                <w:color w:val="000000" w:themeColor="text1"/>
                <w:szCs w:val="20"/>
              </w:rPr>
              <w:t>economic resources that determine living standards. Consumption is generally defined as the sum</w:t>
            </w:r>
            <w:r>
              <w:rPr>
                <w:color w:val="000000" w:themeColor="text1"/>
                <w:szCs w:val="20"/>
              </w:rPr>
              <w:t xml:space="preserve"> </w:t>
            </w:r>
            <w:r w:rsidRPr="00277750">
              <w:rPr>
                <w:color w:val="000000" w:themeColor="text1"/>
                <w:szCs w:val="20"/>
              </w:rPr>
              <w:t xml:space="preserve">of the monetary values of all </w:t>
            </w:r>
            <w:r w:rsidRPr="00277750">
              <w:rPr>
                <w:color w:val="000000" w:themeColor="text1"/>
                <w:szCs w:val="20"/>
              </w:rPr>
              <w:lastRenderedPageBreak/>
              <w:t>items (goods and services) consumed by the household on domestic</w:t>
            </w:r>
            <w:r>
              <w:rPr>
                <w:color w:val="000000" w:themeColor="text1"/>
                <w:szCs w:val="20"/>
              </w:rPr>
              <w:t xml:space="preserve"> </w:t>
            </w:r>
            <w:r w:rsidRPr="00277750">
              <w:rPr>
                <w:color w:val="000000" w:themeColor="text1"/>
                <w:szCs w:val="20"/>
              </w:rPr>
              <w:t>account during a reference period. It includes the imputed values of goods and services that are not</w:t>
            </w:r>
            <w:r>
              <w:rPr>
                <w:color w:val="000000" w:themeColor="text1"/>
                <w:szCs w:val="20"/>
              </w:rPr>
              <w:t xml:space="preserve"> </w:t>
            </w:r>
            <w:r w:rsidRPr="00277750">
              <w:rPr>
                <w:color w:val="000000" w:themeColor="text1"/>
                <w:szCs w:val="20"/>
              </w:rPr>
              <w:t>purchased but procured otherwise for consumption. Information on household consumption is usually</w:t>
            </w:r>
            <w:r>
              <w:rPr>
                <w:color w:val="000000" w:themeColor="text1"/>
                <w:szCs w:val="20"/>
              </w:rPr>
              <w:t xml:space="preserve"> </w:t>
            </w:r>
            <w:r w:rsidRPr="00277750">
              <w:rPr>
                <w:color w:val="000000" w:themeColor="text1"/>
                <w:szCs w:val="20"/>
              </w:rPr>
              <w:t>collected in household surveys that may use different approaches to measure ‘consumption’ depending</w:t>
            </w:r>
            <w:r>
              <w:rPr>
                <w:color w:val="000000" w:themeColor="text1"/>
                <w:szCs w:val="20"/>
              </w:rPr>
              <w:t xml:space="preserve"> </w:t>
            </w:r>
            <w:r w:rsidRPr="00277750">
              <w:rPr>
                <w:color w:val="000000" w:themeColor="text1"/>
                <w:szCs w:val="20"/>
              </w:rPr>
              <w:t>on whether items refer to durable or non-durable goods and/or are directly produced by households.</w:t>
            </w:r>
            <w:r>
              <w:rPr>
                <w:color w:val="000000" w:themeColor="text1"/>
                <w:szCs w:val="20"/>
              </w:rPr>
              <w:t xml:space="preserve"> </w:t>
            </w:r>
            <w:r w:rsidRPr="00277750">
              <w:rPr>
                <w:color w:val="000000" w:themeColor="text1"/>
                <w:szCs w:val="20"/>
              </w:rPr>
              <w:t>The most relevant measure of income is disposable income as it is close to the maximum available to the</w:t>
            </w:r>
            <w:r>
              <w:rPr>
                <w:color w:val="000000" w:themeColor="text1"/>
                <w:szCs w:val="20"/>
              </w:rPr>
              <w:t xml:space="preserve"> </w:t>
            </w:r>
            <w:r w:rsidRPr="00277750">
              <w:rPr>
                <w:color w:val="000000" w:themeColor="text1"/>
                <w:szCs w:val="20"/>
              </w:rPr>
              <w:t>household for consumption expenditure during the accounting period. Disposable income is defined as</w:t>
            </w:r>
            <w:r>
              <w:rPr>
                <w:color w:val="000000" w:themeColor="text1"/>
                <w:szCs w:val="20"/>
              </w:rPr>
              <w:t xml:space="preserve"> </w:t>
            </w:r>
            <w:r w:rsidRPr="00277750">
              <w:rPr>
                <w:color w:val="000000" w:themeColor="text1"/>
                <w:szCs w:val="20"/>
              </w:rPr>
              <w:t>total income less direct taxes (net of refunds), compulsory fees and fines. Total income is generally</w:t>
            </w:r>
            <w:r>
              <w:rPr>
                <w:color w:val="000000" w:themeColor="text1"/>
                <w:szCs w:val="20"/>
              </w:rPr>
              <w:t xml:space="preserve"> </w:t>
            </w:r>
            <w:r w:rsidRPr="00277750">
              <w:rPr>
                <w:color w:val="000000" w:themeColor="text1"/>
                <w:szCs w:val="20"/>
              </w:rPr>
              <w:t>composed of income from employment, property income, income from household production of services</w:t>
            </w:r>
            <w:r>
              <w:rPr>
                <w:color w:val="000000" w:themeColor="text1"/>
                <w:szCs w:val="20"/>
              </w:rPr>
              <w:t xml:space="preserve"> </w:t>
            </w:r>
            <w:r w:rsidRPr="00277750">
              <w:rPr>
                <w:color w:val="000000" w:themeColor="text1"/>
                <w:szCs w:val="20"/>
              </w:rPr>
              <w:t>for own consumption, transfers received in cash and goods, transfers received as services</w:t>
            </w:r>
            <w:r>
              <w:rPr>
                <w:color w:val="000000" w:themeColor="text1"/>
                <w:szCs w:val="20"/>
              </w:rPr>
              <w:t>.</w:t>
            </w:r>
          </w:p>
          <w:p w14:paraId="2B771F2E" w14:textId="77777777" w:rsidR="00221C59" w:rsidRDefault="00221C59" w:rsidP="00221C59">
            <w:pPr>
              <w:jc w:val="both"/>
              <w:rPr>
                <w:color w:val="000000" w:themeColor="text1"/>
                <w:szCs w:val="20"/>
              </w:rPr>
            </w:pPr>
            <w:r w:rsidRPr="00277750">
              <w:rPr>
                <w:color w:val="000000" w:themeColor="text1"/>
                <w:szCs w:val="20"/>
              </w:rPr>
              <w:t>Income is more difficult to measure accurately due to its greater variability over time. Consumption is less</w:t>
            </w:r>
            <w:r>
              <w:rPr>
                <w:color w:val="000000" w:themeColor="text1"/>
                <w:szCs w:val="20"/>
              </w:rPr>
              <w:t xml:space="preserve"> </w:t>
            </w:r>
            <w:r w:rsidRPr="00277750">
              <w:rPr>
                <w:color w:val="000000" w:themeColor="text1"/>
                <w:szCs w:val="20"/>
              </w:rPr>
              <w:t>variable over time and easier to measure. It is therefore recommended that whenever there is</w:t>
            </w:r>
            <w:r>
              <w:rPr>
                <w:color w:val="000000" w:themeColor="text1"/>
                <w:szCs w:val="20"/>
              </w:rPr>
              <w:t xml:space="preserve"> </w:t>
            </w:r>
            <w:r w:rsidRPr="00277750">
              <w:rPr>
                <w:color w:val="000000" w:themeColor="text1"/>
                <w:szCs w:val="20"/>
              </w:rPr>
              <w:t>information on both household consumption and income the former is used.</w:t>
            </w:r>
          </w:p>
          <w:p w14:paraId="13F3F138" w14:textId="77777777" w:rsidR="00221C59" w:rsidRDefault="00221C59" w:rsidP="00221C59">
            <w:pPr>
              <w:jc w:val="both"/>
              <w:rPr>
                <w:b/>
                <w:bCs/>
                <w:color w:val="000000" w:themeColor="text1"/>
                <w:szCs w:val="20"/>
              </w:rPr>
            </w:pPr>
          </w:p>
          <w:p w14:paraId="1079AC17" w14:textId="77777777" w:rsidR="00221C59" w:rsidRPr="00277750" w:rsidRDefault="00221C59" w:rsidP="00221C59">
            <w:pPr>
              <w:jc w:val="both"/>
              <w:rPr>
                <w:b/>
                <w:bCs/>
                <w:color w:val="000000" w:themeColor="text1"/>
                <w:szCs w:val="20"/>
              </w:rPr>
            </w:pPr>
            <w:r w:rsidRPr="00277750">
              <w:rPr>
                <w:b/>
                <w:bCs/>
                <w:color w:val="000000" w:themeColor="text1"/>
                <w:szCs w:val="20"/>
              </w:rPr>
              <w:t>Thresholds</w:t>
            </w:r>
          </w:p>
          <w:p w14:paraId="26CBB16B" w14:textId="77777777" w:rsidR="00221C59" w:rsidRDefault="00221C59" w:rsidP="00221C59">
            <w:pPr>
              <w:jc w:val="both"/>
              <w:rPr>
                <w:color w:val="000000" w:themeColor="text1"/>
                <w:szCs w:val="20"/>
              </w:rPr>
            </w:pPr>
            <w:r w:rsidRPr="00277750">
              <w:rPr>
                <w:color w:val="000000" w:themeColor="text1"/>
                <w:szCs w:val="20"/>
              </w:rPr>
              <w:t>It is recommended to use two thresholds for global reporting to identify large household expenditure on</w:t>
            </w:r>
            <w:r>
              <w:rPr>
                <w:color w:val="000000" w:themeColor="text1"/>
                <w:szCs w:val="20"/>
              </w:rPr>
              <w:t xml:space="preserve"> </w:t>
            </w:r>
            <w:r w:rsidRPr="00277750">
              <w:rPr>
                <w:color w:val="000000" w:themeColor="text1"/>
                <w:szCs w:val="20"/>
              </w:rPr>
              <w:t>health as share of total household consumption or income: a lower threshold of 10% (3.8.2_10) and a</w:t>
            </w:r>
            <w:r>
              <w:rPr>
                <w:color w:val="000000" w:themeColor="text1"/>
                <w:szCs w:val="20"/>
              </w:rPr>
              <w:t xml:space="preserve"> </w:t>
            </w:r>
            <w:r w:rsidRPr="00277750">
              <w:rPr>
                <w:color w:val="000000" w:themeColor="text1"/>
                <w:szCs w:val="20"/>
              </w:rPr>
              <w:t>higher threshold of 25% (3.8.2_25). With these two thresholds the indicator measures financial hardship.</w:t>
            </w:r>
          </w:p>
          <w:p w14:paraId="6F621F26" w14:textId="77777777" w:rsidR="00221C59" w:rsidRDefault="00221C59" w:rsidP="00221C59">
            <w:pPr>
              <w:jc w:val="both"/>
              <w:rPr>
                <w:b/>
                <w:bCs/>
                <w:color w:val="000000" w:themeColor="text1"/>
                <w:szCs w:val="20"/>
              </w:rPr>
            </w:pPr>
          </w:p>
          <w:p w14:paraId="2251E75F" w14:textId="77777777" w:rsidR="00221C59" w:rsidRPr="00277750" w:rsidRDefault="00221C59" w:rsidP="00221C59">
            <w:pPr>
              <w:jc w:val="both"/>
              <w:rPr>
                <w:b/>
                <w:bCs/>
                <w:color w:val="000000" w:themeColor="text1"/>
                <w:szCs w:val="20"/>
              </w:rPr>
            </w:pPr>
            <w:r w:rsidRPr="00277750">
              <w:rPr>
                <w:b/>
                <w:bCs/>
                <w:color w:val="000000" w:themeColor="text1"/>
                <w:szCs w:val="20"/>
              </w:rPr>
              <w:t>Computation Method:</w:t>
            </w:r>
          </w:p>
          <w:p w14:paraId="3B25F703" w14:textId="77777777" w:rsidR="00221C59" w:rsidRDefault="00221C59" w:rsidP="00221C59">
            <w:pPr>
              <w:jc w:val="both"/>
              <w:rPr>
                <w:color w:val="000000" w:themeColor="text1"/>
                <w:szCs w:val="20"/>
              </w:rPr>
            </w:pPr>
            <w:r w:rsidRPr="00277750">
              <w:rPr>
                <w:color w:val="000000" w:themeColor="text1"/>
                <w:szCs w:val="20"/>
              </w:rPr>
              <w:t>Population weighted average number of people with large household expenditure on health as a share of</w:t>
            </w:r>
            <w:r>
              <w:rPr>
                <w:color w:val="000000" w:themeColor="text1"/>
                <w:szCs w:val="20"/>
              </w:rPr>
              <w:t xml:space="preserve"> </w:t>
            </w:r>
            <w:r w:rsidRPr="00277750">
              <w:rPr>
                <w:color w:val="000000" w:themeColor="text1"/>
                <w:szCs w:val="20"/>
              </w:rPr>
              <w:t>total household expenditure or income</w:t>
            </w:r>
          </w:p>
          <w:p w14:paraId="3A81FD37" w14:textId="59C894BF" w:rsidR="00221C59" w:rsidRDefault="00221C59" w:rsidP="00221C59">
            <w:pPr>
              <w:jc w:val="center"/>
              <w:rPr>
                <w:b/>
                <w:bCs/>
                <w:color w:val="000000" w:themeColor="text1"/>
                <w:szCs w:val="20"/>
              </w:rPr>
            </w:pPr>
          </w:p>
          <w:p w14:paraId="27DBF9A1" w14:textId="77777777" w:rsidR="00221C59" w:rsidRDefault="004B4A24" w:rsidP="00221C59">
            <w:pPr>
              <w:jc w:val="center"/>
              <w:rPr>
                <w:b/>
                <w:bCs/>
                <w:color w:val="000000" w:themeColor="text1"/>
                <w:szCs w:val="20"/>
              </w:rPr>
            </w:pPr>
            <m:oMathPara>
              <m:oMath>
                <m:f>
                  <m:fPr>
                    <m:ctrlPr>
                      <w:rPr>
                        <w:rFonts w:ascii="Cambria Math" w:hAnsi="Cambria Math"/>
                        <w:i/>
                        <w:noProof/>
                      </w:rPr>
                    </m:ctrlPr>
                  </m:fPr>
                  <m:num>
                    <m:nary>
                      <m:naryPr>
                        <m:chr m:val="∑"/>
                        <m:limLoc m:val="undOvr"/>
                        <m:supHide m:val="1"/>
                        <m:ctrlPr>
                          <w:rPr>
                            <w:rFonts w:ascii="Cambria Math" w:hAnsi="Cambria Math"/>
                            <w:i/>
                            <w:noProof/>
                          </w:rPr>
                        </m:ctrlPr>
                      </m:naryPr>
                      <m:sub>
                        <m:r>
                          <w:rPr>
                            <w:rFonts w:ascii="Cambria Math" w:hAnsi="Cambria Math"/>
                            <w:noProof/>
                          </w:rPr>
                          <m:t>i</m:t>
                        </m:r>
                      </m:sub>
                      <m:sup/>
                      <m:e>
                        <m:sSub>
                          <m:sSubPr>
                            <m:ctrlPr>
                              <w:rPr>
                                <w:rFonts w:ascii="Cambria Math" w:hAnsi="Cambria Math"/>
                                <w:i/>
                                <w:noProof/>
                              </w:rPr>
                            </m:ctrlPr>
                          </m:sSubPr>
                          <m:e>
                            <m:r>
                              <w:rPr>
                                <w:rFonts w:ascii="Cambria Math" w:hAnsi="Cambria Math"/>
                                <w:noProof/>
                              </w:rPr>
                              <m:t>m</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ω</m:t>
                            </m:r>
                          </m:e>
                          <m:sub>
                            <m:r>
                              <w:rPr>
                                <w:rFonts w:ascii="Cambria Math" w:hAnsi="Cambria Math"/>
                                <w:noProof/>
                              </w:rPr>
                              <m:t>i</m:t>
                            </m:r>
                          </m:sub>
                        </m:sSub>
                        <m:r>
                          <w:rPr>
                            <w:rFonts w:ascii="Cambria Math" w:hAnsi="Cambria Math"/>
                            <w:noProof/>
                          </w:rPr>
                          <m:t>1</m:t>
                        </m:r>
                        <m:d>
                          <m:dPr>
                            <m:ctrlPr>
                              <w:rPr>
                                <w:rFonts w:ascii="Cambria Math" w:hAnsi="Cambria Math"/>
                                <w:i/>
                                <w:noProof/>
                              </w:rPr>
                            </m:ctrlPr>
                          </m:dPr>
                          <m:e>
                            <m:f>
                              <m:fPr>
                                <m:ctrlPr>
                                  <w:rPr>
                                    <w:rFonts w:ascii="Cambria Math" w:hAnsi="Cambria Math"/>
                                    <w:i/>
                                    <w:noProof/>
                                  </w:rPr>
                                </m:ctrlPr>
                              </m:fPr>
                              <m:num>
                                <m:r>
                                  <w:rPr>
                                    <w:rFonts w:ascii="Cambria Math" w:hAnsi="Cambria Math"/>
                                    <w:noProof/>
                                  </w:rPr>
                                  <m:t>health expenditure of the household i</m:t>
                                </m:r>
                              </m:num>
                              <m:den>
                                <m:r>
                                  <w:rPr>
                                    <w:rFonts w:ascii="Cambria Math" w:hAnsi="Cambria Math"/>
                                    <w:noProof/>
                                  </w:rPr>
                                  <m:t>total expenditure of the household i</m:t>
                                </m:r>
                              </m:den>
                            </m:f>
                            <m:r>
                              <w:rPr>
                                <w:rFonts w:ascii="Cambria Math" w:hAnsi="Cambria Math"/>
                                <w:noProof/>
                              </w:rPr>
                              <m:t>&gt;τ</m:t>
                            </m:r>
                          </m:e>
                        </m:d>
                      </m:e>
                    </m:nary>
                  </m:num>
                  <m:den>
                    <m:nary>
                      <m:naryPr>
                        <m:chr m:val="∑"/>
                        <m:limLoc m:val="undOvr"/>
                        <m:supHide m:val="1"/>
                        <m:ctrlPr>
                          <w:rPr>
                            <w:rFonts w:ascii="Cambria Math" w:hAnsi="Cambria Math"/>
                            <w:i/>
                            <w:noProof/>
                          </w:rPr>
                        </m:ctrlPr>
                      </m:naryPr>
                      <m:sub>
                        <m:r>
                          <w:rPr>
                            <w:rFonts w:ascii="Cambria Math" w:hAnsi="Cambria Math"/>
                            <w:noProof/>
                          </w:rPr>
                          <m:t>i</m:t>
                        </m:r>
                      </m:sub>
                      <m:sup/>
                      <m:e>
                        <m:sSub>
                          <m:sSubPr>
                            <m:ctrlPr>
                              <w:rPr>
                                <w:rFonts w:ascii="Cambria Math" w:hAnsi="Cambria Math"/>
                                <w:i/>
                                <w:noProof/>
                              </w:rPr>
                            </m:ctrlPr>
                          </m:sSubPr>
                          <m:e>
                            <m:r>
                              <w:rPr>
                                <w:rFonts w:ascii="Cambria Math" w:hAnsi="Cambria Math"/>
                                <w:noProof/>
                              </w:rPr>
                              <m:t>m</m:t>
                            </m:r>
                          </m:e>
                          <m:sub>
                            <m:r>
                              <w:rPr>
                                <w:rFonts w:ascii="Cambria Math" w:hAnsi="Cambria Math"/>
                                <w:noProof/>
                              </w:rPr>
                              <m:t>i</m:t>
                            </m:r>
                          </m:sub>
                        </m:sSub>
                      </m:e>
                    </m:nary>
                    <m:sSub>
                      <m:sSubPr>
                        <m:ctrlPr>
                          <w:rPr>
                            <w:rFonts w:ascii="Cambria Math" w:hAnsi="Cambria Math"/>
                            <w:i/>
                            <w:noProof/>
                          </w:rPr>
                        </m:ctrlPr>
                      </m:sSubPr>
                      <m:e>
                        <m:r>
                          <w:rPr>
                            <w:rFonts w:ascii="Cambria Math" w:hAnsi="Cambria Math"/>
                            <w:noProof/>
                          </w:rPr>
                          <m:t>ω</m:t>
                        </m:r>
                      </m:e>
                      <m:sub>
                        <m:r>
                          <w:rPr>
                            <w:rFonts w:ascii="Cambria Math" w:hAnsi="Cambria Math"/>
                            <w:noProof/>
                          </w:rPr>
                          <m:t>i</m:t>
                        </m:r>
                      </m:sub>
                    </m:sSub>
                  </m:den>
                </m:f>
              </m:oMath>
            </m:oMathPara>
          </w:p>
          <w:p w14:paraId="3D045660" w14:textId="1340D419" w:rsidR="00221C59" w:rsidRPr="00A951DD" w:rsidRDefault="00221C59" w:rsidP="00221C59">
            <w:pPr>
              <w:jc w:val="both"/>
              <w:rPr>
                <w:b/>
                <w:bCs/>
                <w:color w:val="000000" w:themeColor="text1"/>
                <w:szCs w:val="20"/>
              </w:rPr>
            </w:pPr>
            <w:r w:rsidRPr="00277750">
              <w:rPr>
                <w:color w:val="000000" w:themeColor="text1"/>
                <w:szCs w:val="20"/>
              </w:rPr>
              <w:t>where i denotes a household, 1() is the indicator function that takes on the value 1 if the bracketed</w:t>
            </w:r>
            <w:r>
              <w:rPr>
                <w:color w:val="000000" w:themeColor="text1"/>
                <w:szCs w:val="20"/>
              </w:rPr>
              <w:t xml:space="preserve"> </w:t>
            </w:r>
            <w:r w:rsidRPr="00277750">
              <w:rPr>
                <w:color w:val="000000" w:themeColor="text1"/>
                <w:szCs w:val="20"/>
              </w:rPr>
              <w:t xml:space="preserve">expression is true, and 0 otherwise, mi corresponds to the number of household members of i, </w:t>
            </w:r>
            <w:r w:rsidRPr="00277750">
              <w:rPr>
                <w:rFonts w:ascii="Cambria Math" w:hAnsi="Cambria Math" w:cs="Cambria Math"/>
                <w:color w:val="000000" w:themeColor="text1"/>
                <w:szCs w:val="20"/>
              </w:rPr>
              <w:t>𝜔𝑖</w:t>
            </w:r>
            <w:r>
              <w:rPr>
                <w:rFonts w:ascii="Cambria Math" w:hAnsi="Cambria Math" w:cs="Cambria Math"/>
                <w:color w:val="000000" w:themeColor="text1"/>
                <w:szCs w:val="20"/>
              </w:rPr>
              <w:t xml:space="preserve"> </w:t>
            </w:r>
            <w:r w:rsidRPr="00277750">
              <w:rPr>
                <w:color w:val="000000" w:themeColor="text1"/>
                <w:szCs w:val="20"/>
              </w:rPr>
              <w:t xml:space="preserve">corresponds to the sampling weight of household i, </w:t>
            </w:r>
            <w:r w:rsidRPr="00277750">
              <w:rPr>
                <w:rFonts w:ascii="Calibri" w:hAnsi="Calibri" w:cs="Calibri"/>
                <w:color w:val="000000" w:themeColor="text1"/>
                <w:szCs w:val="20"/>
              </w:rPr>
              <w:t>τ</w:t>
            </w:r>
            <w:r w:rsidRPr="00277750">
              <w:rPr>
                <w:color w:val="000000" w:themeColor="text1"/>
                <w:szCs w:val="20"/>
              </w:rPr>
              <w:t xml:space="preserve"> is a threshold identifying large household</w:t>
            </w:r>
            <w:r>
              <w:rPr>
                <w:color w:val="000000" w:themeColor="text1"/>
                <w:szCs w:val="20"/>
              </w:rPr>
              <w:t xml:space="preserve"> </w:t>
            </w:r>
            <w:r w:rsidRPr="00277750">
              <w:rPr>
                <w:color w:val="000000" w:themeColor="text1"/>
                <w:szCs w:val="20"/>
              </w:rPr>
              <w:t>expenditure on health as a share of total household consumption or income (i.e. 10% and 25%).</w:t>
            </w:r>
            <w:r>
              <w:rPr>
                <w:color w:val="000000" w:themeColor="text1"/>
                <w:szCs w:val="20"/>
              </w:rPr>
              <w:t xml:space="preserve"> </w:t>
            </w:r>
            <w:r w:rsidRPr="00277750">
              <w:rPr>
                <w:color w:val="000000" w:themeColor="text1"/>
                <w:szCs w:val="20"/>
              </w:rPr>
              <w:t xml:space="preserve">Household health expenditure and household expenditure or </w:t>
            </w:r>
            <w:proofErr w:type="gramStart"/>
            <w:r w:rsidRPr="00277750">
              <w:rPr>
                <w:color w:val="000000" w:themeColor="text1"/>
                <w:szCs w:val="20"/>
              </w:rPr>
              <w:t>income are</w:t>
            </w:r>
            <w:proofErr w:type="gramEnd"/>
            <w:r w:rsidRPr="00277750">
              <w:rPr>
                <w:color w:val="000000" w:themeColor="text1"/>
                <w:szCs w:val="20"/>
              </w:rPr>
              <w:t xml:space="preserve"> defined as explained in the</w:t>
            </w:r>
            <w:r>
              <w:rPr>
                <w:color w:val="000000" w:themeColor="text1"/>
                <w:szCs w:val="20"/>
              </w:rPr>
              <w:t xml:space="preserve"> </w:t>
            </w:r>
            <w:r w:rsidRPr="00277750">
              <w:rPr>
                <w:color w:val="000000" w:themeColor="text1"/>
                <w:szCs w:val="20"/>
              </w:rPr>
              <w:t>“concept” section.</w:t>
            </w:r>
          </w:p>
        </w:tc>
        <w:tc>
          <w:tcPr>
            <w:tcW w:w="0" w:type="auto"/>
            <w:shd w:val="clear" w:color="auto" w:fill="auto"/>
          </w:tcPr>
          <w:p w14:paraId="6A728640" w14:textId="77777777" w:rsidR="00221C59" w:rsidRDefault="00221C59" w:rsidP="00221C59">
            <w:pPr>
              <w:jc w:val="center"/>
              <w:rPr>
                <w:bCs/>
                <w:szCs w:val="20"/>
              </w:rPr>
            </w:pPr>
            <w:r>
              <w:rPr>
                <w:bCs/>
                <w:szCs w:val="20"/>
              </w:rPr>
              <w:lastRenderedPageBreak/>
              <w:t>Household Income and Expenditure Survey</w:t>
            </w:r>
          </w:p>
        </w:tc>
        <w:tc>
          <w:tcPr>
            <w:tcW w:w="0" w:type="auto"/>
            <w:shd w:val="clear" w:color="auto" w:fill="auto"/>
          </w:tcPr>
          <w:p w14:paraId="46953C3C" w14:textId="77777777" w:rsidR="00221C59" w:rsidRPr="00277750" w:rsidRDefault="00221C59" w:rsidP="00221C59">
            <w:pPr>
              <w:jc w:val="center"/>
              <w:rPr>
                <w:bCs/>
                <w:szCs w:val="20"/>
              </w:rPr>
            </w:pPr>
            <w:r w:rsidRPr="00277750">
              <w:rPr>
                <w:bCs/>
                <w:szCs w:val="20"/>
              </w:rPr>
              <w:t>National Statistical Offices in collaboration with Ministries of health</w:t>
            </w:r>
          </w:p>
        </w:tc>
        <w:tc>
          <w:tcPr>
            <w:tcW w:w="0" w:type="auto"/>
            <w:shd w:val="clear" w:color="auto" w:fill="auto"/>
          </w:tcPr>
          <w:p w14:paraId="6634B4B8" w14:textId="39158F82" w:rsidR="00221C59" w:rsidRDefault="00221C59" w:rsidP="00221C59">
            <w:pPr>
              <w:jc w:val="center"/>
              <w:rPr>
                <w:color w:val="000000" w:themeColor="text1"/>
                <w:sz w:val="18"/>
                <w:szCs w:val="18"/>
              </w:rPr>
            </w:pPr>
            <w:r>
              <w:rPr>
                <w:bCs/>
                <w:szCs w:val="20"/>
              </w:rPr>
              <w:t xml:space="preserve">HIES, </w:t>
            </w:r>
            <w:r w:rsidRPr="00277750">
              <w:rPr>
                <w:bCs/>
                <w:szCs w:val="20"/>
              </w:rPr>
              <w:t>BBS</w:t>
            </w:r>
          </w:p>
        </w:tc>
        <w:tc>
          <w:tcPr>
            <w:tcW w:w="0" w:type="auto"/>
            <w:shd w:val="clear" w:color="auto" w:fill="auto"/>
          </w:tcPr>
          <w:p w14:paraId="0F05D867" w14:textId="77777777" w:rsidR="00221C59" w:rsidRPr="00277750" w:rsidRDefault="00221C59" w:rsidP="00221C59">
            <w:pPr>
              <w:rPr>
                <w:bCs/>
                <w:szCs w:val="20"/>
              </w:rPr>
            </w:pPr>
            <w:r>
              <w:rPr>
                <w:bCs/>
                <w:szCs w:val="20"/>
              </w:rPr>
              <w:t xml:space="preserve">HIES, </w:t>
            </w:r>
            <w:r w:rsidRPr="00277750">
              <w:rPr>
                <w:bCs/>
                <w:szCs w:val="20"/>
              </w:rPr>
              <w:t>BBS</w:t>
            </w:r>
          </w:p>
        </w:tc>
        <w:tc>
          <w:tcPr>
            <w:tcW w:w="0" w:type="auto"/>
            <w:shd w:val="clear" w:color="auto" w:fill="auto"/>
          </w:tcPr>
          <w:p w14:paraId="6E4BADEC" w14:textId="77777777" w:rsidR="00221C59" w:rsidRDefault="00221C59" w:rsidP="00221C59">
            <w:pPr>
              <w:pStyle w:val="ListParagraph"/>
              <w:numPr>
                <w:ilvl w:val="0"/>
                <w:numId w:val="2"/>
              </w:numPr>
              <w:ind w:left="193" w:hanging="180"/>
              <w:rPr>
                <w:rFonts w:ascii="Tw Cen MT Condensed" w:hAnsi="Tw Cen MT Condensed"/>
                <w:bCs/>
                <w:sz w:val="20"/>
                <w:szCs w:val="20"/>
              </w:rPr>
            </w:pPr>
            <w:r w:rsidRPr="00277750">
              <w:rPr>
                <w:rFonts w:ascii="Tw Cen MT Condensed" w:hAnsi="Tw Cen MT Condensed"/>
                <w:bCs/>
                <w:sz w:val="20"/>
                <w:szCs w:val="20"/>
              </w:rPr>
              <w:t>Gender and age of the head of the household</w:t>
            </w:r>
          </w:p>
          <w:p w14:paraId="685C3403" w14:textId="77777777" w:rsidR="00221C59" w:rsidRDefault="00221C59" w:rsidP="00221C59">
            <w:pPr>
              <w:pStyle w:val="ListParagraph"/>
              <w:numPr>
                <w:ilvl w:val="0"/>
                <w:numId w:val="2"/>
              </w:numPr>
              <w:ind w:left="193" w:hanging="193"/>
              <w:rPr>
                <w:rFonts w:ascii="Tw Cen MT Condensed" w:hAnsi="Tw Cen MT Condensed"/>
                <w:bCs/>
                <w:sz w:val="20"/>
                <w:szCs w:val="20"/>
              </w:rPr>
            </w:pPr>
            <w:r w:rsidRPr="00277750">
              <w:rPr>
                <w:rFonts w:ascii="Tw Cen MT Condensed" w:hAnsi="Tw Cen MT Condensed"/>
                <w:bCs/>
                <w:sz w:val="20"/>
                <w:szCs w:val="20"/>
              </w:rPr>
              <w:t>Geographic location (rural/urban)</w:t>
            </w:r>
          </w:p>
          <w:p w14:paraId="34444BE7" w14:textId="77777777" w:rsidR="00221C59" w:rsidRDefault="00221C59" w:rsidP="00221C59">
            <w:pPr>
              <w:pStyle w:val="ListParagraph"/>
              <w:numPr>
                <w:ilvl w:val="0"/>
                <w:numId w:val="2"/>
              </w:numPr>
              <w:ind w:left="193" w:hanging="193"/>
              <w:rPr>
                <w:rFonts w:ascii="Tw Cen MT Condensed" w:hAnsi="Tw Cen MT Condensed"/>
                <w:bCs/>
                <w:sz w:val="20"/>
                <w:szCs w:val="20"/>
              </w:rPr>
            </w:pPr>
            <w:r w:rsidRPr="00277750">
              <w:rPr>
                <w:rFonts w:ascii="Tw Cen MT Condensed" w:hAnsi="Tw Cen MT Condensed"/>
                <w:bCs/>
                <w:sz w:val="20"/>
                <w:szCs w:val="20"/>
              </w:rPr>
              <w:t xml:space="preserve">Quintiles of the household welfare measures (total </w:t>
            </w:r>
            <w:r w:rsidRPr="00277750">
              <w:rPr>
                <w:rFonts w:ascii="Tw Cen MT Condensed" w:hAnsi="Tw Cen MT Condensed"/>
                <w:bCs/>
                <w:sz w:val="20"/>
                <w:szCs w:val="20"/>
              </w:rPr>
              <w:lastRenderedPageBreak/>
              <w:t>household expenditure or income).</w:t>
            </w:r>
          </w:p>
        </w:tc>
        <w:tc>
          <w:tcPr>
            <w:tcW w:w="0" w:type="auto"/>
            <w:shd w:val="clear" w:color="auto" w:fill="auto"/>
          </w:tcPr>
          <w:p w14:paraId="3B20BD93" w14:textId="77777777" w:rsidR="00221C59" w:rsidRPr="00277750" w:rsidRDefault="00221C59" w:rsidP="00221C59">
            <w:pPr>
              <w:jc w:val="center"/>
              <w:rPr>
                <w:bCs/>
                <w:szCs w:val="20"/>
              </w:rPr>
            </w:pPr>
            <w:r>
              <w:rPr>
                <w:bCs/>
                <w:szCs w:val="20"/>
              </w:rPr>
              <w:lastRenderedPageBreak/>
              <w:t>3-Year</w:t>
            </w:r>
          </w:p>
        </w:tc>
        <w:tc>
          <w:tcPr>
            <w:tcW w:w="0" w:type="auto"/>
            <w:shd w:val="clear" w:color="auto" w:fill="auto"/>
          </w:tcPr>
          <w:p w14:paraId="4136E93F" w14:textId="77777777" w:rsidR="00221C59" w:rsidRDefault="00221C59" w:rsidP="00221C59">
            <w:pPr>
              <w:jc w:val="center"/>
              <w:rPr>
                <w:bCs/>
                <w:szCs w:val="20"/>
              </w:rPr>
            </w:pPr>
          </w:p>
          <w:p w14:paraId="729EDFD7" w14:textId="77777777" w:rsidR="00221C59" w:rsidRDefault="00221C59" w:rsidP="00221C59">
            <w:pPr>
              <w:pStyle w:val="NoSpacing"/>
            </w:pPr>
          </w:p>
          <w:p w14:paraId="53FE1FA9" w14:textId="77777777" w:rsidR="00221C59" w:rsidRDefault="00221C59" w:rsidP="00221C59">
            <w:pPr>
              <w:pStyle w:val="NoSpacing"/>
            </w:pPr>
            <w:r>
              <w:t>1</w:t>
            </w:r>
            <w:r w:rsidRPr="00013ACB">
              <w:rPr>
                <w:vertAlign w:val="superscript"/>
              </w:rPr>
              <w:t>st</w:t>
            </w:r>
            <w:r>
              <w:t xml:space="preserve"> Round: </w:t>
            </w:r>
          </w:p>
          <w:p w14:paraId="257D23AF" w14:textId="77777777" w:rsidR="006B01D4" w:rsidRDefault="006B01D4" w:rsidP="006B01D4">
            <w:pPr>
              <w:jc w:val="center"/>
              <w:rPr>
                <w:bCs/>
                <w:szCs w:val="20"/>
              </w:rPr>
            </w:pPr>
            <w:r>
              <w:rPr>
                <w:bCs/>
                <w:szCs w:val="20"/>
              </w:rPr>
              <w:t>December, 2018</w:t>
            </w:r>
          </w:p>
          <w:p w14:paraId="5711673E" w14:textId="77777777" w:rsidR="00221C59" w:rsidRDefault="00221C59" w:rsidP="00221C59">
            <w:pPr>
              <w:pStyle w:val="NoSpacing"/>
            </w:pPr>
          </w:p>
          <w:p w14:paraId="51B28EFD" w14:textId="77777777" w:rsidR="00221C59" w:rsidRDefault="00221C59" w:rsidP="00221C59">
            <w:pPr>
              <w:pStyle w:val="NoSpacing"/>
            </w:pPr>
            <w:r>
              <w:t>2</w:t>
            </w:r>
            <w:r w:rsidRPr="00013ACB">
              <w:rPr>
                <w:vertAlign w:val="superscript"/>
              </w:rPr>
              <w:t>nd</w:t>
            </w:r>
            <w:r>
              <w:t xml:space="preserve"> Round: </w:t>
            </w:r>
          </w:p>
          <w:p w14:paraId="3274CA7C" w14:textId="2BEACFD6" w:rsidR="006B01D4" w:rsidRDefault="006B01D4" w:rsidP="006B01D4">
            <w:pPr>
              <w:jc w:val="center"/>
              <w:rPr>
                <w:bCs/>
                <w:szCs w:val="20"/>
              </w:rPr>
            </w:pPr>
            <w:r>
              <w:rPr>
                <w:bCs/>
                <w:szCs w:val="20"/>
              </w:rPr>
              <w:lastRenderedPageBreak/>
              <w:t>December, 2021</w:t>
            </w:r>
          </w:p>
          <w:p w14:paraId="4A24551A" w14:textId="77777777" w:rsidR="00221C59" w:rsidRDefault="00221C59" w:rsidP="00221C59">
            <w:pPr>
              <w:pStyle w:val="NoSpacing"/>
            </w:pPr>
          </w:p>
          <w:p w14:paraId="6EE1B470" w14:textId="77777777" w:rsidR="00221C59" w:rsidRDefault="00221C59" w:rsidP="00221C59">
            <w:pPr>
              <w:pStyle w:val="NoSpacing"/>
            </w:pPr>
            <w:r>
              <w:t>3</w:t>
            </w:r>
            <w:r w:rsidRPr="00013ACB">
              <w:rPr>
                <w:vertAlign w:val="superscript"/>
              </w:rPr>
              <w:t>rd</w:t>
            </w:r>
            <w:r>
              <w:t xml:space="preserve"> Round: </w:t>
            </w:r>
          </w:p>
          <w:p w14:paraId="6A34204D" w14:textId="55D31459" w:rsidR="006B01D4" w:rsidRDefault="006B01D4" w:rsidP="006B01D4">
            <w:pPr>
              <w:jc w:val="center"/>
              <w:rPr>
                <w:bCs/>
                <w:szCs w:val="20"/>
              </w:rPr>
            </w:pPr>
            <w:r>
              <w:rPr>
                <w:bCs/>
                <w:szCs w:val="20"/>
              </w:rPr>
              <w:t>December, 2024</w:t>
            </w:r>
          </w:p>
          <w:p w14:paraId="63D41F67" w14:textId="77777777" w:rsidR="00221C59" w:rsidRDefault="00221C59" w:rsidP="00221C59">
            <w:pPr>
              <w:pStyle w:val="NoSpacing"/>
            </w:pPr>
          </w:p>
          <w:p w14:paraId="5BC58FDA" w14:textId="77777777" w:rsidR="00221C59" w:rsidRDefault="00221C59" w:rsidP="00221C59">
            <w:pPr>
              <w:pStyle w:val="NoSpacing"/>
            </w:pPr>
            <w:r>
              <w:t>4</w:t>
            </w:r>
            <w:r w:rsidRPr="00013ACB">
              <w:rPr>
                <w:vertAlign w:val="superscript"/>
              </w:rPr>
              <w:t>th</w:t>
            </w:r>
            <w:r>
              <w:t xml:space="preserve"> Round: </w:t>
            </w:r>
          </w:p>
          <w:p w14:paraId="1DC0712D" w14:textId="1587B3CC" w:rsidR="006B01D4" w:rsidRDefault="006B01D4" w:rsidP="006B01D4">
            <w:pPr>
              <w:jc w:val="center"/>
              <w:rPr>
                <w:bCs/>
                <w:szCs w:val="20"/>
              </w:rPr>
            </w:pPr>
            <w:r>
              <w:rPr>
                <w:bCs/>
                <w:szCs w:val="20"/>
              </w:rPr>
              <w:t>December, 2027</w:t>
            </w:r>
          </w:p>
          <w:p w14:paraId="452C8B71" w14:textId="77777777" w:rsidR="00221C59" w:rsidRDefault="00221C59" w:rsidP="00221C59">
            <w:pPr>
              <w:pStyle w:val="NoSpacing"/>
            </w:pPr>
          </w:p>
          <w:p w14:paraId="58EE4172" w14:textId="77777777" w:rsidR="00221C59" w:rsidRDefault="00221C59" w:rsidP="00221C59">
            <w:pPr>
              <w:pStyle w:val="NoSpacing"/>
            </w:pPr>
            <w:r>
              <w:t>5</w:t>
            </w:r>
            <w:r w:rsidRPr="00013ACB">
              <w:rPr>
                <w:vertAlign w:val="superscript"/>
              </w:rPr>
              <w:t>th</w:t>
            </w:r>
            <w:r>
              <w:t xml:space="preserve"> Round: </w:t>
            </w:r>
          </w:p>
          <w:p w14:paraId="1209586D" w14:textId="7E0BC75E" w:rsidR="006B01D4" w:rsidRDefault="006B01D4" w:rsidP="006B01D4">
            <w:pPr>
              <w:jc w:val="center"/>
              <w:rPr>
                <w:bCs/>
                <w:szCs w:val="20"/>
              </w:rPr>
            </w:pPr>
            <w:r>
              <w:rPr>
                <w:bCs/>
                <w:szCs w:val="20"/>
              </w:rPr>
              <w:t>December, 2030</w:t>
            </w:r>
          </w:p>
          <w:p w14:paraId="4751929F" w14:textId="0B2F528F" w:rsidR="00221C59" w:rsidRPr="002175FB" w:rsidRDefault="00221C59" w:rsidP="00221C59">
            <w:pPr>
              <w:jc w:val="center"/>
              <w:rPr>
                <w:bCs/>
                <w:szCs w:val="20"/>
              </w:rPr>
            </w:pPr>
          </w:p>
        </w:tc>
        <w:tc>
          <w:tcPr>
            <w:tcW w:w="682" w:type="dxa"/>
            <w:shd w:val="clear" w:color="auto" w:fill="auto"/>
          </w:tcPr>
          <w:p w14:paraId="1F72C04B" w14:textId="77777777" w:rsidR="00221C59" w:rsidRPr="008F5625"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lastRenderedPageBreak/>
              <w:t>Group 3</w:t>
            </w:r>
          </w:p>
        </w:tc>
        <w:tc>
          <w:tcPr>
            <w:tcW w:w="983" w:type="dxa"/>
            <w:shd w:val="clear" w:color="auto" w:fill="auto"/>
          </w:tcPr>
          <w:p w14:paraId="1047D19E" w14:textId="77777777" w:rsidR="00221C59" w:rsidRPr="008F5625" w:rsidRDefault="00221C59" w:rsidP="00221C59">
            <w:pPr>
              <w:pStyle w:val="ListParagraph"/>
              <w:ind w:left="-1"/>
              <w:jc w:val="both"/>
              <w:rPr>
                <w:rFonts w:ascii="Tw Cen MT Condensed" w:hAnsi="Tw Cen MT Condensed"/>
                <w:bCs/>
                <w:sz w:val="20"/>
                <w:szCs w:val="20"/>
              </w:rPr>
            </w:pPr>
          </w:p>
        </w:tc>
      </w:tr>
      <w:tr w:rsidR="00221C59" w14:paraId="6C6757B8" w14:textId="77777777" w:rsidTr="0085651F">
        <w:tc>
          <w:tcPr>
            <w:tcW w:w="0" w:type="auto"/>
            <w:shd w:val="clear" w:color="auto" w:fill="auto"/>
          </w:tcPr>
          <w:p w14:paraId="1D5D7922" w14:textId="77777777" w:rsidR="00221C59" w:rsidRPr="002175FB" w:rsidRDefault="00221C59" w:rsidP="00221C59">
            <w:pPr>
              <w:ind w:left="970" w:hanging="970"/>
              <w:jc w:val="both"/>
              <w:rPr>
                <w:color w:val="006600"/>
                <w:sz w:val="30"/>
                <w:szCs w:val="30"/>
              </w:rPr>
            </w:pPr>
          </w:p>
        </w:tc>
        <w:tc>
          <w:tcPr>
            <w:tcW w:w="0" w:type="auto"/>
            <w:gridSpan w:val="13"/>
            <w:shd w:val="clear" w:color="auto" w:fill="auto"/>
          </w:tcPr>
          <w:p w14:paraId="25FCC03B" w14:textId="77777777" w:rsidR="00221C59" w:rsidRPr="002175FB" w:rsidRDefault="00221C59" w:rsidP="00221C59">
            <w:pPr>
              <w:ind w:left="970" w:hanging="970"/>
              <w:jc w:val="both"/>
              <w:rPr>
                <w:color w:val="006600"/>
                <w:sz w:val="30"/>
                <w:szCs w:val="30"/>
              </w:rPr>
            </w:pPr>
            <w:r w:rsidRPr="002175FB">
              <w:rPr>
                <w:color w:val="006600"/>
                <w:sz w:val="30"/>
                <w:szCs w:val="30"/>
              </w:rPr>
              <w:t>Target 3.9: By 2030, substantially reduce the number of deaths and illnesses from hazardous chemicals and air, water and soil pollution and contamination</w:t>
            </w:r>
          </w:p>
        </w:tc>
      </w:tr>
      <w:tr w:rsidR="00BF3271" w14:paraId="21701626" w14:textId="77777777" w:rsidTr="0085651F">
        <w:tc>
          <w:tcPr>
            <w:tcW w:w="0" w:type="auto"/>
            <w:gridSpan w:val="2"/>
            <w:shd w:val="clear" w:color="auto" w:fill="auto"/>
          </w:tcPr>
          <w:p w14:paraId="539D2833" w14:textId="77777777" w:rsidR="00221C59" w:rsidRPr="00277750" w:rsidRDefault="00221C59" w:rsidP="00221C59">
            <w:pPr>
              <w:ind w:left="-20"/>
              <w:jc w:val="both"/>
              <w:rPr>
                <w:szCs w:val="20"/>
              </w:rPr>
            </w:pPr>
            <w:r w:rsidRPr="00277750">
              <w:rPr>
                <w:szCs w:val="20"/>
              </w:rPr>
              <w:t>3.9.1 Mortality rate attributed to household and ambient air pollution</w:t>
            </w:r>
          </w:p>
        </w:tc>
        <w:tc>
          <w:tcPr>
            <w:tcW w:w="0" w:type="auto"/>
            <w:shd w:val="clear" w:color="auto" w:fill="auto"/>
          </w:tcPr>
          <w:p w14:paraId="4F1C1E31" w14:textId="77777777" w:rsidR="00221C59" w:rsidRDefault="00221C59" w:rsidP="00221C59">
            <w:pPr>
              <w:jc w:val="center"/>
              <w:rPr>
                <w:szCs w:val="20"/>
              </w:rPr>
            </w:pPr>
            <w:r>
              <w:rPr>
                <w:szCs w:val="20"/>
              </w:rPr>
              <w:t>WHO</w:t>
            </w:r>
          </w:p>
          <w:p w14:paraId="04BF2CB3" w14:textId="77777777" w:rsidR="00221C59" w:rsidRDefault="00221C59" w:rsidP="00221C59">
            <w:pPr>
              <w:jc w:val="center"/>
              <w:rPr>
                <w:szCs w:val="20"/>
              </w:rPr>
            </w:pPr>
          </w:p>
          <w:p w14:paraId="35227BE9" w14:textId="77777777" w:rsidR="00221C59" w:rsidRDefault="00221C59" w:rsidP="00221C59">
            <w:pPr>
              <w:jc w:val="center"/>
              <w:rPr>
                <w:szCs w:val="20"/>
              </w:rPr>
            </w:pPr>
            <w:r>
              <w:rPr>
                <w:szCs w:val="20"/>
              </w:rPr>
              <w:t>Partner Agency:</w:t>
            </w:r>
          </w:p>
          <w:p w14:paraId="06F86BEB" w14:textId="77777777" w:rsidR="00221C59" w:rsidRDefault="00221C59" w:rsidP="00221C59">
            <w:pPr>
              <w:jc w:val="center"/>
              <w:rPr>
                <w:szCs w:val="20"/>
              </w:rPr>
            </w:pPr>
            <w:r>
              <w:rPr>
                <w:szCs w:val="20"/>
              </w:rPr>
              <w:t>UNEP</w:t>
            </w:r>
          </w:p>
        </w:tc>
        <w:tc>
          <w:tcPr>
            <w:tcW w:w="0" w:type="auto"/>
            <w:shd w:val="clear" w:color="auto" w:fill="auto"/>
          </w:tcPr>
          <w:p w14:paraId="0350DAC9" w14:textId="77777777" w:rsidR="00221C59" w:rsidRDefault="00221C59" w:rsidP="00221C59">
            <w:pPr>
              <w:jc w:val="center"/>
              <w:rPr>
                <w:szCs w:val="20"/>
              </w:rPr>
            </w:pPr>
            <w:r>
              <w:rPr>
                <w:szCs w:val="20"/>
              </w:rPr>
              <w:t>Tier I</w:t>
            </w:r>
          </w:p>
        </w:tc>
        <w:tc>
          <w:tcPr>
            <w:tcW w:w="0" w:type="auto"/>
            <w:shd w:val="clear" w:color="auto" w:fill="auto"/>
          </w:tcPr>
          <w:p w14:paraId="4FE5FE47" w14:textId="77777777" w:rsidR="00221C59" w:rsidRPr="00277750" w:rsidRDefault="00221C59" w:rsidP="00221C59">
            <w:pPr>
              <w:jc w:val="both"/>
              <w:rPr>
                <w:b/>
                <w:bCs/>
                <w:color w:val="000000" w:themeColor="text1"/>
                <w:szCs w:val="20"/>
              </w:rPr>
            </w:pPr>
            <w:r w:rsidRPr="00277750">
              <w:rPr>
                <w:b/>
                <w:bCs/>
                <w:color w:val="000000" w:themeColor="text1"/>
                <w:szCs w:val="20"/>
              </w:rPr>
              <w:t>Definition:</w:t>
            </w:r>
          </w:p>
          <w:p w14:paraId="4558B88C" w14:textId="77777777" w:rsidR="00221C59" w:rsidRDefault="00221C59" w:rsidP="00221C59">
            <w:pPr>
              <w:jc w:val="both"/>
              <w:rPr>
                <w:color w:val="000000" w:themeColor="text1"/>
                <w:szCs w:val="20"/>
              </w:rPr>
            </w:pPr>
            <w:r w:rsidRPr="00277750">
              <w:rPr>
                <w:color w:val="000000" w:themeColor="text1"/>
                <w:szCs w:val="20"/>
              </w:rPr>
              <w:t>The mortality attributable to the joint effects of household and ambient air pollution can be expressed as:</w:t>
            </w:r>
            <w:r>
              <w:rPr>
                <w:color w:val="000000" w:themeColor="text1"/>
                <w:szCs w:val="20"/>
              </w:rPr>
              <w:t xml:space="preserve"> </w:t>
            </w:r>
            <w:r w:rsidRPr="00277750">
              <w:rPr>
                <w:color w:val="000000" w:themeColor="text1"/>
                <w:szCs w:val="20"/>
              </w:rPr>
              <w:t>Number of deaths, Death rate. Death rates are calculated by dividing the number of deaths by the total</w:t>
            </w:r>
            <w:r>
              <w:rPr>
                <w:color w:val="000000" w:themeColor="text1"/>
                <w:szCs w:val="20"/>
              </w:rPr>
              <w:t xml:space="preserve"> </w:t>
            </w:r>
            <w:r w:rsidRPr="00277750">
              <w:rPr>
                <w:color w:val="000000" w:themeColor="text1"/>
                <w:szCs w:val="20"/>
              </w:rPr>
              <w:t>population (or indicated if a different population group is used, e.g. children under 5 years).</w:t>
            </w:r>
          </w:p>
          <w:p w14:paraId="77AC99AA" w14:textId="77777777" w:rsidR="00221C59" w:rsidRPr="00277750" w:rsidRDefault="00221C59" w:rsidP="00221C59">
            <w:pPr>
              <w:jc w:val="both"/>
              <w:rPr>
                <w:color w:val="000000" w:themeColor="text1"/>
                <w:szCs w:val="20"/>
              </w:rPr>
            </w:pPr>
          </w:p>
          <w:p w14:paraId="3390018D" w14:textId="77777777" w:rsidR="00221C59" w:rsidRPr="00277750" w:rsidRDefault="00221C59" w:rsidP="00221C59">
            <w:pPr>
              <w:jc w:val="both"/>
              <w:rPr>
                <w:color w:val="000000" w:themeColor="text1"/>
                <w:szCs w:val="20"/>
              </w:rPr>
            </w:pPr>
            <w:r w:rsidRPr="00277750">
              <w:rPr>
                <w:color w:val="000000" w:themeColor="text1"/>
                <w:szCs w:val="20"/>
              </w:rPr>
              <w:t>Evidence from epidemiological studies have shown that exposure to air pollution is linked, among others,</w:t>
            </w:r>
            <w:r>
              <w:rPr>
                <w:color w:val="000000" w:themeColor="text1"/>
                <w:szCs w:val="20"/>
              </w:rPr>
              <w:t xml:space="preserve"> </w:t>
            </w:r>
            <w:r w:rsidRPr="00277750">
              <w:rPr>
                <w:color w:val="000000" w:themeColor="text1"/>
                <w:szCs w:val="20"/>
              </w:rPr>
              <w:t>to the important diseases taken into account in this estimate:</w:t>
            </w:r>
          </w:p>
          <w:p w14:paraId="36983C30" w14:textId="77777777" w:rsidR="00221C59" w:rsidRPr="00277750" w:rsidRDefault="00221C59" w:rsidP="00221C59">
            <w:pPr>
              <w:ind w:left="250"/>
              <w:jc w:val="both"/>
              <w:rPr>
                <w:color w:val="000000" w:themeColor="text1"/>
                <w:szCs w:val="20"/>
              </w:rPr>
            </w:pPr>
            <w:r w:rsidRPr="00277750">
              <w:rPr>
                <w:color w:val="000000" w:themeColor="text1"/>
                <w:szCs w:val="20"/>
              </w:rPr>
              <w:t>- Acute respiratory infections in young children (estimated under 5 years of age);</w:t>
            </w:r>
          </w:p>
          <w:p w14:paraId="0949DF99" w14:textId="77777777" w:rsidR="00221C59" w:rsidRPr="00277750" w:rsidRDefault="00221C59" w:rsidP="00221C59">
            <w:pPr>
              <w:ind w:left="250"/>
              <w:jc w:val="both"/>
              <w:rPr>
                <w:color w:val="000000" w:themeColor="text1"/>
                <w:szCs w:val="20"/>
              </w:rPr>
            </w:pPr>
            <w:r w:rsidRPr="00277750">
              <w:rPr>
                <w:color w:val="000000" w:themeColor="text1"/>
                <w:szCs w:val="20"/>
              </w:rPr>
              <w:t>- Cerebrovascular diseases (stroke) in adults (estimated above 25 years);</w:t>
            </w:r>
          </w:p>
          <w:p w14:paraId="7213A21B" w14:textId="77777777" w:rsidR="00221C59" w:rsidRPr="00277750" w:rsidRDefault="00221C59" w:rsidP="00221C59">
            <w:pPr>
              <w:ind w:left="250"/>
              <w:jc w:val="both"/>
              <w:rPr>
                <w:color w:val="000000" w:themeColor="text1"/>
                <w:szCs w:val="20"/>
              </w:rPr>
            </w:pPr>
            <w:r w:rsidRPr="00277750">
              <w:rPr>
                <w:color w:val="000000" w:themeColor="text1"/>
                <w:szCs w:val="20"/>
              </w:rPr>
              <w:t>- Ischemic heart diseases (IHD) in adults (estimated above 25 years);</w:t>
            </w:r>
          </w:p>
          <w:p w14:paraId="763EE87B" w14:textId="77777777" w:rsidR="00221C59" w:rsidRPr="00277750" w:rsidRDefault="00221C59" w:rsidP="00221C59">
            <w:pPr>
              <w:ind w:left="250"/>
              <w:jc w:val="both"/>
              <w:rPr>
                <w:color w:val="000000" w:themeColor="text1"/>
                <w:szCs w:val="20"/>
              </w:rPr>
            </w:pPr>
            <w:r w:rsidRPr="00277750">
              <w:rPr>
                <w:color w:val="000000" w:themeColor="text1"/>
                <w:szCs w:val="20"/>
              </w:rPr>
              <w:t>- Chronic obstructive pulmonary disease (COPD) in adults (estimated above 25 years); and</w:t>
            </w:r>
          </w:p>
          <w:p w14:paraId="6669AE7E" w14:textId="77777777" w:rsidR="00221C59" w:rsidRDefault="00221C59" w:rsidP="00221C59">
            <w:pPr>
              <w:ind w:left="250"/>
              <w:jc w:val="both"/>
              <w:rPr>
                <w:color w:val="000000" w:themeColor="text1"/>
                <w:szCs w:val="20"/>
              </w:rPr>
            </w:pPr>
            <w:r w:rsidRPr="00277750">
              <w:rPr>
                <w:color w:val="000000" w:themeColor="text1"/>
                <w:szCs w:val="20"/>
              </w:rPr>
              <w:t>- Lung cancer in adults (estimated above 25 years).</w:t>
            </w:r>
          </w:p>
          <w:p w14:paraId="7F5802B1" w14:textId="77777777" w:rsidR="00221C59" w:rsidRDefault="00221C59" w:rsidP="00221C59">
            <w:pPr>
              <w:ind w:left="250"/>
              <w:jc w:val="both"/>
              <w:rPr>
                <w:b/>
                <w:bCs/>
                <w:color w:val="000000" w:themeColor="text1"/>
                <w:szCs w:val="20"/>
              </w:rPr>
            </w:pPr>
          </w:p>
          <w:p w14:paraId="6E6C4838" w14:textId="77777777" w:rsidR="00221C59" w:rsidRPr="00277750" w:rsidRDefault="00221C59" w:rsidP="00221C59">
            <w:pPr>
              <w:ind w:left="-20"/>
              <w:jc w:val="both"/>
              <w:rPr>
                <w:b/>
                <w:bCs/>
                <w:color w:val="000000" w:themeColor="text1"/>
                <w:szCs w:val="20"/>
              </w:rPr>
            </w:pPr>
            <w:r w:rsidRPr="00277750">
              <w:rPr>
                <w:b/>
                <w:bCs/>
                <w:color w:val="000000" w:themeColor="text1"/>
                <w:szCs w:val="20"/>
              </w:rPr>
              <w:t>Concepts:</w:t>
            </w:r>
          </w:p>
          <w:p w14:paraId="4B1B795D" w14:textId="77777777" w:rsidR="00221C59" w:rsidRDefault="00221C59" w:rsidP="00221C59">
            <w:pPr>
              <w:ind w:left="-20"/>
              <w:jc w:val="both"/>
              <w:rPr>
                <w:color w:val="000000" w:themeColor="text1"/>
                <w:szCs w:val="20"/>
              </w:rPr>
            </w:pPr>
            <w:r w:rsidRPr="00277750">
              <w:rPr>
                <w:color w:val="000000" w:themeColor="text1"/>
                <w:szCs w:val="20"/>
              </w:rPr>
              <w:t>The mortality resulting from exposure to ambient (outdoor) air pollution and household (indoor) air</w:t>
            </w:r>
            <w:r>
              <w:rPr>
                <w:color w:val="000000" w:themeColor="text1"/>
                <w:szCs w:val="20"/>
              </w:rPr>
              <w:t xml:space="preserve"> </w:t>
            </w:r>
            <w:r w:rsidRPr="00277750">
              <w:rPr>
                <w:color w:val="000000" w:themeColor="text1"/>
                <w:szCs w:val="20"/>
              </w:rPr>
              <w:t>pollution from polluting fuels use for cooking was assessed. Ambient air pollution results from emissions</w:t>
            </w:r>
            <w:r>
              <w:rPr>
                <w:color w:val="000000" w:themeColor="text1"/>
                <w:szCs w:val="20"/>
              </w:rPr>
              <w:t xml:space="preserve"> </w:t>
            </w:r>
            <w:r w:rsidRPr="00277750">
              <w:rPr>
                <w:color w:val="000000" w:themeColor="text1"/>
                <w:szCs w:val="20"/>
              </w:rPr>
              <w:t>from industrial activity, households, cars and trucks which are complex mixtures of air pollutants, many</w:t>
            </w:r>
            <w:r>
              <w:rPr>
                <w:color w:val="000000" w:themeColor="text1"/>
                <w:szCs w:val="20"/>
              </w:rPr>
              <w:t xml:space="preserve"> </w:t>
            </w:r>
            <w:r w:rsidRPr="00277750">
              <w:rPr>
                <w:color w:val="000000" w:themeColor="text1"/>
                <w:szCs w:val="20"/>
              </w:rPr>
              <w:t>of which are harmful to health. Of all of these pollutants, fine particulate matter has the greatest effect</w:t>
            </w:r>
            <w:r>
              <w:rPr>
                <w:color w:val="000000" w:themeColor="text1"/>
                <w:szCs w:val="20"/>
              </w:rPr>
              <w:t xml:space="preserve"> </w:t>
            </w:r>
            <w:r w:rsidRPr="00277750">
              <w:rPr>
                <w:color w:val="000000" w:themeColor="text1"/>
                <w:szCs w:val="20"/>
              </w:rPr>
              <w:t xml:space="preserve">on human health. By polluting fuels is understood kerosene, wood, coal, </w:t>
            </w:r>
            <w:proofErr w:type="gramStart"/>
            <w:r w:rsidRPr="00277750">
              <w:rPr>
                <w:color w:val="000000" w:themeColor="text1"/>
                <w:szCs w:val="20"/>
              </w:rPr>
              <w:t>animal</w:t>
            </w:r>
            <w:proofErr w:type="gramEnd"/>
            <w:r w:rsidRPr="00277750">
              <w:rPr>
                <w:color w:val="000000" w:themeColor="text1"/>
                <w:szCs w:val="20"/>
              </w:rPr>
              <w:t xml:space="preserve"> dung, charcoal, and crop</w:t>
            </w:r>
            <w:r>
              <w:rPr>
                <w:color w:val="000000" w:themeColor="text1"/>
                <w:szCs w:val="20"/>
              </w:rPr>
              <w:t xml:space="preserve"> </w:t>
            </w:r>
            <w:r w:rsidRPr="00277750">
              <w:rPr>
                <w:color w:val="000000" w:themeColor="text1"/>
                <w:szCs w:val="20"/>
              </w:rPr>
              <w:t>wastes.</w:t>
            </w:r>
          </w:p>
          <w:p w14:paraId="780BC9B6" w14:textId="77777777" w:rsidR="00221C59" w:rsidRDefault="00221C59" w:rsidP="00221C59">
            <w:pPr>
              <w:ind w:left="-20"/>
              <w:jc w:val="both"/>
              <w:rPr>
                <w:b/>
                <w:bCs/>
                <w:color w:val="000000" w:themeColor="text1"/>
                <w:szCs w:val="20"/>
              </w:rPr>
            </w:pPr>
          </w:p>
          <w:p w14:paraId="77463EA7" w14:textId="77777777" w:rsidR="00221C59" w:rsidRPr="00277750" w:rsidRDefault="00221C59" w:rsidP="00221C59">
            <w:pPr>
              <w:ind w:left="-20"/>
              <w:jc w:val="both"/>
              <w:rPr>
                <w:b/>
                <w:bCs/>
                <w:color w:val="000000" w:themeColor="text1"/>
                <w:szCs w:val="20"/>
              </w:rPr>
            </w:pPr>
            <w:r w:rsidRPr="00277750">
              <w:rPr>
                <w:b/>
                <w:bCs/>
                <w:color w:val="000000" w:themeColor="text1"/>
                <w:szCs w:val="20"/>
              </w:rPr>
              <w:t>Computation Method:</w:t>
            </w:r>
          </w:p>
          <w:p w14:paraId="5CDE9077" w14:textId="77777777" w:rsidR="00221C59" w:rsidRPr="00277750" w:rsidRDefault="00221C59" w:rsidP="00221C59">
            <w:pPr>
              <w:ind w:left="-20"/>
              <w:jc w:val="both"/>
              <w:rPr>
                <w:color w:val="000000" w:themeColor="text1"/>
                <w:szCs w:val="20"/>
              </w:rPr>
            </w:pPr>
            <w:r w:rsidRPr="00277750">
              <w:rPr>
                <w:color w:val="000000" w:themeColor="text1"/>
                <w:szCs w:val="20"/>
              </w:rPr>
              <w:t>Attributable mortality is calculated by first combining information on the increased (or relative) risk of a</w:t>
            </w:r>
            <w:r>
              <w:rPr>
                <w:color w:val="000000" w:themeColor="text1"/>
                <w:szCs w:val="20"/>
              </w:rPr>
              <w:t xml:space="preserve"> </w:t>
            </w:r>
            <w:r w:rsidRPr="00277750">
              <w:rPr>
                <w:color w:val="000000" w:themeColor="text1"/>
                <w:szCs w:val="20"/>
              </w:rPr>
              <w:t>disease resulting from exposure, with information on how widespread the exposure is in the population</w:t>
            </w:r>
            <w:r>
              <w:rPr>
                <w:color w:val="000000" w:themeColor="text1"/>
                <w:szCs w:val="20"/>
              </w:rPr>
              <w:t xml:space="preserve"> </w:t>
            </w:r>
            <w:r w:rsidRPr="00277750">
              <w:rPr>
                <w:color w:val="000000" w:themeColor="text1"/>
                <w:szCs w:val="20"/>
              </w:rPr>
              <w:t>(e.g. the annual mean concentration of particulate matter to which the population is exposed,</w:t>
            </w:r>
            <w:r>
              <w:rPr>
                <w:color w:val="000000" w:themeColor="text1"/>
                <w:szCs w:val="20"/>
              </w:rPr>
              <w:t xml:space="preserve"> </w:t>
            </w:r>
            <w:r w:rsidRPr="00277750">
              <w:rPr>
                <w:color w:val="000000" w:themeColor="text1"/>
                <w:szCs w:val="20"/>
              </w:rPr>
              <w:t>proportion of population relying primarily on polluting fuels for cooking).</w:t>
            </w:r>
          </w:p>
          <w:p w14:paraId="6159128D" w14:textId="77777777" w:rsidR="00221C59" w:rsidRPr="00277750" w:rsidRDefault="00221C59" w:rsidP="00221C59">
            <w:pPr>
              <w:ind w:left="-20"/>
              <w:jc w:val="both"/>
              <w:rPr>
                <w:color w:val="000000" w:themeColor="text1"/>
                <w:szCs w:val="20"/>
              </w:rPr>
            </w:pPr>
            <w:r w:rsidRPr="00277750">
              <w:rPr>
                <w:color w:val="000000" w:themeColor="text1"/>
                <w:szCs w:val="20"/>
              </w:rPr>
              <w:t xml:space="preserve">This allows calculation of the 'population </w:t>
            </w:r>
            <w:proofErr w:type="gramStart"/>
            <w:r w:rsidRPr="00277750">
              <w:rPr>
                <w:color w:val="000000" w:themeColor="text1"/>
                <w:szCs w:val="20"/>
              </w:rPr>
              <w:t>attributable</w:t>
            </w:r>
            <w:proofErr w:type="gramEnd"/>
            <w:r w:rsidRPr="00277750">
              <w:rPr>
                <w:color w:val="000000" w:themeColor="text1"/>
                <w:szCs w:val="20"/>
              </w:rPr>
              <w:t xml:space="preserve"> fraction' (PAF), which is the fraction of disease seen</w:t>
            </w:r>
            <w:r>
              <w:rPr>
                <w:color w:val="000000" w:themeColor="text1"/>
                <w:szCs w:val="20"/>
              </w:rPr>
              <w:t xml:space="preserve"> </w:t>
            </w:r>
            <w:r w:rsidRPr="00277750">
              <w:rPr>
                <w:color w:val="000000" w:themeColor="text1"/>
                <w:szCs w:val="20"/>
              </w:rPr>
              <w:t>in a given population that can be attributed to the exposure (e.g in that case of both the annual mean</w:t>
            </w:r>
            <w:r>
              <w:rPr>
                <w:color w:val="000000" w:themeColor="text1"/>
                <w:szCs w:val="20"/>
              </w:rPr>
              <w:t xml:space="preserve"> </w:t>
            </w:r>
            <w:r w:rsidRPr="00277750">
              <w:rPr>
                <w:color w:val="000000" w:themeColor="text1"/>
                <w:szCs w:val="20"/>
              </w:rPr>
              <w:t>concentration of particulate matter and exposure to polluting fuels for cooking).</w:t>
            </w:r>
          </w:p>
          <w:p w14:paraId="31298596" w14:textId="77777777" w:rsidR="00221C59" w:rsidRPr="00277750" w:rsidRDefault="00221C59" w:rsidP="00221C59">
            <w:pPr>
              <w:ind w:left="-20"/>
              <w:jc w:val="both"/>
              <w:rPr>
                <w:color w:val="000000" w:themeColor="text1"/>
                <w:szCs w:val="20"/>
              </w:rPr>
            </w:pPr>
            <w:r w:rsidRPr="00277750">
              <w:rPr>
                <w:color w:val="000000" w:themeColor="text1"/>
                <w:szCs w:val="20"/>
              </w:rPr>
              <w:t>Applying this fraction to the total burden of disease (e.g. cardiopulmonary disease expressed as deaths),</w:t>
            </w:r>
            <w:r>
              <w:rPr>
                <w:color w:val="000000" w:themeColor="text1"/>
                <w:szCs w:val="20"/>
              </w:rPr>
              <w:t xml:space="preserve"> </w:t>
            </w:r>
            <w:r w:rsidRPr="00277750">
              <w:rPr>
                <w:color w:val="000000" w:themeColor="text1"/>
                <w:szCs w:val="20"/>
              </w:rPr>
              <w:t xml:space="preserve">gives the total number of deaths that results from exposure to </w:t>
            </w:r>
            <w:r w:rsidRPr="00277750">
              <w:rPr>
                <w:color w:val="000000" w:themeColor="text1"/>
                <w:szCs w:val="20"/>
              </w:rPr>
              <w:lastRenderedPageBreak/>
              <w:t>that particular risk factor (in the example</w:t>
            </w:r>
            <w:r>
              <w:rPr>
                <w:color w:val="000000" w:themeColor="text1"/>
                <w:szCs w:val="20"/>
              </w:rPr>
              <w:t xml:space="preserve"> </w:t>
            </w:r>
            <w:r w:rsidRPr="00277750">
              <w:rPr>
                <w:color w:val="000000" w:themeColor="text1"/>
                <w:szCs w:val="20"/>
              </w:rPr>
              <w:t>given above, to ambient and household air pollution).</w:t>
            </w:r>
          </w:p>
          <w:p w14:paraId="20F6A795" w14:textId="77777777" w:rsidR="00221C59" w:rsidRPr="00277750" w:rsidRDefault="00221C59" w:rsidP="00221C59">
            <w:pPr>
              <w:ind w:left="-20"/>
              <w:jc w:val="both"/>
              <w:rPr>
                <w:color w:val="000000" w:themeColor="text1"/>
                <w:szCs w:val="20"/>
              </w:rPr>
            </w:pPr>
            <w:r w:rsidRPr="00277750">
              <w:rPr>
                <w:color w:val="000000" w:themeColor="text1"/>
                <w:szCs w:val="20"/>
              </w:rPr>
              <w:t xml:space="preserve">To estimate the combined effects of risk factors, a joint population </w:t>
            </w:r>
            <w:proofErr w:type="gramStart"/>
            <w:r w:rsidRPr="00277750">
              <w:rPr>
                <w:color w:val="000000" w:themeColor="text1"/>
                <w:szCs w:val="20"/>
              </w:rPr>
              <w:t>attributable</w:t>
            </w:r>
            <w:proofErr w:type="gramEnd"/>
            <w:r w:rsidRPr="00277750">
              <w:rPr>
                <w:color w:val="000000" w:themeColor="text1"/>
                <w:szCs w:val="20"/>
              </w:rPr>
              <w:t xml:space="preserve"> fraction is calculated, as</w:t>
            </w:r>
            <w:r>
              <w:rPr>
                <w:color w:val="000000" w:themeColor="text1"/>
                <w:szCs w:val="20"/>
              </w:rPr>
              <w:t xml:space="preserve"> </w:t>
            </w:r>
            <w:r w:rsidRPr="00277750">
              <w:rPr>
                <w:color w:val="000000" w:themeColor="text1"/>
                <w:szCs w:val="20"/>
              </w:rPr>
              <w:t>described in Ezzati et al (2003).</w:t>
            </w:r>
          </w:p>
          <w:p w14:paraId="3187BBAC" w14:textId="77777777" w:rsidR="00221C59" w:rsidRPr="00277750" w:rsidRDefault="00221C59" w:rsidP="00221C59">
            <w:pPr>
              <w:ind w:left="-20"/>
              <w:jc w:val="both"/>
              <w:rPr>
                <w:color w:val="000000" w:themeColor="text1"/>
                <w:szCs w:val="20"/>
              </w:rPr>
            </w:pPr>
            <w:r w:rsidRPr="00277750">
              <w:rPr>
                <w:color w:val="000000" w:themeColor="text1"/>
                <w:szCs w:val="20"/>
              </w:rPr>
              <w:t>The mortality associated with household and ambient air pollution was estimated based on the</w:t>
            </w:r>
          </w:p>
          <w:p w14:paraId="3F378655" w14:textId="77777777" w:rsidR="00221C59" w:rsidRPr="00277750" w:rsidRDefault="00221C59" w:rsidP="00221C59">
            <w:pPr>
              <w:ind w:left="-20"/>
              <w:jc w:val="both"/>
              <w:rPr>
                <w:color w:val="000000" w:themeColor="text1"/>
                <w:szCs w:val="20"/>
              </w:rPr>
            </w:pPr>
            <w:proofErr w:type="gramStart"/>
            <w:r w:rsidRPr="00277750">
              <w:rPr>
                <w:color w:val="000000" w:themeColor="text1"/>
                <w:szCs w:val="20"/>
              </w:rPr>
              <w:t>calculation</w:t>
            </w:r>
            <w:proofErr w:type="gramEnd"/>
            <w:r w:rsidRPr="00277750">
              <w:rPr>
                <w:color w:val="000000" w:themeColor="text1"/>
                <w:szCs w:val="20"/>
              </w:rPr>
              <w:t xml:space="preserve"> of the joint population attributable fractions assuming independently distributed exposures</w:t>
            </w:r>
            <w:r>
              <w:rPr>
                <w:color w:val="000000" w:themeColor="text1"/>
                <w:szCs w:val="20"/>
              </w:rPr>
              <w:t xml:space="preserve"> </w:t>
            </w:r>
            <w:r w:rsidRPr="00277750">
              <w:rPr>
                <w:color w:val="000000" w:themeColor="text1"/>
                <w:szCs w:val="20"/>
              </w:rPr>
              <w:t>and independent hazards as described in (Ezzati et al, 2003).</w:t>
            </w:r>
          </w:p>
          <w:p w14:paraId="50294458" w14:textId="77777777" w:rsidR="00221C59" w:rsidRPr="00277750" w:rsidRDefault="00221C59" w:rsidP="00221C59">
            <w:pPr>
              <w:ind w:left="-20"/>
              <w:jc w:val="both"/>
              <w:rPr>
                <w:color w:val="000000" w:themeColor="text1"/>
                <w:szCs w:val="20"/>
              </w:rPr>
            </w:pPr>
            <w:r w:rsidRPr="00277750">
              <w:rPr>
                <w:color w:val="000000" w:themeColor="text1"/>
                <w:szCs w:val="20"/>
              </w:rPr>
              <w:t>The joint population attributable fraction (PAF) were calculated using the following formula:</w:t>
            </w:r>
          </w:p>
          <w:p w14:paraId="5A2FB929" w14:textId="77777777" w:rsidR="00221C59" w:rsidRPr="00277750" w:rsidRDefault="00221C59" w:rsidP="00221C59">
            <w:pPr>
              <w:ind w:left="-20"/>
              <w:jc w:val="center"/>
              <w:rPr>
                <w:color w:val="000000" w:themeColor="text1"/>
                <w:szCs w:val="20"/>
              </w:rPr>
            </w:pPr>
            <w:r w:rsidRPr="00277750">
              <w:rPr>
                <w:color w:val="000000" w:themeColor="text1"/>
                <w:szCs w:val="20"/>
              </w:rPr>
              <w:t>PAF=1-PRODUCT (1-PAFi)</w:t>
            </w:r>
          </w:p>
          <w:p w14:paraId="73DF47E3" w14:textId="77777777" w:rsidR="00221C59" w:rsidRDefault="00221C59" w:rsidP="00221C59">
            <w:pPr>
              <w:ind w:left="-20"/>
              <w:jc w:val="both"/>
              <w:rPr>
                <w:color w:val="000000" w:themeColor="text1"/>
                <w:szCs w:val="20"/>
              </w:rPr>
            </w:pPr>
            <w:proofErr w:type="gramStart"/>
            <w:r w:rsidRPr="00277750">
              <w:rPr>
                <w:color w:val="000000" w:themeColor="text1"/>
                <w:szCs w:val="20"/>
              </w:rPr>
              <w:t>where</w:t>
            </w:r>
            <w:proofErr w:type="gramEnd"/>
            <w:r w:rsidRPr="00277750">
              <w:rPr>
                <w:color w:val="000000" w:themeColor="text1"/>
                <w:szCs w:val="20"/>
              </w:rPr>
              <w:t xml:space="preserve"> PAFi is PAF of individual risk factors.</w:t>
            </w:r>
          </w:p>
          <w:p w14:paraId="57D5C22E" w14:textId="77777777" w:rsidR="00221C59" w:rsidRPr="00277750" w:rsidRDefault="00221C59" w:rsidP="00221C59">
            <w:pPr>
              <w:ind w:left="-20"/>
              <w:jc w:val="both"/>
              <w:rPr>
                <w:color w:val="000000" w:themeColor="text1"/>
                <w:szCs w:val="20"/>
              </w:rPr>
            </w:pPr>
            <w:r w:rsidRPr="00277750">
              <w:rPr>
                <w:color w:val="000000" w:themeColor="text1"/>
                <w:szCs w:val="20"/>
              </w:rPr>
              <w:t>The PAF for ambient air pollution and the PAF for household air pollution were assessed separately,</w:t>
            </w:r>
            <w:r>
              <w:rPr>
                <w:color w:val="000000" w:themeColor="text1"/>
                <w:szCs w:val="20"/>
              </w:rPr>
              <w:t xml:space="preserve"> </w:t>
            </w:r>
            <w:r w:rsidRPr="00277750">
              <w:rPr>
                <w:color w:val="000000" w:themeColor="text1"/>
                <w:szCs w:val="20"/>
              </w:rPr>
              <w:t>based on the Comparative Risk Assessment (Ezzati et al, 2002) and expert groups for the Global Burden of</w:t>
            </w:r>
            <w:r>
              <w:rPr>
                <w:color w:val="000000" w:themeColor="text1"/>
                <w:szCs w:val="20"/>
              </w:rPr>
              <w:t xml:space="preserve"> </w:t>
            </w:r>
            <w:r w:rsidRPr="00277750">
              <w:rPr>
                <w:color w:val="000000" w:themeColor="text1"/>
                <w:szCs w:val="20"/>
              </w:rPr>
              <w:t>Disease (GBD) 2010 study (Lim et al, 2012; Smith et al, 2014).</w:t>
            </w:r>
            <w:r>
              <w:rPr>
                <w:color w:val="000000" w:themeColor="text1"/>
                <w:szCs w:val="20"/>
              </w:rPr>
              <w:t xml:space="preserve"> </w:t>
            </w:r>
            <w:r w:rsidRPr="00277750">
              <w:rPr>
                <w:color w:val="000000" w:themeColor="text1"/>
                <w:szCs w:val="20"/>
              </w:rPr>
              <w:t>For exposure to ambient air pollution, annual mean estimates of particulate matter of a diameter of less</w:t>
            </w:r>
            <w:r>
              <w:rPr>
                <w:color w:val="000000" w:themeColor="text1"/>
                <w:szCs w:val="20"/>
              </w:rPr>
              <w:t xml:space="preserve"> </w:t>
            </w:r>
            <w:r w:rsidRPr="00277750">
              <w:rPr>
                <w:color w:val="000000" w:themeColor="text1"/>
                <w:szCs w:val="20"/>
              </w:rPr>
              <w:t>than 2.5 um (PM25) were modelled as described in (WHO 2016, forthcoming), or for Indicator 11.6.2.</w:t>
            </w:r>
            <w:r>
              <w:rPr>
                <w:color w:val="000000" w:themeColor="text1"/>
                <w:szCs w:val="20"/>
              </w:rPr>
              <w:t xml:space="preserve"> </w:t>
            </w:r>
            <w:r w:rsidRPr="00277750">
              <w:rPr>
                <w:color w:val="000000" w:themeColor="text1"/>
                <w:szCs w:val="20"/>
              </w:rPr>
              <w:t>For exposure to household air pollution, the proportion of population with primary reliance on polluting</w:t>
            </w:r>
            <w:r>
              <w:rPr>
                <w:color w:val="000000" w:themeColor="text1"/>
                <w:szCs w:val="20"/>
              </w:rPr>
              <w:t xml:space="preserve"> </w:t>
            </w:r>
            <w:r w:rsidRPr="00277750">
              <w:rPr>
                <w:color w:val="000000" w:themeColor="text1"/>
                <w:szCs w:val="20"/>
              </w:rPr>
              <w:t>fuels use for cooking was modelled. Details on</w:t>
            </w:r>
            <w:r>
              <w:rPr>
                <w:color w:val="000000" w:themeColor="text1"/>
                <w:szCs w:val="20"/>
              </w:rPr>
              <w:t xml:space="preserve"> </w:t>
            </w:r>
            <w:r w:rsidRPr="00277750">
              <w:rPr>
                <w:color w:val="000000" w:themeColor="text1"/>
                <w:szCs w:val="20"/>
              </w:rPr>
              <w:t>the model are published in.</w:t>
            </w:r>
          </w:p>
          <w:p w14:paraId="3E873C26" w14:textId="77777777" w:rsidR="00221C59" w:rsidRPr="00277750" w:rsidRDefault="00221C59" w:rsidP="00221C59">
            <w:pPr>
              <w:ind w:left="-20"/>
              <w:jc w:val="both"/>
              <w:rPr>
                <w:color w:val="000000" w:themeColor="text1"/>
                <w:szCs w:val="20"/>
              </w:rPr>
            </w:pPr>
            <w:r w:rsidRPr="00277750">
              <w:rPr>
                <w:color w:val="000000" w:themeColor="text1"/>
                <w:szCs w:val="20"/>
              </w:rPr>
              <w:t>The integrated exposure-response functions (IER) developed for the GBD 2010 (Burnett et al, 2014) and</w:t>
            </w:r>
            <w:r>
              <w:rPr>
                <w:color w:val="000000" w:themeColor="text1"/>
                <w:szCs w:val="20"/>
              </w:rPr>
              <w:t xml:space="preserve"> </w:t>
            </w:r>
            <w:r w:rsidRPr="00277750">
              <w:rPr>
                <w:color w:val="000000" w:themeColor="text1"/>
                <w:szCs w:val="20"/>
              </w:rPr>
              <w:t>further updated for the GBD 2013 study (Forouzanfar et al, 2015) were used.</w:t>
            </w:r>
          </w:p>
          <w:p w14:paraId="651B44AF" w14:textId="77777777" w:rsidR="00221C59" w:rsidRPr="00277750" w:rsidRDefault="00221C59" w:rsidP="00221C59">
            <w:pPr>
              <w:ind w:left="-20"/>
              <w:jc w:val="both"/>
              <w:rPr>
                <w:color w:val="000000" w:themeColor="text1"/>
                <w:szCs w:val="20"/>
              </w:rPr>
            </w:pPr>
            <w:r w:rsidRPr="00277750">
              <w:rPr>
                <w:color w:val="000000" w:themeColor="text1"/>
                <w:szCs w:val="20"/>
              </w:rPr>
              <w:t>The percentage of the population exposed to a specific risk factor (here ambient air pollution, i.e. PM2.5)</w:t>
            </w:r>
            <w:r>
              <w:rPr>
                <w:color w:val="000000" w:themeColor="text1"/>
                <w:szCs w:val="20"/>
              </w:rPr>
              <w:t xml:space="preserve"> </w:t>
            </w:r>
            <w:r w:rsidRPr="00277750">
              <w:rPr>
                <w:color w:val="000000" w:themeColor="text1"/>
                <w:szCs w:val="20"/>
              </w:rPr>
              <w:t>was provided by country and by increment of 1 ug/m3; relative risks were calculated for each PM2.5</w:t>
            </w:r>
            <w:r>
              <w:rPr>
                <w:color w:val="000000" w:themeColor="text1"/>
                <w:szCs w:val="20"/>
              </w:rPr>
              <w:t xml:space="preserve"> </w:t>
            </w:r>
            <w:r w:rsidRPr="00277750">
              <w:rPr>
                <w:color w:val="000000" w:themeColor="text1"/>
                <w:szCs w:val="20"/>
              </w:rPr>
              <w:t>increment, based on the IER. The counterfactual concentration was selected to be between 5.6 and 8.8</w:t>
            </w:r>
            <w:r>
              <w:rPr>
                <w:color w:val="000000" w:themeColor="text1"/>
                <w:szCs w:val="20"/>
              </w:rPr>
              <w:t xml:space="preserve"> </w:t>
            </w:r>
            <w:r w:rsidRPr="00277750">
              <w:rPr>
                <w:color w:val="000000" w:themeColor="text1"/>
                <w:szCs w:val="20"/>
              </w:rPr>
              <w:t>ug/m3, as described elsewhere (Ezzati et al, 2002; Lim et al, 2012). The country population attributable</w:t>
            </w:r>
            <w:r>
              <w:rPr>
                <w:color w:val="000000" w:themeColor="text1"/>
                <w:szCs w:val="20"/>
              </w:rPr>
              <w:t xml:space="preserve"> </w:t>
            </w:r>
            <w:r w:rsidRPr="00277750">
              <w:rPr>
                <w:color w:val="000000" w:themeColor="text1"/>
                <w:szCs w:val="20"/>
              </w:rPr>
              <w:t>fraction for ALRI, COPD, IHD, stroke and lung cancer were calculated using the following formula:</w:t>
            </w:r>
          </w:p>
          <w:p w14:paraId="6226E755" w14:textId="77777777" w:rsidR="00221C59" w:rsidRPr="00277750" w:rsidRDefault="00221C59" w:rsidP="00221C59">
            <w:pPr>
              <w:ind w:left="-20"/>
              <w:jc w:val="center"/>
              <w:rPr>
                <w:color w:val="000000" w:themeColor="text1"/>
                <w:szCs w:val="20"/>
              </w:rPr>
            </w:pPr>
            <w:r w:rsidRPr="00277750">
              <w:rPr>
                <w:color w:val="000000" w:themeColor="text1"/>
                <w:szCs w:val="20"/>
              </w:rPr>
              <w:t>PAF=SUM(Pi(RR-1)/(SUM(RR-1)</w:t>
            </w:r>
            <w:r>
              <w:rPr>
                <w:color w:val="000000" w:themeColor="text1"/>
                <w:szCs w:val="20"/>
              </w:rPr>
              <w:t xml:space="preserve"> </w:t>
            </w:r>
            <w:r w:rsidRPr="00277750">
              <w:rPr>
                <w:color w:val="000000" w:themeColor="text1"/>
                <w:szCs w:val="20"/>
              </w:rPr>
              <w:t>+1)</w:t>
            </w:r>
          </w:p>
          <w:p w14:paraId="09858817" w14:textId="77777777" w:rsidR="00221C59" w:rsidRPr="00277750" w:rsidRDefault="00221C59" w:rsidP="00221C59">
            <w:pPr>
              <w:ind w:left="-20"/>
              <w:jc w:val="both"/>
              <w:rPr>
                <w:b/>
                <w:bCs/>
                <w:color w:val="000000" w:themeColor="text1"/>
                <w:szCs w:val="20"/>
              </w:rPr>
            </w:pPr>
            <w:proofErr w:type="gramStart"/>
            <w:r w:rsidRPr="00277750">
              <w:rPr>
                <w:color w:val="000000" w:themeColor="text1"/>
                <w:szCs w:val="20"/>
              </w:rPr>
              <w:t>where</w:t>
            </w:r>
            <w:proofErr w:type="gramEnd"/>
            <w:r w:rsidRPr="00277750">
              <w:rPr>
                <w:color w:val="000000" w:themeColor="text1"/>
                <w:szCs w:val="20"/>
              </w:rPr>
              <w:t xml:space="preserve"> i is the level of PM2.5 in ug/m3, and Pi is the percentage of the population exposed to that level of</w:t>
            </w:r>
            <w:r>
              <w:rPr>
                <w:color w:val="000000" w:themeColor="text1"/>
                <w:szCs w:val="20"/>
              </w:rPr>
              <w:t xml:space="preserve"> </w:t>
            </w:r>
            <w:r w:rsidRPr="00277750">
              <w:rPr>
                <w:color w:val="000000" w:themeColor="text1"/>
                <w:szCs w:val="20"/>
              </w:rPr>
              <w:t>air pollution, and RR is the relative risk.</w:t>
            </w:r>
            <w:r>
              <w:rPr>
                <w:color w:val="000000" w:themeColor="text1"/>
                <w:szCs w:val="20"/>
              </w:rPr>
              <w:t xml:space="preserve"> </w:t>
            </w:r>
            <w:r w:rsidRPr="00277750">
              <w:rPr>
                <w:color w:val="000000" w:themeColor="text1"/>
                <w:szCs w:val="20"/>
              </w:rPr>
              <w:t>The calculations for household air pollution are similar and are explained in detailed elsewhere</w:t>
            </w:r>
            <w:r>
              <w:rPr>
                <w:color w:val="000000" w:themeColor="text1"/>
                <w:szCs w:val="20"/>
              </w:rPr>
              <w:t>.</w:t>
            </w:r>
          </w:p>
        </w:tc>
        <w:tc>
          <w:tcPr>
            <w:tcW w:w="0" w:type="auto"/>
            <w:shd w:val="clear" w:color="auto" w:fill="auto"/>
          </w:tcPr>
          <w:p w14:paraId="62C29685" w14:textId="77777777" w:rsidR="00221C59" w:rsidRDefault="00221C59" w:rsidP="00221C59">
            <w:pPr>
              <w:jc w:val="center"/>
              <w:rPr>
                <w:bCs/>
                <w:szCs w:val="20"/>
              </w:rPr>
            </w:pPr>
            <w:r>
              <w:rPr>
                <w:bCs/>
                <w:szCs w:val="20"/>
              </w:rPr>
              <w:lastRenderedPageBreak/>
              <w:t>Modeled Data and Survey Data</w:t>
            </w:r>
          </w:p>
        </w:tc>
        <w:tc>
          <w:tcPr>
            <w:tcW w:w="0" w:type="auto"/>
            <w:shd w:val="clear" w:color="auto" w:fill="auto"/>
          </w:tcPr>
          <w:p w14:paraId="5E15670C" w14:textId="77777777" w:rsidR="00221C59" w:rsidRPr="00277750" w:rsidRDefault="00221C59" w:rsidP="00221C59">
            <w:pPr>
              <w:jc w:val="center"/>
              <w:rPr>
                <w:bCs/>
                <w:szCs w:val="20"/>
              </w:rPr>
            </w:pPr>
            <w:r w:rsidRPr="00277750">
              <w:rPr>
                <w:bCs/>
                <w:szCs w:val="20"/>
              </w:rPr>
              <w:t>Ministry of Health, Ministry of Environment.</w:t>
            </w:r>
          </w:p>
        </w:tc>
        <w:tc>
          <w:tcPr>
            <w:tcW w:w="0" w:type="auto"/>
            <w:shd w:val="clear" w:color="auto" w:fill="auto"/>
          </w:tcPr>
          <w:p w14:paraId="761F256D" w14:textId="77777777" w:rsidR="00221C59" w:rsidRDefault="00221C59" w:rsidP="00221C59">
            <w:pPr>
              <w:jc w:val="center"/>
              <w:rPr>
                <w:color w:val="000000" w:themeColor="text1"/>
                <w:sz w:val="18"/>
                <w:szCs w:val="18"/>
              </w:rPr>
            </w:pPr>
            <w:r>
              <w:rPr>
                <w:color w:val="000000" w:themeColor="text1"/>
                <w:sz w:val="18"/>
                <w:szCs w:val="18"/>
              </w:rPr>
              <w:t>WHO</w:t>
            </w:r>
          </w:p>
        </w:tc>
        <w:tc>
          <w:tcPr>
            <w:tcW w:w="0" w:type="auto"/>
            <w:shd w:val="clear" w:color="auto" w:fill="auto"/>
          </w:tcPr>
          <w:p w14:paraId="152003F7" w14:textId="5921A7C3" w:rsidR="00221C59" w:rsidRDefault="00221C59" w:rsidP="00221C59">
            <w:pPr>
              <w:rPr>
                <w:bCs/>
                <w:szCs w:val="20"/>
              </w:rPr>
            </w:pPr>
          </w:p>
          <w:p w14:paraId="0844E60A" w14:textId="77777777" w:rsidR="00221C59" w:rsidRPr="00137990" w:rsidRDefault="00221C59" w:rsidP="00221C59">
            <w:r w:rsidRPr="00137990">
              <w:t>a) DGHS, HSD</w:t>
            </w:r>
          </w:p>
          <w:p w14:paraId="5639AFCD" w14:textId="77777777" w:rsidR="00221C59" w:rsidRPr="00137990" w:rsidRDefault="00221C59" w:rsidP="00221C59">
            <w:r w:rsidRPr="00137990">
              <w:t xml:space="preserve">b) </w:t>
            </w:r>
            <w:r>
              <w:t>D</w:t>
            </w:r>
            <w:r w:rsidRPr="00137990">
              <w:t xml:space="preserve">IFE, MoLE </w:t>
            </w:r>
          </w:p>
          <w:p w14:paraId="7E1A1EB7" w14:textId="77777777" w:rsidR="00221C59" w:rsidRDefault="00221C59" w:rsidP="00221C59">
            <w:r w:rsidRPr="00137990">
              <w:t>c) WHO</w:t>
            </w:r>
          </w:p>
          <w:p w14:paraId="4B194B1D" w14:textId="77777777" w:rsidR="00221C59" w:rsidRDefault="00221C59" w:rsidP="00221C59">
            <w:pPr>
              <w:rPr>
                <w:rFonts w:eastAsia="Times New Roman" w:cs="Times New Roman"/>
                <w:color w:val="000000" w:themeColor="text1"/>
                <w:szCs w:val="20"/>
              </w:rPr>
            </w:pPr>
            <w:r>
              <w:rPr>
                <w:rFonts w:eastAsia="Times New Roman" w:cs="Times New Roman"/>
                <w:color w:val="000000" w:themeColor="text1"/>
                <w:szCs w:val="20"/>
              </w:rPr>
              <w:t>Administrative Data</w:t>
            </w:r>
          </w:p>
          <w:p w14:paraId="24638276" w14:textId="77777777" w:rsidR="00221C59" w:rsidRPr="00137990" w:rsidRDefault="00221C59" w:rsidP="00221C59"/>
          <w:p w14:paraId="1890A410" w14:textId="77777777" w:rsidR="00221C59" w:rsidRDefault="00221C59" w:rsidP="00221C59">
            <w:r w:rsidRPr="00137990">
              <w:t>d) BBS (SVRS</w:t>
            </w:r>
            <w:r>
              <w:t>/</w:t>
            </w:r>
            <w:r w:rsidRPr="006B1068">
              <w:t>/HMSS</w:t>
            </w:r>
            <w:r w:rsidRPr="00137990">
              <w:t>)</w:t>
            </w:r>
            <w:r>
              <w:t>-</w:t>
            </w:r>
            <w:r>
              <w:rPr>
                <w:rFonts w:eastAsia="Times New Roman" w:cs="Times New Roman"/>
                <w:color w:val="000000" w:themeColor="text1"/>
                <w:szCs w:val="20"/>
              </w:rPr>
              <w:t xml:space="preserve"> Survey</w:t>
            </w:r>
          </w:p>
          <w:p w14:paraId="7FF2C051" w14:textId="77777777" w:rsidR="00221C59" w:rsidRDefault="00221C59" w:rsidP="00221C59"/>
          <w:p w14:paraId="1EC8E0B5" w14:textId="77777777" w:rsidR="00221C59" w:rsidRPr="004450F2" w:rsidRDefault="00221C59" w:rsidP="00221C59">
            <w:pPr>
              <w:rPr>
                <w:bCs/>
                <w:szCs w:val="20"/>
              </w:rPr>
            </w:pPr>
          </w:p>
        </w:tc>
        <w:tc>
          <w:tcPr>
            <w:tcW w:w="0" w:type="auto"/>
            <w:shd w:val="clear" w:color="auto" w:fill="auto"/>
          </w:tcPr>
          <w:p w14:paraId="1B614E35" w14:textId="3A69024E" w:rsidR="00221C59" w:rsidRDefault="00221C59" w:rsidP="00221C59">
            <w:pPr>
              <w:pStyle w:val="ListParagraph"/>
              <w:numPr>
                <w:ilvl w:val="0"/>
                <w:numId w:val="2"/>
              </w:numPr>
              <w:ind w:left="193" w:hanging="180"/>
              <w:rPr>
                <w:rFonts w:ascii="Tw Cen MT Condensed" w:hAnsi="Tw Cen MT Condensed"/>
                <w:bCs/>
                <w:sz w:val="20"/>
                <w:szCs w:val="20"/>
              </w:rPr>
            </w:pPr>
            <w:r>
              <w:rPr>
                <w:rFonts w:ascii="Tw Cen MT Condensed" w:hAnsi="Tw Cen MT Condensed"/>
                <w:bCs/>
                <w:sz w:val="20"/>
                <w:szCs w:val="20"/>
              </w:rPr>
              <w:t>Sex</w:t>
            </w:r>
            <w:r w:rsidR="008A7F7D">
              <w:rPr>
                <w:rFonts w:ascii="Tw Cen MT Condensed" w:hAnsi="Tw Cen MT Condensed"/>
                <w:bCs/>
                <w:sz w:val="20"/>
                <w:szCs w:val="20"/>
              </w:rPr>
              <w:t>: male, female</w:t>
            </w:r>
          </w:p>
          <w:p w14:paraId="7F02018B" w14:textId="6ED1C998" w:rsidR="00221C59" w:rsidRDefault="00221C59" w:rsidP="00221C59">
            <w:pPr>
              <w:pStyle w:val="ListParagraph"/>
              <w:numPr>
                <w:ilvl w:val="0"/>
                <w:numId w:val="2"/>
              </w:numPr>
              <w:ind w:left="193" w:hanging="180"/>
              <w:rPr>
                <w:rFonts w:ascii="Tw Cen MT Condensed" w:hAnsi="Tw Cen MT Condensed"/>
                <w:bCs/>
                <w:sz w:val="20"/>
                <w:szCs w:val="20"/>
              </w:rPr>
            </w:pPr>
            <w:r>
              <w:rPr>
                <w:rFonts w:ascii="Tw Cen MT Condensed" w:hAnsi="Tw Cen MT Condensed"/>
                <w:bCs/>
                <w:sz w:val="20"/>
                <w:szCs w:val="20"/>
              </w:rPr>
              <w:t>Age</w:t>
            </w:r>
            <w:r w:rsidR="008A7F7D">
              <w:rPr>
                <w:rFonts w:ascii="Tw Cen MT Condensed" w:hAnsi="Tw Cen MT Condensed"/>
                <w:bCs/>
                <w:sz w:val="20"/>
                <w:szCs w:val="20"/>
              </w:rPr>
              <w:t>: 0-5 yrs, 0-15 yrs, 16-25 yrs, 25+</w:t>
            </w:r>
          </w:p>
          <w:p w14:paraId="0B023DD7" w14:textId="68C848A2" w:rsidR="00221C59" w:rsidRPr="00277750" w:rsidRDefault="00BE6D76" w:rsidP="00F644D6">
            <w:pPr>
              <w:pStyle w:val="ListParagraph"/>
              <w:numPr>
                <w:ilvl w:val="0"/>
                <w:numId w:val="2"/>
              </w:numPr>
              <w:rPr>
                <w:rFonts w:ascii="Tw Cen MT Condensed" w:hAnsi="Tw Cen MT Condensed"/>
                <w:bCs/>
                <w:sz w:val="20"/>
                <w:szCs w:val="20"/>
              </w:rPr>
            </w:pPr>
            <w:r>
              <w:rPr>
                <w:rFonts w:ascii="Tw Cen MT Condensed" w:hAnsi="Tw Cen MT Condensed"/>
                <w:bCs/>
                <w:sz w:val="20"/>
                <w:szCs w:val="20"/>
              </w:rPr>
              <w:t xml:space="preserve">Type of </w:t>
            </w:r>
            <w:r w:rsidR="00221C59">
              <w:rPr>
                <w:rFonts w:ascii="Tw Cen MT Condensed" w:hAnsi="Tw Cen MT Condensed"/>
                <w:bCs/>
                <w:sz w:val="20"/>
                <w:szCs w:val="20"/>
              </w:rPr>
              <w:t>Disease</w:t>
            </w:r>
            <w:r w:rsidR="00F644D6">
              <w:rPr>
                <w:rFonts w:ascii="Tw Cen MT Condensed" w:hAnsi="Tw Cen MT Condensed"/>
                <w:bCs/>
                <w:sz w:val="20"/>
                <w:szCs w:val="20"/>
              </w:rPr>
              <w:t xml:space="preserve">: </w:t>
            </w:r>
            <w:r w:rsidR="00F644D6" w:rsidRPr="00F644D6">
              <w:rPr>
                <w:rFonts w:ascii="Tw Cen MT Condensed" w:hAnsi="Tw Cen MT Condensed"/>
                <w:bCs/>
                <w:sz w:val="20"/>
                <w:szCs w:val="20"/>
              </w:rPr>
              <w:t>Acute respiratory infections</w:t>
            </w:r>
            <w:r w:rsidR="00F644D6">
              <w:rPr>
                <w:rFonts w:ascii="Tw Cen MT Condensed" w:hAnsi="Tw Cen MT Condensed"/>
                <w:bCs/>
                <w:sz w:val="20"/>
                <w:szCs w:val="20"/>
              </w:rPr>
              <w:t>/Stroke/Heart disease/COPD/Lung cancer</w:t>
            </w:r>
          </w:p>
        </w:tc>
        <w:tc>
          <w:tcPr>
            <w:tcW w:w="0" w:type="auto"/>
            <w:shd w:val="clear" w:color="auto" w:fill="auto"/>
          </w:tcPr>
          <w:p w14:paraId="700B1CD2" w14:textId="77777777" w:rsidR="00221C59" w:rsidRDefault="00221C59" w:rsidP="00221C59">
            <w:pPr>
              <w:jc w:val="center"/>
              <w:rPr>
                <w:bCs/>
                <w:szCs w:val="20"/>
              </w:rPr>
            </w:pPr>
            <w:r>
              <w:rPr>
                <w:bCs/>
                <w:szCs w:val="20"/>
              </w:rPr>
              <w:t>Annual</w:t>
            </w:r>
          </w:p>
        </w:tc>
        <w:tc>
          <w:tcPr>
            <w:tcW w:w="0" w:type="auto"/>
            <w:shd w:val="clear" w:color="auto" w:fill="auto"/>
          </w:tcPr>
          <w:p w14:paraId="755D9B92" w14:textId="77777777" w:rsidR="00221C59" w:rsidRDefault="00221C59" w:rsidP="00221C59">
            <w:pPr>
              <w:pStyle w:val="NoSpacing"/>
            </w:pPr>
            <w:r>
              <w:t>1</w:t>
            </w:r>
            <w:r w:rsidRPr="00013ACB">
              <w:rPr>
                <w:vertAlign w:val="superscript"/>
              </w:rPr>
              <w:t>st</w:t>
            </w:r>
            <w:r>
              <w:t xml:space="preserve"> Round: </w:t>
            </w:r>
          </w:p>
          <w:p w14:paraId="232636D6" w14:textId="77777777" w:rsidR="00221C59" w:rsidRDefault="00221C59" w:rsidP="00221C59">
            <w:pPr>
              <w:pStyle w:val="NoSpacing"/>
            </w:pPr>
            <w:r>
              <w:t>2012</w:t>
            </w:r>
          </w:p>
          <w:p w14:paraId="0C1280E5" w14:textId="77777777" w:rsidR="00221C59" w:rsidRDefault="00221C59" w:rsidP="00221C59">
            <w:pPr>
              <w:pStyle w:val="NoSpacing"/>
            </w:pPr>
            <w:r>
              <w:t>2</w:t>
            </w:r>
            <w:r w:rsidRPr="00013ACB">
              <w:rPr>
                <w:vertAlign w:val="superscript"/>
              </w:rPr>
              <w:t>nd</w:t>
            </w:r>
            <w:r>
              <w:t xml:space="preserve"> Round: </w:t>
            </w:r>
          </w:p>
          <w:p w14:paraId="3CE779CE" w14:textId="77777777" w:rsidR="00221C59" w:rsidRDefault="00221C59" w:rsidP="00221C59">
            <w:pPr>
              <w:pStyle w:val="NoSpacing"/>
            </w:pPr>
            <w:r w:rsidRPr="00BC6F10">
              <w:rPr>
                <w:szCs w:val="20"/>
              </w:rPr>
              <w:t>January 2019</w:t>
            </w:r>
          </w:p>
          <w:p w14:paraId="1738988C" w14:textId="77777777" w:rsidR="00221C59" w:rsidRDefault="00221C59" w:rsidP="00221C59">
            <w:pPr>
              <w:pStyle w:val="NoSpacing"/>
            </w:pPr>
            <w:r>
              <w:t>3</w:t>
            </w:r>
            <w:r w:rsidRPr="00013ACB">
              <w:rPr>
                <w:vertAlign w:val="superscript"/>
              </w:rPr>
              <w:t>rd</w:t>
            </w:r>
            <w:r>
              <w:t xml:space="preserve"> Round: </w:t>
            </w:r>
          </w:p>
          <w:p w14:paraId="7140FBFD" w14:textId="7BDD1773" w:rsidR="00221C59" w:rsidRDefault="00D55B5E" w:rsidP="00221C59">
            <w:pPr>
              <w:pStyle w:val="NoSpacing"/>
            </w:pPr>
            <w:r w:rsidRPr="00BC6F10">
              <w:rPr>
                <w:szCs w:val="20"/>
              </w:rPr>
              <w:t>January 20</w:t>
            </w:r>
            <w:r>
              <w:rPr>
                <w:szCs w:val="20"/>
              </w:rPr>
              <w:t>22</w:t>
            </w:r>
          </w:p>
          <w:p w14:paraId="650FFD89" w14:textId="77777777" w:rsidR="00221C59" w:rsidRDefault="00221C59" w:rsidP="00221C59">
            <w:pPr>
              <w:pStyle w:val="NoSpacing"/>
            </w:pPr>
            <w:r>
              <w:t>4</w:t>
            </w:r>
            <w:r w:rsidRPr="00013ACB">
              <w:rPr>
                <w:vertAlign w:val="superscript"/>
              </w:rPr>
              <w:t>th</w:t>
            </w:r>
            <w:r>
              <w:t xml:space="preserve"> Round: </w:t>
            </w:r>
          </w:p>
          <w:p w14:paraId="317E6EE0" w14:textId="13E6DF5A" w:rsidR="00221C59" w:rsidRDefault="00D55B5E" w:rsidP="00221C59">
            <w:pPr>
              <w:pStyle w:val="NoSpacing"/>
            </w:pPr>
            <w:r w:rsidRPr="00BC6F10">
              <w:rPr>
                <w:szCs w:val="20"/>
              </w:rPr>
              <w:t>January 20</w:t>
            </w:r>
            <w:r>
              <w:rPr>
                <w:szCs w:val="20"/>
              </w:rPr>
              <w:t>25</w:t>
            </w:r>
          </w:p>
          <w:p w14:paraId="5A7055C0" w14:textId="77777777" w:rsidR="00221C59" w:rsidRDefault="00221C59" w:rsidP="00221C59">
            <w:pPr>
              <w:pStyle w:val="NoSpacing"/>
            </w:pPr>
            <w:r>
              <w:t>5</w:t>
            </w:r>
            <w:r w:rsidRPr="00013ACB">
              <w:rPr>
                <w:vertAlign w:val="superscript"/>
              </w:rPr>
              <w:t>th</w:t>
            </w:r>
            <w:r>
              <w:t xml:space="preserve"> Round: </w:t>
            </w:r>
          </w:p>
          <w:p w14:paraId="22968071" w14:textId="4CA45961" w:rsidR="00221C59" w:rsidRPr="002175FB" w:rsidRDefault="00D55B5E" w:rsidP="00D55B5E">
            <w:pPr>
              <w:jc w:val="center"/>
              <w:rPr>
                <w:bCs/>
                <w:szCs w:val="20"/>
              </w:rPr>
            </w:pPr>
            <w:r w:rsidRPr="00BC6F10">
              <w:rPr>
                <w:szCs w:val="20"/>
              </w:rPr>
              <w:t>January 20</w:t>
            </w:r>
            <w:r>
              <w:rPr>
                <w:szCs w:val="20"/>
              </w:rPr>
              <w:t>28</w:t>
            </w:r>
          </w:p>
        </w:tc>
        <w:tc>
          <w:tcPr>
            <w:tcW w:w="682" w:type="dxa"/>
            <w:shd w:val="clear" w:color="auto" w:fill="auto"/>
          </w:tcPr>
          <w:p w14:paraId="02CA32CA" w14:textId="77777777" w:rsidR="00221C59" w:rsidRPr="008F5625"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Group 3</w:t>
            </w:r>
          </w:p>
        </w:tc>
        <w:tc>
          <w:tcPr>
            <w:tcW w:w="983" w:type="dxa"/>
            <w:shd w:val="clear" w:color="auto" w:fill="auto"/>
          </w:tcPr>
          <w:p w14:paraId="220B2AA7" w14:textId="77777777" w:rsidR="00221C59" w:rsidRPr="008F5625" w:rsidRDefault="00221C59" w:rsidP="00221C59">
            <w:pPr>
              <w:pStyle w:val="ListParagraph"/>
              <w:ind w:left="-1"/>
              <w:jc w:val="both"/>
              <w:rPr>
                <w:rFonts w:ascii="Tw Cen MT Condensed" w:hAnsi="Tw Cen MT Condensed"/>
                <w:bCs/>
                <w:sz w:val="20"/>
                <w:szCs w:val="20"/>
              </w:rPr>
            </w:pPr>
          </w:p>
        </w:tc>
      </w:tr>
      <w:tr w:rsidR="00BF3271" w14:paraId="5264DFDB" w14:textId="77777777" w:rsidTr="0085651F">
        <w:tc>
          <w:tcPr>
            <w:tcW w:w="0" w:type="auto"/>
            <w:gridSpan w:val="2"/>
            <w:shd w:val="clear" w:color="auto" w:fill="auto"/>
          </w:tcPr>
          <w:p w14:paraId="640E733D" w14:textId="77777777" w:rsidR="00221C59" w:rsidRPr="00277750" w:rsidRDefault="00221C59" w:rsidP="00221C59">
            <w:pPr>
              <w:ind w:left="-20"/>
              <w:jc w:val="both"/>
              <w:rPr>
                <w:szCs w:val="20"/>
              </w:rPr>
            </w:pPr>
            <w:r w:rsidRPr="004450F2">
              <w:rPr>
                <w:szCs w:val="20"/>
              </w:rPr>
              <w:lastRenderedPageBreak/>
              <w:t xml:space="preserve">3.9.2: Mortality rate attributed to unsafe water, unsafe sanitation and lack of </w:t>
            </w:r>
            <w:r w:rsidRPr="004450F2">
              <w:rPr>
                <w:szCs w:val="20"/>
              </w:rPr>
              <w:lastRenderedPageBreak/>
              <w:t>hygiene (exposure to unsafe Water, Sanitation and Hygiene for All (WASH) services</w:t>
            </w:r>
          </w:p>
        </w:tc>
        <w:tc>
          <w:tcPr>
            <w:tcW w:w="0" w:type="auto"/>
            <w:shd w:val="clear" w:color="auto" w:fill="auto"/>
          </w:tcPr>
          <w:p w14:paraId="1967D749" w14:textId="77777777" w:rsidR="00221C59" w:rsidRDefault="00221C59" w:rsidP="00221C59">
            <w:pPr>
              <w:jc w:val="center"/>
              <w:rPr>
                <w:szCs w:val="20"/>
              </w:rPr>
            </w:pPr>
            <w:r>
              <w:rPr>
                <w:szCs w:val="20"/>
              </w:rPr>
              <w:lastRenderedPageBreak/>
              <w:t>WHO</w:t>
            </w:r>
          </w:p>
          <w:p w14:paraId="3FBAC31E" w14:textId="77777777" w:rsidR="00221C59" w:rsidRDefault="00221C59" w:rsidP="00221C59">
            <w:pPr>
              <w:jc w:val="center"/>
              <w:rPr>
                <w:szCs w:val="20"/>
              </w:rPr>
            </w:pPr>
          </w:p>
          <w:p w14:paraId="7ADC2731" w14:textId="77777777" w:rsidR="00221C59" w:rsidRDefault="00221C59" w:rsidP="00221C59">
            <w:pPr>
              <w:jc w:val="center"/>
              <w:rPr>
                <w:szCs w:val="20"/>
              </w:rPr>
            </w:pPr>
            <w:r>
              <w:rPr>
                <w:szCs w:val="20"/>
              </w:rPr>
              <w:t>Partner Agenc</w:t>
            </w:r>
            <w:r>
              <w:rPr>
                <w:szCs w:val="20"/>
              </w:rPr>
              <w:lastRenderedPageBreak/>
              <w:t>y:</w:t>
            </w:r>
          </w:p>
          <w:p w14:paraId="6AD88613" w14:textId="77777777" w:rsidR="00221C59" w:rsidRDefault="00221C59" w:rsidP="00221C59">
            <w:pPr>
              <w:jc w:val="center"/>
              <w:rPr>
                <w:szCs w:val="20"/>
              </w:rPr>
            </w:pPr>
            <w:r>
              <w:rPr>
                <w:szCs w:val="20"/>
              </w:rPr>
              <w:t>UNEP</w:t>
            </w:r>
          </w:p>
        </w:tc>
        <w:tc>
          <w:tcPr>
            <w:tcW w:w="0" w:type="auto"/>
            <w:shd w:val="clear" w:color="auto" w:fill="auto"/>
          </w:tcPr>
          <w:p w14:paraId="0F9C69BC" w14:textId="77777777" w:rsidR="00221C59" w:rsidRDefault="00221C59" w:rsidP="00221C59">
            <w:pPr>
              <w:jc w:val="center"/>
              <w:rPr>
                <w:szCs w:val="20"/>
              </w:rPr>
            </w:pPr>
            <w:r>
              <w:rPr>
                <w:szCs w:val="20"/>
              </w:rPr>
              <w:lastRenderedPageBreak/>
              <w:t>Tier I</w:t>
            </w:r>
          </w:p>
        </w:tc>
        <w:tc>
          <w:tcPr>
            <w:tcW w:w="0" w:type="auto"/>
            <w:shd w:val="clear" w:color="auto" w:fill="auto"/>
          </w:tcPr>
          <w:p w14:paraId="7E911B3F" w14:textId="77777777" w:rsidR="00221C59" w:rsidRPr="009741AA" w:rsidRDefault="00221C59" w:rsidP="00221C59">
            <w:pPr>
              <w:jc w:val="both"/>
              <w:rPr>
                <w:b/>
                <w:bCs/>
                <w:color w:val="000000" w:themeColor="text1"/>
                <w:szCs w:val="20"/>
              </w:rPr>
            </w:pPr>
            <w:r w:rsidRPr="009741AA">
              <w:rPr>
                <w:b/>
                <w:bCs/>
                <w:color w:val="000000" w:themeColor="text1"/>
                <w:szCs w:val="20"/>
              </w:rPr>
              <w:t>Definition:</w:t>
            </w:r>
          </w:p>
          <w:p w14:paraId="1FCF4ACE" w14:textId="77777777" w:rsidR="00221C59" w:rsidRDefault="00221C59" w:rsidP="00221C59">
            <w:pPr>
              <w:jc w:val="both"/>
              <w:rPr>
                <w:color w:val="000000" w:themeColor="text1"/>
                <w:szCs w:val="20"/>
              </w:rPr>
            </w:pPr>
            <w:r w:rsidRPr="009741AA">
              <w:rPr>
                <w:color w:val="000000" w:themeColor="text1"/>
                <w:szCs w:val="20"/>
              </w:rPr>
              <w:t>The mortality rate attributed to unsafe water, unsafe sanitation and lack of hygiene (exposure to unsafe</w:t>
            </w:r>
            <w:r>
              <w:rPr>
                <w:color w:val="000000" w:themeColor="text1"/>
                <w:szCs w:val="20"/>
              </w:rPr>
              <w:t xml:space="preserve"> </w:t>
            </w:r>
            <w:r w:rsidRPr="009741AA">
              <w:rPr>
                <w:color w:val="000000" w:themeColor="text1"/>
                <w:szCs w:val="20"/>
              </w:rPr>
              <w:t>Water, Sanitation and Hygiene for All (WASH) services) as defined as the number of deaths from unsafe</w:t>
            </w:r>
            <w:r>
              <w:rPr>
                <w:color w:val="000000" w:themeColor="text1"/>
                <w:szCs w:val="20"/>
              </w:rPr>
              <w:t xml:space="preserve"> </w:t>
            </w:r>
            <w:r w:rsidRPr="009741AA">
              <w:rPr>
                <w:color w:val="000000" w:themeColor="text1"/>
                <w:szCs w:val="20"/>
              </w:rPr>
              <w:t>water, unsafe sanitation and lack of hygiene (exposure to unsafe WASH services) in a year, divided by the</w:t>
            </w:r>
            <w:r>
              <w:rPr>
                <w:color w:val="000000" w:themeColor="text1"/>
                <w:szCs w:val="20"/>
              </w:rPr>
              <w:t xml:space="preserve"> </w:t>
            </w:r>
            <w:r w:rsidRPr="009741AA">
              <w:rPr>
                <w:color w:val="000000" w:themeColor="text1"/>
                <w:szCs w:val="20"/>
              </w:rPr>
              <w:t xml:space="preserve">population, and </w:t>
            </w:r>
            <w:r w:rsidRPr="009741AA">
              <w:rPr>
                <w:color w:val="000000" w:themeColor="text1"/>
                <w:szCs w:val="20"/>
              </w:rPr>
              <w:lastRenderedPageBreak/>
              <w:t>multiplied by 100,000.</w:t>
            </w:r>
          </w:p>
          <w:p w14:paraId="6E7591AE" w14:textId="77777777" w:rsidR="00221C59" w:rsidRDefault="00221C59" w:rsidP="00221C59">
            <w:pPr>
              <w:jc w:val="both"/>
              <w:rPr>
                <w:b/>
                <w:bCs/>
                <w:color w:val="000000" w:themeColor="text1"/>
                <w:szCs w:val="20"/>
              </w:rPr>
            </w:pPr>
          </w:p>
          <w:p w14:paraId="2F62C00A" w14:textId="77777777" w:rsidR="00221C59" w:rsidRPr="009741AA" w:rsidRDefault="00221C59" w:rsidP="00221C59">
            <w:pPr>
              <w:jc w:val="both"/>
              <w:rPr>
                <w:b/>
                <w:bCs/>
                <w:color w:val="000000" w:themeColor="text1"/>
                <w:szCs w:val="20"/>
              </w:rPr>
            </w:pPr>
            <w:r w:rsidRPr="009741AA">
              <w:rPr>
                <w:b/>
                <w:bCs/>
                <w:color w:val="000000" w:themeColor="text1"/>
                <w:szCs w:val="20"/>
              </w:rPr>
              <w:t>Concepts:</w:t>
            </w:r>
          </w:p>
          <w:p w14:paraId="7A6E14F9" w14:textId="77777777" w:rsidR="00221C59" w:rsidRDefault="00221C59" w:rsidP="00221C59">
            <w:pPr>
              <w:jc w:val="both"/>
              <w:rPr>
                <w:color w:val="000000" w:themeColor="text1"/>
                <w:szCs w:val="20"/>
              </w:rPr>
            </w:pPr>
            <w:r w:rsidRPr="009741AA">
              <w:rPr>
                <w:color w:val="000000" w:themeColor="text1"/>
                <w:szCs w:val="20"/>
              </w:rPr>
              <w:t>Deaths attributable to unsafe water, sanitation and hygiene focusing on inadequate WASH services,</w:t>
            </w:r>
            <w:r>
              <w:rPr>
                <w:color w:val="000000" w:themeColor="text1"/>
                <w:szCs w:val="20"/>
              </w:rPr>
              <w:t xml:space="preserve"> </w:t>
            </w:r>
            <w:r w:rsidRPr="009741AA">
              <w:rPr>
                <w:color w:val="000000" w:themeColor="text1"/>
                <w:szCs w:val="20"/>
              </w:rPr>
              <w:t>expressed per 100,000 population; The included diseases are the WASH attributable fractions of</w:t>
            </w:r>
            <w:r>
              <w:rPr>
                <w:color w:val="000000" w:themeColor="text1"/>
                <w:szCs w:val="20"/>
              </w:rPr>
              <w:t xml:space="preserve"> </w:t>
            </w:r>
            <w:r w:rsidRPr="009741AA">
              <w:rPr>
                <w:color w:val="000000" w:themeColor="text1"/>
                <w:szCs w:val="20"/>
              </w:rPr>
              <w:t>diarrhoea (ICD-10 code A00, A01, A03, A04, A06-A09), intestinal nematode infections (ICD-10 code B76-</w:t>
            </w:r>
            <w:r>
              <w:rPr>
                <w:color w:val="000000" w:themeColor="text1"/>
                <w:szCs w:val="20"/>
              </w:rPr>
              <w:t xml:space="preserve"> </w:t>
            </w:r>
            <w:r w:rsidRPr="009741AA">
              <w:rPr>
                <w:color w:val="000000" w:themeColor="text1"/>
                <w:szCs w:val="20"/>
              </w:rPr>
              <w:t>B77, B79) and protein-energy malnutrition (ICD-10 code E40-E46).</w:t>
            </w:r>
          </w:p>
          <w:p w14:paraId="6C279063" w14:textId="77777777" w:rsidR="00221C59" w:rsidRPr="009741AA" w:rsidRDefault="00221C59" w:rsidP="00221C59">
            <w:pPr>
              <w:jc w:val="both"/>
              <w:rPr>
                <w:b/>
                <w:bCs/>
                <w:color w:val="000000" w:themeColor="text1"/>
                <w:szCs w:val="20"/>
              </w:rPr>
            </w:pPr>
            <w:r w:rsidRPr="009741AA">
              <w:rPr>
                <w:b/>
                <w:bCs/>
                <w:color w:val="000000" w:themeColor="text1"/>
                <w:szCs w:val="20"/>
              </w:rPr>
              <w:t>Computation Method:</w:t>
            </w:r>
          </w:p>
          <w:p w14:paraId="44DB1096" w14:textId="77777777" w:rsidR="00221C59" w:rsidRPr="009741AA" w:rsidRDefault="00221C59" w:rsidP="00221C59">
            <w:pPr>
              <w:jc w:val="both"/>
              <w:rPr>
                <w:color w:val="000000" w:themeColor="text1"/>
                <w:szCs w:val="20"/>
              </w:rPr>
            </w:pPr>
            <w:r w:rsidRPr="009741AA">
              <w:rPr>
                <w:color w:val="000000" w:themeColor="text1"/>
                <w:szCs w:val="20"/>
              </w:rPr>
              <w:t>The methods with agreed international standard have been developed, reviewed and published in</w:t>
            </w:r>
            <w:r>
              <w:rPr>
                <w:color w:val="000000" w:themeColor="text1"/>
                <w:szCs w:val="20"/>
              </w:rPr>
              <w:t xml:space="preserve"> </w:t>
            </w:r>
            <w:r w:rsidRPr="009741AA">
              <w:rPr>
                <w:color w:val="000000" w:themeColor="text1"/>
                <w:szCs w:val="20"/>
              </w:rPr>
              <w:t>various documents:</w:t>
            </w:r>
          </w:p>
          <w:p w14:paraId="2318369E" w14:textId="77777777" w:rsidR="00221C59" w:rsidRDefault="00221C59" w:rsidP="00221C59">
            <w:pPr>
              <w:jc w:val="both"/>
              <w:rPr>
                <w:color w:val="000000" w:themeColor="text1"/>
                <w:szCs w:val="20"/>
              </w:rPr>
            </w:pPr>
            <w:r w:rsidRPr="009741AA">
              <w:rPr>
                <w:color w:val="000000" w:themeColor="text1"/>
                <w:szCs w:val="20"/>
              </w:rPr>
              <w:t>http://www.who.int/water_sanitation_health/publications/gbd_poor_water/en/</w:t>
            </w:r>
          </w:p>
          <w:p w14:paraId="72F402FE" w14:textId="77777777" w:rsidR="00221C59" w:rsidRPr="00277750" w:rsidRDefault="00221C59" w:rsidP="00221C59">
            <w:pPr>
              <w:jc w:val="both"/>
              <w:rPr>
                <w:b/>
                <w:bCs/>
                <w:color w:val="000000" w:themeColor="text1"/>
                <w:szCs w:val="20"/>
              </w:rPr>
            </w:pPr>
            <w:r w:rsidRPr="009741AA">
              <w:rPr>
                <w:color w:val="000000" w:themeColor="text1"/>
                <w:szCs w:val="20"/>
              </w:rPr>
              <w:t>http://www.ncbi.nlm.nih.gov/pmc/articles/PMC4255749/</w:t>
            </w:r>
          </w:p>
        </w:tc>
        <w:tc>
          <w:tcPr>
            <w:tcW w:w="0" w:type="auto"/>
            <w:shd w:val="clear" w:color="auto" w:fill="auto"/>
          </w:tcPr>
          <w:p w14:paraId="1623C1F0" w14:textId="77777777" w:rsidR="00221C59" w:rsidRDefault="00221C59" w:rsidP="00221C59">
            <w:pPr>
              <w:jc w:val="center"/>
              <w:rPr>
                <w:bCs/>
                <w:szCs w:val="20"/>
              </w:rPr>
            </w:pPr>
            <w:r>
              <w:rPr>
                <w:bCs/>
                <w:szCs w:val="20"/>
              </w:rPr>
              <w:lastRenderedPageBreak/>
              <w:t xml:space="preserve">Civil Registration System; Household Survey with </w:t>
            </w:r>
            <w:r>
              <w:rPr>
                <w:bCs/>
                <w:szCs w:val="20"/>
              </w:rPr>
              <w:lastRenderedPageBreak/>
              <w:t>ICD-10 classifications</w:t>
            </w:r>
          </w:p>
        </w:tc>
        <w:tc>
          <w:tcPr>
            <w:tcW w:w="0" w:type="auto"/>
            <w:shd w:val="clear" w:color="auto" w:fill="auto"/>
          </w:tcPr>
          <w:p w14:paraId="74D3CACF" w14:textId="77777777" w:rsidR="00221C59" w:rsidRPr="009741AA" w:rsidRDefault="00221C59" w:rsidP="00221C59">
            <w:pPr>
              <w:jc w:val="center"/>
              <w:rPr>
                <w:bCs/>
                <w:szCs w:val="20"/>
              </w:rPr>
            </w:pPr>
            <w:r w:rsidRPr="009741AA">
              <w:rPr>
                <w:bCs/>
                <w:szCs w:val="20"/>
              </w:rPr>
              <w:lastRenderedPageBreak/>
              <w:t xml:space="preserve">National statistics offices, Various line ministries and </w:t>
            </w:r>
            <w:r w:rsidRPr="009741AA">
              <w:rPr>
                <w:bCs/>
                <w:szCs w:val="20"/>
              </w:rPr>
              <w:lastRenderedPageBreak/>
              <w:t>databases covering civil registration with complete</w:t>
            </w:r>
          </w:p>
          <w:p w14:paraId="7C1850FF" w14:textId="77777777" w:rsidR="00221C59" w:rsidRPr="00277750" w:rsidRDefault="00221C59" w:rsidP="00221C59">
            <w:pPr>
              <w:jc w:val="center"/>
              <w:rPr>
                <w:bCs/>
                <w:szCs w:val="20"/>
              </w:rPr>
            </w:pPr>
            <w:proofErr w:type="gramStart"/>
            <w:r w:rsidRPr="009741AA">
              <w:rPr>
                <w:bCs/>
                <w:szCs w:val="20"/>
              </w:rPr>
              <w:t>coverage</w:t>
            </w:r>
            <w:proofErr w:type="gramEnd"/>
            <w:r w:rsidRPr="009741AA">
              <w:rPr>
                <w:bCs/>
                <w:szCs w:val="20"/>
              </w:rPr>
              <w:t xml:space="preserve"> and medical certification of cause of death.</w:t>
            </w:r>
          </w:p>
        </w:tc>
        <w:tc>
          <w:tcPr>
            <w:tcW w:w="0" w:type="auto"/>
            <w:shd w:val="clear" w:color="auto" w:fill="auto"/>
          </w:tcPr>
          <w:p w14:paraId="4BE832C2" w14:textId="77777777" w:rsidR="00221C59" w:rsidRDefault="00221C59" w:rsidP="00221C59">
            <w:pPr>
              <w:jc w:val="center"/>
              <w:rPr>
                <w:color w:val="000000" w:themeColor="text1"/>
                <w:sz w:val="18"/>
                <w:szCs w:val="18"/>
              </w:rPr>
            </w:pPr>
            <w:r>
              <w:rPr>
                <w:color w:val="000000" w:themeColor="text1"/>
                <w:sz w:val="18"/>
                <w:szCs w:val="18"/>
              </w:rPr>
              <w:lastRenderedPageBreak/>
              <w:t>WHO</w:t>
            </w:r>
          </w:p>
        </w:tc>
        <w:tc>
          <w:tcPr>
            <w:tcW w:w="0" w:type="auto"/>
            <w:shd w:val="clear" w:color="auto" w:fill="auto"/>
          </w:tcPr>
          <w:p w14:paraId="3AA60959" w14:textId="10FE065A" w:rsidR="00221C59" w:rsidRDefault="00221C59" w:rsidP="00221C59">
            <w:pPr>
              <w:rPr>
                <w:bCs/>
                <w:szCs w:val="20"/>
              </w:rPr>
            </w:pPr>
          </w:p>
          <w:p w14:paraId="0EC17E8A" w14:textId="77777777" w:rsidR="00221C59" w:rsidRPr="00BC6F10" w:rsidRDefault="00221C59" w:rsidP="00221C59">
            <w:r w:rsidRPr="00BC6F10">
              <w:t xml:space="preserve">a) DGHS, </w:t>
            </w:r>
            <w:r>
              <w:t>HSD</w:t>
            </w:r>
          </w:p>
          <w:p w14:paraId="30203A7E" w14:textId="77777777" w:rsidR="00221C59" w:rsidRDefault="00221C59" w:rsidP="00221C59">
            <w:r w:rsidRPr="00BC6F10">
              <w:t>b) WHO</w:t>
            </w:r>
          </w:p>
          <w:p w14:paraId="5F70BCC1" w14:textId="77777777" w:rsidR="00221C59" w:rsidRDefault="00221C59" w:rsidP="00221C59">
            <w:pPr>
              <w:rPr>
                <w:color w:val="FF0000"/>
              </w:rPr>
            </w:pPr>
          </w:p>
          <w:p w14:paraId="03060ECF" w14:textId="77777777" w:rsidR="00221C59" w:rsidRDefault="00221C59" w:rsidP="00221C59">
            <w:r w:rsidRPr="006B1068">
              <w:t xml:space="preserve">c) BBS (SVRS/HMSS), </w:t>
            </w:r>
            <w:r w:rsidRPr="006B1068">
              <w:lastRenderedPageBreak/>
              <w:t>SID</w:t>
            </w:r>
          </w:p>
          <w:p w14:paraId="1A72D4BF" w14:textId="77777777" w:rsidR="00221C59" w:rsidRDefault="00221C59" w:rsidP="00221C59">
            <w:pPr>
              <w:rPr>
                <w:rFonts w:eastAsia="Times New Roman" w:cs="Times New Roman"/>
                <w:color w:val="000000" w:themeColor="text1"/>
                <w:szCs w:val="20"/>
              </w:rPr>
            </w:pPr>
          </w:p>
          <w:p w14:paraId="42586A0C" w14:textId="77777777" w:rsidR="00221C59" w:rsidRPr="004450F2" w:rsidRDefault="00221C59" w:rsidP="00221C59">
            <w:pPr>
              <w:rPr>
                <w:bCs/>
                <w:szCs w:val="20"/>
              </w:rPr>
            </w:pPr>
            <w:r>
              <w:rPr>
                <w:rFonts w:eastAsia="Times New Roman" w:cs="Times New Roman"/>
                <w:color w:val="000000" w:themeColor="text1"/>
                <w:szCs w:val="20"/>
              </w:rPr>
              <w:t>Survey/Administrative Data</w:t>
            </w:r>
          </w:p>
        </w:tc>
        <w:tc>
          <w:tcPr>
            <w:tcW w:w="0" w:type="auto"/>
            <w:shd w:val="clear" w:color="auto" w:fill="auto"/>
          </w:tcPr>
          <w:p w14:paraId="54E923DA" w14:textId="77777777" w:rsidR="00221C59" w:rsidRDefault="00221C59" w:rsidP="00221C59">
            <w:pPr>
              <w:pStyle w:val="ListParagraph"/>
              <w:numPr>
                <w:ilvl w:val="0"/>
                <w:numId w:val="2"/>
              </w:numPr>
              <w:ind w:left="100" w:hanging="100"/>
              <w:rPr>
                <w:rFonts w:ascii="Tw Cen MT Condensed" w:hAnsi="Tw Cen MT Condensed"/>
                <w:bCs/>
                <w:sz w:val="20"/>
                <w:szCs w:val="20"/>
              </w:rPr>
            </w:pPr>
            <w:r w:rsidRPr="009741AA">
              <w:rPr>
                <w:rFonts w:ascii="Tw Cen MT Condensed" w:hAnsi="Tw Cen MT Condensed"/>
                <w:bCs/>
                <w:sz w:val="20"/>
                <w:szCs w:val="20"/>
              </w:rPr>
              <w:lastRenderedPageBreak/>
              <w:t>Geographic location</w:t>
            </w:r>
            <w:r>
              <w:rPr>
                <w:rFonts w:ascii="Tw Cen MT Condensed" w:hAnsi="Tw Cen MT Condensed"/>
                <w:bCs/>
                <w:sz w:val="20"/>
                <w:szCs w:val="20"/>
              </w:rPr>
              <w:t xml:space="preserve"> (Rural/Urban)</w:t>
            </w:r>
          </w:p>
          <w:p w14:paraId="0F1145B4" w14:textId="59E86521" w:rsidR="00221C59" w:rsidRDefault="00221C59" w:rsidP="00221C59">
            <w:pPr>
              <w:pStyle w:val="ListParagraph"/>
              <w:numPr>
                <w:ilvl w:val="0"/>
                <w:numId w:val="2"/>
              </w:numPr>
              <w:ind w:left="100" w:hanging="100"/>
              <w:rPr>
                <w:rFonts w:ascii="Tw Cen MT Condensed" w:hAnsi="Tw Cen MT Condensed"/>
                <w:bCs/>
                <w:sz w:val="20"/>
                <w:szCs w:val="20"/>
              </w:rPr>
            </w:pPr>
            <w:r w:rsidRPr="009741AA">
              <w:rPr>
                <w:rFonts w:ascii="Tw Cen MT Condensed" w:hAnsi="Tw Cen MT Condensed"/>
                <w:bCs/>
                <w:sz w:val="20"/>
                <w:szCs w:val="20"/>
              </w:rPr>
              <w:t>Age group</w:t>
            </w:r>
            <w:r w:rsidR="00F644D6">
              <w:rPr>
                <w:rFonts w:ascii="Tw Cen MT Condensed" w:hAnsi="Tw Cen MT Condensed"/>
                <w:bCs/>
                <w:sz w:val="20"/>
                <w:szCs w:val="20"/>
              </w:rPr>
              <w:t>: 0-15, 15-24, 25 and above</w:t>
            </w:r>
          </w:p>
          <w:p w14:paraId="24ABC643" w14:textId="66976AC8" w:rsidR="00221C59" w:rsidRDefault="00221C59" w:rsidP="00221C59">
            <w:pPr>
              <w:pStyle w:val="ListParagraph"/>
              <w:numPr>
                <w:ilvl w:val="0"/>
                <w:numId w:val="2"/>
              </w:numPr>
              <w:ind w:left="100" w:hanging="100"/>
              <w:rPr>
                <w:rFonts w:ascii="Tw Cen MT Condensed" w:hAnsi="Tw Cen MT Condensed"/>
                <w:bCs/>
                <w:sz w:val="20"/>
                <w:szCs w:val="20"/>
              </w:rPr>
            </w:pPr>
            <w:r w:rsidRPr="009741AA">
              <w:rPr>
                <w:rFonts w:ascii="Tw Cen MT Condensed" w:hAnsi="Tw Cen MT Condensed"/>
                <w:bCs/>
                <w:sz w:val="20"/>
                <w:szCs w:val="20"/>
              </w:rPr>
              <w:lastRenderedPageBreak/>
              <w:t>Sex</w:t>
            </w:r>
            <w:r w:rsidR="00F644D6">
              <w:rPr>
                <w:rFonts w:ascii="Tw Cen MT Condensed" w:hAnsi="Tw Cen MT Condensed"/>
                <w:bCs/>
                <w:sz w:val="20"/>
                <w:szCs w:val="20"/>
              </w:rPr>
              <w:t>: male, female</w:t>
            </w:r>
          </w:p>
          <w:p w14:paraId="6CE1B0D5" w14:textId="77777777" w:rsidR="00221C59" w:rsidRDefault="00221C59" w:rsidP="00221C59">
            <w:pPr>
              <w:pStyle w:val="ListParagraph"/>
              <w:numPr>
                <w:ilvl w:val="0"/>
                <w:numId w:val="2"/>
              </w:numPr>
              <w:ind w:left="100" w:hanging="100"/>
              <w:rPr>
                <w:rFonts w:ascii="Tw Cen MT Condensed" w:hAnsi="Tw Cen MT Condensed"/>
                <w:bCs/>
                <w:sz w:val="20"/>
                <w:szCs w:val="20"/>
              </w:rPr>
            </w:pPr>
            <w:r w:rsidRPr="009741AA">
              <w:rPr>
                <w:rFonts w:ascii="Tw Cen MT Condensed" w:hAnsi="Tw Cen MT Condensed"/>
                <w:bCs/>
                <w:sz w:val="20"/>
                <w:szCs w:val="20"/>
              </w:rPr>
              <w:t>Income groups (wealth quintile),</w:t>
            </w:r>
          </w:p>
        </w:tc>
        <w:tc>
          <w:tcPr>
            <w:tcW w:w="0" w:type="auto"/>
            <w:shd w:val="clear" w:color="auto" w:fill="auto"/>
          </w:tcPr>
          <w:p w14:paraId="2949D9EF" w14:textId="77777777" w:rsidR="00221C59" w:rsidRDefault="00221C59" w:rsidP="00221C59">
            <w:pPr>
              <w:jc w:val="center"/>
              <w:rPr>
                <w:bCs/>
                <w:szCs w:val="20"/>
              </w:rPr>
            </w:pPr>
            <w:r>
              <w:rPr>
                <w:bCs/>
                <w:szCs w:val="20"/>
              </w:rPr>
              <w:lastRenderedPageBreak/>
              <w:t>Annual</w:t>
            </w:r>
          </w:p>
        </w:tc>
        <w:tc>
          <w:tcPr>
            <w:tcW w:w="0" w:type="auto"/>
            <w:shd w:val="clear" w:color="auto" w:fill="auto"/>
          </w:tcPr>
          <w:p w14:paraId="113A77B9" w14:textId="77777777" w:rsidR="00221C59" w:rsidRDefault="00221C59" w:rsidP="00221C59">
            <w:pPr>
              <w:pStyle w:val="NoSpacing"/>
            </w:pPr>
            <w:r>
              <w:t>1</w:t>
            </w:r>
            <w:r w:rsidRPr="00013ACB">
              <w:rPr>
                <w:vertAlign w:val="superscript"/>
              </w:rPr>
              <w:t>st</w:t>
            </w:r>
            <w:r>
              <w:t xml:space="preserve"> Round: </w:t>
            </w:r>
          </w:p>
          <w:p w14:paraId="0B0FBC24" w14:textId="77777777" w:rsidR="00221C59" w:rsidRDefault="00221C59" w:rsidP="00221C59">
            <w:pPr>
              <w:pStyle w:val="NoSpacing"/>
            </w:pPr>
            <w:r>
              <w:t>2016</w:t>
            </w:r>
          </w:p>
          <w:p w14:paraId="75B172F0" w14:textId="77777777" w:rsidR="00221C59" w:rsidRDefault="00221C59" w:rsidP="00221C59">
            <w:pPr>
              <w:pStyle w:val="NoSpacing"/>
            </w:pPr>
            <w:r>
              <w:t>2</w:t>
            </w:r>
            <w:r w:rsidRPr="00013ACB">
              <w:rPr>
                <w:vertAlign w:val="superscript"/>
              </w:rPr>
              <w:t>nd</w:t>
            </w:r>
            <w:r>
              <w:t xml:space="preserve"> Round: </w:t>
            </w:r>
          </w:p>
          <w:p w14:paraId="3393546E" w14:textId="77777777" w:rsidR="00221C59" w:rsidRDefault="00221C59" w:rsidP="00221C59">
            <w:pPr>
              <w:pStyle w:val="NoSpacing"/>
            </w:pPr>
            <w:r w:rsidRPr="00BC6F10">
              <w:rPr>
                <w:szCs w:val="20"/>
              </w:rPr>
              <w:lastRenderedPageBreak/>
              <w:t>January 2019</w:t>
            </w:r>
          </w:p>
          <w:p w14:paraId="361AC186" w14:textId="77777777" w:rsidR="00221C59" w:rsidRDefault="00221C59" w:rsidP="00221C59">
            <w:pPr>
              <w:pStyle w:val="NoSpacing"/>
            </w:pPr>
            <w:r>
              <w:t>3</w:t>
            </w:r>
            <w:r w:rsidRPr="00013ACB">
              <w:rPr>
                <w:vertAlign w:val="superscript"/>
              </w:rPr>
              <w:t>rd</w:t>
            </w:r>
            <w:r>
              <w:t xml:space="preserve"> Round: </w:t>
            </w:r>
          </w:p>
          <w:p w14:paraId="3B7F090C" w14:textId="77777777" w:rsidR="00221C59" w:rsidRDefault="00221C59" w:rsidP="00221C59">
            <w:pPr>
              <w:pStyle w:val="NoSpacing"/>
            </w:pPr>
            <w:r>
              <w:rPr>
                <w:szCs w:val="20"/>
              </w:rPr>
              <w:t>January 2020</w:t>
            </w:r>
          </w:p>
          <w:p w14:paraId="138AE342" w14:textId="77777777" w:rsidR="00221C59" w:rsidRDefault="00221C59" w:rsidP="00221C59">
            <w:pPr>
              <w:pStyle w:val="NoSpacing"/>
            </w:pPr>
            <w:r>
              <w:t>4</w:t>
            </w:r>
            <w:r w:rsidRPr="00013ACB">
              <w:rPr>
                <w:vertAlign w:val="superscript"/>
              </w:rPr>
              <w:t>th</w:t>
            </w:r>
            <w:r>
              <w:t xml:space="preserve"> Round: </w:t>
            </w:r>
          </w:p>
          <w:p w14:paraId="523D22E8" w14:textId="77777777" w:rsidR="00221C59" w:rsidRDefault="00221C59" w:rsidP="00221C59">
            <w:pPr>
              <w:pStyle w:val="NoSpacing"/>
            </w:pPr>
            <w:r>
              <w:rPr>
                <w:szCs w:val="20"/>
              </w:rPr>
              <w:t>January 2021</w:t>
            </w:r>
          </w:p>
          <w:p w14:paraId="0E710683" w14:textId="77777777" w:rsidR="00221C59" w:rsidRDefault="00221C59" w:rsidP="00221C59">
            <w:pPr>
              <w:pStyle w:val="NoSpacing"/>
            </w:pPr>
            <w:r>
              <w:t>5</w:t>
            </w:r>
            <w:r w:rsidRPr="00013ACB">
              <w:rPr>
                <w:vertAlign w:val="superscript"/>
              </w:rPr>
              <w:t>th</w:t>
            </w:r>
            <w:r>
              <w:t xml:space="preserve"> Round: </w:t>
            </w:r>
          </w:p>
          <w:p w14:paraId="2113761B" w14:textId="7C4677F1" w:rsidR="00221C59" w:rsidRPr="002175FB" w:rsidRDefault="00221C59" w:rsidP="00221C59">
            <w:pPr>
              <w:jc w:val="center"/>
              <w:rPr>
                <w:bCs/>
                <w:szCs w:val="20"/>
              </w:rPr>
            </w:pPr>
            <w:r>
              <w:rPr>
                <w:szCs w:val="20"/>
              </w:rPr>
              <w:t>January 2022</w:t>
            </w:r>
          </w:p>
        </w:tc>
        <w:tc>
          <w:tcPr>
            <w:tcW w:w="682" w:type="dxa"/>
            <w:shd w:val="clear" w:color="auto" w:fill="auto"/>
          </w:tcPr>
          <w:p w14:paraId="02A6AB3A"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lastRenderedPageBreak/>
              <w:t>Group 2</w:t>
            </w:r>
          </w:p>
        </w:tc>
        <w:tc>
          <w:tcPr>
            <w:tcW w:w="983" w:type="dxa"/>
            <w:shd w:val="clear" w:color="auto" w:fill="auto"/>
          </w:tcPr>
          <w:p w14:paraId="4F037323" w14:textId="77777777" w:rsidR="00221C59" w:rsidRPr="008F5625"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 xml:space="preserve">SVRS, BBS need to consult with </w:t>
            </w:r>
            <w:proofErr w:type="gramStart"/>
            <w:r>
              <w:rPr>
                <w:rFonts w:ascii="Tw Cen MT Condensed" w:hAnsi="Tw Cen MT Condensed"/>
                <w:bCs/>
                <w:sz w:val="20"/>
                <w:szCs w:val="20"/>
              </w:rPr>
              <w:t>WHO</w:t>
            </w:r>
            <w:proofErr w:type="gramEnd"/>
            <w:r>
              <w:rPr>
                <w:rFonts w:ascii="Tw Cen MT Condensed" w:hAnsi="Tw Cen MT Condensed"/>
                <w:bCs/>
                <w:sz w:val="20"/>
                <w:szCs w:val="20"/>
              </w:rPr>
              <w:t xml:space="preserve"> to </w:t>
            </w:r>
            <w:r>
              <w:rPr>
                <w:rFonts w:ascii="Tw Cen MT Condensed" w:hAnsi="Tw Cen MT Condensed"/>
                <w:bCs/>
                <w:sz w:val="20"/>
                <w:szCs w:val="20"/>
              </w:rPr>
              <w:lastRenderedPageBreak/>
              <w:t>address ICD-10 codes for the particular indictor.</w:t>
            </w:r>
          </w:p>
        </w:tc>
      </w:tr>
      <w:tr w:rsidR="00BF3271" w14:paraId="6EA522A6" w14:textId="77777777" w:rsidTr="0085651F">
        <w:tc>
          <w:tcPr>
            <w:tcW w:w="0" w:type="auto"/>
            <w:gridSpan w:val="2"/>
            <w:shd w:val="clear" w:color="auto" w:fill="auto"/>
          </w:tcPr>
          <w:p w14:paraId="02ECB2BF" w14:textId="77777777" w:rsidR="00221C59" w:rsidRPr="004450F2" w:rsidRDefault="00221C59" w:rsidP="00221C59">
            <w:pPr>
              <w:ind w:left="-20"/>
              <w:jc w:val="both"/>
              <w:rPr>
                <w:szCs w:val="20"/>
              </w:rPr>
            </w:pPr>
            <w:r w:rsidRPr="00606526">
              <w:rPr>
                <w:szCs w:val="20"/>
              </w:rPr>
              <w:lastRenderedPageBreak/>
              <w:t>3.9.3 Mortality rate attributed to unintentional poisoning</w:t>
            </w:r>
          </w:p>
        </w:tc>
        <w:tc>
          <w:tcPr>
            <w:tcW w:w="0" w:type="auto"/>
            <w:shd w:val="clear" w:color="auto" w:fill="auto"/>
          </w:tcPr>
          <w:p w14:paraId="4D92093A" w14:textId="77777777" w:rsidR="00221C59" w:rsidRDefault="00221C59" w:rsidP="00221C59">
            <w:pPr>
              <w:jc w:val="center"/>
              <w:rPr>
                <w:szCs w:val="20"/>
              </w:rPr>
            </w:pPr>
            <w:r>
              <w:rPr>
                <w:szCs w:val="20"/>
              </w:rPr>
              <w:t>WHO</w:t>
            </w:r>
          </w:p>
          <w:p w14:paraId="7678C69E" w14:textId="77777777" w:rsidR="00221C59" w:rsidRDefault="00221C59" w:rsidP="00221C59">
            <w:pPr>
              <w:jc w:val="center"/>
              <w:rPr>
                <w:szCs w:val="20"/>
              </w:rPr>
            </w:pPr>
          </w:p>
          <w:p w14:paraId="1268965C" w14:textId="77777777" w:rsidR="00221C59" w:rsidRDefault="00221C59" w:rsidP="00221C59">
            <w:pPr>
              <w:jc w:val="center"/>
              <w:rPr>
                <w:szCs w:val="20"/>
              </w:rPr>
            </w:pPr>
            <w:r>
              <w:rPr>
                <w:szCs w:val="20"/>
              </w:rPr>
              <w:t>Partner Agency:</w:t>
            </w:r>
          </w:p>
          <w:p w14:paraId="515CFDBF" w14:textId="77777777" w:rsidR="00221C59" w:rsidRDefault="00221C59" w:rsidP="00221C59">
            <w:pPr>
              <w:jc w:val="center"/>
              <w:rPr>
                <w:szCs w:val="20"/>
              </w:rPr>
            </w:pPr>
            <w:r>
              <w:rPr>
                <w:szCs w:val="20"/>
              </w:rPr>
              <w:t>UNEP</w:t>
            </w:r>
          </w:p>
        </w:tc>
        <w:tc>
          <w:tcPr>
            <w:tcW w:w="0" w:type="auto"/>
            <w:shd w:val="clear" w:color="auto" w:fill="auto"/>
          </w:tcPr>
          <w:p w14:paraId="777F564F" w14:textId="77777777" w:rsidR="00221C59" w:rsidRDefault="00221C59" w:rsidP="00221C59">
            <w:pPr>
              <w:jc w:val="center"/>
              <w:rPr>
                <w:szCs w:val="20"/>
              </w:rPr>
            </w:pPr>
            <w:r>
              <w:rPr>
                <w:szCs w:val="20"/>
              </w:rPr>
              <w:t>Tier I</w:t>
            </w:r>
          </w:p>
        </w:tc>
        <w:tc>
          <w:tcPr>
            <w:tcW w:w="0" w:type="auto"/>
            <w:shd w:val="clear" w:color="auto" w:fill="auto"/>
          </w:tcPr>
          <w:p w14:paraId="6B1F114D" w14:textId="77777777" w:rsidR="00221C59" w:rsidRPr="00606526" w:rsidRDefault="00221C59" w:rsidP="00221C59">
            <w:pPr>
              <w:jc w:val="both"/>
              <w:rPr>
                <w:b/>
                <w:bCs/>
                <w:color w:val="000000" w:themeColor="text1"/>
                <w:szCs w:val="20"/>
              </w:rPr>
            </w:pPr>
            <w:r w:rsidRPr="00606526">
              <w:rPr>
                <w:b/>
                <w:bCs/>
                <w:color w:val="000000" w:themeColor="text1"/>
                <w:szCs w:val="20"/>
              </w:rPr>
              <w:t>Definition:</w:t>
            </w:r>
          </w:p>
          <w:p w14:paraId="21E7B9E0" w14:textId="77777777" w:rsidR="00221C59" w:rsidRDefault="00221C59" w:rsidP="00221C59">
            <w:pPr>
              <w:jc w:val="both"/>
              <w:rPr>
                <w:color w:val="000000" w:themeColor="text1"/>
                <w:szCs w:val="20"/>
              </w:rPr>
            </w:pPr>
            <w:r w:rsidRPr="00606526">
              <w:rPr>
                <w:color w:val="000000" w:themeColor="text1"/>
                <w:szCs w:val="20"/>
              </w:rPr>
              <w:t>The mortality rate attributed to unintentional poisoning as defined as the number of deaths of</w:t>
            </w:r>
            <w:r>
              <w:rPr>
                <w:color w:val="000000" w:themeColor="text1"/>
                <w:szCs w:val="20"/>
              </w:rPr>
              <w:t xml:space="preserve"> </w:t>
            </w:r>
            <w:r w:rsidRPr="00606526">
              <w:rPr>
                <w:color w:val="000000" w:themeColor="text1"/>
                <w:szCs w:val="20"/>
              </w:rPr>
              <w:t>unintentional poisonings in a year, divided by the population, and multiplied by 100 000.</w:t>
            </w:r>
          </w:p>
          <w:p w14:paraId="51D28670" w14:textId="77777777" w:rsidR="00221C59" w:rsidRDefault="00221C59" w:rsidP="00221C59">
            <w:pPr>
              <w:jc w:val="both"/>
              <w:rPr>
                <w:b/>
                <w:bCs/>
                <w:color w:val="000000" w:themeColor="text1"/>
                <w:szCs w:val="20"/>
              </w:rPr>
            </w:pPr>
          </w:p>
          <w:p w14:paraId="147C5C25" w14:textId="77777777" w:rsidR="00221C59" w:rsidRPr="00606526" w:rsidRDefault="00221C59" w:rsidP="00221C59">
            <w:pPr>
              <w:jc w:val="both"/>
              <w:rPr>
                <w:b/>
                <w:bCs/>
                <w:color w:val="000000" w:themeColor="text1"/>
                <w:szCs w:val="20"/>
              </w:rPr>
            </w:pPr>
            <w:r w:rsidRPr="00606526">
              <w:rPr>
                <w:b/>
                <w:bCs/>
                <w:color w:val="000000" w:themeColor="text1"/>
                <w:szCs w:val="20"/>
              </w:rPr>
              <w:t>Concepts:</w:t>
            </w:r>
          </w:p>
          <w:p w14:paraId="01E7A8AC" w14:textId="77777777" w:rsidR="00221C59" w:rsidRDefault="00221C59" w:rsidP="00221C59">
            <w:pPr>
              <w:jc w:val="both"/>
              <w:rPr>
                <w:color w:val="000000" w:themeColor="text1"/>
                <w:szCs w:val="20"/>
              </w:rPr>
            </w:pPr>
            <w:r w:rsidRPr="00606526">
              <w:rPr>
                <w:color w:val="000000" w:themeColor="text1"/>
                <w:szCs w:val="20"/>
              </w:rPr>
              <w:t>Mortality rate in the country from unintentional poisonings per year. The ICD-10 codes corresponding to</w:t>
            </w:r>
            <w:r>
              <w:rPr>
                <w:color w:val="000000" w:themeColor="text1"/>
                <w:szCs w:val="20"/>
              </w:rPr>
              <w:t xml:space="preserve"> </w:t>
            </w:r>
            <w:r w:rsidRPr="00606526">
              <w:rPr>
                <w:color w:val="000000" w:themeColor="text1"/>
                <w:szCs w:val="20"/>
              </w:rPr>
              <w:t>the indicator includes X40, X43-X44, X46-X49</w:t>
            </w:r>
          </w:p>
          <w:p w14:paraId="2F3E8EED" w14:textId="77777777" w:rsidR="00221C59" w:rsidRDefault="00221C59" w:rsidP="00221C59">
            <w:pPr>
              <w:jc w:val="both"/>
              <w:rPr>
                <w:b/>
                <w:bCs/>
                <w:color w:val="000000" w:themeColor="text1"/>
                <w:szCs w:val="20"/>
              </w:rPr>
            </w:pPr>
          </w:p>
          <w:p w14:paraId="0DFDD5AC" w14:textId="77777777" w:rsidR="00221C59" w:rsidRDefault="00221C59" w:rsidP="00221C59">
            <w:pPr>
              <w:jc w:val="both"/>
              <w:rPr>
                <w:b/>
                <w:bCs/>
                <w:color w:val="000000" w:themeColor="text1"/>
                <w:szCs w:val="20"/>
              </w:rPr>
            </w:pPr>
            <w:r w:rsidRPr="00606526">
              <w:rPr>
                <w:b/>
                <w:bCs/>
                <w:color w:val="000000" w:themeColor="text1"/>
                <w:szCs w:val="20"/>
              </w:rPr>
              <w:t>Computation Method:</w:t>
            </w:r>
          </w:p>
          <w:p w14:paraId="5DFADB1C" w14:textId="77777777" w:rsidR="00221C59" w:rsidRPr="000C4849" w:rsidRDefault="00221C59" w:rsidP="00221C59">
            <w:pPr>
              <w:jc w:val="both"/>
              <w:rPr>
                <w:bCs/>
                <w:color w:val="000000" w:themeColor="text1"/>
                <w:szCs w:val="20"/>
              </w:rPr>
            </w:pPr>
            <w:r w:rsidRPr="000C4849">
              <w:rPr>
                <w:bCs/>
                <w:color w:val="000000" w:themeColor="text1"/>
                <w:szCs w:val="20"/>
              </w:rPr>
              <w:t>The methods with agreed international standards have been developed, reviewed and published in various documents.</w:t>
            </w:r>
          </w:p>
          <w:p w14:paraId="7BB4A0C7" w14:textId="77777777" w:rsidR="00221C59" w:rsidRPr="000C4849" w:rsidRDefault="00221C59" w:rsidP="00221C59">
            <w:pPr>
              <w:jc w:val="both"/>
              <w:rPr>
                <w:bCs/>
                <w:color w:val="000000" w:themeColor="text1"/>
                <w:szCs w:val="20"/>
              </w:rPr>
            </w:pPr>
          </w:p>
          <w:p w14:paraId="5B88E9CD" w14:textId="77777777" w:rsidR="00221C59" w:rsidRPr="000C4849" w:rsidRDefault="00221C59" w:rsidP="00221C59">
            <w:pPr>
              <w:jc w:val="both"/>
              <w:rPr>
                <w:bCs/>
                <w:color w:val="000000" w:themeColor="text1"/>
                <w:szCs w:val="20"/>
              </w:rPr>
            </w:pPr>
            <w:r w:rsidRPr="000C4849">
              <w:rPr>
                <w:bCs/>
                <w:color w:val="000000" w:themeColor="text1"/>
                <w:szCs w:val="20"/>
              </w:rPr>
              <w:t>The methods used for the analysis of causes of death depend on the type of data available from countries.</w:t>
            </w:r>
          </w:p>
          <w:p w14:paraId="2E7E52E3" w14:textId="77777777" w:rsidR="00221C59" w:rsidRPr="000C4849" w:rsidRDefault="00221C59" w:rsidP="00221C59">
            <w:pPr>
              <w:jc w:val="both"/>
              <w:rPr>
                <w:bCs/>
                <w:color w:val="000000" w:themeColor="text1"/>
                <w:szCs w:val="20"/>
              </w:rPr>
            </w:pPr>
            <w:r w:rsidRPr="000C4849">
              <w:rPr>
                <w:bCs/>
                <w:color w:val="000000" w:themeColor="text1"/>
                <w:szCs w:val="20"/>
              </w:rPr>
              <w:t>For countries with a high-quality vital registration system including information on cause of death, the vital registration that member states submit to the WHO Mortality Database were used, with adjustments where necessary, e.g. for under-reporting of deaths.</w:t>
            </w:r>
          </w:p>
          <w:p w14:paraId="3F3E9A25" w14:textId="77777777" w:rsidR="00221C59" w:rsidRPr="000C4849" w:rsidRDefault="00221C59" w:rsidP="00221C59">
            <w:pPr>
              <w:jc w:val="both"/>
              <w:rPr>
                <w:bCs/>
                <w:color w:val="000000" w:themeColor="text1"/>
                <w:szCs w:val="20"/>
              </w:rPr>
            </w:pPr>
          </w:p>
          <w:p w14:paraId="5FAC4273" w14:textId="77777777" w:rsidR="00221C59" w:rsidRPr="000C4849" w:rsidRDefault="00221C59" w:rsidP="00221C59">
            <w:pPr>
              <w:jc w:val="both"/>
              <w:rPr>
                <w:bCs/>
                <w:color w:val="000000" w:themeColor="text1"/>
                <w:szCs w:val="20"/>
              </w:rPr>
            </w:pPr>
            <w:r w:rsidRPr="000C4849">
              <w:rPr>
                <w:bCs/>
                <w:color w:val="000000" w:themeColor="text1"/>
                <w:szCs w:val="20"/>
              </w:rPr>
              <w:t>For countries without high-quality death registration data, cause of death estimates are calculated using other data, including household surveys with verbal autopsy, sample or sentinel registration systems, special studies and surveillance systems. In most cases, these data sources are combined in a modelling framework.</w:t>
            </w:r>
          </w:p>
          <w:p w14:paraId="6E7E1AC7" w14:textId="77777777" w:rsidR="00221C59" w:rsidRPr="000C4849" w:rsidRDefault="00221C59" w:rsidP="00221C59">
            <w:pPr>
              <w:jc w:val="both"/>
              <w:rPr>
                <w:bCs/>
                <w:color w:val="000000" w:themeColor="text1"/>
                <w:szCs w:val="20"/>
              </w:rPr>
            </w:pPr>
          </w:p>
          <w:p w14:paraId="76D63ECC" w14:textId="77777777" w:rsidR="00221C59" w:rsidRPr="000C4849" w:rsidRDefault="00221C59" w:rsidP="00221C59">
            <w:pPr>
              <w:jc w:val="both"/>
              <w:rPr>
                <w:bCs/>
                <w:color w:val="000000" w:themeColor="text1"/>
                <w:szCs w:val="20"/>
              </w:rPr>
            </w:pPr>
            <w:r w:rsidRPr="000C4849">
              <w:rPr>
                <w:bCs/>
                <w:color w:val="000000" w:themeColor="text1"/>
                <w:szCs w:val="20"/>
              </w:rPr>
              <w:t>Complete methodology may be found here: http://www.who.int/healthinfo/global_burden_disease/GlobalCOD_method_2000_2012.pdf?ua=1</w:t>
            </w:r>
          </w:p>
          <w:p w14:paraId="143417B7" w14:textId="77777777" w:rsidR="00221C59" w:rsidRPr="00606526" w:rsidRDefault="00221C59" w:rsidP="00221C59">
            <w:pPr>
              <w:jc w:val="both"/>
              <w:rPr>
                <w:b/>
                <w:bCs/>
                <w:color w:val="000000" w:themeColor="text1"/>
                <w:szCs w:val="20"/>
              </w:rPr>
            </w:pPr>
          </w:p>
          <w:p w14:paraId="2D7E87D8" w14:textId="52A25E60" w:rsidR="00221C59" w:rsidRPr="009741AA" w:rsidRDefault="00221C59" w:rsidP="00221C59">
            <w:pPr>
              <w:jc w:val="both"/>
              <w:rPr>
                <w:b/>
                <w:bCs/>
                <w:color w:val="000000" w:themeColor="text1"/>
                <w:szCs w:val="20"/>
              </w:rPr>
            </w:pPr>
          </w:p>
        </w:tc>
        <w:tc>
          <w:tcPr>
            <w:tcW w:w="0" w:type="auto"/>
            <w:shd w:val="clear" w:color="auto" w:fill="auto"/>
          </w:tcPr>
          <w:p w14:paraId="6A2E446E" w14:textId="77777777" w:rsidR="00221C59" w:rsidRPr="00606526" w:rsidRDefault="00221C59" w:rsidP="00221C59">
            <w:pPr>
              <w:jc w:val="center"/>
              <w:rPr>
                <w:bCs/>
                <w:szCs w:val="20"/>
              </w:rPr>
            </w:pPr>
            <w:r>
              <w:rPr>
                <w:bCs/>
                <w:szCs w:val="20"/>
              </w:rPr>
              <w:lastRenderedPageBreak/>
              <w:t>Death Registration System; H</w:t>
            </w:r>
            <w:r w:rsidRPr="00606526">
              <w:rPr>
                <w:bCs/>
                <w:szCs w:val="20"/>
              </w:rPr>
              <w:t>ousehold surveys with verbal autopsy</w:t>
            </w:r>
            <w:r>
              <w:rPr>
                <w:bCs/>
                <w:szCs w:val="20"/>
              </w:rPr>
              <w:t>; S</w:t>
            </w:r>
            <w:r w:rsidRPr="00606526">
              <w:rPr>
                <w:bCs/>
                <w:szCs w:val="20"/>
              </w:rPr>
              <w:t>ample or sentinel registration systems</w:t>
            </w:r>
            <w:r>
              <w:rPr>
                <w:bCs/>
                <w:szCs w:val="20"/>
              </w:rPr>
              <w:t>;</w:t>
            </w:r>
          </w:p>
          <w:p w14:paraId="0C041D6F" w14:textId="77777777" w:rsidR="00221C59" w:rsidRDefault="00221C59" w:rsidP="00221C59">
            <w:pPr>
              <w:jc w:val="center"/>
              <w:rPr>
                <w:bCs/>
                <w:szCs w:val="20"/>
              </w:rPr>
            </w:pPr>
            <w:r>
              <w:rPr>
                <w:bCs/>
                <w:szCs w:val="20"/>
              </w:rPr>
              <w:t>S</w:t>
            </w:r>
            <w:r w:rsidRPr="00606526">
              <w:rPr>
                <w:bCs/>
                <w:szCs w:val="20"/>
              </w:rPr>
              <w:t xml:space="preserve">pecial studies and </w:t>
            </w:r>
            <w:r>
              <w:rPr>
                <w:bCs/>
                <w:szCs w:val="20"/>
              </w:rPr>
              <w:t>S</w:t>
            </w:r>
            <w:r w:rsidRPr="00606526">
              <w:rPr>
                <w:bCs/>
                <w:szCs w:val="20"/>
              </w:rPr>
              <w:t>urveillance systems</w:t>
            </w:r>
          </w:p>
        </w:tc>
        <w:tc>
          <w:tcPr>
            <w:tcW w:w="0" w:type="auto"/>
            <w:shd w:val="clear" w:color="auto" w:fill="auto"/>
          </w:tcPr>
          <w:p w14:paraId="14E9ED44" w14:textId="77777777" w:rsidR="00221C59" w:rsidRPr="009741AA" w:rsidRDefault="00221C59" w:rsidP="00221C59">
            <w:pPr>
              <w:jc w:val="center"/>
              <w:rPr>
                <w:bCs/>
                <w:szCs w:val="20"/>
              </w:rPr>
            </w:pPr>
            <w:r>
              <w:rPr>
                <w:bCs/>
                <w:szCs w:val="20"/>
              </w:rPr>
              <w:t>Ministry of Health and National Statistics Office</w:t>
            </w:r>
          </w:p>
        </w:tc>
        <w:tc>
          <w:tcPr>
            <w:tcW w:w="0" w:type="auto"/>
            <w:shd w:val="clear" w:color="auto" w:fill="auto"/>
          </w:tcPr>
          <w:p w14:paraId="6D3FF72F" w14:textId="77777777" w:rsidR="00221C59" w:rsidRDefault="00221C59" w:rsidP="00221C59">
            <w:pPr>
              <w:jc w:val="center"/>
              <w:rPr>
                <w:color w:val="000000" w:themeColor="text1"/>
                <w:sz w:val="18"/>
                <w:szCs w:val="18"/>
              </w:rPr>
            </w:pPr>
            <w:r>
              <w:rPr>
                <w:color w:val="000000" w:themeColor="text1"/>
                <w:sz w:val="18"/>
                <w:szCs w:val="18"/>
              </w:rPr>
              <w:t>WHO</w:t>
            </w:r>
          </w:p>
        </w:tc>
        <w:tc>
          <w:tcPr>
            <w:tcW w:w="0" w:type="auto"/>
            <w:shd w:val="clear" w:color="auto" w:fill="auto"/>
          </w:tcPr>
          <w:p w14:paraId="67790983" w14:textId="123C835C" w:rsidR="00221C59" w:rsidRDefault="00221C59" w:rsidP="00221C59">
            <w:pPr>
              <w:pStyle w:val="ListParagraph"/>
              <w:numPr>
                <w:ilvl w:val="0"/>
                <w:numId w:val="20"/>
              </w:numPr>
              <w:ind w:left="210" w:hanging="190"/>
              <w:rPr>
                <w:rFonts w:ascii="Tw Cen MT Condensed" w:hAnsi="Tw Cen MT Condensed"/>
                <w:bCs/>
                <w:sz w:val="20"/>
                <w:szCs w:val="20"/>
              </w:rPr>
            </w:pPr>
          </w:p>
          <w:p w14:paraId="296ED87C" w14:textId="77777777" w:rsidR="00221C59" w:rsidRPr="00BC6F10" w:rsidRDefault="00221C59" w:rsidP="00221C59">
            <w:pPr>
              <w:jc w:val="center"/>
            </w:pPr>
            <w:r w:rsidRPr="00BC6F10">
              <w:t xml:space="preserve">a) DGHS, </w:t>
            </w:r>
            <w:r>
              <w:t>HSD</w:t>
            </w:r>
          </w:p>
          <w:p w14:paraId="1C73C41F" w14:textId="77777777" w:rsidR="00221C59" w:rsidRDefault="00221C59" w:rsidP="000C4849">
            <w:pPr>
              <w:ind w:left="360"/>
            </w:pPr>
            <w:r w:rsidRPr="00D2179C">
              <w:t>b) WHO</w:t>
            </w:r>
          </w:p>
          <w:p w14:paraId="2037A025" w14:textId="77777777" w:rsidR="00221C59" w:rsidRPr="00D2179C" w:rsidRDefault="00221C59" w:rsidP="000C4849">
            <w:pPr>
              <w:ind w:left="360"/>
              <w:rPr>
                <w:bCs/>
                <w:szCs w:val="20"/>
              </w:rPr>
            </w:pPr>
            <w:r>
              <w:rPr>
                <w:rFonts w:eastAsia="Times New Roman" w:cs="Times New Roman"/>
                <w:color w:val="000000" w:themeColor="text1"/>
                <w:szCs w:val="20"/>
              </w:rPr>
              <w:t>Administrative Data</w:t>
            </w:r>
          </w:p>
        </w:tc>
        <w:tc>
          <w:tcPr>
            <w:tcW w:w="0" w:type="auto"/>
            <w:shd w:val="clear" w:color="auto" w:fill="auto"/>
          </w:tcPr>
          <w:p w14:paraId="11077ED7" w14:textId="625806B6" w:rsidR="00221C59" w:rsidRDefault="00221C59" w:rsidP="00221C59">
            <w:pPr>
              <w:pStyle w:val="ListParagraph"/>
              <w:numPr>
                <w:ilvl w:val="0"/>
                <w:numId w:val="2"/>
              </w:numPr>
              <w:ind w:left="190" w:hanging="190"/>
              <w:rPr>
                <w:rFonts w:ascii="Tw Cen MT Condensed" w:hAnsi="Tw Cen MT Condensed"/>
                <w:bCs/>
                <w:sz w:val="20"/>
                <w:szCs w:val="20"/>
              </w:rPr>
            </w:pPr>
            <w:r w:rsidRPr="00606526">
              <w:rPr>
                <w:rFonts w:ascii="Tw Cen MT Condensed" w:hAnsi="Tw Cen MT Condensed"/>
                <w:bCs/>
                <w:sz w:val="20"/>
                <w:szCs w:val="20"/>
              </w:rPr>
              <w:t>Age group</w:t>
            </w:r>
            <w:r w:rsidR="00560086">
              <w:rPr>
                <w:rFonts w:ascii="Tw Cen MT Condensed" w:hAnsi="Tw Cen MT Condensed"/>
                <w:bCs/>
                <w:sz w:val="20"/>
                <w:szCs w:val="20"/>
              </w:rPr>
              <w:t>: 0-15, 15-24, 25 and above</w:t>
            </w:r>
          </w:p>
          <w:p w14:paraId="6799B7F3" w14:textId="66065526" w:rsidR="00221C59" w:rsidRDefault="00221C59" w:rsidP="00221C59">
            <w:pPr>
              <w:pStyle w:val="ListParagraph"/>
              <w:numPr>
                <w:ilvl w:val="0"/>
                <w:numId w:val="2"/>
              </w:numPr>
              <w:ind w:left="190" w:hanging="190"/>
              <w:rPr>
                <w:rFonts w:ascii="Tw Cen MT Condensed" w:hAnsi="Tw Cen MT Condensed"/>
                <w:bCs/>
                <w:sz w:val="20"/>
                <w:szCs w:val="20"/>
              </w:rPr>
            </w:pPr>
            <w:r w:rsidRPr="00606526">
              <w:rPr>
                <w:rFonts w:ascii="Tw Cen MT Condensed" w:hAnsi="Tw Cen MT Condensed"/>
                <w:bCs/>
                <w:sz w:val="20"/>
                <w:szCs w:val="20"/>
              </w:rPr>
              <w:t>Sex</w:t>
            </w:r>
            <w:r w:rsidR="00560086">
              <w:rPr>
                <w:rFonts w:ascii="Tw Cen MT Condensed" w:hAnsi="Tw Cen MT Condensed"/>
                <w:bCs/>
                <w:sz w:val="20"/>
                <w:szCs w:val="20"/>
              </w:rPr>
              <w:t>: male,female</w:t>
            </w:r>
          </w:p>
          <w:p w14:paraId="0F32C7D0" w14:textId="3AC13CDA" w:rsidR="00221C59" w:rsidRPr="009741AA" w:rsidRDefault="00221C59" w:rsidP="00221C59">
            <w:pPr>
              <w:pStyle w:val="ListParagraph"/>
              <w:numPr>
                <w:ilvl w:val="0"/>
                <w:numId w:val="2"/>
              </w:numPr>
              <w:ind w:left="190" w:hanging="190"/>
              <w:rPr>
                <w:rFonts w:ascii="Tw Cen MT Condensed" w:hAnsi="Tw Cen MT Condensed"/>
                <w:bCs/>
                <w:sz w:val="20"/>
                <w:szCs w:val="20"/>
              </w:rPr>
            </w:pPr>
            <w:r w:rsidRPr="00606526">
              <w:rPr>
                <w:rFonts w:ascii="Tw Cen MT Condensed" w:hAnsi="Tw Cen MT Condensed"/>
                <w:bCs/>
                <w:sz w:val="20"/>
                <w:szCs w:val="20"/>
              </w:rPr>
              <w:t>Disease</w:t>
            </w:r>
            <w:r w:rsidR="00560086">
              <w:rPr>
                <w:rFonts w:ascii="Tw Cen MT Condensed" w:hAnsi="Tw Cen MT Condensed"/>
                <w:bCs/>
                <w:sz w:val="20"/>
                <w:szCs w:val="20"/>
              </w:rPr>
              <w:t xml:space="preserve"> (as occurred)</w:t>
            </w:r>
          </w:p>
        </w:tc>
        <w:tc>
          <w:tcPr>
            <w:tcW w:w="0" w:type="auto"/>
            <w:shd w:val="clear" w:color="auto" w:fill="auto"/>
          </w:tcPr>
          <w:p w14:paraId="2A282492" w14:textId="77777777" w:rsidR="00221C59" w:rsidRDefault="00221C59" w:rsidP="00221C59">
            <w:pPr>
              <w:jc w:val="center"/>
              <w:rPr>
                <w:bCs/>
                <w:szCs w:val="20"/>
              </w:rPr>
            </w:pPr>
            <w:r>
              <w:rPr>
                <w:bCs/>
                <w:szCs w:val="20"/>
              </w:rPr>
              <w:t>Annual</w:t>
            </w:r>
          </w:p>
        </w:tc>
        <w:tc>
          <w:tcPr>
            <w:tcW w:w="0" w:type="auto"/>
            <w:shd w:val="clear" w:color="auto" w:fill="auto"/>
          </w:tcPr>
          <w:p w14:paraId="610FBCBE" w14:textId="77777777" w:rsidR="00221C59" w:rsidRDefault="00221C59" w:rsidP="00221C59">
            <w:pPr>
              <w:pStyle w:val="NoSpacing"/>
            </w:pPr>
            <w:r>
              <w:t>1</w:t>
            </w:r>
            <w:r w:rsidRPr="00013ACB">
              <w:rPr>
                <w:vertAlign w:val="superscript"/>
              </w:rPr>
              <w:t>st</w:t>
            </w:r>
            <w:r>
              <w:t xml:space="preserve"> Round: </w:t>
            </w:r>
          </w:p>
          <w:p w14:paraId="33C8BEB5" w14:textId="77777777" w:rsidR="00221C59" w:rsidRDefault="00221C59" w:rsidP="00221C59">
            <w:pPr>
              <w:pStyle w:val="NoSpacing"/>
            </w:pPr>
            <w:r>
              <w:t>2016</w:t>
            </w:r>
          </w:p>
          <w:p w14:paraId="3748FEFF" w14:textId="77777777" w:rsidR="00221C59" w:rsidRDefault="00221C59" w:rsidP="00221C59">
            <w:pPr>
              <w:pStyle w:val="NoSpacing"/>
            </w:pPr>
            <w:r>
              <w:t>2</w:t>
            </w:r>
            <w:r w:rsidRPr="00013ACB">
              <w:rPr>
                <w:vertAlign w:val="superscript"/>
              </w:rPr>
              <w:t>nd</w:t>
            </w:r>
            <w:r>
              <w:t xml:space="preserve"> Round: </w:t>
            </w:r>
          </w:p>
          <w:p w14:paraId="066B3CEE" w14:textId="77777777" w:rsidR="00221C59" w:rsidRDefault="00221C59" w:rsidP="00221C59">
            <w:pPr>
              <w:pStyle w:val="NoSpacing"/>
            </w:pPr>
            <w:r w:rsidRPr="00BC6F10">
              <w:rPr>
                <w:szCs w:val="20"/>
              </w:rPr>
              <w:t>January 2019</w:t>
            </w:r>
          </w:p>
          <w:p w14:paraId="5B0D2417" w14:textId="77777777" w:rsidR="00221C59" w:rsidRDefault="00221C59" w:rsidP="00221C59">
            <w:pPr>
              <w:pStyle w:val="NoSpacing"/>
            </w:pPr>
            <w:r>
              <w:t>3</w:t>
            </w:r>
            <w:r w:rsidRPr="00013ACB">
              <w:rPr>
                <w:vertAlign w:val="superscript"/>
              </w:rPr>
              <w:t>rd</w:t>
            </w:r>
            <w:r>
              <w:t xml:space="preserve"> Round: </w:t>
            </w:r>
          </w:p>
          <w:p w14:paraId="222E77F3" w14:textId="77777777" w:rsidR="00221C59" w:rsidRDefault="00221C59" w:rsidP="00221C59">
            <w:pPr>
              <w:pStyle w:val="NoSpacing"/>
            </w:pPr>
            <w:r>
              <w:rPr>
                <w:szCs w:val="20"/>
              </w:rPr>
              <w:t>January 2020</w:t>
            </w:r>
          </w:p>
          <w:p w14:paraId="6BBC66D6" w14:textId="77777777" w:rsidR="00221C59" w:rsidRDefault="00221C59" w:rsidP="00221C59">
            <w:pPr>
              <w:pStyle w:val="NoSpacing"/>
            </w:pPr>
            <w:r>
              <w:t>4</w:t>
            </w:r>
            <w:r w:rsidRPr="00013ACB">
              <w:rPr>
                <w:vertAlign w:val="superscript"/>
              </w:rPr>
              <w:t>th</w:t>
            </w:r>
            <w:r>
              <w:t xml:space="preserve"> Round: </w:t>
            </w:r>
          </w:p>
          <w:p w14:paraId="35C21D79" w14:textId="77777777" w:rsidR="00221C59" w:rsidRDefault="00221C59" w:rsidP="00221C59">
            <w:pPr>
              <w:pStyle w:val="NoSpacing"/>
            </w:pPr>
            <w:r>
              <w:rPr>
                <w:szCs w:val="20"/>
              </w:rPr>
              <w:t>January 2021</w:t>
            </w:r>
          </w:p>
          <w:p w14:paraId="72F17D00" w14:textId="77777777" w:rsidR="00221C59" w:rsidRDefault="00221C59" w:rsidP="00221C59">
            <w:pPr>
              <w:pStyle w:val="NoSpacing"/>
            </w:pPr>
            <w:r>
              <w:t>5</w:t>
            </w:r>
            <w:r w:rsidRPr="00013ACB">
              <w:rPr>
                <w:vertAlign w:val="superscript"/>
              </w:rPr>
              <w:t>th</w:t>
            </w:r>
            <w:r>
              <w:t xml:space="preserve"> Round: </w:t>
            </w:r>
          </w:p>
          <w:p w14:paraId="3555653B" w14:textId="36882AC0" w:rsidR="00221C59" w:rsidRPr="002175FB" w:rsidRDefault="00221C59" w:rsidP="00221C59">
            <w:pPr>
              <w:jc w:val="center"/>
              <w:rPr>
                <w:bCs/>
                <w:szCs w:val="20"/>
              </w:rPr>
            </w:pPr>
            <w:r>
              <w:rPr>
                <w:szCs w:val="20"/>
              </w:rPr>
              <w:t>January 2022</w:t>
            </w:r>
          </w:p>
        </w:tc>
        <w:tc>
          <w:tcPr>
            <w:tcW w:w="682" w:type="dxa"/>
            <w:shd w:val="clear" w:color="auto" w:fill="auto"/>
          </w:tcPr>
          <w:p w14:paraId="28196892"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Group 3</w:t>
            </w:r>
          </w:p>
        </w:tc>
        <w:tc>
          <w:tcPr>
            <w:tcW w:w="983" w:type="dxa"/>
            <w:shd w:val="clear" w:color="auto" w:fill="auto"/>
          </w:tcPr>
          <w:p w14:paraId="71CD5E3C"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SVRS, BBS should incorporate ICT-10 codes corresponding to the indicator</w:t>
            </w:r>
          </w:p>
        </w:tc>
      </w:tr>
      <w:tr w:rsidR="00D46636" w14:paraId="627295B6" w14:textId="77777777" w:rsidTr="0085651F">
        <w:tc>
          <w:tcPr>
            <w:tcW w:w="0" w:type="auto"/>
            <w:gridSpan w:val="14"/>
            <w:shd w:val="clear" w:color="auto" w:fill="auto"/>
          </w:tcPr>
          <w:p w14:paraId="3C213ECA"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3.a: Strengthen the implementation of the World Health Organization Framework Convention on Tobacco Control in all countries, as appropriate</w:t>
            </w:r>
          </w:p>
        </w:tc>
      </w:tr>
      <w:tr w:rsidR="00BF3271" w14:paraId="55DBAA6D" w14:textId="77777777" w:rsidTr="0085651F">
        <w:tc>
          <w:tcPr>
            <w:tcW w:w="0" w:type="auto"/>
            <w:gridSpan w:val="2"/>
            <w:shd w:val="clear" w:color="auto" w:fill="auto"/>
          </w:tcPr>
          <w:p w14:paraId="60E64826" w14:textId="77777777" w:rsidR="00221C59" w:rsidRPr="00606526" w:rsidRDefault="00221C59" w:rsidP="00221C59">
            <w:pPr>
              <w:ind w:left="-20"/>
              <w:jc w:val="both"/>
              <w:rPr>
                <w:szCs w:val="20"/>
              </w:rPr>
            </w:pPr>
            <w:r w:rsidRPr="00F45505">
              <w:rPr>
                <w:szCs w:val="20"/>
              </w:rPr>
              <w:t>3.a.1 Age-standardized prevalence of current tobacco use among persons aged 15 years and older</w:t>
            </w:r>
          </w:p>
        </w:tc>
        <w:tc>
          <w:tcPr>
            <w:tcW w:w="0" w:type="auto"/>
            <w:shd w:val="clear" w:color="auto" w:fill="auto"/>
          </w:tcPr>
          <w:p w14:paraId="7D6ABC42" w14:textId="77777777" w:rsidR="00221C59" w:rsidRPr="00F45505" w:rsidRDefault="00221C59" w:rsidP="00221C59">
            <w:pPr>
              <w:jc w:val="center"/>
              <w:rPr>
                <w:szCs w:val="20"/>
              </w:rPr>
            </w:pPr>
            <w:r w:rsidRPr="00F45505">
              <w:rPr>
                <w:szCs w:val="20"/>
              </w:rPr>
              <w:t>WHO,</w:t>
            </w:r>
          </w:p>
          <w:p w14:paraId="02C523BF" w14:textId="77777777" w:rsidR="00221C59" w:rsidRDefault="00221C59" w:rsidP="00221C59">
            <w:pPr>
              <w:jc w:val="center"/>
              <w:rPr>
                <w:szCs w:val="20"/>
              </w:rPr>
            </w:pPr>
            <w:r w:rsidRPr="00F45505">
              <w:rPr>
                <w:szCs w:val="20"/>
              </w:rPr>
              <w:t>WHO-FCTC</w:t>
            </w:r>
          </w:p>
        </w:tc>
        <w:tc>
          <w:tcPr>
            <w:tcW w:w="0" w:type="auto"/>
            <w:shd w:val="clear" w:color="auto" w:fill="auto"/>
          </w:tcPr>
          <w:p w14:paraId="5FF8FBED" w14:textId="77777777" w:rsidR="00221C59" w:rsidRDefault="00221C59" w:rsidP="00221C59">
            <w:pPr>
              <w:jc w:val="center"/>
              <w:rPr>
                <w:szCs w:val="20"/>
              </w:rPr>
            </w:pPr>
            <w:r>
              <w:rPr>
                <w:szCs w:val="20"/>
              </w:rPr>
              <w:t>Tier I</w:t>
            </w:r>
          </w:p>
        </w:tc>
        <w:tc>
          <w:tcPr>
            <w:tcW w:w="0" w:type="auto"/>
            <w:shd w:val="clear" w:color="auto" w:fill="auto"/>
          </w:tcPr>
          <w:p w14:paraId="6DE58D03" w14:textId="77777777" w:rsidR="00221C59" w:rsidRPr="00F45505" w:rsidRDefault="00221C59" w:rsidP="00221C59">
            <w:pPr>
              <w:jc w:val="both"/>
              <w:rPr>
                <w:b/>
                <w:bCs/>
                <w:color w:val="000000" w:themeColor="text1"/>
                <w:szCs w:val="20"/>
              </w:rPr>
            </w:pPr>
            <w:r w:rsidRPr="00F45505">
              <w:rPr>
                <w:b/>
                <w:bCs/>
                <w:color w:val="000000" w:themeColor="text1"/>
                <w:szCs w:val="20"/>
              </w:rPr>
              <w:t>Definition:</w:t>
            </w:r>
          </w:p>
          <w:p w14:paraId="1A5F9BBC" w14:textId="77777777" w:rsidR="00221C59" w:rsidRDefault="00221C59" w:rsidP="00221C59">
            <w:pPr>
              <w:jc w:val="both"/>
              <w:rPr>
                <w:color w:val="000000" w:themeColor="text1"/>
                <w:szCs w:val="20"/>
              </w:rPr>
            </w:pPr>
            <w:r w:rsidRPr="00F45505">
              <w:rPr>
                <w:color w:val="000000" w:themeColor="text1"/>
                <w:szCs w:val="20"/>
              </w:rPr>
              <w:t>The indicator is defined as the percentage of the population aged 15 years and over who currently use</w:t>
            </w:r>
            <w:r>
              <w:rPr>
                <w:color w:val="000000" w:themeColor="text1"/>
                <w:szCs w:val="20"/>
              </w:rPr>
              <w:t xml:space="preserve"> </w:t>
            </w:r>
            <w:r w:rsidRPr="00F45505">
              <w:rPr>
                <w:color w:val="000000" w:themeColor="text1"/>
                <w:szCs w:val="20"/>
              </w:rPr>
              <w:t>any tobacco product (smoked and/or smokeless tobacco) on a daily or non-daily basis.</w:t>
            </w:r>
          </w:p>
          <w:p w14:paraId="60E647A6" w14:textId="77777777" w:rsidR="00221C59" w:rsidRDefault="00221C59" w:rsidP="00221C59">
            <w:pPr>
              <w:jc w:val="both"/>
              <w:rPr>
                <w:b/>
                <w:bCs/>
                <w:color w:val="000000" w:themeColor="text1"/>
                <w:szCs w:val="20"/>
              </w:rPr>
            </w:pPr>
          </w:p>
          <w:p w14:paraId="7D5788A9" w14:textId="77777777" w:rsidR="00221C59" w:rsidRPr="00F45505" w:rsidRDefault="00221C59" w:rsidP="00221C59">
            <w:pPr>
              <w:jc w:val="both"/>
              <w:rPr>
                <w:b/>
                <w:bCs/>
                <w:color w:val="000000" w:themeColor="text1"/>
                <w:szCs w:val="20"/>
              </w:rPr>
            </w:pPr>
            <w:r w:rsidRPr="00F45505">
              <w:rPr>
                <w:b/>
                <w:bCs/>
                <w:color w:val="000000" w:themeColor="text1"/>
                <w:szCs w:val="20"/>
              </w:rPr>
              <w:t>Concepts:</w:t>
            </w:r>
          </w:p>
          <w:p w14:paraId="2222C809" w14:textId="77777777" w:rsidR="00221C59" w:rsidRPr="00F45505" w:rsidRDefault="00221C59" w:rsidP="00221C59">
            <w:pPr>
              <w:jc w:val="both"/>
              <w:rPr>
                <w:color w:val="000000" w:themeColor="text1"/>
                <w:szCs w:val="20"/>
              </w:rPr>
            </w:pPr>
            <w:r w:rsidRPr="00F45505">
              <w:rPr>
                <w:color w:val="000000" w:themeColor="text1"/>
                <w:szCs w:val="20"/>
              </w:rPr>
              <w:t>Tobacco use means use of smoked and/or smokeless tobacco products. “Current use” means use within</w:t>
            </w:r>
            <w:r>
              <w:rPr>
                <w:color w:val="000000" w:themeColor="text1"/>
                <w:szCs w:val="20"/>
              </w:rPr>
              <w:t xml:space="preserve"> </w:t>
            </w:r>
            <w:r w:rsidRPr="00F45505">
              <w:rPr>
                <w:color w:val="000000" w:themeColor="text1"/>
                <w:szCs w:val="20"/>
              </w:rPr>
              <w:t>the previous 30 days at the time of the survey, whether daily or non-daily use.</w:t>
            </w:r>
          </w:p>
          <w:p w14:paraId="2B60D8DD" w14:textId="77777777" w:rsidR="00221C59" w:rsidRPr="00F45505" w:rsidRDefault="00221C59" w:rsidP="00221C59">
            <w:pPr>
              <w:jc w:val="both"/>
              <w:rPr>
                <w:color w:val="000000" w:themeColor="text1"/>
                <w:szCs w:val="20"/>
              </w:rPr>
            </w:pPr>
            <w:r w:rsidRPr="00F45505">
              <w:rPr>
                <w:color w:val="000000" w:themeColor="text1"/>
                <w:szCs w:val="20"/>
              </w:rPr>
              <w:t>Tobacco products means products entirely or partly made of the leaf tobacco as raw material intended</w:t>
            </w:r>
            <w:r>
              <w:rPr>
                <w:color w:val="000000" w:themeColor="text1"/>
                <w:szCs w:val="20"/>
              </w:rPr>
              <w:t xml:space="preserve"> </w:t>
            </w:r>
            <w:r w:rsidRPr="00F45505">
              <w:rPr>
                <w:color w:val="000000" w:themeColor="text1"/>
                <w:szCs w:val="20"/>
              </w:rPr>
              <w:t>for human consumption through smoking, sucking, chewing or sniffing.</w:t>
            </w:r>
            <w:r>
              <w:rPr>
                <w:color w:val="000000" w:themeColor="text1"/>
                <w:szCs w:val="20"/>
              </w:rPr>
              <w:t xml:space="preserve"> </w:t>
            </w:r>
            <w:r w:rsidRPr="00F45505">
              <w:rPr>
                <w:color w:val="000000" w:themeColor="text1"/>
                <w:szCs w:val="20"/>
              </w:rPr>
              <w:t>“Smoked tobacco products” include cigarettes, cigarillos, cigars, cheroots, bidis, pipes, shisha (water</w:t>
            </w:r>
            <w:r>
              <w:rPr>
                <w:color w:val="000000" w:themeColor="text1"/>
                <w:szCs w:val="20"/>
              </w:rPr>
              <w:t xml:space="preserve"> </w:t>
            </w:r>
            <w:r w:rsidRPr="00F45505">
              <w:rPr>
                <w:color w:val="000000" w:themeColor="text1"/>
                <w:szCs w:val="20"/>
              </w:rPr>
              <w:t>pipes), roll-your-own tobacco, kretek and any other form of tobacco that is consumed by smoking.</w:t>
            </w:r>
          </w:p>
          <w:p w14:paraId="3D6C56B9" w14:textId="77777777" w:rsidR="00221C59" w:rsidRDefault="00221C59" w:rsidP="00221C59">
            <w:pPr>
              <w:jc w:val="both"/>
              <w:rPr>
                <w:color w:val="000000" w:themeColor="text1"/>
                <w:szCs w:val="20"/>
              </w:rPr>
            </w:pPr>
            <w:r w:rsidRPr="00F45505">
              <w:rPr>
                <w:color w:val="000000" w:themeColor="text1"/>
                <w:szCs w:val="20"/>
              </w:rPr>
              <w:t>"Smokeless tobacco product" includes moist snuff, creamy snuff, dry snuff, plug, dissolvables, gul, loose</w:t>
            </w:r>
            <w:r>
              <w:rPr>
                <w:color w:val="000000" w:themeColor="text1"/>
                <w:szCs w:val="20"/>
              </w:rPr>
              <w:t xml:space="preserve"> </w:t>
            </w:r>
            <w:r w:rsidRPr="00F45505">
              <w:rPr>
                <w:color w:val="000000" w:themeColor="text1"/>
                <w:szCs w:val="20"/>
              </w:rPr>
              <w:t>leaf, red tooth powder, snus, chimo, gutkha, khaini, gudakhu, zarda, quiwam, dohra, tuibur, nasway,</w:t>
            </w:r>
            <w:r>
              <w:rPr>
                <w:color w:val="000000" w:themeColor="text1"/>
                <w:szCs w:val="20"/>
              </w:rPr>
              <w:t xml:space="preserve"> </w:t>
            </w:r>
            <w:r w:rsidRPr="00F45505">
              <w:rPr>
                <w:color w:val="000000" w:themeColor="text1"/>
                <w:szCs w:val="20"/>
              </w:rPr>
              <w:t>naas, naswar, shammah, toombak, paan (betel quid with tobacco), iq’mik, mishri, tapkeer, tombol and</w:t>
            </w:r>
            <w:r>
              <w:rPr>
                <w:color w:val="000000" w:themeColor="text1"/>
                <w:szCs w:val="20"/>
              </w:rPr>
              <w:t xml:space="preserve"> </w:t>
            </w:r>
            <w:r w:rsidRPr="00F45505">
              <w:rPr>
                <w:color w:val="000000" w:themeColor="text1"/>
                <w:szCs w:val="20"/>
              </w:rPr>
              <w:t>any other tobacco product that consumed by sniffing, holding in the mouth or chewing.</w:t>
            </w:r>
            <w:r>
              <w:rPr>
                <w:color w:val="000000" w:themeColor="text1"/>
                <w:szCs w:val="20"/>
              </w:rPr>
              <w:t xml:space="preserve"> </w:t>
            </w:r>
            <w:r w:rsidRPr="00F45505">
              <w:rPr>
                <w:color w:val="000000" w:themeColor="text1"/>
                <w:szCs w:val="20"/>
              </w:rPr>
              <w:t>Prevalence estimates have been “age-standardized” to make them comparable across all countries no</w:t>
            </w:r>
            <w:r>
              <w:rPr>
                <w:color w:val="000000" w:themeColor="text1"/>
                <w:szCs w:val="20"/>
              </w:rPr>
              <w:t xml:space="preserve"> </w:t>
            </w:r>
            <w:r w:rsidRPr="00F45505">
              <w:rPr>
                <w:color w:val="000000" w:themeColor="text1"/>
                <w:szCs w:val="20"/>
              </w:rPr>
              <w:t>matter the demographic profile of the country. This is done by applying each country’s age-and-sex</w:t>
            </w:r>
            <w:r>
              <w:rPr>
                <w:color w:val="000000" w:themeColor="text1"/>
                <w:szCs w:val="20"/>
              </w:rPr>
              <w:t xml:space="preserve"> </w:t>
            </w:r>
            <w:r w:rsidRPr="00F45505">
              <w:rPr>
                <w:color w:val="000000" w:themeColor="text1"/>
                <w:szCs w:val="20"/>
              </w:rPr>
              <w:t>specific prevalence rates to the WHO Standard Population. The resulting rates are hypothetical numbers</w:t>
            </w:r>
            <w:r>
              <w:rPr>
                <w:color w:val="000000" w:themeColor="text1"/>
                <w:szCs w:val="20"/>
              </w:rPr>
              <w:t xml:space="preserve"> </w:t>
            </w:r>
            <w:r w:rsidRPr="00F45505">
              <w:rPr>
                <w:color w:val="000000" w:themeColor="text1"/>
                <w:szCs w:val="20"/>
              </w:rPr>
              <w:t>which are only meaningful when comparing rates obtained for one country</w:t>
            </w:r>
            <w:r>
              <w:rPr>
                <w:color w:val="000000" w:themeColor="text1"/>
                <w:szCs w:val="20"/>
              </w:rPr>
              <w:t xml:space="preserve"> </w:t>
            </w:r>
            <w:r w:rsidRPr="00F45505">
              <w:rPr>
                <w:color w:val="000000" w:themeColor="text1"/>
                <w:szCs w:val="20"/>
              </w:rPr>
              <w:t>with those obtained for another country.</w:t>
            </w:r>
          </w:p>
          <w:p w14:paraId="0047D924" w14:textId="77777777" w:rsidR="00221C59" w:rsidRDefault="00221C59" w:rsidP="00221C59">
            <w:pPr>
              <w:jc w:val="both"/>
              <w:rPr>
                <w:b/>
                <w:bCs/>
                <w:color w:val="000000" w:themeColor="text1"/>
                <w:szCs w:val="20"/>
              </w:rPr>
            </w:pPr>
          </w:p>
          <w:p w14:paraId="5F61FD10" w14:textId="77777777" w:rsidR="00221C59" w:rsidRPr="00F45505" w:rsidRDefault="00221C59" w:rsidP="00221C59">
            <w:pPr>
              <w:jc w:val="both"/>
              <w:rPr>
                <w:b/>
                <w:bCs/>
                <w:color w:val="000000" w:themeColor="text1"/>
                <w:szCs w:val="20"/>
              </w:rPr>
            </w:pPr>
            <w:r w:rsidRPr="00F45505">
              <w:rPr>
                <w:b/>
                <w:bCs/>
                <w:color w:val="000000" w:themeColor="text1"/>
                <w:szCs w:val="20"/>
              </w:rPr>
              <w:t>Computation Method:</w:t>
            </w:r>
          </w:p>
          <w:p w14:paraId="4D36377D" w14:textId="77777777" w:rsidR="00221C59" w:rsidRPr="00606526" w:rsidRDefault="00221C59" w:rsidP="00221C59">
            <w:pPr>
              <w:jc w:val="both"/>
              <w:rPr>
                <w:b/>
                <w:bCs/>
                <w:color w:val="000000" w:themeColor="text1"/>
                <w:szCs w:val="20"/>
              </w:rPr>
            </w:pPr>
            <w:r w:rsidRPr="00F45505">
              <w:rPr>
                <w:color w:val="000000" w:themeColor="text1"/>
                <w:szCs w:val="20"/>
              </w:rPr>
              <w:t>A statistical model based on a Bayesian negative binomial meta-regression is used to model prevalence of</w:t>
            </w:r>
            <w:r>
              <w:rPr>
                <w:color w:val="000000" w:themeColor="text1"/>
                <w:szCs w:val="20"/>
              </w:rPr>
              <w:t xml:space="preserve"> </w:t>
            </w:r>
            <w:r w:rsidRPr="00F45505">
              <w:rPr>
                <w:color w:val="000000" w:themeColor="text1"/>
                <w:szCs w:val="20"/>
              </w:rPr>
              <w:t>current tobacco smoking for each country, separately for men and women. A full description of the</w:t>
            </w:r>
            <w:r>
              <w:rPr>
                <w:color w:val="000000" w:themeColor="text1"/>
                <w:szCs w:val="20"/>
              </w:rPr>
              <w:t xml:space="preserve"> </w:t>
            </w:r>
            <w:r w:rsidRPr="00F45505">
              <w:rPr>
                <w:color w:val="000000" w:themeColor="text1"/>
                <w:szCs w:val="20"/>
              </w:rPr>
              <w:t>method is available as a peer-reviewed article in The Lancet, volume 385, No. 9972, p966–976 (2015).</w:t>
            </w:r>
            <w:r>
              <w:rPr>
                <w:color w:val="000000" w:themeColor="text1"/>
                <w:szCs w:val="20"/>
              </w:rPr>
              <w:t xml:space="preserve"> </w:t>
            </w:r>
            <w:r w:rsidRPr="00F45505">
              <w:rPr>
                <w:color w:val="000000" w:themeColor="text1"/>
                <w:szCs w:val="20"/>
              </w:rPr>
              <w:t xml:space="preserve">Once the age-and-sex-specific </w:t>
            </w:r>
            <w:r w:rsidRPr="00F45505">
              <w:rPr>
                <w:color w:val="000000" w:themeColor="text1"/>
                <w:szCs w:val="20"/>
              </w:rPr>
              <w:lastRenderedPageBreak/>
              <w:t>prevalence rates from national surveys were compiled into a dataset, the</w:t>
            </w:r>
            <w:r>
              <w:rPr>
                <w:color w:val="000000" w:themeColor="text1"/>
                <w:szCs w:val="20"/>
              </w:rPr>
              <w:t xml:space="preserve"> </w:t>
            </w:r>
            <w:r w:rsidRPr="00F45505">
              <w:rPr>
                <w:color w:val="000000" w:themeColor="text1"/>
                <w:szCs w:val="20"/>
              </w:rPr>
              <w:t>model was fit to calculate trend estimates from the year 2000 to 2030. The model has two main</w:t>
            </w:r>
            <w:r>
              <w:rPr>
                <w:color w:val="000000" w:themeColor="text1"/>
                <w:szCs w:val="20"/>
              </w:rPr>
              <w:t xml:space="preserve"> </w:t>
            </w:r>
            <w:r w:rsidRPr="00F45505">
              <w:rPr>
                <w:color w:val="000000" w:themeColor="text1"/>
                <w:szCs w:val="20"/>
              </w:rPr>
              <w:t>components: (a) adjusting for missing indicators and age groups, and (b) generating an estimate of trends</w:t>
            </w:r>
            <w:r>
              <w:rPr>
                <w:color w:val="000000" w:themeColor="text1"/>
                <w:szCs w:val="20"/>
              </w:rPr>
              <w:t xml:space="preserve"> </w:t>
            </w:r>
            <w:r w:rsidRPr="00F45505">
              <w:rPr>
                <w:color w:val="000000" w:themeColor="text1"/>
                <w:szCs w:val="20"/>
              </w:rPr>
              <w:t>over time as well as the 95% credible interval around the estimate. Depending on the</w:t>
            </w:r>
            <w:r>
              <w:rPr>
                <w:color w:val="000000" w:themeColor="text1"/>
                <w:szCs w:val="20"/>
              </w:rPr>
              <w:t xml:space="preserve"> </w:t>
            </w:r>
            <w:r w:rsidRPr="00F45505">
              <w:rPr>
                <w:color w:val="000000" w:themeColor="text1"/>
                <w:szCs w:val="20"/>
              </w:rPr>
              <w:t>completeness/comprehensiveness of survey data from a particular country, the model at times makes</w:t>
            </w:r>
            <w:r>
              <w:rPr>
                <w:color w:val="000000" w:themeColor="text1"/>
                <w:szCs w:val="20"/>
              </w:rPr>
              <w:t xml:space="preserve"> </w:t>
            </w:r>
            <w:r w:rsidRPr="00F45505">
              <w:rPr>
                <w:color w:val="000000" w:themeColor="text1"/>
                <w:szCs w:val="20"/>
              </w:rPr>
              <w:t>use of data from other countries to fill information gaps. To fill data gaps, information is “borrowed” from</w:t>
            </w:r>
            <w:r>
              <w:rPr>
                <w:color w:val="000000" w:themeColor="text1"/>
                <w:szCs w:val="20"/>
              </w:rPr>
              <w:t xml:space="preserve"> </w:t>
            </w:r>
            <w:r w:rsidRPr="00F45505">
              <w:rPr>
                <w:color w:val="000000" w:themeColor="text1"/>
                <w:szCs w:val="20"/>
              </w:rPr>
              <w:t>countries in the same UN sub-region. The resulting trend lines are used to derive estimates for single</w:t>
            </w:r>
            <w:r>
              <w:rPr>
                <w:color w:val="000000" w:themeColor="text1"/>
                <w:szCs w:val="20"/>
              </w:rPr>
              <w:t xml:space="preserve"> </w:t>
            </w:r>
            <w:r w:rsidRPr="00F45505">
              <w:rPr>
                <w:color w:val="000000" w:themeColor="text1"/>
                <w:szCs w:val="20"/>
              </w:rPr>
              <w:t>years, so that a number can be reported even if the country did not run a survey in that year. In order to</w:t>
            </w:r>
            <w:r>
              <w:rPr>
                <w:color w:val="000000" w:themeColor="text1"/>
                <w:szCs w:val="20"/>
              </w:rPr>
              <w:t xml:space="preserve"> </w:t>
            </w:r>
            <w:r w:rsidRPr="00F45505">
              <w:rPr>
                <w:color w:val="000000" w:themeColor="text1"/>
                <w:szCs w:val="20"/>
              </w:rPr>
              <w:t>make the results comparable between countries, the prevalence rates are age-standardized to the WHO</w:t>
            </w:r>
            <w:r>
              <w:rPr>
                <w:color w:val="000000" w:themeColor="text1"/>
                <w:szCs w:val="20"/>
              </w:rPr>
              <w:t xml:space="preserve"> </w:t>
            </w:r>
            <w:r w:rsidRPr="00F45505">
              <w:rPr>
                <w:color w:val="000000" w:themeColor="text1"/>
                <w:szCs w:val="20"/>
              </w:rPr>
              <w:t>Standard Population.</w:t>
            </w:r>
          </w:p>
        </w:tc>
        <w:tc>
          <w:tcPr>
            <w:tcW w:w="0" w:type="auto"/>
            <w:shd w:val="clear" w:color="auto" w:fill="auto"/>
          </w:tcPr>
          <w:p w14:paraId="4A6749C2" w14:textId="77777777" w:rsidR="00221C59" w:rsidRDefault="00221C59" w:rsidP="00221C59">
            <w:pPr>
              <w:jc w:val="center"/>
              <w:rPr>
                <w:bCs/>
                <w:szCs w:val="20"/>
              </w:rPr>
            </w:pPr>
            <w:r>
              <w:rPr>
                <w:bCs/>
                <w:szCs w:val="20"/>
              </w:rPr>
              <w:lastRenderedPageBreak/>
              <w:t>Household Survey</w:t>
            </w:r>
          </w:p>
          <w:p w14:paraId="33FB951F" w14:textId="778584A5" w:rsidR="00374C3D" w:rsidRDefault="00374C3D" w:rsidP="00221C59">
            <w:pPr>
              <w:jc w:val="center"/>
              <w:rPr>
                <w:bCs/>
                <w:szCs w:val="20"/>
              </w:rPr>
            </w:pPr>
            <w:r>
              <w:rPr>
                <w:bCs/>
                <w:szCs w:val="20"/>
              </w:rPr>
              <w:t>(MICS, DHS);</w:t>
            </w:r>
          </w:p>
        </w:tc>
        <w:tc>
          <w:tcPr>
            <w:tcW w:w="0" w:type="auto"/>
            <w:shd w:val="clear" w:color="auto" w:fill="auto"/>
          </w:tcPr>
          <w:p w14:paraId="55949084" w14:textId="77777777" w:rsidR="00221C59" w:rsidRDefault="00221C59" w:rsidP="00221C59">
            <w:pPr>
              <w:jc w:val="center"/>
              <w:rPr>
                <w:bCs/>
                <w:szCs w:val="20"/>
              </w:rPr>
            </w:pPr>
            <w:r>
              <w:rPr>
                <w:bCs/>
                <w:szCs w:val="20"/>
              </w:rPr>
              <w:t>National Statistics Office and Ministry of Health</w:t>
            </w:r>
          </w:p>
        </w:tc>
        <w:tc>
          <w:tcPr>
            <w:tcW w:w="0" w:type="auto"/>
            <w:shd w:val="clear" w:color="auto" w:fill="auto"/>
          </w:tcPr>
          <w:p w14:paraId="3F78F204" w14:textId="77777777" w:rsidR="00221C59" w:rsidRPr="0030455E" w:rsidRDefault="00221C59" w:rsidP="00221C59">
            <w:pPr>
              <w:spacing w:line="276" w:lineRule="auto"/>
              <w:jc w:val="center"/>
              <w:rPr>
                <w:rFonts w:eastAsia="Times New Roman" w:cs="Times New Roman"/>
                <w:i/>
                <w:iCs/>
                <w:color w:val="000000" w:themeColor="text1"/>
                <w:szCs w:val="22"/>
              </w:rPr>
            </w:pPr>
            <w:r w:rsidRPr="0030455E">
              <w:rPr>
                <w:rFonts w:eastAsia="Times New Roman" w:cs="Times New Roman"/>
                <w:i/>
                <w:iCs/>
                <w:color w:val="000000" w:themeColor="text1"/>
                <w:szCs w:val="22"/>
              </w:rPr>
              <w:t>GATS, WHO</w:t>
            </w:r>
          </w:p>
          <w:p w14:paraId="1DE96A08" w14:textId="77777777" w:rsidR="00221C59" w:rsidRPr="0030455E" w:rsidRDefault="00221C59" w:rsidP="00221C59">
            <w:pPr>
              <w:spacing w:line="276" w:lineRule="auto"/>
              <w:jc w:val="center"/>
              <w:rPr>
                <w:rFonts w:eastAsia="Times New Roman" w:cs="Times New Roman"/>
                <w:i/>
                <w:iCs/>
                <w:color w:val="000000" w:themeColor="text1"/>
                <w:szCs w:val="22"/>
              </w:rPr>
            </w:pPr>
          </w:p>
          <w:p w14:paraId="1E9581EF" w14:textId="20DCE8C9" w:rsidR="00221C59" w:rsidRDefault="00221C59" w:rsidP="00221C59">
            <w:pPr>
              <w:jc w:val="center"/>
              <w:rPr>
                <w:color w:val="000000" w:themeColor="text1"/>
                <w:sz w:val="18"/>
                <w:szCs w:val="18"/>
              </w:rPr>
            </w:pPr>
            <w:r w:rsidRPr="0030455E">
              <w:rPr>
                <w:rFonts w:eastAsia="Times New Roman" w:cs="Times New Roman"/>
                <w:i/>
                <w:iCs/>
                <w:color w:val="000000" w:themeColor="text1"/>
                <w:szCs w:val="22"/>
              </w:rPr>
              <w:t>HMSS</w:t>
            </w:r>
          </w:p>
        </w:tc>
        <w:tc>
          <w:tcPr>
            <w:tcW w:w="0" w:type="auto"/>
            <w:shd w:val="clear" w:color="auto" w:fill="auto"/>
          </w:tcPr>
          <w:p w14:paraId="68A67D2C" w14:textId="55DB231C" w:rsidR="00221C59" w:rsidRDefault="00221C59" w:rsidP="00221C59">
            <w:pPr>
              <w:rPr>
                <w:bCs/>
                <w:szCs w:val="20"/>
              </w:rPr>
            </w:pPr>
          </w:p>
          <w:p w14:paraId="561CE889" w14:textId="77777777" w:rsidR="00221C59" w:rsidRPr="00F45505" w:rsidRDefault="00221C59" w:rsidP="00221C59">
            <w:pPr>
              <w:rPr>
                <w:bCs/>
                <w:szCs w:val="20"/>
              </w:rPr>
            </w:pPr>
            <w:r w:rsidRPr="0030455E">
              <w:rPr>
                <w:i/>
                <w:iCs/>
              </w:rPr>
              <w:t>GATS/HMSS</w:t>
            </w:r>
            <w:r>
              <w:rPr>
                <w:i/>
                <w:iCs/>
              </w:rPr>
              <w:t>, BBS</w:t>
            </w:r>
          </w:p>
        </w:tc>
        <w:tc>
          <w:tcPr>
            <w:tcW w:w="0" w:type="auto"/>
            <w:shd w:val="clear" w:color="auto" w:fill="auto"/>
          </w:tcPr>
          <w:p w14:paraId="2E11AAA9" w14:textId="22484A25" w:rsidR="00221C59" w:rsidRDefault="00221C59" w:rsidP="00221C59">
            <w:pPr>
              <w:pStyle w:val="ListParagraph"/>
              <w:numPr>
                <w:ilvl w:val="0"/>
                <w:numId w:val="2"/>
              </w:numPr>
              <w:ind w:left="190" w:hanging="190"/>
              <w:rPr>
                <w:rFonts w:ascii="Tw Cen MT Condensed" w:hAnsi="Tw Cen MT Condensed"/>
                <w:bCs/>
                <w:sz w:val="20"/>
                <w:szCs w:val="20"/>
              </w:rPr>
            </w:pPr>
            <w:r>
              <w:rPr>
                <w:rFonts w:ascii="Tw Cen MT Condensed" w:hAnsi="Tw Cen MT Condensed"/>
                <w:bCs/>
                <w:sz w:val="20"/>
                <w:szCs w:val="20"/>
              </w:rPr>
              <w:t>Sex</w:t>
            </w:r>
            <w:r w:rsidR="00560086">
              <w:rPr>
                <w:rFonts w:ascii="Tw Cen MT Condensed" w:hAnsi="Tw Cen MT Condensed"/>
                <w:bCs/>
                <w:sz w:val="20"/>
                <w:szCs w:val="20"/>
              </w:rPr>
              <w:t>: male, female</w:t>
            </w:r>
          </w:p>
          <w:p w14:paraId="6C5D6326" w14:textId="4A5123D7" w:rsidR="00221C59" w:rsidRDefault="00221C59" w:rsidP="00221C59">
            <w:pPr>
              <w:pStyle w:val="ListParagraph"/>
              <w:numPr>
                <w:ilvl w:val="0"/>
                <w:numId w:val="2"/>
              </w:numPr>
              <w:ind w:left="190" w:hanging="190"/>
              <w:rPr>
                <w:rFonts w:ascii="Tw Cen MT Condensed" w:hAnsi="Tw Cen MT Condensed"/>
                <w:bCs/>
                <w:sz w:val="20"/>
                <w:szCs w:val="20"/>
              </w:rPr>
            </w:pPr>
            <w:r>
              <w:rPr>
                <w:rFonts w:ascii="Tw Cen MT Condensed" w:hAnsi="Tw Cen MT Condensed"/>
                <w:bCs/>
                <w:sz w:val="20"/>
                <w:szCs w:val="20"/>
              </w:rPr>
              <w:t>Age Group</w:t>
            </w:r>
            <w:r w:rsidR="00560086">
              <w:rPr>
                <w:rFonts w:ascii="Tw Cen MT Condensed" w:hAnsi="Tw Cen MT Condensed"/>
                <w:bCs/>
                <w:sz w:val="20"/>
                <w:szCs w:val="20"/>
              </w:rPr>
              <w:t>: 15-24, 25-34, 35-44, 45-55, 55-64, 64+</w:t>
            </w:r>
          </w:p>
          <w:p w14:paraId="76CCD588" w14:textId="25D8C400" w:rsidR="00BE6D76" w:rsidRPr="00606526" w:rsidRDefault="00BE6D76" w:rsidP="00221C59">
            <w:pPr>
              <w:pStyle w:val="ListParagraph"/>
              <w:numPr>
                <w:ilvl w:val="0"/>
                <w:numId w:val="2"/>
              </w:numPr>
              <w:ind w:left="190" w:hanging="190"/>
              <w:rPr>
                <w:rFonts w:ascii="Tw Cen MT Condensed" w:hAnsi="Tw Cen MT Condensed"/>
                <w:bCs/>
                <w:sz w:val="20"/>
                <w:szCs w:val="20"/>
              </w:rPr>
            </w:pPr>
            <w:r>
              <w:rPr>
                <w:rFonts w:ascii="Tw Cen MT Condensed" w:hAnsi="Tw Cen MT Condensed"/>
                <w:bCs/>
                <w:sz w:val="20"/>
                <w:szCs w:val="20"/>
              </w:rPr>
              <w:t>Income</w:t>
            </w:r>
            <w:r w:rsidR="00560086">
              <w:rPr>
                <w:rFonts w:ascii="Tw Cen MT Condensed" w:hAnsi="Tw Cen MT Condensed"/>
                <w:bCs/>
                <w:sz w:val="20"/>
                <w:szCs w:val="20"/>
              </w:rPr>
              <w:t>: High/Medium/Low</w:t>
            </w:r>
          </w:p>
        </w:tc>
        <w:tc>
          <w:tcPr>
            <w:tcW w:w="0" w:type="auto"/>
            <w:shd w:val="clear" w:color="auto" w:fill="auto"/>
          </w:tcPr>
          <w:p w14:paraId="2B28AED4" w14:textId="77777777" w:rsidR="00221C59" w:rsidRDefault="00221C59" w:rsidP="00221C59">
            <w:pPr>
              <w:jc w:val="center"/>
              <w:rPr>
                <w:bCs/>
                <w:szCs w:val="20"/>
              </w:rPr>
            </w:pPr>
            <w:r>
              <w:rPr>
                <w:bCs/>
                <w:szCs w:val="20"/>
              </w:rPr>
              <w:t>3-Years</w:t>
            </w:r>
          </w:p>
        </w:tc>
        <w:tc>
          <w:tcPr>
            <w:tcW w:w="0" w:type="auto"/>
            <w:shd w:val="clear" w:color="auto" w:fill="auto"/>
          </w:tcPr>
          <w:p w14:paraId="52C7CE8F" w14:textId="77777777" w:rsidR="00221C59" w:rsidRDefault="00221C59" w:rsidP="00221C59">
            <w:pPr>
              <w:pStyle w:val="NoSpacing"/>
            </w:pPr>
            <w:r>
              <w:t>1</w:t>
            </w:r>
            <w:r w:rsidRPr="00013ACB">
              <w:rPr>
                <w:vertAlign w:val="superscript"/>
              </w:rPr>
              <w:t>st</w:t>
            </w:r>
            <w:r>
              <w:t xml:space="preserve"> Round: </w:t>
            </w:r>
          </w:p>
          <w:p w14:paraId="564C3218" w14:textId="77777777" w:rsidR="00221C59" w:rsidRDefault="00221C59" w:rsidP="00221C59">
            <w:pPr>
              <w:pStyle w:val="NoSpacing"/>
            </w:pPr>
            <w:r>
              <w:t>2014</w:t>
            </w:r>
          </w:p>
          <w:p w14:paraId="442A9D02" w14:textId="77777777" w:rsidR="00221C59" w:rsidRDefault="00221C59" w:rsidP="00221C59">
            <w:pPr>
              <w:pStyle w:val="NoSpacing"/>
            </w:pPr>
          </w:p>
          <w:p w14:paraId="31D62AD9" w14:textId="77777777" w:rsidR="00221C59" w:rsidRDefault="00221C59" w:rsidP="00221C59">
            <w:pPr>
              <w:pStyle w:val="NoSpacing"/>
            </w:pPr>
            <w:r>
              <w:t>2</w:t>
            </w:r>
            <w:r w:rsidRPr="00013ACB">
              <w:rPr>
                <w:vertAlign w:val="superscript"/>
              </w:rPr>
              <w:t>nd</w:t>
            </w:r>
            <w:r>
              <w:t xml:space="preserve"> Round: </w:t>
            </w:r>
          </w:p>
          <w:p w14:paraId="00368780" w14:textId="77777777" w:rsidR="00221C59" w:rsidRDefault="00221C59" w:rsidP="00221C59">
            <w:pPr>
              <w:pStyle w:val="NoSpacing"/>
              <w:rPr>
                <w:szCs w:val="22"/>
              </w:rPr>
            </w:pPr>
            <w:r w:rsidRPr="00BC6F10">
              <w:rPr>
                <w:szCs w:val="22"/>
              </w:rPr>
              <w:t>July 2019</w:t>
            </w:r>
          </w:p>
          <w:p w14:paraId="46F8E39C" w14:textId="77777777" w:rsidR="00221C59" w:rsidRDefault="00221C59" w:rsidP="00221C59">
            <w:pPr>
              <w:pStyle w:val="NoSpacing"/>
            </w:pPr>
          </w:p>
          <w:p w14:paraId="5540B4A9" w14:textId="77777777" w:rsidR="00221C59" w:rsidRDefault="00221C59" w:rsidP="00221C59">
            <w:pPr>
              <w:pStyle w:val="NoSpacing"/>
            </w:pPr>
            <w:r>
              <w:t>3</w:t>
            </w:r>
            <w:r w:rsidRPr="00013ACB">
              <w:rPr>
                <w:vertAlign w:val="superscript"/>
              </w:rPr>
              <w:t>rd</w:t>
            </w:r>
            <w:r>
              <w:t xml:space="preserve"> Round: </w:t>
            </w:r>
          </w:p>
          <w:p w14:paraId="2E5F8938" w14:textId="77777777" w:rsidR="00221C59" w:rsidRDefault="00221C59" w:rsidP="00221C59">
            <w:pPr>
              <w:pStyle w:val="NoSpacing"/>
            </w:pPr>
            <w:r>
              <w:rPr>
                <w:szCs w:val="22"/>
              </w:rPr>
              <w:t>July 2022</w:t>
            </w:r>
          </w:p>
          <w:p w14:paraId="221FEA4F" w14:textId="77777777" w:rsidR="00221C59" w:rsidRDefault="00221C59" w:rsidP="00221C59">
            <w:pPr>
              <w:pStyle w:val="NoSpacing"/>
            </w:pPr>
          </w:p>
          <w:p w14:paraId="3D6C9EAF" w14:textId="77777777" w:rsidR="00221C59" w:rsidRDefault="00221C59" w:rsidP="00221C59">
            <w:pPr>
              <w:pStyle w:val="NoSpacing"/>
            </w:pPr>
            <w:r>
              <w:t>4</w:t>
            </w:r>
            <w:r w:rsidRPr="00013ACB">
              <w:rPr>
                <w:vertAlign w:val="superscript"/>
              </w:rPr>
              <w:t>th</w:t>
            </w:r>
            <w:r>
              <w:t xml:space="preserve"> Round: </w:t>
            </w:r>
          </w:p>
          <w:p w14:paraId="0B106C14" w14:textId="77777777" w:rsidR="00221C59" w:rsidRDefault="00221C59" w:rsidP="00221C59">
            <w:pPr>
              <w:pStyle w:val="NoSpacing"/>
            </w:pPr>
            <w:r>
              <w:rPr>
                <w:szCs w:val="22"/>
              </w:rPr>
              <w:t>July 2025</w:t>
            </w:r>
          </w:p>
          <w:p w14:paraId="100F0034" w14:textId="77777777" w:rsidR="00221C59" w:rsidRDefault="00221C59" w:rsidP="00221C59">
            <w:pPr>
              <w:pStyle w:val="NoSpacing"/>
            </w:pPr>
          </w:p>
          <w:p w14:paraId="2A878290" w14:textId="77777777" w:rsidR="00221C59" w:rsidRDefault="00221C59" w:rsidP="00221C59">
            <w:pPr>
              <w:pStyle w:val="NoSpacing"/>
            </w:pPr>
            <w:r>
              <w:t>5</w:t>
            </w:r>
            <w:r w:rsidRPr="00013ACB">
              <w:rPr>
                <w:vertAlign w:val="superscript"/>
              </w:rPr>
              <w:t>th</w:t>
            </w:r>
            <w:r>
              <w:t xml:space="preserve"> Round: </w:t>
            </w:r>
          </w:p>
          <w:p w14:paraId="2BA8A694" w14:textId="77777777" w:rsidR="00221C59" w:rsidRDefault="00221C59" w:rsidP="00221C59">
            <w:pPr>
              <w:pStyle w:val="NoSpacing"/>
            </w:pPr>
            <w:r>
              <w:rPr>
                <w:szCs w:val="22"/>
              </w:rPr>
              <w:t>July 2028</w:t>
            </w:r>
          </w:p>
          <w:p w14:paraId="000B548F" w14:textId="52DEDCEF" w:rsidR="00221C59" w:rsidRPr="002175FB" w:rsidRDefault="00221C59" w:rsidP="00221C59">
            <w:pPr>
              <w:jc w:val="center"/>
              <w:rPr>
                <w:bCs/>
                <w:szCs w:val="20"/>
              </w:rPr>
            </w:pPr>
          </w:p>
        </w:tc>
        <w:tc>
          <w:tcPr>
            <w:tcW w:w="682" w:type="dxa"/>
            <w:shd w:val="clear" w:color="auto" w:fill="auto"/>
          </w:tcPr>
          <w:p w14:paraId="4DB7AECA"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Group 1</w:t>
            </w:r>
          </w:p>
        </w:tc>
        <w:tc>
          <w:tcPr>
            <w:tcW w:w="983" w:type="dxa"/>
            <w:shd w:val="clear" w:color="auto" w:fill="auto"/>
          </w:tcPr>
          <w:p w14:paraId="1AB9681C" w14:textId="29AEEAA2"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 xml:space="preserve">GATS survey should </w:t>
            </w:r>
            <w:proofErr w:type="gramStart"/>
            <w:r>
              <w:rPr>
                <w:rFonts w:ascii="Tw Cen MT Condensed" w:hAnsi="Tw Cen MT Condensed"/>
                <w:bCs/>
                <w:sz w:val="20"/>
                <w:szCs w:val="20"/>
              </w:rPr>
              <w:t>conducted</w:t>
            </w:r>
            <w:proofErr w:type="gramEnd"/>
            <w:r>
              <w:rPr>
                <w:rFonts w:ascii="Tw Cen MT Condensed" w:hAnsi="Tw Cen MT Condensed"/>
                <w:bCs/>
                <w:sz w:val="20"/>
                <w:szCs w:val="20"/>
              </w:rPr>
              <w:t xml:space="preserve"> in every </w:t>
            </w:r>
            <w:r w:rsidR="005F24FB">
              <w:rPr>
                <w:rFonts w:ascii="Tw Cen MT Condensed" w:hAnsi="Tw Cen MT Condensed"/>
                <w:bCs/>
                <w:sz w:val="20"/>
                <w:szCs w:val="20"/>
              </w:rPr>
              <w:t>Triennial</w:t>
            </w:r>
            <w:r>
              <w:rPr>
                <w:rFonts w:ascii="Tw Cen MT Condensed" w:hAnsi="Tw Cen MT Condensed"/>
                <w:bCs/>
                <w:sz w:val="20"/>
                <w:szCs w:val="20"/>
              </w:rPr>
              <w:t xml:space="preserve"> on a regular basis.</w:t>
            </w:r>
          </w:p>
        </w:tc>
      </w:tr>
      <w:tr w:rsidR="00D46636" w14:paraId="7D21D71F" w14:textId="77777777" w:rsidTr="0085651F">
        <w:tc>
          <w:tcPr>
            <w:tcW w:w="0" w:type="auto"/>
            <w:gridSpan w:val="14"/>
            <w:shd w:val="clear" w:color="auto" w:fill="auto"/>
          </w:tcPr>
          <w:p w14:paraId="3589A8EA"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3.b: 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r>
      <w:tr w:rsidR="00BF3271" w14:paraId="5EEB6B8F" w14:textId="77777777" w:rsidTr="0085651F">
        <w:tc>
          <w:tcPr>
            <w:tcW w:w="0" w:type="auto"/>
            <w:gridSpan w:val="2"/>
            <w:shd w:val="clear" w:color="auto" w:fill="auto"/>
          </w:tcPr>
          <w:p w14:paraId="1646B05B" w14:textId="77777777" w:rsidR="00221C59" w:rsidRPr="00F45505" w:rsidRDefault="00221C59" w:rsidP="00221C59">
            <w:pPr>
              <w:ind w:left="-20"/>
              <w:jc w:val="both"/>
              <w:rPr>
                <w:szCs w:val="20"/>
              </w:rPr>
            </w:pPr>
            <w:r w:rsidRPr="00391704">
              <w:rPr>
                <w:szCs w:val="20"/>
              </w:rPr>
              <w:t>3.b.1: Proportion of the target population covered by all vaccines included in their national programme</w:t>
            </w:r>
          </w:p>
        </w:tc>
        <w:tc>
          <w:tcPr>
            <w:tcW w:w="0" w:type="auto"/>
            <w:shd w:val="clear" w:color="auto" w:fill="auto"/>
          </w:tcPr>
          <w:p w14:paraId="30E862B5" w14:textId="77777777" w:rsidR="00221C59" w:rsidRPr="00C40347" w:rsidRDefault="00221C59" w:rsidP="00221C59">
            <w:pPr>
              <w:jc w:val="center"/>
              <w:rPr>
                <w:szCs w:val="20"/>
              </w:rPr>
            </w:pPr>
            <w:r w:rsidRPr="00C40347">
              <w:rPr>
                <w:szCs w:val="20"/>
              </w:rPr>
              <w:t>WHO,</w:t>
            </w:r>
          </w:p>
          <w:p w14:paraId="5E1F96D0" w14:textId="77777777" w:rsidR="00221C59" w:rsidRPr="00F45505" w:rsidRDefault="00221C59" w:rsidP="00221C59">
            <w:pPr>
              <w:jc w:val="center"/>
              <w:rPr>
                <w:szCs w:val="20"/>
              </w:rPr>
            </w:pPr>
            <w:r w:rsidRPr="00C40347">
              <w:rPr>
                <w:szCs w:val="20"/>
              </w:rPr>
              <w:t>UNICEF</w:t>
            </w:r>
          </w:p>
        </w:tc>
        <w:tc>
          <w:tcPr>
            <w:tcW w:w="0" w:type="auto"/>
            <w:shd w:val="clear" w:color="auto" w:fill="auto"/>
          </w:tcPr>
          <w:p w14:paraId="7CE99A54" w14:textId="77777777" w:rsidR="00221C59" w:rsidRDefault="00221C59" w:rsidP="00221C59">
            <w:pPr>
              <w:jc w:val="center"/>
              <w:rPr>
                <w:szCs w:val="20"/>
              </w:rPr>
            </w:pPr>
            <w:r>
              <w:rPr>
                <w:szCs w:val="20"/>
              </w:rPr>
              <w:t>Tier I</w:t>
            </w:r>
          </w:p>
        </w:tc>
        <w:tc>
          <w:tcPr>
            <w:tcW w:w="0" w:type="auto"/>
            <w:shd w:val="clear" w:color="auto" w:fill="auto"/>
          </w:tcPr>
          <w:p w14:paraId="28D27085" w14:textId="77777777" w:rsidR="00221C59" w:rsidRPr="00C40347" w:rsidRDefault="00221C59" w:rsidP="00221C59">
            <w:pPr>
              <w:jc w:val="both"/>
              <w:rPr>
                <w:b/>
                <w:bCs/>
                <w:color w:val="000000" w:themeColor="text1"/>
                <w:szCs w:val="20"/>
              </w:rPr>
            </w:pPr>
            <w:r w:rsidRPr="00C40347">
              <w:rPr>
                <w:b/>
                <w:bCs/>
                <w:color w:val="000000" w:themeColor="text1"/>
                <w:szCs w:val="20"/>
              </w:rPr>
              <w:t>Definition:</w:t>
            </w:r>
          </w:p>
          <w:p w14:paraId="2C33564A" w14:textId="77777777" w:rsidR="00221C59" w:rsidRPr="00C40347" w:rsidRDefault="00221C59" w:rsidP="00221C59">
            <w:pPr>
              <w:jc w:val="both"/>
              <w:rPr>
                <w:color w:val="000000" w:themeColor="text1"/>
                <w:szCs w:val="20"/>
              </w:rPr>
            </w:pPr>
            <w:r w:rsidRPr="00C40347">
              <w:rPr>
                <w:i/>
                <w:iCs/>
                <w:color w:val="000000" w:themeColor="text1"/>
                <w:szCs w:val="20"/>
              </w:rPr>
              <w:t>Coverage of DTP containing vaccine (3rd dose):</w:t>
            </w:r>
            <w:r w:rsidRPr="00C40347">
              <w:rPr>
                <w:color w:val="000000" w:themeColor="text1"/>
                <w:szCs w:val="20"/>
              </w:rPr>
              <w:t xml:space="preserve"> Percentage of surviving infants who received the 3 doses</w:t>
            </w:r>
            <w:r>
              <w:rPr>
                <w:color w:val="000000" w:themeColor="text1"/>
                <w:szCs w:val="20"/>
              </w:rPr>
              <w:t xml:space="preserve"> </w:t>
            </w:r>
            <w:r w:rsidRPr="00C40347">
              <w:rPr>
                <w:color w:val="000000" w:themeColor="text1"/>
                <w:szCs w:val="20"/>
              </w:rPr>
              <w:t>of diphtheria and tetanus toxoid with pertussis containing vaccine in a given year.</w:t>
            </w:r>
          </w:p>
          <w:p w14:paraId="488222A8" w14:textId="77777777" w:rsidR="00221C59" w:rsidRPr="00C40347" w:rsidRDefault="00221C59" w:rsidP="00221C59">
            <w:pPr>
              <w:jc w:val="both"/>
              <w:rPr>
                <w:color w:val="000000" w:themeColor="text1"/>
                <w:szCs w:val="20"/>
              </w:rPr>
            </w:pPr>
            <w:r w:rsidRPr="00C40347">
              <w:rPr>
                <w:i/>
                <w:iCs/>
                <w:color w:val="000000" w:themeColor="text1"/>
                <w:szCs w:val="20"/>
              </w:rPr>
              <w:t>Coverage of Measles containing vaccine (2nd dose):</w:t>
            </w:r>
            <w:r w:rsidRPr="00C40347">
              <w:rPr>
                <w:color w:val="000000" w:themeColor="text1"/>
                <w:szCs w:val="20"/>
              </w:rPr>
              <w:t xml:space="preserve"> Percentage of children who received two </w:t>
            </w:r>
            <w:proofErr w:type="gramStart"/>
            <w:r w:rsidRPr="00C40347">
              <w:rPr>
                <w:color w:val="000000" w:themeColor="text1"/>
                <w:szCs w:val="20"/>
              </w:rPr>
              <w:t>dose</w:t>
            </w:r>
            <w:proofErr w:type="gramEnd"/>
            <w:r w:rsidRPr="00C40347">
              <w:rPr>
                <w:color w:val="000000" w:themeColor="text1"/>
                <w:szCs w:val="20"/>
              </w:rPr>
              <w:t xml:space="preserve"> of</w:t>
            </w:r>
            <w:r>
              <w:rPr>
                <w:color w:val="000000" w:themeColor="text1"/>
                <w:szCs w:val="20"/>
              </w:rPr>
              <w:t xml:space="preserve"> </w:t>
            </w:r>
            <w:r w:rsidRPr="00C40347">
              <w:rPr>
                <w:color w:val="000000" w:themeColor="text1"/>
                <w:szCs w:val="20"/>
              </w:rPr>
              <w:t>measles containing vaccine according to nationally recommended schedule through routine</w:t>
            </w:r>
            <w:r>
              <w:rPr>
                <w:color w:val="000000" w:themeColor="text1"/>
                <w:szCs w:val="20"/>
              </w:rPr>
              <w:t xml:space="preserve"> </w:t>
            </w:r>
            <w:r w:rsidRPr="00C40347">
              <w:rPr>
                <w:color w:val="000000" w:themeColor="text1"/>
                <w:szCs w:val="20"/>
              </w:rPr>
              <w:t>immunization services.</w:t>
            </w:r>
          </w:p>
          <w:p w14:paraId="437875B3" w14:textId="77777777" w:rsidR="00221C59" w:rsidRPr="00C40347" w:rsidRDefault="00221C59" w:rsidP="00221C59">
            <w:pPr>
              <w:jc w:val="both"/>
              <w:rPr>
                <w:color w:val="000000" w:themeColor="text1"/>
                <w:szCs w:val="20"/>
              </w:rPr>
            </w:pPr>
            <w:r w:rsidRPr="00C40347">
              <w:rPr>
                <w:i/>
                <w:iCs/>
                <w:color w:val="000000" w:themeColor="text1"/>
                <w:szCs w:val="20"/>
              </w:rPr>
              <w:t>Coverage of Pneumococcal conjugate vaccine (last dose in the schedule):</w:t>
            </w:r>
            <w:r w:rsidRPr="00C40347">
              <w:rPr>
                <w:color w:val="000000" w:themeColor="text1"/>
                <w:szCs w:val="20"/>
              </w:rPr>
              <w:t xml:space="preserve"> Percentage of surviving infants</w:t>
            </w:r>
            <w:r>
              <w:rPr>
                <w:color w:val="000000" w:themeColor="text1"/>
                <w:szCs w:val="20"/>
              </w:rPr>
              <w:t xml:space="preserve"> </w:t>
            </w:r>
            <w:r w:rsidRPr="00C40347">
              <w:rPr>
                <w:color w:val="000000" w:themeColor="text1"/>
                <w:szCs w:val="20"/>
              </w:rPr>
              <w:t>who received the recommended doses of pneumococcal conjugate vaccine.</w:t>
            </w:r>
          </w:p>
          <w:p w14:paraId="7F4838BA" w14:textId="77777777" w:rsidR="00221C59" w:rsidRDefault="00221C59" w:rsidP="00221C59">
            <w:pPr>
              <w:jc w:val="both"/>
              <w:rPr>
                <w:color w:val="000000" w:themeColor="text1"/>
                <w:szCs w:val="20"/>
              </w:rPr>
            </w:pPr>
            <w:r w:rsidRPr="00C40347">
              <w:rPr>
                <w:i/>
                <w:iCs/>
                <w:color w:val="000000" w:themeColor="text1"/>
                <w:szCs w:val="20"/>
              </w:rPr>
              <w:t>Coverage of HPV vaccine (last dose in the schedule):</w:t>
            </w:r>
            <w:r w:rsidRPr="00C40347">
              <w:rPr>
                <w:color w:val="000000" w:themeColor="text1"/>
                <w:szCs w:val="20"/>
              </w:rPr>
              <w:t xml:space="preserve"> Percentage of 15 years old girls received the</w:t>
            </w:r>
            <w:r>
              <w:rPr>
                <w:color w:val="000000" w:themeColor="text1"/>
                <w:szCs w:val="20"/>
              </w:rPr>
              <w:t xml:space="preserve"> </w:t>
            </w:r>
            <w:r w:rsidRPr="00C40347">
              <w:rPr>
                <w:color w:val="000000" w:themeColor="text1"/>
                <w:szCs w:val="20"/>
              </w:rPr>
              <w:t>recommended doses of HPV vaccine.</w:t>
            </w:r>
          </w:p>
          <w:p w14:paraId="10B53C92" w14:textId="77777777" w:rsidR="00221C59" w:rsidRDefault="00221C59" w:rsidP="00221C59">
            <w:pPr>
              <w:jc w:val="both"/>
              <w:rPr>
                <w:b/>
                <w:bCs/>
                <w:color w:val="000000" w:themeColor="text1"/>
                <w:szCs w:val="20"/>
              </w:rPr>
            </w:pPr>
          </w:p>
          <w:p w14:paraId="13E17067" w14:textId="77777777" w:rsidR="00221C59" w:rsidRDefault="00221C59" w:rsidP="00221C59">
            <w:pPr>
              <w:jc w:val="both"/>
              <w:rPr>
                <w:b/>
                <w:bCs/>
                <w:color w:val="000000" w:themeColor="text1"/>
                <w:szCs w:val="20"/>
              </w:rPr>
            </w:pPr>
            <w:r w:rsidRPr="00C40347">
              <w:rPr>
                <w:b/>
                <w:bCs/>
                <w:color w:val="000000" w:themeColor="text1"/>
                <w:szCs w:val="20"/>
              </w:rPr>
              <w:t>Concepts:</w:t>
            </w:r>
          </w:p>
          <w:p w14:paraId="4AA1DE35" w14:textId="77777777" w:rsidR="00221C59" w:rsidRPr="00C40347" w:rsidRDefault="00221C59" w:rsidP="00221C59">
            <w:pPr>
              <w:jc w:val="both"/>
              <w:rPr>
                <w:color w:val="000000" w:themeColor="text1"/>
                <w:szCs w:val="20"/>
              </w:rPr>
            </w:pPr>
            <w:r w:rsidRPr="00C40347">
              <w:rPr>
                <w:color w:val="000000" w:themeColor="text1"/>
                <w:szCs w:val="20"/>
              </w:rPr>
              <w:t>In accordance with its mandate to provide guidance to Member States on health policy matters, WHO</w:t>
            </w:r>
            <w:r>
              <w:rPr>
                <w:color w:val="000000" w:themeColor="text1"/>
                <w:szCs w:val="20"/>
              </w:rPr>
              <w:t xml:space="preserve"> </w:t>
            </w:r>
            <w:r w:rsidRPr="00C40347">
              <w:rPr>
                <w:color w:val="000000" w:themeColor="text1"/>
                <w:szCs w:val="20"/>
              </w:rPr>
              <w:t>provides global vaccine and immunization recommendations for diseases that have an international</w:t>
            </w:r>
            <w:r>
              <w:rPr>
                <w:color w:val="000000" w:themeColor="text1"/>
                <w:szCs w:val="20"/>
              </w:rPr>
              <w:t xml:space="preserve"> </w:t>
            </w:r>
            <w:r w:rsidRPr="00C40347">
              <w:rPr>
                <w:color w:val="000000" w:themeColor="text1"/>
                <w:szCs w:val="20"/>
              </w:rPr>
              <w:t>public health impact. National programmes adapt the recommendations and develop national</w:t>
            </w:r>
            <w:r>
              <w:rPr>
                <w:color w:val="000000" w:themeColor="text1"/>
                <w:szCs w:val="20"/>
              </w:rPr>
              <w:t xml:space="preserve"> </w:t>
            </w:r>
            <w:r w:rsidRPr="00C40347">
              <w:rPr>
                <w:color w:val="000000" w:themeColor="text1"/>
                <w:szCs w:val="20"/>
              </w:rPr>
              <w:t>immunization schedules, based on local disease epidemiology and national health priorities. National</w:t>
            </w:r>
            <w:r>
              <w:rPr>
                <w:color w:val="000000" w:themeColor="text1"/>
                <w:szCs w:val="20"/>
              </w:rPr>
              <w:t xml:space="preserve"> </w:t>
            </w:r>
            <w:r w:rsidRPr="00C40347">
              <w:rPr>
                <w:color w:val="000000" w:themeColor="text1"/>
                <w:szCs w:val="20"/>
              </w:rPr>
              <w:t>immunization schedules and number of recommended vaccines vary between countries, with only DTP</w:t>
            </w:r>
            <w:r>
              <w:rPr>
                <w:color w:val="000000" w:themeColor="text1"/>
                <w:szCs w:val="20"/>
              </w:rPr>
              <w:t xml:space="preserve"> </w:t>
            </w:r>
            <w:r w:rsidRPr="00C40347">
              <w:rPr>
                <w:color w:val="000000" w:themeColor="text1"/>
                <w:szCs w:val="20"/>
              </w:rPr>
              <w:t>polio and measles containing vaccines being used in all countries.</w:t>
            </w:r>
          </w:p>
          <w:p w14:paraId="3ED67956" w14:textId="77777777" w:rsidR="00221C59" w:rsidRDefault="00221C59" w:rsidP="00221C59">
            <w:pPr>
              <w:jc w:val="both"/>
              <w:rPr>
                <w:color w:val="000000" w:themeColor="text1"/>
                <w:szCs w:val="20"/>
              </w:rPr>
            </w:pPr>
            <w:r w:rsidRPr="00C40347">
              <w:rPr>
                <w:color w:val="000000" w:themeColor="text1"/>
                <w:szCs w:val="20"/>
              </w:rPr>
              <w:lastRenderedPageBreak/>
              <w:t>The target population for given vaccine is defined based on recommended age for administration. The</w:t>
            </w:r>
            <w:r>
              <w:rPr>
                <w:color w:val="000000" w:themeColor="text1"/>
                <w:szCs w:val="20"/>
              </w:rPr>
              <w:t xml:space="preserve"> </w:t>
            </w:r>
            <w:r w:rsidRPr="00C40347">
              <w:rPr>
                <w:color w:val="000000" w:themeColor="text1"/>
                <w:szCs w:val="20"/>
              </w:rPr>
              <w:t>primary vaccination series of most vaccines are administered in the first two years of life.</w:t>
            </w:r>
          </w:p>
          <w:p w14:paraId="44F9A92A" w14:textId="77777777" w:rsidR="00221C59" w:rsidRDefault="00221C59" w:rsidP="00221C59">
            <w:pPr>
              <w:jc w:val="both"/>
              <w:rPr>
                <w:b/>
                <w:bCs/>
                <w:color w:val="000000" w:themeColor="text1"/>
                <w:szCs w:val="20"/>
              </w:rPr>
            </w:pPr>
          </w:p>
          <w:p w14:paraId="38DB90B1" w14:textId="77777777" w:rsidR="00221C59" w:rsidRDefault="00221C59" w:rsidP="00221C59">
            <w:pPr>
              <w:jc w:val="both"/>
              <w:rPr>
                <w:color w:val="000000" w:themeColor="text1"/>
                <w:szCs w:val="20"/>
              </w:rPr>
            </w:pPr>
            <w:r w:rsidRPr="00C40347">
              <w:rPr>
                <w:i/>
                <w:iCs/>
                <w:color w:val="000000" w:themeColor="text1"/>
                <w:szCs w:val="20"/>
              </w:rPr>
              <w:t>Coverage of DTP</w:t>
            </w:r>
            <w:r w:rsidRPr="00C40347">
              <w:rPr>
                <w:color w:val="000000" w:themeColor="text1"/>
                <w:szCs w:val="20"/>
              </w:rPr>
              <w:t xml:space="preserve"> containing vaccine measure the overall system strength to deliver infant vaccination</w:t>
            </w:r>
            <w:r>
              <w:rPr>
                <w:color w:val="000000" w:themeColor="text1"/>
                <w:szCs w:val="20"/>
              </w:rPr>
              <w:t>.</w:t>
            </w:r>
          </w:p>
          <w:p w14:paraId="5A4AA75F" w14:textId="77777777" w:rsidR="00221C59" w:rsidRPr="00C40347" w:rsidRDefault="00221C59" w:rsidP="00221C59">
            <w:pPr>
              <w:jc w:val="both"/>
              <w:rPr>
                <w:color w:val="000000" w:themeColor="text1"/>
                <w:szCs w:val="20"/>
              </w:rPr>
            </w:pPr>
            <w:r w:rsidRPr="00C40347">
              <w:rPr>
                <w:i/>
                <w:iCs/>
                <w:color w:val="000000" w:themeColor="text1"/>
                <w:szCs w:val="20"/>
              </w:rPr>
              <w:t>Coverage of Measles containing vaccine</w:t>
            </w:r>
            <w:r w:rsidRPr="00C40347">
              <w:rPr>
                <w:color w:val="000000" w:themeColor="text1"/>
                <w:szCs w:val="20"/>
              </w:rPr>
              <w:t xml:space="preserve"> ability to deliver vaccines beyond first year of life through</w:t>
            </w:r>
            <w:r>
              <w:rPr>
                <w:color w:val="000000" w:themeColor="text1"/>
                <w:szCs w:val="20"/>
              </w:rPr>
              <w:t xml:space="preserve"> </w:t>
            </w:r>
            <w:r w:rsidRPr="00C40347">
              <w:rPr>
                <w:color w:val="000000" w:themeColor="text1"/>
                <w:szCs w:val="20"/>
              </w:rPr>
              <w:t>routine immunization services.</w:t>
            </w:r>
          </w:p>
          <w:p w14:paraId="7D03D5E1" w14:textId="77777777" w:rsidR="00221C59" w:rsidRPr="00C40347" w:rsidRDefault="00221C59" w:rsidP="00221C59">
            <w:pPr>
              <w:jc w:val="both"/>
              <w:rPr>
                <w:color w:val="000000" w:themeColor="text1"/>
                <w:szCs w:val="20"/>
              </w:rPr>
            </w:pPr>
            <w:r w:rsidRPr="00C40347">
              <w:rPr>
                <w:i/>
                <w:iCs/>
                <w:color w:val="000000" w:themeColor="text1"/>
                <w:szCs w:val="20"/>
              </w:rPr>
              <w:t>Coverage of Pneumococcal conjugate vaccine:</w:t>
            </w:r>
            <w:r w:rsidRPr="00C40347">
              <w:rPr>
                <w:color w:val="000000" w:themeColor="text1"/>
                <w:szCs w:val="20"/>
              </w:rPr>
              <w:t xml:space="preserve"> adaptation of new vaccines for children</w:t>
            </w:r>
            <w:r>
              <w:rPr>
                <w:color w:val="000000" w:themeColor="text1"/>
                <w:szCs w:val="20"/>
              </w:rPr>
              <w:t>.</w:t>
            </w:r>
          </w:p>
          <w:p w14:paraId="173107EF" w14:textId="77777777" w:rsidR="00221C59" w:rsidRDefault="00221C59" w:rsidP="00221C59">
            <w:pPr>
              <w:jc w:val="both"/>
              <w:rPr>
                <w:color w:val="000000" w:themeColor="text1"/>
                <w:szCs w:val="20"/>
              </w:rPr>
            </w:pPr>
            <w:r w:rsidRPr="00C40347">
              <w:rPr>
                <w:i/>
                <w:iCs/>
                <w:color w:val="000000" w:themeColor="text1"/>
                <w:szCs w:val="20"/>
              </w:rPr>
              <w:t>Coverage of HPV vaccine:</w:t>
            </w:r>
            <w:r w:rsidRPr="00C40347">
              <w:rPr>
                <w:color w:val="000000" w:themeColor="text1"/>
                <w:szCs w:val="20"/>
              </w:rPr>
              <w:t xml:space="preserve"> life cycle vaccination</w:t>
            </w:r>
            <w:r>
              <w:rPr>
                <w:color w:val="000000" w:themeColor="text1"/>
                <w:szCs w:val="20"/>
              </w:rPr>
              <w:t>.</w:t>
            </w:r>
          </w:p>
          <w:p w14:paraId="4F0A2494" w14:textId="77777777" w:rsidR="00221C59" w:rsidRDefault="00221C59" w:rsidP="00221C59">
            <w:pPr>
              <w:jc w:val="both"/>
              <w:rPr>
                <w:b/>
                <w:bCs/>
                <w:color w:val="000000" w:themeColor="text1"/>
                <w:szCs w:val="20"/>
              </w:rPr>
            </w:pPr>
          </w:p>
          <w:p w14:paraId="532A29EA" w14:textId="77777777" w:rsidR="00221C59" w:rsidRPr="00C40347" w:rsidRDefault="00221C59" w:rsidP="00221C59">
            <w:pPr>
              <w:jc w:val="both"/>
              <w:rPr>
                <w:b/>
                <w:bCs/>
                <w:color w:val="000000" w:themeColor="text1"/>
                <w:szCs w:val="20"/>
              </w:rPr>
            </w:pPr>
            <w:r w:rsidRPr="00C40347">
              <w:rPr>
                <w:b/>
                <w:bCs/>
                <w:color w:val="000000" w:themeColor="text1"/>
                <w:szCs w:val="20"/>
              </w:rPr>
              <w:t>Computation Method:</w:t>
            </w:r>
          </w:p>
          <w:p w14:paraId="1396E248" w14:textId="77777777" w:rsidR="00221C59" w:rsidRPr="00C40347" w:rsidRDefault="00221C59" w:rsidP="00221C59">
            <w:pPr>
              <w:jc w:val="both"/>
              <w:rPr>
                <w:color w:val="000000" w:themeColor="text1"/>
                <w:szCs w:val="20"/>
              </w:rPr>
            </w:pPr>
            <w:r w:rsidRPr="00C40347">
              <w:rPr>
                <w:color w:val="000000" w:themeColor="text1"/>
                <w:szCs w:val="20"/>
              </w:rPr>
              <w:t>WHO and UNICEF jointly developed a methodology to estimate national immunization coverage form</w:t>
            </w:r>
            <w:r>
              <w:rPr>
                <w:color w:val="000000" w:themeColor="text1"/>
                <w:szCs w:val="20"/>
              </w:rPr>
              <w:t xml:space="preserve"> </w:t>
            </w:r>
            <w:r w:rsidRPr="00C40347">
              <w:rPr>
                <w:color w:val="000000" w:themeColor="text1"/>
                <w:szCs w:val="20"/>
              </w:rPr>
              <w:t>selected vaccines in 2000. The methodology has been refined and reviewed by expert committees over</w:t>
            </w:r>
            <w:r>
              <w:rPr>
                <w:color w:val="000000" w:themeColor="text1"/>
                <w:szCs w:val="20"/>
              </w:rPr>
              <w:t xml:space="preserve"> </w:t>
            </w:r>
            <w:r w:rsidRPr="00C40347">
              <w:rPr>
                <w:color w:val="000000" w:themeColor="text1"/>
                <w:szCs w:val="20"/>
              </w:rPr>
              <w:t>time. The methodology was published and reference is available under the reference section. Estimates</w:t>
            </w:r>
            <w:r>
              <w:rPr>
                <w:color w:val="000000" w:themeColor="text1"/>
                <w:szCs w:val="20"/>
              </w:rPr>
              <w:t xml:space="preserve"> </w:t>
            </w:r>
            <w:r w:rsidRPr="00C40347">
              <w:rPr>
                <w:color w:val="000000" w:themeColor="text1"/>
                <w:szCs w:val="20"/>
              </w:rPr>
              <w:t xml:space="preserve">time series for </w:t>
            </w:r>
            <w:proofErr w:type="gramStart"/>
            <w:r w:rsidRPr="00C40347">
              <w:rPr>
                <w:color w:val="000000" w:themeColor="text1"/>
                <w:szCs w:val="20"/>
              </w:rPr>
              <w:t>WHO</w:t>
            </w:r>
            <w:proofErr w:type="gramEnd"/>
            <w:r w:rsidRPr="00C40347">
              <w:rPr>
                <w:color w:val="000000" w:themeColor="text1"/>
                <w:szCs w:val="20"/>
              </w:rPr>
              <w:t xml:space="preserve"> recommended vaccines produced and published annually since 2001.</w:t>
            </w:r>
          </w:p>
          <w:p w14:paraId="1E73A9B1" w14:textId="77777777" w:rsidR="00221C59" w:rsidRPr="00F45505" w:rsidRDefault="00221C59" w:rsidP="00221C59">
            <w:pPr>
              <w:jc w:val="both"/>
              <w:rPr>
                <w:b/>
                <w:bCs/>
                <w:color w:val="000000" w:themeColor="text1"/>
                <w:szCs w:val="20"/>
              </w:rPr>
            </w:pPr>
            <w:r w:rsidRPr="00C40347">
              <w:rPr>
                <w:color w:val="000000" w:themeColor="text1"/>
                <w:szCs w:val="20"/>
              </w:rPr>
              <w:t>The methodology uses data reported by national authorities from countries administrative systems as</w:t>
            </w:r>
            <w:r>
              <w:rPr>
                <w:color w:val="000000" w:themeColor="text1"/>
                <w:szCs w:val="20"/>
              </w:rPr>
              <w:t xml:space="preserve"> </w:t>
            </w:r>
            <w:r w:rsidRPr="00C40347">
              <w:rPr>
                <w:color w:val="000000" w:themeColor="text1"/>
                <w:szCs w:val="20"/>
              </w:rPr>
              <w:t>well as data from immunization or multi indicator household surveys.</w:t>
            </w:r>
          </w:p>
        </w:tc>
        <w:tc>
          <w:tcPr>
            <w:tcW w:w="0" w:type="auto"/>
            <w:shd w:val="clear" w:color="auto" w:fill="auto"/>
          </w:tcPr>
          <w:p w14:paraId="5641B45B" w14:textId="77777777" w:rsidR="00221C59" w:rsidRPr="00A05F9D" w:rsidRDefault="00221C59" w:rsidP="00221C59">
            <w:pPr>
              <w:jc w:val="center"/>
              <w:rPr>
                <w:bCs/>
                <w:szCs w:val="20"/>
              </w:rPr>
            </w:pPr>
            <w:r>
              <w:rPr>
                <w:bCs/>
                <w:szCs w:val="20"/>
              </w:rPr>
              <w:lastRenderedPageBreak/>
              <w:t xml:space="preserve">Household Survey (MICS, DHS); </w:t>
            </w:r>
            <w:r w:rsidRPr="00A05F9D">
              <w:rPr>
                <w:bCs/>
                <w:szCs w:val="20"/>
              </w:rPr>
              <w:t>National Health Information Systems or National Immunization systems</w:t>
            </w:r>
            <w:r>
              <w:rPr>
                <w:bCs/>
                <w:szCs w:val="20"/>
              </w:rPr>
              <w:t>;</w:t>
            </w:r>
          </w:p>
          <w:p w14:paraId="31B0E4B8" w14:textId="77777777" w:rsidR="00221C59" w:rsidRDefault="00221C59" w:rsidP="00221C59">
            <w:pPr>
              <w:jc w:val="center"/>
              <w:rPr>
                <w:bCs/>
                <w:szCs w:val="20"/>
              </w:rPr>
            </w:pPr>
            <w:r w:rsidRPr="00A05F9D">
              <w:rPr>
                <w:bCs/>
                <w:szCs w:val="20"/>
              </w:rPr>
              <w:t>National immunization registries</w:t>
            </w:r>
          </w:p>
        </w:tc>
        <w:tc>
          <w:tcPr>
            <w:tcW w:w="0" w:type="auto"/>
            <w:shd w:val="clear" w:color="auto" w:fill="auto"/>
          </w:tcPr>
          <w:p w14:paraId="6A4342A1" w14:textId="77777777" w:rsidR="00221C59" w:rsidRDefault="00221C59" w:rsidP="00221C59">
            <w:pPr>
              <w:jc w:val="center"/>
              <w:rPr>
                <w:bCs/>
                <w:szCs w:val="20"/>
              </w:rPr>
            </w:pPr>
            <w:r w:rsidRPr="00A05F9D">
              <w:rPr>
                <w:bCs/>
                <w:szCs w:val="20"/>
              </w:rPr>
              <w:t>Ministries of Health</w:t>
            </w:r>
            <w:r>
              <w:rPr>
                <w:bCs/>
                <w:szCs w:val="20"/>
              </w:rPr>
              <w:t>;</w:t>
            </w:r>
          </w:p>
          <w:p w14:paraId="316007E3" w14:textId="77777777" w:rsidR="00221C59" w:rsidRDefault="00221C59" w:rsidP="00221C59">
            <w:pPr>
              <w:jc w:val="center"/>
              <w:rPr>
                <w:bCs/>
                <w:szCs w:val="20"/>
              </w:rPr>
            </w:pPr>
            <w:r w:rsidRPr="00A05F9D">
              <w:rPr>
                <w:bCs/>
                <w:szCs w:val="20"/>
              </w:rPr>
              <w:t xml:space="preserve"> Immunization programmes</w:t>
            </w:r>
            <w:r>
              <w:rPr>
                <w:bCs/>
                <w:szCs w:val="20"/>
              </w:rPr>
              <w:t>;</w:t>
            </w:r>
          </w:p>
          <w:p w14:paraId="4C1B4A6F" w14:textId="77777777" w:rsidR="00221C59" w:rsidRDefault="00221C59" w:rsidP="00221C59">
            <w:pPr>
              <w:jc w:val="center"/>
              <w:rPr>
                <w:bCs/>
                <w:szCs w:val="20"/>
              </w:rPr>
            </w:pPr>
            <w:r>
              <w:rPr>
                <w:bCs/>
                <w:szCs w:val="20"/>
              </w:rPr>
              <w:t>National Statistics Office</w:t>
            </w:r>
          </w:p>
        </w:tc>
        <w:tc>
          <w:tcPr>
            <w:tcW w:w="0" w:type="auto"/>
            <w:shd w:val="clear" w:color="auto" w:fill="auto"/>
          </w:tcPr>
          <w:p w14:paraId="4E035C4A" w14:textId="4ACEAF04" w:rsidR="00221C59" w:rsidRDefault="00221C59" w:rsidP="00221C59">
            <w:pPr>
              <w:jc w:val="center"/>
              <w:rPr>
                <w:color w:val="000000" w:themeColor="text1"/>
                <w:sz w:val="18"/>
                <w:szCs w:val="18"/>
              </w:rPr>
            </w:pPr>
          </w:p>
          <w:p w14:paraId="71F86629" w14:textId="77777777" w:rsidR="00221C59" w:rsidRDefault="00221C59" w:rsidP="00221C59">
            <w:pPr>
              <w:jc w:val="center"/>
              <w:rPr>
                <w:color w:val="000000" w:themeColor="text1"/>
                <w:sz w:val="18"/>
                <w:szCs w:val="18"/>
              </w:rPr>
            </w:pPr>
            <w:r w:rsidRPr="00463F4F">
              <w:rPr>
                <w:rFonts w:ascii="Tw Cen MT" w:eastAsia="Times New Roman" w:hAnsi="Tw Cen MT" w:cs="Times New Roman"/>
                <w:bCs/>
                <w:color w:val="FF0000"/>
                <w:szCs w:val="20"/>
              </w:rPr>
              <w:t>EPI-CES</w:t>
            </w:r>
          </w:p>
        </w:tc>
        <w:tc>
          <w:tcPr>
            <w:tcW w:w="0" w:type="auto"/>
            <w:shd w:val="clear" w:color="auto" w:fill="auto"/>
          </w:tcPr>
          <w:p w14:paraId="50820CC3" w14:textId="07EACEF9" w:rsidR="00221C59" w:rsidRDefault="00221C59" w:rsidP="00221C59">
            <w:pPr>
              <w:rPr>
                <w:bCs/>
                <w:szCs w:val="20"/>
              </w:rPr>
            </w:pPr>
          </w:p>
          <w:p w14:paraId="2830713A" w14:textId="77777777" w:rsidR="00221C59" w:rsidRDefault="00221C59" w:rsidP="00221C59">
            <w:pPr>
              <w:spacing w:line="276" w:lineRule="auto"/>
              <w:jc w:val="both"/>
            </w:pPr>
            <w:r>
              <w:t xml:space="preserve">a) </w:t>
            </w:r>
            <w:r w:rsidRPr="007A25FE">
              <w:t>EPI Coverage Evaluation Survey</w:t>
            </w:r>
            <w:r>
              <w:t>, DGHS</w:t>
            </w:r>
          </w:p>
          <w:p w14:paraId="6574967C" w14:textId="77777777" w:rsidR="00221C59" w:rsidRDefault="00221C59" w:rsidP="00221C59">
            <w:pPr>
              <w:spacing w:line="276" w:lineRule="auto"/>
              <w:jc w:val="both"/>
            </w:pPr>
            <w:r>
              <w:t xml:space="preserve">b) </w:t>
            </w:r>
            <w:r w:rsidRPr="007A25FE">
              <w:t>BDHS</w:t>
            </w:r>
            <w:r>
              <w:t>, NIPORT</w:t>
            </w:r>
          </w:p>
          <w:p w14:paraId="44BDF9C6" w14:textId="77777777" w:rsidR="00221C59" w:rsidRDefault="00221C59" w:rsidP="00221C59">
            <w:pPr>
              <w:rPr>
                <w:bCs/>
                <w:szCs w:val="20"/>
              </w:rPr>
            </w:pPr>
          </w:p>
        </w:tc>
        <w:tc>
          <w:tcPr>
            <w:tcW w:w="0" w:type="auto"/>
            <w:shd w:val="clear" w:color="auto" w:fill="auto"/>
          </w:tcPr>
          <w:p w14:paraId="4723FBE4" w14:textId="11CB7A12" w:rsidR="00221C59" w:rsidRDefault="00221C59" w:rsidP="00221C59">
            <w:pPr>
              <w:pStyle w:val="ListParagraph"/>
              <w:numPr>
                <w:ilvl w:val="0"/>
                <w:numId w:val="2"/>
              </w:numPr>
              <w:ind w:left="103" w:hanging="103"/>
              <w:rPr>
                <w:rFonts w:ascii="Tw Cen MT Condensed" w:hAnsi="Tw Cen MT Condensed"/>
                <w:bCs/>
                <w:sz w:val="20"/>
                <w:szCs w:val="20"/>
              </w:rPr>
            </w:pPr>
            <w:r w:rsidRPr="00C40347">
              <w:rPr>
                <w:rFonts w:ascii="Tw Cen MT Condensed" w:hAnsi="Tw Cen MT Condensed"/>
                <w:bCs/>
                <w:sz w:val="20"/>
                <w:szCs w:val="20"/>
              </w:rPr>
              <w:t>Geographical location</w:t>
            </w:r>
            <w:r>
              <w:rPr>
                <w:rFonts w:ascii="Tw Cen MT Condensed" w:hAnsi="Tw Cen MT Condensed"/>
                <w:bCs/>
                <w:sz w:val="20"/>
                <w:szCs w:val="20"/>
              </w:rPr>
              <w:t xml:space="preserve"> (Rural/Urban)</w:t>
            </w:r>
            <w:r w:rsidR="00BE6D76">
              <w:rPr>
                <w:rFonts w:ascii="Tw Cen MT Condensed" w:hAnsi="Tw Cen MT Condensed"/>
                <w:bCs/>
                <w:sz w:val="20"/>
                <w:szCs w:val="20"/>
              </w:rPr>
              <w:t>,</w:t>
            </w:r>
            <w:r w:rsidR="00BE6D76" w:rsidRPr="007A25FE">
              <w:rPr>
                <w:rFonts w:ascii="Tw Cen MT Condensed" w:hAnsi="Tw Cen MT Condensed"/>
              </w:rPr>
              <w:t xml:space="preserve"> , potentially sub-national</w:t>
            </w:r>
          </w:p>
          <w:p w14:paraId="4A83474C" w14:textId="77777777" w:rsidR="00221C59" w:rsidRDefault="00221C59" w:rsidP="00221C59">
            <w:pPr>
              <w:pStyle w:val="ListParagraph"/>
              <w:numPr>
                <w:ilvl w:val="0"/>
                <w:numId w:val="2"/>
              </w:numPr>
              <w:ind w:left="103" w:hanging="103"/>
              <w:rPr>
                <w:rFonts w:ascii="Tw Cen MT Condensed" w:hAnsi="Tw Cen MT Condensed"/>
                <w:bCs/>
                <w:sz w:val="20"/>
                <w:szCs w:val="20"/>
              </w:rPr>
            </w:pPr>
            <w:r>
              <w:rPr>
                <w:rFonts w:ascii="Tw Cen MT Condensed" w:hAnsi="Tw Cen MT Condensed"/>
                <w:bCs/>
                <w:sz w:val="20"/>
                <w:szCs w:val="20"/>
              </w:rPr>
              <w:t>Division/District</w:t>
            </w:r>
          </w:p>
          <w:p w14:paraId="295316E9" w14:textId="07E40620" w:rsidR="00221C59" w:rsidRPr="00BE6D76" w:rsidRDefault="00221C59" w:rsidP="000C4849">
            <w:pPr>
              <w:pStyle w:val="ListParagraph"/>
              <w:numPr>
                <w:ilvl w:val="0"/>
                <w:numId w:val="2"/>
              </w:numPr>
              <w:ind w:left="103" w:hanging="103"/>
              <w:rPr>
                <w:rFonts w:ascii="Tw Cen MT Condensed" w:hAnsi="Tw Cen MT Condensed"/>
                <w:bCs/>
                <w:sz w:val="20"/>
                <w:szCs w:val="20"/>
              </w:rPr>
            </w:pPr>
            <w:r>
              <w:rPr>
                <w:rFonts w:ascii="Tw Cen MT Condensed" w:hAnsi="Tw Cen MT Condensed"/>
                <w:bCs/>
                <w:sz w:val="20"/>
                <w:szCs w:val="20"/>
              </w:rPr>
              <w:t>Sex</w:t>
            </w:r>
            <w:r w:rsidR="00BE6D76" w:rsidRPr="007A25FE">
              <w:rPr>
                <w:rFonts w:ascii="Tw Cen MT Condensed" w:hAnsi="Tw Cen MT Condensed"/>
              </w:rPr>
              <w:t xml:space="preserve"> </w:t>
            </w:r>
            <w:r w:rsidR="00560086">
              <w:rPr>
                <w:rFonts w:ascii="Tw Cen MT Condensed" w:hAnsi="Tw Cen MT Condensed"/>
              </w:rPr>
              <w:t>male, female</w:t>
            </w:r>
          </w:p>
        </w:tc>
        <w:tc>
          <w:tcPr>
            <w:tcW w:w="0" w:type="auto"/>
            <w:shd w:val="clear" w:color="auto" w:fill="auto"/>
          </w:tcPr>
          <w:p w14:paraId="73A2BC7D" w14:textId="77777777" w:rsidR="00221C59" w:rsidRDefault="00221C59" w:rsidP="00221C59">
            <w:pPr>
              <w:jc w:val="center"/>
              <w:rPr>
                <w:bCs/>
                <w:szCs w:val="20"/>
              </w:rPr>
            </w:pPr>
            <w:r>
              <w:rPr>
                <w:bCs/>
                <w:szCs w:val="20"/>
              </w:rPr>
              <w:t>Annual</w:t>
            </w:r>
          </w:p>
        </w:tc>
        <w:tc>
          <w:tcPr>
            <w:tcW w:w="0" w:type="auto"/>
            <w:shd w:val="clear" w:color="auto" w:fill="auto"/>
          </w:tcPr>
          <w:p w14:paraId="4525EB11" w14:textId="77777777" w:rsidR="00221C59" w:rsidRDefault="00221C59" w:rsidP="00221C59">
            <w:pPr>
              <w:pStyle w:val="NoSpacing"/>
            </w:pPr>
            <w:r>
              <w:t>1</w:t>
            </w:r>
            <w:r w:rsidRPr="00013ACB">
              <w:rPr>
                <w:vertAlign w:val="superscript"/>
              </w:rPr>
              <w:t>st</w:t>
            </w:r>
            <w:r>
              <w:t xml:space="preserve"> Round: </w:t>
            </w:r>
          </w:p>
          <w:p w14:paraId="5AB7B521" w14:textId="77777777" w:rsidR="00221C59" w:rsidRDefault="00221C59" w:rsidP="00221C59">
            <w:pPr>
              <w:pStyle w:val="NoSpacing"/>
            </w:pPr>
            <w:r>
              <w:t>2016</w:t>
            </w:r>
          </w:p>
          <w:p w14:paraId="54AC978B" w14:textId="77777777" w:rsidR="00221C59" w:rsidRDefault="00221C59" w:rsidP="00221C59">
            <w:pPr>
              <w:pStyle w:val="NoSpacing"/>
            </w:pPr>
            <w:r>
              <w:t>2</w:t>
            </w:r>
            <w:r w:rsidRPr="00013ACB">
              <w:rPr>
                <w:vertAlign w:val="superscript"/>
              </w:rPr>
              <w:t>nd</w:t>
            </w:r>
            <w:r>
              <w:t xml:space="preserve"> Round: </w:t>
            </w:r>
          </w:p>
          <w:p w14:paraId="7C3E8031" w14:textId="77777777" w:rsidR="00221C59" w:rsidRDefault="00221C59" w:rsidP="00221C59">
            <w:pPr>
              <w:pStyle w:val="NoSpacing"/>
            </w:pPr>
            <w:r w:rsidRPr="00BC6F10">
              <w:rPr>
                <w:szCs w:val="20"/>
              </w:rPr>
              <w:t>January 2019</w:t>
            </w:r>
          </w:p>
          <w:p w14:paraId="04C8C9B2" w14:textId="77777777" w:rsidR="00221C59" w:rsidRDefault="00221C59" w:rsidP="00221C59">
            <w:pPr>
              <w:pStyle w:val="NoSpacing"/>
            </w:pPr>
            <w:r>
              <w:t>3</w:t>
            </w:r>
            <w:r w:rsidRPr="00013ACB">
              <w:rPr>
                <w:vertAlign w:val="superscript"/>
              </w:rPr>
              <w:t>rd</w:t>
            </w:r>
            <w:r>
              <w:t xml:space="preserve"> Round: </w:t>
            </w:r>
          </w:p>
          <w:p w14:paraId="25EE68BD" w14:textId="77777777" w:rsidR="00221C59" w:rsidRDefault="00221C59" w:rsidP="00221C59">
            <w:pPr>
              <w:pStyle w:val="NoSpacing"/>
            </w:pPr>
            <w:r>
              <w:rPr>
                <w:szCs w:val="20"/>
              </w:rPr>
              <w:t>January 2022</w:t>
            </w:r>
          </w:p>
          <w:p w14:paraId="4634E18B" w14:textId="77777777" w:rsidR="00221C59" w:rsidRDefault="00221C59" w:rsidP="00221C59">
            <w:pPr>
              <w:pStyle w:val="NoSpacing"/>
            </w:pPr>
            <w:r>
              <w:t>4</w:t>
            </w:r>
            <w:r w:rsidRPr="00013ACB">
              <w:rPr>
                <w:vertAlign w:val="superscript"/>
              </w:rPr>
              <w:t>th</w:t>
            </w:r>
            <w:r>
              <w:t xml:space="preserve"> Round: </w:t>
            </w:r>
          </w:p>
          <w:p w14:paraId="75BD64E3" w14:textId="77777777" w:rsidR="00221C59" w:rsidRDefault="00221C59" w:rsidP="00221C59">
            <w:pPr>
              <w:pStyle w:val="NoSpacing"/>
            </w:pPr>
            <w:r>
              <w:rPr>
                <w:szCs w:val="20"/>
              </w:rPr>
              <w:t>January 2025</w:t>
            </w:r>
          </w:p>
          <w:p w14:paraId="7DD45F08" w14:textId="77777777" w:rsidR="00221C59" w:rsidRDefault="00221C59" w:rsidP="00221C59">
            <w:pPr>
              <w:pStyle w:val="NoSpacing"/>
            </w:pPr>
            <w:r>
              <w:t>5</w:t>
            </w:r>
            <w:r w:rsidRPr="00013ACB">
              <w:rPr>
                <w:vertAlign w:val="superscript"/>
              </w:rPr>
              <w:t>th</w:t>
            </w:r>
            <w:r>
              <w:t xml:space="preserve"> Round: </w:t>
            </w:r>
          </w:p>
          <w:p w14:paraId="574EBECD" w14:textId="5612E027" w:rsidR="00221C59" w:rsidRPr="002175FB" w:rsidRDefault="00221C59" w:rsidP="00221C59">
            <w:pPr>
              <w:jc w:val="center"/>
              <w:rPr>
                <w:bCs/>
                <w:szCs w:val="20"/>
              </w:rPr>
            </w:pPr>
            <w:r>
              <w:rPr>
                <w:szCs w:val="20"/>
              </w:rPr>
              <w:t>January 2028</w:t>
            </w:r>
          </w:p>
        </w:tc>
        <w:tc>
          <w:tcPr>
            <w:tcW w:w="682" w:type="dxa"/>
            <w:shd w:val="clear" w:color="auto" w:fill="auto"/>
          </w:tcPr>
          <w:p w14:paraId="02FA92EC" w14:textId="77777777" w:rsidR="00221C59" w:rsidRDefault="00221C59" w:rsidP="00221C59">
            <w:pPr>
              <w:pStyle w:val="ListParagraph"/>
              <w:ind w:left="-1"/>
              <w:jc w:val="both"/>
              <w:rPr>
                <w:rFonts w:ascii="Tw Cen MT Condensed" w:hAnsi="Tw Cen MT Condensed"/>
                <w:bCs/>
                <w:sz w:val="20"/>
                <w:szCs w:val="20"/>
              </w:rPr>
            </w:pPr>
            <w:r>
              <w:rPr>
                <w:rFonts w:ascii="Tw Cen MT Condensed" w:hAnsi="Tw Cen MT Condensed"/>
                <w:bCs/>
                <w:sz w:val="20"/>
                <w:szCs w:val="20"/>
              </w:rPr>
              <w:t>Group 1</w:t>
            </w:r>
          </w:p>
        </w:tc>
        <w:tc>
          <w:tcPr>
            <w:tcW w:w="983" w:type="dxa"/>
            <w:shd w:val="clear" w:color="auto" w:fill="auto"/>
          </w:tcPr>
          <w:p w14:paraId="61E3100B" w14:textId="77777777" w:rsidR="00221C59" w:rsidRPr="00D70F87" w:rsidRDefault="00221C59" w:rsidP="00221C59">
            <w:pPr>
              <w:pStyle w:val="NoSpacing"/>
            </w:pPr>
            <w:r>
              <w:t>BDHS 2017-18</w:t>
            </w:r>
            <w:r>
              <w:br/>
              <w:t>Draft Key</w:t>
            </w:r>
            <w:r>
              <w:br/>
              <w:t>Indicator</w:t>
            </w:r>
            <w:r>
              <w:br/>
              <w:t>Report ready</w:t>
            </w:r>
            <w:r>
              <w:br/>
              <w:t>for</w:t>
            </w:r>
            <w:r>
              <w:br/>
              <w:t>dissemination.</w:t>
            </w:r>
          </w:p>
        </w:tc>
      </w:tr>
      <w:tr w:rsidR="00BF3271" w14:paraId="67A6C46A" w14:textId="77777777" w:rsidTr="0085651F">
        <w:tc>
          <w:tcPr>
            <w:tcW w:w="0" w:type="auto"/>
            <w:gridSpan w:val="2"/>
            <w:shd w:val="clear" w:color="auto" w:fill="auto"/>
          </w:tcPr>
          <w:p w14:paraId="088A3D92" w14:textId="77777777" w:rsidR="00221C59" w:rsidRPr="00391704" w:rsidRDefault="00221C59" w:rsidP="00221C59">
            <w:pPr>
              <w:ind w:left="-20"/>
              <w:jc w:val="both"/>
              <w:rPr>
                <w:szCs w:val="20"/>
              </w:rPr>
            </w:pPr>
            <w:r w:rsidRPr="00A05F9D">
              <w:rPr>
                <w:szCs w:val="20"/>
              </w:rPr>
              <w:lastRenderedPageBreak/>
              <w:t>3.b.2: Total net official development assistance to medical research and basic health sectors</w:t>
            </w:r>
          </w:p>
        </w:tc>
        <w:tc>
          <w:tcPr>
            <w:tcW w:w="0" w:type="auto"/>
            <w:shd w:val="clear" w:color="auto" w:fill="auto"/>
          </w:tcPr>
          <w:p w14:paraId="3A68BDBE" w14:textId="77777777" w:rsidR="00221C59" w:rsidRPr="00C40347" w:rsidRDefault="00221C59" w:rsidP="00221C59">
            <w:pPr>
              <w:jc w:val="center"/>
              <w:rPr>
                <w:szCs w:val="20"/>
              </w:rPr>
            </w:pPr>
            <w:r>
              <w:rPr>
                <w:szCs w:val="20"/>
              </w:rPr>
              <w:t>OECD</w:t>
            </w:r>
          </w:p>
        </w:tc>
        <w:tc>
          <w:tcPr>
            <w:tcW w:w="0" w:type="auto"/>
            <w:shd w:val="clear" w:color="auto" w:fill="auto"/>
          </w:tcPr>
          <w:p w14:paraId="5F43E23C" w14:textId="77777777" w:rsidR="00221C59" w:rsidRDefault="00221C59" w:rsidP="00221C59">
            <w:pPr>
              <w:jc w:val="center"/>
              <w:rPr>
                <w:szCs w:val="20"/>
              </w:rPr>
            </w:pPr>
            <w:r>
              <w:rPr>
                <w:szCs w:val="20"/>
              </w:rPr>
              <w:t>Tier I</w:t>
            </w:r>
          </w:p>
        </w:tc>
        <w:tc>
          <w:tcPr>
            <w:tcW w:w="0" w:type="auto"/>
            <w:shd w:val="clear" w:color="auto" w:fill="auto"/>
          </w:tcPr>
          <w:p w14:paraId="4A4B0B30" w14:textId="77777777" w:rsidR="00221C59" w:rsidRPr="00A05F9D" w:rsidRDefault="00221C59" w:rsidP="00221C59">
            <w:pPr>
              <w:jc w:val="both"/>
              <w:rPr>
                <w:b/>
                <w:bCs/>
                <w:color w:val="000000" w:themeColor="text1"/>
                <w:szCs w:val="20"/>
              </w:rPr>
            </w:pPr>
            <w:r w:rsidRPr="00A05F9D">
              <w:rPr>
                <w:b/>
                <w:bCs/>
                <w:color w:val="000000" w:themeColor="text1"/>
                <w:szCs w:val="20"/>
              </w:rPr>
              <w:t>Definition:</w:t>
            </w:r>
          </w:p>
          <w:p w14:paraId="3BF8FFCA" w14:textId="77777777" w:rsidR="00221C59" w:rsidRPr="00A05F9D" w:rsidRDefault="00221C59" w:rsidP="00221C59">
            <w:pPr>
              <w:jc w:val="both"/>
              <w:rPr>
                <w:color w:val="000000" w:themeColor="text1"/>
                <w:szCs w:val="20"/>
              </w:rPr>
            </w:pPr>
            <w:r w:rsidRPr="00A05F9D">
              <w:rPr>
                <w:color w:val="000000" w:themeColor="text1"/>
                <w:szCs w:val="20"/>
              </w:rPr>
              <w:t>Gross disbursements of total ODA from all donors to medical research and basic health sectors.</w:t>
            </w:r>
          </w:p>
          <w:p w14:paraId="5A79A992" w14:textId="77777777" w:rsidR="00221C59" w:rsidRPr="00A05F9D" w:rsidRDefault="00221C59" w:rsidP="00221C59">
            <w:pPr>
              <w:jc w:val="both"/>
              <w:rPr>
                <w:color w:val="000000" w:themeColor="text1"/>
                <w:szCs w:val="20"/>
              </w:rPr>
            </w:pPr>
          </w:p>
          <w:p w14:paraId="086B20EE" w14:textId="77777777" w:rsidR="00221C59" w:rsidRPr="00A05F9D" w:rsidRDefault="00221C59" w:rsidP="00221C59">
            <w:pPr>
              <w:jc w:val="both"/>
              <w:rPr>
                <w:b/>
                <w:bCs/>
                <w:color w:val="000000" w:themeColor="text1"/>
                <w:szCs w:val="20"/>
              </w:rPr>
            </w:pPr>
            <w:r w:rsidRPr="00A05F9D">
              <w:rPr>
                <w:b/>
                <w:bCs/>
                <w:color w:val="000000" w:themeColor="text1"/>
                <w:szCs w:val="20"/>
              </w:rPr>
              <w:t>Concepts:</w:t>
            </w:r>
          </w:p>
          <w:p w14:paraId="10DB0A9A" w14:textId="77777777" w:rsidR="00221C59" w:rsidRPr="00A05F9D" w:rsidRDefault="00221C59" w:rsidP="00221C59">
            <w:pPr>
              <w:jc w:val="both"/>
              <w:rPr>
                <w:color w:val="000000" w:themeColor="text1"/>
                <w:szCs w:val="20"/>
              </w:rPr>
            </w:pPr>
            <w:r w:rsidRPr="00A05F9D">
              <w:rPr>
                <w:color w:val="000000" w:themeColor="text1"/>
                <w:szCs w:val="20"/>
              </w:rPr>
              <w:t>ODA: The DAC defines ODA as “those flows to countries and territories on the DAC List of ODA Recipients</w:t>
            </w:r>
            <w:r>
              <w:rPr>
                <w:color w:val="000000" w:themeColor="text1"/>
                <w:szCs w:val="20"/>
              </w:rPr>
              <w:t xml:space="preserve"> </w:t>
            </w:r>
            <w:r w:rsidRPr="00A05F9D">
              <w:rPr>
                <w:color w:val="000000" w:themeColor="text1"/>
                <w:szCs w:val="20"/>
              </w:rPr>
              <w:t>and to multilateral institutions which are</w:t>
            </w:r>
          </w:p>
          <w:p w14:paraId="3E327C01" w14:textId="77777777" w:rsidR="00221C59" w:rsidRPr="00A05F9D" w:rsidRDefault="00221C59" w:rsidP="00221C59">
            <w:pPr>
              <w:ind w:left="522" w:hanging="180"/>
              <w:jc w:val="both"/>
              <w:rPr>
                <w:color w:val="000000" w:themeColor="text1"/>
                <w:szCs w:val="20"/>
              </w:rPr>
            </w:pPr>
            <w:r w:rsidRPr="00A05F9D">
              <w:rPr>
                <w:color w:val="000000" w:themeColor="text1"/>
                <w:szCs w:val="20"/>
              </w:rPr>
              <w:t>i) provided by official agencies, including state and local governments, or by their executive</w:t>
            </w:r>
            <w:r>
              <w:rPr>
                <w:color w:val="000000" w:themeColor="text1"/>
                <w:szCs w:val="20"/>
              </w:rPr>
              <w:t xml:space="preserve"> </w:t>
            </w:r>
            <w:r w:rsidRPr="00A05F9D">
              <w:rPr>
                <w:color w:val="000000" w:themeColor="text1"/>
                <w:szCs w:val="20"/>
              </w:rPr>
              <w:t>agencies; and</w:t>
            </w:r>
          </w:p>
          <w:p w14:paraId="31CC05D6" w14:textId="77777777" w:rsidR="00221C59" w:rsidRDefault="00221C59" w:rsidP="00221C59">
            <w:pPr>
              <w:ind w:left="522" w:hanging="180"/>
              <w:jc w:val="both"/>
              <w:rPr>
                <w:color w:val="000000" w:themeColor="text1"/>
                <w:szCs w:val="20"/>
              </w:rPr>
            </w:pPr>
            <w:r w:rsidRPr="00A05F9D">
              <w:rPr>
                <w:color w:val="000000" w:themeColor="text1"/>
                <w:szCs w:val="20"/>
              </w:rPr>
              <w:t xml:space="preserve">ii) </w:t>
            </w:r>
            <w:proofErr w:type="gramStart"/>
            <w:r w:rsidRPr="00A05F9D">
              <w:rPr>
                <w:color w:val="000000" w:themeColor="text1"/>
                <w:szCs w:val="20"/>
              </w:rPr>
              <w:t>each</w:t>
            </w:r>
            <w:proofErr w:type="gramEnd"/>
            <w:r w:rsidRPr="00A05F9D">
              <w:rPr>
                <w:color w:val="000000" w:themeColor="text1"/>
                <w:szCs w:val="20"/>
              </w:rPr>
              <w:t xml:space="preserve"> transaction is administered with the promotion of the economic development and</w:t>
            </w:r>
            <w:r>
              <w:rPr>
                <w:color w:val="000000" w:themeColor="text1"/>
                <w:szCs w:val="20"/>
              </w:rPr>
              <w:t xml:space="preserve"> </w:t>
            </w:r>
            <w:r w:rsidRPr="00A05F9D">
              <w:rPr>
                <w:color w:val="000000" w:themeColor="text1"/>
                <w:szCs w:val="20"/>
              </w:rPr>
              <w:t>welfare of developing countries as its main objective; and</w:t>
            </w:r>
            <w:r>
              <w:rPr>
                <w:color w:val="000000" w:themeColor="text1"/>
                <w:szCs w:val="20"/>
              </w:rPr>
              <w:t xml:space="preserve"> </w:t>
            </w:r>
            <w:r w:rsidRPr="00A05F9D">
              <w:rPr>
                <w:color w:val="000000" w:themeColor="text1"/>
                <w:szCs w:val="20"/>
              </w:rPr>
              <w:t>is concessional in character and conveys a grant element of at least 25 per cent (calculated at a rate of</w:t>
            </w:r>
            <w:r>
              <w:rPr>
                <w:color w:val="000000" w:themeColor="text1"/>
                <w:szCs w:val="20"/>
              </w:rPr>
              <w:t xml:space="preserve"> </w:t>
            </w:r>
            <w:r w:rsidRPr="00A05F9D">
              <w:rPr>
                <w:color w:val="000000" w:themeColor="text1"/>
                <w:szCs w:val="20"/>
              </w:rPr>
              <w:t>discount of 10 per cent).</w:t>
            </w:r>
          </w:p>
          <w:p w14:paraId="7B08A38D" w14:textId="77777777" w:rsidR="00221C59" w:rsidRDefault="00221C59" w:rsidP="00221C59">
            <w:pPr>
              <w:jc w:val="both"/>
              <w:rPr>
                <w:b/>
                <w:bCs/>
                <w:color w:val="000000" w:themeColor="text1"/>
                <w:szCs w:val="20"/>
              </w:rPr>
            </w:pPr>
          </w:p>
          <w:p w14:paraId="15775D00" w14:textId="77777777" w:rsidR="00221C59" w:rsidRPr="00A05F9D" w:rsidRDefault="00221C59" w:rsidP="00221C59">
            <w:pPr>
              <w:jc w:val="both"/>
              <w:rPr>
                <w:b/>
                <w:bCs/>
                <w:color w:val="000000" w:themeColor="text1"/>
                <w:szCs w:val="20"/>
              </w:rPr>
            </w:pPr>
            <w:r w:rsidRPr="00A05F9D">
              <w:rPr>
                <w:b/>
                <w:bCs/>
                <w:color w:val="000000" w:themeColor="text1"/>
                <w:szCs w:val="20"/>
              </w:rPr>
              <w:t>Computation Method:</w:t>
            </w:r>
          </w:p>
          <w:p w14:paraId="1F377762" w14:textId="77777777" w:rsidR="00221C59" w:rsidRPr="00A05F9D" w:rsidRDefault="00221C59" w:rsidP="00221C59">
            <w:pPr>
              <w:jc w:val="both"/>
              <w:rPr>
                <w:color w:val="000000" w:themeColor="text1"/>
                <w:szCs w:val="20"/>
              </w:rPr>
            </w:pPr>
            <w:r w:rsidRPr="00A05F9D">
              <w:rPr>
                <w:color w:val="000000" w:themeColor="text1"/>
                <w:szCs w:val="20"/>
              </w:rPr>
              <w:t>The sum of ODA flows from all donors to developing countries for medical research and basic health.</w:t>
            </w:r>
          </w:p>
        </w:tc>
        <w:tc>
          <w:tcPr>
            <w:tcW w:w="0" w:type="auto"/>
            <w:shd w:val="clear" w:color="auto" w:fill="auto"/>
          </w:tcPr>
          <w:p w14:paraId="2DEBAECA" w14:textId="77777777" w:rsidR="00221C59" w:rsidRDefault="00221C59" w:rsidP="00221C59">
            <w:pPr>
              <w:jc w:val="center"/>
              <w:rPr>
                <w:bCs/>
                <w:szCs w:val="20"/>
              </w:rPr>
            </w:pPr>
            <w:r w:rsidRPr="00A05F9D">
              <w:rPr>
                <w:bCs/>
                <w:szCs w:val="20"/>
              </w:rPr>
              <w:t>Creditor Reporting System</w:t>
            </w:r>
          </w:p>
        </w:tc>
        <w:tc>
          <w:tcPr>
            <w:tcW w:w="0" w:type="auto"/>
            <w:shd w:val="clear" w:color="auto" w:fill="auto"/>
          </w:tcPr>
          <w:p w14:paraId="459D3A19" w14:textId="77777777" w:rsidR="00221C59" w:rsidRPr="00A05F9D" w:rsidRDefault="00221C59" w:rsidP="00221C59">
            <w:pPr>
              <w:jc w:val="center"/>
              <w:rPr>
                <w:bCs/>
                <w:szCs w:val="20"/>
              </w:rPr>
            </w:pPr>
            <w:r w:rsidRPr="00A05F9D">
              <w:rPr>
                <w:bCs/>
                <w:szCs w:val="20"/>
              </w:rPr>
              <w:t>Aid</w:t>
            </w:r>
          </w:p>
          <w:p w14:paraId="3BCAAC32" w14:textId="77777777" w:rsidR="00221C59" w:rsidRDefault="00221C59" w:rsidP="00221C59">
            <w:pPr>
              <w:jc w:val="center"/>
              <w:rPr>
                <w:bCs/>
                <w:szCs w:val="20"/>
              </w:rPr>
            </w:pPr>
            <w:r w:rsidRPr="00A05F9D">
              <w:rPr>
                <w:bCs/>
                <w:szCs w:val="20"/>
              </w:rPr>
              <w:t>Agencies, ministries of foreign affairs or finance, etc</w:t>
            </w:r>
            <w:r>
              <w:rPr>
                <w:bCs/>
                <w:szCs w:val="20"/>
              </w:rPr>
              <w:t>.</w:t>
            </w:r>
          </w:p>
        </w:tc>
        <w:tc>
          <w:tcPr>
            <w:tcW w:w="0" w:type="auto"/>
            <w:shd w:val="clear" w:color="auto" w:fill="auto"/>
          </w:tcPr>
          <w:p w14:paraId="693CCF35" w14:textId="77777777" w:rsidR="00221C59" w:rsidRDefault="00221C59" w:rsidP="00221C59">
            <w:pPr>
              <w:jc w:val="center"/>
              <w:rPr>
                <w:color w:val="000000" w:themeColor="text1"/>
                <w:sz w:val="18"/>
                <w:szCs w:val="18"/>
              </w:rPr>
            </w:pPr>
            <w:r>
              <w:rPr>
                <w:color w:val="000000" w:themeColor="text1"/>
                <w:sz w:val="18"/>
                <w:szCs w:val="18"/>
              </w:rPr>
              <w:t>ERD</w:t>
            </w:r>
          </w:p>
        </w:tc>
        <w:tc>
          <w:tcPr>
            <w:tcW w:w="0" w:type="auto"/>
            <w:shd w:val="clear" w:color="auto" w:fill="auto"/>
          </w:tcPr>
          <w:p w14:paraId="7F4045A7" w14:textId="5AAC7173" w:rsidR="00221C59" w:rsidRDefault="00221C59" w:rsidP="00221C59">
            <w:pPr>
              <w:pStyle w:val="ListParagraph"/>
              <w:numPr>
                <w:ilvl w:val="0"/>
                <w:numId w:val="21"/>
              </w:numPr>
              <w:jc w:val="both"/>
              <w:rPr>
                <w:rFonts w:ascii="Tw Cen MT Condensed" w:hAnsi="Tw Cen MT Condensed"/>
                <w:bCs/>
                <w:sz w:val="20"/>
                <w:szCs w:val="20"/>
              </w:rPr>
            </w:pPr>
          </w:p>
          <w:p w14:paraId="5FBD1AA4" w14:textId="77777777" w:rsidR="00221C59" w:rsidRPr="00BC6F10" w:rsidRDefault="00221C59" w:rsidP="00221C59">
            <w:pPr>
              <w:jc w:val="center"/>
            </w:pPr>
            <w:r w:rsidRPr="00BC6F10">
              <w:t xml:space="preserve">a) </w:t>
            </w:r>
            <w:r w:rsidRPr="003B3366">
              <w:rPr>
                <w:highlight w:val="yellow"/>
              </w:rPr>
              <w:t>ERD</w:t>
            </w:r>
          </w:p>
          <w:p w14:paraId="74B3F2E5" w14:textId="77777777" w:rsidR="00221C59" w:rsidRDefault="00221C59" w:rsidP="00221C59">
            <w:pPr>
              <w:jc w:val="center"/>
            </w:pPr>
            <w:r w:rsidRPr="00BC6F10">
              <w:t xml:space="preserve">b) </w:t>
            </w:r>
            <w:r>
              <w:t>HSD</w:t>
            </w:r>
          </w:p>
          <w:p w14:paraId="367A3BEB" w14:textId="77777777" w:rsidR="00221C59" w:rsidRDefault="00221C59" w:rsidP="000C4849">
            <w:pPr>
              <w:ind w:left="360"/>
              <w:jc w:val="both"/>
            </w:pPr>
            <w:r w:rsidRPr="00D2179C">
              <w:t>c) MEFWD</w:t>
            </w:r>
          </w:p>
          <w:p w14:paraId="0A59829D" w14:textId="77777777" w:rsidR="00221C59" w:rsidRPr="00D2179C" w:rsidRDefault="00221C59" w:rsidP="000C4849">
            <w:pPr>
              <w:ind w:left="360"/>
              <w:jc w:val="both"/>
              <w:rPr>
                <w:bCs/>
                <w:szCs w:val="20"/>
              </w:rPr>
            </w:pPr>
            <w:r>
              <w:rPr>
                <w:rFonts w:eastAsia="Times New Roman" w:cs="Times New Roman"/>
                <w:color w:val="000000" w:themeColor="text1"/>
                <w:szCs w:val="20"/>
              </w:rPr>
              <w:t>Administrative Data</w:t>
            </w:r>
          </w:p>
        </w:tc>
        <w:tc>
          <w:tcPr>
            <w:tcW w:w="0" w:type="auto"/>
            <w:shd w:val="clear" w:color="auto" w:fill="auto"/>
          </w:tcPr>
          <w:p w14:paraId="32C30CF9" w14:textId="77777777" w:rsidR="00BE6D76" w:rsidRDefault="00221C59" w:rsidP="00BE6D76">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bCs/>
                <w:sz w:val="20"/>
                <w:szCs w:val="20"/>
              </w:rPr>
              <w:t>Providing Country</w:t>
            </w:r>
            <w:r w:rsidR="00BE6D76">
              <w:rPr>
                <w:rFonts w:ascii="Tw Cen MT Condensed" w:hAnsi="Tw Cen MT Condensed"/>
              </w:rPr>
              <w:t xml:space="preserve"> </w:t>
            </w:r>
          </w:p>
          <w:p w14:paraId="274B1811" w14:textId="7FD58638" w:rsidR="00BE6D76" w:rsidRPr="00604D06" w:rsidRDefault="00BE6D76" w:rsidP="00BE6D76">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donor</w:t>
            </w:r>
          </w:p>
          <w:p w14:paraId="06E71DB8" w14:textId="77777777" w:rsidR="00BE6D76" w:rsidRPr="00604D06" w:rsidRDefault="00BE6D76" w:rsidP="00BE6D76">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recipient country</w:t>
            </w:r>
          </w:p>
          <w:p w14:paraId="6B6BD1A4" w14:textId="77777777" w:rsidR="00BE6D76" w:rsidRPr="00604D06" w:rsidRDefault="00BE6D76" w:rsidP="00BE6D76">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type of finance</w:t>
            </w:r>
          </w:p>
          <w:p w14:paraId="22566A74" w14:textId="71D348EB" w:rsidR="00BE6D76" w:rsidRPr="00604D06" w:rsidRDefault="00BE6D76" w:rsidP="00BE6D76">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type of aid</w:t>
            </w:r>
            <w:r w:rsidR="00C06595">
              <w:rPr>
                <w:rFonts w:ascii="Tw Cen MT Condensed" w:hAnsi="Tw Cen MT Condensed"/>
              </w:rPr>
              <w:t>: Financial/ Non Financial</w:t>
            </w:r>
          </w:p>
          <w:p w14:paraId="26F46527" w14:textId="683EB0F1" w:rsidR="00221C59" w:rsidRPr="00C40347" w:rsidRDefault="00BE6D76" w:rsidP="00BE6D76">
            <w:pPr>
              <w:pStyle w:val="ListParagraph"/>
              <w:numPr>
                <w:ilvl w:val="0"/>
                <w:numId w:val="2"/>
              </w:numPr>
              <w:ind w:left="103" w:hanging="103"/>
              <w:rPr>
                <w:rFonts w:ascii="Tw Cen MT Condensed" w:hAnsi="Tw Cen MT Condensed"/>
                <w:bCs/>
                <w:sz w:val="20"/>
                <w:szCs w:val="20"/>
              </w:rPr>
            </w:pPr>
            <w:r>
              <w:rPr>
                <w:rFonts w:ascii="Tw Cen MT Condensed" w:hAnsi="Tw Cen MT Condensed"/>
              </w:rPr>
              <w:t>health sub-sector</w:t>
            </w:r>
          </w:p>
        </w:tc>
        <w:tc>
          <w:tcPr>
            <w:tcW w:w="0" w:type="auto"/>
            <w:shd w:val="clear" w:color="auto" w:fill="auto"/>
          </w:tcPr>
          <w:p w14:paraId="08D951C7" w14:textId="77777777" w:rsidR="00221C59" w:rsidRDefault="00221C59" w:rsidP="00221C59">
            <w:pPr>
              <w:jc w:val="center"/>
              <w:rPr>
                <w:bCs/>
                <w:szCs w:val="20"/>
              </w:rPr>
            </w:pPr>
            <w:r>
              <w:rPr>
                <w:bCs/>
                <w:szCs w:val="20"/>
              </w:rPr>
              <w:t>Annual</w:t>
            </w:r>
          </w:p>
        </w:tc>
        <w:tc>
          <w:tcPr>
            <w:tcW w:w="0" w:type="auto"/>
            <w:shd w:val="clear" w:color="auto" w:fill="auto"/>
          </w:tcPr>
          <w:p w14:paraId="1422F325" w14:textId="77777777" w:rsidR="00221C59" w:rsidRDefault="00221C59" w:rsidP="00221C59">
            <w:pPr>
              <w:pStyle w:val="NoSpacing"/>
            </w:pPr>
            <w:r>
              <w:t>1</w:t>
            </w:r>
            <w:r w:rsidRPr="00013ACB">
              <w:rPr>
                <w:vertAlign w:val="superscript"/>
              </w:rPr>
              <w:t>st</w:t>
            </w:r>
            <w:r>
              <w:t xml:space="preserve"> Round: </w:t>
            </w:r>
          </w:p>
          <w:p w14:paraId="1BD6A098" w14:textId="77777777" w:rsidR="00221C59" w:rsidRDefault="00221C59" w:rsidP="00221C59">
            <w:pPr>
              <w:pStyle w:val="NoSpacing"/>
            </w:pPr>
            <w:r>
              <w:t>2015</w:t>
            </w:r>
          </w:p>
          <w:p w14:paraId="13DBAC02" w14:textId="77777777" w:rsidR="00221C59" w:rsidRDefault="00221C59" w:rsidP="00221C59">
            <w:pPr>
              <w:pStyle w:val="NoSpacing"/>
            </w:pPr>
            <w:r>
              <w:t>2</w:t>
            </w:r>
            <w:r w:rsidRPr="00013ACB">
              <w:rPr>
                <w:vertAlign w:val="superscript"/>
              </w:rPr>
              <w:t>nd</w:t>
            </w:r>
            <w:r>
              <w:t xml:space="preserve"> Round: </w:t>
            </w:r>
          </w:p>
          <w:p w14:paraId="6D627276" w14:textId="77777777" w:rsidR="00221C59" w:rsidRDefault="00221C59" w:rsidP="00221C59">
            <w:pPr>
              <w:pStyle w:val="NoSpacing"/>
            </w:pPr>
            <w:r w:rsidRPr="00BC6F10">
              <w:rPr>
                <w:szCs w:val="20"/>
              </w:rPr>
              <w:t>January 2019</w:t>
            </w:r>
          </w:p>
          <w:p w14:paraId="74CDF95F" w14:textId="77777777" w:rsidR="00221C59" w:rsidRDefault="00221C59" w:rsidP="00221C59">
            <w:pPr>
              <w:pStyle w:val="NoSpacing"/>
            </w:pPr>
            <w:r>
              <w:t>3</w:t>
            </w:r>
            <w:r w:rsidRPr="00013ACB">
              <w:rPr>
                <w:vertAlign w:val="superscript"/>
              </w:rPr>
              <w:t>rd</w:t>
            </w:r>
            <w:r>
              <w:t xml:space="preserve"> Round: </w:t>
            </w:r>
          </w:p>
          <w:p w14:paraId="1CE4AFEB" w14:textId="77777777" w:rsidR="00221C59" w:rsidRDefault="00221C59" w:rsidP="00221C59">
            <w:pPr>
              <w:pStyle w:val="NoSpacing"/>
            </w:pPr>
            <w:r>
              <w:rPr>
                <w:szCs w:val="20"/>
              </w:rPr>
              <w:t>January 2020</w:t>
            </w:r>
          </w:p>
          <w:p w14:paraId="0C3D8E56" w14:textId="77777777" w:rsidR="00221C59" w:rsidRDefault="00221C59" w:rsidP="00221C59">
            <w:pPr>
              <w:pStyle w:val="NoSpacing"/>
            </w:pPr>
            <w:r>
              <w:t>4</w:t>
            </w:r>
            <w:r w:rsidRPr="00013ACB">
              <w:rPr>
                <w:vertAlign w:val="superscript"/>
              </w:rPr>
              <w:t>th</w:t>
            </w:r>
            <w:r>
              <w:t xml:space="preserve"> Round: </w:t>
            </w:r>
          </w:p>
          <w:p w14:paraId="308A230E" w14:textId="77777777" w:rsidR="00221C59" w:rsidRDefault="00221C59" w:rsidP="00221C59">
            <w:pPr>
              <w:pStyle w:val="NoSpacing"/>
            </w:pPr>
            <w:r>
              <w:rPr>
                <w:szCs w:val="20"/>
              </w:rPr>
              <w:t>January 2021</w:t>
            </w:r>
          </w:p>
          <w:p w14:paraId="3E6F9133" w14:textId="77777777" w:rsidR="00221C59" w:rsidRDefault="00221C59" w:rsidP="00221C59">
            <w:pPr>
              <w:pStyle w:val="NoSpacing"/>
            </w:pPr>
            <w:r>
              <w:t>5</w:t>
            </w:r>
            <w:r w:rsidRPr="00013ACB">
              <w:rPr>
                <w:vertAlign w:val="superscript"/>
              </w:rPr>
              <w:t>th</w:t>
            </w:r>
            <w:r>
              <w:t xml:space="preserve"> Round: </w:t>
            </w:r>
          </w:p>
          <w:p w14:paraId="59222572" w14:textId="3EED3772" w:rsidR="00221C59" w:rsidRPr="002175FB" w:rsidRDefault="00221C59" w:rsidP="00221C59">
            <w:pPr>
              <w:jc w:val="center"/>
              <w:rPr>
                <w:bCs/>
                <w:szCs w:val="20"/>
              </w:rPr>
            </w:pPr>
            <w:r>
              <w:rPr>
                <w:szCs w:val="20"/>
              </w:rPr>
              <w:t xml:space="preserve">January </w:t>
            </w:r>
            <w:r>
              <w:rPr>
                <w:szCs w:val="20"/>
              </w:rPr>
              <w:lastRenderedPageBreak/>
              <w:t>2022</w:t>
            </w:r>
          </w:p>
        </w:tc>
        <w:tc>
          <w:tcPr>
            <w:tcW w:w="682" w:type="dxa"/>
            <w:shd w:val="clear" w:color="auto" w:fill="auto"/>
          </w:tcPr>
          <w:p w14:paraId="0E03710A" w14:textId="77777777" w:rsidR="00221C59" w:rsidRPr="00092E7D" w:rsidRDefault="00221C59" w:rsidP="00221C59">
            <w:pPr>
              <w:jc w:val="both"/>
              <w:rPr>
                <w:bCs/>
                <w:szCs w:val="20"/>
              </w:rPr>
            </w:pPr>
            <w:r>
              <w:rPr>
                <w:bCs/>
                <w:szCs w:val="20"/>
              </w:rPr>
              <w:lastRenderedPageBreak/>
              <w:t>Group 2</w:t>
            </w:r>
          </w:p>
        </w:tc>
        <w:tc>
          <w:tcPr>
            <w:tcW w:w="983" w:type="dxa"/>
            <w:shd w:val="clear" w:color="auto" w:fill="auto"/>
          </w:tcPr>
          <w:p w14:paraId="35145251" w14:textId="77777777" w:rsidR="00221C59" w:rsidRPr="00092E7D" w:rsidRDefault="00221C59" w:rsidP="00221C59">
            <w:pPr>
              <w:jc w:val="both"/>
              <w:rPr>
                <w:bCs/>
                <w:szCs w:val="20"/>
              </w:rPr>
            </w:pPr>
          </w:p>
        </w:tc>
      </w:tr>
      <w:tr w:rsidR="00BF3271" w14:paraId="5231894C" w14:textId="77777777" w:rsidTr="0085651F">
        <w:tc>
          <w:tcPr>
            <w:tcW w:w="0" w:type="auto"/>
            <w:gridSpan w:val="2"/>
            <w:shd w:val="clear" w:color="auto" w:fill="auto"/>
          </w:tcPr>
          <w:p w14:paraId="03CA124B" w14:textId="77777777" w:rsidR="00221C59" w:rsidRPr="00A05F9D" w:rsidRDefault="00221C59" w:rsidP="00221C59">
            <w:pPr>
              <w:ind w:left="-20"/>
              <w:jc w:val="both"/>
              <w:rPr>
                <w:szCs w:val="20"/>
              </w:rPr>
            </w:pPr>
            <w:r w:rsidRPr="00092E7D">
              <w:rPr>
                <w:szCs w:val="20"/>
              </w:rPr>
              <w:lastRenderedPageBreak/>
              <w:t>3.b.3: Proportion of health facilities that have a core set of relevant essential medicines available and affordable on a sustainable basis</w:t>
            </w:r>
          </w:p>
        </w:tc>
        <w:tc>
          <w:tcPr>
            <w:tcW w:w="0" w:type="auto"/>
            <w:shd w:val="clear" w:color="auto" w:fill="auto"/>
          </w:tcPr>
          <w:p w14:paraId="7A2C7D6B" w14:textId="77777777" w:rsidR="00221C59" w:rsidRDefault="00221C59" w:rsidP="00221C59">
            <w:pPr>
              <w:jc w:val="center"/>
              <w:rPr>
                <w:szCs w:val="20"/>
              </w:rPr>
            </w:pPr>
            <w:r>
              <w:rPr>
                <w:szCs w:val="20"/>
              </w:rPr>
              <w:t>WHO</w:t>
            </w:r>
          </w:p>
        </w:tc>
        <w:tc>
          <w:tcPr>
            <w:tcW w:w="0" w:type="auto"/>
            <w:shd w:val="clear" w:color="auto" w:fill="auto"/>
          </w:tcPr>
          <w:p w14:paraId="17D4583A" w14:textId="77777777" w:rsidR="00221C59" w:rsidRDefault="00221C59" w:rsidP="00221C59">
            <w:pPr>
              <w:jc w:val="center"/>
              <w:rPr>
                <w:szCs w:val="20"/>
              </w:rPr>
            </w:pPr>
            <w:r w:rsidRPr="00605AF7">
              <w:rPr>
                <w:szCs w:val="20"/>
              </w:rPr>
              <w:t>Tier II</w:t>
            </w:r>
          </w:p>
          <w:p w14:paraId="48496157" w14:textId="2D74EC81" w:rsidR="00221C59" w:rsidRDefault="00221C59" w:rsidP="00221C59">
            <w:pPr>
              <w:jc w:val="center"/>
              <w:rPr>
                <w:szCs w:val="20"/>
              </w:rPr>
            </w:pPr>
          </w:p>
        </w:tc>
        <w:tc>
          <w:tcPr>
            <w:tcW w:w="0" w:type="auto"/>
            <w:shd w:val="clear" w:color="auto" w:fill="auto"/>
          </w:tcPr>
          <w:p w14:paraId="42283041" w14:textId="12FCFD08" w:rsidR="00221C59" w:rsidRDefault="00221C59" w:rsidP="00221C59">
            <w:pPr>
              <w:jc w:val="both"/>
              <w:rPr>
                <w:color w:val="000000" w:themeColor="text1"/>
                <w:szCs w:val="20"/>
              </w:rPr>
            </w:pPr>
          </w:p>
          <w:p w14:paraId="1AD00BCD" w14:textId="77777777" w:rsidR="00221C59" w:rsidRPr="000C4849" w:rsidRDefault="00221C59" w:rsidP="00221C59">
            <w:pPr>
              <w:jc w:val="both"/>
              <w:rPr>
                <w:b/>
                <w:color w:val="000000" w:themeColor="text1"/>
                <w:szCs w:val="20"/>
              </w:rPr>
            </w:pPr>
            <w:r w:rsidRPr="000C4849">
              <w:rPr>
                <w:b/>
                <w:color w:val="000000" w:themeColor="text1"/>
                <w:szCs w:val="20"/>
              </w:rPr>
              <w:t>Definition:</w:t>
            </w:r>
          </w:p>
          <w:p w14:paraId="3A617750" w14:textId="77777777" w:rsidR="00221C59" w:rsidRPr="0003455E" w:rsidRDefault="00221C59" w:rsidP="00221C59">
            <w:pPr>
              <w:jc w:val="both"/>
              <w:rPr>
                <w:color w:val="000000" w:themeColor="text1"/>
                <w:szCs w:val="20"/>
              </w:rPr>
            </w:pPr>
            <w:r w:rsidRPr="0003455E">
              <w:rPr>
                <w:color w:val="000000" w:themeColor="text1"/>
                <w:szCs w:val="20"/>
              </w:rPr>
              <w:t>Proportion of health facilities that have a core set of relevant essential medicines available and affordable on a sustainable basis.</w:t>
            </w:r>
          </w:p>
          <w:p w14:paraId="482B089C" w14:textId="77777777" w:rsidR="00221C59" w:rsidRPr="0003455E" w:rsidRDefault="00221C59" w:rsidP="00221C59">
            <w:pPr>
              <w:jc w:val="both"/>
              <w:rPr>
                <w:color w:val="000000" w:themeColor="text1"/>
                <w:szCs w:val="20"/>
              </w:rPr>
            </w:pPr>
          </w:p>
          <w:p w14:paraId="35F62CA1" w14:textId="77777777" w:rsidR="00221C59" w:rsidRDefault="00221C59" w:rsidP="00221C59">
            <w:pPr>
              <w:jc w:val="both"/>
              <w:rPr>
                <w:color w:val="000000" w:themeColor="text1"/>
                <w:szCs w:val="20"/>
              </w:rPr>
            </w:pPr>
            <w:r w:rsidRPr="0003455E">
              <w:rPr>
                <w:color w:val="000000" w:themeColor="text1"/>
                <w:szCs w:val="20"/>
              </w:rPr>
              <w:t>The indicator is a multidimensional index reported as a proportion (%) of health facilities that have a defined core set of quality-assured medicines that are available and affordable relative to the total number of surveyed health facilities at national level.</w:t>
            </w:r>
          </w:p>
          <w:p w14:paraId="401ADBCE" w14:textId="77777777" w:rsidR="00221C59" w:rsidRDefault="00221C59" w:rsidP="00221C59">
            <w:pPr>
              <w:jc w:val="both"/>
              <w:rPr>
                <w:color w:val="000000" w:themeColor="text1"/>
                <w:szCs w:val="20"/>
              </w:rPr>
            </w:pPr>
          </w:p>
          <w:p w14:paraId="616F33F8" w14:textId="77777777" w:rsidR="00221C59" w:rsidRPr="000C4849" w:rsidRDefault="00221C59" w:rsidP="00221C59">
            <w:pPr>
              <w:jc w:val="both"/>
              <w:rPr>
                <w:b/>
                <w:color w:val="000000" w:themeColor="text1"/>
                <w:szCs w:val="20"/>
              </w:rPr>
            </w:pPr>
            <w:r w:rsidRPr="000C4849">
              <w:rPr>
                <w:b/>
                <w:color w:val="000000" w:themeColor="text1"/>
                <w:szCs w:val="20"/>
              </w:rPr>
              <w:t>Concepts:</w:t>
            </w:r>
          </w:p>
          <w:p w14:paraId="02298B89" w14:textId="77777777" w:rsidR="00221C59" w:rsidRPr="0003455E" w:rsidRDefault="00221C59" w:rsidP="00221C59">
            <w:pPr>
              <w:jc w:val="both"/>
              <w:rPr>
                <w:color w:val="000000" w:themeColor="text1"/>
                <w:szCs w:val="20"/>
              </w:rPr>
            </w:pPr>
            <w:r w:rsidRPr="0003455E">
              <w:rPr>
                <w:color w:val="000000" w:themeColor="text1"/>
                <w:szCs w:val="20"/>
              </w:rPr>
              <w:t xml:space="preserve">This indicator is based on the proportion of facilities (pharmacies, hospitals, clinics, primary care centers, public/private, etc.) where core essential medicines from the identified set are available for purchase and their prices are affordable, compared to the total number of facilities surveyed. </w:t>
            </w:r>
          </w:p>
          <w:p w14:paraId="0EDAC377" w14:textId="77777777" w:rsidR="00221C59" w:rsidRPr="0003455E" w:rsidRDefault="00221C59" w:rsidP="00221C59">
            <w:pPr>
              <w:jc w:val="both"/>
              <w:rPr>
                <w:color w:val="000000" w:themeColor="text1"/>
                <w:szCs w:val="20"/>
              </w:rPr>
            </w:pPr>
          </w:p>
          <w:p w14:paraId="798964A7" w14:textId="77777777" w:rsidR="00221C59" w:rsidRPr="0003455E" w:rsidRDefault="00221C59" w:rsidP="00221C59">
            <w:pPr>
              <w:jc w:val="both"/>
              <w:rPr>
                <w:color w:val="000000" w:themeColor="text1"/>
                <w:szCs w:val="20"/>
              </w:rPr>
            </w:pPr>
            <w:r w:rsidRPr="0003455E">
              <w:rPr>
                <w:color w:val="000000" w:themeColor="text1"/>
                <w:szCs w:val="20"/>
              </w:rPr>
              <w:t xml:space="preserve">There are several core concepts that are used for measuring indicator 3.b.3: </w:t>
            </w:r>
          </w:p>
          <w:p w14:paraId="26E742E5" w14:textId="77777777" w:rsidR="00221C59" w:rsidRPr="0003455E" w:rsidRDefault="00221C59" w:rsidP="00221C59">
            <w:pPr>
              <w:jc w:val="both"/>
              <w:rPr>
                <w:color w:val="000000" w:themeColor="text1"/>
                <w:szCs w:val="20"/>
              </w:rPr>
            </w:pPr>
            <w:r>
              <w:rPr>
                <w:color w:val="000000" w:themeColor="text1"/>
                <w:szCs w:val="20"/>
              </w:rPr>
              <w:t xml:space="preserve">1. </w:t>
            </w:r>
            <w:r w:rsidRPr="0003455E">
              <w:rPr>
                <w:color w:val="000000" w:themeColor="text1"/>
                <w:szCs w:val="20"/>
              </w:rPr>
              <w:t>Availability of medicine</w:t>
            </w:r>
          </w:p>
          <w:p w14:paraId="10FE1825" w14:textId="77777777" w:rsidR="00221C59" w:rsidRPr="0003455E" w:rsidRDefault="00221C59" w:rsidP="00221C59">
            <w:pPr>
              <w:jc w:val="both"/>
              <w:rPr>
                <w:color w:val="000000" w:themeColor="text1"/>
                <w:szCs w:val="20"/>
              </w:rPr>
            </w:pPr>
            <w:r>
              <w:rPr>
                <w:color w:val="000000" w:themeColor="text1"/>
                <w:szCs w:val="20"/>
              </w:rPr>
              <w:t xml:space="preserve">2. </w:t>
            </w:r>
            <w:r w:rsidRPr="0003455E">
              <w:rPr>
                <w:color w:val="000000" w:themeColor="text1"/>
                <w:szCs w:val="20"/>
              </w:rPr>
              <w:t>Affordability of medicine</w:t>
            </w:r>
          </w:p>
          <w:p w14:paraId="7EF10BD2" w14:textId="77777777" w:rsidR="00221C59" w:rsidRPr="0003455E" w:rsidRDefault="00221C59" w:rsidP="00221C59">
            <w:pPr>
              <w:jc w:val="both"/>
              <w:rPr>
                <w:color w:val="000000" w:themeColor="text1"/>
                <w:szCs w:val="20"/>
              </w:rPr>
            </w:pPr>
            <w:r w:rsidRPr="0003455E">
              <w:rPr>
                <w:rFonts w:ascii="Arial" w:hAnsi="Arial" w:cs="Arial"/>
                <w:color w:val="000000" w:themeColor="text1"/>
                <w:szCs w:val="20"/>
              </w:rPr>
              <w:t>→</w:t>
            </w:r>
            <w:r w:rsidRPr="0003455E">
              <w:rPr>
                <w:color w:val="000000" w:themeColor="text1"/>
                <w:szCs w:val="20"/>
              </w:rPr>
              <w:t xml:space="preserve"> to define affordability, additional concepts are used:</w:t>
            </w:r>
          </w:p>
          <w:p w14:paraId="005F62F7" w14:textId="77777777" w:rsidR="00221C59" w:rsidRPr="0003455E" w:rsidRDefault="00221C59" w:rsidP="00221C59">
            <w:pPr>
              <w:jc w:val="both"/>
              <w:rPr>
                <w:color w:val="000000" w:themeColor="text1"/>
                <w:szCs w:val="20"/>
              </w:rPr>
            </w:pPr>
            <w:r>
              <w:rPr>
                <w:color w:val="000000" w:themeColor="text1"/>
                <w:szCs w:val="20"/>
              </w:rPr>
              <w:t xml:space="preserve">• </w:t>
            </w:r>
            <w:r w:rsidRPr="0003455E">
              <w:rPr>
                <w:color w:val="000000" w:themeColor="text1"/>
                <w:szCs w:val="20"/>
              </w:rPr>
              <w:t>Daily dose treatment of the medicine</w:t>
            </w:r>
          </w:p>
          <w:p w14:paraId="666451F4" w14:textId="77777777" w:rsidR="00221C59" w:rsidRPr="0003455E" w:rsidRDefault="00221C59" w:rsidP="00221C59">
            <w:pPr>
              <w:jc w:val="both"/>
              <w:rPr>
                <w:color w:val="000000" w:themeColor="text1"/>
                <w:szCs w:val="20"/>
              </w:rPr>
            </w:pPr>
            <w:r>
              <w:rPr>
                <w:color w:val="000000" w:themeColor="text1"/>
                <w:szCs w:val="20"/>
              </w:rPr>
              <w:t xml:space="preserve">• </w:t>
            </w:r>
            <w:r w:rsidRPr="0003455E">
              <w:rPr>
                <w:color w:val="000000" w:themeColor="text1"/>
                <w:szCs w:val="20"/>
              </w:rPr>
              <w:t xml:space="preserve">National poverty line </w:t>
            </w:r>
          </w:p>
          <w:p w14:paraId="31A8EEA3" w14:textId="77777777" w:rsidR="00221C59" w:rsidRPr="0003455E" w:rsidRDefault="00221C59" w:rsidP="00221C59">
            <w:pPr>
              <w:jc w:val="both"/>
              <w:rPr>
                <w:color w:val="000000" w:themeColor="text1"/>
                <w:szCs w:val="20"/>
              </w:rPr>
            </w:pPr>
            <w:r>
              <w:rPr>
                <w:color w:val="000000" w:themeColor="text1"/>
                <w:szCs w:val="20"/>
              </w:rPr>
              <w:t xml:space="preserve">• </w:t>
            </w:r>
            <w:r w:rsidRPr="0003455E">
              <w:rPr>
                <w:color w:val="000000" w:themeColor="text1"/>
                <w:szCs w:val="20"/>
              </w:rPr>
              <w:t xml:space="preserve">Wage of the lowest paid unskilled government worker </w:t>
            </w:r>
          </w:p>
          <w:p w14:paraId="38D7A1C8" w14:textId="77777777" w:rsidR="00221C59" w:rsidRPr="0003455E" w:rsidRDefault="00221C59" w:rsidP="00221C59">
            <w:pPr>
              <w:jc w:val="both"/>
              <w:rPr>
                <w:color w:val="000000" w:themeColor="text1"/>
                <w:szCs w:val="20"/>
              </w:rPr>
            </w:pPr>
            <w:r>
              <w:rPr>
                <w:color w:val="000000" w:themeColor="text1"/>
                <w:szCs w:val="20"/>
              </w:rPr>
              <w:t xml:space="preserve">3. </w:t>
            </w:r>
            <w:r w:rsidRPr="0003455E">
              <w:rPr>
                <w:color w:val="000000" w:themeColor="text1"/>
                <w:szCs w:val="20"/>
              </w:rPr>
              <w:t>Core set of relevant essential medicines (defined on a global level)</w:t>
            </w:r>
          </w:p>
          <w:p w14:paraId="436642D5" w14:textId="77777777" w:rsidR="00221C59" w:rsidRPr="0003455E" w:rsidRDefault="00221C59" w:rsidP="00221C59">
            <w:pPr>
              <w:jc w:val="both"/>
              <w:rPr>
                <w:color w:val="000000" w:themeColor="text1"/>
                <w:szCs w:val="20"/>
              </w:rPr>
            </w:pPr>
            <w:r w:rsidRPr="0003455E">
              <w:rPr>
                <w:rFonts w:ascii="Arial" w:hAnsi="Arial" w:cs="Arial"/>
                <w:color w:val="000000" w:themeColor="text1"/>
                <w:szCs w:val="20"/>
              </w:rPr>
              <w:t>→</w:t>
            </w:r>
            <w:r w:rsidRPr="0003455E">
              <w:rPr>
                <w:color w:val="000000" w:themeColor="text1"/>
                <w:szCs w:val="20"/>
              </w:rPr>
              <w:t xml:space="preserve"> to apply a core set of relevant essential medicines defined on a global level to all countries, an additional concept is used:</w:t>
            </w:r>
          </w:p>
          <w:p w14:paraId="451EC2AA" w14:textId="77777777" w:rsidR="00221C59" w:rsidRPr="0003455E" w:rsidRDefault="00221C59" w:rsidP="00221C59">
            <w:pPr>
              <w:jc w:val="both"/>
              <w:rPr>
                <w:color w:val="000000" w:themeColor="text1"/>
                <w:szCs w:val="20"/>
              </w:rPr>
            </w:pPr>
            <w:r>
              <w:rPr>
                <w:color w:val="000000" w:themeColor="text1"/>
                <w:szCs w:val="20"/>
              </w:rPr>
              <w:t xml:space="preserve">• </w:t>
            </w:r>
            <w:r w:rsidRPr="0003455E">
              <w:rPr>
                <w:color w:val="000000" w:themeColor="text1"/>
                <w:szCs w:val="20"/>
              </w:rPr>
              <w:t>global burden of disease</w:t>
            </w:r>
          </w:p>
          <w:p w14:paraId="481ED311" w14:textId="77777777" w:rsidR="00221C59" w:rsidRPr="0003455E" w:rsidRDefault="00221C59" w:rsidP="00221C59">
            <w:pPr>
              <w:jc w:val="both"/>
              <w:rPr>
                <w:color w:val="000000" w:themeColor="text1"/>
                <w:szCs w:val="20"/>
              </w:rPr>
            </w:pPr>
          </w:p>
          <w:p w14:paraId="61940ED0" w14:textId="77777777" w:rsidR="00221C59" w:rsidRPr="0003455E" w:rsidRDefault="00221C59" w:rsidP="00221C59">
            <w:pPr>
              <w:jc w:val="both"/>
              <w:rPr>
                <w:color w:val="000000" w:themeColor="text1"/>
                <w:szCs w:val="20"/>
              </w:rPr>
            </w:pPr>
            <w:r w:rsidRPr="0003455E">
              <w:rPr>
                <w:color w:val="000000" w:themeColor="text1"/>
                <w:szCs w:val="20"/>
              </w:rPr>
              <w:t>1) A medicine is available in a facility when it is found in this facility by the interviewer on the day of data collection.  Availability is measured as a binary variable with 1 = medicine is available and 0 = otherwise.</w:t>
            </w:r>
          </w:p>
          <w:p w14:paraId="08092106" w14:textId="77777777" w:rsidR="00221C59" w:rsidRPr="0003455E" w:rsidRDefault="00221C59" w:rsidP="00221C59">
            <w:pPr>
              <w:jc w:val="both"/>
              <w:rPr>
                <w:color w:val="000000" w:themeColor="text1"/>
                <w:szCs w:val="20"/>
              </w:rPr>
            </w:pPr>
          </w:p>
          <w:p w14:paraId="6144A663" w14:textId="77777777" w:rsidR="00221C59" w:rsidRPr="0003455E" w:rsidRDefault="00221C59" w:rsidP="00221C59">
            <w:pPr>
              <w:jc w:val="both"/>
              <w:rPr>
                <w:color w:val="000000" w:themeColor="text1"/>
                <w:szCs w:val="20"/>
              </w:rPr>
            </w:pPr>
            <w:r w:rsidRPr="0003455E">
              <w:rPr>
                <w:color w:val="000000" w:themeColor="text1"/>
                <w:szCs w:val="20"/>
              </w:rPr>
              <w:t xml:space="preserve">2) A medicine is affordable when no extra daily wages (EDW) are needed for the lowest paid unskilled government sector worker (LPGW wage) to purchase a monthly dose treatment of this medicine after fulfilling basic needs represented by the national poverty line (NPL). Affordability is measured as a ratio of </w:t>
            </w:r>
          </w:p>
          <w:p w14:paraId="21B0218C" w14:textId="77777777" w:rsidR="00221C59" w:rsidRPr="0003455E" w:rsidRDefault="00221C59" w:rsidP="00221C59">
            <w:pPr>
              <w:jc w:val="both"/>
              <w:rPr>
                <w:color w:val="000000" w:themeColor="text1"/>
                <w:szCs w:val="20"/>
              </w:rPr>
            </w:pPr>
            <w:r w:rsidRPr="0003455E">
              <w:rPr>
                <w:color w:val="000000" w:themeColor="text1"/>
                <w:szCs w:val="20"/>
              </w:rPr>
              <w:lastRenderedPageBreak/>
              <w:t xml:space="preserve">1) </w:t>
            </w:r>
            <w:proofErr w:type="gramStart"/>
            <w:r w:rsidRPr="0003455E">
              <w:rPr>
                <w:color w:val="000000" w:themeColor="text1"/>
                <w:szCs w:val="20"/>
              </w:rPr>
              <w:t>the</w:t>
            </w:r>
            <w:proofErr w:type="gramEnd"/>
            <w:r w:rsidRPr="0003455E">
              <w:rPr>
                <w:color w:val="000000" w:themeColor="text1"/>
                <w:szCs w:val="20"/>
              </w:rPr>
              <w:t xml:space="preserve"> sum of the NPL and the price per daily dose of treatment of the medicine (DDD), over 2) the LPGW salary. This measures the number of extra daily wages needed to cover the cost of the medicines in the core set and that can vary between 0 and infinity.  </w:t>
            </w:r>
          </w:p>
          <w:p w14:paraId="7D03BBD1" w14:textId="77777777" w:rsidR="00221C59" w:rsidRPr="0003455E" w:rsidRDefault="00221C59" w:rsidP="00221C59">
            <w:pPr>
              <w:jc w:val="both"/>
              <w:rPr>
                <w:color w:val="000000" w:themeColor="text1"/>
                <w:szCs w:val="20"/>
              </w:rPr>
            </w:pPr>
          </w:p>
          <w:p w14:paraId="13493777" w14:textId="77777777" w:rsidR="00221C59" w:rsidRPr="0003455E" w:rsidRDefault="00221C59" w:rsidP="00221C59">
            <w:pPr>
              <w:jc w:val="both"/>
              <w:rPr>
                <w:color w:val="000000" w:themeColor="text1"/>
                <w:szCs w:val="20"/>
              </w:rPr>
            </w:pPr>
            <w:proofErr w:type="gramStart"/>
            <w:r w:rsidRPr="0003455E">
              <w:rPr>
                <w:color w:val="000000" w:themeColor="text1"/>
                <w:szCs w:val="20"/>
              </w:rPr>
              <w:t>2.a</w:t>
            </w:r>
            <w:proofErr w:type="gramEnd"/>
            <w:r w:rsidRPr="0003455E">
              <w:rPr>
                <w:color w:val="000000" w:themeColor="text1"/>
                <w:szCs w:val="20"/>
              </w:rPr>
              <w:t>) Daily dose of treatment (DDD) is an average maintenance dose per day for a medicine used for its main indication in adults.  DDDs allow comparisons of medicine use despite differences in strength, quantity or pack size.</w:t>
            </w:r>
          </w:p>
          <w:p w14:paraId="7AE1917D" w14:textId="77777777" w:rsidR="00221C59" w:rsidRPr="0003455E" w:rsidRDefault="00221C59" w:rsidP="00221C59">
            <w:pPr>
              <w:jc w:val="both"/>
              <w:rPr>
                <w:color w:val="000000" w:themeColor="text1"/>
                <w:szCs w:val="20"/>
              </w:rPr>
            </w:pPr>
          </w:p>
          <w:p w14:paraId="3A9770A1" w14:textId="77777777" w:rsidR="00221C59" w:rsidRPr="0003455E" w:rsidRDefault="00221C59" w:rsidP="00221C59">
            <w:pPr>
              <w:jc w:val="both"/>
              <w:rPr>
                <w:color w:val="000000" w:themeColor="text1"/>
                <w:szCs w:val="20"/>
              </w:rPr>
            </w:pPr>
            <w:proofErr w:type="gramStart"/>
            <w:r w:rsidRPr="0003455E">
              <w:rPr>
                <w:color w:val="000000" w:themeColor="text1"/>
                <w:szCs w:val="20"/>
              </w:rPr>
              <w:t>2.b</w:t>
            </w:r>
            <w:proofErr w:type="gramEnd"/>
            <w:r w:rsidRPr="0003455E">
              <w:rPr>
                <w:color w:val="000000" w:themeColor="text1"/>
                <w:szCs w:val="20"/>
              </w:rPr>
              <w:t xml:space="preserve">) National poverty line (NLP) is the benchmark for estimating poverty indicators that are consistent with the country's specific economic and social circumstances. NPLs reflect local perceptions of the level and composition of consumption or income needed to be non-poor. </w:t>
            </w:r>
          </w:p>
          <w:p w14:paraId="5EC8B304" w14:textId="77777777" w:rsidR="00221C59" w:rsidRPr="0003455E" w:rsidRDefault="00221C59" w:rsidP="00221C59">
            <w:pPr>
              <w:jc w:val="both"/>
              <w:rPr>
                <w:color w:val="000000" w:themeColor="text1"/>
                <w:szCs w:val="20"/>
              </w:rPr>
            </w:pPr>
          </w:p>
          <w:p w14:paraId="54889B2F" w14:textId="77777777" w:rsidR="00221C59" w:rsidRPr="0003455E" w:rsidRDefault="00221C59" w:rsidP="00221C59">
            <w:pPr>
              <w:jc w:val="both"/>
              <w:rPr>
                <w:color w:val="000000" w:themeColor="text1"/>
                <w:szCs w:val="20"/>
              </w:rPr>
            </w:pPr>
            <w:proofErr w:type="gramStart"/>
            <w:r w:rsidRPr="0003455E">
              <w:rPr>
                <w:color w:val="000000" w:themeColor="text1"/>
                <w:szCs w:val="20"/>
              </w:rPr>
              <w:t>2.c</w:t>
            </w:r>
            <w:proofErr w:type="gramEnd"/>
            <w:r w:rsidRPr="0003455E">
              <w:rPr>
                <w:color w:val="000000" w:themeColor="text1"/>
                <w:szCs w:val="20"/>
              </w:rPr>
              <w:t xml:space="preserve">) Wage of the lowest paid unskilled government worker (LPGW) is a minimum living wage that employees are entitled to receive to ensure overcome of poverty and reduction of inequalities. </w:t>
            </w:r>
          </w:p>
          <w:p w14:paraId="17B64826" w14:textId="77777777" w:rsidR="00221C59" w:rsidRPr="0003455E" w:rsidRDefault="00221C59" w:rsidP="00221C59">
            <w:pPr>
              <w:jc w:val="both"/>
              <w:rPr>
                <w:color w:val="000000" w:themeColor="text1"/>
                <w:szCs w:val="20"/>
              </w:rPr>
            </w:pPr>
          </w:p>
          <w:p w14:paraId="46FA86C3" w14:textId="77777777" w:rsidR="00221C59" w:rsidRPr="0003455E" w:rsidRDefault="00221C59" w:rsidP="00221C59">
            <w:pPr>
              <w:jc w:val="both"/>
              <w:rPr>
                <w:color w:val="000000" w:themeColor="text1"/>
                <w:szCs w:val="20"/>
              </w:rPr>
            </w:pPr>
            <w:r w:rsidRPr="0003455E">
              <w:rPr>
                <w:color w:val="000000" w:themeColor="text1"/>
                <w:szCs w:val="20"/>
              </w:rPr>
              <w:t>In other words, affordability of a medicine identifies how many (if any) extra daily wages are needed for an individual who earns the LPGW wage to be able to purchase a medicine. The computed EDW ratio aims to indicate whether the LPGW wage is enough for the individual who earns the lowest possible income to cover 1) the daily expenditures for food and non-food items used to define (relative or absolute) poverty using national standards (NPL) and 2) the daily needs for a medicine (DDD). This ratio then requires transformation into a binary variable where medicine is affordable when zero extra daily wages are required to purchase it and not affordable otherwise.</w:t>
            </w:r>
          </w:p>
          <w:p w14:paraId="1410C015" w14:textId="77777777" w:rsidR="00221C59" w:rsidRPr="0003455E" w:rsidRDefault="00221C59" w:rsidP="00221C59">
            <w:pPr>
              <w:jc w:val="both"/>
              <w:rPr>
                <w:color w:val="000000" w:themeColor="text1"/>
                <w:szCs w:val="20"/>
              </w:rPr>
            </w:pPr>
          </w:p>
          <w:p w14:paraId="61A5A5EA" w14:textId="77777777" w:rsidR="00221C59" w:rsidRPr="0003455E" w:rsidRDefault="00221C59" w:rsidP="00221C59">
            <w:pPr>
              <w:jc w:val="both"/>
              <w:rPr>
                <w:color w:val="000000" w:themeColor="text1"/>
                <w:szCs w:val="20"/>
              </w:rPr>
            </w:pPr>
            <w:r w:rsidRPr="0003455E">
              <w:rPr>
                <w:color w:val="000000" w:themeColor="text1"/>
                <w:szCs w:val="20"/>
              </w:rPr>
              <w:t xml:space="preserve">3) The core set of relevant essential medicines is a list of 28 tracer essential medicines for acute and chronic, communicable and non-communicable diseases in the primary health care setting. </w:t>
            </w:r>
          </w:p>
          <w:p w14:paraId="2ADAFC5E" w14:textId="77777777" w:rsidR="00221C59" w:rsidRPr="0003455E" w:rsidRDefault="00221C59" w:rsidP="00221C59">
            <w:pPr>
              <w:jc w:val="both"/>
              <w:rPr>
                <w:color w:val="000000" w:themeColor="text1"/>
                <w:szCs w:val="20"/>
              </w:rPr>
            </w:pPr>
          </w:p>
          <w:p w14:paraId="2E106D61" w14:textId="77777777" w:rsidR="00221C59" w:rsidRPr="0003455E" w:rsidRDefault="00221C59" w:rsidP="00221C59">
            <w:pPr>
              <w:jc w:val="both"/>
              <w:rPr>
                <w:color w:val="000000" w:themeColor="text1"/>
                <w:szCs w:val="20"/>
              </w:rPr>
            </w:pPr>
            <w:r w:rsidRPr="0003455E">
              <w:rPr>
                <w:color w:val="000000" w:themeColor="text1"/>
                <w:szCs w:val="20"/>
              </w:rPr>
              <w:t xml:space="preserve">This basket of medicines has been selected from the 2017 WHO Model List of Essential Medicines and used in primary health care.  By definition, essential medicines are those that satisfy the priority health care needs of the population and are selected for inclusion on the Model List based on due consideration of disease prevalence, evidence of efficacy and safety, and consideration of cost and cost-effectiveness.  </w:t>
            </w:r>
          </w:p>
          <w:p w14:paraId="4740E3CD" w14:textId="77777777" w:rsidR="00221C59" w:rsidRPr="0003455E" w:rsidRDefault="00221C59" w:rsidP="00221C59">
            <w:pPr>
              <w:jc w:val="both"/>
              <w:rPr>
                <w:color w:val="000000" w:themeColor="text1"/>
                <w:szCs w:val="20"/>
              </w:rPr>
            </w:pPr>
          </w:p>
          <w:p w14:paraId="1F7006D7" w14:textId="77777777" w:rsidR="00221C59" w:rsidRPr="0003455E" w:rsidRDefault="00221C59" w:rsidP="00221C59">
            <w:pPr>
              <w:jc w:val="both"/>
              <w:rPr>
                <w:color w:val="000000" w:themeColor="text1"/>
                <w:szCs w:val="20"/>
              </w:rPr>
            </w:pPr>
            <w:r w:rsidRPr="0003455E">
              <w:rPr>
                <w:color w:val="000000" w:themeColor="text1"/>
                <w:szCs w:val="20"/>
              </w:rPr>
              <w:t>These medicines are listed in table 1 of Annex 1, where a detailed justification for including each medicine is also provided, as well as online references for the relevant treatment guidelines and sections in the WHO List of Essential Medicines.</w:t>
            </w:r>
          </w:p>
          <w:p w14:paraId="27C33801" w14:textId="77777777" w:rsidR="00221C59" w:rsidRPr="0003455E" w:rsidRDefault="00221C59" w:rsidP="00221C59">
            <w:pPr>
              <w:jc w:val="both"/>
              <w:rPr>
                <w:color w:val="000000" w:themeColor="text1"/>
                <w:szCs w:val="20"/>
              </w:rPr>
            </w:pPr>
          </w:p>
          <w:p w14:paraId="0748464C" w14:textId="77777777" w:rsidR="00221C59" w:rsidRPr="0003455E" w:rsidRDefault="00221C59" w:rsidP="00221C59">
            <w:pPr>
              <w:jc w:val="both"/>
              <w:rPr>
                <w:color w:val="000000" w:themeColor="text1"/>
                <w:szCs w:val="20"/>
              </w:rPr>
            </w:pPr>
            <w:r w:rsidRPr="0003455E">
              <w:rPr>
                <w:color w:val="000000" w:themeColor="text1"/>
                <w:szCs w:val="20"/>
              </w:rPr>
              <w:t>This list of medicines is intended as a global reference. However, to address regional and country specificities in terms of medicine needs, the medicines in this basket are weighted according to the regional burden of disease.</w:t>
            </w:r>
          </w:p>
          <w:p w14:paraId="7ABD9378" w14:textId="77777777" w:rsidR="00221C59" w:rsidRDefault="00221C59" w:rsidP="00221C59">
            <w:pPr>
              <w:jc w:val="both"/>
              <w:rPr>
                <w:color w:val="000000" w:themeColor="text1"/>
                <w:szCs w:val="20"/>
              </w:rPr>
            </w:pPr>
            <w:proofErr w:type="gramStart"/>
            <w:r w:rsidRPr="0003455E">
              <w:rPr>
                <w:color w:val="000000" w:themeColor="text1"/>
                <w:szCs w:val="20"/>
              </w:rPr>
              <w:t>3.a</w:t>
            </w:r>
            <w:proofErr w:type="gramEnd"/>
            <w:r w:rsidRPr="0003455E">
              <w:rPr>
                <w:color w:val="000000" w:themeColor="text1"/>
                <w:szCs w:val="20"/>
              </w:rPr>
              <w:t>) The global burden of disease is an assessment of the health of the world's population. More specifically, disease burden provides information on the global and regional estimates of premature mortality, disability and loss of health for causes. The summary measure used to give an indication of the burden of disease is the disability adjusted life years (DALYs), which represent a person’s loss of the equivalent of one year of full health. This metric incorporates years of life lost due to death and years of life lost through living in states of less than full health (or disability).</w:t>
            </w:r>
          </w:p>
          <w:p w14:paraId="55CF55D5" w14:textId="77777777" w:rsidR="00221C59" w:rsidRDefault="00221C59" w:rsidP="00221C59">
            <w:pPr>
              <w:jc w:val="both"/>
              <w:rPr>
                <w:color w:val="000000" w:themeColor="text1"/>
                <w:szCs w:val="20"/>
              </w:rPr>
            </w:pPr>
          </w:p>
          <w:p w14:paraId="0E1CB44F" w14:textId="77777777" w:rsidR="00221C59" w:rsidRPr="000C4849" w:rsidRDefault="00221C59" w:rsidP="00221C59">
            <w:pPr>
              <w:jc w:val="both"/>
              <w:rPr>
                <w:b/>
                <w:color w:val="000000" w:themeColor="text1"/>
                <w:szCs w:val="20"/>
              </w:rPr>
            </w:pPr>
            <w:r w:rsidRPr="000C4849">
              <w:rPr>
                <w:b/>
                <w:color w:val="000000" w:themeColor="text1"/>
                <w:szCs w:val="20"/>
              </w:rPr>
              <w:t>Computation Method:</w:t>
            </w:r>
          </w:p>
          <w:p w14:paraId="7E3DEBB3" w14:textId="77777777" w:rsidR="00221C59" w:rsidRDefault="00221C59" w:rsidP="00221C59">
            <w:pPr>
              <w:jc w:val="both"/>
              <w:rPr>
                <w:color w:val="000000" w:themeColor="text1"/>
                <w:szCs w:val="20"/>
              </w:rPr>
            </w:pPr>
            <w:r w:rsidRPr="0003455E">
              <w:rPr>
                <w:color w:val="000000" w:themeColor="text1"/>
                <w:szCs w:val="20"/>
              </w:rPr>
              <w:t>The index is computed as a ratio of the health facilities with available and affordable medicines for primary health care over the total number of the surveyed health facilities:</w:t>
            </w:r>
          </w:p>
          <w:p w14:paraId="28882A4A" w14:textId="77777777" w:rsidR="00221C59" w:rsidRPr="000C4849" w:rsidRDefault="004B4A24" w:rsidP="00221C59">
            <w:pPr>
              <w:jc w:val="both"/>
              <w:rPr>
                <w:color w:val="000000" w:themeColor="text1"/>
                <w:sz w:val="14"/>
                <w:szCs w:val="14"/>
              </w:rPr>
            </w:pPr>
            <m:oMathPara>
              <m:oMath>
                <m:sSub>
                  <m:sSubPr>
                    <m:ctrlPr>
                      <w:rPr>
                        <w:rFonts w:ascii="Cambria Math" w:eastAsia="Cambria Math" w:hAnsi="Cambria Math" w:cs="Cambria Math"/>
                        <w:i/>
                        <w:sz w:val="14"/>
                        <w:szCs w:val="14"/>
                      </w:rPr>
                    </m:ctrlPr>
                  </m:sSubPr>
                  <m:e>
                    <m:r>
                      <w:rPr>
                        <w:rFonts w:ascii="Cambria Math" w:eastAsia="Cambria Math" w:hAnsi="Cambria Math" w:cs="Cambria Math"/>
                        <w:sz w:val="14"/>
                        <w:szCs w:val="14"/>
                      </w:rPr>
                      <m:t>SDG</m:t>
                    </m:r>
                  </m:e>
                  <m:sub>
                    <m:r>
                      <w:rPr>
                        <w:rFonts w:ascii="Cambria Math" w:eastAsia="Cambria Math" w:hAnsi="Cambria Math" w:cs="Cambria Math"/>
                        <w:sz w:val="14"/>
                        <w:szCs w:val="14"/>
                      </w:rPr>
                      <m:t>3.b.3</m:t>
                    </m:r>
                  </m:sub>
                </m:sSub>
                <m:r>
                  <w:rPr>
                    <w:rFonts w:ascii="Cambria Math" w:eastAsia="Cambria Math" w:hAnsi="Cambria Math" w:cs="Cambria Math"/>
                    <w:sz w:val="14"/>
                    <w:szCs w:val="14"/>
                  </w:rPr>
                  <m:t>=</m:t>
                </m:r>
                <m:f>
                  <m:fPr>
                    <m:ctrlPr>
                      <w:rPr>
                        <w:rFonts w:ascii="Cambria Math" w:eastAsia="Cambria Math" w:hAnsi="Cambria Math" w:cs="Cambria Math"/>
                        <w:sz w:val="14"/>
                        <w:szCs w:val="14"/>
                      </w:rPr>
                    </m:ctrlPr>
                  </m:fPr>
                  <m:num>
                    <m:r>
                      <w:rPr>
                        <w:rFonts w:ascii="Cambria Math" w:eastAsia="Cambria Math" w:hAnsi="Cambria Math" w:cs="Cambria Math"/>
                        <w:sz w:val="14"/>
                        <w:szCs w:val="14"/>
                      </w:rPr>
                      <m:t>Facilities with available and affordable basket of medicines (n)</m:t>
                    </m:r>
                  </m:num>
                  <m:den>
                    <m:r>
                      <w:rPr>
                        <w:rFonts w:ascii="Cambria Math" w:eastAsia="Cambria Math" w:hAnsi="Cambria Math" w:cs="Cambria Math"/>
                        <w:sz w:val="14"/>
                        <w:szCs w:val="14"/>
                      </w:rPr>
                      <m:t>Surveyed Facilities (n)</m:t>
                    </m:r>
                  </m:den>
                </m:f>
              </m:oMath>
            </m:oMathPara>
          </w:p>
          <w:p w14:paraId="0ACB20E4" w14:textId="77777777" w:rsidR="00221C59" w:rsidRDefault="00221C59" w:rsidP="00221C59">
            <w:pPr>
              <w:jc w:val="both"/>
              <w:rPr>
                <w:color w:val="000000" w:themeColor="text1"/>
                <w:szCs w:val="20"/>
              </w:rPr>
            </w:pPr>
          </w:p>
          <w:p w14:paraId="2DB993A9" w14:textId="77777777" w:rsidR="00221C59" w:rsidRPr="0003455E" w:rsidRDefault="00221C59" w:rsidP="00221C59">
            <w:pPr>
              <w:jc w:val="both"/>
              <w:rPr>
                <w:color w:val="000000" w:themeColor="text1"/>
                <w:szCs w:val="20"/>
              </w:rPr>
            </w:pPr>
            <w:r w:rsidRPr="0003455E">
              <w:rPr>
                <w:color w:val="000000" w:themeColor="text1"/>
                <w:szCs w:val="20"/>
              </w:rPr>
              <w:t xml:space="preserve">For this indicator, the following variables are considered for a multidimensional understanding of the components of access to medicines:  </w:t>
            </w:r>
          </w:p>
          <w:p w14:paraId="43628326" w14:textId="77777777" w:rsidR="00221C59" w:rsidRPr="000C4849" w:rsidRDefault="00221C59" w:rsidP="000C4849">
            <w:pPr>
              <w:pStyle w:val="ListParagraph"/>
              <w:numPr>
                <w:ilvl w:val="0"/>
                <w:numId w:val="170"/>
              </w:numPr>
              <w:jc w:val="both"/>
              <w:rPr>
                <w:color w:val="000000" w:themeColor="text1"/>
                <w:szCs w:val="20"/>
              </w:rPr>
            </w:pPr>
            <w:r w:rsidRPr="000C4849">
              <w:rPr>
                <w:rFonts w:ascii="Tw Cen MT Condensed" w:hAnsi="Tw Cen MT Condensed"/>
                <w:color w:val="000000" w:themeColor="text1"/>
                <w:sz w:val="20"/>
                <w:szCs w:val="20"/>
              </w:rPr>
              <w:t xml:space="preserve">A core set of relevant essential medicines for primary healthcare </w:t>
            </w:r>
          </w:p>
          <w:p w14:paraId="354E30F5" w14:textId="77777777" w:rsidR="00221C59" w:rsidRPr="000C4849" w:rsidRDefault="00221C59" w:rsidP="000C4849">
            <w:pPr>
              <w:pStyle w:val="ListParagraph"/>
              <w:numPr>
                <w:ilvl w:val="0"/>
                <w:numId w:val="170"/>
              </w:numPr>
              <w:jc w:val="both"/>
              <w:rPr>
                <w:color w:val="000000" w:themeColor="text1"/>
                <w:szCs w:val="20"/>
              </w:rPr>
            </w:pPr>
            <w:r w:rsidRPr="000C4849">
              <w:rPr>
                <w:rFonts w:ascii="Tw Cen MT Condensed" w:hAnsi="Tw Cen MT Condensed"/>
                <w:color w:val="000000" w:themeColor="text1"/>
                <w:sz w:val="20"/>
                <w:szCs w:val="20"/>
              </w:rPr>
              <w:t>Regional burden of disease</w:t>
            </w:r>
          </w:p>
          <w:p w14:paraId="13B8ECEA" w14:textId="77777777" w:rsidR="00221C59" w:rsidRPr="000C4849" w:rsidRDefault="00221C59" w:rsidP="000C4849">
            <w:pPr>
              <w:pStyle w:val="ListParagraph"/>
              <w:numPr>
                <w:ilvl w:val="0"/>
                <w:numId w:val="170"/>
              </w:numPr>
              <w:jc w:val="both"/>
              <w:rPr>
                <w:color w:val="000000" w:themeColor="text1"/>
                <w:szCs w:val="20"/>
              </w:rPr>
            </w:pPr>
            <w:r w:rsidRPr="000C4849">
              <w:rPr>
                <w:rFonts w:ascii="Tw Cen MT Condensed" w:hAnsi="Tw Cen MT Condensed"/>
                <w:color w:val="000000" w:themeColor="text1"/>
                <w:sz w:val="20"/>
                <w:szCs w:val="20"/>
              </w:rPr>
              <w:t>Availability of a medicine</w:t>
            </w:r>
          </w:p>
          <w:p w14:paraId="3865928B" w14:textId="77777777" w:rsidR="00221C59" w:rsidRPr="000C4849" w:rsidRDefault="00221C59" w:rsidP="000C4849">
            <w:pPr>
              <w:pStyle w:val="ListParagraph"/>
              <w:numPr>
                <w:ilvl w:val="0"/>
                <w:numId w:val="170"/>
              </w:numPr>
              <w:jc w:val="both"/>
              <w:rPr>
                <w:color w:val="000000" w:themeColor="text1"/>
                <w:szCs w:val="20"/>
              </w:rPr>
            </w:pPr>
            <w:r w:rsidRPr="000C4849">
              <w:rPr>
                <w:rFonts w:ascii="Tw Cen MT Condensed" w:hAnsi="Tw Cen MT Condensed"/>
                <w:color w:val="000000" w:themeColor="text1"/>
                <w:sz w:val="20"/>
                <w:szCs w:val="20"/>
              </w:rPr>
              <w:t>Price of a medicine</w:t>
            </w:r>
          </w:p>
          <w:p w14:paraId="2BB3A78E" w14:textId="77777777" w:rsidR="00221C59" w:rsidRPr="000C4849" w:rsidRDefault="00221C59" w:rsidP="000C4849">
            <w:pPr>
              <w:pStyle w:val="ListParagraph"/>
              <w:numPr>
                <w:ilvl w:val="0"/>
                <w:numId w:val="170"/>
              </w:numPr>
              <w:jc w:val="both"/>
              <w:rPr>
                <w:color w:val="000000" w:themeColor="text1"/>
                <w:szCs w:val="20"/>
              </w:rPr>
            </w:pPr>
            <w:r w:rsidRPr="000C4849">
              <w:rPr>
                <w:rFonts w:ascii="Tw Cen MT Condensed" w:hAnsi="Tw Cen MT Condensed"/>
                <w:color w:val="000000" w:themeColor="text1"/>
                <w:sz w:val="20"/>
                <w:szCs w:val="20"/>
              </w:rPr>
              <w:t>Treatment courses for each medicine (number of units per treatment &amp; duration of treatment)</w:t>
            </w:r>
          </w:p>
          <w:p w14:paraId="262FA9E3" w14:textId="77777777" w:rsidR="00221C59" w:rsidRPr="000C4849" w:rsidRDefault="00221C59" w:rsidP="000C4849">
            <w:pPr>
              <w:pStyle w:val="ListParagraph"/>
              <w:numPr>
                <w:ilvl w:val="0"/>
                <w:numId w:val="170"/>
              </w:numPr>
              <w:jc w:val="both"/>
              <w:rPr>
                <w:color w:val="000000" w:themeColor="text1"/>
                <w:szCs w:val="20"/>
              </w:rPr>
            </w:pPr>
            <w:r w:rsidRPr="000C4849">
              <w:rPr>
                <w:rFonts w:ascii="Tw Cen MT Condensed" w:hAnsi="Tw Cen MT Condensed"/>
                <w:color w:val="000000" w:themeColor="text1"/>
                <w:sz w:val="20"/>
                <w:szCs w:val="20"/>
              </w:rPr>
              <w:t>National poverty line and lowest-paid unskilled government worker (LPGW) wage</w:t>
            </w:r>
          </w:p>
          <w:p w14:paraId="0D951EE4" w14:textId="77777777" w:rsidR="00221C59" w:rsidRPr="000C4849" w:rsidRDefault="00221C59" w:rsidP="000C4849">
            <w:pPr>
              <w:pStyle w:val="ListParagraph"/>
              <w:numPr>
                <w:ilvl w:val="0"/>
                <w:numId w:val="170"/>
              </w:numPr>
              <w:jc w:val="both"/>
              <w:rPr>
                <w:color w:val="000000" w:themeColor="text1"/>
                <w:szCs w:val="20"/>
              </w:rPr>
            </w:pPr>
            <w:r w:rsidRPr="000C4849">
              <w:rPr>
                <w:rFonts w:ascii="Tw Cen MT Condensed" w:hAnsi="Tw Cen MT Condensed"/>
                <w:color w:val="000000" w:themeColor="text1"/>
                <w:sz w:val="20"/>
                <w:szCs w:val="20"/>
              </w:rPr>
              <w:lastRenderedPageBreak/>
              <w:t>Proxy for quality of the core set of relevant essential medicines.</w:t>
            </w:r>
          </w:p>
          <w:p w14:paraId="2CCED7DD" w14:textId="77777777" w:rsidR="00221C59" w:rsidRPr="0003455E" w:rsidRDefault="00221C59" w:rsidP="00221C59">
            <w:pPr>
              <w:jc w:val="both"/>
              <w:rPr>
                <w:color w:val="000000" w:themeColor="text1"/>
                <w:szCs w:val="20"/>
              </w:rPr>
            </w:pPr>
            <w:r w:rsidRPr="0003455E">
              <w:rPr>
                <w:color w:val="000000" w:themeColor="text1"/>
                <w:szCs w:val="20"/>
              </w:rPr>
              <w:t xml:space="preserve">The index is measured for each facility separately. Then a proportion of facilities that have accessible medicines </w:t>
            </w:r>
            <w:proofErr w:type="gramStart"/>
            <w:r w:rsidRPr="0003455E">
              <w:rPr>
                <w:color w:val="000000" w:themeColor="text1"/>
                <w:szCs w:val="20"/>
              </w:rPr>
              <w:t>is</w:t>
            </w:r>
            <w:proofErr w:type="gramEnd"/>
            <w:r w:rsidRPr="0003455E">
              <w:rPr>
                <w:color w:val="000000" w:themeColor="text1"/>
                <w:szCs w:val="20"/>
              </w:rPr>
              <w:t xml:space="preserve"> computed. The following steps must be taken to compute the index at the facility level:</w:t>
            </w:r>
          </w:p>
          <w:p w14:paraId="163BF442"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Review and selection of the core basket of medicines for primary health care</w:t>
            </w:r>
          </w:p>
          <w:p w14:paraId="15163995"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Estimate weights for the defined medicines based on regional burden of disease</w:t>
            </w:r>
          </w:p>
          <w:p w14:paraId="10ABC60C"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Measure the two dimensions of the access to medicine</w:t>
            </w:r>
          </w:p>
          <w:p w14:paraId="28D987B0"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Availability</w:t>
            </w:r>
          </w:p>
          <w:p w14:paraId="3C372FCC"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Affordability</w:t>
            </w:r>
          </w:p>
          <w:p w14:paraId="2C317C2D"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Combine the two dimensions on availability and affordability (access to medicines)</w:t>
            </w:r>
          </w:p>
          <w:p w14:paraId="0175A6BD"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Apply weights to the medicine in the basket according to the regional prevalence of the diseases that are cured, treated, and controlled by these medicines</w:t>
            </w:r>
          </w:p>
          <w:p w14:paraId="198A52B7" w14:textId="77777777" w:rsidR="00221C59" w:rsidRPr="000C4849" w:rsidRDefault="00221C59" w:rsidP="000C4849">
            <w:pPr>
              <w:pStyle w:val="ListParagraph"/>
              <w:numPr>
                <w:ilvl w:val="0"/>
                <w:numId w:val="171"/>
              </w:numPr>
              <w:jc w:val="both"/>
              <w:rPr>
                <w:color w:val="000000" w:themeColor="text1"/>
                <w:szCs w:val="20"/>
              </w:rPr>
            </w:pPr>
            <w:r w:rsidRPr="000C4849">
              <w:rPr>
                <w:rFonts w:ascii="Tw Cen MT Condensed" w:hAnsi="Tw Cen MT Condensed"/>
                <w:color w:val="000000" w:themeColor="text1"/>
                <w:sz w:val="20"/>
                <w:szCs w:val="20"/>
              </w:rPr>
              <w:t xml:space="preserve">Identify whether a facility has a core set of relevant essential medicines available and affordable </w:t>
            </w:r>
          </w:p>
          <w:p w14:paraId="6A93F6D8" w14:textId="77777777" w:rsidR="00221C59" w:rsidRDefault="00221C59" w:rsidP="00221C59">
            <w:pPr>
              <w:jc w:val="both"/>
              <w:rPr>
                <w:color w:val="000000" w:themeColor="text1"/>
                <w:szCs w:val="20"/>
              </w:rPr>
            </w:pPr>
          </w:p>
          <w:p w14:paraId="4971A2EF" w14:textId="77777777" w:rsidR="00221C59" w:rsidRPr="0003455E" w:rsidRDefault="00221C59" w:rsidP="00221C59">
            <w:pPr>
              <w:jc w:val="both"/>
              <w:rPr>
                <w:color w:val="000000" w:themeColor="text1"/>
                <w:szCs w:val="20"/>
              </w:rPr>
            </w:pPr>
            <w:r w:rsidRPr="0003455E">
              <w:rPr>
                <w:color w:val="000000" w:themeColor="text1"/>
                <w:szCs w:val="20"/>
              </w:rPr>
              <w:t>The next two steps are calculated at the country level across all the surveyed facilities:</w:t>
            </w:r>
          </w:p>
          <w:p w14:paraId="2784808B" w14:textId="77777777" w:rsidR="00221C59" w:rsidRPr="000C4849" w:rsidRDefault="00221C59" w:rsidP="000C4849">
            <w:pPr>
              <w:pStyle w:val="ListParagraph"/>
              <w:numPr>
                <w:ilvl w:val="0"/>
                <w:numId w:val="172"/>
              </w:numPr>
              <w:jc w:val="both"/>
              <w:rPr>
                <w:color w:val="000000" w:themeColor="text1"/>
                <w:szCs w:val="20"/>
              </w:rPr>
            </w:pPr>
            <w:r w:rsidRPr="000C4849">
              <w:rPr>
                <w:rFonts w:ascii="Tw Cen MT Condensed" w:hAnsi="Tw Cen MT Condensed"/>
                <w:color w:val="000000" w:themeColor="text1"/>
                <w:sz w:val="20"/>
                <w:szCs w:val="20"/>
              </w:rPr>
              <w:t>Calculate the indicator as the proportion of facilities with accessible medicines in the country</w:t>
            </w:r>
          </w:p>
          <w:p w14:paraId="2144268B" w14:textId="77777777" w:rsidR="00221C59" w:rsidRPr="000C4849" w:rsidRDefault="00221C59" w:rsidP="000C4849">
            <w:pPr>
              <w:pStyle w:val="ListParagraph"/>
              <w:numPr>
                <w:ilvl w:val="0"/>
                <w:numId w:val="172"/>
              </w:numPr>
              <w:jc w:val="both"/>
              <w:rPr>
                <w:color w:val="000000" w:themeColor="text1"/>
                <w:szCs w:val="20"/>
              </w:rPr>
            </w:pPr>
            <w:r w:rsidRPr="000C4849">
              <w:rPr>
                <w:rFonts w:ascii="Tw Cen MT Condensed" w:hAnsi="Tw Cen MT Condensed"/>
                <w:color w:val="000000" w:themeColor="text1"/>
                <w:sz w:val="20"/>
                <w:szCs w:val="20"/>
              </w:rPr>
              <w:t>Consideration of the quality of the accessible medicines in the country using a proxy</w:t>
            </w:r>
          </w:p>
          <w:p w14:paraId="4E87785D" w14:textId="77777777" w:rsidR="00221C59" w:rsidRPr="00092E7D" w:rsidRDefault="00221C59" w:rsidP="00221C59">
            <w:pPr>
              <w:jc w:val="both"/>
              <w:rPr>
                <w:color w:val="000000" w:themeColor="text1"/>
                <w:szCs w:val="20"/>
              </w:rPr>
            </w:pPr>
          </w:p>
        </w:tc>
        <w:tc>
          <w:tcPr>
            <w:tcW w:w="0" w:type="auto"/>
            <w:shd w:val="clear" w:color="auto" w:fill="auto"/>
          </w:tcPr>
          <w:p w14:paraId="3A07B897" w14:textId="0E83D1B5" w:rsidR="00221C59" w:rsidRDefault="00374C3D" w:rsidP="00221C59">
            <w:pPr>
              <w:jc w:val="center"/>
              <w:rPr>
                <w:bCs/>
                <w:szCs w:val="20"/>
              </w:rPr>
            </w:pPr>
            <w:r w:rsidRPr="006A32FC">
              <w:lastRenderedPageBreak/>
              <w:t xml:space="preserve">The Service Availability and Readiness Assessment survey </w:t>
            </w:r>
            <w:r w:rsidRPr="006A32FC">
              <w:rPr>
                <w:b/>
                <w:bCs/>
              </w:rPr>
              <w:t>[SARA]</w:t>
            </w:r>
          </w:p>
          <w:p w14:paraId="3E2167C5" w14:textId="55415132" w:rsidR="00374C3D" w:rsidRPr="00A05F9D" w:rsidRDefault="00374C3D" w:rsidP="00221C59">
            <w:pPr>
              <w:jc w:val="center"/>
              <w:rPr>
                <w:bCs/>
                <w:szCs w:val="20"/>
              </w:rPr>
            </w:pPr>
            <w:r w:rsidRPr="006A32FC">
              <w:t>Health Action International Project supported by the WHO</w:t>
            </w:r>
          </w:p>
        </w:tc>
        <w:tc>
          <w:tcPr>
            <w:tcW w:w="0" w:type="auto"/>
            <w:shd w:val="clear" w:color="auto" w:fill="auto"/>
          </w:tcPr>
          <w:p w14:paraId="2296BE32" w14:textId="7210D043" w:rsidR="00221C59" w:rsidRPr="00A05F9D" w:rsidRDefault="00374C3D" w:rsidP="00221C59">
            <w:pPr>
              <w:jc w:val="center"/>
              <w:rPr>
                <w:bCs/>
                <w:szCs w:val="20"/>
              </w:rPr>
            </w:pPr>
            <w:r w:rsidRPr="006A32FC">
              <w:t>Ministries of Health (MOH)</w:t>
            </w:r>
          </w:p>
        </w:tc>
        <w:tc>
          <w:tcPr>
            <w:tcW w:w="0" w:type="auto"/>
            <w:shd w:val="clear" w:color="auto" w:fill="auto"/>
          </w:tcPr>
          <w:p w14:paraId="0C0B3E89" w14:textId="77777777" w:rsidR="00221C59" w:rsidRDefault="00221C59" w:rsidP="00221C59">
            <w:pPr>
              <w:jc w:val="center"/>
              <w:rPr>
                <w:color w:val="000000" w:themeColor="text1"/>
                <w:sz w:val="18"/>
                <w:szCs w:val="18"/>
              </w:rPr>
            </w:pPr>
            <w:r>
              <w:rPr>
                <w:color w:val="000000" w:themeColor="text1"/>
                <w:sz w:val="18"/>
                <w:szCs w:val="18"/>
              </w:rPr>
              <w:t>-</w:t>
            </w:r>
          </w:p>
        </w:tc>
        <w:tc>
          <w:tcPr>
            <w:tcW w:w="0" w:type="auto"/>
            <w:shd w:val="clear" w:color="auto" w:fill="auto"/>
          </w:tcPr>
          <w:p w14:paraId="266AD45B" w14:textId="77777777" w:rsidR="00221C59" w:rsidRPr="00092E7D" w:rsidRDefault="00221C59" w:rsidP="00221C59">
            <w:pPr>
              <w:ind w:left="10"/>
              <w:rPr>
                <w:bCs/>
                <w:szCs w:val="20"/>
              </w:rPr>
            </w:pPr>
            <w:r>
              <w:rPr>
                <w:bCs/>
                <w:szCs w:val="20"/>
              </w:rPr>
              <w:t>a) BHFS, NIPORT</w:t>
            </w:r>
          </w:p>
        </w:tc>
        <w:tc>
          <w:tcPr>
            <w:tcW w:w="0" w:type="auto"/>
            <w:shd w:val="clear" w:color="auto" w:fill="auto"/>
          </w:tcPr>
          <w:p w14:paraId="543ACD27" w14:textId="0A128D6F" w:rsidR="00BF3271" w:rsidRPr="00BF3271" w:rsidRDefault="00BF3271" w:rsidP="00BF3271">
            <w:pPr>
              <w:jc w:val="center"/>
              <w:rPr>
                <w:bCs/>
                <w:szCs w:val="20"/>
              </w:rPr>
            </w:pPr>
            <w:r>
              <w:t xml:space="preserve"> 1. </w:t>
            </w:r>
            <w:r w:rsidRPr="00BF3271">
              <w:rPr>
                <w:bCs/>
                <w:szCs w:val="20"/>
              </w:rPr>
              <w:t>public/private/mission sectors facilities (managing authority)</w:t>
            </w:r>
          </w:p>
          <w:p w14:paraId="6EDD2D7A" w14:textId="407096FB" w:rsidR="00BF3271" w:rsidRPr="00BF3271" w:rsidRDefault="00BF3271" w:rsidP="00BF3271">
            <w:pPr>
              <w:jc w:val="center"/>
              <w:rPr>
                <w:bCs/>
                <w:szCs w:val="20"/>
              </w:rPr>
            </w:pPr>
            <w:r>
              <w:rPr>
                <w:bCs/>
                <w:szCs w:val="20"/>
              </w:rPr>
              <w:t xml:space="preserve">2. </w:t>
            </w:r>
            <w:r w:rsidRPr="00BF3271">
              <w:rPr>
                <w:bCs/>
                <w:szCs w:val="20"/>
              </w:rPr>
              <w:t>geography – rural/urban areas</w:t>
            </w:r>
          </w:p>
          <w:p w14:paraId="36269922" w14:textId="39557ADD" w:rsidR="00BF3271" w:rsidRPr="00BF3271" w:rsidRDefault="00BF3271" w:rsidP="00BF3271">
            <w:pPr>
              <w:jc w:val="center"/>
              <w:rPr>
                <w:bCs/>
                <w:szCs w:val="20"/>
              </w:rPr>
            </w:pPr>
            <w:r>
              <w:rPr>
                <w:bCs/>
                <w:szCs w:val="20"/>
              </w:rPr>
              <w:t xml:space="preserve">3. </w:t>
            </w:r>
            <w:r w:rsidRPr="00BF3271">
              <w:rPr>
                <w:bCs/>
                <w:szCs w:val="20"/>
              </w:rPr>
              <w:t xml:space="preserve">therapeutic group </w:t>
            </w:r>
          </w:p>
          <w:p w14:paraId="01CD71EA" w14:textId="23E2A25B" w:rsidR="00BF3271" w:rsidRPr="00BF3271" w:rsidRDefault="00BF3271" w:rsidP="00BF3271">
            <w:pPr>
              <w:jc w:val="center"/>
              <w:rPr>
                <w:bCs/>
                <w:szCs w:val="20"/>
              </w:rPr>
            </w:pPr>
            <w:r>
              <w:rPr>
                <w:bCs/>
                <w:szCs w:val="20"/>
              </w:rPr>
              <w:t xml:space="preserve">4. </w:t>
            </w:r>
            <w:r w:rsidRPr="00BF3271">
              <w:rPr>
                <w:bCs/>
                <w:szCs w:val="20"/>
              </w:rPr>
              <w:t>facility type (pharmacy/hospital)</w:t>
            </w:r>
          </w:p>
          <w:p w14:paraId="6B615E94" w14:textId="08378C35" w:rsidR="00221C59" w:rsidRPr="00092E7D" w:rsidRDefault="00BF3271" w:rsidP="00BF3271">
            <w:pPr>
              <w:jc w:val="center"/>
              <w:rPr>
                <w:bCs/>
                <w:szCs w:val="20"/>
              </w:rPr>
            </w:pPr>
            <w:r>
              <w:rPr>
                <w:bCs/>
                <w:szCs w:val="20"/>
              </w:rPr>
              <w:t xml:space="preserve">5. </w:t>
            </w:r>
            <w:proofErr w:type="gramStart"/>
            <w:r w:rsidRPr="00BF3271">
              <w:rPr>
                <w:bCs/>
                <w:szCs w:val="20"/>
              </w:rPr>
              <w:t>medicine</w:t>
            </w:r>
            <w:proofErr w:type="gramEnd"/>
            <w:r w:rsidRPr="00BF3271">
              <w:rPr>
                <w:bCs/>
                <w:szCs w:val="20"/>
              </w:rPr>
              <w:t>.</w:t>
            </w:r>
          </w:p>
        </w:tc>
        <w:tc>
          <w:tcPr>
            <w:tcW w:w="0" w:type="auto"/>
            <w:shd w:val="clear" w:color="auto" w:fill="auto"/>
          </w:tcPr>
          <w:p w14:paraId="11764476" w14:textId="77777777" w:rsidR="00221C59" w:rsidRDefault="00221C59" w:rsidP="00221C59">
            <w:pPr>
              <w:jc w:val="center"/>
              <w:rPr>
                <w:bCs/>
                <w:szCs w:val="20"/>
              </w:rPr>
            </w:pPr>
            <w:r>
              <w:rPr>
                <w:bCs/>
                <w:szCs w:val="20"/>
              </w:rPr>
              <w:t>Annual</w:t>
            </w:r>
          </w:p>
        </w:tc>
        <w:tc>
          <w:tcPr>
            <w:tcW w:w="0" w:type="auto"/>
            <w:shd w:val="clear" w:color="auto" w:fill="auto"/>
          </w:tcPr>
          <w:p w14:paraId="012D1D8A" w14:textId="77777777" w:rsidR="00221C59" w:rsidRDefault="00221C59" w:rsidP="00221C59">
            <w:pPr>
              <w:pStyle w:val="NoSpacing"/>
            </w:pPr>
            <w:r>
              <w:t>1</w:t>
            </w:r>
            <w:r w:rsidRPr="00013ACB">
              <w:rPr>
                <w:vertAlign w:val="superscript"/>
              </w:rPr>
              <w:t>st</w:t>
            </w:r>
            <w:r>
              <w:t xml:space="preserve"> Round: </w:t>
            </w:r>
          </w:p>
          <w:p w14:paraId="3AD2F33A" w14:textId="77777777" w:rsidR="00221C59" w:rsidRDefault="00221C59" w:rsidP="00221C59">
            <w:pPr>
              <w:jc w:val="center"/>
              <w:rPr>
                <w:bCs/>
                <w:szCs w:val="20"/>
              </w:rPr>
            </w:pPr>
            <w:r>
              <w:rPr>
                <w:bCs/>
                <w:szCs w:val="20"/>
              </w:rPr>
              <w:t>December, 2020</w:t>
            </w:r>
          </w:p>
          <w:p w14:paraId="49C9C579" w14:textId="77777777" w:rsidR="00221C59" w:rsidRDefault="00221C59" w:rsidP="00221C59">
            <w:pPr>
              <w:pStyle w:val="NoSpacing"/>
            </w:pPr>
          </w:p>
          <w:p w14:paraId="5CA98A3F" w14:textId="77777777" w:rsidR="00221C59" w:rsidRDefault="00221C59" w:rsidP="00221C59">
            <w:pPr>
              <w:pStyle w:val="NoSpacing"/>
            </w:pPr>
            <w:r>
              <w:t>2</w:t>
            </w:r>
            <w:r w:rsidRPr="00013ACB">
              <w:rPr>
                <w:vertAlign w:val="superscript"/>
              </w:rPr>
              <w:t>nd</w:t>
            </w:r>
            <w:r>
              <w:t xml:space="preserve"> Round: </w:t>
            </w:r>
          </w:p>
          <w:p w14:paraId="6F29842D" w14:textId="77777777" w:rsidR="00221C59" w:rsidRPr="00157DD1" w:rsidRDefault="00221C59" w:rsidP="00221C59">
            <w:pPr>
              <w:jc w:val="center"/>
              <w:rPr>
                <w:bCs/>
                <w:szCs w:val="20"/>
              </w:rPr>
            </w:pPr>
            <w:r>
              <w:rPr>
                <w:bCs/>
                <w:szCs w:val="20"/>
              </w:rPr>
              <w:t>December, 2023</w:t>
            </w:r>
          </w:p>
          <w:p w14:paraId="26C0A4C4" w14:textId="77777777" w:rsidR="00221C59" w:rsidRDefault="00221C59" w:rsidP="00221C59">
            <w:pPr>
              <w:pStyle w:val="NoSpacing"/>
            </w:pPr>
            <w:r>
              <w:t>3</w:t>
            </w:r>
            <w:r w:rsidRPr="00013ACB">
              <w:rPr>
                <w:vertAlign w:val="superscript"/>
              </w:rPr>
              <w:t>rd</w:t>
            </w:r>
            <w:r>
              <w:t xml:space="preserve"> Round: </w:t>
            </w:r>
          </w:p>
          <w:p w14:paraId="477DB4C4" w14:textId="77777777" w:rsidR="00221C59" w:rsidRPr="00157DD1" w:rsidRDefault="00221C59" w:rsidP="00221C59">
            <w:pPr>
              <w:jc w:val="center"/>
              <w:rPr>
                <w:bCs/>
                <w:szCs w:val="20"/>
              </w:rPr>
            </w:pPr>
            <w:r>
              <w:rPr>
                <w:bCs/>
                <w:szCs w:val="20"/>
              </w:rPr>
              <w:t>December, 2026</w:t>
            </w:r>
          </w:p>
          <w:p w14:paraId="3C8C9A92" w14:textId="77777777" w:rsidR="00221C59" w:rsidRDefault="00221C59" w:rsidP="00221C59">
            <w:pPr>
              <w:pStyle w:val="NoSpacing"/>
            </w:pPr>
            <w:r>
              <w:t>4</w:t>
            </w:r>
            <w:r w:rsidRPr="00013ACB">
              <w:rPr>
                <w:vertAlign w:val="superscript"/>
              </w:rPr>
              <w:t>th</w:t>
            </w:r>
            <w:r>
              <w:t xml:space="preserve"> Round: </w:t>
            </w:r>
          </w:p>
          <w:p w14:paraId="7912A4EF" w14:textId="77777777" w:rsidR="00221C59" w:rsidRPr="00157DD1" w:rsidRDefault="00221C59" w:rsidP="00221C59">
            <w:pPr>
              <w:jc w:val="center"/>
              <w:rPr>
                <w:bCs/>
                <w:szCs w:val="20"/>
              </w:rPr>
            </w:pPr>
            <w:r>
              <w:rPr>
                <w:bCs/>
                <w:szCs w:val="20"/>
              </w:rPr>
              <w:t>December, 2029</w:t>
            </w:r>
          </w:p>
          <w:p w14:paraId="5B4E531E" w14:textId="77777777" w:rsidR="00221C59" w:rsidRDefault="00221C59" w:rsidP="00221C59">
            <w:pPr>
              <w:pStyle w:val="NoSpacing"/>
            </w:pPr>
            <w:r>
              <w:t>5</w:t>
            </w:r>
            <w:r w:rsidRPr="00013ACB">
              <w:rPr>
                <w:vertAlign w:val="superscript"/>
              </w:rPr>
              <w:t>th</w:t>
            </w:r>
            <w:r>
              <w:t xml:space="preserve"> Round: </w:t>
            </w:r>
          </w:p>
          <w:p w14:paraId="66D78E1F" w14:textId="04C88ECE" w:rsidR="00221C59" w:rsidRPr="002175FB" w:rsidRDefault="00221C59" w:rsidP="00221C59">
            <w:pPr>
              <w:jc w:val="center"/>
              <w:rPr>
                <w:bCs/>
                <w:szCs w:val="20"/>
              </w:rPr>
            </w:pPr>
            <w:r>
              <w:rPr>
                <w:bCs/>
                <w:szCs w:val="20"/>
              </w:rPr>
              <w:t>December, 2030</w:t>
            </w:r>
          </w:p>
        </w:tc>
        <w:tc>
          <w:tcPr>
            <w:tcW w:w="682" w:type="dxa"/>
            <w:shd w:val="clear" w:color="auto" w:fill="auto"/>
          </w:tcPr>
          <w:p w14:paraId="76742E80" w14:textId="77777777" w:rsidR="00221C59" w:rsidRPr="00092E7D" w:rsidRDefault="00221C59" w:rsidP="00221C59">
            <w:pPr>
              <w:jc w:val="both"/>
              <w:rPr>
                <w:bCs/>
                <w:szCs w:val="20"/>
              </w:rPr>
            </w:pPr>
            <w:r>
              <w:rPr>
                <w:bCs/>
                <w:szCs w:val="20"/>
              </w:rPr>
              <w:t>Group 3</w:t>
            </w:r>
          </w:p>
        </w:tc>
        <w:tc>
          <w:tcPr>
            <w:tcW w:w="983" w:type="dxa"/>
            <w:shd w:val="clear" w:color="auto" w:fill="auto"/>
          </w:tcPr>
          <w:p w14:paraId="6228CC46" w14:textId="77777777" w:rsidR="00221C59" w:rsidRPr="00092E7D" w:rsidRDefault="00221C59" w:rsidP="00221C59">
            <w:pPr>
              <w:pStyle w:val="NoSpacing"/>
              <w:rPr>
                <w:bCs/>
                <w:szCs w:val="20"/>
              </w:rPr>
            </w:pPr>
            <w:r w:rsidRPr="00D70F87">
              <w:t>This</w:t>
            </w:r>
            <w:r w:rsidRPr="00D70F87">
              <w:br/>
              <w:t>information</w:t>
            </w:r>
            <w:r w:rsidRPr="00D70F87">
              <w:br/>
              <w:t>may be</w:t>
            </w:r>
            <w:r>
              <w:rPr>
                <w:rFonts w:ascii="TwCenMT-Condensed" w:hAnsi="TwCenMT-Condensed"/>
                <w:sz w:val="18"/>
                <w:szCs w:val="18"/>
              </w:rPr>
              <w:t xml:space="preserve"> </w:t>
            </w:r>
            <w:r>
              <w:t>obtained from</w:t>
            </w:r>
            <w:r>
              <w:br/>
              <w:t>the BHFS Final</w:t>
            </w:r>
            <w:r>
              <w:br/>
              <w:t>Report, which</w:t>
            </w:r>
            <w:r>
              <w:br/>
              <w:t>may be</w:t>
            </w:r>
            <w:r>
              <w:br/>
              <w:t>available by</w:t>
            </w:r>
            <w:r>
              <w:br/>
              <w:t>August 2019</w:t>
            </w:r>
          </w:p>
        </w:tc>
      </w:tr>
      <w:tr w:rsidR="00D46636" w14:paraId="1AB57F90" w14:textId="77777777" w:rsidTr="0085651F">
        <w:tc>
          <w:tcPr>
            <w:tcW w:w="0" w:type="auto"/>
            <w:gridSpan w:val="14"/>
            <w:shd w:val="clear" w:color="auto" w:fill="auto"/>
          </w:tcPr>
          <w:p w14:paraId="5F1A9AE7"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3.c: Substantially increase health financing and the recruitment, development, training and retention of the health workforce in developing countries, especially in least developed countries and small island developing States</w:t>
            </w:r>
          </w:p>
        </w:tc>
      </w:tr>
      <w:tr w:rsidR="00BF3271" w14:paraId="4A6E17B9" w14:textId="77777777" w:rsidTr="0085651F">
        <w:tc>
          <w:tcPr>
            <w:tcW w:w="0" w:type="auto"/>
            <w:gridSpan w:val="2"/>
            <w:shd w:val="clear" w:color="auto" w:fill="auto"/>
          </w:tcPr>
          <w:p w14:paraId="3FEB8384" w14:textId="77777777" w:rsidR="00221C59" w:rsidRPr="00092E7D" w:rsidRDefault="00221C59" w:rsidP="00221C59">
            <w:pPr>
              <w:ind w:left="-20"/>
              <w:jc w:val="both"/>
              <w:rPr>
                <w:szCs w:val="20"/>
              </w:rPr>
            </w:pPr>
            <w:r w:rsidRPr="00092E7D">
              <w:rPr>
                <w:szCs w:val="20"/>
              </w:rPr>
              <w:lastRenderedPageBreak/>
              <w:t>3.c.1 Health worker density and distribution</w:t>
            </w:r>
          </w:p>
        </w:tc>
        <w:tc>
          <w:tcPr>
            <w:tcW w:w="0" w:type="auto"/>
            <w:shd w:val="clear" w:color="auto" w:fill="auto"/>
          </w:tcPr>
          <w:p w14:paraId="49212E60" w14:textId="77777777" w:rsidR="00221C59" w:rsidRDefault="00221C59" w:rsidP="00221C59">
            <w:pPr>
              <w:jc w:val="center"/>
              <w:rPr>
                <w:szCs w:val="20"/>
              </w:rPr>
            </w:pPr>
            <w:r>
              <w:rPr>
                <w:szCs w:val="20"/>
              </w:rPr>
              <w:t>WHO</w:t>
            </w:r>
          </w:p>
        </w:tc>
        <w:tc>
          <w:tcPr>
            <w:tcW w:w="0" w:type="auto"/>
            <w:shd w:val="clear" w:color="auto" w:fill="auto"/>
          </w:tcPr>
          <w:p w14:paraId="18FD0766" w14:textId="77777777" w:rsidR="00221C59" w:rsidRDefault="00221C59" w:rsidP="00221C59">
            <w:pPr>
              <w:jc w:val="center"/>
              <w:rPr>
                <w:szCs w:val="20"/>
              </w:rPr>
            </w:pPr>
            <w:r>
              <w:rPr>
                <w:szCs w:val="20"/>
              </w:rPr>
              <w:t>Tier I</w:t>
            </w:r>
          </w:p>
        </w:tc>
        <w:tc>
          <w:tcPr>
            <w:tcW w:w="0" w:type="auto"/>
            <w:shd w:val="clear" w:color="auto" w:fill="auto"/>
          </w:tcPr>
          <w:p w14:paraId="3E118475" w14:textId="77777777" w:rsidR="00221C59" w:rsidRPr="00092E7D" w:rsidRDefault="00221C59" w:rsidP="00221C59">
            <w:pPr>
              <w:jc w:val="both"/>
              <w:rPr>
                <w:b/>
                <w:bCs/>
                <w:color w:val="000000" w:themeColor="text1"/>
                <w:szCs w:val="20"/>
              </w:rPr>
            </w:pPr>
            <w:r w:rsidRPr="00092E7D">
              <w:rPr>
                <w:b/>
                <w:bCs/>
                <w:color w:val="000000" w:themeColor="text1"/>
                <w:szCs w:val="20"/>
              </w:rPr>
              <w:t>Definition:</w:t>
            </w:r>
          </w:p>
          <w:p w14:paraId="41136361" w14:textId="77777777" w:rsidR="00221C59" w:rsidRDefault="00221C59" w:rsidP="00221C59">
            <w:pPr>
              <w:jc w:val="both"/>
              <w:rPr>
                <w:color w:val="000000" w:themeColor="text1"/>
                <w:szCs w:val="20"/>
              </w:rPr>
            </w:pPr>
            <w:r w:rsidRPr="00092E7D">
              <w:rPr>
                <w:i/>
                <w:iCs/>
                <w:color w:val="000000" w:themeColor="text1"/>
                <w:szCs w:val="20"/>
              </w:rPr>
              <w:t>Density of physicians:</w:t>
            </w:r>
            <w:r w:rsidRPr="00092E7D">
              <w:rPr>
                <w:color w:val="000000" w:themeColor="text1"/>
                <w:szCs w:val="20"/>
              </w:rPr>
              <w:t xml:space="preserve"> The density of physicians is defined as the number of physicians, including</w:t>
            </w:r>
            <w:r>
              <w:rPr>
                <w:color w:val="000000" w:themeColor="text1"/>
                <w:szCs w:val="20"/>
              </w:rPr>
              <w:t xml:space="preserve"> </w:t>
            </w:r>
            <w:r w:rsidRPr="00092E7D">
              <w:rPr>
                <w:color w:val="000000" w:themeColor="text1"/>
                <w:szCs w:val="20"/>
              </w:rPr>
              <w:t>generalists and specialist medical practitioners per 1000 population in the given national and/or</w:t>
            </w:r>
            <w:r>
              <w:rPr>
                <w:color w:val="000000" w:themeColor="text1"/>
                <w:szCs w:val="20"/>
              </w:rPr>
              <w:t xml:space="preserve"> </w:t>
            </w:r>
            <w:r w:rsidRPr="00092E7D">
              <w:rPr>
                <w:color w:val="000000" w:themeColor="text1"/>
                <w:szCs w:val="20"/>
              </w:rPr>
              <w:t>subnational area. The International Standard Classification of Occupations (ISCO) unit group codes</w:t>
            </w:r>
            <w:r>
              <w:rPr>
                <w:color w:val="000000" w:themeColor="text1"/>
                <w:szCs w:val="20"/>
              </w:rPr>
              <w:t xml:space="preserve"> </w:t>
            </w:r>
            <w:r w:rsidRPr="00092E7D">
              <w:rPr>
                <w:color w:val="000000" w:themeColor="text1"/>
                <w:szCs w:val="20"/>
              </w:rPr>
              <w:t>included in this category are 221, 2211 and 2212 of ISCO-08.</w:t>
            </w:r>
          </w:p>
          <w:p w14:paraId="1FD86924" w14:textId="77777777" w:rsidR="00221C59" w:rsidRPr="00092E7D" w:rsidRDefault="00221C59" w:rsidP="00221C59">
            <w:pPr>
              <w:jc w:val="both"/>
              <w:rPr>
                <w:color w:val="000000" w:themeColor="text1"/>
                <w:szCs w:val="20"/>
              </w:rPr>
            </w:pPr>
          </w:p>
          <w:p w14:paraId="4C4648F1" w14:textId="77777777" w:rsidR="00221C59" w:rsidRDefault="00221C59" w:rsidP="00221C59">
            <w:pPr>
              <w:jc w:val="both"/>
              <w:rPr>
                <w:color w:val="000000" w:themeColor="text1"/>
                <w:szCs w:val="20"/>
              </w:rPr>
            </w:pPr>
            <w:r w:rsidRPr="00092E7D">
              <w:rPr>
                <w:i/>
                <w:iCs/>
                <w:color w:val="000000" w:themeColor="text1"/>
                <w:szCs w:val="20"/>
              </w:rPr>
              <w:t>Density of nursing and midwifery personnel:</w:t>
            </w:r>
            <w:r w:rsidRPr="00092E7D">
              <w:rPr>
                <w:color w:val="000000" w:themeColor="text1"/>
                <w:szCs w:val="20"/>
              </w:rPr>
              <w:t xml:space="preserve"> The density of nursing and midwifery personnel is</w:t>
            </w:r>
            <w:r>
              <w:rPr>
                <w:color w:val="000000" w:themeColor="text1"/>
                <w:szCs w:val="20"/>
              </w:rPr>
              <w:t xml:space="preserve"> </w:t>
            </w:r>
            <w:r w:rsidRPr="00092E7D">
              <w:rPr>
                <w:color w:val="000000" w:themeColor="text1"/>
                <w:szCs w:val="20"/>
              </w:rPr>
              <w:t>defined as the number of nursing and midwifery personnel per 1000 population in the given national</w:t>
            </w:r>
            <w:r>
              <w:rPr>
                <w:color w:val="000000" w:themeColor="text1"/>
                <w:szCs w:val="20"/>
              </w:rPr>
              <w:t xml:space="preserve"> </w:t>
            </w:r>
            <w:r w:rsidRPr="00092E7D">
              <w:rPr>
                <w:color w:val="000000" w:themeColor="text1"/>
                <w:szCs w:val="20"/>
              </w:rPr>
              <w:t>and/or subnational area. The ISCO-08 codes included in this category are 2221, 2222, 3221 and 3222.</w:t>
            </w:r>
          </w:p>
          <w:p w14:paraId="3F692E9A" w14:textId="77777777" w:rsidR="00221C59" w:rsidRPr="00092E7D" w:rsidRDefault="00221C59" w:rsidP="00221C59">
            <w:pPr>
              <w:jc w:val="both"/>
              <w:rPr>
                <w:color w:val="000000" w:themeColor="text1"/>
                <w:szCs w:val="20"/>
              </w:rPr>
            </w:pPr>
          </w:p>
          <w:p w14:paraId="412D96BF" w14:textId="77777777" w:rsidR="00221C59" w:rsidRDefault="00221C59" w:rsidP="00221C59">
            <w:pPr>
              <w:jc w:val="both"/>
              <w:rPr>
                <w:color w:val="000000" w:themeColor="text1"/>
                <w:szCs w:val="20"/>
              </w:rPr>
            </w:pPr>
            <w:r w:rsidRPr="00092E7D">
              <w:rPr>
                <w:i/>
                <w:iCs/>
                <w:color w:val="000000" w:themeColor="text1"/>
                <w:szCs w:val="20"/>
              </w:rPr>
              <w:t>Density of dentistry personnel:</w:t>
            </w:r>
            <w:r w:rsidRPr="00092E7D">
              <w:rPr>
                <w:color w:val="000000" w:themeColor="text1"/>
                <w:szCs w:val="20"/>
              </w:rPr>
              <w:t xml:space="preserve"> The density of dentistry personnel is defined as the number of</w:t>
            </w:r>
            <w:r>
              <w:rPr>
                <w:color w:val="000000" w:themeColor="text1"/>
                <w:szCs w:val="20"/>
              </w:rPr>
              <w:t xml:space="preserve"> </w:t>
            </w:r>
            <w:r w:rsidRPr="00092E7D">
              <w:rPr>
                <w:color w:val="000000" w:themeColor="text1"/>
                <w:szCs w:val="20"/>
              </w:rPr>
              <w:t>dentists, dental technician/assistants and related occupation personnel per 1000 population in the</w:t>
            </w:r>
            <w:r>
              <w:rPr>
                <w:color w:val="000000" w:themeColor="text1"/>
                <w:szCs w:val="20"/>
              </w:rPr>
              <w:t xml:space="preserve"> </w:t>
            </w:r>
            <w:r w:rsidRPr="00092E7D">
              <w:rPr>
                <w:color w:val="000000" w:themeColor="text1"/>
                <w:szCs w:val="20"/>
              </w:rPr>
              <w:t>given national and/or subnational area. The ISCO-08 codes included in this category are 2261, 3214</w:t>
            </w:r>
            <w:r>
              <w:rPr>
                <w:color w:val="000000" w:themeColor="text1"/>
                <w:szCs w:val="20"/>
              </w:rPr>
              <w:t xml:space="preserve"> </w:t>
            </w:r>
            <w:r w:rsidRPr="00092E7D">
              <w:rPr>
                <w:color w:val="000000" w:themeColor="text1"/>
                <w:szCs w:val="20"/>
              </w:rPr>
              <w:t>(excluding medical prosthetic related technicians) and 3251.</w:t>
            </w:r>
          </w:p>
          <w:p w14:paraId="0CFCFE33" w14:textId="77777777" w:rsidR="00221C59" w:rsidRPr="00092E7D" w:rsidRDefault="00221C59" w:rsidP="00221C59">
            <w:pPr>
              <w:jc w:val="both"/>
              <w:rPr>
                <w:color w:val="000000" w:themeColor="text1"/>
                <w:szCs w:val="20"/>
              </w:rPr>
            </w:pPr>
          </w:p>
          <w:p w14:paraId="60B091B7" w14:textId="77777777" w:rsidR="00221C59" w:rsidRDefault="00221C59" w:rsidP="00221C59">
            <w:pPr>
              <w:jc w:val="both"/>
              <w:rPr>
                <w:color w:val="000000" w:themeColor="text1"/>
                <w:szCs w:val="20"/>
              </w:rPr>
            </w:pPr>
            <w:r w:rsidRPr="00092E7D">
              <w:rPr>
                <w:i/>
                <w:iCs/>
                <w:color w:val="000000" w:themeColor="text1"/>
                <w:szCs w:val="20"/>
              </w:rPr>
              <w:t>Density of pharmaceutical personnel:</w:t>
            </w:r>
            <w:r w:rsidRPr="00092E7D">
              <w:rPr>
                <w:color w:val="000000" w:themeColor="text1"/>
                <w:szCs w:val="20"/>
              </w:rPr>
              <w:t xml:space="preserve"> The density of pharmaceutical personnel is defined as the</w:t>
            </w:r>
            <w:r>
              <w:rPr>
                <w:color w:val="000000" w:themeColor="text1"/>
                <w:szCs w:val="20"/>
              </w:rPr>
              <w:t xml:space="preserve"> </w:t>
            </w:r>
            <w:r w:rsidRPr="00092E7D">
              <w:rPr>
                <w:color w:val="000000" w:themeColor="text1"/>
                <w:szCs w:val="20"/>
              </w:rPr>
              <w:t>number of pharmacists, pharmaceutical, technicians/assistants and related occupation personnel</w:t>
            </w:r>
            <w:r>
              <w:rPr>
                <w:color w:val="000000" w:themeColor="text1"/>
                <w:szCs w:val="20"/>
              </w:rPr>
              <w:t xml:space="preserve"> </w:t>
            </w:r>
            <w:r w:rsidRPr="00092E7D">
              <w:rPr>
                <w:color w:val="000000" w:themeColor="text1"/>
                <w:szCs w:val="20"/>
              </w:rPr>
              <w:t>per 1000 population in the given national and/or subnational area. The ISCO-08 codes included in</w:t>
            </w:r>
            <w:r>
              <w:rPr>
                <w:color w:val="000000" w:themeColor="text1"/>
                <w:szCs w:val="20"/>
              </w:rPr>
              <w:t xml:space="preserve"> </w:t>
            </w:r>
            <w:r w:rsidRPr="00092E7D">
              <w:rPr>
                <w:color w:val="000000" w:themeColor="text1"/>
                <w:szCs w:val="20"/>
              </w:rPr>
              <w:t>this category are 2262 and 3213.</w:t>
            </w:r>
          </w:p>
          <w:p w14:paraId="70D2F33E" w14:textId="77777777" w:rsidR="00221C59" w:rsidRDefault="00221C59" w:rsidP="00221C59">
            <w:pPr>
              <w:jc w:val="both"/>
              <w:rPr>
                <w:color w:val="000000" w:themeColor="text1"/>
                <w:szCs w:val="20"/>
              </w:rPr>
            </w:pPr>
          </w:p>
          <w:p w14:paraId="67CA8297" w14:textId="77777777" w:rsidR="00221C59" w:rsidRPr="000C4849" w:rsidRDefault="00221C59" w:rsidP="00221C59">
            <w:pPr>
              <w:jc w:val="both"/>
              <w:rPr>
                <w:b/>
                <w:color w:val="000000" w:themeColor="text1"/>
                <w:szCs w:val="20"/>
              </w:rPr>
            </w:pPr>
            <w:r w:rsidRPr="000C4849">
              <w:rPr>
                <w:b/>
                <w:color w:val="000000" w:themeColor="text1"/>
                <w:szCs w:val="20"/>
              </w:rPr>
              <w:t>Comments and limitations:</w:t>
            </w:r>
          </w:p>
          <w:p w14:paraId="5F00B870" w14:textId="77777777" w:rsidR="00221C59" w:rsidRPr="002E2FBA" w:rsidRDefault="00221C59" w:rsidP="00221C59">
            <w:pPr>
              <w:jc w:val="both"/>
              <w:rPr>
                <w:color w:val="000000" w:themeColor="text1"/>
                <w:szCs w:val="20"/>
              </w:rPr>
            </w:pPr>
            <w:r w:rsidRPr="002E2FBA">
              <w:rPr>
                <w:color w:val="000000" w:themeColor="text1"/>
                <w:szCs w:val="20"/>
              </w:rPr>
              <w:t>Data on health workers tend to be more complete for the public health sector and may underestimate the active workforce in the private, military, nongovernmental organization and faith-based health sectors. In many cases, information maintained at the national regulatory bodies and professional councils are not updated.</w:t>
            </w:r>
          </w:p>
          <w:p w14:paraId="39B09BDF" w14:textId="77777777" w:rsidR="00221C59" w:rsidRPr="002E2FBA" w:rsidRDefault="00221C59" w:rsidP="00221C59">
            <w:pPr>
              <w:jc w:val="both"/>
              <w:rPr>
                <w:color w:val="000000" w:themeColor="text1"/>
                <w:szCs w:val="20"/>
              </w:rPr>
            </w:pPr>
            <w:r w:rsidRPr="002E2FBA">
              <w:rPr>
                <w:color w:val="000000" w:themeColor="text1"/>
                <w:szCs w:val="20"/>
              </w:rPr>
              <w:t xml:space="preserve"> </w:t>
            </w:r>
          </w:p>
          <w:p w14:paraId="4758852A" w14:textId="77777777" w:rsidR="00221C59" w:rsidRDefault="00221C59" w:rsidP="00221C59">
            <w:pPr>
              <w:jc w:val="both"/>
              <w:rPr>
                <w:color w:val="000000" w:themeColor="text1"/>
                <w:szCs w:val="20"/>
              </w:rPr>
            </w:pPr>
            <w:r w:rsidRPr="002E2FBA">
              <w:rPr>
                <w:color w:val="000000" w:themeColor="text1"/>
                <w:szCs w:val="20"/>
              </w:rPr>
              <w:t>As data is not always published annually for each country, the latest available data has been used. Due to the differences in data sources, considerable variability remains across countries in the coverage, periodicity, quality and completeness of the original data. Densities are calculated using national population estimates from the United Nations Population Division's World Population Prospects database and may vary from densities produced by the country.</w:t>
            </w:r>
          </w:p>
          <w:p w14:paraId="29F97D37" w14:textId="77777777" w:rsidR="00221C59" w:rsidRDefault="00221C59" w:rsidP="00221C59">
            <w:pPr>
              <w:jc w:val="both"/>
              <w:rPr>
                <w:color w:val="000000" w:themeColor="text1"/>
                <w:szCs w:val="20"/>
              </w:rPr>
            </w:pPr>
          </w:p>
          <w:p w14:paraId="63458277" w14:textId="77777777" w:rsidR="00221C59" w:rsidRPr="00092E7D" w:rsidRDefault="00221C59" w:rsidP="00221C59">
            <w:pPr>
              <w:jc w:val="both"/>
              <w:rPr>
                <w:b/>
                <w:bCs/>
                <w:color w:val="000000" w:themeColor="text1"/>
                <w:szCs w:val="20"/>
              </w:rPr>
            </w:pPr>
            <w:r w:rsidRPr="00092E7D">
              <w:rPr>
                <w:b/>
                <w:bCs/>
                <w:color w:val="000000" w:themeColor="text1"/>
                <w:szCs w:val="20"/>
              </w:rPr>
              <w:t>Computation Method:</w:t>
            </w:r>
          </w:p>
          <w:p w14:paraId="7CAB071D" w14:textId="77777777" w:rsidR="00221C59" w:rsidRDefault="00221C59" w:rsidP="00221C59">
            <w:pPr>
              <w:jc w:val="both"/>
              <w:rPr>
                <w:color w:val="000000" w:themeColor="text1"/>
                <w:szCs w:val="20"/>
              </w:rPr>
            </w:pPr>
            <w:r w:rsidRPr="00092E7D">
              <w:rPr>
                <w:color w:val="000000" w:themeColor="text1"/>
                <w:szCs w:val="20"/>
              </w:rPr>
              <w:t xml:space="preserve">Though, traditionally, this indicator has been estimated using 2 measurements: </w:t>
            </w:r>
            <w:r w:rsidRPr="00092E7D">
              <w:rPr>
                <w:color w:val="000000" w:themeColor="text1"/>
                <w:szCs w:val="20"/>
              </w:rPr>
              <w:lastRenderedPageBreak/>
              <w:t>density of physicians,</w:t>
            </w:r>
            <w:r>
              <w:rPr>
                <w:color w:val="000000" w:themeColor="text1"/>
                <w:szCs w:val="20"/>
              </w:rPr>
              <w:t xml:space="preserve"> </w:t>
            </w:r>
            <w:r w:rsidRPr="00092E7D">
              <w:rPr>
                <w:color w:val="000000" w:themeColor="text1"/>
                <w:szCs w:val="20"/>
              </w:rPr>
              <w:t>and density of nursing and midwifery personnel. In the context of the SDG agenda, the dataset is</w:t>
            </w:r>
            <w:r>
              <w:rPr>
                <w:color w:val="000000" w:themeColor="text1"/>
                <w:szCs w:val="20"/>
              </w:rPr>
              <w:t xml:space="preserve"> </w:t>
            </w:r>
            <w:r w:rsidRPr="00092E7D">
              <w:rPr>
                <w:color w:val="000000" w:themeColor="text1"/>
                <w:szCs w:val="20"/>
              </w:rPr>
              <w:t>expanded to physicians, nursing personnel, midwifery personnel, dentistry personnel and</w:t>
            </w:r>
            <w:r>
              <w:rPr>
                <w:color w:val="000000" w:themeColor="text1"/>
                <w:szCs w:val="20"/>
              </w:rPr>
              <w:t xml:space="preserve"> </w:t>
            </w:r>
            <w:r w:rsidRPr="00092E7D">
              <w:rPr>
                <w:color w:val="000000" w:themeColor="text1"/>
                <w:szCs w:val="20"/>
              </w:rPr>
              <w:t>pharmaceutical personnel. The dataset is planned to progressively move to cover all health cadres.</w:t>
            </w:r>
          </w:p>
          <w:p w14:paraId="483CD55A" w14:textId="77777777" w:rsidR="00221C59" w:rsidRPr="00092E7D" w:rsidRDefault="00221C59" w:rsidP="00221C59">
            <w:pPr>
              <w:jc w:val="both"/>
              <w:rPr>
                <w:color w:val="000000" w:themeColor="text1"/>
                <w:szCs w:val="20"/>
              </w:rPr>
            </w:pPr>
          </w:p>
          <w:p w14:paraId="60D1B43C" w14:textId="77777777" w:rsidR="00221C59" w:rsidRDefault="00221C59" w:rsidP="00221C59">
            <w:pPr>
              <w:jc w:val="both"/>
              <w:rPr>
                <w:color w:val="000000" w:themeColor="text1"/>
                <w:szCs w:val="20"/>
              </w:rPr>
            </w:pPr>
            <w:r w:rsidRPr="00092E7D">
              <w:rPr>
                <w:color w:val="000000" w:themeColor="text1"/>
                <w:szCs w:val="20"/>
              </w:rPr>
              <w:t>The method of estimation for number of physicians (including generalist and specialist medical</w:t>
            </w:r>
            <w:r>
              <w:rPr>
                <w:color w:val="000000" w:themeColor="text1"/>
                <w:szCs w:val="20"/>
              </w:rPr>
              <w:t xml:space="preserve"> </w:t>
            </w:r>
            <w:r w:rsidRPr="00092E7D">
              <w:rPr>
                <w:color w:val="000000" w:themeColor="text1"/>
                <w:szCs w:val="20"/>
              </w:rPr>
              <w:t>practitioners) depending on the nature of the original data source may include practising physicians</w:t>
            </w:r>
            <w:r>
              <w:rPr>
                <w:color w:val="000000" w:themeColor="text1"/>
                <w:szCs w:val="20"/>
              </w:rPr>
              <w:t xml:space="preserve"> </w:t>
            </w:r>
            <w:r w:rsidRPr="00092E7D">
              <w:rPr>
                <w:color w:val="000000" w:themeColor="text1"/>
                <w:szCs w:val="20"/>
              </w:rPr>
              <w:t>only or all registered physicians.</w:t>
            </w:r>
          </w:p>
          <w:p w14:paraId="67FC5A21" w14:textId="77777777" w:rsidR="00221C59" w:rsidRPr="00092E7D" w:rsidRDefault="00221C59" w:rsidP="00221C59">
            <w:pPr>
              <w:jc w:val="both"/>
              <w:rPr>
                <w:color w:val="000000" w:themeColor="text1"/>
                <w:szCs w:val="20"/>
              </w:rPr>
            </w:pPr>
          </w:p>
          <w:p w14:paraId="571A9940" w14:textId="77777777" w:rsidR="00221C59" w:rsidRDefault="00221C59" w:rsidP="00221C59">
            <w:pPr>
              <w:jc w:val="both"/>
              <w:rPr>
                <w:color w:val="000000" w:themeColor="text1"/>
                <w:szCs w:val="20"/>
              </w:rPr>
            </w:pPr>
            <w:r w:rsidRPr="00092E7D">
              <w:rPr>
                <w:color w:val="000000" w:themeColor="text1"/>
                <w:szCs w:val="20"/>
              </w:rPr>
              <w:t>The figures for number of nursing and midwifery include nursing personnel and midwifery personnel,</w:t>
            </w:r>
            <w:r>
              <w:rPr>
                <w:color w:val="000000" w:themeColor="text1"/>
                <w:szCs w:val="20"/>
              </w:rPr>
              <w:t xml:space="preserve"> </w:t>
            </w:r>
            <w:r w:rsidRPr="00092E7D">
              <w:rPr>
                <w:color w:val="000000" w:themeColor="text1"/>
                <w:szCs w:val="20"/>
              </w:rPr>
              <w:t>whenever available. In many countries, nurses trained with midwifery skills are counted and</w:t>
            </w:r>
            <w:r>
              <w:rPr>
                <w:color w:val="000000" w:themeColor="text1"/>
                <w:szCs w:val="20"/>
              </w:rPr>
              <w:t xml:space="preserve"> </w:t>
            </w:r>
            <w:r w:rsidRPr="00092E7D">
              <w:rPr>
                <w:color w:val="000000" w:themeColor="text1"/>
                <w:szCs w:val="20"/>
              </w:rPr>
              <w:t>reported as nurses. This makes the distinction between nursing personnel and midwifery personnel</w:t>
            </w:r>
            <w:r>
              <w:rPr>
                <w:color w:val="000000" w:themeColor="text1"/>
                <w:szCs w:val="20"/>
              </w:rPr>
              <w:t xml:space="preserve"> </w:t>
            </w:r>
            <w:r w:rsidRPr="00092E7D">
              <w:rPr>
                <w:color w:val="000000" w:themeColor="text1"/>
                <w:szCs w:val="20"/>
              </w:rPr>
              <w:t>difficult to draw.</w:t>
            </w:r>
          </w:p>
          <w:p w14:paraId="3276105B" w14:textId="77777777" w:rsidR="00221C59" w:rsidRPr="00092E7D" w:rsidRDefault="00221C59" w:rsidP="00221C59">
            <w:pPr>
              <w:jc w:val="both"/>
              <w:rPr>
                <w:color w:val="000000" w:themeColor="text1"/>
                <w:szCs w:val="20"/>
              </w:rPr>
            </w:pPr>
          </w:p>
          <w:p w14:paraId="765E404F" w14:textId="77777777" w:rsidR="00221C59" w:rsidRDefault="00221C59" w:rsidP="00221C59">
            <w:pPr>
              <w:jc w:val="both"/>
              <w:rPr>
                <w:color w:val="000000" w:themeColor="text1"/>
                <w:szCs w:val="20"/>
              </w:rPr>
            </w:pPr>
            <w:r w:rsidRPr="00092E7D">
              <w:rPr>
                <w:color w:val="000000" w:themeColor="text1"/>
                <w:szCs w:val="20"/>
              </w:rPr>
              <w:t>The figures for number of dentistry personnel include dentists, dental technicians/assistants and</w:t>
            </w:r>
            <w:r>
              <w:rPr>
                <w:color w:val="000000" w:themeColor="text1"/>
                <w:szCs w:val="20"/>
              </w:rPr>
              <w:t xml:space="preserve"> </w:t>
            </w:r>
            <w:r w:rsidRPr="00092E7D">
              <w:rPr>
                <w:color w:val="000000" w:themeColor="text1"/>
                <w:szCs w:val="20"/>
              </w:rPr>
              <w:t>related occupations. Due to variability of data sources, the professional-level and associate-level</w:t>
            </w:r>
            <w:r>
              <w:rPr>
                <w:color w:val="000000" w:themeColor="text1"/>
                <w:szCs w:val="20"/>
              </w:rPr>
              <w:t xml:space="preserve"> </w:t>
            </w:r>
            <w:r w:rsidRPr="00092E7D">
              <w:rPr>
                <w:color w:val="000000" w:themeColor="text1"/>
                <w:szCs w:val="20"/>
              </w:rPr>
              <w:t>occupations may not always be distinguishable.</w:t>
            </w:r>
          </w:p>
          <w:p w14:paraId="18D5FAF5" w14:textId="77777777" w:rsidR="00221C59" w:rsidRPr="00092E7D" w:rsidRDefault="00221C59" w:rsidP="00221C59">
            <w:pPr>
              <w:jc w:val="both"/>
              <w:rPr>
                <w:color w:val="000000" w:themeColor="text1"/>
                <w:szCs w:val="20"/>
              </w:rPr>
            </w:pPr>
          </w:p>
          <w:p w14:paraId="64093DFA" w14:textId="77777777" w:rsidR="00221C59" w:rsidRDefault="00221C59" w:rsidP="00221C59">
            <w:pPr>
              <w:jc w:val="both"/>
              <w:rPr>
                <w:color w:val="000000" w:themeColor="text1"/>
                <w:szCs w:val="20"/>
              </w:rPr>
            </w:pPr>
            <w:r w:rsidRPr="00092E7D">
              <w:rPr>
                <w:color w:val="000000" w:themeColor="text1"/>
                <w:szCs w:val="20"/>
              </w:rPr>
              <w:t>The figures for number of pharmaceutical personnel include pharmacists, pharmaceutical</w:t>
            </w:r>
            <w:r>
              <w:rPr>
                <w:color w:val="000000" w:themeColor="text1"/>
                <w:szCs w:val="20"/>
              </w:rPr>
              <w:t xml:space="preserve"> </w:t>
            </w:r>
            <w:r w:rsidRPr="00092E7D">
              <w:rPr>
                <w:color w:val="000000" w:themeColor="text1"/>
                <w:szCs w:val="20"/>
              </w:rPr>
              <w:t>technicians/assistants and related occupations. Due to variability of data sources, the professional</w:t>
            </w:r>
            <w:r>
              <w:rPr>
                <w:color w:val="000000" w:themeColor="text1"/>
                <w:szCs w:val="20"/>
              </w:rPr>
              <w:t xml:space="preserve"> </w:t>
            </w:r>
            <w:r w:rsidRPr="00092E7D">
              <w:rPr>
                <w:color w:val="000000" w:themeColor="text1"/>
                <w:szCs w:val="20"/>
              </w:rPr>
              <w:t>level</w:t>
            </w:r>
            <w:r>
              <w:rPr>
                <w:color w:val="000000" w:themeColor="text1"/>
                <w:szCs w:val="20"/>
              </w:rPr>
              <w:t xml:space="preserve"> </w:t>
            </w:r>
            <w:r w:rsidRPr="00092E7D">
              <w:rPr>
                <w:color w:val="000000" w:themeColor="text1"/>
                <w:szCs w:val="20"/>
              </w:rPr>
              <w:t>and associate-level occupations may not always be distinguishable.</w:t>
            </w:r>
          </w:p>
          <w:p w14:paraId="519B89C5" w14:textId="77777777" w:rsidR="00221C59" w:rsidRPr="00092E7D" w:rsidRDefault="00221C59" w:rsidP="00221C59">
            <w:pPr>
              <w:jc w:val="both"/>
              <w:rPr>
                <w:color w:val="000000" w:themeColor="text1"/>
                <w:szCs w:val="20"/>
              </w:rPr>
            </w:pPr>
          </w:p>
          <w:p w14:paraId="57011E43" w14:textId="77777777" w:rsidR="00221C59" w:rsidRPr="00092E7D" w:rsidRDefault="00221C59" w:rsidP="00221C59">
            <w:pPr>
              <w:jc w:val="both"/>
              <w:rPr>
                <w:color w:val="000000" w:themeColor="text1"/>
                <w:szCs w:val="20"/>
              </w:rPr>
            </w:pPr>
            <w:r w:rsidRPr="00092E7D">
              <w:rPr>
                <w:color w:val="000000" w:themeColor="text1"/>
                <w:szCs w:val="20"/>
              </w:rPr>
              <w:t>In general, the denominator data for workforce density (i.e. national population estimates) are</w:t>
            </w:r>
            <w:r>
              <w:rPr>
                <w:color w:val="000000" w:themeColor="text1"/>
                <w:szCs w:val="20"/>
              </w:rPr>
              <w:t xml:space="preserve"> </w:t>
            </w:r>
            <w:r w:rsidRPr="00092E7D">
              <w:rPr>
                <w:color w:val="000000" w:themeColor="text1"/>
                <w:szCs w:val="20"/>
              </w:rPr>
              <w:t>obtained from the United Nations Population Division's World Population Prospects database. In</w:t>
            </w:r>
            <w:r>
              <w:rPr>
                <w:color w:val="000000" w:themeColor="text1"/>
                <w:szCs w:val="20"/>
              </w:rPr>
              <w:t xml:space="preserve"> </w:t>
            </w:r>
            <w:r w:rsidRPr="00092E7D">
              <w:rPr>
                <w:color w:val="000000" w:themeColor="text1"/>
                <w:szCs w:val="20"/>
              </w:rPr>
              <w:t>cases where the official health workforce report provides density indicators instead of counts,</w:t>
            </w:r>
            <w:r>
              <w:rPr>
                <w:color w:val="000000" w:themeColor="text1"/>
                <w:szCs w:val="20"/>
              </w:rPr>
              <w:t xml:space="preserve"> </w:t>
            </w:r>
            <w:r w:rsidRPr="00092E7D">
              <w:rPr>
                <w:color w:val="000000" w:themeColor="text1"/>
                <w:szCs w:val="20"/>
              </w:rPr>
              <w:t>estimates of the stock were then calculated using the population estimated from the United Nations</w:t>
            </w:r>
            <w:r>
              <w:rPr>
                <w:color w:val="000000" w:themeColor="text1"/>
                <w:szCs w:val="20"/>
              </w:rPr>
              <w:t xml:space="preserve"> </w:t>
            </w:r>
            <w:r w:rsidRPr="00092E7D">
              <w:rPr>
                <w:color w:val="000000" w:themeColor="text1"/>
                <w:szCs w:val="20"/>
              </w:rPr>
              <w:t>Population Division's World population prospects database (2015).</w:t>
            </w:r>
          </w:p>
        </w:tc>
        <w:tc>
          <w:tcPr>
            <w:tcW w:w="0" w:type="auto"/>
            <w:shd w:val="clear" w:color="auto" w:fill="auto"/>
          </w:tcPr>
          <w:p w14:paraId="60F2C60E" w14:textId="77777777" w:rsidR="00221C59" w:rsidRPr="00092E7D" w:rsidRDefault="00221C59" w:rsidP="00221C59">
            <w:pPr>
              <w:jc w:val="center"/>
              <w:rPr>
                <w:bCs/>
                <w:szCs w:val="20"/>
              </w:rPr>
            </w:pPr>
            <w:r w:rsidRPr="00092E7D">
              <w:rPr>
                <w:bCs/>
                <w:szCs w:val="20"/>
              </w:rPr>
              <w:lastRenderedPageBreak/>
              <w:t>Administrative Information Systems</w:t>
            </w:r>
            <w:r>
              <w:rPr>
                <w:bCs/>
                <w:szCs w:val="20"/>
              </w:rPr>
              <w:t xml:space="preserve">; </w:t>
            </w:r>
            <w:r w:rsidRPr="00092E7D">
              <w:rPr>
                <w:bCs/>
                <w:szCs w:val="20"/>
              </w:rPr>
              <w:t>population censuses, labour</w:t>
            </w:r>
          </w:p>
          <w:p w14:paraId="5CA4FF7F" w14:textId="77777777" w:rsidR="00221C59" w:rsidRDefault="00221C59" w:rsidP="00221C59">
            <w:pPr>
              <w:jc w:val="center"/>
              <w:rPr>
                <w:bCs/>
                <w:szCs w:val="20"/>
              </w:rPr>
            </w:pPr>
            <w:proofErr w:type="gramStart"/>
            <w:r w:rsidRPr="00092E7D">
              <w:rPr>
                <w:bCs/>
                <w:szCs w:val="20"/>
              </w:rPr>
              <w:t>force</w:t>
            </w:r>
            <w:proofErr w:type="gramEnd"/>
            <w:r w:rsidRPr="00092E7D">
              <w:rPr>
                <w:bCs/>
                <w:szCs w:val="20"/>
              </w:rPr>
              <w:t xml:space="preserve"> and employment surveys and health facility assessments.</w:t>
            </w:r>
          </w:p>
        </w:tc>
        <w:tc>
          <w:tcPr>
            <w:tcW w:w="0" w:type="auto"/>
            <w:shd w:val="clear" w:color="auto" w:fill="auto"/>
          </w:tcPr>
          <w:p w14:paraId="40EA8101" w14:textId="77777777" w:rsidR="00221C59" w:rsidRDefault="00221C59" w:rsidP="00221C59">
            <w:pPr>
              <w:jc w:val="center"/>
              <w:rPr>
                <w:bCs/>
                <w:szCs w:val="20"/>
              </w:rPr>
            </w:pPr>
            <w:r>
              <w:rPr>
                <w:bCs/>
                <w:szCs w:val="20"/>
              </w:rPr>
              <w:t>Ministry of Health and National Statistics Office</w:t>
            </w:r>
          </w:p>
        </w:tc>
        <w:tc>
          <w:tcPr>
            <w:tcW w:w="0" w:type="auto"/>
            <w:shd w:val="clear" w:color="auto" w:fill="auto"/>
          </w:tcPr>
          <w:p w14:paraId="7F63E358" w14:textId="1D1B2026" w:rsidR="00221C59" w:rsidRDefault="00221C59" w:rsidP="00221C59">
            <w:pPr>
              <w:jc w:val="center"/>
              <w:rPr>
                <w:color w:val="000000" w:themeColor="text1"/>
                <w:sz w:val="18"/>
                <w:szCs w:val="18"/>
              </w:rPr>
            </w:pPr>
          </w:p>
          <w:p w14:paraId="36159AF5" w14:textId="77777777" w:rsidR="00221C59" w:rsidRPr="00BC6F10" w:rsidRDefault="00221C59" w:rsidP="00221C59">
            <w:pPr>
              <w:jc w:val="center"/>
            </w:pPr>
            <w:r w:rsidRPr="00BC6F10">
              <w:t>(a) (WHO</w:t>
            </w:r>
          </w:p>
          <w:p w14:paraId="75E689BC" w14:textId="77777777" w:rsidR="00221C59" w:rsidRDefault="00221C59" w:rsidP="00221C59">
            <w:pPr>
              <w:jc w:val="center"/>
            </w:pPr>
            <w:r w:rsidRPr="00BC6F10">
              <w:t xml:space="preserve">(b) </w:t>
            </w:r>
            <w:r>
              <w:t>HSD</w:t>
            </w:r>
            <w:r w:rsidRPr="00BC6F10">
              <w:t>)</w:t>
            </w:r>
          </w:p>
          <w:p w14:paraId="283EDE3F" w14:textId="77777777" w:rsidR="00221C59" w:rsidRDefault="00221C59" w:rsidP="00221C59">
            <w:pPr>
              <w:jc w:val="center"/>
              <w:rPr>
                <w:color w:val="000000" w:themeColor="text1"/>
                <w:sz w:val="18"/>
                <w:szCs w:val="18"/>
              </w:rPr>
            </w:pPr>
            <w:r>
              <w:t xml:space="preserve">(c) </w:t>
            </w:r>
            <w:r w:rsidRPr="001A59B8">
              <w:t>MEFWD</w:t>
            </w:r>
          </w:p>
        </w:tc>
        <w:tc>
          <w:tcPr>
            <w:tcW w:w="0" w:type="auto"/>
            <w:shd w:val="clear" w:color="auto" w:fill="auto"/>
          </w:tcPr>
          <w:p w14:paraId="658442C5" w14:textId="4C3B911D" w:rsidR="00221C59" w:rsidRDefault="00221C59" w:rsidP="00221C59">
            <w:pPr>
              <w:ind w:left="10"/>
              <w:rPr>
                <w:bCs/>
                <w:szCs w:val="20"/>
              </w:rPr>
            </w:pPr>
          </w:p>
          <w:p w14:paraId="1E0262C6" w14:textId="77777777" w:rsidR="00221C59" w:rsidRPr="0080511A" w:rsidRDefault="00221C59" w:rsidP="00221C59">
            <w:r w:rsidRPr="0080511A">
              <w:t>a) HRB, HSD, MoHFW</w:t>
            </w:r>
          </w:p>
          <w:p w14:paraId="5C940C49" w14:textId="77777777" w:rsidR="00221C59" w:rsidRPr="0080511A" w:rsidRDefault="00221C59" w:rsidP="00221C59">
            <w:r w:rsidRPr="0080511A">
              <w:t>b) MIS, DGHS, MoHFW</w:t>
            </w:r>
          </w:p>
          <w:p w14:paraId="36A83BDD" w14:textId="77777777" w:rsidR="00221C59" w:rsidRDefault="00221C59" w:rsidP="00221C59">
            <w:pPr>
              <w:ind w:left="10"/>
            </w:pPr>
            <w:r w:rsidRPr="0080511A">
              <w:t>c) WHO</w:t>
            </w:r>
          </w:p>
          <w:p w14:paraId="6F0D63FA" w14:textId="77777777" w:rsidR="00221C59" w:rsidRDefault="00221C59" w:rsidP="00221C59">
            <w:pPr>
              <w:ind w:left="10"/>
              <w:rPr>
                <w:bCs/>
                <w:szCs w:val="20"/>
              </w:rPr>
            </w:pPr>
            <w:r>
              <w:rPr>
                <w:rFonts w:eastAsia="Times New Roman" w:cs="Times New Roman"/>
                <w:color w:val="000000" w:themeColor="text1"/>
                <w:szCs w:val="20"/>
              </w:rPr>
              <w:t>Administrative Data</w:t>
            </w:r>
          </w:p>
        </w:tc>
        <w:tc>
          <w:tcPr>
            <w:tcW w:w="0" w:type="auto"/>
            <w:shd w:val="clear" w:color="auto" w:fill="auto"/>
          </w:tcPr>
          <w:p w14:paraId="2CD7EE2A" w14:textId="243ADB8E" w:rsidR="00BF3271" w:rsidRPr="000C4849" w:rsidRDefault="00BF3271" w:rsidP="00BF3271">
            <w:pPr>
              <w:pStyle w:val="ListParagraph"/>
              <w:numPr>
                <w:ilvl w:val="0"/>
                <w:numId w:val="48"/>
              </w:numPr>
              <w:spacing w:after="0" w:line="240" w:lineRule="auto"/>
              <w:ind w:left="160" w:hanging="160"/>
              <w:rPr>
                <w:rFonts w:ascii="Tw Cen MT Condensed" w:hAnsi="Tw Cen MT Condensed"/>
              </w:rPr>
            </w:pPr>
          </w:p>
          <w:p w14:paraId="697054DF" w14:textId="72D88943" w:rsidR="00BF3271" w:rsidRPr="00D32380" w:rsidRDefault="00BF3271" w:rsidP="00BF3271">
            <w:pPr>
              <w:pStyle w:val="ListParagraph"/>
              <w:numPr>
                <w:ilvl w:val="0"/>
                <w:numId w:val="48"/>
              </w:numPr>
              <w:spacing w:after="0" w:line="240" w:lineRule="auto"/>
              <w:ind w:left="160" w:hanging="160"/>
              <w:rPr>
                <w:rFonts w:ascii="Tw Cen MT Condensed" w:hAnsi="Tw Cen MT Condensed"/>
              </w:rPr>
            </w:pPr>
            <w:r w:rsidRPr="00D32380">
              <w:rPr>
                <w:rFonts w:ascii="Tw Cen MT Condensed" w:hAnsi="Tw Cen MT Condensed"/>
              </w:rPr>
              <w:t xml:space="preserve"> profession: physicians, pharmaceutical, nursing and midwifery, dentistry</w:t>
            </w:r>
          </w:p>
          <w:p w14:paraId="1574D119" w14:textId="77777777" w:rsidR="00BF3271" w:rsidRPr="00D32380" w:rsidRDefault="00BF3271" w:rsidP="00BF3271">
            <w:pPr>
              <w:pStyle w:val="ListParagraph"/>
              <w:numPr>
                <w:ilvl w:val="0"/>
                <w:numId w:val="48"/>
              </w:numPr>
              <w:spacing w:after="0" w:line="240" w:lineRule="auto"/>
              <w:ind w:left="160" w:hanging="160"/>
              <w:rPr>
                <w:rFonts w:ascii="Tw Cen MT Condensed" w:hAnsi="Tw Cen MT Condensed"/>
              </w:rPr>
            </w:pPr>
            <w:r w:rsidRPr="00D32380">
              <w:rPr>
                <w:rFonts w:ascii="Tw Cen MT Condensed" w:hAnsi="Tw Cen MT Condensed"/>
              </w:rPr>
              <w:t>type of country: 'DCs/ LCDs/ SMIDs</w:t>
            </w:r>
          </w:p>
          <w:p w14:paraId="6FC14DBA" w14:textId="3D8656A4" w:rsidR="00221C59" w:rsidRPr="00092E7D" w:rsidRDefault="00BF3271" w:rsidP="00BF3271">
            <w:pPr>
              <w:pStyle w:val="ListParagraph"/>
              <w:numPr>
                <w:ilvl w:val="0"/>
                <w:numId w:val="22"/>
              </w:numPr>
              <w:ind w:left="120" w:hanging="160"/>
              <w:jc w:val="center"/>
              <w:rPr>
                <w:rFonts w:ascii="Tw Cen MT Condensed" w:hAnsi="Tw Cen MT Condensed"/>
                <w:bCs/>
                <w:sz w:val="20"/>
                <w:szCs w:val="20"/>
              </w:rPr>
            </w:pPr>
            <w:r>
              <w:rPr>
                <w:rFonts w:ascii="Tw Cen MT Condensed" w:hAnsi="Tw Cen MT Condensed"/>
              </w:rPr>
              <w:t>national level data</w:t>
            </w:r>
          </w:p>
        </w:tc>
        <w:tc>
          <w:tcPr>
            <w:tcW w:w="0" w:type="auto"/>
            <w:shd w:val="clear" w:color="auto" w:fill="auto"/>
          </w:tcPr>
          <w:p w14:paraId="65CFC597" w14:textId="77777777" w:rsidR="00221C59" w:rsidRDefault="00221C59" w:rsidP="00221C59">
            <w:pPr>
              <w:jc w:val="center"/>
              <w:rPr>
                <w:bCs/>
                <w:szCs w:val="20"/>
              </w:rPr>
            </w:pPr>
            <w:r>
              <w:rPr>
                <w:bCs/>
                <w:szCs w:val="20"/>
              </w:rPr>
              <w:t>Annual</w:t>
            </w:r>
          </w:p>
        </w:tc>
        <w:tc>
          <w:tcPr>
            <w:tcW w:w="0" w:type="auto"/>
            <w:shd w:val="clear" w:color="auto" w:fill="auto"/>
          </w:tcPr>
          <w:p w14:paraId="6EDC16C8" w14:textId="77777777" w:rsidR="00221C59" w:rsidRDefault="00221C59" w:rsidP="00221C59">
            <w:pPr>
              <w:pStyle w:val="NoSpacing"/>
            </w:pPr>
            <w:r>
              <w:t>1</w:t>
            </w:r>
            <w:r w:rsidRPr="00013ACB">
              <w:rPr>
                <w:vertAlign w:val="superscript"/>
              </w:rPr>
              <w:t>st</w:t>
            </w:r>
            <w:r>
              <w:t xml:space="preserve"> Round: </w:t>
            </w:r>
          </w:p>
          <w:p w14:paraId="0C62EA33" w14:textId="77777777" w:rsidR="00221C59" w:rsidRDefault="00221C59" w:rsidP="00221C59">
            <w:pPr>
              <w:pStyle w:val="NoSpacing"/>
            </w:pPr>
            <w:r>
              <w:t>2016</w:t>
            </w:r>
          </w:p>
          <w:p w14:paraId="49BF5D99" w14:textId="77777777" w:rsidR="00221C59" w:rsidRDefault="00221C59" w:rsidP="00221C59">
            <w:pPr>
              <w:pStyle w:val="NoSpacing"/>
            </w:pPr>
            <w:r>
              <w:t>2</w:t>
            </w:r>
            <w:r w:rsidRPr="00013ACB">
              <w:rPr>
                <w:vertAlign w:val="superscript"/>
              </w:rPr>
              <w:t>nd</w:t>
            </w:r>
            <w:r>
              <w:t xml:space="preserve"> Round: </w:t>
            </w:r>
          </w:p>
          <w:p w14:paraId="4D76A3D4" w14:textId="77777777" w:rsidR="00221C59" w:rsidRDefault="00221C59" w:rsidP="00221C59">
            <w:pPr>
              <w:pStyle w:val="NoSpacing"/>
            </w:pPr>
            <w:r w:rsidRPr="00BC6F10">
              <w:rPr>
                <w:szCs w:val="20"/>
              </w:rPr>
              <w:t>January 2019</w:t>
            </w:r>
          </w:p>
          <w:p w14:paraId="5B77CF69" w14:textId="77777777" w:rsidR="00221C59" w:rsidRDefault="00221C59" w:rsidP="00221C59">
            <w:pPr>
              <w:pStyle w:val="NoSpacing"/>
            </w:pPr>
            <w:r>
              <w:t>3</w:t>
            </w:r>
            <w:r w:rsidRPr="00013ACB">
              <w:rPr>
                <w:vertAlign w:val="superscript"/>
              </w:rPr>
              <w:t>rd</w:t>
            </w:r>
            <w:r>
              <w:t xml:space="preserve"> Round: </w:t>
            </w:r>
          </w:p>
          <w:p w14:paraId="1E5CCF5B" w14:textId="77777777" w:rsidR="00221C59" w:rsidRDefault="00221C59" w:rsidP="00221C59">
            <w:pPr>
              <w:pStyle w:val="NoSpacing"/>
            </w:pPr>
            <w:r>
              <w:rPr>
                <w:szCs w:val="20"/>
              </w:rPr>
              <w:t>January 2020</w:t>
            </w:r>
          </w:p>
          <w:p w14:paraId="698B9239" w14:textId="77777777" w:rsidR="00221C59" w:rsidRDefault="00221C59" w:rsidP="00221C59">
            <w:pPr>
              <w:pStyle w:val="NoSpacing"/>
            </w:pPr>
            <w:r>
              <w:t>4</w:t>
            </w:r>
            <w:r w:rsidRPr="00013ACB">
              <w:rPr>
                <w:vertAlign w:val="superscript"/>
              </w:rPr>
              <w:t>th</w:t>
            </w:r>
            <w:r>
              <w:t xml:space="preserve"> Round: </w:t>
            </w:r>
          </w:p>
          <w:p w14:paraId="2A758F71" w14:textId="77777777" w:rsidR="00221C59" w:rsidRDefault="00221C59" w:rsidP="00221C59">
            <w:pPr>
              <w:pStyle w:val="NoSpacing"/>
            </w:pPr>
            <w:r>
              <w:rPr>
                <w:szCs w:val="20"/>
              </w:rPr>
              <w:t>January 2021</w:t>
            </w:r>
          </w:p>
          <w:p w14:paraId="7B0CA9C1" w14:textId="77777777" w:rsidR="00221C59" w:rsidRDefault="00221C59" w:rsidP="00221C59">
            <w:pPr>
              <w:pStyle w:val="NoSpacing"/>
            </w:pPr>
            <w:r>
              <w:t>5</w:t>
            </w:r>
            <w:r w:rsidRPr="00013ACB">
              <w:rPr>
                <w:vertAlign w:val="superscript"/>
              </w:rPr>
              <w:t>th</w:t>
            </w:r>
            <w:r>
              <w:t xml:space="preserve"> Round: </w:t>
            </w:r>
          </w:p>
          <w:p w14:paraId="2FD94ACC" w14:textId="77777777" w:rsidR="00221C59" w:rsidRDefault="00221C59" w:rsidP="00221C59">
            <w:pPr>
              <w:pStyle w:val="NoSpacing"/>
            </w:pPr>
            <w:r>
              <w:rPr>
                <w:szCs w:val="20"/>
              </w:rPr>
              <w:t>January 2022</w:t>
            </w:r>
          </w:p>
          <w:p w14:paraId="3E174D59" w14:textId="01059E26" w:rsidR="00221C59" w:rsidRPr="002175FB" w:rsidRDefault="00221C59" w:rsidP="00221C59">
            <w:pPr>
              <w:jc w:val="center"/>
              <w:rPr>
                <w:bCs/>
                <w:szCs w:val="20"/>
              </w:rPr>
            </w:pPr>
          </w:p>
        </w:tc>
        <w:tc>
          <w:tcPr>
            <w:tcW w:w="682" w:type="dxa"/>
            <w:shd w:val="clear" w:color="auto" w:fill="auto"/>
          </w:tcPr>
          <w:p w14:paraId="1EFF35FC" w14:textId="77777777" w:rsidR="00221C59" w:rsidRPr="00092E7D" w:rsidRDefault="00221C59" w:rsidP="00221C59">
            <w:pPr>
              <w:jc w:val="both"/>
              <w:rPr>
                <w:bCs/>
                <w:szCs w:val="20"/>
              </w:rPr>
            </w:pPr>
            <w:r>
              <w:rPr>
                <w:bCs/>
                <w:szCs w:val="20"/>
              </w:rPr>
              <w:t>Group 1</w:t>
            </w:r>
          </w:p>
        </w:tc>
        <w:tc>
          <w:tcPr>
            <w:tcW w:w="983" w:type="dxa"/>
            <w:shd w:val="clear" w:color="auto" w:fill="auto"/>
          </w:tcPr>
          <w:p w14:paraId="3FC6D88B" w14:textId="77777777" w:rsidR="00221C59" w:rsidRPr="00092E7D" w:rsidRDefault="00221C59" w:rsidP="00221C59">
            <w:pPr>
              <w:jc w:val="both"/>
              <w:rPr>
                <w:bCs/>
                <w:szCs w:val="20"/>
              </w:rPr>
            </w:pPr>
          </w:p>
        </w:tc>
      </w:tr>
      <w:tr w:rsidR="00D46636" w14:paraId="760813E3" w14:textId="77777777" w:rsidTr="0085651F">
        <w:tc>
          <w:tcPr>
            <w:tcW w:w="0" w:type="auto"/>
            <w:gridSpan w:val="14"/>
            <w:shd w:val="clear" w:color="auto" w:fill="auto"/>
          </w:tcPr>
          <w:p w14:paraId="61257BB7" w14:textId="77777777" w:rsidR="00D46636" w:rsidRPr="002175FB" w:rsidRDefault="00D46636" w:rsidP="00221C59">
            <w:pPr>
              <w:ind w:left="970" w:hanging="970"/>
              <w:jc w:val="both"/>
              <w:rPr>
                <w:color w:val="006600"/>
                <w:sz w:val="30"/>
                <w:szCs w:val="30"/>
              </w:rPr>
            </w:pPr>
            <w:r w:rsidRPr="002175FB">
              <w:rPr>
                <w:color w:val="006600"/>
                <w:sz w:val="30"/>
                <w:szCs w:val="30"/>
              </w:rPr>
              <w:lastRenderedPageBreak/>
              <w:t>Target 3.d: Strengthen the capacity of all countries, in particular developing countries, for early warning, risk reduction and management of national and global health risks</w:t>
            </w:r>
          </w:p>
        </w:tc>
      </w:tr>
      <w:tr w:rsidR="00BF3271" w14:paraId="2E08C2E5" w14:textId="77777777" w:rsidTr="0085651F">
        <w:tc>
          <w:tcPr>
            <w:tcW w:w="0" w:type="auto"/>
            <w:gridSpan w:val="2"/>
            <w:shd w:val="clear" w:color="auto" w:fill="auto"/>
          </w:tcPr>
          <w:p w14:paraId="2EEFE7B3" w14:textId="77777777" w:rsidR="00221C59" w:rsidRPr="00092E7D" w:rsidRDefault="00221C59" w:rsidP="00221C59">
            <w:pPr>
              <w:ind w:left="-20"/>
              <w:jc w:val="both"/>
              <w:rPr>
                <w:szCs w:val="20"/>
              </w:rPr>
            </w:pPr>
            <w:r w:rsidRPr="00682524">
              <w:rPr>
                <w:szCs w:val="20"/>
              </w:rPr>
              <w:t>3.d.1: International Health Regulations (IHR) capacity and health emergency preparedness</w:t>
            </w:r>
          </w:p>
        </w:tc>
        <w:tc>
          <w:tcPr>
            <w:tcW w:w="0" w:type="auto"/>
            <w:shd w:val="clear" w:color="auto" w:fill="auto"/>
          </w:tcPr>
          <w:p w14:paraId="449877CC" w14:textId="77777777" w:rsidR="00221C59" w:rsidRDefault="00221C59" w:rsidP="00221C59">
            <w:pPr>
              <w:jc w:val="center"/>
              <w:rPr>
                <w:szCs w:val="20"/>
              </w:rPr>
            </w:pPr>
            <w:r>
              <w:rPr>
                <w:szCs w:val="20"/>
              </w:rPr>
              <w:t>WHO</w:t>
            </w:r>
          </w:p>
        </w:tc>
        <w:tc>
          <w:tcPr>
            <w:tcW w:w="0" w:type="auto"/>
            <w:shd w:val="clear" w:color="auto" w:fill="auto"/>
          </w:tcPr>
          <w:p w14:paraId="2838A8AC" w14:textId="77777777" w:rsidR="00221C59" w:rsidRDefault="00221C59" w:rsidP="00221C59">
            <w:pPr>
              <w:jc w:val="center"/>
              <w:rPr>
                <w:szCs w:val="20"/>
              </w:rPr>
            </w:pPr>
            <w:r>
              <w:rPr>
                <w:szCs w:val="20"/>
              </w:rPr>
              <w:t>Tier I</w:t>
            </w:r>
          </w:p>
        </w:tc>
        <w:tc>
          <w:tcPr>
            <w:tcW w:w="0" w:type="auto"/>
            <w:shd w:val="clear" w:color="auto" w:fill="auto"/>
          </w:tcPr>
          <w:p w14:paraId="20ABA6FA" w14:textId="77777777" w:rsidR="00221C59" w:rsidRPr="00993E18" w:rsidRDefault="00221C59" w:rsidP="00221C59">
            <w:pPr>
              <w:jc w:val="both"/>
              <w:rPr>
                <w:b/>
                <w:bCs/>
                <w:color w:val="000000" w:themeColor="text1"/>
                <w:szCs w:val="20"/>
              </w:rPr>
            </w:pPr>
            <w:r w:rsidRPr="00993E18">
              <w:rPr>
                <w:b/>
                <w:bCs/>
                <w:color w:val="000000" w:themeColor="text1"/>
                <w:szCs w:val="20"/>
              </w:rPr>
              <w:t>Definition:</w:t>
            </w:r>
          </w:p>
          <w:p w14:paraId="74318C26" w14:textId="77777777" w:rsidR="00221C59" w:rsidRDefault="00221C59" w:rsidP="00221C59">
            <w:pPr>
              <w:jc w:val="both"/>
              <w:rPr>
                <w:color w:val="000000" w:themeColor="text1"/>
                <w:szCs w:val="20"/>
              </w:rPr>
            </w:pPr>
            <w:r w:rsidRPr="00993E18">
              <w:rPr>
                <w:color w:val="000000" w:themeColor="text1"/>
                <w:szCs w:val="20"/>
              </w:rPr>
              <w:t>Percentage of attributes of 13 core capacities that have been attained at a specific point in time. The 13</w:t>
            </w:r>
            <w:r>
              <w:rPr>
                <w:color w:val="000000" w:themeColor="text1"/>
                <w:szCs w:val="20"/>
              </w:rPr>
              <w:t xml:space="preserve"> </w:t>
            </w:r>
            <w:r w:rsidRPr="00993E18">
              <w:rPr>
                <w:color w:val="000000" w:themeColor="text1"/>
                <w:szCs w:val="20"/>
              </w:rPr>
              <w:t>core capacities are: (1) National legislation, policy and financing; (2) Coordination and National Focal</w:t>
            </w:r>
            <w:r>
              <w:rPr>
                <w:color w:val="000000" w:themeColor="text1"/>
                <w:szCs w:val="20"/>
              </w:rPr>
              <w:t xml:space="preserve"> </w:t>
            </w:r>
            <w:r w:rsidRPr="00993E18">
              <w:rPr>
                <w:color w:val="000000" w:themeColor="text1"/>
                <w:szCs w:val="20"/>
              </w:rPr>
              <w:t>Point communications; (3) Surveillance; (4) Response; (5) Preparedness; (6) Risk communication; (7)</w:t>
            </w:r>
            <w:r>
              <w:rPr>
                <w:color w:val="000000" w:themeColor="text1"/>
                <w:szCs w:val="20"/>
              </w:rPr>
              <w:t xml:space="preserve"> </w:t>
            </w:r>
            <w:r w:rsidRPr="00993E18">
              <w:rPr>
                <w:color w:val="000000" w:themeColor="text1"/>
                <w:szCs w:val="20"/>
              </w:rPr>
              <w:t>Human resources; (8) Laboratory; (9) Points of entry; (10) Zoonotic events; (11) Food safety; (12)</w:t>
            </w:r>
            <w:r>
              <w:rPr>
                <w:color w:val="000000" w:themeColor="text1"/>
                <w:szCs w:val="20"/>
              </w:rPr>
              <w:t xml:space="preserve"> </w:t>
            </w:r>
            <w:r w:rsidRPr="00993E18">
              <w:rPr>
                <w:color w:val="000000" w:themeColor="text1"/>
                <w:szCs w:val="20"/>
              </w:rPr>
              <w:t xml:space="preserve">Chemical </w:t>
            </w:r>
            <w:r w:rsidRPr="00993E18">
              <w:rPr>
                <w:color w:val="000000" w:themeColor="text1"/>
                <w:szCs w:val="20"/>
              </w:rPr>
              <w:lastRenderedPageBreak/>
              <w:t>events; (13) Radio nuclear emergencies.</w:t>
            </w:r>
          </w:p>
          <w:p w14:paraId="2BDA8B03" w14:textId="77777777" w:rsidR="00221C59" w:rsidRDefault="00221C59" w:rsidP="00221C59">
            <w:pPr>
              <w:jc w:val="both"/>
              <w:rPr>
                <w:b/>
                <w:bCs/>
                <w:color w:val="000000" w:themeColor="text1"/>
                <w:szCs w:val="20"/>
              </w:rPr>
            </w:pPr>
          </w:p>
          <w:p w14:paraId="7A13B9A5" w14:textId="77777777" w:rsidR="00221C59" w:rsidRPr="00993E18" w:rsidRDefault="00221C59" w:rsidP="00221C59">
            <w:pPr>
              <w:jc w:val="both"/>
              <w:rPr>
                <w:b/>
                <w:bCs/>
                <w:color w:val="000000" w:themeColor="text1"/>
                <w:szCs w:val="20"/>
              </w:rPr>
            </w:pPr>
            <w:r w:rsidRPr="00993E18">
              <w:rPr>
                <w:b/>
                <w:bCs/>
                <w:color w:val="000000" w:themeColor="text1"/>
                <w:szCs w:val="20"/>
              </w:rPr>
              <w:t>Concepts:</w:t>
            </w:r>
          </w:p>
          <w:p w14:paraId="61C5DAB0" w14:textId="77777777" w:rsidR="00221C59" w:rsidRDefault="00221C59" w:rsidP="00221C59">
            <w:pPr>
              <w:jc w:val="both"/>
              <w:rPr>
                <w:color w:val="000000" w:themeColor="text1"/>
                <w:szCs w:val="20"/>
              </w:rPr>
            </w:pPr>
            <w:r w:rsidRPr="00993E18">
              <w:rPr>
                <w:i/>
                <w:iCs/>
                <w:color w:val="000000" w:themeColor="text1"/>
                <w:szCs w:val="20"/>
              </w:rPr>
              <w:t>Attributes:</w:t>
            </w:r>
            <w:r w:rsidRPr="00993E18">
              <w:rPr>
                <w:color w:val="000000" w:themeColor="text1"/>
                <w:szCs w:val="20"/>
              </w:rPr>
              <w:t xml:space="preserve"> one of a set of specific elements or characteristics that reflect the level of performance or</w:t>
            </w:r>
            <w:r>
              <w:rPr>
                <w:color w:val="000000" w:themeColor="text1"/>
                <w:szCs w:val="20"/>
              </w:rPr>
              <w:t xml:space="preserve"> </w:t>
            </w:r>
            <w:r w:rsidRPr="00993E18">
              <w:rPr>
                <w:color w:val="000000" w:themeColor="text1"/>
                <w:szCs w:val="20"/>
              </w:rPr>
              <w:t>achievement of a specific indicator.</w:t>
            </w:r>
          </w:p>
          <w:p w14:paraId="7E637391" w14:textId="77777777" w:rsidR="00221C59" w:rsidRPr="00993E18" w:rsidRDefault="00221C59" w:rsidP="00221C59">
            <w:pPr>
              <w:jc w:val="both"/>
              <w:rPr>
                <w:color w:val="000000" w:themeColor="text1"/>
                <w:szCs w:val="20"/>
              </w:rPr>
            </w:pPr>
          </w:p>
          <w:p w14:paraId="48557584" w14:textId="77777777" w:rsidR="00221C59" w:rsidRDefault="00221C59" w:rsidP="00221C59">
            <w:pPr>
              <w:jc w:val="both"/>
              <w:rPr>
                <w:color w:val="000000" w:themeColor="text1"/>
                <w:szCs w:val="20"/>
              </w:rPr>
            </w:pPr>
            <w:r w:rsidRPr="00993E18">
              <w:rPr>
                <w:i/>
                <w:iCs/>
                <w:color w:val="000000" w:themeColor="text1"/>
                <w:szCs w:val="20"/>
              </w:rPr>
              <w:t>Core capacity:</w:t>
            </w:r>
            <w:r w:rsidRPr="00993E18">
              <w:rPr>
                <w:color w:val="000000" w:themeColor="text1"/>
                <w:szCs w:val="20"/>
              </w:rPr>
              <w:t xml:space="preserve"> the essential public health capacity that States Parties are required to have in place</w:t>
            </w:r>
            <w:r>
              <w:rPr>
                <w:color w:val="000000" w:themeColor="text1"/>
                <w:szCs w:val="20"/>
              </w:rPr>
              <w:t xml:space="preserve"> </w:t>
            </w:r>
            <w:r w:rsidRPr="00993E18">
              <w:rPr>
                <w:color w:val="000000" w:themeColor="text1"/>
                <w:szCs w:val="20"/>
              </w:rPr>
              <w:t>throughout their territories pursuant to Articles 5 and 12, and Annex 1A of the IHR (2005) requirements</w:t>
            </w:r>
            <w:r>
              <w:rPr>
                <w:color w:val="000000" w:themeColor="text1"/>
                <w:szCs w:val="20"/>
              </w:rPr>
              <w:t xml:space="preserve"> </w:t>
            </w:r>
            <w:r w:rsidRPr="00993E18">
              <w:rPr>
                <w:color w:val="000000" w:themeColor="text1"/>
                <w:szCs w:val="20"/>
              </w:rPr>
              <w:t>by the year 2012. Eight core capacities are defined in this document.</w:t>
            </w:r>
          </w:p>
          <w:p w14:paraId="118A1BE7" w14:textId="77777777" w:rsidR="00221C59" w:rsidRPr="00993E18" w:rsidRDefault="00221C59" w:rsidP="00221C59">
            <w:pPr>
              <w:jc w:val="both"/>
              <w:rPr>
                <w:color w:val="000000" w:themeColor="text1"/>
                <w:szCs w:val="20"/>
              </w:rPr>
            </w:pPr>
          </w:p>
          <w:p w14:paraId="7A5D2350" w14:textId="77777777" w:rsidR="00221C59" w:rsidRDefault="00221C59" w:rsidP="00221C59">
            <w:pPr>
              <w:jc w:val="both"/>
              <w:rPr>
                <w:color w:val="000000" w:themeColor="text1"/>
                <w:szCs w:val="20"/>
              </w:rPr>
            </w:pPr>
            <w:r w:rsidRPr="00993E18">
              <w:rPr>
                <w:i/>
                <w:iCs/>
                <w:color w:val="000000" w:themeColor="text1"/>
                <w:szCs w:val="20"/>
              </w:rPr>
              <w:t>Indicator:</w:t>
            </w:r>
            <w:r w:rsidRPr="00993E18">
              <w:rPr>
                <w:color w:val="000000" w:themeColor="text1"/>
                <w:szCs w:val="20"/>
              </w:rPr>
              <w:t xml:space="preserve"> a variable that can be measured repeatedly (directly or indirectly) over time to reveal change in</w:t>
            </w:r>
            <w:r>
              <w:rPr>
                <w:color w:val="000000" w:themeColor="text1"/>
                <w:szCs w:val="20"/>
              </w:rPr>
              <w:t xml:space="preserve"> </w:t>
            </w:r>
            <w:r w:rsidRPr="00993E18">
              <w:rPr>
                <w:color w:val="000000" w:themeColor="text1"/>
                <w:szCs w:val="20"/>
              </w:rPr>
              <w:t>a system. It can be qualitative or quantitative, allowing the objective measurement of the progress of a</w:t>
            </w:r>
            <w:r>
              <w:rPr>
                <w:color w:val="000000" w:themeColor="text1"/>
                <w:szCs w:val="20"/>
              </w:rPr>
              <w:t xml:space="preserve"> </w:t>
            </w:r>
            <w:r w:rsidRPr="00993E18">
              <w:rPr>
                <w:color w:val="000000" w:themeColor="text1"/>
                <w:szCs w:val="20"/>
              </w:rPr>
              <w:t>programme or event. The quantitative measurements need to be interpreted in the broader context,</w:t>
            </w:r>
            <w:r>
              <w:rPr>
                <w:color w:val="000000" w:themeColor="text1"/>
                <w:szCs w:val="20"/>
              </w:rPr>
              <w:t xml:space="preserve"> </w:t>
            </w:r>
            <w:r w:rsidRPr="00993E18">
              <w:rPr>
                <w:color w:val="000000" w:themeColor="text1"/>
                <w:szCs w:val="20"/>
              </w:rPr>
              <w:t>taking other sources of information (e.g. supervisory reports and special studies) into consideration and</w:t>
            </w:r>
            <w:r>
              <w:rPr>
                <w:color w:val="000000" w:themeColor="text1"/>
                <w:szCs w:val="20"/>
              </w:rPr>
              <w:t xml:space="preserve"> </w:t>
            </w:r>
            <w:r w:rsidRPr="00993E18">
              <w:rPr>
                <w:color w:val="000000" w:themeColor="text1"/>
                <w:szCs w:val="20"/>
              </w:rPr>
              <w:t>they should be supplemented with qualitative information.</w:t>
            </w:r>
          </w:p>
          <w:p w14:paraId="6220AF51" w14:textId="77777777" w:rsidR="00221C59" w:rsidRPr="00993E18" w:rsidRDefault="00221C59" w:rsidP="00221C59">
            <w:pPr>
              <w:jc w:val="both"/>
              <w:rPr>
                <w:color w:val="000000" w:themeColor="text1"/>
                <w:szCs w:val="20"/>
              </w:rPr>
            </w:pPr>
          </w:p>
          <w:p w14:paraId="1AF2AEFD" w14:textId="77777777" w:rsidR="00221C59" w:rsidRDefault="00221C59" w:rsidP="00221C59">
            <w:pPr>
              <w:jc w:val="both"/>
              <w:rPr>
                <w:color w:val="000000" w:themeColor="text1"/>
                <w:szCs w:val="20"/>
              </w:rPr>
            </w:pPr>
            <w:r w:rsidRPr="00993E18">
              <w:rPr>
                <w:i/>
                <w:iCs/>
                <w:color w:val="000000" w:themeColor="text1"/>
                <w:szCs w:val="20"/>
              </w:rPr>
              <w:t>The capability levels:</w:t>
            </w:r>
            <w:r w:rsidRPr="00993E18">
              <w:rPr>
                <w:color w:val="000000" w:themeColor="text1"/>
                <w:szCs w:val="20"/>
              </w:rPr>
              <w:t xml:space="preserve"> Each attribute has been assigned a level of maturity, or a ‘capability level.’</w:t>
            </w:r>
            <w:r>
              <w:rPr>
                <w:color w:val="000000" w:themeColor="text1"/>
                <w:szCs w:val="20"/>
              </w:rPr>
              <w:t xml:space="preserve"> </w:t>
            </w:r>
            <w:r w:rsidRPr="00993E18">
              <w:rPr>
                <w:color w:val="000000" w:themeColor="text1"/>
                <w:szCs w:val="20"/>
              </w:rPr>
              <w:t>Attainment of a given capability level requires that all attributes at lower levels are in place. In the</w:t>
            </w:r>
            <w:r>
              <w:rPr>
                <w:color w:val="000000" w:themeColor="text1"/>
                <w:szCs w:val="20"/>
              </w:rPr>
              <w:t xml:space="preserve"> </w:t>
            </w:r>
            <w:r w:rsidRPr="00993E18">
              <w:rPr>
                <w:color w:val="000000" w:themeColor="text1"/>
                <w:szCs w:val="20"/>
              </w:rPr>
              <w:t>checklist, the status of core capacity development is measured at four capability levels: Level &lt; 1:</w:t>
            </w:r>
            <w:r>
              <w:rPr>
                <w:color w:val="000000" w:themeColor="text1"/>
                <w:szCs w:val="20"/>
              </w:rPr>
              <w:t xml:space="preserve"> </w:t>
            </w:r>
            <w:r w:rsidRPr="00993E18">
              <w:rPr>
                <w:color w:val="000000" w:themeColor="text1"/>
                <w:szCs w:val="20"/>
              </w:rPr>
              <w:t>prerequisites (foundational level); Level 1: inputs and processes; Level 2: outputs and outcomes; Level 3:</w:t>
            </w:r>
            <w:r>
              <w:rPr>
                <w:color w:val="000000" w:themeColor="text1"/>
                <w:szCs w:val="20"/>
              </w:rPr>
              <w:t xml:space="preserve"> </w:t>
            </w:r>
            <w:r w:rsidRPr="00993E18">
              <w:rPr>
                <w:color w:val="000000" w:themeColor="text1"/>
                <w:szCs w:val="20"/>
              </w:rPr>
              <w:t>additional.</w:t>
            </w:r>
          </w:p>
          <w:p w14:paraId="6B2FDD59" w14:textId="77777777" w:rsidR="00221C59" w:rsidRDefault="00221C59" w:rsidP="00221C59">
            <w:pPr>
              <w:jc w:val="both"/>
              <w:rPr>
                <w:b/>
                <w:bCs/>
                <w:color w:val="000000" w:themeColor="text1"/>
                <w:szCs w:val="20"/>
              </w:rPr>
            </w:pPr>
          </w:p>
          <w:p w14:paraId="264B9D70" w14:textId="77777777" w:rsidR="00221C59" w:rsidRPr="00993E18" w:rsidRDefault="00221C59" w:rsidP="00221C59">
            <w:pPr>
              <w:jc w:val="both"/>
              <w:rPr>
                <w:b/>
                <w:bCs/>
                <w:color w:val="000000" w:themeColor="text1"/>
                <w:szCs w:val="20"/>
              </w:rPr>
            </w:pPr>
            <w:r w:rsidRPr="00993E18">
              <w:rPr>
                <w:b/>
                <w:bCs/>
                <w:color w:val="000000" w:themeColor="text1"/>
                <w:szCs w:val="20"/>
              </w:rPr>
              <w:t>Computation Method:</w:t>
            </w:r>
          </w:p>
          <w:p w14:paraId="3DE3A023" w14:textId="77777777" w:rsidR="00221C59" w:rsidRPr="00993E18" w:rsidRDefault="00221C59" w:rsidP="00221C59">
            <w:pPr>
              <w:jc w:val="both"/>
              <w:rPr>
                <w:color w:val="000000" w:themeColor="text1"/>
                <w:szCs w:val="20"/>
              </w:rPr>
            </w:pPr>
            <w:r w:rsidRPr="00993E18">
              <w:rPr>
                <w:color w:val="000000" w:themeColor="text1"/>
                <w:szCs w:val="20"/>
              </w:rPr>
              <w:t>(Number of 'yes' to level 1 and 2 questions) / (Total number of level 1 and 2 questions) per core capacity</w:t>
            </w:r>
          </w:p>
        </w:tc>
        <w:tc>
          <w:tcPr>
            <w:tcW w:w="0" w:type="auto"/>
            <w:shd w:val="clear" w:color="auto" w:fill="auto"/>
          </w:tcPr>
          <w:p w14:paraId="60833F5F" w14:textId="77777777" w:rsidR="00221C59" w:rsidRPr="00092E7D" w:rsidRDefault="00221C59" w:rsidP="00221C59">
            <w:pPr>
              <w:jc w:val="center"/>
              <w:rPr>
                <w:bCs/>
                <w:szCs w:val="20"/>
              </w:rPr>
            </w:pPr>
            <w:r w:rsidRPr="00993E18">
              <w:rPr>
                <w:bCs/>
                <w:szCs w:val="20"/>
              </w:rPr>
              <w:lastRenderedPageBreak/>
              <w:t>Key informant survey</w:t>
            </w:r>
          </w:p>
        </w:tc>
        <w:tc>
          <w:tcPr>
            <w:tcW w:w="0" w:type="auto"/>
            <w:shd w:val="clear" w:color="auto" w:fill="auto"/>
          </w:tcPr>
          <w:p w14:paraId="2623057E" w14:textId="77777777" w:rsidR="00221C59" w:rsidRDefault="00221C59" w:rsidP="00221C59">
            <w:pPr>
              <w:jc w:val="center"/>
              <w:rPr>
                <w:bCs/>
                <w:szCs w:val="20"/>
              </w:rPr>
            </w:pPr>
            <w:r w:rsidRPr="00993E18">
              <w:rPr>
                <w:bCs/>
                <w:szCs w:val="20"/>
              </w:rPr>
              <w:t>National IHR Focal Points</w:t>
            </w:r>
          </w:p>
        </w:tc>
        <w:tc>
          <w:tcPr>
            <w:tcW w:w="0" w:type="auto"/>
            <w:shd w:val="clear" w:color="auto" w:fill="auto"/>
          </w:tcPr>
          <w:p w14:paraId="2E16C8D4" w14:textId="7DC29E22" w:rsidR="00221C59" w:rsidRDefault="00221C59" w:rsidP="00221C59">
            <w:pPr>
              <w:rPr>
                <w:color w:val="000000" w:themeColor="text1"/>
                <w:sz w:val="18"/>
                <w:szCs w:val="18"/>
              </w:rPr>
            </w:pPr>
            <w:r>
              <w:rPr>
                <w:color w:val="000000" w:themeColor="text1"/>
                <w:sz w:val="18"/>
                <w:szCs w:val="18"/>
              </w:rPr>
              <w:t>WHO</w:t>
            </w:r>
          </w:p>
        </w:tc>
        <w:tc>
          <w:tcPr>
            <w:tcW w:w="0" w:type="auto"/>
            <w:shd w:val="clear" w:color="auto" w:fill="auto"/>
          </w:tcPr>
          <w:p w14:paraId="4F3D60F3" w14:textId="7AE6B9E2" w:rsidR="00221C59" w:rsidRDefault="00221C59" w:rsidP="00221C59">
            <w:pPr>
              <w:ind w:left="10"/>
              <w:rPr>
                <w:color w:val="000000" w:themeColor="text1"/>
                <w:sz w:val="18"/>
                <w:szCs w:val="18"/>
              </w:rPr>
            </w:pPr>
          </w:p>
          <w:p w14:paraId="00BD3C2C" w14:textId="77777777" w:rsidR="00221C59" w:rsidRPr="00BC6F10" w:rsidRDefault="00221C59" w:rsidP="00221C59">
            <w:pPr>
              <w:spacing w:line="276" w:lineRule="auto"/>
              <w:jc w:val="center"/>
            </w:pPr>
            <w:r w:rsidRPr="00BC6F10">
              <w:t xml:space="preserve">a) DGHS, </w:t>
            </w:r>
            <w:r>
              <w:t>HSD</w:t>
            </w:r>
            <w:r w:rsidRPr="00BC6F10">
              <w:t xml:space="preserve"> (NHCMC</w:t>
            </w:r>
            <w:r>
              <w:t xml:space="preserve"> </w:t>
            </w:r>
            <w:r w:rsidRPr="00BC6F10">
              <w:t>&amp;</w:t>
            </w:r>
            <w:r>
              <w:t xml:space="preserve"> </w:t>
            </w:r>
            <w:r w:rsidRPr="00BC6F10">
              <w:t>CR)</w:t>
            </w:r>
          </w:p>
          <w:p w14:paraId="76BA1B0E" w14:textId="77777777" w:rsidR="00221C59" w:rsidRDefault="00221C59" w:rsidP="00221C59">
            <w:pPr>
              <w:ind w:left="10"/>
              <w:rPr>
                <w:bCs/>
                <w:szCs w:val="20"/>
              </w:rPr>
            </w:pPr>
            <w:r w:rsidRPr="00BC6F10">
              <w:t>b) WHO</w:t>
            </w:r>
          </w:p>
        </w:tc>
        <w:tc>
          <w:tcPr>
            <w:tcW w:w="0" w:type="auto"/>
            <w:shd w:val="clear" w:color="auto" w:fill="auto"/>
          </w:tcPr>
          <w:p w14:paraId="5CACD555" w14:textId="77777777" w:rsidR="00221C59" w:rsidRPr="00092E7D" w:rsidRDefault="00221C59" w:rsidP="00221C59">
            <w:pPr>
              <w:pStyle w:val="ListParagraph"/>
              <w:numPr>
                <w:ilvl w:val="0"/>
                <w:numId w:val="22"/>
              </w:numPr>
              <w:ind w:left="210" w:hanging="180"/>
              <w:rPr>
                <w:rFonts w:ascii="Tw Cen MT Condensed" w:hAnsi="Tw Cen MT Condensed"/>
                <w:bCs/>
                <w:sz w:val="20"/>
                <w:szCs w:val="20"/>
              </w:rPr>
            </w:pPr>
            <w:r>
              <w:rPr>
                <w:rFonts w:ascii="Tw Cen MT Condensed" w:hAnsi="Tw Cen MT Condensed"/>
                <w:bCs/>
                <w:sz w:val="20"/>
                <w:szCs w:val="20"/>
              </w:rPr>
              <w:t>Not Required</w:t>
            </w:r>
          </w:p>
        </w:tc>
        <w:tc>
          <w:tcPr>
            <w:tcW w:w="0" w:type="auto"/>
            <w:shd w:val="clear" w:color="auto" w:fill="auto"/>
          </w:tcPr>
          <w:p w14:paraId="6D80FCD0" w14:textId="77777777" w:rsidR="00221C59" w:rsidRDefault="00221C59" w:rsidP="00221C59">
            <w:pPr>
              <w:jc w:val="center"/>
              <w:rPr>
                <w:bCs/>
                <w:szCs w:val="20"/>
              </w:rPr>
            </w:pPr>
            <w:r>
              <w:rPr>
                <w:bCs/>
                <w:szCs w:val="20"/>
              </w:rPr>
              <w:t>Annual</w:t>
            </w:r>
          </w:p>
        </w:tc>
        <w:tc>
          <w:tcPr>
            <w:tcW w:w="0" w:type="auto"/>
            <w:shd w:val="clear" w:color="auto" w:fill="auto"/>
          </w:tcPr>
          <w:p w14:paraId="086F96BA" w14:textId="77777777" w:rsidR="00221C59" w:rsidRDefault="00221C59" w:rsidP="00221C59">
            <w:pPr>
              <w:pStyle w:val="NoSpacing"/>
            </w:pPr>
            <w:r>
              <w:t>1</w:t>
            </w:r>
            <w:r w:rsidRPr="00013ACB">
              <w:rPr>
                <w:vertAlign w:val="superscript"/>
              </w:rPr>
              <w:t>st</w:t>
            </w:r>
            <w:r>
              <w:t xml:space="preserve"> Round: </w:t>
            </w:r>
          </w:p>
          <w:p w14:paraId="3BF6050F" w14:textId="77777777" w:rsidR="00221C59" w:rsidRDefault="00221C59" w:rsidP="00221C59">
            <w:pPr>
              <w:pStyle w:val="NoSpacing"/>
            </w:pPr>
            <w:r>
              <w:t>2016</w:t>
            </w:r>
          </w:p>
          <w:p w14:paraId="682CDFB9" w14:textId="77777777" w:rsidR="00221C59" w:rsidRDefault="00221C59" w:rsidP="00221C59">
            <w:pPr>
              <w:pStyle w:val="NoSpacing"/>
            </w:pPr>
            <w:r>
              <w:t>2</w:t>
            </w:r>
            <w:r w:rsidRPr="00013ACB">
              <w:rPr>
                <w:vertAlign w:val="superscript"/>
              </w:rPr>
              <w:t>nd</w:t>
            </w:r>
            <w:r>
              <w:t xml:space="preserve"> Round: </w:t>
            </w:r>
          </w:p>
          <w:p w14:paraId="1C8F9CCB" w14:textId="77777777" w:rsidR="00221C59" w:rsidRDefault="00221C59" w:rsidP="00221C59">
            <w:pPr>
              <w:pStyle w:val="NoSpacing"/>
            </w:pPr>
            <w:r w:rsidRPr="00BC6F10">
              <w:rPr>
                <w:szCs w:val="20"/>
              </w:rPr>
              <w:t xml:space="preserve">January </w:t>
            </w:r>
            <w:r w:rsidRPr="00BC6F10">
              <w:rPr>
                <w:szCs w:val="20"/>
              </w:rPr>
              <w:lastRenderedPageBreak/>
              <w:t>2019</w:t>
            </w:r>
          </w:p>
          <w:p w14:paraId="4C7ED064" w14:textId="77777777" w:rsidR="00221C59" w:rsidRDefault="00221C59" w:rsidP="00221C59">
            <w:pPr>
              <w:pStyle w:val="NoSpacing"/>
            </w:pPr>
            <w:r>
              <w:t>3</w:t>
            </w:r>
            <w:r w:rsidRPr="00013ACB">
              <w:rPr>
                <w:vertAlign w:val="superscript"/>
              </w:rPr>
              <w:t>rd</w:t>
            </w:r>
            <w:r>
              <w:t xml:space="preserve"> Round: </w:t>
            </w:r>
          </w:p>
          <w:p w14:paraId="380D7275" w14:textId="77777777" w:rsidR="00221C59" w:rsidRDefault="00221C59" w:rsidP="00221C59">
            <w:pPr>
              <w:pStyle w:val="NoSpacing"/>
            </w:pPr>
            <w:r>
              <w:rPr>
                <w:szCs w:val="20"/>
              </w:rPr>
              <w:t>January 2020</w:t>
            </w:r>
          </w:p>
          <w:p w14:paraId="76ECBC15" w14:textId="77777777" w:rsidR="00221C59" w:rsidRDefault="00221C59" w:rsidP="00221C59">
            <w:pPr>
              <w:pStyle w:val="NoSpacing"/>
            </w:pPr>
            <w:r>
              <w:t>4</w:t>
            </w:r>
            <w:r w:rsidRPr="00013ACB">
              <w:rPr>
                <w:vertAlign w:val="superscript"/>
              </w:rPr>
              <w:t>th</w:t>
            </w:r>
            <w:r>
              <w:t xml:space="preserve"> Round: </w:t>
            </w:r>
          </w:p>
          <w:p w14:paraId="72F859B4" w14:textId="77777777" w:rsidR="00221C59" w:rsidRDefault="00221C59" w:rsidP="00221C59">
            <w:pPr>
              <w:pStyle w:val="NoSpacing"/>
            </w:pPr>
            <w:r>
              <w:rPr>
                <w:szCs w:val="20"/>
              </w:rPr>
              <w:t>January 2021</w:t>
            </w:r>
          </w:p>
          <w:p w14:paraId="3C9633C5" w14:textId="77777777" w:rsidR="00221C59" w:rsidRDefault="00221C59" w:rsidP="00221C59">
            <w:pPr>
              <w:pStyle w:val="NoSpacing"/>
            </w:pPr>
            <w:r>
              <w:t>5</w:t>
            </w:r>
            <w:r w:rsidRPr="00013ACB">
              <w:rPr>
                <w:vertAlign w:val="superscript"/>
              </w:rPr>
              <w:t>th</w:t>
            </w:r>
            <w:r>
              <w:t xml:space="preserve"> Round: </w:t>
            </w:r>
          </w:p>
          <w:p w14:paraId="694CDD43" w14:textId="0076061F" w:rsidR="00221C59" w:rsidRPr="002175FB" w:rsidRDefault="00221C59" w:rsidP="00221C59">
            <w:pPr>
              <w:jc w:val="center"/>
              <w:rPr>
                <w:bCs/>
                <w:szCs w:val="20"/>
              </w:rPr>
            </w:pPr>
            <w:r>
              <w:rPr>
                <w:szCs w:val="20"/>
              </w:rPr>
              <w:t>January 2022</w:t>
            </w:r>
          </w:p>
        </w:tc>
        <w:tc>
          <w:tcPr>
            <w:tcW w:w="682" w:type="dxa"/>
            <w:shd w:val="clear" w:color="auto" w:fill="auto"/>
          </w:tcPr>
          <w:p w14:paraId="44D1453B" w14:textId="77777777" w:rsidR="00221C59" w:rsidRPr="00092E7D" w:rsidRDefault="00221C59" w:rsidP="00221C59">
            <w:pPr>
              <w:jc w:val="both"/>
              <w:rPr>
                <w:bCs/>
                <w:szCs w:val="20"/>
              </w:rPr>
            </w:pPr>
            <w:r>
              <w:rPr>
                <w:bCs/>
                <w:szCs w:val="20"/>
              </w:rPr>
              <w:lastRenderedPageBreak/>
              <w:t>Group 1</w:t>
            </w:r>
          </w:p>
        </w:tc>
        <w:tc>
          <w:tcPr>
            <w:tcW w:w="983" w:type="dxa"/>
            <w:shd w:val="clear" w:color="auto" w:fill="auto"/>
          </w:tcPr>
          <w:p w14:paraId="2B59C5DF" w14:textId="77777777" w:rsidR="00221C59" w:rsidRPr="00092E7D" w:rsidRDefault="00221C59" w:rsidP="00221C59">
            <w:pPr>
              <w:jc w:val="both"/>
              <w:rPr>
                <w:bCs/>
                <w:szCs w:val="20"/>
              </w:rPr>
            </w:pPr>
          </w:p>
        </w:tc>
      </w:tr>
      <w:tr w:rsidR="00BF3271" w14:paraId="5D5A7DC1" w14:textId="77777777" w:rsidTr="0085651F">
        <w:tc>
          <w:tcPr>
            <w:tcW w:w="0" w:type="auto"/>
            <w:gridSpan w:val="2"/>
            <w:shd w:val="clear" w:color="auto" w:fill="auto"/>
          </w:tcPr>
          <w:p w14:paraId="21299E97" w14:textId="77777777" w:rsidR="00221C59" w:rsidRPr="00682524" w:rsidRDefault="00221C59" w:rsidP="00221C59">
            <w:pPr>
              <w:ind w:left="-20"/>
              <w:jc w:val="both"/>
              <w:rPr>
                <w:szCs w:val="20"/>
              </w:rPr>
            </w:pPr>
            <w:r w:rsidRPr="00221158">
              <w:rPr>
                <w:szCs w:val="20"/>
              </w:rPr>
              <w:lastRenderedPageBreak/>
              <w:t>3.d.2 Percentage of bloodstream infections due to selected antimicrobial-resistant organisms</w:t>
            </w:r>
          </w:p>
        </w:tc>
        <w:tc>
          <w:tcPr>
            <w:tcW w:w="0" w:type="auto"/>
            <w:shd w:val="clear" w:color="auto" w:fill="auto"/>
          </w:tcPr>
          <w:p w14:paraId="54B5C0B3" w14:textId="77777777" w:rsidR="00221C59" w:rsidRDefault="00221C59" w:rsidP="00221C59">
            <w:pPr>
              <w:jc w:val="center"/>
              <w:rPr>
                <w:szCs w:val="20"/>
              </w:rPr>
            </w:pPr>
          </w:p>
        </w:tc>
        <w:tc>
          <w:tcPr>
            <w:tcW w:w="0" w:type="auto"/>
            <w:shd w:val="clear" w:color="auto" w:fill="auto"/>
          </w:tcPr>
          <w:p w14:paraId="5BAE758F" w14:textId="4AD57FD8" w:rsidR="00221C59" w:rsidRDefault="00754676" w:rsidP="00221C59">
            <w:pPr>
              <w:pStyle w:val="NoSpacing"/>
            </w:pPr>
            <w:r>
              <w:t>TBD</w:t>
            </w:r>
          </w:p>
        </w:tc>
        <w:tc>
          <w:tcPr>
            <w:tcW w:w="0" w:type="auto"/>
            <w:shd w:val="clear" w:color="auto" w:fill="auto"/>
          </w:tcPr>
          <w:p w14:paraId="4EE0C351" w14:textId="77777777" w:rsidR="00221C59" w:rsidRPr="00221158" w:rsidRDefault="00221C59" w:rsidP="00221C59">
            <w:pPr>
              <w:pStyle w:val="NoSpacing"/>
            </w:pPr>
            <w:r w:rsidRPr="00221158">
              <w:rPr>
                <w:b/>
              </w:rPr>
              <w:t xml:space="preserve">Definition: </w:t>
            </w:r>
          </w:p>
          <w:p w14:paraId="1FB1E87F" w14:textId="77777777" w:rsidR="00221C59" w:rsidRPr="00221158" w:rsidRDefault="00221C59" w:rsidP="00221C59">
            <w:pPr>
              <w:pStyle w:val="NoSpacing"/>
            </w:pPr>
            <w:r w:rsidRPr="00221158">
              <w:t xml:space="preserve">Frequency of bloodstream infection among hospital patients’ due to methicillin-resistant </w:t>
            </w:r>
          </w:p>
          <w:p w14:paraId="07312376" w14:textId="77777777" w:rsidR="00221C59" w:rsidRPr="00221158" w:rsidRDefault="00221C59" w:rsidP="00221C59">
            <w:pPr>
              <w:pStyle w:val="NoSpacing"/>
            </w:pPr>
            <w:r w:rsidRPr="00221158">
              <w:t xml:space="preserve">Staphylococcus aureus (MRSA) and Escherichia coli resistant to 3rd-generation cephalosporin (e.g., ESBL- E. coli).  </w:t>
            </w:r>
          </w:p>
          <w:p w14:paraId="032A18BF" w14:textId="77777777" w:rsidR="00221C59" w:rsidRPr="00221158" w:rsidRDefault="00221C59" w:rsidP="00221C59">
            <w:pPr>
              <w:pStyle w:val="NoSpacing"/>
            </w:pPr>
            <w:r w:rsidRPr="00221158">
              <w:t xml:space="preserve"> </w:t>
            </w:r>
          </w:p>
          <w:p w14:paraId="010417AE" w14:textId="77777777" w:rsidR="00221C59" w:rsidRPr="00221158" w:rsidRDefault="00221C59" w:rsidP="00221C59">
            <w:pPr>
              <w:pStyle w:val="NoSpacing"/>
            </w:pPr>
            <w:r w:rsidRPr="00221158">
              <w:t xml:space="preserve">Rationale for selecting these two types of AMR organisms:  </w:t>
            </w:r>
          </w:p>
          <w:p w14:paraId="150D1BD9" w14:textId="77777777" w:rsidR="00221C59" w:rsidRPr="00221158" w:rsidRDefault="00221C59" w:rsidP="00221C59">
            <w:pPr>
              <w:pStyle w:val="NoSpacing"/>
              <w:numPr>
                <w:ilvl w:val="0"/>
                <w:numId w:val="156"/>
              </w:numPr>
            </w:pPr>
            <w:r w:rsidRPr="00221158">
              <w:t xml:space="preserve">E. coli and S. aureus are among the most common human fast-growing bacteria causing acute human infections;  </w:t>
            </w:r>
          </w:p>
          <w:p w14:paraId="32F20FB2" w14:textId="77777777" w:rsidR="00221C59" w:rsidRPr="00221158" w:rsidRDefault="00221C59" w:rsidP="00221C59">
            <w:pPr>
              <w:pStyle w:val="NoSpacing"/>
              <w:numPr>
                <w:ilvl w:val="0"/>
                <w:numId w:val="156"/>
              </w:numPr>
            </w:pPr>
            <w:r w:rsidRPr="00221158">
              <w:t xml:space="preserve">E. coli is highly frequent in both humans, animals and environment, being </w:t>
            </w:r>
            <w:r w:rsidRPr="00221158">
              <w:lastRenderedPageBreak/>
              <w:t xml:space="preserve">an excellent indicator for monitoring AMR across the sectors in line with the One Health approach;  </w:t>
            </w:r>
          </w:p>
          <w:p w14:paraId="0B50EB67" w14:textId="77777777" w:rsidR="00221C59" w:rsidRPr="00221158" w:rsidRDefault="00221C59" w:rsidP="00221C59">
            <w:pPr>
              <w:pStyle w:val="NoSpacing"/>
              <w:numPr>
                <w:ilvl w:val="0"/>
                <w:numId w:val="156"/>
              </w:numPr>
            </w:pPr>
            <w:proofErr w:type="gramStart"/>
            <w:r w:rsidRPr="00221158">
              <w:t>both</w:t>
            </w:r>
            <w:proofErr w:type="gramEnd"/>
            <w:r w:rsidRPr="00221158">
              <w:t xml:space="preserve"> MRSA and ESBL- E. coli are largely disseminated and frequently in high frequency in hospital settings all over the world. Infections with these types of AMR lead to increase in use of the last resort drugs (e.g., vancomycin for MRSA infections, and carbapenems for ESBL- E. coli) against which new types of AMR are emerging. WHO has defined global infection prevention and control standards and </w:t>
            </w:r>
            <w:proofErr w:type="gramStart"/>
            <w:r w:rsidRPr="00221158">
              <w:t>strategies.</w:t>
            </w:r>
            <w:proofErr w:type="gramEnd"/>
            <w:r w:rsidRPr="00221158">
              <w:t xml:space="preserve">  </w:t>
            </w:r>
          </w:p>
          <w:p w14:paraId="3A637BE6" w14:textId="77777777" w:rsidR="00221C59" w:rsidRPr="00221158" w:rsidRDefault="00221C59" w:rsidP="00221C59">
            <w:pPr>
              <w:pStyle w:val="NoSpacing"/>
            </w:pPr>
            <w:r w:rsidRPr="00221158">
              <w:t xml:space="preserve"> </w:t>
            </w:r>
          </w:p>
          <w:p w14:paraId="15950A36" w14:textId="77777777" w:rsidR="00221C59" w:rsidRPr="00221158" w:rsidRDefault="00221C59" w:rsidP="00221C59">
            <w:pPr>
              <w:pStyle w:val="NoSpacing"/>
            </w:pPr>
            <w:r w:rsidRPr="00221158">
              <w:t xml:space="preserve">Effective control of these two types of AMR will ultimately preserve the capacity to treat infections with available antimicrobials while new prevention and treatment solutions can be developed.      </w:t>
            </w:r>
          </w:p>
          <w:p w14:paraId="11B5836D" w14:textId="77777777" w:rsidR="00221C59" w:rsidRPr="00221158" w:rsidRDefault="00221C59" w:rsidP="00221C59">
            <w:pPr>
              <w:pStyle w:val="NoSpacing"/>
            </w:pPr>
            <w:r w:rsidRPr="00221158">
              <w:rPr>
                <w:b/>
              </w:rPr>
              <w:t xml:space="preserve"> </w:t>
            </w:r>
          </w:p>
          <w:p w14:paraId="7B7F9CD9" w14:textId="77777777" w:rsidR="00221C59" w:rsidRPr="00221158" w:rsidRDefault="00221C59" w:rsidP="00221C59">
            <w:pPr>
              <w:pStyle w:val="NoSpacing"/>
            </w:pPr>
            <w:r w:rsidRPr="00221158">
              <w:rPr>
                <w:b/>
              </w:rPr>
              <w:t>Comments and limitations:</w:t>
            </w:r>
            <w:r w:rsidRPr="00221158">
              <w:t xml:space="preserve"> </w:t>
            </w:r>
          </w:p>
          <w:p w14:paraId="69B13022" w14:textId="77777777" w:rsidR="00221C59" w:rsidRPr="00221158" w:rsidRDefault="00221C59" w:rsidP="00221C59">
            <w:pPr>
              <w:pStyle w:val="NoSpacing"/>
            </w:pPr>
            <w:r w:rsidRPr="00221158">
              <w:t xml:space="preserve">Constraints associated with in national AMR surveillance systems (number and distribution of surveillance sites and representativeness of surveillance data, sampling bias, poor diagnostic capacity, measurements errors, </w:t>
            </w:r>
            <w:proofErr w:type="gramStart"/>
            <w:r w:rsidRPr="00221158">
              <w:t>issues</w:t>
            </w:r>
            <w:proofErr w:type="gramEnd"/>
            <w:r w:rsidRPr="00221158">
              <w:t xml:space="preserve"> with data management).  </w:t>
            </w:r>
          </w:p>
          <w:p w14:paraId="4D907991" w14:textId="77777777" w:rsidR="00221C59" w:rsidRDefault="00221C59" w:rsidP="00221C59">
            <w:pPr>
              <w:pStyle w:val="NoSpacing"/>
            </w:pPr>
            <w:r w:rsidRPr="00221158">
              <w:t xml:space="preserve"> </w:t>
            </w:r>
          </w:p>
          <w:p w14:paraId="3A949B20" w14:textId="77777777" w:rsidR="00221C59" w:rsidRPr="00221158" w:rsidRDefault="00221C59" w:rsidP="00221C59">
            <w:pPr>
              <w:pStyle w:val="NoSpacing"/>
            </w:pPr>
          </w:p>
          <w:p w14:paraId="720FE03B" w14:textId="77777777" w:rsidR="00221C59" w:rsidRPr="00221158" w:rsidRDefault="00221C59" w:rsidP="00221C59">
            <w:pPr>
              <w:pStyle w:val="NoSpacing"/>
            </w:pPr>
            <w:r w:rsidRPr="00221158">
              <w:rPr>
                <w:b/>
              </w:rPr>
              <w:t>Computation Method:</w:t>
            </w:r>
            <w:r w:rsidRPr="00221158">
              <w:t xml:space="preserve"> </w:t>
            </w:r>
          </w:p>
          <w:p w14:paraId="661A2DD1" w14:textId="77777777" w:rsidR="00221C59" w:rsidRPr="00221158" w:rsidRDefault="00221C59" w:rsidP="00221C59">
            <w:pPr>
              <w:pStyle w:val="NoSpacing"/>
            </w:pPr>
            <w:r w:rsidRPr="00221158">
              <w:t xml:space="preserve">The WHO Global AMR Surveillance System (GLASS) supports countries to implement an AMR standardized surveillance system. At national level cases are found among patients from whom routine clinical samples have been collected for blood culture at surveillance sites according to local clinical practices, and antimicrobial susceptibility tests (AST) are performed for the isolated blood pathogens. The microbiological results (bacteria identification and AST) are combined with the patient data and related to population data from the surveillance sites. GLASS does collect information on the origin of the infection either community origin (less than 2 calendar days in hospital) or hospital origin (patients hospitalized for more than 2 calendar days). Data are collated and validated at national level and reported to GLASS where epidemiological statistics and metrics are generated. </w:t>
            </w:r>
          </w:p>
          <w:p w14:paraId="155CAAD5" w14:textId="77777777" w:rsidR="00221C59" w:rsidRPr="00221158" w:rsidRDefault="00221C59" w:rsidP="00221C59">
            <w:pPr>
              <w:pStyle w:val="NoSpacing"/>
            </w:pPr>
            <w:r w:rsidRPr="00221158">
              <w:rPr>
                <w:b/>
              </w:rPr>
              <w:t>Numerator:</w:t>
            </w:r>
            <w:r w:rsidRPr="00221158">
              <w:t xml:space="preserve"> Number of patients presenting with blood stream infection due to MRSA and ESBL- E. coli among patients seeking hospital care </w:t>
            </w:r>
          </w:p>
          <w:p w14:paraId="1F12632E" w14:textId="77777777" w:rsidR="00221C59" w:rsidRPr="00221158" w:rsidRDefault="00221C59" w:rsidP="00221C59">
            <w:pPr>
              <w:pStyle w:val="NoSpacing"/>
            </w:pPr>
            <w:r w:rsidRPr="00221158">
              <w:rPr>
                <w:b/>
              </w:rPr>
              <w:t>Denominator:</w:t>
            </w:r>
            <w:r w:rsidRPr="00221158">
              <w:t xml:space="preserve"> Number of patients seeking hospital care and from whom the blood specimen was taken due to suspected bloodstream infection and from whom blood specimens have been submitted for blood culture and AST. </w:t>
            </w:r>
          </w:p>
          <w:p w14:paraId="1F739F39" w14:textId="77777777" w:rsidR="00221C59" w:rsidRPr="00993E18" w:rsidRDefault="00221C59" w:rsidP="00221C59">
            <w:pPr>
              <w:pStyle w:val="NoSpacing"/>
            </w:pPr>
          </w:p>
        </w:tc>
        <w:tc>
          <w:tcPr>
            <w:tcW w:w="0" w:type="auto"/>
            <w:shd w:val="clear" w:color="auto" w:fill="auto"/>
          </w:tcPr>
          <w:p w14:paraId="31B01A6F" w14:textId="77777777" w:rsidR="00221C59" w:rsidRPr="00993E18" w:rsidRDefault="00221C59" w:rsidP="00221C59">
            <w:pPr>
              <w:jc w:val="center"/>
              <w:rPr>
                <w:bCs/>
                <w:szCs w:val="20"/>
              </w:rPr>
            </w:pPr>
          </w:p>
        </w:tc>
        <w:tc>
          <w:tcPr>
            <w:tcW w:w="0" w:type="auto"/>
            <w:shd w:val="clear" w:color="auto" w:fill="auto"/>
          </w:tcPr>
          <w:p w14:paraId="4BF2EE2A" w14:textId="77777777" w:rsidR="00221C59" w:rsidRPr="00993E18" w:rsidRDefault="00221C59" w:rsidP="00221C59">
            <w:pPr>
              <w:jc w:val="center"/>
              <w:rPr>
                <w:bCs/>
                <w:szCs w:val="20"/>
              </w:rPr>
            </w:pPr>
          </w:p>
        </w:tc>
        <w:tc>
          <w:tcPr>
            <w:tcW w:w="0" w:type="auto"/>
            <w:shd w:val="clear" w:color="auto" w:fill="auto"/>
          </w:tcPr>
          <w:p w14:paraId="41A792EE" w14:textId="77777777" w:rsidR="00221C59" w:rsidRDefault="00221C59" w:rsidP="00221C59">
            <w:pPr>
              <w:rPr>
                <w:color w:val="000000" w:themeColor="text1"/>
                <w:sz w:val="18"/>
                <w:szCs w:val="18"/>
              </w:rPr>
            </w:pPr>
          </w:p>
        </w:tc>
        <w:tc>
          <w:tcPr>
            <w:tcW w:w="0" w:type="auto"/>
            <w:shd w:val="clear" w:color="auto" w:fill="auto"/>
          </w:tcPr>
          <w:p w14:paraId="54BC8DD9" w14:textId="77777777" w:rsidR="00221C59" w:rsidRDefault="00221C59" w:rsidP="00221C59">
            <w:pPr>
              <w:rPr>
                <w:color w:val="FF0000"/>
              </w:rPr>
            </w:pPr>
            <w:r>
              <w:rPr>
                <w:color w:val="FF0000"/>
              </w:rPr>
              <w:t>a) DGHS</w:t>
            </w:r>
            <w:r w:rsidRPr="0080511A">
              <w:rPr>
                <w:color w:val="FF0000"/>
              </w:rPr>
              <w:t>, HSD</w:t>
            </w:r>
          </w:p>
          <w:p w14:paraId="609AB26B" w14:textId="77777777" w:rsidR="00221C59" w:rsidRDefault="00221C59" w:rsidP="00221C59">
            <w:pPr>
              <w:rPr>
                <w:color w:val="000000" w:themeColor="text1"/>
                <w:sz w:val="18"/>
                <w:szCs w:val="18"/>
              </w:rPr>
            </w:pPr>
            <w:r>
              <w:rPr>
                <w:color w:val="FF0000"/>
              </w:rPr>
              <w:t>Administrative Data</w:t>
            </w:r>
          </w:p>
        </w:tc>
        <w:tc>
          <w:tcPr>
            <w:tcW w:w="0" w:type="auto"/>
            <w:shd w:val="clear" w:color="auto" w:fill="auto"/>
          </w:tcPr>
          <w:p w14:paraId="7CB64CB2" w14:textId="51CBB019" w:rsidR="00221C59" w:rsidRDefault="00BF3271" w:rsidP="000C4849">
            <w:pPr>
              <w:pStyle w:val="ListParagraph"/>
              <w:numPr>
                <w:ilvl w:val="0"/>
                <w:numId w:val="188"/>
              </w:numPr>
              <w:rPr>
                <w:rFonts w:ascii="Tw Cen MT Condensed" w:hAnsi="Tw Cen MT Condensed"/>
                <w:bCs/>
                <w:sz w:val="20"/>
                <w:szCs w:val="20"/>
              </w:rPr>
            </w:pPr>
            <w:r>
              <w:rPr>
                <w:rFonts w:ascii="Tw Cen MT Condensed" w:hAnsi="Tw Cen MT Condensed"/>
                <w:bCs/>
                <w:sz w:val="20"/>
                <w:szCs w:val="20"/>
              </w:rPr>
              <w:t>by  Sex</w:t>
            </w:r>
            <w:r w:rsidR="00560086">
              <w:rPr>
                <w:rFonts w:ascii="Tw Cen MT Condensed" w:hAnsi="Tw Cen MT Condensed"/>
                <w:bCs/>
                <w:sz w:val="20"/>
                <w:szCs w:val="20"/>
              </w:rPr>
              <w:t>: male,female</w:t>
            </w:r>
          </w:p>
          <w:p w14:paraId="0EF05A55" w14:textId="2628B4AE" w:rsidR="00BF3271" w:rsidRDefault="00BF3271" w:rsidP="000C4849">
            <w:pPr>
              <w:pStyle w:val="ListParagraph"/>
              <w:numPr>
                <w:ilvl w:val="0"/>
                <w:numId w:val="188"/>
              </w:numPr>
              <w:rPr>
                <w:rFonts w:ascii="Tw Cen MT Condensed" w:hAnsi="Tw Cen MT Condensed"/>
                <w:bCs/>
                <w:sz w:val="20"/>
                <w:szCs w:val="20"/>
              </w:rPr>
            </w:pPr>
            <w:r>
              <w:rPr>
                <w:rFonts w:ascii="Tw Cen MT Condensed" w:hAnsi="Tw Cen MT Condensed"/>
                <w:bCs/>
                <w:sz w:val="20"/>
                <w:szCs w:val="20"/>
              </w:rPr>
              <w:t>By Age group</w:t>
            </w:r>
            <w:r w:rsidR="009C775E">
              <w:rPr>
                <w:rFonts w:ascii="Tw Cen MT Condensed" w:hAnsi="Tw Cen MT Condensed"/>
                <w:bCs/>
                <w:sz w:val="20"/>
                <w:szCs w:val="20"/>
              </w:rPr>
              <w:t>: 0-15, 15-24, 25 and above</w:t>
            </w:r>
          </w:p>
          <w:p w14:paraId="29BBA4FD" w14:textId="386A7ED7" w:rsidR="00BF3271" w:rsidRDefault="00BF3271" w:rsidP="000C4849">
            <w:pPr>
              <w:pStyle w:val="ListParagraph"/>
              <w:numPr>
                <w:ilvl w:val="0"/>
                <w:numId w:val="188"/>
              </w:numPr>
              <w:rPr>
                <w:rFonts w:ascii="Tw Cen MT Condensed" w:hAnsi="Tw Cen MT Condensed"/>
                <w:bCs/>
                <w:sz w:val="20"/>
                <w:szCs w:val="20"/>
              </w:rPr>
            </w:pPr>
            <w:r>
              <w:rPr>
                <w:rFonts w:ascii="Tw Cen MT Condensed" w:hAnsi="Tw Cen MT Condensed"/>
                <w:bCs/>
                <w:sz w:val="20"/>
                <w:szCs w:val="20"/>
              </w:rPr>
              <w:t>Admission type: Community/hospital</w:t>
            </w:r>
          </w:p>
        </w:tc>
        <w:tc>
          <w:tcPr>
            <w:tcW w:w="0" w:type="auto"/>
            <w:shd w:val="clear" w:color="auto" w:fill="auto"/>
          </w:tcPr>
          <w:p w14:paraId="1EB549E4" w14:textId="77777777" w:rsidR="00221C59" w:rsidRDefault="00221C59" w:rsidP="00221C59">
            <w:pPr>
              <w:jc w:val="center"/>
              <w:rPr>
                <w:bCs/>
                <w:szCs w:val="20"/>
              </w:rPr>
            </w:pPr>
          </w:p>
        </w:tc>
        <w:tc>
          <w:tcPr>
            <w:tcW w:w="0" w:type="auto"/>
            <w:shd w:val="clear" w:color="auto" w:fill="auto"/>
          </w:tcPr>
          <w:p w14:paraId="2BE06A59" w14:textId="77777777" w:rsidR="00221C59" w:rsidRDefault="00221C59" w:rsidP="00221C59">
            <w:pPr>
              <w:pStyle w:val="NoSpacing"/>
            </w:pPr>
            <w:r>
              <w:t>1</w:t>
            </w:r>
            <w:r w:rsidRPr="00013ACB">
              <w:rPr>
                <w:vertAlign w:val="superscript"/>
              </w:rPr>
              <w:t>st</w:t>
            </w:r>
            <w:r>
              <w:t xml:space="preserve"> Round: </w:t>
            </w:r>
          </w:p>
          <w:p w14:paraId="5B5CACDA" w14:textId="77777777" w:rsidR="00221C59" w:rsidRDefault="00221C59" w:rsidP="00221C59">
            <w:pPr>
              <w:pStyle w:val="NoSpacing"/>
            </w:pPr>
            <w:r>
              <w:t>December, 2020</w:t>
            </w:r>
          </w:p>
          <w:p w14:paraId="0D5FFCD7" w14:textId="77777777" w:rsidR="00221C59" w:rsidRDefault="00221C59" w:rsidP="00221C59">
            <w:pPr>
              <w:pStyle w:val="NoSpacing"/>
            </w:pPr>
            <w:r>
              <w:t>2</w:t>
            </w:r>
            <w:r w:rsidRPr="00013ACB">
              <w:rPr>
                <w:vertAlign w:val="superscript"/>
              </w:rPr>
              <w:t>nd</w:t>
            </w:r>
            <w:r>
              <w:t xml:space="preserve"> Round: </w:t>
            </w:r>
          </w:p>
          <w:p w14:paraId="36738F2F" w14:textId="77777777" w:rsidR="00221C59" w:rsidRDefault="00221C59" w:rsidP="00221C59">
            <w:pPr>
              <w:pStyle w:val="NoSpacing"/>
            </w:pPr>
            <w:r>
              <w:t>December, 2021</w:t>
            </w:r>
          </w:p>
          <w:p w14:paraId="0A48D811" w14:textId="77777777" w:rsidR="00221C59" w:rsidRDefault="00221C59" w:rsidP="00221C59">
            <w:pPr>
              <w:pStyle w:val="NoSpacing"/>
            </w:pPr>
            <w:r>
              <w:t>3</w:t>
            </w:r>
            <w:r w:rsidRPr="00013ACB">
              <w:rPr>
                <w:vertAlign w:val="superscript"/>
              </w:rPr>
              <w:t>rd</w:t>
            </w:r>
            <w:r>
              <w:t xml:space="preserve"> Round: </w:t>
            </w:r>
          </w:p>
          <w:p w14:paraId="2795BD6C" w14:textId="77777777" w:rsidR="00221C59" w:rsidRDefault="00221C59" w:rsidP="00221C59">
            <w:pPr>
              <w:pStyle w:val="NoSpacing"/>
            </w:pPr>
            <w:r>
              <w:t>Decembe</w:t>
            </w:r>
            <w:r>
              <w:lastRenderedPageBreak/>
              <w:t>r, 2022</w:t>
            </w:r>
          </w:p>
          <w:p w14:paraId="3690A962" w14:textId="77777777" w:rsidR="00221C59" w:rsidRDefault="00221C59" w:rsidP="00221C59">
            <w:pPr>
              <w:pStyle w:val="NoSpacing"/>
            </w:pPr>
            <w:r>
              <w:t>4</w:t>
            </w:r>
            <w:r w:rsidRPr="00013ACB">
              <w:rPr>
                <w:vertAlign w:val="superscript"/>
              </w:rPr>
              <w:t>th</w:t>
            </w:r>
            <w:r>
              <w:t xml:space="preserve"> Round: </w:t>
            </w:r>
          </w:p>
          <w:p w14:paraId="66BEE393" w14:textId="77777777" w:rsidR="00221C59" w:rsidRDefault="00221C59" w:rsidP="00221C59">
            <w:pPr>
              <w:pStyle w:val="NoSpacing"/>
            </w:pPr>
            <w:r>
              <w:t>December, 2023</w:t>
            </w:r>
          </w:p>
          <w:p w14:paraId="442D697A" w14:textId="77777777" w:rsidR="00221C59" w:rsidRDefault="00221C59" w:rsidP="00221C59">
            <w:pPr>
              <w:pStyle w:val="NoSpacing"/>
            </w:pPr>
            <w:r>
              <w:t>5</w:t>
            </w:r>
            <w:r w:rsidRPr="00013ACB">
              <w:rPr>
                <w:vertAlign w:val="superscript"/>
              </w:rPr>
              <w:t>th</w:t>
            </w:r>
            <w:r>
              <w:t xml:space="preserve"> Round: </w:t>
            </w:r>
          </w:p>
          <w:p w14:paraId="1D343674" w14:textId="77777777" w:rsidR="00221C59" w:rsidRDefault="00221C59" w:rsidP="00221C59">
            <w:pPr>
              <w:jc w:val="center"/>
              <w:rPr>
                <w:bCs/>
                <w:szCs w:val="20"/>
              </w:rPr>
            </w:pPr>
            <w:r>
              <w:t>December, 2024</w:t>
            </w:r>
          </w:p>
        </w:tc>
        <w:tc>
          <w:tcPr>
            <w:tcW w:w="682" w:type="dxa"/>
            <w:shd w:val="clear" w:color="auto" w:fill="auto"/>
          </w:tcPr>
          <w:p w14:paraId="7719BE67" w14:textId="77777777" w:rsidR="00221C59" w:rsidRDefault="00221C59" w:rsidP="00221C59">
            <w:pPr>
              <w:jc w:val="both"/>
              <w:rPr>
                <w:bCs/>
                <w:szCs w:val="20"/>
              </w:rPr>
            </w:pPr>
          </w:p>
        </w:tc>
        <w:tc>
          <w:tcPr>
            <w:tcW w:w="983" w:type="dxa"/>
            <w:shd w:val="clear" w:color="auto" w:fill="auto"/>
          </w:tcPr>
          <w:p w14:paraId="31AA7373" w14:textId="77777777" w:rsidR="00221C59" w:rsidRDefault="00221C59" w:rsidP="00221C59">
            <w:pPr>
              <w:pStyle w:val="NoSpacing"/>
            </w:pPr>
            <w:r>
              <w:t xml:space="preserve">Refinement of the indicator name approved by the Inter-agency and Expert Group on SDG Indicators </w:t>
            </w:r>
            <w:r>
              <w:lastRenderedPageBreak/>
              <w:t>(IAEG-SDGs) on 13 March and 2 April 2020. Final approval pending the 52nd session of the Statistical Commission in March 2021</w:t>
            </w:r>
          </w:p>
          <w:p w14:paraId="731BCA55" w14:textId="77777777" w:rsidR="00221C59" w:rsidRDefault="00221C59" w:rsidP="00221C59">
            <w:pPr>
              <w:pStyle w:val="NoSpacing"/>
            </w:pPr>
          </w:p>
          <w:p w14:paraId="0C2E0AA1" w14:textId="77777777" w:rsidR="00221C59" w:rsidRPr="00092E7D" w:rsidRDefault="00221C59" w:rsidP="00221C59">
            <w:pPr>
              <w:pStyle w:val="NoSpacing"/>
            </w:pPr>
            <w:r>
              <w:t>UNSC 51 addition included in the 2020 comprehensive review</w:t>
            </w:r>
          </w:p>
        </w:tc>
      </w:tr>
    </w:tbl>
    <w:p w14:paraId="739748F3" w14:textId="35C630BE" w:rsidR="00321BB2" w:rsidRDefault="00321BB2">
      <w:pPr>
        <w:rPr>
          <w:sz w:val="22"/>
          <w:szCs w:val="22"/>
        </w:rPr>
        <w:sectPr w:rsidR="00321BB2" w:rsidSect="001F0FD8">
          <w:pgSz w:w="20160" w:h="12240" w:orient="landscape" w:code="5"/>
          <w:pgMar w:top="1440" w:right="1440" w:bottom="1440" w:left="1440" w:header="720" w:footer="720" w:gutter="0"/>
          <w:cols w:space="720"/>
          <w:docGrid w:linePitch="360"/>
        </w:sectPr>
      </w:pPr>
    </w:p>
    <w:p w14:paraId="0DD68B71" w14:textId="77777777" w:rsidR="00321BB2" w:rsidRPr="00BC08EA" w:rsidRDefault="00BC08EA" w:rsidP="00321BB2">
      <w:pPr>
        <w:jc w:val="both"/>
        <w:rPr>
          <w:color w:val="FFFFFF" w:themeColor="background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bidi="bn-BD"/>
        </w:rPr>
        <w:lastRenderedPageBreak/>
        <mc:AlternateContent>
          <mc:Choice Requires="wps">
            <w:drawing>
              <wp:anchor distT="0" distB="0" distL="114300" distR="114300" simplePos="0" relativeHeight="251577856" behindDoc="1" locked="0" layoutInCell="1" allowOverlap="1" wp14:anchorId="752ABD03" wp14:editId="6CC3E794">
                <wp:simplePos x="0" y="0"/>
                <wp:positionH relativeFrom="column">
                  <wp:posOffset>-903605</wp:posOffset>
                </wp:positionH>
                <wp:positionV relativeFrom="paragraph">
                  <wp:posOffset>-914400</wp:posOffset>
                </wp:positionV>
                <wp:extent cx="12780010" cy="7761605"/>
                <wp:effectExtent l="10795" t="9525" r="10795" b="10795"/>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0010" cy="7761605"/>
                        </a:xfrm>
                        <a:prstGeom prst="rect">
                          <a:avLst/>
                        </a:prstGeom>
                        <a:solidFill>
                          <a:srgbClr val="96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73A2D1" id="Rectangle 5" o:spid="_x0000_s1026" style="position:absolute;margin-left:-71.15pt;margin-top:-1in;width:1006.3pt;height:611.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" fillcolor="#960000"/>
            </w:pict>
          </mc:Fallback>
        </mc:AlternateContent>
      </w:r>
      <w:r w:rsidR="00321BB2" w:rsidRPr="00262FC1">
        <w:rPr>
          <w:noProof/>
          <w:lang w:bidi="bn-BD"/>
        </w:rPr>
        <w:drawing>
          <wp:inline distT="0" distB="0" distL="0" distR="0" wp14:anchorId="7CB1402A" wp14:editId="329815D2">
            <wp:extent cx="1651128" cy="1651128"/>
            <wp:effectExtent l="38100" t="38100" r="2540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1128" cy="1651128"/>
                    </a:xfrm>
                    <a:prstGeom prst="rect">
                      <a:avLst/>
                    </a:prstGeom>
                    <a:ln w="38100">
                      <a:solidFill>
                        <a:schemeClr val="bg1"/>
                      </a:solidFill>
                    </a:ln>
                  </pic:spPr>
                </pic:pic>
              </a:graphicData>
            </a:graphic>
          </wp:inline>
        </w:drawing>
      </w:r>
      <w:r w:rsidR="00321BB2">
        <w:t xml:space="preserve">  </w:t>
      </w:r>
      <w:r w:rsidR="00E80DBE">
        <w:t xml:space="preserve">  </w:t>
      </w:r>
      <w:r w:rsidR="00321BB2" w:rsidRPr="00BC08EA">
        <w:rPr>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Ensure inclusive and equitable quality education and promote lifelong learning opportunities for all</w:t>
      </w:r>
    </w:p>
    <w:p w14:paraId="7AB01695" w14:textId="77777777" w:rsidR="00321BB2" w:rsidRDefault="00321BB2" w:rsidP="00321BB2">
      <w:pPr>
        <w:jc w:val="center"/>
        <w:rPr>
          <w:color w:val="FFFFFF" w:themeColor="background1"/>
          <w:sz w:val="54"/>
          <w:szCs w:val="54"/>
        </w:rPr>
      </w:pPr>
    </w:p>
    <w:p w14:paraId="505F5C99" w14:textId="77777777" w:rsidR="00321BB2" w:rsidRPr="00D2173E" w:rsidRDefault="00321BB2" w:rsidP="00321BB2">
      <w:pPr>
        <w:jc w:val="center"/>
        <w:rPr>
          <w:color w:val="FFFFFF" w:themeColor="background1"/>
          <w:sz w:val="54"/>
          <w:szCs w:val="54"/>
        </w:rPr>
      </w:pPr>
      <w:r w:rsidRPr="00D2173E">
        <w:rPr>
          <w:color w:val="FFFFFF" w:themeColor="background1"/>
          <w:sz w:val="54"/>
          <w:szCs w:val="54"/>
        </w:rPr>
        <w:t xml:space="preserve">Total Target </w:t>
      </w:r>
      <w:r>
        <w:rPr>
          <w:color w:val="FFFFFF" w:themeColor="background1"/>
          <w:sz w:val="54"/>
          <w:szCs w:val="54"/>
        </w:rPr>
        <w:t>10</w:t>
      </w:r>
      <w:r w:rsidRPr="00D2173E">
        <w:rPr>
          <w:color w:val="FFFFFF" w:themeColor="background1"/>
          <w:sz w:val="54"/>
          <w:szCs w:val="54"/>
        </w:rPr>
        <w:t xml:space="preserve">, Total Indicators: </w:t>
      </w:r>
      <w:r>
        <w:rPr>
          <w:color w:val="FFFFFF" w:themeColor="background1"/>
          <w:sz w:val="54"/>
          <w:szCs w:val="54"/>
        </w:rPr>
        <w:t>11</w:t>
      </w:r>
    </w:p>
    <w:p w14:paraId="757026D5" w14:textId="77777777" w:rsidR="00321BB2" w:rsidRDefault="00321BB2" w:rsidP="00321BB2">
      <w:pPr>
        <w:jc w:val="center"/>
      </w:pPr>
      <w:r w:rsidRPr="00262FC1">
        <w:rPr>
          <w:noProof/>
          <w:shd w:val="clear" w:color="auto" w:fill="00B050"/>
          <w:lang w:bidi="bn-BD"/>
        </w:rPr>
        <w:drawing>
          <wp:inline distT="0" distB="0" distL="0" distR="0" wp14:anchorId="4E9D42FF" wp14:editId="0F89F947">
            <wp:extent cx="3322621" cy="2290500"/>
            <wp:effectExtent l="0" t="0" r="1143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sidRPr="00262FC1">
        <w:rPr>
          <w:noProof/>
          <w:shd w:val="clear" w:color="auto" w:fill="00B050"/>
          <w:lang w:bidi="bn-BD"/>
        </w:rPr>
        <w:drawing>
          <wp:inline distT="0" distB="0" distL="0" distR="0" wp14:anchorId="20647155" wp14:editId="3B2CC00E">
            <wp:extent cx="3675707" cy="2303145"/>
            <wp:effectExtent l="0" t="0" r="1270" b="19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t xml:space="preserve">         </w:t>
      </w:r>
      <w:r w:rsidR="00207292" w:rsidRPr="00262FC1">
        <w:rPr>
          <w:noProof/>
          <w:shd w:val="clear" w:color="auto" w:fill="00B050"/>
          <w:lang w:bidi="bn-BD"/>
        </w:rPr>
        <w:drawing>
          <wp:inline distT="0" distB="0" distL="0" distR="0" wp14:anchorId="235B2588" wp14:editId="3ED0B9D2">
            <wp:extent cx="3322621" cy="2290500"/>
            <wp:effectExtent l="0" t="0" r="11430" b="146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8E9DA1" w14:textId="77777777" w:rsidR="00321BB2" w:rsidRDefault="00321BB2" w:rsidP="00321BB2">
      <w:r>
        <w:br w:type="page"/>
      </w:r>
    </w:p>
    <w:p w14:paraId="7C422B30" w14:textId="77777777" w:rsidR="00321BB2" w:rsidRDefault="00321BB2">
      <w:pPr>
        <w:rPr>
          <w:sz w:val="22"/>
          <w:szCs w:val="22"/>
        </w:rPr>
        <w:sectPr w:rsidR="00321BB2" w:rsidSect="001F0FD8">
          <w:pgSz w:w="20160" w:h="12240" w:orient="landscape" w:code="5"/>
          <w:pgMar w:top="1440" w:right="1440" w:bottom="1440" w:left="1440" w:header="720" w:footer="720" w:gutter="0"/>
          <w:cols w:space="720"/>
          <w:docGrid w:linePitch="360"/>
        </w:sectPr>
      </w:pPr>
    </w:p>
    <w:p w14:paraId="117FBA64" w14:textId="77777777" w:rsidR="00321BB2" w:rsidRDefault="00321BB2">
      <w:pPr>
        <w:rPr>
          <w:sz w:val="22"/>
          <w:szCs w:val="22"/>
        </w:rPr>
        <w:sectPr w:rsidR="00321BB2" w:rsidSect="001F0FD8">
          <w:pgSz w:w="20160" w:h="12240" w:orient="landscape" w:code="5"/>
          <w:pgMar w:top="1440" w:right="1440" w:bottom="1440" w:left="1440" w:header="720" w:footer="720" w:gutter="0"/>
          <w:cols w:space="720"/>
          <w:docGrid w:linePitch="360"/>
        </w:sectPr>
      </w:pPr>
    </w:p>
    <w:p w14:paraId="6C1E3BCF" w14:textId="62497CDE" w:rsidR="00815741" w:rsidRPr="007B1DFD" w:rsidRDefault="00BB3B57" w:rsidP="00815741">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0" w:type="auto"/>
        <w:tblLook w:val="04A0" w:firstRow="1" w:lastRow="0" w:firstColumn="1" w:lastColumn="0" w:noHBand="0" w:noVBand="1"/>
      </w:tblPr>
      <w:tblGrid>
        <w:gridCol w:w="1236"/>
        <w:gridCol w:w="16105"/>
      </w:tblGrid>
      <w:tr w:rsidR="00E80DBE" w14:paraId="73242424" w14:textId="77777777" w:rsidTr="005D1BB0">
        <w:tc>
          <w:tcPr>
            <w:tcW w:w="1165" w:type="dxa"/>
            <w:tcBorders>
              <w:left w:val="single" w:sz="4" w:space="0" w:color="C00000"/>
              <w:bottom w:val="single" w:sz="4" w:space="0" w:color="C00000"/>
            </w:tcBorders>
          </w:tcPr>
          <w:p w14:paraId="5EE957DA" w14:textId="77777777" w:rsidR="00E80DBE" w:rsidRDefault="00E80DBE" w:rsidP="005A7B5C">
            <w:pPr>
              <w:jc w:val="center"/>
              <w:rPr>
                <w:color w:val="C00000"/>
                <w:sz w:val="48"/>
                <w:szCs w:val="48"/>
              </w:rPr>
            </w:pPr>
            <w:r w:rsidRPr="00262FC1">
              <w:rPr>
                <w:noProof/>
                <w:lang w:bidi="bn-BD"/>
              </w:rPr>
              <w:drawing>
                <wp:inline distT="0" distB="0" distL="0" distR="0" wp14:anchorId="0A2B1CD3" wp14:editId="687573DF">
                  <wp:extent cx="590203" cy="590203"/>
                  <wp:effectExtent l="38100" t="38100" r="1968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0203" cy="590203"/>
                          </a:xfrm>
                          <a:prstGeom prst="rect">
                            <a:avLst/>
                          </a:prstGeom>
                          <a:ln w="38100">
                            <a:solidFill>
                              <a:schemeClr val="bg1"/>
                            </a:solidFill>
                          </a:ln>
                        </pic:spPr>
                      </pic:pic>
                    </a:graphicData>
                  </a:graphic>
                </wp:inline>
              </w:drawing>
            </w:r>
          </w:p>
        </w:tc>
        <w:tc>
          <w:tcPr>
            <w:tcW w:w="16105" w:type="dxa"/>
            <w:shd w:val="clear" w:color="auto" w:fill="960000"/>
            <w:vAlign w:val="center"/>
          </w:tcPr>
          <w:p w14:paraId="38DC3683" w14:textId="77777777" w:rsidR="00E80DBE" w:rsidRPr="00E80DBE" w:rsidRDefault="00E80DBE" w:rsidP="005A7B5C">
            <w:pPr>
              <w:jc w:val="both"/>
              <w:rPr>
                <w:color w:val="FFFFFF" w:themeColor="background1"/>
                <w:sz w:val="64"/>
                <w:szCs w:val="64"/>
              </w:rPr>
            </w:pPr>
            <w:r w:rsidRPr="00E80DBE">
              <w:rPr>
                <w:color w:val="FFFFFF" w:themeColor="background1"/>
                <w:sz w:val="52"/>
                <w:szCs w:val="52"/>
              </w:rPr>
              <w:t>Ensure inclusive and equitable quality education and promote lifelong learning opportunities for all</w:t>
            </w:r>
          </w:p>
        </w:tc>
      </w:tr>
    </w:tbl>
    <w:p w14:paraId="4C8B7024" w14:textId="77777777" w:rsidR="00E80DBE" w:rsidRDefault="00E80DBE" w:rsidP="00E80DBE">
      <w:pPr>
        <w:jc w:val="both"/>
        <w:rPr>
          <w:color w:val="C00000"/>
          <w:sz w:val="30"/>
          <w:szCs w:val="30"/>
        </w:rPr>
      </w:pPr>
    </w:p>
    <w:tbl>
      <w:tblPr>
        <w:tblStyle w:val="TableGrid"/>
        <w:tblW w:w="0" w:type="auto"/>
        <w:tblInd w:w="108" w:type="dxa"/>
        <w:tblLook w:val="04A0" w:firstRow="1" w:lastRow="0" w:firstColumn="1" w:lastColumn="0" w:noHBand="0" w:noVBand="1"/>
      </w:tblPr>
      <w:tblGrid>
        <w:gridCol w:w="1124"/>
        <w:gridCol w:w="872"/>
        <w:gridCol w:w="1036"/>
        <w:gridCol w:w="5209"/>
        <w:gridCol w:w="1016"/>
        <w:gridCol w:w="923"/>
        <w:gridCol w:w="805"/>
        <w:gridCol w:w="1569"/>
        <w:gridCol w:w="1278"/>
        <w:gridCol w:w="840"/>
        <w:gridCol w:w="729"/>
        <w:gridCol w:w="790"/>
        <w:gridCol w:w="1197"/>
      </w:tblGrid>
      <w:tr w:rsidR="000E716D" w14:paraId="0BED008F" w14:textId="77777777" w:rsidTr="0085651F">
        <w:trPr>
          <w:tblHeader/>
        </w:trPr>
        <w:tc>
          <w:tcPr>
            <w:tcW w:w="1101" w:type="dxa"/>
            <w:shd w:val="clear" w:color="auto" w:fill="DDD9C3" w:themeFill="background2" w:themeFillShade="E6"/>
            <w:vAlign w:val="center"/>
          </w:tcPr>
          <w:p w14:paraId="1C59E0AF" w14:textId="77777777" w:rsidR="00320D1E" w:rsidRPr="00C766D7" w:rsidRDefault="00320D1E" w:rsidP="005A7B5C">
            <w:pPr>
              <w:jc w:val="center"/>
              <w:rPr>
                <w:b/>
                <w:bCs/>
                <w:sz w:val="18"/>
                <w:szCs w:val="18"/>
              </w:rPr>
            </w:pPr>
            <w:r>
              <w:rPr>
                <w:b/>
                <w:bCs/>
                <w:sz w:val="18"/>
                <w:szCs w:val="18"/>
              </w:rPr>
              <w:t>T</w:t>
            </w:r>
            <w:r w:rsidRPr="00C766D7">
              <w:rPr>
                <w:b/>
                <w:bCs/>
                <w:sz w:val="18"/>
                <w:szCs w:val="18"/>
              </w:rPr>
              <w:t>argets and Indicators</w:t>
            </w:r>
          </w:p>
        </w:tc>
        <w:tc>
          <w:tcPr>
            <w:tcW w:w="854" w:type="dxa"/>
            <w:shd w:val="clear" w:color="auto" w:fill="DDD9C3" w:themeFill="background2" w:themeFillShade="E6"/>
            <w:vAlign w:val="center"/>
          </w:tcPr>
          <w:p w14:paraId="3F0D579D" w14:textId="77777777" w:rsidR="00320D1E" w:rsidRPr="00C766D7" w:rsidRDefault="00320D1E" w:rsidP="005A7B5C">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DDD9C3" w:themeFill="background2" w:themeFillShade="E6"/>
            <w:vAlign w:val="center"/>
          </w:tcPr>
          <w:p w14:paraId="7DE70B28" w14:textId="77777777" w:rsidR="00320D1E" w:rsidRPr="00C766D7" w:rsidRDefault="00320D1E" w:rsidP="005A7B5C">
            <w:pPr>
              <w:jc w:val="center"/>
              <w:rPr>
                <w:b/>
                <w:bCs/>
                <w:sz w:val="18"/>
                <w:szCs w:val="18"/>
              </w:rPr>
            </w:pPr>
            <w:r w:rsidRPr="00C766D7">
              <w:rPr>
                <w:b/>
                <w:bCs/>
                <w:sz w:val="18"/>
                <w:szCs w:val="18"/>
              </w:rPr>
              <w:t>Tier Classifications</w:t>
            </w:r>
          </w:p>
        </w:tc>
        <w:tc>
          <w:tcPr>
            <w:tcW w:w="0" w:type="auto"/>
            <w:shd w:val="clear" w:color="auto" w:fill="DDD9C3" w:themeFill="background2" w:themeFillShade="E6"/>
            <w:vAlign w:val="center"/>
          </w:tcPr>
          <w:p w14:paraId="23A3F7AB" w14:textId="77777777" w:rsidR="00320D1E" w:rsidRPr="00C766D7" w:rsidRDefault="00320D1E" w:rsidP="005A7B5C">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DDD9C3" w:themeFill="background2" w:themeFillShade="E6"/>
            <w:vAlign w:val="center"/>
          </w:tcPr>
          <w:p w14:paraId="64611198" w14:textId="77777777" w:rsidR="00320D1E" w:rsidRPr="00C766D7" w:rsidRDefault="00320D1E" w:rsidP="005A7B5C">
            <w:pPr>
              <w:jc w:val="center"/>
              <w:rPr>
                <w:b/>
                <w:bCs/>
                <w:sz w:val="18"/>
                <w:szCs w:val="18"/>
              </w:rPr>
            </w:pPr>
            <w:r w:rsidRPr="00C766D7">
              <w:rPr>
                <w:b/>
                <w:bCs/>
                <w:sz w:val="18"/>
                <w:szCs w:val="18"/>
              </w:rPr>
              <w:t>UN Suggested activities of data generation</w:t>
            </w:r>
          </w:p>
        </w:tc>
        <w:tc>
          <w:tcPr>
            <w:tcW w:w="0" w:type="auto"/>
            <w:shd w:val="clear" w:color="auto" w:fill="DDD9C3" w:themeFill="background2" w:themeFillShade="E6"/>
            <w:vAlign w:val="center"/>
          </w:tcPr>
          <w:p w14:paraId="7AECD014" w14:textId="77777777" w:rsidR="00320D1E" w:rsidRPr="00C766D7" w:rsidRDefault="00320D1E" w:rsidP="005A7B5C">
            <w:pPr>
              <w:jc w:val="center"/>
              <w:rPr>
                <w:b/>
                <w:bCs/>
                <w:sz w:val="18"/>
                <w:szCs w:val="18"/>
              </w:rPr>
            </w:pPr>
            <w:r w:rsidRPr="00C766D7">
              <w:rPr>
                <w:b/>
                <w:bCs/>
                <w:sz w:val="18"/>
                <w:szCs w:val="18"/>
              </w:rPr>
              <w:t>UN Suggested data provider</w:t>
            </w:r>
          </w:p>
        </w:tc>
        <w:tc>
          <w:tcPr>
            <w:tcW w:w="0" w:type="auto"/>
            <w:shd w:val="clear" w:color="auto" w:fill="DDD9C3" w:themeFill="background2" w:themeFillShade="E6"/>
            <w:vAlign w:val="center"/>
          </w:tcPr>
          <w:p w14:paraId="69F783A1" w14:textId="77777777" w:rsidR="00320D1E" w:rsidRPr="00C766D7" w:rsidRDefault="00320D1E" w:rsidP="005A7B5C">
            <w:pPr>
              <w:jc w:val="center"/>
              <w:rPr>
                <w:b/>
                <w:bCs/>
                <w:sz w:val="18"/>
                <w:szCs w:val="18"/>
              </w:rPr>
            </w:pPr>
            <w:r w:rsidRPr="00C766D7">
              <w:rPr>
                <w:b/>
                <w:bCs/>
                <w:sz w:val="18"/>
                <w:szCs w:val="18"/>
              </w:rPr>
              <w:t>Recent Available Data Sources</w:t>
            </w:r>
          </w:p>
        </w:tc>
        <w:tc>
          <w:tcPr>
            <w:tcW w:w="0" w:type="auto"/>
            <w:shd w:val="clear" w:color="auto" w:fill="DDD9C3" w:themeFill="background2" w:themeFillShade="E6"/>
            <w:vAlign w:val="center"/>
          </w:tcPr>
          <w:p w14:paraId="578194C6" w14:textId="77777777" w:rsidR="00320D1E" w:rsidRPr="00C766D7" w:rsidRDefault="00320D1E" w:rsidP="005A7B5C">
            <w:pPr>
              <w:jc w:val="center"/>
              <w:rPr>
                <w:b/>
                <w:bCs/>
                <w:sz w:val="18"/>
                <w:szCs w:val="18"/>
              </w:rPr>
            </w:pPr>
            <w:r w:rsidRPr="00C766D7">
              <w:rPr>
                <w:b/>
                <w:bCs/>
                <w:sz w:val="18"/>
                <w:szCs w:val="18"/>
              </w:rPr>
              <w:t>Possible future Sources</w:t>
            </w:r>
          </w:p>
        </w:tc>
        <w:tc>
          <w:tcPr>
            <w:tcW w:w="0" w:type="auto"/>
            <w:shd w:val="clear" w:color="auto" w:fill="DDD9C3" w:themeFill="background2" w:themeFillShade="E6"/>
            <w:vAlign w:val="center"/>
          </w:tcPr>
          <w:p w14:paraId="21354F3E" w14:textId="77777777" w:rsidR="00320D1E" w:rsidRPr="00C766D7" w:rsidRDefault="00320D1E" w:rsidP="005A7B5C">
            <w:pPr>
              <w:jc w:val="center"/>
              <w:rPr>
                <w:b/>
                <w:bCs/>
                <w:sz w:val="18"/>
                <w:szCs w:val="18"/>
              </w:rPr>
            </w:pPr>
            <w:r>
              <w:rPr>
                <w:b/>
                <w:bCs/>
                <w:sz w:val="18"/>
                <w:szCs w:val="18"/>
              </w:rPr>
              <w:t>Minimum Disaggregation Dimensions and Categories</w:t>
            </w:r>
          </w:p>
        </w:tc>
        <w:tc>
          <w:tcPr>
            <w:tcW w:w="0" w:type="auto"/>
            <w:shd w:val="clear" w:color="auto" w:fill="DDD9C3" w:themeFill="background2" w:themeFillShade="E6"/>
            <w:vAlign w:val="center"/>
          </w:tcPr>
          <w:p w14:paraId="152DB2CD" w14:textId="77777777" w:rsidR="00320D1E" w:rsidRPr="00C766D7" w:rsidRDefault="00320D1E" w:rsidP="005A7B5C">
            <w:pPr>
              <w:jc w:val="center"/>
              <w:rPr>
                <w:b/>
                <w:bCs/>
                <w:sz w:val="18"/>
                <w:szCs w:val="18"/>
              </w:rPr>
            </w:pPr>
            <w:r w:rsidRPr="00C766D7">
              <w:rPr>
                <w:b/>
                <w:bCs/>
                <w:sz w:val="18"/>
                <w:szCs w:val="18"/>
              </w:rPr>
              <w:t>Frequency of data generation</w:t>
            </w:r>
          </w:p>
        </w:tc>
        <w:tc>
          <w:tcPr>
            <w:tcW w:w="0" w:type="auto"/>
            <w:shd w:val="clear" w:color="auto" w:fill="DDD9C3" w:themeFill="background2" w:themeFillShade="E6"/>
            <w:vAlign w:val="center"/>
          </w:tcPr>
          <w:p w14:paraId="15311B92" w14:textId="77777777" w:rsidR="00320D1E" w:rsidRPr="00C766D7" w:rsidRDefault="00320D1E" w:rsidP="005A7B5C">
            <w:pPr>
              <w:jc w:val="center"/>
              <w:rPr>
                <w:b/>
                <w:bCs/>
                <w:sz w:val="18"/>
                <w:szCs w:val="18"/>
              </w:rPr>
            </w:pPr>
            <w:r w:rsidRPr="00C766D7">
              <w:rPr>
                <w:b/>
                <w:bCs/>
                <w:sz w:val="18"/>
                <w:szCs w:val="18"/>
              </w:rPr>
              <w:t>Local Indicator Group</w:t>
            </w:r>
          </w:p>
        </w:tc>
        <w:tc>
          <w:tcPr>
            <w:tcW w:w="0" w:type="auto"/>
            <w:shd w:val="clear" w:color="auto" w:fill="DDD9C3" w:themeFill="background2" w:themeFillShade="E6"/>
          </w:tcPr>
          <w:p w14:paraId="17FB7341" w14:textId="77777777" w:rsidR="00320D1E" w:rsidRDefault="00320D1E" w:rsidP="005A7B5C">
            <w:pPr>
              <w:jc w:val="center"/>
              <w:rPr>
                <w:b/>
                <w:bCs/>
                <w:sz w:val="18"/>
                <w:szCs w:val="18"/>
              </w:rPr>
            </w:pPr>
            <w:r>
              <w:rPr>
                <w:b/>
                <w:bCs/>
                <w:sz w:val="18"/>
                <w:szCs w:val="18"/>
              </w:rPr>
              <w:t xml:space="preserve">Deadline for Data </w:t>
            </w:r>
            <w:r w:rsidRPr="00320D1E">
              <w:rPr>
                <w:b/>
                <w:bCs/>
                <w:sz w:val="18"/>
                <w:szCs w:val="18"/>
              </w:rPr>
              <w:t>providing</w:t>
            </w:r>
          </w:p>
        </w:tc>
        <w:tc>
          <w:tcPr>
            <w:tcW w:w="0" w:type="auto"/>
            <w:shd w:val="clear" w:color="auto" w:fill="DDD9C3" w:themeFill="background2" w:themeFillShade="E6"/>
            <w:vAlign w:val="center"/>
          </w:tcPr>
          <w:p w14:paraId="24813578" w14:textId="77777777" w:rsidR="00320D1E" w:rsidRPr="00C766D7" w:rsidRDefault="00320D1E" w:rsidP="005A7B5C">
            <w:pPr>
              <w:jc w:val="center"/>
              <w:rPr>
                <w:b/>
                <w:bCs/>
                <w:sz w:val="18"/>
                <w:szCs w:val="18"/>
              </w:rPr>
            </w:pPr>
            <w:r>
              <w:rPr>
                <w:b/>
                <w:bCs/>
                <w:sz w:val="18"/>
                <w:szCs w:val="18"/>
              </w:rPr>
              <w:t>Remarks</w:t>
            </w:r>
          </w:p>
        </w:tc>
      </w:tr>
      <w:tr w:rsidR="000E716D" w:rsidRPr="00C07ED2" w14:paraId="666E92CD" w14:textId="77777777" w:rsidTr="0085651F">
        <w:trPr>
          <w:tblHeader/>
        </w:trPr>
        <w:tc>
          <w:tcPr>
            <w:tcW w:w="1101" w:type="dxa"/>
            <w:shd w:val="clear" w:color="auto" w:fill="00B0F0"/>
          </w:tcPr>
          <w:p w14:paraId="1E3B17C3" w14:textId="77777777" w:rsidR="00320D1E" w:rsidRPr="00C07ED2" w:rsidRDefault="00320D1E" w:rsidP="005A7B5C">
            <w:pPr>
              <w:jc w:val="center"/>
              <w:rPr>
                <w:b/>
                <w:bCs/>
                <w:i/>
                <w:iCs/>
                <w:sz w:val="18"/>
                <w:szCs w:val="18"/>
              </w:rPr>
            </w:pPr>
            <w:r w:rsidRPr="00C07ED2">
              <w:rPr>
                <w:b/>
                <w:bCs/>
                <w:i/>
                <w:iCs/>
                <w:sz w:val="18"/>
                <w:szCs w:val="18"/>
              </w:rPr>
              <w:t>1</w:t>
            </w:r>
          </w:p>
        </w:tc>
        <w:tc>
          <w:tcPr>
            <w:tcW w:w="854" w:type="dxa"/>
            <w:shd w:val="clear" w:color="auto" w:fill="00B0F0"/>
          </w:tcPr>
          <w:p w14:paraId="5C0B54F3" w14:textId="77777777" w:rsidR="00320D1E" w:rsidRPr="00C07ED2" w:rsidRDefault="00320D1E" w:rsidP="005A7B5C">
            <w:pPr>
              <w:jc w:val="center"/>
              <w:rPr>
                <w:b/>
                <w:bCs/>
                <w:i/>
                <w:iCs/>
                <w:sz w:val="18"/>
                <w:szCs w:val="18"/>
              </w:rPr>
            </w:pPr>
            <w:r w:rsidRPr="00C07ED2">
              <w:rPr>
                <w:b/>
                <w:bCs/>
                <w:i/>
                <w:iCs/>
                <w:sz w:val="18"/>
                <w:szCs w:val="18"/>
              </w:rPr>
              <w:t>2</w:t>
            </w:r>
          </w:p>
        </w:tc>
        <w:tc>
          <w:tcPr>
            <w:tcW w:w="0" w:type="auto"/>
            <w:shd w:val="clear" w:color="auto" w:fill="00B0F0"/>
          </w:tcPr>
          <w:p w14:paraId="39C6E890" w14:textId="77777777" w:rsidR="00320D1E" w:rsidRPr="00C07ED2" w:rsidRDefault="00320D1E" w:rsidP="005A7B5C">
            <w:pPr>
              <w:jc w:val="center"/>
              <w:rPr>
                <w:b/>
                <w:bCs/>
                <w:i/>
                <w:iCs/>
                <w:sz w:val="18"/>
                <w:szCs w:val="18"/>
              </w:rPr>
            </w:pPr>
            <w:r w:rsidRPr="00C07ED2">
              <w:rPr>
                <w:b/>
                <w:bCs/>
                <w:i/>
                <w:iCs/>
                <w:sz w:val="18"/>
                <w:szCs w:val="18"/>
              </w:rPr>
              <w:t>3</w:t>
            </w:r>
          </w:p>
        </w:tc>
        <w:tc>
          <w:tcPr>
            <w:tcW w:w="0" w:type="auto"/>
            <w:shd w:val="clear" w:color="auto" w:fill="00B0F0"/>
          </w:tcPr>
          <w:p w14:paraId="1ED4A093" w14:textId="77777777" w:rsidR="00320D1E" w:rsidRPr="00C07ED2" w:rsidRDefault="00320D1E" w:rsidP="005A7B5C">
            <w:pPr>
              <w:jc w:val="center"/>
              <w:rPr>
                <w:b/>
                <w:bCs/>
                <w:i/>
                <w:iCs/>
                <w:sz w:val="18"/>
                <w:szCs w:val="18"/>
              </w:rPr>
            </w:pPr>
            <w:r w:rsidRPr="00C07ED2">
              <w:rPr>
                <w:b/>
                <w:bCs/>
                <w:i/>
                <w:iCs/>
                <w:sz w:val="18"/>
                <w:szCs w:val="18"/>
              </w:rPr>
              <w:t>4</w:t>
            </w:r>
          </w:p>
        </w:tc>
        <w:tc>
          <w:tcPr>
            <w:tcW w:w="0" w:type="auto"/>
            <w:shd w:val="clear" w:color="auto" w:fill="00B0F0"/>
          </w:tcPr>
          <w:p w14:paraId="5E20ED16" w14:textId="77777777" w:rsidR="00320D1E" w:rsidRPr="00C07ED2" w:rsidRDefault="00320D1E" w:rsidP="005A7B5C">
            <w:pPr>
              <w:jc w:val="center"/>
              <w:rPr>
                <w:b/>
                <w:bCs/>
                <w:i/>
                <w:iCs/>
                <w:sz w:val="18"/>
                <w:szCs w:val="18"/>
              </w:rPr>
            </w:pPr>
            <w:r w:rsidRPr="00C07ED2">
              <w:rPr>
                <w:b/>
                <w:bCs/>
                <w:i/>
                <w:iCs/>
                <w:sz w:val="18"/>
                <w:szCs w:val="18"/>
              </w:rPr>
              <w:t>5</w:t>
            </w:r>
          </w:p>
        </w:tc>
        <w:tc>
          <w:tcPr>
            <w:tcW w:w="0" w:type="auto"/>
            <w:shd w:val="clear" w:color="auto" w:fill="00B0F0"/>
          </w:tcPr>
          <w:p w14:paraId="30343BFC" w14:textId="77777777" w:rsidR="00320D1E" w:rsidRPr="00C07ED2" w:rsidRDefault="00320D1E" w:rsidP="005A7B5C">
            <w:pPr>
              <w:jc w:val="center"/>
              <w:rPr>
                <w:b/>
                <w:bCs/>
                <w:i/>
                <w:iCs/>
                <w:sz w:val="18"/>
                <w:szCs w:val="18"/>
              </w:rPr>
            </w:pPr>
            <w:r w:rsidRPr="00C07ED2">
              <w:rPr>
                <w:b/>
                <w:bCs/>
                <w:i/>
                <w:iCs/>
                <w:sz w:val="18"/>
                <w:szCs w:val="18"/>
              </w:rPr>
              <w:t>6</w:t>
            </w:r>
          </w:p>
        </w:tc>
        <w:tc>
          <w:tcPr>
            <w:tcW w:w="0" w:type="auto"/>
            <w:shd w:val="clear" w:color="auto" w:fill="00B0F0"/>
          </w:tcPr>
          <w:p w14:paraId="5EEE07F7" w14:textId="77777777" w:rsidR="00320D1E" w:rsidRPr="00C07ED2" w:rsidRDefault="00320D1E" w:rsidP="005A7B5C">
            <w:pPr>
              <w:jc w:val="center"/>
              <w:rPr>
                <w:b/>
                <w:bCs/>
                <w:i/>
                <w:iCs/>
                <w:sz w:val="18"/>
                <w:szCs w:val="18"/>
              </w:rPr>
            </w:pPr>
            <w:r w:rsidRPr="00C07ED2">
              <w:rPr>
                <w:b/>
                <w:bCs/>
                <w:i/>
                <w:iCs/>
                <w:sz w:val="18"/>
                <w:szCs w:val="18"/>
              </w:rPr>
              <w:t>7</w:t>
            </w:r>
          </w:p>
        </w:tc>
        <w:tc>
          <w:tcPr>
            <w:tcW w:w="0" w:type="auto"/>
            <w:shd w:val="clear" w:color="auto" w:fill="00B0F0"/>
          </w:tcPr>
          <w:p w14:paraId="6CB46B44" w14:textId="77777777" w:rsidR="00320D1E" w:rsidRPr="00C07ED2" w:rsidRDefault="00320D1E" w:rsidP="005A7B5C">
            <w:pPr>
              <w:jc w:val="center"/>
              <w:rPr>
                <w:b/>
                <w:bCs/>
                <w:i/>
                <w:iCs/>
                <w:sz w:val="18"/>
                <w:szCs w:val="18"/>
              </w:rPr>
            </w:pPr>
            <w:r w:rsidRPr="00C07ED2">
              <w:rPr>
                <w:b/>
                <w:bCs/>
                <w:i/>
                <w:iCs/>
                <w:sz w:val="18"/>
                <w:szCs w:val="18"/>
              </w:rPr>
              <w:t>8</w:t>
            </w:r>
          </w:p>
        </w:tc>
        <w:tc>
          <w:tcPr>
            <w:tcW w:w="0" w:type="auto"/>
            <w:shd w:val="clear" w:color="auto" w:fill="00B0F0"/>
          </w:tcPr>
          <w:p w14:paraId="6083F60E" w14:textId="77777777" w:rsidR="00320D1E" w:rsidRPr="00C07ED2" w:rsidRDefault="00320D1E" w:rsidP="005A7B5C">
            <w:pPr>
              <w:jc w:val="center"/>
              <w:rPr>
                <w:b/>
                <w:bCs/>
                <w:i/>
                <w:iCs/>
                <w:sz w:val="18"/>
                <w:szCs w:val="18"/>
              </w:rPr>
            </w:pPr>
            <w:r w:rsidRPr="00C07ED2">
              <w:rPr>
                <w:b/>
                <w:bCs/>
                <w:i/>
                <w:iCs/>
                <w:sz w:val="18"/>
                <w:szCs w:val="18"/>
              </w:rPr>
              <w:t>9</w:t>
            </w:r>
          </w:p>
        </w:tc>
        <w:tc>
          <w:tcPr>
            <w:tcW w:w="0" w:type="auto"/>
            <w:shd w:val="clear" w:color="auto" w:fill="00B0F0"/>
          </w:tcPr>
          <w:p w14:paraId="418355B8" w14:textId="77777777" w:rsidR="00320D1E" w:rsidRPr="00C07ED2" w:rsidRDefault="00320D1E" w:rsidP="005A7B5C">
            <w:pPr>
              <w:jc w:val="center"/>
              <w:rPr>
                <w:b/>
                <w:bCs/>
                <w:i/>
                <w:iCs/>
                <w:sz w:val="18"/>
                <w:szCs w:val="18"/>
              </w:rPr>
            </w:pPr>
            <w:r w:rsidRPr="00C07ED2">
              <w:rPr>
                <w:b/>
                <w:bCs/>
                <w:i/>
                <w:iCs/>
                <w:sz w:val="18"/>
                <w:szCs w:val="18"/>
              </w:rPr>
              <w:t>10</w:t>
            </w:r>
          </w:p>
        </w:tc>
        <w:tc>
          <w:tcPr>
            <w:tcW w:w="0" w:type="auto"/>
            <w:shd w:val="clear" w:color="auto" w:fill="00B0F0"/>
          </w:tcPr>
          <w:p w14:paraId="667C5D7E" w14:textId="77777777" w:rsidR="00320D1E" w:rsidRPr="00C07ED2" w:rsidRDefault="00320D1E" w:rsidP="005A7B5C">
            <w:pPr>
              <w:jc w:val="center"/>
              <w:rPr>
                <w:b/>
                <w:bCs/>
                <w:i/>
                <w:iCs/>
                <w:sz w:val="18"/>
                <w:szCs w:val="18"/>
              </w:rPr>
            </w:pPr>
            <w:r w:rsidRPr="00C07ED2">
              <w:rPr>
                <w:b/>
                <w:bCs/>
                <w:i/>
                <w:iCs/>
                <w:sz w:val="18"/>
                <w:szCs w:val="18"/>
              </w:rPr>
              <w:t>11</w:t>
            </w:r>
          </w:p>
        </w:tc>
        <w:tc>
          <w:tcPr>
            <w:tcW w:w="0" w:type="auto"/>
            <w:shd w:val="clear" w:color="auto" w:fill="00B0F0"/>
          </w:tcPr>
          <w:p w14:paraId="4C1B88F5" w14:textId="77777777" w:rsidR="00320D1E" w:rsidRPr="00C07ED2" w:rsidRDefault="00C756D0" w:rsidP="005A7B5C">
            <w:pPr>
              <w:jc w:val="center"/>
              <w:rPr>
                <w:b/>
                <w:bCs/>
                <w:i/>
                <w:iCs/>
                <w:sz w:val="18"/>
                <w:szCs w:val="18"/>
                <w:lang w:bidi="bn-BD"/>
              </w:rPr>
            </w:pPr>
            <w:r>
              <w:rPr>
                <w:rFonts w:hint="cs"/>
                <w:b/>
                <w:bCs/>
                <w:i/>
                <w:iCs/>
                <w:sz w:val="18"/>
                <w:szCs w:val="18"/>
                <w:cs/>
                <w:lang w:bidi="bn-BD"/>
              </w:rPr>
              <w:t>12</w:t>
            </w:r>
          </w:p>
        </w:tc>
        <w:tc>
          <w:tcPr>
            <w:tcW w:w="0" w:type="auto"/>
            <w:shd w:val="clear" w:color="auto" w:fill="00B0F0"/>
          </w:tcPr>
          <w:p w14:paraId="57620534" w14:textId="77777777" w:rsidR="00320D1E" w:rsidRPr="00C07ED2" w:rsidRDefault="00C756D0" w:rsidP="005A7B5C">
            <w:pPr>
              <w:jc w:val="center"/>
              <w:rPr>
                <w:b/>
                <w:bCs/>
                <w:i/>
                <w:iCs/>
                <w:sz w:val="18"/>
                <w:szCs w:val="18"/>
                <w:lang w:bidi="bn-BD"/>
              </w:rPr>
            </w:pPr>
            <w:r>
              <w:rPr>
                <w:b/>
                <w:bCs/>
                <w:i/>
                <w:iCs/>
                <w:sz w:val="18"/>
                <w:szCs w:val="18"/>
              </w:rPr>
              <w:t>1</w:t>
            </w:r>
            <w:r>
              <w:rPr>
                <w:rFonts w:hint="cs"/>
                <w:b/>
                <w:bCs/>
                <w:i/>
                <w:iCs/>
                <w:sz w:val="18"/>
                <w:szCs w:val="18"/>
                <w:cs/>
                <w:lang w:bidi="bn-BD"/>
              </w:rPr>
              <w:t>3</w:t>
            </w:r>
          </w:p>
        </w:tc>
      </w:tr>
      <w:tr w:rsidR="0085651F" w14:paraId="6F1A2EEC" w14:textId="77777777" w:rsidTr="0085651F">
        <w:tc>
          <w:tcPr>
            <w:tcW w:w="17162" w:type="dxa"/>
            <w:gridSpan w:val="13"/>
            <w:shd w:val="clear" w:color="auto" w:fill="auto"/>
          </w:tcPr>
          <w:p w14:paraId="6FB78946" w14:textId="77777777" w:rsidR="0085651F" w:rsidRPr="00076A71" w:rsidRDefault="0085651F" w:rsidP="005A7B5C">
            <w:pPr>
              <w:ind w:left="970" w:hanging="970"/>
              <w:jc w:val="both"/>
              <w:rPr>
                <w:color w:val="C00000"/>
                <w:sz w:val="30"/>
                <w:szCs w:val="30"/>
              </w:rPr>
            </w:pPr>
            <w:r w:rsidRPr="00076A71">
              <w:rPr>
                <w:color w:val="C00000"/>
                <w:sz w:val="30"/>
                <w:szCs w:val="30"/>
              </w:rPr>
              <w:t>Target 4.1: By 2030, ensure that all girls and boys complete free, equitable and quality primary and secondary education leading to relevant and effective learning outcomes</w:t>
            </w:r>
          </w:p>
        </w:tc>
      </w:tr>
      <w:tr w:rsidR="000E716D" w14:paraId="7AE102DD" w14:textId="77777777" w:rsidTr="0085651F">
        <w:tc>
          <w:tcPr>
            <w:tcW w:w="1101" w:type="dxa"/>
            <w:shd w:val="clear" w:color="auto" w:fill="auto"/>
          </w:tcPr>
          <w:p w14:paraId="5A871489" w14:textId="77777777" w:rsidR="00221C59" w:rsidRPr="00701B09" w:rsidRDefault="00221C59" w:rsidP="00221C59">
            <w:pPr>
              <w:jc w:val="both"/>
              <w:rPr>
                <w:szCs w:val="20"/>
              </w:rPr>
            </w:pPr>
            <w:r w:rsidRPr="00FA1A92">
              <w:rPr>
                <w:szCs w:val="20"/>
              </w:rPr>
              <w:t>4.1.1: Proportion of children and young people: (a) in grades 2/3; (b) at the end of primary; and (c) at the end of lower secondary achieving at least a minimum proficiency level in (i) reading and (ii) mathematics, by sex</w:t>
            </w:r>
          </w:p>
        </w:tc>
        <w:tc>
          <w:tcPr>
            <w:tcW w:w="854" w:type="dxa"/>
            <w:shd w:val="clear" w:color="auto" w:fill="auto"/>
          </w:tcPr>
          <w:p w14:paraId="0B2BAEE7" w14:textId="77777777" w:rsidR="00221C59" w:rsidRDefault="00221C59" w:rsidP="00221C59">
            <w:pPr>
              <w:rPr>
                <w:szCs w:val="20"/>
              </w:rPr>
            </w:pPr>
            <w:r w:rsidRPr="00FA1A92">
              <w:rPr>
                <w:szCs w:val="20"/>
              </w:rPr>
              <w:t>UNESCO-UIS</w:t>
            </w:r>
          </w:p>
          <w:p w14:paraId="25E1934F" w14:textId="77777777" w:rsidR="00221C59" w:rsidRDefault="00221C59" w:rsidP="00221C59">
            <w:pPr>
              <w:rPr>
                <w:szCs w:val="20"/>
              </w:rPr>
            </w:pPr>
          </w:p>
          <w:p w14:paraId="59DD0ACD" w14:textId="77777777" w:rsidR="00221C59" w:rsidRPr="00996F1A" w:rsidRDefault="00221C59" w:rsidP="00221C59">
            <w:pPr>
              <w:rPr>
                <w:b/>
                <w:bCs/>
                <w:szCs w:val="20"/>
              </w:rPr>
            </w:pPr>
            <w:r w:rsidRPr="00996F1A">
              <w:rPr>
                <w:b/>
                <w:bCs/>
                <w:szCs w:val="20"/>
              </w:rPr>
              <w:t>Partner Agencies:</w:t>
            </w:r>
          </w:p>
          <w:p w14:paraId="0FF430CB" w14:textId="77777777" w:rsidR="00221C59" w:rsidRPr="00996F1A" w:rsidRDefault="00221C59" w:rsidP="00221C59">
            <w:pPr>
              <w:rPr>
                <w:szCs w:val="20"/>
              </w:rPr>
            </w:pPr>
            <w:r w:rsidRPr="00FA1A92">
              <w:rPr>
                <w:szCs w:val="20"/>
              </w:rPr>
              <w:t>OECD</w:t>
            </w:r>
          </w:p>
        </w:tc>
        <w:tc>
          <w:tcPr>
            <w:tcW w:w="0" w:type="auto"/>
            <w:shd w:val="clear" w:color="auto" w:fill="auto"/>
          </w:tcPr>
          <w:p w14:paraId="260098D1" w14:textId="77777777" w:rsidR="00221C59" w:rsidRDefault="00221C59" w:rsidP="00221C59">
            <w:pPr>
              <w:jc w:val="center"/>
              <w:rPr>
                <w:szCs w:val="20"/>
              </w:rPr>
            </w:pPr>
            <w:r w:rsidRPr="00D46351">
              <w:rPr>
                <w:szCs w:val="20"/>
              </w:rPr>
              <w:t>Tier I</w:t>
            </w:r>
          </w:p>
          <w:p w14:paraId="31BE07A2" w14:textId="52A9DDCA" w:rsidR="00221C59" w:rsidRPr="00262FC1" w:rsidRDefault="00221C59" w:rsidP="00221C59">
            <w:pPr>
              <w:jc w:val="center"/>
              <w:rPr>
                <w:szCs w:val="20"/>
              </w:rPr>
            </w:pPr>
          </w:p>
        </w:tc>
        <w:tc>
          <w:tcPr>
            <w:tcW w:w="0" w:type="auto"/>
            <w:shd w:val="clear" w:color="auto" w:fill="auto"/>
          </w:tcPr>
          <w:p w14:paraId="6237A9BE" w14:textId="77777777" w:rsidR="00221C59" w:rsidRDefault="00221C59" w:rsidP="00221C59">
            <w:pPr>
              <w:jc w:val="both"/>
              <w:rPr>
                <w:b/>
                <w:bCs/>
                <w:szCs w:val="20"/>
              </w:rPr>
            </w:pPr>
            <w:r>
              <w:rPr>
                <w:b/>
                <w:bCs/>
                <w:szCs w:val="20"/>
              </w:rPr>
              <w:t>For 4.1.1a</w:t>
            </w:r>
          </w:p>
          <w:p w14:paraId="0C77BA57" w14:textId="77777777" w:rsidR="00221C59" w:rsidRPr="00EB7B46" w:rsidRDefault="00221C59" w:rsidP="00221C59">
            <w:pPr>
              <w:jc w:val="both"/>
              <w:rPr>
                <w:b/>
                <w:bCs/>
                <w:szCs w:val="20"/>
              </w:rPr>
            </w:pPr>
            <w:r w:rsidRPr="00EB7B46">
              <w:rPr>
                <w:b/>
                <w:bCs/>
                <w:szCs w:val="20"/>
              </w:rPr>
              <w:t>Definition:</w:t>
            </w:r>
          </w:p>
          <w:p w14:paraId="683446B0" w14:textId="77777777" w:rsidR="00221C59" w:rsidRPr="000C4849" w:rsidRDefault="00221C59" w:rsidP="00221C59">
            <w:pPr>
              <w:jc w:val="both"/>
              <w:rPr>
                <w:bCs/>
                <w:szCs w:val="20"/>
              </w:rPr>
            </w:pPr>
            <w:r w:rsidRPr="000C4849">
              <w:rPr>
                <w:bCs/>
                <w:szCs w:val="20"/>
              </w:rPr>
              <w:t>Proportion of children and young people in grades 2/3 achieving at least a minimum proficiency level in (i) reading and (ii) mathematics, by sex.</w:t>
            </w:r>
          </w:p>
          <w:p w14:paraId="3888B8C9" w14:textId="77777777" w:rsidR="00221C59" w:rsidRDefault="00221C59" w:rsidP="00221C59">
            <w:pPr>
              <w:jc w:val="both"/>
              <w:rPr>
                <w:b/>
                <w:bCs/>
                <w:szCs w:val="20"/>
              </w:rPr>
            </w:pPr>
          </w:p>
          <w:p w14:paraId="7025D19B" w14:textId="77777777" w:rsidR="00221C59" w:rsidRPr="00EB7B46" w:rsidRDefault="00221C59" w:rsidP="00221C59">
            <w:pPr>
              <w:jc w:val="both"/>
              <w:rPr>
                <w:b/>
                <w:bCs/>
                <w:szCs w:val="20"/>
              </w:rPr>
            </w:pPr>
            <w:r w:rsidRPr="00EB7B46">
              <w:rPr>
                <w:b/>
                <w:bCs/>
                <w:szCs w:val="20"/>
              </w:rPr>
              <w:t>Concepts:</w:t>
            </w:r>
          </w:p>
          <w:p w14:paraId="75E7184C" w14:textId="77777777" w:rsidR="00221C59" w:rsidRPr="000C4849" w:rsidRDefault="00221C59" w:rsidP="00221C59">
            <w:pPr>
              <w:jc w:val="both"/>
              <w:rPr>
                <w:bCs/>
                <w:szCs w:val="20"/>
              </w:rPr>
            </w:pPr>
            <w:r w:rsidRPr="000C4849">
              <w:rPr>
                <w:bCs/>
                <w:szCs w:val="20"/>
              </w:rPr>
              <w:t>Minimum proficiency level is the benchmark of basic knowledge in a domain (mathematics, reading, etc.) measured through learning assessments. Until August 2018, there was no globally agreed definition on minimum proficiency level. As an interim reporting strategy, the UIS has been reporting according to the minimum proficiency level defined by each assessment.</w:t>
            </w:r>
          </w:p>
          <w:p w14:paraId="3D9C1884" w14:textId="77777777" w:rsidR="00221C59" w:rsidRPr="000C4849" w:rsidRDefault="00221C59" w:rsidP="00221C59">
            <w:pPr>
              <w:jc w:val="both"/>
              <w:rPr>
                <w:bCs/>
                <w:szCs w:val="20"/>
              </w:rPr>
            </w:pPr>
          </w:p>
          <w:p w14:paraId="28655200" w14:textId="77777777" w:rsidR="00221C59" w:rsidRPr="000C4849" w:rsidRDefault="00221C59" w:rsidP="00221C59">
            <w:pPr>
              <w:jc w:val="both"/>
              <w:rPr>
                <w:bCs/>
                <w:szCs w:val="20"/>
              </w:rPr>
            </w:pPr>
            <w:r w:rsidRPr="000C4849">
              <w:rPr>
                <w:bCs/>
                <w:szCs w:val="20"/>
              </w:rPr>
              <w:t>Minimum proficiency levels defined by each learning assessment</w:t>
            </w:r>
          </w:p>
          <w:p w14:paraId="52079FDE" w14:textId="77777777" w:rsidR="00221C59" w:rsidRPr="000C4849" w:rsidRDefault="00221C59" w:rsidP="00221C59">
            <w:pPr>
              <w:jc w:val="both"/>
              <w:rPr>
                <w:bCs/>
                <w:szCs w:val="20"/>
              </w:rPr>
            </w:pPr>
            <w:r w:rsidRPr="000C4849">
              <w:rPr>
                <w:bCs/>
                <w:szCs w:val="20"/>
              </w:rPr>
              <w:t>The table below shows the minimum proficiency levels for each learning assessment by target grade/age and domain. Due to heterogeneity of performance levels set by national and cross-national assessments, these performance levels will be mapped to the globally-defined minimum performance levels and policy descriptors, agreed upon in September 2018 (see 4.1.1. UIS request for reclassification 2018.09.28.docx) that will allow pedagogical linking. Once the performance levels are mapped, the global education community will be able to identify for each country the proportion or percentage of children who achieved at least minimum proficiency levels.</w:t>
            </w:r>
          </w:p>
          <w:p w14:paraId="098CE7A3" w14:textId="77777777" w:rsidR="00221C59" w:rsidRPr="00EB7B46" w:rsidRDefault="00221C59" w:rsidP="00221C59">
            <w:pPr>
              <w:jc w:val="both"/>
              <w:rPr>
                <w:b/>
                <w:bCs/>
                <w:szCs w:val="20"/>
              </w:rPr>
            </w:pPr>
          </w:p>
          <w:p w14:paraId="7D9EFF79" w14:textId="77777777" w:rsidR="00221C59" w:rsidRDefault="00221C59" w:rsidP="00221C59">
            <w:pPr>
              <w:jc w:val="both"/>
              <w:rPr>
                <w:b/>
                <w:bCs/>
                <w:szCs w:val="20"/>
              </w:rPr>
            </w:pPr>
            <w:r w:rsidRPr="00EB7B46">
              <w:rPr>
                <w:b/>
                <w:bCs/>
                <w:szCs w:val="20"/>
              </w:rPr>
              <w:t>Table 1. Minimum proficiency levels defined by each learning assessment</w:t>
            </w:r>
          </w:p>
          <w:p w14:paraId="57BBCC0D" w14:textId="77777777" w:rsidR="00221C59" w:rsidRDefault="00221C59" w:rsidP="00221C59">
            <w:pPr>
              <w:jc w:val="both"/>
              <w:rPr>
                <w:b/>
                <w:bCs/>
                <w:szCs w:val="20"/>
              </w:rPr>
            </w:pPr>
          </w:p>
          <w:tbl>
            <w:tblPr>
              <w:tblW w:w="0" w:type="auto"/>
              <w:jc w:val="center"/>
              <w:tblLook w:val="04A0" w:firstRow="1" w:lastRow="0" w:firstColumn="1" w:lastColumn="0" w:noHBand="0" w:noVBand="1"/>
            </w:tblPr>
            <w:tblGrid>
              <w:gridCol w:w="1141"/>
              <w:gridCol w:w="1189"/>
              <w:gridCol w:w="752"/>
              <w:gridCol w:w="1901"/>
            </w:tblGrid>
            <w:tr w:rsidR="00221C59" w:rsidRPr="0063530C" w14:paraId="713A7AB8" w14:textId="77777777" w:rsidTr="00A44C13">
              <w:trPr>
                <w:trHeight w:val="57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5A8FFBBE" w14:textId="77777777" w:rsidR="00221C59" w:rsidRPr="000C4849" w:rsidRDefault="00221C59" w:rsidP="00221C59">
                  <w:pPr>
                    <w:rPr>
                      <w:rFonts w:eastAsia="Times New Roman" w:cs="Calibri"/>
                      <w:b/>
                      <w:bCs/>
                      <w:color w:val="4A4A4A"/>
                      <w:szCs w:val="20"/>
                    </w:rPr>
                  </w:pPr>
                  <w:r w:rsidRPr="000C4849">
                    <w:rPr>
                      <w:rFonts w:eastAsia="Times New Roman" w:cs="Calibri"/>
                      <w:b/>
                      <w:bCs/>
                      <w:color w:val="4A4A4A"/>
                      <w:szCs w:val="20"/>
                    </w:rPr>
                    <w:t>Name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0B98CE0" w14:textId="77777777" w:rsidR="00221C59" w:rsidRPr="000C4849" w:rsidRDefault="00221C59" w:rsidP="00221C59">
                  <w:pPr>
                    <w:rPr>
                      <w:rFonts w:eastAsia="Times New Roman" w:cs="Calibri"/>
                      <w:b/>
                      <w:bCs/>
                      <w:color w:val="4A4A4A"/>
                      <w:szCs w:val="20"/>
                    </w:rPr>
                  </w:pPr>
                  <w:r w:rsidRPr="000C4849">
                    <w:rPr>
                      <w:rFonts w:eastAsia="Times New Roman" w:cs="Calibri"/>
                      <w:b/>
                      <w:bCs/>
                      <w:color w:val="4A4A4A"/>
                      <w:szCs w:val="20"/>
                    </w:rPr>
                    <w:t>Target grade/age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95E59F2" w14:textId="77777777" w:rsidR="00221C59" w:rsidRPr="000C4849" w:rsidRDefault="00221C59" w:rsidP="00221C59">
                  <w:pPr>
                    <w:rPr>
                      <w:rFonts w:eastAsia="Times New Roman" w:cs="Calibri"/>
                      <w:b/>
                      <w:bCs/>
                      <w:color w:val="4A4A4A"/>
                      <w:szCs w:val="20"/>
                    </w:rPr>
                  </w:pPr>
                  <w:r w:rsidRPr="000C4849">
                    <w:rPr>
                      <w:rFonts w:eastAsia="Times New Roman" w:cs="Calibri"/>
                      <w:b/>
                      <w:bCs/>
                      <w:color w:val="4A4A4A"/>
                      <w:szCs w:val="20"/>
                    </w:rPr>
                    <w:t>Domain</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3AD7A52" w14:textId="77777777" w:rsidR="00221C59" w:rsidRPr="000C4849" w:rsidRDefault="00221C59" w:rsidP="00221C59">
                  <w:pPr>
                    <w:rPr>
                      <w:rFonts w:eastAsia="Times New Roman" w:cs="Calibri"/>
                      <w:b/>
                      <w:bCs/>
                      <w:color w:val="4A4A4A"/>
                      <w:szCs w:val="20"/>
                    </w:rPr>
                  </w:pPr>
                  <w:r w:rsidRPr="000C4849">
                    <w:rPr>
                      <w:rFonts w:eastAsia="Times New Roman" w:cs="Calibri"/>
                      <w:b/>
                      <w:bCs/>
                      <w:color w:val="4A4A4A"/>
                      <w:szCs w:val="20"/>
                    </w:rPr>
                    <w:t>Minimum Proficiency Level (MPL)</w:t>
                  </w:r>
                </w:p>
              </w:tc>
            </w:tr>
            <w:tr w:rsidR="00221C59" w:rsidRPr="0063530C" w14:paraId="2353E6FE" w14:textId="77777777" w:rsidTr="00A44C13">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82EA5D" w14:textId="77777777" w:rsidR="00221C59" w:rsidRPr="000C4849" w:rsidRDefault="00221C59" w:rsidP="00221C59">
                  <w:pPr>
                    <w:rPr>
                      <w:rFonts w:eastAsia="Times New Roman" w:cs="Calibri"/>
                      <w:b/>
                      <w:bCs/>
                      <w:szCs w:val="20"/>
                    </w:rPr>
                  </w:pPr>
                  <w:r w:rsidRPr="000C4849">
                    <w:rPr>
                      <w:rFonts w:eastAsia="Times New Roman" w:cs="Calibri"/>
                      <w:b/>
                      <w:bCs/>
                      <w:szCs w:val="20"/>
                    </w:rPr>
                    <w:t>LLECE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65E600" w14:textId="77777777" w:rsidR="00221C59" w:rsidRPr="000C4849" w:rsidRDefault="00221C59" w:rsidP="00221C59">
                  <w:pPr>
                    <w:rPr>
                      <w:rFonts w:eastAsia="Times New Roman" w:cs="Calibri"/>
                      <w:szCs w:val="20"/>
                    </w:rPr>
                  </w:pPr>
                  <w:r w:rsidRPr="000C4849">
                    <w:rPr>
                      <w:rFonts w:eastAsia="Times New Roman" w:cs="Calibri"/>
                      <w:szCs w:val="20"/>
                    </w:rPr>
                    <w:t>Grade 3</w:t>
                  </w:r>
                </w:p>
              </w:tc>
              <w:tc>
                <w:tcPr>
                  <w:tcW w:w="0" w:type="auto"/>
                  <w:tcBorders>
                    <w:top w:val="nil"/>
                    <w:left w:val="nil"/>
                    <w:bottom w:val="single" w:sz="4" w:space="0" w:color="auto"/>
                    <w:right w:val="single" w:sz="4" w:space="0" w:color="auto"/>
                  </w:tcBorders>
                  <w:shd w:val="clear" w:color="auto" w:fill="auto"/>
                  <w:vAlign w:val="center"/>
                  <w:hideMark/>
                </w:tcPr>
                <w:p w14:paraId="18355D5A" w14:textId="77777777" w:rsidR="00221C59" w:rsidRPr="000C4849" w:rsidRDefault="00221C59" w:rsidP="00221C59">
                  <w:pPr>
                    <w:rPr>
                      <w:rFonts w:eastAsia="Times New Roman" w:cs="Calibri"/>
                      <w:szCs w:val="20"/>
                    </w:rPr>
                  </w:pPr>
                  <w:r w:rsidRPr="000C4849">
                    <w:rPr>
                      <w:rFonts w:eastAsia="Times New Roman" w:cs="Calibri"/>
                      <w:szCs w:val="20"/>
                    </w:rPr>
                    <w:t>Reading</w:t>
                  </w:r>
                </w:p>
              </w:tc>
              <w:tc>
                <w:tcPr>
                  <w:tcW w:w="0" w:type="auto"/>
                  <w:tcBorders>
                    <w:top w:val="nil"/>
                    <w:left w:val="nil"/>
                    <w:bottom w:val="single" w:sz="4" w:space="0" w:color="auto"/>
                    <w:right w:val="single" w:sz="4" w:space="0" w:color="auto"/>
                  </w:tcBorders>
                  <w:shd w:val="clear" w:color="auto" w:fill="auto"/>
                  <w:vAlign w:val="center"/>
                  <w:hideMark/>
                </w:tcPr>
                <w:p w14:paraId="524B06E2" w14:textId="77777777" w:rsidR="00221C59" w:rsidRPr="000C4849" w:rsidRDefault="00221C59" w:rsidP="00221C59">
                  <w:pPr>
                    <w:rPr>
                      <w:rFonts w:eastAsia="Times New Roman" w:cs="Calibri"/>
                      <w:szCs w:val="20"/>
                    </w:rPr>
                  </w:pPr>
                  <w:r w:rsidRPr="000C4849">
                    <w:rPr>
                      <w:rFonts w:eastAsia="Times New Roman" w:cs="Calibri"/>
                      <w:szCs w:val="20"/>
                    </w:rPr>
                    <w:t>Level 2</w:t>
                  </w:r>
                </w:p>
              </w:tc>
            </w:tr>
            <w:tr w:rsidR="00221C59" w:rsidRPr="0063530C" w14:paraId="1F4A79CF" w14:textId="77777777" w:rsidTr="00A44C1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4D15E69" w14:textId="77777777" w:rsidR="00221C59" w:rsidRPr="000C4849" w:rsidRDefault="00221C59" w:rsidP="00221C59">
                  <w:pPr>
                    <w:rPr>
                      <w:rFonts w:eastAsia="Times New Roman" w:cs="Calibri"/>
                      <w:b/>
                      <w:bCs/>
                      <w:szCs w:val="20"/>
                    </w:rPr>
                  </w:pPr>
                </w:p>
              </w:tc>
              <w:tc>
                <w:tcPr>
                  <w:tcW w:w="0" w:type="auto"/>
                  <w:vMerge/>
                  <w:tcBorders>
                    <w:top w:val="nil"/>
                    <w:left w:val="single" w:sz="4" w:space="0" w:color="auto"/>
                    <w:bottom w:val="single" w:sz="4" w:space="0" w:color="auto"/>
                    <w:right w:val="single" w:sz="4" w:space="0" w:color="auto"/>
                  </w:tcBorders>
                  <w:vAlign w:val="center"/>
                  <w:hideMark/>
                </w:tcPr>
                <w:p w14:paraId="4F1FCE91" w14:textId="77777777" w:rsidR="00221C59" w:rsidRPr="000C4849" w:rsidRDefault="00221C59" w:rsidP="00221C59">
                  <w:pPr>
                    <w:rPr>
                      <w:rFonts w:eastAsia="Times New Roman" w:cs="Calibri"/>
                      <w:szCs w:val="20"/>
                    </w:rPr>
                  </w:pPr>
                </w:p>
              </w:tc>
              <w:tc>
                <w:tcPr>
                  <w:tcW w:w="0" w:type="auto"/>
                  <w:tcBorders>
                    <w:top w:val="nil"/>
                    <w:left w:val="nil"/>
                    <w:bottom w:val="single" w:sz="4" w:space="0" w:color="auto"/>
                    <w:right w:val="single" w:sz="4" w:space="0" w:color="auto"/>
                  </w:tcBorders>
                  <w:shd w:val="clear" w:color="auto" w:fill="auto"/>
                  <w:vAlign w:val="center"/>
                  <w:hideMark/>
                </w:tcPr>
                <w:p w14:paraId="12446426" w14:textId="77777777" w:rsidR="00221C59" w:rsidRPr="000C4849" w:rsidRDefault="00221C59" w:rsidP="00221C59">
                  <w:pPr>
                    <w:rPr>
                      <w:rFonts w:eastAsia="Times New Roman" w:cs="Calibri"/>
                      <w:szCs w:val="20"/>
                    </w:rPr>
                  </w:pPr>
                  <w:r w:rsidRPr="000C4849">
                    <w:rPr>
                      <w:rFonts w:eastAsia="Times New Roman" w:cs="Calibri"/>
                      <w:szCs w:val="20"/>
                    </w:rPr>
                    <w:t>Math</w:t>
                  </w:r>
                </w:p>
              </w:tc>
              <w:tc>
                <w:tcPr>
                  <w:tcW w:w="0" w:type="auto"/>
                  <w:tcBorders>
                    <w:top w:val="nil"/>
                    <w:left w:val="nil"/>
                    <w:bottom w:val="single" w:sz="4" w:space="0" w:color="auto"/>
                    <w:right w:val="single" w:sz="4" w:space="0" w:color="auto"/>
                  </w:tcBorders>
                  <w:shd w:val="clear" w:color="auto" w:fill="auto"/>
                  <w:vAlign w:val="center"/>
                  <w:hideMark/>
                </w:tcPr>
                <w:p w14:paraId="64C2C69E" w14:textId="77777777" w:rsidR="00221C59" w:rsidRPr="000C4849" w:rsidRDefault="00221C59" w:rsidP="00221C59">
                  <w:pPr>
                    <w:rPr>
                      <w:rFonts w:eastAsia="Times New Roman" w:cs="Calibri"/>
                      <w:szCs w:val="20"/>
                    </w:rPr>
                  </w:pPr>
                  <w:r w:rsidRPr="000C4849">
                    <w:rPr>
                      <w:rFonts w:eastAsia="Times New Roman" w:cs="Calibri"/>
                      <w:szCs w:val="20"/>
                    </w:rPr>
                    <w:t>Level 2</w:t>
                  </w:r>
                </w:p>
              </w:tc>
            </w:tr>
            <w:tr w:rsidR="00221C59" w:rsidRPr="0063530C" w14:paraId="70373BC4" w14:textId="77777777" w:rsidTr="00A44C13">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2FCEF2" w14:textId="77777777" w:rsidR="00221C59" w:rsidRPr="000C4849" w:rsidRDefault="00221C59" w:rsidP="00221C59">
                  <w:pPr>
                    <w:rPr>
                      <w:rFonts w:eastAsia="Times New Roman" w:cs="Calibri"/>
                      <w:b/>
                      <w:bCs/>
                      <w:szCs w:val="20"/>
                    </w:rPr>
                  </w:pPr>
                  <w:r w:rsidRPr="000C4849">
                    <w:rPr>
                      <w:rFonts w:eastAsia="Times New Roman" w:cs="Calibri"/>
                      <w:b/>
                      <w:bCs/>
                      <w:szCs w:val="20"/>
                    </w:rPr>
                    <w:t>PASEC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22DE19" w14:textId="77777777" w:rsidR="00221C59" w:rsidRPr="000C4849" w:rsidRDefault="00221C59" w:rsidP="00221C59">
                  <w:pPr>
                    <w:rPr>
                      <w:rFonts w:eastAsia="Times New Roman" w:cs="Calibri"/>
                      <w:szCs w:val="20"/>
                    </w:rPr>
                  </w:pPr>
                  <w:r w:rsidRPr="000C4849">
                    <w:rPr>
                      <w:rFonts w:eastAsia="Times New Roman" w:cs="Calibri"/>
                      <w:szCs w:val="20"/>
                    </w:rPr>
                    <w:t>Grade 2</w:t>
                  </w:r>
                </w:p>
              </w:tc>
              <w:tc>
                <w:tcPr>
                  <w:tcW w:w="0" w:type="auto"/>
                  <w:tcBorders>
                    <w:top w:val="nil"/>
                    <w:left w:val="nil"/>
                    <w:bottom w:val="single" w:sz="4" w:space="0" w:color="auto"/>
                    <w:right w:val="single" w:sz="4" w:space="0" w:color="auto"/>
                  </w:tcBorders>
                  <w:shd w:val="clear" w:color="auto" w:fill="auto"/>
                  <w:vAlign w:val="center"/>
                  <w:hideMark/>
                </w:tcPr>
                <w:p w14:paraId="64AF4A29" w14:textId="77777777" w:rsidR="00221C59" w:rsidRPr="000C4849" w:rsidRDefault="00221C59" w:rsidP="00221C59">
                  <w:pPr>
                    <w:rPr>
                      <w:rFonts w:eastAsia="Times New Roman" w:cs="Calibri"/>
                      <w:szCs w:val="20"/>
                    </w:rPr>
                  </w:pPr>
                  <w:r w:rsidRPr="000C4849">
                    <w:rPr>
                      <w:rFonts w:eastAsia="Times New Roman" w:cs="Calibri"/>
                      <w:szCs w:val="20"/>
                    </w:rPr>
                    <w:t>Reading</w:t>
                  </w:r>
                </w:p>
              </w:tc>
              <w:tc>
                <w:tcPr>
                  <w:tcW w:w="0" w:type="auto"/>
                  <w:tcBorders>
                    <w:top w:val="nil"/>
                    <w:left w:val="nil"/>
                    <w:bottom w:val="single" w:sz="4" w:space="0" w:color="auto"/>
                    <w:right w:val="single" w:sz="4" w:space="0" w:color="auto"/>
                  </w:tcBorders>
                  <w:shd w:val="clear" w:color="auto" w:fill="auto"/>
                  <w:vAlign w:val="center"/>
                  <w:hideMark/>
                </w:tcPr>
                <w:p w14:paraId="33BCE202" w14:textId="77777777" w:rsidR="00221C59" w:rsidRPr="000C4849" w:rsidRDefault="00221C59" w:rsidP="00221C59">
                  <w:pPr>
                    <w:rPr>
                      <w:rFonts w:eastAsia="Times New Roman" w:cs="Calibri"/>
                      <w:szCs w:val="20"/>
                    </w:rPr>
                  </w:pPr>
                  <w:r w:rsidRPr="000C4849">
                    <w:rPr>
                      <w:rFonts w:eastAsia="Times New Roman" w:cs="Calibri"/>
                      <w:szCs w:val="20"/>
                    </w:rPr>
                    <w:t>Level 3</w:t>
                  </w:r>
                </w:p>
              </w:tc>
            </w:tr>
            <w:tr w:rsidR="00221C59" w:rsidRPr="0063530C" w14:paraId="74831DA2" w14:textId="77777777" w:rsidTr="00A44C1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1FCD4A1" w14:textId="77777777" w:rsidR="00221C59" w:rsidRPr="000C4849" w:rsidRDefault="00221C59" w:rsidP="00221C59">
                  <w:pPr>
                    <w:rPr>
                      <w:rFonts w:eastAsia="Times New Roman" w:cs="Calibri"/>
                      <w:b/>
                      <w:bCs/>
                      <w:szCs w:val="20"/>
                    </w:rPr>
                  </w:pPr>
                </w:p>
              </w:tc>
              <w:tc>
                <w:tcPr>
                  <w:tcW w:w="0" w:type="auto"/>
                  <w:vMerge/>
                  <w:tcBorders>
                    <w:top w:val="nil"/>
                    <w:left w:val="single" w:sz="4" w:space="0" w:color="auto"/>
                    <w:bottom w:val="single" w:sz="4" w:space="0" w:color="auto"/>
                    <w:right w:val="single" w:sz="4" w:space="0" w:color="auto"/>
                  </w:tcBorders>
                  <w:vAlign w:val="center"/>
                  <w:hideMark/>
                </w:tcPr>
                <w:p w14:paraId="2B75D2DF" w14:textId="77777777" w:rsidR="00221C59" w:rsidRPr="000C4849" w:rsidRDefault="00221C59" w:rsidP="00221C59">
                  <w:pPr>
                    <w:rPr>
                      <w:rFonts w:eastAsia="Times New Roman" w:cs="Calibri"/>
                      <w:szCs w:val="20"/>
                    </w:rPr>
                  </w:pPr>
                </w:p>
              </w:tc>
              <w:tc>
                <w:tcPr>
                  <w:tcW w:w="0" w:type="auto"/>
                  <w:tcBorders>
                    <w:top w:val="nil"/>
                    <w:left w:val="nil"/>
                    <w:bottom w:val="single" w:sz="4" w:space="0" w:color="auto"/>
                    <w:right w:val="single" w:sz="4" w:space="0" w:color="auto"/>
                  </w:tcBorders>
                  <w:shd w:val="clear" w:color="auto" w:fill="auto"/>
                  <w:vAlign w:val="center"/>
                  <w:hideMark/>
                </w:tcPr>
                <w:p w14:paraId="62277932" w14:textId="77777777" w:rsidR="00221C59" w:rsidRPr="000C4849" w:rsidRDefault="00221C59" w:rsidP="00221C59">
                  <w:pPr>
                    <w:rPr>
                      <w:rFonts w:eastAsia="Times New Roman" w:cs="Calibri"/>
                      <w:szCs w:val="20"/>
                    </w:rPr>
                  </w:pPr>
                  <w:r w:rsidRPr="000C4849">
                    <w:rPr>
                      <w:rFonts w:eastAsia="Times New Roman" w:cs="Calibri"/>
                      <w:szCs w:val="20"/>
                    </w:rPr>
                    <w:t>Math</w:t>
                  </w:r>
                </w:p>
              </w:tc>
              <w:tc>
                <w:tcPr>
                  <w:tcW w:w="0" w:type="auto"/>
                  <w:tcBorders>
                    <w:top w:val="nil"/>
                    <w:left w:val="nil"/>
                    <w:bottom w:val="single" w:sz="4" w:space="0" w:color="auto"/>
                    <w:right w:val="single" w:sz="4" w:space="0" w:color="auto"/>
                  </w:tcBorders>
                  <w:shd w:val="clear" w:color="auto" w:fill="auto"/>
                  <w:vAlign w:val="center"/>
                  <w:hideMark/>
                </w:tcPr>
                <w:p w14:paraId="1F61583F" w14:textId="77777777" w:rsidR="00221C59" w:rsidRPr="000C4849" w:rsidRDefault="00221C59" w:rsidP="00221C59">
                  <w:pPr>
                    <w:rPr>
                      <w:rFonts w:eastAsia="Times New Roman" w:cs="Calibri"/>
                      <w:szCs w:val="20"/>
                    </w:rPr>
                  </w:pPr>
                  <w:r w:rsidRPr="000C4849">
                    <w:rPr>
                      <w:rFonts w:eastAsia="Times New Roman" w:cs="Calibri"/>
                      <w:szCs w:val="20"/>
                    </w:rPr>
                    <w:t>Level 2</w:t>
                  </w:r>
                </w:p>
              </w:tc>
            </w:tr>
            <w:tr w:rsidR="00221C59" w:rsidRPr="0063530C" w14:paraId="39DE44CA" w14:textId="77777777" w:rsidTr="00A44C1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4CB42" w14:textId="77777777" w:rsidR="00221C59" w:rsidRPr="000C4849" w:rsidRDefault="00221C59" w:rsidP="00221C59">
                  <w:pPr>
                    <w:rPr>
                      <w:rFonts w:eastAsia="Times New Roman" w:cs="Calibri"/>
                      <w:b/>
                      <w:bCs/>
                      <w:szCs w:val="20"/>
                    </w:rPr>
                  </w:pPr>
                  <w:r w:rsidRPr="000C4849">
                    <w:rPr>
                      <w:rFonts w:eastAsia="Times New Roman" w:cs="Calibri"/>
                      <w:b/>
                      <w:bCs/>
                      <w:szCs w:val="20"/>
                    </w:rPr>
                    <w:t>TIMSS</w:t>
                  </w:r>
                </w:p>
              </w:tc>
              <w:tc>
                <w:tcPr>
                  <w:tcW w:w="0" w:type="auto"/>
                  <w:tcBorders>
                    <w:top w:val="nil"/>
                    <w:left w:val="nil"/>
                    <w:bottom w:val="single" w:sz="4" w:space="0" w:color="auto"/>
                    <w:right w:val="single" w:sz="4" w:space="0" w:color="auto"/>
                  </w:tcBorders>
                  <w:shd w:val="clear" w:color="auto" w:fill="auto"/>
                  <w:vAlign w:val="center"/>
                  <w:hideMark/>
                </w:tcPr>
                <w:p w14:paraId="69C6831B" w14:textId="77777777" w:rsidR="00221C59" w:rsidRPr="000C4849" w:rsidRDefault="00221C59" w:rsidP="00221C59">
                  <w:pPr>
                    <w:rPr>
                      <w:rFonts w:eastAsia="Times New Roman" w:cs="Calibri"/>
                      <w:szCs w:val="20"/>
                    </w:rPr>
                  </w:pPr>
                  <w:r w:rsidRPr="000C4849">
                    <w:rPr>
                      <w:rFonts w:eastAsia="Times New Roman" w:cs="Calibri"/>
                      <w:szCs w:val="20"/>
                    </w:rPr>
                    <w:t>Grade 4</w:t>
                  </w:r>
                </w:p>
              </w:tc>
              <w:tc>
                <w:tcPr>
                  <w:tcW w:w="0" w:type="auto"/>
                  <w:tcBorders>
                    <w:top w:val="nil"/>
                    <w:left w:val="nil"/>
                    <w:bottom w:val="single" w:sz="4" w:space="0" w:color="auto"/>
                    <w:right w:val="single" w:sz="4" w:space="0" w:color="auto"/>
                  </w:tcBorders>
                  <w:shd w:val="clear" w:color="auto" w:fill="auto"/>
                  <w:vAlign w:val="center"/>
                  <w:hideMark/>
                </w:tcPr>
                <w:p w14:paraId="7FA0A4BB" w14:textId="77777777" w:rsidR="00221C59" w:rsidRPr="000C4849" w:rsidRDefault="00221C59" w:rsidP="00221C59">
                  <w:pPr>
                    <w:rPr>
                      <w:rFonts w:eastAsia="Times New Roman" w:cs="Calibri"/>
                      <w:szCs w:val="20"/>
                    </w:rPr>
                  </w:pPr>
                  <w:r w:rsidRPr="000C4849">
                    <w:rPr>
                      <w:rFonts w:eastAsia="Times New Roman" w:cs="Calibri"/>
                      <w:szCs w:val="20"/>
                    </w:rPr>
                    <w:t>Math</w:t>
                  </w:r>
                </w:p>
              </w:tc>
              <w:tc>
                <w:tcPr>
                  <w:tcW w:w="0" w:type="auto"/>
                  <w:tcBorders>
                    <w:top w:val="nil"/>
                    <w:left w:val="nil"/>
                    <w:bottom w:val="single" w:sz="4" w:space="0" w:color="auto"/>
                    <w:right w:val="single" w:sz="4" w:space="0" w:color="auto"/>
                  </w:tcBorders>
                  <w:shd w:val="clear" w:color="auto" w:fill="auto"/>
                  <w:vAlign w:val="center"/>
                  <w:hideMark/>
                </w:tcPr>
                <w:p w14:paraId="50DC98C9" w14:textId="77777777" w:rsidR="00221C59" w:rsidRPr="000C4849" w:rsidRDefault="00221C59" w:rsidP="00221C59">
                  <w:pPr>
                    <w:rPr>
                      <w:rFonts w:eastAsia="Times New Roman" w:cs="Calibri"/>
                      <w:szCs w:val="20"/>
                    </w:rPr>
                  </w:pPr>
                  <w:r w:rsidRPr="000C4849">
                    <w:rPr>
                      <w:rFonts w:eastAsia="Times New Roman" w:cs="Calibri"/>
                      <w:szCs w:val="20"/>
                    </w:rPr>
                    <w:t>Low International Benchmark</w:t>
                  </w:r>
                </w:p>
              </w:tc>
            </w:tr>
            <w:tr w:rsidR="00221C59" w:rsidRPr="0063530C" w14:paraId="67BA45CA" w14:textId="77777777" w:rsidTr="00A44C1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1D732" w14:textId="77777777" w:rsidR="00221C59" w:rsidRPr="000C4849" w:rsidRDefault="00221C59" w:rsidP="00221C59">
                  <w:pPr>
                    <w:rPr>
                      <w:rFonts w:eastAsia="Times New Roman" w:cs="Calibri"/>
                      <w:b/>
                      <w:bCs/>
                      <w:szCs w:val="20"/>
                    </w:rPr>
                  </w:pPr>
                  <w:r w:rsidRPr="000C4849">
                    <w:rPr>
                      <w:rFonts w:eastAsia="Times New Roman" w:cs="Calibri"/>
                      <w:b/>
                      <w:bCs/>
                      <w:szCs w:val="20"/>
                    </w:rPr>
                    <w:t>PIRLS</w:t>
                  </w:r>
                </w:p>
              </w:tc>
              <w:tc>
                <w:tcPr>
                  <w:tcW w:w="0" w:type="auto"/>
                  <w:tcBorders>
                    <w:top w:val="nil"/>
                    <w:left w:val="nil"/>
                    <w:bottom w:val="single" w:sz="4" w:space="0" w:color="auto"/>
                    <w:right w:val="single" w:sz="4" w:space="0" w:color="auto"/>
                  </w:tcBorders>
                  <w:shd w:val="clear" w:color="auto" w:fill="auto"/>
                  <w:vAlign w:val="center"/>
                  <w:hideMark/>
                </w:tcPr>
                <w:p w14:paraId="24A95C87" w14:textId="77777777" w:rsidR="00221C59" w:rsidRPr="000C4849" w:rsidRDefault="00221C59" w:rsidP="00221C59">
                  <w:pPr>
                    <w:rPr>
                      <w:rFonts w:eastAsia="Times New Roman" w:cs="Calibri"/>
                      <w:szCs w:val="20"/>
                    </w:rPr>
                  </w:pPr>
                  <w:r w:rsidRPr="000C4849">
                    <w:rPr>
                      <w:rFonts w:eastAsia="Times New Roman" w:cs="Calibri"/>
                      <w:szCs w:val="20"/>
                    </w:rPr>
                    <w:t>Grade 4</w:t>
                  </w:r>
                </w:p>
              </w:tc>
              <w:tc>
                <w:tcPr>
                  <w:tcW w:w="0" w:type="auto"/>
                  <w:tcBorders>
                    <w:top w:val="nil"/>
                    <w:left w:val="nil"/>
                    <w:bottom w:val="single" w:sz="4" w:space="0" w:color="auto"/>
                    <w:right w:val="single" w:sz="4" w:space="0" w:color="auto"/>
                  </w:tcBorders>
                  <w:shd w:val="clear" w:color="auto" w:fill="auto"/>
                  <w:vAlign w:val="center"/>
                  <w:hideMark/>
                </w:tcPr>
                <w:p w14:paraId="104F65D6" w14:textId="77777777" w:rsidR="00221C59" w:rsidRPr="000C4849" w:rsidRDefault="00221C59" w:rsidP="00221C59">
                  <w:pPr>
                    <w:rPr>
                      <w:rFonts w:eastAsia="Times New Roman" w:cs="Calibri"/>
                      <w:szCs w:val="20"/>
                    </w:rPr>
                  </w:pPr>
                  <w:r w:rsidRPr="000C4849">
                    <w:rPr>
                      <w:rFonts w:eastAsia="Times New Roman" w:cs="Calibri"/>
                      <w:szCs w:val="20"/>
                    </w:rPr>
                    <w:t>Reading</w:t>
                  </w:r>
                </w:p>
              </w:tc>
              <w:tc>
                <w:tcPr>
                  <w:tcW w:w="0" w:type="auto"/>
                  <w:tcBorders>
                    <w:top w:val="nil"/>
                    <w:left w:val="nil"/>
                    <w:bottom w:val="single" w:sz="4" w:space="0" w:color="auto"/>
                    <w:right w:val="single" w:sz="4" w:space="0" w:color="auto"/>
                  </w:tcBorders>
                  <w:shd w:val="clear" w:color="auto" w:fill="auto"/>
                  <w:vAlign w:val="center"/>
                  <w:hideMark/>
                </w:tcPr>
                <w:p w14:paraId="51027E76" w14:textId="77777777" w:rsidR="00221C59" w:rsidRPr="000C4849" w:rsidRDefault="00221C59" w:rsidP="00221C59">
                  <w:pPr>
                    <w:rPr>
                      <w:rFonts w:eastAsia="Times New Roman" w:cs="Calibri"/>
                      <w:szCs w:val="20"/>
                    </w:rPr>
                  </w:pPr>
                  <w:r w:rsidRPr="000C4849">
                    <w:rPr>
                      <w:rFonts w:eastAsia="Times New Roman" w:cs="Calibri"/>
                      <w:szCs w:val="20"/>
                    </w:rPr>
                    <w:t>Low International Benchmark</w:t>
                  </w:r>
                </w:p>
              </w:tc>
            </w:tr>
            <w:tr w:rsidR="00221C59" w:rsidRPr="0063530C" w14:paraId="5FAD787C" w14:textId="77777777" w:rsidTr="00A44C13">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1436D0" w14:textId="77777777" w:rsidR="00221C59" w:rsidRPr="000C4849" w:rsidRDefault="00221C59" w:rsidP="00221C59">
                  <w:pPr>
                    <w:rPr>
                      <w:rFonts w:eastAsia="Times New Roman" w:cs="Calibri"/>
                      <w:b/>
                      <w:bCs/>
                      <w:szCs w:val="20"/>
                    </w:rPr>
                  </w:pPr>
                  <w:r w:rsidRPr="000C4849">
                    <w:rPr>
                      <w:rFonts w:eastAsia="Times New Roman" w:cs="Calibri"/>
                      <w:b/>
                      <w:bCs/>
                      <w:szCs w:val="20"/>
                    </w:rPr>
                    <w:t>MICS6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87C0FF" w14:textId="77777777" w:rsidR="00221C59" w:rsidRPr="000C4849" w:rsidRDefault="00221C59" w:rsidP="00221C59">
                  <w:pPr>
                    <w:rPr>
                      <w:rFonts w:eastAsia="Times New Roman" w:cs="Calibri"/>
                      <w:szCs w:val="20"/>
                    </w:rPr>
                  </w:pPr>
                  <w:r w:rsidRPr="000C4849">
                    <w:rPr>
                      <w:rFonts w:eastAsia="Times New Roman" w:cs="Calibri"/>
                      <w:szCs w:val="20"/>
                    </w:rPr>
                    <w:t>Grade 2/3</w:t>
                  </w:r>
                </w:p>
              </w:tc>
              <w:tc>
                <w:tcPr>
                  <w:tcW w:w="0" w:type="auto"/>
                  <w:tcBorders>
                    <w:top w:val="nil"/>
                    <w:left w:val="nil"/>
                    <w:bottom w:val="single" w:sz="4" w:space="0" w:color="auto"/>
                    <w:right w:val="single" w:sz="4" w:space="0" w:color="auto"/>
                  </w:tcBorders>
                  <w:shd w:val="clear" w:color="auto" w:fill="auto"/>
                  <w:vAlign w:val="center"/>
                  <w:hideMark/>
                </w:tcPr>
                <w:p w14:paraId="3D03E528" w14:textId="77777777" w:rsidR="00221C59" w:rsidRPr="000C4849" w:rsidRDefault="00221C59" w:rsidP="00221C59">
                  <w:pPr>
                    <w:rPr>
                      <w:rFonts w:eastAsia="Times New Roman" w:cs="Calibri"/>
                      <w:szCs w:val="20"/>
                    </w:rPr>
                  </w:pPr>
                  <w:r w:rsidRPr="000C4849">
                    <w:rPr>
                      <w:rFonts w:eastAsia="Times New Roman" w:cs="Calibri"/>
                      <w:szCs w:val="20"/>
                    </w:rPr>
                    <w:t>Reading</w:t>
                  </w:r>
                </w:p>
              </w:tc>
              <w:tc>
                <w:tcPr>
                  <w:tcW w:w="0" w:type="auto"/>
                  <w:tcBorders>
                    <w:top w:val="nil"/>
                    <w:left w:val="nil"/>
                    <w:bottom w:val="single" w:sz="4" w:space="0" w:color="auto"/>
                    <w:right w:val="single" w:sz="4" w:space="0" w:color="auto"/>
                  </w:tcBorders>
                  <w:shd w:val="clear" w:color="auto" w:fill="auto"/>
                  <w:vAlign w:val="center"/>
                  <w:hideMark/>
                </w:tcPr>
                <w:p w14:paraId="597B064C" w14:textId="77777777" w:rsidR="00221C59" w:rsidRPr="000C4849" w:rsidRDefault="00221C59" w:rsidP="00221C59">
                  <w:pPr>
                    <w:rPr>
                      <w:rFonts w:eastAsia="Times New Roman" w:cs="Calibri"/>
                      <w:szCs w:val="20"/>
                    </w:rPr>
                  </w:pPr>
                  <w:r w:rsidRPr="000C4849">
                    <w:rPr>
                      <w:rFonts w:eastAsia="Times New Roman" w:cs="Calibri"/>
                      <w:szCs w:val="20"/>
                    </w:rPr>
                    <w:t>Foundational reading skills</w:t>
                  </w:r>
                </w:p>
              </w:tc>
            </w:tr>
            <w:tr w:rsidR="00221C59" w:rsidRPr="0063530C" w14:paraId="3C7C5C31" w14:textId="77777777" w:rsidTr="00A44C1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CF415F3" w14:textId="77777777" w:rsidR="00221C59" w:rsidRPr="000C4849" w:rsidRDefault="00221C59" w:rsidP="00221C59">
                  <w:pPr>
                    <w:rPr>
                      <w:rFonts w:eastAsia="Times New Roman" w:cs="Calibri"/>
                      <w:b/>
                      <w:bCs/>
                      <w:szCs w:val="20"/>
                    </w:rPr>
                  </w:pPr>
                </w:p>
              </w:tc>
              <w:tc>
                <w:tcPr>
                  <w:tcW w:w="0" w:type="auto"/>
                  <w:vMerge/>
                  <w:tcBorders>
                    <w:top w:val="nil"/>
                    <w:left w:val="single" w:sz="4" w:space="0" w:color="auto"/>
                    <w:bottom w:val="single" w:sz="4" w:space="0" w:color="auto"/>
                    <w:right w:val="single" w:sz="4" w:space="0" w:color="auto"/>
                  </w:tcBorders>
                  <w:vAlign w:val="center"/>
                  <w:hideMark/>
                </w:tcPr>
                <w:p w14:paraId="5AFACA24" w14:textId="77777777" w:rsidR="00221C59" w:rsidRPr="000C4849" w:rsidRDefault="00221C59" w:rsidP="00221C59">
                  <w:pPr>
                    <w:rPr>
                      <w:rFonts w:eastAsia="Times New Roman" w:cs="Calibri"/>
                      <w:szCs w:val="20"/>
                    </w:rPr>
                  </w:pPr>
                </w:p>
              </w:tc>
              <w:tc>
                <w:tcPr>
                  <w:tcW w:w="0" w:type="auto"/>
                  <w:tcBorders>
                    <w:top w:val="nil"/>
                    <w:left w:val="nil"/>
                    <w:bottom w:val="single" w:sz="4" w:space="0" w:color="auto"/>
                    <w:right w:val="single" w:sz="4" w:space="0" w:color="auto"/>
                  </w:tcBorders>
                  <w:shd w:val="clear" w:color="auto" w:fill="auto"/>
                  <w:vAlign w:val="center"/>
                  <w:hideMark/>
                </w:tcPr>
                <w:p w14:paraId="6229B020" w14:textId="77777777" w:rsidR="00221C59" w:rsidRPr="000C4849" w:rsidRDefault="00221C59" w:rsidP="00221C59">
                  <w:pPr>
                    <w:rPr>
                      <w:rFonts w:eastAsia="Times New Roman" w:cs="Calibri"/>
                      <w:szCs w:val="20"/>
                    </w:rPr>
                  </w:pPr>
                  <w:r w:rsidRPr="000C4849">
                    <w:rPr>
                      <w:rFonts w:eastAsia="Times New Roman" w:cs="Calibri"/>
                      <w:szCs w:val="20"/>
                    </w:rPr>
                    <w:t>Math</w:t>
                  </w:r>
                </w:p>
              </w:tc>
              <w:tc>
                <w:tcPr>
                  <w:tcW w:w="0" w:type="auto"/>
                  <w:tcBorders>
                    <w:top w:val="nil"/>
                    <w:left w:val="nil"/>
                    <w:bottom w:val="single" w:sz="4" w:space="0" w:color="auto"/>
                    <w:right w:val="single" w:sz="4" w:space="0" w:color="auto"/>
                  </w:tcBorders>
                  <w:shd w:val="clear" w:color="auto" w:fill="auto"/>
                  <w:vAlign w:val="center"/>
                  <w:hideMark/>
                </w:tcPr>
                <w:p w14:paraId="7456AEC9" w14:textId="77777777" w:rsidR="00221C59" w:rsidRPr="000C4849" w:rsidRDefault="00221C59" w:rsidP="00221C59">
                  <w:pPr>
                    <w:rPr>
                      <w:rFonts w:eastAsia="Times New Roman" w:cs="Calibri"/>
                      <w:szCs w:val="20"/>
                    </w:rPr>
                  </w:pPr>
                  <w:r w:rsidRPr="000C4849">
                    <w:rPr>
                      <w:rFonts w:eastAsia="Times New Roman" w:cs="Calibri"/>
                      <w:szCs w:val="20"/>
                    </w:rPr>
                    <w:t>Foundational numeracy skills</w:t>
                  </w:r>
                </w:p>
              </w:tc>
            </w:tr>
            <w:tr w:rsidR="00221C59" w:rsidRPr="0063530C" w14:paraId="5DF10512" w14:textId="77777777" w:rsidTr="00A44C13">
              <w:trPr>
                <w:trHeight w:val="8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9915B" w14:textId="77777777" w:rsidR="00221C59" w:rsidRPr="000C4849" w:rsidRDefault="00221C59" w:rsidP="00221C59">
                  <w:pPr>
                    <w:rPr>
                      <w:rFonts w:eastAsia="Times New Roman" w:cs="Calibri"/>
                      <w:b/>
                      <w:bCs/>
                      <w:szCs w:val="20"/>
                    </w:rPr>
                  </w:pPr>
                  <w:r w:rsidRPr="000C4849">
                    <w:rPr>
                      <w:rFonts w:eastAsia="Times New Roman" w:cs="Calibri"/>
                      <w:b/>
                      <w:bCs/>
                      <w:szCs w:val="20"/>
                    </w:rPr>
                    <w:t>EGRA</w:t>
                  </w:r>
                </w:p>
              </w:tc>
              <w:tc>
                <w:tcPr>
                  <w:tcW w:w="0" w:type="auto"/>
                  <w:tcBorders>
                    <w:top w:val="nil"/>
                    <w:left w:val="nil"/>
                    <w:bottom w:val="single" w:sz="4" w:space="0" w:color="auto"/>
                    <w:right w:val="single" w:sz="4" w:space="0" w:color="auto"/>
                  </w:tcBorders>
                  <w:shd w:val="clear" w:color="auto" w:fill="auto"/>
                  <w:vAlign w:val="center"/>
                  <w:hideMark/>
                </w:tcPr>
                <w:p w14:paraId="607A0375" w14:textId="77777777" w:rsidR="00221C59" w:rsidRPr="000C4849" w:rsidRDefault="00221C59" w:rsidP="00221C59">
                  <w:pPr>
                    <w:rPr>
                      <w:rFonts w:eastAsia="Times New Roman" w:cs="Calibri"/>
                      <w:szCs w:val="20"/>
                    </w:rPr>
                  </w:pPr>
                  <w:r w:rsidRPr="000C4849">
                    <w:rPr>
                      <w:rFonts w:eastAsia="Times New Roman" w:cs="Calibri"/>
                      <w:szCs w:val="20"/>
                    </w:rPr>
                    <w:t>Grade 2/3</w:t>
                  </w:r>
                </w:p>
              </w:tc>
              <w:tc>
                <w:tcPr>
                  <w:tcW w:w="0" w:type="auto"/>
                  <w:tcBorders>
                    <w:top w:val="nil"/>
                    <w:left w:val="nil"/>
                    <w:bottom w:val="single" w:sz="4" w:space="0" w:color="auto"/>
                    <w:right w:val="single" w:sz="4" w:space="0" w:color="auto"/>
                  </w:tcBorders>
                  <w:shd w:val="clear" w:color="auto" w:fill="auto"/>
                  <w:vAlign w:val="center"/>
                  <w:hideMark/>
                </w:tcPr>
                <w:p w14:paraId="43E39092" w14:textId="77777777" w:rsidR="00221C59" w:rsidRPr="000C4849" w:rsidRDefault="00221C59" w:rsidP="00221C59">
                  <w:pPr>
                    <w:rPr>
                      <w:rFonts w:eastAsia="Times New Roman" w:cs="Calibri"/>
                      <w:szCs w:val="20"/>
                    </w:rPr>
                  </w:pPr>
                  <w:r w:rsidRPr="000C4849">
                    <w:rPr>
                      <w:rFonts w:eastAsia="Times New Roman" w:cs="Calibri"/>
                      <w:szCs w:val="20"/>
                    </w:rPr>
                    <w:t>Reading</w:t>
                  </w:r>
                </w:p>
              </w:tc>
              <w:tc>
                <w:tcPr>
                  <w:tcW w:w="0" w:type="auto"/>
                  <w:tcBorders>
                    <w:top w:val="nil"/>
                    <w:left w:val="nil"/>
                    <w:bottom w:val="single" w:sz="4" w:space="0" w:color="auto"/>
                    <w:right w:val="single" w:sz="4" w:space="0" w:color="auto"/>
                  </w:tcBorders>
                  <w:shd w:val="clear" w:color="auto" w:fill="auto"/>
                  <w:vAlign w:val="center"/>
                  <w:hideMark/>
                </w:tcPr>
                <w:p w14:paraId="0C2E0E8E" w14:textId="77777777" w:rsidR="00221C59" w:rsidRPr="000C4849" w:rsidRDefault="00221C59" w:rsidP="00221C59">
                  <w:pPr>
                    <w:rPr>
                      <w:rFonts w:eastAsia="Times New Roman" w:cs="Calibri"/>
                      <w:szCs w:val="20"/>
                    </w:rPr>
                  </w:pPr>
                  <w:r w:rsidRPr="000C4849">
                    <w:rPr>
                      <w:rFonts w:eastAsia="Times New Roman" w:cs="Calibri"/>
                      <w:szCs w:val="20"/>
                    </w:rPr>
                    <w:t>Number of correct words per minute (cwpm) above a given threshold (typically 45 cwpm) defined by each country</w:t>
                  </w:r>
                </w:p>
              </w:tc>
            </w:tr>
            <w:tr w:rsidR="00221C59" w:rsidRPr="0063530C" w14:paraId="4A792815" w14:textId="77777777" w:rsidTr="00A44C13">
              <w:trPr>
                <w:trHeight w:val="11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5C792E" w14:textId="77777777" w:rsidR="00221C59" w:rsidRPr="000C4849" w:rsidRDefault="00221C59" w:rsidP="00221C59">
                  <w:pPr>
                    <w:rPr>
                      <w:rFonts w:eastAsia="Times New Roman" w:cs="Calibri"/>
                      <w:b/>
                      <w:bCs/>
                      <w:szCs w:val="20"/>
                    </w:rPr>
                  </w:pPr>
                  <w:r w:rsidRPr="000C4849">
                    <w:rPr>
                      <w:rFonts w:eastAsia="Times New Roman" w:cs="Calibri"/>
                      <w:b/>
                      <w:bCs/>
                      <w:szCs w:val="20"/>
                    </w:rPr>
                    <w:t>EGMA</w:t>
                  </w:r>
                </w:p>
              </w:tc>
              <w:tc>
                <w:tcPr>
                  <w:tcW w:w="0" w:type="auto"/>
                  <w:tcBorders>
                    <w:top w:val="nil"/>
                    <w:left w:val="nil"/>
                    <w:bottom w:val="single" w:sz="4" w:space="0" w:color="auto"/>
                    <w:right w:val="single" w:sz="4" w:space="0" w:color="auto"/>
                  </w:tcBorders>
                  <w:shd w:val="clear" w:color="auto" w:fill="auto"/>
                  <w:vAlign w:val="center"/>
                  <w:hideMark/>
                </w:tcPr>
                <w:p w14:paraId="30A193EE" w14:textId="77777777" w:rsidR="00221C59" w:rsidRPr="000C4849" w:rsidRDefault="00221C59" w:rsidP="00221C59">
                  <w:pPr>
                    <w:rPr>
                      <w:rFonts w:eastAsia="Times New Roman" w:cs="Calibri"/>
                      <w:szCs w:val="20"/>
                    </w:rPr>
                  </w:pPr>
                  <w:r w:rsidRPr="000C4849">
                    <w:rPr>
                      <w:rFonts w:eastAsia="Times New Roman" w:cs="Calibri"/>
                      <w:szCs w:val="20"/>
                    </w:rPr>
                    <w:t>Grade 2/3</w:t>
                  </w:r>
                </w:p>
              </w:tc>
              <w:tc>
                <w:tcPr>
                  <w:tcW w:w="0" w:type="auto"/>
                  <w:tcBorders>
                    <w:top w:val="nil"/>
                    <w:left w:val="nil"/>
                    <w:bottom w:val="single" w:sz="4" w:space="0" w:color="auto"/>
                    <w:right w:val="single" w:sz="4" w:space="0" w:color="auto"/>
                  </w:tcBorders>
                  <w:shd w:val="clear" w:color="auto" w:fill="auto"/>
                  <w:vAlign w:val="center"/>
                  <w:hideMark/>
                </w:tcPr>
                <w:p w14:paraId="41B4F079" w14:textId="77777777" w:rsidR="00221C59" w:rsidRPr="000C4849" w:rsidRDefault="00221C59" w:rsidP="00221C59">
                  <w:pPr>
                    <w:rPr>
                      <w:rFonts w:eastAsia="Times New Roman" w:cs="Calibri"/>
                      <w:szCs w:val="20"/>
                    </w:rPr>
                  </w:pPr>
                  <w:r w:rsidRPr="000C4849">
                    <w:rPr>
                      <w:rFonts w:eastAsia="Times New Roman" w:cs="Calibri"/>
                      <w:szCs w:val="20"/>
                    </w:rPr>
                    <w:t>Math</w:t>
                  </w:r>
                </w:p>
              </w:tc>
              <w:tc>
                <w:tcPr>
                  <w:tcW w:w="0" w:type="auto"/>
                  <w:tcBorders>
                    <w:top w:val="nil"/>
                    <w:left w:val="nil"/>
                    <w:bottom w:val="single" w:sz="4" w:space="0" w:color="auto"/>
                    <w:right w:val="single" w:sz="4" w:space="0" w:color="auto"/>
                  </w:tcBorders>
                  <w:shd w:val="clear" w:color="auto" w:fill="auto"/>
                  <w:vAlign w:val="center"/>
                  <w:hideMark/>
                </w:tcPr>
                <w:p w14:paraId="557A28B9" w14:textId="77777777" w:rsidR="00221C59" w:rsidRPr="000C4849" w:rsidRDefault="00221C59" w:rsidP="00221C59">
                  <w:pPr>
                    <w:rPr>
                      <w:rFonts w:eastAsia="Times New Roman" w:cs="Calibri"/>
                      <w:szCs w:val="20"/>
                    </w:rPr>
                  </w:pPr>
                  <w:r w:rsidRPr="000C4849">
                    <w:rPr>
                      <w:rFonts w:eastAsia="Times New Roman" w:cs="Calibri"/>
                      <w:szCs w:val="20"/>
                    </w:rPr>
                    <w:t>Percentage of correct answers for addition and subtraction above a given threshold (typically 80% of correct answers) defined by each country</w:t>
                  </w:r>
                </w:p>
              </w:tc>
            </w:tr>
            <w:tr w:rsidR="00221C59" w:rsidRPr="0063530C" w14:paraId="630048D6" w14:textId="77777777" w:rsidTr="00A44C13">
              <w:trPr>
                <w:trHeight w:val="57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039688" w14:textId="77777777" w:rsidR="00221C59" w:rsidRPr="000C4849" w:rsidRDefault="00221C59" w:rsidP="00221C59">
                  <w:pPr>
                    <w:rPr>
                      <w:rFonts w:eastAsia="Times New Roman" w:cs="Calibri"/>
                      <w:b/>
                      <w:bCs/>
                      <w:szCs w:val="20"/>
                    </w:rPr>
                  </w:pPr>
                  <w:r w:rsidRPr="000C4849">
                    <w:rPr>
                      <w:rFonts w:eastAsia="Times New Roman" w:cs="Calibri"/>
                      <w:b/>
                      <w:bCs/>
                      <w:szCs w:val="20"/>
                    </w:rPr>
                    <w:t>PAL Network</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B29E46" w14:textId="77777777" w:rsidR="00221C59" w:rsidRPr="000C4849" w:rsidRDefault="00221C59" w:rsidP="00221C59">
                  <w:pPr>
                    <w:rPr>
                      <w:rFonts w:eastAsia="Times New Roman" w:cs="Calibri"/>
                      <w:szCs w:val="20"/>
                    </w:rPr>
                  </w:pPr>
                  <w:r w:rsidRPr="000C4849">
                    <w:rPr>
                      <w:rFonts w:eastAsia="Times New Roman" w:cs="Calibri"/>
                      <w:szCs w:val="20"/>
                    </w:rPr>
                    <w:t>Grade 3</w:t>
                  </w:r>
                </w:p>
              </w:tc>
              <w:tc>
                <w:tcPr>
                  <w:tcW w:w="0" w:type="auto"/>
                  <w:tcBorders>
                    <w:top w:val="nil"/>
                    <w:left w:val="nil"/>
                    <w:bottom w:val="single" w:sz="4" w:space="0" w:color="auto"/>
                    <w:right w:val="single" w:sz="4" w:space="0" w:color="auto"/>
                  </w:tcBorders>
                  <w:shd w:val="clear" w:color="auto" w:fill="auto"/>
                  <w:vAlign w:val="center"/>
                  <w:hideMark/>
                </w:tcPr>
                <w:p w14:paraId="006EA61F" w14:textId="77777777" w:rsidR="00221C59" w:rsidRPr="000C4849" w:rsidRDefault="00221C59" w:rsidP="00221C59">
                  <w:pPr>
                    <w:rPr>
                      <w:rFonts w:eastAsia="Times New Roman" w:cs="Calibri"/>
                      <w:szCs w:val="20"/>
                    </w:rPr>
                  </w:pPr>
                  <w:r w:rsidRPr="000C4849">
                    <w:rPr>
                      <w:rFonts w:eastAsia="Times New Roman" w:cs="Calibri"/>
                      <w:szCs w:val="20"/>
                    </w:rPr>
                    <w:t>Reading</w:t>
                  </w:r>
                </w:p>
              </w:tc>
              <w:tc>
                <w:tcPr>
                  <w:tcW w:w="0" w:type="auto"/>
                  <w:tcBorders>
                    <w:top w:val="nil"/>
                    <w:left w:val="nil"/>
                    <w:bottom w:val="single" w:sz="4" w:space="0" w:color="auto"/>
                    <w:right w:val="single" w:sz="4" w:space="0" w:color="auto"/>
                  </w:tcBorders>
                  <w:shd w:val="clear" w:color="auto" w:fill="auto"/>
                  <w:vAlign w:val="center"/>
                  <w:hideMark/>
                </w:tcPr>
                <w:p w14:paraId="2FE799B4" w14:textId="77777777" w:rsidR="00221C59" w:rsidRPr="000C4849" w:rsidRDefault="00221C59" w:rsidP="00221C59">
                  <w:pPr>
                    <w:rPr>
                      <w:rFonts w:eastAsia="Times New Roman" w:cs="Calibri"/>
                      <w:szCs w:val="20"/>
                    </w:rPr>
                  </w:pPr>
                  <w:r w:rsidRPr="000C4849">
                    <w:rPr>
                      <w:rFonts w:eastAsia="Times New Roman" w:cs="Calibri"/>
                      <w:szCs w:val="20"/>
                    </w:rPr>
                    <w:t>Can read one or more texts as defined by each country</w:t>
                  </w:r>
                </w:p>
              </w:tc>
            </w:tr>
            <w:tr w:rsidR="00221C59" w:rsidRPr="0063530C" w14:paraId="60199111" w14:textId="77777777" w:rsidTr="00A44C13">
              <w:trPr>
                <w:trHeight w:val="570"/>
                <w:jc w:val="center"/>
              </w:trPr>
              <w:tc>
                <w:tcPr>
                  <w:tcW w:w="0" w:type="auto"/>
                  <w:vMerge/>
                  <w:tcBorders>
                    <w:top w:val="nil"/>
                    <w:left w:val="single" w:sz="4" w:space="0" w:color="auto"/>
                    <w:bottom w:val="single" w:sz="4" w:space="0" w:color="auto"/>
                    <w:right w:val="single" w:sz="4" w:space="0" w:color="auto"/>
                  </w:tcBorders>
                  <w:vAlign w:val="center"/>
                  <w:hideMark/>
                </w:tcPr>
                <w:p w14:paraId="1CF712CC" w14:textId="77777777" w:rsidR="00221C59" w:rsidRPr="000C4849" w:rsidRDefault="00221C59" w:rsidP="00221C59">
                  <w:pPr>
                    <w:rPr>
                      <w:rFonts w:eastAsia="Times New Roman" w:cs="Calibri"/>
                      <w:b/>
                      <w:bCs/>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4D98DE32" w14:textId="77777777" w:rsidR="00221C59" w:rsidRPr="000C4849" w:rsidRDefault="00221C59" w:rsidP="00221C59">
                  <w:pPr>
                    <w:rPr>
                      <w:rFonts w:eastAsia="Times New Roman" w:cs="Calibri"/>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7C9105F1" w14:textId="77777777" w:rsidR="00221C59" w:rsidRPr="000C4849" w:rsidRDefault="00221C59" w:rsidP="00221C59">
                  <w:pPr>
                    <w:rPr>
                      <w:rFonts w:eastAsia="Times New Roman" w:cs="Calibri"/>
                      <w:sz w:val="21"/>
                      <w:szCs w:val="21"/>
                    </w:rPr>
                  </w:pPr>
                  <w:r w:rsidRPr="000C4849">
                    <w:rPr>
                      <w:rFonts w:eastAsia="Times New Roman" w:cs="Calibri"/>
                      <w:sz w:val="21"/>
                      <w:szCs w:val="21"/>
                    </w:rPr>
                    <w:t>Math</w:t>
                  </w:r>
                </w:p>
              </w:tc>
              <w:tc>
                <w:tcPr>
                  <w:tcW w:w="0" w:type="auto"/>
                  <w:tcBorders>
                    <w:top w:val="nil"/>
                    <w:left w:val="nil"/>
                    <w:bottom w:val="single" w:sz="4" w:space="0" w:color="auto"/>
                    <w:right w:val="single" w:sz="4" w:space="0" w:color="auto"/>
                  </w:tcBorders>
                  <w:shd w:val="clear" w:color="auto" w:fill="auto"/>
                  <w:vAlign w:val="center"/>
                  <w:hideMark/>
                </w:tcPr>
                <w:p w14:paraId="629DF053" w14:textId="77777777" w:rsidR="00221C59" w:rsidRPr="000C4849" w:rsidRDefault="00221C59" w:rsidP="00221C59">
                  <w:pPr>
                    <w:rPr>
                      <w:rFonts w:eastAsia="Times New Roman" w:cs="Calibri"/>
                      <w:sz w:val="21"/>
                      <w:szCs w:val="21"/>
                    </w:rPr>
                  </w:pPr>
                  <w:r w:rsidRPr="000C4849">
                    <w:rPr>
                      <w:rFonts w:eastAsia="Times New Roman" w:cs="Calibri"/>
                      <w:sz w:val="21"/>
                      <w:szCs w:val="21"/>
                    </w:rPr>
                    <w:t>Can do one or more arithmetic problems as defined by each country</w:t>
                  </w:r>
                </w:p>
              </w:tc>
            </w:tr>
            <w:tr w:rsidR="00221C59" w:rsidRPr="0063530C" w14:paraId="0E34EC57" w14:textId="77777777" w:rsidTr="00A44C13">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DF2F1D" w14:textId="77777777" w:rsidR="00221C59" w:rsidRPr="000C4849" w:rsidRDefault="00221C59" w:rsidP="00221C59">
                  <w:pPr>
                    <w:rPr>
                      <w:rFonts w:eastAsia="Times New Roman" w:cs="Calibri"/>
                      <w:b/>
                      <w:bCs/>
                      <w:sz w:val="21"/>
                      <w:szCs w:val="21"/>
                    </w:rPr>
                  </w:pPr>
                  <w:r w:rsidRPr="000C4849">
                    <w:rPr>
                      <w:rFonts w:eastAsia="Times New Roman" w:cs="Calibri"/>
                      <w:b/>
                      <w:bCs/>
                      <w:sz w:val="21"/>
                      <w:szCs w:val="21"/>
                    </w:rPr>
                    <w:t>National assessment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1F41A1" w14:textId="77777777" w:rsidR="00221C59" w:rsidRPr="000C4849" w:rsidRDefault="00221C59" w:rsidP="00221C59">
                  <w:pPr>
                    <w:rPr>
                      <w:rFonts w:eastAsia="Times New Roman" w:cs="Calibri"/>
                      <w:sz w:val="21"/>
                      <w:szCs w:val="21"/>
                    </w:rPr>
                  </w:pPr>
                  <w:r w:rsidRPr="000C4849">
                    <w:rPr>
                      <w:rFonts w:eastAsia="Times New Roman" w:cs="Calibri"/>
                      <w:sz w:val="21"/>
                      <w:szCs w:val="21"/>
                    </w:rPr>
                    <w:t xml:space="preserve">Grade 2/3, end of primary or </w:t>
                  </w:r>
                  <w:r w:rsidRPr="000C4849">
                    <w:rPr>
                      <w:rFonts w:eastAsia="Times New Roman" w:cs="Calibri"/>
                      <w:sz w:val="21"/>
                      <w:szCs w:val="21"/>
                    </w:rPr>
                    <w:lastRenderedPageBreak/>
                    <w:t>end of secondary</w:t>
                  </w:r>
                </w:p>
              </w:tc>
              <w:tc>
                <w:tcPr>
                  <w:tcW w:w="0" w:type="auto"/>
                  <w:tcBorders>
                    <w:top w:val="nil"/>
                    <w:left w:val="nil"/>
                    <w:bottom w:val="single" w:sz="4" w:space="0" w:color="auto"/>
                    <w:right w:val="single" w:sz="4" w:space="0" w:color="auto"/>
                  </w:tcBorders>
                  <w:shd w:val="clear" w:color="auto" w:fill="auto"/>
                  <w:vAlign w:val="center"/>
                  <w:hideMark/>
                </w:tcPr>
                <w:p w14:paraId="0A258C04" w14:textId="77777777" w:rsidR="00221C59" w:rsidRPr="000C4849" w:rsidRDefault="00221C59" w:rsidP="00221C59">
                  <w:pPr>
                    <w:rPr>
                      <w:rFonts w:eastAsia="Times New Roman" w:cs="Calibri"/>
                      <w:sz w:val="21"/>
                      <w:szCs w:val="21"/>
                    </w:rPr>
                  </w:pPr>
                  <w:r w:rsidRPr="000C4849">
                    <w:rPr>
                      <w:rFonts w:eastAsia="Times New Roman" w:cs="Calibri"/>
                      <w:sz w:val="21"/>
                      <w:szCs w:val="21"/>
                    </w:rPr>
                    <w:lastRenderedPageBreak/>
                    <w:t>Reading</w:t>
                  </w:r>
                </w:p>
              </w:tc>
              <w:tc>
                <w:tcPr>
                  <w:tcW w:w="0" w:type="auto"/>
                  <w:tcBorders>
                    <w:top w:val="nil"/>
                    <w:left w:val="nil"/>
                    <w:bottom w:val="single" w:sz="4" w:space="0" w:color="auto"/>
                    <w:right w:val="single" w:sz="4" w:space="0" w:color="auto"/>
                  </w:tcBorders>
                  <w:shd w:val="clear" w:color="auto" w:fill="auto"/>
                  <w:vAlign w:val="center"/>
                  <w:hideMark/>
                </w:tcPr>
                <w:p w14:paraId="5D7936B7" w14:textId="77777777" w:rsidR="00221C59" w:rsidRPr="000C4849" w:rsidRDefault="00221C59" w:rsidP="00221C59">
                  <w:pPr>
                    <w:rPr>
                      <w:rFonts w:eastAsia="Times New Roman" w:cs="Calibri"/>
                      <w:sz w:val="21"/>
                      <w:szCs w:val="21"/>
                    </w:rPr>
                  </w:pPr>
                  <w:r w:rsidRPr="000C4849">
                    <w:rPr>
                      <w:rFonts w:eastAsia="Times New Roman" w:cs="Calibri"/>
                      <w:sz w:val="21"/>
                      <w:szCs w:val="21"/>
                    </w:rPr>
                    <w:t>As defined by each national assessment</w:t>
                  </w:r>
                </w:p>
              </w:tc>
            </w:tr>
            <w:tr w:rsidR="00221C59" w:rsidRPr="0063530C" w14:paraId="207983E9" w14:textId="77777777" w:rsidTr="00A44C13">
              <w:trPr>
                <w:trHeight w:val="555"/>
                <w:jc w:val="center"/>
              </w:trPr>
              <w:tc>
                <w:tcPr>
                  <w:tcW w:w="0" w:type="auto"/>
                  <w:vMerge/>
                  <w:tcBorders>
                    <w:top w:val="nil"/>
                    <w:left w:val="single" w:sz="4" w:space="0" w:color="auto"/>
                    <w:bottom w:val="single" w:sz="4" w:space="0" w:color="auto"/>
                    <w:right w:val="single" w:sz="4" w:space="0" w:color="auto"/>
                  </w:tcBorders>
                  <w:vAlign w:val="center"/>
                  <w:hideMark/>
                </w:tcPr>
                <w:p w14:paraId="1F5B81A0" w14:textId="77777777" w:rsidR="00221C59" w:rsidRPr="000C4849" w:rsidRDefault="00221C59" w:rsidP="00221C59">
                  <w:pPr>
                    <w:rPr>
                      <w:rFonts w:eastAsia="Times New Roman" w:cs="Calibri"/>
                      <w:b/>
                      <w:bCs/>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14889D90" w14:textId="77777777" w:rsidR="00221C59" w:rsidRPr="000C4849" w:rsidRDefault="00221C59" w:rsidP="00221C59">
                  <w:pPr>
                    <w:rPr>
                      <w:rFonts w:eastAsia="Times New Roman" w:cs="Calibri"/>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581146E6" w14:textId="77777777" w:rsidR="00221C59" w:rsidRPr="000C4849" w:rsidRDefault="00221C59" w:rsidP="00221C59">
                  <w:pPr>
                    <w:rPr>
                      <w:rFonts w:eastAsia="Times New Roman" w:cs="Calibri"/>
                      <w:sz w:val="21"/>
                      <w:szCs w:val="21"/>
                    </w:rPr>
                  </w:pPr>
                  <w:r w:rsidRPr="000C4849">
                    <w:rPr>
                      <w:rFonts w:eastAsia="Times New Roman" w:cs="Calibri"/>
                      <w:sz w:val="21"/>
                      <w:szCs w:val="21"/>
                    </w:rPr>
                    <w:t>Math</w:t>
                  </w:r>
                </w:p>
              </w:tc>
              <w:tc>
                <w:tcPr>
                  <w:tcW w:w="0" w:type="auto"/>
                  <w:tcBorders>
                    <w:top w:val="nil"/>
                    <w:left w:val="nil"/>
                    <w:bottom w:val="single" w:sz="4" w:space="0" w:color="auto"/>
                    <w:right w:val="single" w:sz="4" w:space="0" w:color="auto"/>
                  </w:tcBorders>
                  <w:shd w:val="clear" w:color="auto" w:fill="auto"/>
                  <w:vAlign w:val="center"/>
                  <w:hideMark/>
                </w:tcPr>
                <w:p w14:paraId="29D9B821" w14:textId="77777777" w:rsidR="00221C59" w:rsidRPr="000C4849" w:rsidRDefault="00221C59" w:rsidP="00221C59">
                  <w:pPr>
                    <w:rPr>
                      <w:rFonts w:eastAsia="Times New Roman" w:cs="Calibri"/>
                      <w:sz w:val="21"/>
                      <w:szCs w:val="21"/>
                    </w:rPr>
                  </w:pPr>
                  <w:r w:rsidRPr="000C4849">
                    <w:rPr>
                      <w:rFonts w:eastAsia="Times New Roman" w:cs="Calibri"/>
                      <w:sz w:val="21"/>
                      <w:szCs w:val="21"/>
                    </w:rPr>
                    <w:t>As defined by each national assessment</w:t>
                  </w:r>
                </w:p>
              </w:tc>
            </w:tr>
          </w:tbl>
          <w:p w14:paraId="70C644C7" w14:textId="77777777" w:rsidR="00221C59" w:rsidRDefault="00221C59" w:rsidP="00221C59">
            <w:pPr>
              <w:jc w:val="both"/>
              <w:rPr>
                <w:b/>
                <w:bCs/>
                <w:szCs w:val="20"/>
              </w:rPr>
            </w:pPr>
          </w:p>
          <w:p w14:paraId="01497CE9" w14:textId="77777777" w:rsidR="00221C59" w:rsidRPr="00EB7B46" w:rsidRDefault="00221C59" w:rsidP="00221C59">
            <w:pPr>
              <w:jc w:val="both"/>
              <w:rPr>
                <w:b/>
                <w:bCs/>
                <w:szCs w:val="20"/>
              </w:rPr>
            </w:pPr>
            <w:r w:rsidRPr="00EB7B46">
              <w:rPr>
                <w:b/>
                <w:bCs/>
                <w:szCs w:val="20"/>
              </w:rPr>
              <w:t>Computation Method:</w:t>
            </w:r>
          </w:p>
          <w:p w14:paraId="7B49986F" w14:textId="77777777" w:rsidR="00221C59" w:rsidRPr="000C4849" w:rsidRDefault="00221C59" w:rsidP="00221C59">
            <w:pPr>
              <w:jc w:val="both"/>
              <w:rPr>
                <w:bCs/>
                <w:szCs w:val="20"/>
              </w:rPr>
            </w:pPr>
            <w:r w:rsidRPr="000C4849">
              <w:rPr>
                <w:bCs/>
                <w:szCs w:val="20"/>
              </w:rPr>
              <w:t>The number of children and/or young people at the relevant stage of education n in year t achieving at least the pre-defined proficiency level in subject s expressed as a percentage of the number of children and/or young people at stage of education n, in year t, in any proficiency level in subject s.</w:t>
            </w:r>
          </w:p>
          <w:p w14:paraId="5169D774" w14:textId="77777777" w:rsidR="00221C59" w:rsidRPr="000C4849" w:rsidRDefault="00221C59" w:rsidP="00221C59">
            <w:pPr>
              <w:jc w:val="both"/>
              <w:rPr>
                <w:bCs/>
                <w:szCs w:val="20"/>
              </w:rPr>
            </w:pPr>
          </w:p>
          <w:p w14:paraId="647B6F8E" w14:textId="77777777" w:rsidR="00221C59" w:rsidRPr="000C4849" w:rsidRDefault="00221C59" w:rsidP="00221C59">
            <w:pPr>
              <w:jc w:val="both"/>
              <w:rPr>
                <w:bCs/>
                <w:szCs w:val="20"/>
              </w:rPr>
            </w:pPr>
            <w:r w:rsidRPr="000C4849">
              <w:rPr>
                <w:bCs/>
                <w:szCs w:val="20"/>
              </w:rPr>
              <w:t>MPLt,n,s,  = MPt,n,s / Pt,n</w:t>
            </w:r>
          </w:p>
          <w:p w14:paraId="6E73826F" w14:textId="77777777" w:rsidR="00221C59" w:rsidRPr="000C4849" w:rsidRDefault="00221C59" w:rsidP="00221C59">
            <w:pPr>
              <w:jc w:val="both"/>
              <w:rPr>
                <w:bCs/>
                <w:szCs w:val="20"/>
              </w:rPr>
            </w:pPr>
            <w:r w:rsidRPr="000C4849">
              <w:rPr>
                <w:bCs/>
                <w:szCs w:val="20"/>
              </w:rPr>
              <w:t xml:space="preserve">where: </w:t>
            </w:r>
          </w:p>
          <w:p w14:paraId="605FD315" w14:textId="77777777" w:rsidR="00221C59" w:rsidRPr="000C4849" w:rsidRDefault="00221C59" w:rsidP="00221C59">
            <w:pPr>
              <w:jc w:val="both"/>
              <w:rPr>
                <w:bCs/>
                <w:szCs w:val="20"/>
              </w:rPr>
            </w:pPr>
            <w:r w:rsidRPr="000C4849">
              <w:rPr>
                <w:bCs/>
                <w:szCs w:val="20"/>
              </w:rPr>
              <w:t xml:space="preserve">MPt,n,s    = the number of children and young people at stage of education n, in year t, who have achieved at least the minimum proficiency level in subject s. </w:t>
            </w:r>
          </w:p>
          <w:p w14:paraId="5731C915" w14:textId="77777777" w:rsidR="00221C59" w:rsidRPr="000C4849" w:rsidRDefault="00221C59" w:rsidP="00221C59">
            <w:pPr>
              <w:jc w:val="both"/>
              <w:rPr>
                <w:bCs/>
                <w:szCs w:val="20"/>
              </w:rPr>
            </w:pPr>
            <w:r w:rsidRPr="000C4849">
              <w:rPr>
                <w:bCs/>
                <w:szCs w:val="20"/>
              </w:rPr>
              <w:t>Pt</w:t>
            </w:r>
            <w:proofErr w:type="gramStart"/>
            <w:r w:rsidRPr="000C4849">
              <w:rPr>
                <w:bCs/>
                <w:szCs w:val="20"/>
              </w:rPr>
              <w:t>,n</w:t>
            </w:r>
            <w:proofErr w:type="gramEnd"/>
            <w:r w:rsidRPr="000C4849">
              <w:rPr>
                <w:bCs/>
                <w:szCs w:val="20"/>
              </w:rPr>
              <w:tab/>
              <w:t>= the number of children and young people at stage of education n, in year t, in any proficiency level in subject s.</w:t>
            </w:r>
          </w:p>
          <w:p w14:paraId="2BFC1F85" w14:textId="77777777" w:rsidR="00221C59" w:rsidRPr="000C4849" w:rsidRDefault="00221C59" w:rsidP="00221C59">
            <w:pPr>
              <w:jc w:val="both"/>
              <w:rPr>
                <w:bCs/>
                <w:szCs w:val="20"/>
              </w:rPr>
            </w:pPr>
            <w:r w:rsidRPr="000C4849">
              <w:rPr>
                <w:bCs/>
                <w:szCs w:val="20"/>
              </w:rPr>
              <w:t>n</w:t>
            </w:r>
            <w:r w:rsidRPr="000C4849">
              <w:rPr>
                <w:bCs/>
                <w:szCs w:val="20"/>
              </w:rPr>
              <w:tab/>
              <w:t>= the stage of education that was assessed</w:t>
            </w:r>
          </w:p>
          <w:p w14:paraId="0251F295" w14:textId="77777777" w:rsidR="00221C59" w:rsidRPr="000C4849" w:rsidRDefault="00221C59" w:rsidP="00221C59">
            <w:pPr>
              <w:jc w:val="both"/>
              <w:rPr>
                <w:bCs/>
                <w:szCs w:val="20"/>
              </w:rPr>
            </w:pPr>
            <w:r w:rsidRPr="000C4849">
              <w:rPr>
                <w:bCs/>
                <w:szCs w:val="20"/>
              </w:rPr>
              <w:t>s</w:t>
            </w:r>
            <w:r w:rsidRPr="000C4849">
              <w:rPr>
                <w:bCs/>
                <w:szCs w:val="20"/>
              </w:rPr>
              <w:tab/>
              <w:t>= the subject that was assessed (reading or mathematics).</w:t>
            </w:r>
          </w:p>
          <w:p w14:paraId="1CD3F9A0" w14:textId="77777777" w:rsidR="00221C59" w:rsidRPr="000C4849" w:rsidRDefault="00221C59" w:rsidP="00221C59">
            <w:pPr>
              <w:jc w:val="both"/>
              <w:rPr>
                <w:bCs/>
                <w:szCs w:val="20"/>
              </w:rPr>
            </w:pPr>
            <w:r w:rsidRPr="000C4849">
              <w:rPr>
                <w:bCs/>
                <w:szCs w:val="20"/>
              </w:rPr>
              <w:t>Disaggregation:</w:t>
            </w:r>
          </w:p>
          <w:p w14:paraId="0B1C2B26" w14:textId="77777777" w:rsidR="00221C59" w:rsidRPr="000C4849" w:rsidRDefault="00221C59" w:rsidP="00221C59">
            <w:pPr>
              <w:jc w:val="both"/>
              <w:rPr>
                <w:bCs/>
                <w:szCs w:val="20"/>
              </w:rPr>
            </w:pPr>
            <w:r w:rsidRPr="000C4849">
              <w:rPr>
                <w:bCs/>
                <w:szCs w:val="20"/>
              </w:rPr>
              <w:t>Indicator 4.1.1.a must be disaggregated by domain (reading and mathematics) and sex.</w:t>
            </w:r>
          </w:p>
          <w:p w14:paraId="52B007E0" w14:textId="77777777" w:rsidR="00221C59" w:rsidRDefault="00221C59" w:rsidP="00221C59">
            <w:pPr>
              <w:jc w:val="both"/>
              <w:rPr>
                <w:b/>
                <w:bCs/>
                <w:szCs w:val="20"/>
              </w:rPr>
            </w:pPr>
          </w:p>
          <w:p w14:paraId="462B099F" w14:textId="77777777" w:rsidR="00221C59" w:rsidRDefault="00221C59" w:rsidP="00221C59">
            <w:pPr>
              <w:jc w:val="both"/>
              <w:rPr>
                <w:b/>
                <w:bCs/>
                <w:szCs w:val="20"/>
              </w:rPr>
            </w:pPr>
            <w:r>
              <w:rPr>
                <w:b/>
                <w:bCs/>
                <w:szCs w:val="20"/>
              </w:rPr>
              <w:t>For 4.1.1bc</w:t>
            </w:r>
          </w:p>
          <w:p w14:paraId="7C9C9ABC" w14:textId="59AE7F00" w:rsidR="00221C59" w:rsidRDefault="00221C59" w:rsidP="00221C59">
            <w:pPr>
              <w:jc w:val="both"/>
              <w:rPr>
                <w:b/>
                <w:bCs/>
                <w:szCs w:val="20"/>
              </w:rPr>
            </w:pPr>
            <w:r w:rsidRPr="00FA1A92">
              <w:rPr>
                <w:b/>
                <w:bCs/>
                <w:szCs w:val="20"/>
              </w:rPr>
              <w:t>Definition:</w:t>
            </w:r>
          </w:p>
          <w:p w14:paraId="1EE92731" w14:textId="77777777" w:rsidR="00221C59" w:rsidRDefault="00221C59" w:rsidP="00221C59">
            <w:pPr>
              <w:jc w:val="both"/>
              <w:rPr>
                <w:szCs w:val="20"/>
              </w:rPr>
            </w:pPr>
            <w:r w:rsidRPr="00FA1A92">
              <w:rPr>
                <w:szCs w:val="20"/>
              </w:rPr>
              <w:t>Percentage of children and young people in Grade 2 or 3 of primary education, at the end of primary</w:t>
            </w:r>
            <w:r>
              <w:rPr>
                <w:szCs w:val="20"/>
              </w:rPr>
              <w:t xml:space="preserve"> </w:t>
            </w:r>
            <w:r w:rsidRPr="00FA1A92">
              <w:rPr>
                <w:szCs w:val="20"/>
              </w:rPr>
              <w:t>education and the end of lower secondary education achieving at least a minimum proficiency level in (a)</w:t>
            </w:r>
            <w:r>
              <w:rPr>
                <w:szCs w:val="20"/>
              </w:rPr>
              <w:t xml:space="preserve"> </w:t>
            </w:r>
            <w:r w:rsidRPr="00FA1A92">
              <w:rPr>
                <w:szCs w:val="20"/>
              </w:rPr>
              <w:t>reading and (b) mathematics. The minimum proficiency level will be measured relative to new common</w:t>
            </w:r>
            <w:r>
              <w:rPr>
                <w:szCs w:val="20"/>
              </w:rPr>
              <w:t xml:space="preserve"> </w:t>
            </w:r>
            <w:r w:rsidRPr="00FA1A92">
              <w:rPr>
                <w:szCs w:val="20"/>
              </w:rPr>
              <w:t>reading and mathematics scales currently in development.</w:t>
            </w:r>
          </w:p>
          <w:p w14:paraId="7191573E" w14:textId="77777777" w:rsidR="00221C59" w:rsidRDefault="00221C59" w:rsidP="00221C59">
            <w:pPr>
              <w:jc w:val="both"/>
              <w:rPr>
                <w:szCs w:val="20"/>
              </w:rPr>
            </w:pPr>
          </w:p>
          <w:p w14:paraId="6FCCDA8F" w14:textId="77777777" w:rsidR="00221C59" w:rsidRPr="00FA1A92" w:rsidRDefault="00221C59" w:rsidP="00221C59">
            <w:pPr>
              <w:jc w:val="both"/>
              <w:rPr>
                <w:b/>
                <w:bCs/>
                <w:szCs w:val="20"/>
              </w:rPr>
            </w:pPr>
            <w:r w:rsidRPr="00FA1A92">
              <w:rPr>
                <w:b/>
                <w:bCs/>
                <w:szCs w:val="20"/>
              </w:rPr>
              <w:t>Concepts:</w:t>
            </w:r>
          </w:p>
          <w:p w14:paraId="20E995AA" w14:textId="77777777" w:rsidR="00221C59" w:rsidRDefault="00221C59" w:rsidP="00221C59">
            <w:pPr>
              <w:jc w:val="both"/>
              <w:rPr>
                <w:szCs w:val="20"/>
              </w:rPr>
            </w:pPr>
            <w:r w:rsidRPr="00FA1A92">
              <w:rPr>
                <w:szCs w:val="20"/>
              </w:rPr>
              <w:t>Minimum proficiency level is the benchmark of basic knowledge in a domain (mathematics or reading)</w:t>
            </w:r>
            <w:r>
              <w:rPr>
                <w:szCs w:val="20"/>
              </w:rPr>
              <w:t xml:space="preserve"> </w:t>
            </w:r>
            <w:r w:rsidRPr="00FA1A92">
              <w:rPr>
                <w:szCs w:val="20"/>
              </w:rPr>
              <w:t>measured through learning assessments. For example, the Programme for International Student</w:t>
            </w:r>
            <w:r>
              <w:rPr>
                <w:szCs w:val="20"/>
              </w:rPr>
              <w:t xml:space="preserve"> </w:t>
            </w:r>
            <w:r w:rsidRPr="00FA1A92">
              <w:rPr>
                <w:szCs w:val="20"/>
              </w:rPr>
              <w:t>Assessment (PISA) reading test has six proficiency levels, of which Level 2 is described as the minimum</w:t>
            </w:r>
            <w:r>
              <w:rPr>
                <w:szCs w:val="20"/>
              </w:rPr>
              <w:t xml:space="preserve"> </w:t>
            </w:r>
            <w:r w:rsidRPr="00FA1A92">
              <w:rPr>
                <w:szCs w:val="20"/>
              </w:rPr>
              <w:t>proficiency level. In Trends in International Mathematics and Science Study (TIMSS) and Progress in</w:t>
            </w:r>
            <w:r>
              <w:rPr>
                <w:szCs w:val="20"/>
              </w:rPr>
              <w:t xml:space="preserve"> </w:t>
            </w:r>
            <w:r w:rsidRPr="00FA1A92">
              <w:rPr>
                <w:szCs w:val="20"/>
              </w:rPr>
              <w:t>International Reading Literacy Study (PIRLS), there are four proficiency levels: Low, Intermediate, High</w:t>
            </w:r>
            <w:r>
              <w:rPr>
                <w:szCs w:val="20"/>
              </w:rPr>
              <w:t xml:space="preserve"> </w:t>
            </w:r>
            <w:r w:rsidRPr="00FA1A92">
              <w:rPr>
                <w:szCs w:val="20"/>
              </w:rPr>
              <w:t xml:space="preserve">and Advanced. Students reaching the Intermediate benchmark </w:t>
            </w:r>
            <w:r w:rsidRPr="00FA1A92">
              <w:rPr>
                <w:szCs w:val="20"/>
              </w:rPr>
              <w:lastRenderedPageBreak/>
              <w:t>are able to apply basic knowledge in a</w:t>
            </w:r>
            <w:r>
              <w:rPr>
                <w:szCs w:val="20"/>
              </w:rPr>
              <w:t xml:space="preserve"> </w:t>
            </w:r>
            <w:r w:rsidRPr="00FA1A92">
              <w:rPr>
                <w:szCs w:val="20"/>
              </w:rPr>
              <w:t>variety of situations, similar to the idea of minimum proficiency. Currently, there are no common</w:t>
            </w:r>
            <w:r>
              <w:rPr>
                <w:szCs w:val="20"/>
              </w:rPr>
              <w:t xml:space="preserve"> </w:t>
            </w:r>
            <w:r w:rsidRPr="00FA1A92">
              <w:rPr>
                <w:szCs w:val="20"/>
              </w:rPr>
              <w:t>standards validated by the international community or countries. The indicator shows data published by</w:t>
            </w:r>
            <w:r>
              <w:rPr>
                <w:szCs w:val="20"/>
              </w:rPr>
              <w:t xml:space="preserve"> </w:t>
            </w:r>
            <w:r w:rsidRPr="00FA1A92">
              <w:rPr>
                <w:szCs w:val="20"/>
              </w:rPr>
              <w:t>each of the agencies and organizations specialised in cross-national learning assessments.</w:t>
            </w:r>
          </w:p>
          <w:p w14:paraId="3C1F5C05" w14:textId="77777777" w:rsidR="00221C59" w:rsidRDefault="00221C59" w:rsidP="00221C59">
            <w:pPr>
              <w:jc w:val="both"/>
              <w:rPr>
                <w:szCs w:val="20"/>
              </w:rPr>
            </w:pPr>
          </w:p>
          <w:p w14:paraId="1A1A0DAD" w14:textId="77777777" w:rsidR="00221C59" w:rsidRDefault="00221C59" w:rsidP="00221C59">
            <w:pPr>
              <w:jc w:val="both"/>
              <w:rPr>
                <w:b/>
                <w:bCs/>
                <w:szCs w:val="20"/>
              </w:rPr>
            </w:pPr>
            <w:r w:rsidRPr="00FA1A92">
              <w:rPr>
                <w:b/>
                <w:bCs/>
                <w:szCs w:val="20"/>
              </w:rPr>
              <w:t>Computation Method:</w:t>
            </w:r>
          </w:p>
          <w:p w14:paraId="748B61DD" w14:textId="77777777" w:rsidR="00221C59" w:rsidRPr="00FA1A92" w:rsidRDefault="00221C59" w:rsidP="00221C59">
            <w:pPr>
              <w:jc w:val="both"/>
              <w:rPr>
                <w:b/>
                <w:bCs/>
                <w:szCs w:val="20"/>
              </w:rPr>
            </w:pPr>
          </w:p>
          <w:p w14:paraId="22364815" w14:textId="77777777" w:rsidR="00221C59" w:rsidRPr="00FA1A92" w:rsidRDefault="00221C59" w:rsidP="00221C59">
            <w:pPr>
              <w:jc w:val="both"/>
              <w:rPr>
                <w:szCs w:val="20"/>
              </w:rPr>
            </w:pPr>
            <w:r w:rsidRPr="00FA1A92">
              <w:rPr>
                <w:szCs w:val="20"/>
              </w:rPr>
              <w:t>The indicator is calculated as the percentage of children and/or young people at the relevant stage of</w:t>
            </w:r>
            <w:r>
              <w:rPr>
                <w:szCs w:val="20"/>
              </w:rPr>
              <w:t xml:space="preserve"> </w:t>
            </w:r>
            <w:r w:rsidRPr="00FA1A92">
              <w:rPr>
                <w:szCs w:val="20"/>
              </w:rPr>
              <w:t>education achieving or exceeding a pre-defined proficiency level in a given subject.</w:t>
            </w:r>
          </w:p>
          <w:p w14:paraId="17781D95" w14:textId="77777777" w:rsidR="00221C59" w:rsidRDefault="00221C59" w:rsidP="00221C59">
            <w:pPr>
              <w:jc w:val="both"/>
              <w:rPr>
                <w:szCs w:val="20"/>
              </w:rPr>
            </w:pPr>
          </w:p>
          <w:p w14:paraId="76138955" w14:textId="77777777" w:rsidR="00221C59" w:rsidRDefault="00221C59" w:rsidP="00221C59">
            <w:pPr>
              <w:jc w:val="both"/>
              <w:rPr>
                <w:szCs w:val="20"/>
              </w:rPr>
            </w:pPr>
            <w:r w:rsidRPr="00FA1A92">
              <w:rPr>
                <w:szCs w:val="20"/>
              </w:rPr>
              <w:t>Performance above the minimum level, PL</w:t>
            </w:r>
            <w:r w:rsidRPr="00076A71">
              <w:rPr>
                <w:szCs w:val="20"/>
              </w:rPr>
              <w:t>tn</w:t>
            </w:r>
            <w:r w:rsidRPr="00FA1A92">
              <w:rPr>
                <w:szCs w:val="20"/>
              </w:rPr>
              <w:t>,s,</w:t>
            </w:r>
            <w:r>
              <w:rPr>
                <w:szCs w:val="20"/>
              </w:rPr>
              <w:t xml:space="preserve"> </w:t>
            </w:r>
            <w:r w:rsidRPr="00FA1A92">
              <w:rPr>
                <w:szCs w:val="20"/>
              </w:rPr>
              <w:t>above minimum = p</w:t>
            </w:r>
          </w:p>
          <w:p w14:paraId="66888886" w14:textId="77777777" w:rsidR="00221C59" w:rsidRPr="00FA1A92" w:rsidRDefault="00221C59" w:rsidP="00221C59">
            <w:pPr>
              <w:jc w:val="both"/>
              <w:rPr>
                <w:szCs w:val="20"/>
              </w:rPr>
            </w:pPr>
          </w:p>
          <w:p w14:paraId="1EEA6642" w14:textId="77777777" w:rsidR="00221C59" w:rsidRPr="00262FC1" w:rsidRDefault="00221C59" w:rsidP="00221C59">
            <w:pPr>
              <w:jc w:val="both"/>
              <w:rPr>
                <w:szCs w:val="20"/>
              </w:rPr>
            </w:pPr>
            <w:proofErr w:type="gramStart"/>
            <w:r w:rsidRPr="00FA1A92">
              <w:rPr>
                <w:szCs w:val="20"/>
              </w:rPr>
              <w:t>where</w:t>
            </w:r>
            <w:proofErr w:type="gramEnd"/>
            <w:r w:rsidRPr="00FA1A92">
              <w:rPr>
                <w:szCs w:val="20"/>
              </w:rPr>
              <w:t xml:space="preserve"> p is the percentage of students in a learning assessment at stage of education n, in subject s in any</w:t>
            </w:r>
            <w:r>
              <w:rPr>
                <w:szCs w:val="20"/>
              </w:rPr>
              <w:t xml:space="preserve"> </w:t>
            </w:r>
            <w:r w:rsidRPr="00FA1A92">
              <w:rPr>
                <w:szCs w:val="20"/>
              </w:rPr>
              <w:t xml:space="preserve">year (t-i) where 0 ? </w:t>
            </w:r>
            <w:proofErr w:type="gramStart"/>
            <w:r w:rsidRPr="00FA1A92">
              <w:rPr>
                <w:szCs w:val="20"/>
              </w:rPr>
              <w:t>i ?</w:t>
            </w:r>
            <w:proofErr w:type="gramEnd"/>
            <w:r w:rsidRPr="00FA1A92">
              <w:rPr>
                <w:szCs w:val="20"/>
              </w:rPr>
              <w:t xml:space="preserve"> 5, who has achieved the level of proficiency that is greater than a pre-defined</w:t>
            </w:r>
            <w:r>
              <w:rPr>
                <w:szCs w:val="20"/>
              </w:rPr>
              <w:t xml:space="preserve"> </w:t>
            </w:r>
            <w:r w:rsidRPr="00FA1A92">
              <w:rPr>
                <w:szCs w:val="20"/>
              </w:rPr>
              <w:t>minimum standard, Smin. The minimum standard is defined by the global education community taking</w:t>
            </w:r>
            <w:r>
              <w:rPr>
                <w:szCs w:val="20"/>
              </w:rPr>
              <w:t xml:space="preserve"> </w:t>
            </w:r>
            <w:r w:rsidRPr="00FA1A92">
              <w:rPr>
                <w:szCs w:val="20"/>
              </w:rPr>
              <w:t>into consideration regional differences.</w:t>
            </w:r>
          </w:p>
        </w:tc>
        <w:tc>
          <w:tcPr>
            <w:tcW w:w="0" w:type="auto"/>
            <w:shd w:val="clear" w:color="auto" w:fill="auto"/>
          </w:tcPr>
          <w:p w14:paraId="2161A2D5" w14:textId="77777777" w:rsidR="00221C59" w:rsidRPr="00701B09" w:rsidRDefault="00221C59" w:rsidP="00221C59">
            <w:pPr>
              <w:jc w:val="center"/>
              <w:rPr>
                <w:bCs/>
                <w:szCs w:val="20"/>
              </w:rPr>
            </w:pPr>
            <w:r w:rsidRPr="00FA1A92">
              <w:rPr>
                <w:bCs/>
                <w:szCs w:val="20"/>
              </w:rPr>
              <w:lastRenderedPageBreak/>
              <w:t>Cross-national learning assessments</w:t>
            </w:r>
          </w:p>
        </w:tc>
        <w:tc>
          <w:tcPr>
            <w:tcW w:w="0" w:type="auto"/>
            <w:shd w:val="clear" w:color="auto" w:fill="auto"/>
          </w:tcPr>
          <w:p w14:paraId="39B08957" w14:textId="77777777" w:rsidR="00221C59" w:rsidRPr="00FA1A92" w:rsidRDefault="00221C59" w:rsidP="00221C59">
            <w:pPr>
              <w:jc w:val="center"/>
              <w:rPr>
                <w:bCs/>
                <w:szCs w:val="20"/>
              </w:rPr>
            </w:pPr>
            <w:r w:rsidRPr="00FA1A92">
              <w:rPr>
                <w:bCs/>
                <w:szCs w:val="20"/>
              </w:rPr>
              <w:t>Ministr</w:t>
            </w:r>
            <w:r>
              <w:rPr>
                <w:bCs/>
                <w:szCs w:val="20"/>
              </w:rPr>
              <w:t>y</w:t>
            </w:r>
            <w:r w:rsidRPr="00FA1A92">
              <w:rPr>
                <w:bCs/>
                <w:szCs w:val="20"/>
              </w:rPr>
              <w:t xml:space="preserve"> of Education, National</w:t>
            </w:r>
          </w:p>
          <w:p w14:paraId="44919EC7" w14:textId="77777777" w:rsidR="00221C59" w:rsidRPr="00701B09" w:rsidRDefault="00221C59" w:rsidP="00221C59">
            <w:pPr>
              <w:jc w:val="center"/>
              <w:rPr>
                <w:bCs/>
                <w:szCs w:val="20"/>
              </w:rPr>
            </w:pPr>
            <w:r w:rsidRPr="00FA1A92">
              <w:rPr>
                <w:bCs/>
                <w:szCs w:val="20"/>
              </w:rPr>
              <w:t>Statistical Offices and other data providers</w:t>
            </w:r>
          </w:p>
        </w:tc>
        <w:tc>
          <w:tcPr>
            <w:tcW w:w="0" w:type="auto"/>
            <w:shd w:val="clear" w:color="auto" w:fill="auto"/>
          </w:tcPr>
          <w:p w14:paraId="0B209C7D" w14:textId="4189C155" w:rsidR="00221C59" w:rsidRDefault="00221C59" w:rsidP="00221C59">
            <w:pPr>
              <w:rPr>
                <w:bCs/>
                <w:szCs w:val="20"/>
              </w:rPr>
            </w:pPr>
          </w:p>
          <w:p w14:paraId="7D202BAB" w14:textId="77777777" w:rsidR="00221C59" w:rsidRPr="00FA1A92" w:rsidRDefault="00221C59" w:rsidP="00221C59">
            <w:pPr>
              <w:rPr>
                <w:bCs/>
                <w:szCs w:val="20"/>
              </w:rPr>
            </w:pPr>
            <w:r w:rsidRPr="00BC6F10">
              <w:rPr>
                <w:rFonts w:eastAsia="Times New Roman" w:cs="Times New Roman"/>
                <w:color w:val="000000" w:themeColor="text1"/>
                <w:szCs w:val="20"/>
              </w:rPr>
              <w:t>LASI</w:t>
            </w:r>
            <w:r>
              <w:rPr>
                <w:rFonts w:eastAsia="Times New Roman" w:cs="Times New Roman"/>
                <w:color w:val="000000" w:themeColor="text1"/>
                <w:szCs w:val="20"/>
              </w:rPr>
              <w:t>, DSHE</w:t>
            </w:r>
          </w:p>
        </w:tc>
        <w:tc>
          <w:tcPr>
            <w:tcW w:w="0" w:type="auto"/>
            <w:shd w:val="clear" w:color="auto" w:fill="auto"/>
          </w:tcPr>
          <w:p w14:paraId="0CB40733" w14:textId="75A71F1C" w:rsidR="00221C59" w:rsidRDefault="00221C59" w:rsidP="00221C59">
            <w:pPr>
              <w:ind w:left="-10" w:firstLine="10"/>
              <w:rPr>
                <w:bCs/>
                <w:szCs w:val="20"/>
              </w:rPr>
            </w:pPr>
          </w:p>
          <w:p w14:paraId="7184DD75" w14:textId="77777777" w:rsidR="00221C59" w:rsidRDefault="00221C59" w:rsidP="00221C59">
            <w:pPr>
              <w:spacing w:line="276" w:lineRule="auto"/>
              <w:jc w:val="center"/>
              <w:rPr>
                <w:rFonts w:eastAsia="Times New Roman" w:cs="Times New Roman"/>
                <w:color w:val="000000" w:themeColor="text1"/>
                <w:szCs w:val="20"/>
              </w:rPr>
            </w:pPr>
            <w:r>
              <w:t xml:space="preserve">a) </w:t>
            </w:r>
            <w:r w:rsidRPr="00BC6F10">
              <w:t>BBS</w:t>
            </w:r>
            <w:r>
              <w:t>-</w:t>
            </w:r>
            <w:r>
              <w:rPr>
                <w:rFonts w:eastAsia="Times New Roman" w:cs="Times New Roman"/>
                <w:color w:val="000000" w:themeColor="text1"/>
                <w:szCs w:val="20"/>
              </w:rPr>
              <w:t>(</w:t>
            </w:r>
            <w:r w:rsidRPr="00BC6F10">
              <w:rPr>
                <w:rFonts w:eastAsia="Times New Roman" w:cs="Times New Roman"/>
                <w:color w:val="000000" w:themeColor="text1"/>
                <w:szCs w:val="20"/>
              </w:rPr>
              <w:t>LAS</w:t>
            </w:r>
            <w:r w:rsidRPr="00F1671D">
              <w:rPr>
                <w:rFonts w:eastAsia="Times New Roman" w:cs="Times New Roman"/>
                <w:color w:val="000000" w:themeColor="text1"/>
                <w:szCs w:val="20"/>
              </w:rPr>
              <w:t>/MICS</w:t>
            </w:r>
            <w:r>
              <w:rPr>
                <w:rFonts w:eastAsia="Times New Roman" w:cs="Times New Roman"/>
                <w:color w:val="000000" w:themeColor="text1"/>
                <w:szCs w:val="20"/>
              </w:rPr>
              <w:t>) SID</w:t>
            </w:r>
          </w:p>
          <w:p w14:paraId="1130B89C" w14:textId="77777777" w:rsidR="00221C59" w:rsidRDefault="00221C59" w:rsidP="00221C59">
            <w:pPr>
              <w:spacing w:line="276" w:lineRule="auto"/>
              <w:jc w:val="center"/>
            </w:pPr>
          </w:p>
          <w:p w14:paraId="1526E9C1" w14:textId="77777777" w:rsidR="00221C59" w:rsidRPr="00F1671D" w:rsidRDefault="00221C59" w:rsidP="00221C59">
            <w:pPr>
              <w:spacing w:line="276" w:lineRule="auto"/>
              <w:jc w:val="center"/>
            </w:pPr>
            <w:r>
              <w:t>b) DPE-</w:t>
            </w:r>
            <w:r w:rsidRPr="00F1671D">
              <w:t xml:space="preserve">(NSA), MoPME </w:t>
            </w:r>
          </w:p>
          <w:p w14:paraId="10E2439E" w14:textId="77777777" w:rsidR="00221C59" w:rsidRDefault="00221C59" w:rsidP="00221C59">
            <w:pPr>
              <w:spacing w:line="276" w:lineRule="auto"/>
              <w:jc w:val="center"/>
            </w:pPr>
          </w:p>
          <w:p w14:paraId="5348C835" w14:textId="77777777" w:rsidR="00221C59" w:rsidRPr="0053399B" w:rsidRDefault="00221C59" w:rsidP="00221C59">
            <w:pPr>
              <w:ind w:left="-10" w:firstLine="10"/>
              <w:rPr>
                <w:bCs/>
                <w:szCs w:val="20"/>
              </w:rPr>
            </w:pPr>
            <w:r w:rsidRPr="00F1671D">
              <w:t>c) DSHE</w:t>
            </w:r>
            <w:r>
              <w:t>-</w:t>
            </w:r>
            <w:r w:rsidRPr="00F1671D">
              <w:t>(LASI/NASS), MoE</w:t>
            </w:r>
          </w:p>
        </w:tc>
        <w:tc>
          <w:tcPr>
            <w:tcW w:w="0" w:type="auto"/>
            <w:shd w:val="clear" w:color="auto" w:fill="auto"/>
          </w:tcPr>
          <w:p w14:paraId="2A3581DB" w14:textId="549F1A7C" w:rsidR="00221C59" w:rsidRPr="00FA1A92" w:rsidRDefault="00221C59" w:rsidP="00221C59">
            <w:pPr>
              <w:pStyle w:val="ListParagraph"/>
              <w:numPr>
                <w:ilvl w:val="0"/>
                <w:numId w:val="2"/>
              </w:numPr>
              <w:spacing w:after="0" w:line="240" w:lineRule="auto"/>
              <w:jc w:val="both"/>
              <w:rPr>
                <w:rFonts w:ascii="Tw Cen MT Condensed" w:hAnsi="Tw Cen MT Condensed"/>
                <w:bCs/>
                <w:sz w:val="20"/>
                <w:szCs w:val="20"/>
              </w:rPr>
            </w:pPr>
            <w:r w:rsidRPr="00FA1A92">
              <w:rPr>
                <w:rFonts w:ascii="Tw Cen MT Condensed" w:hAnsi="Tw Cen MT Condensed"/>
                <w:bCs/>
                <w:sz w:val="20"/>
                <w:szCs w:val="20"/>
              </w:rPr>
              <w:t>Age or age-group</w:t>
            </w:r>
            <w:r w:rsidR="00B27E61">
              <w:rPr>
                <w:rFonts w:ascii="Tw Cen MT Condensed" w:hAnsi="Tw Cen MT Condensed"/>
                <w:bCs/>
                <w:sz w:val="20"/>
                <w:szCs w:val="20"/>
              </w:rPr>
              <w:t>: 6-10 yrs, 10-15 yrs, 15-19 yrs, 20-24 yrs, 25-30 yrs</w:t>
            </w:r>
          </w:p>
          <w:p w14:paraId="61C377E9" w14:textId="730773D0" w:rsidR="00221C59" w:rsidRPr="00FA1A92" w:rsidRDefault="00221C59" w:rsidP="00221C59">
            <w:pPr>
              <w:pStyle w:val="ListParagraph"/>
              <w:numPr>
                <w:ilvl w:val="0"/>
                <w:numId w:val="2"/>
              </w:numPr>
              <w:spacing w:after="0" w:line="240" w:lineRule="auto"/>
              <w:jc w:val="both"/>
              <w:rPr>
                <w:rFonts w:ascii="Tw Cen MT Condensed" w:hAnsi="Tw Cen MT Condensed"/>
                <w:bCs/>
                <w:sz w:val="20"/>
                <w:szCs w:val="20"/>
              </w:rPr>
            </w:pPr>
            <w:r w:rsidRPr="00FA1A92">
              <w:rPr>
                <w:rFonts w:ascii="Tw Cen MT Condensed" w:hAnsi="Tw Cen MT Condensed"/>
                <w:bCs/>
                <w:sz w:val="20"/>
                <w:szCs w:val="20"/>
              </w:rPr>
              <w:t>Sex</w:t>
            </w:r>
            <w:r w:rsidR="004B586B" w:rsidRPr="007B6C3A">
              <w:rPr>
                <w:rFonts w:ascii="Tw Cen MT Condensed" w:hAnsi="Tw Cen MT Condensed"/>
              </w:rPr>
              <w:t xml:space="preserve"> </w:t>
            </w:r>
            <w:r w:rsidR="004B586B">
              <w:rPr>
                <w:rFonts w:ascii="Tw Cen MT Condensed" w:hAnsi="Tw Cen MT Condensed"/>
              </w:rPr>
              <w:t>:</w:t>
            </w:r>
            <w:r w:rsidR="004B586B" w:rsidRPr="007B6C3A">
              <w:rPr>
                <w:rFonts w:ascii="Tw Cen MT Condensed" w:hAnsi="Tw Cen MT Condensed"/>
              </w:rPr>
              <w:t>Female, Male, Both</w:t>
            </w:r>
          </w:p>
          <w:p w14:paraId="22DC1F2E" w14:textId="76C7FC15" w:rsidR="00221C59" w:rsidRPr="00FA1A92" w:rsidRDefault="00221C59" w:rsidP="00221C59">
            <w:pPr>
              <w:pStyle w:val="ListParagraph"/>
              <w:numPr>
                <w:ilvl w:val="0"/>
                <w:numId w:val="2"/>
              </w:numPr>
              <w:spacing w:after="0" w:line="240" w:lineRule="auto"/>
              <w:jc w:val="both"/>
              <w:rPr>
                <w:rFonts w:ascii="Tw Cen MT Condensed" w:hAnsi="Tw Cen MT Condensed"/>
                <w:bCs/>
                <w:sz w:val="20"/>
                <w:szCs w:val="20"/>
              </w:rPr>
            </w:pPr>
            <w:r w:rsidRPr="00FA1A92">
              <w:rPr>
                <w:rFonts w:ascii="Tw Cen MT Condensed" w:hAnsi="Tw Cen MT Condensed"/>
                <w:bCs/>
                <w:sz w:val="20"/>
                <w:szCs w:val="20"/>
              </w:rPr>
              <w:t>Location</w:t>
            </w:r>
            <w:r w:rsidR="00B27E61">
              <w:rPr>
                <w:rFonts w:ascii="Tw Cen MT Condensed" w:hAnsi="Tw Cen MT Condensed"/>
                <w:bCs/>
                <w:sz w:val="20"/>
                <w:szCs w:val="20"/>
              </w:rPr>
              <w:t>: Urban/Rural</w:t>
            </w:r>
          </w:p>
          <w:p w14:paraId="71A4F303" w14:textId="4228C3A9" w:rsidR="00221C59" w:rsidRPr="00FA1A92" w:rsidRDefault="00221C59" w:rsidP="00221C59">
            <w:pPr>
              <w:pStyle w:val="ListParagraph"/>
              <w:numPr>
                <w:ilvl w:val="0"/>
                <w:numId w:val="2"/>
              </w:numPr>
              <w:spacing w:after="0" w:line="240" w:lineRule="auto"/>
              <w:jc w:val="both"/>
              <w:rPr>
                <w:rFonts w:ascii="Tw Cen MT Condensed" w:hAnsi="Tw Cen MT Condensed"/>
                <w:bCs/>
                <w:sz w:val="20"/>
                <w:szCs w:val="20"/>
              </w:rPr>
            </w:pPr>
            <w:r w:rsidRPr="00FA1A92">
              <w:rPr>
                <w:rFonts w:ascii="Tw Cen MT Condensed" w:hAnsi="Tw Cen MT Condensed"/>
                <w:bCs/>
                <w:sz w:val="20"/>
                <w:szCs w:val="20"/>
              </w:rPr>
              <w:t>Socio-economic status</w:t>
            </w:r>
            <w:r w:rsidR="00B27E61">
              <w:rPr>
                <w:rFonts w:ascii="Tw Cen MT Condensed" w:hAnsi="Tw Cen MT Condensed"/>
                <w:bCs/>
                <w:sz w:val="20"/>
                <w:szCs w:val="20"/>
              </w:rPr>
              <w:t>: High/Medium/ Low</w:t>
            </w:r>
          </w:p>
          <w:p w14:paraId="600BA8FB" w14:textId="30E6FC98" w:rsidR="00221C59" w:rsidRPr="00FA1A92" w:rsidRDefault="00221C59" w:rsidP="00221C59">
            <w:pPr>
              <w:pStyle w:val="ListParagraph"/>
              <w:numPr>
                <w:ilvl w:val="0"/>
                <w:numId w:val="2"/>
              </w:numPr>
              <w:spacing w:after="0" w:line="240" w:lineRule="auto"/>
              <w:jc w:val="both"/>
              <w:rPr>
                <w:rFonts w:ascii="Tw Cen MT Condensed" w:hAnsi="Tw Cen MT Condensed"/>
                <w:bCs/>
                <w:sz w:val="20"/>
                <w:szCs w:val="20"/>
              </w:rPr>
            </w:pPr>
            <w:r w:rsidRPr="00FA1A92">
              <w:rPr>
                <w:rFonts w:ascii="Tw Cen MT Condensed" w:hAnsi="Tw Cen MT Condensed"/>
                <w:bCs/>
                <w:sz w:val="20"/>
                <w:szCs w:val="20"/>
              </w:rPr>
              <w:t>Migrant status</w:t>
            </w:r>
            <w:r w:rsidR="00B27E61">
              <w:rPr>
                <w:rFonts w:ascii="Tw Cen MT Condensed" w:hAnsi="Tw Cen MT Condensed"/>
                <w:bCs/>
                <w:sz w:val="20"/>
                <w:szCs w:val="20"/>
              </w:rPr>
              <w:t>: Migrants/Non migrants</w:t>
            </w:r>
          </w:p>
          <w:p w14:paraId="3A5E9ECB" w14:textId="0E604819" w:rsidR="00221C59" w:rsidRPr="00FA1A92" w:rsidRDefault="00221C59" w:rsidP="00221C59">
            <w:pPr>
              <w:pStyle w:val="ListParagraph"/>
              <w:numPr>
                <w:ilvl w:val="0"/>
                <w:numId w:val="2"/>
              </w:numPr>
              <w:spacing w:after="0" w:line="240" w:lineRule="auto"/>
              <w:jc w:val="both"/>
              <w:rPr>
                <w:rFonts w:ascii="Tw Cen MT Condensed" w:hAnsi="Tw Cen MT Condensed"/>
                <w:b/>
                <w:sz w:val="20"/>
                <w:szCs w:val="20"/>
              </w:rPr>
            </w:pPr>
            <w:r w:rsidRPr="00FA1A92">
              <w:rPr>
                <w:rFonts w:ascii="Tw Cen MT Condensed" w:hAnsi="Tw Cen MT Condensed"/>
                <w:bCs/>
                <w:sz w:val="20"/>
                <w:szCs w:val="20"/>
              </w:rPr>
              <w:t>Ethnicity</w:t>
            </w:r>
            <w:r w:rsidR="00B27E61">
              <w:rPr>
                <w:rFonts w:ascii="Tw Cen MT Condensed" w:hAnsi="Tw Cen MT Condensed"/>
                <w:bCs/>
                <w:sz w:val="20"/>
                <w:szCs w:val="20"/>
              </w:rPr>
              <w:t xml:space="preserve">: </w:t>
            </w:r>
            <w:r w:rsidR="00B27E61">
              <w:rPr>
                <w:rFonts w:ascii="Tw Cen MT Condensed" w:hAnsi="Tw Cen MT Condensed"/>
                <w:bCs/>
                <w:sz w:val="20"/>
                <w:szCs w:val="20"/>
              </w:rPr>
              <w:lastRenderedPageBreak/>
              <w:t>ethnic/non ethnic</w:t>
            </w:r>
          </w:p>
          <w:p w14:paraId="5AFEA404" w14:textId="1EBAA25A" w:rsidR="00221C59" w:rsidRPr="00FA1A92" w:rsidRDefault="00221C59" w:rsidP="00221C59">
            <w:pPr>
              <w:pStyle w:val="ListParagraph"/>
              <w:numPr>
                <w:ilvl w:val="0"/>
                <w:numId w:val="2"/>
              </w:numPr>
              <w:spacing w:after="0" w:line="240" w:lineRule="auto"/>
              <w:jc w:val="both"/>
              <w:rPr>
                <w:rFonts w:ascii="Tw Cen MT Condensed" w:hAnsi="Tw Cen MT Condensed"/>
                <w:b/>
                <w:sz w:val="20"/>
                <w:szCs w:val="20"/>
              </w:rPr>
            </w:pPr>
            <w:r w:rsidRPr="00FA1A92">
              <w:rPr>
                <w:rFonts w:ascii="Tw Cen MT Condensed" w:hAnsi="Tw Cen MT Condensed"/>
                <w:bCs/>
                <w:sz w:val="20"/>
                <w:szCs w:val="20"/>
              </w:rPr>
              <w:t>Disability status</w:t>
            </w:r>
            <w:r w:rsidR="00B27E61">
              <w:rPr>
                <w:rFonts w:ascii="Tw Cen MT Condensed" w:hAnsi="Tw Cen MT Condensed"/>
                <w:bCs/>
                <w:sz w:val="20"/>
                <w:szCs w:val="20"/>
              </w:rPr>
              <w:t>: Disable/Non Disable</w:t>
            </w:r>
          </w:p>
        </w:tc>
        <w:tc>
          <w:tcPr>
            <w:tcW w:w="0" w:type="auto"/>
            <w:shd w:val="clear" w:color="auto" w:fill="auto"/>
          </w:tcPr>
          <w:p w14:paraId="75E71839" w14:textId="77777777" w:rsidR="00221C59" w:rsidRPr="00701B09" w:rsidRDefault="00221C59" w:rsidP="00221C59">
            <w:pPr>
              <w:jc w:val="center"/>
              <w:rPr>
                <w:bCs/>
                <w:szCs w:val="20"/>
              </w:rPr>
            </w:pPr>
            <w:r>
              <w:rPr>
                <w:bCs/>
                <w:szCs w:val="20"/>
              </w:rPr>
              <w:lastRenderedPageBreak/>
              <w:t>Annual</w:t>
            </w:r>
          </w:p>
        </w:tc>
        <w:tc>
          <w:tcPr>
            <w:tcW w:w="0" w:type="auto"/>
            <w:shd w:val="clear" w:color="auto" w:fill="auto"/>
          </w:tcPr>
          <w:p w14:paraId="3D993CB1" w14:textId="77777777" w:rsidR="00221C59" w:rsidRPr="00C766D7" w:rsidRDefault="00221C59" w:rsidP="00221C59">
            <w:pPr>
              <w:jc w:val="center"/>
              <w:rPr>
                <w:bCs/>
                <w:szCs w:val="20"/>
              </w:rPr>
            </w:pPr>
            <w:r>
              <w:rPr>
                <w:bCs/>
                <w:szCs w:val="20"/>
              </w:rPr>
              <w:t>Group 2</w:t>
            </w:r>
          </w:p>
        </w:tc>
        <w:tc>
          <w:tcPr>
            <w:tcW w:w="0" w:type="auto"/>
            <w:shd w:val="clear" w:color="auto" w:fill="auto"/>
          </w:tcPr>
          <w:p w14:paraId="3ABA210D" w14:textId="77777777" w:rsidR="00221C59" w:rsidRDefault="00221C59" w:rsidP="00221C59">
            <w:pPr>
              <w:pStyle w:val="NoSpacing"/>
            </w:pPr>
            <w:r>
              <w:t>1</w:t>
            </w:r>
            <w:r w:rsidRPr="00013ACB">
              <w:rPr>
                <w:vertAlign w:val="superscript"/>
              </w:rPr>
              <w:t>st</w:t>
            </w:r>
            <w:r>
              <w:t xml:space="preserve"> Round: </w:t>
            </w:r>
          </w:p>
          <w:p w14:paraId="1192C5E5" w14:textId="77777777" w:rsidR="00221C59" w:rsidRDefault="00221C59" w:rsidP="00221C59">
            <w:pPr>
              <w:pStyle w:val="NoSpacing"/>
            </w:pPr>
            <w:r>
              <w:t>2015</w:t>
            </w:r>
          </w:p>
          <w:p w14:paraId="46BE9152" w14:textId="77777777" w:rsidR="00221C59" w:rsidRDefault="00221C59" w:rsidP="00221C59">
            <w:pPr>
              <w:pStyle w:val="NoSpacing"/>
            </w:pPr>
            <w:r>
              <w:t>2</w:t>
            </w:r>
            <w:r w:rsidRPr="00013ACB">
              <w:rPr>
                <w:vertAlign w:val="superscript"/>
              </w:rPr>
              <w:t>nd</w:t>
            </w:r>
            <w:r>
              <w:t xml:space="preserve"> Round: </w:t>
            </w:r>
          </w:p>
          <w:p w14:paraId="17D9DA4C" w14:textId="77777777" w:rsidR="00221C59" w:rsidRDefault="00221C59" w:rsidP="00221C59">
            <w:pPr>
              <w:pStyle w:val="NoSpacing"/>
            </w:pPr>
            <w:r>
              <w:t>January</w:t>
            </w:r>
            <w:r>
              <w:br/>
              <w:t>2019</w:t>
            </w:r>
          </w:p>
          <w:p w14:paraId="1B98517B" w14:textId="77777777" w:rsidR="00221C59" w:rsidRDefault="00221C59" w:rsidP="00221C59">
            <w:pPr>
              <w:pStyle w:val="NoSpacing"/>
            </w:pPr>
          </w:p>
          <w:p w14:paraId="3D7A942E" w14:textId="77777777" w:rsidR="00221C59" w:rsidRDefault="00221C59" w:rsidP="00221C59">
            <w:pPr>
              <w:pStyle w:val="NoSpacing"/>
            </w:pPr>
            <w:r>
              <w:t>3</w:t>
            </w:r>
            <w:r w:rsidRPr="00013ACB">
              <w:rPr>
                <w:vertAlign w:val="superscript"/>
              </w:rPr>
              <w:t>rd</w:t>
            </w:r>
            <w:r>
              <w:t xml:space="preserve"> Round: </w:t>
            </w:r>
          </w:p>
          <w:p w14:paraId="229380E7" w14:textId="77777777" w:rsidR="00221C59" w:rsidRDefault="00221C59" w:rsidP="00221C59">
            <w:pPr>
              <w:pStyle w:val="NoSpacing"/>
            </w:pPr>
            <w:r>
              <w:t>January</w:t>
            </w:r>
            <w:r>
              <w:br/>
              <w:t>2020</w:t>
            </w:r>
          </w:p>
          <w:p w14:paraId="0FC4EFBE" w14:textId="77777777" w:rsidR="00221C59" w:rsidRDefault="00221C59" w:rsidP="00221C59">
            <w:pPr>
              <w:pStyle w:val="NoSpacing"/>
            </w:pPr>
          </w:p>
          <w:p w14:paraId="112E0CFD" w14:textId="77777777" w:rsidR="00221C59" w:rsidRDefault="00221C59" w:rsidP="00221C59">
            <w:pPr>
              <w:pStyle w:val="NoSpacing"/>
            </w:pPr>
            <w:r>
              <w:t>4</w:t>
            </w:r>
            <w:r w:rsidRPr="00013ACB">
              <w:rPr>
                <w:vertAlign w:val="superscript"/>
              </w:rPr>
              <w:t>th</w:t>
            </w:r>
            <w:r>
              <w:t xml:space="preserve"> Round: </w:t>
            </w:r>
          </w:p>
          <w:p w14:paraId="2EB50BE5" w14:textId="77777777" w:rsidR="00221C59" w:rsidRDefault="00221C59" w:rsidP="00221C59">
            <w:pPr>
              <w:pStyle w:val="NoSpacing"/>
            </w:pPr>
            <w:r>
              <w:t>January</w:t>
            </w:r>
            <w:r>
              <w:br/>
              <w:t>2021</w:t>
            </w:r>
          </w:p>
          <w:p w14:paraId="72961CB1" w14:textId="77777777" w:rsidR="00221C59" w:rsidRDefault="00221C59" w:rsidP="00221C59">
            <w:pPr>
              <w:pStyle w:val="NoSpacing"/>
            </w:pPr>
          </w:p>
          <w:p w14:paraId="03D79D9A" w14:textId="77777777" w:rsidR="00221C59" w:rsidRDefault="00221C59" w:rsidP="00221C59">
            <w:pPr>
              <w:pStyle w:val="NoSpacing"/>
            </w:pPr>
            <w:r>
              <w:t>5</w:t>
            </w:r>
            <w:r w:rsidRPr="00013ACB">
              <w:rPr>
                <w:vertAlign w:val="superscript"/>
              </w:rPr>
              <w:t>th</w:t>
            </w:r>
            <w:r>
              <w:t xml:space="preserve"> Round: </w:t>
            </w:r>
          </w:p>
          <w:p w14:paraId="01C5D49F" w14:textId="77777777" w:rsidR="00221C59" w:rsidRDefault="00221C59" w:rsidP="00221C59">
            <w:pPr>
              <w:pStyle w:val="NoSpacing"/>
            </w:pPr>
            <w:r>
              <w:t>January</w:t>
            </w:r>
            <w:r>
              <w:br/>
              <w:t>2022</w:t>
            </w:r>
          </w:p>
          <w:p w14:paraId="1D7A89AB" w14:textId="27617740" w:rsidR="00221C59" w:rsidRPr="00076A71" w:rsidRDefault="00221C59" w:rsidP="00221C59">
            <w:pPr>
              <w:pStyle w:val="NoSpacing"/>
              <w:rPr>
                <w:bCs/>
                <w:szCs w:val="20"/>
              </w:rPr>
            </w:pPr>
          </w:p>
        </w:tc>
        <w:tc>
          <w:tcPr>
            <w:tcW w:w="0" w:type="auto"/>
            <w:shd w:val="clear" w:color="auto" w:fill="auto"/>
          </w:tcPr>
          <w:p w14:paraId="0100178E" w14:textId="77777777" w:rsidR="00221C59" w:rsidRPr="00F839BF" w:rsidRDefault="00221C59" w:rsidP="00221C59">
            <w:pPr>
              <w:pStyle w:val="NoSpacing"/>
            </w:pPr>
            <w:r w:rsidRPr="00F839BF">
              <w:t>Data availability reviewed in Oct. 2019</w:t>
            </w:r>
          </w:p>
          <w:p w14:paraId="7B945010" w14:textId="77777777" w:rsidR="00221C59" w:rsidRPr="00F839BF" w:rsidRDefault="00221C59" w:rsidP="00221C59">
            <w:pPr>
              <w:pStyle w:val="NoSpacing"/>
            </w:pPr>
            <w:r w:rsidRPr="00F839BF">
              <w:t>(classified as Tier I)</w:t>
            </w:r>
          </w:p>
          <w:p w14:paraId="03D07FD6" w14:textId="77777777" w:rsidR="00221C59" w:rsidRPr="00F839BF" w:rsidRDefault="00221C59" w:rsidP="00221C59">
            <w:pPr>
              <w:pStyle w:val="NoSpacing"/>
            </w:pPr>
          </w:p>
          <w:p w14:paraId="70C4E3B8" w14:textId="77777777" w:rsidR="00221C59" w:rsidRPr="00F839BF" w:rsidRDefault="00221C59" w:rsidP="00221C59">
            <w:pPr>
              <w:pStyle w:val="NoSpacing"/>
            </w:pPr>
            <w:r w:rsidRPr="00F839BF">
              <w:t>Part (a) reviewed at 8th IAEG-SDG meeting (classified as Tier II)</w:t>
            </w:r>
          </w:p>
          <w:p w14:paraId="4C6105C6" w14:textId="77777777" w:rsidR="00221C59" w:rsidRPr="00F839BF" w:rsidRDefault="00221C59" w:rsidP="00221C59">
            <w:pPr>
              <w:pStyle w:val="NoSpacing"/>
            </w:pPr>
          </w:p>
          <w:p w14:paraId="4127678E" w14:textId="77777777" w:rsidR="00221C59" w:rsidRPr="00F839BF" w:rsidRDefault="00221C59" w:rsidP="00221C59">
            <w:pPr>
              <w:pStyle w:val="NoSpacing"/>
            </w:pPr>
            <w:r w:rsidRPr="00F839BF">
              <w:t>Reviewed at IAEG-SDG 6th meeting: part (a) Needs additional work to develop internationally comparable statistics</w:t>
            </w:r>
          </w:p>
          <w:p w14:paraId="1FBC7846" w14:textId="77777777" w:rsidR="00221C59" w:rsidRPr="00F839BF" w:rsidRDefault="00221C59" w:rsidP="00221C59">
            <w:pPr>
              <w:pStyle w:val="ListParagraph"/>
              <w:numPr>
                <w:ilvl w:val="0"/>
                <w:numId w:val="22"/>
              </w:numPr>
              <w:jc w:val="both"/>
              <w:rPr>
                <w:rFonts w:ascii="Tw Cen MT Condensed" w:hAnsi="Tw Cen MT Condensed"/>
                <w:bCs/>
                <w:sz w:val="20"/>
                <w:szCs w:val="20"/>
              </w:rPr>
            </w:pPr>
          </w:p>
          <w:p w14:paraId="1C5EC610" w14:textId="61289250" w:rsidR="00221C59" w:rsidRPr="00076A71" w:rsidRDefault="00221C59" w:rsidP="00221C59">
            <w:pPr>
              <w:pStyle w:val="NoSpacing"/>
            </w:pPr>
            <w:r w:rsidRPr="00F839BF">
              <w:lastRenderedPageBreak/>
              <w:t xml:space="preserve">IAEG-SDG 4th meeting: Multi-tier classification due to concerns regarding the methodology for part (a) ((a) classified as </w:t>
            </w:r>
            <w:r w:rsidR="006B621F">
              <w:t>TBD</w:t>
            </w:r>
            <w:r w:rsidRPr="00F839BF">
              <w:t>)</w:t>
            </w:r>
          </w:p>
        </w:tc>
      </w:tr>
      <w:tr w:rsidR="000E716D" w14:paraId="4A73766C" w14:textId="77777777" w:rsidTr="0085651F">
        <w:tc>
          <w:tcPr>
            <w:tcW w:w="1101" w:type="dxa"/>
            <w:shd w:val="clear" w:color="auto" w:fill="auto"/>
          </w:tcPr>
          <w:p w14:paraId="2537DB30" w14:textId="77777777" w:rsidR="00221C59" w:rsidRPr="00FA1A92" w:rsidRDefault="00221C59" w:rsidP="00221C59">
            <w:pPr>
              <w:jc w:val="both"/>
              <w:rPr>
                <w:szCs w:val="20"/>
              </w:rPr>
            </w:pPr>
            <w:r w:rsidRPr="00F839BF">
              <w:rPr>
                <w:szCs w:val="20"/>
              </w:rPr>
              <w:lastRenderedPageBreak/>
              <w:t>4.1.2 Completion rate (primary education, lower secondary education, upper secondary education)</w:t>
            </w:r>
          </w:p>
        </w:tc>
        <w:tc>
          <w:tcPr>
            <w:tcW w:w="854" w:type="dxa"/>
            <w:shd w:val="clear" w:color="auto" w:fill="auto"/>
          </w:tcPr>
          <w:p w14:paraId="6AE08080" w14:textId="77777777" w:rsidR="00221C59" w:rsidRPr="00FA1A92" w:rsidRDefault="00221C59" w:rsidP="00221C59">
            <w:pPr>
              <w:rPr>
                <w:szCs w:val="20"/>
              </w:rPr>
            </w:pPr>
          </w:p>
        </w:tc>
        <w:tc>
          <w:tcPr>
            <w:tcW w:w="0" w:type="auto"/>
            <w:shd w:val="clear" w:color="auto" w:fill="auto"/>
          </w:tcPr>
          <w:p w14:paraId="41AE93F4" w14:textId="6C81EC83" w:rsidR="00221C59" w:rsidRPr="00FA1A92" w:rsidRDefault="00754676" w:rsidP="00221C59">
            <w:pPr>
              <w:pStyle w:val="NoSpacing"/>
            </w:pPr>
            <w:r>
              <w:t>TBD</w:t>
            </w:r>
          </w:p>
        </w:tc>
        <w:tc>
          <w:tcPr>
            <w:tcW w:w="0" w:type="auto"/>
            <w:shd w:val="clear" w:color="auto" w:fill="auto"/>
          </w:tcPr>
          <w:p w14:paraId="616ECF61" w14:textId="77777777" w:rsidR="00221C59" w:rsidRDefault="00221C59" w:rsidP="00221C59">
            <w:pPr>
              <w:spacing w:after="55"/>
              <w:ind w:right="-15"/>
            </w:pPr>
            <w:r>
              <w:rPr>
                <w:rFonts w:ascii="Calibri" w:eastAsia="Calibri" w:hAnsi="Calibri" w:cs="Calibri"/>
                <w:b/>
              </w:rPr>
              <w:t>Definition:</w:t>
            </w:r>
            <w:r>
              <w:t xml:space="preserve"> </w:t>
            </w:r>
          </w:p>
          <w:p w14:paraId="7316B0F9" w14:textId="77777777" w:rsidR="00221C59" w:rsidRDefault="00221C59" w:rsidP="00221C59">
            <w:r>
              <w:t xml:space="preserve">Percentage of a cohort of children or young people aged 3-5 years above the intended age for the last grade of each level of education who have completed that grade.   </w:t>
            </w:r>
          </w:p>
          <w:p w14:paraId="48904082" w14:textId="77777777" w:rsidR="00221C59" w:rsidRDefault="00221C59" w:rsidP="00221C59"/>
          <w:p w14:paraId="6107A566" w14:textId="77777777" w:rsidR="00221C59" w:rsidRDefault="00221C59" w:rsidP="00221C59">
            <w:pPr>
              <w:spacing w:after="55"/>
              <w:ind w:right="-15"/>
            </w:pPr>
            <w:r>
              <w:rPr>
                <w:rFonts w:ascii="Calibri" w:eastAsia="Calibri" w:hAnsi="Calibri" w:cs="Calibri"/>
                <w:b/>
              </w:rPr>
              <w:t>Concepts:</w:t>
            </w:r>
            <w:r>
              <w:t xml:space="preserve"> </w:t>
            </w:r>
          </w:p>
          <w:p w14:paraId="7D6122A7" w14:textId="77777777" w:rsidR="00221C59" w:rsidRDefault="00221C59" w:rsidP="00221C59">
            <w:r>
              <w:t xml:space="preserve">The intended age for the last grade of each level of education is the age at which pupils would enter the grade if they had started school at the official primary entrance age, had studied full-time and had progressed without repeating or skipping a grade.   </w:t>
            </w:r>
          </w:p>
          <w:p w14:paraId="127B5064" w14:textId="77777777" w:rsidR="00221C59" w:rsidRDefault="00221C59" w:rsidP="00221C59">
            <w:pPr>
              <w:spacing w:after="68"/>
            </w:pPr>
            <w:r>
              <w:t xml:space="preserve"> </w:t>
            </w:r>
          </w:p>
          <w:p w14:paraId="1FC7B936" w14:textId="77777777" w:rsidR="00221C59" w:rsidRDefault="00221C59" w:rsidP="00221C59">
            <w:pPr>
              <w:spacing w:after="55"/>
              <w:ind w:right="-15"/>
            </w:pPr>
            <w:r>
              <w:rPr>
                <w:rFonts w:ascii="Calibri" w:eastAsia="Calibri" w:hAnsi="Calibri" w:cs="Calibri"/>
                <w:b/>
              </w:rPr>
              <w:t>Comments and limitations:</w:t>
            </w:r>
            <w:r>
              <w:t xml:space="preserve"> </w:t>
            </w:r>
          </w:p>
          <w:p w14:paraId="4C191EE3" w14:textId="77777777" w:rsidR="00221C59" w:rsidRDefault="00221C59" w:rsidP="00221C59">
            <w:r>
              <w:t xml:space="preserve">The age group 3-5 years above the official age of entry into the last grade for a given level of education was selected for the calculation of the completion rate to allow for some delayed entry or repetition. In countries where entry can occur very late or where repetition is common, some children or adolescents in the age group examined may still attend school and the eventual rate of completion may </w:t>
            </w:r>
            <w:r>
              <w:lastRenderedPageBreak/>
              <w:t xml:space="preserve">therefore be underestimated. </w:t>
            </w:r>
          </w:p>
          <w:p w14:paraId="7AC2D53C" w14:textId="77777777" w:rsidR="00221C59" w:rsidRDefault="00221C59" w:rsidP="00221C59">
            <w:pPr>
              <w:spacing w:after="66"/>
            </w:pPr>
            <w:r>
              <w:t xml:space="preserve"> </w:t>
            </w:r>
          </w:p>
          <w:p w14:paraId="1F7B58C8" w14:textId="77777777" w:rsidR="00221C59" w:rsidRDefault="00221C59" w:rsidP="00221C59">
            <w:r>
              <w:t xml:space="preserve">The indicator is calculated from household survey data and is therefore subject to time lag in the availability of data. When multiple surveys are available, they may provide conflicting information due to the possible presence of sampling and non-sampling errors in survey data. The Technical Cooperation Group has also requested the refinement of the methodology to model the completion rate estimates, following an approach similar to that used for the estimation of child mortality rates. The model would ensure that common challenges with household survey data, such as timeliness and sampling or non-sampling errors are addressed to provide up-to-date and more robust data.   </w:t>
            </w:r>
          </w:p>
          <w:p w14:paraId="5A09BF68" w14:textId="77777777" w:rsidR="00221C59" w:rsidRDefault="00221C59" w:rsidP="00221C59">
            <w:pPr>
              <w:spacing w:after="55"/>
              <w:ind w:right="-15"/>
            </w:pPr>
            <w:r>
              <w:rPr>
                <w:rFonts w:ascii="Calibri" w:eastAsia="Calibri" w:hAnsi="Calibri" w:cs="Calibri"/>
                <w:b/>
              </w:rPr>
              <w:t>Computation Method:</w:t>
            </w:r>
            <w:r>
              <w:t xml:space="preserve"> </w:t>
            </w:r>
          </w:p>
          <w:p w14:paraId="4300CEF3" w14:textId="77777777" w:rsidR="00221C59" w:rsidRDefault="00221C59" w:rsidP="00221C59">
            <w:pPr>
              <w:spacing w:after="38" w:line="238" w:lineRule="auto"/>
            </w:pPr>
            <w:r>
              <w:rPr>
                <w:sz w:val="22"/>
              </w:rPr>
              <w:t xml:space="preserve">The number of persons in the relevant age group who have completed the last grade of a given level of education is divided by the total population (in the survey sample) of the same age group. </w:t>
            </w:r>
          </w:p>
          <w:p w14:paraId="111015C6" w14:textId="77777777" w:rsidR="00221C59" w:rsidRDefault="00221C59" w:rsidP="00221C59">
            <w:pPr>
              <w:spacing w:after="32"/>
            </w:pPr>
            <w:r>
              <w:rPr>
                <w:sz w:val="22"/>
              </w:rPr>
              <w:t xml:space="preserve"> </w:t>
            </w:r>
          </w:p>
          <w:p w14:paraId="31200A13" w14:textId="77777777" w:rsidR="00221C59" w:rsidRDefault="00221C59" w:rsidP="00221C59">
            <w:pPr>
              <w:spacing w:after="38" w:line="238" w:lineRule="auto"/>
              <w:ind w:right="3705"/>
            </w:pPr>
            <w:r>
              <w:rPr>
                <w:sz w:val="22"/>
              </w:rPr>
              <w:t xml:space="preserve">Formula:  </w:t>
            </w:r>
          </w:p>
          <w:p w14:paraId="352F36C5" w14:textId="77777777" w:rsidR="00221C59" w:rsidRDefault="00221C59" w:rsidP="00221C59">
            <w:pPr>
              <w:spacing w:after="47"/>
              <w:jc w:val="center"/>
            </w:pPr>
            <w:r>
              <w:rPr>
                <w:noProof/>
                <w:position w:val="-21"/>
                <w:sz w:val="22"/>
                <w:lang w:bidi="bn-BD"/>
              </w:rPr>
              <w:drawing>
                <wp:inline distT="0" distB="0" distL="0" distR="0" wp14:anchorId="42948162" wp14:editId="7CEB0FE5">
                  <wp:extent cx="1025525" cy="358775"/>
                  <wp:effectExtent l="0" t="0" r="0" b="0"/>
                  <wp:docPr id="8142" name="Picture 8142"/>
                  <wp:cNvGraphicFramePr/>
                  <a:graphic xmlns:a="http://schemas.openxmlformats.org/drawingml/2006/main">
                    <a:graphicData uri="http://schemas.openxmlformats.org/drawingml/2006/picture">
                      <pic:pic xmlns:pic="http://schemas.openxmlformats.org/drawingml/2006/picture">
                        <pic:nvPicPr>
                          <pic:cNvPr id="8142" name="Picture 8142"/>
                          <pic:cNvPicPr/>
                        </pic:nvPicPr>
                        <pic:blipFill>
                          <a:blip r:embed="rId65"/>
                          <a:stretch>
                            <a:fillRect/>
                          </a:stretch>
                        </pic:blipFill>
                        <pic:spPr>
                          <a:xfrm>
                            <a:off x="0" y="0"/>
                            <a:ext cx="1025525" cy="358775"/>
                          </a:xfrm>
                          <a:prstGeom prst="rect">
                            <a:avLst/>
                          </a:prstGeom>
                        </pic:spPr>
                      </pic:pic>
                    </a:graphicData>
                  </a:graphic>
                </wp:inline>
              </w:drawing>
            </w:r>
            <w:r>
              <w:rPr>
                <w:sz w:val="22"/>
              </w:rPr>
              <w:t xml:space="preserve"> </w:t>
            </w:r>
          </w:p>
          <w:p w14:paraId="6F55026C" w14:textId="77777777" w:rsidR="00221C59" w:rsidRDefault="00221C59" w:rsidP="00221C59">
            <w:pPr>
              <w:spacing w:after="32"/>
            </w:pPr>
            <w:r>
              <w:rPr>
                <w:sz w:val="22"/>
              </w:rPr>
              <w:t xml:space="preserve"> </w:t>
            </w:r>
          </w:p>
          <w:p w14:paraId="2B4AE7CA" w14:textId="77777777" w:rsidR="00221C59" w:rsidRDefault="00221C59" w:rsidP="00221C59">
            <w:pPr>
              <w:spacing w:after="38" w:line="238" w:lineRule="auto"/>
            </w:pPr>
            <w:r>
              <w:rPr>
                <w:sz w:val="22"/>
              </w:rPr>
              <w:t xml:space="preserve">where: </w:t>
            </w:r>
          </w:p>
          <w:p w14:paraId="73AB0247" w14:textId="77777777" w:rsidR="00221C59" w:rsidRDefault="00221C59" w:rsidP="00221C59">
            <w:pPr>
              <w:spacing w:after="33"/>
            </w:pPr>
            <w:r>
              <w:rPr>
                <w:sz w:val="22"/>
              </w:rPr>
              <w:t xml:space="preserve"> </w:t>
            </w:r>
          </w:p>
          <w:p w14:paraId="02834C17" w14:textId="77777777" w:rsidR="00221C59" w:rsidRDefault="00221C59" w:rsidP="00221C59">
            <w:pPr>
              <w:spacing w:after="38" w:line="238" w:lineRule="auto"/>
            </w:pPr>
            <w:r>
              <w:rPr>
                <w:rFonts w:ascii="Cambria Math" w:eastAsia="Cambria Math" w:hAnsi="Cambria Math" w:cs="Cambria Math"/>
                <w:sz w:val="22"/>
              </w:rPr>
              <w:t>𝐶𝑅</w:t>
            </w:r>
            <w:r>
              <w:rPr>
                <w:rFonts w:ascii="Cambria Math" w:eastAsia="Cambria Math" w:hAnsi="Cambria Math" w:cs="Cambria Math"/>
                <w:sz w:val="22"/>
                <w:vertAlign w:val="subscript"/>
              </w:rPr>
              <w:t xml:space="preserve">𝑛 </w:t>
            </w:r>
            <w:r>
              <w:rPr>
                <w:rFonts w:ascii="Cambria Math" w:eastAsia="Cambria Math" w:hAnsi="Cambria Math" w:cs="Cambria Math"/>
                <w:sz w:val="22"/>
              </w:rPr>
              <w:t>=</w:t>
            </w:r>
            <w:r>
              <w:rPr>
                <w:sz w:val="22"/>
              </w:rPr>
              <w:t xml:space="preserve"> completion rate for level </w:t>
            </w:r>
            <w:r>
              <w:rPr>
                <w:rFonts w:ascii="Calibri" w:eastAsia="Calibri" w:hAnsi="Calibri" w:cs="Calibri"/>
                <w:i/>
                <w:sz w:val="22"/>
              </w:rPr>
              <w:t>n</w:t>
            </w:r>
            <w:r>
              <w:rPr>
                <w:sz w:val="22"/>
              </w:rPr>
              <w:t xml:space="preserve"> of education </w:t>
            </w:r>
          </w:p>
          <w:p w14:paraId="020AD039" w14:textId="77777777" w:rsidR="00221C59" w:rsidRDefault="00221C59" w:rsidP="00221C59">
            <w:pPr>
              <w:spacing w:after="38" w:line="238" w:lineRule="auto"/>
            </w:pPr>
            <w:r>
              <w:rPr>
                <w:rFonts w:ascii="Cambria Math" w:eastAsia="Cambria Math" w:hAnsi="Cambria Math" w:cs="Cambria Math"/>
                <w:sz w:val="22"/>
              </w:rPr>
              <w:t>𝑃</w:t>
            </w:r>
            <w:r>
              <w:rPr>
                <w:rFonts w:ascii="Cambria Math" w:eastAsia="Cambria Math" w:hAnsi="Cambria Math" w:cs="Cambria Math"/>
                <w:sz w:val="22"/>
                <w:vertAlign w:val="subscript"/>
              </w:rPr>
              <w:t>𝐶</w:t>
            </w:r>
            <w:r>
              <w:rPr>
                <w:rFonts w:ascii="Cambria Math" w:eastAsia="Cambria Math" w:hAnsi="Cambria Math" w:cs="Cambria Math"/>
                <w:vertAlign w:val="subscript"/>
              </w:rPr>
              <w:t>𝑛</w:t>
            </w:r>
            <w:r>
              <w:rPr>
                <w:rFonts w:ascii="Cambria Math" w:eastAsia="Cambria Math" w:hAnsi="Cambria Math" w:cs="Cambria Math"/>
                <w:sz w:val="16"/>
              </w:rPr>
              <w:t>,</w:t>
            </w:r>
            <w:r>
              <w:rPr>
                <w:rFonts w:ascii="Cambria Math" w:eastAsia="Cambria Math" w:hAnsi="Cambria Math" w:cs="Cambria Math"/>
                <w:sz w:val="22"/>
                <w:vertAlign w:val="subscript"/>
              </w:rPr>
              <w:t>𝐴𝑔𝑒</w:t>
            </w:r>
            <w:r>
              <w:rPr>
                <w:rFonts w:ascii="Cambria Math" w:eastAsia="Cambria Math" w:hAnsi="Cambria Math" w:cs="Cambria Math"/>
                <w:vertAlign w:val="subscript"/>
              </w:rPr>
              <w:t xml:space="preserve">𝑎+3𝑡5 </w:t>
            </w:r>
            <w:r>
              <w:rPr>
                <w:rFonts w:ascii="Cambria Math" w:eastAsia="Cambria Math" w:hAnsi="Cambria Math" w:cs="Cambria Math"/>
                <w:sz w:val="22"/>
              </w:rPr>
              <w:t>=</w:t>
            </w:r>
            <w:r>
              <w:rPr>
                <w:sz w:val="22"/>
              </w:rPr>
              <w:t xml:space="preserve"> population aged 3 to 5 years above the official entrance age </w:t>
            </w:r>
            <w:r>
              <w:rPr>
                <w:rFonts w:ascii="Calibri" w:eastAsia="Calibri" w:hAnsi="Calibri" w:cs="Calibri"/>
                <w:i/>
                <w:sz w:val="22"/>
              </w:rPr>
              <w:t>a</w:t>
            </w:r>
            <w:r>
              <w:rPr>
                <w:sz w:val="22"/>
              </w:rPr>
              <w:t xml:space="preserve"> into the last grade of level </w:t>
            </w:r>
            <w:r>
              <w:rPr>
                <w:rFonts w:ascii="Calibri" w:eastAsia="Calibri" w:hAnsi="Calibri" w:cs="Calibri"/>
                <w:i/>
                <w:sz w:val="22"/>
              </w:rPr>
              <w:t>n</w:t>
            </w:r>
            <w:r>
              <w:rPr>
                <w:sz w:val="22"/>
              </w:rPr>
              <w:t xml:space="preserve"> of education who completed level </w:t>
            </w:r>
            <w:r>
              <w:rPr>
                <w:rFonts w:ascii="Calibri" w:eastAsia="Calibri" w:hAnsi="Calibri" w:cs="Calibri"/>
                <w:i/>
                <w:sz w:val="22"/>
              </w:rPr>
              <w:t>n</w:t>
            </w:r>
            <w:r>
              <w:rPr>
                <w:sz w:val="22"/>
              </w:rPr>
              <w:t xml:space="preserve"> </w:t>
            </w:r>
          </w:p>
          <w:p w14:paraId="73E2C138" w14:textId="77777777" w:rsidR="00221C59" w:rsidRDefault="00221C59" w:rsidP="00221C59">
            <w:pPr>
              <w:spacing w:after="38" w:line="238" w:lineRule="auto"/>
            </w:pPr>
            <w:r>
              <w:rPr>
                <w:rFonts w:ascii="Cambria Math" w:eastAsia="Cambria Math" w:hAnsi="Cambria Math" w:cs="Cambria Math"/>
                <w:sz w:val="22"/>
              </w:rPr>
              <w:t>𝑃</w:t>
            </w:r>
            <w:r>
              <w:rPr>
                <w:rFonts w:ascii="Cambria Math" w:eastAsia="Cambria Math" w:hAnsi="Cambria Math" w:cs="Cambria Math"/>
                <w:sz w:val="22"/>
                <w:vertAlign w:val="subscript"/>
              </w:rPr>
              <w:t>𝐴𝑔𝑒</w:t>
            </w:r>
            <w:r>
              <w:rPr>
                <w:rFonts w:ascii="Cambria Math" w:eastAsia="Cambria Math" w:hAnsi="Cambria Math" w:cs="Cambria Math"/>
                <w:vertAlign w:val="subscript"/>
              </w:rPr>
              <w:t xml:space="preserve">𝑎+3𝑡5 </w:t>
            </w:r>
            <w:r>
              <w:rPr>
                <w:rFonts w:ascii="Cambria Math" w:eastAsia="Cambria Math" w:hAnsi="Cambria Math" w:cs="Cambria Math"/>
                <w:sz w:val="22"/>
              </w:rPr>
              <w:t>=</w:t>
            </w:r>
            <w:r>
              <w:rPr>
                <w:sz w:val="22"/>
              </w:rPr>
              <w:t xml:space="preserve"> population aged 3 to 5 years above the official entrance age </w:t>
            </w:r>
            <w:r>
              <w:rPr>
                <w:rFonts w:ascii="Calibri" w:eastAsia="Calibri" w:hAnsi="Calibri" w:cs="Calibri"/>
                <w:i/>
                <w:sz w:val="22"/>
              </w:rPr>
              <w:t>a</w:t>
            </w:r>
            <w:r>
              <w:rPr>
                <w:sz w:val="22"/>
              </w:rPr>
              <w:t xml:space="preserve"> into the last grade of level </w:t>
            </w:r>
            <w:r>
              <w:rPr>
                <w:rFonts w:ascii="Calibri" w:eastAsia="Calibri" w:hAnsi="Calibri" w:cs="Calibri"/>
                <w:i/>
                <w:sz w:val="22"/>
              </w:rPr>
              <w:t>n</w:t>
            </w:r>
            <w:r>
              <w:rPr>
                <w:sz w:val="22"/>
              </w:rPr>
              <w:t xml:space="preserve"> of education </w:t>
            </w:r>
          </w:p>
          <w:p w14:paraId="5D1B801E" w14:textId="77777777" w:rsidR="00221C59" w:rsidRDefault="00221C59" w:rsidP="00221C59">
            <w:pPr>
              <w:spacing w:after="38" w:line="238" w:lineRule="auto"/>
            </w:pPr>
            <w:r>
              <w:rPr>
                <w:rFonts w:ascii="Cambria Math" w:eastAsia="Cambria Math" w:hAnsi="Cambria Math" w:cs="Cambria Math"/>
                <w:sz w:val="22"/>
              </w:rPr>
              <w:t xml:space="preserve">𝑛 = </w:t>
            </w:r>
            <w:r>
              <w:rPr>
                <w:sz w:val="22"/>
              </w:rPr>
              <w:t xml:space="preserve">ISCED level 1 (primary education), 2 (lower secondary education), or 3 (upper secondary education) </w:t>
            </w:r>
          </w:p>
          <w:p w14:paraId="030EDE23" w14:textId="77777777" w:rsidR="00221C59" w:rsidRPr="00CC4095" w:rsidRDefault="00221C59" w:rsidP="00221C59">
            <w:pPr>
              <w:pStyle w:val="NoSpacing"/>
            </w:pPr>
          </w:p>
        </w:tc>
        <w:tc>
          <w:tcPr>
            <w:tcW w:w="0" w:type="auto"/>
            <w:shd w:val="clear" w:color="auto" w:fill="auto"/>
          </w:tcPr>
          <w:p w14:paraId="6C6C9305" w14:textId="77777777" w:rsidR="00221C59" w:rsidRPr="00340A06" w:rsidRDefault="00221C59" w:rsidP="00221C59">
            <w:pPr>
              <w:pStyle w:val="NoSpacing"/>
            </w:pPr>
            <w:r>
              <w:lastRenderedPageBreak/>
              <w:t xml:space="preserve">Demographic and Health Surveys (DHS), Multiple Indicator Cluster Surveys (MICS), the European Union Statistics on Income and Living Condition (EU-SILC), the Integrated Public Use </w:t>
            </w:r>
            <w:r>
              <w:lastRenderedPageBreak/>
              <w:t>Microdata Series (IPUMS), and national household surveys and censuses.</w:t>
            </w:r>
          </w:p>
        </w:tc>
        <w:tc>
          <w:tcPr>
            <w:tcW w:w="0" w:type="auto"/>
            <w:shd w:val="clear" w:color="auto" w:fill="auto"/>
          </w:tcPr>
          <w:p w14:paraId="1C510A67" w14:textId="77777777" w:rsidR="00221C59" w:rsidRPr="00FA1A92" w:rsidRDefault="00221C59" w:rsidP="00221C59">
            <w:pPr>
              <w:pStyle w:val="NoSpacing"/>
            </w:pPr>
            <w:r>
              <w:lastRenderedPageBreak/>
              <w:t>National statistics offices</w:t>
            </w:r>
          </w:p>
        </w:tc>
        <w:tc>
          <w:tcPr>
            <w:tcW w:w="0" w:type="auto"/>
            <w:shd w:val="clear" w:color="auto" w:fill="auto"/>
          </w:tcPr>
          <w:p w14:paraId="6C08C4E4" w14:textId="77777777" w:rsidR="00221C59" w:rsidRPr="009F0F1A" w:rsidRDefault="00221C59" w:rsidP="00221C59">
            <w:pPr>
              <w:rPr>
                <w:bCs/>
                <w:szCs w:val="20"/>
              </w:rPr>
            </w:pPr>
            <w:r>
              <w:rPr>
                <w:rFonts w:eastAsia="Times New Roman" w:cs="Times New Roman"/>
                <w:color w:val="FF0000"/>
                <w:szCs w:val="20"/>
              </w:rPr>
              <w:t>MICS, BBS</w:t>
            </w:r>
          </w:p>
        </w:tc>
        <w:tc>
          <w:tcPr>
            <w:tcW w:w="0" w:type="auto"/>
            <w:shd w:val="clear" w:color="auto" w:fill="auto"/>
          </w:tcPr>
          <w:p w14:paraId="277656DD" w14:textId="77777777" w:rsidR="00221C59" w:rsidRPr="009F0F1A" w:rsidRDefault="00221C59" w:rsidP="00221C59">
            <w:pPr>
              <w:ind w:left="-10" w:firstLine="10"/>
              <w:rPr>
                <w:bCs/>
                <w:szCs w:val="20"/>
              </w:rPr>
            </w:pPr>
            <w:r>
              <w:rPr>
                <w:rFonts w:eastAsia="Times New Roman" w:cs="Times New Roman"/>
                <w:color w:val="FF0000"/>
                <w:szCs w:val="20"/>
              </w:rPr>
              <w:t>LAS/MICS/HIES/EHS/SVRS, BBS</w:t>
            </w:r>
          </w:p>
        </w:tc>
        <w:tc>
          <w:tcPr>
            <w:tcW w:w="0" w:type="auto"/>
            <w:shd w:val="clear" w:color="auto" w:fill="auto"/>
          </w:tcPr>
          <w:p w14:paraId="7B5E1E34" w14:textId="77777777" w:rsidR="003D3F72" w:rsidRPr="003D3F72" w:rsidRDefault="003D3F72" w:rsidP="003D3F72">
            <w:pPr>
              <w:pStyle w:val="ListParagraph"/>
              <w:numPr>
                <w:ilvl w:val="0"/>
                <w:numId w:val="2"/>
              </w:numPr>
              <w:jc w:val="both"/>
              <w:rPr>
                <w:rFonts w:ascii="Tw Cen MT Condensed" w:hAnsi="Tw Cen MT Condensed"/>
                <w:bCs/>
                <w:sz w:val="20"/>
                <w:szCs w:val="20"/>
              </w:rPr>
            </w:pPr>
            <w:r w:rsidRPr="003D3F72">
              <w:rPr>
                <w:rFonts w:ascii="Tw Cen MT Condensed" w:hAnsi="Tw Cen MT Condensed"/>
                <w:bCs/>
                <w:sz w:val="20"/>
                <w:szCs w:val="20"/>
              </w:rPr>
              <w:t>Sex: Male/ Female</w:t>
            </w:r>
          </w:p>
          <w:p w14:paraId="64B9B789" w14:textId="77777777" w:rsidR="003D3F72" w:rsidRPr="003D3F72" w:rsidRDefault="003D3F72" w:rsidP="003D3F72">
            <w:pPr>
              <w:pStyle w:val="ListParagraph"/>
              <w:numPr>
                <w:ilvl w:val="0"/>
                <w:numId w:val="2"/>
              </w:numPr>
              <w:jc w:val="both"/>
              <w:rPr>
                <w:rFonts w:ascii="Tw Cen MT Condensed" w:hAnsi="Tw Cen MT Condensed"/>
                <w:bCs/>
                <w:sz w:val="20"/>
                <w:szCs w:val="20"/>
              </w:rPr>
            </w:pPr>
            <w:r w:rsidRPr="003D3F72">
              <w:rPr>
                <w:rFonts w:ascii="Tw Cen MT Condensed" w:hAnsi="Tw Cen MT Condensed"/>
                <w:bCs/>
                <w:sz w:val="20"/>
                <w:szCs w:val="20"/>
              </w:rPr>
              <w:t>Residence: Rural/ Urban</w:t>
            </w:r>
          </w:p>
          <w:p w14:paraId="43C2EC58" w14:textId="77777777" w:rsidR="003D3F72" w:rsidRPr="003D3F72" w:rsidRDefault="003D3F72" w:rsidP="003D3F72">
            <w:pPr>
              <w:pStyle w:val="ListParagraph"/>
              <w:numPr>
                <w:ilvl w:val="0"/>
                <w:numId w:val="2"/>
              </w:numPr>
              <w:jc w:val="both"/>
              <w:rPr>
                <w:rFonts w:ascii="Tw Cen MT Condensed" w:hAnsi="Tw Cen MT Condensed"/>
                <w:bCs/>
                <w:sz w:val="20"/>
                <w:szCs w:val="20"/>
              </w:rPr>
            </w:pPr>
            <w:r w:rsidRPr="003D3F72">
              <w:rPr>
                <w:rFonts w:ascii="Tw Cen MT Condensed" w:hAnsi="Tw Cen MT Condensed"/>
                <w:bCs/>
                <w:sz w:val="20"/>
                <w:szCs w:val="20"/>
              </w:rPr>
              <w:t>Locality: Division/ District</w:t>
            </w:r>
          </w:p>
          <w:p w14:paraId="27F1C330" w14:textId="77777777" w:rsidR="003D3F72" w:rsidRPr="003D3F72" w:rsidRDefault="003D3F72" w:rsidP="003D3F72">
            <w:pPr>
              <w:pStyle w:val="ListParagraph"/>
              <w:numPr>
                <w:ilvl w:val="0"/>
                <w:numId w:val="2"/>
              </w:numPr>
              <w:jc w:val="both"/>
              <w:rPr>
                <w:rFonts w:ascii="Tw Cen MT Condensed" w:hAnsi="Tw Cen MT Condensed"/>
                <w:bCs/>
                <w:sz w:val="20"/>
                <w:szCs w:val="20"/>
              </w:rPr>
            </w:pPr>
            <w:r w:rsidRPr="003D3F72">
              <w:rPr>
                <w:rFonts w:ascii="Tw Cen MT Condensed" w:hAnsi="Tw Cen MT Condensed"/>
                <w:bCs/>
                <w:sz w:val="20"/>
                <w:szCs w:val="20"/>
              </w:rPr>
              <w:t>Ethnicity: Bangali/ Non-Bangali</w:t>
            </w:r>
          </w:p>
          <w:p w14:paraId="01EF35D4" w14:textId="00D9CC67" w:rsidR="00221C59" w:rsidRPr="00FA1A92" w:rsidRDefault="003D3F72" w:rsidP="003D3F72">
            <w:pPr>
              <w:pStyle w:val="ListParagraph"/>
              <w:numPr>
                <w:ilvl w:val="0"/>
                <w:numId w:val="2"/>
              </w:numPr>
              <w:spacing w:after="0" w:line="240" w:lineRule="auto"/>
              <w:jc w:val="both"/>
              <w:rPr>
                <w:rFonts w:ascii="Tw Cen MT Condensed" w:hAnsi="Tw Cen MT Condensed"/>
                <w:bCs/>
                <w:sz w:val="20"/>
                <w:szCs w:val="20"/>
              </w:rPr>
            </w:pPr>
            <w:r w:rsidRPr="003D3F72">
              <w:rPr>
                <w:rFonts w:ascii="Tw Cen MT Condensed" w:hAnsi="Tw Cen MT Condensed"/>
                <w:bCs/>
                <w:sz w:val="20"/>
                <w:szCs w:val="20"/>
              </w:rPr>
              <w:t xml:space="preserve">Wealth Index: Poorest/ Second/Middle/ </w:t>
            </w:r>
            <w:r w:rsidRPr="003D3F72">
              <w:rPr>
                <w:rFonts w:ascii="Tw Cen MT Condensed" w:hAnsi="Tw Cen MT Condensed"/>
                <w:bCs/>
                <w:sz w:val="20"/>
                <w:szCs w:val="20"/>
              </w:rPr>
              <w:lastRenderedPageBreak/>
              <w:t>Fourth/ Richest</w:t>
            </w:r>
          </w:p>
        </w:tc>
        <w:tc>
          <w:tcPr>
            <w:tcW w:w="0" w:type="auto"/>
            <w:shd w:val="clear" w:color="auto" w:fill="auto"/>
          </w:tcPr>
          <w:p w14:paraId="50F0BBD0" w14:textId="77777777" w:rsidR="00221C59" w:rsidRDefault="00221C59" w:rsidP="00221C59">
            <w:pPr>
              <w:jc w:val="center"/>
              <w:rPr>
                <w:bCs/>
                <w:szCs w:val="20"/>
              </w:rPr>
            </w:pPr>
          </w:p>
        </w:tc>
        <w:tc>
          <w:tcPr>
            <w:tcW w:w="0" w:type="auto"/>
            <w:shd w:val="clear" w:color="auto" w:fill="auto"/>
          </w:tcPr>
          <w:p w14:paraId="3E620470" w14:textId="77777777" w:rsidR="00221C59" w:rsidRDefault="00221C59" w:rsidP="00221C59">
            <w:pPr>
              <w:jc w:val="center"/>
              <w:rPr>
                <w:bCs/>
                <w:szCs w:val="20"/>
              </w:rPr>
            </w:pPr>
          </w:p>
        </w:tc>
        <w:tc>
          <w:tcPr>
            <w:tcW w:w="0" w:type="auto"/>
            <w:shd w:val="clear" w:color="auto" w:fill="auto"/>
          </w:tcPr>
          <w:p w14:paraId="5151206B" w14:textId="77777777" w:rsidR="00221C59" w:rsidRDefault="00221C59" w:rsidP="00221C59">
            <w:pPr>
              <w:pStyle w:val="NoSpacing"/>
            </w:pPr>
            <w:r>
              <w:t>1</w:t>
            </w:r>
            <w:r w:rsidRPr="00013ACB">
              <w:rPr>
                <w:vertAlign w:val="superscript"/>
              </w:rPr>
              <w:t>st</w:t>
            </w:r>
            <w:r>
              <w:t xml:space="preserve"> Round: </w:t>
            </w:r>
          </w:p>
          <w:p w14:paraId="305579A5" w14:textId="77777777" w:rsidR="00221C59" w:rsidRDefault="00221C59" w:rsidP="00221C59">
            <w:pPr>
              <w:pStyle w:val="NoSpacing"/>
            </w:pPr>
            <w:r>
              <w:t>2019</w:t>
            </w:r>
          </w:p>
          <w:p w14:paraId="5A288170" w14:textId="77777777" w:rsidR="00221C59" w:rsidRDefault="00221C59" w:rsidP="00221C59">
            <w:pPr>
              <w:pStyle w:val="NoSpacing"/>
            </w:pPr>
            <w:r>
              <w:t>2</w:t>
            </w:r>
            <w:r w:rsidRPr="00013ACB">
              <w:rPr>
                <w:vertAlign w:val="superscript"/>
              </w:rPr>
              <w:t>nd</w:t>
            </w:r>
            <w:r>
              <w:t xml:space="preserve"> Round: </w:t>
            </w:r>
          </w:p>
          <w:p w14:paraId="5EFA7F00" w14:textId="77777777" w:rsidR="00221C59" w:rsidRDefault="00221C59" w:rsidP="00221C59">
            <w:pPr>
              <w:pStyle w:val="NoSpacing"/>
              <w:rPr>
                <w:lang w:val="en-GB"/>
              </w:rPr>
            </w:pPr>
            <w:r w:rsidRPr="009C0C3A">
              <w:rPr>
                <w:lang w:val="en-GB"/>
              </w:rPr>
              <w:t>December, 2021</w:t>
            </w:r>
          </w:p>
          <w:p w14:paraId="4AE7109F" w14:textId="77777777" w:rsidR="00221C59" w:rsidRDefault="00221C59" w:rsidP="00221C59">
            <w:pPr>
              <w:pStyle w:val="NoSpacing"/>
            </w:pPr>
          </w:p>
          <w:p w14:paraId="1D7573A3" w14:textId="77777777" w:rsidR="00221C59" w:rsidRDefault="00221C59" w:rsidP="00221C59">
            <w:pPr>
              <w:pStyle w:val="NoSpacing"/>
            </w:pPr>
            <w:r>
              <w:t>3</w:t>
            </w:r>
            <w:r w:rsidRPr="00013ACB">
              <w:rPr>
                <w:vertAlign w:val="superscript"/>
              </w:rPr>
              <w:t>rd</w:t>
            </w:r>
            <w:r>
              <w:t xml:space="preserve"> Round: </w:t>
            </w:r>
          </w:p>
          <w:p w14:paraId="3DE1FFD1" w14:textId="77777777" w:rsidR="00221C59" w:rsidRDefault="00221C59" w:rsidP="00221C59">
            <w:pPr>
              <w:pStyle w:val="NoSpacing"/>
            </w:pPr>
            <w:r>
              <w:t>January</w:t>
            </w:r>
            <w:r>
              <w:br/>
              <w:t>2022</w:t>
            </w:r>
          </w:p>
          <w:p w14:paraId="221FD955" w14:textId="77777777" w:rsidR="00221C59" w:rsidRDefault="00221C59" w:rsidP="00221C59">
            <w:pPr>
              <w:pStyle w:val="NoSpacing"/>
            </w:pPr>
          </w:p>
          <w:p w14:paraId="3AE154A4" w14:textId="77777777" w:rsidR="00221C59" w:rsidRDefault="00221C59" w:rsidP="00221C59">
            <w:pPr>
              <w:pStyle w:val="NoSpacing"/>
            </w:pPr>
            <w:r>
              <w:t>4</w:t>
            </w:r>
            <w:r w:rsidRPr="00013ACB">
              <w:rPr>
                <w:vertAlign w:val="superscript"/>
              </w:rPr>
              <w:t>th</w:t>
            </w:r>
            <w:r>
              <w:t xml:space="preserve"> Round: </w:t>
            </w:r>
          </w:p>
          <w:p w14:paraId="7178EB58" w14:textId="77777777" w:rsidR="00221C59" w:rsidRDefault="00221C59" w:rsidP="00221C59">
            <w:pPr>
              <w:pStyle w:val="NoSpacing"/>
            </w:pPr>
            <w:r>
              <w:t>January</w:t>
            </w:r>
            <w:r>
              <w:br/>
              <w:t>2023</w:t>
            </w:r>
          </w:p>
          <w:p w14:paraId="46E99205" w14:textId="77777777" w:rsidR="00221C59" w:rsidRDefault="00221C59" w:rsidP="00221C59">
            <w:pPr>
              <w:pStyle w:val="NoSpacing"/>
            </w:pPr>
          </w:p>
          <w:p w14:paraId="099397D2" w14:textId="77777777" w:rsidR="00221C59" w:rsidRDefault="00221C59" w:rsidP="00221C59">
            <w:pPr>
              <w:pStyle w:val="NoSpacing"/>
            </w:pPr>
            <w:r>
              <w:lastRenderedPageBreak/>
              <w:t>5</w:t>
            </w:r>
            <w:r w:rsidRPr="00013ACB">
              <w:rPr>
                <w:vertAlign w:val="superscript"/>
              </w:rPr>
              <w:t>th</w:t>
            </w:r>
            <w:r>
              <w:t xml:space="preserve"> Round: </w:t>
            </w:r>
          </w:p>
          <w:p w14:paraId="7E340A22" w14:textId="77777777" w:rsidR="00221C59" w:rsidRDefault="00221C59" w:rsidP="00221C59">
            <w:pPr>
              <w:pStyle w:val="NoSpacing"/>
            </w:pPr>
            <w:r>
              <w:t>January</w:t>
            </w:r>
            <w:r>
              <w:br/>
              <w:t>2024</w:t>
            </w:r>
          </w:p>
          <w:p w14:paraId="2D75B90F" w14:textId="77777777" w:rsidR="00221C59" w:rsidRDefault="00221C59" w:rsidP="00221C59">
            <w:pPr>
              <w:pStyle w:val="NoSpacing"/>
            </w:pPr>
          </w:p>
        </w:tc>
        <w:tc>
          <w:tcPr>
            <w:tcW w:w="0" w:type="auto"/>
            <w:shd w:val="clear" w:color="auto" w:fill="auto"/>
          </w:tcPr>
          <w:p w14:paraId="18492DEC" w14:textId="77777777" w:rsidR="00221C59" w:rsidRPr="00F839BF" w:rsidRDefault="00221C59" w:rsidP="00221C59">
            <w:pPr>
              <w:pStyle w:val="NoSpacing"/>
            </w:pPr>
            <w:r w:rsidRPr="00F839BF">
              <w:lastRenderedPageBreak/>
              <w:t>UNSC 51 addition included in the 2020 comprehensive review</w:t>
            </w:r>
          </w:p>
        </w:tc>
      </w:tr>
      <w:tr w:rsidR="00BB3B57" w14:paraId="21818FB5" w14:textId="77777777" w:rsidTr="00D52BCB">
        <w:tc>
          <w:tcPr>
            <w:tcW w:w="17162" w:type="dxa"/>
            <w:gridSpan w:val="13"/>
            <w:shd w:val="clear" w:color="auto" w:fill="auto"/>
          </w:tcPr>
          <w:p w14:paraId="02FC3B74" w14:textId="77777777" w:rsidR="00BB3B57" w:rsidRPr="00076A71" w:rsidRDefault="00BB3B57" w:rsidP="00221C59">
            <w:pPr>
              <w:ind w:left="970" w:hanging="970"/>
              <w:jc w:val="both"/>
              <w:rPr>
                <w:color w:val="C00000"/>
                <w:sz w:val="30"/>
                <w:szCs w:val="30"/>
              </w:rPr>
            </w:pPr>
            <w:r>
              <w:rPr>
                <w:color w:val="C00000"/>
                <w:sz w:val="30"/>
                <w:szCs w:val="30"/>
              </w:rPr>
              <w:lastRenderedPageBreak/>
              <w:t xml:space="preserve">Target </w:t>
            </w:r>
            <w:r w:rsidRPr="00076A71">
              <w:rPr>
                <w:color w:val="C00000"/>
                <w:sz w:val="30"/>
                <w:szCs w:val="30"/>
              </w:rPr>
              <w:t>4.2 By 2030, ensure that all girls and boys have access to quality early childhood development, care and pre-primary education so that they are ready for primary education</w:t>
            </w:r>
          </w:p>
        </w:tc>
      </w:tr>
      <w:tr w:rsidR="000E716D" w14:paraId="132BC8AB" w14:textId="77777777" w:rsidTr="0085651F">
        <w:tc>
          <w:tcPr>
            <w:tcW w:w="1101" w:type="dxa"/>
            <w:shd w:val="clear" w:color="auto" w:fill="auto"/>
          </w:tcPr>
          <w:p w14:paraId="0272DFF0" w14:textId="77777777" w:rsidR="00221C59" w:rsidRPr="00076A71" w:rsidRDefault="00221C59" w:rsidP="00221C59">
            <w:pPr>
              <w:jc w:val="both"/>
              <w:rPr>
                <w:szCs w:val="20"/>
              </w:rPr>
            </w:pPr>
            <w:r w:rsidRPr="00F050CE">
              <w:rPr>
                <w:rFonts w:cstheme="minorHAnsi"/>
              </w:rPr>
              <w:t xml:space="preserve">4.2.1 </w:t>
            </w:r>
            <w:r w:rsidRPr="00F050CE">
              <w:rPr>
                <w:rFonts w:cstheme="minorHAnsi"/>
              </w:rPr>
              <w:lastRenderedPageBreak/>
              <w:t>Proportion of children aged 24-59 months who are developmentally on track in health, learning and psychosocial well-being, by sex</w:t>
            </w:r>
          </w:p>
        </w:tc>
        <w:tc>
          <w:tcPr>
            <w:tcW w:w="854" w:type="dxa"/>
            <w:shd w:val="clear" w:color="auto" w:fill="auto"/>
          </w:tcPr>
          <w:p w14:paraId="0C05A1C1" w14:textId="77777777" w:rsidR="00221C59" w:rsidRPr="00076A71" w:rsidRDefault="00221C59" w:rsidP="00221C59">
            <w:pPr>
              <w:jc w:val="center"/>
              <w:rPr>
                <w:sz w:val="22"/>
                <w:szCs w:val="22"/>
              </w:rPr>
            </w:pPr>
            <w:r w:rsidRPr="00076A71">
              <w:rPr>
                <w:sz w:val="22"/>
                <w:szCs w:val="22"/>
              </w:rPr>
              <w:lastRenderedPageBreak/>
              <w:t>UNICEF</w:t>
            </w:r>
          </w:p>
          <w:p w14:paraId="4F1B18FF" w14:textId="77777777" w:rsidR="00221C59" w:rsidRPr="00076A71" w:rsidRDefault="00221C59" w:rsidP="00221C59">
            <w:pPr>
              <w:jc w:val="center"/>
              <w:rPr>
                <w:sz w:val="22"/>
                <w:szCs w:val="22"/>
                <w:lang w:bidi="bn-BD"/>
              </w:rPr>
            </w:pPr>
          </w:p>
          <w:p w14:paraId="5D9ABBBA" w14:textId="77777777" w:rsidR="00221C59" w:rsidRPr="00076A71" w:rsidRDefault="00221C59" w:rsidP="00221C59">
            <w:pPr>
              <w:jc w:val="center"/>
              <w:rPr>
                <w:b/>
                <w:bCs/>
                <w:sz w:val="22"/>
                <w:szCs w:val="22"/>
                <w:lang w:bidi="bn-BD"/>
              </w:rPr>
            </w:pPr>
            <w:r w:rsidRPr="00076A71">
              <w:rPr>
                <w:b/>
                <w:bCs/>
                <w:sz w:val="22"/>
                <w:szCs w:val="22"/>
                <w:lang w:bidi="bn-BD"/>
              </w:rPr>
              <w:t>Partner Agencies:</w:t>
            </w:r>
          </w:p>
          <w:p w14:paraId="1420BBF8" w14:textId="77777777" w:rsidR="00221C59" w:rsidRPr="00076A71" w:rsidRDefault="00221C59" w:rsidP="00221C59">
            <w:pPr>
              <w:jc w:val="center"/>
              <w:rPr>
                <w:sz w:val="22"/>
                <w:szCs w:val="22"/>
                <w:lang w:bidi="bn-BD"/>
              </w:rPr>
            </w:pPr>
            <w:r w:rsidRPr="00076A71">
              <w:rPr>
                <w:sz w:val="22"/>
                <w:szCs w:val="22"/>
                <w:lang w:bidi="bn-BD"/>
              </w:rPr>
              <w:t>UNESCO-UIS, OECD</w:t>
            </w:r>
          </w:p>
        </w:tc>
        <w:tc>
          <w:tcPr>
            <w:tcW w:w="0" w:type="auto"/>
            <w:shd w:val="clear" w:color="auto" w:fill="auto"/>
          </w:tcPr>
          <w:p w14:paraId="46D7D410" w14:textId="77777777" w:rsidR="00221C59" w:rsidRDefault="00221C59" w:rsidP="00221C59">
            <w:pPr>
              <w:jc w:val="center"/>
              <w:rPr>
                <w:szCs w:val="20"/>
              </w:rPr>
            </w:pPr>
            <w:r w:rsidRPr="00D46351">
              <w:rPr>
                <w:szCs w:val="20"/>
              </w:rPr>
              <w:lastRenderedPageBreak/>
              <w:t>Tier II</w:t>
            </w:r>
          </w:p>
          <w:p w14:paraId="60EF41C7" w14:textId="4F5B5B8B" w:rsidR="00221C59" w:rsidRPr="00FA1A92" w:rsidRDefault="00221C59" w:rsidP="00221C59">
            <w:pPr>
              <w:jc w:val="center"/>
              <w:rPr>
                <w:szCs w:val="20"/>
              </w:rPr>
            </w:pPr>
          </w:p>
        </w:tc>
        <w:tc>
          <w:tcPr>
            <w:tcW w:w="0" w:type="auto"/>
            <w:shd w:val="clear" w:color="auto" w:fill="auto"/>
          </w:tcPr>
          <w:p w14:paraId="55BB5292" w14:textId="77777777" w:rsidR="00221C59" w:rsidRDefault="00221C59" w:rsidP="00221C59">
            <w:pPr>
              <w:jc w:val="both"/>
              <w:rPr>
                <w:b/>
                <w:bCs/>
                <w:szCs w:val="20"/>
              </w:rPr>
            </w:pPr>
            <w:r w:rsidRPr="00076A71">
              <w:rPr>
                <w:b/>
                <w:bCs/>
                <w:szCs w:val="20"/>
              </w:rPr>
              <w:lastRenderedPageBreak/>
              <w:t xml:space="preserve">Definition: </w:t>
            </w:r>
          </w:p>
          <w:p w14:paraId="0E5B9EBB" w14:textId="21E2AC60" w:rsidR="00221C59" w:rsidRDefault="00221C59" w:rsidP="00221C59">
            <w:pPr>
              <w:jc w:val="both"/>
              <w:rPr>
                <w:szCs w:val="20"/>
              </w:rPr>
            </w:pPr>
            <w:r w:rsidRPr="00076A71">
              <w:rPr>
                <w:szCs w:val="20"/>
              </w:rPr>
              <w:lastRenderedPageBreak/>
              <w:t xml:space="preserve">The proportion of children </w:t>
            </w:r>
            <w:r w:rsidRPr="00F050CE">
              <w:rPr>
                <w:rFonts w:cstheme="minorHAnsi"/>
              </w:rPr>
              <w:t>aged 24-59 months</w:t>
            </w:r>
            <w:r w:rsidRPr="00076A71">
              <w:rPr>
                <w:szCs w:val="20"/>
              </w:rPr>
              <w:t xml:space="preserve"> who are developmentally on track in </w:t>
            </w:r>
            <w:proofErr w:type="gramStart"/>
            <w:r w:rsidRPr="00076A71">
              <w:rPr>
                <w:szCs w:val="20"/>
              </w:rPr>
              <w:t>health,</w:t>
            </w:r>
            <w:proofErr w:type="gramEnd"/>
            <w:r w:rsidRPr="00076A71">
              <w:rPr>
                <w:szCs w:val="20"/>
              </w:rPr>
              <w:t xml:space="preserve"> learning and psychosocial well-being is currently being measured by the percentage of children aged </w:t>
            </w:r>
            <w:r>
              <w:rPr>
                <w:szCs w:val="20"/>
              </w:rPr>
              <w:t>24</w:t>
            </w:r>
            <w:r w:rsidRPr="00076A71">
              <w:rPr>
                <w:szCs w:val="20"/>
              </w:rPr>
              <w:t xml:space="preserve">-59 months who are developmentally on-track in at least three of the following four domains: literacy-numeracy, physical, socio-emotional and learning. </w:t>
            </w:r>
          </w:p>
          <w:p w14:paraId="6BE530CA" w14:textId="77777777" w:rsidR="00221C59" w:rsidRDefault="00221C59" w:rsidP="00221C59">
            <w:pPr>
              <w:jc w:val="both"/>
              <w:rPr>
                <w:b/>
                <w:bCs/>
                <w:szCs w:val="20"/>
              </w:rPr>
            </w:pPr>
          </w:p>
          <w:p w14:paraId="0584A4E5" w14:textId="77777777" w:rsidR="00470026" w:rsidRPr="00470026" w:rsidRDefault="00470026" w:rsidP="00470026">
            <w:pPr>
              <w:jc w:val="both"/>
              <w:rPr>
                <w:b/>
                <w:bCs/>
                <w:szCs w:val="20"/>
              </w:rPr>
            </w:pPr>
            <w:r w:rsidRPr="00470026">
              <w:rPr>
                <w:b/>
                <w:bCs/>
                <w:szCs w:val="20"/>
              </w:rPr>
              <w:t>Concepts:</w:t>
            </w:r>
          </w:p>
          <w:p w14:paraId="4CB69465" w14:textId="77777777" w:rsidR="00470026" w:rsidRPr="00470026" w:rsidRDefault="00470026" w:rsidP="00470026">
            <w:pPr>
              <w:jc w:val="both"/>
              <w:rPr>
                <w:b/>
                <w:bCs/>
                <w:szCs w:val="20"/>
              </w:rPr>
            </w:pPr>
          </w:p>
          <w:p w14:paraId="1367D12B" w14:textId="77777777" w:rsidR="00470026" w:rsidRPr="00470026" w:rsidRDefault="00470026" w:rsidP="00470026">
            <w:pPr>
              <w:jc w:val="both"/>
              <w:rPr>
                <w:szCs w:val="20"/>
              </w:rPr>
            </w:pPr>
            <w:r w:rsidRPr="00470026">
              <w:rPr>
                <w:szCs w:val="20"/>
              </w:rPr>
              <w:t>The domains included in the indicator currently being used as a proxy for reporting on SDG indicator 4.2.1 are operationally defined as follows:</w:t>
            </w:r>
          </w:p>
          <w:p w14:paraId="10D0165F" w14:textId="57456A64" w:rsidR="00470026" w:rsidRPr="00470026" w:rsidRDefault="00470026" w:rsidP="00470026">
            <w:pPr>
              <w:jc w:val="both"/>
              <w:rPr>
                <w:szCs w:val="20"/>
              </w:rPr>
            </w:pPr>
            <w:r w:rsidRPr="00470026">
              <w:rPr>
                <w:i/>
                <w:iCs/>
                <w:szCs w:val="20"/>
              </w:rPr>
              <w:t>Literacy-numeracy:</w:t>
            </w:r>
            <w:r w:rsidRPr="00470026">
              <w:rPr>
                <w:szCs w:val="20"/>
              </w:rPr>
              <w:t xml:space="preserve"> Children are identified as being developmentally on track if they can do at least two of the following: identify/name at least 10 letters of the alphabet; read at least 4 simple, popular words; and/or know the name and recognize the symbols of all numbers from 1 to 10.</w:t>
            </w:r>
          </w:p>
          <w:p w14:paraId="19F6F363" w14:textId="77777777" w:rsidR="00470026" w:rsidRPr="00470026" w:rsidRDefault="00470026" w:rsidP="00470026">
            <w:pPr>
              <w:jc w:val="both"/>
              <w:rPr>
                <w:szCs w:val="20"/>
              </w:rPr>
            </w:pPr>
          </w:p>
          <w:p w14:paraId="31E3CB46" w14:textId="77777777" w:rsidR="00470026" w:rsidRPr="00470026" w:rsidRDefault="00470026" w:rsidP="00470026">
            <w:pPr>
              <w:jc w:val="both"/>
              <w:rPr>
                <w:szCs w:val="20"/>
              </w:rPr>
            </w:pPr>
            <w:r w:rsidRPr="00470026">
              <w:rPr>
                <w:i/>
                <w:iCs/>
                <w:szCs w:val="20"/>
              </w:rPr>
              <w:t>Physical:</w:t>
            </w:r>
            <w:r w:rsidRPr="00470026">
              <w:rPr>
                <w:szCs w:val="20"/>
              </w:rPr>
              <w:t xml:space="preserve"> If the child can pick up a small object with two fingers, like a stick or rock from the ground, and/or the mother/primary caregiver does not indicate that the child is sometimes too sick to play, then the child is regarded as being developmentally on track in the physical domain.</w:t>
            </w:r>
          </w:p>
          <w:p w14:paraId="0AF9F9A6" w14:textId="73FD9587" w:rsidR="00470026" w:rsidRPr="00470026" w:rsidRDefault="00470026" w:rsidP="00470026">
            <w:pPr>
              <w:jc w:val="both"/>
              <w:rPr>
                <w:szCs w:val="20"/>
              </w:rPr>
            </w:pPr>
            <w:r w:rsidRPr="00470026">
              <w:rPr>
                <w:i/>
                <w:iCs/>
                <w:szCs w:val="20"/>
              </w:rPr>
              <w:t>Social-emotional:</w:t>
            </w:r>
            <w:r w:rsidRPr="00470026">
              <w:rPr>
                <w:szCs w:val="20"/>
              </w:rPr>
              <w:t xml:space="preserve"> The child is considered developmentally on track if two of the following are true: The child gets along well with other children; the child does not kick, bite or hit other children; and the child does not get distracted easily.</w:t>
            </w:r>
          </w:p>
          <w:p w14:paraId="32EB1824" w14:textId="625E4DB5" w:rsidR="00470026" w:rsidRPr="00470026" w:rsidRDefault="00470026" w:rsidP="00470026">
            <w:pPr>
              <w:jc w:val="both"/>
              <w:rPr>
                <w:szCs w:val="20"/>
              </w:rPr>
            </w:pPr>
            <w:r w:rsidRPr="00470026">
              <w:rPr>
                <w:i/>
                <w:iCs/>
                <w:szCs w:val="20"/>
              </w:rPr>
              <w:t>Learning:</w:t>
            </w:r>
            <w:r w:rsidRPr="00470026">
              <w:rPr>
                <w:szCs w:val="20"/>
              </w:rPr>
              <w:t xml:space="preserve"> If the child follows simple directions on how to do something correctly and/or when given something to do, and is able to do it independently, then the child is considered to be developmentally on track in the learning domain.</w:t>
            </w:r>
          </w:p>
          <w:p w14:paraId="0009F7D2" w14:textId="77777777" w:rsidR="00470026" w:rsidRPr="00470026" w:rsidRDefault="00470026" w:rsidP="00470026">
            <w:pPr>
              <w:jc w:val="both"/>
              <w:rPr>
                <w:szCs w:val="20"/>
              </w:rPr>
            </w:pPr>
          </w:p>
          <w:p w14:paraId="1974E57E" w14:textId="77777777" w:rsidR="00470026" w:rsidRPr="00470026" w:rsidRDefault="00470026" w:rsidP="00470026">
            <w:pPr>
              <w:jc w:val="both"/>
              <w:rPr>
                <w:szCs w:val="20"/>
              </w:rPr>
            </w:pPr>
            <w:r w:rsidRPr="00470026">
              <w:rPr>
                <w:szCs w:val="20"/>
              </w:rPr>
              <w:t>Comments and limitations:</w:t>
            </w:r>
          </w:p>
          <w:p w14:paraId="735F1AF1" w14:textId="3494E113" w:rsidR="00470026" w:rsidRPr="00470026" w:rsidRDefault="00470026" w:rsidP="00470026">
            <w:pPr>
              <w:jc w:val="both"/>
              <w:rPr>
                <w:szCs w:val="20"/>
              </w:rPr>
            </w:pPr>
            <w:r w:rsidRPr="00470026">
              <w:rPr>
                <w:szCs w:val="20"/>
              </w:rPr>
              <w:t>For the time being, a proxy indicator (children aged 36-59 months who are developmentally on-track in at least three of the following four domains: literacy-numeracy, physical, social-emotional and learning) is being used to report on 4.2.1 until the new measure has been finalized (expected by end of 2019). The proxy indicator is not fully aligned with the definition and age group covered by the SDG indicator formulation.</w:t>
            </w:r>
          </w:p>
          <w:p w14:paraId="768BE3AF" w14:textId="77777777" w:rsidR="00470026" w:rsidRDefault="00470026" w:rsidP="00221C59">
            <w:pPr>
              <w:jc w:val="both"/>
              <w:rPr>
                <w:b/>
                <w:bCs/>
                <w:szCs w:val="20"/>
              </w:rPr>
            </w:pPr>
          </w:p>
          <w:p w14:paraId="4405E60B" w14:textId="77777777" w:rsidR="00470026" w:rsidRPr="00470026" w:rsidRDefault="00470026" w:rsidP="00470026">
            <w:pPr>
              <w:jc w:val="both"/>
              <w:rPr>
                <w:b/>
                <w:bCs/>
                <w:szCs w:val="20"/>
              </w:rPr>
            </w:pPr>
            <w:r w:rsidRPr="00470026">
              <w:rPr>
                <w:b/>
                <w:bCs/>
                <w:szCs w:val="20"/>
              </w:rPr>
              <w:t>Computation Method:</w:t>
            </w:r>
          </w:p>
          <w:p w14:paraId="73F139F4" w14:textId="77777777" w:rsidR="00470026" w:rsidRPr="00470026" w:rsidRDefault="00470026" w:rsidP="00470026">
            <w:pPr>
              <w:jc w:val="both"/>
              <w:rPr>
                <w:szCs w:val="20"/>
              </w:rPr>
            </w:pPr>
            <w:r w:rsidRPr="00470026">
              <w:rPr>
                <w:szCs w:val="20"/>
              </w:rPr>
              <w:t>The number of children under the age of five who are developmentally on track in health, learning and psychosocial well-being divided by the total number of children under the age of five in the population multiplied by 100.</w:t>
            </w:r>
          </w:p>
          <w:p w14:paraId="084943D3" w14:textId="77777777" w:rsidR="00470026" w:rsidRPr="00470026" w:rsidRDefault="00470026" w:rsidP="00470026">
            <w:pPr>
              <w:jc w:val="both"/>
              <w:rPr>
                <w:szCs w:val="20"/>
              </w:rPr>
            </w:pPr>
          </w:p>
          <w:p w14:paraId="7DBBA4A1" w14:textId="77777777" w:rsidR="00470026" w:rsidRPr="00470026" w:rsidRDefault="00470026" w:rsidP="00470026">
            <w:pPr>
              <w:jc w:val="both"/>
              <w:rPr>
                <w:szCs w:val="20"/>
              </w:rPr>
            </w:pPr>
            <w:r w:rsidRPr="00470026">
              <w:rPr>
                <w:szCs w:val="20"/>
              </w:rPr>
              <w:t>Proxy indicator:</w:t>
            </w:r>
          </w:p>
          <w:p w14:paraId="2111B21A" w14:textId="22A7B06C" w:rsidR="00221C59" w:rsidRPr="00FA1A92" w:rsidRDefault="00470026" w:rsidP="00470026">
            <w:pPr>
              <w:jc w:val="both"/>
              <w:rPr>
                <w:b/>
                <w:bCs/>
                <w:szCs w:val="20"/>
              </w:rPr>
            </w:pPr>
            <w:r w:rsidRPr="00470026">
              <w:rPr>
                <w:szCs w:val="20"/>
              </w:rPr>
              <w:t>The number of children aged 36-59 months who are developmentally on-track in at least three of the following four domains: literacy-numeracy, physical, social-emotional and learning divided by the total number of children aged 36-59 months in the population multiplied by 100.</w:t>
            </w:r>
          </w:p>
        </w:tc>
        <w:tc>
          <w:tcPr>
            <w:tcW w:w="0" w:type="auto"/>
            <w:shd w:val="clear" w:color="auto" w:fill="auto"/>
          </w:tcPr>
          <w:p w14:paraId="3EEA4F6F" w14:textId="77777777" w:rsidR="00221C59" w:rsidRPr="00FA1A92" w:rsidRDefault="00221C59" w:rsidP="00221C59">
            <w:pPr>
              <w:jc w:val="center"/>
              <w:rPr>
                <w:bCs/>
                <w:szCs w:val="20"/>
              </w:rPr>
            </w:pPr>
            <w:r>
              <w:rPr>
                <w:bCs/>
                <w:szCs w:val="20"/>
              </w:rPr>
              <w:lastRenderedPageBreak/>
              <w:t xml:space="preserve">Household </w:t>
            </w:r>
            <w:r>
              <w:rPr>
                <w:bCs/>
                <w:szCs w:val="20"/>
              </w:rPr>
              <w:lastRenderedPageBreak/>
              <w:t>Survey</w:t>
            </w:r>
          </w:p>
        </w:tc>
        <w:tc>
          <w:tcPr>
            <w:tcW w:w="0" w:type="auto"/>
            <w:shd w:val="clear" w:color="auto" w:fill="auto"/>
          </w:tcPr>
          <w:p w14:paraId="3DF633CF" w14:textId="77777777" w:rsidR="00221C59" w:rsidRPr="00FA1A92" w:rsidRDefault="00221C59" w:rsidP="00221C59">
            <w:pPr>
              <w:jc w:val="center"/>
              <w:rPr>
                <w:bCs/>
                <w:szCs w:val="20"/>
              </w:rPr>
            </w:pPr>
            <w:r>
              <w:rPr>
                <w:bCs/>
                <w:szCs w:val="20"/>
              </w:rPr>
              <w:lastRenderedPageBreak/>
              <w:t>NSO</w:t>
            </w:r>
          </w:p>
        </w:tc>
        <w:tc>
          <w:tcPr>
            <w:tcW w:w="0" w:type="auto"/>
            <w:shd w:val="clear" w:color="auto" w:fill="auto"/>
          </w:tcPr>
          <w:p w14:paraId="292E67EA" w14:textId="0262DF59" w:rsidR="00221C59" w:rsidRPr="009F0F1A" w:rsidRDefault="00221C59" w:rsidP="00221C59">
            <w:pPr>
              <w:jc w:val="center"/>
              <w:rPr>
                <w:bCs/>
                <w:szCs w:val="20"/>
              </w:rPr>
            </w:pPr>
            <w:r>
              <w:rPr>
                <w:bCs/>
                <w:szCs w:val="20"/>
              </w:rPr>
              <w:t>MICS, BBS</w:t>
            </w:r>
          </w:p>
        </w:tc>
        <w:tc>
          <w:tcPr>
            <w:tcW w:w="0" w:type="auto"/>
            <w:shd w:val="clear" w:color="auto" w:fill="auto"/>
          </w:tcPr>
          <w:p w14:paraId="74553C12" w14:textId="77777777" w:rsidR="00221C59" w:rsidRPr="009F0F1A" w:rsidRDefault="00221C59" w:rsidP="00221C59">
            <w:pPr>
              <w:ind w:left="-10" w:firstLine="10"/>
              <w:jc w:val="center"/>
              <w:rPr>
                <w:bCs/>
                <w:szCs w:val="20"/>
              </w:rPr>
            </w:pPr>
            <w:r>
              <w:rPr>
                <w:bCs/>
                <w:szCs w:val="20"/>
              </w:rPr>
              <w:t>MICS, BBS</w:t>
            </w:r>
          </w:p>
        </w:tc>
        <w:tc>
          <w:tcPr>
            <w:tcW w:w="0" w:type="auto"/>
            <w:shd w:val="clear" w:color="auto" w:fill="auto"/>
          </w:tcPr>
          <w:p w14:paraId="04EE63FF" w14:textId="78F3242B" w:rsidR="00221C59" w:rsidRDefault="00221C59" w:rsidP="00470026">
            <w:pPr>
              <w:pStyle w:val="ListParagraph"/>
              <w:numPr>
                <w:ilvl w:val="0"/>
                <w:numId w:val="2"/>
              </w:numPr>
              <w:spacing w:after="0" w:line="240" w:lineRule="auto"/>
              <w:ind w:left="150" w:hanging="150"/>
              <w:rPr>
                <w:rFonts w:ascii="Tw Cen MT Condensed" w:hAnsi="Tw Cen MT Condensed"/>
                <w:bCs/>
                <w:sz w:val="20"/>
                <w:szCs w:val="20"/>
              </w:rPr>
            </w:pPr>
            <w:r w:rsidRPr="00076A71">
              <w:rPr>
                <w:rFonts w:ascii="Tw Cen MT Condensed" w:hAnsi="Tw Cen MT Condensed"/>
                <w:bCs/>
                <w:sz w:val="20"/>
                <w:szCs w:val="20"/>
              </w:rPr>
              <w:t>Age</w:t>
            </w:r>
            <w:r w:rsidR="00B27E61">
              <w:rPr>
                <w:rFonts w:ascii="Tw Cen MT Condensed" w:hAnsi="Tw Cen MT Condensed"/>
                <w:bCs/>
                <w:sz w:val="20"/>
                <w:szCs w:val="20"/>
              </w:rPr>
              <w:t xml:space="preserve">: 24-59 </w:t>
            </w:r>
            <w:r w:rsidR="00B27E61">
              <w:rPr>
                <w:rFonts w:ascii="Tw Cen MT Condensed" w:hAnsi="Tw Cen MT Condensed"/>
                <w:bCs/>
                <w:sz w:val="20"/>
                <w:szCs w:val="20"/>
              </w:rPr>
              <w:lastRenderedPageBreak/>
              <w:t>months, 36-59 months</w:t>
            </w:r>
          </w:p>
          <w:p w14:paraId="487EDF04" w14:textId="22BF7EC8" w:rsidR="00221C59" w:rsidRDefault="00221C59" w:rsidP="00470026">
            <w:pPr>
              <w:pStyle w:val="ListParagraph"/>
              <w:numPr>
                <w:ilvl w:val="0"/>
                <w:numId w:val="2"/>
              </w:numPr>
              <w:spacing w:after="0" w:line="240" w:lineRule="auto"/>
              <w:ind w:left="150" w:hanging="150"/>
              <w:rPr>
                <w:rFonts w:ascii="Tw Cen MT Condensed" w:hAnsi="Tw Cen MT Condensed"/>
                <w:bCs/>
                <w:sz w:val="20"/>
                <w:szCs w:val="20"/>
              </w:rPr>
            </w:pPr>
            <w:r w:rsidRPr="00076A71">
              <w:rPr>
                <w:rFonts w:ascii="Tw Cen MT Condensed" w:hAnsi="Tw Cen MT Condensed"/>
                <w:bCs/>
                <w:sz w:val="20"/>
                <w:szCs w:val="20"/>
              </w:rPr>
              <w:t>Sex</w:t>
            </w:r>
            <w:r w:rsidR="00B27E61">
              <w:rPr>
                <w:rFonts w:ascii="Tw Cen MT Condensed" w:hAnsi="Tw Cen MT Condensed"/>
                <w:bCs/>
                <w:sz w:val="20"/>
                <w:szCs w:val="20"/>
              </w:rPr>
              <w:t>: male, female</w:t>
            </w:r>
          </w:p>
          <w:p w14:paraId="463E6AD4" w14:textId="276F8D8F" w:rsidR="00221C59" w:rsidRDefault="00221C59" w:rsidP="00470026">
            <w:pPr>
              <w:pStyle w:val="ListParagraph"/>
              <w:numPr>
                <w:ilvl w:val="0"/>
                <w:numId w:val="2"/>
              </w:numPr>
              <w:spacing w:after="0" w:line="240" w:lineRule="auto"/>
              <w:ind w:left="150" w:hanging="150"/>
              <w:rPr>
                <w:rFonts w:ascii="Tw Cen MT Condensed" w:hAnsi="Tw Cen MT Condensed"/>
                <w:bCs/>
                <w:sz w:val="20"/>
                <w:szCs w:val="20"/>
              </w:rPr>
            </w:pPr>
            <w:r w:rsidRPr="00076A71">
              <w:rPr>
                <w:rFonts w:ascii="Tw Cen MT Condensed" w:hAnsi="Tw Cen MT Condensed"/>
                <w:bCs/>
                <w:sz w:val="20"/>
                <w:szCs w:val="20"/>
              </w:rPr>
              <w:t>Place of residence</w:t>
            </w:r>
            <w:r w:rsidR="00B27E61">
              <w:rPr>
                <w:rFonts w:ascii="Tw Cen MT Condensed" w:hAnsi="Tw Cen MT Condensed"/>
                <w:bCs/>
                <w:sz w:val="20"/>
                <w:szCs w:val="20"/>
              </w:rPr>
              <w:t xml:space="preserve"> urban, Rural</w:t>
            </w:r>
          </w:p>
          <w:p w14:paraId="639520B4" w14:textId="77777777" w:rsidR="00221C59" w:rsidRDefault="00221C59" w:rsidP="00470026">
            <w:pPr>
              <w:pStyle w:val="ListParagraph"/>
              <w:numPr>
                <w:ilvl w:val="0"/>
                <w:numId w:val="2"/>
              </w:numPr>
              <w:spacing w:after="0" w:line="240" w:lineRule="auto"/>
              <w:ind w:left="150" w:hanging="150"/>
              <w:rPr>
                <w:rFonts w:ascii="Tw Cen MT Condensed" w:hAnsi="Tw Cen MT Condensed"/>
                <w:bCs/>
                <w:sz w:val="20"/>
                <w:szCs w:val="20"/>
              </w:rPr>
            </w:pPr>
            <w:r w:rsidRPr="00076A71">
              <w:rPr>
                <w:rFonts w:ascii="Tw Cen MT Condensed" w:hAnsi="Tw Cen MT Condensed"/>
                <w:bCs/>
                <w:sz w:val="20"/>
                <w:szCs w:val="20"/>
              </w:rPr>
              <w:t>Wealth quintiles</w:t>
            </w:r>
          </w:p>
          <w:p w14:paraId="3E83353A" w14:textId="77777777" w:rsidR="003D3F72" w:rsidRDefault="00221C59" w:rsidP="00470026">
            <w:pPr>
              <w:pStyle w:val="ListParagraph"/>
              <w:numPr>
                <w:ilvl w:val="0"/>
                <w:numId w:val="2"/>
              </w:numPr>
              <w:spacing w:after="0" w:line="240" w:lineRule="auto"/>
              <w:ind w:left="145" w:hanging="145"/>
              <w:rPr>
                <w:rFonts w:ascii="Tw Cen MT Condensed" w:hAnsi="Tw Cen MT Condensed"/>
                <w:bCs/>
                <w:sz w:val="20"/>
                <w:szCs w:val="20"/>
              </w:rPr>
            </w:pPr>
            <w:r w:rsidRPr="00076A71">
              <w:rPr>
                <w:rFonts w:ascii="Tw Cen MT Condensed" w:hAnsi="Tw Cen MT Condensed"/>
                <w:bCs/>
                <w:sz w:val="20"/>
                <w:szCs w:val="20"/>
              </w:rPr>
              <w:t>Caregiver education and other background characteristics</w:t>
            </w:r>
          </w:p>
          <w:p w14:paraId="6B14837D" w14:textId="7D9664B0" w:rsidR="00221C59" w:rsidRPr="00FA1A92" w:rsidRDefault="00470026" w:rsidP="00221C59">
            <w:pPr>
              <w:pStyle w:val="ListParagraph"/>
              <w:numPr>
                <w:ilvl w:val="0"/>
                <w:numId w:val="2"/>
              </w:numPr>
              <w:spacing w:after="0" w:line="240" w:lineRule="auto"/>
              <w:ind w:left="145" w:hanging="145"/>
              <w:jc w:val="both"/>
              <w:rPr>
                <w:rFonts w:ascii="Tw Cen MT Condensed" w:hAnsi="Tw Cen MT Condensed"/>
                <w:bCs/>
                <w:sz w:val="20"/>
                <w:szCs w:val="20"/>
              </w:rPr>
            </w:pPr>
            <w:r>
              <w:rPr>
                <w:rFonts w:ascii="Tw Cen MT Condensed" w:hAnsi="Tw Cen MT Condensed"/>
                <w:bCs/>
                <w:sz w:val="20"/>
                <w:szCs w:val="20"/>
              </w:rPr>
              <w:t>Migrant</w:t>
            </w:r>
            <w:r w:rsidR="003D3F72">
              <w:rPr>
                <w:rFonts w:ascii="Tw Cen MT Condensed" w:hAnsi="Tw Cen MT Condensed"/>
                <w:bCs/>
                <w:sz w:val="20"/>
                <w:szCs w:val="20"/>
              </w:rPr>
              <w:t xml:space="preserve"> status</w:t>
            </w:r>
            <w:r w:rsidR="00B27E61">
              <w:rPr>
                <w:rFonts w:ascii="Tw Cen MT Condensed" w:hAnsi="Tw Cen MT Condensed"/>
                <w:bCs/>
                <w:sz w:val="20"/>
                <w:szCs w:val="20"/>
              </w:rPr>
              <w:t>: Migrant/ Non maigrant</w:t>
            </w:r>
            <w:r w:rsidR="00221C59" w:rsidRPr="00076A71">
              <w:rPr>
                <w:rFonts w:ascii="Tw Cen MT Condensed" w:hAnsi="Tw Cen MT Condensed"/>
                <w:bCs/>
                <w:sz w:val="20"/>
                <w:szCs w:val="20"/>
              </w:rPr>
              <w:t>.</w:t>
            </w:r>
          </w:p>
        </w:tc>
        <w:tc>
          <w:tcPr>
            <w:tcW w:w="0" w:type="auto"/>
            <w:shd w:val="clear" w:color="auto" w:fill="auto"/>
          </w:tcPr>
          <w:p w14:paraId="0D05340C" w14:textId="6CEED84F" w:rsidR="00221C59" w:rsidRDefault="005F24FB" w:rsidP="00221C59">
            <w:pPr>
              <w:jc w:val="center"/>
              <w:rPr>
                <w:bCs/>
                <w:szCs w:val="20"/>
              </w:rPr>
            </w:pPr>
            <w:r>
              <w:rPr>
                <w:bCs/>
                <w:szCs w:val="20"/>
              </w:rPr>
              <w:lastRenderedPageBreak/>
              <w:t>Triennial</w:t>
            </w:r>
          </w:p>
        </w:tc>
        <w:tc>
          <w:tcPr>
            <w:tcW w:w="0" w:type="auto"/>
            <w:shd w:val="clear" w:color="auto" w:fill="auto"/>
          </w:tcPr>
          <w:p w14:paraId="1BAA578D" w14:textId="77777777" w:rsidR="00221C59" w:rsidRDefault="00221C59" w:rsidP="00221C59">
            <w:pPr>
              <w:jc w:val="center"/>
              <w:rPr>
                <w:bCs/>
                <w:szCs w:val="20"/>
              </w:rPr>
            </w:pPr>
            <w:r>
              <w:rPr>
                <w:bCs/>
                <w:szCs w:val="20"/>
              </w:rPr>
              <w:t>Group 3</w:t>
            </w:r>
          </w:p>
        </w:tc>
        <w:tc>
          <w:tcPr>
            <w:tcW w:w="0" w:type="auto"/>
            <w:shd w:val="clear" w:color="auto" w:fill="auto"/>
          </w:tcPr>
          <w:p w14:paraId="70ED6F9F" w14:textId="77777777" w:rsidR="00221C59" w:rsidRDefault="00221C59" w:rsidP="00221C59">
            <w:pPr>
              <w:pStyle w:val="NoSpacing"/>
            </w:pPr>
            <w:r>
              <w:t>1</w:t>
            </w:r>
            <w:r w:rsidRPr="00013ACB">
              <w:rPr>
                <w:vertAlign w:val="superscript"/>
              </w:rPr>
              <w:t>st</w:t>
            </w:r>
            <w:r>
              <w:t xml:space="preserve"> </w:t>
            </w:r>
            <w:r>
              <w:lastRenderedPageBreak/>
              <w:t xml:space="preserve">Round: </w:t>
            </w:r>
          </w:p>
          <w:p w14:paraId="5FE017D4" w14:textId="77777777" w:rsidR="00221C59" w:rsidRDefault="00221C59" w:rsidP="00221C59">
            <w:pPr>
              <w:pStyle w:val="NoSpacing"/>
            </w:pPr>
            <w:r>
              <w:t>2013</w:t>
            </w:r>
          </w:p>
          <w:p w14:paraId="32FEFD9A" w14:textId="77777777" w:rsidR="00221C59" w:rsidRDefault="00221C59" w:rsidP="00221C59">
            <w:pPr>
              <w:pStyle w:val="NoSpacing"/>
            </w:pPr>
          </w:p>
          <w:p w14:paraId="7B53D1C3" w14:textId="77777777" w:rsidR="00221C59" w:rsidRDefault="00221C59" w:rsidP="00221C59">
            <w:pPr>
              <w:pStyle w:val="NoSpacing"/>
            </w:pPr>
            <w:r>
              <w:t>2</w:t>
            </w:r>
            <w:r w:rsidRPr="00013ACB">
              <w:rPr>
                <w:vertAlign w:val="superscript"/>
              </w:rPr>
              <w:t>nd</w:t>
            </w:r>
            <w:r>
              <w:t xml:space="preserve"> Round: </w:t>
            </w:r>
          </w:p>
          <w:p w14:paraId="59A3175B" w14:textId="77777777" w:rsidR="00221C59" w:rsidRDefault="00221C59" w:rsidP="00221C59">
            <w:pPr>
              <w:pStyle w:val="NoSpacing"/>
            </w:pPr>
            <w:r>
              <w:t>December, 2020</w:t>
            </w:r>
          </w:p>
          <w:p w14:paraId="60C3DF17" w14:textId="77777777" w:rsidR="00221C59" w:rsidRDefault="00221C59" w:rsidP="00221C59">
            <w:pPr>
              <w:pStyle w:val="NoSpacing"/>
            </w:pPr>
          </w:p>
          <w:p w14:paraId="555257CF" w14:textId="77777777" w:rsidR="00221C59" w:rsidRDefault="00221C59" w:rsidP="00221C59">
            <w:pPr>
              <w:pStyle w:val="NoSpacing"/>
            </w:pPr>
            <w:r>
              <w:t>3</w:t>
            </w:r>
            <w:r w:rsidRPr="00013ACB">
              <w:rPr>
                <w:vertAlign w:val="superscript"/>
              </w:rPr>
              <w:t>rd</w:t>
            </w:r>
            <w:r>
              <w:t xml:space="preserve"> Round: </w:t>
            </w:r>
          </w:p>
          <w:p w14:paraId="52FF93F6" w14:textId="77777777" w:rsidR="00221C59" w:rsidRDefault="00221C59" w:rsidP="00221C59">
            <w:pPr>
              <w:pStyle w:val="NoSpacing"/>
            </w:pPr>
            <w:r>
              <w:t>December, 2023</w:t>
            </w:r>
          </w:p>
          <w:p w14:paraId="31DC368F" w14:textId="77777777" w:rsidR="00221C59" w:rsidRDefault="00221C59" w:rsidP="00221C59">
            <w:pPr>
              <w:pStyle w:val="NoSpacing"/>
            </w:pPr>
            <w:r>
              <w:t>4</w:t>
            </w:r>
            <w:r w:rsidRPr="00013ACB">
              <w:rPr>
                <w:vertAlign w:val="superscript"/>
              </w:rPr>
              <w:t>th</w:t>
            </w:r>
            <w:r>
              <w:t xml:space="preserve"> Round: </w:t>
            </w:r>
          </w:p>
          <w:p w14:paraId="6825DEE5" w14:textId="77777777" w:rsidR="00221C59" w:rsidRDefault="00221C59" w:rsidP="00221C59">
            <w:pPr>
              <w:pStyle w:val="NoSpacing"/>
            </w:pPr>
            <w:r>
              <w:t>December, 2026</w:t>
            </w:r>
          </w:p>
          <w:p w14:paraId="0FE4D3F5" w14:textId="77777777" w:rsidR="00221C59" w:rsidRDefault="00221C59" w:rsidP="00221C59">
            <w:pPr>
              <w:pStyle w:val="NoSpacing"/>
            </w:pPr>
            <w:r>
              <w:t>5</w:t>
            </w:r>
            <w:r w:rsidRPr="00013ACB">
              <w:rPr>
                <w:vertAlign w:val="superscript"/>
              </w:rPr>
              <w:t>th</w:t>
            </w:r>
            <w:r>
              <w:t xml:space="preserve"> Round: </w:t>
            </w:r>
          </w:p>
          <w:p w14:paraId="58A40C88" w14:textId="77777777" w:rsidR="00221C59" w:rsidRDefault="00221C59" w:rsidP="00221C59">
            <w:pPr>
              <w:jc w:val="both"/>
              <w:rPr>
                <w:bCs/>
                <w:szCs w:val="20"/>
              </w:rPr>
            </w:pPr>
            <w:r>
              <w:t>December, 2029</w:t>
            </w:r>
          </w:p>
        </w:tc>
        <w:tc>
          <w:tcPr>
            <w:tcW w:w="0" w:type="auto"/>
            <w:shd w:val="clear" w:color="auto" w:fill="auto"/>
          </w:tcPr>
          <w:p w14:paraId="6250F0A7" w14:textId="261F0085" w:rsidR="001A2C6C" w:rsidRPr="00235520" w:rsidRDefault="001A2C6C" w:rsidP="001A2C6C">
            <w:pPr>
              <w:pStyle w:val="NoSpacing"/>
            </w:pPr>
            <w:r w:rsidRPr="001A2C6C">
              <w:rPr>
                <w:bCs/>
                <w:szCs w:val="20"/>
              </w:rPr>
              <w:lastRenderedPageBreak/>
              <w:t xml:space="preserve">Refinement of </w:t>
            </w:r>
            <w:r w:rsidRPr="001A2C6C">
              <w:rPr>
                <w:bCs/>
                <w:szCs w:val="20"/>
              </w:rPr>
              <w:lastRenderedPageBreak/>
              <w:t>the indicator name approved by the Inter-agency and Expert Group on SDG Indicators (IAEG-SDGs) on 13 March and 2 April 2020. Final approval pending the 52nd session of the Statistical Commission in March 2021</w:t>
            </w:r>
          </w:p>
          <w:p w14:paraId="562D28C8" w14:textId="77777777" w:rsidR="001A2C6C" w:rsidRPr="001A2C6C" w:rsidRDefault="001A2C6C" w:rsidP="001A2C6C">
            <w:pPr>
              <w:pStyle w:val="NoSpacing"/>
              <w:rPr>
                <w:bCs/>
                <w:szCs w:val="20"/>
              </w:rPr>
            </w:pPr>
          </w:p>
          <w:p w14:paraId="1D827300" w14:textId="77777777" w:rsidR="001A2C6C" w:rsidRPr="001A2C6C" w:rsidRDefault="001A2C6C" w:rsidP="001A2C6C">
            <w:pPr>
              <w:pStyle w:val="NoSpacing"/>
              <w:rPr>
                <w:bCs/>
                <w:szCs w:val="20"/>
              </w:rPr>
            </w:pPr>
            <w:r w:rsidRPr="001A2C6C">
              <w:rPr>
                <w:bCs/>
                <w:szCs w:val="20"/>
              </w:rPr>
              <w:t>UNSC 51 deletion included in the 2020 comprehensive review; the portion of the indicator that measured progress for children between 0 and 23 months of age, which was a tier III, was deleted</w:t>
            </w:r>
          </w:p>
          <w:p w14:paraId="30828185" w14:textId="77777777" w:rsidR="001A2C6C" w:rsidRPr="001A2C6C" w:rsidRDefault="001A2C6C" w:rsidP="001A2C6C">
            <w:pPr>
              <w:pStyle w:val="NoSpacing"/>
              <w:rPr>
                <w:bCs/>
                <w:szCs w:val="20"/>
              </w:rPr>
            </w:pPr>
          </w:p>
          <w:p w14:paraId="19AF9FD7" w14:textId="77777777" w:rsidR="001A2C6C" w:rsidRPr="001A2C6C" w:rsidRDefault="001A2C6C" w:rsidP="001A2C6C">
            <w:pPr>
              <w:pStyle w:val="NoSpacing"/>
              <w:rPr>
                <w:bCs/>
                <w:szCs w:val="20"/>
              </w:rPr>
            </w:pPr>
            <w:r w:rsidRPr="001A2C6C">
              <w:rPr>
                <w:bCs/>
                <w:szCs w:val="20"/>
              </w:rPr>
              <w:t xml:space="preserve">IAEG-SDG 9th meeting: Multi-tier classification. Part of indicator </w:t>
            </w:r>
            <w:r w:rsidRPr="001A2C6C">
              <w:rPr>
                <w:bCs/>
                <w:szCs w:val="20"/>
              </w:rPr>
              <w:lastRenderedPageBreak/>
              <w:t>measuring progress for children 0-23 months is Tier III, for children 24-59 months indicator is Tier II (classified as Tier II/III).</w:t>
            </w:r>
          </w:p>
          <w:p w14:paraId="0193AA64" w14:textId="77777777" w:rsidR="001A2C6C" w:rsidRPr="001A2C6C" w:rsidRDefault="001A2C6C" w:rsidP="001A2C6C">
            <w:pPr>
              <w:pStyle w:val="NoSpacing"/>
              <w:rPr>
                <w:bCs/>
                <w:szCs w:val="20"/>
              </w:rPr>
            </w:pPr>
          </w:p>
          <w:p w14:paraId="2881B5E5" w14:textId="18FC630C" w:rsidR="001A2C6C" w:rsidRDefault="001A2C6C" w:rsidP="001A2C6C">
            <w:pPr>
              <w:pStyle w:val="NoSpacing"/>
              <w:rPr>
                <w:bCs/>
                <w:szCs w:val="20"/>
              </w:rPr>
            </w:pPr>
            <w:r w:rsidRPr="001A2C6C">
              <w:rPr>
                <w:bCs/>
                <w:szCs w:val="20"/>
              </w:rPr>
              <w:t>IAEG-SDG 3rd meeting: There is no established methodology for the indicator (classified as Tier III)</w:t>
            </w:r>
          </w:p>
        </w:tc>
      </w:tr>
      <w:tr w:rsidR="000E716D" w14:paraId="7A790E5A" w14:textId="77777777" w:rsidTr="0085651F">
        <w:tc>
          <w:tcPr>
            <w:tcW w:w="1101" w:type="dxa"/>
            <w:shd w:val="clear" w:color="auto" w:fill="auto"/>
          </w:tcPr>
          <w:p w14:paraId="11BDFDA0" w14:textId="77777777" w:rsidR="00221C59" w:rsidRPr="00076A71" w:rsidRDefault="00221C59" w:rsidP="00221C59">
            <w:pPr>
              <w:jc w:val="both"/>
              <w:rPr>
                <w:szCs w:val="20"/>
              </w:rPr>
            </w:pPr>
            <w:r w:rsidRPr="00076A71">
              <w:rPr>
                <w:szCs w:val="20"/>
              </w:rPr>
              <w:lastRenderedPageBreak/>
              <w:t>4.2.2 Participation rate in organized learning (one year before the official primary entry age), by sex</w:t>
            </w:r>
          </w:p>
        </w:tc>
        <w:tc>
          <w:tcPr>
            <w:tcW w:w="854" w:type="dxa"/>
            <w:shd w:val="clear" w:color="auto" w:fill="auto"/>
          </w:tcPr>
          <w:p w14:paraId="40B78AC3" w14:textId="77777777" w:rsidR="00221C59" w:rsidRDefault="00221C59" w:rsidP="00221C59">
            <w:pPr>
              <w:jc w:val="center"/>
              <w:rPr>
                <w:b/>
                <w:bCs/>
                <w:sz w:val="22"/>
                <w:szCs w:val="22"/>
                <w:lang w:bidi="bn-BD"/>
              </w:rPr>
            </w:pPr>
            <w:r w:rsidRPr="00076A71">
              <w:rPr>
                <w:sz w:val="22"/>
                <w:szCs w:val="22"/>
                <w:lang w:bidi="bn-BD"/>
              </w:rPr>
              <w:t>UNESCO-UIS</w:t>
            </w:r>
            <w:r w:rsidRPr="00076A71">
              <w:rPr>
                <w:b/>
                <w:bCs/>
                <w:sz w:val="22"/>
                <w:szCs w:val="22"/>
                <w:lang w:bidi="bn-BD"/>
              </w:rPr>
              <w:t xml:space="preserve"> </w:t>
            </w:r>
          </w:p>
          <w:p w14:paraId="5C53380D" w14:textId="77777777" w:rsidR="00221C59" w:rsidRDefault="00221C59" w:rsidP="00221C59">
            <w:pPr>
              <w:jc w:val="center"/>
              <w:rPr>
                <w:b/>
                <w:bCs/>
                <w:sz w:val="22"/>
                <w:szCs w:val="22"/>
                <w:lang w:bidi="bn-BD"/>
              </w:rPr>
            </w:pPr>
          </w:p>
          <w:p w14:paraId="7F9A230F" w14:textId="77777777" w:rsidR="00221C59" w:rsidRPr="00076A71" w:rsidRDefault="00221C59" w:rsidP="00221C59">
            <w:pPr>
              <w:jc w:val="center"/>
              <w:rPr>
                <w:b/>
                <w:bCs/>
                <w:sz w:val="22"/>
                <w:szCs w:val="22"/>
                <w:lang w:bidi="bn-BD"/>
              </w:rPr>
            </w:pPr>
            <w:r w:rsidRPr="00076A71">
              <w:rPr>
                <w:b/>
                <w:bCs/>
                <w:sz w:val="22"/>
                <w:szCs w:val="22"/>
                <w:lang w:bidi="bn-BD"/>
              </w:rPr>
              <w:t>Partner Agencies:</w:t>
            </w:r>
          </w:p>
          <w:p w14:paraId="573FFC92" w14:textId="77777777" w:rsidR="00221C59" w:rsidRPr="00076A71" w:rsidRDefault="00221C59" w:rsidP="00221C59">
            <w:pPr>
              <w:jc w:val="center"/>
              <w:rPr>
                <w:sz w:val="22"/>
                <w:szCs w:val="22"/>
              </w:rPr>
            </w:pPr>
            <w:r w:rsidRPr="00076A71">
              <w:rPr>
                <w:sz w:val="22"/>
                <w:szCs w:val="22"/>
              </w:rPr>
              <w:t>UNICEF</w:t>
            </w:r>
            <w:r w:rsidRPr="00076A71">
              <w:rPr>
                <w:sz w:val="22"/>
                <w:szCs w:val="22"/>
                <w:lang w:bidi="bn-BD"/>
              </w:rPr>
              <w:t>, OECD</w:t>
            </w:r>
          </w:p>
        </w:tc>
        <w:tc>
          <w:tcPr>
            <w:tcW w:w="0" w:type="auto"/>
            <w:shd w:val="clear" w:color="auto" w:fill="auto"/>
          </w:tcPr>
          <w:p w14:paraId="4CC94C46" w14:textId="77777777" w:rsidR="00221C59" w:rsidRPr="00076A71" w:rsidRDefault="00221C59" w:rsidP="00221C59">
            <w:pPr>
              <w:jc w:val="center"/>
              <w:rPr>
                <w:szCs w:val="20"/>
              </w:rPr>
            </w:pPr>
            <w:r>
              <w:rPr>
                <w:szCs w:val="20"/>
              </w:rPr>
              <w:t>Tier I</w:t>
            </w:r>
          </w:p>
        </w:tc>
        <w:tc>
          <w:tcPr>
            <w:tcW w:w="0" w:type="auto"/>
            <w:shd w:val="clear" w:color="auto" w:fill="auto"/>
          </w:tcPr>
          <w:p w14:paraId="617FEE19" w14:textId="77777777" w:rsidR="00221C59" w:rsidRDefault="00221C59" w:rsidP="00221C59">
            <w:pPr>
              <w:jc w:val="both"/>
              <w:rPr>
                <w:b/>
                <w:bCs/>
                <w:szCs w:val="20"/>
              </w:rPr>
            </w:pPr>
            <w:r w:rsidRPr="00076A71">
              <w:rPr>
                <w:b/>
                <w:bCs/>
                <w:szCs w:val="20"/>
              </w:rPr>
              <w:t xml:space="preserve">Definition: </w:t>
            </w:r>
          </w:p>
          <w:p w14:paraId="03DE18AA" w14:textId="77777777" w:rsidR="00221C59" w:rsidRDefault="00221C59" w:rsidP="00221C59">
            <w:pPr>
              <w:jc w:val="both"/>
              <w:rPr>
                <w:szCs w:val="20"/>
              </w:rPr>
            </w:pPr>
            <w:r w:rsidRPr="00076A71">
              <w:rPr>
                <w:szCs w:val="20"/>
              </w:rPr>
              <w:t xml:space="preserve">The participation rate in organized learning (one year before the official primary entry age), by sex as defined as the percentage of children in the given age range who participate in one or more organized learning programme, including programmes which offer a combination of education and care. Participation in early childhood and in primary education </w:t>
            </w:r>
            <w:proofErr w:type="gramStart"/>
            <w:r w:rsidRPr="00076A71">
              <w:rPr>
                <w:szCs w:val="20"/>
              </w:rPr>
              <w:t>are</w:t>
            </w:r>
            <w:proofErr w:type="gramEnd"/>
            <w:r w:rsidRPr="00076A71">
              <w:rPr>
                <w:szCs w:val="20"/>
              </w:rPr>
              <w:t xml:space="preserve"> both included. The age range will vary by country depending on the official age for entry to primary education.</w:t>
            </w:r>
          </w:p>
          <w:p w14:paraId="7A64F497" w14:textId="77777777" w:rsidR="00221C59" w:rsidRDefault="00221C59" w:rsidP="00221C59">
            <w:pPr>
              <w:jc w:val="both"/>
              <w:rPr>
                <w:b/>
                <w:bCs/>
                <w:szCs w:val="20"/>
              </w:rPr>
            </w:pPr>
          </w:p>
          <w:p w14:paraId="0E0845F6" w14:textId="77777777" w:rsidR="00221C59" w:rsidRDefault="00221C59" w:rsidP="00221C59">
            <w:pPr>
              <w:jc w:val="both"/>
              <w:rPr>
                <w:b/>
                <w:bCs/>
                <w:szCs w:val="20"/>
              </w:rPr>
            </w:pPr>
            <w:r w:rsidRPr="00076A71">
              <w:rPr>
                <w:b/>
                <w:bCs/>
                <w:szCs w:val="20"/>
              </w:rPr>
              <w:t>Concepts:</w:t>
            </w:r>
          </w:p>
          <w:p w14:paraId="6E70A0A4" w14:textId="77777777" w:rsidR="00221C59" w:rsidRDefault="00221C59" w:rsidP="00221C59">
            <w:pPr>
              <w:jc w:val="both"/>
              <w:rPr>
                <w:szCs w:val="20"/>
              </w:rPr>
            </w:pPr>
            <w:r w:rsidRPr="00076A71">
              <w:rPr>
                <w:szCs w:val="20"/>
              </w:rPr>
              <w:t xml:space="preserve">An organized learning programme is one which consists of a coherent set or sequence of educational activities designed with the intention of achieving pre-determined learning outcomes or the accomplishment of a specific set of educational tasks. Early childhood and primary education programmes are examples of organized learning programmes. Early childhood and primary education are defined in the 2011 revision of the International Standard Classification of Education (ISCED 2011). Early childhood education is typically designed with a holistic approach to support children’s early cognitive, physical, social and emotional development and to introduce young children to organized instruction outside the family context. Primary education offers learning and </w:t>
            </w:r>
            <w:r w:rsidRPr="00076A71">
              <w:rPr>
                <w:szCs w:val="20"/>
              </w:rPr>
              <w:lastRenderedPageBreak/>
              <w:t>educational activities designed to provide students with fundamental skills in reading, writing and mathematics and establish a solid foundation for learning and understanding core areas of knowledge and personal development. It focuses on learning at a basic level of complexity with little, if any, specialisation. The official primary entry age is the age at which children are obliged to start primary education according to national legislation or policies. Where more than one age is specified, for example, in different parts of a country, the most common official entry age (i.e. the age at which most children in the country are expected to start primary) is used for the calculation of this indicator at the global level.</w:t>
            </w:r>
          </w:p>
          <w:p w14:paraId="71CFAF35" w14:textId="77777777" w:rsidR="00221C59" w:rsidRDefault="00221C59" w:rsidP="00221C59">
            <w:pPr>
              <w:jc w:val="both"/>
              <w:rPr>
                <w:b/>
                <w:bCs/>
                <w:szCs w:val="20"/>
              </w:rPr>
            </w:pPr>
          </w:p>
          <w:p w14:paraId="4781795E" w14:textId="77777777" w:rsidR="00221C59" w:rsidRDefault="00221C59" w:rsidP="00221C59">
            <w:pPr>
              <w:jc w:val="both"/>
              <w:rPr>
                <w:b/>
                <w:bCs/>
                <w:szCs w:val="20"/>
              </w:rPr>
            </w:pPr>
            <w:r w:rsidRPr="00076A71">
              <w:rPr>
                <w:b/>
                <w:bCs/>
                <w:szCs w:val="20"/>
              </w:rPr>
              <w:t xml:space="preserve">Computation Method: </w:t>
            </w:r>
          </w:p>
          <w:p w14:paraId="4D19E164" w14:textId="77777777" w:rsidR="00221C59" w:rsidRDefault="00221C59" w:rsidP="00221C59">
            <w:pPr>
              <w:jc w:val="both"/>
              <w:rPr>
                <w:szCs w:val="20"/>
              </w:rPr>
            </w:pPr>
            <w:r w:rsidRPr="00076A71">
              <w:rPr>
                <w:szCs w:val="20"/>
              </w:rPr>
              <w:t>The number of children in the relevant age group who participate in an organized learning programme is expressed as a percentage of the total population in the same age range. The indicator can be calculated both from administrative data and from household surveys. If the former, the number of enrolments in organized learning programmes are reported by schools and the population in the age group one year below the official primary entry age is derived from population estimates. For the calculation of this indicator at the global level, population estimates from the UN Population Division are used. If derived from household surveys, both enrolments and population are collected at the same time.</w:t>
            </w:r>
          </w:p>
          <w:p w14:paraId="74E895C9" w14:textId="77777777" w:rsidR="00221C59" w:rsidRDefault="00221C59" w:rsidP="00221C59">
            <w:pPr>
              <w:jc w:val="both"/>
              <w:rPr>
                <w:szCs w:val="20"/>
              </w:rPr>
            </w:pPr>
          </w:p>
          <w:p w14:paraId="19C745C5" w14:textId="77777777" w:rsidR="00221C59" w:rsidRDefault="00221C59" w:rsidP="00221C59">
            <w:pPr>
              <w:jc w:val="both"/>
              <w:rPr>
                <w:szCs w:val="20"/>
              </w:rPr>
            </w:pPr>
            <w:r w:rsidRPr="00076A71">
              <w:rPr>
                <w:szCs w:val="20"/>
              </w:rPr>
              <w:t xml:space="preserve">PROL0t1,AG(a-1) = E0t1,AG(a-1) </w:t>
            </w:r>
          </w:p>
          <w:p w14:paraId="0CCC52E3" w14:textId="77777777" w:rsidR="00221C59" w:rsidRDefault="00221C59" w:rsidP="00221C59">
            <w:pPr>
              <w:jc w:val="both"/>
              <w:rPr>
                <w:szCs w:val="20"/>
              </w:rPr>
            </w:pPr>
            <w:r w:rsidRPr="00076A71">
              <w:rPr>
                <w:szCs w:val="20"/>
              </w:rPr>
              <w:t xml:space="preserve">SAPAG(a-1) </w:t>
            </w:r>
          </w:p>
          <w:p w14:paraId="15948A69" w14:textId="77777777" w:rsidR="00221C59" w:rsidRPr="00076A71" w:rsidRDefault="00221C59" w:rsidP="00221C59">
            <w:pPr>
              <w:jc w:val="both"/>
              <w:rPr>
                <w:i/>
                <w:iCs/>
                <w:szCs w:val="20"/>
              </w:rPr>
            </w:pPr>
            <w:r w:rsidRPr="00076A71">
              <w:rPr>
                <w:i/>
                <w:iCs/>
                <w:szCs w:val="20"/>
              </w:rPr>
              <w:t>where: PROL0t1,AG(a-1)= participation rate in organized learning one year before the official entry age a to primary education</w:t>
            </w:r>
          </w:p>
          <w:p w14:paraId="7E8E9D9B" w14:textId="77777777" w:rsidR="00221C59" w:rsidRPr="00076A71" w:rsidRDefault="00221C59" w:rsidP="00221C59">
            <w:pPr>
              <w:jc w:val="both"/>
              <w:rPr>
                <w:i/>
                <w:iCs/>
                <w:szCs w:val="20"/>
              </w:rPr>
            </w:pPr>
            <w:r w:rsidRPr="00076A71">
              <w:rPr>
                <w:i/>
                <w:iCs/>
                <w:szCs w:val="20"/>
              </w:rPr>
              <w:t>E0t1,AG(a-1) = enrolment in early childhood or primary education (ISCED levels 0 and 1) aged one year below the official entry age a to primary education</w:t>
            </w:r>
          </w:p>
          <w:p w14:paraId="40413DBE" w14:textId="77777777" w:rsidR="00221C59" w:rsidRPr="00076A71" w:rsidRDefault="00221C59" w:rsidP="00221C59">
            <w:pPr>
              <w:jc w:val="both"/>
              <w:rPr>
                <w:szCs w:val="20"/>
              </w:rPr>
            </w:pPr>
            <w:r w:rsidRPr="00076A71">
              <w:rPr>
                <w:i/>
                <w:iCs/>
                <w:szCs w:val="20"/>
              </w:rPr>
              <w:t>SAPAG(a-1) = school-age population aged one year below the official entry age a to primary education</w:t>
            </w:r>
          </w:p>
        </w:tc>
        <w:tc>
          <w:tcPr>
            <w:tcW w:w="0" w:type="auto"/>
            <w:shd w:val="clear" w:color="auto" w:fill="auto"/>
          </w:tcPr>
          <w:p w14:paraId="21EA745F" w14:textId="77777777" w:rsidR="00221C59" w:rsidRDefault="00221C59" w:rsidP="00221C59">
            <w:pPr>
              <w:jc w:val="center"/>
              <w:rPr>
                <w:bCs/>
                <w:szCs w:val="20"/>
              </w:rPr>
            </w:pPr>
            <w:r>
              <w:rPr>
                <w:bCs/>
                <w:szCs w:val="20"/>
              </w:rPr>
              <w:lastRenderedPageBreak/>
              <w:t>Household Survey;</w:t>
            </w:r>
          </w:p>
          <w:p w14:paraId="3A7F2BE4" w14:textId="77777777" w:rsidR="00221C59" w:rsidRDefault="00221C59" w:rsidP="00221C59">
            <w:pPr>
              <w:jc w:val="center"/>
              <w:rPr>
                <w:bCs/>
                <w:szCs w:val="20"/>
              </w:rPr>
            </w:pPr>
            <w:r>
              <w:rPr>
                <w:bCs/>
                <w:szCs w:val="20"/>
              </w:rPr>
              <w:t>Administrative Record on enrolment</w:t>
            </w:r>
          </w:p>
        </w:tc>
        <w:tc>
          <w:tcPr>
            <w:tcW w:w="0" w:type="auto"/>
            <w:shd w:val="clear" w:color="auto" w:fill="auto"/>
          </w:tcPr>
          <w:p w14:paraId="3BC39954" w14:textId="77777777" w:rsidR="00221C59" w:rsidRDefault="00221C59" w:rsidP="00221C59">
            <w:pPr>
              <w:jc w:val="center"/>
              <w:rPr>
                <w:bCs/>
                <w:szCs w:val="20"/>
              </w:rPr>
            </w:pPr>
            <w:r>
              <w:rPr>
                <w:bCs/>
                <w:szCs w:val="20"/>
              </w:rPr>
              <w:t>NSO;</w:t>
            </w:r>
          </w:p>
          <w:p w14:paraId="59DDFAA3" w14:textId="77777777" w:rsidR="00221C59" w:rsidRDefault="00221C59" w:rsidP="00221C59">
            <w:pPr>
              <w:jc w:val="center"/>
              <w:rPr>
                <w:bCs/>
                <w:szCs w:val="20"/>
              </w:rPr>
            </w:pPr>
            <w:r>
              <w:rPr>
                <w:bCs/>
                <w:szCs w:val="20"/>
              </w:rPr>
              <w:t>Ministry of Primary Education</w:t>
            </w:r>
          </w:p>
        </w:tc>
        <w:tc>
          <w:tcPr>
            <w:tcW w:w="0" w:type="auto"/>
            <w:shd w:val="clear" w:color="auto" w:fill="auto"/>
          </w:tcPr>
          <w:p w14:paraId="7BAAC9F4" w14:textId="269C109D" w:rsidR="00221C59" w:rsidRDefault="00221C59" w:rsidP="00221C59">
            <w:pPr>
              <w:jc w:val="both"/>
              <w:rPr>
                <w:bCs/>
                <w:szCs w:val="20"/>
              </w:rPr>
            </w:pPr>
            <w:r w:rsidRPr="00AA42B8">
              <w:rPr>
                <w:bCs/>
                <w:szCs w:val="20"/>
              </w:rPr>
              <w:t>APSC</w:t>
            </w:r>
            <w:r>
              <w:rPr>
                <w:bCs/>
                <w:szCs w:val="20"/>
              </w:rPr>
              <w:t>, DPE</w:t>
            </w:r>
          </w:p>
          <w:p w14:paraId="6212A161" w14:textId="4C362662" w:rsidR="00221C59" w:rsidRDefault="00221C59" w:rsidP="00221C59">
            <w:pPr>
              <w:jc w:val="both"/>
              <w:rPr>
                <w:bCs/>
                <w:szCs w:val="20"/>
              </w:rPr>
            </w:pPr>
          </w:p>
        </w:tc>
        <w:tc>
          <w:tcPr>
            <w:tcW w:w="0" w:type="auto"/>
            <w:shd w:val="clear" w:color="auto" w:fill="auto"/>
          </w:tcPr>
          <w:p w14:paraId="7FC5FD4C" w14:textId="546B6527" w:rsidR="00221C59" w:rsidRDefault="00221C59" w:rsidP="00221C59">
            <w:pPr>
              <w:ind w:left="-10" w:firstLine="10"/>
              <w:jc w:val="center"/>
              <w:rPr>
                <w:bCs/>
                <w:szCs w:val="20"/>
              </w:rPr>
            </w:pPr>
            <w:r>
              <w:rPr>
                <w:bCs/>
                <w:szCs w:val="20"/>
              </w:rPr>
              <w:t xml:space="preserve">a) </w:t>
            </w:r>
            <w:r w:rsidRPr="00BC6F10">
              <w:rPr>
                <w:rFonts w:cs="Times New Roman"/>
                <w:bCs/>
                <w:color w:val="000000" w:themeColor="text1"/>
                <w:szCs w:val="20"/>
              </w:rPr>
              <w:t>LAS</w:t>
            </w:r>
            <w:r>
              <w:rPr>
                <w:rFonts w:cs="Times New Roman"/>
                <w:bCs/>
                <w:color w:val="000000" w:themeColor="text1"/>
                <w:szCs w:val="20"/>
              </w:rPr>
              <w:t>/EHS</w:t>
            </w:r>
            <w:r w:rsidRPr="0030455E">
              <w:rPr>
                <w:rFonts w:cs="Times New Roman"/>
                <w:bCs/>
                <w:color w:val="000000" w:themeColor="text1"/>
                <w:szCs w:val="20"/>
              </w:rPr>
              <w:t>/PHC/ MICS/SVRS</w:t>
            </w:r>
            <w:r>
              <w:rPr>
                <w:bCs/>
                <w:szCs w:val="20"/>
              </w:rPr>
              <w:t>, BBS</w:t>
            </w:r>
          </w:p>
          <w:p w14:paraId="69933E80" w14:textId="77777777" w:rsidR="00221C59" w:rsidRDefault="00221C59" w:rsidP="00221C59">
            <w:pPr>
              <w:ind w:left="-10" w:firstLine="10"/>
              <w:jc w:val="center"/>
              <w:rPr>
                <w:bCs/>
                <w:szCs w:val="20"/>
              </w:rPr>
            </w:pPr>
            <w:r>
              <w:rPr>
                <w:bCs/>
                <w:szCs w:val="20"/>
              </w:rPr>
              <w:t>b) APSC</w:t>
            </w:r>
            <w:r>
              <w:rPr>
                <w:rFonts w:cs="Times New Roman"/>
                <w:bCs/>
                <w:color w:val="000000" w:themeColor="text1"/>
                <w:szCs w:val="20"/>
              </w:rPr>
              <w:t xml:space="preserve">, </w:t>
            </w:r>
            <w:r w:rsidRPr="000769F3">
              <w:rPr>
                <w:rFonts w:cs="Times New Roman"/>
                <w:bCs/>
                <w:color w:val="000000" w:themeColor="text1"/>
                <w:szCs w:val="20"/>
              </w:rPr>
              <w:t>MoPME</w:t>
            </w:r>
            <w:r>
              <w:rPr>
                <w:bCs/>
                <w:szCs w:val="20"/>
              </w:rPr>
              <w:t>, DPE</w:t>
            </w:r>
          </w:p>
        </w:tc>
        <w:tc>
          <w:tcPr>
            <w:tcW w:w="0" w:type="auto"/>
            <w:shd w:val="clear" w:color="auto" w:fill="auto"/>
          </w:tcPr>
          <w:p w14:paraId="50D191EF" w14:textId="0DA1A78E" w:rsidR="00221C59"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Age</w:t>
            </w:r>
            <w:r w:rsidR="00B27E61">
              <w:rPr>
                <w:rFonts w:ascii="Tw Cen MT Condensed" w:hAnsi="Tw Cen MT Condensed"/>
                <w:bCs/>
                <w:sz w:val="20"/>
                <w:szCs w:val="20"/>
              </w:rPr>
              <w:t>: 3-4 yrs, 4-5 yrs, 5-6 yrs</w:t>
            </w:r>
          </w:p>
          <w:p w14:paraId="12D86B13" w14:textId="0DA5B08E" w:rsidR="00221C59"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Sex</w:t>
            </w:r>
            <w:r w:rsidR="00B27E61">
              <w:rPr>
                <w:rFonts w:ascii="Tw Cen MT Condensed" w:hAnsi="Tw Cen MT Condensed"/>
                <w:bCs/>
                <w:sz w:val="20"/>
                <w:szCs w:val="20"/>
              </w:rPr>
              <w:t>: male, female</w:t>
            </w:r>
          </w:p>
          <w:p w14:paraId="139064F0" w14:textId="2872F361" w:rsidR="00221C59"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Location</w:t>
            </w:r>
            <w:r w:rsidR="00B27E61">
              <w:rPr>
                <w:rFonts w:ascii="Tw Cen MT Condensed" w:hAnsi="Tw Cen MT Condensed"/>
                <w:bCs/>
                <w:sz w:val="20"/>
                <w:szCs w:val="20"/>
              </w:rPr>
              <w:t>: Urban/Rural</w:t>
            </w:r>
            <w:r w:rsidRPr="00076A71">
              <w:rPr>
                <w:rFonts w:ascii="Tw Cen MT Condensed" w:hAnsi="Tw Cen MT Condensed"/>
                <w:bCs/>
                <w:sz w:val="20"/>
                <w:szCs w:val="20"/>
              </w:rPr>
              <w:t xml:space="preserve"> </w:t>
            </w:r>
          </w:p>
          <w:p w14:paraId="257D0509" w14:textId="5CEFA821" w:rsidR="00221C59" w:rsidRPr="00076A71"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Income</w:t>
            </w:r>
            <w:r w:rsidR="00B27E61">
              <w:rPr>
                <w:rFonts w:ascii="Tw Cen MT Condensed" w:hAnsi="Tw Cen MT Condensed"/>
                <w:bCs/>
                <w:sz w:val="20"/>
                <w:szCs w:val="20"/>
              </w:rPr>
              <w:t>: High/medium/Low</w:t>
            </w:r>
          </w:p>
        </w:tc>
        <w:tc>
          <w:tcPr>
            <w:tcW w:w="0" w:type="auto"/>
            <w:shd w:val="clear" w:color="auto" w:fill="auto"/>
          </w:tcPr>
          <w:p w14:paraId="4836E670" w14:textId="23ABD720" w:rsidR="00221C59" w:rsidRDefault="005F24FB" w:rsidP="00221C59">
            <w:pPr>
              <w:jc w:val="center"/>
              <w:rPr>
                <w:bCs/>
                <w:szCs w:val="20"/>
              </w:rPr>
            </w:pPr>
            <w:r>
              <w:rPr>
                <w:bCs/>
                <w:szCs w:val="20"/>
              </w:rPr>
              <w:t>Triennial</w:t>
            </w:r>
          </w:p>
        </w:tc>
        <w:tc>
          <w:tcPr>
            <w:tcW w:w="0" w:type="auto"/>
            <w:shd w:val="clear" w:color="auto" w:fill="auto"/>
          </w:tcPr>
          <w:p w14:paraId="7D332B0E" w14:textId="77777777" w:rsidR="00221C59" w:rsidRDefault="00221C59" w:rsidP="00221C59">
            <w:pPr>
              <w:jc w:val="center"/>
              <w:rPr>
                <w:bCs/>
                <w:szCs w:val="20"/>
              </w:rPr>
            </w:pPr>
            <w:r>
              <w:rPr>
                <w:bCs/>
                <w:szCs w:val="20"/>
              </w:rPr>
              <w:t>Group 2</w:t>
            </w:r>
          </w:p>
        </w:tc>
        <w:tc>
          <w:tcPr>
            <w:tcW w:w="0" w:type="auto"/>
            <w:shd w:val="clear" w:color="auto" w:fill="auto"/>
          </w:tcPr>
          <w:p w14:paraId="2F07A628" w14:textId="77777777" w:rsidR="00221C59" w:rsidRDefault="00221C59" w:rsidP="00221C59">
            <w:pPr>
              <w:pStyle w:val="NoSpacing"/>
            </w:pPr>
            <w:r>
              <w:t>1</w:t>
            </w:r>
            <w:r w:rsidRPr="00013ACB">
              <w:rPr>
                <w:vertAlign w:val="superscript"/>
              </w:rPr>
              <w:t>st</w:t>
            </w:r>
            <w:r>
              <w:t xml:space="preserve"> Round: </w:t>
            </w:r>
          </w:p>
          <w:p w14:paraId="537E1FED" w14:textId="77777777" w:rsidR="00221C59" w:rsidRDefault="00221C59" w:rsidP="00221C59">
            <w:pPr>
              <w:pStyle w:val="NoSpacing"/>
            </w:pPr>
            <w:r>
              <w:t>2015</w:t>
            </w:r>
          </w:p>
          <w:p w14:paraId="289BA74F" w14:textId="77777777" w:rsidR="00221C59" w:rsidRDefault="00221C59" w:rsidP="00221C59">
            <w:pPr>
              <w:pStyle w:val="NoSpacing"/>
            </w:pPr>
            <w:r>
              <w:t>2</w:t>
            </w:r>
            <w:r w:rsidRPr="00013ACB">
              <w:rPr>
                <w:vertAlign w:val="superscript"/>
              </w:rPr>
              <w:t>nd</w:t>
            </w:r>
            <w:r>
              <w:t xml:space="preserve"> Round: </w:t>
            </w:r>
          </w:p>
          <w:p w14:paraId="766E3DDD" w14:textId="77777777" w:rsidR="00221C59" w:rsidRDefault="00221C59" w:rsidP="00221C59">
            <w:pPr>
              <w:pStyle w:val="NoSpacing"/>
            </w:pPr>
            <w:r>
              <w:t>January</w:t>
            </w:r>
            <w:r>
              <w:br/>
              <w:t>2019</w:t>
            </w:r>
          </w:p>
          <w:p w14:paraId="7E484204" w14:textId="77777777" w:rsidR="00221C59" w:rsidRDefault="00221C59" w:rsidP="00221C59">
            <w:pPr>
              <w:pStyle w:val="NoSpacing"/>
            </w:pPr>
          </w:p>
          <w:p w14:paraId="351981AC" w14:textId="77777777" w:rsidR="00221C59" w:rsidRDefault="00221C59" w:rsidP="00221C59">
            <w:pPr>
              <w:pStyle w:val="NoSpacing"/>
            </w:pPr>
            <w:r>
              <w:t>3</w:t>
            </w:r>
            <w:r w:rsidRPr="00013ACB">
              <w:rPr>
                <w:vertAlign w:val="superscript"/>
              </w:rPr>
              <w:t>rd</w:t>
            </w:r>
            <w:r>
              <w:t xml:space="preserve"> Round: </w:t>
            </w:r>
          </w:p>
          <w:p w14:paraId="2E9084D1" w14:textId="77777777" w:rsidR="00221C59" w:rsidRDefault="00221C59" w:rsidP="00221C59">
            <w:pPr>
              <w:pStyle w:val="NoSpacing"/>
            </w:pPr>
            <w:r>
              <w:t>January</w:t>
            </w:r>
            <w:r>
              <w:br/>
              <w:t>2022</w:t>
            </w:r>
          </w:p>
          <w:p w14:paraId="79441DE3" w14:textId="77777777" w:rsidR="00221C59" w:rsidRDefault="00221C59" w:rsidP="00221C59">
            <w:pPr>
              <w:pStyle w:val="NoSpacing"/>
            </w:pPr>
          </w:p>
          <w:p w14:paraId="453B971C" w14:textId="77777777" w:rsidR="00221C59" w:rsidRDefault="00221C59" w:rsidP="00221C59">
            <w:pPr>
              <w:pStyle w:val="NoSpacing"/>
            </w:pPr>
            <w:r>
              <w:t>4</w:t>
            </w:r>
            <w:r w:rsidRPr="00013ACB">
              <w:rPr>
                <w:vertAlign w:val="superscript"/>
              </w:rPr>
              <w:t>th</w:t>
            </w:r>
            <w:r>
              <w:t xml:space="preserve"> Round: </w:t>
            </w:r>
          </w:p>
          <w:p w14:paraId="1A20DA93" w14:textId="77777777" w:rsidR="00221C59" w:rsidRDefault="00221C59" w:rsidP="00221C59">
            <w:pPr>
              <w:pStyle w:val="NoSpacing"/>
            </w:pPr>
            <w:r>
              <w:t>January</w:t>
            </w:r>
            <w:r>
              <w:br/>
              <w:t>2025</w:t>
            </w:r>
          </w:p>
          <w:p w14:paraId="796E053A" w14:textId="77777777" w:rsidR="00221C59" w:rsidRDefault="00221C59" w:rsidP="00221C59">
            <w:pPr>
              <w:pStyle w:val="NoSpacing"/>
            </w:pPr>
          </w:p>
          <w:p w14:paraId="0CCB7B62" w14:textId="77777777" w:rsidR="00221C59" w:rsidRDefault="00221C59" w:rsidP="00221C59">
            <w:pPr>
              <w:pStyle w:val="NoSpacing"/>
            </w:pPr>
            <w:r>
              <w:t>5</w:t>
            </w:r>
            <w:r w:rsidRPr="00013ACB">
              <w:rPr>
                <w:vertAlign w:val="superscript"/>
              </w:rPr>
              <w:t>th</w:t>
            </w:r>
            <w:r>
              <w:t xml:space="preserve"> </w:t>
            </w:r>
            <w:r>
              <w:lastRenderedPageBreak/>
              <w:t xml:space="preserve">Round: </w:t>
            </w:r>
          </w:p>
          <w:p w14:paraId="75491512" w14:textId="3714640F" w:rsidR="00221C59" w:rsidRPr="007A64DC" w:rsidRDefault="00221C59" w:rsidP="00221C59">
            <w:pPr>
              <w:pStyle w:val="NoSpacing"/>
            </w:pPr>
            <w:r>
              <w:t>January</w:t>
            </w:r>
            <w:r>
              <w:br/>
              <w:t>2028</w:t>
            </w:r>
          </w:p>
        </w:tc>
        <w:tc>
          <w:tcPr>
            <w:tcW w:w="0" w:type="auto"/>
            <w:shd w:val="clear" w:color="auto" w:fill="auto"/>
          </w:tcPr>
          <w:p w14:paraId="0FBA55C5" w14:textId="77777777" w:rsidR="00221C59" w:rsidRPr="00076A71" w:rsidRDefault="00221C59" w:rsidP="00221C59">
            <w:pPr>
              <w:jc w:val="both"/>
              <w:rPr>
                <w:bCs/>
                <w:szCs w:val="20"/>
              </w:rPr>
            </w:pPr>
            <w:r w:rsidRPr="00076A71">
              <w:rPr>
                <w:bCs/>
                <w:szCs w:val="20"/>
              </w:rPr>
              <w:lastRenderedPageBreak/>
              <w:t>Levels of education defined in the International Standard Classification of Education (ISCED)</w:t>
            </w:r>
            <w:r>
              <w:rPr>
                <w:bCs/>
                <w:szCs w:val="20"/>
              </w:rPr>
              <w:t xml:space="preserve"> should be followed</w:t>
            </w:r>
            <w:r w:rsidRPr="00076A71">
              <w:rPr>
                <w:bCs/>
                <w:szCs w:val="20"/>
              </w:rPr>
              <w:t xml:space="preserve"> to ensure international comparability of resulting indicators</w:t>
            </w:r>
            <w:r>
              <w:rPr>
                <w:bCs/>
                <w:szCs w:val="20"/>
              </w:rPr>
              <w:t>.</w:t>
            </w:r>
          </w:p>
        </w:tc>
      </w:tr>
      <w:tr w:rsidR="00BB3B57" w14:paraId="4F7935ED" w14:textId="77777777" w:rsidTr="00D52BCB">
        <w:tc>
          <w:tcPr>
            <w:tcW w:w="17162" w:type="dxa"/>
            <w:gridSpan w:val="13"/>
            <w:shd w:val="clear" w:color="auto" w:fill="auto"/>
          </w:tcPr>
          <w:p w14:paraId="597097B7" w14:textId="77777777" w:rsidR="00BB3B57" w:rsidRPr="00875EA5" w:rsidRDefault="00BB3B57" w:rsidP="00221C59">
            <w:pPr>
              <w:ind w:left="970" w:hanging="970"/>
              <w:jc w:val="both"/>
              <w:rPr>
                <w:color w:val="C00000"/>
                <w:sz w:val="30"/>
                <w:szCs w:val="30"/>
              </w:rPr>
            </w:pPr>
            <w:r>
              <w:rPr>
                <w:color w:val="C00000"/>
                <w:sz w:val="30"/>
                <w:szCs w:val="30"/>
              </w:rPr>
              <w:lastRenderedPageBreak/>
              <w:t xml:space="preserve">Target </w:t>
            </w:r>
            <w:r w:rsidRPr="00875EA5">
              <w:rPr>
                <w:color w:val="C00000"/>
                <w:sz w:val="30"/>
                <w:szCs w:val="30"/>
              </w:rPr>
              <w:t>4.3 By 2030, ensure equal access for all women and men to affordable and quality technical, vocational and tertiary education, including university</w:t>
            </w:r>
          </w:p>
        </w:tc>
      </w:tr>
      <w:tr w:rsidR="000E716D" w14:paraId="662C7112" w14:textId="77777777" w:rsidTr="0085651F">
        <w:tc>
          <w:tcPr>
            <w:tcW w:w="1101" w:type="dxa"/>
            <w:shd w:val="clear" w:color="auto" w:fill="auto"/>
          </w:tcPr>
          <w:p w14:paraId="781694E5" w14:textId="77777777" w:rsidR="00221C59" w:rsidRPr="00076A71" w:rsidRDefault="00221C59" w:rsidP="00221C59">
            <w:pPr>
              <w:jc w:val="both"/>
              <w:rPr>
                <w:szCs w:val="20"/>
              </w:rPr>
            </w:pPr>
            <w:r w:rsidRPr="00875EA5">
              <w:rPr>
                <w:szCs w:val="20"/>
              </w:rPr>
              <w:t xml:space="preserve">4.3.1 Participation rate of youth and adults in formal and non-formal education and </w:t>
            </w:r>
            <w:r w:rsidRPr="00875EA5">
              <w:rPr>
                <w:szCs w:val="20"/>
              </w:rPr>
              <w:lastRenderedPageBreak/>
              <w:t>training in the previous 12 months, by sex</w:t>
            </w:r>
          </w:p>
        </w:tc>
        <w:tc>
          <w:tcPr>
            <w:tcW w:w="854" w:type="dxa"/>
            <w:shd w:val="clear" w:color="auto" w:fill="auto"/>
          </w:tcPr>
          <w:p w14:paraId="155B0031" w14:textId="77777777" w:rsidR="00221C59" w:rsidRDefault="00221C59" w:rsidP="00221C59">
            <w:pPr>
              <w:jc w:val="center"/>
              <w:rPr>
                <w:sz w:val="22"/>
                <w:szCs w:val="22"/>
                <w:lang w:bidi="bn-BD"/>
              </w:rPr>
            </w:pPr>
            <w:r w:rsidRPr="00875EA5">
              <w:rPr>
                <w:sz w:val="22"/>
                <w:szCs w:val="22"/>
                <w:lang w:bidi="bn-BD"/>
              </w:rPr>
              <w:lastRenderedPageBreak/>
              <w:t>UNESCO-UIS</w:t>
            </w:r>
          </w:p>
          <w:p w14:paraId="5F2319F6" w14:textId="77777777" w:rsidR="00221C59" w:rsidRDefault="00221C59" w:rsidP="00221C59">
            <w:pPr>
              <w:jc w:val="center"/>
              <w:rPr>
                <w:b/>
                <w:bCs/>
                <w:sz w:val="22"/>
                <w:szCs w:val="22"/>
                <w:lang w:bidi="bn-BD"/>
              </w:rPr>
            </w:pPr>
          </w:p>
          <w:p w14:paraId="60A7DB1E" w14:textId="77777777" w:rsidR="00221C59" w:rsidRPr="00076A71" w:rsidRDefault="00221C59" w:rsidP="00221C59">
            <w:pPr>
              <w:jc w:val="center"/>
              <w:rPr>
                <w:b/>
                <w:bCs/>
                <w:sz w:val="22"/>
                <w:szCs w:val="22"/>
                <w:lang w:bidi="bn-BD"/>
              </w:rPr>
            </w:pPr>
            <w:r w:rsidRPr="00076A71">
              <w:rPr>
                <w:b/>
                <w:bCs/>
                <w:sz w:val="22"/>
                <w:szCs w:val="22"/>
                <w:lang w:bidi="bn-BD"/>
              </w:rPr>
              <w:t>Partner Agencies:</w:t>
            </w:r>
          </w:p>
          <w:p w14:paraId="228DE531" w14:textId="77777777" w:rsidR="00221C59" w:rsidRPr="00875EA5" w:rsidRDefault="00221C59" w:rsidP="00221C59">
            <w:pPr>
              <w:jc w:val="center"/>
              <w:rPr>
                <w:sz w:val="22"/>
                <w:szCs w:val="22"/>
                <w:lang w:bidi="bn-BD"/>
              </w:rPr>
            </w:pPr>
            <w:r w:rsidRPr="00875EA5">
              <w:rPr>
                <w:sz w:val="22"/>
                <w:szCs w:val="22"/>
                <w:lang w:bidi="bn-BD"/>
              </w:rPr>
              <w:lastRenderedPageBreak/>
              <w:t xml:space="preserve">OECD, </w:t>
            </w:r>
          </w:p>
          <w:p w14:paraId="389E53BB" w14:textId="77777777" w:rsidR="00221C59" w:rsidRPr="00875EA5" w:rsidRDefault="00221C59" w:rsidP="00221C59">
            <w:pPr>
              <w:jc w:val="center"/>
              <w:rPr>
                <w:sz w:val="22"/>
                <w:szCs w:val="22"/>
                <w:lang w:bidi="bn-BD"/>
              </w:rPr>
            </w:pPr>
            <w:r w:rsidRPr="00875EA5">
              <w:rPr>
                <w:sz w:val="22"/>
                <w:szCs w:val="22"/>
                <w:lang w:bidi="bn-BD"/>
              </w:rPr>
              <w:t xml:space="preserve">Eurostat, </w:t>
            </w:r>
          </w:p>
          <w:p w14:paraId="2CFEF8FD" w14:textId="77777777" w:rsidR="00221C59" w:rsidRPr="00076A71" w:rsidRDefault="00221C59" w:rsidP="00221C59">
            <w:pPr>
              <w:jc w:val="center"/>
              <w:rPr>
                <w:sz w:val="22"/>
                <w:szCs w:val="22"/>
                <w:lang w:bidi="bn-BD"/>
              </w:rPr>
            </w:pPr>
            <w:r w:rsidRPr="00875EA5">
              <w:rPr>
                <w:sz w:val="22"/>
                <w:szCs w:val="22"/>
                <w:lang w:bidi="bn-BD"/>
              </w:rPr>
              <w:t>ILO</w:t>
            </w:r>
          </w:p>
        </w:tc>
        <w:tc>
          <w:tcPr>
            <w:tcW w:w="0" w:type="auto"/>
            <w:shd w:val="clear" w:color="auto" w:fill="auto"/>
          </w:tcPr>
          <w:p w14:paraId="4CA2C366" w14:textId="77777777" w:rsidR="00221C59" w:rsidRDefault="00221C59" w:rsidP="00221C59">
            <w:pPr>
              <w:jc w:val="center"/>
              <w:rPr>
                <w:szCs w:val="20"/>
              </w:rPr>
            </w:pPr>
            <w:r>
              <w:rPr>
                <w:szCs w:val="20"/>
              </w:rPr>
              <w:lastRenderedPageBreak/>
              <w:t>Tier II</w:t>
            </w:r>
          </w:p>
        </w:tc>
        <w:tc>
          <w:tcPr>
            <w:tcW w:w="0" w:type="auto"/>
            <w:shd w:val="clear" w:color="auto" w:fill="auto"/>
          </w:tcPr>
          <w:p w14:paraId="1B2EF075" w14:textId="77777777" w:rsidR="00221C59" w:rsidRDefault="00221C59" w:rsidP="00221C59">
            <w:pPr>
              <w:jc w:val="both"/>
              <w:rPr>
                <w:b/>
                <w:bCs/>
                <w:szCs w:val="20"/>
              </w:rPr>
            </w:pPr>
            <w:r w:rsidRPr="00B921C7">
              <w:rPr>
                <w:b/>
                <w:bCs/>
                <w:szCs w:val="20"/>
              </w:rPr>
              <w:t>Definition:</w:t>
            </w:r>
          </w:p>
          <w:p w14:paraId="72CB6828" w14:textId="77777777" w:rsidR="00221C59" w:rsidRDefault="00221C59" w:rsidP="00221C59">
            <w:pPr>
              <w:jc w:val="both"/>
              <w:rPr>
                <w:szCs w:val="20"/>
              </w:rPr>
            </w:pPr>
            <w:r w:rsidRPr="00B921C7">
              <w:rPr>
                <w:szCs w:val="20"/>
              </w:rPr>
              <w:t>The percentage of youth and adults in a given age range (e.g. 15-24 years, 25-64 years, etc.) participating in formal or non-formal education or training in a given time period (e.g. last 12 months).</w:t>
            </w:r>
          </w:p>
          <w:p w14:paraId="0067B475" w14:textId="77777777" w:rsidR="00221C59" w:rsidRDefault="00221C59" w:rsidP="00221C59">
            <w:pPr>
              <w:jc w:val="both"/>
              <w:rPr>
                <w:b/>
                <w:bCs/>
                <w:szCs w:val="20"/>
              </w:rPr>
            </w:pPr>
          </w:p>
          <w:p w14:paraId="25828B9A" w14:textId="77777777" w:rsidR="00221C59" w:rsidRDefault="00221C59" w:rsidP="00221C59">
            <w:pPr>
              <w:jc w:val="both"/>
              <w:rPr>
                <w:b/>
                <w:bCs/>
                <w:szCs w:val="20"/>
              </w:rPr>
            </w:pPr>
            <w:r w:rsidRPr="00B921C7">
              <w:rPr>
                <w:b/>
                <w:bCs/>
                <w:szCs w:val="20"/>
              </w:rPr>
              <w:t>Concepts:</w:t>
            </w:r>
          </w:p>
          <w:p w14:paraId="1C325509" w14:textId="77777777" w:rsidR="00221C59" w:rsidRDefault="00221C59" w:rsidP="00221C59">
            <w:pPr>
              <w:jc w:val="both"/>
              <w:rPr>
                <w:szCs w:val="20"/>
              </w:rPr>
            </w:pPr>
            <w:r w:rsidRPr="00B921C7">
              <w:rPr>
                <w:szCs w:val="20"/>
              </w:rPr>
              <w:t xml:space="preserve">Formal education and training is defined as education provided by the system of </w:t>
            </w:r>
            <w:r w:rsidRPr="00B921C7">
              <w:rPr>
                <w:szCs w:val="20"/>
              </w:rPr>
              <w:lastRenderedPageBreak/>
              <w:t>schools, colleges, universities and other formal educational institutions that normally constitutes a continuous ‘ladder’ of full-time education for children and young people, generally beginning at the age of 5 to 7 and continuing to up to 20 or 25 years old. In some countries, the upper parts of this ‘ladder’ are organized programmes of joint part-time employment and part-time participation in the regular school and university system. Non-formal education and training is defined as any organized and sustained learning activities that do not correspond exactly to the above definition of formal education. Non-formal education may therefore take place both within and outside educational institutions and cater to people of all ages. Depending on national contexts, it may cover educational programmes to impart adult literacy, life-skills, work-skills, and general culture.</w:t>
            </w:r>
          </w:p>
          <w:p w14:paraId="51F50413" w14:textId="77777777" w:rsidR="00221C59" w:rsidRDefault="00221C59" w:rsidP="00221C59">
            <w:pPr>
              <w:jc w:val="both"/>
              <w:rPr>
                <w:b/>
                <w:bCs/>
                <w:szCs w:val="20"/>
              </w:rPr>
            </w:pPr>
          </w:p>
          <w:p w14:paraId="3FAA2385" w14:textId="77777777" w:rsidR="00221C59" w:rsidRDefault="00221C59" w:rsidP="00221C59">
            <w:pPr>
              <w:jc w:val="both"/>
              <w:rPr>
                <w:szCs w:val="20"/>
              </w:rPr>
            </w:pPr>
            <w:r w:rsidRPr="00B921C7">
              <w:rPr>
                <w:b/>
                <w:bCs/>
                <w:szCs w:val="20"/>
              </w:rPr>
              <w:t xml:space="preserve">Computation Method: </w:t>
            </w:r>
            <w:r w:rsidRPr="00B921C7">
              <w:rPr>
                <w:szCs w:val="20"/>
              </w:rPr>
              <w:t xml:space="preserve">The number of people in selected age groups participating in formal or non-formal education or training is expressed as a percentage of the population of the same age. </w:t>
            </w:r>
          </w:p>
          <w:p w14:paraId="7D217E41" w14:textId="77777777" w:rsidR="00221C59" w:rsidRDefault="00221C59" w:rsidP="00221C59">
            <w:pPr>
              <w:jc w:val="both"/>
              <w:rPr>
                <w:szCs w:val="20"/>
              </w:rPr>
            </w:pPr>
            <w:r w:rsidRPr="00B921C7">
              <w:rPr>
                <w:szCs w:val="20"/>
              </w:rPr>
              <w:t>PRAGi = EAGi</w:t>
            </w:r>
          </w:p>
          <w:p w14:paraId="08F574C2" w14:textId="77777777" w:rsidR="00221C59" w:rsidRDefault="00221C59" w:rsidP="00221C59">
            <w:pPr>
              <w:jc w:val="both"/>
              <w:rPr>
                <w:szCs w:val="20"/>
              </w:rPr>
            </w:pPr>
            <w:r w:rsidRPr="00B921C7">
              <w:rPr>
                <w:szCs w:val="20"/>
              </w:rPr>
              <w:t>PAGi</w:t>
            </w:r>
          </w:p>
          <w:p w14:paraId="4B8CF4BE" w14:textId="77777777" w:rsidR="00221C59" w:rsidRDefault="00221C59" w:rsidP="00221C59">
            <w:pPr>
              <w:jc w:val="both"/>
              <w:rPr>
                <w:szCs w:val="20"/>
              </w:rPr>
            </w:pPr>
            <w:r w:rsidRPr="00B921C7">
              <w:rPr>
                <w:szCs w:val="20"/>
              </w:rPr>
              <w:t xml:space="preserve">where: </w:t>
            </w:r>
          </w:p>
          <w:p w14:paraId="7995F4B0" w14:textId="77777777" w:rsidR="00221C59" w:rsidRPr="00B921C7" w:rsidRDefault="00221C59" w:rsidP="00221C59">
            <w:pPr>
              <w:jc w:val="both"/>
              <w:rPr>
                <w:i/>
                <w:iCs/>
                <w:szCs w:val="20"/>
              </w:rPr>
            </w:pPr>
            <w:r w:rsidRPr="00B921C7">
              <w:rPr>
                <w:i/>
                <w:iCs/>
                <w:szCs w:val="20"/>
              </w:rPr>
              <w:t>PRAGi= participation rate of the population in age group i in formal and non-formal education and training</w:t>
            </w:r>
          </w:p>
          <w:p w14:paraId="08D8F1B6" w14:textId="77777777" w:rsidR="00221C59" w:rsidRPr="00B921C7" w:rsidRDefault="00221C59" w:rsidP="00221C59">
            <w:pPr>
              <w:jc w:val="both"/>
              <w:rPr>
                <w:i/>
                <w:iCs/>
                <w:szCs w:val="20"/>
              </w:rPr>
            </w:pPr>
            <w:r w:rsidRPr="00B921C7">
              <w:rPr>
                <w:i/>
                <w:iCs/>
                <w:szCs w:val="20"/>
              </w:rPr>
              <w:t xml:space="preserve">EAGi= enrolment of the population in age group i in formal and non-formal education and training </w:t>
            </w:r>
          </w:p>
          <w:p w14:paraId="05BD8AA5" w14:textId="77777777" w:rsidR="00221C59" w:rsidRPr="00076A71" w:rsidRDefault="00221C59" w:rsidP="00221C59">
            <w:pPr>
              <w:jc w:val="both"/>
              <w:rPr>
                <w:b/>
                <w:bCs/>
                <w:szCs w:val="20"/>
              </w:rPr>
            </w:pPr>
            <w:r w:rsidRPr="00B921C7">
              <w:rPr>
                <w:i/>
                <w:iCs/>
                <w:szCs w:val="20"/>
              </w:rPr>
              <w:t>PAGi= population in age group i i = 15-24, 15 and above, 25-64 etc</w:t>
            </w:r>
          </w:p>
        </w:tc>
        <w:tc>
          <w:tcPr>
            <w:tcW w:w="0" w:type="auto"/>
            <w:shd w:val="clear" w:color="auto" w:fill="auto"/>
          </w:tcPr>
          <w:p w14:paraId="537C7FE8" w14:textId="77777777" w:rsidR="00221C59" w:rsidRDefault="00221C59" w:rsidP="00221C59">
            <w:pPr>
              <w:jc w:val="center"/>
              <w:rPr>
                <w:bCs/>
                <w:szCs w:val="20"/>
              </w:rPr>
            </w:pPr>
            <w:r>
              <w:rPr>
                <w:bCs/>
                <w:szCs w:val="20"/>
              </w:rPr>
              <w:lastRenderedPageBreak/>
              <w:t>Household Survey; Population Census;</w:t>
            </w:r>
          </w:p>
          <w:p w14:paraId="6A43C850" w14:textId="77777777" w:rsidR="00221C59" w:rsidRDefault="00221C59" w:rsidP="00221C59">
            <w:pPr>
              <w:jc w:val="center"/>
              <w:rPr>
                <w:bCs/>
                <w:szCs w:val="20"/>
              </w:rPr>
            </w:pPr>
            <w:r>
              <w:rPr>
                <w:bCs/>
                <w:szCs w:val="20"/>
              </w:rPr>
              <w:t>Administrative Record</w:t>
            </w:r>
          </w:p>
        </w:tc>
        <w:tc>
          <w:tcPr>
            <w:tcW w:w="0" w:type="auto"/>
            <w:shd w:val="clear" w:color="auto" w:fill="auto"/>
          </w:tcPr>
          <w:p w14:paraId="45688785" w14:textId="77777777" w:rsidR="00221C59" w:rsidRDefault="00221C59" w:rsidP="00221C59">
            <w:pPr>
              <w:jc w:val="center"/>
              <w:rPr>
                <w:bCs/>
                <w:szCs w:val="20"/>
              </w:rPr>
            </w:pPr>
            <w:r w:rsidRPr="00B921C7">
              <w:rPr>
                <w:bCs/>
                <w:szCs w:val="20"/>
              </w:rPr>
              <w:t>National Statistical Offices</w:t>
            </w:r>
            <w:r>
              <w:rPr>
                <w:bCs/>
                <w:szCs w:val="20"/>
              </w:rPr>
              <w:t>;</w:t>
            </w:r>
          </w:p>
          <w:p w14:paraId="5623C6B7" w14:textId="77777777" w:rsidR="00221C59" w:rsidRDefault="00221C59" w:rsidP="00221C59">
            <w:pPr>
              <w:jc w:val="center"/>
              <w:rPr>
                <w:bCs/>
                <w:szCs w:val="20"/>
              </w:rPr>
            </w:pPr>
            <w:r>
              <w:rPr>
                <w:bCs/>
                <w:szCs w:val="20"/>
              </w:rPr>
              <w:t>Ministry of Education</w:t>
            </w:r>
          </w:p>
        </w:tc>
        <w:tc>
          <w:tcPr>
            <w:tcW w:w="0" w:type="auto"/>
            <w:shd w:val="clear" w:color="auto" w:fill="auto"/>
          </w:tcPr>
          <w:p w14:paraId="3C09356E" w14:textId="12468DEB" w:rsidR="00221C59" w:rsidRDefault="00221C59" w:rsidP="00221C59">
            <w:pPr>
              <w:jc w:val="both"/>
              <w:rPr>
                <w:bCs/>
                <w:szCs w:val="20"/>
              </w:rPr>
            </w:pPr>
          </w:p>
          <w:p w14:paraId="485399B9" w14:textId="77777777" w:rsidR="00221C59" w:rsidRPr="00BC6F10" w:rsidRDefault="00221C59" w:rsidP="00221C59">
            <w:pPr>
              <w:rPr>
                <w:rFonts w:cs="Times New Roman"/>
                <w:color w:val="000000" w:themeColor="text1"/>
                <w:szCs w:val="20"/>
              </w:rPr>
            </w:pPr>
            <w:r w:rsidRPr="00BC6F10">
              <w:rPr>
                <w:rFonts w:eastAsia="Times New Roman" w:cs="Times New Roman"/>
                <w:color w:val="000000" w:themeColor="text1"/>
                <w:szCs w:val="20"/>
              </w:rPr>
              <w:t>c)</w:t>
            </w:r>
            <w:r w:rsidRPr="00BC6F10">
              <w:rPr>
                <w:rFonts w:cs="Times New Roman"/>
                <w:color w:val="000000" w:themeColor="text1"/>
                <w:szCs w:val="20"/>
              </w:rPr>
              <w:t xml:space="preserve"> BES</w:t>
            </w:r>
          </w:p>
          <w:p w14:paraId="4A3D231A" w14:textId="77777777" w:rsidR="00221C59" w:rsidRPr="00AA42B8" w:rsidRDefault="00221C59" w:rsidP="00221C59">
            <w:pPr>
              <w:jc w:val="both"/>
              <w:rPr>
                <w:bCs/>
                <w:szCs w:val="20"/>
              </w:rPr>
            </w:pPr>
            <w:r w:rsidRPr="00BC6F10">
              <w:rPr>
                <w:rFonts w:cs="Times New Roman"/>
                <w:color w:val="000000" w:themeColor="text1"/>
                <w:szCs w:val="20"/>
              </w:rPr>
              <w:t>d) BTEB</w:t>
            </w:r>
          </w:p>
        </w:tc>
        <w:tc>
          <w:tcPr>
            <w:tcW w:w="0" w:type="auto"/>
            <w:shd w:val="clear" w:color="auto" w:fill="auto"/>
          </w:tcPr>
          <w:p w14:paraId="26786E92" w14:textId="37BF1D7B" w:rsidR="00221C59" w:rsidRDefault="00221C59" w:rsidP="00221C59">
            <w:pPr>
              <w:jc w:val="both"/>
              <w:rPr>
                <w:bCs/>
                <w:szCs w:val="20"/>
              </w:rPr>
            </w:pPr>
            <w:r>
              <w:rPr>
                <w:bCs/>
                <w:szCs w:val="20"/>
              </w:rPr>
              <w:t xml:space="preserve">a) </w:t>
            </w:r>
            <w:r w:rsidRPr="001F0005">
              <w:rPr>
                <w:rFonts w:eastAsia="Times New Roman" w:cs="Times New Roman"/>
                <w:color w:val="000000" w:themeColor="text1"/>
                <w:szCs w:val="20"/>
              </w:rPr>
              <w:t>(LAS</w:t>
            </w:r>
            <w:r w:rsidRPr="00CB29F0">
              <w:rPr>
                <w:rFonts w:eastAsia="Times New Roman" w:cs="Times New Roman"/>
                <w:color w:val="000000" w:themeColor="text1"/>
                <w:szCs w:val="20"/>
              </w:rPr>
              <w:t>/PHC/ EHS/SVRS), SID</w:t>
            </w:r>
            <w:r>
              <w:rPr>
                <w:bCs/>
                <w:szCs w:val="20"/>
              </w:rPr>
              <w:t>, BBS</w:t>
            </w:r>
          </w:p>
          <w:p w14:paraId="75368D82" w14:textId="77777777" w:rsidR="00221C59" w:rsidRDefault="00221C59" w:rsidP="00221C59">
            <w:pPr>
              <w:jc w:val="both"/>
              <w:rPr>
                <w:bCs/>
                <w:szCs w:val="20"/>
              </w:rPr>
            </w:pPr>
            <w:r>
              <w:rPr>
                <w:bCs/>
                <w:szCs w:val="20"/>
              </w:rPr>
              <w:t>b) BES,MoE, BANBEIS</w:t>
            </w:r>
          </w:p>
        </w:tc>
        <w:tc>
          <w:tcPr>
            <w:tcW w:w="0" w:type="auto"/>
            <w:shd w:val="clear" w:color="auto" w:fill="auto"/>
          </w:tcPr>
          <w:p w14:paraId="48DFB674" w14:textId="7111D64C" w:rsidR="00221C59"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Age</w:t>
            </w:r>
            <w:r w:rsidR="00B27E61">
              <w:rPr>
                <w:rFonts w:ascii="Tw Cen MT Condensed" w:hAnsi="Tw Cen MT Condensed"/>
                <w:bCs/>
                <w:sz w:val="20"/>
                <w:szCs w:val="20"/>
              </w:rPr>
              <w:t>: 15-24 yrs, 25-64 yrs</w:t>
            </w:r>
          </w:p>
          <w:p w14:paraId="49674E4A" w14:textId="5457196B" w:rsidR="00221C59"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Sex</w:t>
            </w:r>
            <w:r w:rsidR="00B27E61">
              <w:rPr>
                <w:rFonts w:ascii="Tw Cen MT Condensed" w:hAnsi="Tw Cen MT Condensed"/>
                <w:bCs/>
                <w:sz w:val="20"/>
                <w:szCs w:val="20"/>
              </w:rPr>
              <w:t>: Male/Female</w:t>
            </w:r>
          </w:p>
          <w:p w14:paraId="1B335808" w14:textId="54C3EDFA" w:rsidR="00221C59"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Location</w:t>
            </w:r>
            <w:r w:rsidR="00B27E61">
              <w:rPr>
                <w:rFonts w:ascii="Tw Cen MT Condensed" w:hAnsi="Tw Cen MT Condensed"/>
                <w:bCs/>
                <w:sz w:val="20"/>
                <w:szCs w:val="20"/>
              </w:rPr>
              <w:t>: Urban, Rural</w:t>
            </w:r>
          </w:p>
          <w:p w14:paraId="1B4B9E18" w14:textId="008D8E4D" w:rsidR="00221C59" w:rsidRDefault="00221C59" w:rsidP="00221C59">
            <w:pPr>
              <w:pStyle w:val="ListParagraph"/>
              <w:numPr>
                <w:ilvl w:val="0"/>
                <w:numId w:val="2"/>
              </w:numPr>
              <w:spacing w:after="0" w:line="240" w:lineRule="auto"/>
              <w:ind w:left="105" w:hanging="105"/>
              <w:jc w:val="both"/>
              <w:rPr>
                <w:rFonts w:ascii="Tw Cen MT Condensed" w:hAnsi="Tw Cen MT Condensed"/>
                <w:bCs/>
                <w:sz w:val="20"/>
                <w:szCs w:val="20"/>
              </w:rPr>
            </w:pPr>
            <w:r w:rsidRPr="00076A71">
              <w:rPr>
                <w:rFonts w:ascii="Tw Cen MT Condensed" w:hAnsi="Tw Cen MT Condensed"/>
                <w:bCs/>
                <w:sz w:val="20"/>
                <w:szCs w:val="20"/>
              </w:rPr>
              <w:t>Income</w:t>
            </w:r>
            <w:r w:rsidR="00B27E61">
              <w:rPr>
                <w:rFonts w:ascii="Tw Cen MT Condensed" w:hAnsi="Tw Cen MT Condensed"/>
                <w:bCs/>
                <w:sz w:val="20"/>
                <w:szCs w:val="20"/>
              </w:rPr>
              <w:t xml:space="preserve">: </w:t>
            </w:r>
            <w:r w:rsidR="00715232">
              <w:rPr>
                <w:rFonts w:ascii="Tw Cen MT Condensed" w:hAnsi="Tw Cen MT Condensed"/>
                <w:bCs/>
                <w:sz w:val="20"/>
                <w:szCs w:val="20"/>
              </w:rPr>
              <w:t xml:space="preserve">High/ </w:t>
            </w:r>
            <w:r w:rsidR="00715232">
              <w:rPr>
                <w:rFonts w:ascii="Tw Cen MT Condensed" w:hAnsi="Tw Cen MT Condensed"/>
                <w:bCs/>
                <w:sz w:val="20"/>
                <w:szCs w:val="20"/>
              </w:rPr>
              <w:lastRenderedPageBreak/>
              <w:t>Medium/ Low</w:t>
            </w:r>
          </w:p>
          <w:p w14:paraId="1BC4FB02" w14:textId="5198CDC1" w:rsidR="003D3F72" w:rsidRPr="003D3F72" w:rsidRDefault="003D3F72" w:rsidP="000C4849">
            <w:pPr>
              <w:pStyle w:val="ListParagraph"/>
              <w:numPr>
                <w:ilvl w:val="0"/>
                <w:numId w:val="2"/>
              </w:numPr>
              <w:rPr>
                <w:rFonts w:ascii="Tw Cen MT Condensed" w:hAnsi="Tw Cen MT Condensed"/>
                <w:bCs/>
                <w:sz w:val="20"/>
                <w:szCs w:val="20"/>
              </w:rPr>
            </w:pPr>
            <w:r w:rsidRPr="003D3F72">
              <w:rPr>
                <w:rFonts w:ascii="Tw Cen MT Condensed" w:hAnsi="Tw Cen MT Condensed"/>
                <w:bCs/>
                <w:sz w:val="20"/>
                <w:szCs w:val="20"/>
              </w:rPr>
              <w:t>type of education</w:t>
            </w:r>
            <w:r w:rsidR="00715232">
              <w:rPr>
                <w:rFonts w:ascii="Tw Cen MT Condensed" w:hAnsi="Tw Cen MT Condensed"/>
                <w:bCs/>
                <w:sz w:val="20"/>
                <w:szCs w:val="20"/>
              </w:rPr>
              <w:t>: Primary/ Secondary/Higher</w:t>
            </w:r>
          </w:p>
        </w:tc>
        <w:tc>
          <w:tcPr>
            <w:tcW w:w="0" w:type="auto"/>
            <w:shd w:val="clear" w:color="auto" w:fill="auto"/>
          </w:tcPr>
          <w:p w14:paraId="6EDE35DE" w14:textId="52AD4074" w:rsidR="00221C59" w:rsidRDefault="005F24FB" w:rsidP="00221C59">
            <w:pPr>
              <w:jc w:val="center"/>
              <w:rPr>
                <w:bCs/>
                <w:szCs w:val="20"/>
              </w:rPr>
            </w:pPr>
            <w:r>
              <w:rPr>
                <w:bCs/>
                <w:szCs w:val="20"/>
              </w:rPr>
              <w:lastRenderedPageBreak/>
              <w:t>Triennial</w:t>
            </w:r>
          </w:p>
        </w:tc>
        <w:tc>
          <w:tcPr>
            <w:tcW w:w="0" w:type="auto"/>
            <w:shd w:val="clear" w:color="auto" w:fill="auto"/>
          </w:tcPr>
          <w:p w14:paraId="5DC5840D" w14:textId="77777777" w:rsidR="00221C59" w:rsidRDefault="00221C59" w:rsidP="00221C59">
            <w:pPr>
              <w:jc w:val="center"/>
              <w:rPr>
                <w:bCs/>
                <w:szCs w:val="20"/>
              </w:rPr>
            </w:pPr>
            <w:r>
              <w:rPr>
                <w:bCs/>
                <w:szCs w:val="20"/>
              </w:rPr>
              <w:t>Group 3</w:t>
            </w:r>
          </w:p>
        </w:tc>
        <w:tc>
          <w:tcPr>
            <w:tcW w:w="0" w:type="auto"/>
            <w:shd w:val="clear" w:color="auto" w:fill="auto"/>
          </w:tcPr>
          <w:p w14:paraId="7D67D10B" w14:textId="77777777" w:rsidR="00221C59" w:rsidRDefault="00221C59" w:rsidP="00221C59">
            <w:pPr>
              <w:pStyle w:val="NoSpacing"/>
            </w:pPr>
            <w:r>
              <w:t>1</w:t>
            </w:r>
            <w:r w:rsidRPr="00013ACB">
              <w:rPr>
                <w:vertAlign w:val="superscript"/>
              </w:rPr>
              <w:t>st</w:t>
            </w:r>
            <w:r>
              <w:t xml:space="preserve"> Round: </w:t>
            </w:r>
          </w:p>
          <w:p w14:paraId="12CB8989" w14:textId="77777777" w:rsidR="00221C59" w:rsidRDefault="00221C59" w:rsidP="00221C59">
            <w:pPr>
              <w:pStyle w:val="NoSpacing"/>
            </w:pPr>
            <w:r>
              <w:t>2015</w:t>
            </w:r>
          </w:p>
          <w:p w14:paraId="25680E09" w14:textId="77777777" w:rsidR="00221C59" w:rsidRDefault="00221C59" w:rsidP="00221C59">
            <w:pPr>
              <w:pStyle w:val="NoSpacing"/>
            </w:pPr>
            <w:r>
              <w:t>2</w:t>
            </w:r>
            <w:r w:rsidRPr="00013ACB">
              <w:rPr>
                <w:vertAlign w:val="superscript"/>
              </w:rPr>
              <w:t>nd</w:t>
            </w:r>
            <w:r>
              <w:t xml:space="preserve"> Round: </w:t>
            </w:r>
          </w:p>
          <w:p w14:paraId="23EF2AC4" w14:textId="77777777" w:rsidR="00221C59" w:rsidRDefault="00221C59" w:rsidP="00221C59">
            <w:pPr>
              <w:pStyle w:val="NoSpacing"/>
            </w:pPr>
            <w:r>
              <w:t>December</w:t>
            </w:r>
            <w:r>
              <w:br/>
            </w:r>
            <w:r>
              <w:lastRenderedPageBreak/>
              <w:t>2019</w:t>
            </w:r>
          </w:p>
          <w:p w14:paraId="29485D39" w14:textId="77777777" w:rsidR="00221C59" w:rsidRDefault="00221C59" w:rsidP="00221C59">
            <w:pPr>
              <w:pStyle w:val="NoSpacing"/>
            </w:pPr>
          </w:p>
          <w:p w14:paraId="582D1A23" w14:textId="77777777" w:rsidR="00221C59" w:rsidRDefault="00221C59" w:rsidP="00221C59">
            <w:pPr>
              <w:pStyle w:val="NoSpacing"/>
            </w:pPr>
            <w:r>
              <w:t>3</w:t>
            </w:r>
            <w:r w:rsidRPr="00013ACB">
              <w:rPr>
                <w:vertAlign w:val="superscript"/>
              </w:rPr>
              <w:t>rd</w:t>
            </w:r>
            <w:r>
              <w:t xml:space="preserve"> Round: </w:t>
            </w:r>
          </w:p>
          <w:p w14:paraId="5550A707" w14:textId="77777777" w:rsidR="00221C59" w:rsidRDefault="00221C59" w:rsidP="00221C59">
            <w:pPr>
              <w:pStyle w:val="NoSpacing"/>
            </w:pPr>
            <w:r>
              <w:t>December</w:t>
            </w:r>
            <w:r>
              <w:br/>
              <w:t>2022</w:t>
            </w:r>
          </w:p>
          <w:p w14:paraId="12248A1E" w14:textId="77777777" w:rsidR="00221C59" w:rsidRDefault="00221C59" w:rsidP="00221C59">
            <w:pPr>
              <w:pStyle w:val="NoSpacing"/>
            </w:pPr>
          </w:p>
          <w:p w14:paraId="1ED35AD2" w14:textId="77777777" w:rsidR="00221C59" w:rsidRDefault="00221C59" w:rsidP="00221C59">
            <w:pPr>
              <w:pStyle w:val="NoSpacing"/>
            </w:pPr>
            <w:r>
              <w:t>4</w:t>
            </w:r>
            <w:r w:rsidRPr="00013ACB">
              <w:rPr>
                <w:vertAlign w:val="superscript"/>
              </w:rPr>
              <w:t>th</w:t>
            </w:r>
            <w:r>
              <w:t xml:space="preserve"> Round: </w:t>
            </w:r>
          </w:p>
          <w:p w14:paraId="2D4FED6D" w14:textId="77777777" w:rsidR="00221C59" w:rsidRDefault="00221C59" w:rsidP="00221C59">
            <w:pPr>
              <w:pStyle w:val="NoSpacing"/>
            </w:pPr>
            <w:r>
              <w:t>December</w:t>
            </w:r>
            <w:r>
              <w:br/>
              <w:t>2025</w:t>
            </w:r>
          </w:p>
          <w:p w14:paraId="6E543ED8" w14:textId="77777777" w:rsidR="00221C59" w:rsidRDefault="00221C59" w:rsidP="00221C59">
            <w:pPr>
              <w:pStyle w:val="NoSpacing"/>
            </w:pPr>
          </w:p>
          <w:p w14:paraId="30FBD2EA" w14:textId="77777777" w:rsidR="00221C59" w:rsidRDefault="00221C59" w:rsidP="00221C59">
            <w:pPr>
              <w:pStyle w:val="NoSpacing"/>
            </w:pPr>
            <w:r>
              <w:t>5</w:t>
            </w:r>
            <w:r w:rsidRPr="00013ACB">
              <w:rPr>
                <w:vertAlign w:val="superscript"/>
              </w:rPr>
              <w:t>th</w:t>
            </w:r>
            <w:r>
              <w:t xml:space="preserve"> Round: </w:t>
            </w:r>
          </w:p>
          <w:p w14:paraId="47D72AF5" w14:textId="77777777" w:rsidR="00221C59" w:rsidRDefault="00221C59" w:rsidP="00221C59">
            <w:pPr>
              <w:pStyle w:val="NoSpacing"/>
            </w:pPr>
            <w:r>
              <w:t>December</w:t>
            </w:r>
            <w:r>
              <w:br/>
              <w:t>2028</w:t>
            </w:r>
          </w:p>
          <w:p w14:paraId="2497CB94" w14:textId="39DAB87F" w:rsidR="00221C59" w:rsidRPr="007A64DC" w:rsidRDefault="00221C59" w:rsidP="00221C59">
            <w:pPr>
              <w:pStyle w:val="NoSpacing"/>
            </w:pPr>
          </w:p>
        </w:tc>
        <w:tc>
          <w:tcPr>
            <w:tcW w:w="0" w:type="auto"/>
            <w:shd w:val="clear" w:color="auto" w:fill="auto"/>
          </w:tcPr>
          <w:p w14:paraId="6E69A6AF" w14:textId="77777777" w:rsidR="00221C59" w:rsidRPr="00076A71" w:rsidRDefault="00221C59" w:rsidP="00221C59">
            <w:pPr>
              <w:jc w:val="both"/>
              <w:rPr>
                <w:bCs/>
                <w:szCs w:val="20"/>
              </w:rPr>
            </w:pPr>
          </w:p>
        </w:tc>
      </w:tr>
      <w:tr w:rsidR="00BB3B57" w14:paraId="74D16D0C" w14:textId="77777777" w:rsidTr="00D52BCB">
        <w:tc>
          <w:tcPr>
            <w:tcW w:w="17162" w:type="dxa"/>
            <w:gridSpan w:val="13"/>
            <w:shd w:val="clear" w:color="auto" w:fill="auto"/>
          </w:tcPr>
          <w:p w14:paraId="1A2ABE40" w14:textId="77777777" w:rsidR="00BB3B57" w:rsidRPr="00B921C7" w:rsidRDefault="00BB3B57" w:rsidP="00221C59">
            <w:pPr>
              <w:ind w:left="970" w:hanging="970"/>
              <w:jc w:val="both"/>
              <w:rPr>
                <w:color w:val="C00000"/>
                <w:sz w:val="30"/>
                <w:szCs w:val="30"/>
              </w:rPr>
            </w:pPr>
            <w:r>
              <w:rPr>
                <w:color w:val="C00000"/>
                <w:sz w:val="30"/>
                <w:szCs w:val="30"/>
              </w:rPr>
              <w:lastRenderedPageBreak/>
              <w:t xml:space="preserve">Target </w:t>
            </w:r>
            <w:r w:rsidRPr="00B921C7">
              <w:rPr>
                <w:color w:val="C00000"/>
                <w:sz w:val="30"/>
                <w:szCs w:val="30"/>
              </w:rPr>
              <w:t>4.4 By 2030, substantially increase the number of youth and adults who have relevant skills, including technical and vocational skills, for employment, decent jobs and entrepreneurship</w:t>
            </w:r>
          </w:p>
        </w:tc>
      </w:tr>
      <w:tr w:rsidR="000E716D" w14:paraId="2126F696" w14:textId="77777777" w:rsidTr="0085651F">
        <w:tc>
          <w:tcPr>
            <w:tcW w:w="1101" w:type="dxa"/>
            <w:shd w:val="clear" w:color="auto" w:fill="auto"/>
          </w:tcPr>
          <w:p w14:paraId="2151505C" w14:textId="77777777" w:rsidR="00221C59" w:rsidRPr="00875EA5" w:rsidRDefault="00221C59" w:rsidP="00221C59">
            <w:pPr>
              <w:jc w:val="both"/>
              <w:rPr>
                <w:szCs w:val="20"/>
              </w:rPr>
            </w:pPr>
            <w:r w:rsidRPr="00B921C7">
              <w:rPr>
                <w:szCs w:val="20"/>
              </w:rPr>
              <w:t>4.4.1 Proportion of youth and adults with information and communications technology (ICT) skills, by type of skill</w:t>
            </w:r>
          </w:p>
        </w:tc>
        <w:tc>
          <w:tcPr>
            <w:tcW w:w="854" w:type="dxa"/>
            <w:shd w:val="clear" w:color="auto" w:fill="auto"/>
          </w:tcPr>
          <w:p w14:paraId="47849B95" w14:textId="77777777" w:rsidR="00221C59" w:rsidRDefault="00221C59" w:rsidP="00221C59">
            <w:pPr>
              <w:jc w:val="center"/>
              <w:rPr>
                <w:sz w:val="22"/>
                <w:szCs w:val="22"/>
                <w:lang w:bidi="bn-BD"/>
              </w:rPr>
            </w:pPr>
            <w:r w:rsidRPr="00875EA5">
              <w:rPr>
                <w:sz w:val="22"/>
                <w:szCs w:val="22"/>
                <w:lang w:bidi="bn-BD"/>
              </w:rPr>
              <w:t>UNESCO-UIS</w:t>
            </w:r>
          </w:p>
          <w:p w14:paraId="45518BE1" w14:textId="77777777" w:rsidR="00221C59" w:rsidRDefault="00221C59" w:rsidP="00221C59">
            <w:pPr>
              <w:jc w:val="center"/>
              <w:rPr>
                <w:sz w:val="22"/>
                <w:szCs w:val="22"/>
                <w:lang w:bidi="bn-BD"/>
              </w:rPr>
            </w:pPr>
            <w:r>
              <w:rPr>
                <w:sz w:val="22"/>
                <w:szCs w:val="22"/>
                <w:lang w:bidi="bn-BD"/>
              </w:rPr>
              <w:t>ITU</w:t>
            </w:r>
          </w:p>
          <w:p w14:paraId="64700E07" w14:textId="77777777" w:rsidR="00221C59" w:rsidRDefault="00221C59" w:rsidP="00221C59">
            <w:pPr>
              <w:jc w:val="center"/>
              <w:rPr>
                <w:b/>
                <w:bCs/>
                <w:sz w:val="22"/>
                <w:szCs w:val="22"/>
                <w:lang w:bidi="bn-BD"/>
              </w:rPr>
            </w:pPr>
          </w:p>
          <w:p w14:paraId="39D713D6" w14:textId="77777777" w:rsidR="00221C59" w:rsidRPr="00076A71" w:rsidRDefault="00221C59" w:rsidP="00221C59">
            <w:pPr>
              <w:jc w:val="center"/>
              <w:rPr>
                <w:b/>
                <w:bCs/>
                <w:sz w:val="22"/>
                <w:szCs w:val="22"/>
                <w:lang w:bidi="bn-BD"/>
              </w:rPr>
            </w:pPr>
            <w:r w:rsidRPr="00076A71">
              <w:rPr>
                <w:b/>
                <w:bCs/>
                <w:sz w:val="22"/>
                <w:szCs w:val="22"/>
                <w:lang w:bidi="bn-BD"/>
              </w:rPr>
              <w:t>Partner Agenc</w:t>
            </w:r>
            <w:r>
              <w:rPr>
                <w:b/>
                <w:bCs/>
                <w:sz w:val="22"/>
                <w:szCs w:val="22"/>
                <w:lang w:bidi="bn-BD"/>
              </w:rPr>
              <w:t>y</w:t>
            </w:r>
            <w:r w:rsidRPr="00076A71">
              <w:rPr>
                <w:b/>
                <w:bCs/>
                <w:sz w:val="22"/>
                <w:szCs w:val="22"/>
                <w:lang w:bidi="bn-BD"/>
              </w:rPr>
              <w:t>:</w:t>
            </w:r>
          </w:p>
          <w:p w14:paraId="0B20C4CC" w14:textId="77777777" w:rsidR="00221C59" w:rsidRPr="00076A71" w:rsidRDefault="00221C59" w:rsidP="00221C59">
            <w:pPr>
              <w:jc w:val="center"/>
              <w:rPr>
                <w:sz w:val="22"/>
                <w:szCs w:val="22"/>
                <w:lang w:bidi="bn-BD"/>
              </w:rPr>
            </w:pPr>
            <w:r w:rsidRPr="00875EA5">
              <w:rPr>
                <w:sz w:val="22"/>
                <w:szCs w:val="22"/>
                <w:lang w:bidi="bn-BD"/>
              </w:rPr>
              <w:t>OECD</w:t>
            </w:r>
          </w:p>
        </w:tc>
        <w:tc>
          <w:tcPr>
            <w:tcW w:w="0" w:type="auto"/>
            <w:shd w:val="clear" w:color="auto" w:fill="auto"/>
          </w:tcPr>
          <w:p w14:paraId="032A879A" w14:textId="77777777" w:rsidR="00221C59" w:rsidRDefault="00221C59" w:rsidP="00221C59">
            <w:pPr>
              <w:jc w:val="center"/>
              <w:rPr>
                <w:szCs w:val="20"/>
              </w:rPr>
            </w:pPr>
            <w:r>
              <w:rPr>
                <w:szCs w:val="20"/>
              </w:rPr>
              <w:t>Tier II</w:t>
            </w:r>
          </w:p>
        </w:tc>
        <w:tc>
          <w:tcPr>
            <w:tcW w:w="0" w:type="auto"/>
            <w:shd w:val="clear" w:color="auto" w:fill="auto"/>
          </w:tcPr>
          <w:p w14:paraId="11A0C8FC" w14:textId="77777777" w:rsidR="00221C59" w:rsidRDefault="00221C59" w:rsidP="00221C59">
            <w:pPr>
              <w:jc w:val="both"/>
              <w:rPr>
                <w:b/>
                <w:bCs/>
                <w:szCs w:val="20"/>
              </w:rPr>
            </w:pPr>
            <w:r w:rsidRPr="005F0D82">
              <w:rPr>
                <w:b/>
                <w:bCs/>
                <w:szCs w:val="20"/>
              </w:rPr>
              <w:t>Definition:</w:t>
            </w:r>
          </w:p>
          <w:p w14:paraId="604B1B34" w14:textId="77777777" w:rsidR="00221C59" w:rsidRDefault="00221C59" w:rsidP="00221C59">
            <w:pPr>
              <w:jc w:val="both"/>
              <w:rPr>
                <w:szCs w:val="20"/>
              </w:rPr>
            </w:pPr>
            <w:r w:rsidRPr="005F0D82">
              <w:rPr>
                <w:szCs w:val="20"/>
              </w:rPr>
              <w:t>The proportion of youth and adults with information and communications technology (ICT) skills, by type of skill as defined as the percentage of youth (aged 15-24 years) and adults (aged 15 years and above) that have undertaken certain computer-related activities in a given time period (e.g. last three months).</w:t>
            </w:r>
          </w:p>
          <w:p w14:paraId="3C5F7873" w14:textId="77777777" w:rsidR="00221C59" w:rsidRDefault="00221C59" w:rsidP="00221C59">
            <w:pPr>
              <w:jc w:val="both"/>
              <w:rPr>
                <w:szCs w:val="20"/>
              </w:rPr>
            </w:pPr>
          </w:p>
          <w:p w14:paraId="359CB675" w14:textId="77777777" w:rsidR="00221C59" w:rsidRPr="005F0D82" w:rsidRDefault="00221C59" w:rsidP="00221C59">
            <w:pPr>
              <w:jc w:val="both"/>
              <w:rPr>
                <w:b/>
                <w:bCs/>
                <w:szCs w:val="20"/>
              </w:rPr>
            </w:pPr>
            <w:r w:rsidRPr="005F0D82">
              <w:rPr>
                <w:b/>
                <w:bCs/>
                <w:szCs w:val="20"/>
              </w:rPr>
              <w:t>Concepts:</w:t>
            </w:r>
          </w:p>
          <w:p w14:paraId="581088CF" w14:textId="77777777" w:rsidR="00221C59" w:rsidRPr="005F0D82" w:rsidRDefault="00221C59" w:rsidP="00221C59">
            <w:pPr>
              <w:jc w:val="both"/>
              <w:rPr>
                <w:szCs w:val="20"/>
              </w:rPr>
            </w:pPr>
            <w:r w:rsidRPr="005F0D82">
              <w:rPr>
                <w:szCs w:val="20"/>
              </w:rPr>
              <w:t>Computer-related activities to measure ICT skills include:</w:t>
            </w:r>
          </w:p>
          <w:p w14:paraId="0D5D5308" w14:textId="77777777" w:rsidR="00221C59" w:rsidRPr="005F0D82"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Copying or moving a file or folder</w:t>
            </w:r>
          </w:p>
          <w:p w14:paraId="5047079D" w14:textId="77777777" w:rsidR="00221C59" w:rsidRPr="005F0D82"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Using copy and paste tools to duplicate or move information within a document</w:t>
            </w:r>
          </w:p>
          <w:p w14:paraId="4FFBE43B" w14:textId="77777777" w:rsidR="00221C59" w:rsidRPr="005F0D82"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Sending e-mails with attached files (e.g. document, picture, and video)</w:t>
            </w:r>
          </w:p>
          <w:p w14:paraId="0D6F8F3E" w14:textId="77777777" w:rsidR="00221C59" w:rsidRPr="005F0D82"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Using basic arithmetic formulae in a spreadsheet</w:t>
            </w:r>
          </w:p>
          <w:p w14:paraId="0BD6EEE8" w14:textId="77777777" w:rsidR="00221C59" w:rsidRPr="005F0D82"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lastRenderedPageBreak/>
              <w:t>Connecting and installing new devices (e.g. modem, camera, printer)</w:t>
            </w:r>
          </w:p>
          <w:p w14:paraId="4F97E24B" w14:textId="77777777" w:rsidR="00221C59" w:rsidRPr="005F0D82"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Finding, downloading, installing and configuring software</w:t>
            </w:r>
          </w:p>
          <w:p w14:paraId="10D130F0" w14:textId="77777777" w:rsidR="00221C59"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 xml:space="preserve">Creating electronic presentations with presentation software (including text, images, sound, video or charts) </w:t>
            </w:r>
          </w:p>
          <w:p w14:paraId="444F2AEC" w14:textId="77777777" w:rsidR="00221C59"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 xml:space="preserve">Transferring files between a computer and other devices </w:t>
            </w:r>
          </w:p>
          <w:p w14:paraId="2C2E815E" w14:textId="77777777" w:rsidR="00221C59" w:rsidRDefault="00221C59" w:rsidP="00221C59">
            <w:pPr>
              <w:pStyle w:val="ListParagraph"/>
              <w:numPr>
                <w:ilvl w:val="0"/>
                <w:numId w:val="23"/>
              </w:numPr>
              <w:spacing w:line="240" w:lineRule="auto"/>
              <w:ind w:left="180" w:hanging="180"/>
              <w:jc w:val="both"/>
              <w:rPr>
                <w:rFonts w:ascii="Tw Cen MT Condensed" w:hAnsi="Tw Cen MT Condensed"/>
                <w:sz w:val="20"/>
                <w:szCs w:val="20"/>
              </w:rPr>
            </w:pPr>
            <w:r w:rsidRPr="005F0D82">
              <w:rPr>
                <w:rFonts w:ascii="Tw Cen MT Condensed" w:hAnsi="Tw Cen MT Condensed"/>
                <w:sz w:val="20"/>
                <w:szCs w:val="20"/>
              </w:rPr>
              <w:t xml:space="preserve">Writing a computer program using a specialised programming language </w:t>
            </w:r>
          </w:p>
          <w:p w14:paraId="0F25C0A1" w14:textId="77777777" w:rsidR="00221C59" w:rsidRPr="000C4849" w:rsidRDefault="00221C59" w:rsidP="00221C59">
            <w:pPr>
              <w:jc w:val="both"/>
              <w:rPr>
                <w:bCs/>
                <w:szCs w:val="20"/>
              </w:rPr>
            </w:pPr>
            <w:r w:rsidRPr="005F0D82">
              <w:rPr>
                <w:szCs w:val="20"/>
              </w:rPr>
              <w:t xml:space="preserve">A computer refers to a desktop computer, a laptop (portable) computer or a tablet (or similar handheld computer). </w:t>
            </w:r>
            <w:r w:rsidRPr="000C4849">
              <w:rPr>
                <w:bCs/>
                <w:szCs w:val="20"/>
              </w:rPr>
              <w:t>It does not include equipment with some embedded computing abilities, such as smart TV sets or cell phones.</w:t>
            </w:r>
          </w:p>
          <w:p w14:paraId="365B8CEC" w14:textId="77777777" w:rsidR="00221C59" w:rsidRPr="007249AA" w:rsidRDefault="00221C59" w:rsidP="00221C59">
            <w:pPr>
              <w:jc w:val="both"/>
              <w:rPr>
                <w:szCs w:val="20"/>
              </w:rPr>
            </w:pPr>
          </w:p>
          <w:p w14:paraId="713A088E" w14:textId="77777777" w:rsidR="00221C59" w:rsidRPr="005F0D82" w:rsidRDefault="00221C59" w:rsidP="00221C59">
            <w:pPr>
              <w:jc w:val="both"/>
              <w:rPr>
                <w:b/>
                <w:bCs/>
                <w:szCs w:val="20"/>
              </w:rPr>
            </w:pPr>
            <w:r w:rsidRPr="005F0D82">
              <w:rPr>
                <w:b/>
                <w:bCs/>
                <w:szCs w:val="20"/>
              </w:rPr>
              <w:t>Computation Method:</w:t>
            </w:r>
          </w:p>
          <w:p w14:paraId="5A673315" w14:textId="77777777" w:rsidR="00221C59" w:rsidRDefault="00221C59" w:rsidP="00221C59">
            <w:pPr>
              <w:jc w:val="both"/>
              <w:rPr>
                <w:szCs w:val="20"/>
              </w:rPr>
            </w:pPr>
            <w:r w:rsidRPr="005F0D82">
              <w:rPr>
                <w:szCs w:val="20"/>
              </w:rPr>
              <w:t>The indicator is calculated as the percentage of people in a given population who have responded ‘yes’ to a selected number of variables e.g. the use of ICT skills in various subject areas or learning domains, the use of ICT skills inside or outside of school and/or workplace, the minimum amount of time spend using ICT skills inside and outside of school and/or workplace, availability of internet access inside or outside of school and/or workplace, etc.</w:t>
            </w:r>
          </w:p>
          <w:p w14:paraId="441FA470" w14:textId="77777777" w:rsidR="00221C59" w:rsidRDefault="00221C59" w:rsidP="00221C59">
            <w:pPr>
              <w:jc w:val="both"/>
              <w:rPr>
                <w:szCs w:val="20"/>
              </w:rPr>
            </w:pPr>
          </w:p>
          <w:p w14:paraId="0CF4478A" w14:textId="77777777" w:rsidR="00221C59" w:rsidRDefault="00221C59" w:rsidP="00221C59">
            <w:pPr>
              <w:jc w:val="both"/>
              <w:rPr>
                <w:szCs w:val="20"/>
              </w:rPr>
            </w:pPr>
            <w:r w:rsidRPr="005F0D82">
              <w:rPr>
                <w:szCs w:val="20"/>
              </w:rPr>
              <w:t>PICTa = ICTa</w:t>
            </w:r>
          </w:p>
          <w:p w14:paraId="12692D5C" w14:textId="77777777" w:rsidR="00221C59" w:rsidRDefault="00221C59" w:rsidP="00221C59">
            <w:pPr>
              <w:jc w:val="both"/>
              <w:rPr>
                <w:szCs w:val="20"/>
              </w:rPr>
            </w:pPr>
            <w:r w:rsidRPr="005F0D82">
              <w:rPr>
                <w:szCs w:val="20"/>
              </w:rPr>
              <w:t>Pa</w:t>
            </w:r>
          </w:p>
          <w:p w14:paraId="67FDED0C" w14:textId="77777777" w:rsidR="00221C59" w:rsidRDefault="00221C59" w:rsidP="00221C59">
            <w:pPr>
              <w:jc w:val="both"/>
              <w:rPr>
                <w:szCs w:val="20"/>
              </w:rPr>
            </w:pPr>
          </w:p>
          <w:p w14:paraId="137BE245" w14:textId="77777777" w:rsidR="00221C59" w:rsidRDefault="00221C59" w:rsidP="00221C59">
            <w:pPr>
              <w:jc w:val="both"/>
              <w:rPr>
                <w:szCs w:val="20"/>
              </w:rPr>
            </w:pPr>
            <w:r w:rsidRPr="005F0D82">
              <w:rPr>
                <w:szCs w:val="20"/>
              </w:rPr>
              <w:t>where:</w:t>
            </w:r>
          </w:p>
          <w:p w14:paraId="12A41CAE" w14:textId="77777777" w:rsidR="00221C59" w:rsidRPr="000C4849" w:rsidRDefault="00221C59" w:rsidP="00221C59">
            <w:pPr>
              <w:jc w:val="both"/>
              <w:rPr>
                <w:iCs/>
                <w:szCs w:val="20"/>
              </w:rPr>
            </w:pPr>
            <w:r w:rsidRPr="000C4849">
              <w:rPr>
                <w:iCs/>
                <w:szCs w:val="20"/>
              </w:rPr>
              <w:t>PICTa,s = percentage of people in age group a who have ICT skill s</w:t>
            </w:r>
          </w:p>
          <w:p w14:paraId="3CECE7BF" w14:textId="77777777" w:rsidR="00221C59" w:rsidRPr="000C4849" w:rsidRDefault="00221C59" w:rsidP="00221C59">
            <w:pPr>
              <w:jc w:val="both"/>
              <w:rPr>
                <w:iCs/>
                <w:szCs w:val="20"/>
              </w:rPr>
            </w:pPr>
            <w:r w:rsidRPr="000C4849">
              <w:rPr>
                <w:iCs/>
                <w:szCs w:val="20"/>
              </w:rPr>
              <w:t xml:space="preserve">ICTa,s = number of people in age group a who have ICT skill s </w:t>
            </w:r>
          </w:p>
          <w:p w14:paraId="67836E7D" w14:textId="77777777" w:rsidR="00221C59" w:rsidRPr="005F0D82" w:rsidRDefault="00221C59" w:rsidP="00221C59">
            <w:pPr>
              <w:jc w:val="both"/>
              <w:rPr>
                <w:i/>
                <w:iCs/>
                <w:sz w:val="18"/>
                <w:szCs w:val="18"/>
              </w:rPr>
            </w:pPr>
            <w:r w:rsidRPr="000C4849">
              <w:rPr>
                <w:iCs/>
                <w:szCs w:val="20"/>
              </w:rPr>
              <w:t>Pa = population in age group a</w:t>
            </w:r>
          </w:p>
        </w:tc>
        <w:tc>
          <w:tcPr>
            <w:tcW w:w="0" w:type="auto"/>
            <w:shd w:val="clear" w:color="auto" w:fill="auto"/>
          </w:tcPr>
          <w:p w14:paraId="3832A506" w14:textId="77777777" w:rsidR="00221C59" w:rsidRDefault="00221C59" w:rsidP="00221C59">
            <w:pPr>
              <w:jc w:val="center"/>
              <w:rPr>
                <w:bCs/>
                <w:szCs w:val="20"/>
              </w:rPr>
            </w:pPr>
            <w:r w:rsidRPr="005F0D82">
              <w:rPr>
                <w:bCs/>
                <w:szCs w:val="20"/>
              </w:rPr>
              <w:lastRenderedPageBreak/>
              <w:t>School or household survey</w:t>
            </w:r>
          </w:p>
        </w:tc>
        <w:tc>
          <w:tcPr>
            <w:tcW w:w="0" w:type="auto"/>
            <w:shd w:val="clear" w:color="auto" w:fill="auto"/>
          </w:tcPr>
          <w:p w14:paraId="09F1BB70" w14:textId="77777777" w:rsidR="00221C59" w:rsidRDefault="00221C59" w:rsidP="00221C59">
            <w:pPr>
              <w:jc w:val="center"/>
              <w:rPr>
                <w:bCs/>
                <w:szCs w:val="20"/>
              </w:rPr>
            </w:pPr>
            <w:r>
              <w:rPr>
                <w:bCs/>
                <w:szCs w:val="20"/>
              </w:rPr>
              <w:t>NSO;</w:t>
            </w:r>
          </w:p>
          <w:p w14:paraId="19B06C84" w14:textId="77777777" w:rsidR="00221C59" w:rsidRPr="00B921C7" w:rsidRDefault="00221C59" w:rsidP="00221C59">
            <w:pPr>
              <w:jc w:val="center"/>
              <w:rPr>
                <w:bCs/>
                <w:szCs w:val="20"/>
              </w:rPr>
            </w:pPr>
            <w:r>
              <w:rPr>
                <w:bCs/>
                <w:szCs w:val="20"/>
              </w:rPr>
              <w:t>MoE</w:t>
            </w:r>
          </w:p>
        </w:tc>
        <w:tc>
          <w:tcPr>
            <w:tcW w:w="0" w:type="auto"/>
            <w:shd w:val="clear" w:color="auto" w:fill="auto"/>
          </w:tcPr>
          <w:p w14:paraId="203FB99B" w14:textId="16E4BE8D" w:rsidR="00221C59" w:rsidRDefault="00221C59" w:rsidP="00221C59">
            <w:pPr>
              <w:jc w:val="both"/>
              <w:rPr>
                <w:bCs/>
                <w:szCs w:val="20"/>
              </w:rPr>
            </w:pPr>
            <w:r w:rsidRPr="00BC6F10">
              <w:rPr>
                <w:rFonts w:eastAsia="Times New Roman" w:cs="Times New Roman"/>
                <w:color w:val="000000" w:themeColor="text1"/>
                <w:szCs w:val="20"/>
              </w:rPr>
              <w:t>BBS</w:t>
            </w:r>
          </w:p>
        </w:tc>
        <w:tc>
          <w:tcPr>
            <w:tcW w:w="0" w:type="auto"/>
            <w:shd w:val="clear" w:color="auto" w:fill="auto"/>
          </w:tcPr>
          <w:p w14:paraId="47C024E2" w14:textId="17055F7F" w:rsidR="00221C59" w:rsidRDefault="00221C59" w:rsidP="00221C59">
            <w:pPr>
              <w:jc w:val="both"/>
              <w:rPr>
                <w:bCs/>
                <w:szCs w:val="20"/>
              </w:rPr>
            </w:pPr>
          </w:p>
          <w:p w14:paraId="3153C712" w14:textId="77777777" w:rsidR="00221C59" w:rsidRPr="000769F3" w:rsidRDefault="00221C59" w:rsidP="00221C59">
            <w:pPr>
              <w:spacing w:line="276" w:lineRule="auto"/>
              <w:jc w:val="center"/>
            </w:pPr>
            <w:r w:rsidRPr="000769F3">
              <w:t xml:space="preserve">(LAS/MICS/ </w:t>
            </w:r>
          </w:p>
          <w:p w14:paraId="7608D6A0" w14:textId="77777777" w:rsidR="00221C59" w:rsidRDefault="00221C59" w:rsidP="00221C59">
            <w:pPr>
              <w:jc w:val="both"/>
              <w:rPr>
                <w:bCs/>
                <w:szCs w:val="20"/>
              </w:rPr>
            </w:pPr>
            <w:r w:rsidRPr="000769F3">
              <w:t>Access and use of ICT by Household and Individual Survey), SID</w:t>
            </w:r>
            <w:r>
              <w:t>, BBS</w:t>
            </w:r>
          </w:p>
        </w:tc>
        <w:tc>
          <w:tcPr>
            <w:tcW w:w="0" w:type="auto"/>
            <w:shd w:val="clear" w:color="auto" w:fill="auto"/>
          </w:tcPr>
          <w:p w14:paraId="4C1EB734" w14:textId="093767FB" w:rsidR="00221C59" w:rsidRDefault="00221C59" w:rsidP="00221C59">
            <w:pPr>
              <w:pStyle w:val="ListParagraph"/>
              <w:numPr>
                <w:ilvl w:val="0"/>
                <w:numId w:val="2"/>
              </w:numPr>
              <w:spacing w:after="0" w:line="240" w:lineRule="auto"/>
              <w:ind w:left="124" w:hanging="124"/>
              <w:jc w:val="both"/>
              <w:rPr>
                <w:rFonts w:ascii="Tw Cen MT Condensed" w:hAnsi="Tw Cen MT Condensed"/>
                <w:bCs/>
                <w:sz w:val="20"/>
                <w:szCs w:val="20"/>
              </w:rPr>
            </w:pPr>
            <w:r w:rsidRPr="005F0D82">
              <w:rPr>
                <w:rFonts w:ascii="Tw Cen MT Condensed" w:hAnsi="Tw Cen MT Condensed"/>
                <w:bCs/>
                <w:sz w:val="20"/>
                <w:szCs w:val="20"/>
              </w:rPr>
              <w:t xml:space="preserve">Age or age-group </w:t>
            </w:r>
            <w:r w:rsidR="000E716D">
              <w:rPr>
                <w:rFonts w:ascii="Tw Cen MT Condensed" w:hAnsi="Tw Cen MT Condensed"/>
                <w:bCs/>
                <w:sz w:val="20"/>
                <w:szCs w:val="20"/>
              </w:rPr>
              <w:t>15-24 yrs, 25-64 yrs</w:t>
            </w:r>
          </w:p>
          <w:p w14:paraId="51672220" w14:textId="2D9CCC98" w:rsidR="00221C59" w:rsidRDefault="00221C59" w:rsidP="00221C59">
            <w:pPr>
              <w:pStyle w:val="ListParagraph"/>
              <w:numPr>
                <w:ilvl w:val="0"/>
                <w:numId w:val="2"/>
              </w:numPr>
              <w:spacing w:after="0" w:line="240" w:lineRule="auto"/>
              <w:ind w:left="124" w:hanging="124"/>
              <w:jc w:val="both"/>
              <w:rPr>
                <w:rFonts w:ascii="Tw Cen MT Condensed" w:hAnsi="Tw Cen MT Condensed"/>
                <w:bCs/>
                <w:sz w:val="20"/>
                <w:szCs w:val="20"/>
              </w:rPr>
            </w:pPr>
            <w:r w:rsidRPr="005F0D82">
              <w:rPr>
                <w:rFonts w:ascii="Tw Cen MT Condensed" w:hAnsi="Tw Cen MT Condensed"/>
                <w:bCs/>
                <w:sz w:val="20"/>
                <w:szCs w:val="20"/>
              </w:rPr>
              <w:t>Sex</w:t>
            </w:r>
            <w:r w:rsidR="000E716D">
              <w:rPr>
                <w:rFonts w:ascii="Tw Cen MT Condensed" w:hAnsi="Tw Cen MT Condensed"/>
                <w:bCs/>
                <w:sz w:val="20"/>
                <w:szCs w:val="20"/>
              </w:rPr>
              <w:t>: male, Female</w:t>
            </w:r>
          </w:p>
          <w:p w14:paraId="7C951677" w14:textId="7361B6D6" w:rsidR="00221C59" w:rsidRDefault="00221C59" w:rsidP="00221C59">
            <w:pPr>
              <w:pStyle w:val="ListParagraph"/>
              <w:numPr>
                <w:ilvl w:val="0"/>
                <w:numId w:val="2"/>
              </w:numPr>
              <w:spacing w:after="0" w:line="240" w:lineRule="auto"/>
              <w:ind w:left="124" w:hanging="124"/>
              <w:jc w:val="both"/>
              <w:rPr>
                <w:rFonts w:ascii="Tw Cen MT Condensed" w:hAnsi="Tw Cen MT Condensed"/>
                <w:bCs/>
                <w:sz w:val="20"/>
                <w:szCs w:val="20"/>
              </w:rPr>
            </w:pPr>
            <w:r w:rsidRPr="005F0D82">
              <w:rPr>
                <w:rFonts w:ascii="Tw Cen MT Condensed" w:hAnsi="Tw Cen MT Condensed"/>
                <w:bCs/>
                <w:sz w:val="20"/>
                <w:szCs w:val="20"/>
              </w:rPr>
              <w:t xml:space="preserve">Location </w:t>
            </w:r>
            <w:r w:rsidR="000E716D">
              <w:rPr>
                <w:rFonts w:ascii="Tw Cen MT Condensed" w:hAnsi="Tw Cen MT Condensed"/>
                <w:bCs/>
                <w:sz w:val="20"/>
                <w:szCs w:val="20"/>
              </w:rPr>
              <w:t>: Urban, Rural</w:t>
            </w:r>
          </w:p>
          <w:p w14:paraId="7E8BC232" w14:textId="06B024DC" w:rsidR="00221C59" w:rsidRPr="00076A71" w:rsidRDefault="00221C59" w:rsidP="00221C59">
            <w:pPr>
              <w:pStyle w:val="ListParagraph"/>
              <w:numPr>
                <w:ilvl w:val="0"/>
                <w:numId w:val="2"/>
              </w:numPr>
              <w:spacing w:after="0" w:line="240" w:lineRule="auto"/>
              <w:ind w:left="124" w:hanging="124"/>
              <w:jc w:val="both"/>
              <w:rPr>
                <w:rFonts w:ascii="Tw Cen MT Condensed" w:hAnsi="Tw Cen MT Condensed"/>
                <w:bCs/>
                <w:sz w:val="20"/>
                <w:szCs w:val="20"/>
              </w:rPr>
            </w:pPr>
            <w:r w:rsidRPr="005F0D82">
              <w:rPr>
                <w:rFonts w:ascii="Tw Cen MT Condensed" w:hAnsi="Tw Cen MT Condensed"/>
                <w:bCs/>
                <w:sz w:val="20"/>
                <w:szCs w:val="20"/>
              </w:rPr>
              <w:t>Socio-economic status</w:t>
            </w:r>
            <w:r w:rsidR="000E716D">
              <w:rPr>
                <w:rFonts w:ascii="Tw Cen MT Condensed" w:hAnsi="Tw Cen MT Condensed"/>
                <w:bCs/>
                <w:sz w:val="20"/>
                <w:szCs w:val="20"/>
              </w:rPr>
              <w:t>: High/Medium/Low</w:t>
            </w:r>
          </w:p>
        </w:tc>
        <w:tc>
          <w:tcPr>
            <w:tcW w:w="0" w:type="auto"/>
            <w:shd w:val="clear" w:color="auto" w:fill="auto"/>
          </w:tcPr>
          <w:p w14:paraId="52A5F8D1" w14:textId="03038BB3" w:rsidR="00221C59" w:rsidRDefault="005F24FB" w:rsidP="00221C59">
            <w:pPr>
              <w:jc w:val="center"/>
              <w:rPr>
                <w:bCs/>
                <w:szCs w:val="20"/>
              </w:rPr>
            </w:pPr>
            <w:r>
              <w:rPr>
                <w:bCs/>
                <w:szCs w:val="20"/>
              </w:rPr>
              <w:t>Triennial</w:t>
            </w:r>
          </w:p>
        </w:tc>
        <w:tc>
          <w:tcPr>
            <w:tcW w:w="0" w:type="auto"/>
            <w:shd w:val="clear" w:color="auto" w:fill="auto"/>
          </w:tcPr>
          <w:p w14:paraId="44473F1F" w14:textId="77777777" w:rsidR="00221C59" w:rsidRDefault="00221C59" w:rsidP="00221C59">
            <w:pPr>
              <w:jc w:val="center"/>
              <w:rPr>
                <w:bCs/>
                <w:szCs w:val="20"/>
              </w:rPr>
            </w:pPr>
            <w:r>
              <w:rPr>
                <w:bCs/>
                <w:szCs w:val="20"/>
              </w:rPr>
              <w:t>Group 3</w:t>
            </w:r>
          </w:p>
        </w:tc>
        <w:tc>
          <w:tcPr>
            <w:tcW w:w="0" w:type="auto"/>
            <w:shd w:val="clear" w:color="auto" w:fill="auto"/>
          </w:tcPr>
          <w:p w14:paraId="7C4D4FE4" w14:textId="77777777" w:rsidR="00221C59" w:rsidRDefault="00221C59" w:rsidP="00221C59">
            <w:pPr>
              <w:pStyle w:val="NoSpacing"/>
            </w:pPr>
            <w:r>
              <w:t>1</w:t>
            </w:r>
            <w:r w:rsidRPr="00013ACB">
              <w:rPr>
                <w:vertAlign w:val="superscript"/>
              </w:rPr>
              <w:t>st</w:t>
            </w:r>
            <w:r>
              <w:t xml:space="preserve"> Round: </w:t>
            </w:r>
          </w:p>
          <w:p w14:paraId="3CFED08B" w14:textId="77777777" w:rsidR="00221C59" w:rsidRDefault="00221C59" w:rsidP="00221C59">
            <w:pPr>
              <w:pStyle w:val="NoSpacing"/>
            </w:pPr>
            <w:r>
              <w:t>2019</w:t>
            </w:r>
          </w:p>
          <w:p w14:paraId="169341EF" w14:textId="77777777" w:rsidR="00221C59" w:rsidRDefault="00221C59" w:rsidP="00221C59">
            <w:pPr>
              <w:pStyle w:val="NoSpacing"/>
            </w:pPr>
            <w:r>
              <w:t>2</w:t>
            </w:r>
            <w:r w:rsidRPr="00013ACB">
              <w:rPr>
                <w:vertAlign w:val="superscript"/>
              </w:rPr>
              <w:t>nd</w:t>
            </w:r>
            <w:r>
              <w:t xml:space="preserve"> Round: </w:t>
            </w:r>
          </w:p>
          <w:p w14:paraId="2A5534B5" w14:textId="77777777" w:rsidR="00221C59" w:rsidRDefault="00221C59" w:rsidP="00221C59">
            <w:pPr>
              <w:pStyle w:val="NoSpacing"/>
            </w:pPr>
            <w:r>
              <w:t>December</w:t>
            </w:r>
            <w:r>
              <w:br/>
              <w:t>2020</w:t>
            </w:r>
          </w:p>
          <w:p w14:paraId="21D3D727" w14:textId="77777777" w:rsidR="00221C59" w:rsidRDefault="00221C59" w:rsidP="00221C59">
            <w:pPr>
              <w:pStyle w:val="NoSpacing"/>
            </w:pPr>
          </w:p>
          <w:p w14:paraId="56F1AD03" w14:textId="77777777" w:rsidR="00221C59" w:rsidRDefault="00221C59" w:rsidP="00221C59">
            <w:pPr>
              <w:pStyle w:val="NoSpacing"/>
            </w:pPr>
            <w:r>
              <w:t>3</w:t>
            </w:r>
            <w:r w:rsidRPr="00013ACB">
              <w:rPr>
                <w:vertAlign w:val="superscript"/>
              </w:rPr>
              <w:t>rd</w:t>
            </w:r>
            <w:r>
              <w:t xml:space="preserve"> Round: </w:t>
            </w:r>
          </w:p>
          <w:p w14:paraId="10872EA0" w14:textId="77777777" w:rsidR="00221C59" w:rsidRDefault="00221C59" w:rsidP="00221C59">
            <w:pPr>
              <w:pStyle w:val="NoSpacing"/>
            </w:pPr>
            <w:r>
              <w:t>December</w:t>
            </w:r>
            <w:r>
              <w:br/>
            </w:r>
            <w:r>
              <w:lastRenderedPageBreak/>
              <w:t>2023</w:t>
            </w:r>
          </w:p>
          <w:p w14:paraId="2D145E22" w14:textId="77777777" w:rsidR="00221C59" w:rsidRDefault="00221C59" w:rsidP="00221C59">
            <w:pPr>
              <w:pStyle w:val="NoSpacing"/>
            </w:pPr>
          </w:p>
          <w:p w14:paraId="016C0610" w14:textId="77777777" w:rsidR="00221C59" w:rsidRDefault="00221C59" w:rsidP="00221C59">
            <w:pPr>
              <w:pStyle w:val="NoSpacing"/>
            </w:pPr>
            <w:r>
              <w:t>4</w:t>
            </w:r>
            <w:r w:rsidRPr="00013ACB">
              <w:rPr>
                <w:vertAlign w:val="superscript"/>
              </w:rPr>
              <w:t>th</w:t>
            </w:r>
            <w:r>
              <w:t xml:space="preserve"> Round: </w:t>
            </w:r>
          </w:p>
          <w:p w14:paraId="283140C5" w14:textId="77777777" w:rsidR="00221C59" w:rsidRDefault="00221C59" w:rsidP="00221C59">
            <w:pPr>
              <w:pStyle w:val="NoSpacing"/>
            </w:pPr>
            <w:r>
              <w:t>December</w:t>
            </w:r>
            <w:r>
              <w:br/>
              <w:t>2026</w:t>
            </w:r>
          </w:p>
          <w:p w14:paraId="048E9ED0" w14:textId="77777777" w:rsidR="00221C59" w:rsidRDefault="00221C59" w:rsidP="00221C59">
            <w:pPr>
              <w:pStyle w:val="NoSpacing"/>
            </w:pPr>
            <w:r>
              <w:t>5</w:t>
            </w:r>
            <w:r w:rsidRPr="00013ACB">
              <w:rPr>
                <w:vertAlign w:val="superscript"/>
              </w:rPr>
              <w:t>th</w:t>
            </w:r>
            <w:r>
              <w:t xml:space="preserve"> Round: </w:t>
            </w:r>
          </w:p>
          <w:p w14:paraId="6E6F36FD" w14:textId="77777777" w:rsidR="00221C59" w:rsidRDefault="00221C59" w:rsidP="00221C59">
            <w:pPr>
              <w:pStyle w:val="NoSpacing"/>
            </w:pPr>
            <w:r>
              <w:t>December</w:t>
            </w:r>
            <w:r>
              <w:br/>
              <w:t>2029</w:t>
            </w:r>
          </w:p>
          <w:p w14:paraId="3B9D6A8E" w14:textId="442D49DA" w:rsidR="00221C59" w:rsidRPr="007A64DC" w:rsidRDefault="00221C59" w:rsidP="00221C59">
            <w:pPr>
              <w:pStyle w:val="NoSpacing"/>
            </w:pPr>
          </w:p>
        </w:tc>
        <w:tc>
          <w:tcPr>
            <w:tcW w:w="0" w:type="auto"/>
            <w:shd w:val="clear" w:color="auto" w:fill="auto"/>
          </w:tcPr>
          <w:p w14:paraId="210D9557" w14:textId="77777777" w:rsidR="00221C59" w:rsidRPr="00076A71" w:rsidRDefault="00221C59" w:rsidP="00221C59">
            <w:pPr>
              <w:jc w:val="both"/>
              <w:rPr>
                <w:bCs/>
                <w:szCs w:val="20"/>
              </w:rPr>
            </w:pPr>
          </w:p>
        </w:tc>
      </w:tr>
      <w:tr w:rsidR="00BB3B57" w14:paraId="17396C51" w14:textId="77777777" w:rsidTr="00D52BCB">
        <w:tc>
          <w:tcPr>
            <w:tcW w:w="17162" w:type="dxa"/>
            <w:gridSpan w:val="13"/>
            <w:shd w:val="clear" w:color="auto" w:fill="auto"/>
          </w:tcPr>
          <w:p w14:paraId="05EAAE9D" w14:textId="77777777" w:rsidR="00BB3B57" w:rsidRPr="0036436C" w:rsidRDefault="00BB3B57" w:rsidP="00221C59">
            <w:pPr>
              <w:ind w:left="970" w:hanging="970"/>
              <w:jc w:val="both"/>
              <w:rPr>
                <w:color w:val="C00000"/>
                <w:sz w:val="30"/>
                <w:szCs w:val="30"/>
              </w:rPr>
            </w:pPr>
            <w:r>
              <w:rPr>
                <w:color w:val="C00000"/>
                <w:sz w:val="30"/>
                <w:szCs w:val="30"/>
              </w:rPr>
              <w:lastRenderedPageBreak/>
              <w:t xml:space="preserve">Target </w:t>
            </w:r>
            <w:r w:rsidRPr="0036436C">
              <w:rPr>
                <w:color w:val="C00000"/>
                <w:sz w:val="30"/>
                <w:szCs w:val="30"/>
              </w:rPr>
              <w:t>4.5 By 2030, eliminate gender disparities in education and ensure equal access to all levels of education and vocational training for the vulnerable, including persons with disabilities, indigenous peoples and children in vulnerable situations</w:t>
            </w:r>
          </w:p>
        </w:tc>
      </w:tr>
      <w:tr w:rsidR="000E716D" w14:paraId="1FDA16C9" w14:textId="77777777" w:rsidTr="0085651F">
        <w:tc>
          <w:tcPr>
            <w:tcW w:w="1101" w:type="dxa"/>
            <w:shd w:val="clear" w:color="auto" w:fill="auto"/>
          </w:tcPr>
          <w:p w14:paraId="10FD2A82" w14:textId="77777777" w:rsidR="00221C59" w:rsidRPr="00B921C7" w:rsidRDefault="00221C59" w:rsidP="00221C59">
            <w:pPr>
              <w:jc w:val="both"/>
              <w:rPr>
                <w:szCs w:val="20"/>
              </w:rPr>
            </w:pPr>
            <w:r w:rsidRPr="0036436C">
              <w:rPr>
                <w:szCs w:val="20"/>
              </w:rPr>
              <w:t xml:space="preserve">4.5.1 Parity indices (female/male, rural/urban, bottom/top wealth quintile and others such as </w:t>
            </w:r>
            <w:r w:rsidRPr="0036436C">
              <w:rPr>
                <w:szCs w:val="20"/>
              </w:rPr>
              <w:lastRenderedPageBreak/>
              <w:t>disability status, indigenous peoples and conflict-affected, as data become available) for all education indicators on this list that can be disaggregated</w:t>
            </w:r>
          </w:p>
        </w:tc>
        <w:tc>
          <w:tcPr>
            <w:tcW w:w="854" w:type="dxa"/>
            <w:shd w:val="clear" w:color="auto" w:fill="auto"/>
          </w:tcPr>
          <w:p w14:paraId="5B5470DA" w14:textId="77777777" w:rsidR="00221C59" w:rsidRDefault="00221C59" w:rsidP="00221C59">
            <w:pPr>
              <w:jc w:val="center"/>
              <w:rPr>
                <w:sz w:val="22"/>
                <w:szCs w:val="22"/>
                <w:lang w:bidi="bn-BD"/>
              </w:rPr>
            </w:pPr>
            <w:r w:rsidRPr="00875EA5">
              <w:rPr>
                <w:sz w:val="22"/>
                <w:szCs w:val="22"/>
                <w:lang w:bidi="bn-BD"/>
              </w:rPr>
              <w:lastRenderedPageBreak/>
              <w:t>UNESCO-UIS</w:t>
            </w:r>
          </w:p>
          <w:p w14:paraId="517A3ACE" w14:textId="77777777" w:rsidR="00221C59" w:rsidRDefault="00221C59" w:rsidP="00221C59">
            <w:pPr>
              <w:jc w:val="center"/>
              <w:rPr>
                <w:b/>
                <w:bCs/>
                <w:sz w:val="22"/>
                <w:szCs w:val="22"/>
                <w:lang w:bidi="bn-BD"/>
              </w:rPr>
            </w:pPr>
          </w:p>
          <w:p w14:paraId="592EC1FB" w14:textId="77777777" w:rsidR="00221C59" w:rsidRPr="00076A71" w:rsidRDefault="00221C59" w:rsidP="00221C59">
            <w:pPr>
              <w:jc w:val="center"/>
              <w:rPr>
                <w:b/>
                <w:bCs/>
                <w:sz w:val="22"/>
                <w:szCs w:val="22"/>
                <w:lang w:bidi="bn-BD"/>
              </w:rPr>
            </w:pPr>
            <w:r w:rsidRPr="00076A71">
              <w:rPr>
                <w:b/>
                <w:bCs/>
                <w:sz w:val="22"/>
                <w:szCs w:val="22"/>
                <w:lang w:bidi="bn-BD"/>
              </w:rPr>
              <w:t>Partner Agenc</w:t>
            </w:r>
            <w:r>
              <w:rPr>
                <w:b/>
                <w:bCs/>
                <w:sz w:val="22"/>
                <w:szCs w:val="22"/>
                <w:lang w:bidi="bn-BD"/>
              </w:rPr>
              <w:t>y</w:t>
            </w:r>
            <w:r w:rsidRPr="00076A71">
              <w:rPr>
                <w:b/>
                <w:bCs/>
                <w:sz w:val="22"/>
                <w:szCs w:val="22"/>
                <w:lang w:bidi="bn-BD"/>
              </w:rPr>
              <w:t>:</w:t>
            </w:r>
          </w:p>
          <w:p w14:paraId="71D4AF85" w14:textId="77777777" w:rsidR="00221C59" w:rsidRPr="00076A71" w:rsidRDefault="00221C59" w:rsidP="00221C59">
            <w:pPr>
              <w:jc w:val="center"/>
              <w:rPr>
                <w:sz w:val="22"/>
                <w:szCs w:val="22"/>
                <w:lang w:bidi="bn-BD"/>
              </w:rPr>
            </w:pPr>
            <w:r w:rsidRPr="00875EA5">
              <w:rPr>
                <w:sz w:val="22"/>
                <w:szCs w:val="22"/>
                <w:lang w:bidi="bn-BD"/>
              </w:rPr>
              <w:t>OECD</w:t>
            </w:r>
          </w:p>
        </w:tc>
        <w:tc>
          <w:tcPr>
            <w:tcW w:w="0" w:type="auto"/>
            <w:shd w:val="clear" w:color="auto" w:fill="auto"/>
          </w:tcPr>
          <w:p w14:paraId="075E6C65" w14:textId="77777777" w:rsidR="00221C59" w:rsidRDefault="00221C59" w:rsidP="00221C59">
            <w:pPr>
              <w:jc w:val="center"/>
              <w:rPr>
                <w:szCs w:val="20"/>
              </w:rPr>
            </w:pPr>
            <w:r w:rsidRPr="00597333">
              <w:rPr>
                <w:szCs w:val="20"/>
              </w:rPr>
              <w:t>Tier I/II/III depending on indice</w:t>
            </w:r>
          </w:p>
        </w:tc>
        <w:tc>
          <w:tcPr>
            <w:tcW w:w="0" w:type="auto"/>
            <w:shd w:val="clear" w:color="auto" w:fill="auto"/>
          </w:tcPr>
          <w:p w14:paraId="4C710188" w14:textId="77777777" w:rsidR="00221C59" w:rsidRDefault="00221C59" w:rsidP="00221C59">
            <w:pPr>
              <w:jc w:val="both"/>
              <w:rPr>
                <w:b/>
                <w:bCs/>
                <w:szCs w:val="20"/>
              </w:rPr>
            </w:pPr>
            <w:r w:rsidRPr="00597333">
              <w:rPr>
                <w:b/>
                <w:bCs/>
                <w:szCs w:val="20"/>
              </w:rPr>
              <w:t>Definition:</w:t>
            </w:r>
          </w:p>
          <w:p w14:paraId="2654AA01" w14:textId="77777777" w:rsidR="00221C59" w:rsidRDefault="00221C59" w:rsidP="00221C59">
            <w:pPr>
              <w:jc w:val="both"/>
              <w:rPr>
                <w:szCs w:val="20"/>
              </w:rPr>
            </w:pPr>
            <w:r w:rsidRPr="00597333">
              <w:rPr>
                <w:szCs w:val="20"/>
              </w:rPr>
              <w:t>Parity indices require data for the specific groups of interest. They represent the ratio of the indicator value for one group to that of the other. Typically, the likely more disadvantaged group is placed in the numerator. A value of exactly 1 indicates parity between the two groups.</w:t>
            </w:r>
          </w:p>
          <w:p w14:paraId="190ABBE9" w14:textId="77777777" w:rsidR="00221C59" w:rsidRDefault="00221C59" w:rsidP="00221C59">
            <w:pPr>
              <w:jc w:val="both"/>
              <w:rPr>
                <w:szCs w:val="20"/>
              </w:rPr>
            </w:pPr>
          </w:p>
          <w:p w14:paraId="4BD7A16D" w14:textId="77777777" w:rsidR="00221C59" w:rsidRPr="00597333" w:rsidRDefault="00221C59" w:rsidP="00221C59">
            <w:pPr>
              <w:jc w:val="both"/>
              <w:rPr>
                <w:b/>
                <w:bCs/>
                <w:szCs w:val="20"/>
              </w:rPr>
            </w:pPr>
            <w:r w:rsidRPr="00597333">
              <w:rPr>
                <w:b/>
                <w:bCs/>
                <w:szCs w:val="20"/>
              </w:rPr>
              <w:t>Concepts:</w:t>
            </w:r>
          </w:p>
          <w:p w14:paraId="2A58ACE3" w14:textId="77777777" w:rsidR="00221C59" w:rsidRDefault="00221C59" w:rsidP="00221C59">
            <w:pPr>
              <w:jc w:val="both"/>
              <w:rPr>
                <w:szCs w:val="20"/>
              </w:rPr>
            </w:pPr>
            <w:r w:rsidRPr="00597333">
              <w:rPr>
                <w:szCs w:val="20"/>
              </w:rPr>
              <w:t>See metadata for relevant underlying indicator.</w:t>
            </w:r>
          </w:p>
          <w:p w14:paraId="26ED5596" w14:textId="77777777" w:rsidR="00221C59" w:rsidRDefault="00221C59" w:rsidP="00221C59">
            <w:pPr>
              <w:jc w:val="both"/>
              <w:rPr>
                <w:b/>
                <w:bCs/>
                <w:szCs w:val="20"/>
              </w:rPr>
            </w:pPr>
          </w:p>
          <w:p w14:paraId="79F91C27" w14:textId="77777777" w:rsidR="00221C59" w:rsidRDefault="00221C59" w:rsidP="00221C59">
            <w:pPr>
              <w:jc w:val="both"/>
              <w:rPr>
                <w:b/>
                <w:bCs/>
                <w:szCs w:val="20"/>
              </w:rPr>
            </w:pPr>
            <w:r w:rsidRPr="00597333">
              <w:rPr>
                <w:b/>
                <w:bCs/>
                <w:szCs w:val="20"/>
              </w:rPr>
              <w:t>Computation Method:</w:t>
            </w:r>
          </w:p>
          <w:p w14:paraId="64B9FB01" w14:textId="77777777" w:rsidR="00221C59" w:rsidRDefault="00221C59" w:rsidP="00221C59">
            <w:pPr>
              <w:jc w:val="both"/>
              <w:rPr>
                <w:szCs w:val="20"/>
              </w:rPr>
            </w:pPr>
            <w:r w:rsidRPr="00597333">
              <w:rPr>
                <w:szCs w:val="20"/>
              </w:rPr>
              <w:t xml:space="preserve">The indicator value of the likely more disadvantaged group is divided by the indicator value of the other sub-population of interest. </w:t>
            </w:r>
          </w:p>
          <w:p w14:paraId="4DDF3280" w14:textId="77777777" w:rsidR="00221C59" w:rsidRDefault="00221C59" w:rsidP="00221C59">
            <w:pPr>
              <w:jc w:val="both"/>
              <w:rPr>
                <w:szCs w:val="20"/>
              </w:rPr>
            </w:pPr>
            <w:r w:rsidRPr="00597333">
              <w:rPr>
                <w:szCs w:val="20"/>
              </w:rPr>
              <w:t>DPI = [Indi]d</w:t>
            </w:r>
          </w:p>
          <w:p w14:paraId="06A129E0" w14:textId="77777777" w:rsidR="00221C59" w:rsidRDefault="00221C59" w:rsidP="00221C59">
            <w:pPr>
              <w:jc w:val="both"/>
              <w:rPr>
                <w:szCs w:val="20"/>
              </w:rPr>
            </w:pPr>
            <w:r w:rsidRPr="00597333">
              <w:rPr>
                <w:szCs w:val="20"/>
              </w:rPr>
              <w:t>[Indi]a</w:t>
            </w:r>
          </w:p>
          <w:p w14:paraId="6FD033E3" w14:textId="77777777" w:rsidR="00221C59" w:rsidRDefault="00221C59" w:rsidP="00221C59">
            <w:pPr>
              <w:jc w:val="both"/>
              <w:rPr>
                <w:b/>
                <w:bCs/>
                <w:szCs w:val="20"/>
              </w:rPr>
            </w:pPr>
          </w:p>
          <w:p w14:paraId="2163908A" w14:textId="77777777" w:rsidR="00221C59" w:rsidRPr="000C4849" w:rsidRDefault="00221C59" w:rsidP="00221C59">
            <w:pPr>
              <w:jc w:val="both"/>
              <w:rPr>
                <w:iCs/>
                <w:sz w:val="18"/>
                <w:szCs w:val="18"/>
              </w:rPr>
            </w:pPr>
            <w:r w:rsidRPr="000C4849">
              <w:rPr>
                <w:iCs/>
                <w:sz w:val="18"/>
                <w:szCs w:val="18"/>
              </w:rPr>
              <w:t>where:</w:t>
            </w:r>
          </w:p>
          <w:p w14:paraId="03ACC864" w14:textId="77777777" w:rsidR="00221C59" w:rsidRPr="000C4849" w:rsidRDefault="00221C59" w:rsidP="00221C59">
            <w:pPr>
              <w:jc w:val="both"/>
              <w:rPr>
                <w:iCs/>
                <w:sz w:val="18"/>
                <w:szCs w:val="18"/>
              </w:rPr>
            </w:pPr>
            <w:r w:rsidRPr="000C4849">
              <w:rPr>
                <w:iCs/>
                <w:sz w:val="18"/>
                <w:szCs w:val="18"/>
              </w:rPr>
              <w:t xml:space="preserve">DPI= the Dimension (Gender, Wealth, Location, etc.) Parity Index </w:t>
            </w:r>
          </w:p>
          <w:p w14:paraId="16905808" w14:textId="77777777" w:rsidR="00221C59" w:rsidRPr="000C4849" w:rsidRDefault="00221C59" w:rsidP="00221C59">
            <w:pPr>
              <w:jc w:val="both"/>
              <w:rPr>
                <w:iCs/>
                <w:sz w:val="18"/>
                <w:szCs w:val="18"/>
              </w:rPr>
            </w:pPr>
            <w:r w:rsidRPr="000C4849">
              <w:rPr>
                <w:iCs/>
                <w:sz w:val="18"/>
                <w:szCs w:val="18"/>
              </w:rPr>
              <w:t>Indi= the Education 2030 Indicator i for which an equity measure is needed.</w:t>
            </w:r>
          </w:p>
          <w:p w14:paraId="3A8DEB1F" w14:textId="77777777" w:rsidR="00221C59" w:rsidRPr="000C4849" w:rsidRDefault="00221C59" w:rsidP="00221C59">
            <w:pPr>
              <w:jc w:val="both"/>
              <w:rPr>
                <w:iCs/>
                <w:sz w:val="18"/>
                <w:szCs w:val="18"/>
              </w:rPr>
            </w:pPr>
            <w:r w:rsidRPr="000C4849">
              <w:rPr>
                <w:iCs/>
                <w:sz w:val="18"/>
                <w:szCs w:val="18"/>
              </w:rPr>
              <w:t>d= the likely disadvantaged group (e.g. female, poorest, etc.)</w:t>
            </w:r>
          </w:p>
          <w:p w14:paraId="7181D149" w14:textId="77777777" w:rsidR="00221C59" w:rsidRPr="00597333" w:rsidRDefault="00221C59" w:rsidP="00221C59">
            <w:pPr>
              <w:jc w:val="both"/>
              <w:rPr>
                <w:i/>
                <w:iCs/>
                <w:szCs w:val="20"/>
              </w:rPr>
            </w:pPr>
            <w:r w:rsidRPr="000C4849">
              <w:rPr>
                <w:iCs/>
                <w:sz w:val="18"/>
                <w:szCs w:val="18"/>
              </w:rPr>
              <w:t>a= the likely advantaged group (e.g. male, richest, etc.)</w:t>
            </w:r>
          </w:p>
        </w:tc>
        <w:tc>
          <w:tcPr>
            <w:tcW w:w="0" w:type="auto"/>
            <w:shd w:val="clear" w:color="auto" w:fill="auto"/>
          </w:tcPr>
          <w:p w14:paraId="1C46D33C" w14:textId="77777777" w:rsidR="00221C59" w:rsidRPr="005F0D82" w:rsidRDefault="00221C59" w:rsidP="00221C59">
            <w:pPr>
              <w:jc w:val="center"/>
              <w:rPr>
                <w:bCs/>
                <w:szCs w:val="20"/>
              </w:rPr>
            </w:pPr>
            <w:r w:rsidRPr="00597333">
              <w:rPr>
                <w:bCs/>
                <w:szCs w:val="20"/>
              </w:rPr>
              <w:lastRenderedPageBreak/>
              <w:t>The sources are the same as for the underlying indicators for this goal.</w:t>
            </w:r>
          </w:p>
        </w:tc>
        <w:tc>
          <w:tcPr>
            <w:tcW w:w="0" w:type="auto"/>
            <w:shd w:val="clear" w:color="auto" w:fill="auto"/>
          </w:tcPr>
          <w:p w14:paraId="6422660F" w14:textId="77777777" w:rsidR="00221C59" w:rsidRDefault="00221C59" w:rsidP="00221C59">
            <w:pPr>
              <w:jc w:val="center"/>
              <w:rPr>
                <w:bCs/>
                <w:szCs w:val="20"/>
              </w:rPr>
            </w:pPr>
            <w:r>
              <w:rPr>
                <w:bCs/>
                <w:szCs w:val="20"/>
              </w:rPr>
              <w:t>Same as the underlying indicators</w:t>
            </w:r>
          </w:p>
        </w:tc>
        <w:tc>
          <w:tcPr>
            <w:tcW w:w="0" w:type="auto"/>
            <w:shd w:val="clear" w:color="auto" w:fill="auto"/>
          </w:tcPr>
          <w:p w14:paraId="085B4A48" w14:textId="62BDDCB5" w:rsidR="00221C59" w:rsidRDefault="00221C59" w:rsidP="00221C59">
            <w:pPr>
              <w:jc w:val="both"/>
              <w:rPr>
                <w:bCs/>
                <w:szCs w:val="20"/>
              </w:rPr>
            </w:pPr>
          </w:p>
          <w:p w14:paraId="313D55BE" w14:textId="77777777" w:rsidR="00221C59" w:rsidRDefault="00221C59" w:rsidP="00221C59">
            <w:pPr>
              <w:jc w:val="both"/>
              <w:rPr>
                <w:bCs/>
                <w:szCs w:val="20"/>
              </w:rPr>
            </w:pPr>
            <w:r w:rsidRPr="00BC6F10">
              <w:rPr>
                <w:color w:val="000000" w:themeColor="text1"/>
                <w:szCs w:val="20"/>
              </w:rPr>
              <w:t>APSC for Primary and BES for others</w:t>
            </w:r>
            <w:r w:rsidRPr="00597333">
              <w:rPr>
                <w:bCs/>
                <w:szCs w:val="20"/>
              </w:rPr>
              <w:t xml:space="preserve"> </w:t>
            </w:r>
          </w:p>
        </w:tc>
        <w:tc>
          <w:tcPr>
            <w:tcW w:w="0" w:type="auto"/>
            <w:shd w:val="clear" w:color="auto" w:fill="auto"/>
          </w:tcPr>
          <w:p w14:paraId="0F3A8340" w14:textId="0276451E" w:rsidR="00221C59" w:rsidRDefault="00221C59" w:rsidP="00221C59">
            <w:pPr>
              <w:jc w:val="both"/>
              <w:rPr>
                <w:bCs/>
                <w:szCs w:val="20"/>
              </w:rPr>
            </w:pPr>
          </w:p>
          <w:p w14:paraId="52C9F668" w14:textId="77777777" w:rsidR="00221C59" w:rsidRDefault="00221C59" w:rsidP="00221C59">
            <w:pPr>
              <w:spacing w:line="276" w:lineRule="auto"/>
            </w:pPr>
            <w:r>
              <w:t xml:space="preserve">a) </w:t>
            </w:r>
            <w:r w:rsidRPr="000769F3">
              <w:t>(BES), MoE</w:t>
            </w:r>
            <w:r>
              <w:t>, BANBEIS</w:t>
            </w:r>
          </w:p>
          <w:p w14:paraId="28FECA8D" w14:textId="77777777" w:rsidR="00221C59" w:rsidRDefault="00221C59" w:rsidP="00221C59">
            <w:pPr>
              <w:spacing w:line="276" w:lineRule="auto"/>
            </w:pPr>
            <w:r>
              <w:t xml:space="preserve">b) </w:t>
            </w:r>
            <w:r w:rsidRPr="000769F3">
              <w:t>(APSC/ASPR), MoPME</w:t>
            </w:r>
            <w:r>
              <w:t>, DPE</w:t>
            </w:r>
          </w:p>
          <w:p w14:paraId="51AD43BC" w14:textId="77777777" w:rsidR="00221C59" w:rsidRDefault="00221C59" w:rsidP="00221C59">
            <w:pPr>
              <w:spacing w:line="276" w:lineRule="auto"/>
            </w:pPr>
            <w:r>
              <w:t xml:space="preserve">c) </w:t>
            </w:r>
            <w:r w:rsidRPr="000769F3">
              <w:t>(EHS/MICS), SID</w:t>
            </w:r>
            <w:r>
              <w:t>, BBS</w:t>
            </w:r>
          </w:p>
          <w:p w14:paraId="7F0C6C31" w14:textId="77777777" w:rsidR="00221C59" w:rsidRDefault="00221C59" w:rsidP="00221C59">
            <w:pPr>
              <w:spacing w:line="276" w:lineRule="auto"/>
            </w:pPr>
            <w:r>
              <w:t xml:space="preserve">d) </w:t>
            </w:r>
            <w:r w:rsidRPr="000769F3">
              <w:t>DSS, MoSW</w:t>
            </w:r>
            <w:r>
              <w:t>, DIS</w:t>
            </w:r>
          </w:p>
          <w:p w14:paraId="1A9F9F65" w14:textId="77777777" w:rsidR="00221C59" w:rsidRDefault="00221C59" w:rsidP="00221C59">
            <w:pPr>
              <w:jc w:val="both"/>
              <w:rPr>
                <w:bCs/>
                <w:szCs w:val="20"/>
              </w:rPr>
            </w:pPr>
            <w:r>
              <w:t xml:space="preserve">e) </w:t>
            </w:r>
            <w:r w:rsidRPr="000769F3">
              <w:t>MoSW</w:t>
            </w:r>
            <w:r>
              <w:t xml:space="preserve">, </w:t>
            </w:r>
            <w:r w:rsidRPr="000769F3">
              <w:t>MIS of DSS</w:t>
            </w:r>
          </w:p>
        </w:tc>
        <w:tc>
          <w:tcPr>
            <w:tcW w:w="0" w:type="auto"/>
            <w:shd w:val="clear" w:color="auto" w:fill="auto"/>
          </w:tcPr>
          <w:p w14:paraId="4B160F81" w14:textId="0E4636F0" w:rsidR="003D3F72" w:rsidRPr="000C4849" w:rsidRDefault="003D3F72" w:rsidP="003D3F72">
            <w:pPr>
              <w:pStyle w:val="ListParagraph"/>
              <w:numPr>
                <w:ilvl w:val="0"/>
                <w:numId w:val="48"/>
              </w:numPr>
              <w:spacing w:after="0" w:line="240" w:lineRule="auto"/>
              <w:ind w:left="160" w:hanging="160"/>
              <w:rPr>
                <w:rFonts w:ascii="Tw Cen MT Condensed" w:hAnsi="Tw Cen MT Condensed"/>
              </w:rPr>
            </w:pPr>
          </w:p>
          <w:p w14:paraId="027DA6FA" w14:textId="285DADB1" w:rsidR="003D3F72" w:rsidRPr="00955D89" w:rsidRDefault="003D3F72" w:rsidP="003D3F72">
            <w:pPr>
              <w:pStyle w:val="ListParagraph"/>
              <w:numPr>
                <w:ilvl w:val="0"/>
                <w:numId w:val="48"/>
              </w:numPr>
              <w:spacing w:after="0" w:line="240" w:lineRule="auto"/>
              <w:ind w:left="160" w:hanging="160"/>
              <w:rPr>
                <w:rFonts w:ascii="Tw Cen MT Condensed" w:hAnsi="Tw Cen MT Condensed"/>
              </w:rPr>
            </w:pPr>
            <w:r w:rsidRPr="00955D89">
              <w:rPr>
                <w:rFonts w:ascii="Tw Cen MT Condensed" w:hAnsi="Tw Cen MT Condensed"/>
              </w:rPr>
              <w:t xml:space="preserve">sex: </w:t>
            </w:r>
            <w:r>
              <w:rPr>
                <w:rFonts w:ascii="Tw Cen MT Condensed" w:hAnsi="Tw Cen MT Condensed"/>
              </w:rPr>
              <w:t>male/</w:t>
            </w:r>
            <w:r w:rsidRPr="007B6C3A">
              <w:rPr>
                <w:rFonts w:ascii="Tw Cen MT Condensed" w:hAnsi="Tw Cen MT Condensed"/>
              </w:rPr>
              <w:t>female</w:t>
            </w:r>
          </w:p>
          <w:p w14:paraId="297B6989" w14:textId="2E82BBCD" w:rsidR="003D3F72" w:rsidRPr="00955D89" w:rsidRDefault="003D3F72" w:rsidP="003D3F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geographical location</w:t>
            </w:r>
            <w:r w:rsidR="000E716D">
              <w:rPr>
                <w:rFonts w:ascii="Tw Cen MT Condensed" w:hAnsi="Tw Cen MT Condensed"/>
              </w:rPr>
              <w:t>: Urban/Rural</w:t>
            </w:r>
          </w:p>
          <w:p w14:paraId="7E8C86C2" w14:textId="686B83EF" w:rsidR="003D3F72" w:rsidRPr="00955D89" w:rsidRDefault="003D3F72" w:rsidP="003D3F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lastRenderedPageBreak/>
              <w:t>wealth</w:t>
            </w:r>
            <w:r w:rsidR="000E716D">
              <w:rPr>
                <w:rFonts w:ascii="Tw Cen MT Condensed" w:hAnsi="Tw Cen MT Condensed"/>
              </w:rPr>
              <w:t xml:space="preserve"> bottom/top</w:t>
            </w:r>
          </w:p>
          <w:p w14:paraId="701AB716" w14:textId="4F059EDC" w:rsidR="003D3F72" w:rsidRPr="00955D89" w:rsidRDefault="003D3F72" w:rsidP="003D3F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disability</w:t>
            </w:r>
            <w:r w:rsidR="000E716D">
              <w:rPr>
                <w:rFonts w:ascii="Tw Cen MT Condensed" w:hAnsi="Tw Cen MT Condensed"/>
              </w:rPr>
              <w:t>: Disable/Non-disable</w:t>
            </w:r>
          </w:p>
          <w:p w14:paraId="4BEEB583" w14:textId="77777777" w:rsidR="003D3F72" w:rsidRPr="00955D89" w:rsidRDefault="003D3F72" w:rsidP="003D3F7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indigeneity</w:t>
            </w:r>
          </w:p>
          <w:p w14:paraId="78B2A873" w14:textId="1FB6396F" w:rsidR="00221C59" w:rsidRPr="005F0D82" w:rsidRDefault="003D3F72" w:rsidP="003D3F72">
            <w:pPr>
              <w:pStyle w:val="ListParagraph"/>
              <w:numPr>
                <w:ilvl w:val="0"/>
                <w:numId w:val="2"/>
              </w:numPr>
              <w:spacing w:after="0" w:line="240" w:lineRule="auto"/>
              <w:ind w:left="124" w:hanging="124"/>
              <w:jc w:val="both"/>
              <w:rPr>
                <w:rFonts w:ascii="Tw Cen MT Condensed" w:hAnsi="Tw Cen MT Condensed"/>
                <w:bCs/>
                <w:sz w:val="20"/>
                <w:szCs w:val="20"/>
              </w:rPr>
            </w:pPr>
            <w:r w:rsidRPr="00955D89">
              <w:rPr>
                <w:rFonts w:ascii="Tw Cen MT Condensed" w:hAnsi="Tw Cen MT Condensed"/>
              </w:rPr>
              <w:t>conflict- affected:</w:t>
            </w:r>
          </w:p>
        </w:tc>
        <w:tc>
          <w:tcPr>
            <w:tcW w:w="0" w:type="auto"/>
            <w:shd w:val="clear" w:color="auto" w:fill="auto"/>
          </w:tcPr>
          <w:p w14:paraId="78F53DE8" w14:textId="03CD39D0" w:rsidR="00221C59" w:rsidRDefault="005F24FB" w:rsidP="00221C59">
            <w:pPr>
              <w:jc w:val="center"/>
              <w:rPr>
                <w:bCs/>
                <w:szCs w:val="20"/>
              </w:rPr>
            </w:pPr>
            <w:r>
              <w:rPr>
                <w:bCs/>
                <w:szCs w:val="20"/>
              </w:rPr>
              <w:lastRenderedPageBreak/>
              <w:t>Triennial</w:t>
            </w:r>
          </w:p>
        </w:tc>
        <w:tc>
          <w:tcPr>
            <w:tcW w:w="0" w:type="auto"/>
            <w:shd w:val="clear" w:color="auto" w:fill="auto"/>
          </w:tcPr>
          <w:p w14:paraId="7354F07A" w14:textId="77777777" w:rsidR="00221C59" w:rsidRDefault="00221C59" w:rsidP="00221C59">
            <w:pPr>
              <w:jc w:val="center"/>
              <w:rPr>
                <w:bCs/>
                <w:szCs w:val="20"/>
              </w:rPr>
            </w:pPr>
            <w:r>
              <w:rPr>
                <w:bCs/>
                <w:szCs w:val="20"/>
              </w:rPr>
              <w:t>Group 3</w:t>
            </w:r>
          </w:p>
        </w:tc>
        <w:tc>
          <w:tcPr>
            <w:tcW w:w="0" w:type="auto"/>
            <w:shd w:val="clear" w:color="auto" w:fill="auto"/>
          </w:tcPr>
          <w:p w14:paraId="1C9A7AA0" w14:textId="77777777" w:rsidR="00221C59" w:rsidRDefault="00221C59" w:rsidP="00221C59">
            <w:pPr>
              <w:pStyle w:val="NoSpacing"/>
            </w:pPr>
            <w:r>
              <w:t>1</w:t>
            </w:r>
            <w:r w:rsidRPr="00013ACB">
              <w:rPr>
                <w:vertAlign w:val="superscript"/>
              </w:rPr>
              <w:t>st</w:t>
            </w:r>
            <w:r>
              <w:t xml:space="preserve"> Round: </w:t>
            </w:r>
          </w:p>
          <w:p w14:paraId="6D5EFACE" w14:textId="77777777" w:rsidR="00221C59" w:rsidRDefault="00221C59" w:rsidP="00221C59">
            <w:pPr>
              <w:pStyle w:val="NoSpacing"/>
            </w:pPr>
            <w:r>
              <w:t>2015</w:t>
            </w:r>
          </w:p>
          <w:p w14:paraId="6FC890E4" w14:textId="77777777" w:rsidR="00221C59" w:rsidRDefault="00221C59" w:rsidP="00221C59">
            <w:pPr>
              <w:pStyle w:val="NoSpacing"/>
            </w:pPr>
            <w:r>
              <w:t>2</w:t>
            </w:r>
            <w:r w:rsidRPr="00013ACB">
              <w:rPr>
                <w:vertAlign w:val="superscript"/>
              </w:rPr>
              <w:t>nd</w:t>
            </w:r>
            <w:r>
              <w:t xml:space="preserve"> Round: </w:t>
            </w:r>
          </w:p>
          <w:p w14:paraId="7C6B75EF" w14:textId="77777777" w:rsidR="00221C59" w:rsidRDefault="00221C59" w:rsidP="00221C59">
            <w:pPr>
              <w:pStyle w:val="NoSpacing"/>
            </w:pPr>
            <w:r>
              <w:t>December</w:t>
            </w:r>
            <w:r>
              <w:br/>
              <w:t>2020</w:t>
            </w:r>
          </w:p>
          <w:p w14:paraId="41983C73" w14:textId="77777777" w:rsidR="00221C59" w:rsidRDefault="00221C59" w:rsidP="00221C59">
            <w:pPr>
              <w:pStyle w:val="NoSpacing"/>
            </w:pPr>
          </w:p>
          <w:p w14:paraId="0853CD8A" w14:textId="77777777" w:rsidR="00221C59" w:rsidRDefault="00221C59" w:rsidP="00221C59">
            <w:pPr>
              <w:pStyle w:val="NoSpacing"/>
            </w:pPr>
            <w:r>
              <w:t>3</w:t>
            </w:r>
            <w:r w:rsidRPr="00013ACB">
              <w:rPr>
                <w:vertAlign w:val="superscript"/>
              </w:rPr>
              <w:t>rd</w:t>
            </w:r>
            <w:r>
              <w:t xml:space="preserve"> Round: </w:t>
            </w:r>
          </w:p>
          <w:p w14:paraId="1200DEBC" w14:textId="77777777" w:rsidR="00221C59" w:rsidRDefault="00221C59" w:rsidP="00221C59">
            <w:pPr>
              <w:pStyle w:val="NoSpacing"/>
            </w:pPr>
            <w:r>
              <w:t>December</w:t>
            </w:r>
            <w:r>
              <w:br/>
              <w:t>2023</w:t>
            </w:r>
          </w:p>
          <w:p w14:paraId="466D7D3B" w14:textId="77777777" w:rsidR="00221C59" w:rsidRDefault="00221C59" w:rsidP="00221C59">
            <w:pPr>
              <w:pStyle w:val="NoSpacing"/>
            </w:pPr>
            <w:r>
              <w:t>4</w:t>
            </w:r>
            <w:r w:rsidRPr="00013ACB">
              <w:rPr>
                <w:vertAlign w:val="superscript"/>
              </w:rPr>
              <w:t>th</w:t>
            </w:r>
            <w:r>
              <w:t xml:space="preserve"> Round: </w:t>
            </w:r>
          </w:p>
          <w:p w14:paraId="716A1D58" w14:textId="77777777" w:rsidR="00221C59" w:rsidRDefault="00221C59" w:rsidP="00221C59">
            <w:pPr>
              <w:pStyle w:val="NoSpacing"/>
            </w:pPr>
            <w:r>
              <w:t>December</w:t>
            </w:r>
            <w:r>
              <w:br/>
              <w:t>2026</w:t>
            </w:r>
          </w:p>
          <w:p w14:paraId="0EF49BCD" w14:textId="77777777" w:rsidR="00221C59" w:rsidRDefault="00221C59" w:rsidP="00221C59">
            <w:pPr>
              <w:pStyle w:val="NoSpacing"/>
            </w:pPr>
          </w:p>
          <w:p w14:paraId="5909D16D" w14:textId="77777777" w:rsidR="00221C59" w:rsidRDefault="00221C59" w:rsidP="00221C59">
            <w:pPr>
              <w:pStyle w:val="NoSpacing"/>
            </w:pPr>
            <w:r>
              <w:t>5</w:t>
            </w:r>
            <w:r w:rsidRPr="00013ACB">
              <w:rPr>
                <w:vertAlign w:val="superscript"/>
              </w:rPr>
              <w:t>th</w:t>
            </w:r>
            <w:r>
              <w:t xml:space="preserve"> Round: </w:t>
            </w:r>
          </w:p>
          <w:p w14:paraId="68B42726" w14:textId="77777777" w:rsidR="00221C59" w:rsidRDefault="00221C59" w:rsidP="00221C59">
            <w:pPr>
              <w:pStyle w:val="NoSpacing"/>
            </w:pPr>
            <w:r>
              <w:t>December</w:t>
            </w:r>
            <w:r>
              <w:br/>
              <w:t>2029</w:t>
            </w:r>
          </w:p>
          <w:p w14:paraId="624ED3DD" w14:textId="36B66105" w:rsidR="00221C59" w:rsidRPr="007A64DC" w:rsidRDefault="00221C59" w:rsidP="00221C59">
            <w:pPr>
              <w:pStyle w:val="NoSpacing"/>
            </w:pPr>
          </w:p>
        </w:tc>
        <w:tc>
          <w:tcPr>
            <w:tcW w:w="0" w:type="auto"/>
            <w:shd w:val="clear" w:color="auto" w:fill="auto"/>
          </w:tcPr>
          <w:p w14:paraId="0522B72E" w14:textId="77777777" w:rsidR="00221C59" w:rsidRPr="00076A71" w:rsidRDefault="00221C59" w:rsidP="00221C59">
            <w:pPr>
              <w:jc w:val="both"/>
              <w:rPr>
                <w:bCs/>
                <w:szCs w:val="20"/>
              </w:rPr>
            </w:pPr>
            <w:r>
              <w:rPr>
                <w:bCs/>
                <w:szCs w:val="20"/>
              </w:rPr>
              <w:lastRenderedPageBreak/>
              <w:t>U</w:t>
            </w:r>
            <w:r w:rsidRPr="008A78A4">
              <w:rPr>
                <w:bCs/>
                <w:szCs w:val="20"/>
              </w:rPr>
              <w:t>nderlying indicator</w:t>
            </w:r>
            <w:r>
              <w:rPr>
                <w:bCs/>
                <w:szCs w:val="20"/>
              </w:rPr>
              <w:t>s data should ensure the parity indices</w:t>
            </w:r>
          </w:p>
        </w:tc>
      </w:tr>
      <w:tr w:rsidR="00BB3B57" w14:paraId="034C2546" w14:textId="77777777" w:rsidTr="00D52BCB">
        <w:tc>
          <w:tcPr>
            <w:tcW w:w="17162" w:type="dxa"/>
            <w:gridSpan w:val="13"/>
            <w:shd w:val="clear" w:color="auto" w:fill="auto"/>
          </w:tcPr>
          <w:p w14:paraId="463BE850" w14:textId="77777777" w:rsidR="00BB3B57" w:rsidRPr="008A78A4" w:rsidRDefault="00BB3B57" w:rsidP="00221C59">
            <w:pPr>
              <w:ind w:left="970" w:hanging="970"/>
              <w:jc w:val="both"/>
              <w:rPr>
                <w:color w:val="C00000"/>
                <w:sz w:val="30"/>
                <w:szCs w:val="30"/>
              </w:rPr>
            </w:pPr>
            <w:r>
              <w:rPr>
                <w:color w:val="C00000"/>
                <w:sz w:val="30"/>
                <w:szCs w:val="30"/>
              </w:rPr>
              <w:lastRenderedPageBreak/>
              <w:t xml:space="preserve">Target </w:t>
            </w:r>
            <w:r w:rsidRPr="008A78A4">
              <w:rPr>
                <w:color w:val="C00000"/>
                <w:sz w:val="30"/>
                <w:szCs w:val="30"/>
              </w:rPr>
              <w:t>4.6 By 2030, ensure that all youth and a substantial proportion of adults, both men and women, achieve literacy and numeracy</w:t>
            </w:r>
          </w:p>
        </w:tc>
      </w:tr>
      <w:tr w:rsidR="000E716D" w14:paraId="36D5F06E" w14:textId="77777777" w:rsidTr="0085651F">
        <w:tc>
          <w:tcPr>
            <w:tcW w:w="1101" w:type="dxa"/>
            <w:shd w:val="clear" w:color="auto" w:fill="auto"/>
          </w:tcPr>
          <w:p w14:paraId="1B3EAA9A" w14:textId="77777777" w:rsidR="00221C59" w:rsidRPr="0036436C" w:rsidRDefault="00221C59" w:rsidP="00221C59">
            <w:pPr>
              <w:jc w:val="both"/>
              <w:rPr>
                <w:szCs w:val="20"/>
              </w:rPr>
            </w:pPr>
            <w:r w:rsidRPr="008A78A4">
              <w:rPr>
                <w:szCs w:val="20"/>
              </w:rPr>
              <w:t>4.6.1 Proportion of population in a given age group achieving at least a fixed level of proficiency in functional (a) literacy and (b) numeracy skills, by sex</w:t>
            </w:r>
          </w:p>
        </w:tc>
        <w:tc>
          <w:tcPr>
            <w:tcW w:w="854" w:type="dxa"/>
            <w:shd w:val="clear" w:color="auto" w:fill="auto"/>
          </w:tcPr>
          <w:p w14:paraId="4E2383F4" w14:textId="77777777" w:rsidR="00221C59" w:rsidRDefault="00221C59" w:rsidP="00221C59">
            <w:pPr>
              <w:jc w:val="center"/>
              <w:rPr>
                <w:sz w:val="22"/>
                <w:szCs w:val="22"/>
                <w:lang w:bidi="bn-BD"/>
              </w:rPr>
            </w:pPr>
            <w:r w:rsidRPr="00875EA5">
              <w:rPr>
                <w:sz w:val="22"/>
                <w:szCs w:val="22"/>
                <w:lang w:bidi="bn-BD"/>
              </w:rPr>
              <w:t>UNESCO-UIS</w:t>
            </w:r>
          </w:p>
          <w:p w14:paraId="438A065A" w14:textId="77777777" w:rsidR="00221C59" w:rsidRDefault="00221C59" w:rsidP="00221C59">
            <w:pPr>
              <w:jc w:val="center"/>
              <w:rPr>
                <w:b/>
                <w:bCs/>
                <w:sz w:val="22"/>
                <w:szCs w:val="22"/>
                <w:lang w:bidi="bn-BD"/>
              </w:rPr>
            </w:pPr>
          </w:p>
          <w:p w14:paraId="212274F4" w14:textId="77777777" w:rsidR="00221C59" w:rsidRPr="00076A71" w:rsidRDefault="00221C59" w:rsidP="00221C59">
            <w:pPr>
              <w:jc w:val="center"/>
              <w:rPr>
                <w:b/>
                <w:bCs/>
                <w:sz w:val="22"/>
                <w:szCs w:val="22"/>
                <w:lang w:bidi="bn-BD"/>
              </w:rPr>
            </w:pPr>
            <w:r w:rsidRPr="00076A71">
              <w:rPr>
                <w:b/>
                <w:bCs/>
                <w:sz w:val="22"/>
                <w:szCs w:val="22"/>
                <w:lang w:bidi="bn-BD"/>
              </w:rPr>
              <w:t>Partner Agenc</w:t>
            </w:r>
            <w:r>
              <w:rPr>
                <w:b/>
                <w:bCs/>
                <w:sz w:val="22"/>
                <w:szCs w:val="22"/>
                <w:lang w:bidi="bn-BD"/>
              </w:rPr>
              <w:t>y</w:t>
            </w:r>
            <w:r w:rsidRPr="00076A71">
              <w:rPr>
                <w:b/>
                <w:bCs/>
                <w:sz w:val="22"/>
                <w:szCs w:val="22"/>
                <w:lang w:bidi="bn-BD"/>
              </w:rPr>
              <w:t>:</w:t>
            </w:r>
          </w:p>
          <w:p w14:paraId="41ED6857" w14:textId="77777777" w:rsidR="00221C59" w:rsidRPr="00076A71" w:rsidRDefault="00221C59" w:rsidP="00221C59">
            <w:pPr>
              <w:jc w:val="center"/>
              <w:rPr>
                <w:sz w:val="22"/>
                <w:szCs w:val="22"/>
                <w:lang w:bidi="bn-BD"/>
              </w:rPr>
            </w:pPr>
            <w:r>
              <w:rPr>
                <w:sz w:val="22"/>
                <w:szCs w:val="22"/>
                <w:lang w:bidi="bn-BD"/>
              </w:rPr>
              <w:t xml:space="preserve">WB, </w:t>
            </w:r>
            <w:r w:rsidRPr="00875EA5">
              <w:rPr>
                <w:sz w:val="22"/>
                <w:szCs w:val="22"/>
                <w:lang w:bidi="bn-BD"/>
              </w:rPr>
              <w:t>OECD</w:t>
            </w:r>
          </w:p>
        </w:tc>
        <w:tc>
          <w:tcPr>
            <w:tcW w:w="0" w:type="auto"/>
            <w:shd w:val="clear" w:color="auto" w:fill="auto"/>
          </w:tcPr>
          <w:p w14:paraId="4BC8B82F" w14:textId="77777777" w:rsidR="00221C59" w:rsidRPr="00597333" w:rsidRDefault="00221C59" w:rsidP="00221C59">
            <w:pPr>
              <w:jc w:val="center"/>
              <w:rPr>
                <w:szCs w:val="20"/>
              </w:rPr>
            </w:pPr>
            <w:r>
              <w:rPr>
                <w:szCs w:val="20"/>
              </w:rPr>
              <w:t>Tier II</w:t>
            </w:r>
          </w:p>
        </w:tc>
        <w:tc>
          <w:tcPr>
            <w:tcW w:w="0" w:type="auto"/>
            <w:shd w:val="clear" w:color="auto" w:fill="auto"/>
          </w:tcPr>
          <w:p w14:paraId="6E4EB019" w14:textId="77777777" w:rsidR="00221C59" w:rsidRDefault="00221C59" w:rsidP="00221C59">
            <w:pPr>
              <w:jc w:val="both"/>
              <w:rPr>
                <w:b/>
                <w:bCs/>
                <w:szCs w:val="20"/>
              </w:rPr>
            </w:pPr>
            <w:r w:rsidRPr="001056DA">
              <w:rPr>
                <w:b/>
                <w:bCs/>
                <w:szCs w:val="20"/>
              </w:rPr>
              <w:t>Definition:</w:t>
            </w:r>
          </w:p>
          <w:p w14:paraId="5BC6A4CB" w14:textId="77777777" w:rsidR="00221C59" w:rsidRPr="00835856" w:rsidRDefault="00221C59" w:rsidP="00221C59">
            <w:pPr>
              <w:jc w:val="both"/>
              <w:rPr>
                <w:szCs w:val="20"/>
              </w:rPr>
            </w:pPr>
            <w:r w:rsidRPr="001056DA">
              <w:rPr>
                <w:szCs w:val="20"/>
              </w:rPr>
              <w:t>The proportion of youth (aged 15-24 years) and of adults (aged 15 years and above) have achieved or</w:t>
            </w:r>
            <w:r>
              <w:rPr>
                <w:szCs w:val="20"/>
              </w:rPr>
              <w:t xml:space="preserve"> </w:t>
            </w:r>
            <w:r w:rsidRPr="001056DA">
              <w:rPr>
                <w:szCs w:val="20"/>
              </w:rPr>
              <w:t>exceeded a given level of proficiency in (a) literacy and (b) numeracy. The minimum proficiency level will</w:t>
            </w:r>
            <w:r>
              <w:rPr>
                <w:szCs w:val="20"/>
              </w:rPr>
              <w:t xml:space="preserve"> </w:t>
            </w:r>
            <w:r w:rsidRPr="001056DA">
              <w:rPr>
                <w:szCs w:val="20"/>
              </w:rPr>
              <w:t xml:space="preserve">be measured relative to </w:t>
            </w:r>
            <w:r w:rsidRPr="000C4849">
              <w:rPr>
                <w:bCs/>
                <w:szCs w:val="20"/>
              </w:rPr>
              <w:t>new common literacy and numeracy scales currently in development</w:t>
            </w:r>
            <w:r w:rsidRPr="001F51DF">
              <w:rPr>
                <w:szCs w:val="20"/>
              </w:rPr>
              <w:t>.</w:t>
            </w:r>
          </w:p>
          <w:p w14:paraId="6EACE75F" w14:textId="77777777" w:rsidR="00221C59" w:rsidRDefault="00221C59" w:rsidP="00221C59">
            <w:pPr>
              <w:jc w:val="both"/>
              <w:rPr>
                <w:b/>
                <w:bCs/>
                <w:szCs w:val="20"/>
              </w:rPr>
            </w:pPr>
          </w:p>
          <w:p w14:paraId="7A35095D" w14:textId="77777777" w:rsidR="00221C59" w:rsidRPr="001056DA" w:rsidRDefault="00221C59" w:rsidP="00221C59">
            <w:pPr>
              <w:jc w:val="both"/>
              <w:rPr>
                <w:b/>
                <w:bCs/>
                <w:szCs w:val="20"/>
              </w:rPr>
            </w:pPr>
            <w:r w:rsidRPr="001056DA">
              <w:rPr>
                <w:b/>
                <w:bCs/>
                <w:szCs w:val="20"/>
              </w:rPr>
              <w:t>Concepts:</w:t>
            </w:r>
          </w:p>
          <w:p w14:paraId="5FB53DAD" w14:textId="77777777" w:rsidR="00221C59" w:rsidRDefault="00221C59" w:rsidP="00221C59">
            <w:pPr>
              <w:jc w:val="both"/>
              <w:rPr>
                <w:szCs w:val="20"/>
              </w:rPr>
            </w:pPr>
            <w:r w:rsidRPr="001056DA">
              <w:rPr>
                <w:szCs w:val="20"/>
              </w:rPr>
              <w:t>The fixed level of proficiency is the benchmark of basic knowledge in a domain (literacy or numeracy)</w:t>
            </w:r>
            <w:r>
              <w:rPr>
                <w:szCs w:val="20"/>
              </w:rPr>
              <w:t xml:space="preserve"> </w:t>
            </w:r>
            <w:r w:rsidRPr="001056DA">
              <w:rPr>
                <w:szCs w:val="20"/>
              </w:rPr>
              <w:t>measured through learning assessments. Currently, there are no common standards validated by the</w:t>
            </w:r>
            <w:r>
              <w:rPr>
                <w:szCs w:val="20"/>
              </w:rPr>
              <w:t xml:space="preserve"> </w:t>
            </w:r>
            <w:r w:rsidRPr="001056DA">
              <w:rPr>
                <w:szCs w:val="20"/>
              </w:rPr>
              <w:t>international community or countries. The indicator shows data published by each of the agencies and</w:t>
            </w:r>
            <w:r>
              <w:rPr>
                <w:szCs w:val="20"/>
              </w:rPr>
              <w:t xml:space="preserve"> </w:t>
            </w:r>
            <w:r w:rsidRPr="001056DA">
              <w:rPr>
                <w:szCs w:val="20"/>
              </w:rPr>
              <w:t>organizations specialised in cross-national learning assessments.</w:t>
            </w:r>
          </w:p>
          <w:p w14:paraId="470C10A8" w14:textId="77777777" w:rsidR="00221C59" w:rsidRDefault="00221C59" w:rsidP="00221C59">
            <w:pPr>
              <w:jc w:val="both"/>
              <w:rPr>
                <w:b/>
                <w:bCs/>
                <w:szCs w:val="20"/>
              </w:rPr>
            </w:pPr>
          </w:p>
          <w:p w14:paraId="34E7CBB5" w14:textId="77777777" w:rsidR="00221C59" w:rsidRPr="00B03570" w:rsidRDefault="00221C59" w:rsidP="00221C59">
            <w:pPr>
              <w:jc w:val="both"/>
              <w:rPr>
                <w:b/>
                <w:bCs/>
                <w:szCs w:val="20"/>
              </w:rPr>
            </w:pPr>
            <w:r w:rsidRPr="00B03570">
              <w:rPr>
                <w:b/>
                <w:bCs/>
                <w:szCs w:val="20"/>
              </w:rPr>
              <w:t>Computation Method:</w:t>
            </w:r>
          </w:p>
          <w:p w14:paraId="3B7EADF4" w14:textId="77777777" w:rsidR="00221C59" w:rsidRPr="00B03570" w:rsidRDefault="00221C59" w:rsidP="00221C59">
            <w:pPr>
              <w:jc w:val="both"/>
              <w:rPr>
                <w:szCs w:val="20"/>
              </w:rPr>
            </w:pPr>
            <w:r w:rsidRPr="00B03570">
              <w:rPr>
                <w:szCs w:val="20"/>
              </w:rPr>
              <w:t>Proportion of youth and adults who have achieved above the minimum threshold of proficiency as</w:t>
            </w:r>
            <w:r>
              <w:rPr>
                <w:szCs w:val="20"/>
              </w:rPr>
              <w:t xml:space="preserve"> </w:t>
            </w:r>
            <w:r w:rsidRPr="00B03570">
              <w:rPr>
                <w:szCs w:val="20"/>
              </w:rPr>
              <w:t>defined for large-scale (sample representative) adult literacy assessment:</w:t>
            </w:r>
          </w:p>
          <w:p w14:paraId="05E44342" w14:textId="77777777" w:rsidR="00221C59" w:rsidRPr="00B03570" w:rsidRDefault="00221C59" w:rsidP="00221C59">
            <w:pPr>
              <w:jc w:val="both"/>
              <w:rPr>
                <w:szCs w:val="20"/>
              </w:rPr>
            </w:pPr>
            <w:r w:rsidRPr="00B03570">
              <w:rPr>
                <w:szCs w:val="20"/>
              </w:rPr>
              <w:t>Performance achieve above minimum level, PLta</w:t>
            </w:r>
            <w:proofErr w:type="gramStart"/>
            <w:r w:rsidRPr="00B03570">
              <w:rPr>
                <w:szCs w:val="20"/>
              </w:rPr>
              <w:t>,s,above</w:t>
            </w:r>
            <w:proofErr w:type="gramEnd"/>
            <w:r w:rsidRPr="00B03570">
              <w:rPr>
                <w:szCs w:val="20"/>
              </w:rPr>
              <w:t xml:space="preserve"> minimum= p.</w:t>
            </w:r>
          </w:p>
          <w:p w14:paraId="20F4F7BF" w14:textId="77777777" w:rsidR="00221C59" w:rsidRPr="00B03570" w:rsidRDefault="00221C59" w:rsidP="00221C59">
            <w:pPr>
              <w:jc w:val="both"/>
              <w:rPr>
                <w:szCs w:val="20"/>
              </w:rPr>
            </w:pPr>
            <w:r w:rsidRPr="00B03570">
              <w:rPr>
                <w:szCs w:val="20"/>
              </w:rPr>
              <w:lastRenderedPageBreak/>
              <w:t>where p is the proportion of youth and adults at a national or cross-national adult literacy assessment at</w:t>
            </w:r>
          </w:p>
          <w:p w14:paraId="70D119C6" w14:textId="77777777" w:rsidR="00221C59" w:rsidRPr="00B03570" w:rsidRDefault="00221C59" w:rsidP="00221C59">
            <w:pPr>
              <w:jc w:val="both"/>
              <w:rPr>
                <w:szCs w:val="20"/>
              </w:rPr>
            </w:pPr>
            <w:proofErr w:type="gramStart"/>
            <w:r w:rsidRPr="00B03570">
              <w:rPr>
                <w:szCs w:val="20"/>
              </w:rPr>
              <w:t>age</w:t>
            </w:r>
            <w:proofErr w:type="gramEnd"/>
            <w:r w:rsidRPr="00B03570">
              <w:rPr>
                <w:szCs w:val="20"/>
              </w:rPr>
              <w:t xml:space="preserve"> group a, in learning domain s in any year (t-i) where 0 ? </w:t>
            </w:r>
            <w:proofErr w:type="gramStart"/>
            <w:r w:rsidRPr="00B03570">
              <w:rPr>
                <w:szCs w:val="20"/>
              </w:rPr>
              <w:t>i ?</w:t>
            </w:r>
            <w:proofErr w:type="gramEnd"/>
            <w:r w:rsidRPr="00B03570">
              <w:rPr>
                <w:szCs w:val="20"/>
              </w:rPr>
              <w:t xml:space="preserve"> 5, who has achieved above the minimum</w:t>
            </w:r>
          </w:p>
          <w:p w14:paraId="20D6B465" w14:textId="77777777" w:rsidR="00221C59" w:rsidRPr="00597333" w:rsidRDefault="00221C59" w:rsidP="00221C59">
            <w:pPr>
              <w:jc w:val="both"/>
              <w:rPr>
                <w:b/>
                <w:bCs/>
                <w:szCs w:val="20"/>
              </w:rPr>
            </w:pPr>
            <w:proofErr w:type="gramStart"/>
            <w:r w:rsidRPr="00B03570">
              <w:rPr>
                <w:szCs w:val="20"/>
              </w:rPr>
              <w:t>level</w:t>
            </w:r>
            <w:proofErr w:type="gramEnd"/>
            <w:r w:rsidRPr="00B03570">
              <w:rPr>
                <w:szCs w:val="20"/>
              </w:rPr>
              <w:t xml:space="preserve"> of proficiency.</w:t>
            </w:r>
          </w:p>
        </w:tc>
        <w:tc>
          <w:tcPr>
            <w:tcW w:w="0" w:type="auto"/>
            <w:shd w:val="clear" w:color="auto" w:fill="auto"/>
          </w:tcPr>
          <w:p w14:paraId="67D35D15" w14:textId="77777777" w:rsidR="00221C59" w:rsidRPr="00597333" w:rsidRDefault="00221C59" w:rsidP="00221C59">
            <w:pPr>
              <w:jc w:val="center"/>
              <w:rPr>
                <w:bCs/>
                <w:szCs w:val="20"/>
              </w:rPr>
            </w:pPr>
            <w:r>
              <w:rPr>
                <w:bCs/>
                <w:szCs w:val="20"/>
              </w:rPr>
              <w:lastRenderedPageBreak/>
              <w:t>Household Survey</w:t>
            </w:r>
          </w:p>
        </w:tc>
        <w:tc>
          <w:tcPr>
            <w:tcW w:w="0" w:type="auto"/>
            <w:shd w:val="clear" w:color="auto" w:fill="auto"/>
          </w:tcPr>
          <w:p w14:paraId="32A6D907" w14:textId="77777777" w:rsidR="00221C59" w:rsidRPr="00B03570" w:rsidRDefault="00221C59" w:rsidP="00221C59">
            <w:pPr>
              <w:jc w:val="center"/>
              <w:rPr>
                <w:bCs/>
                <w:szCs w:val="20"/>
              </w:rPr>
            </w:pPr>
            <w:r w:rsidRPr="00B03570">
              <w:rPr>
                <w:bCs/>
                <w:szCs w:val="20"/>
              </w:rPr>
              <w:t>National</w:t>
            </w:r>
          </w:p>
          <w:p w14:paraId="45E0B8AF" w14:textId="77777777" w:rsidR="00221C59" w:rsidRDefault="00221C59" w:rsidP="00221C59">
            <w:pPr>
              <w:jc w:val="center"/>
              <w:rPr>
                <w:bCs/>
                <w:szCs w:val="20"/>
              </w:rPr>
            </w:pPr>
            <w:r w:rsidRPr="00B03570">
              <w:rPr>
                <w:bCs/>
                <w:szCs w:val="20"/>
              </w:rPr>
              <w:t>Statistical Offices</w:t>
            </w:r>
            <w:r>
              <w:rPr>
                <w:bCs/>
                <w:szCs w:val="20"/>
              </w:rPr>
              <w:t xml:space="preserve">; </w:t>
            </w:r>
            <w:r w:rsidRPr="00B03570">
              <w:rPr>
                <w:bCs/>
                <w:szCs w:val="20"/>
              </w:rPr>
              <w:t>Ministries of Education,  and other data providers</w:t>
            </w:r>
          </w:p>
        </w:tc>
        <w:tc>
          <w:tcPr>
            <w:tcW w:w="0" w:type="auto"/>
            <w:shd w:val="clear" w:color="auto" w:fill="auto"/>
          </w:tcPr>
          <w:p w14:paraId="5919F4EE" w14:textId="0DB4C068" w:rsidR="00221C59" w:rsidRPr="00597333" w:rsidRDefault="00221C59" w:rsidP="00221C59">
            <w:pPr>
              <w:jc w:val="both"/>
              <w:rPr>
                <w:bCs/>
                <w:szCs w:val="20"/>
              </w:rPr>
            </w:pPr>
          </w:p>
        </w:tc>
        <w:tc>
          <w:tcPr>
            <w:tcW w:w="0" w:type="auto"/>
            <w:shd w:val="clear" w:color="auto" w:fill="auto"/>
          </w:tcPr>
          <w:p w14:paraId="53D622C1" w14:textId="77777777" w:rsidR="00221C59" w:rsidRPr="00597333" w:rsidRDefault="00221C59" w:rsidP="00221C59">
            <w:pPr>
              <w:jc w:val="both"/>
              <w:rPr>
                <w:bCs/>
                <w:szCs w:val="20"/>
              </w:rPr>
            </w:pPr>
            <w:r>
              <w:rPr>
                <w:bCs/>
                <w:szCs w:val="20"/>
              </w:rPr>
              <w:t>LAS, BBS</w:t>
            </w:r>
          </w:p>
        </w:tc>
        <w:tc>
          <w:tcPr>
            <w:tcW w:w="0" w:type="auto"/>
            <w:shd w:val="clear" w:color="auto" w:fill="auto"/>
          </w:tcPr>
          <w:p w14:paraId="59002D37" w14:textId="0D642490" w:rsidR="00221C59" w:rsidRDefault="00221C59" w:rsidP="00221C59">
            <w:pPr>
              <w:pStyle w:val="ListParagraph"/>
              <w:numPr>
                <w:ilvl w:val="0"/>
                <w:numId w:val="2"/>
              </w:numPr>
              <w:spacing w:after="0" w:line="240" w:lineRule="auto"/>
              <w:ind w:left="130" w:hanging="130"/>
              <w:jc w:val="both"/>
              <w:rPr>
                <w:rFonts w:ascii="Tw Cen MT Condensed" w:hAnsi="Tw Cen MT Condensed"/>
                <w:bCs/>
                <w:sz w:val="20"/>
                <w:szCs w:val="20"/>
              </w:rPr>
            </w:pPr>
            <w:r w:rsidRPr="00B03570">
              <w:rPr>
                <w:rFonts w:ascii="Tw Cen MT Condensed" w:hAnsi="Tw Cen MT Condensed"/>
                <w:bCs/>
                <w:sz w:val="20"/>
                <w:szCs w:val="20"/>
              </w:rPr>
              <w:t>Age-group</w:t>
            </w:r>
            <w:r w:rsidR="003D3F72" w:rsidRPr="0004631D">
              <w:rPr>
                <w:rFonts w:ascii="Tw Cen MT Condensed" w:hAnsi="Tw Cen MT Condensed"/>
              </w:rPr>
              <w:t>: 15-64, 16-65</w:t>
            </w:r>
          </w:p>
          <w:p w14:paraId="76D36E6B" w14:textId="0FD62B8A" w:rsidR="00221C59" w:rsidRDefault="00221C59" w:rsidP="00221C59">
            <w:pPr>
              <w:pStyle w:val="ListParagraph"/>
              <w:numPr>
                <w:ilvl w:val="0"/>
                <w:numId w:val="2"/>
              </w:numPr>
              <w:spacing w:after="0" w:line="240" w:lineRule="auto"/>
              <w:ind w:left="130" w:hanging="130"/>
              <w:jc w:val="both"/>
              <w:rPr>
                <w:rFonts w:ascii="Tw Cen MT Condensed" w:hAnsi="Tw Cen MT Condensed"/>
                <w:bCs/>
                <w:sz w:val="20"/>
                <w:szCs w:val="20"/>
              </w:rPr>
            </w:pPr>
            <w:r w:rsidRPr="00B03570">
              <w:rPr>
                <w:rFonts w:ascii="Tw Cen MT Condensed" w:hAnsi="Tw Cen MT Condensed"/>
                <w:bCs/>
                <w:sz w:val="20"/>
                <w:szCs w:val="20"/>
              </w:rPr>
              <w:t>Sex</w:t>
            </w:r>
            <w:r w:rsidR="003D3F72" w:rsidRPr="0004631D">
              <w:rPr>
                <w:rFonts w:ascii="Tw Cen MT Condensed" w:hAnsi="Tw Cen MT Condensed"/>
              </w:rPr>
              <w:t>: female, male, both</w:t>
            </w:r>
          </w:p>
          <w:p w14:paraId="283FFE1A" w14:textId="25AC3943" w:rsidR="00221C59" w:rsidRDefault="00221C59" w:rsidP="00221C59">
            <w:pPr>
              <w:pStyle w:val="ListParagraph"/>
              <w:numPr>
                <w:ilvl w:val="0"/>
                <w:numId w:val="2"/>
              </w:numPr>
              <w:spacing w:after="0" w:line="240" w:lineRule="auto"/>
              <w:ind w:left="130" w:hanging="130"/>
              <w:jc w:val="both"/>
              <w:rPr>
                <w:rFonts w:ascii="Tw Cen MT Condensed" w:hAnsi="Tw Cen MT Condensed"/>
                <w:bCs/>
                <w:sz w:val="20"/>
                <w:szCs w:val="20"/>
              </w:rPr>
            </w:pPr>
            <w:r w:rsidRPr="00B03570">
              <w:rPr>
                <w:rFonts w:ascii="Tw Cen MT Condensed" w:hAnsi="Tw Cen MT Condensed"/>
                <w:bCs/>
                <w:sz w:val="20"/>
                <w:szCs w:val="20"/>
              </w:rPr>
              <w:t>Location</w:t>
            </w:r>
            <w:r w:rsidR="000E716D">
              <w:rPr>
                <w:rFonts w:ascii="Tw Cen MT Condensed" w:hAnsi="Tw Cen MT Condensed"/>
                <w:bCs/>
                <w:sz w:val="20"/>
                <w:szCs w:val="20"/>
              </w:rPr>
              <w:t xml:space="preserve"> urban/rural</w:t>
            </w:r>
          </w:p>
          <w:p w14:paraId="3A03EF68" w14:textId="5B1D82ED" w:rsidR="00221C59" w:rsidRDefault="00221C59" w:rsidP="00221C59">
            <w:pPr>
              <w:pStyle w:val="ListParagraph"/>
              <w:numPr>
                <w:ilvl w:val="0"/>
                <w:numId w:val="2"/>
              </w:numPr>
              <w:spacing w:after="0" w:line="240" w:lineRule="auto"/>
              <w:ind w:left="130" w:hanging="130"/>
              <w:jc w:val="both"/>
              <w:rPr>
                <w:rFonts w:ascii="Tw Cen MT Condensed" w:hAnsi="Tw Cen MT Condensed"/>
                <w:bCs/>
                <w:sz w:val="20"/>
                <w:szCs w:val="20"/>
              </w:rPr>
            </w:pPr>
            <w:r w:rsidRPr="00B03570">
              <w:rPr>
                <w:rFonts w:ascii="Tw Cen MT Condensed" w:hAnsi="Tw Cen MT Condensed"/>
                <w:bCs/>
                <w:sz w:val="20"/>
                <w:szCs w:val="20"/>
              </w:rPr>
              <w:t xml:space="preserve">Income </w:t>
            </w:r>
            <w:r w:rsidR="000E716D">
              <w:rPr>
                <w:rFonts w:ascii="Tw Cen MT Condensed" w:hAnsi="Tw Cen MT Condensed"/>
                <w:bCs/>
                <w:sz w:val="20"/>
                <w:szCs w:val="20"/>
              </w:rPr>
              <w:t>high/medium/low</w:t>
            </w:r>
          </w:p>
          <w:p w14:paraId="440438F4" w14:textId="32F4F5A2" w:rsidR="00221C59" w:rsidRDefault="00221C59" w:rsidP="00221C59">
            <w:pPr>
              <w:pStyle w:val="ListParagraph"/>
              <w:numPr>
                <w:ilvl w:val="0"/>
                <w:numId w:val="2"/>
              </w:numPr>
              <w:spacing w:after="0" w:line="240" w:lineRule="auto"/>
              <w:ind w:left="130" w:hanging="130"/>
              <w:jc w:val="both"/>
              <w:rPr>
                <w:rFonts w:ascii="Tw Cen MT Condensed" w:hAnsi="Tw Cen MT Condensed"/>
                <w:bCs/>
                <w:sz w:val="20"/>
                <w:szCs w:val="20"/>
              </w:rPr>
            </w:pPr>
            <w:r w:rsidRPr="00B03570">
              <w:rPr>
                <w:rFonts w:ascii="Tw Cen MT Condensed" w:hAnsi="Tw Cen MT Condensed"/>
                <w:bCs/>
                <w:sz w:val="20"/>
                <w:szCs w:val="20"/>
              </w:rPr>
              <w:t>Type of skill</w:t>
            </w:r>
            <w:r w:rsidR="003D3F72" w:rsidRPr="0004631D">
              <w:rPr>
                <w:rFonts w:ascii="Tw Cen MT Condensed" w:hAnsi="Tw Cen MT Condensed"/>
              </w:rPr>
              <w:t>: literacy, numeracy</w:t>
            </w:r>
          </w:p>
        </w:tc>
        <w:tc>
          <w:tcPr>
            <w:tcW w:w="0" w:type="auto"/>
            <w:shd w:val="clear" w:color="auto" w:fill="auto"/>
          </w:tcPr>
          <w:p w14:paraId="7109D01D" w14:textId="039F91B0" w:rsidR="00221C59" w:rsidRDefault="005F24FB" w:rsidP="00221C59">
            <w:pPr>
              <w:jc w:val="center"/>
              <w:rPr>
                <w:bCs/>
                <w:szCs w:val="20"/>
              </w:rPr>
            </w:pPr>
            <w:r>
              <w:rPr>
                <w:bCs/>
                <w:szCs w:val="20"/>
              </w:rPr>
              <w:t>Triennial</w:t>
            </w:r>
          </w:p>
        </w:tc>
        <w:tc>
          <w:tcPr>
            <w:tcW w:w="0" w:type="auto"/>
            <w:shd w:val="clear" w:color="auto" w:fill="auto"/>
          </w:tcPr>
          <w:p w14:paraId="2081E2D2" w14:textId="77777777" w:rsidR="00221C59" w:rsidRDefault="00221C59" w:rsidP="00221C59">
            <w:pPr>
              <w:jc w:val="center"/>
              <w:rPr>
                <w:bCs/>
                <w:szCs w:val="20"/>
              </w:rPr>
            </w:pPr>
            <w:r>
              <w:rPr>
                <w:bCs/>
                <w:szCs w:val="20"/>
              </w:rPr>
              <w:t>Group 3</w:t>
            </w:r>
          </w:p>
        </w:tc>
        <w:tc>
          <w:tcPr>
            <w:tcW w:w="0" w:type="auto"/>
            <w:shd w:val="clear" w:color="auto" w:fill="auto"/>
          </w:tcPr>
          <w:p w14:paraId="31E7568D" w14:textId="77777777" w:rsidR="00221C59" w:rsidRDefault="00221C59" w:rsidP="00221C59">
            <w:pPr>
              <w:pStyle w:val="NoSpacing"/>
            </w:pPr>
            <w:r>
              <w:t>1</w:t>
            </w:r>
            <w:r w:rsidRPr="00013ACB">
              <w:rPr>
                <w:vertAlign w:val="superscript"/>
              </w:rPr>
              <w:t>st</w:t>
            </w:r>
            <w:r>
              <w:t xml:space="preserve"> Round: </w:t>
            </w:r>
          </w:p>
          <w:p w14:paraId="12F024E9" w14:textId="77777777" w:rsidR="00221C59" w:rsidRDefault="00221C59" w:rsidP="00221C59">
            <w:pPr>
              <w:pStyle w:val="NoSpacing"/>
            </w:pPr>
            <w:r>
              <w:t>December, 2020</w:t>
            </w:r>
          </w:p>
          <w:p w14:paraId="21C4AF46" w14:textId="77777777" w:rsidR="00221C59" w:rsidRDefault="00221C59" w:rsidP="00221C59">
            <w:pPr>
              <w:pStyle w:val="NoSpacing"/>
            </w:pPr>
            <w:r>
              <w:t>2</w:t>
            </w:r>
            <w:r w:rsidRPr="00013ACB">
              <w:rPr>
                <w:vertAlign w:val="superscript"/>
              </w:rPr>
              <w:t>nd</w:t>
            </w:r>
            <w:r>
              <w:t xml:space="preserve"> Round: </w:t>
            </w:r>
          </w:p>
          <w:p w14:paraId="1184E5DA" w14:textId="77777777" w:rsidR="00221C59" w:rsidRDefault="00221C59" w:rsidP="00221C59">
            <w:pPr>
              <w:pStyle w:val="NoSpacing"/>
            </w:pPr>
            <w:r>
              <w:t>June, 2021</w:t>
            </w:r>
          </w:p>
          <w:p w14:paraId="3272925F" w14:textId="77777777" w:rsidR="00221C59" w:rsidRDefault="00221C59" w:rsidP="00221C59">
            <w:pPr>
              <w:pStyle w:val="NoSpacing"/>
            </w:pPr>
          </w:p>
          <w:p w14:paraId="7066067F" w14:textId="77777777" w:rsidR="00221C59" w:rsidRDefault="00221C59" w:rsidP="00221C59">
            <w:pPr>
              <w:pStyle w:val="NoSpacing"/>
            </w:pPr>
            <w:r>
              <w:t>3</w:t>
            </w:r>
            <w:r w:rsidRPr="00013ACB">
              <w:rPr>
                <w:vertAlign w:val="superscript"/>
              </w:rPr>
              <w:t>rd</w:t>
            </w:r>
            <w:r>
              <w:t xml:space="preserve"> Round: </w:t>
            </w:r>
          </w:p>
          <w:p w14:paraId="15143AFD" w14:textId="77777777" w:rsidR="00221C59" w:rsidRDefault="00221C59" w:rsidP="00221C59">
            <w:pPr>
              <w:pStyle w:val="NoSpacing"/>
            </w:pPr>
            <w:r>
              <w:t>June, 2024</w:t>
            </w:r>
          </w:p>
          <w:p w14:paraId="4427B156" w14:textId="77777777" w:rsidR="00221C59" w:rsidRDefault="00221C59" w:rsidP="00221C59">
            <w:pPr>
              <w:pStyle w:val="NoSpacing"/>
            </w:pPr>
          </w:p>
          <w:p w14:paraId="41CAF746" w14:textId="77777777" w:rsidR="00221C59" w:rsidRDefault="00221C59" w:rsidP="00221C59">
            <w:pPr>
              <w:pStyle w:val="NoSpacing"/>
            </w:pPr>
            <w:r>
              <w:t>4</w:t>
            </w:r>
            <w:r w:rsidRPr="00013ACB">
              <w:rPr>
                <w:vertAlign w:val="superscript"/>
              </w:rPr>
              <w:t>th</w:t>
            </w:r>
            <w:r>
              <w:t xml:space="preserve"> Round: </w:t>
            </w:r>
          </w:p>
          <w:p w14:paraId="227D19C3" w14:textId="77777777" w:rsidR="00221C59" w:rsidRDefault="00221C59" w:rsidP="00221C59">
            <w:pPr>
              <w:pStyle w:val="NoSpacing"/>
            </w:pPr>
            <w:r>
              <w:t>June, 2027</w:t>
            </w:r>
          </w:p>
          <w:p w14:paraId="345225CF" w14:textId="77777777" w:rsidR="00221C59" w:rsidRDefault="00221C59" w:rsidP="00221C59">
            <w:pPr>
              <w:pStyle w:val="NoSpacing"/>
            </w:pPr>
          </w:p>
          <w:p w14:paraId="4E81331E" w14:textId="77777777" w:rsidR="00221C59" w:rsidRDefault="00221C59" w:rsidP="00221C59">
            <w:pPr>
              <w:pStyle w:val="NoSpacing"/>
            </w:pPr>
            <w:r>
              <w:t>5</w:t>
            </w:r>
            <w:r w:rsidRPr="00013ACB">
              <w:rPr>
                <w:vertAlign w:val="superscript"/>
              </w:rPr>
              <w:t>th</w:t>
            </w:r>
            <w:r>
              <w:t xml:space="preserve"> Round: </w:t>
            </w:r>
          </w:p>
          <w:p w14:paraId="4D92D339" w14:textId="77777777" w:rsidR="00221C59" w:rsidRDefault="00221C59" w:rsidP="00221C59">
            <w:pPr>
              <w:pStyle w:val="NoSpacing"/>
            </w:pPr>
            <w:r>
              <w:t>June, 2030</w:t>
            </w:r>
          </w:p>
          <w:p w14:paraId="14BE1CEF" w14:textId="6A46031C" w:rsidR="00221C59" w:rsidRPr="007A64DC" w:rsidRDefault="00221C59" w:rsidP="00221C59">
            <w:pPr>
              <w:pStyle w:val="NoSpacing"/>
            </w:pPr>
          </w:p>
        </w:tc>
        <w:tc>
          <w:tcPr>
            <w:tcW w:w="0" w:type="auto"/>
            <w:shd w:val="clear" w:color="auto" w:fill="auto"/>
          </w:tcPr>
          <w:p w14:paraId="5C68AD87" w14:textId="77777777" w:rsidR="00221C59" w:rsidRDefault="00221C59" w:rsidP="00221C59">
            <w:pPr>
              <w:jc w:val="both"/>
              <w:rPr>
                <w:bCs/>
                <w:szCs w:val="20"/>
              </w:rPr>
            </w:pPr>
          </w:p>
        </w:tc>
      </w:tr>
      <w:tr w:rsidR="000E716D" w14:paraId="4E4AFB43" w14:textId="77777777" w:rsidTr="0085651F">
        <w:tc>
          <w:tcPr>
            <w:tcW w:w="1101" w:type="dxa"/>
            <w:shd w:val="clear" w:color="auto" w:fill="auto"/>
          </w:tcPr>
          <w:p w14:paraId="48758460" w14:textId="77777777" w:rsidR="00221C59" w:rsidRPr="008A78A4" w:rsidRDefault="00221C59" w:rsidP="00221C59">
            <w:pPr>
              <w:jc w:val="both"/>
              <w:rPr>
                <w:szCs w:val="20"/>
              </w:rPr>
            </w:pPr>
            <w:r w:rsidRPr="00DB041D">
              <w:rPr>
                <w:szCs w:val="20"/>
              </w:rPr>
              <w:lastRenderedPageBreak/>
              <w:t>4.7.1 Extent to which (i) global citizenship education and (ii) education for sustainable development, including gender equality and human rights, are mainstreamed at all levels in (a) national education policies; (b) curricula; (c) teacher education; and (d) student assessment</w:t>
            </w:r>
          </w:p>
        </w:tc>
        <w:tc>
          <w:tcPr>
            <w:tcW w:w="854" w:type="dxa"/>
            <w:shd w:val="clear" w:color="auto" w:fill="auto"/>
          </w:tcPr>
          <w:p w14:paraId="5F643D9A" w14:textId="77777777" w:rsidR="00221C59" w:rsidRDefault="00221C59" w:rsidP="00221C59">
            <w:pPr>
              <w:jc w:val="center"/>
              <w:rPr>
                <w:sz w:val="22"/>
                <w:szCs w:val="22"/>
                <w:lang w:bidi="bn-BD"/>
              </w:rPr>
            </w:pPr>
            <w:r w:rsidRPr="00DB041D">
              <w:rPr>
                <w:sz w:val="22"/>
                <w:szCs w:val="22"/>
                <w:lang w:bidi="bn-BD"/>
              </w:rPr>
              <w:t>UNESCO-UIS</w:t>
            </w:r>
          </w:p>
          <w:p w14:paraId="239C17E9" w14:textId="77777777" w:rsidR="00221C59" w:rsidRDefault="00221C59" w:rsidP="00221C59">
            <w:pPr>
              <w:jc w:val="center"/>
              <w:rPr>
                <w:sz w:val="22"/>
                <w:szCs w:val="22"/>
                <w:lang w:bidi="bn-BD"/>
              </w:rPr>
            </w:pPr>
          </w:p>
          <w:p w14:paraId="364E0CC1" w14:textId="77777777" w:rsidR="00221C59" w:rsidRPr="00DB041D" w:rsidRDefault="00221C59" w:rsidP="00221C59">
            <w:pPr>
              <w:jc w:val="center"/>
              <w:rPr>
                <w:b/>
                <w:bCs/>
                <w:sz w:val="22"/>
                <w:szCs w:val="22"/>
                <w:lang w:bidi="bn-BD"/>
              </w:rPr>
            </w:pPr>
            <w:r w:rsidRPr="00DB041D">
              <w:rPr>
                <w:b/>
                <w:bCs/>
                <w:sz w:val="22"/>
                <w:szCs w:val="22"/>
                <w:lang w:bidi="bn-BD"/>
              </w:rPr>
              <w:t>Partner agencies:</w:t>
            </w:r>
          </w:p>
          <w:p w14:paraId="6B4C0A0C" w14:textId="77777777" w:rsidR="00221C59" w:rsidRPr="00DB041D" w:rsidRDefault="00221C59" w:rsidP="00221C59">
            <w:pPr>
              <w:jc w:val="center"/>
              <w:rPr>
                <w:sz w:val="22"/>
                <w:szCs w:val="22"/>
                <w:lang w:bidi="bn-BD"/>
              </w:rPr>
            </w:pPr>
            <w:r w:rsidRPr="00DB041D">
              <w:rPr>
                <w:sz w:val="22"/>
                <w:szCs w:val="22"/>
                <w:lang w:bidi="bn-BD"/>
              </w:rPr>
              <w:t xml:space="preserve">OECD, </w:t>
            </w:r>
          </w:p>
          <w:p w14:paraId="5F2A6891" w14:textId="77777777" w:rsidR="00221C59" w:rsidRPr="00DB041D" w:rsidRDefault="00221C59" w:rsidP="00221C59">
            <w:pPr>
              <w:jc w:val="center"/>
              <w:rPr>
                <w:sz w:val="22"/>
                <w:szCs w:val="22"/>
                <w:lang w:bidi="bn-BD"/>
              </w:rPr>
            </w:pPr>
            <w:r w:rsidRPr="00DB041D">
              <w:rPr>
                <w:sz w:val="22"/>
                <w:szCs w:val="22"/>
                <w:lang w:bidi="bn-BD"/>
              </w:rPr>
              <w:t xml:space="preserve">UNEP, </w:t>
            </w:r>
          </w:p>
          <w:p w14:paraId="78FA6667" w14:textId="77777777" w:rsidR="00221C59" w:rsidRPr="00875EA5" w:rsidRDefault="00221C59" w:rsidP="00221C59">
            <w:pPr>
              <w:jc w:val="center"/>
              <w:rPr>
                <w:sz w:val="22"/>
                <w:szCs w:val="22"/>
                <w:lang w:bidi="bn-BD"/>
              </w:rPr>
            </w:pPr>
            <w:r w:rsidRPr="00DB041D">
              <w:rPr>
                <w:sz w:val="22"/>
                <w:szCs w:val="22"/>
                <w:lang w:bidi="bn-BD"/>
              </w:rPr>
              <w:t>UN WOMEN</w:t>
            </w:r>
          </w:p>
        </w:tc>
        <w:tc>
          <w:tcPr>
            <w:tcW w:w="0" w:type="auto"/>
            <w:shd w:val="clear" w:color="auto" w:fill="auto"/>
          </w:tcPr>
          <w:p w14:paraId="3937748E" w14:textId="77777777" w:rsidR="00221C59" w:rsidRDefault="00221C59" w:rsidP="00221C59">
            <w:pPr>
              <w:jc w:val="center"/>
              <w:rPr>
                <w:szCs w:val="20"/>
              </w:rPr>
            </w:pPr>
            <w:r>
              <w:rPr>
                <w:szCs w:val="20"/>
              </w:rPr>
              <w:t>Tier II</w:t>
            </w:r>
          </w:p>
          <w:p w14:paraId="1F7F3E3C" w14:textId="1AF24541" w:rsidR="00221C59" w:rsidRDefault="00221C59" w:rsidP="00221C59">
            <w:pPr>
              <w:jc w:val="center"/>
              <w:rPr>
                <w:szCs w:val="20"/>
              </w:rPr>
            </w:pPr>
          </w:p>
        </w:tc>
        <w:tc>
          <w:tcPr>
            <w:tcW w:w="0" w:type="auto"/>
            <w:shd w:val="clear" w:color="auto" w:fill="auto"/>
          </w:tcPr>
          <w:p w14:paraId="6F8344AF" w14:textId="77777777" w:rsidR="00221C59" w:rsidRPr="00311117" w:rsidRDefault="00221C59" w:rsidP="00221C59">
            <w:pPr>
              <w:jc w:val="both"/>
              <w:rPr>
                <w:b/>
                <w:bCs/>
                <w:szCs w:val="20"/>
              </w:rPr>
            </w:pPr>
            <w:r w:rsidRPr="00311117">
              <w:rPr>
                <w:b/>
                <w:bCs/>
                <w:szCs w:val="20"/>
              </w:rPr>
              <w:t>Definition:</w:t>
            </w:r>
          </w:p>
          <w:p w14:paraId="19EED2F4" w14:textId="77777777" w:rsidR="00221C59" w:rsidRPr="00311117" w:rsidRDefault="00221C59" w:rsidP="00221C59">
            <w:pPr>
              <w:jc w:val="both"/>
              <w:rPr>
                <w:szCs w:val="20"/>
              </w:rPr>
            </w:pPr>
            <w:r w:rsidRPr="00311117">
              <w:rPr>
                <w:szCs w:val="20"/>
              </w:rPr>
              <w:t>Extent to which (i) global citizenship education and (ii) education for sustainable development, including</w:t>
            </w:r>
            <w:r>
              <w:rPr>
                <w:szCs w:val="20"/>
              </w:rPr>
              <w:t xml:space="preserve"> </w:t>
            </w:r>
            <w:r w:rsidRPr="00311117">
              <w:rPr>
                <w:szCs w:val="20"/>
              </w:rPr>
              <w:t>gender equality and human rights, are mainstreamed at all levels in: (a) national education policies, (b)</w:t>
            </w:r>
            <w:r>
              <w:rPr>
                <w:szCs w:val="20"/>
              </w:rPr>
              <w:t xml:space="preserve"> </w:t>
            </w:r>
            <w:r w:rsidRPr="00311117">
              <w:rPr>
                <w:szCs w:val="20"/>
              </w:rPr>
              <w:t>curricula, (c) teacher education and (d) student assessment.</w:t>
            </w:r>
          </w:p>
          <w:p w14:paraId="7A1FAB56" w14:textId="77777777" w:rsidR="00221C59" w:rsidRPr="00311117" w:rsidRDefault="00221C59" w:rsidP="00221C59">
            <w:pPr>
              <w:jc w:val="both"/>
              <w:rPr>
                <w:szCs w:val="20"/>
              </w:rPr>
            </w:pPr>
          </w:p>
          <w:p w14:paraId="2BFCF422" w14:textId="77777777" w:rsidR="00221C59" w:rsidRPr="00311117" w:rsidRDefault="00221C59" w:rsidP="00221C59">
            <w:pPr>
              <w:jc w:val="both"/>
              <w:rPr>
                <w:b/>
                <w:bCs/>
                <w:szCs w:val="20"/>
              </w:rPr>
            </w:pPr>
            <w:r w:rsidRPr="00311117">
              <w:rPr>
                <w:b/>
                <w:bCs/>
                <w:szCs w:val="20"/>
              </w:rPr>
              <w:t>Concepts:</w:t>
            </w:r>
          </w:p>
          <w:p w14:paraId="222E99CA" w14:textId="77777777" w:rsidR="00221C59" w:rsidRPr="00311117" w:rsidRDefault="00221C59" w:rsidP="00221C59">
            <w:pPr>
              <w:jc w:val="both"/>
              <w:rPr>
                <w:szCs w:val="20"/>
              </w:rPr>
            </w:pPr>
            <w:r w:rsidRPr="00311117">
              <w:rPr>
                <w:i/>
                <w:iCs/>
                <w:szCs w:val="20"/>
              </w:rPr>
              <w:t>Education for Sustainable Development (ESD):</w:t>
            </w:r>
            <w:r w:rsidRPr="00311117">
              <w:rPr>
                <w:szCs w:val="20"/>
              </w:rPr>
              <w:t xml:space="preserve"> empowers learners to take informed decisions and</w:t>
            </w:r>
          </w:p>
          <w:p w14:paraId="70CEA143" w14:textId="77777777" w:rsidR="00221C59" w:rsidRPr="00311117" w:rsidRDefault="00221C59" w:rsidP="00221C59">
            <w:pPr>
              <w:jc w:val="both"/>
              <w:rPr>
                <w:szCs w:val="20"/>
              </w:rPr>
            </w:pPr>
            <w:proofErr w:type="gramStart"/>
            <w:r w:rsidRPr="00311117">
              <w:rPr>
                <w:szCs w:val="20"/>
              </w:rPr>
              <w:t>responsible</w:t>
            </w:r>
            <w:proofErr w:type="gramEnd"/>
            <w:r w:rsidRPr="00311117">
              <w:rPr>
                <w:szCs w:val="20"/>
              </w:rPr>
              <w:t xml:space="preserve"> actions for environmental integrity, economic viability and a just society, for present and</w:t>
            </w:r>
            <w:r>
              <w:rPr>
                <w:szCs w:val="20"/>
              </w:rPr>
              <w:t xml:space="preserve"> </w:t>
            </w:r>
            <w:r w:rsidRPr="00311117">
              <w:rPr>
                <w:szCs w:val="20"/>
              </w:rPr>
              <w:t>future generations, while respecting cultural diversity. It is about lifelong learning and is an integral part</w:t>
            </w:r>
            <w:r>
              <w:rPr>
                <w:szCs w:val="20"/>
              </w:rPr>
              <w:t xml:space="preserve"> </w:t>
            </w:r>
            <w:r w:rsidRPr="00311117">
              <w:rPr>
                <w:szCs w:val="20"/>
              </w:rPr>
              <w:t>of quality education.</w:t>
            </w:r>
          </w:p>
          <w:p w14:paraId="420D8119" w14:textId="77777777" w:rsidR="00221C59" w:rsidRPr="00311117" w:rsidRDefault="00221C59" w:rsidP="00221C59">
            <w:pPr>
              <w:jc w:val="both"/>
              <w:rPr>
                <w:szCs w:val="20"/>
              </w:rPr>
            </w:pPr>
            <w:r w:rsidRPr="00311117">
              <w:rPr>
                <w:i/>
                <w:iCs/>
                <w:szCs w:val="20"/>
              </w:rPr>
              <w:t>Global Citizenship Education (GCED):</w:t>
            </w:r>
            <w:r w:rsidRPr="00311117">
              <w:rPr>
                <w:szCs w:val="20"/>
              </w:rPr>
              <w:t xml:space="preserve"> GCED nurtures respect for all, building a sense of belonging to a</w:t>
            </w:r>
          </w:p>
          <w:p w14:paraId="1B1E7C5E" w14:textId="77777777" w:rsidR="00221C59" w:rsidRDefault="00221C59" w:rsidP="00221C59">
            <w:pPr>
              <w:jc w:val="both"/>
              <w:rPr>
                <w:szCs w:val="20"/>
              </w:rPr>
            </w:pPr>
            <w:proofErr w:type="gramStart"/>
            <w:r w:rsidRPr="00311117">
              <w:rPr>
                <w:szCs w:val="20"/>
              </w:rPr>
              <w:t>common</w:t>
            </w:r>
            <w:proofErr w:type="gramEnd"/>
            <w:r w:rsidRPr="00311117">
              <w:rPr>
                <w:szCs w:val="20"/>
              </w:rPr>
              <w:t xml:space="preserve"> humanity and helping learners become responsible and active global citizens. GCED aims to</w:t>
            </w:r>
            <w:r>
              <w:rPr>
                <w:szCs w:val="20"/>
              </w:rPr>
              <w:t xml:space="preserve"> </w:t>
            </w:r>
            <w:r w:rsidRPr="00311117">
              <w:rPr>
                <w:szCs w:val="20"/>
              </w:rPr>
              <w:t>empower learners to assume active roles to face and resolve global challenges and to become proactive</w:t>
            </w:r>
            <w:r>
              <w:rPr>
                <w:szCs w:val="20"/>
              </w:rPr>
              <w:t xml:space="preserve">. </w:t>
            </w:r>
            <w:proofErr w:type="gramStart"/>
            <w:r w:rsidRPr="00311117">
              <w:rPr>
                <w:szCs w:val="20"/>
              </w:rPr>
              <w:t>contributors</w:t>
            </w:r>
            <w:proofErr w:type="gramEnd"/>
            <w:r w:rsidRPr="00311117">
              <w:rPr>
                <w:szCs w:val="20"/>
              </w:rPr>
              <w:t xml:space="preserve"> to a more peaceful, tolerant, inclusive and secure world.</w:t>
            </w:r>
          </w:p>
          <w:p w14:paraId="7B95E548" w14:textId="77777777" w:rsidR="00221C59" w:rsidRDefault="00221C59" w:rsidP="00221C59">
            <w:pPr>
              <w:jc w:val="both"/>
              <w:rPr>
                <w:b/>
                <w:bCs/>
                <w:szCs w:val="20"/>
              </w:rPr>
            </w:pPr>
          </w:p>
          <w:p w14:paraId="4089F1C5" w14:textId="77777777" w:rsidR="00221C59" w:rsidRPr="00311117" w:rsidRDefault="00221C59" w:rsidP="00221C59">
            <w:pPr>
              <w:jc w:val="both"/>
              <w:rPr>
                <w:b/>
                <w:bCs/>
                <w:szCs w:val="20"/>
              </w:rPr>
            </w:pPr>
            <w:r w:rsidRPr="00311117">
              <w:rPr>
                <w:b/>
                <w:bCs/>
                <w:szCs w:val="20"/>
              </w:rPr>
              <w:t>Computation Method:</w:t>
            </w:r>
          </w:p>
          <w:p w14:paraId="070CDABA" w14:textId="77777777" w:rsidR="00221C59" w:rsidRPr="001056DA" w:rsidRDefault="00221C59" w:rsidP="00221C59">
            <w:pPr>
              <w:jc w:val="both"/>
              <w:rPr>
                <w:b/>
                <w:bCs/>
                <w:szCs w:val="20"/>
              </w:rPr>
            </w:pPr>
            <w:r w:rsidRPr="00311117">
              <w:rPr>
                <w:szCs w:val="20"/>
              </w:rPr>
              <w:t>The method of reporting this indicator has still to be defined. It will be based on an evaluation of reports</w:t>
            </w:r>
            <w:r>
              <w:rPr>
                <w:szCs w:val="20"/>
              </w:rPr>
              <w:t xml:space="preserve"> </w:t>
            </w:r>
            <w:r w:rsidRPr="00311117">
              <w:rPr>
                <w:szCs w:val="20"/>
              </w:rPr>
              <w:t>submitted by countries describing how they are mainstreaming global citizenship education and</w:t>
            </w:r>
            <w:r>
              <w:rPr>
                <w:szCs w:val="20"/>
              </w:rPr>
              <w:t xml:space="preserve"> </w:t>
            </w:r>
            <w:r w:rsidRPr="00311117">
              <w:rPr>
                <w:szCs w:val="20"/>
              </w:rPr>
              <w:t>education for sustainable development in their education policies and systems</w:t>
            </w:r>
            <w:r>
              <w:rPr>
                <w:szCs w:val="20"/>
              </w:rPr>
              <w:t>.</w:t>
            </w:r>
          </w:p>
        </w:tc>
        <w:tc>
          <w:tcPr>
            <w:tcW w:w="0" w:type="auto"/>
            <w:shd w:val="clear" w:color="auto" w:fill="auto"/>
          </w:tcPr>
          <w:p w14:paraId="132FC1FA" w14:textId="77777777" w:rsidR="00221C59" w:rsidRDefault="00221C59" w:rsidP="00221C59">
            <w:pPr>
              <w:jc w:val="center"/>
              <w:rPr>
                <w:bCs/>
                <w:szCs w:val="20"/>
              </w:rPr>
            </w:pPr>
            <w:r>
              <w:rPr>
                <w:bCs/>
                <w:szCs w:val="20"/>
              </w:rPr>
              <w:t>Administrative Record,</w:t>
            </w:r>
          </w:p>
          <w:p w14:paraId="2A315456" w14:textId="77777777" w:rsidR="00221C59" w:rsidRDefault="00221C59" w:rsidP="00221C59">
            <w:pPr>
              <w:jc w:val="center"/>
              <w:rPr>
                <w:bCs/>
                <w:szCs w:val="20"/>
              </w:rPr>
            </w:pPr>
            <w:r>
              <w:rPr>
                <w:bCs/>
                <w:szCs w:val="20"/>
              </w:rPr>
              <w:t>Household Survey</w:t>
            </w:r>
          </w:p>
        </w:tc>
        <w:tc>
          <w:tcPr>
            <w:tcW w:w="0" w:type="auto"/>
            <w:shd w:val="clear" w:color="auto" w:fill="auto"/>
          </w:tcPr>
          <w:p w14:paraId="417D29C7" w14:textId="77777777" w:rsidR="00221C59" w:rsidRPr="00B03570" w:rsidRDefault="00221C59" w:rsidP="00221C59">
            <w:pPr>
              <w:pStyle w:val="NoSpacing"/>
              <w:rPr>
                <w:bCs/>
                <w:szCs w:val="20"/>
              </w:rPr>
            </w:pPr>
            <w:r w:rsidRPr="00B275A9">
              <w:t>UNESCO Member States via their National Commissions to UNESCO</w:t>
            </w:r>
          </w:p>
        </w:tc>
        <w:tc>
          <w:tcPr>
            <w:tcW w:w="0" w:type="auto"/>
            <w:shd w:val="clear" w:color="auto" w:fill="auto"/>
          </w:tcPr>
          <w:p w14:paraId="3A59835E" w14:textId="77777777" w:rsidR="00221C59" w:rsidRDefault="00221C59" w:rsidP="00221C59">
            <w:pPr>
              <w:pStyle w:val="NoSpacing"/>
            </w:pPr>
          </w:p>
          <w:p w14:paraId="17117A1A" w14:textId="77777777" w:rsidR="00221C59" w:rsidRPr="000A0E9F" w:rsidRDefault="00221C59" w:rsidP="00221C59">
            <w:pPr>
              <w:pStyle w:val="NoSpacing"/>
            </w:pPr>
          </w:p>
          <w:p w14:paraId="1485FFD4" w14:textId="6AF66F52" w:rsidR="00221C59" w:rsidRPr="000A0E9F" w:rsidRDefault="00221C59" w:rsidP="00221C59">
            <w:pPr>
              <w:pStyle w:val="NoSpacing"/>
            </w:pPr>
          </w:p>
        </w:tc>
        <w:tc>
          <w:tcPr>
            <w:tcW w:w="0" w:type="auto"/>
            <w:shd w:val="clear" w:color="auto" w:fill="auto"/>
          </w:tcPr>
          <w:p w14:paraId="73B42D52" w14:textId="0B1990C8" w:rsidR="00221C59" w:rsidRDefault="00221C59" w:rsidP="00221C59">
            <w:pPr>
              <w:pStyle w:val="NoSpacing"/>
            </w:pPr>
            <w:r>
              <w:t>SHED</w:t>
            </w:r>
            <w:r>
              <w:br/>
              <w:t xml:space="preserve"> MoE</w:t>
            </w:r>
            <w:r>
              <w:br/>
            </w:r>
            <w:r w:rsidRPr="000A0E9F">
              <w:t>MoPME</w:t>
            </w:r>
          </w:p>
          <w:p w14:paraId="623BA3AA" w14:textId="77777777" w:rsidR="00221C59" w:rsidRDefault="00221C59" w:rsidP="00221C59">
            <w:pPr>
              <w:pStyle w:val="NoSpacing"/>
            </w:pPr>
          </w:p>
          <w:p w14:paraId="25029AC9" w14:textId="77777777" w:rsidR="00221C59" w:rsidRPr="000A0E9F" w:rsidRDefault="00221C59" w:rsidP="00221C59">
            <w:pPr>
              <w:pStyle w:val="NoSpacing"/>
            </w:pPr>
          </w:p>
          <w:p w14:paraId="6FF8C551" w14:textId="77777777" w:rsidR="00221C59" w:rsidRDefault="00221C59" w:rsidP="00221C59">
            <w:pPr>
              <w:jc w:val="both"/>
              <w:rPr>
                <w:bCs/>
                <w:szCs w:val="20"/>
              </w:rPr>
            </w:pPr>
            <w:r w:rsidRPr="000A0E9F">
              <w:t>Administrative Data</w:t>
            </w:r>
          </w:p>
        </w:tc>
        <w:tc>
          <w:tcPr>
            <w:tcW w:w="0" w:type="auto"/>
            <w:shd w:val="clear" w:color="auto" w:fill="auto"/>
          </w:tcPr>
          <w:p w14:paraId="697D3EC9" w14:textId="6ED40306" w:rsidR="003D3F72" w:rsidRDefault="003D3F72" w:rsidP="003D3F72">
            <w:pPr>
              <w:pStyle w:val="ListParagraph"/>
              <w:numPr>
                <w:ilvl w:val="0"/>
                <w:numId w:val="2"/>
              </w:numPr>
              <w:spacing w:after="0" w:line="240" w:lineRule="auto"/>
              <w:ind w:left="130" w:hanging="130"/>
              <w:jc w:val="both"/>
              <w:rPr>
                <w:rFonts w:ascii="Tw Cen MT Condensed" w:hAnsi="Tw Cen MT Condensed"/>
                <w:bCs/>
                <w:sz w:val="20"/>
                <w:szCs w:val="20"/>
              </w:rPr>
            </w:pPr>
          </w:p>
          <w:p w14:paraId="1A52CDE5" w14:textId="71F488C0" w:rsidR="003D3F72" w:rsidRPr="008F0949" w:rsidRDefault="003D3F72" w:rsidP="003D3F72">
            <w:pPr>
              <w:pStyle w:val="ListParagraph"/>
              <w:numPr>
                <w:ilvl w:val="0"/>
                <w:numId w:val="48"/>
              </w:numPr>
              <w:spacing w:after="0" w:line="240" w:lineRule="auto"/>
              <w:ind w:left="160" w:hanging="160"/>
              <w:rPr>
                <w:rFonts w:ascii="Tw Cen MT Condensed" w:hAnsi="Tw Cen MT Condensed"/>
              </w:rPr>
            </w:pPr>
            <w:r w:rsidRPr="008F0949">
              <w:rPr>
                <w:rFonts w:ascii="Tw Cen MT Condensed" w:hAnsi="Tw Cen MT Condensed"/>
              </w:rPr>
              <w:t>education policy: national education policies/ curricula/ teacher education/ students’ assessment</w:t>
            </w:r>
          </w:p>
          <w:p w14:paraId="35B6AC63" w14:textId="10DCAA15" w:rsidR="003D3F72" w:rsidRPr="000E716D" w:rsidRDefault="003D3F72" w:rsidP="00A44C13">
            <w:pPr>
              <w:pStyle w:val="ListParagraph"/>
              <w:numPr>
                <w:ilvl w:val="0"/>
                <w:numId w:val="2"/>
              </w:numPr>
              <w:spacing w:after="0" w:line="240" w:lineRule="auto"/>
              <w:ind w:left="130" w:hanging="130"/>
              <w:jc w:val="both"/>
              <w:rPr>
                <w:rFonts w:ascii="Tw Cen MT Condensed" w:hAnsi="Tw Cen MT Condensed"/>
                <w:bCs/>
                <w:sz w:val="20"/>
                <w:szCs w:val="20"/>
              </w:rPr>
            </w:pPr>
            <w:r w:rsidRPr="008F0949">
              <w:rPr>
                <w:rFonts w:ascii="Tw Cen MT Condensed" w:hAnsi="Tw Cen MT Condensed"/>
              </w:rPr>
              <w:t xml:space="preserve">global citizenship </w:t>
            </w:r>
            <w:r w:rsidRPr="000E716D">
              <w:rPr>
                <w:rFonts w:ascii="Tw Cen MT Condensed" w:hAnsi="Tw Cen MT Condensed"/>
              </w:rPr>
              <w:t>education/ education for sustainable development</w:t>
            </w:r>
          </w:p>
        </w:tc>
        <w:tc>
          <w:tcPr>
            <w:tcW w:w="0" w:type="auto"/>
            <w:shd w:val="clear" w:color="auto" w:fill="auto"/>
          </w:tcPr>
          <w:p w14:paraId="3C002476" w14:textId="77777777" w:rsidR="00221C59" w:rsidRDefault="00221C59" w:rsidP="00221C59">
            <w:pPr>
              <w:pStyle w:val="NoSpacing"/>
              <w:rPr>
                <w:bCs/>
                <w:szCs w:val="20"/>
              </w:rPr>
            </w:pPr>
            <w:r>
              <w:t>Triennial</w:t>
            </w:r>
          </w:p>
        </w:tc>
        <w:tc>
          <w:tcPr>
            <w:tcW w:w="0" w:type="auto"/>
            <w:shd w:val="clear" w:color="auto" w:fill="auto"/>
          </w:tcPr>
          <w:p w14:paraId="6C839C2E" w14:textId="77777777" w:rsidR="00221C59" w:rsidRDefault="00221C59" w:rsidP="00221C59">
            <w:pPr>
              <w:jc w:val="center"/>
              <w:rPr>
                <w:bCs/>
                <w:szCs w:val="20"/>
              </w:rPr>
            </w:pPr>
            <w:r>
              <w:rPr>
                <w:bCs/>
                <w:szCs w:val="20"/>
              </w:rPr>
              <w:t>Group 3</w:t>
            </w:r>
          </w:p>
        </w:tc>
        <w:tc>
          <w:tcPr>
            <w:tcW w:w="0" w:type="auto"/>
            <w:shd w:val="clear" w:color="auto" w:fill="auto"/>
          </w:tcPr>
          <w:p w14:paraId="100B7E56" w14:textId="77777777" w:rsidR="00221C59" w:rsidRDefault="00221C59" w:rsidP="00221C59">
            <w:pPr>
              <w:pStyle w:val="NoSpacing"/>
            </w:pPr>
            <w:r>
              <w:t>1</w:t>
            </w:r>
            <w:r w:rsidRPr="00013ACB">
              <w:rPr>
                <w:vertAlign w:val="superscript"/>
              </w:rPr>
              <w:t>st</w:t>
            </w:r>
            <w:r>
              <w:t xml:space="preserve"> Round: </w:t>
            </w:r>
          </w:p>
          <w:p w14:paraId="23FA52D4" w14:textId="77777777" w:rsidR="00221C59" w:rsidRDefault="00221C59" w:rsidP="00221C59">
            <w:pPr>
              <w:pStyle w:val="NoSpacing"/>
            </w:pPr>
            <w:r>
              <w:t>December</w:t>
            </w:r>
            <w:r>
              <w:br/>
              <w:t>2020</w:t>
            </w:r>
          </w:p>
          <w:p w14:paraId="55486196" w14:textId="77777777" w:rsidR="00221C59" w:rsidRDefault="00221C59" w:rsidP="00221C59">
            <w:pPr>
              <w:pStyle w:val="NoSpacing"/>
            </w:pPr>
          </w:p>
          <w:p w14:paraId="54D497C6" w14:textId="77777777" w:rsidR="00221C59" w:rsidRDefault="00221C59" w:rsidP="00221C59">
            <w:pPr>
              <w:pStyle w:val="NoSpacing"/>
            </w:pPr>
            <w:r>
              <w:t>2</w:t>
            </w:r>
            <w:r w:rsidRPr="00013ACB">
              <w:rPr>
                <w:vertAlign w:val="superscript"/>
              </w:rPr>
              <w:t>nd</w:t>
            </w:r>
            <w:r>
              <w:t xml:space="preserve"> Round: </w:t>
            </w:r>
          </w:p>
          <w:p w14:paraId="7ACF706D" w14:textId="77777777" w:rsidR="00221C59" w:rsidRDefault="00221C59" w:rsidP="00221C59">
            <w:pPr>
              <w:pStyle w:val="NoSpacing"/>
            </w:pPr>
            <w:r>
              <w:t>December</w:t>
            </w:r>
            <w:r>
              <w:br/>
              <w:t>2023</w:t>
            </w:r>
          </w:p>
          <w:p w14:paraId="0318FC37" w14:textId="77777777" w:rsidR="00221C59" w:rsidRDefault="00221C59" w:rsidP="00221C59">
            <w:pPr>
              <w:pStyle w:val="NoSpacing"/>
            </w:pPr>
          </w:p>
          <w:p w14:paraId="70906BC5" w14:textId="77777777" w:rsidR="00221C59" w:rsidRDefault="00221C59" w:rsidP="00221C59">
            <w:pPr>
              <w:pStyle w:val="NoSpacing"/>
            </w:pPr>
            <w:r>
              <w:t>3</w:t>
            </w:r>
            <w:r w:rsidRPr="00013ACB">
              <w:rPr>
                <w:vertAlign w:val="superscript"/>
              </w:rPr>
              <w:t>rd</w:t>
            </w:r>
            <w:r>
              <w:t xml:space="preserve"> Round: </w:t>
            </w:r>
          </w:p>
          <w:p w14:paraId="6F8361B2" w14:textId="77777777" w:rsidR="00221C59" w:rsidRDefault="00221C59" w:rsidP="00221C59">
            <w:pPr>
              <w:pStyle w:val="NoSpacing"/>
            </w:pPr>
            <w:r>
              <w:t>December</w:t>
            </w:r>
            <w:r>
              <w:br/>
              <w:t>2026</w:t>
            </w:r>
          </w:p>
          <w:p w14:paraId="1E47E79F" w14:textId="77777777" w:rsidR="00221C59" w:rsidRDefault="00221C59" w:rsidP="00221C59">
            <w:pPr>
              <w:pStyle w:val="NoSpacing"/>
            </w:pPr>
          </w:p>
          <w:p w14:paraId="478D7F46" w14:textId="77777777" w:rsidR="00221C59" w:rsidRDefault="00221C59" w:rsidP="00221C59">
            <w:pPr>
              <w:pStyle w:val="NoSpacing"/>
            </w:pPr>
            <w:r>
              <w:t>4</w:t>
            </w:r>
            <w:r w:rsidRPr="00013ACB">
              <w:rPr>
                <w:vertAlign w:val="superscript"/>
              </w:rPr>
              <w:t>th</w:t>
            </w:r>
            <w:r>
              <w:t xml:space="preserve"> Round: </w:t>
            </w:r>
          </w:p>
          <w:p w14:paraId="1A588955" w14:textId="77777777" w:rsidR="00221C59" w:rsidRDefault="00221C59" w:rsidP="00221C59">
            <w:pPr>
              <w:pStyle w:val="NoSpacing"/>
            </w:pPr>
            <w:r>
              <w:t>December</w:t>
            </w:r>
            <w:r>
              <w:br/>
              <w:t>2029</w:t>
            </w:r>
          </w:p>
          <w:p w14:paraId="519940BE" w14:textId="77777777" w:rsidR="00221C59" w:rsidRDefault="00221C59" w:rsidP="00221C59">
            <w:pPr>
              <w:pStyle w:val="NoSpacing"/>
            </w:pPr>
          </w:p>
          <w:p w14:paraId="7F55A212" w14:textId="77777777" w:rsidR="00221C59" w:rsidRDefault="00221C59" w:rsidP="00221C59">
            <w:pPr>
              <w:pStyle w:val="NoSpacing"/>
            </w:pPr>
            <w:r>
              <w:t>5</w:t>
            </w:r>
            <w:r w:rsidRPr="00013ACB">
              <w:rPr>
                <w:vertAlign w:val="superscript"/>
              </w:rPr>
              <w:t>th</w:t>
            </w:r>
            <w:r>
              <w:t xml:space="preserve"> Round: </w:t>
            </w:r>
          </w:p>
          <w:p w14:paraId="13377FB5" w14:textId="5684EA20" w:rsidR="00221C59" w:rsidRPr="007A64DC" w:rsidRDefault="00221C59" w:rsidP="00221C59">
            <w:pPr>
              <w:pStyle w:val="NoSpacing"/>
            </w:pPr>
            <w:r>
              <w:t>December</w:t>
            </w:r>
            <w:r>
              <w:br/>
              <w:t>2030</w:t>
            </w:r>
          </w:p>
        </w:tc>
        <w:tc>
          <w:tcPr>
            <w:tcW w:w="0" w:type="auto"/>
            <w:shd w:val="clear" w:color="auto" w:fill="auto"/>
          </w:tcPr>
          <w:p w14:paraId="532AFD46" w14:textId="77777777" w:rsidR="00221C59" w:rsidRPr="00BB3B57" w:rsidRDefault="00221C59" w:rsidP="00221C59">
            <w:pPr>
              <w:pStyle w:val="NoSpacing"/>
              <w:rPr>
                <w:sz w:val="18"/>
                <w:szCs w:val="22"/>
              </w:rPr>
            </w:pPr>
            <w:r w:rsidRPr="00BB3B57">
              <w:rPr>
                <w:sz w:val="18"/>
                <w:szCs w:val="22"/>
              </w:rPr>
              <w:t>UNSC 51 refinement</w:t>
            </w:r>
          </w:p>
          <w:p w14:paraId="33433AF3" w14:textId="77777777" w:rsidR="00221C59" w:rsidRPr="00BB3B57" w:rsidRDefault="00221C59" w:rsidP="00221C59">
            <w:pPr>
              <w:pStyle w:val="NoSpacing"/>
              <w:rPr>
                <w:sz w:val="18"/>
                <w:szCs w:val="22"/>
              </w:rPr>
            </w:pPr>
          </w:p>
          <w:p w14:paraId="353951EC" w14:textId="69710E2F" w:rsidR="00221C59" w:rsidRPr="00BB3B57" w:rsidRDefault="00221C59" w:rsidP="00221C59">
            <w:pPr>
              <w:pStyle w:val="NoSpacing"/>
              <w:rPr>
                <w:sz w:val="18"/>
                <w:szCs w:val="22"/>
              </w:rPr>
            </w:pPr>
            <w:r w:rsidRPr="00BB3B57">
              <w:rPr>
                <w:sz w:val="18"/>
                <w:szCs w:val="22"/>
              </w:rPr>
              <w:t>12.8.1</w:t>
            </w:r>
            <w:r w:rsidR="003353E6" w:rsidRPr="00BB3B57">
              <w:rPr>
                <w:sz w:val="18"/>
                <w:szCs w:val="22"/>
              </w:rPr>
              <w:t xml:space="preserve"> &amp; </w:t>
            </w:r>
            <w:r w:rsidRPr="00BB3B57">
              <w:rPr>
                <w:sz w:val="18"/>
                <w:szCs w:val="22"/>
              </w:rPr>
              <w:t>13.3.1 are repeat</w:t>
            </w:r>
            <w:r w:rsidR="003353E6" w:rsidRPr="00BB3B57">
              <w:rPr>
                <w:sz w:val="18"/>
                <w:szCs w:val="22"/>
              </w:rPr>
              <w:t>ed</w:t>
            </w:r>
          </w:p>
          <w:p w14:paraId="730895CF" w14:textId="77777777" w:rsidR="00221C59" w:rsidRPr="00BB3B57" w:rsidRDefault="00221C59" w:rsidP="00221C59">
            <w:pPr>
              <w:pStyle w:val="NoSpacing"/>
              <w:rPr>
                <w:sz w:val="18"/>
                <w:szCs w:val="22"/>
              </w:rPr>
            </w:pPr>
          </w:p>
          <w:p w14:paraId="2B68268E" w14:textId="77777777" w:rsidR="00221C59" w:rsidRPr="00BB3B57" w:rsidRDefault="00221C59" w:rsidP="00221C59">
            <w:pPr>
              <w:pStyle w:val="NoSpacing"/>
              <w:rPr>
                <w:sz w:val="18"/>
                <w:szCs w:val="22"/>
              </w:rPr>
            </w:pPr>
            <w:r w:rsidRPr="00BB3B57">
              <w:rPr>
                <w:sz w:val="18"/>
                <w:szCs w:val="22"/>
              </w:rPr>
              <w:t>Reviewed at Nov./Dec. 2019 WebEx meeting (classified as Tier II)</w:t>
            </w:r>
          </w:p>
          <w:p w14:paraId="559BCEE8" w14:textId="77777777" w:rsidR="00221C59" w:rsidRPr="00BB3B57" w:rsidRDefault="00221C59" w:rsidP="00221C59">
            <w:pPr>
              <w:pStyle w:val="NoSpacing"/>
              <w:rPr>
                <w:sz w:val="18"/>
                <w:szCs w:val="22"/>
              </w:rPr>
            </w:pPr>
          </w:p>
          <w:p w14:paraId="555D7265" w14:textId="77777777" w:rsidR="00221C59" w:rsidRPr="00BB3B57" w:rsidRDefault="00221C59" w:rsidP="00221C59">
            <w:pPr>
              <w:pStyle w:val="NoSpacing"/>
              <w:rPr>
                <w:sz w:val="18"/>
                <w:szCs w:val="22"/>
              </w:rPr>
            </w:pPr>
            <w:r w:rsidRPr="00BB3B57">
              <w:rPr>
                <w:sz w:val="18"/>
                <w:szCs w:val="22"/>
              </w:rPr>
              <w:t>Reviewed at Dec. 2018 WebEx meeting:</w:t>
            </w:r>
          </w:p>
          <w:p w14:paraId="7CFA7DE8" w14:textId="313A0448" w:rsidR="00221C59" w:rsidRPr="00BB3B57" w:rsidRDefault="00221C59" w:rsidP="00221C59">
            <w:pPr>
              <w:pStyle w:val="NoSpacing"/>
              <w:rPr>
                <w:sz w:val="18"/>
                <w:szCs w:val="22"/>
              </w:rPr>
            </w:pPr>
            <w:r w:rsidRPr="00BB3B57">
              <w:rPr>
                <w:sz w:val="18"/>
                <w:szCs w:val="22"/>
              </w:rPr>
              <w:t xml:space="preserve">request additional work on questionnaire methodology (classified as </w:t>
            </w:r>
            <w:r w:rsidR="006B621F" w:rsidRPr="00BB3B57">
              <w:rPr>
                <w:sz w:val="18"/>
                <w:szCs w:val="22"/>
              </w:rPr>
              <w:t>TBD</w:t>
            </w:r>
            <w:r w:rsidRPr="00BB3B57">
              <w:rPr>
                <w:sz w:val="18"/>
                <w:szCs w:val="22"/>
              </w:rPr>
              <w:t>)</w:t>
            </w:r>
          </w:p>
          <w:p w14:paraId="30BD18BB" w14:textId="77777777" w:rsidR="00221C59" w:rsidRPr="00BB3B57" w:rsidRDefault="00221C59" w:rsidP="00221C59">
            <w:pPr>
              <w:pStyle w:val="NoSpacing"/>
              <w:rPr>
                <w:sz w:val="18"/>
                <w:szCs w:val="22"/>
              </w:rPr>
            </w:pPr>
          </w:p>
          <w:p w14:paraId="616A83B1" w14:textId="77777777" w:rsidR="00221C59" w:rsidRPr="00BB3B57" w:rsidRDefault="00221C59" w:rsidP="00221C59">
            <w:pPr>
              <w:pStyle w:val="NoSpacing"/>
              <w:rPr>
                <w:sz w:val="18"/>
                <w:szCs w:val="22"/>
              </w:rPr>
            </w:pPr>
            <w:r w:rsidRPr="00BB3B57">
              <w:rPr>
                <w:sz w:val="18"/>
                <w:szCs w:val="22"/>
              </w:rPr>
              <w:t>Reviewed at 8th IAEG-SDG meeting: request additional work on methodology</w:t>
            </w:r>
          </w:p>
        </w:tc>
      </w:tr>
      <w:tr w:rsidR="0085651F" w14:paraId="06C96A76" w14:textId="77777777" w:rsidTr="0085651F">
        <w:tc>
          <w:tcPr>
            <w:tcW w:w="17162" w:type="dxa"/>
            <w:gridSpan w:val="13"/>
            <w:shd w:val="clear" w:color="auto" w:fill="auto"/>
          </w:tcPr>
          <w:p w14:paraId="7022EC20" w14:textId="77777777" w:rsidR="0085651F" w:rsidRPr="00311117" w:rsidRDefault="0085651F" w:rsidP="00221C59">
            <w:pPr>
              <w:ind w:left="970" w:hanging="970"/>
              <w:jc w:val="both"/>
              <w:rPr>
                <w:color w:val="C00000"/>
                <w:sz w:val="30"/>
                <w:szCs w:val="30"/>
              </w:rPr>
            </w:pPr>
            <w:r>
              <w:rPr>
                <w:color w:val="C00000"/>
                <w:sz w:val="30"/>
                <w:szCs w:val="30"/>
              </w:rPr>
              <w:t xml:space="preserve">Target </w:t>
            </w:r>
            <w:r w:rsidRPr="00311117">
              <w:rPr>
                <w:color w:val="C00000"/>
                <w:sz w:val="30"/>
                <w:szCs w:val="30"/>
              </w:rPr>
              <w:t>4.a Build and upgrade education facilities that are child, disability and gender sensitive and provide safe, non-violent, inclusive and effective learning environments for all</w:t>
            </w:r>
          </w:p>
        </w:tc>
      </w:tr>
      <w:tr w:rsidR="000E716D" w14:paraId="3B8477AF" w14:textId="77777777" w:rsidTr="0085651F">
        <w:tc>
          <w:tcPr>
            <w:tcW w:w="1101" w:type="dxa"/>
            <w:shd w:val="clear" w:color="auto" w:fill="auto"/>
          </w:tcPr>
          <w:p w14:paraId="7805D474" w14:textId="77777777" w:rsidR="00221C59" w:rsidRPr="00DB041D" w:rsidRDefault="00221C59" w:rsidP="00221C59">
            <w:pPr>
              <w:jc w:val="both"/>
              <w:rPr>
                <w:szCs w:val="20"/>
              </w:rPr>
            </w:pPr>
            <w:r w:rsidRPr="00311117">
              <w:rPr>
                <w:szCs w:val="20"/>
              </w:rPr>
              <w:t xml:space="preserve">4.a.1 </w:t>
            </w:r>
            <w:r w:rsidRPr="00311117">
              <w:rPr>
                <w:szCs w:val="20"/>
              </w:rPr>
              <w:lastRenderedPageBreak/>
              <w:t>Proportion of schools with access to (a) electricity; (b) the Internet for pedagogical purposes; (c) computers for pedagogical purposes; (d) adapted infrastructure and materials for students with disabilities; (e) basic drinking water; (f) single-sex basic sanitation facilities; and (g) basic handwashing facilities (as per the WASH indicator definitions)</w:t>
            </w:r>
          </w:p>
        </w:tc>
        <w:tc>
          <w:tcPr>
            <w:tcW w:w="854" w:type="dxa"/>
            <w:shd w:val="clear" w:color="auto" w:fill="auto"/>
          </w:tcPr>
          <w:p w14:paraId="12B47110" w14:textId="77777777" w:rsidR="00221C59" w:rsidRDefault="00221C59" w:rsidP="00221C59">
            <w:pPr>
              <w:jc w:val="center"/>
              <w:rPr>
                <w:sz w:val="22"/>
                <w:szCs w:val="22"/>
                <w:lang w:bidi="bn-BD"/>
              </w:rPr>
            </w:pPr>
            <w:r w:rsidRPr="00311117">
              <w:rPr>
                <w:sz w:val="22"/>
                <w:szCs w:val="22"/>
                <w:lang w:bidi="bn-BD"/>
              </w:rPr>
              <w:lastRenderedPageBreak/>
              <w:t>UNESCO-</w:t>
            </w:r>
            <w:r w:rsidRPr="00311117">
              <w:rPr>
                <w:sz w:val="22"/>
                <w:szCs w:val="22"/>
                <w:lang w:bidi="bn-BD"/>
              </w:rPr>
              <w:lastRenderedPageBreak/>
              <w:t>UIS</w:t>
            </w:r>
          </w:p>
          <w:p w14:paraId="2F621D4C" w14:textId="77777777" w:rsidR="00221C59" w:rsidRDefault="00221C59" w:rsidP="00221C59">
            <w:pPr>
              <w:jc w:val="center"/>
              <w:rPr>
                <w:b/>
                <w:bCs/>
                <w:sz w:val="22"/>
                <w:szCs w:val="22"/>
                <w:lang w:bidi="bn-BD"/>
              </w:rPr>
            </w:pPr>
          </w:p>
          <w:p w14:paraId="620AC612" w14:textId="77777777" w:rsidR="00221C59" w:rsidRPr="00DB041D" w:rsidRDefault="00221C59" w:rsidP="00221C59">
            <w:pPr>
              <w:jc w:val="center"/>
              <w:rPr>
                <w:b/>
                <w:bCs/>
                <w:sz w:val="22"/>
                <w:szCs w:val="22"/>
                <w:lang w:bidi="bn-BD"/>
              </w:rPr>
            </w:pPr>
            <w:r w:rsidRPr="00DB041D">
              <w:rPr>
                <w:b/>
                <w:bCs/>
                <w:sz w:val="22"/>
                <w:szCs w:val="22"/>
                <w:lang w:bidi="bn-BD"/>
              </w:rPr>
              <w:t>Partner agencies:</w:t>
            </w:r>
          </w:p>
          <w:p w14:paraId="525D9C18" w14:textId="77777777" w:rsidR="00221C59" w:rsidRPr="00311117" w:rsidRDefault="00221C59" w:rsidP="00221C59">
            <w:pPr>
              <w:jc w:val="center"/>
              <w:rPr>
                <w:sz w:val="22"/>
                <w:szCs w:val="22"/>
                <w:lang w:bidi="bn-BD"/>
              </w:rPr>
            </w:pPr>
            <w:r w:rsidRPr="00311117">
              <w:rPr>
                <w:sz w:val="22"/>
                <w:szCs w:val="22"/>
                <w:lang w:bidi="bn-BD"/>
              </w:rPr>
              <w:t xml:space="preserve">UNICEF, </w:t>
            </w:r>
          </w:p>
          <w:p w14:paraId="6C3A32B6" w14:textId="77777777" w:rsidR="00221C59" w:rsidRPr="00311117" w:rsidRDefault="00221C59" w:rsidP="00221C59">
            <w:pPr>
              <w:jc w:val="center"/>
              <w:rPr>
                <w:sz w:val="22"/>
                <w:szCs w:val="22"/>
                <w:lang w:bidi="bn-BD"/>
              </w:rPr>
            </w:pPr>
            <w:r w:rsidRPr="00311117">
              <w:rPr>
                <w:sz w:val="22"/>
                <w:szCs w:val="22"/>
                <w:lang w:bidi="bn-BD"/>
              </w:rPr>
              <w:t xml:space="preserve">OECD, </w:t>
            </w:r>
          </w:p>
          <w:p w14:paraId="0FB862D6" w14:textId="77777777" w:rsidR="00221C59" w:rsidRPr="00DB041D" w:rsidRDefault="00221C59" w:rsidP="00221C59">
            <w:pPr>
              <w:jc w:val="center"/>
              <w:rPr>
                <w:sz w:val="22"/>
                <w:szCs w:val="22"/>
                <w:lang w:bidi="bn-BD"/>
              </w:rPr>
            </w:pPr>
            <w:r w:rsidRPr="00311117">
              <w:rPr>
                <w:sz w:val="22"/>
                <w:szCs w:val="22"/>
                <w:lang w:bidi="bn-BD"/>
              </w:rPr>
              <w:t>UNEP</w:t>
            </w:r>
          </w:p>
        </w:tc>
        <w:tc>
          <w:tcPr>
            <w:tcW w:w="0" w:type="auto"/>
            <w:shd w:val="clear" w:color="auto" w:fill="auto"/>
          </w:tcPr>
          <w:p w14:paraId="2FB462D1" w14:textId="77777777" w:rsidR="00221C59" w:rsidRDefault="00221C59" w:rsidP="00221C59">
            <w:pPr>
              <w:jc w:val="center"/>
              <w:rPr>
                <w:szCs w:val="20"/>
              </w:rPr>
            </w:pPr>
            <w:r>
              <w:rPr>
                <w:szCs w:val="20"/>
              </w:rPr>
              <w:lastRenderedPageBreak/>
              <w:t>Tier II</w:t>
            </w:r>
          </w:p>
        </w:tc>
        <w:tc>
          <w:tcPr>
            <w:tcW w:w="0" w:type="auto"/>
            <w:shd w:val="clear" w:color="auto" w:fill="auto"/>
          </w:tcPr>
          <w:p w14:paraId="363FB2CF" w14:textId="77777777" w:rsidR="00221C59" w:rsidRPr="00311117" w:rsidRDefault="00221C59" w:rsidP="00221C59">
            <w:pPr>
              <w:jc w:val="both"/>
              <w:rPr>
                <w:b/>
                <w:bCs/>
                <w:szCs w:val="20"/>
              </w:rPr>
            </w:pPr>
            <w:r w:rsidRPr="00311117">
              <w:rPr>
                <w:b/>
                <w:bCs/>
                <w:szCs w:val="20"/>
              </w:rPr>
              <w:t>Definition:</w:t>
            </w:r>
          </w:p>
          <w:p w14:paraId="44BB8298" w14:textId="77777777" w:rsidR="00221C59" w:rsidRDefault="00221C59" w:rsidP="00221C59">
            <w:pPr>
              <w:jc w:val="both"/>
              <w:rPr>
                <w:szCs w:val="20"/>
              </w:rPr>
            </w:pPr>
            <w:r w:rsidRPr="00311117">
              <w:rPr>
                <w:szCs w:val="20"/>
              </w:rPr>
              <w:lastRenderedPageBreak/>
              <w:t>The percentage of schools by level of education (primary education) with access to the given facility or</w:t>
            </w:r>
            <w:r>
              <w:rPr>
                <w:szCs w:val="20"/>
              </w:rPr>
              <w:t xml:space="preserve"> </w:t>
            </w:r>
            <w:r w:rsidRPr="00311117">
              <w:rPr>
                <w:szCs w:val="20"/>
              </w:rPr>
              <w:t>service.</w:t>
            </w:r>
          </w:p>
          <w:p w14:paraId="688DE16D" w14:textId="77777777" w:rsidR="00221C59" w:rsidRDefault="00221C59" w:rsidP="00221C59">
            <w:pPr>
              <w:jc w:val="both"/>
              <w:rPr>
                <w:b/>
                <w:bCs/>
                <w:szCs w:val="20"/>
              </w:rPr>
            </w:pPr>
          </w:p>
          <w:p w14:paraId="260DF521" w14:textId="77777777" w:rsidR="00221C59" w:rsidRPr="00311117" w:rsidRDefault="00221C59" w:rsidP="00221C59">
            <w:pPr>
              <w:jc w:val="both"/>
              <w:rPr>
                <w:b/>
                <w:bCs/>
                <w:szCs w:val="20"/>
              </w:rPr>
            </w:pPr>
            <w:r w:rsidRPr="00311117">
              <w:rPr>
                <w:b/>
                <w:bCs/>
                <w:szCs w:val="20"/>
              </w:rPr>
              <w:t>Concepts:</w:t>
            </w:r>
          </w:p>
          <w:p w14:paraId="0081C75D" w14:textId="77777777" w:rsidR="00221C59" w:rsidRPr="00311117" w:rsidRDefault="00221C59" w:rsidP="00221C59">
            <w:pPr>
              <w:jc w:val="both"/>
              <w:rPr>
                <w:szCs w:val="20"/>
              </w:rPr>
            </w:pPr>
            <w:r w:rsidRPr="00311117">
              <w:rPr>
                <w:i/>
                <w:iCs/>
                <w:szCs w:val="20"/>
              </w:rPr>
              <w:t>Electricity:</w:t>
            </w:r>
            <w:r w:rsidRPr="00311117">
              <w:rPr>
                <w:szCs w:val="20"/>
              </w:rPr>
              <w:t xml:space="preserve"> Regularly and readily available sources of power (e.g. grid/mains connection, wind, water,</w:t>
            </w:r>
          </w:p>
          <w:p w14:paraId="0DC9DC22" w14:textId="77777777" w:rsidR="00221C59" w:rsidRPr="00311117" w:rsidRDefault="00221C59" w:rsidP="00221C59">
            <w:pPr>
              <w:jc w:val="both"/>
              <w:rPr>
                <w:szCs w:val="20"/>
              </w:rPr>
            </w:pPr>
            <w:proofErr w:type="gramStart"/>
            <w:r w:rsidRPr="00311117">
              <w:rPr>
                <w:szCs w:val="20"/>
              </w:rPr>
              <w:t>solar</w:t>
            </w:r>
            <w:proofErr w:type="gramEnd"/>
            <w:r w:rsidRPr="00311117">
              <w:rPr>
                <w:szCs w:val="20"/>
              </w:rPr>
              <w:t xml:space="preserve"> and fuel-powered generator, etc.) </w:t>
            </w:r>
            <w:proofErr w:type="gramStart"/>
            <w:r w:rsidRPr="00311117">
              <w:rPr>
                <w:szCs w:val="20"/>
              </w:rPr>
              <w:t>that</w:t>
            </w:r>
            <w:proofErr w:type="gramEnd"/>
            <w:r w:rsidRPr="00311117">
              <w:rPr>
                <w:szCs w:val="20"/>
              </w:rPr>
              <w:t xml:space="preserve"> enable the adequate and sustainable use of ICT</w:t>
            </w:r>
            <w:r>
              <w:rPr>
                <w:szCs w:val="20"/>
              </w:rPr>
              <w:t xml:space="preserve"> </w:t>
            </w:r>
            <w:r w:rsidRPr="00311117">
              <w:rPr>
                <w:szCs w:val="20"/>
              </w:rPr>
              <w:t>infrastructure for educational purposes.</w:t>
            </w:r>
          </w:p>
          <w:p w14:paraId="140EB150" w14:textId="77777777" w:rsidR="00221C59" w:rsidRPr="00311117" w:rsidRDefault="00221C59" w:rsidP="00221C59">
            <w:pPr>
              <w:jc w:val="both"/>
              <w:rPr>
                <w:szCs w:val="20"/>
              </w:rPr>
            </w:pPr>
            <w:r w:rsidRPr="00311117">
              <w:rPr>
                <w:i/>
                <w:iCs/>
                <w:szCs w:val="20"/>
              </w:rPr>
              <w:t>Internet for pedagogical purposes:</w:t>
            </w:r>
            <w:r w:rsidRPr="00311117">
              <w:rPr>
                <w:szCs w:val="20"/>
              </w:rPr>
              <w:t xml:space="preserve"> Internet that is available for enhancing teaching and learning and is</w:t>
            </w:r>
            <w:r>
              <w:rPr>
                <w:szCs w:val="20"/>
              </w:rPr>
              <w:t xml:space="preserve"> </w:t>
            </w:r>
            <w:r w:rsidRPr="00311117">
              <w:rPr>
                <w:szCs w:val="20"/>
              </w:rPr>
              <w:t>accessible by pupils. Internet is defined as a worldwide interconnected computer network, which</w:t>
            </w:r>
          </w:p>
          <w:p w14:paraId="12B50872" w14:textId="77777777" w:rsidR="00221C59" w:rsidRPr="00311117" w:rsidRDefault="00221C59" w:rsidP="00221C59">
            <w:pPr>
              <w:jc w:val="both"/>
              <w:rPr>
                <w:szCs w:val="20"/>
              </w:rPr>
            </w:pPr>
            <w:r w:rsidRPr="00311117">
              <w:rPr>
                <w:szCs w:val="20"/>
              </w:rPr>
              <w:t>provides pupils access to a number of communication services including the World Wide Web and carries</w:t>
            </w:r>
            <w:r>
              <w:rPr>
                <w:szCs w:val="20"/>
              </w:rPr>
              <w:t xml:space="preserve"> </w:t>
            </w:r>
            <w:r w:rsidRPr="00311117">
              <w:rPr>
                <w:szCs w:val="20"/>
              </w:rPr>
              <w:t>e-mail, news, entertainment and data files, irrespective of the device used (i.e. not assumed to be only</w:t>
            </w:r>
            <w:r>
              <w:rPr>
                <w:szCs w:val="20"/>
              </w:rPr>
              <w:t xml:space="preserve"> </w:t>
            </w:r>
            <w:r w:rsidRPr="00311117">
              <w:rPr>
                <w:szCs w:val="20"/>
              </w:rPr>
              <w:t>via a computer) and thus can also be accessed by mobile telephone, tablet, PDA, games machine, digital</w:t>
            </w:r>
            <w:r>
              <w:rPr>
                <w:szCs w:val="20"/>
              </w:rPr>
              <w:t xml:space="preserve"> </w:t>
            </w:r>
            <w:r w:rsidRPr="00311117">
              <w:rPr>
                <w:szCs w:val="20"/>
              </w:rPr>
              <w:t>TV etc.). Access can be via a fixed narrowband, fixed broadband, or via mobile network.</w:t>
            </w:r>
          </w:p>
          <w:p w14:paraId="4611A5FD" w14:textId="77777777" w:rsidR="00221C59" w:rsidRPr="00311117" w:rsidRDefault="00221C59" w:rsidP="00221C59">
            <w:pPr>
              <w:jc w:val="both"/>
              <w:rPr>
                <w:szCs w:val="20"/>
              </w:rPr>
            </w:pPr>
            <w:r w:rsidRPr="00311117">
              <w:rPr>
                <w:i/>
                <w:iCs/>
                <w:szCs w:val="20"/>
              </w:rPr>
              <w:t>Computers for pedagogical use:</w:t>
            </w:r>
            <w:r w:rsidRPr="00311117">
              <w:rPr>
                <w:szCs w:val="20"/>
              </w:rPr>
              <w:t xml:space="preserve"> Use of computers to support course delivery or independent teaching</w:t>
            </w:r>
            <w:r>
              <w:rPr>
                <w:szCs w:val="20"/>
              </w:rPr>
              <w:t xml:space="preserve"> </w:t>
            </w:r>
            <w:r w:rsidRPr="00311117">
              <w:rPr>
                <w:szCs w:val="20"/>
              </w:rPr>
              <w:t>and learning needs. This may include activities using computers or the Internet to meet information</w:t>
            </w:r>
          </w:p>
          <w:p w14:paraId="2E19AF51" w14:textId="77777777" w:rsidR="00221C59" w:rsidRPr="00311117" w:rsidRDefault="00221C59" w:rsidP="00221C59">
            <w:pPr>
              <w:jc w:val="both"/>
              <w:rPr>
                <w:szCs w:val="20"/>
              </w:rPr>
            </w:pPr>
            <w:proofErr w:type="gramStart"/>
            <w:r w:rsidRPr="00311117">
              <w:rPr>
                <w:szCs w:val="20"/>
              </w:rPr>
              <w:t>needs</w:t>
            </w:r>
            <w:proofErr w:type="gramEnd"/>
            <w:r w:rsidRPr="00311117">
              <w:rPr>
                <w:szCs w:val="20"/>
              </w:rPr>
              <w:t xml:space="preserve"> for research purposes; develop presentations; perform hands-on exercises and experiments; share</w:t>
            </w:r>
            <w:r>
              <w:rPr>
                <w:szCs w:val="20"/>
              </w:rPr>
              <w:t xml:space="preserve"> </w:t>
            </w:r>
            <w:r w:rsidRPr="00311117">
              <w:rPr>
                <w:szCs w:val="20"/>
              </w:rPr>
              <w:t>information; and participate in online discussion forums for educational purposes. A computer is a</w:t>
            </w:r>
            <w:r>
              <w:rPr>
                <w:szCs w:val="20"/>
              </w:rPr>
              <w:t xml:space="preserve"> </w:t>
            </w:r>
            <w:r w:rsidRPr="00311117">
              <w:rPr>
                <w:szCs w:val="20"/>
              </w:rPr>
              <w:t>programmable electronic device that can store, retrieve and process data, as well as share information in</w:t>
            </w:r>
            <w:r>
              <w:rPr>
                <w:szCs w:val="20"/>
              </w:rPr>
              <w:t xml:space="preserve"> </w:t>
            </w:r>
            <w:r w:rsidRPr="00311117">
              <w:rPr>
                <w:szCs w:val="20"/>
              </w:rPr>
              <w:t>a highly-structured manner. It performs high-speed mathematical or logical operations according to a set</w:t>
            </w:r>
          </w:p>
          <w:p w14:paraId="2A6794D6" w14:textId="77777777" w:rsidR="00221C59" w:rsidRPr="00311117" w:rsidRDefault="00221C59" w:rsidP="00221C59">
            <w:pPr>
              <w:jc w:val="both"/>
              <w:rPr>
                <w:szCs w:val="20"/>
              </w:rPr>
            </w:pPr>
            <w:proofErr w:type="gramStart"/>
            <w:r w:rsidRPr="00311117">
              <w:rPr>
                <w:szCs w:val="20"/>
              </w:rPr>
              <w:t>of</w:t>
            </w:r>
            <w:proofErr w:type="gramEnd"/>
            <w:r w:rsidRPr="00311117">
              <w:rPr>
                <w:szCs w:val="20"/>
              </w:rPr>
              <w:t xml:space="preserve"> instructions or algorithms. Computers include the following types:</w:t>
            </w:r>
          </w:p>
          <w:p w14:paraId="62C5AA7C" w14:textId="77777777" w:rsidR="00221C59" w:rsidRPr="00311117" w:rsidRDefault="00221C59" w:rsidP="00221C59">
            <w:pPr>
              <w:jc w:val="both"/>
              <w:rPr>
                <w:szCs w:val="20"/>
              </w:rPr>
            </w:pPr>
            <w:r w:rsidRPr="00311117">
              <w:rPr>
                <w:szCs w:val="20"/>
              </w:rPr>
              <w:t xml:space="preserve">- </w:t>
            </w:r>
            <w:r w:rsidRPr="00311117">
              <w:rPr>
                <w:i/>
                <w:iCs/>
                <w:szCs w:val="20"/>
              </w:rPr>
              <w:t>A desktop computer</w:t>
            </w:r>
            <w:r w:rsidRPr="00311117">
              <w:rPr>
                <w:szCs w:val="20"/>
              </w:rPr>
              <w:t xml:space="preserve"> usually remains fixed in one place; normally the user is placed in front of it, behind</w:t>
            </w:r>
          </w:p>
          <w:p w14:paraId="542A4198" w14:textId="77777777" w:rsidR="00221C59" w:rsidRPr="00311117" w:rsidRDefault="00221C59" w:rsidP="00221C59">
            <w:pPr>
              <w:jc w:val="both"/>
              <w:rPr>
                <w:szCs w:val="20"/>
              </w:rPr>
            </w:pPr>
            <w:r w:rsidRPr="00311117">
              <w:rPr>
                <w:szCs w:val="20"/>
              </w:rPr>
              <w:t>the keyboard;</w:t>
            </w:r>
          </w:p>
          <w:p w14:paraId="7423494B" w14:textId="77777777" w:rsidR="00221C59" w:rsidRPr="00311117" w:rsidRDefault="00221C59" w:rsidP="00221C59">
            <w:pPr>
              <w:jc w:val="both"/>
              <w:rPr>
                <w:szCs w:val="20"/>
              </w:rPr>
            </w:pPr>
            <w:r w:rsidRPr="00311117">
              <w:rPr>
                <w:szCs w:val="20"/>
              </w:rPr>
              <w:t xml:space="preserve">- </w:t>
            </w:r>
            <w:r w:rsidRPr="00311117">
              <w:rPr>
                <w:i/>
                <w:iCs/>
                <w:szCs w:val="20"/>
              </w:rPr>
              <w:t>A laptop</w:t>
            </w:r>
            <w:r w:rsidRPr="00311117">
              <w:rPr>
                <w:szCs w:val="20"/>
              </w:rPr>
              <w:t xml:space="preserve"> computer is small enough to carry and usually enables the same tasks as a desktop computer;</w:t>
            </w:r>
          </w:p>
          <w:p w14:paraId="08BFC3BA" w14:textId="77777777" w:rsidR="00221C59" w:rsidRPr="00311117" w:rsidRDefault="00221C59" w:rsidP="00221C59">
            <w:pPr>
              <w:jc w:val="both"/>
              <w:rPr>
                <w:szCs w:val="20"/>
              </w:rPr>
            </w:pPr>
            <w:r w:rsidRPr="00311117">
              <w:rPr>
                <w:szCs w:val="20"/>
              </w:rPr>
              <w:t>it includes notebooks and netbooks but does not include tablets and similar handheld devices; and</w:t>
            </w:r>
          </w:p>
          <w:p w14:paraId="3FC46540" w14:textId="77777777" w:rsidR="00221C59" w:rsidRPr="00311117" w:rsidRDefault="00221C59" w:rsidP="00221C59">
            <w:pPr>
              <w:jc w:val="both"/>
              <w:rPr>
                <w:szCs w:val="20"/>
              </w:rPr>
            </w:pPr>
            <w:r w:rsidRPr="00311117">
              <w:rPr>
                <w:szCs w:val="20"/>
              </w:rPr>
              <w:t xml:space="preserve">- </w:t>
            </w:r>
            <w:r w:rsidRPr="00311117">
              <w:rPr>
                <w:i/>
                <w:iCs/>
                <w:szCs w:val="20"/>
              </w:rPr>
              <w:t>A tablet</w:t>
            </w:r>
            <w:r w:rsidRPr="00311117">
              <w:rPr>
                <w:szCs w:val="20"/>
              </w:rPr>
              <w:t xml:space="preserve"> (or similar handheld computer) is a computer that is integrated into a flat touch screen,</w:t>
            </w:r>
            <w:r>
              <w:rPr>
                <w:szCs w:val="20"/>
              </w:rPr>
              <w:t xml:space="preserve"> </w:t>
            </w:r>
            <w:r w:rsidRPr="00311117">
              <w:rPr>
                <w:szCs w:val="20"/>
              </w:rPr>
              <w:t>operated by touching the screen rather than using a physical keyboard.</w:t>
            </w:r>
          </w:p>
          <w:p w14:paraId="6C6D284E" w14:textId="77777777" w:rsidR="00221C59" w:rsidRDefault="00221C59" w:rsidP="00221C59">
            <w:pPr>
              <w:jc w:val="both"/>
              <w:rPr>
                <w:szCs w:val="20"/>
              </w:rPr>
            </w:pPr>
            <w:r w:rsidRPr="00311117">
              <w:rPr>
                <w:i/>
                <w:iCs/>
                <w:szCs w:val="20"/>
              </w:rPr>
              <w:t>Adapted infrastructure</w:t>
            </w:r>
            <w:r w:rsidRPr="00311117">
              <w:rPr>
                <w:szCs w:val="20"/>
              </w:rPr>
              <w:t xml:space="preserve"> is defined as any built environment related to education facilities that are</w:t>
            </w:r>
            <w:r>
              <w:rPr>
                <w:szCs w:val="20"/>
              </w:rPr>
              <w:t xml:space="preserve"> </w:t>
            </w:r>
            <w:r w:rsidRPr="00311117">
              <w:rPr>
                <w:szCs w:val="20"/>
              </w:rPr>
              <w:t xml:space="preserve">accessible to all users, including those with different types of </w:t>
            </w:r>
            <w:r w:rsidRPr="00311117">
              <w:rPr>
                <w:szCs w:val="20"/>
              </w:rPr>
              <w:lastRenderedPageBreak/>
              <w:t>disability, to be able to gain access to use</w:t>
            </w:r>
            <w:r>
              <w:rPr>
                <w:szCs w:val="20"/>
              </w:rPr>
              <w:t xml:space="preserve"> </w:t>
            </w:r>
            <w:r w:rsidRPr="00311117">
              <w:rPr>
                <w:szCs w:val="20"/>
              </w:rPr>
              <w:t xml:space="preserve">and exit from them. </w:t>
            </w:r>
          </w:p>
          <w:p w14:paraId="32B0334B" w14:textId="77777777" w:rsidR="00221C59" w:rsidRPr="00311117" w:rsidRDefault="00221C59" w:rsidP="00221C59">
            <w:pPr>
              <w:jc w:val="both"/>
              <w:rPr>
                <w:szCs w:val="20"/>
              </w:rPr>
            </w:pPr>
            <w:r w:rsidRPr="00311117">
              <w:rPr>
                <w:i/>
                <w:iCs/>
                <w:szCs w:val="20"/>
              </w:rPr>
              <w:t>Accessibility</w:t>
            </w:r>
            <w:r w:rsidRPr="00311117">
              <w:rPr>
                <w:szCs w:val="20"/>
              </w:rPr>
              <w:t xml:space="preserve"> includes ease of independent approach, entry, evacuation and/or use of</w:t>
            </w:r>
          </w:p>
          <w:p w14:paraId="2CACA0EF" w14:textId="77777777" w:rsidR="00221C59" w:rsidRPr="00311117" w:rsidRDefault="00221C59" w:rsidP="00221C59">
            <w:pPr>
              <w:jc w:val="both"/>
              <w:rPr>
                <w:szCs w:val="20"/>
              </w:rPr>
            </w:pPr>
            <w:proofErr w:type="gramStart"/>
            <w:r w:rsidRPr="00311117">
              <w:rPr>
                <w:szCs w:val="20"/>
              </w:rPr>
              <w:t>a</w:t>
            </w:r>
            <w:proofErr w:type="gramEnd"/>
            <w:r w:rsidRPr="00311117">
              <w:rPr>
                <w:szCs w:val="20"/>
              </w:rPr>
              <w:t xml:space="preserve"> building and its services and facilities (such as water and sanitation), by all of the building's potential</w:t>
            </w:r>
            <w:r>
              <w:rPr>
                <w:szCs w:val="20"/>
              </w:rPr>
              <w:t xml:space="preserve"> </w:t>
            </w:r>
            <w:r w:rsidRPr="00311117">
              <w:rPr>
                <w:szCs w:val="20"/>
              </w:rPr>
              <w:t>users with an assurance of individual health, safety and welfare during the course of those activities.</w:t>
            </w:r>
          </w:p>
          <w:p w14:paraId="75A6BEBF" w14:textId="77777777" w:rsidR="00221C59" w:rsidRPr="00311117" w:rsidRDefault="00221C59" w:rsidP="00221C59">
            <w:pPr>
              <w:jc w:val="both"/>
              <w:rPr>
                <w:szCs w:val="20"/>
              </w:rPr>
            </w:pPr>
            <w:r w:rsidRPr="00311117">
              <w:rPr>
                <w:i/>
                <w:iCs/>
                <w:szCs w:val="20"/>
              </w:rPr>
              <w:t>Adapted materials</w:t>
            </w:r>
            <w:r w:rsidRPr="00311117">
              <w:rPr>
                <w:szCs w:val="20"/>
              </w:rPr>
              <w:t xml:space="preserve"> include learning materials and assistive products that enable students and teachers</w:t>
            </w:r>
            <w:r>
              <w:rPr>
                <w:szCs w:val="20"/>
              </w:rPr>
              <w:t xml:space="preserve"> </w:t>
            </w:r>
            <w:r w:rsidRPr="00311117">
              <w:rPr>
                <w:szCs w:val="20"/>
              </w:rPr>
              <w:t>with disabilities/functioning limitations to access learning and to participate fully in the school</w:t>
            </w:r>
            <w:r>
              <w:rPr>
                <w:szCs w:val="20"/>
              </w:rPr>
              <w:t xml:space="preserve"> </w:t>
            </w:r>
            <w:r w:rsidRPr="00311117">
              <w:rPr>
                <w:szCs w:val="20"/>
              </w:rPr>
              <w:t>environment.</w:t>
            </w:r>
          </w:p>
          <w:p w14:paraId="18F0A1FF" w14:textId="77777777" w:rsidR="00221C59" w:rsidRPr="00311117" w:rsidRDefault="00221C59" w:rsidP="00221C59">
            <w:pPr>
              <w:jc w:val="both"/>
              <w:rPr>
                <w:szCs w:val="20"/>
              </w:rPr>
            </w:pPr>
            <w:r w:rsidRPr="00311117">
              <w:rPr>
                <w:i/>
                <w:iCs/>
                <w:szCs w:val="20"/>
              </w:rPr>
              <w:t>Accessible learning materials</w:t>
            </w:r>
            <w:r w:rsidRPr="00311117">
              <w:rPr>
                <w:szCs w:val="20"/>
              </w:rPr>
              <w:t xml:space="preserve"> include textbooks, instructional materials, assessments and other materials</w:t>
            </w:r>
            <w:r>
              <w:rPr>
                <w:szCs w:val="20"/>
              </w:rPr>
              <w:t xml:space="preserve"> </w:t>
            </w:r>
            <w:r w:rsidRPr="00311117">
              <w:rPr>
                <w:szCs w:val="20"/>
              </w:rPr>
              <w:t>that are available and provided in appropriate formats such as audio, braille, sign language and simplified</w:t>
            </w:r>
            <w:r>
              <w:rPr>
                <w:szCs w:val="20"/>
              </w:rPr>
              <w:t xml:space="preserve"> </w:t>
            </w:r>
            <w:r w:rsidRPr="00311117">
              <w:rPr>
                <w:szCs w:val="20"/>
              </w:rPr>
              <w:t>formats that can be used by students and teachers with disabilities/functioning limitations.</w:t>
            </w:r>
          </w:p>
          <w:p w14:paraId="628369CF" w14:textId="77777777" w:rsidR="00221C59" w:rsidRPr="00311117" w:rsidRDefault="00221C59" w:rsidP="00221C59">
            <w:pPr>
              <w:jc w:val="both"/>
              <w:rPr>
                <w:szCs w:val="20"/>
              </w:rPr>
            </w:pPr>
            <w:r w:rsidRPr="00311117">
              <w:rPr>
                <w:i/>
                <w:iCs/>
                <w:szCs w:val="20"/>
              </w:rPr>
              <w:t>Basic drinking water</w:t>
            </w:r>
            <w:r w:rsidRPr="00311117">
              <w:rPr>
                <w:szCs w:val="20"/>
              </w:rPr>
              <w:t xml:space="preserve"> is defined as a functional drinking water source (MDG ‘improved’ categories) on or</w:t>
            </w:r>
            <w:r>
              <w:rPr>
                <w:szCs w:val="20"/>
              </w:rPr>
              <w:t xml:space="preserve"> </w:t>
            </w:r>
            <w:r w:rsidRPr="00311117">
              <w:rPr>
                <w:szCs w:val="20"/>
              </w:rPr>
              <w:t>near the premises and water points accessible to all users during school hours.</w:t>
            </w:r>
          </w:p>
          <w:p w14:paraId="667F108D" w14:textId="77777777" w:rsidR="00221C59" w:rsidRPr="00311117" w:rsidRDefault="00221C59" w:rsidP="00221C59">
            <w:pPr>
              <w:jc w:val="both"/>
              <w:rPr>
                <w:szCs w:val="20"/>
              </w:rPr>
            </w:pPr>
            <w:r w:rsidRPr="00311117">
              <w:rPr>
                <w:i/>
                <w:iCs/>
                <w:szCs w:val="20"/>
              </w:rPr>
              <w:t>Basic sanitation facilities</w:t>
            </w:r>
            <w:r w:rsidRPr="00311117">
              <w:rPr>
                <w:szCs w:val="20"/>
              </w:rPr>
              <w:t xml:space="preserve"> are defined as functional sanitation facilities (MDG ‘improved’ categories)</w:t>
            </w:r>
            <w:r>
              <w:rPr>
                <w:szCs w:val="20"/>
              </w:rPr>
              <w:t xml:space="preserve"> </w:t>
            </w:r>
            <w:r w:rsidRPr="00311117">
              <w:rPr>
                <w:szCs w:val="20"/>
              </w:rPr>
              <w:t>separated for males and females on or near the premises.</w:t>
            </w:r>
          </w:p>
          <w:p w14:paraId="33AACFB5" w14:textId="77777777" w:rsidR="00221C59" w:rsidRDefault="00221C59" w:rsidP="00221C59">
            <w:pPr>
              <w:jc w:val="both"/>
              <w:rPr>
                <w:szCs w:val="20"/>
              </w:rPr>
            </w:pPr>
            <w:r w:rsidRPr="00311117">
              <w:rPr>
                <w:i/>
                <w:iCs/>
                <w:szCs w:val="20"/>
              </w:rPr>
              <w:t>Basic handwashing facilities</w:t>
            </w:r>
            <w:r w:rsidRPr="00311117">
              <w:rPr>
                <w:szCs w:val="20"/>
              </w:rPr>
              <w:t xml:space="preserve"> are defined as functional handwashing facilities, with soap and water</w:t>
            </w:r>
            <w:r>
              <w:rPr>
                <w:szCs w:val="20"/>
              </w:rPr>
              <w:t xml:space="preserve"> </w:t>
            </w:r>
            <w:r w:rsidRPr="00311117">
              <w:rPr>
                <w:szCs w:val="20"/>
              </w:rPr>
              <w:t>available to all girls and boys.</w:t>
            </w:r>
          </w:p>
          <w:p w14:paraId="3AEF2E77" w14:textId="77777777" w:rsidR="00221C59" w:rsidRDefault="00221C59" w:rsidP="00221C59">
            <w:pPr>
              <w:jc w:val="both"/>
              <w:rPr>
                <w:b/>
                <w:bCs/>
                <w:szCs w:val="20"/>
              </w:rPr>
            </w:pPr>
          </w:p>
          <w:p w14:paraId="04D671A9" w14:textId="77777777" w:rsidR="00221C59" w:rsidRPr="00311117" w:rsidRDefault="00221C59" w:rsidP="00221C59">
            <w:pPr>
              <w:jc w:val="both"/>
              <w:rPr>
                <w:b/>
                <w:bCs/>
                <w:szCs w:val="20"/>
              </w:rPr>
            </w:pPr>
            <w:r w:rsidRPr="00311117">
              <w:rPr>
                <w:b/>
                <w:bCs/>
                <w:szCs w:val="20"/>
              </w:rPr>
              <w:t>Computation Method:</w:t>
            </w:r>
          </w:p>
          <w:p w14:paraId="31D31F7C" w14:textId="77777777" w:rsidR="00221C59" w:rsidRDefault="00221C59" w:rsidP="00221C59">
            <w:pPr>
              <w:jc w:val="both"/>
              <w:rPr>
                <w:szCs w:val="20"/>
              </w:rPr>
            </w:pPr>
            <w:r w:rsidRPr="00311117">
              <w:rPr>
                <w:szCs w:val="20"/>
              </w:rPr>
              <w:t>The number of schools in a given level of education with access to the relevant facilities is expressed as a</w:t>
            </w:r>
            <w:r>
              <w:rPr>
                <w:szCs w:val="20"/>
              </w:rPr>
              <w:t xml:space="preserve"> </w:t>
            </w:r>
            <w:r w:rsidRPr="00311117">
              <w:rPr>
                <w:szCs w:val="20"/>
              </w:rPr>
              <w:t>percentage of all schools at that level of education.</w:t>
            </w:r>
          </w:p>
          <w:p w14:paraId="0B6BAFA4" w14:textId="77777777" w:rsidR="00221C59" w:rsidRPr="00311117" w:rsidRDefault="00221C59" w:rsidP="00221C59">
            <w:pPr>
              <w:jc w:val="both"/>
              <w:rPr>
                <w:szCs w:val="20"/>
              </w:rPr>
            </w:pPr>
          </w:p>
          <w:p w14:paraId="3D3DE704" w14:textId="77777777" w:rsidR="00221C59" w:rsidRPr="00835856" w:rsidRDefault="00221C59" w:rsidP="00221C59">
            <w:pPr>
              <w:jc w:val="both"/>
              <w:rPr>
                <w:szCs w:val="20"/>
              </w:rPr>
            </w:pPr>
            <w:r w:rsidRPr="00335F4B">
              <w:rPr>
                <w:szCs w:val="20"/>
              </w:rPr>
              <w:t>PSn,f = Sn,f</w:t>
            </w:r>
          </w:p>
          <w:p w14:paraId="0AD46663" w14:textId="77777777" w:rsidR="00221C59" w:rsidRPr="005B08BC" w:rsidRDefault="00221C59" w:rsidP="00221C59">
            <w:pPr>
              <w:jc w:val="both"/>
              <w:rPr>
                <w:szCs w:val="20"/>
              </w:rPr>
            </w:pPr>
            <w:r w:rsidRPr="00835856">
              <w:rPr>
                <w:szCs w:val="20"/>
              </w:rPr>
              <w:t>Sn</w:t>
            </w:r>
          </w:p>
          <w:p w14:paraId="1168A6F4" w14:textId="77777777" w:rsidR="00221C59" w:rsidRPr="005B08BC" w:rsidRDefault="00221C59" w:rsidP="00221C59">
            <w:pPr>
              <w:jc w:val="both"/>
              <w:rPr>
                <w:b/>
                <w:bCs/>
                <w:szCs w:val="20"/>
              </w:rPr>
            </w:pPr>
          </w:p>
          <w:p w14:paraId="76D9A0F3" w14:textId="77777777" w:rsidR="00221C59" w:rsidRPr="00DB4E11" w:rsidRDefault="00221C59" w:rsidP="00221C59">
            <w:pPr>
              <w:jc w:val="both"/>
              <w:rPr>
                <w:szCs w:val="20"/>
              </w:rPr>
            </w:pPr>
            <w:r w:rsidRPr="00DB4E11">
              <w:rPr>
                <w:szCs w:val="20"/>
              </w:rPr>
              <w:t>Where:</w:t>
            </w:r>
          </w:p>
          <w:p w14:paraId="160080F7" w14:textId="77777777" w:rsidR="00221C59" w:rsidRPr="000C4849" w:rsidRDefault="00221C59" w:rsidP="00221C59">
            <w:pPr>
              <w:jc w:val="both"/>
              <w:rPr>
                <w:iCs/>
                <w:sz w:val="18"/>
                <w:szCs w:val="18"/>
              </w:rPr>
            </w:pPr>
            <w:r w:rsidRPr="000C4849">
              <w:rPr>
                <w:iCs/>
                <w:sz w:val="18"/>
                <w:szCs w:val="18"/>
              </w:rPr>
              <w:t>PSn,f= percentage of schools at level n of education with access to facility f</w:t>
            </w:r>
          </w:p>
          <w:p w14:paraId="2C6052C8" w14:textId="77777777" w:rsidR="00221C59" w:rsidRPr="000C4849" w:rsidRDefault="00221C59" w:rsidP="00221C59">
            <w:pPr>
              <w:jc w:val="both"/>
              <w:rPr>
                <w:iCs/>
                <w:sz w:val="18"/>
                <w:szCs w:val="18"/>
              </w:rPr>
            </w:pPr>
            <w:r w:rsidRPr="000C4849">
              <w:rPr>
                <w:iCs/>
                <w:sz w:val="18"/>
                <w:szCs w:val="18"/>
              </w:rPr>
              <w:t>Sn,f= schools at level n of education with access to facility f</w:t>
            </w:r>
          </w:p>
          <w:p w14:paraId="06548E56" w14:textId="77777777" w:rsidR="00221C59" w:rsidRPr="00DB041D" w:rsidRDefault="00221C59" w:rsidP="00221C59">
            <w:pPr>
              <w:jc w:val="both"/>
              <w:rPr>
                <w:b/>
                <w:bCs/>
                <w:szCs w:val="20"/>
              </w:rPr>
            </w:pPr>
            <w:r w:rsidRPr="000C4849">
              <w:rPr>
                <w:iCs/>
                <w:sz w:val="18"/>
                <w:szCs w:val="18"/>
              </w:rPr>
              <w:t>Sn= total number of schools at level n of education</w:t>
            </w:r>
          </w:p>
        </w:tc>
        <w:tc>
          <w:tcPr>
            <w:tcW w:w="0" w:type="auto"/>
            <w:shd w:val="clear" w:color="auto" w:fill="auto"/>
          </w:tcPr>
          <w:p w14:paraId="74E53E40" w14:textId="77777777" w:rsidR="00221C59" w:rsidRDefault="00221C59" w:rsidP="00221C59">
            <w:pPr>
              <w:jc w:val="center"/>
              <w:rPr>
                <w:bCs/>
                <w:szCs w:val="20"/>
              </w:rPr>
            </w:pPr>
            <w:r w:rsidRPr="00311117">
              <w:rPr>
                <w:bCs/>
                <w:szCs w:val="20"/>
              </w:rPr>
              <w:lastRenderedPageBreak/>
              <w:t>Administrati</w:t>
            </w:r>
            <w:r w:rsidRPr="00311117">
              <w:rPr>
                <w:bCs/>
                <w:szCs w:val="20"/>
              </w:rPr>
              <w:lastRenderedPageBreak/>
              <w:t>ve data from schools and other providers of education or training</w:t>
            </w:r>
          </w:p>
        </w:tc>
        <w:tc>
          <w:tcPr>
            <w:tcW w:w="0" w:type="auto"/>
            <w:shd w:val="clear" w:color="auto" w:fill="auto"/>
          </w:tcPr>
          <w:p w14:paraId="19920242" w14:textId="77777777" w:rsidR="00221C59" w:rsidRDefault="00221C59" w:rsidP="00221C59">
            <w:pPr>
              <w:jc w:val="center"/>
              <w:rPr>
                <w:bCs/>
                <w:szCs w:val="20"/>
              </w:rPr>
            </w:pPr>
            <w:r>
              <w:rPr>
                <w:bCs/>
                <w:szCs w:val="20"/>
              </w:rPr>
              <w:lastRenderedPageBreak/>
              <w:t xml:space="preserve">Ministry of </w:t>
            </w:r>
            <w:r>
              <w:rPr>
                <w:bCs/>
                <w:szCs w:val="20"/>
              </w:rPr>
              <w:lastRenderedPageBreak/>
              <w:t xml:space="preserve">Education; </w:t>
            </w:r>
          </w:p>
          <w:p w14:paraId="116D4BC3" w14:textId="77777777" w:rsidR="00221C59" w:rsidRDefault="00221C59" w:rsidP="00221C59">
            <w:pPr>
              <w:jc w:val="center"/>
              <w:rPr>
                <w:bCs/>
                <w:szCs w:val="20"/>
              </w:rPr>
            </w:pPr>
            <w:r>
              <w:rPr>
                <w:bCs/>
                <w:szCs w:val="20"/>
              </w:rPr>
              <w:t>National Statistical Office</w:t>
            </w:r>
          </w:p>
        </w:tc>
        <w:tc>
          <w:tcPr>
            <w:tcW w:w="0" w:type="auto"/>
            <w:shd w:val="clear" w:color="auto" w:fill="auto"/>
          </w:tcPr>
          <w:p w14:paraId="2CE6A375" w14:textId="7F0C40E0" w:rsidR="00221C59" w:rsidRDefault="00221C59" w:rsidP="00221C59">
            <w:pPr>
              <w:ind w:left="72" w:hanging="72"/>
              <w:rPr>
                <w:bCs/>
                <w:szCs w:val="20"/>
              </w:rPr>
            </w:pPr>
          </w:p>
          <w:p w14:paraId="27198A5C" w14:textId="77777777" w:rsidR="00221C59" w:rsidRDefault="00221C59" w:rsidP="00221C59">
            <w:pPr>
              <w:ind w:left="72" w:hanging="72"/>
              <w:rPr>
                <w:bCs/>
                <w:szCs w:val="20"/>
              </w:rPr>
            </w:pPr>
            <w:r w:rsidRPr="00CF4AFA">
              <w:rPr>
                <w:color w:val="FF0000"/>
                <w:szCs w:val="20"/>
              </w:rPr>
              <w:lastRenderedPageBreak/>
              <w:t>Primary: APSC Secondary: BES</w:t>
            </w:r>
          </w:p>
        </w:tc>
        <w:tc>
          <w:tcPr>
            <w:tcW w:w="0" w:type="auto"/>
            <w:shd w:val="clear" w:color="auto" w:fill="auto"/>
          </w:tcPr>
          <w:p w14:paraId="19DDB082" w14:textId="77777777" w:rsidR="00221C59" w:rsidRDefault="00221C59" w:rsidP="00221C59">
            <w:pPr>
              <w:ind w:left="72" w:hanging="72"/>
              <w:rPr>
                <w:bCs/>
                <w:szCs w:val="20"/>
              </w:rPr>
            </w:pPr>
            <w:r w:rsidRPr="00311117">
              <w:rPr>
                <w:bCs/>
                <w:szCs w:val="20"/>
              </w:rPr>
              <w:lastRenderedPageBreak/>
              <w:t xml:space="preserve">a) </w:t>
            </w:r>
            <w:r>
              <w:rPr>
                <w:bCs/>
                <w:szCs w:val="20"/>
              </w:rPr>
              <w:t xml:space="preserve">BES, </w:t>
            </w:r>
            <w:r w:rsidRPr="00311117">
              <w:rPr>
                <w:bCs/>
                <w:szCs w:val="20"/>
              </w:rPr>
              <w:t>BANBEIS</w:t>
            </w:r>
          </w:p>
          <w:p w14:paraId="68C930D5" w14:textId="77777777" w:rsidR="00221C59" w:rsidRPr="00311117" w:rsidRDefault="00221C59" w:rsidP="00221C59">
            <w:pPr>
              <w:ind w:left="72" w:hanging="72"/>
              <w:rPr>
                <w:bCs/>
                <w:szCs w:val="20"/>
              </w:rPr>
            </w:pPr>
            <w:r>
              <w:rPr>
                <w:bCs/>
                <w:szCs w:val="20"/>
              </w:rPr>
              <w:lastRenderedPageBreak/>
              <w:t>b) SHED</w:t>
            </w:r>
          </w:p>
          <w:p w14:paraId="096351C5" w14:textId="1421C644" w:rsidR="00221C59" w:rsidRPr="00311117" w:rsidRDefault="00221C59" w:rsidP="00221C59">
            <w:pPr>
              <w:ind w:left="72" w:hanging="72"/>
              <w:rPr>
                <w:bCs/>
                <w:szCs w:val="20"/>
              </w:rPr>
            </w:pPr>
            <w:r>
              <w:rPr>
                <w:bCs/>
                <w:szCs w:val="20"/>
              </w:rPr>
              <w:t>c</w:t>
            </w:r>
            <w:r w:rsidRPr="00311117">
              <w:rPr>
                <w:bCs/>
                <w:szCs w:val="20"/>
              </w:rPr>
              <w:t>) APSC</w:t>
            </w:r>
            <w:r>
              <w:rPr>
                <w:bCs/>
                <w:szCs w:val="20"/>
              </w:rPr>
              <w:t>, DPE</w:t>
            </w:r>
            <w:r w:rsidRPr="00311117">
              <w:rPr>
                <w:bCs/>
                <w:szCs w:val="20"/>
              </w:rPr>
              <w:t xml:space="preserve"> </w:t>
            </w:r>
          </w:p>
          <w:p w14:paraId="4244A5BE" w14:textId="618AA505" w:rsidR="00221C59" w:rsidRDefault="00221C59" w:rsidP="00221C59">
            <w:pPr>
              <w:ind w:left="72" w:hanging="72"/>
              <w:rPr>
                <w:bCs/>
                <w:szCs w:val="20"/>
              </w:rPr>
            </w:pPr>
          </w:p>
        </w:tc>
        <w:tc>
          <w:tcPr>
            <w:tcW w:w="0" w:type="auto"/>
            <w:shd w:val="clear" w:color="auto" w:fill="auto"/>
          </w:tcPr>
          <w:p w14:paraId="5E97462F" w14:textId="7C759242" w:rsidR="00221C59" w:rsidRDefault="00221C59" w:rsidP="00221C59">
            <w:pPr>
              <w:pStyle w:val="ListParagraph"/>
              <w:numPr>
                <w:ilvl w:val="0"/>
                <w:numId w:val="2"/>
              </w:numPr>
              <w:ind w:left="133" w:hanging="133"/>
              <w:rPr>
                <w:rFonts w:ascii="Tw Cen MT Condensed" w:hAnsi="Tw Cen MT Condensed"/>
                <w:bCs/>
                <w:sz w:val="20"/>
                <w:szCs w:val="20"/>
              </w:rPr>
            </w:pPr>
            <w:r w:rsidRPr="00311117">
              <w:rPr>
                <w:rFonts w:ascii="Tw Cen MT Condensed" w:hAnsi="Tw Cen MT Condensed"/>
                <w:bCs/>
                <w:sz w:val="20"/>
                <w:szCs w:val="20"/>
              </w:rPr>
              <w:lastRenderedPageBreak/>
              <w:t xml:space="preserve">Level of </w:t>
            </w:r>
            <w:r w:rsidRPr="00311117">
              <w:rPr>
                <w:rFonts w:ascii="Tw Cen MT Condensed" w:hAnsi="Tw Cen MT Condensed"/>
                <w:bCs/>
                <w:sz w:val="20"/>
                <w:szCs w:val="20"/>
              </w:rPr>
              <w:lastRenderedPageBreak/>
              <w:t>education</w:t>
            </w:r>
            <w:r w:rsidR="000E716D">
              <w:rPr>
                <w:rFonts w:ascii="Tw Cen MT Condensed" w:hAnsi="Tw Cen MT Condensed"/>
                <w:bCs/>
                <w:sz w:val="20"/>
                <w:szCs w:val="20"/>
              </w:rPr>
              <w:t>: Primary, Secodnary/ Higher</w:t>
            </w:r>
          </w:p>
        </w:tc>
        <w:tc>
          <w:tcPr>
            <w:tcW w:w="0" w:type="auto"/>
            <w:shd w:val="clear" w:color="auto" w:fill="auto"/>
          </w:tcPr>
          <w:p w14:paraId="6C6C62F2" w14:textId="77777777" w:rsidR="00221C59" w:rsidRDefault="00221C59" w:rsidP="00221C59">
            <w:pPr>
              <w:jc w:val="center"/>
              <w:rPr>
                <w:bCs/>
                <w:szCs w:val="20"/>
              </w:rPr>
            </w:pPr>
            <w:r>
              <w:rPr>
                <w:bCs/>
                <w:szCs w:val="20"/>
              </w:rPr>
              <w:lastRenderedPageBreak/>
              <w:t>Annual</w:t>
            </w:r>
          </w:p>
        </w:tc>
        <w:tc>
          <w:tcPr>
            <w:tcW w:w="0" w:type="auto"/>
            <w:shd w:val="clear" w:color="auto" w:fill="auto"/>
          </w:tcPr>
          <w:p w14:paraId="151CD102" w14:textId="77777777" w:rsidR="00221C59" w:rsidRDefault="00221C59" w:rsidP="00221C59">
            <w:pPr>
              <w:jc w:val="center"/>
              <w:rPr>
                <w:bCs/>
                <w:szCs w:val="20"/>
              </w:rPr>
            </w:pPr>
            <w:r>
              <w:rPr>
                <w:bCs/>
                <w:szCs w:val="20"/>
              </w:rPr>
              <w:t>Group 2</w:t>
            </w:r>
          </w:p>
        </w:tc>
        <w:tc>
          <w:tcPr>
            <w:tcW w:w="0" w:type="auto"/>
            <w:shd w:val="clear" w:color="auto" w:fill="auto"/>
          </w:tcPr>
          <w:p w14:paraId="0D8AED35" w14:textId="77777777" w:rsidR="00221C59" w:rsidRDefault="00221C59" w:rsidP="00221C59">
            <w:pPr>
              <w:pStyle w:val="NoSpacing"/>
            </w:pPr>
            <w:r>
              <w:t>1</w:t>
            </w:r>
            <w:r w:rsidRPr="00013ACB">
              <w:rPr>
                <w:vertAlign w:val="superscript"/>
              </w:rPr>
              <w:t>st</w:t>
            </w:r>
            <w:r>
              <w:t xml:space="preserve"> </w:t>
            </w:r>
            <w:r>
              <w:lastRenderedPageBreak/>
              <w:t xml:space="preserve">Round: </w:t>
            </w:r>
          </w:p>
          <w:p w14:paraId="25BAB590" w14:textId="77777777" w:rsidR="00221C59" w:rsidRDefault="00221C59" w:rsidP="00221C59">
            <w:pPr>
              <w:pStyle w:val="NoSpacing"/>
            </w:pPr>
            <w:r>
              <w:t>2017</w:t>
            </w:r>
          </w:p>
          <w:p w14:paraId="06D42EB5" w14:textId="77777777" w:rsidR="00221C59" w:rsidRDefault="00221C59" w:rsidP="00221C59">
            <w:pPr>
              <w:pStyle w:val="NoSpacing"/>
            </w:pPr>
            <w:r>
              <w:t>2</w:t>
            </w:r>
            <w:r w:rsidRPr="00013ACB">
              <w:rPr>
                <w:vertAlign w:val="superscript"/>
              </w:rPr>
              <w:t>nd</w:t>
            </w:r>
            <w:r>
              <w:t xml:space="preserve"> Round: December</w:t>
            </w:r>
            <w:r>
              <w:br/>
              <w:t>2020</w:t>
            </w:r>
          </w:p>
          <w:p w14:paraId="15107D9E" w14:textId="77777777" w:rsidR="00221C59" w:rsidRDefault="00221C59" w:rsidP="00221C59">
            <w:pPr>
              <w:pStyle w:val="NoSpacing"/>
            </w:pPr>
          </w:p>
          <w:p w14:paraId="34AFE227" w14:textId="77777777" w:rsidR="00221C59" w:rsidRDefault="00221C59" w:rsidP="00221C59">
            <w:pPr>
              <w:pStyle w:val="NoSpacing"/>
            </w:pPr>
            <w:r>
              <w:t>3</w:t>
            </w:r>
            <w:r w:rsidRPr="00013ACB">
              <w:rPr>
                <w:vertAlign w:val="superscript"/>
              </w:rPr>
              <w:t>rd</w:t>
            </w:r>
            <w:r>
              <w:t xml:space="preserve"> Round: </w:t>
            </w:r>
          </w:p>
          <w:p w14:paraId="5A83BE25" w14:textId="77777777" w:rsidR="00221C59" w:rsidRDefault="00221C59" w:rsidP="00221C59">
            <w:pPr>
              <w:pStyle w:val="NoSpacing"/>
            </w:pPr>
            <w:r>
              <w:t>December</w:t>
            </w:r>
            <w:r>
              <w:br/>
              <w:t>2021</w:t>
            </w:r>
          </w:p>
          <w:p w14:paraId="0B227254" w14:textId="77777777" w:rsidR="00221C59" w:rsidRDefault="00221C59" w:rsidP="00221C59">
            <w:pPr>
              <w:pStyle w:val="NoSpacing"/>
            </w:pPr>
            <w:r>
              <w:t>4</w:t>
            </w:r>
            <w:r w:rsidRPr="00013ACB">
              <w:rPr>
                <w:vertAlign w:val="superscript"/>
              </w:rPr>
              <w:t>th</w:t>
            </w:r>
            <w:r>
              <w:t xml:space="preserve"> Round: </w:t>
            </w:r>
          </w:p>
          <w:p w14:paraId="4388AEAC" w14:textId="77777777" w:rsidR="00221C59" w:rsidRDefault="00221C59" w:rsidP="00221C59">
            <w:pPr>
              <w:pStyle w:val="NoSpacing"/>
            </w:pPr>
            <w:r>
              <w:t>December</w:t>
            </w:r>
            <w:r>
              <w:br/>
              <w:t>2022</w:t>
            </w:r>
          </w:p>
          <w:p w14:paraId="6DA1D220" w14:textId="77777777" w:rsidR="00221C59" w:rsidRDefault="00221C59" w:rsidP="00221C59">
            <w:pPr>
              <w:pStyle w:val="NoSpacing"/>
            </w:pPr>
            <w:r>
              <w:t>5</w:t>
            </w:r>
            <w:r w:rsidRPr="00013ACB">
              <w:rPr>
                <w:vertAlign w:val="superscript"/>
              </w:rPr>
              <w:t>th</w:t>
            </w:r>
            <w:r>
              <w:t xml:space="preserve"> Round: </w:t>
            </w:r>
          </w:p>
          <w:p w14:paraId="74070710" w14:textId="1EE9AB8D" w:rsidR="00221C59" w:rsidRPr="007A64DC" w:rsidRDefault="00221C59" w:rsidP="00221C59">
            <w:pPr>
              <w:pStyle w:val="NoSpacing"/>
            </w:pPr>
            <w:r>
              <w:t>December</w:t>
            </w:r>
            <w:r>
              <w:br/>
              <w:t>2023</w:t>
            </w:r>
          </w:p>
        </w:tc>
        <w:tc>
          <w:tcPr>
            <w:tcW w:w="0" w:type="auto"/>
            <w:shd w:val="clear" w:color="auto" w:fill="auto"/>
          </w:tcPr>
          <w:p w14:paraId="4CA6F150" w14:textId="77777777" w:rsidR="00221C59" w:rsidRDefault="00221C59" w:rsidP="00221C59">
            <w:pPr>
              <w:pStyle w:val="NoSpacing"/>
            </w:pPr>
            <w:r w:rsidRPr="000A0E9F">
              <w:lastRenderedPageBreak/>
              <w:t xml:space="preserve">IAEG-SDG 3rd </w:t>
            </w:r>
            <w:r w:rsidRPr="000A0E9F">
              <w:lastRenderedPageBreak/>
              <w:t>meeting: Lack of sufficient data coverage (classified as Tier II)</w:t>
            </w:r>
          </w:p>
        </w:tc>
      </w:tr>
      <w:tr w:rsidR="0085651F" w14:paraId="7FE75CA3" w14:textId="77777777" w:rsidTr="0085651F">
        <w:tc>
          <w:tcPr>
            <w:tcW w:w="17162" w:type="dxa"/>
            <w:gridSpan w:val="13"/>
            <w:shd w:val="clear" w:color="auto" w:fill="auto"/>
          </w:tcPr>
          <w:p w14:paraId="137EBB62" w14:textId="77777777" w:rsidR="0085651F" w:rsidRPr="00311117" w:rsidRDefault="0085651F" w:rsidP="00221C59">
            <w:pPr>
              <w:ind w:left="970" w:hanging="970"/>
              <w:jc w:val="both"/>
              <w:rPr>
                <w:color w:val="C00000"/>
                <w:sz w:val="30"/>
                <w:szCs w:val="30"/>
              </w:rPr>
            </w:pPr>
            <w:r>
              <w:rPr>
                <w:color w:val="C00000"/>
                <w:sz w:val="30"/>
                <w:szCs w:val="30"/>
              </w:rPr>
              <w:lastRenderedPageBreak/>
              <w:t xml:space="preserve">Target </w:t>
            </w:r>
            <w:r w:rsidRPr="00311117">
              <w:rPr>
                <w:color w:val="C00000"/>
                <w:sz w:val="30"/>
                <w:szCs w:val="30"/>
              </w:rPr>
              <w:t>4.b 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p>
        </w:tc>
      </w:tr>
      <w:tr w:rsidR="000E716D" w14:paraId="658C2646" w14:textId="77777777" w:rsidTr="0085651F">
        <w:tc>
          <w:tcPr>
            <w:tcW w:w="1101" w:type="dxa"/>
            <w:shd w:val="clear" w:color="auto" w:fill="auto"/>
          </w:tcPr>
          <w:p w14:paraId="69D9E8B3" w14:textId="77777777" w:rsidR="00221C59" w:rsidRPr="00311117" w:rsidRDefault="00221C59" w:rsidP="00221C59">
            <w:pPr>
              <w:jc w:val="both"/>
              <w:rPr>
                <w:szCs w:val="20"/>
              </w:rPr>
            </w:pPr>
            <w:r w:rsidRPr="00311117">
              <w:rPr>
                <w:szCs w:val="20"/>
              </w:rPr>
              <w:t xml:space="preserve">4.b.1 Volume </w:t>
            </w:r>
            <w:r w:rsidRPr="00311117">
              <w:rPr>
                <w:szCs w:val="20"/>
              </w:rPr>
              <w:lastRenderedPageBreak/>
              <w:t>of official development assistance flows for scholarships by sector and type of study</w:t>
            </w:r>
          </w:p>
        </w:tc>
        <w:tc>
          <w:tcPr>
            <w:tcW w:w="854" w:type="dxa"/>
            <w:shd w:val="clear" w:color="auto" w:fill="auto"/>
          </w:tcPr>
          <w:p w14:paraId="67C1153C" w14:textId="77777777" w:rsidR="00221C59" w:rsidRDefault="00221C59" w:rsidP="00221C59">
            <w:pPr>
              <w:jc w:val="center"/>
              <w:rPr>
                <w:b/>
                <w:bCs/>
                <w:sz w:val="22"/>
                <w:szCs w:val="22"/>
                <w:lang w:bidi="bn-BD"/>
              </w:rPr>
            </w:pPr>
            <w:r w:rsidRPr="00311117">
              <w:rPr>
                <w:sz w:val="22"/>
                <w:szCs w:val="22"/>
                <w:lang w:bidi="bn-BD"/>
              </w:rPr>
              <w:lastRenderedPageBreak/>
              <w:t>OECD</w:t>
            </w:r>
            <w:r w:rsidRPr="00DB041D">
              <w:rPr>
                <w:b/>
                <w:bCs/>
                <w:sz w:val="22"/>
                <w:szCs w:val="22"/>
                <w:lang w:bidi="bn-BD"/>
              </w:rPr>
              <w:t xml:space="preserve"> </w:t>
            </w:r>
          </w:p>
          <w:p w14:paraId="75588273" w14:textId="77777777" w:rsidR="00221C59" w:rsidRDefault="00221C59" w:rsidP="00221C59">
            <w:pPr>
              <w:jc w:val="center"/>
              <w:rPr>
                <w:b/>
                <w:bCs/>
                <w:sz w:val="22"/>
                <w:szCs w:val="22"/>
                <w:lang w:bidi="bn-BD"/>
              </w:rPr>
            </w:pPr>
          </w:p>
          <w:p w14:paraId="5F9165F2" w14:textId="77777777" w:rsidR="00221C59" w:rsidRPr="00311117" w:rsidRDefault="00221C59" w:rsidP="00221C59">
            <w:pPr>
              <w:jc w:val="center"/>
              <w:rPr>
                <w:b/>
                <w:bCs/>
                <w:sz w:val="22"/>
                <w:szCs w:val="22"/>
                <w:lang w:bidi="bn-BD"/>
              </w:rPr>
            </w:pPr>
            <w:r w:rsidRPr="00DB041D">
              <w:rPr>
                <w:b/>
                <w:bCs/>
                <w:sz w:val="22"/>
                <w:szCs w:val="22"/>
                <w:lang w:bidi="bn-BD"/>
              </w:rPr>
              <w:t>Partner agencies:</w:t>
            </w:r>
            <w:r w:rsidRPr="00311117">
              <w:rPr>
                <w:sz w:val="22"/>
                <w:szCs w:val="22"/>
                <w:lang w:bidi="bn-BD"/>
              </w:rPr>
              <w:t xml:space="preserve"> UNESCO-UIS</w:t>
            </w:r>
          </w:p>
        </w:tc>
        <w:tc>
          <w:tcPr>
            <w:tcW w:w="0" w:type="auto"/>
            <w:shd w:val="clear" w:color="auto" w:fill="auto"/>
          </w:tcPr>
          <w:p w14:paraId="6800CB9B" w14:textId="77777777" w:rsidR="00221C59" w:rsidRDefault="00221C59" w:rsidP="00221C59">
            <w:pPr>
              <w:jc w:val="center"/>
              <w:rPr>
                <w:szCs w:val="20"/>
              </w:rPr>
            </w:pPr>
            <w:r>
              <w:rPr>
                <w:szCs w:val="20"/>
              </w:rPr>
              <w:lastRenderedPageBreak/>
              <w:t>Tier I</w:t>
            </w:r>
          </w:p>
        </w:tc>
        <w:tc>
          <w:tcPr>
            <w:tcW w:w="0" w:type="auto"/>
            <w:shd w:val="clear" w:color="auto" w:fill="auto"/>
          </w:tcPr>
          <w:p w14:paraId="018FD939" w14:textId="77777777" w:rsidR="00221C59" w:rsidRDefault="00221C59" w:rsidP="00221C59">
            <w:pPr>
              <w:jc w:val="both"/>
              <w:rPr>
                <w:b/>
                <w:bCs/>
                <w:szCs w:val="20"/>
              </w:rPr>
            </w:pPr>
            <w:r w:rsidRPr="00311117">
              <w:rPr>
                <w:b/>
                <w:bCs/>
                <w:szCs w:val="20"/>
              </w:rPr>
              <w:t xml:space="preserve">Definition: </w:t>
            </w:r>
          </w:p>
          <w:p w14:paraId="068D0001" w14:textId="77777777" w:rsidR="00221C59" w:rsidRDefault="00221C59" w:rsidP="00221C59">
            <w:pPr>
              <w:jc w:val="both"/>
              <w:rPr>
                <w:szCs w:val="20"/>
              </w:rPr>
            </w:pPr>
            <w:r w:rsidRPr="00311117">
              <w:rPr>
                <w:szCs w:val="20"/>
              </w:rPr>
              <w:lastRenderedPageBreak/>
              <w:t>Gross disbursements of total ODA from all donors for scholarships.</w:t>
            </w:r>
          </w:p>
          <w:p w14:paraId="6A45E4DA" w14:textId="77777777" w:rsidR="00221C59" w:rsidRDefault="00221C59" w:rsidP="00221C59">
            <w:pPr>
              <w:jc w:val="both"/>
              <w:rPr>
                <w:szCs w:val="20"/>
              </w:rPr>
            </w:pPr>
          </w:p>
          <w:p w14:paraId="16697744" w14:textId="77777777" w:rsidR="00221C59" w:rsidRPr="00311117" w:rsidRDefault="00221C59" w:rsidP="00221C59">
            <w:pPr>
              <w:jc w:val="both"/>
              <w:rPr>
                <w:b/>
                <w:bCs/>
                <w:szCs w:val="20"/>
              </w:rPr>
            </w:pPr>
            <w:r w:rsidRPr="00311117">
              <w:rPr>
                <w:b/>
                <w:bCs/>
                <w:szCs w:val="20"/>
              </w:rPr>
              <w:t xml:space="preserve">Concepts: </w:t>
            </w:r>
          </w:p>
          <w:p w14:paraId="67112DCA" w14:textId="77777777" w:rsidR="00221C59" w:rsidRDefault="00221C59" w:rsidP="00221C59">
            <w:pPr>
              <w:jc w:val="both"/>
              <w:rPr>
                <w:szCs w:val="20"/>
              </w:rPr>
            </w:pPr>
            <w:r w:rsidRPr="00311117">
              <w:rPr>
                <w:i/>
                <w:iCs/>
                <w:szCs w:val="20"/>
              </w:rPr>
              <w:t>ODA:</w:t>
            </w:r>
            <w:r w:rsidRPr="00311117">
              <w:rPr>
                <w:szCs w:val="20"/>
              </w:rPr>
              <w:t xml:space="preserve"> The DAC defines ODA as “those flows to countries and territories on the DAC List of ODA Recipients and to multilateral institutions which are </w:t>
            </w:r>
          </w:p>
          <w:p w14:paraId="1916802B" w14:textId="77777777" w:rsidR="00221C59" w:rsidRDefault="00221C59" w:rsidP="00221C59">
            <w:pPr>
              <w:jc w:val="both"/>
              <w:rPr>
                <w:szCs w:val="20"/>
              </w:rPr>
            </w:pPr>
            <w:r w:rsidRPr="00311117">
              <w:rPr>
                <w:szCs w:val="20"/>
              </w:rPr>
              <w:t xml:space="preserve">i) provided by official agencies, including state and local governments, or by their executive agencies; and </w:t>
            </w:r>
          </w:p>
          <w:p w14:paraId="0F3FA6AC" w14:textId="77777777" w:rsidR="00221C59" w:rsidRDefault="00221C59" w:rsidP="00221C59">
            <w:pPr>
              <w:jc w:val="both"/>
              <w:rPr>
                <w:szCs w:val="20"/>
              </w:rPr>
            </w:pPr>
            <w:r w:rsidRPr="00311117">
              <w:rPr>
                <w:szCs w:val="20"/>
              </w:rPr>
              <w:t>ii) each transaction is administered with the promotion of the economic development and welfare of developing countries as its main objective; and</w:t>
            </w:r>
          </w:p>
          <w:p w14:paraId="17E9DF0A" w14:textId="77777777" w:rsidR="00221C59" w:rsidRDefault="00221C59" w:rsidP="00221C59">
            <w:pPr>
              <w:jc w:val="both"/>
              <w:rPr>
                <w:szCs w:val="20"/>
              </w:rPr>
            </w:pPr>
            <w:proofErr w:type="gramStart"/>
            <w:r w:rsidRPr="00311117">
              <w:rPr>
                <w:szCs w:val="20"/>
              </w:rPr>
              <w:t>is</w:t>
            </w:r>
            <w:proofErr w:type="gramEnd"/>
            <w:r w:rsidRPr="00311117">
              <w:rPr>
                <w:szCs w:val="20"/>
              </w:rPr>
              <w:t xml:space="preserve"> concessional in character and conveys a grant element of at least 25 per cent (calculated at a rate of discount of 10 per cent). (</w:t>
            </w:r>
            <w:r w:rsidRPr="008968CC">
              <w:rPr>
                <w:szCs w:val="20"/>
              </w:rPr>
              <w:t>http://www.oecd.org/dac/stats/officialdevelopmentassistancedefinitionandcoverage.htm</w:t>
            </w:r>
            <w:r w:rsidRPr="00311117">
              <w:rPr>
                <w:szCs w:val="20"/>
              </w:rPr>
              <w:t>)</w:t>
            </w:r>
            <w:r>
              <w:rPr>
                <w:szCs w:val="20"/>
              </w:rPr>
              <w:t>.</w:t>
            </w:r>
          </w:p>
          <w:p w14:paraId="021E5236" w14:textId="77777777" w:rsidR="00221C59" w:rsidRDefault="00221C59" w:rsidP="00221C59">
            <w:pPr>
              <w:jc w:val="both"/>
              <w:rPr>
                <w:szCs w:val="20"/>
              </w:rPr>
            </w:pPr>
          </w:p>
          <w:p w14:paraId="60449158" w14:textId="77777777" w:rsidR="00221C59" w:rsidRDefault="00221C59" w:rsidP="00221C59">
            <w:pPr>
              <w:jc w:val="both"/>
              <w:rPr>
                <w:szCs w:val="20"/>
              </w:rPr>
            </w:pPr>
            <w:r w:rsidRPr="0031439B">
              <w:rPr>
                <w:i/>
                <w:iCs/>
                <w:szCs w:val="20"/>
              </w:rPr>
              <w:t>Scholarships:</w:t>
            </w:r>
            <w:r w:rsidRPr="0031439B">
              <w:rPr>
                <w:szCs w:val="20"/>
              </w:rPr>
              <w:t xml:space="preserve"> Financial aid awards for individual students and contributions to trainees. The beneficiary students and trainees are nationals of developing countries. Financial aid awards include bilateral grants to students registered for systematic instruction in private or public institutions of higher education to follow full-time studies or training courses in the donor country. Estimated tuition costs</w:t>
            </w:r>
            <w:r>
              <w:rPr>
                <w:szCs w:val="20"/>
              </w:rPr>
              <w:t xml:space="preserve"> </w:t>
            </w:r>
            <w:r w:rsidRPr="0031439B">
              <w:rPr>
                <w:szCs w:val="20"/>
              </w:rPr>
              <w:t>of students attending schools financed by the donor but not receiving individual grants are not included here, but under item imputed student costs (CRS sector code 1520). Training costs relate to contributions for trainees from developing countries receiving mainly non-academic, practical or vocational training in the donor country.</w:t>
            </w:r>
          </w:p>
          <w:p w14:paraId="4188D1DC" w14:textId="77777777" w:rsidR="00221C59" w:rsidRDefault="00221C59" w:rsidP="00221C59">
            <w:pPr>
              <w:jc w:val="both"/>
              <w:rPr>
                <w:szCs w:val="20"/>
              </w:rPr>
            </w:pPr>
          </w:p>
          <w:p w14:paraId="38E7BD30" w14:textId="77777777" w:rsidR="00221C59" w:rsidRPr="0031439B" w:rsidRDefault="00221C59" w:rsidP="00221C59">
            <w:pPr>
              <w:jc w:val="both"/>
              <w:rPr>
                <w:b/>
                <w:bCs/>
                <w:szCs w:val="20"/>
              </w:rPr>
            </w:pPr>
            <w:r w:rsidRPr="0031439B">
              <w:rPr>
                <w:b/>
                <w:bCs/>
                <w:szCs w:val="20"/>
              </w:rPr>
              <w:t>Computation Method:</w:t>
            </w:r>
          </w:p>
          <w:p w14:paraId="2D51B33B" w14:textId="77777777" w:rsidR="00221C59" w:rsidRPr="00311117" w:rsidRDefault="00221C59" w:rsidP="00221C59">
            <w:pPr>
              <w:jc w:val="both"/>
              <w:rPr>
                <w:szCs w:val="20"/>
              </w:rPr>
            </w:pPr>
            <w:r w:rsidRPr="0031439B">
              <w:rPr>
                <w:szCs w:val="20"/>
              </w:rPr>
              <w:t>The sum of ODA flows from all donors to developing countries for scholarships.</w:t>
            </w:r>
          </w:p>
        </w:tc>
        <w:tc>
          <w:tcPr>
            <w:tcW w:w="0" w:type="auto"/>
            <w:shd w:val="clear" w:color="auto" w:fill="auto"/>
          </w:tcPr>
          <w:p w14:paraId="32559B47" w14:textId="77777777" w:rsidR="00221C59" w:rsidRPr="00311117" w:rsidRDefault="00221C59" w:rsidP="00221C59">
            <w:pPr>
              <w:jc w:val="center"/>
              <w:rPr>
                <w:bCs/>
                <w:szCs w:val="20"/>
              </w:rPr>
            </w:pPr>
            <w:r>
              <w:rPr>
                <w:bCs/>
                <w:szCs w:val="20"/>
              </w:rPr>
              <w:lastRenderedPageBreak/>
              <w:t>Administrati</w:t>
            </w:r>
            <w:r>
              <w:rPr>
                <w:bCs/>
                <w:szCs w:val="20"/>
              </w:rPr>
              <w:lastRenderedPageBreak/>
              <w:t>ve Record</w:t>
            </w:r>
          </w:p>
        </w:tc>
        <w:tc>
          <w:tcPr>
            <w:tcW w:w="0" w:type="auto"/>
            <w:shd w:val="clear" w:color="auto" w:fill="auto"/>
          </w:tcPr>
          <w:p w14:paraId="1932B927" w14:textId="77777777" w:rsidR="00221C59" w:rsidRDefault="00221C59" w:rsidP="00221C59">
            <w:pPr>
              <w:jc w:val="center"/>
              <w:rPr>
                <w:bCs/>
                <w:szCs w:val="20"/>
              </w:rPr>
            </w:pPr>
            <w:r w:rsidRPr="0031439B">
              <w:rPr>
                <w:bCs/>
                <w:szCs w:val="20"/>
              </w:rPr>
              <w:lastRenderedPageBreak/>
              <w:t xml:space="preserve">DAC </w:t>
            </w:r>
            <w:r w:rsidRPr="0031439B">
              <w:rPr>
                <w:bCs/>
                <w:szCs w:val="20"/>
              </w:rPr>
              <w:lastRenderedPageBreak/>
              <w:t>statistics</w:t>
            </w:r>
          </w:p>
        </w:tc>
        <w:tc>
          <w:tcPr>
            <w:tcW w:w="0" w:type="auto"/>
            <w:shd w:val="clear" w:color="auto" w:fill="auto"/>
          </w:tcPr>
          <w:p w14:paraId="49F5D626" w14:textId="056707EF" w:rsidR="00221C59" w:rsidRDefault="00221C59" w:rsidP="00221C59">
            <w:pPr>
              <w:ind w:left="72" w:hanging="72"/>
              <w:jc w:val="center"/>
              <w:rPr>
                <w:bCs/>
                <w:szCs w:val="20"/>
              </w:rPr>
            </w:pPr>
          </w:p>
          <w:p w14:paraId="7725467E" w14:textId="77777777" w:rsidR="00221C59" w:rsidRPr="00311117" w:rsidRDefault="00221C59" w:rsidP="00221C59">
            <w:pPr>
              <w:ind w:left="72" w:hanging="72"/>
              <w:jc w:val="center"/>
              <w:rPr>
                <w:bCs/>
                <w:szCs w:val="20"/>
              </w:rPr>
            </w:pPr>
            <w:r w:rsidRPr="00BC6F10">
              <w:lastRenderedPageBreak/>
              <w:t>ERD</w:t>
            </w:r>
          </w:p>
        </w:tc>
        <w:tc>
          <w:tcPr>
            <w:tcW w:w="0" w:type="auto"/>
            <w:shd w:val="clear" w:color="auto" w:fill="auto"/>
          </w:tcPr>
          <w:p w14:paraId="6C0E560B" w14:textId="3565B9E6" w:rsidR="00221C59" w:rsidRDefault="00221C59" w:rsidP="00221C59">
            <w:pPr>
              <w:ind w:left="72" w:hanging="72"/>
              <w:jc w:val="center"/>
              <w:rPr>
                <w:bCs/>
                <w:szCs w:val="20"/>
              </w:rPr>
            </w:pPr>
          </w:p>
          <w:p w14:paraId="7D07D103" w14:textId="77777777" w:rsidR="00221C59" w:rsidRDefault="00221C59" w:rsidP="00221C59">
            <w:pPr>
              <w:spacing w:line="276" w:lineRule="auto"/>
            </w:pPr>
            <w:r w:rsidRPr="00BC6F10">
              <w:lastRenderedPageBreak/>
              <w:t>a) ERD</w:t>
            </w:r>
            <w:r w:rsidRPr="00BC6F10">
              <w:br/>
              <w:t>b) SHED</w:t>
            </w:r>
            <w:r>
              <w:t>, MoE</w:t>
            </w:r>
          </w:p>
          <w:p w14:paraId="2FEA6B62" w14:textId="77777777" w:rsidR="00221C59" w:rsidRDefault="00221C59" w:rsidP="00221C59">
            <w:pPr>
              <w:spacing w:line="276" w:lineRule="auto"/>
            </w:pPr>
            <w:r>
              <w:t xml:space="preserve">c) </w:t>
            </w:r>
            <w:r w:rsidRPr="00BC6F10">
              <w:t>TMED</w:t>
            </w:r>
            <w:r>
              <w:t>, MoE</w:t>
            </w:r>
            <w:r w:rsidRPr="00BC6F10">
              <w:br/>
            </w:r>
            <w:r>
              <w:t>d</w:t>
            </w:r>
            <w:r w:rsidRPr="00BC6F10">
              <w:t>) MoPME</w:t>
            </w:r>
          </w:p>
          <w:p w14:paraId="4F265BDA" w14:textId="77777777" w:rsidR="00221C59" w:rsidRDefault="00221C59" w:rsidP="00221C59">
            <w:pPr>
              <w:ind w:left="72" w:hanging="72"/>
              <w:jc w:val="center"/>
            </w:pPr>
            <w:r w:rsidRPr="00346E44">
              <w:t>e) UNDP (OECD Report)</w:t>
            </w:r>
          </w:p>
          <w:p w14:paraId="0D9E9E74" w14:textId="77777777" w:rsidR="00221C59" w:rsidRPr="00311117" w:rsidRDefault="00221C59" w:rsidP="00221C59">
            <w:pPr>
              <w:ind w:left="72" w:hanging="72"/>
              <w:jc w:val="center"/>
              <w:rPr>
                <w:bCs/>
                <w:szCs w:val="20"/>
              </w:rPr>
            </w:pPr>
            <w:r>
              <w:rPr>
                <w:rFonts w:eastAsia="Times New Roman" w:cs="Times New Roman"/>
                <w:color w:val="000000" w:themeColor="text1"/>
                <w:szCs w:val="20"/>
              </w:rPr>
              <w:t>Administrative Data</w:t>
            </w:r>
          </w:p>
        </w:tc>
        <w:tc>
          <w:tcPr>
            <w:tcW w:w="0" w:type="auto"/>
            <w:shd w:val="clear" w:color="auto" w:fill="auto"/>
          </w:tcPr>
          <w:p w14:paraId="19317CF8" w14:textId="77777777" w:rsidR="00221C59" w:rsidRDefault="00221C59" w:rsidP="00221C59">
            <w:pPr>
              <w:pStyle w:val="ListParagraph"/>
              <w:numPr>
                <w:ilvl w:val="0"/>
                <w:numId w:val="2"/>
              </w:numPr>
              <w:ind w:left="116" w:hanging="116"/>
              <w:rPr>
                <w:rFonts w:ascii="Tw Cen MT Condensed" w:hAnsi="Tw Cen MT Condensed"/>
                <w:bCs/>
                <w:sz w:val="20"/>
                <w:szCs w:val="20"/>
              </w:rPr>
            </w:pPr>
            <w:r w:rsidRPr="0031439B">
              <w:rPr>
                <w:rFonts w:ascii="Tw Cen MT Condensed" w:hAnsi="Tw Cen MT Condensed"/>
                <w:bCs/>
                <w:sz w:val="20"/>
                <w:szCs w:val="20"/>
              </w:rPr>
              <w:lastRenderedPageBreak/>
              <w:t>Donor</w:t>
            </w:r>
          </w:p>
          <w:p w14:paraId="1A93EBBF" w14:textId="77777777" w:rsidR="00221C59" w:rsidRDefault="00221C59" w:rsidP="00221C59">
            <w:pPr>
              <w:pStyle w:val="ListParagraph"/>
              <w:numPr>
                <w:ilvl w:val="0"/>
                <w:numId w:val="2"/>
              </w:numPr>
              <w:ind w:left="116" w:hanging="116"/>
              <w:rPr>
                <w:rFonts w:ascii="Tw Cen MT Condensed" w:hAnsi="Tw Cen MT Condensed"/>
                <w:bCs/>
                <w:sz w:val="20"/>
                <w:szCs w:val="20"/>
              </w:rPr>
            </w:pPr>
            <w:r w:rsidRPr="0031439B">
              <w:rPr>
                <w:rFonts w:ascii="Tw Cen MT Condensed" w:hAnsi="Tw Cen MT Condensed"/>
                <w:bCs/>
                <w:sz w:val="20"/>
                <w:szCs w:val="20"/>
              </w:rPr>
              <w:lastRenderedPageBreak/>
              <w:t>Recipient country</w:t>
            </w:r>
          </w:p>
          <w:p w14:paraId="37C7B3F6" w14:textId="77777777" w:rsidR="00221C59" w:rsidRPr="00311117" w:rsidRDefault="00221C59" w:rsidP="00221C59">
            <w:pPr>
              <w:pStyle w:val="ListParagraph"/>
              <w:numPr>
                <w:ilvl w:val="0"/>
                <w:numId w:val="2"/>
              </w:numPr>
              <w:ind w:left="116" w:hanging="116"/>
              <w:rPr>
                <w:rFonts w:ascii="Tw Cen MT Condensed" w:hAnsi="Tw Cen MT Condensed"/>
                <w:bCs/>
                <w:sz w:val="20"/>
                <w:szCs w:val="20"/>
              </w:rPr>
            </w:pPr>
            <w:r w:rsidRPr="0031439B">
              <w:rPr>
                <w:rFonts w:ascii="Tw Cen MT Condensed" w:hAnsi="Tw Cen MT Condensed"/>
                <w:bCs/>
                <w:sz w:val="20"/>
                <w:szCs w:val="20"/>
              </w:rPr>
              <w:t>Type of finance</w:t>
            </w:r>
          </w:p>
        </w:tc>
        <w:tc>
          <w:tcPr>
            <w:tcW w:w="0" w:type="auto"/>
            <w:shd w:val="clear" w:color="auto" w:fill="auto"/>
          </w:tcPr>
          <w:p w14:paraId="034FB957" w14:textId="77777777" w:rsidR="00221C59" w:rsidRDefault="00221C59" w:rsidP="00221C59">
            <w:pPr>
              <w:jc w:val="center"/>
              <w:rPr>
                <w:bCs/>
                <w:szCs w:val="20"/>
              </w:rPr>
            </w:pPr>
            <w:r>
              <w:rPr>
                <w:bCs/>
                <w:szCs w:val="20"/>
              </w:rPr>
              <w:lastRenderedPageBreak/>
              <w:t>Annual</w:t>
            </w:r>
          </w:p>
        </w:tc>
        <w:tc>
          <w:tcPr>
            <w:tcW w:w="0" w:type="auto"/>
            <w:shd w:val="clear" w:color="auto" w:fill="auto"/>
          </w:tcPr>
          <w:p w14:paraId="2485F155" w14:textId="77777777" w:rsidR="00221C59" w:rsidRDefault="00221C59" w:rsidP="00221C59">
            <w:pPr>
              <w:jc w:val="center"/>
              <w:rPr>
                <w:bCs/>
                <w:szCs w:val="20"/>
              </w:rPr>
            </w:pPr>
            <w:r>
              <w:rPr>
                <w:bCs/>
                <w:szCs w:val="20"/>
              </w:rPr>
              <w:t>Group 3</w:t>
            </w:r>
          </w:p>
        </w:tc>
        <w:tc>
          <w:tcPr>
            <w:tcW w:w="0" w:type="auto"/>
            <w:shd w:val="clear" w:color="auto" w:fill="auto"/>
          </w:tcPr>
          <w:p w14:paraId="41882299" w14:textId="77777777" w:rsidR="00221C59" w:rsidRDefault="00221C59" w:rsidP="00221C59">
            <w:pPr>
              <w:pStyle w:val="NoSpacing"/>
            </w:pPr>
            <w:r>
              <w:t>1</w:t>
            </w:r>
            <w:r w:rsidRPr="00013ACB">
              <w:rPr>
                <w:vertAlign w:val="superscript"/>
              </w:rPr>
              <w:t>st</w:t>
            </w:r>
            <w:r>
              <w:t xml:space="preserve"> </w:t>
            </w:r>
            <w:r>
              <w:lastRenderedPageBreak/>
              <w:t xml:space="preserve">Round: </w:t>
            </w:r>
          </w:p>
          <w:p w14:paraId="1EA41476" w14:textId="77777777" w:rsidR="00221C59" w:rsidRDefault="00221C59" w:rsidP="00221C59">
            <w:pPr>
              <w:pStyle w:val="NoSpacing"/>
            </w:pPr>
            <w:r>
              <w:t>2015</w:t>
            </w:r>
          </w:p>
          <w:p w14:paraId="17B1B448" w14:textId="77777777" w:rsidR="00221C59" w:rsidRDefault="00221C59" w:rsidP="00221C59">
            <w:pPr>
              <w:pStyle w:val="NoSpacing"/>
            </w:pPr>
            <w:r>
              <w:t>2</w:t>
            </w:r>
            <w:r w:rsidRPr="00013ACB">
              <w:rPr>
                <w:vertAlign w:val="superscript"/>
              </w:rPr>
              <w:t>nd</w:t>
            </w:r>
            <w:r>
              <w:t xml:space="preserve"> Round: </w:t>
            </w:r>
          </w:p>
          <w:p w14:paraId="175DF797" w14:textId="77777777" w:rsidR="00221C59" w:rsidRDefault="00221C59" w:rsidP="00221C59">
            <w:pPr>
              <w:pStyle w:val="NoSpacing"/>
            </w:pPr>
            <w:r>
              <w:t>July 2019</w:t>
            </w:r>
          </w:p>
          <w:p w14:paraId="0AF00FA2" w14:textId="77777777" w:rsidR="00221C59" w:rsidRDefault="00221C59" w:rsidP="00221C59">
            <w:pPr>
              <w:pStyle w:val="NoSpacing"/>
            </w:pPr>
          </w:p>
          <w:p w14:paraId="36948109" w14:textId="77777777" w:rsidR="00221C59" w:rsidRDefault="00221C59" w:rsidP="00221C59">
            <w:pPr>
              <w:pStyle w:val="NoSpacing"/>
            </w:pPr>
            <w:r>
              <w:t>3</w:t>
            </w:r>
            <w:r w:rsidRPr="00013ACB">
              <w:rPr>
                <w:vertAlign w:val="superscript"/>
              </w:rPr>
              <w:t>rd</w:t>
            </w:r>
            <w:r>
              <w:t xml:space="preserve"> Round: </w:t>
            </w:r>
          </w:p>
          <w:p w14:paraId="7A26FF2C" w14:textId="77777777" w:rsidR="00221C59" w:rsidRDefault="00221C59" w:rsidP="00221C59">
            <w:pPr>
              <w:pStyle w:val="NoSpacing"/>
            </w:pPr>
            <w:r>
              <w:t>July 2020</w:t>
            </w:r>
          </w:p>
          <w:p w14:paraId="45183112" w14:textId="77777777" w:rsidR="00221C59" w:rsidRDefault="00221C59" w:rsidP="00221C59">
            <w:pPr>
              <w:pStyle w:val="NoSpacing"/>
            </w:pPr>
          </w:p>
          <w:p w14:paraId="4C1F6391" w14:textId="77777777" w:rsidR="00221C59" w:rsidRDefault="00221C59" w:rsidP="00221C59">
            <w:pPr>
              <w:pStyle w:val="NoSpacing"/>
            </w:pPr>
            <w:r>
              <w:t>4</w:t>
            </w:r>
            <w:r w:rsidRPr="00013ACB">
              <w:rPr>
                <w:vertAlign w:val="superscript"/>
              </w:rPr>
              <w:t>th</w:t>
            </w:r>
            <w:r>
              <w:t xml:space="preserve"> Round: </w:t>
            </w:r>
          </w:p>
          <w:p w14:paraId="6B3B9E52" w14:textId="77777777" w:rsidR="00221C59" w:rsidRDefault="00221C59" w:rsidP="00221C59">
            <w:pPr>
              <w:pStyle w:val="NoSpacing"/>
            </w:pPr>
            <w:r>
              <w:t>July 2021</w:t>
            </w:r>
          </w:p>
          <w:p w14:paraId="69359829" w14:textId="77777777" w:rsidR="00221C59" w:rsidRDefault="00221C59" w:rsidP="00221C59">
            <w:pPr>
              <w:pStyle w:val="NoSpacing"/>
            </w:pPr>
          </w:p>
          <w:p w14:paraId="481B5E25" w14:textId="77777777" w:rsidR="00221C59" w:rsidRDefault="00221C59" w:rsidP="00221C59">
            <w:pPr>
              <w:pStyle w:val="NoSpacing"/>
            </w:pPr>
            <w:r>
              <w:t>5</w:t>
            </w:r>
            <w:r w:rsidRPr="00013ACB">
              <w:rPr>
                <w:vertAlign w:val="superscript"/>
              </w:rPr>
              <w:t>th</w:t>
            </w:r>
            <w:r>
              <w:t xml:space="preserve"> Round: </w:t>
            </w:r>
          </w:p>
          <w:p w14:paraId="5CF797F1" w14:textId="77777777" w:rsidR="00221C59" w:rsidRDefault="00221C59" w:rsidP="00221C59">
            <w:pPr>
              <w:pStyle w:val="NoSpacing"/>
            </w:pPr>
            <w:r>
              <w:t>July 2022</w:t>
            </w:r>
          </w:p>
          <w:p w14:paraId="218CE4F9" w14:textId="0AF16E78" w:rsidR="00221C59" w:rsidRPr="007A64DC" w:rsidRDefault="00221C59" w:rsidP="00221C59">
            <w:pPr>
              <w:pStyle w:val="NoSpacing"/>
            </w:pPr>
          </w:p>
        </w:tc>
        <w:tc>
          <w:tcPr>
            <w:tcW w:w="0" w:type="auto"/>
            <w:shd w:val="clear" w:color="auto" w:fill="auto"/>
          </w:tcPr>
          <w:p w14:paraId="3538F7EE" w14:textId="77777777" w:rsidR="00221C59" w:rsidRDefault="00221C59" w:rsidP="00221C59">
            <w:pPr>
              <w:jc w:val="both"/>
              <w:rPr>
                <w:bCs/>
                <w:szCs w:val="20"/>
              </w:rPr>
            </w:pPr>
            <w:r>
              <w:rPr>
                <w:bCs/>
                <w:szCs w:val="20"/>
              </w:rPr>
              <w:lastRenderedPageBreak/>
              <w:t xml:space="preserve">Bangladesh is </w:t>
            </w:r>
            <w:r>
              <w:rPr>
                <w:bCs/>
                <w:szCs w:val="20"/>
              </w:rPr>
              <w:lastRenderedPageBreak/>
              <w:t>not in the DAC list as scholarship provider</w:t>
            </w:r>
          </w:p>
        </w:tc>
      </w:tr>
      <w:tr w:rsidR="0085651F" w14:paraId="5E44FC61" w14:textId="77777777" w:rsidTr="0085651F">
        <w:tc>
          <w:tcPr>
            <w:tcW w:w="17162" w:type="dxa"/>
            <w:gridSpan w:val="13"/>
            <w:shd w:val="clear" w:color="auto" w:fill="auto"/>
          </w:tcPr>
          <w:p w14:paraId="7742F1D9" w14:textId="77777777" w:rsidR="0085651F" w:rsidRPr="0031439B" w:rsidRDefault="0085651F" w:rsidP="00221C59">
            <w:pPr>
              <w:ind w:left="970" w:hanging="970"/>
              <w:jc w:val="both"/>
              <w:rPr>
                <w:color w:val="C00000"/>
                <w:sz w:val="30"/>
                <w:szCs w:val="30"/>
              </w:rPr>
            </w:pPr>
            <w:r>
              <w:rPr>
                <w:color w:val="C00000"/>
                <w:sz w:val="30"/>
                <w:szCs w:val="30"/>
              </w:rPr>
              <w:lastRenderedPageBreak/>
              <w:t xml:space="preserve">Target </w:t>
            </w:r>
            <w:r w:rsidRPr="0031439B">
              <w:rPr>
                <w:color w:val="C00000"/>
                <w:sz w:val="30"/>
                <w:szCs w:val="30"/>
              </w:rPr>
              <w:t>4.c By 2030, substantially increase the supply of qualified teachers, including through international cooperation for teacher training in developing countries, especially least developed countries and small island developing States</w:t>
            </w:r>
          </w:p>
        </w:tc>
      </w:tr>
      <w:tr w:rsidR="000E716D" w14:paraId="03CE3876" w14:textId="77777777" w:rsidTr="0085651F">
        <w:tc>
          <w:tcPr>
            <w:tcW w:w="1101" w:type="dxa"/>
            <w:shd w:val="clear" w:color="auto" w:fill="auto"/>
          </w:tcPr>
          <w:p w14:paraId="1792FA78" w14:textId="77777777" w:rsidR="00221C59" w:rsidRPr="00311117" w:rsidRDefault="00221C59" w:rsidP="00221C59">
            <w:pPr>
              <w:jc w:val="both"/>
              <w:rPr>
                <w:szCs w:val="20"/>
              </w:rPr>
            </w:pPr>
            <w:r w:rsidRPr="0031439B">
              <w:rPr>
                <w:szCs w:val="20"/>
              </w:rPr>
              <w:t xml:space="preserve">4.c.1 Proportion of teachers in: (a) pre-primary; (b) primary; (c) lower secondary; and </w:t>
            </w:r>
            <w:r w:rsidRPr="0031439B">
              <w:rPr>
                <w:szCs w:val="20"/>
              </w:rPr>
              <w:lastRenderedPageBreak/>
              <w:t>(d) upper secondary education who have received at least the minimum organized teacher training (e.g. pedagogical training) pre-service or in-service required for teaching at the relevant level in a given country</w:t>
            </w:r>
          </w:p>
        </w:tc>
        <w:tc>
          <w:tcPr>
            <w:tcW w:w="854" w:type="dxa"/>
            <w:shd w:val="clear" w:color="auto" w:fill="auto"/>
          </w:tcPr>
          <w:p w14:paraId="7C9F9047" w14:textId="77777777" w:rsidR="00221C59" w:rsidRDefault="00221C59" w:rsidP="00221C59">
            <w:pPr>
              <w:jc w:val="center"/>
              <w:rPr>
                <w:b/>
                <w:bCs/>
                <w:sz w:val="22"/>
                <w:szCs w:val="22"/>
                <w:lang w:bidi="bn-BD"/>
              </w:rPr>
            </w:pPr>
            <w:r w:rsidRPr="00311117">
              <w:rPr>
                <w:sz w:val="22"/>
                <w:szCs w:val="22"/>
                <w:lang w:bidi="bn-BD"/>
              </w:rPr>
              <w:lastRenderedPageBreak/>
              <w:t>UNESCO-UIS</w:t>
            </w:r>
            <w:r w:rsidRPr="00DB041D">
              <w:rPr>
                <w:b/>
                <w:bCs/>
                <w:sz w:val="22"/>
                <w:szCs w:val="22"/>
                <w:lang w:bidi="bn-BD"/>
              </w:rPr>
              <w:t xml:space="preserve"> </w:t>
            </w:r>
          </w:p>
          <w:p w14:paraId="106EE6F6" w14:textId="77777777" w:rsidR="00221C59" w:rsidRDefault="00221C59" w:rsidP="00221C59">
            <w:pPr>
              <w:jc w:val="center"/>
              <w:rPr>
                <w:b/>
                <w:bCs/>
                <w:sz w:val="22"/>
                <w:szCs w:val="22"/>
                <w:lang w:bidi="bn-BD"/>
              </w:rPr>
            </w:pPr>
          </w:p>
          <w:p w14:paraId="099F25E4" w14:textId="77777777" w:rsidR="00221C59" w:rsidRPr="00311117" w:rsidRDefault="00221C59" w:rsidP="00221C59">
            <w:pPr>
              <w:jc w:val="center"/>
              <w:rPr>
                <w:sz w:val="22"/>
                <w:szCs w:val="22"/>
                <w:lang w:bidi="bn-BD"/>
              </w:rPr>
            </w:pPr>
            <w:r w:rsidRPr="00DB041D">
              <w:rPr>
                <w:b/>
                <w:bCs/>
                <w:sz w:val="22"/>
                <w:szCs w:val="22"/>
                <w:lang w:bidi="bn-BD"/>
              </w:rPr>
              <w:t>Partner agencies:</w:t>
            </w:r>
            <w:r w:rsidRPr="00311117">
              <w:rPr>
                <w:sz w:val="22"/>
                <w:szCs w:val="22"/>
                <w:lang w:bidi="bn-BD"/>
              </w:rPr>
              <w:t xml:space="preserve"> OECD</w:t>
            </w:r>
          </w:p>
        </w:tc>
        <w:tc>
          <w:tcPr>
            <w:tcW w:w="0" w:type="auto"/>
            <w:shd w:val="clear" w:color="auto" w:fill="auto"/>
          </w:tcPr>
          <w:p w14:paraId="397D49FC" w14:textId="77777777" w:rsidR="00221C59" w:rsidRDefault="00221C59" w:rsidP="00221C59">
            <w:pPr>
              <w:jc w:val="center"/>
              <w:rPr>
                <w:szCs w:val="20"/>
              </w:rPr>
            </w:pPr>
            <w:r>
              <w:rPr>
                <w:szCs w:val="20"/>
              </w:rPr>
              <w:t>Tier II</w:t>
            </w:r>
          </w:p>
        </w:tc>
        <w:tc>
          <w:tcPr>
            <w:tcW w:w="0" w:type="auto"/>
            <w:shd w:val="clear" w:color="auto" w:fill="auto"/>
          </w:tcPr>
          <w:p w14:paraId="168C1E31" w14:textId="77777777" w:rsidR="00221C59" w:rsidRPr="0031439B" w:rsidRDefault="00221C59" w:rsidP="00221C59">
            <w:pPr>
              <w:jc w:val="both"/>
              <w:rPr>
                <w:b/>
                <w:bCs/>
                <w:szCs w:val="20"/>
              </w:rPr>
            </w:pPr>
            <w:r w:rsidRPr="0031439B">
              <w:rPr>
                <w:b/>
                <w:bCs/>
                <w:szCs w:val="20"/>
              </w:rPr>
              <w:t>Definition:</w:t>
            </w:r>
          </w:p>
          <w:p w14:paraId="186F08E2" w14:textId="77777777" w:rsidR="00221C59" w:rsidRDefault="00221C59" w:rsidP="00221C59">
            <w:pPr>
              <w:jc w:val="both"/>
              <w:rPr>
                <w:szCs w:val="20"/>
              </w:rPr>
            </w:pPr>
            <w:r w:rsidRPr="0031439B">
              <w:rPr>
                <w:szCs w:val="20"/>
              </w:rPr>
              <w:t>The percentage of teachers by level of education taught (pre-primary, primary, lower secondary and</w:t>
            </w:r>
            <w:r>
              <w:rPr>
                <w:szCs w:val="20"/>
              </w:rPr>
              <w:t xml:space="preserve"> </w:t>
            </w:r>
            <w:r w:rsidRPr="0031439B">
              <w:rPr>
                <w:szCs w:val="20"/>
              </w:rPr>
              <w:t>upper secondary education) who have received at least the minimum organized pedagogical teacher</w:t>
            </w:r>
            <w:r>
              <w:rPr>
                <w:szCs w:val="20"/>
              </w:rPr>
              <w:t xml:space="preserve"> </w:t>
            </w:r>
            <w:r w:rsidRPr="0031439B">
              <w:rPr>
                <w:szCs w:val="20"/>
              </w:rPr>
              <w:t>training pre-service and in-service required for teaching at the relevant level in a given country</w:t>
            </w:r>
            <w:r>
              <w:rPr>
                <w:szCs w:val="20"/>
              </w:rPr>
              <w:t>.</w:t>
            </w:r>
          </w:p>
          <w:p w14:paraId="76B479B9" w14:textId="77777777" w:rsidR="00221C59" w:rsidRDefault="00221C59" w:rsidP="00221C59">
            <w:pPr>
              <w:jc w:val="both"/>
              <w:rPr>
                <w:b/>
                <w:bCs/>
                <w:szCs w:val="20"/>
              </w:rPr>
            </w:pPr>
          </w:p>
          <w:p w14:paraId="04AEB42F" w14:textId="77777777" w:rsidR="00221C59" w:rsidRPr="0031439B" w:rsidRDefault="00221C59" w:rsidP="00221C59">
            <w:pPr>
              <w:jc w:val="both"/>
              <w:rPr>
                <w:b/>
                <w:bCs/>
                <w:szCs w:val="20"/>
              </w:rPr>
            </w:pPr>
            <w:r w:rsidRPr="0031439B">
              <w:rPr>
                <w:b/>
                <w:bCs/>
                <w:szCs w:val="20"/>
              </w:rPr>
              <w:t>Concepts:</w:t>
            </w:r>
          </w:p>
          <w:p w14:paraId="3D4319DC" w14:textId="77777777" w:rsidR="00221C59" w:rsidRDefault="00221C59" w:rsidP="00221C59">
            <w:pPr>
              <w:jc w:val="both"/>
              <w:rPr>
                <w:szCs w:val="20"/>
              </w:rPr>
            </w:pPr>
            <w:r w:rsidRPr="0031439B">
              <w:rPr>
                <w:szCs w:val="20"/>
              </w:rPr>
              <w:lastRenderedPageBreak/>
              <w:t>A teacher is trained if they have received at least the minimum organized pedagogical teacher training</w:t>
            </w:r>
            <w:r>
              <w:rPr>
                <w:szCs w:val="20"/>
              </w:rPr>
              <w:t xml:space="preserve"> </w:t>
            </w:r>
            <w:r w:rsidRPr="0031439B">
              <w:rPr>
                <w:szCs w:val="20"/>
              </w:rPr>
              <w:t>pre-service and in-service required for teaching at the relevant level in a given country.</w:t>
            </w:r>
          </w:p>
          <w:p w14:paraId="5243DBE5" w14:textId="77777777" w:rsidR="00221C59" w:rsidRDefault="00221C59" w:rsidP="00221C59">
            <w:pPr>
              <w:jc w:val="both"/>
              <w:rPr>
                <w:b/>
                <w:bCs/>
                <w:szCs w:val="20"/>
              </w:rPr>
            </w:pPr>
          </w:p>
          <w:p w14:paraId="1057CB44" w14:textId="77777777" w:rsidR="00221C59" w:rsidRPr="0031439B" w:rsidRDefault="00221C59" w:rsidP="00221C59">
            <w:pPr>
              <w:jc w:val="both"/>
              <w:rPr>
                <w:b/>
                <w:bCs/>
                <w:szCs w:val="20"/>
              </w:rPr>
            </w:pPr>
            <w:r w:rsidRPr="0031439B">
              <w:rPr>
                <w:b/>
                <w:bCs/>
                <w:szCs w:val="20"/>
              </w:rPr>
              <w:t>Computation Method:</w:t>
            </w:r>
          </w:p>
          <w:p w14:paraId="131DB8D6" w14:textId="77777777" w:rsidR="00221C59" w:rsidRDefault="00221C59" w:rsidP="00221C59">
            <w:pPr>
              <w:jc w:val="both"/>
              <w:rPr>
                <w:szCs w:val="20"/>
              </w:rPr>
            </w:pPr>
            <w:r w:rsidRPr="0031439B">
              <w:rPr>
                <w:szCs w:val="20"/>
              </w:rPr>
              <w:t>The number of teachers in a given level of education who are trained is expressed as a percentage of all</w:t>
            </w:r>
            <w:r>
              <w:rPr>
                <w:szCs w:val="20"/>
              </w:rPr>
              <w:t xml:space="preserve"> </w:t>
            </w:r>
            <w:r w:rsidRPr="0031439B">
              <w:rPr>
                <w:szCs w:val="20"/>
              </w:rPr>
              <w:t>teachers in that level of education.</w:t>
            </w:r>
          </w:p>
          <w:p w14:paraId="7648A801" w14:textId="77777777" w:rsidR="00221C59" w:rsidRDefault="00221C59" w:rsidP="00221C59">
            <w:pPr>
              <w:jc w:val="both"/>
              <w:rPr>
                <w:b/>
                <w:bCs/>
                <w:szCs w:val="20"/>
              </w:rPr>
            </w:pPr>
          </w:p>
          <w:p w14:paraId="5C622C64" w14:textId="77777777" w:rsidR="00221C59" w:rsidRPr="0031439B" w:rsidRDefault="00221C59" w:rsidP="00221C59">
            <w:pPr>
              <w:jc w:val="both"/>
              <w:rPr>
                <w:szCs w:val="20"/>
              </w:rPr>
            </w:pPr>
            <w:r w:rsidRPr="0031439B">
              <w:rPr>
                <w:szCs w:val="20"/>
              </w:rPr>
              <w:t>PTTn = TTn</w:t>
            </w:r>
          </w:p>
          <w:p w14:paraId="3D4DE640" w14:textId="77777777" w:rsidR="00221C59" w:rsidRPr="0031439B" w:rsidRDefault="00221C59" w:rsidP="00221C59">
            <w:pPr>
              <w:jc w:val="both"/>
              <w:rPr>
                <w:szCs w:val="20"/>
              </w:rPr>
            </w:pPr>
            <w:r w:rsidRPr="0031439B">
              <w:rPr>
                <w:szCs w:val="20"/>
              </w:rPr>
              <w:t>Tn</w:t>
            </w:r>
          </w:p>
          <w:p w14:paraId="7086EAA2" w14:textId="77777777" w:rsidR="00221C59" w:rsidRPr="0031439B" w:rsidRDefault="00221C59" w:rsidP="00221C59">
            <w:pPr>
              <w:jc w:val="both"/>
              <w:rPr>
                <w:szCs w:val="20"/>
              </w:rPr>
            </w:pPr>
            <w:r w:rsidRPr="0031439B">
              <w:rPr>
                <w:szCs w:val="20"/>
              </w:rPr>
              <w:t>where:</w:t>
            </w:r>
          </w:p>
          <w:p w14:paraId="02E42A56" w14:textId="77777777" w:rsidR="00221C59" w:rsidRPr="0031439B" w:rsidRDefault="00221C59" w:rsidP="00221C59">
            <w:pPr>
              <w:jc w:val="both"/>
              <w:rPr>
                <w:i/>
                <w:iCs/>
                <w:szCs w:val="20"/>
              </w:rPr>
            </w:pPr>
            <w:r w:rsidRPr="0031439B">
              <w:rPr>
                <w:i/>
                <w:iCs/>
                <w:szCs w:val="20"/>
              </w:rPr>
              <w:t>PTTn= percentage of trained teachers at level n of education</w:t>
            </w:r>
          </w:p>
          <w:p w14:paraId="0638E4DC" w14:textId="77777777" w:rsidR="00221C59" w:rsidRPr="0031439B" w:rsidRDefault="00221C59" w:rsidP="00221C59">
            <w:pPr>
              <w:jc w:val="both"/>
              <w:rPr>
                <w:i/>
                <w:iCs/>
                <w:szCs w:val="20"/>
              </w:rPr>
            </w:pPr>
            <w:r w:rsidRPr="0031439B">
              <w:rPr>
                <w:i/>
                <w:iCs/>
                <w:szCs w:val="20"/>
              </w:rPr>
              <w:t>TTn= trained teachers at level n of education</w:t>
            </w:r>
          </w:p>
          <w:p w14:paraId="4FB08791" w14:textId="77777777" w:rsidR="00221C59" w:rsidRPr="0031439B" w:rsidRDefault="00221C59" w:rsidP="00221C59">
            <w:pPr>
              <w:jc w:val="both"/>
              <w:rPr>
                <w:i/>
                <w:iCs/>
                <w:szCs w:val="20"/>
              </w:rPr>
            </w:pPr>
            <w:r w:rsidRPr="0031439B">
              <w:rPr>
                <w:i/>
                <w:iCs/>
                <w:szCs w:val="20"/>
              </w:rPr>
              <w:t>Tn= total teachers at level n of education</w:t>
            </w:r>
          </w:p>
          <w:p w14:paraId="424DA6A0" w14:textId="77777777" w:rsidR="00221C59" w:rsidRPr="00311117" w:rsidRDefault="00221C59" w:rsidP="00221C59">
            <w:pPr>
              <w:jc w:val="both"/>
              <w:rPr>
                <w:b/>
                <w:bCs/>
                <w:szCs w:val="20"/>
              </w:rPr>
            </w:pPr>
            <w:r w:rsidRPr="0031439B">
              <w:rPr>
                <w:i/>
                <w:iCs/>
                <w:szCs w:val="20"/>
              </w:rPr>
              <w:t>n= 02 (pre-primary), 1 (primary), 2 (lower secondary), 3 (upper secondary) and 23 (secondary)</w:t>
            </w:r>
          </w:p>
        </w:tc>
        <w:tc>
          <w:tcPr>
            <w:tcW w:w="0" w:type="auto"/>
            <w:shd w:val="clear" w:color="auto" w:fill="auto"/>
          </w:tcPr>
          <w:p w14:paraId="37FE1454" w14:textId="77777777" w:rsidR="00221C59" w:rsidRDefault="00221C59" w:rsidP="00221C59">
            <w:pPr>
              <w:jc w:val="center"/>
              <w:rPr>
                <w:bCs/>
                <w:szCs w:val="20"/>
              </w:rPr>
            </w:pPr>
            <w:r>
              <w:rPr>
                <w:bCs/>
                <w:szCs w:val="20"/>
              </w:rPr>
              <w:lastRenderedPageBreak/>
              <w:t>Administrative Record</w:t>
            </w:r>
          </w:p>
        </w:tc>
        <w:tc>
          <w:tcPr>
            <w:tcW w:w="0" w:type="auto"/>
            <w:shd w:val="clear" w:color="auto" w:fill="auto"/>
          </w:tcPr>
          <w:p w14:paraId="5C88C930" w14:textId="77777777" w:rsidR="00221C59" w:rsidRDefault="00221C59" w:rsidP="00221C59">
            <w:pPr>
              <w:jc w:val="center"/>
              <w:rPr>
                <w:bCs/>
                <w:szCs w:val="20"/>
              </w:rPr>
            </w:pPr>
            <w:r>
              <w:rPr>
                <w:bCs/>
                <w:szCs w:val="20"/>
              </w:rPr>
              <w:t>Ministry of Education</w:t>
            </w:r>
          </w:p>
          <w:p w14:paraId="069B1D65" w14:textId="1B9BD879" w:rsidR="00755EE9" w:rsidRDefault="00755EE9" w:rsidP="00221C59">
            <w:pPr>
              <w:jc w:val="center"/>
              <w:rPr>
                <w:bCs/>
                <w:szCs w:val="20"/>
              </w:rPr>
            </w:pPr>
            <w:r>
              <w:rPr>
                <w:bCs/>
                <w:szCs w:val="20"/>
              </w:rPr>
              <w:t>Or</w:t>
            </w:r>
          </w:p>
          <w:p w14:paraId="295EA9F1" w14:textId="44CC633D" w:rsidR="00755EE9" w:rsidRPr="0031439B" w:rsidRDefault="00755EE9" w:rsidP="00221C59">
            <w:pPr>
              <w:jc w:val="center"/>
              <w:rPr>
                <w:bCs/>
                <w:szCs w:val="20"/>
              </w:rPr>
            </w:pPr>
            <w:r>
              <w:rPr>
                <w:bCs/>
                <w:szCs w:val="20"/>
              </w:rPr>
              <w:t>NSO</w:t>
            </w:r>
          </w:p>
        </w:tc>
        <w:tc>
          <w:tcPr>
            <w:tcW w:w="0" w:type="auto"/>
            <w:shd w:val="clear" w:color="auto" w:fill="auto"/>
          </w:tcPr>
          <w:p w14:paraId="3300D886" w14:textId="68C3EE6D" w:rsidR="00221C59" w:rsidRDefault="00221C59" w:rsidP="00221C59">
            <w:pPr>
              <w:ind w:left="72" w:hanging="72"/>
              <w:jc w:val="center"/>
              <w:rPr>
                <w:bCs/>
                <w:szCs w:val="20"/>
              </w:rPr>
            </w:pPr>
          </w:p>
          <w:p w14:paraId="17CF6D42" w14:textId="5E4184C3" w:rsidR="00221C59" w:rsidRPr="0031439B" w:rsidRDefault="00221C59" w:rsidP="00221C59">
            <w:pPr>
              <w:ind w:left="72" w:hanging="72"/>
              <w:jc w:val="center"/>
              <w:rPr>
                <w:bCs/>
                <w:szCs w:val="20"/>
              </w:rPr>
            </w:pPr>
          </w:p>
        </w:tc>
        <w:tc>
          <w:tcPr>
            <w:tcW w:w="0" w:type="auto"/>
            <w:shd w:val="clear" w:color="auto" w:fill="auto"/>
          </w:tcPr>
          <w:p w14:paraId="0B9F3FAB" w14:textId="77777777" w:rsidR="00221C59" w:rsidRDefault="00221C59" w:rsidP="00221C59">
            <w:pPr>
              <w:ind w:left="72" w:hanging="72"/>
              <w:jc w:val="center"/>
              <w:rPr>
                <w:bCs/>
                <w:szCs w:val="20"/>
              </w:rPr>
            </w:pPr>
            <w:r>
              <w:rPr>
                <w:bCs/>
                <w:szCs w:val="20"/>
              </w:rPr>
              <w:t>a) BES,MoE, BANBEIS</w:t>
            </w:r>
          </w:p>
          <w:p w14:paraId="775A298E" w14:textId="77777777" w:rsidR="00221C59" w:rsidRDefault="00221C59" w:rsidP="00221C59">
            <w:pPr>
              <w:ind w:left="72" w:hanging="72"/>
              <w:jc w:val="center"/>
              <w:rPr>
                <w:bCs/>
                <w:szCs w:val="20"/>
              </w:rPr>
            </w:pPr>
            <w:r>
              <w:rPr>
                <w:bCs/>
                <w:szCs w:val="20"/>
              </w:rPr>
              <w:t>b) SHED</w:t>
            </w:r>
          </w:p>
          <w:p w14:paraId="58F933C1" w14:textId="3F9EC967" w:rsidR="00221C59" w:rsidRPr="0031439B" w:rsidRDefault="00221C59" w:rsidP="00221C59">
            <w:pPr>
              <w:ind w:left="72" w:hanging="72"/>
              <w:jc w:val="center"/>
              <w:rPr>
                <w:bCs/>
                <w:szCs w:val="20"/>
              </w:rPr>
            </w:pPr>
            <w:r>
              <w:rPr>
                <w:bCs/>
                <w:szCs w:val="20"/>
              </w:rPr>
              <w:t>c) APSC,MoPME, DPE</w:t>
            </w:r>
          </w:p>
        </w:tc>
        <w:tc>
          <w:tcPr>
            <w:tcW w:w="0" w:type="auto"/>
            <w:shd w:val="clear" w:color="auto" w:fill="auto"/>
          </w:tcPr>
          <w:p w14:paraId="6B436706" w14:textId="128F1F42" w:rsidR="00221C59" w:rsidRDefault="00221C59" w:rsidP="00221C59">
            <w:pPr>
              <w:pStyle w:val="ListParagraph"/>
              <w:numPr>
                <w:ilvl w:val="0"/>
                <w:numId w:val="2"/>
              </w:numPr>
              <w:rPr>
                <w:rFonts w:ascii="Tw Cen MT Condensed" w:hAnsi="Tw Cen MT Condensed"/>
                <w:bCs/>
                <w:sz w:val="20"/>
                <w:szCs w:val="20"/>
              </w:rPr>
            </w:pPr>
          </w:p>
          <w:p w14:paraId="75205A53" w14:textId="77777777" w:rsidR="00DC66D8" w:rsidRPr="00C12A8B" w:rsidRDefault="00221C59" w:rsidP="00DC66D8">
            <w:pPr>
              <w:pStyle w:val="ListParagraph"/>
              <w:numPr>
                <w:ilvl w:val="0"/>
                <w:numId w:val="48"/>
              </w:numPr>
              <w:spacing w:after="0" w:line="240" w:lineRule="auto"/>
              <w:ind w:left="160" w:hanging="160"/>
              <w:rPr>
                <w:rFonts w:ascii="Tw Cen MT Condensed" w:hAnsi="Tw Cen MT Condensed"/>
                <w:sz w:val="20"/>
                <w:szCs w:val="26"/>
              </w:rPr>
            </w:pPr>
            <w:r w:rsidRPr="0031439B">
              <w:rPr>
                <w:rFonts w:ascii="Tw Cen MT Condensed" w:hAnsi="Tw Cen MT Condensed"/>
                <w:bCs/>
                <w:sz w:val="20"/>
                <w:szCs w:val="20"/>
              </w:rPr>
              <w:t>Level of education</w:t>
            </w:r>
            <w:r w:rsidR="00DC66D8" w:rsidRPr="00C12A8B">
              <w:rPr>
                <w:rFonts w:ascii="Tw Cen MT Condensed" w:hAnsi="Tw Cen MT Condensed"/>
                <w:sz w:val="20"/>
                <w:szCs w:val="26"/>
              </w:rPr>
              <w:t xml:space="preserve">: </w:t>
            </w:r>
          </w:p>
          <w:p w14:paraId="75360894" w14:textId="77777777" w:rsidR="00DC66D8" w:rsidRPr="00C12A8B" w:rsidRDefault="00DC66D8" w:rsidP="00DC66D8">
            <w:pPr>
              <w:pStyle w:val="ListParagraph"/>
              <w:ind w:left="160"/>
              <w:rPr>
                <w:rFonts w:ascii="Tw Cen MT Condensed" w:hAnsi="Tw Cen MT Condensed"/>
                <w:sz w:val="20"/>
                <w:szCs w:val="26"/>
              </w:rPr>
            </w:pPr>
            <w:r w:rsidRPr="00C12A8B">
              <w:rPr>
                <w:rFonts w:ascii="Tw Cen MT Condensed" w:hAnsi="Tw Cen MT Condensed"/>
                <w:sz w:val="20"/>
                <w:szCs w:val="26"/>
              </w:rPr>
              <w:t xml:space="preserve">pre-primary education primary </w:t>
            </w:r>
            <w:r w:rsidRPr="00C12A8B">
              <w:rPr>
                <w:rFonts w:ascii="Tw Cen MT Condensed" w:hAnsi="Tw Cen MT Condensed"/>
                <w:sz w:val="20"/>
                <w:szCs w:val="26"/>
              </w:rPr>
              <w:lastRenderedPageBreak/>
              <w:t xml:space="preserve">education lower secondary education </w:t>
            </w:r>
          </w:p>
          <w:p w14:paraId="13D4514F" w14:textId="34F3FB4B" w:rsidR="00221C59" w:rsidRDefault="00DC66D8" w:rsidP="00DC66D8">
            <w:pPr>
              <w:pStyle w:val="ListParagraph"/>
              <w:numPr>
                <w:ilvl w:val="0"/>
                <w:numId w:val="2"/>
              </w:numPr>
              <w:rPr>
                <w:rFonts w:ascii="Tw Cen MT Condensed" w:hAnsi="Tw Cen MT Condensed"/>
                <w:bCs/>
                <w:sz w:val="20"/>
                <w:szCs w:val="20"/>
              </w:rPr>
            </w:pPr>
            <w:r w:rsidRPr="00C12A8B">
              <w:rPr>
                <w:rFonts w:ascii="Tw Cen MT Condensed" w:hAnsi="Tw Cen MT Condensed"/>
                <w:sz w:val="20"/>
                <w:szCs w:val="26"/>
              </w:rPr>
              <w:t>upper secondary education</w:t>
            </w:r>
          </w:p>
          <w:p w14:paraId="62751825" w14:textId="77777777" w:rsidR="00DC66D8" w:rsidRPr="00DC66D8" w:rsidRDefault="00221C59" w:rsidP="00DC66D8">
            <w:pPr>
              <w:pStyle w:val="ListParagraph"/>
              <w:numPr>
                <w:ilvl w:val="0"/>
                <w:numId w:val="48"/>
              </w:numPr>
              <w:spacing w:after="0" w:line="240" w:lineRule="auto"/>
              <w:ind w:left="160" w:hanging="160"/>
              <w:rPr>
                <w:rFonts w:ascii="Tw Cen MT Condensed" w:hAnsi="Tw Cen MT Condensed"/>
                <w:sz w:val="20"/>
                <w:szCs w:val="26"/>
              </w:rPr>
            </w:pPr>
            <w:r w:rsidRPr="0031439B">
              <w:rPr>
                <w:rFonts w:ascii="Tw Cen MT Condensed" w:hAnsi="Tw Cen MT Condensed"/>
                <w:bCs/>
                <w:sz w:val="20"/>
                <w:szCs w:val="20"/>
              </w:rPr>
              <w:t>Type of institution (public/private)</w:t>
            </w:r>
          </w:p>
          <w:p w14:paraId="53400E8D" w14:textId="6EC6BA07" w:rsidR="00221C59" w:rsidRPr="00DC66D8" w:rsidRDefault="00DC66D8" w:rsidP="000C4849">
            <w:pPr>
              <w:pStyle w:val="ListParagraph"/>
              <w:numPr>
                <w:ilvl w:val="0"/>
                <w:numId w:val="48"/>
              </w:numPr>
              <w:spacing w:after="0" w:line="240" w:lineRule="auto"/>
              <w:ind w:left="160" w:hanging="160"/>
              <w:rPr>
                <w:rFonts w:ascii="Tw Cen MT Condensed" w:hAnsi="Tw Cen MT Condensed"/>
                <w:sz w:val="20"/>
                <w:szCs w:val="26"/>
              </w:rPr>
            </w:pPr>
            <w:r w:rsidRPr="00C12A8B">
              <w:rPr>
                <w:rFonts w:ascii="Tw Cen MT Condensed" w:hAnsi="Tw Cen MT Condensed"/>
                <w:szCs w:val="26"/>
              </w:rPr>
              <w:t xml:space="preserve"> </w:t>
            </w:r>
            <w:r w:rsidRPr="00C12A8B">
              <w:rPr>
                <w:rFonts w:ascii="Tw Cen MT Condensed" w:hAnsi="Tw Cen MT Condensed"/>
                <w:sz w:val="20"/>
                <w:szCs w:val="26"/>
              </w:rPr>
              <w:t>sex: male/female</w:t>
            </w:r>
          </w:p>
        </w:tc>
        <w:tc>
          <w:tcPr>
            <w:tcW w:w="0" w:type="auto"/>
            <w:shd w:val="clear" w:color="auto" w:fill="auto"/>
          </w:tcPr>
          <w:p w14:paraId="5B7B22AB" w14:textId="77777777" w:rsidR="00221C59" w:rsidRDefault="00221C59" w:rsidP="00221C59">
            <w:pPr>
              <w:jc w:val="center"/>
              <w:rPr>
                <w:bCs/>
                <w:szCs w:val="20"/>
              </w:rPr>
            </w:pPr>
            <w:r>
              <w:rPr>
                <w:bCs/>
                <w:szCs w:val="20"/>
              </w:rPr>
              <w:lastRenderedPageBreak/>
              <w:t>Annual</w:t>
            </w:r>
          </w:p>
        </w:tc>
        <w:tc>
          <w:tcPr>
            <w:tcW w:w="0" w:type="auto"/>
            <w:shd w:val="clear" w:color="auto" w:fill="auto"/>
          </w:tcPr>
          <w:p w14:paraId="1DEDE618" w14:textId="77777777" w:rsidR="00221C59" w:rsidRDefault="00221C59" w:rsidP="00221C59">
            <w:pPr>
              <w:jc w:val="center"/>
              <w:rPr>
                <w:bCs/>
                <w:szCs w:val="20"/>
              </w:rPr>
            </w:pPr>
            <w:r>
              <w:rPr>
                <w:bCs/>
                <w:szCs w:val="20"/>
              </w:rPr>
              <w:t>Group 1</w:t>
            </w:r>
          </w:p>
        </w:tc>
        <w:tc>
          <w:tcPr>
            <w:tcW w:w="0" w:type="auto"/>
            <w:shd w:val="clear" w:color="auto" w:fill="auto"/>
          </w:tcPr>
          <w:p w14:paraId="4AA0F6BE" w14:textId="77777777" w:rsidR="00221C59" w:rsidRDefault="00221C59" w:rsidP="00221C59">
            <w:pPr>
              <w:pStyle w:val="NoSpacing"/>
            </w:pPr>
            <w:r>
              <w:t>1</w:t>
            </w:r>
            <w:r w:rsidRPr="00013ACB">
              <w:rPr>
                <w:vertAlign w:val="superscript"/>
              </w:rPr>
              <w:t>st</w:t>
            </w:r>
            <w:r>
              <w:t xml:space="preserve"> Round: </w:t>
            </w:r>
          </w:p>
          <w:p w14:paraId="1C26B091" w14:textId="77777777" w:rsidR="00221C59" w:rsidRDefault="00221C59" w:rsidP="00221C59">
            <w:pPr>
              <w:pStyle w:val="NoSpacing"/>
            </w:pPr>
            <w:r>
              <w:t>June 2020</w:t>
            </w:r>
          </w:p>
          <w:p w14:paraId="1350607A" w14:textId="77777777" w:rsidR="00221C59" w:rsidRDefault="00221C59" w:rsidP="00221C59">
            <w:pPr>
              <w:pStyle w:val="NoSpacing"/>
            </w:pPr>
            <w:r>
              <w:t>2</w:t>
            </w:r>
            <w:r w:rsidRPr="00013ACB">
              <w:rPr>
                <w:vertAlign w:val="superscript"/>
              </w:rPr>
              <w:t>nd</w:t>
            </w:r>
            <w:r>
              <w:t xml:space="preserve"> Round: </w:t>
            </w:r>
          </w:p>
          <w:p w14:paraId="0D91EBD6" w14:textId="77777777" w:rsidR="00221C59" w:rsidRDefault="00221C59" w:rsidP="00221C59">
            <w:pPr>
              <w:pStyle w:val="NoSpacing"/>
            </w:pPr>
            <w:r>
              <w:t xml:space="preserve">June </w:t>
            </w:r>
            <w:r>
              <w:lastRenderedPageBreak/>
              <w:t>2021</w:t>
            </w:r>
          </w:p>
          <w:p w14:paraId="3211171B" w14:textId="77777777" w:rsidR="00221C59" w:rsidRDefault="00221C59" w:rsidP="00221C59">
            <w:pPr>
              <w:pStyle w:val="NoSpacing"/>
            </w:pPr>
            <w:r>
              <w:t>3</w:t>
            </w:r>
            <w:r w:rsidRPr="00013ACB">
              <w:rPr>
                <w:vertAlign w:val="superscript"/>
              </w:rPr>
              <w:t>rd</w:t>
            </w:r>
            <w:r>
              <w:t xml:space="preserve"> Round: </w:t>
            </w:r>
          </w:p>
          <w:p w14:paraId="54B040A6" w14:textId="77777777" w:rsidR="00221C59" w:rsidRDefault="00221C59" w:rsidP="00221C59">
            <w:pPr>
              <w:pStyle w:val="NoSpacing"/>
            </w:pPr>
            <w:r>
              <w:t>June 2022</w:t>
            </w:r>
          </w:p>
          <w:p w14:paraId="08ACF1FB" w14:textId="77777777" w:rsidR="00221C59" w:rsidRDefault="00221C59" w:rsidP="00221C59">
            <w:pPr>
              <w:pStyle w:val="NoSpacing"/>
            </w:pPr>
            <w:r>
              <w:t>4</w:t>
            </w:r>
            <w:r w:rsidRPr="00013ACB">
              <w:rPr>
                <w:vertAlign w:val="superscript"/>
              </w:rPr>
              <w:t>th</w:t>
            </w:r>
            <w:r>
              <w:t xml:space="preserve"> Round: </w:t>
            </w:r>
          </w:p>
          <w:p w14:paraId="6DCBDD35" w14:textId="77777777" w:rsidR="00221C59" w:rsidRDefault="00221C59" w:rsidP="00221C59">
            <w:pPr>
              <w:pStyle w:val="NoSpacing"/>
            </w:pPr>
            <w:r>
              <w:t>June 2023</w:t>
            </w:r>
          </w:p>
          <w:p w14:paraId="40F22ED8" w14:textId="77777777" w:rsidR="00221C59" w:rsidRDefault="00221C59" w:rsidP="00221C59">
            <w:pPr>
              <w:pStyle w:val="NoSpacing"/>
            </w:pPr>
            <w:r>
              <w:t>5</w:t>
            </w:r>
            <w:r w:rsidRPr="00013ACB">
              <w:rPr>
                <w:vertAlign w:val="superscript"/>
              </w:rPr>
              <w:t>th</w:t>
            </w:r>
            <w:r>
              <w:t xml:space="preserve"> Round: </w:t>
            </w:r>
          </w:p>
          <w:p w14:paraId="25FBE039" w14:textId="49A14D48" w:rsidR="00221C59" w:rsidRPr="007A64DC" w:rsidRDefault="00221C59" w:rsidP="00221C59">
            <w:pPr>
              <w:pStyle w:val="NoSpacing"/>
            </w:pPr>
            <w:r>
              <w:t>June 2024</w:t>
            </w:r>
          </w:p>
        </w:tc>
        <w:tc>
          <w:tcPr>
            <w:tcW w:w="0" w:type="auto"/>
            <w:shd w:val="clear" w:color="auto" w:fill="auto"/>
          </w:tcPr>
          <w:p w14:paraId="4AD5B6AF" w14:textId="77777777" w:rsidR="00221C59" w:rsidRDefault="00221C59" w:rsidP="00221C59">
            <w:pPr>
              <w:jc w:val="both"/>
              <w:rPr>
                <w:bCs/>
                <w:szCs w:val="20"/>
              </w:rPr>
            </w:pPr>
            <w:r>
              <w:rPr>
                <w:bCs/>
                <w:szCs w:val="20"/>
              </w:rPr>
              <w:lastRenderedPageBreak/>
              <w:t xml:space="preserve">BES and APSC should follow the </w:t>
            </w:r>
            <w:r w:rsidRPr="0031439B">
              <w:rPr>
                <w:bCs/>
                <w:szCs w:val="20"/>
              </w:rPr>
              <w:t xml:space="preserve">International Standard Classification of Education </w:t>
            </w:r>
            <w:r w:rsidRPr="0031439B">
              <w:rPr>
                <w:bCs/>
                <w:szCs w:val="20"/>
              </w:rPr>
              <w:lastRenderedPageBreak/>
              <w:t>(ISCED)</w:t>
            </w:r>
          </w:p>
        </w:tc>
      </w:tr>
    </w:tbl>
    <w:p w14:paraId="1958B507" w14:textId="07C34ED6" w:rsidR="007F71CB" w:rsidRDefault="007F71CB">
      <w:pPr>
        <w:rPr>
          <w:sz w:val="22"/>
          <w:szCs w:val="22"/>
        </w:rPr>
      </w:pPr>
    </w:p>
    <w:p w14:paraId="7B257CD2" w14:textId="77777777" w:rsidR="00123F80" w:rsidRDefault="00123F80">
      <w:pPr>
        <w:rPr>
          <w:color w:val="FF0000"/>
          <w:sz w:val="32"/>
          <w:szCs w:val="32"/>
        </w:rPr>
      </w:pPr>
      <w:r>
        <w:rPr>
          <w:color w:val="FF0000"/>
          <w:sz w:val="32"/>
          <w:szCs w:val="32"/>
        </w:rPr>
        <w:br w:type="page"/>
      </w:r>
    </w:p>
    <w:p w14:paraId="683275BA" w14:textId="77777777" w:rsidR="009A340D" w:rsidRPr="00BC08EA" w:rsidRDefault="009A340D" w:rsidP="009A340D">
      <w:pPr>
        <w:jc w:val="both"/>
        <w:rPr>
          <w:color w:val="FFFFFF" w:themeColor="background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bidi="bn-BD"/>
        </w:rPr>
        <w:lastRenderedPageBreak/>
        <mc:AlternateContent>
          <mc:Choice Requires="wps">
            <w:drawing>
              <wp:anchor distT="0" distB="0" distL="114300" distR="114300" simplePos="0" relativeHeight="251580928" behindDoc="1" locked="0" layoutInCell="1" allowOverlap="1" wp14:anchorId="33F18739" wp14:editId="60CDB4E2">
                <wp:simplePos x="0" y="0"/>
                <wp:positionH relativeFrom="column">
                  <wp:posOffset>-903605</wp:posOffset>
                </wp:positionH>
                <wp:positionV relativeFrom="paragraph">
                  <wp:posOffset>-914400</wp:posOffset>
                </wp:positionV>
                <wp:extent cx="12780010" cy="7761605"/>
                <wp:effectExtent l="0" t="0" r="21590" b="1079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0010" cy="77616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E200FD0" id="Rectangle 5" o:spid="_x0000_s1026" style="position:absolute;margin-left:-71.15pt;margin-top:-1in;width:1006.3pt;height:611.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" fillcolor="red"/>
            </w:pict>
          </mc:Fallback>
        </mc:AlternateContent>
      </w:r>
      <w:r w:rsidRPr="00262FC1">
        <w:rPr>
          <w:noProof/>
          <w:lang w:bidi="bn-BD"/>
        </w:rPr>
        <w:drawing>
          <wp:inline distT="0" distB="0" distL="0" distR="0" wp14:anchorId="6FA8AF91" wp14:editId="4EA12322">
            <wp:extent cx="1651128" cy="1651128"/>
            <wp:effectExtent l="38100" t="38100" r="44450" b="44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1128" cy="1651128"/>
                    </a:xfrm>
                    <a:prstGeom prst="rect">
                      <a:avLst/>
                    </a:prstGeom>
                    <a:ln w="38100">
                      <a:solidFill>
                        <a:schemeClr val="bg1"/>
                      </a:solidFill>
                    </a:ln>
                  </pic:spPr>
                </pic:pic>
              </a:graphicData>
            </a:graphic>
          </wp:inline>
        </w:drawing>
      </w:r>
      <w:r>
        <w:t xml:space="preserve">    </w:t>
      </w:r>
      <w:r w:rsidRPr="009A340D">
        <w:rPr>
          <w:color w:val="FFFFFF" w:themeColor="background1"/>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Achieve gender equality and empower all women and girls</w:t>
      </w:r>
    </w:p>
    <w:p w14:paraId="72DB6112" w14:textId="77777777" w:rsidR="009A340D" w:rsidRDefault="009A340D" w:rsidP="009A340D">
      <w:pPr>
        <w:jc w:val="center"/>
        <w:rPr>
          <w:color w:val="FFFFFF" w:themeColor="background1"/>
          <w:sz w:val="54"/>
          <w:szCs w:val="54"/>
        </w:rPr>
      </w:pPr>
    </w:p>
    <w:p w14:paraId="6527DD15" w14:textId="77777777" w:rsidR="009A340D" w:rsidRPr="00D2173E" w:rsidRDefault="009A340D" w:rsidP="009A340D">
      <w:pPr>
        <w:jc w:val="center"/>
        <w:rPr>
          <w:color w:val="FFFFFF" w:themeColor="background1"/>
          <w:sz w:val="54"/>
          <w:szCs w:val="54"/>
        </w:rPr>
      </w:pPr>
      <w:r w:rsidRPr="00D2173E">
        <w:rPr>
          <w:color w:val="FFFFFF" w:themeColor="background1"/>
          <w:sz w:val="54"/>
          <w:szCs w:val="54"/>
        </w:rPr>
        <w:t xml:space="preserve">Total Target </w:t>
      </w:r>
      <w:r>
        <w:rPr>
          <w:color w:val="FFFFFF" w:themeColor="background1"/>
          <w:sz w:val="54"/>
          <w:szCs w:val="54"/>
        </w:rPr>
        <w:t>9</w:t>
      </w:r>
      <w:r w:rsidRPr="00D2173E">
        <w:rPr>
          <w:color w:val="FFFFFF" w:themeColor="background1"/>
          <w:sz w:val="54"/>
          <w:szCs w:val="54"/>
        </w:rPr>
        <w:t xml:space="preserve">, Total Indicators: </w:t>
      </w:r>
      <w:r>
        <w:rPr>
          <w:color w:val="FFFFFF" w:themeColor="background1"/>
          <w:sz w:val="54"/>
          <w:szCs w:val="54"/>
        </w:rPr>
        <w:t>14</w:t>
      </w:r>
    </w:p>
    <w:p w14:paraId="45595E0C" w14:textId="77777777" w:rsidR="009A340D" w:rsidRDefault="009A340D" w:rsidP="009A340D">
      <w:pPr>
        <w:jc w:val="center"/>
      </w:pPr>
      <w:r w:rsidRPr="00262FC1">
        <w:rPr>
          <w:noProof/>
          <w:shd w:val="clear" w:color="auto" w:fill="00B050"/>
          <w:lang w:bidi="bn-BD"/>
        </w:rPr>
        <w:drawing>
          <wp:inline distT="0" distB="0" distL="0" distR="0" wp14:anchorId="6012F044" wp14:editId="16CDB1CF">
            <wp:extent cx="3322621" cy="2290500"/>
            <wp:effectExtent l="0" t="0" r="11430" b="146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t xml:space="preserve">         </w:t>
      </w:r>
      <w:r w:rsidRPr="00262FC1">
        <w:rPr>
          <w:noProof/>
          <w:shd w:val="clear" w:color="auto" w:fill="00B050"/>
          <w:lang w:bidi="bn-BD"/>
        </w:rPr>
        <w:drawing>
          <wp:inline distT="0" distB="0" distL="0" distR="0" wp14:anchorId="592D0B1B" wp14:editId="6C2B1F99">
            <wp:extent cx="3675707" cy="230314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t xml:space="preserve">         </w:t>
      </w:r>
      <w:r w:rsidRPr="00262FC1">
        <w:rPr>
          <w:noProof/>
          <w:shd w:val="clear" w:color="auto" w:fill="00B050"/>
          <w:lang w:bidi="bn-BD"/>
        </w:rPr>
        <w:drawing>
          <wp:inline distT="0" distB="0" distL="0" distR="0" wp14:anchorId="6D8F9CCB" wp14:editId="4D6822C6">
            <wp:extent cx="3322621" cy="2290500"/>
            <wp:effectExtent l="0" t="0" r="11430" b="146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079D006" w14:textId="77777777" w:rsidR="009A340D" w:rsidRPr="00B175D1" w:rsidRDefault="00B175D1" w:rsidP="009A340D">
      <w:pPr>
        <w:rPr>
          <w:i/>
          <w:iCs/>
        </w:rPr>
      </w:pPr>
      <w:r>
        <w:t xml:space="preserve">  </w:t>
      </w:r>
      <w:r w:rsidRPr="00B175D1">
        <w:rPr>
          <w:i/>
          <w:iCs/>
          <w:color w:val="FFFFFF" w:themeColor="background1"/>
        </w:rPr>
        <w:t xml:space="preserve">* 1 </w:t>
      </w:r>
      <w:r>
        <w:rPr>
          <w:i/>
          <w:iCs/>
          <w:color w:val="FFFFFF" w:themeColor="background1"/>
        </w:rPr>
        <w:t>I</w:t>
      </w:r>
      <w:r w:rsidRPr="00B175D1">
        <w:rPr>
          <w:i/>
          <w:iCs/>
          <w:color w:val="FFFFFF" w:themeColor="background1"/>
        </w:rPr>
        <w:t xml:space="preserve">ndicator classified both </w:t>
      </w:r>
      <w:r>
        <w:rPr>
          <w:i/>
          <w:iCs/>
          <w:color w:val="FFFFFF" w:themeColor="background1"/>
        </w:rPr>
        <w:t>as</w:t>
      </w:r>
      <w:r w:rsidRPr="00B175D1">
        <w:rPr>
          <w:i/>
          <w:iCs/>
          <w:color w:val="FFFFFF" w:themeColor="background1"/>
        </w:rPr>
        <w:t xml:space="preserve"> Tier I and Tier II </w:t>
      </w:r>
      <w:r w:rsidR="009A340D" w:rsidRPr="00B175D1">
        <w:rPr>
          <w:i/>
          <w:iCs/>
        </w:rPr>
        <w:br w:type="page"/>
      </w:r>
    </w:p>
    <w:p w14:paraId="2C2E2B9B" w14:textId="77777777" w:rsidR="009A340D" w:rsidRDefault="009A340D" w:rsidP="009A340D">
      <w:pPr>
        <w:rPr>
          <w:sz w:val="22"/>
          <w:szCs w:val="22"/>
        </w:rPr>
        <w:sectPr w:rsidR="009A340D" w:rsidSect="001F0FD8">
          <w:pgSz w:w="20160" w:h="12240" w:orient="landscape" w:code="5"/>
          <w:pgMar w:top="1440" w:right="1440" w:bottom="1440" w:left="1440" w:header="720" w:footer="720" w:gutter="0"/>
          <w:cols w:space="720"/>
          <w:docGrid w:linePitch="360"/>
        </w:sectPr>
      </w:pPr>
    </w:p>
    <w:p w14:paraId="024BA058" w14:textId="77777777" w:rsidR="009A340D" w:rsidRDefault="009A340D" w:rsidP="009A340D">
      <w:pPr>
        <w:rPr>
          <w:sz w:val="22"/>
          <w:szCs w:val="22"/>
        </w:rPr>
        <w:sectPr w:rsidR="009A340D" w:rsidSect="001F0FD8">
          <w:pgSz w:w="20160" w:h="12240" w:orient="landscape" w:code="5"/>
          <w:pgMar w:top="1440" w:right="1440" w:bottom="1440" w:left="1440" w:header="720" w:footer="720" w:gutter="0"/>
          <w:cols w:space="720"/>
          <w:docGrid w:linePitch="360"/>
        </w:sectPr>
      </w:pPr>
    </w:p>
    <w:p w14:paraId="2A530AF0" w14:textId="4450868C" w:rsidR="009A340D" w:rsidRPr="007B1DFD" w:rsidRDefault="00BB3B57" w:rsidP="009A340D">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0" w:type="auto"/>
        <w:tblLook w:val="04A0" w:firstRow="1" w:lastRow="0" w:firstColumn="1" w:lastColumn="0" w:noHBand="0" w:noVBand="1"/>
      </w:tblPr>
      <w:tblGrid>
        <w:gridCol w:w="1278"/>
        <w:gridCol w:w="16110"/>
      </w:tblGrid>
      <w:tr w:rsidR="009A340D" w14:paraId="00B52968" w14:textId="77777777" w:rsidTr="009A340D">
        <w:tc>
          <w:tcPr>
            <w:tcW w:w="1278" w:type="dxa"/>
            <w:tcBorders>
              <w:left w:val="single" w:sz="4" w:space="0" w:color="C00000"/>
              <w:bottom w:val="single" w:sz="4" w:space="0" w:color="C00000"/>
            </w:tcBorders>
          </w:tcPr>
          <w:p w14:paraId="4ED77128" w14:textId="77777777" w:rsidR="009A340D" w:rsidRDefault="009A340D" w:rsidP="005A7B5C">
            <w:pPr>
              <w:jc w:val="center"/>
              <w:rPr>
                <w:color w:val="C00000"/>
                <w:sz w:val="48"/>
                <w:szCs w:val="48"/>
              </w:rPr>
            </w:pPr>
            <w:r w:rsidRPr="00262FC1">
              <w:rPr>
                <w:noProof/>
                <w:lang w:bidi="bn-BD"/>
              </w:rPr>
              <w:drawing>
                <wp:inline distT="0" distB="0" distL="0" distR="0" wp14:anchorId="581AA13D" wp14:editId="2F0AD8E0">
                  <wp:extent cx="590203" cy="590203"/>
                  <wp:effectExtent l="38100" t="38100" r="38735" b="387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0203" cy="590203"/>
                          </a:xfrm>
                          <a:prstGeom prst="rect">
                            <a:avLst/>
                          </a:prstGeom>
                          <a:ln w="38100">
                            <a:solidFill>
                              <a:schemeClr val="bg1"/>
                            </a:solidFill>
                          </a:ln>
                        </pic:spPr>
                      </pic:pic>
                    </a:graphicData>
                  </a:graphic>
                </wp:inline>
              </w:drawing>
            </w:r>
          </w:p>
        </w:tc>
        <w:tc>
          <w:tcPr>
            <w:tcW w:w="16110" w:type="dxa"/>
            <w:shd w:val="clear" w:color="auto" w:fill="FF0000"/>
            <w:vAlign w:val="center"/>
          </w:tcPr>
          <w:p w14:paraId="3A1CDF74" w14:textId="77777777" w:rsidR="009A340D" w:rsidRPr="00E80DBE" w:rsidRDefault="009A340D" w:rsidP="005A7B5C">
            <w:pPr>
              <w:jc w:val="both"/>
              <w:rPr>
                <w:color w:val="FFFFFF" w:themeColor="background1"/>
                <w:sz w:val="64"/>
                <w:szCs w:val="64"/>
              </w:rPr>
            </w:pPr>
            <w:r w:rsidRPr="00E80DBE">
              <w:rPr>
                <w:color w:val="FFFFFF" w:themeColor="background1"/>
                <w:sz w:val="52"/>
                <w:szCs w:val="52"/>
              </w:rPr>
              <w:t>Ensure inclusive and equitable quality education and promote lifelong learning opportunities for all</w:t>
            </w:r>
          </w:p>
        </w:tc>
      </w:tr>
    </w:tbl>
    <w:p w14:paraId="41021A1A" w14:textId="77777777" w:rsidR="009A340D" w:rsidRDefault="009A340D" w:rsidP="009A340D">
      <w:pPr>
        <w:jc w:val="both"/>
        <w:rPr>
          <w:color w:val="C00000"/>
          <w:sz w:val="30"/>
          <w:szCs w:val="30"/>
        </w:rPr>
      </w:pPr>
    </w:p>
    <w:tbl>
      <w:tblPr>
        <w:tblStyle w:val="TableGrid"/>
        <w:tblW w:w="0" w:type="auto"/>
        <w:tblInd w:w="108" w:type="dxa"/>
        <w:tblLook w:val="04A0" w:firstRow="1" w:lastRow="0" w:firstColumn="1" w:lastColumn="0" w:noHBand="0" w:noVBand="1"/>
      </w:tblPr>
      <w:tblGrid>
        <w:gridCol w:w="1199"/>
        <w:gridCol w:w="658"/>
        <w:gridCol w:w="273"/>
        <w:gridCol w:w="1003"/>
        <w:gridCol w:w="5427"/>
        <w:gridCol w:w="984"/>
        <w:gridCol w:w="1247"/>
        <w:gridCol w:w="731"/>
        <w:gridCol w:w="1136"/>
        <w:gridCol w:w="1223"/>
        <w:gridCol w:w="815"/>
        <w:gridCol w:w="708"/>
        <w:gridCol w:w="774"/>
        <w:gridCol w:w="1210"/>
      </w:tblGrid>
      <w:tr w:rsidR="005F4037" w14:paraId="332F5D40" w14:textId="77777777" w:rsidTr="0085651F">
        <w:trPr>
          <w:tblHeader/>
        </w:trPr>
        <w:tc>
          <w:tcPr>
            <w:tcW w:w="1179" w:type="dxa"/>
            <w:shd w:val="clear" w:color="auto" w:fill="DDD9C3" w:themeFill="background2" w:themeFillShade="E6"/>
            <w:vAlign w:val="center"/>
          </w:tcPr>
          <w:p w14:paraId="08B02E71" w14:textId="77777777" w:rsidR="001424F8" w:rsidRPr="00C766D7" w:rsidRDefault="001424F8" w:rsidP="005A7B5C">
            <w:pPr>
              <w:jc w:val="center"/>
              <w:rPr>
                <w:b/>
                <w:bCs/>
                <w:sz w:val="18"/>
                <w:szCs w:val="18"/>
              </w:rPr>
            </w:pPr>
            <w:r w:rsidRPr="00C766D7">
              <w:rPr>
                <w:b/>
                <w:bCs/>
                <w:sz w:val="18"/>
                <w:szCs w:val="18"/>
              </w:rPr>
              <w:t>targets and Indicators</w:t>
            </w:r>
          </w:p>
        </w:tc>
        <w:tc>
          <w:tcPr>
            <w:tcW w:w="921" w:type="dxa"/>
            <w:gridSpan w:val="2"/>
            <w:shd w:val="clear" w:color="auto" w:fill="DDD9C3" w:themeFill="background2" w:themeFillShade="E6"/>
            <w:vAlign w:val="center"/>
          </w:tcPr>
          <w:p w14:paraId="69F25F91" w14:textId="77777777" w:rsidR="001424F8" w:rsidRPr="00C766D7" w:rsidRDefault="001424F8" w:rsidP="005A7B5C">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985" w:type="dxa"/>
            <w:shd w:val="clear" w:color="auto" w:fill="DDD9C3" w:themeFill="background2" w:themeFillShade="E6"/>
            <w:vAlign w:val="center"/>
          </w:tcPr>
          <w:p w14:paraId="12493890" w14:textId="77777777" w:rsidR="001424F8" w:rsidRPr="00C766D7" w:rsidRDefault="001424F8" w:rsidP="005A7B5C">
            <w:pPr>
              <w:jc w:val="center"/>
              <w:rPr>
                <w:b/>
                <w:bCs/>
                <w:sz w:val="18"/>
                <w:szCs w:val="18"/>
              </w:rPr>
            </w:pPr>
            <w:r w:rsidRPr="00C766D7">
              <w:rPr>
                <w:b/>
                <w:bCs/>
                <w:sz w:val="18"/>
                <w:szCs w:val="18"/>
              </w:rPr>
              <w:t>Tier Classifications</w:t>
            </w:r>
          </w:p>
        </w:tc>
        <w:tc>
          <w:tcPr>
            <w:tcW w:w="5331" w:type="dxa"/>
            <w:shd w:val="clear" w:color="auto" w:fill="DDD9C3" w:themeFill="background2" w:themeFillShade="E6"/>
            <w:vAlign w:val="center"/>
          </w:tcPr>
          <w:p w14:paraId="1E0B9B98" w14:textId="77777777" w:rsidR="001424F8" w:rsidRPr="00C766D7" w:rsidRDefault="001424F8" w:rsidP="005A7B5C">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967" w:type="dxa"/>
            <w:shd w:val="clear" w:color="auto" w:fill="DDD9C3" w:themeFill="background2" w:themeFillShade="E6"/>
            <w:vAlign w:val="center"/>
          </w:tcPr>
          <w:p w14:paraId="3E5CE14C" w14:textId="77777777" w:rsidR="001424F8" w:rsidRPr="00C766D7" w:rsidRDefault="001424F8" w:rsidP="005A7B5C">
            <w:pPr>
              <w:jc w:val="center"/>
              <w:rPr>
                <w:b/>
                <w:bCs/>
                <w:sz w:val="18"/>
                <w:szCs w:val="18"/>
              </w:rPr>
            </w:pPr>
            <w:r w:rsidRPr="00C766D7">
              <w:rPr>
                <w:b/>
                <w:bCs/>
                <w:sz w:val="18"/>
                <w:szCs w:val="18"/>
              </w:rPr>
              <w:t>UN Suggested activities of data generation</w:t>
            </w:r>
          </w:p>
        </w:tc>
        <w:tc>
          <w:tcPr>
            <w:tcW w:w="1140" w:type="dxa"/>
            <w:shd w:val="clear" w:color="auto" w:fill="DDD9C3" w:themeFill="background2" w:themeFillShade="E6"/>
            <w:vAlign w:val="center"/>
          </w:tcPr>
          <w:p w14:paraId="0C3BFA9A" w14:textId="77777777" w:rsidR="001424F8" w:rsidRPr="00C766D7" w:rsidRDefault="001424F8" w:rsidP="005A7B5C">
            <w:pPr>
              <w:jc w:val="center"/>
              <w:rPr>
                <w:b/>
                <w:bCs/>
                <w:sz w:val="18"/>
                <w:szCs w:val="18"/>
              </w:rPr>
            </w:pPr>
            <w:r w:rsidRPr="00C766D7">
              <w:rPr>
                <w:b/>
                <w:bCs/>
                <w:sz w:val="18"/>
                <w:szCs w:val="18"/>
              </w:rPr>
              <w:t>UN Suggested data provider</w:t>
            </w:r>
          </w:p>
        </w:tc>
        <w:tc>
          <w:tcPr>
            <w:tcW w:w="721" w:type="dxa"/>
            <w:shd w:val="clear" w:color="auto" w:fill="DDD9C3" w:themeFill="background2" w:themeFillShade="E6"/>
            <w:vAlign w:val="center"/>
          </w:tcPr>
          <w:p w14:paraId="74099F30" w14:textId="77777777" w:rsidR="001424F8" w:rsidRPr="00C766D7" w:rsidRDefault="001424F8" w:rsidP="005A7B5C">
            <w:pPr>
              <w:jc w:val="center"/>
              <w:rPr>
                <w:b/>
                <w:bCs/>
                <w:sz w:val="18"/>
                <w:szCs w:val="18"/>
              </w:rPr>
            </w:pPr>
            <w:r w:rsidRPr="00C766D7">
              <w:rPr>
                <w:b/>
                <w:bCs/>
                <w:sz w:val="18"/>
                <w:szCs w:val="18"/>
              </w:rPr>
              <w:t>Recent Available Data Sources</w:t>
            </w:r>
          </w:p>
        </w:tc>
        <w:tc>
          <w:tcPr>
            <w:tcW w:w="1116" w:type="dxa"/>
            <w:shd w:val="clear" w:color="auto" w:fill="DDD9C3" w:themeFill="background2" w:themeFillShade="E6"/>
            <w:vAlign w:val="center"/>
          </w:tcPr>
          <w:p w14:paraId="302CEBF3" w14:textId="77777777" w:rsidR="001424F8" w:rsidRPr="00C766D7" w:rsidRDefault="001424F8" w:rsidP="005A7B5C">
            <w:pPr>
              <w:jc w:val="center"/>
              <w:rPr>
                <w:b/>
                <w:bCs/>
                <w:sz w:val="18"/>
                <w:szCs w:val="18"/>
              </w:rPr>
            </w:pPr>
            <w:r w:rsidRPr="00C766D7">
              <w:rPr>
                <w:b/>
                <w:bCs/>
                <w:sz w:val="18"/>
                <w:szCs w:val="18"/>
              </w:rPr>
              <w:t>Possible future Sources</w:t>
            </w:r>
          </w:p>
        </w:tc>
        <w:tc>
          <w:tcPr>
            <w:tcW w:w="1354" w:type="dxa"/>
            <w:shd w:val="clear" w:color="auto" w:fill="DDD9C3" w:themeFill="background2" w:themeFillShade="E6"/>
            <w:vAlign w:val="center"/>
          </w:tcPr>
          <w:p w14:paraId="46649854" w14:textId="77777777" w:rsidR="001424F8" w:rsidRPr="00C766D7" w:rsidRDefault="001424F8" w:rsidP="005A7B5C">
            <w:pPr>
              <w:jc w:val="center"/>
              <w:rPr>
                <w:b/>
                <w:bCs/>
                <w:sz w:val="18"/>
                <w:szCs w:val="18"/>
              </w:rPr>
            </w:pPr>
            <w:r>
              <w:rPr>
                <w:b/>
                <w:bCs/>
                <w:sz w:val="18"/>
                <w:szCs w:val="18"/>
              </w:rPr>
              <w:t>Minimum Disaggregation Dimensions and Categories</w:t>
            </w:r>
          </w:p>
        </w:tc>
        <w:tc>
          <w:tcPr>
            <w:tcW w:w="801" w:type="dxa"/>
            <w:shd w:val="clear" w:color="auto" w:fill="DDD9C3" w:themeFill="background2" w:themeFillShade="E6"/>
            <w:vAlign w:val="center"/>
          </w:tcPr>
          <w:p w14:paraId="1C349A32" w14:textId="77777777" w:rsidR="001424F8" w:rsidRPr="00C766D7" w:rsidRDefault="001424F8" w:rsidP="005A7B5C">
            <w:pPr>
              <w:jc w:val="center"/>
              <w:rPr>
                <w:b/>
                <w:bCs/>
                <w:sz w:val="18"/>
                <w:szCs w:val="18"/>
              </w:rPr>
            </w:pPr>
            <w:r w:rsidRPr="00C766D7">
              <w:rPr>
                <w:b/>
                <w:bCs/>
                <w:sz w:val="18"/>
                <w:szCs w:val="18"/>
              </w:rPr>
              <w:t>Frequency of data generation</w:t>
            </w:r>
          </w:p>
        </w:tc>
        <w:tc>
          <w:tcPr>
            <w:tcW w:w="697" w:type="dxa"/>
            <w:shd w:val="clear" w:color="auto" w:fill="DDD9C3" w:themeFill="background2" w:themeFillShade="E6"/>
            <w:vAlign w:val="center"/>
          </w:tcPr>
          <w:p w14:paraId="290C352D" w14:textId="77777777" w:rsidR="001424F8" w:rsidRPr="001424F8" w:rsidRDefault="001424F8" w:rsidP="005A7B5C">
            <w:pPr>
              <w:jc w:val="center"/>
              <w:rPr>
                <w:b/>
                <w:bCs/>
                <w:sz w:val="18"/>
                <w:szCs w:val="18"/>
              </w:rPr>
            </w:pPr>
            <w:r w:rsidRPr="001424F8">
              <w:rPr>
                <w:b/>
                <w:bCs/>
                <w:sz w:val="18"/>
                <w:szCs w:val="18"/>
              </w:rPr>
              <w:t>Local Indicator Group</w:t>
            </w:r>
          </w:p>
        </w:tc>
        <w:tc>
          <w:tcPr>
            <w:tcW w:w="762" w:type="dxa"/>
            <w:shd w:val="clear" w:color="auto" w:fill="DDD9C3" w:themeFill="background2" w:themeFillShade="E6"/>
          </w:tcPr>
          <w:p w14:paraId="5460BDFD" w14:textId="77777777" w:rsidR="001424F8" w:rsidRPr="001424F8" w:rsidRDefault="001424F8" w:rsidP="005A7B5C">
            <w:pPr>
              <w:jc w:val="center"/>
              <w:rPr>
                <w:b/>
                <w:bCs/>
                <w:sz w:val="18"/>
                <w:szCs w:val="18"/>
              </w:rPr>
            </w:pPr>
            <w:r w:rsidRPr="001424F8">
              <w:rPr>
                <w:b/>
                <w:bCs/>
                <w:sz w:val="18"/>
                <w:szCs w:val="18"/>
              </w:rPr>
              <w:t>Deadline for Data providing</w:t>
            </w:r>
          </w:p>
        </w:tc>
        <w:tc>
          <w:tcPr>
            <w:tcW w:w="1188" w:type="dxa"/>
            <w:shd w:val="clear" w:color="auto" w:fill="DDD9C3" w:themeFill="background2" w:themeFillShade="E6"/>
            <w:vAlign w:val="center"/>
          </w:tcPr>
          <w:p w14:paraId="1E65670F" w14:textId="77777777" w:rsidR="001424F8" w:rsidRPr="00C766D7" w:rsidRDefault="001424F8" w:rsidP="005A7B5C">
            <w:pPr>
              <w:jc w:val="center"/>
              <w:rPr>
                <w:b/>
                <w:bCs/>
                <w:sz w:val="18"/>
                <w:szCs w:val="18"/>
              </w:rPr>
            </w:pPr>
            <w:r>
              <w:rPr>
                <w:b/>
                <w:bCs/>
                <w:sz w:val="18"/>
                <w:szCs w:val="18"/>
              </w:rPr>
              <w:t>Remarks</w:t>
            </w:r>
          </w:p>
        </w:tc>
      </w:tr>
      <w:tr w:rsidR="005F4037" w:rsidRPr="00C07ED2" w14:paraId="2DB546AD" w14:textId="77777777" w:rsidTr="0085651F">
        <w:trPr>
          <w:tblHeader/>
        </w:trPr>
        <w:tc>
          <w:tcPr>
            <w:tcW w:w="1179" w:type="dxa"/>
            <w:shd w:val="clear" w:color="auto" w:fill="00B0F0"/>
          </w:tcPr>
          <w:p w14:paraId="3B193FEF" w14:textId="77777777" w:rsidR="001424F8" w:rsidRPr="00C07ED2" w:rsidRDefault="001424F8" w:rsidP="005A7B5C">
            <w:pPr>
              <w:jc w:val="center"/>
              <w:rPr>
                <w:b/>
                <w:bCs/>
                <w:i/>
                <w:iCs/>
                <w:sz w:val="18"/>
                <w:szCs w:val="18"/>
              </w:rPr>
            </w:pPr>
            <w:r w:rsidRPr="00C07ED2">
              <w:rPr>
                <w:b/>
                <w:bCs/>
                <w:i/>
                <w:iCs/>
                <w:sz w:val="18"/>
                <w:szCs w:val="18"/>
              </w:rPr>
              <w:t>1</w:t>
            </w:r>
          </w:p>
        </w:tc>
        <w:tc>
          <w:tcPr>
            <w:tcW w:w="921" w:type="dxa"/>
            <w:gridSpan w:val="2"/>
            <w:shd w:val="clear" w:color="auto" w:fill="00B0F0"/>
          </w:tcPr>
          <w:p w14:paraId="52B68BF0" w14:textId="77777777" w:rsidR="001424F8" w:rsidRPr="00C07ED2" w:rsidRDefault="001424F8" w:rsidP="005A7B5C">
            <w:pPr>
              <w:jc w:val="center"/>
              <w:rPr>
                <w:b/>
                <w:bCs/>
                <w:i/>
                <w:iCs/>
                <w:sz w:val="18"/>
                <w:szCs w:val="18"/>
              </w:rPr>
            </w:pPr>
            <w:r w:rsidRPr="00C07ED2">
              <w:rPr>
                <w:b/>
                <w:bCs/>
                <w:i/>
                <w:iCs/>
                <w:sz w:val="18"/>
                <w:szCs w:val="18"/>
              </w:rPr>
              <w:t>2</w:t>
            </w:r>
          </w:p>
        </w:tc>
        <w:tc>
          <w:tcPr>
            <w:tcW w:w="985" w:type="dxa"/>
            <w:shd w:val="clear" w:color="auto" w:fill="00B0F0"/>
          </w:tcPr>
          <w:p w14:paraId="40236768" w14:textId="77777777" w:rsidR="001424F8" w:rsidRPr="00C07ED2" w:rsidRDefault="001424F8" w:rsidP="005A7B5C">
            <w:pPr>
              <w:jc w:val="center"/>
              <w:rPr>
                <w:b/>
                <w:bCs/>
                <w:i/>
                <w:iCs/>
                <w:sz w:val="18"/>
                <w:szCs w:val="18"/>
              </w:rPr>
            </w:pPr>
            <w:r w:rsidRPr="00C07ED2">
              <w:rPr>
                <w:b/>
                <w:bCs/>
                <w:i/>
                <w:iCs/>
                <w:sz w:val="18"/>
                <w:szCs w:val="18"/>
              </w:rPr>
              <w:t>3</w:t>
            </w:r>
          </w:p>
        </w:tc>
        <w:tc>
          <w:tcPr>
            <w:tcW w:w="5331" w:type="dxa"/>
            <w:shd w:val="clear" w:color="auto" w:fill="00B0F0"/>
          </w:tcPr>
          <w:p w14:paraId="2942C5DE" w14:textId="77777777" w:rsidR="001424F8" w:rsidRPr="00C07ED2" w:rsidRDefault="001424F8" w:rsidP="005A7B5C">
            <w:pPr>
              <w:jc w:val="center"/>
              <w:rPr>
                <w:b/>
                <w:bCs/>
                <w:i/>
                <w:iCs/>
                <w:sz w:val="18"/>
                <w:szCs w:val="18"/>
              </w:rPr>
            </w:pPr>
            <w:r w:rsidRPr="00C07ED2">
              <w:rPr>
                <w:b/>
                <w:bCs/>
                <w:i/>
                <w:iCs/>
                <w:sz w:val="18"/>
                <w:szCs w:val="18"/>
              </w:rPr>
              <w:t>4</w:t>
            </w:r>
          </w:p>
        </w:tc>
        <w:tc>
          <w:tcPr>
            <w:tcW w:w="967" w:type="dxa"/>
            <w:shd w:val="clear" w:color="auto" w:fill="00B0F0"/>
          </w:tcPr>
          <w:p w14:paraId="01AD9B43" w14:textId="77777777" w:rsidR="001424F8" w:rsidRPr="00C07ED2" w:rsidRDefault="001424F8" w:rsidP="005A7B5C">
            <w:pPr>
              <w:jc w:val="center"/>
              <w:rPr>
                <w:b/>
                <w:bCs/>
                <w:i/>
                <w:iCs/>
                <w:sz w:val="18"/>
                <w:szCs w:val="18"/>
              </w:rPr>
            </w:pPr>
            <w:r w:rsidRPr="00C07ED2">
              <w:rPr>
                <w:b/>
                <w:bCs/>
                <w:i/>
                <w:iCs/>
                <w:sz w:val="18"/>
                <w:szCs w:val="18"/>
              </w:rPr>
              <w:t>5</w:t>
            </w:r>
          </w:p>
        </w:tc>
        <w:tc>
          <w:tcPr>
            <w:tcW w:w="1140" w:type="dxa"/>
            <w:shd w:val="clear" w:color="auto" w:fill="00B0F0"/>
          </w:tcPr>
          <w:p w14:paraId="7C2A02FF" w14:textId="77777777" w:rsidR="001424F8" w:rsidRPr="00C07ED2" w:rsidRDefault="001424F8" w:rsidP="005A7B5C">
            <w:pPr>
              <w:jc w:val="center"/>
              <w:rPr>
                <w:b/>
                <w:bCs/>
                <w:i/>
                <w:iCs/>
                <w:sz w:val="18"/>
                <w:szCs w:val="18"/>
              </w:rPr>
            </w:pPr>
            <w:r w:rsidRPr="00C07ED2">
              <w:rPr>
                <w:b/>
                <w:bCs/>
                <w:i/>
                <w:iCs/>
                <w:sz w:val="18"/>
                <w:szCs w:val="18"/>
              </w:rPr>
              <w:t>6</w:t>
            </w:r>
          </w:p>
        </w:tc>
        <w:tc>
          <w:tcPr>
            <w:tcW w:w="721" w:type="dxa"/>
            <w:shd w:val="clear" w:color="auto" w:fill="00B0F0"/>
          </w:tcPr>
          <w:p w14:paraId="72C1F08A" w14:textId="77777777" w:rsidR="001424F8" w:rsidRPr="00C07ED2" w:rsidRDefault="001424F8" w:rsidP="005A7B5C">
            <w:pPr>
              <w:jc w:val="center"/>
              <w:rPr>
                <w:b/>
                <w:bCs/>
                <w:i/>
                <w:iCs/>
                <w:sz w:val="18"/>
                <w:szCs w:val="18"/>
              </w:rPr>
            </w:pPr>
            <w:r w:rsidRPr="00C07ED2">
              <w:rPr>
                <w:b/>
                <w:bCs/>
                <w:i/>
                <w:iCs/>
                <w:sz w:val="18"/>
                <w:szCs w:val="18"/>
              </w:rPr>
              <w:t>7</w:t>
            </w:r>
          </w:p>
        </w:tc>
        <w:tc>
          <w:tcPr>
            <w:tcW w:w="1116" w:type="dxa"/>
            <w:shd w:val="clear" w:color="auto" w:fill="00B0F0"/>
          </w:tcPr>
          <w:p w14:paraId="1535D14D" w14:textId="77777777" w:rsidR="001424F8" w:rsidRPr="00C07ED2" w:rsidRDefault="001424F8" w:rsidP="005A7B5C">
            <w:pPr>
              <w:jc w:val="center"/>
              <w:rPr>
                <w:b/>
                <w:bCs/>
                <w:i/>
                <w:iCs/>
                <w:sz w:val="18"/>
                <w:szCs w:val="18"/>
              </w:rPr>
            </w:pPr>
            <w:r w:rsidRPr="00C07ED2">
              <w:rPr>
                <w:b/>
                <w:bCs/>
                <w:i/>
                <w:iCs/>
                <w:sz w:val="18"/>
                <w:szCs w:val="18"/>
              </w:rPr>
              <w:t>8</w:t>
            </w:r>
          </w:p>
        </w:tc>
        <w:tc>
          <w:tcPr>
            <w:tcW w:w="1354" w:type="dxa"/>
            <w:shd w:val="clear" w:color="auto" w:fill="00B0F0"/>
          </w:tcPr>
          <w:p w14:paraId="4CAB317E" w14:textId="77777777" w:rsidR="001424F8" w:rsidRPr="00C07ED2" w:rsidRDefault="001424F8" w:rsidP="005A7B5C">
            <w:pPr>
              <w:jc w:val="center"/>
              <w:rPr>
                <w:b/>
                <w:bCs/>
                <w:i/>
                <w:iCs/>
                <w:sz w:val="18"/>
                <w:szCs w:val="18"/>
              </w:rPr>
            </w:pPr>
            <w:r w:rsidRPr="00C07ED2">
              <w:rPr>
                <w:b/>
                <w:bCs/>
                <w:i/>
                <w:iCs/>
                <w:sz w:val="18"/>
                <w:szCs w:val="18"/>
              </w:rPr>
              <w:t>9</w:t>
            </w:r>
          </w:p>
        </w:tc>
        <w:tc>
          <w:tcPr>
            <w:tcW w:w="801" w:type="dxa"/>
            <w:shd w:val="clear" w:color="auto" w:fill="00B0F0"/>
          </w:tcPr>
          <w:p w14:paraId="5E96834A" w14:textId="77777777" w:rsidR="001424F8" w:rsidRPr="00C07ED2" w:rsidRDefault="001424F8" w:rsidP="005A7B5C">
            <w:pPr>
              <w:jc w:val="center"/>
              <w:rPr>
                <w:b/>
                <w:bCs/>
                <w:i/>
                <w:iCs/>
                <w:sz w:val="18"/>
                <w:szCs w:val="18"/>
              </w:rPr>
            </w:pPr>
            <w:r w:rsidRPr="00C07ED2">
              <w:rPr>
                <w:b/>
                <w:bCs/>
                <w:i/>
                <w:iCs/>
                <w:sz w:val="18"/>
                <w:szCs w:val="18"/>
              </w:rPr>
              <w:t>10</w:t>
            </w:r>
          </w:p>
        </w:tc>
        <w:tc>
          <w:tcPr>
            <w:tcW w:w="697" w:type="dxa"/>
            <w:shd w:val="clear" w:color="auto" w:fill="00B0F0"/>
          </w:tcPr>
          <w:p w14:paraId="4F37A9E3" w14:textId="77777777" w:rsidR="001424F8" w:rsidRPr="00C07ED2" w:rsidRDefault="001424F8" w:rsidP="005A7B5C">
            <w:pPr>
              <w:jc w:val="center"/>
              <w:rPr>
                <w:b/>
                <w:bCs/>
                <w:i/>
                <w:iCs/>
                <w:sz w:val="18"/>
                <w:szCs w:val="18"/>
              </w:rPr>
            </w:pPr>
            <w:r w:rsidRPr="00C07ED2">
              <w:rPr>
                <w:b/>
                <w:bCs/>
                <w:i/>
                <w:iCs/>
                <w:sz w:val="18"/>
                <w:szCs w:val="18"/>
              </w:rPr>
              <w:t>11</w:t>
            </w:r>
          </w:p>
        </w:tc>
        <w:tc>
          <w:tcPr>
            <w:tcW w:w="762" w:type="dxa"/>
            <w:shd w:val="clear" w:color="auto" w:fill="00B0F0"/>
          </w:tcPr>
          <w:p w14:paraId="257D5AE9" w14:textId="77777777" w:rsidR="001424F8" w:rsidRPr="00C07ED2" w:rsidRDefault="00C756D0" w:rsidP="005A7B5C">
            <w:pPr>
              <w:jc w:val="center"/>
              <w:rPr>
                <w:b/>
                <w:bCs/>
                <w:i/>
                <w:iCs/>
                <w:sz w:val="18"/>
                <w:szCs w:val="18"/>
                <w:lang w:bidi="bn-BD"/>
              </w:rPr>
            </w:pPr>
            <w:r>
              <w:rPr>
                <w:rFonts w:hint="cs"/>
                <w:b/>
                <w:bCs/>
                <w:i/>
                <w:iCs/>
                <w:sz w:val="18"/>
                <w:szCs w:val="18"/>
                <w:cs/>
                <w:lang w:bidi="bn-BD"/>
              </w:rPr>
              <w:t>12</w:t>
            </w:r>
          </w:p>
        </w:tc>
        <w:tc>
          <w:tcPr>
            <w:tcW w:w="1188" w:type="dxa"/>
            <w:shd w:val="clear" w:color="auto" w:fill="00B0F0"/>
          </w:tcPr>
          <w:p w14:paraId="55155045" w14:textId="77777777" w:rsidR="001424F8" w:rsidRPr="00C07ED2" w:rsidRDefault="00C756D0" w:rsidP="005A7B5C">
            <w:pPr>
              <w:jc w:val="center"/>
              <w:rPr>
                <w:b/>
                <w:bCs/>
                <w:i/>
                <w:iCs/>
                <w:sz w:val="18"/>
                <w:szCs w:val="18"/>
                <w:lang w:bidi="bn-BD"/>
              </w:rPr>
            </w:pPr>
            <w:r>
              <w:rPr>
                <w:b/>
                <w:bCs/>
                <w:i/>
                <w:iCs/>
                <w:sz w:val="18"/>
                <w:szCs w:val="18"/>
              </w:rPr>
              <w:t>1</w:t>
            </w:r>
            <w:r>
              <w:rPr>
                <w:rFonts w:hint="cs"/>
                <w:b/>
                <w:bCs/>
                <w:i/>
                <w:iCs/>
                <w:sz w:val="18"/>
                <w:szCs w:val="18"/>
                <w:cs/>
                <w:lang w:bidi="bn-BD"/>
              </w:rPr>
              <w:t>3</w:t>
            </w:r>
          </w:p>
        </w:tc>
      </w:tr>
      <w:tr w:rsidR="0085651F" w14:paraId="3298DFBF" w14:textId="77777777" w:rsidTr="0085651F">
        <w:tc>
          <w:tcPr>
            <w:tcW w:w="17162" w:type="dxa"/>
            <w:gridSpan w:val="14"/>
            <w:shd w:val="clear" w:color="auto" w:fill="auto"/>
          </w:tcPr>
          <w:p w14:paraId="2A55A49D" w14:textId="77777777" w:rsidR="0085651F" w:rsidRPr="009A340D" w:rsidRDefault="0085651F" w:rsidP="005A7B5C">
            <w:pPr>
              <w:ind w:left="970" w:hanging="970"/>
              <w:jc w:val="both"/>
              <w:rPr>
                <w:color w:val="FF0000"/>
                <w:sz w:val="30"/>
                <w:szCs w:val="30"/>
              </w:rPr>
            </w:pPr>
            <w:r w:rsidRPr="009A340D">
              <w:rPr>
                <w:color w:val="FF0000"/>
                <w:sz w:val="30"/>
                <w:szCs w:val="30"/>
              </w:rPr>
              <w:t>Target 5.1 End all forms of discrimination against all women and girls everywhere</w:t>
            </w:r>
          </w:p>
        </w:tc>
      </w:tr>
      <w:tr w:rsidR="00221C59" w14:paraId="018D9413" w14:textId="77777777" w:rsidTr="0085651F">
        <w:tc>
          <w:tcPr>
            <w:tcW w:w="1179" w:type="dxa"/>
            <w:shd w:val="clear" w:color="auto" w:fill="auto"/>
          </w:tcPr>
          <w:p w14:paraId="2DCC6B85" w14:textId="77777777" w:rsidR="00221C59" w:rsidRPr="00701B09" w:rsidRDefault="00221C59" w:rsidP="00221C59">
            <w:pPr>
              <w:pStyle w:val="NoSpacing"/>
            </w:pPr>
            <w:r w:rsidRPr="009A340D">
              <w:t>5.1.1 Whether or not legal frameworks are in place to promote, enforce and monitor equality and non</w:t>
            </w:r>
            <w:r w:rsidRPr="009A340D">
              <w:rPr>
                <w:rFonts w:ascii="Cambria Math" w:hAnsi="Cambria Math" w:cs="Cambria Math"/>
              </w:rPr>
              <w:t>‑</w:t>
            </w:r>
            <w:r w:rsidRPr="009A340D">
              <w:t>discrimination on the basis of sex</w:t>
            </w:r>
          </w:p>
        </w:tc>
        <w:tc>
          <w:tcPr>
            <w:tcW w:w="921" w:type="dxa"/>
            <w:gridSpan w:val="2"/>
            <w:shd w:val="clear" w:color="auto" w:fill="auto"/>
          </w:tcPr>
          <w:p w14:paraId="16458B96" w14:textId="77777777" w:rsidR="00221C59" w:rsidRPr="009A340D" w:rsidRDefault="00221C59" w:rsidP="00221C59">
            <w:pPr>
              <w:rPr>
                <w:szCs w:val="20"/>
              </w:rPr>
            </w:pPr>
            <w:r w:rsidRPr="009A340D">
              <w:rPr>
                <w:szCs w:val="20"/>
              </w:rPr>
              <w:t>UN Women,</w:t>
            </w:r>
          </w:p>
          <w:p w14:paraId="0508AACD" w14:textId="77777777" w:rsidR="00221C59" w:rsidRDefault="00221C59" w:rsidP="00221C59">
            <w:pPr>
              <w:rPr>
                <w:szCs w:val="20"/>
              </w:rPr>
            </w:pPr>
            <w:r w:rsidRPr="009A340D">
              <w:rPr>
                <w:szCs w:val="20"/>
              </w:rPr>
              <w:t>World Bank,</w:t>
            </w:r>
            <w:r>
              <w:rPr>
                <w:szCs w:val="20"/>
              </w:rPr>
              <w:t xml:space="preserve"> </w:t>
            </w:r>
            <w:r w:rsidRPr="009A340D">
              <w:rPr>
                <w:szCs w:val="20"/>
              </w:rPr>
              <w:t>OECD Development Centre</w:t>
            </w:r>
          </w:p>
          <w:p w14:paraId="388D1B84" w14:textId="77777777" w:rsidR="00221C59" w:rsidRDefault="00221C59" w:rsidP="00221C59">
            <w:pPr>
              <w:rPr>
                <w:szCs w:val="20"/>
              </w:rPr>
            </w:pPr>
            <w:r w:rsidRPr="009A340D">
              <w:rPr>
                <w:szCs w:val="20"/>
              </w:rPr>
              <w:tab/>
            </w:r>
          </w:p>
          <w:p w14:paraId="186574C4" w14:textId="77777777" w:rsidR="00221C59" w:rsidRPr="00996F1A" w:rsidRDefault="00221C59" w:rsidP="00221C59">
            <w:pPr>
              <w:rPr>
                <w:b/>
                <w:bCs/>
                <w:szCs w:val="20"/>
              </w:rPr>
            </w:pPr>
            <w:r w:rsidRPr="00996F1A">
              <w:rPr>
                <w:b/>
                <w:bCs/>
                <w:szCs w:val="20"/>
              </w:rPr>
              <w:t>Partner Agenc</w:t>
            </w:r>
            <w:r>
              <w:rPr>
                <w:b/>
                <w:bCs/>
                <w:szCs w:val="20"/>
              </w:rPr>
              <w:t>y</w:t>
            </w:r>
            <w:r w:rsidRPr="00996F1A">
              <w:rPr>
                <w:b/>
                <w:bCs/>
                <w:szCs w:val="20"/>
              </w:rPr>
              <w:t>:</w:t>
            </w:r>
          </w:p>
          <w:p w14:paraId="073D4691" w14:textId="77777777" w:rsidR="00221C59" w:rsidRPr="00996F1A" w:rsidRDefault="00221C59" w:rsidP="00221C59">
            <w:pPr>
              <w:rPr>
                <w:szCs w:val="20"/>
              </w:rPr>
            </w:pPr>
            <w:r w:rsidRPr="009A340D">
              <w:rPr>
                <w:szCs w:val="20"/>
              </w:rPr>
              <w:t>OHCHR</w:t>
            </w:r>
          </w:p>
        </w:tc>
        <w:tc>
          <w:tcPr>
            <w:tcW w:w="985" w:type="dxa"/>
            <w:shd w:val="clear" w:color="auto" w:fill="auto"/>
          </w:tcPr>
          <w:p w14:paraId="54C8E777" w14:textId="77777777" w:rsidR="00221C59" w:rsidRPr="00262FC1" w:rsidRDefault="00221C59" w:rsidP="00221C59">
            <w:pPr>
              <w:jc w:val="center"/>
              <w:rPr>
                <w:szCs w:val="20"/>
              </w:rPr>
            </w:pPr>
            <w:r>
              <w:rPr>
                <w:szCs w:val="20"/>
              </w:rPr>
              <w:t>Tier II</w:t>
            </w:r>
          </w:p>
        </w:tc>
        <w:tc>
          <w:tcPr>
            <w:tcW w:w="5331" w:type="dxa"/>
            <w:shd w:val="clear" w:color="auto" w:fill="auto"/>
          </w:tcPr>
          <w:p w14:paraId="3A64A250" w14:textId="77777777" w:rsidR="00221C59" w:rsidRPr="005A7B5C" w:rsidRDefault="00221C59" w:rsidP="00221C59">
            <w:pPr>
              <w:jc w:val="both"/>
              <w:rPr>
                <w:b/>
                <w:bCs/>
                <w:szCs w:val="20"/>
              </w:rPr>
            </w:pPr>
            <w:r w:rsidRPr="005A7B5C">
              <w:rPr>
                <w:b/>
                <w:bCs/>
                <w:szCs w:val="20"/>
              </w:rPr>
              <w:t>Definitions:</w:t>
            </w:r>
          </w:p>
          <w:p w14:paraId="41B3A7FC" w14:textId="77777777" w:rsidR="00221C59" w:rsidRDefault="00221C59" w:rsidP="00221C59">
            <w:pPr>
              <w:jc w:val="both"/>
              <w:rPr>
                <w:szCs w:val="20"/>
              </w:rPr>
            </w:pPr>
            <w:r w:rsidRPr="005A7B5C">
              <w:rPr>
                <w:szCs w:val="20"/>
              </w:rPr>
              <w:t xml:space="preserve">Indicator 5.1.1 measures Government efforts to put in place legal frameworks that </w:t>
            </w:r>
            <w:proofErr w:type="gramStart"/>
            <w:r w:rsidRPr="005A7B5C">
              <w:rPr>
                <w:szCs w:val="20"/>
              </w:rPr>
              <w:t>promote,</w:t>
            </w:r>
            <w:proofErr w:type="gramEnd"/>
            <w:r w:rsidRPr="005A7B5C">
              <w:rPr>
                <w:szCs w:val="20"/>
              </w:rPr>
              <w:t xml:space="preserve"> enforce and monitor gender equality.</w:t>
            </w:r>
          </w:p>
          <w:p w14:paraId="24404EFB" w14:textId="77777777" w:rsidR="00221C59" w:rsidRDefault="00221C59" w:rsidP="00221C59">
            <w:pPr>
              <w:jc w:val="both"/>
              <w:rPr>
                <w:szCs w:val="20"/>
              </w:rPr>
            </w:pPr>
          </w:p>
          <w:p w14:paraId="5222C441" w14:textId="77777777" w:rsidR="00221C59" w:rsidRDefault="00221C59" w:rsidP="00221C59">
            <w:pPr>
              <w:jc w:val="both"/>
              <w:rPr>
                <w:szCs w:val="20"/>
              </w:rPr>
            </w:pPr>
            <w:r w:rsidRPr="005A7B5C">
              <w:rPr>
                <w:szCs w:val="20"/>
              </w:rPr>
              <w:t>The indicator is based on an assessment of legal frameworks that promote, enforce and monitor gender equality. The assessment is carried out by national counterparts, including National Statistical Offices (NSOs) and/or National Women’s Machinery (NWMs), and legal practitioners/researchers on gender equality, using a questionnaire comprising 45 yes/no questions under four areas of law: (i) overarching legal frameworks and public life; (ii) violence against women; (iii) employment and economic benefits; and (iv) marriage and family. The areas of law and questions are drawn from the international legal and policy framework on gender equality, in particular the Convention on the Elimination of All Forms of Discrimination against Women (CEDAW), which has 189 States parties, and the Beijing Platform for Action. As such, no new internationally agreed standard on equality and non-discrimination on the basis of sex was needed. The primary sources of information relevant for indicator 5.1.1 are legislation and policy/action plans.</w:t>
            </w:r>
          </w:p>
          <w:p w14:paraId="1ACFDFFC" w14:textId="77777777" w:rsidR="00221C59" w:rsidRDefault="00221C59" w:rsidP="00221C59">
            <w:pPr>
              <w:jc w:val="both"/>
              <w:rPr>
                <w:szCs w:val="20"/>
              </w:rPr>
            </w:pPr>
          </w:p>
          <w:p w14:paraId="33D08F61" w14:textId="77777777" w:rsidR="00221C59" w:rsidRDefault="00221C59" w:rsidP="00221C59">
            <w:pPr>
              <w:jc w:val="both"/>
              <w:rPr>
                <w:szCs w:val="20"/>
              </w:rPr>
            </w:pPr>
            <w:r>
              <w:rPr>
                <w:szCs w:val="20"/>
              </w:rPr>
              <w:t xml:space="preserve">There are </w:t>
            </w:r>
            <w:r w:rsidRPr="005A7B5C">
              <w:rPr>
                <w:szCs w:val="20"/>
              </w:rPr>
              <w:t>45 questions</w:t>
            </w:r>
            <w:r>
              <w:rPr>
                <w:szCs w:val="20"/>
              </w:rPr>
              <w:t xml:space="preserve"> under 4 Areas which are available in detailed metadata (Please see </w:t>
            </w:r>
            <w:r w:rsidRPr="005A7B5C">
              <w:rPr>
                <w:szCs w:val="20"/>
              </w:rPr>
              <w:t>https://unstats.un.org/sdgs/metadata/files/Metadata-05-01-01.pdf</w:t>
            </w:r>
            <w:r>
              <w:rPr>
                <w:szCs w:val="20"/>
              </w:rPr>
              <w:t>). The</w:t>
            </w:r>
            <w:r w:rsidRPr="005A7B5C">
              <w:rPr>
                <w:szCs w:val="20"/>
              </w:rPr>
              <w:t xml:space="preserve"> </w:t>
            </w:r>
            <w:r>
              <w:rPr>
                <w:szCs w:val="20"/>
              </w:rPr>
              <w:t>areas</w:t>
            </w:r>
            <w:r w:rsidRPr="005A7B5C">
              <w:rPr>
                <w:szCs w:val="20"/>
              </w:rPr>
              <w:t xml:space="preserve"> are:</w:t>
            </w:r>
            <w:r>
              <w:rPr>
                <w:szCs w:val="20"/>
              </w:rPr>
              <w:t xml:space="preserve"> </w:t>
            </w:r>
            <w:r w:rsidRPr="005A7B5C">
              <w:rPr>
                <w:szCs w:val="20"/>
              </w:rPr>
              <w:t>Area 1: Overarching legal frameworks and public life</w:t>
            </w:r>
            <w:r>
              <w:rPr>
                <w:szCs w:val="20"/>
              </w:rPr>
              <w:t xml:space="preserve">; </w:t>
            </w:r>
            <w:r w:rsidRPr="005A7B5C">
              <w:rPr>
                <w:szCs w:val="20"/>
              </w:rPr>
              <w:t>Area 2: Violence against women</w:t>
            </w:r>
            <w:r>
              <w:rPr>
                <w:szCs w:val="20"/>
              </w:rPr>
              <w:t xml:space="preserve">; </w:t>
            </w:r>
            <w:r w:rsidRPr="005A7B5C">
              <w:rPr>
                <w:szCs w:val="20"/>
              </w:rPr>
              <w:t>Area 3: Employment and economic benefits</w:t>
            </w:r>
            <w:r>
              <w:rPr>
                <w:szCs w:val="20"/>
              </w:rPr>
              <w:t xml:space="preserve">; and </w:t>
            </w:r>
            <w:r w:rsidRPr="005A7B5C">
              <w:rPr>
                <w:szCs w:val="20"/>
              </w:rPr>
              <w:t>Area 4: Marriage and family</w:t>
            </w:r>
            <w:r>
              <w:rPr>
                <w:szCs w:val="20"/>
              </w:rPr>
              <w:t>.</w:t>
            </w:r>
          </w:p>
          <w:p w14:paraId="631944FE" w14:textId="77777777" w:rsidR="00221C59" w:rsidRDefault="00221C59" w:rsidP="00221C59">
            <w:pPr>
              <w:jc w:val="both"/>
              <w:rPr>
                <w:szCs w:val="20"/>
              </w:rPr>
            </w:pPr>
          </w:p>
          <w:p w14:paraId="5B78AC6C" w14:textId="77777777" w:rsidR="00221C59" w:rsidRPr="005A7B5C" w:rsidRDefault="00221C59" w:rsidP="00221C59">
            <w:pPr>
              <w:jc w:val="both"/>
              <w:rPr>
                <w:b/>
                <w:bCs/>
                <w:szCs w:val="20"/>
              </w:rPr>
            </w:pPr>
            <w:r w:rsidRPr="005A7B5C">
              <w:rPr>
                <w:b/>
                <w:bCs/>
                <w:szCs w:val="20"/>
              </w:rPr>
              <w:t>Concepts:</w:t>
            </w:r>
          </w:p>
          <w:p w14:paraId="3F7B9782" w14:textId="77777777" w:rsidR="00221C59" w:rsidRDefault="00221C59" w:rsidP="00221C59">
            <w:pPr>
              <w:jc w:val="both"/>
              <w:rPr>
                <w:szCs w:val="20"/>
              </w:rPr>
            </w:pPr>
            <w:r w:rsidRPr="005A7B5C">
              <w:rPr>
                <w:szCs w:val="20"/>
              </w:rPr>
              <w:t xml:space="preserve">Article 1 of CEDAW provides a comprehensive definition of discrimination against </w:t>
            </w:r>
            <w:r w:rsidRPr="005A7B5C">
              <w:rPr>
                <w:szCs w:val="20"/>
              </w:rPr>
              <w:lastRenderedPageBreak/>
              <w:t xml:space="preserve">women covering direct and indirect discrimination and article 2 sets out general obligations for States, in particular on required legal frameworks, to eliminate discrimination against women. Article 1 of CEDAW states: “… the term "discrimination against women" 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 </w:t>
            </w:r>
          </w:p>
          <w:p w14:paraId="03701BC4" w14:textId="77777777" w:rsidR="00221C59" w:rsidRDefault="00221C59" w:rsidP="00221C59">
            <w:pPr>
              <w:jc w:val="both"/>
              <w:rPr>
                <w:szCs w:val="20"/>
              </w:rPr>
            </w:pPr>
          </w:p>
          <w:p w14:paraId="7EE5D0E4" w14:textId="77777777" w:rsidR="00221C59" w:rsidRDefault="00221C59" w:rsidP="00221C59">
            <w:pPr>
              <w:jc w:val="both"/>
              <w:rPr>
                <w:szCs w:val="20"/>
              </w:rPr>
            </w:pPr>
            <w:r w:rsidRPr="005A7B5C">
              <w:rPr>
                <w:szCs w:val="20"/>
              </w:rPr>
              <w:t xml:space="preserve">The term “legal frameworks” is defined broadly to encompass laws, mechanisms and policies/plans to ‘promote, enforce and monitor’ gender equality. </w:t>
            </w:r>
          </w:p>
          <w:p w14:paraId="518BBEDA" w14:textId="77777777" w:rsidR="00221C59" w:rsidRDefault="00221C59" w:rsidP="00221C59">
            <w:pPr>
              <w:jc w:val="both"/>
              <w:rPr>
                <w:szCs w:val="20"/>
              </w:rPr>
            </w:pPr>
          </w:p>
          <w:p w14:paraId="79258D21" w14:textId="77777777" w:rsidR="00221C59" w:rsidRDefault="00221C59" w:rsidP="00221C59">
            <w:pPr>
              <w:jc w:val="both"/>
              <w:rPr>
                <w:szCs w:val="20"/>
              </w:rPr>
            </w:pPr>
            <w:r w:rsidRPr="005A7B5C">
              <w:rPr>
                <w:szCs w:val="20"/>
              </w:rPr>
              <w:t>Legal frameworks that “promote” are those that establish women’s equal rights with men and enshrine non-discrimination on the basis of sex. Legal frameworks that “enforce and monitor’ are directed to the realization of equality and non-discrimination and implementation of laws, such as policies/plans, establishment of enforcement and monitoring mechanisms, and allocation of financial resources.</w:t>
            </w:r>
          </w:p>
          <w:p w14:paraId="30A42652" w14:textId="77777777" w:rsidR="00221C59" w:rsidRDefault="00221C59" w:rsidP="00221C59">
            <w:pPr>
              <w:jc w:val="both"/>
              <w:rPr>
                <w:szCs w:val="20"/>
              </w:rPr>
            </w:pPr>
          </w:p>
          <w:p w14:paraId="245EF108" w14:textId="77777777" w:rsidR="00221C59" w:rsidRPr="005A7B5C" w:rsidRDefault="00221C59" w:rsidP="00221C59">
            <w:pPr>
              <w:jc w:val="both"/>
              <w:rPr>
                <w:b/>
                <w:bCs/>
                <w:szCs w:val="20"/>
              </w:rPr>
            </w:pPr>
            <w:r w:rsidRPr="005A7B5C">
              <w:rPr>
                <w:b/>
                <w:bCs/>
                <w:szCs w:val="20"/>
              </w:rPr>
              <w:t>Scoring:</w:t>
            </w:r>
          </w:p>
          <w:p w14:paraId="69518031" w14:textId="77777777" w:rsidR="00221C59" w:rsidRDefault="00221C59" w:rsidP="00221C59">
            <w:pPr>
              <w:jc w:val="both"/>
              <w:rPr>
                <w:szCs w:val="20"/>
              </w:rPr>
            </w:pPr>
            <w:r w:rsidRPr="005A7B5C">
              <w:rPr>
                <w:szCs w:val="20"/>
              </w:rPr>
              <w:t>The indicator is based on an assessment of legal frameworks that promote, enforce and monitor gender equality using a questionnaire comprising 45 Yes/No questions under four areas of law drawn from the international legal and policy framework on gender equality, in particular CEDAW and the Beijing Platform for Action.</w:t>
            </w:r>
          </w:p>
          <w:p w14:paraId="76AFD228" w14:textId="77777777" w:rsidR="00221C59" w:rsidRDefault="00221C59" w:rsidP="00221C59">
            <w:pPr>
              <w:jc w:val="both"/>
              <w:rPr>
                <w:szCs w:val="20"/>
              </w:rPr>
            </w:pPr>
          </w:p>
          <w:p w14:paraId="521E3A1F" w14:textId="77777777" w:rsidR="00221C59" w:rsidRDefault="00221C59" w:rsidP="00221C59">
            <w:pPr>
              <w:jc w:val="both"/>
              <w:rPr>
                <w:szCs w:val="20"/>
              </w:rPr>
            </w:pPr>
            <w:r w:rsidRPr="005A7B5C">
              <w:rPr>
                <w:szCs w:val="20"/>
              </w:rPr>
              <w:t>The answers to the questions are coded with simple “Yes/No” answers with “1” for “Yes” and “0” for “No”. For questions 1 and 2 only, they may be scored “N/A” in which case they are not included as part of the overall score calculation for the area.</w:t>
            </w:r>
          </w:p>
          <w:p w14:paraId="6CA89F2F" w14:textId="77777777" w:rsidR="00221C59" w:rsidRDefault="00221C59" w:rsidP="00221C59">
            <w:pPr>
              <w:jc w:val="both"/>
              <w:rPr>
                <w:szCs w:val="20"/>
              </w:rPr>
            </w:pPr>
          </w:p>
          <w:p w14:paraId="1BEFCBCE" w14:textId="77777777" w:rsidR="00221C59" w:rsidRDefault="00221C59" w:rsidP="00221C59">
            <w:pPr>
              <w:jc w:val="both"/>
              <w:rPr>
                <w:szCs w:val="20"/>
              </w:rPr>
            </w:pPr>
            <w:r w:rsidRPr="005A7B5C">
              <w:rPr>
                <w:szCs w:val="20"/>
              </w:rPr>
              <w:t>The scoring methodology is the unweighted average of the questions under each area of law calculated by:</w:t>
            </w:r>
            <w:r>
              <w:rPr>
                <w:szCs w:val="20"/>
              </w:rPr>
              <w:t xml:space="preserve"> </w:t>
            </w:r>
          </w:p>
          <w:p w14:paraId="596A6FE2" w14:textId="77777777" w:rsidR="00221C59" w:rsidRPr="005A7B5C" w:rsidRDefault="00221C59" w:rsidP="00221C59">
            <w:pPr>
              <w:jc w:val="both"/>
              <w:rPr>
                <w:rFonts w:eastAsiaTheme="minorEastAsia"/>
                <w:szCs w:val="20"/>
              </w:rPr>
            </w:pPr>
            <m:oMathPara>
              <m:oMath>
                <m:r>
                  <w:rPr>
                    <w:rFonts w:ascii="Cambria Math" w:hAnsi="Cambria Math"/>
                    <w:szCs w:val="20"/>
                  </w:rPr>
                  <m:t>Ai=</m:t>
                </m:r>
                <m:f>
                  <m:fPr>
                    <m:ctrlPr>
                      <w:rPr>
                        <w:rFonts w:ascii="Cambria Math" w:hAnsi="Cambria Math"/>
                        <w:i/>
                        <w:szCs w:val="20"/>
                      </w:rPr>
                    </m:ctrlPr>
                  </m:fPr>
                  <m:num>
                    <m:r>
                      <w:rPr>
                        <w:rFonts w:ascii="Cambria Math" w:hAnsi="Cambria Math"/>
                        <w:szCs w:val="20"/>
                      </w:rPr>
                      <m:t>q1+⋯+qmi</m:t>
                    </m:r>
                  </m:num>
                  <m:den>
                    <m:r>
                      <w:rPr>
                        <w:rFonts w:ascii="Cambria Math" w:hAnsi="Cambria Math"/>
                        <w:szCs w:val="20"/>
                      </w:rPr>
                      <m:t>mi</m:t>
                    </m:r>
                  </m:den>
                </m:f>
              </m:oMath>
            </m:oMathPara>
          </w:p>
          <w:p w14:paraId="635306F8" w14:textId="77777777" w:rsidR="00221C59" w:rsidRDefault="00221C59" w:rsidP="00221C59">
            <w:pPr>
              <w:jc w:val="both"/>
              <w:rPr>
                <w:szCs w:val="20"/>
              </w:rPr>
            </w:pPr>
            <w:r w:rsidRPr="005A7B5C">
              <w:rPr>
                <w:szCs w:val="20"/>
              </w:rPr>
              <w:t>Where Ai refers the area of law i; mi refers to the total number of questions under the area of law i;</w:t>
            </w:r>
            <w:r>
              <w:rPr>
                <w:szCs w:val="20"/>
              </w:rPr>
              <w:t xml:space="preserve"> </w:t>
            </w:r>
            <w:r w:rsidRPr="005A7B5C">
              <w:rPr>
                <w:szCs w:val="20"/>
              </w:rPr>
              <w:t>3 q1+...+qmi refers to the sum of the coded questions under the area of law and where qi=”1” if the answer is “Yes” and qi=”0” if the answer is “No”.</w:t>
            </w:r>
          </w:p>
          <w:p w14:paraId="033F3815" w14:textId="77777777" w:rsidR="00221C59" w:rsidRDefault="00221C59" w:rsidP="00221C59">
            <w:pPr>
              <w:jc w:val="both"/>
              <w:rPr>
                <w:szCs w:val="20"/>
              </w:rPr>
            </w:pPr>
          </w:p>
          <w:p w14:paraId="2B5724E5" w14:textId="77777777" w:rsidR="00221C59" w:rsidRDefault="00221C59" w:rsidP="00221C59">
            <w:pPr>
              <w:jc w:val="both"/>
              <w:rPr>
                <w:szCs w:val="20"/>
              </w:rPr>
            </w:pPr>
            <w:r w:rsidRPr="005A7B5C">
              <w:rPr>
                <w:szCs w:val="20"/>
              </w:rPr>
              <w:t xml:space="preserve">Results of the four areas are reported as percentages as a dashboard: </w:t>
            </w:r>
            <w:r w:rsidRPr="005A7B5C">
              <w:rPr>
                <w:rFonts w:ascii="Cambria Math" w:hAnsi="Cambria Math" w:cs="Cambria Math"/>
                <w:szCs w:val="20"/>
              </w:rPr>
              <w:t>〈𝐴</w:t>
            </w:r>
            <w:r w:rsidRPr="005A7B5C">
              <w:rPr>
                <w:szCs w:val="20"/>
              </w:rPr>
              <w:t>1</w:t>
            </w:r>
            <w:r>
              <w:rPr>
                <w:szCs w:val="20"/>
              </w:rPr>
              <w:t xml:space="preserve">, </w:t>
            </w:r>
            <w:r w:rsidRPr="005A7B5C">
              <w:rPr>
                <w:rFonts w:ascii="Cambria Math" w:hAnsi="Cambria Math" w:cs="Cambria Math"/>
                <w:szCs w:val="20"/>
              </w:rPr>
              <w:t>𝐴</w:t>
            </w:r>
            <w:r w:rsidRPr="005A7B5C">
              <w:rPr>
                <w:szCs w:val="20"/>
              </w:rPr>
              <w:t>2,</w:t>
            </w:r>
            <w:r>
              <w:rPr>
                <w:szCs w:val="20"/>
              </w:rPr>
              <w:t xml:space="preserve"> </w:t>
            </w:r>
            <w:r w:rsidRPr="005A7B5C">
              <w:rPr>
                <w:rFonts w:ascii="Cambria Math" w:hAnsi="Cambria Math" w:cs="Cambria Math"/>
                <w:szCs w:val="20"/>
              </w:rPr>
              <w:t>𝐴</w:t>
            </w:r>
            <w:r w:rsidRPr="005A7B5C">
              <w:rPr>
                <w:szCs w:val="20"/>
              </w:rPr>
              <w:t>3,</w:t>
            </w:r>
            <w:r>
              <w:rPr>
                <w:szCs w:val="20"/>
              </w:rPr>
              <w:t xml:space="preserve"> </w:t>
            </w:r>
            <w:r w:rsidRPr="005A7B5C">
              <w:rPr>
                <w:rFonts w:ascii="Cambria Math" w:hAnsi="Cambria Math" w:cs="Cambria Math"/>
                <w:szCs w:val="20"/>
              </w:rPr>
              <w:lastRenderedPageBreak/>
              <w:t>𝐴</w:t>
            </w:r>
            <w:r w:rsidRPr="005A7B5C">
              <w:rPr>
                <w:szCs w:val="20"/>
              </w:rPr>
              <w:t>4</w:t>
            </w:r>
            <w:r w:rsidRPr="005A7B5C">
              <w:rPr>
                <w:rFonts w:ascii="Cambria Math" w:hAnsi="Cambria Math" w:cs="Cambria Math"/>
                <w:szCs w:val="20"/>
              </w:rPr>
              <w:t>〉</w:t>
            </w:r>
            <w:r w:rsidRPr="005A7B5C">
              <w:rPr>
                <w:szCs w:val="20"/>
              </w:rPr>
              <w:t xml:space="preserve">. The score for each area (a number between 0 and 100) therefore represents the percentage of achievement of that country in that area, with 100 being best practice met on all questions in the area. </w:t>
            </w:r>
          </w:p>
          <w:p w14:paraId="492F1F90" w14:textId="77777777" w:rsidR="00221C59" w:rsidRDefault="00221C59" w:rsidP="00221C59">
            <w:pPr>
              <w:jc w:val="both"/>
              <w:rPr>
                <w:szCs w:val="20"/>
              </w:rPr>
            </w:pPr>
          </w:p>
          <w:p w14:paraId="2FDAB4E6" w14:textId="77777777" w:rsidR="00221C59" w:rsidRPr="00262FC1" w:rsidRDefault="00221C59" w:rsidP="00221C59">
            <w:pPr>
              <w:jc w:val="both"/>
              <w:rPr>
                <w:szCs w:val="20"/>
              </w:rPr>
            </w:pPr>
            <w:r w:rsidRPr="005A7B5C">
              <w:rPr>
                <w:szCs w:val="20"/>
              </w:rPr>
              <w:t>The choice of presenting all four area scores without further aggregation is the result of adopting the posture that high values in one area in a given country need not compensate in any way the country having low values in some other area, and that a comprehensive examination of the value of those four numbers for each country is potentially more informative than trying to summarize all four numbers into a single index.</w:t>
            </w:r>
          </w:p>
        </w:tc>
        <w:tc>
          <w:tcPr>
            <w:tcW w:w="967" w:type="dxa"/>
            <w:shd w:val="clear" w:color="auto" w:fill="auto"/>
          </w:tcPr>
          <w:p w14:paraId="745AB05F" w14:textId="77777777" w:rsidR="00221C59" w:rsidRPr="005D691C" w:rsidRDefault="00221C59" w:rsidP="00221C59">
            <w:pPr>
              <w:pStyle w:val="NoSpacing"/>
            </w:pPr>
            <w:r w:rsidRPr="005D691C">
              <w:lastRenderedPageBreak/>
              <w:t>Primary sources/</w:t>
            </w:r>
            <w:r>
              <w:t xml:space="preserve"> </w:t>
            </w:r>
            <w:r w:rsidRPr="005D691C">
              <w:t>official</w:t>
            </w:r>
          </w:p>
          <w:p w14:paraId="562D1E07" w14:textId="77777777" w:rsidR="00221C59" w:rsidRPr="00701B09" w:rsidRDefault="00221C59" w:rsidP="00221C59">
            <w:pPr>
              <w:jc w:val="center"/>
              <w:rPr>
                <w:bCs/>
                <w:szCs w:val="20"/>
              </w:rPr>
            </w:pPr>
            <w:r w:rsidRPr="005D691C">
              <w:rPr>
                <w:bCs/>
                <w:szCs w:val="20"/>
              </w:rPr>
              <w:t>Government documents, in particular laws, policies/</w:t>
            </w:r>
            <w:r>
              <w:rPr>
                <w:bCs/>
                <w:szCs w:val="20"/>
              </w:rPr>
              <w:t xml:space="preserve"> </w:t>
            </w:r>
            <w:r w:rsidRPr="005D691C">
              <w:rPr>
                <w:bCs/>
                <w:szCs w:val="20"/>
              </w:rPr>
              <w:t>action plans</w:t>
            </w:r>
          </w:p>
        </w:tc>
        <w:tc>
          <w:tcPr>
            <w:tcW w:w="1140" w:type="dxa"/>
            <w:shd w:val="clear" w:color="auto" w:fill="auto"/>
          </w:tcPr>
          <w:p w14:paraId="1BE5D394" w14:textId="77777777" w:rsidR="00221C59" w:rsidRPr="00701B09" w:rsidRDefault="00221C59" w:rsidP="00221C59">
            <w:pPr>
              <w:jc w:val="center"/>
              <w:rPr>
                <w:bCs/>
                <w:szCs w:val="20"/>
              </w:rPr>
            </w:pPr>
            <w:r w:rsidRPr="005D691C">
              <w:rPr>
                <w:bCs/>
                <w:szCs w:val="20"/>
              </w:rPr>
              <w:t>National Statistical Offices (NSOs) and/or National Women’s Machinery (NWMs)</w:t>
            </w:r>
          </w:p>
        </w:tc>
        <w:tc>
          <w:tcPr>
            <w:tcW w:w="721" w:type="dxa"/>
            <w:shd w:val="clear" w:color="auto" w:fill="auto"/>
          </w:tcPr>
          <w:p w14:paraId="26AC1553" w14:textId="4FEC581D" w:rsidR="00221C59" w:rsidRPr="005D691C" w:rsidRDefault="00221C59" w:rsidP="00221C59">
            <w:pPr>
              <w:pStyle w:val="ListParagraph"/>
              <w:numPr>
                <w:ilvl w:val="0"/>
                <w:numId w:val="24"/>
              </w:numPr>
              <w:ind w:left="95" w:hanging="125"/>
              <w:rPr>
                <w:rFonts w:ascii="Tw Cen MT Condensed" w:hAnsi="Tw Cen MT Condensed"/>
                <w:bCs/>
                <w:sz w:val="20"/>
                <w:szCs w:val="20"/>
              </w:rPr>
            </w:pPr>
          </w:p>
        </w:tc>
        <w:tc>
          <w:tcPr>
            <w:tcW w:w="1116" w:type="dxa"/>
            <w:shd w:val="clear" w:color="auto" w:fill="auto"/>
          </w:tcPr>
          <w:p w14:paraId="32BADCFB" w14:textId="77777777" w:rsidR="00221C59" w:rsidRDefault="00221C59" w:rsidP="00221C59">
            <w:pPr>
              <w:rPr>
                <w:bCs/>
                <w:szCs w:val="20"/>
              </w:rPr>
            </w:pPr>
            <w:r>
              <w:rPr>
                <w:bCs/>
                <w:szCs w:val="20"/>
              </w:rPr>
              <w:t xml:space="preserve">a) </w:t>
            </w:r>
            <w:r w:rsidRPr="005B3572">
              <w:rPr>
                <w:bCs/>
                <w:szCs w:val="20"/>
              </w:rPr>
              <w:t>MoWCA</w:t>
            </w:r>
          </w:p>
          <w:p w14:paraId="45BC5C21" w14:textId="6696D0C8" w:rsidR="00221C59" w:rsidRPr="005B3572" w:rsidRDefault="00221C59" w:rsidP="00221C59">
            <w:pPr>
              <w:rPr>
                <w:bCs/>
                <w:szCs w:val="20"/>
              </w:rPr>
            </w:pPr>
          </w:p>
        </w:tc>
        <w:tc>
          <w:tcPr>
            <w:tcW w:w="1354" w:type="dxa"/>
            <w:shd w:val="clear" w:color="auto" w:fill="auto"/>
          </w:tcPr>
          <w:p w14:paraId="66273ABF" w14:textId="77777777" w:rsidR="00221C59" w:rsidRPr="005D691C" w:rsidRDefault="00221C59" w:rsidP="00221C59">
            <w:pPr>
              <w:jc w:val="both"/>
              <w:rPr>
                <w:bCs/>
                <w:szCs w:val="20"/>
              </w:rPr>
            </w:pPr>
            <w:r w:rsidRPr="005D691C">
              <w:rPr>
                <w:bCs/>
                <w:szCs w:val="20"/>
              </w:rPr>
              <w:t xml:space="preserve">Four areas of law: </w:t>
            </w:r>
          </w:p>
          <w:p w14:paraId="0A05ACA6" w14:textId="77777777" w:rsidR="00221C59" w:rsidRDefault="00221C59" w:rsidP="00221C59">
            <w:pPr>
              <w:pStyle w:val="ListParagraph"/>
              <w:numPr>
                <w:ilvl w:val="0"/>
                <w:numId w:val="2"/>
              </w:numPr>
              <w:spacing w:after="0" w:line="240" w:lineRule="auto"/>
              <w:ind w:left="180" w:hanging="180"/>
              <w:jc w:val="both"/>
              <w:rPr>
                <w:rFonts w:ascii="Tw Cen MT Condensed" w:hAnsi="Tw Cen MT Condensed"/>
                <w:bCs/>
                <w:sz w:val="20"/>
                <w:szCs w:val="20"/>
              </w:rPr>
            </w:pPr>
            <w:r w:rsidRPr="005A7B5C">
              <w:rPr>
                <w:rFonts w:ascii="Tw Cen MT Condensed" w:hAnsi="Tw Cen MT Condensed"/>
                <w:bCs/>
                <w:sz w:val="20"/>
                <w:szCs w:val="20"/>
              </w:rPr>
              <w:t xml:space="preserve">Overarching legal frameworks and public life; </w:t>
            </w:r>
          </w:p>
          <w:p w14:paraId="16BD0811" w14:textId="77777777" w:rsidR="00221C59" w:rsidRDefault="00221C59" w:rsidP="00221C59">
            <w:pPr>
              <w:pStyle w:val="ListParagraph"/>
              <w:numPr>
                <w:ilvl w:val="0"/>
                <w:numId w:val="2"/>
              </w:numPr>
              <w:spacing w:after="0" w:line="240" w:lineRule="auto"/>
              <w:ind w:left="180" w:hanging="180"/>
              <w:jc w:val="both"/>
              <w:rPr>
                <w:rFonts w:ascii="Tw Cen MT Condensed" w:hAnsi="Tw Cen MT Condensed"/>
                <w:bCs/>
                <w:sz w:val="20"/>
                <w:szCs w:val="20"/>
              </w:rPr>
            </w:pPr>
            <w:r w:rsidRPr="005A7B5C">
              <w:rPr>
                <w:rFonts w:ascii="Tw Cen MT Condensed" w:hAnsi="Tw Cen MT Condensed"/>
                <w:bCs/>
                <w:sz w:val="20"/>
                <w:szCs w:val="20"/>
              </w:rPr>
              <w:t xml:space="preserve">Violence against women; </w:t>
            </w:r>
          </w:p>
          <w:p w14:paraId="6CEB2AA5" w14:textId="77777777" w:rsidR="00221C59" w:rsidRDefault="00221C59" w:rsidP="00221C59">
            <w:pPr>
              <w:pStyle w:val="ListParagraph"/>
              <w:numPr>
                <w:ilvl w:val="0"/>
                <w:numId w:val="2"/>
              </w:numPr>
              <w:spacing w:after="0" w:line="240" w:lineRule="auto"/>
              <w:ind w:left="180" w:hanging="180"/>
              <w:jc w:val="both"/>
              <w:rPr>
                <w:rFonts w:ascii="Tw Cen MT Condensed" w:hAnsi="Tw Cen MT Condensed"/>
                <w:bCs/>
                <w:sz w:val="20"/>
                <w:szCs w:val="20"/>
              </w:rPr>
            </w:pPr>
            <w:r w:rsidRPr="005A7B5C">
              <w:rPr>
                <w:rFonts w:ascii="Tw Cen MT Condensed" w:hAnsi="Tw Cen MT Condensed"/>
                <w:bCs/>
                <w:sz w:val="20"/>
                <w:szCs w:val="20"/>
              </w:rPr>
              <w:t xml:space="preserve">Employment and economic benefits; and </w:t>
            </w:r>
          </w:p>
          <w:p w14:paraId="14CFFE2B" w14:textId="77777777" w:rsidR="00221C59" w:rsidRPr="005A7B5C" w:rsidRDefault="00221C59" w:rsidP="00221C59">
            <w:pPr>
              <w:pStyle w:val="ListParagraph"/>
              <w:numPr>
                <w:ilvl w:val="0"/>
                <w:numId w:val="2"/>
              </w:numPr>
              <w:spacing w:after="0" w:line="240" w:lineRule="auto"/>
              <w:ind w:left="180" w:hanging="180"/>
              <w:jc w:val="both"/>
              <w:rPr>
                <w:rFonts w:ascii="Tw Cen MT Condensed" w:hAnsi="Tw Cen MT Condensed"/>
                <w:bCs/>
                <w:sz w:val="20"/>
                <w:szCs w:val="20"/>
              </w:rPr>
            </w:pPr>
            <w:r w:rsidRPr="005A7B5C">
              <w:rPr>
                <w:rFonts w:ascii="Tw Cen MT Condensed" w:hAnsi="Tw Cen MT Condensed"/>
                <w:bCs/>
                <w:sz w:val="20"/>
                <w:szCs w:val="20"/>
              </w:rPr>
              <w:t>Marriage and family</w:t>
            </w:r>
          </w:p>
        </w:tc>
        <w:tc>
          <w:tcPr>
            <w:tcW w:w="801" w:type="dxa"/>
            <w:shd w:val="clear" w:color="auto" w:fill="auto"/>
          </w:tcPr>
          <w:p w14:paraId="0A5685C6" w14:textId="77777777" w:rsidR="00221C59" w:rsidRPr="00701B09" w:rsidRDefault="00221C59" w:rsidP="00221C59">
            <w:pPr>
              <w:jc w:val="center"/>
              <w:rPr>
                <w:bCs/>
                <w:szCs w:val="20"/>
              </w:rPr>
            </w:pPr>
            <w:r>
              <w:rPr>
                <w:bCs/>
                <w:szCs w:val="20"/>
              </w:rPr>
              <w:t>Bi-annual</w:t>
            </w:r>
          </w:p>
        </w:tc>
        <w:tc>
          <w:tcPr>
            <w:tcW w:w="697" w:type="dxa"/>
            <w:shd w:val="clear" w:color="auto" w:fill="auto"/>
          </w:tcPr>
          <w:p w14:paraId="3456C1B7" w14:textId="77777777" w:rsidR="00221C59" w:rsidRPr="00C766D7" w:rsidRDefault="00221C59" w:rsidP="00221C59">
            <w:pPr>
              <w:jc w:val="center"/>
              <w:rPr>
                <w:bCs/>
                <w:szCs w:val="20"/>
              </w:rPr>
            </w:pPr>
            <w:r>
              <w:rPr>
                <w:bCs/>
                <w:szCs w:val="20"/>
              </w:rPr>
              <w:t>Group 2</w:t>
            </w:r>
          </w:p>
        </w:tc>
        <w:tc>
          <w:tcPr>
            <w:tcW w:w="762" w:type="dxa"/>
            <w:shd w:val="clear" w:color="auto" w:fill="auto"/>
          </w:tcPr>
          <w:p w14:paraId="7F525993" w14:textId="77777777" w:rsidR="00221C59" w:rsidRDefault="00221C59" w:rsidP="00221C59">
            <w:pPr>
              <w:pStyle w:val="NoSpacing"/>
            </w:pPr>
            <w:r>
              <w:t>1</w:t>
            </w:r>
            <w:r w:rsidRPr="00013ACB">
              <w:rPr>
                <w:vertAlign w:val="superscript"/>
              </w:rPr>
              <w:t>st</w:t>
            </w:r>
            <w:r>
              <w:t xml:space="preserve"> Round: </w:t>
            </w:r>
          </w:p>
          <w:p w14:paraId="15436347" w14:textId="77777777" w:rsidR="00221C59" w:rsidRDefault="00221C59" w:rsidP="00221C59">
            <w:pPr>
              <w:pStyle w:val="NoSpacing"/>
            </w:pPr>
            <w:r>
              <w:t>June 2019</w:t>
            </w:r>
          </w:p>
          <w:p w14:paraId="55444C78" w14:textId="77777777" w:rsidR="00221C59" w:rsidRDefault="00221C59" w:rsidP="00221C59">
            <w:pPr>
              <w:pStyle w:val="NoSpacing"/>
            </w:pPr>
          </w:p>
          <w:p w14:paraId="383681D8" w14:textId="77777777" w:rsidR="00221C59" w:rsidRDefault="00221C59" w:rsidP="00221C59">
            <w:pPr>
              <w:pStyle w:val="NoSpacing"/>
            </w:pPr>
            <w:r>
              <w:t>2</w:t>
            </w:r>
            <w:r w:rsidRPr="00013ACB">
              <w:rPr>
                <w:vertAlign w:val="superscript"/>
              </w:rPr>
              <w:t>nd</w:t>
            </w:r>
            <w:r>
              <w:t xml:space="preserve"> Round: </w:t>
            </w:r>
          </w:p>
          <w:p w14:paraId="1E2004AD" w14:textId="77777777" w:rsidR="00221C59" w:rsidRDefault="00221C59" w:rsidP="00221C59">
            <w:pPr>
              <w:pStyle w:val="NoSpacing"/>
            </w:pPr>
            <w:r>
              <w:t>June 2021</w:t>
            </w:r>
          </w:p>
          <w:p w14:paraId="4D602615" w14:textId="77777777" w:rsidR="00221C59" w:rsidRDefault="00221C59" w:rsidP="00221C59">
            <w:pPr>
              <w:pStyle w:val="NoSpacing"/>
            </w:pPr>
            <w:r>
              <w:t>3</w:t>
            </w:r>
            <w:r w:rsidRPr="00013ACB">
              <w:rPr>
                <w:vertAlign w:val="superscript"/>
              </w:rPr>
              <w:t>rd</w:t>
            </w:r>
            <w:r>
              <w:t xml:space="preserve"> Round: </w:t>
            </w:r>
          </w:p>
          <w:p w14:paraId="7CA1C72C" w14:textId="77777777" w:rsidR="00221C59" w:rsidRDefault="00221C59" w:rsidP="00221C59">
            <w:pPr>
              <w:pStyle w:val="NoSpacing"/>
            </w:pPr>
            <w:r>
              <w:t>June 2023</w:t>
            </w:r>
          </w:p>
          <w:p w14:paraId="6562D121" w14:textId="77777777" w:rsidR="00221C59" w:rsidRDefault="00221C59" w:rsidP="00221C59">
            <w:pPr>
              <w:pStyle w:val="NoSpacing"/>
            </w:pPr>
          </w:p>
          <w:p w14:paraId="1AFDB96E" w14:textId="77777777" w:rsidR="00221C59" w:rsidRDefault="00221C59" w:rsidP="00221C59">
            <w:pPr>
              <w:pStyle w:val="NoSpacing"/>
            </w:pPr>
            <w:r>
              <w:t>4</w:t>
            </w:r>
            <w:r w:rsidRPr="00013ACB">
              <w:rPr>
                <w:vertAlign w:val="superscript"/>
              </w:rPr>
              <w:t>th</w:t>
            </w:r>
            <w:r>
              <w:t xml:space="preserve"> Round: </w:t>
            </w:r>
          </w:p>
          <w:p w14:paraId="12BF6DA8" w14:textId="77777777" w:rsidR="00221C59" w:rsidRDefault="00221C59" w:rsidP="00221C59">
            <w:pPr>
              <w:pStyle w:val="NoSpacing"/>
            </w:pPr>
            <w:r>
              <w:t>June 2025</w:t>
            </w:r>
          </w:p>
          <w:p w14:paraId="54DE7E74" w14:textId="77777777" w:rsidR="00221C59" w:rsidRDefault="00221C59" w:rsidP="00221C59">
            <w:pPr>
              <w:pStyle w:val="NoSpacing"/>
            </w:pPr>
          </w:p>
          <w:p w14:paraId="76A5F95C" w14:textId="77777777" w:rsidR="00221C59" w:rsidRDefault="00221C59" w:rsidP="00221C59">
            <w:pPr>
              <w:pStyle w:val="NoSpacing"/>
            </w:pPr>
            <w:r>
              <w:t>5</w:t>
            </w:r>
            <w:r w:rsidRPr="00013ACB">
              <w:rPr>
                <w:vertAlign w:val="superscript"/>
              </w:rPr>
              <w:t>th</w:t>
            </w:r>
            <w:r>
              <w:t xml:space="preserve"> Round: </w:t>
            </w:r>
          </w:p>
          <w:p w14:paraId="585C3ABA" w14:textId="77777777" w:rsidR="00221C59" w:rsidRDefault="00221C59" w:rsidP="00221C59">
            <w:pPr>
              <w:pStyle w:val="NoSpacing"/>
            </w:pPr>
            <w:r>
              <w:t>June 2027</w:t>
            </w:r>
          </w:p>
          <w:p w14:paraId="6545D898" w14:textId="42D47A53" w:rsidR="00221C59" w:rsidRDefault="00221C59" w:rsidP="00221C59">
            <w:pPr>
              <w:pStyle w:val="NoSpacing"/>
            </w:pPr>
          </w:p>
        </w:tc>
        <w:tc>
          <w:tcPr>
            <w:tcW w:w="1188" w:type="dxa"/>
            <w:shd w:val="clear" w:color="auto" w:fill="auto"/>
          </w:tcPr>
          <w:p w14:paraId="4393360E" w14:textId="77777777" w:rsidR="00221C59" w:rsidRPr="00076A71" w:rsidRDefault="00221C59" w:rsidP="00221C59">
            <w:pPr>
              <w:pStyle w:val="ListParagraph"/>
              <w:numPr>
                <w:ilvl w:val="0"/>
                <w:numId w:val="22"/>
              </w:numPr>
              <w:ind w:left="140" w:hanging="180"/>
              <w:jc w:val="both"/>
              <w:rPr>
                <w:rFonts w:ascii="Tw Cen MT Condensed" w:hAnsi="Tw Cen MT Condensed"/>
                <w:bCs/>
                <w:sz w:val="20"/>
                <w:szCs w:val="20"/>
              </w:rPr>
            </w:pPr>
            <w:r>
              <w:rPr>
                <w:rFonts w:ascii="Tw Cen MT Condensed" w:hAnsi="Tw Cen MT Condensed"/>
                <w:bCs/>
                <w:sz w:val="20"/>
                <w:szCs w:val="20"/>
              </w:rPr>
              <w:t>MoWCA should set a focal point for generating data collaboration with of BBS.</w:t>
            </w:r>
          </w:p>
        </w:tc>
      </w:tr>
      <w:tr w:rsidR="0085651F" w14:paraId="11066C40" w14:textId="77777777" w:rsidTr="0085651F">
        <w:tc>
          <w:tcPr>
            <w:tcW w:w="17162" w:type="dxa"/>
            <w:gridSpan w:val="14"/>
            <w:shd w:val="clear" w:color="auto" w:fill="auto"/>
          </w:tcPr>
          <w:p w14:paraId="6B5AAF5D" w14:textId="77777777" w:rsidR="0085651F" w:rsidRPr="005D691C" w:rsidRDefault="0085651F" w:rsidP="00221C59">
            <w:pPr>
              <w:ind w:left="970" w:hanging="970"/>
              <w:jc w:val="both"/>
              <w:rPr>
                <w:color w:val="FF0000"/>
                <w:sz w:val="30"/>
                <w:szCs w:val="30"/>
              </w:rPr>
            </w:pPr>
            <w:r>
              <w:rPr>
                <w:color w:val="FF0000"/>
                <w:sz w:val="30"/>
                <w:szCs w:val="30"/>
              </w:rPr>
              <w:lastRenderedPageBreak/>
              <w:t xml:space="preserve">Target </w:t>
            </w:r>
            <w:r w:rsidRPr="005D691C">
              <w:rPr>
                <w:color w:val="FF0000"/>
                <w:sz w:val="30"/>
                <w:szCs w:val="30"/>
              </w:rPr>
              <w:t>5.2 Eliminate all forms of violence against all women and girls in the public and private spheres, including trafficking and sexual and other types of exploitation</w:t>
            </w:r>
          </w:p>
        </w:tc>
      </w:tr>
      <w:tr w:rsidR="00221C59" w14:paraId="1A3FBE9C" w14:textId="77777777" w:rsidTr="0085651F">
        <w:tc>
          <w:tcPr>
            <w:tcW w:w="1179" w:type="dxa"/>
            <w:shd w:val="clear" w:color="auto" w:fill="auto"/>
          </w:tcPr>
          <w:p w14:paraId="3E738CDF" w14:textId="77777777" w:rsidR="00221C59" w:rsidRPr="009A340D" w:rsidRDefault="00221C59" w:rsidP="00221C59">
            <w:pPr>
              <w:jc w:val="both"/>
              <w:rPr>
                <w:szCs w:val="20"/>
              </w:rPr>
            </w:pPr>
            <w:r w:rsidRPr="005D691C">
              <w:rPr>
                <w:szCs w:val="20"/>
              </w:rPr>
              <w:t>5.2.1 Proportion of ever-partnered women and girls aged 15 years and older subjected to physical, sexual or psychological violence by a current or former intimate partner in the previous 12 months, by form of violence and by age</w:t>
            </w:r>
          </w:p>
        </w:tc>
        <w:tc>
          <w:tcPr>
            <w:tcW w:w="921" w:type="dxa"/>
            <w:gridSpan w:val="2"/>
            <w:shd w:val="clear" w:color="auto" w:fill="auto"/>
          </w:tcPr>
          <w:p w14:paraId="71F014A2" w14:textId="77777777" w:rsidR="00221C59" w:rsidRPr="005D691C" w:rsidRDefault="00221C59" w:rsidP="00221C59">
            <w:pPr>
              <w:jc w:val="center"/>
              <w:rPr>
                <w:szCs w:val="20"/>
              </w:rPr>
            </w:pPr>
            <w:r w:rsidRPr="005D691C">
              <w:rPr>
                <w:szCs w:val="20"/>
              </w:rPr>
              <w:t>UNICEF,</w:t>
            </w:r>
          </w:p>
          <w:p w14:paraId="225491F3" w14:textId="77777777" w:rsidR="00221C59" w:rsidRPr="005D691C" w:rsidRDefault="00221C59" w:rsidP="00221C59">
            <w:pPr>
              <w:jc w:val="center"/>
              <w:rPr>
                <w:szCs w:val="20"/>
              </w:rPr>
            </w:pPr>
            <w:r w:rsidRPr="005D691C">
              <w:rPr>
                <w:szCs w:val="20"/>
              </w:rPr>
              <w:t>UN Women, UNFPA,</w:t>
            </w:r>
          </w:p>
          <w:p w14:paraId="216FDDF0" w14:textId="77777777" w:rsidR="00221C59" w:rsidRPr="005D691C" w:rsidRDefault="00221C59" w:rsidP="00221C59">
            <w:pPr>
              <w:jc w:val="center"/>
              <w:rPr>
                <w:szCs w:val="20"/>
              </w:rPr>
            </w:pPr>
            <w:r w:rsidRPr="005D691C">
              <w:rPr>
                <w:szCs w:val="20"/>
              </w:rPr>
              <w:t>WHO,</w:t>
            </w:r>
          </w:p>
          <w:p w14:paraId="5BA1FEAD" w14:textId="77777777" w:rsidR="00221C59" w:rsidRDefault="00221C59" w:rsidP="00221C59">
            <w:pPr>
              <w:jc w:val="center"/>
              <w:rPr>
                <w:szCs w:val="20"/>
              </w:rPr>
            </w:pPr>
            <w:r w:rsidRPr="005D691C">
              <w:rPr>
                <w:szCs w:val="20"/>
              </w:rPr>
              <w:t>UNODC</w:t>
            </w:r>
          </w:p>
          <w:p w14:paraId="70B41F6B" w14:textId="77777777" w:rsidR="00221C59" w:rsidRDefault="00221C59" w:rsidP="00221C59">
            <w:pPr>
              <w:jc w:val="center"/>
              <w:rPr>
                <w:szCs w:val="20"/>
              </w:rPr>
            </w:pPr>
          </w:p>
          <w:p w14:paraId="49262D47" w14:textId="77777777" w:rsidR="00221C59" w:rsidRPr="005D691C" w:rsidRDefault="00221C59" w:rsidP="00221C59">
            <w:pPr>
              <w:jc w:val="center"/>
              <w:rPr>
                <w:b/>
                <w:bCs/>
                <w:szCs w:val="20"/>
              </w:rPr>
            </w:pPr>
            <w:r w:rsidRPr="005D691C">
              <w:rPr>
                <w:b/>
                <w:bCs/>
                <w:szCs w:val="20"/>
              </w:rPr>
              <w:t>Partner Agencies:</w:t>
            </w:r>
          </w:p>
          <w:p w14:paraId="58A3DBBA" w14:textId="77777777" w:rsidR="00221C59" w:rsidRPr="005D691C" w:rsidRDefault="00221C59" w:rsidP="00221C59">
            <w:pPr>
              <w:jc w:val="center"/>
              <w:rPr>
                <w:szCs w:val="20"/>
              </w:rPr>
            </w:pPr>
            <w:r w:rsidRPr="005D691C">
              <w:rPr>
                <w:szCs w:val="20"/>
              </w:rPr>
              <w:t>UNSD,</w:t>
            </w:r>
          </w:p>
          <w:p w14:paraId="21314DBB" w14:textId="77777777" w:rsidR="00221C59" w:rsidRPr="009A340D" w:rsidRDefault="00221C59" w:rsidP="00221C59">
            <w:pPr>
              <w:jc w:val="center"/>
              <w:rPr>
                <w:szCs w:val="20"/>
              </w:rPr>
            </w:pPr>
            <w:r w:rsidRPr="005D691C">
              <w:rPr>
                <w:szCs w:val="20"/>
              </w:rPr>
              <w:t>UNDP</w:t>
            </w:r>
          </w:p>
        </w:tc>
        <w:tc>
          <w:tcPr>
            <w:tcW w:w="985" w:type="dxa"/>
            <w:shd w:val="clear" w:color="auto" w:fill="auto"/>
          </w:tcPr>
          <w:p w14:paraId="7B7FCCA2" w14:textId="77777777" w:rsidR="00221C59" w:rsidRDefault="00221C59" w:rsidP="00221C59">
            <w:pPr>
              <w:jc w:val="center"/>
              <w:rPr>
                <w:szCs w:val="20"/>
              </w:rPr>
            </w:pPr>
            <w:r>
              <w:rPr>
                <w:szCs w:val="20"/>
              </w:rPr>
              <w:t>Tier II</w:t>
            </w:r>
          </w:p>
        </w:tc>
        <w:tc>
          <w:tcPr>
            <w:tcW w:w="5331" w:type="dxa"/>
            <w:shd w:val="clear" w:color="auto" w:fill="auto"/>
          </w:tcPr>
          <w:p w14:paraId="70DA4A8D" w14:textId="77777777" w:rsidR="00221C59" w:rsidRPr="005524FA" w:rsidRDefault="00221C59" w:rsidP="00221C59">
            <w:pPr>
              <w:jc w:val="both"/>
              <w:rPr>
                <w:b/>
                <w:bCs/>
                <w:szCs w:val="20"/>
              </w:rPr>
            </w:pPr>
            <w:r w:rsidRPr="005524FA">
              <w:rPr>
                <w:b/>
                <w:bCs/>
                <w:szCs w:val="20"/>
              </w:rPr>
              <w:t>Definition:</w:t>
            </w:r>
          </w:p>
          <w:p w14:paraId="016AEC0D" w14:textId="77777777" w:rsidR="00221C59" w:rsidRDefault="00221C59" w:rsidP="00221C59">
            <w:pPr>
              <w:jc w:val="both"/>
              <w:rPr>
                <w:szCs w:val="20"/>
              </w:rPr>
            </w:pPr>
            <w:r w:rsidRPr="005524FA">
              <w:rPr>
                <w:szCs w:val="20"/>
              </w:rPr>
              <w:t>This indicator measures the percentage of ever-partnered women and girls aged 15 years and older who</w:t>
            </w:r>
            <w:r>
              <w:rPr>
                <w:szCs w:val="20"/>
              </w:rPr>
              <w:t xml:space="preserve"> </w:t>
            </w:r>
            <w:r w:rsidRPr="005524FA">
              <w:rPr>
                <w:szCs w:val="20"/>
              </w:rPr>
              <w:t>have experienced physical, sexual or psychological violence by a current or former intimate partner, in the</w:t>
            </w:r>
            <w:r>
              <w:rPr>
                <w:szCs w:val="20"/>
              </w:rPr>
              <w:t xml:space="preserve"> </w:t>
            </w:r>
            <w:r w:rsidRPr="005524FA">
              <w:rPr>
                <w:szCs w:val="20"/>
              </w:rPr>
              <w:t>previous 12 months.</w:t>
            </w:r>
            <w:r>
              <w:rPr>
                <w:szCs w:val="20"/>
              </w:rPr>
              <w:t xml:space="preserve"> </w:t>
            </w:r>
          </w:p>
          <w:p w14:paraId="7DEE66B1" w14:textId="77777777" w:rsidR="00221C59" w:rsidRDefault="00221C59" w:rsidP="00221C59">
            <w:pPr>
              <w:jc w:val="both"/>
              <w:rPr>
                <w:b/>
                <w:bCs/>
                <w:szCs w:val="20"/>
              </w:rPr>
            </w:pPr>
          </w:p>
          <w:p w14:paraId="3DE68871" w14:textId="77777777" w:rsidR="00221C59" w:rsidRPr="005524FA" w:rsidRDefault="00221C59" w:rsidP="00221C59">
            <w:pPr>
              <w:jc w:val="both"/>
              <w:rPr>
                <w:b/>
                <w:bCs/>
                <w:szCs w:val="20"/>
              </w:rPr>
            </w:pPr>
            <w:r w:rsidRPr="005524FA">
              <w:rPr>
                <w:b/>
                <w:bCs/>
                <w:szCs w:val="20"/>
              </w:rPr>
              <w:t>Concepts:</w:t>
            </w:r>
          </w:p>
          <w:p w14:paraId="500D2AE5" w14:textId="77777777" w:rsidR="00221C59" w:rsidRDefault="00221C59" w:rsidP="00221C59">
            <w:pPr>
              <w:jc w:val="both"/>
              <w:rPr>
                <w:szCs w:val="20"/>
              </w:rPr>
            </w:pPr>
            <w:r w:rsidRPr="005524FA">
              <w:rPr>
                <w:szCs w:val="20"/>
              </w:rPr>
              <w:t>According to the UN Declaration on the Elimination of Violence against Women (1993), Violence against</w:t>
            </w:r>
            <w:r>
              <w:rPr>
                <w:szCs w:val="20"/>
              </w:rPr>
              <w:t xml:space="preserve"> </w:t>
            </w:r>
            <w:r w:rsidRPr="005524FA">
              <w:rPr>
                <w:szCs w:val="20"/>
              </w:rPr>
              <w:t>Women is “Any act of gender-based violence that results in, or is likely to result in, physical, sexual or</w:t>
            </w:r>
            <w:r>
              <w:rPr>
                <w:szCs w:val="20"/>
              </w:rPr>
              <w:t xml:space="preserve"> </w:t>
            </w:r>
            <w:r w:rsidRPr="005524FA">
              <w:rPr>
                <w:szCs w:val="20"/>
              </w:rPr>
              <w:t>psychological harm or suffering to women, including threats of such acts, coercion or arbitrary deprivation</w:t>
            </w:r>
            <w:r>
              <w:rPr>
                <w:szCs w:val="20"/>
              </w:rPr>
              <w:t xml:space="preserve"> </w:t>
            </w:r>
            <w:r w:rsidRPr="005524FA">
              <w:rPr>
                <w:szCs w:val="20"/>
              </w:rPr>
              <w:t>of liberty, whether occurring in public or in private life. Violence against women shall be understood to</w:t>
            </w:r>
            <w:r>
              <w:rPr>
                <w:szCs w:val="20"/>
              </w:rPr>
              <w:t xml:space="preserve"> </w:t>
            </w:r>
            <w:r w:rsidRPr="005524FA">
              <w:rPr>
                <w:szCs w:val="20"/>
              </w:rPr>
              <w:t>encompass, but not be limited to, the following: Physical, sexual and psychological violence occurring in</w:t>
            </w:r>
            <w:r>
              <w:rPr>
                <w:szCs w:val="20"/>
              </w:rPr>
              <w:t xml:space="preserve"> </w:t>
            </w:r>
            <w:r w:rsidRPr="005524FA">
              <w:rPr>
                <w:szCs w:val="20"/>
              </w:rPr>
              <w:t>the family […]”. See here for full definition: http://www.un.org/documents/ga/res/48/a48r104.htm</w:t>
            </w:r>
            <w:r>
              <w:rPr>
                <w:szCs w:val="20"/>
              </w:rPr>
              <w:t xml:space="preserve"> </w:t>
            </w:r>
          </w:p>
          <w:p w14:paraId="243376D9" w14:textId="77777777" w:rsidR="00221C59" w:rsidRDefault="00221C59" w:rsidP="00221C59">
            <w:pPr>
              <w:jc w:val="both"/>
              <w:rPr>
                <w:szCs w:val="20"/>
              </w:rPr>
            </w:pPr>
          </w:p>
          <w:p w14:paraId="65632CA2" w14:textId="77777777" w:rsidR="00221C59" w:rsidRDefault="00221C59" w:rsidP="00221C59">
            <w:pPr>
              <w:jc w:val="both"/>
              <w:rPr>
                <w:szCs w:val="20"/>
              </w:rPr>
            </w:pPr>
            <w:r w:rsidRPr="005524FA">
              <w:rPr>
                <w:szCs w:val="20"/>
              </w:rPr>
              <w:t>Intimate partner violence includes any abuse perpetrated by a current or former partner within the context</w:t>
            </w:r>
            <w:r>
              <w:rPr>
                <w:szCs w:val="20"/>
              </w:rPr>
              <w:t xml:space="preserve"> </w:t>
            </w:r>
            <w:r w:rsidRPr="005524FA">
              <w:rPr>
                <w:szCs w:val="20"/>
              </w:rPr>
              <w:t>of marriage, cohabitation or any other formal or informal union.</w:t>
            </w:r>
          </w:p>
          <w:p w14:paraId="28B43FD5" w14:textId="77777777" w:rsidR="00221C59" w:rsidRDefault="00221C59" w:rsidP="00221C59">
            <w:pPr>
              <w:jc w:val="both"/>
              <w:rPr>
                <w:b/>
                <w:bCs/>
                <w:szCs w:val="20"/>
              </w:rPr>
            </w:pPr>
          </w:p>
          <w:p w14:paraId="2601A752" w14:textId="77777777" w:rsidR="00221C59" w:rsidRPr="005524FA" w:rsidRDefault="00221C59" w:rsidP="00221C59">
            <w:pPr>
              <w:jc w:val="both"/>
              <w:rPr>
                <w:szCs w:val="20"/>
              </w:rPr>
            </w:pPr>
            <w:r w:rsidRPr="005524FA">
              <w:rPr>
                <w:szCs w:val="20"/>
              </w:rPr>
              <w:t>The different forms of violence included in the indicator are defined as follows:</w:t>
            </w:r>
          </w:p>
          <w:p w14:paraId="287CBF92" w14:textId="77777777" w:rsidR="00221C59" w:rsidRPr="005524FA" w:rsidRDefault="00221C59" w:rsidP="00221C59">
            <w:pPr>
              <w:jc w:val="both"/>
              <w:rPr>
                <w:szCs w:val="20"/>
              </w:rPr>
            </w:pPr>
            <w:r w:rsidRPr="005524FA">
              <w:rPr>
                <w:szCs w:val="20"/>
              </w:rPr>
              <w:t>1. Physical violence consists of acts aimed at physically hurting the victim and include, but are not limited</w:t>
            </w:r>
            <w:r>
              <w:rPr>
                <w:szCs w:val="20"/>
              </w:rPr>
              <w:t xml:space="preserve"> </w:t>
            </w:r>
            <w:r w:rsidRPr="005524FA">
              <w:rPr>
                <w:szCs w:val="20"/>
              </w:rPr>
              <w:t>to, pushing, grabbing, twisting the arm, pulling the hair, slapping, kicking, biting or hitting with the fist or</w:t>
            </w:r>
            <w:r>
              <w:rPr>
                <w:szCs w:val="20"/>
              </w:rPr>
              <w:t xml:space="preserve"> </w:t>
            </w:r>
            <w:r w:rsidRPr="005524FA">
              <w:rPr>
                <w:szCs w:val="20"/>
              </w:rPr>
              <w:t>object, trying to strangle or suffocate, burning or scalding on purpose, or threatening or attacking with</w:t>
            </w:r>
            <w:r>
              <w:rPr>
                <w:szCs w:val="20"/>
              </w:rPr>
              <w:t xml:space="preserve"> </w:t>
            </w:r>
            <w:r w:rsidRPr="005524FA">
              <w:rPr>
                <w:szCs w:val="20"/>
              </w:rPr>
              <w:t>some sort of weapon, gun or knife.</w:t>
            </w:r>
          </w:p>
          <w:p w14:paraId="54CE0227" w14:textId="77777777" w:rsidR="00221C59" w:rsidRPr="005524FA" w:rsidRDefault="00221C59" w:rsidP="00221C59">
            <w:pPr>
              <w:jc w:val="both"/>
              <w:rPr>
                <w:szCs w:val="20"/>
              </w:rPr>
            </w:pPr>
            <w:r w:rsidRPr="005524FA">
              <w:rPr>
                <w:szCs w:val="20"/>
              </w:rPr>
              <w:t xml:space="preserve">2. Sexual violence is defined as any sort of harmful or unwanted sexual behaviour that </w:t>
            </w:r>
            <w:r w:rsidRPr="005524FA">
              <w:rPr>
                <w:szCs w:val="20"/>
              </w:rPr>
              <w:lastRenderedPageBreak/>
              <w:t>is imposed on</w:t>
            </w:r>
            <w:r>
              <w:rPr>
                <w:szCs w:val="20"/>
              </w:rPr>
              <w:t xml:space="preserve"> </w:t>
            </w:r>
            <w:r w:rsidRPr="005524FA">
              <w:rPr>
                <w:szCs w:val="20"/>
              </w:rPr>
              <w:t>someone. It includes acts of abusive sexual contact, forced engagement in sexual acts, attempted or</w:t>
            </w:r>
            <w:r>
              <w:rPr>
                <w:szCs w:val="20"/>
              </w:rPr>
              <w:t xml:space="preserve"> </w:t>
            </w:r>
            <w:r w:rsidRPr="005524FA">
              <w:rPr>
                <w:szCs w:val="20"/>
              </w:rPr>
              <w:t>completed sexual acts without consent, incest, sexual harassment, etc. In intimate partner relationships,</w:t>
            </w:r>
            <w:r>
              <w:rPr>
                <w:szCs w:val="20"/>
              </w:rPr>
              <w:t xml:space="preserve"> </w:t>
            </w:r>
            <w:r w:rsidRPr="005524FA">
              <w:rPr>
                <w:szCs w:val="20"/>
              </w:rPr>
              <w:t>experiencing sexual violence is commonly defined as being forced to have sexual intercourse, having sexual</w:t>
            </w:r>
            <w:r>
              <w:rPr>
                <w:szCs w:val="20"/>
              </w:rPr>
              <w:t xml:space="preserve"> </w:t>
            </w:r>
            <w:r w:rsidRPr="005524FA">
              <w:rPr>
                <w:szCs w:val="20"/>
              </w:rPr>
              <w:t>intercourse out of fear for what the partner might do, and/or being forced to so something sexual that the</w:t>
            </w:r>
            <w:r>
              <w:rPr>
                <w:szCs w:val="20"/>
              </w:rPr>
              <w:t xml:space="preserve"> </w:t>
            </w:r>
            <w:r w:rsidRPr="005524FA">
              <w:rPr>
                <w:szCs w:val="20"/>
              </w:rPr>
              <w:t>woman considers humiliating or degrading.</w:t>
            </w:r>
          </w:p>
          <w:p w14:paraId="7E358242" w14:textId="77777777" w:rsidR="00221C59" w:rsidRPr="005524FA" w:rsidRDefault="00221C59" w:rsidP="00221C59">
            <w:pPr>
              <w:jc w:val="both"/>
              <w:rPr>
                <w:szCs w:val="20"/>
              </w:rPr>
            </w:pPr>
            <w:r w:rsidRPr="005524FA">
              <w:rPr>
                <w:szCs w:val="20"/>
              </w:rPr>
              <w:t>3. Psychological violence includes a range of behaviours that encompass acts of emotional abuse and</w:t>
            </w:r>
            <w:r>
              <w:rPr>
                <w:szCs w:val="20"/>
              </w:rPr>
              <w:t xml:space="preserve"> </w:t>
            </w:r>
            <w:r w:rsidRPr="005524FA">
              <w:rPr>
                <w:szCs w:val="20"/>
              </w:rPr>
              <w:t>controlling behaviour. These often coexist with acts of physical and sexual violence by intimate partners</w:t>
            </w:r>
            <w:r>
              <w:rPr>
                <w:szCs w:val="20"/>
              </w:rPr>
              <w:t xml:space="preserve"> </w:t>
            </w:r>
            <w:r w:rsidRPr="005524FA">
              <w:rPr>
                <w:szCs w:val="20"/>
              </w:rPr>
              <w:t>and are acts of violence in themselves.</w:t>
            </w:r>
          </w:p>
          <w:p w14:paraId="65D313FD" w14:textId="77777777" w:rsidR="00221C59" w:rsidRDefault="00221C59" w:rsidP="00221C59">
            <w:pPr>
              <w:jc w:val="both"/>
              <w:rPr>
                <w:szCs w:val="20"/>
              </w:rPr>
            </w:pPr>
            <w:r w:rsidRPr="005524FA">
              <w:rPr>
                <w:szCs w:val="20"/>
              </w:rPr>
              <w:t>For a more detailed definition of physical, sexual and psychological violence against women see Guidelines</w:t>
            </w:r>
            <w:r>
              <w:rPr>
                <w:szCs w:val="20"/>
              </w:rPr>
              <w:t xml:space="preserve"> </w:t>
            </w:r>
            <w:r w:rsidRPr="005524FA">
              <w:rPr>
                <w:szCs w:val="20"/>
              </w:rPr>
              <w:t>for Producing Statistics on Violence against Women- Statistical Surveys (UN, 2014).</w:t>
            </w:r>
          </w:p>
          <w:p w14:paraId="6DB2AE0B" w14:textId="77777777" w:rsidR="00221C59" w:rsidRDefault="00221C59" w:rsidP="00221C59">
            <w:pPr>
              <w:jc w:val="both"/>
              <w:rPr>
                <w:b/>
                <w:bCs/>
                <w:szCs w:val="20"/>
              </w:rPr>
            </w:pPr>
          </w:p>
          <w:p w14:paraId="7ACBD3BA" w14:textId="77777777" w:rsidR="00221C59" w:rsidRPr="005524FA" w:rsidRDefault="00221C59" w:rsidP="00221C59">
            <w:pPr>
              <w:jc w:val="both"/>
              <w:rPr>
                <w:b/>
                <w:bCs/>
                <w:szCs w:val="20"/>
              </w:rPr>
            </w:pPr>
            <w:r w:rsidRPr="005524FA">
              <w:rPr>
                <w:b/>
                <w:bCs/>
                <w:szCs w:val="20"/>
              </w:rPr>
              <w:t>Computation Method:</w:t>
            </w:r>
          </w:p>
          <w:p w14:paraId="788690F6" w14:textId="77777777" w:rsidR="00221C59" w:rsidRPr="005524FA" w:rsidRDefault="00221C59" w:rsidP="00221C59">
            <w:pPr>
              <w:jc w:val="both"/>
              <w:rPr>
                <w:szCs w:val="20"/>
              </w:rPr>
            </w:pPr>
            <w:r w:rsidRPr="005524FA">
              <w:rPr>
                <w:szCs w:val="20"/>
              </w:rPr>
              <w:t>This indicator calls for breakdown by form of violence and by age group and yields the following for each</w:t>
            </w:r>
            <w:r>
              <w:rPr>
                <w:szCs w:val="20"/>
              </w:rPr>
              <w:t xml:space="preserve"> </w:t>
            </w:r>
            <w:r w:rsidRPr="005524FA">
              <w:rPr>
                <w:szCs w:val="20"/>
              </w:rPr>
              <w:t>form of violence or forms of violence:</w:t>
            </w:r>
          </w:p>
          <w:p w14:paraId="5D741A16" w14:textId="77777777" w:rsidR="00221C59" w:rsidRPr="005524FA" w:rsidRDefault="00221C59" w:rsidP="00221C59">
            <w:pPr>
              <w:jc w:val="both"/>
              <w:rPr>
                <w:szCs w:val="20"/>
              </w:rPr>
            </w:pPr>
            <w:r w:rsidRPr="005524FA">
              <w:rPr>
                <w:i/>
                <w:iCs/>
                <w:szCs w:val="20"/>
              </w:rPr>
              <w:t>1. Physical violence:</w:t>
            </w:r>
            <w:r>
              <w:rPr>
                <w:szCs w:val="20"/>
              </w:rPr>
              <w:t xml:space="preserve"> </w:t>
            </w:r>
            <w:r w:rsidRPr="005524FA">
              <w:rPr>
                <w:szCs w:val="20"/>
              </w:rPr>
              <w:t>Number of ever-partnered women and girls (aged 15 years and above) who experience physical violence</w:t>
            </w:r>
            <w:r>
              <w:rPr>
                <w:szCs w:val="20"/>
              </w:rPr>
              <w:t xml:space="preserve"> </w:t>
            </w:r>
            <w:r w:rsidRPr="005524FA">
              <w:rPr>
                <w:szCs w:val="20"/>
              </w:rPr>
              <w:t>by a current or former intimate partner in the previous 12 months divided by the number of ever-partnered</w:t>
            </w:r>
            <w:r>
              <w:rPr>
                <w:szCs w:val="20"/>
              </w:rPr>
              <w:t xml:space="preserve"> </w:t>
            </w:r>
            <w:r w:rsidRPr="005524FA">
              <w:rPr>
                <w:szCs w:val="20"/>
              </w:rPr>
              <w:t>women and girls (aged 15 years and above) in the population multiplied by 100</w:t>
            </w:r>
            <w:r>
              <w:rPr>
                <w:szCs w:val="20"/>
              </w:rPr>
              <w:t>.</w:t>
            </w:r>
          </w:p>
          <w:p w14:paraId="4A19AD69" w14:textId="77777777" w:rsidR="00221C59" w:rsidRDefault="00221C59" w:rsidP="00221C59">
            <w:pPr>
              <w:jc w:val="both"/>
              <w:rPr>
                <w:b/>
                <w:bCs/>
                <w:szCs w:val="20"/>
              </w:rPr>
            </w:pPr>
            <w:r w:rsidRPr="005524FA">
              <w:rPr>
                <w:i/>
                <w:iCs/>
                <w:szCs w:val="20"/>
              </w:rPr>
              <w:t xml:space="preserve">2. Sexual violence: </w:t>
            </w:r>
            <w:r w:rsidRPr="005524FA">
              <w:rPr>
                <w:szCs w:val="20"/>
              </w:rPr>
              <w:t>Number of ever-partnered women and girls (aged 15 years and above) who experience sexual violence by</w:t>
            </w:r>
            <w:r>
              <w:rPr>
                <w:szCs w:val="20"/>
              </w:rPr>
              <w:t xml:space="preserve"> </w:t>
            </w:r>
            <w:r w:rsidRPr="005524FA">
              <w:rPr>
                <w:szCs w:val="20"/>
              </w:rPr>
              <w:t>a current or former intimate partner in the previous 12 months divided by the number of ever-partnered</w:t>
            </w:r>
            <w:r>
              <w:rPr>
                <w:szCs w:val="20"/>
              </w:rPr>
              <w:t xml:space="preserve"> </w:t>
            </w:r>
            <w:r w:rsidRPr="005524FA">
              <w:rPr>
                <w:szCs w:val="20"/>
              </w:rPr>
              <w:t>women and girls (aged 15 years and above) in the population multiplied by 100</w:t>
            </w:r>
            <w:r>
              <w:rPr>
                <w:szCs w:val="20"/>
              </w:rPr>
              <w:t>.</w:t>
            </w:r>
          </w:p>
          <w:p w14:paraId="561E72CE" w14:textId="77777777" w:rsidR="00221C59" w:rsidRPr="005524FA" w:rsidRDefault="00221C59" w:rsidP="00221C59">
            <w:pPr>
              <w:jc w:val="both"/>
              <w:rPr>
                <w:szCs w:val="20"/>
              </w:rPr>
            </w:pPr>
            <w:r w:rsidRPr="005524FA">
              <w:rPr>
                <w:i/>
                <w:iCs/>
                <w:szCs w:val="20"/>
              </w:rPr>
              <w:t>3. Psychological violence:</w:t>
            </w:r>
            <w:r>
              <w:rPr>
                <w:b/>
                <w:bCs/>
                <w:szCs w:val="20"/>
              </w:rPr>
              <w:t xml:space="preserve"> </w:t>
            </w:r>
            <w:r w:rsidRPr="005524FA">
              <w:rPr>
                <w:szCs w:val="20"/>
              </w:rPr>
              <w:t>Number of ever-partnered women and girls (aged 15 years and above) who experience psychological</w:t>
            </w:r>
            <w:r>
              <w:rPr>
                <w:szCs w:val="20"/>
              </w:rPr>
              <w:t xml:space="preserve"> </w:t>
            </w:r>
            <w:r w:rsidRPr="005524FA">
              <w:rPr>
                <w:szCs w:val="20"/>
              </w:rPr>
              <w:t>violence by a current or former intimate partner in the previous 12 months divided by the number of ever</w:t>
            </w:r>
            <w:r>
              <w:rPr>
                <w:szCs w:val="20"/>
              </w:rPr>
              <w:t xml:space="preserve"> </w:t>
            </w:r>
            <w:r w:rsidRPr="005524FA">
              <w:rPr>
                <w:szCs w:val="20"/>
              </w:rPr>
              <w:t>partnered</w:t>
            </w:r>
            <w:r>
              <w:rPr>
                <w:szCs w:val="20"/>
              </w:rPr>
              <w:t xml:space="preserve"> </w:t>
            </w:r>
            <w:r w:rsidRPr="005524FA">
              <w:rPr>
                <w:szCs w:val="20"/>
              </w:rPr>
              <w:t>women and girls (aged 15 years and above) multiplied by 100</w:t>
            </w:r>
            <w:r>
              <w:rPr>
                <w:szCs w:val="20"/>
              </w:rPr>
              <w:t>.</w:t>
            </w:r>
          </w:p>
          <w:p w14:paraId="6927249F" w14:textId="77777777" w:rsidR="00221C59" w:rsidRPr="005524FA" w:rsidRDefault="00221C59" w:rsidP="00221C59">
            <w:pPr>
              <w:jc w:val="both"/>
              <w:rPr>
                <w:szCs w:val="20"/>
              </w:rPr>
            </w:pPr>
            <w:r w:rsidRPr="005524FA">
              <w:rPr>
                <w:i/>
                <w:iCs/>
                <w:szCs w:val="20"/>
              </w:rPr>
              <w:t>4. Any form of physical and/or sexual violence:</w:t>
            </w:r>
            <w:r>
              <w:rPr>
                <w:i/>
                <w:iCs/>
                <w:szCs w:val="20"/>
              </w:rPr>
              <w:t xml:space="preserve"> </w:t>
            </w:r>
            <w:r w:rsidRPr="005524FA">
              <w:rPr>
                <w:szCs w:val="20"/>
              </w:rPr>
              <w:t>Number of ever-partnered women and girls (aged 15 years and above) who experience physical and/or</w:t>
            </w:r>
          </w:p>
          <w:p w14:paraId="1DB4D529" w14:textId="77777777" w:rsidR="00221C59" w:rsidRPr="005524FA" w:rsidRDefault="00221C59" w:rsidP="00221C59">
            <w:pPr>
              <w:jc w:val="both"/>
              <w:rPr>
                <w:szCs w:val="20"/>
              </w:rPr>
            </w:pPr>
            <w:r w:rsidRPr="005524FA">
              <w:rPr>
                <w:szCs w:val="20"/>
              </w:rPr>
              <w:t>sexual violence by a current or former intimate partner in the previous 12 months divided by the number</w:t>
            </w:r>
            <w:r>
              <w:rPr>
                <w:szCs w:val="20"/>
              </w:rPr>
              <w:t xml:space="preserve"> </w:t>
            </w:r>
            <w:r w:rsidRPr="005524FA">
              <w:rPr>
                <w:szCs w:val="20"/>
              </w:rPr>
              <w:t>of ever-partnered women and girls (aged 15 years and above) multiplied by 100</w:t>
            </w:r>
            <w:r>
              <w:rPr>
                <w:szCs w:val="20"/>
              </w:rPr>
              <w:t>.</w:t>
            </w:r>
          </w:p>
          <w:p w14:paraId="3D6240DD" w14:textId="77777777" w:rsidR="00221C59" w:rsidRPr="005A7B5C" w:rsidRDefault="00221C59" w:rsidP="00221C59">
            <w:pPr>
              <w:jc w:val="both"/>
              <w:rPr>
                <w:b/>
                <w:bCs/>
                <w:szCs w:val="20"/>
              </w:rPr>
            </w:pPr>
            <w:r w:rsidRPr="005524FA">
              <w:rPr>
                <w:i/>
                <w:iCs/>
                <w:szCs w:val="20"/>
              </w:rPr>
              <w:t>5. Any form of physical, sexual and/or psychological violence:</w:t>
            </w:r>
            <w:r>
              <w:rPr>
                <w:i/>
                <w:iCs/>
                <w:szCs w:val="20"/>
              </w:rPr>
              <w:t xml:space="preserve"> </w:t>
            </w:r>
            <w:r w:rsidRPr="005524FA">
              <w:rPr>
                <w:szCs w:val="20"/>
              </w:rPr>
              <w:t>Number of ever-partnered women and girls (aged 15 years and above) who experience physical, sexual</w:t>
            </w:r>
            <w:r>
              <w:rPr>
                <w:szCs w:val="20"/>
              </w:rPr>
              <w:t xml:space="preserve"> </w:t>
            </w:r>
            <w:r w:rsidRPr="005524FA">
              <w:rPr>
                <w:szCs w:val="20"/>
              </w:rPr>
              <w:t>and/or psychological violence by a current or former intimate partner in the previous 12 months divided</w:t>
            </w:r>
            <w:r>
              <w:rPr>
                <w:szCs w:val="20"/>
              </w:rPr>
              <w:t xml:space="preserve"> </w:t>
            </w:r>
            <w:r w:rsidRPr="005524FA">
              <w:rPr>
                <w:szCs w:val="20"/>
              </w:rPr>
              <w:t>by the number of ever-partnered women and girls (aged 15 years and above) multiplied by 100</w:t>
            </w:r>
            <w:r>
              <w:rPr>
                <w:szCs w:val="20"/>
              </w:rPr>
              <w:t>.</w:t>
            </w:r>
          </w:p>
        </w:tc>
        <w:tc>
          <w:tcPr>
            <w:tcW w:w="967" w:type="dxa"/>
            <w:shd w:val="clear" w:color="auto" w:fill="auto"/>
          </w:tcPr>
          <w:p w14:paraId="7D5F363F" w14:textId="77777777" w:rsidR="00221C59" w:rsidRPr="005D691C" w:rsidRDefault="00221C59" w:rsidP="00221C59">
            <w:pPr>
              <w:jc w:val="center"/>
              <w:rPr>
                <w:bCs/>
                <w:szCs w:val="20"/>
              </w:rPr>
            </w:pPr>
            <w:r>
              <w:rPr>
                <w:bCs/>
                <w:szCs w:val="20"/>
              </w:rPr>
              <w:lastRenderedPageBreak/>
              <w:t>Household Survey</w:t>
            </w:r>
          </w:p>
        </w:tc>
        <w:tc>
          <w:tcPr>
            <w:tcW w:w="1140" w:type="dxa"/>
            <w:shd w:val="clear" w:color="auto" w:fill="auto"/>
          </w:tcPr>
          <w:p w14:paraId="48B11888" w14:textId="77777777" w:rsidR="00221C59" w:rsidRPr="005D691C" w:rsidRDefault="00221C59" w:rsidP="00221C59">
            <w:pPr>
              <w:jc w:val="center"/>
              <w:rPr>
                <w:bCs/>
                <w:szCs w:val="20"/>
              </w:rPr>
            </w:pPr>
            <w:r>
              <w:rPr>
                <w:bCs/>
                <w:szCs w:val="20"/>
              </w:rPr>
              <w:t>National Statistics Office</w:t>
            </w:r>
          </w:p>
        </w:tc>
        <w:tc>
          <w:tcPr>
            <w:tcW w:w="721" w:type="dxa"/>
            <w:shd w:val="clear" w:color="auto" w:fill="auto"/>
          </w:tcPr>
          <w:p w14:paraId="4D06E6CF" w14:textId="77777777" w:rsidR="00221C59" w:rsidRPr="008658B2" w:rsidRDefault="00221C59" w:rsidP="00221C59">
            <w:pPr>
              <w:jc w:val="center"/>
              <w:rPr>
                <w:bCs/>
                <w:szCs w:val="20"/>
              </w:rPr>
            </w:pPr>
            <w:r>
              <w:rPr>
                <w:bCs/>
                <w:szCs w:val="20"/>
              </w:rPr>
              <w:t>VAW, BBS</w:t>
            </w:r>
          </w:p>
        </w:tc>
        <w:tc>
          <w:tcPr>
            <w:tcW w:w="1116" w:type="dxa"/>
            <w:shd w:val="clear" w:color="auto" w:fill="auto"/>
          </w:tcPr>
          <w:p w14:paraId="1CD15F07" w14:textId="0E862ED3" w:rsidR="00221C59" w:rsidRPr="008658B2" w:rsidRDefault="00221C59" w:rsidP="00221C59">
            <w:pPr>
              <w:jc w:val="center"/>
              <w:rPr>
                <w:bCs/>
                <w:szCs w:val="20"/>
              </w:rPr>
            </w:pPr>
            <w:r w:rsidRPr="00B66D81">
              <w:rPr>
                <w:rFonts w:eastAsia="Times New Roman" w:cs="Times New Roman"/>
                <w:color w:val="000000" w:themeColor="text1"/>
                <w:szCs w:val="20"/>
              </w:rPr>
              <w:t>VAW Survey/</w:t>
            </w:r>
            <w:r w:rsidRPr="00BC6F10">
              <w:rPr>
                <w:rFonts w:eastAsia="Times New Roman" w:cs="Times New Roman"/>
                <w:color w:val="000000" w:themeColor="text1"/>
                <w:szCs w:val="20"/>
              </w:rPr>
              <w:t>GBVS</w:t>
            </w:r>
            <w:r w:rsidRPr="008658B2">
              <w:rPr>
                <w:bCs/>
                <w:szCs w:val="20"/>
              </w:rPr>
              <w:t>, BBS</w:t>
            </w:r>
          </w:p>
        </w:tc>
        <w:tc>
          <w:tcPr>
            <w:tcW w:w="1354" w:type="dxa"/>
            <w:shd w:val="clear" w:color="auto" w:fill="auto"/>
          </w:tcPr>
          <w:p w14:paraId="2737627E" w14:textId="77777777" w:rsidR="00221C59"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Form of violence</w:t>
            </w:r>
          </w:p>
          <w:p w14:paraId="12CA322D" w14:textId="057ECA8B" w:rsidR="00221C59"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Age</w:t>
            </w:r>
            <w:r w:rsidR="00F15267" w:rsidRPr="004E44A4">
              <w:rPr>
                <w:rFonts w:ascii="Tw Cen MT Condensed" w:hAnsi="Tw Cen MT Condensed"/>
                <w:sz w:val="20"/>
                <w:szCs w:val="24"/>
              </w:rPr>
              <w:t>: 15-49;15-19, 20-24, 25-29, 30-…4-year-steps -49</w:t>
            </w:r>
          </w:p>
          <w:p w14:paraId="71F396E0" w14:textId="74EDB881" w:rsidR="00221C59"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Income</w:t>
            </w:r>
            <w:r w:rsidR="00AE188C">
              <w:rPr>
                <w:rFonts w:ascii="Tw Cen MT Condensed" w:hAnsi="Tw Cen MT Condensed"/>
                <w:bCs/>
                <w:sz w:val="20"/>
                <w:szCs w:val="20"/>
              </w:rPr>
              <w:t>: High/ Medium/ Low</w:t>
            </w:r>
          </w:p>
          <w:p w14:paraId="28F007DD" w14:textId="5ECC20B3" w:rsidR="00221C59"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Wealth</w:t>
            </w:r>
            <w:r w:rsidR="00AE188C">
              <w:rPr>
                <w:rFonts w:ascii="Tw Cen MT Condensed" w:hAnsi="Tw Cen MT Condensed"/>
                <w:bCs/>
                <w:sz w:val="20"/>
                <w:szCs w:val="20"/>
              </w:rPr>
              <w:t xml:space="preserve">  Quantile</w:t>
            </w:r>
          </w:p>
          <w:p w14:paraId="1B6A5FC3" w14:textId="0432B37B" w:rsidR="00221C59"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Education</w:t>
            </w:r>
            <w:r w:rsidR="00AE188C">
              <w:rPr>
                <w:rFonts w:ascii="Tw Cen MT Condensed" w:hAnsi="Tw Cen MT Condensed"/>
                <w:bCs/>
                <w:sz w:val="20"/>
                <w:szCs w:val="20"/>
              </w:rPr>
              <w:t>: Primary/Secondary/ Higher</w:t>
            </w:r>
          </w:p>
          <w:p w14:paraId="5AE87156" w14:textId="281C20B2" w:rsidR="00221C59" w:rsidRPr="005524FA"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Ethnicity (including indigenous status)</w:t>
            </w:r>
            <w:r w:rsidR="00AE188C">
              <w:rPr>
                <w:rFonts w:ascii="Tw Cen MT Condensed" w:hAnsi="Tw Cen MT Condensed"/>
                <w:bCs/>
                <w:sz w:val="20"/>
                <w:szCs w:val="20"/>
              </w:rPr>
              <w:t>: Ethnic/ Non Ethnic</w:t>
            </w:r>
          </w:p>
          <w:p w14:paraId="2250E49C" w14:textId="73D6656B" w:rsidR="00221C59"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Disability status</w:t>
            </w:r>
            <w:r w:rsidR="00AE188C">
              <w:rPr>
                <w:rFonts w:ascii="Tw Cen MT Condensed" w:hAnsi="Tw Cen MT Condensed"/>
                <w:bCs/>
                <w:sz w:val="20"/>
                <w:szCs w:val="20"/>
              </w:rPr>
              <w:t>: Disable/Non Disable</w:t>
            </w:r>
          </w:p>
          <w:p w14:paraId="145EEB86" w14:textId="02FDAA7E" w:rsidR="00221C59"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lastRenderedPageBreak/>
              <w:t>Geographic location</w:t>
            </w:r>
            <w:r w:rsidR="00AE188C">
              <w:rPr>
                <w:rFonts w:ascii="Tw Cen MT Condensed" w:hAnsi="Tw Cen MT Condensed"/>
                <w:bCs/>
                <w:sz w:val="20"/>
                <w:szCs w:val="20"/>
              </w:rPr>
              <w:t xml:space="preserve"> Urban, Rural</w:t>
            </w:r>
          </w:p>
          <w:p w14:paraId="187E25A9" w14:textId="77777777" w:rsidR="00221C59" w:rsidRPr="005524FA" w:rsidRDefault="00221C59" w:rsidP="00221C59">
            <w:pPr>
              <w:pStyle w:val="ListParagraph"/>
              <w:numPr>
                <w:ilvl w:val="0"/>
                <w:numId w:val="22"/>
              </w:numPr>
              <w:spacing w:line="240" w:lineRule="auto"/>
              <w:ind w:left="140" w:hanging="180"/>
              <w:rPr>
                <w:rFonts w:ascii="Tw Cen MT Condensed" w:hAnsi="Tw Cen MT Condensed"/>
                <w:bCs/>
                <w:sz w:val="20"/>
                <w:szCs w:val="20"/>
              </w:rPr>
            </w:pPr>
            <w:r w:rsidRPr="005524FA">
              <w:rPr>
                <w:rFonts w:ascii="Tw Cen MT Condensed" w:hAnsi="Tw Cen MT Condensed"/>
                <w:bCs/>
                <w:sz w:val="20"/>
                <w:szCs w:val="20"/>
              </w:rPr>
              <w:t>Frequency of violence</w:t>
            </w:r>
          </w:p>
        </w:tc>
        <w:tc>
          <w:tcPr>
            <w:tcW w:w="801" w:type="dxa"/>
            <w:shd w:val="clear" w:color="auto" w:fill="auto"/>
          </w:tcPr>
          <w:p w14:paraId="3A777DCA" w14:textId="1A5F7538" w:rsidR="00221C59" w:rsidRDefault="005F24FB" w:rsidP="00221C59">
            <w:pPr>
              <w:jc w:val="center"/>
              <w:rPr>
                <w:bCs/>
                <w:szCs w:val="20"/>
              </w:rPr>
            </w:pPr>
            <w:r>
              <w:rPr>
                <w:bCs/>
                <w:szCs w:val="20"/>
              </w:rPr>
              <w:lastRenderedPageBreak/>
              <w:t>Triennial</w:t>
            </w:r>
          </w:p>
        </w:tc>
        <w:tc>
          <w:tcPr>
            <w:tcW w:w="697" w:type="dxa"/>
            <w:shd w:val="clear" w:color="auto" w:fill="auto"/>
          </w:tcPr>
          <w:p w14:paraId="15218D78" w14:textId="77777777" w:rsidR="00221C59" w:rsidRDefault="00221C59" w:rsidP="00221C59">
            <w:pPr>
              <w:jc w:val="center"/>
              <w:rPr>
                <w:bCs/>
                <w:szCs w:val="20"/>
              </w:rPr>
            </w:pPr>
            <w:r>
              <w:rPr>
                <w:bCs/>
                <w:szCs w:val="20"/>
              </w:rPr>
              <w:t>Group 1</w:t>
            </w:r>
          </w:p>
        </w:tc>
        <w:tc>
          <w:tcPr>
            <w:tcW w:w="762" w:type="dxa"/>
            <w:shd w:val="clear" w:color="auto" w:fill="auto"/>
          </w:tcPr>
          <w:p w14:paraId="433CFB54" w14:textId="77777777" w:rsidR="00221C59" w:rsidRDefault="00221C59" w:rsidP="00221C59">
            <w:pPr>
              <w:pStyle w:val="NoSpacing"/>
            </w:pPr>
            <w:r>
              <w:t>1</w:t>
            </w:r>
            <w:r w:rsidRPr="00013ACB">
              <w:rPr>
                <w:vertAlign w:val="superscript"/>
              </w:rPr>
              <w:t>st</w:t>
            </w:r>
            <w:r>
              <w:t xml:space="preserve"> Round: </w:t>
            </w:r>
          </w:p>
          <w:p w14:paraId="15828AFA" w14:textId="77777777" w:rsidR="00221C59" w:rsidRDefault="00221C59" w:rsidP="00221C59">
            <w:pPr>
              <w:pStyle w:val="NoSpacing"/>
            </w:pPr>
            <w:r>
              <w:t>2015</w:t>
            </w:r>
          </w:p>
          <w:p w14:paraId="4C1A5AE8" w14:textId="77777777" w:rsidR="00221C59" w:rsidRDefault="00221C59" w:rsidP="00221C59">
            <w:pPr>
              <w:pStyle w:val="NoSpacing"/>
            </w:pPr>
          </w:p>
          <w:p w14:paraId="2A1E5810" w14:textId="77777777" w:rsidR="00221C59" w:rsidRDefault="00221C59" w:rsidP="00221C59">
            <w:pPr>
              <w:pStyle w:val="NoSpacing"/>
            </w:pPr>
            <w:r>
              <w:t>2</w:t>
            </w:r>
            <w:r w:rsidRPr="00013ACB">
              <w:rPr>
                <w:vertAlign w:val="superscript"/>
              </w:rPr>
              <w:t>nd</w:t>
            </w:r>
            <w:r>
              <w:t xml:space="preserve"> Round: </w:t>
            </w:r>
          </w:p>
          <w:p w14:paraId="69253939" w14:textId="77777777" w:rsidR="00221C59" w:rsidRDefault="00221C59" w:rsidP="00221C59">
            <w:pPr>
              <w:pStyle w:val="NoSpacing"/>
            </w:pPr>
            <w:r>
              <w:t>December</w:t>
            </w:r>
            <w:r>
              <w:br/>
              <w:t>2020</w:t>
            </w:r>
          </w:p>
          <w:p w14:paraId="541130A0" w14:textId="77777777" w:rsidR="00221C59" w:rsidRDefault="00221C59" w:rsidP="00221C59">
            <w:pPr>
              <w:pStyle w:val="NoSpacing"/>
            </w:pPr>
          </w:p>
          <w:p w14:paraId="328339B3" w14:textId="77777777" w:rsidR="00221C59" w:rsidRDefault="00221C59" w:rsidP="00221C59">
            <w:pPr>
              <w:pStyle w:val="NoSpacing"/>
            </w:pPr>
            <w:r>
              <w:t>3</w:t>
            </w:r>
            <w:r w:rsidRPr="00013ACB">
              <w:rPr>
                <w:vertAlign w:val="superscript"/>
              </w:rPr>
              <w:t>rd</w:t>
            </w:r>
            <w:r>
              <w:t xml:space="preserve"> Round: </w:t>
            </w:r>
          </w:p>
          <w:p w14:paraId="6F495E1E" w14:textId="77777777" w:rsidR="00221C59" w:rsidRDefault="00221C59" w:rsidP="00221C59">
            <w:pPr>
              <w:pStyle w:val="NoSpacing"/>
            </w:pPr>
            <w:r>
              <w:t>December</w:t>
            </w:r>
            <w:r>
              <w:br/>
              <w:t>2023</w:t>
            </w:r>
          </w:p>
          <w:p w14:paraId="6CAC99C9" w14:textId="77777777" w:rsidR="00221C59" w:rsidRDefault="00221C59" w:rsidP="00221C59">
            <w:pPr>
              <w:pStyle w:val="NoSpacing"/>
            </w:pPr>
          </w:p>
          <w:p w14:paraId="34949BA5" w14:textId="77777777" w:rsidR="00221C59" w:rsidRDefault="00221C59" w:rsidP="00221C59">
            <w:pPr>
              <w:pStyle w:val="NoSpacing"/>
            </w:pPr>
            <w:r>
              <w:t>4</w:t>
            </w:r>
            <w:r w:rsidRPr="00013ACB">
              <w:rPr>
                <w:vertAlign w:val="superscript"/>
              </w:rPr>
              <w:t>th</w:t>
            </w:r>
            <w:r>
              <w:t xml:space="preserve"> Round: </w:t>
            </w:r>
          </w:p>
          <w:p w14:paraId="4423EADF" w14:textId="77777777" w:rsidR="00221C59" w:rsidRDefault="00221C59" w:rsidP="00221C59">
            <w:pPr>
              <w:pStyle w:val="NoSpacing"/>
            </w:pPr>
            <w:r>
              <w:t>December</w:t>
            </w:r>
            <w:r>
              <w:br/>
              <w:t>2026</w:t>
            </w:r>
          </w:p>
          <w:p w14:paraId="30F6565D" w14:textId="77777777" w:rsidR="00221C59" w:rsidRDefault="00221C59" w:rsidP="00221C59">
            <w:pPr>
              <w:pStyle w:val="NoSpacing"/>
            </w:pPr>
          </w:p>
          <w:p w14:paraId="755BF018" w14:textId="77777777" w:rsidR="00221C59" w:rsidRDefault="00221C59" w:rsidP="00221C59">
            <w:pPr>
              <w:pStyle w:val="NoSpacing"/>
            </w:pPr>
            <w:r>
              <w:t>5</w:t>
            </w:r>
            <w:r w:rsidRPr="00013ACB">
              <w:rPr>
                <w:vertAlign w:val="superscript"/>
              </w:rPr>
              <w:t>th</w:t>
            </w:r>
            <w:r>
              <w:t xml:space="preserve"> Round: </w:t>
            </w:r>
          </w:p>
          <w:p w14:paraId="6316BF67" w14:textId="77777777" w:rsidR="00221C59" w:rsidRDefault="00221C59" w:rsidP="00221C59">
            <w:pPr>
              <w:pStyle w:val="NoSpacing"/>
            </w:pPr>
            <w:r>
              <w:t>December</w:t>
            </w:r>
            <w:r>
              <w:br/>
            </w:r>
            <w:r>
              <w:lastRenderedPageBreak/>
              <w:t>2029</w:t>
            </w:r>
          </w:p>
          <w:p w14:paraId="7AB9C7D4" w14:textId="4CBF00A3" w:rsidR="00221C59" w:rsidRPr="007A64DC" w:rsidRDefault="00221C59" w:rsidP="00221C59">
            <w:pPr>
              <w:pStyle w:val="NoSpacing"/>
            </w:pPr>
          </w:p>
        </w:tc>
        <w:tc>
          <w:tcPr>
            <w:tcW w:w="1188" w:type="dxa"/>
            <w:shd w:val="clear" w:color="auto" w:fill="auto"/>
          </w:tcPr>
          <w:p w14:paraId="4434020E" w14:textId="77777777" w:rsidR="00221C59" w:rsidRPr="008658B2" w:rsidRDefault="00221C59" w:rsidP="00221C59">
            <w:pPr>
              <w:jc w:val="both"/>
              <w:rPr>
                <w:bCs/>
                <w:szCs w:val="20"/>
              </w:rPr>
            </w:pPr>
          </w:p>
        </w:tc>
      </w:tr>
      <w:tr w:rsidR="00221C59" w14:paraId="73ECE84C" w14:textId="77777777" w:rsidTr="0085651F">
        <w:tc>
          <w:tcPr>
            <w:tcW w:w="1179" w:type="dxa"/>
            <w:shd w:val="clear" w:color="auto" w:fill="auto"/>
          </w:tcPr>
          <w:p w14:paraId="1A803340" w14:textId="77777777" w:rsidR="00221C59" w:rsidRPr="005D691C" w:rsidRDefault="00221C59" w:rsidP="00221C59">
            <w:pPr>
              <w:jc w:val="both"/>
              <w:rPr>
                <w:szCs w:val="20"/>
              </w:rPr>
            </w:pPr>
            <w:r w:rsidRPr="005D691C">
              <w:rPr>
                <w:szCs w:val="20"/>
              </w:rPr>
              <w:lastRenderedPageBreak/>
              <w:t>5.2.2 Proportion of women and girls aged 15 years and older subjected to sexual violence by persons other than an intimate partner in the previous 12 months, by age and place of occurrence</w:t>
            </w:r>
          </w:p>
        </w:tc>
        <w:tc>
          <w:tcPr>
            <w:tcW w:w="921" w:type="dxa"/>
            <w:gridSpan w:val="2"/>
            <w:shd w:val="clear" w:color="auto" w:fill="auto"/>
          </w:tcPr>
          <w:p w14:paraId="433AEA27" w14:textId="77777777" w:rsidR="00221C59" w:rsidRPr="005D691C" w:rsidRDefault="00221C59" w:rsidP="00221C59">
            <w:pPr>
              <w:jc w:val="center"/>
              <w:rPr>
                <w:szCs w:val="20"/>
              </w:rPr>
            </w:pPr>
            <w:r w:rsidRPr="005D691C">
              <w:rPr>
                <w:szCs w:val="20"/>
              </w:rPr>
              <w:t>UNICEF,</w:t>
            </w:r>
          </w:p>
          <w:p w14:paraId="4635B415" w14:textId="77777777" w:rsidR="00221C59" w:rsidRPr="005D691C" w:rsidRDefault="00221C59" w:rsidP="00221C59">
            <w:pPr>
              <w:jc w:val="center"/>
              <w:rPr>
                <w:szCs w:val="20"/>
              </w:rPr>
            </w:pPr>
            <w:r w:rsidRPr="005D691C">
              <w:rPr>
                <w:szCs w:val="20"/>
              </w:rPr>
              <w:t>UN Women, UNFPA,</w:t>
            </w:r>
          </w:p>
          <w:p w14:paraId="154A6246" w14:textId="77777777" w:rsidR="00221C59" w:rsidRPr="005D691C" w:rsidRDefault="00221C59" w:rsidP="00221C59">
            <w:pPr>
              <w:jc w:val="center"/>
              <w:rPr>
                <w:szCs w:val="20"/>
              </w:rPr>
            </w:pPr>
            <w:r w:rsidRPr="005D691C">
              <w:rPr>
                <w:szCs w:val="20"/>
              </w:rPr>
              <w:t>WHO,</w:t>
            </w:r>
          </w:p>
          <w:p w14:paraId="61A8C655" w14:textId="77777777" w:rsidR="00221C59" w:rsidRDefault="00221C59" w:rsidP="00221C59">
            <w:pPr>
              <w:jc w:val="center"/>
              <w:rPr>
                <w:szCs w:val="20"/>
              </w:rPr>
            </w:pPr>
            <w:r w:rsidRPr="005D691C">
              <w:rPr>
                <w:szCs w:val="20"/>
              </w:rPr>
              <w:t>UNODC</w:t>
            </w:r>
          </w:p>
          <w:p w14:paraId="22CD9FD8" w14:textId="77777777" w:rsidR="00221C59" w:rsidRDefault="00221C59" w:rsidP="00221C59">
            <w:pPr>
              <w:jc w:val="center"/>
              <w:rPr>
                <w:szCs w:val="20"/>
              </w:rPr>
            </w:pPr>
          </w:p>
          <w:p w14:paraId="4579E9B3" w14:textId="77777777" w:rsidR="00221C59" w:rsidRPr="005D691C" w:rsidRDefault="00221C59" w:rsidP="00221C59">
            <w:pPr>
              <w:jc w:val="center"/>
              <w:rPr>
                <w:b/>
                <w:bCs/>
                <w:szCs w:val="20"/>
              </w:rPr>
            </w:pPr>
            <w:r w:rsidRPr="005D691C">
              <w:rPr>
                <w:b/>
                <w:bCs/>
                <w:szCs w:val="20"/>
              </w:rPr>
              <w:t>Partner Agencies:</w:t>
            </w:r>
          </w:p>
          <w:p w14:paraId="710755C3" w14:textId="77777777" w:rsidR="00221C59" w:rsidRPr="005D691C" w:rsidRDefault="00221C59" w:rsidP="00221C59">
            <w:pPr>
              <w:jc w:val="center"/>
              <w:rPr>
                <w:szCs w:val="20"/>
              </w:rPr>
            </w:pPr>
            <w:r w:rsidRPr="005D691C">
              <w:rPr>
                <w:szCs w:val="20"/>
              </w:rPr>
              <w:t>UNSD,</w:t>
            </w:r>
          </w:p>
          <w:p w14:paraId="4171FC98" w14:textId="77777777" w:rsidR="00221C59" w:rsidRPr="009A340D" w:rsidRDefault="00221C59" w:rsidP="00221C59">
            <w:pPr>
              <w:jc w:val="center"/>
              <w:rPr>
                <w:szCs w:val="20"/>
              </w:rPr>
            </w:pPr>
            <w:r w:rsidRPr="005D691C">
              <w:rPr>
                <w:szCs w:val="20"/>
              </w:rPr>
              <w:t>UNDP</w:t>
            </w:r>
          </w:p>
        </w:tc>
        <w:tc>
          <w:tcPr>
            <w:tcW w:w="985" w:type="dxa"/>
            <w:shd w:val="clear" w:color="auto" w:fill="auto"/>
          </w:tcPr>
          <w:p w14:paraId="4CF43CA4" w14:textId="77777777" w:rsidR="00221C59" w:rsidRDefault="00221C59" w:rsidP="00221C59">
            <w:pPr>
              <w:jc w:val="center"/>
              <w:rPr>
                <w:szCs w:val="20"/>
              </w:rPr>
            </w:pPr>
            <w:r>
              <w:rPr>
                <w:szCs w:val="20"/>
              </w:rPr>
              <w:t>Tier II</w:t>
            </w:r>
          </w:p>
        </w:tc>
        <w:tc>
          <w:tcPr>
            <w:tcW w:w="5331" w:type="dxa"/>
            <w:shd w:val="clear" w:color="auto" w:fill="auto"/>
          </w:tcPr>
          <w:p w14:paraId="50C74F38" w14:textId="77777777" w:rsidR="00221C59" w:rsidRPr="004C6F02" w:rsidRDefault="00221C59" w:rsidP="00221C59">
            <w:pPr>
              <w:jc w:val="both"/>
              <w:rPr>
                <w:b/>
                <w:bCs/>
                <w:szCs w:val="20"/>
              </w:rPr>
            </w:pPr>
            <w:r w:rsidRPr="004C6F02">
              <w:rPr>
                <w:b/>
                <w:bCs/>
                <w:szCs w:val="20"/>
              </w:rPr>
              <w:t>Definition:</w:t>
            </w:r>
          </w:p>
          <w:p w14:paraId="093709EA" w14:textId="77777777" w:rsidR="00221C59" w:rsidRDefault="00221C59" w:rsidP="00221C59">
            <w:pPr>
              <w:jc w:val="both"/>
              <w:rPr>
                <w:szCs w:val="20"/>
              </w:rPr>
            </w:pPr>
            <w:r w:rsidRPr="004C6F02">
              <w:rPr>
                <w:szCs w:val="20"/>
              </w:rPr>
              <w:t>This indicator measures the percentage of women and girls aged 15 years and older who have experienced</w:t>
            </w:r>
            <w:r>
              <w:rPr>
                <w:szCs w:val="20"/>
              </w:rPr>
              <w:t xml:space="preserve"> </w:t>
            </w:r>
            <w:r w:rsidRPr="004C6F02">
              <w:rPr>
                <w:szCs w:val="20"/>
              </w:rPr>
              <w:t>sexual violence by persons other than an intimate partner, in the previous 12 months.</w:t>
            </w:r>
            <w:r>
              <w:rPr>
                <w:szCs w:val="20"/>
              </w:rPr>
              <w:t xml:space="preserve"> </w:t>
            </w:r>
            <w:r w:rsidRPr="004C6F02">
              <w:rPr>
                <w:szCs w:val="20"/>
              </w:rPr>
              <w:t>Definition of sexual violence against women and girls is presented in the next section (Concepts).</w:t>
            </w:r>
          </w:p>
          <w:p w14:paraId="1F83FF12" w14:textId="77777777" w:rsidR="00221C59" w:rsidRDefault="00221C59" w:rsidP="00221C59">
            <w:pPr>
              <w:jc w:val="both"/>
              <w:rPr>
                <w:b/>
                <w:bCs/>
                <w:szCs w:val="20"/>
              </w:rPr>
            </w:pPr>
          </w:p>
          <w:p w14:paraId="25DD1DB2" w14:textId="77777777" w:rsidR="00221C59" w:rsidRPr="004C6F02" w:rsidRDefault="00221C59" w:rsidP="00221C59">
            <w:pPr>
              <w:jc w:val="both"/>
              <w:rPr>
                <w:b/>
                <w:bCs/>
                <w:szCs w:val="20"/>
              </w:rPr>
            </w:pPr>
            <w:r w:rsidRPr="004C6F02">
              <w:rPr>
                <w:b/>
                <w:bCs/>
                <w:szCs w:val="20"/>
              </w:rPr>
              <w:t>Concepts:</w:t>
            </w:r>
          </w:p>
          <w:p w14:paraId="2EC90C6F" w14:textId="77777777" w:rsidR="00221C59" w:rsidRPr="004C6F02" w:rsidRDefault="00221C59" w:rsidP="00221C59">
            <w:pPr>
              <w:jc w:val="both"/>
              <w:rPr>
                <w:szCs w:val="20"/>
              </w:rPr>
            </w:pPr>
            <w:r w:rsidRPr="004C6F02">
              <w:rPr>
                <w:szCs w:val="20"/>
              </w:rPr>
              <w:t>According to the UN Declaration on the Elimination of Violence against Women (1993), Violence against</w:t>
            </w:r>
            <w:r>
              <w:rPr>
                <w:szCs w:val="20"/>
              </w:rPr>
              <w:t xml:space="preserve"> </w:t>
            </w:r>
            <w:r w:rsidRPr="004C6F02">
              <w:rPr>
                <w:szCs w:val="20"/>
              </w:rPr>
              <w:t>Women is “Any act of gender-based violence that results in, or is likely to result in, physical, sexual or</w:t>
            </w:r>
            <w:r>
              <w:rPr>
                <w:szCs w:val="20"/>
              </w:rPr>
              <w:t xml:space="preserve"> </w:t>
            </w:r>
            <w:r w:rsidRPr="004C6F02">
              <w:rPr>
                <w:szCs w:val="20"/>
              </w:rPr>
              <w:t>psychological harm or suffering to women, including threats of such acts, coercion or arbitrary deprivation</w:t>
            </w:r>
            <w:r>
              <w:rPr>
                <w:szCs w:val="20"/>
              </w:rPr>
              <w:t xml:space="preserve"> </w:t>
            </w:r>
            <w:r w:rsidRPr="004C6F02">
              <w:rPr>
                <w:szCs w:val="20"/>
              </w:rPr>
              <w:t>of liberty, whether occurring in public or in private life. Violence against women shall be understood to</w:t>
            </w:r>
            <w:r>
              <w:rPr>
                <w:szCs w:val="20"/>
              </w:rPr>
              <w:t xml:space="preserve"> </w:t>
            </w:r>
            <w:r w:rsidRPr="004C6F02">
              <w:rPr>
                <w:szCs w:val="20"/>
              </w:rPr>
              <w:t>encompass, but not be limited to, the following: […], Physical, sexual and psychological violence occurring</w:t>
            </w:r>
            <w:r>
              <w:rPr>
                <w:szCs w:val="20"/>
              </w:rPr>
              <w:t xml:space="preserve"> </w:t>
            </w:r>
            <w:r w:rsidRPr="004C6F02">
              <w:rPr>
                <w:szCs w:val="20"/>
              </w:rPr>
              <w:t>within the general community, including rape, sexual abuse, sexual harassment and intimidation at work,</w:t>
            </w:r>
            <w:r>
              <w:rPr>
                <w:szCs w:val="20"/>
              </w:rPr>
              <w:t xml:space="preserve"> </w:t>
            </w:r>
            <w:r w:rsidRPr="004C6F02">
              <w:rPr>
                <w:szCs w:val="20"/>
              </w:rPr>
              <w:t>in educational institutions and elsewhere, trafficking in women and forced prostitution […]”. See here for</w:t>
            </w:r>
            <w:r>
              <w:rPr>
                <w:szCs w:val="20"/>
              </w:rPr>
              <w:t xml:space="preserve"> </w:t>
            </w:r>
            <w:r w:rsidRPr="004C6F02">
              <w:rPr>
                <w:szCs w:val="20"/>
              </w:rPr>
              <w:t>full definition: http://www.un.org/documents/ga/res/48/a48r104.htm</w:t>
            </w:r>
            <w:r>
              <w:rPr>
                <w:szCs w:val="20"/>
              </w:rPr>
              <w:t xml:space="preserve"> </w:t>
            </w:r>
            <w:r w:rsidRPr="004C6F02">
              <w:rPr>
                <w:szCs w:val="20"/>
              </w:rPr>
              <w:t>Sexual violence is defined as any sort of harmful or unwanted sexual behaviour that is imposed on</w:t>
            </w:r>
            <w:r>
              <w:rPr>
                <w:szCs w:val="20"/>
              </w:rPr>
              <w:t xml:space="preserve"> </w:t>
            </w:r>
            <w:r w:rsidRPr="004C6F02">
              <w:rPr>
                <w:szCs w:val="20"/>
              </w:rPr>
              <w:t>someone. It includes acts of abusive sexual contact, forced engagement in sexual acts, attempted or</w:t>
            </w:r>
            <w:r>
              <w:rPr>
                <w:szCs w:val="20"/>
              </w:rPr>
              <w:t xml:space="preserve"> </w:t>
            </w:r>
            <w:r w:rsidRPr="004C6F02">
              <w:rPr>
                <w:szCs w:val="20"/>
              </w:rPr>
              <w:t>completed sexual acts without consent, incest, sexual harassment, etc. However, in most surveys that</w:t>
            </w:r>
            <w:r>
              <w:rPr>
                <w:szCs w:val="20"/>
              </w:rPr>
              <w:t xml:space="preserve"> </w:t>
            </w:r>
            <w:r w:rsidRPr="004C6F02">
              <w:rPr>
                <w:szCs w:val="20"/>
              </w:rPr>
              <w:t>collect data on sexual violence against women and girls by non-partners the information collected is</w:t>
            </w:r>
            <w:r>
              <w:rPr>
                <w:szCs w:val="20"/>
              </w:rPr>
              <w:t xml:space="preserve"> </w:t>
            </w:r>
            <w:r w:rsidRPr="004C6F02">
              <w:rPr>
                <w:szCs w:val="20"/>
              </w:rPr>
              <w:t>limited</w:t>
            </w:r>
            <w:r>
              <w:rPr>
                <w:szCs w:val="20"/>
              </w:rPr>
              <w:t xml:space="preserve"> </w:t>
            </w:r>
            <w:r w:rsidRPr="004C6F02">
              <w:rPr>
                <w:szCs w:val="20"/>
              </w:rPr>
              <w:t>to forcing someone into sexual intercourse when she does not want to, as well as attempting to force</w:t>
            </w:r>
            <w:r>
              <w:rPr>
                <w:szCs w:val="20"/>
              </w:rPr>
              <w:t xml:space="preserve"> </w:t>
            </w:r>
            <w:r w:rsidRPr="004C6F02">
              <w:rPr>
                <w:szCs w:val="20"/>
              </w:rPr>
              <w:t>someone to perform a sexual act against her will or attempting to force her into sexual intercourse.</w:t>
            </w:r>
          </w:p>
          <w:p w14:paraId="71EEBED6" w14:textId="77777777" w:rsidR="00221C59" w:rsidRDefault="00221C59" w:rsidP="00221C59">
            <w:pPr>
              <w:jc w:val="both"/>
              <w:rPr>
                <w:szCs w:val="20"/>
              </w:rPr>
            </w:pPr>
            <w:r w:rsidRPr="004C6F02">
              <w:rPr>
                <w:szCs w:val="20"/>
              </w:rPr>
              <w:t>For a more detailed definition of sexual violence against women see Guidelines for Producing Statistics on</w:t>
            </w:r>
            <w:r>
              <w:rPr>
                <w:szCs w:val="20"/>
              </w:rPr>
              <w:t xml:space="preserve"> </w:t>
            </w:r>
            <w:r w:rsidRPr="004C6F02">
              <w:rPr>
                <w:szCs w:val="20"/>
              </w:rPr>
              <w:t>Violence against Women- Statistical Surveys (UN, 2014).</w:t>
            </w:r>
          </w:p>
          <w:p w14:paraId="6F1C00A4" w14:textId="77777777" w:rsidR="00221C59" w:rsidRDefault="00221C59" w:rsidP="00221C59">
            <w:pPr>
              <w:jc w:val="both"/>
              <w:rPr>
                <w:b/>
                <w:bCs/>
                <w:szCs w:val="20"/>
              </w:rPr>
            </w:pPr>
          </w:p>
          <w:p w14:paraId="205178CF" w14:textId="77777777" w:rsidR="00221C59" w:rsidRPr="004C6F02" w:rsidRDefault="00221C59" w:rsidP="00221C59">
            <w:pPr>
              <w:jc w:val="both"/>
              <w:rPr>
                <w:b/>
                <w:bCs/>
                <w:szCs w:val="20"/>
              </w:rPr>
            </w:pPr>
            <w:r w:rsidRPr="004C6F02">
              <w:rPr>
                <w:b/>
                <w:bCs/>
                <w:szCs w:val="20"/>
              </w:rPr>
              <w:t>Computation Method:</w:t>
            </w:r>
          </w:p>
          <w:p w14:paraId="70945FF5" w14:textId="77777777" w:rsidR="00221C59" w:rsidRDefault="00221C59" w:rsidP="00221C59">
            <w:pPr>
              <w:jc w:val="both"/>
              <w:rPr>
                <w:szCs w:val="20"/>
              </w:rPr>
            </w:pPr>
            <w:r w:rsidRPr="004C6F02">
              <w:rPr>
                <w:szCs w:val="20"/>
              </w:rPr>
              <w:t>This indicator calls for disaggregation by age group and place of occurrence. No standard definitions and</w:t>
            </w:r>
            <w:r>
              <w:rPr>
                <w:szCs w:val="20"/>
              </w:rPr>
              <w:t xml:space="preserve"> </w:t>
            </w:r>
            <w:r w:rsidRPr="004C6F02">
              <w:rPr>
                <w:szCs w:val="20"/>
              </w:rPr>
              <w:t>methods have been globally agreed yet to collect data on the place where the violence occurs, therefore</w:t>
            </w:r>
            <w:r>
              <w:rPr>
                <w:szCs w:val="20"/>
              </w:rPr>
              <w:t xml:space="preserve"> </w:t>
            </w:r>
            <w:r w:rsidRPr="004C6F02">
              <w:rPr>
                <w:szCs w:val="20"/>
              </w:rPr>
              <w:t>this is not presented at this point in the computation method below.</w:t>
            </w:r>
          </w:p>
          <w:p w14:paraId="07323424" w14:textId="77777777" w:rsidR="00221C59" w:rsidRPr="004C6F02" w:rsidRDefault="00221C59" w:rsidP="00221C59">
            <w:pPr>
              <w:jc w:val="both"/>
              <w:rPr>
                <w:szCs w:val="20"/>
              </w:rPr>
            </w:pPr>
          </w:p>
          <w:p w14:paraId="2C06FF8D" w14:textId="77777777" w:rsidR="00221C59" w:rsidRPr="005A7B5C" w:rsidRDefault="00221C59" w:rsidP="00221C59">
            <w:pPr>
              <w:jc w:val="both"/>
              <w:rPr>
                <w:b/>
                <w:bCs/>
                <w:szCs w:val="20"/>
              </w:rPr>
            </w:pPr>
            <w:r w:rsidRPr="004C6F02">
              <w:rPr>
                <w:szCs w:val="20"/>
              </w:rPr>
              <w:t>Number of women and girls aged 15 years and above who experience sexual violence by persons other</w:t>
            </w:r>
            <w:r>
              <w:rPr>
                <w:szCs w:val="20"/>
              </w:rPr>
              <w:t xml:space="preserve"> </w:t>
            </w:r>
            <w:r w:rsidRPr="004C6F02">
              <w:rPr>
                <w:szCs w:val="20"/>
              </w:rPr>
              <w:t>than an intimate partner in the previous 12 months divided by the number of women and girls aged 15</w:t>
            </w:r>
            <w:r>
              <w:rPr>
                <w:szCs w:val="20"/>
              </w:rPr>
              <w:t xml:space="preserve"> </w:t>
            </w:r>
            <w:r w:rsidRPr="004C6F02">
              <w:rPr>
                <w:szCs w:val="20"/>
              </w:rPr>
              <w:t>years and above in the population multiplied by 100.</w:t>
            </w:r>
          </w:p>
        </w:tc>
        <w:tc>
          <w:tcPr>
            <w:tcW w:w="967" w:type="dxa"/>
            <w:shd w:val="clear" w:color="auto" w:fill="auto"/>
          </w:tcPr>
          <w:p w14:paraId="2386A016" w14:textId="77777777" w:rsidR="00221C59" w:rsidRPr="005D691C" w:rsidRDefault="00221C59" w:rsidP="00221C59">
            <w:pPr>
              <w:jc w:val="center"/>
              <w:rPr>
                <w:bCs/>
                <w:szCs w:val="20"/>
              </w:rPr>
            </w:pPr>
            <w:r>
              <w:rPr>
                <w:bCs/>
                <w:szCs w:val="20"/>
              </w:rPr>
              <w:t>Household Survey</w:t>
            </w:r>
          </w:p>
        </w:tc>
        <w:tc>
          <w:tcPr>
            <w:tcW w:w="1140" w:type="dxa"/>
            <w:shd w:val="clear" w:color="auto" w:fill="auto"/>
          </w:tcPr>
          <w:p w14:paraId="7EB839FD" w14:textId="77777777" w:rsidR="00221C59" w:rsidRPr="005D691C" w:rsidRDefault="00221C59" w:rsidP="00221C59">
            <w:pPr>
              <w:jc w:val="center"/>
              <w:rPr>
                <w:bCs/>
                <w:szCs w:val="20"/>
              </w:rPr>
            </w:pPr>
            <w:r>
              <w:rPr>
                <w:bCs/>
                <w:szCs w:val="20"/>
              </w:rPr>
              <w:t>National Statistics Office</w:t>
            </w:r>
          </w:p>
        </w:tc>
        <w:tc>
          <w:tcPr>
            <w:tcW w:w="721" w:type="dxa"/>
            <w:shd w:val="clear" w:color="auto" w:fill="auto"/>
          </w:tcPr>
          <w:p w14:paraId="7C95A27B" w14:textId="77777777" w:rsidR="00221C59" w:rsidRPr="008658B2" w:rsidRDefault="00221C59" w:rsidP="00221C59">
            <w:pPr>
              <w:jc w:val="center"/>
              <w:rPr>
                <w:bCs/>
                <w:szCs w:val="20"/>
              </w:rPr>
            </w:pPr>
            <w:r>
              <w:rPr>
                <w:bCs/>
                <w:szCs w:val="20"/>
              </w:rPr>
              <w:t>VAW, BBS</w:t>
            </w:r>
          </w:p>
        </w:tc>
        <w:tc>
          <w:tcPr>
            <w:tcW w:w="1116" w:type="dxa"/>
            <w:shd w:val="clear" w:color="auto" w:fill="auto"/>
          </w:tcPr>
          <w:p w14:paraId="13874764" w14:textId="09A5D7F9" w:rsidR="00221C59" w:rsidRPr="008658B2" w:rsidRDefault="00221C59" w:rsidP="00221C59">
            <w:pPr>
              <w:jc w:val="center"/>
              <w:rPr>
                <w:bCs/>
                <w:szCs w:val="20"/>
              </w:rPr>
            </w:pPr>
            <w:r w:rsidRPr="00B66D81">
              <w:rPr>
                <w:rFonts w:eastAsia="Times New Roman" w:cs="Times New Roman"/>
                <w:color w:val="000000" w:themeColor="text1"/>
                <w:szCs w:val="20"/>
              </w:rPr>
              <w:t>VAW Survey/</w:t>
            </w:r>
            <w:r w:rsidRPr="00BC6F10">
              <w:rPr>
                <w:rFonts w:eastAsia="Times New Roman" w:cs="Times New Roman"/>
                <w:color w:val="000000" w:themeColor="text1"/>
                <w:szCs w:val="20"/>
              </w:rPr>
              <w:t>GBVS</w:t>
            </w:r>
            <w:r w:rsidRPr="008658B2" w:rsidDel="00B65867">
              <w:rPr>
                <w:bCs/>
                <w:szCs w:val="20"/>
              </w:rPr>
              <w:t xml:space="preserve"> </w:t>
            </w:r>
            <w:r w:rsidRPr="008658B2">
              <w:rPr>
                <w:bCs/>
                <w:szCs w:val="20"/>
              </w:rPr>
              <w:t>BBS</w:t>
            </w:r>
          </w:p>
        </w:tc>
        <w:tc>
          <w:tcPr>
            <w:tcW w:w="1354" w:type="dxa"/>
            <w:shd w:val="clear" w:color="auto" w:fill="auto"/>
          </w:tcPr>
          <w:p w14:paraId="47CA80CC" w14:textId="6AE6D465" w:rsidR="00221C59"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Age</w:t>
            </w:r>
            <w:r w:rsidR="00AE188C">
              <w:rPr>
                <w:rFonts w:ascii="Tw Cen MT Condensed" w:hAnsi="Tw Cen MT Condensed"/>
                <w:bCs/>
                <w:sz w:val="20"/>
                <w:szCs w:val="20"/>
              </w:rPr>
              <w:t>: 15-24 yrs, 25-34 yrs, 35-44 yrs, 45+ yrs</w:t>
            </w:r>
          </w:p>
          <w:p w14:paraId="3EBBF82A" w14:textId="77777777" w:rsidR="00221C59"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place of occurrence</w:t>
            </w:r>
          </w:p>
          <w:p w14:paraId="4C2C25DE" w14:textId="1EA14E66" w:rsidR="00221C59"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income/wealth</w:t>
            </w:r>
            <w:r w:rsidR="00CB6067">
              <w:rPr>
                <w:rFonts w:ascii="Tw Cen MT Condensed" w:hAnsi="Tw Cen MT Condensed"/>
                <w:bCs/>
                <w:sz w:val="20"/>
                <w:szCs w:val="20"/>
              </w:rPr>
              <w:t xml:space="preserve"> quantile</w:t>
            </w:r>
          </w:p>
          <w:p w14:paraId="54B5A1D8" w14:textId="77777777" w:rsidR="00221C59"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education, ethnicity (including indigenous status)</w:t>
            </w:r>
          </w:p>
          <w:p w14:paraId="570EC065" w14:textId="06057449" w:rsidR="00221C59"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disability status</w:t>
            </w:r>
            <w:r w:rsidR="00CB6067">
              <w:rPr>
                <w:rFonts w:ascii="Tw Cen MT Condensed" w:hAnsi="Tw Cen MT Condensed"/>
                <w:bCs/>
                <w:sz w:val="20"/>
                <w:szCs w:val="20"/>
              </w:rPr>
              <w:t>: Disable/Non Disable</w:t>
            </w:r>
          </w:p>
          <w:p w14:paraId="6BF7D63A" w14:textId="48231C67" w:rsidR="00221C59"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geographic location</w:t>
            </w:r>
            <w:r w:rsidR="00CB6067">
              <w:rPr>
                <w:rFonts w:ascii="Tw Cen MT Condensed" w:hAnsi="Tw Cen MT Condensed"/>
                <w:bCs/>
                <w:sz w:val="20"/>
                <w:szCs w:val="20"/>
              </w:rPr>
              <w:t>: Urban/Rural</w:t>
            </w:r>
          </w:p>
          <w:p w14:paraId="1DE272B9" w14:textId="77777777" w:rsidR="00221C59"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relationship with the perpetrator (including sex of</w:t>
            </w:r>
            <w:r>
              <w:rPr>
                <w:rFonts w:ascii="Tw Cen MT Condensed" w:hAnsi="Tw Cen MT Condensed"/>
                <w:bCs/>
                <w:sz w:val="20"/>
                <w:szCs w:val="20"/>
              </w:rPr>
              <w:t xml:space="preserve"> </w:t>
            </w:r>
            <w:r w:rsidRPr="004C6F02">
              <w:rPr>
                <w:rFonts w:ascii="Tw Cen MT Condensed" w:hAnsi="Tw Cen MT Condensed"/>
                <w:bCs/>
                <w:sz w:val="20"/>
                <w:szCs w:val="20"/>
              </w:rPr>
              <w:t>perpetrator)</w:t>
            </w:r>
          </w:p>
          <w:p w14:paraId="1357DC3B" w14:textId="77777777" w:rsidR="00221C59" w:rsidRPr="004C6F02" w:rsidRDefault="00221C59" w:rsidP="00221C59">
            <w:pPr>
              <w:pStyle w:val="ListParagraph"/>
              <w:numPr>
                <w:ilvl w:val="0"/>
                <w:numId w:val="25"/>
              </w:numPr>
              <w:ind w:left="210" w:hanging="210"/>
              <w:rPr>
                <w:rFonts w:ascii="Tw Cen MT Condensed" w:hAnsi="Tw Cen MT Condensed"/>
                <w:bCs/>
                <w:sz w:val="20"/>
                <w:szCs w:val="20"/>
              </w:rPr>
            </w:pPr>
            <w:r w:rsidRPr="004C6F02">
              <w:rPr>
                <w:rFonts w:ascii="Tw Cen MT Condensed" w:hAnsi="Tw Cen MT Condensed"/>
                <w:bCs/>
                <w:sz w:val="20"/>
                <w:szCs w:val="20"/>
              </w:rPr>
              <w:t>frequency and type of sexual violence</w:t>
            </w:r>
          </w:p>
        </w:tc>
        <w:tc>
          <w:tcPr>
            <w:tcW w:w="801" w:type="dxa"/>
            <w:shd w:val="clear" w:color="auto" w:fill="auto"/>
          </w:tcPr>
          <w:p w14:paraId="2CA87FAD" w14:textId="0BB34C0D" w:rsidR="00221C59" w:rsidRDefault="005F24FB" w:rsidP="00221C59">
            <w:pPr>
              <w:jc w:val="center"/>
              <w:rPr>
                <w:bCs/>
                <w:szCs w:val="20"/>
              </w:rPr>
            </w:pPr>
            <w:r>
              <w:rPr>
                <w:bCs/>
                <w:szCs w:val="20"/>
              </w:rPr>
              <w:t>Triennial</w:t>
            </w:r>
          </w:p>
        </w:tc>
        <w:tc>
          <w:tcPr>
            <w:tcW w:w="697" w:type="dxa"/>
            <w:shd w:val="clear" w:color="auto" w:fill="auto"/>
          </w:tcPr>
          <w:p w14:paraId="5736EB2F" w14:textId="77777777" w:rsidR="00221C59" w:rsidRDefault="00221C59" w:rsidP="00221C59">
            <w:pPr>
              <w:jc w:val="center"/>
              <w:rPr>
                <w:bCs/>
                <w:szCs w:val="20"/>
              </w:rPr>
            </w:pPr>
            <w:r>
              <w:rPr>
                <w:bCs/>
                <w:szCs w:val="20"/>
              </w:rPr>
              <w:t>Group 1</w:t>
            </w:r>
          </w:p>
        </w:tc>
        <w:tc>
          <w:tcPr>
            <w:tcW w:w="762" w:type="dxa"/>
            <w:shd w:val="clear" w:color="auto" w:fill="auto"/>
          </w:tcPr>
          <w:p w14:paraId="70E95405" w14:textId="77777777" w:rsidR="00221C59" w:rsidRDefault="00221C59" w:rsidP="00221C59">
            <w:pPr>
              <w:pStyle w:val="NoSpacing"/>
            </w:pPr>
            <w:r>
              <w:t>1</w:t>
            </w:r>
            <w:r w:rsidRPr="00013ACB">
              <w:rPr>
                <w:vertAlign w:val="superscript"/>
              </w:rPr>
              <w:t>st</w:t>
            </w:r>
            <w:r>
              <w:t xml:space="preserve"> Round: </w:t>
            </w:r>
          </w:p>
          <w:p w14:paraId="42493DE0" w14:textId="77777777" w:rsidR="00221C59" w:rsidRDefault="00221C59" w:rsidP="00221C59">
            <w:pPr>
              <w:pStyle w:val="NoSpacing"/>
            </w:pPr>
            <w:r>
              <w:t>2015</w:t>
            </w:r>
          </w:p>
          <w:p w14:paraId="0ED7902C" w14:textId="77777777" w:rsidR="00221C59" w:rsidRDefault="00221C59" w:rsidP="00221C59">
            <w:pPr>
              <w:pStyle w:val="NoSpacing"/>
            </w:pPr>
          </w:p>
          <w:p w14:paraId="7EC29AA2" w14:textId="77777777" w:rsidR="00221C59" w:rsidRDefault="00221C59" w:rsidP="00221C59">
            <w:pPr>
              <w:pStyle w:val="NoSpacing"/>
            </w:pPr>
            <w:r>
              <w:t>2</w:t>
            </w:r>
            <w:r w:rsidRPr="00013ACB">
              <w:rPr>
                <w:vertAlign w:val="superscript"/>
              </w:rPr>
              <w:t>nd</w:t>
            </w:r>
            <w:r>
              <w:t xml:space="preserve"> Round: </w:t>
            </w:r>
          </w:p>
          <w:p w14:paraId="0AB330F7" w14:textId="77777777" w:rsidR="00221C59" w:rsidRDefault="00221C59" w:rsidP="00221C59">
            <w:pPr>
              <w:pStyle w:val="NoSpacing"/>
            </w:pPr>
            <w:r>
              <w:t>July, 2019</w:t>
            </w:r>
          </w:p>
          <w:p w14:paraId="176A2DCD" w14:textId="77777777" w:rsidR="00221C59" w:rsidRDefault="00221C59" w:rsidP="00221C59">
            <w:pPr>
              <w:pStyle w:val="NoSpacing"/>
            </w:pPr>
          </w:p>
          <w:p w14:paraId="5F6BE28B" w14:textId="77777777" w:rsidR="00221C59" w:rsidRDefault="00221C59" w:rsidP="00221C59">
            <w:pPr>
              <w:pStyle w:val="NoSpacing"/>
            </w:pPr>
            <w:r>
              <w:t>3</w:t>
            </w:r>
            <w:r w:rsidRPr="00013ACB">
              <w:rPr>
                <w:vertAlign w:val="superscript"/>
              </w:rPr>
              <w:t>rd</w:t>
            </w:r>
            <w:r>
              <w:t xml:space="preserve"> Round: </w:t>
            </w:r>
          </w:p>
          <w:p w14:paraId="48DEDCDE" w14:textId="77777777" w:rsidR="00221C59" w:rsidRDefault="00221C59" w:rsidP="00221C59">
            <w:pPr>
              <w:pStyle w:val="NoSpacing"/>
            </w:pPr>
            <w:r>
              <w:t>July, 2022</w:t>
            </w:r>
          </w:p>
          <w:p w14:paraId="28CBF97B" w14:textId="77777777" w:rsidR="00221C59" w:rsidRDefault="00221C59" w:rsidP="00221C59">
            <w:pPr>
              <w:pStyle w:val="NoSpacing"/>
            </w:pPr>
          </w:p>
          <w:p w14:paraId="342EAC71" w14:textId="77777777" w:rsidR="00221C59" w:rsidRDefault="00221C59" w:rsidP="00221C59">
            <w:pPr>
              <w:pStyle w:val="NoSpacing"/>
            </w:pPr>
            <w:r>
              <w:t>4</w:t>
            </w:r>
            <w:r w:rsidRPr="00013ACB">
              <w:rPr>
                <w:vertAlign w:val="superscript"/>
              </w:rPr>
              <w:t>th</w:t>
            </w:r>
            <w:r>
              <w:t xml:space="preserve"> Round: </w:t>
            </w:r>
          </w:p>
          <w:p w14:paraId="7D9A2CD6" w14:textId="77777777" w:rsidR="00221C59" w:rsidRDefault="00221C59" w:rsidP="00221C59">
            <w:pPr>
              <w:pStyle w:val="NoSpacing"/>
            </w:pPr>
            <w:r>
              <w:t>July, 2025</w:t>
            </w:r>
          </w:p>
          <w:p w14:paraId="1EB6FA04" w14:textId="77777777" w:rsidR="00221C59" w:rsidRDefault="00221C59" w:rsidP="00221C59">
            <w:pPr>
              <w:pStyle w:val="NoSpacing"/>
            </w:pPr>
          </w:p>
          <w:p w14:paraId="6CA2310F" w14:textId="77777777" w:rsidR="00221C59" w:rsidRDefault="00221C59" w:rsidP="00221C59">
            <w:pPr>
              <w:pStyle w:val="NoSpacing"/>
            </w:pPr>
            <w:r>
              <w:t>5</w:t>
            </w:r>
            <w:r w:rsidRPr="00013ACB">
              <w:rPr>
                <w:vertAlign w:val="superscript"/>
              </w:rPr>
              <w:t>th</w:t>
            </w:r>
            <w:r>
              <w:t xml:space="preserve"> Round: </w:t>
            </w:r>
          </w:p>
          <w:p w14:paraId="254102D6" w14:textId="77777777" w:rsidR="00221C59" w:rsidRDefault="00221C59" w:rsidP="00221C59">
            <w:pPr>
              <w:pStyle w:val="NoSpacing"/>
            </w:pPr>
            <w:r>
              <w:t>July, 2028</w:t>
            </w:r>
          </w:p>
          <w:p w14:paraId="4A16A548" w14:textId="3A5B17BE" w:rsidR="00221C59" w:rsidRPr="007A64DC" w:rsidRDefault="00221C59" w:rsidP="00221C59">
            <w:pPr>
              <w:pStyle w:val="NoSpacing"/>
            </w:pPr>
          </w:p>
        </w:tc>
        <w:tc>
          <w:tcPr>
            <w:tcW w:w="1188" w:type="dxa"/>
            <w:shd w:val="clear" w:color="auto" w:fill="auto"/>
          </w:tcPr>
          <w:p w14:paraId="61CF9751" w14:textId="77777777" w:rsidR="00221C59" w:rsidRPr="004C6F02" w:rsidRDefault="00221C59" w:rsidP="00221C59">
            <w:pPr>
              <w:jc w:val="both"/>
              <w:rPr>
                <w:bCs/>
                <w:szCs w:val="20"/>
              </w:rPr>
            </w:pPr>
          </w:p>
        </w:tc>
      </w:tr>
      <w:tr w:rsidR="0085651F" w14:paraId="5499A052" w14:textId="77777777" w:rsidTr="0085651F">
        <w:tc>
          <w:tcPr>
            <w:tcW w:w="17162" w:type="dxa"/>
            <w:gridSpan w:val="14"/>
            <w:shd w:val="clear" w:color="auto" w:fill="auto"/>
          </w:tcPr>
          <w:p w14:paraId="140D12DF" w14:textId="77777777" w:rsidR="0085651F" w:rsidRPr="004C6F02" w:rsidRDefault="0085651F" w:rsidP="00221C59">
            <w:pPr>
              <w:ind w:left="970" w:hanging="970"/>
              <w:jc w:val="both"/>
              <w:rPr>
                <w:color w:val="FF0000"/>
                <w:sz w:val="30"/>
                <w:szCs w:val="30"/>
              </w:rPr>
            </w:pPr>
            <w:r>
              <w:rPr>
                <w:color w:val="FF0000"/>
                <w:sz w:val="30"/>
                <w:szCs w:val="30"/>
              </w:rPr>
              <w:lastRenderedPageBreak/>
              <w:t xml:space="preserve">Target </w:t>
            </w:r>
            <w:r w:rsidRPr="004C6F02">
              <w:rPr>
                <w:color w:val="FF0000"/>
                <w:sz w:val="30"/>
                <w:szCs w:val="30"/>
              </w:rPr>
              <w:t>5.3 Eliminate all harmful practices, such as child, early and forced marriage and female genital mutilation</w:t>
            </w:r>
          </w:p>
        </w:tc>
      </w:tr>
      <w:tr w:rsidR="00221C59" w14:paraId="5923A3F8" w14:textId="77777777" w:rsidTr="0085651F">
        <w:tc>
          <w:tcPr>
            <w:tcW w:w="1179" w:type="dxa"/>
            <w:shd w:val="clear" w:color="auto" w:fill="auto"/>
          </w:tcPr>
          <w:p w14:paraId="24A8432E" w14:textId="77777777" w:rsidR="00221C59" w:rsidRPr="005D691C" w:rsidRDefault="00221C59" w:rsidP="00221C59">
            <w:pPr>
              <w:jc w:val="both"/>
              <w:rPr>
                <w:szCs w:val="20"/>
              </w:rPr>
            </w:pPr>
            <w:r w:rsidRPr="004C6F02">
              <w:rPr>
                <w:szCs w:val="20"/>
              </w:rPr>
              <w:t>5.3.1 Proportion of women aged 20–24 years who were married or in a union before age 15 and before age 18</w:t>
            </w:r>
          </w:p>
        </w:tc>
        <w:tc>
          <w:tcPr>
            <w:tcW w:w="921" w:type="dxa"/>
            <w:gridSpan w:val="2"/>
            <w:shd w:val="clear" w:color="auto" w:fill="auto"/>
          </w:tcPr>
          <w:p w14:paraId="662609EF" w14:textId="77777777" w:rsidR="00221C59" w:rsidRDefault="00221C59" w:rsidP="00221C59">
            <w:pPr>
              <w:jc w:val="center"/>
              <w:rPr>
                <w:szCs w:val="20"/>
              </w:rPr>
            </w:pPr>
            <w:r w:rsidRPr="004C6F02">
              <w:rPr>
                <w:szCs w:val="20"/>
              </w:rPr>
              <w:t>UNICEF</w:t>
            </w:r>
          </w:p>
          <w:p w14:paraId="5C5807F0" w14:textId="77777777" w:rsidR="00221C59" w:rsidRDefault="00221C59" w:rsidP="00221C59">
            <w:pPr>
              <w:jc w:val="center"/>
              <w:rPr>
                <w:szCs w:val="20"/>
              </w:rPr>
            </w:pPr>
          </w:p>
          <w:p w14:paraId="38357487" w14:textId="77777777" w:rsidR="00221C59" w:rsidRPr="004C6F02" w:rsidRDefault="00221C59" w:rsidP="00221C59">
            <w:pPr>
              <w:jc w:val="center"/>
              <w:rPr>
                <w:b/>
                <w:bCs/>
                <w:szCs w:val="20"/>
              </w:rPr>
            </w:pPr>
            <w:r w:rsidRPr="004C6F02">
              <w:rPr>
                <w:b/>
                <w:bCs/>
                <w:szCs w:val="20"/>
              </w:rPr>
              <w:t>Partner Agencies:</w:t>
            </w:r>
          </w:p>
          <w:p w14:paraId="75C43FEC" w14:textId="77777777" w:rsidR="00221C59" w:rsidRPr="004C6F02" w:rsidRDefault="00221C59" w:rsidP="00221C59">
            <w:pPr>
              <w:jc w:val="center"/>
              <w:rPr>
                <w:szCs w:val="20"/>
              </w:rPr>
            </w:pPr>
            <w:r w:rsidRPr="004C6F02">
              <w:rPr>
                <w:szCs w:val="20"/>
              </w:rPr>
              <w:t xml:space="preserve">WHO, </w:t>
            </w:r>
          </w:p>
          <w:p w14:paraId="04D53B9F" w14:textId="77777777" w:rsidR="00221C59" w:rsidRPr="004C6F02" w:rsidRDefault="00221C59" w:rsidP="00221C59">
            <w:pPr>
              <w:jc w:val="center"/>
              <w:rPr>
                <w:szCs w:val="20"/>
              </w:rPr>
            </w:pPr>
            <w:r w:rsidRPr="004C6F02">
              <w:rPr>
                <w:szCs w:val="20"/>
              </w:rPr>
              <w:t xml:space="preserve">UNFPA, </w:t>
            </w:r>
          </w:p>
          <w:p w14:paraId="035CF20C" w14:textId="77777777" w:rsidR="00221C59" w:rsidRPr="004C6F02" w:rsidRDefault="00221C59" w:rsidP="00221C59">
            <w:pPr>
              <w:jc w:val="center"/>
              <w:rPr>
                <w:szCs w:val="20"/>
              </w:rPr>
            </w:pPr>
            <w:r w:rsidRPr="004C6F02">
              <w:rPr>
                <w:szCs w:val="20"/>
              </w:rPr>
              <w:t xml:space="preserve">UN Women, </w:t>
            </w:r>
          </w:p>
          <w:p w14:paraId="1FBE5B14" w14:textId="77777777" w:rsidR="00221C59" w:rsidRPr="005D691C" w:rsidRDefault="00221C59" w:rsidP="00221C59">
            <w:pPr>
              <w:jc w:val="center"/>
              <w:rPr>
                <w:szCs w:val="20"/>
              </w:rPr>
            </w:pPr>
            <w:r w:rsidRPr="004C6F02">
              <w:rPr>
                <w:szCs w:val="20"/>
              </w:rPr>
              <w:t>DESA Population Division</w:t>
            </w:r>
          </w:p>
        </w:tc>
        <w:tc>
          <w:tcPr>
            <w:tcW w:w="985" w:type="dxa"/>
            <w:shd w:val="clear" w:color="auto" w:fill="auto"/>
          </w:tcPr>
          <w:p w14:paraId="64B8C1E4" w14:textId="77777777" w:rsidR="00221C59" w:rsidRDefault="00221C59" w:rsidP="00221C59">
            <w:pPr>
              <w:jc w:val="center"/>
              <w:rPr>
                <w:szCs w:val="20"/>
              </w:rPr>
            </w:pPr>
            <w:r w:rsidRPr="00BD4CE5">
              <w:rPr>
                <w:szCs w:val="20"/>
              </w:rPr>
              <w:t>Tier I</w:t>
            </w:r>
          </w:p>
          <w:p w14:paraId="1EF32770" w14:textId="53AA94E9" w:rsidR="00221C59" w:rsidRDefault="00221C59" w:rsidP="00221C59">
            <w:pPr>
              <w:jc w:val="center"/>
              <w:rPr>
                <w:szCs w:val="20"/>
              </w:rPr>
            </w:pPr>
          </w:p>
        </w:tc>
        <w:tc>
          <w:tcPr>
            <w:tcW w:w="5331" w:type="dxa"/>
            <w:shd w:val="clear" w:color="auto" w:fill="auto"/>
          </w:tcPr>
          <w:p w14:paraId="713CC4D5" w14:textId="77777777" w:rsidR="00221C59" w:rsidRPr="004C6F02" w:rsidRDefault="00221C59" w:rsidP="00221C59">
            <w:pPr>
              <w:jc w:val="both"/>
              <w:rPr>
                <w:b/>
                <w:bCs/>
                <w:szCs w:val="20"/>
              </w:rPr>
            </w:pPr>
            <w:r w:rsidRPr="004C6F02">
              <w:rPr>
                <w:b/>
                <w:bCs/>
                <w:szCs w:val="20"/>
              </w:rPr>
              <w:t>Definition:</w:t>
            </w:r>
          </w:p>
          <w:p w14:paraId="435814B7" w14:textId="77777777" w:rsidR="00221C59" w:rsidRDefault="00221C59" w:rsidP="00221C59">
            <w:pPr>
              <w:jc w:val="both"/>
              <w:rPr>
                <w:szCs w:val="20"/>
              </w:rPr>
            </w:pPr>
            <w:r w:rsidRPr="004C6F02">
              <w:rPr>
                <w:szCs w:val="20"/>
              </w:rPr>
              <w:t>Proportion of women aged 20-24 years who were married or in a union before age 15 and before age 18</w:t>
            </w:r>
            <w:r>
              <w:rPr>
                <w:szCs w:val="20"/>
              </w:rPr>
              <w:t>.</w:t>
            </w:r>
          </w:p>
          <w:p w14:paraId="251F9BB4" w14:textId="77777777" w:rsidR="00221C59" w:rsidRDefault="00221C59" w:rsidP="00221C59">
            <w:pPr>
              <w:jc w:val="both"/>
              <w:rPr>
                <w:szCs w:val="20"/>
              </w:rPr>
            </w:pPr>
          </w:p>
          <w:p w14:paraId="48A51F75" w14:textId="77777777" w:rsidR="00221C59" w:rsidRPr="004C6F02" w:rsidRDefault="00221C59" w:rsidP="00221C59">
            <w:pPr>
              <w:jc w:val="both"/>
              <w:rPr>
                <w:b/>
                <w:bCs/>
                <w:szCs w:val="20"/>
              </w:rPr>
            </w:pPr>
            <w:r w:rsidRPr="004C6F02">
              <w:rPr>
                <w:b/>
                <w:bCs/>
                <w:szCs w:val="20"/>
              </w:rPr>
              <w:t>Concepts:</w:t>
            </w:r>
          </w:p>
          <w:p w14:paraId="01B4A7E5" w14:textId="77777777" w:rsidR="00221C59" w:rsidRDefault="00221C59" w:rsidP="00221C59">
            <w:pPr>
              <w:jc w:val="both"/>
              <w:rPr>
                <w:szCs w:val="20"/>
              </w:rPr>
            </w:pPr>
            <w:r w:rsidRPr="004C6F02">
              <w:rPr>
                <w:szCs w:val="20"/>
              </w:rPr>
              <w:t>Both formal (i.e., marriages) and informal unions are covered under this indicator. Informal unions are</w:t>
            </w:r>
            <w:r>
              <w:rPr>
                <w:szCs w:val="20"/>
              </w:rPr>
              <w:t xml:space="preserve"> </w:t>
            </w:r>
            <w:r w:rsidRPr="004C6F02">
              <w:rPr>
                <w:szCs w:val="20"/>
              </w:rPr>
              <w:t>generally defined as those in which a couple lives together for some time, intends to have a lasting</w:t>
            </w:r>
            <w:r>
              <w:rPr>
                <w:szCs w:val="20"/>
              </w:rPr>
              <w:t xml:space="preserve"> </w:t>
            </w:r>
            <w:r w:rsidRPr="004C6F02">
              <w:rPr>
                <w:szCs w:val="20"/>
              </w:rPr>
              <w:t>relationship, but for which there has been no formal civil or religious ceremony (i.e., cohabitation).</w:t>
            </w:r>
          </w:p>
          <w:p w14:paraId="0A99AE3F" w14:textId="77777777" w:rsidR="00221C59" w:rsidRDefault="00221C59" w:rsidP="00221C59">
            <w:pPr>
              <w:jc w:val="both"/>
              <w:rPr>
                <w:szCs w:val="20"/>
              </w:rPr>
            </w:pPr>
          </w:p>
          <w:p w14:paraId="44BE6741" w14:textId="77777777" w:rsidR="00221C59" w:rsidRPr="004C6F02" w:rsidRDefault="00221C59" w:rsidP="00221C59">
            <w:pPr>
              <w:jc w:val="both"/>
              <w:rPr>
                <w:b/>
                <w:bCs/>
                <w:szCs w:val="20"/>
              </w:rPr>
            </w:pPr>
            <w:r w:rsidRPr="004C6F02">
              <w:rPr>
                <w:b/>
                <w:bCs/>
                <w:szCs w:val="20"/>
              </w:rPr>
              <w:t>Computation Method:</w:t>
            </w:r>
          </w:p>
          <w:p w14:paraId="578BF435" w14:textId="77777777" w:rsidR="00221C59" w:rsidRPr="004C6F02" w:rsidRDefault="00221C59" w:rsidP="00221C59">
            <w:pPr>
              <w:jc w:val="both"/>
              <w:rPr>
                <w:szCs w:val="20"/>
              </w:rPr>
            </w:pPr>
            <w:r w:rsidRPr="004C6F02">
              <w:rPr>
                <w:szCs w:val="20"/>
              </w:rPr>
              <w:t>Number of women aged 20-24 who were first married or in union before age 15 (or before age 18)</w:t>
            </w:r>
            <w:r>
              <w:rPr>
                <w:szCs w:val="20"/>
              </w:rPr>
              <w:t xml:space="preserve"> </w:t>
            </w:r>
            <w:r w:rsidRPr="004C6F02">
              <w:rPr>
                <w:szCs w:val="20"/>
              </w:rPr>
              <w:t>divided by the total number of women aged 20-24 in the population multiplied by 100</w:t>
            </w:r>
            <w:r>
              <w:rPr>
                <w:szCs w:val="20"/>
              </w:rPr>
              <w:t>.</w:t>
            </w:r>
          </w:p>
        </w:tc>
        <w:tc>
          <w:tcPr>
            <w:tcW w:w="967" w:type="dxa"/>
            <w:shd w:val="clear" w:color="auto" w:fill="auto"/>
          </w:tcPr>
          <w:p w14:paraId="2F246A60" w14:textId="77777777" w:rsidR="00221C59" w:rsidRDefault="00221C59" w:rsidP="00221C59">
            <w:pPr>
              <w:jc w:val="center"/>
              <w:rPr>
                <w:bCs/>
                <w:szCs w:val="20"/>
              </w:rPr>
            </w:pPr>
            <w:r>
              <w:rPr>
                <w:bCs/>
                <w:szCs w:val="20"/>
              </w:rPr>
              <w:t>Household Survey</w:t>
            </w:r>
          </w:p>
        </w:tc>
        <w:tc>
          <w:tcPr>
            <w:tcW w:w="1140" w:type="dxa"/>
            <w:shd w:val="clear" w:color="auto" w:fill="auto"/>
          </w:tcPr>
          <w:p w14:paraId="2311A58A" w14:textId="77777777" w:rsidR="00221C59" w:rsidRDefault="00221C59" w:rsidP="00221C59">
            <w:pPr>
              <w:jc w:val="center"/>
              <w:rPr>
                <w:bCs/>
                <w:szCs w:val="20"/>
              </w:rPr>
            </w:pPr>
            <w:r>
              <w:rPr>
                <w:bCs/>
                <w:szCs w:val="20"/>
              </w:rPr>
              <w:t>National Statistical Office</w:t>
            </w:r>
          </w:p>
        </w:tc>
        <w:tc>
          <w:tcPr>
            <w:tcW w:w="721" w:type="dxa"/>
            <w:shd w:val="clear" w:color="auto" w:fill="auto"/>
          </w:tcPr>
          <w:p w14:paraId="77086F9A" w14:textId="77777777" w:rsidR="00221C59" w:rsidRDefault="00221C59" w:rsidP="00221C59">
            <w:pPr>
              <w:jc w:val="both"/>
              <w:rPr>
                <w:bCs/>
                <w:szCs w:val="20"/>
              </w:rPr>
            </w:pPr>
            <w:r>
              <w:rPr>
                <w:bCs/>
                <w:szCs w:val="20"/>
              </w:rPr>
              <w:t>a) MICS, BBS</w:t>
            </w:r>
          </w:p>
          <w:p w14:paraId="19AE6A4C" w14:textId="77777777" w:rsidR="00221C59" w:rsidRDefault="00221C59" w:rsidP="00221C59">
            <w:pPr>
              <w:jc w:val="both"/>
              <w:rPr>
                <w:bCs/>
                <w:szCs w:val="20"/>
              </w:rPr>
            </w:pPr>
            <w:r>
              <w:rPr>
                <w:bCs/>
                <w:szCs w:val="20"/>
              </w:rPr>
              <w:t>b) BDHS, NIPORT</w:t>
            </w:r>
          </w:p>
        </w:tc>
        <w:tc>
          <w:tcPr>
            <w:tcW w:w="1116" w:type="dxa"/>
            <w:shd w:val="clear" w:color="auto" w:fill="auto"/>
          </w:tcPr>
          <w:p w14:paraId="5330A91E" w14:textId="77777777" w:rsidR="00221C59" w:rsidRPr="00B66D81" w:rsidRDefault="00221C59" w:rsidP="00221C59">
            <w:pPr>
              <w:spacing w:line="276" w:lineRule="auto"/>
              <w:rPr>
                <w:rFonts w:eastAsia="Times New Roman" w:cs="Times New Roman"/>
                <w:color w:val="000000" w:themeColor="text1"/>
                <w:szCs w:val="20"/>
              </w:rPr>
            </w:pPr>
            <w:r>
              <w:rPr>
                <w:bCs/>
                <w:szCs w:val="20"/>
              </w:rPr>
              <w:t xml:space="preserve">a) </w:t>
            </w:r>
            <w:r>
              <w:rPr>
                <w:rFonts w:eastAsia="Times New Roman" w:cs="Times New Roman"/>
                <w:color w:val="000000" w:themeColor="text1"/>
                <w:szCs w:val="20"/>
              </w:rPr>
              <w:t>(</w:t>
            </w:r>
            <w:r w:rsidRPr="00BC6F10">
              <w:rPr>
                <w:rFonts w:eastAsia="Times New Roman" w:cs="Times New Roman"/>
                <w:color w:val="000000" w:themeColor="text1"/>
                <w:szCs w:val="20"/>
              </w:rPr>
              <w:t>GBVS/MICS</w:t>
            </w:r>
            <w:r>
              <w:rPr>
                <w:rFonts w:eastAsia="Times New Roman" w:cs="Times New Roman"/>
                <w:color w:val="000000" w:themeColor="text1"/>
                <w:szCs w:val="20"/>
              </w:rPr>
              <w:t>/</w:t>
            </w:r>
            <w:r w:rsidRPr="00B66D81">
              <w:rPr>
                <w:rFonts w:eastAsia="Times New Roman" w:cs="Times New Roman"/>
                <w:color w:val="000000" w:themeColor="text1"/>
                <w:szCs w:val="20"/>
              </w:rPr>
              <w:t xml:space="preserve">SVRS/ </w:t>
            </w:r>
          </w:p>
          <w:p w14:paraId="0CD4D6FE" w14:textId="521F9406" w:rsidR="00221C59" w:rsidRDefault="00221C59" w:rsidP="00221C59">
            <w:pPr>
              <w:jc w:val="both"/>
              <w:rPr>
                <w:bCs/>
                <w:szCs w:val="20"/>
              </w:rPr>
            </w:pPr>
            <w:r w:rsidRPr="00B66D81">
              <w:rPr>
                <w:rFonts w:eastAsia="Times New Roman" w:cs="Times New Roman"/>
                <w:color w:val="000000" w:themeColor="text1"/>
                <w:szCs w:val="20"/>
              </w:rPr>
              <w:t>PHC), SID</w:t>
            </w:r>
            <w:r>
              <w:rPr>
                <w:bCs/>
                <w:szCs w:val="20"/>
              </w:rPr>
              <w:t>, BBS</w:t>
            </w:r>
          </w:p>
          <w:p w14:paraId="64A6746C" w14:textId="77777777" w:rsidR="00221C59" w:rsidRPr="008658B2" w:rsidRDefault="00221C59" w:rsidP="000C4849">
            <w:pPr>
              <w:jc w:val="both"/>
              <w:rPr>
                <w:bCs/>
                <w:szCs w:val="20"/>
              </w:rPr>
            </w:pPr>
            <w:r>
              <w:rPr>
                <w:rFonts w:eastAsia="Times New Roman" w:cs="Times New Roman"/>
                <w:color w:val="000000" w:themeColor="text1"/>
                <w:szCs w:val="20"/>
              </w:rPr>
              <w:t xml:space="preserve">b) </w:t>
            </w:r>
            <w:r w:rsidRPr="00B66D81">
              <w:rPr>
                <w:rFonts w:eastAsia="Times New Roman" w:cs="Times New Roman"/>
                <w:color w:val="000000" w:themeColor="text1"/>
                <w:szCs w:val="20"/>
              </w:rPr>
              <w:t>(BDHS), MEFWD</w:t>
            </w:r>
            <w:r>
              <w:rPr>
                <w:rFonts w:eastAsia="Times New Roman" w:cs="Times New Roman"/>
                <w:color w:val="000000" w:themeColor="text1"/>
                <w:szCs w:val="20"/>
              </w:rPr>
              <w:t>, NIPORT</w:t>
            </w:r>
          </w:p>
        </w:tc>
        <w:tc>
          <w:tcPr>
            <w:tcW w:w="1354" w:type="dxa"/>
            <w:shd w:val="clear" w:color="auto" w:fill="auto"/>
          </w:tcPr>
          <w:p w14:paraId="60CD2C9F" w14:textId="6112885B"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Age</w:t>
            </w:r>
            <w:r w:rsidR="00F15267" w:rsidRPr="00DE14BD">
              <w:rPr>
                <w:rFonts w:ascii="Tw Cen MT Condensed" w:hAnsi="Tw Cen MT Condensed"/>
              </w:rPr>
              <w:t>: 20-24</w:t>
            </w:r>
          </w:p>
          <w:p w14:paraId="3A35C45A" w14:textId="1A4AD855"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Income</w:t>
            </w:r>
            <w:r w:rsidR="00CB6067">
              <w:rPr>
                <w:rFonts w:ascii="Tw Cen MT Condensed" w:hAnsi="Tw Cen MT Condensed"/>
                <w:bCs/>
                <w:sz w:val="20"/>
                <w:szCs w:val="20"/>
              </w:rPr>
              <w:t>: High/Medium/Low</w:t>
            </w:r>
          </w:p>
          <w:p w14:paraId="3BBA7C73" w14:textId="4459F71E"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Place of residence</w:t>
            </w:r>
            <w:r w:rsidR="00CB6067">
              <w:rPr>
                <w:rFonts w:ascii="Tw Cen MT Condensed" w:hAnsi="Tw Cen MT Condensed"/>
                <w:bCs/>
                <w:sz w:val="20"/>
                <w:szCs w:val="20"/>
              </w:rPr>
              <w:t>: Urban/Rural</w:t>
            </w:r>
          </w:p>
          <w:p w14:paraId="7C4513C0" w14:textId="4A6A0341"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Geographic location</w:t>
            </w:r>
            <w:r w:rsidR="00CB6067">
              <w:rPr>
                <w:rFonts w:ascii="Tw Cen MT Condensed" w:hAnsi="Tw Cen MT Condensed"/>
                <w:bCs/>
                <w:sz w:val="20"/>
                <w:szCs w:val="20"/>
              </w:rPr>
              <w:t>: Division</w:t>
            </w:r>
          </w:p>
          <w:p w14:paraId="0113B400" w14:textId="77777777"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Education</w:t>
            </w:r>
          </w:p>
          <w:p w14:paraId="6BED123A" w14:textId="600BA7C8" w:rsidR="00221C59" w:rsidRPr="004C6F02"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Ethnicity</w:t>
            </w:r>
            <w:r w:rsidR="00CB6067">
              <w:rPr>
                <w:rFonts w:ascii="Tw Cen MT Condensed" w:hAnsi="Tw Cen MT Condensed"/>
                <w:bCs/>
                <w:sz w:val="20"/>
                <w:szCs w:val="20"/>
              </w:rPr>
              <w:t>: Ehtnic/ Non Ethnic</w:t>
            </w:r>
          </w:p>
        </w:tc>
        <w:tc>
          <w:tcPr>
            <w:tcW w:w="801" w:type="dxa"/>
            <w:shd w:val="clear" w:color="auto" w:fill="auto"/>
          </w:tcPr>
          <w:p w14:paraId="00E13E0D" w14:textId="6109D7E2" w:rsidR="00221C59" w:rsidRDefault="005F24FB" w:rsidP="00221C59">
            <w:pPr>
              <w:jc w:val="center"/>
              <w:rPr>
                <w:bCs/>
                <w:szCs w:val="20"/>
              </w:rPr>
            </w:pPr>
            <w:r>
              <w:rPr>
                <w:bCs/>
                <w:szCs w:val="20"/>
              </w:rPr>
              <w:t>Triennial</w:t>
            </w:r>
          </w:p>
        </w:tc>
        <w:tc>
          <w:tcPr>
            <w:tcW w:w="697" w:type="dxa"/>
            <w:shd w:val="clear" w:color="auto" w:fill="auto"/>
          </w:tcPr>
          <w:p w14:paraId="5C1624DB" w14:textId="77777777" w:rsidR="00221C59" w:rsidRDefault="00221C59" w:rsidP="00221C59">
            <w:pPr>
              <w:jc w:val="center"/>
              <w:rPr>
                <w:bCs/>
                <w:szCs w:val="20"/>
              </w:rPr>
            </w:pPr>
            <w:r>
              <w:rPr>
                <w:bCs/>
                <w:szCs w:val="20"/>
              </w:rPr>
              <w:t>Group 1</w:t>
            </w:r>
          </w:p>
        </w:tc>
        <w:tc>
          <w:tcPr>
            <w:tcW w:w="762" w:type="dxa"/>
            <w:shd w:val="clear" w:color="auto" w:fill="auto"/>
          </w:tcPr>
          <w:p w14:paraId="5890BEE0" w14:textId="77777777" w:rsidR="00221C59" w:rsidRDefault="00221C59" w:rsidP="00221C59">
            <w:pPr>
              <w:pStyle w:val="NoSpacing"/>
            </w:pPr>
            <w:r>
              <w:t>1</w:t>
            </w:r>
            <w:r w:rsidRPr="00013ACB">
              <w:rPr>
                <w:vertAlign w:val="superscript"/>
              </w:rPr>
              <w:t>st</w:t>
            </w:r>
            <w:r>
              <w:t xml:space="preserve"> Round: </w:t>
            </w:r>
          </w:p>
          <w:p w14:paraId="43F76A19" w14:textId="77777777" w:rsidR="00221C59" w:rsidRDefault="00221C59" w:rsidP="00221C59">
            <w:pPr>
              <w:pStyle w:val="NoSpacing"/>
            </w:pPr>
            <w:r>
              <w:t>2014</w:t>
            </w:r>
          </w:p>
          <w:p w14:paraId="05AE08F1" w14:textId="77777777" w:rsidR="00221C59" w:rsidRDefault="00221C59" w:rsidP="00221C59">
            <w:pPr>
              <w:pStyle w:val="NoSpacing"/>
            </w:pPr>
          </w:p>
          <w:p w14:paraId="0099C073" w14:textId="77777777" w:rsidR="00221C59" w:rsidRDefault="00221C59" w:rsidP="00221C59">
            <w:pPr>
              <w:pStyle w:val="NoSpacing"/>
            </w:pPr>
            <w:r>
              <w:t>2</w:t>
            </w:r>
            <w:r w:rsidRPr="00013ACB">
              <w:rPr>
                <w:vertAlign w:val="superscript"/>
              </w:rPr>
              <w:t>nd</w:t>
            </w:r>
            <w:r>
              <w:t xml:space="preserve"> Round: </w:t>
            </w:r>
          </w:p>
          <w:p w14:paraId="2578A66A" w14:textId="77777777" w:rsidR="00221C59" w:rsidRDefault="00221C59" w:rsidP="00221C59">
            <w:pPr>
              <w:pStyle w:val="NoSpacing"/>
            </w:pPr>
            <w:r>
              <w:t>July, 2019</w:t>
            </w:r>
          </w:p>
          <w:p w14:paraId="2094F18D" w14:textId="77777777" w:rsidR="00221C59" w:rsidRDefault="00221C59" w:rsidP="00221C59">
            <w:pPr>
              <w:pStyle w:val="NoSpacing"/>
            </w:pPr>
          </w:p>
          <w:p w14:paraId="0D036051" w14:textId="77777777" w:rsidR="00221C59" w:rsidRDefault="00221C59" w:rsidP="00221C59">
            <w:pPr>
              <w:pStyle w:val="NoSpacing"/>
            </w:pPr>
            <w:r>
              <w:t>3</w:t>
            </w:r>
            <w:r w:rsidRPr="00013ACB">
              <w:rPr>
                <w:vertAlign w:val="superscript"/>
              </w:rPr>
              <w:t>rd</w:t>
            </w:r>
            <w:r>
              <w:t xml:space="preserve"> Round: </w:t>
            </w:r>
          </w:p>
          <w:p w14:paraId="5592B417" w14:textId="77777777" w:rsidR="00221C59" w:rsidRDefault="00221C59" w:rsidP="00221C59">
            <w:pPr>
              <w:pStyle w:val="NoSpacing"/>
            </w:pPr>
            <w:r>
              <w:t>July, 2022</w:t>
            </w:r>
          </w:p>
          <w:p w14:paraId="7813C270" w14:textId="77777777" w:rsidR="00221C59" w:rsidRDefault="00221C59" w:rsidP="00221C59">
            <w:pPr>
              <w:pStyle w:val="NoSpacing"/>
            </w:pPr>
          </w:p>
          <w:p w14:paraId="29173062" w14:textId="77777777" w:rsidR="00221C59" w:rsidRDefault="00221C59" w:rsidP="00221C59">
            <w:pPr>
              <w:pStyle w:val="NoSpacing"/>
            </w:pPr>
            <w:r>
              <w:t>4</w:t>
            </w:r>
            <w:r w:rsidRPr="00013ACB">
              <w:rPr>
                <w:vertAlign w:val="superscript"/>
              </w:rPr>
              <w:t>th</w:t>
            </w:r>
            <w:r>
              <w:t xml:space="preserve"> Round: </w:t>
            </w:r>
          </w:p>
          <w:p w14:paraId="79A7F671" w14:textId="77777777" w:rsidR="00221C59" w:rsidRDefault="00221C59" w:rsidP="00221C59">
            <w:pPr>
              <w:pStyle w:val="NoSpacing"/>
            </w:pPr>
            <w:r>
              <w:t>July, 2025</w:t>
            </w:r>
          </w:p>
          <w:p w14:paraId="3BA63AE5" w14:textId="77777777" w:rsidR="00221C59" w:rsidRDefault="00221C59" w:rsidP="00221C59">
            <w:pPr>
              <w:pStyle w:val="NoSpacing"/>
            </w:pPr>
          </w:p>
          <w:p w14:paraId="732E481E" w14:textId="77777777" w:rsidR="00221C59" w:rsidRDefault="00221C59" w:rsidP="00221C59">
            <w:pPr>
              <w:pStyle w:val="NoSpacing"/>
            </w:pPr>
            <w:r>
              <w:t>5</w:t>
            </w:r>
            <w:r w:rsidRPr="00013ACB">
              <w:rPr>
                <w:vertAlign w:val="superscript"/>
              </w:rPr>
              <w:t>th</w:t>
            </w:r>
            <w:r>
              <w:t xml:space="preserve"> Round: </w:t>
            </w:r>
          </w:p>
          <w:p w14:paraId="51919A70" w14:textId="2F39F566" w:rsidR="00221C59" w:rsidRPr="007A64DC" w:rsidRDefault="00221C59" w:rsidP="00221C59">
            <w:pPr>
              <w:pStyle w:val="NoSpacing"/>
            </w:pPr>
            <w:r>
              <w:t>July, 2028</w:t>
            </w:r>
          </w:p>
        </w:tc>
        <w:tc>
          <w:tcPr>
            <w:tcW w:w="1188" w:type="dxa"/>
            <w:shd w:val="clear" w:color="auto" w:fill="auto"/>
          </w:tcPr>
          <w:p w14:paraId="59DE981F" w14:textId="77777777" w:rsidR="00221C59" w:rsidRPr="0012633E" w:rsidRDefault="00221C59" w:rsidP="00221C59">
            <w:pPr>
              <w:jc w:val="both"/>
              <w:rPr>
                <w:bCs/>
                <w:szCs w:val="20"/>
              </w:rPr>
            </w:pPr>
            <w:r w:rsidRPr="0012633E">
              <w:rPr>
                <w:bCs/>
                <w:szCs w:val="20"/>
              </w:rPr>
              <w:t>Data availability reviewed in May 2019 (classified as Tier I)</w:t>
            </w:r>
          </w:p>
          <w:p w14:paraId="4B7ECA82" w14:textId="77777777" w:rsidR="00221C59" w:rsidRPr="0012633E" w:rsidRDefault="00221C59" w:rsidP="00221C59">
            <w:pPr>
              <w:jc w:val="both"/>
              <w:rPr>
                <w:bCs/>
                <w:szCs w:val="20"/>
              </w:rPr>
            </w:pPr>
          </w:p>
          <w:p w14:paraId="5A2BB09F" w14:textId="77777777" w:rsidR="00221C59" w:rsidRPr="004C6F02" w:rsidRDefault="00221C59" w:rsidP="00221C59">
            <w:pPr>
              <w:pStyle w:val="NoSpacing"/>
            </w:pPr>
            <w:r w:rsidRPr="0012633E">
              <w:t>IAEG-SDG 3rd meeting: Lack of sufficient data coverage (classified as Tier II)</w:t>
            </w:r>
          </w:p>
        </w:tc>
      </w:tr>
      <w:tr w:rsidR="00221C59" w14:paraId="726075E7" w14:textId="77777777" w:rsidTr="0085651F">
        <w:tc>
          <w:tcPr>
            <w:tcW w:w="1179" w:type="dxa"/>
            <w:shd w:val="clear" w:color="auto" w:fill="auto"/>
          </w:tcPr>
          <w:p w14:paraId="475643A0" w14:textId="77777777" w:rsidR="00221C59" w:rsidRPr="005D691C" w:rsidRDefault="00221C59" w:rsidP="00221C59">
            <w:pPr>
              <w:jc w:val="both"/>
              <w:rPr>
                <w:szCs w:val="20"/>
              </w:rPr>
            </w:pPr>
            <w:r w:rsidRPr="004C6F02">
              <w:rPr>
                <w:szCs w:val="20"/>
              </w:rPr>
              <w:t>5.3.2 Proportion of girls and women aged 15–49 years who have undergone female genital mutilation/cutting, by age</w:t>
            </w:r>
          </w:p>
        </w:tc>
        <w:tc>
          <w:tcPr>
            <w:tcW w:w="921" w:type="dxa"/>
            <w:gridSpan w:val="2"/>
            <w:shd w:val="clear" w:color="auto" w:fill="auto"/>
          </w:tcPr>
          <w:p w14:paraId="536D257E" w14:textId="77777777" w:rsidR="00221C59" w:rsidRDefault="00221C59" w:rsidP="00221C59">
            <w:pPr>
              <w:jc w:val="center"/>
              <w:rPr>
                <w:szCs w:val="20"/>
              </w:rPr>
            </w:pPr>
            <w:r w:rsidRPr="004C6F02">
              <w:rPr>
                <w:szCs w:val="20"/>
              </w:rPr>
              <w:t>UNICEF</w:t>
            </w:r>
          </w:p>
          <w:p w14:paraId="1D4440D8" w14:textId="77777777" w:rsidR="00221C59" w:rsidRDefault="00221C59" w:rsidP="00221C59">
            <w:pPr>
              <w:jc w:val="center"/>
              <w:rPr>
                <w:szCs w:val="20"/>
              </w:rPr>
            </w:pPr>
          </w:p>
          <w:p w14:paraId="5E7871CA" w14:textId="77777777" w:rsidR="00221C59" w:rsidRPr="004C6F02" w:rsidRDefault="00221C59" w:rsidP="00221C59">
            <w:pPr>
              <w:jc w:val="center"/>
              <w:rPr>
                <w:b/>
                <w:bCs/>
                <w:szCs w:val="20"/>
              </w:rPr>
            </w:pPr>
            <w:r w:rsidRPr="004C6F02">
              <w:rPr>
                <w:b/>
                <w:bCs/>
                <w:szCs w:val="20"/>
              </w:rPr>
              <w:t>Partner Agencies:</w:t>
            </w:r>
          </w:p>
          <w:p w14:paraId="4DB22B9F" w14:textId="77777777" w:rsidR="00221C59" w:rsidRPr="005D691C" w:rsidRDefault="00221C59" w:rsidP="00221C59">
            <w:pPr>
              <w:jc w:val="center"/>
              <w:rPr>
                <w:szCs w:val="20"/>
              </w:rPr>
            </w:pPr>
            <w:r w:rsidRPr="004C6F02">
              <w:rPr>
                <w:szCs w:val="20"/>
              </w:rPr>
              <w:t>UNFPA</w:t>
            </w:r>
            <w:r>
              <w:rPr>
                <w:szCs w:val="20"/>
              </w:rPr>
              <w:t xml:space="preserve">, </w:t>
            </w:r>
            <w:r w:rsidRPr="004C6F02">
              <w:rPr>
                <w:szCs w:val="20"/>
              </w:rPr>
              <w:t xml:space="preserve">WHO </w:t>
            </w:r>
          </w:p>
        </w:tc>
        <w:tc>
          <w:tcPr>
            <w:tcW w:w="985" w:type="dxa"/>
            <w:shd w:val="clear" w:color="auto" w:fill="auto"/>
          </w:tcPr>
          <w:p w14:paraId="4740596A" w14:textId="77777777" w:rsidR="00221C59" w:rsidRDefault="00221C59" w:rsidP="00221C59">
            <w:pPr>
              <w:jc w:val="center"/>
              <w:rPr>
                <w:szCs w:val="20"/>
              </w:rPr>
            </w:pPr>
            <w:r w:rsidRPr="00BD4CE5">
              <w:rPr>
                <w:szCs w:val="20"/>
              </w:rPr>
              <w:t>Tier I</w:t>
            </w:r>
          </w:p>
          <w:p w14:paraId="0AB30B82" w14:textId="5D88053F" w:rsidR="00221C59" w:rsidRDefault="00221C59" w:rsidP="00221C59">
            <w:pPr>
              <w:jc w:val="center"/>
              <w:rPr>
                <w:szCs w:val="20"/>
              </w:rPr>
            </w:pPr>
          </w:p>
        </w:tc>
        <w:tc>
          <w:tcPr>
            <w:tcW w:w="5331" w:type="dxa"/>
            <w:shd w:val="clear" w:color="auto" w:fill="auto"/>
          </w:tcPr>
          <w:p w14:paraId="11CD1F18" w14:textId="77777777" w:rsidR="00221C59" w:rsidRPr="004C6F02" w:rsidRDefault="00221C59" w:rsidP="00221C59">
            <w:pPr>
              <w:jc w:val="both"/>
              <w:rPr>
                <w:b/>
                <w:bCs/>
                <w:szCs w:val="20"/>
              </w:rPr>
            </w:pPr>
            <w:r w:rsidRPr="004C6F02">
              <w:rPr>
                <w:b/>
                <w:bCs/>
                <w:szCs w:val="20"/>
              </w:rPr>
              <w:t>Definition:</w:t>
            </w:r>
          </w:p>
          <w:p w14:paraId="052E9D49" w14:textId="77777777" w:rsidR="00221C59" w:rsidRDefault="00221C59" w:rsidP="00221C59">
            <w:pPr>
              <w:jc w:val="both"/>
              <w:rPr>
                <w:szCs w:val="20"/>
              </w:rPr>
            </w:pPr>
            <w:r w:rsidRPr="004C6F02">
              <w:rPr>
                <w:szCs w:val="20"/>
              </w:rPr>
              <w:t>Proportion of girls and women aged 15-49 years who have undergone female genital mutilation/cutting is</w:t>
            </w:r>
            <w:r>
              <w:rPr>
                <w:szCs w:val="20"/>
              </w:rPr>
              <w:t xml:space="preserve"> </w:t>
            </w:r>
            <w:r w:rsidRPr="004C6F02">
              <w:rPr>
                <w:szCs w:val="20"/>
              </w:rPr>
              <w:t>currently being measured by the proportion of girls aged 15-19 years wh</w:t>
            </w:r>
            <w:r>
              <w:rPr>
                <w:szCs w:val="20"/>
              </w:rPr>
              <w:t xml:space="preserve">o have undergone female genital </w:t>
            </w:r>
            <w:r w:rsidRPr="004C6F02">
              <w:rPr>
                <w:szCs w:val="20"/>
              </w:rPr>
              <w:t>mutilation/cutting</w:t>
            </w:r>
            <w:r>
              <w:rPr>
                <w:szCs w:val="20"/>
              </w:rPr>
              <w:t>.</w:t>
            </w:r>
          </w:p>
          <w:p w14:paraId="6854AA85" w14:textId="77777777" w:rsidR="00221C59" w:rsidRDefault="00221C59" w:rsidP="00221C59">
            <w:pPr>
              <w:jc w:val="both"/>
              <w:rPr>
                <w:szCs w:val="20"/>
              </w:rPr>
            </w:pPr>
          </w:p>
          <w:p w14:paraId="131EA894" w14:textId="77777777" w:rsidR="00221C59" w:rsidRPr="004C6F02" w:rsidRDefault="00221C59" w:rsidP="00221C59">
            <w:pPr>
              <w:jc w:val="both"/>
              <w:rPr>
                <w:b/>
                <w:bCs/>
                <w:szCs w:val="20"/>
              </w:rPr>
            </w:pPr>
            <w:r w:rsidRPr="004C6F02">
              <w:rPr>
                <w:b/>
                <w:bCs/>
                <w:szCs w:val="20"/>
              </w:rPr>
              <w:t>Concepts:</w:t>
            </w:r>
          </w:p>
          <w:p w14:paraId="1A35FDB3" w14:textId="77777777" w:rsidR="00221C59" w:rsidRDefault="00221C59" w:rsidP="00221C59">
            <w:pPr>
              <w:jc w:val="both"/>
              <w:rPr>
                <w:szCs w:val="20"/>
              </w:rPr>
            </w:pPr>
            <w:r w:rsidRPr="004C6F02">
              <w:rPr>
                <w:szCs w:val="20"/>
              </w:rPr>
              <w:t>Female genital mutilation/cutting (FGM/C) refers to “all procedures involving partial or total removal of</w:t>
            </w:r>
            <w:r>
              <w:rPr>
                <w:szCs w:val="20"/>
              </w:rPr>
              <w:t xml:space="preserve"> </w:t>
            </w:r>
            <w:r w:rsidRPr="004C6F02">
              <w:rPr>
                <w:szCs w:val="20"/>
              </w:rPr>
              <w:t>the female external genitalia or other injury to the female genital organs for non-medical reasons" (World</w:t>
            </w:r>
            <w:r>
              <w:rPr>
                <w:szCs w:val="20"/>
              </w:rPr>
              <w:t xml:space="preserve"> </w:t>
            </w:r>
            <w:r w:rsidRPr="004C6F02">
              <w:rPr>
                <w:szCs w:val="20"/>
              </w:rPr>
              <w:t>Health Organization, Eliminating Female Genital Mutilation: An interagency statement, WHO, UNFPA,</w:t>
            </w:r>
            <w:r>
              <w:rPr>
                <w:szCs w:val="20"/>
              </w:rPr>
              <w:t xml:space="preserve"> </w:t>
            </w:r>
            <w:r w:rsidRPr="004C6F02">
              <w:rPr>
                <w:szCs w:val="20"/>
              </w:rPr>
              <w:t>UNICEF, UNIFEM, OHCHR, UNHCR, UNECA, UNESCO, UNDP, UNAIDS, WHO, Geneva, 2008, p.4)</w:t>
            </w:r>
            <w:r>
              <w:rPr>
                <w:szCs w:val="20"/>
              </w:rPr>
              <w:t>.</w:t>
            </w:r>
          </w:p>
          <w:p w14:paraId="24527DE4" w14:textId="77777777" w:rsidR="00221C59" w:rsidRDefault="00221C59" w:rsidP="00221C59">
            <w:pPr>
              <w:jc w:val="both"/>
              <w:rPr>
                <w:b/>
                <w:bCs/>
                <w:szCs w:val="20"/>
              </w:rPr>
            </w:pPr>
          </w:p>
          <w:p w14:paraId="0BB460B5" w14:textId="77777777" w:rsidR="00221C59" w:rsidRPr="004C6F02" w:rsidRDefault="00221C59" w:rsidP="00221C59">
            <w:pPr>
              <w:jc w:val="both"/>
              <w:rPr>
                <w:b/>
                <w:bCs/>
                <w:szCs w:val="20"/>
              </w:rPr>
            </w:pPr>
            <w:r w:rsidRPr="004C6F02">
              <w:rPr>
                <w:b/>
                <w:bCs/>
                <w:szCs w:val="20"/>
              </w:rPr>
              <w:t>Computation Method:</w:t>
            </w:r>
          </w:p>
          <w:p w14:paraId="21EEC12B" w14:textId="77777777" w:rsidR="00221C59" w:rsidRPr="004C6F02" w:rsidRDefault="00221C59" w:rsidP="00221C59">
            <w:pPr>
              <w:jc w:val="both"/>
              <w:rPr>
                <w:b/>
                <w:bCs/>
                <w:szCs w:val="20"/>
              </w:rPr>
            </w:pPr>
            <w:r w:rsidRPr="004C6F02">
              <w:rPr>
                <w:szCs w:val="20"/>
              </w:rPr>
              <w:lastRenderedPageBreak/>
              <w:t>Number of girls and women aged 15-49 who have undergone FGM/C divided by the total number of girls</w:t>
            </w:r>
            <w:r>
              <w:rPr>
                <w:szCs w:val="20"/>
              </w:rPr>
              <w:t xml:space="preserve"> </w:t>
            </w:r>
            <w:r w:rsidRPr="004C6F02">
              <w:rPr>
                <w:szCs w:val="20"/>
              </w:rPr>
              <w:t>and women aged 15-49 in the population multiplied by 100</w:t>
            </w:r>
            <w:r>
              <w:rPr>
                <w:szCs w:val="20"/>
              </w:rPr>
              <w:t>.</w:t>
            </w:r>
          </w:p>
        </w:tc>
        <w:tc>
          <w:tcPr>
            <w:tcW w:w="967" w:type="dxa"/>
            <w:shd w:val="clear" w:color="auto" w:fill="auto"/>
          </w:tcPr>
          <w:p w14:paraId="5F75580D" w14:textId="77777777" w:rsidR="00221C59" w:rsidRDefault="00221C59" w:rsidP="00221C59">
            <w:pPr>
              <w:jc w:val="center"/>
              <w:rPr>
                <w:bCs/>
                <w:szCs w:val="20"/>
              </w:rPr>
            </w:pPr>
            <w:r>
              <w:rPr>
                <w:bCs/>
                <w:szCs w:val="20"/>
              </w:rPr>
              <w:lastRenderedPageBreak/>
              <w:t>Household Survey</w:t>
            </w:r>
          </w:p>
        </w:tc>
        <w:tc>
          <w:tcPr>
            <w:tcW w:w="1140" w:type="dxa"/>
            <w:shd w:val="clear" w:color="auto" w:fill="auto"/>
          </w:tcPr>
          <w:p w14:paraId="33BFC4DD" w14:textId="77777777" w:rsidR="00221C59" w:rsidRDefault="00221C59" w:rsidP="00221C59">
            <w:pPr>
              <w:jc w:val="center"/>
              <w:rPr>
                <w:bCs/>
                <w:szCs w:val="20"/>
              </w:rPr>
            </w:pPr>
            <w:r>
              <w:rPr>
                <w:bCs/>
                <w:szCs w:val="20"/>
              </w:rPr>
              <w:t>National Statistical Office</w:t>
            </w:r>
          </w:p>
        </w:tc>
        <w:tc>
          <w:tcPr>
            <w:tcW w:w="721" w:type="dxa"/>
            <w:shd w:val="clear" w:color="auto" w:fill="auto"/>
          </w:tcPr>
          <w:p w14:paraId="5EF01977" w14:textId="77777777" w:rsidR="00221C59" w:rsidRDefault="00221C59" w:rsidP="00221C59">
            <w:pPr>
              <w:jc w:val="center"/>
              <w:rPr>
                <w:bCs/>
                <w:szCs w:val="20"/>
              </w:rPr>
            </w:pPr>
            <w:r>
              <w:rPr>
                <w:bCs/>
                <w:szCs w:val="20"/>
              </w:rPr>
              <w:t>Not Available</w:t>
            </w:r>
          </w:p>
        </w:tc>
        <w:tc>
          <w:tcPr>
            <w:tcW w:w="1116" w:type="dxa"/>
            <w:shd w:val="clear" w:color="auto" w:fill="auto"/>
          </w:tcPr>
          <w:p w14:paraId="3C0DD980" w14:textId="77777777" w:rsidR="00221C59" w:rsidRPr="008658B2" w:rsidRDefault="00221C59" w:rsidP="00221C59">
            <w:pPr>
              <w:jc w:val="center"/>
              <w:rPr>
                <w:bCs/>
                <w:szCs w:val="20"/>
              </w:rPr>
            </w:pPr>
            <w:r>
              <w:rPr>
                <w:bCs/>
                <w:szCs w:val="20"/>
              </w:rPr>
              <w:t>Not required</w:t>
            </w:r>
          </w:p>
        </w:tc>
        <w:tc>
          <w:tcPr>
            <w:tcW w:w="1354" w:type="dxa"/>
            <w:shd w:val="clear" w:color="auto" w:fill="auto"/>
          </w:tcPr>
          <w:p w14:paraId="7A5DD338" w14:textId="0E13A043"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Age</w:t>
            </w:r>
            <w:r w:rsidR="00F15267" w:rsidRPr="00DD55E8">
              <w:rPr>
                <w:rFonts w:ascii="Tw Cen MT Condensed" w:hAnsi="Tw Cen MT Condensed"/>
                <w:color w:val="FF0000"/>
              </w:rPr>
              <w:t>: 15-49</w:t>
            </w:r>
          </w:p>
          <w:p w14:paraId="7C7D15BC" w14:textId="3A309553"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Income</w:t>
            </w:r>
            <w:r w:rsidR="00CB6067">
              <w:rPr>
                <w:rFonts w:ascii="Tw Cen MT Condensed" w:hAnsi="Tw Cen MT Condensed"/>
                <w:bCs/>
                <w:sz w:val="20"/>
                <w:szCs w:val="20"/>
              </w:rPr>
              <w:t>: High/Medium/Low</w:t>
            </w:r>
          </w:p>
          <w:p w14:paraId="65B7BA04" w14:textId="74DD59AE"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Place of residence</w:t>
            </w:r>
            <w:r w:rsidR="00CB6067">
              <w:rPr>
                <w:rFonts w:ascii="Tw Cen MT Condensed" w:hAnsi="Tw Cen MT Condensed"/>
                <w:bCs/>
                <w:sz w:val="20"/>
                <w:szCs w:val="20"/>
              </w:rPr>
              <w:t>: Urban/Rural</w:t>
            </w:r>
          </w:p>
          <w:p w14:paraId="54681ADF" w14:textId="6AC661D1"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Geographic location</w:t>
            </w:r>
            <w:r w:rsidR="00CB6067">
              <w:rPr>
                <w:rFonts w:ascii="Tw Cen MT Condensed" w:hAnsi="Tw Cen MT Condensed"/>
                <w:bCs/>
                <w:sz w:val="20"/>
                <w:szCs w:val="20"/>
              </w:rPr>
              <w:t>: Division</w:t>
            </w:r>
          </w:p>
          <w:p w14:paraId="38DBBAAC" w14:textId="77777777" w:rsidR="00221C59"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lastRenderedPageBreak/>
              <w:t>Ethnicity</w:t>
            </w:r>
          </w:p>
          <w:p w14:paraId="60953445" w14:textId="77777777" w:rsidR="00221C59" w:rsidRPr="004C6F02" w:rsidRDefault="00221C59" w:rsidP="00221C59">
            <w:pPr>
              <w:pStyle w:val="ListParagraph"/>
              <w:numPr>
                <w:ilvl w:val="0"/>
                <w:numId w:val="25"/>
              </w:numPr>
              <w:ind w:left="170" w:hanging="170"/>
              <w:rPr>
                <w:rFonts w:ascii="Tw Cen MT Condensed" w:hAnsi="Tw Cen MT Condensed"/>
                <w:bCs/>
                <w:sz w:val="20"/>
                <w:szCs w:val="20"/>
              </w:rPr>
            </w:pPr>
            <w:r w:rsidRPr="004C6F02">
              <w:rPr>
                <w:rFonts w:ascii="Tw Cen MT Condensed" w:hAnsi="Tw Cen MT Condensed"/>
                <w:bCs/>
                <w:sz w:val="20"/>
                <w:szCs w:val="20"/>
              </w:rPr>
              <w:t>Education</w:t>
            </w:r>
          </w:p>
        </w:tc>
        <w:tc>
          <w:tcPr>
            <w:tcW w:w="801" w:type="dxa"/>
            <w:shd w:val="clear" w:color="auto" w:fill="auto"/>
          </w:tcPr>
          <w:p w14:paraId="57032876" w14:textId="77777777" w:rsidR="00221C59" w:rsidRDefault="00221C59" w:rsidP="00221C59">
            <w:pPr>
              <w:jc w:val="center"/>
              <w:rPr>
                <w:bCs/>
                <w:szCs w:val="20"/>
              </w:rPr>
            </w:pPr>
            <w:r>
              <w:rPr>
                <w:bCs/>
                <w:szCs w:val="20"/>
              </w:rPr>
              <w:lastRenderedPageBreak/>
              <w:t>Not Applicable</w:t>
            </w:r>
          </w:p>
        </w:tc>
        <w:tc>
          <w:tcPr>
            <w:tcW w:w="697" w:type="dxa"/>
            <w:shd w:val="clear" w:color="auto" w:fill="auto"/>
          </w:tcPr>
          <w:p w14:paraId="2F341833" w14:textId="77777777" w:rsidR="00221C59" w:rsidRDefault="00221C59" w:rsidP="00221C59">
            <w:pPr>
              <w:jc w:val="center"/>
              <w:rPr>
                <w:bCs/>
                <w:szCs w:val="20"/>
              </w:rPr>
            </w:pPr>
            <w:r>
              <w:rPr>
                <w:bCs/>
                <w:szCs w:val="20"/>
              </w:rPr>
              <w:t>Group 3</w:t>
            </w:r>
          </w:p>
        </w:tc>
        <w:tc>
          <w:tcPr>
            <w:tcW w:w="762" w:type="dxa"/>
            <w:shd w:val="clear" w:color="auto" w:fill="auto"/>
          </w:tcPr>
          <w:p w14:paraId="7C91347D" w14:textId="77777777" w:rsidR="00221C59" w:rsidRDefault="00221C59" w:rsidP="00221C59">
            <w:pPr>
              <w:pStyle w:val="NoSpacing"/>
            </w:pPr>
            <w:r>
              <w:t xml:space="preserve"> 1</w:t>
            </w:r>
            <w:r w:rsidRPr="00013ACB">
              <w:rPr>
                <w:vertAlign w:val="superscript"/>
              </w:rPr>
              <w:t>st</w:t>
            </w:r>
            <w:r>
              <w:t xml:space="preserve"> Round: </w:t>
            </w:r>
          </w:p>
          <w:p w14:paraId="6997A90D" w14:textId="77777777" w:rsidR="00221C59" w:rsidRDefault="00221C59" w:rsidP="00221C59">
            <w:pPr>
              <w:pStyle w:val="NoSpacing"/>
            </w:pPr>
            <w:r>
              <w:t>June 2020</w:t>
            </w:r>
          </w:p>
          <w:p w14:paraId="7A3D4B7C" w14:textId="77777777" w:rsidR="00221C59" w:rsidRDefault="00221C59" w:rsidP="00221C59">
            <w:pPr>
              <w:pStyle w:val="NoSpacing"/>
            </w:pPr>
          </w:p>
          <w:p w14:paraId="1C85C63D" w14:textId="77777777" w:rsidR="00221C59" w:rsidRDefault="00221C59" w:rsidP="00221C59">
            <w:pPr>
              <w:pStyle w:val="NoSpacing"/>
            </w:pPr>
            <w:r>
              <w:t>2</w:t>
            </w:r>
            <w:r w:rsidRPr="00013ACB">
              <w:rPr>
                <w:vertAlign w:val="superscript"/>
              </w:rPr>
              <w:t>nd</w:t>
            </w:r>
            <w:r>
              <w:t xml:space="preserve"> Round: </w:t>
            </w:r>
          </w:p>
          <w:p w14:paraId="5312E51B" w14:textId="77777777" w:rsidR="00221C59" w:rsidRDefault="00221C59" w:rsidP="00221C59">
            <w:pPr>
              <w:pStyle w:val="NoSpacing"/>
            </w:pPr>
            <w:r>
              <w:t>July, 2021</w:t>
            </w:r>
          </w:p>
          <w:p w14:paraId="16EC1993" w14:textId="77777777" w:rsidR="00221C59" w:rsidRDefault="00221C59" w:rsidP="00221C59">
            <w:pPr>
              <w:pStyle w:val="NoSpacing"/>
            </w:pPr>
          </w:p>
          <w:p w14:paraId="7A9DCAEE" w14:textId="77777777" w:rsidR="00221C59" w:rsidRDefault="00221C59" w:rsidP="00221C59">
            <w:pPr>
              <w:pStyle w:val="NoSpacing"/>
            </w:pPr>
            <w:r>
              <w:t>3</w:t>
            </w:r>
            <w:r w:rsidRPr="00013ACB">
              <w:rPr>
                <w:vertAlign w:val="superscript"/>
              </w:rPr>
              <w:t>rd</w:t>
            </w:r>
            <w:r>
              <w:t xml:space="preserve"> Round: </w:t>
            </w:r>
          </w:p>
          <w:p w14:paraId="127F04F3" w14:textId="77777777" w:rsidR="00221C59" w:rsidRDefault="00221C59" w:rsidP="00221C59">
            <w:pPr>
              <w:pStyle w:val="NoSpacing"/>
            </w:pPr>
            <w:r>
              <w:t xml:space="preserve">July, </w:t>
            </w:r>
            <w:r>
              <w:lastRenderedPageBreak/>
              <w:t>2022</w:t>
            </w:r>
          </w:p>
          <w:p w14:paraId="2DED94C0" w14:textId="77777777" w:rsidR="00221C59" w:rsidRDefault="00221C59" w:rsidP="00221C59">
            <w:pPr>
              <w:pStyle w:val="NoSpacing"/>
            </w:pPr>
          </w:p>
          <w:p w14:paraId="0E70659E" w14:textId="77777777" w:rsidR="00221C59" w:rsidRDefault="00221C59" w:rsidP="00221C59">
            <w:pPr>
              <w:pStyle w:val="NoSpacing"/>
            </w:pPr>
            <w:r>
              <w:t>4</w:t>
            </w:r>
            <w:r w:rsidRPr="00013ACB">
              <w:rPr>
                <w:vertAlign w:val="superscript"/>
              </w:rPr>
              <w:t>th</w:t>
            </w:r>
            <w:r>
              <w:t xml:space="preserve"> Round: </w:t>
            </w:r>
          </w:p>
          <w:p w14:paraId="08F7060A" w14:textId="77777777" w:rsidR="00221C59" w:rsidRDefault="00221C59" w:rsidP="00221C59">
            <w:pPr>
              <w:pStyle w:val="NoSpacing"/>
            </w:pPr>
            <w:r>
              <w:t>July, 2023</w:t>
            </w:r>
          </w:p>
          <w:p w14:paraId="07AF647C" w14:textId="77777777" w:rsidR="00221C59" w:rsidRDefault="00221C59" w:rsidP="00221C59">
            <w:pPr>
              <w:pStyle w:val="NoSpacing"/>
            </w:pPr>
          </w:p>
          <w:p w14:paraId="6EAE9B06" w14:textId="77777777" w:rsidR="00221C59" w:rsidRDefault="00221C59" w:rsidP="00221C59">
            <w:pPr>
              <w:pStyle w:val="NoSpacing"/>
            </w:pPr>
            <w:r>
              <w:t>5</w:t>
            </w:r>
            <w:r w:rsidRPr="00013ACB">
              <w:rPr>
                <w:vertAlign w:val="superscript"/>
              </w:rPr>
              <w:t>th</w:t>
            </w:r>
            <w:r>
              <w:t xml:space="preserve"> Round: </w:t>
            </w:r>
          </w:p>
          <w:p w14:paraId="3B7E14F0" w14:textId="77777777" w:rsidR="00221C59" w:rsidRDefault="00221C59" w:rsidP="00221C59">
            <w:pPr>
              <w:jc w:val="both"/>
              <w:rPr>
                <w:bCs/>
                <w:szCs w:val="20"/>
              </w:rPr>
            </w:pPr>
            <w:r>
              <w:t>July, 2024</w:t>
            </w:r>
          </w:p>
        </w:tc>
        <w:tc>
          <w:tcPr>
            <w:tcW w:w="1188" w:type="dxa"/>
            <w:shd w:val="clear" w:color="auto" w:fill="auto"/>
          </w:tcPr>
          <w:p w14:paraId="6EF61A6B" w14:textId="77777777" w:rsidR="00221C59" w:rsidRPr="004C6F02" w:rsidRDefault="00221C59" w:rsidP="00221C59">
            <w:pPr>
              <w:pStyle w:val="NoSpacing"/>
            </w:pPr>
            <w:r>
              <w:lastRenderedPageBreak/>
              <w:t>Not Applicable in Bangladesh Context.</w:t>
            </w:r>
          </w:p>
        </w:tc>
      </w:tr>
      <w:tr w:rsidR="0085651F" w14:paraId="3FDD90B5" w14:textId="77777777" w:rsidTr="0085651F">
        <w:tc>
          <w:tcPr>
            <w:tcW w:w="17162" w:type="dxa"/>
            <w:gridSpan w:val="14"/>
            <w:shd w:val="clear" w:color="auto" w:fill="auto"/>
          </w:tcPr>
          <w:p w14:paraId="57AA6B27" w14:textId="77777777" w:rsidR="0085651F" w:rsidRPr="000E62A8" w:rsidRDefault="0085651F" w:rsidP="00221C59">
            <w:pPr>
              <w:ind w:left="970" w:hanging="970"/>
              <w:jc w:val="both"/>
              <w:rPr>
                <w:color w:val="FF0000"/>
                <w:sz w:val="30"/>
                <w:szCs w:val="30"/>
              </w:rPr>
            </w:pPr>
            <w:r w:rsidRPr="000E62A8">
              <w:rPr>
                <w:color w:val="FF0000"/>
                <w:sz w:val="30"/>
                <w:szCs w:val="30"/>
              </w:rPr>
              <w:lastRenderedPageBreak/>
              <w:t>Target 5.4: Recognize and value unpaid care and domestic work through the provision of public services, infrastructure and social protection policies and the promotion of shared responsibility within the household and the family as nationally appropriate</w:t>
            </w:r>
          </w:p>
        </w:tc>
      </w:tr>
      <w:tr w:rsidR="00221C59" w14:paraId="7BC3C006" w14:textId="77777777" w:rsidTr="0085651F">
        <w:tc>
          <w:tcPr>
            <w:tcW w:w="1179" w:type="dxa"/>
            <w:shd w:val="clear" w:color="auto" w:fill="auto"/>
          </w:tcPr>
          <w:p w14:paraId="32054BEB" w14:textId="77777777" w:rsidR="00221C59" w:rsidRPr="004C6F02" w:rsidRDefault="00221C59" w:rsidP="00221C59">
            <w:pPr>
              <w:jc w:val="both"/>
              <w:rPr>
                <w:szCs w:val="20"/>
              </w:rPr>
            </w:pPr>
            <w:r w:rsidRPr="009270AB">
              <w:rPr>
                <w:szCs w:val="20"/>
              </w:rPr>
              <w:t>5.4.1: Proportion of time spent on unpaid domestic and care work, by sex, age and location</w:t>
            </w:r>
          </w:p>
        </w:tc>
        <w:tc>
          <w:tcPr>
            <w:tcW w:w="921" w:type="dxa"/>
            <w:gridSpan w:val="2"/>
            <w:shd w:val="clear" w:color="auto" w:fill="auto"/>
          </w:tcPr>
          <w:p w14:paraId="103E39E2" w14:textId="77777777" w:rsidR="00221C59" w:rsidRPr="006D5C4E" w:rsidRDefault="00221C59" w:rsidP="00221C59">
            <w:pPr>
              <w:jc w:val="center"/>
              <w:rPr>
                <w:szCs w:val="20"/>
              </w:rPr>
            </w:pPr>
            <w:r w:rsidRPr="006D5C4E">
              <w:rPr>
                <w:szCs w:val="20"/>
              </w:rPr>
              <w:t>UNSD,</w:t>
            </w:r>
          </w:p>
          <w:p w14:paraId="3E3F5FD4" w14:textId="77777777" w:rsidR="00221C59" w:rsidRPr="004C6F02" w:rsidRDefault="00221C59" w:rsidP="00221C59">
            <w:pPr>
              <w:jc w:val="center"/>
              <w:rPr>
                <w:szCs w:val="20"/>
              </w:rPr>
            </w:pPr>
            <w:r w:rsidRPr="006D5C4E">
              <w:rPr>
                <w:szCs w:val="20"/>
              </w:rPr>
              <w:t>UN Women</w:t>
            </w:r>
          </w:p>
        </w:tc>
        <w:tc>
          <w:tcPr>
            <w:tcW w:w="985" w:type="dxa"/>
            <w:shd w:val="clear" w:color="auto" w:fill="auto"/>
          </w:tcPr>
          <w:p w14:paraId="204C21DB" w14:textId="77777777" w:rsidR="00221C59" w:rsidRDefault="00221C59" w:rsidP="00221C59">
            <w:pPr>
              <w:jc w:val="center"/>
              <w:rPr>
                <w:szCs w:val="20"/>
              </w:rPr>
            </w:pPr>
            <w:r>
              <w:rPr>
                <w:szCs w:val="20"/>
              </w:rPr>
              <w:t>Tier II</w:t>
            </w:r>
          </w:p>
        </w:tc>
        <w:tc>
          <w:tcPr>
            <w:tcW w:w="5331" w:type="dxa"/>
            <w:shd w:val="clear" w:color="auto" w:fill="auto"/>
          </w:tcPr>
          <w:p w14:paraId="23BBA03C" w14:textId="77777777" w:rsidR="00221C59" w:rsidRPr="006D5C4E" w:rsidRDefault="00221C59" w:rsidP="00221C59">
            <w:pPr>
              <w:jc w:val="both"/>
              <w:rPr>
                <w:b/>
                <w:bCs/>
                <w:szCs w:val="20"/>
              </w:rPr>
            </w:pPr>
            <w:r w:rsidRPr="006D5C4E">
              <w:rPr>
                <w:b/>
                <w:bCs/>
                <w:szCs w:val="20"/>
              </w:rPr>
              <w:t>Definition:</w:t>
            </w:r>
          </w:p>
          <w:p w14:paraId="6FFED0D2" w14:textId="77777777" w:rsidR="00221C59" w:rsidRDefault="00221C59" w:rsidP="00221C59">
            <w:pPr>
              <w:jc w:val="both"/>
              <w:rPr>
                <w:szCs w:val="20"/>
              </w:rPr>
            </w:pPr>
            <w:r w:rsidRPr="006D5C4E">
              <w:rPr>
                <w:szCs w:val="20"/>
              </w:rPr>
              <w:t>This indicator is defined as the proportion of time spent in a day on unpaid domestic and care work by</w:t>
            </w:r>
            <w:r>
              <w:rPr>
                <w:szCs w:val="20"/>
              </w:rPr>
              <w:t xml:space="preserve"> </w:t>
            </w:r>
            <w:r w:rsidRPr="006D5C4E">
              <w:rPr>
                <w:szCs w:val="20"/>
              </w:rPr>
              <w:t>men and women. Unpaid domestic and care work refers to activities related to the provision of services</w:t>
            </w:r>
            <w:r>
              <w:rPr>
                <w:szCs w:val="20"/>
              </w:rPr>
              <w:t xml:space="preserve"> </w:t>
            </w:r>
            <w:r w:rsidRPr="006D5C4E">
              <w:rPr>
                <w:szCs w:val="20"/>
              </w:rPr>
              <w:t>for own final use by household members, or by family members living in other households. These</w:t>
            </w:r>
            <w:r>
              <w:rPr>
                <w:szCs w:val="20"/>
              </w:rPr>
              <w:t xml:space="preserve"> </w:t>
            </w:r>
            <w:r w:rsidRPr="006D5C4E">
              <w:rPr>
                <w:szCs w:val="20"/>
              </w:rPr>
              <w:t>activities are listed in ICATUS 2016 under the major divisions “3. Unpaid domestic services for household</w:t>
            </w:r>
            <w:r>
              <w:rPr>
                <w:szCs w:val="20"/>
              </w:rPr>
              <w:t xml:space="preserve"> </w:t>
            </w:r>
            <w:r w:rsidRPr="006D5C4E">
              <w:rPr>
                <w:szCs w:val="20"/>
              </w:rPr>
              <w:t>and family members” and “4. Unpaid caregiving services for household and family members”.</w:t>
            </w:r>
          </w:p>
          <w:p w14:paraId="1D9DFCE1" w14:textId="77777777" w:rsidR="00221C59" w:rsidRDefault="00221C59" w:rsidP="00221C59">
            <w:pPr>
              <w:jc w:val="both"/>
              <w:rPr>
                <w:b/>
                <w:bCs/>
                <w:szCs w:val="20"/>
              </w:rPr>
            </w:pPr>
          </w:p>
          <w:p w14:paraId="50FB0F7D" w14:textId="77777777" w:rsidR="00221C59" w:rsidRPr="006D5C4E" w:rsidRDefault="00221C59" w:rsidP="00221C59">
            <w:pPr>
              <w:jc w:val="both"/>
              <w:rPr>
                <w:b/>
                <w:bCs/>
                <w:szCs w:val="20"/>
              </w:rPr>
            </w:pPr>
            <w:r w:rsidRPr="006D5C4E">
              <w:rPr>
                <w:b/>
                <w:bCs/>
                <w:szCs w:val="20"/>
              </w:rPr>
              <w:t>Concepts:</w:t>
            </w:r>
          </w:p>
          <w:p w14:paraId="4A8E20C0" w14:textId="77777777" w:rsidR="00221C59" w:rsidRDefault="00221C59" w:rsidP="00221C59">
            <w:pPr>
              <w:jc w:val="both"/>
              <w:rPr>
                <w:szCs w:val="20"/>
              </w:rPr>
            </w:pPr>
            <w:r w:rsidRPr="006D5C4E">
              <w:rPr>
                <w:szCs w:val="20"/>
              </w:rPr>
              <w:t>Unpaid domestic and care work refers to activities including food preparation, dishwashing, cleaning and</w:t>
            </w:r>
            <w:r>
              <w:rPr>
                <w:szCs w:val="20"/>
              </w:rPr>
              <w:t xml:space="preserve"> </w:t>
            </w:r>
            <w:r w:rsidRPr="006D5C4E">
              <w:rPr>
                <w:szCs w:val="20"/>
              </w:rPr>
              <w:t>upkeep of the dwelling, laundry, ironing, gardening, caring for pets, shopping, installation, servicing and</w:t>
            </w:r>
            <w:r>
              <w:rPr>
                <w:szCs w:val="20"/>
              </w:rPr>
              <w:t xml:space="preserve"> </w:t>
            </w:r>
            <w:r w:rsidRPr="006D5C4E">
              <w:rPr>
                <w:szCs w:val="20"/>
              </w:rPr>
              <w:t>repair of personal and household goods, childcare, and care of the sick, elderly or disabled household and</w:t>
            </w:r>
            <w:r>
              <w:rPr>
                <w:szCs w:val="20"/>
              </w:rPr>
              <w:t xml:space="preserve"> </w:t>
            </w:r>
            <w:r w:rsidRPr="006D5C4E">
              <w:rPr>
                <w:szCs w:val="20"/>
              </w:rPr>
              <w:t>family members, among others. These activities are listed in ICATUS 2016 under the major divisions “3.</w:t>
            </w:r>
            <w:r>
              <w:rPr>
                <w:szCs w:val="20"/>
              </w:rPr>
              <w:t xml:space="preserve"> </w:t>
            </w:r>
            <w:r w:rsidRPr="006D5C4E">
              <w:rPr>
                <w:szCs w:val="20"/>
              </w:rPr>
              <w:t>Unpaid domestic services for household and family members” and “4. Unpaid caregiving services for</w:t>
            </w:r>
            <w:r>
              <w:rPr>
                <w:szCs w:val="20"/>
              </w:rPr>
              <w:t xml:space="preserve"> </w:t>
            </w:r>
            <w:r w:rsidRPr="006D5C4E">
              <w:rPr>
                <w:szCs w:val="20"/>
              </w:rPr>
              <w:t>household and family members”.</w:t>
            </w:r>
            <w:r>
              <w:rPr>
                <w:szCs w:val="20"/>
              </w:rPr>
              <w:t xml:space="preserve"> </w:t>
            </w:r>
          </w:p>
          <w:p w14:paraId="498B46A2" w14:textId="77777777" w:rsidR="00221C59" w:rsidRDefault="00221C59" w:rsidP="00221C59">
            <w:pPr>
              <w:jc w:val="both"/>
              <w:rPr>
                <w:szCs w:val="20"/>
              </w:rPr>
            </w:pPr>
          </w:p>
          <w:p w14:paraId="7F21895E" w14:textId="77777777" w:rsidR="00221C59" w:rsidRPr="006D5C4E" w:rsidRDefault="00221C59" w:rsidP="00221C59">
            <w:pPr>
              <w:jc w:val="both"/>
              <w:rPr>
                <w:szCs w:val="20"/>
              </w:rPr>
            </w:pPr>
            <w:r w:rsidRPr="006D5C4E">
              <w:rPr>
                <w:szCs w:val="20"/>
              </w:rPr>
              <w:t>Concepts and definitions for this indicator are based on the following international standards:</w:t>
            </w:r>
          </w:p>
          <w:p w14:paraId="449FD728" w14:textId="77777777" w:rsidR="00221C59" w:rsidRPr="006D5C4E" w:rsidRDefault="00221C59" w:rsidP="00221C59">
            <w:pPr>
              <w:pStyle w:val="ListParagraph"/>
              <w:numPr>
                <w:ilvl w:val="0"/>
                <w:numId w:val="26"/>
              </w:numPr>
              <w:spacing w:after="0"/>
              <w:ind w:left="563" w:hanging="203"/>
              <w:jc w:val="both"/>
              <w:rPr>
                <w:rFonts w:ascii="Tw Cen MT Condensed" w:hAnsi="Tw Cen MT Condensed"/>
                <w:sz w:val="20"/>
                <w:szCs w:val="20"/>
              </w:rPr>
            </w:pPr>
            <w:r w:rsidRPr="006D5C4E">
              <w:rPr>
                <w:rFonts w:ascii="Tw Cen MT Condensed" w:hAnsi="Tw Cen MT Condensed"/>
                <w:sz w:val="20"/>
                <w:szCs w:val="20"/>
              </w:rPr>
              <w:t>System of National Accounts 2008 (SNA 2008)</w:t>
            </w:r>
          </w:p>
          <w:p w14:paraId="430DE4AF" w14:textId="77777777" w:rsidR="00221C59" w:rsidRPr="006D5C4E" w:rsidRDefault="00221C59" w:rsidP="00221C59">
            <w:pPr>
              <w:pStyle w:val="ListParagraph"/>
              <w:numPr>
                <w:ilvl w:val="0"/>
                <w:numId w:val="26"/>
              </w:numPr>
              <w:spacing w:after="0"/>
              <w:ind w:left="563" w:hanging="203"/>
              <w:jc w:val="both"/>
              <w:rPr>
                <w:rFonts w:ascii="Tw Cen MT Condensed" w:hAnsi="Tw Cen MT Condensed"/>
                <w:sz w:val="20"/>
                <w:szCs w:val="20"/>
              </w:rPr>
            </w:pPr>
            <w:r w:rsidRPr="006D5C4E">
              <w:rPr>
                <w:rFonts w:ascii="Tw Cen MT Condensed" w:hAnsi="Tw Cen MT Condensed"/>
                <w:sz w:val="20"/>
                <w:szCs w:val="20"/>
              </w:rPr>
              <w:t xml:space="preserve">The Resolution concerning statistics of work, employment and labour underutilization, adopted by the International Conference of Labour </w:t>
            </w:r>
            <w:r w:rsidRPr="006D5C4E">
              <w:rPr>
                <w:rFonts w:ascii="Tw Cen MT Condensed" w:hAnsi="Tw Cen MT Condensed"/>
                <w:sz w:val="20"/>
                <w:szCs w:val="20"/>
              </w:rPr>
              <w:lastRenderedPageBreak/>
              <w:t>Statisticians (ICLS) at its 19th Session in 2013</w:t>
            </w:r>
          </w:p>
          <w:p w14:paraId="070AEE89" w14:textId="77777777" w:rsidR="00221C59" w:rsidRPr="006D5C4E" w:rsidRDefault="00221C59" w:rsidP="00221C59">
            <w:pPr>
              <w:pStyle w:val="ListParagraph"/>
              <w:numPr>
                <w:ilvl w:val="0"/>
                <w:numId w:val="26"/>
              </w:numPr>
              <w:spacing w:after="0"/>
              <w:ind w:left="563" w:hanging="203"/>
              <w:jc w:val="both"/>
              <w:rPr>
                <w:rFonts w:ascii="Tw Cen MT Condensed" w:hAnsi="Tw Cen MT Condensed"/>
                <w:sz w:val="20"/>
                <w:szCs w:val="20"/>
              </w:rPr>
            </w:pPr>
            <w:r w:rsidRPr="006D5C4E">
              <w:rPr>
                <w:rFonts w:ascii="Tw Cen MT Condensed" w:hAnsi="Tw Cen MT Condensed"/>
                <w:sz w:val="20"/>
                <w:szCs w:val="20"/>
              </w:rPr>
              <w:t xml:space="preserve">International Classification of Activities for Time Use Statistics 2016 (ICATUS 2016) </w:t>
            </w:r>
          </w:p>
          <w:p w14:paraId="496DB2E5" w14:textId="77777777" w:rsidR="00221C59" w:rsidRPr="006D5C4E" w:rsidRDefault="00221C59" w:rsidP="00221C59">
            <w:pPr>
              <w:jc w:val="both"/>
              <w:rPr>
                <w:szCs w:val="20"/>
              </w:rPr>
            </w:pPr>
            <w:r w:rsidRPr="006D5C4E">
              <w:rPr>
                <w:szCs w:val="20"/>
              </w:rPr>
              <w:t>Relevant specific concepts are presented below:</w:t>
            </w:r>
          </w:p>
          <w:p w14:paraId="1074CCB7" w14:textId="77777777" w:rsidR="00221C59" w:rsidRPr="006D5C4E" w:rsidRDefault="00221C59" w:rsidP="00221C59">
            <w:pPr>
              <w:pStyle w:val="ListParagraph"/>
              <w:numPr>
                <w:ilvl w:val="0"/>
                <w:numId w:val="27"/>
              </w:numPr>
              <w:spacing w:after="0"/>
              <w:ind w:left="563" w:hanging="203"/>
              <w:jc w:val="both"/>
              <w:rPr>
                <w:rFonts w:ascii="Tw Cen MT Condensed" w:hAnsi="Tw Cen MT Condensed"/>
                <w:sz w:val="20"/>
                <w:szCs w:val="20"/>
              </w:rPr>
            </w:pPr>
            <w:r w:rsidRPr="006D5C4E">
              <w:rPr>
                <w:rFonts w:ascii="Tw Cen MT Condensed" w:hAnsi="Tw Cen MT Condensed"/>
                <w:sz w:val="20"/>
                <w:szCs w:val="20"/>
              </w:rPr>
              <w:t>An activity is said to be productive or to fall within the “general production boundary” if it satisfies the third-person criterion (the activity can be delegated to another person and yield the same desired results).</w:t>
            </w:r>
          </w:p>
          <w:p w14:paraId="6BDE53EE" w14:textId="77777777" w:rsidR="00221C59" w:rsidRPr="006D5C4E" w:rsidRDefault="00221C59" w:rsidP="00221C59">
            <w:pPr>
              <w:pStyle w:val="ListParagraph"/>
              <w:numPr>
                <w:ilvl w:val="0"/>
                <w:numId w:val="27"/>
              </w:numPr>
              <w:spacing w:after="0"/>
              <w:ind w:left="563" w:hanging="203"/>
              <w:jc w:val="both"/>
              <w:rPr>
                <w:rFonts w:ascii="Tw Cen MT Condensed" w:hAnsi="Tw Cen MT Condensed"/>
                <w:b/>
                <w:bCs/>
                <w:sz w:val="20"/>
                <w:szCs w:val="20"/>
              </w:rPr>
            </w:pPr>
            <w:r w:rsidRPr="006D5C4E">
              <w:rPr>
                <w:rFonts w:ascii="Tw Cen MT Condensed" w:hAnsi="Tw Cen MT Condensed"/>
                <w:sz w:val="20"/>
                <w:szCs w:val="20"/>
              </w:rPr>
              <w:t>Productive activities can be further classified based on the ILO framework for work statistics (included in the 19th ICLS resolution) into:</w:t>
            </w:r>
          </w:p>
          <w:p w14:paraId="4B46CE4B" w14:textId="77777777" w:rsidR="00221C59" w:rsidRPr="006D5C4E" w:rsidRDefault="00221C59" w:rsidP="00221C59">
            <w:pPr>
              <w:ind w:left="743" w:hanging="180"/>
              <w:jc w:val="both"/>
              <w:rPr>
                <w:szCs w:val="20"/>
              </w:rPr>
            </w:pPr>
            <w:r w:rsidRPr="006D5C4E">
              <w:rPr>
                <w:szCs w:val="20"/>
              </w:rPr>
              <w:t>a)</w:t>
            </w:r>
            <w:r>
              <w:rPr>
                <w:szCs w:val="20"/>
              </w:rPr>
              <w:tab/>
            </w:r>
            <w:r w:rsidRPr="006D5C4E">
              <w:rPr>
                <w:szCs w:val="20"/>
              </w:rPr>
              <w:t>Own-use production work (activities to produce goods and services for own final use; the</w:t>
            </w:r>
            <w:r>
              <w:rPr>
                <w:szCs w:val="20"/>
              </w:rPr>
              <w:t xml:space="preserve"> </w:t>
            </w:r>
            <w:r w:rsidRPr="006D5C4E">
              <w:rPr>
                <w:szCs w:val="20"/>
              </w:rPr>
              <w:t>intended destination of the output is mainly for final use of the producer in the form of</w:t>
            </w:r>
            <w:r>
              <w:rPr>
                <w:szCs w:val="20"/>
              </w:rPr>
              <w:t xml:space="preserve"> </w:t>
            </w:r>
            <w:r w:rsidRPr="006D5C4E">
              <w:rPr>
                <w:szCs w:val="20"/>
              </w:rPr>
              <w:t>capital formation, or final consumption by household members or by family members living</w:t>
            </w:r>
            <w:r>
              <w:rPr>
                <w:szCs w:val="20"/>
              </w:rPr>
              <w:t xml:space="preserve"> </w:t>
            </w:r>
            <w:r w:rsidRPr="006D5C4E">
              <w:rPr>
                <w:szCs w:val="20"/>
              </w:rPr>
              <w:t>in other households; in the case of agricultural, fishing, hunting or gathering goods intended</w:t>
            </w:r>
            <w:r>
              <w:rPr>
                <w:szCs w:val="20"/>
              </w:rPr>
              <w:t xml:space="preserve"> </w:t>
            </w:r>
            <w:r w:rsidRPr="006D5C4E">
              <w:rPr>
                <w:szCs w:val="20"/>
              </w:rPr>
              <w:t>mainly for own consumption, a part or surplus may nevertheless be sold or bartered)</w:t>
            </w:r>
          </w:p>
          <w:p w14:paraId="7664DE65" w14:textId="77777777" w:rsidR="00221C59" w:rsidRPr="006D5C4E" w:rsidRDefault="00221C59" w:rsidP="00221C59">
            <w:pPr>
              <w:ind w:left="743" w:hanging="180"/>
              <w:jc w:val="both"/>
              <w:rPr>
                <w:szCs w:val="20"/>
              </w:rPr>
            </w:pPr>
            <w:r w:rsidRPr="006D5C4E">
              <w:rPr>
                <w:szCs w:val="20"/>
              </w:rPr>
              <w:t>b)</w:t>
            </w:r>
            <w:r>
              <w:rPr>
                <w:szCs w:val="20"/>
              </w:rPr>
              <w:tab/>
            </w:r>
            <w:r w:rsidRPr="006D5C4E">
              <w:rPr>
                <w:szCs w:val="20"/>
              </w:rPr>
              <w:t>Employment (activities to produce goods or provide services for pay or profit)</w:t>
            </w:r>
          </w:p>
          <w:p w14:paraId="16B4D004" w14:textId="77777777" w:rsidR="00221C59" w:rsidRPr="006D5C4E" w:rsidRDefault="00221C59" w:rsidP="00221C59">
            <w:pPr>
              <w:ind w:left="743" w:hanging="180"/>
              <w:jc w:val="both"/>
              <w:rPr>
                <w:szCs w:val="20"/>
              </w:rPr>
            </w:pPr>
            <w:r w:rsidRPr="006D5C4E">
              <w:rPr>
                <w:szCs w:val="20"/>
              </w:rPr>
              <w:t>c)</w:t>
            </w:r>
            <w:r>
              <w:rPr>
                <w:szCs w:val="20"/>
              </w:rPr>
              <w:tab/>
            </w:r>
            <w:r w:rsidRPr="006D5C4E">
              <w:rPr>
                <w:szCs w:val="20"/>
              </w:rPr>
              <w:t>Unpaid trainee work (any unpaid activity to produce goods or provide services for others, in</w:t>
            </w:r>
            <w:r>
              <w:rPr>
                <w:szCs w:val="20"/>
              </w:rPr>
              <w:t xml:space="preserve"> </w:t>
            </w:r>
            <w:r w:rsidRPr="006D5C4E">
              <w:rPr>
                <w:szCs w:val="20"/>
              </w:rPr>
              <w:t>order to acquire workplace experience or skills in a trade or profession)</w:t>
            </w:r>
          </w:p>
          <w:p w14:paraId="319CDEBA" w14:textId="77777777" w:rsidR="00221C59" w:rsidRPr="006D5C4E" w:rsidRDefault="00221C59" w:rsidP="00221C59">
            <w:pPr>
              <w:ind w:left="743" w:hanging="180"/>
              <w:jc w:val="both"/>
              <w:rPr>
                <w:szCs w:val="20"/>
              </w:rPr>
            </w:pPr>
            <w:r w:rsidRPr="006D5C4E">
              <w:rPr>
                <w:szCs w:val="20"/>
              </w:rPr>
              <w:t>d)</w:t>
            </w:r>
            <w:r>
              <w:rPr>
                <w:szCs w:val="20"/>
              </w:rPr>
              <w:tab/>
            </w:r>
            <w:r w:rsidRPr="006D5C4E">
              <w:rPr>
                <w:szCs w:val="20"/>
              </w:rPr>
              <w:t>Volunteer work (any unpaid, non-compulsory activity to produce goods or provide services</w:t>
            </w:r>
            <w:r>
              <w:rPr>
                <w:szCs w:val="20"/>
              </w:rPr>
              <w:t xml:space="preserve"> </w:t>
            </w:r>
            <w:r w:rsidRPr="006D5C4E">
              <w:rPr>
                <w:szCs w:val="20"/>
              </w:rPr>
              <w:t>for others)</w:t>
            </w:r>
          </w:p>
          <w:p w14:paraId="6A196507" w14:textId="77777777" w:rsidR="00221C59" w:rsidRDefault="00221C59" w:rsidP="00221C59">
            <w:pPr>
              <w:ind w:left="743" w:hanging="180"/>
              <w:jc w:val="both"/>
              <w:rPr>
                <w:szCs w:val="20"/>
              </w:rPr>
            </w:pPr>
            <w:r w:rsidRPr="006D5C4E">
              <w:rPr>
                <w:szCs w:val="20"/>
              </w:rPr>
              <w:t>e)</w:t>
            </w:r>
            <w:r>
              <w:rPr>
                <w:szCs w:val="20"/>
              </w:rPr>
              <w:tab/>
            </w:r>
            <w:r w:rsidRPr="006D5C4E">
              <w:rPr>
                <w:szCs w:val="20"/>
              </w:rPr>
              <w:t>Other forms of work</w:t>
            </w:r>
          </w:p>
          <w:p w14:paraId="6B45A71D" w14:textId="77777777" w:rsidR="00221C59" w:rsidRDefault="00221C59" w:rsidP="00221C59">
            <w:pPr>
              <w:jc w:val="both"/>
              <w:rPr>
                <w:b/>
                <w:bCs/>
                <w:szCs w:val="20"/>
              </w:rPr>
            </w:pPr>
          </w:p>
          <w:p w14:paraId="6A29011D" w14:textId="77777777" w:rsidR="00221C59" w:rsidRPr="006D5C4E" w:rsidRDefault="00221C59" w:rsidP="00221C59">
            <w:pPr>
              <w:jc w:val="both"/>
              <w:rPr>
                <w:szCs w:val="20"/>
              </w:rPr>
            </w:pPr>
            <w:r w:rsidRPr="006D5C4E">
              <w:rPr>
                <w:szCs w:val="20"/>
              </w:rPr>
              <w:t>The own-use production work can be differentiated based on whether goods or services are produced.</w:t>
            </w:r>
          </w:p>
          <w:p w14:paraId="421C9FDC" w14:textId="77777777" w:rsidR="00221C59" w:rsidRPr="006D5C4E" w:rsidRDefault="00221C59" w:rsidP="00221C59">
            <w:pPr>
              <w:jc w:val="both"/>
              <w:rPr>
                <w:szCs w:val="20"/>
              </w:rPr>
            </w:pPr>
            <w:r w:rsidRPr="006D5C4E">
              <w:rPr>
                <w:szCs w:val="20"/>
              </w:rPr>
              <w:t>Indicator 5.4.1 only considers the own-use production work of services, or in other words, the activities</w:t>
            </w:r>
            <w:r>
              <w:rPr>
                <w:szCs w:val="20"/>
              </w:rPr>
              <w:t xml:space="preserve"> </w:t>
            </w:r>
            <w:r w:rsidRPr="006D5C4E">
              <w:rPr>
                <w:szCs w:val="20"/>
              </w:rPr>
              <w:t>related to unpaid domestic services and unpaid caregiving services undertaken by households for their</w:t>
            </w:r>
            <w:r>
              <w:rPr>
                <w:szCs w:val="20"/>
              </w:rPr>
              <w:t xml:space="preserve"> </w:t>
            </w:r>
            <w:r w:rsidRPr="006D5C4E">
              <w:rPr>
                <w:szCs w:val="20"/>
              </w:rPr>
              <w:t>own use. These activities are listed in ICATUS 2016 under the major divisions “3. Unpaid domestic services</w:t>
            </w:r>
            <w:r>
              <w:rPr>
                <w:szCs w:val="20"/>
              </w:rPr>
              <w:t xml:space="preserve"> </w:t>
            </w:r>
            <w:r w:rsidRPr="006D5C4E">
              <w:rPr>
                <w:szCs w:val="20"/>
              </w:rPr>
              <w:t>for household and family members” and “4. Unpaid caregiving services for household and family</w:t>
            </w:r>
            <w:r>
              <w:rPr>
                <w:szCs w:val="20"/>
              </w:rPr>
              <w:t xml:space="preserve"> </w:t>
            </w:r>
            <w:r w:rsidRPr="006D5C4E">
              <w:rPr>
                <w:szCs w:val="20"/>
              </w:rPr>
              <w:t>members”.</w:t>
            </w:r>
          </w:p>
          <w:p w14:paraId="5F2D8B18" w14:textId="77777777" w:rsidR="00221C59" w:rsidRDefault="00221C59" w:rsidP="00221C59">
            <w:pPr>
              <w:jc w:val="both"/>
              <w:rPr>
                <w:szCs w:val="20"/>
              </w:rPr>
            </w:pPr>
            <w:r w:rsidRPr="006D5C4E">
              <w:rPr>
                <w:szCs w:val="20"/>
              </w:rPr>
              <w:t>As much as possible, statistics compiled by UNSD are based on the International Classification of</w:t>
            </w:r>
            <w:r>
              <w:rPr>
                <w:szCs w:val="20"/>
              </w:rPr>
              <w:t xml:space="preserve"> </w:t>
            </w:r>
            <w:r w:rsidRPr="006D5C4E">
              <w:rPr>
                <w:szCs w:val="20"/>
              </w:rPr>
              <w:t>Activities for Time Use Statistics 2016 (ICATUS 2016), which classifies activities undertaken by persons</w:t>
            </w:r>
            <w:r>
              <w:rPr>
                <w:szCs w:val="20"/>
              </w:rPr>
              <w:t xml:space="preserve"> </w:t>
            </w:r>
            <w:r w:rsidRPr="006D5C4E">
              <w:rPr>
                <w:szCs w:val="20"/>
              </w:rPr>
              <w:t xml:space="preserve">during the survey period. ICATUS 2016 was adopted </w:t>
            </w:r>
            <w:r w:rsidRPr="006D5C4E">
              <w:rPr>
                <w:szCs w:val="20"/>
              </w:rPr>
              <w:lastRenderedPageBreak/>
              <w:t>by the United Nations Statistical Commission for use</w:t>
            </w:r>
            <w:r>
              <w:rPr>
                <w:szCs w:val="20"/>
              </w:rPr>
              <w:t xml:space="preserve"> </w:t>
            </w:r>
            <w:r w:rsidRPr="006D5C4E">
              <w:rPr>
                <w:szCs w:val="20"/>
              </w:rPr>
              <w:t>as an international statistical classification at its 48th session, 7-10 March 2017.</w:t>
            </w:r>
          </w:p>
          <w:p w14:paraId="713DFF31" w14:textId="77777777" w:rsidR="00221C59" w:rsidRDefault="00221C59" w:rsidP="00221C59">
            <w:pPr>
              <w:jc w:val="both"/>
              <w:rPr>
                <w:b/>
                <w:bCs/>
                <w:szCs w:val="20"/>
              </w:rPr>
            </w:pPr>
          </w:p>
          <w:p w14:paraId="7273F515" w14:textId="77777777" w:rsidR="00221C59" w:rsidRPr="006D5C4E" w:rsidRDefault="00221C59" w:rsidP="00221C59">
            <w:pPr>
              <w:jc w:val="both"/>
              <w:rPr>
                <w:b/>
                <w:bCs/>
                <w:szCs w:val="20"/>
              </w:rPr>
            </w:pPr>
            <w:r w:rsidRPr="006D5C4E">
              <w:rPr>
                <w:b/>
                <w:bCs/>
                <w:szCs w:val="20"/>
              </w:rPr>
              <w:t>Computation Method:</w:t>
            </w:r>
          </w:p>
          <w:p w14:paraId="658E1140" w14:textId="77777777" w:rsidR="00221C59" w:rsidRPr="006D5C4E" w:rsidRDefault="00221C59" w:rsidP="00221C59">
            <w:pPr>
              <w:jc w:val="both"/>
              <w:rPr>
                <w:szCs w:val="20"/>
              </w:rPr>
            </w:pPr>
            <w:r w:rsidRPr="006D5C4E">
              <w:rPr>
                <w:szCs w:val="20"/>
              </w:rPr>
              <w:t>Data presented for this indicator are expressed as a proportion of time in a day. Weekly data is averaged</w:t>
            </w:r>
            <w:r>
              <w:rPr>
                <w:szCs w:val="20"/>
              </w:rPr>
              <w:t xml:space="preserve"> </w:t>
            </w:r>
            <w:r w:rsidRPr="006D5C4E">
              <w:rPr>
                <w:szCs w:val="20"/>
              </w:rPr>
              <w:t>over seven days of the week to obtain the daily average time.</w:t>
            </w:r>
          </w:p>
          <w:p w14:paraId="1638B060" w14:textId="77777777" w:rsidR="00221C59" w:rsidRPr="006D5C4E" w:rsidRDefault="00221C59" w:rsidP="00221C59">
            <w:pPr>
              <w:jc w:val="both"/>
              <w:rPr>
                <w:szCs w:val="20"/>
              </w:rPr>
            </w:pPr>
            <w:r w:rsidRPr="006D5C4E">
              <w:rPr>
                <w:szCs w:val="20"/>
              </w:rPr>
              <w:t>Proportion of time spent on unpaid domestic and care work is calculated by dividing the daily average</w:t>
            </w:r>
            <w:r>
              <w:rPr>
                <w:szCs w:val="20"/>
              </w:rPr>
              <w:t xml:space="preserve"> </w:t>
            </w:r>
            <w:r w:rsidRPr="006D5C4E">
              <w:rPr>
                <w:szCs w:val="20"/>
              </w:rPr>
              <w:t>number of hours spent on unpaid domestic and care work by 24 hours.</w:t>
            </w:r>
          </w:p>
          <w:p w14:paraId="17D30A79" w14:textId="77777777" w:rsidR="00221C59" w:rsidRDefault="00221C59" w:rsidP="00221C59">
            <w:pPr>
              <w:jc w:val="both"/>
              <w:rPr>
                <w:szCs w:val="20"/>
              </w:rPr>
            </w:pPr>
            <w:r w:rsidRPr="006D5C4E">
              <w:rPr>
                <w:szCs w:val="20"/>
              </w:rPr>
              <w:t>Proportion of time spent on unpaid domestic and care work</w:t>
            </w:r>
            <w:r>
              <w:rPr>
                <w:szCs w:val="20"/>
              </w:rPr>
              <w:t xml:space="preserve"> (Indicator </w:t>
            </w:r>
            <w:r w:rsidRPr="006D5C4E">
              <w:rPr>
                <w:szCs w:val="20"/>
              </w:rPr>
              <w:t>5.4.1) is calculated as:</w:t>
            </w:r>
          </w:p>
          <w:p w14:paraId="16459542" w14:textId="77777777" w:rsidR="00221C59" w:rsidRDefault="00221C59" w:rsidP="00221C59">
            <w:pPr>
              <w:jc w:val="both"/>
              <w:rPr>
                <w:rFonts w:eastAsiaTheme="minorEastAsia"/>
                <w:iCs/>
                <w:sz w:val="16"/>
                <w:szCs w:val="16"/>
              </w:rPr>
            </w:pPr>
            <w:r>
              <w:rPr>
                <w:rFonts w:eastAsiaTheme="minorEastAsia"/>
                <w:iCs/>
                <w:sz w:val="16"/>
                <w:szCs w:val="16"/>
              </w:rPr>
              <w:t>Indicator</w:t>
            </w:r>
            <w:r w:rsidRPr="006D5C4E">
              <w:rPr>
                <w:rFonts w:eastAsiaTheme="minorEastAsia"/>
                <w:iCs/>
                <w:sz w:val="16"/>
                <w:szCs w:val="16"/>
              </w:rPr>
              <w:t xml:space="preserve"> 5.4.1</w:t>
            </w:r>
            <w:r>
              <w:rPr>
                <w:rFonts w:eastAsiaTheme="minorEastAsia"/>
                <w:iCs/>
                <w:sz w:val="16"/>
                <w:szCs w:val="16"/>
              </w:rPr>
              <w:t>=</w:t>
            </w:r>
          </w:p>
          <w:p w14:paraId="067BBB87" w14:textId="77777777" w:rsidR="00221C59" w:rsidRDefault="004B4A24" w:rsidP="00221C59">
            <w:pPr>
              <w:jc w:val="both"/>
              <w:rPr>
                <w:rFonts w:eastAsiaTheme="minorEastAsia"/>
                <w:iCs/>
                <w:sz w:val="16"/>
                <w:szCs w:val="16"/>
              </w:rPr>
            </w:pPr>
            <m:oMath>
              <m:f>
                <m:fPr>
                  <m:ctrlPr>
                    <w:rPr>
                      <w:rFonts w:ascii="Cambria Math" w:hAnsi="Cambria Math"/>
                      <w:iCs/>
                      <w:sz w:val="16"/>
                      <w:szCs w:val="16"/>
                    </w:rPr>
                  </m:ctrlPr>
                </m:fPr>
                <m:num>
                  <m:r>
                    <m:rPr>
                      <m:sty m:val="p"/>
                    </m:rPr>
                    <w:rPr>
                      <w:rFonts w:ascii="Cambria Math" w:hAnsi="Cambria Math"/>
                      <w:sz w:val="16"/>
                      <w:szCs w:val="16"/>
                    </w:rPr>
                    <m:t>Daily number of hours spent on domestic work + Daily number of hours spent on care work</m:t>
                  </m:r>
                </m:num>
                <m:den>
                  <m:r>
                    <w:rPr>
                      <w:rFonts w:ascii="Cambria Math" w:hAnsi="Cambria Math"/>
                      <w:sz w:val="16"/>
                      <w:szCs w:val="16"/>
                    </w:rPr>
                    <m:t>24</m:t>
                  </m:r>
                </m:den>
              </m:f>
            </m:oMath>
            <w:r w:rsidR="00221C59">
              <w:rPr>
                <w:rFonts w:eastAsiaTheme="minorEastAsia"/>
                <w:iCs/>
                <w:sz w:val="16"/>
                <w:szCs w:val="16"/>
              </w:rPr>
              <w:t>×100</w:t>
            </w:r>
          </w:p>
          <w:p w14:paraId="53D5E682" w14:textId="77777777" w:rsidR="00221C59" w:rsidRDefault="00221C59" w:rsidP="00221C59">
            <w:pPr>
              <w:jc w:val="both"/>
              <w:rPr>
                <w:szCs w:val="20"/>
              </w:rPr>
            </w:pPr>
          </w:p>
          <w:p w14:paraId="4FF8F978" w14:textId="77777777" w:rsidR="00221C59" w:rsidRDefault="00221C59" w:rsidP="00221C59">
            <w:pPr>
              <w:jc w:val="both"/>
              <w:rPr>
                <w:szCs w:val="20"/>
              </w:rPr>
            </w:pPr>
            <w:r>
              <w:rPr>
                <w:szCs w:val="20"/>
              </w:rPr>
              <w:t>Where,</w:t>
            </w:r>
          </w:p>
          <w:p w14:paraId="1D874E2E" w14:textId="77777777" w:rsidR="00221C59" w:rsidRDefault="00221C59" w:rsidP="00221C59">
            <w:pPr>
              <w:jc w:val="both"/>
              <w:rPr>
                <w:szCs w:val="20"/>
              </w:rPr>
            </w:pPr>
            <w:r w:rsidRPr="006D5C4E">
              <w:rPr>
                <w:rFonts w:ascii="Cambria Math" w:eastAsiaTheme="minorEastAsia" w:hAnsi="Cambria Math" w:cs="Cambria Math"/>
                <w:iCs/>
                <w:sz w:val="16"/>
                <w:szCs w:val="16"/>
              </w:rPr>
              <w:t>𝐷𝑎𝑖𝑙𝑦</w:t>
            </w:r>
            <w:r w:rsidRPr="006D5C4E">
              <w:rPr>
                <w:rFonts w:eastAsiaTheme="minorEastAsia"/>
                <w:iCs/>
                <w:sz w:val="16"/>
                <w:szCs w:val="16"/>
              </w:rPr>
              <w:t xml:space="preserve"> </w:t>
            </w:r>
            <w:r w:rsidRPr="006D5C4E">
              <w:rPr>
                <w:rFonts w:ascii="Cambria Math" w:eastAsiaTheme="minorEastAsia" w:hAnsi="Cambria Math" w:cs="Cambria Math"/>
                <w:iCs/>
                <w:sz w:val="16"/>
                <w:szCs w:val="16"/>
              </w:rPr>
              <w:t>𝑛𝑢𝑚𝑏𝑒𝑟</w:t>
            </w:r>
            <w:r w:rsidRPr="006D5C4E">
              <w:rPr>
                <w:rFonts w:eastAsiaTheme="minorEastAsia"/>
                <w:iCs/>
                <w:sz w:val="16"/>
                <w:szCs w:val="16"/>
              </w:rPr>
              <w:t xml:space="preserve"> </w:t>
            </w:r>
            <w:r w:rsidRPr="006D5C4E">
              <w:rPr>
                <w:rFonts w:ascii="Cambria Math" w:eastAsiaTheme="minorEastAsia" w:hAnsi="Cambria Math" w:cs="Cambria Math"/>
                <w:iCs/>
                <w:sz w:val="16"/>
                <w:szCs w:val="16"/>
              </w:rPr>
              <w:t>𝑜𝑓</w:t>
            </w:r>
            <w:r w:rsidRPr="006D5C4E">
              <w:rPr>
                <w:rFonts w:eastAsiaTheme="minorEastAsia"/>
                <w:iCs/>
                <w:sz w:val="16"/>
                <w:szCs w:val="16"/>
              </w:rPr>
              <w:t xml:space="preserve"> </w:t>
            </w:r>
            <w:r w:rsidRPr="006D5C4E">
              <w:rPr>
                <w:rFonts w:ascii="Cambria Math" w:eastAsiaTheme="minorEastAsia" w:hAnsi="Cambria Math" w:cs="Cambria Math"/>
                <w:iCs/>
                <w:sz w:val="16"/>
                <w:szCs w:val="16"/>
              </w:rPr>
              <w:t>ℎ𝑜𝑢𝑟𝑠</w:t>
            </w:r>
            <w:r w:rsidRPr="006D5C4E">
              <w:rPr>
                <w:rFonts w:eastAsiaTheme="minorEastAsia"/>
                <w:iCs/>
                <w:sz w:val="16"/>
                <w:szCs w:val="16"/>
              </w:rPr>
              <w:t xml:space="preserve"> </w:t>
            </w:r>
            <w:r w:rsidRPr="006D5C4E">
              <w:rPr>
                <w:rFonts w:ascii="Cambria Math" w:eastAsiaTheme="minorEastAsia" w:hAnsi="Cambria Math" w:cs="Cambria Math"/>
                <w:iCs/>
                <w:sz w:val="16"/>
                <w:szCs w:val="16"/>
              </w:rPr>
              <w:t>𝑠𝑝𝑒𝑛𝑡</w:t>
            </w:r>
            <w:r w:rsidRPr="006D5C4E">
              <w:rPr>
                <w:rFonts w:eastAsiaTheme="minorEastAsia"/>
                <w:iCs/>
                <w:sz w:val="16"/>
                <w:szCs w:val="16"/>
              </w:rPr>
              <w:t xml:space="preserve"> </w:t>
            </w:r>
            <w:r w:rsidRPr="006D5C4E">
              <w:rPr>
                <w:rFonts w:ascii="Cambria Math" w:eastAsiaTheme="minorEastAsia" w:hAnsi="Cambria Math" w:cs="Cambria Math"/>
                <w:iCs/>
                <w:sz w:val="16"/>
                <w:szCs w:val="16"/>
              </w:rPr>
              <w:t>𝑜𝑛</w:t>
            </w:r>
            <w:r w:rsidRPr="006D5C4E">
              <w:rPr>
                <w:rFonts w:eastAsiaTheme="minorEastAsia"/>
                <w:iCs/>
                <w:sz w:val="16"/>
                <w:szCs w:val="16"/>
              </w:rPr>
              <w:t xml:space="preserve"> </w:t>
            </w:r>
            <w:r w:rsidRPr="006D5C4E">
              <w:rPr>
                <w:rFonts w:ascii="Cambria Math" w:eastAsiaTheme="minorEastAsia" w:hAnsi="Cambria Math" w:cs="Cambria Math"/>
                <w:iCs/>
                <w:sz w:val="16"/>
                <w:szCs w:val="16"/>
              </w:rPr>
              <w:t>𝑟𝑒𝑙𝑒𝑣𝑎𝑛𝑡</w:t>
            </w:r>
            <w:r w:rsidRPr="006D5C4E">
              <w:rPr>
                <w:rFonts w:eastAsiaTheme="minorEastAsia"/>
                <w:iCs/>
                <w:sz w:val="16"/>
                <w:szCs w:val="16"/>
              </w:rPr>
              <w:t xml:space="preserve"> </w:t>
            </w:r>
            <w:r w:rsidRPr="006D5C4E">
              <w:rPr>
                <w:rFonts w:ascii="Cambria Math" w:eastAsiaTheme="minorEastAsia" w:hAnsi="Cambria Math" w:cs="Cambria Math"/>
                <w:iCs/>
                <w:sz w:val="16"/>
                <w:szCs w:val="16"/>
              </w:rPr>
              <w:t>𝑎𝑐𝑡𝑖𝑣𝑖𝑡𝑖𝑒𝑠</w:t>
            </w:r>
            <w:r w:rsidRPr="006D5C4E">
              <w:rPr>
                <w:szCs w:val="20"/>
              </w:rPr>
              <w:t>=</w:t>
            </w:r>
          </w:p>
          <w:p w14:paraId="6ACF0F87" w14:textId="77777777" w:rsidR="00221C59" w:rsidRPr="006D5C4E" w:rsidRDefault="004B4A24" w:rsidP="00221C59">
            <w:pPr>
              <w:jc w:val="both"/>
              <w:rPr>
                <w:rFonts w:eastAsiaTheme="minorEastAsia"/>
                <w:iCs/>
                <w:sz w:val="16"/>
                <w:szCs w:val="16"/>
              </w:rPr>
            </w:pPr>
            <m:oMathPara>
              <m:oMath>
                <m:f>
                  <m:fPr>
                    <m:ctrlPr>
                      <w:rPr>
                        <w:rFonts w:ascii="Cambria Math" w:hAnsi="Cambria Math"/>
                        <w:iCs/>
                        <w:sz w:val="16"/>
                        <w:szCs w:val="16"/>
                      </w:rPr>
                    </m:ctrlPr>
                  </m:fPr>
                  <m:num>
                    <m:r>
                      <m:rPr>
                        <m:sty m:val="p"/>
                      </m:rPr>
                      <w:rPr>
                        <w:rFonts w:ascii="Cambria Math" w:hAnsi="Cambria Math"/>
                        <w:sz w:val="16"/>
                        <w:szCs w:val="16"/>
                      </w:rPr>
                      <m:t>Total number of hours spent by the population on relevant activities</m:t>
                    </m:r>
                  </m:num>
                  <m:den>
                    <m:r>
                      <w:rPr>
                        <w:rFonts w:ascii="Cambria Math" w:hAnsi="Cambria Math"/>
                        <w:sz w:val="16"/>
                        <w:szCs w:val="16"/>
                      </w:rPr>
                      <m:t>Total population (regardless of whether they participated in the activity)</m:t>
                    </m:r>
                  </m:den>
                </m:f>
              </m:oMath>
            </m:oMathPara>
          </w:p>
          <w:p w14:paraId="24939F90" w14:textId="77777777" w:rsidR="00221C59" w:rsidRDefault="00221C59" w:rsidP="00221C59">
            <w:pPr>
              <w:jc w:val="both"/>
              <w:rPr>
                <w:szCs w:val="20"/>
              </w:rPr>
            </w:pPr>
          </w:p>
          <w:p w14:paraId="4E5D11FB" w14:textId="77777777" w:rsidR="00221C59" w:rsidRDefault="00221C59" w:rsidP="00221C59">
            <w:pPr>
              <w:jc w:val="both"/>
              <w:rPr>
                <w:szCs w:val="20"/>
              </w:rPr>
            </w:pPr>
            <w:r w:rsidRPr="006D5C4E">
              <w:rPr>
                <w:szCs w:val="20"/>
              </w:rPr>
              <w:t>If data on time spent are weekly, data are averaged over seven days of the week to obtain daily time spent.</w:t>
            </w:r>
            <w:r>
              <w:rPr>
                <w:szCs w:val="20"/>
              </w:rPr>
              <w:t xml:space="preserve"> </w:t>
            </w:r>
          </w:p>
          <w:p w14:paraId="6387ACA3" w14:textId="77777777" w:rsidR="00221C59" w:rsidRDefault="00221C59" w:rsidP="00221C59">
            <w:pPr>
              <w:jc w:val="both"/>
              <w:rPr>
                <w:szCs w:val="20"/>
              </w:rPr>
            </w:pPr>
          </w:p>
          <w:p w14:paraId="66F6DCFA" w14:textId="77777777" w:rsidR="00221C59" w:rsidRDefault="00221C59" w:rsidP="00221C59">
            <w:pPr>
              <w:jc w:val="both"/>
              <w:rPr>
                <w:szCs w:val="20"/>
              </w:rPr>
            </w:pPr>
            <w:r w:rsidRPr="006D5C4E">
              <w:rPr>
                <w:szCs w:val="20"/>
              </w:rPr>
              <w:t>Average number of hours spent on unpaid domestic and care work derives from time use statistics that is</w:t>
            </w:r>
            <w:r>
              <w:rPr>
                <w:szCs w:val="20"/>
              </w:rPr>
              <w:t xml:space="preserve"> </w:t>
            </w:r>
            <w:r w:rsidRPr="006D5C4E">
              <w:rPr>
                <w:szCs w:val="20"/>
              </w:rPr>
              <w:t>collected through stand-alone time-use surveys or a time-use module in multi-purpose household</w:t>
            </w:r>
            <w:r>
              <w:rPr>
                <w:szCs w:val="20"/>
              </w:rPr>
              <w:t xml:space="preserve"> </w:t>
            </w:r>
            <w:r w:rsidRPr="006D5C4E">
              <w:rPr>
                <w:szCs w:val="20"/>
              </w:rPr>
              <w:t>surveys. Data on time-use may be summarized and presented as either (1) average time spent for</w:t>
            </w:r>
            <w:r>
              <w:rPr>
                <w:szCs w:val="20"/>
              </w:rPr>
              <w:t xml:space="preserve"> </w:t>
            </w:r>
            <w:r w:rsidRPr="006D5C4E">
              <w:rPr>
                <w:szCs w:val="20"/>
              </w:rPr>
              <w:t>participants (in a given activity) only or (2) average time spent for all population of a certain age (total</w:t>
            </w:r>
            <w:r>
              <w:rPr>
                <w:szCs w:val="20"/>
              </w:rPr>
              <w:t xml:space="preserve"> </w:t>
            </w:r>
            <w:r w:rsidRPr="006D5C4E">
              <w:rPr>
                <w:szCs w:val="20"/>
              </w:rPr>
              <w:t>relevant population). In the former type of averages, the total time spent by the individuals who</w:t>
            </w:r>
            <w:r>
              <w:rPr>
                <w:szCs w:val="20"/>
              </w:rPr>
              <w:t xml:space="preserve"> </w:t>
            </w:r>
            <w:r w:rsidRPr="006D5C4E">
              <w:rPr>
                <w:szCs w:val="20"/>
              </w:rPr>
              <w:t>performed an activity is divided by the number of persons who performed it (participants). In the latter</w:t>
            </w:r>
            <w:r>
              <w:rPr>
                <w:szCs w:val="20"/>
              </w:rPr>
              <w:t xml:space="preserve"> </w:t>
            </w:r>
            <w:r w:rsidRPr="006D5C4E">
              <w:rPr>
                <w:szCs w:val="20"/>
              </w:rPr>
              <w:t>type of averages, the total time is divided by the total relevant population (or a sub-group thereof),</w:t>
            </w:r>
            <w:r>
              <w:rPr>
                <w:szCs w:val="20"/>
              </w:rPr>
              <w:t xml:space="preserve"> </w:t>
            </w:r>
            <w:r w:rsidRPr="006D5C4E">
              <w:rPr>
                <w:szCs w:val="20"/>
              </w:rPr>
              <w:t>regardless of whether people performed the activity or not.</w:t>
            </w:r>
          </w:p>
          <w:p w14:paraId="27885503" w14:textId="77777777" w:rsidR="00221C59" w:rsidRPr="006D5C4E" w:rsidRDefault="00221C59" w:rsidP="00221C59">
            <w:pPr>
              <w:jc w:val="both"/>
              <w:rPr>
                <w:szCs w:val="20"/>
              </w:rPr>
            </w:pPr>
          </w:p>
          <w:p w14:paraId="34322709" w14:textId="77777777" w:rsidR="00221C59" w:rsidRPr="006D5C4E" w:rsidRDefault="00221C59" w:rsidP="00221C59">
            <w:pPr>
              <w:jc w:val="both"/>
              <w:rPr>
                <w:szCs w:val="20"/>
              </w:rPr>
            </w:pPr>
            <w:r w:rsidRPr="006D5C4E">
              <w:rPr>
                <w:szCs w:val="20"/>
              </w:rPr>
              <w:t>SDG indicator 5.4.1 is calculated based on the average number of hours spent on unpaid domestic and</w:t>
            </w:r>
            <w:r>
              <w:rPr>
                <w:szCs w:val="20"/>
              </w:rPr>
              <w:t xml:space="preserve"> </w:t>
            </w:r>
            <w:r w:rsidRPr="006D5C4E">
              <w:rPr>
                <w:szCs w:val="20"/>
              </w:rPr>
              <w:t>unpaid care work for the total relevant population. This type of measures can be used to compare groups</w:t>
            </w:r>
            <w:r>
              <w:rPr>
                <w:szCs w:val="20"/>
              </w:rPr>
              <w:t xml:space="preserve"> </w:t>
            </w:r>
            <w:r w:rsidRPr="006D5C4E">
              <w:rPr>
                <w:szCs w:val="20"/>
              </w:rPr>
              <w:t>and assess changes over time. Differences among groups or over time may be due to a difference (or</w:t>
            </w:r>
            <w:r>
              <w:rPr>
                <w:szCs w:val="20"/>
              </w:rPr>
              <w:t xml:space="preserve"> </w:t>
            </w:r>
            <w:r w:rsidRPr="006D5C4E">
              <w:rPr>
                <w:szCs w:val="20"/>
              </w:rPr>
              <w:t>change) in the proportion of those participating in the specific activity or a difference (or change) in the</w:t>
            </w:r>
            <w:r>
              <w:rPr>
                <w:szCs w:val="20"/>
              </w:rPr>
              <w:t xml:space="preserve"> </w:t>
            </w:r>
            <w:r w:rsidRPr="006D5C4E">
              <w:rPr>
                <w:szCs w:val="20"/>
              </w:rPr>
              <w:t xml:space="preserve">amount of </w:t>
            </w:r>
            <w:r w:rsidRPr="006D5C4E">
              <w:rPr>
                <w:szCs w:val="20"/>
              </w:rPr>
              <w:lastRenderedPageBreak/>
              <w:t>time spent by participants, or both.</w:t>
            </w:r>
          </w:p>
        </w:tc>
        <w:tc>
          <w:tcPr>
            <w:tcW w:w="967" w:type="dxa"/>
            <w:shd w:val="clear" w:color="auto" w:fill="auto"/>
          </w:tcPr>
          <w:p w14:paraId="03106109" w14:textId="77777777" w:rsidR="00221C59" w:rsidRDefault="00221C59" w:rsidP="00221C59">
            <w:pPr>
              <w:jc w:val="both"/>
              <w:rPr>
                <w:bCs/>
                <w:szCs w:val="20"/>
              </w:rPr>
            </w:pPr>
            <w:r>
              <w:rPr>
                <w:bCs/>
                <w:szCs w:val="20"/>
              </w:rPr>
              <w:lastRenderedPageBreak/>
              <w:t>D</w:t>
            </w:r>
            <w:r w:rsidRPr="006D5C4E">
              <w:rPr>
                <w:bCs/>
                <w:szCs w:val="20"/>
              </w:rPr>
              <w:t>edicated time use surveys or from time-use modules</w:t>
            </w:r>
            <w:r>
              <w:rPr>
                <w:bCs/>
                <w:szCs w:val="20"/>
              </w:rPr>
              <w:t xml:space="preserve"> </w:t>
            </w:r>
            <w:r w:rsidRPr="006D5C4E">
              <w:rPr>
                <w:bCs/>
                <w:szCs w:val="20"/>
              </w:rPr>
              <w:t>integrated in multi-purpose household surveys</w:t>
            </w:r>
          </w:p>
        </w:tc>
        <w:tc>
          <w:tcPr>
            <w:tcW w:w="1140" w:type="dxa"/>
            <w:shd w:val="clear" w:color="auto" w:fill="auto"/>
          </w:tcPr>
          <w:p w14:paraId="266744CD" w14:textId="77777777" w:rsidR="00221C59" w:rsidRDefault="00221C59" w:rsidP="00221C59">
            <w:pPr>
              <w:pStyle w:val="NoSpacing"/>
            </w:pPr>
            <w:r w:rsidRPr="006D5C4E">
              <w:t>National Statistical Office</w:t>
            </w:r>
          </w:p>
        </w:tc>
        <w:tc>
          <w:tcPr>
            <w:tcW w:w="721" w:type="dxa"/>
            <w:shd w:val="clear" w:color="auto" w:fill="auto"/>
          </w:tcPr>
          <w:p w14:paraId="62C73E98" w14:textId="77777777" w:rsidR="00221C59" w:rsidRPr="006D5C4E" w:rsidRDefault="00221C59" w:rsidP="00221C59">
            <w:pPr>
              <w:pStyle w:val="ListParagraph"/>
              <w:numPr>
                <w:ilvl w:val="0"/>
                <w:numId w:val="28"/>
              </w:numPr>
              <w:ind w:left="144" w:hanging="124"/>
              <w:rPr>
                <w:rFonts w:ascii="Tw Cen MT Condensed" w:hAnsi="Tw Cen MT Condensed"/>
                <w:bCs/>
                <w:sz w:val="20"/>
                <w:szCs w:val="20"/>
              </w:rPr>
            </w:pPr>
            <w:r w:rsidRPr="006D5C4E">
              <w:rPr>
                <w:rFonts w:ascii="Tw Cen MT Condensed" w:hAnsi="Tw Cen MT Condensed"/>
                <w:bCs/>
                <w:sz w:val="20"/>
                <w:szCs w:val="20"/>
              </w:rPr>
              <w:t>Time Use Survey, BBS</w:t>
            </w:r>
          </w:p>
          <w:p w14:paraId="10B94110" w14:textId="5A949F64" w:rsidR="00221C59" w:rsidRPr="006D5C4E" w:rsidRDefault="00221C59" w:rsidP="00221C59">
            <w:pPr>
              <w:pStyle w:val="ListParagraph"/>
              <w:numPr>
                <w:ilvl w:val="0"/>
                <w:numId w:val="28"/>
              </w:numPr>
              <w:ind w:left="144" w:hanging="124"/>
              <w:rPr>
                <w:rFonts w:ascii="Tw Cen MT Condensed" w:hAnsi="Tw Cen MT Condensed"/>
                <w:bCs/>
                <w:sz w:val="20"/>
                <w:szCs w:val="20"/>
              </w:rPr>
            </w:pPr>
          </w:p>
        </w:tc>
        <w:tc>
          <w:tcPr>
            <w:tcW w:w="1116" w:type="dxa"/>
            <w:shd w:val="clear" w:color="auto" w:fill="auto"/>
          </w:tcPr>
          <w:p w14:paraId="2E01AF3F" w14:textId="77777777" w:rsidR="00221C59" w:rsidRDefault="00221C59" w:rsidP="00221C59">
            <w:pPr>
              <w:pStyle w:val="ListParagraph"/>
              <w:numPr>
                <w:ilvl w:val="0"/>
                <w:numId w:val="28"/>
              </w:numPr>
              <w:ind w:left="144" w:hanging="124"/>
              <w:rPr>
                <w:rFonts w:ascii="Tw Cen MT Condensed" w:hAnsi="Tw Cen MT Condensed"/>
                <w:bCs/>
                <w:sz w:val="20"/>
                <w:szCs w:val="20"/>
              </w:rPr>
            </w:pPr>
            <w:r w:rsidRPr="006D5C4E">
              <w:rPr>
                <w:rFonts w:ascii="Tw Cen MT Condensed" w:hAnsi="Tw Cen MT Condensed"/>
                <w:bCs/>
                <w:sz w:val="20"/>
                <w:szCs w:val="20"/>
              </w:rPr>
              <w:t>Time Use Survey, BBS</w:t>
            </w:r>
          </w:p>
          <w:p w14:paraId="11ACD2B7" w14:textId="77777777" w:rsidR="00221C59" w:rsidRDefault="00221C59" w:rsidP="00221C59">
            <w:pPr>
              <w:pStyle w:val="ListParagraph"/>
              <w:numPr>
                <w:ilvl w:val="0"/>
                <w:numId w:val="28"/>
              </w:numPr>
              <w:ind w:left="144" w:hanging="124"/>
              <w:rPr>
                <w:rFonts w:ascii="Tw Cen MT Condensed" w:hAnsi="Tw Cen MT Condensed"/>
                <w:bCs/>
                <w:sz w:val="20"/>
                <w:szCs w:val="20"/>
              </w:rPr>
            </w:pPr>
            <w:r w:rsidRPr="006D5C4E">
              <w:rPr>
                <w:rFonts w:ascii="Tw Cen MT Condensed" w:hAnsi="Tw Cen MT Condensed"/>
                <w:bCs/>
                <w:sz w:val="20"/>
                <w:szCs w:val="20"/>
              </w:rPr>
              <w:t>QLFS, BBS</w:t>
            </w:r>
          </w:p>
        </w:tc>
        <w:tc>
          <w:tcPr>
            <w:tcW w:w="1354" w:type="dxa"/>
            <w:shd w:val="clear" w:color="auto" w:fill="auto"/>
          </w:tcPr>
          <w:p w14:paraId="2E1C6D41" w14:textId="00A2A5E9" w:rsidR="00221C59" w:rsidRPr="006D5C4E" w:rsidRDefault="00221C59" w:rsidP="00221C59">
            <w:pPr>
              <w:pStyle w:val="ListParagraph"/>
              <w:numPr>
                <w:ilvl w:val="0"/>
                <w:numId w:val="25"/>
              </w:numPr>
              <w:spacing w:after="0"/>
              <w:ind w:left="184" w:hanging="184"/>
              <w:jc w:val="both"/>
              <w:rPr>
                <w:rFonts w:ascii="Tw Cen MT Condensed" w:hAnsi="Tw Cen MT Condensed"/>
                <w:bCs/>
                <w:sz w:val="20"/>
                <w:szCs w:val="20"/>
              </w:rPr>
            </w:pPr>
            <w:r w:rsidRPr="006D5C4E">
              <w:rPr>
                <w:rFonts w:ascii="Tw Cen MT Condensed" w:hAnsi="Tw Cen MT Condensed"/>
                <w:bCs/>
                <w:i/>
                <w:iCs/>
                <w:sz w:val="20"/>
                <w:szCs w:val="20"/>
              </w:rPr>
              <w:t>Sex:</w:t>
            </w:r>
            <w:r w:rsidRPr="006D5C4E">
              <w:rPr>
                <w:rFonts w:ascii="Tw Cen MT Condensed" w:hAnsi="Tw Cen MT Condensed"/>
                <w:bCs/>
                <w:sz w:val="20"/>
                <w:szCs w:val="20"/>
              </w:rPr>
              <w:t xml:space="preserve"> female/male</w:t>
            </w:r>
            <w:r w:rsidR="00F15267" w:rsidRPr="00142B2C">
              <w:rPr>
                <w:rFonts w:ascii="Tw Cen MT Condensed" w:hAnsi="Tw Cen MT Condensed"/>
              </w:rPr>
              <w:t>, both</w:t>
            </w:r>
            <w:r w:rsidRPr="006D5C4E">
              <w:rPr>
                <w:rFonts w:ascii="Tw Cen MT Condensed" w:hAnsi="Tw Cen MT Condensed"/>
                <w:bCs/>
                <w:sz w:val="20"/>
                <w:szCs w:val="20"/>
              </w:rPr>
              <w:t>;</w:t>
            </w:r>
          </w:p>
          <w:p w14:paraId="139827FD" w14:textId="77777777" w:rsidR="00221C59" w:rsidRPr="006D5C4E" w:rsidRDefault="00221C59" w:rsidP="00221C59">
            <w:pPr>
              <w:pStyle w:val="ListParagraph"/>
              <w:numPr>
                <w:ilvl w:val="0"/>
                <w:numId w:val="25"/>
              </w:numPr>
              <w:spacing w:after="0"/>
              <w:ind w:left="184" w:hanging="184"/>
              <w:jc w:val="both"/>
              <w:rPr>
                <w:rFonts w:ascii="Tw Cen MT Condensed" w:hAnsi="Tw Cen MT Condensed"/>
                <w:bCs/>
                <w:sz w:val="20"/>
                <w:szCs w:val="20"/>
              </w:rPr>
            </w:pPr>
            <w:r w:rsidRPr="006D5C4E">
              <w:rPr>
                <w:rFonts w:ascii="Tw Cen MT Condensed" w:hAnsi="Tw Cen MT Condensed"/>
                <w:bCs/>
                <w:i/>
                <w:iCs/>
                <w:sz w:val="20"/>
                <w:szCs w:val="20"/>
              </w:rPr>
              <w:t>Age:</w:t>
            </w:r>
            <w:r w:rsidRPr="006D5C4E">
              <w:rPr>
                <w:rFonts w:ascii="Tw Cen MT Condensed" w:hAnsi="Tw Cen MT Condensed"/>
                <w:bCs/>
                <w:sz w:val="20"/>
                <w:szCs w:val="20"/>
              </w:rPr>
              <w:t xml:space="preserve"> the recommended age groups are: 15+, 15-24, 25-44, 45-54, 55-64 and 65+</w:t>
            </w:r>
          </w:p>
          <w:p w14:paraId="182E9B84" w14:textId="77777777" w:rsidR="00F15267" w:rsidRPr="000C4849" w:rsidRDefault="00221C59" w:rsidP="00221C59">
            <w:pPr>
              <w:pStyle w:val="ListParagraph"/>
              <w:numPr>
                <w:ilvl w:val="0"/>
                <w:numId w:val="25"/>
              </w:numPr>
              <w:spacing w:after="0"/>
              <w:ind w:left="184" w:hanging="184"/>
              <w:jc w:val="both"/>
              <w:rPr>
                <w:rFonts w:ascii="Tw Cen MT Condensed" w:hAnsi="Tw Cen MT Condensed"/>
                <w:bCs/>
                <w:sz w:val="20"/>
                <w:szCs w:val="20"/>
              </w:rPr>
            </w:pPr>
            <w:r w:rsidRPr="006D5C4E">
              <w:rPr>
                <w:rFonts w:ascii="Tw Cen MT Condensed" w:hAnsi="Tw Cen MT Condensed"/>
                <w:bCs/>
                <w:i/>
                <w:iCs/>
                <w:sz w:val="20"/>
                <w:szCs w:val="20"/>
              </w:rPr>
              <w:t>Location:</w:t>
            </w:r>
            <w:r w:rsidRPr="006D5C4E">
              <w:rPr>
                <w:rFonts w:ascii="Tw Cen MT Condensed" w:hAnsi="Tw Cen MT Condensed"/>
                <w:bCs/>
                <w:sz w:val="20"/>
                <w:szCs w:val="20"/>
              </w:rPr>
              <w:t xml:space="preserve"> urban/rural (following national definitions given the lack of international definition)</w:t>
            </w:r>
            <w:r w:rsidR="00F15267" w:rsidRPr="00142B2C">
              <w:rPr>
                <w:rFonts w:ascii="Tw Cen MT Condensed" w:hAnsi="Tw Cen MT Condensed"/>
              </w:rPr>
              <w:t xml:space="preserve"> </w:t>
            </w:r>
          </w:p>
          <w:p w14:paraId="4F42D26D" w14:textId="4F10C81B" w:rsidR="00221C59" w:rsidRPr="004C6F02" w:rsidRDefault="00F15267" w:rsidP="00221C59">
            <w:pPr>
              <w:pStyle w:val="ListParagraph"/>
              <w:numPr>
                <w:ilvl w:val="0"/>
                <w:numId w:val="25"/>
              </w:numPr>
              <w:spacing w:after="0"/>
              <w:ind w:left="184" w:hanging="184"/>
              <w:jc w:val="both"/>
              <w:rPr>
                <w:rFonts w:ascii="Tw Cen MT Condensed" w:hAnsi="Tw Cen MT Condensed"/>
                <w:bCs/>
                <w:sz w:val="20"/>
                <w:szCs w:val="20"/>
              </w:rPr>
            </w:pPr>
            <w:r w:rsidRPr="00142B2C">
              <w:rPr>
                <w:rFonts w:ascii="Tw Cen MT Condensed" w:hAnsi="Tw Cen MT Condensed"/>
              </w:rPr>
              <w:lastRenderedPageBreak/>
              <w:t>type of household work: domestic/care</w:t>
            </w:r>
          </w:p>
        </w:tc>
        <w:tc>
          <w:tcPr>
            <w:tcW w:w="801" w:type="dxa"/>
            <w:shd w:val="clear" w:color="auto" w:fill="auto"/>
          </w:tcPr>
          <w:p w14:paraId="518F7E4E" w14:textId="4C5D0475" w:rsidR="00221C59" w:rsidRDefault="005F24FB" w:rsidP="00221C59">
            <w:pPr>
              <w:jc w:val="center"/>
              <w:rPr>
                <w:bCs/>
                <w:szCs w:val="20"/>
              </w:rPr>
            </w:pPr>
            <w:r>
              <w:rPr>
                <w:bCs/>
                <w:szCs w:val="20"/>
              </w:rPr>
              <w:lastRenderedPageBreak/>
              <w:t>Triennial</w:t>
            </w:r>
          </w:p>
        </w:tc>
        <w:tc>
          <w:tcPr>
            <w:tcW w:w="697" w:type="dxa"/>
            <w:shd w:val="clear" w:color="auto" w:fill="auto"/>
          </w:tcPr>
          <w:p w14:paraId="08ED66F5" w14:textId="77777777" w:rsidR="00221C59" w:rsidRDefault="00221C59" w:rsidP="00221C59">
            <w:pPr>
              <w:jc w:val="center"/>
              <w:rPr>
                <w:bCs/>
                <w:szCs w:val="20"/>
              </w:rPr>
            </w:pPr>
            <w:r>
              <w:rPr>
                <w:bCs/>
                <w:szCs w:val="20"/>
              </w:rPr>
              <w:t>Group 1</w:t>
            </w:r>
          </w:p>
        </w:tc>
        <w:tc>
          <w:tcPr>
            <w:tcW w:w="762" w:type="dxa"/>
            <w:shd w:val="clear" w:color="auto" w:fill="auto"/>
          </w:tcPr>
          <w:p w14:paraId="169378B5" w14:textId="77777777" w:rsidR="00221C59" w:rsidRDefault="00221C59" w:rsidP="00221C59">
            <w:pPr>
              <w:pStyle w:val="NoSpacing"/>
            </w:pPr>
            <w:r>
              <w:t>1</w:t>
            </w:r>
            <w:r w:rsidRPr="00013ACB">
              <w:rPr>
                <w:vertAlign w:val="superscript"/>
              </w:rPr>
              <w:t>st</w:t>
            </w:r>
            <w:r>
              <w:t xml:space="preserve"> Round: </w:t>
            </w:r>
          </w:p>
          <w:p w14:paraId="328A77F8" w14:textId="77777777" w:rsidR="00221C59" w:rsidRDefault="00221C59" w:rsidP="00221C59">
            <w:pPr>
              <w:pStyle w:val="NoSpacing"/>
            </w:pPr>
            <w:r>
              <w:t>2012</w:t>
            </w:r>
          </w:p>
          <w:p w14:paraId="05293220" w14:textId="77777777" w:rsidR="00221C59" w:rsidRDefault="00221C59" w:rsidP="00221C59">
            <w:pPr>
              <w:pStyle w:val="NoSpacing"/>
            </w:pPr>
          </w:p>
          <w:p w14:paraId="18749E9D" w14:textId="77777777" w:rsidR="00221C59" w:rsidRDefault="00221C59" w:rsidP="00221C59">
            <w:pPr>
              <w:pStyle w:val="NoSpacing"/>
            </w:pPr>
            <w:r>
              <w:t>2</w:t>
            </w:r>
            <w:r w:rsidRPr="00013ACB">
              <w:rPr>
                <w:vertAlign w:val="superscript"/>
              </w:rPr>
              <w:t>nd</w:t>
            </w:r>
            <w:r>
              <w:t xml:space="preserve"> Round: </w:t>
            </w:r>
          </w:p>
          <w:p w14:paraId="4CF5AE39" w14:textId="77777777" w:rsidR="00221C59" w:rsidRDefault="00221C59" w:rsidP="00221C59">
            <w:pPr>
              <w:pStyle w:val="NoSpacing"/>
            </w:pPr>
            <w:r>
              <w:t>December</w:t>
            </w:r>
            <w:r>
              <w:br/>
              <w:t>2019</w:t>
            </w:r>
          </w:p>
          <w:p w14:paraId="08299B99" w14:textId="77777777" w:rsidR="00221C59" w:rsidRDefault="00221C59" w:rsidP="00221C59">
            <w:pPr>
              <w:pStyle w:val="NoSpacing"/>
            </w:pPr>
          </w:p>
          <w:p w14:paraId="3F42FCB9" w14:textId="77777777" w:rsidR="00221C59" w:rsidRDefault="00221C59" w:rsidP="00221C59">
            <w:pPr>
              <w:pStyle w:val="NoSpacing"/>
            </w:pPr>
            <w:r>
              <w:t>3</w:t>
            </w:r>
            <w:r w:rsidRPr="00013ACB">
              <w:rPr>
                <w:vertAlign w:val="superscript"/>
              </w:rPr>
              <w:t>rd</w:t>
            </w:r>
            <w:r>
              <w:t xml:space="preserve"> Round: </w:t>
            </w:r>
          </w:p>
          <w:p w14:paraId="07E60B45" w14:textId="77777777" w:rsidR="00221C59" w:rsidRDefault="00221C59" w:rsidP="00221C59">
            <w:pPr>
              <w:pStyle w:val="NoSpacing"/>
            </w:pPr>
            <w:r>
              <w:t>December</w:t>
            </w:r>
            <w:r>
              <w:br/>
              <w:t>2022</w:t>
            </w:r>
          </w:p>
          <w:p w14:paraId="1F4B032D" w14:textId="77777777" w:rsidR="00221C59" w:rsidRDefault="00221C59" w:rsidP="00221C59">
            <w:pPr>
              <w:pStyle w:val="NoSpacing"/>
            </w:pPr>
          </w:p>
          <w:p w14:paraId="1BC5962A" w14:textId="77777777" w:rsidR="00221C59" w:rsidRDefault="00221C59" w:rsidP="00221C59">
            <w:pPr>
              <w:pStyle w:val="NoSpacing"/>
            </w:pPr>
            <w:r>
              <w:t>4</w:t>
            </w:r>
            <w:r w:rsidRPr="00013ACB">
              <w:rPr>
                <w:vertAlign w:val="superscript"/>
              </w:rPr>
              <w:t>th</w:t>
            </w:r>
            <w:r>
              <w:t xml:space="preserve"> Round: </w:t>
            </w:r>
          </w:p>
          <w:p w14:paraId="061E814F" w14:textId="77777777" w:rsidR="00221C59" w:rsidRDefault="00221C59" w:rsidP="00221C59">
            <w:pPr>
              <w:pStyle w:val="NoSpacing"/>
            </w:pPr>
            <w:r>
              <w:t>December</w:t>
            </w:r>
            <w:r>
              <w:br/>
              <w:t>2025</w:t>
            </w:r>
          </w:p>
          <w:p w14:paraId="5B536214" w14:textId="77777777" w:rsidR="00221C59" w:rsidRDefault="00221C59" w:rsidP="00221C59">
            <w:pPr>
              <w:pStyle w:val="NoSpacing"/>
            </w:pPr>
          </w:p>
          <w:p w14:paraId="28E683D1" w14:textId="77777777" w:rsidR="00221C59" w:rsidRDefault="00221C59" w:rsidP="00221C59">
            <w:pPr>
              <w:pStyle w:val="NoSpacing"/>
            </w:pPr>
            <w:r>
              <w:t>5</w:t>
            </w:r>
            <w:r w:rsidRPr="00013ACB">
              <w:rPr>
                <w:vertAlign w:val="superscript"/>
              </w:rPr>
              <w:t>th</w:t>
            </w:r>
            <w:r>
              <w:t xml:space="preserve"> </w:t>
            </w:r>
            <w:r>
              <w:lastRenderedPageBreak/>
              <w:t xml:space="preserve">Round: </w:t>
            </w:r>
          </w:p>
          <w:p w14:paraId="2E5BA7A4" w14:textId="77777777" w:rsidR="00221C59" w:rsidRDefault="00221C59" w:rsidP="00221C59">
            <w:pPr>
              <w:pStyle w:val="NoSpacing"/>
            </w:pPr>
            <w:r>
              <w:t>December</w:t>
            </w:r>
            <w:r>
              <w:br/>
              <w:t>2028</w:t>
            </w:r>
          </w:p>
          <w:p w14:paraId="0D3B19B2" w14:textId="12B3B425" w:rsidR="00221C59" w:rsidRPr="007A64DC" w:rsidRDefault="00221C59" w:rsidP="00221C59">
            <w:pPr>
              <w:pStyle w:val="NoSpacing"/>
            </w:pPr>
          </w:p>
        </w:tc>
        <w:tc>
          <w:tcPr>
            <w:tcW w:w="1188" w:type="dxa"/>
            <w:shd w:val="clear" w:color="auto" w:fill="auto"/>
          </w:tcPr>
          <w:p w14:paraId="2F557059" w14:textId="77777777" w:rsidR="00221C59" w:rsidRDefault="00221C59" w:rsidP="00221C59">
            <w:pPr>
              <w:jc w:val="both"/>
              <w:rPr>
                <w:bCs/>
                <w:szCs w:val="20"/>
              </w:rPr>
            </w:pPr>
            <w:r>
              <w:rPr>
                <w:bCs/>
                <w:szCs w:val="20"/>
              </w:rPr>
              <w:lastRenderedPageBreak/>
              <w:t>2</w:t>
            </w:r>
            <w:r w:rsidRPr="006D5C4E">
              <w:rPr>
                <w:bCs/>
                <w:szCs w:val="20"/>
                <w:vertAlign w:val="superscript"/>
              </w:rPr>
              <w:t>nd</w:t>
            </w:r>
            <w:r>
              <w:rPr>
                <w:bCs/>
                <w:szCs w:val="20"/>
              </w:rPr>
              <w:t xml:space="preserve"> round Time Use Survey should be conducted</w:t>
            </w:r>
          </w:p>
        </w:tc>
      </w:tr>
      <w:tr w:rsidR="00221C59" w14:paraId="15877559" w14:textId="77777777" w:rsidTr="0085651F">
        <w:tc>
          <w:tcPr>
            <w:tcW w:w="1814" w:type="dxa"/>
            <w:gridSpan w:val="2"/>
            <w:shd w:val="clear" w:color="auto" w:fill="auto"/>
          </w:tcPr>
          <w:p w14:paraId="1FAAA124" w14:textId="77777777" w:rsidR="00221C59" w:rsidRDefault="00221C59" w:rsidP="00221C59">
            <w:pPr>
              <w:ind w:left="970" w:hanging="970"/>
              <w:jc w:val="both"/>
              <w:rPr>
                <w:color w:val="FF0000"/>
                <w:sz w:val="30"/>
                <w:szCs w:val="30"/>
              </w:rPr>
            </w:pPr>
          </w:p>
        </w:tc>
        <w:tc>
          <w:tcPr>
            <w:tcW w:w="15348" w:type="dxa"/>
            <w:gridSpan w:val="12"/>
            <w:shd w:val="clear" w:color="auto" w:fill="auto"/>
          </w:tcPr>
          <w:p w14:paraId="6FF49866" w14:textId="77777777" w:rsidR="00221C59" w:rsidRPr="005B3572" w:rsidRDefault="00221C59" w:rsidP="00221C59">
            <w:pPr>
              <w:ind w:left="970" w:hanging="970"/>
              <w:jc w:val="both"/>
              <w:rPr>
                <w:color w:val="FF0000"/>
                <w:sz w:val="30"/>
                <w:szCs w:val="30"/>
              </w:rPr>
            </w:pPr>
            <w:r>
              <w:rPr>
                <w:color w:val="FF0000"/>
                <w:sz w:val="30"/>
                <w:szCs w:val="30"/>
              </w:rPr>
              <w:t xml:space="preserve">Target </w:t>
            </w:r>
            <w:r w:rsidRPr="005B3572">
              <w:rPr>
                <w:color w:val="FF0000"/>
                <w:sz w:val="30"/>
                <w:szCs w:val="30"/>
              </w:rPr>
              <w:t>5.5</w:t>
            </w:r>
            <w:r>
              <w:rPr>
                <w:color w:val="FF0000"/>
                <w:sz w:val="30"/>
                <w:szCs w:val="30"/>
              </w:rPr>
              <w:t>:</w:t>
            </w:r>
            <w:r w:rsidRPr="005B3572">
              <w:rPr>
                <w:color w:val="FF0000"/>
                <w:sz w:val="30"/>
                <w:szCs w:val="30"/>
              </w:rPr>
              <w:t xml:space="preserve"> Ensure women’s full and effective participation and equal opportunities for leadership at all levels of decision-making in political, economic and public life</w:t>
            </w:r>
          </w:p>
        </w:tc>
      </w:tr>
      <w:tr w:rsidR="00221C59" w14:paraId="198F05BD" w14:textId="77777777" w:rsidTr="0085651F">
        <w:tc>
          <w:tcPr>
            <w:tcW w:w="1179" w:type="dxa"/>
            <w:shd w:val="clear" w:color="auto" w:fill="auto"/>
          </w:tcPr>
          <w:p w14:paraId="08AD8737" w14:textId="77777777" w:rsidR="00221C59" w:rsidRPr="009270AB" w:rsidRDefault="00221C59" w:rsidP="00221C59">
            <w:pPr>
              <w:jc w:val="both"/>
              <w:rPr>
                <w:szCs w:val="20"/>
              </w:rPr>
            </w:pPr>
            <w:r w:rsidRPr="006D5C4E">
              <w:rPr>
                <w:szCs w:val="20"/>
              </w:rPr>
              <w:t>5.5.1: Proportion of seats held by women in (a) national parliaments and (b) local governments</w:t>
            </w:r>
          </w:p>
        </w:tc>
        <w:tc>
          <w:tcPr>
            <w:tcW w:w="921" w:type="dxa"/>
            <w:gridSpan w:val="2"/>
            <w:shd w:val="clear" w:color="auto" w:fill="auto"/>
          </w:tcPr>
          <w:p w14:paraId="0428FF15" w14:textId="77777777" w:rsidR="00221C59" w:rsidRPr="006D5C4E" w:rsidRDefault="00221C59" w:rsidP="00221C59">
            <w:pPr>
              <w:jc w:val="center"/>
              <w:rPr>
                <w:szCs w:val="20"/>
              </w:rPr>
            </w:pPr>
            <w:r w:rsidRPr="006D5C4E">
              <w:rPr>
                <w:szCs w:val="20"/>
              </w:rPr>
              <w:t xml:space="preserve">IPU, </w:t>
            </w:r>
          </w:p>
          <w:p w14:paraId="33CE81A7" w14:textId="77777777" w:rsidR="00221C59" w:rsidRDefault="00221C59" w:rsidP="00221C59">
            <w:pPr>
              <w:jc w:val="center"/>
              <w:rPr>
                <w:szCs w:val="20"/>
              </w:rPr>
            </w:pPr>
            <w:r w:rsidRPr="006D5C4E">
              <w:rPr>
                <w:szCs w:val="20"/>
              </w:rPr>
              <w:t>UN Women</w:t>
            </w:r>
          </w:p>
          <w:p w14:paraId="14509FEA" w14:textId="77777777" w:rsidR="00221C59" w:rsidRDefault="00221C59" w:rsidP="00221C59">
            <w:pPr>
              <w:jc w:val="center"/>
              <w:rPr>
                <w:szCs w:val="20"/>
              </w:rPr>
            </w:pPr>
          </w:p>
          <w:p w14:paraId="741388FB" w14:textId="77777777" w:rsidR="00221C59" w:rsidRDefault="00221C59" w:rsidP="00221C59">
            <w:pPr>
              <w:jc w:val="center"/>
              <w:rPr>
                <w:szCs w:val="20"/>
              </w:rPr>
            </w:pPr>
            <w:r>
              <w:rPr>
                <w:szCs w:val="20"/>
              </w:rPr>
              <w:t>Partner Agency:</w:t>
            </w:r>
          </w:p>
          <w:p w14:paraId="2C7AEF22" w14:textId="77777777" w:rsidR="00221C59" w:rsidRPr="006D5C4E" w:rsidRDefault="00221C59" w:rsidP="00221C59">
            <w:pPr>
              <w:jc w:val="center"/>
              <w:rPr>
                <w:szCs w:val="20"/>
              </w:rPr>
            </w:pPr>
            <w:r>
              <w:rPr>
                <w:szCs w:val="20"/>
              </w:rPr>
              <w:t>World Bank</w:t>
            </w:r>
          </w:p>
        </w:tc>
        <w:tc>
          <w:tcPr>
            <w:tcW w:w="985" w:type="dxa"/>
            <w:shd w:val="clear" w:color="auto" w:fill="auto"/>
          </w:tcPr>
          <w:p w14:paraId="0334BF33" w14:textId="77777777" w:rsidR="00221C59" w:rsidRDefault="00221C59" w:rsidP="00221C59">
            <w:pPr>
              <w:jc w:val="center"/>
              <w:rPr>
                <w:szCs w:val="20"/>
              </w:rPr>
            </w:pPr>
            <w:r w:rsidRPr="00BD4CE5">
              <w:rPr>
                <w:szCs w:val="20"/>
              </w:rPr>
              <w:t>Tier I</w:t>
            </w:r>
          </w:p>
          <w:p w14:paraId="6E667618" w14:textId="4E067746" w:rsidR="00221C59" w:rsidRDefault="00221C59" w:rsidP="00221C59">
            <w:pPr>
              <w:jc w:val="center"/>
              <w:rPr>
                <w:szCs w:val="20"/>
              </w:rPr>
            </w:pPr>
          </w:p>
        </w:tc>
        <w:tc>
          <w:tcPr>
            <w:tcW w:w="5331" w:type="dxa"/>
            <w:shd w:val="clear" w:color="auto" w:fill="auto"/>
          </w:tcPr>
          <w:p w14:paraId="6BCD6456" w14:textId="77777777" w:rsidR="00221C59" w:rsidRPr="006D5C4E" w:rsidRDefault="00221C59" w:rsidP="00221C59">
            <w:pPr>
              <w:jc w:val="both"/>
              <w:rPr>
                <w:b/>
                <w:bCs/>
                <w:sz w:val="22"/>
                <w:szCs w:val="22"/>
              </w:rPr>
            </w:pPr>
            <w:r w:rsidRPr="006D5C4E">
              <w:rPr>
                <w:b/>
                <w:bCs/>
                <w:sz w:val="22"/>
                <w:szCs w:val="22"/>
              </w:rPr>
              <w:t>5.5.1(a): Proportion of seats held by women in national parliaments:</w:t>
            </w:r>
          </w:p>
          <w:p w14:paraId="418F2D8E" w14:textId="77777777" w:rsidR="00221C59" w:rsidRDefault="00221C59" w:rsidP="00221C59">
            <w:pPr>
              <w:jc w:val="both"/>
              <w:rPr>
                <w:b/>
                <w:bCs/>
                <w:szCs w:val="20"/>
              </w:rPr>
            </w:pPr>
          </w:p>
          <w:p w14:paraId="2CD3733C" w14:textId="77777777" w:rsidR="00221C59" w:rsidRPr="006D5C4E" w:rsidRDefault="00221C59" w:rsidP="00221C59">
            <w:pPr>
              <w:jc w:val="both"/>
              <w:rPr>
                <w:b/>
                <w:bCs/>
                <w:szCs w:val="20"/>
              </w:rPr>
            </w:pPr>
            <w:r w:rsidRPr="006D5C4E">
              <w:rPr>
                <w:b/>
                <w:bCs/>
                <w:szCs w:val="20"/>
              </w:rPr>
              <w:t>Definition:</w:t>
            </w:r>
          </w:p>
          <w:p w14:paraId="46F885AF" w14:textId="77777777" w:rsidR="00221C59" w:rsidRDefault="00221C59" w:rsidP="00221C59">
            <w:pPr>
              <w:jc w:val="both"/>
              <w:rPr>
                <w:szCs w:val="20"/>
              </w:rPr>
            </w:pPr>
            <w:r w:rsidRPr="006D5C4E">
              <w:rPr>
                <w:szCs w:val="20"/>
              </w:rPr>
              <w:t>The proportion of seats held by women in (a) national parliaments, currently as at 1 February of reporting</w:t>
            </w:r>
            <w:r>
              <w:rPr>
                <w:szCs w:val="20"/>
              </w:rPr>
              <w:t xml:space="preserve"> </w:t>
            </w:r>
            <w:r w:rsidRPr="006D5C4E">
              <w:rPr>
                <w:szCs w:val="20"/>
              </w:rPr>
              <w:t>year, is currently measured as the number of seats held by women members in single or lower chambers</w:t>
            </w:r>
            <w:r>
              <w:rPr>
                <w:szCs w:val="20"/>
              </w:rPr>
              <w:t xml:space="preserve"> </w:t>
            </w:r>
            <w:r w:rsidRPr="006D5C4E">
              <w:rPr>
                <w:szCs w:val="20"/>
              </w:rPr>
              <w:t>of national parliaments, expressed as a percentage of all occupied seats.</w:t>
            </w:r>
          </w:p>
          <w:p w14:paraId="472D6FF4" w14:textId="77777777" w:rsidR="00221C59" w:rsidRPr="006D5C4E" w:rsidRDefault="00221C59" w:rsidP="00221C59">
            <w:pPr>
              <w:jc w:val="both"/>
              <w:rPr>
                <w:szCs w:val="20"/>
              </w:rPr>
            </w:pPr>
          </w:p>
          <w:p w14:paraId="352CB444" w14:textId="77777777" w:rsidR="00221C59" w:rsidRDefault="00221C59" w:rsidP="00221C59">
            <w:pPr>
              <w:jc w:val="both"/>
              <w:rPr>
                <w:szCs w:val="20"/>
              </w:rPr>
            </w:pPr>
            <w:r w:rsidRPr="006D5C4E">
              <w:rPr>
                <w:szCs w:val="20"/>
              </w:rPr>
              <w:t>National parliaments can be bicameral or unicameral. This indicator covers the single chamber in</w:t>
            </w:r>
            <w:r>
              <w:rPr>
                <w:szCs w:val="20"/>
              </w:rPr>
              <w:t xml:space="preserve"> </w:t>
            </w:r>
            <w:r w:rsidRPr="006D5C4E">
              <w:rPr>
                <w:szCs w:val="20"/>
              </w:rPr>
              <w:t>unicameral parliaments and the lower chamber in bicameral parliaments. It does not cover the upper</w:t>
            </w:r>
            <w:r>
              <w:rPr>
                <w:szCs w:val="20"/>
              </w:rPr>
              <w:t xml:space="preserve"> </w:t>
            </w:r>
            <w:r w:rsidRPr="006D5C4E">
              <w:rPr>
                <w:szCs w:val="20"/>
              </w:rPr>
              <w:t>chamber of bicameral parliaments. Seats are usually won by members in general parliamentary elections.</w:t>
            </w:r>
            <w:r>
              <w:rPr>
                <w:szCs w:val="20"/>
              </w:rPr>
              <w:t xml:space="preserve"> </w:t>
            </w:r>
            <w:r w:rsidRPr="006D5C4E">
              <w:rPr>
                <w:szCs w:val="20"/>
              </w:rPr>
              <w:t>Seats may also be filled by nomination, appointment, indirect election, rotation of members and byelection.</w:t>
            </w:r>
            <w:r>
              <w:rPr>
                <w:szCs w:val="20"/>
              </w:rPr>
              <w:t xml:space="preserve"> </w:t>
            </w:r>
          </w:p>
          <w:p w14:paraId="0F0C5944" w14:textId="77777777" w:rsidR="00221C59" w:rsidRDefault="00221C59" w:rsidP="00221C59">
            <w:pPr>
              <w:jc w:val="both"/>
              <w:rPr>
                <w:szCs w:val="20"/>
              </w:rPr>
            </w:pPr>
          </w:p>
          <w:p w14:paraId="67C940E5" w14:textId="77777777" w:rsidR="00221C59" w:rsidRDefault="00221C59" w:rsidP="00221C59">
            <w:pPr>
              <w:jc w:val="both"/>
              <w:rPr>
                <w:szCs w:val="20"/>
              </w:rPr>
            </w:pPr>
            <w:r w:rsidRPr="006D5C4E">
              <w:rPr>
                <w:szCs w:val="20"/>
              </w:rPr>
              <w:t>Seats refer to the number of parliamentary mandates, or the number of members of parliament.</w:t>
            </w:r>
          </w:p>
          <w:p w14:paraId="2ECB7E10" w14:textId="77777777" w:rsidR="00221C59" w:rsidRDefault="00221C59" w:rsidP="00221C59">
            <w:pPr>
              <w:jc w:val="both"/>
              <w:rPr>
                <w:b/>
                <w:bCs/>
                <w:szCs w:val="20"/>
              </w:rPr>
            </w:pPr>
          </w:p>
          <w:p w14:paraId="4FB002BB" w14:textId="77777777" w:rsidR="00221C59" w:rsidRPr="006D5C4E" w:rsidRDefault="00221C59" w:rsidP="00221C59">
            <w:pPr>
              <w:jc w:val="both"/>
              <w:rPr>
                <w:b/>
                <w:bCs/>
                <w:szCs w:val="20"/>
              </w:rPr>
            </w:pPr>
            <w:r w:rsidRPr="006D5C4E">
              <w:rPr>
                <w:b/>
                <w:bCs/>
                <w:szCs w:val="20"/>
              </w:rPr>
              <w:t>Concepts:</w:t>
            </w:r>
          </w:p>
          <w:p w14:paraId="2E658E63" w14:textId="77777777" w:rsidR="00221C59" w:rsidRDefault="00221C59" w:rsidP="00221C59">
            <w:pPr>
              <w:jc w:val="both"/>
              <w:rPr>
                <w:szCs w:val="20"/>
              </w:rPr>
            </w:pPr>
            <w:r w:rsidRPr="006D5C4E">
              <w:rPr>
                <w:szCs w:val="20"/>
              </w:rPr>
              <w:t>Seats refer to the number of parliamentary mandates, also known as the number of members of</w:t>
            </w:r>
            <w:r>
              <w:rPr>
                <w:szCs w:val="20"/>
              </w:rPr>
              <w:t xml:space="preserve"> </w:t>
            </w:r>
            <w:r w:rsidRPr="006D5C4E">
              <w:rPr>
                <w:szCs w:val="20"/>
              </w:rPr>
              <w:t>parliament. Seats are usually won by members in general parliamentary elections. Seats may also be</w:t>
            </w:r>
            <w:r>
              <w:rPr>
                <w:szCs w:val="20"/>
              </w:rPr>
              <w:t xml:space="preserve"> </w:t>
            </w:r>
            <w:r w:rsidRPr="006D5C4E">
              <w:rPr>
                <w:szCs w:val="20"/>
              </w:rPr>
              <w:t>filled by nomination, appointment, indirect election, rotation of members and by-election.</w:t>
            </w:r>
          </w:p>
          <w:p w14:paraId="09142643" w14:textId="77777777" w:rsidR="00221C59" w:rsidRDefault="00221C59" w:rsidP="00221C59">
            <w:pPr>
              <w:jc w:val="both"/>
              <w:rPr>
                <w:b/>
                <w:bCs/>
                <w:szCs w:val="20"/>
              </w:rPr>
            </w:pPr>
          </w:p>
          <w:p w14:paraId="650C97F4" w14:textId="77777777" w:rsidR="00221C59" w:rsidRPr="006D5C4E" w:rsidRDefault="00221C59" w:rsidP="00221C59">
            <w:pPr>
              <w:jc w:val="both"/>
              <w:rPr>
                <w:b/>
                <w:bCs/>
                <w:szCs w:val="20"/>
              </w:rPr>
            </w:pPr>
            <w:r w:rsidRPr="006D5C4E">
              <w:rPr>
                <w:b/>
                <w:bCs/>
                <w:szCs w:val="20"/>
              </w:rPr>
              <w:t>Computation Method:</w:t>
            </w:r>
          </w:p>
          <w:p w14:paraId="2F2E4DA6" w14:textId="77777777" w:rsidR="00221C59" w:rsidRDefault="00221C59" w:rsidP="00221C59">
            <w:pPr>
              <w:jc w:val="both"/>
              <w:rPr>
                <w:szCs w:val="20"/>
              </w:rPr>
            </w:pPr>
            <w:r w:rsidRPr="006D5C4E">
              <w:rPr>
                <w:szCs w:val="20"/>
              </w:rPr>
              <w:t>The proportion of seats held by women in national parliament is derived by dividing the total number of</w:t>
            </w:r>
            <w:r>
              <w:rPr>
                <w:szCs w:val="20"/>
              </w:rPr>
              <w:t xml:space="preserve"> </w:t>
            </w:r>
            <w:r w:rsidRPr="006D5C4E">
              <w:rPr>
                <w:szCs w:val="20"/>
              </w:rPr>
              <w:t>seats occupied by women by the total number of seats in parliament.</w:t>
            </w:r>
          </w:p>
          <w:p w14:paraId="1E65A343" w14:textId="77777777" w:rsidR="00221C59" w:rsidRPr="006D5C4E" w:rsidRDefault="00221C59" w:rsidP="00221C59">
            <w:pPr>
              <w:jc w:val="both"/>
              <w:rPr>
                <w:szCs w:val="20"/>
              </w:rPr>
            </w:pPr>
          </w:p>
          <w:p w14:paraId="3C34FF88" w14:textId="77777777" w:rsidR="00221C59" w:rsidRDefault="00221C59" w:rsidP="00221C59">
            <w:pPr>
              <w:jc w:val="both"/>
              <w:rPr>
                <w:szCs w:val="20"/>
              </w:rPr>
            </w:pPr>
            <w:r w:rsidRPr="006D5C4E">
              <w:rPr>
                <w:szCs w:val="20"/>
              </w:rPr>
              <w:t>There is no weighting or normalising of statistics.</w:t>
            </w:r>
          </w:p>
          <w:p w14:paraId="583BD51A" w14:textId="77777777" w:rsidR="00221C59" w:rsidRDefault="00221C59" w:rsidP="00221C59">
            <w:pPr>
              <w:jc w:val="both"/>
              <w:rPr>
                <w:b/>
                <w:bCs/>
                <w:szCs w:val="20"/>
              </w:rPr>
            </w:pPr>
          </w:p>
          <w:p w14:paraId="0A6B3857" w14:textId="77777777" w:rsidR="00221C59" w:rsidRDefault="00221C59" w:rsidP="00221C59">
            <w:pPr>
              <w:jc w:val="both"/>
              <w:rPr>
                <w:b/>
                <w:bCs/>
                <w:sz w:val="22"/>
                <w:szCs w:val="22"/>
              </w:rPr>
            </w:pPr>
            <w:r w:rsidRPr="006D5C4E">
              <w:rPr>
                <w:b/>
                <w:bCs/>
                <w:sz w:val="22"/>
                <w:szCs w:val="22"/>
              </w:rPr>
              <w:t>5.5.1(b): Proportion of seats held by women in local governments:</w:t>
            </w:r>
          </w:p>
          <w:p w14:paraId="4E5D18AD" w14:textId="77777777" w:rsidR="00221C59" w:rsidRDefault="00221C59" w:rsidP="00221C59">
            <w:pPr>
              <w:jc w:val="both"/>
              <w:rPr>
                <w:b/>
                <w:bCs/>
                <w:sz w:val="22"/>
                <w:szCs w:val="22"/>
              </w:rPr>
            </w:pPr>
          </w:p>
          <w:p w14:paraId="64889217" w14:textId="77777777" w:rsidR="00221C59" w:rsidRPr="006D5C4E" w:rsidRDefault="00221C59" w:rsidP="00221C59">
            <w:pPr>
              <w:jc w:val="both"/>
              <w:rPr>
                <w:b/>
                <w:bCs/>
                <w:szCs w:val="20"/>
              </w:rPr>
            </w:pPr>
            <w:r w:rsidRPr="006D5C4E">
              <w:rPr>
                <w:b/>
                <w:bCs/>
                <w:szCs w:val="20"/>
              </w:rPr>
              <w:t>Definition:</w:t>
            </w:r>
          </w:p>
          <w:p w14:paraId="6659761D" w14:textId="77777777" w:rsidR="00221C59" w:rsidRPr="006D5C4E" w:rsidRDefault="00221C59" w:rsidP="00221C59">
            <w:pPr>
              <w:jc w:val="both"/>
              <w:rPr>
                <w:szCs w:val="20"/>
              </w:rPr>
            </w:pPr>
            <w:r w:rsidRPr="006D5C4E">
              <w:rPr>
                <w:szCs w:val="20"/>
              </w:rPr>
              <w:t>Indicator 5.5.1</w:t>
            </w:r>
            <w:r>
              <w:rPr>
                <w:szCs w:val="20"/>
              </w:rPr>
              <w:t xml:space="preserve"> </w:t>
            </w:r>
            <w:r w:rsidRPr="006D5C4E">
              <w:rPr>
                <w:szCs w:val="20"/>
              </w:rPr>
              <w:t xml:space="preserve">(b) measures the proportion of positions held by women in local </w:t>
            </w:r>
            <w:r w:rsidRPr="006D5C4E">
              <w:rPr>
                <w:szCs w:val="20"/>
              </w:rPr>
              <w:lastRenderedPageBreak/>
              <w:t>government.</w:t>
            </w:r>
          </w:p>
          <w:p w14:paraId="111516BF" w14:textId="77777777" w:rsidR="00221C59" w:rsidRDefault="00221C59" w:rsidP="00221C59">
            <w:pPr>
              <w:jc w:val="both"/>
              <w:rPr>
                <w:szCs w:val="20"/>
              </w:rPr>
            </w:pPr>
            <w:r w:rsidRPr="006D5C4E">
              <w:rPr>
                <w:szCs w:val="20"/>
              </w:rPr>
              <w:t>It is expressed as a percentage of elected positions held by women in legislative/ deliberative bodies of local</w:t>
            </w:r>
            <w:r>
              <w:rPr>
                <w:szCs w:val="20"/>
              </w:rPr>
              <w:t xml:space="preserve"> </w:t>
            </w:r>
            <w:r w:rsidRPr="006D5C4E">
              <w:rPr>
                <w:szCs w:val="20"/>
              </w:rPr>
              <w:t xml:space="preserve">government. </w:t>
            </w:r>
          </w:p>
          <w:p w14:paraId="7116598D" w14:textId="77777777" w:rsidR="00221C59" w:rsidRDefault="00221C59" w:rsidP="00221C59">
            <w:pPr>
              <w:jc w:val="both"/>
              <w:rPr>
                <w:szCs w:val="20"/>
              </w:rPr>
            </w:pPr>
          </w:p>
          <w:p w14:paraId="017670F6" w14:textId="77777777" w:rsidR="00221C59" w:rsidRPr="006D5C4E" w:rsidRDefault="00221C59" w:rsidP="00221C59">
            <w:pPr>
              <w:jc w:val="both"/>
              <w:rPr>
                <w:b/>
                <w:bCs/>
                <w:szCs w:val="20"/>
              </w:rPr>
            </w:pPr>
            <w:r w:rsidRPr="006D5C4E">
              <w:rPr>
                <w:b/>
                <w:bCs/>
                <w:szCs w:val="20"/>
              </w:rPr>
              <w:t>Concepts:</w:t>
            </w:r>
          </w:p>
          <w:p w14:paraId="37D82EDC" w14:textId="77777777" w:rsidR="00221C59" w:rsidRDefault="00221C59" w:rsidP="00221C59">
            <w:pPr>
              <w:jc w:val="both"/>
              <w:rPr>
                <w:szCs w:val="20"/>
              </w:rPr>
            </w:pPr>
            <w:r w:rsidRPr="006D5C4E">
              <w:rPr>
                <w:szCs w:val="20"/>
              </w:rPr>
              <w:t>Local government is one of the sub-national spheres of government and a result of decentralization, a</w:t>
            </w:r>
            <w:r>
              <w:rPr>
                <w:szCs w:val="20"/>
              </w:rPr>
              <w:t xml:space="preserve"> </w:t>
            </w:r>
            <w:r w:rsidRPr="006D5C4E">
              <w:rPr>
                <w:szCs w:val="20"/>
              </w:rPr>
              <w:t>process of transferring political, fiscal, and administrative powers from the central government to subnational</w:t>
            </w:r>
            <w:r>
              <w:rPr>
                <w:szCs w:val="20"/>
              </w:rPr>
              <w:t xml:space="preserve"> </w:t>
            </w:r>
            <w:r w:rsidRPr="006D5C4E">
              <w:rPr>
                <w:szCs w:val="20"/>
              </w:rPr>
              <w:t>units of government distributed across the territory of a country to regulate and/or run certain</w:t>
            </w:r>
            <w:r>
              <w:rPr>
                <w:szCs w:val="20"/>
              </w:rPr>
              <w:t xml:space="preserve"> </w:t>
            </w:r>
            <w:r w:rsidRPr="006D5C4E">
              <w:rPr>
                <w:szCs w:val="20"/>
              </w:rPr>
              <w:t>government functions or public services on their own.</w:t>
            </w:r>
          </w:p>
          <w:p w14:paraId="7B8A8F2D" w14:textId="77777777" w:rsidR="00221C59" w:rsidRPr="006D5C4E" w:rsidRDefault="00221C59" w:rsidP="00221C59">
            <w:pPr>
              <w:jc w:val="both"/>
              <w:rPr>
                <w:szCs w:val="20"/>
              </w:rPr>
            </w:pPr>
          </w:p>
          <w:p w14:paraId="0DA3B42D" w14:textId="77777777" w:rsidR="00221C59" w:rsidRDefault="00221C59" w:rsidP="00221C59">
            <w:pPr>
              <w:jc w:val="both"/>
              <w:rPr>
                <w:szCs w:val="20"/>
              </w:rPr>
            </w:pPr>
            <w:r w:rsidRPr="006D5C4E">
              <w:rPr>
                <w:szCs w:val="20"/>
              </w:rPr>
              <w:t>The definition of local government follows the 2008 System of National Accounts (SNA) distinction between</w:t>
            </w:r>
            <w:r>
              <w:rPr>
                <w:szCs w:val="20"/>
              </w:rPr>
              <w:t xml:space="preserve"> </w:t>
            </w:r>
            <w:r w:rsidRPr="006D5C4E">
              <w:rPr>
                <w:szCs w:val="20"/>
              </w:rPr>
              <w:t>central, state, and local government (para 4.129). Local government consists of local government units,</w:t>
            </w:r>
            <w:r>
              <w:rPr>
                <w:szCs w:val="20"/>
              </w:rPr>
              <w:t xml:space="preserve"> </w:t>
            </w:r>
            <w:r w:rsidRPr="006D5C4E">
              <w:rPr>
                <w:szCs w:val="20"/>
              </w:rPr>
              <w:t>defined in the SNA as “institutional units whose fiscal, legislative and executive authority extends over the</w:t>
            </w:r>
            <w:r>
              <w:rPr>
                <w:szCs w:val="20"/>
              </w:rPr>
              <w:t xml:space="preserve"> </w:t>
            </w:r>
            <w:r w:rsidRPr="006D5C4E">
              <w:rPr>
                <w:szCs w:val="20"/>
              </w:rPr>
              <w:t>smallest geographical areas distinguished for administrative and political purposes” (para 4.145). What</w:t>
            </w:r>
            <w:r>
              <w:rPr>
                <w:szCs w:val="20"/>
              </w:rPr>
              <w:t xml:space="preserve"> </w:t>
            </w:r>
            <w:r w:rsidRPr="006D5C4E">
              <w:rPr>
                <w:szCs w:val="20"/>
              </w:rPr>
              <w:t>constitutes local government of a given country is defined by that country’s national legal framework,</w:t>
            </w:r>
            <w:r>
              <w:rPr>
                <w:szCs w:val="20"/>
              </w:rPr>
              <w:t xml:space="preserve"> </w:t>
            </w:r>
            <w:r w:rsidRPr="006D5C4E">
              <w:rPr>
                <w:szCs w:val="20"/>
              </w:rPr>
              <w:t>including national constitutions and local government acts or equivalent legislation.</w:t>
            </w:r>
          </w:p>
          <w:p w14:paraId="5C43DB84" w14:textId="77777777" w:rsidR="00221C59" w:rsidRDefault="00221C59" w:rsidP="00221C59">
            <w:pPr>
              <w:jc w:val="both"/>
              <w:rPr>
                <w:szCs w:val="20"/>
              </w:rPr>
            </w:pPr>
          </w:p>
          <w:p w14:paraId="3249477F" w14:textId="77777777" w:rsidR="00221C59" w:rsidRDefault="00221C59" w:rsidP="00221C59">
            <w:pPr>
              <w:jc w:val="both"/>
              <w:rPr>
                <w:szCs w:val="20"/>
              </w:rPr>
            </w:pPr>
            <w:r w:rsidRPr="006D5C4E">
              <w:rPr>
                <w:szCs w:val="20"/>
              </w:rPr>
              <w:t>Each local government unit typically includes a legislative/ deliberative body and an executive body.</w:t>
            </w:r>
            <w:r>
              <w:rPr>
                <w:szCs w:val="20"/>
              </w:rPr>
              <w:t xml:space="preserve"> </w:t>
            </w:r>
            <w:r w:rsidRPr="006D5C4E">
              <w:rPr>
                <w:szCs w:val="20"/>
              </w:rPr>
              <w:t>Legislative/ deliberative bodies, such as councils or assemblies, are formal entities with a prescribed number</w:t>
            </w:r>
            <w:r>
              <w:rPr>
                <w:szCs w:val="20"/>
              </w:rPr>
              <w:t xml:space="preserve"> </w:t>
            </w:r>
            <w:r w:rsidRPr="006D5C4E">
              <w:rPr>
                <w:szCs w:val="20"/>
              </w:rPr>
              <w:t>of members as per national or state legislation. They are usually elected by universal suffrage and have</w:t>
            </w:r>
            <w:r>
              <w:rPr>
                <w:szCs w:val="20"/>
              </w:rPr>
              <w:t xml:space="preserve"> </w:t>
            </w:r>
            <w:r w:rsidRPr="006D5C4E">
              <w:rPr>
                <w:szCs w:val="20"/>
              </w:rPr>
              <w:t>decision-making power, including the ability to issue by-laws, on a range of local aspects of public affairs.</w:t>
            </w:r>
          </w:p>
          <w:p w14:paraId="4048A63C" w14:textId="77777777" w:rsidR="00221C59" w:rsidRPr="006D5C4E" w:rsidRDefault="00221C59" w:rsidP="00221C59">
            <w:pPr>
              <w:jc w:val="both"/>
              <w:rPr>
                <w:szCs w:val="20"/>
              </w:rPr>
            </w:pPr>
          </w:p>
          <w:p w14:paraId="3E1E1022" w14:textId="77777777" w:rsidR="00221C59" w:rsidRDefault="00221C59" w:rsidP="00221C59">
            <w:pPr>
              <w:jc w:val="both"/>
              <w:rPr>
                <w:szCs w:val="20"/>
              </w:rPr>
            </w:pPr>
            <w:r w:rsidRPr="006D5C4E">
              <w:rPr>
                <w:szCs w:val="20"/>
              </w:rPr>
              <w:t>Executive bodies, consisting of an executive committee or a mayor, may be elected, appointed or nominated</w:t>
            </w:r>
            <w:r>
              <w:rPr>
                <w:szCs w:val="20"/>
              </w:rPr>
              <w:t xml:space="preserve"> </w:t>
            </w:r>
            <w:r w:rsidRPr="006D5C4E">
              <w:rPr>
                <w:szCs w:val="20"/>
              </w:rPr>
              <w:t>and they prepare and execute decisions made by the legislative/ deliberative body.</w:t>
            </w:r>
          </w:p>
          <w:p w14:paraId="225DB501" w14:textId="77777777" w:rsidR="00221C59" w:rsidRPr="006D5C4E" w:rsidRDefault="00221C59" w:rsidP="00221C59">
            <w:pPr>
              <w:jc w:val="both"/>
              <w:rPr>
                <w:szCs w:val="20"/>
              </w:rPr>
            </w:pPr>
          </w:p>
          <w:p w14:paraId="7FF5BA3B" w14:textId="77777777" w:rsidR="00221C59" w:rsidRDefault="00221C59" w:rsidP="00221C59">
            <w:pPr>
              <w:jc w:val="both"/>
              <w:rPr>
                <w:szCs w:val="20"/>
              </w:rPr>
            </w:pPr>
            <w:r w:rsidRPr="006D5C4E">
              <w:rPr>
                <w:szCs w:val="20"/>
              </w:rPr>
              <w:t>Elected positions are the most common manner of selection of local government members. They are selected</w:t>
            </w:r>
            <w:r>
              <w:rPr>
                <w:szCs w:val="20"/>
              </w:rPr>
              <w:t xml:space="preserve"> </w:t>
            </w:r>
            <w:r w:rsidRPr="006D5C4E">
              <w:rPr>
                <w:szCs w:val="20"/>
              </w:rPr>
              <w:t>in local elections, based on a system of choosing political office holders in which the voters cast ballots for</w:t>
            </w:r>
            <w:r>
              <w:rPr>
                <w:szCs w:val="20"/>
              </w:rPr>
              <w:t xml:space="preserve"> </w:t>
            </w:r>
            <w:r w:rsidRPr="006D5C4E">
              <w:rPr>
                <w:szCs w:val="20"/>
              </w:rPr>
              <w:t>the person, persons or political party that they desire to see elected. The category of elected positions</w:t>
            </w:r>
            <w:r>
              <w:rPr>
                <w:szCs w:val="20"/>
              </w:rPr>
              <w:t xml:space="preserve"> </w:t>
            </w:r>
            <w:r w:rsidRPr="006D5C4E">
              <w:rPr>
                <w:szCs w:val="20"/>
              </w:rPr>
              <w:t>includes both elected persons who competed on openly contested seats and persons selected during the</w:t>
            </w:r>
            <w:r>
              <w:rPr>
                <w:szCs w:val="20"/>
              </w:rPr>
              <w:t xml:space="preserve"> </w:t>
            </w:r>
            <w:r w:rsidRPr="006D5C4E">
              <w:rPr>
                <w:szCs w:val="20"/>
              </w:rPr>
              <w:t>electoral processes on reserved seats or through a candidate quota.</w:t>
            </w:r>
          </w:p>
          <w:p w14:paraId="10F66598" w14:textId="77777777" w:rsidR="00221C59" w:rsidRPr="006D5C4E" w:rsidRDefault="00221C59" w:rsidP="00221C59">
            <w:pPr>
              <w:jc w:val="both"/>
              <w:rPr>
                <w:szCs w:val="20"/>
              </w:rPr>
            </w:pPr>
          </w:p>
          <w:p w14:paraId="57A42AF2" w14:textId="77777777" w:rsidR="00221C59" w:rsidRDefault="00221C59" w:rsidP="00221C59">
            <w:pPr>
              <w:jc w:val="both"/>
              <w:rPr>
                <w:szCs w:val="20"/>
              </w:rPr>
            </w:pPr>
            <w:r w:rsidRPr="006D5C4E">
              <w:rPr>
                <w:szCs w:val="20"/>
              </w:rPr>
              <w:lastRenderedPageBreak/>
              <w:t>By comparison, members selected on appointed positions (the least common manner of selection of local</w:t>
            </w:r>
            <w:r>
              <w:rPr>
                <w:szCs w:val="20"/>
              </w:rPr>
              <w:t xml:space="preserve"> </w:t>
            </w:r>
            <w:r w:rsidRPr="006D5C4E">
              <w:rPr>
                <w:szCs w:val="20"/>
              </w:rPr>
              <w:t>government members) are nominated, typically by government officials from higher-ranking tiers of</w:t>
            </w:r>
            <w:r>
              <w:rPr>
                <w:szCs w:val="20"/>
              </w:rPr>
              <w:t xml:space="preserve"> </w:t>
            </w:r>
            <w:r w:rsidRPr="006D5C4E">
              <w:rPr>
                <w:szCs w:val="20"/>
              </w:rPr>
              <w:t>government. Appointed members of local government are more frequent among the leadership positions,</w:t>
            </w:r>
            <w:r>
              <w:rPr>
                <w:szCs w:val="20"/>
              </w:rPr>
              <w:t xml:space="preserve"> </w:t>
            </w:r>
            <w:r w:rsidRPr="006D5C4E">
              <w:rPr>
                <w:szCs w:val="20"/>
              </w:rPr>
              <w:t>such as the heads of the executive body, representatives of specific groups (e.g., women, disadvantaged</w:t>
            </w:r>
            <w:r>
              <w:rPr>
                <w:szCs w:val="20"/>
              </w:rPr>
              <w:t xml:space="preserve"> </w:t>
            </w:r>
            <w:r w:rsidRPr="006D5C4E">
              <w:rPr>
                <w:szCs w:val="20"/>
              </w:rPr>
              <w:t>groups, youth); and, temporary committees/delegations/caretakers appointed by government officials when</w:t>
            </w:r>
            <w:r>
              <w:rPr>
                <w:szCs w:val="20"/>
              </w:rPr>
              <w:t xml:space="preserve"> </w:t>
            </w:r>
            <w:r w:rsidRPr="006D5C4E">
              <w:rPr>
                <w:szCs w:val="20"/>
              </w:rPr>
              <w:t>a council has been dissolved</w:t>
            </w:r>
            <w:r>
              <w:rPr>
                <w:szCs w:val="20"/>
              </w:rPr>
              <w:t>.</w:t>
            </w:r>
          </w:p>
          <w:p w14:paraId="50105EA1" w14:textId="77777777" w:rsidR="00221C59" w:rsidRDefault="00221C59" w:rsidP="00221C59">
            <w:pPr>
              <w:jc w:val="both"/>
              <w:rPr>
                <w:szCs w:val="20"/>
              </w:rPr>
            </w:pPr>
          </w:p>
          <w:p w14:paraId="1F0B22BA" w14:textId="77777777" w:rsidR="00221C59" w:rsidRPr="006D5C4E" w:rsidRDefault="00221C59" w:rsidP="00221C59">
            <w:pPr>
              <w:jc w:val="both"/>
              <w:rPr>
                <w:b/>
                <w:bCs/>
                <w:szCs w:val="20"/>
              </w:rPr>
            </w:pPr>
            <w:r w:rsidRPr="006D5C4E">
              <w:rPr>
                <w:b/>
                <w:bCs/>
                <w:szCs w:val="20"/>
              </w:rPr>
              <w:t>Computation Method:</w:t>
            </w:r>
          </w:p>
          <w:p w14:paraId="0940040D" w14:textId="77777777" w:rsidR="00221C59" w:rsidRDefault="00221C59" w:rsidP="00221C59">
            <w:pPr>
              <w:jc w:val="both"/>
              <w:rPr>
                <w:szCs w:val="20"/>
              </w:rPr>
            </w:pPr>
            <w:r w:rsidRPr="006D5C4E">
              <w:rPr>
                <w:szCs w:val="20"/>
              </w:rPr>
              <w:t>The method of computation is as follows:</w:t>
            </w:r>
          </w:p>
          <w:p w14:paraId="77E82F53" w14:textId="77777777" w:rsidR="00221C59" w:rsidRDefault="00221C59" w:rsidP="00221C59">
            <w:pPr>
              <w:jc w:val="both"/>
              <w:rPr>
                <w:szCs w:val="20"/>
              </w:rPr>
            </w:pPr>
          </w:p>
          <w:p w14:paraId="216C83BB" w14:textId="77777777" w:rsidR="00221C59" w:rsidRPr="006D5C4E" w:rsidRDefault="00221C59" w:rsidP="00221C59">
            <w:pPr>
              <w:jc w:val="both"/>
              <w:rPr>
                <w:szCs w:val="20"/>
              </w:rPr>
            </w:pPr>
            <w:r>
              <w:rPr>
                <w:szCs w:val="20"/>
              </w:rPr>
              <w:t xml:space="preserve">Indicator </w:t>
            </w:r>
            <w:r w:rsidRPr="006D5C4E">
              <w:rPr>
                <w:szCs w:val="20"/>
              </w:rPr>
              <w:t>5.5.1</w:t>
            </w:r>
            <w:r>
              <w:rPr>
                <w:szCs w:val="20"/>
              </w:rPr>
              <w:t xml:space="preserve"> (b)= </w:t>
            </w:r>
            <m:oMath>
              <m:f>
                <m:fPr>
                  <m:ctrlPr>
                    <w:rPr>
                      <w:rFonts w:ascii="Cambria Math" w:hAnsi="Cambria Math"/>
                      <w:i/>
                      <w:szCs w:val="20"/>
                    </w:rPr>
                  </m:ctrlPr>
                </m:fPr>
                <m:num>
                  <m:r>
                    <w:rPr>
                      <w:rFonts w:ascii="Cambria Math" w:hAnsi="Cambria Math"/>
                      <w:szCs w:val="20"/>
                    </w:rPr>
                    <m:t>(Number of seats held by women) × 100</m:t>
                  </m:r>
                </m:num>
                <m:den>
                  <m:r>
                    <w:rPr>
                      <w:rFonts w:ascii="Cambria Math" w:hAnsi="Cambria Math"/>
                      <w:szCs w:val="20"/>
                    </w:rPr>
                    <m:t>Total number of seats held by women and me</m:t>
                  </m:r>
                </m:den>
              </m:f>
            </m:oMath>
          </w:p>
        </w:tc>
        <w:tc>
          <w:tcPr>
            <w:tcW w:w="967" w:type="dxa"/>
            <w:shd w:val="clear" w:color="auto" w:fill="auto"/>
          </w:tcPr>
          <w:p w14:paraId="5B066B15" w14:textId="77777777" w:rsidR="00221C59" w:rsidRPr="006D5C4E" w:rsidRDefault="00221C59" w:rsidP="00221C59">
            <w:pPr>
              <w:jc w:val="center"/>
              <w:rPr>
                <w:bCs/>
                <w:szCs w:val="20"/>
              </w:rPr>
            </w:pPr>
            <w:r w:rsidRPr="006D5C4E">
              <w:rPr>
                <w:bCs/>
                <w:szCs w:val="20"/>
              </w:rPr>
              <w:lastRenderedPageBreak/>
              <w:t>Administrative Record</w:t>
            </w:r>
          </w:p>
        </w:tc>
        <w:tc>
          <w:tcPr>
            <w:tcW w:w="1140" w:type="dxa"/>
            <w:shd w:val="clear" w:color="auto" w:fill="auto"/>
          </w:tcPr>
          <w:p w14:paraId="2046EFC7" w14:textId="77777777" w:rsidR="00221C59" w:rsidRPr="006D5C4E" w:rsidRDefault="00221C59" w:rsidP="00221C59">
            <w:pPr>
              <w:pStyle w:val="ListParagraph"/>
              <w:numPr>
                <w:ilvl w:val="0"/>
                <w:numId w:val="29"/>
              </w:numPr>
              <w:ind w:left="252" w:hanging="252"/>
              <w:jc w:val="both"/>
              <w:rPr>
                <w:rFonts w:ascii="Tw Cen MT Condensed" w:hAnsi="Tw Cen MT Condensed"/>
                <w:bCs/>
                <w:i/>
                <w:iCs/>
                <w:sz w:val="20"/>
                <w:szCs w:val="20"/>
              </w:rPr>
            </w:pPr>
            <w:r w:rsidRPr="006D5C4E">
              <w:rPr>
                <w:rFonts w:ascii="Tw Cen MT Condensed" w:hAnsi="Tw Cen MT Condensed"/>
                <w:bCs/>
                <w:i/>
                <w:iCs/>
                <w:sz w:val="20"/>
                <w:szCs w:val="20"/>
              </w:rPr>
              <w:t xml:space="preserve">Parliament: </w:t>
            </w:r>
          </w:p>
          <w:p w14:paraId="5C697564" w14:textId="77777777" w:rsidR="00221C59" w:rsidRDefault="00221C59" w:rsidP="00221C59">
            <w:pPr>
              <w:pStyle w:val="ListParagraph"/>
              <w:numPr>
                <w:ilvl w:val="0"/>
                <w:numId w:val="30"/>
              </w:numPr>
              <w:ind w:left="233" w:hanging="160"/>
              <w:jc w:val="both"/>
              <w:rPr>
                <w:rFonts w:ascii="Tw Cen MT Condensed" w:hAnsi="Tw Cen MT Condensed"/>
                <w:bCs/>
                <w:sz w:val="20"/>
                <w:szCs w:val="20"/>
              </w:rPr>
            </w:pPr>
            <w:r w:rsidRPr="006D5C4E">
              <w:rPr>
                <w:rFonts w:ascii="Tw Cen MT Condensed" w:hAnsi="Tw Cen MT Condensed"/>
                <w:bCs/>
                <w:sz w:val="20"/>
                <w:szCs w:val="20"/>
              </w:rPr>
              <w:t>Official statistics received from parliaments.</w:t>
            </w:r>
          </w:p>
          <w:p w14:paraId="54C95DD6" w14:textId="77777777" w:rsidR="00221C59" w:rsidRDefault="00221C59" w:rsidP="00221C59">
            <w:pPr>
              <w:pStyle w:val="ListParagraph"/>
              <w:numPr>
                <w:ilvl w:val="0"/>
                <w:numId w:val="30"/>
              </w:numPr>
              <w:ind w:left="233" w:hanging="135"/>
              <w:jc w:val="both"/>
              <w:rPr>
                <w:rFonts w:ascii="Tw Cen MT Condensed" w:hAnsi="Tw Cen MT Condensed"/>
                <w:bCs/>
                <w:sz w:val="20"/>
                <w:szCs w:val="20"/>
              </w:rPr>
            </w:pPr>
            <w:r w:rsidRPr="006D5C4E">
              <w:rPr>
                <w:rFonts w:ascii="Tw Cen MT Condensed" w:hAnsi="Tw Cen MT Condensed"/>
                <w:bCs/>
                <w:sz w:val="20"/>
                <w:szCs w:val="20"/>
              </w:rPr>
              <w:t>Electoral management body</w:t>
            </w:r>
          </w:p>
          <w:p w14:paraId="4C21B2C8" w14:textId="77777777" w:rsidR="00221C59" w:rsidRDefault="00221C59" w:rsidP="00221C59">
            <w:pPr>
              <w:pStyle w:val="ListParagraph"/>
              <w:numPr>
                <w:ilvl w:val="0"/>
                <w:numId w:val="30"/>
              </w:numPr>
              <w:ind w:left="233" w:hanging="135"/>
              <w:jc w:val="both"/>
              <w:rPr>
                <w:rFonts w:ascii="Tw Cen MT Condensed" w:hAnsi="Tw Cen MT Condensed"/>
                <w:bCs/>
                <w:sz w:val="20"/>
                <w:szCs w:val="20"/>
              </w:rPr>
            </w:pPr>
            <w:r w:rsidRPr="006D5C4E">
              <w:rPr>
                <w:rFonts w:ascii="Tw Cen MT Condensed" w:hAnsi="Tw Cen MT Condensed"/>
                <w:bCs/>
                <w:sz w:val="20"/>
                <w:szCs w:val="20"/>
              </w:rPr>
              <w:t xml:space="preserve">Parliamentary web sites </w:t>
            </w:r>
          </w:p>
          <w:p w14:paraId="43D48CE8" w14:textId="77777777" w:rsidR="00221C59" w:rsidRPr="006D5C4E" w:rsidRDefault="00221C59" w:rsidP="00221C59">
            <w:pPr>
              <w:pStyle w:val="ListParagraph"/>
              <w:numPr>
                <w:ilvl w:val="0"/>
                <w:numId w:val="30"/>
              </w:numPr>
              <w:ind w:left="233" w:hanging="135"/>
              <w:jc w:val="both"/>
              <w:rPr>
                <w:rFonts w:ascii="Tw Cen MT Condensed" w:hAnsi="Tw Cen MT Condensed"/>
                <w:bCs/>
                <w:sz w:val="20"/>
                <w:szCs w:val="20"/>
              </w:rPr>
            </w:pPr>
            <w:r w:rsidRPr="006D5C4E">
              <w:rPr>
                <w:rFonts w:ascii="Tw Cen MT Condensed" w:hAnsi="Tw Cen MT Condensed"/>
                <w:bCs/>
                <w:sz w:val="20"/>
                <w:szCs w:val="20"/>
              </w:rPr>
              <w:t>Internet searche</w:t>
            </w:r>
            <w:r>
              <w:rPr>
                <w:rFonts w:ascii="Tw Cen MT Condensed" w:hAnsi="Tw Cen MT Condensed"/>
                <w:bCs/>
                <w:sz w:val="20"/>
                <w:szCs w:val="20"/>
              </w:rPr>
              <w:t>s</w:t>
            </w:r>
          </w:p>
          <w:p w14:paraId="4C2E697C" w14:textId="77777777" w:rsidR="00221C59" w:rsidRPr="006D5C4E" w:rsidRDefault="00221C59" w:rsidP="00221C59">
            <w:pPr>
              <w:tabs>
                <w:tab w:val="left" w:pos="110"/>
              </w:tabs>
              <w:ind w:left="120" w:hanging="156"/>
              <w:rPr>
                <w:bCs/>
                <w:i/>
                <w:iCs/>
                <w:szCs w:val="20"/>
              </w:rPr>
            </w:pPr>
            <w:r w:rsidRPr="006D5C4E">
              <w:rPr>
                <w:bCs/>
                <w:i/>
                <w:iCs/>
                <w:szCs w:val="20"/>
              </w:rPr>
              <w:t>(b) Local Government:</w:t>
            </w:r>
          </w:p>
          <w:p w14:paraId="2B91A5A5" w14:textId="77777777" w:rsidR="00221C59" w:rsidRPr="006D5C4E" w:rsidRDefault="00221C59" w:rsidP="00221C59">
            <w:pPr>
              <w:pStyle w:val="ListParagraph"/>
              <w:numPr>
                <w:ilvl w:val="0"/>
                <w:numId w:val="32"/>
              </w:numPr>
              <w:ind w:left="233" w:hanging="180"/>
              <w:jc w:val="both"/>
              <w:rPr>
                <w:rFonts w:ascii="Tw Cen MT Condensed" w:hAnsi="Tw Cen MT Condensed"/>
                <w:bCs/>
                <w:sz w:val="20"/>
                <w:szCs w:val="20"/>
              </w:rPr>
            </w:pPr>
            <w:r w:rsidRPr="006D5C4E">
              <w:rPr>
                <w:rFonts w:ascii="Tw Cen MT Condensed" w:hAnsi="Tw Cen MT Condensed"/>
                <w:bCs/>
                <w:sz w:val="20"/>
                <w:szCs w:val="20"/>
              </w:rPr>
              <w:t>Electoral</w:t>
            </w:r>
            <w:r>
              <w:rPr>
                <w:rFonts w:ascii="Tw Cen MT Condensed" w:hAnsi="Tw Cen MT Condensed"/>
                <w:bCs/>
                <w:sz w:val="20"/>
                <w:szCs w:val="20"/>
              </w:rPr>
              <w:t xml:space="preserve"> </w:t>
            </w:r>
            <w:r w:rsidRPr="006D5C4E">
              <w:rPr>
                <w:rFonts w:ascii="Tw Cen MT Condensed" w:hAnsi="Tw Cen MT Condensed"/>
                <w:bCs/>
                <w:sz w:val="20"/>
                <w:szCs w:val="20"/>
              </w:rPr>
              <w:t>Management Bodies</w:t>
            </w:r>
          </w:p>
          <w:p w14:paraId="0D8C7E7D" w14:textId="77777777" w:rsidR="00221C59" w:rsidRPr="006D5C4E" w:rsidRDefault="00221C59" w:rsidP="00221C59">
            <w:pPr>
              <w:pStyle w:val="ListParagraph"/>
              <w:numPr>
                <w:ilvl w:val="0"/>
                <w:numId w:val="32"/>
              </w:numPr>
              <w:ind w:left="233" w:hanging="180"/>
              <w:jc w:val="both"/>
              <w:rPr>
                <w:rFonts w:ascii="Tw Cen MT Condensed" w:hAnsi="Tw Cen MT Condensed"/>
                <w:bCs/>
                <w:sz w:val="20"/>
                <w:szCs w:val="20"/>
              </w:rPr>
            </w:pPr>
            <w:r w:rsidRPr="006D5C4E">
              <w:rPr>
                <w:rFonts w:ascii="Tw Cen MT Condensed" w:hAnsi="Tw Cen MT Condensed"/>
                <w:bCs/>
                <w:sz w:val="20"/>
                <w:szCs w:val="20"/>
              </w:rPr>
              <w:t>National Statistical Offices</w:t>
            </w:r>
          </w:p>
        </w:tc>
        <w:tc>
          <w:tcPr>
            <w:tcW w:w="721" w:type="dxa"/>
            <w:shd w:val="clear" w:color="auto" w:fill="auto"/>
          </w:tcPr>
          <w:p w14:paraId="61DD4931" w14:textId="77777777" w:rsidR="00221C59" w:rsidRPr="006D5C4E" w:rsidRDefault="00221C59" w:rsidP="00221C59">
            <w:pPr>
              <w:rPr>
                <w:bCs/>
                <w:szCs w:val="20"/>
              </w:rPr>
            </w:pPr>
            <w:r w:rsidRPr="006D5C4E">
              <w:rPr>
                <w:bCs/>
                <w:szCs w:val="20"/>
              </w:rPr>
              <w:t>a) LPAD</w:t>
            </w:r>
          </w:p>
          <w:p w14:paraId="014DB718" w14:textId="77777777" w:rsidR="00221C59" w:rsidRPr="006D5C4E" w:rsidRDefault="00221C59" w:rsidP="00221C59">
            <w:pPr>
              <w:rPr>
                <w:bCs/>
                <w:szCs w:val="20"/>
              </w:rPr>
            </w:pPr>
            <w:r w:rsidRPr="006D5C4E">
              <w:rPr>
                <w:bCs/>
                <w:szCs w:val="20"/>
              </w:rPr>
              <w:t>b) LGD</w:t>
            </w:r>
          </w:p>
        </w:tc>
        <w:tc>
          <w:tcPr>
            <w:tcW w:w="1116" w:type="dxa"/>
            <w:shd w:val="clear" w:color="auto" w:fill="auto"/>
          </w:tcPr>
          <w:p w14:paraId="49B282FC" w14:textId="3CA384A4" w:rsidR="00221C59" w:rsidRDefault="00221C59" w:rsidP="00221C59">
            <w:pPr>
              <w:rPr>
                <w:bCs/>
                <w:szCs w:val="20"/>
              </w:rPr>
            </w:pPr>
            <w:r>
              <w:rPr>
                <w:bCs/>
                <w:szCs w:val="20"/>
              </w:rPr>
              <w:t>a</w:t>
            </w:r>
            <w:r w:rsidRPr="006D5C4E">
              <w:rPr>
                <w:bCs/>
                <w:szCs w:val="20"/>
              </w:rPr>
              <w:t>) LGD</w:t>
            </w:r>
          </w:p>
          <w:p w14:paraId="6057D985" w14:textId="77777777" w:rsidR="00221C59" w:rsidRDefault="00221C59" w:rsidP="00221C59">
            <w:pPr>
              <w:rPr>
                <w:color w:val="FF0000"/>
                <w:szCs w:val="20"/>
              </w:rPr>
            </w:pPr>
            <w:r>
              <w:rPr>
                <w:color w:val="FF0000"/>
                <w:szCs w:val="20"/>
              </w:rPr>
              <w:t>b</w:t>
            </w:r>
            <w:r w:rsidRPr="00EF75DF">
              <w:rPr>
                <w:color w:val="FF0000"/>
                <w:szCs w:val="20"/>
              </w:rPr>
              <w:t>. BPS</w:t>
            </w:r>
          </w:p>
          <w:p w14:paraId="2540AEEA" w14:textId="77777777" w:rsidR="00221C59" w:rsidRPr="006D5C4E" w:rsidRDefault="00221C59" w:rsidP="00221C59">
            <w:pPr>
              <w:rPr>
                <w:bCs/>
                <w:szCs w:val="20"/>
              </w:rPr>
            </w:pPr>
            <w:r>
              <w:rPr>
                <w:rFonts w:eastAsia="Times New Roman" w:cs="Times New Roman"/>
                <w:color w:val="000000" w:themeColor="text1"/>
                <w:szCs w:val="20"/>
              </w:rPr>
              <w:t>Administrative Data</w:t>
            </w:r>
          </w:p>
        </w:tc>
        <w:tc>
          <w:tcPr>
            <w:tcW w:w="1354" w:type="dxa"/>
            <w:shd w:val="clear" w:color="auto" w:fill="auto"/>
          </w:tcPr>
          <w:p w14:paraId="3D831A8E" w14:textId="77777777" w:rsidR="00221C59" w:rsidRDefault="00221C59" w:rsidP="00221C59">
            <w:pPr>
              <w:jc w:val="both"/>
              <w:rPr>
                <w:bCs/>
                <w:i/>
                <w:iCs/>
                <w:szCs w:val="20"/>
              </w:rPr>
            </w:pPr>
            <w:r>
              <w:rPr>
                <w:bCs/>
                <w:i/>
                <w:iCs/>
                <w:szCs w:val="20"/>
              </w:rPr>
              <w:t>(a)  Parliament:</w:t>
            </w:r>
          </w:p>
          <w:p w14:paraId="699E815D" w14:textId="77777777" w:rsidR="00221C59" w:rsidRPr="006D5C4E" w:rsidRDefault="00221C59" w:rsidP="00221C59">
            <w:pPr>
              <w:pStyle w:val="ListParagraph"/>
              <w:numPr>
                <w:ilvl w:val="0"/>
                <w:numId w:val="28"/>
              </w:numPr>
              <w:ind w:left="245" w:hanging="193"/>
              <w:jc w:val="both"/>
              <w:rPr>
                <w:rFonts w:ascii="Tw Cen MT Condensed" w:hAnsi="Tw Cen MT Condensed"/>
                <w:bCs/>
                <w:sz w:val="20"/>
                <w:szCs w:val="20"/>
              </w:rPr>
            </w:pPr>
            <w:r w:rsidRPr="006D5C4E">
              <w:rPr>
                <w:rFonts w:ascii="Tw Cen MT Condensed" w:hAnsi="Tw Cen MT Condensed"/>
                <w:bCs/>
                <w:sz w:val="20"/>
                <w:szCs w:val="20"/>
              </w:rPr>
              <w:t>Geographical region and sub-region, legislature type</w:t>
            </w:r>
          </w:p>
          <w:p w14:paraId="00D5CD71" w14:textId="77777777" w:rsidR="00221C59" w:rsidRPr="006D5C4E" w:rsidRDefault="00221C59" w:rsidP="00221C59">
            <w:pPr>
              <w:pStyle w:val="ListParagraph"/>
              <w:numPr>
                <w:ilvl w:val="0"/>
                <w:numId w:val="28"/>
              </w:numPr>
              <w:ind w:left="245" w:hanging="193"/>
              <w:jc w:val="both"/>
              <w:rPr>
                <w:rFonts w:ascii="Tw Cen MT Condensed" w:hAnsi="Tw Cen MT Condensed"/>
                <w:bCs/>
                <w:sz w:val="20"/>
                <w:szCs w:val="20"/>
              </w:rPr>
            </w:pPr>
            <w:r w:rsidRPr="006D5C4E">
              <w:rPr>
                <w:rFonts w:ascii="Tw Cen MT Condensed" w:hAnsi="Tw Cen MT Condensed"/>
                <w:bCs/>
                <w:sz w:val="20"/>
                <w:szCs w:val="20"/>
              </w:rPr>
              <w:t>(single or lower, parliamentary or presidential), the method of filling seats (directly elected, indirectly</w:t>
            </w:r>
          </w:p>
          <w:p w14:paraId="253716CF" w14:textId="77777777" w:rsidR="00221C59" w:rsidRPr="006D5C4E" w:rsidRDefault="00221C59" w:rsidP="00221C59">
            <w:pPr>
              <w:pStyle w:val="ListParagraph"/>
              <w:numPr>
                <w:ilvl w:val="0"/>
                <w:numId w:val="28"/>
              </w:numPr>
              <w:ind w:left="245" w:hanging="193"/>
              <w:jc w:val="both"/>
              <w:rPr>
                <w:rFonts w:ascii="Tw Cen MT Condensed" w:hAnsi="Tw Cen MT Condensed"/>
                <w:bCs/>
                <w:i/>
                <w:iCs/>
                <w:sz w:val="20"/>
                <w:szCs w:val="20"/>
              </w:rPr>
            </w:pPr>
            <w:r w:rsidRPr="006D5C4E">
              <w:rPr>
                <w:rFonts w:ascii="Tw Cen MT Condensed" w:hAnsi="Tw Cen MT Condensed"/>
                <w:bCs/>
                <w:sz w:val="20"/>
                <w:szCs w:val="20"/>
              </w:rPr>
              <w:t>Elected, appointed) and the use of special measures.</w:t>
            </w:r>
          </w:p>
          <w:p w14:paraId="4D72C3DD" w14:textId="77777777" w:rsidR="00221C59" w:rsidRDefault="00221C59" w:rsidP="00221C59">
            <w:pPr>
              <w:jc w:val="both"/>
              <w:rPr>
                <w:bCs/>
                <w:szCs w:val="20"/>
              </w:rPr>
            </w:pPr>
            <w:r>
              <w:rPr>
                <w:bCs/>
                <w:szCs w:val="20"/>
              </w:rPr>
              <w:t>(b) Local Government:</w:t>
            </w:r>
          </w:p>
          <w:p w14:paraId="46D0D142" w14:textId="2C18EDA1" w:rsidR="00221C59" w:rsidRPr="006D5C4E" w:rsidRDefault="00221C59" w:rsidP="00221C59">
            <w:pPr>
              <w:pStyle w:val="ListParagraph"/>
              <w:numPr>
                <w:ilvl w:val="0"/>
                <w:numId w:val="31"/>
              </w:numPr>
              <w:ind w:left="224" w:hanging="224"/>
              <w:jc w:val="both"/>
              <w:rPr>
                <w:rFonts w:ascii="Tw Cen MT Condensed" w:hAnsi="Tw Cen MT Condensed"/>
                <w:bCs/>
                <w:sz w:val="20"/>
                <w:szCs w:val="20"/>
              </w:rPr>
            </w:pPr>
          </w:p>
        </w:tc>
        <w:tc>
          <w:tcPr>
            <w:tcW w:w="801" w:type="dxa"/>
            <w:shd w:val="clear" w:color="auto" w:fill="auto"/>
          </w:tcPr>
          <w:p w14:paraId="53F8BC93" w14:textId="77777777" w:rsidR="00221C59" w:rsidRDefault="00221C59" w:rsidP="00221C59">
            <w:pPr>
              <w:jc w:val="center"/>
              <w:rPr>
                <w:bCs/>
                <w:szCs w:val="20"/>
              </w:rPr>
            </w:pPr>
            <w:r>
              <w:rPr>
                <w:bCs/>
                <w:szCs w:val="20"/>
              </w:rPr>
              <w:t>Annual</w:t>
            </w:r>
          </w:p>
        </w:tc>
        <w:tc>
          <w:tcPr>
            <w:tcW w:w="697" w:type="dxa"/>
            <w:shd w:val="clear" w:color="auto" w:fill="auto"/>
          </w:tcPr>
          <w:p w14:paraId="086726F3" w14:textId="77777777" w:rsidR="00221C59" w:rsidRDefault="00221C59" w:rsidP="00221C59">
            <w:pPr>
              <w:jc w:val="center"/>
              <w:rPr>
                <w:bCs/>
                <w:szCs w:val="20"/>
              </w:rPr>
            </w:pPr>
            <w:r>
              <w:rPr>
                <w:bCs/>
                <w:szCs w:val="20"/>
              </w:rPr>
              <w:t>Group 1</w:t>
            </w:r>
          </w:p>
        </w:tc>
        <w:tc>
          <w:tcPr>
            <w:tcW w:w="762" w:type="dxa"/>
            <w:shd w:val="clear" w:color="auto" w:fill="auto"/>
          </w:tcPr>
          <w:p w14:paraId="784E000E" w14:textId="77777777" w:rsidR="00221C59" w:rsidRDefault="00221C59" w:rsidP="00221C59">
            <w:pPr>
              <w:pStyle w:val="NoSpacing"/>
            </w:pPr>
            <w:r>
              <w:t>1</w:t>
            </w:r>
            <w:r w:rsidRPr="00013ACB">
              <w:rPr>
                <w:vertAlign w:val="superscript"/>
              </w:rPr>
              <w:t>st</w:t>
            </w:r>
            <w:r>
              <w:t xml:space="preserve"> Round: </w:t>
            </w:r>
          </w:p>
          <w:p w14:paraId="636519BC" w14:textId="77777777" w:rsidR="00221C59" w:rsidRDefault="00221C59" w:rsidP="00221C59">
            <w:pPr>
              <w:pStyle w:val="NoSpacing"/>
            </w:pPr>
            <w:r>
              <w:t>2016</w:t>
            </w:r>
          </w:p>
          <w:p w14:paraId="38993CDB" w14:textId="77777777" w:rsidR="00221C59" w:rsidRDefault="00221C59" w:rsidP="00221C59">
            <w:pPr>
              <w:pStyle w:val="NoSpacing"/>
            </w:pPr>
            <w:r>
              <w:t>2</w:t>
            </w:r>
            <w:r w:rsidRPr="00013ACB">
              <w:rPr>
                <w:vertAlign w:val="superscript"/>
              </w:rPr>
              <w:t>nd</w:t>
            </w:r>
            <w:r>
              <w:t xml:space="preserve"> Round: </w:t>
            </w:r>
          </w:p>
          <w:p w14:paraId="69C06530" w14:textId="77777777" w:rsidR="00221C59" w:rsidRDefault="00221C59" w:rsidP="00221C59">
            <w:pPr>
              <w:pStyle w:val="NoSpacing"/>
            </w:pPr>
            <w:r>
              <w:t>December, 2020</w:t>
            </w:r>
          </w:p>
          <w:p w14:paraId="14F6D528" w14:textId="77777777" w:rsidR="00221C59" w:rsidRDefault="00221C59" w:rsidP="00221C59">
            <w:pPr>
              <w:pStyle w:val="NoSpacing"/>
            </w:pPr>
            <w:r>
              <w:t>3</w:t>
            </w:r>
            <w:r w:rsidRPr="00013ACB">
              <w:rPr>
                <w:vertAlign w:val="superscript"/>
              </w:rPr>
              <w:t>rd</w:t>
            </w:r>
            <w:r>
              <w:t xml:space="preserve"> Round: </w:t>
            </w:r>
          </w:p>
          <w:p w14:paraId="5C5C1687" w14:textId="77777777" w:rsidR="00221C59" w:rsidRDefault="00221C59" w:rsidP="00221C59">
            <w:pPr>
              <w:pStyle w:val="NoSpacing"/>
            </w:pPr>
            <w:r>
              <w:t>December, 2021</w:t>
            </w:r>
          </w:p>
          <w:p w14:paraId="53D91F52" w14:textId="77777777" w:rsidR="00221C59" w:rsidRDefault="00221C59" w:rsidP="00221C59">
            <w:pPr>
              <w:pStyle w:val="NoSpacing"/>
            </w:pPr>
          </w:p>
          <w:p w14:paraId="4B93644E" w14:textId="77777777" w:rsidR="00221C59" w:rsidRDefault="00221C59" w:rsidP="00221C59">
            <w:pPr>
              <w:pStyle w:val="NoSpacing"/>
            </w:pPr>
            <w:r>
              <w:t>4</w:t>
            </w:r>
            <w:r w:rsidRPr="00013ACB">
              <w:rPr>
                <w:vertAlign w:val="superscript"/>
              </w:rPr>
              <w:t>th</w:t>
            </w:r>
            <w:r>
              <w:t xml:space="preserve"> Round: </w:t>
            </w:r>
          </w:p>
          <w:p w14:paraId="707BE42B" w14:textId="77777777" w:rsidR="00221C59" w:rsidRDefault="00221C59" w:rsidP="00221C59">
            <w:pPr>
              <w:pStyle w:val="NoSpacing"/>
            </w:pPr>
            <w:r>
              <w:t>December, 2022</w:t>
            </w:r>
          </w:p>
          <w:p w14:paraId="5BED2BAC" w14:textId="77777777" w:rsidR="00221C59" w:rsidRDefault="00221C59" w:rsidP="00221C59">
            <w:pPr>
              <w:pStyle w:val="NoSpacing"/>
            </w:pPr>
          </w:p>
          <w:p w14:paraId="34B14E9C" w14:textId="77777777" w:rsidR="00221C59" w:rsidRDefault="00221C59" w:rsidP="00221C59">
            <w:pPr>
              <w:pStyle w:val="NoSpacing"/>
            </w:pPr>
            <w:r>
              <w:t>5</w:t>
            </w:r>
            <w:r w:rsidRPr="00013ACB">
              <w:rPr>
                <w:vertAlign w:val="superscript"/>
              </w:rPr>
              <w:t>th</w:t>
            </w:r>
            <w:r>
              <w:t xml:space="preserve"> Round: </w:t>
            </w:r>
          </w:p>
          <w:p w14:paraId="11218A72" w14:textId="77777777" w:rsidR="00221C59" w:rsidRDefault="00221C59" w:rsidP="00221C59">
            <w:pPr>
              <w:pStyle w:val="NoSpacing"/>
            </w:pPr>
            <w:r>
              <w:t>December, 2023</w:t>
            </w:r>
          </w:p>
          <w:p w14:paraId="4EC8EDBD" w14:textId="77777777" w:rsidR="00221C59" w:rsidRDefault="00221C59" w:rsidP="00221C59">
            <w:pPr>
              <w:jc w:val="both"/>
              <w:rPr>
                <w:bCs/>
                <w:szCs w:val="20"/>
              </w:rPr>
            </w:pPr>
          </w:p>
        </w:tc>
        <w:tc>
          <w:tcPr>
            <w:tcW w:w="1188" w:type="dxa"/>
            <w:shd w:val="clear" w:color="auto" w:fill="auto"/>
          </w:tcPr>
          <w:p w14:paraId="0D553997" w14:textId="77777777" w:rsidR="00221C59" w:rsidRDefault="00221C59" w:rsidP="00221C59">
            <w:pPr>
              <w:pStyle w:val="NoSpacing"/>
              <w:rPr>
                <w:bCs/>
                <w:szCs w:val="20"/>
              </w:rPr>
            </w:pPr>
            <w:r>
              <w:t>According to Rules of</w:t>
            </w:r>
            <w:r>
              <w:br/>
              <w:t>Business and Allocation of</w:t>
            </w:r>
            <w:r>
              <w:br/>
              <w:t>Business, LPAD is not</w:t>
            </w:r>
            <w:r>
              <w:br/>
              <w:t>responsible to provide such</w:t>
            </w:r>
            <w:r>
              <w:br/>
              <w:t>data. Relevant Ministries /</w:t>
            </w:r>
            <w:r>
              <w:br/>
              <w:t>Divisions (Election</w:t>
            </w:r>
            <w:r>
              <w:br/>
              <w:t>Commission and Parliament</w:t>
            </w:r>
            <w:r>
              <w:br/>
              <w:t>Secretariat may provide</w:t>
            </w:r>
            <w:r>
              <w:br/>
              <w:t>such data)</w:t>
            </w:r>
          </w:p>
        </w:tc>
      </w:tr>
      <w:tr w:rsidR="00221C59" w14:paraId="3D6B43F8" w14:textId="77777777" w:rsidTr="0085651F">
        <w:tc>
          <w:tcPr>
            <w:tcW w:w="1179" w:type="dxa"/>
            <w:shd w:val="clear" w:color="auto" w:fill="auto"/>
          </w:tcPr>
          <w:p w14:paraId="1EDBD9C3" w14:textId="77777777" w:rsidR="00221C59" w:rsidRPr="006D5C4E" w:rsidRDefault="00221C59" w:rsidP="00221C59">
            <w:pPr>
              <w:jc w:val="both"/>
              <w:rPr>
                <w:szCs w:val="20"/>
              </w:rPr>
            </w:pPr>
            <w:r w:rsidRPr="006D5C4E">
              <w:rPr>
                <w:szCs w:val="20"/>
              </w:rPr>
              <w:lastRenderedPageBreak/>
              <w:t>5.5.2: Proportion of women in managerial positions</w:t>
            </w:r>
          </w:p>
        </w:tc>
        <w:tc>
          <w:tcPr>
            <w:tcW w:w="921" w:type="dxa"/>
            <w:gridSpan w:val="2"/>
            <w:shd w:val="clear" w:color="auto" w:fill="auto"/>
          </w:tcPr>
          <w:p w14:paraId="733DC6DC" w14:textId="77777777" w:rsidR="00221C59" w:rsidRPr="006D5C4E" w:rsidRDefault="00221C59" w:rsidP="00221C59">
            <w:pPr>
              <w:jc w:val="center"/>
              <w:rPr>
                <w:szCs w:val="20"/>
              </w:rPr>
            </w:pPr>
            <w:r>
              <w:rPr>
                <w:szCs w:val="20"/>
              </w:rPr>
              <w:t>ILO</w:t>
            </w:r>
          </w:p>
        </w:tc>
        <w:tc>
          <w:tcPr>
            <w:tcW w:w="985" w:type="dxa"/>
            <w:shd w:val="clear" w:color="auto" w:fill="auto"/>
          </w:tcPr>
          <w:p w14:paraId="2402C888" w14:textId="77777777" w:rsidR="00221C59" w:rsidRPr="006D5C4E" w:rsidRDefault="00221C59" w:rsidP="00221C59">
            <w:pPr>
              <w:jc w:val="center"/>
              <w:rPr>
                <w:szCs w:val="20"/>
              </w:rPr>
            </w:pPr>
            <w:r>
              <w:rPr>
                <w:szCs w:val="20"/>
              </w:rPr>
              <w:t>Tier I</w:t>
            </w:r>
          </w:p>
        </w:tc>
        <w:tc>
          <w:tcPr>
            <w:tcW w:w="5331" w:type="dxa"/>
            <w:shd w:val="clear" w:color="auto" w:fill="auto"/>
          </w:tcPr>
          <w:p w14:paraId="19D3BE62" w14:textId="77777777" w:rsidR="00221C59" w:rsidRPr="003B5919" w:rsidRDefault="00221C59" w:rsidP="00221C59">
            <w:pPr>
              <w:jc w:val="both"/>
              <w:rPr>
                <w:b/>
                <w:bCs/>
                <w:szCs w:val="20"/>
              </w:rPr>
            </w:pPr>
            <w:r w:rsidRPr="003B5919">
              <w:rPr>
                <w:b/>
                <w:bCs/>
                <w:szCs w:val="20"/>
              </w:rPr>
              <w:t>Definition:</w:t>
            </w:r>
          </w:p>
          <w:p w14:paraId="63A4FA21" w14:textId="77777777" w:rsidR="00221C59" w:rsidRPr="000C4849" w:rsidRDefault="00221C59" w:rsidP="00221C59">
            <w:pPr>
              <w:jc w:val="both"/>
              <w:rPr>
                <w:bCs/>
                <w:szCs w:val="20"/>
              </w:rPr>
            </w:pPr>
            <w:r w:rsidRPr="000C4849">
              <w:rPr>
                <w:bCs/>
                <w:szCs w:val="20"/>
              </w:rPr>
              <w:t>This indicator refers to the proportion of females in the total number of persons employed in managerial positions. It is recommended to use two different measures jointly for this indicator: the share of females in (total) management and the share of females in senior and middle management (thus excluding junior management). The joint calculation of these two measures provides information on whether women are more represented in junior management than in senior and middle management, thus pointing to an eventual ceiling for women to access higher-level management positions. In these cases, calculating only the share of women in (total) management would be misleading, in that it would suggest that women hold positions with more decision-making power and responsibilities than they actually do.</w:t>
            </w:r>
          </w:p>
          <w:p w14:paraId="4B1CC025" w14:textId="77777777" w:rsidR="00221C59" w:rsidRDefault="00221C59" w:rsidP="00221C59">
            <w:pPr>
              <w:jc w:val="both"/>
              <w:rPr>
                <w:b/>
                <w:bCs/>
                <w:szCs w:val="20"/>
              </w:rPr>
            </w:pPr>
          </w:p>
          <w:p w14:paraId="29042475" w14:textId="77777777" w:rsidR="00221C59" w:rsidRPr="003B5919" w:rsidRDefault="00221C59" w:rsidP="00221C59">
            <w:pPr>
              <w:jc w:val="both"/>
              <w:rPr>
                <w:b/>
                <w:bCs/>
                <w:szCs w:val="20"/>
              </w:rPr>
            </w:pPr>
            <w:r w:rsidRPr="003B5919">
              <w:rPr>
                <w:b/>
                <w:bCs/>
                <w:szCs w:val="20"/>
              </w:rPr>
              <w:t>Concepts:</w:t>
            </w:r>
          </w:p>
          <w:p w14:paraId="154D6D9C" w14:textId="77777777" w:rsidR="00221C59" w:rsidRPr="000C4849" w:rsidRDefault="00221C59" w:rsidP="00221C59">
            <w:pPr>
              <w:jc w:val="both"/>
              <w:rPr>
                <w:bCs/>
                <w:szCs w:val="20"/>
              </w:rPr>
            </w:pPr>
            <w:r w:rsidRPr="00835856">
              <w:rPr>
                <w:bCs/>
                <w:szCs w:val="20"/>
              </w:rPr>
              <w:t>-</w:t>
            </w:r>
            <w:r>
              <w:rPr>
                <w:bCs/>
                <w:szCs w:val="20"/>
              </w:rPr>
              <w:t xml:space="preserve"> </w:t>
            </w:r>
            <w:r w:rsidRPr="000C4849">
              <w:rPr>
                <w:bCs/>
                <w:szCs w:val="20"/>
              </w:rPr>
              <w:t>Employment comprises all persons of working age who, during a short reference period (one week), were engaged in any activity to produce goods or provide services for pay or profit.</w:t>
            </w:r>
          </w:p>
          <w:p w14:paraId="5672C3C6" w14:textId="77777777" w:rsidR="00221C59" w:rsidRPr="000C4849" w:rsidRDefault="00221C59" w:rsidP="00221C59">
            <w:pPr>
              <w:jc w:val="both"/>
              <w:rPr>
                <w:bCs/>
                <w:szCs w:val="20"/>
              </w:rPr>
            </w:pPr>
            <w:r w:rsidRPr="00835856">
              <w:rPr>
                <w:bCs/>
                <w:szCs w:val="20"/>
              </w:rPr>
              <w:t>-</w:t>
            </w:r>
            <w:r>
              <w:rPr>
                <w:bCs/>
                <w:szCs w:val="20"/>
              </w:rPr>
              <w:t xml:space="preserve"> </w:t>
            </w:r>
            <w:r w:rsidRPr="000C4849">
              <w:rPr>
                <w:bCs/>
                <w:szCs w:val="20"/>
              </w:rPr>
              <w:t>Employment in management is determined according to the categories of the latest version of the International Standard Classification of Occupations (ISCO-08), which organizes jobs into a clearly defined set of groups based on the tasks and duties undertaken in the job. For the purposes of this indicator, it is preferable to refer separately to senior and middle management only on one hand, and to total management (including junior management) on the other. The share of women tends to be higher in junior management than in senior and middle management, so limiting the indicator to a measure including junior management may introduce a bias. Senior and middle management correspond to sub-major groups 11, 12 and 13 in ISCO-08 and sub-</w:t>
            </w:r>
            <w:r w:rsidRPr="000C4849">
              <w:rPr>
                <w:bCs/>
                <w:szCs w:val="20"/>
              </w:rPr>
              <w:lastRenderedPageBreak/>
              <w:t>major groups 11 and 12 in ISCO-88. If statistics are not available disaggregated at the sub-major group level (two-digit level of ISCO), then major group 1 of ISCO-88 and ISCO-08 can be used as a proxy and the indicator would then refer only to total management (including junior management).</w:t>
            </w:r>
          </w:p>
          <w:p w14:paraId="0BCD756C" w14:textId="77777777" w:rsidR="00221C59" w:rsidRPr="003B5919" w:rsidRDefault="00221C59" w:rsidP="00221C59">
            <w:pPr>
              <w:jc w:val="both"/>
              <w:rPr>
                <w:b/>
                <w:bCs/>
                <w:szCs w:val="20"/>
              </w:rPr>
            </w:pPr>
            <w:r w:rsidRPr="003B5919">
              <w:rPr>
                <w:b/>
                <w:bCs/>
                <w:szCs w:val="20"/>
              </w:rPr>
              <w:t xml:space="preserve">Computation Method: </w:t>
            </w:r>
          </w:p>
          <w:p w14:paraId="641E78B0" w14:textId="77777777" w:rsidR="00221C59" w:rsidRPr="003B5919" w:rsidRDefault="00221C59" w:rsidP="00221C59">
            <w:pPr>
              <w:jc w:val="both"/>
              <w:rPr>
                <w:i/>
                <w:iCs/>
                <w:szCs w:val="20"/>
              </w:rPr>
            </w:pPr>
            <w:r w:rsidRPr="003B5919">
              <w:rPr>
                <w:i/>
                <w:iCs/>
                <w:szCs w:val="20"/>
              </w:rPr>
              <w:t>Using ISCO-08:</w:t>
            </w:r>
          </w:p>
          <w:p w14:paraId="0008EA95" w14:textId="77777777" w:rsidR="00221C59" w:rsidRPr="003B5919" w:rsidRDefault="00221C59" w:rsidP="00221C59">
            <w:pPr>
              <w:jc w:val="both"/>
              <w:rPr>
                <w:szCs w:val="20"/>
              </w:rPr>
            </w:pPr>
            <w:r w:rsidRPr="003B5919">
              <w:rPr>
                <w:szCs w:val="20"/>
              </w:rPr>
              <w:t>Proportion of women in senior and middle management</w:t>
            </w:r>
          </w:p>
          <w:p w14:paraId="711C0628" w14:textId="77777777" w:rsidR="00221C59" w:rsidRPr="003B5919" w:rsidRDefault="00221C59" w:rsidP="00221C59">
            <w:pPr>
              <w:jc w:val="both"/>
              <w:rPr>
                <w:rFonts w:eastAsiaTheme="minorEastAsia"/>
                <w:iCs/>
                <w:szCs w:val="20"/>
              </w:rPr>
            </w:pPr>
            <w:r w:rsidRPr="003B5919">
              <w:rPr>
                <w:szCs w:val="20"/>
              </w:rPr>
              <w:t>=</w:t>
            </w:r>
            <m:oMath>
              <m:f>
                <m:fPr>
                  <m:ctrlPr>
                    <w:rPr>
                      <w:rFonts w:ascii="Cambria Math" w:hAnsi="Cambria Math"/>
                      <w:iCs/>
                      <w:szCs w:val="20"/>
                    </w:rPr>
                  </m:ctrlPr>
                </m:fPr>
                <m:num>
                  <m:r>
                    <m:rPr>
                      <m:sty m:val="p"/>
                    </m:rPr>
                    <w:rPr>
                      <w:rFonts w:ascii="Cambria Math" w:hAnsi="Cambria Math"/>
                      <w:szCs w:val="20"/>
                    </w:rPr>
                    <m:t>(Women employed in ISCO 08 category 1 – Women employed in ISCO 08 category 14)</m:t>
                  </m:r>
                </m:num>
                <m:den>
                  <m:r>
                    <m:rPr>
                      <m:sty m:val="p"/>
                    </m:rPr>
                    <w:rPr>
                      <w:rFonts w:ascii="Cambria Math" w:hAnsi="Cambria Math"/>
                      <w:szCs w:val="20"/>
                    </w:rPr>
                    <m:t>(Persons employed in ISCO 08 category 1 - Persons employed in ISCO 08 category 14)</m:t>
                  </m:r>
                </m:den>
              </m:f>
            </m:oMath>
          </w:p>
          <w:p w14:paraId="5B2516EE" w14:textId="77777777" w:rsidR="00221C59" w:rsidRPr="003B5919" w:rsidRDefault="00221C59" w:rsidP="00221C59">
            <w:pPr>
              <w:jc w:val="right"/>
              <w:rPr>
                <w:rFonts w:eastAsiaTheme="minorEastAsia"/>
                <w:iCs/>
                <w:szCs w:val="20"/>
              </w:rPr>
            </w:pPr>
            <w:r w:rsidRPr="003B5919">
              <w:rPr>
                <w:rFonts w:eastAsiaTheme="minorEastAsia"/>
                <w:iCs/>
                <w:szCs w:val="20"/>
              </w:rPr>
              <w:t>×100</w:t>
            </w:r>
          </w:p>
          <w:p w14:paraId="38ED8D64" w14:textId="77777777" w:rsidR="00221C59" w:rsidRPr="003B5919" w:rsidRDefault="00221C59" w:rsidP="00221C59">
            <w:pPr>
              <w:jc w:val="both"/>
              <w:rPr>
                <w:szCs w:val="20"/>
              </w:rPr>
            </w:pPr>
            <w:r w:rsidRPr="003B5919">
              <w:rPr>
                <w:szCs w:val="20"/>
              </w:rPr>
              <w:t>And</w:t>
            </w:r>
          </w:p>
          <w:p w14:paraId="0C560282" w14:textId="77777777" w:rsidR="00221C59" w:rsidRPr="003B5919" w:rsidRDefault="00221C59" w:rsidP="00221C59">
            <w:pPr>
              <w:rPr>
                <w:szCs w:val="20"/>
              </w:rPr>
            </w:pPr>
            <w:r w:rsidRPr="003B5919">
              <w:rPr>
                <w:szCs w:val="20"/>
              </w:rPr>
              <w:t xml:space="preserve">Proportion of women in management </w:t>
            </w:r>
          </w:p>
          <w:p w14:paraId="5AAAEC26" w14:textId="77777777" w:rsidR="00221C59" w:rsidRPr="003B5919" w:rsidRDefault="00221C59" w:rsidP="00221C59">
            <w:pPr>
              <w:jc w:val="center"/>
              <w:rPr>
                <w:rFonts w:eastAsiaTheme="minorEastAsia"/>
                <w:iCs/>
                <w:szCs w:val="20"/>
              </w:rPr>
            </w:pPr>
            <w:r w:rsidRPr="003B5919">
              <w:rPr>
                <w:szCs w:val="20"/>
              </w:rPr>
              <w:t>=</w:t>
            </w:r>
            <m:oMath>
              <m:f>
                <m:fPr>
                  <m:ctrlPr>
                    <w:rPr>
                      <w:rFonts w:ascii="Cambria Math" w:hAnsi="Cambria Math"/>
                      <w:iCs/>
                      <w:szCs w:val="20"/>
                    </w:rPr>
                  </m:ctrlPr>
                </m:fPr>
                <m:num>
                  <m:r>
                    <m:rPr>
                      <m:sty m:val="p"/>
                    </m:rPr>
                    <w:rPr>
                      <w:rFonts w:ascii="Cambria Math" w:hAnsi="Cambria Math"/>
                      <w:szCs w:val="20"/>
                    </w:rPr>
                    <m:t>(Women employed in ISCO 08 category 1</m:t>
                  </m:r>
                </m:num>
                <m:den>
                  <m:r>
                    <m:rPr>
                      <m:sty m:val="p"/>
                    </m:rPr>
                    <w:rPr>
                      <w:rFonts w:ascii="Cambria Math" w:hAnsi="Cambria Math"/>
                      <w:szCs w:val="20"/>
                    </w:rPr>
                    <m:t xml:space="preserve">(Persons employed in ISCO 08 category 1 </m:t>
                  </m:r>
                </m:den>
              </m:f>
            </m:oMath>
            <w:r w:rsidRPr="003B5919">
              <w:rPr>
                <w:rFonts w:eastAsiaTheme="minorEastAsia"/>
                <w:iCs/>
                <w:szCs w:val="20"/>
              </w:rPr>
              <w:t>×100</w:t>
            </w:r>
          </w:p>
          <w:p w14:paraId="6A324D1C" w14:textId="77777777" w:rsidR="00221C59" w:rsidRPr="003B5919" w:rsidRDefault="00221C59" w:rsidP="00221C59">
            <w:pPr>
              <w:jc w:val="center"/>
              <w:rPr>
                <w:szCs w:val="20"/>
              </w:rPr>
            </w:pPr>
          </w:p>
          <w:p w14:paraId="26C52D2D" w14:textId="77777777" w:rsidR="00221C59" w:rsidRPr="003B5919" w:rsidRDefault="00221C59" w:rsidP="00221C59">
            <w:pPr>
              <w:jc w:val="both"/>
              <w:rPr>
                <w:i/>
                <w:iCs/>
                <w:szCs w:val="20"/>
              </w:rPr>
            </w:pPr>
            <w:r w:rsidRPr="003B5919">
              <w:rPr>
                <w:i/>
                <w:iCs/>
                <w:szCs w:val="20"/>
              </w:rPr>
              <w:t>Using ISCO-88:</w:t>
            </w:r>
          </w:p>
          <w:p w14:paraId="7562D071" w14:textId="77777777" w:rsidR="00221C59" w:rsidRPr="003B5919" w:rsidRDefault="00221C59" w:rsidP="00221C59">
            <w:pPr>
              <w:jc w:val="both"/>
              <w:rPr>
                <w:szCs w:val="20"/>
              </w:rPr>
            </w:pPr>
            <w:r w:rsidRPr="003B5919">
              <w:rPr>
                <w:szCs w:val="20"/>
              </w:rPr>
              <w:t>Proportion of women in senior and middle management</w:t>
            </w:r>
          </w:p>
          <w:p w14:paraId="6AE3689F" w14:textId="77777777" w:rsidR="00221C59" w:rsidRPr="003B5919" w:rsidRDefault="00221C59" w:rsidP="00221C59">
            <w:pPr>
              <w:jc w:val="both"/>
              <w:rPr>
                <w:rFonts w:eastAsiaTheme="minorEastAsia"/>
                <w:iCs/>
                <w:szCs w:val="20"/>
              </w:rPr>
            </w:pPr>
            <w:r w:rsidRPr="003B5919">
              <w:rPr>
                <w:szCs w:val="20"/>
              </w:rPr>
              <w:t>=</w:t>
            </w:r>
            <m:oMath>
              <m:f>
                <m:fPr>
                  <m:ctrlPr>
                    <w:rPr>
                      <w:rFonts w:ascii="Cambria Math" w:hAnsi="Cambria Math"/>
                      <w:iCs/>
                      <w:szCs w:val="20"/>
                    </w:rPr>
                  </m:ctrlPr>
                </m:fPr>
                <m:num>
                  <m:r>
                    <m:rPr>
                      <m:sty m:val="p"/>
                    </m:rPr>
                    <w:rPr>
                      <w:rFonts w:ascii="Cambria Math" w:hAnsi="Cambria Math"/>
                      <w:szCs w:val="20"/>
                    </w:rPr>
                    <m:t>(Women employed in ISCO 88 category 1 – Women employed in ISCO 08 category 13)</m:t>
                  </m:r>
                </m:num>
                <m:den>
                  <m:r>
                    <m:rPr>
                      <m:sty m:val="p"/>
                    </m:rPr>
                    <w:rPr>
                      <w:rFonts w:ascii="Cambria Math" w:hAnsi="Cambria Math"/>
                      <w:szCs w:val="20"/>
                    </w:rPr>
                    <m:t>(Persons employed in ISCO 88 category 1 - Persons employed in ISCO 08 category 13)</m:t>
                  </m:r>
                </m:den>
              </m:f>
            </m:oMath>
          </w:p>
          <w:p w14:paraId="3131996B" w14:textId="77777777" w:rsidR="00221C59" w:rsidRPr="003B5919" w:rsidRDefault="00221C59" w:rsidP="00221C59">
            <w:pPr>
              <w:jc w:val="right"/>
              <w:rPr>
                <w:rFonts w:eastAsiaTheme="minorEastAsia"/>
                <w:iCs/>
                <w:szCs w:val="20"/>
              </w:rPr>
            </w:pPr>
            <w:r w:rsidRPr="003B5919">
              <w:rPr>
                <w:rFonts w:eastAsiaTheme="minorEastAsia"/>
                <w:iCs/>
                <w:szCs w:val="20"/>
              </w:rPr>
              <w:t>×100</w:t>
            </w:r>
          </w:p>
          <w:p w14:paraId="56D768E0" w14:textId="77777777" w:rsidR="00221C59" w:rsidRPr="003B5919" w:rsidRDefault="00221C59" w:rsidP="00221C59">
            <w:pPr>
              <w:jc w:val="both"/>
              <w:rPr>
                <w:szCs w:val="20"/>
              </w:rPr>
            </w:pPr>
            <w:r w:rsidRPr="003B5919">
              <w:rPr>
                <w:szCs w:val="20"/>
              </w:rPr>
              <w:t>And</w:t>
            </w:r>
          </w:p>
          <w:p w14:paraId="20DF2C66" w14:textId="77777777" w:rsidR="00221C59" w:rsidRPr="003B5919" w:rsidRDefault="00221C59" w:rsidP="00221C59">
            <w:pPr>
              <w:rPr>
                <w:szCs w:val="20"/>
              </w:rPr>
            </w:pPr>
            <w:r w:rsidRPr="003B5919">
              <w:rPr>
                <w:szCs w:val="20"/>
              </w:rPr>
              <w:t xml:space="preserve">Proportion of women in management </w:t>
            </w:r>
          </w:p>
          <w:p w14:paraId="2CB7026C" w14:textId="77777777" w:rsidR="00221C59" w:rsidRPr="003B5919" w:rsidRDefault="00221C59" w:rsidP="00221C59">
            <w:pPr>
              <w:jc w:val="center"/>
              <w:rPr>
                <w:szCs w:val="20"/>
              </w:rPr>
            </w:pPr>
            <w:r w:rsidRPr="003B5919">
              <w:rPr>
                <w:szCs w:val="20"/>
              </w:rPr>
              <w:t>=</w:t>
            </w:r>
            <m:oMath>
              <m:f>
                <m:fPr>
                  <m:ctrlPr>
                    <w:rPr>
                      <w:rFonts w:ascii="Cambria Math" w:hAnsi="Cambria Math"/>
                      <w:iCs/>
                      <w:szCs w:val="20"/>
                    </w:rPr>
                  </m:ctrlPr>
                </m:fPr>
                <m:num>
                  <m:r>
                    <m:rPr>
                      <m:sty m:val="p"/>
                    </m:rPr>
                    <w:rPr>
                      <w:rFonts w:ascii="Cambria Math" w:hAnsi="Cambria Math"/>
                      <w:szCs w:val="20"/>
                    </w:rPr>
                    <m:t>(Women employed in ISCO 88 category 1</m:t>
                  </m:r>
                </m:num>
                <m:den>
                  <m:r>
                    <m:rPr>
                      <m:sty m:val="p"/>
                    </m:rPr>
                    <w:rPr>
                      <w:rFonts w:ascii="Cambria Math" w:hAnsi="Cambria Math"/>
                      <w:szCs w:val="20"/>
                    </w:rPr>
                    <m:t xml:space="preserve">(Persons employed in ISCO 88 category 1 </m:t>
                  </m:r>
                </m:den>
              </m:f>
            </m:oMath>
            <w:r w:rsidRPr="003B5919">
              <w:rPr>
                <w:rFonts w:eastAsiaTheme="minorEastAsia"/>
                <w:iCs/>
                <w:szCs w:val="20"/>
              </w:rPr>
              <w:t>×100</w:t>
            </w:r>
          </w:p>
        </w:tc>
        <w:tc>
          <w:tcPr>
            <w:tcW w:w="967" w:type="dxa"/>
            <w:shd w:val="clear" w:color="auto" w:fill="auto"/>
          </w:tcPr>
          <w:p w14:paraId="03E4BA03" w14:textId="77777777" w:rsidR="00221C59" w:rsidRDefault="00221C59" w:rsidP="00221C59">
            <w:pPr>
              <w:jc w:val="center"/>
              <w:rPr>
                <w:bCs/>
                <w:szCs w:val="20"/>
              </w:rPr>
            </w:pPr>
            <w:r w:rsidRPr="006D5C4E">
              <w:rPr>
                <w:bCs/>
                <w:szCs w:val="20"/>
              </w:rPr>
              <w:lastRenderedPageBreak/>
              <w:t xml:space="preserve">Labour force survey </w:t>
            </w:r>
          </w:p>
          <w:p w14:paraId="78C0B138" w14:textId="77777777" w:rsidR="00221C59" w:rsidRDefault="00221C59" w:rsidP="00221C59">
            <w:pPr>
              <w:jc w:val="center"/>
              <w:rPr>
                <w:bCs/>
                <w:szCs w:val="20"/>
              </w:rPr>
            </w:pPr>
            <w:r w:rsidRPr="006D5C4E">
              <w:rPr>
                <w:bCs/>
                <w:szCs w:val="20"/>
              </w:rPr>
              <w:t>or,</w:t>
            </w:r>
          </w:p>
          <w:p w14:paraId="135BB106" w14:textId="77777777" w:rsidR="00221C59" w:rsidRPr="006D5C4E" w:rsidRDefault="00221C59" w:rsidP="00221C59">
            <w:pPr>
              <w:jc w:val="center"/>
              <w:rPr>
                <w:bCs/>
                <w:szCs w:val="20"/>
              </w:rPr>
            </w:pPr>
            <w:r w:rsidRPr="006D5C4E">
              <w:rPr>
                <w:bCs/>
                <w:szCs w:val="20"/>
              </w:rPr>
              <w:t>if not available, other similar types</w:t>
            </w:r>
            <w:r>
              <w:rPr>
                <w:bCs/>
                <w:szCs w:val="20"/>
              </w:rPr>
              <w:t xml:space="preserve"> o</w:t>
            </w:r>
            <w:r w:rsidRPr="006D5C4E">
              <w:rPr>
                <w:bCs/>
                <w:szCs w:val="20"/>
              </w:rPr>
              <w:t>f household surveys, including a module on employment</w:t>
            </w:r>
          </w:p>
        </w:tc>
        <w:tc>
          <w:tcPr>
            <w:tcW w:w="1140" w:type="dxa"/>
            <w:shd w:val="clear" w:color="auto" w:fill="auto"/>
          </w:tcPr>
          <w:p w14:paraId="3FA2FA70" w14:textId="77777777" w:rsidR="00221C59" w:rsidRPr="006D5C4E" w:rsidRDefault="00221C59" w:rsidP="00221C59">
            <w:pPr>
              <w:jc w:val="center"/>
              <w:rPr>
                <w:bCs/>
                <w:szCs w:val="20"/>
              </w:rPr>
            </w:pPr>
            <w:r w:rsidRPr="006D5C4E">
              <w:rPr>
                <w:bCs/>
                <w:szCs w:val="20"/>
              </w:rPr>
              <w:t>National Statistical Office</w:t>
            </w:r>
          </w:p>
        </w:tc>
        <w:tc>
          <w:tcPr>
            <w:tcW w:w="721" w:type="dxa"/>
            <w:shd w:val="clear" w:color="auto" w:fill="auto"/>
          </w:tcPr>
          <w:p w14:paraId="6A6E6A8F" w14:textId="176B07DB" w:rsidR="00221C59" w:rsidRPr="006D5C4E" w:rsidRDefault="00221C59" w:rsidP="00221C59">
            <w:pPr>
              <w:jc w:val="center"/>
              <w:rPr>
                <w:bCs/>
                <w:szCs w:val="20"/>
              </w:rPr>
            </w:pPr>
            <w:r>
              <w:rPr>
                <w:bCs/>
                <w:szCs w:val="20"/>
              </w:rPr>
              <w:t>LFS, BBS</w:t>
            </w:r>
          </w:p>
        </w:tc>
        <w:tc>
          <w:tcPr>
            <w:tcW w:w="1116" w:type="dxa"/>
            <w:shd w:val="clear" w:color="auto" w:fill="auto"/>
          </w:tcPr>
          <w:p w14:paraId="28FAE1EB" w14:textId="77777777" w:rsidR="00221C59" w:rsidRPr="006D5C4E" w:rsidRDefault="00221C59" w:rsidP="00221C59">
            <w:pPr>
              <w:jc w:val="center"/>
              <w:rPr>
                <w:bCs/>
                <w:szCs w:val="20"/>
              </w:rPr>
            </w:pPr>
            <w:r>
              <w:rPr>
                <w:bCs/>
                <w:szCs w:val="20"/>
              </w:rPr>
              <w:t>QLFS, BBS</w:t>
            </w:r>
          </w:p>
        </w:tc>
        <w:tc>
          <w:tcPr>
            <w:tcW w:w="1354" w:type="dxa"/>
            <w:shd w:val="clear" w:color="auto" w:fill="auto"/>
          </w:tcPr>
          <w:p w14:paraId="34E7F18C" w14:textId="77777777" w:rsidR="00637E32" w:rsidRPr="00960E6B" w:rsidRDefault="00637E32" w:rsidP="00637E32">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Occupation</w:t>
            </w:r>
          </w:p>
          <w:p w14:paraId="3BB9B26A" w14:textId="412A63CC" w:rsidR="00221C59" w:rsidRDefault="00637E32" w:rsidP="00637E32">
            <w:pPr>
              <w:jc w:val="center"/>
              <w:rPr>
                <w:bCs/>
                <w:i/>
                <w:iCs/>
                <w:szCs w:val="20"/>
              </w:rPr>
            </w:pPr>
            <w:r w:rsidRPr="00960E6B">
              <w:t>Economic activity: ISIC</w:t>
            </w:r>
          </w:p>
        </w:tc>
        <w:tc>
          <w:tcPr>
            <w:tcW w:w="801" w:type="dxa"/>
            <w:shd w:val="clear" w:color="auto" w:fill="auto"/>
          </w:tcPr>
          <w:p w14:paraId="5DFE4F44" w14:textId="77777777" w:rsidR="00221C59" w:rsidRDefault="00221C59" w:rsidP="00221C59">
            <w:pPr>
              <w:pStyle w:val="NoSpacing"/>
              <w:rPr>
                <w:bCs/>
                <w:szCs w:val="20"/>
              </w:rPr>
            </w:pPr>
            <w:r>
              <w:t>Triennial</w:t>
            </w:r>
          </w:p>
        </w:tc>
        <w:tc>
          <w:tcPr>
            <w:tcW w:w="697" w:type="dxa"/>
            <w:shd w:val="clear" w:color="auto" w:fill="auto"/>
          </w:tcPr>
          <w:p w14:paraId="0033DDD7" w14:textId="77777777" w:rsidR="00221C59" w:rsidRDefault="00221C59" w:rsidP="00221C59">
            <w:pPr>
              <w:jc w:val="center"/>
              <w:rPr>
                <w:bCs/>
                <w:szCs w:val="20"/>
              </w:rPr>
            </w:pPr>
            <w:r>
              <w:rPr>
                <w:bCs/>
                <w:szCs w:val="20"/>
              </w:rPr>
              <w:t>Group 1</w:t>
            </w:r>
          </w:p>
        </w:tc>
        <w:tc>
          <w:tcPr>
            <w:tcW w:w="762" w:type="dxa"/>
            <w:shd w:val="clear" w:color="auto" w:fill="auto"/>
          </w:tcPr>
          <w:p w14:paraId="60D2376D" w14:textId="77777777" w:rsidR="00221C59" w:rsidRDefault="00221C59" w:rsidP="00221C59">
            <w:pPr>
              <w:pStyle w:val="NoSpacing"/>
            </w:pPr>
            <w:r>
              <w:t>1</w:t>
            </w:r>
            <w:r w:rsidRPr="00013ACB">
              <w:rPr>
                <w:vertAlign w:val="superscript"/>
              </w:rPr>
              <w:t>st</w:t>
            </w:r>
            <w:r>
              <w:t xml:space="preserve"> Round: </w:t>
            </w:r>
          </w:p>
          <w:p w14:paraId="7BA544E2" w14:textId="77777777" w:rsidR="00221C59" w:rsidRDefault="00221C59" w:rsidP="00221C59">
            <w:pPr>
              <w:pStyle w:val="NoSpacing"/>
            </w:pPr>
            <w:r>
              <w:t>2016</w:t>
            </w:r>
          </w:p>
          <w:p w14:paraId="0E509D19" w14:textId="77777777" w:rsidR="00221C59" w:rsidRDefault="00221C59" w:rsidP="00221C59">
            <w:pPr>
              <w:pStyle w:val="NoSpacing"/>
            </w:pPr>
            <w:r>
              <w:t>2</w:t>
            </w:r>
            <w:r w:rsidRPr="00013ACB">
              <w:rPr>
                <w:vertAlign w:val="superscript"/>
              </w:rPr>
              <w:t>nd</w:t>
            </w:r>
            <w:r>
              <w:t xml:space="preserve"> Round: </w:t>
            </w:r>
          </w:p>
          <w:p w14:paraId="45A77976" w14:textId="77777777" w:rsidR="00221C59" w:rsidRDefault="00221C59" w:rsidP="00221C59">
            <w:pPr>
              <w:pStyle w:val="NoSpacing"/>
            </w:pPr>
            <w:r>
              <w:t>December</w:t>
            </w:r>
            <w:r>
              <w:br/>
              <w:t>2019</w:t>
            </w:r>
          </w:p>
          <w:p w14:paraId="44EB723E" w14:textId="77777777" w:rsidR="00221C59" w:rsidRDefault="00221C59" w:rsidP="00221C59">
            <w:pPr>
              <w:pStyle w:val="NoSpacing"/>
            </w:pPr>
          </w:p>
          <w:p w14:paraId="178A8E37" w14:textId="77777777" w:rsidR="00221C59" w:rsidRDefault="00221C59" w:rsidP="00221C59">
            <w:pPr>
              <w:pStyle w:val="NoSpacing"/>
            </w:pPr>
            <w:r>
              <w:t>3</w:t>
            </w:r>
            <w:r w:rsidRPr="00013ACB">
              <w:rPr>
                <w:vertAlign w:val="superscript"/>
              </w:rPr>
              <w:t>rd</w:t>
            </w:r>
            <w:r>
              <w:t xml:space="preserve"> Round: </w:t>
            </w:r>
          </w:p>
          <w:p w14:paraId="397E97B7" w14:textId="77777777" w:rsidR="00221C59" w:rsidRDefault="00221C59" w:rsidP="00221C59">
            <w:pPr>
              <w:pStyle w:val="NoSpacing"/>
            </w:pPr>
            <w:r>
              <w:t>December</w:t>
            </w:r>
            <w:r>
              <w:br/>
              <w:t>2022</w:t>
            </w:r>
          </w:p>
          <w:p w14:paraId="488F291D" w14:textId="77777777" w:rsidR="00221C59" w:rsidRDefault="00221C59" w:rsidP="00221C59">
            <w:pPr>
              <w:pStyle w:val="NoSpacing"/>
            </w:pPr>
          </w:p>
          <w:p w14:paraId="37290B03" w14:textId="77777777" w:rsidR="00221C59" w:rsidRDefault="00221C59" w:rsidP="00221C59">
            <w:pPr>
              <w:pStyle w:val="NoSpacing"/>
            </w:pPr>
            <w:r>
              <w:t>4</w:t>
            </w:r>
            <w:r w:rsidRPr="00013ACB">
              <w:rPr>
                <w:vertAlign w:val="superscript"/>
              </w:rPr>
              <w:t>th</w:t>
            </w:r>
            <w:r>
              <w:t xml:space="preserve"> Round: </w:t>
            </w:r>
          </w:p>
          <w:p w14:paraId="3C9844E3" w14:textId="77777777" w:rsidR="00221C59" w:rsidRDefault="00221C59" w:rsidP="00221C59">
            <w:pPr>
              <w:pStyle w:val="NoSpacing"/>
            </w:pPr>
            <w:r>
              <w:t>December</w:t>
            </w:r>
            <w:r>
              <w:br/>
              <w:t>2025</w:t>
            </w:r>
          </w:p>
          <w:p w14:paraId="3897874A" w14:textId="77777777" w:rsidR="00221C59" w:rsidRDefault="00221C59" w:rsidP="00221C59">
            <w:pPr>
              <w:pStyle w:val="NoSpacing"/>
            </w:pPr>
          </w:p>
          <w:p w14:paraId="282DFF05" w14:textId="77777777" w:rsidR="00221C59" w:rsidRDefault="00221C59" w:rsidP="00221C59">
            <w:pPr>
              <w:pStyle w:val="NoSpacing"/>
            </w:pPr>
            <w:r>
              <w:t>5</w:t>
            </w:r>
            <w:r w:rsidRPr="00013ACB">
              <w:rPr>
                <w:vertAlign w:val="superscript"/>
              </w:rPr>
              <w:t>th</w:t>
            </w:r>
            <w:r>
              <w:t xml:space="preserve"> Round: </w:t>
            </w:r>
          </w:p>
          <w:p w14:paraId="079D3431" w14:textId="77777777" w:rsidR="00221C59" w:rsidRDefault="00221C59" w:rsidP="00221C59">
            <w:pPr>
              <w:pStyle w:val="NoSpacing"/>
            </w:pPr>
            <w:r>
              <w:t>December</w:t>
            </w:r>
            <w:r>
              <w:br/>
            </w:r>
            <w:r>
              <w:lastRenderedPageBreak/>
              <w:t>2028</w:t>
            </w:r>
          </w:p>
          <w:p w14:paraId="34E7F951" w14:textId="2F41521E" w:rsidR="00221C59" w:rsidRPr="005F4037" w:rsidRDefault="00221C59" w:rsidP="00221C59">
            <w:pPr>
              <w:pStyle w:val="NoSpacing"/>
            </w:pPr>
          </w:p>
        </w:tc>
        <w:tc>
          <w:tcPr>
            <w:tcW w:w="1188" w:type="dxa"/>
            <w:shd w:val="clear" w:color="auto" w:fill="auto"/>
          </w:tcPr>
          <w:p w14:paraId="42547723" w14:textId="77777777" w:rsidR="00221C59" w:rsidRDefault="00221C59" w:rsidP="00221C59">
            <w:pPr>
              <w:jc w:val="both"/>
              <w:rPr>
                <w:bCs/>
                <w:szCs w:val="20"/>
              </w:rPr>
            </w:pPr>
          </w:p>
        </w:tc>
      </w:tr>
      <w:tr w:rsidR="0085651F" w14:paraId="3A95A333" w14:textId="77777777" w:rsidTr="0085651F">
        <w:tc>
          <w:tcPr>
            <w:tcW w:w="17162" w:type="dxa"/>
            <w:gridSpan w:val="14"/>
            <w:shd w:val="clear" w:color="auto" w:fill="auto"/>
          </w:tcPr>
          <w:p w14:paraId="4F84F41C" w14:textId="77777777" w:rsidR="0085651F" w:rsidRPr="005B3572" w:rsidRDefault="0085651F" w:rsidP="00221C59">
            <w:pPr>
              <w:ind w:left="970" w:hanging="970"/>
              <w:jc w:val="both"/>
              <w:rPr>
                <w:color w:val="FF0000"/>
                <w:sz w:val="30"/>
                <w:szCs w:val="30"/>
              </w:rPr>
            </w:pPr>
            <w:r>
              <w:rPr>
                <w:color w:val="FF0000"/>
                <w:sz w:val="30"/>
                <w:szCs w:val="30"/>
              </w:rPr>
              <w:lastRenderedPageBreak/>
              <w:t xml:space="preserve">Target </w:t>
            </w:r>
            <w:r w:rsidRPr="005B3572">
              <w:rPr>
                <w:color w:val="FF0000"/>
                <w:sz w:val="30"/>
                <w:szCs w:val="30"/>
              </w:rPr>
              <w:t>5.6</w:t>
            </w:r>
            <w:r>
              <w:rPr>
                <w:color w:val="FF0000"/>
                <w:sz w:val="30"/>
                <w:szCs w:val="30"/>
              </w:rPr>
              <w:t>:</w:t>
            </w:r>
            <w:r w:rsidRPr="005B3572">
              <w:rPr>
                <w:color w:val="FF0000"/>
                <w:sz w:val="30"/>
                <w:szCs w:val="30"/>
              </w:rPr>
              <w:t xml:space="preserve"> 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r>
      <w:tr w:rsidR="00221C59" w14:paraId="4931045E" w14:textId="77777777" w:rsidTr="0085651F">
        <w:tc>
          <w:tcPr>
            <w:tcW w:w="1179" w:type="dxa"/>
            <w:shd w:val="clear" w:color="auto" w:fill="auto"/>
          </w:tcPr>
          <w:p w14:paraId="19A2AAE1" w14:textId="77777777" w:rsidR="00221C59" w:rsidRPr="006D5C4E" w:rsidRDefault="00221C59" w:rsidP="00221C59">
            <w:pPr>
              <w:jc w:val="both"/>
              <w:rPr>
                <w:szCs w:val="20"/>
              </w:rPr>
            </w:pPr>
            <w:r w:rsidRPr="006D5C4E">
              <w:rPr>
                <w:szCs w:val="20"/>
              </w:rPr>
              <w:t>5.6.1: Proportion of women aged 15-49 years who make their own informed</w:t>
            </w:r>
            <w:r>
              <w:rPr>
                <w:szCs w:val="20"/>
              </w:rPr>
              <w:t xml:space="preserve"> </w:t>
            </w:r>
            <w:r w:rsidRPr="006D5C4E">
              <w:rPr>
                <w:szCs w:val="20"/>
              </w:rPr>
              <w:t>decisions</w:t>
            </w:r>
            <w:r>
              <w:rPr>
                <w:szCs w:val="20"/>
              </w:rPr>
              <w:t xml:space="preserve"> </w:t>
            </w:r>
            <w:r w:rsidRPr="006D5C4E">
              <w:rPr>
                <w:szCs w:val="20"/>
              </w:rPr>
              <w:t xml:space="preserve">regarding sexual </w:t>
            </w:r>
            <w:r w:rsidRPr="006D5C4E">
              <w:rPr>
                <w:szCs w:val="20"/>
              </w:rPr>
              <w:lastRenderedPageBreak/>
              <w:t>relations,</w:t>
            </w:r>
            <w:r>
              <w:rPr>
                <w:szCs w:val="20"/>
              </w:rPr>
              <w:t xml:space="preserve"> contraceptive</w:t>
            </w:r>
            <w:r w:rsidRPr="006D5C4E">
              <w:rPr>
                <w:szCs w:val="20"/>
              </w:rPr>
              <w:t xml:space="preserve"> use and reproductive health care</w:t>
            </w:r>
          </w:p>
        </w:tc>
        <w:tc>
          <w:tcPr>
            <w:tcW w:w="921" w:type="dxa"/>
            <w:gridSpan w:val="2"/>
            <w:shd w:val="clear" w:color="auto" w:fill="auto"/>
          </w:tcPr>
          <w:p w14:paraId="10823AEE" w14:textId="77777777" w:rsidR="00221C59" w:rsidRDefault="00221C59" w:rsidP="00221C59">
            <w:pPr>
              <w:jc w:val="center"/>
              <w:rPr>
                <w:szCs w:val="20"/>
              </w:rPr>
            </w:pPr>
            <w:r>
              <w:rPr>
                <w:szCs w:val="20"/>
              </w:rPr>
              <w:lastRenderedPageBreak/>
              <w:t>UNFPA</w:t>
            </w:r>
          </w:p>
          <w:p w14:paraId="6F1B70FC" w14:textId="77777777" w:rsidR="00221C59" w:rsidRDefault="00221C59" w:rsidP="00221C59">
            <w:pPr>
              <w:jc w:val="center"/>
              <w:rPr>
                <w:szCs w:val="20"/>
              </w:rPr>
            </w:pPr>
          </w:p>
          <w:p w14:paraId="0ACA5A0D" w14:textId="77777777" w:rsidR="00221C59" w:rsidRDefault="00221C59" w:rsidP="00221C59">
            <w:pPr>
              <w:jc w:val="center"/>
              <w:rPr>
                <w:szCs w:val="20"/>
              </w:rPr>
            </w:pPr>
            <w:r>
              <w:rPr>
                <w:szCs w:val="20"/>
              </w:rPr>
              <w:t>Partner Agency:</w:t>
            </w:r>
          </w:p>
          <w:p w14:paraId="0FED6AC9" w14:textId="77777777" w:rsidR="00221C59" w:rsidRDefault="00221C59" w:rsidP="00221C59">
            <w:pPr>
              <w:jc w:val="center"/>
              <w:rPr>
                <w:szCs w:val="20"/>
              </w:rPr>
            </w:pPr>
            <w:r>
              <w:rPr>
                <w:szCs w:val="20"/>
              </w:rPr>
              <w:t>UN Women</w:t>
            </w:r>
          </w:p>
        </w:tc>
        <w:tc>
          <w:tcPr>
            <w:tcW w:w="985" w:type="dxa"/>
            <w:shd w:val="clear" w:color="auto" w:fill="auto"/>
          </w:tcPr>
          <w:p w14:paraId="22264E21" w14:textId="77777777" w:rsidR="00221C59" w:rsidRDefault="00221C59" w:rsidP="00221C59">
            <w:pPr>
              <w:jc w:val="center"/>
              <w:rPr>
                <w:szCs w:val="20"/>
              </w:rPr>
            </w:pPr>
            <w:r>
              <w:rPr>
                <w:szCs w:val="20"/>
              </w:rPr>
              <w:t>Tier II</w:t>
            </w:r>
          </w:p>
        </w:tc>
        <w:tc>
          <w:tcPr>
            <w:tcW w:w="5331" w:type="dxa"/>
            <w:shd w:val="clear" w:color="auto" w:fill="auto"/>
          </w:tcPr>
          <w:p w14:paraId="329008CD" w14:textId="77777777" w:rsidR="00221C59" w:rsidRPr="003B5919" w:rsidRDefault="00221C59" w:rsidP="00221C59">
            <w:pPr>
              <w:jc w:val="both"/>
              <w:rPr>
                <w:b/>
                <w:bCs/>
                <w:szCs w:val="20"/>
              </w:rPr>
            </w:pPr>
            <w:r w:rsidRPr="003B5919">
              <w:rPr>
                <w:b/>
                <w:bCs/>
                <w:szCs w:val="20"/>
              </w:rPr>
              <w:t>Definition:</w:t>
            </w:r>
          </w:p>
          <w:p w14:paraId="5AAE7EE2" w14:textId="77777777" w:rsidR="00221C59" w:rsidRPr="003B5919" w:rsidRDefault="00221C59" w:rsidP="00221C59">
            <w:pPr>
              <w:jc w:val="both"/>
              <w:rPr>
                <w:szCs w:val="20"/>
              </w:rPr>
            </w:pPr>
            <w:r w:rsidRPr="003B5919">
              <w:rPr>
                <w:szCs w:val="20"/>
              </w:rPr>
              <w:t>Proportion of women aged 15-49 years (married or in union) who make their own decision on all three selected areas i.e. can say no to sexual intercourse with their husband or partner if they do not want; decide on use of contraception; and decide on their own health care. Only women who provide a “yes” answer to all three components are considered as women who “make her own decisions regarding sexual and reproductive”.</w:t>
            </w:r>
          </w:p>
          <w:p w14:paraId="734678D8" w14:textId="77777777" w:rsidR="00221C59" w:rsidRPr="003B5919" w:rsidRDefault="00221C59" w:rsidP="00221C59">
            <w:pPr>
              <w:jc w:val="both"/>
              <w:rPr>
                <w:szCs w:val="20"/>
              </w:rPr>
            </w:pPr>
          </w:p>
          <w:p w14:paraId="7196E104" w14:textId="77777777" w:rsidR="00221C59" w:rsidRPr="003B5919" w:rsidRDefault="00221C59" w:rsidP="00221C59">
            <w:pPr>
              <w:jc w:val="both"/>
              <w:rPr>
                <w:szCs w:val="20"/>
              </w:rPr>
            </w:pPr>
            <w:r w:rsidRPr="003B5919">
              <w:rPr>
                <w:szCs w:val="20"/>
              </w:rPr>
              <w:t xml:space="preserve">Whilst the aspiration of the indicator is to measure, among the three components, </w:t>
            </w:r>
            <w:r w:rsidRPr="003B5919">
              <w:rPr>
                <w:szCs w:val="20"/>
              </w:rPr>
              <w:lastRenderedPageBreak/>
              <w:t>women’s decision– making on reproductive health care, current data provides information on women’s decision- making on health care in general. Expert group consultations recommended a specific, scenario-based question that speaks directly to decision-making about reproductive health care as follows:</w:t>
            </w:r>
          </w:p>
          <w:p w14:paraId="44433BAE" w14:textId="77777777" w:rsidR="00221C59" w:rsidRPr="003B5919" w:rsidRDefault="00221C59" w:rsidP="00221C59">
            <w:pPr>
              <w:jc w:val="both"/>
              <w:rPr>
                <w:szCs w:val="20"/>
              </w:rPr>
            </w:pPr>
          </w:p>
          <w:p w14:paraId="62556B55" w14:textId="77777777" w:rsidR="00221C59" w:rsidRPr="003B5919" w:rsidRDefault="00221C59" w:rsidP="00221C59">
            <w:pPr>
              <w:jc w:val="both"/>
              <w:rPr>
                <w:i/>
                <w:iCs/>
                <w:szCs w:val="20"/>
              </w:rPr>
            </w:pPr>
            <w:r w:rsidRPr="003B5919">
              <w:rPr>
                <w:i/>
                <w:iCs/>
                <w:szCs w:val="20"/>
              </w:rPr>
              <w:t>“Who takes the decision on when you can go to seek reproductive health care, for example, if you experience a painful or burning sensation when urinating?”</w:t>
            </w:r>
          </w:p>
          <w:p w14:paraId="02039604" w14:textId="77777777" w:rsidR="00221C59" w:rsidRPr="003B5919" w:rsidRDefault="00221C59" w:rsidP="00221C59">
            <w:pPr>
              <w:pStyle w:val="ListParagraph"/>
              <w:numPr>
                <w:ilvl w:val="0"/>
                <w:numId w:val="33"/>
              </w:numPr>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Mainly respondent</w:t>
            </w:r>
          </w:p>
          <w:p w14:paraId="5E9ECDC6" w14:textId="77777777" w:rsidR="00221C59" w:rsidRPr="003B5919" w:rsidRDefault="00221C59" w:rsidP="00221C59">
            <w:pPr>
              <w:pStyle w:val="ListParagraph"/>
              <w:numPr>
                <w:ilvl w:val="0"/>
                <w:numId w:val="33"/>
              </w:numPr>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Mainly husband/ partner</w:t>
            </w:r>
          </w:p>
          <w:p w14:paraId="0D491939" w14:textId="77777777" w:rsidR="00221C59" w:rsidRPr="003B5919" w:rsidRDefault="00221C59" w:rsidP="00221C59">
            <w:pPr>
              <w:pStyle w:val="ListParagraph"/>
              <w:numPr>
                <w:ilvl w:val="0"/>
                <w:numId w:val="33"/>
              </w:numPr>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Joint decision</w:t>
            </w:r>
          </w:p>
          <w:p w14:paraId="48596697" w14:textId="77777777" w:rsidR="00221C59" w:rsidRPr="003B5919" w:rsidRDefault="00221C59" w:rsidP="00221C59">
            <w:pPr>
              <w:pStyle w:val="ListParagraph"/>
              <w:numPr>
                <w:ilvl w:val="0"/>
                <w:numId w:val="33"/>
              </w:numPr>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Other (specify)………………</w:t>
            </w:r>
          </w:p>
          <w:p w14:paraId="28C18241" w14:textId="77777777" w:rsidR="00221C59" w:rsidRPr="003B5919" w:rsidRDefault="00221C59" w:rsidP="00221C59">
            <w:pPr>
              <w:jc w:val="both"/>
              <w:rPr>
                <w:szCs w:val="20"/>
              </w:rPr>
            </w:pPr>
          </w:p>
          <w:p w14:paraId="22AEB176" w14:textId="77777777" w:rsidR="00221C59" w:rsidRPr="003B5919" w:rsidRDefault="00221C59" w:rsidP="00221C59">
            <w:pPr>
              <w:jc w:val="both"/>
              <w:rPr>
                <w:szCs w:val="20"/>
              </w:rPr>
            </w:pPr>
            <w:r w:rsidRPr="003B5919">
              <w:rPr>
                <w:szCs w:val="20"/>
              </w:rPr>
              <w:t>Efforts are under way to pilot and refine the question for inclusion in future national surveys including in DHS and MICS. Whilst the process to collect data on women’s decision on reproductive health care are under way, data on Indicator 5.6.1 will be based on available information on women’s decision-making on “health care”.</w:t>
            </w:r>
          </w:p>
          <w:p w14:paraId="22DAB809" w14:textId="77777777" w:rsidR="00221C59" w:rsidRPr="003B5919" w:rsidRDefault="00221C59" w:rsidP="00221C59">
            <w:pPr>
              <w:jc w:val="both"/>
              <w:rPr>
                <w:szCs w:val="20"/>
              </w:rPr>
            </w:pPr>
          </w:p>
          <w:p w14:paraId="3BD305A4" w14:textId="77777777" w:rsidR="00221C59" w:rsidRPr="003B5919" w:rsidRDefault="00221C59" w:rsidP="00221C59">
            <w:pPr>
              <w:jc w:val="both"/>
              <w:rPr>
                <w:szCs w:val="20"/>
              </w:rPr>
            </w:pPr>
            <w:r w:rsidRPr="003B5919">
              <w:rPr>
                <w:szCs w:val="20"/>
              </w:rPr>
              <w:t>Women’s autonomy in decision-making and exercise of their reproductive rights is assessed from responses to the following three questions:</w:t>
            </w:r>
          </w:p>
          <w:p w14:paraId="298C2C49" w14:textId="77777777" w:rsidR="00221C59" w:rsidRPr="003B5919" w:rsidRDefault="00221C59" w:rsidP="00221C59">
            <w:pPr>
              <w:jc w:val="both"/>
              <w:rPr>
                <w:szCs w:val="20"/>
              </w:rPr>
            </w:pPr>
          </w:p>
          <w:p w14:paraId="018BBFD8" w14:textId="77777777" w:rsidR="00221C59" w:rsidRPr="003B5919" w:rsidRDefault="00221C59" w:rsidP="00221C59">
            <w:pPr>
              <w:jc w:val="both"/>
              <w:rPr>
                <w:i/>
                <w:iCs/>
                <w:szCs w:val="20"/>
              </w:rPr>
            </w:pPr>
            <w:r w:rsidRPr="003B5919">
              <w:rPr>
                <w:i/>
                <w:iCs/>
                <w:szCs w:val="20"/>
              </w:rPr>
              <w:t>1. Can you say no to your (husband/partner) if you do not want to have sexual intercourse?</w:t>
            </w:r>
          </w:p>
          <w:p w14:paraId="694B7458" w14:textId="77777777" w:rsidR="00221C59" w:rsidRPr="003B5919" w:rsidRDefault="00221C59" w:rsidP="00221C59">
            <w:pPr>
              <w:pStyle w:val="ListParagraph"/>
              <w:numPr>
                <w:ilvl w:val="0"/>
                <w:numId w:val="34"/>
              </w:numPr>
              <w:tabs>
                <w:tab w:val="right" w:pos="3449"/>
              </w:tabs>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Yes ……………………………….</w:t>
            </w:r>
            <w:r w:rsidRPr="003B5919">
              <w:rPr>
                <w:rFonts w:ascii="Tw Cen MT Condensed" w:hAnsi="Tw Cen MT Condensed"/>
                <w:sz w:val="20"/>
                <w:szCs w:val="20"/>
              </w:rPr>
              <w:tab/>
              <w:t>1</w:t>
            </w:r>
          </w:p>
          <w:p w14:paraId="0EBB3AA0" w14:textId="77777777" w:rsidR="00221C59" w:rsidRPr="003B5919" w:rsidRDefault="00221C59" w:rsidP="00221C59">
            <w:pPr>
              <w:pStyle w:val="ListParagraph"/>
              <w:numPr>
                <w:ilvl w:val="0"/>
                <w:numId w:val="34"/>
              </w:numPr>
              <w:tabs>
                <w:tab w:val="right" w:pos="3449"/>
              </w:tabs>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 xml:space="preserve">No . . . . . . . . . . . . . . . . . . . . . . . . . . . ……... </w:t>
            </w:r>
            <w:r w:rsidRPr="003B5919">
              <w:rPr>
                <w:rFonts w:ascii="Tw Cen MT Condensed" w:hAnsi="Tw Cen MT Condensed"/>
                <w:sz w:val="20"/>
                <w:szCs w:val="20"/>
              </w:rPr>
              <w:tab/>
              <w:t>2</w:t>
            </w:r>
          </w:p>
          <w:p w14:paraId="3FC4C538" w14:textId="77777777" w:rsidR="00221C59" w:rsidRPr="003B5919" w:rsidRDefault="00221C59" w:rsidP="00221C59">
            <w:pPr>
              <w:pStyle w:val="ListParagraph"/>
              <w:numPr>
                <w:ilvl w:val="0"/>
                <w:numId w:val="34"/>
              </w:numPr>
              <w:tabs>
                <w:tab w:val="right" w:pos="3449"/>
              </w:tabs>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Depends/ not sure . . . . . . . . . . . . . . . . . . . . . .</w:t>
            </w:r>
            <w:r w:rsidRPr="003B5919">
              <w:rPr>
                <w:rFonts w:ascii="Tw Cen MT Condensed" w:hAnsi="Tw Cen MT Condensed"/>
                <w:sz w:val="20"/>
                <w:szCs w:val="20"/>
              </w:rPr>
              <w:tab/>
              <w:t>8</w:t>
            </w:r>
          </w:p>
          <w:p w14:paraId="7ACEDEEA" w14:textId="77777777" w:rsidR="00221C59" w:rsidRPr="003B5919" w:rsidRDefault="00221C59" w:rsidP="00221C59">
            <w:pPr>
              <w:jc w:val="both"/>
              <w:rPr>
                <w:i/>
                <w:iCs/>
                <w:szCs w:val="20"/>
              </w:rPr>
            </w:pPr>
            <w:r w:rsidRPr="003B5919">
              <w:rPr>
                <w:i/>
                <w:iCs/>
                <w:szCs w:val="20"/>
              </w:rPr>
              <w:t>2. Would you say that using contraception is mainly your decision, mainly your (husband's/ partner's) decision, or did you both decide together?</w:t>
            </w:r>
          </w:p>
          <w:p w14:paraId="6D4AB496" w14:textId="77777777" w:rsidR="00221C59" w:rsidRPr="003B5919" w:rsidRDefault="00221C59" w:rsidP="00221C59">
            <w:pPr>
              <w:pStyle w:val="ListParagraph"/>
              <w:numPr>
                <w:ilvl w:val="0"/>
                <w:numId w:val="35"/>
              </w:numPr>
              <w:tabs>
                <w:tab w:val="right" w:pos="3449"/>
              </w:tabs>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 xml:space="preserve">Mainly respondent . . . . . . . . . . . . . …. . . . . </w:t>
            </w:r>
            <w:r w:rsidRPr="003B5919">
              <w:rPr>
                <w:rFonts w:ascii="Tw Cen MT Condensed" w:hAnsi="Tw Cen MT Condensed"/>
                <w:sz w:val="20"/>
                <w:szCs w:val="20"/>
              </w:rPr>
              <w:tab/>
              <w:t>1</w:t>
            </w:r>
          </w:p>
          <w:p w14:paraId="65FEC8D0" w14:textId="77777777" w:rsidR="00221C59" w:rsidRPr="003B5919" w:rsidRDefault="00221C59" w:rsidP="00221C59">
            <w:pPr>
              <w:pStyle w:val="ListParagraph"/>
              <w:numPr>
                <w:ilvl w:val="0"/>
                <w:numId w:val="35"/>
              </w:numPr>
              <w:tabs>
                <w:tab w:val="right" w:pos="3449"/>
              </w:tabs>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 xml:space="preserve">Mainly husband/partner . . . . . . . …... . . . . </w:t>
            </w:r>
            <w:r w:rsidRPr="003B5919">
              <w:rPr>
                <w:rFonts w:ascii="Tw Cen MT Condensed" w:hAnsi="Tw Cen MT Condensed"/>
                <w:sz w:val="20"/>
                <w:szCs w:val="20"/>
              </w:rPr>
              <w:tab/>
              <w:t>2</w:t>
            </w:r>
          </w:p>
          <w:p w14:paraId="7A6ACA2C" w14:textId="77777777" w:rsidR="00221C59" w:rsidRPr="003B5919" w:rsidRDefault="00221C59" w:rsidP="00221C59">
            <w:pPr>
              <w:pStyle w:val="ListParagraph"/>
              <w:numPr>
                <w:ilvl w:val="0"/>
                <w:numId w:val="35"/>
              </w:numPr>
              <w:tabs>
                <w:tab w:val="right" w:pos="3449"/>
              </w:tabs>
              <w:spacing w:after="0" w:line="240" w:lineRule="auto"/>
              <w:ind w:left="595" w:hanging="235"/>
              <w:jc w:val="both"/>
              <w:rPr>
                <w:rFonts w:ascii="Tw Cen MT Condensed" w:hAnsi="Tw Cen MT Condensed"/>
                <w:sz w:val="20"/>
                <w:szCs w:val="20"/>
              </w:rPr>
            </w:pPr>
            <w:r w:rsidRPr="003B5919">
              <w:rPr>
                <w:rFonts w:ascii="Tw Cen MT Condensed" w:hAnsi="Tw Cen MT Condensed"/>
                <w:sz w:val="20"/>
                <w:szCs w:val="20"/>
              </w:rPr>
              <w:t xml:space="preserve">Joint decision . . . . . . . . . . . . . . . . . . ... . . . . . </w:t>
            </w:r>
            <w:r w:rsidRPr="003B5919">
              <w:rPr>
                <w:rFonts w:ascii="Tw Cen MT Condensed" w:hAnsi="Tw Cen MT Condensed"/>
                <w:sz w:val="20"/>
                <w:szCs w:val="20"/>
              </w:rPr>
              <w:tab/>
              <w:t>3</w:t>
            </w:r>
          </w:p>
          <w:p w14:paraId="6DDAE86D" w14:textId="77777777" w:rsidR="00221C59" w:rsidRPr="003B5919" w:rsidRDefault="00221C59" w:rsidP="00221C59">
            <w:pPr>
              <w:pStyle w:val="ListParagraph"/>
              <w:numPr>
                <w:ilvl w:val="0"/>
                <w:numId w:val="35"/>
              </w:numPr>
              <w:tabs>
                <w:tab w:val="right" w:pos="3449"/>
              </w:tabs>
              <w:spacing w:after="0" w:line="240" w:lineRule="auto"/>
              <w:ind w:left="595" w:hanging="235"/>
              <w:jc w:val="both"/>
              <w:rPr>
                <w:rFonts w:ascii="Tw Cen MT Condensed" w:hAnsi="Tw Cen MT Condensed"/>
                <w:b/>
                <w:bCs/>
                <w:sz w:val="20"/>
                <w:szCs w:val="20"/>
              </w:rPr>
            </w:pPr>
            <w:r w:rsidRPr="003B5919">
              <w:rPr>
                <w:rFonts w:ascii="Tw Cen MT Condensed" w:hAnsi="Tw Cen MT Condensed"/>
                <w:sz w:val="20"/>
                <w:szCs w:val="20"/>
              </w:rPr>
              <w:t>Other (specify…………………...) ...…</w:t>
            </w:r>
            <w:r w:rsidRPr="003B5919">
              <w:rPr>
                <w:rFonts w:ascii="Tw Cen MT Condensed" w:hAnsi="Tw Cen MT Condensed"/>
                <w:sz w:val="20"/>
                <w:szCs w:val="20"/>
              </w:rPr>
              <w:tab/>
              <w:t>4</w:t>
            </w:r>
          </w:p>
          <w:p w14:paraId="021393EA" w14:textId="77777777" w:rsidR="00221C59" w:rsidRPr="003B5919" w:rsidRDefault="00221C59" w:rsidP="00221C59">
            <w:pPr>
              <w:jc w:val="both"/>
              <w:rPr>
                <w:b/>
                <w:bCs/>
                <w:i/>
                <w:iCs/>
                <w:szCs w:val="20"/>
              </w:rPr>
            </w:pPr>
            <w:r w:rsidRPr="003B5919">
              <w:rPr>
                <w:i/>
                <w:iCs/>
                <w:szCs w:val="20"/>
              </w:rPr>
              <w:t>3. Who usually makes decisions about health care for yourself?</w:t>
            </w:r>
          </w:p>
          <w:p w14:paraId="441E244A" w14:textId="77777777" w:rsidR="00221C59" w:rsidRPr="003B5919" w:rsidRDefault="00221C59" w:rsidP="00221C59">
            <w:pPr>
              <w:pStyle w:val="ListParagraph"/>
              <w:numPr>
                <w:ilvl w:val="0"/>
                <w:numId w:val="36"/>
              </w:numPr>
              <w:tabs>
                <w:tab w:val="right" w:pos="3449"/>
              </w:tabs>
              <w:spacing w:after="0"/>
              <w:ind w:left="595" w:hanging="235"/>
              <w:jc w:val="both"/>
              <w:rPr>
                <w:rFonts w:ascii="Tw Cen MT Condensed" w:hAnsi="Tw Cen MT Condensed"/>
                <w:sz w:val="20"/>
                <w:szCs w:val="20"/>
              </w:rPr>
            </w:pPr>
            <w:r w:rsidRPr="003B5919">
              <w:rPr>
                <w:rFonts w:ascii="Tw Cen MT Condensed" w:hAnsi="Tw Cen MT Condensed"/>
                <w:sz w:val="20"/>
                <w:szCs w:val="20"/>
              </w:rPr>
              <w:t>You ……………………………….</w:t>
            </w:r>
            <w:r w:rsidRPr="003B5919">
              <w:rPr>
                <w:rFonts w:ascii="Tw Cen MT Condensed" w:hAnsi="Tw Cen MT Condensed"/>
                <w:sz w:val="20"/>
                <w:szCs w:val="20"/>
              </w:rPr>
              <w:tab/>
              <w:t>1</w:t>
            </w:r>
          </w:p>
          <w:p w14:paraId="53631223" w14:textId="77777777" w:rsidR="00221C59" w:rsidRPr="003B5919" w:rsidRDefault="00221C59" w:rsidP="00221C59">
            <w:pPr>
              <w:pStyle w:val="ListParagraph"/>
              <w:numPr>
                <w:ilvl w:val="0"/>
                <w:numId w:val="36"/>
              </w:numPr>
              <w:tabs>
                <w:tab w:val="right" w:pos="3449"/>
              </w:tabs>
              <w:spacing w:after="0"/>
              <w:ind w:left="595" w:hanging="235"/>
              <w:jc w:val="both"/>
              <w:rPr>
                <w:rFonts w:ascii="Tw Cen MT Condensed" w:hAnsi="Tw Cen MT Condensed"/>
                <w:sz w:val="20"/>
                <w:szCs w:val="20"/>
              </w:rPr>
            </w:pPr>
            <w:r w:rsidRPr="003B5919">
              <w:rPr>
                <w:rFonts w:ascii="Tw Cen MT Condensed" w:hAnsi="Tw Cen MT Condensed"/>
                <w:sz w:val="20"/>
                <w:szCs w:val="20"/>
              </w:rPr>
              <w:t>Your (husband/partner) ………………..</w:t>
            </w:r>
            <w:r w:rsidRPr="003B5919">
              <w:rPr>
                <w:rFonts w:ascii="Tw Cen MT Condensed" w:hAnsi="Tw Cen MT Condensed"/>
                <w:sz w:val="20"/>
                <w:szCs w:val="20"/>
              </w:rPr>
              <w:tab/>
              <w:t>2</w:t>
            </w:r>
          </w:p>
          <w:p w14:paraId="1ABB9EBC" w14:textId="77777777" w:rsidR="00221C59" w:rsidRPr="003B5919" w:rsidRDefault="00221C59" w:rsidP="00221C59">
            <w:pPr>
              <w:pStyle w:val="ListParagraph"/>
              <w:numPr>
                <w:ilvl w:val="0"/>
                <w:numId w:val="36"/>
              </w:numPr>
              <w:tabs>
                <w:tab w:val="right" w:pos="3449"/>
              </w:tabs>
              <w:spacing w:after="0"/>
              <w:ind w:left="595" w:hanging="235"/>
              <w:jc w:val="both"/>
              <w:rPr>
                <w:rFonts w:ascii="Tw Cen MT Condensed" w:hAnsi="Tw Cen MT Condensed"/>
                <w:sz w:val="20"/>
                <w:szCs w:val="20"/>
              </w:rPr>
            </w:pPr>
            <w:r w:rsidRPr="003B5919">
              <w:rPr>
                <w:rFonts w:ascii="Tw Cen MT Condensed" w:hAnsi="Tw Cen MT Condensed"/>
                <w:sz w:val="20"/>
                <w:szCs w:val="20"/>
              </w:rPr>
              <w:t>You and your (husband/partner) jointly …...</w:t>
            </w:r>
            <w:r w:rsidRPr="003B5919">
              <w:rPr>
                <w:rFonts w:ascii="Tw Cen MT Condensed" w:hAnsi="Tw Cen MT Condensed"/>
                <w:sz w:val="20"/>
                <w:szCs w:val="20"/>
              </w:rPr>
              <w:tab/>
              <w:t>3</w:t>
            </w:r>
          </w:p>
          <w:p w14:paraId="2AC559DB" w14:textId="77777777" w:rsidR="00221C59" w:rsidRPr="003B5919" w:rsidRDefault="00221C59" w:rsidP="00221C59">
            <w:pPr>
              <w:pStyle w:val="ListParagraph"/>
              <w:numPr>
                <w:ilvl w:val="0"/>
                <w:numId w:val="36"/>
              </w:numPr>
              <w:tabs>
                <w:tab w:val="right" w:pos="3449"/>
              </w:tabs>
              <w:spacing w:after="0"/>
              <w:ind w:left="595" w:hanging="235"/>
              <w:jc w:val="both"/>
              <w:rPr>
                <w:rFonts w:ascii="Tw Cen MT Condensed" w:hAnsi="Tw Cen MT Condensed"/>
                <w:b/>
                <w:bCs/>
                <w:i/>
                <w:iCs/>
                <w:sz w:val="20"/>
                <w:szCs w:val="20"/>
              </w:rPr>
            </w:pPr>
            <w:r w:rsidRPr="003B5919">
              <w:rPr>
                <w:rFonts w:ascii="Tw Cen MT Condensed" w:hAnsi="Tw Cen MT Condensed"/>
                <w:sz w:val="20"/>
                <w:szCs w:val="20"/>
              </w:rPr>
              <w:lastRenderedPageBreak/>
              <w:t>Someone else? ……………………...</w:t>
            </w:r>
            <w:r w:rsidRPr="003B5919">
              <w:rPr>
                <w:rFonts w:ascii="Tw Cen MT Condensed" w:hAnsi="Tw Cen MT Condensed"/>
                <w:sz w:val="20"/>
                <w:szCs w:val="20"/>
              </w:rPr>
              <w:tab/>
              <w:t>4</w:t>
            </w:r>
          </w:p>
          <w:p w14:paraId="7014EBF1" w14:textId="77777777" w:rsidR="00221C59" w:rsidRPr="003B5919" w:rsidRDefault="00221C59" w:rsidP="00221C59">
            <w:pPr>
              <w:tabs>
                <w:tab w:val="right" w:pos="3788"/>
              </w:tabs>
              <w:jc w:val="both"/>
              <w:rPr>
                <w:b/>
                <w:bCs/>
                <w:szCs w:val="20"/>
              </w:rPr>
            </w:pPr>
          </w:p>
          <w:p w14:paraId="6DAC5E08" w14:textId="77777777" w:rsidR="00221C59" w:rsidRPr="003B5919" w:rsidRDefault="00221C59" w:rsidP="00221C59">
            <w:pPr>
              <w:tabs>
                <w:tab w:val="right" w:pos="3788"/>
              </w:tabs>
              <w:jc w:val="both"/>
              <w:rPr>
                <w:szCs w:val="20"/>
              </w:rPr>
            </w:pPr>
            <w:r w:rsidRPr="003B5919">
              <w:rPr>
                <w:szCs w:val="20"/>
              </w:rPr>
              <w:t xml:space="preserve">A woman is considered to have autonomy in reproductive health decision making and to be empowered to exercise their reproductive rights if they (1) can say “NO’ to sex with their husband/partner if they do not want to, (2) decide on use/ non-use of contraception and (3) decide on health care for themselves. </w:t>
            </w:r>
          </w:p>
          <w:p w14:paraId="08A03EE3" w14:textId="77777777" w:rsidR="00221C59" w:rsidRPr="003B5919" w:rsidRDefault="00221C59" w:rsidP="00221C59">
            <w:pPr>
              <w:tabs>
                <w:tab w:val="right" w:pos="3788"/>
              </w:tabs>
              <w:jc w:val="both"/>
              <w:rPr>
                <w:b/>
                <w:bCs/>
                <w:szCs w:val="20"/>
              </w:rPr>
            </w:pPr>
          </w:p>
          <w:p w14:paraId="06994630" w14:textId="77777777" w:rsidR="00221C59" w:rsidRPr="003B5919" w:rsidRDefault="00221C59" w:rsidP="00221C59">
            <w:pPr>
              <w:tabs>
                <w:tab w:val="right" w:pos="3788"/>
              </w:tabs>
              <w:jc w:val="both"/>
              <w:rPr>
                <w:b/>
                <w:bCs/>
                <w:szCs w:val="20"/>
              </w:rPr>
            </w:pPr>
            <w:r w:rsidRPr="003B5919">
              <w:rPr>
                <w:b/>
                <w:bCs/>
                <w:szCs w:val="20"/>
              </w:rPr>
              <w:t>Concepts:</w:t>
            </w:r>
          </w:p>
          <w:p w14:paraId="412649FF" w14:textId="77777777" w:rsidR="00221C59" w:rsidRPr="003B5919" w:rsidRDefault="00221C59" w:rsidP="00221C59">
            <w:pPr>
              <w:tabs>
                <w:tab w:val="right" w:pos="3788"/>
              </w:tabs>
              <w:jc w:val="both"/>
              <w:rPr>
                <w:szCs w:val="20"/>
              </w:rPr>
            </w:pPr>
            <w:r w:rsidRPr="003B5919">
              <w:rPr>
                <w:szCs w:val="20"/>
              </w:rPr>
              <w:t>A union involves a man and a woman regularly cohabiting in a married like relationship.</w:t>
            </w:r>
          </w:p>
          <w:p w14:paraId="74F19C11" w14:textId="77777777" w:rsidR="00221C59" w:rsidRPr="003B5919" w:rsidRDefault="00221C59" w:rsidP="00221C59">
            <w:pPr>
              <w:tabs>
                <w:tab w:val="right" w:pos="3788"/>
              </w:tabs>
              <w:jc w:val="both"/>
              <w:rPr>
                <w:szCs w:val="20"/>
              </w:rPr>
            </w:pPr>
          </w:p>
          <w:p w14:paraId="73FD2F9C" w14:textId="77777777" w:rsidR="00221C59" w:rsidRPr="003B5919" w:rsidRDefault="00221C59" w:rsidP="00221C59">
            <w:pPr>
              <w:tabs>
                <w:tab w:val="right" w:pos="3788"/>
              </w:tabs>
              <w:jc w:val="both"/>
              <w:rPr>
                <w:b/>
                <w:bCs/>
                <w:szCs w:val="20"/>
              </w:rPr>
            </w:pPr>
            <w:r w:rsidRPr="003B5919">
              <w:rPr>
                <w:b/>
                <w:bCs/>
                <w:szCs w:val="20"/>
              </w:rPr>
              <w:t>Computation Method:</w:t>
            </w:r>
          </w:p>
          <w:p w14:paraId="53186231" w14:textId="77777777" w:rsidR="00221C59" w:rsidRPr="003B5919" w:rsidRDefault="00221C59" w:rsidP="00221C59">
            <w:pPr>
              <w:tabs>
                <w:tab w:val="right" w:pos="3788"/>
              </w:tabs>
              <w:jc w:val="both"/>
              <w:rPr>
                <w:szCs w:val="20"/>
              </w:rPr>
            </w:pPr>
            <w:r w:rsidRPr="003B5919">
              <w:rPr>
                <w:szCs w:val="20"/>
              </w:rPr>
              <w:t>Numerator: Number of married or in union women aged 15-49 years old:</w:t>
            </w:r>
          </w:p>
          <w:p w14:paraId="697BC8A4" w14:textId="77777777" w:rsidR="00221C59" w:rsidRPr="003B5919" w:rsidRDefault="00221C59" w:rsidP="00221C59">
            <w:pPr>
              <w:pStyle w:val="ListParagraph"/>
              <w:numPr>
                <w:ilvl w:val="0"/>
                <w:numId w:val="37"/>
              </w:numPr>
              <w:tabs>
                <w:tab w:val="right" w:pos="3788"/>
              </w:tabs>
              <w:spacing w:after="0"/>
              <w:ind w:left="595" w:hanging="235"/>
              <w:jc w:val="both"/>
              <w:rPr>
                <w:rFonts w:ascii="Tw Cen MT Condensed" w:hAnsi="Tw Cen MT Condensed"/>
                <w:sz w:val="20"/>
                <w:szCs w:val="20"/>
              </w:rPr>
            </w:pPr>
            <w:r w:rsidRPr="003B5919">
              <w:rPr>
                <w:rFonts w:ascii="Tw Cen MT Condensed" w:hAnsi="Tw Cen MT Condensed"/>
                <w:sz w:val="20"/>
                <w:szCs w:val="20"/>
              </w:rPr>
              <w:t>who can say “no” to sex; and</w:t>
            </w:r>
          </w:p>
          <w:p w14:paraId="4CCD296C" w14:textId="77777777" w:rsidR="00221C59" w:rsidRPr="003B5919" w:rsidRDefault="00221C59" w:rsidP="00221C59">
            <w:pPr>
              <w:pStyle w:val="ListParagraph"/>
              <w:numPr>
                <w:ilvl w:val="0"/>
                <w:numId w:val="37"/>
              </w:numPr>
              <w:tabs>
                <w:tab w:val="right" w:pos="3788"/>
              </w:tabs>
              <w:spacing w:after="0"/>
              <w:ind w:left="595" w:hanging="235"/>
              <w:jc w:val="both"/>
              <w:rPr>
                <w:rFonts w:ascii="Tw Cen MT Condensed" w:hAnsi="Tw Cen MT Condensed"/>
                <w:sz w:val="20"/>
                <w:szCs w:val="20"/>
              </w:rPr>
            </w:pPr>
            <w:r w:rsidRPr="003B5919">
              <w:rPr>
                <w:rFonts w:ascii="Tw Cen MT Condensed" w:hAnsi="Tw Cen MT Condensed"/>
                <w:sz w:val="20"/>
                <w:szCs w:val="20"/>
              </w:rPr>
              <w:t>for whom the decision on contraception is not mainly made by the husband/partner; and</w:t>
            </w:r>
          </w:p>
          <w:p w14:paraId="75BAF903" w14:textId="77777777" w:rsidR="00221C59" w:rsidRPr="003B5919" w:rsidRDefault="00221C59" w:rsidP="00221C59">
            <w:pPr>
              <w:pStyle w:val="ListParagraph"/>
              <w:numPr>
                <w:ilvl w:val="0"/>
                <w:numId w:val="37"/>
              </w:numPr>
              <w:tabs>
                <w:tab w:val="right" w:pos="3788"/>
              </w:tabs>
              <w:spacing w:after="0"/>
              <w:ind w:left="595" w:hanging="235"/>
              <w:jc w:val="both"/>
              <w:rPr>
                <w:rFonts w:ascii="Tw Cen MT Condensed" w:hAnsi="Tw Cen MT Condensed"/>
                <w:sz w:val="20"/>
                <w:szCs w:val="20"/>
              </w:rPr>
            </w:pPr>
            <w:r w:rsidRPr="003B5919">
              <w:rPr>
                <w:rFonts w:ascii="Tw Cen MT Condensed" w:hAnsi="Tw Cen MT Condensed"/>
                <w:sz w:val="20"/>
                <w:szCs w:val="20"/>
              </w:rPr>
              <w:t>for whom decision on health care for themselves is not usually made by the husband/partner or someone else</w:t>
            </w:r>
          </w:p>
          <w:p w14:paraId="20EFCDB2" w14:textId="77777777" w:rsidR="00221C59" w:rsidRPr="003B5919" w:rsidRDefault="00221C59" w:rsidP="00221C59">
            <w:pPr>
              <w:tabs>
                <w:tab w:val="right" w:pos="3788"/>
              </w:tabs>
              <w:jc w:val="both"/>
              <w:rPr>
                <w:szCs w:val="20"/>
              </w:rPr>
            </w:pPr>
            <w:r w:rsidRPr="003B5919">
              <w:rPr>
                <w:szCs w:val="20"/>
              </w:rPr>
              <w:t>Only women who satisfy all three empowerment criteria are included in the numerator.</w:t>
            </w:r>
          </w:p>
          <w:p w14:paraId="2AB2E4D5" w14:textId="77777777" w:rsidR="00221C59" w:rsidRPr="003B5919" w:rsidRDefault="00221C59" w:rsidP="00221C59">
            <w:pPr>
              <w:tabs>
                <w:tab w:val="right" w:pos="3788"/>
              </w:tabs>
              <w:jc w:val="both"/>
              <w:rPr>
                <w:szCs w:val="20"/>
              </w:rPr>
            </w:pPr>
          </w:p>
          <w:p w14:paraId="2C017794" w14:textId="77777777" w:rsidR="00221C59" w:rsidRPr="003B5919" w:rsidRDefault="00221C59" w:rsidP="00221C59">
            <w:pPr>
              <w:tabs>
                <w:tab w:val="right" w:pos="3788"/>
              </w:tabs>
              <w:jc w:val="both"/>
              <w:rPr>
                <w:szCs w:val="20"/>
              </w:rPr>
            </w:pPr>
            <w:r w:rsidRPr="003B5919">
              <w:rPr>
                <w:i/>
                <w:iCs/>
                <w:szCs w:val="20"/>
              </w:rPr>
              <w:t>Denominator:</w:t>
            </w:r>
            <w:r w:rsidRPr="003B5919">
              <w:rPr>
                <w:szCs w:val="20"/>
              </w:rPr>
              <w:t xml:space="preserve">  Total number women aged 15-49 years old), who are married or in union.</w:t>
            </w:r>
          </w:p>
          <w:p w14:paraId="4F552515" w14:textId="77777777" w:rsidR="00221C59" w:rsidRPr="003B5919" w:rsidRDefault="00221C59" w:rsidP="00221C59">
            <w:pPr>
              <w:tabs>
                <w:tab w:val="right" w:pos="3788"/>
              </w:tabs>
              <w:jc w:val="both"/>
              <w:rPr>
                <w:szCs w:val="20"/>
              </w:rPr>
            </w:pPr>
          </w:p>
          <w:p w14:paraId="107C78F0" w14:textId="77777777" w:rsidR="00221C59" w:rsidRPr="003B5919" w:rsidRDefault="00221C59" w:rsidP="00221C59">
            <w:pPr>
              <w:tabs>
                <w:tab w:val="right" w:pos="3788"/>
              </w:tabs>
              <w:jc w:val="both"/>
              <w:rPr>
                <w:szCs w:val="20"/>
              </w:rPr>
            </w:pPr>
            <w:r w:rsidRPr="003B5919">
              <w:rPr>
                <w:i/>
                <w:iCs/>
                <w:szCs w:val="20"/>
              </w:rPr>
              <w:t>Proportion=</w:t>
            </w:r>
            <w:r w:rsidRPr="003B5919">
              <w:rPr>
                <w:szCs w:val="20"/>
              </w:rPr>
              <w:t xml:space="preserve"> Numerator X 100/Denominator</w:t>
            </w:r>
          </w:p>
        </w:tc>
        <w:tc>
          <w:tcPr>
            <w:tcW w:w="967" w:type="dxa"/>
            <w:shd w:val="clear" w:color="auto" w:fill="auto"/>
          </w:tcPr>
          <w:p w14:paraId="12384EA8" w14:textId="77777777" w:rsidR="00221C59" w:rsidRPr="006D5C4E" w:rsidRDefault="00221C59" w:rsidP="00221C59">
            <w:pPr>
              <w:jc w:val="center"/>
              <w:rPr>
                <w:bCs/>
                <w:szCs w:val="20"/>
              </w:rPr>
            </w:pPr>
            <w:r>
              <w:rPr>
                <w:bCs/>
                <w:szCs w:val="20"/>
              </w:rPr>
              <w:lastRenderedPageBreak/>
              <w:t>Household Survey including DHS, MICS, etc.</w:t>
            </w:r>
          </w:p>
        </w:tc>
        <w:tc>
          <w:tcPr>
            <w:tcW w:w="1140" w:type="dxa"/>
            <w:shd w:val="clear" w:color="auto" w:fill="auto"/>
          </w:tcPr>
          <w:p w14:paraId="152E30BE" w14:textId="77777777" w:rsidR="00221C59" w:rsidRPr="00C304F7" w:rsidRDefault="00221C59" w:rsidP="00221C59">
            <w:pPr>
              <w:pStyle w:val="ListParagraph"/>
              <w:numPr>
                <w:ilvl w:val="0"/>
                <w:numId w:val="38"/>
              </w:numPr>
              <w:ind w:left="205" w:hanging="149"/>
              <w:jc w:val="both"/>
              <w:rPr>
                <w:rFonts w:ascii="Tw Cen MT Condensed" w:hAnsi="Tw Cen MT Condensed"/>
                <w:bCs/>
                <w:sz w:val="20"/>
                <w:szCs w:val="20"/>
              </w:rPr>
            </w:pPr>
            <w:r w:rsidRPr="00C304F7">
              <w:rPr>
                <w:rFonts w:ascii="Tw Cen MT Condensed" w:hAnsi="Tw Cen MT Condensed"/>
                <w:bCs/>
                <w:sz w:val="20"/>
                <w:szCs w:val="20"/>
              </w:rPr>
              <w:t>Agency Responsible for DHS;</w:t>
            </w:r>
          </w:p>
          <w:p w14:paraId="281094DC" w14:textId="77777777" w:rsidR="00221C59" w:rsidRPr="00C304F7" w:rsidRDefault="00221C59" w:rsidP="00221C59">
            <w:pPr>
              <w:pStyle w:val="ListParagraph"/>
              <w:numPr>
                <w:ilvl w:val="0"/>
                <w:numId w:val="38"/>
              </w:numPr>
              <w:ind w:left="205" w:hanging="149"/>
              <w:jc w:val="both"/>
              <w:rPr>
                <w:rFonts w:ascii="Tw Cen MT Condensed" w:hAnsi="Tw Cen MT Condensed"/>
                <w:bCs/>
                <w:sz w:val="20"/>
                <w:szCs w:val="20"/>
              </w:rPr>
            </w:pPr>
            <w:r w:rsidRPr="00C304F7">
              <w:rPr>
                <w:rFonts w:ascii="Tw Cen MT Condensed" w:hAnsi="Tw Cen MT Condensed"/>
                <w:bCs/>
                <w:sz w:val="20"/>
                <w:szCs w:val="20"/>
              </w:rPr>
              <w:t>National Statistics Office</w:t>
            </w:r>
          </w:p>
        </w:tc>
        <w:tc>
          <w:tcPr>
            <w:tcW w:w="721" w:type="dxa"/>
            <w:shd w:val="clear" w:color="auto" w:fill="auto"/>
          </w:tcPr>
          <w:p w14:paraId="1F2B795E" w14:textId="77777777" w:rsidR="00221C59" w:rsidRDefault="00221C59" w:rsidP="00221C59">
            <w:pPr>
              <w:jc w:val="both"/>
              <w:rPr>
                <w:bCs/>
                <w:szCs w:val="20"/>
              </w:rPr>
            </w:pPr>
            <w:r>
              <w:rPr>
                <w:bCs/>
                <w:szCs w:val="20"/>
              </w:rPr>
              <w:t>a) BDHS, NIPORT</w:t>
            </w:r>
          </w:p>
          <w:p w14:paraId="61DBBC86" w14:textId="77F8025E" w:rsidR="00221C59" w:rsidRDefault="00221C59" w:rsidP="00221C59">
            <w:pPr>
              <w:jc w:val="both"/>
              <w:rPr>
                <w:bCs/>
                <w:szCs w:val="20"/>
              </w:rPr>
            </w:pPr>
          </w:p>
        </w:tc>
        <w:tc>
          <w:tcPr>
            <w:tcW w:w="1116" w:type="dxa"/>
            <w:shd w:val="clear" w:color="auto" w:fill="auto"/>
          </w:tcPr>
          <w:p w14:paraId="45DC556B" w14:textId="77777777" w:rsidR="00221C59" w:rsidRDefault="00221C59" w:rsidP="00221C59">
            <w:pPr>
              <w:jc w:val="both"/>
              <w:rPr>
                <w:bCs/>
                <w:szCs w:val="20"/>
              </w:rPr>
            </w:pPr>
            <w:r>
              <w:rPr>
                <w:bCs/>
                <w:szCs w:val="20"/>
              </w:rPr>
              <w:t>a) BDHS</w:t>
            </w:r>
            <w:r>
              <w:t xml:space="preserve">, </w:t>
            </w:r>
            <w:r w:rsidRPr="00D421D3">
              <w:t>MEFWD</w:t>
            </w:r>
            <w:r>
              <w:rPr>
                <w:bCs/>
                <w:szCs w:val="20"/>
              </w:rPr>
              <w:t>, NIPORT</w:t>
            </w:r>
          </w:p>
          <w:p w14:paraId="58D5C0FD" w14:textId="762EF970" w:rsidR="00221C59" w:rsidRDefault="00221C59" w:rsidP="000C4849">
            <w:pPr>
              <w:rPr>
                <w:bCs/>
                <w:szCs w:val="20"/>
              </w:rPr>
            </w:pPr>
            <w:r>
              <w:rPr>
                <w:bCs/>
                <w:szCs w:val="20"/>
              </w:rPr>
              <w:t>b) GBVS (VAW),SID BBS</w:t>
            </w:r>
          </w:p>
        </w:tc>
        <w:tc>
          <w:tcPr>
            <w:tcW w:w="1354" w:type="dxa"/>
            <w:shd w:val="clear" w:color="auto" w:fill="auto"/>
          </w:tcPr>
          <w:p w14:paraId="1B599DC0" w14:textId="68CAD54C" w:rsidR="00221C59" w:rsidRPr="00A44C13" w:rsidRDefault="00221C59" w:rsidP="00221C59">
            <w:pPr>
              <w:pStyle w:val="ListParagraph"/>
              <w:numPr>
                <w:ilvl w:val="0"/>
                <w:numId w:val="31"/>
              </w:numPr>
              <w:ind w:left="121" w:hanging="121"/>
              <w:rPr>
                <w:rFonts w:ascii="Tw Cen MT Condensed" w:hAnsi="Tw Cen MT Condensed"/>
                <w:bCs/>
                <w:iCs/>
                <w:sz w:val="20"/>
                <w:szCs w:val="20"/>
              </w:rPr>
            </w:pPr>
            <w:r w:rsidRPr="00A44C13">
              <w:rPr>
                <w:rFonts w:ascii="Tw Cen MT Condensed" w:hAnsi="Tw Cen MT Condensed"/>
                <w:bCs/>
                <w:iCs/>
                <w:sz w:val="20"/>
                <w:szCs w:val="20"/>
              </w:rPr>
              <w:t>Age</w:t>
            </w:r>
            <w:r w:rsidR="00CB6067" w:rsidRPr="00A44C13">
              <w:rPr>
                <w:rFonts w:ascii="Tw Cen MT Condensed" w:hAnsi="Tw Cen MT Condensed"/>
                <w:bCs/>
                <w:iCs/>
                <w:sz w:val="20"/>
                <w:szCs w:val="20"/>
              </w:rPr>
              <w:t>: 15-49</w:t>
            </w:r>
          </w:p>
          <w:p w14:paraId="5805A18B" w14:textId="4865B8F9" w:rsidR="00221C59" w:rsidRPr="00A44C13" w:rsidRDefault="00221C59" w:rsidP="00221C59">
            <w:pPr>
              <w:pStyle w:val="ListParagraph"/>
              <w:numPr>
                <w:ilvl w:val="0"/>
                <w:numId w:val="31"/>
              </w:numPr>
              <w:ind w:left="121" w:hanging="121"/>
              <w:rPr>
                <w:rFonts w:ascii="Tw Cen MT Condensed" w:hAnsi="Tw Cen MT Condensed"/>
                <w:bCs/>
                <w:iCs/>
                <w:sz w:val="20"/>
                <w:szCs w:val="20"/>
              </w:rPr>
            </w:pPr>
            <w:r w:rsidRPr="00A44C13">
              <w:rPr>
                <w:rFonts w:ascii="Tw Cen MT Condensed" w:hAnsi="Tw Cen MT Condensed"/>
                <w:bCs/>
                <w:iCs/>
                <w:sz w:val="20"/>
                <w:szCs w:val="20"/>
              </w:rPr>
              <w:t>Geographic Location</w:t>
            </w:r>
            <w:r w:rsidR="00CB6067" w:rsidRPr="00A44C13">
              <w:rPr>
                <w:rFonts w:ascii="Tw Cen MT Condensed" w:hAnsi="Tw Cen MT Condensed"/>
                <w:bCs/>
                <w:iCs/>
                <w:sz w:val="20"/>
                <w:szCs w:val="20"/>
              </w:rPr>
              <w:t>:Division</w:t>
            </w:r>
          </w:p>
          <w:p w14:paraId="6B1346AE" w14:textId="017605AC" w:rsidR="00221C59" w:rsidRPr="00A44C13" w:rsidRDefault="00221C59" w:rsidP="00221C59">
            <w:pPr>
              <w:pStyle w:val="ListParagraph"/>
              <w:numPr>
                <w:ilvl w:val="0"/>
                <w:numId w:val="31"/>
              </w:numPr>
              <w:ind w:left="121" w:hanging="121"/>
              <w:rPr>
                <w:rFonts w:ascii="Tw Cen MT Condensed" w:hAnsi="Tw Cen MT Condensed"/>
                <w:bCs/>
                <w:iCs/>
                <w:sz w:val="20"/>
                <w:szCs w:val="20"/>
              </w:rPr>
            </w:pPr>
            <w:r w:rsidRPr="00A44C13">
              <w:rPr>
                <w:rFonts w:ascii="Tw Cen MT Condensed" w:hAnsi="Tw Cen MT Condensed"/>
                <w:bCs/>
                <w:iCs/>
                <w:sz w:val="20"/>
                <w:szCs w:val="20"/>
              </w:rPr>
              <w:t>Place of Residence</w:t>
            </w:r>
            <w:r w:rsidR="00CB6067">
              <w:rPr>
                <w:rFonts w:ascii="Tw Cen MT Condensed" w:hAnsi="Tw Cen MT Condensed"/>
                <w:bCs/>
                <w:iCs/>
                <w:sz w:val="20"/>
                <w:szCs w:val="20"/>
              </w:rPr>
              <w:t>: Urban/Rural</w:t>
            </w:r>
          </w:p>
          <w:p w14:paraId="5D8B84B5" w14:textId="77777777" w:rsidR="00221C59" w:rsidRPr="00A44C13" w:rsidRDefault="00221C59" w:rsidP="00221C59">
            <w:pPr>
              <w:pStyle w:val="ListParagraph"/>
              <w:numPr>
                <w:ilvl w:val="0"/>
                <w:numId w:val="31"/>
              </w:numPr>
              <w:ind w:left="121" w:hanging="121"/>
              <w:rPr>
                <w:rFonts w:ascii="Tw Cen MT Condensed" w:hAnsi="Tw Cen MT Condensed"/>
                <w:bCs/>
                <w:iCs/>
                <w:sz w:val="20"/>
                <w:szCs w:val="20"/>
              </w:rPr>
            </w:pPr>
            <w:r w:rsidRPr="00A44C13">
              <w:rPr>
                <w:rFonts w:ascii="Tw Cen MT Condensed" w:hAnsi="Tw Cen MT Condensed"/>
                <w:bCs/>
                <w:iCs/>
                <w:sz w:val="20"/>
                <w:szCs w:val="20"/>
              </w:rPr>
              <w:lastRenderedPageBreak/>
              <w:t>Education</w:t>
            </w:r>
          </w:p>
          <w:p w14:paraId="4C6F0B90" w14:textId="77777777" w:rsidR="00221C59" w:rsidRPr="006D5C4E" w:rsidRDefault="00221C59" w:rsidP="00221C59">
            <w:pPr>
              <w:pStyle w:val="ListParagraph"/>
              <w:numPr>
                <w:ilvl w:val="0"/>
                <w:numId w:val="31"/>
              </w:numPr>
              <w:ind w:left="121" w:hanging="121"/>
              <w:rPr>
                <w:rFonts w:ascii="Tw Cen MT Condensed" w:hAnsi="Tw Cen MT Condensed"/>
                <w:bCs/>
                <w:i/>
                <w:iCs/>
                <w:sz w:val="20"/>
                <w:szCs w:val="20"/>
              </w:rPr>
            </w:pPr>
            <w:r w:rsidRPr="00A44C13">
              <w:rPr>
                <w:rFonts w:ascii="Tw Cen MT Condensed" w:hAnsi="Tw Cen MT Condensed"/>
                <w:bCs/>
                <w:iCs/>
                <w:sz w:val="20"/>
                <w:szCs w:val="20"/>
              </w:rPr>
              <w:t>Wealth Quintile.</w:t>
            </w:r>
          </w:p>
        </w:tc>
        <w:tc>
          <w:tcPr>
            <w:tcW w:w="801" w:type="dxa"/>
            <w:shd w:val="clear" w:color="auto" w:fill="auto"/>
          </w:tcPr>
          <w:p w14:paraId="5B1B7E29" w14:textId="77777777" w:rsidR="00221C59" w:rsidRDefault="00221C59" w:rsidP="00221C59">
            <w:pPr>
              <w:pStyle w:val="NoSpacing"/>
              <w:rPr>
                <w:bCs/>
                <w:szCs w:val="20"/>
              </w:rPr>
            </w:pPr>
            <w:r>
              <w:lastRenderedPageBreak/>
              <w:t>Triennial</w:t>
            </w:r>
          </w:p>
        </w:tc>
        <w:tc>
          <w:tcPr>
            <w:tcW w:w="697" w:type="dxa"/>
            <w:shd w:val="clear" w:color="auto" w:fill="auto"/>
          </w:tcPr>
          <w:p w14:paraId="48C3C57C" w14:textId="77777777" w:rsidR="00221C59" w:rsidRDefault="00221C59" w:rsidP="00221C59">
            <w:pPr>
              <w:jc w:val="center"/>
              <w:rPr>
                <w:bCs/>
                <w:szCs w:val="20"/>
              </w:rPr>
            </w:pPr>
            <w:r>
              <w:rPr>
                <w:bCs/>
                <w:szCs w:val="20"/>
              </w:rPr>
              <w:t>Group 1</w:t>
            </w:r>
          </w:p>
        </w:tc>
        <w:tc>
          <w:tcPr>
            <w:tcW w:w="762" w:type="dxa"/>
            <w:shd w:val="clear" w:color="auto" w:fill="auto"/>
          </w:tcPr>
          <w:p w14:paraId="197BF0AE" w14:textId="77777777" w:rsidR="00221C59" w:rsidRDefault="00221C59" w:rsidP="00221C59">
            <w:pPr>
              <w:pStyle w:val="NoSpacing"/>
            </w:pPr>
            <w:r>
              <w:t>1</w:t>
            </w:r>
            <w:r w:rsidRPr="00013ACB">
              <w:rPr>
                <w:vertAlign w:val="superscript"/>
              </w:rPr>
              <w:t>st</w:t>
            </w:r>
            <w:r>
              <w:t xml:space="preserve"> Round: </w:t>
            </w:r>
          </w:p>
          <w:p w14:paraId="42CCF364" w14:textId="77777777" w:rsidR="00221C59" w:rsidRDefault="00221C59" w:rsidP="00221C59">
            <w:pPr>
              <w:pStyle w:val="NoSpacing"/>
            </w:pPr>
            <w:r>
              <w:t>2014</w:t>
            </w:r>
          </w:p>
          <w:p w14:paraId="4BA2154D" w14:textId="77777777" w:rsidR="00221C59" w:rsidRDefault="00221C59" w:rsidP="00221C59">
            <w:pPr>
              <w:pStyle w:val="NoSpacing"/>
            </w:pPr>
          </w:p>
          <w:p w14:paraId="2417F9E0" w14:textId="77777777" w:rsidR="00221C59" w:rsidRDefault="00221C59" w:rsidP="00221C59">
            <w:pPr>
              <w:pStyle w:val="NoSpacing"/>
            </w:pPr>
            <w:r>
              <w:t>2</w:t>
            </w:r>
            <w:r w:rsidRPr="00013ACB">
              <w:rPr>
                <w:vertAlign w:val="superscript"/>
              </w:rPr>
              <w:t>nd</w:t>
            </w:r>
            <w:r>
              <w:t xml:space="preserve"> Round: </w:t>
            </w:r>
          </w:p>
          <w:p w14:paraId="46D9C41E" w14:textId="77777777" w:rsidR="00221C59" w:rsidRDefault="00221C59" w:rsidP="00221C59">
            <w:pPr>
              <w:pStyle w:val="NoSpacing"/>
            </w:pPr>
            <w:r>
              <w:t>September</w:t>
            </w:r>
            <w:r>
              <w:br/>
              <w:t>2019</w:t>
            </w:r>
          </w:p>
          <w:p w14:paraId="2B458027" w14:textId="77777777" w:rsidR="00221C59" w:rsidRDefault="00221C59" w:rsidP="00221C59">
            <w:pPr>
              <w:pStyle w:val="NoSpacing"/>
            </w:pPr>
          </w:p>
          <w:p w14:paraId="24521610" w14:textId="77777777" w:rsidR="00221C59" w:rsidRDefault="00221C59" w:rsidP="00221C59">
            <w:pPr>
              <w:pStyle w:val="NoSpacing"/>
            </w:pPr>
            <w:r>
              <w:t>3</w:t>
            </w:r>
            <w:r w:rsidRPr="00013ACB">
              <w:rPr>
                <w:vertAlign w:val="superscript"/>
              </w:rPr>
              <w:t>rd</w:t>
            </w:r>
            <w:r>
              <w:t xml:space="preserve"> Round: </w:t>
            </w:r>
          </w:p>
          <w:p w14:paraId="7C2518A2" w14:textId="77777777" w:rsidR="00221C59" w:rsidRDefault="00221C59" w:rsidP="00221C59">
            <w:pPr>
              <w:pStyle w:val="NoSpacing"/>
            </w:pPr>
            <w:r>
              <w:t>September</w:t>
            </w:r>
            <w:r>
              <w:br/>
              <w:t>2022</w:t>
            </w:r>
          </w:p>
          <w:p w14:paraId="362F013A" w14:textId="77777777" w:rsidR="00221C59" w:rsidRDefault="00221C59" w:rsidP="00221C59">
            <w:pPr>
              <w:pStyle w:val="NoSpacing"/>
            </w:pPr>
          </w:p>
          <w:p w14:paraId="444EEA02" w14:textId="77777777" w:rsidR="00221C59" w:rsidRDefault="00221C59" w:rsidP="00221C59">
            <w:pPr>
              <w:pStyle w:val="NoSpacing"/>
            </w:pPr>
            <w:r>
              <w:t>4</w:t>
            </w:r>
            <w:r w:rsidRPr="00013ACB">
              <w:rPr>
                <w:vertAlign w:val="superscript"/>
              </w:rPr>
              <w:t>th</w:t>
            </w:r>
            <w:r>
              <w:t xml:space="preserve"> Round: </w:t>
            </w:r>
          </w:p>
          <w:p w14:paraId="227423B3" w14:textId="77777777" w:rsidR="00221C59" w:rsidRDefault="00221C59" w:rsidP="00221C59">
            <w:pPr>
              <w:pStyle w:val="NoSpacing"/>
            </w:pPr>
            <w:r>
              <w:t>September</w:t>
            </w:r>
            <w:r>
              <w:br/>
              <w:t>2025</w:t>
            </w:r>
          </w:p>
          <w:p w14:paraId="5C8A3CC1" w14:textId="77777777" w:rsidR="00221C59" w:rsidRDefault="00221C59" w:rsidP="00221C59">
            <w:pPr>
              <w:pStyle w:val="NoSpacing"/>
            </w:pPr>
          </w:p>
          <w:p w14:paraId="3E4990D4" w14:textId="77777777" w:rsidR="00221C59" w:rsidRDefault="00221C59" w:rsidP="00221C59">
            <w:pPr>
              <w:pStyle w:val="NoSpacing"/>
            </w:pPr>
            <w:r>
              <w:t>5</w:t>
            </w:r>
            <w:r w:rsidRPr="00013ACB">
              <w:rPr>
                <w:vertAlign w:val="superscript"/>
              </w:rPr>
              <w:t>th</w:t>
            </w:r>
            <w:r>
              <w:t xml:space="preserve"> Round: </w:t>
            </w:r>
          </w:p>
          <w:p w14:paraId="2745F141" w14:textId="77777777" w:rsidR="00221C59" w:rsidRDefault="00221C59" w:rsidP="00221C59">
            <w:pPr>
              <w:pStyle w:val="NoSpacing"/>
            </w:pPr>
            <w:r>
              <w:t>September</w:t>
            </w:r>
            <w:r>
              <w:br/>
              <w:t>2028</w:t>
            </w:r>
          </w:p>
          <w:p w14:paraId="41451518" w14:textId="032425D8" w:rsidR="00221C59" w:rsidRPr="005F4037" w:rsidRDefault="00221C59" w:rsidP="00221C59">
            <w:pPr>
              <w:pStyle w:val="NoSpacing"/>
            </w:pPr>
          </w:p>
        </w:tc>
        <w:tc>
          <w:tcPr>
            <w:tcW w:w="1188" w:type="dxa"/>
            <w:shd w:val="clear" w:color="auto" w:fill="auto"/>
          </w:tcPr>
          <w:p w14:paraId="12470254" w14:textId="77777777" w:rsidR="00221C59" w:rsidRDefault="00221C59" w:rsidP="00221C59">
            <w:pPr>
              <w:jc w:val="both"/>
              <w:rPr>
                <w:bCs/>
                <w:szCs w:val="20"/>
              </w:rPr>
            </w:pPr>
            <w:r w:rsidRPr="002B185E">
              <w:rPr>
                <w:bCs/>
                <w:szCs w:val="20"/>
              </w:rPr>
              <w:lastRenderedPageBreak/>
              <w:t xml:space="preserve">BBS </w:t>
            </w:r>
            <w:r>
              <w:rPr>
                <w:bCs/>
                <w:szCs w:val="20"/>
              </w:rPr>
              <w:t xml:space="preserve">should incorporate the prescribed questions in the </w:t>
            </w:r>
            <w:r w:rsidRPr="002B185E">
              <w:rPr>
                <w:bCs/>
                <w:szCs w:val="20"/>
              </w:rPr>
              <w:t>MICS</w:t>
            </w:r>
            <w:r>
              <w:rPr>
                <w:bCs/>
                <w:szCs w:val="20"/>
              </w:rPr>
              <w:t>/</w:t>
            </w:r>
            <w:r w:rsidRPr="002B185E">
              <w:rPr>
                <w:bCs/>
                <w:szCs w:val="20"/>
              </w:rPr>
              <w:t>SVRS</w:t>
            </w:r>
            <w:r>
              <w:rPr>
                <w:bCs/>
                <w:szCs w:val="20"/>
              </w:rPr>
              <w:t>/</w:t>
            </w:r>
            <w:r w:rsidRPr="002B185E">
              <w:rPr>
                <w:bCs/>
                <w:szCs w:val="20"/>
              </w:rPr>
              <w:t xml:space="preserve"> GBVS (VAW), </w:t>
            </w:r>
            <w:r>
              <w:rPr>
                <w:bCs/>
                <w:szCs w:val="20"/>
              </w:rPr>
              <w:t>surveys.</w:t>
            </w:r>
          </w:p>
        </w:tc>
      </w:tr>
      <w:tr w:rsidR="00221C59" w14:paraId="423BAB11" w14:textId="77777777" w:rsidTr="0085651F">
        <w:tc>
          <w:tcPr>
            <w:tcW w:w="1179" w:type="dxa"/>
            <w:shd w:val="clear" w:color="auto" w:fill="auto"/>
          </w:tcPr>
          <w:p w14:paraId="7881584C" w14:textId="77777777" w:rsidR="00221C59" w:rsidRPr="006730D4" w:rsidRDefault="00221C59" w:rsidP="00221C59">
            <w:pPr>
              <w:jc w:val="both"/>
              <w:rPr>
                <w:szCs w:val="20"/>
              </w:rPr>
            </w:pPr>
            <w:r w:rsidRPr="006730D4">
              <w:rPr>
                <w:szCs w:val="20"/>
              </w:rPr>
              <w:lastRenderedPageBreak/>
              <w:t xml:space="preserve">5.6.2: Number of countries with laws and regulations that guarantee full and equal access to women and men aged 15 years and older to sexual and </w:t>
            </w:r>
            <w:r w:rsidRPr="006730D4">
              <w:rPr>
                <w:szCs w:val="20"/>
              </w:rPr>
              <w:lastRenderedPageBreak/>
              <w:t>reproductive health care, information and education</w:t>
            </w:r>
          </w:p>
          <w:p w14:paraId="152546C3" w14:textId="77777777" w:rsidR="00221C59" w:rsidRPr="006D5C4E" w:rsidRDefault="00221C59" w:rsidP="00221C59">
            <w:pPr>
              <w:jc w:val="both"/>
              <w:rPr>
                <w:szCs w:val="20"/>
              </w:rPr>
            </w:pPr>
            <w:r w:rsidRPr="006730D4">
              <w:rPr>
                <w:szCs w:val="20"/>
              </w:rPr>
              <w:t>No data for this indicator is currently available and its methodology is still under development, please see</w:t>
            </w:r>
          </w:p>
        </w:tc>
        <w:tc>
          <w:tcPr>
            <w:tcW w:w="921" w:type="dxa"/>
            <w:gridSpan w:val="2"/>
            <w:shd w:val="clear" w:color="auto" w:fill="auto"/>
          </w:tcPr>
          <w:p w14:paraId="521850B9" w14:textId="77777777" w:rsidR="00221C59" w:rsidRDefault="00221C59" w:rsidP="00221C59">
            <w:pPr>
              <w:jc w:val="center"/>
              <w:rPr>
                <w:szCs w:val="20"/>
              </w:rPr>
            </w:pPr>
            <w:r>
              <w:rPr>
                <w:szCs w:val="20"/>
              </w:rPr>
              <w:lastRenderedPageBreak/>
              <w:t>UNFPA</w:t>
            </w:r>
          </w:p>
          <w:p w14:paraId="09DDB7A8" w14:textId="77777777" w:rsidR="00221C59" w:rsidRDefault="00221C59" w:rsidP="00221C59">
            <w:pPr>
              <w:jc w:val="center"/>
              <w:rPr>
                <w:szCs w:val="20"/>
              </w:rPr>
            </w:pPr>
          </w:p>
          <w:p w14:paraId="19DB5178" w14:textId="77777777" w:rsidR="00221C59" w:rsidRPr="006730D4" w:rsidRDefault="00221C59" w:rsidP="00221C59">
            <w:pPr>
              <w:jc w:val="center"/>
              <w:rPr>
                <w:i/>
                <w:iCs/>
                <w:szCs w:val="20"/>
              </w:rPr>
            </w:pPr>
            <w:r w:rsidRPr="006730D4">
              <w:rPr>
                <w:i/>
                <w:iCs/>
                <w:szCs w:val="20"/>
              </w:rPr>
              <w:t>Partner Agency:</w:t>
            </w:r>
          </w:p>
          <w:p w14:paraId="0DD12D3B" w14:textId="77777777" w:rsidR="00221C59" w:rsidRPr="006730D4" w:rsidRDefault="00221C59" w:rsidP="00221C59">
            <w:pPr>
              <w:jc w:val="center"/>
              <w:rPr>
                <w:szCs w:val="20"/>
              </w:rPr>
            </w:pPr>
            <w:r>
              <w:rPr>
                <w:szCs w:val="20"/>
              </w:rPr>
              <w:t>UN Women</w:t>
            </w:r>
            <w:r w:rsidRPr="006730D4">
              <w:rPr>
                <w:szCs w:val="20"/>
              </w:rPr>
              <w:t xml:space="preserve">, </w:t>
            </w:r>
          </w:p>
          <w:p w14:paraId="2CC0F299" w14:textId="77777777" w:rsidR="00221C59" w:rsidRPr="006730D4" w:rsidRDefault="00221C59" w:rsidP="00221C59">
            <w:pPr>
              <w:jc w:val="center"/>
              <w:rPr>
                <w:szCs w:val="20"/>
              </w:rPr>
            </w:pPr>
            <w:r w:rsidRPr="006730D4">
              <w:rPr>
                <w:szCs w:val="20"/>
              </w:rPr>
              <w:t>DESA Population Division,</w:t>
            </w:r>
          </w:p>
          <w:p w14:paraId="012799F9" w14:textId="77777777" w:rsidR="00221C59" w:rsidRDefault="00221C59" w:rsidP="00221C59">
            <w:pPr>
              <w:jc w:val="center"/>
              <w:rPr>
                <w:szCs w:val="20"/>
              </w:rPr>
            </w:pPr>
            <w:r w:rsidRPr="006730D4">
              <w:rPr>
                <w:szCs w:val="20"/>
              </w:rPr>
              <w:t>WHO</w:t>
            </w:r>
          </w:p>
        </w:tc>
        <w:tc>
          <w:tcPr>
            <w:tcW w:w="985" w:type="dxa"/>
            <w:shd w:val="clear" w:color="auto" w:fill="auto"/>
          </w:tcPr>
          <w:p w14:paraId="674A9662" w14:textId="77777777" w:rsidR="00221C59" w:rsidRDefault="00221C59" w:rsidP="00221C59">
            <w:pPr>
              <w:jc w:val="center"/>
              <w:rPr>
                <w:szCs w:val="20"/>
              </w:rPr>
            </w:pPr>
            <w:r>
              <w:rPr>
                <w:szCs w:val="20"/>
              </w:rPr>
              <w:t>Tier II</w:t>
            </w:r>
          </w:p>
          <w:p w14:paraId="33781EE5" w14:textId="1CCC6F2A" w:rsidR="00221C59" w:rsidRDefault="00221C59" w:rsidP="00221C59">
            <w:pPr>
              <w:jc w:val="center"/>
              <w:rPr>
                <w:szCs w:val="20"/>
              </w:rPr>
            </w:pPr>
          </w:p>
        </w:tc>
        <w:tc>
          <w:tcPr>
            <w:tcW w:w="5331" w:type="dxa"/>
            <w:shd w:val="clear" w:color="auto" w:fill="auto"/>
          </w:tcPr>
          <w:p w14:paraId="22460EB6" w14:textId="77777777" w:rsidR="00221C59" w:rsidRPr="003B5919" w:rsidRDefault="00221C59" w:rsidP="00221C59">
            <w:pPr>
              <w:jc w:val="both"/>
              <w:rPr>
                <w:b/>
                <w:bCs/>
                <w:szCs w:val="20"/>
              </w:rPr>
            </w:pPr>
            <w:r w:rsidRPr="003B5919">
              <w:rPr>
                <w:b/>
                <w:bCs/>
                <w:szCs w:val="20"/>
              </w:rPr>
              <w:t>Definition:</w:t>
            </w:r>
          </w:p>
          <w:p w14:paraId="405932F7" w14:textId="77777777" w:rsidR="00221C59" w:rsidRPr="005B08BC" w:rsidRDefault="00221C59" w:rsidP="00221C59">
            <w:pPr>
              <w:rPr>
                <w:szCs w:val="20"/>
              </w:rPr>
            </w:pPr>
            <w:r w:rsidRPr="005B08BC">
              <w:rPr>
                <w:szCs w:val="20"/>
              </w:rPr>
              <w:t xml:space="preserve">Sustainable Development Goal (SDG) Indicator 5.6.2 seeks to measure the extent to which countries have national laws and regulations that guarantee full and equal access to women and men aged 15 years and older to sexual and reproductive health care, information and education.  </w:t>
            </w:r>
          </w:p>
          <w:p w14:paraId="3904F789" w14:textId="77777777" w:rsidR="00221C59" w:rsidRPr="005B08BC" w:rsidRDefault="00221C59" w:rsidP="00221C59">
            <w:pPr>
              <w:rPr>
                <w:szCs w:val="20"/>
              </w:rPr>
            </w:pPr>
          </w:p>
          <w:p w14:paraId="0E991964" w14:textId="77777777" w:rsidR="00221C59" w:rsidRDefault="00221C59" w:rsidP="00221C59">
            <w:pPr>
              <w:rPr>
                <w:szCs w:val="20"/>
              </w:rPr>
            </w:pPr>
            <w:r w:rsidRPr="005B08BC">
              <w:rPr>
                <w:szCs w:val="20"/>
              </w:rPr>
              <w:t>The indicator is a percentage (%) scale of 0 to 100 (national laws and regulations exist to guarantee full and equal access), indicating a country’s status and progress in the existence of such national laws and regulations.  Indicator 5.6.2 measures only the existence of laws and regulations; it does not measure their implementation.</w:t>
            </w:r>
          </w:p>
          <w:p w14:paraId="226FC3E8" w14:textId="77777777" w:rsidR="00221C59" w:rsidRDefault="00221C59" w:rsidP="00221C59">
            <w:pPr>
              <w:rPr>
                <w:szCs w:val="20"/>
              </w:rPr>
            </w:pPr>
          </w:p>
          <w:p w14:paraId="308E146B" w14:textId="20006A90" w:rsidR="00221C59" w:rsidRDefault="00221C59" w:rsidP="00221C59">
            <w:pPr>
              <w:jc w:val="both"/>
              <w:rPr>
                <w:szCs w:val="20"/>
              </w:rPr>
            </w:pPr>
          </w:p>
          <w:p w14:paraId="55B21E8B" w14:textId="77777777" w:rsidR="00221C59" w:rsidRPr="000C4849" w:rsidRDefault="00221C59" w:rsidP="00221C59">
            <w:pPr>
              <w:jc w:val="both"/>
              <w:rPr>
                <w:b/>
                <w:szCs w:val="20"/>
              </w:rPr>
            </w:pPr>
            <w:r w:rsidRPr="000C4849">
              <w:rPr>
                <w:b/>
                <w:szCs w:val="20"/>
              </w:rPr>
              <w:t>Concepts:</w:t>
            </w:r>
          </w:p>
          <w:p w14:paraId="2D4A93E3" w14:textId="77777777" w:rsidR="00221C59" w:rsidRPr="005B08BC" w:rsidRDefault="00221C59" w:rsidP="00221C59">
            <w:pPr>
              <w:jc w:val="both"/>
              <w:rPr>
                <w:szCs w:val="20"/>
              </w:rPr>
            </w:pPr>
            <w:r w:rsidRPr="005B08BC">
              <w:rPr>
                <w:szCs w:val="20"/>
              </w:rPr>
              <w:t xml:space="preserve">Laws: laws and statutes are official rules of conduct or action prescribed, or formally recognized as binding, or enforced by a controlling authority that governs the behavior of actors (including people, corporations, associations, government agencies).  They are adopted or ratified by the legislative branch of government and may be formally recognized in the Constitution or interpreted by courts.  Laws governing sexual and reproductive health are not necessarily contained in one law. </w:t>
            </w:r>
          </w:p>
          <w:p w14:paraId="211839B1" w14:textId="77777777" w:rsidR="00221C59" w:rsidRPr="005B08BC" w:rsidRDefault="00221C59" w:rsidP="00221C59">
            <w:pPr>
              <w:jc w:val="both"/>
              <w:rPr>
                <w:szCs w:val="20"/>
              </w:rPr>
            </w:pPr>
          </w:p>
          <w:p w14:paraId="396A070E" w14:textId="77777777" w:rsidR="00221C59" w:rsidRPr="005B08BC" w:rsidRDefault="00221C59" w:rsidP="00221C59">
            <w:pPr>
              <w:jc w:val="both"/>
              <w:rPr>
                <w:szCs w:val="20"/>
              </w:rPr>
            </w:pPr>
            <w:r w:rsidRPr="005B08BC">
              <w:rPr>
                <w:szCs w:val="20"/>
              </w:rPr>
              <w:t xml:space="preserve">Regulations: are considered to be executive, ministerial or other administrative orders or decrees.   At the municipal level, regulations are sometimes called ordinances.  Regulations and ordinances issued by governmental entities have the force of law, although circumscribed by the level of the issuing authority.  Under this methodology, only regulations with national-level application are considered.  </w:t>
            </w:r>
          </w:p>
          <w:p w14:paraId="339D7010" w14:textId="77777777" w:rsidR="00221C59" w:rsidRPr="005B08BC" w:rsidRDefault="00221C59" w:rsidP="00221C59">
            <w:pPr>
              <w:jc w:val="both"/>
              <w:rPr>
                <w:szCs w:val="20"/>
              </w:rPr>
            </w:pPr>
            <w:r w:rsidRPr="005B08BC">
              <w:rPr>
                <w:szCs w:val="20"/>
              </w:rPr>
              <w:t xml:space="preserve">Restrictions: many laws and regulations contain restrictions in the scope of their applicability.  Such restrictions, which include, though are not limited to, those by age, sex, marital status, and requirement for third party authorization, represent barriers to full and equal access to sexual and reproductive health care, information and education.  </w:t>
            </w:r>
          </w:p>
          <w:p w14:paraId="39E0F6B2" w14:textId="77777777" w:rsidR="00221C59" w:rsidRPr="005B08BC" w:rsidRDefault="00221C59" w:rsidP="00221C59">
            <w:pPr>
              <w:jc w:val="both"/>
              <w:rPr>
                <w:szCs w:val="20"/>
              </w:rPr>
            </w:pPr>
          </w:p>
          <w:p w14:paraId="0664DF30" w14:textId="77777777" w:rsidR="00221C59" w:rsidRPr="005B08BC" w:rsidRDefault="00221C59" w:rsidP="00221C59">
            <w:pPr>
              <w:jc w:val="both"/>
              <w:rPr>
                <w:szCs w:val="20"/>
              </w:rPr>
            </w:pPr>
            <w:r w:rsidRPr="005B08BC">
              <w:rPr>
                <w:szCs w:val="20"/>
              </w:rPr>
              <w:t xml:space="preserve">Plural legal systems: are defined as legal systems in which multiple sources of law co-exist.  Such legal systems have typically developed over a period of time as a consequence of colonial inheritance, religion and other socio-cultural factors.  Examples of sources of law that might co-exist under a plural legal system include: English common law, French civil or other law, statutory law, and customary and religious law.  The co-existence of multiple sources of law can create fundamental contradictions in the legal system, which result in barriers to full and equal access to sexual and reproductive health care, information and education.  </w:t>
            </w:r>
          </w:p>
          <w:p w14:paraId="66D2E3B7" w14:textId="77777777" w:rsidR="00221C59" w:rsidRPr="005B08BC" w:rsidRDefault="00221C59" w:rsidP="00221C59">
            <w:pPr>
              <w:jc w:val="both"/>
              <w:rPr>
                <w:szCs w:val="20"/>
              </w:rPr>
            </w:pPr>
          </w:p>
          <w:p w14:paraId="4376D4EC" w14:textId="77777777" w:rsidR="00221C59" w:rsidRDefault="00221C59" w:rsidP="00221C59">
            <w:pPr>
              <w:jc w:val="both"/>
              <w:rPr>
                <w:szCs w:val="20"/>
              </w:rPr>
            </w:pPr>
            <w:r w:rsidRPr="005B08BC">
              <w:rPr>
                <w:szCs w:val="20"/>
              </w:rPr>
              <w:t>“Guarantee” (access): for the purpose of this methodology, “guarantee” is understood in relation to a law or regulation that assures a particular outcome or condition.  The methodology recognizes that laws can only guarantee “in principle”; for the outcomes to be fully realized in practice, additional steps, including policy and budgetary measures will need to be in place.</w:t>
            </w:r>
          </w:p>
          <w:p w14:paraId="40D33BB9" w14:textId="77777777" w:rsidR="00221C59" w:rsidRDefault="00221C59" w:rsidP="00221C59">
            <w:pPr>
              <w:jc w:val="both"/>
              <w:rPr>
                <w:szCs w:val="20"/>
              </w:rPr>
            </w:pPr>
          </w:p>
          <w:p w14:paraId="02A707D2" w14:textId="77777777" w:rsidR="00221C59" w:rsidRPr="000C4849" w:rsidRDefault="00221C59" w:rsidP="00221C59">
            <w:pPr>
              <w:jc w:val="both"/>
              <w:rPr>
                <w:b/>
                <w:szCs w:val="20"/>
              </w:rPr>
            </w:pPr>
            <w:r w:rsidRPr="000C4849">
              <w:rPr>
                <w:b/>
                <w:szCs w:val="20"/>
              </w:rPr>
              <w:t>Computation Method:</w:t>
            </w:r>
          </w:p>
          <w:p w14:paraId="5CE3AE12" w14:textId="77777777" w:rsidR="00221C59" w:rsidRPr="005B08BC" w:rsidRDefault="00221C59" w:rsidP="00221C59">
            <w:pPr>
              <w:jc w:val="both"/>
              <w:rPr>
                <w:szCs w:val="20"/>
              </w:rPr>
            </w:pPr>
            <w:r w:rsidRPr="005B08BC">
              <w:rPr>
                <w:szCs w:val="20"/>
              </w:rPr>
              <w:t>The indicator measures specific legal enablers and barriers for 13 components across four sections. The calculation of the indicator requires data for all 13 components.</w:t>
            </w:r>
          </w:p>
          <w:p w14:paraId="2599DDE2" w14:textId="77777777" w:rsidR="00221C59" w:rsidRPr="005B08BC" w:rsidRDefault="00221C59" w:rsidP="00221C59">
            <w:pPr>
              <w:jc w:val="both"/>
              <w:rPr>
                <w:szCs w:val="20"/>
              </w:rPr>
            </w:pPr>
          </w:p>
          <w:p w14:paraId="1AE1DC74" w14:textId="77777777" w:rsidR="00221C59" w:rsidRPr="005B08BC" w:rsidRDefault="00221C59" w:rsidP="00221C59">
            <w:pPr>
              <w:jc w:val="both"/>
              <w:rPr>
                <w:szCs w:val="20"/>
              </w:rPr>
            </w:pPr>
            <w:r w:rsidRPr="005B08BC">
              <w:rPr>
                <w:szCs w:val="20"/>
              </w:rPr>
              <w:t>The 13 components are placed on the same scale, with 0% being the lowest value and 100% being the most optimal value. Each component is calculated independently and weighted equally.  Each component is calculated as:</w:t>
            </w:r>
          </w:p>
          <w:p w14:paraId="65D30E34" w14:textId="77777777" w:rsidR="00221C59" w:rsidRPr="005B08BC" w:rsidRDefault="00221C59" w:rsidP="00221C59">
            <w:pPr>
              <w:jc w:val="both"/>
              <w:rPr>
                <w:szCs w:val="20"/>
              </w:rPr>
            </w:pPr>
            <m:oMathPara>
              <m:oMath>
                <m:r>
                  <w:rPr>
                    <w:rFonts w:ascii="Cambria Math" w:eastAsia="Cambria Math" w:hAnsi="Cambria Math" w:cstheme="minorBidi"/>
                    <w:kern w:val="24"/>
                    <w:szCs w:val="48"/>
                  </w:rPr>
                  <m:t>C</m:t>
                </m:r>
                <m:r>
                  <w:rPr>
                    <w:rFonts w:ascii="Cambria Math" w:eastAsia="Cambria Math" w:hAnsi="Cambria Math" w:cstheme="minorBidi"/>
                    <w:kern w:val="24"/>
                    <w:position w:val="-12"/>
                    <w:szCs w:val="48"/>
                    <w:vertAlign w:val="subscript"/>
                  </w:rPr>
                  <m:t>i</m:t>
                </m:r>
                <m:r>
                  <w:rPr>
                    <w:rFonts w:ascii="Cambria Math" w:eastAsia="Cambria Math" w:hAnsi="Cambria Math" w:cstheme="minorBidi"/>
                    <w:kern w:val="24"/>
                    <w:szCs w:val="48"/>
                  </w:rPr>
                  <m:t>=</m:t>
                </m:r>
                <m:d>
                  <m:dPr>
                    <m:ctrlPr>
                      <w:rPr>
                        <w:rFonts w:ascii="Cambria Math" w:eastAsia="Cambria Math" w:hAnsi="Cambria Math" w:cstheme="minorBidi"/>
                        <w:i/>
                        <w:iCs/>
                        <w:kern w:val="24"/>
                        <w:szCs w:val="48"/>
                      </w:rPr>
                    </m:ctrlPr>
                  </m:dPr>
                  <m:e>
                    <m:f>
                      <m:fPr>
                        <m:ctrlPr>
                          <w:rPr>
                            <w:rFonts w:ascii="Cambria Math" w:eastAsia="Cambria Math" w:hAnsi="Cambria Math" w:cstheme="minorBidi"/>
                            <w:i/>
                            <w:iCs/>
                            <w:kern w:val="24"/>
                            <w:szCs w:val="48"/>
                          </w:rPr>
                        </m:ctrlPr>
                      </m:fPr>
                      <m:num>
                        <m:r>
                          <w:rPr>
                            <w:rFonts w:ascii="Cambria Math" w:eastAsia="Cambria Math" w:hAnsi="Cambria Math" w:cstheme="minorBidi"/>
                            <w:kern w:val="24"/>
                            <w:szCs w:val="48"/>
                          </w:rPr>
                          <m:t>e</m:t>
                        </m:r>
                        <m:r>
                          <w:rPr>
                            <w:rFonts w:ascii="Cambria Math" w:eastAsia="Cambria Math" w:hAnsi="Cambria Math" w:cstheme="minorBidi"/>
                            <w:kern w:val="24"/>
                            <w:position w:val="-12"/>
                            <w:szCs w:val="48"/>
                            <w:vertAlign w:val="subscript"/>
                          </w:rPr>
                          <m:t>i</m:t>
                        </m:r>
                      </m:num>
                      <m:den>
                        <m:r>
                          <w:rPr>
                            <w:rFonts w:ascii="Cambria Math" w:hAnsi="Cambria Math" w:cstheme="minorBidi"/>
                            <w:kern w:val="24"/>
                            <w:szCs w:val="48"/>
                          </w:rPr>
                          <m:t>E</m:t>
                        </m:r>
                        <m:r>
                          <w:rPr>
                            <w:rFonts w:ascii="Cambria Math" w:hAnsi="Cambria Math" w:cstheme="minorBidi"/>
                            <w:kern w:val="24"/>
                            <w:position w:val="-12"/>
                            <w:szCs w:val="48"/>
                            <w:vertAlign w:val="subscript"/>
                          </w:rPr>
                          <m:t>i</m:t>
                        </m:r>
                      </m:den>
                    </m:f>
                    <m:r>
                      <w:rPr>
                        <w:rFonts w:ascii="Cambria Math" w:eastAsia="Cambria Math" w:hAnsi="Cambria Math" w:cstheme="minorBidi"/>
                        <w:kern w:val="24"/>
                        <w:szCs w:val="48"/>
                      </w:rPr>
                      <m:t>-</m:t>
                    </m:r>
                    <m:f>
                      <m:fPr>
                        <m:ctrlPr>
                          <w:rPr>
                            <w:rFonts w:ascii="Cambria Math" w:eastAsiaTheme="minorEastAsia" w:hAnsi="Cambria Math" w:cstheme="minorBidi"/>
                            <w:i/>
                            <w:iCs/>
                            <w:kern w:val="24"/>
                            <w:szCs w:val="48"/>
                          </w:rPr>
                        </m:ctrlPr>
                      </m:fPr>
                      <m:num>
                        <m:r>
                          <w:rPr>
                            <w:rFonts w:ascii="Cambria Math" w:hAnsi="Cambria Math" w:cstheme="minorBidi"/>
                            <w:kern w:val="24"/>
                            <w:szCs w:val="48"/>
                          </w:rPr>
                          <m:t>b</m:t>
                        </m:r>
                        <m:r>
                          <w:rPr>
                            <w:rFonts w:ascii="Cambria Math" w:hAnsi="Cambria Math" w:cstheme="minorBidi"/>
                            <w:kern w:val="24"/>
                            <w:position w:val="-12"/>
                            <w:szCs w:val="48"/>
                            <w:vertAlign w:val="subscript"/>
                          </w:rPr>
                          <m:t>i</m:t>
                        </m:r>
                      </m:num>
                      <m:den>
                        <m:r>
                          <w:rPr>
                            <w:rFonts w:ascii="Cambria Math" w:hAnsi="Cambria Math" w:cstheme="minorBidi"/>
                            <w:kern w:val="24"/>
                            <w:szCs w:val="48"/>
                          </w:rPr>
                          <m:t>B</m:t>
                        </m:r>
                        <m:r>
                          <w:rPr>
                            <w:rFonts w:ascii="Cambria Math" w:hAnsi="Cambria Math" w:cstheme="minorBidi"/>
                            <w:kern w:val="24"/>
                            <w:position w:val="-12"/>
                            <w:szCs w:val="48"/>
                            <w:vertAlign w:val="subscript"/>
                          </w:rPr>
                          <m:t>i</m:t>
                        </m:r>
                      </m:den>
                    </m:f>
                  </m:e>
                </m:d>
                <m:r>
                  <w:rPr>
                    <w:rFonts w:ascii="Cambria Math" w:eastAsia="Cambria Math" w:hAnsi="Cambria Math" w:cstheme="minorBidi"/>
                    <w:kern w:val="24"/>
                    <w:szCs w:val="48"/>
                  </w:rPr>
                  <m:t> ×100</m:t>
                </m:r>
              </m:oMath>
            </m:oMathPara>
          </w:p>
          <w:p w14:paraId="6CD4C657" w14:textId="77777777" w:rsidR="00221C59" w:rsidRPr="005B08BC" w:rsidRDefault="00221C59" w:rsidP="00221C59">
            <w:pPr>
              <w:jc w:val="both"/>
              <w:rPr>
                <w:szCs w:val="20"/>
              </w:rPr>
            </w:pPr>
          </w:p>
          <w:p w14:paraId="39C9F590" w14:textId="77777777" w:rsidR="00221C59" w:rsidRPr="00BE4170" w:rsidRDefault="00221C59" w:rsidP="00221C59">
            <w:pPr>
              <w:pStyle w:val="NormalWeb"/>
              <w:rPr>
                <w:sz w:val="12"/>
              </w:rPr>
            </w:pPr>
            <m:oMath>
              <m:r>
                <w:rPr>
                  <w:rFonts w:ascii="Cambria Math" w:eastAsia="Cambria Math" w:hAnsi="Cambria Math" w:cstheme="minorBidi"/>
                  <w:color w:val="000000" w:themeColor="text1"/>
                  <w:kern w:val="24"/>
                  <w:sz w:val="14"/>
                  <w:szCs w:val="26"/>
                </w:rPr>
                <m:t>C</m:t>
              </m:r>
              <m:r>
                <w:rPr>
                  <w:rFonts w:ascii="Cambria Math" w:eastAsia="Cambria Math" w:hAnsi="Cambria Math" w:cstheme="minorBidi"/>
                  <w:color w:val="000000" w:themeColor="text1"/>
                  <w:kern w:val="24"/>
                  <w:position w:val="-7"/>
                  <w:sz w:val="14"/>
                  <w:szCs w:val="26"/>
                  <w:vertAlign w:val="subscript"/>
                </w:rPr>
                <m:t>i</m:t>
              </m:r>
            </m:oMath>
            <w:r w:rsidRPr="00BE4170">
              <w:rPr>
                <w:rFonts w:ascii="Arial" w:hAnsi="Arial" w:cs="Arial"/>
                <w:color w:val="000000" w:themeColor="text1"/>
                <w:kern w:val="24"/>
                <w:sz w:val="14"/>
                <w:szCs w:val="26"/>
              </w:rPr>
              <w:t xml:space="preserve">: </w:t>
            </w:r>
            <w:r>
              <w:rPr>
                <w:rFonts w:ascii="Arial" w:hAnsi="Arial" w:cs="Arial"/>
                <w:color w:val="000000" w:themeColor="text1"/>
                <w:kern w:val="24"/>
                <w:sz w:val="14"/>
                <w:szCs w:val="26"/>
              </w:rPr>
              <w:t>Data</w:t>
            </w:r>
            <w:r w:rsidRPr="00BE4170">
              <w:rPr>
                <w:rFonts w:ascii="Arial" w:hAnsi="Arial" w:cs="Arial"/>
                <w:color w:val="000000" w:themeColor="text1"/>
                <w:kern w:val="24"/>
                <w:sz w:val="14"/>
                <w:szCs w:val="26"/>
              </w:rPr>
              <w:t xml:space="preserve"> for component i</w:t>
            </w:r>
          </w:p>
          <w:p w14:paraId="13DE55D4" w14:textId="77777777" w:rsidR="00221C59" w:rsidRPr="00BE4170" w:rsidRDefault="00221C59" w:rsidP="00221C59">
            <w:pPr>
              <w:pStyle w:val="NormalWeb"/>
              <w:rPr>
                <w:sz w:val="12"/>
              </w:rPr>
            </w:pPr>
            <m:oMath>
              <m:r>
                <w:rPr>
                  <w:rFonts w:ascii="Cambria Math" w:hAnsi="Cambria Math" w:cstheme="minorBidi"/>
                  <w:color w:val="000000" w:themeColor="text1"/>
                  <w:kern w:val="24"/>
                  <w:sz w:val="14"/>
                  <w:szCs w:val="26"/>
                </w:rPr>
                <m:t>E</m:t>
              </m:r>
              <m:r>
                <w:rPr>
                  <w:rFonts w:ascii="Cambria Math" w:hAnsi="Cambria Math" w:cstheme="minorBidi"/>
                  <w:color w:val="000000" w:themeColor="text1"/>
                  <w:kern w:val="24"/>
                  <w:position w:val="-7"/>
                  <w:sz w:val="14"/>
                  <w:szCs w:val="26"/>
                  <w:vertAlign w:val="subscript"/>
                </w:rPr>
                <m:t>i</m:t>
              </m:r>
            </m:oMath>
            <w:r w:rsidRPr="00BE4170">
              <w:rPr>
                <w:rFonts w:ascii="Arial" w:hAnsi="Arial" w:cs="Arial"/>
                <w:color w:val="000000" w:themeColor="text1"/>
                <w:kern w:val="24"/>
                <w:sz w:val="14"/>
                <w:szCs w:val="26"/>
              </w:rPr>
              <w:t>: Total number of enablers in component i</w:t>
            </w:r>
          </w:p>
          <w:p w14:paraId="538F688D" w14:textId="77777777" w:rsidR="00221C59" w:rsidRPr="00BE4170" w:rsidRDefault="00221C59" w:rsidP="00221C59">
            <w:pPr>
              <w:pStyle w:val="NormalWeb"/>
              <w:rPr>
                <w:sz w:val="12"/>
              </w:rPr>
            </w:pPr>
            <m:oMath>
              <m:r>
                <w:rPr>
                  <w:rFonts w:ascii="Cambria Math" w:eastAsia="Cambria Math" w:hAnsi="Cambria Math" w:cstheme="minorBidi"/>
                  <w:color w:val="000000" w:themeColor="text1"/>
                  <w:kern w:val="24"/>
                  <w:sz w:val="14"/>
                  <w:szCs w:val="26"/>
                </w:rPr>
                <m:t>e</m:t>
              </m:r>
              <m:r>
                <w:rPr>
                  <w:rFonts w:ascii="Cambria Math" w:eastAsia="Cambria Math" w:hAnsi="Cambria Math" w:cstheme="minorBidi"/>
                  <w:color w:val="000000" w:themeColor="text1"/>
                  <w:kern w:val="24"/>
                  <w:position w:val="-7"/>
                  <w:sz w:val="14"/>
                  <w:szCs w:val="26"/>
                  <w:vertAlign w:val="subscript"/>
                </w:rPr>
                <m:t>i</m:t>
              </m:r>
            </m:oMath>
            <w:r w:rsidRPr="00BE4170">
              <w:rPr>
                <w:rFonts w:ascii="Arial" w:hAnsi="Arial" w:cs="Arial"/>
                <w:color w:val="000000" w:themeColor="text1"/>
                <w:kern w:val="24"/>
                <w:sz w:val="14"/>
                <w:szCs w:val="26"/>
              </w:rPr>
              <w:t>: Number of enablers that exist in component i</w:t>
            </w:r>
          </w:p>
          <w:p w14:paraId="3FAACE73" w14:textId="77777777" w:rsidR="00221C59" w:rsidRPr="00BE4170" w:rsidRDefault="00221C59" w:rsidP="00221C59">
            <w:pPr>
              <w:pStyle w:val="NormalWeb"/>
              <w:rPr>
                <w:sz w:val="12"/>
              </w:rPr>
            </w:pPr>
            <m:oMath>
              <m:r>
                <w:rPr>
                  <w:rFonts w:ascii="Cambria Math" w:hAnsi="Cambria Math" w:cstheme="minorBidi"/>
                  <w:color w:val="000000" w:themeColor="text1"/>
                  <w:kern w:val="24"/>
                  <w:sz w:val="14"/>
                  <w:szCs w:val="26"/>
                </w:rPr>
                <m:t>B</m:t>
              </m:r>
              <m:r>
                <w:rPr>
                  <w:rFonts w:ascii="Cambria Math" w:hAnsi="Cambria Math" w:cstheme="minorBidi"/>
                  <w:color w:val="000000" w:themeColor="text1"/>
                  <w:kern w:val="24"/>
                  <w:position w:val="-7"/>
                  <w:sz w:val="14"/>
                  <w:szCs w:val="26"/>
                  <w:vertAlign w:val="subscript"/>
                </w:rPr>
                <m:t>i</m:t>
              </m:r>
            </m:oMath>
            <w:r w:rsidRPr="00BE4170">
              <w:rPr>
                <w:rFonts w:ascii="Arial" w:hAnsi="Arial" w:cs="Arial"/>
                <w:color w:val="000000" w:themeColor="text1"/>
                <w:kern w:val="24"/>
                <w:sz w:val="14"/>
                <w:szCs w:val="26"/>
              </w:rPr>
              <w:t>: Total number of barriers in component i</w:t>
            </w:r>
          </w:p>
          <w:p w14:paraId="16BEFAD4" w14:textId="77777777" w:rsidR="00221C59" w:rsidRPr="00BE4170" w:rsidRDefault="00221C59" w:rsidP="00221C59">
            <w:pPr>
              <w:pStyle w:val="NormalWeb"/>
              <w:rPr>
                <w:sz w:val="12"/>
              </w:rPr>
            </w:pPr>
            <m:oMath>
              <m:r>
                <w:rPr>
                  <w:rFonts w:ascii="Cambria Math" w:hAnsi="Cambria Math" w:cstheme="minorBidi"/>
                  <w:color w:val="000000" w:themeColor="text1"/>
                  <w:kern w:val="24"/>
                  <w:sz w:val="14"/>
                  <w:szCs w:val="26"/>
                </w:rPr>
                <m:t>b</m:t>
              </m:r>
              <m:r>
                <w:rPr>
                  <w:rFonts w:ascii="Cambria Math" w:hAnsi="Cambria Math" w:cstheme="minorBidi"/>
                  <w:color w:val="000000" w:themeColor="text1"/>
                  <w:kern w:val="24"/>
                  <w:position w:val="-7"/>
                  <w:sz w:val="14"/>
                  <w:szCs w:val="26"/>
                  <w:vertAlign w:val="subscript"/>
                </w:rPr>
                <m:t>i</m:t>
              </m:r>
            </m:oMath>
            <w:r w:rsidRPr="00BE4170">
              <w:rPr>
                <w:rFonts w:ascii="Arial" w:hAnsi="Arial" w:cs="Arial"/>
                <w:color w:val="000000" w:themeColor="text1"/>
                <w:kern w:val="24"/>
                <w:sz w:val="14"/>
                <w:szCs w:val="26"/>
              </w:rPr>
              <w:t>: Number of barriers that exist in component i</w:t>
            </w:r>
          </w:p>
          <w:p w14:paraId="37A963D1" w14:textId="77777777" w:rsidR="00221C59" w:rsidRPr="005B08BC" w:rsidRDefault="00221C59" w:rsidP="00221C59">
            <w:pPr>
              <w:jc w:val="both"/>
              <w:rPr>
                <w:szCs w:val="20"/>
              </w:rPr>
            </w:pPr>
          </w:p>
          <w:p w14:paraId="786729BB" w14:textId="77777777" w:rsidR="00221C59" w:rsidRDefault="00221C59" w:rsidP="00221C59">
            <w:pPr>
              <w:jc w:val="both"/>
              <w:rPr>
                <w:szCs w:val="20"/>
              </w:rPr>
            </w:pPr>
            <w:r w:rsidRPr="005B08BC">
              <w:rPr>
                <w:szCs w:val="20"/>
              </w:rPr>
              <w:t>Value for Indicator 5.6.2 is calculated as the arithmetic mean of the 13 component data. Similarly, the value for each section is calculated as the arithmetic mean of its constituent component data.</w:t>
            </w:r>
          </w:p>
          <w:p w14:paraId="28B8DED9" w14:textId="77777777" w:rsidR="00221C59" w:rsidRPr="003B5919" w:rsidRDefault="00221C59" w:rsidP="00221C59">
            <w:pPr>
              <w:jc w:val="both"/>
              <w:rPr>
                <w:b/>
                <w:bCs/>
                <w:szCs w:val="20"/>
              </w:rPr>
            </w:pPr>
          </w:p>
        </w:tc>
        <w:tc>
          <w:tcPr>
            <w:tcW w:w="967" w:type="dxa"/>
            <w:shd w:val="clear" w:color="auto" w:fill="auto"/>
          </w:tcPr>
          <w:p w14:paraId="574A04AC" w14:textId="77777777" w:rsidR="00221C59" w:rsidRPr="003B5919" w:rsidRDefault="00221C59" w:rsidP="00221C59">
            <w:pPr>
              <w:jc w:val="center"/>
              <w:rPr>
                <w:bCs/>
                <w:szCs w:val="20"/>
              </w:rPr>
            </w:pPr>
            <w:r w:rsidRPr="003B5919">
              <w:rPr>
                <w:bCs/>
                <w:szCs w:val="20"/>
              </w:rPr>
              <w:lastRenderedPageBreak/>
              <w:t>Administrative Record</w:t>
            </w:r>
          </w:p>
        </w:tc>
        <w:tc>
          <w:tcPr>
            <w:tcW w:w="1140" w:type="dxa"/>
            <w:shd w:val="clear" w:color="auto" w:fill="auto"/>
          </w:tcPr>
          <w:p w14:paraId="4DA20C28" w14:textId="4B04D8A0" w:rsidR="00221C59" w:rsidRPr="003B5919" w:rsidRDefault="009903FC" w:rsidP="00221C59">
            <w:pPr>
              <w:jc w:val="center"/>
              <w:rPr>
                <w:bCs/>
                <w:szCs w:val="20"/>
              </w:rPr>
            </w:pPr>
            <w:r w:rsidRPr="009903FC">
              <w:rPr>
                <w:bCs/>
                <w:szCs w:val="20"/>
              </w:rPr>
              <w:t>Data will be provided by relevant government ministries, departments and agencies</w:t>
            </w:r>
          </w:p>
        </w:tc>
        <w:tc>
          <w:tcPr>
            <w:tcW w:w="721" w:type="dxa"/>
            <w:shd w:val="clear" w:color="auto" w:fill="auto"/>
          </w:tcPr>
          <w:p w14:paraId="5CB933EB" w14:textId="13F74273" w:rsidR="00221C59" w:rsidRPr="003B5919" w:rsidRDefault="00221C59" w:rsidP="00221C59">
            <w:pPr>
              <w:jc w:val="center"/>
              <w:rPr>
                <w:bCs/>
                <w:szCs w:val="20"/>
              </w:rPr>
            </w:pPr>
          </w:p>
        </w:tc>
        <w:tc>
          <w:tcPr>
            <w:tcW w:w="1116" w:type="dxa"/>
            <w:shd w:val="clear" w:color="auto" w:fill="auto"/>
          </w:tcPr>
          <w:p w14:paraId="4809B2F6" w14:textId="77777777" w:rsidR="00221C59" w:rsidRPr="00D421D3" w:rsidRDefault="00221C59" w:rsidP="00221C59">
            <w:pPr>
              <w:jc w:val="center"/>
              <w:rPr>
                <w:color w:val="FF0000"/>
                <w:szCs w:val="20"/>
              </w:rPr>
            </w:pPr>
            <w:r>
              <w:rPr>
                <w:color w:val="FF0000"/>
                <w:szCs w:val="20"/>
              </w:rPr>
              <w:t xml:space="preserve">a)  </w:t>
            </w:r>
            <w:r w:rsidRPr="00D421D3">
              <w:rPr>
                <w:color w:val="FF0000"/>
                <w:szCs w:val="20"/>
              </w:rPr>
              <w:t>HDS</w:t>
            </w:r>
          </w:p>
          <w:p w14:paraId="3723531F" w14:textId="77777777" w:rsidR="00221C59" w:rsidRDefault="00221C59" w:rsidP="00221C59">
            <w:pPr>
              <w:jc w:val="center"/>
              <w:rPr>
                <w:color w:val="FF0000"/>
                <w:szCs w:val="20"/>
              </w:rPr>
            </w:pPr>
          </w:p>
          <w:p w14:paraId="6138983D" w14:textId="0FBD04D4" w:rsidR="00221C59" w:rsidRDefault="00221C59" w:rsidP="00221C59">
            <w:pPr>
              <w:jc w:val="center"/>
              <w:rPr>
                <w:bCs/>
                <w:szCs w:val="20"/>
              </w:rPr>
            </w:pPr>
            <w:r>
              <w:rPr>
                <w:color w:val="FF0000"/>
                <w:szCs w:val="20"/>
              </w:rPr>
              <w:t xml:space="preserve">b) </w:t>
            </w:r>
            <w:r w:rsidRPr="001A59B8">
              <w:rPr>
                <w:color w:val="FF0000"/>
                <w:szCs w:val="20"/>
              </w:rPr>
              <w:t>MEFWD</w:t>
            </w:r>
          </w:p>
          <w:p w14:paraId="53353D0B" w14:textId="77777777" w:rsidR="00221C59" w:rsidRPr="003B5919" w:rsidRDefault="00221C59" w:rsidP="00221C59">
            <w:pPr>
              <w:jc w:val="center"/>
              <w:rPr>
                <w:bCs/>
                <w:szCs w:val="20"/>
              </w:rPr>
            </w:pPr>
            <w:r>
              <w:rPr>
                <w:szCs w:val="20"/>
              </w:rPr>
              <w:t>Literature Review</w:t>
            </w:r>
          </w:p>
        </w:tc>
        <w:tc>
          <w:tcPr>
            <w:tcW w:w="1354" w:type="dxa"/>
            <w:shd w:val="clear" w:color="auto" w:fill="auto"/>
          </w:tcPr>
          <w:p w14:paraId="004824FF" w14:textId="616F04B1" w:rsidR="00637E32" w:rsidRPr="000C4849" w:rsidRDefault="00637E32" w:rsidP="00637E32">
            <w:pPr>
              <w:pStyle w:val="ListParagraph"/>
              <w:numPr>
                <w:ilvl w:val="0"/>
                <w:numId w:val="48"/>
              </w:numPr>
              <w:spacing w:after="0" w:line="240" w:lineRule="auto"/>
              <w:ind w:left="160" w:hanging="160"/>
              <w:rPr>
                <w:rFonts w:ascii="Tw Cen MT Condensed" w:hAnsi="Tw Cen MT Condensed"/>
                <w:sz w:val="20"/>
                <w:szCs w:val="24"/>
              </w:rPr>
            </w:pPr>
          </w:p>
          <w:p w14:paraId="44021F1C" w14:textId="77777777" w:rsidR="00637E32" w:rsidRDefault="00637E32" w:rsidP="000C4849">
            <w:pPr>
              <w:pStyle w:val="ListParagraph"/>
              <w:numPr>
                <w:ilvl w:val="0"/>
                <w:numId w:val="48"/>
              </w:numPr>
              <w:spacing w:after="0" w:line="240" w:lineRule="auto"/>
              <w:ind w:left="160" w:hanging="160"/>
            </w:pPr>
            <w:r w:rsidRPr="00B10368">
              <w:rPr>
                <w:rFonts w:ascii="Tw Cen MT Condensed" w:hAnsi="Tw Cen MT Condensed"/>
                <w:sz w:val="20"/>
                <w:szCs w:val="24"/>
              </w:rPr>
              <w:t>sex: male/female</w:t>
            </w:r>
          </w:p>
          <w:p w14:paraId="3C73A384" w14:textId="28B489AF" w:rsidR="00221C59" w:rsidRPr="00634250" w:rsidRDefault="00637E32" w:rsidP="000C4849">
            <w:pPr>
              <w:pStyle w:val="ListParagraph"/>
              <w:numPr>
                <w:ilvl w:val="0"/>
                <w:numId w:val="48"/>
              </w:numPr>
              <w:spacing w:after="0" w:line="240" w:lineRule="auto"/>
              <w:ind w:left="160" w:hanging="160"/>
            </w:pPr>
            <w:r w:rsidRPr="00B10368">
              <w:rPr>
                <w:rFonts w:ascii="Tw Cen MT Condensed" w:hAnsi="Tw Cen MT Condensed"/>
                <w:sz w:val="20"/>
                <w:szCs w:val="24"/>
              </w:rPr>
              <w:t>age</w:t>
            </w:r>
            <w:r w:rsidR="00CB6067">
              <w:rPr>
                <w:rFonts w:ascii="Tw Cen MT Condensed" w:hAnsi="Tw Cen MT Condensed"/>
                <w:sz w:val="20"/>
                <w:szCs w:val="24"/>
              </w:rPr>
              <w:t>: 15-24 yrs, 25-64 yrs, 64+</w:t>
            </w:r>
          </w:p>
        </w:tc>
        <w:tc>
          <w:tcPr>
            <w:tcW w:w="801" w:type="dxa"/>
            <w:shd w:val="clear" w:color="auto" w:fill="auto"/>
          </w:tcPr>
          <w:p w14:paraId="3B54D499" w14:textId="1597750A" w:rsidR="00221C59" w:rsidRPr="003B5919" w:rsidRDefault="005F24FB" w:rsidP="00221C59">
            <w:pPr>
              <w:jc w:val="center"/>
              <w:rPr>
                <w:bCs/>
                <w:szCs w:val="20"/>
              </w:rPr>
            </w:pPr>
            <w:r>
              <w:rPr>
                <w:bCs/>
                <w:szCs w:val="20"/>
              </w:rPr>
              <w:t>Triennial</w:t>
            </w:r>
          </w:p>
        </w:tc>
        <w:tc>
          <w:tcPr>
            <w:tcW w:w="697" w:type="dxa"/>
            <w:shd w:val="clear" w:color="auto" w:fill="auto"/>
          </w:tcPr>
          <w:p w14:paraId="406CBCA9" w14:textId="77777777" w:rsidR="00221C59" w:rsidRPr="003B5919" w:rsidRDefault="00221C59" w:rsidP="00221C59">
            <w:pPr>
              <w:jc w:val="center"/>
              <w:rPr>
                <w:bCs/>
                <w:szCs w:val="20"/>
              </w:rPr>
            </w:pPr>
            <w:r w:rsidRPr="003B5919">
              <w:rPr>
                <w:bCs/>
                <w:szCs w:val="20"/>
              </w:rPr>
              <w:t>Group 3</w:t>
            </w:r>
          </w:p>
        </w:tc>
        <w:tc>
          <w:tcPr>
            <w:tcW w:w="762" w:type="dxa"/>
            <w:shd w:val="clear" w:color="auto" w:fill="auto"/>
          </w:tcPr>
          <w:p w14:paraId="268E7963" w14:textId="77777777" w:rsidR="00221C59" w:rsidRDefault="00221C59" w:rsidP="00221C59">
            <w:pPr>
              <w:pStyle w:val="NoSpacing"/>
            </w:pPr>
            <w:r>
              <w:t>1</w:t>
            </w:r>
            <w:r w:rsidRPr="00013ACB">
              <w:rPr>
                <w:vertAlign w:val="superscript"/>
              </w:rPr>
              <w:t>st</w:t>
            </w:r>
            <w:r>
              <w:t xml:space="preserve"> Round: </w:t>
            </w:r>
          </w:p>
          <w:p w14:paraId="42D38436" w14:textId="77777777" w:rsidR="00221C59" w:rsidRDefault="00221C59" w:rsidP="00221C59">
            <w:pPr>
              <w:pStyle w:val="NoSpacing"/>
            </w:pPr>
            <w:r>
              <w:t>December, 2020</w:t>
            </w:r>
          </w:p>
          <w:p w14:paraId="4783DCC4" w14:textId="77777777" w:rsidR="00221C59" w:rsidRDefault="00221C59" w:rsidP="00221C59">
            <w:pPr>
              <w:pStyle w:val="NoSpacing"/>
            </w:pPr>
            <w:r>
              <w:t>2</w:t>
            </w:r>
            <w:r w:rsidRPr="00013ACB">
              <w:rPr>
                <w:vertAlign w:val="superscript"/>
              </w:rPr>
              <w:t>nd</w:t>
            </w:r>
            <w:r>
              <w:t xml:space="preserve"> Round: </w:t>
            </w:r>
          </w:p>
          <w:p w14:paraId="28B91A2E" w14:textId="77777777" w:rsidR="00221C59" w:rsidRDefault="00221C59" w:rsidP="00221C59">
            <w:pPr>
              <w:pStyle w:val="NoSpacing"/>
            </w:pPr>
            <w:r>
              <w:t>December, 2023</w:t>
            </w:r>
          </w:p>
          <w:p w14:paraId="602E1B6B" w14:textId="77777777" w:rsidR="00221C59" w:rsidRDefault="00221C59" w:rsidP="00221C59">
            <w:pPr>
              <w:pStyle w:val="NoSpacing"/>
            </w:pPr>
          </w:p>
          <w:p w14:paraId="63DEC75D" w14:textId="77777777" w:rsidR="00221C59" w:rsidRDefault="00221C59" w:rsidP="00221C59">
            <w:pPr>
              <w:pStyle w:val="NoSpacing"/>
            </w:pPr>
            <w:r>
              <w:t>3</w:t>
            </w:r>
            <w:r w:rsidRPr="00013ACB">
              <w:rPr>
                <w:vertAlign w:val="superscript"/>
              </w:rPr>
              <w:t>rd</w:t>
            </w:r>
            <w:r>
              <w:t xml:space="preserve"> Round: </w:t>
            </w:r>
          </w:p>
          <w:p w14:paraId="74931F69" w14:textId="77777777" w:rsidR="00221C59" w:rsidRDefault="00221C59" w:rsidP="00221C59">
            <w:pPr>
              <w:pStyle w:val="NoSpacing"/>
            </w:pPr>
            <w:r>
              <w:lastRenderedPageBreak/>
              <w:t>December, 2026</w:t>
            </w:r>
          </w:p>
          <w:p w14:paraId="4B28FD2C" w14:textId="77777777" w:rsidR="00221C59" w:rsidRDefault="00221C59" w:rsidP="00221C59">
            <w:pPr>
              <w:pStyle w:val="NoSpacing"/>
            </w:pPr>
          </w:p>
          <w:p w14:paraId="7E856EE7" w14:textId="77777777" w:rsidR="00221C59" w:rsidRDefault="00221C59" w:rsidP="00221C59">
            <w:pPr>
              <w:pStyle w:val="NoSpacing"/>
            </w:pPr>
            <w:r>
              <w:t>4</w:t>
            </w:r>
            <w:r w:rsidRPr="00013ACB">
              <w:rPr>
                <w:vertAlign w:val="superscript"/>
              </w:rPr>
              <w:t>th</w:t>
            </w:r>
            <w:r>
              <w:t xml:space="preserve"> Round: </w:t>
            </w:r>
          </w:p>
          <w:p w14:paraId="5FFC7FAA" w14:textId="77777777" w:rsidR="00221C59" w:rsidRDefault="00221C59" w:rsidP="00221C59">
            <w:pPr>
              <w:pStyle w:val="NoSpacing"/>
            </w:pPr>
            <w:r>
              <w:t>December, 2029</w:t>
            </w:r>
          </w:p>
          <w:p w14:paraId="74BA7E63" w14:textId="77777777" w:rsidR="00221C59" w:rsidRDefault="00221C59" w:rsidP="00221C59">
            <w:pPr>
              <w:pStyle w:val="NoSpacing"/>
            </w:pPr>
          </w:p>
          <w:p w14:paraId="318F8FCE" w14:textId="77777777" w:rsidR="00221C59" w:rsidRDefault="00221C59" w:rsidP="00221C59">
            <w:pPr>
              <w:pStyle w:val="NoSpacing"/>
            </w:pPr>
            <w:r>
              <w:t>5</w:t>
            </w:r>
            <w:r w:rsidRPr="00013ACB">
              <w:rPr>
                <w:vertAlign w:val="superscript"/>
              </w:rPr>
              <w:t>th</w:t>
            </w:r>
            <w:r>
              <w:t xml:space="preserve"> Round: </w:t>
            </w:r>
          </w:p>
          <w:p w14:paraId="6B8CA4C7" w14:textId="77777777" w:rsidR="00221C59" w:rsidRDefault="00221C59" w:rsidP="00221C59">
            <w:pPr>
              <w:pStyle w:val="NoSpacing"/>
            </w:pPr>
            <w:r>
              <w:t>December, 2030</w:t>
            </w:r>
          </w:p>
          <w:p w14:paraId="0D9A696C" w14:textId="77777777" w:rsidR="00221C59" w:rsidRPr="003B5919" w:rsidRDefault="00221C59" w:rsidP="00221C59">
            <w:pPr>
              <w:pStyle w:val="ListParagraph"/>
              <w:numPr>
                <w:ilvl w:val="0"/>
                <w:numId w:val="39"/>
              </w:numPr>
              <w:ind w:left="186" w:hanging="186"/>
              <w:jc w:val="both"/>
              <w:rPr>
                <w:rFonts w:ascii="Tw Cen MT Condensed" w:hAnsi="Tw Cen MT Condensed"/>
                <w:bCs/>
                <w:sz w:val="20"/>
                <w:szCs w:val="20"/>
              </w:rPr>
            </w:pPr>
          </w:p>
        </w:tc>
        <w:tc>
          <w:tcPr>
            <w:tcW w:w="1188" w:type="dxa"/>
            <w:shd w:val="clear" w:color="auto" w:fill="auto"/>
          </w:tcPr>
          <w:p w14:paraId="77CB02E9" w14:textId="77777777" w:rsidR="00221C59" w:rsidRPr="003B5919" w:rsidRDefault="00221C59" w:rsidP="00221C59">
            <w:pPr>
              <w:pStyle w:val="ListParagraph"/>
              <w:numPr>
                <w:ilvl w:val="0"/>
                <w:numId w:val="39"/>
              </w:numPr>
              <w:ind w:left="186" w:hanging="186"/>
              <w:jc w:val="both"/>
              <w:rPr>
                <w:rFonts w:ascii="Tw Cen MT Condensed" w:hAnsi="Tw Cen MT Condensed"/>
                <w:bCs/>
                <w:sz w:val="20"/>
                <w:szCs w:val="20"/>
              </w:rPr>
            </w:pPr>
            <w:r w:rsidRPr="003B5919">
              <w:rPr>
                <w:rFonts w:ascii="Tw Cen MT Condensed" w:hAnsi="Tw Cen MT Condensed"/>
                <w:bCs/>
                <w:sz w:val="20"/>
                <w:szCs w:val="20"/>
              </w:rPr>
              <w:lastRenderedPageBreak/>
              <w:t>Information was provided based on provisional metadata.</w:t>
            </w:r>
          </w:p>
        </w:tc>
      </w:tr>
      <w:tr w:rsidR="0085651F" w14:paraId="3346D073" w14:textId="77777777" w:rsidTr="0085651F">
        <w:tc>
          <w:tcPr>
            <w:tcW w:w="17162" w:type="dxa"/>
            <w:gridSpan w:val="14"/>
            <w:shd w:val="clear" w:color="auto" w:fill="auto"/>
          </w:tcPr>
          <w:p w14:paraId="5B1E44EB" w14:textId="77777777" w:rsidR="0085651F" w:rsidRPr="005B3572" w:rsidRDefault="0085651F" w:rsidP="00221C59">
            <w:pPr>
              <w:ind w:left="970" w:hanging="970"/>
              <w:jc w:val="both"/>
              <w:rPr>
                <w:color w:val="FF0000"/>
                <w:sz w:val="30"/>
                <w:szCs w:val="30"/>
              </w:rPr>
            </w:pPr>
            <w:r>
              <w:rPr>
                <w:color w:val="FF0000"/>
                <w:sz w:val="30"/>
                <w:szCs w:val="30"/>
              </w:rPr>
              <w:lastRenderedPageBreak/>
              <w:t xml:space="preserve">Target </w:t>
            </w:r>
            <w:r w:rsidRPr="005B3572">
              <w:rPr>
                <w:color w:val="FF0000"/>
                <w:sz w:val="30"/>
                <w:szCs w:val="30"/>
              </w:rPr>
              <w:t>5.a</w:t>
            </w:r>
            <w:r>
              <w:rPr>
                <w:color w:val="FF0000"/>
                <w:sz w:val="30"/>
                <w:szCs w:val="30"/>
              </w:rPr>
              <w:t>:</w:t>
            </w:r>
            <w:r w:rsidRPr="005B3572">
              <w:rPr>
                <w:color w:val="FF0000"/>
                <w:sz w:val="30"/>
                <w:szCs w:val="30"/>
              </w:rPr>
              <w:t xml:space="preserve"> Undertake reforms to give women equal rights to economic resources, as well as access to ownership and control over land and other forms of property, financial services, inheritance and natural resources, in accordance with national laws</w:t>
            </w:r>
          </w:p>
        </w:tc>
      </w:tr>
      <w:tr w:rsidR="00221C59" w14:paraId="5F148F8C" w14:textId="77777777" w:rsidTr="0085651F">
        <w:tc>
          <w:tcPr>
            <w:tcW w:w="1179" w:type="dxa"/>
            <w:shd w:val="clear" w:color="auto" w:fill="auto"/>
          </w:tcPr>
          <w:p w14:paraId="3EB7A6E4" w14:textId="77777777" w:rsidR="00221C59" w:rsidRPr="006730D4" w:rsidRDefault="00221C59" w:rsidP="00221C59">
            <w:pPr>
              <w:jc w:val="both"/>
              <w:rPr>
                <w:szCs w:val="20"/>
              </w:rPr>
            </w:pPr>
            <w:r w:rsidRPr="003B5919">
              <w:rPr>
                <w:szCs w:val="20"/>
              </w:rPr>
              <w:t>5.a.1: (a) Proportion of total agricultural population with ownership or secure rights over agricultural land, by sex; and (b) share of women among owners or rights-bearers of agricultural land, by type of tenure</w:t>
            </w:r>
          </w:p>
        </w:tc>
        <w:tc>
          <w:tcPr>
            <w:tcW w:w="921" w:type="dxa"/>
            <w:gridSpan w:val="2"/>
            <w:shd w:val="clear" w:color="auto" w:fill="auto"/>
          </w:tcPr>
          <w:p w14:paraId="268A4DE0" w14:textId="77777777" w:rsidR="00221C59" w:rsidRPr="003B5919" w:rsidRDefault="00221C59" w:rsidP="00221C59">
            <w:pPr>
              <w:jc w:val="center"/>
              <w:rPr>
                <w:szCs w:val="20"/>
              </w:rPr>
            </w:pPr>
            <w:r w:rsidRPr="003B5919">
              <w:rPr>
                <w:szCs w:val="20"/>
              </w:rPr>
              <w:t>FAO</w:t>
            </w:r>
          </w:p>
          <w:p w14:paraId="22DA4412" w14:textId="77777777" w:rsidR="00221C59" w:rsidRPr="003B5919" w:rsidRDefault="00221C59" w:rsidP="00221C59">
            <w:pPr>
              <w:jc w:val="center"/>
              <w:rPr>
                <w:szCs w:val="20"/>
              </w:rPr>
            </w:pPr>
          </w:p>
          <w:p w14:paraId="2A723B22" w14:textId="77777777" w:rsidR="00221C59" w:rsidRPr="003B5919" w:rsidRDefault="00221C59" w:rsidP="00221C59">
            <w:pPr>
              <w:jc w:val="center"/>
              <w:rPr>
                <w:i/>
                <w:iCs/>
                <w:szCs w:val="20"/>
              </w:rPr>
            </w:pPr>
            <w:r w:rsidRPr="003B5919">
              <w:rPr>
                <w:i/>
                <w:iCs/>
                <w:szCs w:val="20"/>
              </w:rPr>
              <w:t>Partner Agencies:</w:t>
            </w:r>
          </w:p>
          <w:p w14:paraId="7B5363F6" w14:textId="77777777" w:rsidR="00221C59" w:rsidRPr="003B5919" w:rsidRDefault="00221C59" w:rsidP="00221C59">
            <w:pPr>
              <w:jc w:val="center"/>
              <w:rPr>
                <w:szCs w:val="20"/>
              </w:rPr>
            </w:pPr>
            <w:r w:rsidRPr="003B5919">
              <w:rPr>
                <w:szCs w:val="20"/>
              </w:rPr>
              <w:t>UN Women,</w:t>
            </w:r>
          </w:p>
          <w:p w14:paraId="492EC1B0" w14:textId="77777777" w:rsidR="00221C59" w:rsidRPr="003B5919" w:rsidRDefault="00221C59" w:rsidP="00221C59">
            <w:pPr>
              <w:jc w:val="center"/>
              <w:rPr>
                <w:szCs w:val="20"/>
              </w:rPr>
            </w:pPr>
            <w:r w:rsidRPr="003B5919">
              <w:rPr>
                <w:szCs w:val="20"/>
              </w:rPr>
              <w:t xml:space="preserve">UNSD, </w:t>
            </w:r>
          </w:p>
          <w:p w14:paraId="21C95761" w14:textId="77777777" w:rsidR="00221C59" w:rsidRPr="003B5919" w:rsidRDefault="00221C59" w:rsidP="00221C59">
            <w:pPr>
              <w:jc w:val="center"/>
              <w:rPr>
                <w:szCs w:val="20"/>
              </w:rPr>
            </w:pPr>
            <w:r w:rsidRPr="003B5919">
              <w:rPr>
                <w:szCs w:val="20"/>
              </w:rPr>
              <w:t xml:space="preserve">UNEP, </w:t>
            </w:r>
          </w:p>
          <w:p w14:paraId="4429E0EE" w14:textId="77777777" w:rsidR="00221C59" w:rsidRPr="003B5919" w:rsidRDefault="00221C59" w:rsidP="00221C59">
            <w:pPr>
              <w:jc w:val="center"/>
              <w:rPr>
                <w:szCs w:val="20"/>
              </w:rPr>
            </w:pPr>
            <w:r w:rsidRPr="003B5919">
              <w:rPr>
                <w:szCs w:val="20"/>
              </w:rPr>
              <w:t xml:space="preserve">World Bank, </w:t>
            </w:r>
          </w:p>
          <w:p w14:paraId="15A6E940" w14:textId="77777777" w:rsidR="00221C59" w:rsidRPr="003B5919" w:rsidRDefault="00221C59" w:rsidP="00221C59">
            <w:pPr>
              <w:jc w:val="center"/>
              <w:rPr>
                <w:szCs w:val="20"/>
              </w:rPr>
            </w:pPr>
            <w:r w:rsidRPr="003B5919">
              <w:rPr>
                <w:szCs w:val="20"/>
              </w:rPr>
              <w:t>UN-Habitat</w:t>
            </w:r>
          </w:p>
        </w:tc>
        <w:tc>
          <w:tcPr>
            <w:tcW w:w="985" w:type="dxa"/>
            <w:shd w:val="clear" w:color="auto" w:fill="auto"/>
          </w:tcPr>
          <w:p w14:paraId="3F4EE71C" w14:textId="77777777" w:rsidR="00221C59" w:rsidRDefault="00221C59" w:rsidP="00221C59">
            <w:pPr>
              <w:jc w:val="center"/>
              <w:rPr>
                <w:szCs w:val="20"/>
              </w:rPr>
            </w:pPr>
            <w:r>
              <w:rPr>
                <w:szCs w:val="20"/>
              </w:rPr>
              <w:t>Tier II</w:t>
            </w:r>
          </w:p>
        </w:tc>
        <w:tc>
          <w:tcPr>
            <w:tcW w:w="5331" w:type="dxa"/>
            <w:shd w:val="clear" w:color="auto" w:fill="auto"/>
          </w:tcPr>
          <w:p w14:paraId="5104F31D" w14:textId="77777777" w:rsidR="00221C59" w:rsidRPr="003B5919" w:rsidRDefault="00221C59" w:rsidP="00221C59">
            <w:pPr>
              <w:jc w:val="both"/>
              <w:rPr>
                <w:b/>
                <w:bCs/>
                <w:szCs w:val="20"/>
              </w:rPr>
            </w:pPr>
            <w:r w:rsidRPr="003B5919">
              <w:rPr>
                <w:b/>
                <w:bCs/>
                <w:szCs w:val="20"/>
              </w:rPr>
              <w:t>Definition:</w:t>
            </w:r>
          </w:p>
          <w:p w14:paraId="45EF867D" w14:textId="77777777" w:rsidR="00221C59" w:rsidRDefault="00221C59" w:rsidP="00221C59">
            <w:pPr>
              <w:jc w:val="both"/>
              <w:rPr>
                <w:szCs w:val="20"/>
              </w:rPr>
            </w:pPr>
            <w:r w:rsidRPr="003B5919">
              <w:rPr>
                <w:szCs w:val="20"/>
              </w:rPr>
              <w:t>The indicator is divided in two sub-indicators.</w:t>
            </w:r>
          </w:p>
          <w:p w14:paraId="110732EB" w14:textId="77777777" w:rsidR="00221C59" w:rsidRPr="003B5919" w:rsidRDefault="00221C59" w:rsidP="00221C59">
            <w:pPr>
              <w:jc w:val="both"/>
              <w:rPr>
                <w:szCs w:val="20"/>
              </w:rPr>
            </w:pPr>
          </w:p>
          <w:p w14:paraId="5C391C1D" w14:textId="77777777" w:rsidR="00221C59" w:rsidRDefault="00221C59" w:rsidP="00221C59">
            <w:pPr>
              <w:jc w:val="both"/>
              <w:rPr>
                <w:szCs w:val="20"/>
              </w:rPr>
            </w:pPr>
            <w:r w:rsidRPr="003B5919">
              <w:rPr>
                <w:i/>
                <w:iCs/>
                <w:szCs w:val="20"/>
              </w:rPr>
              <w:t>Sub-indicator (a)</w:t>
            </w:r>
            <w:r w:rsidRPr="003B5919">
              <w:rPr>
                <w:szCs w:val="20"/>
              </w:rPr>
              <w:t xml:space="preserve"> is a prevalence measure. It measures the prevalence of people in the agricultural population with</w:t>
            </w:r>
            <w:r>
              <w:rPr>
                <w:szCs w:val="20"/>
              </w:rPr>
              <w:t xml:space="preserve"> </w:t>
            </w:r>
            <w:r w:rsidRPr="003B5919">
              <w:rPr>
                <w:szCs w:val="20"/>
              </w:rPr>
              <w:t>ownership or tenure rights over agricultural land, disaggregated by sex.</w:t>
            </w:r>
          </w:p>
          <w:p w14:paraId="15F86DF6" w14:textId="77777777" w:rsidR="00221C59" w:rsidRDefault="00221C59" w:rsidP="00221C59">
            <w:pPr>
              <w:jc w:val="both"/>
              <w:rPr>
                <w:b/>
                <w:bCs/>
                <w:szCs w:val="20"/>
              </w:rPr>
            </w:pPr>
          </w:p>
          <w:p w14:paraId="769F3FA5" w14:textId="77777777" w:rsidR="00221C59" w:rsidRDefault="004B4A24" w:rsidP="00221C59">
            <w:pPr>
              <w:jc w:val="center"/>
              <w:rPr>
                <w:rFonts w:eastAsiaTheme="minorEastAsia"/>
                <w:iCs/>
                <w:szCs w:val="20"/>
              </w:rPr>
            </w:pPr>
            <m:oMath>
              <m:f>
                <m:fPr>
                  <m:ctrlPr>
                    <w:rPr>
                      <w:rFonts w:ascii="Cambria Math" w:hAnsi="Cambria Math"/>
                      <w:iCs/>
                      <w:szCs w:val="20"/>
                    </w:rPr>
                  </m:ctrlPr>
                </m:fPr>
                <m:num>
                  <m:eqArr>
                    <m:eqArrPr>
                      <m:ctrlPr>
                        <w:rPr>
                          <w:rFonts w:ascii="Cambria Math" w:hAnsi="Cambria Math"/>
                          <w:i/>
                          <w:iCs/>
                          <w:szCs w:val="20"/>
                        </w:rPr>
                      </m:ctrlPr>
                    </m:eqArrPr>
                    <m:e>
                      <m:r>
                        <w:rPr>
                          <w:rFonts w:ascii="Cambria Math" w:hAnsi="Cambria Math"/>
                          <w:szCs w:val="20"/>
                        </w:rPr>
                        <m:t>No. people in agricultural population with ownership or</m:t>
                      </m:r>
                    </m:e>
                    <m:e>
                      <m:r>
                        <w:rPr>
                          <w:rFonts w:ascii="Cambria Math" w:hAnsi="Cambria Math"/>
                          <w:szCs w:val="20"/>
                        </w:rPr>
                        <m:t xml:space="preserve"> tenure rights over agricultural land</m:t>
                      </m:r>
                    </m:e>
                  </m:eqArr>
                </m:num>
                <m:den>
                  <m:r>
                    <m:rPr>
                      <m:sty m:val="p"/>
                    </m:rPr>
                    <w:rPr>
                      <w:rFonts w:ascii="Cambria Math" w:hAnsi="Cambria Math"/>
                      <w:szCs w:val="20"/>
                    </w:rPr>
                    <m:t>Total agricultural population</m:t>
                  </m:r>
                </m:den>
              </m:f>
            </m:oMath>
            <w:r w:rsidR="00221C59" w:rsidRPr="003B5919">
              <w:rPr>
                <w:rFonts w:eastAsiaTheme="minorEastAsia"/>
                <w:iCs/>
                <w:szCs w:val="20"/>
              </w:rPr>
              <w:t>×100</w:t>
            </w:r>
            <w:r w:rsidR="00221C59">
              <w:rPr>
                <w:rFonts w:eastAsiaTheme="minorEastAsia"/>
                <w:iCs/>
                <w:szCs w:val="20"/>
              </w:rPr>
              <w:t>, by sex</w:t>
            </w:r>
          </w:p>
          <w:p w14:paraId="56598F81" w14:textId="77777777" w:rsidR="00221C59" w:rsidRDefault="00221C59" w:rsidP="00221C59">
            <w:pPr>
              <w:jc w:val="center"/>
              <w:rPr>
                <w:b/>
                <w:bCs/>
                <w:szCs w:val="20"/>
              </w:rPr>
            </w:pPr>
          </w:p>
          <w:p w14:paraId="44E33DBA" w14:textId="77777777" w:rsidR="00221C59" w:rsidRDefault="00221C59" w:rsidP="00221C59">
            <w:pPr>
              <w:jc w:val="both"/>
              <w:rPr>
                <w:szCs w:val="20"/>
              </w:rPr>
            </w:pPr>
            <w:r w:rsidRPr="003B5919">
              <w:rPr>
                <w:i/>
                <w:iCs/>
                <w:szCs w:val="20"/>
              </w:rPr>
              <w:t>Sub-indicator (b)</w:t>
            </w:r>
            <w:r w:rsidRPr="003B5919">
              <w:rPr>
                <w:b/>
                <w:bCs/>
                <w:szCs w:val="20"/>
              </w:rPr>
              <w:t xml:space="preserve"> </w:t>
            </w:r>
            <w:r w:rsidRPr="003B5919">
              <w:rPr>
                <w:szCs w:val="20"/>
              </w:rPr>
              <w:t>focusses on the gender parity, measuring the extent to which women are disadvantaged in</w:t>
            </w:r>
            <w:r>
              <w:rPr>
                <w:szCs w:val="20"/>
              </w:rPr>
              <w:t xml:space="preserve"> </w:t>
            </w:r>
            <w:r w:rsidRPr="003B5919">
              <w:rPr>
                <w:szCs w:val="20"/>
              </w:rPr>
              <w:t>ownership / tenure rights over agricultural land.</w:t>
            </w:r>
          </w:p>
          <w:p w14:paraId="5CC3D7B1" w14:textId="77777777" w:rsidR="00221C59" w:rsidRDefault="00221C59" w:rsidP="00221C59">
            <w:pPr>
              <w:jc w:val="both"/>
              <w:rPr>
                <w:b/>
                <w:bCs/>
                <w:szCs w:val="20"/>
              </w:rPr>
            </w:pPr>
          </w:p>
          <w:p w14:paraId="60369A4F" w14:textId="77777777" w:rsidR="00221C59" w:rsidRDefault="004B4A24" w:rsidP="00221C59">
            <w:pPr>
              <w:jc w:val="center"/>
              <w:rPr>
                <w:rFonts w:eastAsiaTheme="minorEastAsia"/>
                <w:iCs/>
                <w:szCs w:val="20"/>
              </w:rPr>
            </w:pPr>
            <m:oMath>
              <m:f>
                <m:fPr>
                  <m:ctrlPr>
                    <w:rPr>
                      <w:rFonts w:ascii="Cambria Math" w:hAnsi="Cambria Math"/>
                      <w:iCs/>
                      <w:szCs w:val="20"/>
                    </w:rPr>
                  </m:ctrlPr>
                </m:fPr>
                <m:num>
                  <m:eqArr>
                    <m:eqArrPr>
                      <m:ctrlPr>
                        <w:rPr>
                          <w:rFonts w:ascii="Cambria Math" w:hAnsi="Cambria Math"/>
                          <w:i/>
                          <w:iCs/>
                          <w:szCs w:val="20"/>
                        </w:rPr>
                      </m:ctrlPr>
                    </m:eqArrPr>
                    <m:e>
                      <m:r>
                        <w:rPr>
                          <w:rFonts w:ascii="Cambria Math" w:hAnsi="Cambria Math"/>
                          <w:szCs w:val="20"/>
                        </w:rPr>
                        <m:t>No.  women in agricultural population with ownership or</m:t>
                      </m:r>
                    </m:e>
                    <m:e>
                      <m:r>
                        <w:rPr>
                          <w:rFonts w:ascii="Cambria Math" w:hAnsi="Cambria Math"/>
                          <w:szCs w:val="20"/>
                        </w:rPr>
                        <m:t xml:space="preserve"> tenure rights over agricultural land</m:t>
                      </m:r>
                    </m:e>
                  </m:eqArr>
                </m:num>
                <m:den>
                  <m:eqArr>
                    <m:eqArrPr>
                      <m:ctrlPr>
                        <w:rPr>
                          <w:rFonts w:ascii="Cambria Math" w:hAnsi="Cambria Math"/>
                          <w:iCs/>
                          <w:szCs w:val="20"/>
                        </w:rPr>
                      </m:ctrlPr>
                    </m:eqArrPr>
                    <m:e>
                      <m:r>
                        <m:rPr>
                          <m:sty m:val="p"/>
                        </m:rPr>
                        <w:rPr>
                          <w:rFonts w:ascii="Cambria Math" w:hAnsi="Cambria Math"/>
                          <w:szCs w:val="20"/>
                        </w:rPr>
                        <m:t xml:space="preserve">Total agricultural population with ownership or </m:t>
                      </m:r>
                    </m:e>
                    <m:e>
                      <m:r>
                        <m:rPr>
                          <m:sty m:val="p"/>
                        </m:rPr>
                        <w:rPr>
                          <w:rFonts w:ascii="Cambria Math" w:hAnsi="Cambria Math"/>
                          <w:szCs w:val="20"/>
                        </w:rPr>
                        <m:t>tenure rights over agricultural land</m:t>
                      </m:r>
                    </m:e>
                  </m:eqArr>
                </m:den>
              </m:f>
            </m:oMath>
            <w:r w:rsidR="00221C59" w:rsidRPr="003B5919">
              <w:rPr>
                <w:rFonts w:eastAsiaTheme="minorEastAsia"/>
                <w:iCs/>
                <w:szCs w:val="20"/>
              </w:rPr>
              <w:t>×100</w:t>
            </w:r>
          </w:p>
          <w:p w14:paraId="29CAAFF4" w14:textId="77777777" w:rsidR="00221C59" w:rsidRDefault="00221C59" w:rsidP="00221C59">
            <w:pPr>
              <w:jc w:val="center"/>
              <w:rPr>
                <w:b/>
                <w:bCs/>
                <w:szCs w:val="20"/>
              </w:rPr>
            </w:pPr>
          </w:p>
          <w:p w14:paraId="5FCCE2A7" w14:textId="77777777" w:rsidR="00221C59" w:rsidRPr="003B5919" w:rsidRDefault="00221C59" w:rsidP="00221C59">
            <w:pPr>
              <w:jc w:val="both"/>
              <w:rPr>
                <w:b/>
                <w:bCs/>
                <w:szCs w:val="20"/>
              </w:rPr>
            </w:pPr>
            <w:r w:rsidRPr="003B5919">
              <w:rPr>
                <w:b/>
                <w:bCs/>
                <w:szCs w:val="20"/>
              </w:rPr>
              <w:t>Concepts</w:t>
            </w:r>
            <w:r>
              <w:rPr>
                <w:b/>
                <w:bCs/>
                <w:szCs w:val="20"/>
              </w:rPr>
              <w:t>:</w:t>
            </w:r>
          </w:p>
          <w:p w14:paraId="522017A7" w14:textId="77777777" w:rsidR="00221C59" w:rsidRDefault="00221C59" w:rsidP="00221C59">
            <w:pPr>
              <w:jc w:val="both"/>
              <w:rPr>
                <w:szCs w:val="20"/>
              </w:rPr>
            </w:pPr>
            <w:r w:rsidRPr="003B5919">
              <w:rPr>
                <w:szCs w:val="20"/>
              </w:rPr>
              <w:lastRenderedPageBreak/>
              <w:t>Definition of all concepts and terms associated with the indicator are reported below:</w:t>
            </w:r>
          </w:p>
          <w:p w14:paraId="34384C97" w14:textId="77777777" w:rsidR="00221C59" w:rsidRPr="003B5919" w:rsidRDefault="00221C59" w:rsidP="00221C59">
            <w:pPr>
              <w:jc w:val="both"/>
              <w:rPr>
                <w:szCs w:val="20"/>
              </w:rPr>
            </w:pPr>
          </w:p>
          <w:p w14:paraId="6EDF1E69" w14:textId="77777777" w:rsidR="00221C59" w:rsidRDefault="00221C59" w:rsidP="00221C59">
            <w:pPr>
              <w:jc w:val="both"/>
              <w:rPr>
                <w:szCs w:val="20"/>
              </w:rPr>
            </w:pPr>
            <w:r w:rsidRPr="003B5919">
              <w:rPr>
                <w:i/>
                <w:iCs/>
                <w:szCs w:val="20"/>
              </w:rPr>
              <w:t>Agricultural land:</w:t>
            </w:r>
            <w:r>
              <w:rPr>
                <w:i/>
                <w:iCs/>
                <w:szCs w:val="20"/>
              </w:rPr>
              <w:t xml:space="preserve"> </w:t>
            </w:r>
            <w:r w:rsidRPr="003B5919">
              <w:rPr>
                <w:szCs w:val="20"/>
              </w:rPr>
              <w:t>In compliance with the classification proposed by the World Census of Agriculture 2020 (WCA 2020), land is</w:t>
            </w:r>
            <w:r>
              <w:rPr>
                <w:szCs w:val="20"/>
              </w:rPr>
              <w:t xml:space="preserve"> </w:t>
            </w:r>
            <w:r w:rsidRPr="003B5919">
              <w:rPr>
                <w:szCs w:val="20"/>
              </w:rPr>
              <w:t>considered ‘agricultural land’ according to its use. Moreover, a reference period is usually required in order to</w:t>
            </w:r>
            <w:r>
              <w:rPr>
                <w:szCs w:val="20"/>
              </w:rPr>
              <w:t xml:space="preserve"> </w:t>
            </w:r>
            <w:r w:rsidRPr="003B5919">
              <w:rPr>
                <w:szCs w:val="20"/>
              </w:rPr>
              <w:t>characterize the use of a specific area of agricultural land and identify subcategories.</w:t>
            </w:r>
          </w:p>
          <w:p w14:paraId="009E8F05" w14:textId="77777777" w:rsidR="00221C59" w:rsidRPr="003B5919" w:rsidRDefault="00221C59" w:rsidP="00221C59">
            <w:pPr>
              <w:jc w:val="both"/>
              <w:rPr>
                <w:szCs w:val="20"/>
              </w:rPr>
            </w:pPr>
          </w:p>
          <w:p w14:paraId="5DE16372" w14:textId="77777777" w:rsidR="00221C59" w:rsidRDefault="00221C59" w:rsidP="00221C59">
            <w:pPr>
              <w:jc w:val="both"/>
              <w:rPr>
                <w:b/>
                <w:bCs/>
                <w:szCs w:val="20"/>
              </w:rPr>
            </w:pPr>
            <w:r w:rsidRPr="003B5919">
              <w:rPr>
                <w:szCs w:val="20"/>
              </w:rPr>
              <w:t>As clearly shown in the figure</w:t>
            </w:r>
            <w:r>
              <w:rPr>
                <w:szCs w:val="20"/>
              </w:rPr>
              <w:t xml:space="preserve"> [</w:t>
            </w:r>
            <w:r w:rsidRPr="003B5919">
              <w:rPr>
                <w:szCs w:val="20"/>
              </w:rPr>
              <w:t>Classification of land use (WCA 2020)</w:t>
            </w:r>
            <w:r>
              <w:rPr>
                <w:szCs w:val="20"/>
              </w:rPr>
              <w:t>]</w:t>
            </w:r>
            <w:r w:rsidRPr="003B5919">
              <w:rPr>
                <w:szCs w:val="20"/>
              </w:rPr>
              <w:t xml:space="preserve"> below, agricultural land is a subset of the total land</w:t>
            </w:r>
            <w:r>
              <w:rPr>
                <w:szCs w:val="20"/>
              </w:rPr>
              <w:t>:</w:t>
            </w:r>
          </w:p>
          <w:p w14:paraId="2AB0E1D6" w14:textId="77777777" w:rsidR="00221C59" w:rsidRDefault="00221C59" w:rsidP="00221C59">
            <w:pPr>
              <w:jc w:val="both"/>
              <w:rPr>
                <w:b/>
                <w:bCs/>
                <w:szCs w:val="20"/>
              </w:rPr>
            </w:pPr>
            <w:r w:rsidRPr="003B5919">
              <w:rPr>
                <w:b/>
                <w:bCs/>
                <w:noProof/>
                <w:szCs w:val="20"/>
                <w:lang w:bidi="bn-BD"/>
              </w:rPr>
              <w:drawing>
                <wp:inline distT="0" distB="0" distL="0" distR="0" wp14:anchorId="2B2D190B" wp14:editId="4E2EE623">
                  <wp:extent cx="3585172" cy="1193081"/>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12437" cy="1202154"/>
                          </a:xfrm>
                          <a:prstGeom prst="rect">
                            <a:avLst/>
                          </a:prstGeom>
                          <a:noFill/>
                          <a:ln>
                            <a:noFill/>
                          </a:ln>
                        </pic:spPr>
                      </pic:pic>
                    </a:graphicData>
                  </a:graphic>
                </wp:inline>
              </w:drawing>
            </w:r>
          </w:p>
          <w:p w14:paraId="5ED49061" w14:textId="77777777" w:rsidR="00221C59" w:rsidRDefault="00221C59" w:rsidP="00221C59">
            <w:pPr>
              <w:jc w:val="both"/>
              <w:rPr>
                <w:b/>
                <w:bCs/>
                <w:szCs w:val="20"/>
              </w:rPr>
            </w:pPr>
          </w:p>
          <w:p w14:paraId="1BB3B793" w14:textId="77777777" w:rsidR="00221C59" w:rsidRDefault="00221C59" w:rsidP="00221C59">
            <w:pPr>
              <w:jc w:val="both"/>
              <w:rPr>
                <w:szCs w:val="20"/>
              </w:rPr>
            </w:pPr>
            <w:r w:rsidRPr="003B5919">
              <w:rPr>
                <w:szCs w:val="20"/>
              </w:rPr>
              <w:t>In particular, following the WCA 2020, agricultural land includes:</w:t>
            </w:r>
          </w:p>
          <w:p w14:paraId="5896502D"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i/>
                <w:iCs/>
                <w:sz w:val="20"/>
                <w:szCs w:val="20"/>
              </w:rPr>
              <w:t>Land under temporary crops:</w:t>
            </w:r>
            <w:r w:rsidRPr="003B5919">
              <w:rPr>
                <w:rFonts w:ascii="Tw Cen MT Condensed" w:hAnsi="Tw Cen MT Condensed"/>
                <w:sz w:val="20"/>
                <w:szCs w:val="20"/>
              </w:rPr>
              <w:t xml:space="preserve"> “all land used for crops with a less than one-year growing cycle” (WCA 2020). Temporary crops comprise all the crops that need to be sown or planted after each harvest for new production (e.g. cereals). The full list of crops classified as ‘temporary’ is provided in the WCA 2020, page 165 (http://www.fao.org/3/a-i4913e.pdf)</w:t>
            </w:r>
            <w:r>
              <w:rPr>
                <w:rFonts w:ascii="Tw Cen MT Condensed" w:hAnsi="Tw Cen MT Condensed"/>
                <w:sz w:val="20"/>
                <w:szCs w:val="20"/>
              </w:rPr>
              <w:t>.</w:t>
            </w:r>
          </w:p>
          <w:p w14:paraId="198EBD05"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i/>
                <w:iCs/>
                <w:sz w:val="20"/>
                <w:szCs w:val="20"/>
              </w:rPr>
              <w:t>Land under temporary meadows and pastures:</w:t>
            </w:r>
            <w:r>
              <w:rPr>
                <w:rFonts w:ascii="Tw Cen MT Condensed" w:hAnsi="Tw Cen MT Condensed"/>
                <w:sz w:val="20"/>
                <w:szCs w:val="20"/>
              </w:rPr>
              <w:t xml:space="preserve"> L</w:t>
            </w:r>
            <w:r w:rsidRPr="003B5919">
              <w:rPr>
                <w:rFonts w:ascii="Tw Cen MT Condensed" w:hAnsi="Tw Cen MT Condensed"/>
                <w:sz w:val="20"/>
                <w:szCs w:val="20"/>
              </w:rPr>
              <w:t>and that has been cultivated for less than five years with herbaceous or forage crops for mowing or pasture.</w:t>
            </w:r>
          </w:p>
          <w:p w14:paraId="13F62729"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i/>
                <w:iCs/>
                <w:sz w:val="20"/>
                <w:szCs w:val="20"/>
              </w:rPr>
              <w:t>Land temporarily fallow:</w:t>
            </w:r>
            <w:r w:rsidRPr="003B5919">
              <w:rPr>
                <w:rFonts w:ascii="Tw Cen MT Condensed" w:hAnsi="Tw Cen MT Condensed"/>
                <w:sz w:val="20"/>
                <w:szCs w:val="20"/>
              </w:rPr>
              <w:t xml:space="preserve"> When arable land is kept at rest for at least one agricultural year because of crop rotation or other reasons, such as the impossibility to plant new crops, this is defined as temporarily fallow. This category does not include the land that it is not cultivated at the time of the survey but will be sowed and planted before the end of the agricultural year.</w:t>
            </w:r>
          </w:p>
          <w:p w14:paraId="6549082A"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i/>
                <w:iCs/>
                <w:sz w:val="20"/>
                <w:szCs w:val="20"/>
              </w:rPr>
              <w:t>Land under permanent crops:</w:t>
            </w:r>
            <w:r w:rsidRPr="003B5919">
              <w:rPr>
                <w:rFonts w:ascii="Tw Cen MT Condensed" w:hAnsi="Tw Cen MT Condensed"/>
                <w:sz w:val="20"/>
                <w:szCs w:val="20"/>
              </w:rPr>
              <w:t xml:space="preserve"> Area that is cultivated with long term crops that do not need to be replanted every year, such as fruits and nuts, some types of stimulant crops, etc</w:t>
            </w:r>
            <w:r>
              <w:rPr>
                <w:rFonts w:ascii="Tw Cen MT Condensed" w:hAnsi="Tw Cen MT Condensed"/>
                <w:sz w:val="20"/>
                <w:szCs w:val="20"/>
              </w:rPr>
              <w:t>.</w:t>
            </w:r>
          </w:p>
          <w:p w14:paraId="3DCB1CE8"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i/>
                <w:iCs/>
                <w:sz w:val="20"/>
                <w:szCs w:val="20"/>
              </w:rPr>
              <w:t>Land under permanent meadows and pastures:</w:t>
            </w:r>
            <w:r>
              <w:rPr>
                <w:rFonts w:ascii="Tw Cen MT Condensed" w:hAnsi="Tw Cen MT Condensed"/>
                <w:sz w:val="20"/>
                <w:szCs w:val="20"/>
              </w:rPr>
              <w:t xml:space="preserve"> </w:t>
            </w:r>
            <w:r w:rsidRPr="003B5919">
              <w:rPr>
                <w:rFonts w:ascii="Tw Cen MT Condensed" w:hAnsi="Tw Cen MT Condensed"/>
                <w:sz w:val="20"/>
                <w:szCs w:val="20"/>
              </w:rPr>
              <w:t xml:space="preserve">Land cultivated with herbaceous forage crops or is left as wild prairie or grazing land for more than </w:t>
            </w:r>
            <w:r w:rsidRPr="003B5919">
              <w:rPr>
                <w:rFonts w:ascii="Tw Cen MT Condensed" w:hAnsi="Tw Cen MT Condensed"/>
                <w:sz w:val="20"/>
                <w:szCs w:val="20"/>
              </w:rPr>
              <w:lastRenderedPageBreak/>
              <w:t>five years.</w:t>
            </w:r>
          </w:p>
          <w:p w14:paraId="3420CE78" w14:textId="77777777" w:rsidR="00221C59" w:rsidRDefault="00221C59" w:rsidP="00221C59">
            <w:pPr>
              <w:jc w:val="both"/>
              <w:rPr>
                <w:szCs w:val="20"/>
              </w:rPr>
            </w:pPr>
            <w:r w:rsidRPr="003B5919">
              <w:rPr>
                <w:szCs w:val="20"/>
              </w:rPr>
              <w:t xml:space="preserve"> It excludes: </w:t>
            </w:r>
          </w:p>
          <w:p w14:paraId="699D916E"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sz w:val="20"/>
                <w:szCs w:val="20"/>
              </w:rPr>
              <w:t xml:space="preserve">Land under farm buildings and farmyards </w:t>
            </w:r>
          </w:p>
          <w:p w14:paraId="5CE11FDF"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sz w:val="20"/>
                <w:szCs w:val="20"/>
              </w:rPr>
              <w:t xml:space="preserve">Forest and other wooded land </w:t>
            </w:r>
          </w:p>
          <w:p w14:paraId="439091F7"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sz w:val="20"/>
                <w:szCs w:val="20"/>
              </w:rPr>
              <w:t xml:space="preserve">Area used for aquaculture (including inland and coastal waters if part of the holding) </w:t>
            </w:r>
          </w:p>
          <w:p w14:paraId="1C3C9669" w14:textId="77777777" w:rsidR="00221C59" w:rsidRPr="003B5919" w:rsidRDefault="00221C59" w:rsidP="00221C59">
            <w:pPr>
              <w:pStyle w:val="ListParagraph"/>
              <w:numPr>
                <w:ilvl w:val="0"/>
                <w:numId w:val="14"/>
              </w:numPr>
              <w:spacing w:after="0" w:line="240" w:lineRule="auto"/>
              <w:ind w:left="487" w:hanging="127"/>
              <w:jc w:val="both"/>
              <w:rPr>
                <w:rFonts w:ascii="Tw Cen MT Condensed" w:hAnsi="Tw Cen MT Condensed"/>
                <w:sz w:val="20"/>
                <w:szCs w:val="20"/>
              </w:rPr>
            </w:pPr>
            <w:r w:rsidRPr="003B5919">
              <w:rPr>
                <w:rFonts w:ascii="Tw Cen MT Condensed" w:hAnsi="Tw Cen MT Condensed"/>
                <w:sz w:val="20"/>
                <w:szCs w:val="20"/>
              </w:rPr>
              <w:t xml:space="preserve">Other area not elsewhere classified </w:t>
            </w:r>
          </w:p>
          <w:p w14:paraId="5B630047" w14:textId="77777777" w:rsidR="00221C59" w:rsidRDefault="00221C59" w:rsidP="00221C59">
            <w:pPr>
              <w:jc w:val="both"/>
              <w:rPr>
                <w:szCs w:val="20"/>
              </w:rPr>
            </w:pPr>
          </w:p>
          <w:p w14:paraId="000E7E3C" w14:textId="77777777" w:rsidR="00221C59" w:rsidRDefault="00221C59" w:rsidP="00221C59">
            <w:pPr>
              <w:jc w:val="both"/>
              <w:rPr>
                <w:szCs w:val="20"/>
              </w:rPr>
            </w:pPr>
            <w:r w:rsidRPr="003B5919">
              <w:rPr>
                <w:szCs w:val="20"/>
              </w:rPr>
              <w:t>Since the indicator 5.a.1 focuses on agricultural land, it excludes all the forms of land that are not considered ‘agricultural’, including land under farm buildings and farmyards.</w:t>
            </w:r>
          </w:p>
          <w:p w14:paraId="470D807D" w14:textId="77777777" w:rsidR="00221C59" w:rsidRDefault="00221C59" w:rsidP="00221C59">
            <w:pPr>
              <w:jc w:val="both"/>
              <w:rPr>
                <w:szCs w:val="20"/>
              </w:rPr>
            </w:pPr>
          </w:p>
          <w:p w14:paraId="6C071A32" w14:textId="77777777" w:rsidR="00221C59" w:rsidRDefault="00221C59" w:rsidP="00221C59">
            <w:pPr>
              <w:jc w:val="both"/>
              <w:rPr>
                <w:szCs w:val="20"/>
              </w:rPr>
            </w:pPr>
            <w:r w:rsidRPr="003B5919">
              <w:rPr>
                <w:i/>
                <w:iCs/>
                <w:szCs w:val="20"/>
              </w:rPr>
              <w:t>Agricultural population:</w:t>
            </w:r>
            <w:r w:rsidRPr="003B5919">
              <w:rPr>
                <w:szCs w:val="20"/>
              </w:rPr>
              <w:t xml:space="preserve"> Indicator 5.a.1 uses ‘agricultural population’ as denominator, instead of the total population, because tenure rights over agricultural land are relevant especially for individuals whose livelihood relies on agriculture. As a consequence, in the context of 5.a.1, the term ‘agricultural population’ has to be interpreted as equivalent of ‘individuals engaged in agriculture’. Although an official definition of ‘agricultural population’ does not exist, an operational definition of this term shall be proposed for the scope of indicator 5.a.1.</w:t>
            </w:r>
          </w:p>
          <w:p w14:paraId="6784CF05" w14:textId="77777777" w:rsidR="00221C59" w:rsidRDefault="00221C59" w:rsidP="00221C59">
            <w:pPr>
              <w:jc w:val="both"/>
              <w:rPr>
                <w:szCs w:val="20"/>
              </w:rPr>
            </w:pPr>
          </w:p>
          <w:p w14:paraId="6D06F185" w14:textId="77777777" w:rsidR="00221C59" w:rsidRPr="003B5919" w:rsidRDefault="00221C59" w:rsidP="00221C59">
            <w:pPr>
              <w:jc w:val="both"/>
              <w:rPr>
                <w:szCs w:val="20"/>
              </w:rPr>
            </w:pPr>
            <w:r w:rsidRPr="003B5919">
              <w:rPr>
                <w:szCs w:val="20"/>
              </w:rPr>
              <w:t>Investigating involvement in agriculture is not trivial, because:</w:t>
            </w:r>
          </w:p>
          <w:p w14:paraId="3E6C5B13" w14:textId="77777777" w:rsidR="00221C59" w:rsidRPr="003B5919" w:rsidRDefault="00221C59" w:rsidP="00221C59">
            <w:pPr>
              <w:tabs>
                <w:tab w:val="left" w:pos="217"/>
              </w:tabs>
              <w:ind w:left="217" w:hanging="217"/>
              <w:jc w:val="both"/>
              <w:rPr>
                <w:szCs w:val="20"/>
              </w:rPr>
            </w:pPr>
            <w:r w:rsidRPr="003B5919">
              <w:rPr>
                <w:szCs w:val="20"/>
              </w:rPr>
              <w:t xml:space="preserve">I. </w:t>
            </w:r>
            <w:r>
              <w:rPr>
                <w:szCs w:val="20"/>
              </w:rPr>
              <w:tab/>
            </w:r>
            <w:r w:rsidRPr="003B5919">
              <w:rPr>
                <w:szCs w:val="20"/>
              </w:rPr>
              <w:t>Agricultural work is highly irregular and strongly affected by seasonality, therefore if the survey questions</w:t>
            </w:r>
            <w:r>
              <w:rPr>
                <w:szCs w:val="20"/>
              </w:rPr>
              <w:t xml:space="preserve"> </w:t>
            </w:r>
            <w:r w:rsidRPr="003B5919">
              <w:rPr>
                <w:szCs w:val="20"/>
              </w:rPr>
              <w:t>adopt a short recall period, we risk excluding individuals engaged in agriculture because they did not</w:t>
            </w:r>
            <w:r>
              <w:rPr>
                <w:szCs w:val="20"/>
              </w:rPr>
              <w:t xml:space="preserve"> </w:t>
            </w:r>
            <w:r w:rsidRPr="003B5919">
              <w:rPr>
                <w:szCs w:val="20"/>
              </w:rPr>
              <w:t>practice agriculture at the time of the survey or simply because they were interviewed off-season.</w:t>
            </w:r>
          </w:p>
          <w:p w14:paraId="5DEEC722" w14:textId="77777777" w:rsidR="00221C59" w:rsidRPr="003B5919" w:rsidRDefault="00221C59" w:rsidP="00221C59">
            <w:pPr>
              <w:tabs>
                <w:tab w:val="left" w:pos="217"/>
              </w:tabs>
              <w:ind w:left="217" w:hanging="217"/>
              <w:jc w:val="both"/>
              <w:rPr>
                <w:szCs w:val="20"/>
              </w:rPr>
            </w:pPr>
            <w:r w:rsidRPr="003B5919">
              <w:rPr>
                <w:szCs w:val="20"/>
              </w:rPr>
              <w:t xml:space="preserve">II. </w:t>
            </w:r>
            <w:r>
              <w:rPr>
                <w:szCs w:val="20"/>
              </w:rPr>
              <w:tab/>
            </w:r>
            <w:r w:rsidRPr="003B5919">
              <w:rPr>
                <w:szCs w:val="20"/>
              </w:rPr>
              <w:t>Agricultural work may take a lot of individual’s time – so be the main activity – but not necessarily be the</w:t>
            </w:r>
            <w:r>
              <w:rPr>
                <w:szCs w:val="20"/>
              </w:rPr>
              <w:t xml:space="preserve"> </w:t>
            </w:r>
            <w:r w:rsidRPr="003B5919">
              <w:rPr>
                <w:szCs w:val="20"/>
              </w:rPr>
              <w:t>main source of income</w:t>
            </w:r>
          </w:p>
          <w:p w14:paraId="2C5A5E63" w14:textId="77777777" w:rsidR="00221C59" w:rsidRPr="003B5919" w:rsidRDefault="00221C59" w:rsidP="00221C59">
            <w:pPr>
              <w:tabs>
                <w:tab w:val="left" w:pos="217"/>
              </w:tabs>
              <w:ind w:left="217" w:hanging="217"/>
              <w:jc w:val="both"/>
              <w:rPr>
                <w:szCs w:val="20"/>
              </w:rPr>
            </w:pPr>
            <w:r w:rsidRPr="003B5919">
              <w:rPr>
                <w:szCs w:val="20"/>
              </w:rPr>
              <w:t xml:space="preserve">III. </w:t>
            </w:r>
            <w:r>
              <w:rPr>
                <w:szCs w:val="20"/>
              </w:rPr>
              <w:tab/>
            </w:r>
            <w:r w:rsidRPr="003B5919">
              <w:rPr>
                <w:szCs w:val="20"/>
              </w:rPr>
              <w:t>Agriculture is sometimes practiced only or mainly for self-consumption, without any market orientation (so,</w:t>
            </w:r>
            <w:r>
              <w:rPr>
                <w:szCs w:val="20"/>
              </w:rPr>
              <w:t xml:space="preserve"> </w:t>
            </w:r>
            <w:r w:rsidRPr="003B5919">
              <w:rPr>
                <w:szCs w:val="20"/>
              </w:rPr>
              <w:t>with no or little income) and therefore not necessarily perceived an economic activity.</w:t>
            </w:r>
          </w:p>
          <w:p w14:paraId="21E3B92F" w14:textId="77777777" w:rsidR="00221C59" w:rsidRPr="003B5919" w:rsidRDefault="00221C59" w:rsidP="00221C59">
            <w:pPr>
              <w:tabs>
                <w:tab w:val="left" w:pos="217"/>
              </w:tabs>
              <w:ind w:left="217" w:hanging="217"/>
              <w:jc w:val="both"/>
              <w:rPr>
                <w:szCs w:val="20"/>
              </w:rPr>
            </w:pPr>
            <w:r w:rsidRPr="003B5919">
              <w:rPr>
                <w:szCs w:val="20"/>
              </w:rPr>
              <w:t xml:space="preserve">IV. </w:t>
            </w:r>
            <w:r>
              <w:rPr>
                <w:szCs w:val="20"/>
              </w:rPr>
              <w:tab/>
            </w:r>
            <w:r w:rsidRPr="003B5919">
              <w:rPr>
                <w:szCs w:val="20"/>
              </w:rPr>
              <w:t>Finally, the individual’s livelihood cannot be completely detached from the livelihood of the other</w:t>
            </w:r>
            <w:r>
              <w:rPr>
                <w:szCs w:val="20"/>
              </w:rPr>
              <w:t xml:space="preserve"> </w:t>
            </w:r>
            <w:r w:rsidRPr="003B5919">
              <w:rPr>
                <w:szCs w:val="20"/>
              </w:rPr>
              <w:t>household members, thus the necessity of a household-level perspective.</w:t>
            </w:r>
          </w:p>
          <w:p w14:paraId="384402E9" w14:textId="77777777" w:rsidR="00221C59" w:rsidRPr="003B5919" w:rsidRDefault="00221C59" w:rsidP="00221C59">
            <w:pPr>
              <w:jc w:val="both"/>
              <w:rPr>
                <w:szCs w:val="20"/>
              </w:rPr>
            </w:pPr>
            <w:r w:rsidRPr="003B5919">
              <w:rPr>
                <w:szCs w:val="20"/>
              </w:rPr>
              <w:t>In view of this, in the context of the indicator 5.a.1, an individual is part of ‘adult agricultural population’ if the</w:t>
            </w:r>
            <w:r>
              <w:rPr>
                <w:szCs w:val="20"/>
              </w:rPr>
              <w:t xml:space="preserve"> </w:t>
            </w:r>
            <w:r w:rsidRPr="003B5919">
              <w:rPr>
                <w:szCs w:val="20"/>
              </w:rPr>
              <w:t>following conditions are met:</w:t>
            </w:r>
          </w:p>
          <w:p w14:paraId="24307F62" w14:textId="77777777" w:rsidR="00221C59" w:rsidRPr="003B5919" w:rsidRDefault="00221C59" w:rsidP="00221C59">
            <w:pPr>
              <w:tabs>
                <w:tab w:val="left" w:pos="217"/>
              </w:tabs>
              <w:ind w:left="217" w:hanging="217"/>
              <w:jc w:val="both"/>
              <w:rPr>
                <w:szCs w:val="20"/>
              </w:rPr>
            </w:pPr>
            <w:r w:rsidRPr="003B5919">
              <w:rPr>
                <w:szCs w:val="20"/>
              </w:rPr>
              <w:t xml:space="preserve">I. </w:t>
            </w:r>
            <w:r>
              <w:rPr>
                <w:szCs w:val="20"/>
              </w:rPr>
              <w:tab/>
            </w:r>
            <w:r w:rsidRPr="003B5919">
              <w:rPr>
                <w:szCs w:val="20"/>
              </w:rPr>
              <w:t>is adult</w:t>
            </w:r>
          </w:p>
          <w:p w14:paraId="7393AB2A" w14:textId="77777777" w:rsidR="00221C59" w:rsidRDefault="00221C59" w:rsidP="00221C59">
            <w:pPr>
              <w:tabs>
                <w:tab w:val="left" w:pos="217"/>
              </w:tabs>
              <w:ind w:left="217" w:hanging="217"/>
              <w:jc w:val="both"/>
              <w:rPr>
                <w:szCs w:val="20"/>
              </w:rPr>
            </w:pPr>
            <w:r w:rsidRPr="003B5919">
              <w:rPr>
                <w:szCs w:val="20"/>
              </w:rPr>
              <w:t xml:space="preserve">II. </w:t>
            </w:r>
            <w:r>
              <w:rPr>
                <w:szCs w:val="20"/>
              </w:rPr>
              <w:tab/>
            </w:r>
            <w:proofErr w:type="gramStart"/>
            <w:r w:rsidRPr="003B5919">
              <w:rPr>
                <w:szCs w:val="20"/>
              </w:rPr>
              <w:t>s/he</w:t>
            </w:r>
            <w:proofErr w:type="gramEnd"/>
            <w:r w:rsidRPr="003B5919">
              <w:rPr>
                <w:szCs w:val="20"/>
              </w:rPr>
              <w:t xml:space="preserve"> belongs to a household where at least one member is mainly engaged in an agricultural work over the</w:t>
            </w:r>
            <w:r>
              <w:rPr>
                <w:szCs w:val="20"/>
              </w:rPr>
              <w:t xml:space="preserve"> </w:t>
            </w:r>
            <w:r w:rsidRPr="003B5919">
              <w:rPr>
                <w:szCs w:val="20"/>
              </w:rPr>
              <w:t xml:space="preserve">past 12 months, regardless the final purpose (whether </w:t>
            </w:r>
            <w:r w:rsidRPr="003B5919">
              <w:rPr>
                <w:szCs w:val="20"/>
              </w:rPr>
              <w:lastRenderedPageBreak/>
              <w:t>for income-generation or self-consumption) and the</w:t>
            </w:r>
            <w:r>
              <w:rPr>
                <w:szCs w:val="20"/>
              </w:rPr>
              <w:t xml:space="preserve"> </w:t>
            </w:r>
            <w:r w:rsidRPr="003B5919">
              <w:rPr>
                <w:szCs w:val="20"/>
              </w:rPr>
              <w:t>status in employment.</w:t>
            </w:r>
          </w:p>
          <w:p w14:paraId="031A5EED" w14:textId="77777777" w:rsidR="00221C59" w:rsidRPr="003B5919" w:rsidRDefault="00221C59" w:rsidP="00221C59">
            <w:pPr>
              <w:tabs>
                <w:tab w:val="left" w:pos="217"/>
              </w:tabs>
              <w:ind w:left="217" w:hanging="217"/>
              <w:jc w:val="both"/>
              <w:rPr>
                <w:szCs w:val="20"/>
              </w:rPr>
            </w:pPr>
          </w:p>
          <w:p w14:paraId="25B85688" w14:textId="77777777" w:rsidR="00221C59" w:rsidRDefault="00221C59" w:rsidP="00221C59">
            <w:pPr>
              <w:jc w:val="both"/>
              <w:rPr>
                <w:szCs w:val="20"/>
              </w:rPr>
            </w:pPr>
            <w:r w:rsidRPr="003B5919">
              <w:rPr>
                <w:szCs w:val="20"/>
              </w:rPr>
              <w:t>The adoption of a household perspective is particularly important from the gender perspective, because in many</w:t>
            </w:r>
            <w:r>
              <w:rPr>
                <w:szCs w:val="20"/>
              </w:rPr>
              <w:t xml:space="preserve"> </w:t>
            </w:r>
            <w:r w:rsidRPr="003B5919">
              <w:rPr>
                <w:szCs w:val="20"/>
              </w:rPr>
              <w:t>agricultural households, women often consider themselves as ‘not involved in agriculture’ whereas they provide</w:t>
            </w:r>
            <w:r>
              <w:rPr>
                <w:szCs w:val="20"/>
              </w:rPr>
              <w:t xml:space="preserve"> </w:t>
            </w:r>
            <w:r w:rsidRPr="003B5919">
              <w:rPr>
                <w:szCs w:val="20"/>
              </w:rPr>
              <w:t>substantive support to the household’s agricultural activities.</w:t>
            </w:r>
          </w:p>
          <w:p w14:paraId="2BDC6E3C" w14:textId="77777777" w:rsidR="00221C59" w:rsidRDefault="00221C59" w:rsidP="00221C59">
            <w:pPr>
              <w:jc w:val="both"/>
              <w:rPr>
                <w:szCs w:val="20"/>
              </w:rPr>
            </w:pPr>
          </w:p>
          <w:p w14:paraId="427DC193" w14:textId="77777777" w:rsidR="00221C59" w:rsidRPr="003B5919" w:rsidRDefault="00221C59" w:rsidP="00221C59">
            <w:pPr>
              <w:jc w:val="both"/>
              <w:rPr>
                <w:i/>
                <w:iCs/>
                <w:szCs w:val="20"/>
              </w:rPr>
            </w:pPr>
            <w:r w:rsidRPr="003B5919">
              <w:rPr>
                <w:i/>
                <w:iCs/>
                <w:szCs w:val="20"/>
              </w:rPr>
              <w:t>Ownership and tenure rights over agricultural land:</w:t>
            </w:r>
          </w:p>
          <w:p w14:paraId="6D77ECB5" w14:textId="77777777" w:rsidR="00221C59" w:rsidRPr="003B5919" w:rsidRDefault="00221C59" w:rsidP="00221C59">
            <w:pPr>
              <w:jc w:val="both"/>
              <w:rPr>
                <w:szCs w:val="20"/>
              </w:rPr>
            </w:pPr>
            <w:r w:rsidRPr="003B5919">
              <w:rPr>
                <w:szCs w:val="20"/>
              </w:rPr>
              <w:t>It is challenging to define and to operationalize ownership and tenure rights in a way that provides reliable and</w:t>
            </w:r>
            <w:r>
              <w:rPr>
                <w:szCs w:val="20"/>
              </w:rPr>
              <w:t xml:space="preserve"> </w:t>
            </w:r>
            <w:r w:rsidRPr="003B5919">
              <w:rPr>
                <w:szCs w:val="20"/>
              </w:rPr>
              <w:t>comparable figures across countries.</w:t>
            </w:r>
          </w:p>
          <w:p w14:paraId="2CC0C076" w14:textId="77777777" w:rsidR="00221C59" w:rsidRDefault="00221C59" w:rsidP="00221C59">
            <w:pPr>
              <w:jc w:val="both"/>
              <w:rPr>
                <w:szCs w:val="20"/>
              </w:rPr>
            </w:pPr>
            <w:r w:rsidRPr="003B5919">
              <w:rPr>
                <w:szCs w:val="20"/>
              </w:rPr>
              <w:t>Land ownership is a legally recognised right to acquire, to use and to transfer land. In private property systems, this</w:t>
            </w:r>
            <w:r>
              <w:rPr>
                <w:szCs w:val="20"/>
              </w:rPr>
              <w:t xml:space="preserve"> </w:t>
            </w:r>
            <w:r w:rsidRPr="003B5919">
              <w:rPr>
                <w:szCs w:val="20"/>
              </w:rPr>
              <w:t>is a right akin to a freehold tenure. However, in systems where land is owned by the State, the term ‘land</w:t>
            </w:r>
            <w:r>
              <w:rPr>
                <w:szCs w:val="20"/>
              </w:rPr>
              <w:t xml:space="preserve"> </w:t>
            </w:r>
            <w:r w:rsidRPr="003B5919">
              <w:rPr>
                <w:szCs w:val="20"/>
              </w:rPr>
              <w:t>ownership’ refers to possession of the rights most akin to ownership in a private property system – for instance,</w:t>
            </w:r>
            <w:r>
              <w:rPr>
                <w:szCs w:val="20"/>
              </w:rPr>
              <w:t xml:space="preserve"> </w:t>
            </w:r>
            <w:r w:rsidRPr="003B5919">
              <w:rPr>
                <w:szCs w:val="20"/>
              </w:rPr>
              <w:t>long-term leases, occupancy, tenancy or use rights granted by the State, often for several decades, and that are</w:t>
            </w:r>
            <w:r>
              <w:rPr>
                <w:szCs w:val="20"/>
              </w:rPr>
              <w:t xml:space="preserve"> </w:t>
            </w:r>
            <w:r w:rsidRPr="003B5919">
              <w:rPr>
                <w:szCs w:val="20"/>
              </w:rPr>
              <w:t>transferrable. In this context, it is more appropriate to speak of tenure rights.</w:t>
            </w:r>
          </w:p>
          <w:p w14:paraId="79A42723" w14:textId="77777777" w:rsidR="00221C59" w:rsidRPr="003B5919" w:rsidRDefault="00221C59" w:rsidP="00221C59">
            <w:pPr>
              <w:jc w:val="both"/>
              <w:rPr>
                <w:szCs w:val="20"/>
              </w:rPr>
            </w:pPr>
          </w:p>
          <w:p w14:paraId="297E535E" w14:textId="77777777" w:rsidR="00221C59" w:rsidRDefault="00221C59" w:rsidP="00221C59">
            <w:pPr>
              <w:jc w:val="both"/>
              <w:rPr>
                <w:szCs w:val="20"/>
              </w:rPr>
            </w:pPr>
            <w:r w:rsidRPr="003B5919">
              <w:rPr>
                <w:szCs w:val="20"/>
              </w:rPr>
              <w:t>Nonetheless, as emphasized by the EDGE (Evidence and Data for Gender Equality) project, focusing on legally</w:t>
            </w:r>
            <w:r>
              <w:rPr>
                <w:szCs w:val="20"/>
              </w:rPr>
              <w:t xml:space="preserve"> </w:t>
            </w:r>
            <w:r w:rsidRPr="003B5919">
              <w:rPr>
                <w:szCs w:val="20"/>
              </w:rPr>
              <w:t>recognized documents is not sufficient to analyse the complexity of rights related to land, especially in developing</w:t>
            </w:r>
            <w:r>
              <w:rPr>
                <w:szCs w:val="20"/>
              </w:rPr>
              <w:t xml:space="preserve"> </w:t>
            </w:r>
            <w:r w:rsidRPr="003B5919">
              <w:rPr>
                <w:szCs w:val="20"/>
              </w:rPr>
              <w:t>countries and from the gender perspective. The main factor limiting the universal applicability of legally recognized</w:t>
            </w:r>
            <w:r>
              <w:rPr>
                <w:szCs w:val="20"/>
              </w:rPr>
              <w:t xml:space="preserve"> </w:t>
            </w:r>
            <w:r w:rsidRPr="003B5919">
              <w:rPr>
                <w:szCs w:val="20"/>
              </w:rPr>
              <w:t>documents is the diverse penetration of such legally binding documents.</w:t>
            </w:r>
          </w:p>
          <w:p w14:paraId="6E50F51E" w14:textId="77777777" w:rsidR="00221C59" w:rsidRDefault="00221C59" w:rsidP="00221C59">
            <w:pPr>
              <w:jc w:val="both"/>
              <w:rPr>
                <w:szCs w:val="20"/>
              </w:rPr>
            </w:pPr>
          </w:p>
          <w:p w14:paraId="32D8740A" w14:textId="77777777" w:rsidR="00221C59" w:rsidRDefault="00221C59" w:rsidP="00221C59">
            <w:pPr>
              <w:jc w:val="both"/>
              <w:rPr>
                <w:szCs w:val="20"/>
              </w:rPr>
            </w:pPr>
            <w:r w:rsidRPr="003B5919">
              <w:rPr>
                <w:szCs w:val="20"/>
              </w:rPr>
              <w:t>Considering the above, as well as the need to propose an indicator valid at global level, the indicator 5.a.1 relies on</w:t>
            </w:r>
            <w:r>
              <w:rPr>
                <w:szCs w:val="20"/>
              </w:rPr>
              <w:t xml:space="preserve"> </w:t>
            </w:r>
            <w:r w:rsidRPr="003B5919">
              <w:rPr>
                <w:szCs w:val="20"/>
              </w:rPr>
              <w:t>the three conditions (proxies): 1) Presence of legally recognised documents in the name of the individual; 2) right to</w:t>
            </w:r>
            <w:r>
              <w:rPr>
                <w:szCs w:val="20"/>
              </w:rPr>
              <w:t xml:space="preserve"> </w:t>
            </w:r>
            <w:r w:rsidRPr="003B5919">
              <w:rPr>
                <w:szCs w:val="20"/>
              </w:rPr>
              <w:t>sell; 3) right to bequeath.</w:t>
            </w:r>
          </w:p>
          <w:p w14:paraId="34E86C17" w14:textId="77777777" w:rsidR="00221C59" w:rsidRDefault="00221C59" w:rsidP="00221C59">
            <w:pPr>
              <w:jc w:val="both"/>
              <w:rPr>
                <w:szCs w:val="20"/>
              </w:rPr>
            </w:pPr>
          </w:p>
          <w:p w14:paraId="53877AA2" w14:textId="77777777" w:rsidR="00221C59" w:rsidRPr="003B5919" w:rsidRDefault="00221C59" w:rsidP="00221C59">
            <w:pPr>
              <w:jc w:val="both"/>
              <w:rPr>
                <w:i/>
                <w:iCs/>
                <w:szCs w:val="20"/>
              </w:rPr>
            </w:pPr>
            <w:r w:rsidRPr="003B5919">
              <w:rPr>
                <w:i/>
                <w:iCs/>
                <w:szCs w:val="20"/>
              </w:rPr>
              <w:t xml:space="preserve">1) Presence of legally recognised documents in the name of the individual: </w:t>
            </w:r>
          </w:p>
          <w:p w14:paraId="0F786F3F" w14:textId="77777777" w:rsidR="00221C59" w:rsidRPr="003B5919" w:rsidRDefault="00221C59" w:rsidP="00221C59">
            <w:pPr>
              <w:jc w:val="both"/>
              <w:rPr>
                <w:szCs w:val="20"/>
              </w:rPr>
            </w:pPr>
            <w:r w:rsidRPr="003B5919">
              <w:rPr>
                <w:szCs w:val="20"/>
              </w:rPr>
              <w:t>It refers to the existence of any document an individual can use to claim property rights before the law over an asset</w:t>
            </w:r>
            <w:r>
              <w:rPr>
                <w:szCs w:val="20"/>
              </w:rPr>
              <w:t xml:space="preserve"> </w:t>
            </w:r>
            <w:r w:rsidRPr="003B5919">
              <w:rPr>
                <w:szCs w:val="20"/>
              </w:rPr>
              <w:t>by virtue of the individual’s name being listed as owner or holder on the document.</w:t>
            </w:r>
            <w:r>
              <w:rPr>
                <w:szCs w:val="20"/>
              </w:rPr>
              <w:t xml:space="preserve"> </w:t>
            </w:r>
            <w:r w:rsidRPr="003B5919">
              <w:rPr>
                <w:szCs w:val="20"/>
              </w:rPr>
              <w:t>Given the differences between legal systems across countries it is not possible to clearly define an exhaustive list of</w:t>
            </w:r>
            <w:r>
              <w:rPr>
                <w:szCs w:val="20"/>
              </w:rPr>
              <w:t xml:space="preserve"> </w:t>
            </w:r>
            <w:r w:rsidRPr="003B5919">
              <w:rPr>
                <w:szCs w:val="20"/>
              </w:rPr>
              <w:t>documents that could be considered a proof of tenure security. However, depending on the national legal</w:t>
            </w:r>
            <w:r>
              <w:rPr>
                <w:szCs w:val="20"/>
              </w:rPr>
              <w:t xml:space="preserve"> </w:t>
            </w:r>
            <w:r w:rsidRPr="003B5919">
              <w:rPr>
                <w:szCs w:val="20"/>
              </w:rPr>
              <w:t>framework the following documents may be considered as formal titles:</w:t>
            </w:r>
          </w:p>
          <w:p w14:paraId="1A5087ED" w14:textId="77777777" w:rsidR="00221C59" w:rsidRPr="003B5919" w:rsidRDefault="00221C59" w:rsidP="00221C59">
            <w:pPr>
              <w:pStyle w:val="ListParagraph"/>
              <w:numPr>
                <w:ilvl w:val="0"/>
                <w:numId w:val="14"/>
              </w:numPr>
              <w:spacing w:after="0" w:line="240" w:lineRule="auto"/>
              <w:ind w:left="127" w:hanging="127"/>
              <w:jc w:val="both"/>
              <w:rPr>
                <w:rFonts w:ascii="Tw Cen MT Condensed" w:hAnsi="Tw Cen MT Condensed"/>
                <w:sz w:val="20"/>
                <w:szCs w:val="20"/>
              </w:rPr>
            </w:pPr>
            <w:r w:rsidRPr="003B5919">
              <w:rPr>
                <w:rFonts w:ascii="Tw Cen MT Condensed" w:hAnsi="Tw Cen MT Condensed"/>
                <w:sz w:val="20"/>
                <w:szCs w:val="20"/>
              </w:rPr>
              <w:t>Title deed: “a written or printed instrument that effects a legal disposition”</w:t>
            </w:r>
          </w:p>
          <w:p w14:paraId="1E7B3FE1" w14:textId="77777777" w:rsidR="00221C59" w:rsidRPr="003B5919" w:rsidRDefault="00221C59" w:rsidP="00221C59">
            <w:pPr>
              <w:pStyle w:val="ListParagraph"/>
              <w:numPr>
                <w:ilvl w:val="0"/>
                <w:numId w:val="40"/>
              </w:numPr>
              <w:spacing w:after="0" w:line="240" w:lineRule="auto"/>
              <w:ind w:left="127" w:hanging="127"/>
              <w:jc w:val="both"/>
              <w:rPr>
                <w:rFonts w:ascii="Tw Cen MT Condensed" w:hAnsi="Tw Cen MT Condensed"/>
                <w:sz w:val="20"/>
                <w:szCs w:val="20"/>
              </w:rPr>
            </w:pPr>
            <w:r w:rsidRPr="003B5919">
              <w:rPr>
                <w:rFonts w:ascii="Tw Cen MT Condensed" w:hAnsi="Tw Cen MT Condensed"/>
                <w:sz w:val="20"/>
                <w:szCs w:val="20"/>
              </w:rPr>
              <w:t xml:space="preserve">Certificate of occupancy or land certificate “A land certificate is a certified copy of an </w:t>
            </w:r>
            <w:r w:rsidRPr="003B5919">
              <w:rPr>
                <w:rFonts w:ascii="Tw Cen MT Condensed" w:hAnsi="Tw Cen MT Condensed"/>
                <w:sz w:val="20"/>
                <w:szCs w:val="20"/>
              </w:rPr>
              <w:lastRenderedPageBreak/>
              <w:t>entry in a land title system and provides proof of the ownership and of encumbrances on the land at that time”</w:t>
            </w:r>
          </w:p>
          <w:p w14:paraId="794E57BA" w14:textId="77777777" w:rsidR="00221C59" w:rsidRPr="003B5919" w:rsidRDefault="00221C59" w:rsidP="00221C59">
            <w:pPr>
              <w:pStyle w:val="ListParagraph"/>
              <w:numPr>
                <w:ilvl w:val="0"/>
                <w:numId w:val="40"/>
              </w:numPr>
              <w:spacing w:after="0" w:line="240" w:lineRule="auto"/>
              <w:ind w:left="127" w:hanging="127"/>
              <w:jc w:val="both"/>
              <w:rPr>
                <w:rFonts w:ascii="Tw Cen MT Condensed" w:hAnsi="Tw Cen MT Condensed"/>
                <w:sz w:val="20"/>
                <w:szCs w:val="20"/>
              </w:rPr>
            </w:pPr>
            <w:r w:rsidRPr="003B5919">
              <w:rPr>
                <w:rFonts w:ascii="Tw Cen MT Condensed" w:hAnsi="Tw Cen MT Condensed"/>
                <w:sz w:val="20"/>
                <w:szCs w:val="20"/>
              </w:rPr>
              <w:t>Purchase agreement: a contract between a seller and a buyer to dispose of land Registered certificate of hereditary acquisition Certificate of customary tenure: an official state document indicating the owner or holder of the land because customary law has recognized that particular person as the rightful owner. It can be used as proof of legal right over the land. These certificates include, among others, certificates of customary ownership and customary use.</w:t>
            </w:r>
          </w:p>
          <w:p w14:paraId="4D88753A" w14:textId="77777777" w:rsidR="00221C59" w:rsidRPr="003B5919" w:rsidRDefault="00221C59" w:rsidP="00221C59">
            <w:pPr>
              <w:pStyle w:val="ListParagraph"/>
              <w:numPr>
                <w:ilvl w:val="0"/>
                <w:numId w:val="40"/>
              </w:numPr>
              <w:spacing w:after="0" w:line="240" w:lineRule="auto"/>
              <w:ind w:left="127" w:hanging="127"/>
              <w:jc w:val="both"/>
              <w:rPr>
                <w:rFonts w:ascii="Tw Cen MT Condensed" w:hAnsi="Tw Cen MT Condensed"/>
                <w:sz w:val="20"/>
                <w:szCs w:val="20"/>
              </w:rPr>
            </w:pPr>
            <w:r w:rsidRPr="003B5919">
              <w:rPr>
                <w:rFonts w:ascii="Tw Cen MT Condensed" w:hAnsi="Tw Cen MT Condensed"/>
                <w:sz w:val="20"/>
                <w:szCs w:val="20"/>
              </w:rPr>
              <w:t>Registered certificate of perpetual / long term lease: “a contractual agreement between a landlord and a tenant for the tenancy of land. A lease or tenancy agreement is the contractual document used to create a leasehold interest or tenancy”</w:t>
            </w:r>
          </w:p>
          <w:p w14:paraId="07061940" w14:textId="1C1FDBF3" w:rsidR="00221C59" w:rsidRPr="003B5919" w:rsidRDefault="00221C59" w:rsidP="00221C59">
            <w:pPr>
              <w:pStyle w:val="ListParagraph"/>
              <w:numPr>
                <w:ilvl w:val="0"/>
                <w:numId w:val="40"/>
              </w:numPr>
              <w:spacing w:after="0" w:line="240" w:lineRule="auto"/>
              <w:ind w:left="127" w:hanging="127"/>
              <w:jc w:val="both"/>
              <w:rPr>
                <w:rFonts w:ascii="Tw Cen MT Condensed" w:hAnsi="Tw Cen MT Condensed"/>
                <w:sz w:val="20"/>
                <w:szCs w:val="20"/>
              </w:rPr>
            </w:pPr>
            <w:r w:rsidRPr="003B5919">
              <w:rPr>
                <w:rFonts w:ascii="Tw Cen MT Condensed" w:hAnsi="Tw Cen MT Condensed"/>
                <w:sz w:val="20"/>
                <w:szCs w:val="20"/>
              </w:rPr>
              <w:t xml:space="preserve">Registered short term (less than </w:t>
            </w:r>
            <w:r w:rsidR="005F24FB">
              <w:rPr>
                <w:rFonts w:ascii="Tw Cen MT Condensed" w:hAnsi="Tw Cen MT Condensed"/>
                <w:sz w:val="20"/>
                <w:szCs w:val="20"/>
              </w:rPr>
              <w:t>Triennial</w:t>
            </w:r>
            <w:r w:rsidRPr="003B5919">
              <w:rPr>
                <w:rFonts w:ascii="Tw Cen MT Condensed" w:hAnsi="Tw Cen MT Condensed"/>
                <w:sz w:val="20"/>
                <w:szCs w:val="20"/>
              </w:rPr>
              <w:t>) rental contract</w:t>
            </w:r>
          </w:p>
          <w:p w14:paraId="1003644D" w14:textId="77777777" w:rsidR="00221C59" w:rsidRPr="003B5919" w:rsidRDefault="00221C59" w:rsidP="00221C59">
            <w:pPr>
              <w:pStyle w:val="ListParagraph"/>
              <w:numPr>
                <w:ilvl w:val="0"/>
                <w:numId w:val="40"/>
              </w:numPr>
              <w:spacing w:after="0" w:line="240" w:lineRule="auto"/>
              <w:ind w:left="127" w:hanging="127"/>
              <w:jc w:val="both"/>
              <w:rPr>
                <w:rFonts w:ascii="Tw Cen MT Condensed" w:hAnsi="Tw Cen MT Condensed"/>
                <w:sz w:val="20"/>
                <w:szCs w:val="20"/>
              </w:rPr>
            </w:pPr>
            <w:r w:rsidRPr="003B5919">
              <w:rPr>
                <w:rFonts w:ascii="Tw Cen MT Condensed" w:hAnsi="Tw Cen MT Condensed"/>
                <w:sz w:val="20"/>
                <w:szCs w:val="20"/>
              </w:rPr>
              <w:t>Certificate issued for adverse possession or prescription: is a certificate indicating that the adverse</w:t>
            </w:r>
            <w:r>
              <w:rPr>
                <w:rFonts w:ascii="Tw Cen MT Condensed" w:hAnsi="Tw Cen MT Condensed"/>
                <w:sz w:val="20"/>
                <w:szCs w:val="20"/>
              </w:rPr>
              <w:t xml:space="preserve"> </w:t>
            </w:r>
            <w:r w:rsidRPr="003B5919">
              <w:rPr>
                <w:rFonts w:ascii="Tw Cen MT Condensed" w:hAnsi="Tw Cen MT Condensed"/>
                <w:sz w:val="20"/>
                <w:szCs w:val="20"/>
              </w:rPr>
              <w:t>possessor acquires the land after a prescribed statutory period.</w:t>
            </w:r>
          </w:p>
          <w:p w14:paraId="6D2B8C5A" w14:textId="77777777" w:rsidR="00221C59" w:rsidRDefault="00221C59" w:rsidP="00221C59">
            <w:pPr>
              <w:jc w:val="both"/>
              <w:rPr>
                <w:szCs w:val="20"/>
              </w:rPr>
            </w:pPr>
            <w:r w:rsidRPr="003B5919">
              <w:rPr>
                <w:szCs w:val="20"/>
              </w:rPr>
              <w:t>In order to overcome the lack of written documentation and to generate a globally valid indicator it becomes crucial</w:t>
            </w:r>
            <w:r>
              <w:rPr>
                <w:szCs w:val="20"/>
              </w:rPr>
              <w:t xml:space="preserve"> </w:t>
            </w:r>
            <w:r w:rsidRPr="003B5919">
              <w:rPr>
                <w:szCs w:val="20"/>
              </w:rPr>
              <w:t>to take into account also the alienation rights over land, which can be present even in contexts where tenure rights</w:t>
            </w:r>
            <w:r>
              <w:rPr>
                <w:szCs w:val="20"/>
              </w:rPr>
              <w:t xml:space="preserve"> </w:t>
            </w:r>
            <w:r w:rsidRPr="003B5919">
              <w:rPr>
                <w:szCs w:val="20"/>
              </w:rPr>
              <w:t>are not documented.</w:t>
            </w:r>
          </w:p>
          <w:p w14:paraId="3AB4433E" w14:textId="77777777" w:rsidR="00221C59" w:rsidRDefault="00221C59" w:rsidP="00221C59">
            <w:pPr>
              <w:jc w:val="both"/>
              <w:rPr>
                <w:szCs w:val="20"/>
              </w:rPr>
            </w:pPr>
          </w:p>
          <w:p w14:paraId="308486C1" w14:textId="77777777" w:rsidR="00221C59" w:rsidRPr="003B5919" w:rsidRDefault="00221C59" w:rsidP="00221C59">
            <w:pPr>
              <w:jc w:val="both"/>
              <w:rPr>
                <w:szCs w:val="20"/>
              </w:rPr>
            </w:pPr>
            <w:r w:rsidRPr="003B5919">
              <w:rPr>
                <w:szCs w:val="20"/>
              </w:rPr>
              <w:t xml:space="preserve">Alienation is defined as the ability to transfer a given asset during lifetime or after death. The </w:t>
            </w:r>
            <w:proofErr w:type="gramStart"/>
            <w:r w:rsidRPr="003B5919">
              <w:rPr>
                <w:szCs w:val="20"/>
              </w:rPr>
              <w:t>right to sell and to</w:t>
            </w:r>
            <w:r>
              <w:rPr>
                <w:szCs w:val="20"/>
              </w:rPr>
              <w:t xml:space="preserve"> </w:t>
            </w:r>
            <w:r w:rsidRPr="003B5919">
              <w:rPr>
                <w:szCs w:val="20"/>
              </w:rPr>
              <w:t>bequeath are</w:t>
            </w:r>
            <w:proofErr w:type="gramEnd"/>
            <w:r w:rsidRPr="003B5919">
              <w:rPr>
                <w:szCs w:val="20"/>
              </w:rPr>
              <w:t xml:space="preserve"> considered as objective facts that carry legal force as opposed to a simple self-reported declaration of</w:t>
            </w:r>
            <w:r>
              <w:rPr>
                <w:szCs w:val="20"/>
              </w:rPr>
              <w:t xml:space="preserve"> </w:t>
            </w:r>
            <w:r w:rsidRPr="003B5919">
              <w:rPr>
                <w:szCs w:val="20"/>
              </w:rPr>
              <w:t>tenure rights over land. In particular:</w:t>
            </w:r>
          </w:p>
          <w:p w14:paraId="67325CCC" w14:textId="77777777" w:rsidR="00221C59" w:rsidRPr="003B5919" w:rsidRDefault="00221C59" w:rsidP="00221C59">
            <w:pPr>
              <w:jc w:val="both"/>
              <w:rPr>
                <w:szCs w:val="20"/>
              </w:rPr>
            </w:pPr>
            <w:r w:rsidRPr="003B5919">
              <w:rPr>
                <w:szCs w:val="20"/>
              </w:rPr>
              <w:t>2) Right to sell</w:t>
            </w:r>
            <w:r>
              <w:rPr>
                <w:szCs w:val="20"/>
              </w:rPr>
              <w:t xml:space="preserve">: </w:t>
            </w:r>
            <w:r w:rsidRPr="003B5919">
              <w:rPr>
                <w:szCs w:val="20"/>
              </w:rPr>
              <w:t>It refers to the ability of an individual to permanently transfer the asset in question in return for cash or in-kind</w:t>
            </w:r>
            <w:r>
              <w:rPr>
                <w:szCs w:val="20"/>
              </w:rPr>
              <w:t xml:space="preserve"> </w:t>
            </w:r>
            <w:r w:rsidRPr="003B5919">
              <w:rPr>
                <w:szCs w:val="20"/>
              </w:rPr>
              <w:t>benefits.</w:t>
            </w:r>
          </w:p>
          <w:p w14:paraId="121EF147" w14:textId="77777777" w:rsidR="00221C59" w:rsidRDefault="00221C59" w:rsidP="00221C59">
            <w:pPr>
              <w:jc w:val="both"/>
              <w:rPr>
                <w:szCs w:val="20"/>
              </w:rPr>
            </w:pPr>
            <w:r w:rsidRPr="003B5919">
              <w:rPr>
                <w:szCs w:val="20"/>
              </w:rPr>
              <w:t>3) Right to bequeath</w:t>
            </w:r>
            <w:r>
              <w:rPr>
                <w:szCs w:val="20"/>
              </w:rPr>
              <w:t xml:space="preserve">: </w:t>
            </w:r>
            <w:r w:rsidRPr="003B5919">
              <w:rPr>
                <w:szCs w:val="20"/>
              </w:rPr>
              <w:t>It refers to the ability of an individual to pass on the asset in question to another person(s) after his or her death, by</w:t>
            </w:r>
            <w:r>
              <w:rPr>
                <w:szCs w:val="20"/>
              </w:rPr>
              <w:t xml:space="preserve"> </w:t>
            </w:r>
            <w:r w:rsidRPr="003B5919">
              <w:rPr>
                <w:szCs w:val="20"/>
              </w:rPr>
              <w:t>written will, oral will (if recognized by the country) or when the deceased left no will, through intestate succession.</w:t>
            </w:r>
          </w:p>
          <w:p w14:paraId="481AEB3D" w14:textId="77777777" w:rsidR="00221C59" w:rsidRPr="003B5919" w:rsidRDefault="00221C59" w:rsidP="00221C59">
            <w:pPr>
              <w:jc w:val="both"/>
              <w:rPr>
                <w:szCs w:val="20"/>
              </w:rPr>
            </w:pPr>
          </w:p>
          <w:p w14:paraId="4BBF50B6" w14:textId="77777777" w:rsidR="00221C59" w:rsidRDefault="00221C59" w:rsidP="00221C59">
            <w:pPr>
              <w:jc w:val="both"/>
              <w:rPr>
                <w:szCs w:val="20"/>
              </w:rPr>
            </w:pPr>
            <w:r w:rsidRPr="003B5919">
              <w:rPr>
                <w:szCs w:val="20"/>
              </w:rPr>
              <w:t>The decision to rely on the three proxies above (availability of a legal document, right to sell, right to bequeath) is</w:t>
            </w:r>
            <w:r>
              <w:rPr>
                <w:szCs w:val="20"/>
              </w:rPr>
              <w:t xml:space="preserve"> </w:t>
            </w:r>
            <w:r w:rsidRPr="003B5919">
              <w:rPr>
                <w:szCs w:val="20"/>
              </w:rPr>
              <w:t>justified by the results of the seven field tests conducted under the framework on the EDGE project. In particular,</w:t>
            </w:r>
            <w:r>
              <w:rPr>
                <w:szCs w:val="20"/>
              </w:rPr>
              <w:t xml:space="preserve"> </w:t>
            </w:r>
            <w:r w:rsidRPr="003B5919">
              <w:rPr>
                <w:szCs w:val="20"/>
              </w:rPr>
              <w:t>the tests demonstrated:</w:t>
            </w:r>
          </w:p>
          <w:p w14:paraId="05882FE3" w14:textId="77777777" w:rsidR="00221C59" w:rsidRPr="003B5919" w:rsidRDefault="00221C59" w:rsidP="00221C59">
            <w:pPr>
              <w:jc w:val="both"/>
              <w:rPr>
                <w:szCs w:val="20"/>
              </w:rPr>
            </w:pPr>
          </w:p>
          <w:p w14:paraId="54A1BBCE" w14:textId="77777777" w:rsidR="00221C59" w:rsidRDefault="00221C59" w:rsidP="00221C59">
            <w:pPr>
              <w:jc w:val="both"/>
              <w:rPr>
                <w:szCs w:val="20"/>
              </w:rPr>
            </w:pPr>
            <w:r w:rsidRPr="003B5919">
              <w:rPr>
                <w:szCs w:val="20"/>
              </w:rPr>
              <w:t>The lack of reliability of reported ownership/possession. In fact reported ownership/possession was often neither</w:t>
            </w:r>
            <w:r>
              <w:rPr>
                <w:szCs w:val="20"/>
              </w:rPr>
              <w:t xml:space="preserve"> </w:t>
            </w:r>
            <w:r w:rsidRPr="003B5919">
              <w:rPr>
                <w:szCs w:val="20"/>
              </w:rPr>
              <w:t>supported by any kind of documentation nor by the possession of any alienation right.</w:t>
            </w:r>
          </w:p>
          <w:p w14:paraId="5BAEAB58" w14:textId="77777777" w:rsidR="00221C59" w:rsidRDefault="00221C59" w:rsidP="00221C59">
            <w:pPr>
              <w:jc w:val="both"/>
              <w:rPr>
                <w:szCs w:val="20"/>
              </w:rPr>
            </w:pPr>
          </w:p>
          <w:p w14:paraId="56F0432E" w14:textId="77777777" w:rsidR="00221C59" w:rsidRDefault="00221C59" w:rsidP="00221C59">
            <w:pPr>
              <w:jc w:val="both"/>
              <w:rPr>
                <w:szCs w:val="20"/>
              </w:rPr>
            </w:pPr>
            <w:r w:rsidRPr="003B5919">
              <w:rPr>
                <w:szCs w:val="20"/>
              </w:rPr>
              <w:lastRenderedPageBreak/>
              <w:t>The need to consider as ‘owners’ or ‘holders of tenure rights’ only the individuals who are linked to the agricultural</w:t>
            </w:r>
            <w:r>
              <w:rPr>
                <w:szCs w:val="20"/>
              </w:rPr>
              <w:t xml:space="preserve"> </w:t>
            </w:r>
            <w:r w:rsidRPr="003B5919">
              <w:rPr>
                <w:szCs w:val="20"/>
              </w:rPr>
              <w:t>land by an objective right over it, including both formal legal possession and alienation rights.</w:t>
            </w:r>
            <w:r>
              <w:rPr>
                <w:szCs w:val="20"/>
              </w:rPr>
              <w:t xml:space="preserve"> </w:t>
            </w:r>
            <w:r w:rsidRPr="003B5919">
              <w:rPr>
                <w:szCs w:val="20"/>
              </w:rPr>
              <w:t>The need to combine different proxies, as no single proxy is universally valid.</w:t>
            </w:r>
          </w:p>
          <w:p w14:paraId="5A4E3159" w14:textId="77777777" w:rsidR="00221C59" w:rsidRDefault="00221C59" w:rsidP="00221C59">
            <w:pPr>
              <w:jc w:val="both"/>
              <w:rPr>
                <w:szCs w:val="20"/>
              </w:rPr>
            </w:pPr>
          </w:p>
          <w:p w14:paraId="04C803EB" w14:textId="77777777" w:rsidR="00221C59" w:rsidRPr="003B5919" w:rsidRDefault="00221C59" w:rsidP="00221C59">
            <w:pPr>
              <w:jc w:val="both"/>
              <w:rPr>
                <w:b/>
                <w:bCs/>
                <w:szCs w:val="20"/>
              </w:rPr>
            </w:pPr>
            <w:r w:rsidRPr="003B5919">
              <w:rPr>
                <w:b/>
                <w:bCs/>
                <w:szCs w:val="20"/>
              </w:rPr>
              <w:t>Computation Method:</w:t>
            </w:r>
          </w:p>
          <w:p w14:paraId="084B0705" w14:textId="77777777" w:rsidR="00221C59" w:rsidRPr="003B5919" w:rsidRDefault="00221C59" w:rsidP="00221C59">
            <w:pPr>
              <w:jc w:val="both"/>
              <w:rPr>
                <w:szCs w:val="20"/>
              </w:rPr>
            </w:pPr>
            <w:r w:rsidRPr="003B5919">
              <w:rPr>
                <w:szCs w:val="20"/>
              </w:rPr>
              <w:t>How the indicator is calculated:</w:t>
            </w:r>
          </w:p>
          <w:p w14:paraId="41590A95" w14:textId="77777777" w:rsidR="00221C59" w:rsidRPr="003B5919" w:rsidRDefault="00221C59" w:rsidP="00221C59">
            <w:pPr>
              <w:jc w:val="both"/>
              <w:rPr>
                <w:szCs w:val="20"/>
              </w:rPr>
            </w:pPr>
            <w:r w:rsidRPr="003B5919">
              <w:rPr>
                <w:szCs w:val="20"/>
              </w:rPr>
              <w:t>The indicator 5.a.1 considers as owners or holders of tenure rights all the individuals in the reference population</w:t>
            </w:r>
            <w:r>
              <w:rPr>
                <w:szCs w:val="20"/>
              </w:rPr>
              <w:t xml:space="preserve"> </w:t>
            </w:r>
            <w:r w:rsidRPr="003B5919">
              <w:rPr>
                <w:szCs w:val="20"/>
              </w:rPr>
              <w:t>(agricultural population) who:</w:t>
            </w:r>
          </w:p>
          <w:p w14:paraId="0FF7BFB6" w14:textId="77777777" w:rsidR="00221C59" w:rsidRPr="003B5919" w:rsidRDefault="00221C59" w:rsidP="00221C59">
            <w:pPr>
              <w:pStyle w:val="ListParagraph"/>
              <w:numPr>
                <w:ilvl w:val="0"/>
                <w:numId w:val="41"/>
              </w:numPr>
              <w:spacing w:after="0" w:line="240" w:lineRule="auto"/>
              <w:ind w:left="487" w:hanging="127"/>
              <w:jc w:val="both"/>
              <w:rPr>
                <w:rFonts w:ascii="Tw Cen MT Condensed" w:hAnsi="Tw Cen MT Condensed"/>
                <w:sz w:val="20"/>
                <w:szCs w:val="20"/>
              </w:rPr>
            </w:pPr>
            <w:r w:rsidRPr="003B5919">
              <w:rPr>
                <w:rFonts w:ascii="Tw Cen MT Condensed" w:hAnsi="Tw Cen MT Condensed"/>
                <w:sz w:val="20"/>
                <w:szCs w:val="20"/>
              </w:rPr>
              <w:t>Are listed as ‘owners’ or ‘holders’ on a certificate that testifies security of tenure over agricultural land</w:t>
            </w:r>
          </w:p>
          <w:p w14:paraId="2E826AD5" w14:textId="77777777" w:rsidR="00221C59" w:rsidRPr="003B5919" w:rsidRDefault="00221C59" w:rsidP="00221C59">
            <w:pPr>
              <w:jc w:val="both"/>
              <w:rPr>
                <w:szCs w:val="20"/>
              </w:rPr>
            </w:pPr>
            <w:r w:rsidRPr="003B5919">
              <w:rPr>
                <w:szCs w:val="20"/>
              </w:rPr>
              <w:t>OR</w:t>
            </w:r>
          </w:p>
          <w:p w14:paraId="5C492C51" w14:textId="77777777" w:rsidR="00221C59" w:rsidRPr="003B5919" w:rsidRDefault="00221C59" w:rsidP="00221C59">
            <w:pPr>
              <w:pStyle w:val="ListParagraph"/>
              <w:numPr>
                <w:ilvl w:val="0"/>
                <w:numId w:val="41"/>
              </w:numPr>
              <w:spacing w:after="0" w:line="240" w:lineRule="auto"/>
              <w:ind w:left="487" w:hanging="127"/>
              <w:jc w:val="both"/>
              <w:rPr>
                <w:rFonts w:ascii="Tw Cen MT Condensed" w:hAnsi="Tw Cen MT Condensed"/>
                <w:sz w:val="20"/>
                <w:szCs w:val="20"/>
              </w:rPr>
            </w:pPr>
            <w:r w:rsidRPr="003B5919">
              <w:rPr>
                <w:rFonts w:ascii="Tw Cen MT Condensed" w:hAnsi="Tw Cen MT Condensed"/>
                <w:sz w:val="20"/>
                <w:szCs w:val="20"/>
              </w:rPr>
              <w:t>Have the right to sell agricultural land</w:t>
            </w:r>
          </w:p>
          <w:p w14:paraId="7E360F71" w14:textId="77777777" w:rsidR="00221C59" w:rsidRPr="003B5919" w:rsidRDefault="00221C59" w:rsidP="00221C59">
            <w:pPr>
              <w:jc w:val="both"/>
              <w:rPr>
                <w:szCs w:val="20"/>
              </w:rPr>
            </w:pPr>
            <w:r w:rsidRPr="003B5919">
              <w:rPr>
                <w:szCs w:val="20"/>
              </w:rPr>
              <w:t>OR</w:t>
            </w:r>
          </w:p>
          <w:p w14:paraId="7AFB5117" w14:textId="77777777" w:rsidR="00221C59" w:rsidRPr="003B5919" w:rsidRDefault="00221C59" w:rsidP="00221C59">
            <w:pPr>
              <w:pStyle w:val="ListParagraph"/>
              <w:numPr>
                <w:ilvl w:val="0"/>
                <w:numId w:val="41"/>
              </w:numPr>
              <w:spacing w:after="0" w:line="240" w:lineRule="auto"/>
              <w:ind w:left="487" w:hanging="127"/>
              <w:jc w:val="both"/>
              <w:rPr>
                <w:rFonts w:ascii="Tw Cen MT Condensed" w:hAnsi="Tw Cen MT Condensed"/>
                <w:sz w:val="20"/>
                <w:szCs w:val="20"/>
              </w:rPr>
            </w:pPr>
            <w:r w:rsidRPr="003B5919">
              <w:rPr>
                <w:rFonts w:ascii="Tw Cen MT Condensed" w:hAnsi="Tw Cen MT Condensed"/>
                <w:sz w:val="20"/>
                <w:szCs w:val="20"/>
              </w:rPr>
              <w:t>Have the right to bequeath agricultural land</w:t>
            </w:r>
          </w:p>
          <w:p w14:paraId="1662E70E" w14:textId="77777777" w:rsidR="00221C59" w:rsidRDefault="00221C59" w:rsidP="00221C59">
            <w:pPr>
              <w:jc w:val="both"/>
              <w:rPr>
                <w:szCs w:val="20"/>
              </w:rPr>
            </w:pPr>
          </w:p>
          <w:p w14:paraId="6B46B5C3" w14:textId="77777777" w:rsidR="00221C59" w:rsidRDefault="00221C59" w:rsidP="00221C59">
            <w:pPr>
              <w:jc w:val="both"/>
              <w:rPr>
                <w:szCs w:val="20"/>
              </w:rPr>
            </w:pPr>
            <w:r w:rsidRPr="003B5919">
              <w:rPr>
                <w:szCs w:val="20"/>
              </w:rPr>
              <w:t>The presence of one of the three proxies is sufficient to define a person as ‘owner’ or ‘holder’ of tenure rights over</w:t>
            </w:r>
            <w:r>
              <w:rPr>
                <w:szCs w:val="20"/>
              </w:rPr>
              <w:t xml:space="preserve"> </w:t>
            </w:r>
            <w:r w:rsidRPr="003B5919">
              <w:rPr>
                <w:szCs w:val="20"/>
              </w:rPr>
              <w:t>agricultural land. The advantage of this approach is its applicability to different countries. Indeed, based on the</w:t>
            </w:r>
            <w:r>
              <w:rPr>
                <w:szCs w:val="20"/>
              </w:rPr>
              <w:t xml:space="preserve"> </w:t>
            </w:r>
            <w:r w:rsidRPr="003B5919">
              <w:rPr>
                <w:szCs w:val="20"/>
              </w:rPr>
              <w:t>analysis of the seven EDGE pilot countries, these proxies provide the most robust measure of ownership/tenure</w:t>
            </w:r>
            <w:r>
              <w:rPr>
                <w:szCs w:val="20"/>
              </w:rPr>
              <w:t xml:space="preserve"> </w:t>
            </w:r>
            <w:r w:rsidRPr="003B5919">
              <w:rPr>
                <w:szCs w:val="20"/>
              </w:rPr>
              <w:t>rights that is comparable across countries with diverse prevalence of documentation. In fact, individuals may still</w:t>
            </w:r>
            <w:r>
              <w:rPr>
                <w:szCs w:val="20"/>
              </w:rPr>
              <w:t xml:space="preserve"> </w:t>
            </w:r>
            <w:r w:rsidRPr="003B5919">
              <w:rPr>
                <w:szCs w:val="20"/>
              </w:rPr>
              <w:t>have the right to sell or bequeath an asset in the absence of legally recognized document, therefore the indicator</w:t>
            </w:r>
            <w:r>
              <w:rPr>
                <w:szCs w:val="20"/>
              </w:rPr>
              <w:t xml:space="preserve"> </w:t>
            </w:r>
            <w:r w:rsidRPr="003B5919">
              <w:rPr>
                <w:szCs w:val="20"/>
              </w:rPr>
              <w:t>combines documented ownership / tenure rights with the right to sell or bequeath to render it comparable across</w:t>
            </w:r>
            <w:r>
              <w:rPr>
                <w:szCs w:val="20"/>
              </w:rPr>
              <w:t xml:space="preserve"> </w:t>
            </w:r>
            <w:r w:rsidRPr="003B5919">
              <w:rPr>
                <w:szCs w:val="20"/>
              </w:rPr>
              <w:t>countries.</w:t>
            </w:r>
          </w:p>
          <w:p w14:paraId="12B7E417" w14:textId="77777777" w:rsidR="00221C59" w:rsidRPr="003B5919" w:rsidRDefault="00221C59" w:rsidP="00221C59">
            <w:pPr>
              <w:jc w:val="both"/>
              <w:rPr>
                <w:szCs w:val="20"/>
              </w:rPr>
            </w:pPr>
          </w:p>
          <w:p w14:paraId="33B60FB6" w14:textId="77777777" w:rsidR="00221C59" w:rsidRDefault="00221C59" w:rsidP="00221C59">
            <w:pPr>
              <w:jc w:val="both"/>
              <w:rPr>
                <w:szCs w:val="20"/>
              </w:rPr>
            </w:pPr>
            <w:r w:rsidRPr="003B5919">
              <w:rPr>
                <w:szCs w:val="20"/>
              </w:rPr>
              <w:t>Operationalization of indicator 5.a.1 expressed through mathematical formulas are the following:</w:t>
            </w:r>
          </w:p>
          <w:p w14:paraId="6A858C49" w14:textId="77777777" w:rsidR="00221C59" w:rsidRPr="003B5919" w:rsidRDefault="00221C59" w:rsidP="00221C59">
            <w:pPr>
              <w:jc w:val="both"/>
              <w:rPr>
                <w:szCs w:val="20"/>
              </w:rPr>
            </w:pPr>
          </w:p>
          <w:p w14:paraId="2063BE30" w14:textId="77777777" w:rsidR="00221C59" w:rsidRDefault="00221C59" w:rsidP="00221C59">
            <w:pPr>
              <w:jc w:val="both"/>
              <w:rPr>
                <w:b/>
                <w:bCs/>
                <w:szCs w:val="20"/>
              </w:rPr>
            </w:pPr>
            <w:r w:rsidRPr="003B5919">
              <w:rPr>
                <w:b/>
                <w:bCs/>
                <w:szCs w:val="20"/>
              </w:rPr>
              <w:t>Sub-indicator (a)</w:t>
            </w:r>
            <w:r>
              <w:rPr>
                <w:b/>
                <w:bCs/>
                <w:szCs w:val="20"/>
              </w:rPr>
              <w:t>=</w:t>
            </w:r>
          </w:p>
          <w:p w14:paraId="2D83FFF8" w14:textId="77777777" w:rsidR="00221C59" w:rsidRDefault="004B4A24" w:rsidP="00221C59">
            <w:pPr>
              <w:jc w:val="center"/>
              <w:rPr>
                <w:rFonts w:eastAsiaTheme="minorEastAsia"/>
                <w:iCs/>
                <w:szCs w:val="20"/>
              </w:rPr>
            </w:pPr>
            <m:oMath>
              <m:f>
                <m:fPr>
                  <m:ctrlPr>
                    <w:rPr>
                      <w:rFonts w:ascii="Cambria Math" w:hAnsi="Cambria Math"/>
                      <w:iCs/>
                      <w:szCs w:val="20"/>
                    </w:rPr>
                  </m:ctrlPr>
                </m:fPr>
                <m:num>
                  <m:eqArr>
                    <m:eqArrPr>
                      <m:ctrlPr>
                        <w:rPr>
                          <w:rFonts w:ascii="Cambria Math" w:hAnsi="Cambria Math"/>
                          <w:i/>
                          <w:iCs/>
                          <w:szCs w:val="20"/>
                        </w:rPr>
                      </m:ctrlPr>
                    </m:eqArrPr>
                    <m:e>
                      <m:r>
                        <w:rPr>
                          <w:rFonts w:ascii="Cambria Math" w:hAnsi="Cambria Math"/>
                          <w:szCs w:val="20"/>
                        </w:rPr>
                        <m:t xml:space="preserve">Total agricultural population with Legally recognized document </m:t>
                      </m:r>
                    </m:e>
                    <m:e>
                      <m:r>
                        <w:rPr>
                          <w:rFonts w:ascii="Cambria Math" w:hAnsi="Cambria Math"/>
                          <w:szCs w:val="20"/>
                        </w:rPr>
                        <m:t>on agricultural land OR the right to sell it OR the right to</m:t>
                      </m:r>
                      <m:ctrlPr>
                        <w:rPr>
                          <w:rFonts w:ascii="Cambria Math" w:eastAsia="Cambria Math" w:hAnsi="Cambria Math" w:cs="Cambria Math"/>
                          <w:i/>
                          <w:iCs/>
                          <w:szCs w:val="20"/>
                        </w:rPr>
                      </m:ctrlPr>
                    </m:e>
                    <m:e>
                      <m:r>
                        <w:rPr>
                          <w:rFonts w:ascii="Cambria Math" w:hAnsi="Cambria Math"/>
                          <w:szCs w:val="20"/>
                        </w:rPr>
                        <m:t xml:space="preserve"> bequeath it</m:t>
                      </m:r>
                    </m:e>
                  </m:eqArr>
                </m:num>
                <m:den>
                  <m:r>
                    <m:rPr>
                      <m:sty m:val="p"/>
                    </m:rPr>
                    <w:rPr>
                      <w:rFonts w:ascii="Cambria Math" w:hAnsi="Cambria Math"/>
                      <w:szCs w:val="20"/>
                    </w:rPr>
                    <m:t>Total agricultural population</m:t>
                  </m:r>
                </m:den>
              </m:f>
            </m:oMath>
            <w:r w:rsidR="00221C59" w:rsidRPr="003B5919">
              <w:rPr>
                <w:rFonts w:eastAsiaTheme="minorEastAsia"/>
                <w:iCs/>
                <w:szCs w:val="20"/>
              </w:rPr>
              <w:t>×100</w:t>
            </w:r>
            <w:r w:rsidR="00221C59">
              <w:rPr>
                <w:rFonts w:eastAsiaTheme="minorEastAsia"/>
                <w:iCs/>
                <w:szCs w:val="20"/>
              </w:rPr>
              <w:t>, by sex</w:t>
            </w:r>
          </w:p>
          <w:p w14:paraId="3BFFA057" w14:textId="77777777" w:rsidR="00221C59" w:rsidRDefault="00221C59" w:rsidP="00221C59">
            <w:pPr>
              <w:jc w:val="center"/>
              <w:rPr>
                <w:rFonts w:eastAsiaTheme="minorEastAsia"/>
                <w:iCs/>
                <w:szCs w:val="20"/>
              </w:rPr>
            </w:pPr>
          </w:p>
          <w:p w14:paraId="58B6FBE0" w14:textId="77777777" w:rsidR="00221C59" w:rsidRDefault="00221C59" w:rsidP="00221C59">
            <w:pPr>
              <w:jc w:val="both"/>
              <w:rPr>
                <w:b/>
                <w:bCs/>
                <w:szCs w:val="20"/>
              </w:rPr>
            </w:pPr>
            <w:r w:rsidRPr="003B5919">
              <w:rPr>
                <w:b/>
                <w:bCs/>
                <w:szCs w:val="20"/>
              </w:rPr>
              <w:t>Sub-indicator (</w:t>
            </w:r>
            <w:r>
              <w:rPr>
                <w:b/>
                <w:bCs/>
                <w:szCs w:val="20"/>
              </w:rPr>
              <w:t>b</w:t>
            </w:r>
            <w:r w:rsidRPr="003B5919">
              <w:rPr>
                <w:b/>
                <w:bCs/>
                <w:szCs w:val="20"/>
              </w:rPr>
              <w:t>)</w:t>
            </w:r>
            <w:r>
              <w:rPr>
                <w:b/>
                <w:bCs/>
                <w:szCs w:val="20"/>
              </w:rPr>
              <w:t>=</w:t>
            </w:r>
          </w:p>
          <w:p w14:paraId="7EE9AB25" w14:textId="77777777" w:rsidR="00221C59" w:rsidRDefault="004B4A24" w:rsidP="00221C59">
            <w:pPr>
              <w:jc w:val="center"/>
              <w:rPr>
                <w:rFonts w:eastAsiaTheme="minorEastAsia"/>
                <w:iCs/>
                <w:szCs w:val="20"/>
              </w:rPr>
            </w:pPr>
            <m:oMath>
              <m:f>
                <m:fPr>
                  <m:ctrlPr>
                    <w:rPr>
                      <w:rFonts w:ascii="Cambria Math" w:hAnsi="Cambria Math"/>
                      <w:iCs/>
                      <w:szCs w:val="20"/>
                    </w:rPr>
                  </m:ctrlPr>
                </m:fPr>
                <m:num>
                  <m:eqArr>
                    <m:eqArrPr>
                      <m:ctrlPr>
                        <w:rPr>
                          <w:rFonts w:ascii="Cambria Math" w:hAnsi="Cambria Math"/>
                          <w:i/>
                          <w:iCs/>
                          <w:szCs w:val="20"/>
                        </w:rPr>
                      </m:ctrlPr>
                    </m:eqArrPr>
                    <m:e>
                      <m:r>
                        <w:rPr>
                          <w:rFonts w:ascii="Cambria Math" w:hAnsi="Cambria Math"/>
                          <w:szCs w:val="20"/>
                        </w:rPr>
                        <m:t>Number of women in agriculture with:</m:t>
                      </m:r>
                    </m:e>
                    <m:e>
                      <m:r>
                        <w:rPr>
                          <w:rFonts w:ascii="Cambria Math" w:hAnsi="Cambria Math"/>
                          <w:szCs w:val="20"/>
                        </w:rPr>
                        <m:t xml:space="preserve"> Legally recognized document on agricultural land OR </m:t>
                      </m:r>
                      <m:ctrlPr>
                        <w:rPr>
                          <w:rFonts w:ascii="Cambria Math" w:eastAsia="Cambria Math" w:hAnsi="Cambria Math" w:cs="Cambria Math"/>
                          <w:i/>
                          <w:iCs/>
                          <w:szCs w:val="20"/>
                        </w:rPr>
                      </m:ctrlPr>
                    </m:e>
                    <m:e>
                      <m:r>
                        <w:rPr>
                          <w:rFonts w:ascii="Cambria Math" w:hAnsi="Cambria Math"/>
                          <w:szCs w:val="20"/>
                        </w:rPr>
                        <m:t>the right to sell it OR the right to bequeath it</m:t>
                      </m:r>
                    </m:e>
                  </m:eqArr>
                </m:num>
                <m:den>
                  <m:eqArr>
                    <m:eqArrPr>
                      <m:ctrlPr>
                        <w:rPr>
                          <w:rFonts w:ascii="Cambria Math" w:hAnsi="Cambria Math"/>
                          <w:iCs/>
                          <w:szCs w:val="20"/>
                        </w:rPr>
                      </m:ctrlPr>
                    </m:eqArrPr>
                    <m:e>
                      <m:r>
                        <m:rPr>
                          <m:sty m:val="p"/>
                        </m:rPr>
                        <w:rPr>
                          <w:rFonts w:ascii="Cambria Math" w:hAnsi="Cambria Math"/>
                          <w:szCs w:val="20"/>
                        </w:rPr>
                        <m:t xml:space="preserve">Number of people in agriculture with: </m:t>
                      </m:r>
                    </m:e>
                    <m:e>
                      <m:r>
                        <m:rPr>
                          <m:sty m:val="p"/>
                        </m:rPr>
                        <w:rPr>
                          <w:rFonts w:ascii="Cambria Math" w:hAnsi="Cambria Math"/>
                          <w:szCs w:val="20"/>
                        </w:rPr>
                        <m:t>Legally recognized document on agricultural land OR</m:t>
                      </m:r>
                      <m:ctrlPr>
                        <w:rPr>
                          <w:rFonts w:ascii="Cambria Math" w:eastAsia="Cambria Math" w:hAnsi="Cambria Math" w:cs="Cambria Math"/>
                          <w:iCs/>
                          <w:szCs w:val="20"/>
                        </w:rPr>
                      </m:ctrlPr>
                    </m:e>
                    <m:e>
                      <m:r>
                        <m:rPr>
                          <m:sty m:val="p"/>
                        </m:rPr>
                        <w:rPr>
                          <w:rFonts w:ascii="Cambria Math" w:hAnsi="Cambria Math"/>
                          <w:szCs w:val="20"/>
                        </w:rPr>
                        <m:t xml:space="preserve"> the right to sell it OR the right to bequeath it</m:t>
                      </m:r>
                    </m:e>
                  </m:eqArr>
                </m:den>
              </m:f>
            </m:oMath>
            <w:r w:rsidR="00221C59" w:rsidRPr="003B5919">
              <w:rPr>
                <w:rFonts w:eastAsiaTheme="minorEastAsia"/>
                <w:iCs/>
                <w:szCs w:val="20"/>
              </w:rPr>
              <w:t>×100</w:t>
            </w:r>
          </w:p>
          <w:p w14:paraId="6557A46C" w14:textId="77777777" w:rsidR="00221C59" w:rsidRDefault="00221C59" w:rsidP="00221C59">
            <w:pPr>
              <w:jc w:val="both"/>
              <w:rPr>
                <w:rFonts w:eastAsiaTheme="minorEastAsia"/>
                <w:iCs/>
                <w:szCs w:val="20"/>
              </w:rPr>
            </w:pPr>
          </w:p>
          <w:p w14:paraId="6E4BB858" w14:textId="77777777" w:rsidR="00221C59" w:rsidRPr="003B5919" w:rsidRDefault="00221C59" w:rsidP="00221C59">
            <w:pPr>
              <w:jc w:val="both"/>
              <w:rPr>
                <w:b/>
                <w:bCs/>
                <w:szCs w:val="20"/>
              </w:rPr>
            </w:pPr>
          </w:p>
        </w:tc>
        <w:tc>
          <w:tcPr>
            <w:tcW w:w="967" w:type="dxa"/>
            <w:shd w:val="clear" w:color="auto" w:fill="auto"/>
          </w:tcPr>
          <w:p w14:paraId="69EC047F" w14:textId="77777777" w:rsidR="00221C59" w:rsidRPr="003B5919" w:rsidRDefault="00221C59" w:rsidP="00221C59">
            <w:pPr>
              <w:jc w:val="center"/>
              <w:rPr>
                <w:bCs/>
                <w:szCs w:val="20"/>
              </w:rPr>
            </w:pPr>
            <w:r>
              <w:rPr>
                <w:bCs/>
                <w:szCs w:val="20"/>
              </w:rPr>
              <w:lastRenderedPageBreak/>
              <w:t>Household Survey</w:t>
            </w:r>
          </w:p>
        </w:tc>
        <w:tc>
          <w:tcPr>
            <w:tcW w:w="1140" w:type="dxa"/>
            <w:shd w:val="clear" w:color="auto" w:fill="auto"/>
          </w:tcPr>
          <w:p w14:paraId="1E757825" w14:textId="77777777" w:rsidR="00221C59" w:rsidRPr="003B5919" w:rsidRDefault="00221C59" w:rsidP="00221C59">
            <w:pPr>
              <w:jc w:val="center"/>
              <w:rPr>
                <w:bCs/>
                <w:szCs w:val="20"/>
              </w:rPr>
            </w:pPr>
            <w:r>
              <w:rPr>
                <w:bCs/>
                <w:szCs w:val="20"/>
              </w:rPr>
              <w:t>National Statistics Office</w:t>
            </w:r>
          </w:p>
        </w:tc>
        <w:tc>
          <w:tcPr>
            <w:tcW w:w="721" w:type="dxa"/>
            <w:shd w:val="clear" w:color="auto" w:fill="auto"/>
          </w:tcPr>
          <w:p w14:paraId="1B8EEE86" w14:textId="48B9CFC0" w:rsidR="00221C59" w:rsidRPr="003B5919" w:rsidRDefault="00221C59" w:rsidP="00221C59">
            <w:pPr>
              <w:jc w:val="center"/>
              <w:rPr>
                <w:bCs/>
                <w:szCs w:val="20"/>
              </w:rPr>
            </w:pPr>
          </w:p>
        </w:tc>
        <w:tc>
          <w:tcPr>
            <w:tcW w:w="1116" w:type="dxa"/>
            <w:shd w:val="clear" w:color="auto" w:fill="auto"/>
          </w:tcPr>
          <w:p w14:paraId="55613E4E" w14:textId="1B63D870" w:rsidR="00221C59" w:rsidRDefault="00221C59" w:rsidP="00221C59">
            <w:pPr>
              <w:pStyle w:val="ListParagraph"/>
              <w:numPr>
                <w:ilvl w:val="0"/>
                <w:numId w:val="43"/>
              </w:numPr>
              <w:ind w:left="80" w:hanging="80"/>
              <w:jc w:val="both"/>
              <w:rPr>
                <w:rFonts w:ascii="Tw Cen MT Condensed" w:hAnsi="Tw Cen MT Condensed"/>
                <w:bCs/>
                <w:sz w:val="20"/>
                <w:szCs w:val="20"/>
              </w:rPr>
            </w:pPr>
            <w:r>
              <w:rPr>
                <w:rFonts w:ascii="Tw Cen MT Condensed" w:hAnsi="Tw Cen MT Condensed"/>
                <w:bCs/>
                <w:sz w:val="20"/>
                <w:szCs w:val="20"/>
              </w:rPr>
              <w:t>Agriculture Sample Census, BBS</w:t>
            </w:r>
          </w:p>
          <w:p w14:paraId="2E76B610" w14:textId="71EF9BC1" w:rsidR="00221C59" w:rsidRPr="003B5919" w:rsidRDefault="00221C59" w:rsidP="00221C59">
            <w:pPr>
              <w:pStyle w:val="ListParagraph"/>
              <w:numPr>
                <w:ilvl w:val="0"/>
                <w:numId w:val="43"/>
              </w:numPr>
              <w:ind w:left="80" w:hanging="80"/>
              <w:jc w:val="both"/>
              <w:rPr>
                <w:rFonts w:ascii="Tw Cen MT Condensed" w:hAnsi="Tw Cen MT Condensed"/>
                <w:bCs/>
                <w:sz w:val="20"/>
                <w:szCs w:val="20"/>
              </w:rPr>
            </w:pPr>
          </w:p>
        </w:tc>
        <w:tc>
          <w:tcPr>
            <w:tcW w:w="1354" w:type="dxa"/>
            <w:shd w:val="clear" w:color="auto" w:fill="auto"/>
          </w:tcPr>
          <w:p w14:paraId="1B3352CA" w14:textId="77777777" w:rsidR="00221C59" w:rsidRPr="003B5919" w:rsidRDefault="00221C59" w:rsidP="00221C59">
            <w:pPr>
              <w:jc w:val="center"/>
              <w:rPr>
                <w:bCs/>
                <w:i/>
                <w:iCs/>
                <w:szCs w:val="20"/>
              </w:rPr>
            </w:pPr>
            <w:r w:rsidRPr="003B5919">
              <w:rPr>
                <w:bCs/>
                <w:i/>
                <w:iCs/>
                <w:szCs w:val="20"/>
              </w:rPr>
              <w:t>Sub-indicator (a):</w:t>
            </w:r>
          </w:p>
          <w:p w14:paraId="1AFBD418" w14:textId="77777777" w:rsidR="00221C59" w:rsidRDefault="00221C59" w:rsidP="00221C59">
            <w:pPr>
              <w:pStyle w:val="ListParagraph"/>
              <w:numPr>
                <w:ilvl w:val="0"/>
                <w:numId w:val="42"/>
              </w:numPr>
              <w:spacing w:after="0"/>
              <w:ind w:left="152" w:hanging="152"/>
              <w:jc w:val="both"/>
              <w:rPr>
                <w:rFonts w:ascii="Tw Cen MT Condensed" w:hAnsi="Tw Cen MT Condensed"/>
                <w:bCs/>
                <w:sz w:val="20"/>
                <w:szCs w:val="20"/>
              </w:rPr>
            </w:pPr>
            <w:r>
              <w:rPr>
                <w:rFonts w:ascii="Tw Cen MT Condensed" w:hAnsi="Tw Cen MT Condensed"/>
                <w:bCs/>
                <w:sz w:val="20"/>
                <w:szCs w:val="20"/>
              </w:rPr>
              <w:t>S</w:t>
            </w:r>
            <w:r w:rsidRPr="003B5919">
              <w:rPr>
                <w:rFonts w:ascii="Tw Cen MT Condensed" w:hAnsi="Tw Cen MT Condensed"/>
                <w:bCs/>
                <w:sz w:val="20"/>
                <w:szCs w:val="20"/>
              </w:rPr>
              <w:t>ex of the individuals</w:t>
            </w:r>
          </w:p>
          <w:p w14:paraId="4A0465D9" w14:textId="77777777" w:rsidR="00221C59" w:rsidRDefault="00221C59" w:rsidP="00221C59">
            <w:pPr>
              <w:pStyle w:val="ListParagraph"/>
              <w:spacing w:after="0"/>
              <w:ind w:left="152"/>
              <w:jc w:val="both"/>
              <w:rPr>
                <w:rFonts w:ascii="Tw Cen MT Condensed" w:hAnsi="Tw Cen MT Condensed"/>
                <w:bCs/>
                <w:sz w:val="20"/>
                <w:szCs w:val="20"/>
              </w:rPr>
            </w:pPr>
          </w:p>
          <w:p w14:paraId="25C41A76" w14:textId="77777777" w:rsidR="00221C59" w:rsidRPr="003B5919" w:rsidRDefault="00221C59" w:rsidP="00221C59">
            <w:pPr>
              <w:jc w:val="both"/>
              <w:rPr>
                <w:bCs/>
                <w:i/>
                <w:iCs/>
                <w:szCs w:val="20"/>
              </w:rPr>
            </w:pPr>
            <w:r w:rsidRPr="003B5919">
              <w:rPr>
                <w:bCs/>
                <w:i/>
                <w:iCs/>
                <w:szCs w:val="20"/>
              </w:rPr>
              <w:t>For both sub-indicators:</w:t>
            </w:r>
          </w:p>
          <w:p w14:paraId="6F37F888" w14:textId="77777777" w:rsidR="00221C59" w:rsidRPr="003B5919" w:rsidRDefault="00221C59" w:rsidP="00221C59">
            <w:pPr>
              <w:pStyle w:val="ListParagraph"/>
              <w:numPr>
                <w:ilvl w:val="0"/>
                <w:numId w:val="42"/>
              </w:numPr>
              <w:spacing w:after="0"/>
              <w:ind w:left="152" w:hanging="152"/>
              <w:jc w:val="both"/>
              <w:rPr>
                <w:rFonts w:ascii="Tw Cen MT Condensed" w:hAnsi="Tw Cen MT Condensed"/>
                <w:bCs/>
                <w:sz w:val="20"/>
                <w:szCs w:val="20"/>
              </w:rPr>
            </w:pPr>
            <w:r w:rsidRPr="003B5919">
              <w:rPr>
                <w:rFonts w:ascii="Tw Cen MT Condensed" w:hAnsi="Tw Cen MT Condensed"/>
                <w:bCs/>
                <w:sz w:val="20"/>
                <w:szCs w:val="20"/>
              </w:rPr>
              <w:t>Income level</w:t>
            </w:r>
          </w:p>
          <w:p w14:paraId="5146672D" w14:textId="77777777" w:rsidR="00221C59" w:rsidRPr="003B5919" w:rsidRDefault="00221C59" w:rsidP="00221C59">
            <w:pPr>
              <w:pStyle w:val="ListParagraph"/>
              <w:numPr>
                <w:ilvl w:val="0"/>
                <w:numId w:val="42"/>
              </w:numPr>
              <w:spacing w:after="0"/>
              <w:ind w:left="152" w:hanging="152"/>
              <w:jc w:val="both"/>
              <w:rPr>
                <w:rFonts w:ascii="Tw Cen MT Condensed" w:hAnsi="Tw Cen MT Condensed"/>
                <w:bCs/>
                <w:sz w:val="20"/>
                <w:szCs w:val="20"/>
              </w:rPr>
            </w:pPr>
            <w:r w:rsidRPr="003B5919">
              <w:rPr>
                <w:rFonts w:ascii="Tw Cen MT Condensed" w:hAnsi="Tw Cen MT Condensed"/>
                <w:bCs/>
                <w:sz w:val="20"/>
                <w:szCs w:val="20"/>
              </w:rPr>
              <w:t>Age group</w:t>
            </w:r>
          </w:p>
          <w:p w14:paraId="14F1073C" w14:textId="77777777" w:rsidR="00221C59" w:rsidRPr="003B5919" w:rsidRDefault="00221C59" w:rsidP="00221C59">
            <w:pPr>
              <w:pStyle w:val="ListParagraph"/>
              <w:numPr>
                <w:ilvl w:val="0"/>
                <w:numId w:val="42"/>
              </w:numPr>
              <w:spacing w:after="0"/>
              <w:ind w:left="152" w:hanging="152"/>
              <w:jc w:val="both"/>
              <w:rPr>
                <w:rFonts w:ascii="Tw Cen MT Condensed" w:hAnsi="Tw Cen MT Condensed"/>
                <w:bCs/>
                <w:sz w:val="20"/>
                <w:szCs w:val="20"/>
              </w:rPr>
            </w:pPr>
            <w:r w:rsidRPr="003B5919">
              <w:rPr>
                <w:rFonts w:ascii="Tw Cen MT Condensed" w:hAnsi="Tw Cen MT Condensed"/>
                <w:bCs/>
                <w:sz w:val="20"/>
                <w:szCs w:val="20"/>
              </w:rPr>
              <w:t>Ethnic group</w:t>
            </w:r>
          </w:p>
          <w:p w14:paraId="7DAF531F" w14:textId="77777777" w:rsidR="00221C59" w:rsidRPr="003B5919" w:rsidRDefault="00221C59" w:rsidP="00221C59">
            <w:pPr>
              <w:pStyle w:val="ListParagraph"/>
              <w:numPr>
                <w:ilvl w:val="0"/>
                <w:numId w:val="42"/>
              </w:numPr>
              <w:spacing w:after="0"/>
              <w:ind w:left="152" w:hanging="152"/>
              <w:jc w:val="both"/>
              <w:rPr>
                <w:rFonts w:ascii="Tw Cen MT Condensed" w:hAnsi="Tw Cen MT Condensed"/>
                <w:bCs/>
                <w:sz w:val="20"/>
                <w:szCs w:val="20"/>
              </w:rPr>
            </w:pPr>
            <w:r w:rsidRPr="003B5919">
              <w:rPr>
                <w:rFonts w:ascii="Tw Cen MT Condensed" w:hAnsi="Tw Cen MT Condensed"/>
                <w:bCs/>
                <w:sz w:val="20"/>
                <w:szCs w:val="20"/>
              </w:rPr>
              <w:t>Geographic location (urban/rural)</w:t>
            </w:r>
          </w:p>
          <w:p w14:paraId="4A14D3A8" w14:textId="77777777" w:rsidR="00221C59" w:rsidRPr="003B5919" w:rsidRDefault="00221C59" w:rsidP="00221C59">
            <w:pPr>
              <w:pStyle w:val="ListParagraph"/>
              <w:numPr>
                <w:ilvl w:val="0"/>
                <w:numId w:val="42"/>
              </w:numPr>
              <w:spacing w:after="0"/>
              <w:ind w:left="152" w:hanging="152"/>
              <w:jc w:val="both"/>
              <w:rPr>
                <w:rFonts w:ascii="Tw Cen MT Condensed" w:hAnsi="Tw Cen MT Condensed"/>
                <w:bCs/>
                <w:sz w:val="20"/>
                <w:szCs w:val="20"/>
              </w:rPr>
            </w:pPr>
            <w:r w:rsidRPr="003B5919">
              <w:rPr>
                <w:rFonts w:ascii="Tw Cen MT Condensed" w:hAnsi="Tw Cen MT Condensed"/>
                <w:bCs/>
                <w:sz w:val="20"/>
                <w:szCs w:val="20"/>
              </w:rPr>
              <w:t>Tenure type</w:t>
            </w:r>
          </w:p>
          <w:p w14:paraId="1C08B691" w14:textId="77777777" w:rsidR="00221C59" w:rsidRPr="003B5919" w:rsidRDefault="00221C59" w:rsidP="00221C59">
            <w:pPr>
              <w:pStyle w:val="ListParagraph"/>
              <w:numPr>
                <w:ilvl w:val="0"/>
                <w:numId w:val="42"/>
              </w:numPr>
              <w:spacing w:after="0"/>
              <w:ind w:left="152" w:hanging="152"/>
              <w:jc w:val="both"/>
              <w:rPr>
                <w:rFonts w:ascii="Tw Cen MT Condensed" w:hAnsi="Tw Cen MT Condensed"/>
                <w:bCs/>
                <w:sz w:val="20"/>
                <w:szCs w:val="20"/>
              </w:rPr>
            </w:pPr>
            <w:r w:rsidRPr="003B5919">
              <w:rPr>
                <w:rFonts w:ascii="Tw Cen MT Condensed" w:hAnsi="Tw Cen MT Condensed"/>
                <w:bCs/>
                <w:sz w:val="20"/>
                <w:szCs w:val="20"/>
              </w:rPr>
              <w:t xml:space="preserve">Type of legally recognized </w:t>
            </w:r>
            <w:r w:rsidRPr="003B5919">
              <w:rPr>
                <w:rFonts w:ascii="Tw Cen MT Condensed" w:hAnsi="Tw Cen MT Condensed"/>
                <w:bCs/>
                <w:sz w:val="20"/>
                <w:szCs w:val="20"/>
              </w:rPr>
              <w:lastRenderedPageBreak/>
              <w:t>document</w:t>
            </w:r>
          </w:p>
        </w:tc>
        <w:tc>
          <w:tcPr>
            <w:tcW w:w="801" w:type="dxa"/>
            <w:shd w:val="clear" w:color="auto" w:fill="auto"/>
          </w:tcPr>
          <w:p w14:paraId="155086AF" w14:textId="77777777" w:rsidR="00221C59" w:rsidRPr="003B5919" w:rsidRDefault="00221C59" w:rsidP="00221C59">
            <w:pPr>
              <w:jc w:val="center"/>
              <w:rPr>
                <w:bCs/>
                <w:szCs w:val="20"/>
              </w:rPr>
            </w:pPr>
            <w:r>
              <w:rPr>
                <w:bCs/>
                <w:szCs w:val="20"/>
              </w:rPr>
              <w:lastRenderedPageBreak/>
              <w:t>5 Years</w:t>
            </w:r>
          </w:p>
        </w:tc>
        <w:tc>
          <w:tcPr>
            <w:tcW w:w="697" w:type="dxa"/>
            <w:shd w:val="clear" w:color="auto" w:fill="auto"/>
          </w:tcPr>
          <w:p w14:paraId="4D4BAF48" w14:textId="77777777" w:rsidR="00221C59" w:rsidRPr="003B5919" w:rsidRDefault="00221C59" w:rsidP="00221C59">
            <w:pPr>
              <w:jc w:val="center"/>
              <w:rPr>
                <w:bCs/>
                <w:szCs w:val="20"/>
              </w:rPr>
            </w:pPr>
            <w:r>
              <w:rPr>
                <w:bCs/>
                <w:szCs w:val="20"/>
              </w:rPr>
              <w:t>Group 3</w:t>
            </w:r>
          </w:p>
        </w:tc>
        <w:tc>
          <w:tcPr>
            <w:tcW w:w="762" w:type="dxa"/>
            <w:shd w:val="clear" w:color="auto" w:fill="auto"/>
          </w:tcPr>
          <w:p w14:paraId="6B903079" w14:textId="77777777" w:rsidR="00221C59" w:rsidRDefault="00221C59" w:rsidP="00221C59">
            <w:pPr>
              <w:pStyle w:val="NoSpacing"/>
            </w:pPr>
          </w:p>
          <w:p w14:paraId="15A09190" w14:textId="77777777" w:rsidR="00221C59" w:rsidRDefault="00221C59" w:rsidP="00221C59">
            <w:pPr>
              <w:pStyle w:val="NoSpacing"/>
            </w:pPr>
          </w:p>
          <w:p w14:paraId="4BFD01AD" w14:textId="77777777" w:rsidR="00221C59" w:rsidRDefault="00221C59" w:rsidP="00221C59">
            <w:pPr>
              <w:pStyle w:val="NoSpacing"/>
            </w:pPr>
            <w:r>
              <w:t>1</w:t>
            </w:r>
            <w:r w:rsidRPr="00013ACB">
              <w:rPr>
                <w:vertAlign w:val="superscript"/>
              </w:rPr>
              <w:t>st</w:t>
            </w:r>
            <w:r>
              <w:t xml:space="preserve"> Round: </w:t>
            </w:r>
          </w:p>
          <w:p w14:paraId="443624D0" w14:textId="77777777" w:rsidR="00221C59" w:rsidRDefault="00221C59" w:rsidP="00221C59">
            <w:pPr>
              <w:pStyle w:val="NoSpacing"/>
            </w:pPr>
            <w:r>
              <w:t>June 2019</w:t>
            </w:r>
          </w:p>
          <w:p w14:paraId="6C2F06AB" w14:textId="77777777" w:rsidR="00221C59" w:rsidRDefault="00221C59" w:rsidP="00221C59">
            <w:pPr>
              <w:pStyle w:val="NoSpacing"/>
            </w:pPr>
          </w:p>
          <w:p w14:paraId="631FB66B" w14:textId="77777777" w:rsidR="00221C59" w:rsidRDefault="00221C59" w:rsidP="00221C59">
            <w:pPr>
              <w:pStyle w:val="NoSpacing"/>
            </w:pPr>
            <w:r>
              <w:t>2</w:t>
            </w:r>
            <w:r w:rsidRPr="00013ACB">
              <w:rPr>
                <w:vertAlign w:val="superscript"/>
              </w:rPr>
              <w:t>nd</w:t>
            </w:r>
            <w:r>
              <w:t xml:space="preserve"> Round: </w:t>
            </w:r>
          </w:p>
          <w:p w14:paraId="52A62114" w14:textId="77777777" w:rsidR="00221C59" w:rsidRDefault="00221C59" w:rsidP="00221C59">
            <w:pPr>
              <w:pStyle w:val="NoSpacing"/>
            </w:pPr>
            <w:r>
              <w:t>December, 2020</w:t>
            </w:r>
          </w:p>
          <w:p w14:paraId="4A4FDFEC" w14:textId="77777777" w:rsidR="00221C59" w:rsidRDefault="00221C59" w:rsidP="00221C59">
            <w:pPr>
              <w:pStyle w:val="NoSpacing"/>
            </w:pPr>
            <w:r>
              <w:t>3</w:t>
            </w:r>
            <w:r w:rsidRPr="00013ACB">
              <w:rPr>
                <w:vertAlign w:val="superscript"/>
              </w:rPr>
              <w:t>rd</w:t>
            </w:r>
            <w:r>
              <w:t xml:space="preserve"> Round: </w:t>
            </w:r>
          </w:p>
          <w:p w14:paraId="754E2A89" w14:textId="77777777" w:rsidR="00221C59" w:rsidRDefault="00221C59" w:rsidP="00221C59">
            <w:pPr>
              <w:pStyle w:val="NoSpacing"/>
            </w:pPr>
            <w:r>
              <w:t>December, 2025</w:t>
            </w:r>
          </w:p>
          <w:p w14:paraId="52C2C6C0" w14:textId="77777777" w:rsidR="00221C59" w:rsidRDefault="00221C59" w:rsidP="00221C59">
            <w:pPr>
              <w:pStyle w:val="NoSpacing"/>
            </w:pPr>
          </w:p>
          <w:p w14:paraId="154F8CB1" w14:textId="77777777" w:rsidR="00221C59" w:rsidRDefault="00221C59" w:rsidP="00221C59">
            <w:pPr>
              <w:pStyle w:val="NoSpacing"/>
            </w:pPr>
            <w:r>
              <w:t>4</w:t>
            </w:r>
            <w:r w:rsidRPr="00013ACB">
              <w:rPr>
                <w:vertAlign w:val="superscript"/>
              </w:rPr>
              <w:t>th</w:t>
            </w:r>
            <w:r>
              <w:t xml:space="preserve"> Round: </w:t>
            </w:r>
          </w:p>
          <w:p w14:paraId="27D52D15" w14:textId="77777777" w:rsidR="00221C59" w:rsidRDefault="00221C59" w:rsidP="00221C59">
            <w:pPr>
              <w:pStyle w:val="NoSpacing"/>
            </w:pPr>
            <w:r>
              <w:lastRenderedPageBreak/>
              <w:t>December, 2030</w:t>
            </w:r>
          </w:p>
          <w:p w14:paraId="382F3CBF" w14:textId="10373181" w:rsidR="00221C59" w:rsidRPr="005F4037" w:rsidRDefault="00221C59" w:rsidP="00221C59">
            <w:pPr>
              <w:pStyle w:val="NoSpacing"/>
            </w:pPr>
          </w:p>
        </w:tc>
        <w:tc>
          <w:tcPr>
            <w:tcW w:w="1188" w:type="dxa"/>
            <w:shd w:val="clear" w:color="auto" w:fill="auto"/>
          </w:tcPr>
          <w:p w14:paraId="073A351F" w14:textId="77777777" w:rsidR="00221C59" w:rsidRPr="003B5919" w:rsidRDefault="00221C59" w:rsidP="00221C59">
            <w:pPr>
              <w:jc w:val="both"/>
              <w:rPr>
                <w:bCs/>
                <w:szCs w:val="20"/>
              </w:rPr>
            </w:pPr>
            <w:r>
              <w:rPr>
                <w:bCs/>
                <w:szCs w:val="20"/>
              </w:rPr>
              <w:lastRenderedPageBreak/>
              <w:t>BBS should incorporate a module in the agriculture sample census questionnaire for the indicator.</w:t>
            </w:r>
          </w:p>
        </w:tc>
      </w:tr>
      <w:tr w:rsidR="00221C59" w14:paraId="27451077" w14:textId="77777777" w:rsidTr="0085651F">
        <w:tc>
          <w:tcPr>
            <w:tcW w:w="1179" w:type="dxa"/>
            <w:shd w:val="clear" w:color="auto" w:fill="auto"/>
          </w:tcPr>
          <w:p w14:paraId="32D3CAEC" w14:textId="77777777" w:rsidR="00221C59" w:rsidRPr="003B5919" w:rsidRDefault="00221C59" w:rsidP="00221C59">
            <w:pPr>
              <w:jc w:val="both"/>
              <w:rPr>
                <w:szCs w:val="20"/>
              </w:rPr>
            </w:pPr>
            <w:r w:rsidRPr="003B5919">
              <w:rPr>
                <w:szCs w:val="20"/>
              </w:rPr>
              <w:lastRenderedPageBreak/>
              <w:t>5.a.2: Proportion of countries where the legal framework (including customary law) guarantees women’s equal rights to land ownership and/or control</w:t>
            </w:r>
          </w:p>
        </w:tc>
        <w:tc>
          <w:tcPr>
            <w:tcW w:w="921" w:type="dxa"/>
            <w:gridSpan w:val="2"/>
            <w:shd w:val="clear" w:color="auto" w:fill="auto"/>
          </w:tcPr>
          <w:p w14:paraId="021C8A24" w14:textId="77777777" w:rsidR="00221C59" w:rsidRPr="003B5919" w:rsidRDefault="00221C59" w:rsidP="00221C59">
            <w:pPr>
              <w:jc w:val="center"/>
              <w:rPr>
                <w:szCs w:val="20"/>
              </w:rPr>
            </w:pPr>
            <w:r w:rsidRPr="003B5919">
              <w:rPr>
                <w:szCs w:val="20"/>
              </w:rPr>
              <w:t>FAO</w:t>
            </w:r>
          </w:p>
          <w:p w14:paraId="1BEC48B8" w14:textId="77777777" w:rsidR="00221C59" w:rsidRPr="003B5919" w:rsidRDefault="00221C59" w:rsidP="00221C59">
            <w:pPr>
              <w:jc w:val="center"/>
              <w:rPr>
                <w:szCs w:val="20"/>
              </w:rPr>
            </w:pPr>
          </w:p>
          <w:p w14:paraId="52AE72D1" w14:textId="77777777" w:rsidR="00221C59" w:rsidRPr="003B5919" w:rsidRDefault="00221C59" w:rsidP="00221C59">
            <w:pPr>
              <w:jc w:val="center"/>
              <w:rPr>
                <w:i/>
                <w:iCs/>
                <w:szCs w:val="20"/>
              </w:rPr>
            </w:pPr>
            <w:r w:rsidRPr="003B5919">
              <w:rPr>
                <w:i/>
                <w:iCs/>
                <w:szCs w:val="20"/>
              </w:rPr>
              <w:t>Partner Agencies:</w:t>
            </w:r>
          </w:p>
          <w:p w14:paraId="0977A0B5" w14:textId="77777777" w:rsidR="00221C59" w:rsidRDefault="00221C59" w:rsidP="00221C59">
            <w:pPr>
              <w:jc w:val="center"/>
              <w:rPr>
                <w:szCs w:val="20"/>
              </w:rPr>
            </w:pPr>
            <w:r w:rsidRPr="003B5919">
              <w:rPr>
                <w:szCs w:val="20"/>
              </w:rPr>
              <w:t>World Bank</w:t>
            </w:r>
            <w:r>
              <w:rPr>
                <w:szCs w:val="20"/>
              </w:rPr>
              <w:t>,</w:t>
            </w:r>
          </w:p>
          <w:p w14:paraId="4D5CFEFE" w14:textId="77777777" w:rsidR="00221C59" w:rsidRPr="003B5919" w:rsidRDefault="00221C59" w:rsidP="00221C59">
            <w:pPr>
              <w:jc w:val="center"/>
              <w:rPr>
                <w:szCs w:val="20"/>
              </w:rPr>
            </w:pPr>
            <w:r w:rsidRPr="003B5919">
              <w:rPr>
                <w:szCs w:val="20"/>
              </w:rPr>
              <w:t>UN Women</w:t>
            </w:r>
          </w:p>
        </w:tc>
        <w:tc>
          <w:tcPr>
            <w:tcW w:w="985" w:type="dxa"/>
            <w:shd w:val="clear" w:color="auto" w:fill="auto"/>
          </w:tcPr>
          <w:p w14:paraId="03AF3BCE" w14:textId="77777777" w:rsidR="00221C59" w:rsidRDefault="00221C59" w:rsidP="00221C59">
            <w:pPr>
              <w:jc w:val="center"/>
              <w:rPr>
                <w:szCs w:val="20"/>
              </w:rPr>
            </w:pPr>
            <w:r>
              <w:rPr>
                <w:szCs w:val="20"/>
              </w:rPr>
              <w:t>Tier II</w:t>
            </w:r>
          </w:p>
        </w:tc>
        <w:tc>
          <w:tcPr>
            <w:tcW w:w="5331" w:type="dxa"/>
            <w:shd w:val="clear" w:color="auto" w:fill="auto"/>
          </w:tcPr>
          <w:p w14:paraId="74960607" w14:textId="77777777" w:rsidR="00221C59" w:rsidRPr="00150024" w:rsidRDefault="00221C59" w:rsidP="00221C59">
            <w:pPr>
              <w:jc w:val="both"/>
              <w:rPr>
                <w:b/>
                <w:bCs/>
                <w:szCs w:val="20"/>
              </w:rPr>
            </w:pPr>
            <w:r w:rsidRPr="00150024">
              <w:rPr>
                <w:b/>
                <w:bCs/>
                <w:szCs w:val="20"/>
              </w:rPr>
              <w:t>Definition:</w:t>
            </w:r>
          </w:p>
          <w:p w14:paraId="3A724396" w14:textId="77777777" w:rsidR="00221C59" w:rsidRDefault="00221C59" w:rsidP="00221C59">
            <w:pPr>
              <w:jc w:val="both"/>
              <w:rPr>
                <w:szCs w:val="20"/>
              </w:rPr>
            </w:pPr>
            <w:r w:rsidRPr="00150024">
              <w:rPr>
                <w:szCs w:val="20"/>
              </w:rPr>
              <w:t>Indicator 5.a.2 looks at the extent to which the legal framework (including customary law) guarantees</w:t>
            </w:r>
            <w:r>
              <w:rPr>
                <w:szCs w:val="20"/>
              </w:rPr>
              <w:t xml:space="preserve"> </w:t>
            </w:r>
            <w:r w:rsidRPr="00150024">
              <w:rPr>
                <w:szCs w:val="20"/>
              </w:rPr>
              <w:t>women’s equal rights to land ownership and/or control.</w:t>
            </w:r>
          </w:p>
          <w:p w14:paraId="4C97B3DF" w14:textId="77777777" w:rsidR="00221C59" w:rsidRPr="00150024" w:rsidRDefault="00221C59" w:rsidP="00221C59">
            <w:pPr>
              <w:jc w:val="both"/>
              <w:rPr>
                <w:szCs w:val="20"/>
              </w:rPr>
            </w:pPr>
          </w:p>
          <w:p w14:paraId="72DC5ECE" w14:textId="77777777" w:rsidR="00221C59" w:rsidRDefault="00221C59" w:rsidP="00221C59">
            <w:pPr>
              <w:jc w:val="both"/>
              <w:rPr>
                <w:szCs w:val="20"/>
              </w:rPr>
            </w:pPr>
            <w:r w:rsidRPr="00150024">
              <w:rPr>
                <w:szCs w:val="20"/>
              </w:rPr>
              <w:t>The indicator “measures” the level to which a country’s legal framework supports women’s land rights,</w:t>
            </w:r>
            <w:r>
              <w:rPr>
                <w:szCs w:val="20"/>
              </w:rPr>
              <w:t xml:space="preserve"> </w:t>
            </w:r>
            <w:r w:rsidRPr="00150024">
              <w:rPr>
                <w:szCs w:val="20"/>
              </w:rPr>
              <w:t>by testing that framework against six proxies drawn from international law and internationally accepted</w:t>
            </w:r>
            <w:r>
              <w:rPr>
                <w:szCs w:val="20"/>
              </w:rPr>
              <w:t xml:space="preserve"> </w:t>
            </w:r>
            <w:r w:rsidRPr="00150024">
              <w:rPr>
                <w:szCs w:val="20"/>
              </w:rPr>
              <w:t>good practices , in particular the Convention on the Elimination of Discrimination Against Women</w:t>
            </w:r>
            <w:r>
              <w:rPr>
                <w:szCs w:val="20"/>
              </w:rPr>
              <w:t xml:space="preserve"> </w:t>
            </w:r>
            <w:r w:rsidRPr="00150024">
              <w:rPr>
                <w:szCs w:val="20"/>
              </w:rPr>
              <w:t>(CEDAW) ratified by 189 countries, and the Voluntary Guidelines for the Responsible Governance of the</w:t>
            </w:r>
            <w:r>
              <w:rPr>
                <w:szCs w:val="20"/>
              </w:rPr>
              <w:t xml:space="preserve"> </w:t>
            </w:r>
            <w:r w:rsidRPr="00150024">
              <w:rPr>
                <w:szCs w:val="20"/>
              </w:rPr>
              <w:t>Tenure of Land Fisheries and Forestry (VGGT) endorsed unanimously by Committee of Food Security</w:t>
            </w:r>
            <w:r>
              <w:rPr>
                <w:szCs w:val="20"/>
              </w:rPr>
              <w:t xml:space="preserve"> </w:t>
            </w:r>
            <w:r w:rsidRPr="00150024">
              <w:rPr>
                <w:szCs w:val="20"/>
              </w:rPr>
              <w:t>(CFS) members in 2012.</w:t>
            </w:r>
          </w:p>
          <w:p w14:paraId="0B2DFB27" w14:textId="77777777" w:rsidR="00221C59" w:rsidRPr="00150024" w:rsidRDefault="00221C59" w:rsidP="00221C59">
            <w:pPr>
              <w:jc w:val="both"/>
              <w:rPr>
                <w:szCs w:val="20"/>
              </w:rPr>
            </w:pPr>
          </w:p>
          <w:p w14:paraId="7E08B372" w14:textId="77777777" w:rsidR="00221C59" w:rsidRPr="00150024" w:rsidRDefault="00221C59" w:rsidP="00221C59">
            <w:pPr>
              <w:jc w:val="both"/>
              <w:rPr>
                <w:szCs w:val="20"/>
              </w:rPr>
            </w:pPr>
            <w:r w:rsidRPr="00150024">
              <w:rPr>
                <w:szCs w:val="20"/>
              </w:rPr>
              <w:t>The six proxies through which indicator 5.a.2 is monitored are the following:</w:t>
            </w:r>
          </w:p>
          <w:p w14:paraId="2ED92A08" w14:textId="77777777" w:rsidR="00221C59" w:rsidRPr="00150024" w:rsidRDefault="00221C59" w:rsidP="00221C59">
            <w:pPr>
              <w:ind w:left="546" w:hanging="546"/>
              <w:jc w:val="both"/>
              <w:rPr>
                <w:szCs w:val="20"/>
              </w:rPr>
            </w:pPr>
            <w:r w:rsidRPr="00150024">
              <w:rPr>
                <w:szCs w:val="20"/>
              </w:rPr>
              <w:t xml:space="preserve">Proxy A: </w:t>
            </w:r>
            <w:r>
              <w:rPr>
                <w:szCs w:val="20"/>
              </w:rPr>
              <w:tab/>
            </w:r>
            <w:r w:rsidRPr="00150024">
              <w:rPr>
                <w:szCs w:val="20"/>
              </w:rPr>
              <w:t>Joint registration of land compulsory or encouraged through economic incentives</w:t>
            </w:r>
          </w:p>
          <w:p w14:paraId="5C2E3412" w14:textId="77777777" w:rsidR="00221C59" w:rsidRPr="00150024" w:rsidRDefault="00221C59" w:rsidP="00221C59">
            <w:pPr>
              <w:ind w:left="546" w:hanging="546"/>
              <w:jc w:val="both"/>
              <w:rPr>
                <w:szCs w:val="20"/>
              </w:rPr>
            </w:pPr>
            <w:r w:rsidRPr="00150024">
              <w:rPr>
                <w:szCs w:val="20"/>
              </w:rPr>
              <w:t xml:space="preserve">Proxy B: </w:t>
            </w:r>
            <w:r>
              <w:rPr>
                <w:szCs w:val="20"/>
              </w:rPr>
              <w:tab/>
            </w:r>
            <w:r w:rsidRPr="00150024">
              <w:rPr>
                <w:szCs w:val="20"/>
              </w:rPr>
              <w:t>Compulsory spousal consent for land transactions</w:t>
            </w:r>
          </w:p>
          <w:p w14:paraId="73907519" w14:textId="77777777" w:rsidR="00221C59" w:rsidRPr="00150024" w:rsidRDefault="00221C59" w:rsidP="00221C59">
            <w:pPr>
              <w:ind w:left="546" w:hanging="546"/>
              <w:jc w:val="both"/>
              <w:rPr>
                <w:szCs w:val="20"/>
              </w:rPr>
            </w:pPr>
            <w:r w:rsidRPr="00150024">
              <w:rPr>
                <w:szCs w:val="20"/>
              </w:rPr>
              <w:t xml:space="preserve">Proxy C: </w:t>
            </w:r>
            <w:r>
              <w:rPr>
                <w:szCs w:val="20"/>
              </w:rPr>
              <w:tab/>
            </w:r>
            <w:r w:rsidRPr="00150024">
              <w:rPr>
                <w:szCs w:val="20"/>
              </w:rPr>
              <w:t>Women’s and girls’ equal inheritance rights</w:t>
            </w:r>
          </w:p>
          <w:p w14:paraId="07E922C4" w14:textId="77777777" w:rsidR="00221C59" w:rsidRPr="00150024" w:rsidRDefault="00221C59" w:rsidP="00221C59">
            <w:pPr>
              <w:ind w:left="546" w:hanging="546"/>
              <w:jc w:val="both"/>
              <w:rPr>
                <w:szCs w:val="20"/>
              </w:rPr>
            </w:pPr>
            <w:r w:rsidRPr="00150024">
              <w:rPr>
                <w:szCs w:val="20"/>
              </w:rPr>
              <w:t xml:space="preserve">Proxy D: </w:t>
            </w:r>
            <w:r>
              <w:rPr>
                <w:szCs w:val="20"/>
              </w:rPr>
              <w:tab/>
            </w:r>
            <w:r w:rsidRPr="00150024">
              <w:rPr>
                <w:szCs w:val="20"/>
              </w:rPr>
              <w:t>Allocation of financial resources to increase women’s ownership and control over land</w:t>
            </w:r>
          </w:p>
          <w:p w14:paraId="15E77539" w14:textId="77777777" w:rsidR="00221C59" w:rsidRPr="00150024" w:rsidRDefault="00221C59" w:rsidP="00221C59">
            <w:pPr>
              <w:ind w:left="546" w:hanging="546"/>
              <w:jc w:val="both"/>
              <w:rPr>
                <w:szCs w:val="20"/>
              </w:rPr>
            </w:pPr>
            <w:r w:rsidRPr="00150024">
              <w:rPr>
                <w:szCs w:val="20"/>
              </w:rPr>
              <w:t xml:space="preserve">Proxy E: </w:t>
            </w:r>
            <w:r>
              <w:rPr>
                <w:szCs w:val="20"/>
              </w:rPr>
              <w:tab/>
            </w:r>
            <w:r w:rsidRPr="00150024">
              <w:rPr>
                <w:szCs w:val="20"/>
              </w:rPr>
              <w:t>In legal systems that recognise customary land tenure, existence of explicit protection of the</w:t>
            </w:r>
            <w:r>
              <w:rPr>
                <w:szCs w:val="20"/>
              </w:rPr>
              <w:t xml:space="preserve"> </w:t>
            </w:r>
            <w:r w:rsidRPr="00150024">
              <w:rPr>
                <w:szCs w:val="20"/>
              </w:rPr>
              <w:t>land rights of women</w:t>
            </w:r>
          </w:p>
          <w:p w14:paraId="6B88D223" w14:textId="77777777" w:rsidR="00221C59" w:rsidRDefault="00221C59" w:rsidP="00221C59">
            <w:pPr>
              <w:ind w:left="546" w:hanging="546"/>
              <w:jc w:val="both"/>
              <w:rPr>
                <w:szCs w:val="20"/>
              </w:rPr>
            </w:pPr>
            <w:r w:rsidRPr="00150024">
              <w:rPr>
                <w:szCs w:val="20"/>
              </w:rPr>
              <w:t xml:space="preserve">Proxy F: </w:t>
            </w:r>
            <w:r>
              <w:rPr>
                <w:szCs w:val="20"/>
              </w:rPr>
              <w:tab/>
            </w:r>
            <w:r w:rsidRPr="00150024">
              <w:rPr>
                <w:szCs w:val="20"/>
              </w:rPr>
              <w:t>Mandatory quotas for women’s participation in land management and administration</w:t>
            </w:r>
            <w:r>
              <w:rPr>
                <w:szCs w:val="20"/>
              </w:rPr>
              <w:t xml:space="preserve"> </w:t>
            </w:r>
            <w:r w:rsidRPr="00150024">
              <w:rPr>
                <w:szCs w:val="20"/>
              </w:rPr>
              <w:t>institutions</w:t>
            </w:r>
          </w:p>
          <w:p w14:paraId="7AF27F06" w14:textId="77777777" w:rsidR="00221C59" w:rsidRDefault="00221C59" w:rsidP="00221C59">
            <w:pPr>
              <w:ind w:left="546" w:hanging="546"/>
              <w:jc w:val="both"/>
              <w:rPr>
                <w:b/>
                <w:bCs/>
                <w:szCs w:val="20"/>
              </w:rPr>
            </w:pPr>
          </w:p>
          <w:p w14:paraId="4F60D2C3" w14:textId="3072D50A" w:rsidR="00221C59" w:rsidRDefault="00221C59" w:rsidP="00221C59">
            <w:pPr>
              <w:jc w:val="both"/>
              <w:rPr>
                <w:szCs w:val="20"/>
              </w:rPr>
            </w:pPr>
            <w:r w:rsidRPr="001130BB">
              <w:rPr>
                <w:b/>
                <w:bCs/>
                <w:szCs w:val="20"/>
              </w:rPr>
              <w:t>Key definitions are the following:</w:t>
            </w:r>
            <w:r w:rsidRPr="00150024">
              <w:rPr>
                <w:i/>
                <w:iCs/>
                <w:szCs w:val="20"/>
              </w:rPr>
              <w:t>Land:</w:t>
            </w:r>
            <w:r>
              <w:rPr>
                <w:b/>
                <w:bCs/>
                <w:szCs w:val="20"/>
              </w:rPr>
              <w:t xml:space="preserve"> </w:t>
            </w:r>
            <w:r w:rsidRPr="00150024">
              <w:rPr>
                <w:szCs w:val="20"/>
              </w:rPr>
              <w:t>Land is defined as all immovable property – for instance the house, the land upon which a house is built</w:t>
            </w:r>
            <w:r>
              <w:rPr>
                <w:szCs w:val="20"/>
              </w:rPr>
              <w:t xml:space="preserve"> </w:t>
            </w:r>
            <w:r w:rsidRPr="00150024">
              <w:rPr>
                <w:szCs w:val="20"/>
              </w:rPr>
              <w:t>and land which is used for other purposes, such as agricultural production. It also encompasses any other</w:t>
            </w:r>
            <w:r>
              <w:rPr>
                <w:szCs w:val="20"/>
              </w:rPr>
              <w:t xml:space="preserve"> </w:t>
            </w:r>
            <w:r w:rsidRPr="00150024">
              <w:rPr>
                <w:szCs w:val="20"/>
              </w:rPr>
              <w:t>structures built on land to meet permanent purposes. Legal frameworks commonly use the terms</w:t>
            </w:r>
            <w:r>
              <w:rPr>
                <w:szCs w:val="20"/>
              </w:rPr>
              <w:t xml:space="preserve"> </w:t>
            </w:r>
            <w:r w:rsidRPr="00150024">
              <w:rPr>
                <w:szCs w:val="20"/>
              </w:rPr>
              <w:t>‘immovable property’ or ‘real property’ when referring to land.</w:t>
            </w:r>
          </w:p>
          <w:p w14:paraId="50826F2F" w14:textId="77777777" w:rsidR="00221C59" w:rsidRPr="00150024" w:rsidRDefault="00221C59" w:rsidP="00221C59">
            <w:pPr>
              <w:jc w:val="both"/>
              <w:rPr>
                <w:szCs w:val="20"/>
              </w:rPr>
            </w:pPr>
          </w:p>
          <w:p w14:paraId="36F050F1" w14:textId="77777777" w:rsidR="00221C59" w:rsidRDefault="00221C59" w:rsidP="00221C59">
            <w:pPr>
              <w:jc w:val="both"/>
              <w:rPr>
                <w:szCs w:val="20"/>
              </w:rPr>
            </w:pPr>
            <w:r w:rsidRPr="00150024">
              <w:rPr>
                <w:i/>
                <w:iCs/>
                <w:szCs w:val="20"/>
              </w:rPr>
              <w:lastRenderedPageBreak/>
              <w:t>Land ownership</w:t>
            </w:r>
            <w:r>
              <w:rPr>
                <w:i/>
                <w:iCs/>
                <w:szCs w:val="20"/>
              </w:rPr>
              <w:t xml:space="preserve">: </w:t>
            </w:r>
            <w:r w:rsidRPr="00150024">
              <w:rPr>
                <w:szCs w:val="20"/>
              </w:rPr>
              <w:t>Land ownership is a legally recognised right to acquire, to use and to transfer land. In private property</w:t>
            </w:r>
            <w:r>
              <w:rPr>
                <w:szCs w:val="20"/>
              </w:rPr>
              <w:t xml:space="preserve"> </w:t>
            </w:r>
            <w:r w:rsidRPr="00150024">
              <w:rPr>
                <w:szCs w:val="20"/>
              </w:rPr>
              <w:t>systems, this is a right akin to a freehold tenure. In systems where land is owned by the state, the term</w:t>
            </w:r>
            <w:r>
              <w:rPr>
                <w:szCs w:val="20"/>
              </w:rPr>
              <w:t xml:space="preserve"> </w:t>
            </w:r>
            <w:r w:rsidRPr="00150024">
              <w:rPr>
                <w:szCs w:val="20"/>
              </w:rPr>
              <w:t>land ownership refers to possession of the rights most akin to ownership in a private property system–</w:t>
            </w:r>
            <w:r>
              <w:rPr>
                <w:szCs w:val="20"/>
              </w:rPr>
              <w:t xml:space="preserve"> </w:t>
            </w:r>
            <w:r w:rsidRPr="00150024">
              <w:rPr>
                <w:szCs w:val="20"/>
              </w:rPr>
              <w:t>for instance, long-term leases, occupancy, tenancy or use rights granted by the state that are</w:t>
            </w:r>
            <w:r>
              <w:rPr>
                <w:szCs w:val="20"/>
              </w:rPr>
              <w:t xml:space="preserve"> </w:t>
            </w:r>
            <w:r w:rsidRPr="00150024">
              <w:rPr>
                <w:szCs w:val="20"/>
              </w:rPr>
              <w:t>transferrable and are granted to users for several decades (for instance 99 years).</w:t>
            </w:r>
          </w:p>
          <w:p w14:paraId="3C5DF27C" w14:textId="77777777" w:rsidR="00221C59" w:rsidRDefault="00221C59" w:rsidP="00221C59">
            <w:pPr>
              <w:jc w:val="both"/>
              <w:rPr>
                <w:b/>
                <w:bCs/>
                <w:szCs w:val="20"/>
              </w:rPr>
            </w:pPr>
          </w:p>
          <w:p w14:paraId="7B2C5D14" w14:textId="77777777" w:rsidR="00221C59" w:rsidRDefault="00221C59" w:rsidP="00221C59">
            <w:pPr>
              <w:jc w:val="both"/>
              <w:rPr>
                <w:szCs w:val="20"/>
              </w:rPr>
            </w:pPr>
            <w:r w:rsidRPr="00150024">
              <w:rPr>
                <w:i/>
                <w:iCs/>
                <w:szCs w:val="20"/>
              </w:rPr>
              <w:t xml:space="preserve">Control over land: </w:t>
            </w:r>
            <w:r w:rsidRPr="00150024">
              <w:rPr>
                <w:szCs w:val="20"/>
              </w:rPr>
              <w:t>Control over land is the ability to make decisions over land. It may include rights to make decisions about</w:t>
            </w:r>
            <w:r>
              <w:rPr>
                <w:szCs w:val="20"/>
              </w:rPr>
              <w:t xml:space="preserve"> </w:t>
            </w:r>
            <w:r w:rsidRPr="00150024">
              <w:rPr>
                <w:szCs w:val="20"/>
              </w:rPr>
              <w:t>how the land should be used, including what crops should be planted, and to benefit financially from the</w:t>
            </w:r>
            <w:r>
              <w:rPr>
                <w:szCs w:val="20"/>
              </w:rPr>
              <w:t xml:space="preserve"> </w:t>
            </w:r>
            <w:r w:rsidRPr="00150024">
              <w:rPr>
                <w:szCs w:val="20"/>
              </w:rPr>
              <w:t>sale of crops.</w:t>
            </w:r>
          </w:p>
          <w:p w14:paraId="6FFBC6E4" w14:textId="77777777" w:rsidR="00221C59" w:rsidRPr="00150024" w:rsidRDefault="00221C59" w:rsidP="00221C59">
            <w:pPr>
              <w:jc w:val="both"/>
              <w:rPr>
                <w:szCs w:val="20"/>
              </w:rPr>
            </w:pPr>
          </w:p>
          <w:p w14:paraId="290A1822" w14:textId="77777777" w:rsidR="00221C59" w:rsidRDefault="00221C59" w:rsidP="00221C59">
            <w:pPr>
              <w:jc w:val="both"/>
              <w:rPr>
                <w:szCs w:val="20"/>
              </w:rPr>
            </w:pPr>
            <w:r w:rsidRPr="00150024">
              <w:rPr>
                <w:i/>
                <w:iCs/>
                <w:szCs w:val="20"/>
              </w:rPr>
              <w:t>Customary land tenure:</w:t>
            </w:r>
            <w:r>
              <w:rPr>
                <w:szCs w:val="20"/>
              </w:rPr>
              <w:t xml:space="preserve"> </w:t>
            </w:r>
            <w:r w:rsidRPr="00150024">
              <w:rPr>
                <w:szCs w:val="20"/>
              </w:rPr>
              <w:t>Customary land tenure is defined as the bodies of rules and institutions governing the way land and</w:t>
            </w:r>
            <w:r>
              <w:rPr>
                <w:szCs w:val="20"/>
              </w:rPr>
              <w:t xml:space="preserve"> </w:t>
            </w:r>
            <w:r w:rsidRPr="00150024">
              <w:rPr>
                <w:szCs w:val="20"/>
              </w:rPr>
              <w:t>natural resources are held, managed, used and transacted within customary legal systems.</w:t>
            </w:r>
          </w:p>
          <w:p w14:paraId="034C9B35" w14:textId="77777777" w:rsidR="00221C59" w:rsidRPr="00150024" w:rsidRDefault="00221C59" w:rsidP="00221C59">
            <w:pPr>
              <w:jc w:val="both"/>
              <w:rPr>
                <w:szCs w:val="20"/>
              </w:rPr>
            </w:pPr>
          </w:p>
          <w:p w14:paraId="2CEB0557" w14:textId="77777777" w:rsidR="00221C59" w:rsidRDefault="00221C59" w:rsidP="00221C59">
            <w:pPr>
              <w:jc w:val="both"/>
              <w:rPr>
                <w:szCs w:val="20"/>
              </w:rPr>
            </w:pPr>
            <w:r w:rsidRPr="00150024">
              <w:rPr>
                <w:i/>
                <w:iCs/>
                <w:szCs w:val="20"/>
              </w:rPr>
              <w:t>Customary legal systems</w:t>
            </w:r>
            <w:r>
              <w:rPr>
                <w:i/>
                <w:iCs/>
                <w:szCs w:val="20"/>
              </w:rPr>
              <w:t xml:space="preserve">: </w:t>
            </w:r>
            <w:r w:rsidRPr="00150024">
              <w:rPr>
                <w:szCs w:val="20"/>
              </w:rPr>
              <w:t>Customary legal systems are systems that exist at the local or community level, that have not been set up</w:t>
            </w:r>
            <w:r>
              <w:rPr>
                <w:szCs w:val="20"/>
              </w:rPr>
              <w:t xml:space="preserve"> </w:t>
            </w:r>
            <w:r w:rsidRPr="00150024">
              <w:rPr>
                <w:szCs w:val="20"/>
              </w:rPr>
              <w:t>by the state, and that derive their legitimacy from the values and traditions of the indigenous or local</w:t>
            </w:r>
            <w:r>
              <w:rPr>
                <w:szCs w:val="20"/>
              </w:rPr>
              <w:t xml:space="preserve"> </w:t>
            </w:r>
            <w:r w:rsidRPr="00150024">
              <w:rPr>
                <w:szCs w:val="20"/>
              </w:rPr>
              <w:t>group. Customary legal systems may or may not be recognized by national law.</w:t>
            </w:r>
          </w:p>
          <w:p w14:paraId="4F38A037" w14:textId="77777777" w:rsidR="00221C59" w:rsidRPr="00150024" w:rsidRDefault="00221C59" w:rsidP="00221C59">
            <w:pPr>
              <w:jc w:val="both"/>
              <w:rPr>
                <w:szCs w:val="20"/>
              </w:rPr>
            </w:pPr>
          </w:p>
          <w:p w14:paraId="4A674502" w14:textId="77777777" w:rsidR="00221C59" w:rsidRDefault="00221C59" w:rsidP="00221C59">
            <w:pPr>
              <w:jc w:val="both"/>
              <w:rPr>
                <w:szCs w:val="20"/>
              </w:rPr>
            </w:pPr>
            <w:r w:rsidRPr="00150024">
              <w:rPr>
                <w:i/>
                <w:iCs/>
                <w:szCs w:val="20"/>
              </w:rPr>
              <w:t>Legal and policy framework:</w:t>
            </w:r>
            <w:r>
              <w:rPr>
                <w:szCs w:val="20"/>
              </w:rPr>
              <w:t xml:space="preserve"> </w:t>
            </w:r>
            <w:r w:rsidRPr="00150024">
              <w:rPr>
                <w:szCs w:val="20"/>
              </w:rPr>
              <w:t>The legal and policy framework encompasses the Constitution, policy, primary legislation and secondary</w:t>
            </w:r>
            <w:r>
              <w:rPr>
                <w:szCs w:val="20"/>
              </w:rPr>
              <w:t xml:space="preserve"> </w:t>
            </w:r>
            <w:r w:rsidRPr="00150024">
              <w:rPr>
                <w:szCs w:val="20"/>
              </w:rPr>
              <w:t>legislation. The legal and policy framework includes customary legal systems where they have been</w:t>
            </w:r>
            <w:r>
              <w:rPr>
                <w:szCs w:val="20"/>
              </w:rPr>
              <w:t xml:space="preserve"> </w:t>
            </w:r>
            <w:r w:rsidRPr="00150024">
              <w:rPr>
                <w:szCs w:val="20"/>
              </w:rPr>
              <w:t>recognised by statutory law</w:t>
            </w:r>
            <w:r>
              <w:rPr>
                <w:szCs w:val="20"/>
              </w:rPr>
              <w:t>.</w:t>
            </w:r>
          </w:p>
          <w:p w14:paraId="76CF2E32" w14:textId="77777777" w:rsidR="00221C59" w:rsidRDefault="00221C59" w:rsidP="00221C59">
            <w:pPr>
              <w:jc w:val="both"/>
              <w:rPr>
                <w:i/>
                <w:iCs/>
                <w:szCs w:val="20"/>
              </w:rPr>
            </w:pPr>
          </w:p>
          <w:p w14:paraId="052C3784" w14:textId="77777777" w:rsidR="00221C59" w:rsidRDefault="00221C59" w:rsidP="00221C59">
            <w:pPr>
              <w:jc w:val="both"/>
              <w:rPr>
                <w:szCs w:val="20"/>
              </w:rPr>
            </w:pPr>
            <w:r w:rsidRPr="00150024">
              <w:rPr>
                <w:i/>
                <w:iCs/>
                <w:szCs w:val="20"/>
              </w:rPr>
              <w:t>Personal laws</w:t>
            </w:r>
            <w:r>
              <w:rPr>
                <w:i/>
                <w:iCs/>
                <w:szCs w:val="20"/>
              </w:rPr>
              <w:t xml:space="preserve">: </w:t>
            </w:r>
            <w:r w:rsidRPr="00150024">
              <w:rPr>
                <w:szCs w:val="20"/>
              </w:rPr>
              <w:t>Personal law is defined as a set of codified rules and norms applying to a group of people sharing a</w:t>
            </w:r>
            <w:r>
              <w:rPr>
                <w:szCs w:val="20"/>
              </w:rPr>
              <w:t xml:space="preserve"> </w:t>
            </w:r>
            <w:r w:rsidRPr="00150024">
              <w:rPr>
                <w:szCs w:val="20"/>
              </w:rPr>
              <w:t>common religious faith with regard to personal matters. These laws usually cover family relations,</w:t>
            </w:r>
            <w:r>
              <w:rPr>
                <w:szCs w:val="20"/>
              </w:rPr>
              <w:t xml:space="preserve"> </w:t>
            </w:r>
            <w:r w:rsidRPr="00150024">
              <w:rPr>
                <w:szCs w:val="20"/>
              </w:rPr>
              <w:t>marriage, and inheritance. The term can be used interchangeably with ‘religious laws’.</w:t>
            </w:r>
          </w:p>
          <w:p w14:paraId="0C5A8678" w14:textId="77777777" w:rsidR="00221C59" w:rsidRPr="00150024" w:rsidRDefault="00221C59" w:rsidP="00221C59">
            <w:pPr>
              <w:jc w:val="both"/>
              <w:rPr>
                <w:szCs w:val="20"/>
              </w:rPr>
            </w:pPr>
          </w:p>
          <w:p w14:paraId="07E54FF6" w14:textId="77777777" w:rsidR="00221C59" w:rsidRDefault="00221C59" w:rsidP="00221C59">
            <w:pPr>
              <w:jc w:val="both"/>
              <w:rPr>
                <w:szCs w:val="20"/>
              </w:rPr>
            </w:pPr>
            <w:r w:rsidRPr="00150024">
              <w:rPr>
                <w:i/>
                <w:iCs/>
                <w:szCs w:val="20"/>
              </w:rPr>
              <w:t>Primary legislation</w:t>
            </w:r>
            <w:r>
              <w:rPr>
                <w:i/>
                <w:iCs/>
                <w:szCs w:val="20"/>
              </w:rPr>
              <w:t xml:space="preserve">: </w:t>
            </w:r>
            <w:r w:rsidRPr="00150024">
              <w:rPr>
                <w:szCs w:val="20"/>
              </w:rPr>
              <w:t>Primary legislation refers to (i) acts or statutes that have been formally adopted at national level</w:t>
            </w:r>
            <w:r>
              <w:rPr>
                <w:szCs w:val="20"/>
              </w:rPr>
              <w:t xml:space="preserve"> </w:t>
            </w:r>
            <w:r w:rsidRPr="00150024">
              <w:rPr>
                <w:szCs w:val="20"/>
              </w:rPr>
              <w:t>following the official parliamentary procedure for the passage of laws (in parliamentary systems); (ii)</w:t>
            </w:r>
            <w:r>
              <w:rPr>
                <w:szCs w:val="20"/>
              </w:rPr>
              <w:t xml:space="preserve"> </w:t>
            </w:r>
            <w:r w:rsidRPr="00150024">
              <w:rPr>
                <w:szCs w:val="20"/>
              </w:rPr>
              <w:t>other acts at the national level with the force of law, such as decree-laws and legislative decrees and</w:t>
            </w:r>
            <w:r>
              <w:rPr>
                <w:szCs w:val="20"/>
              </w:rPr>
              <w:t xml:space="preserve"> </w:t>
            </w:r>
            <w:r w:rsidRPr="00150024">
              <w:rPr>
                <w:szCs w:val="20"/>
              </w:rPr>
              <w:t>otherwise (in parliamentary systems); (iii) other legal instruments that have that have been formally</w:t>
            </w:r>
            <w:r>
              <w:rPr>
                <w:szCs w:val="20"/>
              </w:rPr>
              <w:t xml:space="preserve"> </w:t>
            </w:r>
            <w:r w:rsidRPr="00150024">
              <w:rPr>
                <w:szCs w:val="20"/>
              </w:rPr>
              <w:t>endorsed by a law-making body, for instance presidential and royal orders or presidential and royal</w:t>
            </w:r>
            <w:r>
              <w:rPr>
                <w:szCs w:val="20"/>
              </w:rPr>
              <w:t xml:space="preserve"> </w:t>
            </w:r>
            <w:r w:rsidRPr="00150024">
              <w:rPr>
                <w:szCs w:val="20"/>
              </w:rPr>
              <w:t>decrees (in non-parliamentary systems or systems where law-making power lies in an additional</w:t>
            </w:r>
            <w:r>
              <w:rPr>
                <w:szCs w:val="20"/>
              </w:rPr>
              <w:t xml:space="preserve"> </w:t>
            </w:r>
            <w:r w:rsidRPr="00150024">
              <w:rPr>
                <w:szCs w:val="20"/>
              </w:rPr>
              <w:t xml:space="preserve">institution to the parliament). In all cases, primary </w:t>
            </w:r>
            <w:r w:rsidRPr="00150024">
              <w:rPr>
                <w:szCs w:val="20"/>
              </w:rPr>
              <w:lastRenderedPageBreak/>
              <w:t>legislation must have the force of law, be binding. For</w:t>
            </w:r>
            <w:r>
              <w:rPr>
                <w:szCs w:val="20"/>
              </w:rPr>
              <w:t xml:space="preserve"> </w:t>
            </w:r>
            <w:r w:rsidRPr="00150024">
              <w:rPr>
                <w:szCs w:val="20"/>
              </w:rPr>
              <w:t>the purposes of this assessment primary legislation also includes the Constitution.</w:t>
            </w:r>
          </w:p>
          <w:p w14:paraId="033943D9" w14:textId="77777777" w:rsidR="00221C59" w:rsidRPr="00150024" w:rsidRDefault="00221C59" w:rsidP="00221C59">
            <w:pPr>
              <w:jc w:val="both"/>
              <w:rPr>
                <w:szCs w:val="20"/>
              </w:rPr>
            </w:pPr>
          </w:p>
          <w:p w14:paraId="46EC8724" w14:textId="77777777" w:rsidR="00221C59" w:rsidRDefault="00221C59" w:rsidP="00221C59">
            <w:pPr>
              <w:jc w:val="both"/>
              <w:rPr>
                <w:szCs w:val="20"/>
              </w:rPr>
            </w:pPr>
            <w:r w:rsidRPr="00150024">
              <w:rPr>
                <w:i/>
                <w:iCs/>
                <w:szCs w:val="20"/>
              </w:rPr>
              <w:t>Secondary legislation:</w:t>
            </w:r>
            <w:r>
              <w:rPr>
                <w:szCs w:val="20"/>
              </w:rPr>
              <w:t xml:space="preserve"> </w:t>
            </w:r>
            <w:r w:rsidRPr="00150024">
              <w:rPr>
                <w:szCs w:val="20"/>
              </w:rPr>
              <w:t>Secondary legislation includes subsidiary, delegated or subordinate legal instruments that have the force</w:t>
            </w:r>
            <w:r>
              <w:rPr>
                <w:szCs w:val="20"/>
              </w:rPr>
              <w:t xml:space="preserve"> </w:t>
            </w:r>
            <w:r w:rsidRPr="00150024">
              <w:rPr>
                <w:szCs w:val="20"/>
              </w:rPr>
              <w:t>of law, are binding and shall not be in contradiction with primary legislation. They are usually passed by</w:t>
            </w:r>
            <w:r>
              <w:rPr>
                <w:szCs w:val="20"/>
              </w:rPr>
              <w:t xml:space="preserve"> </w:t>
            </w:r>
            <w:r w:rsidRPr="00150024">
              <w:rPr>
                <w:szCs w:val="20"/>
              </w:rPr>
              <w:t>the executive, such as national regulations, rules, by-laws, determinations, directions, circulars, orders,</w:t>
            </w:r>
            <w:r>
              <w:rPr>
                <w:szCs w:val="20"/>
              </w:rPr>
              <w:t xml:space="preserve"> </w:t>
            </w:r>
            <w:r w:rsidRPr="00150024">
              <w:rPr>
                <w:szCs w:val="20"/>
              </w:rPr>
              <w:t>and implementing decrees.</w:t>
            </w:r>
          </w:p>
          <w:p w14:paraId="7B094977" w14:textId="77777777" w:rsidR="00221C59" w:rsidRPr="00150024" w:rsidRDefault="00221C59" w:rsidP="00221C59">
            <w:pPr>
              <w:jc w:val="both"/>
              <w:rPr>
                <w:szCs w:val="20"/>
              </w:rPr>
            </w:pPr>
          </w:p>
          <w:p w14:paraId="2E5465D3" w14:textId="77777777" w:rsidR="00221C59" w:rsidRDefault="00221C59" w:rsidP="00221C59">
            <w:pPr>
              <w:jc w:val="both"/>
              <w:rPr>
                <w:szCs w:val="20"/>
              </w:rPr>
            </w:pPr>
            <w:r w:rsidRPr="00150024">
              <w:rPr>
                <w:i/>
                <w:iCs/>
                <w:szCs w:val="20"/>
              </w:rPr>
              <w:t>Joint registration:</w:t>
            </w:r>
            <w:r>
              <w:rPr>
                <w:szCs w:val="20"/>
              </w:rPr>
              <w:t xml:space="preserve"> </w:t>
            </w:r>
            <w:r w:rsidRPr="00150024">
              <w:rPr>
                <w:szCs w:val="20"/>
              </w:rPr>
              <w:t xml:space="preserve">Joint registration is where the names of </w:t>
            </w:r>
            <w:proofErr w:type="gramStart"/>
            <w:r w:rsidRPr="00150024">
              <w:rPr>
                <w:szCs w:val="20"/>
              </w:rPr>
              <w:t>both spouses or</w:t>
            </w:r>
            <w:proofErr w:type="gramEnd"/>
            <w:r w:rsidRPr="00150024">
              <w:rPr>
                <w:szCs w:val="20"/>
              </w:rPr>
              <w:t xml:space="preserve"> both partners in an unmarried couple, are</w:t>
            </w:r>
            <w:r>
              <w:rPr>
                <w:szCs w:val="20"/>
              </w:rPr>
              <w:t xml:space="preserve"> </w:t>
            </w:r>
            <w:r w:rsidRPr="00150024">
              <w:rPr>
                <w:szCs w:val="20"/>
              </w:rPr>
              <w:t>entered into the land registry as the owners or principal users of the land being registered. Joint</w:t>
            </w:r>
            <w:r>
              <w:rPr>
                <w:szCs w:val="20"/>
              </w:rPr>
              <w:t xml:space="preserve"> </w:t>
            </w:r>
            <w:r w:rsidRPr="00150024">
              <w:rPr>
                <w:szCs w:val="20"/>
              </w:rPr>
              <w:t>registration signifies a form of shared tenure over the land– usually either a joint tenancy/occupancy or a</w:t>
            </w:r>
            <w:r>
              <w:rPr>
                <w:szCs w:val="20"/>
              </w:rPr>
              <w:t xml:space="preserve"> </w:t>
            </w:r>
            <w:r w:rsidRPr="00150024">
              <w:rPr>
                <w:szCs w:val="20"/>
              </w:rPr>
              <w:t>tenancy in common). In legal systems which include a framework for land titling, joint registration is</w:t>
            </w:r>
            <w:r>
              <w:rPr>
                <w:szCs w:val="20"/>
              </w:rPr>
              <w:t xml:space="preserve"> </w:t>
            </w:r>
            <w:r w:rsidRPr="00150024">
              <w:rPr>
                <w:szCs w:val="20"/>
              </w:rPr>
              <w:t>commonly referred to as joint titling.</w:t>
            </w:r>
          </w:p>
          <w:p w14:paraId="76D31269" w14:textId="77777777" w:rsidR="00221C59" w:rsidRDefault="00221C59" w:rsidP="00221C59">
            <w:pPr>
              <w:jc w:val="both"/>
              <w:rPr>
                <w:i/>
                <w:iCs/>
                <w:szCs w:val="20"/>
              </w:rPr>
            </w:pPr>
          </w:p>
          <w:p w14:paraId="1A764048" w14:textId="77777777" w:rsidR="00221C59" w:rsidRDefault="00221C59" w:rsidP="00221C59">
            <w:pPr>
              <w:jc w:val="both"/>
              <w:rPr>
                <w:szCs w:val="20"/>
              </w:rPr>
            </w:pPr>
            <w:r w:rsidRPr="00150024">
              <w:rPr>
                <w:i/>
                <w:iCs/>
                <w:szCs w:val="20"/>
              </w:rPr>
              <w:t>Unmarried couples</w:t>
            </w:r>
            <w:r>
              <w:rPr>
                <w:i/>
                <w:iCs/>
                <w:szCs w:val="20"/>
              </w:rPr>
              <w:t xml:space="preserve">: </w:t>
            </w:r>
            <w:r w:rsidRPr="00150024">
              <w:rPr>
                <w:szCs w:val="20"/>
              </w:rPr>
              <w:t>Unmarried couples are defined as couples who live together (cohabit) in an intimate relationship, but</w:t>
            </w:r>
            <w:r>
              <w:rPr>
                <w:szCs w:val="20"/>
              </w:rPr>
              <w:t xml:space="preserve"> </w:t>
            </w:r>
            <w:r w:rsidRPr="00150024">
              <w:rPr>
                <w:szCs w:val="20"/>
              </w:rPr>
              <w:t>who are not married in accordance with the marriage law of the country. Often this will refer to couples</w:t>
            </w:r>
            <w:r>
              <w:rPr>
                <w:szCs w:val="20"/>
              </w:rPr>
              <w:t xml:space="preserve"> </w:t>
            </w:r>
            <w:r w:rsidRPr="00150024">
              <w:rPr>
                <w:szCs w:val="20"/>
              </w:rPr>
              <w:t>who were married under custom or religious laws, where such marriages are not recognised or do not</w:t>
            </w:r>
            <w:r>
              <w:rPr>
                <w:szCs w:val="20"/>
              </w:rPr>
              <w:t xml:space="preserve"> </w:t>
            </w:r>
            <w:r w:rsidRPr="00150024">
              <w:rPr>
                <w:szCs w:val="20"/>
              </w:rPr>
              <w:t>comply with the requirements of the formal law. It may also refer to relationships that are recognised by</w:t>
            </w:r>
            <w:r>
              <w:rPr>
                <w:szCs w:val="20"/>
              </w:rPr>
              <w:t xml:space="preserve"> </w:t>
            </w:r>
            <w:r w:rsidRPr="00150024">
              <w:rPr>
                <w:szCs w:val="20"/>
              </w:rPr>
              <w:t>the state but that are not considered a marriage – for instance a civil partnership and a de facto</w:t>
            </w:r>
            <w:r>
              <w:rPr>
                <w:szCs w:val="20"/>
              </w:rPr>
              <w:t xml:space="preserve"> </w:t>
            </w:r>
            <w:r w:rsidRPr="00150024">
              <w:rPr>
                <w:szCs w:val="20"/>
              </w:rPr>
              <w:t>relationship that is registered with the state. The term ‘unmarried couples’ is often used interchangeably</w:t>
            </w:r>
            <w:r>
              <w:rPr>
                <w:szCs w:val="20"/>
              </w:rPr>
              <w:t xml:space="preserve"> </w:t>
            </w:r>
            <w:r w:rsidRPr="00150024">
              <w:rPr>
                <w:szCs w:val="20"/>
              </w:rPr>
              <w:t>with ‘de facto unions’, ‘consensual unions’ or ‘irregular unions’. The members of an unmarried couple are</w:t>
            </w:r>
            <w:r>
              <w:rPr>
                <w:szCs w:val="20"/>
              </w:rPr>
              <w:t xml:space="preserve"> </w:t>
            </w:r>
            <w:r w:rsidRPr="00150024">
              <w:rPr>
                <w:szCs w:val="20"/>
              </w:rPr>
              <w:t>referred to as ‘partners’.</w:t>
            </w:r>
          </w:p>
          <w:p w14:paraId="458CC0A1" w14:textId="77777777" w:rsidR="00221C59" w:rsidRPr="00150024" w:rsidRDefault="00221C59" w:rsidP="00221C59">
            <w:pPr>
              <w:jc w:val="both"/>
              <w:rPr>
                <w:szCs w:val="20"/>
              </w:rPr>
            </w:pPr>
          </w:p>
          <w:p w14:paraId="43C6BC5A" w14:textId="77777777" w:rsidR="00221C59" w:rsidRPr="00150024" w:rsidRDefault="00221C59" w:rsidP="00221C59">
            <w:pPr>
              <w:jc w:val="both"/>
              <w:rPr>
                <w:szCs w:val="20"/>
              </w:rPr>
            </w:pPr>
            <w:r w:rsidRPr="00150024">
              <w:rPr>
                <w:i/>
                <w:iCs/>
                <w:szCs w:val="20"/>
              </w:rPr>
              <w:t>Land transactions:</w:t>
            </w:r>
            <w:r>
              <w:rPr>
                <w:szCs w:val="20"/>
              </w:rPr>
              <w:t xml:space="preserve"> </w:t>
            </w:r>
            <w:r w:rsidRPr="00150024">
              <w:rPr>
                <w:szCs w:val="20"/>
              </w:rPr>
              <w:t>Land transactions for the purpose of the methodology are major land transactions, specifically the sale</w:t>
            </w:r>
            <w:r>
              <w:rPr>
                <w:szCs w:val="20"/>
              </w:rPr>
              <w:t xml:space="preserve"> </w:t>
            </w:r>
            <w:r w:rsidRPr="00150024">
              <w:rPr>
                <w:szCs w:val="20"/>
              </w:rPr>
              <w:t>and encumbrance (mortgage) of land.</w:t>
            </w:r>
          </w:p>
          <w:p w14:paraId="3A3496B2" w14:textId="77777777" w:rsidR="00221C59" w:rsidRPr="00150024" w:rsidRDefault="00221C59" w:rsidP="00221C59">
            <w:pPr>
              <w:jc w:val="both"/>
              <w:rPr>
                <w:szCs w:val="20"/>
              </w:rPr>
            </w:pPr>
            <w:r w:rsidRPr="00150024">
              <w:rPr>
                <w:i/>
                <w:iCs/>
                <w:szCs w:val="20"/>
              </w:rPr>
              <w:t>Inheritance:</w:t>
            </w:r>
            <w:r>
              <w:rPr>
                <w:szCs w:val="20"/>
              </w:rPr>
              <w:t xml:space="preserve"> </w:t>
            </w:r>
            <w:r w:rsidRPr="00150024">
              <w:rPr>
                <w:szCs w:val="20"/>
              </w:rPr>
              <w:t>Inheritance is defined as property passing at the owner's death to the heir or those entitled to succeed.</w:t>
            </w:r>
          </w:p>
          <w:p w14:paraId="0E8607E1" w14:textId="77777777" w:rsidR="00221C59" w:rsidRDefault="00221C59" w:rsidP="00221C59">
            <w:pPr>
              <w:jc w:val="both"/>
              <w:rPr>
                <w:szCs w:val="20"/>
              </w:rPr>
            </w:pPr>
            <w:r w:rsidRPr="00150024">
              <w:rPr>
                <w:i/>
                <w:iCs/>
                <w:szCs w:val="20"/>
              </w:rPr>
              <w:t>Deceased’s estate:</w:t>
            </w:r>
            <w:r>
              <w:rPr>
                <w:szCs w:val="20"/>
              </w:rPr>
              <w:t xml:space="preserve"> </w:t>
            </w:r>
            <w:r w:rsidRPr="00150024">
              <w:rPr>
                <w:szCs w:val="20"/>
              </w:rPr>
              <w:t>The deceased’s estate encompasses the legal rights, interests and entitlements, to property of any kind</w:t>
            </w:r>
            <w:r>
              <w:rPr>
                <w:szCs w:val="20"/>
              </w:rPr>
              <w:t xml:space="preserve"> </w:t>
            </w:r>
            <w:r w:rsidRPr="00150024">
              <w:rPr>
                <w:szCs w:val="20"/>
              </w:rPr>
              <w:t>(not only land) which the deceased spouse or partner enjoyed at the time of death, less any liabilities.</w:t>
            </w:r>
            <w:r>
              <w:rPr>
                <w:szCs w:val="20"/>
              </w:rPr>
              <w:t xml:space="preserve"> </w:t>
            </w:r>
            <w:r w:rsidRPr="00150024">
              <w:rPr>
                <w:szCs w:val="20"/>
              </w:rPr>
              <w:t>Depending on the legal system, marital property may be excluded fully from the calculation of deceased’s</w:t>
            </w:r>
            <w:r>
              <w:rPr>
                <w:szCs w:val="20"/>
              </w:rPr>
              <w:t xml:space="preserve"> </w:t>
            </w:r>
            <w:r w:rsidRPr="00150024">
              <w:rPr>
                <w:szCs w:val="20"/>
              </w:rPr>
              <w:t>estate, or, the deceased’s 50% share in the marital property will be included.</w:t>
            </w:r>
          </w:p>
          <w:p w14:paraId="46E8F4B7" w14:textId="77777777" w:rsidR="00221C59" w:rsidRPr="00150024" w:rsidRDefault="00221C59" w:rsidP="00221C59">
            <w:pPr>
              <w:jc w:val="both"/>
              <w:rPr>
                <w:szCs w:val="20"/>
              </w:rPr>
            </w:pPr>
          </w:p>
          <w:p w14:paraId="7200F03C" w14:textId="77777777" w:rsidR="00221C59" w:rsidRDefault="00221C59" w:rsidP="00221C59">
            <w:pPr>
              <w:jc w:val="both"/>
              <w:rPr>
                <w:szCs w:val="20"/>
              </w:rPr>
            </w:pPr>
            <w:r w:rsidRPr="00150024">
              <w:rPr>
                <w:i/>
                <w:iCs/>
                <w:szCs w:val="20"/>
              </w:rPr>
              <w:t>Equal inheritance rights for sons and daughters:</w:t>
            </w:r>
            <w:r>
              <w:rPr>
                <w:szCs w:val="20"/>
              </w:rPr>
              <w:t xml:space="preserve"> </w:t>
            </w:r>
            <w:r w:rsidRPr="00150024">
              <w:rPr>
                <w:szCs w:val="20"/>
              </w:rPr>
              <w:t xml:space="preserve">Equal inheritance rights for sons and </w:t>
            </w:r>
            <w:r w:rsidRPr="00150024">
              <w:rPr>
                <w:szCs w:val="20"/>
              </w:rPr>
              <w:lastRenderedPageBreak/>
              <w:t>daughters refer to the situation when the lines of succession in the</w:t>
            </w:r>
            <w:r>
              <w:rPr>
                <w:szCs w:val="20"/>
              </w:rPr>
              <w:t xml:space="preserve"> </w:t>
            </w:r>
            <w:r w:rsidRPr="00150024">
              <w:rPr>
                <w:szCs w:val="20"/>
              </w:rPr>
              <w:t>legal and policy framework governing inheritance states equality of rank and shares between brothers</w:t>
            </w:r>
            <w:r>
              <w:rPr>
                <w:szCs w:val="20"/>
              </w:rPr>
              <w:t xml:space="preserve"> </w:t>
            </w:r>
            <w:r w:rsidRPr="00150024">
              <w:rPr>
                <w:szCs w:val="20"/>
              </w:rPr>
              <w:t>and sisters or between daughters and sons, or are gender neutral.</w:t>
            </w:r>
          </w:p>
          <w:p w14:paraId="290D333F" w14:textId="77777777" w:rsidR="00221C59" w:rsidRDefault="00221C59" w:rsidP="00221C59">
            <w:pPr>
              <w:jc w:val="both"/>
              <w:rPr>
                <w:i/>
                <w:iCs/>
                <w:szCs w:val="20"/>
              </w:rPr>
            </w:pPr>
          </w:p>
          <w:p w14:paraId="7A73BEB1" w14:textId="77777777" w:rsidR="00221C59" w:rsidRPr="00150024" w:rsidRDefault="00221C59" w:rsidP="00221C59">
            <w:pPr>
              <w:jc w:val="both"/>
              <w:rPr>
                <w:b/>
                <w:bCs/>
                <w:szCs w:val="20"/>
              </w:rPr>
            </w:pPr>
            <w:r w:rsidRPr="00150024">
              <w:rPr>
                <w:b/>
                <w:bCs/>
                <w:szCs w:val="20"/>
              </w:rPr>
              <w:t>Concepts:</w:t>
            </w:r>
          </w:p>
          <w:p w14:paraId="45677F17" w14:textId="77777777" w:rsidR="00221C59" w:rsidRDefault="00221C59" w:rsidP="00221C59">
            <w:pPr>
              <w:jc w:val="both"/>
              <w:rPr>
                <w:szCs w:val="20"/>
              </w:rPr>
            </w:pPr>
            <w:r w:rsidRPr="00150024">
              <w:rPr>
                <w:szCs w:val="20"/>
              </w:rPr>
              <w:t>The indicator tracks progress on legal reforms that guarantee women’s land rights (including customary)</w:t>
            </w:r>
            <w:r>
              <w:rPr>
                <w:szCs w:val="20"/>
              </w:rPr>
              <w:t xml:space="preserve"> </w:t>
            </w:r>
            <w:r w:rsidRPr="00150024">
              <w:rPr>
                <w:szCs w:val="20"/>
              </w:rPr>
              <w:t>in terms of ownership and/or control.</w:t>
            </w:r>
            <w:r>
              <w:rPr>
                <w:szCs w:val="20"/>
              </w:rPr>
              <w:t xml:space="preserve"> </w:t>
            </w:r>
          </w:p>
          <w:p w14:paraId="2E8379B0" w14:textId="77777777" w:rsidR="00221C59" w:rsidRDefault="00221C59" w:rsidP="00221C59">
            <w:pPr>
              <w:jc w:val="both"/>
              <w:rPr>
                <w:szCs w:val="20"/>
              </w:rPr>
            </w:pPr>
          </w:p>
          <w:p w14:paraId="04E010BC" w14:textId="77777777" w:rsidR="00221C59" w:rsidRDefault="00221C59" w:rsidP="00221C59">
            <w:pPr>
              <w:jc w:val="both"/>
              <w:rPr>
                <w:szCs w:val="20"/>
              </w:rPr>
            </w:pPr>
            <w:r w:rsidRPr="00150024">
              <w:rPr>
                <w:szCs w:val="20"/>
              </w:rPr>
              <w:t>The indicator refers to customary law. The inclusion of the customary dimension in the indicator is very</w:t>
            </w:r>
            <w:r>
              <w:rPr>
                <w:szCs w:val="20"/>
              </w:rPr>
              <w:t xml:space="preserve"> </w:t>
            </w:r>
            <w:r w:rsidRPr="00150024">
              <w:rPr>
                <w:szCs w:val="20"/>
              </w:rPr>
              <w:t>important because in many contexts in which these systems prevail, women’s land rights tend to be</w:t>
            </w:r>
            <w:r>
              <w:rPr>
                <w:szCs w:val="20"/>
              </w:rPr>
              <w:t xml:space="preserve"> </w:t>
            </w:r>
            <w:r w:rsidRPr="00150024">
              <w:rPr>
                <w:szCs w:val="20"/>
              </w:rPr>
              <w:t>denied or insecure. However, the enormous diversity of customs and social norms that govern customary</w:t>
            </w:r>
            <w:r>
              <w:rPr>
                <w:szCs w:val="20"/>
              </w:rPr>
              <w:t xml:space="preserve"> </w:t>
            </w:r>
            <w:r w:rsidRPr="00150024">
              <w:rPr>
                <w:szCs w:val="20"/>
              </w:rPr>
              <w:t>land among countries and their unwritten nature, create a significant challenge for assessing whether the</w:t>
            </w:r>
            <w:r>
              <w:rPr>
                <w:szCs w:val="20"/>
              </w:rPr>
              <w:t xml:space="preserve"> </w:t>
            </w:r>
            <w:r w:rsidRPr="00150024">
              <w:rPr>
                <w:szCs w:val="20"/>
              </w:rPr>
              <w:t>proxies are present in these systems. To solve this issue, it is proposed that the customary dimension will</w:t>
            </w:r>
            <w:r>
              <w:rPr>
                <w:szCs w:val="20"/>
              </w:rPr>
              <w:t xml:space="preserve"> </w:t>
            </w:r>
            <w:r w:rsidRPr="00150024">
              <w:rPr>
                <w:szCs w:val="20"/>
              </w:rPr>
              <w:t>be considered only when the formal legal framework recognizes customary land tenure.</w:t>
            </w:r>
            <w:r>
              <w:rPr>
                <w:szCs w:val="20"/>
              </w:rPr>
              <w:t xml:space="preserve"> </w:t>
            </w:r>
          </w:p>
          <w:p w14:paraId="22EEADD4" w14:textId="77777777" w:rsidR="00221C59" w:rsidRDefault="00221C59" w:rsidP="00221C59">
            <w:pPr>
              <w:jc w:val="both"/>
              <w:rPr>
                <w:szCs w:val="20"/>
              </w:rPr>
            </w:pPr>
          </w:p>
          <w:p w14:paraId="398F53F7" w14:textId="77777777" w:rsidR="00221C59" w:rsidRDefault="00221C59" w:rsidP="00221C59">
            <w:pPr>
              <w:jc w:val="both"/>
              <w:rPr>
                <w:szCs w:val="20"/>
              </w:rPr>
            </w:pPr>
            <w:r w:rsidRPr="00150024">
              <w:rPr>
                <w:szCs w:val="20"/>
              </w:rPr>
              <w:t>Finally, the indicator refers to ownership and/or control of land which are two critical but different</w:t>
            </w:r>
            <w:r>
              <w:rPr>
                <w:szCs w:val="20"/>
              </w:rPr>
              <w:t xml:space="preserve"> </w:t>
            </w:r>
            <w:r w:rsidRPr="00150024">
              <w:rPr>
                <w:szCs w:val="20"/>
              </w:rPr>
              <w:t>dimensions regarding women’s land rights. Land ownership refers to the legally recognised right to</w:t>
            </w:r>
            <w:r>
              <w:rPr>
                <w:szCs w:val="20"/>
              </w:rPr>
              <w:t xml:space="preserve"> </w:t>
            </w:r>
            <w:r w:rsidRPr="00150024">
              <w:rPr>
                <w:szCs w:val="20"/>
              </w:rPr>
              <w:t>acquire, to use and to transfer landed property, while the control over land is associated with the ability</w:t>
            </w:r>
            <w:r>
              <w:rPr>
                <w:szCs w:val="20"/>
              </w:rPr>
              <w:t xml:space="preserve"> </w:t>
            </w:r>
            <w:r w:rsidRPr="00150024">
              <w:rPr>
                <w:szCs w:val="20"/>
              </w:rPr>
              <w:t>to make decisions over land.</w:t>
            </w:r>
          </w:p>
          <w:p w14:paraId="4A94FC2D" w14:textId="77777777" w:rsidR="00221C59" w:rsidRDefault="00221C59" w:rsidP="00221C59">
            <w:pPr>
              <w:jc w:val="both"/>
              <w:rPr>
                <w:i/>
                <w:iCs/>
                <w:szCs w:val="20"/>
              </w:rPr>
            </w:pPr>
          </w:p>
          <w:p w14:paraId="509B3532" w14:textId="77777777" w:rsidR="00221C59" w:rsidRPr="00150024" w:rsidRDefault="00221C59" w:rsidP="00221C59">
            <w:pPr>
              <w:jc w:val="both"/>
              <w:rPr>
                <w:b/>
                <w:bCs/>
                <w:szCs w:val="20"/>
              </w:rPr>
            </w:pPr>
            <w:r w:rsidRPr="00150024">
              <w:rPr>
                <w:b/>
                <w:bCs/>
                <w:szCs w:val="20"/>
              </w:rPr>
              <w:t>Computation Method:</w:t>
            </w:r>
          </w:p>
          <w:p w14:paraId="6D5499C0" w14:textId="77777777" w:rsidR="00221C59" w:rsidRDefault="00221C59" w:rsidP="00221C59">
            <w:pPr>
              <w:jc w:val="both"/>
              <w:rPr>
                <w:szCs w:val="20"/>
              </w:rPr>
            </w:pPr>
            <w:r w:rsidRPr="00150024">
              <w:rPr>
                <w:szCs w:val="20"/>
              </w:rPr>
              <w:t>The qualitative and legal nature of this indicator required the development of nuanced and articulated</w:t>
            </w:r>
            <w:r>
              <w:rPr>
                <w:szCs w:val="20"/>
              </w:rPr>
              <w:t xml:space="preserve"> </w:t>
            </w:r>
            <w:r w:rsidRPr="00150024">
              <w:rPr>
                <w:szCs w:val="20"/>
              </w:rPr>
              <w:t>methodology that could be feasible, universally relevant and meaningful.</w:t>
            </w:r>
            <w:r>
              <w:rPr>
                <w:szCs w:val="20"/>
              </w:rPr>
              <w:t xml:space="preserve"> </w:t>
            </w:r>
          </w:p>
          <w:p w14:paraId="619B4BBD" w14:textId="77777777" w:rsidR="00221C59" w:rsidRDefault="00221C59" w:rsidP="00221C59">
            <w:pPr>
              <w:jc w:val="both"/>
              <w:rPr>
                <w:szCs w:val="20"/>
              </w:rPr>
            </w:pPr>
          </w:p>
          <w:p w14:paraId="1DB58E91" w14:textId="77777777" w:rsidR="00221C59" w:rsidRDefault="00221C59" w:rsidP="00221C59">
            <w:pPr>
              <w:jc w:val="both"/>
              <w:rPr>
                <w:szCs w:val="20"/>
              </w:rPr>
            </w:pPr>
            <w:r w:rsidRPr="00150024">
              <w:rPr>
                <w:szCs w:val="20"/>
              </w:rPr>
              <w:t>The computation of results under Indicator 5.a.2 involves three different steps: (1) assignments of a</w:t>
            </w:r>
            <w:r>
              <w:rPr>
                <w:szCs w:val="20"/>
              </w:rPr>
              <w:t xml:space="preserve"> </w:t>
            </w:r>
            <w:r w:rsidRPr="00150024">
              <w:rPr>
                <w:szCs w:val="20"/>
              </w:rPr>
              <w:t>“stage of incorporation” for each proxy, (2) classification of country according the number of proxies</w:t>
            </w:r>
            <w:r>
              <w:rPr>
                <w:szCs w:val="20"/>
              </w:rPr>
              <w:t xml:space="preserve"> </w:t>
            </w:r>
            <w:r w:rsidRPr="00150024">
              <w:rPr>
                <w:szCs w:val="20"/>
              </w:rPr>
              <w:t>located in primary or primary and secondary legislation and (3) consolidation of all country results for</w:t>
            </w:r>
            <w:r>
              <w:rPr>
                <w:szCs w:val="20"/>
              </w:rPr>
              <w:t xml:space="preserve"> </w:t>
            </w:r>
            <w:r w:rsidRPr="00150024">
              <w:rPr>
                <w:szCs w:val="20"/>
              </w:rPr>
              <w:t>global reporting.</w:t>
            </w:r>
          </w:p>
          <w:p w14:paraId="592B22A5" w14:textId="77777777" w:rsidR="00221C59" w:rsidRDefault="00221C59" w:rsidP="00221C59">
            <w:pPr>
              <w:jc w:val="both"/>
              <w:rPr>
                <w:szCs w:val="20"/>
              </w:rPr>
            </w:pPr>
          </w:p>
          <w:p w14:paraId="66DD0934" w14:textId="77777777" w:rsidR="00221C59" w:rsidRPr="00150024" w:rsidRDefault="00221C59" w:rsidP="00221C59">
            <w:pPr>
              <w:jc w:val="both"/>
              <w:rPr>
                <w:i/>
                <w:iCs/>
                <w:szCs w:val="20"/>
              </w:rPr>
            </w:pPr>
            <w:r w:rsidRPr="00150024">
              <w:rPr>
                <w:i/>
                <w:iCs/>
                <w:szCs w:val="20"/>
              </w:rPr>
              <w:t>Step 1: Assignment of stage of incorporation for each proxy Countries collect the information for each of the six proxies and then is computed by stage of incorporation in the policy and legal framework, using a scale from 0 to 3.</w:t>
            </w:r>
          </w:p>
          <w:p w14:paraId="48B6F3FF" w14:textId="77777777" w:rsidR="00221C59" w:rsidRPr="00150024" w:rsidRDefault="00221C59" w:rsidP="00221C59">
            <w:pPr>
              <w:jc w:val="both"/>
              <w:rPr>
                <w:szCs w:val="20"/>
              </w:rPr>
            </w:pPr>
            <w:r w:rsidRPr="00150024">
              <w:rPr>
                <w:szCs w:val="20"/>
              </w:rPr>
              <w:t>Each number refers to the stage of incorporation of the proxy into the policy and legal framework,</w:t>
            </w:r>
            <w:r>
              <w:rPr>
                <w:szCs w:val="20"/>
              </w:rPr>
              <w:t xml:space="preserve"> </w:t>
            </w:r>
            <w:r w:rsidRPr="00150024">
              <w:rPr>
                <w:szCs w:val="20"/>
              </w:rPr>
              <w:t>as laid out hereunder.</w:t>
            </w:r>
          </w:p>
          <w:p w14:paraId="2DBB4AE4" w14:textId="77777777" w:rsidR="00221C59" w:rsidRPr="00150024" w:rsidRDefault="00221C59" w:rsidP="00221C59">
            <w:pPr>
              <w:tabs>
                <w:tab w:val="left" w:pos="591"/>
              </w:tabs>
              <w:jc w:val="both"/>
              <w:rPr>
                <w:szCs w:val="20"/>
              </w:rPr>
            </w:pPr>
            <w:r w:rsidRPr="00150024">
              <w:rPr>
                <w:szCs w:val="20"/>
              </w:rPr>
              <w:t>Stage 0</w:t>
            </w:r>
            <w:r>
              <w:rPr>
                <w:szCs w:val="20"/>
              </w:rPr>
              <w:tab/>
            </w:r>
            <w:r w:rsidRPr="00150024">
              <w:rPr>
                <w:szCs w:val="20"/>
              </w:rPr>
              <w:t>: Proxy is absent / could not be located in the legal and policy framework.</w:t>
            </w:r>
          </w:p>
          <w:p w14:paraId="0534CAB9" w14:textId="77777777" w:rsidR="00221C59" w:rsidRPr="00150024" w:rsidRDefault="00221C59" w:rsidP="00221C59">
            <w:pPr>
              <w:tabs>
                <w:tab w:val="left" w:pos="591"/>
              </w:tabs>
              <w:jc w:val="both"/>
              <w:rPr>
                <w:szCs w:val="20"/>
              </w:rPr>
            </w:pPr>
            <w:r w:rsidRPr="00150024">
              <w:rPr>
                <w:szCs w:val="20"/>
              </w:rPr>
              <w:lastRenderedPageBreak/>
              <w:t>Stage 1</w:t>
            </w:r>
            <w:r>
              <w:rPr>
                <w:szCs w:val="20"/>
              </w:rPr>
              <w:tab/>
            </w:r>
            <w:r w:rsidRPr="00150024">
              <w:rPr>
                <w:szCs w:val="20"/>
              </w:rPr>
              <w:t>: A policy is in place, incorporating the proxy.</w:t>
            </w:r>
          </w:p>
          <w:p w14:paraId="5551D008" w14:textId="77777777" w:rsidR="00221C59" w:rsidRPr="00150024" w:rsidRDefault="00221C59" w:rsidP="00221C59">
            <w:pPr>
              <w:tabs>
                <w:tab w:val="left" w:pos="591"/>
              </w:tabs>
              <w:jc w:val="both"/>
              <w:rPr>
                <w:szCs w:val="20"/>
              </w:rPr>
            </w:pPr>
            <w:r w:rsidRPr="00150024">
              <w:rPr>
                <w:szCs w:val="20"/>
              </w:rPr>
              <w:t>Stage 2</w:t>
            </w:r>
            <w:r>
              <w:rPr>
                <w:szCs w:val="20"/>
              </w:rPr>
              <w:tab/>
            </w:r>
            <w:r w:rsidRPr="00150024">
              <w:rPr>
                <w:szCs w:val="20"/>
              </w:rPr>
              <w:t>: Primary legislation includes the proxy</w:t>
            </w:r>
          </w:p>
          <w:p w14:paraId="3EA69EEB" w14:textId="77777777" w:rsidR="00221C59" w:rsidRDefault="00221C59" w:rsidP="00221C59">
            <w:pPr>
              <w:tabs>
                <w:tab w:val="left" w:pos="591"/>
              </w:tabs>
              <w:jc w:val="both"/>
              <w:rPr>
                <w:szCs w:val="20"/>
              </w:rPr>
            </w:pPr>
            <w:r w:rsidRPr="00150024">
              <w:rPr>
                <w:szCs w:val="20"/>
              </w:rPr>
              <w:t>Stage 3</w:t>
            </w:r>
            <w:r>
              <w:rPr>
                <w:szCs w:val="20"/>
              </w:rPr>
              <w:tab/>
            </w:r>
            <w:r w:rsidRPr="00150024">
              <w:rPr>
                <w:szCs w:val="20"/>
              </w:rPr>
              <w:t>: Secondary legislation contains the proxy</w:t>
            </w:r>
          </w:p>
          <w:p w14:paraId="192B7950" w14:textId="77777777" w:rsidR="00221C59" w:rsidRDefault="00221C59" w:rsidP="00221C59">
            <w:pPr>
              <w:jc w:val="both"/>
              <w:rPr>
                <w:szCs w:val="20"/>
              </w:rPr>
            </w:pPr>
            <w:r w:rsidRPr="00150024">
              <w:rPr>
                <w:szCs w:val="20"/>
              </w:rPr>
              <w:t>Non-Applicable (NA): The proxy does not apply to the country</w:t>
            </w:r>
          </w:p>
          <w:p w14:paraId="33D9A0AB" w14:textId="77777777" w:rsidR="00221C59" w:rsidRDefault="00221C59" w:rsidP="00221C59">
            <w:pPr>
              <w:jc w:val="both"/>
              <w:rPr>
                <w:szCs w:val="20"/>
              </w:rPr>
            </w:pPr>
          </w:p>
          <w:p w14:paraId="3EF59936" w14:textId="77777777" w:rsidR="00221C59" w:rsidRPr="00150024" w:rsidRDefault="00221C59" w:rsidP="00221C59">
            <w:pPr>
              <w:jc w:val="both"/>
              <w:rPr>
                <w:i/>
                <w:iCs/>
                <w:szCs w:val="20"/>
              </w:rPr>
            </w:pPr>
            <w:r w:rsidRPr="00150024">
              <w:rPr>
                <w:i/>
                <w:iCs/>
                <w:szCs w:val="20"/>
              </w:rPr>
              <w:t>Step 2: Classification categories of country</w:t>
            </w:r>
          </w:p>
          <w:p w14:paraId="6F038554" w14:textId="77777777" w:rsidR="00221C59" w:rsidRPr="00150024" w:rsidRDefault="00221C59" w:rsidP="00221C59">
            <w:pPr>
              <w:jc w:val="both"/>
              <w:rPr>
                <w:szCs w:val="20"/>
              </w:rPr>
            </w:pPr>
            <w:r w:rsidRPr="00150024">
              <w:rPr>
                <w:szCs w:val="20"/>
              </w:rPr>
              <w:t>The country will then be classified according to the total number of proxies found in primary legislation or</w:t>
            </w:r>
            <w:r>
              <w:rPr>
                <w:szCs w:val="20"/>
              </w:rPr>
              <w:t xml:space="preserve"> </w:t>
            </w:r>
            <w:r w:rsidRPr="00150024">
              <w:rPr>
                <w:szCs w:val="20"/>
              </w:rPr>
              <w:t>primary and secondary legislation. Given that not in all countries customary land tenure rules exist or</w:t>
            </w:r>
            <w:r>
              <w:rPr>
                <w:szCs w:val="20"/>
              </w:rPr>
              <w:t xml:space="preserve"> </w:t>
            </w:r>
            <w:r w:rsidRPr="00150024">
              <w:rPr>
                <w:szCs w:val="20"/>
              </w:rPr>
              <w:t>customary law is recognised (related to proxy E), for the purpose of computation a two-scale (or dual)</w:t>
            </w:r>
            <w:r>
              <w:rPr>
                <w:szCs w:val="20"/>
              </w:rPr>
              <w:t xml:space="preserve"> </w:t>
            </w:r>
            <w:r w:rsidRPr="00150024">
              <w:rPr>
                <w:szCs w:val="20"/>
              </w:rPr>
              <w:t>approach has been developed:</w:t>
            </w:r>
          </w:p>
          <w:p w14:paraId="751EEA1D" w14:textId="77777777" w:rsidR="00221C59" w:rsidRPr="00150024" w:rsidRDefault="00221C59" w:rsidP="00221C59">
            <w:pPr>
              <w:jc w:val="both"/>
              <w:rPr>
                <w:szCs w:val="20"/>
              </w:rPr>
            </w:pPr>
            <w:r w:rsidRPr="00150024">
              <w:rPr>
                <w:szCs w:val="20"/>
              </w:rPr>
              <w:t>For countries where customary land tenure is NOT recognised in the legal framework (either via statute</w:t>
            </w:r>
            <w:r>
              <w:rPr>
                <w:szCs w:val="20"/>
              </w:rPr>
              <w:t xml:space="preserve"> </w:t>
            </w:r>
            <w:r w:rsidRPr="00150024">
              <w:rPr>
                <w:szCs w:val="20"/>
              </w:rPr>
              <w:t>or the constitution), regardless of whether it exists de facto or not, Proxy E is marked non-applicable and</w:t>
            </w:r>
            <w:r>
              <w:rPr>
                <w:szCs w:val="20"/>
              </w:rPr>
              <w:t xml:space="preserve"> </w:t>
            </w:r>
            <w:r w:rsidRPr="00150024">
              <w:rPr>
                <w:szCs w:val="20"/>
              </w:rPr>
              <w:t>the country will be assessed out of the five remaining proxies.</w:t>
            </w:r>
          </w:p>
        </w:tc>
        <w:tc>
          <w:tcPr>
            <w:tcW w:w="967" w:type="dxa"/>
            <w:shd w:val="clear" w:color="auto" w:fill="auto"/>
          </w:tcPr>
          <w:p w14:paraId="3E084B74" w14:textId="77777777" w:rsidR="00221C59" w:rsidRDefault="00221C59" w:rsidP="00221C59">
            <w:pPr>
              <w:jc w:val="center"/>
              <w:rPr>
                <w:bCs/>
                <w:szCs w:val="20"/>
              </w:rPr>
            </w:pPr>
            <w:r>
              <w:rPr>
                <w:bCs/>
                <w:szCs w:val="20"/>
              </w:rPr>
              <w:lastRenderedPageBreak/>
              <w:t>Official Legal and Policy Documents</w:t>
            </w:r>
          </w:p>
        </w:tc>
        <w:tc>
          <w:tcPr>
            <w:tcW w:w="1140" w:type="dxa"/>
            <w:shd w:val="clear" w:color="auto" w:fill="auto"/>
          </w:tcPr>
          <w:p w14:paraId="5F4370CA" w14:textId="77777777" w:rsidR="00221C59" w:rsidRDefault="00221C59" w:rsidP="00221C59">
            <w:pPr>
              <w:jc w:val="center"/>
              <w:rPr>
                <w:bCs/>
                <w:szCs w:val="20"/>
              </w:rPr>
            </w:pPr>
            <w:r>
              <w:rPr>
                <w:bCs/>
                <w:szCs w:val="20"/>
              </w:rPr>
              <w:t>Ministry of Land or Ministry of Women Affairs</w:t>
            </w:r>
          </w:p>
        </w:tc>
        <w:tc>
          <w:tcPr>
            <w:tcW w:w="721" w:type="dxa"/>
            <w:shd w:val="clear" w:color="auto" w:fill="auto"/>
          </w:tcPr>
          <w:p w14:paraId="394AD272" w14:textId="4063BCCB" w:rsidR="00221C59" w:rsidRPr="003B5919" w:rsidRDefault="00221C59" w:rsidP="00221C59">
            <w:pPr>
              <w:jc w:val="center"/>
              <w:rPr>
                <w:bCs/>
                <w:szCs w:val="20"/>
              </w:rPr>
            </w:pPr>
          </w:p>
        </w:tc>
        <w:tc>
          <w:tcPr>
            <w:tcW w:w="1116" w:type="dxa"/>
            <w:shd w:val="clear" w:color="auto" w:fill="auto"/>
          </w:tcPr>
          <w:p w14:paraId="067829D2" w14:textId="77777777" w:rsidR="00221C59" w:rsidRDefault="00221C59" w:rsidP="00221C59">
            <w:pPr>
              <w:pStyle w:val="ListParagraph"/>
              <w:numPr>
                <w:ilvl w:val="0"/>
                <w:numId w:val="43"/>
              </w:numPr>
              <w:ind w:left="80" w:hanging="80"/>
              <w:jc w:val="both"/>
              <w:rPr>
                <w:rFonts w:ascii="Tw Cen MT Condensed" w:hAnsi="Tw Cen MT Condensed"/>
                <w:bCs/>
                <w:sz w:val="20"/>
                <w:szCs w:val="20"/>
              </w:rPr>
            </w:pPr>
            <w:r>
              <w:rPr>
                <w:rFonts w:ascii="Tw Cen MT Condensed" w:hAnsi="Tw Cen MT Condensed"/>
                <w:bCs/>
                <w:sz w:val="20"/>
                <w:szCs w:val="20"/>
              </w:rPr>
              <w:t>LPAD</w:t>
            </w:r>
          </w:p>
        </w:tc>
        <w:tc>
          <w:tcPr>
            <w:tcW w:w="1354" w:type="dxa"/>
            <w:shd w:val="clear" w:color="auto" w:fill="auto"/>
          </w:tcPr>
          <w:p w14:paraId="4AE91EED" w14:textId="77777777" w:rsidR="00221C59" w:rsidRPr="003B5919" w:rsidRDefault="00221C59" w:rsidP="00221C59">
            <w:pPr>
              <w:jc w:val="center"/>
              <w:rPr>
                <w:bCs/>
                <w:i/>
                <w:iCs/>
                <w:szCs w:val="20"/>
              </w:rPr>
            </w:pPr>
            <w:r>
              <w:rPr>
                <w:bCs/>
                <w:i/>
                <w:iCs/>
                <w:szCs w:val="20"/>
              </w:rPr>
              <w:t>Not Applicable</w:t>
            </w:r>
          </w:p>
        </w:tc>
        <w:tc>
          <w:tcPr>
            <w:tcW w:w="801" w:type="dxa"/>
            <w:shd w:val="clear" w:color="auto" w:fill="auto"/>
          </w:tcPr>
          <w:p w14:paraId="6C54486E" w14:textId="77777777" w:rsidR="00221C59" w:rsidRDefault="00221C59" w:rsidP="00221C59">
            <w:pPr>
              <w:jc w:val="center"/>
              <w:rPr>
                <w:bCs/>
                <w:szCs w:val="20"/>
              </w:rPr>
            </w:pPr>
            <w:r>
              <w:rPr>
                <w:bCs/>
                <w:szCs w:val="20"/>
              </w:rPr>
              <w:t>5 Years</w:t>
            </w:r>
          </w:p>
        </w:tc>
        <w:tc>
          <w:tcPr>
            <w:tcW w:w="697" w:type="dxa"/>
            <w:shd w:val="clear" w:color="auto" w:fill="auto"/>
          </w:tcPr>
          <w:p w14:paraId="786B9819" w14:textId="77777777" w:rsidR="00221C59" w:rsidRDefault="00221C59" w:rsidP="00221C59">
            <w:pPr>
              <w:jc w:val="center"/>
              <w:rPr>
                <w:bCs/>
                <w:szCs w:val="20"/>
              </w:rPr>
            </w:pPr>
            <w:r>
              <w:rPr>
                <w:bCs/>
                <w:szCs w:val="20"/>
              </w:rPr>
              <w:t>Group 3</w:t>
            </w:r>
          </w:p>
        </w:tc>
        <w:tc>
          <w:tcPr>
            <w:tcW w:w="762" w:type="dxa"/>
            <w:shd w:val="clear" w:color="auto" w:fill="auto"/>
          </w:tcPr>
          <w:p w14:paraId="52B6E5E6" w14:textId="63D0FA75" w:rsidR="00221C59" w:rsidRDefault="00221C59" w:rsidP="00221C59">
            <w:pPr>
              <w:pStyle w:val="NoSpacing"/>
            </w:pPr>
          </w:p>
          <w:p w14:paraId="4D9E9B45" w14:textId="77777777" w:rsidR="00221C59" w:rsidRDefault="00221C59" w:rsidP="00221C59">
            <w:pPr>
              <w:pStyle w:val="NoSpacing"/>
            </w:pPr>
          </w:p>
          <w:p w14:paraId="58B7836D" w14:textId="77777777" w:rsidR="00221C59" w:rsidRDefault="00221C59" w:rsidP="00221C59">
            <w:pPr>
              <w:pStyle w:val="NoSpacing"/>
            </w:pPr>
          </w:p>
          <w:p w14:paraId="1339D2E1" w14:textId="77777777" w:rsidR="00221C59" w:rsidRDefault="00221C59" w:rsidP="00221C59">
            <w:pPr>
              <w:pStyle w:val="NoSpacing"/>
            </w:pPr>
            <w:r>
              <w:t>1</w:t>
            </w:r>
            <w:r w:rsidRPr="00013ACB">
              <w:rPr>
                <w:vertAlign w:val="superscript"/>
              </w:rPr>
              <w:t>st</w:t>
            </w:r>
            <w:r>
              <w:t xml:space="preserve"> Round: </w:t>
            </w:r>
          </w:p>
          <w:p w14:paraId="2C5BB2E5" w14:textId="6E60B02F" w:rsidR="00221C59" w:rsidRDefault="00A419B8" w:rsidP="00221C59">
            <w:pPr>
              <w:pStyle w:val="NoSpacing"/>
            </w:pPr>
            <w:r>
              <w:t>January</w:t>
            </w:r>
            <w:r>
              <w:br/>
              <w:t>2019</w:t>
            </w:r>
          </w:p>
          <w:p w14:paraId="54EAB4A9" w14:textId="77777777" w:rsidR="00221C59" w:rsidRDefault="00221C59" w:rsidP="00221C59">
            <w:pPr>
              <w:pStyle w:val="NoSpacing"/>
            </w:pPr>
            <w:r>
              <w:t>2</w:t>
            </w:r>
            <w:r w:rsidRPr="00013ACB">
              <w:rPr>
                <w:vertAlign w:val="superscript"/>
              </w:rPr>
              <w:t>nd</w:t>
            </w:r>
            <w:r>
              <w:t xml:space="preserve"> Round: </w:t>
            </w:r>
          </w:p>
          <w:p w14:paraId="4B219D72" w14:textId="65914E11" w:rsidR="00221C59" w:rsidRDefault="00A419B8" w:rsidP="00221C59">
            <w:pPr>
              <w:pStyle w:val="NoSpacing"/>
            </w:pPr>
            <w:r>
              <w:t>January</w:t>
            </w:r>
            <w:r>
              <w:br/>
              <w:t>2024</w:t>
            </w:r>
          </w:p>
          <w:p w14:paraId="63A20763" w14:textId="77777777" w:rsidR="00221C59" w:rsidRDefault="00221C59" w:rsidP="00221C59">
            <w:pPr>
              <w:pStyle w:val="NoSpacing"/>
            </w:pPr>
            <w:r>
              <w:t>3</w:t>
            </w:r>
            <w:r w:rsidRPr="00013ACB">
              <w:rPr>
                <w:vertAlign w:val="superscript"/>
              </w:rPr>
              <w:t>rd</w:t>
            </w:r>
            <w:r>
              <w:t xml:space="preserve"> Round: </w:t>
            </w:r>
          </w:p>
          <w:p w14:paraId="5A024D29" w14:textId="3D7AEE62" w:rsidR="00221C59" w:rsidRDefault="00A419B8" w:rsidP="00221C59">
            <w:pPr>
              <w:pStyle w:val="NoSpacing"/>
            </w:pPr>
            <w:r>
              <w:t>January</w:t>
            </w:r>
            <w:r>
              <w:br/>
              <w:t>2029</w:t>
            </w:r>
          </w:p>
          <w:p w14:paraId="255702D3" w14:textId="77777777" w:rsidR="00221C59" w:rsidRDefault="00221C59" w:rsidP="00221C59">
            <w:pPr>
              <w:pStyle w:val="NoSpacing"/>
            </w:pPr>
            <w:r>
              <w:t>4</w:t>
            </w:r>
            <w:r w:rsidRPr="00013ACB">
              <w:rPr>
                <w:vertAlign w:val="superscript"/>
              </w:rPr>
              <w:t>th</w:t>
            </w:r>
            <w:r>
              <w:t xml:space="preserve"> Round: </w:t>
            </w:r>
          </w:p>
          <w:p w14:paraId="161425D5" w14:textId="57F6F973" w:rsidR="00221C59" w:rsidRDefault="00A419B8" w:rsidP="00221C59">
            <w:pPr>
              <w:pStyle w:val="NoSpacing"/>
            </w:pPr>
            <w:r>
              <w:t>January</w:t>
            </w:r>
            <w:r>
              <w:br/>
              <w:t>2030</w:t>
            </w:r>
          </w:p>
          <w:p w14:paraId="1DFC134E" w14:textId="77777777" w:rsidR="00221C59" w:rsidRDefault="00221C59" w:rsidP="00221C59">
            <w:pPr>
              <w:pStyle w:val="NoSpacing"/>
            </w:pPr>
            <w:r>
              <w:t>5</w:t>
            </w:r>
            <w:r w:rsidRPr="00013ACB">
              <w:rPr>
                <w:vertAlign w:val="superscript"/>
              </w:rPr>
              <w:t>th</w:t>
            </w:r>
            <w:r>
              <w:t xml:space="preserve"> Round: </w:t>
            </w:r>
          </w:p>
          <w:p w14:paraId="6A7D5047" w14:textId="4D4EA19F" w:rsidR="00221C59" w:rsidRPr="005F4037" w:rsidRDefault="00221C59" w:rsidP="00221C59">
            <w:pPr>
              <w:pStyle w:val="NoSpacing"/>
            </w:pPr>
          </w:p>
        </w:tc>
        <w:tc>
          <w:tcPr>
            <w:tcW w:w="1188" w:type="dxa"/>
            <w:shd w:val="clear" w:color="auto" w:fill="auto"/>
          </w:tcPr>
          <w:p w14:paraId="647DB5CB" w14:textId="77777777" w:rsidR="00221C59" w:rsidRPr="00150024" w:rsidRDefault="00221C59" w:rsidP="00221C59">
            <w:pPr>
              <w:pStyle w:val="ListParagraph"/>
              <w:numPr>
                <w:ilvl w:val="0"/>
                <w:numId w:val="43"/>
              </w:numPr>
              <w:ind w:left="161" w:hanging="161"/>
              <w:jc w:val="both"/>
              <w:rPr>
                <w:rFonts w:ascii="Tw Cen MT Condensed" w:hAnsi="Tw Cen MT Condensed"/>
                <w:bCs/>
                <w:sz w:val="20"/>
                <w:szCs w:val="20"/>
              </w:rPr>
            </w:pPr>
            <w:r w:rsidRPr="00150024">
              <w:rPr>
                <w:rFonts w:ascii="Tw Cen MT Condensed" w:hAnsi="Tw Cen MT Condensed"/>
                <w:bCs/>
                <w:sz w:val="20"/>
                <w:szCs w:val="20"/>
              </w:rPr>
              <w:t xml:space="preserve">Article 28 (2) of the Constitution of People’s Republic of Bangladesh states “Women shall have equal rights with men in all spheres of the State and of public life”. </w:t>
            </w:r>
          </w:p>
          <w:p w14:paraId="45B40C34" w14:textId="77777777" w:rsidR="00221C59" w:rsidRPr="00150024" w:rsidRDefault="00221C59" w:rsidP="00221C59">
            <w:pPr>
              <w:pStyle w:val="ListParagraph"/>
              <w:numPr>
                <w:ilvl w:val="0"/>
                <w:numId w:val="43"/>
              </w:numPr>
              <w:ind w:left="161" w:hanging="161"/>
              <w:jc w:val="both"/>
              <w:rPr>
                <w:rFonts w:ascii="Tw Cen MT Condensed" w:hAnsi="Tw Cen MT Condensed"/>
                <w:bCs/>
                <w:sz w:val="20"/>
                <w:szCs w:val="20"/>
              </w:rPr>
            </w:pPr>
            <w:r w:rsidRPr="00150024">
              <w:rPr>
                <w:rFonts w:ascii="Tw Cen MT Condensed" w:hAnsi="Tw Cen MT Condensed"/>
                <w:bCs/>
                <w:sz w:val="20"/>
                <w:szCs w:val="20"/>
              </w:rPr>
              <w:t xml:space="preserve">With respect to economic empowerment of women, one of the goals of National Women Development Policy 2011 is to provide rights of full </w:t>
            </w:r>
            <w:r w:rsidRPr="00150024">
              <w:rPr>
                <w:rFonts w:ascii="Tw Cen MT Condensed" w:hAnsi="Tw Cen MT Condensed"/>
                <w:bCs/>
                <w:sz w:val="20"/>
                <w:szCs w:val="20"/>
              </w:rPr>
              <w:lastRenderedPageBreak/>
              <w:t>control of women in earnings, inheritance, credit, land and resources gained through market management</w:t>
            </w:r>
          </w:p>
        </w:tc>
      </w:tr>
      <w:tr w:rsidR="00221C59" w14:paraId="15D321D6" w14:textId="77777777" w:rsidTr="0085651F">
        <w:tc>
          <w:tcPr>
            <w:tcW w:w="1814" w:type="dxa"/>
            <w:gridSpan w:val="2"/>
            <w:shd w:val="clear" w:color="auto" w:fill="auto"/>
          </w:tcPr>
          <w:p w14:paraId="1F957C73" w14:textId="77777777" w:rsidR="00221C59" w:rsidRDefault="00221C59" w:rsidP="00221C59">
            <w:pPr>
              <w:ind w:left="970" w:hanging="970"/>
              <w:jc w:val="both"/>
              <w:rPr>
                <w:color w:val="FF0000"/>
                <w:sz w:val="30"/>
                <w:szCs w:val="30"/>
              </w:rPr>
            </w:pPr>
          </w:p>
        </w:tc>
        <w:tc>
          <w:tcPr>
            <w:tcW w:w="15348" w:type="dxa"/>
            <w:gridSpan w:val="12"/>
            <w:shd w:val="clear" w:color="auto" w:fill="auto"/>
          </w:tcPr>
          <w:p w14:paraId="44D40BBD" w14:textId="77777777" w:rsidR="00221C59" w:rsidRPr="005B3572" w:rsidRDefault="00221C59" w:rsidP="00221C59">
            <w:pPr>
              <w:ind w:left="970" w:hanging="970"/>
              <w:jc w:val="both"/>
              <w:rPr>
                <w:color w:val="FF0000"/>
                <w:sz w:val="30"/>
                <w:szCs w:val="30"/>
              </w:rPr>
            </w:pPr>
            <w:r>
              <w:rPr>
                <w:color w:val="FF0000"/>
                <w:sz w:val="30"/>
                <w:szCs w:val="30"/>
              </w:rPr>
              <w:t xml:space="preserve">Target </w:t>
            </w:r>
            <w:r w:rsidRPr="005B3572">
              <w:rPr>
                <w:color w:val="FF0000"/>
                <w:sz w:val="30"/>
                <w:szCs w:val="30"/>
              </w:rPr>
              <w:t>5.b</w:t>
            </w:r>
            <w:r>
              <w:rPr>
                <w:color w:val="FF0000"/>
                <w:sz w:val="30"/>
                <w:szCs w:val="30"/>
              </w:rPr>
              <w:t>:</w:t>
            </w:r>
            <w:r w:rsidRPr="005B3572">
              <w:rPr>
                <w:color w:val="FF0000"/>
                <w:sz w:val="30"/>
                <w:szCs w:val="30"/>
              </w:rPr>
              <w:t xml:space="preserve"> Enhance the use of enabling technology, in particular information and communications technology, to promote the empowerment of women</w:t>
            </w:r>
          </w:p>
        </w:tc>
      </w:tr>
      <w:tr w:rsidR="00221C59" w14:paraId="62B96FB3" w14:textId="77777777" w:rsidTr="0085651F">
        <w:tc>
          <w:tcPr>
            <w:tcW w:w="1179" w:type="dxa"/>
            <w:shd w:val="clear" w:color="auto" w:fill="auto"/>
          </w:tcPr>
          <w:p w14:paraId="5FC5CFDA" w14:textId="77777777" w:rsidR="00221C59" w:rsidRPr="003B5919" w:rsidRDefault="00221C59" w:rsidP="00221C59">
            <w:pPr>
              <w:jc w:val="both"/>
              <w:rPr>
                <w:szCs w:val="20"/>
              </w:rPr>
            </w:pPr>
            <w:r w:rsidRPr="00BC067F">
              <w:rPr>
                <w:szCs w:val="20"/>
              </w:rPr>
              <w:t>5.b.1: Proportion of individuals who own a mobile</w:t>
            </w:r>
            <w:r>
              <w:rPr>
                <w:szCs w:val="20"/>
              </w:rPr>
              <w:t xml:space="preserve"> </w:t>
            </w:r>
            <w:r w:rsidRPr="00BC067F">
              <w:rPr>
                <w:szCs w:val="20"/>
              </w:rPr>
              <w:t>telephone, by sex</w:t>
            </w:r>
          </w:p>
        </w:tc>
        <w:tc>
          <w:tcPr>
            <w:tcW w:w="921" w:type="dxa"/>
            <w:gridSpan w:val="2"/>
            <w:shd w:val="clear" w:color="auto" w:fill="auto"/>
          </w:tcPr>
          <w:p w14:paraId="42C3D87A" w14:textId="77777777" w:rsidR="00221C59" w:rsidRPr="003B5919" w:rsidRDefault="00221C59" w:rsidP="00221C59">
            <w:pPr>
              <w:jc w:val="center"/>
              <w:rPr>
                <w:szCs w:val="20"/>
              </w:rPr>
            </w:pPr>
            <w:r>
              <w:rPr>
                <w:szCs w:val="20"/>
              </w:rPr>
              <w:t>ITU</w:t>
            </w:r>
          </w:p>
        </w:tc>
        <w:tc>
          <w:tcPr>
            <w:tcW w:w="985" w:type="dxa"/>
            <w:shd w:val="clear" w:color="auto" w:fill="auto"/>
          </w:tcPr>
          <w:p w14:paraId="6E54AAF1" w14:textId="77777777" w:rsidR="00221C59" w:rsidRDefault="00221C59" w:rsidP="00221C59">
            <w:pPr>
              <w:jc w:val="center"/>
              <w:rPr>
                <w:szCs w:val="20"/>
              </w:rPr>
            </w:pPr>
            <w:r>
              <w:rPr>
                <w:szCs w:val="20"/>
              </w:rPr>
              <w:t>Tier II</w:t>
            </w:r>
          </w:p>
          <w:p w14:paraId="412ECB99" w14:textId="5C9B1D7D" w:rsidR="00221C59" w:rsidRDefault="00221C59" w:rsidP="00221C59">
            <w:pPr>
              <w:jc w:val="center"/>
              <w:rPr>
                <w:szCs w:val="20"/>
              </w:rPr>
            </w:pPr>
          </w:p>
        </w:tc>
        <w:tc>
          <w:tcPr>
            <w:tcW w:w="5331" w:type="dxa"/>
            <w:shd w:val="clear" w:color="auto" w:fill="auto"/>
          </w:tcPr>
          <w:p w14:paraId="3B4583B9" w14:textId="77777777" w:rsidR="00221C59" w:rsidRDefault="00221C59" w:rsidP="00221C59">
            <w:pPr>
              <w:jc w:val="both"/>
              <w:rPr>
                <w:b/>
                <w:bCs/>
                <w:szCs w:val="20"/>
              </w:rPr>
            </w:pPr>
            <w:r w:rsidRPr="00BC067F">
              <w:rPr>
                <w:b/>
                <w:bCs/>
                <w:szCs w:val="20"/>
              </w:rPr>
              <w:t>Definition:</w:t>
            </w:r>
          </w:p>
          <w:p w14:paraId="74DB338F" w14:textId="77777777" w:rsidR="00221C59" w:rsidRDefault="00221C59" w:rsidP="00221C59">
            <w:pPr>
              <w:jc w:val="both"/>
              <w:rPr>
                <w:szCs w:val="20"/>
              </w:rPr>
            </w:pPr>
            <w:r w:rsidRPr="00BC067F">
              <w:rPr>
                <w:szCs w:val="20"/>
              </w:rPr>
              <w:t>The proportion of individuals who own a mobile telephone, by sex is defined as the ‘proportion of individuals who own a mobile telephone, by sex’.</w:t>
            </w:r>
          </w:p>
          <w:p w14:paraId="1855EF9C" w14:textId="77777777" w:rsidR="00221C59" w:rsidRDefault="00221C59" w:rsidP="00221C59">
            <w:pPr>
              <w:jc w:val="both"/>
              <w:rPr>
                <w:b/>
                <w:bCs/>
                <w:szCs w:val="20"/>
              </w:rPr>
            </w:pPr>
          </w:p>
          <w:p w14:paraId="33D5F47C" w14:textId="77777777" w:rsidR="00221C59" w:rsidRDefault="00221C59" w:rsidP="00221C59">
            <w:pPr>
              <w:jc w:val="both"/>
              <w:rPr>
                <w:b/>
                <w:bCs/>
                <w:szCs w:val="20"/>
              </w:rPr>
            </w:pPr>
            <w:r w:rsidRPr="00BC067F">
              <w:rPr>
                <w:b/>
                <w:bCs/>
                <w:szCs w:val="20"/>
              </w:rPr>
              <w:t>Concepts:</w:t>
            </w:r>
          </w:p>
          <w:p w14:paraId="32111775" w14:textId="77777777" w:rsidR="00221C59" w:rsidRDefault="00221C59" w:rsidP="00221C59">
            <w:pPr>
              <w:jc w:val="both"/>
              <w:rPr>
                <w:szCs w:val="20"/>
              </w:rPr>
            </w:pPr>
            <w:r w:rsidRPr="00BC067F">
              <w:rPr>
                <w:szCs w:val="20"/>
              </w:rPr>
              <w:t xml:space="preserve">An individual owns a mobile cellular phone if he/she has a mobile cellular phone device with at least one active SIM card for personal use. Mobile cellular phones supplied by employers that can be used for personal reasons (to make personal calls, access the Internet, etc.) are included. Individuals who have only active SIM card(s) and not a mobile phone device are excluded. Individuals who have a mobile phone for personal use that is not registered under his/her name are also included. An active SIM card is a SIM card that has been used in the last three months. </w:t>
            </w:r>
          </w:p>
          <w:p w14:paraId="54BDB83F" w14:textId="77777777" w:rsidR="00221C59" w:rsidRDefault="00221C59" w:rsidP="00221C59">
            <w:pPr>
              <w:jc w:val="both"/>
              <w:rPr>
                <w:szCs w:val="20"/>
              </w:rPr>
            </w:pPr>
          </w:p>
          <w:p w14:paraId="0D523370" w14:textId="77777777" w:rsidR="00221C59" w:rsidRDefault="00221C59" w:rsidP="00221C59">
            <w:pPr>
              <w:jc w:val="both"/>
              <w:rPr>
                <w:szCs w:val="20"/>
              </w:rPr>
            </w:pPr>
            <w:r w:rsidRPr="00BC067F">
              <w:rPr>
                <w:szCs w:val="20"/>
              </w:rPr>
              <w:t>A mobile (cellular) telephone refers to a portable telephone subscribing to a public mobile telephone service using cellular technology, which provides access to the PSTN. This includes analogue and digital</w:t>
            </w:r>
            <w:r>
              <w:rPr>
                <w:szCs w:val="20"/>
              </w:rPr>
              <w:t xml:space="preserve"> </w:t>
            </w:r>
            <w:r w:rsidRPr="00BC067F">
              <w:rPr>
                <w:szCs w:val="20"/>
              </w:rPr>
              <w:t>cellular systems and technologies such as IMT-2000 (3G) and IMT-Advanced. Users of both post-paid</w:t>
            </w:r>
            <w:r>
              <w:rPr>
                <w:szCs w:val="20"/>
              </w:rPr>
              <w:t xml:space="preserve"> </w:t>
            </w:r>
            <w:r w:rsidRPr="00BC067F">
              <w:rPr>
                <w:szCs w:val="20"/>
              </w:rPr>
              <w:t>subscriptions and prepaid accounts are included.</w:t>
            </w:r>
          </w:p>
          <w:p w14:paraId="258C0E68" w14:textId="77777777" w:rsidR="00221C59" w:rsidRDefault="00221C59" w:rsidP="00221C59">
            <w:pPr>
              <w:jc w:val="both"/>
              <w:rPr>
                <w:b/>
                <w:bCs/>
                <w:szCs w:val="20"/>
              </w:rPr>
            </w:pPr>
          </w:p>
          <w:p w14:paraId="09116089" w14:textId="77777777" w:rsidR="00221C59" w:rsidRPr="00BC067F" w:rsidRDefault="00221C59" w:rsidP="00221C59">
            <w:pPr>
              <w:jc w:val="both"/>
              <w:rPr>
                <w:b/>
                <w:bCs/>
                <w:szCs w:val="20"/>
              </w:rPr>
            </w:pPr>
            <w:r w:rsidRPr="00BC067F">
              <w:rPr>
                <w:b/>
                <w:bCs/>
                <w:szCs w:val="20"/>
              </w:rPr>
              <w:t>Computation Method:</w:t>
            </w:r>
          </w:p>
          <w:p w14:paraId="7AB11672" w14:textId="77777777" w:rsidR="00221C59" w:rsidRPr="00BC067F" w:rsidRDefault="00221C59" w:rsidP="00221C59">
            <w:pPr>
              <w:jc w:val="both"/>
              <w:rPr>
                <w:szCs w:val="20"/>
              </w:rPr>
            </w:pPr>
            <w:r w:rsidRPr="00BC067F">
              <w:rPr>
                <w:szCs w:val="20"/>
              </w:rPr>
              <w:t>Countries can collect data on this indicator through national household surveys. This indicator is</w:t>
            </w:r>
            <w:r>
              <w:rPr>
                <w:szCs w:val="20"/>
              </w:rPr>
              <w:t xml:space="preserve"> </w:t>
            </w:r>
            <w:r w:rsidRPr="00BC067F">
              <w:rPr>
                <w:szCs w:val="20"/>
              </w:rPr>
              <w:t xml:space="preserve">calculated by dividing the total number of in-scope individuals who own a </w:t>
            </w:r>
            <w:r w:rsidRPr="00BC067F">
              <w:rPr>
                <w:szCs w:val="20"/>
              </w:rPr>
              <w:lastRenderedPageBreak/>
              <w:t>mobile phone by the total</w:t>
            </w:r>
            <w:r>
              <w:rPr>
                <w:szCs w:val="20"/>
              </w:rPr>
              <w:t xml:space="preserve"> </w:t>
            </w:r>
            <w:r w:rsidRPr="00BC067F">
              <w:rPr>
                <w:szCs w:val="20"/>
              </w:rPr>
              <w:t>number of in-scope individuals.</w:t>
            </w:r>
          </w:p>
        </w:tc>
        <w:tc>
          <w:tcPr>
            <w:tcW w:w="967" w:type="dxa"/>
            <w:shd w:val="clear" w:color="auto" w:fill="auto"/>
          </w:tcPr>
          <w:p w14:paraId="76B719D5" w14:textId="77777777" w:rsidR="00221C59" w:rsidRDefault="00221C59" w:rsidP="00221C59">
            <w:pPr>
              <w:jc w:val="center"/>
              <w:rPr>
                <w:bCs/>
                <w:szCs w:val="20"/>
              </w:rPr>
            </w:pPr>
            <w:r>
              <w:rPr>
                <w:bCs/>
                <w:szCs w:val="20"/>
              </w:rPr>
              <w:lastRenderedPageBreak/>
              <w:t>Household Survey</w:t>
            </w:r>
          </w:p>
        </w:tc>
        <w:tc>
          <w:tcPr>
            <w:tcW w:w="1140" w:type="dxa"/>
            <w:shd w:val="clear" w:color="auto" w:fill="auto"/>
          </w:tcPr>
          <w:p w14:paraId="6966FB7C" w14:textId="77777777" w:rsidR="00221C59" w:rsidRDefault="00221C59" w:rsidP="00221C59">
            <w:pPr>
              <w:jc w:val="center"/>
              <w:rPr>
                <w:bCs/>
                <w:szCs w:val="20"/>
              </w:rPr>
            </w:pPr>
            <w:r>
              <w:rPr>
                <w:bCs/>
                <w:szCs w:val="20"/>
              </w:rPr>
              <w:t>National Statistics Office</w:t>
            </w:r>
          </w:p>
        </w:tc>
        <w:tc>
          <w:tcPr>
            <w:tcW w:w="721" w:type="dxa"/>
            <w:shd w:val="clear" w:color="auto" w:fill="auto"/>
          </w:tcPr>
          <w:p w14:paraId="1BE1FCAE" w14:textId="085848D4" w:rsidR="00221C59" w:rsidRDefault="00221C59" w:rsidP="00221C59">
            <w:pPr>
              <w:rPr>
                <w:bCs/>
                <w:szCs w:val="20"/>
              </w:rPr>
            </w:pPr>
          </w:p>
          <w:p w14:paraId="47A75F33" w14:textId="77777777" w:rsidR="00221C59" w:rsidRDefault="00221C59" w:rsidP="00221C59">
            <w:pPr>
              <w:rPr>
                <w:bCs/>
                <w:szCs w:val="20"/>
              </w:rPr>
            </w:pPr>
            <w:r w:rsidRPr="00C14D79">
              <w:t>BTRC</w:t>
            </w:r>
          </w:p>
        </w:tc>
        <w:tc>
          <w:tcPr>
            <w:tcW w:w="1116" w:type="dxa"/>
            <w:shd w:val="clear" w:color="auto" w:fill="auto"/>
          </w:tcPr>
          <w:p w14:paraId="1E528C3C" w14:textId="6DA3880B" w:rsidR="00221C59" w:rsidRDefault="00221C59" w:rsidP="00221C59">
            <w:pPr>
              <w:jc w:val="both"/>
              <w:rPr>
                <w:bCs/>
                <w:szCs w:val="20"/>
              </w:rPr>
            </w:pPr>
          </w:p>
          <w:p w14:paraId="5FDA8C4C" w14:textId="77777777" w:rsidR="00221C59" w:rsidRPr="00BC067F" w:rsidRDefault="00221C59" w:rsidP="00221C59">
            <w:pPr>
              <w:jc w:val="both"/>
              <w:rPr>
                <w:bCs/>
                <w:szCs w:val="20"/>
              </w:rPr>
            </w:pPr>
            <w:r w:rsidRPr="001C527D">
              <w:rPr>
                <w:rFonts w:eastAsia="Times New Roman" w:cs="Times New Roman"/>
                <w:color w:val="000000" w:themeColor="text1"/>
                <w:szCs w:val="20"/>
              </w:rPr>
              <w:t>LAS/QLFS/ Access and Use of ICT Survey/PHC/ HIES/CPHS</w:t>
            </w:r>
            <w:r>
              <w:rPr>
                <w:rFonts w:eastAsia="Times New Roman" w:cs="Times New Roman"/>
                <w:color w:val="000000" w:themeColor="text1"/>
                <w:szCs w:val="20"/>
              </w:rPr>
              <w:t>, BBS</w:t>
            </w:r>
          </w:p>
        </w:tc>
        <w:tc>
          <w:tcPr>
            <w:tcW w:w="1354" w:type="dxa"/>
            <w:shd w:val="clear" w:color="auto" w:fill="auto"/>
          </w:tcPr>
          <w:p w14:paraId="5E4529C8" w14:textId="689F8E66" w:rsidR="00221C59" w:rsidRPr="00BC067F" w:rsidRDefault="00221C59" w:rsidP="00221C59">
            <w:pPr>
              <w:pStyle w:val="ListParagraph"/>
              <w:numPr>
                <w:ilvl w:val="0"/>
                <w:numId w:val="43"/>
              </w:numPr>
              <w:ind w:left="84" w:hanging="84"/>
              <w:rPr>
                <w:rFonts w:ascii="Tw Cen MT Condensed" w:hAnsi="Tw Cen MT Condensed"/>
                <w:bCs/>
                <w:sz w:val="20"/>
                <w:szCs w:val="20"/>
              </w:rPr>
            </w:pPr>
            <w:r w:rsidRPr="00BC067F">
              <w:rPr>
                <w:rFonts w:ascii="Tw Cen MT Condensed" w:hAnsi="Tw Cen MT Condensed"/>
                <w:bCs/>
                <w:sz w:val="20"/>
                <w:szCs w:val="20"/>
              </w:rPr>
              <w:t xml:space="preserve">Sex </w:t>
            </w:r>
            <w:r w:rsidR="00637E32" w:rsidRPr="006A370C">
              <w:rPr>
                <w:rFonts w:ascii="Tw Cen MT Condensed" w:hAnsi="Tw Cen MT Condensed"/>
              </w:rPr>
              <w:t>: female, male, both</w:t>
            </w:r>
          </w:p>
          <w:p w14:paraId="1E60C642" w14:textId="77777777" w:rsidR="00221C59" w:rsidRPr="00BC067F" w:rsidRDefault="00221C59" w:rsidP="00221C59">
            <w:pPr>
              <w:pStyle w:val="ListParagraph"/>
              <w:numPr>
                <w:ilvl w:val="0"/>
                <w:numId w:val="43"/>
              </w:numPr>
              <w:ind w:left="84" w:hanging="84"/>
              <w:rPr>
                <w:rFonts w:ascii="Tw Cen MT Condensed" w:hAnsi="Tw Cen MT Condensed"/>
                <w:bCs/>
                <w:sz w:val="20"/>
                <w:szCs w:val="20"/>
              </w:rPr>
            </w:pPr>
            <w:r w:rsidRPr="00BC067F">
              <w:rPr>
                <w:rFonts w:ascii="Tw Cen MT Condensed" w:hAnsi="Tw Cen MT Condensed"/>
                <w:bCs/>
                <w:sz w:val="20"/>
                <w:szCs w:val="20"/>
              </w:rPr>
              <w:t xml:space="preserve">Region (geographic </w:t>
            </w:r>
            <w:r>
              <w:rPr>
                <w:rFonts w:ascii="Tw Cen MT Condensed" w:hAnsi="Tw Cen MT Condensed"/>
                <w:bCs/>
                <w:sz w:val="20"/>
                <w:szCs w:val="20"/>
              </w:rPr>
              <w:t>a</w:t>
            </w:r>
            <w:r w:rsidRPr="00BC067F">
              <w:rPr>
                <w:rFonts w:ascii="Tw Cen MT Condensed" w:hAnsi="Tw Cen MT Condensed"/>
                <w:bCs/>
                <w:sz w:val="20"/>
                <w:szCs w:val="20"/>
              </w:rPr>
              <w:t>nd/or</w:t>
            </w:r>
            <w:r>
              <w:rPr>
                <w:rFonts w:ascii="Tw Cen MT Condensed" w:hAnsi="Tw Cen MT Condensed"/>
                <w:bCs/>
                <w:sz w:val="20"/>
                <w:szCs w:val="20"/>
              </w:rPr>
              <w:t xml:space="preserve"> </w:t>
            </w:r>
            <w:r w:rsidRPr="00BC067F">
              <w:rPr>
                <w:rFonts w:ascii="Tw Cen MT Condensed" w:hAnsi="Tw Cen MT Condensed"/>
                <w:bCs/>
                <w:sz w:val="20"/>
                <w:szCs w:val="20"/>
              </w:rPr>
              <w:t>urban/rural</w:t>
            </w:r>
            <w:r>
              <w:rPr>
                <w:rFonts w:ascii="Tw Cen MT Condensed" w:hAnsi="Tw Cen MT Condensed"/>
                <w:bCs/>
                <w:sz w:val="20"/>
                <w:szCs w:val="20"/>
              </w:rPr>
              <w:t>)</w:t>
            </w:r>
          </w:p>
          <w:p w14:paraId="01A29B56" w14:textId="77777777" w:rsidR="00221C59" w:rsidRPr="00BC067F" w:rsidRDefault="00221C59" w:rsidP="00221C59">
            <w:pPr>
              <w:pStyle w:val="ListParagraph"/>
              <w:numPr>
                <w:ilvl w:val="0"/>
                <w:numId w:val="43"/>
              </w:numPr>
              <w:ind w:left="84" w:hanging="84"/>
              <w:rPr>
                <w:rFonts w:ascii="Tw Cen MT Condensed" w:hAnsi="Tw Cen MT Condensed"/>
                <w:bCs/>
                <w:sz w:val="20"/>
                <w:szCs w:val="20"/>
              </w:rPr>
            </w:pPr>
            <w:r w:rsidRPr="00BC067F">
              <w:rPr>
                <w:rFonts w:ascii="Tw Cen MT Condensed" w:hAnsi="Tw Cen MT Condensed"/>
                <w:bCs/>
                <w:sz w:val="20"/>
                <w:szCs w:val="20"/>
              </w:rPr>
              <w:t>Age group</w:t>
            </w:r>
          </w:p>
          <w:p w14:paraId="562DDF0C" w14:textId="77777777" w:rsidR="00221C59" w:rsidRPr="00BC067F" w:rsidRDefault="00221C59" w:rsidP="00221C59">
            <w:pPr>
              <w:pStyle w:val="ListParagraph"/>
              <w:numPr>
                <w:ilvl w:val="0"/>
                <w:numId w:val="43"/>
              </w:numPr>
              <w:ind w:left="84" w:hanging="84"/>
              <w:rPr>
                <w:rFonts w:ascii="Tw Cen MT Condensed" w:hAnsi="Tw Cen MT Condensed"/>
                <w:bCs/>
                <w:sz w:val="20"/>
                <w:szCs w:val="20"/>
              </w:rPr>
            </w:pPr>
            <w:r w:rsidRPr="00BC067F">
              <w:rPr>
                <w:rFonts w:ascii="Tw Cen MT Condensed" w:hAnsi="Tw Cen MT Condensed"/>
                <w:bCs/>
                <w:sz w:val="20"/>
                <w:szCs w:val="20"/>
              </w:rPr>
              <w:t>Educational level</w:t>
            </w:r>
          </w:p>
          <w:p w14:paraId="38D2C107" w14:textId="77777777" w:rsidR="00221C59" w:rsidRPr="00BC067F" w:rsidRDefault="00221C59" w:rsidP="00221C59">
            <w:pPr>
              <w:pStyle w:val="ListParagraph"/>
              <w:numPr>
                <w:ilvl w:val="0"/>
                <w:numId w:val="43"/>
              </w:numPr>
              <w:ind w:left="84" w:hanging="84"/>
              <w:rPr>
                <w:rFonts w:ascii="Tw Cen MT Condensed" w:hAnsi="Tw Cen MT Condensed"/>
                <w:bCs/>
                <w:sz w:val="20"/>
                <w:szCs w:val="20"/>
              </w:rPr>
            </w:pPr>
            <w:r w:rsidRPr="00BC067F">
              <w:rPr>
                <w:rFonts w:ascii="Tw Cen MT Condensed" w:hAnsi="Tw Cen MT Condensed"/>
                <w:bCs/>
                <w:sz w:val="20"/>
                <w:szCs w:val="20"/>
              </w:rPr>
              <w:t>Labour force status</w:t>
            </w:r>
          </w:p>
          <w:p w14:paraId="0843FD8B" w14:textId="77777777" w:rsidR="00221C59" w:rsidRPr="00BC067F" w:rsidRDefault="00221C59" w:rsidP="00221C59">
            <w:pPr>
              <w:pStyle w:val="ListParagraph"/>
              <w:numPr>
                <w:ilvl w:val="0"/>
                <w:numId w:val="43"/>
              </w:numPr>
              <w:ind w:left="84" w:hanging="84"/>
              <w:rPr>
                <w:rFonts w:ascii="Tw Cen MT Condensed" w:hAnsi="Tw Cen MT Condensed"/>
                <w:bCs/>
                <w:i/>
                <w:iCs/>
                <w:sz w:val="20"/>
                <w:szCs w:val="20"/>
              </w:rPr>
            </w:pPr>
            <w:r w:rsidRPr="00BC067F">
              <w:rPr>
                <w:rFonts w:ascii="Tw Cen MT Condensed" w:hAnsi="Tw Cen MT Condensed"/>
                <w:bCs/>
                <w:sz w:val="20"/>
                <w:szCs w:val="20"/>
              </w:rPr>
              <w:t>Occupation</w:t>
            </w:r>
          </w:p>
        </w:tc>
        <w:tc>
          <w:tcPr>
            <w:tcW w:w="801" w:type="dxa"/>
            <w:shd w:val="clear" w:color="auto" w:fill="auto"/>
          </w:tcPr>
          <w:p w14:paraId="3362625D" w14:textId="77777777" w:rsidR="00221C59" w:rsidRDefault="00221C59" w:rsidP="00221C59">
            <w:pPr>
              <w:jc w:val="center"/>
              <w:rPr>
                <w:bCs/>
                <w:szCs w:val="20"/>
              </w:rPr>
            </w:pPr>
            <w:r>
              <w:rPr>
                <w:bCs/>
                <w:szCs w:val="20"/>
              </w:rPr>
              <w:t>Annual</w:t>
            </w:r>
          </w:p>
        </w:tc>
        <w:tc>
          <w:tcPr>
            <w:tcW w:w="697" w:type="dxa"/>
            <w:shd w:val="clear" w:color="auto" w:fill="auto"/>
          </w:tcPr>
          <w:p w14:paraId="60644B59" w14:textId="77777777" w:rsidR="00221C59" w:rsidRDefault="00221C59" w:rsidP="00221C59">
            <w:pPr>
              <w:jc w:val="center"/>
              <w:rPr>
                <w:bCs/>
                <w:szCs w:val="20"/>
              </w:rPr>
            </w:pPr>
            <w:r>
              <w:rPr>
                <w:bCs/>
                <w:szCs w:val="20"/>
              </w:rPr>
              <w:t>Group 1</w:t>
            </w:r>
          </w:p>
        </w:tc>
        <w:tc>
          <w:tcPr>
            <w:tcW w:w="762" w:type="dxa"/>
            <w:shd w:val="clear" w:color="auto" w:fill="auto"/>
          </w:tcPr>
          <w:p w14:paraId="02AB6CB4" w14:textId="77777777" w:rsidR="00221C59" w:rsidRDefault="00221C59" w:rsidP="00221C59">
            <w:pPr>
              <w:pStyle w:val="NoSpacing"/>
            </w:pPr>
            <w:r>
              <w:t>1</w:t>
            </w:r>
            <w:r w:rsidRPr="00013ACB">
              <w:rPr>
                <w:vertAlign w:val="superscript"/>
              </w:rPr>
              <w:t>st</w:t>
            </w:r>
            <w:r>
              <w:t xml:space="preserve"> Round: </w:t>
            </w:r>
          </w:p>
          <w:p w14:paraId="0575E0EE" w14:textId="77777777" w:rsidR="00221C59" w:rsidRDefault="00221C59" w:rsidP="00221C59">
            <w:pPr>
              <w:pStyle w:val="NoSpacing"/>
            </w:pPr>
            <w:r>
              <w:t>2015</w:t>
            </w:r>
          </w:p>
          <w:p w14:paraId="1642AC09" w14:textId="77777777" w:rsidR="00221C59" w:rsidRDefault="00221C59" w:rsidP="00221C59">
            <w:pPr>
              <w:pStyle w:val="NoSpacing"/>
            </w:pPr>
            <w:r>
              <w:t>2</w:t>
            </w:r>
            <w:r w:rsidRPr="00013ACB">
              <w:rPr>
                <w:vertAlign w:val="superscript"/>
              </w:rPr>
              <w:t>nd</w:t>
            </w:r>
            <w:r>
              <w:t xml:space="preserve"> Round: </w:t>
            </w:r>
          </w:p>
          <w:p w14:paraId="16CE87C4" w14:textId="77777777" w:rsidR="00221C59" w:rsidRDefault="00221C59" w:rsidP="00221C59">
            <w:pPr>
              <w:pStyle w:val="NoSpacing"/>
            </w:pPr>
            <w:r>
              <w:t>December</w:t>
            </w:r>
            <w:r>
              <w:br/>
              <w:t>2020</w:t>
            </w:r>
          </w:p>
          <w:p w14:paraId="0C3B1EC5" w14:textId="77777777" w:rsidR="00221C59" w:rsidRDefault="00221C59" w:rsidP="00221C59">
            <w:pPr>
              <w:pStyle w:val="NoSpacing"/>
            </w:pPr>
          </w:p>
          <w:p w14:paraId="53181C02" w14:textId="77777777" w:rsidR="00221C59" w:rsidRDefault="00221C59" w:rsidP="00221C59">
            <w:pPr>
              <w:pStyle w:val="NoSpacing"/>
            </w:pPr>
            <w:r>
              <w:t>3</w:t>
            </w:r>
            <w:r w:rsidRPr="00013ACB">
              <w:rPr>
                <w:vertAlign w:val="superscript"/>
              </w:rPr>
              <w:t>rd</w:t>
            </w:r>
            <w:r>
              <w:t xml:space="preserve"> Round: </w:t>
            </w:r>
          </w:p>
          <w:p w14:paraId="5EF74FE7" w14:textId="77777777" w:rsidR="00221C59" w:rsidRDefault="00221C59" w:rsidP="00221C59">
            <w:pPr>
              <w:pStyle w:val="NoSpacing"/>
            </w:pPr>
            <w:r>
              <w:t>December</w:t>
            </w:r>
            <w:r>
              <w:br/>
              <w:t>2021</w:t>
            </w:r>
          </w:p>
          <w:p w14:paraId="50C14AE7" w14:textId="77777777" w:rsidR="00221C59" w:rsidRDefault="00221C59" w:rsidP="00221C59">
            <w:pPr>
              <w:pStyle w:val="NoSpacing"/>
            </w:pPr>
          </w:p>
          <w:p w14:paraId="22634EAB" w14:textId="77777777" w:rsidR="00221C59" w:rsidRDefault="00221C59" w:rsidP="00221C59">
            <w:pPr>
              <w:pStyle w:val="NoSpacing"/>
            </w:pPr>
            <w:r>
              <w:t>4</w:t>
            </w:r>
            <w:r w:rsidRPr="00013ACB">
              <w:rPr>
                <w:vertAlign w:val="superscript"/>
              </w:rPr>
              <w:t>th</w:t>
            </w:r>
            <w:r>
              <w:t xml:space="preserve"> Round: </w:t>
            </w:r>
          </w:p>
          <w:p w14:paraId="56CDCC4A" w14:textId="77777777" w:rsidR="00221C59" w:rsidRDefault="00221C59" w:rsidP="00221C59">
            <w:pPr>
              <w:pStyle w:val="NoSpacing"/>
            </w:pPr>
            <w:r>
              <w:t>December</w:t>
            </w:r>
            <w:r>
              <w:br/>
              <w:t>2022</w:t>
            </w:r>
          </w:p>
          <w:p w14:paraId="30230861" w14:textId="77777777" w:rsidR="00221C59" w:rsidRDefault="00221C59" w:rsidP="00221C59">
            <w:pPr>
              <w:pStyle w:val="NoSpacing"/>
            </w:pPr>
          </w:p>
          <w:p w14:paraId="4B052E61" w14:textId="77777777" w:rsidR="00221C59" w:rsidRDefault="00221C59" w:rsidP="00221C59">
            <w:pPr>
              <w:pStyle w:val="NoSpacing"/>
            </w:pPr>
            <w:r>
              <w:t>5</w:t>
            </w:r>
            <w:r w:rsidRPr="00013ACB">
              <w:rPr>
                <w:vertAlign w:val="superscript"/>
              </w:rPr>
              <w:t>th</w:t>
            </w:r>
            <w:r>
              <w:t xml:space="preserve"> </w:t>
            </w:r>
            <w:r>
              <w:lastRenderedPageBreak/>
              <w:t xml:space="preserve">Round: </w:t>
            </w:r>
          </w:p>
          <w:p w14:paraId="20D12179" w14:textId="77777777" w:rsidR="00221C59" w:rsidRDefault="00221C59" w:rsidP="00221C59">
            <w:pPr>
              <w:pStyle w:val="NoSpacing"/>
            </w:pPr>
            <w:r>
              <w:t>December</w:t>
            </w:r>
            <w:r>
              <w:br/>
              <w:t>2023</w:t>
            </w:r>
          </w:p>
          <w:p w14:paraId="11FDD775" w14:textId="35A70DF9" w:rsidR="00221C59" w:rsidRPr="005F4037" w:rsidRDefault="00221C59" w:rsidP="00221C59">
            <w:pPr>
              <w:pStyle w:val="NoSpacing"/>
            </w:pPr>
          </w:p>
        </w:tc>
        <w:tc>
          <w:tcPr>
            <w:tcW w:w="1188" w:type="dxa"/>
            <w:shd w:val="clear" w:color="auto" w:fill="auto"/>
          </w:tcPr>
          <w:p w14:paraId="523F5555" w14:textId="77777777" w:rsidR="00221C59" w:rsidRPr="00BC067F" w:rsidRDefault="00221C59" w:rsidP="00221C59">
            <w:pPr>
              <w:jc w:val="both"/>
              <w:rPr>
                <w:bCs/>
                <w:szCs w:val="20"/>
              </w:rPr>
            </w:pPr>
            <w:r>
              <w:rPr>
                <w:bCs/>
                <w:szCs w:val="20"/>
              </w:rPr>
              <w:lastRenderedPageBreak/>
              <w:t>Administrative Records/Household level ownership should not be reported as per metadata.</w:t>
            </w:r>
          </w:p>
        </w:tc>
      </w:tr>
      <w:tr w:rsidR="00221C59" w14:paraId="1516CCA7" w14:textId="77777777" w:rsidTr="0085651F">
        <w:tc>
          <w:tcPr>
            <w:tcW w:w="1814" w:type="dxa"/>
            <w:gridSpan w:val="2"/>
            <w:shd w:val="clear" w:color="auto" w:fill="auto"/>
          </w:tcPr>
          <w:p w14:paraId="7EFF0D5A" w14:textId="77777777" w:rsidR="00221C59" w:rsidRDefault="00221C59" w:rsidP="00221C59">
            <w:pPr>
              <w:ind w:left="970" w:hanging="970"/>
              <w:jc w:val="both"/>
              <w:rPr>
                <w:color w:val="FF0000"/>
                <w:sz w:val="30"/>
                <w:szCs w:val="30"/>
              </w:rPr>
            </w:pPr>
          </w:p>
        </w:tc>
        <w:tc>
          <w:tcPr>
            <w:tcW w:w="15348" w:type="dxa"/>
            <w:gridSpan w:val="12"/>
            <w:shd w:val="clear" w:color="auto" w:fill="auto"/>
          </w:tcPr>
          <w:p w14:paraId="19B0220B" w14:textId="77777777" w:rsidR="00221C59" w:rsidRPr="005B3572" w:rsidRDefault="00221C59" w:rsidP="00221C59">
            <w:pPr>
              <w:ind w:left="970" w:hanging="970"/>
              <w:jc w:val="both"/>
              <w:rPr>
                <w:color w:val="FF0000"/>
                <w:sz w:val="30"/>
                <w:szCs w:val="30"/>
              </w:rPr>
            </w:pPr>
            <w:r>
              <w:rPr>
                <w:color w:val="FF0000"/>
                <w:sz w:val="30"/>
                <w:szCs w:val="30"/>
              </w:rPr>
              <w:t xml:space="preserve">Target </w:t>
            </w:r>
            <w:r w:rsidRPr="005B3572">
              <w:rPr>
                <w:color w:val="FF0000"/>
                <w:sz w:val="30"/>
                <w:szCs w:val="30"/>
              </w:rPr>
              <w:t>5.c</w:t>
            </w:r>
            <w:r>
              <w:rPr>
                <w:color w:val="FF0000"/>
                <w:sz w:val="30"/>
                <w:szCs w:val="30"/>
              </w:rPr>
              <w:t>:</w:t>
            </w:r>
            <w:r w:rsidRPr="005B3572">
              <w:rPr>
                <w:color w:val="FF0000"/>
                <w:sz w:val="30"/>
                <w:szCs w:val="30"/>
              </w:rPr>
              <w:t xml:space="preserve"> Adopt and strengthen sound policies and enforceable legislation for the promotion of gender equality and the empowerment of all women and girls at all levels</w:t>
            </w:r>
          </w:p>
        </w:tc>
      </w:tr>
      <w:tr w:rsidR="00221C59" w14:paraId="19AC808F" w14:textId="77777777" w:rsidTr="0085651F">
        <w:tc>
          <w:tcPr>
            <w:tcW w:w="1179" w:type="dxa"/>
            <w:shd w:val="clear" w:color="auto" w:fill="auto"/>
          </w:tcPr>
          <w:p w14:paraId="26B5CF2D" w14:textId="77777777" w:rsidR="00221C59" w:rsidRPr="00BC067F" w:rsidRDefault="00221C59" w:rsidP="00221C59">
            <w:pPr>
              <w:jc w:val="both"/>
              <w:rPr>
                <w:szCs w:val="20"/>
              </w:rPr>
            </w:pPr>
            <w:r w:rsidRPr="00BC067F">
              <w:rPr>
                <w:szCs w:val="20"/>
              </w:rPr>
              <w:t>5.c.1: Proportion of countries with systems to track and make public allocations for gender equality and women’s empowerment</w:t>
            </w:r>
          </w:p>
        </w:tc>
        <w:tc>
          <w:tcPr>
            <w:tcW w:w="921" w:type="dxa"/>
            <w:gridSpan w:val="2"/>
            <w:shd w:val="clear" w:color="auto" w:fill="auto"/>
          </w:tcPr>
          <w:p w14:paraId="27D9C724" w14:textId="77777777" w:rsidR="00221C59" w:rsidRPr="00BC067F" w:rsidRDefault="00221C59" w:rsidP="00221C59">
            <w:pPr>
              <w:jc w:val="center"/>
              <w:rPr>
                <w:szCs w:val="20"/>
              </w:rPr>
            </w:pPr>
            <w:r w:rsidRPr="00BC067F">
              <w:rPr>
                <w:szCs w:val="20"/>
              </w:rPr>
              <w:t>UN Women,</w:t>
            </w:r>
          </w:p>
          <w:p w14:paraId="68B98917" w14:textId="77777777" w:rsidR="00221C59" w:rsidRDefault="00221C59" w:rsidP="00221C59">
            <w:pPr>
              <w:jc w:val="center"/>
              <w:rPr>
                <w:szCs w:val="20"/>
              </w:rPr>
            </w:pPr>
            <w:r w:rsidRPr="00BC067F">
              <w:rPr>
                <w:szCs w:val="20"/>
              </w:rPr>
              <w:t>OECD</w:t>
            </w:r>
          </w:p>
        </w:tc>
        <w:tc>
          <w:tcPr>
            <w:tcW w:w="985" w:type="dxa"/>
            <w:shd w:val="clear" w:color="auto" w:fill="auto"/>
          </w:tcPr>
          <w:p w14:paraId="30CD2F77" w14:textId="77777777" w:rsidR="00221C59" w:rsidRDefault="00221C59" w:rsidP="00221C59">
            <w:pPr>
              <w:jc w:val="center"/>
              <w:rPr>
                <w:szCs w:val="20"/>
              </w:rPr>
            </w:pPr>
            <w:r>
              <w:rPr>
                <w:szCs w:val="20"/>
              </w:rPr>
              <w:t>Tier II</w:t>
            </w:r>
          </w:p>
        </w:tc>
        <w:tc>
          <w:tcPr>
            <w:tcW w:w="5331" w:type="dxa"/>
            <w:shd w:val="clear" w:color="auto" w:fill="auto"/>
          </w:tcPr>
          <w:p w14:paraId="4AA2C897" w14:textId="77777777" w:rsidR="00221C59" w:rsidRPr="00932413" w:rsidRDefault="00221C59" w:rsidP="00221C59">
            <w:pPr>
              <w:jc w:val="both"/>
              <w:rPr>
                <w:b/>
                <w:bCs/>
                <w:szCs w:val="20"/>
              </w:rPr>
            </w:pPr>
            <w:r w:rsidRPr="00932413">
              <w:rPr>
                <w:b/>
                <w:bCs/>
                <w:szCs w:val="20"/>
              </w:rPr>
              <w:t xml:space="preserve">Concepts and definitions: </w:t>
            </w:r>
          </w:p>
          <w:p w14:paraId="61F612F5" w14:textId="77777777" w:rsidR="00221C59" w:rsidRPr="00932413" w:rsidRDefault="00221C59" w:rsidP="00221C59">
            <w:pPr>
              <w:jc w:val="both"/>
              <w:rPr>
                <w:szCs w:val="20"/>
              </w:rPr>
            </w:pPr>
            <w:r w:rsidRPr="00932413">
              <w:rPr>
                <w:szCs w:val="20"/>
              </w:rPr>
              <w:t>Sustainable Development Goal (SDG) Indicator 5.c.1 seeks to measure government efforts to track budget allocations for gender equality throughout the public finance management cycle and to make these publicly available. This is an indicator of characteristics of the fiscal system. It is not an indicator of quantity or quality of finance allocated for gender equality and women’s empowerment (GEWE). The indicator measures three criteria. The first focuses on the intent of a government to address GEWE by identifying if it has programs/policies and resource allocations to foster GEWE. The second assesses if a government has planning and budget tools to track resources for GEWE throughout the public financial management cycle. The third focuses on transparency by identifying if a government has provisions to make allocations for GEWE publicly available.</w:t>
            </w:r>
          </w:p>
          <w:p w14:paraId="3842337F" w14:textId="77777777" w:rsidR="00221C59" w:rsidRPr="00932413" w:rsidRDefault="00221C59" w:rsidP="00221C59">
            <w:pPr>
              <w:jc w:val="both"/>
              <w:rPr>
                <w:szCs w:val="20"/>
              </w:rPr>
            </w:pPr>
          </w:p>
          <w:p w14:paraId="5EBE5797" w14:textId="77777777" w:rsidR="00221C59" w:rsidRPr="00932413" w:rsidRDefault="00221C59" w:rsidP="00221C59">
            <w:pPr>
              <w:jc w:val="both"/>
              <w:rPr>
                <w:szCs w:val="20"/>
              </w:rPr>
            </w:pPr>
            <w:r w:rsidRPr="00932413">
              <w:rPr>
                <w:szCs w:val="20"/>
              </w:rPr>
              <w:t>The indicator aims to encourage national governments to develop appropriate budget tracking and monitoring systems and commit to making information about allocations for gender equality readily available to the public. The system should be led by the Ministry of Finance in collaboration with the sectoral ministries and National Women’s Machineries and overseen by an appropriate body such as Parliament or Public Auditors.</w:t>
            </w:r>
          </w:p>
          <w:p w14:paraId="47332E7F" w14:textId="77777777" w:rsidR="00221C59" w:rsidRPr="00932413" w:rsidRDefault="00221C59" w:rsidP="00221C59">
            <w:pPr>
              <w:jc w:val="both"/>
              <w:rPr>
                <w:b/>
                <w:bCs/>
                <w:szCs w:val="20"/>
              </w:rPr>
            </w:pPr>
          </w:p>
          <w:p w14:paraId="118B9488" w14:textId="77777777" w:rsidR="00221C59" w:rsidRPr="00932413" w:rsidRDefault="00221C59" w:rsidP="00221C59">
            <w:pPr>
              <w:jc w:val="both"/>
              <w:rPr>
                <w:b/>
                <w:bCs/>
                <w:szCs w:val="20"/>
              </w:rPr>
            </w:pPr>
            <w:r w:rsidRPr="00932413">
              <w:rPr>
                <w:b/>
                <w:bCs/>
                <w:szCs w:val="20"/>
              </w:rPr>
              <w:t>Concepts:</w:t>
            </w:r>
          </w:p>
          <w:p w14:paraId="32CDE971" w14:textId="77777777" w:rsidR="00221C59" w:rsidRPr="00932413" w:rsidRDefault="00221C59" w:rsidP="00221C59">
            <w:pPr>
              <w:jc w:val="both"/>
              <w:rPr>
                <w:szCs w:val="20"/>
              </w:rPr>
            </w:pPr>
            <w:r w:rsidRPr="00932413">
              <w:rPr>
                <w:szCs w:val="20"/>
              </w:rPr>
              <w:t>To determine if a country has a system to track and make public allocations for gender equality and women’s empowerment, the following questionnaire will be sent to its Ministry of Finance, or agency in charge of the government budget:</w:t>
            </w:r>
          </w:p>
          <w:p w14:paraId="20816B32" w14:textId="77777777" w:rsidR="00221C59" w:rsidRPr="00932413" w:rsidRDefault="00221C59" w:rsidP="00221C59">
            <w:pPr>
              <w:jc w:val="both"/>
              <w:rPr>
                <w:i/>
                <w:iCs/>
                <w:szCs w:val="20"/>
              </w:rPr>
            </w:pPr>
            <w:r w:rsidRPr="00932413">
              <w:rPr>
                <w:i/>
                <w:iCs/>
                <w:szCs w:val="20"/>
              </w:rPr>
              <w:t>Criterion 1. Which of the following aspects of public expenditure are reflected in your government programs and its resource allocations? (In the last completed fiscal year)</w:t>
            </w:r>
          </w:p>
          <w:p w14:paraId="1FFA1A28" w14:textId="77777777" w:rsidR="00221C59" w:rsidRPr="00932413" w:rsidRDefault="00221C59" w:rsidP="00221C59">
            <w:pPr>
              <w:ind w:left="1201" w:hanging="810"/>
              <w:jc w:val="both"/>
              <w:rPr>
                <w:szCs w:val="20"/>
              </w:rPr>
            </w:pPr>
            <w:r w:rsidRPr="00932413">
              <w:rPr>
                <w:szCs w:val="20"/>
              </w:rPr>
              <w:t>Question 1.1. Are there policies and/or programs of the government designed to address well identified gender equality goals, including those where gender equality is not the primary objective (such as public services, social protection and infrastructure) but incorporate action to close gender gaps? (Yes=1/No=0)</w:t>
            </w:r>
          </w:p>
          <w:p w14:paraId="58CA44D3" w14:textId="77777777" w:rsidR="00221C59" w:rsidRPr="00932413" w:rsidRDefault="00221C59" w:rsidP="00221C59">
            <w:pPr>
              <w:ind w:left="1201" w:hanging="810"/>
              <w:jc w:val="both"/>
              <w:rPr>
                <w:szCs w:val="20"/>
              </w:rPr>
            </w:pPr>
            <w:r w:rsidRPr="00932413">
              <w:rPr>
                <w:szCs w:val="20"/>
              </w:rPr>
              <w:lastRenderedPageBreak/>
              <w:t>Question 1.2. Do these policies and/or programs have adequate resources allocated within the budget, sufficient to meet both their general objectives and their gender equality goals?</w:t>
            </w:r>
          </w:p>
          <w:p w14:paraId="62BF39C0" w14:textId="77777777" w:rsidR="00221C59" w:rsidRPr="00932413" w:rsidRDefault="00221C59" w:rsidP="00221C59">
            <w:pPr>
              <w:ind w:left="1201" w:hanging="810"/>
              <w:jc w:val="both"/>
              <w:rPr>
                <w:szCs w:val="20"/>
              </w:rPr>
            </w:pPr>
            <w:r w:rsidRPr="00932413">
              <w:rPr>
                <w:szCs w:val="20"/>
              </w:rPr>
              <w:t>(Yes=1/No=0)</w:t>
            </w:r>
          </w:p>
          <w:p w14:paraId="5D17788E" w14:textId="77777777" w:rsidR="00221C59" w:rsidRPr="00932413" w:rsidRDefault="00221C59" w:rsidP="00221C59">
            <w:pPr>
              <w:ind w:left="1201" w:hanging="810"/>
              <w:jc w:val="both"/>
              <w:rPr>
                <w:szCs w:val="20"/>
              </w:rPr>
            </w:pPr>
            <w:r w:rsidRPr="00932413">
              <w:rPr>
                <w:szCs w:val="20"/>
              </w:rPr>
              <w:t>Question 1.3. Are there procedures in place to ensure that these resources are executed according to the budget? (Yes=1/No=0)</w:t>
            </w:r>
          </w:p>
          <w:p w14:paraId="6878B873" w14:textId="77777777" w:rsidR="00221C59" w:rsidRPr="00932413" w:rsidRDefault="00221C59" w:rsidP="00221C59">
            <w:pPr>
              <w:jc w:val="both"/>
              <w:rPr>
                <w:szCs w:val="20"/>
              </w:rPr>
            </w:pPr>
          </w:p>
          <w:p w14:paraId="7A48FDF3" w14:textId="77777777" w:rsidR="00221C59" w:rsidRPr="00932413" w:rsidRDefault="00221C59" w:rsidP="00221C59">
            <w:pPr>
              <w:jc w:val="both"/>
              <w:rPr>
                <w:i/>
                <w:iCs/>
                <w:szCs w:val="20"/>
              </w:rPr>
            </w:pPr>
            <w:r w:rsidRPr="00932413">
              <w:rPr>
                <w:i/>
                <w:iCs/>
                <w:szCs w:val="20"/>
              </w:rPr>
              <w:t>Criterion 2. To what extent does your Public Financial Management system promote gender-related or gender-responsive goals? (In the last completed fiscal year)</w:t>
            </w:r>
          </w:p>
          <w:p w14:paraId="5D433BE0" w14:textId="77777777" w:rsidR="00221C59" w:rsidRPr="00932413" w:rsidRDefault="00221C59" w:rsidP="00221C59">
            <w:pPr>
              <w:ind w:left="1219" w:hanging="819"/>
              <w:jc w:val="both"/>
              <w:rPr>
                <w:szCs w:val="20"/>
              </w:rPr>
            </w:pPr>
            <w:r w:rsidRPr="00932413">
              <w:rPr>
                <w:szCs w:val="20"/>
              </w:rPr>
              <w:t>Question 2.1. Does the Ministry of Finance/budget office issue call circulars, or other such directives, that provide specific guidance on gender-responsive budget allocations? (Yes=1/No=0)</w:t>
            </w:r>
          </w:p>
          <w:p w14:paraId="775CF017" w14:textId="77777777" w:rsidR="00221C59" w:rsidRPr="00932413" w:rsidRDefault="00221C59" w:rsidP="00221C59">
            <w:pPr>
              <w:ind w:left="1219" w:hanging="819"/>
              <w:jc w:val="both"/>
              <w:rPr>
                <w:szCs w:val="20"/>
              </w:rPr>
            </w:pPr>
            <w:r w:rsidRPr="00932413">
              <w:rPr>
                <w:szCs w:val="20"/>
              </w:rPr>
              <w:t>Question 2.2. Are key policies and programs, proposed for inclusion in the budget, subject to an ex ante gender impact assessment? (Yes=1/No=0)</w:t>
            </w:r>
          </w:p>
          <w:p w14:paraId="43739BE4" w14:textId="77777777" w:rsidR="00221C59" w:rsidRPr="00932413" w:rsidRDefault="00221C59" w:rsidP="00221C59">
            <w:pPr>
              <w:ind w:left="1219" w:hanging="819"/>
              <w:jc w:val="both"/>
              <w:rPr>
                <w:szCs w:val="20"/>
              </w:rPr>
            </w:pPr>
            <w:r w:rsidRPr="00932413">
              <w:rPr>
                <w:szCs w:val="20"/>
              </w:rPr>
              <w:t>Question 2.3. Are sex-disaggregated statistics and data used across key policies and programs in a way which can inform budget-related policy decisions? (Yes=1/No=0)</w:t>
            </w:r>
          </w:p>
          <w:p w14:paraId="45304548" w14:textId="77777777" w:rsidR="00221C59" w:rsidRPr="00932413" w:rsidRDefault="00221C59" w:rsidP="00221C59">
            <w:pPr>
              <w:ind w:left="1219" w:hanging="819"/>
              <w:jc w:val="both"/>
              <w:rPr>
                <w:szCs w:val="20"/>
              </w:rPr>
            </w:pPr>
            <w:r w:rsidRPr="00932413">
              <w:rPr>
                <w:szCs w:val="20"/>
              </w:rPr>
              <w:t>Question 2.4. Does the government provide, in the context of the budget, a clear statement of gender-related objectives (i.e. gender budget statement or gender responsive budget legislation)? (Yes=1/No=0)</w:t>
            </w:r>
          </w:p>
          <w:p w14:paraId="67DEB19F" w14:textId="77777777" w:rsidR="00221C59" w:rsidRPr="00932413" w:rsidRDefault="00221C59" w:rsidP="00221C59">
            <w:pPr>
              <w:ind w:left="1219" w:hanging="819"/>
              <w:jc w:val="both"/>
              <w:rPr>
                <w:szCs w:val="20"/>
              </w:rPr>
            </w:pPr>
            <w:r w:rsidRPr="00932413">
              <w:rPr>
                <w:szCs w:val="20"/>
              </w:rPr>
              <w:t>Question 2.5. Are budgetary allocations subject to “tagging” including by functional classifiers, to identify their linkage to gender-equality objectives? (Yes=1/No=0)</w:t>
            </w:r>
          </w:p>
          <w:p w14:paraId="65511220" w14:textId="77777777" w:rsidR="00221C59" w:rsidRPr="00932413" w:rsidRDefault="00221C59" w:rsidP="00221C59">
            <w:pPr>
              <w:ind w:left="1219" w:hanging="819"/>
              <w:jc w:val="both"/>
              <w:rPr>
                <w:szCs w:val="20"/>
              </w:rPr>
            </w:pPr>
            <w:r w:rsidRPr="00932413">
              <w:rPr>
                <w:szCs w:val="20"/>
              </w:rPr>
              <w:t>Question 2.6. Are key policies and programs subject to ex post gender impact assessment? (Yes=1/No=0)</w:t>
            </w:r>
          </w:p>
          <w:p w14:paraId="72314F02" w14:textId="77777777" w:rsidR="00221C59" w:rsidRPr="00932413" w:rsidRDefault="00221C59" w:rsidP="00221C59">
            <w:pPr>
              <w:ind w:left="1219" w:hanging="819"/>
              <w:jc w:val="both"/>
              <w:rPr>
                <w:szCs w:val="20"/>
              </w:rPr>
            </w:pPr>
            <w:r w:rsidRPr="00932413">
              <w:rPr>
                <w:szCs w:val="20"/>
              </w:rPr>
              <w:t>Question 2.7. Is the budget as a whole subject to independent audit to assess the extent to which it promotes gender-responsive policies? (Yes=1/No=0)</w:t>
            </w:r>
          </w:p>
          <w:p w14:paraId="68B0E374" w14:textId="77777777" w:rsidR="00221C59" w:rsidRPr="00932413" w:rsidRDefault="00221C59" w:rsidP="00221C59">
            <w:pPr>
              <w:ind w:left="1219" w:hanging="819"/>
              <w:jc w:val="both"/>
              <w:rPr>
                <w:szCs w:val="20"/>
              </w:rPr>
            </w:pPr>
          </w:p>
          <w:p w14:paraId="6512D059" w14:textId="77777777" w:rsidR="00221C59" w:rsidRPr="00932413" w:rsidRDefault="00221C59" w:rsidP="00221C59">
            <w:pPr>
              <w:jc w:val="both"/>
              <w:rPr>
                <w:i/>
                <w:iCs/>
                <w:szCs w:val="20"/>
              </w:rPr>
            </w:pPr>
            <w:r w:rsidRPr="00932413">
              <w:rPr>
                <w:i/>
                <w:iCs/>
                <w:szCs w:val="20"/>
              </w:rPr>
              <w:t>Criterion 3. Are allocations for gender equality and women’s empowerment made public? (In the last completed fiscal year)</w:t>
            </w:r>
          </w:p>
          <w:p w14:paraId="1DCFE629" w14:textId="77777777" w:rsidR="00221C59" w:rsidRPr="00932413" w:rsidRDefault="00221C59" w:rsidP="00221C59">
            <w:pPr>
              <w:ind w:left="1201" w:hanging="810"/>
              <w:jc w:val="both"/>
              <w:rPr>
                <w:szCs w:val="20"/>
              </w:rPr>
            </w:pPr>
            <w:r w:rsidRPr="00932413">
              <w:rPr>
                <w:szCs w:val="20"/>
              </w:rPr>
              <w:t>Question 3.1. Is the data on gender equality allocations published? (Yes=1/No=0)</w:t>
            </w:r>
          </w:p>
          <w:p w14:paraId="4BBD8816" w14:textId="77777777" w:rsidR="00221C59" w:rsidRPr="00932413" w:rsidRDefault="00221C59" w:rsidP="00221C59">
            <w:pPr>
              <w:ind w:left="1201" w:hanging="810"/>
              <w:jc w:val="both"/>
              <w:rPr>
                <w:szCs w:val="20"/>
              </w:rPr>
            </w:pPr>
            <w:r w:rsidRPr="00932413">
              <w:rPr>
                <w:szCs w:val="20"/>
              </w:rPr>
              <w:t xml:space="preserve">Question 3.2. If published, has this data been published in an accessible manner on the Ministry of Finance (or office responsible for budget) website and/or related official bulletins or public notices? </w:t>
            </w:r>
            <w:r w:rsidRPr="00932413">
              <w:rPr>
                <w:szCs w:val="20"/>
              </w:rPr>
              <w:lastRenderedPageBreak/>
              <w:t>(Yes=1/No=0)</w:t>
            </w:r>
          </w:p>
          <w:p w14:paraId="411AA1FD" w14:textId="77777777" w:rsidR="00221C59" w:rsidRPr="00932413" w:rsidRDefault="00221C59" w:rsidP="00221C59">
            <w:pPr>
              <w:ind w:left="1201" w:hanging="810"/>
              <w:jc w:val="both"/>
              <w:rPr>
                <w:szCs w:val="20"/>
              </w:rPr>
            </w:pPr>
            <w:r w:rsidRPr="00932413">
              <w:rPr>
                <w:szCs w:val="20"/>
              </w:rPr>
              <w:t>Question 3.3. If so, has the data on gender equality allocations been published in a timely manner? (Yes=1/No=0)</w:t>
            </w:r>
          </w:p>
          <w:p w14:paraId="35C53343" w14:textId="77777777" w:rsidR="00221C59" w:rsidRPr="00932413" w:rsidRDefault="00221C59" w:rsidP="00221C59">
            <w:pPr>
              <w:jc w:val="both"/>
              <w:rPr>
                <w:b/>
                <w:bCs/>
                <w:szCs w:val="20"/>
              </w:rPr>
            </w:pPr>
          </w:p>
          <w:p w14:paraId="694C6EB3" w14:textId="77777777" w:rsidR="00221C59" w:rsidRPr="00DB4E11" w:rsidRDefault="00221C59" w:rsidP="00221C59">
            <w:pPr>
              <w:jc w:val="both"/>
              <w:rPr>
                <w:b/>
                <w:bCs/>
                <w:szCs w:val="20"/>
              </w:rPr>
            </w:pPr>
            <w:r w:rsidRPr="00DB4E11">
              <w:rPr>
                <w:b/>
                <w:bCs/>
                <w:szCs w:val="20"/>
              </w:rPr>
              <w:t>Computation Method:</w:t>
            </w:r>
          </w:p>
          <w:p w14:paraId="343FAF4E" w14:textId="77777777" w:rsidR="00221C59" w:rsidRDefault="00221C59" w:rsidP="00221C59">
            <w:pPr>
              <w:jc w:val="both"/>
              <w:rPr>
                <w:b/>
                <w:bCs/>
                <w:szCs w:val="20"/>
              </w:rPr>
            </w:pPr>
            <w:r w:rsidRPr="00DB4E11">
              <w:rPr>
                <w:b/>
                <w:bCs/>
                <w:szCs w:val="20"/>
              </w:rPr>
              <w:t>The method of computation is as follows:</w:t>
            </w:r>
          </w:p>
          <w:p w14:paraId="0A351ADB" w14:textId="77777777" w:rsidR="00221C59" w:rsidRDefault="00221C59" w:rsidP="00221C59">
            <w:pPr>
              <w:jc w:val="both"/>
              <w:rPr>
                <w:b/>
                <w:bCs/>
                <w:szCs w:val="20"/>
              </w:rPr>
            </w:pPr>
          </w:p>
          <w:p w14:paraId="3253FD08" w14:textId="77777777" w:rsidR="00221C59" w:rsidRPr="000C4849" w:rsidRDefault="00221C59" w:rsidP="00221C59">
            <w:pPr>
              <w:jc w:val="both"/>
              <w:rPr>
                <w:b/>
                <w:bCs/>
                <w:sz w:val="14"/>
                <w:szCs w:val="14"/>
              </w:rPr>
            </w:pPr>
            <m:oMathPara>
              <m:oMath>
                <m:r>
                  <w:rPr>
                    <w:rFonts w:ascii="Cambria Math" w:hAnsi="Cambria Math"/>
                    <w:sz w:val="14"/>
                    <w:szCs w:val="14"/>
                  </w:rPr>
                  <m:t>Indicator</m:t>
                </m:r>
                <m:r>
                  <m:rPr>
                    <m:sty m:val="p"/>
                  </m:rPr>
                  <w:rPr>
                    <w:rFonts w:ascii="Cambria Math" w:hAnsi="Cambria Math"/>
                    <w:sz w:val="14"/>
                    <w:szCs w:val="14"/>
                  </w:rPr>
                  <m:t xml:space="preserve"> 5.</m:t>
                </m:r>
                <m:r>
                  <w:rPr>
                    <w:rFonts w:ascii="Cambria Math" w:hAnsi="Cambria Math"/>
                    <w:sz w:val="14"/>
                    <w:szCs w:val="14"/>
                  </w:rPr>
                  <m:t>c</m:t>
                </m:r>
                <m:r>
                  <m:rPr>
                    <m:sty m:val="p"/>
                  </m:rPr>
                  <w:rPr>
                    <w:rFonts w:ascii="Cambria Math" w:hAnsi="Cambria Math"/>
                    <w:sz w:val="14"/>
                    <w:szCs w:val="14"/>
                  </w:rPr>
                  <m:t xml:space="preserve">.1= </m:t>
                </m:r>
                <m:f>
                  <m:fPr>
                    <m:ctrlPr>
                      <w:rPr>
                        <w:rFonts w:ascii="Cambria Math" w:hAnsi="Cambria Math"/>
                        <w:sz w:val="14"/>
                        <w:szCs w:val="14"/>
                      </w:rPr>
                    </m:ctrlPr>
                  </m:fPr>
                  <m:num>
                    <m:d>
                      <m:dPr>
                        <m:ctrlPr>
                          <w:rPr>
                            <w:rFonts w:ascii="Cambria Math" w:hAnsi="Cambria Math"/>
                            <w:sz w:val="14"/>
                            <w:szCs w:val="14"/>
                          </w:rPr>
                        </m:ctrlPr>
                      </m:dPr>
                      <m:e>
                        <m:r>
                          <w:rPr>
                            <w:rFonts w:ascii="Cambria Math" w:hAnsi="Cambria Math"/>
                            <w:sz w:val="14"/>
                            <w:szCs w:val="14"/>
                          </w:rPr>
                          <m:t>Number</m:t>
                        </m:r>
                        <m:r>
                          <m:rPr>
                            <m:sty m:val="p"/>
                          </m:rPr>
                          <w:rPr>
                            <w:rFonts w:ascii="Cambria Math" w:hAnsi="Cambria Math"/>
                            <w:sz w:val="14"/>
                            <w:szCs w:val="14"/>
                          </w:rPr>
                          <m:t xml:space="preserve"> </m:t>
                        </m:r>
                        <m:r>
                          <w:rPr>
                            <w:rFonts w:ascii="Cambria Math" w:hAnsi="Cambria Math"/>
                            <w:sz w:val="14"/>
                            <w:szCs w:val="14"/>
                          </w:rPr>
                          <m:t>of</m:t>
                        </m:r>
                        <m:r>
                          <m:rPr>
                            <m:sty m:val="p"/>
                          </m:rPr>
                          <w:rPr>
                            <w:rFonts w:ascii="Cambria Math" w:hAnsi="Cambria Math"/>
                            <w:sz w:val="14"/>
                            <w:szCs w:val="14"/>
                          </w:rPr>
                          <m:t xml:space="preserve"> </m:t>
                        </m:r>
                        <m:r>
                          <w:rPr>
                            <w:rFonts w:ascii="Cambria Math" w:hAnsi="Cambria Math"/>
                            <w:sz w:val="14"/>
                            <w:szCs w:val="14"/>
                          </w:rPr>
                          <m:t>countries</m:t>
                        </m:r>
                        <m:r>
                          <m:rPr>
                            <m:sty m:val="p"/>
                          </m:rPr>
                          <w:rPr>
                            <w:rFonts w:ascii="Cambria Math" w:hAnsi="Cambria Math"/>
                            <w:sz w:val="14"/>
                            <w:szCs w:val="14"/>
                          </w:rPr>
                          <m:t xml:space="preserve"> </m:t>
                        </m:r>
                        <m:r>
                          <w:rPr>
                            <w:rFonts w:ascii="Cambria Math" w:hAnsi="Cambria Math"/>
                            <w:sz w:val="14"/>
                            <w:szCs w:val="14"/>
                          </w:rPr>
                          <m:t>that</m:t>
                        </m:r>
                        <m:r>
                          <m:rPr>
                            <m:sty m:val="p"/>
                          </m:rPr>
                          <w:rPr>
                            <w:rFonts w:ascii="Cambria Math" w:hAnsi="Cambria Math"/>
                            <w:sz w:val="14"/>
                            <w:szCs w:val="14"/>
                          </w:rPr>
                          <m:t xml:space="preserve"> </m:t>
                        </m:r>
                        <m:r>
                          <m:rPr>
                            <m:sty m:val="bi"/>
                          </m:rPr>
                          <w:rPr>
                            <w:rFonts w:ascii="Cambria Math" w:hAnsi="Cambria Math"/>
                            <w:sz w:val="14"/>
                            <w:szCs w:val="14"/>
                          </w:rPr>
                          <m:t>fully</m:t>
                        </m:r>
                        <m:r>
                          <m:rPr>
                            <m:sty m:val="p"/>
                          </m:rPr>
                          <w:rPr>
                            <w:rFonts w:ascii="Cambria Math" w:hAnsi="Cambria Math"/>
                            <w:sz w:val="14"/>
                            <w:szCs w:val="14"/>
                          </w:rPr>
                          <m:t xml:space="preserve">  </m:t>
                        </m:r>
                        <m:r>
                          <w:rPr>
                            <w:rFonts w:ascii="Cambria Math" w:hAnsi="Cambria Math"/>
                            <w:sz w:val="14"/>
                            <w:szCs w:val="14"/>
                          </w:rPr>
                          <m:t>meet</m:t>
                        </m:r>
                        <m:r>
                          <m:rPr>
                            <m:sty m:val="p"/>
                          </m:rPr>
                          <w:rPr>
                            <w:rFonts w:ascii="Cambria Math" w:hAnsi="Cambria Math"/>
                            <w:sz w:val="14"/>
                            <w:szCs w:val="14"/>
                          </w:rPr>
                          <m:t xml:space="preserve"> </m:t>
                        </m:r>
                        <m:r>
                          <w:rPr>
                            <w:rFonts w:ascii="Cambria Math" w:hAnsi="Cambria Math"/>
                            <w:sz w:val="14"/>
                            <w:szCs w:val="14"/>
                          </w:rPr>
                          <m:t>requirements</m:t>
                        </m:r>
                        <m:r>
                          <m:rPr>
                            <m:sty m:val="p"/>
                          </m:rPr>
                          <w:rPr>
                            <w:rFonts w:ascii="Cambria Math" w:hAnsi="Cambria Math"/>
                            <w:sz w:val="14"/>
                            <w:szCs w:val="14"/>
                          </w:rPr>
                          <m:t xml:space="preserve"> </m:t>
                        </m:r>
                      </m:e>
                    </m:d>
                    <m:r>
                      <m:rPr>
                        <m:sty m:val="p"/>
                      </m:rPr>
                      <w:rPr>
                        <w:rFonts w:ascii="Cambria Math" w:hAnsi="Cambria Math"/>
                        <w:sz w:val="14"/>
                        <w:szCs w:val="14"/>
                      </w:rPr>
                      <m:t>×100</m:t>
                    </m:r>
                  </m:num>
                  <m:den>
                    <m:r>
                      <w:rPr>
                        <w:rFonts w:ascii="Cambria Math" w:hAnsi="Cambria Math"/>
                        <w:sz w:val="14"/>
                        <w:szCs w:val="14"/>
                      </w:rPr>
                      <m:t>Total</m:t>
                    </m:r>
                    <m:r>
                      <m:rPr>
                        <m:sty m:val="p"/>
                      </m:rPr>
                      <w:rPr>
                        <w:rFonts w:ascii="Cambria Math" w:hAnsi="Cambria Math"/>
                        <w:sz w:val="14"/>
                        <w:szCs w:val="14"/>
                      </w:rPr>
                      <m:t xml:space="preserve"> </m:t>
                    </m:r>
                    <m:r>
                      <w:rPr>
                        <w:rFonts w:ascii="Cambria Math" w:hAnsi="Cambria Math"/>
                        <w:sz w:val="14"/>
                        <w:szCs w:val="14"/>
                      </w:rPr>
                      <m:t>number</m:t>
                    </m:r>
                    <m:r>
                      <m:rPr>
                        <m:sty m:val="p"/>
                      </m:rPr>
                      <w:rPr>
                        <w:rFonts w:ascii="Cambria Math" w:hAnsi="Cambria Math"/>
                        <w:sz w:val="14"/>
                        <w:szCs w:val="14"/>
                      </w:rPr>
                      <m:t xml:space="preserve"> </m:t>
                    </m:r>
                    <m:r>
                      <w:rPr>
                        <w:rFonts w:ascii="Cambria Math" w:hAnsi="Cambria Math"/>
                        <w:sz w:val="14"/>
                        <w:szCs w:val="14"/>
                      </w:rPr>
                      <m:t>of</m:t>
                    </m:r>
                    <m:r>
                      <m:rPr>
                        <m:sty m:val="p"/>
                      </m:rPr>
                      <w:rPr>
                        <w:rFonts w:ascii="Cambria Math" w:hAnsi="Cambria Math"/>
                        <w:sz w:val="14"/>
                        <w:szCs w:val="14"/>
                      </w:rPr>
                      <m:t xml:space="preserve"> </m:t>
                    </m:r>
                    <m:r>
                      <w:rPr>
                        <w:rFonts w:ascii="Cambria Math" w:hAnsi="Cambria Math"/>
                        <w:sz w:val="14"/>
                        <w:szCs w:val="14"/>
                      </w:rPr>
                      <m:t>countries</m:t>
                    </m:r>
                  </m:den>
                </m:f>
              </m:oMath>
            </m:oMathPara>
          </w:p>
          <w:p w14:paraId="5B1EDB98" w14:textId="77777777" w:rsidR="00221C59" w:rsidRDefault="00221C59" w:rsidP="00221C59">
            <w:pPr>
              <w:jc w:val="both"/>
              <w:rPr>
                <w:b/>
                <w:bCs/>
                <w:szCs w:val="20"/>
              </w:rPr>
            </w:pPr>
          </w:p>
          <w:p w14:paraId="49DB3F31" w14:textId="77777777" w:rsidR="00221C59" w:rsidRPr="00932413" w:rsidRDefault="00221C59" w:rsidP="00221C59">
            <w:pPr>
              <w:jc w:val="both"/>
              <w:rPr>
                <w:b/>
                <w:bCs/>
                <w:szCs w:val="20"/>
              </w:rPr>
            </w:pPr>
            <w:r w:rsidRPr="00932413">
              <w:rPr>
                <w:b/>
                <w:bCs/>
                <w:szCs w:val="20"/>
              </w:rPr>
              <w:t>Scoring:</w:t>
            </w:r>
          </w:p>
          <w:p w14:paraId="7B1426FE" w14:textId="77777777" w:rsidR="00221C59" w:rsidRPr="00932413" w:rsidRDefault="00221C59" w:rsidP="00221C59">
            <w:pPr>
              <w:jc w:val="both"/>
              <w:rPr>
                <w:szCs w:val="20"/>
              </w:rPr>
            </w:pPr>
            <w:r w:rsidRPr="00932413">
              <w:rPr>
                <w:szCs w:val="20"/>
              </w:rPr>
              <w:t>A country will be considered to satisfy each criterion as follows:</w:t>
            </w:r>
          </w:p>
          <w:tbl>
            <w:tblPr>
              <w:tblStyle w:val="TableGrid"/>
              <w:tblW w:w="0" w:type="auto"/>
              <w:tblLook w:val="04A0" w:firstRow="1" w:lastRow="0" w:firstColumn="1" w:lastColumn="0" w:noHBand="0" w:noVBand="1"/>
            </w:tblPr>
            <w:tblGrid>
              <w:gridCol w:w="2116"/>
              <w:gridCol w:w="3085"/>
            </w:tblGrid>
            <w:tr w:rsidR="00221C59" w:rsidRPr="00932413" w14:paraId="48E9645A" w14:textId="77777777" w:rsidTr="00BC067F">
              <w:tc>
                <w:tcPr>
                  <w:tcW w:w="2194" w:type="dxa"/>
                  <w:shd w:val="clear" w:color="auto" w:fill="0070C0"/>
                </w:tcPr>
                <w:p w14:paraId="4F28E991" w14:textId="77777777" w:rsidR="00221C59" w:rsidRPr="00932413" w:rsidRDefault="00221C59" w:rsidP="00221C59">
                  <w:pPr>
                    <w:jc w:val="center"/>
                    <w:rPr>
                      <w:color w:val="FFFFFF" w:themeColor="background1"/>
                      <w:szCs w:val="20"/>
                    </w:rPr>
                  </w:pPr>
                  <w:r w:rsidRPr="00932413">
                    <w:rPr>
                      <w:color w:val="FFFFFF" w:themeColor="background1"/>
                      <w:szCs w:val="20"/>
                    </w:rPr>
                    <w:t>Satisfaction Level</w:t>
                  </w:r>
                </w:p>
              </w:tc>
              <w:tc>
                <w:tcPr>
                  <w:tcW w:w="3216" w:type="dxa"/>
                  <w:shd w:val="clear" w:color="auto" w:fill="0070C0"/>
                </w:tcPr>
                <w:p w14:paraId="6F952CED" w14:textId="77777777" w:rsidR="00221C59" w:rsidRPr="00932413" w:rsidRDefault="00221C59" w:rsidP="00221C59">
                  <w:pPr>
                    <w:jc w:val="center"/>
                    <w:rPr>
                      <w:szCs w:val="20"/>
                    </w:rPr>
                  </w:pPr>
                  <w:r w:rsidRPr="00932413">
                    <w:rPr>
                      <w:color w:val="FFFFFF" w:themeColor="background1"/>
                      <w:szCs w:val="20"/>
                    </w:rPr>
                    <w:t>Requirements per criterion</w:t>
                  </w:r>
                </w:p>
              </w:tc>
            </w:tr>
            <w:tr w:rsidR="00221C59" w:rsidRPr="00932413" w14:paraId="18CBDD42" w14:textId="77777777" w:rsidTr="00BC067F">
              <w:tc>
                <w:tcPr>
                  <w:tcW w:w="2194" w:type="dxa"/>
                  <w:shd w:val="clear" w:color="auto" w:fill="FFFFFF" w:themeFill="background1"/>
                </w:tcPr>
                <w:p w14:paraId="3CBBAC09" w14:textId="77777777" w:rsidR="00221C59" w:rsidRPr="00932413" w:rsidRDefault="00221C59" w:rsidP="00221C59">
                  <w:pPr>
                    <w:jc w:val="center"/>
                    <w:rPr>
                      <w:szCs w:val="20"/>
                    </w:rPr>
                  </w:pPr>
                  <w:r w:rsidRPr="00932413">
                    <w:rPr>
                      <w:szCs w:val="20"/>
                    </w:rPr>
                    <w:t>A country will satisfy Criterion 1</w:t>
                  </w:r>
                </w:p>
              </w:tc>
              <w:tc>
                <w:tcPr>
                  <w:tcW w:w="3216" w:type="dxa"/>
                  <w:shd w:val="clear" w:color="auto" w:fill="FFFFFF" w:themeFill="background1"/>
                </w:tcPr>
                <w:p w14:paraId="06C398DC" w14:textId="77777777" w:rsidR="00221C59" w:rsidRPr="00932413" w:rsidRDefault="00221C59" w:rsidP="00221C59">
                  <w:pPr>
                    <w:jc w:val="center"/>
                    <w:rPr>
                      <w:szCs w:val="20"/>
                    </w:rPr>
                  </w:pPr>
                  <w:r w:rsidRPr="00932413">
                    <w:rPr>
                      <w:szCs w:val="20"/>
                    </w:rPr>
                    <w:t>if it answers “Yes” to 2 out of 3 questions in Criterion 1</w:t>
                  </w:r>
                </w:p>
              </w:tc>
            </w:tr>
            <w:tr w:rsidR="00221C59" w:rsidRPr="00932413" w14:paraId="4270ABF7" w14:textId="77777777" w:rsidTr="00BC067F">
              <w:tc>
                <w:tcPr>
                  <w:tcW w:w="2194" w:type="dxa"/>
                  <w:shd w:val="clear" w:color="auto" w:fill="FFFFFF" w:themeFill="background1"/>
                </w:tcPr>
                <w:p w14:paraId="5FF3DC54" w14:textId="77777777" w:rsidR="00221C59" w:rsidRPr="00932413" w:rsidRDefault="00221C59" w:rsidP="00221C59">
                  <w:pPr>
                    <w:jc w:val="center"/>
                    <w:rPr>
                      <w:szCs w:val="20"/>
                    </w:rPr>
                  </w:pPr>
                  <w:r w:rsidRPr="00932413">
                    <w:rPr>
                      <w:szCs w:val="20"/>
                    </w:rPr>
                    <w:t>A country will satisfy Criterion 2</w:t>
                  </w:r>
                </w:p>
              </w:tc>
              <w:tc>
                <w:tcPr>
                  <w:tcW w:w="3216" w:type="dxa"/>
                  <w:shd w:val="clear" w:color="auto" w:fill="FFFFFF" w:themeFill="background1"/>
                </w:tcPr>
                <w:p w14:paraId="29587AED" w14:textId="77777777" w:rsidR="00221C59" w:rsidRPr="00932413" w:rsidRDefault="00221C59" w:rsidP="00221C59">
                  <w:pPr>
                    <w:jc w:val="center"/>
                    <w:rPr>
                      <w:szCs w:val="20"/>
                    </w:rPr>
                  </w:pPr>
                  <w:r w:rsidRPr="00932413">
                    <w:rPr>
                      <w:szCs w:val="20"/>
                    </w:rPr>
                    <w:t>if it answers “Yes” to 4 out of 7 questions in Criterion 2</w:t>
                  </w:r>
                </w:p>
              </w:tc>
            </w:tr>
            <w:tr w:rsidR="00221C59" w:rsidRPr="00932413" w14:paraId="3FD7908B" w14:textId="77777777" w:rsidTr="00BC067F">
              <w:tc>
                <w:tcPr>
                  <w:tcW w:w="2194" w:type="dxa"/>
                  <w:shd w:val="clear" w:color="auto" w:fill="FFFFFF" w:themeFill="background1"/>
                </w:tcPr>
                <w:p w14:paraId="778202B6" w14:textId="77777777" w:rsidR="00221C59" w:rsidRPr="00932413" w:rsidRDefault="00221C59" w:rsidP="00221C59">
                  <w:pPr>
                    <w:jc w:val="center"/>
                    <w:rPr>
                      <w:szCs w:val="20"/>
                    </w:rPr>
                  </w:pPr>
                  <w:r w:rsidRPr="00932413">
                    <w:rPr>
                      <w:szCs w:val="20"/>
                    </w:rPr>
                    <w:t>A country will satisfy Criterion 3</w:t>
                  </w:r>
                </w:p>
              </w:tc>
              <w:tc>
                <w:tcPr>
                  <w:tcW w:w="3216" w:type="dxa"/>
                  <w:shd w:val="clear" w:color="auto" w:fill="FFFFFF" w:themeFill="background1"/>
                </w:tcPr>
                <w:p w14:paraId="51AEF41B" w14:textId="77777777" w:rsidR="00221C59" w:rsidRPr="00932413" w:rsidRDefault="00221C59" w:rsidP="00221C59">
                  <w:pPr>
                    <w:jc w:val="center"/>
                    <w:rPr>
                      <w:szCs w:val="20"/>
                    </w:rPr>
                  </w:pPr>
                  <w:r w:rsidRPr="00932413">
                    <w:rPr>
                      <w:szCs w:val="20"/>
                    </w:rPr>
                    <w:t>if it answers “Yes” to 2 out of 3 questions in Criterion 3</w:t>
                  </w:r>
                </w:p>
              </w:tc>
            </w:tr>
          </w:tbl>
          <w:p w14:paraId="4BD0EB14" w14:textId="77777777" w:rsidR="00221C59" w:rsidRPr="00932413" w:rsidRDefault="00221C59" w:rsidP="00221C59">
            <w:pPr>
              <w:jc w:val="both"/>
              <w:rPr>
                <w:szCs w:val="20"/>
              </w:rPr>
            </w:pPr>
          </w:p>
          <w:p w14:paraId="28D73C27" w14:textId="77777777" w:rsidR="00221C59" w:rsidRPr="00932413" w:rsidRDefault="00221C59" w:rsidP="00221C59">
            <w:pPr>
              <w:jc w:val="both"/>
              <w:rPr>
                <w:szCs w:val="20"/>
              </w:rPr>
            </w:pPr>
            <w:r w:rsidRPr="00932413">
              <w:rPr>
                <w:szCs w:val="20"/>
              </w:rPr>
              <w:t>Each question within each criterion has the same weight. A country would need to satisfy the threshold of “yes” responses per criterion to satisfy a criterion. Countries then will be classified as ‘fully meets requirements’, ‘approaches requirements’, and ‘does not meet requirements’ per the following matrices (There are 8 possible combinations of criteria being satisfied, Cases A-G below):</w:t>
            </w:r>
          </w:p>
          <w:p w14:paraId="642B6E7F" w14:textId="77777777" w:rsidR="00221C59" w:rsidRPr="00932413" w:rsidRDefault="00221C59" w:rsidP="00221C59">
            <w:pPr>
              <w:jc w:val="both"/>
              <w:rPr>
                <w:szCs w:val="20"/>
              </w:rPr>
            </w:pPr>
          </w:p>
          <w:tbl>
            <w:tblPr>
              <w:tblStyle w:val="TableGrid"/>
              <w:tblW w:w="0" w:type="auto"/>
              <w:tblLook w:val="04A0" w:firstRow="1" w:lastRow="0" w:firstColumn="1" w:lastColumn="0" w:noHBand="0" w:noVBand="1"/>
            </w:tblPr>
            <w:tblGrid>
              <w:gridCol w:w="1283"/>
              <w:gridCol w:w="1306"/>
              <w:gridCol w:w="1306"/>
              <w:gridCol w:w="1306"/>
            </w:tblGrid>
            <w:tr w:rsidR="00221C59" w:rsidRPr="00932413" w14:paraId="7A905713" w14:textId="77777777" w:rsidTr="006E0295">
              <w:tc>
                <w:tcPr>
                  <w:tcW w:w="5431" w:type="dxa"/>
                  <w:gridSpan w:val="4"/>
                  <w:shd w:val="clear" w:color="auto" w:fill="0070C0"/>
                </w:tcPr>
                <w:p w14:paraId="713ADF2B" w14:textId="77777777" w:rsidR="00221C59" w:rsidRPr="00932413" w:rsidRDefault="00221C59" w:rsidP="00221C59">
                  <w:pPr>
                    <w:jc w:val="center"/>
                    <w:rPr>
                      <w:color w:val="FFFFFF" w:themeColor="background1"/>
                      <w:szCs w:val="20"/>
                    </w:rPr>
                  </w:pPr>
                  <w:r w:rsidRPr="00932413">
                    <w:rPr>
                      <w:color w:val="FFFFFF" w:themeColor="background1"/>
                      <w:szCs w:val="20"/>
                    </w:rPr>
                    <w:t>Fully meets requirements</w:t>
                  </w:r>
                </w:p>
              </w:tc>
            </w:tr>
            <w:tr w:rsidR="00221C59" w:rsidRPr="00932413" w14:paraId="2F4B0D2C" w14:textId="77777777" w:rsidTr="00BC067F">
              <w:tc>
                <w:tcPr>
                  <w:tcW w:w="1357" w:type="dxa"/>
                  <w:shd w:val="clear" w:color="auto" w:fill="FFFFFF" w:themeFill="background1"/>
                </w:tcPr>
                <w:p w14:paraId="0E6967D2" w14:textId="77777777" w:rsidR="00221C59" w:rsidRPr="00932413" w:rsidRDefault="00221C59" w:rsidP="00221C59">
                  <w:pPr>
                    <w:jc w:val="both"/>
                    <w:rPr>
                      <w:szCs w:val="20"/>
                    </w:rPr>
                  </w:pPr>
                </w:p>
              </w:tc>
              <w:tc>
                <w:tcPr>
                  <w:tcW w:w="1358" w:type="dxa"/>
                  <w:shd w:val="clear" w:color="auto" w:fill="FFFFFF" w:themeFill="background1"/>
                </w:tcPr>
                <w:p w14:paraId="7CC096C3" w14:textId="77777777" w:rsidR="00221C59" w:rsidRPr="00932413" w:rsidRDefault="00221C59" w:rsidP="00221C59">
                  <w:pPr>
                    <w:jc w:val="center"/>
                    <w:rPr>
                      <w:szCs w:val="20"/>
                    </w:rPr>
                  </w:pPr>
                  <w:r w:rsidRPr="00932413">
                    <w:rPr>
                      <w:szCs w:val="20"/>
                    </w:rPr>
                    <w:t>Criterion 1</w:t>
                  </w:r>
                </w:p>
              </w:tc>
              <w:tc>
                <w:tcPr>
                  <w:tcW w:w="1358" w:type="dxa"/>
                  <w:shd w:val="clear" w:color="auto" w:fill="FFFFFF" w:themeFill="background1"/>
                </w:tcPr>
                <w:p w14:paraId="0364AEE1" w14:textId="77777777" w:rsidR="00221C59" w:rsidRPr="00932413" w:rsidRDefault="00221C59" w:rsidP="00221C59">
                  <w:pPr>
                    <w:jc w:val="center"/>
                    <w:rPr>
                      <w:szCs w:val="20"/>
                    </w:rPr>
                  </w:pPr>
                  <w:r w:rsidRPr="00932413">
                    <w:rPr>
                      <w:szCs w:val="20"/>
                    </w:rPr>
                    <w:t>Criterion 2</w:t>
                  </w:r>
                </w:p>
              </w:tc>
              <w:tc>
                <w:tcPr>
                  <w:tcW w:w="1358" w:type="dxa"/>
                  <w:shd w:val="clear" w:color="auto" w:fill="FFFFFF" w:themeFill="background1"/>
                </w:tcPr>
                <w:p w14:paraId="4895A0EA" w14:textId="77777777" w:rsidR="00221C59" w:rsidRPr="00932413" w:rsidRDefault="00221C59" w:rsidP="00221C59">
                  <w:pPr>
                    <w:jc w:val="center"/>
                    <w:rPr>
                      <w:szCs w:val="20"/>
                    </w:rPr>
                  </w:pPr>
                  <w:r w:rsidRPr="00932413">
                    <w:rPr>
                      <w:szCs w:val="20"/>
                    </w:rPr>
                    <w:t>Criterion 3</w:t>
                  </w:r>
                </w:p>
              </w:tc>
            </w:tr>
            <w:tr w:rsidR="00221C59" w:rsidRPr="00932413" w14:paraId="7EAC75FF" w14:textId="77777777" w:rsidTr="00BC067F">
              <w:tc>
                <w:tcPr>
                  <w:tcW w:w="1357" w:type="dxa"/>
                  <w:shd w:val="clear" w:color="auto" w:fill="FFFFFF" w:themeFill="background1"/>
                </w:tcPr>
                <w:p w14:paraId="6D45147E" w14:textId="77777777" w:rsidR="00221C59" w:rsidRPr="00932413" w:rsidRDefault="00221C59" w:rsidP="00221C59">
                  <w:pPr>
                    <w:jc w:val="center"/>
                    <w:rPr>
                      <w:szCs w:val="20"/>
                    </w:rPr>
                  </w:pPr>
                  <w:r w:rsidRPr="00932413">
                    <w:rPr>
                      <w:szCs w:val="20"/>
                    </w:rPr>
                    <w:t>Case A</w:t>
                  </w:r>
                </w:p>
              </w:tc>
              <w:tc>
                <w:tcPr>
                  <w:tcW w:w="1358" w:type="dxa"/>
                  <w:shd w:val="clear" w:color="auto" w:fill="FFFFFF" w:themeFill="background1"/>
                </w:tcPr>
                <w:p w14:paraId="0E3018DE"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6636B01F"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5B0F8D4C" w14:textId="77777777" w:rsidR="00221C59" w:rsidRPr="00932413" w:rsidRDefault="00221C59" w:rsidP="00221C59">
                  <w:pPr>
                    <w:jc w:val="center"/>
                    <w:rPr>
                      <w:szCs w:val="20"/>
                    </w:rPr>
                  </w:pPr>
                  <w:r w:rsidRPr="00932413">
                    <w:rPr>
                      <w:szCs w:val="20"/>
                    </w:rPr>
                    <w:sym w:font="Wingdings 2" w:char="F050"/>
                  </w:r>
                </w:p>
              </w:tc>
            </w:tr>
          </w:tbl>
          <w:p w14:paraId="3937AC3A" w14:textId="77777777" w:rsidR="00221C59" w:rsidRPr="00932413" w:rsidRDefault="00221C59" w:rsidP="00221C59">
            <w:pPr>
              <w:jc w:val="both"/>
              <w:rPr>
                <w:i/>
                <w:iCs/>
                <w:sz w:val="18"/>
                <w:szCs w:val="18"/>
              </w:rPr>
            </w:pPr>
            <w:r w:rsidRPr="00932413">
              <w:rPr>
                <w:i/>
                <w:iCs/>
                <w:sz w:val="18"/>
                <w:szCs w:val="18"/>
              </w:rPr>
              <w:t>Note: “Checked” boxes represent satisfied criteria; “unchecked” boxes represent unsatisfied criteria.</w:t>
            </w:r>
          </w:p>
          <w:p w14:paraId="27D6F8D3" w14:textId="77777777" w:rsidR="00221C59" w:rsidRPr="00932413" w:rsidRDefault="00221C59" w:rsidP="00221C59">
            <w:pPr>
              <w:jc w:val="both"/>
              <w:rPr>
                <w:i/>
                <w:iCs/>
                <w:szCs w:val="20"/>
              </w:rPr>
            </w:pPr>
          </w:p>
          <w:tbl>
            <w:tblPr>
              <w:tblStyle w:val="TableGrid"/>
              <w:tblW w:w="0" w:type="auto"/>
              <w:tblLook w:val="04A0" w:firstRow="1" w:lastRow="0" w:firstColumn="1" w:lastColumn="0" w:noHBand="0" w:noVBand="1"/>
            </w:tblPr>
            <w:tblGrid>
              <w:gridCol w:w="1283"/>
              <w:gridCol w:w="1306"/>
              <w:gridCol w:w="1306"/>
              <w:gridCol w:w="1306"/>
            </w:tblGrid>
            <w:tr w:rsidR="00221C59" w:rsidRPr="00932413" w14:paraId="16E43B60" w14:textId="77777777" w:rsidTr="006E0295">
              <w:tc>
                <w:tcPr>
                  <w:tcW w:w="5431" w:type="dxa"/>
                  <w:gridSpan w:val="4"/>
                  <w:shd w:val="clear" w:color="auto" w:fill="0070C0"/>
                </w:tcPr>
                <w:p w14:paraId="7D1482A0" w14:textId="77777777" w:rsidR="00221C59" w:rsidRPr="00932413" w:rsidRDefault="00221C59" w:rsidP="00221C59">
                  <w:pPr>
                    <w:jc w:val="center"/>
                    <w:rPr>
                      <w:color w:val="FFFFFF" w:themeColor="background1"/>
                      <w:szCs w:val="20"/>
                    </w:rPr>
                  </w:pPr>
                  <w:r w:rsidRPr="00932413">
                    <w:rPr>
                      <w:color w:val="FFFFFF" w:themeColor="background1"/>
                      <w:szCs w:val="20"/>
                    </w:rPr>
                    <w:t>Approaches requirements</w:t>
                  </w:r>
                </w:p>
              </w:tc>
            </w:tr>
            <w:tr w:rsidR="00221C59" w:rsidRPr="00932413" w14:paraId="26565F38" w14:textId="77777777" w:rsidTr="006E0295">
              <w:tc>
                <w:tcPr>
                  <w:tcW w:w="1357" w:type="dxa"/>
                  <w:shd w:val="clear" w:color="auto" w:fill="FFFFFF" w:themeFill="background1"/>
                </w:tcPr>
                <w:p w14:paraId="4CC6801B" w14:textId="77777777" w:rsidR="00221C59" w:rsidRPr="00932413" w:rsidRDefault="00221C59" w:rsidP="00221C59">
                  <w:pPr>
                    <w:jc w:val="both"/>
                    <w:rPr>
                      <w:szCs w:val="20"/>
                    </w:rPr>
                  </w:pPr>
                </w:p>
              </w:tc>
              <w:tc>
                <w:tcPr>
                  <w:tcW w:w="1358" w:type="dxa"/>
                  <w:shd w:val="clear" w:color="auto" w:fill="FFFFFF" w:themeFill="background1"/>
                </w:tcPr>
                <w:p w14:paraId="762D686B" w14:textId="77777777" w:rsidR="00221C59" w:rsidRPr="00932413" w:rsidRDefault="00221C59" w:rsidP="00221C59">
                  <w:pPr>
                    <w:jc w:val="center"/>
                    <w:rPr>
                      <w:szCs w:val="20"/>
                    </w:rPr>
                  </w:pPr>
                  <w:r w:rsidRPr="00932413">
                    <w:rPr>
                      <w:szCs w:val="20"/>
                    </w:rPr>
                    <w:t>Criterion 1</w:t>
                  </w:r>
                </w:p>
              </w:tc>
              <w:tc>
                <w:tcPr>
                  <w:tcW w:w="1358" w:type="dxa"/>
                  <w:shd w:val="clear" w:color="auto" w:fill="FFFFFF" w:themeFill="background1"/>
                </w:tcPr>
                <w:p w14:paraId="470BBE31" w14:textId="77777777" w:rsidR="00221C59" w:rsidRPr="00932413" w:rsidRDefault="00221C59" w:rsidP="00221C59">
                  <w:pPr>
                    <w:jc w:val="center"/>
                    <w:rPr>
                      <w:szCs w:val="20"/>
                    </w:rPr>
                  </w:pPr>
                  <w:r w:rsidRPr="00932413">
                    <w:rPr>
                      <w:szCs w:val="20"/>
                    </w:rPr>
                    <w:t>Criterion 2</w:t>
                  </w:r>
                </w:p>
              </w:tc>
              <w:tc>
                <w:tcPr>
                  <w:tcW w:w="1358" w:type="dxa"/>
                  <w:shd w:val="clear" w:color="auto" w:fill="FFFFFF" w:themeFill="background1"/>
                </w:tcPr>
                <w:p w14:paraId="288C383E" w14:textId="77777777" w:rsidR="00221C59" w:rsidRPr="00932413" w:rsidRDefault="00221C59" w:rsidP="00221C59">
                  <w:pPr>
                    <w:jc w:val="center"/>
                    <w:rPr>
                      <w:szCs w:val="20"/>
                    </w:rPr>
                  </w:pPr>
                  <w:r w:rsidRPr="00932413">
                    <w:rPr>
                      <w:szCs w:val="20"/>
                    </w:rPr>
                    <w:t>Criterion 3</w:t>
                  </w:r>
                </w:p>
              </w:tc>
            </w:tr>
            <w:tr w:rsidR="00221C59" w:rsidRPr="00932413" w14:paraId="7F93B87F" w14:textId="77777777" w:rsidTr="006E0295">
              <w:tc>
                <w:tcPr>
                  <w:tcW w:w="1357" w:type="dxa"/>
                  <w:shd w:val="clear" w:color="auto" w:fill="FFFFFF" w:themeFill="background1"/>
                </w:tcPr>
                <w:p w14:paraId="5A8F9FC3" w14:textId="77777777" w:rsidR="00221C59" w:rsidRPr="00932413" w:rsidRDefault="00221C59" w:rsidP="00221C59">
                  <w:pPr>
                    <w:jc w:val="center"/>
                    <w:rPr>
                      <w:szCs w:val="20"/>
                    </w:rPr>
                  </w:pPr>
                  <w:r w:rsidRPr="00932413">
                    <w:rPr>
                      <w:szCs w:val="20"/>
                    </w:rPr>
                    <w:t>Case B</w:t>
                  </w:r>
                </w:p>
              </w:tc>
              <w:tc>
                <w:tcPr>
                  <w:tcW w:w="1358" w:type="dxa"/>
                  <w:shd w:val="clear" w:color="auto" w:fill="FFFFFF" w:themeFill="background1"/>
                </w:tcPr>
                <w:p w14:paraId="52F0F36D"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00B7728B" w14:textId="77777777" w:rsidR="00221C59" w:rsidRPr="00932413" w:rsidRDefault="00221C59" w:rsidP="00221C59">
                  <w:pPr>
                    <w:jc w:val="center"/>
                    <w:rPr>
                      <w:szCs w:val="20"/>
                    </w:rPr>
                  </w:pPr>
                </w:p>
              </w:tc>
              <w:tc>
                <w:tcPr>
                  <w:tcW w:w="1358" w:type="dxa"/>
                  <w:shd w:val="clear" w:color="auto" w:fill="FFFFFF" w:themeFill="background1"/>
                </w:tcPr>
                <w:p w14:paraId="18B1FF16" w14:textId="77777777" w:rsidR="00221C59" w:rsidRPr="00932413" w:rsidRDefault="00221C59" w:rsidP="00221C59">
                  <w:pPr>
                    <w:jc w:val="center"/>
                    <w:rPr>
                      <w:szCs w:val="20"/>
                    </w:rPr>
                  </w:pPr>
                </w:p>
              </w:tc>
            </w:tr>
            <w:tr w:rsidR="00221C59" w:rsidRPr="00932413" w14:paraId="2A719FD6" w14:textId="77777777" w:rsidTr="006E0295">
              <w:tc>
                <w:tcPr>
                  <w:tcW w:w="1357" w:type="dxa"/>
                  <w:shd w:val="clear" w:color="auto" w:fill="FFFFFF" w:themeFill="background1"/>
                </w:tcPr>
                <w:p w14:paraId="6119CCBE" w14:textId="77777777" w:rsidR="00221C59" w:rsidRPr="00932413" w:rsidRDefault="00221C59" w:rsidP="00221C59">
                  <w:pPr>
                    <w:jc w:val="center"/>
                    <w:rPr>
                      <w:szCs w:val="20"/>
                    </w:rPr>
                  </w:pPr>
                  <w:r w:rsidRPr="00932413">
                    <w:rPr>
                      <w:szCs w:val="20"/>
                    </w:rPr>
                    <w:t>Case C</w:t>
                  </w:r>
                </w:p>
              </w:tc>
              <w:tc>
                <w:tcPr>
                  <w:tcW w:w="1358" w:type="dxa"/>
                  <w:shd w:val="clear" w:color="auto" w:fill="FFFFFF" w:themeFill="background1"/>
                </w:tcPr>
                <w:p w14:paraId="35D08D22" w14:textId="77777777" w:rsidR="00221C59" w:rsidRPr="00932413" w:rsidRDefault="00221C59" w:rsidP="00221C59">
                  <w:pPr>
                    <w:jc w:val="center"/>
                    <w:rPr>
                      <w:szCs w:val="20"/>
                    </w:rPr>
                  </w:pPr>
                </w:p>
              </w:tc>
              <w:tc>
                <w:tcPr>
                  <w:tcW w:w="1358" w:type="dxa"/>
                  <w:shd w:val="clear" w:color="auto" w:fill="FFFFFF" w:themeFill="background1"/>
                </w:tcPr>
                <w:p w14:paraId="1CC331B6"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0756DD3A" w14:textId="77777777" w:rsidR="00221C59" w:rsidRPr="00932413" w:rsidRDefault="00221C59" w:rsidP="00221C59">
                  <w:pPr>
                    <w:jc w:val="center"/>
                    <w:rPr>
                      <w:szCs w:val="20"/>
                    </w:rPr>
                  </w:pPr>
                </w:p>
              </w:tc>
            </w:tr>
            <w:tr w:rsidR="00221C59" w:rsidRPr="00932413" w14:paraId="641D7B9B" w14:textId="77777777" w:rsidTr="006E0295">
              <w:tc>
                <w:tcPr>
                  <w:tcW w:w="1357" w:type="dxa"/>
                  <w:shd w:val="clear" w:color="auto" w:fill="FFFFFF" w:themeFill="background1"/>
                </w:tcPr>
                <w:p w14:paraId="640D9D32" w14:textId="77777777" w:rsidR="00221C59" w:rsidRPr="00932413" w:rsidRDefault="00221C59" w:rsidP="00221C59">
                  <w:pPr>
                    <w:jc w:val="center"/>
                    <w:rPr>
                      <w:szCs w:val="20"/>
                    </w:rPr>
                  </w:pPr>
                  <w:r w:rsidRPr="00932413">
                    <w:rPr>
                      <w:szCs w:val="20"/>
                    </w:rPr>
                    <w:t>Case D</w:t>
                  </w:r>
                </w:p>
              </w:tc>
              <w:tc>
                <w:tcPr>
                  <w:tcW w:w="1358" w:type="dxa"/>
                  <w:shd w:val="clear" w:color="auto" w:fill="FFFFFF" w:themeFill="background1"/>
                </w:tcPr>
                <w:p w14:paraId="795479CD" w14:textId="77777777" w:rsidR="00221C59" w:rsidRPr="00932413" w:rsidRDefault="00221C59" w:rsidP="00221C59">
                  <w:pPr>
                    <w:jc w:val="center"/>
                    <w:rPr>
                      <w:szCs w:val="20"/>
                    </w:rPr>
                  </w:pPr>
                </w:p>
              </w:tc>
              <w:tc>
                <w:tcPr>
                  <w:tcW w:w="1358" w:type="dxa"/>
                  <w:shd w:val="clear" w:color="auto" w:fill="FFFFFF" w:themeFill="background1"/>
                </w:tcPr>
                <w:p w14:paraId="38D1AA3B" w14:textId="77777777" w:rsidR="00221C59" w:rsidRPr="00932413" w:rsidRDefault="00221C59" w:rsidP="00221C59">
                  <w:pPr>
                    <w:jc w:val="center"/>
                    <w:rPr>
                      <w:szCs w:val="20"/>
                    </w:rPr>
                  </w:pPr>
                </w:p>
              </w:tc>
              <w:tc>
                <w:tcPr>
                  <w:tcW w:w="1358" w:type="dxa"/>
                  <w:shd w:val="clear" w:color="auto" w:fill="FFFFFF" w:themeFill="background1"/>
                </w:tcPr>
                <w:p w14:paraId="5E7C5D8B" w14:textId="77777777" w:rsidR="00221C59" w:rsidRPr="00932413" w:rsidRDefault="00221C59" w:rsidP="00221C59">
                  <w:pPr>
                    <w:jc w:val="center"/>
                    <w:rPr>
                      <w:szCs w:val="20"/>
                    </w:rPr>
                  </w:pPr>
                  <w:r w:rsidRPr="00932413">
                    <w:rPr>
                      <w:szCs w:val="20"/>
                    </w:rPr>
                    <w:sym w:font="Wingdings 2" w:char="F050"/>
                  </w:r>
                </w:p>
              </w:tc>
            </w:tr>
            <w:tr w:rsidR="00221C59" w:rsidRPr="00932413" w14:paraId="41825D3C" w14:textId="77777777" w:rsidTr="006E0295">
              <w:tc>
                <w:tcPr>
                  <w:tcW w:w="1357" w:type="dxa"/>
                  <w:shd w:val="clear" w:color="auto" w:fill="FFFFFF" w:themeFill="background1"/>
                </w:tcPr>
                <w:p w14:paraId="5A1BC88B" w14:textId="77777777" w:rsidR="00221C59" w:rsidRPr="00932413" w:rsidRDefault="00221C59" w:rsidP="00221C59">
                  <w:pPr>
                    <w:jc w:val="center"/>
                    <w:rPr>
                      <w:szCs w:val="20"/>
                    </w:rPr>
                  </w:pPr>
                  <w:r w:rsidRPr="00932413">
                    <w:rPr>
                      <w:szCs w:val="20"/>
                    </w:rPr>
                    <w:lastRenderedPageBreak/>
                    <w:t>Case E</w:t>
                  </w:r>
                </w:p>
              </w:tc>
              <w:tc>
                <w:tcPr>
                  <w:tcW w:w="1358" w:type="dxa"/>
                  <w:shd w:val="clear" w:color="auto" w:fill="FFFFFF" w:themeFill="background1"/>
                </w:tcPr>
                <w:p w14:paraId="76E95129"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6FDB9BD6"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56F64A04" w14:textId="77777777" w:rsidR="00221C59" w:rsidRPr="00932413" w:rsidRDefault="00221C59" w:rsidP="00221C59">
                  <w:pPr>
                    <w:jc w:val="center"/>
                    <w:rPr>
                      <w:szCs w:val="20"/>
                    </w:rPr>
                  </w:pPr>
                </w:p>
              </w:tc>
            </w:tr>
            <w:tr w:rsidR="00221C59" w:rsidRPr="00932413" w14:paraId="37F9B386" w14:textId="77777777" w:rsidTr="006E0295">
              <w:tc>
                <w:tcPr>
                  <w:tcW w:w="1357" w:type="dxa"/>
                  <w:shd w:val="clear" w:color="auto" w:fill="FFFFFF" w:themeFill="background1"/>
                </w:tcPr>
                <w:p w14:paraId="413FA236" w14:textId="77777777" w:rsidR="00221C59" w:rsidRPr="00932413" w:rsidRDefault="00221C59" w:rsidP="00221C59">
                  <w:pPr>
                    <w:jc w:val="center"/>
                    <w:rPr>
                      <w:szCs w:val="20"/>
                    </w:rPr>
                  </w:pPr>
                  <w:r w:rsidRPr="00932413">
                    <w:rPr>
                      <w:szCs w:val="20"/>
                    </w:rPr>
                    <w:t>Case F</w:t>
                  </w:r>
                </w:p>
              </w:tc>
              <w:tc>
                <w:tcPr>
                  <w:tcW w:w="1358" w:type="dxa"/>
                  <w:shd w:val="clear" w:color="auto" w:fill="FFFFFF" w:themeFill="background1"/>
                </w:tcPr>
                <w:p w14:paraId="413EBC2C"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1EC5B390" w14:textId="77777777" w:rsidR="00221C59" w:rsidRPr="00932413" w:rsidRDefault="00221C59" w:rsidP="00221C59">
                  <w:pPr>
                    <w:jc w:val="center"/>
                    <w:rPr>
                      <w:szCs w:val="20"/>
                    </w:rPr>
                  </w:pPr>
                </w:p>
              </w:tc>
              <w:tc>
                <w:tcPr>
                  <w:tcW w:w="1358" w:type="dxa"/>
                  <w:shd w:val="clear" w:color="auto" w:fill="FFFFFF" w:themeFill="background1"/>
                </w:tcPr>
                <w:p w14:paraId="21864B0B" w14:textId="77777777" w:rsidR="00221C59" w:rsidRPr="00932413" w:rsidRDefault="00221C59" w:rsidP="00221C59">
                  <w:pPr>
                    <w:jc w:val="center"/>
                    <w:rPr>
                      <w:szCs w:val="20"/>
                    </w:rPr>
                  </w:pPr>
                  <w:r w:rsidRPr="00932413">
                    <w:rPr>
                      <w:szCs w:val="20"/>
                    </w:rPr>
                    <w:sym w:font="Wingdings 2" w:char="F050"/>
                  </w:r>
                </w:p>
              </w:tc>
            </w:tr>
            <w:tr w:rsidR="00221C59" w:rsidRPr="00932413" w14:paraId="70928E6F" w14:textId="77777777" w:rsidTr="006E0295">
              <w:tc>
                <w:tcPr>
                  <w:tcW w:w="1357" w:type="dxa"/>
                  <w:shd w:val="clear" w:color="auto" w:fill="FFFFFF" w:themeFill="background1"/>
                </w:tcPr>
                <w:p w14:paraId="0168DCF2" w14:textId="77777777" w:rsidR="00221C59" w:rsidRPr="00932413" w:rsidRDefault="00221C59" w:rsidP="00221C59">
                  <w:pPr>
                    <w:jc w:val="center"/>
                    <w:rPr>
                      <w:szCs w:val="20"/>
                    </w:rPr>
                  </w:pPr>
                  <w:r w:rsidRPr="00932413">
                    <w:rPr>
                      <w:szCs w:val="20"/>
                    </w:rPr>
                    <w:t>Case G</w:t>
                  </w:r>
                </w:p>
              </w:tc>
              <w:tc>
                <w:tcPr>
                  <w:tcW w:w="1358" w:type="dxa"/>
                  <w:shd w:val="clear" w:color="auto" w:fill="FFFFFF" w:themeFill="background1"/>
                </w:tcPr>
                <w:p w14:paraId="2EF0EB69" w14:textId="77777777" w:rsidR="00221C59" w:rsidRPr="00932413" w:rsidRDefault="00221C59" w:rsidP="00221C59">
                  <w:pPr>
                    <w:jc w:val="center"/>
                    <w:rPr>
                      <w:szCs w:val="20"/>
                    </w:rPr>
                  </w:pPr>
                </w:p>
              </w:tc>
              <w:tc>
                <w:tcPr>
                  <w:tcW w:w="1358" w:type="dxa"/>
                  <w:shd w:val="clear" w:color="auto" w:fill="FFFFFF" w:themeFill="background1"/>
                </w:tcPr>
                <w:p w14:paraId="6B83D729" w14:textId="77777777" w:rsidR="00221C59" w:rsidRPr="00932413" w:rsidRDefault="00221C59" w:rsidP="00221C59">
                  <w:pPr>
                    <w:jc w:val="center"/>
                    <w:rPr>
                      <w:szCs w:val="20"/>
                    </w:rPr>
                  </w:pPr>
                  <w:r w:rsidRPr="00932413">
                    <w:rPr>
                      <w:szCs w:val="20"/>
                    </w:rPr>
                    <w:sym w:font="Wingdings 2" w:char="F050"/>
                  </w:r>
                </w:p>
              </w:tc>
              <w:tc>
                <w:tcPr>
                  <w:tcW w:w="1358" w:type="dxa"/>
                  <w:shd w:val="clear" w:color="auto" w:fill="FFFFFF" w:themeFill="background1"/>
                </w:tcPr>
                <w:p w14:paraId="3BE23831" w14:textId="77777777" w:rsidR="00221C59" w:rsidRPr="00932413" w:rsidRDefault="00221C59" w:rsidP="00221C59">
                  <w:pPr>
                    <w:jc w:val="center"/>
                    <w:rPr>
                      <w:szCs w:val="20"/>
                    </w:rPr>
                  </w:pPr>
                  <w:r w:rsidRPr="00932413">
                    <w:rPr>
                      <w:szCs w:val="20"/>
                    </w:rPr>
                    <w:sym w:font="Wingdings 2" w:char="F050"/>
                  </w:r>
                </w:p>
              </w:tc>
            </w:tr>
          </w:tbl>
          <w:p w14:paraId="416F21F9" w14:textId="77777777" w:rsidR="00221C59" w:rsidRPr="00932413" w:rsidRDefault="00221C59" w:rsidP="00221C59">
            <w:pPr>
              <w:jc w:val="both"/>
              <w:rPr>
                <w:i/>
                <w:iCs/>
                <w:sz w:val="18"/>
                <w:szCs w:val="18"/>
              </w:rPr>
            </w:pPr>
            <w:r w:rsidRPr="00932413">
              <w:rPr>
                <w:i/>
                <w:iCs/>
                <w:sz w:val="18"/>
                <w:szCs w:val="18"/>
              </w:rPr>
              <w:t>Note: “Checked” boxes represent satisfied criteria; “unchecked” boxes represent unsatisfied criteria.</w:t>
            </w:r>
          </w:p>
          <w:p w14:paraId="5F772BCA" w14:textId="77777777" w:rsidR="00221C59" w:rsidRPr="00932413" w:rsidRDefault="00221C59" w:rsidP="00221C59">
            <w:pPr>
              <w:jc w:val="both"/>
              <w:rPr>
                <w:i/>
                <w:iCs/>
                <w:szCs w:val="20"/>
              </w:rPr>
            </w:pPr>
          </w:p>
          <w:tbl>
            <w:tblPr>
              <w:tblStyle w:val="TableGrid"/>
              <w:tblW w:w="0" w:type="auto"/>
              <w:tblLook w:val="04A0" w:firstRow="1" w:lastRow="0" w:firstColumn="1" w:lastColumn="0" w:noHBand="0" w:noVBand="1"/>
            </w:tblPr>
            <w:tblGrid>
              <w:gridCol w:w="1283"/>
              <w:gridCol w:w="1306"/>
              <w:gridCol w:w="1306"/>
              <w:gridCol w:w="1306"/>
            </w:tblGrid>
            <w:tr w:rsidR="00221C59" w:rsidRPr="00932413" w14:paraId="689A54FC" w14:textId="77777777" w:rsidTr="006E0295">
              <w:tc>
                <w:tcPr>
                  <w:tcW w:w="5431" w:type="dxa"/>
                  <w:gridSpan w:val="4"/>
                  <w:shd w:val="clear" w:color="auto" w:fill="0070C0"/>
                </w:tcPr>
                <w:p w14:paraId="79D7D885" w14:textId="77777777" w:rsidR="00221C59" w:rsidRPr="00932413" w:rsidRDefault="00221C59" w:rsidP="00221C59">
                  <w:pPr>
                    <w:jc w:val="center"/>
                    <w:rPr>
                      <w:color w:val="FFFFFF" w:themeColor="background1"/>
                      <w:szCs w:val="20"/>
                    </w:rPr>
                  </w:pPr>
                  <w:r w:rsidRPr="00932413">
                    <w:rPr>
                      <w:color w:val="FFFFFF" w:themeColor="background1"/>
                      <w:szCs w:val="20"/>
                    </w:rPr>
                    <w:t>Does not meet requirements</w:t>
                  </w:r>
                </w:p>
              </w:tc>
            </w:tr>
            <w:tr w:rsidR="00221C59" w:rsidRPr="00932413" w14:paraId="64243965" w14:textId="77777777" w:rsidTr="006E0295">
              <w:tc>
                <w:tcPr>
                  <w:tcW w:w="1357" w:type="dxa"/>
                  <w:shd w:val="clear" w:color="auto" w:fill="FFFFFF" w:themeFill="background1"/>
                </w:tcPr>
                <w:p w14:paraId="03BB2C54" w14:textId="77777777" w:rsidR="00221C59" w:rsidRPr="00932413" w:rsidRDefault="00221C59" w:rsidP="00221C59">
                  <w:pPr>
                    <w:jc w:val="both"/>
                    <w:rPr>
                      <w:szCs w:val="20"/>
                    </w:rPr>
                  </w:pPr>
                </w:p>
              </w:tc>
              <w:tc>
                <w:tcPr>
                  <w:tcW w:w="1358" w:type="dxa"/>
                  <w:shd w:val="clear" w:color="auto" w:fill="FFFFFF" w:themeFill="background1"/>
                </w:tcPr>
                <w:p w14:paraId="3EA051C1" w14:textId="77777777" w:rsidR="00221C59" w:rsidRPr="00932413" w:rsidRDefault="00221C59" w:rsidP="00221C59">
                  <w:pPr>
                    <w:jc w:val="center"/>
                    <w:rPr>
                      <w:szCs w:val="20"/>
                    </w:rPr>
                  </w:pPr>
                  <w:r w:rsidRPr="00932413">
                    <w:rPr>
                      <w:szCs w:val="20"/>
                    </w:rPr>
                    <w:t>Criterion 1</w:t>
                  </w:r>
                </w:p>
              </w:tc>
              <w:tc>
                <w:tcPr>
                  <w:tcW w:w="1358" w:type="dxa"/>
                  <w:shd w:val="clear" w:color="auto" w:fill="FFFFFF" w:themeFill="background1"/>
                </w:tcPr>
                <w:p w14:paraId="276D3EA5" w14:textId="77777777" w:rsidR="00221C59" w:rsidRPr="00932413" w:rsidRDefault="00221C59" w:rsidP="00221C59">
                  <w:pPr>
                    <w:jc w:val="center"/>
                    <w:rPr>
                      <w:szCs w:val="20"/>
                    </w:rPr>
                  </w:pPr>
                  <w:r w:rsidRPr="00932413">
                    <w:rPr>
                      <w:szCs w:val="20"/>
                    </w:rPr>
                    <w:t>Criterion 2</w:t>
                  </w:r>
                </w:p>
              </w:tc>
              <w:tc>
                <w:tcPr>
                  <w:tcW w:w="1358" w:type="dxa"/>
                  <w:shd w:val="clear" w:color="auto" w:fill="FFFFFF" w:themeFill="background1"/>
                </w:tcPr>
                <w:p w14:paraId="2508F824" w14:textId="77777777" w:rsidR="00221C59" w:rsidRPr="00932413" w:rsidRDefault="00221C59" w:rsidP="00221C59">
                  <w:pPr>
                    <w:jc w:val="center"/>
                    <w:rPr>
                      <w:szCs w:val="20"/>
                    </w:rPr>
                  </w:pPr>
                  <w:r w:rsidRPr="00932413">
                    <w:rPr>
                      <w:szCs w:val="20"/>
                    </w:rPr>
                    <w:t>Criterion 3</w:t>
                  </w:r>
                </w:p>
              </w:tc>
            </w:tr>
            <w:tr w:rsidR="00221C59" w:rsidRPr="00932413" w14:paraId="142C1E6E" w14:textId="77777777" w:rsidTr="006E0295">
              <w:tc>
                <w:tcPr>
                  <w:tcW w:w="1357" w:type="dxa"/>
                  <w:shd w:val="clear" w:color="auto" w:fill="FFFFFF" w:themeFill="background1"/>
                </w:tcPr>
                <w:p w14:paraId="5CBAB9FF" w14:textId="77777777" w:rsidR="00221C59" w:rsidRPr="00932413" w:rsidRDefault="00221C59" w:rsidP="00221C59">
                  <w:pPr>
                    <w:jc w:val="center"/>
                    <w:rPr>
                      <w:szCs w:val="20"/>
                    </w:rPr>
                  </w:pPr>
                  <w:r w:rsidRPr="00932413">
                    <w:rPr>
                      <w:szCs w:val="20"/>
                    </w:rPr>
                    <w:t>Case H</w:t>
                  </w:r>
                </w:p>
              </w:tc>
              <w:tc>
                <w:tcPr>
                  <w:tcW w:w="1358" w:type="dxa"/>
                  <w:shd w:val="clear" w:color="auto" w:fill="FFFFFF" w:themeFill="background1"/>
                </w:tcPr>
                <w:p w14:paraId="027E5178" w14:textId="77777777" w:rsidR="00221C59" w:rsidRPr="00932413" w:rsidRDefault="00221C59" w:rsidP="00221C59">
                  <w:pPr>
                    <w:jc w:val="center"/>
                    <w:rPr>
                      <w:szCs w:val="20"/>
                    </w:rPr>
                  </w:pPr>
                </w:p>
              </w:tc>
              <w:tc>
                <w:tcPr>
                  <w:tcW w:w="1358" w:type="dxa"/>
                  <w:shd w:val="clear" w:color="auto" w:fill="FFFFFF" w:themeFill="background1"/>
                </w:tcPr>
                <w:p w14:paraId="4308164D" w14:textId="77777777" w:rsidR="00221C59" w:rsidRPr="00932413" w:rsidRDefault="00221C59" w:rsidP="00221C59">
                  <w:pPr>
                    <w:jc w:val="center"/>
                    <w:rPr>
                      <w:szCs w:val="20"/>
                    </w:rPr>
                  </w:pPr>
                </w:p>
              </w:tc>
              <w:tc>
                <w:tcPr>
                  <w:tcW w:w="1358" w:type="dxa"/>
                  <w:shd w:val="clear" w:color="auto" w:fill="FFFFFF" w:themeFill="background1"/>
                </w:tcPr>
                <w:p w14:paraId="284C5A2C" w14:textId="77777777" w:rsidR="00221C59" w:rsidRPr="00932413" w:rsidRDefault="00221C59" w:rsidP="00221C59">
                  <w:pPr>
                    <w:jc w:val="center"/>
                    <w:rPr>
                      <w:szCs w:val="20"/>
                    </w:rPr>
                  </w:pPr>
                </w:p>
              </w:tc>
            </w:tr>
          </w:tbl>
          <w:p w14:paraId="7B9830A2" w14:textId="77777777" w:rsidR="00221C59" w:rsidRPr="00932413" w:rsidRDefault="00221C59" w:rsidP="00221C59">
            <w:pPr>
              <w:jc w:val="both"/>
              <w:rPr>
                <w:i/>
                <w:iCs/>
                <w:sz w:val="18"/>
                <w:szCs w:val="18"/>
              </w:rPr>
            </w:pPr>
            <w:r w:rsidRPr="00932413">
              <w:rPr>
                <w:i/>
                <w:iCs/>
                <w:sz w:val="18"/>
                <w:szCs w:val="18"/>
              </w:rPr>
              <w:t>Note: “Checked” boxes represent satisfied criteria; “unchecked” boxes represent unsatisfied criteria.</w:t>
            </w:r>
          </w:p>
          <w:p w14:paraId="188EAC6B" w14:textId="77777777" w:rsidR="00221C59" w:rsidRPr="00932413" w:rsidRDefault="00221C59" w:rsidP="00221C59">
            <w:pPr>
              <w:jc w:val="both"/>
              <w:rPr>
                <w:i/>
                <w:iCs/>
                <w:szCs w:val="20"/>
              </w:rPr>
            </w:pPr>
          </w:p>
          <w:p w14:paraId="34793833" w14:textId="77777777" w:rsidR="00221C59" w:rsidRDefault="00221C59" w:rsidP="00221C59">
            <w:pPr>
              <w:jc w:val="both"/>
              <w:rPr>
                <w:szCs w:val="20"/>
              </w:rPr>
            </w:pPr>
            <w:r w:rsidRPr="00932413">
              <w:rPr>
                <w:szCs w:val="20"/>
              </w:rPr>
              <w:t>Because the three criteria are equally important, a country would need to satisfy the three to fully meet requirements.</w:t>
            </w:r>
          </w:p>
          <w:p w14:paraId="296DC044" w14:textId="77777777" w:rsidR="00221C59" w:rsidRPr="00932413" w:rsidRDefault="00221C59" w:rsidP="00221C59">
            <w:pPr>
              <w:jc w:val="both"/>
              <w:rPr>
                <w:szCs w:val="20"/>
              </w:rPr>
            </w:pPr>
          </w:p>
          <w:p w14:paraId="7275ABF8" w14:textId="77777777" w:rsidR="00221C59" w:rsidRDefault="00221C59" w:rsidP="00221C59">
            <w:pPr>
              <w:jc w:val="both"/>
              <w:rPr>
                <w:b/>
                <w:bCs/>
                <w:szCs w:val="20"/>
              </w:rPr>
            </w:pPr>
            <w:r w:rsidRPr="00932413">
              <w:rPr>
                <w:b/>
                <w:bCs/>
                <w:szCs w:val="20"/>
              </w:rPr>
              <w:t xml:space="preserve">Concept Definitions: </w:t>
            </w:r>
          </w:p>
          <w:p w14:paraId="27533CEF" w14:textId="77777777" w:rsidR="00221C59" w:rsidRPr="00932413" w:rsidRDefault="00221C59" w:rsidP="00221C59">
            <w:pPr>
              <w:jc w:val="both"/>
              <w:rPr>
                <w:b/>
                <w:bCs/>
                <w:szCs w:val="20"/>
              </w:rPr>
            </w:pPr>
          </w:p>
          <w:p w14:paraId="3F556FC5" w14:textId="77777777" w:rsidR="00221C59" w:rsidRPr="00932413" w:rsidRDefault="00221C59" w:rsidP="00221C59">
            <w:pPr>
              <w:jc w:val="both"/>
              <w:rPr>
                <w:i/>
                <w:iCs/>
                <w:szCs w:val="20"/>
              </w:rPr>
            </w:pPr>
            <w:r w:rsidRPr="00932413">
              <w:rPr>
                <w:i/>
                <w:iCs/>
                <w:szCs w:val="20"/>
              </w:rPr>
              <w:t xml:space="preserve">For Criterion 1: </w:t>
            </w:r>
          </w:p>
          <w:p w14:paraId="4BADB554" w14:textId="77777777" w:rsidR="00221C59" w:rsidRPr="00932413" w:rsidRDefault="00221C59" w:rsidP="00221C59">
            <w:pPr>
              <w:pStyle w:val="ListParagraph"/>
              <w:numPr>
                <w:ilvl w:val="0"/>
                <w:numId w:val="39"/>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“Programs or policies of the government, that are designed to address well-identified gender equality goals”</w:t>
            </w:r>
            <w:r w:rsidRPr="00932413">
              <w:rPr>
                <w:rFonts w:ascii="Tw Cen MT Condensed" w:hAnsi="Tw Cen MT Condensed"/>
                <w:sz w:val="20"/>
                <w:szCs w:val="20"/>
              </w:rPr>
              <w:t xml:space="preserve"> can be defined as: </w:t>
            </w:r>
          </w:p>
          <w:p w14:paraId="62122C68" w14:textId="77777777" w:rsidR="00221C59" w:rsidRPr="00932413" w:rsidRDefault="00221C59" w:rsidP="00221C59">
            <w:pPr>
              <w:pStyle w:val="ListParagraph"/>
              <w:numPr>
                <w:ilvl w:val="1"/>
                <w:numId w:val="39"/>
              </w:numPr>
              <w:spacing w:after="0"/>
              <w:ind w:left="310" w:hanging="180"/>
              <w:jc w:val="both"/>
              <w:rPr>
                <w:rFonts w:ascii="Tw Cen MT Condensed" w:hAnsi="Tw Cen MT Condensed"/>
                <w:sz w:val="20"/>
                <w:szCs w:val="20"/>
              </w:rPr>
            </w:pPr>
            <w:r w:rsidRPr="00932413">
              <w:rPr>
                <w:rFonts w:ascii="Tw Cen MT Condensed" w:hAnsi="Tw Cen MT Condensed"/>
                <w:sz w:val="20"/>
                <w:szCs w:val="20"/>
              </w:rPr>
              <w:t xml:space="preserve">Programs or policies that specifically target only women and/or girls. For example, a government program that provides scholarships for girls only, or a prenatal care program, or a National Action Plan on Gender Equality; or </w:t>
            </w:r>
          </w:p>
          <w:p w14:paraId="6E3E8A43" w14:textId="77777777" w:rsidR="00221C59" w:rsidRPr="00932413" w:rsidRDefault="00221C59" w:rsidP="00221C59">
            <w:pPr>
              <w:pStyle w:val="ListParagraph"/>
              <w:numPr>
                <w:ilvl w:val="1"/>
                <w:numId w:val="39"/>
              </w:numPr>
              <w:spacing w:after="0"/>
              <w:ind w:left="310" w:hanging="180"/>
              <w:jc w:val="both"/>
              <w:rPr>
                <w:rFonts w:ascii="Tw Cen MT Condensed" w:hAnsi="Tw Cen MT Condensed"/>
                <w:sz w:val="20"/>
                <w:szCs w:val="20"/>
              </w:rPr>
            </w:pPr>
            <w:r w:rsidRPr="00932413">
              <w:rPr>
                <w:rFonts w:ascii="Tw Cen MT Condensed" w:hAnsi="Tw Cen MT Condensed"/>
                <w:sz w:val="20"/>
                <w:szCs w:val="20"/>
              </w:rPr>
              <w:t xml:space="preserve">Programs or policies that target both women or girls and men or boys and have gender equality as the primary objective. For example, a national public information campaign against gender violence, or on-the-job training programs on gender equality; or </w:t>
            </w:r>
          </w:p>
          <w:p w14:paraId="704B2F89" w14:textId="77777777" w:rsidR="00221C59" w:rsidRPr="00932413" w:rsidRDefault="00221C59" w:rsidP="00221C59">
            <w:pPr>
              <w:pStyle w:val="ListParagraph"/>
              <w:numPr>
                <w:ilvl w:val="1"/>
                <w:numId w:val="39"/>
              </w:numPr>
              <w:spacing w:after="0"/>
              <w:ind w:left="310" w:hanging="180"/>
              <w:jc w:val="both"/>
              <w:rPr>
                <w:rFonts w:ascii="Tw Cen MT Condensed" w:hAnsi="Tw Cen MT Condensed"/>
                <w:sz w:val="20"/>
                <w:szCs w:val="20"/>
              </w:rPr>
            </w:pPr>
            <w:r w:rsidRPr="00932413">
              <w:rPr>
                <w:rFonts w:ascii="Tw Cen MT Condensed" w:hAnsi="Tw Cen MT Condensed"/>
                <w:sz w:val="20"/>
                <w:szCs w:val="20"/>
              </w:rPr>
              <w:t>Programs or policies where gender equality is not the primary objective but the program includes action to close gender gaps. These programs could include provision of infrastructure, public services and social protection. For example, an infrastructure program that has a provision for using women labour, or a public transportation program that takes into consideration the mobility needs of women in its design.</w:t>
            </w:r>
          </w:p>
          <w:p w14:paraId="0F6B9D13" w14:textId="77777777" w:rsidR="00221C59" w:rsidRPr="00932413" w:rsidRDefault="00221C59" w:rsidP="00221C59">
            <w:pPr>
              <w:pStyle w:val="ListParagraph"/>
              <w:numPr>
                <w:ilvl w:val="0"/>
                <w:numId w:val="39"/>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 xml:space="preserve">“Programs or policies have adequate resources allocated within the budget, sufficient to meet both their general objectives and their </w:t>
            </w:r>
            <w:r w:rsidRPr="00932413">
              <w:rPr>
                <w:rFonts w:ascii="Tw Cen MT Condensed" w:hAnsi="Tw Cen MT Condensed"/>
                <w:b/>
                <w:bCs/>
                <w:sz w:val="20"/>
                <w:szCs w:val="20"/>
              </w:rPr>
              <w:lastRenderedPageBreak/>
              <w:t>gender equality goals”</w:t>
            </w:r>
            <w:r w:rsidRPr="00932413">
              <w:rPr>
                <w:rFonts w:ascii="Tw Cen MT Condensed" w:hAnsi="Tw Cen MT Condensed"/>
                <w:sz w:val="20"/>
                <w:szCs w:val="20"/>
              </w:rPr>
              <w:t xml:space="preserve"> can be defined as: </w:t>
            </w:r>
          </w:p>
          <w:p w14:paraId="2E759096" w14:textId="77777777" w:rsidR="00221C59" w:rsidRPr="00932413" w:rsidRDefault="00221C59" w:rsidP="00221C59">
            <w:pPr>
              <w:pStyle w:val="ListParagraph"/>
              <w:numPr>
                <w:ilvl w:val="1"/>
                <w:numId w:val="39"/>
              </w:numPr>
              <w:spacing w:after="0"/>
              <w:ind w:left="310" w:hanging="180"/>
              <w:jc w:val="both"/>
              <w:rPr>
                <w:rFonts w:ascii="Tw Cen MT Condensed" w:hAnsi="Tw Cen MT Condensed"/>
                <w:sz w:val="20"/>
                <w:szCs w:val="20"/>
              </w:rPr>
            </w:pPr>
            <w:r w:rsidRPr="00932413">
              <w:rPr>
                <w:rFonts w:ascii="Tw Cen MT Condensed" w:hAnsi="Tw Cen MT Condensed"/>
                <w:sz w:val="20"/>
                <w:szCs w:val="20"/>
              </w:rPr>
              <w:t>The programs or policies that are designed to address well-identified gender equality goals are allocated sufficient resources to cover the costs of meeting those goals from funding that is included in the budget rather than from off-budget sources.</w:t>
            </w:r>
          </w:p>
          <w:p w14:paraId="6F38842F" w14:textId="77777777" w:rsidR="00221C59" w:rsidRPr="00932413" w:rsidRDefault="00221C59" w:rsidP="00221C59">
            <w:pPr>
              <w:pStyle w:val="ListParagraph"/>
              <w:numPr>
                <w:ilvl w:val="0"/>
                <w:numId w:val="39"/>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“Procedures in place to ensure that these resources are executed according to the budget”</w:t>
            </w:r>
            <w:r w:rsidRPr="00932413">
              <w:rPr>
                <w:rFonts w:ascii="Tw Cen MT Condensed" w:hAnsi="Tw Cen MT Condensed"/>
                <w:sz w:val="20"/>
                <w:szCs w:val="20"/>
              </w:rPr>
              <w:t xml:space="preserve"> can be defined as:</w:t>
            </w:r>
          </w:p>
          <w:p w14:paraId="6633FA08" w14:textId="77777777" w:rsidR="00221C59" w:rsidRDefault="00221C59" w:rsidP="00221C59">
            <w:pPr>
              <w:pStyle w:val="ListParagraph"/>
              <w:numPr>
                <w:ilvl w:val="1"/>
                <w:numId w:val="39"/>
              </w:numPr>
              <w:spacing w:after="0"/>
              <w:ind w:left="310" w:hanging="180"/>
              <w:jc w:val="both"/>
              <w:rPr>
                <w:rFonts w:ascii="Tw Cen MT Condensed" w:hAnsi="Tw Cen MT Condensed"/>
                <w:sz w:val="20"/>
                <w:szCs w:val="20"/>
              </w:rPr>
            </w:pPr>
            <w:r w:rsidRPr="00932413">
              <w:rPr>
                <w:rFonts w:ascii="Tw Cen MT Condensed" w:hAnsi="Tw Cen MT Condensed"/>
                <w:sz w:val="20"/>
                <w:szCs w:val="20"/>
              </w:rPr>
              <w:t>There are procedures established in laws or regulations so that resources for programs or policies that are designed to address well-identified gender equality goals are executed as specified in the budget or if there are deviations in the exercise from the budgeted allocations, government agencies must justify to a supervising entity (e.g. ministries of finance, parliaments, audit bodies, or other relevant authorities) the reason for not executing resources according to budget.</w:t>
            </w:r>
          </w:p>
          <w:p w14:paraId="730BE197" w14:textId="77777777" w:rsidR="00221C59" w:rsidRPr="00932413" w:rsidRDefault="00221C59" w:rsidP="00221C59">
            <w:pPr>
              <w:pStyle w:val="ListParagraph"/>
              <w:spacing w:after="0"/>
              <w:ind w:left="310"/>
              <w:jc w:val="both"/>
              <w:rPr>
                <w:rFonts w:ascii="Tw Cen MT Condensed" w:hAnsi="Tw Cen MT Condensed"/>
                <w:sz w:val="20"/>
                <w:szCs w:val="20"/>
              </w:rPr>
            </w:pPr>
          </w:p>
          <w:p w14:paraId="29DA5225" w14:textId="77777777" w:rsidR="00221C59" w:rsidRPr="00932413" w:rsidRDefault="00221C59" w:rsidP="00221C59">
            <w:pPr>
              <w:jc w:val="both"/>
              <w:rPr>
                <w:i/>
                <w:iCs/>
                <w:szCs w:val="20"/>
              </w:rPr>
            </w:pPr>
            <w:r w:rsidRPr="00932413">
              <w:rPr>
                <w:i/>
                <w:iCs/>
                <w:szCs w:val="20"/>
              </w:rPr>
              <w:t xml:space="preserve">For Criterion 2: </w:t>
            </w:r>
          </w:p>
          <w:p w14:paraId="378E2BAF" w14:textId="77777777" w:rsidR="00221C59" w:rsidRPr="00932413" w:rsidRDefault="00221C59" w:rsidP="00221C59">
            <w:pPr>
              <w:pStyle w:val="ListParagraph"/>
              <w:numPr>
                <w:ilvl w:val="0"/>
                <w:numId w:val="45"/>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“Call circulars”</w:t>
            </w:r>
            <w:r w:rsidRPr="00932413">
              <w:rPr>
                <w:rFonts w:ascii="Tw Cen MT Condensed" w:hAnsi="Tw Cen MT Condensed"/>
                <w:sz w:val="20"/>
                <w:szCs w:val="20"/>
              </w:rPr>
              <w:t xml:space="preserve"> can be defined as: </w:t>
            </w:r>
          </w:p>
          <w:p w14:paraId="642EB509" w14:textId="77777777" w:rsidR="00221C59" w:rsidRPr="00932413" w:rsidRDefault="00221C59" w:rsidP="00221C59">
            <w:pPr>
              <w:pStyle w:val="ListParagraph"/>
              <w:numPr>
                <w:ilvl w:val="0"/>
                <w:numId w:val="44"/>
              </w:numPr>
              <w:spacing w:after="0"/>
              <w:ind w:left="310" w:hanging="180"/>
              <w:jc w:val="both"/>
              <w:rPr>
                <w:rFonts w:ascii="Tw Cen MT Condensed" w:hAnsi="Tw Cen MT Condensed"/>
                <w:sz w:val="20"/>
                <w:szCs w:val="20"/>
              </w:rPr>
            </w:pPr>
            <w:r w:rsidRPr="00932413">
              <w:rPr>
                <w:rFonts w:ascii="Tw Cen MT Condensed" w:hAnsi="Tw Cen MT Condensed"/>
                <w:sz w:val="20"/>
                <w:szCs w:val="20"/>
              </w:rPr>
              <w:t>Call circulars are the official notices that are issued by the Ministry of Finance or Budget Office in a country towards the beginning of each annual budget cycle. The circular instructs government agencies how they must submit their bids or demands for budget allocations for the coming year (in some countries the notice may have another name, such as budget guidelines or Treasury guidelines). It may inform each agency what its budget “ceiling” for the next fiscal year.</w:t>
            </w:r>
          </w:p>
          <w:p w14:paraId="6EE3F9A7" w14:textId="77777777" w:rsidR="00221C59" w:rsidRPr="00932413" w:rsidRDefault="00221C59" w:rsidP="00221C59">
            <w:pPr>
              <w:pStyle w:val="ListParagraph"/>
              <w:spacing w:after="0"/>
              <w:ind w:left="310"/>
              <w:jc w:val="both"/>
              <w:rPr>
                <w:rFonts w:ascii="Tw Cen MT Condensed" w:hAnsi="Tw Cen MT Condensed"/>
                <w:sz w:val="20"/>
                <w:szCs w:val="20"/>
              </w:rPr>
            </w:pPr>
          </w:p>
          <w:p w14:paraId="3AED5E46"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i/>
                <w:iCs/>
                <w:sz w:val="20"/>
                <w:szCs w:val="20"/>
              </w:rPr>
            </w:pPr>
            <w:r w:rsidRPr="00932413">
              <w:rPr>
                <w:rFonts w:ascii="Tw Cen MT Condensed" w:hAnsi="Tw Cen MT Condensed"/>
                <w:b/>
                <w:bCs/>
                <w:sz w:val="20"/>
                <w:szCs w:val="20"/>
              </w:rPr>
              <w:t>“Key programs and policies”</w:t>
            </w:r>
            <w:r w:rsidRPr="00932413">
              <w:rPr>
                <w:rFonts w:ascii="Tw Cen MT Condensed" w:hAnsi="Tw Cen MT Condensed"/>
                <w:sz w:val="20"/>
                <w:szCs w:val="20"/>
              </w:rPr>
              <w:t xml:space="preserve"> can be defined as:</w:t>
            </w:r>
          </w:p>
          <w:p w14:paraId="3F467EC5"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Programs or policies of the government, that are designed to address well-identified gender</w:t>
            </w:r>
          </w:p>
          <w:p w14:paraId="0E7A0F28"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i/>
                <w:iCs/>
                <w:sz w:val="20"/>
                <w:szCs w:val="20"/>
              </w:rPr>
            </w:pPr>
            <w:proofErr w:type="gramStart"/>
            <w:r w:rsidRPr="00932413">
              <w:rPr>
                <w:rFonts w:ascii="Tw Cen MT Condensed" w:hAnsi="Tw Cen MT Condensed"/>
                <w:sz w:val="20"/>
                <w:szCs w:val="20"/>
              </w:rPr>
              <w:t>equality</w:t>
            </w:r>
            <w:proofErr w:type="gramEnd"/>
            <w:r w:rsidRPr="00932413">
              <w:rPr>
                <w:rFonts w:ascii="Tw Cen MT Condensed" w:hAnsi="Tw Cen MT Condensed"/>
                <w:sz w:val="20"/>
                <w:szCs w:val="20"/>
              </w:rPr>
              <w:t xml:space="preserve"> goals (as identified in Criterion 1).</w:t>
            </w:r>
          </w:p>
          <w:p w14:paraId="7BA41EDC" w14:textId="77777777" w:rsidR="00221C59" w:rsidRPr="00932413" w:rsidRDefault="00221C59" w:rsidP="00221C59">
            <w:pPr>
              <w:pStyle w:val="ListParagraph"/>
              <w:spacing w:after="0"/>
              <w:ind w:left="310"/>
              <w:jc w:val="both"/>
              <w:rPr>
                <w:rFonts w:ascii="Tw Cen MT Condensed" w:hAnsi="Tw Cen MT Condensed"/>
                <w:sz w:val="20"/>
                <w:szCs w:val="20"/>
              </w:rPr>
            </w:pPr>
          </w:p>
          <w:p w14:paraId="6240DA00"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“Ex-ante gender impact assessment”</w:t>
            </w:r>
            <w:r w:rsidRPr="00932413">
              <w:rPr>
                <w:rFonts w:ascii="Tw Cen MT Condensed" w:hAnsi="Tw Cen MT Condensed"/>
                <w:sz w:val="20"/>
                <w:szCs w:val="20"/>
              </w:rPr>
              <w:t xml:space="preserve"> can be defined as:</w:t>
            </w:r>
          </w:p>
          <w:p w14:paraId="6CF82A68"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 xml:space="preserve">Assessing individual resource allocations, in advance of their inclusion in the budget, specifically for their impact on gender equality. For example, before its inclusion in the budget, there is an estimate of how a conditional cash transfer </w:t>
            </w:r>
            <w:r w:rsidRPr="00932413">
              <w:rPr>
                <w:rFonts w:ascii="Tw Cen MT Condensed" w:hAnsi="Tw Cen MT Condensed"/>
                <w:sz w:val="20"/>
                <w:szCs w:val="20"/>
              </w:rPr>
              <w:lastRenderedPageBreak/>
              <w:t>program will impact school attendance of girls.</w:t>
            </w:r>
          </w:p>
          <w:p w14:paraId="077FD404" w14:textId="77777777" w:rsidR="00221C59" w:rsidRPr="00932413" w:rsidRDefault="00221C59" w:rsidP="00221C59">
            <w:pPr>
              <w:pStyle w:val="ListParagraph"/>
              <w:spacing w:after="0"/>
              <w:ind w:left="310"/>
              <w:jc w:val="both"/>
              <w:rPr>
                <w:rFonts w:ascii="Tw Cen MT Condensed" w:hAnsi="Tw Cen MT Condensed"/>
                <w:sz w:val="20"/>
                <w:szCs w:val="20"/>
              </w:rPr>
            </w:pPr>
          </w:p>
          <w:p w14:paraId="4DF55739"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“Sex-disaggregated statistics and data are available in a systematic manner across all key programs and policies”</w:t>
            </w:r>
            <w:r w:rsidRPr="00932413">
              <w:rPr>
                <w:rFonts w:ascii="Tw Cen MT Condensed" w:hAnsi="Tw Cen MT Condensed"/>
                <w:sz w:val="20"/>
                <w:szCs w:val="20"/>
              </w:rPr>
              <w:t xml:space="preserve"> can be defined as:</w:t>
            </w:r>
          </w:p>
          <w:p w14:paraId="58200145"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There is routine availability of gender-specific data sets and statistics that would greatly facilitate the evidential basis for the identification of gender equality gaps, design of policy interventions, and the evaluation of impacts.</w:t>
            </w:r>
          </w:p>
          <w:p w14:paraId="5EDD8C8E" w14:textId="77777777" w:rsidR="00221C59" w:rsidRPr="00932413" w:rsidRDefault="00221C59" w:rsidP="00221C59">
            <w:pPr>
              <w:pStyle w:val="ListParagraph"/>
              <w:spacing w:after="0"/>
              <w:ind w:left="310"/>
              <w:jc w:val="both"/>
              <w:rPr>
                <w:rFonts w:ascii="Tw Cen MT Condensed" w:hAnsi="Tw Cen MT Condensed"/>
                <w:sz w:val="20"/>
                <w:szCs w:val="20"/>
              </w:rPr>
            </w:pPr>
          </w:p>
          <w:p w14:paraId="74661147"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 xml:space="preserve"> “Gender budget statements”</w:t>
            </w:r>
            <w:r w:rsidRPr="00932413">
              <w:rPr>
                <w:rFonts w:ascii="Tw Cen MT Condensed" w:hAnsi="Tw Cen MT Condensed"/>
                <w:sz w:val="20"/>
                <w:szCs w:val="20"/>
              </w:rPr>
              <w:t xml:space="preserve"> can be defined as:</w:t>
            </w:r>
          </w:p>
          <w:p w14:paraId="0AB1CE00"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A document that, either as part of the budget documentation or separately, provides a clear statement of gender-related goals. It is a document produced by a government agency, usually the Ministry of Finance or Budget Office, to show what its programs and budgets are doing in respect of gender. It is generally prepared after government agencies have completed the process of drawing up the budget and allocating resources to different programs in response to the annual call circular.</w:t>
            </w:r>
          </w:p>
          <w:p w14:paraId="62389D8E" w14:textId="77777777" w:rsidR="00221C59" w:rsidRPr="00932413" w:rsidRDefault="00221C59" w:rsidP="00221C59">
            <w:pPr>
              <w:pStyle w:val="ListParagraph"/>
              <w:spacing w:after="0"/>
              <w:ind w:left="360"/>
              <w:jc w:val="both"/>
              <w:rPr>
                <w:rFonts w:ascii="Tw Cen MT Condensed" w:hAnsi="Tw Cen MT Condensed"/>
                <w:sz w:val="20"/>
                <w:szCs w:val="20"/>
              </w:rPr>
            </w:pPr>
          </w:p>
          <w:p w14:paraId="31013C56"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“Functional classifiers”</w:t>
            </w:r>
            <w:r w:rsidRPr="00932413">
              <w:rPr>
                <w:rFonts w:ascii="Tw Cen MT Condensed" w:hAnsi="Tw Cen MT Condensed"/>
                <w:sz w:val="20"/>
                <w:szCs w:val="20"/>
              </w:rPr>
              <w:t xml:space="preserve"> can be defined as:</w:t>
            </w:r>
          </w:p>
          <w:p w14:paraId="17746A5D"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Categorization of expenditure according to the purposes and objectives for which they are intended. A functional classifier on gender would identify expenditure that goes to programs or activities that address gender issues.</w:t>
            </w:r>
          </w:p>
          <w:p w14:paraId="68213152" w14:textId="77777777" w:rsidR="00221C59" w:rsidRPr="00932413" w:rsidRDefault="00221C59" w:rsidP="00221C59">
            <w:pPr>
              <w:pStyle w:val="ListParagraph"/>
              <w:spacing w:after="0"/>
              <w:ind w:left="360"/>
              <w:jc w:val="both"/>
              <w:rPr>
                <w:rFonts w:ascii="Tw Cen MT Condensed" w:hAnsi="Tw Cen MT Condensed"/>
                <w:sz w:val="20"/>
                <w:szCs w:val="20"/>
              </w:rPr>
            </w:pPr>
          </w:p>
          <w:p w14:paraId="5C6E1830"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“Ex-post gender impact assessment”</w:t>
            </w:r>
            <w:r w:rsidRPr="00932413">
              <w:rPr>
                <w:rFonts w:ascii="Tw Cen MT Condensed" w:hAnsi="Tw Cen MT Condensed"/>
                <w:sz w:val="20"/>
                <w:szCs w:val="20"/>
              </w:rPr>
              <w:t xml:space="preserve"> can be defined as:</w:t>
            </w:r>
          </w:p>
          <w:p w14:paraId="06A2DDE1"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 xml:space="preserve">Assessing individual resource allocations, after their implementation, specifically for their impact on gender equality. For example, once the resources are spent and the program executed, how did </w:t>
            </w:r>
            <w:proofErr w:type="gramStart"/>
            <w:r w:rsidRPr="00932413">
              <w:rPr>
                <w:rFonts w:ascii="Tw Cen MT Condensed" w:hAnsi="Tw Cen MT Condensed"/>
                <w:sz w:val="20"/>
                <w:szCs w:val="20"/>
              </w:rPr>
              <w:t>a conditional</w:t>
            </w:r>
            <w:proofErr w:type="gramEnd"/>
            <w:r w:rsidRPr="00932413">
              <w:rPr>
                <w:rFonts w:ascii="Tw Cen MT Condensed" w:hAnsi="Tw Cen MT Condensed"/>
                <w:sz w:val="20"/>
                <w:szCs w:val="20"/>
              </w:rPr>
              <w:t xml:space="preserve"> cash transfer program affected the school attendance rate of girls as when compared to boys’ attendance rate?</w:t>
            </w:r>
          </w:p>
          <w:p w14:paraId="3126BE8E" w14:textId="77777777" w:rsidR="00221C59" w:rsidRPr="00932413" w:rsidRDefault="00221C59" w:rsidP="00221C59">
            <w:pPr>
              <w:pStyle w:val="ListParagraph"/>
              <w:spacing w:after="0"/>
              <w:ind w:left="360"/>
              <w:jc w:val="both"/>
              <w:rPr>
                <w:rFonts w:ascii="Tw Cen MT Condensed" w:hAnsi="Tw Cen MT Condensed"/>
                <w:sz w:val="20"/>
                <w:szCs w:val="20"/>
              </w:rPr>
            </w:pPr>
          </w:p>
          <w:p w14:paraId="366921CE"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“The budget as a whole is subject to independent audit, to assess the extent to which it promotes gender-responsive policies”</w:t>
            </w:r>
            <w:r w:rsidRPr="00932413">
              <w:rPr>
                <w:rFonts w:ascii="Tw Cen MT Condensed" w:hAnsi="Tw Cen MT Condensed"/>
                <w:sz w:val="20"/>
                <w:szCs w:val="20"/>
              </w:rPr>
              <w:t xml:space="preserve"> can be defined as:</w:t>
            </w:r>
          </w:p>
          <w:p w14:paraId="7A42BBF7" w14:textId="77777777" w:rsidR="00221C59" w:rsidRPr="008F22AA" w:rsidRDefault="00221C59" w:rsidP="00221C59">
            <w:pPr>
              <w:pStyle w:val="ListParagraph"/>
              <w:numPr>
                <w:ilvl w:val="1"/>
                <w:numId w:val="46"/>
              </w:numPr>
              <w:spacing w:after="0"/>
              <w:ind w:left="310" w:hanging="180"/>
              <w:jc w:val="both"/>
              <w:rPr>
                <w:rFonts w:ascii="Tw Cen MT Condensed" w:hAnsi="Tw Cen MT Condensed"/>
                <w:i/>
                <w:iCs/>
                <w:sz w:val="20"/>
                <w:szCs w:val="20"/>
              </w:rPr>
            </w:pPr>
            <w:r w:rsidRPr="00932413">
              <w:rPr>
                <w:rFonts w:ascii="Tw Cen MT Condensed" w:hAnsi="Tw Cen MT Condensed"/>
                <w:sz w:val="20"/>
                <w:szCs w:val="20"/>
              </w:rPr>
              <w:t xml:space="preserve">Independent, objective analysis, conducted by a competent authority different from the central budget authority, of the extent to which gender equality is </w:t>
            </w:r>
            <w:r w:rsidRPr="00932413">
              <w:rPr>
                <w:rFonts w:ascii="Tw Cen MT Condensed" w:hAnsi="Tw Cen MT Condensed"/>
                <w:sz w:val="20"/>
                <w:szCs w:val="20"/>
              </w:rPr>
              <w:lastRenderedPageBreak/>
              <w:t>effectively promoted and/or attained through the policies set out in the annual budget.</w:t>
            </w:r>
          </w:p>
          <w:p w14:paraId="6D31F4A7" w14:textId="77777777" w:rsidR="00221C59" w:rsidRPr="00932413" w:rsidRDefault="00221C59" w:rsidP="00221C59">
            <w:pPr>
              <w:pStyle w:val="ListParagraph"/>
              <w:spacing w:after="0"/>
              <w:ind w:left="310"/>
              <w:jc w:val="both"/>
              <w:rPr>
                <w:rFonts w:ascii="Tw Cen MT Condensed" w:hAnsi="Tw Cen MT Condensed"/>
                <w:i/>
                <w:iCs/>
                <w:sz w:val="20"/>
                <w:szCs w:val="20"/>
              </w:rPr>
            </w:pPr>
          </w:p>
          <w:p w14:paraId="3083A9AC" w14:textId="77777777" w:rsidR="00221C59" w:rsidRPr="00932413" w:rsidRDefault="00221C59" w:rsidP="00221C59">
            <w:pPr>
              <w:jc w:val="both"/>
              <w:rPr>
                <w:i/>
                <w:iCs/>
                <w:szCs w:val="20"/>
              </w:rPr>
            </w:pPr>
            <w:r w:rsidRPr="00932413">
              <w:rPr>
                <w:i/>
                <w:iCs/>
                <w:szCs w:val="20"/>
              </w:rPr>
              <w:t>For Criterion 3:</w:t>
            </w:r>
          </w:p>
          <w:p w14:paraId="461100D4"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“Published in an accessible manner”</w:t>
            </w:r>
            <w:r w:rsidRPr="00932413">
              <w:rPr>
                <w:rFonts w:ascii="Tw Cen MT Condensed" w:hAnsi="Tw Cen MT Condensed"/>
                <w:sz w:val="20"/>
                <w:szCs w:val="20"/>
              </w:rPr>
              <w:t xml:space="preserve"> can be defined as:</w:t>
            </w:r>
          </w:p>
          <w:p w14:paraId="15599A96" w14:textId="77777777" w:rsidR="00221C59" w:rsidRPr="00932413" w:rsidRDefault="00221C59" w:rsidP="00221C5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Allocations for gender equality and women’s empowerment are published on the Ministry of Finance (or office responsible for budget) website and/or related official bulletins or public notices in a way that is clearly signalled and/or made available in hard copies that are distributed to parliamentarians and NGOs.</w:t>
            </w:r>
          </w:p>
          <w:p w14:paraId="298C309B" w14:textId="77777777" w:rsidR="00221C59" w:rsidRPr="00932413" w:rsidRDefault="00221C59" w:rsidP="00221C59">
            <w:pPr>
              <w:pStyle w:val="ListParagraph"/>
              <w:numPr>
                <w:ilvl w:val="0"/>
                <w:numId w:val="46"/>
              </w:numPr>
              <w:spacing w:after="0"/>
              <w:ind w:left="130" w:hanging="130"/>
              <w:jc w:val="both"/>
              <w:rPr>
                <w:rFonts w:ascii="Tw Cen MT Condensed" w:hAnsi="Tw Cen MT Condensed"/>
                <w:sz w:val="20"/>
                <w:szCs w:val="20"/>
              </w:rPr>
            </w:pPr>
            <w:r w:rsidRPr="00932413">
              <w:rPr>
                <w:rFonts w:ascii="Tw Cen MT Condensed" w:hAnsi="Tw Cen MT Condensed"/>
                <w:b/>
                <w:bCs/>
                <w:sz w:val="20"/>
                <w:szCs w:val="20"/>
              </w:rPr>
              <w:t>“Published in a timely manner”</w:t>
            </w:r>
            <w:r w:rsidRPr="00932413">
              <w:rPr>
                <w:rFonts w:ascii="Tw Cen MT Condensed" w:hAnsi="Tw Cen MT Condensed"/>
                <w:sz w:val="20"/>
                <w:szCs w:val="20"/>
              </w:rPr>
              <w:t xml:space="preserve"> can be defined as:</w:t>
            </w:r>
          </w:p>
          <w:p w14:paraId="0231620F" w14:textId="77777777" w:rsidR="00221C59" w:rsidRPr="00DB4E11" w:rsidRDefault="00221C59" w:rsidP="000C4849">
            <w:pPr>
              <w:pStyle w:val="ListParagraph"/>
              <w:numPr>
                <w:ilvl w:val="1"/>
                <w:numId w:val="46"/>
              </w:numPr>
              <w:spacing w:after="0"/>
              <w:ind w:left="310" w:hanging="180"/>
              <w:jc w:val="both"/>
              <w:rPr>
                <w:rFonts w:ascii="Tw Cen MT Condensed" w:hAnsi="Tw Cen MT Condensed"/>
                <w:sz w:val="20"/>
                <w:szCs w:val="20"/>
              </w:rPr>
            </w:pPr>
            <w:r w:rsidRPr="00932413">
              <w:rPr>
                <w:rFonts w:ascii="Tw Cen MT Condensed" w:hAnsi="Tw Cen MT Condensed"/>
                <w:sz w:val="20"/>
                <w:szCs w:val="20"/>
              </w:rPr>
              <w:t>Allocations for gender equality and women’s empowerment and/or its exercise are published in the same quarter as when approved/exercised.</w:t>
            </w:r>
          </w:p>
        </w:tc>
        <w:tc>
          <w:tcPr>
            <w:tcW w:w="967" w:type="dxa"/>
            <w:shd w:val="clear" w:color="auto" w:fill="auto"/>
          </w:tcPr>
          <w:p w14:paraId="3B8B9252" w14:textId="77777777" w:rsidR="00221C59" w:rsidRDefault="00221C59" w:rsidP="00221C59">
            <w:pPr>
              <w:jc w:val="center"/>
              <w:rPr>
                <w:bCs/>
                <w:szCs w:val="20"/>
              </w:rPr>
            </w:pPr>
            <w:r w:rsidRPr="00932413">
              <w:rPr>
                <w:bCs/>
                <w:szCs w:val="20"/>
              </w:rPr>
              <w:lastRenderedPageBreak/>
              <w:t>Electronic questionnaire with accompanying monitoring guidance</w:t>
            </w:r>
          </w:p>
        </w:tc>
        <w:tc>
          <w:tcPr>
            <w:tcW w:w="1140" w:type="dxa"/>
            <w:shd w:val="clear" w:color="auto" w:fill="auto"/>
          </w:tcPr>
          <w:p w14:paraId="74792875" w14:textId="77777777" w:rsidR="00221C59" w:rsidRDefault="00221C59" w:rsidP="00221C59">
            <w:pPr>
              <w:jc w:val="center"/>
              <w:rPr>
                <w:bCs/>
                <w:szCs w:val="20"/>
              </w:rPr>
            </w:pPr>
            <w:r>
              <w:rPr>
                <w:bCs/>
                <w:szCs w:val="20"/>
              </w:rPr>
              <w:t>National Data Coordination Agency</w:t>
            </w:r>
          </w:p>
        </w:tc>
        <w:tc>
          <w:tcPr>
            <w:tcW w:w="721" w:type="dxa"/>
            <w:shd w:val="clear" w:color="auto" w:fill="auto"/>
          </w:tcPr>
          <w:p w14:paraId="3A402B20" w14:textId="17B41C3F" w:rsidR="00221C59" w:rsidRPr="00BC067F" w:rsidRDefault="00221C59" w:rsidP="00221C59">
            <w:pPr>
              <w:rPr>
                <w:bCs/>
                <w:szCs w:val="20"/>
              </w:rPr>
            </w:pPr>
          </w:p>
        </w:tc>
        <w:tc>
          <w:tcPr>
            <w:tcW w:w="1116" w:type="dxa"/>
            <w:shd w:val="clear" w:color="auto" w:fill="auto"/>
          </w:tcPr>
          <w:p w14:paraId="4AC34630" w14:textId="73AC69FC" w:rsidR="00221C59" w:rsidRDefault="00221C59" w:rsidP="00221C59">
            <w:pPr>
              <w:jc w:val="center"/>
              <w:rPr>
                <w:bCs/>
                <w:szCs w:val="20"/>
              </w:rPr>
            </w:pPr>
          </w:p>
          <w:p w14:paraId="406877EE" w14:textId="77777777" w:rsidR="00221C59" w:rsidRPr="00B10368" w:rsidRDefault="00221C59" w:rsidP="00221C59">
            <w:pPr>
              <w:rPr>
                <w:szCs w:val="20"/>
              </w:rPr>
            </w:pPr>
            <w:r w:rsidRPr="00B10368">
              <w:rPr>
                <w:szCs w:val="20"/>
              </w:rPr>
              <w:t>a) FD</w:t>
            </w:r>
          </w:p>
          <w:p w14:paraId="02CDACCC" w14:textId="77777777" w:rsidR="00221C59" w:rsidRDefault="00221C59" w:rsidP="00221C59">
            <w:pPr>
              <w:jc w:val="center"/>
              <w:rPr>
                <w:szCs w:val="20"/>
              </w:rPr>
            </w:pPr>
            <w:r w:rsidRPr="00B10368">
              <w:rPr>
                <w:szCs w:val="20"/>
              </w:rPr>
              <w:t>b) MoWCA</w:t>
            </w:r>
          </w:p>
          <w:p w14:paraId="276ABE97" w14:textId="77777777" w:rsidR="00221C59" w:rsidRPr="00BC067F" w:rsidRDefault="00221C59" w:rsidP="00221C59">
            <w:pPr>
              <w:jc w:val="center"/>
              <w:rPr>
                <w:bCs/>
                <w:szCs w:val="20"/>
              </w:rPr>
            </w:pPr>
            <w:r w:rsidRPr="00B10368">
              <w:rPr>
                <w:rFonts w:eastAsia="Times New Roman" w:cs="Times New Roman"/>
                <w:color w:val="000000" w:themeColor="text1"/>
                <w:szCs w:val="20"/>
              </w:rPr>
              <w:t>Administrative Data</w:t>
            </w:r>
          </w:p>
        </w:tc>
        <w:tc>
          <w:tcPr>
            <w:tcW w:w="1354" w:type="dxa"/>
            <w:shd w:val="clear" w:color="auto" w:fill="auto"/>
          </w:tcPr>
          <w:p w14:paraId="7F61DF7E" w14:textId="386AE53A" w:rsidR="00637E32" w:rsidRPr="000C4849" w:rsidRDefault="00637E32" w:rsidP="00637E32">
            <w:pPr>
              <w:pStyle w:val="ListParagraph"/>
              <w:numPr>
                <w:ilvl w:val="0"/>
                <w:numId w:val="48"/>
              </w:numPr>
              <w:spacing w:after="0" w:line="240" w:lineRule="auto"/>
              <w:ind w:left="160" w:hanging="160"/>
              <w:rPr>
                <w:rFonts w:ascii="Tw Cen MT Condensed" w:hAnsi="Tw Cen MT Condensed"/>
                <w:sz w:val="20"/>
                <w:szCs w:val="20"/>
              </w:rPr>
            </w:pPr>
          </w:p>
          <w:p w14:paraId="092DA8FC" w14:textId="77777777" w:rsidR="00637E32" w:rsidRDefault="00637E32" w:rsidP="000C4849">
            <w:pPr>
              <w:pStyle w:val="ListParagraph"/>
              <w:numPr>
                <w:ilvl w:val="0"/>
                <w:numId w:val="48"/>
              </w:numPr>
              <w:spacing w:after="0" w:line="240" w:lineRule="auto"/>
              <w:ind w:left="160" w:hanging="160"/>
              <w:rPr>
                <w:szCs w:val="20"/>
              </w:rPr>
            </w:pPr>
            <w:r w:rsidRPr="00B10368">
              <w:rPr>
                <w:rFonts w:ascii="Tw Cen MT Condensed" w:hAnsi="Tw Cen MT Condensed"/>
                <w:sz w:val="20"/>
                <w:szCs w:val="20"/>
              </w:rPr>
              <w:t>achievement of meeting the requirements: yes, no</w:t>
            </w:r>
          </w:p>
          <w:p w14:paraId="451E6E57" w14:textId="69F26FA4" w:rsidR="00221C59" w:rsidRPr="00634250" w:rsidRDefault="00637E32" w:rsidP="000C4849">
            <w:pPr>
              <w:pStyle w:val="ListParagraph"/>
              <w:numPr>
                <w:ilvl w:val="0"/>
                <w:numId w:val="48"/>
              </w:numPr>
              <w:spacing w:after="0" w:line="240" w:lineRule="auto"/>
              <w:ind w:left="160" w:hanging="160"/>
              <w:rPr>
                <w:szCs w:val="20"/>
              </w:rPr>
            </w:pPr>
            <w:r w:rsidRPr="000C4849">
              <w:rPr>
                <w:rFonts w:ascii="Tw Cen MT Condensed" w:hAnsi="Tw Cen MT Condensed"/>
                <w:sz w:val="20"/>
                <w:szCs w:val="20"/>
              </w:rPr>
              <w:t>region</w:t>
            </w:r>
            <w:r w:rsidR="005B22C4">
              <w:rPr>
                <w:rFonts w:ascii="Tw Cen MT Condensed" w:hAnsi="Tw Cen MT Condensed"/>
                <w:sz w:val="20"/>
                <w:szCs w:val="20"/>
              </w:rPr>
              <w:t>: Division</w:t>
            </w:r>
          </w:p>
        </w:tc>
        <w:tc>
          <w:tcPr>
            <w:tcW w:w="801" w:type="dxa"/>
            <w:shd w:val="clear" w:color="auto" w:fill="auto"/>
          </w:tcPr>
          <w:p w14:paraId="3B7BD506" w14:textId="77777777" w:rsidR="00221C59" w:rsidRDefault="00221C59" w:rsidP="00221C59">
            <w:pPr>
              <w:jc w:val="center"/>
              <w:rPr>
                <w:bCs/>
                <w:szCs w:val="20"/>
              </w:rPr>
            </w:pPr>
            <w:r>
              <w:rPr>
                <w:bCs/>
                <w:szCs w:val="20"/>
              </w:rPr>
              <w:t>Annual</w:t>
            </w:r>
          </w:p>
        </w:tc>
        <w:tc>
          <w:tcPr>
            <w:tcW w:w="697" w:type="dxa"/>
            <w:shd w:val="clear" w:color="auto" w:fill="auto"/>
          </w:tcPr>
          <w:p w14:paraId="18A823B8" w14:textId="77777777" w:rsidR="00221C59" w:rsidRDefault="00221C59" w:rsidP="00221C59">
            <w:pPr>
              <w:jc w:val="center"/>
              <w:rPr>
                <w:bCs/>
                <w:szCs w:val="20"/>
              </w:rPr>
            </w:pPr>
            <w:r>
              <w:rPr>
                <w:bCs/>
                <w:szCs w:val="20"/>
              </w:rPr>
              <w:t>Group 3</w:t>
            </w:r>
          </w:p>
        </w:tc>
        <w:tc>
          <w:tcPr>
            <w:tcW w:w="762" w:type="dxa"/>
            <w:shd w:val="clear" w:color="auto" w:fill="auto"/>
          </w:tcPr>
          <w:p w14:paraId="056F09D6" w14:textId="77777777" w:rsidR="00221C59" w:rsidRDefault="00221C59" w:rsidP="00221C59">
            <w:pPr>
              <w:pStyle w:val="NoSpacing"/>
            </w:pPr>
            <w:r>
              <w:t>1</w:t>
            </w:r>
            <w:r w:rsidRPr="00013ACB">
              <w:rPr>
                <w:vertAlign w:val="superscript"/>
              </w:rPr>
              <w:t>st</w:t>
            </w:r>
            <w:r>
              <w:t xml:space="preserve"> Round: </w:t>
            </w:r>
          </w:p>
          <w:p w14:paraId="0FD90EDE" w14:textId="77777777" w:rsidR="00221C59" w:rsidRDefault="00221C59" w:rsidP="00221C59">
            <w:pPr>
              <w:pStyle w:val="NoSpacing"/>
            </w:pPr>
            <w:r>
              <w:t>January 2019</w:t>
            </w:r>
          </w:p>
          <w:p w14:paraId="151C1000" w14:textId="77777777" w:rsidR="00221C59" w:rsidRDefault="00221C59" w:rsidP="00221C59">
            <w:pPr>
              <w:pStyle w:val="NoSpacing"/>
            </w:pPr>
          </w:p>
          <w:p w14:paraId="709E9010" w14:textId="77777777" w:rsidR="00221C59" w:rsidRDefault="00221C59" w:rsidP="00221C59">
            <w:pPr>
              <w:pStyle w:val="NoSpacing"/>
            </w:pPr>
            <w:r>
              <w:t>2</w:t>
            </w:r>
            <w:r w:rsidRPr="00013ACB">
              <w:rPr>
                <w:vertAlign w:val="superscript"/>
              </w:rPr>
              <w:t>nd</w:t>
            </w:r>
            <w:r>
              <w:t xml:space="preserve"> Round: </w:t>
            </w:r>
          </w:p>
          <w:p w14:paraId="0E099B45" w14:textId="77777777" w:rsidR="00221C59" w:rsidRDefault="00221C59" w:rsidP="00221C59">
            <w:pPr>
              <w:pStyle w:val="NoSpacing"/>
            </w:pPr>
            <w:r>
              <w:t>December, 2020</w:t>
            </w:r>
          </w:p>
          <w:p w14:paraId="21965772" w14:textId="77777777" w:rsidR="00221C59" w:rsidRDefault="00221C59" w:rsidP="00221C59">
            <w:pPr>
              <w:pStyle w:val="NoSpacing"/>
            </w:pPr>
          </w:p>
          <w:p w14:paraId="1FA57ECB" w14:textId="77777777" w:rsidR="00221C59" w:rsidRDefault="00221C59" w:rsidP="00221C59">
            <w:pPr>
              <w:pStyle w:val="NoSpacing"/>
            </w:pPr>
            <w:r>
              <w:t>3</w:t>
            </w:r>
            <w:r w:rsidRPr="00013ACB">
              <w:rPr>
                <w:vertAlign w:val="superscript"/>
              </w:rPr>
              <w:t>rd</w:t>
            </w:r>
            <w:r>
              <w:t xml:space="preserve"> Round: </w:t>
            </w:r>
          </w:p>
          <w:p w14:paraId="2AFDE513" w14:textId="77777777" w:rsidR="00221C59" w:rsidRDefault="00221C59" w:rsidP="00221C59">
            <w:pPr>
              <w:pStyle w:val="NoSpacing"/>
            </w:pPr>
            <w:r>
              <w:t>December, 2021</w:t>
            </w:r>
          </w:p>
          <w:p w14:paraId="6949CDA3" w14:textId="77777777" w:rsidR="00221C59" w:rsidRDefault="00221C59" w:rsidP="00221C59">
            <w:pPr>
              <w:pStyle w:val="NoSpacing"/>
            </w:pPr>
          </w:p>
          <w:p w14:paraId="4F62C7D9" w14:textId="77777777" w:rsidR="00221C59" w:rsidRDefault="00221C59" w:rsidP="00221C59">
            <w:pPr>
              <w:pStyle w:val="NoSpacing"/>
            </w:pPr>
            <w:r>
              <w:t>4</w:t>
            </w:r>
            <w:r w:rsidRPr="00013ACB">
              <w:rPr>
                <w:vertAlign w:val="superscript"/>
              </w:rPr>
              <w:t>th</w:t>
            </w:r>
            <w:r>
              <w:t xml:space="preserve"> Round: </w:t>
            </w:r>
          </w:p>
          <w:p w14:paraId="1B999D4F" w14:textId="77777777" w:rsidR="00221C59" w:rsidRDefault="00221C59" w:rsidP="00221C59">
            <w:pPr>
              <w:pStyle w:val="NoSpacing"/>
            </w:pPr>
            <w:r>
              <w:t>December, 2022</w:t>
            </w:r>
          </w:p>
          <w:p w14:paraId="6F34B27E" w14:textId="77777777" w:rsidR="00221C59" w:rsidRDefault="00221C59" w:rsidP="00221C59">
            <w:pPr>
              <w:pStyle w:val="NoSpacing"/>
            </w:pPr>
          </w:p>
          <w:p w14:paraId="53B080F6" w14:textId="77777777" w:rsidR="00221C59" w:rsidRDefault="00221C59" w:rsidP="00221C59">
            <w:pPr>
              <w:pStyle w:val="NoSpacing"/>
            </w:pPr>
            <w:r>
              <w:t>5</w:t>
            </w:r>
            <w:r w:rsidRPr="00013ACB">
              <w:rPr>
                <w:vertAlign w:val="superscript"/>
              </w:rPr>
              <w:t>th</w:t>
            </w:r>
            <w:r>
              <w:t xml:space="preserve"> Round: </w:t>
            </w:r>
          </w:p>
          <w:p w14:paraId="35503A81" w14:textId="77777777" w:rsidR="00221C59" w:rsidRDefault="00221C59" w:rsidP="00221C59">
            <w:pPr>
              <w:pStyle w:val="NoSpacing"/>
            </w:pPr>
            <w:r>
              <w:t>December, 2023</w:t>
            </w:r>
          </w:p>
          <w:p w14:paraId="61E1383C" w14:textId="77E8C57F" w:rsidR="00221C59" w:rsidRPr="005F4037" w:rsidRDefault="00221C59" w:rsidP="00221C59">
            <w:pPr>
              <w:pStyle w:val="NoSpacing"/>
            </w:pPr>
          </w:p>
        </w:tc>
        <w:tc>
          <w:tcPr>
            <w:tcW w:w="1188" w:type="dxa"/>
            <w:shd w:val="clear" w:color="auto" w:fill="auto"/>
          </w:tcPr>
          <w:p w14:paraId="183739AE" w14:textId="77777777" w:rsidR="00221C59" w:rsidRDefault="00221C59" w:rsidP="00221C59">
            <w:pPr>
              <w:jc w:val="both"/>
              <w:rPr>
                <w:bCs/>
                <w:szCs w:val="20"/>
              </w:rPr>
            </w:pPr>
            <w:r>
              <w:rPr>
                <w:bCs/>
                <w:szCs w:val="20"/>
              </w:rPr>
              <w:t xml:space="preserve">Though </w:t>
            </w:r>
            <w:r w:rsidRPr="00932413">
              <w:rPr>
                <w:bCs/>
                <w:szCs w:val="20"/>
              </w:rPr>
              <w:t>Bangladesh has system to track and make public allocations for gender equality and women’s empowerment</w:t>
            </w:r>
            <w:r>
              <w:rPr>
                <w:bCs/>
                <w:szCs w:val="20"/>
              </w:rPr>
              <w:t>, the reporting should follow the guideline checklist and questionnaire coordinated by NDCC.</w:t>
            </w:r>
          </w:p>
        </w:tc>
      </w:tr>
    </w:tbl>
    <w:p w14:paraId="09CCB835" w14:textId="77777777" w:rsidR="009A340D" w:rsidRDefault="009A340D" w:rsidP="007F71CB">
      <w:pPr>
        <w:rPr>
          <w:color w:val="FF0000"/>
          <w:sz w:val="32"/>
          <w:szCs w:val="32"/>
        </w:rPr>
      </w:pPr>
    </w:p>
    <w:p w14:paraId="0DC37CF5" w14:textId="77777777" w:rsidR="009817C6" w:rsidRDefault="009817C6" w:rsidP="007F71CB">
      <w:pPr>
        <w:rPr>
          <w:color w:val="FF0000"/>
          <w:sz w:val="32"/>
          <w:szCs w:val="32"/>
        </w:rPr>
      </w:pPr>
    </w:p>
    <w:p w14:paraId="1F9D8338" w14:textId="77777777" w:rsidR="00327D55" w:rsidRPr="00BC08EA" w:rsidRDefault="00327D55" w:rsidP="00327D55">
      <w:pPr>
        <w:jc w:val="both"/>
        <w:rPr>
          <w:color w:val="FFFFFF" w:themeColor="background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bidi="bn-BD"/>
        </w:rPr>
        <mc:AlternateContent>
          <mc:Choice Requires="wps">
            <w:drawing>
              <wp:anchor distT="0" distB="0" distL="114300" distR="114300" simplePos="0" relativeHeight="251584000" behindDoc="1" locked="0" layoutInCell="1" allowOverlap="1" wp14:anchorId="6D261E90" wp14:editId="783FA19B">
                <wp:simplePos x="0" y="0"/>
                <wp:positionH relativeFrom="column">
                  <wp:posOffset>-903605</wp:posOffset>
                </wp:positionH>
                <wp:positionV relativeFrom="paragraph">
                  <wp:posOffset>-914400</wp:posOffset>
                </wp:positionV>
                <wp:extent cx="12780010" cy="7761605"/>
                <wp:effectExtent l="0" t="0" r="21590" b="10795"/>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0010" cy="776160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5E7273" id="Rectangle 5" o:spid="_x0000_s1026" style="position:absolute;margin-left:-71.15pt;margin-top:-1in;width:1006.3pt;height:611.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" fillcolor="#00b0f0"/>
            </w:pict>
          </mc:Fallback>
        </mc:AlternateContent>
      </w:r>
      <w:r>
        <w:t xml:space="preserve">    </w:t>
      </w:r>
      <w:r w:rsidR="008C3E48" w:rsidRPr="00262FC1">
        <w:rPr>
          <w:noProof/>
          <w:lang w:bidi="bn-BD"/>
        </w:rPr>
        <w:drawing>
          <wp:inline distT="0" distB="0" distL="0" distR="0" wp14:anchorId="4D3E1F6E" wp14:editId="3C27AFCB">
            <wp:extent cx="1651128" cy="1651128"/>
            <wp:effectExtent l="38100" t="38100" r="44450" b="444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1128" cy="1651128"/>
                    </a:xfrm>
                    <a:prstGeom prst="rect">
                      <a:avLst/>
                    </a:prstGeom>
                    <a:ln w="38100">
                      <a:solidFill>
                        <a:schemeClr val="bg1"/>
                      </a:solidFill>
                    </a:ln>
                  </pic:spPr>
                </pic:pic>
              </a:graphicData>
            </a:graphic>
          </wp:inline>
        </w:drawing>
      </w:r>
      <w:r w:rsidRPr="00327D55">
        <w:rPr>
          <w:color w:val="auto"/>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Ensure availability and sustainable management of water and sanitation for all</w:t>
      </w:r>
    </w:p>
    <w:p w14:paraId="78BFC85E" w14:textId="77777777" w:rsidR="00327D55" w:rsidRDefault="00327D55" w:rsidP="00327D55">
      <w:pPr>
        <w:jc w:val="center"/>
        <w:rPr>
          <w:color w:val="FFFFFF" w:themeColor="background1"/>
          <w:sz w:val="54"/>
          <w:szCs w:val="54"/>
        </w:rPr>
      </w:pPr>
    </w:p>
    <w:p w14:paraId="7076B3DC" w14:textId="77777777" w:rsidR="00327D55" w:rsidRPr="00327D55" w:rsidRDefault="00327D55" w:rsidP="00327D55">
      <w:pPr>
        <w:jc w:val="center"/>
        <w:rPr>
          <w:color w:val="auto"/>
          <w:sz w:val="54"/>
          <w:szCs w:val="54"/>
        </w:rPr>
      </w:pPr>
      <w:r w:rsidRPr="00327D55">
        <w:rPr>
          <w:color w:val="auto"/>
          <w:sz w:val="54"/>
          <w:szCs w:val="54"/>
        </w:rPr>
        <w:t>Total Target 8, Total Indicators: 11</w:t>
      </w:r>
    </w:p>
    <w:p w14:paraId="14DEE68D" w14:textId="77777777" w:rsidR="00327D55" w:rsidRDefault="00327D55" w:rsidP="00327D55">
      <w:pPr>
        <w:jc w:val="center"/>
      </w:pPr>
      <w:r w:rsidRPr="00262FC1">
        <w:rPr>
          <w:noProof/>
          <w:shd w:val="clear" w:color="auto" w:fill="00B050"/>
          <w:lang w:bidi="bn-BD"/>
        </w:rPr>
        <w:lastRenderedPageBreak/>
        <w:drawing>
          <wp:inline distT="0" distB="0" distL="0" distR="0" wp14:anchorId="73E6D8F6" wp14:editId="598FDB95">
            <wp:extent cx="3322621" cy="2290500"/>
            <wp:effectExtent l="0" t="0" r="11430" b="1460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t xml:space="preserve">         </w:t>
      </w:r>
      <w:r w:rsidRPr="00262FC1">
        <w:rPr>
          <w:noProof/>
          <w:shd w:val="clear" w:color="auto" w:fill="00B050"/>
          <w:lang w:bidi="bn-BD"/>
        </w:rPr>
        <w:drawing>
          <wp:inline distT="0" distB="0" distL="0" distR="0" wp14:anchorId="75199DFF" wp14:editId="7EE7BEFD">
            <wp:extent cx="3675707" cy="230314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t xml:space="preserve">         </w:t>
      </w:r>
      <w:r w:rsidRPr="00262FC1">
        <w:rPr>
          <w:noProof/>
          <w:shd w:val="clear" w:color="auto" w:fill="00B050"/>
          <w:lang w:bidi="bn-BD"/>
        </w:rPr>
        <w:drawing>
          <wp:inline distT="0" distB="0" distL="0" distR="0" wp14:anchorId="147D6518" wp14:editId="1B96E447">
            <wp:extent cx="3322621" cy="2290500"/>
            <wp:effectExtent l="0" t="0" r="11430" b="146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63F6ACA" w14:textId="77777777" w:rsidR="00327D55" w:rsidRPr="00B175D1" w:rsidRDefault="00327D55" w:rsidP="00327D55">
      <w:pPr>
        <w:rPr>
          <w:i/>
          <w:iCs/>
        </w:rPr>
      </w:pPr>
      <w:r>
        <w:t xml:space="preserve">  </w:t>
      </w:r>
      <w:r w:rsidRPr="00B175D1">
        <w:rPr>
          <w:i/>
          <w:iCs/>
          <w:color w:val="FFFFFF" w:themeColor="background1"/>
        </w:rPr>
        <w:t xml:space="preserve">* 1 </w:t>
      </w:r>
      <w:r>
        <w:rPr>
          <w:i/>
          <w:iCs/>
          <w:color w:val="FFFFFF" w:themeColor="background1"/>
        </w:rPr>
        <w:t>I</w:t>
      </w:r>
      <w:r w:rsidRPr="00B175D1">
        <w:rPr>
          <w:i/>
          <w:iCs/>
          <w:color w:val="FFFFFF" w:themeColor="background1"/>
        </w:rPr>
        <w:t xml:space="preserve">ndicator classified both </w:t>
      </w:r>
      <w:r>
        <w:rPr>
          <w:i/>
          <w:iCs/>
          <w:color w:val="FFFFFF" w:themeColor="background1"/>
        </w:rPr>
        <w:t>as</w:t>
      </w:r>
      <w:r w:rsidRPr="00B175D1">
        <w:rPr>
          <w:i/>
          <w:iCs/>
          <w:color w:val="FFFFFF" w:themeColor="background1"/>
        </w:rPr>
        <w:t xml:space="preserve"> Tier I and Tier II </w:t>
      </w:r>
      <w:r w:rsidRPr="00B175D1">
        <w:rPr>
          <w:i/>
          <w:iCs/>
        </w:rPr>
        <w:br w:type="page"/>
      </w:r>
    </w:p>
    <w:p w14:paraId="09F0B0BC" w14:textId="77777777" w:rsidR="00327D55" w:rsidRDefault="00327D55" w:rsidP="00327D55">
      <w:pPr>
        <w:rPr>
          <w:sz w:val="22"/>
          <w:szCs w:val="22"/>
        </w:rPr>
        <w:sectPr w:rsidR="00327D55" w:rsidSect="001F0FD8">
          <w:pgSz w:w="20160" w:h="12240" w:orient="landscape" w:code="5"/>
          <w:pgMar w:top="1440" w:right="1440" w:bottom="1440" w:left="1440" w:header="720" w:footer="720" w:gutter="0"/>
          <w:cols w:space="720"/>
          <w:docGrid w:linePitch="360"/>
        </w:sectPr>
      </w:pPr>
    </w:p>
    <w:p w14:paraId="71B8DE9B" w14:textId="77777777" w:rsidR="00327D55" w:rsidRDefault="00327D55" w:rsidP="00327D55">
      <w:pPr>
        <w:rPr>
          <w:sz w:val="22"/>
          <w:szCs w:val="22"/>
        </w:rPr>
        <w:sectPr w:rsidR="00327D55" w:rsidSect="001F0FD8">
          <w:pgSz w:w="20160" w:h="12240" w:orient="landscape" w:code="5"/>
          <w:pgMar w:top="1440" w:right="1440" w:bottom="1440" w:left="1440" w:header="720" w:footer="720" w:gutter="0"/>
          <w:cols w:space="720"/>
          <w:docGrid w:linePitch="360"/>
        </w:sectPr>
      </w:pPr>
    </w:p>
    <w:p w14:paraId="5C40D6FE" w14:textId="0B7B656D" w:rsidR="00327D55" w:rsidRPr="007B1DFD" w:rsidRDefault="00BB3B57" w:rsidP="00327D55">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18715" w:type="dxa"/>
        <w:tblLook w:val="04A0" w:firstRow="1" w:lastRow="0" w:firstColumn="1" w:lastColumn="0" w:noHBand="0" w:noVBand="1"/>
      </w:tblPr>
      <w:tblGrid>
        <w:gridCol w:w="1278"/>
        <w:gridCol w:w="17437"/>
      </w:tblGrid>
      <w:tr w:rsidR="00327D55" w14:paraId="5FF52C68" w14:textId="77777777" w:rsidTr="0085651F">
        <w:tc>
          <w:tcPr>
            <w:tcW w:w="1278" w:type="dxa"/>
            <w:tcBorders>
              <w:left w:val="single" w:sz="4" w:space="0" w:color="C00000"/>
              <w:bottom w:val="single" w:sz="4" w:space="0" w:color="C00000"/>
            </w:tcBorders>
          </w:tcPr>
          <w:p w14:paraId="3E84C3B0" w14:textId="77777777" w:rsidR="00327D55" w:rsidRDefault="00327D55" w:rsidP="006E0295">
            <w:pPr>
              <w:jc w:val="center"/>
              <w:rPr>
                <w:color w:val="C00000"/>
                <w:sz w:val="48"/>
                <w:szCs w:val="48"/>
              </w:rPr>
            </w:pPr>
            <w:r w:rsidRPr="00262FC1">
              <w:rPr>
                <w:noProof/>
                <w:lang w:bidi="bn-BD"/>
              </w:rPr>
              <w:drawing>
                <wp:inline distT="0" distB="0" distL="0" distR="0" wp14:anchorId="647A88BA" wp14:editId="06C02EB8">
                  <wp:extent cx="590203" cy="590203"/>
                  <wp:effectExtent l="38100" t="38100" r="38735" b="387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cmyk-0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0203" cy="590203"/>
                          </a:xfrm>
                          <a:prstGeom prst="rect">
                            <a:avLst/>
                          </a:prstGeom>
                          <a:ln w="38100">
                            <a:solidFill>
                              <a:schemeClr val="bg1"/>
                            </a:solidFill>
                          </a:ln>
                        </pic:spPr>
                      </pic:pic>
                    </a:graphicData>
                  </a:graphic>
                </wp:inline>
              </w:drawing>
            </w:r>
          </w:p>
        </w:tc>
        <w:tc>
          <w:tcPr>
            <w:tcW w:w="17437" w:type="dxa"/>
            <w:shd w:val="clear" w:color="auto" w:fill="0070C0"/>
            <w:vAlign w:val="center"/>
          </w:tcPr>
          <w:p w14:paraId="0654029E" w14:textId="77777777" w:rsidR="00327D55" w:rsidRPr="00462DA0" w:rsidRDefault="00462DA0" w:rsidP="006E0295">
            <w:pPr>
              <w:jc w:val="both"/>
              <w:rPr>
                <w:color w:val="FFFFFF" w:themeColor="background1"/>
                <w:sz w:val="62"/>
                <w:szCs w:val="62"/>
              </w:rPr>
            </w:pPr>
            <w:r w:rsidRPr="00462DA0">
              <w:rPr>
                <w:color w:val="FFFFFF" w:themeColor="background1"/>
                <w:sz w:val="62"/>
                <w:szCs w:val="62"/>
              </w:rPr>
              <w:t>Ensure availability and sustainable management of water and sanitation for all</w:t>
            </w:r>
          </w:p>
        </w:tc>
      </w:tr>
    </w:tbl>
    <w:p w14:paraId="5BB576C9" w14:textId="77777777" w:rsidR="00327D55" w:rsidRDefault="00327D55" w:rsidP="00327D55">
      <w:pPr>
        <w:jc w:val="both"/>
        <w:rPr>
          <w:color w:val="C00000"/>
          <w:sz w:val="30"/>
          <w:szCs w:val="30"/>
        </w:rPr>
      </w:pPr>
    </w:p>
    <w:tbl>
      <w:tblPr>
        <w:tblStyle w:val="TableGrid"/>
        <w:tblW w:w="0" w:type="auto"/>
        <w:tblInd w:w="-5" w:type="dxa"/>
        <w:tblLook w:val="04A0" w:firstRow="1" w:lastRow="0" w:firstColumn="1" w:lastColumn="0" w:noHBand="0" w:noVBand="1"/>
      </w:tblPr>
      <w:tblGrid>
        <w:gridCol w:w="1211"/>
        <w:gridCol w:w="880"/>
        <w:gridCol w:w="825"/>
        <w:gridCol w:w="6373"/>
        <w:gridCol w:w="1164"/>
        <w:gridCol w:w="1273"/>
        <w:gridCol w:w="836"/>
        <w:gridCol w:w="1130"/>
        <w:gridCol w:w="1583"/>
        <w:gridCol w:w="910"/>
        <w:gridCol w:w="786"/>
        <w:gridCol w:w="855"/>
        <w:gridCol w:w="1115"/>
      </w:tblGrid>
      <w:tr w:rsidR="00DB32C0" w14:paraId="7CB123D7" w14:textId="77777777" w:rsidTr="0085651F">
        <w:trPr>
          <w:tblHeader/>
        </w:trPr>
        <w:tc>
          <w:tcPr>
            <w:tcW w:w="0" w:type="auto"/>
            <w:shd w:val="clear" w:color="auto" w:fill="DDD9C3" w:themeFill="background2" w:themeFillShade="E6"/>
            <w:vAlign w:val="center"/>
          </w:tcPr>
          <w:p w14:paraId="5B9AD12A" w14:textId="77777777" w:rsidR="00BE3A94" w:rsidRPr="00C766D7" w:rsidRDefault="004B41A9" w:rsidP="006E0295">
            <w:pPr>
              <w:jc w:val="center"/>
              <w:rPr>
                <w:b/>
                <w:bCs/>
                <w:sz w:val="18"/>
                <w:szCs w:val="18"/>
              </w:rPr>
            </w:pPr>
            <w:r>
              <w:rPr>
                <w:b/>
                <w:bCs/>
                <w:sz w:val="18"/>
                <w:szCs w:val="18"/>
              </w:rPr>
              <w:t>T</w:t>
            </w:r>
            <w:r w:rsidR="00BE3A94" w:rsidRPr="00C766D7">
              <w:rPr>
                <w:b/>
                <w:bCs/>
                <w:sz w:val="18"/>
                <w:szCs w:val="18"/>
              </w:rPr>
              <w:t>argets and Indicators</w:t>
            </w:r>
          </w:p>
        </w:tc>
        <w:tc>
          <w:tcPr>
            <w:tcW w:w="0" w:type="auto"/>
            <w:shd w:val="clear" w:color="auto" w:fill="DDD9C3" w:themeFill="background2" w:themeFillShade="E6"/>
            <w:vAlign w:val="center"/>
          </w:tcPr>
          <w:p w14:paraId="5D57116C" w14:textId="77777777" w:rsidR="004D2483" w:rsidRPr="00C766D7" w:rsidRDefault="00BE3A94" w:rsidP="004D2483">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825" w:type="dxa"/>
            <w:shd w:val="clear" w:color="auto" w:fill="DDD9C3" w:themeFill="background2" w:themeFillShade="E6"/>
            <w:vAlign w:val="center"/>
          </w:tcPr>
          <w:p w14:paraId="70443BEA" w14:textId="77777777" w:rsidR="00BE3A94" w:rsidRPr="00C766D7" w:rsidRDefault="00BE3A94" w:rsidP="006E0295">
            <w:pPr>
              <w:jc w:val="center"/>
              <w:rPr>
                <w:b/>
                <w:bCs/>
                <w:sz w:val="18"/>
                <w:szCs w:val="18"/>
              </w:rPr>
            </w:pPr>
            <w:r w:rsidRPr="00C766D7">
              <w:rPr>
                <w:b/>
                <w:bCs/>
                <w:sz w:val="18"/>
                <w:szCs w:val="18"/>
              </w:rPr>
              <w:t>Tier Classifi</w:t>
            </w:r>
            <w:r w:rsidR="00D0242E">
              <w:rPr>
                <w:b/>
                <w:bCs/>
                <w:sz w:val="18"/>
                <w:szCs w:val="18"/>
              </w:rPr>
              <w:t>-</w:t>
            </w:r>
            <w:r w:rsidRPr="00C766D7">
              <w:rPr>
                <w:b/>
                <w:bCs/>
                <w:sz w:val="18"/>
                <w:szCs w:val="18"/>
              </w:rPr>
              <w:t>cations</w:t>
            </w:r>
          </w:p>
        </w:tc>
        <w:tc>
          <w:tcPr>
            <w:tcW w:w="6373" w:type="dxa"/>
            <w:shd w:val="clear" w:color="auto" w:fill="DDD9C3" w:themeFill="background2" w:themeFillShade="E6"/>
            <w:vAlign w:val="center"/>
          </w:tcPr>
          <w:p w14:paraId="04BB7E7E" w14:textId="77777777" w:rsidR="00BE3A94" w:rsidRPr="00C766D7" w:rsidRDefault="00BE3A94" w:rsidP="006E0295">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DDD9C3" w:themeFill="background2" w:themeFillShade="E6"/>
            <w:vAlign w:val="center"/>
          </w:tcPr>
          <w:p w14:paraId="27F04C44" w14:textId="77777777" w:rsidR="00BE3A94" w:rsidRPr="00C766D7" w:rsidRDefault="00BE3A94" w:rsidP="006E0295">
            <w:pPr>
              <w:jc w:val="center"/>
              <w:rPr>
                <w:b/>
                <w:bCs/>
                <w:sz w:val="18"/>
                <w:szCs w:val="18"/>
              </w:rPr>
            </w:pPr>
            <w:r w:rsidRPr="00C766D7">
              <w:rPr>
                <w:b/>
                <w:bCs/>
                <w:sz w:val="18"/>
                <w:szCs w:val="18"/>
              </w:rPr>
              <w:t>UN Suggested activities of data generation</w:t>
            </w:r>
          </w:p>
        </w:tc>
        <w:tc>
          <w:tcPr>
            <w:tcW w:w="0" w:type="auto"/>
            <w:shd w:val="clear" w:color="auto" w:fill="DDD9C3" w:themeFill="background2" w:themeFillShade="E6"/>
            <w:vAlign w:val="center"/>
          </w:tcPr>
          <w:p w14:paraId="48AA91C9" w14:textId="77777777" w:rsidR="00BE3A94" w:rsidRPr="00C766D7" w:rsidRDefault="00BE3A94" w:rsidP="006E0295">
            <w:pPr>
              <w:jc w:val="center"/>
              <w:rPr>
                <w:b/>
                <w:bCs/>
                <w:sz w:val="18"/>
                <w:szCs w:val="18"/>
              </w:rPr>
            </w:pPr>
            <w:r w:rsidRPr="00C766D7">
              <w:rPr>
                <w:b/>
                <w:bCs/>
                <w:sz w:val="18"/>
                <w:szCs w:val="18"/>
              </w:rPr>
              <w:t>UN Suggested data provider</w:t>
            </w:r>
          </w:p>
        </w:tc>
        <w:tc>
          <w:tcPr>
            <w:tcW w:w="0" w:type="auto"/>
            <w:shd w:val="clear" w:color="auto" w:fill="DDD9C3" w:themeFill="background2" w:themeFillShade="E6"/>
            <w:vAlign w:val="center"/>
          </w:tcPr>
          <w:p w14:paraId="52A7B7FE" w14:textId="77777777" w:rsidR="00BE3A94" w:rsidRPr="00C766D7" w:rsidRDefault="00BE3A94" w:rsidP="006E0295">
            <w:pPr>
              <w:jc w:val="center"/>
              <w:rPr>
                <w:b/>
                <w:bCs/>
                <w:sz w:val="18"/>
                <w:szCs w:val="18"/>
              </w:rPr>
            </w:pPr>
            <w:r w:rsidRPr="00C766D7">
              <w:rPr>
                <w:b/>
                <w:bCs/>
                <w:sz w:val="18"/>
                <w:szCs w:val="18"/>
              </w:rPr>
              <w:t>Recent Available Data Sources</w:t>
            </w:r>
          </w:p>
        </w:tc>
        <w:tc>
          <w:tcPr>
            <w:tcW w:w="0" w:type="auto"/>
            <w:shd w:val="clear" w:color="auto" w:fill="DDD9C3" w:themeFill="background2" w:themeFillShade="E6"/>
            <w:vAlign w:val="center"/>
          </w:tcPr>
          <w:p w14:paraId="074A5B4D" w14:textId="77777777" w:rsidR="00BE3A94" w:rsidRPr="00C766D7" w:rsidRDefault="00BE3A94" w:rsidP="006E0295">
            <w:pPr>
              <w:jc w:val="center"/>
              <w:rPr>
                <w:b/>
                <w:bCs/>
                <w:sz w:val="18"/>
                <w:szCs w:val="18"/>
              </w:rPr>
            </w:pPr>
            <w:r w:rsidRPr="00C766D7">
              <w:rPr>
                <w:b/>
                <w:bCs/>
                <w:sz w:val="18"/>
                <w:szCs w:val="18"/>
              </w:rPr>
              <w:t>Possible future Sources</w:t>
            </w:r>
          </w:p>
        </w:tc>
        <w:tc>
          <w:tcPr>
            <w:tcW w:w="0" w:type="auto"/>
            <w:shd w:val="clear" w:color="auto" w:fill="DDD9C3" w:themeFill="background2" w:themeFillShade="E6"/>
            <w:vAlign w:val="center"/>
          </w:tcPr>
          <w:p w14:paraId="4A9D4C26" w14:textId="77777777" w:rsidR="00BE3A94" w:rsidRPr="00C766D7" w:rsidRDefault="00BE3A94" w:rsidP="006E0295">
            <w:pPr>
              <w:jc w:val="center"/>
              <w:rPr>
                <w:b/>
                <w:bCs/>
                <w:sz w:val="18"/>
                <w:szCs w:val="18"/>
              </w:rPr>
            </w:pPr>
            <w:r>
              <w:rPr>
                <w:b/>
                <w:bCs/>
                <w:sz w:val="18"/>
                <w:szCs w:val="18"/>
              </w:rPr>
              <w:t>Minimum Disaggregation Dimensions and Categories</w:t>
            </w:r>
          </w:p>
        </w:tc>
        <w:tc>
          <w:tcPr>
            <w:tcW w:w="0" w:type="auto"/>
            <w:shd w:val="clear" w:color="auto" w:fill="DDD9C3" w:themeFill="background2" w:themeFillShade="E6"/>
            <w:vAlign w:val="center"/>
          </w:tcPr>
          <w:p w14:paraId="0F7F29F8" w14:textId="77777777" w:rsidR="00BE3A94" w:rsidRPr="00C766D7" w:rsidRDefault="00BE3A94" w:rsidP="006E0295">
            <w:pPr>
              <w:jc w:val="center"/>
              <w:rPr>
                <w:b/>
                <w:bCs/>
                <w:sz w:val="18"/>
                <w:szCs w:val="18"/>
              </w:rPr>
            </w:pPr>
            <w:r w:rsidRPr="00C766D7">
              <w:rPr>
                <w:b/>
                <w:bCs/>
                <w:sz w:val="18"/>
                <w:szCs w:val="18"/>
              </w:rPr>
              <w:t>Frequency of data generation</w:t>
            </w:r>
          </w:p>
        </w:tc>
        <w:tc>
          <w:tcPr>
            <w:tcW w:w="0" w:type="auto"/>
            <w:shd w:val="clear" w:color="auto" w:fill="DDD9C3" w:themeFill="background2" w:themeFillShade="E6"/>
            <w:vAlign w:val="center"/>
          </w:tcPr>
          <w:p w14:paraId="1C79D29B" w14:textId="77777777" w:rsidR="00BE3A94" w:rsidRPr="00C766D7" w:rsidRDefault="00BE3A94" w:rsidP="006E0295">
            <w:pPr>
              <w:jc w:val="center"/>
              <w:rPr>
                <w:b/>
                <w:bCs/>
                <w:sz w:val="18"/>
                <w:szCs w:val="18"/>
              </w:rPr>
            </w:pPr>
            <w:r w:rsidRPr="00C766D7">
              <w:rPr>
                <w:b/>
                <w:bCs/>
                <w:sz w:val="18"/>
                <w:szCs w:val="18"/>
              </w:rPr>
              <w:t>Local Indicator Group</w:t>
            </w:r>
          </w:p>
        </w:tc>
        <w:tc>
          <w:tcPr>
            <w:tcW w:w="0" w:type="auto"/>
            <w:shd w:val="clear" w:color="auto" w:fill="DDD9C3" w:themeFill="background2" w:themeFillShade="E6"/>
          </w:tcPr>
          <w:p w14:paraId="0891510A" w14:textId="77777777" w:rsidR="00BE3A94" w:rsidRDefault="00BE3A94" w:rsidP="006E0295">
            <w:pPr>
              <w:jc w:val="center"/>
              <w:rPr>
                <w:b/>
                <w:bCs/>
                <w:sz w:val="18"/>
                <w:szCs w:val="18"/>
              </w:rPr>
            </w:pPr>
            <w:r w:rsidRPr="00BE3A94">
              <w:rPr>
                <w:b/>
                <w:bCs/>
                <w:sz w:val="18"/>
                <w:szCs w:val="18"/>
              </w:rPr>
              <w:t>Deadline for Data providing</w:t>
            </w:r>
          </w:p>
        </w:tc>
        <w:tc>
          <w:tcPr>
            <w:tcW w:w="0" w:type="auto"/>
            <w:shd w:val="clear" w:color="auto" w:fill="DDD9C3" w:themeFill="background2" w:themeFillShade="E6"/>
            <w:vAlign w:val="center"/>
          </w:tcPr>
          <w:p w14:paraId="49DEA01C" w14:textId="77777777" w:rsidR="00BE3A94" w:rsidRPr="00C766D7" w:rsidRDefault="00BE3A94" w:rsidP="006E0295">
            <w:pPr>
              <w:jc w:val="center"/>
              <w:rPr>
                <w:b/>
                <w:bCs/>
                <w:sz w:val="18"/>
                <w:szCs w:val="18"/>
              </w:rPr>
            </w:pPr>
            <w:r>
              <w:rPr>
                <w:b/>
                <w:bCs/>
                <w:sz w:val="18"/>
                <w:szCs w:val="18"/>
              </w:rPr>
              <w:t>Remarks</w:t>
            </w:r>
          </w:p>
        </w:tc>
      </w:tr>
      <w:tr w:rsidR="00FC6E2C" w:rsidRPr="00C07ED2" w14:paraId="7BA46E50" w14:textId="77777777" w:rsidTr="0085651F">
        <w:trPr>
          <w:tblHeader/>
        </w:trPr>
        <w:tc>
          <w:tcPr>
            <w:tcW w:w="0" w:type="auto"/>
            <w:shd w:val="clear" w:color="auto" w:fill="00B0F0"/>
          </w:tcPr>
          <w:p w14:paraId="32B8EEDC" w14:textId="77777777" w:rsidR="00BE3A94" w:rsidRPr="00C07ED2" w:rsidRDefault="00BE3A94" w:rsidP="006E0295">
            <w:pPr>
              <w:jc w:val="center"/>
              <w:rPr>
                <w:b/>
                <w:bCs/>
                <w:i/>
                <w:iCs/>
                <w:sz w:val="18"/>
                <w:szCs w:val="18"/>
              </w:rPr>
            </w:pPr>
            <w:r w:rsidRPr="00C07ED2">
              <w:rPr>
                <w:b/>
                <w:bCs/>
                <w:i/>
                <w:iCs/>
                <w:sz w:val="18"/>
                <w:szCs w:val="18"/>
              </w:rPr>
              <w:t>1</w:t>
            </w:r>
          </w:p>
        </w:tc>
        <w:tc>
          <w:tcPr>
            <w:tcW w:w="0" w:type="auto"/>
            <w:shd w:val="clear" w:color="auto" w:fill="00B0F0"/>
          </w:tcPr>
          <w:p w14:paraId="7BB03C38" w14:textId="77777777" w:rsidR="00BE3A94" w:rsidRPr="00C07ED2" w:rsidRDefault="00BE3A94" w:rsidP="006E0295">
            <w:pPr>
              <w:jc w:val="center"/>
              <w:rPr>
                <w:b/>
                <w:bCs/>
                <w:i/>
                <w:iCs/>
                <w:sz w:val="18"/>
                <w:szCs w:val="18"/>
              </w:rPr>
            </w:pPr>
            <w:r w:rsidRPr="00C07ED2">
              <w:rPr>
                <w:b/>
                <w:bCs/>
                <w:i/>
                <w:iCs/>
                <w:sz w:val="18"/>
                <w:szCs w:val="18"/>
              </w:rPr>
              <w:t>2</w:t>
            </w:r>
          </w:p>
        </w:tc>
        <w:tc>
          <w:tcPr>
            <w:tcW w:w="825" w:type="dxa"/>
            <w:shd w:val="clear" w:color="auto" w:fill="00B0F0"/>
          </w:tcPr>
          <w:p w14:paraId="3303296E" w14:textId="77777777" w:rsidR="00BE3A94" w:rsidRPr="00C07ED2" w:rsidRDefault="00BE3A94" w:rsidP="006E0295">
            <w:pPr>
              <w:jc w:val="center"/>
              <w:rPr>
                <w:b/>
                <w:bCs/>
                <w:i/>
                <w:iCs/>
                <w:sz w:val="18"/>
                <w:szCs w:val="18"/>
              </w:rPr>
            </w:pPr>
            <w:r w:rsidRPr="00C07ED2">
              <w:rPr>
                <w:b/>
                <w:bCs/>
                <w:i/>
                <w:iCs/>
                <w:sz w:val="18"/>
                <w:szCs w:val="18"/>
              </w:rPr>
              <w:t>3</w:t>
            </w:r>
          </w:p>
        </w:tc>
        <w:tc>
          <w:tcPr>
            <w:tcW w:w="6373" w:type="dxa"/>
            <w:shd w:val="clear" w:color="auto" w:fill="00B0F0"/>
          </w:tcPr>
          <w:p w14:paraId="1B5928D2" w14:textId="77777777" w:rsidR="00BE3A94" w:rsidRPr="00C07ED2" w:rsidRDefault="00BE3A94" w:rsidP="006E0295">
            <w:pPr>
              <w:jc w:val="center"/>
              <w:rPr>
                <w:b/>
                <w:bCs/>
                <w:i/>
                <w:iCs/>
                <w:sz w:val="18"/>
                <w:szCs w:val="18"/>
              </w:rPr>
            </w:pPr>
            <w:r w:rsidRPr="00C07ED2">
              <w:rPr>
                <w:b/>
                <w:bCs/>
                <w:i/>
                <w:iCs/>
                <w:sz w:val="18"/>
                <w:szCs w:val="18"/>
              </w:rPr>
              <w:t>4</w:t>
            </w:r>
          </w:p>
        </w:tc>
        <w:tc>
          <w:tcPr>
            <w:tcW w:w="0" w:type="auto"/>
            <w:shd w:val="clear" w:color="auto" w:fill="00B0F0"/>
          </w:tcPr>
          <w:p w14:paraId="467FBB2F" w14:textId="77777777" w:rsidR="00BE3A94" w:rsidRPr="00C07ED2" w:rsidRDefault="00BE3A94" w:rsidP="006E0295">
            <w:pPr>
              <w:jc w:val="center"/>
              <w:rPr>
                <w:b/>
                <w:bCs/>
                <w:i/>
                <w:iCs/>
                <w:sz w:val="18"/>
                <w:szCs w:val="18"/>
              </w:rPr>
            </w:pPr>
            <w:r w:rsidRPr="00C07ED2">
              <w:rPr>
                <w:b/>
                <w:bCs/>
                <w:i/>
                <w:iCs/>
                <w:sz w:val="18"/>
                <w:szCs w:val="18"/>
              </w:rPr>
              <w:t>5</w:t>
            </w:r>
          </w:p>
        </w:tc>
        <w:tc>
          <w:tcPr>
            <w:tcW w:w="0" w:type="auto"/>
            <w:shd w:val="clear" w:color="auto" w:fill="00B0F0"/>
          </w:tcPr>
          <w:p w14:paraId="2D3CCB13" w14:textId="77777777" w:rsidR="00BE3A94" w:rsidRPr="00C07ED2" w:rsidRDefault="00BE3A94" w:rsidP="006E0295">
            <w:pPr>
              <w:jc w:val="center"/>
              <w:rPr>
                <w:b/>
                <w:bCs/>
                <w:i/>
                <w:iCs/>
                <w:sz w:val="18"/>
                <w:szCs w:val="18"/>
              </w:rPr>
            </w:pPr>
            <w:r w:rsidRPr="00C07ED2">
              <w:rPr>
                <w:b/>
                <w:bCs/>
                <w:i/>
                <w:iCs/>
                <w:sz w:val="18"/>
                <w:szCs w:val="18"/>
              </w:rPr>
              <w:t>6</w:t>
            </w:r>
          </w:p>
        </w:tc>
        <w:tc>
          <w:tcPr>
            <w:tcW w:w="0" w:type="auto"/>
            <w:shd w:val="clear" w:color="auto" w:fill="00B0F0"/>
          </w:tcPr>
          <w:p w14:paraId="104758F1" w14:textId="77777777" w:rsidR="00BE3A94" w:rsidRPr="00C07ED2" w:rsidRDefault="00BE3A94" w:rsidP="006E0295">
            <w:pPr>
              <w:jc w:val="center"/>
              <w:rPr>
                <w:b/>
                <w:bCs/>
                <w:i/>
                <w:iCs/>
                <w:sz w:val="18"/>
                <w:szCs w:val="18"/>
              </w:rPr>
            </w:pPr>
            <w:r w:rsidRPr="00C07ED2">
              <w:rPr>
                <w:b/>
                <w:bCs/>
                <w:i/>
                <w:iCs/>
                <w:sz w:val="18"/>
                <w:szCs w:val="18"/>
              </w:rPr>
              <w:t>7</w:t>
            </w:r>
          </w:p>
        </w:tc>
        <w:tc>
          <w:tcPr>
            <w:tcW w:w="0" w:type="auto"/>
            <w:shd w:val="clear" w:color="auto" w:fill="00B0F0"/>
          </w:tcPr>
          <w:p w14:paraId="1C2BE281" w14:textId="77777777" w:rsidR="00BE3A94" w:rsidRPr="00C07ED2" w:rsidRDefault="00BE3A94" w:rsidP="006E0295">
            <w:pPr>
              <w:jc w:val="center"/>
              <w:rPr>
                <w:b/>
                <w:bCs/>
                <w:i/>
                <w:iCs/>
                <w:sz w:val="18"/>
                <w:szCs w:val="18"/>
              </w:rPr>
            </w:pPr>
            <w:r w:rsidRPr="00C07ED2">
              <w:rPr>
                <w:b/>
                <w:bCs/>
                <w:i/>
                <w:iCs/>
                <w:sz w:val="18"/>
                <w:szCs w:val="18"/>
              </w:rPr>
              <w:t>8</w:t>
            </w:r>
          </w:p>
        </w:tc>
        <w:tc>
          <w:tcPr>
            <w:tcW w:w="0" w:type="auto"/>
            <w:shd w:val="clear" w:color="auto" w:fill="00B0F0"/>
          </w:tcPr>
          <w:p w14:paraId="5A9D373E" w14:textId="77777777" w:rsidR="00BE3A94" w:rsidRPr="00C07ED2" w:rsidRDefault="00BE3A94" w:rsidP="006E0295">
            <w:pPr>
              <w:jc w:val="center"/>
              <w:rPr>
                <w:b/>
                <w:bCs/>
                <w:i/>
                <w:iCs/>
                <w:sz w:val="18"/>
                <w:szCs w:val="18"/>
              </w:rPr>
            </w:pPr>
            <w:r w:rsidRPr="00C07ED2">
              <w:rPr>
                <w:b/>
                <w:bCs/>
                <w:i/>
                <w:iCs/>
                <w:sz w:val="18"/>
                <w:szCs w:val="18"/>
              </w:rPr>
              <w:t>9</w:t>
            </w:r>
          </w:p>
        </w:tc>
        <w:tc>
          <w:tcPr>
            <w:tcW w:w="0" w:type="auto"/>
            <w:shd w:val="clear" w:color="auto" w:fill="00B0F0"/>
          </w:tcPr>
          <w:p w14:paraId="5C5D3132" w14:textId="77777777" w:rsidR="00BE3A94" w:rsidRPr="00C07ED2" w:rsidRDefault="00BE3A94" w:rsidP="006E0295">
            <w:pPr>
              <w:jc w:val="center"/>
              <w:rPr>
                <w:b/>
                <w:bCs/>
                <w:i/>
                <w:iCs/>
                <w:sz w:val="18"/>
                <w:szCs w:val="18"/>
              </w:rPr>
            </w:pPr>
            <w:r w:rsidRPr="00C07ED2">
              <w:rPr>
                <w:b/>
                <w:bCs/>
                <w:i/>
                <w:iCs/>
                <w:sz w:val="18"/>
                <w:szCs w:val="18"/>
              </w:rPr>
              <w:t>10</w:t>
            </w:r>
          </w:p>
        </w:tc>
        <w:tc>
          <w:tcPr>
            <w:tcW w:w="0" w:type="auto"/>
            <w:shd w:val="clear" w:color="auto" w:fill="00B0F0"/>
          </w:tcPr>
          <w:p w14:paraId="7E3525AD" w14:textId="77777777" w:rsidR="00BE3A94" w:rsidRPr="00C07ED2" w:rsidRDefault="00BE3A94" w:rsidP="006E0295">
            <w:pPr>
              <w:jc w:val="center"/>
              <w:rPr>
                <w:b/>
                <w:bCs/>
                <w:i/>
                <w:iCs/>
                <w:sz w:val="18"/>
                <w:szCs w:val="18"/>
              </w:rPr>
            </w:pPr>
            <w:r w:rsidRPr="00C07ED2">
              <w:rPr>
                <w:b/>
                <w:bCs/>
                <w:i/>
                <w:iCs/>
                <w:sz w:val="18"/>
                <w:szCs w:val="18"/>
              </w:rPr>
              <w:t>11</w:t>
            </w:r>
          </w:p>
        </w:tc>
        <w:tc>
          <w:tcPr>
            <w:tcW w:w="0" w:type="auto"/>
            <w:shd w:val="clear" w:color="auto" w:fill="00B0F0"/>
          </w:tcPr>
          <w:p w14:paraId="57F347DF" w14:textId="77777777" w:rsidR="00BE3A94" w:rsidRPr="00C07ED2" w:rsidRDefault="00C756D0" w:rsidP="006E0295">
            <w:pPr>
              <w:jc w:val="center"/>
              <w:rPr>
                <w:b/>
                <w:bCs/>
                <w:i/>
                <w:iCs/>
                <w:sz w:val="18"/>
                <w:szCs w:val="18"/>
                <w:lang w:bidi="bn-BD"/>
              </w:rPr>
            </w:pPr>
            <w:r>
              <w:rPr>
                <w:rFonts w:hint="cs"/>
                <w:b/>
                <w:bCs/>
                <w:i/>
                <w:iCs/>
                <w:sz w:val="18"/>
                <w:szCs w:val="18"/>
                <w:cs/>
                <w:lang w:bidi="bn-BD"/>
              </w:rPr>
              <w:t>12</w:t>
            </w:r>
          </w:p>
        </w:tc>
        <w:tc>
          <w:tcPr>
            <w:tcW w:w="0" w:type="auto"/>
            <w:shd w:val="clear" w:color="auto" w:fill="00B0F0"/>
          </w:tcPr>
          <w:p w14:paraId="2B1910C0" w14:textId="77777777" w:rsidR="00BE3A94" w:rsidRPr="00C07ED2" w:rsidRDefault="00C756D0" w:rsidP="006E0295">
            <w:pPr>
              <w:jc w:val="center"/>
              <w:rPr>
                <w:b/>
                <w:bCs/>
                <w:i/>
                <w:iCs/>
                <w:sz w:val="18"/>
                <w:szCs w:val="18"/>
                <w:lang w:bidi="bn-BD"/>
              </w:rPr>
            </w:pPr>
            <w:r>
              <w:rPr>
                <w:b/>
                <w:bCs/>
                <w:i/>
                <w:iCs/>
                <w:sz w:val="18"/>
                <w:szCs w:val="18"/>
              </w:rPr>
              <w:t>1</w:t>
            </w:r>
            <w:r>
              <w:rPr>
                <w:rFonts w:hint="cs"/>
                <w:b/>
                <w:bCs/>
                <w:i/>
                <w:iCs/>
                <w:sz w:val="18"/>
                <w:szCs w:val="18"/>
                <w:cs/>
                <w:lang w:bidi="bn-BD"/>
              </w:rPr>
              <w:t>3</w:t>
            </w:r>
          </w:p>
        </w:tc>
      </w:tr>
      <w:tr w:rsidR="0085651F" w14:paraId="0CF7EE0D" w14:textId="77777777" w:rsidTr="0085651F">
        <w:tc>
          <w:tcPr>
            <w:tcW w:w="0" w:type="auto"/>
            <w:gridSpan w:val="13"/>
            <w:shd w:val="clear" w:color="auto" w:fill="auto"/>
          </w:tcPr>
          <w:p w14:paraId="324E9D5E" w14:textId="77777777" w:rsidR="0085651F" w:rsidRPr="00462DA0" w:rsidRDefault="0085651F" w:rsidP="006E0295">
            <w:pPr>
              <w:ind w:left="970" w:hanging="970"/>
              <w:jc w:val="both"/>
              <w:rPr>
                <w:color w:val="0070C0"/>
                <w:sz w:val="30"/>
                <w:szCs w:val="30"/>
              </w:rPr>
            </w:pPr>
            <w:r>
              <w:rPr>
                <w:color w:val="0070C0"/>
                <w:sz w:val="30"/>
                <w:szCs w:val="30"/>
              </w:rPr>
              <w:t xml:space="preserve">Target </w:t>
            </w:r>
            <w:r w:rsidRPr="00462DA0">
              <w:rPr>
                <w:color w:val="0070C0"/>
                <w:sz w:val="30"/>
                <w:szCs w:val="30"/>
              </w:rPr>
              <w:t>6.1</w:t>
            </w:r>
            <w:r>
              <w:rPr>
                <w:color w:val="0070C0"/>
                <w:sz w:val="30"/>
                <w:szCs w:val="30"/>
              </w:rPr>
              <w:t>:</w:t>
            </w:r>
            <w:r w:rsidRPr="00462DA0">
              <w:rPr>
                <w:color w:val="0070C0"/>
                <w:sz w:val="30"/>
                <w:szCs w:val="30"/>
              </w:rPr>
              <w:t xml:space="preserve"> By 2030, achieve universal and equitable access to safe and affordable drinking water for all</w:t>
            </w:r>
          </w:p>
        </w:tc>
      </w:tr>
      <w:tr w:rsidR="00DB32C0" w14:paraId="1925ABA4" w14:textId="77777777" w:rsidTr="0085651F">
        <w:trPr>
          <w:trHeight w:val="4201"/>
        </w:trPr>
        <w:tc>
          <w:tcPr>
            <w:tcW w:w="0" w:type="auto"/>
            <w:shd w:val="clear" w:color="auto" w:fill="auto"/>
          </w:tcPr>
          <w:p w14:paraId="1E742677" w14:textId="77777777" w:rsidR="00221C59" w:rsidRPr="007243FC" w:rsidRDefault="00221C59" w:rsidP="00221C59">
            <w:pPr>
              <w:jc w:val="both"/>
              <w:rPr>
                <w:szCs w:val="20"/>
              </w:rPr>
            </w:pPr>
            <w:r w:rsidRPr="007243FC">
              <w:rPr>
                <w:szCs w:val="20"/>
              </w:rPr>
              <w:t>6.1.1 Proportion of population using safely managed drinking water services</w:t>
            </w:r>
          </w:p>
        </w:tc>
        <w:tc>
          <w:tcPr>
            <w:tcW w:w="0" w:type="auto"/>
            <w:shd w:val="clear" w:color="auto" w:fill="auto"/>
          </w:tcPr>
          <w:p w14:paraId="68F4707B" w14:textId="77777777" w:rsidR="00221C59" w:rsidRPr="007243FC" w:rsidRDefault="00221C59" w:rsidP="00221C59">
            <w:pPr>
              <w:rPr>
                <w:szCs w:val="20"/>
              </w:rPr>
            </w:pPr>
            <w:r w:rsidRPr="007243FC">
              <w:rPr>
                <w:szCs w:val="20"/>
              </w:rPr>
              <w:t>WHO,</w:t>
            </w:r>
          </w:p>
          <w:p w14:paraId="048C02F1" w14:textId="77777777" w:rsidR="00221C59" w:rsidRPr="007243FC" w:rsidRDefault="00221C59" w:rsidP="00221C59">
            <w:pPr>
              <w:rPr>
                <w:szCs w:val="20"/>
              </w:rPr>
            </w:pPr>
            <w:r w:rsidRPr="007243FC">
              <w:rPr>
                <w:szCs w:val="20"/>
              </w:rPr>
              <w:t>UNICEF</w:t>
            </w:r>
            <w:r w:rsidRPr="007243FC">
              <w:rPr>
                <w:szCs w:val="20"/>
              </w:rPr>
              <w:tab/>
            </w:r>
          </w:p>
          <w:p w14:paraId="0A598C61" w14:textId="77777777" w:rsidR="00221C59" w:rsidRPr="007243FC" w:rsidRDefault="00221C59" w:rsidP="00221C59">
            <w:pPr>
              <w:rPr>
                <w:b/>
                <w:bCs/>
                <w:szCs w:val="20"/>
              </w:rPr>
            </w:pPr>
            <w:r w:rsidRPr="007243FC">
              <w:rPr>
                <w:b/>
                <w:bCs/>
                <w:szCs w:val="20"/>
              </w:rPr>
              <w:t>Partner Agencies:</w:t>
            </w:r>
          </w:p>
          <w:p w14:paraId="286B1AE4" w14:textId="77777777" w:rsidR="00221C59" w:rsidRPr="007243FC" w:rsidRDefault="00221C59" w:rsidP="00221C59">
            <w:pPr>
              <w:rPr>
                <w:szCs w:val="20"/>
              </w:rPr>
            </w:pPr>
            <w:r w:rsidRPr="007243FC">
              <w:rPr>
                <w:szCs w:val="20"/>
              </w:rPr>
              <w:t xml:space="preserve">UNEP, </w:t>
            </w:r>
          </w:p>
          <w:p w14:paraId="2FF35267" w14:textId="77777777" w:rsidR="00221C59" w:rsidRPr="007243FC" w:rsidRDefault="00221C59" w:rsidP="00221C59">
            <w:pPr>
              <w:rPr>
                <w:szCs w:val="20"/>
              </w:rPr>
            </w:pPr>
            <w:r w:rsidRPr="007243FC">
              <w:rPr>
                <w:szCs w:val="20"/>
              </w:rPr>
              <w:t>UN-Habitat</w:t>
            </w:r>
          </w:p>
        </w:tc>
        <w:tc>
          <w:tcPr>
            <w:tcW w:w="825" w:type="dxa"/>
            <w:shd w:val="clear" w:color="auto" w:fill="auto"/>
          </w:tcPr>
          <w:p w14:paraId="24AD0E63" w14:textId="77777777" w:rsidR="00221C59" w:rsidRPr="007243FC" w:rsidRDefault="00221C59" w:rsidP="00221C59">
            <w:pPr>
              <w:jc w:val="center"/>
              <w:rPr>
                <w:szCs w:val="20"/>
              </w:rPr>
            </w:pPr>
            <w:r w:rsidRPr="007243FC">
              <w:rPr>
                <w:szCs w:val="20"/>
              </w:rPr>
              <w:t>Tier II</w:t>
            </w:r>
          </w:p>
        </w:tc>
        <w:tc>
          <w:tcPr>
            <w:tcW w:w="6373" w:type="dxa"/>
            <w:shd w:val="clear" w:color="auto" w:fill="auto"/>
          </w:tcPr>
          <w:p w14:paraId="1E0DC50F" w14:textId="77777777" w:rsidR="00221C59" w:rsidRPr="005B0033" w:rsidRDefault="00221C59" w:rsidP="00221C59">
            <w:pPr>
              <w:jc w:val="both"/>
              <w:rPr>
                <w:szCs w:val="20"/>
              </w:rPr>
            </w:pPr>
            <w:r w:rsidRPr="005B0033">
              <w:rPr>
                <w:rStyle w:val="fontstyle01"/>
                <w:rFonts w:ascii="Tw Cen MT Condensed" w:hAnsi="Tw Cen MT Condensed"/>
              </w:rPr>
              <w:t>Definition:</w:t>
            </w:r>
          </w:p>
          <w:p w14:paraId="114D82CE" w14:textId="77777777" w:rsidR="00221C59" w:rsidRPr="005B0033" w:rsidRDefault="00221C59" w:rsidP="00221C59">
            <w:pPr>
              <w:jc w:val="both"/>
              <w:rPr>
                <w:szCs w:val="20"/>
              </w:rPr>
            </w:pPr>
            <w:r w:rsidRPr="005B0033">
              <w:rPr>
                <w:szCs w:val="20"/>
              </w:rPr>
              <w:t>Proportion of population using safely managed drinking water services is currently being measured by the proportion of population using an improved basic drinking water source which is located on premises, available when needed and free of faecal (and priority chemical) contamination. ‘Improved’ drinking water sources include: piped water into dwelling, yard or plot; public taps or standpipes; boreholes or tube-wells; protected dug wells; protected springs; packaged water; delivered water and rainwater.</w:t>
            </w:r>
          </w:p>
          <w:p w14:paraId="659FCEB5" w14:textId="77777777" w:rsidR="00221C59" w:rsidRPr="005B0033" w:rsidRDefault="00221C59" w:rsidP="00221C59">
            <w:pPr>
              <w:jc w:val="both"/>
              <w:rPr>
                <w:szCs w:val="20"/>
              </w:rPr>
            </w:pPr>
          </w:p>
          <w:p w14:paraId="3EC9E699" w14:textId="77777777" w:rsidR="00221C59" w:rsidRPr="005B0033" w:rsidRDefault="00221C59" w:rsidP="00221C59">
            <w:pPr>
              <w:jc w:val="both"/>
              <w:rPr>
                <w:b/>
                <w:bCs/>
                <w:szCs w:val="20"/>
              </w:rPr>
            </w:pPr>
            <w:r w:rsidRPr="005B0033">
              <w:rPr>
                <w:b/>
                <w:bCs/>
                <w:szCs w:val="20"/>
              </w:rPr>
              <w:t>Concepts:</w:t>
            </w:r>
          </w:p>
          <w:p w14:paraId="62A04430" w14:textId="77777777" w:rsidR="00221C59" w:rsidRPr="005B0033" w:rsidRDefault="00221C59" w:rsidP="00221C59">
            <w:pPr>
              <w:jc w:val="both"/>
              <w:rPr>
                <w:szCs w:val="20"/>
              </w:rPr>
            </w:pPr>
            <w:r w:rsidRPr="005B0033">
              <w:rPr>
                <w:szCs w:val="20"/>
              </w:rPr>
              <w:t xml:space="preserve">Improved drinking water sources include the following: piped water into dwelling, yard or plot; public taps or standpipes; boreholes or tubewells; protected dug wells; protected springs; packaged water; delivered water and rainwater. </w:t>
            </w:r>
          </w:p>
          <w:p w14:paraId="3964BFA7" w14:textId="77777777" w:rsidR="00221C59" w:rsidRPr="005B0033" w:rsidRDefault="00221C59" w:rsidP="00221C59">
            <w:pPr>
              <w:jc w:val="both"/>
              <w:rPr>
                <w:szCs w:val="20"/>
              </w:rPr>
            </w:pPr>
            <w:r w:rsidRPr="005B0033">
              <w:rPr>
                <w:szCs w:val="20"/>
              </w:rPr>
              <w:t>A water source is considered to be ‘located on premises’ if the point of collection is within the dwelling, yard, or plot.</w:t>
            </w:r>
          </w:p>
          <w:p w14:paraId="691937D1" w14:textId="77777777" w:rsidR="00221C59" w:rsidRPr="005B0033" w:rsidRDefault="00221C59" w:rsidP="00221C59">
            <w:pPr>
              <w:jc w:val="both"/>
              <w:rPr>
                <w:szCs w:val="20"/>
              </w:rPr>
            </w:pPr>
            <w:r w:rsidRPr="005B0033">
              <w:rPr>
                <w:szCs w:val="20"/>
              </w:rPr>
              <w:t>‘Available when needed’: households are able to access sufficient quantities of water when needed.</w:t>
            </w:r>
          </w:p>
          <w:p w14:paraId="077F3814" w14:textId="77777777" w:rsidR="00221C59" w:rsidRPr="005B0033" w:rsidRDefault="00221C59" w:rsidP="00221C59">
            <w:pPr>
              <w:jc w:val="both"/>
              <w:rPr>
                <w:szCs w:val="20"/>
              </w:rPr>
            </w:pPr>
            <w:r w:rsidRPr="005B0033">
              <w:rPr>
                <w:szCs w:val="20"/>
              </w:rPr>
              <w:t xml:space="preserve">‘Free from faecal and priority chemical contamination’: water complies with relevant national or local standards. In the absence of such standards, reference is made to the WHO Guidelines for Drinking Water Quality (http://www.who.int/water_sanitation_health/dwq/guidelines/en/). </w:t>
            </w:r>
          </w:p>
          <w:p w14:paraId="36970100" w14:textId="77777777" w:rsidR="00221C59" w:rsidRDefault="00221C59" w:rsidP="00221C59">
            <w:pPr>
              <w:jc w:val="both"/>
              <w:rPr>
                <w:szCs w:val="20"/>
              </w:rPr>
            </w:pPr>
            <w:r w:rsidRPr="005B0033">
              <w:rPr>
                <w:szCs w:val="20"/>
              </w:rPr>
              <w:t>E. coli or thermotolerant coliforms are the preferred indicator for microbiological quality, and arsenic and fluoride are the priority chemicals for global reporting.</w:t>
            </w:r>
          </w:p>
          <w:p w14:paraId="5A0E3D82" w14:textId="77777777" w:rsidR="00221C59" w:rsidRPr="005B0033" w:rsidRDefault="00221C59" w:rsidP="00221C59">
            <w:pPr>
              <w:jc w:val="both"/>
              <w:rPr>
                <w:szCs w:val="20"/>
              </w:rPr>
            </w:pPr>
          </w:p>
          <w:p w14:paraId="6F5A7C44" w14:textId="77777777" w:rsidR="00221C59" w:rsidRPr="005B0033" w:rsidRDefault="00221C59" w:rsidP="00221C59">
            <w:pPr>
              <w:jc w:val="both"/>
              <w:rPr>
                <w:b/>
                <w:bCs/>
                <w:szCs w:val="20"/>
              </w:rPr>
            </w:pPr>
            <w:r w:rsidRPr="005B0033">
              <w:rPr>
                <w:b/>
                <w:bCs/>
                <w:szCs w:val="20"/>
              </w:rPr>
              <w:t>Comments and limitations:</w:t>
            </w:r>
          </w:p>
          <w:p w14:paraId="7D5E26F3" w14:textId="77777777" w:rsidR="00221C59" w:rsidRDefault="00221C59" w:rsidP="00221C59">
            <w:pPr>
              <w:jc w:val="both"/>
              <w:rPr>
                <w:szCs w:val="20"/>
              </w:rPr>
            </w:pPr>
            <w:r w:rsidRPr="005B0033">
              <w:rPr>
                <w:szCs w:val="20"/>
              </w:rPr>
              <w:t>Data on availability and safety of drinking water is increasingly available through a combination of household surveys and administrative sources including regulators, but definitions have yet to be standardized. Data on faecal and chemical contamination, drawn from household surveys and regulatory databases, will not cover all countries immediately. However, sufficient data were available to make global and regional estimates of safely managed drinking water services for four out of eight SDG regions</w:t>
            </w:r>
          </w:p>
          <w:p w14:paraId="200927FF" w14:textId="77777777" w:rsidR="00221C59" w:rsidRPr="005B0033" w:rsidRDefault="00221C59" w:rsidP="00221C59">
            <w:pPr>
              <w:jc w:val="both"/>
              <w:rPr>
                <w:szCs w:val="20"/>
              </w:rPr>
            </w:pPr>
          </w:p>
          <w:p w14:paraId="1A5034E2" w14:textId="77777777" w:rsidR="00221C59" w:rsidRPr="005B0033" w:rsidRDefault="00221C59" w:rsidP="00221C59">
            <w:pPr>
              <w:jc w:val="both"/>
              <w:rPr>
                <w:b/>
                <w:bCs/>
                <w:szCs w:val="20"/>
              </w:rPr>
            </w:pPr>
            <w:r w:rsidRPr="005B0033">
              <w:rPr>
                <w:b/>
                <w:bCs/>
                <w:szCs w:val="20"/>
              </w:rPr>
              <w:t>Computation Method:</w:t>
            </w:r>
          </w:p>
          <w:p w14:paraId="12099460" w14:textId="77777777" w:rsidR="00221C59" w:rsidRPr="005B0033" w:rsidRDefault="00221C59" w:rsidP="00221C59">
            <w:pPr>
              <w:jc w:val="both"/>
              <w:rPr>
                <w:szCs w:val="20"/>
              </w:rPr>
            </w:pPr>
            <w:r w:rsidRPr="005B0033">
              <w:rPr>
                <w:szCs w:val="20"/>
              </w:rPr>
              <w:t xml:space="preserve">Household surveys and censuses currently provide information on types of basic drinking water sources listed above, and also indicate if sources are on premises. These data sources often have information on the availability of water and increasingly on the quality of water at the household level, through direct testing of drinking water for faecal or chemical contamination. These data will be combined with data on availability and compliance with drinking water quality standards (faecal and chemical) from administrative reporting or regulatory bodies. </w:t>
            </w:r>
          </w:p>
          <w:p w14:paraId="148DEB4A" w14:textId="77777777" w:rsidR="00221C59" w:rsidRPr="005B0033" w:rsidRDefault="00221C59" w:rsidP="00221C59">
            <w:pPr>
              <w:jc w:val="both"/>
              <w:rPr>
                <w:szCs w:val="20"/>
              </w:rPr>
            </w:pPr>
          </w:p>
          <w:p w14:paraId="23882324" w14:textId="77777777" w:rsidR="00221C59" w:rsidRPr="005B0033" w:rsidRDefault="00221C59" w:rsidP="00221C59">
            <w:pPr>
              <w:jc w:val="both"/>
              <w:rPr>
                <w:szCs w:val="20"/>
              </w:rPr>
            </w:pPr>
            <w:r w:rsidRPr="005B0033">
              <w:rPr>
                <w:szCs w:val="20"/>
              </w:rPr>
              <w:t>The WHO/UNICEF Joint Monitoring Programme for Water Supply, Sanitation and Hygiene (JMP) estimates access to basic services for each country, separately in urban and rural areas, by fitting a regression line to a series of data points from household surveys and censuses. This approach was used to report on use of ‘improved water’ sources for MDG monitoring. The JMP is evaluating the use of alternative statistical estimation methods as more data become available.</w:t>
            </w:r>
          </w:p>
          <w:p w14:paraId="38B8EAD4" w14:textId="77777777" w:rsidR="00221C59" w:rsidRPr="005B0033" w:rsidRDefault="00221C59" w:rsidP="00221C59">
            <w:pPr>
              <w:jc w:val="both"/>
              <w:rPr>
                <w:szCs w:val="20"/>
              </w:rPr>
            </w:pPr>
          </w:p>
          <w:p w14:paraId="29159D2F" w14:textId="77777777" w:rsidR="00221C59" w:rsidRPr="005B0033" w:rsidRDefault="00221C59" w:rsidP="00221C59">
            <w:pPr>
              <w:jc w:val="both"/>
              <w:rPr>
                <w:szCs w:val="20"/>
              </w:rPr>
            </w:pPr>
            <w:r w:rsidRPr="005B0033">
              <w:rPr>
                <w:szCs w:val="20"/>
              </w:rPr>
              <w:t xml:space="preserve">The JMP 2017 update and SDG baselines report describes in more detail how data on availability and quality from different sources, can be combined with data on use of different types of supplies, as recorded in the current JMP database to compute the safely managed drinking water services indicator. </w:t>
            </w:r>
          </w:p>
          <w:p w14:paraId="3D3BE991" w14:textId="77777777" w:rsidR="00221C59" w:rsidRPr="005B0033" w:rsidRDefault="00221C59" w:rsidP="00221C59">
            <w:pPr>
              <w:jc w:val="both"/>
              <w:rPr>
                <w:szCs w:val="20"/>
              </w:rPr>
            </w:pPr>
            <w:r w:rsidRPr="005B0033">
              <w:rPr>
                <w:szCs w:val="20"/>
              </w:rPr>
              <w:t>https://washdata.org/report/jmp-2017-report-final.</w:t>
            </w:r>
          </w:p>
          <w:p w14:paraId="3E7C432E" w14:textId="77777777" w:rsidR="00221C59" w:rsidRPr="005B0033" w:rsidRDefault="00221C59" w:rsidP="00221C59">
            <w:pPr>
              <w:jc w:val="both"/>
              <w:rPr>
                <w:szCs w:val="20"/>
              </w:rPr>
            </w:pPr>
          </w:p>
          <w:p w14:paraId="402A1DF1" w14:textId="77777777" w:rsidR="00221C59" w:rsidRPr="005B0033" w:rsidRDefault="00221C59" w:rsidP="00221C59">
            <w:pPr>
              <w:jc w:val="both"/>
              <w:rPr>
                <w:szCs w:val="20"/>
              </w:rPr>
            </w:pPr>
          </w:p>
        </w:tc>
        <w:tc>
          <w:tcPr>
            <w:tcW w:w="0" w:type="auto"/>
            <w:shd w:val="clear" w:color="auto" w:fill="auto"/>
          </w:tcPr>
          <w:p w14:paraId="2ACB8569" w14:textId="77777777" w:rsidR="00221C59" w:rsidRPr="005716D1" w:rsidRDefault="00221C59" w:rsidP="00221C59">
            <w:pPr>
              <w:pStyle w:val="NoSpacing"/>
              <w:rPr>
                <w:szCs w:val="20"/>
                <w:rtl/>
                <w:cs/>
              </w:rPr>
            </w:pPr>
            <w:r w:rsidRPr="00873FDE">
              <w:lastRenderedPageBreak/>
              <w:t>Household survey or census administrative survey</w:t>
            </w:r>
          </w:p>
        </w:tc>
        <w:tc>
          <w:tcPr>
            <w:tcW w:w="0" w:type="auto"/>
            <w:shd w:val="clear" w:color="auto" w:fill="auto"/>
          </w:tcPr>
          <w:p w14:paraId="5CC9E555" w14:textId="77777777" w:rsidR="00221C59" w:rsidRPr="007243FC" w:rsidRDefault="00221C59" w:rsidP="00221C59">
            <w:pPr>
              <w:pStyle w:val="ListParagraph"/>
              <w:numPr>
                <w:ilvl w:val="0"/>
                <w:numId w:val="47"/>
              </w:numPr>
              <w:ind w:left="157" w:hanging="90"/>
              <w:rPr>
                <w:rFonts w:ascii="Tw Cen MT Condensed" w:hAnsi="Tw Cen MT Condensed"/>
                <w:bCs/>
                <w:sz w:val="20"/>
                <w:szCs w:val="20"/>
              </w:rPr>
            </w:pPr>
            <w:r w:rsidRPr="007243FC">
              <w:rPr>
                <w:rFonts w:ascii="Tw Cen MT Condensed" w:hAnsi="Tw Cen MT Condensed"/>
                <w:bCs/>
                <w:sz w:val="20"/>
                <w:szCs w:val="20"/>
              </w:rPr>
              <w:t>National statistics offices</w:t>
            </w:r>
          </w:p>
          <w:p w14:paraId="486FE610" w14:textId="77777777" w:rsidR="00221C59" w:rsidRPr="007243FC" w:rsidRDefault="00221C59" w:rsidP="00221C59">
            <w:pPr>
              <w:pStyle w:val="ListParagraph"/>
              <w:numPr>
                <w:ilvl w:val="0"/>
                <w:numId w:val="47"/>
              </w:numPr>
              <w:ind w:left="157" w:hanging="90"/>
              <w:rPr>
                <w:rFonts w:ascii="Tw Cen MT Condensed" w:hAnsi="Tw Cen MT Condensed"/>
                <w:bCs/>
                <w:sz w:val="20"/>
                <w:szCs w:val="20"/>
              </w:rPr>
            </w:pPr>
            <w:r w:rsidRPr="007243FC">
              <w:rPr>
                <w:rFonts w:ascii="Tw Cen MT Condensed" w:hAnsi="Tw Cen MT Condensed"/>
                <w:bCs/>
                <w:sz w:val="20"/>
                <w:szCs w:val="20"/>
              </w:rPr>
              <w:t>Ministries of water, sanitation, health, environment.</w:t>
            </w:r>
          </w:p>
          <w:p w14:paraId="07D9DB24" w14:textId="77777777" w:rsidR="00221C59" w:rsidRPr="007243FC" w:rsidRDefault="00221C59" w:rsidP="00221C59">
            <w:pPr>
              <w:pStyle w:val="ListParagraph"/>
              <w:numPr>
                <w:ilvl w:val="0"/>
                <w:numId w:val="47"/>
              </w:numPr>
              <w:ind w:left="157" w:hanging="90"/>
              <w:rPr>
                <w:rFonts w:ascii="Tw Cen MT Condensed" w:hAnsi="Tw Cen MT Condensed"/>
                <w:bCs/>
                <w:sz w:val="20"/>
                <w:szCs w:val="20"/>
              </w:rPr>
            </w:pPr>
            <w:r w:rsidRPr="007243FC">
              <w:rPr>
                <w:rFonts w:ascii="Tw Cen MT Condensed" w:hAnsi="Tw Cen MT Condensed"/>
                <w:bCs/>
                <w:sz w:val="20"/>
                <w:szCs w:val="20"/>
              </w:rPr>
              <w:t>Regulators of water and sanitation services.</w:t>
            </w:r>
          </w:p>
          <w:p w14:paraId="4BB8BA10" w14:textId="77777777" w:rsidR="00221C59" w:rsidRPr="007243FC" w:rsidRDefault="00221C59" w:rsidP="00221C59">
            <w:pPr>
              <w:jc w:val="center"/>
              <w:rPr>
                <w:bCs/>
                <w:szCs w:val="20"/>
              </w:rPr>
            </w:pPr>
          </w:p>
        </w:tc>
        <w:tc>
          <w:tcPr>
            <w:tcW w:w="0" w:type="auto"/>
            <w:shd w:val="clear" w:color="auto" w:fill="auto"/>
          </w:tcPr>
          <w:p w14:paraId="08C6C451" w14:textId="77777777" w:rsidR="00221C59" w:rsidRPr="007243FC" w:rsidRDefault="00221C59" w:rsidP="00221C59">
            <w:pPr>
              <w:rPr>
                <w:rFonts w:eastAsia="Times New Roman" w:cs="Times New Roman"/>
                <w:color w:val="000000" w:themeColor="text1"/>
                <w:szCs w:val="20"/>
              </w:rPr>
            </w:pPr>
            <w:r w:rsidRPr="007243FC">
              <w:rPr>
                <w:rFonts w:eastAsia="Times New Roman" w:cs="Times New Roman"/>
                <w:color w:val="000000" w:themeColor="text1"/>
                <w:szCs w:val="20"/>
              </w:rPr>
              <w:t>MICS, BBS</w:t>
            </w:r>
          </w:p>
          <w:p w14:paraId="4C661C5C" w14:textId="77777777" w:rsidR="00221C59" w:rsidRPr="007243FC" w:rsidRDefault="00221C59" w:rsidP="00221C59">
            <w:pPr>
              <w:rPr>
                <w:rFonts w:eastAsia="Times New Roman" w:cs="Times New Roman"/>
                <w:color w:val="000000" w:themeColor="text1"/>
                <w:szCs w:val="20"/>
              </w:rPr>
            </w:pPr>
          </w:p>
          <w:p w14:paraId="045AD376" w14:textId="77777777" w:rsidR="00221C59" w:rsidRPr="007243FC" w:rsidRDefault="00221C59" w:rsidP="00221C59">
            <w:pPr>
              <w:rPr>
                <w:bCs/>
                <w:szCs w:val="20"/>
              </w:rPr>
            </w:pPr>
          </w:p>
        </w:tc>
        <w:tc>
          <w:tcPr>
            <w:tcW w:w="0" w:type="auto"/>
            <w:shd w:val="clear" w:color="auto" w:fill="auto"/>
          </w:tcPr>
          <w:p w14:paraId="2B6F07C5" w14:textId="77777777" w:rsidR="00221C59" w:rsidRPr="007243FC" w:rsidRDefault="00221C59" w:rsidP="00221C59">
            <w:pPr>
              <w:rPr>
                <w:bCs/>
                <w:szCs w:val="20"/>
              </w:rPr>
            </w:pPr>
            <w:r w:rsidRPr="007243FC">
              <w:rPr>
                <w:rFonts w:eastAsia="Times New Roman" w:cs="Times New Roman"/>
                <w:color w:val="000000" w:themeColor="text1"/>
                <w:szCs w:val="20"/>
              </w:rPr>
              <w:t>MICS, BBS</w:t>
            </w:r>
          </w:p>
        </w:tc>
        <w:tc>
          <w:tcPr>
            <w:tcW w:w="0" w:type="auto"/>
            <w:shd w:val="clear" w:color="auto" w:fill="auto"/>
          </w:tcPr>
          <w:p w14:paraId="5D89E95B" w14:textId="77777777" w:rsidR="00221C59" w:rsidRPr="007243FC" w:rsidRDefault="00221C59" w:rsidP="00221C59">
            <w:pPr>
              <w:pStyle w:val="ListParagraph"/>
              <w:numPr>
                <w:ilvl w:val="0"/>
                <w:numId w:val="48"/>
              </w:numPr>
              <w:spacing w:after="0" w:line="240" w:lineRule="auto"/>
              <w:ind w:left="160" w:hanging="160"/>
              <w:rPr>
                <w:rFonts w:ascii="Tw Cen MT Condensed" w:hAnsi="Tw Cen MT Condensed"/>
              </w:rPr>
            </w:pPr>
            <w:r w:rsidRPr="007243FC">
              <w:rPr>
                <w:rFonts w:ascii="Tw Cen MT Condensed" w:hAnsi="Tw Cen MT Condensed"/>
              </w:rPr>
              <w:t>Place of Residence: Urban, Rural</w:t>
            </w:r>
          </w:p>
          <w:p w14:paraId="0ECA2B44" w14:textId="77777777" w:rsidR="00221C59" w:rsidRPr="007243FC" w:rsidRDefault="00221C59" w:rsidP="00221C59">
            <w:pPr>
              <w:pStyle w:val="ListParagraph"/>
              <w:numPr>
                <w:ilvl w:val="0"/>
                <w:numId w:val="48"/>
              </w:numPr>
              <w:spacing w:after="0" w:line="240" w:lineRule="auto"/>
              <w:ind w:left="160" w:hanging="160"/>
              <w:rPr>
                <w:rFonts w:ascii="Tw Cen MT Condensed" w:hAnsi="Tw Cen MT Condensed"/>
              </w:rPr>
            </w:pPr>
            <w:r w:rsidRPr="007243FC">
              <w:rPr>
                <w:rFonts w:ascii="Tw Cen MT Condensed" w:hAnsi="Tw Cen MT Condensed"/>
              </w:rPr>
              <w:t>Socioeconomic Status: Wealth, Affordability</w:t>
            </w:r>
          </w:p>
          <w:p w14:paraId="7CEA960F" w14:textId="4A5AF230" w:rsidR="00221C59" w:rsidRPr="007243FC" w:rsidRDefault="00221C59" w:rsidP="00221C59">
            <w:pPr>
              <w:pStyle w:val="ListParagraph"/>
              <w:numPr>
                <w:ilvl w:val="0"/>
                <w:numId w:val="48"/>
              </w:numPr>
              <w:spacing w:after="0" w:line="240" w:lineRule="auto"/>
              <w:ind w:left="160" w:hanging="160"/>
              <w:rPr>
                <w:rFonts w:ascii="Tw Cen MT Condensed" w:hAnsi="Tw Cen MT Condensed"/>
              </w:rPr>
            </w:pPr>
            <w:r w:rsidRPr="007243FC">
              <w:rPr>
                <w:rFonts w:ascii="Tw Cen MT Condensed" w:hAnsi="Tw Cen MT Condensed"/>
              </w:rPr>
              <w:t>Drinking Water Services:</w:t>
            </w:r>
            <w:r w:rsidR="00542C0A" w:rsidRPr="007243FC">
              <w:rPr>
                <w:rFonts w:ascii="Tw Cen MT Condensed" w:hAnsi="Tw Cen MT Condensed"/>
              </w:rPr>
              <w:t xml:space="preserve"> JMP </w:t>
            </w:r>
            <w:r w:rsidRPr="007243FC">
              <w:rPr>
                <w:rFonts w:ascii="Tw Cen MT Condensed" w:hAnsi="Tw Cen MT Condensed"/>
              </w:rPr>
              <w:t>Drinking Water Ladder (No Services, Basic, Safely Managed Services)</w:t>
            </w:r>
          </w:p>
          <w:p w14:paraId="4E8BACCB" w14:textId="77777777" w:rsidR="00221C59" w:rsidRPr="007243FC" w:rsidRDefault="00221C59" w:rsidP="00221C59">
            <w:pPr>
              <w:pStyle w:val="ListParagraph"/>
              <w:spacing w:after="0" w:line="240" w:lineRule="auto"/>
              <w:ind w:left="180"/>
              <w:jc w:val="both"/>
              <w:rPr>
                <w:rFonts w:ascii="Tw Cen MT Condensed" w:hAnsi="Tw Cen MT Condensed"/>
                <w:bCs/>
                <w:sz w:val="20"/>
                <w:szCs w:val="20"/>
              </w:rPr>
            </w:pPr>
            <w:r w:rsidRPr="007243FC">
              <w:rPr>
                <w:rFonts w:ascii="Tw Cen MT Condensed" w:hAnsi="Tw Cen MT Condensed"/>
              </w:rPr>
              <w:t>Inequality: Sub-National, Gender, Disadvantaged Groups</w:t>
            </w:r>
          </w:p>
        </w:tc>
        <w:tc>
          <w:tcPr>
            <w:tcW w:w="0" w:type="auto"/>
            <w:shd w:val="clear" w:color="auto" w:fill="auto"/>
          </w:tcPr>
          <w:p w14:paraId="5F70BE96" w14:textId="77777777" w:rsidR="00221C59" w:rsidRPr="007243FC" w:rsidRDefault="00221C59" w:rsidP="00221C59">
            <w:pPr>
              <w:jc w:val="center"/>
              <w:rPr>
                <w:bCs/>
                <w:szCs w:val="20"/>
              </w:rPr>
            </w:pPr>
            <w:r w:rsidRPr="007243FC">
              <w:rPr>
                <w:szCs w:val="20"/>
              </w:rPr>
              <w:t>Triennial</w:t>
            </w:r>
          </w:p>
        </w:tc>
        <w:tc>
          <w:tcPr>
            <w:tcW w:w="0" w:type="auto"/>
            <w:shd w:val="clear" w:color="auto" w:fill="auto"/>
          </w:tcPr>
          <w:p w14:paraId="034C6E57" w14:textId="77777777" w:rsidR="00221C59" w:rsidRPr="007243FC" w:rsidRDefault="00221C59" w:rsidP="00221C59">
            <w:pPr>
              <w:jc w:val="center"/>
              <w:rPr>
                <w:b/>
                <w:bCs/>
                <w:sz w:val="22"/>
                <w:szCs w:val="22"/>
              </w:rPr>
            </w:pPr>
            <w:r w:rsidRPr="007243FC">
              <w:rPr>
                <w:rStyle w:val="fontstyle01"/>
                <w:rFonts w:ascii="Tw Cen MT Condensed" w:hAnsi="Tw Cen MT Condensed"/>
                <w:b w:val="0"/>
                <w:bCs w:val="0"/>
                <w:sz w:val="18"/>
                <w:szCs w:val="18"/>
              </w:rPr>
              <w:t>Group 1</w:t>
            </w:r>
          </w:p>
          <w:p w14:paraId="2631BE06" w14:textId="77777777" w:rsidR="00221C59" w:rsidRPr="007243FC" w:rsidRDefault="00221C59" w:rsidP="00221C59">
            <w:pPr>
              <w:jc w:val="center"/>
              <w:rPr>
                <w:bCs/>
                <w:szCs w:val="20"/>
              </w:rPr>
            </w:pPr>
          </w:p>
        </w:tc>
        <w:tc>
          <w:tcPr>
            <w:tcW w:w="0" w:type="auto"/>
            <w:shd w:val="clear" w:color="auto" w:fill="auto"/>
          </w:tcPr>
          <w:p w14:paraId="5D53AB6C" w14:textId="77777777" w:rsidR="00221C59" w:rsidRDefault="00221C59" w:rsidP="00221C59">
            <w:pPr>
              <w:pStyle w:val="NoSpacing"/>
            </w:pPr>
            <w:r>
              <w:t>1</w:t>
            </w:r>
            <w:r w:rsidRPr="00013ACB">
              <w:rPr>
                <w:vertAlign w:val="superscript"/>
              </w:rPr>
              <w:t>st</w:t>
            </w:r>
            <w:r>
              <w:t xml:space="preserve"> Round: </w:t>
            </w:r>
          </w:p>
          <w:p w14:paraId="6DE42466" w14:textId="349364A2" w:rsidR="00221C59" w:rsidRDefault="001D4A49" w:rsidP="00221C59">
            <w:pPr>
              <w:pStyle w:val="NoSpacing"/>
            </w:pPr>
            <w:r>
              <w:t xml:space="preserve">July, </w:t>
            </w:r>
            <w:r w:rsidR="00221C59">
              <w:t>2019</w:t>
            </w:r>
          </w:p>
          <w:p w14:paraId="645558E9" w14:textId="77777777" w:rsidR="00221C59" w:rsidRDefault="00221C59" w:rsidP="00221C59">
            <w:pPr>
              <w:pStyle w:val="NoSpacing"/>
            </w:pPr>
          </w:p>
          <w:p w14:paraId="3940C63A" w14:textId="77777777" w:rsidR="00221C59" w:rsidRDefault="00221C59" w:rsidP="00221C59">
            <w:pPr>
              <w:pStyle w:val="NoSpacing"/>
            </w:pPr>
            <w:r>
              <w:t>2</w:t>
            </w:r>
            <w:r w:rsidRPr="00013ACB">
              <w:rPr>
                <w:vertAlign w:val="superscript"/>
              </w:rPr>
              <w:t>nd</w:t>
            </w:r>
            <w:r>
              <w:t xml:space="preserve"> Round: </w:t>
            </w:r>
          </w:p>
          <w:p w14:paraId="050161E9" w14:textId="189C1B26" w:rsidR="00221C59" w:rsidRDefault="001D4A49" w:rsidP="00221C59">
            <w:pPr>
              <w:rPr>
                <w:szCs w:val="22"/>
              </w:rPr>
            </w:pPr>
            <w:r>
              <w:t xml:space="preserve">July, </w:t>
            </w:r>
            <w:r w:rsidR="00221C59">
              <w:rPr>
                <w:szCs w:val="22"/>
              </w:rPr>
              <w:t>2022</w:t>
            </w:r>
          </w:p>
          <w:p w14:paraId="2115DC06" w14:textId="77777777" w:rsidR="00221C59" w:rsidRDefault="00221C59" w:rsidP="00221C59">
            <w:pPr>
              <w:pStyle w:val="NoSpacing"/>
            </w:pPr>
          </w:p>
          <w:p w14:paraId="5EA68461" w14:textId="77777777" w:rsidR="00221C59" w:rsidRDefault="00221C59" w:rsidP="00221C59">
            <w:pPr>
              <w:pStyle w:val="NoSpacing"/>
            </w:pPr>
            <w:r>
              <w:t>3</w:t>
            </w:r>
            <w:r w:rsidRPr="00013ACB">
              <w:rPr>
                <w:vertAlign w:val="superscript"/>
              </w:rPr>
              <w:t>rd</w:t>
            </w:r>
            <w:r>
              <w:t xml:space="preserve"> Round: </w:t>
            </w:r>
          </w:p>
          <w:p w14:paraId="353171E7" w14:textId="37CA50C1" w:rsidR="00221C59" w:rsidRDefault="001D4A49" w:rsidP="00221C59">
            <w:pPr>
              <w:rPr>
                <w:szCs w:val="22"/>
              </w:rPr>
            </w:pPr>
            <w:r>
              <w:t xml:space="preserve">July, </w:t>
            </w:r>
            <w:r w:rsidR="00221C59">
              <w:rPr>
                <w:szCs w:val="22"/>
              </w:rPr>
              <w:t>2025</w:t>
            </w:r>
          </w:p>
          <w:p w14:paraId="44EB7DA4" w14:textId="77777777" w:rsidR="00221C59" w:rsidRDefault="00221C59" w:rsidP="00221C59">
            <w:pPr>
              <w:pStyle w:val="NoSpacing"/>
            </w:pPr>
          </w:p>
          <w:p w14:paraId="193FC470" w14:textId="77777777" w:rsidR="00221C59" w:rsidRDefault="00221C59" w:rsidP="00221C59">
            <w:pPr>
              <w:pStyle w:val="NoSpacing"/>
            </w:pPr>
            <w:r>
              <w:t>4</w:t>
            </w:r>
            <w:r w:rsidRPr="00013ACB">
              <w:rPr>
                <w:vertAlign w:val="superscript"/>
              </w:rPr>
              <w:t>th</w:t>
            </w:r>
            <w:r>
              <w:t xml:space="preserve"> Round: </w:t>
            </w:r>
          </w:p>
          <w:p w14:paraId="3E5FB795" w14:textId="6788CEAF" w:rsidR="00221C59" w:rsidRDefault="001D4A49" w:rsidP="00221C59">
            <w:pPr>
              <w:rPr>
                <w:szCs w:val="22"/>
              </w:rPr>
            </w:pPr>
            <w:r>
              <w:t xml:space="preserve">July, </w:t>
            </w:r>
            <w:r w:rsidR="00221C59">
              <w:rPr>
                <w:szCs w:val="22"/>
              </w:rPr>
              <w:t>2028</w:t>
            </w:r>
          </w:p>
          <w:p w14:paraId="7912A020" w14:textId="77777777" w:rsidR="00221C59" w:rsidRDefault="00221C59" w:rsidP="00221C59">
            <w:pPr>
              <w:pStyle w:val="NoSpacing"/>
            </w:pPr>
          </w:p>
          <w:p w14:paraId="5A95D306" w14:textId="77777777" w:rsidR="00221C59" w:rsidRDefault="00221C59" w:rsidP="00221C59">
            <w:pPr>
              <w:pStyle w:val="NoSpacing"/>
            </w:pPr>
            <w:r>
              <w:t>5</w:t>
            </w:r>
            <w:r w:rsidRPr="00013ACB">
              <w:rPr>
                <w:vertAlign w:val="superscript"/>
              </w:rPr>
              <w:t>th</w:t>
            </w:r>
            <w:r>
              <w:t xml:space="preserve"> Round: </w:t>
            </w:r>
          </w:p>
          <w:p w14:paraId="40CD807F" w14:textId="066DEFDC" w:rsidR="00221C59" w:rsidRDefault="001D4A49" w:rsidP="00221C59">
            <w:pPr>
              <w:rPr>
                <w:szCs w:val="22"/>
              </w:rPr>
            </w:pPr>
            <w:r>
              <w:t xml:space="preserve">July, </w:t>
            </w:r>
            <w:r w:rsidR="00221C59">
              <w:rPr>
                <w:szCs w:val="22"/>
              </w:rPr>
              <w:t>2030</w:t>
            </w:r>
          </w:p>
          <w:p w14:paraId="26C75085" w14:textId="73BFC8D8" w:rsidR="00221C59" w:rsidRPr="00BC6F10" w:rsidRDefault="00221C59" w:rsidP="00221C59">
            <w:pPr>
              <w:rPr>
                <w:szCs w:val="22"/>
              </w:rPr>
            </w:pPr>
          </w:p>
        </w:tc>
        <w:tc>
          <w:tcPr>
            <w:tcW w:w="0" w:type="auto"/>
            <w:shd w:val="clear" w:color="auto" w:fill="auto"/>
          </w:tcPr>
          <w:p w14:paraId="4768C3A0" w14:textId="77777777" w:rsidR="00221C59" w:rsidRPr="007243FC" w:rsidRDefault="00221C59" w:rsidP="00221C59">
            <w:pPr>
              <w:ind w:left="-40"/>
              <w:jc w:val="both"/>
              <w:rPr>
                <w:bCs/>
                <w:szCs w:val="20"/>
                <w:cs/>
                <w:lang w:bidi="bn-BD"/>
              </w:rPr>
            </w:pPr>
            <w:r w:rsidRPr="007243FC">
              <w:rPr>
                <w:bCs/>
                <w:szCs w:val="20"/>
              </w:rPr>
              <w:t>Data availability reviewed in Nov. 2017 (classified as Tier II)</w:t>
            </w:r>
          </w:p>
        </w:tc>
      </w:tr>
      <w:tr w:rsidR="0085651F" w14:paraId="0DE5D5AD" w14:textId="77777777" w:rsidTr="0085651F">
        <w:trPr>
          <w:trHeight w:val="483"/>
        </w:trPr>
        <w:tc>
          <w:tcPr>
            <w:tcW w:w="0" w:type="auto"/>
            <w:gridSpan w:val="13"/>
            <w:shd w:val="clear" w:color="auto" w:fill="auto"/>
          </w:tcPr>
          <w:p w14:paraId="5CBE5C3F" w14:textId="77777777" w:rsidR="0085651F" w:rsidRPr="00423FEB" w:rsidRDefault="0085651F" w:rsidP="00221C59">
            <w:pPr>
              <w:rPr>
                <w:bCs/>
                <w:color w:val="0070C0"/>
                <w:sz w:val="30"/>
                <w:szCs w:val="30"/>
              </w:rPr>
            </w:pPr>
            <w:r>
              <w:rPr>
                <w:color w:val="0070C0"/>
                <w:sz w:val="30"/>
                <w:szCs w:val="30"/>
              </w:rPr>
              <w:lastRenderedPageBreak/>
              <w:t>Target</w:t>
            </w:r>
            <w:r w:rsidRPr="00423FEB">
              <w:rPr>
                <w:bCs/>
                <w:color w:val="0070C0"/>
                <w:sz w:val="30"/>
                <w:szCs w:val="30"/>
              </w:rPr>
              <w:t xml:space="preserve"> 6.2</w:t>
            </w:r>
            <w:r>
              <w:rPr>
                <w:color w:val="0070C0"/>
                <w:sz w:val="30"/>
                <w:szCs w:val="30"/>
              </w:rPr>
              <w:t>:</w:t>
            </w:r>
            <w:r w:rsidRPr="00462DA0">
              <w:rPr>
                <w:color w:val="0070C0"/>
                <w:sz w:val="30"/>
                <w:szCs w:val="30"/>
              </w:rPr>
              <w:t xml:space="preserve"> </w:t>
            </w:r>
            <w:r w:rsidRPr="00423FEB">
              <w:rPr>
                <w:bCs/>
                <w:color w:val="0070C0"/>
                <w:sz w:val="30"/>
                <w:szCs w:val="30"/>
              </w:rPr>
              <w:t>By 2030, achieve access to adequate and equitable sanitation and hygiene for all and end open defecation, paying special attention to the needs of women and girls and those in vulnerable situations</w:t>
            </w:r>
          </w:p>
        </w:tc>
      </w:tr>
      <w:tr w:rsidR="00DB32C0" w14:paraId="20750804" w14:textId="77777777" w:rsidTr="0085651F">
        <w:tc>
          <w:tcPr>
            <w:tcW w:w="0" w:type="auto"/>
            <w:shd w:val="clear" w:color="auto" w:fill="auto"/>
          </w:tcPr>
          <w:p w14:paraId="4542F9D5" w14:textId="77777777" w:rsidR="00221C59" w:rsidRPr="007243FC" w:rsidRDefault="00221C59" w:rsidP="00221C59">
            <w:pPr>
              <w:jc w:val="both"/>
              <w:rPr>
                <w:szCs w:val="20"/>
              </w:rPr>
            </w:pPr>
            <w:r w:rsidRPr="007243FC">
              <w:rPr>
                <w:szCs w:val="20"/>
              </w:rPr>
              <w:t>6.2.1 Proportion of population using (a) safely managed sanitation services and (b) a hand-washing facility with soap and water</w:t>
            </w:r>
          </w:p>
        </w:tc>
        <w:tc>
          <w:tcPr>
            <w:tcW w:w="0" w:type="auto"/>
            <w:shd w:val="clear" w:color="auto" w:fill="auto"/>
          </w:tcPr>
          <w:p w14:paraId="35772BC2" w14:textId="77777777" w:rsidR="00221C59" w:rsidRPr="00B34512" w:rsidRDefault="00221C59" w:rsidP="00221C59">
            <w:pPr>
              <w:rPr>
                <w:szCs w:val="20"/>
              </w:rPr>
            </w:pPr>
            <w:r w:rsidRPr="00B34512">
              <w:rPr>
                <w:szCs w:val="20"/>
              </w:rPr>
              <w:t>WHO,</w:t>
            </w:r>
          </w:p>
          <w:p w14:paraId="37D680FA" w14:textId="77777777" w:rsidR="00221C59" w:rsidRDefault="00221C59" w:rsidP="00221C59">
            <w:pPr>
              <w:rPr>
                <w:szCs w:val="20"/>
              </w:rPr>
            </w:pPr>
            <w:r w:rsidRPr="00B34512">
              <w:rPr>
                <w:szCs w:val="20"/>
              </w:rPr>
              <w:t xml:space="preserve">UNICEF  </w:t>
            </w:r>
          </w:p>
          <w:p w14:paraId="3B1EC5F2" w14:textId="77777777" w:rsidR="00221C59" w:rsidRDefault="00221C59" w:rsidP="00221C59">
            <w:pPr>
              <w:rPr>
                <w:szCs w:val="20"/>
              </w:rPr>
            </w:pPr>
          </w:p>
          <w:p w14:paraId="269CA790" w14:textId="77777777" w:rsidR="00221C59" w:rsidRPr="007243FC" w:rsidRDefault="00221C59" w:rsidP="00221C59">
            <w:pPr>
              <w:rPr>
                <w:b/>
                <w:bCs/>
                <w:szCs w:val="20"/>
              </w:rPr>
            </w:pPr>
            <w:r w:rsidRPr="007243FC">
              <w:rPr>
                <w:b/>
                <w:bCs/>
                <w:szCs w:val="20"/>
              </w:rPr>
              <w:t>Partner Agencies:</w:t>
            </w:r>
          </w:p>
          <w:p w14:paraId="62D50033" w14:textId="77777777" w:rsidR="00221C59" w:rsidRPr="007243FC" w:rsidRDefault="00221C59" w:rsidP="00221C59">
            <w:pPr>
              <w:rPr>
                <w:szCs w:val="20"/>
              </w:rPr>
            </w:pPr>
            <w:r w:rsidRPr="00B34512">
              <w:rPr>
                <w:szCs w:val="20"/>
              </w:rPr>
              <w:t>UNEP</w:t>
            </w:r>
          </w:p>
        </w:tc>
        <w:tc>
          <w:tcPr>
            <w:tcW w:w="825" w:type="dxa"/>
            <w:shd w:val="clear" w:color="auto" w:fill="auto"/>
          </w:tcPr>
          <w:p w14:paraId="207589E8" w14:textId="77777777" w:rsidR="00221C59" w:rsidRPr="007243FC" w:rsidRDefault="00221C59" w:rsidP="00221C59">
            <w:pPr>
              <w:rPr>
                <w:szCs w:val="20"/>
              </w:rPr>
            </w:pPr>
            <w:r w:rsidRPr="00B34512">
              <w:rPr>
                <w:szCs w:val="20"/>
              </w:rPr>
              <w:t>Tier II</w:t>
            </w:r>
          </w:p>
        </w:tc>
        <w:tc>
          <w:tcPr>
            <w:tcW w:w="6373" w:type="dxa"/>
            <w:shd w:val="clear" w:color="auto" w:fill="auto"/>
          </w:tcPr>
          <w:p w14:paraId="583859E7" w14:textId="77777777" w:rsidR="00221C59" w:rsidRPr="00A95B45" w:rsidRDefault="00221C59" w:rsidP="00221C59">
            <w:pPr>
              <w:jc w:val="both"/>
              <w:rPr>
                <w:b/>
                <w:bCs/>
                <w:szCs w:val="20"/>
              </w:rPr>
            </w:pPr>
            <w:r w:rsidRPr="00A95B45">
              <w:rPr>
                <w:b/>
                <w:bCs/>
                <w:szCs w:val="20"/>
              </w:rPr>
              <w:t>Definition:</w:t>
            </w:r>
          </w:p>
          <w:p w14:paraId="04DDDDD8" w14:textId="77777777" w:rsidR="00221C59" w:rsidRPr="00D0242E" w:rsidRDefault="00221C59" w:rsidP="00221C59">
            <w:pPr>
              <w:jc w:val="both"/>
              <w:rPr>
                <w:sz w:val="8"/>
                <w:szCs w:val="8"/>
              </w:rPr>
            </w:pPr>
          </w:p>
          <w:p w14:paraId="4E9462A9" w14:textId="77777777" w:rsidR="00221C59" w:rsidRPr="00A95B45" w:rsidRDefault="00221C59" w:rsidP="00221C59">
            <w:pPr>
              <w:jc w:val="both"/>
              <w:rPr>
                <w:szCs w:val="20"/>
              </w:rPr>
            </w:pPr>
            <w:r w:rsidRPr="00A95B45">
              <w:rPr>
                <w:szCs w:val="20"/>
              </w:rPr>
              <w:t xml:space="preserve">The Proportion of population using safely managed sanitation services, including a hand-washing facility with soap and water is currently being measured by the proportion of the population using a basic sanitation facility which is not shared with other households and where excreta is safely disposed in situ or treated off-site. ‘Improved’ sanitation facilities include: flush or pour flush toilets to sewer systems, septic tanks or pit latrines, ventilated improved pit latrines, pit latrines with a slab, and composting toilets. </w:t>
            </w:r>
          </w:p>
          <w:p w14:paraId="2D99DA44" w14:textId="77777777" w:rsidR="00221C59" w:rsidRDefault="00221C59" w:rsidP="00221C59">
            <w:pPr>
              <w:jc w:val="both"/>
              <w:rPr>
                <w:szCs w:val="20"/>
              </w:rPr>
            </w:pPr>
            <w:r w:rsidRPr="00A95B45">
              <w:rPr>
                <w:szCs w:val="20"/>
              </w:rPr>
              <w:t>Population with a basic handwashing facility: a device to contain, transport or regulate the flow of water to facilitate handwashing with soap and water in the household.</w:t>
            </w:r>
          </w:p>
          <w:p w14:paraId="025739A0" w14:textId="77777777" w:rsidR="00221C59" w:rsidRPr="00A95B45" w:rsidRDefault="00221C59" w:rsidP="00221C59">
            <w:pPr>
              <w:jc w:val="both"/>
              <w:rPr>
                <w:szCs w:val="20"/>
              </w:rPr>
            </w:pPr>
          </w:p>
          <w:p w14:paraId="674A5736" w14:textId="77777777" w:rsidR="00221C59" w:rsidRPr="00A95B45" w:rsidRDefault="00221C59" w:rsidP="00221C59">
            <w:pPr>
              <w:jc w:val="both"/>
              <w:rPr>
                <w:b/>
                <w:bCs/>
                <w:szCs w:val="20"/>
              </w:rPr>
            </w:pPr>
            <w:r w:rsidRPr="00A95B45">
              <w:rPr>
                <w:b/>
                <w:bCs/>
                <w:szCs w:val="20"/>
              </w:rPr>
              <w:t>Concepts:</w:t>
            </w:r>
          </w:p>
          <w:p w14:paraId="2A009347" w14:textId="77777777" w:rsidR="00221C59" w:rsidRPr="00D0242E" w:rsidRDefault="00221C59" w:rsidP="00221C59">
            <w:pPr>
              <w:jc w:val="both"/>
              <w:rPr>
                <w:sz w:val="6"/>
                <w:szCs w:val="6"/>
              </w:rPr>
            </w:pPr>
          </w:p>
          <w:p w14:paraId="731EE168" w14:textId="77777777" w:rsidR="00221C59" w:rsidRPr="00A95B45" w:rsidRDefault="00221C59" w:rsidP="00221C59">
            <w:pPr>
              <w:jc w:val="both"/>
              <w:rPr>
                <w:szCs w:val="20"/>
              </w:rPr>
            </w:pPr>
            <w:r w:rsidRPr="00A95B45">
              <w:rPr>
                <w:szCs w:val="20"/>
              </w:rPr>
              <w:t>Improved sanitation facilities include the following: flush or pour flush toilets to sewer systems, septic tanks or pit latrines, ventilated improved pit latrines, pit latrines with a slab, and composting toilets.</w:t>
            </w:r>
          </w:p>
          <w:p w14:paraId="02BA5217" w14:textId="77777777" w:rsidR="00221C59" w:rsidRPr="00D0242E" w:rsidRDefault="00221C59" w:rsidP="00221C59">
            <w:pPr>
              <w:jc w:val="both"/>
              <w:rPr>
                <w:sz w:val="8"/>
                <w:szCs w:val="8"/>
              </w:rPr>
            </w:pPr>
          </w:p>
          <w:p w14:paraId="40EBE0D9" w14:textId="77777777" w:rsidR="00221C59" w:rsidRDefault="00221C59" w:rsidP="00221C59">
            <w:pPr>
              <w:jc w:val="both"/>
              <w:rPr>
                <w:szCs w:val="20"/>
              </w:rPr>
            </w:pPr>
            <w:r w:rsidRPr="00A95B45">
              <w:rPr>
                <w:szCs w:val="20"/>
              </w:rPr>
              <w:t>Safely disposed in situ; when pit latrines and septic tanks are not emptied, the excreta may still remain isolated from human contact and can be considered safely managed. For example, with the new SDG indicator, households that use twin pit latrines or safely abandon full pit latrines and dig new facilities, a common practice in rural areas, would be counted as using safely managed sanitation services.</w:t>
            </w:r>
          </w:p>
          <w:p w14:paraId="341DA9EB" w14:textId="77777777" w:rsidR="00221C59" w:rsidRPr="00A95B45" w:rsidRDefault="00221C59" w:rsidP="00221C59">
            <w:pPr>
              <w:jc w:val="both"/>
              <w:rPr>
                <w:szCs w:val="20"/>
              </w:rPr>
            </w:pPr>
            <w:r w:rsidRPr="00A95B45">
              <w:rPr>
                <w:szCs w:val="20"/>
              </w:rPr>
              <w:t>Treated offsite; not all excreta from toilet facilities conveyed in sewers (as wastewater) or emptied from pit latrines and septic tanks (as faecal sludge) reaches a treatment site. For instance, a portion may leak from the sewer itself or, due to broken pumping installations, be discharged directly to the environment. Similarly, a portion of the faecal sludge emptied from containers may be discharged into open drains, to open ground or water bodies, rather than being transported to a treatment plant. And finally, even once the excreta reaches a treatment plant a portion may remain untreated, due to dysfunctional treatment equipment or inadequate treatment capacity, and be discharged to the environment. For the purposes of SDG monitoring, adequacy of treatment will initially be assessed based on the reported level of treatment.</w:t>
            </w:r>
          </w:p>
          <w:p w14:paraId="710C78FB" w14:textId="77777777" w:rsidR="00221C59" w:rsidRPr="00D0242E" w:rsidRDefault="00221C59" w:rsidP="00221C59">
            <w:pPr>
              <w:jc w:val="both"/>
              <w:rPr>
                <w:sz w:val="6"/>
                <w:szCs w:val="6"/>
              </w:rPr>
            </w:pPr>
          </w:p>
          <w:p w14:paraId="068A2282" w14:textId="77777777" w:rsidR="00221C59" w:rsidRPr="00A95B45" w:rsidRDefault="00221C59" w:rsidP="00221C59">
            <w:pPr>
              <w:jc w:val="both"/>
              <w:rPr>
                <w:szCs w:val="20"/>
              </w:rPr>
            </w:pPr>
            <w:r w:rsidRPr="00A95B45">
              <w:rPr>
                <w:szCs w:val="20"/>
              </w:rPr>
              <w:t xml:space="preserve">A handwashing facility with soap and water: a handwashing facility is a device to contain, transport or regulate the flow of water to facilitate handwashing. This indicator is a proxy of actual handwashing practice, which has been found to be more accurate than other proxies such </w:t>
            </w:r>
            <w:proofErr w:type="gramStart"/>
            <w:r w:rsidRPr="00A95B45">
              <w:rPr>
                <w:szCs w:val="20"/>
              </w:rPr>
              <w:t>as</w:t>
            </w:r>
            <w:proofErr w:type="gramEnd"/>
            <w:r w:rsidRPr="00A95B45">
              <w:rPr>
                <w:szCs w:val="20"/>
              </w:rPr>
              <w:t xml:space="preserve"> self-reports of handwashing practices.</w:t>
            </w:r>
          </w:p>
          <w:p w14:paraId="7C5A894C" w14:textId="77777777" w:rsidR="00221C59" w:rsidRPr="00A54810" w:rsidRDefault="00221C59" w:rsidP="00221C59">
            <w:pPr>
              <w:jc w:val="both"/>
              <w:rPr>
                <w:b/>
                <w:bCs/>
                <w:sz w:val="10"/>
                <w:szCs w:val="10"/>
              </w:rPr>
            </w:pPr>
          </w:p>
          <w:p w14:paraId="38523207" w14:textId="77777777" w:rsidR="00221C59" w:rsidRPr="00A54810" w:rsidRDefault="00221C59" w:rsidP="00221C59">
            <w:pPr>
              <w:jc w:val="both"/>
              <w:rPr>
                <w:b/>
                <w:bCs/>
                <w:szCs w:val="20"/>
              </w:rPr>
            </w:pPr>
            <w:r w:rsidRPr="00A54810">
              <w:rPr>
                <w:b/>
                <w:bCs/>
                <w:szCs w:val="20"/>
              </w:rPr>
              <w:t>Comments and limitations:</w:t>
            </w:r>
          </w:p>
          <w:p w14:paraId="4456157A" w14:textId="77777777" w:rsidR="00221C59" w:rsidRPr="00D0242E" w:rsidRDefault="00221C59" w:rsidP="00221C59">
            <w:pPr>
              <w:jc w:val="both"/>
              <w:rPr>
                <w:sz w:val="10"/>
                <w:szCs w:val="10"/>
              </w:rPr>
            </w:pPr>
          </w:p>
          <w:p w14:paraId="3582C87B" w14:textId="77777777" w:rsidR="00221C59" w:rsidRPr="00A95B45" w:rsidRDefault="00221C59" w:rsidP="00221C59">
            <w:pPr>
              <w:jc w:val="both"/>
              <w:rPr>
                <w:szCs w:val="20"/>
              </w:rPr>
            </w:pPr>
            <w:r w:rsidRPr="00A95B45">
              <w:rPr>
                <w:szCs w:val="20"/>
              </w:rPr>
              <w:t>A framework for measuring faecal waste flows and safety factors has been developed and piloted in 12 countries (World Bank Water and Sanitation Program, 2014), and is being adopted and scaled up within the sanitation sector. This framework has served as the basis for indicators 6.2.1 and 6.3.1. Data on safe disposal and treatment are not available for all countries. However, sufficient data were available to make global and regional estimates of safely managed sanitation services in 2017.</w:t>
            </w:r>
          </w:p>
          <w:p w14:paraId="7551E462" w14:textId="77777777" w:rsidR="00221C59" w:rsidRPr="00D0242E" w:rsidRDefault="00221C59" w:rsidP="00221C59">
            <w:pPr>
              <w:jc w:val="both"/>
              <w:rPr>
                <w:sz w:val="10"/>
                <w:szCs w:val="10"/>
              </w:rPr>
            </w:pPr>
          </w:p>
          <w:p w14:paraId="61B36B4D" w14:textId="77777777" w:rsidR="00221C59" w:rsidRDefault="00221C59" w:rsidP="00221C59">
            <w:pPr>
              <w:jc w:val="both"/>
              <w:rPr>
                <w:szCs w:val="20"/>
              </w:rPr>
            </w:pPr>
            <w:r w:rsidRPr="00A95B45">
              <w:rPr>
                <w:szCs w:val="20"/>
              </w:rPr>
              <w:t>Presence of a handwashing station with soap and water does not guarantee that household members consistently wash hands at key times, but has been accepted as the most suitable proxy. Data were available for 70 countries in 2017.</w:t>
            </w:r>
          </w:p>
          <w:p w14:paraId="3B2851CC" w14:textId="77777777" w:rsidR="00221C59" w:rsidRPr="00FC6E2C" w:rsidRDefault="00221C59" w:rsidP="00221C59">
            <w:pPr>
              <w:jc w:val="both"/>
              <w:rPr>
                <w:szCs w:val="20"/>
              </w:rPr>
            </w:pPr>
            <w:r w:rsidRPr="00FC6E2C">
              <w:rPr>
                <w:b/>
                <w:bCs/>
                <w:szCs w:val="20"/>
              </w:rPr>
              <w:t>Computation Method:</w:t>
            </w:r>
          </w:p>
          <w:p w14:paraId="14D6DD5F" w14:textId="77777777" w:rsidR="00221C59" w:rsidRPr="00FC6E2C" w:rsidRDefault="00221C59" w:rsidP="00221C59">
            <w:pPr>
              <w:jc w:val="both"/>
              <w:rPr>
                <w:szCs w:val="20"/>
              </w:rPr>
            </w:pPr>
          </w:p>
          <w:p w14:paraId="11F74C52" w14:textId="77777777" w:rsidR="00221C59" w:rsidRPr="00FC6E2C" w:rsidRDefault="00221C59" w:rsidP="00221C59">
            <w:pPr>
              <w:jc w:val="both"/>
              <w:rPr>
                <w:szCs w:val="20"/>
              </w:rPr>
            </w:pPr>
            <w:r w:rsidRPr="00FC6E2C">
              <w:rPr>
                <w:szCs w:val="20"/>
              </w:rPr>
              <w:t xml:space="preserve">Method of computation: Household surveys and censuses provide data on use of types of basic sanitation facilities listed above, as well as the presence of handwashing materials in the home. </w:t>
            </w:r>
          </w:p>
          <w:p w14:paraId="5737B237" w14:textId="77777777" w:rsidR="00221C59" w:rsidRPr="00FC6E2C" w:rsidRDefault="00221C59" w:rsidP="00221C59">
            <w:pPr>
              <w:jc w:val="both"/>
              <w:rPr>
                <w:szCs w:val="20"/>
              </w:rPr>
            </w:pPr>
          </w:p>
          <w:p w14:paraId="0EBCCC50" w14:textId="77777777" w:rsidR="00221C59" w:rsidRPr="00FC6E2C" w:rsidRDefault="00221C59" w:rsidP="00221C59">
            <w:pPr>
              <w:jc w:val="both"/>
              <w:rPr>
                <w:szCs w:val="20"/>
              </w:rPr>
            </w:pPr>
            <w:r w:rsidRPr="00FC6E2C">
              <w:rPr>
                <w:szCs w:val="20"/>
              </w:rPr>
              <w:t xml:space="preserve">The percentage of the population using safely managed sanitation services is calculated by combining data on the proportion of the population using different types of basic sanitation facilities with estimates of the proportion of faecal waste which is safely disposed in situ or treated off-site. </w:t>
            </w:r>
          </w:p>
          <w:p w14:paraId="7BF6D4DA" w14:textId="77777777" w:rsidR="00221C59" w:rsidRPr="00FC6E2C" w:rsidRDefault="00221C59" w:rsidP="00221C59">
            <w:pPr>
              <w:jc w:val="both"/>
              <w:rPr>
                <w:szCs w:val="20"/>
              </w:rPr>
            </w:pPr>
          </w:p>
          <w:p w14:paraId="4750AD73" w14:textId="77777777" w:rsidR="00221C59" w:rsidRPr="00FC6E2C" w:rsidRDefault="00221C59" w:rsidP="00221C59">
            <w:pPr>
              <w:jc w:val="both"/>
              <w:rPr>
                <w:szCs w:val="20"/>
              </w:rPr>
            </w:pPr>
            <w:r w:rsidRPr="00FC6E2C">
              <w:rPr>
                <w:szCs w:val="20"/>
              </w:rPr>
              <w:lastRenderedPageBreak/>
              <w:t>The JMP estimates use of basic sanitation facilities for each country, separately in urban and rural areas, by fitting a regression model to a series of data points from household surveys and censuses. This approach was used to report on use of ‘improved sanitation’ facilities for MDG monitoring. The JMP is evaluating the use of alternative statistical estimation methods as more data become available.</w:t>
            </w:r>
          </w:p>
          <w:p w14:paraId="7D1AF129" w14:textId="77777777" w:rsidR="00221C59" w:rsidRPr="00FC6E2C" w:rsidRDefault="00221C59" w:rsidP="00221C59">
            <w:pPr>
              <w:jc w:val="both"/>
              <w:rPr>
                <w:szCs w:val="20"/>
              </w:rPr>
            </w:pPr>
          </w:p>
          <w:p w14:paraId="0DA2B0AD" w14:textId="77777777" w:rsidR="00221C59" w:rsidRPr="00A95B45" w:rsidRDefault="00221C59" w:rsidP="00221C59">
            <w:pPr>
              <w:jc w:val="both"/>
              <w:rPr>
                <w:rStyle w:val="fontstyle01"/>
                <w:rFonts w:ascii="Tw Cen MT Condensed" w:hAnsi="Tw Cen MT Condensed"/>
                <w:b w:val="0"/>
                <w:bCs w:val="0"/>
              </w:rPr>
            </w:pPr>
            <w:r w:rsidRPr="00FC6E2C">
              <w:rPr>
                <w:szCs w:val="20"/>
              </w:rPr>
              <w:t xml:space="preserve">The JMP 2017 update and SDG baselines report describes in more detail how estimates of the proportion of household wastewater that is safely disposed of in situ or treated off-site have been combined with data on use of different types of sanitation facilities, as recorded in the JMP global database. </w:t>
            </w:r>
          </w:p>
        </w:tc>
        <w:tc>
          <w:tcPr>
            <w:tcW w:w="0" w:type="auto"/>
            <w:shd w:val="clear" w:color="auto" w:fill="auto"/>
          </w:tcPr>
          <w:p w14:paraId="35609D36" w14:textId="77777777" w:rsidR="00221C59" w:rsidRPr="007243FC" w:rsidRDefault="00221C59" w:rsidP="00221C59">
            <w:pPr>
              <w:pStyle w:val="NoSpacing"/>
              <w:rPr>
                <w:bCs/>
                <w:szCs w:val="20"/>
              </w:rPr>
            </w:pPr>
            <w:r w:rsidRPr="00873FDE">
              <w:lastRenderedPageBreak/>
              <w:t>Household survey or census administrative survey</w:t>
            </w:r>
          </w:p>
        </w:tc>
        <w:tc>
          <w:tcPr>
            <w:tcW w:w="0" w:type="auto"/>
            <w:shd w:val="clear" w:color="auto" w:fill="auto"/>
          </w:tcPr>
          <w:p w14:paraId="567BFB94" w14:textId="77777777" w:rsidR="00221C59" w:rsidRPr="00FC6E2C" w:rsidRDefault="00221C59" w:rsidP="00221C59">
            <w:pPr>
              <w:pStyle w:val="ListParagraph"/>
              <w:numPr>
                <w:ilvl w:val="0"/>
                <w:numId w:val="49"/>
              </w:numPr>
              <w:spacing w:after="0"/>
              <w:rPr>
                <w:rFonts w:ascii="Tw Cen MT Condensed" w:hAnsi="Tw Cen MT Condensed"/>
                <w:bCs/>
                <w:sz w:val="20"/>
                <w:szCs w:val="20"/>
              </w:rPr>
            </w:pPr>
            <w:r w:rsidRPr="00FC6E2C">
              <w:rPr>
                <w:rFonts w:ascii="Tw Cen MT Condensed" w:hAnsi="Tw Cen MT Condensed"/>
                <w:bCs/>
                <w:sz w:val="20"/>
                <w:szCs w:val="20"/>
              </w:rPr>
              <w:t>National statistics offices,</w:t>
            </w:r>
          </w:p>
          <w:p w14:paraId="6D6F4A3C" w14:textId="77777777" w:rsidR="00221C59" w:rsidRPr="00FC6E2C" w:rsidRDefault="00221C59" w:rsidP="00221C59">
            <w:pPr>
              <w:pStyle w:val="ListParagraph"/>
              <w:numPr>
                <w:ilvl w:val="0"/>
                <w:numId w:val="49"/>
              </w:numPr>
              <w:spacing w:after="0"/>
              <w:rPr>
                <w:rFonts w:ascii="Tw Cen MT Condensed" w:hAnsi="Tw Cen MT Condensed"/>
                <w:bCs/>
                <w:sz w:val="20"/>
                <w:szCs w:val="20"/>
              </w:rPr>
            </w:pPr>
            <w:r w:rsidRPr="00FC6E2C">
              <w:rPr>
                <w:rFonts w:ascii="Tw Cen MT Condensed" w:hAnsi="Tw Cen MT Condensed"/>
                <w:bCs/>
                <w:sz w:val="20"/>
                <w:szCs w:val="20"/>
              </w:rPr>
              <w:t>Ministries of water, sanitation</w:t>
            </w:r>
            <w:proofErr w:type="gramStart"/>
            <w:r w:rsidRPr="00FC6E2C">
              <w:rPr>
                <w:rFonts w:ascii="Tw Cen MT Condensed" w:hAnsi="Tw Cen MT Condensed"/>
                <w:bCs/>
                <w:sz w:val="20"/>
                <w:szCs w:val="20"/>
              </w:rPr>
              <w:t>,  health</w:t>
            </w:r>
            <w:proofErr w:type="gramEnd"/>
            <w:r w:rsidRPr="00FC6E2C">
              <w:rPr>
                <w:rFonts w:ascii="Tw Cen MT Condensed" w:hAnsi="Tw Cen MT Condensed"/>
                <w:bCs/>
                <w:sz w:val="20"/>
                <w:szCs w:val="20"/>
              </w:rPr>
              <w:t>, environment.</w:t>
            </w:r>
          </w:p>
          <w:p w14:paraId="617FC818" w14:textId="77777777" w:rsidR="00221C59" w:rsidRPr="00FC6E2C" w:rsidRDefault="00221C59" w:rsidP="00221C59">
            <w:pPr>
              <w:pStyle w:val="ListParagraph"/>
              <w:numPr>
                <w:ilvl w:val="0"/>
                <w:numId w:val="49"/>
              </w:numPr>
              <w:spacing w:after="0"/>
              <w:rPr>
                <w:rFonts w:ascii="Tw Cen MT Condensed" w:hAnsi="Tw Cen MT Condensed"/>
                <w:bCs/>
                <w:sz w:val="20"/>
                <w:szCs w:val="20"/>
              </w:rPr>
            </w:pPr>
            <w:r w:rsidRPr="00FC6E2C">
              <w:rPr>
                <w:rFonts w:ascii="Tw Cen MT Condensed" w:hAnsi="Tw Cen MT Condensed"/>
                <w:bCs/>
                <w:sz w:val="20"/>
                <w:szCs w:val="20"/>
              </w:rPr>
              <w:t xml:space="preserve">Regulators of water </w:t>
            </w:r>
            <w:r w:rsidRPr="00FC6E2C">
              <w:rPr>
                <w:rFonts w:ascii="Tw Cen MT Condensed" w:hAnsi="Tw Cen MT Condensed"/>
                <w:bCs/>
                <w:sz w:val="20"/>
                <w:szCs w:val="20"/>
              </w:rPr>
              <w:lastRenderedPageBreak/>
              <w:t>and sanitation services.</w:t>
            </w:r>
          </w:p>
          <w:p w14:paraId="7E2C3AEC" w14:textId="77777777" w:rsidR="00221C59" w:rsidRPr="00FC6E2C" w:rsidRDefault="00221C59" w:rsidP="00221C59">
            <w:pPr>
              <w:rPr>
                <w:bCs/>
                <w:szCs w:val="20"/>
              </w:rPr>
            </w:pPr>
          </w:p>
        </w:tc>
        <w:tc>
          <w:tcPr>
            <w:tcW w:w="0" w:type="auto"/>
            <w:shd w:val="clear" w:color="auto" w:fill="auto"/>
          </w:tcPr>
          <w:p w14:paraId="01DD79C2" w14:textId="77777777" w:rsidR="00221C59" w:rsidRPr="00AE6893" w:rsidRDefault="00221C59" w:rsidP="00221C59">
            <w:pPr>
              <w:spacing w:line="276" w:lineRule="auto"/>
              <w:rPr>
                <w:rFonts w:eastAsia="Times New Roman" w:cs="Times New Roman"/>
                <w:color w:val="000000" w:themeColor="text1"/>
                <w:szCs w:val="20"/>
              </w:rPr>
            </w:pPr>
            <w:r w:rsidRPr="00BC6F10">
              <w:rPr>
                <w:rFonts w:eastAsia="Times New Roman" w:cs="Times New Roman"/>
                <w:color w:val="000000" w:themeColor="text1"/>
                <w:szCs w:val="20"/>
              </w:rPr>
              <w:lastRenderedPageBreak/>
              <w:t>MICS</w:t>
            </w:r>
          </w:p>
          <w:p w14:paraId="6A738FBB" w14:textId="77777777" w:rsidR="00221C59" w:rsidRPr="00AE6893" w:rsidRDefault="00221C59" w:rsidP="00221C59">
            <w:pPr>
              <w:rPr>
                <w:rFonts w:eastAsia="Times New Roman"/>
                <w:color w:val="000000" w:themeColor="text1"/>
                <w:szCs w:val="25"/>
                <w:lang w:bidi="bn-BD"/>
              </w:rPr>
            </w:pPr>
            <w:r>
              <w:rPr>
                <w:color w:val="000000" w:themeColor="text1"/>
                <w:szCs w:val="25"/>
                <w:lang w:bidi="bn-BD"/>
              </w:rPr>
              <w:t>BBS</w:t>
            </w:r>
          </w:p>
        </w:tc>
        <w:tc>
          <w:tcPr>
            <w:tcW w:w="0" w:type="auto"/>
            <w:shd w:val="clear" w:color="auto" w:fill="auto"/>
          </w:tcPr>
          <w:p w14:paraId="227F8FAE" w14:textId="64E91C37" w:rsidR="00221C59" w:rsidRDefault="00221C59" w:rsidP="000C4849">
            <w:pPr>
              <w:spacing w:line="276" w:lineRule="auto"/>
              <w:rPr>
                <w:rFonts w:cs="Times New Roman"/>
                <w:color w:val="000000" w:themeColor="text1"/>
                <w:szCs w:val="20"/>
              </w:rPr>
            </w:pPr>
            <w:r w:rsidRPr="00BC6F10">
              <w:rPr>
                <w:rFonts w:eastAsia="Times New Roman" w:cs="Times New Roman"/>
                <w:color w:val="000000" w:themeColor="text1"/>
                <w:szCs w:val="20"/>
              </w:rPr>
              <w:t>MICS</w:t>
            </w:r>
            <w:r>
              <w:rPr>
                <w:rFonts w:eastAsia="Times New Roman" w:cs="Times New Roman"/>
                <w:color w:val="000000" w:themeColor="text1"/>
                <w:szCs w:val="20"/>
              </w:rPr>
              <w:t>/PHC/</w:t>
            </w:r>
            <w:r>
              <w:rPr>
                <w:rFonts w:cs="Times New Roman"/>
                <w:color w:val="000000" w:themeColor="text1"/>
                <w:szCs w:val="20"/>
              </w:rPr>
              <w:t>SVRS</w:t>
            </w:r>
          </w:p>
          <w:p w14:paraId="12B7BE2F" w14:textId="77777777" w:rsidR="00221C59" w:rsidRPr="007243FC" w:rsidRDefault="00221C59" w:rsidP="00221C59">
            <w:pPr>
              <w:rPr>
                <w:rFonts w:eastAsia="Times New Roman" w:cs="Times New Roman"/>
                <w:color w:val="000000" w:themeColor="text1"/>
                <w:szCs w:val="20"/>
              </w:rPr>
            </w:pPr>
            <w:r>
              <w:rPr>
                <w:color w:val="000000" w:themeColor="text1"/>
                <w:szCs w:val="25"/>
                <w:lang w:bidi="bn-BD"/>
              </w:rPr>
              <w:t>BBS</w:t>
            </w:r>
          </w:p>
        </w:tc>
        <w:tc>
          <w:tcPr>
            <w:tcW w:w="0" w:type="auto"/>
            <w:shd w:val="clear" w:color="auto" w:fill="auto"/>
          </w:tcPr>
          <w:p w14:paraId="2E07DEDA" w14:textId="77777777" w:rsidR="00221C59" w:rsidRPr="00AF2FFD" w:rsidRDefault="00221C59" w:rsidP="00221C59">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Socioeconomic status: wealth, a</w:t>
            </w:r>
            <w:r w:rsidRPr="00AF2FFD">
              <w:rPr>
                <w:rFonts w:ascii="Tw Cen MT Condensed" w:hAnsi="Tw Cen MT Condensed"/>
              </w:rPr>
              <w:t>ffordability</w:t>
            </w:r>
          </w:p>
          <w:p w14:paraId="7EFD197F" w14:textId="77777777" w:rsidR="00221C59" w:rsidRPr="00AF2FFD" w:rsidRDefault="00221C59" w:rsidP="00221C59">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D</w:t>
            </w:r>
            <w:r w:rsidRPr="00AF2FFD">
              <w:rPr>
                <w:rFonts w:ascii="Tw Cen MT Condensed" w:hAnsi="Tw Cen MT Condensed"/>
              </w:rPr>
              <w:t>rinking water services: JMP drinking water ladder (no services, basic, safely managed services)</w:t>
            </w:r>
          </w:p>
          <w:p w14:paraId="4EC82834" w14:textId="77777777" w:rsidR="00221C59" w:rsidRDefault="00221C59" w:rsidP="00221C59">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I</w:t>
            </w:r>
            <w:r w:rsidRPr="00AF2FFD">
              <w:rPr>
                <w:rFonts w:ascii="Tw Cen MT Condensed" w:hAnsi="Tw Cen MT Condensed"/>
              </w:rPr>
              <w:t>nequality: sub</w:t>
            </w:r>
            <w:r>
              <w:rPr>
                <w:rFonts w:ascii="Tw Cen MT Condensed" w:hAnsi="Tw Cen MT Condensed"/>
              </w:rPr>
              <w:t>-</w:t>
            </w:r>
            <w:r w:rsidRPr="00AF2FFD">
              <w:rPr>
                <w:rFonts w:ascii="Tw Cen MT Condensed" w:hAnsi="Tw Cen MT Condensed"/>
              </w:rPr>
              <w:t xml:space="preserve">national, gender, </w:t>
            </w:r>
            <w:r w:rsidRPr="00AF2FFD">
              <w:rPr>
                <w:rFonts w:ascii="Tw Cen MT Condensed" w:hAnsi="Tw Cen MT Condensed"/>
              </w:rPr>
              <w:lastRenderedPageBreak/>
              <w:t>disadvantaged groups</w:t>
            </w:r>
          </w:p>
          <w:p w14:paraId="6FBB3186" w14:textId="77777777" w:rsidR="00221C59" w:rsidRPr="00E454E6" w:rsidRDefault="00221C59" w:rsidP="00221C59">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P</w:t>
            </w:r>
            <w:r w:rsidRPr="00E454E6">
              <w:rPr>
                <w:rFonts w:ascii="Tw Cen MT Condensed" w:hAnsi="Tw Cen MT Condensed"/>
              </w:rPr>
              <w:t>lace of residence: urban, rural</w:t>
            </w:r>
          </w:p>
        </w:tc>
        <w:tc>
          <w:tcPr>
            <w:tcW w:w="0" w:type="auto"/>
            <w:shd w:val="clear" w:color="auto" w:fill="auto"/>
          </w:tcPr>
          <w:p w14:paraId="7B67CB53" w14:textId="77777777" w:rsidR="00221C59" w:rsidRPr="007243FC" w:rsidRDefault="00221C59" w:rsidP="00221C59">
            <w:pPr>
              <w:rPr>
                <w:szCs w:val="20"/>
              </w:rPr>
            </w:pPr>
            <w:r w:rsidRPr="00BC6F10">
              <w:lastRenderedPageBreak/>
              <w:t>Triennial</w:t>
            </w:r>
          </w:p>
        </w:tc>
        <w:tc>
          <w:tcPr>
            <w:tcW w:w="0" w:type="auto"/>
            <w:shd w:val="clear" w:color="auto" w:fill="auto"/>
          </w:tcPr>
          <w:p w14:paraId="57F033D9" w14:textId="77777777" w:rsidR="00221C59" w:rsidRPr="007243FC" w:rsidRDefault="00221C59" w:rsidP="00221C59">
            <w:pPr>
              <w:rPr>
                <w:b/>
                <w:bCs/>
                <w:sz w:val="22"/>
                <w:szCs w:val="22"/>
              </w:rPr>
            </w:pPr>
            <w:r w:rsidRPr="007243FC">
              <w:rPr>
                <w:rStyle w:val="fontstyle01"/>
                <w:rFonts w:ascii="Tw Cen MT Condensed" w:hAnsi="Tw Cen MT Condensed"/>
                <w:b w:val="0"/>
                <w:bCs w:val="0"/>
                <w:sz w:val="18"/>
                <w:szCs w:val="18"/>
              </w:rPr>
              <w:t>Group 1</w:t>
            </w:r>
          </w:p>
          <w:p w14:paraId="3502000C"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tcPr>
          <w:p w14:paraId="28C89BA3" w14:textId="77777777" w:rsidR="00221C59" w:rsidRDefault="00221C59" w:rsidP="00221C59">
            <w:pPr>
              <w:pStyle w:val="NoSpacing"/>
            </w:pPr>
            <w:r>
              <w:t>1</w:t>
            </w:r>
            <w:r w:rsidRPr="00013ACB">
              <w:rPr>
                <w:vertAlign w:val="superscript"/>
              </w:rPr>
              <w:t>st</w:t>
            </w:r>
            <w:r>
              <w:t xml:space="preserve"> Round: </w:t>
            </w:r>
          </w:p>
          <w:p w14:paraId="3307766F" w14:textId="77777777" w:rsidR="00221C59" w:rsidRDefault="00221C59" w:rsidP="00221C59">
            <w:pPr>
              <w:rPr>
                <w:szCs w:val="20"/>
              </w:rPr>
            </w:pPr>
            <w:r w:rsidRPr="00BC6F10">
              <w:rPr>
                <w:szCs w:val="20"/>
              </w:rPr>
              <w:t>December</w:t>
            </w:r>
            <w:r>
              <w:rPr>
                <w:szCs w:val="20"/>
              </w:rPr>
              <w:t xml:space="preserve"> </w:t>
            </w:r>
            <w:r w:rsidRPr="00BC6F10">
              <w:rPr>
                <w:szCs w:val="20"/>
              </w:rPr>
              <w:t>2020</w:t>
            </w:r>
          </w:p>
          <w:p w14:paraId="40575F55" w14:textId="77777777" w:rsidR="00221C59" w:rsidRDefault="00221C59" w:rsidP="00221C59">
            <w:pPr>
              <w:pStyle w:val="NoSpacing"/>
            </w:pPr>
          </w:p>
          <w:p w14:paraId="72F12601" w14:textId="77777777" w:rsidR="00221C59" w:rsidRDefault="00221C59" w:rsidP="00221C59">
            <w:pPr>
              <w:pStyle w:val="NoSpacing"/>
            </w:pPr>
            <w:r>
              <w:t>2</w:t>
            </w:r>
            <w:r w:rsidRPr="00013ACB">
              <w:rPr>
                <w:vertAlign w:val="superscript"/>
              </w:rPr>
              <w:t>nd</w:t>
            </w:r>
            <w:r>
              <w:t xml:space="preserve"> Round: </w:t>
            </w:r>
          </w:p>
          <w:p w14:paraId="284BE44F" w14:textId="77777777" w:rsidR="00221C59" w:rsidRPr="0070788D" w:rsidRDefault="00221C59" w:rsidP="00221C59">
            <w:pPr>
              <w:rPr>
                <w:szCs w:val="20"/>
              </w:rPr>
            </w:pPr>
            <w:r w:rsidRPr="00BC6F10">
              <w:rPr>
                <w:szCs w:val="20"/>
              </w:rPr>
              <w:t>December</w:t>
            </w:r>
            <w:r>
              <w:rPr>
                <w:szCs w:val="20"/>
              </w:rPr>
              <w:t xml:space="preserve"> 2023</w:t>
            </w:r>
          </w:p>
          <w:p w14:paraId="02826C91" w14:textId="77777777" w:rsidR="00221C59" w:rsidRDefault="00221C59" w:rsidP="00221C59">
            <w:pPr>
              <w:pStyle w:val="NoSpacing"/>
            </w:pPr>
          </w:p>
          <w:p w14:paraId="608B9D30" w14:textId="77777777" w:rsidR="00221C59" w:rsidRDefault="00221C59" w:rsidP="00221C59">
            <w:pPr>
              <w:pStyle w:val="NoSpacing"/>
            </w:pPr>
            <w:r>
              <w:t>3</w:t>
            </w:r>
            <w:r w:rsidRPr="00013ACB">
              <w:rPr>
                <w:vertAlign w:val="superscript"/>
              </w:rPr>
              <w:t>rd</w:t>
            </w:r>
            <w:r>
              <w:t xml:space="preserve"> Round: </w:t>
            </w:r>
          </w:p>
          <w:p w14:paraId="671A2237" w14:textId="77777777" w:rsidR="00221C59" w:rsidRDefault="00221C59" w:rsidP="00221C59">
            <w:pPr>
              <w:rPr>
                <w:szCs w:val="20"/>
              </w:rPr>
            </w:pPr>
            <w:r w:rsidRPr="00BC6F10">
              <w:rPr>
                <w:szCs w:val="20"/>
              </w:rPr>
              <w:t>December</w:t>
            </w:r>
            <w:r>
              <w:rPr>
                <w:szCs w:val="20"/>
              </w:rPr>
              <w:t xml:space="preserve"> 2026</w:t>
            </w:r>
          </w:p>
          <w:p w14:paraId="709F7869" w14:textId="77777777" w:rsidR="00221C59" w:rsidRDefault="00221C59" w:rsidP="00221C59">
            <w:pPr>
              <w:pStyle w:val="NoSpacing"/>
            </w:pPr>
          </w:p>
          <w:p w14:paraId="30DB4B95" w14:textId="77777777" w:rsidR="00221C59" w:rsidRDefault="00221C59" w:rsidP="00221C59">
            <w:pPr>
              <w:pStyle w:val="NoSpacing"/>
            </w:pPr>
            <w:r>
              <w:t>4</w:t>
            </w:r>
            <w:r w:rsidRPr="00013ACB">
              <w:rPr>
                <w:vertAlign w:val="superscript"/>
              </w:rPr>
              <w:t>th</w:t>
            </w:r>
            <w:r>
              <w:t xml:space="preserve"> Round: </w:t>
            </w:r>
          </w:p>
          <w:p w14:paraId="67EF5B48" w14:textId="77777777" w:rsidR="00221C59" w:rsidRDefault="00221C59" w:rsidP="00221C59">
            <w:pPr>
              <w:rPr>
                <w:szCs w:val="20"/>
              </w:rPr>
            </w:pPr>
            <w:r w:rsidRPr="00BC6F10">
              <w:rPr>
                <w:szCs w:val="20"/>
              </w:rPr>
              <w:lastRenderedPageBreak/>
              <w:t>December</w:t>
            </w:r>
            <w:r>
              <w:rPr>
                <w:szCs w:val="20"/>
              </w:rPr>
              <w:t xml:space="preserve"> 2029</w:t>
            </w:r>
          </w:p>
          <w:p w14:paraId="648DD649" w14:textId="77777777" w:rsidR="00221C59" w:rsidRDefault="00221C59" w:rsidP="00221C59">
            <w:pPr>
              <w:pStyle w:val="NoSpacing"/>
            </w:pPr>
          </w:p>
          <w:p w14:paraId="30629566" w14:textId="77777777" w:rsidR="00221C59" w:rsidRDefault="00221C59" w:rsidP="00221C59">
            <w:pPr>
              <w:pStyle w:val="NoSpacing"/>
            </w:pPr>
            <w:r>
              <w:t>5</w:t>
            </w:r>
            <w:r w:rsidRPr="00013ACB">
              <w:rPr>
                <w:vertAlign w:val="superscript"/>
              </w:rPr>
              <w:t>th</w:t>
            </w:r>
            <w:r>
              <w:t xml:space="preserve"> Round: </w:t>
            </w:r>
          </w:p>
          <w:p w14:paraId="510A2C97" w14:textId="77777777" w:rsidR="00221C59" w:rsidRDefault="00221C59" w:rsidP="00221C59">
            <w:pPr>
              <w:rPr>
                <w:szCs w:val="20"/>
              </w:rPr>
            </w:pPr>
            <w:r w:rsidRPr="00BC6F10">
              <w:rPr>
                <w:szCs w:val="20"/>
              </w:rPr>
              <w:t>December</w:t>
            </w:r>
            <w:r>
              <w:rPr>
                <w:szCs w:val="20"/>
              </w:rPr>
              <w:t xml:space="preserve"> 2030</w:t>
            </w:r>
          </w:p>
          <w:p w14:paraId="0E5D8216" w14:textId="68DF4097" w:rsidR="00221C59" w:rsidRPr="00BC6F10" w:rsidRDefault="00221C59" w:rsidP="00221C59">
            <w:pPr>
              <w:rPr>
                <w:szCs w:val="20"/>
              </w:rPr>
            </w:pPr>
          </w:p>
        </w:tc>
        <w:tc>
          <w:tcPr>
            <w:tcW w:w="0" w:type="auto"/>
            <w:shd w:val="clear" w:color="auto" w:fill="auto"/>
          </w:tcPr>
          <w:p w14:paraId="345448AE" w14:textId="77777777" w:rsidR="00221C59" w:rsidRPr="007243FC" w:rsidRDefault="00221C59" w:rsidP="00221C59">
            <w:pPr>
              <w:ind w:left="-40"/>
              <w:jc w:val="both"/>
              <w:rPr>
                <w:bCs/>
                <w:szCs w:val="20"/>
              </w:rPr>
            </w:pPr>
            <w:r w:rsidRPr="0097196B">
              <w:rPr>
                <w:bCs/>
                <w:szCs w:val="20"/>
              </w:rPr>
              <w:lastRenderedPageBreak/>
              <w:t>Data availability reviewed in Nov. 2017 (classified as Tier II)</w:t>
            </w:r>
          </w:p>
        </w:tc>
      </w:tr>
      <w:tr w:rsidR="0085651F" w14:paraId="1A30571C" w14:textId="77777777" w:rsidTr="0085651F">
        <w:tc>
          <w:tcPr>
            <w:tcW w:w="0" w:type="auto"/>
            <w:gridSpan w:val="13"/>
            <w:shd w:val="clear" w:color="auto" w:fill="auto"/>
          </w:tcPr>
          <w:p w14:paraId="28C14993" w14:textId="77777777" w:rsidR="0085651F" w:rsidRPr="00423FEB" w:rsidRDefault="0085651F" w:rsidP="00221C59">
            <w:pPr>
              <w:rPr>
                <w:bCs/>
                <w:color w:val="0070C0"/>
                <w:sz w:val="30"/>
                <w:szCs w:val="30"/>
              </w:rPr>
            </w:pPr>
            <w:r>
              <w:rPr>
                <w:color w:val="0070C0"/>
                <w:sz w:val="30"/>
                <w:szCs w:val="30"/>
              </w:rPr>
              <w:lastRenderedPageBreak/>
              <w:t>Target</w:t>
            </w:r>
            <w:r w:rsidRPr="00423FEB">
              <w:rPr>
                <w:bCs/>
                <w:color w:val="0070C0"/>
                <w:sz w:val="30"/>
                <w:szCs w:val="30"/>
              </w:rPr>
              <w:t xml:space="preserve"> 6.3</w:t>
            </w:r>
            <w:r>
              <w:rPr>
                <w:color w:val="0070C0"/>
                <w:sz w:val="30"/>
                <w:szCs w:val="30"/>
              </w:rPr>
              <w:t>:</w:t>
            </w:r>
            <w:r w:rsidRPr="00423FEB">
              <w:rPr>
                <w:bCs/>
                <w:color w:val="0070C0"/>
                <w:sz w:val="30"/>
                <w:szCs w:val="30"/>
              </w:rPr>
              <w:t xml:space="preserve"> By 2030, improve water quality by reducing pollution, eliminating dumping and minimizing release of hazardous chemicals and materials, halving the proportion of untreated wastewater and substantially increasing recycling and safe reuse globally</w:t>
            </w:r>
          </w:p>
        </w:tc>
      </w:tr>
      <w:tr w:rsidR="00DB32C0" w14:paraId="174D97ED" w14:textId="77777777" w:rsidTr="0085651F">
        <w:tc>
          <w:tcPr>
            <w:tcW w:w="0" w:type="auto"/>
            <w:shd w:val="clear" w:color="auto" w:fill="auto"/>
          </w:tcPr>
          <w:p w14:paraId="4B8A8452" w14:textId="77777777" w:rsidR="00221C59" w:rsidRPr="007243FC" w:rsidRDefault="00221C59" w:rsidP="00221C59">
            <w:pPr>
              <w:jc w:val="both"/>
              <w:rPr>
                <w:szCs w:val="20"/>
              </w:rPr>
            </w:pPr>
            <w:r w:rsidRPr="007243FC">
              <w:rPr>
                <w:szCs w:val="20"/>
              </w:rPr>
              <w:t>6.3.1 Proportion of domestic and industrial wastewater flows safely treated</w:t>
            </w:r>
          </w:p>
        </w:tc>
        <w:tc>
          <w:tcPr>
            <w:tcW w:w="0" w:type="auto"/>
            <w:shd w:val="clear" w:color="auto" w:fill="auto"/>
          </w:tcPr>
          <w:p w14:paraId="1C030BA4" w14:textId="77777777" w:rsidR="00221C59" w:rsidRPr="00B34512" w:rsidRDefault="00221C59" w:rsidP="00221C59">
            <w:pPr>
              <w:rPr>
                <w:szCs w:val="20"/>
              </w:rPr>
            </w:pPr>
            <w:r w:rsidRPr="00B34512">
              <w:rPr>
                <w:szCs w:val="20"/>
              </w:rPr>
              <w:t xml:space="preserve">WHO, </w:t>
            </w:r>
          </w:p>
          <w:p w14:paraId="3BE261DA" w14:textId="77777777" w:rsidR="00221C59" w:rsidRPr="00B34512" w:rsidRDefault="00221C59" w:rsidP="00221C59">
            <w:pPr>
              <w:rPr>
                <w:szCs w:val="20"/>
              </w:rPr>
            </w:pPr>
            <w:r w:rsidRPr="00B34512">
              <w:rPr>
                <w:szCs w:val="20"/>
              </w:rPr>
              <w:t>UN-Habitat,</w:t>
            </w:r>
          </w:p>
          <w:p w14:paraId="76D0C8C6" w14:textId="77777777" w:rsidR="00221C59" w:rsidRDefault="00221C59" w:rsidP="00221C59">
            <w:pPr>
              <w:rPr>
                <w:szCs w:val="20"/>
              </w:rPr>
            </w:pPr>
            <w:r w:rsidRPr="00B34512">
              <w:rPr>
                <w:szCs w:val="20"/>
              </w:rPr>
              <w:t xml:space="preserve">UNSD    </w:t>
            </w:r>
          </w:p>
          <w:p w14:paraId="42B3594D" w14:textId="77777777" w:rsidR="00221C59" w:rsidRDefault="00221C59" w:rsidP="00221C59">
            <w:pPr>
              <w:rPr>
                <w:szCs w:val="20"/>
              </w:rPr>
            </w:pPr>
          </w:p>
          <w:p w14:paraId="7575C519" w14:textId="77777777" w:rsidR="00221C59" w:rsidRPr="00B34512" w:rsidRDefault="00221C59" w:rsidP="00221C59">
            <w:pPr>
              <w:rPr>
                <w:szCs w:val="20"/>
              </w:rPr>
            </w:pPr>
            <w:r w:rsidRPr="007243FC">
              <w:rPr>
                <w:b/>
                <w:bCs/>
                <w:szCs w:val="20"/>
              </w:rPr>
              <w:t>Partner Agencies:</w:t>
            </w:r>
            <w:r>
              <w:rPr>
                <w:rFonts w:hint="cs"/>
                <w:b/>
                <w:bCs/>
                <w:szCs w:val="20"/>
                <w:cs/>
                <w:lang w:bidi="bn-BD"/>
              </w:rPr>
              <w:t xml:space="preserve"> </w:t>
            </w:r>
            <w:r w:rsidRPr="00B34512">
              <w:rPr>
                <w:szCs w:val="20"/>
              </w:rPr>
              <w:t>UNEP,</w:t>
            </w:r>
          </w:p>
          <w:p w14:paraId="42174006" w14:textId="77777777" w:rsidR="00221C59" w:rsidRPr="00B34512" w:rsidRDefault="00221C59" w:rsidP="00221C59">
            <w:pPr>
              <w:rPr>
                <w:szCs w:val="20"/>
              </w:rPr>
            </w:pPr>
            <w:r w:rsidRPr="00B34512">
              <w:rPr>
                <w:szCs w:val="20"/>
              </w:rPr>
              <w:t>OECD,</w:t>
            </w:r>
          </w:p>
          <w:p w14:paraId="11000E68" w14:textId="77777777" w:rsidR="00221C59" w:rsidRPr="00B34512" w:rsidRDefault="00221C59" w:rsidP="00221C59">
            <w:pPr>
              <w:rPr>
                <w:szCs w:val="20"/>
              </w:rPr>
            </w:pPr>
            <w:r w:rsidRPr="00B34512">
              <w:rPr>
                <w:szCs w:val="20"/>
              </w:rPr>
              <w:t>Eurostat</w:t>
            </w:r>
          </w:p>
          <w:p w14:paraId="4A3578A8" w14:textId="77777777" w:rsidR="00221C59" w:rsidRPr="007243FC" w:rsidRDefault="00221C59" w:rsidP="00221C59">
            <w:pPr>
              <w:rPr>
                <w:szCs w:val="20"/>
              </w:rPr>
            </w:pPr>
          </w:p>
        </w:tc>
        <w:tc>
          <w:tcPr>
            <w:tcW w:w="825" w:type="dxa"/>
            <w:shd w:val="clear" w:color="auto" w:fill="auto"/>
          </w:tcPr>
          <w:p w14:paraId="0062ACD0" w14:textId="77777777" w:rsidR="00221C59" w:rsidRPr="00B34512" w:rsidRDefault="00221C59" w:rsidP="00EA61B2">
            <w:pPr>
              <w:jc w:val="center"/>
              <w:rPr>
                <w:szCs w:val="20"/>
              </w:rPr>
            </w:pPr>
            <w:r w:rsidRPr="00B34512">
              <w:rPr>
                <w:szCs w:val="20"/>
              </w:rPr>
              <w:t>Tier II</w:t>
            </w:r>
          </w:p>
        </w:tc>
        <w:tc>
          <w:tcPr>
            <w:tcW w:w="6373" w:type="dxa"/>
            <w:shd w:val="clear" w:color="auto" w:fill="auto"/>
          </w:tcPr>
          <w:p w14:paraId="648C4AA1" w14:textId="77777777" w:rsidR="00221C59" w:rsidRDefault="00221C59" w:rsidP="00221C59">
            <w:pPr>
              <w:jc w:val="both"/>
              <w:rPr>
                <w:b/>
                <w:bCs/>
                <w:szCs w:val="20"/>
              </w:rPr>
            </w:pPr>
            <w:r w:rsidRPr="00F05C27">
              <w:rPr>
                <w:b/>
                <w:bCs/>
                <w:szCs w:val="20"/>
              </w:rPr>
              <w:t>Definition:</w:t>
            </w:r>
          </w:p>
          <w:p w14:paraId="7517DCA0" w14:textId="77777777" w:rsidR="00221C59" w:rsidRPr="00F05C27" w:rsidRDefault="00221C59" w:rsidP="00221C59">
            <w:pPr>
              <w:jc w:val="both"/>
              <w:rPr>
                <w:b/>
                <w:bCs/>
                <w:szCs w:val="20"/>
              </w:rPr>
            </w:pPr>
          </w:p>
          <w:p w14:paraId="2F77E20F" w14:textId="77777777" w:rsidR="00221C59" w:rsidRPr="008625E5" w:rsidRDefault="00221C59" w:rsidP="00221C59">
            <w:pPr>
              <w:rPr>
                <w:szCs w:val="20"/>
              </w:rPr>
            </w:pPr>
            <w:r w:rsidRPr="008625E5">
              <w:rPr>
                <w:szCs w:val="20"/>
              </w:rPr>
              <w:t>Proportion of wastewater generated by households and by economic activities which is safely treated based on treatment ladders as defined by the SEEA: (http://unstats.un.org/unsd/envaccounting/water.asp, and International Recomm</w:t>
            </w:r>
            <w:r>
              <w:rPr>
                <w:szCs w:val="20"/>
              </w:rPr>
              <w:t xml:space="preserve">endations for Water Statistics </w:t>
            </w:r>
            <w:r w:rsidRPr="008625E5">
              <w:rPr>
                <w:szCs w:val="20"/>
              </w:rPr>
              <w:t xml:space="preserve">and IRWS: http://unstats.un.org/unsd/envaccounting/irws/irwswebversion.pdf) compared to total wastewater generated by households and economic activities. </w:t>
            </w:r>
          </w:p>
          <w:p w14:paraId="25281DB6" w14:textId="77777777" w:rsidR="00221C59" w:rsidRPr="008625E5" w:rsidRDefault="00221C59" w:rsidP="00221C59">
            <w:pPr>
              <w:jc w:val="both"/>
              <w:rPr>
                <w:szCs w:val="20"/>
              </w:rPr>
            </w:pPr>
          </w:p>
          <w:p w14:paraId="0F0894CE" w14:textId="77777777" w:rsidR="00221C59" w:rsidRPr="008625E5" w:rsidRDefault="00221C59" w:rsidP="00221C59">
            <w:pPr>
              <w:jc w:val="both"/>
              <w:rPr>
                <w:szCs w:val="20"/>
              </w:rPr>
            </w:pPr>
            <w:r w:rsidRPr="008625E5">
              <w:rPr>
                <w:szCs w:val="20"/>
              </w:rPr>
              <w:t>This indicator covers households and the entire economy, and builds on the monitoring framework of JMP, UNSD/UNEP Water Questionnaire for non OECD/Eurostat countries, OECD/Eurostat Questionnaire for OECD countries, AQUASAT, IBNET. Statistical methods for measurement of wastewater treatment is aligned with the SEEA21 statistical standard and associated definitions, classifications and treatment categories (Encompasses all wastewater generated and treated by the economy. Treatment Categories will be consistent, as much as possible within the context of global monitoring purposes, with those defined in the SEEA (http://unstats.un.org/unsd/envaccounting/water.asp), and International Recommendations for Water Statistics (IRWS: http://unstats.un.org/unsd/envaccounting/irws/irwswebversion.pdf)</w:t>
            </w:r>
          </w:p>
          <w:p w14:paraId="57415377" w14:textId="77777777" w:rsidR="00221C59" w:rsidRPr="008625E5" w:rsidRDefault="00221C59" w:rsidP="00221C59">
            <w:pPr>
              <w:jc w:val="both"/>
              <w:rPr>
                <w:szCs w:val="20"/>
              </w:rPr>
            </w:pPr>
          </w:p>
          <w:p w14:paraId="002BD1A7" w14:textId="77777777" w:rsidR="00221C59" w:rsidRPr="008625E5" w:rsidRDefault="00221C59" w:rsidP="00221C59">
            <w:pPr>
              <w:jc w:val="both"/>
              <w:rPr>
                <w:szCs w:val="20"/>
              </w:rPr>
            </w:pPr>
            <w:r w:rsidRPr="008625E5">
              <w:rPr>
                <w:szCs w:val="20"/>
              </w:rPr>
              <w:t xml:space="preserve">In addition, combining UNIDO industries database (http://stat.unido.org/) ISIC standard Classification system </w:t>
            </w:r>
            <w:proofErr w:type="gramStart"/>
            <w:r w:rsidRPr="008625E5">
              <w:rPr>
                <w:szCs w:val="20"/>
              </w:rPr>
              <w:t>( http</w:t>
            </w:r>
            <w:proofErr w:type="gramEnd"/>
            <w:r w:rsidRPr="008625E5">
              <w:rPr>
                <w:szCs w:val="20"/>
              </w:rPr>
              <w:t>://unstats.un.org/unsd/publication/seriesM/seriesm_4rev4e.pdf ), will allow for data to be disaggregated for industrial/commercial wastewater into various economic activities, as well as differentiate hazardous industries from the rest. USEPA has harmonized hazardous waste classification with EU regulations compliment ISIC codes for all waste classes. (www.epa.ie/pubs/reports/waste/stats/wasteclassification/EPA_Waste_Classification_2015_Web.pdf)</w:t>
            </w:r>
          </w:p>
          <w:p w14:paraId="2C16A9D8" w14:textId="77777777" w:rsidR="00221C59" w:rsidRPr="008625E5" w:rsidRDefault="00221C59" w:rsidP="00221C59">
            <w:pPr>
              <w:jc w:val="both"/>
              <w:rPr>
                <w:szCs w:val="20"/>
              </w:rPr>
            </w:pPr>
          </w:p>
          <w:p w14:paraId="7C7E8375" w14:textId="77777777" w:rsidR="00221C59" w:rsidRPr="008625E5" w:rsidRDefault="00221C59" w:rsidP="00221C59">
            <w:pPr>
              <w:jc w:val="both"/>
              <w:rPr>
                <w:szCs w:val="20"/>
              </w:rPr>
            </w:pPr>
            <w:r w:rsidRPr="008625E5">
              <w:rPr>
                <w:szCs w:val="20"/>
              </w:rPr>
              <w:t xml:space="preserve">The household portion of wastewater is the same indicator as 6.2.1, and the monitoring of that will be </w:t>
            </w:r>
            <w:r w:rsidRPr="008625E5">
              <w:rPr>
                <w:szCs w:val="20"/>
              </w:rPr>
              <w:lastRenderedPageBreak/>
              <w:t xml:space="preserve">interlinked to JMP monitoring for 6.2.1. Over the last 25 years the JMP has established global norms and standards for monitoring drinking water, sanitation and hygiene. The proposed 6.2.1. </w:t>
            </w:r>
            <w:proofErr w:type="gramStart"/>
            <w:r w:rsidRPr="008625E5">
              <w:rPr>
                <w:szCs w:val="20"/>
              </w:rPr>
              <w:t>indicator</w:t>
            </w:r>
            <w:proofErr w:type="gramEnd"/>
            <w:r w:rsidRPr="008625E5">
              <w:rPr>
                <w:szCs w:val="20"/>
              </w:rPr>
              <w:t xml:space="preserve"> builds on these and was developed following extensive consultations with sector experts. Major international consultations took place in 2011 and 2012, as well as many regional and country consultations in various parts of the world.</w:t>
            </w:r>
          </w:p>
          <w:p w14:paraId="1C860C61" w14:textId="77777777" w:rsidR="00221C59" w:rsidRPr="008625E5" w:rsidRDefault="00221C59" w:rsidP="00221C59">
            <w:pPr>
              <w:jc w:val="both"/>
              <w:rPr>
                <w:szCs w:val="20"/>
              </w:rPr>
            </w:pPr>
          </w:p>
          <w:p w14:paraId="5D9595DE" w14:textId="77777777" w:rsidR="00221C59" w:rsidRPr="008625E5" w:rsidRDefault="00221C59" w:rsidP="00221C59">
            <w:pPr>
              <w:jc w:val="both"/>
              <w:rPr>
                <w:szCs w:val="20"/>
              </w:rPr>
            </w:pPr>
            <w:r w:rsidRPr="008625E5">
              <w:rPr>
                <w:szCs w:val="20"/>
              </w:rPr>
              <w:t>Existing global norms and standards and technical recommendations for SDG monitoring are documented here: http://www.wssinfo.org/fileadmin/user_upload/resources/Methodological-note-on-monitoring-SDG-targets-for-WASH-and-wastewater_WHO-UNICEF_8October2015_Final.pdf.</w:t>
            </w:r>
          </w:p>
          <w:p w14:paraId="4EA33B11" w14:textId="77777777" w:rsidR="00221C59" w:rsidRPr="008625E5" w:rsidRDefault="00221C59" w:rsidP="00221C59">
            <w:pPr>
              <w:jc w:val="both"/>
              <w:rPr>
                <w:szCs w:val="20"/>
              </w:rPr>
            </w:pPr>
          </w:p>
          <w:p w14:paraId="671DD7B6" w14:textId="77777777" w:rsidR="00221C59" w:rsidRPr="008625E5" w:rsidRDefault="00221C59" w:rsidP="00221C59">
            <w:pPr>
              <w:jc w:val="both"/>
              <w:rPr>
                <w:szCs w:val="20"/>
              </w:rPr>
            </w:pPr>
            <w:r w:rsidRPr="008625E5">
              <w:rPr>
                <w:szCs w:val="20"/>
              </w:rPr>
              <w:t>Rationale:</w:t>
            </w:r>
          </w:p>
          <w:p w14:paraId="7EE94777" w14:textId="77777777" w:rsidR="00221C59" w:rsidRPr="008625E5" w:rsidRDefault="00221C59" w:rsidP="00221C59">
            <w:pPr>
              <w:jc w:val="both"/>
              <w:rPr>
                <w:szCs w:val="20"/>
              </w:rPr>
            </w:pPr>
            <w:r w:rsidRPr="008625E5">
              <w:rPr>
                <w:szCs w:val="20"/>
              </w:rPr>
              <w:t>Purpose and rationale for this indicator can also be found in the methods document: http://www.wssinfo.org/post-2015-monitoring/ and summarised in the following methodological note (p12): http://www.wssinfo.org/fileadmin/user_upload/resources/Methodological-note-on-monitoring-SDG-targets-for-WASH-and-wastewater_WHO-UNICEF_8October2015_Final.pdf</w:t>
            </w:r>
          </w:p>
          <w:p w14:paraId="5667A514" w14:textId="77777777" w:rsidR="00221C59" w:rsidRPr="008625E5" w:rsidRDefault="00221C59" w:rsidP="00221C59">
            <w:pPr>
              <w:jc w:val="both"/>
              <w:rPr>
                <w:szCs w:val="20"/>
              </w:rPr>
            </w:pPr>
          </w:p>
          <w:p w14:paraId="6134CC0D" w14:textId="77777777" w:rsidR="00221C59" w:rsidRPr="00F05C27" w:rsidRDefault="00221C59" w:rsidP="00221C59">
            <w:pPr>
              <w:jc w:val="both"/>
              <w:rPr>
                <w:b/>
                <w:bCs/>
                <w:szCs w:val="20"/>
              </w:rPr>
            </w:pPr>
            <w:r w:rsidRPr="00F05C27">
              <w:rPr>
                <w:b/>
                <w:bCs/>
                <w:szCs w:val="20"/>
              </w:rPr>
              <w:t>Concepts:</w:t>
            </w:r>
          </w:p>
          <w:p w14:paraId="4184FC1E" w14:textId="77777777" w:rsidR="00221C59" w:rsidRPr="008625E5" w:rsidRDefault="00221C59" w:rsidP="00221C59">
            <w:pPr>
              <w:jc w:val="both"/>
              <w:rPr>
                <w:szCs w:val="20"/>
              </w:rPr>
            </w:pPr>
            <w:r w:rsidRPr="008625E5">
              <w:rPr>
                <w:szCs w:val="20"/>
              </w:rPr>
              <w:t>See above. Global norms and standards and technical recommendations for SDG monitoring are documented here: http://www.wssinfo.org/fileadmin/user_upload/resources/Methodological-note-on-monitoring-SDG-targets-for-WASH-and-wastewater_WHO</w:t>
            </w:r>
            <w:r>
              <w:rPr>
                <w:szCs w:val="20"/>
              </w:rPr>
              <w:t>-UNICEF_8October2015_Final.pdf.</w:t>
            </w:r>
          </w:p>
          <w:p w14:paraId="25C8EC3B" w14:textId="77777777" w:rsidR="00221C59" w:rsidRPr="008625E5" w:rsidRDefault="00221C59" w:rsidP="00221C59">
            <w:pPr>
              <w:jc w:val="both"/>
              <w:rPr>
                <w:szCs w:val="20"/>
              </w:rPr>
            </w:pPr>
            <w:r w:rsidRPr="008625E5">
              <w:rPr>
                <w:szCs w:val="20"/>
              </w:rPr>
              <w:t>System of Environmental and Economic Accounting for Water, adopted by Statistical Commission in 2014. This accounting structure means that these activities cover the whole economy and are considered for each industry, which are defined according to the International Standard Industrial Classification of all Economic Activities (ISIC), and covering 1) abstraction and distribution of water, 2) discharge, reuse and treatment of wastewater, and 3) consumption and returns of water back to the environment, in this accounting structure, disaggregated by industry in a standardised way. Economic activities by ISIC broadly covers agriculture, hazardous industries and other economic activities</w:t>
            </w:r>
          </w:p>
          <w:p w14:paraId="281B6B67" w14:textId="77777777" w:rsidR="00221C59" w:rsidRPr="00F05C27" w:rsidRDefault="00221C59" w:rsidP="00221C59">
            <w:pPr>
              <w:jc w:val="both"/>
              <w:rPr>
                <w:b/>
                <w:bCs/>
                <w:sz w:val="12"/>
                <w:szCs w:val="12"/>
              </w:rPr>
            </w:pPr>
          </w:p>
          <w:p w14:paraId="3EF40B56" w14:textId="77777777" w:rsidR="00221C59" w:rsidRPr="00F05C27" w:rsidRDefault="00221C59" w:rsidP="00221C59">
            <w:pPr>
              <w:jc w:val="both"/>
              <w:rPr>
                <w:b/>
                <w:bCs/>
                <w:szCs w:val="20"/>
              </w:rPr>
            </w:pPr>
            <w:r w:rsidRPr="00F05C27">
              <w:rPr>
                <w:b/>
                <w:bCs/>
                <w:szCs w:val="20"/>
              </w:rPr>
              <w:t>Comments and limitations:</w:t>
            </w:r>
          </w:p>
          <w:p w14:paraId="3363AF92" w14:textId="77777777" w:rsidR="00221C59" w:rsidRPr="008625E5" w:rsidRDefault="00221C59" w:rsidP="00221C59">
            <w:pPr>
              <w:jc w:val="both"/>
              <w:rPr>
                <w:szCs w:val="20"/>
              </w:rPr>
            </w:pPr>
            <w:r w:rsidRPr="008625E5">
              <w:rPr>
                <w:szCs w:val="20"/>
              </w:rPr>
              <w:t>The main issue regarding safely managed drinking water services will be comparability of data on the definition of what is considered safe treatment. Although there are international guidelines and standards, their compliance by countries is not internationally binding. Countries can set their own standards which can vary from international norms and standards. For this reason, country data may not follow the international standard that JMP likes to follow for i</w:t>
            </w:r>
            <w:r>
              <w:rPr>
                <w:szCs w:val="20"/>
              </w:rPr>
              <w:t xml:space="preserve">ts global monitoring purposes. </w:t>
            </w:r>
          </w:p>
          <w:p w14:paraId="125338E7" w14:textId="77777777" w:rsidR="00221C59" w:rsidRPr="008625E5" w:rsidRDefault="00221C59" w:rsidP="00221C59">
            <w:pPr>
              <w:jc w:val="both"/>
              <w:rPr>
                <w:szCs w:val="20"/>
              </w:rPr>
            </w:pPr>
            <w:r w:rsidRPr="008625E5">
              <w:rPr>
                <w:szCs w:val="20"/>
              </w:rPr>
              <w:t>Having said the above, using MDG experiences of data reconciliation, and working collaboratively with JMP on this will help reconciling definitional discrepancies and hence variations in estimates. This vast experience in dealing with such issues will be very useful in dealing with the above issues for the SDG period.</w:t>
            </w:r>
          </w:p>
          <w:p w14:paraId="1DBAA6A0" w14:textId="77777777" w:rsidR="00221C59" w:rsidRPr="00F05C27" w:rsidRDefault="00221C59" w:rsidP="00221C59">
            <w:pPr>
              <w:jc w:val="both"/>
              <w:rPr>
                <w:sz w:val="14"/>
                <w:szCs w:val="14"/>
              </w:rPr>
            </w:pPr>
          </w:p>
          <w:p w14:paraId="1C96FE27" w14:textId="77777777" w:rsidR="00221C59" w:rsidRPr="000C4849" w:rsidRDefault="00221C59" w:rsidP="00221C59">
            <w:pPr>
              <w:jc w:val="both"/>
              <w:rPr>
                <w:b/>
                <w:szCs w:val="20"/>
              </w:rPr>
            </w:pPr>
            <w:r w:rsidRPr="000C4849">
              <w:rPr>
                <w:b/>
                <w:szCs w:val="20"/>
              </w:rPr>
              <w:lastRenderedPageBreak/>
              <w:t>Computation Method:</w:t>
            </w:r>
          </w:p>
          <w:p w14:paraId="67A0D038" w14:textId="77777777" w:rsidR="00221C59" w:rsidRPr="008625E5" w:rsidRDefault="00221C59" w:rsidP="00221C59">
            <w:pPr>
              <w:jc w:val="both"/>
              <w:rPr>
                <w:szCs w:val="20"/>
              </w:rPr>
            </w:pPr>
            <w:r w:rsidRPr="008625E5">
              <w:rPr>
                <w:szCs w:val="20"/>
              </w:rPr>
              <w:t>The calculation of the indicator value as derived from the framework is the amount treated (off-site and on-site) divided by the total amount of waste produced. Data on treatment of domestic wastewater will come from the multi- purpose indicator 6.2.1. Data on volumes of industrial wastewater can be estimated from inventories of industries, which will be available in the majority of Member States disaggregated by ISIC classifications. The breakdown of treated wastewater can be calculated based on compliance records, related to national standards. Unless verified otherwise, through audited compliance records, the waste generated will be considered untreated.</w:t>
            </w:r>
          </w:p>
          <w:p w14:paraId="1F60DB13" w14:textId="77777777" w:rsidR="00221C59" w:rsidRPr="008625E5" w:rsidRDefault="00221C59" w:rsidP="00221C59">
            <w:pPr>
              <w:jc w:val="both"/>
              <w:rPr>
                <w:rStyle w:val="fontstyle01"/>
                <w:rFonts w:ascii="Tw Cen MT Condensed" w:hAnsi="Tw Cen MT Condensed"/>
                <w:b w:val="0"/>
                <w:bCs w:val="0"/>
              </w:rPr>
            </w:pPr>
          </w:p>
        </w:tc>
        <w:tc>
          <w:tcPr>
            <w:tcW w:w="0" w:type="auto"/>
            <w:shd w:val="clear" w:color="auto" w:fill="auto"/>
          </w:tcPr>
          <w:p w14:paraId="61C11C80" w14:textId="77777777" w:rsidR="00221C59" w:rsidRPr="007243FC" w:rsidRDefault="00221C59" w:rsidP="00221C59">
            <w:pPr>
              <w:jc w:val="center"/>
              <w:rPr>
                <w:bCs/>
                <w:szCs w:val="20"/>
              </w:rPr>
            </w:pPr>
            <w:r>
              <w:lastRenderedPageBreak/>
              <w:t>Household Survey</w:t>
            </w:r>
          </w:p>
        </w:tc>
        <w:tc>
          <w:tcPr>
            <w:tcW w:w="0" w:type="auto"/>
            <w:shd w:val="clear" w:color="auto" w:fill="auto"/>
          </w:tcPr>
          <w:p w14:paraId="486F47F8" w14:textId="77777777" w:rsidR="00221C59" w:rsidRDefault="00221C59" w:rsidP="00221C59">
            <w:pPr>
              <w:rPr>
                <w:bCs/>
                <w:szCs w:val="20"/>
              </w:rPr>
            </w:pPr>
            <w:r w:rsidRPr="0046042C">
              <w:rPr>
                <w:bCs/>
                <w:szCs w:val="20"/>
              </w:rPr>
              <w:t xml:space="preserve">National statistics offices, </w:t>
            </w:r>
          </w:p>
          <w:p w14:paraId="7028DD64" w14:textId="77777777" w:rsidR="00221C59" w:rsidRDefault="00221C59" w:rsidP="00221C59">
            <w:pPr>
              <w:rPr>
                <w:bCs/>
                <w:szCs w:val="20"/>
              </w:rPr>
            </w:pPr>
          </w:p>
          <w:p w14:paraId="6AC23F89" w14:textId="77777777" w:rsidR="00221C59" w:rsidRDefault="00221C59" w:rsidP="00221C59">
            <w:pPr>
              <w:rPr>
                <w:bCs/>
                <w:szCs w:val="20"/>
              </w:rPr>
            </w:pPr>
            <w:r w:rsidRPr="0046042C">
              <w:rPr>
                <w:bCs/>
                <w:szCs w:val="20"/>
              </w:rPr>
              <w:t xml:space="preserve">Ministries of water, sanitation, health, environment. </w:t>
            </w:r>
          </w:p>
          <w:p w14:paraId="390C4E80" w14:textId="77777777" w:rsidR="00221C59" w:rsidRDefault="00221C59" w:rsidP="00221C59">
            <w:pPr>
              <w:rPr>
                <w:bCs/>
                <w:szCs w:val="20"/>
              </w:rPr>
            </w:pPr>
          </w:p>
          <w:p w14:paraId="282C5546" w14:textId="77777777" w:rsidR="00221C59" w:rsidRPr="0046042C" w:rsidRDefault="00221C59" w:rsidP="00221C59">
            <w:pPr>
              <w:rPr>
                <w:bCs/>
                <w:szCs w:val="20"/>
              </w:rPr>
            </w:pPr>
            <w:r w:rsidRPr="0046042C">
              <w:rPr>
                <w:bCs/>
                <w:szCs w:val="20"/>
              </w:rPr>
              <w:t>Regulators of sanitation services.</w:t>
            </w:r>
          </w:p>
        </w:tc>
        <w:tc>
          <w:tcPr>
            <w:tcW w:w="0" w:type="auto"/>
            <w:shd w:val="clear" w:color="auto" w:fill="auto"/>
          </w:tcPr>
          <w:p w14:paraId="47D030ED" w14:textId="0D394815" w:rsidR="00221C59" w:rsidRPr="007243FC" w:rsidRDefault="00EA61B2" w:rsidP="00EA61B2">
            <w:pPr>
              <w:jc w:val="center"/>
              <w:rPr>
                <w:rFonts w:eastAsia="Times New Roman" w:cs="Times New Roman"/>
                <w:color w:val="000000" w:themeColor="text1"/>
                <w:szCs w:val="20"/>
              </w:rPr>
            </w:pPr>
            <w:r>
              <w:rPr>
                <w:rFonts w:eastAsia="Times New Roman" w:cs="Times New Roman"/>
                <w:color w:val="000000" w:themeColor="text1"/>
                <w:szCs w:val="20"/>
              </w:rPr>
              <w:t>Data not generated yet</w:t>
            </w:r>
          </w:p>
        </w:tc>
        <w:tc>
          <w:tcPr>
            <w:tcW w:w="0" w:type="auto"/>
            <w:shd w:val="clear" w:color="auto" w:fill="auto"/>
          </w:tcPr>
          <w:p w14:paraId="0F6222C5" w14:textId="76879133" w:rsidR="00221C59" w:rsidRDefault="00EA61B2" w:rsidP="00221C59">
            <w:pPr>
              <w:rPr>
                <w:rFonts w:eastAsia="Times New Roman" w:cs="Times New Roman"/>
                <w:color w:val="000000" w:themeColor="text1"/>
                <w:szCs w:val="20"/>
              </w:rPr>
            </w:pPr>
            <w:r>
              <w:rPr>
                <w:rFonts w:eastAsia="Times New Roman" w:cs="Times New Roman"/>
                <w:color w:val="000000" w:themeColor="text1"/>
                <w:szCs w:val="20"/>
              </w:rPr>
              <w:t xml:space="preserve">a) </w:t>
            </w:r>
            <w:r w:rsidR="00221C59" w:rsidRPr="00DD55E8">
              <w:rPr>
                <w:rFonts w:eastAsia="Times New Roman" w:cs="Times New Roman"/>
                <w:color w:val="000000" w:themeColor="text1"/>
                <w:szCs w:val="20"/>
              </w:rPr>
              <w:t>Household Survey</w:t>
            </w:r>
            <w:r>
              <w:rPr>
                <w:rFonts w:eastAsia="Times New Roman" w:cs="Times New Roman"/>
                <w:color w:val="000000" w:themeColor="text1"/>
                <w:szCs w:val="20"/>
              </w:rPr>
              <w:t xml:space="preserve"> by </w:t>
            </w:r>
            <w:r w:rsidR="00221C59" w:rsidRPr="00BC6F10">
              <w:rPr>
                <w:rFonts w:eastAsia="Times New Roman" w:cs="Times New Roman"/>
                <w:color w:val="000000" w:themeColor="text1"/>
                <w:szCs w:val="20"/>
              </w:rPr>
              <w:t>LGD (WASA for City Corporations)</w:t>
            </w:r>
          </w:p>
          <w:p w14:paraId="42DC8914" w14:textId="77777777" w:rsidR="00221C59" w:rsidRDefault="00221C59" w:rsidP="00221C59">
            <w:pPr>
              <w:rPr>
                <w:rFonts w:eastAsia="Times New Roman" w:cs="Times New Roman"/>
                <w:color w:val="FF0000"/>
                <w:szCs w:val="20"/>
              </w:rPr>
            </w:pPr>
            <w:r w:rsidRPr="005A1004">
              <w:rPr>
                <w:rFonts w:eastAsia="Times New Roman" w:cs="Times New Roman"/>
                <w:color w:val="FF0000"/>
                <w:szCs w:val="20"/>
              </w:rPr>
              <w:t>c) DoE</w:t>
            </w:r>
          </w:p>
          <w:p w14:paraId="21838FDF" w14:textId="77777777" w:rsidR="00221C59" w:rsidRPr="007243FC" w:rsidRDefault="00221C59" w:rsidP="00221C59">
            <w:pPr>
              <w:rPr>
                <w:rFonts w:eastAsia="Times New Roman" w:cs="Times New Roman"/>
                <w:color w:val="000000" w:themeColor="text1"/>
                <w:szCs w:val="20"/>
              </w:rPr>
            </w:pPr>
            <w:r>
              <w:rPr>
                <w:rFonts w:eastAsia="Times New Roman" w:cs="Times New Roman"/>
                <w:color w:val="FF0000"/>
                <w:szCs w:val="20"/>
              </w:rPr>
              <w:t>d) WARPO</w:t>
            </w:r>
          </w:p>
        </w:tc>
        <w:tc>
          <w:tcPr>
            <w:tcW w:w="0" w:type="auto"/>
            <w:shd w:val="clear" w:color="auto" w:fill="auto"/>
          </w:tcPr>
          <w:p w14:paraId="4F331C0D" w14:textId="77777777" w:rsidR="00221C59" w:rsidRPr="00E454E6" w:rsidRDefault="00221C59" w:rsidP="00221C59">
            <w:r w:rsidRPr="007E3D1E">
              <w:rPr>
                <w:iCs/>
                <w:sz w:val="18"/>
                <w:szCs w:val="18"/>
              </w:rPr>
              <w:t>Not Applicable</w:t>
            </w:r>
          </w:p>
        </w:tc>
        <w:tc>
          <w:tcPr>
            <w:tcW w:w="0" w:type="auto"/>
            <w:shd w:val="clear" w:color="auto" w:fill="auto"/>
          </w:tcPr>
          <w:p w14:paraId="76C807D8" w14:textId="77777777" w:rsidR="00221C59" w:rsidRPr="007243FC" w:rsidRDefault="00221C59" w:rsidP="00221C59">
            <w:pPr>
              <w:rPr>
                <w:szCs w:val="20"/>
              </w:rPr>
            </w:pPr>
            <w:r>
              <w:t>Annual</w:t>
            </w:r>
          </w:p>
        </w:tc>
        <w:tc>
          <w:tcPr>
            <w:tcW w:w="0" w:type="auto"/>
            <w:shd w:val="clear" w:color="auto" w:fill="auto"/>
          </w:tcPr>
          <w:p w14:paraId="72E1E399"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2</w:t>
            </w:r>
          </w:p>
          <w:p w14:paraId="5EE567C8"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tcPr>
          <w:p w14:paraId="21CB3F98" w14:textId="77777777" w:rsidR="00221C59" w:rsidRDefault="00221C59" w:rsidP="00221C59">
            <w:pPr>
              <w:pStyle w:val="NoSpacing"/>
            </w:pPr>
            <w:r>
              <w:t>1</w:t>
            </w:r>
            <w:r w:rsidRPr="00013ACB">
              <w:rPr>
                <w:vertAlign w:val="superscript"/>
              </w:rPr>
              <w:t>st</w:t>
            </w:r>
            <w:r>
              <w:t xml:space="preserve"> Round: </w:t>
            </w:r>
          </w:p>
          <w:p w14:paraId="0D537F31" w14:textId="77777777" w:rsidR="00221C59" w:rsidRDefault="00221C59" w:rsidP="00221C59">
            <w:pPr>
              <w:pStyle w:val="NoSpacing"/>
            </w:pPr>
            <w:r>
              <w:t>December, 2020</w:t>
            </w:r>
          </w:p>
          <w:p w14:paraId="57432D87" w14:textId="77777777" w:rsidR="00221C59" w:rsidRDefault="00221C59" w:rsidP="00221C59">
            <w:pPr>
              <w:pStyle w:val="NoSpacing"/>
            </w:pPr>
          </w:p>
          <w:p w14:paraId="47366CC2" w14:textId="77777777" w:rsidR="00221C59" w:rsidRDefault="00221C59" w:rsidP="00221C59">
            <w:pPr>
              <w:pStyle w:val="NoSpacing"/>
            </w:pPr>
            <w:r>
              <w:t>2</w:t>
            </w:r>
            <w:r w:rsidRPr="00013ACB">
              <w:rPr>
                <w:vertAlign w:val="superscript"/>
              </w:rPr>
              <w:t>nd</w:t>
            </w:r>
            <w:r>
              <w:t xml:space="preserve"> Round: </w:t>
            </w:r>
          </w:p>
          <w:p w14:paraId="0DF72AB7" w14:textId="77777777" w:rsidR="00221C59" w:rsidRDefault="00221C59" w:rsidP="00221C59">
            <w:pPr>
              <w:rPr>
                <w:szCs w:val="20"/>
              </w:rPr>
            </w:pPr>
            <w:r w:rsidRPr="00BC6F10">
              <w:rPr>
                <w:szCs w:val="20"/>
              </w:rPr>
              <w:t>December</w:t>
            </w:r>
            <w:r>
              <w:rPr>
                <w:szCs w:val="20"/>
              </w:rPr>
              <w:t xml:space="preserve"> 2021</w:t>
            </w:r>
          </w:p>
          <w:p w14:paraId="5E2E78F5" w14:textId="77777777" w:rsidR="00221C59" w:rsidRDefault="00221C59" w:rsidP="00221C59">
            <w:pPr>
              <w:pStyle w:val="NoSpacing"/>
            </w:pPr>
          </w:p>
          <w:p w14:paraId="37E33DF9" w14:textId="77777777" w:rsidR="00221C59" w:rsidRDefault="00221C59" w:rsidP="00221C59">
            <w:pPr>
              <w:pStyle w:val="NoSpacing"/>
            </w:pPr>
            <w:r>
              <w:t>3</w:t>
            </w:r>
            <w:r w:rsidRPr="00013ACB">
              <w:rPr>
                <w:vertAlign w:val="superscript"/>
              </w:rPr>
              <w:t>rd</w:t>
            </w:r>
            <w:r>
              <w:t xml:space="preserve"> Round: </w:t>
            </w:r>
          </w:p>
          <w:p w14:paraId="23CD53AC" w14:textId="77777777" w:rsidR="00221C59" w:rsidRDefault="00221C59" w:rsidP="00221C59">
            <w:pPr>
              <w:rPr>
                <w:szCs w:val="20"/>
              </w:rPr>
            </w:pPr>
            <w:r w:rsidRPr="00BC6F10">
              <w:rPr>
                <w:szCs w:val="20"/>
              </w:rPr>
              <w:t>December</w:t>
            </w:r>
            <w:r>
              <w:rPr>
                <w:szCs w:val="20"/>
              </w:rPr>
              <w:t xml:space="preserve"> 2022</w:t>
            </w:r>
          </w:p>
          <w:p w14:paraId="170FBBA3" w14:textId="77777777" w:rsidR="00221C59" w:rsidRDefault="00221C59" w:rsidP="00221C59">
            <w:pPr>
              <w:pStyle w:val="NoSpacing"/>
            </w:pPr>
          </w:p>
          <w:p w14:paraId="519E2100" w14:textId="77777777" w:rsidR="00221C59" w:rsidRDefault="00221C59" w:rsidP="00221C59">
            <w:pPr>
              <w:pStyle w:val="NoSpacing"/>
            </w:pPr>
            <w:r>
              <w:t>4</w:t>
            </w:r>
            <w:r w:rsidRPr="00013ACB">
              <w:rPr>
                <w:vertAlign w:val="superscript"/>
              </w:rPr>
              <w:t>th</w:t>
            </w:r>
            <w:r>
              <w:t xml:space="preserve"> Round: </w:t>
            </w:r>
          </w:p>
          <w:p w14:paraId="3A64CD19" w14:textId="77777777" w:rsidR="00221C59" w:rsidRDefault="00221C59" w:rsidP="00221C59">
            <w:pPr>
              <w:rPr>
                <w:szCs w:val="20"/>
              </w:rPr>
            </w:pPr>
            <w:r w:rsidRPr="00BC6F10">
              <w:rPr>
                <w:szCs w:val="20"/>
              </w:rPr>
              <w:t>December</w:t>
            </w:r>
            <w:r>
              <w:rPr>
                <w:szCs w:val="20"/>
              </w:rPr>
              <w:t xml:space="preserve"> 2023</w:t>
            </w:r>
          </w:p>
          <w:p w14:paraId="481D1897" w14:textId="77777777" w:rsidR="00221C59" w:rsidRDefault="00221C59" w:rsidP="00221C59">
            <w:pPr>
              <w:pStyle w:val="NoSpacing"/>
            </w:pPr>
          </w:p>
          <w:p w14:paraId="1F4530E6" w14:textId="77777777" w:rsidR="00221C59" w:rsidRDefault="00221C59" w:rsidP="00221C59">
            <w:pPr>
              <w:pStyle w:val="NoSpacing"/>
            </w:pPr>
            <w:r>
              <w:t>5</w:t>
            </w:r>
            <w:r w:rsidRPr="00013ACB">
              <w:rPr>
                <w:vertAlign w:val="superscript"/>
              </w:rPr>
              <w:t>th</w:t>
            </w:r>
            <w:r>
              <w:t xml:space="preserve"> Round: </w:t>
            </w:r>
          </w:p>
          <w:p w14:paraId="3C71AB71" w14:textId="77777777" w:rsidR="00221C59" w:rsidRDefault="00221C59" w:rsidP="00221C59">
            <w:pPr>
              <w:rPr>
                <w:szCs w:val="20"/>
              </w:rPr>
            </w:pPr>
            <w:r w:rsidRPr="00BC6F10">
              <w:rPr>
                <w:szCs w:val="20"/>
              </w:rPr>
              <w:t>December</w:t>
            </w:r>
            <w:r>
              <w:rPr>
                <w:szCs w:val="20"/>
              </w:rPr>
              <w:t xml:space="preserve"> 2024</w:t>
            </w:r>
          </w:p>
          <w:p w14:paraId="6FCAD741" w14:textId="4EC7D3A3" w:rsidR="00221C59" w:rsidRPr="00261A09" w:rsidRDefault="00221C59" w:rsidP="00221C59">
            <w:pPr>
              <w:rPr>
                <w:szCs w:val="20"/>
              </w:rPr>
            </w:pPr>
          </w:p>
        </w:tc>
        <w:tc>
          <w:tcPr>
            <w:tcW w:w="0" w:type="auto"/>
            <w:shd w:val="clear" w:color="auto" w:fill="auto"/>
          </w:tcPr>
          <w:p w14:paraId="53B0C436" w14:textId="77777777" w:rsidR="00221C59" w:rsidRPr="0097196B" w:rsidRDefault="00221C59" w:rsidP="00221C59">
            <w:pPr>
              <w:ind w:left="-40"/>
              <w:jc w:val="both"/>
              <w:rPr>
                <w:bCs/>
                <w:szCs w:val="20"/>
              </w:rPr>
            </w:pPr>
            <w:r w:rsidRPr="0097196B">
              <w:rPr>
                <w:bCs/>
                <w:szCs w:val="20"/>
              </w:rPr>
              <w:t>UNSC 51 revision included in the 2020 comprehensive review</w:t>
            </w:r>
          </w:p>
          <w:p w14:paraId="3F641F2A" w14:textId="77777777" w:rsidR="00221C59" w:rsidRPr="0097196B" w:rsidRDefault="00221C59" w:rsidP="00221C59">
            <w:pPr>
              <w:ind w:left="-40"/>
              <w:jc w:val="both"/>
              <w:rPr>
                <w:bCs/>
                <w:szCs w:val="20"/>
              </w:rPr>
            </w:pPr>
          </w:p>
          <w:p w14:paraId="7F0C5609" w14:textId="77777777" w:rsidR="00221C59" w:rsidRPr="007243FC" w:rsidRDefault="00221C59" w:rsidP="00221C59">
            <w:pPr>
              <w:ind w:left="-40"/>
              <w:jc w:val="both"/>
              <w:rPr>
                <w:bCs/>
                <w:szCs w:val="20"/>
              </w:rPr>
            </w:pPr>
            <w:r w:rsidRPr="0097196B">
              <w:rPr>
                <w:bCs/>
                <w:szCs w:val="20"/>
              </w:rPr>
              <w:t>Fast Track; Reviewed at 5th IAEG-SDG meeting (classified as Tier II)</w:t>
            </w:r>
          </w:p>
        </w:tc>
      </w:tr>
      <w:tr w:rsidR="00DB32C0" w14:paraId="10A0D8C3" w14:textId="77777777" w:rsidTr="0085651F">
        <w:tc>
          <w:tcPr>
            <w:tcW w:w="0" w:type="auto"/>
            <w:tcBorders>
              <w:top w:val="nil"/>
            </w:tcBorders>
            <w:shd w:val="clear" w:color="auto" w:fill="auto"/>
          </w:tcPr>
          <w:p w14:paraId="16CA0DEE" w14:textId="77777777" w:rsidR="00221C59" w:rsidRPr="007243FC" w:rsidRDefault="00221C59" w:rsidP="00221C59">
            <w:pPr>
              <w:jc w:val="both"/>
              <w:rPr>
                <w:szCs w:val="20"/>
              </w:rPr>
            </w:pPr>
            <w:r w:rsidRPr="007243FC">
              <w:rPr>
                <w:szCs w:val="20"/>
              </w:rPr>
              <w:lastRenderedPageBreak/>
              <w:t>6.3.2 Proportion of bodies of water with good ambient water quality</w:t>
            </w:r>
          </w:p>
        </w:tc>
        <w:tc>
          <w:tcPr>
            <w:tcW w:w="0" w:type="auto"/>
            <w:shd w:val="clear" w:color="auto" w:fill="auto"/>
          </w:tcPr>
          <w:p w14:paraId="60852B17" w14:textId="77777777" w:rsidR="00221C59" w:rsidRDefault="00221C59" w:rsidP="00221C59">
            <w:pPr>
              <w:rPr>
                <w:szCs w:val="20"/>
              </w:rPr>
            </w:pPr>
            <w:r w:rsidRPr="00B34512">
              <w:rPr>
                <w:szCs w:val="20"/>
              </w:rPr>
              <w:t xml:space="preserve">UNEP </w:t>
            </w:r>
          </w:p>
          <w:p w14:paraId="6FD30411" w14:textId="77777777" w:rsidR="00221C59" w:rsidRDefault="00221C59" w:rsidP="00221C59">
            <w:pPr>
              <w:rPr>
                <w:szCs w:val="20"/>
              </w:rPr>
            </w:pPr>
          </w:p>
          <w:p w14:paraId="0D5003E7" w14:textId="77777777" w:rsidR="00221C59" w:rsidRPr="007243FC" w:rsidRDefault="00221C59" w:rsidP="00221C59">
            <w:pPr>
              <w:rPr>
                <w:szCs w:val="20"/>
              </w:rPr>
            </w:pPr>
            <w:r w:rsidRPr="007243FC">
              <w:rPr>
                <w:b/>
                <w:bCs/>
                <w:szCs w:val="20"/>
              </w:rPr>
              <w:t>Partner Agencies:</w:t>
            </w:r>
            <w:r>
              <w:rPr>
                <w:rFonts w:hint="cs"/>
                <w:b/>
                <w:bCs/>
                <w:szCs w:val="20"/>
                <w:cs/>
                <w:lang w:bidi="bn-BD"/>
              </w:rPr>
              <w:t xml:space="preserve"> </w:t>
            </w:r>
            <w:r w:rsidRPr="00B34512">
              <w:rPr>
                <w:szCs w:val="20"/>
              </w:rPr>
              <w:t>UN-Water</w:t>
            </w:r>
          </w:p>
        </w:tc>
        <w:tc>
          <w:tcPr>
            <w:tcW w:w="825" w:type="dxa"/>
            <w:shd w:val="clear" w:color="auto" w:fill="auto"/>
          </w:tcPr>
          <w:p w14:paraId="51B274FB" w14:textId="77777777" w:rsidR="00221C59" w:rsidRPr="007243FC" w:rsidRDefault="00221C59" w:rsidP="00221C59">
            <w:pPr>
              <w:rPr>
                <w:szCs w:val="20"/>
              </w:rPr>
            </w:pPr>
            <w:r w:rsidRPr="00B34512">
              <w:rPr>
                <w:szCs w:val="20"/>
              </w:rPr>
              <w:t>Tier II</w:t>
            </w:r>
          </w:p>
        </w:tc>
        <w:tc>
          <w:tcPr>
            <w:tcW w:w="6373" w:type="dxa"/>
            <w:shd w:val="clear" w:color="auto" w:fill="auto"/>
          </w:tcPr>
          <w:p w14:paraId="463EA6A3" w14:textId="77777777" w:rsidR="00221C59" w:rsidRPr="00902799" w:rsidRDefault="00221C59" w:rsidP="00221C59">
            <w:pPr>
              <w:jc w:val="both"/>
              <w:rPr>
                <w:rStyle w:val="fontstyle01"/>
                <w:rFonts w:ascii="Tw Cen MT Condensed" w:hAnsi="Tw Cen MT Condensed"/>
              </w:rPr>
            </w:pPr>
            <w:r w:rsidRPr="00902799">
              <w:rPr>
                <w:rStyle w:val="fontstyle01"/>
                <w:rFonts w:ascii="Tw Cen MT Condensed" w:hAnsi="Tw Cen MT Condensed"/>
              </w:rPr>
              <w:t>Definition:</w:t>
            </w:r>
          </w:p>
          <w:p w14:paraId="6C8B92CE"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The indicator is defined as the proportion of water bodies in the country that have good ambient water quality. Ambient water quality refers to natural, untreated water in rivers, lakes and groundwaters and represents a combination of natural influences together with the impacts of all anthropogenic activities. The indicator relies on water quality data derived from in situ measurements and the analysis of samples collected from surface and groundwaters. Water quality is assessed by means of core physical and chemical parameters that reflect natural water quality related to climatological and geological factors, together with major impacts on water quality. The continuous monitoring of all surface and groundwaters is economically unfeasible and not required to sufficiently characterize the status of ambient water quality in a country. Therefore, countries select river, lake and groundwater bodies that are representative and significant for the assessment and management of water quality to monitor and report on indicator 6.3.2. The quality status of individual water bodies is classified based on the compliance of the available water quality monitoring data for the core parameters with target values defined by the country. The indicator is computed as the proportion of the number of water bodies classified as having good quality (i.e. with at least 80 % compliance) to the total number of assessed water bodies, expressed as a percentage. </w:t>
            </w:r>
          </w:p>
          <w:p w14:paraId="418BCFA3" w14:textId="77777777" w:rsidR="00221C59" w:rsidRPr="006B66C9" w:rsidRDefault="00221C59" w:rsidP="00221C59">
            <w:pPr>
              <w:jc w:val="both"/>
              <w:rPr>
                <w:rStyle w:val="fontstyle01"/>
                <w:rFonts w:ascii="Tw Cen MT Condensed" w:hAnsi="Tw Cen MT Condensed"/>
                <w:b w:val="0"/>
                <w:bCs w:val="0"/>
              </w:rPr>
            </w:pPr>
            <w:r>
              <w:rPr>
                <w:rStyle w:val="fontstyle01"/>
                <w:rFonts w:ascii="Tw Cen MT Condensed" w:hAnsi="Tw Cen MT Condensed"/>
                <w:b w:val="0"/>
                <w:bCs w:val="0"/>
              </w:rPr>
              <w:t xml:space="preserve"> </w:t>
            </w:r>
          </w:p>
          <w:p w14:paraId="2BA98226" w14:textId="77777777" w:rsidR="00221C59" w:rsidRPr="00902799" w:rsidRDefault="00221C59" w:rsidP="00221C59">
            <w:pPr>
              <w:jc w:val="both"/>
              <w:rPr>
                <w:rStyle w:val="fontstyle01"/>
                <w:rFonts w:ascii="Tw Cen MT Condensed" w:hAnsi="Tw Cen MT Condensed"/>
              </w:rPr>
            </w:pPr>
            <w:r w:rsidRPr="00902799">
              <w:rPr>
                <w:rStyle w:val="fontstyle01"/>
                <w:rFonts w:ascii="Tw Cen MT Condensed" w:hAnsi="Tw Cen MT Condensed"/>
              </w:rPr>
              <w:t>Concepts:</w:t>
            </w:r>
          </w:p>
          <w:p w14:paraId="20F2AECB"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The concepts and definitions used in the methodology have been based on existing international frameworks and glossaries (WMO 2012) unless where indicated otherwise below.</w:t>
            </w:r>
          </w:p>
          <w:p w14:paraId="1928640F"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Aquifer: Geological formation capable of storing, transmitting and yielding exploitable quantities of water. </w:t>
            </w:r>
          </w:p>
          <w:p w14:paraId="3D9363C6"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Classification of water quality: If at least 80% of the monitoring values for prescribed parameters in a water body comply with their respective target values, the water body is classified as having a “good” water quality status. Each water body is classified as being of “good” or “not good” status. </w:t>
            </w:r>
          </w:p>
          <w:p w14:paraId="5A6771FA"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Groundwater: Subsurface water occupying the saturated zone. </w:t>
            </w:r>
          </w:p>
          <w:p w14:paraId="4D8C75DC"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Groundwater body: A distinct volume of groundwater within an aquifer or aquifers (EU 2000). Groundwater bodies that cross river basin district (RBD) boundaries should be divided at the boundary with each separate portion of the groundwater body being reported separately along with its </w:t>
            </w:r>
            <w:r w:rsidRPr="006B66C9">
              <w:rPr>
                <w:rStyle w:val="fontstyle01"/>
                <w:rFonts w:ascii="Tw Cen MT Condensed" w:hAnsi="Tw Cen MT Condensed"/>
                <w:b w:val="0"/>
                <w:bCs w:val="0"/>
              </w:rPr>
              <w:lastRenderedPageBreak/>
              <w:t xml:space="preserve">respective RBD. </w:t>
            </w:r>
          </w:p>
          <w:p w14:paraId="2092644C"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Lake: Inland body of standing surface water of significant extent. </w:t>
            </w:r>
          </w:p>
          <w:p w14:paraId="2B1E7640"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Non-point-source pollution: Pollution of water bodies from dispersed sources such as fertilizers, chemicals and pesticides used in agricultural activities.</w:t>
            </w:r>
          </w:p>
          <w:p w14:paraId="4AAB4965"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Parameter: Water quality variable or characteristic of water quality, also called a determinand.</w:t>
            </w:r>
          </w:p>
          <w:p w14:paraId="282B80DC"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Point source pollution: Pollution with a precisely located origin.</w:t>
            </w:r>
          </w:p>
          <w:p w14:paraId="27FB313E"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Pollution (of water): Introduction into water of any undesirable substance which renders the water unfit for its intended use.</w:t>
            </w:r>
          </w:p>
          <w:p w14:paraId="6A9CEFA3"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Pollutant: Substance which disrupts and interferes with the equilibrium of a water system and impairs the suitability of using the water for a desired purpose. </w:t>
            </w:r>
          </w:p>
          <w:p w14:paraId="21A2316F"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Reservoir: Body of water, either natural or man-made, used for storage, regulation and control of water resources.</w:t>
            </w:r>
          </w:p>
          <w:p w14:paraId="664F3468"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River: Large stream which serves as the natural drainage for a basin.</w:t>
            </w:r>
          </w:p>
          <w:p w14:paraId="079A65C2"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River basin: Geographical area having a common outlet for its surface runoff.</w:t>
            </w:r>
          </w:p>
          <w:p w14:paraId="493E6D23"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River basin district:  Area of land, made up of one or more neighbouring river basins together with their associated groundwaters (EU, 2000).</w:t>
            </w:r>
          </w:p>
          <w:p w14:paraId="7AEDB140"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River water body: A coherent section of a river that is discrete (does not overlap with another water body) and is significant rather than arbitrarily designated. </w:t>
            </w:r>
          </w:p>
          <w:p w14:paraId="0BB5E6C7"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Stream: </w:t>
            </w:r>
            <w:proofErr w:type="gramStart"/>
            <w:r w:rsidRPr="006B66C9">
              <w:rPr>
                <w:rStyle w:val="fontstyle01"/>
                <w:rFonts w:ascii="Tw Cen MT Condensed" w:hAnsi="Tw Cen MT Condensed"/>
                <w:b w:val="0"/>
                <w:bCs w:val="0"/>
              </w:rPr>
              <w:t>Flowing</w:t>
            </w:r>
            <w:proofErr w:type="gramEnd"/>
            <w:r w:rsidRPr="006B66C9">
              <w:rPr>
                <w:rStyle w:val="fontstyle01"/>
                <w:rFonts w:ascii="Tw Cen MT Condensed" w:hAnsi="Tw Cen MT Condensed"/>
                <w:b w:val="0"/>
                <w:bCs w:val="0"/>
              </w:rPr>
              <w:t xml:space="preserve"> body of water in a natural surface channel.</w:t>
            </w:r>
          </w:p>
          <w:p w14:paraId="5C6323F4"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Surface water: Water which flows over, or lies on, the ground surface. Note: Indicator 6.3.2 does not include the monitoring of water quality in wetlands under monitoring level 1.</w:t>
            </w:r>
          </w:p>
          <w:p w14:paraId="6267224D"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Target value:  A value (or range) for any given water quality parameter that indicates the threshold for a designated water quality, such as </w:t>
            </w:r>
            <w:proofErr w:type="gramStart"/>
            <w:r w:rsidRPr="006B66C9">
              <w:rPr>
                <w:rStyle w:val="fontstyle01"/>
                <w:rFonts w:ascii="Tw Cen MT Condensed" w:hAnsi="Tw Cen MT Condensed"/>
                <w:b w:val="0"/>
                <w:bCs w:val="0"/>
              </w:rPr>
              <w:t>good</w:t>
            </w:r>
            <w:proofErr w:type="gramEnd"/>
            <w:r w:rsidRPr="006B66C9">
              <w:rPr>
                <w:rStyle w:val="fontstyle01"/>
                <w:rFonts w:ascii="Tw Cen MT Condensed" w:hAnsi="Tw Cen MT Condensed"/>
                <w:b w:val="0"/>
                <w:bCs w:val="0"/>
              </w:rPr>
              <w:t xml:space="preserve"> water quality rather than acceptable water quality.</w:t>
            </w:r>
          </w:p>
          <w:p w14:paraId="299BDBEF"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Toxic substance: Chemical substance which can disturb the physiological functions of humans, animals and plants.</w:t>
            </w:r>
          </w:p>
          <w:p w14:paraId="5B51323E"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Transboundary waters: Surface or ground waters which mark, cross or are located on boundaries between two or more States; wherever transboundary waters flow directly into the sea, these transboundary waters end at a straight line across their respective mouths between points on the low-water l</w:t>
            </w:r>
            <w:r>
              <w:rPr>
                <w:rStyle w:val="fontstyle01"/>
                <w:rFonts w:ascii="Tw Cen MT Condensed" w:hAnsi="Tw Cen MT Condensed"/>
                <w:b w:val="0"/>
                <w:bCs w:val="0"/>
              </w:rPr>
              <w:t>ine of the banks (UNECE, 1992).</w:t>
            </w:r>
          </w:p>
          <w:p w14:paraId="55016D3B" w14:textId="77777777" w:rsidR="00221C5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Water quality index: The measured water quality results for all parameters combined into a numeric value for each monitoring location. These scores are then aggregated over the time of the assessment period. The index score can range between zero (worst) to 100 (best).</w:t>
            </w:r>
          </w:p>
          <w:p w14:paraId="32C8622D" w14:textId="77777777" w:rsidR="00221C59" w:rsidRPr="006B66C9" w:rsidRDefault="00221C59" w:rsidP="00221C59">
            <w:pPr>
              <w:jc w:val="both"/>
              <w:rPr>
                <w:rStyle w:val="fontstyle01"/>
                <w:rFonts w:ascii="Tw Cen MT Condensed" w:hAnsi="Tw Cen MT Condensed"/>
                <w:b w:val="0"/>
                <w:bCs w:val="0"/>
              </w:rPr>
            </w:pPr>
          </w:p>
          <w:p w14:paraId="4C6B27D9" w14:textId="77777777" w:rsidR="00221C59" w:rsidRPr="00902799" w:rsidRDefault="00221C59" w:rsidP="00221C59">
            <w:pPr>
              <w:jc w:val="both"/>
              <w:rPr>
                <w:rStyle w:val="fontstyle01"/>
                <w:rFonts w:ascii="Tw Cen MT Condensed" w:hAnsi="Tw Cen MT Condensed"/>
              </w:rPr>
            </w:pPr>
            <w:r w:rsidRPr="00902799">
              <w:rPr>
                <w:rStyle w:val="fontstyle01"/>
                <w:rFonts w:ascii="Tw Cen MT Condensed" w:hAnsi="Tw Cen MT Condensed"/>
              </w:rPr>
              <w:t>Comments and limitations:</w:t>
            </w:r>
          </w:p>
          <w:p w14:paraId="45E47EF5"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The monitoring and reporting of SDG Indicator 6.3.2 requires considerable national financial and human capacities to regularly measure water quality parameters at sufficient spatial and temporal resolutions, and to consistently collect, quality-assure and process the monitoring data to compute the indicator. Substantial investments in monitoring and data management infrastructures, as well as </w:t>
            </w:r>
            <w:r w:rsidRPr="006B66C9">
              <w:rPr>
                <w:rStyle w:val="fontstyle01"/>
                <w:rFonts w:ascii="Tw Cen MT Condensed" w:hAnsi="Tw Cen MT Condensed"/>
                <w:b w:val="0"/>
                <w:bCs w:val="0"/>
              </w:rPr>
              <w:lastRenderedPageBreak/>
              <w:t xml:space="preserve">targeted capacity development in water quality monitoring programme design and operation, will be required in many countries to enhance national capacities to regularly and consistently report on the indicator. </w:t>
            </w:r>
          </w:p>
          <w:p w14:paraId="69E74FA6" w14:textId="77777777" w:rsidR="00221C59" w:rsidRPr="006B66C9" w:rsidRDefault="00221C59" w:rsidP="00221C59">
            <w:pPr>
              <w:jc w:val="both"/>
              <w:rPr>
                <w:rStyle w:val="fontstyle01"/>
                <w:rFonts w:ascii="Tw Cen MT Condensed" w:hAnsi="Tw Cen MT Condensed"/>
                <w:b w:val="0"/>
                <w:bCs w:val="0"/>
              </w:rPr>
            </w:pPr>
          </w:p>
          <w:p w14:paraId="69E77A8E"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Recognizing the differences in monitoring and data processing capacities among countries, the indicator methodology offers a progressive monitoring approach allowing countries to start with reporting based on their existing capacity and progressively enhance the data coverage and indicator significance with increasing capacity.</w:t>
            </w:r>
          </w:p>
          <w:p w14:paraId="70557EF6"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Level 1 monitoring includes a set of general, easily measurable, physico-chemical water quality parameters that can indicate water quality degradation. They can be used to assess the quality status of water bodies, facilitating global comparability and maintaining a balance between the significance of the indicator and the monitoring requirements for each country. </w:t>
            </w:r>
          </w:p>
          <w:p w14:paraId="1AF49A5B"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Level 2 monitoring allows countries with enhanced capacities to include additional water quality parameters, such as toxic substances and biological monitoring, as well as more sophisticated quality classification schemes to assess and report on the quality of their water bodies more accurately.</w:t>
            </w:r>
          </w:p>
          <w:p w14:paraId="34D2599E" w14:textId="77777777" w:rsidR="00221C59" w:rsidRPr="006B66C9" w:rsidRDefault="00221C59" w:rsidP="00221C59">
            <w:pPr>
              <w:jc w:val="both"/>
              <w:rPr>
                <w:rStyle w:val="fontstyle01"/>
                <w:rFonts w:ascii="Tw Cen MT Condensed" w:hAnsi="Tw Cen MT Condensed"/>
                <w:b w:val="0"/>
                <w:bCs w:val="0"/>
              </w:rPr>
            </w:pPr>
          </w:p>
          <w:p w14:paraId="04C4E3F6" w14:textId="77777777" w:rsidR="00221C59" w:rsidRPr="006B66C9" w:rsidRDefault="00221C59" w:rsidP="00221C59">
            <w:pPr>
              <w:jc w:val="both"/>
              <w:rPr>
                <w:rStyle w:val="fontstyle01"/>
                <w:rFonts w:ascii="Tw Cen MT Condensed" w:hAnsi="Tw Cen MT Condensed"/>
              </w:rPr>
            </w:pPr>
            <w:r w:rsidRPr="006B66C9">
              <w:rPr>
                <w:rStyle w:val="fontstyle01"/>
                <w:rFonts w:ascii="Tw Cen MT Condensed" w:hAnsi="Tw Cen MT Condensed"/>
              </w:rPr>
              <w:t>Computation Method:</w:t>
            </w:r>
          </w:p>
          <w:p w14:paraId="1069F484"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 xml:space="preserve">The indicator is computed by first classifying all assessed water bodies based on the compliance of the monitoring data collected for selected parameters at monitoring locations within the water body with parameter-specific target values: </w:t>
            </w:r>
          </w:p>
          <w:p w14:paraId="701075AD" w14:textId="77777777" w:rsidR="00221C59" w:rsidRDefault="004B4A24" w:rsidP="00221C59">
            <w:pPr>
              <w:jc w:val="both"/>
              <w:rPr>
                <w:rStyle w:val="fontstyle01"/>
                <w:rFonts w:ascii="Tw Cen MT Condensed" w:hAnsi="Tw Cen MT Condensed"/>
                <w:b w:val="0"/>
                <w:bCs w:val="0"/>
              </w:rPr>
            </w:pPr>
            <m:oMathPara>
              <m:oMath>
                <m:sSub>
                  <m:sSubPr>
                    <m:ctrlPr>
                      <w:rPr>
                        <w:rFonts w:ascii="Cambria Math" w:hAnsi="Cambria Math"/>
                        <w:i/>
                        <w:sz w:val="21"/>
                        <w:szCs w:val="21"/>
                        <w:lang w:val="en-IE"/>
                      </w:rPr>
                    </m:ctrlPr>
                  </m:sSubPr>
                  <m:e>
                    <m:r>
                      <w:rPr>
                        <w:rFonts w:ascii="Cambria Math" w:hAnsi="Cambria Math"/>
                        <w:sz w:val="21"/>
                        <w:szCs w:val="21"/>
                        <w:lang w:val="en-IE"/>
                      </w:rPr>
                      <m:t>C</m:t>
                    </m:r>
                  </m:e>
                  <m:sub>
                    <m:r>
                      <w:rPr>
                        <w:rFonts w:ascii="Cambria Math" w:hAnsi="Cambria Math"/>
                        <w:sz w:val="21"/>
                        <w:szCs w:val="21"/>
                        <w:lang w:val="en-IE"/>
                      </w:rPr>
                      <m:t>wq</m:t>
                    </m:r>
                  </m:sub>
                </m:sSub>
                <m:r>
                  <w:rPr>
                    <w:rFonts w:ascii="Cambria Math" w:hAnsi="Cambria Math"/>
                    <w:sz w:val="21"/>
                    <w:szCs w:val="21"/>
                    <w:lang w:val="en-IE"/>
                  </w:rPr>
                  <m:t>=</m:t>
                </m:r>
                <m:f>
                  <m:fPr>
                    <m:ctrlPr>
                      <w:rPr>
                        <w:rFonts w:ascii="Cambria Math" w:hAnsi="Cambria Math"/>
                        <w:i/>
                        <w:sz w:val="21"/>
                        <w:szCs w:val="21"/>
                        <w:lang w:val="en-IE"/>
                      </w:rPr>
                    </m:ctrlPr>
                  </m:fPr>
                  <m:num>
                    <m:sSub>
                      <m:sSubPr>
                        <m:ctrlPr>
                          <w:rPr>
                            <w:rFonts w:ascii="Cambria Math" w:hAnsi="Cambria Math"/>
                            <w:i/>
                            <w:sz w:val="21"/>
                            <w:szCs w:val="21"/>
                            <w:lang w:val="en-IE"/>
                          </w:rPr>
                        </m:ctrlPr>
                      </m:sSubPr>
                      <m:e>
                        <m:r>
                          <w:rPr>
                            <w:rFonts w:ascii="Cambria Math" w:hAnsi="Cambria Math"/>
                            <w:sz w:val="21"/>
                            <w:szCs w:val="21"/>
                            <w:lang w:val="en-IE"/>
                          </w:rPr>
                          <m:t>n</m:t>
                        </m:r>
                      </m:e>
                      <m:sub>
                        <m:r>
                          <w:rPr>
                            <w:rFonts w:ascii="Cambria Math" w:hAnsi="Cambria Math"/>
                            <w:sz w:val="21"/>
                            <w:szCs w:val="21"/>
                            <w:lang w:val="en-IE"/>
                          </w:rPr>
                          <m:t>c</m:t>
                        </m:r>
                      </m:sub>
                    </m:sSub>
                  </m:num>
                  <m:den>
                    <m:sSub>
                      <m:sSubPr>
                        <m:ctrlPr>
                          <w:rPr>
                            <w:rFonts w:ascii="Cambria Math" w:hAnsi="Cambria Math"/>
                            <w:i/>
                            <w:sz w:val="21"/>
                            <w:szCs w:val="21"/>
                            <w:lang w:val="en-IE"/>
                          </w:rPr>
                        </m:ctrlPr>
                      </m:sSubPr>
                      <m:e>
                        <m:r>
                          <w:rPr>
                            <w:rFonts w:ascii="Cambria Math" w:hAnsi="Cambria Math"/>
                            <w:sz w:val="21"/>
                            <w:szCs w:val="21"/>
                            <w:lang w:val="en-IE"/>
                          </w:rPr>
                          <m:t>n</m:t>
                        </m:r>
                      </m:e>
                      <m:sub>
                        <m:r>
                          <w:rPr>
                            <w:rFonts w:ascii="Cambria Math" w:hAnsi="Cambria Math"/>
                            <w:sz w:val="21"/>
                            <w:szCs w:val="21"/>
                            <w:lang w:val="en-IE"/>
                          </w:rPr>
                          <m:t>m</m:t>
                        </m:r>
                      </m:sub>
                    </m:sSub>
                  </m:den>
                </m:f>
                <m:r>
                  <w:rPr>
                    <w:rFonts w:ascii="Cambria Math" w:hAnsi="Cambria Math"/>
                    <w:sz w:val="21"/>
                    <w:szCs w:val="21"/>
                    <w:lang w:val="en-IE"/>
                  </w:rPr>
                  <m:t>×100</m:t>
                </m:r>
              </m:oMath>
            </m:oMathPara>
          </w:p>
          <w:p w14:paraId="427F4E81" w14:textId="77777777" w:rsidR="00221C59" w:rsidRDefault="00221C59" w:rsidP="00221C59">
            <w:pPr>
              <w:jc w:val="both"/>
              <w:rPr>
                <w:rStyle w:val="fontstyle01"/>
                <w:rFonts w:ascii="Tw Cen MT Condensed" w:hAnsi="Tw Cen MT Condensed"/>
                <w:b w:val="0"/>
                <w:bCs w:val="0"/>
              </w:rPr>
            </w:pPr>
          </w:p>
          <w:p w14:paraId="28F390FE"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Where</w:t>
            </w:r>
          </w:p>
          <w:p w14:paraId="230E29DB" w14:textId="5105A748" w:rsidR="00221C59" w:rsidRPr="006B66C9" w:rsidRDefault="004B4A24" w:rsidP="00221C59">
            <w:pPr>
              <w:jc w:val="both"/>
              <w:rPr>
                <w:rStyle w:val="fontstyle01"/>
                <w:rFonts w:ascii="Tw Cen MT Condensed" w:hAnsi="Tw Cen MT Condensed"/>
                <w:b w:val="0"/>
                <w:bCs w:val="0"/>
              </w:rPr>
            </w:pPr>
            <m:oMath>
              <m:sSub>
                <m:sSubPr>
                  <m:ctrlPr>
                    <w:rPr>
                      <w:rFonts w:ascii="Cambria Math" w:hAnsi="Cambria Math"/>
                      <w:i/>
                      <w:sz w:val="21"/>
                      <w:szCs w:val="21"/>
                      <w:lang w:val="en-IE"/>
                    </w:rPr>
                  </m:ctrlPr>
                </m:sSubPr>
                <m:e>
                  <m:r>
                    <w:rPr>
                      <w:rFonts w:ascii="Cambria Math" w:hAnsi="Cambria Math"/>
                      <w:sz w:val="21"/>
                      <w:szCs w:val="21"/>
                      <w:lang w:val="en-IE"/>
                    </w:rPr>
                    <m:t>C</m:t>
                  </m:r>
                </m:e>
                <m:sub>
                  <m:r>
                    <w:rPr>
                      <w:rFonts w:ascii="Cambria Math" w:hAnsi="Cambria Math"/>
                      <w:sz w:val="21"/>
                      <w:szCs w:val="21"/>
                      <w:lang w:val="en-IE"/>
                    </w:rPr>
                    <m:t>wq</m:t>
                  </m:r>
                </m:sub>
              </m:sSub>
            </m:oMath>
            <w:r w:rsidR="00221C59" w:rsidRPr="006B66C9">
              <w:rPr>
                <w:rStyle w:val="fontstyle01"/>
                <w:rFonts w:ascii="Tw Cen MT Condensed" w:hAnsi="Tw Cen MT Condensed"/>
                <w:b w:val="0"/>
                <w:bCs w:val="0"/>
              </w:rPr>
              <w:t>is the percentage compliance [%];</w:t>
            </w:r>
          </w:p>
          <w:p w14:paraId="71687845" w14:textId="60EF4853" w:rsidR="00221C59" w:rsidRPr="006B66C9" w:rsidRDefault="004B4A24" w:rsidP="00221C59">
            <w:pPr>
              <w:jc w:val="both"/>
              <w:rPr>
                <w:rStyle w:val="fontstyle01"/>
                <w:rFonts w:ascii="Tw Cen MT Condensed" w:hAnsi="Tw Cen MT Condensed"/>
                <w:b w:val="0"/>
                <w:bCs w:val="0"/>
              </w:rPr>
            </w:pPr>
            <m:oMath>
              <m:sSub>
                <m:sSubPr>
                  <m:ctrlPr>
                    <w:rPr>
                      <w:rFonts w:ascii="Cambria Math" w:hAnsi="Cambria Math"/>
                      <w:i/>
                      <w:sz w:val="21"/>
                      <w:szCs w:val="21"/>
                      <w:lang w:val="en-IE"/>
                    </w:rPr>
                  </m:ctrlPr>
                </m:sSubPr>
                <m:e>
                  <m:r>
                    <w:rPr>
                      <w:rFonts w:ascii="Cambria Math" w:hAnsi="Cambria Math"/>
                      <w:sz w:val="21"/>
                      <w:szCs w:val="21"/>
                      <w:lang w:val="en-IE"/>
                    </w:rPr>
                    <m:t>n</m:t>
                  </m:r>
                </m:e>
                <m:sub>
                  <m:r>
                    <w:rPr>
                      <w:rFonts w:ascii="Cambria Math" w:hAnsi="Cambria Math"/>
                      <w:sz w:val="21"/>
                      <w:szCs w:val="21"/>
                      <w:lang w:val="en-IE"/>
                    </w:rPr>
                    <m:t>c</m:t>
                  </m:r>
                </m:sub>
              </m:sSub>
            </m:oMath>
            <w:r w:rsidR="00221C59" w:rsidRPr="006B66C9">
              <w:rPr>
                <w:rStyle w:val="fontstyle01"/>
                <w:rFonts w:ascii="Tw Cen MT Condensed" w:hAnsi="Tw Cen MT Condensed"/>
                <w:b w:val="0"/>
                <w:bCs w:val="0"/>
              </w:rPr>
              <w:t>is the number of monitoring values in compliance with the target values;</w:t>
            </w:r>
          </w:p>
          <w:p w14:paraId="4FDAD45E" w14:textId="56B689D1" w:rsidR="00221C59" w:rsidRPr="006B66C9" w:rsidRDefault="004B4A24" w:rsidP="00221C59">
            <w:pPr>
              <w:jc w:val="both"/>
              <w:rPr>
                <w:rStyle w:val="fontstyle01"/>
                <w:rFonts w:ascii="Tw Cen MT Condensed" w:hAnsi="Tw Cen MT Condensed"/>
                <w:b w:val="0"/>
                <w:bCs w:val="0"/>
              </w:rPr>
            </w:pPr>
            <m:oMath>
              <m:sSub>
                <m:sSubPr>
                  <m:ctrlPr>
                    <w:rPr>
                      <w:rFonts w:ascii="Cambria Math" w:hAnsi="Cambria Math"/>
                      <w:i/>
                      <w:sz w:val="21"/>
                      <w:szCs w:val="21"/>
                      <w:lang w:val="en-IE"/>
                    </w:rPr>
                  </m:ctrlPr>
                </m:sSubPr>
                <m:e>
                  <m:r>
                    <w:rPr>
                      <w:rFonts w:ascii="Cambria Math" w:hAnsi="Cambria Math"/>
                      <w:sz w:val="21"/>
                      <w:szCs w:val="21"/>
                      <w:lang w:val="en-IE"/>
                    </w:rPr>
                    <m:t>n</m:t>
                  </m:r>
                </m:e>
                <m:sub>
                  <m:r>
                    <w:rPr>
                      <w:rFonts w:ascii="Cambria Math" w:hAnsi="Cambria Math"/>
                      <w:sz w:val="21"/>
                      <w:szCs w:val="21"/>
                      <w:lang w:val="en-IE"/>
                    </w:rPr>
                    <m:t>m</m:t>
                  </m:r>
                </m:sub>
              </m:sSub>
            </m:oMath>
            <w:proofErr w:type="gramStart"/>
            <w:r w:rsidR="00221C59" w:rsidRPr="006B66C9">
              <w:rPr>
                <w:rStyle w:val="fontstyle01"/>
                <w:rFonts w:ascii="Tw Cen MT Condensed" w:hAnsi="Tw Cen MT Condensed"/>
                <w:b w:val="0"/>
                <w:bCs w:val="0"/>
              </w:rPr>
              <w:t>is</w:t>
            </w:r>
            <w:proofErr w:type="gramEnd"/>
            <w:r w:rsidR="00221C59" w:rsidRPr="006B66C9">
              <w:rPr>
                <w:rStyle w:val="fontstyle01"/>
                <w:rFonts w:ascii="Tw Cen MT Condensed" w:hAnsi="Tw Cen MT Condensed"/>
                <w:b w:val="0"/>
                <w:bCs w:val="0"/>
              </w:rPr>
              <w:t xml:space="preserve"> the total number of monitoring values.</w:t>
            </w:r>
          </w:p>
          <w:p w14:paraId="19120A2B"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A threshold value of 80% compliance is defined to classify water bodies as “good” quality. Thus, a body of water is classified as having a good quality status if at least 80% of all monitoring data from all monitoring stations within the water body are in compliance with the respective targets.</w:t>
            </w:r>
          </w:p>
          <w:p w14:paraId="641CDC4D" w14:textId="77777777" w:rsidR="00221C59" w:rsidRPr="006B66C9" w:rsidRDefault="00221C59" w:rsidP="00221C59">
            <w:pPr>
              <w:jc w:val="both"/>
              <w:rPr>
                <w:rStyle w:val="fontstyle01"/>
                <w:rFonts w:ascii="Tw Cen MT Condensed" w:hAnsi="Tw Cen MT Condensed"/>
                <w:b w:val="0"/>
                <w:bCs w:val="0"/>
              </w:rPr>
            </w:pPr>
          </w:p>
          <w:p w14:paraId="423C5728" w14:textId="77777777" w:rsidR="00221C59" w:rsidRPr="006B66C9" w:rsidRDefault="00221C59" w:rsidP="00221C59">
            <w:pPr>
              <w:jc w:val="both"/>
              <w:rPr>
                <w:rStyle w:val="fontstyle01"/>
                <w:rFonts w:ascii="Tw Cen MT Condensed" w:hAnsi="Tw Cen MT Condensed"/>
                <w:b w:val="0"/>
                <w:bCs w:val="0"/>
              </w:rPr>
            </w:pPr>
            <w:r w:rsidRPr="006B66C9">
              <w:rPr>
                <w:rStyle w:val="fontstyle01"/>
                <w:rFonts w:ascii="Tw Cen MT Condensed" w:hAnsi="Tw Cen MT Condensed"/>
                <w:b w:val="0"/>
                <w:bCs w:val="0"/>
              </w:rPr>
              <w:t>In a second step, the classification results are used to compute the indicator as the proportion of the number of water bodies classified as having a good quality status to the total number of classified water bodies expressed in percentage:</w:t>
            </w:r>
          </w:p>
          <w:p w14:paraId="31405079" w14:textId="1B361C89" w:rsidR="00221C59" w:rsidRPr="006B66C9" w:rsidRDefault="00221C59" w:rsidP="00221C59">
            <w:pPr>
              <w:jc w:val="both"/>
              <w:rPr>
                <w:rStyle w:val="fontstyle01"/>
                <w:rFonts w:ascii="Tw Cen MT Condensed" w:hAnsi="Tw Cen MT Condensed"/>
                <w:b w:val="0"/>
                <w:bCs w:val="0"/>
              </w:rPr>
            </w:pPr>
            <m:oMath>
              <m:r>
                <w:rPr>
                  <w:rFonts w:ascii="Cambria Math" w:hAnsi="Cambria Math"/>
                  <w:sz w:val="21"/>
                  <w:szCs w:val="21"/>
                  <w:lang w:val="en-IE"/>
                </w:rPr>
                <m:t xml:space="preserve">WBGQ  = </m:t>
              </m:r>
              <m:f>
                <m:fPr>
                  <m:ctrlPr>
                    <w:rPr>
                      <w:rFonts w:ascii="Cambria Math" w:hAnsi="Cambria Math"/>
                      <w:i/>
                      <w:sz w:val="21"/>
                      <w:szCs w:val="21"/>
                      <w:lang w:val="en-IE"/>
                    </w:rPr>
                  </m:ctrlPr>
                </m:fPr>
                <m:num>
                  <m:sSub>
                    <m:sSubPr>
                      <m:ctrlPr>
                        <w:rPr>
                          <w:rFonts w:ascii="Cambria Math" w:hAnsi="Cambria Math"/>
                          <w:sz w:val="21"/>
                          <w:szCs w:val="21"/>
                          <w:lang w:val="en-IE"/>
                        </w:rPr>
                      </m:ctrlPr>
                    </m:sSubPr>
                    <m:e>
                      <m:r>
                        <w:rPr>
                          <w:rFonts w:ascii="Cambria Math" w:hAnsi="Cambria Math"/>
                          <w:sz w:val="21"/>
                          <w:szCs w:val="21"/>
                          <w:lang w:val="en-IE"/>
                        </w:rPr>
                        <m:t>n</m:t>
                      </m:r>
                    </m:e>
                    <m:sub>
                      <m:r>
                        <w:rPr>
                          <w:rFonts w:ascii="Cambria Math" w:hAnsi="Cambria Math"/>
                          <w:sz w:val="21"/>
                          <w:szCs w:val="21"/>
                          <w:lang w:val="en-IE"/>
                        </w:rPr>
                        <m:t>g</m:t>
                      </m:r>
                    </m:sub>
                  </m:sSub>
                </m:num>
                <m:den>
                  <m:sSub>
                    <m:sSubPr>
                      <m:ctrlPr>
                        <w:rPr>
                          <w:rFonts w:ascii="Cambria Math" w:hAnsi="Cambria Math"/>
                          <w:i/>
                          <w:sz w:val="21"/>
                          <w:szCs w:val="21"/>
                          <w:lang w:val="en-IE"/>
                        </w:rPr>
                      </m:ctrlPr>
                    </m:sSubPr>
                    <m:e>
                      <m:r>
                        <w:rPr>
                          <w:rFonts w:ascii="Cambria Math" w:hAnsi="Cambria Math"/>
                          <w:sz w:val="21"/>
                          <w:szCs w:val="21"/>
                          <w:lang w:val="en-IE"/>
                        </w:rPr>
                        <m:t>n</m:t>
                      </m:r>
                    </m:e>
                    <m:sub>
                      <m:r>
                        <w:rPr>
                          <w:rFonts w:ascii="Cambria Math" w:hAnsi="Cambria Math"/>
                          <w:sz w:val="21"/>
                          <w:szCs w:val="21"/>
                          <w:lang w:val="en-IE"/>
                        </w:rPr>
                        <m:t>t</m:t>
                      </m:r>
                    </m:sub>
                  </m:sSub>
                </m:den>
              </m:f>
              <m:r>
                <w:rPr>
                  <w:rFonts w:ascii="Cambria Math" w:hAnsi="Cambria Math"/>
                  <w:sz w:val="21"/>
                  <w:szCs w:val="21"/>
                  <w:lang w:val="en-IE"/>
                </w:rPr>
                <m:t>×100</m:t>
              </m:r>
            </m:oMath>
            <w:r w:rsidRPr="006B66C9">
              <w:rPr>
                <w:rStyle w:val="fontstyle01"/>
                <w:rFonts w:ascii="Tw Cen MT Condensed" w:hAnsi="Tw Cen MT Condensed"/>
                <w:b w:val="0"/>
                <w:bCs w:val="0"/>
              </w:rPr>
              <w:t>Where</w:t>
            </w:r>
          </w:p>
          <w:p w14:paraId="0B5BFE8A" w14:textId="05F1860B" w:rsidR="00221C59" w:rsidRPr="006B66C9" w:rsidRDefault="00221C59" w:rsidP="00221C59">
            <w:pPr>
              <w:jc w:val="both"/>
              <w:rPr>
                <w:rStyle w:val="fontstyle01"/>
                <w:rFonts w:ascii="Tw Cen MT Condensed" w:hAnsi="Tw Cen MT Condensed"/>
                <w:b w:val="0"/>
                <w:bCs w:val="0"/>
              </w:rPr>
            </w:pPr>
            <m:oMath>
              <m:r>
                <w:rPr>
                  <w:rFonts w:ascii="Cambria Math" w:hAnsi="Cambria Math"/>
                  <w:sz w:val="21"/>
                  <w:szCs w:val="21"/>
                  <w:lang w:val="en-IE"/>
                </w:rPr>
                <m:t>WBGQ</m:t>
              </m:r>
            </m:oMath>
            <w:r w:rsidRPr="006B66C9">
              <w:rPr>
                <w:rStyle w:val="fontstyle01"/>
                <w:rFonts w:ascii="Tw Cen MT Condensed" w:hAnsi="Tw Cen MT Condensed"/>
                <w:b w:val="0"/>
                <w:bCs w:val="0"/>
              </w:rPr>
              <w:t xml:space="preserve">  is the percentage of water bodies classified as having a good quality status;</w:t>
            </w:r>
          </w:p>
          <w:p w14:paraId="634099AC" w14:textId="1DB01868" w:rsidR="00221C59" w:rsidRPr="006B66C9" w:rsidRDefault="004B4A24" w:rsidP="00221C59">
            <w:pPr>
              <w:jc w:val="both"/>
              <w:rPr>
                <w:rStyle w:val="fontstyle01"/>
                <w:rFonts w:ascii="Tw Cen MT Condensed" w:hAnsi="Tw Cen MT Condensed"/>
                <w:b w:val="0"/>
                <w:bCs w:val="0"/>
              </w:rPr>
            </w:pPr>
            <m:oMath>
              <m:sSub>
                <m:sSubPr>
                  <m:ctrlPr>
                    <w:rPr>
                      <w:rFonts w:ascii="Cambria Math" w:hAnsi="Cambria Math"/>
                      <w:i/>
                      <w:sz w:val="21"/>
                      <w:szCs w:val="21"/>
                      <w:lang w:val="en-IE"/>
                    </w:rPr>
                  </m:ctrlPr>
                </m:sSubPr>
                <m:e>
                  <m:r>
                    <w:rPr>
                      <w:rFonts w:ascii="Cambria Math" w:hAnsi="Cambria Math"/>
                      <w:sz w:val="21"/>
                      <w:szCs w:val="21"/>
                      <w:lang w:val="en-IE"/>
                    </w:rPr>
                    <m:t>n</m:t>
                  </m:r>
                </m:e>
                <m:sub>
                  <m:r>
                    <w:rPr>
                      <w:rFonts w:ascii="Cambria Math" w:hAnsi="Cambria Math"/>
                      <w:sz w:val="21"/>
                      <w:szCs w:val="21"/>
                      <w:lang w:val="en-IE"/>
                    </w:rPr>
                    <m:t>g</m:t>
                  </m:r>
                </m:sub>
              </m:sSub>
            </m:oMath>
            <w:r w:rsidR="00221C59" w:rsidRPr="006B66C9">
              <w:rPr>
                <w:rStyle w:val="fontstyle01"/>
                <w:rFonts w:ascii="Tw Cen MT Condensed" w:hAnsi="Tw Cen MT Condensed"/>
                <w:b w:val="0"/>
                <w:bCs w:val="0"/>
              </w:rPr>
              <w:t>is the number of classified water bodies classified as having a good quality status;</w:t>
            </w:r>
          </w:p>
          <w:p w14:paraId="40543566" w14:textId="07A52168" w:rsidR="00221C59" w:rsidRPr="006B66C9" w:rsidRDefault="004B4A24" w:rsidP="00221C59">
            <w:pPr>
              <w:jc w:val="both"/>
              <w:rPr>
                <w:rStyle w:val="fontstyle01"/>
                <w:rFonts w:ascii="Tw Cen MT Condensed" w:hAnsi="Tw Cen MT Condensed"/>
                <w:b w:val="0"/>
                <w:bCs w:val="0"/>
              </w:rPr>
            </w:pPr>
            <m:oMath>
              <m:sSub>
                <m:sSubPr>
                  <m:ctrlPr>
                    <w:rPr>
                      <w:rFonts w:ascii="Cambria Math" w:hAnsi="Cambria Math"/>
                      <w:i/>
                      <w:sz w:val="21"/>
                      <w:szCs w:val="21"/>
                      <w:lang w:val="en-IE"/>
                    </w:rPr>
                  </m:ctrlPr>
                </m:sSubPr>
                <m:e>
                  <m:r>
                    <w:rPr>
                      <w:rFonts w:ascii="Cambria Math" w:hAnsi="Cambria Math"/>
                      <w:sz w:val="21"/>
                      <w:szCs w:val="21"/>
                      <w:lang w:val="en-IE"/>
                    </w:rPr>
                    <m:t>n</m:t>
                  </m:r>
                </m:e>
                <m:sub>
                  <m:r>
                    <w:rPr>
                      <w:rFonts w:ascii="Cambria Math" w:hAnsi="Cambria Math"/>
                      <w:sz w:val="21"/>
                      <w:szCs w:val="21"/>
                      <w:lang w:val="en-IE"/>
                    </w:rPr>
                    <m:t>t</m:t>
                  </m:r>
                </m:sub>
              </m:sSub>
            </m:oMath>
            <w:r w:rsidR="00221C59" w:rsidRPr="006B66C9">
              <w:rPr>
                <w:rStyle w:val="fontstyle01"/>
                <w:rFonts w:ascii="Tw Cen MT Condensed" w:hAnsi="Tw Cen MT Condensed"/>
                <w:b w:val="0"/>
                <w:bCs w:val="0"/>
              </w:rPr>
              <w:t xml:space="preserve"> </w:t>
            </w:r>
            <w:proofErr w:type="gramStart"/>
            <w:r w:rsidR="00221C59" w:rsidRPr="006B66C9">
              <w:rPr>
                <w:rStyle w:val="fontstyle01"/>
                <w:rFonts w:ascii="Tw Cen MT Condensed" w:hAnsi="Tw Cen MT Condensed"/>
                <w:b w:val="0"/>
                <w:bCs w:val="0"/>
              </w:rPr>
              <w:t>is</w:t>
            </w:r>
            <w:proofErr w:type="gramEnd"/>
            <w:r w:rsidR="00221C59" w:rsidRPr="006B66C9">
              <w:rPr>
                <w:rStyle w:val="fontstyle01"/>
                <w:rFonts w:ascii="Tw Cen MT Condensed" w:hAnsi="Tw Cen MT Condensed"/>
                <w:b w:val="0"/>
                <w:bCs w:val="0"/>
              </w:rPr>
              <w:t xml:space="preserve"> the total number of monitored and classified water bodies.</w:t>
            </w:r>
          </w:p>
          <w:p w14:paraId="59841BEE" w14:textId="5654CCE1" w:rsidR="00221C59" w:rsidRPr="006B66C9" w:rsidRDefault="00221C59" w:rsidP="00221C59">
            <w:pPr>
              <w:jc w:val="both"/>
              <w:rPr>
                <w:rStyle w:val="fontstyle01"/>
                <w:rFonts w:ascii="Tw Cen MT Condensed" w:hAnsi="Tw Cen MT Condensed"/>
                <w:b w:val="0"/>
                <w:bCs w:val="0"/>
              </w:rPr>
            </w:pPr>
          </w:p>
        </w:tc>
        <w:tc>
          <w:tcPr>
            <w:tcW w:w="0" w:type="auto"/>
            <w:shd w:val="clear" w:color="auto" w:fill="auto"/>
          </w:tcPr>
          <w:p w14:paraId="3C306E93" w14:textId="77777777" w:rsidR="00221C59" w:rsidRPr="00C67450" w:rsidRDefault="00221C59" w:rsidP="00221C59">
            <w:pPr>
              <w:pStyle w:val="NoSpacing"/>
            </w:pPr>
            <w:r>
              <w:rPr>
                <w:lang w:eastAsia="en-GB"/>
              </w:rPr>
              <w:lastRenderedPageBreak/>
              <w:t>The data will be collected by UN Environment and its Global Environment Monitoring System for Water (GEMS/Water) through electronic reporting in the global water quality information system GEMStat.</w:t>
            </w:r>
          </w:p>
        </w:tc>
        <w:tc>
          <w:tcPr>
            <w:tcW w:w="0" w:type="auto"/>
            <w:shd w:val="clear" w:color="auto" w:fill="auto"/>
          </w:tcPr>
          <w:p w14:paraId="290ED392" w14:textId="77777777" w:rsidR="00221C59" w:rsidRDefault="00221C59" w:rsidP="00221C59">
            <w:pPr>
              <w:rPr>
                <w:bCs/>
                <w:szCs w:val="20"/>
              </w:rPr>
            </w:pPr>
            <w:r w:rsidRPr="009F2258">
              <w:rPr>
                <w:bCs/>
                <w:szCs w:val="20"/>
              </w:rPr>
              <w:t xml:space="preserve">GEMS/Water National Focal Points in relevant Ministries, Water Authorities, etc. </w:t>
            </w:r>
          </w:p>
          <w:p w14:paraId="38D75D88" w14:textId="77777777" w:rsidR="00221C59" w:rsidRDefault="00221C59" w:rsidP="00221C59">
            <w:pPr>
              <w:rPr>
                <w:bCs/>
                <w:szCs w:val="20"/>
              </w:rPr>
            </w:pPr>
          </w:p>
          <w:p w14:paraId="392C0DE9" w14:textId="77777777" w:rsidR="00221C59" w:rsidRPr="009F2258" w:rsidRDefault="00221C59" w:rsidP="00221C59">
            <w:pPr>
              <w:rPr>
                <w:bCs/>
                <w:szCs w:val="20"/>
              </w:rPr>
            </w:pPr>
            <w:proofErr w:type="gramStart"/>
            <w:r w:rsidRPr="009F2258">
              <w:rPr>
                <w:bCs/>
                <w:szCs w:val="20"/>
              </w:rPr>
              <w:t>or</w:t>
            </w:r>
            <w:proofErr w:type="gramEnd"/>
            <w:r w:rsidRPr="009F2258">
              <w:rPr>
                <w:bCs/>
                <w:szCs w:val="20"/>
              </w:rPr>
              <w:t xml:space="preserve"> their nominated representative.</w:t>
            </w:r>
          </w:p>
        </w:tc>
        <w:tc>
          <w:tcPr>
            <w:tcW w:w="0" w:type="auto"/>
            <w:shd w:val="clear" w:color="auto" w:fill="auto"/>
          </w:tcPr>
          <w:p w14:paraId="6A1E85E0" w14:textId="39242527" w:rsidR="00221C59" w:rsidRPr="001904F6" w:rsidRDefault="00EA61B2" w:rsidP="00221C59">
            <w:pPr>
              <w:jc w:val="center"/>
              <w:rPr>
                <w:szCs w:val="20"/>
              </w:rPr>
            </w:pPr>
            <w:r>
              <w:rPr>
                <w:szCs w:val="20"/>
              </w:rPr>
              <w:t>Data not generated yet</w:t>
            </w:r>
          </w:p>
        </w:tc>
        <w:tc>
          <w:tcPr>
            <w:tcW w:w="0" w:type="auto"/>
            <w:shd w:val="clear" w:color="auto" w:fill="auto"/>
          </w:tcPr>
          <w:p w14:paraId="74BBF2FC" w14:textId="1BA54472" w:rsidR="00221C59" w:rsidRPr="007243FC" w:rsidRDefault="00221C59" w:rsidP="00EA61B2">
            <w:pPr>
              <w:rPr>
                <w:rFonts w:eastAsia="Times New Roman" w:cs="Times New Roman"/>
                <w:color w:val="000000" w:themeColor="text1"/>
                <w:szCs w:val="20"/>
              </w:rPr>
            </w:pPr>
            <w:r w:rsidRPr="00DD55E8">
              <w:rPr>
                <w:rFonts w:eastAsia="Times New Roman" w:cs="Times New Roman"/>
                <w:color w:val="000000" w:themeColor="text1"/>
                <w:szCs w:val="20"/>
              </w:rPr>
              <w:t>Water Quality Monitoring</w:t>
            </w:r>
            <w:r>
              <w:rPr>
                <w:rFonts w:eastAsia="Times New Roman" w:cs="Times New Roman"/>
                <w:color w:val="000000" w:themeColor="text1"/>
                <w:szCs w:val="20"/>
              </w:rPr>
              <w:t xml:space="preserve"> Survey</w:t>
            </w:r>
            <w:r w:rsidR="00EA61B2">
              <w:rPr>
                <w:rFonts w:eastAsia="Times New Roman" w:cs="Times New Roman"/>
                <w:color w:val="000000" w:themeColor="text1"/>
                <w:szCs w:val="20"/>
              </w:rPr>
              <w:t xml:space="preserve"> </w:t>
            </w:r>
            <w:r w:rsidR="00EA61B2" w:rsidRPr="00EA61B2">
              <w:rPr>
                <w:rFonts w:eastAsia="Times New Roman" w:cs="Times New Roman"/>
                <w:color w:val="000000" w:themeColor="text1"/>
                <w:szCs w:val="20"/>
              </w:rPr>
              <w:t xml:space="preserve">by </w:t>
            </w:r>
            <w:r w:rsidRPr="00EA61B2">
              <w:rPr>
                <w:rFonts w:eastAsia="Times New Roman" w:cs="Times New Roman"/>
                <w:szCs w:val="20"/>
              </w:rPr>
              <w:t xml:space="preserve">DoE, </w:t>
            </w:r>
            <w:r w:rsidRPr="00EA61B2">
              <w:rPr>
                <w:rFonts w:eastAsia="Times New Roman" w:cs="Times New Roman"/>
                <w:bCs/>
                <w:szCs w:val="20"/>
              </w:rPr>
              <w:t>MoEFCC</w:t>
            </w:r>
          </w:p>
        </w:tc>
        <w:tc>
          <w:tcPr>
            <w:tcW w:w="0" w:type="auto"/>
            <w:shd w:val="clear" w:color="auto" w:fill="auto"/>
          </w:tcPr>
          <w:p w14:paraId="102A4F2D" w14:textId="77777777" w:rsidR="00FE053A" w:rsidRDefault="00FE053A" w:rsidP="000C4849">
            <w:pPr>
              <w:pStyle w:val="ListParagraph"/>
              <w:numPr>
                <w:ilvl w:val="0"/>
                <w:numId w:val="48"/>
              </w:numPr>
              <w:spacing w:after="0" w:line="240" w:lineRule="auto"/>
              <w:ind w:left="160" w:hanging="160"/>
            </w:pPr>
            <w:r w:rsidRPr="00FE053A">
              <w:rPr>
                <w:rFonts w:ascii="Tw Cen MT Condensed" w:hAnsi="Tw Cen MT Condensed"/>
              </w:rPr>
              <w:t>water body type (river, lake, groundwater)</w:t>
            </w:r>
          </w:p>
          <w:p w14:paraId="6965A5BB" w14:textId="422C2E1D" w:rsidR="00FE053A" w:rsidRPr="00FE053A" w:rsidRDefault="00FE053A" w:rsidP="000C4849">
            <w:pPr>
              <w:pStyle w:val="ListParagraph"/>
              <w:numPr>
                <w:ilvl w:val="0"/>
                <w:numId w:val="48"/>
              </w:numPr>
              <w:spacing w:after="0" w:line="240" w:lineRule="auto"/>
              <w:ind w:left="160" w:hanging="160"/>
            </w:pPr>
            <w:r>
              <w:rPr>
                <w:rFonts w:ascii="Tw Cen MT Condensed" w:hAnsi="Tw Cen MT Condensed"/>
              </w:rPr>
              <w:t>By district/division</w:t>
            </w:r>
          </w:p>
        </w:tc>
        <w:tc>
          <w:tcPr>
            <w:tcW w:w="0" w:type="auto"/>
            <w:shd w:val="clear" w:color="auto" w:fill="auto"/>
          </w:tcPr>
          <w:p w14:paraId="7B93DE42" w14:textId="77777777" w:rsidR="00221C59" w:rsidRPr="007243FC" w:rsidRDefault="00221C59" w:rsidP="00221C59">
            <w:pPr>
              <w:rPr>
                <w:szCs w:val="20"/>
              </w:rPr>
            </w:pPr>
            <w:r w:rsidRPr="00BC6F10">
              <w:t>Triennial</w:t>
            </w:r>
          </w:p>
        </w:tc>
        <w:tc>
          <w:tcPr>
            <w:tcW w:w="0" w:type="auto"/>
            <w:shd w:val="clear" w:color="auto" w:fill="auto"/>
          </w:tcPr>
          <w:p w14:paraId="72C27652"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2</w:t>
            </w:r>
          </w:p>
          <w:p w14:paraId="29421ACE"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vAlign w:val="center"/>
          </w:tcPr>
          <w:p w14:paraId="680B23C8" w14:textId="77777777" w:rsidR="00221C59" w:rsidRDefault="00221C59" w:rsidP="00221C59">
            <w:pPr>
              <w:pStyle w:val="NoSpacing"/>
            </w:pPr>
            <w:r>
              <w:t>1</w:t>
            </w:r>
            <w:r w:rsidRPr="00013ACB">
              <w:rPr>
                <w:vertAlign w:val="superscript"/>
              </w:rPr>
              <w:t>st</w:t>
            </w:r>
            <w:r>
              <w:t xml:space="preserve"> Round: </w:t>
            </w:r>
          </w:p>
          <w:p w14:paraId="0E688C6C" w14:textId="77777777" w:rsidR="00221C59" w:rsidRDefault="00221C59" w:rsidP="00221C59">
            <w:pPr>
              <w:pStyle w:val="NoSpacing"/>
            </w:pPr>
            <w:r>
              <w:t>December, 2020</w:t>
            </w:r>
          </w:p>
          <w:p w14:paraId="5BDFB9C3" w14:textId="77777777" w:rsidR="00221C59" w:rsidRDefault="00221C59" w:rsidP="00221C59">
            <w:pPr>
              <w:pStyle w:val="NoSpacing"/>
            </w:pPr>
          </w:p>
          <w:p w14:paraId="30E66653" w14:textId="77777777" w:rsidR="00221C59" w:rsidRDefault="00221C59" w:rsidP="00221C59">
            <w:pPr>
              <w:pStyle w:val="NoSpacing"/>
            </w:pPr>
            <w:r>
              <w:t>2</w:t>
            </w:r>
            <w:r w:rsidRPr="00013ACB">
              <w:rPr>
                <w:vertAlign w:val="superscript"/>
              </w:rPr>
              <w:t>nd</w:t>
            </w:r>
            <w:r>
              <w:t xml:space="preserve"> Round: </w:t>
            </w:r>
          </w:p>
          <w:p w14:paraId="11F05AFE" w14:textId="77777777" w:rsidR="00221C59" w:rsidRDefault="00221C59" w:rsidP="00221C59">
            <w:pPr>
              <w:pStyle w:val="NoSpacing"/>
            </w:pPr>
            <w:r>
              <w:t>December, 2023</w:t>
            </w:r>
          </w:p>
          <w:p w14:paraId="4CDF77C6" w14:textId="77777777" w:rsidR="00221C59" w:rsidRDefault="00221C59" w:rsidP="00221C59">
            <w:pPr>
              <w:pStyle w:val="NoSpacing"/>
            </w:pPr>
          </w:p>
          <w:p w14:paraId="3402B4EE" w14:textId="77777777" w:rsidR="00221C59" w:rsidRDefault="00221C59" w:rsidP="00221C59">
            <w:pPr>
              <w:pStyle w:val="NoSpacing"/>
            </w:pPr>
            <w:r>
              <w:t>3</w:t>
            </w:r>
            <w:r w:rsidRPr="00013ACB">
              <w:rPr>
                <w:vertAlign w:val="superscript"/>
              </w:rPr>
              <w:t>rd</w:t>
            </w:r>
            <w:r>
              <w:t xml:space="preserve"> Round: </w:t>
            </w:r>
          </w:p>
          <w:p w14:paraId="66E3EBAB" w14:textId="77777777" w:rsidR="00221C59" w:rsidRDefault="00221C59" w:rsidP="00221C59">
            <w:pPr>
              <w:pStyle w:val="NoSpacing"/>
            </w:pPr>
            <w:r>
              <w:t>December, 2026</w:t>
            </w:r>
          </w:p>
          <w:p w14:paraId="50D4FDD3" w14:textId="77777777" w:rsidR="00221C59" w:rsidRDefault="00221C59" w:rsidP="00221C59">
            <w:pPr>
              <w:pStyle w:val="NoSpacing"/>
            </w:pPr>
          </w:p>
          <w:p w14:paraId="161A676A" w14:textId="77777777" w:rsidR="00221C59" w:rsidRDefault="00221C59" w:rsidP="00221C59">
            <w:pPr>
              <w:pStyle w:val="NoSpacing"/>
            </w:pPr>
            <w:r>
              <w:t>4</w:t>
            </w:r>
            <w:r w:rsidRPr="00013ACB">
              <w:rPr>
                <w:vertAlign w:val="superscript"/>
              </w:rPr>
              <w:t>th</w:t>
            </w:r>
            <w:r>
              <w:t xml:space="preserve"> Round: </w:t>
            </w:r>
          </w:p>
          <w:p w14:paraId="0DFE063B" w14:textId="77777777" w:rsidR="00221C59" w:rsidRDefault="00221C59" w:rsidP="00221C59">
            <w:pPr>
              <w:pStyle w:val="NoSpacing"/>
            </w:pPr>
            <w:r>
              <w:t>December, 2029</w:t>
            </w:r>
          </w:p>
          <w:p w14:paraId="6541CC2A" w14:textId="77777777" w:rsidR="00221C59" w:rsidRDefault="00221C59" w:rsidP="00221C59">
            <w:pPr>
              <w:pStyle w:val="NoSpacing"/>
            </w:pPr>
          </w:p>
          <w:p w14:paraId="28425315" w14:textId="77777777" w:rsidR="00221C59" w:rsidRDefault="00221C59" w:rsidP="00221C59">
            <w:pPr>
              <w:pStyle w:val="NoSpacing"/>
            </w:pPr>
            <w:r>
              <w:t>5</w:t>
            </w:r>
            <w:r w:rsidRPr="00013ACB">
              <w:rPr>
                <w:vertAlign w:val="superscript"/>
              </w:rPr>
              <w:t>th</w:t>
            </w:r>
            <w:r>
              <w:t xml:space="preserve"> Round: </w:t>
            </w:r>
          </w:p>
          <w:p w14:paraId="137A0EB8" w14:textId="77777777" w:rsidR="00221C59" w:rsidRDefault="00221C59" w:rsidP="00221C59">
            <w:pPr>
              <w:pStyle w:val="NoSpacing"/>
            </w:pPr>
            <w:r>
              <w:t>December, 2030</w:t>
            </w:r>
          </w:p>
          <w:p w14:paraId="4C936443" w14:textId="2C05066F" w:rsidR="00221C59" w:rsidRPr="003457F9" w:rsidRDefault="00221C59" w:rsidP="00221C59">
            <w:pPr>
              <w:rPr>
                <w:sz w:val="18"/>
                <w:szCs w:val="18"/>
              </w:rPr>
            </w:pPr>
          </w:p>
        </w:tc>
        <w:tc>
          <w:tcPr>
            <w:tcW w:w="0" w:type="auto"/>
            <w:shd w:val="clear" w:color="auto" w:fill="auto"/>
          </w:tcPr>
          <w:p w14:paraId="4D7A39C0" w14:textId="77777777" w:rsidR="00221C59" w:rsidRPr="008625E5" w:rsidRDefault="00221C59" w:rsidP="00221C59">
            <w:pPr>
              <w:rPr>
                <w:b/>
                <w:bCs/>
              </w:rPr>
            </w:pPr>
            <w:r w:rsidRPr="008625E5">
              <w:rPr>
                <w:rStyle w:val="fontstyle01"/>
                <w:rFonts w:ascii="Tw Cen MT Condensed" w:hAnsi="Tw Cen MT Condensed"/>
                <w:b w:val="0"/>
                <w:bCs w:val="0"/>
              </w:rPr>
              <w:t>Data will be</w:t>
            </w:r>
            <w:r w:rsidRPr="008625E5">
              <w:rPr>
                <w:b/>
                <w:bCs/>
                <w:sz w:val="22"/>
                <w:szCs w:val="22"/>
              </w:rPr>
              <w:br/>
            </w:r>
            <w:r w:rsidRPr="008625E5">
              <w:rPr>
                <w:rStyle w:val="fontstyle01"/>
                <w:rFonts w:ascii="Tw Cen MT Condensed" w:hAnsi="Tw Cen MT Condensed"/>
                <w:b w:val="0"/>
                <w:bCs w:val="0"/>
              </w:rPr>
              <w:t>provided in</w:t>
            </w:r>
            <w:r w:rsidRPr="008625E5">
              <w:rPr>
                <w:b/>
                <w:bCs/>
                <w:sz w:val="22"/>
                <w:szCs w:val="22"/>
              </w:rPr>
              <w:br/>
            </w:r>
            <w:r w:rsidRPr="008625E5">
              <w:rPr>
                <w:rStyle w:val="fontstyle01"/>
                <w:rFonts w:ascii="Tw Cen MT Condensed" w:hAnsi="Tw Cen MT Condensed"/>
                <w:b w:val="0"/>
                <w:bCs w:val="0"/>
              </w:rPr>
              <w:t>December 2020</w:t>
            </w:r>
          </w:p>
          <w:p w14:paraId="65066BAA" w14:textId="77777777" w:rsidR="00221C59" w:rsidRDefault="00221C59" w:rsidP="00221C59">
            <w:pPr>
              <w:ind w:left="-40"/>
              <w:jc w:val="both"/>
              <w:rPr>
                <w:bCs/>
                <w:szCs w:val="20"/>
              </w:rPr>
            </w:pPr>
          </w:p>
          <w:p w14:paraId="425D4EB2" w14:textId="77777777" w:rsidR="00221C59" w:rsidRPr="007243FC" w:rsidRDefault="00221C59" w:rsidP="00221C59">
            <w:pPr>
              <w:ind w:left="-40"/>
              <w:jc w:val="both"/>
              <w:rPr>
                <w:bCs/>
                <w:szCs w:val="20"/>
              </w:rPr>
            </w:pPr>
            <w:r w:rsidRPr="0097196B">
              <w:rPr>
                <w:bCs/>
                <w:szCs w:val="20"/>
              </w:rPr>
              <w:t>Reviewed at 7th IAEG-SDG meeting (classified as Tier II)</w:t>
            </w:r>
          </w:p>
        </w:tc>
      </w:tr>
      <w:tr w:rsidR="0085651F" w14:paraId="09962A91" w14:textId="77777777" w:rsidTr="0085651F">
        <w:tc>
          <w:tcPr>
            <w:tcW w:w="0" w:type="auto"/>
            <w:gridSpan w:val="13"/>
            <w:shd w:val="clear" w:color="auto" w:fill="auto"/>
          </w:tcPr>
          <w:p w14:paraId="7B01A7FA" w14:textId="77777777" w:rsidR="0085651F" w:rsidRPr="00423FEB" w:rsidRDefault="0085651F" w:rsidP="00221C59">
            <w:pPr>
              <w:rPr>
                <w:bCs/>
                <w:color w:val="0070C0"/>
                <w:sz w:val="30"/>
                <w:szCs w:val="30"/>
              </w:rPr>
            </w:pPr>
            <w:r>
              <w:rPr>
                <w:color w:val="0070C0"/>
                <w:sz w:val="30"/>
                <w:szCs w:val="30"/>
              </w:rPr>
              <w:lastRenderedPageBreak/>
              <w:t>Target</w:t>
            </w:r>
            <w:r w:rsidRPr="00423FEB">
              <w:rPr>
                <w:bCs/>
                <w:color w:val="0070C0"/>
                <w:sz w:val="30"/>
                <w:szCs w:val="30"/>
              </w:rPr>
              <w:t xml:space="preserve"> 6.4</w:t>
            </w:r>
            <w:r>
              <w:rPr>
                <w:color w:val="0070C0"/>
                <w:sz w:val="30"/>
                <w:szCs w:val="30"/>
              </w:rPr>
              <w:t>:</w:t>
            </w:r>
            <w:r w:rsidRPr="00423FEB">
              <w:rPr>
                <w:bCs/>
                <w:color w:val="0070C0"/>
                <w:sz w:val="30"/>
                <w:szCs w:val="30"/>
              </w:rPr>
              <w:t xml:space="preserve"> By 2030, substantially increase water-use efficiency across all sectors and ensure sustainable withdrawals and supply of freshwater to address water scarcity and substantially reduce the number of people suffering from water scarcity</w:t>
            </w:r>
          </w:p>
        </w:tc>
      </w:tr>
      <w:tr w:rsidR="00DB32C0" w14:paraId="486684B8" w14:textId="77777777" w:rsidTr="0085651F">
        <w:tc>
          <w:tcPr>
            <w:tcW w:w="0" w:type="auto"/>
            <w:shd w:val="clear" w:color="auto" w:fill="auto"/>
          </w:tcPr>
          <w:p w14:paraId="60EBC32E" w14:textId="77777777" w:rsidR="00221C59" w:rsidRPr="007243FC" w:rsidRDefault="00221C59" w:rsidP="00221C59">
            <w:pPr>
              <w:jc w:val="both"/>
              <w:rPr>
                <w:szCs w:val="20"/>
              </w:rPr>
            </w:pPr>
            <w:r w:rsidRPr="004826CD">
              <w:rPr>
                <w:szCs w:val="20"/>
              </w:rPr>
              <w:t>6.4.1 Change in water-use efficiency over time</w:t>
            </w:r>
          </w:p>
        </w:tc>
        <w:tc>
          <w:tcPr>
            <w:tcW w:w="0" w:type="auto"/>
            <w:shd w:val="clear" w:color="auto" w:fill="auto"/>
          </w:tcPr>
          <w:p w14:paraId="4FABB8FE" w14:textId="77777777" w:rsidR="00221C59" w:rsidRDefault="00221C59" w:rsidP="00221C59">
            <w:pPr>
              <w:rPr>
                <w:b/>
                <w:bCs/>
                <w:szCs w:val="20"/>
              </w:rPr>
            </w:pPr>
            <w:r w:rsidRPr="00C328BB">
              <w:rPr>
                <w:b/>
                <w:bCs/>
                <w:szCs w:val="20"/>
              </w:rPr>
              <w:t>FAO</w:t>
            </w:r>
          </w:p>
          <w:p w14:paraId="09E4B6BA" w14:textId="77777777" w:rsidR="00221C59" w:rsidRDefault="00221C59" w:rsidP="00221C59">
            <w:pPr>
              <w:rPr>
                <w:b/>
                <w:bCs/>
                <w:szCs w:val="20"/>
              </w:rPr>
            </w:pPr>
          </w:p>
          <w:p w14:paraId="2642B7DE" w14:textId="77777777" w:rsidR="00221C59" w:rsidRDefault="00221C59" w:rsidP="00221C59">
            <w:pPr>
              <w:rPr>
                <w:b/>
                <w:bCs/>
                <w:szCs w:val="20"/>
              </w:rPr>
            </w:pPr>
            <w:r w:rsidRPr="007243FC">
              <w:rPr>
                <w:b/>
                <w:bCs/>
                <w:szCs w:val="20"/>
              </w:rPr>
              <w:t>Partner Agencies:</w:t>
            </w:r>
          </w:p>
          <w:p w14:paraId="68947F43" w14:textId="77777777" w:rsidR="00221C59" w:rsidRPr="00C328BB" w:rsidRDefault="00221C59" w:rsidP="00221C59">
            <w:pPr>
              <w:rPr>
                <w:szCs w:val="20"/>
              </w:rPr>
            </w:pPr>
            <w:r w:rsidRPr="00C328BB">
              <w:rPr>
                <w:szCs w:val="20"/>
              </w:rPr>
              <w:t xml:space="preserve">UNEP, </w:t>
            </w:r>
          </w:p>
          <w:p w14:paraId="23E30F59" w14:textId="77777777" w:rsidR="00221C59" w:rsidRPr="00C328BB" w:rsidRDefault="00221C59" w:rsidP="00221C59">
            <w:pPr>
              <w:rPr>
                <w:szCs w:val="20"/>
              </w:rPr>
            </w:pPr>
            <w:r w:rsidRPr="00C328BB">
              <w:rPr>
                <w:szCs w:val="20"/>
              </w:rPr>
              <w:t>IUCN,</w:t>
            </w:r>
          </w:p>
          <w:p w14:paraId="58D09349" w14:textId="77777777" w:rsidR="00221C59" w:rsidRPr="00C328BB" w:rsidRDefault="00221C59" w:rsidP="00221C59">
            <w:pPr>
              <w:rPr>
                <w:szCs w:val="20"/>
              </w:rPr>
            </w:pPr>
            <w:r w:rsidRPr="00C328BB">
              <w:rPr>
                <w:szCs w:val="20"/>
              </w:rPr>
              <w:t>UNSD,</w:t>
            </w:r>
          </w:p>
          <w:p w14:paraId="54AF3C13" w14:textId="77777777" w:rsidR="00221C59" w:rsidRPr="00C328BB" w:rsidRDefault="00221C59" w:rsidP="00221C59">
            <w:pPr>
              <w:rPr>
                <w:szCs w:val="20"/>
              </w:rPr>
            </w:pPr>
            <w:r w:rsidRPr="00C328BB">
              <w:rPr>
                <w:szCs w:val="20"/>
              </w:rPr>
              <w:t>OECD,</w:t>
            </w:r>
          </w:p>
          <w:p w14:paraId="61A07599" w14:textId="77777777" w:rsidR="00221C59" w:rsidRPr="00C328BB" w:rsidRDefault="00221C59" w:rsidP="00221C59">
            <w:pPr>
              <w:rPr>
                <w:szCs w:val="20"/>
              </w:rPr>
            </w:pPr>
            <w:r w:rsidRPr="00C328BB">
              <w:rPr>
                <w:szCs w:val="20"/>
              </w:rPr>
              <w:t>Eurostat</w:t>
            </w:r>
          </w:p>
          <w:p w14:paraId="63CC6079" w14:textId="77777777" w:rsidR="00221C59" w:rsidRPr="007243FC" w:rsidRDefault="00221C59" w:rsidP="00221C59">
            <w:pPr>
              <w:rPr>
                <w:szCs w:val="20"/>
              </w:rPr>
            </w:pPr>
          </w:p>
        </w:tc>
        <w:tc>
          <w:tcPr>
            <w:tcW w:w="825" w:type="dxa"/>
            <w:shd w:val="clear" w:color="auto" w:fill="auto"/>
          </w:tcPr>
          <w:p w14:paraId="329DDF65" w14:textId="77777777" w:rsidR="00221C59" w:rsidRPr="007243FC" w:rsidRDefault="00221C59" w:rsidP="00221C59">
            <w:pPr>
              <w:rPr>
                <w:szCs w:val="20"/>
              </w:rPr>
            </w:pPr>
            <w:r w:rsidRPr="00C328BB">
              <w:rPr>
                <w:szCs w:val="20"/>
              </w:rPr>
              <w:t>Tier I</w:t>
            </w:r>
          </w:p>
        </w:tc>
        <w:tc>
          <w:tcPr>
            <w:tcW w:w="6373" w:type="dxa"/>
            <w:shd w:val="clear" w:color="auto" w:fill="auto"/>
          </w:tcPr>
          <w:p w14:paraId="6D8FEC92" w14:textId="77777777" w:rsidR="00221C59" w:rsidRPr="00902799" w:rsidRDefault="00221C59" w:rsidP="00221C59">
            <w:pPr>
              <w:pStyle w:val="NoSpacing"/>
              <w:rPr>
                <w:b/>
                <w:bCs/>
                <w:szCs w:val="20"/>
                <w:lang w:val="en-GB"/>
              </w:rPr>
            </w:pPr>
            <w:r w:rsidRPr="00902799">
              <w:rPr>
                <w:b/>
                <w:bCs/>
                <w:szCs w:val="20"/>
                <w:lang w:val="en-GB"/>
              </w:rPr>
              <w:t>Definition:</w:t>
            </w:r>
          </w:p>
          <w:p w14:paraId="457396CC" w14:textId="77777777" w:rsidR="00221C59" w:rsidRPr="00DD1E5F" w:rsidRDefault="00221C59" w:rsidP="00221C59">
            <w:pPr>
              <w:pStyle w:val="NoSpacing"/>
              <w:rPr>
                <w:szCs w:val="20"/>
                <w:lang w:val="en-GB"/>
              </w:rPr>
            </w:pPr>
            <w:r w:rsidRPr="00DD1E5F">
              <w:rPr>
                <w:szCs w:val="20"/>
                <w:lang w:val="en-GB"/>
              </w:rPr>
              <w:t>The change in water use efficiency over time (CWUE). The change in the ratio of the value added to the volume of water use, over time.</w:t>
            </w:r>
          </w:p>
          <w:p w14:paraId="7E6CF064" w14:textId="77777777" w:rsidR="00221C59" w:rsidRPr="00DD1E5F" w:rsidRDefault="00221C59" w:rsidP="00221C59">
            <w:pPr>
              <w:pStyle w:val="NoSpacing"/>
              <w:rPr>
                <w:szCs w:val="20"/>
                <w:lang w:val="en-GB"/>
              </w:rPr>
            </w:pPr>
          </w:p>
          <w:p w14:paraId="344F15D4" w14:textId="77777777" w:rsidR="00221C59" w:rsidRPr="00DD1E5F" w:rsidRDefault="00221C59" w:rsidP="00221C59">
            <w:pPr>
              <w:pStyle w:val="NoSpacing"/>
              <w:rPr>
                <w:szCs w:val="20"/>
                <w:lang w:val="en-GB"/>
              </w:rPr>
            </w:pPr>
            <w:r w:rsidRPr="00DD1E5F">
              <w:rPr>
                <w:szCs w:val="20"/>
                <w:lang w:val="en-GB"/>
              </w:rPr>
              <w:t>Water Use Efficiency (WUE) is defined as the value added of a given major sector</w:t>
            </w:r>
            <w:r w:rsidRPr="00DD1E5F">
              <w:rPr>
                <w:szCs w:val="20"/>
                <w:vertAlign w:val="superscript"/>
                <w:lang w:val="en-GB"/>
              </w:rPr>
              <w:footnoteReference w:id="2"/>
            </w:r>
            <w:r w:rsidRPr="00DD1E5F">
              <w:rPr>
                <w:szCs w:val="20"/>
                <w:lang w:val="en-GB"/>
              </w:rPr>
              <w:t xml:space="preserve"> divided by the volume of water used. Following ISIC 4 coding, sectors are defined as:</w:t>
            </w:r>
          </w:p>
          <w:p w14:paraId="59053643" w14:textId="77777777" w:rsidR="00221C59" w:rsidRPr="00DD1E5F" w:rsidRDefault="00221C59" w:rsidP="00221C59">
            <w:pPr>
              <w:pStyle w:val="NoSpacing"/>
              <w:numPr>
                <w:ilvl w:val="0"/>
                <w:numId w:val="54"/>
              </w:numPr>
              <w:rPr>
                <w:szCs w:val="20"/>
                <w:lang w:val="en-GB"/>
              </w:rPr>
            </w:pPr>
            <w:r w:rsidRPr="00DD1E5F">
              <w:rPr>
                <w:szCs w:val="20"/>
                <w:lang w:val="en-GB"/>
              </w:rPr>
              <w:t>agriculture; forestry; fishing (ISIC A), hereinafter “agriculture”;</w:t>
            </w:r>
          </w:p>
          <w:p w14:paraId="37FF96C9" w14:textId="77777777" w:rsidR="00221C59" w:rsidRPr="00DD1E5F" w:rsidRDefault="00221C59" w:rsidP="00221C59">
            <w:pPr>
              <w:pStyle w:val="NoSpacing"/>
              <w:numPr>
                <w:ilvl w:val="0"/>
                <w:numId w:val="54"/>
              </w:numPr>
              <w:rPr>
                <w:szCs w:val="20"/>
                <w:lang w:val="en-GB"/>
              </w:rPr>
            </w:pPr>
            <w:r w:rsidRPr="00DD1E5F">
              <w:rPr>
                <w:szCs w:val="20"/>
                <w:lang w:val="en-GB"/>
              </w:rPr>
              <w:t>mining and quarrying; manufacturing; electricity, gas, steam and air conditioning supply; constructions (ISIC B, C, D and F), hereinafter “MIMEC”;</w:t>
            </w:r>
          </w:p>
          <w:p w14:paraId="63486CD1" w14:textId="77777777" w:rsidR="00221C59" w:rsidRPr="00902799" w:rsidRDefault="00221C59" w:rsidP="00221C59">
            <w:pPr>
              <w:pStyle w:val="NoSpacing"/>
              <w:numPr>
                <w:ilvl w:val="0"/>
                <w:numId w:val="54"/>
              </w:numPr>
              <w:rPr>
                <w:szCs w:val="20"/>
                <w:lang w:val="en-GB"/>
              </w:rPr>
            </w:pPr>
            <w:proofErr w:type="gramStart"/>
            <w:r w:rsidRPr="00DD1E5F">
              <w:rPr>
                <w:szCs w:val="20"/>
                <w:lang w:val="en-GB"/>
              </w:rPr>
              <w:t>all</w:t>
            </w:r>
            <w:proofErr w:type="gramEnd"/>
            <w:r w:rsidRPr="00DD1E5F">
              <w:rPr>
                <w:szCs w:val="20"/>
                <w:lang w:val="en-GB"/>
              </w:rPr>
              <w:t xml:space="preserve"> the service sectors (ISIC E and ISIC G-T), hereinafter “services”.</w:t>
            </w:r>
          </w:p>
          <w:p w14:paraId="6C8378EC" w14:textId="77777777" w:rsidR="00221C59" w:rsidRDefault="00221C59" w:rsidP="00221C59">
            <w:pPr>
              <w:pStyle w:val="NoSpacing"/>
              <w:rPr>
                <w:szCs w:val="20"/>
                <w:lang w:val="en-GB"/>
              </w:rPr>
            </w:pPr>
            <w:r w:rsidRPr="00DD1E5F">
              <w:rPr>
                <w:szCs w:val="20"/>
                <w:lang w:val="en-GB"/>
              </w:rPr>
              <w:t>The unit of the indicator is expressed in Value/Volume, commonly USD/m</w:t>
            </w:r>
            <w:r w:rsidRPr="00DD1E5F">
              <w:rPr>
                <w:szCs w:val="20"/>
                <w:vertAlign w:val="superscript"/>
                <w:lang w:val="en-GB"/>
              </w:rPr>
              <w:t>3</w:t>
            </w:r>
            <w:r w:rsidRPr="00DD1E5F">
              <w:rPr>
                <w:szCs w:val="20"/>
                <w:lang w:val="en-GB"/>
              </w:rPr>
              <w:t>.</w:t>
            </w:r>
          </w:p>
          <w:p w14:paraId="0AC2DE43" w14:textId="77777777" w:rsidR="00221C59" w:rsidRPr="00DD1E5F" w:rsidRDefault="00221C59" w:rsidP="00221C59">
            <w:pPr>
              <w:pStyle w:val="NoSpacing"/>
              <w:rPr>
                <w:szCs w:val="20"/>
                <w:lang w:val="en-GB"/>
              </w:rPr>
            </w:pPr>
          </w:p>
          <w:p w14:paraId="70D572CC" w14:textId="77777777" w:rsidR="00221C59" w:rsidRPr="00902799" w:rsidRDefault="00221C59" w:rsidP="00221C59">
            <w:pPr>
              <w:pStyle w:val="NoSpacing"/>
              <w:rPr>
                <w:b/>
                <w:bCs/>
                <w:szCs w:val="20"/>
                <w:lang w:val="en-GB"/>
              </w:rPr>
            </w:pPr>
            <w:r w:rsidRPr="00902799">
              <w:rPr>
                <w:b/>
                <w:bCs/>
                <w:szCs w:val="20"/>
                <w:lang w:val="en-GB"/>
              </w:rPr>
              <w:t>Concepts:</w:t>
            </w:r>
          </w:p>
          <w:p w14:paraId="47A200BB" w14:textId="77777777" w:rsidR="00221C59" w:rsidRPr="00902799" w:rsidRDefault="00221C59" w:rsidP="00221C59">
            <w:pPr>
              <w:pStyle w:val="NoSpacing"/>
              <w:numPr>
                <w:ilvl w:val="0"/>
                <w:numId w:val="55"/>
              </w:numPr>
              <w:rPr>
                <w:szCs w:val="20"/>
                <w:lang w:val="en-GB"/>
              </w:rPr>
            </w:pPr>
            <w:r w:rsidRPr="00DD1E5F">
              <w:rPr>
                <w:szCs w:val="20"/>
                <w:lang w:val="en-GB"/>
              </w:rPr>
              <w:t>Water use: water that is received by an industry or households from another industry or is directly abstracted. [SEEA-Water (ST/ESA/STAT/SER.F/100), par. 2.21]</w:t>
            </w:r>
          </w:p>
          <w:p w14:paraId="2D02F341" w14:textId="77777777" w:rsidR="00221C59" w:rsidRPr="00DD1E5F" w:rsidRDefault="00221C59" w:rsidP="00221C59">
            <w:pPr>
              <w:pStyle w:val="NoSpacing"/>
              <w:numPr>
                <w:ilvl w:val="0"/>
                <w:numId w:val="55"/>
              </w:numPr>
              <w:rPr>
                <w:szCs w:val="20"/>
                <w:lang w:val="en-GB"/>
              </w:rPr>
            </w:pPr>
            <w:r w:rsidRPr="00DD1E5F">
              <w:rPr>
                <w:szCs w:val="20"/>
                <w:lang w:val="en-GB"/>
              </w:rPr>
              <w:t>Water abstraction: water removed from the environment by the economy. [SEEA-Water (ST/ESA/STAT/SER.F/100), par. 2.9]</w:t>
            </w:r>
          </w:p>
          <w:p w14:paraId="653ADEFA" w14:textId="77777777" w:rsidR="00221C59" w:rsidRPr="00DD1E5F" w:rsidRDefault="00221C59" w:rsidP="00221C59">
            <w:pPr>
              <w:pStyle w:val="NoSpacing"/>
              <w:rPr>
                <w:szCs w:val="20"/>
                <w:lang w:val="en-GB"/>
              </w:rPr>
            </w:pPr>
          </w:p>
          <w:p w14:paraId="1E88F8E9" w14:textId="77777777" w:rsidR="00221C59" w:rsidRPr="00DD1E5F" w:rsidRDefault="00221C59" w:rsidP="00221C59">
            <w:pPr>
              <w:pStyle w:val="NoSpacing"/>
              <w:numPr>
                <w:ilvl w:val="0"/>
                <w:numId w:val="55"/>
              </w:numPr>
              <w:rPr>
                <w:szCs w:val="20"/>
              </w:rPr>
            </w:pPr>
            <w:r w:rsidRPr="00DD1E5F">
              <w:rPr>
                <w:szCs w:val="20"/>
              </w:rPr>
              <w:t xml:space="preserve">Water use for irrigation (km³/year) </w:t>
            </w:r>
          </w:p>
          <w:p w14:paraId="07C1BF31" w14:textId="77777777" w:rsidR="00221C59" w:rsidRPr="00DD1E5F" w:rsidRDefault="00221C59" w:rsidP="00221C59">
            <w:pPr>
              <w:pStyle w:val="NoSpacing"/>
              <w:numPr>
                <w:ilvl w:val="1"/>
                <w:numId w:val="55"/>
              </w:numPr>
              <w:rPr>
                <w:szCs w:val="20"/>
                <w:lang w:val="en-GB"/>
              </w:rPr>
            </w:pPr>
            <w:r w:rsidRPr="00DD1E5F">
              <w:rPr>
                <w:szCs w:val="20"/>
                <w:lang w:val="en-GB"/>
              </w:rPr>
              <w:t>Annual quantity of water used for irrigation purposes. It includes water from renewable freshwater resources, as well as water from over-abstraction of renewable groundwater or abstraction of fossil groundwater, direct use of agricultural drainage water, (treated) wastewater, and desalinated water. [AQUASTAT Glossary]</w:t>
            </w:r>
          </w:p>
          <w:p w14:paraId="2ED06549" w14:textId="77777777" w:rsidR="00221C59" w:rsidRPr="00DD1E5F" w:rsidRDefault="00221C59" w:rsidP="00221C59">
            <w:pPr>
              <w:pStyle w:val="NoSpacing"/>
              <w:rPr>
                <w:szCs w:val="20"/>
              </w:rPr>
            </w:pPr>
          </w:p>
          <w:p w14:paraId="0BCA7AFD" w14:textId="77777777" w:rsidR="00221C59" w:rsidRPr="00DD1E5F" w:rsidRDefault="00221C59" w:rsidP="00221C59">
            <w:pPr>
              <w:pStyle w:val="NoSpacing"/>
              <w:numPr>
                <w:ilvl w:val="0"/>
                <w:numId w:val="56"/>
              </w:numPr>
              <w:rPr>
                <w:szCs w:val="20"/>
                <w:lang w:val="en-GB"/>
              </w:rPr>
            </w:pPr>
            <w:r w:rsidRPr="00DD1E5F">
              <w:rPr>
                <w:szCs w:val="20"/>
                <w:lang w:val="en-GB"/>
              </w:rPr>
              <w:t xml:space="preserve">Water use for livestock (watering and cleaning) (km³/year) </w:t>
            </w:r>
          </w:p>
          <w:p w14:paraId="71DCEABD" w14:textId="77777777" w:rsidR="00221C59" w:rsidRPr="00DD1E5F" w:rsidRDefault="00221C59" w:rsidP="00221C59">
            <w:pPr>
              <w:pStyle w:val="NoSpacing"/>
              <w:numPr>
                <w:ilvl w:val="1"/>
                <w:numId w:val="56"/>
              </w:numPr>
              <w:rPr>
                <w:szCs w:val="20"/>
                <w:lang w:val="en-GB"/>
              </w:rPr>
            </w:pPr>
            <w:r w:rsidRPr="00DD1E5F">
              <w:rPr>
                <w:szCs w:val="20"/>
                <w:lang w:val="en-GB"/>
              </w:rPr>
              <w:t xml:space="preserve">Annual quantity of water used for livestock purposes. It includes water from renewable freshwater resources, as well as water from over-abstraction of renewable groundwater or abstraction of fossil groundwater, direct use of </w:t>
            </w:r>
            <w:r w:rsidRPr="00DD1E5F">
              <w:rPr>
                <w:szCs w:val="20"/>
                <w:lang w:val="en-GB"/>
              </w:rPr>
              <w:lastRenderedPageBreak/>
              <w:t>agricultural drainage water, (treated) wastewater, and desalinated water. It includes livestock watering, sanitation, cleaning of stables, etc. If connected to the public water supply network, water used for livestock is included in the services water use. [AQUASTAT Glossary]</w:t>
            </w:r>
          </w:p>
          <w:p w14:paraId="432642A8" w14:textId="77777777" w:rsidR="00221C59" w:rsidRPr="00DD1E5F" w:rsidRDefault="00221C59" w:rsidP="00221C59">
            <w:pPr>
              <w:pStyle w:val="NoSpacing"/>
              <w:rPr>
                <w:szCs w:val="20"/>
                <w:lang w:val="en-GB"/>
              </w:rPr>
            </w:pPr>
          </w:p>
          <w:p w14:paraId="2DD7F362" w14:textId="77777777" w:rsidR="00221C59" w:rsidRPr="00DD1E5F" w:rsidRDefault="00221C59" w:rsidP="00221C59">
            <w:pPr>
              <w:pStyle w:val="NoSpacing"/>
              <w:numPr>
                <w:ilvl w:val="0"/>
                <w:numId w:val="56"/>
              </w:numPr>
              <w:rPr>
                <w:szCs w:val="20"/>
                <w:lang w:val="en-GB"/>
              </w:rPr>
            </w:pPr>
            <w:r w:rsidRPr="00DD1E5F">
              <w:rPr>
                <w:szCs w:val="20"/>
                <w:lang w:val="en-GB"/>
              </w:rPr>
              <w:t xml:space="preserve">Water use for aquaculture (km³/year) </w:t>
            </w:r>
          </w:p>
          <w:p w14:paraId="50A0D3F6" w14:textId="77777777" w:rsidR="00221C59" w:rsidRPr="00DD1E5F" w:rsidRDefault="00221C59" w:rsidP="00221C59">
            <w:pPr>
              <w:pStyle w:val="NoSpacing"/>
              <w:numPr>
                <w:ilvl w:val="1"/>
                <w:numId w:val="56"/>
              </w:numPr>
              <w:rPr>
                <w:szCs w:val="20"/>
                <w:lang w:val="en-GB"/>
              </w:rPr>
            </w:pPr>
            <w:r w:rsidRPr="00DD1E5F">
              <w:rPr>
                <w:szCs w:val="20"/>
                <w:lang w:val="en-GB"/>
              </w:rPr>
              <w:t>Annual quantity of water used for aquaculture. It includes water from renewable freshwater resources, as well as water from over-abstraction of renewable groundwater or abstraction of fossil groundwater, direct use of agricultural drainage water, (treated) wastewater, and desalinated water. Aquaculture is the farming of aquatic organisms in inland and coastal areas, involving intervention in the rearing process to enhance production and the individual or corporate ownership of the stock being cultivated. [AQUASTAT Glossary]</w:t>
            </w:r>
          </w:p>
          <w:p w14:paraId="44F06AA5" w14:textId="77777777" w:rsidR="00221C59" w:rsidRPr="00DD1E5F" w:rsidRDefault="00221C59" w:rsidP="00221C59">
            <w:pPr>
              <w:pStyle w:val="NoSpacing"/>
              <w:rPr>
                <w:szCs w:val="20"/>
                <w:lang w:val="en-GB"/>
              </w:rPr>
            </w:pPr>
          </w:p>
          <w:p w14:paraId="56381375" w14:textId="77777777" w:rsidR="00221C59" w:rsidRPr="00DD1E5F" w:rsidRDefault="00221C59" w:rsidP="00221C59">
            <w:pPr>
              <w:pStyle w:val="NoSpacing"/>
              <w:numPr>
                <w:ilvl w:val="0"/>
                <w:numId w:val="56"/>
              </w:numPr>
              <w:rPr>
                <w:szCs w:val="20"/>
                <w:lang w:val="en-GB"/>
              </w:rPr>
            </w:pPr>
            <w:r w:rsidRPr="00DD1E5F">
              <w:rPr>
                <w:szCs w:val="20"/>
                <w:lang w:val="en-GB"/>
              </w:rPr>
              <w:t>Water use for the MIMEC sectors (km³/year)</w:t>
            </w:r>
          </w:p>
          <w:p w14:paraId="404F4F56" w14:textId="77777777" w:rsidR="00221C59" w:rsidRPr="00DD1E5F" w:rsidRDefault="00221C59" w:rsidP="00221C59">
            <w:pPr>
              <w:pStyle w:val="NoSpacing"/>
              <w:numPr>
                <w:ilvl w:val="1"/>
                <w:numId w:val="56"/>
              </w:numPr>
              <w:rPr>
                <w:szCs w:val="20"/>
                <w:lang w:val="en-GB"/>
              </w:rPr>
            </w:pPr>
            <w:r w:rsidRPr="00DD1E5F">
              <w:rPr>
                <w:szCs w:val="20"/>
                <w:lang w:val="en-GB"/>
              </w:rPr>
              <w:t>Annual quantity of water used for the MIMEC sector. It includes water from renewable freshwater resources, as well as over-abstraction of renewable groundwater or abstraction of fossil groundwater and use of desalinated water or direct use of (treated) wastewater. This sector refers to self-supplied industries not connected to the public distribution network. [AQUASTAT Glossary. To be noted that in AQUASTAT, the sectors included in the MIMEC group are referred to as “industry”]</w:t>
            </w:r>
            <w:r w:rsidRPr="00DD1E5F">
              <w:rPr>
                <w:szCs w:val="20"/>
                <w:vertAlign w:val="superscript"/>
                <w:lang w:val="en-GB"/>
              </w:rPr>
              <w:footnoteReference w:id="3"/>
            </w:r>
          </w:p>
          <w:p w14:paraId="3DA37C4C" w14:textId="77777777" w:rsidR="00221C59" w:rsidRPr="00DD1E5F" w:rsidRDefault="00221C59" w:rsidP="00221C59">
            <w:pPr>
              <w:pStyle w:val="NoSpacing"/>
              <w:rPr>
                <w:szCs w:val="20"/>
                <w:lang w:val="en-GB"/>
              </w:rPr>
            </w:pPr>
          </w:p>
          <w:p w14:paraId="43E43239" w14:textId="77777777" w:rsidR="00221C59" w:rsidRPr="00DD1E5F" w:rsidRDefault="00221C59" w:rsidP="00221C59">
            <w:pPr>
              <w:pStyle w:val="NoSpacing"/>
              <w:numPr>
                <w:ilvl w:val="0"/>
                <w:numId w:val="56"/>
              </w:numPr>
              <w:rPr>
                <w:szCs w:val="20"/>
                <w:lang w:val="en-GB"/>
              </w:rPr>
            </w:pPr>
            <w:r w:rsidRPr="00DD1E5F">
              <w:rPr>
                <w:szCs w:val="20"/>
                <w:lang w:val="en-GB"/>
              </w:rPr>
              <w:t>Water use for the services sectors (km³/year)</w:t>
            </w:r>
          </w:p>
          <w:p w14:paraId="24677A8B" w14:textId="77777777" w:rsidR="00221C59" w:rsidRPr="00DD1E5F" w:rsidRDefault="00221C59" w:rsidP="00221C59">
            <w:pPr>
              <w:pStyle w:val="NoSpacing"/>
              <w:numPr>
                <w:ilvl w:val="1"/>
                <w:numId w:val="56"/>
              </w:numPr>
              <w:rPr>
                <w:szCs w:val="20"/>
                <w:lang w:val="en-GB"/>
              </w:rPr>
            </w:pPr>
            <w:r w:rsidRPr="00DD1E5F">
              <w:rPr>
                <w:szCs w:val="20"/>
                <w:lang w:val="en-GB"/>
              </w:rPr>
              <w:t>Annual quantity of water used primarily for the direct use by the population. It includes water from renewable freshwater resources, as well as over-abstraction of renewable groundwater or abstraction of fossil groundwater and the use of desalinated water or direct use of treated wastewater. It is usually computed as the total water used by the public distribution network. It can include that part of the industries, which is connected to the municipal network. [AQUASTAT Glossary. To be noted that in AQUASTAT, the sectors included in “services” are referred to as “municipal”]</w:t>
            </w:r>
          </w:p>
          <w:p w14:paraId="30D4E510" w14:textId="77777777" w:rsidR="00221C59" w:rsidRPr="00DD1E5F" w:rsidRDefault="00221C59" w:rsidP="00221C59">
            <w:pPr>
              <w:pStyle w:val="NoSpacing"/>
              <w:rPr>
                <w:szCs w:val="20"/>
                <w:lang w:val="en-GB"/>
              </w:rPr>
            </w:pPr>
          </w:p>
          <w:p w14:paraId="726463FC" w14:textId="77777777" w:rsidR="00221C59" w:rsidRPr="00DD1E5F" w:rsidRDefault="00221C59" w:rsidP="00221C59">
            <w:pPr>
              <w:pStyle w:val="NoSpacing"/>
              <w:numPr>
                <w:ilvl w:val="0"/>
                <w:numId w:val="56"/>
              </w:numPr>
              <w:rPr>
                <w:szCs w:val="20"/>
                <w:lang w:val="en-GB"/>
              </w:rPr>
            </w:pPr>
            <w:r w:rsidRPr="00DD1E5F">
              <w:rPr>
                <w:szCs w:val="20"/>
                <w:lang w:val="en-GB"/>
              </w:rPr>
              <w:t>Value added (gross)</w:t>
            </w:r>
          </w:p>
          <w:p w14:paraId="105CBE33" w14:textId="77777777" w:rsidR="00221C59" w:rsidRPr="00DD1E5F" w:rsidRDefault="00221C59" w:rsidP="00221C59">
            <w:pPr>
              <w:pStyle w:val="NoSpacing"/>
              <w:numPr>
                <w:ilvl w:val="1"/>
                <w:numId w:val="56"/>
              </w:numPr>
              <w:rPr>
                <w:szCs w:val="20"/>
                <w:lang w:val="en-GB"/>
              </w:rPr>
            </w:pPr>
            <w:r w:rsidRPr="00DD1E5F">
              <w:rPr>
                <w:szCs w:val="20"/>
                <w:lang w:val="en-GB"/>
              </w:rPr>
              <w:t xml:space="preserve">Value added is the net output of a sector after adding up all outputs and </w:t>
            </w:r>
            <w:r w:rsidRPr="00DD1E5F">
              <w:rPr>
                <w:szCs w:val="20"/>
                <w:lang w:val="en-GB"/>
              </w:rPr>
              <w:lastRenderedPageBreak/>
              <w:t>subtracting intermediate inputs. It is calculated without making deductions for depreciation of fabricated assets or depletion and degradation of natural resources. The industrial origin of value added is determined by the International Standard Industrial Classification (ISIC), revision 4. [WB Databank, metadata glossary, modified]</w:t>
            </w:r>
          </w:p>
          <w:p w14:paraId="50F9638C" w14:textId="77777777" w:rsidR="00221C59" w:rsidRPr="00DD1E5F" w:rsidRDefault="00221C59" w:rsidP="00221C59">
            <w:pPr>
              <w:pStyle w:val="NoSpacing"/>
              <w:rPr>
                <w:szCs w:val="20"/>
                <w:lang w:val="en-GB"/>
              </w:rPr>
            </w:pPr>
          </w:p>
          <w:p w14:paraId="0A6CD478" w14:textId="77777777" w:rsidR="00221C59" w:rsidRPr="00DD1E5F" w:rsidRDefault="00221C59" w:rsidP="00221C59">
            <w:pPr>
              <w:pStyle w:val="NoSpacing"/>
              <w:numPr>
                <w:ilvl w:val="0"/>
                <w:numId w:val="56"/>
              </w:numPr>
              <w:rPr>
                <w:szCs w:val="20"/>
                <w:lang w:val="en-GB"/>
              </w:rPr>
            </w:pPr>
            <w:r w:rsidRPr="00DD1E5F">
              <w:rPr>
                <w:szCs w:val="20"/>
                <w:lang w:val="en-GB"/>
              </w:rPr>
              <w:t>Arable land</w:t>
            </w:r>
          </w:p>
          <w:p w14:paraId="0C1FB492" w14:textId="77777777" w:rsidR="00221C59" w:rsidRPr="00DD1E5F" w:rsidRDefault="00221C59" w:rsidP="00221C59">
            <w:pPr>
              <w:pStyle w:val="NoSpacing"/>
              <w:numPr>
                <w:ilvl w:val="1"/>
                <w:numId w:val="56"/>
              </w:numPr>
              <w:rPr>
                <w:szCs w:val="20"/>
                <w:lang w:val="en-GB"/>
              </w:rPr>
            </w:pPr>
            <w:r w:rsidRPr="00DD1E5F">
              <w:rPr>
                <w:szCs w:val="20"/>
                <w:lang w:val="en-GB"/>
              </w:rPr>
              <w:t>Arable land is the land under temporary agricultural crops (multiple-cropped areas are counted only once), temporary meadows for mowing or pasture, land under market and kitchen gardens and land temporarily fallow (less than five years). The abandoned land resulting from shifting cultivation is not included in this category. Data for “Arable land” are not meant to indicate the amount of land that is potentially cultivable. [FAOSTAT]</w:t>
            </w:r>
          </w:p>
          <w:p w14:paraId="375F08A0" w14:textId="77777777" w:rsidR="00221C59" w:rsidRPr="00DD1E5F" w:rsidRDefault="00221C59" w:rsidP="00221C59">
            <w:pPr>
              <w:pStyle w:val="NoSpacing"/>
              <w:rPr>
                <w:szCs w:val="20"/>
                <w:lang w:val="en-GB"/>
              </w:rPr>
            </w:pPr>
          </w:p>
          <w:p w14:paraId="53DAB5D2" w14:textId="77777777" w:rsidR="00221C59" w:rsidRPr="00DD1E5F" w:rsidRDefault="00221C59" w:rsidP="00221C59">
            <w:pPr>
              <w:pStyle w:val="NoSpacing"/>
              <w:numPr>
                <w:ilvl w:val="0"/>
                <w:numId w:val="56"/>
              </w:numPr>
              <w:rPr>
                <w:szCs w:val="20"/>
                <w:lang w:val="en-GB"/>
              </w:rPr>
            </w:pPr>
            <w:r w:rsidRPr="00DD1E5F">
              <w:rPr>
                <w:szCs w:val="20"/>
                <w:lang w:val="en-GB"/>
              </w:rPr>
              <w:t>Permanent crops</w:t>
            </w:r>
          </w:p>
          <w:p w14:paraId="087E0F03" w14:textId="77777777" w:rsidR="00221C59" w:rsidRPr="00DD1E5F" w:rsidRDefault="00221C59" w:rsidP="00221C59">
            <w:pPr>
              <w:pStyle w:val="NoSpacing"/>
              <w:numPr>
                <w:ilvl w:val="1"/>
                <w:numId w:val="56"/>
              </w:numPr>
              <w:rPr>
                <w:szCs w:val="20"/>
                <w:lang w:val="en-GB"/>
              </w:rPr>
            </w:pPr>
            <w:r w:rsidRPr="00DD1E5F">
              <w:rPr>
                <w:szCs w:val="20"/>
                <w:lang w:val="en-GB"/>
              </w:rPr>
              <w:t>Permanent crops are the land cultivated with long-term crops which do not have to be replanted for several years (such as cocoa and coffee); land under trees and shrubs producing flowers, such as roses and jasmine; and nurseries (except those for forest trees, which should be classified under "forest"). Permanent meadows and pastures are excluded from land under permanent crops. [FAOSTAT]</w:t>
            </w:r>
          </w:p>
          <w:p w14:paraId="671291C5" w14:textId="77777777" w:rsidR="00221C59" w:rsidRPr="00DD1E5F" w:rsidRDefault="00221C59" w:rsidP="00221C59">
            <w:pPr>
              <w:pStyle w:val="NoSpacing"/>
              <w:rPr>
                <w:szCs w:val="20"/>
                <w:lang w:val="en-GB"/>
              </w:rPr>
            </w:pPr>
          </w:p>
          <w:p w14:paraId="4E6F2ECC" w14:textId="77777777" w:rsidR="00221C59" w:rsidRPr="00DD1E5F" w:rsidRDefault="00221C59" w:rsidP="00221C59">
            <w:pPr>
              <w:pStyle w:val="NoSpacing"/>
              <w:numPr>
                <w:ilvl w:val="0"/>
                <w:numId w:val="56"/>
              </w:numPr>
              <w:rPr>
                <w:szCs w:val="20"/>
                <w:lang w:val="en-GB"/>
              </w:rPr>
            </w:pPr>
            <w:r w:rsidRPr="00DD1E5F">
              <w:rPr>
                <w:szCs w:val="20"/>
                <w:lang w:val="en-GB"/>
              </w:rPr>
              <w:t>Proportion of irrigated land on the total cultivated land</w:t>
            </w:r>
          </w:p>
          <w:p w14:paraId="1A632818" w14:textId="77777777" w:rsidR="00221C59" w:rsidRPr="00DD1E5F" w:rsidRDefault="00221C59" w:rsidP="00221C59">
            <w:pPr>
              <w:pStyle w:val="NoSpacing"/>
              <w:numPr>
                <w:ilvl w:val="1"/>
                <w:numId w:val="56"/>
              </w:numPr>
              <w:rPr>
                <w:szCs w:val="20"/>
                <w:lang w:val="en-GB"/>
              </w:rPr>
            </w:pPr>
            <w:r w:rsidRPr="00DD1E5F">
              <w:rPr>
                <w:szCs w:val="20"/>
                <w:lang w:val="en-GB"/>
              </w:rPr>
              <w:t>Part of cultivated land that is equipped for irrigation, expressed in percentage</w:t>
            </w:r>
          </w:p>
          <w:p w14:paraId="6905EE58" w14:textId="77777777" w:rsidR="00221C59" w:rsidRPr="00DD1E5F" w:rsidRDefault="00221C59" w:rsidP="00221C59">
            <w:pPr>
              <w:pStyle w:val="NoSpacing"/>
              <w:rPr>
                <w:szCs w:val="20"/>
                <w:lang w:val="en-GB"/>
              </w:rPr>
            </w:pPr>
          </w:p>
          <w:p w14:paraId="239586B4" w14:textId="77777777" w:rsidR="00221C59" w:rsidRPr="00902799" w:rsidRDefault="00221C59" w:rsidP="00221C59">
            <w:pPr>
              <w:pStyle w:val="NoSpacing"/>
              <w:rPr>
                <w:b/>
                <w:bCs/>
                <w:szCs w:val="20"/>
                <w:lang w:val="en-GB"/>
              </w:rPr>
            </w:pPr>
            <w:r w:rsidRPr="00902799">
              <w:rPr>
                <w:b/>
                <w:bCs/>
                <w:szCs w:val="20"/>
                <w:lang w:val="en-GB"/>
              </w:rPr>
              <w:t>Comments and limitations:</w:t>
            </w:r>
          </w:p>
          <w:p w14:paraId="3A5D6DF9" w14:textId="77777777" w:rsidR="00221C59" w:rsidRPr="00DD1E5F" w:rsidRDefault="00221C59" w:rsidP="00221C59">
            <w:pPr>
              <w:pStyle w:val="NoSpacing"/>
              <w:rPr>
                <w:szCs w:val="20"/>
                <w:lang w:val="en-GB"/>
              </w:rPr>
            </w:pPr>
            <w:r w:rsidRPr="00DD1E5F">
              <w:rPr>
                <w:szCs w:val="20"/>
                <w:lang w:val="en-GB"/>
              </w:rPr>
              <w:t>The corrective coefficient Cr for the agricultural sector is needed in order to focus the indicator on the irrigated production. This is done for two main reasons:</w:t>
            </w:r>
          </w:p>
          <w:p w14:paraId="2D50C758" w14:textId="77777777" w:rsidR="00221C59" w:rsidRPr="00DD1E5F" w:rsidRDefault="00221C59" w:rsidP="00221C59">
            <w:pPr>
              <w:pStyle w:val="NoSpacing"/>
              <w:numPr>
                <w:ilvl w:val="0"/>
                <w:numId w:val="57"/>
              </w:numPr>
              <w:rPr>
                <w:szCs w:val="20"/>
                <w:lang w:val="en-GB"/>
              </w:rPr>
            </w:pPr>
            <w:r w:rsidRPr="00DD1E5F">
              <w:rPr>
                <w:szCs w:val="20"/>
                <w:lang w:val="en-GB"/>
              </w:rPr>
              <w:t>To ensure that only runoff water and groundwater (so-called blue water) are considered in computing the indicator;</w:t>
            </w:r>
          </w:p>
          <w:p w14:paraId="0EFC454D" w14:textId="77777777" w:rsidR="00221C59" w:rsidRPr="00DD1E5F" w:rsidRDefault="00221C59" w:rsidP="00221C59">
            <w:pPr>
              <w:pStyle w:val="NoSpacing"/>
              <w:numPr>
                <w:ilvl w:val="0"/>
                <w:numId w:val="57"/>
              </w:numPr>
              <w:rPr>
                <w:szCs w:val="20"/>
                <w:lang w:val="en-GB"/>
              </w:rPr>
            </w:pPr>
            <w:r w:rsidRPr="00DD1E5F">
              <w:rPr>
                <w:szCs w:val="20"/>
                <w:lang w:val="en-GB"/>
              </w:rPr>
              <w:t>To eliminate a potential bias of the indicators, which otherwise would tend to decrease if rainfed cropland is converted to irrigated.</w:t>
            </w:r>
          </w:p>
          <w:p w14:paraId="7EFB55A3" w14:textId="77777777" w:rsidR="00221C59" w:rsidRDefault="00221C59" w:rsidP="00221C59">
            <w:pPr>
              <w:pStyle w:val="NoSpacing"/>
              <w:rPr>
                <w:szCs w:val="20"/>
                <w:lang w:val="en-GB"/>
              </w:rPr>
            </w:pPr>
          </w:p>
          <w:p w14:paraId="0B11570A" w14:textId="77777777" w:rsidR="00221C59" w:rsidRDefault="00221C59" w:rsidP="00221C59">
            <w:pPr>
              <w:pStyle w:val="NoSpacing"/>
              <w:rPr>
                <w:szCs w:val="20"/>
                <w:lang w:val="en-GB"/>
              </w:rPr>
            </w:pPr>
          </w:p>
          <w:p w14:paraId="3344C1D2" w14:textId="77777777" w:rsidR="00221C59" w:rsidRPr="00DD1E5F" w:rsidRDefault="00221C59" w:rsidP="00221C59">
            <w:pPr>
              <w:pStyle w:val="NoSpacing"/>
              <w:rPr>
                <w:szCs w:val="20"/>
                <w:lang w:val="en-GB"/>
              </w:rPr>
            </w:pPr>
          </w:p>
          <w:p w14:paraId="6FCC6F0D" w14:textId="77777777" w:rsidR="00221C59" w:rsidRPr="00902799" w:rsidRDefault="00221C59" w:rsidP="00221C59">
            <w:pPr>
              <w:pStyle w:val="NoSpacing"/>
              <w:rPr>
                <w:b/>
                <w:bCs/>
                <w:szCs w:val="20"/>
                <w:lang w:val="en-GB"/>
              </w:rPr>
            </w:pPr>
            <w:r w:rsidRPr="00902799">
              <w:rPr>
                <w:b/>
                <w:bCs/>
                <w:szCs w:val="20"/>
                <w:lang w:val="en-GB"/>
              </w:rPr>
              <w:t>Computation Method:</w:t>
            </w:r>
          </w:p>
          <w:p w14:paraId="10CD36CB" w14:textId="77777777" w:rsidR="00221C59" w:rsidRPr="00DD1E5F" w:rsidRDefault="00221C59" w:rsidP="00221C59">
            <w:pPr>
              <w:pStyle w:val="NoSpacing"/>
              <w:rPr>
                <w:szCs w:val="20"/>
                <w:lang w:val="en-GB"/>
              </w:rPr>
            </w:pPr>
            <w:r w:rsidRPr="00DD1E5F">
              <w:rPr>
                <w:szCs w:val="20"/>
                <w:lang w:val="en-GB"/>
              </w:rPr>
              <w:t>Water use efficiency is computed as the sum of the three sectors listed above, weighted according to the proportion of water used by each sector over the total use. In formula:</w:t>
            </w:r>
          </w:p>
          <w:p w14:paraId="2BBBC0F8" w14:textId="77777777" w:rsidR="00221C59" w:rsidRPr="00DD1E5F" w:rsidRDefault="00221C59" w:rsidP="00221C59">
            <w:pPr>
              <w:pStyle w:val="NoSpacing"/>
              <w:rPr>
                <w:szCs w:val="20"/>
                <w:lang w:val="en-GB"/>
              </w:rPr>
            </w:pPr>
          </w:p>
          <w:p w14:paraId="5CE6BEE9" w14:textId="77777777" w:rsidR="00221C59" w:rsidRPr="00DD1E5F" w:rsidRDefault="00221C59" w:rsidP="00221C59">
            <w:pPr>
              <w:pStyle w:val="NoSpacing"/>
              <w:rPr>
                <w:szCs w:val="20"/>
                <w:lang w:val="en-GB"/>
              </w:rPr>
            </w:pPr>
            <m:oMathPara>
              <m:oMath>
                <m:r>
                  <w:rPr>
                    <w:rFonts w:ascii="Cambria Math" w:hAnsi="Cambria Math"/>
                    <w:szCs w:val="20"/>
                    <w:lang w:val="en-GB"/>
                  </w:rPr>
                  <m:t>WUE=</m:t>
                </m:r>
                <m:sSub>
                  <m:sSubPr>
                    <m:ctrlPr>
                      <w:rPr>
                        <w:rFonts w:ascii="Cambria Math" w:hAnsi="Cambria Math"/>
                        <w:i/>
                        <w:szCs w:val="20"/>
                        <w:lang w:val="en-GB"/>
                      </w:rPr>
                    </m:ctrlPr>
                  </m:sSubPr>
                  <m:e>
                    <m:r>
                      <w:rPr>
                        <w:rFonts w:ascii="Cambria Math" w:hAnsi="Cambria Math"/>
                        <w:szCs w:val="20"/>
                        <w:lang w:val="en-GB"/>
                      </w:rPr>
                      <m:t>A</m:t>
                    </m:r>
                  </m:e>
                  <m:sub>
                    <m:r>
                      <w:rPr>
                        <w:rFonts w:ascii="Cambria Math" w:hAnsi="Cambria Math"/>
                        <w:szCs w:val="20"/>
                        <w:lang w:val="en-GB"/>
                      </w:rPr>
                      <m:t>we</m:t>
                    </m:r>
                  </m:sub>
                </m:sSub>
                <m:r>
                  <w:rPr>
                    <w:rFonts w:ascii="Cambria Math" w:hAnsi="Cambria Math"/>
                    <w:szCs w:val="20"/>
                    <w:lang w:val="en-GB"/>
                  </w:rPr>
                  <m:t>×</m:t>
                </m:r>
                <m:sSub>
                  <m:sSubPr>
                    <m:ctrlPr>
                      <w:rPr>
                        <w:rFonts w:ascii="Cambria Math" w:hAnsi="Cambria Math"/>
                        <w:i/>
                        <w:szCs w:val="20"/>
                        <w:lang w:val="en-GB"/>
                      </w:rPr>
                    </m:ctrlPr>
                  </m:sSubPr>
                  <m:e>
                    <m:r>
                      <w:rPr>
                        <w:rFonts w:ascii="Cambria Math" w:hAnsi="Cambria Math"/>
                        <w:szCs w:val="20"/>
                        <w:lang w:val="en-GB"/>
                      </w:rPr>
                      <m:t>P</m:t>
                    </m:r>
                  </m:e>
                  <m:sub>
                    <m:r>
                      <w:rPr>
                        <w:rFonts w:ascii="Cambria Math" w:hAnsi="Cambria Math"/>
                        <w:szCs w:val="20"/>
                        <w:lang w:val="en-GB"/>
                      </w:rPr>
                      <m:t>A</m:t>
                    </m:r>
                  </m:sub>
                </m:sSub>
                <m:r>
                  <w:rPr>
                    <w:rFonts w:ascii="Cambria Math" w:hAnsi="Cambria Math"/>
                    <w:szCs w:val="20"/>
                    <w:lang w:val="en-GB"/>
                  </w:rPr>
                  <m:t>+</m:t>
                </m:r>
                <m:sSub>
                  <m:sSubPr>
                    <m:ctrlPr>
                      <w:rPr>
                        <w:rFonts w:ascii="Cambria Math" w:hAnsi="Cambria Math"/>
                        <w:i/>
                        <w:szCs w:val="20"/>
                        <w:lang w:val="en-GB"/>
                      </w:rPr>
                    </m:ctrlPr>
                  </m:sSubPr>
                  <m:e>
                    <m:r>
                      <w:rPr>
                        <w:rFonts w:ascii="Cambria Math" w:hAnsi="Cambria Math"/>
                        <w:szCs w:val="20"/>
                        <w:lang w:val="en-GB"/>
                      </w:rPr>
                      <m:t>M</m:t>
                    </m:r>
                  </m:e>
                  <m:sub>
                    <m:r>
                      <w:rPr>
                        <w:rFonts w:ascii="Cambria Math" w:hAnsi="Cambria Math"/>
                        <w:szCs w:val="20"/>
                        <w:lang w:val="en-GB"/>
                      </w:rPr>
                      <m:t>we</m:t>
                    </m:r>
                  </m:sub>
                </m:sSub>
                <m:r>
                  <w:rPr>
                    <w:rFonts w:ascii="Cambria Math" w:hAnsi="Cambria Math"/>
                    <w:szCs w:val="20"/>
                    <w:lang w:val="en-GB"/>
                  </w:rPr>
                  <m:t>×</m:t>
                </m:r>
                <m:sSub>
                  <m:sSubPr>
                    <m:ctrlPr>
                      <w:rPr>
                        <w:rFonts w:ascii="Cambria Math" w:hAnsi="Cambria Math"/>
                        <w:i/>
                        <w:szCs w:val="20"/>
                        <w:lang w:val="en-GB"/>
                      </w:rPr>
                    </m:ctrlPr>
                  </m:sSubPr>
                  <m:e>
                    <m:r>
                      <w:rPr>
                        <w:rFonts w:ascii="Cambria Math" w:hAnsi="Cambria Math"/>
                        <w:szCs w:val="20"/>
                        <w:lang w:val="en-GB"/>
                      </w:rPr>
                      <m:t>P</m:t>
                    </m:r>
                  </m:e>
                  <m:sub>
                    <m:r>
                      <w:rPr>
                        <w:rFonts w:ascii="Cambria Math" w:hAnsi="Cambria Math"/>
                        <w:szCs w:val="20"/>
                        <w:lang w:val="en-GB"/>
                      </w:rPr>
                      <m:t>M</m:t>
                    </m:r>
                  </m:sub>
                </m:sSub>
                <m:r>
                  <w:rPr>
                    <w:rFonts w:ascii="Cambria Math" w:hAnsi="Cambria Math"/>
                    <w:szCs w:val="20"/>
                    <w:lang w:val="en-GB"/>
                  </w:rPr>
                  <m:t>+</m:t>
                </m:r>
                <m:sSub>
                  <m:sSubPr>
                    <m:ctrlPr>
                      <w:rPr>
                        <w:rFonts w:ascii="Cambria Math" w:hAnsi="Cambria Math"/>
                        <w:i/>
                        <w:szCs w:val="20"/>
                        <w:lang w:val="en-GB"/>
                      </w:rPr>
                    </m:ctrlPr>
                  </m:sSubPr>
                  <m:e>
                    <m:r>
                      <w:rPr>
                        <w:rFonts w:ascii="Cambria Math" w:hAnsi="Cambria Math"/>
                        <w:szCs w:val="20"/>
                        <w:lang w:val="en-GB"/>
                      </w:rPr>
                      <m:t>S</m:t>
                    </m:r>
                  </m:e>
                  <m:sub>
                    <m:r>
                      <w:rPr>
                        <w:rFonts w:ascii="Cambria Math" w:hAnsi="Cambria Math"/>
                        <w:szCs w:val="20"/>
                        <w:lang w:val="en-GB"/>
                      </w:rPr>
                      <m:t>we</m:t>
                    </m:r>
                  </m:sub>
                </m:sSub>
                <m:r>
                  <w:rPr>
                    <w:rFonts w:ascii="Cambria Math" w:hAnsi="Cambria Math"/>
                    <w:szCs w:val="20"/>
                    <w:lang w:val="en-GB"/>
                  </w:rPr>
                  <m:t>×</m:t>
                </m:r>
                <m:sSub>
                  <m:sSubPr>
                    <m:ctrlPr>
                      <w:rPr>
                        <w:rFonts w:ascii="Cambria Math" w:hAnsi="Cambria Math"/>
                        <w:i/>
                        <w:szCs w:val="20"/>
                        <w:lang w:val="en-GB"/>
                      </w:rPr>
                    </m:ctrlPr>
                  </m:sSubPr>
                  <m:e>
                    <m:r>
                      <w:rPr>
                        <w:rFonts w:ascii="Cambria Math" w:hAnsi="Cambria Math"/>
                        <w:szCs w:val="20"/>
                        <w:lang w:val="en-GB"/>
                      </w:rPr>
                      <m:t>P</m:t>
                    </m:r>
                  </m:e>
                  <m:sub>
                    <m:r>
                      <w:rPr>
                        <w:rFonts w:ascii="Cambria Math" w:hAnsi="Cambria Math"/>
                        <w:szCs w:val="20"/>
                        <w:lang w:val="en-GB"/>
                      </w:rPr>
                      <m:t>S</m:t>
                    </m:r>
                  </m:sub>
                </m:sSub>
              </m:oMath>
            </m:oMathPara>
          </w:p>
          <w:p w14:paraId="1B36E22A" w14:textId="77777777" w:rsidR="00221C59" w:rsidRPr="00DD1E5F" w:rsidRDefault="00221C59" w:rsidP="00221C59">
            <w:pPr>
              <w:pStyle w:val="NoSpacing"/>
              <w:rPr>
                <w:szCs w:val="20"/>
                <w:lang w:val="en-GB"/>
              </w:rPr>
            </w:pPr>
            <w:r w:rsidRPr="00DD1E5F">
              <w:rPr>
                <w:szCs w:val="20"/>
                <w:lang w:val="en-GB"/>
              </w:rPr>
              <w:t>Where:</w:t>
            </w:r>
          </w:p>
          <w:p w14:paraId="238F1FDB" w14:textId="77777777" w:rsidR="00221C59" w:rsidRPr="00DD1E5F" w:rsidRDefault="00221C59" w:rsidP="00221C59">
            <w:pPr>
              <w:pStyle w:val="NoSpacing"/>
              <w:rPr>
                <w:szCs w:val="20"/>
                <w:lang w:val="en-GB"/>
              </w:rPr>
            </w:pPr>
            <w:r w:rsidRPr="00DD1E5F">
              <w:rPr>
                <w:szCs w:val="20"/>
                <w:lang w:val="en-GB"/>
              </w:rPr>
              <w:t xml:space="preserve">WUE </w:t>
            </w:r>
            <w:r w:rsidRPr="00DD1E5F">
              <w:rPr>
                <w:szCs w:val="20"/>
                <w:lang w:val="en-GB"/>
              </w:rPr>
              <w:tab/>
              <w:t>= Water use efficiency</w:t>
            </w:r>
          </w:p>
          <w:p w14:paraId="44C5C9AF" w14:textId="77777777" w:rsidR="00221C59" w:rsidRPr="00DD1E5F" w:rsidRDefault="00221C59" w:rsidP="00221C59">
            <w:pPr>
              <w:pStyle w:val="NoSpacing"/>
              <w:rPr>
                <w:szCs w:val="20"/>
                <w:lang w:val="en-GB"/>
              </w:rPr>
            </w:pPr>
            <w:r w:rsidRPr="00DD1E5F">
              <w:rPr>
                <w:szCs w:val="20"/>
                <w:lang w:val="en-GB"/>
              </w:rPr>
              <w:t>A</w:t>
            </w:r>
            <w:r w:rsidRPr="00DD1E5F">
              <w:rPr>
                <w:szCs w:val="20"/>
                <w:vertAlign w:val="subscript"/>
                <w:lang w:val="en-GB"/>
              </w:rPr>
              <w:t>we</w:t>
            </w:r>
            <w:r w:rsidRPr="00DD1E5F">
              <w:rPr>
                <w:szCs w:val="20"/>
                <w:lang w:val="en-GB"/>
              </w:rPr>
              <w:t xml:space="preserve"> </w:t>
            </w:r>
            <w:r w:rsidRPr="00DD1E5F">
              <w:rPr>
                <w:szCs w:val="20"/>
                <w:lang w:val="en-GB"/>
              </w:rPr>
              <w:tab/>
              <w:t>= Irrigated agriculture water use efficiency [USD/m</w:t>
            </w:r>
            <w:r w:rsidRPr="00DD1E5F">
              <w:rPr>
                <w:szCs w:val="20"/>
                <w:vertAlign w:val="superscript"/>
                <w:lang w:val="en-GB"/>
              </w:rPr>
              <w:t>3</w:t>
            </w:r>
            <w:r w:rsidRPr="00DD1E5F">
              <w:rPr>
                <w:szCs w:val="20"/>
                <w:lang w:val="en-GB"/>
              </w:rPr>
              <w:t>]</w:t>
            </w:r>
          </w:p>
          <w:p w14:paraId="72D71018" w14:textId="77777777" w:rsidR="00221C59" w:rsidRPr="00DD1E5F" w:rsidRDefault="00221C59" w:rsidP="00221C59">
            <w:pPr>
              <w:pStyle w:val="NoSpacing"/>
              <w:rPr>
                <w:szCs w:val="20"/>
                <w:lang w:val="en-GB"/>
              </w:rPr>
            </w:pPr>
            <w:r w:rsidRPr="00DD1E5F">
              <w:rPr>
                <w:szCs w:val="20"/>
                <w:lang w:val="en-GB"/>
              </w:rPr>
              <w:t>M</w:t>
            </w:r>
            <w:r w:rsidRPr="00DD1E5F">
              <w:rPr>
                <w:szCs w:val="20"/>
                <w:vertAlign w:val="subscript"/>
                <w:lang w:val="en-GB"/>
              </w:rPr>
              <w:t>we</w:t>
            </w:r>
            <w:r w:rsidRPr="00DD1E5F">
              <w:rPr>
                <w:szCs w:val="20"/>
                <w:lang w:val="en-GB"/>
              </w:rPr>
              <w:t xml:space="preserve"> </w:t>
            </w:r>
            <w:r w:rsidRPr="00DD1E5F">
              <w:rPr>
                <w:szCs w:val="20"/>
                <w:lang w:val="en-GB"/>
              </w:rPr>
              <w:tab/>
              <w:t>= MIMEC water use efficiency [USD/m</w:t>
            </w:r>
            <w:r w:rsidRPr="00DD1E5F">
              <w:rPr>
                <w:szCs w:val="20"/>
                <w:vertAlign w:val="superscript"/>
                <w:lang w:val="en-GB"/>
              </w:rPr>
              <w:t>3</w:t>
            </w:r>
            <w:r w:rsidRPr="00DD1E5F">
              <w:rPr>
                <w:szCs w:val="20"/>
                <w:lang w:val="en-GB"/>
              </w:rPr>
              <w:t>]</w:t>
            </w:r>
          </w:p>
          <w:p w14:paraId="3F915A89" w14:textId="77777777" w:rsidR="00221C59" w:rsidRPr="00DD1E5F" w:rsidRDefault="00221C59" w:rsidP="00221C59">
            <w:pPr>
              <w:pStyle w:val="NoSpacing"/>
              <w:rPr>
                <w:szCs w:val="20"/>
                <w:lang w:val="en-GB"/>
              </w:rPr>
            </w:pPr>
            <w:r w:rsidRPr="00DD1E5F">
              <w:rPr>
                <w:szCs w:val="20"/>
                <w:lang w:val="en-GB"/>
              </w:rPr>
              <w:t>S</w:t>
            </w:r>
            <w:r w:rsidRPr="00DD1E5F">
              <w:rPr>
                <w:szCs w:val="20"/>
                <w:vertAlign w:val="subscript"/>
                <w:lang w:val="en-GB"/>
              </w:rPr>
              <w:t>we</w:t>
            </w:r>
            <w:r w:rsidRPr="00DD1E5F">
              <w:rPr>
                <w:szCs w:val="20"/>
                <w:lang w:val="en-GB"/>
              </w:rPr>
              <w:t xml:space="preserve"> </w:t>
            </w:r>
            <w:r w:rsidRPr="00DD1E5F">
              <w:rPr>
                <w:szCs w:val="20"/>
                <w:lang w:val="en-GB"/>
              </w:rPr>
              <w:tab/>
              <w:t>= Services water use efficiency [USD/m</w:t>
            </w:r>
            <w:r w:rsidRPr="00DD1E5F">
              <w:rPr>
                <w:szCs w:val="20"/>
                <w:vertAlign w:val="superscript"/>
                <w:lang w:val="en-GB"/>
              </w:rPr>
              <w:t>3</w:t>
            </w:r>
            <w:r w:rsidRPr="00DD1E5F">
              <w:rPr>
                <w:szCs w:val="20"/>
                <w:lang w:val="en-GB"/>
              </w:rPr>
              <w:t>]</w:t>
            </w:r>
          </w:p>
          <w:p w14:paraId="464B1050" w14:textId="77777777" w:rsidR="00221C59" w:rsidRPr="00DD1E5F" w:rsidRDefault="00221C59" w:rsidP="00221C59">
            <w:pPr>
              <w:pStyle w:val="NoSpacing"/>
              <w:rPr>
                <w:szCs w:val="20"/>
                <w:lang w:val="en-GB"/>
              </w:rPr>
            </w:pPr>
            <w:r w:rsidRPr="00DD1E5F">
              <w:rPr>
                <w:szCs w:val="20"/>
                <w:lang w:val="en-GB"/>
              </w:rPr>
              <w:t>P</w:t>
            </w:r>
            <w:r w:rsidRPr="00DD1E5F">
              <w:rPr>
                <w:szCs w:val="20"/>
                <w:vertAlign w:val="subscript"/>
                <w:lang w:val="en-GB"/>
              </w:rPr>
              <w:t>A</w:t>
            </w:r>
            <w:r w:rsidRPr="00DD1E5F">
              <w:rPr>
                <w:szCs w:val="20"/>
                <w:lang w:val="en-GB"/>
              </w:rPr>
              <w:t xml:space="preserve"> </w:t>
            </w:r>
            <w:r w:rsidRPr="00DD1E5F">
              <w:rPr>
                <w:szCs w:val="20"/>
                <w:lang w:val="en-GB"/>
              </w:rPr>
              <w:tab/>
              <w:t>= Proportion of water used by the agricultural sector over the total use</w:t>
            </w:r>
          </w:p>
          <w:p w14:paraId="48BD9F09" w14:textId="77777777" w:rsidR="00221C59" w:rsidRPr="00DD1E5F" w:rsidRDefault="00221C59" w:rsidP="00221C59">
            <w:pPr>
              <w:pStyle w:val="NoSpacing"/>
              <w:rPr>
                <w:szCs w:val="20"/>
                <w:lang w:val="en-GB"/>
              </w:rPr>
            </w:pPr>
            <w:r w:rsidRPr="00DD1E5F">
              <w:rPr>
                <w:szCs w:val="20"/>
                <w:lang w:val="en-GB"/>
              </w:rPr>
              <w:t>P</w:t>
            </w:r>
            <w:r w:rsidRPr="00DD1E5F">
              <w:rPr>
                <w:szCs w:val="20"/>
                <w:vertAlign w:val="subscript"/>
                <w:lang w:val="en-GB"/>
              </w:rPr>
              <w:t>M</w:t>
            </w:r>
            <w:r w:rsidRPr="00DD1E5F">
              <w:rPr>
                <w:szCs w:val="20"/>
                <w:lang w:val="en-GB"/>
              </w:rPr>
              <w:t xml:space="preserve"> </w:t>
            </w:r>
            <w:r w:rsidRPr="00DD1E5F">
              <w:rPr>
                <w:szCs w:val="20"/>
                <w:lang w:val="en-GB"/>
              </w:rPr>
              <w:tab/>
              <w:t>= Proportion of water used by the MIMEC sector over the total use</w:t>
            </w:r>
          </w:p>
          <w:p w14:paraId="2D8AEB2C" w14:textId="77777777" w:rsidR="00221C59" w:rsidRPr="00DD1E5F" w:rsidRDefault="00221C59" w:rsidP="00221C59">
            <w:pPr>
              <w:pStyle w:val="NoSpacing"/>
              <w:rPr>
                <w:szCs w:val="20"/>
                <w:lang w:val="en-GB"/>
              </w:rPr>
            </w:pPr>
            <w:r w:rsidRPr="00DD1E5F">
              <w:rPr>
                <w:szCs w:val="20"/>
                <w:lang w:val="en-GB"/>
              </w:rPr>
              <w:t>P</w:t>
            </w:r>
            <w:r w:rsidRPr="00DD1E5F">
              <w:rPr>
                <w:szCs w:val="20"/>
                <w:vertAlign w:val="subscript"/>
                <w:lang w:val="en-GB"/>
              </w:rPr>
              <w:t>S</w:t>
            </w:r>
            <w:r w:rsidRPr="00DD1E5F">
              <w:rPr>
                <w:szCs w:val="20"/>
                <w:lang w:val="en-GB"/>
              </w:rPr>
              <w:t xml:space="preserve">  </w:t>
            </w:r>
            <w:r w:rsidRPr="00DD1E5F">
              <w:rPr>
                <w:szCs w:val="20"/>
                <w:lang w:val="en-GB"/>
              </w:rPr>
              <w:tab/>
              <w:t>= Proportion of water used by the service sector over the total use</w:t>
            </w:r>
          </w:p>
          <w:p w14:paraId="456CB4BA" w14:textId="77777777" w:rsidR="00221C59" w:rsidRPr="00DD1E5F" w:rsidRDefault="00221C59" w:rsidP="00221C59">
            <w:pPr>
              <w:pStyle w:val="NoSpacing"/>
              <w:rPr>
                <w:szCs w:val="20"/>
                <w:lang w:val="en-GB"/>
              </w:rPr>
            </w:pPr>
          </w:p>
          <w:p w14:paraId="765E10D2" w14:textId="77777777" w:rsidR="00221C59" w:rsidRPr="00DD1E5F" w:rsidRDefault="00221C59" w:rsidP="00221C59">
            <w:pPr>
              <w:pStyle w:val="NoSpacing"/>
              <w:rPr>
                <w:szCs w:val="20"/>
                <w:lang w:val="en-GB"/>
              </w:rPr>
            </w:pPr>
            <w:r w:rsidRPr="00DD1E5F">
              <w:rPr>
                <w:szCs w:val="20"/>
                <w:lang w:val="en-GB"/>
              </w:rPr>
              <w:t>The computing of each sector is described below.</w:t>
            </w:r>
          </w:p>
          <w:p w14:paraId="11B82C8C" w14:textId="77777777" w:rsidR="00221C59" w:rsidRPr="00DD1E5F" w:rsidRDefault="00221C59" w:rsidP="00221C59">
            <w:pPr>
              <w:pStyle w:val="NoSpacing"/>
              <w:rPr>
                <w:szCs w:val="20"/>
                <w:lang w:val="en-GB"/>
              </w:rPr>
            </w:pPr>
            <w:r w:rsidRPr="00DD1E5F">
              <w:rPr>
                <w:i/>
                <w:szCs w:val="20"/>
                <w:lang w:val="en-GB"/>
              </w:rPr>
              <w:t>Water use efficiency in irrigated agriculture</w:t>
            </w:r>
            <w:r w:rsidRPr="00DD1E5F">
              <w:rPr>
                <w:szCs w:val="20"/>
                <w:lang w:val="en-GB"/>
              </w:rPr>
              <w:t xml:space="preserve"> is calculated as the agricultural value added per agricultural water use, expressed in USD/m</w:t>
            </w:r>
            <w:r w:rsidRPr="00DD1E5F">
              <w:rPr>
                <w:szCs w:val="20"/>
                <w:vertAlign w:val="superscript"/>
                <w:lang w:val="en-GB"/>
              </w:rPr>
              <w:t>3</w:t>
            </w:r>
            <w:r w:rsidRPr="00DD1E5F">
              <w:rPr>
                <w:szCs w:val="20"/>
                <w:lang w:val="en-GB"/>
              </w:rPr>
              <w:t xml:space="preserve">. </w:t>
            </w:r>
          </w:p>
          <w:p w14:paraId="6191ABD5" w14:textId="77777777" w:rsidR="00221C59" w:rsidRPr="00DD1E5F" w:rsidRDefault="00221C59" w:rsidP="00221C59">
            <w:pPr>
              <w:pStyle w:val="NoSpacing"/>
              <w:rPr>
                <w:szCs w:val="20"/>
                <w:lang w:val="en-GB"/>
              </w:rPr>
            </w:pPr>
            <w:r w:rsidRPr="00DD1E5F">
              <w:rPr>
                <w:szCs w:val="20"/>
                <w:lang w:val="en-GB"/>
              </w:rPr>
              <w:t>In formula:</w:t>
            </w:r>
          </w:p>
          <w:p w14:paraId="2C79F454" w14:textId="77777777" w:rsidR="00221C59" w:rsidRPr="00DD1E5F" w:rsidRDefault="00221C59" w:rsidP="00221C59">
            <w:pPr>
              <w:pStyle w:val="NoSpacing"/>
              <w:rPr>
                <w:szCs w:val="20"/>
                <w:lang w:val="en-GB"/>
              </w:rPr>
            </w:pPr>
          </w:p>
          <w:p w14:paraId="5D9F0E36" w14:textId="77777777" w:rsidR="00221C59" w:rsidRPr="00DD1E5F" w:rsidRDefault="004B4A24" w:rsidP="00221C59">
            <w:pPr>
              <w:pStyle w:val="NoSpacing"/>
              <w:rPr>
                <w:szCs w:val="20"/>
                <w:lang w:val="en-GB"/>
              </w:rPr>
            </w:pPr>
            <m:oMathPara>
              <m:oMath>
                <m:sSub>
                  <m:sSubPr>
                    <m:ctrlPr>
                      <w:rPr>
                        <w:rFonts w:ascii="Cambria Math" w:hAnsi="Cambria Math"/>
                        <w:szCs w:val="20"/>
                        <w:lang w:val="en-GB"/>
                      </w:rPr>
                    </m:ctrlPr>
                  </m:sSubPr>
                  <m:e>
                    <m:r>
                      <w:rPr>
                        <w:rFonts w:ascii="Cambria Math" w:hAnsi="Cambria Math"/>
                        <w:szCs w:val="20"/>
                        <w:lang w:val="en-GB"/>
                      </w:rPr>
                      <m:t>A</m:t>
                    </m:r>
                  </m:e>
                  <m:sub>
                    <m:r>
                      <w:rPr>
                        <w:rFonts w:ascii="Cambria Math" w:hAnsi="Cambria Math"/>
                        <w:szCs w:val="20"/>
                        <w:lang w:val="en-GB"/>
                      </w:rPr>
                      <m:t>we</m:t>
                    </m:r>
                  </m:sub>
                </m:sSub>
                <m:r>
                  <m:rPr>
                    <m:sty m:val="p"/>
                  </m:rPr>
                  <w:rPr>
                    <w:rFonts w:ascii="Cambria Math" w:hAnsi="Cambria Math"/>
                    <w:szCs w:val="20"/>
                    <w:lang w:val="en-GB"/>
                  </w:rPr>
                  <m:t>=</m:t>
                </m:r>
                <m:f>
                  <m:fPr>
                    <m:ctrlPr>
                      <w:rPr>
                        <w:rFonts w:ascii="Cambria Math" w:hAnsi="Cambria Math"/>
                        <w:szCs w:val="20"/>
                        <w:lang w:val="en-GB"/>
                      </w:rPr>
                    </m:ctrlPr>
                  </m:fPr>
                  <m:num>
                    <m:sSub>
                      <m:sSubPr>
                        <m:ctrlPr>
                          <w:rPr>
                            <w:rFonts w:ascii="Cambria Math" w:hAnsi="Cambria Math"/>
                            <w:szCs w:val="20"/>
                            <w:lang w:val="en-GB"/>
                          </w:rPr>
                        </m:ctrlPr>
                      </m:sSubPr>
                      <m:e>
                        <m:r>
                          <w:rPr>
                            <w:rFonts w:ascii="Cambria Math" w:hAnsi="Cambria Math"/>
                            <w:szCs w:val="20"/>
                            <w:lang w:val="en-GB"/>
                          </w:rPr>
                          <m:t>GVA</m:t>
                        </m:r>
                      </m:e>
                      <m:sub>
                        <m:r>
                          <w:rPr>
                            <w:rFonts w:ascii="Cambria Math" w:hAnsi="Cambria Math"/>
                            <w:szCs w:val="20"/>
                            <w:lang w:val="en-GB"/>
                          </w:rPr>
                          <m:t>a</m:t>
                        </m:r>
                      </m:sub>
                    </m:sSub>
                    <m:r>
                      <m:rPr>
                        <m:sty m:val="p"/>
                      </m:rPr>
                      <w:rPr>
                        <w:rFonts w:ascii="Cambria Math" w:hAnsi="Cambria Math"/>
                        <w:szCs w:val="20"/>
                        <w:lang w:val="en-GB"/>
                      </w:rPr>
                      <m:t>×(1-</m:t>
                    </m:r>
                    <m:sSub>
                      <m:sSubPr>
                        <m:ctrlPr>
                          <w:rPr>
                            <w:rFonts w:ascii="Cambria Math" w:hAnsi="Cambria Math"/>
                            <w:szCs w:val="20"/>
                            <w:lang w:val="en-GB"/>
                          </w:rPr>
                        </m:ctrlPr>
                      </m:sSubPr>
                      <m:e>
                        <m:r>
                          <w:rPr>
                            <w:rFonts w:ascii="Cambria Math" w:hAnsi="Cambria Math"/>
                            <w:szCs w:val="20"/>
                            <w:lang w:val="en-GB"/>
                          </w:rPr>
                          <m:t>C</m:t>
                        </m:r>
                      </m:e>
                      <m:sub>
                        <m:r>
                          <w:rPr>
                            <w:rFonts w:ascii="Cambria Math" w:hAnsi="Cambria Math"/>
                            <w:szCs w:val="20"/>
                            <w:lang w:val="en-GB"/>
                          </w:rPr>
                          <m:t>r</m:t>
                        </m:r>
                      </m:sub>
                    </m:sSub>
                    <m:r>
                      <m:rPr>
                        <m:sty m:val="p"/>
                      </m:rPr>
                      <w:rPr>
                        <w:rFonts w:ascii="Cambria Math" w:hAnsi="Cambria Math"/>
                        <w:szCs w:val="20"/>
                        <w:lang w:val="en-GB"/>
                      </w:rPr>
                      <m:t>)</m:t>
                    </m:r>
                  </m:num>
                  <m:den>
                    <m:sSub>
                      <m:sSubPr>
                        <m:ctrlPr>
                          <w:rPr>
                            <w:rFonts w:ascii="Cambria Math" w:hAnsi="Cambria Math"/>
                            <w:szCs w:val="20"/>
                            <w:lang w:val="en-GB"/>
                          </w:rPr>
                        </m:ctrlPr>
                      </m:sSubPr>
                      <m:e>
                        <m:r>
                          <w:rPr>
                            <w:rFonts w:ascii="Cambria Math" w:hAnsi="Cambria Math"/>
                            <w:szCs w:val="20"/>
                            <w:lang w:val="en-GB"/>
                          </w:rPr>
                          <m:t>V</m:t>
                        </m:r>
                      </m:e>
                      <m:sub>
                        <m:r>
                          <w:rPr>
                            <w:rFonts w:ascii="Cambria Math" w:hAnsi="Cambria Math"/>
                            <w:szCs w:val="20"/>
                            <w:lang w:val="en-GB"/>
                          </w:rPr>
                          <m:t>a</m:t>
                        </m:r>
                      </m:sub>
                    </m:sSub>
                  </m:den>
                </m:f>
              </m:oMath>
            </m:oMathPara>
          </w:p>
          <w:p w14:paraId="39F10356" w14:textId="77777777" w:rsidR="00221C59" w:rsidRPr="00DD1E5F" w:rsidRDefault="00221C59" w:rsidP="00221C59">
            <w:pPr>
              <w:pStyle w:val="NoSpacing"/>
              <w:rPr>
                <w:szCs w:val="20"/>
                <w:lang w:val="en-GB"/>
              </w:rPr>
            </w:pPr>
            <w:r w:rsidRPr="00DD1E5F">
              <w:rPr>
                <w:szCs w:val="20"/>
                <w:lang w:val="en-GB"/>
              </w:rPr>
              <w:t>Where:</w:t>
            </w:r>
          </w:p>
          <w:p w14:paraId="6E19CC49" w14:textId="77777777" w:rsidR="00221C59" w:rsidRPr="00DD1E5F" w:rsidRDefault="00221C59" w:rsidP="00221C59">
            <w:pPr>
              <w:pStyle w:val="NoSpacing"/>
              <w:rPr>
                <w:szCs w:val="20"/>
                <w:lang w:val="en-GB"/>
              </w:rPr>
            </w:pPr>
            <w:r w:rsidRPr="00DD1E5F">
              <w:rPr>
                <w:szCs w:val="20"/>
                <w:lang w:val="en-GB"/>
              </w:rPr>
              <w:t>A</w:t>
            </w:r>
            <w:r w:rsidRPr="00DD1E5F">
              <w:rPr>
                <w:szCs w:val="20"/>
                <w:vertAlign w:val="subscript"/>
                <w:lang w:val="en-GB"/>
              </w:rPr>
              <w:t>we</w:t>
            </w:r>
            <w:r w:rsidRPr="00DD1E5F">
              <w:rPr>
                <w:szCs w:val="20"/>
                <w:lang w:val="en-GB"/>
              </w:rPr>
              <w:t xml:space="preserve"> </w:t>
            </w:r>
            <w:r w:rsidRPr="00DD1E5F">
              <w:rPr>
                <w:szCs w:val="20"/>
                <w:lang w:val="en-GB"/>
              </w:rPr>
              <w:tab/>
              <w:t>= Irrigated agriculture water use efficiency [USD/m</w:t>
            </w:r>
            <w:r w:rsidRPr="00DD1E5F">
              <w:rPr>
                <w:szCs w:val="20"/>
                <w:vertAlign w:val="superscript"/>
                <w:lang w:val="en-GB"/>
              </w:rPr>
              <w:t>3</w:t>
            </w:r>
            <w:r w:rsidRPr="00DD1E5F">
              <w:rPr>
                <w:szCs w:val="20"/>
                <w:lang w:val="en-GB"/>
              </w:rPr>
              <w:t>]</w:t>
            </w:r>
          </w:p>
          <w:p w14:paraId="6EBF08C0" w14:textId="77777777" w:rsidR="00221C59" w:rsidRPr="00DD1E5F" w:rsidRDefault="00221C59" w:rsidP="00221C59">
            <w:pPr>
              <w:pStyle w:val="NoSpacing"/>
              <w:rPr>
                <w:szCs w:val="20"/>
                <w:lang w:val="en-GB"/>
              </w:rPr>
            </w:pPr>
            <w:r w:rsidRPr="00DD1E5F">
              <w:rPr>
                <w:szCs w:val="20"/>
                <w:lang w:val="en-GB"/>
              </w:rPr>
              <w:t>GVA</w:t>
            </w:r>
            <w:r w:rsidRPr="00DD1E5F">
              <w:rPr>
                <w:szCs w:val="20"/>
                <w:vertAlign w:val="subscript"/>
                <w:lang w:val="en-GB"/>
              </w:rPr>
              <w:t>a</w:t>
            </w:r>
            <w:r w:rsidRPr="00DD1E5F">
              <w:rPr>
                <w:szCs w:val="20"/>
                <w:vertAlign w:val="subscript"/>
                <w:lang w:val="en-GB"/>
              </w:rPr>
              <w:tab/>
            </w:r>
            <w:r w:rsidRPr="00DD1E5F">
              <w:rPr>
                <w:szCs w:val="20"/>
                <w:lang w:val="en-GB"/>
              </w:rPr>
              <w:t>= Gross value added by agriculture (excluding river and marine fisheries and forestry) [USD]</w:t>
            </w:r>
          </w:p>
          <w:p w14:paraId="31BF8DE2" w14:textId="77777777" w:rsidR="00221C59" w:rsidRPr="00DD1E5F" w:rsidRDefault="00221C59" w:rsidP="00221C59">
            <w:pPr>
              <w:pStyle w:val="NoSpacing"/>
              <w:rPr>
                <w:szCs w:val="20"/>
                <w:lang w:val="en-GB"/>
              </w:rPr>
            </w:pPr>
            <w:r w:rsidRPr="00DD1E5F">
              <w:rPr>
                <w:szCs w:val="20"/>
                <w:lang w:val="en-GB"/>
              </w:rPr>
              <w:t>C</w:t>
            </w:r>
            <w:r w:rsidRPr="00DD1E5F">
              <w:rPr>
                <w:szCs w:val="20"/>
                <w:vertAlign w:val="subscript"/>
                <w:lang w:val="en-GB"/>
              </w:rPr>
              <w:t>r</w:t>
            </w:r>
            <w:r w:rsidRPr="00DD1E5F">
              <w:rPr>
                <w:szCs w:val="20"/>
                <w:lang w:val="en-GB"/>
              </w:rPr>
              <w:t xml:space="preserve"> </w:t>
            </w:r>
            <w:r w:rsidRPr="00DD1E5F">
              <w:rPr>
                <w:szCs w:val="20"/>
                <w:lang w:val="en-GB"/>
              </w:rPr>
              <w:tab/>
              <w:t xml:space="preserve">= Proportion of agricultural GVA produced by rainfed agriculture </w:t>
            </w:r>
          </w:p>
          <w:p w14:paraId="1CB2F2BE" w14:textId="77777777" w:rsidR="00221C59" w:rsidRPr="00DD1E5F" w:rsidRDefault="00221C59" w:rsidP="00221C59">
            <w:pPr>
              <w:pStyle w:val="NoSpacing"/>
              <w:rPr>
                <w:szCs w:val="20"/>
                <w:lang w:val="en-GB"/>
              </w:rPr>
            </w:pPr>
            <w:r w:rsidRPr="00DD1E5F">
              <w:rPr>
                <w:szCs w:val="20"/>
                <w:lang w:val="en-GB"/>
              </w:rPr>
              <w:t>V</w:t>
            </w:r>
            <w:r w:rsidRPr="00DD1E5F">
              <w:rPr>
                <w:szCs w:val="20"/>
                <w:vertAlign w:val="subscript"/>
                <w:lang w:val="en-GB"/>
              </w:rPr>
              <w:t>a</w:t>
            </w:r>
            <w:r w:rsidRPr="00DD1E5F">
              <w:rPr>
                <w:szCs w:val="20"/>
                <w:lang w:val="en-GB"/>
              </w:rPr>
              <w:t xml:space="preserve"> </w:t>
            </w:r>
            <w:r w:rsidRPr="00DD1E5F">
              <w:rPr>
                <w:szCs w:val="20"/>
                <w:lang w:val="en-GB"/>
              </w:rPr>
              <w:tab/>
              <w:t>= Volume of water used by the agricultural sector (including irrigation, livestock and aquaculture) [m</w:t>
            </w:r>
            <w:r w:rsidRPr="00DD1E5F">
              <w:rPr>
                <w:szCs w:val="20"/>
                <w:vertAlign w:val="superscript"/>
                <w:lang w:val="en-GB"/>
              </w:rPr>
              <w:t>3</w:t>
            </w:r>
            <w:r w:rsidRPr="00DD1E5F">
              <w:rPr>
                <w:szCs w:val="20"/>
                <w:lang w:val="en-GB"/>
              </w:rPr>
              <w:t>]</w:t>
            </w:r>
          </w:p>
          <w:p w14:paraId="18171C1F" w14:textId="77777777" w:rsidR="00221C59" w:rsidRPr="00DD1E5F" w:rsidRDefault="00221C59" w:rsidP="00221C59">
            <w:pPr>
              <w:pStyle w:val="NoSpacing"/>
              <w:rPr>
                <w:szCs w:val="20"/>
                <w:lang w:val="en-GB"/>
              </w:rPr>
            </w:pPr>
          </w:p>
          <w:p w14:paraId="499E9479" w14:textId="77777777" w:rsidR="00221C59" w:rsidRPr="00DD1E5F" w:rsidRDefault="00221C59" w:rsidP="00221C59">
            <w:pPr>
              <w:pStyle w:val="NoSpacing"/>
              <w:rPr>
                <w:szCs w:val="20"/>
                <w:lang w:val="en-GB"/>
              </w:rPr>
            </w:pPr>
            <w:r w:rsidRPr="00DD1E5F">
              <w:rPr>
                <w:szCs w:val="20"/>
                <w:lang w:val="en-GB"/>
              </w:rPr>
              <w:t>The volume of water used by the agricultural sectors (V) is collected at country level through national records and reported in questionnaires, in units of m</w:t>
            </w:r>
            <w:r w:rsidRPr="00DD1E5F">
              <w:rPr>
                <w:szCs w:val="20"/>
                <w:vertAlign w:val="superscript"/>
                <w:lang w:val="en-GB"/>
              </w:rPr>
              <w:t>3</w:t>
            </w:r>
            <w:r w:rsidRPr="00DD1E5F">
              <w:rPr>
                <w:szCs w:val="20"/>
                <w:lang w:val="en-GB"/>
              </w:rPr>
              <w:t xml:space="preserve">/year (see example in AQUASTAT </w:t>
            </w:r>
            <w:hyperlink r:id="rId77" w:history="1">
              <w:r w:rsidRPr="00DD1E5F">
                <w:rPr>
                  <w:rStyle w:val="Hyperlink"/>
                  <w:szCs w:val="20"/>
                  <w:lang w:val="en-GB"/>
                </w:rPr>
                <w:t>http://www.fao.org/nr/water/aquastat/sets/aq-5yr-quest_eng.xls</w:t>
              </w:r>
            </w:hyperlink>
            <w:r w:rsidRPr="00DD1E5F">
              <w:rPr>
                <w:szCs w:val="20"/>
                <w:lang w:val="en-GB"/>
              </w:rPr>
              <w:t>). Agricultural value added in national currency is obtained from national statistics, converted to USD and deflated to the baseline year.</w:t>
            </w:r>
          </w:p>
          <w:p w14:paraId="63B2BD2C" w14:textId="77777777" w:rsidR="00221C59" w:rsidRPr="00DD1E5F" w:rsidRDefault="00221C59" w:rsidP="00221C59">
            <w:pPr>
              <w:pStyle w:val="NoSpacing"/>
              <w:rPr>
                <w:szCs w:val="20"/>
              </w:rPr>
            </w:pPr>
          </w:p>
          <w:p w14:paraId="5B102B4E" w14:textId="77777777" w:rsidR="00221C59" w:rsidRPr="00DD1E5F" w:rsidRDefault="00221C59" w:rsidP="00221C59">
            <w:pPr>
              <w:pStyle w:val="NoSpacing"/>
              <w:rPr>
                <w:szCs w:val="20"/>
              </w:rPr>
            </w:pPr>
            <w:r w:rsidRPr="00DD1E5F">
              <w:rPr>
                <w:szCs w:val="20"/>
              </w:rPr>
              <w:t>C</w:t>
            </w:r>
            <w:r w:rsidRPr="00DD1E5F">
              <w:rPr>
                <w:szCs w:val="20"/>
                <w:vertAlign w:val="subscript"/>
              </w:rPr>
              <w:t>r</w:t>
            </w:r>
            <w:r w:rsidRPr="00DD1E5F">
              <w:rPr>
                <w:szCs w:val="20"/>
              </w:rPr>
              <w:t xml:space="preserve"> can be calculated from the proportion of irrigated land on the total Arable land and Permanent crops (hereinafter “cultivated land”, as follows:</w:t>
            </w:r>
          </w:p>
          <w:p w14:paraId="165A45E0" w14:textId="77777777" w:rsidR="00221C59" w:rsidRPr="00DD1E5F" w:rsidRDefault="004B4A24" w:rsidP="00221C59">
            <w:pPr>
              <w:pStyle w:val="NoSpacing"/>
              <w:rPr>
                <w:szCs w:val="20"/>
              </w:rPr>
            </w:pPr>
            <m:oMathPara>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r</m:t>
                    </m:r>
                  </m:sub>
                </m:sSub>
                <m:r>
                  <w:rPr>
                    <w:rFonts w:ascii="Cambria Math" w:hAnsi="Cambria Math"/>
                    <w:szCs w:val="20"/>
                  </w:rPr>
                  <m:t>=</m:t>
                </m:r>
                <m:f>
                  <m:fPr>
                    <m:ctrlPr>
                      <w:rPr>
                        <w:rFonts w:ascii="Cambria Math" w:hAnsi="Cambria Math"/>
                        <w:i/>
                        <w:szCs w:val="20"/>
                      </w:rPr>
                    </m:ctrlPr>
                  </m:fPr>
                  <m:num>
                    <m:r>
                      <w:rPr>
                        <w:rFonts w:ascii="Cambria Math" w:hAnsi="Cambria Math"/>
                        <w:szCs w:val="20"/>
                      </w:rPr>
                      <m:t>1</m:t>
                    </m:r>
                  </m:num>
                  <m:den>
                    <m:r>
                      <w:rPr>
                        <w:rFonts w:ascii="Cambria Math" w:hAnsi="Cambria Math"/>
                        <w:szCs w:val="20"/>
                      </w:rPr>
                      <m:t>1+</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A</m:t>
                            </m:r>
                          </m:e>
                          <m:sub>
                            <m:r>
                              <w:rPr>
                                <w:rFonts w:ascii="Cambria Math" w:hAnsi="Cambria Math"/>
                                <w:szCs w:val="20"/>
                              </w:rPr>
                              <m:t>i</m:t>
                            </m:r>
                          </m:sub>
                        </m:sSub>
                      </m:num>
                      <m:den>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A</m:t>
                                </m:r>
                              </m:e>
                              <m:sub>
                                <m:r>
                                  <w:rPr>
                                    <w:rFonts w:ascii="Cambria Math" w:hAnsi="Cambria Math"/>
                                    <w:szCs w:val="20"/>
                                  </w:rPr>
                                  <m:t>i</m:t>
                                </m:r>
                              </m:sub>
                            </m:sSub>
                          </m:e>
                        </m:d>
                        <m:r>
                          <w:rPr>
                            <w:rFonts w:ascii="Cambria Math" w:hAnsi="Cambria Math"/>
                            <w:szCs w:val="20"/>
                          </w:rPr>
                          <m:t>*0.375</m:t>
                        </m:r>
                      </m:den>
                    </m:f>
                  </m:den>
                </m:f>
              </m:oMath>
            </m:oMathPara>
          </w:p>
          <w:p w14:paraId="2037637D" w14:textId="77777777" w:rsidR="00221C59" w:rsidRPr="00DD1E5F" w:rsidRDefault="00221C59" w:rsidP="00221C59">
            <w:pPr>
              <w:pStyle w:val="NoSpacing"/>
              <w:rPr>
                <w:szCs w:val="20"/>
              </w:rPr>
            </w:pPr>
            <w:r w:rsidRPr="00DD1E5F">
              <w:rPr>
                <w:szCs w:val="20"/>
              </w:rPr>
              <w:t>Where:</w:t>
            </w:r>
          </w:p>
          <w:p w14:paraId="07F08655" w14:textId="77777777" w:rsidR="00221C59" w:rsidRPr="00DD1E5F" w:rsidRDefault="00221C59" w:rsidP="00221C59">
            <w:pPr>
              <w:pStyle w:val="NoSpacing"/>
              <w:rPr>
                <w:szCs w:val="20"/>
              </w:rPr>
            </w:pPr>
            <w:r w:rsidRPr="00DD1E5F">
              <w:rPr>
                <w:szCs w:val="20"/>
              </w:rPr>
              <w:lastRenderedPageBreak/>
              <w:t>A</w:t>
            </w:r>
            <w:r w:rsidRPr="00DD1E5F">
              <w:rPr>
                <w:szCs w:val="20"/>
                <w:vertAlign w:val="subscript"/>
              </w:rPr>
              <w:t>i</w:t>
            </w:r>
            <w:r w:rsidRPr="00DD1E5F">
              <w:rPr>
                <w:szCs w:val="20"/>
              </w:rPr>
              <w:t xml:space="preserve"> </w:t>
            </w:r>
            <w:r w:rsidRPr="00DD1E5F">
              <w:rPr>
                <w:szCs w:val="20"/>
                <w:lang w:val="en-GB"/>
              </w:rPr>
              <w:tab/>
            </w:r>
            <w:r w:rsidRPr="00DD1E5F">
              <w:rPr>
                <w:szCs w:val="20"/>
              </w:rPr>
              <w:t>= proportion of irrigated land on the total cultivated land, in decimals</w:t>
            </w:r>
          </w:p>
          <w:p w14:paraId="315E2F24" w14:textId="77777777" w:rsidR="00221C59" w:rsidRPr="00DD1E5F" w:rsidRDefault="00221C59" w:rsidP="00221C59">
            <w:pPr>
              <w:pStyle w:val="NoSpacing"/>
              <w:rPr>
                <w:szCs w:val="20"/>
              </w:rPr>
            </w:pPr>
            <w:r w:rsidRPr="00DD1E5F">
              <w:rPr>
                <w:szCs w:val="20"/>
              </w:rPr>
              <w:t xml:space="preserve">0.375 </w:t>
            </w:r>
            <w:r w:rsidRPr="00DD1E5F">
              <w:rPr>
                <w:szCs w:val="20"/>
                <w:lang w:val="en-GB"/>
              </w:rPr>
              <w:tab/>
            </w:r>
            <w:r w:rsidRPr="00DD1E5F">
              <w:rPr>
                <w:szCs w:val="20"/>
              </w:rPr>
              <w:t>= generic default ratio between rainfed and irrigated yields</w:t>
            </w:r>
          </w:p>
          <w:p w14:paraId="05433DC4" w14:textId="77777777" w:rsidR="00221C59" w:rsidRPr="00DD1E5F" w:rsidRDefault="00221C59" w:rsidP="00221C59">
            <w:pPr>
              <w:pStyle w:val="NoSpacing"/>
              <w:rPr>
                <w:szCs w:val="20"/>
                <w:lang w:val="en-GB"/>
              </w:rPr>
            </w:pPr>
            <w:r w:rsidRPr="00DD1E5F">
              <w:rPr>
                <w:szCs w:val="20"/>
                <w:lang w:val="en-GB"/>
              </w:rPr>
              <w:t>More detailed estimations are however possible and encouraged at country level.</w:t>
            </w:r>
          </w:p>
          <w:p w14:paraId="7FA538D4" w14:textId="77777777" w:rsidR="00221C59" w:rsidRPr="00DD1E5F" w:rsidRDefault="00221C59" w:rsidP="00221C59">
            <w:pPr>
              <w:pStyle w:val="NoSpacing"/>
              <w:rPr>
                <w:szCs w:val="20"/>
                <w:lang w:val="en-GB"/>
              </w:rPr>
            </w:pPr>
          </w:p>
          <w:p w14:paraId="008218CD" w14:textId="77777777" w:rsidR="00221C59" w:rsidRPr="00DD1E5F" w:rsidRDefault="00221C59" w:rsidP="00221C59">
            <w:pPr>
              <w:pStyle w:val="NoSpacing"/>
              <w:rPr>
                <w:szCs w:val="20"/>
                <w:lang w:val="en-GB"/>
              </w:rPr>
            </w:pPr>
            <w:r w:rsidRPr="00DD1E5F">
              <w:rPr>
                <w:i/>
                <w:szCs w:val="20"/>
                <w:lang w:val="en-GB"/>
              </w:rPr>
              <w:t xml:space="preserve">Water efficiency of the MIMEC sectors (including power production): </w:t>
            </w:r>
            <w:r w:rsidRPr="00DD1E5F">
              <w:rPr>
                <w:szCs w:val="20"/>
                <w:lang w:val="en-GB"/>
              </w:rPr>
              <w:t>MIMEC value added per unit of water used for the MIMEC sector, expressed in USD/m</w:t>
            </w:r>
            <w:r w:rsidRPr="00DD1E5F">
              <w:rPr>
                <w:szCs w:val="20"/>
                <w:vertAlign w:val="superscript"/>
                <w:lang w:val="en-GB"/>
              </w:rPr>
              <w:t>3</w:t>
            </w:r>
            <w:r w:rsidRPr="00DD1E5F">
              <w:rPr>
                <w:szCs w:val="20"/>
                <w:lang w:val="en-GB"/>
              </w:rPr>
              <w:t>.</w:t>
            </w:r>
          </w:p>
          <w:p w14:paraId="19FE26A6" w14:textId="77777777" w:rsidR="00221C59" w:rsidRPr="00DD1E5F" w:rsidRDefault="00221C59" w:rsidP="00221C59">
            <w:pPr>
              <w:pStyle w:val="NoSpacing"/>
              <w:rPr>
                <w:szCs w:val="20"/>
                <w:lang w:val="en-GB"/>
              </w:rPr>
            </w:pPr>
            <w:r w:rsidRPr="00DD1E5F">
              <w:rPr>
                <w:szCs w:val="20"/>
                <w:lang w:val="en-GB"/>
              </w:rPr>
              <w:t>In formula:</w:t>
            </w:r>
          </w:p>
          <w:p w14:paraId="461D6E4B" w14:textId="77777777" w:rsidR="00221C59" w:rsidRPr="00DD1E5F" w:rsidRDefault="004B4A24" w:rsidP="00221C59">
            <w:pPr>
              <w:pStyle w:val="NoSpacing"/>
              <w:rPr>
                <w:i/>
                <w:szCs w:val="20"/>
                <w:lang w:val="en-GB"/>
              </w:rPr>
            </w:pPr>
            <m:oMathPara>
              <m:oMath>
                <m:sSub>
                  <m:sSubPr>
                    <m:ctrlPr>
                      <w:rPr>
                        <w:rFonts w:ascii="Cambria Math" w:hAnsi="Cambria Math"/>
                        <w:i/>
                        <w:szCs w:val="20"/>
                        <w:lang w:val="en-GB"/>
                      </w:rPr>
                    </m:ctrlPr>
                  </m:sSubPr>
                  <m:e>
                    <m:r>
                      <w:rPr>
                        <w:rFonts w:ascii="Cambria Math" w:hAnsi="Cambria Math"/>
                        <w:szCs w:val="20"/>
                        <w:lang w:val="en-GB"/>
                      </w:rPr>
                      <m:t>M</m:t>
                    </m:r>
                  </m:e>
                  <m:sub>
                    <m:r>
                      <w:rPr>
                        <w:rFonts w:ascii="Cambria Math" w:hAnsi="Cambria Math"/>
                        <w:szCs w:val="20"/>
                        <w:lang w:val="en-GB"/>
                      </w:rPr>
                      <m:t>we</m:t>
                    </m:r>
                  </m:sub>
                </m:sSub>
                <m:r>
                  <w:rPr>
                    <w:rFonts w:ascii="Cambria Math" w:hAnsi="Cambria Math"/>
                    <w:szCs w:val="20"/>
                    <w:lang w:val="en-GB"/>
                  </w:rPr>
                  <m:t>=</m:t>
                </m:r>
                <m:f>
                  <m:fPr>
                    <m:ctrlPr>
                      <w:rPr>
                        <w:rFonts w:ascii="Cambria Math" w:hAnsi="Cambria Math"/>
                        <w:i/>
                        <w:szCs w:val="20"/>
                        <w:lang w:val="en-GB"/>
                      </w:rPr>
                    </m:ctrlPr>
                  </m:fPr>
                  <m:num>
                    <m:sSub>
                      <m:sSubPr>
                        <m:ctrlPr>
                          <w:rPr>
                            <w:rFonts w:ascii="Cambria Math" w:hAnsi="Cambria Math"/>
                            <w:i/>
                            <w:szCs w:val="20"/>
                            <w:lang w:val="en-GB"/>
                          </w:rPr>
                        </m:ctrlPr>
                      </m:sSubPr>
                      <m:e>
                        <m:r>
                          <w:rPr>
                            <w:rFonts w:ascii="Cambria Math" w:hAnsi="Cambria Math"/>
                            <w:szCs w:val="20"/>
                            <w:lang w:val="en-GB"/>
                          </w:rPr>
                          <m:t>GVA</m:t>
                        </m:r>
                      </m:e>
                      <m:sub>
                        <m:r>
                          <w:rPr>
                            <w:rFonts w:ascii="Cambria Math" w:hAnsi="Cambria Math"/>
                            <w:szCs w:val="20"/>
                            <w:lang w:val="en-GB"/>
                          </w:rPr>
                          <m:t>m</m:t>
                        </m:r>
                      </m:sub>
                    </m:sSub>
                  </m:num>
                  <m:den>
                    <m:sSub>
                      <m:sSubPr>
                        <m:ctrlPr>
                          <w:rPr>
                            <w:rFonts w:ascii="Cambria Math" w:hAnsi="Cambria Math"/>
                            <w:i/>
                            <w:szCs w:val="20"/>
                            <w:lang w:val="en-GB"/>
                          </w:rPr>
                        </m:ctrlPr>
                      </m:sSubPr>
                      <m:e>
                        <m:r>
                          <w:rPr>
                            <w:rFonts w:ascii="Cambria Math" w:hAnsi="Cambria Math"/>
                            <w:szCs w:val="20"/>
                            <w:lang w:val="en-GB"/>
                          </w:rPr>
                          <m:t>V</m:t>
                        </m:r>
                      </m:e>
                      <m:sub>
                        <m:r>
                          <w:rPr>
                            <w:rFonts w:ascii="Cambria Math" w:hAnsi="Cambria Math"/>
                            <w:szCs w:val="20"/>
                            <w:lang w:val="en-GB"/>
                          </w:rPr>
                          <m:t>m</m:t>
                        </m:r>
                      </m:sub>
                    </m:sSub>
                  </m:den>
                </m:f>
              </m:oMath>
            </m:oMathPara>
          </w:p>
          <w:p w14:paraId="721D1D3B" w14:textId="77777777" w:rsidR="00221C59" w:rsidRPr="00DD1E5F" w:rsidRDefault="00221C59" w:rsidP="00221C59">
            <w:pPr>
              <w:pStyle w:val="NoSpacing"/>
              <w:rPr>
                <w:szCs w:val="20"/>
                <w:lang w:val="en-GB"/>
              </w:rPr>
            </w:pPr>
            <w:r w:rsidRPr="00DD1E5F">
              <w:rPr>
                <w:szCs w:val="20"/>
                <w:lang w:val="en-GB"/>
              </w:rPr>
              <w:t>Where:</w:t>
            </w:r>
          </w:p>
          <w:p w14:paraId="61F74AD4" w14:textId="77777777" w:rsidR="00221C59" w:rsidRPr="00DD1E5F" w:rsidRDefault="00221C59" w:rsidP="00221C59">
            <w:pPr>
              <w:pStyle w:val="NoSpacing"/>
              <w:rPr>
                <w:szCs w:val="20"/>
                <w:lang w:val="en-GB"/>
              </w:rPr>
            </w:pPr>
            <w:r w:rsidRPr="00DD1E5F">
              <w:rPr>
                <w:szCs w:val="20"/>
                <w:lang w:val="en-GB"/>
              </w:rPr>
              <w:t>M</w:t>
            </w:r>
            <w:r w:rsidRPr="00DD1E5F">
              <w:rPr>
                <w:szCs w:val="20"/>
                <w:vertAlign w:val="subscript"/>
                <w:lang w:val="en-GB"/>
              </w:rPr>
              <w:t>we</w:t>
            </w:r>
            <w:r w:rsidRPr="00DD1E5F">
              <w:rPr>
                <w:szCs w:val="20"/>
                <w:lang w:val="en-GB"/>
              </w:rPr>
              <w:t xml:space="preserve"> </w:t>
            </w:r>
            <w:r w:rsidRPr="00DD1E5F">
              <w:rPr>
                <w:szCs w:val="20"/>
                <w:lang w:val="en-GB"/>
              </w:rPr>
              <w:tab/>
              <w:t>= Industrial water use efficiency [USD/m</w:t>
            </w:r>
            <w:r w:rsidRPr="00DD1E5F">
              <w:rPr>
                <w:szCs w:val="20"/>
                <w:vertAlign w:val="superscript"/>
                <w:lang w:val="en-GB"/>
              </w:rPr>
              <w:t>3</w:t>
            </w:r>
            <w:r w:rsidRPr="00DD1E5F">
              <w:rPr>
                <w:szCs w:val="20"/>
                <w:lang w:val="en-GB"/>
              </w:rPr>
              <w:t>]</w:t>
            </w:r>
          </w:p>
          <w:p w14:paraId="66FEA485" w14:textId="77777777" w:rsidR="00221C59" w:rsidRPr="00DD1E5F" w:rsidRDefault="00221C59" w:rsidP="00221C59">
            <w:pPr>
              <w:pStyle w:val="NoSpacing"/>
              <w:rPr>
                <w:szCs w:val="20"/>
                <w:lang w:val="en-GB"/>
              </w:rPr>
            </w:pPr>
            <w:r w:rsidRPr="00DD1E5F">
              <w:rPr>
                <w:szCs w:val="20"/>
                <w:lang w:val="en-GB"/>
              </w:rPr>
              <w:t>GVA</w:t>
            </w:r>
            <w:r w:rsidRPr="00DD1E5F">
              <w:rPr>
                <w:szCs w:val="20"/>
                <w:vertAlign w:val="subscript"/>
                <w:lang w:val="en-GB"/>
              </w:rPr>
              <w:t>m</w:t>
            </w:r>
            <w:r w:rsidRPr="00DD1E5F">
              <w:rPr>
                <w:szCs w:val="20"/>
                <w:lang w:val="en-GB"/>
              </w:rPr>
              <w:tab/>
              <w:t>= Gross value added by MIMEC (including energy) [USD]</w:t>
            </w:r>
          </w:p>
          <w:p w14:paraId="51FA65AC" w14:textId="77777777" w:rsidR="00221C59" w:rsidRPr="00DD1E5F" w:rsidRDefault="00221C59" w:rsidP="00221C59">
            <w:pPr>
              <w:pStyle w:val="NoSpacing"/>
              <w:rPr>
                <w:szCs w:val="20"/>
                <w:lang w:val="en-GB"/>
              </w:rPr>
            </w:pPr>
            <w:r w:rsidRPr="00DD1E5F">
              <w:rPr>
                <w:szCs w:val="20"/>
                <w:lang w:val="en-GB"/>
              </w:rPr>
              <w:t>V</w:t>
            </w:r>
            <w:r w:rsidRPr="00DD1E5F">
              <w:rPr>
                <w:szCs w:val="20"/>
                <w:vertAlign w:val="subscript"/>
                <w:lang w:val="en-GB"/>
              </w:rPr>
              <w:t>m</w:t>
            </w:r>
            <w:r w:rsidRPr="00DD1E5F">
              <w:rPr>
                <w:szCs w:val="20"/>
                <w:lang w:val="en-GB"/>
              </w:rPr>
              <w:tab/>
              <w:t>= Volume of water used by MIMEC (including energy) [m</w:t>
            </w:r>
            <w:r w:rsidRPr="00DD1E5F">
              <w:rPr>
                <w:szCs w:val="20"/>
                <w:vertAlign w:val="superscript"/>
                <w:lang w:val="en-GB"/>
              </w:rPr>
              <w:t>3</w:t>
            </w:r>
            <w:r w:rsidRPr="00DD1E5F">
              <w:rPr>
                <w:szCs w:val="20"/>
                <w:lang w:val="en-GB"/>
              </w:rPr>
              <w:t>]</w:t>
            </w:r>
          </w:p>
          <w:p w14:paraId="0E1B4BC8" w14:textId="77777777" w:rsidR="00221C59" w:rsidRPr="00DD1E5F" w:rsidRDefault="00221C59" w:rsidP="00221C59">
            <w:pPr>
              <w:pStyle w:val="NoSpacing"/>
              <w:rPr>
                <w:i/>
                <w:szCs w:val="20"/>
                <w:lang w:val="en-GB"/>
              </w:rPr>
            </w:pPr>
          </w:p>
          <w:p w14:paraId="4836F865" w14:textId="77777777" w:rsidR="00221C59" w:rsidRPr="00DD1E5F" w:rsidRDefault="00221C59" w:rsidP="00221C59">
            <w:pPr>
              <w:pStyle w:val="NoSpacing"/>
              <w:rPr>
                <w:szCs w:val="20"/>
                <w:lang w:val="en-GB"/>
              </w:rPr>
            </w:pPr>
            <w:r w:rsidRPr="00DD1E5F">
              <w:rPr>
                <w:szCs w:val="20"/>
                <w:lang w:val="en-GB"/>
              </w:rPr>
              <w:t>MIMEC water use (V</w:t>
            </w:r>
            <w:r w:rsidRPr="00DD1E5F">
              <w:rPr>
                <w:szCs w:val="20"/>
                <w:vertAlign w:val="subscript"/>
                <w:lang w:val="en-GB"/>
              </w:rPr>
              <w:t>m</w:t>
            </w:r>
            <w:r w:rsidRPr="00DD1E5F">
              <w:rPr>
                <w:szCs w:val="20"/>
                <w:lang w:val="en-GB"/>
              </w:rPr>
              <w:t>) is collected at country level through national records and reported in questionnaires, in units of m</w:t>
            </w:r>
            <w:r w:rsidRPr="00DD1E5F">
              <w:rPr>
                <w:szCs w:val="20"/>
                <w:vertAlign w:val="superscript"/>
                <w:lang w:val="en-GB"/>
              </w:rPr>
              <w:t>3</w:t>
            </w:r>
            <w:r w:rsidRPr="00DD1E5F">
              <w:rPr>
                <w:szCs w:val="20"/>
                <w:lang w:val="en-GB"/>
              </w:rPr>
              <w:t>/year (see example in AQUASTAT http://www.fao.org/nr/water/aquastat/sets/aq-5yr-quest_eng.xls). MIMEC value added is obtained from national statistics, deflated to the baseline year.</w:t>
            </w:r>
          </w:p>
          <w:p w14:paraId="7FE41221" w14:textId="77777777" w:rsidR="00221C59" w:rsidRPr="00DD1E5F" w:rsidRDefault="00221C59" w:rsidP="00221C59">
            <w:pPr>
              <w:pStyle w:val="NoSpacing"/>
              <w:rPr>
                <w:i/>
                <w:szCs w:val="20"/>
                <w:lang w:val="en-GB"/>
              </w:rPr>
            </w:pPr>
          </w:p>
          <w:p w14:paraId="6B987B37" w14:textId="77777777" w:rsidR="00221C59" w:rsidRPr="00DD1E5F" w:rsidRDefault="00221C59" w:rsidP="00221C59">
            <w:pPr>
              <w:pStyle w:val="NoSpacing"/>
              <w:rPr>
                <w:szCs w:val="20"/>
                <w:lang w:val="en-GB"/>
              </w:rPr>
            </w:pPr>
            <w:r w:rsidRPr="00DD1E5F">
              <w:rPr>
                <w:i/>
                <w:szCs w:val="20"/>
                <w:lang w:val="en-GB"/>
              </w:rPr>
              <w:t xml:space="preserve">Services water supply efficiency </w:t>
            </w:r>
            <w:r w:rsidRPr="00DD1E5F">
              <w:rPr>
                <w:szCs w:val="20"/>
                <w:lang w:val="en-GB"/>
              </w:rPr>
              <w:t>is calculated as the service sector value added (ISIC 36-39 and ISIC 45-98) divided by water used for distribution by the water collection, treatment and supply industry (ISIC 36), expressed in USD/m</w:t>
            </w:r>
            <w:r w:rsidRPr="00DD1E5F">
              <w:rPr>
                <w:szCs w:val="20"/>
                <w:vertAlign w:val="superscript"/>
                <w:lang w:val="en-GB"/>
              </w:rPr>
              <w:t>3</w:t>
            </w:r>
            <w:r w:rsidRPr="00DD1E5F">
              <w:rPr>
                <w:szCs w:val="20"/>
                <w:lang w:val="en-GB"/>
              </w:rPr>
              <w:t>.</w:t>
            </w:r>
          </w:p>
          <w:p w14:paraId="53BBD74E" w14:textId="77777777" w:rsidR="00221C59" w:rsidRPr="00DD1E5F" w:rsidRDefault="00221C59" w:rsidP="00221C59">
            <w:pPr>
              <w:pStyle w:val="NoSpacing"/>
              <w:rPr>
                <w:szCs w:val="20"/>
                <w:lang w:val="en-GB"/>
              </w:rPr>
            </w:pPr>
            <w:r w:rsidRPr="00DD1E5F">
              <w:rPr>
                <w:szCs w:val="20"/>
                <w:lang w:val="en-GB"/>
              </w:rPr>
              <w:t>In formula:</w:t>
            </w:r>
          </w:p>
          <w:p w14:paraId="683F9B95" w14:textId="77777777" w:rsidR="00221C59" w:rsidRPr="00DD1E5F" w:rsidRDefault="004B4A24" w:rsidP="00221C59">
            <w:pPr>
              <w:pStyle w:val="NoSpacing"/>
              <w:rPr>
                <w:szCs w:val="20"/>
                <w:lang w:val="en-GB"/>
              </w:rPr>
            </w:pPr>
            <m:oMathPara>
              <m:oMath>
                <m:sSub>
                  <m:sSubPr>
                    <m:ctrlPr>
                      <w:rPr>
                        <w:rFonts w:ascii="Cambria Math" w:hAnsi="Cambria Math"/>
                        <w:i/>
                        <w:szCs w:val="20"/>
                        <w:lang w:val="en-GB"/>
                      </w:rPr>
                    </m:ctrlPr>
                  </m:sSubPr>
                  <m:e>
                    <m:r>
                      <w:rPr>
                        <w:rFonts w:ascii="Cambria Math" w:hAnsi="Cambria Math"/>
                        <w:szCs w:val="20"/>
                        <w:lang w:val="en-GB"/>
                      </w:rPr>
                      <m:t>S</m:t>
                    </m:r>
                  </m:e>
                  <m:sub>
                    <m:r>
                      <w:rPr>
                        <w:rFonts w:ascii="Cambria Math" w:hAnsi="Cambria Math"/>
                        <w:szCs w:val="20"/>
                        <w:lang w:val="en-GB"/>
                      </w:rPr>
                      <m:t>we</m:t>
                    </m:r>
                  </m:sub>
                </m:sSub>
                <m:r>
                  <w:rPr>
                    <w:rFonts w:ascii="Cambria Math" w:hAnsi="Cambria Math"/>
                    <w:szCs w:val="20"/>
                    <w:lang w:val="en-GB"/>
                  </w:rPr>
                  <m:t>=</m:t>
                </m:r>
                <m:f>
                  <m:fPr>
                    <m:ctrlPr>
                      <w:rPr>
                        <w:rFonts w:ascii="Cambria Math" w:hAnsi="Cambria Math"/>
                        <w:i/>
                        <w:szCs w:val="20"/>
                        <w:lang w:val="en-GB"/>
                      </w:rPr>
                    </m:ctrlPr>
                  </m:fPr>
                  <m:num>
                    <m:sSub>
                      <m:sSubPr>
                        <m:ctrlPr>
                          <w:rPr>
                            <w:rFonts w:ascii="Cambria Math" w:hAnsi="Cambria Math"/>
                            <w:i/>
                            <w:szCs w:val="20"/>
                            <w:lang w:val="en-GB"/>
                          </w:rPr>
                        </m:ctrlPr>
                      </m:sSubPr>
                      <m:e>
                        <m:r>
                          <w:rPr>
                            <w:rFonts w:ascii="Cambria Math" w:hAnsi="Cambria Math"/>
                            <w:szCs w:val="20"/>
                            <w:lang w:val="en-GB"/>
                          </w:rPr>
                          <m:t>GVA</m:t>
                        </m:r>
                      </m:e>
                      <m:sub>
                        <m:r>
                          <w:rPr>
                            <w:rFonts w:ascii="Cambria Math" w:hAnsi="Cambria Math"/>
                            <w:szCs w:val="20"/>
                            <w:lang w:val="en-GB"/>
                          </w:rPr>
                          <m:t>s</m:t>
                        </m:r>
                      </m:sub>
                    </m:sSub>
                  </m:num>
                  <m:den>
                    <m:sSub>
                      <m:sSubPr>
                        <m:ctrlPr>
                          <w:rPr>
                            <w:rFonts w:ascii="Cambria Math" w:hAnsi="Cambria Math"/>
                            <w:i/>
                            <w:szCs w:val="20"/>
                            <w:lang w:val="en-GB"/>
                          </w:rPr>
                        </m:ctrlPr>
                      </m:sSubPr>
                      <m:e>
                        <m:r>
                          <w:rPr>
                            <w:rFonts w:ascii="Cambria Math" w:hAnsi="Cambria Math"/>
                            <w:szCs w:val="20"/>
                            <w:lang w:val="en-GB"/>
                          </w:rPr>
                          <m:t>V</m:t>
                        </m:r>
                      </m:e>
                      <m:sub>
                        <m:r>
                          <w:rPr>
                            <w:rFonts w:ascii="Cambria Math" w:hAnsi="Cambria Math"/>
                            <w:szCs w:val="20"/>
                            <w:lang w:val="en-GB"/>
                          </w:rPr>
                          <m:t>s</m:t>
                        </m:r>
                      </m:sub>
                    </m:sSub>
                  </m:den>
                </m:f>
              </m:oMath>
            </m:oMathPara>
          </w:p>
          <w:p w14:paraId="6B409192" w14:textId="77777777" w:rsidR="00221C59" w:rsidRPr="00DD1E5F" w:rsidRDefault="00221C59" w:rsidP="00221C59">
            <w:pPr>
              <w:pStyle w:val="NoSpacing"/>
              <w:rPr>
                <w:szCs w:val="20"/>
                <w:lang w:val="en-GB"/>
              </w:rPr>
            </w:pPr>
            <w:r w:rsidRPr="00DD1E5F">
              <w:rPr>
                <w:szCs w:val="20"/>
                <w:lang w:val="en-GB"/>
              </w:rPr>
              <w:t>Where:</w:t>
            </w:r>
          </w:p>
          <w:p w14:paraId="271D8434" w14:textId="77777777" w:rsidR="00221C59" w:rsidRPr="00DD1E5F" w:rsidRDefault="00221C59" w:rsidP="00221C59">
            <w:pPr>
              <w:pStyle w:val="NoSpacing"/>
              <w:rPr>
                <w:i/>
                <w:szCs w:val="20"/>
                <w:lang w:val="en-GB"/>
              </w:rPr>
            </w:pPr>
            <w:r w:rsidRPr="00DD1E5F">
              <w:rPr>
                <w:szCs w:val="20"/>
                <w:lang w:val="en-GB"/>
              </w:rPr>
              <w:t>S</w:t>
            </w:r>
            <w:r w:rsidRPr="00DD1E5F">
              <w:rPr>
                <w:szCs w:val="20"/>
                <w:vertAlign w:val="subscript"/>
                <w:lang w:val="en-GB"/>
              </w:rPr>
              <w:t>we</w:t>
            </w:r>
            <w:r w:rsidRPr="00DD1E5F">
              <w:rPr>
                <w:szCs w:val="20"/>
                <w:lang w:val="en-GB"/>
              </w:rPr>
              <w:t xml:space="preserve"> </w:t>
            </w:r>
            <w:r w:rsidRPr="00DD1E5F">
              <w:rPr>
                <w:szCs w:val="20"/>
                <w:lang w:val="en-GB"/>
              </w:rPr>
              <w:tab/>
              <w:t xml:space="preserve">= </w:t>
            </w:r>
            <w:r w:rsidRPr="00DD1E5F">
              <w:rPr>
                <w:i/>
                <w:szCs w:val="20"/>
                <w:lang w:val="en-GB"/>
              </w:rPr>
              <w:t>Services water use efficiency [USD/m</w:t>
            </w:r>
            <w:r w:rsidRPr="00DD1E5F">
              <w:rPr>
                <w:i/>
                <w:szCs w:val="20"/>
                <w:vertAlign w:val="superscript"/>
                <w:lang w:val="en-GB"/>
              </w:rPr>
              <w:t>3</w:t>
            </w:r>
            <w:r w:rsidRPr="00DD1E5F">
              <w:rPr>
                <w:i/>
                <w:szCs w:val="20"/>
                <w:lang w:val="en-GB"/>
              </w:rPr>
              <w:t>]</w:t>
            </w:r>
          </w:p>
          <w:p w14:paraId="3265839A" w14:textId="77777777" w:rsidR="00221C59" w:rsidRPr="00DD1E5F" w:rsidRDefault="00221C59" w:rsidP="00221C59">
            <w:pPr>
              <w:pStyle w:val="NoSpacing"/>
              <w:rPr>
                <w:szCs w:val="20"/>
                <w:lang w:val="en-GB"/>
              </w:rPr>
            </w:pPr>
            <w:r w:rsidRPr="00DD1E5F">
              <w:rPr>
                <w:szCs w:val="20"/>
                <w:lang w:val="en-GB"/>
              </w:rPr>
              <w:t>GVA</w:t>
            </w:r>
            <w:r w:rsidRPr="00DD1E5F">
              <w:rPr>
                <w:szCs w:val="20"/>
                <w:vertAlign w:val="subscript"/>
                <w:lang w:val="en-GB"/>
              </w:rPr>
              <w:t>s</w:t>
            </w:r>
            <w:r w:rsidRPr="00DD1E5F">
              <w:rPr>
                <w:szCs w:val="20"/>
                <w:lang w:val="en-GB"/>
              </w:rPr>
              <w:tab/>
              <w:t>= Gross value added by services [USD]</w:t>
            </w:r>
          </w:p>
          <w:p w14:paraId="7B767412" w14:textId="77777777" w:rsidR="00221C59" w:rsidRPr="00DD1E5F" w:rsidRDefault="00221C59" w:rsidP="00221C59">
            <w:pPr>
              <w:pStyle w:val="NoSpacing"/>
              <w:rPr>
                <w:szCs w:val="20"/>
                <w:lang w:val="en-GB"/>
              </w:rPr>
            </w:pPr>
            <w:r w:rsidRPr="00DD1E5F">
              <w:rPr>
                <w:szCs w:val="20"/>
                <w:lang w:val="en-GB"/>
              </w:rPr>
              <w:t>V</w:t>
            </w:r>
            <w:r w:rsidRPr="00DD1E5F">
              <w:rPr>
                <w:szCs w:val="20"/>
                <w:vertAlign w:val="subscript"/>
                <w:lang w:val="en-GB"/>
              </w:rPr>
              <w:t>s</w:t>
            </w:r>
            <w:r w:rsidRPr="00DD1E5F">
              <w:rPr>
                <w:szCs w:val="20"/>
                <w:lang w:val="en-GB"/>
              </w:rPr>
              <w:tab/>
            </w:r>
            <w:r w:rsidRPr="00DD1E5F">
              <w:rPr>
                <w:szCs w:val="20"/>
                <w:lang w:val="en-GB"/>
              </w:rPr>
              <w:tab/>
              <w:t>= Volume of water used by the service sector [m</w:t>
            </w:r>
            <w:r w:rsidRPr="00DD1E5F">
              <w:rPr>
                <w:szCs w:val="20"/>
                <w:vertAlign w:val="superscript"/>
                <w:lang w:val="en-GB"/>
              </w:rPr>
              <w:t>3</w:t>
            </w:r>
            <w:r w:rsidRPr="00DD1E5F">
              <w:rPr>
                <w:szCs w:val="20"/>
                <w:lang w:val="en-GB"/>
              </w:rPr>
              <w:t>]</w:t>
            </w:r>
          </w:p>
          <w:p w14:paraId="0A4FE189" w14:textId="77777777" w:rsidR="00221C59" w:rsidRPr="00DD1E5F" w:rsidRDefault="00221C59" w:rsidP="00221C59">
            <w:pPr>
              <w:pStyle w:val="NoSpacing"/>
              <w:rPr>
                <w:szCs w:val="20"/>
                <w:lang w:val="en-GB"/>
              </w:rPr>
            </w:pPr>
          </w:p>
          <w:p w14:paraId="358BF626" w14:textId="77777777" w:rsidR="00221C59" w:rsidRPr="00DD1E5F" w:rsidRDefault="00221C59" w:rsidP="00221C59">
            <w:pPr>
              <w:pStyle w:val="NoSpacing"/>
              <w:rPr>
                <w:szCs w:val="20"/>
                <w:lang w:val="en-GB"/>
              </w:rPr>
            </w:pPr>
            <w:r w:rsidRPr="00DD1E5F">
              <w:rPr>
                <w:szCs w:val="20"/>
                <w:lang w:val="en-GB"/>
              </w:rPr>
              <w:t>Data on volumes of used and distributed water are collected at country level from the municipal supply utilities records and reported in questionnaires, in units of km</w:t>
            </w:r>
            <w:r w:rsidRPr="00DD1E5F">
              <w:rPr>
                <w:szCs w:val="20"/>
                <w:vertAlign w:val="superscript"/>
                <w:lang w:val="en-GB"/>
              </w:rPr>
              <w:t>3</w:t>
            </w:r>
            <w:r w:rsidRPr="00DD1E5F">
              <w:rPr>
                <w:szCs w:val="20"/>
                <w:lang w:val="en-GB"/>
              </w:rPr>
              <w:t xml:space="preserve">/year or </w:t>
            </w:r>
            <w:proofErr w:type="gramStart"/>
            <w:r w:rsidRPr="00DD1E5F">
              <w:rPr>
                <w:szCs w:val="20"/>
                <w:lang w:val="en-GB"/>
              </w:rPr>
              <w:t>million m</w:t>
            </w:r>
            <w:r w:rsidRPr="00DD1E5F">
              <w:rPr>
                <w:szCs w:val="20"/>
                <w:vertAlign w:val="superscript"/>
                <w:lang w:val="en-GB"/>
              </w:rPr>
              <w:t>3</w:t>
            </w:r>
            <w:r w:rsidRPr="00DD1E5F">
              <w:rPr>
                <w:szCs w:val="20"/>
                <w:lang w:val="en-GB"/>
              </w:rPr>
              <w:t>/year</w:t>
            </w:r>
            <w:proofErr w:type="gramEnd"/>
            <w:r w:rsidRPr="00DD1E5F">
              <w:rPr>
                <w:szCs w:val="20"/>
                <w:lang w:val="en-GB"/>
              </w:rPr>
              <w:t xml:space="preserve"> (see example in AQUASTAT </w:t>
            </w:r>
            <w:hyperlink r:id="rId78" w:history="1">
              <w:r w:rsidRPr="00C24854">
                <w:rPr>
                  <w:rStyle w:val="Hyperlink"/>
                  <w:color w:val="000000" w:themeColor="text1"/>
                  <w:szCs w:val="20"/>
                  <w:lang w:val="en-GB"/>
                </w:rPr>
                <w:t>http://www.fao.org/nr/water/aquastat/sets/aq-5yr-quest_eng.xls</w:t>
              </w:r>
            </w:hyperlink>
            <w:r w:rsidRPr="00DD1E5F">
              <w:rPr>
                <w:szCs w:val="20"/>
                <w:lang w:val="en-GB"/>
              </w:rPr>
              <w:t>). Services value added is obtained from national statistics, deflated to the baseline year.</w:t>
            </w:r>
          </w:p>
          <w:p w14:paraId="556EDE2E" w14:textId="77777777" w:rsidR="00221C59" w:rsidRPr="00DD1E5F" w:rsidRDefault="00221C59" w:rsidP="00221C59">
            <w:pPr>
              <w:pStyle w:val="NoSpacing"/>
              <w:rPr>
                <w:szCs w:val="20"/>
                <w:lang w:val="en-GB"/>
              </w:rPr>
            </w:pPr>
          </w:p>
          <w:p w14:paraId="194E6467" w14:textId="77777777" w:rsidR="00221C59" w:rsidRPr="00DD1E5F" w:rsidRDefault="00221C59" w:rsidP="00221C59">
            <w:pPr>
              <w:pStyle w:val="NoSpacing"/>
              <w:rPr>
                <w:szCs w:val="20"/>
                <w:lang w:val="en-GB"/>
              </w:rPr>
            </w:pPr>
            <w:r w:rsidRPr="00DD1E5F">
              <w:rPr>
                <w:szCs w:val="20"/>
                <w:lang w:val="en-GB"/>
              </w:rPr>
              <w:t>Change in water use efficiency (CWUE) is computed as the ratio of water use efficiency (WUE) in time t minus water use efficiency in time t-1, divided by water use efficiency in time t-1 and multiplied by 100:</w:t>
            </w:r>
          </w:p>
          <w:p w14:paraId="6F6E8727" w14:textId="77777777" w:rsidR="00221C59" w:rsidRPr="00DD1E5F" w:rsidRDefault="00221C59" w:rsidP="00221C59">
            <w:pPr>
              <w:pStyle w:val="NoSpacing"/>
              <w:rPr>
                <w:szCs w:val="20"/>
                <w:lang w:val="en-GB"/>
              </w:rPr>
            </w:pPr>
          </w:p>
          <w:p w14:paraId="7E43C4CC" w14:textId="77777777" w:rsidR="00221C59" w:rsidRPr="00DD1E5F" w:rsidRDefault="00221C59" w:rsidP="00221C59">
            <w:pPr>
              <w:pStyle w:val="NoSpacing"/>
              <w:rPr>
                <w:szCs w:val="20"/>
                <w:lang w:val="en-GB"/>
              </w:rPr>
            </w:pPr>
            <m:oMathPara>
              <m:oMath>
                <m:r>
                  <w:rPr>
                    <w:rFonts w:ascii="Cambria Math" w:hAnsi="Cambria Math"/>
                    <w:szCs w:val="20"/>
                    <w:lang w:val="en-GB"/>
                  </w:rPr>
                  <m:t>CWUE</m:t>
                </m:r>
                <m:r>
                  <m:rPr>
                    <m:sty m:val="p"/>
                  </m:rPr>
                  <w:rPr>
                    <w:rFonts w:ascii="Cambria Math" w:hAnsi="Cambria Math"/>
                    <w:szCs w:val="20"/>
                    <w:lang w:val="en-GB"/>
                  </w:rPr>
                  <m:t>=</m:t>
                </m:r>
                <m:f>
                  <m:fPr>
                    <m:ctrlPr>
                      <w:rPr>
                        <w:rFonts w:ascii="Cambria Math" w:hAnsi="Cambria Math"/>
                        <w:szCs w:val="20"/>
                        <w:lang w:val="en-GB"/>
                      </w:rPr>
                    </m:ctrlPr>
                  </m:fPr>
                  <m:num>
                    <m:sSub>
                      <m:sSubPr>
                        <m:ctrlPr>
                          <w:rPr>
                            <w:rFonts w:ascii="Cambria Math" w:hAnsi="Cambria Math"/>
                            <w:szCs w:val="20"/>
                            <w:lang w:val="en-GB"/>
                          </w:rPr>
                        </m:ctrlPr>
                      </m:sSubPr>
                      <m:e>
                        <m:r>
                          <w:rPr>
                            <w:rFonts w:ascii="Cambria Math" w:hAnsi="Cambria Math"/>
                            <w:szCs w:val="20"/>
                            <w:lang w:val="en-GB"/>
                          </w:rPr>
                          <m:t>WUE</m:t>
                        </m:r>
                      </m:e>
                      <m:sub>
                        <m:r>
                          <w:rPr>
                            <w:rFonts w:ascii="Cambria Math" w:hAnsi="Cambria Math"/>
                            <w:szCs w:val="20"/>
                            <w:lang w:val="en-GB"/>
                          </w:rPr>
                          <m:t>t</m:t>
                        </m:r>
                      </m:sub>
                    </m:sSub>
                    <m:r>
                      <m:rPr>
                        <m:sty m:val="p"/>
                      </m:rPr>
                      <w:rPr>
                        <w:rFonts w:ascii="Cambria Math" w:hAnsi="Cambria Math"/>
                        <w:szCs w:val="20"/>
                        <w:lang w:val="en-GB"/>
                      </w:rPr>
                      <m:t>-</m:t>
                    </m:r>
                    <m:sSub>
                      <m:sSubPr>
                        <m:ctrlPr>
                          <w:rPr>
                            <w:rFonts w:ascii="Cambria Math" w:hAnsi="Cambria Math"/>
                            <w:szCs w:val="20"/>
                            <w:lang w:val="en-GB"/>
                          </w:rPr>
                        </m:ctrlPr>
                      </m:sSubPr>
                      <m:e>
                        <m:r>
                          <w:rPr>
                            <w:rFonts w:ascii="Cambria Math" w:hAnsi="Cambria Math"/>
                            <w:szCs w:val="20"/>
                            <w:lang w:val="en-GB"/>
                          </w:rPr>
                          <m:t>WUE</m:t>
                        </m:r>
                      </m:e>
                      <m:sub>
                        <m:r>
                          <w:rPr>
                            <w:rFonts w:ascii="Cambria Math" w:hAnsi="Cambria Math"/>
                            <w:szCs w:val="20"/>
                            <w:lang w:val="en-GB"/>
                          </w:rPr>
                          <m:t>t</m:t>
                        </m:r>
                        <m:r>
                          <m:rPr>
                            <m:sty m:val="p"/>
                          </m:rPr>
                          <w:rPr>
                            <w:rFonts w:ascii="Cambria Math" w:hAnsi="Cambria Math"/>
                            <w:szCs w:val="20"/>
                            <w:lang w:val="en-GB"/>
                          </w:rPr>
                          <m:t>-1</m:t>
                        </m:r>
                      </m:sub>
                    </m:sSub>
                  </m:num>
                  <m:den>
                    <m:sSub>
                      <m:sSubPr>
                        <m:ctrlPr>
                          <w:rPr>
                            <w:rFonts w:ascii="Cambria Math" w:hAnsi="Cambria Math"/>
                            <w:szCs w:val="20"/>
                            <w:lang w:val="en-GB"/>
                          </w:rPr>
                        </m:ctrlPr>
                      </m:sSubPr>
                      <m:e>
                        <m:r>
                          <w:rPr>
                            <w:rFonts w:ascii="Cambria Math" w:hAnsi="Cambria Math"/>
                            <w:szCs w:val="20"/>
                            <w:lang w:val="en-GB"/>
                          </w:rPr>
                          <m:t>WUE</m:t>
                        </m:r>
                      </m:e>
                      <m:sub>
                        <m:r>
                          <w:rPr>
                            <w:rFonts w:ascii="Cambria Math" w:hAnsi="Cambria Math"/>
                            <w:szCs w:val="20"/>
                            <w:lang w:val="en-GB"/>
                          </w:rPr>
                          <m:t>t</m:t>
                        </m:r>
                        <m:r>
                          <m:rPr>
                            <m:sty m:val="p"/>
                          </m:rPr>
                          <w:rPr>
                            <w:rFonts w:ascii="Cambria Math" w:hAnsi="Cambria Math"/>
                            <w:szCs w:val="20"/>
                            <w:lang w:val="en-GB"/>
                          </w:rPr>
                          <m:t>-1</m:t>
                        </m:r>
                      </m:sub>
                    </m:sSub>
                  </m:den>
                </m:f>
                <m:r>
                  <m:rPr>
                    <m:sty m:val="p"/>
                  </m:rPr>
                  <w:rPr>
                    <w:rFonts w:ascii="Cambria Math" w:hAnsi="Cambria Math"/>
                    <w:szCs w:val="20"/>
                    <w:lang w:val="en-GB"/>
                  </w:rPr>
                  <m:t>*100</m:t>
                </m:r>
              </m:oMath>
            </m:oMathPara>
          </w:p>
          <w:p w14:paraId="08E1BA07" w14:textId="77777777" w:rsidR="00221C59" w:rsidRPr="00DD1E5F" w:rsidRDefault="00221C59" w:rsidP="00221C59">
            <w:pPr>
              <w:pStyle w:val="NoSpacing"/>
              <w:rPr>
                <w:szCs w:val="20"/>
                <w:lang w:val="en-GB"/>
              </w:rPr>
            </w:pPr>
            <w:r w:rsidRPr="00DD1E5F">
              <w:rPr>
                <w:szCs w:val="20"/>
                <w:lang w:val="en-GB"/>
              </w:rPr>
              <w:t>It must be noted that computing the indicator in an aggregated manner, i.e. total GDP over total water use, would lead to an overestimation of the indicator. That is due to the fact that, for the agricultural sector, only the value produced under irrigation has to be counted in calculating the indicator. Hence, the sum of the value added of the various sectors used in these formulas is not equivalent to the total GDP of the country.</w:t>
            </w:r>
          </w:p>
          <w:p w14:paraId="56AA5205" w14:textId="77777777" w:rsidR="00221C59" w:rsidRPr="00DD1E5F" w:rsidRDefault="00221C59" w:rsidP="00221C59">
            <w:pPr>
              <w:pStyle w:val="NoSpacing"/>
              <w:rPr>
                <w:rStyle w:val="fontstyle01"/>
                <w:rFonts w:ascii="Tw Cen MT Condensed" w:hAnsi="Tw Cen MT Condensed"/>
                <w:b w:val="0"/>
                <w:bCs w:val="0"/>
              </w:rPr>
            </w:pPr>
          </w:p>
        </w:tc>
        <w:tc>
          <w:tcPr>
            <w:tcW w:w="0" w:type="auto"/>
            <w:shd w:val="clear" w:color="auto" w:fill="auto"/>
          </w:tcPr>
          <w:p w14:paraId="5F195B7D" w14:textId="35F117D6" w:rsidR="00221C59" w:rsidRPr="007243FC" w:rsidRDefault="00221C59" w:rsidP="00EA61B2">
            <w:pPr>
              <w:jc w:val="center"/>
              <w:rPr>
                <w:bCs/>
                <w:szCs w:val="20"/>
              </w:rPr>
            </w:pPr>
          </w:p>
        </w:tc>
        <w:tc>
          <w:tcPr>
            <w:tcW w:w="0" w:type="auto"/>
            <w:shd w:val="clear" w:color="auto" w:fill="auto"/>
          </w:tcPr>
          <w:p w14:paraId="6AD7A3CC" w14:textId="77777777" w:rsidR="00221C59" w:rsidRPr="007243FC" w:rsidRDefault="00221C59" w:rsidP="00221C59">
            <w:pPr>
              <w:pStyle w:val="NoSpacing"/>
            </w:pPr>
            <w:r w:rsidRPr="00472EFA">
              <w:t>National Statistical Office (NSO),</w:t>
            </w:r>
          </w:p>
        </w:tc>
        <w:tc>
          <w:tcPr>
            <w:tcW w:w="0" w:type="auto"/>
            <w:shd w:val="clear" w:color="auto" w:fill="auto"/>
          </w:tcPr>
          <w:p w14:paraId="1DB4FA9B" w14:textId="34F89627" w:rsidR="00221C59" w:rsidRPr="00C24854" w:rsidRDefault="00221C59" w:rsidP="00221C59">
            <w:pPr>
              <w:rPr>
                <w:rFonts w:eastAsia="Times New Roman" w:cs="Times New Roman"/>
                <w:szCs w:val="20"/>
              </w:rPr>
            </w:pPr>
          </w:p>
        </w:tc>
        <w:tc>
          <w:tcPr>
            <w:tcW w:w="0" w:type="auto"/>
            <w:shd w:val="clear" w:color="auto" w:fill="auto"/>
          </w:tcPr>
          <w:p w14:paraId="42FEDCB5" w14:textId="77777777" w:rsidR="00221C59" w:rsidRPr="00C24854" w:rsidRDefault="00221C59" w:rsidP="00221C59">
            <w:pPr>
              <w:rPr>
                <w:rFonts w:eastAsia="Times New Roman" w:cs="Times New Roman"/>
                <w:szCs w:val="20"/>
              </w:rPr>
            </w:pPr>
            <w:r w:rsidRPr="00C24854">
              <w:rPr>
                <w:rFonts w:eastAsia="Times New Roman" w:cs="Times New Roman"/>
                <w:szCs w:val="20"/>
              </w:rPr>
              <w:t>a) DPHE, LGD</w:t>
            </w:r>
          </w:p>
          <w:p w14:paraId="4665E1C6" w14:textId="77777777" w:rsidR="00221C59" w:rsidRPr="00C24854" w:rsidRDefault="00221C59" w:rsidP="00221C59">
            <w:pPr>
              <w:rPr>
                <w:rFonts w:eastAsia="Times New Roman" w:cs="Times New Roman"/>
                <w:szCs w:val="20"/>
              </w:rPr>
            </w:pPr>
            <w:r w:rsidRPr="00C24854">
              <w:rPr>
                <w:rFonts w:eastAsia="Times New Roman" w:cs="Times New Roman"/>
                <w:szCs w:val="20"/>
              </w:rPr>
              <w:t>b) DoE, MoEFCC</w:t>
            </w:r>
          </w:p>
          <w:p w14:paraId="4D93307C" w14:textId="77777777" w:rsidR="00221C59" w:rsidRPr="00C24854" w:rsidRDefault="00221C59" w:rsidP="00221C59">
            <w:pPr>
              <w:rPr>
                <w:rFonts w:eastAsia="Times New Roman" w:cs="Times New Roman"/>
                <w:szCs w:val="20"/>
              </w:rPr>
            </w:pPr>
            <w:r w:rsidRPr="00C24854">
              <w:rPr>
                <w:rFonts w:eastAsia="Times New Roman" w:cs="Times New Roman"/>
                <w:szCs w:val="20"/>
              </w:rPr>
              <w:t>c) DAE, MoA</w:t>
            </w:r>
          </w:p>
          <w:p w14:paraId="22B7F0CC" w14:textId="77777777" w:rsidR="00221C59" w:rsidRDefault="00221C59" w:rsidP="00221C59">
            <w:pPr>
              <w:rPr>
                <w:rFonts w:eastAsia="Times New Roman" w:cs="Times New Roman"/>
                <w:szCs w:val="20"/>
              </w:rPr>
            </w:pPr>
            <w:r w:rsidRPr="00C24854">
              <w:rPr>
                <w:rFonts w:eastAsia="Times New Roman" w:cs="Times New Roman"/>
                <w:szCs w:val="20"/>
              </w:rPr>
              <w:t>d) WARPO, MoWR</w:t>
            </w:r>
          </w:p>
          <w:p w14:paraId="059D7D3B" w14:textId="77777777" w:rsidR="00221C59" w:rsidRPr="00C24854" w:rsidRDefault="00221C59" w:rsidP="00221C59">
            <w:pPr>
              <w:rPr>
                <w:rFonts w:eastAsia="Times New Roman" w:cs="Times New Roman"/>
                <w:color w:val="000000" w:themeColor="text1"/>
                <w:szCs w:val="20"/>
              </w:rPr>
            </w:pPr>
            <w:r>
              <w:rPr>
                <w:rFonts w:eastAsia="Times New Roman" w:cs="Times New Roman"/>
                <w:color w:val="000000" w:themeColor="text1"/>
                <w:szCs w:val="20"/>
              </w:rPr>
              <w:t>Administrative Data</w:t>
            </w:r>
          </w:p>
        </w:tc>
        <w:tc>
          <w:tcPr>
            <w:tcW w:w="0" w:type="auto"/>
            <w:shd w:val="clear" w:color="auto" w:fill="auto"/>
            <w:vAlign w:val="center"/>
          </w:tcPr>
          <w:p w14:paraId="05D9FFFA" w14:textId="77777777" w:rsidR="00221C59" w:rsidRPr="00692DCE" w:rsidRDefault="00221C59" w:rsidP="00221C59">
            <w:pPr>
              <w:pStyle w:val="ListParagraph"/>
              <w:numPr>
                <w:ilvl w:val="0"/>
                <w:numId w:val="48"/>
              </w:numPr>
              <w:spacing w:after="0" w:line="240" w:lineRule="auto"/>
              <w:ind w:left="160" w:hanging="160"/>
              <w:rPr>
                <w:rFonts w:ascii="Tw Cen MT Condensed" w:hAnsi="Tw Cen MT Condensed"/>
                <w:sz w:val="20"/>
                <w:szCs w:val="20"/>
              </w:rPr>
            </w:pPr>
            <w:r w:rsidRPr="00692DCE">
              <w:rPr>
                <w:rFonts w:ascii="Tw Cen MT Condensed" w:hAnsi="Tw Cen MT Condensed"/>
                <w:sz w:val="20"/>
                <w:szCs w:val="20"/>
              </w:rPr>
              <w:t>economic sector: ISIC Rev. 4</w:t>
            </w:r>
            <w:r w:rsidRPr="00692DCE">
              <w:rPr>
                <w:rFonts w:ascii="Arial" w:hAnsi="Arial" w:cs="Arial"/>
                <w:sz w:val="20"/>
                <w:szCs w:val="20"/>
              </w:rPr>
              <w:t>▪</w:t>
            </w:r>
            <w:r w:rsidRPr="00692DCE">
              <w:rPr>
                <w:rFonts w:ascii="Tw Cen MT Condensed" w:hAnsi="Tw Cen MT Condensed"/>
                <w:sz w:val="20"/>
                <w:szCs w:val="20"/>
              </w:rPr>
              <w:t xml:space="preserve"> Agriculture, Forestry and Fisheries (ISIC A); </w:t>
            </w:r>
            <w:r w:rsidRPr="00692DCE">
              <w:rPr>
                <w:rFonts w:ascii="Arial" w:hAnsi="Arial" w:cs="Arial"/>
                <w:sz w:val="20"/>
                <w:szCs w:val="20"/>
              </w:rPr>
              <w:t>▪</w:t>
            </w:r>
            <w:r w:rsidRPr="00692DCE">
              <w:rPr>
                <w:rFonts w:ascii="Tw Cen MT Condensed" w:hAnsi="Tw Cen MT Condensed"/>
                <w:sz w:val="20"/>
                <w:szCs w:val="20"/>
              </w:rPr>
              <w:t xml:space="preserve"> Mining and Quarrying (ISIC B); </w:t>
            </w:r>
            <w:r w:rsidRPr="00692DCE">
              <w:rPr>
                <w:rFonts w:ascii="Arial" w:hAnsi="Arial" w:cs="Arial"/>
                <w:sz w:val="20"/>
                <w:szCs w:val="20"/>
              </w:rPr>
              <w:t>▪</w:t>
            </w:r>
            <w:r w:rsidRPr="00692DCE">
              <w:rPr>
                <w:rFonts w:ascii="Tw Cen MT Condensed" w:hAnsi="Tw Cen MT Condensed"/>
                <w:sz w:val="20"/>
                <w:szCs w:val="20"/>
              </w:rPr>
              <w:t xml:space="preserve"> Manufacturing (ISIC C); </w:t>
            </w:r>
            <w:r w:rsidRPr="00692DCE">
              <w:rPr>
                <w:rFonts w:ascii="Arial" w:hAnsi="Arial" w:cs="Arial"/>
                <w:sz w:val="20"/>
                <w:szCs w:val="20"/>
              </w:rPr>
              <w:t>▪</w:t>
            </w:r>
            <w:r w:rsidRPr="00692DCE">
              <w:rPr>
                <w:rFonts w:ascii="Tw Cen MT Condensed" w:hAnsi="Tw Cen MT Condensed"/>
                <w:sz w:val="20"/>
                <w:szCs w:val="20"/>
              </w:rPr>
              <w:t xml:space="preserve"> Electricity, Gas, Steam and Air Conditioning Supply (ISIC D); </w:t>
            </w:r>
            <w:r w:rsidRPr="00692DCE">
              <w:rPr>
                <w:rFonts w:ascii="Arial" w:hAnsi="Arial" w:cs="Arial"/>
                <w:sz w:val="20"/>
                <w:szCs w:val="20"/>
              </w:rPr>
              <w:t>▪</w:t>
            </w:r>
            <w:r w:rsidRPr="00692DCE">
              <w:rPr>
                <w:rFonts w:ascii="Tw Cen MT Condensed" w:hAnsi="Tw Cen MT Condensed"/>
                <w:sz w:val="20"/>
                <w:szCs w:val="20"/>
              </w:rPr>
              <w:t xml:space="preserve"> Water Supply, Sewerage, Waste Management and Remediation Activities (ISIC E), by </w:t>
            </w:r>
            <w:r w:rsidRPr="00692DCE">
              <w:rPr>
                <w:rFonts w:ascii="Arial" w:hAnsi="Arial" w:cs="Arial"/>
                <w:sz w:val="20"/>
                <w:szCs w:val="20"/>
              </w:rPr>
              <w:t>▪</w:t>
            </w:r>
            <w:r w:rsidRPr="00692DCE">
              <w:rPr>
                <w:rFonts w:ascii="Tw Cen MT Condensed" w:hAnsi="Tw Cen MT Condensed"/>
                <w:sz w:val="20"/>
                <w:szCs w:val="20"/>
              </w:rPr>
              <w:t xml:space="preserve"> Water Collection, Treatment and Supply (ISIC 36) </w:t>
            </w:r>
            <w:r w:rsidRPr="00692DCE">
              <w:rPr>
                <w:rFonts w:ascii="Arial" w:hAnsi="Arial" w:cs="Arial"/>
                <w:sz w:val="20"/>
                <w:szCs w:val="20"/>
              </w:rPr>
              <w:t>▪</w:t>
            </w:r>
            <w:r w:rsidRPr="00692DCE">
              <w:rPr>
                <w:rFonts w:ascii="Tw Cen MT Condensed" w:hAnsi="Tw Cen MT Condensed"/>
                <w:sz w:val="20"/>
                <w:szCs w:val="20"/>
              </w:rPr>
              <w:t xml:space="preserve"> Sewerage (ISIC 37) </w:t>
            </w:r>
            <w:r w:rsidRPr="00692DCE">
              <w:rPr>
                <w:rFonts w:ascii="Arial" w:hAnsi="Arial" w:cs="Arial"/>
                <w:sz w:val="20"/>
                <w:szCs w:val="20"/>
              </w:rPr>
              <w:t>▪</w:t>
            </w:r>
            <w:r w:rsidRPr="00692DCE">
              <w:rPr>
                <w:rFonts w:ascii="Tw Cen MT Condensed" w:hAnsi="Tw Cen MT Condensed"/>
                <w:sz w:val="20"/>
                <w:szCs w:val="20"/>
              </w:rPr>
              <w:t xml:space="preserve"> Construction (ISIC F) </w:t>
            </w:r>
            <w:r w:rsidRPr="00692DCE">
              <w:rPr>
                <w:rFonts w:ascii="Arial" w:hAnsi="Arial" w:cs="Arial"/>
                <w:sz w:val="20"/>
                <w:szCs w:val="20"/>
              </w:rPr>
              <w:t>▪</w:t>
            </w:r>
            <w:r w:rsidRPr="00692DCE">
              <w:rPr>
                <w:rFonts w:ascii="Tw Cen MT Condensed" w:hAnsi="Tw Cen MT Condensed"/>
                <w:sz w:val="20"/>
                <w:szCs w:val="20"/>
              </w:rPr>
              <w:t xml:space="preserve"> Other industries (sum of remaining industries)</w:t>
            </w:r>
          </w:p>
          <w:p w14:paraId="173DCE7F" w14:textId="77777777" w:rsidR="00221C59" w:rsidRPr="00261A09" w:rsidRDefault="00221C59" w:rsidP="00221C59">
            <w:pPr>
              <w:pStyle w:val="ListParagraph"/>
              <w:numPr>
                <w:ilvl w:val="0"/>
                <w:numId w:val="48"/>
              </w:numPr>
              <w:spacing w:after="0" w:line="240" w:lineRule="auto"/>
              <w:ind w:left="160" w:hanging="160"/>
              <w:rPr>
                <w:rFonts w:ascii="Tw Cen MT Condensed" w:hAnsi="Tw Cen MT Condensed"/>
                <w:sz w:val="20"/>
                <w:szCs w:val="20"/>
              </w:rPr>
            </w:pPr>
            <w:proofErr w:type="gramStart"/>
            <w:r w:rsidRPr="00692DCE">
              <w:rPr>
                <w:rFonts w:ascii="Tw Cen MT Condensed" w:hAnsi="Tw Cen MT Condensed"/>
                <w:sz w:val="20"/>
                <w:szCs w:val="20"/>
              </w:rPr>
              <w:t>geographic</w:t>
            </w:r>
            <w:proofErr w:type="gramEnd"/>
            <w:r w:rsidRPr="00692DCE">
              <w:rPr>
                <w:rFonts w:ascii="Tw Cen MT Condensed" w:hAnsi="Tw Cen MT Condensed"/>
                <w:sz w:val="20"/>
                <w:szCs w:val="20"/>
              </w:rPr>
              <w:t xml:space="preserve"> location: computing the indicator by river </w:t>
            </w:r>
            <w:r w:rsidRPr="00692DCE">
              <w:rPr>
                <w:rFonts w:ascii="Tw Cen MT Condensed" w:hAnsi="Tw Cen MT Condensed"/>
                <w:sz w:val="20"/>
                <w:szCs w:val="20"/>
              </w:rPr>
              <w:lastRenderedPageBreak/>
              <w:t>basin, watershed or administrative units within a country.</w:t>
            </w:r>
          </w:p>
        </w:tc>
        <w:tc>
          <w:tcPr>
            <w:tcW w:w="0" w:type="auto"/>
            <w:shd w:val="clear" w:color="auto" w:fill="auto"/>
          </w:tcPr>
          <w:p w14:paraId="3927AC36" w14:textId="77777777" w:rsidR="00221C59" w:rsidRPr="007243FC" w:rsidRDefault="00221C59" w:rsidP="00221C59">
            <w:pPr>
              <w:rPr>
                <w:szCs w:val="20"/>
              </w:rPr>
            </w:pPr>
            <w:r w:rsidRPr="00BC6F10">
              <w:lastRenderedPageBreak/>
              <w:t>Triennial</w:t>
            </w:r>
          </w:p>
        </w:tc>
        <w:tc>
          <w:tcPr>
            <w:tcW w:w="0" w:type="auto"/>
            <w:shd w:val="clear" w:color="auto" w:fill="auto"/>
          </w:tcPr>
          <w:p w14:paraId="420677CC"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2</w:t>
            </w:r>
          </w:p>
          <w:p w14:paraId="0D2EA155"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tcPr>
          <w:p w14:paraId="50EFF3A6" w14:textId="77777777" w:rsidR="00221C59" w:rsidRDefault="00221C59" w:rsidP="00221C59">
            <w:pPr>
              <w:pStyle w:val="NoSpacing"/>
            </w:pPr>
            <w:r>
              <w:t>1</w:t>
            </w:r>
            <w:r w:rsidRPr="00013ACB">
              <w:rPr>
                <w:vertAlign w:val="superscript"/>
              </w:rPr>
              <w:t>st</w:t>
            </w:r>
            <w:r>
              <w:t xml:space="preserve"> Round: </w:t>
            </w:r>
          </w:p>
          <w:p w14:paraId="206302DF" w14:textId="77777777" w:rsidR="00221C59" w:rsidRDefault="00221C59" w:rsidP="00221C59">
            <w:pPr>
              <w:pStyle w:val="NoSpacing"/>
            </w:pPr>
            <w:r>
              <w:t>June, 2019</w:t>
            </w:r>
          </w:p>
          <w:p w14:paraId="1171D724" w14:textId="77777777" w:rsidR="00221C59" w:rsidRDefault="00221C59" w:rsidP="00221C59">
            <w:pPr>
              <w:pStyle w:val="NoSpacing"/>
            </w:pPr>
          </w:p>
          <w:p w14:paraId="57574769" w14:textId="77777777" w:rsidR="00221C59" w:rsidRDefault="00221C59" w:rsidP="00221C59">
            <w:pPr>
              <w:pStyle w:val="NoSpacing"/>
            </w:pPr>
            <w:r>
              <w:t>2</w:t>
            </w:r>
            <w:r w:rsidRPr="00013ACB">
              <w:rPr>
                <w:vertAlign w:val="superscript"/>
              </w:rPr>
              <w:t>nd</w:t>
            </w:r>
            <w:r>
              <w:t xml:space="preserve"> Round: </w:t>
            </w:r>
          </w:p>
          <w:p w14:paraId="4A5B5DFC" w14:textId="77777777" w:rsidR="00221C59" w:rsidRDefault="00221C59" w:rsidP="00221C59">
            <w:pPr>
              <w:pStyle w:val="NoSpacing"/>
            </w:pPr>
            <w:r>
              <w:t>June, 2022</w:t>
            </w:r>
          </w:p>
          <w:p w14:paraId="2E317A65" w14:textId="77777777" w:rsidR="00221C59" w:rsidRDefault="00221C59" w:rsidP="00221C59">
            <w:pPr>
              <w:pStyle w:val="NoSpacing"/>
            </w:pPr>
          </w:p>
          <w:p w14:paraId="3B31331B" w14:textId="77777777" w:rsidR="00221C59" w:rsidRDefault="00221C59" w:rsidP="00221C59">
            <w:pPr>
              <w:pStyle w:val="NoSpacing"/>
            </w:pPr>
            <w:r>
              <w:t>3</w:t>
            </w:r>
            <w:r w:rsidRPr="00013ACB">
              <w:rPr>
                <w:vertAlign w:val="superscript"/>
              </w:rPr>
              <w:t>rd</w:t>
            </w:r>
            <w:r>
              <w:t xml:space="preserve"> Round: </w:t>
            </w:r>
          </w:p>
          <w:p w14:paraId="69827869" w14:textId="77777777" w:rsidR="00221C59" w:rsidRDefault="00221C59" w:rsidP="00221C59">
            <w:pPr>
              <w:pStyle w:val="NoSpacing"/>
            </w:pPr>
            <w:r>
              <w:t>June, 2025</w:t>
            </w:r>
          </w:p>
          <w:p w14:paraId="4D5239AC" w14:textId="77777777" w:rsidR="00221C59" w:rsidRDefault="00221C59" w:rsidP="00221C59">
            <w:pPr>
              <w:pStyle w:val="NoSpacing"/>
            </w:pPr>
          </w:p>
          <w:p w14:paraId="667B5A0B" w14:textId="77777777" w:rsidR="00221C59" w:rsidRDefault="00221C59" w:rsidP="00221C59">
            <w:pPr>
              <w:pStyle w:val="NoSpacing"/>
            </w:pPr>
            <w:r>
              <w:t>4</w:t>
            </w:r>
            <w:r w:rsidRPr="00013ACB">
              <w:rPr>
                <w:vertAlign w:val="superscript"/>
              </w:rPr>
              <w:t>th</w:t>
            </w:r>
            <w:r>
              <w:t xml:space="preserve"> Round: </w:t>
            </w:r>
          </w:p>
          <w:p w14:paraId="253A3AAE" w14:textId="77777777" w:rsidR="00221C59" w:rsidRDefault="00221C59" w:rsidP="00221C59">
            <w:pPr>
              <w:pStyle w:val="NoSpacing"/>
            </w:pPr>
            <w:r>
              <w:t>June, 2028</w:t>
            </w:r>
          </w:p>
          <w:p w14:paraId="45E9E127" w14:textId="77777777" w:rsidR="00221C59" w:rsidRDefault="00221C59" w:rsidP="00221C59">
            <w:pPr>
              <w:pStyle w:val="NoSpacing"/>
            </w:pPr>
          </w:p>
          <w:p w14:paraId="386F7AFF" w14:textId="77777777" w:rsidR="00221C59" w:rsidRDefault="00221C59" w:rsidP="00221C59">
            <w:pPr>
              <w:pStyle w:val="NoSpacing"/>
            </w:pPr>
            <w:r>
              <w:t>5</w:t>
            </w:r>
            <w:r w:rsidRPr="00013ACB">
              <w:rPr>
                <w:vertAlign w:val="superscript"/>
              </w:rPr>
              <w:t>th</w:t>
            </w:r>
            <w:r>
              <w:t xml:space="preserve"> Round: </w:t>
            </w:r>
          </w:p>
          <w:p w14:paraId="27CE5CB5" w14:textId="77777777" w:rsidR="00221C59" w:rsidRDefault="00221C59" w:rsidP="00221C59">
            <w:pPr>
              <w:pStyle w:val="NoSpacing"/>
            </w:pPr>
            <w:r>
              <w:t>June, 2030</w:t>
            </w:r>
          </w:p>
          <w:p w14:paraId="32C75DF4" w14:textId="444D3D28" w:rsidR="00221C59" w:rsidRPr="00671D7C" w:rsidRDefault="00221C59" w:rsidP="00221C59">
            <w:pPr>
              <w:rPr>
                <w:szCs w:val="20"/>
              </w:rPr>
            </w:pPr>
          </w:p>
        </w:tc>
        <w:tc>
          <w:tcPr>
            <w:tcW w:w="0" w:type="auto"/>
            <w:shd w:val="clear" w:color="auto" w:fill="auto"/>
          </w:tcPr>
          <w:p w14:paraId="256C1715" w14:textId="77777777" w:rsidR="00221C59" w:rsidRPr="0097196B" w:rsidRDefault="00221C59" w:rsidP="00221C59">
            <w:pPr>
              <w:ind w:left="-40"/>
              <w:jc w:val="both"/>
              <w:rPr>
                <w:bCs/>
                <w:szCs w:val="20"/>
              </w:rPr>
            </w:pPr>
            <w:r w:rsidRPr="0097196B">
              <w:rPr>
                <w:bCs/>
                <w:szCs w:val="20"/>
              </w:rPr>
              <w:t>Data availability reviewed in Oct. 2019</w:t>
            </w:r>
          </w:p>
          <w:p w14:paraId="3EBE585F" w14:textId="77777777" w:rsidR="00221C59" w:rsidRPr="0097196B" w:rsidRDefault="00221C59" w:rsidP="00221C59">
            <w:pPr>
              <w:ind w:left="-40"/>
              <w:jc w:val="both"/>
              <w:rPr>
                <w:bCs/>
                <w:szCs w:val="20"/>
              </w:rPr>
            </w:pPr>
            <w:r w:rsidRPr="0097196B">
              <w:rPr>
                <w:bCs/>
                <w:szCs w:val="20"/>
              </w:rPr>
              <w:t>(classified as Tier I)</w:t>
            </w:r>
          </w:p>
          <w:p w14:paraId="275102E3" w14:textId="77777777" w:rsidR="00221C59" w:rsidRPr="0097196B" w:rsidRDefault="00221C59" w:rsidP="00221C59">
            <w:pPr>
              <w:ind w:left="-40"/>
              <w:jc w:val="both"/>
              <w:rPr>
                <w:bCs/>
                <w:szCs w:val="20"/>
              </w:rPr>
            </w:pPr>
          </w:p>
          <w:p w14:paraId="69E89827" w14:textId="77777777" w:rsidR="00221C59" w:rsidRPr="0097196B" w:rsidRDefault="00221C59" w:rsidP="00221C59">
            <w:pPr>
              <w:ind w:left="-40"/>
              <w:jc w:val="both"/>
              <w:rPr>
                <w:bCs/>
                <w:szCs w:val="20"/>
              </w:rPr>
            </w:pPr>
            <w:r w:rsidRPr="0097196B">
              <w:rPr>
                <w:bCs/>
                <w:szCs w:val="20"/>
              </w:rPr>
              <w:t>Reviewed at 6th IAEG-SDG meeting (classified as Tier II)</w:t>
            </w:r>
          </w:p>
          <w:p w14:paraId="1B21FA45" w14:textId="77777777" w:rsidR="00221C59" w:rsidRPr="0097196B" w:rsidRDefault="00221C59" w:rsidP="00221C59">
            <w:pPr>
              <w:ind w:left="-40"/>
              <w:jc w:val="both"/>
              <w:rPr>
                <w:bCs/>
                <w:szCs w:val="20"/>
              </w:rPr>
            </w:pPr>
          </w:p>
          <w:p w14:paraId="018AE457" w14:textId="622FEDD0" w:rsidR="00221C59" w:rsidRPr="007243FC" w:rsidRDefault="00221C59" w:rsidP="00221C59">
            <w:pPr>
              <w:ind w:left="-40"/>
              <w:jc w:val="both"/>
              <w:rPr>
                <w:bCs/>
                <w:szCs w:val="20"/>
              </w:rPr>
            </w:pPr>
            <w:r w:rsidRPr="0097196B">
              <w:rPr>
                <w:bCs/>
                <w:szCs w:val="20"/>
              </w:rPr>
              <w:t xml:space="preserve">Fast Track; Reviewed at 5th IAEG-SDG meeting; More information on terminology is requested (classified as </w:t>
            </w:r>
            <w:r w:rsidR="006B621F">
              <w:rPr>
                <w:bCs/>
                <w:szCs w:val="20"/>
              </w:rPr>
              <w:t>TBD</w:t>
            </w:r>
            <w:r w:rsidRPr="0097196B">
              <w:rPr>
                <w:bCs/>
                <w:szCs w:val="20"/>
              </w:rPr>
              <w:t>)</w:t>
            </w:r>
          </w:p>
        </w:tc>
      </w:tr>
      <w:tr w:rsidR="00DB32C0" w14:paraId="0B5CB2D4" w14:textId="77777777" w:rsidTr="00FE4C7E">
        <w:tc>
          <w:tcPr>
            <w:tcW w:w="0" w:type="auto"/>
            <w:shd w:val="clear" w:color="auto" w:fill="auto"/>
          </w:tcPr>
          <w:p w14:paraId="1FFE59A5" w14:textId="77777777" w:rsidR="00221C59" w:rsidRPr="004826CD" w:rsidRDefault="00221C59" w:rsidP="00221C59">
            <w:pPr>
              <w:jc w:val="both"/>
              <w:rPr>
                <w:szCs w:val="20"/>
              </w:rPr>
            </w:pPr>
            <w:r w:rsidRPr="004826CD">
              <w:rPr>
                <w:szCs w:val="20"/>
              </w:rPr>
              <w:lastRenderedPageBreak/>
              <w:t>6.4.2 Level of water stress: freshwater withdrawal as a proportion of available freshwater resources</w:t>
            </w:r>
          </w:p>
        </w:tc>
        <w:tc>
          <w:tcPr>
            <w:tcW w:w="0" w:type="auto"/>
            <w:shd w:val="clear" w:color="auto" w:fill="auto"/>
          </w:tcPr>
          <w:p w14:paraId="7BC1C2DD" w14:textId="77777777" w:rsidR="00221C59" w:rsidRDefault="00221C59" w:rsidP="00221C59">
            <w:pPr>
              <w:rPr>
                <w:b/>
                <w:bCs/>
                <w:szCs w:val="20"/>
              </w:rPr>
            </w:pPr>
            <w:r w:rsidRPr="00C328BB">
              <w:rPr>
                <w:b/>
                <w:bCs/>
                <w:szCs w:val="20"/>
              </w:rPr>
              <w:t>FAO</w:t>
            </w:r>
          </w:p>
          <w:p w14:paraId="535D93C4" w14:textId="77777777" w:rsidR="00221C59" w:rsidRDefault="00221C59" w:rsidP="00221C59">
            <w:pPr>
              <w:rPr>
                <w:b/>
                <w:bCs/>
                <w:szCs w:val="20"/>
              </w:rPr>
            </w:pPr>
          </w:p>
          <w:p w14:paraId="47FAAD3B" w14:textId="77777777" w:rsidR="00221C59" w:rsidRDefault="00221C59" w:rsidP="00221C59">
            <w:pPr>
              <w:rPr>
                <w:b/>
                <w:bCs/>
                <w:szCs w:val="20"/>
              </w:rPr>
            </w:pPr>
            <w:r w:rsidRPr="007243FC">
              <w:rPr>
                <w:b/>
                <w:bCs/>
                <w:szCs w:val="20"/>
              </w:rPr>
              <w:t>Partner Agencies:</w:t>
            </w:r>
          </w:p>
          <w:p w14:paraId="76D480E7" w14:textId="77777777" w:rsidR="00221C59" w:rsidRPr="00C328BB" w:rsidRDefault="00221C59" w:rsidP="00221C59">
            <w:pPr>
              <w:rPr>
                <w:szCs w:val="20"/>
              </w:rPr>
            </w:pPr>
            <w:r w:rsidRPr="00C328BB">
              <w:rPr>
                <w:szCs w:val="20"/>
              </w:rPr>
              <w:t xml:space="preserve">UNEP, </w:t>
            </w:r>
          </w:p>
          <w:p w14:paraId="51622144" w14:textId="77777777" w:rsidR="00221C59" w:rsidRPr="00C328BB" w:rsidRDefault="00221C59" w:rsidP="00221C59">
            <w:pPr>
              <w:rPr>
                <w:szCs w:val="20"/>
              </w:rPr>
            </w:pPr>
            <w:r w:rsidRPr="00C328BB">
              <w:rPr>
                <w:szCs w:val="20"/>
              </w:rPr>
              <w:t>IUCN,</w:t>
            </w:r>
          </w:p>
          <w:p w14:paraId="3CA31794" w14:textId="77777777" w:rsidR="00221C59" w:rsidRPr="00C328BB" w:rsidRDefault="00221C59" w:rsidP="00221C59">
            <w:pPr>
              <w:rPr>
                <w:szCs w:val="20"/>
              </w:rPr>
            </w:pPr>
            <w:r w:rsidRPr="00C328BB">
              <w:rPr>
                <w:szCs w:val="20"/>
              </w:rPr>
              <w:t>UNSD,</w:t>
            </w:r>
          </w:p>
          <w:p w14:paraId="57CC557E" w14:textId="77777777" w:rsidR="00221C59" w:rsidRPr="00C328BB" w:rsidRDefault="00221C59" w:rsidP="00221C59">
            <w:pPr>
              <w:rPr>
                <w:szCs w:val="20"/>
              </w:rPr>
            </w:pPr>
            <w:r w:rsidRPr="00C328BB">
              <w:rPr>
                <w:szCs w:val="20"/>
              </w:rPr>
              <w:t>OECD,</w:t>
            </w:r>
          </w:p>
          <w:p w14:paraId="54F89C9D" w14:textId="77777777" w:rsidR="00221C59" w:rsidRPr="00C328BB" w:rsidRDefault="00221C59" w:rsidP="00221C59">
            <w:pPr>
              <w:rPr>
                <w:szCs w:val="20"/>
              </w:rPr>
            </w:pPr>
            <w:r w:rsidRPr="00C328BB">
              <w:rPr>
                <w:szCs w:val="20"/>
              </w:rPr>
              <w:t>Eurostat</w:t>
            </w:r>
          </w:p>
          <w:p w14:paraId="609D04B5" w14:textId="77777777" w:rsidR="00221C59" w:rsidRPr="007243FC" w:rsidRDefault="00221C59" w:rsidP="00221C59">
            <w:pPr>
              <w:rPr>
                <w:szCs w:val="20"/>
              </w:rPr>
            </w:pPr>
          </w:p>
        </w:tc>
        <w:tc>
          <w:tcPr>
            <w:tcW w:w="825" w:type="dxa"/>
            <w:shd w:val="clear" w:color="auto" w:fill="auto"/>
          </w:tcPr>
          <w:p w14:paraId="02CA6D26" w14:textId="77777777" w:rsidR="00221C59" w:rsidRPr="007243FC" w:rsidRDefault="00221C59" w:rsidP="00221C59">
            <w:pPr>
              <w:rPr>
                <w:szCs w:val="20"/>
              </w:rPr>
            </w:pPr>
            <w:r w:rsidRPr="00C328BB">
              <w:rPr>
                <w:szCs w:val="20"/>
              </w:rPr>
              <w:t>Tier I</w:t>
            </w:r>
          </w:p>
        </w:tc>
        <w:tc>
          <w:tcPr>
            <w:tcW w:w="6373" w:type="dxa"/>
            <w:shd w:val="clear" w:color="auto" w:fill="auto"/>
          </w:tcPr>
          <w:p w14:paraId="2AC9F2AB" w14:textId="77777777" w:rsidR="00221C59" w:rsidRPr="00AC6DDB" w:rsidRDefault="00221C59" w:rsidP="00221C59">
            <w:pPr>
              <w:pStyle w:val="NoSpacing"/>
              <w:rPr>
                <w:b/>
                <w:bCs/>
                <w:szCs w:val="20"/>
                <w:lang w:val="en-GB"/>
              </w:rPr>
            </w:pPr>
            <w:r w:rsidRPr="00AC6DDB">
              <w:rPr>
                <w:b/>
                <w:bCs/>
                <w:szCs w:val="20"/>
                <w:lang w:val="en-GB"/>
              </w:rPr>
              <w:t>Definition:</w:t>
            </w:r>
          </w:p>
          <w:p w14:paraId="206F55E1" w14:textId="77777777" w:rsidR="00221C59" w:rsidRPr="00AC6DDB" w:rsidRDefault="00221C59" w:rsidP="00221C59">
            <w:pPr>
              <w:pStyle w:val="NoSpacing"/>
              <w:rPr>
                <w:szCs w:val="20"/>
                <w:lang w:val="en-GB"/>
              </w:rPr>
            </w:pPr>
          </w:p>
          <w:p w14:paraId="6A3E555A" w14:textId="77777777" w:rsidR="00221C59" w:rsidRPr="00AC6DDB" w:rsidRDefault="00221C59" w:rsidP="00FE4C7E">
            <w:pPr>
              <w:pStyle w:val="NoSpacing"/>
              <w:jc w:val="both"/>
              <w:rPr>
                <w:szCs w:val="20"/>
                <w:lang w:val="en-GB"/>
              </w:rPr>
            </w:pPr>
            <w:r w:rsidRPr="00AC6DDB">
              <w:rPr>
                <w:szCs w:val="20"/>
                <w:lang w:val="en-GB"/>
              </w:rPr>
              <w:t>The level of water stress: freshwater withdrawal as a proportion of available freshwater resources is the ratio between total freshwater withdrawn by all major sectors and total renewable freshwater resources, after taking into account environmental water requirements. Main sectors, as defined by ISIC standards, include agriculture; forestry and fishing; manufacturing; electricity industry; and services. This indicator is also known as water withdrawal intensity.</w:t>
            </w:r>
          </w:p>
          <w:p w14:paraId="745D5BDF" w14:textId="77777777" w:rsidR="00221C59" w:rsidRPr="00AC6DDB" w:rsidRDefault="00221C59" w:rsidP="00FE4C7E">
            <w:pPr>
              <w:pStyle w:val="NoSpacing"/>
              <w:jc w:val="both"/>
              <w:rPr>
                <w:szCs w:val="20"/>
                <w:lang w:val="en-GB"/>
              </w:rPr>
            </w:pPr>
          </w:p>
          <w:p w14:paraId="3C9A75B8" w14:textId="77777777" w:rsidR="00221C59" w:rsidRPr="00AC6DDB" w:rsidRDefault="00221C59" w:rsidP="00FE4C7E">
            <w:pPr>
              <w:pStyle w:val="NoSpacing"/>
              <w:jc w:val="both"/>
              <w:rPr>
                <w:b/>
                <w:bCs/>
                <w:szCs w:val="20"/>
                <w:lang w:val="en-GB"/>
              </w:rPr>
            </w:pPr>
            <w:r w:rsidRPr="00AC6DDB">
              <w:rPr>
                <w:b/>
                <w:bCs/>
                <w:szCs w:val="20"/>
                <w:lang w:val="en-GB"/>
              </w:rPr>
              <w:t>Concepts:</w:t>
            </w:r>
          </w:p>
          <w:p w14:paraId="0CA2E97E" w14:textId="77777777" w:rsidR="00221C59" w:rsidRPr="00AC6DDB" w:rsidRDefault="00221C59" w:rsidP="00FE4C7E">
            <w:pPr>
              <w:pStyle w:val="NoSpacing"/>
              <w:jc w:val="both"/>
              <w:rPr>
                <w:szCs w:val="20"/>
                <w:lang w:val="en-GB"/>
              </w:rPr>
            </w:pPr>
          </w:p>
          <w:p w14:paraId="60E42B7D" w14:textId="77777777" w:rsidR="00221C59" w:rsidRPr="00AC6DDB" w:rsidRDefault="00221C59" w:rsidP="00FE4C7E">
            <w:pPr>
              <w:pStyle w:val="NoSpacing"/>
              <w:jc w:val="both"/>
              <w:rPr>
                <w:szCs w:val="20"/>
                <w:lang w:val="en-GB"/>
              </w:rPr>
            </w:pPr>
            <w:r w:rsidRPr="00AC6DDB">
              <w:rPr>
                <w:szCs w:val="20"/>
                <w:lang w:val="en-GB"/>
              </w:rPr>
              <w:t xml:space="preserve">This indicator provides an estimate of pressure by all sectors on the country’s renewable freshwater resources. A low level of water stress indicates a situation where the combined withdrawal by all sectors is marginal in relation to the resources, and has therefore little potential impact on the sustainability of the resources or on the potential competition between users. A high level of water stress indicates a situation where the combined withdrawal by all sectors represents a substantial share of the total renewable freshwater resources, with potentially larger impacts on the sustainability of the resources and potential situations of conflicts and competition between users. </w:t>
            </w:r>
          </w:p>
          <w:p w14:paraId="2C653467" w14:textId="77777777" w:rsidR="00221C59" w:rsidRPr="00AC6DDB" w:rsidRDefault="00221C59" w:rsidP="00FE4C7E">
            <w:pPr>
              <w:pStyle w:val="NoSpacing"/>
              <w:jc w:val="both"/>
              <w:rPr>
                <w:szCs w:val="20"/>
                <w:lang w:val="en-GB"/>
              </w:rPr>
            </w:pPr>
          </w:p>
          <w:p w14:paraId="41980CAA" w14:textId="77777777" w:rsidR="00221C59" w:rsidRPr="00AC6DDB" w:rsidRDefault="00221C59" w:rsidP="00FE4C7E">
            <w:pPr>
              <w:pStyle w:val="NoSpacing"/>
              <w:jc w:val="both"/>
              <w:rPr>
                <w:szCs w:val="20"/>
                <w:lang w:val="en-GB"/>
              </w:rPr>
            </w:pPr>
            <w:r w:rsidRPr="00AC6DDB">
              <w:rPr>
                <w:szCs w:val="20"/>
                <w:lang w:val="en-GB"/>
              </w:rPr>
              <w:t xml:space="preserve">Total renewable freshwater resources (TRWR) are expressed as the sum of internal and external renewable water resources. The terms “water resources” and “water withdrawal” are understood here as freshwater resources and freshwater withdrawal. </w:t>
            </w:r>
          </w:p>
          <w:p w14:paraId="012AA6E9" w14:textId="77777777" w:rsidR="00221C59" w:rsidRPr="00AC6DDB" w:rsidRDefault="00221C59" w:rsidP="00FE4C7E">
            <w:pPr>
              <w:pStyle w:val="NoSpacing"/>
              <w:jc w:val="both"/>
              <w:rPr>
                <w:szCs w:val="20"/>
                <w:lang w:val="en-GB"/>
              </w:rPr>
            </w:pPr>
          </w:p>
          <w:p w14:paraId="5C51E141" w14:textId="77777777" w:rsidR="00221C59" w:rsidRPr="00AC6DDB" w:rsidRDefault="00221C59" w:rsidP="00FE4C7E">
            <w:pPr>
              <w:pStyle w:val="NoSpacing"/>
              <w:jc w:val="both"/>
              <w:rPr>
                <w:szCs w:val="20"/>
                <w:lang w:val="en-GB"/>
              </w:rPr>
            </w:pPr>
            <w:r w:rsidRPr="00AC6DDB">
              <w:rPr>
                <w:szCs w:val="20"/>
                <w:lang w:val="en-GB"/>
              </w:rPr>
              <w:t xml:space="preserve">Internal renewable water resources are defined as the long-term average annual flow of rivers and recharge of groundwater for a given country generated from endogenous precipitation. </w:t>
            </w:r>
          </w:p>
          <w:p w14:paraId="4C3B65B0" w14:textId="77777777" w:rsidR="00221C59" w:rsidRPr="00AC6DDB" w:rsidRDefault="00221C59" w:rsidP="00FE4C7E">
            <w:pPr>
              <w:pStyle w:val="NoSpacing"/>
              <w:jc w:val="both"/>
              <w:rPr>
                <w:szCs w:val="20"/>
                <w:lang w:val="en-GB"/>
              </w:rPr>
            </w:pPr>
            <w:r w:rsidRPr="00AC6DDB">
              <w:rPr>
                <w:szCs w:val="20"/>
                <w:lang w:val="en-GB"/>
              </w:rPr>
              <w:t>.</w:t>
            </w:r>
          </w:p>
          <w:p w14:paraId="1DB8E589" w14:textId="77777777" w:rsidR="00221C59" w:rsidRPr="00AC6DDB" w:rsidRDefault="00221C59" w:rsidP="00FE4C7E">
            <w:pPr>
              <w:pStyle w:val="NoSpacing"/>
              <w:jc w:val="both"/>
              <w:rPr>
                <w:szCs w:val="20"/>
                <w:lang w:val="en-GB"/>
              </w:rPr>
            </w:pPr>
            <w:r w:rsidRPr="00AC6DDB">
              <w:rPr>
                <w:szCs w:val="20"/>
                <w:lang w:val="en-GB"/>
              </w:rPr>
              <w:t xml:space="preserve">External renewable water resources refer to the flows of water entering the country, taking into consideration the quantity of flows reserved to upstream and downstream countries through agreements or treaties. </w:t>
            </w:r>
          </w:p>
          <w:p w14:paraId="594A6F04" w14:textId="77777777" w:rsidR="00221C59" w:rsidRPr="00AC6DDB" w:rsidRDefault="00221C59" w:rsidP="00FE4C7E">
            <w:pPr>
              <w:pStyle w:val="NoSpacing"/>
              <w:jc w:val="both"/>
              <w:rPr>
                <w:szCs w:val="20"/>
                <w:lang w:val="en-GB"/>
              </w:rPr>
            </w:pPr>
          </w:p>
          <w:p w14:paraId="1791D9C7" w14:textId="77777777" w:rsidR="00221C59" w:rsidRPr="00AC6DDB" w:rsidRDefault="00221C59" w:rsidP="00FE4C7E">
            <w:pPr>
              <w:pStyle w:val="NoSpacing"/>
              <w:jc w:val="both"/>
              <w:rPr>
                <w:szCs w:val="20"/>
                <w:lang w:val="en-GB"/>
              </w:rPr>
            </w:pPr>
            <w:r w:rsidRPr="00AC6DDB">
              <w:rPr>
                <w:szCs w:val="20"/>
                <w:lang w:val="en-GB"/>
              </w:rPr>
              <w:lastRenderedPageBreak/>
              <w:t xml:space="preserve">Total freshwater withdrawal (TWW) is the volume of freshwater extracted from its source (rivers, lakes, aquifers) for agriculture, industries and municipalities. It is estimated at the country level for the following three main sectors: agriculture, municipalities (including domestic water withdrawal) and industries. Freshwater withdrawal includes primary freshwater (not withdrawn before), secondary freshwater (previously withdrawn and returned to rivers and groundwater, such as discharged wastewater and agricultural drainage water) and fossil groundwater. It does not include non-conventional water, i.e. direct use of treated wastewater, direct use of agricultural drainage water and desalinated water. TWW is in general calculated as being the sum of total water withdrawal by sector minus direct use of wastewater, direct use of agricultural drainage water and use of desalinated water. </w:t>
            </w:r>
          </w:p>
          <w:p w14:paraId="515C5B4B" w14:textId="77777777" w:rsidR="00221C59" w:rsidRPr="00AC6DDB" w:rsidRDefault="00221C59" w:rsidP="00FE4C7E">
            <w:pPr>
              <w:pStyle w:val="NoSpacing"/>
              <w:jc w:val="both"/>
              <w:rPr>
                <w:szCs w:val="20"/>
                <w:lang w:val="en-GB"/>
              </w:rPr>
            </w:pPr>
          </w:p>
          <w:p w14:paraId="5F272855" w14:textId="77777777" w:rsidR="00221C59" w:rsidRPr="00AC6DDB" w:rsidRDefault="00221C59" w:rsidP="00FE4C7E">
            <w:pPr>
              <w:pStyle w:val="NoSpacing"/>
              <w:jc w:val="both"/>
              <w:rPr>
                <w:szCs w:val="20"/>
                <w:lang w:val="en-GB"/>
              </w:rPr>
            </w:pPr>
            <w:r w:rsidRPr="00AC6DDB">
              <w:rPr>
                <w:szCs w:val="20"/>
                <w:lang w:val="en-GB"/>
              </w:rPr>
              <w:t xml:space="preserve">Environmental water requirements (Env.) are the quantities of water required to sustain freshwater and estuarine ecosystems. Water quality and also the resulting ecosystem services are excluded from this formulation which is confined to water volumes. This does not imply that quality and the support to societies which are dependent on environmental flows are not important and should not be taken care of. Methods of computation of Env. </w:t>
            </w:r>
            <w:proofErr w:type="gramStart"/>
            <w:r w:rsidRPr="00AC6DDB">
              <w:rPr>
                <w:szCs w:val="20"/>
                <w:lang w:val="en-GB"/>
              </w:rPr>
              <w:t>are</w:t>
            </w:r>
            <w:proofErr w:type="gramEnd"/>
            <w:r w:rsidRPr="00AC6DDB">
              <w:rPr>
                <w:szCs w:val="20"/>
                <w:lang w:val="en-GB"/>
              </w:rPr>
              <w:t xml:space="preserve"> extremely variable and range from global estimates to comprehensive assessments for river reaches. For the purpose of the SDG indicator, water volumes can be expressed in the same units as the TWW, and then as percentages of the available water resources.</w:t>
            </w:r>
          </w:p>
          <w:p w14:paraId="7C4327C8" w14:textId="77777777" w:rsidR="00221C59" w:rsidRPr="00AC6DDB" w:rsidRDefault="00221C59" w:rsidP="00FE4C7E">
            <w:pPr>
              <w:pStyle w:val="NoSpacing"/>
              <w:jc w:val="both"/>
              <w:rPr>
                <w:b/>
                <w:bCs/>
                <w:szCs w:val="20"/>
                <w:lang w:val="en-GB"/>
              </w:rPr>
            </w:pPr>
          </w:p>
          <w:p w14:paraId="375A1ADE" w14:textId="77777777" w:rsidR="00221C59" w:rsidRPr="00AC6DDB" w:rsidRDefault="00221C59" w:rsidP="00FE4C7E">
            <w:pPr>
              <w:pStyle w:val="NoSpacing"/>
              <w:jc w:val="both"/>
              <w:rPr>
                <w:b/>
                <w:bCs/>
                <w:szCs w:val="20"/>
                <w:lang w:val="en-GB"/>
              </w:rPr>
            </w:pPr>
            <w:r w:rsidRPr="00AC6DDB">
              <w:rPr>
                <w:b/>
                <w:bCs/>
                <w:szCs w:val="20"/>
                <w:lang w:val="en-GB"/>
              </w:rPr>
              <w:t>Comments and limitations:</w:t>
            </w:r>
          </w:p>
          <w:p w14:paraId="16C59031" w14:textId="77777777" w:rsidR="00221C59" w:rsidRPr="00AC6DDB" w:rsidRDefault="00221C59" w:rsidP="00FE4C7E">
            <w:pPr>
              <w:pStyle w:val="NoSpacing"/>
              <w:jc w:val="both"/>
              <w:rPr>
                <w:szCs w:val="20"/>
                <w:lang w:val="en-GB"/>
              </w:rPr>
            </w:pPr>
          </w:p>
          <w:p w14:paraId="34395D9A" w14:textId="77777777" w:rsidR="00221C59" w:rsidRPr="00AC6DDB" w:rsidRDefault="00221C59" w:rsidP="00FE4C7E">
            <w:pPr>
              <w:pStyle w:val="NoSpacing"/>
              <w:jc w:val="both"/>
              <w:rPr>
                <w:szCs w:val="20"/>
                <w:lang w:val="en-GB"/>
              </w:rPr>
            </w:pPr>
            <w:r w:rsidRPr="00AC6DDB">
              <w:rPr>
                <w:szCs w:val="20"/>
                <w:lang w:val="en-GB"/>
              </w:rPr>
              <w:t xml:space="preserve">Water withdrawal as a percentage of water resources is a good indicator of pressure on limited water resources, one of the most important natural resources. However, it only partially addresses the issues related to sustainable water management. </w:t>
            </w:r>
          </w:p>
          <w:p w14:paraId="17C8A075" w14:textId="77777777" w:rsidR="00221C59" w:rsidRPr="00AC6DDB" w:rsidRDefault="00221C59" w:rsidP="00FE4C7E">
            <w:pPr>
              <w:pStyle w:val="NoSpacing"/>
              <w:jc w:val="both"/>
              <w:rPr>
                <w:szCs w:val="20"/>
                <w:lang w:val="en-GB"/>
              </w:rPr>
            </w:pPr>
          </w:p>
          <w:p w14:paraId="06C0753C" w14:textId="77777777" w:rsidR="00221C59" w:rsidRPr="00AC6DDB" w:rsidRDefault="00221C59" w:rsidP="00FE4C7E">
            <w:pPr>
              <w:pStyle w:val="NoSpacing"/>
              <w:jc w:val="both"/>
              <w:rPr>
                <w:szCs w:val="20"/>
                <w:lang w:val="en-GB"/>
              </w:rPr>
            </w:pPr>
            <w:r w:rsidRPr="00AC6DDB">
              <w:rPr>
                <w:szCs w:val="20"/>
                <w:lang w:val="en-GB"/>
              </w:rPr>
              <w:t xml:space="preserve">Supplementary indicators that capture the multiple dimensions of water management would combine data on water demand management, behavioural changes with regard to water use and the availability of appropriate infrastructure, and measure progress in increasing the efficiency and sustainability of water use, in particular in relation to population and economic growth. They would also recognize the different climatic environments that affect water use in countries, in particular in agriculture, which is the main user of water. Sustainability assessment is also linked to the critical thresholds fixed for this indicator and there is no universal consensus on such threshold. </w:t>
            </w:r>
          </w:p>
          <w:p w14:paraId="205E3246" w14:textId="77777777" w:rsidR="00221C59" w:rsidRPr="00AC6DDB" w:rsidRDefault="00221C59" w:rsidP="00FE4C7E">
            <w:pPr>
              <w:pStyle w:val="NoSpacing"/>
              <w:jc w:val="both"/>
              <w:rPr>
                <w:szCs w:val="20"/>
                <w:lang w:val="en-GB"/>
              </w:rPr>
            </w:pPr>
          </w:p>
          <w:p w14:paraId="58BB791A" w14:textId="77777777" w:rsidR="00221C59" w:rsidRPr="00AC6DDB" w:rsidRDefault="00221C59" w:rsidP="00FE4C7E">
            <w:pPr>
              <w:pStyle w:val="NoSpacing"/>
              <w:jc w:val="both"/>
              <w:rPr>
                <w:szCs w:val="20"/>
                <w:lang w:val="en-GB"/>
              </w:rPr>
            </w:pPr>
            <w:r w:rsidRPr="00AC6DDB">
              <w:rPr>
                <w:szCs w:val="20"/>
                <w:lang w:val="en-GB"/>
              </w:rPr>
              <w:t xml:space="preserve">Trends in water withdrawal show relatively slow patterns of change. Usually, three-five years are a minimum frequency to be able to detect significant changes, as it is unlikely that the indicator would show meaningful variations from one year to the other. </w:t>
            </w:r>
          </w:p>
          <w:p w14:paraId="2B21B3D6" w14:textId="77777777" w:rsidR="00221C59" w:rsidRPr="00AC6DDB" w:rsidRDefault="00221C59" w:rsidP="00FE4C7E">
            <w:pPr>
              <w:pStyle w:val="NoSpacing"/>
              <w:jc w:val="both"/>
              <w:rPr>
                <w:szCs w:val="20"/>
                <w:lang w:val="en-GB"/>
              </w:rPr>
            </w:pPr>
          </w:p>
          <w:p w14:paraId="46FCE6F8" w14:textId="77777777" w:rsidR="00221C59" w:rsidRPr="00AC6DDB" w:rsidRDefault="00221C59" w:rsidP="00FE4C7E">
            <w:pPr>
              <w:pStyle w:val="NoSpacing"/>
              <w:jc w:val="both"/>
              <w:rPr>
                <w:szCs w:val="20"/>
                <w:lang w:val="en-GB"/>
              </w:rPr>
            </w:pPr>
            <w:r w:rsidRPr="00AC6DDB">
              <w:rPr>
                <w:szCs w:val="20"/>
                <w:lang w:val="en-GB"/>
              </w:rPr>
              <w:lastRenderedPageBreak/>
              <w:t xml:space="preserve">Estimation of water withdrawal by sector is the main limitation to the computation of the indicator. Few countries actually publish water use data on a regular basis by sector. </w:t>
            </w:r>
          </w:p>
          <w:p w14:paraId="6F3583D8" w14:textId="77777777" w:rsidR="00221C59" w:rsidRPr="00AC6DDB" w:rsidRDefault="00221C59" w:rsidP="00FE4C7E">
            <w:pPr>
              <w:pStyle w:val="NoSpacing"/>
              <w:jc w:val="both"/>
              <w:rPr>
                <w:szCs w:val="20"/>
                <w:lang w:val="en-GB"/>
              </w:rPr>
            </w:pPr>
          </w:p>
          <w:p w14:paraId="730FE7CE" w14:textId="77777777" w:rsidR="00221C59" w:rsidRPr="00AC6DDB" w:rsidRDefault="00221C59" w:rsidP="00FE4C7E">
            <w:pPr>
              <w:pStyle w:val="NoSpacing"/>
              <w:jc w:val="both"/>
              <w:rPr>
                <w:szCs w:val="20"/>
                <w:lang w:val="en-GB"/>
              </w:rPr>
            </w:pPr>
            <w:r w:rsidRPr="00AC6DDB">
              <w:rPr>
                <w:szCs w:val="20"/>
                <w:lang w:val="en-GB"/>
              </w:rPr>
              <w:t>Renewable water resources include all surface water and groundwater resources that are available on a yearly basis without consideration of the capacity to harvest and use this resource. Exploitable water resources, which refer to the volume of surface water or groundwater that is available with an occurrence of 90% of the time, are considerably less than renewable water resources, but no universal method exists to assess such exploitable water resources.</w:t>
            </w:r>
          </w:p>
          <w:p w14:paraId="443CD13B" w14:textId="77777777" w:rsidR="00221C59" w:rsidRPr="00AC6DDB" w:rsidRDefault="00221C59" w:rsidP="00FE4C7E">
            <w:pPr>
              <w:pStyle w:val="NoSpacing"/>
              <w:jc w:val="both"/>
              <w:rPr>
                <w:szCs w:val="20"/>
                <w:lang w:val="en-GB"/>
              </w:rPr>
            </w:pPr>
          </w:p>
          <w:p w14:paraId="6C33A6F6" w14:textId="77777777" w:rsidR="00221C59" w:rsidRPr="00AC6DDB" w:rsidRDefault="00221C59" w:rsidP="00FE4C7E">
            <w:pPr>
              <w:pStyle w:val="NoSpacing"/>
              <w:jc w:val="both"/>
              <w:rPr>
                <w:szCs w:val="20"/>
                <w:lang w:val="en-GB"/>
              </w:rPr>
            </w:pPr>
            <w:r w:rsidRPr="00AC6DDB">
              <w:rPr>
                <w:szCs w:val="20"/>
                <w:lang w:val="en-GB"/>
              </w:rPr>
              <w:t xml:space="preserve">There is no universally agreed method for the computation of incoming freshwater flows originating outside of a country's borders. Nor is there any standard method to account for return flows, the part of the water withdrawn from its source and which flows back to the river system after use. In countries where return flow represents a substantial part of water withdrawal, the indicator tends to underestimate available water and therefore overestimate the level of water stress. </w:t>
            </w:r>
          </w:p>
          <w:p w14:paraId="1499261A" w14:textId="77777777" w:rsidR="00221C59" w:rsidRPr="00AC6DDB" w:rsidRDefault="00221C59" w:rsidP="00FE4C7E">
            <w:pPr>
              <w:pStyle w:val="NoSpacing"/>
              <w:jc w:val="both"/>
              <w:rPr>
                <w:szCs w:val="20"/>
                <w:lang w:val="en-GB"/>
              </w:rPr>
            </w:pPr>
          </w:p>
          <w:p w14:paraId="52577B4D" w14:textId="77777777" w:rsidR="00221C59" w:rsidRPr="00AC6DDB" w:rsidRDefault="00221C59" w:rsidP="00FE4C7E">
            <w:pPr>
              <w:pStyle w:val="NoSpacing"/>
              <w:jc w:val="both"/>
              <w:rPr>
                <w:szCs w:val="20"/>
                <w:lang w:val="en-GB"/>
              </w:rPr>
            </w:pPr>
            <w:r w:rsidRPr="00AC6DDB">
              <w:rPr>
                <w:szCs w:val="20"/>
                <w:lang w:val="en-GB"/>
              </w:rPr>
              <w:t xml:space="preserve">Other limitations that affect the interpretation of the water stress indicator include: </w:t>
            </w:r>
          </w:p>
          <w:p w14:paraId="01221A3C" w14:textId="77777777" w:rsidR="00221C59" w:rsidRPr="00AC6DDB" w:rsidRDefault="00221C59" w:rsidP="00FE4C7E">
            <w:pPr>
              <w:pStyle w:val="NoSpacing"/>
              <w:jc w:val="both"/>
              <w:rPr>
                <w:szCs w:val="20"/>
                <w:lang w:val="en-GB"/>
              </w:rPr>
            </w:pPr>
            <w:r w:rsidRPr="00AC6DDB">
              <w:rPr>
                <w:szCs w:val="20"/>
                <w:lang w:val="en-GB"/>
              </w:rPr>
              <w:t xml:space="preserve">• difficulty to obtain accurate, complete and up-to-date data; </w:t>
            </w:r>
          </w:p>
          <w:p w14:paraId="14551A6F" w14:textId="77777777" w:rsidR="00221C59" w:rsidRPr="00AC6DDB" w:rsidRDefault="00221C59" w:rsidP="00FE4C7E">
            <w:pPr>
              <w:pStyle w:val="NoSpacing"/>
              <w:jc w:val="both"/>
              <w:rPr>
                <w:szCs w:val="20"/>
                <w:lang w:val="en-GB"/>
              </w:rPr>
            </w:pPr>
            <w:r w:rsidRPr="00AC6DDB">
              <w:rPr>
                <w:szCs w:val="20"/>
                <w:lang w:val="en-GB"/>
              </w:rPr>
              <w:t xml:space="preserve">• potentially large variation of sub-national data; </w:t>
            </w:r>
          </w:p>
          <w:p w14:paraId="1FE3D55E" w14:textId="77777777" w:rsidR="00221C59" w:rsidRPr="00AC6DDB" w:rsidRDefault="00221C59" w:rsidP="00FE4C7E">
            <w:pPr>
              <w:pStyle w:val="NoSpacing"/>
              <w:jc w:val="both"/>
              <w:rPr>
                <w:szCs w:val="20"/>
                <w:lang w:val="en-GB"/>
              </w:rPr>
            </w:pPr>
            <w:r w:rsidRPr="00AC6DDB">
              <w:rPr>
                <w:szCs w:val="20"/>
                <w:lang w:val="en-GB"/>
              </w:rPr>
              <w:t>• lack of account of seasonal variations in water resources;</w:t>
            </w:r>
          </w:p>
          <w:p w14:paraId="027D293E" w14:textId="77777777" w:rsidR="00221C59" w:rsidRPr="00AC6DDB" w:rsidRDefault="00221C59" w:rsidP="00FE4C7E">
            <w:pPr>
              <w:pStyle w:val="NoSpacing"/>
              <w:jc w:val="both"/>
              <w:rPr>
                <w:szCs w:val="20"/>
                <w:lang w:val="en-GB"/>
              </w:rPr>
            </w:pPr>
            <w:r w:rsidRPr="00AC6DDB">
              <w:rPr>
                <w:szCs w:val="20"/>
                <w:lang w:val="en-GB"/>
              </w:rPr>
              <w:t xml:space="preserve">• lack of consideration to the distribution among water uses; </w:t>
            </w:r>
          </w:p>
          <w:p w14:paraId="16A3E031" w14:textId="77777777" w:rsidR="00221C59" w:rsidRPr="00AC6DDB" w:rsidRDefault="00221C59" w:rsidP="00FE4C7E">
            <w:pPr>
              <w:pStyle w:val="NoSpacing"/>
              <w:jc w:val="both"/>
              <w:rPr>
                <w:szCs w:val="20"/>
                <w:lang w:val="en-GB"/>
              </w:rPr>
            </w:pPr>
            <w:r w:rsidRPr="00AC6DDB">
              <w:rPr>
                <w:szCs w:val="20"/>
                <w:lang w:val="en-GB"/>
              </w:rPr>
              <w:t>• lack of consideration of water quality and its suitability for use; and</w:t>
            </w:r>
          </w:p>
          <w:p w14:paraId="27DC7D87" w14:textId="77777777" w:rsidR="00221C59" w:rsidRPr="00AC6DDB" w:rsidRDefault="00221C59" w:rsidP="00FE4C7E">
            <w:pPr>
              <w:pStyle w:val="NoSpacing"/>
              <w:jc w:val="both"/>
              <w:rPr>
                <w:szCs w:val="20"/>
                <w:lang w:val="en-GB"/>
              </w:rPr>
            </w:pPr>
            <w:r w:rsidRPr="00AC6DDB">
              <w:rPr>
                <w:szCs w:val="20"/>
                <w:lang w:val="en-GB"/>
              </w:rPr>
              <w:t xml:space="preserve">• the indicator can be higher than 100 per cent when water withdrawal includes secondary freshwater (water withdrawn previously and returned to the system), non-renewable water (fossil groundwater), when annual groundwater withdrawal is higher than annual replenishment (over-abstraction) or when water withdrawal includes part or all of the water set aside for environmental water requirements. </w:t>
            </w:r>
          </w:p>
          <w:p w14:paraId="50C85BFA" w14:textId="77777777" w:rsidR="00221C59" w:rsidRPr="00AC6DDB" w:rsidRDefault="00221C59" w:rsidP="00FE4C7E">
            <w:pPr>
              <w:pStyle w:val="NoSpacing"/>
              <w:jc w:val="both"/>
              <w:rPr>
                <w:szCs w:val="20"/>
                <w:lang w:val="en-GB"/>
              </w:rPr>
            </w:pPr>
            <w:r w:rsidRPr="00AC6DDB">
              <w:rPr>
                <w:szCs w:val="20"/>
                <w:lang w:val="en-GB"/>
              </w:rPr>
              <w:t>Some of these issues can be solved through disaggregation of the index at the level of hydrological units and by distinguishing between different use sectors. However, due to the complexity of water flows, both within a country and between countries, care should be taken not to double-count.</w:t>
            </w:r>
          </w:p>
          <w:p w14:paraId="317D634B" w14:textId="77777777" w:rsidR="00221C59" w:rsidRPr="00AC6DDB" w:rsidRDefault="00221C59" w:rsidP="00FE4C7E">
            <w:pPr>
              <w:pStyle w:val="NoSpacing"/>
              <w:jc w:val="both"/>
              <w:rPr>
                <w:szCs w:val="20"/>
                <w:lang w:val="en-GB"/>
              </w:rPr>
            </w:pPr>
          </w:p>
          <w:p w14:paraId="325711C2" w14:textId="77777777" w:rsidR="00221C59" w:rsidRPr="00AC6DDB" w:rsidRDefault="00221C59" w:rsidP="00FE4C7E">
            <w:pPr>
              <w:pStyle w:val="NoSpacing"/>
              <w:jc w:val="both"/>
              <w:rPr>
                <w:b/>
                <w:bCs/>
                <w:szCs w:val="20"/>
                <w:lang w:val="en-GB"/>
              </w:rPr>
            </w:pPr>
            <w:r w:rsidRPr="00AC6DDB">
              <w:rPr>
                <w:b/>
                <w:bCs/>
                <w:szCs w:val="20"/>
                <w:lang w:val="en-GB"/>
              </w:rPr>
              <w:t>Computation Method:</w:t>
            </w:r>
          </w:p>
          <w:p w14:paraId="51510D54" w14:textId="77777777" w:rsidR="00221C59" w:rsidRPr="00AC6DDB" w:rsidRDefault="00221C59" w:rsidP="00FE4C7E">
            <w:pPr>
              <w:pStyle w:val="NoSpacing"/>
              <w:jc w:val="both"/>
              <w:rPr>
                <w:szCs w:val="20"/>
                <w:lang w:val="en-GB"/>
              </w:rPr>
            </w:pPr>
          </w:p>
          <w:p w14:paraId="2D791ECB" w14:textId="77777777" w:rsidR="00221C59" w:rsidRPr="00AC6DDB" w:rsidRDefault="00221C59" w:rsidP="00FE4C7E">
            <w:pPr>
              <w:pStyle w:val="NoSpacing"/>
              <w:jc w:val="both"/>
              <w:rPr>
                <w:szCs w:val="20"/>
                <w:lang w:val="en-GB"/>
              </w:rPr>
            </w:pPr>
            <w:r w:rsidRPr="00AC6DDB">
              <w:rPr>
                <w:szCs w:val="20"/>
                <w:lang w:val="en-GB"/>
              </w:rPr>
              <w:t>Method of computation: The indicator is computed as the total freshwater withdrawn (TWW) divided by the difference between the total renewable freshwater resources (TRWR) and the environmental water requirements (Env.), multiplied by 100. All variables are expressed in km</w:t>
            </w:r>
            <w:r w:rsidRPr="00AC6DDB">
              <w:rPr>
                <w:szCs w:val="20"/>
                <w:vertAlign w:val="superscript"/>
                <w:lang w:val="en-GB"/>
              </w:rPr>
              <w:t>3</w:t>
            </w:r>
            <w:r w:rsidRPr="00AC6DDB">
              <w:rPr>
                <w:szCs w:val="20"/>
                <w:lang w:val="en-GB"/>
              </w:rPr>
              <w:t xml:space="preserve">/year </w:t>
            </w:r>
            <w:proofErr w:type="gramStart"/>
            <w:r w:rsidRPr="00AC6DDB">
              <w:rPr>
                <w:szCs w:val="20"/>
                <w:lang w:val="en-GB"/>
              </w:rPr>
              <w:t>(10</w:t>
            </w:r>
            <w:r w:rsidRPr="00AC6DDB">
              <w:rPr>
                <w:szCs w:val="20"/>
                <w:vertAlign w:val="superscript"/>
                <w:lang w:val="en-GB"/>
              </w:rPr>
              <w:t>9</w:t>
            </w:r>
            <w:r w:rsidRPr="00AC6DDB">
              <w:rPr>
                <w:szCs w:val="20"/>
                <w:lang w:val="en-GB"/>
              </w:rPr>
              <w:t xml:space="preserve"> m</w:t>
            </w:r>
            <w:r w:rsidRPr="00AC6DDB">
              <w:rPr>
                <w:szCs w:val="20"/>
                <w:vertAlign w:val="superscript"/>
                <w:lang w:val="en-GB"/>
              </w:rPr>
              <w:t>3</w:t>
            </w:r>
            <w:r w:rsidRPr="00AC6DDB">
              <w:rPr>
                <w:szCs w:val="20"/>
                <w:lang w:val="en-GB"/>
              </w:rPr>
              <w:t>/year)</w:t>
            </w:r>
            <w:proofErr w:type="gramEnd"/>
            <w:r w:rsidRPr="00AC6DDB">
              <w:rPr>
                <w:szCs w:val="20"/>
                <w:lang w:val="en-GB"/>
              </w:rPr>
              <w:t>.</w:t>
            </w:r>
          </w:p>
          <w:p w14:paraId="1A9F0BF8" w14:textId="77777777" w:rsidR="00221C59" w:rsidRPr="00AC6DDB" w:rsidRDefault="00221C59" w:rsidP="00FE4C7E">
            <w:pPr>
              <w:pStyle w:val="NoSpacing"/>
              <w:jc w:val="both"/>
              <w:rPr>
                <w:szCs w:val="20"/>
                <w:lang w:val="en-GB"/>
              </w:rPr>
            </w:pPr>
          </w:p>
          <w:p w14:paraId="629AE1BD" w14:textId="77777777" w:rsidR="00221C59" w:rsidRPr="00AC6DDB" w:rsidRDefault="00221C59" w:rsidP="00FE4C7E">
            <w:pPr>
              <w:pStyle w:val="NoSpacing"/>
              <w:jc w:val="both"/>
              <w:rPr>
                <w:szCs w:val="20"/>
                <w:lang w:val="en-GB"/>
              </w:rPr>
            </w:pPr>
            <w:r w:rsidRPr="00AC6DDB">
              <w:rPr>
                <w:szCs w:val="20"/>
                <w:lang w:val="en-GB"/>
              </w:rPr>
              <w:t>Stress (%) = TWW / (TRWR - Env.) * 100</w:t>
            </w:r>
          </w:p>
          <w:p w14:paraId="6AD2F5C9" w14:textId="77777777" w:rsidR="00221C59" w:rsidRPr="00AC6DDB" w:rsidRDefault="00221C59" w:rsidP="00FE4C7E">
            <w:pPr>
              <w:pStyle w:val="NoSpacing"/>
              <w:jc w:val="both"/>
              <w:rPr>
                <w:szCs w:val="20"/>
                <w:lang w:val="en-GB"/>
              </w:rPr>
            </w:pPr>
          </w:p>
          <w:p w14:paraId="3A2C0FF7" w14:textId="77777777" w:rsidR="00221C59" w:rsidRPr="00AC6DDB" w:rsidRDefault="00221C59" w:rsidP="00FE4C7E">
            <w:pPr>
              <w:pStyle w:val="NoSpacing"/>
              <w:jc w:val="both"/>
              <w:rPr>
                <w:szCs w:val="20"/>
                <w:lang w:val="en-GB"/>
              </w:rPr>
            </w:pPr>
            <w:r w:rsidRPr="00AC6DDB">
              <w:rPr>
                <w:szCs w:val="20"/>
                <w:lang w:val="en-GB"/>
              </w:rPr>
              <w:t xml:space="preserve">It is proposed to classify the level of water stress in three main categories (levels): low, high and very </w:t>
            </w:r>
            <w:r w:rsidRPr="00AC6DDB">
              <w:rPr>
                <w:szCs w:val="20"/>
                <w:lang w:val="en-GB"/>
              </w:rPr>
              <w:lastRenderedPageBreak/>
              <w:t>high. The thresholds for the indicator could be country specific, to reflect differences in climate and national water management objectives. Alternatively, uniform thresholds could be proposed using existing literature and taking into account environmental water requirements.</w:t>
            </w:r>
          </w:p>
          <w:p w14:paraId="476D3898" w14:textId="77777777" w:rsidR="00221C59" w:rsidRPr="007243FC" w:rsidRDefault="00221C59" w:rsidP="00221C59">
            <w:pPr>
              <w:pStyle w:val="NoSpacing"/>
              <w:rPr>
                <w:rStyle w:val="fontstyle01"/>
                <w:rFonts w:ascii="Tw Cen MT Condensed" w:hAnsi="Tw Cen MT Condensed"/>
                <w:sz w:val="18"/>
                <w:szCs w:val="18"/>
              </w:rPr>
            </w:pPr>
          </w:p>
        </w:tc>
        <w:tc>
          <w:tcPr>
            <w:tcW w:w="0" w:type="auto"/>
            <w:shd w:val="clear" w:color="auto" w:fill="auto"/>
          </w:tcPr>
          <w:p w14:paraId="4420EC18" w14:textId="77777777" w:rsidR="00221C59" w:rsidRPr="007243FC" w:rsidRDefault="00221C59" w:rsidP="00221C59">
            <w:pPr>
              <w:jc w:val="center"/>
              <w:rPr>
                <w:bCs/>
                <w:szCs w:val="20"/>
              </w:rPr>
            </w:pPr>
          </w:p>
        </w:tc>
        <w:tc>
          <w:tcPr>
            <w:tcW w:w="0" w:type="auto"/>
            <w:shd w:val="clear" w:color="auto" w:fill="auto"/>
          </w:tcPr>
          <w:p w14:paraId="3E0E3C7F" w14:textId="77777777" w:rsidR="00221C59" w:rsidRDefault="00221C59" w:rsidP="00221C59">
            <w:pPr>
              <w:pStyle w:val="NoSpacing"/>
              <w:rPr>
                <w:lang w:val="en-GB" w:eastAsia="en-GB"/>
              </w:rPr>
            </w:pPr>
            <w:r w:rsidRPr="00AC6DDB">
              <w:rPr>
                <w:lang w:val="en-GB" w:eastAsia="en-GB"/>
              </w:rPr>
              <w:t>Ministry of Agriculture,</w:t>
            </w:r>
          </w:p>
          <w:p w14:paraId="43339D91" w14:textId="77777777" w:rsidR="00221C59" w:rsidRDefault="00221C59" w:rsidP="00221C59">
            <w:pPr>
              <w:pStyle w:val="NoSpacing"/>
              <w:rPr>
                <w:lang w:val="en-GB" w:eastAsia="en-GB"/>
              </w:rPr>
            </w:pPr>
          </w:p>
          <w:p w14:paraId="2E309DD1" w14:textId="77777777" w:rsidR="00221C59" w:rsidRDefault="00221C59" w:rsidP="00221C59">
            <w:pPr>
              <w:pStyle w:val="NoSpacing"/>
              <w:rPr>
                <w:lang w:val="en-GB" w:eastAsia="en-GB" w:bidi="bn-BD"/>
              </w:rPr>
            </w:pPr>
            <w:r w:rsidRPr="00AC6DDB">
              <w:rPr>
                <w:lang w:val="en-GB" w:eastAsia="en-GB"/>
              </w:rPr>
              <w:t>Ministr</w:t>
            </w:r>
            <w:r>
              <w:rPr>
                <w:lang w:val="en-GB" w:eastAsia="en-GB"/>
              </w:rPr>
              <w:t>y of Water</w:t>
            </w:r>
            <w:r>
              <w:rPr>
                <w:rFonts w:hint="cs"/>
                <w:cs/>
                <w:lang w:val="en-GB" w:eastAsia="en-GB" w:bidi="bn-BD"/>
              </w:rPr>
              <w:t>,</w:t>
            </w:r>
          </w:p>
          <w:p w14:paraId="1A23221C" w14:textId="77777777" w:rsidR="00221C59" w:rsidRDefault="00221C59" w:rsidP="00221C59">
            <w:pPr>
              <w:pStyle w:val="NoSpacing"/>
              <w:rPr>
                <w:lang w:val="en-GB" w:eastAsia="en-GB"/>
              </w:rPr>
            </w:pPr>
            <w:r w:rsidRPr="00AC6DDB">
              <w:rPr>
                <w:lang w:val="en-GB" w:eastAsia="en-GB"/>
              </w:rPr>
              <w:t xml:space="preserve">Ministry of Environment, </w:t>
            </w:r>
          </w:p>
          <w:p w14:paraId="50E05514" w14:textId="77777777" w:rsidR="00221C59" w:rsidRDefault="00221C59" w:rsidP="00221C59">
            <w:pPr>
              <w:pStyle w:val="NoSpacing"/>
              <w:rPr>
                <w:lang w:val="en-GB" w:eastAsia="en-GB"/>
              </w:rPr>
            </w:pPr>
            <w:r w:rsidRPr="00AC6DDB">
              <w:rPr>
                <w:lang w:val="en-GB" w:eastAsia="en-GB"/>
              </w:rPr>
              <w:t xml:space="preserve">and </w:t>
            </w:r>
          </w:p>
          <w:p w14:paraId="492CAFFD" w14:textId="77777777" w:rsidR="00221C59" w:rsidRPr="00AC6DDB" w:rsidRDefault="00221C59" w:rsidP="00221C59">
            <w:pPr>
              <w:pStyle w:val="NoSpacing"/>
              <w:rPr>
                <w:lang w:val="en-GB" w:eastAsia="en-GB"/>
              </w:rPr>
            </w:pPr>
            <w:proofErr w:type="gramStart"/>
            <w:r w:rsidRPr="00AC6DDB">
              <w:rPr>
                <w:lang w:val="en-GB" w:eastAsia="en-GB"/>
              </w:rPr>
              <w:t>sometimes</w:t>
            </w:r>
            <w:proofErr w:type="gramEnd"/>
            <w:r w:rsidRPr="00AC6DDB">
              <w:rPr>
                <w:lang w:val="en-GB" w:eastAsia="en-GB"/>
              </w:rPr>
              <w:t xml:space="preserve"> through the National statistical Office.</w:t>
            </w:r>
          </w:p>
          <w:p w14:paraId="526860F0" w14:textId="77777777" w:rsidR="00221C59" w:rsidRPr="007243FC" w:rsidRDefault="00221C59" w:rsidP="00221C59">
            <w:pPr>
              <w:pStyle w:val="NoSpacing"/>
              <w:rPr>
                <w:bCs/>
                <w:szCs w:val="20"/>
              </w:rPr>
            </w:pPr>
          </w:p>
        </w:tc>
        <w:tc>
          <w:tcPr>
            <w:tcW w:w="0" w:type="auto"/>
            <w:shd w:val="clear" w:color="auto" w:fill="auto"/>
          </w:tcPr>
          <w:p w14:paraId="1FDCCBA2" w14:textId="77777777" w:rsidR="00221C59" w:rsidRPr="00C31264" w:rsidRDefault="00221C59" w:rsidP="00EA61B2">
            <w:pPr>
              <w:jc w:val="center"/>
              <w:rPr>
                <w:rFonts w:eastAsia="Times New Roman" w:cs="Times New Roman"/>
                <w:color w:val="000000" w:themeColor="text1"/>
                <w:szCs w:val="20"/>
              </w:rPr>
            </w:pPr>
            <w:r w:rsidRPr="00E352A0">
              <w:rPr>
                <w:rFonts w:eastAsia="Times New Roman" w:cs="Times New Roman"/>
                <w:bCs/>
                <w:color w:val="FF0000"/>
                <w:szCs w:val="20"/>
              </w:rPr>
              <w:t>FAO</w:t>
            </w:r>
          </w:p>
        </w:tc>
        <w:tc>
          <w:tcPr>
            <w:tcW w:w="0" w:type="auto"/>
            <w:shd w:val="clear" w:color="auto" w:fill="auto"/>
          </w:tcPr>
          <w:p w14:paraId="747CD007" w14:textId="1B7712F3" w:rsidR="00221C59" w:rsidRPr="00C31264" w:rsidRDefault="00221C59" w:rsidP="00221C59">
            <w:pPr>
              <w:spacing w:line="276" w:lineRule="auto"/>
            </w:pPr>
            <w:r w:rsidRPr="00C31264">
              <w:t>a)WDB, MoWR</w:t>
            </w:r>
          </w:p>
          <w:p w14:paraId="73459600" w14:textId="77777777" w:rsidR="00221C59" w:rsidRPr="00C31264" w:rsidRDefault="00221C59" w:rsidP="00221C59">
            <w:pPr>
              <w:spacing w:line="276" w:lineRule="auto"/>
            </w:pPr>
            <w:r w:rsidRPr="00C31264">
              <w:t>b) BADC/ BMDA, MoA</w:t>
            </w:r>
          </w:p>
          <w:p w14:paraId="4F9868C6" w14:textId="77777777" w:rsidR="00221C59" w:rsidRPr="00C31264" w:rsidRDefault="00221C59" w:rsidP="00221C59">
            <w:pPr>
              <w:rPr>
                <w:rFonts w:eastAsia="Times New Roman" w:cs="Times New Roman"/>
                <w:color w:val="000000" w:themeColor="text1"/>
                <w:szCs w:val="20"/>
              </w:rPr>
            </w:pPr>
            <w:r w:rsidRPr="00C31264">
              <w:t>c) UNSC</w:t>
            </w:r>
          </w:p>
        </w:tc>
        <w:tc>
          <w:tcPr>
            <w:tcW w:w="0" w:type="auto"/>
            <w:shd w:val="clear" w:color="auto" w:fill="auto"/>
          </w:tcPr>
          <w:p w14:paraId="24F847A0" w14:textId="77777777" w:rsidR="00221C59" w:rsidRDefault="00221C59" w:rsidP="00FE4C7E">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economic sector: agriculture</w:t>
            </w:r>
          </w:p>
          <w:p w14:paraId="63E09AD7" w14:textId="77777777" w:rsidR="00221C59" w:rsidRPr="005F15DC" w:rsidRDefault="00221C59" w:rsidP="00FE4C7E">
            <w:pPr>
              <w:pStyle w:val="ListParagraph"/>
              <w:numPr>
                <w:ilvl w:val="0"/>
                <w:numId w:val="48"/>
              </w:numPr>
              <w:spacing w:after="0" w:line="240" w:lineRule="auto"/>
              <w:ind w:left="160" w:hanging="160"/>
              <w:rPr>
                <w:rFonts w:ascii="Tw Cen MT Condensed" w:hAnsi="Tw Cen MT Condensed"/>
              </w:rPr>
            </w:pPr>
            <w:r w:rsidRPr="005F15DC">
              <w:rPr>
                <w:rFonts w:ascii="Tw Cen MT Condensed" w:hAnsi="Tw Cen MT Condensed"/>
              </w:rPr>
              <w:t>hydrological unit of water resources: river basin, aquifers</w:t>
            </w:r>
          </w:p>
        </w:tc>
        <w:tc>
          <w:tcPr>
            <w:tcW w:w="0" w:type="auto"/>
            <w:shd w:val="clear" w:color="auto" w:fill="auto"/>
          </w:tcPr>
          <w:p w14:paraId="3AA12284" w14:textId="77777777" w:rsidR="00221C59" w:rsidRPr="007243FC" w:rsidRDefault="00221C59" w:rsidP="00221C59">
            <w:pPr>
              <w:rPr>
                <w:szCs w:val="20"/>
              </w:rPr>
            </w:pPr>
            <w:r w:rsidRPr="00BC6F10">
              <w:t>Triennial</w:t>
            </w:r>
          </w:p>
        </w:tc>
        <w:tc>
          <w:tcPr>
            <w:tcW w:w="0" w:type="auto"/>
            <w:shd w:val="clear" w:color="auto" w:fill="auto"/>
          </w:tcPr>
          <w:p w14:paraId="52B5F7D2"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2</w:t>
            </w:r>
          </w:p>
          <w:p w14:paraId="29F11346"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tcPr>
          <w:p w14:paraId="207D320F" w14:textId="77777777" w:rsidR="00221C59" w:rsidRDefault="00221C59" w:rsidP="00221C59">
            <w:pPr>
              <w:pStyle w:val="NoSpacing"/>
            </w:pPr>
            <w:r>
              <w:t>1</w:t>
            </w:r>
            <w:r w:rsidRPr="00013ACB">
              <w:rPr>
                <w:vertAlign w:val="superscript"/>
              </w:rPr>
              <w:t>st</w:t>
            </w:r>
            <w:r>
              <w:t xml:space="preserve"> Round: </w:t>
            </w:r>
          </w:p>
          <w:p w14:paraId="7DF623D1" w14:textId="7061C58A" w:rsidR="00221C59" w:rsidRDefault="00EA61B2" w:rsidP="00221C59">
            <w:pPr>
              <w:pStyle w:val="NoSpacing"/>
            </w:pPr>
            <w:r>
              <w:t xml:space="preserve">June </w:t>
            </w:r>
            <w:r w:rsidR="00221C59">
              <w:t>201</w:t>
            </w:r>
            <w:r>
              <w:t>6</w:t>
            </w:r>
          </w:p>
          <w:p w14:paraId="242FAFBD" w14:textId="77777777" w:rsidR="00EA61B2" w:rsidRDefault="00EA61B2" w:rsidP="00221C59">
            <w:pPr>
              <w:pStyle w:val="NoSpacing"/>
            </w:pPr>
          </w:p>
          <w:p w14:paraId="66C8F5DF" w14:textId="77777777" w:rsidR="00221C59" w:rsidRDefault="00221C59" w:rsidP="00221C59">
            <w:pPr>
              <w:pStyle w:val="NoSpacing"/>
            </w:pPr>
            <w:r>
              <w:t>2</w:t>
            </w:r>
            <w:r w:rsidRPr="00013ACB">
              <w:rPr>
                <w:vertAlign w:val="superscript"/>
              </w:rPr>
              <w:t>nd</w:t>
            </w:r>
            <w:r>
              <w:t xml:space="preserve"> Round: </w:t>
            </w:r>
          </w:p>
          <w:p w14:paraId="468D4A0C" w14:textId="77777777" w:rsidR="00221C59" w:rsidRDefault="00221C59" w:rsidP="00221C59">
            <w:pPr>
              <w:rPr>
                <w:sz w:val="18"/>
                <w:szCs w:val="18"/>
              </w:rPr>
            </w:pPr>
            <w:r>
              <w:rPr>
                <w:sz w:val="18"/>
                <w:szCs w:val="18"/>
              </w:rPr>
              <w:t>June 2019</w:t>
            </w:r>
          </w:p>
          <w:p w14:paraId="355E86A0" w14:textId="77777777" w:rsidR="00221C59" w:rsidRDefault="00221C59" w:rsidP="00221C59">
            <w:pPr>
              <w:pStyle w:val="NoSpacing"/>
            </w:pPr>
          </w:p>
          <w:p w14:paraId="065F80EB" w14:textId="77777777" w:rsidR="00221C59" w:rsidRDefault="00221C59" w:rsidP="00221C59">
            <w:pPr>
              <w:pStyle w:val="NoSpacing"/>
            </w:pPr>
            <w:r>
              <w:t>3</w:t>
            </w:r>
            <w:r w:rsidRPr="00013ACB">
              <w:rPr>
                <w:vertAlign w:val="superscript"/>
              </w:rPr>
              <w:t>rd</w:t>
            </w:r>
            <w:r>
              <w:t xml:space="preserve"> Round: </w:t>
            </w:r>
          </w:p>
          <w:p w14:paraId="18E17437" w14:textId="77777777" w:rsidR="00221C59" w:rsidRDefault="00221C59" w:rsidP="00221C59">
            <w:pPr>
              <w:rPr>
                <w:sz w:val="18"/>
                <w:szCs w:val="18"/>
              </w:rPr>
            </w:pPr>
            <w:r>
              <w:rPr>
                <w:sz w:val="18"/>
                <w:szCs w:val="18"/>
              </w:rPr>
              <w:t>June 2022</w:t>
            </w:r>
          </w:p>
          <w:p w14:paraId="1C342857" w14:textId="77777777" w:rsidR="00221C59" w:rsidRDefault="00221C59" w:rsidP="00221C59">
            <w:pPr>
              <w:pStyle w:val="NoSpacing"/>
            </w:pPr>
          </w:p>
          <w:p w14:paraId="17FC5A97" w14:textId="77777777" w:rsidR="00221C59" w:rsidRDefault="00221C59" w:rsidP="00221C59">
            <w:pPr>
              <w:pStyle w:val="NoSpacing"/>
            </w:pPr>
            <w:r>
              <w:t>4</w:t>
            </w:r>
            <w:r w:rsidRPr="00013ACB">
              <w:rPr>
                <w:vertAlign w:val="superscript"/>
              </w:rPr>
              <w:t>th</w:t>
            </w:r>
            <w:r>
              <w:t xml:space="preserve"> Round: </w:t>
            </w:r>
          </w:p>
          <w:p w14:paraId="472C032F" w14:textId="77777777" w:rsidR="00221C59" w:rsidRDefault="00221C59" w:rsidP="00221C59">
            <w:pPr>
              <w:rPr>
                <w:sz w:val="18"/>
                <w:szCs w:val="18"/>
              </w:rPr>
            </w:pPr>
            <w:r>
              <w:rPr>
                <w:sz w:val="18"/>
                <w:szCs w:val="18"/>
              </w:rPr>
              <w:t>June 2025</w:t>
            </w:r>
          </w:p>
          <w:p w14:paraId="7E8301FB" w14:textId="77777777" w:rsidR="00221C59" w:rsidRPr="00FB272E" w:rsidRDefault="00221C59" w:rsidP="00221C59">
            <w:pPr>
              <w:rPr>
                <w:sz w:val="18"/>
                <w:szCs w:val="18"/>
              </w:rPr>
            </w:pPr>
          </w:p>
          <w:p w14:paraId="02EFE735" w14:textId="77777777" w:rsidR="00221C59" w:rsidRDefault="00221C59" w:rsidP="00221C59">
            <w:pPr>
              <w:pStyle w:val="NoSpacing"/>
            </w:pPr>
            <w:r>
              <w:t>5</w:t>
            </w:r>
            <w:r w:rsidRPr="00013ACB">
              <w:rPr>
                <w:vertAlign w:val="superscript"/>
              </w:rPr>
              <w:t>th</w:t>
            </w:r>
            <w:r>
              <w:t xml:space="preserve"> Round: </w:t>
            </w:r>
          </w:p>
          <w:p w14:paraId="48859AD2" w14:textId="77777777" w:rsidR="00221C59" w:rsidRDefault="00221C59" w:rsidP="00221C59">
            <w:pPr>
              <w:rPr>
                <w:sz w:val="18"/>
                <w:szCs w:val="18"/>
              </w:rPr>
            </w:pPr>
            <w:r>
              <w:rPr>
                <w:sz w:val="18"/>
                <w:szCs w:val="18"/>
              </w:rPr>
              <w:t>June 2028</w:t>
            </w:r>
          </w:p>
          <w:p w14:paraId="48913778" w14:textId="31D931F4" w:rsidR="00221C59" w:rsidRPr="00E42484" w:rsidRDefault="00221C59" w:rsidP="00221C59">
            <w:pPr>
              <w:rPr>
                <w:sz w:val="18"/>
                <w:szCs w:val="18"/>
              </w:rPr>
            </w:pPr>
          </w:p>
        </w:tc>
        <w:tc>
          <w:tcPr>
            <w:tcW w:w="0" w:type="auto"/>
            <w:shd w:val="clear" w:color="auto" w:fill="auto"/>
          </w:tcPr>
          <w:p w14:paraId="0609C486" w14:textId="77777777" w:rsidR="00221C59" w:rsidRPr="0097196B" w:rsidRDefault="00221C59" w:rsidP="00221C59">
            <w:pPr>
              <w:ind w:left="-40"/>
              <w:jc w:val="both"/>
              <w:rPr>
                <w:bCs/>
                <w:szCs w:val="20"/>
              </w:rPr>
            </w:pPr>
            <w:r w:rsidRPr="0097196B">
              <w:rPr>
                <w:bCs/>
                <w:szCs w:val="20"/>
              </w:rPr>
              <w:t>Data availability reviewed in Oct. 2019</w:t>
            </w:r>
          </w:p>
          <w:p w14:paraId="3FC4F88F" w14:textId="77777777" w:rsidR="00221C59" w:rsidRPr="0097196B" w:rsidRDefault="00221C59" w:rsidP="00221C59">
            <w:pPr>
              <w:ind w:left="-40"/>
              <w:jc w:val="both"/>
              <w:rPr>
                <w:bCs/>
                <w:szCs w:val="20"/>
              </w:rPr>
            </w:pPr>
            <w:r w:rsidRPr="0097196B">
              <w:rPr>
                <w:bCs/>
                <w:szCs w:val="20"/>
              </w:rPr>
              <w:t>(classified as Tier I)</w:t>
            </w:r>
          </w:p>
          <w:p w14:paraId="0280626A" w14:textId="77777777" w:rsidR="00221C59" w:rsidRPr="0097196B" w:rsidRDefault="00221C59" w:rsidP="00221C59">
            <w:pPr>
              <w:ind w:left="-40"/>
              <w:jc w:val="both"/>
              <w:rPr>
                <w:bCs/>
                <w:szCs w:val="20"/>
              </w:rPr>
            </w:pPr>
          </w:p>
          <w:p w14:paraId="124C3588" w14:textId="77777777" w:rsidR="00221C59" w:rsidRPr="0097196B" w:rsidRDefault="00221C59" w:rsidP="00221C59">
            <w:pPr>
              <w:ind w:left="-40"/>
              <w:jc w:val="both"/>
              <w:rPr>
                <w:bCs/>
                <w:szCs w:val="20"/>
              </w:rPr>
            </w:pPr>
            <w:r w:rsidRPr="0097196B">
              <w:rPr>
                <w:bCs/>
                <w:szCs w:val="20"/>
              </w:rPr>
              <w:t>Reviewed at 6th IAEG-SDG meeting (classified as Tier II)</w:t>
            </w:r>
          </w:p>
          <w:p w14:paraId="10AE5EA7" w14:textId="77777777" w:rsidR="00221C59" w:rsidRPr="0097196B" w:rsidRDefault="00221C59" w:rsidP="00221C59">
            <w:pPr>
              <w:ind w:left="-40"/>
              <w:jc w:val="both"/>
              <w:rPr>
                <w:bCs/>
                <w:szCs w:val="20"/>
              </w:rPr>
            </w:pPr>
          </w:p>
          <w:p w14:paraId="0C71F8A6" w14:textId="745E220C" w:rsidR="00221C59" w:rsidRPr="007243FC" w:rsidRDefault="00221C59" w:rsidP="00221C59">
            <w:pPr>
              <w:ind w:left="-40"/>
              <w:jc w:val="both"/>
              <w:rPr>
                <w:bCs/>
                <w:szCs w:val="20"/>
              </w:rPr>
            </w:pPr>
            <w:r w:rsidRPr="0097196B">
              <w:rPr>
                <w:bCs/>
                <w:szCs w:val="20"/>
              </w:rPr>
              <w:t xml:space="preserve">Fast Track; Reviewed at 5th IAEG-SDG meeting; More information on terminology is requested (classified as </w:t>
            </w:r>
            <w:r w:rsidR="006B621F">
              <w:rPr>
                <w:bCs/>
                <w:szCs w:val="20"/>
              </w:rPr>
              <w:t>TBD</w:t>
            </w:r>
            <w:r w:rsidRPr="0097196B">
              <w:rPr>
                <w:bCs/>
                <w:szCs w:val="20"/>
              </w:rPr>
              <w:t>)</w:t>
            </w:r>
          </w:p>
        </w:tc>
      </w:tr>
      <w:tr w:rsidR="0085651F" w14:paraId="3C2BF989" w14:textId="77777777" w:rsidTr="0085651F">
        <w:tc>
          <w:tcPr>
            <w:tcW w:w="0" w:type="auto"/>
            <w:gridSpan w:val="13"/>
            <w:shd w:val="clear" w:color="auto" w:fill="auto"/>
          </w:tcPr>
          <w:p w14:paraId="210E49A5" w14:textId="77777777" w:rsidR="0085651F" w:rsidRPr="00423FEB" w:rsidRDefault="0085651F" w:rsidP="00221C59">
            <w:pPr>
              <w:rPr>
                <w:bCs/>
                <w:color w:val="0070C0"/>
                <w:sz w:val="22"/>
                <w:szCs w:val="22"/>
              </w:rPr>
            </w:pPr>
            <w:r>
              <w:rPr>
                <w:color w:val="0070C0"/>
                <w:sz w:val="30"/>
                <w:szCs w:val="30"/>
              </w:rPr>
              <w:lastRenderedPageBreak/>
              <w:t>Target</w:t>
            </w:r>
            <w:r w:rsidRPr="00423FEB">
              <w:rPr>
                <w:bCs/>
                <w:color w:val="0070C0"/>
                <w:sz w:val="30"/>
                <w:szCs w:val="30"/>
              </w:rPr>
              <w:t xml:space="preserve"> 6.5</w:t>
            </w:r>
            <w:r>
              <w:rPr>
                <w:color w:val="0070C0"/>
                <w:sz w:val="30"/>
                <w:szCs w:val="30"/>
              </w:rPr>
              <w:t>:</w:t>
            </w:r>
            <w:r w:rsidRPr="00423FEB">
              <w:rPr>
                <w:bCs/>
                <w:color w:val="0070C0"/>
                <w:sz w:val="30"/>
                <w:szCs w:val="30"/>
              </w:rPr>
              <w:t xml:space="preserve"> By 2030, implement integrated water resources management at all levels, including through transboundary cooperation as appropriate</w:t>
            </w:r>
          </w:p>
        </w:tc>
      </w:tr>
      <w:tr w:rsidR="00DB32C0" w14:paraId="765EA206" w14:textId="77777777" w:rsidTr="0085651F">
        <w:tc>
          <w:tcPr>
            <w:tcW w:w="0" w:type="auto"/>
            <w:shd w:val="clear" w:color="auto" w:fill="auto"/>
          </w:tcPr>
          <w:p w14:paraId="7E10D841" w14:textId="77777777" w:rsidR="00221C59" w:rsidRDefault="00221C59" w:rsidP="00221C59">
            <w:pPr>
              <w:jc w:val="both"/>
              <w:rPr>
                <w:szCs w:val="20"/>
              </w:rPr>
            </w:pPr>
            <w:r w:rsidRPr="004826CD">
              <w:rPr>
                <w:szCs w:val="20"/>
              </w:rPr>
              <w:t>6.5.1 Degree of integrated water resources management implementation (0–100)</w:t>
            </w:r>
          </w:p>
        </w:tc>
        <w:tc>
          <w:tcPr>
            <w:tcW w:w="0" w:type="auto"/>
            <w:shd w:val="clear" w:color="auto" w:fill="auto"/>
          </w:tcPr>
          <w:p w14:paraId="67452D7F" w14:textId="77777777" w:rsidR="00221C59" w:rsidRDefault="00221C59" w:rsidP="00221C59">
            <w:pPr>
              <w:rPr>
                <w:szCs w:val="20"/>
              </w:rPr>
            </w:pPr>
            <w:r w:rsidRPr="00C328BB">
              <w:rPr>
                <w:szCs w:val="20"/>
              </w:rPr>
              <w:t>UNEP</w:t>
            </w:r>
          </w:p>
          <w:p w14:paraId="63EF52F3" w14:textId="77777777" w:rsidR="00221C59" w:rsidRDefault="00221C59" w:rsidP="00221C59">
            <w:pPr>
              <w:rPr>
                <w:szCs w:val="20"/>
              </w:rPr>
            </w:pPr>
          </w:p>
          <w:p w14:paraId="6F4E311B" w14:textId="77777777" w:rsidR="00221C59" w:rsidRDefault="00221C59" w:rsidP="00221C59">
            <w:pPr>
              <w:rPr>
                <w:b/>
                <w:bCs/>
                <w:szCs w:val="20"/>
              </w:rPr>
            </w:pPr>
            <w:r w:rsidRPr="007243FC">
              <w:rPr>
                <w:b/>
                <w:bCs/>
                <w:szCs w:val="20"/>
              </w:rPr>
              <w:t>Partner Agencies:</w:t>
            </w:r>
          </w:p>
          <w:p w14:paraId="25BECA2D" w14:textId="77777777" w:rsidR="00221C59" w:rsidRPr="00C328BB" w:rsidRDefault="00221C59" w:rsidP="00221C59">
            <w:pPr>
              <w:rPr>
                <w:szCs w:val="20"/>
              </w:rPr>
            </w:pPr>
            <w:r w:rsidRPr="00C328BB">
              <w:rPr>
                <w:szCs w:val="20"/>
              </w:rPr>
              <w:t xml:space="preserve">UN-Water, </w:t>
            </w:r>
          </w:p>
          <w:p w14:paraId="235EF372" w14:textId="77777777" w:rsidR="00221C59" w:rsidRPr="00C328BB" w:rsidRDefault="00221C59" w:rsidP="00221C59">
            <w:pPr>
              <w:rPr>
                <w:szCs w:val="20"/>
              </w:rPr>
            </w:pPr>
            <w:r w:rsidRPr="00C328BB">
              <w:rPr>
                <w:szCs w:val="20"/>
              </w:rPr>
              <w:t>IUCN,</w:t>
            </w:r>
          </w:p>
          <w:p w14:paraId="0CAE20C1" w14:textId="77777777" w:rsidR="00221C59" w:rsidRPr="00C328BB" w:rsidRDefault="00221C59" w:rsidP="00221C59">
            <w:pPr>
              <w:rPr>
                <w:szCs w:val="20"/>
              </w:rPr>
            </w:pPr>
            <w:r w:rsidRPr="00C328BB">
              <w:rPr>
                <w:szCs w:val="20"/>
              </w:rPr>
              <w:t>Ramsar</w:t>
            </w:r>
          </w:p>
          <w:p w14:paraId="0F2B3268" w14:textId="77777777" w:rsidR="00221C59" w:rsidRPr="007243FC" w:rsidRDefault="00221C59" w:rsidP="00221C59">
            <w:pPr>
              <w:rPr>
                <w:szCs w:val="20"/>
              </w:rPr>
            </w:pPr>
          </w:p>
        </w:tc>
        <w:tc>
          <w:tcPr>
            <w:tcW w:w="825" w:type="dxa"/>
            <w:shd w:val="clear" w:color="auto" w:fill="auto"/>
          </w:tcPr>
          <w:p w14:paraId="07396C4B" w14:textId="77777777" w:rsidR="00221C59" w:rsidRPr="007243FC" w:rsidRDefault="00221C59" w:rsidP="00221C59">
            <w:pPr>
              <w:rPr>
                <w:szCs w:val="20"/>
              </w:rPr>
            </w:pPr>
            <w:r w:rsidRPr="0097196B">
              <w:rPr>
                <w:szCs w:val="20"/>
              </w:rPr>
              <w:t>Tier I</w:t>
            </w:r>
          </w:p>
        </w:tc>
        <w:tc>
          <w:tcPr>
            <w:tcW w:w="6373" w:type="dxa"/>
            <w:shd w:val="clear" w:color="auto" w:fill="auto"/>
          </w:tcPr>
          <w:p w14:paraId="40FC28AD" w14:textId="77777777" w:rsidR="00221C59" w:rsidRPr="00C24854" w:rsidRDefault="00221C59" w:rsidP="00FE4C7E">
            <w:pPr>
              <w:pStyle w:val="NoSpacing"/>
              <w:jc w:val="both"/>
              <w:rPr>
                <w:rStyle w:val="fontstyle01"/>
                <w:rFonts w:ascii="Tw Cen MT Condensed" w:hAnsi="Tw Cen MT Condensed"/>
              </w:rPr>
            </w:pPr>
            <w:r w:rsidRPr="00C24854">
              <w:rPr>
                <w:rStyle w:val="fontstyle01"/>
                <w:rFonts w:ascii="Tw Cen MT Condensed" w:hAnsi="Tw Cen MT Condensed"/>
              </w:rPr>
              <w:t>Definition:</w:t>
            </w:r>
          </w:p>
          <w:p w14:paraId="24B14DDD" w14:textId="77777777" w:rsidR="00221C59" w:rsidRPr="008F196E" w:rsidRDefault="00221C59" w:rsidP="00FE4C7E">
            <w:pPr>
              <w:pStyle w:val="NoSpacing"/>
              <w:jc w:val="both"/>
              <w:rPr>
                <w:rStyle w:val="fontstyle01"/>
                <w:rFonts w:ascii="Tw Cen MT Condensed" w:hAnsi="Tw Cen MT Condensed"/>
                <w:b w:val="0"/>
                <w:bCs w:val="0"/>
              </w:rPr>
            </w:pPr>
          </w:p>
          <w:p w14:paraId="4104E908"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 xml:space="preserve">The indicator degree of implementation of Integrated Water Resources Management (IWRM), measured in per cent (%) from 0 (implementation not yet started) to 100 (fully implemented) is currently being measured in terms of different stages of development and implementation of Integrated Water Resources Management (IWRM). </w:t>
            </w:r>
          </w:p>
          <w:p w14:paraId="746CB843" w14:textId="77777777" w:rsidR="00221C59" w:rsidRPr="008F196E" w:rsidRDefault="00221C59" w:rsidP="00FE4C7E">
            <w:pPr>
              <w:pStyle w:val="NoSpacing"/>
              <w:jc w:val="both"/>
              <w:rPr>
                <w:rStyle w:val="fontstyle01"/>
                <w:rFonts w:ascii="Tw Cen MT Condensed" w:hAnsi="Tw Cen MT Condensed"/>
                <w:b w:val="0"/>
                <w:bCs w:val="0"/>
              </w:rPr>
            </w:pPr>
          </w:p>
          <w:p w14:paraId="09E5D2D0"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 xml:space="preserve">The definition of IWRM is based on an internationally agreed definition, and is universally applicable. IWRM was officially established in 1992 and is defined as “a process which promotes the coordinated development and management of water, land and related resources in order to maximise economic and social welfare in an equitable manner without compromising the sustainability of vital ecosystems.” (GWP 2010). </w:t>
            </w:r>
          </w:p>
          <w:p w14:paraId="50D51B67" w14:textId="77777777" w:rsidR="00221C59" w:rsidRPr="008F196E" w:rsidRDefault="00221C59" w:rsidP="00FE4C7E">
            <w:pPr>
              <w:pStyle w:val="NoSpacing"/>
              <w:jc w:val="both"/>
              <w:rPr>
                <w:rStyle w:val="fontstyle01"/>
                <w:rFonts w:ascii="Tw Cen MT Condensed" w:hAnsi="Tw Cen MT Condensed"/>
                <w:b w:val="0"/>
                <w:bCs w:val="0"/>
              </w:rPr>
            </w:pPr>
          </w:p>
          <w:p w14:paraId="1A890DD8"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The method builds on official UN IWRM status reporting, from 2008 and 2012, of the Johannesburg Plan of Implementation from the UN World Summit for Sustainable Development (1992).</w:t>
            </w:r>
          </w:p>
          <w:p w14:paraId="16E4DFA1" w14:textId="77777777" w:rsidR="00221C59" w:rsidRPr="008F196E" w:rsidRDefault="00221C59" w:rsidP="00FE4C7E">
            <w:pPr>
              <w:pStyle w:val="NoSpacing"/>
              <w:jc w:val="both"/>
              <w:rPr>
                <w:rStyle w:val="fontstyle01"/>
                <w:rFonts w:ascii="Tw Cen MT Condensed" w:hAnsi="Tw Cen MT Condensed"/>
                <w:b w:val="0"/>
                <w:bCs w:val="0"/>
              </w:rPr>
            </w:pPr>
          </w:p>
          <w:p w14:paraId="6563D3E4" w14:textId="77777777" w:rsidR="00221C59" w:rsidRPr="00C24854" w:rsidRDefault="00221C59" w:rsidP="00FE4C7E">
            <w:pPr>
              <w:pStyle w:val="NoSpacing"/>
              <w:jc w:val="both"/>
              <w:rPr>
                <w:rStyle w:val="fontstyle01"/>
                <w:rFonts w:ascii="Tw Cen MT Condensed" w:hAnsi="Tw Cen MT Condensed"/>
              </w:rPr>
            </w:pPr>
            <w:r w:rsidRPr="00C24854">
              <w:rPr>
                <w:rStyle w:val="fontstyle01"/>
                <w:rFonts w:ascii="Tw Cen MT Condensed" w:hAnsi="Tw Cen MT Condensed"/>
              </w:rPr>
              <w:t>Concepts:</w:t>
            </w:r>
          </w:p>
          <w:p w14:paraId="41C4B8B4" w14:textId="77777777" w:rsidR="00221C59" w:rsidRPr="008F196E" w:rsidRDefault="00221C59" w:rsidP="00FE4C7E">
            <w:pPr>
              <w:pStyle w:val="NoSpacing"/>
              <w:jc w:val="both"/>
              <w:rPr>
                <w:rStyle w:val="fontstyle01"/>
                <w:rFonts w:ascii="Tw Cen MT Condensed" w:hAnsi="Tw Cen MT Condensed"/>
                <w:b w:val="0"/>
                <w:bCs w:val="0"/>
              </w:rPr>
            </w:pPr>
          </w:p>
          <w:p w14:paraId="32EEBA4B"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 xml:space="preserve">The concept of IWRM is measured in 4 main components: </w:t>
            </w:r>
          </w:p>
          <w:p w14:paraId="0B6D8E1D" w14:textId="77777777" w:rsidR="00221C59" w:rsidRPr="008F196E" w:rsidRDefault="00221C59" w:rsidP="00FE4C7E">
            <w:pPr>
              <w:pStyle w:val="NoSpacing"/>
              <w:jc w:val="both"/>
              <w:rPr>
                <w:rStyle w:val="fontstyle01"/>
                <w:rFonts w:ascii="Tw Cen MT Condensed" w:hAnsi="Tw Cen MT Condensed"/>
                <w:b w:val="0"/>
                <w:bCs w:val="0"/>
              </w:rPr>
            </w:pPr>
          </w:p>
          <w:p w14:paraId="04F1B13A"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1.</w:t>
            </w:r>
            <w:r w:rsidRPr="008F196E">
              <w:rPr>
                <w:rStyle w:val="fontstyle01"/>
                <w:rFonts w:ascii="Tw Cen MT Condensed" w:hAnsi="Tw Cen MT Condensed"/>
                <w:b w:val="0"/>
                <w:bCs w:val="0"/>
              </w:rPr>
              <w:tab/>
              <w:t xml:space="preserve">Enabling environment: this includes the policies, laws, plans and strategies which create the ‘enabling environment’ for IWRM. </w:t>
            </w:r>
          </w:p>
          <w:p w14:paraId="4728A482"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2.</w:t>
            </w:r>
            <w:r w:rsidRPr="008F196E">
              <w:rPr>
                <w:rStyle w:val="fontstyle01"/>
                <w:rFonts w:ascii="Tw Cen MT Condensed" w:hAnsi="Tw Cen MT Condensed"/>
                <w:b w:val="0"/>
                <w:bCs w:val="0"/>
              </w:rPr>
              <w:tab/>
              <w:t xml:space="preserve">Institutions: includes the range and roles of political, social, economic and administrative institutions that help to support the implementation of IWRM. </w:t>
            </w:r>
          </w:p>
          <w:p w14:paraId="7D3BF008"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3.</w:t>
            </w:r>
            <w:r w:rsidRPr="008F196E">
              <w:rPr>
                <w:rStyle w:val="fontstyle01"/>
                <w:rFonts w:ascii="Tw Cen MT Condensed" w:hAnsi="Tw Cen MT Condensed"/>
                <w:b w:val="0"/>
                <w:bCs w:val="0"/>
              </w:rPr>
              <w:tab/>
              <w:t xml:space="preserve">Management Instruments: The tools and activities that enable decision-makers and users to make rational and informed choices between alternative actions. </w:t>
            </w:r>
          </w:p>
          <w:p w14:paraId="7F7456D1"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4.</w:t>
            </w:r>
            <w:r w:rsidRPr="008F196E">
              <w:rPr>
                <w:rStyle w:val="fontstyle01"/>
                <w:rFonts w:ascii="Tw Cen MT Condensed" w:hAnsi="Tw Cen MT Condensed"/>
                <w:b w:val="0"/>
                <w:bCs w:val="0"/>
              </w:rPr>
              <w:tab/>
              <w:t>Financing: Budgeting and financing made available and used for water resources development and management from various sources.</w:t>
            </w:r>
          </w:p>
          <w:p w14:paraId="2D339021" w14:textId="77777777" w:rsidR="00221C59" w:rsidRPr="008F196E" w:rsidRDefault="00221C59" w:rsidP="00FE4C7E">
            <w:pPr>
              <w:pStyle w:val="NoSpacing"/>
              <w:jc w:val="both"/>
              <w:rPr>
                <w:rStyle w:val="fontstyle01"/>
                <w:rFonts w:ascii="Tw Cen MT Condensed" w:hAnsi="Tw Cen MT Condensed"/>
                <w:b w:val="0"/>
                <w:bCs w:val="0"/>
              </w:rPr>
            </w:pPr>
          </w:p>
          <w:p w14:paraId="2E2D13BD"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 xml:space="preserve">The indicator is based on a national survey structured around these four main components (UNEP 2016). Each component is split into two parts: questions concerning the ‘National level’ and ‘Other levels’ respectively. ‘Other levels’ includes sub-national (including provinces/states for federated countries), basin level, and the transboundary level as appropriate. These two parts address the </w:t>
            </w:r>
            <w:r w:rsidRPr="008F196E">
              <w:rPr>
                <w:rStyle w:val="fontstyle01"/>
                <w:rFonts w:ascii="Tw Cen MT Condensed" w:hAnsi="Tw Cen MT Condensed"/>
                <w:b w:val="0"/>
                <w:bCs w:val="0"/>
              </w:rPr>
              <w:lastRenderedPageBreak/>
              <w:t>wording of Target 6.5 ‘implement [IWRM] at all levels …</w:t>
            </w:r>
            <w:proofErr w:type="gramStart"/>
            <w:r w:rsidRPr="008F196E">
              <w:rPr>
                <w:rStyle w:val="fontstyle01"/>
                <w:rFonts w:ascii="Tw Cen MT Condensed" w:hAnsi="Tw Cen MT Condensed"/>
                <w:b w:val="0"/>
                <w:bCs w:val="0"/>
              </w:rPr>
              <w:t>’.</w:t>
            </w:r>
            <w:proofErr w:type="gramEnd"/>
          </w:p>
          <w:p w14:paraId="125AF3A8" w14:textId="77777777" w:rsidR="00221C59" w:rsidRPr="008F196E" w:rsidRDefault="00221C59" w:rsidP="00FE4C7E">
            <w:pPr>
              <w:pStyle w:val="NoSpacing"/>
              <w:jc w:val="both"/>
              <w:rPr>
                <w:rStyle w:val="fontstyle01"/>
                <w:rFonts w:ascii="Tw Cen MT Condensed" w:hAnsi="Tw Cen MT Condensed"/>
                <w:b w:val="0"/>
                <w:bCs w:val="0"/>
              </w:rPr>
            </w:pPr>
          </w:p>
          <w:p w14:paraId="46423E23" w14:textId="77777777" w:rsidR="00221C59" w:rsidRPr="00C24854" w:rsidRDefault="00221C59" w:rsidP="00FE4C7E">
            <w:pPr>
              <w:pStyle w:val="NoSpacing"/>
              <w:jc w:val="both"/>
              <w:rPr>
                <w:rStyle w:val="fontstyle01"/>
                <w:rFonts w:ascii="Tw Cen MT Condensed" w:hAnsi="Tw Cen MT Condensed"/>
              </w:rPr>
            </w:pPr>
            <w:r w:rsidRPr="00C24854">
              <w:rPr>
                <w:rStyle w:val="fontstyle01"/>
                <w:rFonts w:ascii="Tw Cen MT Condensed" w:hAnsi="Tw Cen MT Condensed"/>
              </w:rPr>
              <w:t>Comments and limitations:</w:t>
            </w:r>
          </w:p>
          <w:p w14:paraId="765690D7" w14:textId="77777777" w:rsidR="00221C59" w:rsidRPr="008F196E" w:rsidRDefault="00221C59" w:rsidP="00FE4C7E">
            <w:pPr>
              <w:pStyle w:val="NoSpacing"/>
              <w:jc w:val="both"/>
              <w:rPr>
                <w:rStyle w:val="fontstyle01"/>
                <w:rFonts w:ascii="Tw Cen MT Condensed" w:hAnsi="Tw Cen MT Condensed"/>
                <w:b w:val="0"/>
                <w:bCs w:val="0"/>
              </w:rPr>
            </w:pPr>
          </w:p>
          <w:p w14:paraId="71FF76EC"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 xml:space="preserve">The challenge of subjectivity in responses associated with this type of survey is being addressed in a number of ways: </w:t>
            </w:r>
          </w:p>
          <w:p w14:paraId="70822E72" w14:textId="77777777" w:rsidR="00221C59" w:rsidRPr="008F196E" w:rsidRDefault="00221C59" w:rsidP="00FE4C7E">
            <w:pPr>
              <w:pStyle w:val="NoSpacing"/>
              <w:jc w:val="both"/>
              <w:rPr>
                <w:rStyle w:val="fontstyle01"/>
                <w:rFonts w:ascii="Tw Cen MT Condensed" w:hAnsi="Tw Cen MT Condensed"/>
                <w:b w:val="0"/>
                <w:bCs w:val="0"/>
              </w:rPr>
            </w:pPr>
          </w:p>
          <w:p w14:paraId="4D3CCF36"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a.</w:t>
            </w:r>
            <w:r w:rsidRPr="008F196E">
              <w:rPr>
                <w:rStyle w:val="fontstyle01"/>
                <w:rFonts w:ascii="Tw Cen MT Condensed" w:hAnsi="Tw Cen MT Condensed"/>
                <w:b w:val="0"/>
                <w:bCs w:val="0"/>
              </w:rPr>
              <w:tab/>
              <w:t xml:space="preserve">Draft responses are reviewed by a number of governmental and non-governmental stakeholders in an open, inclusive and transparent process. </w:t>
            </w:r>
          </w:p>
          <w:p w14:paraId="30E637F0"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b.</w:t>
            </w:r>
            <w:r w:rsidRPr="008F196E">
              <w:rPr>
                <w:rStyle w:val="fontstyle01"/>
                <w:rFonts w:ascii="Tw Cen MT Condensed" w:hAnsi="Tw Cen MT Condensed"/>
                <w:b w:val="0"/>
                <w:bCs w:val="0"/>
              </w:rPr>
              <w:tab/>
              <w:t xml:space="preserve">Countries are encouraged to provide further information to qualify their responses and/or set them in the national context. </w:t>
            </w:r>
          </w:p>
          <w:p w14:paraId="0AFCCC8E"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c.</w:t>
            </w:r>
            <w:r w:rsidRPr="008F196E">
              <w:rPr>
                <w:rStyle w:val="fontstyle01"/>
                <w:rFonts w:ascii="Tw Cen MT Condensed" w:hAnsi="Tw Cen MT Condensed"/>
                <w:b w:val="0"/>
                <w:bCs w:val="0"/>
              </w:rPr>
              <w:tab/>
              <w:t xml:space="preserve">Guidelines are provided for each of the four main components, each question, and each of the six thresholds for every single question, to ensure responses are as objective as possible, and are comparable both between countries, and between reporting periods. </w:t>
            </w:r>
          </w:p>
          <w:p w14:paraId="1F401950" w14:textId="77777777" w:rsidR="00221C59" w:rsidRPr="008F196E" w:rsidRDefault="00221C59" w:rsidP="00FE4C7E">
            <w:pPr>
              <w:pStyle w:val="NoSpacing"/>
              <w:jc w:val="both"/>
              <w:rPr>
                <w:rStyle w:val="fontstyle01"/>
                <w:rFonts w:ascii="Tw Cen MT Condensed" w:hAnsi="Tw Cen MT Condensed"/>
                <w:b w:val="0"/>
                <w:bCs w:val="0"/>
              </w:rPr>
            </w:pPr>
          </w:p>
          <w:p w14:paraId="7917CE9A"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To achieve robust indicator results requires a country process involving a wide range of stakeholders which will require a certain amount of time and resources. The advantage of this is that it puts in place a process that addresses the integrated and indivisible nature of the SDG targets, as well as stressing the importance of “leaving no on behind”.</w:t>
            </w:r>
          </w:p>
          <w:p w14:paraId="215DE129" w14:textId="77777777" w:rsidR="00221C59" w:rsidRPr="008F196E" w:rsidRDefault="00221C59" w:rsidP="00FE4C7E">
            <w:pPr>
              <w:pStyle w:val="NoSpacing"/>
              <w:jc w:val="both"/>
              <w:rPr>
                <w:rStyle w:val="fontstyle01"/>
                <w:rFonts w:ascii="Tw Cen MT Condensed" w:hAnsi="Tw Cen MT Condensed"/>
                <w:b w:val="0"/>
                <w:bCs w:val="0"/>
              </w:rPr>
            </w:pPr>
          </w:p>
          <w:p w14:paraId="29939512" w14:textId="77777777" w:rsidR="00221C59" w:rsidRPr="00C24854" w:rsidRDefault="00221C59" w:rsidP="00FE4C7E">
            <w:pPr>
              <w:pStyle w:val="NoSpacing"/>
              <w:jc w:val="both"/>
              <w:rPr>
                <w:rStyle w:val="fontstyle01"/>
                <w:rFonts w:ascii="Tw Cen MT Condensed" w:hAnsi="Tw Cen MT Condensed"/>
              </w:rPr>
            </w:pPr>
            <w:r w:rsidRPr="00C24854">
              <w:rPr>
                <w:rStyle w:val="fontstyle01"/>
                <w:rFonts w:ascii="Tw Cen MT Condensed" w:hAnsi="Tw Cen MT Condensed"/>
              </w:rPr>
              <w:t>Computation Method:</w:t>
            </w:r>
          </w:p>
          <w:p w14:paraId="1DCAAFB4" w14:textId="77777777" w:rsidR="00221C59" w:rsidRPr="008F196E" w:rsidRDefault="00221C59" w:rsidP="00FE4C7E">
            <w:pPr>
              <w:pStyle w:val="NoSpacing"/>
              <w:jc w:val="both"/>
              <w:rPr>
                <w:rStyle w:val="fontstyle01"/>
                <w:rFonts w:ascii="Tw Cen MT Condensed" w:hAnsi="Tw Cen MT Condensed"/>
                <w:b w:val="0"/>
                <w:bCs w:val="0"/>
              </w:rPr>
            </w:pPr>
          </w:p>
          <w:p w14:paraId="03C34FE8" w14:textId="77777777" w:rsidR="00221C59" w:rsidRPr="008F196E" w:rsidRDefault="00221C59" w:rsidP="00FE4C7E">
            <w:pPr>
              <w:pStyle w:val="NoSpacing"/>
              <w:ind w:left="360" w:hanging="360"/>
              <w:jc w:val="both"/>
              <w:rPr>
                <w:rStyle w:val="fontstyle01"/>
                <w:rFonts w:ascii="Tw Cen MT Condensed" w:hAnsi="Tw Cen MT Condensed"/>
                <w:b w:val="0"/>
                <w:bCs w:val="0"/>
              </w:rPr>
            </w:pPr>
            <w:r w:rsidRPr="008F196E">
              <w:rPr>
                <w:rStyle w:val="fontstyle01"/>
                <w:rFonts w:ascii="Tw Cen MT Condensed" w:hAnsi="Tw Cen MT Condensed"/>
                <w:b w:val="0"/>
                <w:bCs w:val="0"/>
              </w:rPr>
              <w:t>1.</w:t>
            </w:r>
            <w:r w:rsidRPr="008F196E">
              <w:rPr>
                <w:rStyle w:val="fontstyle01"/>
                <w:rFonts w:ascii="Tw Cen MT Condensed" w:hAnsi="Tw Cen MT Condensed"/>
                <w:b w:val="0"/>
                <w:bCs w:val="0"/>
              </w:rPr>
              <w:tab/>
              <w:t xml:space="preserve">The survey contains 32 questions divided into the four main components described above. </w:t>
            </w:r>
          </w:p>
          <w:p w14:paraId="76DD1DA4" w14:textId="77777777" w:rsidR="00221C59" w:rsidRPr="008F196E" w:rsidRDefault="00221C59" w:rsidP="00FE4C7E">
            <w:pPr>
              <w:pStyle w:val="NoSpacing"/>
              <w:ind w:left="360" w:hanging="360"/>
              <w:jc w:val="both"/>
              <w:rPr>
                <w:rStyle w:val="fontstyle01"/>
                <w:rFonts w:ascii="Tw Cen MT Condensed" w:hAnsi="Tw Cen MT Condensed"/>
                <w:b w:val="0"/>
                <w:bCs w:val="0"/>
              </w:rPr>
            </w:pPr>
            <w:r w:rsidRPr="008F196E">
              <w:rPr>
                <w:rStyle w:val="fontstyle01"/>
                <w:rFonts w:ascii="Tw Cen MT Condensed" w:hAnsi="Tw Cen MT Condensed"/>
                <w:b w:val="0"/>
                <w:bCs w:val="0"/>
              </w:rPr>
              <w:t>2.</w:t>
            </w:r>
            <w:r w:rsidRPr="008F196E">
              <w:rPr>
                <w:rStyle w:val="fontstyle01"/>
                <w:rFonts w:ascii="Tw Cen MT Condensed" w:hAnsi="Tw Cen MT Condensed"/>
                <w:b w:val="0"/>
                <w:bCs w:val="0"/>
              </w:rPr>
              <w:tab/>
              <w:t>Each question is given a score between 0 and 100, in increments of 10, based on the following 6 main categories:</w:t>
            </w:r>
          </w:p>
          <w:p w14:paraId="1BC71CC8" w14:textId="5AF7DB97" w:rsidR="00221C59" w:rsidRPr="008F196E" w:rsidRDefault="00221C59" w:rsidP="00FE4C7E">
            <w:pPr>
              <w:pStyle w:val="NoSpacing"/>
              <w:numPr>
                <w:ilvl w:val="0"/>
                <w:numId w:val="43"/>
              </w:numPr>
              <w:ind w:left="720" w:hanging="270"/>
              <w:jc w:val="both"/>
              <w:rPr>
                <w:rStyle w:val="fontstyle01"/>
                <w:rFonts w:ascii="Tw Cen MT Condensed" w:hAnsi="Tw Cen MT Condensed"/>
                <w:b w:val="0"/>
                <w:bCs w:val="0"/>
              </w:rPr>
            </w:pPr>
            <w:r w:rsidRPr="008F196E">
              <w:rPr>
                <w:rStyle w:val="fontstyle01"/>
                <w:rFonts w:ascii="Tw Cen MT Condensed" w:hAnsi="Tw Cen MT Condensed"/>
                <w:b w:val="0"/>
                <w:bCs w:val="0"/>
              </w:rPr>
              <w:t>Very low (0)</w:t>
            </w:r>
          </w:p>
          <w:p w14:paraId="40A7F667" w14:textId="71B007E5" w:rsidR="00221C59" w:rsidRPr="008F196E" w:rsidRDefault="00221C59" w:rsidP="00FE4C7E">
            <w:pPr>
              <w:pStyle w:val="NoSpacing"/>
              <w:numPr>
                <w:ilvl w:val="0"/>
                <w:numId w:val="43"/>
              </w:numPr>
              <w:ind w:left="720" w:hanging="270"/>
              <w:jc w:val="both"/>
              <w:rPr>
                <w:rStyle w:val="fontstyle01"/>
                <w:rFonts w:ascii="Tw Cen MT Condensed" w:hAnsi="Tw Cen MT Condensed"/>
                <w:b w:val="0"/>
                <w:bCs w:val="0"/>
              </w:rPr>
            </w:pPr>
            <w:r w:rsidRPr="008F196E">
              <w:rPr>
                <w:rStyle w:val="fontstyle01"/>
                <w:rFonts w:ascii="Tw Cen MT Condensed" w:hAnsi="Tw Cen MT Condensed"/>
                <w:b w:val="0"/>
                <w:bCs w:val="0"/>
              </w:rPr>
              <w:t>Low (20)</w:t>
            </w:r>
          </w:p>
          <w:p w14:paraId="06A4ADC8" w14:textId="092BDD72" w:rsidR="00221C59" w:rsidRPr="008F196E" w:rsidRDefault="00221C59" w:rsidP="00FE4C7E">
            <w:pPr>
              <w:pStyle w:val="NoSpacing"/>
              <w:numPr>
                <w:ilvl w:val="0"/>
                <w:numId w:val="43"/>
              </w:numPr>
              <w:ind w:left="720" w:hanging="270"/>
              <w:jc w:val="both"/>
              <w:rPr>
                <w:rStyle w:val="fontstyle01"/>
                <w:rFonts w:ascii="Tw Cen MT Condensed" w:hAnsi="Tw Cen MT Condensed"/>
                <w:b w:val="0"/>
                <w:bCs w:val="0"/>
              </w:rPr>
            </w:pPr>
            <w:r w:rsidRPr="008F196E">
              <w:rPr>
                <w:rStyle w:val="fontstyle01"/>
                <w:rFonts w:ascii="Tw Cen MT Condensed" w:hAnsi="Tw Cen MT Condensed"/>
                <w:b w:val="0"/>
                <w:bCs w:val="0"/>
              </w:rPr>
              <w:t>Medium-low (40)</w:t>
            </w:r>
          </w:p>
          <w:p w14:paraId="76AB7565" w14:textId="72DB1EA0" w:rsidR="00221C59" w:rsidRPr="008F196E" w:rsidRDefault="00221C59" w:rsidP="00FE4C7E">
            <w:pPr>
              <w:pStyle w:val="NoSpacing"/>
              <w:numPr>
                <w:ilvl w:val="0"/>
                <w:numId w:val="43"/>
              </w:numPr>
              <w:ind w:left="720" w:hanging="270"/>
              <w:jc w:val="both"/>
              <w:rPr>
                <w:rStyle w:val="fontstyle01"/>
                <w:rFonts w:ascii="Tw Cen MT Condensed" w:hAnsi="Tw Cen MT Condensed"/>
                <w:b w:val="0"/>
                <w:bCs w:val="0"/>
              </w:rPr>
            </w:pPr>
            <w:r w:rsidRPr="008F196E">
              <w:rPr>
                <w:rStyle w:val="fontstyle01"/>
                <w:rFonts w:ascii="Tw Cen MT Condensed" w:hAnsi="Tw Cen MT Condensed"/>
                <w:b w:val="0"/>
                <w:bCs w:val="0"/>
              </w:rPr>
              <w:t>Medium-high (60)</w:t>
            </w:r>
          </w:p>
          <w:p w14:paraId="2AC3962F" w14:textId="5B32D383" w:rsidR="00221C59" w:rsidRPr="008F196E" w:rsidRDefault="00221C59" w:rsidP="00FE4C7E">
            <w:pPr>
              <w:pStyle w:val="NoSpacing"/>
              <w:numPr>
                <w:ilvl w:val="0"/>
                <w:numId w:val="43"/>
              </w:numPr>
              <w:ind w:left="720" w:hanging="270"/>
              <w:jc w:val="both"/>
              <w:rPr>
                <w:rStyle w:val="fontstyle01"/>
                <w:rFonts w:ascii="Tw Cen MT Condensed" w:hAnsi="Tw Cen MT Condensed"/>
                <w:b w:val="0"/>
                <w:bCs w:val="0"/>
              </w:rPr>
            </w:pPr>
            <w:r w:rsidRPr="008F196E">
              <w:rPr>
                <w:rStyle w:val="fontstyle01"/>
                <w:rFonts w:ascii="Tw Cen MT Condensed" w:hAnsi="Tw Cen MT Condensed"/>
                <w:b w:val="0"/>
                <w:bCs w:val="0"/>
              </w:rPr>
              <w:t>High (80)</w:t>
            </w:r>
          </w:p>
          <w:p w14:paraId="2C655188" w14:textId="47E93E4D" w:rsidR="00221C59" w:rsidRPr="008F196E" w:rsidRDefault="00221C59" w:rsidP="00FE4C7E">
            <w:pPr>
              <w:pStyle w:val="NoSpacing"/>
              <w:numPr>
                <w:ilvl w:val="0"/>
                <w:numId w:val="43"/>
              </w:numPr>
              <w:ind w:left="720" w:hanging="270"/>
              <w:jc w:val="both"/>
              <w:rPr>
                <w:rStyle w:val="fontstyle01"/>
                <w:rFonts w:ascii="Tw Cen MT Condensed" w:hAnsi="Tw Cen MT Condensed"/>
                <w:b w:val="0"/>
                <w:bCs w:val="0"/>
              </w:rPr>
            </w:pPr>
            <w:r w:rsidRPr="008F196E">
              <w:rPr>
                <w:rStyle w:val="fontstyle01"/>
                <w:rFonts w:ascii="Tw Cen MT Condensed" w:hAnsi="Tw Cen MT Condensed"/>
                <w:b w:val="0"/>
                <w:bCs w:val="0"/>
              </w:rPr>
              <w:t>Very high (100)</w:t>
            </w:r>
          </w:p>
          <w:p w14:paraId="45F59AAF"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 xml:space="preserve">Note that guidance is provided for each threshold for each question, to ensure objective and comparable results. </w:t>
            </w:r>
          </w:p>
          <w:p w14:paraId="7A3C01F7" w14:textId="77777777" w:rsidR="00221C59" w:rsidRPr="008F196E" w:rsidRDefault="00221C59" w:rsidP="00FE4C7E">
            <w:pPr>
              <w:pStyle w:val="NoSpacing"/>
              <w:jc w:val="both"/>
              <w:rPr>
                <w:rStyle w:val="fontstyle01"/>
                <w:rFonts w:ascii="Tw Cen MT Condensed" w:hAnsi="Tw Cen MT Condensed"/>
                <w:b w:val="0"/>
                <w:bCs w:val="0"/>
              </w:rPr>
            </w:pPr>
          </w:p>
          <w:p w14:paraId="6B244B20" w14:textId="77777777" w:rsidR="00221C59" w:rsidRPr="008F196E" w:rsidRDefault="00221C59" w:rsidP="00FE4C7E">
            <w:pPr>
              <w:pStyle w:val="NoSpacing"/>
              <w:ind w:left="360" w:hanging="360"/>
              <w:jc w:val="both"/>
              <w:rPr>
                <w:rStyle w:val="fontstyle01"/>
                <w:rFonts w:ascii="Tw Cen MT Condensed" w:hAnsi="Tw Cen MT Condensed"/>
                <w:b w:val="0"/>
                <w:bCs w:val="0"/>
              </w:rPr>
            </w:pPr>
            <w:r w:rsidRPr="008F196E">
              <w:rPr>
                <w:rStyle w:val="fontstyle01"/>
                <w:rFonts w:ascii="Tw Cen MT Condensed" w:hAnsi="Tw Cen MT Condensed"/>
                <w:b w:val="0"/>
                <w:bCs w:val="0"/>
              </w:rPr>
              <w:t>3.</w:t>
            </w:r>
            <w:r w:rsidRPr="008F196E">
              <w:rPr>
                <w:rStyle w:val="fontstyle01"/>
                <w:rFonts w:ascii="Tw Cen MT Condensed" w:hAnsi="Tw Cen MT Condensed"/>
                <w:b w:val="0"/>
                <w:bCs w:val="0"/>
              </w:rPr>
              <w:tab/>
              <w:t xml:space="preserve">The un-weighted average of the question scores within each of the four components is calculated to give a score of 0 – 100 for each component. </w:t>
            </w:r>
          </w:p>
          <w:p w14:paraId="6A630821" w14:textId="77777777" w:rsidR="00221C59" w:rsidRPr="008F196E" w:rsidRDefault="00221C59" w:rsidP="00FE4C7E">
            <w:pPr>
              <w:pStyle w:val="NoSpacing"/>
              <w:jc w:val="both"/>
              <w:rPr>
                <w:rStyle w:val="fontstyle01"/>
                <w:rFonts w:ascii="Tw Cen MT Condensed" w:hAnsi="Tw Cen MT Condensed"/>
                <w:b w:val="0"/>
                <w:bCs w:val="0"/>
              </w:rPr>
            </w:pPr>
            <w:r w:rsidRPr="008F196E">
              <w:rPr>
                <w:rStyle w:val="fontstyle01"/>
                <w:rFonts w:ascii="Tw Cen MT Condensed" w:hAnsi="Tw Cen MT Condensed"/>
                <w:b w:val="0"/>
                <w:bCs w:val="0"/>
              </w:rPr>
              <w:t>4.</w:t>
            </w:r>
            <w:r w:rsidRPr="008F196E">
              <w:rPr>
                <w:rStyle w:val="fontstyle01"/>
                <w:rFonts w:ascii="Tw Cen MT Condensed" w:hAnsi="Tw Cen MT Condensed"/>
                <w:b w:val="0"/>
                <w:bCs w:val="0"/>
              </w:rPr>
              <w:tab/>
              <w:t>The component scores are averaged (un-weighted) to give the indicator score, expressed as a percentage between 0 and 100.</w:t>
            </w:r>
          </w:p>
          <w:p w14:paraId="743BBD6A" w14:textId="77777777" w:rsidR="00221C59" w:rsidRPr="008F196E" w:rsidRDefault="00221C59" w:rsidP="00221C59">
            <w:pPr>
              <w:pStyle w:val="NoSpacing"/>
              <w:rPr>
                <w:rStyle w:val="fontstyle01"/>
                <w:rFonts w:ascii="Tw Cen MT Condensed" w:hAnsi="Tw Cen MT Condensed"/>
                <w:b w:val="0"/>
                <w:bCs w:val="0"/>
              </w:rPr>
            </w:pPr>
          </w:p>
        </w:tc>
        <w:tc>
          <w:tcPr>
            <w:tcW w:w="0" w:type="auto"/>
            <w:shd w:val="clear" w:color="auto" w:fill="auto"/>
          </w:tcPr>
          <w:p w14:paraId="32DE8D23" w14:textId="77777777" w:rsidR="00221C59" w:rsidRPr="007243FC" w:rsidRDefault="00221C59" w:rsidP="00221C59">
            <w:pPr>
              <w:jc w:val="center"/>
              <w:rPr>
                <w:bCs/>
                <w:szCs w:val="20"/>
              </w:rPr>
            </w:pPr>
            <w:r w:rsidRPr="00873FDE">
              <w:lastRenderedPageBreak/>
              <w:t>Survey</w:t>
            </w:r>
          </w:p>
        </w:tc>
        <w:tc>
          <w:tcPr>
            <w:tcW w:w="0" w:type="auto"/>
            <w:shd w:val="clear" w:color="auto" w:fill="auto"/>
          </w:tcPr>
          <w:p w14:paraId="1ED9347C" w14:textId="77777777" w:rsidR="00221C59" w:rsidRPr="007243FC" w:rsidRDefault="00221C59" w:rsidP="00221C59">
            <w:pPr>
              <w:pStyle w:val="NoSpacing"/>
              <w:rPr>
                <w:bCs/>
                <w:szCs w:val="20"/>
              </w:rPr>
            </w:pPr>
            <w:r w:rsidRPr="00873FDE">
              <w:t>Ministry of Water in coordination with Ministry of Environment, Ministry of Finance, Ministry of Planning, Ministry of Lands and Agriculture, Ministry of Industry and Mining etc</w:t>
            </w:r>
          </w:p>
        </w:tc>
        <w:tc>
          <w:tcPr>
            <w:tcW w:w="0" w:type="auto"/>
            <w:shd w:val="clear" w:color="auto" w:fill="auto"/>
          </w:tcPr>
          <w:p w14:paraId="0DBF3871" w14:textId="5BDE9EB8" w:rsidR="00221C59" w:rsidRDefault="00221C59" w:rsidP="00221C59">
            <w:pPr>
              <w:rPr>
                <w:rFonts w:eastAsia="Times New Roman" w:cs="Times New Roman"/>
                <w:color w:val="000000" w:themeColor="text1"/>
                <w:szCs w:val="20"/>
              </w:rPr>
            </w:pPr>
          </w:p>
          <w:p w14:paraId="7BE4EDC9" w14:textId="77777777" w:rsidR="00221C59" w:rsidRPr="007243FC" w:rsidRDefault="00221C59" w:rsidP="00221C59">
            <w:pPr>
              <w:rPr>
                <w:rFonts w:eastAsia="Times New Roman" w:cs="Times New Roman"/>
                <w:color w:val="000000" w:themeColor="text1"/>
                <w:szCs w:val="20"/>
              </w:rPr>
            </w:pPr>
            <w:r w:rsidRPr="00DD3661">
              <w:rPr>
                <w:rFonts w:eastAsia="Times New Roman" w:cs="Times New Roman"/>
                <w:bCs/>
                <w:color w:val="000000" w:themeColor="text1"/>
                <w:szCs w:val="20"/>
              </w:rPr>
              <w:t>UNEP</w:t>
            </w:r>
          </w:p>
        </w:tc>
        <w:tc>
          <w:tcPr>
            <w:tcW w:w="0" w:type="auto"/>
            <w:shd w:val="clear" w:color="auto" w:fill="auto"/>
          </w:tcPr>
          <w:p w14:paraId="188334B4" w14:textId="77777777" w:rsidR="00221C59" w:rsidRPr="007243FC" w:rsidRDefault="00221C59" w:rsidP="00221C59">
            <w:pPr>
              <w:rPr>
                <w:rFonts w:eastAsia="Times New Roman" w:cs="Times New Roman"/>
                <w:color w:val="000000" w:themeColor="text1"/>
                <w:szCs w:val="20"/>
              </w:rPr>
            </w:pPr>
            <w:r>
              <w:rPr>
                <w:rFonts w:eastAsia="Times New Roman" w:cs="Times New Roman"/>
                <w:color w:val="000000" w:themeColor="text1"/>
                <w:szCs w:val="20"/>
              </w:rPr>
              <w:t>B</w:t>
            </w:r>
            <w:r w:rsidRPr="00BC6F10">
              <w:rPr>
                <w:rFonts w:eastAsia="Times New Roman" w:cs="Times New Roman"/>
                <w:color w:val="000000" w:themeColor="text1"/>
                <w:szCs w:val="20"/>
              </w:rPr>
              <w:t>WDB, MoWR</w:t>
            </w:r>
          </w:p>
        </w:tc>
        <w:tc>
          <w:tcPr>
            <w:tcW w:w="0" w:type="auto"/>
            <w:shd w:val="clear" w:color="auto" w:fill="auto"/>
            <w:vAlign w:val="center"/>
          </w:tcPr>
          <w:p w14:paraId="7C899A74" w14:textId="77777777" w:rsidR="00221C59" w:rsidRPr="00C47DAA" w:rsidRDefault="00221C59" w:rsidP="00221C59">
            <w:pPr>
              <w:pStyle w:val="ListParagraph"/>
              <w:numPr>
                <w:ilvl w:val="0"/>
                <w:numId w:val="48"/>
              </w:numPr>
              <w:spacing w:after="0" w:line="240" w:lineRule="auto"/>
              <w:ind w:left="160" w:hanging="160"/>
              <w:rPr>
                <w:rFonts w:ascii="Tw Cen MT Condensed" w:hAnsi="Tw Cen MT Condensed"/>
              </w:rPr>
            </w:pPr>
            <w:r w:rsidRPr="00C47DAA">
              <w:rPr>
                <w:rFonts w:ascii="Tw Cen MT Condensed" w:hAnsi="Tw Cen MT Condensed"/>
              </w:rPr>
              <w:t>IWRM: four main components</w:t>
            </w:r>
          </w:p>
          <w:p w14:paraId="45F755C4" w14:textId="77777777" w:rsidR="00221C59" w:rsidRPr="00C47DAA" w:rsidRDefault="00221C59" w:rsidP="00221C59">
            <w:pPr>
              <w:pStyle w:val="ListParagraph"/>
              <w:numPr>
                <w:ilvl w:val="0"/>
                <w:numId w:val="48"/>
              </w:numPr>
              <w:spacing w:after="0" w:line="240" w:lineRule="auto"/>
              <w:ind w:left="160" w:hanging="160"/>
              <w:rPr>
                <w:rFonts w:ascii="Tw Cen MT Condensed" w:hAnsi="Tw Cen MT Condensed"/>
              </w:rPr>
            </w:pPr>
            <w:r w:rsidRPr="00C47DAA">
              <w:rPr>
                <w:rFonts w:ascii="Tw Cen MT Condensed" w:hAnsi="Tw Cen MT Condensed"/>
              </w:rPr>
              <w:t>inequality: gender, vulnerable groups, geographic coverage, stakeholder participation in water resource development and management</w:t>
            </w:r>
          </w:p>
          <w:p w14:paraId="3CA22355" w14:textId="77777777" w:rsidR="00221C59" w:rsidRPr="00BC6F10" w:rsidRDefault="00221C59" w:rsidP="00221C59">
            <w:pPr>
              <w:jc w:val="center"/>
              <w:rPr>
                <w:i/>
                <w:iCs/>
                <w:sz w:val="18"/>
                <w:szCs w:val="18"/>
              </w:rPr>
            </w:pPr>
          </w:p>
        </w:tc>
        <w:tc>
          <w:tcPr>
            <w:tcW w:w="0" w:type="auto"/>
            <w:shd w:val="clear" w:color="auto" w:fill="auto"/>
          </w:tcPr>
          <w:p w14:paraId="333259A2" w14:textId="77777777" w:rsidR="00221C59" w:rsidRPr="007243FC" w:rsidRDefault="00221C59" w:rsidP="00221C59">
            <w:pPr>
              <w:rPr>
                <w:szCs w:val="20"/>
              </w:rPr>
            </w:pPr>
            <w:r w:rsidRPr="00BC6F10">
              <w:t>Triennial</w:t>
            </w:r>
          </w:p>
        </w:tc>
        <w:tc>
          <w:tcPr>
            <w:tcW w:w="0" w:type="auto"/>
            <w:shd w:val="clear" w:color="auto" w:fill="auto"/>
          </w:tcPr>
          <w:p w14:paraId="2DA568F4"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1</w:t>
            </w:r>
          </w:p>
          <w:p w14:paraId="3DB82EF5"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tcBorders>
              <w:right w:val="single" w:sz="4" w:space="0" w:color="auto"/>
            </w:tcBorders>
            <w:shd w:val="clear" w:color="auto" w:fill="auto"/>
          </w:tcPr>
          <w:p w14:paraId="5DEE506F" w14:textId="77777777" w:rsidR="00221C59" w:rsidRDefault="00221C59" w:rsidP="00221C59">
            <w:pPr>
              <w:pStyle w:val="NoSpacing"/>
            </w:pPr>
            <w:r>
              <w:t>1</w:t>
            </w:r>
            <w:r w:rsidRPr="00013ACB">
              <w:rPr>
                <w:vertAlign w:val="superscript"/>
              </w:rPr>
              <w:t>st</w:t>
            </w:r>
            <w:r>
              <w:t xml:space="preserve"> Round: </w:t>
            </w:r>
          </w:p>
          <w:p w14:paraId="1A908D97" w14:textId="77777777" w:rsidR="00221C59" w:rsidRDefault="00221C59" w:rsidP="00221C59">
            <w:pPr>
              <w:pStyle w:val="NoSpacing"/>
            </w:pPr>
            <w:r>
              <w:t>2017</w:t>
            </w:r>
          </w:p>
          <w:p w14:paraId="36949679" w14:textId="77777777" w:rsidR="00221C59" w:rsidRDefault="00221C59" w:rsidP="00221C59">
            <w:pPr>
              <w:pStyle w:val="NoSpacing"/>
            </w:pPr>
            <w:r>
              <w:t>2</w:t>
            </w:r>
            <w:r w:rsidRPr="00013ACB">
              <w:rPr>
                <w:vertAlign w:val="superscript"/>
              </w:rPr>
              <w:t>nd</w:t>
            </w:r>
            <w:r>
              <w:t xml:space="preserve"> Round: </w:t>
            </w:r>
          </w:p>
          <w:p w14:paraId="7D5D77C5" w14:textId="77777777" w:rsidR="00221C59" w:rsidRDefault="00221C59" w:rsidP="00221C59">
            <w:pPr>
              <w:pStyle w:val="NoSpacing"/>
            </w:pPr>
            <w:r w:rsidRPr="003457F9">
              <w:rPr>
                <w:sz w:val="18"/>
                <w:szCs w:val="18"/>
              </w:rPr>
              <w:t>December 2020</w:t>
            </w:r>
          </w:p>
          <w:p w14:paraId="05C8BC47" w14:textId="77777777" w:rsidR="00221C59" w:rsidRDefault="00221C59" w:rsidP="00221C59">
            <w:pPr>
              <w:pStyle w:val="NoSpacing"/>
            </w:pPr>
            <w:r>
              <w:t>3</w:t>
            </w:r>
            <w:r w:rsidRPr="00013ACB">
              <w:rPr>
                <w:vertAlign w:val="superscript"/>
              </w:rPr>
              <w:t>rd</w:t>
            </w:r>
            <w:r>
              <w:t xml:space="preserve"> Round: </w:t>
            </w:r>
          </w:p>
          <w:p w14:paraId="00EB9F14" w14:textId="77777777" w:rsidR="00221C59" w:rsidRDefault="00221C59" w:rsidP="00221C59">
            <w:pPr>
              <w:pStyle w:val="NoSpacing"/>
            </w:pPr>
            <w:r>
              <w:rPr>
                <w:sz w:val="18"/>
                <w:szCs w:val="18"/>
              </w:rPr>
              <w:t>December 2023</w:t>
            </w:r>
          </w:p>
          <w:p w14:paraId="6A4266FA" w14:textId="77777777" w:rsidR="00221C59" w:rsidRDefault="00221C59" w:rsidP="00221C59">
            <w:pPr>
              <w:pStyle w:val="NoSpacing"/>
            </w:pPr>
          </w:p>
          <w:p w14:paraId="1075852D" w14:textId="77777777" w:rsidR="00221C59" w:rsidRDefault="00221C59" w:rsidP="00221C59">
            <w:pPr>
              <w:pStyle w:val="NoSpacing"/>
            </w:pPr>
            <w:r>
              <w:t>4</w:t>
            </w:r>
            <w:r w:rsidRPr="00013ACB">
              <w:rPr>
                <w:vertAlign w:val="superscript"/>
              </w:rPr>
              <w:t>th</w:t>
            </w:r>
            <w:r>
              <w:t xml:space="preserve"> Round: </w:t>
            </w:r>
          </w:p>
          <w:p w14:paraId="0782D410" w14:textId="77777777" w:rsidR="00221C59" w:rsidRDefault="00221C59" w:rsidP="00221C59">
            <w:pPr>
              <w:pStyle w:val="NoSpacing"/>
              <w:rPr>
                <w:sz w:val="18"/>
                <w:szCs w:val="18"/>
              </w:rPr>
            </w:pPr>
            <w:r>
              <w:rPr>
                <w:sz w:val="18"/>
                <w:szCs w:val="18"/>
              </w:rPr>
              <w:t>December 2026</w:t>
            </w:r>
          </w:p>
          <w:p w14:paraId="410E0C94" w14:textId="77777777" w:rsidR="00221C59" w:rsidRDefault="00221C59" w:rsidP="00221C59">
            <w:pPr>
              <w:pStyle w:val="NoSpacing"/>
            </w:pPr>
          </w:p>
          <w:p w14:paraId="53056E65" w14:textId="77777777" w:rsidR="00221C59" w:rsidRDefault="00221C59" w:rsidP="00221C59">
            <w:pPr>
              <w:pStyle w:val="NoSpacing"/>
            </w:pPr>
            <w:r>
              <w:t>5</w:t>
            </w:r>
            <w:r w:rsidRPr="00013ACB">
              <w:rPr>
                <w:vertAlign w:val="superscript"/>
              </w:rPr>
              <w:t>th</w:t>
            </w:r>
            <w:r>
              <w:t xml:space="preserve"> Round: </w:t>
            </w:r>
          </w:p>
          <w:p w14:paraId="1268F05C" w14:textId="56C17B95" w:rsidR="00221C59" w:rsidRPr="00BC6F10" w:rsidRDefault="00221C59" w:rsidP="00221C59">
            <w:pPr>
              <w:rPr>
                <w:rFonts w:cs="Calibri"/>
                <w:szCs w:val="20"/>
              </w:rPr>
            </w:pPr>
            <w:r>
              <w:rPr>
                <w:sz w:val="18"/>
                <w:szCs w:val="18"/>
              </w:rPr>
              <w:t>December 2029</w:t>
            </w:r>
          </w:p>
        </w:tc>
        <w:tc>
          <w:tcPr>
            <w:tcW w:w="0" w:type="auto"/>
            <w:tcBorders>
              <w:left w:val="single" w:sz="4" w:space="0" w:color="auto"/>
            </w:tcBorders>
            <w:shd w:val="clear" w:color="auto" w:fill="auto"/>
          </w:tcPr>
          <w:p w14:paraId="5ED9C0D4" w14:textId="77777777" w:rsidR="00221C59" w:rsidRPr="008D1C60" w:rsidRDefault="00221C59" w:rsidP="00221C59">
            <w:pPr>
              <w:jc w:val="center"/>
              <w:rPr>
                <w:rStyle w:val="fontstyle01"/>
                <w:rFonts w:ascii="Tw Cen MT Condensed" w:hAnsi="Tw Cen MT Condensed"/>
                <w:b w:val="0"/>
                <w:bCs w:val="0"/>
                <w:sz w:val="18"/>
                <w:szCs w:val="18"/>
              </w:rPr>
            </w:pPr>
            <w:r w:rsidRPr="008D1C60">
              <w:rPr>
                <w:rStyle w:val="fontstyle01"/>
                <w:rFonts w:ascii="Tw Cen MT Condensed" w:hAnsi="Tw Cen MT Condensed"/>
                <w:b w:val="0"/>
                <w:bCs w:val="0"/>
                <w:sz w:val="18"/>
                <w:szCs w:val="18"/>
              </w:rPr>
              <w:t>Data availability reviewed in Nov. 2017 (classified as Tier I)</w:t>
            </w:r>
          </w:p>
          <w:p w14:paraId="62C762D3" w14:textId="77777777" w:rsidR="00221C59" w:rsidRPr="008D1C60" w:rsidRDefault="00221C59" w:rsidP="00221C59">
            <w:pPr>
              <w:jc w:val="center"/>
              <w:rPr>
                <w:rStyle w:val="fontstyle01"/>
                <w:rFonts w:ascii="Tw Cen MT Condensed" w:hAnsi="Tw Cen MT Condensed"/>
                <w:b w:val="0"/>
                <w:bCs w:val="0"/>
                <w:sz w:val="18"/>
                <w:szCs w:val="18"/>
              </w:rPr>
            </w:pPr>
          </w:p>
          <w:p w14:paraId="16272261" w14:textId="77777777" w:rsidR="00221C59" w:rsidRPr="007243FC" w:rsidRDefault="00221C59" w:rsidP="00221C59">
            <w:pPr>
              <w:jc w:val="center"/>
              <w:rPr>
                <w:rStyle w:val="fontstyle01"/>
                <w:rFonts w:ascii="Tw Cen MT Condensed" w:hAnsi="Tw Cen MT Condensed"/>
                <w:b w:val="0"/>
                <w:bCs w:val="0"/>
                <w:sz w:val="18"/>
                <w:szCs w:val="18"/>
              </w:rPr>
            </w:pPr>
            <w:r w:rsidRPr="008D1C60">
              <w:rPr>
                <w:rStyle w:val="fontstyle01"/>
                <w:rFonts w:ascii="Tw Cen MT Condensed" w:hAnsi="Tw Cen MT Condensed"/>
                <w:b w:val="0"/>
                <w:bCs w:val="0"/>
                <w:sz w:val="18"/>
                <w:szCs w:val="18"/>
              </w:rPr>
              <w:t>IAEG-SDG 3rd meeting: Lack of sufficient data coverage (classified as Tier II)</w:t>
            </w:r>
          </w:p>
        </w:tc>
      </w:tr>
      <w:tr w:rsidR="00DB32C0" w14:paraId="14788157" w14:textId="77777777" w:rsidTr="0085651F">
        <w:tc>
          <w:tcPr>
            <w:tcW w:w="0" w:type="auto"/>
            <w:tcBorders>
              <w:bottom w:val="single" w:sz="4" w:space="0" w:color="auto"/>
            </w:tcBorders>
            <w:shd w:val="clear" w:color="auto" w:fill="auto"/>
          </w:tcPr>
          <w:p w14:paraId="277AC8A0" w14:textId="77777777" w:rsidR="00221C59" w:rsidRPr="004826CD" w:rsidRDefault="00221C59" w:rsidP="00221C59">
            <w:pPr>
              <w:jc w:val="both"/>
              <w:rPr>
                <w:szCs w:val="20"/>
              </w:rPr>
            </w:pPr>
            <w:r w:rsidRPr="004826CD">
              <w:rPr>
                <w:szCs w:val="20"/>
              </w:rPr>
              <w:lastRenderedPageBreak/>
              <w:t>6.5.2 Proportion of transboundary basin area with an operational arrangement for water cooperation</w:t>
            </w:r>
          </w:p>
        </w:tc>
        <w:tc>
          <w:tcPr>
            <w:tcW w:w="0" w:type="auto"/>
            <w:shd w:val="clear" w:color="auto" w:fill="auto"/>
          </w:tcPr>
          <w:p w14:paraId="2C6F7320" w14:textId="77777777" w:rsidR="00221C59" w:rsidRPr="0097196B" w:rsidRDefault="00221C59" w:rsidP="00221C59">
            <w:pPr>
              <w:rPr>
                <w:szCs w:val="20"/>
              </w:rPr>
            </w:pPr>
            <w:r w:rsidRPr="0097196B">
              <w:rPr>
                <w:szCs w:val="20"/>
              </w:rPr>
              <w:t xml:space="preserve">UNESCO-IHP, </w:t>
            </w:r>
          </w:p>
          <w:p w14:paraId="4AA053AA" w14:textId="77777777" w:rsidR="00221C59" w:rsidRDefault="00221C59" w:rsidP="00221C59">
            <w:pPr>
              <w:rPr>
                <w:szCs w:val="20"/>
              </w:rPr>
            </w:pPr>
            <w:r w:rsidRPr="0097196B">
              <w:rPr>
                <w:szCs w:val="20"/>
              </w:rPr>
              <w:t>UNECE</w:t>
            </w:r>
          </w:p>
          <w:p w14:paraId="03B66DB7" w14:textId="77777777" w:rsidR="00221C59" w:rsidRDefault="00221C59" w:rsidP="00221C59">
            <w:pPr>
              <w:rPr>
                <w:szCs w:val="20"/>
              </w:rPr>
            </w:pPr>
          </w:p>
          <w:p w14:paraId="089BA780" w14:textId="77777777" w:rsidR="00221C59" w:rsidRPr="007243FC" w:rsidRDefault="00221C59" w:rsidP="00221C59">
            <w:pPr>
              <w:rPr>
                <w:szCs w:val="20"/>
              </w:rPr>
            </w:pPr>
          </w:p>
        </w:tc>
        <w:tc>
          <w:tcPr>
            <w:tcW w:w="825" w:type="dxa"/>
            <w:shd w:val="clear" w:color="auto" w:fill="auto"/>
          </w:tcPr>
          <w:p w14:paraId="56759ECF" w14:textId="77777777" w:rsidR="00221C59" w:rsidRPr="007243FC" w:rsidRDefault="00221C59" w:rsidP="00221C59">
            <w:pPr>
              <w:rPr>
                <w:szCs w:val="20"/>
              </w:rPr>
            </w:pPr>
            <w:r w:rsidRPr="0097196B">
              <w:rPr>
                <w:szCs w:val="20"/>
              </w:rPr>
              <w:t>Tier I</w:t>
            </w:r>
          </w:p>
        </w:tc>
        <w:tc>
          <w:tcPr>
            <w:tcW w:w="6373" w:type="dxa"/>
            <w:shd w:val="clear" w:color="auto" w:fill="auto"/>
          </w:tcPr>
          <w:p w14:paraId="795A45B6" w14:textId="77777777" w:rsidR="00221C59" w:rsidRPr="003A1890" w:rsidRDefault="00221C59" w:rsidP="00221C59">
            <w:pPr>
              <w:pStyle w:val="NoSpacing"/>
              <w:rPr>
                <w:b/>
                <w:bCs/>
                <w:szCs w:val="20"/>
                <w:lang w:val="en-GB"/>
              </w:rPr>
            </w:pPr>
            <w:r w:rsidRPr="003A1890">
              <w:rPr>
                <w:b/>
                <w:bCs/>
                <w:szCs w:val="20"/>
                <w:lang w:val="en-GB"/>
              </w:rPr>
              <w:t>Definition:</w:t>
            </w:r>
          </w:p>
          <w:p w14:paraId="17314125" w14:textId="77777777" w:rsidR="00221C59" w:rsidRPr="003A1890" w:rsidRDefault="00221C59" w:rsidP="00221C59">
            <w:pPr>
              <w:pStyle w:val="NoSpacing"/>
              <w:rPr>
                <w:szCs w:val="20"/>
                <w:lang w:val="en-GB"/>
              </w:rPr>
            </w:pPr>
            <w:r w:rsidRPr="003A1890">
              <w:rPr>
                <w:szCs w:val="20"/>
                <w:lang w:val="en-GB"/>
              </w:rPr>
              <w:t>The proportion of transboundary basin area with an operational arrangement for water cooperation is defined as the proportion of transboundary basins area within a country with an operational arrangement for water cooperation. It is derived by adding up the surface area in a country of those transboundary surface water catchments and transboundary aquifers (i.e. ‘transboundary’ basins) that are covered by an operational arrangement and dividing the obtained area by the aggregate total area in a country of all transboundary basins (both catchments and aquifers). The result is multiplied by 100 to obtain it expressed as percentage share.</w:t>
            </w:r>
          </w:p>
          <w:p w14:paraId="579CDCD1" w14:textId="77777777" w:rsidR="00221C59" w:rsidRPr="003A1890" w:rsidRDefault="00221C59" w:rsidP="00221C59">
            <w:pPr>
              <w:pStyle w:val="NoSpacing"/>
              <w:rPr>
                <w:szCs w:val="20"/>
                <w:lang w:val="en-GB"/>
              </w:rPr>
            </w:pPr>
          </w:p>
          <w:p w14:paraId="37D0167E" w14:textId="77777777" w:rsidR="00221C59" w:rsidRPr="003A1890" w:rsidRDefault="00221C59" w:rsidP="00221C59">
            <w:pPr>
              <w:pStyle w:val="NoSpacing"/>
              <w:rPr>
                <w:b/>
                <w:bCs/>
                <w:szCs w:val="20"/>
                <w:lang w:val="en-GB"/>
              </w:rPr>
            </w:pPr>
            <w:r w:rsidRPr="003A1890">
              <w:rPr>
                <w:b/>
                <w:bCs/>
                <w:szCs w:val="20"/>
                <w:lang w:val="en-GB"/>
              </w:rPr>
              <w:t>Concepts:</w:t>
            </w:r>
          </w:p>
          <w:p w14:paraId="44FBAE13" w14:textId="77777777" w:rsidR="00221C59" w:rsidRPr="003A1890" w:rsidRDefault="00221C59" w:rsidP="00221C59">
            <w:pPr>
              <w:pStyle w:val="NoSpacing"/>
              <w:rPr>
                <w:szCs w:val="20"/>
                <w:lang w:val="en-GB"/>
              </w:rPr>
            </w:pPr>
            <w:r w:rsidRPr="003A1890">
              <w:rPr>
                <w:szCs w:val="20"/>
                <w:lang w:val="en-GB"/>
              </w:rPr>
              <w:t xml:space="preserve">"The proposed monitoring has as basis the spatial coverage of transboundary basins shared by each country, and focuses on monitoring whether these are covered by cooperation arrangements that are operational. The criteria needing to be met for the cooperation on a specific basin being considered “operational” seeks to capture whether the arrangement(s) indeed provide an adequate basis for cooperation in water management. </w:t>
            </w:r>
          </w:p>
          <w:p w14:paraId="0651E1A1" w14:textId="77777777" w:rsidR="00221C59" w:rsidRPr="003A1890" w:rsidRDefault="00221C59" w:rsidP="00221C59">
            <w:pPr>
              <w:pStyle w:val="NoSpacing"/>
              <w:rPr>
                <w:szCs w:val="20"/>
                <w:lang w:val="en-GB"/>
              </w:rPr>
            </w:pPr>
          </w:p>
          <w:p w14:paraId="0E497EFC" w14:textId="77777777" w:rsidR="00221C59" w:rsidRPr="003A1890" w:rsidRDefault="00221C59" w:rsidP="00221C59">
            <w:pPr>
              <w:pStyle w:val="NoSpacing"/>
              <w:rPr>
                <w:szCs w:val="20"/>
                <w:lang w:val="en-GB"/>
              </w:rPr>
            </w:pPr>
            <w:r w:rsidRPr="003A1890">
              <w:rPr>
                <w:szCs w:val="20"/>
                <w:lang w:val="en-GB"/>
              </w:rPr>
              <w:t xml:space="preserve">Transboundary basins are basins of transboundary waters, that is, of any surface waters (notably rivers, lakes) or groundwaters which mark, cross or are located on boundaries between by two or more states. For the purpose of the calculation of this indicator, for surface waters, the basin is the extent of the catchment area; for groundwater, the area considered is the extent of the aquifer. </w:t>
            </w:r>
          </w:p>
          <w:p w14:paraId="34994471" w14:textId="77777777" w:rsidR="00221C59" w:rsidRPr="003A1890" w:rsidRDefault="00221C59" w:rsidP="00221C59">
            <w:pPr>
              <w:pStyle w:val="NoSpacing"/>
              <w:rPr>
                <w:szCs w:val="20"/>
                <w:lang w:val="en-GB"/>
              </w:rPr>
            </w:pPr>
          </w:p>
          <w:p w14:paraId="76E3740C" w14:textId="77777777" w:rsidR="00221C59" w:rsidRPr="003A1890" w:rsidRDefault="00221C59" w:rsidP="00221C59">
            <w:pPr>
              <w:pStyle w:val="NoSpacing"/>
              <w:rPr>
                <w:szCs w:val="20"/>
                <w:lang w:val="en-GB"/>
              </w:rPr>
            </w:pPr>
            <w:r w:rsidRPr="003A1890">
              <w:rPr>
                <w:szCs w:val="20"/>
                <w:lang w:val="en-GB"/>
              </w:rPr>
              <w:t xml:space="preserve">Arrangement for water cooperation: a bilateral or multilateral treaty, convention, agreement or other formal arrangement, such as memorandum of understanding) between riparian countries that provides a framework for cooperation on transboundary water management. Agreements or other kind of formal arrangements may be interstate, intergovernmental, interministerial, interagency or between regional authorities. </w:t>
            </w:r>
          </w:p>
          <w:p w14:paraId="0EE7D7C4" w14:textId="77777777" w:rsidR="00221C59" w:rsidRPr="003A1890" w:rsidRDefault="00221C59" w:rsidP="00221C59">
            <w:pPr>
              <w:pStyle w:val="NoSpacing"/>
              <w:rPr>
                <w:szCs w:val="20"/>
                <w:lang w:val="en-GB"/>
              </w:rPr>
            </w:pPr>
          </w:p>
          <w:p w14:paraId="6F4D20CA" w14:textId="77777777" w:rsidR="00221C59" w:rsidRPr="003A1890" w:rsidRDefault="00221C59" w:rsidP="00221C59">
            <w:pPr>
              <w:pStyle w:val="NoSpacing"/>
              <w:rPr>
                <w:szCs w:val="20"/>
                <w:lang w:val="en-GB"/>
              </w:rPr>
            </w:pPr>
            <w:r w:rsidRPr="003A1890">
              <w:rPr>
                <w:szCs w:val="20"/>
                <w:lang w:val="en-GB"/>
              </w:rPr>
              <w:t xml:space="preserve">Operational: For an agreement or other kind of formal arrangement (e.g. a memorandum of understanding) for cooperation between the riparian countries to be considered operational, all the following criteria needs to be fulfilled: </w:t>
            </w:r>
          </w:p>
          <w:p w14:paraId="7CEFD420" w14:textId="77777777" w:rsidR="00221C59" w:rsidRPr="003A1890" w:rsidRDefault="00221C59" w:rsidP="00221C59">
            <w:pPr>
              <w:pStyle w:val="NoSpacing"/>
              <w:rPr>
                <w:szCs w:val="20"/>
                <w:lang w:val="en-GB"/>
              </w:rPr>
            </w:pPr>
          </w:p>
          <w:p w14:paraId="17A9BB73" w14:textId="77777777" w:rsidR="00221C59" w:rsidRPr="003A1890" w:rsidRDefault="00221C59" w:rsidP="00221C59">
            <w:pPr>
              <w:pStyle w:val="NoSpacing"/>
              <w:rPr>
                <w:szCs w:val="20"/>
                <w:lang w:val="en-GB"/>
              </w:rPr>
            </w:pPr>
            <w:r w:rsidRPr="003A1890">
              <w:rPr>
                <w:szCs w:val="20"/>
                <w:lang w:val="en-GB"/>
              </w:rPr>
              <w:t xml:space="preserve">- There is a joint body, joint mechanism or commission (e.g. a river basin organization) for transboundary cooperation </w:t>
            </w:r>
          </w:p>
          <w:p w14:paraId="6588ECF0" w14:textId="77777777" w:rsidR="00221C59" w:rsidRPr="003A1890" w:rsidRDefault="00221C59" w:rsidP="00221C59">
            <w:pPr>
              <w:pStyle w:val="NoSpacing"/>
              <w:rPr>
                <w:szCs w:val="20"/>
                <w:lang w:val="en-GB"/>
              </w:rPr>
            </w:pPr>
            <w:r w:rsidRPr="003A1890">
              <w:rPr>
                <w:szCs w:val="20"/>
                <w:lang w:val="en-GB"/>
              </w:rPr>
              <w:t xml:space="preserve">- There are regular formal communications between riparian countries in form of meetings </w:t>
            </w:r>
          </w:p>
          <w:p w14:paraId="50F69BF0" w14:textId="77777777" w:rsidR="00221C59" w:rsidRPr="003A1890" w:rsidRDefault="00221C59" w:rsidP="00221C59">
            <w:pPr>
              <w:pStyle w:val="NoSpacing"/>
              <w:rPr>
                <w:szCs w:val="20"/>
                <w:lang w:val="en-GB"/>
              </w:rPr>
            </w:pPr>
            <w:r w:rsidRPr="003A1890">
              <w:rPr>
                <w:szCs w:val="20"/>
                <w:lang w:val="en-GB"/>
              </w:rPr>
              <w:t>- There is a joint or coordinated water management plan(s), or joint objectives have been set</w:t>
            </w:r>
          </w:p>
          <w:p w14:paraId="1FC91D7B" w14:textId="77777777" w:rsidR="00221C59" w:rsidRPr="003A1890" w:rsidRDefault="00221C59" w:rsidP="00221C59">
            <w:pPr>
              <w:pStyle w:val="NoSpacing"/>
              <w:rPr>
                <w:szCs w:val="20"/>
                <w:lang w:val="en-GB"/>
              </w:rPr>
            </w:pPr>
            <w:r w:rsidRPr="003A1890">
              <w:rPr>
                <w:szCs w:val="20"/>
                <w:lang w:val="en-GB"/>
              </w:rPr>
              <w:t>- There is a regular exchange of data and information.</w:t>
            </w:r>
          </w:p>
          <w:p w14:paraId="017CC29E" w14:textId="77777777" w:rsidR="00221C59" w:rsidRPr="003A1890" w:rsidRDefault="00221C59" w:rsidP="00221C59">
            <w:pPr>
              <w:pStyle w:val="NoSpacing"/>
              <w:rPr>
                <w:szCs w:val="20"/>
                <w:lang w:val="en-GB"/>
              </w:rPr>
            </w:pPr>
          </w:p>
          <w:p w14:paraId="2A42CD17" w14:textId="77777777" w:rsidR="00221C59" w:rsidRPr="003A1890" w:rsidRDefault="00221C59" w:rsidP="00221C59">
            <w:pPr>
              <w:pStyle w:val="NoSpacing"/>
              <w:rPr>
                <w:b/>
                <w:bCs/>
                <w:szCs w:val="20"/>
                <w:lang w:val="en-GB"/>
              </w:rPr>
            </w:pPr>
            <w:r w:rsidRPr="003A1890">
              <w:rPr>
                <w:b/>
                <w:bCs/>
                <w:szCs w:val="20"/>
                <w:lang w:val="en-GB"/>
              </w:rPr>
              <w:lastRenderedPageBreak/>
              <w:t>Comments and limitations:</w:t>
            </w:r>
          </w:p>
          <w:p w14:paraId="5FC2ACD8" w14:textId="77777777" w:rsidR="00221C59" w:rsidRPr="003A1890" w:rsidRDefault="00221C59" w:rsidP="00221C59">
            <w:pPr>
              <w:pStyle w:val="NoSpacing"/>
              <w:rPr>
                <w:szCs w:val="20"/>
                <w:lang w:val="en-GB"/>
              </w:rPr>
            </w:pPr>
            <w:r w:rsidRPr="003A1890">
              <w:rPr>
                <w:szCs w:val="20"/>
                <w:lang w:val="en-GB"/>
              </w:rPr>
              <w:t>The spatial information on transboundary surface water basins’ boundaries and the extents of the catchment areas are commonly available and essentially static; consequently, once determined, no updating need is expected.</w:t>
            </w:r>
          </w:p>
          <w:p w14:paraId="4A6DB65E" w14:textId="77777777" w:rsidR="00221C59" w:rsidRPr="003A1890" w:rsidRDefault="00221C59" w:rsidP="00221C59">
            <w:pPr>
              <w:pStyle w:val="NoSpacing"/>
              <w:rPr>
                <w:szCs w:val="20"/>
                <w:lang w:val="en-GB"/>
              </w:rPr>
            </w:pPr>
          </w:p>
          <w:p w14:paraId="6DFA18D9" w14:textId="77777777" w:rsidR="00221C59" w:rsidRPr="003A1890" w:rsidRDefault="00221C59" w:rsidP="00221C59">
            <w:pPr>
              <w:pStyle w:val="NoSpacing"/>
              <w:rPr>
                <w:szCs w:val="20"/>
                <w:lang w:val="en-GB"/>
              </w:rPr>
            </w:pPr>
            <w:r w:rsidRPr="003A1890">
              <w:rPr>
                <w:szCs w:val="20"/>
                <w:lang w:val="en-GB"/>
              </w:rPr>
              <w:t>The information on the areal extent of transboundary aquifers may evolve over time as such information is generally more coarse but likely to improve because of the evolving knowledge on aquifers. Technical studies and exchange of information will improve the delineation and might also lead to the identification of additional transboundary aquifers.</w:t>
            </w:r>
          </w:p>
          <w:p w14:paraId="2E9841D5" w14:textId="77777777" w:rsidR="00221C59" w:rsidRPr="003A1890" w:rsidRDefault="00221C59" w:rsidP="00221C59">
            <w:pPr>
              <w:pStyle w:val="NoSpacing"/>
              <w:rPr>
                <w:szCs w:val="20"/>
                <w:lang w:val="en-GB"/>
              </w:rPr>
            </w:pPr>
          </w:p>
          <w:p w14:paraId="22224BBE" w14:textId="77777777" w:rsidR="00221C59" w:rsidRPr="003A1890" w:rsidRDefault="00221C59" w:rsidP="00221C59">
            <w:pPr>
              <w:pStyle w:val="NoSpacing"/>
              <w:rPr>
                <w:szCs w:val="20"/>
                <w:lang w:val="en-GB"/>
              </w:rPr>
            </w:pPr>
            <w:r w:rsidRPr="003A1890">
              <w:rPr>
                <w:szCs w:val="20"/>
                <w:lang w:val="en-GB"/>
              </w:rPr>
              <w:t xml:space="preserve">In situations where more than two riparian countries share a basin, but only some of them have operational cooperation arrangements, the indicator value may mask the gap that a riparian country does not have cooperation arrangements with both its upstream and downstream neighbours. Such complementary information can be obtained by aggregating data at the level of the basins but not from the reporting at the national level. </w:t>
            </w:r>
          </w:p>
          <w:p w14:paraId="18C076D1" w14:textId="77777777" w:rsidR="00221C59" w:rsidRPr="003A1890" w:rsidRDefault="00221C59" w:rsidP="00221C59">
            <w:pPr>
              <w:pStyle w:val="NoSpacing"/>
              <w:rPr>
                <w:szCs w:val="20"/>
                <w:lang w:val="en-GB"/>
              </w:rPr>
            </w:pPr>
          </w:p>
          <w:p w14:paraId="2A9AEBA5" w14:textId="77777777" w:rsidR="00221C59" w:rsidRPr="003A1890" w:rsidRDefault="00221C59" w:rsidP="00221C59">
            <w:pPr>
              <w:pStyle w:val="NoSpacing"/>
              <w:rPr>
                <w:szCs w:val="20"/>
                <w:lang w:val="en-GB"/>
              </w:rPr>
            </w:pPr>
            <w:r w:rsidRPr="003A1890">
              <w:rPr>
                <w:szCs w:val="20"/>
                <w:lang w:val="en-GB"/>
              </w:rPr>
              <w:t xml:space="preserve">The legal basis for cooperation develops slowly: conclusion of new agreements on transboundary waters is commonly a long process that takes many years. </w:t>
            </w:r>
          </w:p>
          <w:p w14:paraId="144EE9DE" w14:textId="77777777" w:rsidR="00221C59" w:rsidRPr="003A1890" w:rsidRDefault="00221C59" w:rsidP="00221C59">
            <w:pPr>
              <w:pStyle w:val="NoSpacing"/>
              <w:rPr>
                <w:szCs w:val="20"/>
                <w:lang w:val="en-GB"/>
              </w:rPr>
            </w:pPr>
          </w:p>
          <w:p w14:paraId="326EA3B8" w14:textId="77777777" w:rsidR="00221C59" w:rsidRPr="003A1890" w:rsidRDefault="00221C59" w:rsidP="00221C59">
            <w:pPr>
              <w:pStyle w:val="NoSpacing"/>
              <w:rPr>
                <w:szCs w:val="20"/>
                <w:lang w:val="en-GB"/>
              </w:rPr>
            </w:pPr>
            <w:r w:rsidRPr="003A1890">
              <w:rPr>
                <w:szCs w:val="20"/>
                <w:lang w:val="en-GB"/>
              </w:rPr>
              <w:t>The operationality of cooperation is more dynamic as it evolves with the expansion of cooperation. The operationality can be expected to evolve over shorter time frames, and in a year or two, progress could potentially be observed.</w:t>
            </w:r>
          </w:p>
          <w:p w14:paraId="598B9AEA" w14:textId="77777777" w:rsidR="00221C59" w:rsidRPr="003A1890" w:rsidRDefault="00221C59" w:rsidP="00221C59">
            <w:pPr>
              <w:pStyle w:val="NoSpacing"/>
              <w:rPr>
                <w:szCs w:val="20"/>
                <w:lang w:val="en-GB"/>
              </w:rPr>
            </w:pPr>
          </w:p>
          <w:p w14:paraId="5BC2F160" w14:textId="77777777" w:rsidR="00221C59" w:rsidRPr="003A1890" w:rsidRDefault="00221C59" w:rsidP="00221C59">
            <w:pPr>
              <w:pStyle w:val="NoSpacing"/>
              <w:rPr>
                <w:b/>
                <w:bCs/>
                <w:szCs w:val="20"/>
                <w:lang w:val="en-GB"/>
              </w:rPr>
            </w:pPr>
            <w:r w:rsidRPr="003A1890">
              <w:rPr>
                <w:b/>
                <w:bCs/>
                <w:szCs w:val="20"/>
                <w:lang w:val="en-GB"/>
              </w:rPr>
              <w:t>Computation Method:</w:t>
            </w:r>
          </w:p>
          <w:p w14:paraId="60B2DF11" w14:textId="77777777" w:rsidR="00221C59" w:rsidRPr="003A1890" w:rsidRDefault="00221C59" w:rsidP="00221C59">
            <w:pPr>
              <w:pStyle w:val="NoSpacing"/>
              <w:rPr>
                <w:szCs w:val="20"/>
                <w:lang w:val="en-GB"/>
              </w:rPr>
            </w:pPr>
            <w:r w:rsidRPr="003A1890">
              <w:rPr>
                <w:szCs w:val="20"/>
                <w:lang w:val="en-GB"/>
              </w:rPr>
              <w:t>Step 1 Identify the transboundary surface waters and aquifers</w:t>
            </w:r>
          </w:p>
          <w:p w14:paraId="49247E4B" w14:textId="77777777" w:rsidR="00221C59" w:rsidRPr="003A1890" w:rsidRDefault="00221C59" w:rsidP="00221C59">
            <w:pPr>
              <w:pStyle w:val="NoSpacing"/>
              <w:rPr>
                <w:szCs w:val="20"/>
                <w:lang w:val="en-GB"/>
              </w:rPr>
            </w:pPr>
          </w:p>
          <w:p w14:paraId="180DEB66" w14:textId="77777777" w:rsidR="00221C59" w:rsidRPr="003A1890" w:rsidRDefault="00221C59" w:rsidP="00221C59">
            <w:pPr>
              <w:pStyle w:val="NoSpacing"/>
              <w:rPr>
                <w:szCs w:val="20"/>
                <w:lang w:val="en-GB"/>
              </w:rPr>
            </w:pPr>
            <w:r w:rsidRPr="003A1890">
              <w:rPr>
                <w:szCs w:val="20"/>
                <w:lang w:val="en-GB"/>
              </w:rPr>
              <w:t>While the identification of transboundary surface water is straightforward, the identification of transboundary aquifers requires investigations.</w:t>
            </w:r>
          </w:p>
          <w:p w14:paraId="690C6DF6" w14:textId="77777777" w:rsidR="00221C59" w:rsidRPr="003A1890" w:rsidRDefault="00221C59" w:rsidP="00221C59">
            <w:pPr>
              <w:pStyle w:val="NoSpacing"/>
              <w:rPr>
                <w:szCs w:val="20"/>
                <w:lang w:val="en-GB"/>
              </w:rPr>
            </w:pPr>
          </w:p>
          <w:p w14:paraId="1CE36244" w14:textId="77777777" w:rsidR="00221C59" w:rsidRPr="003A1890" w:rsidRDefault="00221C59" w:rsidP="00221C59">
            <w:pPr>
              <w:pStyle w:val="NoSpacing"/>
              <w:rPr>
                <w:szCs w:val="20"/>
                <w:lang w:val="en-GB"/>
              </w:rPr>
            </w:pPr>
            <w:r w:rsidRPr="003A1890">
              <w:rPr>
                <w:szCs w:val="20"/>
                <w:lang w:val="en-GB"/>
              </w:rPr>
              <w:t>If there are no transboundary surface waters or groundwaters, reporting is not applicable.</w:t>
            </w:r>
          </w:p>
          <w:p w14:paraId="5A3D93C2" w14:textId="77777777" w:rsidR="00221C59" w:rsidRPr="003A1890" w:rsidRDefault="00221C59" w:rsidP="00221C59">
            <w:pPr>
              <w:pStyle w:val="NoSpacing"/>
              <w:rPr>
                <w:szCs w:val="20"/>
                <w:lang w:val="en-GB"/>
              </w:rPr>
            </w:pPr>
          </w:p>
          <w:p w14:paraId="075A5724" w14:textId="77777777" w:rsidR="00221C59" w:rsidRPr="003A1890" w:rsidRDefault="00221C59" w:rsidP="00221C59">
            <w:pPr>
              <w:pStyle w:val="NoSpacing"/>
              <w:rPr>
                <w:szCs w:val="20"/>
                <w:lang w:val="en-GB"/>
              </w:rPr>
            </w:pPr>
            <w:r w:rsidRPr="003A1890">
              <w:rPr>
                <w:szCs w:val="20"/>
                <w:lang w:val="en-GB"/>
              </w:rPr>
              <w:t>Step 2 Calculate the surface area of each transboundary basin and the total sum</w:t>
            </w:r>
          </w:p>
          <w:p w14:paraId="2FCDB581" w14:textId="77777777" w:rsidR="00221C59" w:rsidRPr="003A1890" w:rsidRDefault="00221C59" w:rsidP="00221C59">
            <w:pPr>
              <w:pStyle w:val="NoSpacing"/>
              <w:rPr>
                <w:szCs w:val="20"/>
                <w:lang w:val="en-GB"/>
              </w:rPr>
            </w:pPr>
            <w:r w:rsidRPr="003A1890">
              <w:rPr>
                <w:szCs w:val="20"/>
                <w:lang w:val="en-GB"/>
              </w:rPr>
              <w:t xml:space="preserve">Commonly at least the basins of the rivers and lakes have been delineated through topographic maps and the basin area is known or easily measurable. </w:t>
            </w:r>
          </w:p>
          <w:p w14:paraId="01B8DCE6" w14:textId="77777777" w:rsidR="00221C59" w:rsidRPr="003A1890" w:rsidRDefault="00221C59" w:rsidP="00221C59">
            <w:pPr>
              <w:pStyle w:val="NoSpacing"/>
              <w:rPr>
                <w:szCs w:val="20"/>
                <w:lang w:val="en-GB"/>
              </w:rPr>
            </w:pPr>
          </w:p>
          <w:p w14:paraId="2BFF1E86" w14:textId="77777777" w:rsidR="00221C59" w:rsidRPr="003A1890" w:rsidRDefault="00221C59" w:rsidP="00221C59">
            <w:pPr>
              <w:pStyle w:val="NoSpacing"/>
              <w:rPr>
                <w:szCs w:val="20"/>
                <w:lang w:val="en-GB"/>
              </w:rPr>
            </w:pPr>
            <w:r w:rsidRPr="003A1890">
              <w:rPr>
                <w:szCs w:val="20"/>
                <w:lang w:val="en-GB"/>
              </w:rPr>
              <w:t xml:space="preserve">The total transboundary surface area in the country is the sum of the surface areas in the country of each of the transboundary basins and aquifers (expressed in km2). Transboundary areas for different types of systems (e.g. river basin and aquifer) or multiple aquifers may overlap. The area of </w:t>
            </w:r>
            <w:r w:rsidRPr="003A1890">
              <w:rPr>
                <w:szCs w:val="20"/>
                <w:lang w:val="en-GB"/>
              </w:rPr>
              <w:lastRenderedPageBreak/>
              <w:t xml:space="preserve">transboundary aquifers, even if located within a transboundary river basin, should be added to be able to track progress of cooperation on transboundary aquifers. </w:t>
            </w:r>
          </w:p>
          <w:p w14:paraId="7542D2A5" w14:textId="77777777" w:rsidR="00221C59" w:rsidRPr="003A1890" w:rsidRDefault="00221C59" w:rsidP="00221C59">
            <w:pPr>
              <w:pStyle w:val="NoSpacing"/>
              <w:rPr>
                <w:szCs w:val="20"/>
                <w:lang w:val="en-GB"/>
              </w:rPr>
            </w:pPr>
          </w:p>
          <w:p w14:paraId="1F97FE3A" w14:textId="77777777" w:rsidR="00221C59" w:rsidRPr="003A1890" w:rsidRDefault="00221C59" w:rsidP="00221C59">
            <w:pPr>
              <w:pStyle w:val="NoSpacing"/>
              <w:rPr>
                <w:szCs w:val="20"/>
                <w:lang w:val="en-GB"/>
              </w:rPr>
            </w:pPr>
            <w:r w:rsidRPr="003A1890">
              <w:rPr>
                <w:szCs w:val="20"/>
                <w:lang w:val="en-GB"/>
              </w:rPr>
              <w:t>The calculations can most easily be carried with Geographical Information Systems (GIS). Once generated, with appropriate tools for spatial analysis, the shapes of the surface catchments and the aquifers can be used to report both disaggregated (for the surface water basin or aquifer) and aggregated (agreement exists on either one).</w:t>
            </w:r>
          </w:p>
          <w:p w14:paraId="2500BB55" w14:textId="77777777" w:rsidR="00221C59" w:rsidRPr="003A1890" w:rsidRDefault="00221C59" w:rsidP="00221C59">
            <w:pPr>
              <w:pStyle w:val="NoSpacing"/>
              <w:rPr>
                <w:szCs w:val="20"/>
                <w:lang w:val="en-GB"/>
              </w:rPr>
            </w:pPr>
          </w:p>
          <w:p w14:paraId="281F7190" w14:textId="77777777" w:rsidR="00221C59" w:rsidRPr="003A1890" w:rsidRDefault="00221C59" w:rsidP="00221C59">
            <w:pPr>
              <w:pStyle w:val="NoSpacing"/>
              <w:rPr>
                <w:szCs w:val="20"/>
                <w:lang w:val="en-GB"/>
              </w:rPr>
            </w:pPr>
            <w:r w:rsidRPr="003A1890">
              <w:rPr>
                <w:szCs w:val="20"/>
                <w:lang w:val="en-GB"/>
              </w:rPr>
              <w:t>Step 3 Review existing arrangements for transboundary cooperation in water management and verify which transboundary waters are covered by a cooperation arrangement</w:t>
            </w:r>
          </w:p>
          <w:p w14:paraId="5954784E" w14:textId="77777777" w:rsidR="00221C59" w:rsidRPr="003A1890" w:rsidRDefault="00221C59" w:rsidP="00221C59">
            <w:pPr>
              <w:pStyle w:val="NoSpacing"/>
              <w:rPr>
                <w:szCs w:val="20"/>
                <w:lang w:val="en-GB"/>
              </w:rPr>
            </w:pPr>
            <w:r w:rsidRPr="003A1890">
              <w:rPr>
                <w:szCs w:val="20"/>
                <w:lang w:val="en-GB"/>
              </w:rPr>
              <w:t>Some operational arrangements for integrated management of transboundary waters in place cover both surface waters and groundwaters. In such cases, it should be clear that the geographical extent of both is used to calculate the indicator value.</w:t>
            </w:r>
          </w:p>
          <w:p w14:paraId="18981DC2" w14:textId="77777777" w:rsidR="00221C59" w:rsidRPr="003A1890" w:rsidRDefault="00221C59" w:rsidP="00221C59">
            <w:pPr>
              <w:pStyle w:val="NoSpacing"/>
              <w:rPr>
                <w:szCs w:val="20"/>
                <w:lang w:val="en-GB"/>
              </w:rPr>
            </w:pPr>
            <w:r w:rsidRPr="003A1890">
              <w:rPr>
                <w:szCs w:val="20"/>
                <w:lang w:val="en-GB"/>
              </w:rPr>
              <w:t xml:space="preserve">In other cases, the area of application may be limited to a border section of the watercourse and in such cases only the corresponding area should be considered as potentially having an operational arrangement for calculating the indicator value. </w:t>
            </w:r>
          </w:p>
          <w:p w14:paraId="1EBA51A7" w14:textId="77777777" w:rsidR="00221C59" w:rsidRPr="003A1890" w:rsidRDefault="00221C59" w:rsidP="00221C59">
            <w:pPr>
              <w:pStyle w:val="NoSpacing"/>
              <w:rPr>
                <w:szCs w:val="20"/>
                <w:lang w:val="en-GB"/>
              </w:rPr>
            </w:pPr>
            <w:r w:rsidRPr="003A1890">
              <w:rPr>
                <w:szCs w:val="20"/>
                <w:lang w:val="en-GB"/>
              </w:rPr>
              <w:t xml:space="preserve">At the end of this step, it should be known which transboundary basins are covered by cooperation arrangements (and their respective areas). </w:t>
            </w:r>
          </w:p>
          <w:p w14:paraId="6CDB33A8" w14:textId="77777777" w:rsidR="00221C59" w:rsidRPr="003A1890" w:rsidRDefault="00221C59" w:rsidP="00221C59">
            <w:pPr>
              <w:pStyle w:val="NoSpacing"/>
              <w:rPr>
                <w:szCs w:val="20"/>
                <w:lang w:val="en-GB"/>
              </w:rPr>
            </w:pPr>
          </w:p>
          <w:p w14:paraId="30599284" w14:textId="77777777" w:rsidR="00221C59" w:rsidRPr="003A1890" w:rsidRDefault="00221C59" w:rsidP="00221C59">
            <w:pPr>
              <w:pStyle w:val="NoSpacing"/>
              <w:rPr>
                <w:szCs w:val="20"/>
                <w:lang w:val="en-GB"/>
              </w:rPr>
            </w:pPr>
            <w:r w:rsidRPr="003A1890">
              <w:rPr>
                <w:szCs w:val="20"/>
                <w:lang w:val="en-GB"/>
              </w:rPr>
              <w:t>Step 4 Check which of the existing arrangements for transboundary cooperation in water management are operational</w:t>
            </w:r>
          </w:p>
          <w:p w14:paraId="7756ADBD" w14:textId="77777777" w:rsidR="00221C59" w:rsidRPr="003A1890" w:rsidRDefault="00221C59" w:rsidP="00221C59">
            <w:pPr>
              <w:pStyle w:val="NoSpacing"/>
              <w:rPr>
                <w:szCs w:val="20"/>
                <w:lang w:val="en-GB"/>
              </w:rPr>
            </w:pPr>
          </w:p>
          <w:p w14:paraId="5354190E" w14:textId="77777777" w:rsidR="00221C59" w:rsidRPr="003A1890" w:rsidRDefault="00221C59" w:rsidP="00221C59">
            <w:pPr>
              <w:pStyle w:val="NoSpacing"/>
              <w:rPr>
                <w:szCs w:val="20"/>
                <w:lang w:val="en-GB"/>
              </w:rPr>
            </w:pPr>
            <w:r w:rsidRPr="003A1890">
              <w:rPr>
                <w:szCs w:val="20"/>
                <w:lang w:val="en-GB"/>
              </w:rPr>
              <w:t>The following check-list allows determining whether the cooperation arrangement on a particular basin or in relation to a particular co-riparian country is operational:</w:t>
            </w:r>
          </w:p>
          <w:p w14:paraId="5C520F6B" w14:textId="77777777" w:rsidR="00221C59" w:rsidRPr="003A1890" w:rsidRDefault="00221C59" w:rsidP="00221C59">
            <w:pPr>
              <w:pStyle w:val="NoSpacing"/>
              <w:rPr>
                <w:szCs w:val="20"/>
                <w:lang w:val="en-GB"/>
              </w:rPr>
            </w:pPr>
          </w:p>
          <w:p w14:paraId="532653D6" w14:textId="77777777" w:rsidR="00221C59" w:rsidRPr="003A1890" w:rsidRDefault="00221C59" w:rsidP="00221C59">
            <w:pPr>
              <w:pStyle w:val="NoSpacing"/>
              <w:rPr>
                <w:szCs w:val="20"/>
                <w:lang w:val="en-GB"/>
              </w:rPr>
            </w:pPr>
            <w:r w:rsidRPr="003A1890">
              <w:rPr>
                <w:szCs w:val="20"/>
                <w:lang w:val="en-GB"/>
              </w:rPr>
              <w:t xml:space="preserve">- existence of a joint body, joint mechanism or commission for transboundary cooperation </w:t>
            </w:r>
          </w:p>
          <w:p w14:paraId="006B1C07" w14:textId="77777777" w:rsidR="00221C59" w:rsidRPr="003A1890" w:rsidRDefault="00221C59" w:rsidP="00221C59">
            <w:pPr>
              <w:pStyle w:val="NoSpacing"/>
              <w:rPr>
                <w:szCs w:val="20"/>
                <w:lang w:val="en-GB"/>
              </w:rPr>
            </w:pPr>
            <w:r w:rsidRPr="003A1890">
              <w:rPr>
                <w:szCs w:val="20"/>
                <w:lang w:val="en-GB"/>
              </w:rPr>
              <w:t xml:space="preserve">- regularity of formal communication in form of meetings </w:t>
            </w:r>
          </w:p>
          <w:p w14:paraId="281EDF82" w14:textId="77777777" w:rsidR="00221C59" w:rsidRPr="003A1890" w:rsidRDefault="00221C59" w:rsidP="00221C59">
            <w:pPr>
              <w:pStyle w:val="NoSpacing"/>
              <w:rPr>
                <w:szCs w:val="20"/>
                <w:lang w:val="en-GB"/>
              </w:rPr>
            </w:pPr>
            <w:r w:rsidRPr="003A1890">
              <w:rPr>
                <w:szCs w:val="20"/>
                <w:lang w:val="en-GB"/>
              </w:rPr>
              <w:t xml:space="preserve">- existence of joint or coordinated water management plan(s), or of joint objectives </w:t>
            </w:r>
          </w:p>
          <w:p w14:paraId="43714316" w14:textId="77777777" w:rsidR="00221C59" w:rsidRPr="003A1890" w:rsidRDefault="00221C59" w:rsidP="00221C59">
            <w:pPr>
              <w:pStyle w:val="NoSpacing"/>
              <w:rPr>
                <w:szCs w:val="20"/>
                <w:lang w:val="en-GB"/>
              </w:rPr>
            </w:pPr>
            <w:r w:rsidRPr="003A1890">
              <w:rPr>
                <w:szCs w:val="20"/>
                <w:lang w:val="en-GB"/>
              </w:rPr>
              <w:t xml:space="preserve">- regular exchange of information and data </w:t>
            </w:r>
          </w:p>
          <w:p w14:paraId="6B27858F" w14:textId="77777777" w:rsidR="00221C59" w:rsidRPr="003A1890" w:rsidRDefault="00221C59" w:rsidP="00221C59">
            <w:pPr>
              <w:pStyle w:val="NoSpacing"/>
              <w:rPr>
                <w:szCs w:val="20"/>
                <w:lang w:val="en-GB"/>
              </w:rPr>
            </w:pPr>
          </w:p>
          <w:p w14:paraId="663BA9F2" w14:textId="77777777" w:rsidR="00221C59" w:rsidRPr="003A1890" w:rsidRDefault="00221C59" w:rsidP="00221C59">
            <w:pPr>
              <w:pStyle w:val="NoSpacing"/>
              <w:rPr>
                <w:szCs w:val="20"/>
                <w:lang w:val="en-GB"/>
              </w:rPr>
            </w:pPr>
            <w:r w:rsidRPr="003A1890">
              <w:rPr>
                <w:szCs w:val="20"/>
                <w:lang w:val="en-GB"/>
              </w:rPr>
              <w:t>If any of the conditions is not met, the cooperation arrangement cannot be considered operational. This information is currently available in countries and can also be withdrawn from global, regional or basin reporting systems.</w:t>
            </w:r>
          </w:p>
          <w:p w14:paraId="19F39171" w14:textId="77777777" w:rsidR="00221C59" w:rsidRPr="003A1890" w:rsidRDefault="00221C59" w:rsidP="00221C59">
            <w:pPr>
              <w:pStyle w:val="NoSpacing"/>
              <w:rPr>
                <w:szCs w:val="20"/>
                <w:lang w:val="en-GB"/>
              </w:rPr>
            </w:pPr>
          </w:p>
          <w:p w14:paraId="301F5E70" w14:textId="77777777" w:rsidR="00221C59" w:rsidRPr="003A1890" w:rsidRDefault="00221C59" w:rsidP="00221C59">
            <w:pPr>
              <w:pStyle w:val="NoSpacing"/>
              <w:rPr>
                <w:szCs w:val="20"/>
                <w:lang w:val="en-GB"/>
              </w:rPr>
            </w:pPr>
            <w:r w:rsidRPr="003A1890">
              <w:rPr>
                <w:szCs w:val="20"/>
                <w:lang w:val="en-GB"/>
              </w:rPr>
              <w:t xml:space="preserve">Step 5 </w:t>
            </w:r>
          </w:p>
          <w:p w14:paraId="3E76C5FB" w14:textId="77777777" w:rsidR="00221C59" w:rsidRPr="003A1890" w:rsidRDefault="00221C59" w:rsidP="00221C59">
            <w:pPr>
              <w:pStyle w:val="NoSpacing"/>
              <w:rPr>
                <w:szCs w:val="20"/>
                <w:lang w:val="en-GB"/>
              </w:rPr>
            </w:pPr>
            <w:r w:rsidRPr="003A1890">
              <w:rPr>
                <w:szCs w:val="20"/>
                <w:lang w:val="en-GB"/>
              </w:rPr>
              <w:t xml:space="preserve">Calculate the indicator value, that is, the area share by adding up the surface area in the country of those transboundary surface water basins or aquifers that are covered by an operational cooperation arrangement and dividing it by the total summed up area in the country of all transboundary basins </w:t>
            </w:r>
            <w:r w:rsidRPr="003A1890">
              <w:rPr>
                <w:szCs w:val="20"/>
                <w:lang w:val="en-GB"/>
              </w:rPr>
              <w:lastRenderedPageBreak/>
              <w:t>(including aquifers), multiplied by 100 to obtain a percentage share."</w:t>
            </w:r>
          </w:p>
          <w:p w14:paraId="6D95F91C" w14:textId="77777777" w:rsidR="00221C59" w:rsidRPr="003A1890" w:rsidRDefault="00221C59" w:rsidP="00221C59">
            <w:pPr>
              <w:pStyle w:val="NoSpacing"/>
              <w:rPr>
                <w:rStyle w:val="fontstyle01"/>
                <w:rFonts w:ascii="Tw Cen MT Condensed" w:hAnsi="Tw Cen MT Condensed"/>
                <w:b w:val="0"/>
                <w:bCs w:val="0"/>
              </w:rPr>
            </w:pPr>
          </w:p>
        </w:tc>
        <w:tc>
          <w:tcPr>
            <w:tcW w:w="0" w:type="auto"/>
            <w:shd w:val="clear" w:color="auto" w:fill="auto"/>
          </w:tcPr>
          <w:p w14:paraId="2D829997" w14:textId="77777777" w:rsidR="00221C59" w:rsidRPr="007243FC" w:rsidRDefault="00221C59" w:rsidP="00221C59">
            <w:pPr>
              <w:jc w:val="center"/>
              <w:rPr>
                <w:bCs/>
                <w:szCs w:val="20"/>
              </w:rPr>
            </w:pPr>
            <w:r w:rsidRPr="00873FDE">
              <w:lastRenderedPageBreak/>
              <w:t>Administrative record</w:t>
            </w:r>
          </w:p>
        </w:tc>
        <w:tc>
          <w:tcPr>
            <w:tcW w:w="0" w:type="auto"/>
            <w:shd w:val="clear" w:color="auto" w:fill="auto"/>
          </w:tcPr>
          <w:p w14:paraId="064AF76C" w14:textId="77777777" w:rsidR="00221C59" w:rsidRPr="007243FC" w:rsidRDefault="00221C59" w:rsidP="00221C59">
            <w:pPr>
              <w:pStyle w:val="NoSpacing"/>
              <w:rPr>
                <w:bCs/>
                <w:szCs w:val="20"/>
              </w:rPr>
            </w:pPr>
            <w:r w:rsidRPr="00873FDE">
              <w:t>Ministries or agencies responsible for water resources.</w:t>
            </w:r>
          </w:p>
        </w:tc>
        <w:tc>
          <w:tcPr>
            <w:tcW w:w="0" w:type="auto"/>
            <w:shd w:val="clear" w:color="auto" w:fill="auto"/>
          </w:tcPr>
          <w:p w14:paraId="05029B3E" w14:textId="77777777" w:rsidR="00221C59" w:rsidRPr="00671D7C" w:rsidRDefault="00221C59" w:rsidP="00221C59">
            <w:pPr>
              <w:rPr>
                <w:szCs w:val="20"/>
              </w:rPr>
            </w:pPr>
            <w:r w:rsidRPr="00671D7C">
              <w:rPr>
                <w:szCs w:val="20"/>
              </w:rPr>
              <w:t>MoWR (JRC)</w:t>
            </w:r>
          </w:p>
          <w:p w14:paraId="500A450E" w14:textId="77777777" w:rsidR="00221C59" w:rsidRPr="007243FC" w:rsidRDefault="00221C59" w:rsidP="00221C59">
            <w:pPr>
              <w:rPr>
                <w:rFonts w:eastAsia="Times New Roman" w:cs="Times New Roman"/>
                <w:color w:val="000000" w:themeColor="text1"/>
                <w:szCs w:val="20"/>
              </w:rPr>
            </w:pPr>
          </w:p>
        </w:tc>
        <w:tc>
          <w:tcPr>
            <w:tcW w:w="0" w:type="auto"/>
            <w:shd w:val="clear" w:color="auto" w:fill="auto"/>
          </w:tcPr>
          <w:p w14:paraId="35081862" w14:textId="77777777" w:rsidR="00221C59" w:rsidRPr="00671D7C" w:rsidRDefault="00221C59" w:rsidP="00221C59">
            <w:pPr>
              <w:rPr>
                <w:szCs w:val="20"/>
              </w:rPr>
            </w:pPr>
            <w:r w:rsidRPr="00671D7C">
              <w:rPr>
                <w:szCs w:val="20"/>
              </w:rPr>
              <w:t>MoWR (JRC)</w:t>
            </w:r>
          </w:p>
          <w:p w14:paraId="129C2977" w14:textId="77777777" w:rsidR="00221C59" w:rsidRPr="007243FC" w:rsidRDefault="00221C59" w:rsidP="00221C59">
            <w:pPr>
              <w:rPr>
                <w:rFonts w:eastAsia="Times New Roman" w:cs="Times New Roman"/>
                <w:color w:val="000000" w:themeColor="text1"/>
                <w:szCs w:val="20"/>
              </w:rPr>
            </w:pPr>
            <w:r>
              <w:rPr>
                <w:szCs w:val="20"/>
              </w:rPr>
              <w:t>Administrative Data</w:t>
            </w:r>
          </w:p>
        </w:tc>
        <w:tc>
          <w:tcPr>
            <w:tcW w:w="0" w:type="auto"/>
            <w:shd w:val="clear" w:color="auto" w:fill="auto"/>
          </w:tcPr>
          <w:p w14:paraId="03DA4BE0" w14:textId="57AEE6A2" w:rsidR="00FE053A" w:rsidRDefault="00FE053A" w:rsidP="00221C59">
            <w:pPr>
              <w:rPr>
                <w:szCs w:val="20"/>
              </w:rPr>
            </w:pPr>
          </w:p>
          <w:p w14:paraId="1EF58252" w14:textId="689D7FA7" w:rsidR="00FE053A" w:rsidRDefault="00FE053A" w:rsidP="00221C59">
            <w:r>
              <w:t xml:space="preserve">• </w:t>
            </w:r>
            <w:r w:rsidRPr="00FE053A">
              <w:t>country level</w:t>
            </w:r>
          </w:p>
          <w:p w14:paraId="39335DD2" w14:textId="1B229DF1" w:rsidR="00FE053A" w:rsidRDefault="00FE053A" w:rsidP="00FE053A">
            <w:r>
              <w:t>• Regional</w:t>
            </w:r>
            <w:r w:rsidRPr="00FE053A">
              <w:t xml:space="preserve"> level</w:t>
            </w:r>
            <w:r w:rsidR="004D379C">
              <w:t>: Division</w:t>
            </w:r>
          </w:p>
          <w:p w14:paraId="0BEF871C" w14:textId="3529C84A" w:rsidR="00FE053A" w:rsidRPr="00012E4A" w:rsidRDefault="00FE053A" w:rsidP="00221C59"/>
        </w:tc>
        <w:tc>
          <w:tcPr>
            <w:tcW w:w="0" w:type="auto"/>
            <w:shd w:val="clear" w:color="auto" w:fill="auto"/>
          </w:tcPr>
          <w:p w14:paraId="7F1EFE95" w14:textId="77777777" w:rsidR="00221C59" w:rsidRPr="00671D7C" w:rsidRDefault="00221C59" w:rsidP="00221C59">
            <w:pPr>
              <w:spacing w:line="276" w:lineRule="auto"/>
              <w:rPr>
                <w:szCs w:val="20"/>
              </w:rPr>
            </w:pPr>
            <w:r w:rsidRPr="00671D7C">
              <w:rPr>
                <w:szCs w:val="20"/>
              </w:rPr>
              <w:t>5-yearly</w:t>
            </w:r>
          </w:p>
        </w:tc>
        <w:tc>
          <w:tcPr>
            <w:tcW w:w="0" w:type="auto"/>
            <w:shd w:val="clear" w:color="auto" w:fill="auto"/>
          </w:tcPr>
          <w:p w14:paraId="631989EC"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1</w:t>
            </w:r>
          </w:p>
          <w:p w14:paraId="65CCFCDF"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tcPr>
          <w:p w14:paraId="040DE490" w14:textId="77777777" w:rsidR="00221C59" w:rsidRDefault="00221C59" w:rsidP="00221C59">
            <w:pPr>
              <w:pStyle w:val="NoSpacing"/>
            </w:pPr>
            <w:r>
              <w:t>1</w:t>
            </w:r>
            <w:r w:rsidRPr="00013ACB">
              <w:rPr>
                <w:vertAlign w:val="superscript"/>
              </w:rPr>
              <w:t>st</w:t>
            </w:r>
            <w:r>
              <w:t xml:space="preserve"> Round: </w:t>
            </w:r>
          </w:p>
          <w:p w14:paraId="24060ADB" w14:textId="77777777" w:rsidR="00221C59" w:rsidRDefault="00221C59" w:rsidP="00221C59">
            <w:pPr>
              <w:pStyle w:val="NoSpacing"/>
            </w:pPr>
            <w:r>
              <w:t>2018</w:t>
            </w:r>
          </w:p>
          <w:p w14:paraId="16DB4349" w14:textId="77777777" w:rsidR="00221C59" w:rsidRDefault="00221C59" w:rsidP="00221C59">
            <w:pPr>
              <w:pStyle w:val="NoSpacing"/>
            </w:pPr>
            <w:r>
              <w:t>2</w:t>
            </w:r>
            <w:r w:rsidRPr="00013ACB">
              <w:rPr>
                <w:vertAlign w:val="superscript"/>
              </w:rPr>
              <w:t>nd</w:t>
            </w:r>
            <w:r>
              <w:t xml:space="preserve"> Round: </w:t>
            </w:r>
          </w:p>
          <w:p w14:paraId="74B1052F" w14:textId="77777777" w:rsidR="00221C59" w:rsidRDefault="00221C59" w:rsidP="00221C59">
            <w:pPr>
              <w:pStyle w:val="NoSpacing"/>
              <w:rPr>
                <w:szCs w:val="20"/>
              </w:rPr>
            </w:pPr>
            <w:r w:rsidRPr="00671D7C">
              <w:rPr>
                <w:szCs w:val="20"/>
              </w:rPr>
              <w:t>December</w:t>
            </w:r>
            <w:r>
              <w:rPr>
                <w:szCs w:val="20"/>
              </w:rPr>
              <w:t xml:space="preserve"> </w:t>
            </w:r>
            <w:r w:rsidRPr="00671D7C">
              <w:rPr>
                <w:szCs w:val="20"/>
              </w:rPr>
              <w:t>2020</w:t>
            </w:r>
          </w:p>
          <w:p w14:paraId="4620C8B8" w14:textId="77777777" w:rsidR="00221C59" w:rsidRDefault="00221C59" w:rsidP="00221C59">
            <w:pPr>
              <w:pStyle w:val="NoSpacing"/>
            </w:pPr>
          </w:p>
          <w:p w14:paraId="72C1235E" w14:textId="77777777" w:rsidR="00221C59" w:rsidRDefault="00221C59" w:rsidP="00221C59">
            <w:pPr>
              <w:pStyle w:val="NoSpacing"/>
            </w:pPr>
            <w:r>
              <w:t>3</w:t>
            </w:r>
            <w:r w:rsidRPr="00013ACB">
              <w:rPr>
                <w:vertAlign w:val="superscript"/>
              </w:rPr>
              <w:t>rd</w:t>
            </w:r>
            <w:r>
              <w:t xml:space="preserve"> Round: </w:t>
            </w:r>
          </w:p>
          <w:p w14:paraId="7676B5E5" w14:textId="77777777" w:rsidR="00221C59" w:rsidRDefault="00221C59" w:rsidP="00221C59">
            <w:pPr>
              <w:pStyle w:val="NoSpacing"/>
              <w:rPr>
                <w:szCs w:val="20"/>
              </w:rPr>
            </w:pPr>
            <w:r w:rsidRPr="00671D7C">
              <w:rPr>
                <w:szCs w:val="20"/>
              </w:rPr>
              <w:t>December</w:t>
            </w:r>
            <w:r>
              <w:rPr>
                <w:szCs w:val="20"/>
              </w:rPr>
              <w:t xml:space="preserve"> 2025</w:t>
            </w:r>
          </w:p>
          <w:p w14:paraId="432D0FFF" w14:textId="77777777" w:rsidR="00221C59" w:rsidRDefault="00221C59" w:rsidP="00221C59">
            <w:pPr>
              <w:pStyle w:val="NoSpacing"/>
            </w:pPr>
          </w:p>
          <w:p w14:paraId="32CB8294" w14:textId="77777777" w:rsidR="00221C59" w:rsidRDefault="00221C59" w:rsidP="00221C59">
            <w:pPr>
              <w:pStyle w:val="NoSpacing"/>
            </w:pPr>
            <w:r>
              <w:t>4</w:t>
            </w:r>
            <w:r w:rsidRPr="00013ACB">
              <w:rPr>
                <w:vertAlign w:val="superscript"/>
              </w:rPr>
              <w:t>th</w:t>
            </w:r>
            <w:r>
              <w:t xml:space="preserve"> Round: </w:t>
            </w:r>
          </w:p>
          <w:p w14:paraId="445D328B" w14:textId="1315B6C1" w:rsidR="00221C59" w:rsidRPr="00BC6F10" w:rsidRDefault="00221C59" w:rsidP="00221C59">
            <w:pPr>
              <w:rPr>
                <w:szCs w:val="22"/>
              </w:rPr>
            </w:pPr>
            <w:r w:rsidRPr="00671D7C">
              <w:rPr>
                <w:szCs w:val="20"/>
              </w:rPr>
              <w:t>December</w:t>
            </w:r>
            <w:r>
              <w:rPr>
                <w:szCs w:val="20"/>
              </w:rPr>
              <w:t xml:space="preserve"> 2030</w:t>
            </w:r>
          </w:p>
        </w:tc>
        <w:tc>
          <w:tcPr>
            <w:tcW w:w="0" w:type="auto"/>
            <w:shd w:val="clear" w:color="auto" w:fill="auto"/>
          </w:tcPr>
          <w:p w14:paraId="4668E2FA" w14:textId="77777777" w:rsidR="00221C59" w:rsidRDefault="00221C59" w:rsidP="00221C59">
            <w:pPr>
              <w:ind w:left="-40"/>
              <w:jc w:val="both"/>
              <w:rPr>
                <w:bCs/>
                <w:szCs w:val="20"/>
              </w:rPr>
            </w:pPr>
          </w:p>
          <w:p w14:paraId="40D85A8D" w14:textId="77777777" w:rsidR="00221C59" w:rsidRDefault="00221C59" w:rsidP="00221C59">
            <w:pPr>
              <w:rPr>
                <w:szCs w:val="20"/>
              </w:rPr>
            </w:pPr>
          </w:p>
          <w:p w14:paraId="4716A2DF" w14:textId="77777777" w:rsidR="00221C59" w:rsidRPr="0034566F" w:rsidRDefault="00221C59" w:rsidP="00221C59">
            <w:pPr>
              <w:rPr>
                <w:szCs w:val="20"/>
              </w:rPr>
            </w:pPr>
            <w:r w:rsidRPr="0034566F">
              <w:rPr>
                <w:szCs w:val="20"/>
              </w:rPr>
              <w:t>Data availability reviewed in Nov. 2018  (classified as Tier I)</w:t>
            </w:r>
          </w:p>
          <w:p w14:paraId="4A732213" w14:textId="77777777" w:rsidR="00221C59" w:rsidRPr="0034566F" w:rsidRDefault="00221C59" w:rsidP="00221C59">
            <w:pPr>
              <w:rPr>
                <w:szCs w:val="20"/>
              </w:rPr>
            </w:pPr>
          </w:p>
          <w:p w14:paraId="3DEEFD4E" w14:textId="77777777" w:rsidR="00221C59" w:rsidRPr="0034566F" w:rsidRDefault="00221C59" w:rsidP="00221C59">
            <w:pPr>
              <w:rPr>
                <w:szCs w:val="20"/>
              </w:rPr>
            </w:pPr>
            <w:r w:rsidRPr="0034566F">
              <w:rPr>
                <w:szCs w:val="20"/>
              </w:rPr>
              <w:t>Fast Track; Reviewed at 5th IAEG-SDG meeting (classified as Tier II)</w:t>
            </w:r>
          </w:p>
        </w:tc>
      </w:tr>
      <w:tr w:rsidR="00221C59" w14:paraId="4FF0D9F3" w14:textId="77777777" w:rsidTr="0085651F">
        <w:tc>
          <w:tcPr>
            <w:tcW w:w="0" w:type="auto"/>
            <w:tcBorders>
              <w:right w:val="single" w:sz="4" w:space="0" w:color="auto"/>
            </w:tcBorders>
            <w:shd w:val="clear" w:color="auto" w:fill="auto"/>
          </w:tcPr>
          <w:p w14:paraId="6E069E93" w14:textId="77777777" w:rsidR="00221C59" w:rsidRPr="007243FC" w:rsidRDefault="00221C59" w:rsidP="00221C59">
            <w:pPr>
              <w:ind w:left="-40"/>
              <w:jc w:val="both"/>
              <w:rPr>
                <w:bCs/>
                <w:szCs w:val="20"/>
              </w:rPr>
            </w:pPr>
          </w:p>
        </w:tc>
        <w:tc>
          <w:tcPr>
            <w:tcW w:w="0" w:type="auto"/>
            <w:gridSpan w:val="12"/>
            <w:tcBorders>
              <w:left w:val="single" w:sz="4" w:space="0" w:color="auto"/>
            </w:tcBorders>
            <w:shd w:val="clear" w:color="auto" w:fill="auto"/>
          </w:tcPr>
          <w:p w14:paraId="0EFE618B" w14:textId="77777777" w:rsidR="00221C59" w:rsidRPr="00423FEB" w:rsidRDefault="00221C59" w:rsidP="00221C59">
            <w:pPr>
              <w:ind w:left="-40"/>
              <w:rPr>
                <w:bCs/>
                <w:color w:val="0070C0"/>
                <w:sz w:val="30"/>
                <w:szCs w:val="30"/>
              </w:rPr>
            </w:pPr>
            <w:r>
              <w:rPr>
                <w:color w:val="0070C0"/>
                <w:sz w:val="30"/>
                <w:szCs w:val="30"/>
              </w:rPr>
              <w:t>Target</w:t>
            </w:r>
            <w:r w:rsidRPr="00423FEB">
              <w:rPr>
                <w:bCs/>
                <w:color w:val="0070C0"/>
                <w:sz w:val="30"/>
                <w:szCs w:val="30"/>
              </w:rPr>
              <w:t xml:space="preserve"> 6.6</w:t>
            </w:r>
            <w:r>
              <w:rPr>
                <w:color w:val="0070C0"/>
                <w:sz w:val="30"/>
                <w:szCs w:val="30"/>
              </w:rPr>
              <w:t>:</w:t>
            </w:r>
            <w:r w:rsidRPr="00423FEB">
              <w:rPr>
                <w:bCs/>
                <w:color w:val="0070C0"/>
                <w:sz w:val="30"/>
                <w:szCs w:val="30"/>
              </w:rPr>
              <w:t xml:space="preserve"> By 2020, protect and restore water-related ecosystems, including mountains, forests, wetlands, rivers, aquifers and lakes</w:t>
            </w:r>
          </w:p>
        </w:tc>
      </w:tr>
      <w:tr w:rsidR="00DB32C0" w14:paraId="3C3BDE57" w14:textId="77777777" w:rsidTr="0085651F">
        <w:tc>
          <w:tcPr>
            <w:tcW w:w="0" w:type="auto"/>
            <w:shd w:val="clear" w:color="auto" w:fill="auto"/>
          </w:tcPr>
          <w:p w14:paraId="65E631EA" w14:textId="77777777" w:rsidR="00221C59" w:rsidRPr="004826CD" w:rsidRDefault="00221C59" w:rsidP="00221C59">
            <w:pPr>
              <w:jc w:val="both"/>
              <w:rPr>
                <w:szCs w:val="20"/>
              </w:rPr>
            </w:pPr>
            <w:r w:rsidRPr="004826CD">
              <w:rPr>
                <w:szCs w:val="20"/>
              </w:rPr>
              <w:t>6.6.1 Change in the extent of water-related ecosystems over time</w:t>
            </w:r>
          </w:p>
        </w:tc>
        <w:tc>
          <w:tcPr>
            <w:tcW w:w="0" w:type="auto"/>
            <w:shd w:val="clear" w:color="auto" w:fill="auto"/>
          </w:tcPr>
          <w:p w14:paraId="4B15DAC3" w14:textId="77777777" w:rsidR="00221C59" w:rsidRPr="0097196B" w:rsidRDefault="00221C59" w:rsidP="00221C59">
            <w:pPr>
              <w:rPr>
                <w:szCs w:val="20"/>
              </w:rPr>
            </w:pPr>
            <w:r w:rsidRPr="0097196B">
              <w:rPr>
                <w:szCs w:val="20"/>
              </w:rPr>
              <w:t>UNEP,</w:t>
            </w:r>
          </w:p>
          <w:p w14:paraId="2076553E" w14:textId="77777777" w:rsidR="00221C59" w:rsidRDefault="00221C59" w:rsidP="00221C59">
            <w:pPr>
              <w:rPr>
                <w:szCs w:val="20"/>
              </w:rPr>
            </w:pPr>
            <w:r w:rsidRPr="0097196B">
              <w:rPr>
                <w:szCs w:val="20"/>
              </w:rPr>
              <w:t>Ramsar</w:t>
            </w:r>
          </w:p>
          <w:p w14:paraId="76B0DC4C" w14:textId="77777777" w:rsidR="00221C59" w:rsidRDefault="00221C59" w:rsidP="00221C59">
            <w:pPr>
              <w:rPr>
                <w:szCs w:val="20"/>
              </w:rPr>
            </w:pPr>
          </w:p>
          <w:p w14:paraId="7A005953" w14:textId="77777777" w:rsidR="00221C59" w:rsidRDefault="00221C59" w:rsidP="00221C59">
            <w:pPr>
              <w:rPr>
                <w:b/>
                <w:bCs/>
                <w:szCs w:val="20"/>
              </w:rPr>
            </w:pPr>
            <w:r w:rsidRPr="007243FC">
              <w:rPr>
                <w:b/>
                <w:bCs/>
                <w:szCs w:val="20"/>
              </w:rPr>
              <w:t>Partner Agencies:</w:t>
            </w:r>
          </w:p>
          <w:p w14:paraId="7A6FBFF5" w14:textId="77777777" w:rsidR="00221C59" w:rsidRPr="0097196B" w:rsidRDefault="00221C59" w:rsidP="00221C59">
            <w:pPr>
              <w:rPr>
                <w:szCs w:val="20"/>
              </w:rPr>
            </w:pPr>
            <w:r w:rsidRPr="0097196B">
              <w:rPr>
                <w:szCs w:val="20"/>
              </w:rPr>
              <w:t>UN-Water,</w:t>
            </w:r>
          </w:p>
          <w:p w14:paraId="2C240F1E" w14:textId="77777777" w:rsidR="00221C59" w:rsidRPr="0097196B" w:rsidRDefault="00221C59" w:rsidP="00221C59">
            <w:pPr>
              <w:rPr>
                <w:szCs w:val="20"/>
              </w:rPr>
            </w:pPr>
            <w:r w:rsidRPr="0097196B">
              <w:rPr>
                <w:szCs w:val="20"/>
              </w:rPr>
              <w:t>IUCN</w:t>
            </w:r>
          </w:p>
          <w:p w14:paraId="7E64C823" w14:textId="77777777" w:rsidR="00221C59" w:rsidRPr="007243FC" w:rsidRDefault="00221C59" w:rsidP="00221C59">
            <w:pPr>
              <w:rPr>
                <w:szCs w:val="20"/>
              </w:rPr>
            </w:pPr>
          </w:p>
        </w:tc>
        <w:tc>
          <w:tcPr>
            <w:tcW w:w="825" w:type="dxa"/>
            <w:shd w:val="clear" w:color="auto" w:fill="auto"/>
          </w:tcPr>
          <w:p w14:paraId="7B5EE989" w14:textId="77777777" w:rsidR="00221C59" w:rsidRPr="0097196B" w:rsidRDefault="00221C59" w:rsidP="00221C59">
            <w:pPr>
              <w:rPr>
                <w:szCs w:val="20"/>
              </w:rPr>
            </w:pPr>
            <w:r w:rsidRPr="0097196B">
              <w:rPr>
                <w:szCs w:val="20"/>
              </w:rPr>
              <w:t>Tier I</w:t>
            </w:r>
          </w:p>
        </w:tc>
        <w:tc>
          <w:tcPr>
            <w:tcW w:w="6373" w:type="dxa"/>
            <w:shd w:val="clear" w:color="auto" w:fill="auto"/>
          </w:tcPr>
          <w:p w14:paraId="033232AC" w14:textId="77777777" w:rsidR="00221C59" w:rsidRPr="000C4849" w:rsidRDefault="00221C59" w:rsidP="00221C59">
            <w:pPr>
              <w:rPr>
                <w:rFonts w:eastAsia="Times New Roman" w:cs="Times New Roman"/>
                <w:b/>
                <w:bCs/>
                <w:color w:val="000000" w:themeColor="text1"/>
                <w:szCs w:val="20"/>
                <w:lang w:eastAsia="en-GB"/>
              </w:rPr>
            </w:pPr>
            <w:r>
              <w:rPr>
                <w:rFonts w:eastAsia="Times New Roman" w:cs="Times New Roman"/>
                <w:b/>
                <w:bCs/>
                <w:color w:val="000000" w:themeColor="text1"/>
                <w:szCs w:val="20"/>
                <w:lang w:eastAsia="en-GB"/>
              </w:rPr>
              <w:t>a)</w:t>
            </w:r>
            <w:r w:rsidRPr="000C4849">
              <w:rPr>
                <w:rFonts w:eastAsia="Times New Roman" w:cs="Times New Roman"/>
                <w:b/>
                <w:bCs/>
                <w:color w:val="000000" w:themeColor="text1"/>
                <w:szCs w:val="20"/>
                <w:lang w:eastAsia="en-GB"/>
              </w:rPr>
              <w:t>Definition:</w:t>
            </w:r>
          </w:p>
          <w:p w14:paraId="37CE9460"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The indicator includes five categories: 1) vegetated wetlands, 2) rivers and estuaries, 3) lakes, 4) aquifers, and 5) artificial waterbodies. For purposes of this methodology, the text refers only to these five ecosystem category terminologies. To address its complexity, Indicator 6.6.1 has been divided into 5 Sub-Indicators to capture the various data sources and methodologies required for monitoring components of the Indicator. Data sources come from a combination of ground sampling and earth observations. Depending on the type of ecosystem and the type of extent being measured, the data collection methodology can also differ greatly. A progressive monitoring approach with two levels is proposed:</w:t>
            </w:r>
          </w:p>
          <w:p w14:paraId="0B1F00F2" w14:textId="77777777" w:rsidR="00221C59" w:rsidRPr="00B36A5C" w:rsidRDefault="00221C59" w:rsidP="00221C59">
            <w:pPr>
              <w:jc w:val="both"/>
              <w:rPr>
                <w:rFonts w:eastAsia="Times New Roman" w:cs="Times New Roman"/>
                <w:color w:val="000000" w:themeColor="text1"/>
                <w:szCs w:val="20"/>
                <w:lang w:eastAsia="en-GB"/>
              </w:rPr>
            </w:pPr>
          </w:p>
          <w:p w14:paraId="3F73F4C5"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Level 1: 2 Sub-Indicators based on globally available data from earth observations which will be validated by countries against their own methodologies and datasets: </w:t>
            </w:r>
          </w:p>
          <w:p w14:paraId="5E81ED86"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w:t>
            </w:r>
            <w:r w:rsidRPr="00B36A5C">
              <w:rPr>
                <w:rFonts w:eastAsia="Times New Roman" w:cs="Times New Roman"/>
                <w:color w:val="000000" w:themeColor="text1"/>
                <w:szCs w:val="20"/>
                <w:lang w:eastAsia="en-GB"/>
              </w:rPr>
              <w:tab/>
              <w:t xml:space="preserve">Sub-Indicator 1 – spatial extent of water-related ecosystems </w:t>
            </w:r>
          </w:p>
          <w:p w14:paraId="39822438"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w:t>
            </w:r>
            <w:r w:rsidRPr="00B36A5C">
              <w:rPr>
                <w:rFonts w:eastAsia="Times New Roman" w:cs="Times New Roman"/>
                <w:color w:val="000000" w:themeColor="text1"/>
                <w:szCs w:val="20"/>
                <w:lang w:eastAsia="en-GB"/>
              </w:rPr>
              <w:tab/>
              <w:t>Sub-Indicator 2 – water quality of lakes and artificial water bodies</w:t>
            </w:r>
          </w:p>
          <w:p w14:paraId="50B43975"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Level 2: Data collected by countries through 3 Sub-Indicators:</w:t>
            </w:r>
          </w:p>
          <w:p w14:paraId="2D0D116D"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w:t>
            </w:r>
            <w:r w:rsidRPr="00B36A5C">
              <w:rPr>
                <w:rFonts w:eastAsia="Times New Roman" w:cs="Times New Roman"/>
                <w:color w:val="000000" w:themeColor="text1"/>
                <w:szCs w:val="20"/>
                <w:lang w:eastAsia="en-GB"/>
              </w:rPr>
              <w:tab/>
              <w:t>Sub-Indicator 3 – quantity of water (discharge) in rivers and estuaries</w:t>
            </w:r>
          </w:p>
          <w:p w14:paraId="696246DB"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w:t>
            </w:r>
            <w:r w:rsidRPr="00B36A5C">
              <w:rPr>
                <w:rFonts w:eastAsia="Times New Roman" w:cs="Times New Roman"/>
                <w:color w:val="000000" w:themeColor="text1"/>
                <w:szCs w:val="20"/>
                <w:lang w:eastAsia="en-GB"/>
              </w:rPr>
              <w:tab/>
              <w:t xml:space="preserve">Sub-Indicator 4 – water quality imported from SDG Indicator 6.3.2 </w:t>
            </w:r>
          </w:p>
          <w:p w14:paraId="7A452B9A"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w:t>
            </w:r>
            <w:r w:rsidRPr="00B36A5C">
              <w:rPr>
                <w:rFonts w:eastAsia="Times New Roman" w:cs="Times New Roman"/>
                <w:color w:val="000000" w:themeColor="text1"/>
                <w:szCs w:val="20"/>
                <w:lang w:eastAsia="en-GB"/>
              </w:rPr>
              <w:tab/>
              <w:t>Sub-Indicator 5 – quantity of groundwater within aquifers</w:t>
            </w:r>
          </w:p>
          <w:p w14:paraId="4AA6B04D" w14:textId="77777777" w:rsidR="00221C59" w:rsidRPr="00B36A5C" w:rsidRDefault="00221C59" w:rsidP="00221C59">
            <w:pPr>
              <w:jc w:val="both"/>
              <w:rPr>
                <w:rFonts w:eastAsia="Times New Roman" w:cs="Times New Roman"/>
                <w:color w:val="000000" w:themeColor="text1"/>
                <w:szCs w:val="20"/>
                <w:lang w:eastAsia="en-GB"/>
              </w:rPr>
            </w:pPr>
          </w:p>
          <w:p w14:paraId="77C64F76"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A full methodology for this indicator is available in the document entitled, “Monitoring Methodology for SDG Indicator 6.6.1”.</w:t>
            </w:r>
          </w:p>
          <w:p w14:paraId="0DE36BBD" w14:textId="77777777" w:rsidR="00221C59" w:rsidRPr="00B36A5C" w:rsidRDefault="00221C59" w:rsidP="00221C59">
            <w:pPr>
              <w:rPr>
                <w:rFonts w:eastAsia="Times New Roman" w:cs="Times New Roman"/>
                <w:color w:val="000000" w:themeColor="text1"/>
                <w:szCs w:val="20"/>
                <w:lang w:eastAsia="en-GB"/>
              </w:rPr>
            </w:pPr>
          </w:p>
          <w:p w14:paraId="68A8ED87" w14:textId="77777777" w:rsidR="00221C59" w:rsidRPr="00B36A5C" w:rsidRDefault="00221C59" w:rsidP="00221C59">
            <w:pPr>
              <w:rPr>
                <w:rFonts w:eastAsia="Times New Roman" w:cs="Times New Roman"/>
                <w:color w:val="000000" w:themeColor="text1"/>
                <w:szCs w:val="20"/>
                <w:lang w:eastAsia="en-GB"/>
              </w:rPr>
            </w:pPr>
            <w:r w:rsidRPr="00B36A5C">
              <w:rPr>
                <w:rFonts w:eastAsia="Times New Roman" w:cs="Times New Roman"/>
                <w:b/>
                <w:bCs/>
                <w:color w:val="000000" w:themeColor="text1"/>
                <w:szCs w:val="20"/>
                <w:lang w:eastAsia="en-GB"/>
              </w:rPr>
              <w:t>Concepts:</w:t>
            </w:r>
          </w:p>
          <w:p w14:paraId="33AD32E7" w14:textId="77777777" w:rsidR="00221C59" w:rsidRPr="00B36A5C" w:rsidRDefault="00221C59" w:rsidP="00221C59">
            <w:pPr>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The concepts and definitions used in the methodology have been based on existing international frameworks and glossaries unless where indicated otherwise below.</w:t>
            </w:r>
          </w:p>
          <w:p w14:paraId="1686A01D"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Water-related ecosystems – </w:t>
            </w:r>
            <w:bookmarkStart w:id="1" w:name="_Hlk507764451"/>
            <w:r w:rsidRPr="00B36A5C">
              <w:rPr>
                <w:rFonts w:eastAsia="Times New Roman" w:cs="Times New Roman"/>
                <w:color w:val="000000" w:themeColor="text1"/>
                <w:szCs w:val="20"/>
                <w:lang w:eastAsia="en-GB"/>
              </w:rPr>
              <w:t xml:space="preserve">includes five categories: 1) vegetated wetlands, 2) rivers and estuaries, 3) lakes, 4) aquifers, and 5) artificial waterbodies. For purposes of this methodology, the text refers only to these five ecosystem category terminologies. The majority of water-related ecosystem types monitored in Indicator 6.6.1 contain freshwater, with the exception of mangroves and estuaries which contain brackish waters and are included in Indicator 6.6.1. Ecosystems containing or within salt waters are not included as these are covered within other SDG indicators (Goal 14). Other categories of wetlands aligning with the Ramsar Convention definitions are captured within the ecosystem category of ‘vegetated wetlands’. </w:t>
            </w:r>
            <w:bookmarkEnd w:id="1"/>
          </w:p>
          <w:p w14:paraId="45B923FE"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Vegetated Wetlands – the water-related ecosystem category of vegetated wetlands includes swamps, fens, peatlands, marshes, paddies, and mangroves. This definition is closely related to the Ramsar </w:t>
            </w:r>
            <w:r w:rsidRPr="00B36A5C">
              <w:rPr>
                <w:rFonts w:eastAsia="Times New Roman" w:cs="Times New Roman"/>
                <w:color w:val="000000" w:themeColor="text1"/>
                <w:szCs w:val="20"/>
                <w:lang w:eastAsia="en-GB"/>
              </w:rPr>
              <w:lastRenderedPageBreak/>
              <w:t>Convention on Wetlands definition of wetlands, which is: “areas of marsh, fen, peatland or water, whether natural or artificial, permanent or temporary, with water that is static or flowing, fresh, brackish or salt, including areas of marine water the depth of which at low tide does not exceed six metres” with the exception that salt waters are not included in Indicator 6.6.1 reporting (as they are covered in SDG 14) and with the exception that vegetated wetlands are distinct from the other ecosystem categories of lakes, rivers and estuaries, aquifers, and artificial waterbodies. Vegetated wetlands have been separated as their own ecosystem category because of their importance for target achievement and because the methodology for monitoring them with earth observations is unique from other open waters. The data generated by applying this methodology will also generate data required by countries to report to the Ramsar Convention on Wetlands.</w:t>
            </w:r>
          </w:p>
          <w:p w14:paraId="6AA6AE99"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Artificial Waterbodies – the water-related ecosystem category of artificial waterbodies includes open waterbodies created by humans such as reservoirs, canals, harbors, mines and quarries. While it is recognized that these are not traditional water ecosystems which should be protected and restored, in some countries they hold a noteworthy amount of freshwater and have thus been included.</w:t>
            </w:r>
          </w:p>
          <w:p w14:paraId="17850FEE"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Open Water – as any area of surface water unobstructed by aquatic vegetation. This includes the following 3 water-related ecosystem categories: rivers and estuaries, lakes, and artificial waterbodies.</w:t>
            </w:r>
          </w:p>
          <w:p w14:paraId="66C0E9F6"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Extent – has been expanded beyond spatial extent to capture additional basic parameters needed for the protection and restoration of water-related ecosystems. Extent includes three components: the spatial extent or surface area, the quality, and the quantity of water-related ecosystems. </w:t>
            </w:r>
          </w:p>
          <w:p w14:paraId="11DC6DAB" w14:textId="77777777" w:rsidR="00221C59"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Change – a shift from one condition of extent to another over time within a water-related ecosystem, measured against a point of reference.</w:t>
            </w:r>
          </w:p>
          <w:p w14:paraId="5067F0CB" w14:textId="77777777" w:rsidR="00221C59" w:rsidRPr="00B36A5C" w:rsidRDefault="00221C59" w:rsidP="00221C59">
            <w:pPr>
              <w:jc w:val="both"/>
              <w:rPr>
                <w:rFonts w:eastAsia="Times New Roman" w:cs="Times New Roman"/>
                <w:color w:val="000000" w:themeColor="text1"/>
                <w:szCs w:val="20"/>
                <w:lang w:eastAsia="en-GB"/>
              </w:rPr>
            </w:pPr>
          </w:p>
          <w:p w14:paraId="3E8D7403" w14:textId="77777777" w:rsidR="00221C59" w:rsidRPr="00B36A5C" w:rsidRDefault="00221C59" w:rsidP="00221C59">
            <w:pPr>
              <w:rPr>
                <w:rFonts w:eastAsia="Times New Roman" w:cs="Times New Roman"/>
                <w:color w:val="000000" w:themeColor="text1"/>
                <w:szCs w:val="20"/>
                <w:lang w:eastAsia="en-GB"/>
              </w:rPr>
            </w:pPr>
            <w:r w:rsidRPr="00B36A5C">
              <w:rPr>
                <w:rFonts w:eastAsia="Times New Roman" w:cs="Times New Roman"/>
                <w:b/>
                <w:bCs/>
                <w:color w:val="000000" w:themeColor="text1"/>
                <w:szCs w:val="20"/>
                <w:lang w:eastAsia="en-GB"/>
              </w:rPr>
              <w:t>Comments and limitations:</w:t>
            </w:r>
          </w:p>
          <w:p w14:paraId="53A86FE1" w14:textId="77777777" w:rsidR="00221C59" w:rsidRPr="00B36A5C" w:rsidRDefault="00221C59" w:rsidP="00221C59">
            <w:pPr>
              <w:rPr>
                <w:rFonts w:eastAsia="Times New Roman" w:cs="Times New Roman"/>
                <w:color w:val="000000" w:themeColor="text1"/>
                <w:szCs w:val="20"/>
                <w:lang w:eastAsia="en-GB"/>
              </w:rPr>
            </w:pPr>
          </w:p>
          <w:p w14:paraId="7FD8EDF1" w14:textId="77777777" w:rsidR="00221C59" w:rsidRPr="00B36A5C" w:rsidRDefault="00221C59" w:rsidP="00221C59">
            <w:pPr>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This methodology mobilizes the collection of widely available earth observation data on spatial extent and some water quality parameters which will be validated by countries. The data itself in the form of images and numbers is straightforward to understand. However, the methodologies used to generate this data are technical in nature and some countries may wish understand these better. The methodology employs internationally recognized methods, from expert communities such as the Group on Earth Observation (GEO) and international space agencies, to derive statistically sound and the most technologically advanced earth observation datasets for Sub-Indicators 1 and 2. These organizations will also be engaged to provided tools and training to support countries. Sub-Indicator 2 only measures two water quality parameters, while it is recognized that to determine good water quality requires measuring multiple parameters. However, globally available data can indicate potential hot spots of pollution or human disturbance allowing countries to undertake more local assessments of water quality.</w:t>
            </w:r>
          </w:p>
          <w:p w14:paraId="402D2346" w14:textId="77777777" w:rsidR="00221C59" w:rsidRPr="00B36A5C" w:rsidRDefault="00221C59" w:rsidP="00221C59">
            <w:pPr>
              <w:rPr>
                <w:rFonts w:eastAsia="Times New Roman" w:cs="Times New Roman"/>
                <w:color w:val="000000" w:themeColor="text1"/>
                <w:szCs w:val="20"/>
                <w:lang w:eastAsia="en-GB"/>
              </w:rPr>
            </w:pPr>
          </w:p>
          <w:p w14:paraId="1EAEFD7D" w14:textId="77777777" w:rsidR="00221C59" w:rsidRPr="00B36A5C" w:rsidRDefault="00221C59" w:rsidP="00221C59">
            <w:pPr>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The Indicator is designed in a way to generate data to allow informed decision making towards </w:t>
            </w:r>
            <w:r w:rsidRPr="00B36A5C">
              <w:rPr>
                <w:rFonts w:eastAsia="Times New Roman" w:cs="Times New Roman"/>
                <w:color w:val="000000" w:themeColor="text1"/>
                <w:szCs w:val="20"/>
                <w:lang w:eastAsia="en-GB"/>
              </w:rPr>
              <w:lastRenderedPageBreak/>
              <w:t>protecting and restoring water-related ecosystems. It does not measure how many water-related ecosystems have been protected and restored. It is assumed that countries would use the data to actively make decisions, but these actions are not currently being measured. The data generated should be considered alongside other data such as land use change to enable decision-makers to protect and restore water-related ecosystems.</w:t>
            </w:r>
          </w:p>
          <w:p w14:paraId="3A3F5BB5" w14:textId="77777777" w:rsidR="00221C59" w:rsidRPr="00B36A5C" w:rsidRDefault="00221C59" w:rsidP="00221C59">
            <w:pPr>
              <w:rPr>
                <w:rFonts w:eastAsia="Times New Roman" w:cs="Times New Roman"/>
                <w:b/>
                <w:bCs/>
                <w:color w:val="000000" w:themeColor="text1"/>
                <w:szCs w:val="20"/>
                <w:lang w:eastAsia="en-GB"/>
              </w:rPr>
            </w:pPr>
          </w:p>
          <w:p w14:paraId="2BAE0A8B" w14:textId="77777777" w:rsidR="00221C59" w:rsidRPr="00B36A5C" w:rsidRDefault="00221C59" w:rsidP="00221C59">
            <w:pPr>
              <w:rPr>
                <w:rFonts w:eastAsia="Times New Roman" w:cs="Times New Roman"/>
                <w:b/>
                <w:color w:val="000000" w:themeColor="text1"/>
                <w:szCs w:val="20"/>
                <w:lang w:eastAsia="en-GB"/>
              </w:rPr>
            </w:pPr>
            <w:r w:rsidRPr="00B36A5C">
              <w:rPr>
                <w:rFonts w:eastAsia="Times New Roman" w:cs="Times New Roman"/>
                <w:b/>
                <w:color w:val="000000" w:themeColor="text1"/>
                <w:szCs w:val="20"/>
                <w:lang w:eastAsia="en-GB"/>
              </w:rPr>
              <w:t>Computation Method:</w:t>
            </w:r>
          </w:p>
          <w:p w14:paraId="4ED73D87" w14:textId="77777777" w:rsidR="00221C59" w:rsidRPr="00B36A5C" w:rsidRDefault="00221C59" w:rsidP="00221C59">
            <w:pPr>
              <w:rPr>
                <w:rFonts w:eastAsia="Times New Roman" w:cs="Times New Roman"/>
                <w:color w:val="000000" w:themeColor="text1"/>
                <w:szCs w:val="20"/>
                <w:lang w:eastAsia="en-GB"/>
              </w:rPr>
            </w:pPr>
          </w:p>
          <w:p w14:paraId="32604560"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The 5 Sub-Indicators are computed separately and thus Indicator 6.6.1 is comprised of 5 stand-alone methodologies. </w:t>
            </w:r>
          </w:p>
          <w:p w14:paraId="32524BD8" w14:textId="77777777" w:rsidR="00221C59" w:rsidRPr="00B36A5C" w:rsidRDefault="00221C59" w:rsidP="00221C59">
            <w:pPr>
              <w:jc w:val="both"/>
              <w:rPr>
                <w:rFonts w:eastAsia="Times New Roman" w:cs="Times New Roman"/>
                <w:b/>
                <w:color w:val="000000" w:themeColor="text1"/>
                <w:szCs w:val="20"/>
                <w:lang w:eastAsia="en-GB"/>
              </w:rPr>
            </w:pPr>
            <w:r w:rsidRPr="00B36A5C">
              <w:rPr>
                <w:rFonts w:eastAsia="Times New Roman" w:cs="Times New Roman"/>
                <w:b/>
                <w:color w:val="000000" w:themeColor="text1"/>
                <w:szCs w:val="20"/>
                <w:lang w:eastAsia="en-GB"/>
              </w:rPr>
              <w:t>Sub-Indicator 1: Spatial Extent of Water-related Ecosystems</w:t>
            </w:r>
          </w:p>
          <w:p w14:paraId="1A345A63"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The methodology for this Sub-Indicator describes how Earth observations are generated and processed into a global spatial extent of water-related ecosystems dataset. The basic premise of this approach is that different land covers, such as snow, bare rock, vegetation, and water, reflect different wavelengths of light. Satellites continually circulate our earth, capturing images and wavelengths reflected from every location on the globe. For any one location on earth, thousands of images can be combined to classify the site’s land cover. Advanced computing technology can be programmed to digest all of these images and split the earth into land cover type pixels, one of which is open water. Open water is defined as any area of surface water unobstructed by aquatic vegetation. Thus, changes in the spatial extent of open water locations over a long period of time can be discerned including new and lost waterbodies or seasonal changes. </w:t>
            </w:r>
          </w:p>
          <w:p w14:paraId="657C554A"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To distinguish one water-related ecosystem type from another, further processing of this open water data is required in conjunction with other datasets. The data generated on open water is further distinguished into lakes, rivers and estuaries versus artificial waterbodies. In addition, vegetated wetlands are discerned through further processing. The method to detect vegetated wetlands from Earth observations is based on an approach which detects the physical properties of wetland areas (e.g. soil moisture and vegetation water content) from multi-temporal SAR (Synthetic Aperture Radar) and optical satellite imagery, combined with other geospatial datasets related to the topography of the area, the hydrography of the watershed and its drainage network, and the soil types. The resulting datasets obtained from earth observations on the spatial extent of vegetated wetlands and artificial waterbodies are excluded from the calculation of spatial extent values for lakes, rivers and estuaries, to prevent duplication of spatial extent estimations. </w:t>
            </w:r>
          </w:p>
          <w:p w14:paraId="6DE0E31A"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Thus, three global datasets are generated through this methodology annually: spatial extent of lakes, rivers, and estuaries; spatial extent of artificial waterbodies; and spatial extent of vegetated wetlands. These national spatial extent datasets are provided to countries to validate. Once validated, the annual datasets are used to calculate percentage change of spatial extent over time, using a 2001-2005 baseline period. Subsequent five year averages are compared to this baseline.  </w:t>
            </w:r>
          </w:p>
          <w:tbl>
            <w:tblPr>
              <w:tblStyle w:val="TableGrid"/>
              <w:tblpPr w:leftFromText="180" w:rightFromText="180" w:vertAnchor="text" w:horzAnchor="page" w:tblpX="7194"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tblGrid>
            <w:tr w:rsidR="00221C59" w:rsidRPr="00B36A5C" w14:paraId="24134B00" w14:textId="77777777" w:rsidTr="00DB32C0">
              <w:trPr>
                <w:trHeight w:val="1282"/>
              </w:trPr>
              <w:tc>
                <w:tcPr>
                  <w:tcW w:w="4013" w:type="dxa"/>
                </w:tcPr>
                <w:p w14:paraId="677559E0" w14:textId="77777777" w:rsidR="00221C59" w:rsidRPr="00B36A5C" w:rsidRDefault="00221C59" w:rsidP="00221C59">
                  <w:pPr>
                    <w:jc w:val="both"/>
                    <w:rPr>
                      <w:rFonts w:eastAsia="Times New Roman" w:cs="Times New Roman"/>
                      <w:color w:val="000000" w:themeColor="text1"/>
                      <w:szCs w:val="20"/>
                      <w:lang w:val="en-GB" w:eastAsia="en-GB"/>
                    </w:rPr>
                  </w:pPr>
                  <w:r w:rsidRPr="00B36A5C">
                    <w:rPr>
                      <w:rFonts w:eastAsia="Times New Roman" w:cs="Times New Roman"/>
                      <w:color w:val="000000" w:themeColor="text1"/>
                      <w:szCs w:val="20"/>
                      <w:lang w:val="en-GB" w:eastAsia="en-GB"/>
                    </w:rPr>
                    <w:lastRenderedPageBreak/>
                    <w:t xml:space="preserve">Where </w:t>
                  </w:r>
                  <m:oMath>
                    <m:r>
                      <m:rPr>
                        <m:sty m:val="p"/>
                      </m:rPr>
                      <w:rPr>
                        <w:rFonts w:ascii="Cambria Math" w:eastAsia="Times New Roman" w:hAnsi="Cambria Math" w:cs="Times New Roman"/>
                        <w:color w:val="000000" w:themeColor="text1"/>
                        <w:szCs w:val="20"/>
                        <w:lang w:val="en-GB" w:eastAsia="en-GB"/>
                      </w:rPr>
                      <m:t xml:space="preserve"> β </m:t>
                    </m:r>
                  </m:oMath>
                  <w:r w:rsidRPr="00B36A5C">
                    <w:rPr>
                      <w:rFonts w:eastAsia="Times New Roman" w:cs="Times New Roman"/>
                      <w:color w:val="000000" w:themeColor="text1"/>
                      <w:szCs w:val="20"/>
                      <w:lang w:val="en-GB" w:eastAsia="en-GB"/>
                    </w:rPr>
                    <w:t xml:space="preserve">=  the average national spatial extent from 2001-2005 </w:t>
                  </w:r>
                </w:p>
                <w:p w14:paraId="1C05C2EA" w14:textId="77777777" w:rsidR="00221C59" w:rsidRPr="00B36A5C" w:rsidRDefault="00221C59" w:rsidP="00221C59">
                  <w:pPr>
                    <w:jc w:val="both"/>
                    <w:rPr>
                      <w:rFonts w:eastAsia="Times New Roman" w:cs="Times New Roman"/>
                      <w:color w:val="000000" w:themeColor="text1"/>
                      <w:szCs w:val="20"/>
                      <w:lang w:val="en-GB" w:eastAsia="en-GB"/>
                    </w:rPr>
                  </w:pPr>
                  <w:r w:rsidRPr="00B36A5C">
                    <w:rPr>
                      <w:rFonts w:eastAsia="Times New Roman" w:cs="Times New Roman"/>
                      <w:color w:val="000000" w:themeColor="text1"/>
                      <w:szCs w:val="20"/>
                      <w:lang w:val="en-GB" w:eastAsia="en-GB"/>
                    </w:rPr>
                    <w:t xml:space="preserve">Where </w:t>
                  </w:r>
                  <m:oMath>
                    <m:r>
                      <m:rPr>
                        <m:sty m:val="p"/>
                      </m:rPr>
                      <w:rPr>
                        <w:rFonts w:ascii="Cambria Math" w:eastAsia="Times New Roman" w:hAnsi="Cambria Math" w:cs="Times New Roman"/>
                        <w:color w:val="000000" w:themeColor="text1"/>
                        <w:szCs w:val="20"/>
                        <w:lang w:val="en-GB" w:eastAsia="en-GB"/>
                      </w:rPr>
                      <m:t>γ</m:t>
                    </m:r>
                  </m:oMath>
                  <w:r w:rsidRPr="00B36A5C">
                    <w:rPr>
                      <w:rFonts w:eastAsia="Times New Roman" w:cs="Times New Roman"/>
                      <w:color w:val="000000" w:themeColor="text1"/>
                      <w:szCs w:val="20"/>
                      <w:lang w:val="en-GB" w:eastAsia="en-GB"/>
                    </w:rPr>
                    <w:t xml:space="preserve"> =  the average national spatial extent of any other 5 year period</w:t>
                  </w:r>
                </w:p>
              </w:tc>
            </w:tr>
          </w:tbl>
          <w:p w14:paraId="1330F720" w14:textId="77777777" w:rsidR="00221C59" w:rsidRPr="00B36A5C" w:rsidRDefault="00221C59" w:rsidP="00221C59">
            <w:pPr>
              <w:jc w:val="both"/>
              <w:rPr>
                <w:rFonts w:eastAsia="Times New Roman" w:cs="Times New Roman"/>
                <w:color w:val="000000" w:themeColor="text1"/>
                <w:szCs w:val="20"/>
                <w:lang w:eastAsia="en-GB"/>
              </w:rPr>
            </w:pPr>
          </w:p>
          <w:p w14:paraId="58853BF9" w14:textId="77777777" w:rsidR="00221C59" w:rsidRPr="00B36A5C" w:rsidRDefault="00221C59" w:rsidP="00221C59">
            <w:pPr>
              <w:jc w:val="both"/>
              <w:rPr>
                <w:rFonts w:eastAsia="Times New Roman" w:cs="Times New Roman"/>
                <w:color w:val="000000" w:themeColor="text1"/>
                <w:szCs w:val="20"/>
                <w:lang w:eastAsia="en-GB"/>
              </w:rPr>
            </w:pPr>
            <m:oMathPara>
              <m:oMathParaPr>
                <m:jc m:val="left"/>
              </m:oMathParaPr>
              <m:oMath>
                <m:r>
                  <m:rPr>
                    <m:sty m:val="p"/>
                  </m:rPr>
                  <w:rPr>
                    <w:rFonts w:ascii="Cambria Math" w:eastAsia="Times New Roman" w:hAnsi="Cambria Math" w:cs="Times New Roman"/>
                    <w:color w:val="000000" w:themeColor="text1"/>
                    <w:szCs w:val="20"/>
                    <w:lang w:eastAsia="en-GB"/>
                  </w:rPr>
                  <m:t>Percentage Change in Spatial Extent=</m:t>
                </m:r>
                <m:f>
                  <m:fPr>
                    <m:ctrlPr>
                      <w:rPr>
                        <w:rFonts w:ascii="Cambria Math" w:eastAsia="Times New Roman" w:hAnsi="Cambria Math" w:cs="Times New Roman"/>
                        <w:color w:val="000000" w:themeColor="text1"/>
                        <w:szCs w:val="20"/>
                        <w:lang w:eastAsia="en-GB"/>
                      </w:rPr>
                    </m:ctrlPr>
                  </m:fPr>
                  <m:num>
                    <m:d>
                      <m:dPr>
                        <m:ctrlPr>
                          <w:rPr>
                            <w:rFonts w:ascii="Cambria Math" w:eastAsia="Times New Roman" w:hAnsi="Cambria Math" w:cs="Times New Roman"/>
                            <w:color w:val="000000" w:themeColor="text1"/>
                            <w:szCs w:val="20"/>
                            <w:lang w:eastAsia="en-GB"/>
                          </w:rPr>
                        </m:ctrlPr>
                      </m:dPr>
                      <m:e>
                        <m:r>
                          <m:rPr>
                            <m:sty m:val="p"/>
                          </m:rPr>
                          <w:rPr>
                            <w:rFonts w:ascii="Cambria Math" w:eastAsia="Times New Roman" w:hAnsi="Cambria Math" w:cs="Times New Roman"/>
                            <w:color w:val="000000" w:themeColor="text1"/>
                            <w:szCs w:val="20"/>
                            <w:lang w:eastAsia="en-GB"/>
                          </w:rPr>
                          <m:t>β-γ</m:t>
                        </m:r>
                      </m:e>
                    </m:d>
                  </m:num>
                  <m:den>
                    <m:r>
                      <m:rPr>
                        <m:sty m:val="p"/>
                      </m:rPr>
                      <w:rPr>
                        <w:rFonts w:ascii="Cambria Math" w:eastAsia="Times New Roman" w:hAnsi="Cambria Math" w:cs="Times New Roman"/>
                        <w:color w:val="000000" w:themeColor="text1"/>
                        <w:szCs w:val="20"/>
                        <w:lang w:eastAsia="en-GB"/>
                      </w:rPr>
                      <m:t>β</m:t>
                    </m:r>
                  </m:den>
                </m:f>
                <m:r>
                  <m:rPr>
                    <m:sty m:val="p"/>
                  </m:rPr>
                  <w:rPr>
                    <w:rFonts w:ascii="Cambria Math" w:eastAsia="Times New Roman" w:hAnsi="Cambria Math" w:cs="Times New Roman"/>
                    <w:color w:val="000000" w:themeColor="text1"/>
                    <w:szCs w:val="20"/>
                    <w:lang w:eastAsia="en-GB"/>
                  </w:rPr>
                  <m:t>×100</m:t>
                </m:r>
              </m:oMath>
            </m:oMathPara>
          </w:p>
          <w:p w14:paraId="0A5AA5E3" w14:textId="77777777" w:rsidR="00221C59" w:rsidRPr="00B36A5C" w:rsidRDefault="00221C59" w:rsidP="00221C59">
            <w:pPr>
              <w:jc w:val="both"/>
              <w:rPr>
                <w:rFonts w:eastAsia="Times New Roman" w:cs="Times New Roman"/>
                <w:color w:val="000000" w:themeColor="text1"/>
                <w:szCs w:val="20"/>
                <w:lang w:eastAsia="en-GB"/>
              </w:rPr>
            </w:pPr>
          </w:p>
          <w:p w14:paraId="529AB48E" w14:textId="77777777" w:rsidR="00221C59" w:rsidRPr="00B36A5C" w:rsidRDefault="00221C59" w:rsidP="00221C59">
            <w:pPr>
              <w:jc w:val="both"/>
              <w:rPr>
                <w:rFonts w:eastAsia="Times New Roman" w:cs="Times New Roman"/>
                <w:b/>
                <w:color w:val="000000" w:themeColor="text1"/>
                <w:szCs w:val="20"/>
                <w:lang w:eastAsia="en-GB"/>
              </w:rPr>
            </w:pPr>
            <w:r w:rsidRPr="00B36A5C">
              <w:rPr>
                <w:rFonts w:eastAsia="Times New Roman" w:cs="Times New Roman"/>
                <w:b/>
                <w:color w:val="000000" w:themeColor="text1"/>
                <w:szCs w:val="20"/>
                <w:lang w:eastAsia="en-GB"/>
              </w:rPr>
              <w:t>Sub-Indicator 2: Water Quality of Lakes and artificial water bodies</w:t>
            </w:r>
          </w:p>
          <w:p w14:paraId="140D832E"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The methodology for this Sub-Indicator describes how Earth observations are generated and processed into two datasets of chlorophyll a (Chl) and total suspended solids (TSS) within lakes globally. Earth observations can only provide information on concentrations of in-water materials that affect the colour of water. These materials include Chl, which is the primary pigment in phytoplankton (the primary source of food on the food-chain), and TSS. The concentrations of Chl and TSS can be used as proxies to infer other important waterbody characteristics.</w:t>
            </w:r>
          </w:p>
          <w:p w14:paraId="656E3C26" w14:textId="77777777" w:rsidR="00221C59" w:rsidRPr="00B36A5C" w:rsidRDefault="00221C59" w:rsidP="00221C59">
            <w:pPr>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Chl and TSS results are derived using empirical algorithms, generated for each individual pixel to ensure the spatial variability within each lake is fully captured. Results are averaged over a year for each lake to produce lake-wide Chl and TSS concentrations and small localized fluctuations in concentration of these two parameters are not shown. On any one day, the pixels representing each concentration of Chl or TSS are quantified and a lake-wide average is determined for that day. </w:t>
            </w:r>
          </w:p>
          <w:p w14:paraId="51065FBC" w14:textId="77777777" w:rsidR="00221C59" w:rsidRPr="00B36A5C" w:rsidRDefault="00221C59" w:rsidP="00221C59">
            <w:pPr>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The change in concentration of both Chl and TSS can be determined from comparing an annual average against the baseline. This annual average Chl and TSS will be averaged every 5 years, which will be compared to the Chl and TSS baselines to generate a percentage change. The locations where percentage change is excessive can be targeted for increased water quality monitoring and management. </w:t>
            </w:r>
          </w:p>
          <w:p w14:paraId="7C9398A5" w14:textId="77777777" w:rsidR="00221C59" w:rsidRPr="00B36A5C" w:rsidRDefault="00221C59" w:rsidP="00221C59">
            <w:pPr>
              <w:jc w:val="both"/>
              <w:rPr>
                <w:rFonts w:eastAsia="Times New Roman" w:cs="Times New Roman"/>
                <w:b/>
                <w:color w:val="000000" w:themeColor="text1"/>
                <w:szCs w:val="20"/>
                <w:lang w:eastAsia="en-GB"/>
              </w:rPr>
            </w:pPr>
            <w:r w:rsidRPr="00B36A5C">
              <w:rPr>
                <w:rFonts w:eastAsia="Times New Roman" w:cs="Times New Roman"/>
                <w:b/>
                <w:color w:val="000000" w:themeColor="text1"/>
                <w:szCs w:val="20"/>
                <w:lang w:eastAsia="en-GB"/>
              </w:rPr>
              <w:t>Sub-Indicator 3: Quantity (Discharge) of Water in Rivers and Estuaries</w:t>
            </w:r>
          </w:p>
          <w:p w14:paraId="4553DA9E"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The methodology for this Sub-Indicator describes different techniques for countries to implement to monitor river and estuary discharge. These techniques can include gauging stations or discharge meters. The methodology does not prescribe the type of discharge measurement technique because selection should be based on the size and type of the waterbody, terrain and velocity of water flow, the desired accuracy of measurement, as well as finances available. However, any discharge data collected by countries must adhere to the following minimum criteria:</w:t>
            </w:r>
          </w:p>
          <w:p w14:paraId="3CF6AFCC" w14:textId="77777777" w:rsidR="00221C59" w:rsidRPr="00B36A5C" w:rsidRDefault="00221C59" w:rsidP="00221C59">
            <w:pPr>
              <w:pStyle w:val="ListParagraph"/>
              <w:numPr>
                <w:ilvl w:val="0"/>
                <w:numId w:val="58"/>
              </w:numPr>
              <w:jc w:val="both"/>
              <w:rPr>
                <w:rFonts w:ascii="Tw Cen MT Condensed" w:eastAsia="Times New Roman" w:hAnsi="Tw Cen MT Condensed" w:cs="Times New Roman"/>
                <w:color w:val="000000" w:themeColor="text1"/>
                <w:sz w:val="20"/>
                <w:szCs w:val="20"/>
                <w:lang w:eastAsia="en-GB"/>
              </w:rPr>
            </w:pPr>
            <w:r w:rsidRPr="00B36A5C">
              <w:rPr>
                <w:rFonts w:ascii="Tw Cen MT Condensed" w:eastAsia="Times New Roman" w:hAnsi="Tw Cen MT Condensed" w:cs="Times New Roman"/>
                <w:color w:val="000000" w:themeColor="text1"/>
                <w:sz w:val="20"/>
                <w:szCs w:val="20"/>
                <w:lang w:eastAsia="en-GB"/>
              </w:rPr>
              <w:t xml:space="preserve">Discharge data from each river/estuary monitored should be collected at least once per month. This data should then be averaged to obtain an annual average discharge per river/estuary monitored. </w:t>
            </w:r>
          </w:p>
          <w:p w14:paraId="5EC2FB20" w14:textId="77777777" w:rsidR="00221C59" w:rsidRPr="00B36A5C" w:rsidRDefault="00221C59" w:rsidP="00221C59">
            <w:pPr>
              <w:pStyle w:val="ListParagraph"/>
              <w:numPr>
                <w:ilvl w:val="0"/>
                <w:numId w:val="58"/>
              </w:numPr>
              <w:jc w:val="both"/>
              <w:rPr>
                <w:rFonts w:ascii="Tw Cen MT Condensed" w:eastAsia="Times New Roman" w:hAnsi="Tw Cen MT Condensed" w:cs="Times New Roman"/>
                <w:color w:val="000000" w:themeColor="text1"/>
                <w:sz w:val="20"/>
                <w:szCs w:val="20"/>
                <w:lang w:eastAsia="en-GB"/>
              </w:rPr>
            </w:pPr>
            <w:r w:rsidRPr="00B36A5C">
              <w:rPr>
                <w:rFonts w:ascii="Tw Cen MT Condensed" w:eastAsia="Times New Roman" w:hAnsi="Tw Cen MT Condensed" w:cs="Times New Roman"/>
                <w:color w:val="000000" w:themeColor="text1"/>
                <w:sz w:val="20"/>
                <w:szCs w:val="20"/>
                <w:lang w:eastAsia="en-GB"/>
              </w:rPr>
              <w:lastRenderedPageBreak/>
              <w:t xml:space="preserve">Each basin should have at minimum of one sampling location, at the point where its water exits into another basin or crosses a national boundary. </w:t>
            </w:r>
          </w:p>
          <w:p w14:paraId="7928E88B"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Countries will submit 5 years of data on annual average discharges per basin to the custodian agencies. The data from these 5 years will be averaged to smooth short-term variability. To generate national percentage change of discharge over time, a common reference period for all basins must be established. This baseline period will be used to calculate percentage change of discharge for any subsequent 5-year period. To calculate percentage change in discharge for each five year period following the reference period, the following formula is used:</w:t>
            </w:r>
          </w:p>
          <w:tbl>
            <w:tblPr>
              <w:tblStyle w:val="TableGrid"/>
              <w:tblpPr w:leftFromText="180" w:rightFromText="180" w:vertAnchor="text" w:horzAnchor="page" w:tblpX="6706"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tblGrid>
            <w:tr w:rsidR="00221C59" w:rsidRPr="00B36A5C" w14:paraId="3FF51002" w14:textId="77777777" w:rsidTr="00DB32C0">
              <w:trPr>
                <w:trHeight w:val="1790"/>
              </w:trPr>
              <w:tc>
                <w:tcPr>
                  <w:tcW w:w="4158" w:type="dxa"/>
                </w:tcPr>
                <w:p w14:paraId="316E083F" w14:textId="77777777" w:rsidR="00221C59" w:rsidRPr="00B36A5C" w:rsidRDefault="00221C59" w:rsidP="00221C59">
                  <w:pPr>
                    <w:jc w:val="both"/>
                    <w:rPr>
                      <w:rFonts w:eastAsia="Times New Roman" w:cs="Times New Roman"/>
                      <w:color w:val="000000" w:themeColor="text1"/>
                      <w:szCs w:val="20"/>
                      <w:lang w:val="en-GB" w:eastAsia="en-GB"/>
                    </w:rPr>
                  </w:pPr>
                  <w:r w:rsidRPr="00B36A5C">
                    <w:rPr>
                      <w:rFonts w:eastAsia="Times New Roman" w:cs="Times New Roman"/>
                      <w:color w:val="000000" w:themeColor="text1"/>
                      <w:szCs w:val="20"/>
                      <w:lang w:val="en-GB" w:eastAsia="en-GB"/>
                    </w:rPr>
                    <w:t xml:space="preserve">Where </w:t>
                  </w:r>
                  <m:oMath>
                    <m:r>
                      <m:rPr>
                        <m:sty m:val="p"/>
                      </m:rPr>
                      <w:rPr>
                        <w:rFonts w:ascii="Cambria Math" w:eastAsia="Times New Roman" w:hAnsi="Cambria Math" w:cs="Times New Roman"/>
                        <w:color w:val="000000" w:themeColor="text1"/>
                        <w:szCs w:val="20"/>
                        <w:lang w:val="en-GB" w:eastAsia="en-GB"/>
                      </w:rPr>
                      <m:t xml:space="preserve"> β </m:t>
                    </m:r>
                  </m:oMath>
                  <w:r w:rsidRPr="00B36A5C">
                    <w:rPr>
                      <w:rFonts w:eastAsia="Times New Roman" w:cs="Times New Roman"/>
                      <w:color w:val="000000" w:themeColor="text1"/>
                      <w:szCs w:val="20"/>
                      <w:lang w:val="en-GB" w:eastAsia="en-GB"/>
                    </w:rPr>
                    <w:t xml:space="preserve">= historical 5 year reference discharge </w:t>
                  </w:r>
                </w:p>
                <w:p w14:paraId="653F1427" w14:textId="77777777" w:rsidR="00221C59" w:rsidRPr="00B36A5C" w:rsidRDefault="00221C59" w:rsidP="00221C59">
                  <w:pPr>
                    <w:jc w:val="both"/>
                    <w:rPr>
                      <w:rFonts w:eastAsia="Times New Roman" w:cs="Times New Roman"/>
                      <w:color w:val="000000" w:themeColor="text1"/>
                      <w:szCs w:val="20"/>
                      <w:lang w:val="en-GB" w:eastAsia="en-GB"/>
                    </w:rPr>
                  </w:pPr>
                  <w:r w:rsidRPr="00B36A5C">
                    <w:rPr>
                      <w:rFonts w:eastAsia="Times New Roman" w:cs="Times New Roman"/>
                      <w:color w:val="000000" w:themeColor="text1"/>
                      <w:szCs w:val="20"/>
                      <w:lang w:val="en-GB" w:eastAsia="en-GB"/>
                    </w:rPr>
                    <w:t xml:space="preserve">Where </w:t>
                  </w:r>
                  <m:oMath>
                    <m:r>
                      <m:rPr>
                        <m:sty m:val="p"/>
                      </m:rPr>
                      <w:rPr>
                        <w:rFonts w:ascii="Cambria Math" w:eastAsia="Times New Roman" w:hAnsi="Cambria Math" w:cs="Times New Roman"/>
                        <w:color w:val="000000" w:themeColor="text1"/>
                        <w:szCs w:val="20"/>
                        <w:lang w:val="en-GB" w:eastAsia="en-GB"/>
                      </w:rPr>
                      <m:t>γ</m:t>
                    </m:r>
                  </m:oMath>
                  <w:r w:rsidRPr="00B36A5C">
                    <w:rPr>
                      <w:rFonts w:eastAsia="Times New Roman" w:cs="Times New Roman"/>
                      <w:color w:val="000000" w:themeColor="text1"/>
                      <w:szCs w:val="20"/>
                      <w:lang w:val="en-GB" w:eastAsia="en-GB"/>
                    </w:rPr>
                    <w:t xml:space="preserve"> = the average discharge of 5 year period of interest</w:t>
                  </w:r>
                </w:p>
              </w:tc>
            </w:tr>
          </w:tbl>
          <w:p w14:paraId="3773EF86" w14:textId="77777777" w:rsidR="00221C59" w:rsidRPr="00B36A5C" w:rsidRDefault="00221C59" w:rsidP="00221C59">
            <w:pPr>
              <w:jc w:val="both"/>
              <w:rPr>
                <w:rFonts w:eastAsia="Times New Roman" w:cs="Times New Roman"/>
                <w:color w:val="000000" w:themeColor="text1"/>
                <w:szCs w:val="20"/>
                <w:lang w:eastAsia="en-GB"/>
              </w:rPr>
            </w:pPr>
            <m:oMathPara>
              <m:oMath>
                <m:r>
                  <m:rPr>
                    <m:sty m:val="p"/>
                  </m:rPr>
                  <w:rPr>
                    <w:rFonts w:ascii="Cambria Math" w:eastAsia="Times New Roman" w:hAnsi="Cambria Math" w:cs="Times New Roman"/>
                    <w:color w:val="000000" w:themeColor="text1"/>
                    <w:szCs w:val="20"/>
                    <w:lang w:eastAsia="en-GB"/>
                  </w:rPr>
                  <m:t>Percentage Change in Discharge=</m:t>
                </m:r>
                <m:f>
                  <m:fPr>
                    <m:ctrlPr>
                      <w:rPr>
                        <w:rFonts w:ascii="Cambria Math" w:eastAsia="Times New Roman" w:hAnsi="Cambria Math" w:cs="Times New Roman"/>
                        <w:color w:val="000000" w:themeColor="text1"/>
                        <w:szCs w:val="20"/>
                        <w:lang w:eastAsia="en-GB"/>
                      </w:rPr>
                    </m:ctrlPr>
                  </m:fPr>
                  <m:num>
                    <m:d>
                      <m:dPr>
                        <m:ctrlPr>
                          <w:rPr>
                            <w:rFonts w:ascii="Cambria Math" w:eastAsia="Times New Roman" w:hAnsi="Cambria Math" w:cs="Times New Roman"/>
                            <w:color w:val="000000" w:themeColor="text1"/>
                            <w:szCs w:val="20"/>
                            <w:lang w:eastAsia="en-GB"/>
                          </w:rPr>
                        </m:ctrlPr>
                      </m:dPr>
                      <m:e>
                        <m:r>
                          <m:rPr>
                            <m:sty m:val="p"/>
                          </m:rPr>
                          <w:rPr>
                            <w:rFonts w:ascii="Cambria Math" w:eastAsia="Times New Roman" w:hAnsi="Cambria Math" w:cs="Times New Roman"/>
                            <w:color w:val="000000" w:themeColor="text1"/>
                            <w:szCs w:val="20"/>
                            <w:lang w:eastAsia="en-GB"/>
                          </w:rPr>
                          <m:t>β-γ</m:t>
                        </m:r>
                      </m:e>
                    </m:d>
                  </m:num>
                  <m:den>
                    <m:r>
                      <m:rPr>
                        <m:sty m:val="p"/>
                      </m:rPr>
                      <w:rPr>
                        <w:rFonts w:ascii="Cambria Math" w:eastAsia="Times New Roman" w:hAnsi="Cambria Math" w:cs="Times New Roman"/>
                        <w:color w:val="000000" w:themeColor="text1"/>
                        <w:szCs w:val="20"/>
                        <w:lang w:eastAsia="en-GB"/>
                      </w:rPr>
                      <m:t>β</m:t>
                    </m:r>
                  </m:den>
                </m:f>
                <m:r>
                  <m:rPr>
                    <m:sty m:val="p"/>
                  </m:rPr>
                  <w:rPr>
                    <w:rFonts w:ascii="Cambria Math" w:eastAsia="Times New Roman" w:hAnsi="Cambria Math" w:cs="Times New Roman"/>
                    <w:color w:val="000000" w:themeColor="text1"/>
                    <w:szCs w:val="20"/>
                    <w:lang w:eastAsia="en-GB"/>
                  </w:rPr>
                  <m:t>×100</m:t>
                </m:r>
              </m:oMath>
            </m:oMathPara>
          </w:p>
          <w:p w14:paraId="75B8B680" w14:textId="77777777" w:rsidR="00221C59" w:rsidRPr="00B36A5C" w:rsidRDefault="00221C59" w:rsidP="00221C59">
            <w:pPr>
              <w:jc w:val="both"/>
              <w:rPr>
                <w:rFonts w:eastAsia="Times New Roman" w:cs="Times New Roman"/>
                <w:color w:val="000000" w:themeColor="text1"/>
                <w:szCs w:val="20"/>
                <w:lang w:eastAsia="en-GB"/>
              </w:rPr>
            </w:pPr>
          </w:p>
          <w:p w14:paraId="4A3E5000" w14:textId="77777777" w:rsidR="00221C59" w:rsidRPr="00B36A5C" w:rsidRDefault="00221C59" w:rsidP="00221C59">
            <w:pPr>
              <w:jc w:val="both"/>
              <w:rPr>
                <w:rFonts w:eastAsia="Times New Roman" w:cs="Times New Roman"/>
                <w:b/>
                <w:color w:val="000000" w:themeColor="text1"/>
                <w:szCs w:val="20"/>
                <w:lang w:eastAsia="en-GB"/>
              </w:rPr>
            </w:pPr>
            <w:r w:rsidRPr="00B36A5C">
              <w:rPr>
                <w:rFonts w:eastAsia="Times New Roman" w:cs="Times New Roman"/>
                <w:b/>
                <w:color w:val="000000" w:themeColor="text1"/>
                <w:szCs w:val="20"/>
                <w:lang w:eastAsia="en-GB"/>
              </w:rPr>
              <w:t>Sub-Indicator 4: Quality of Water-related Ecosystems</w:t>
            </w:r>
          </w:p>
          <w:p w14:paraId="538FE172"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 xml:space="preserve">The methodology for this Sub-Indicator is described in SDG Indicator 6.3.2. The data collected for Indicator 6.3.2 is utilized for Sub-Indicator 4 to inform a calculation of percentage change over time in waterbodies with good ambient water quality. </w:t>
            </w:r>
          </w:p>
          <w:p w14:paraId="51C8BD43" w14:textId="77777777" w:rsidR="00221C59" w:rsidRPr="00B36A5C" w:rsidRDefault="00221C59" w:rsidP="00221C59">
            <w:pPr>
              <w:jc w:val="both"/>
              <w:rPr>
                <w:rFonts w:eastAsia="Times New Roman" w:cs="Times New Roman"/>
                <w:b/>
                <w:color w:val="000000" w:themeColor="text1"/>
                <w:szCs w:val="20"/>
                <w:lang w:eastAsia="en-GB"/>
              </w:rPr>
            </w:pPr>
            <w:r w:rsidRPr="00B36A5C">
              <w:rPr>
                <w:rFonts w:eastAsia="Times New Roman" w:cs="Times New Roman"/>
                <w:b/>
                <w:color w:val="000000" w:themeColor="text1"/>
                <w:szCs w:val="20"/>
                <w:lang w:eastAsia="en-GB"/>
              </w:rPr>
              <w:t>Sub-Indicator 5: Quantity of Groundwater within Aquifers</w:t>
            </w:r>
          </w:p>
          <w:p w14:paraId="1D118DEE"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The methodology for this Sub-Indicator describes a simplified technique for countries to monitor groundwater quantity within aquifers. The volume of groundwater stored in an aquifer is most traditionally estimated using a combination of parameters but for the purposes of Indicator 6.6.1 monitoring, the ‘head’ or level of groundwater within an aquifer can solely be measured as a proxy for groundwater volume within an aquifer. Measuring the level of groundwater within an aquifer is done through the use of boreholes. The methodology does not prescribe the number of boreholes to be monitored per aquifer because the distribution of groundwater can be variable depending on the location and characteristics of aquifers. However, any groundwater level data collected by countries must adhere to the following minimum criteria:</w:t>
            </w:r>
          </w:p>
          <w:p w14:paraId="457EAE17" w14:textId="77777777" w:rsidR="00221C59" w:rsidRPr="00B36A5C" w:rsidRDefault="00221C59" w:rsidP="00221C59">
            <w:pPr>
              <w:pStyle w:val="ListParagraph"/>
              <w:numPr>
                <w:ilvl w:val="0"/>
                <w:numId w:val="59"/>
              </w:numPr>
              <w:spacing w:before="200"/>
              <w:jc w:val="both"/>
              <w:rPr>
                <w:rFonts w:ascii="Tw Cen MT Condensed" w:eastAsia="Times New Roman" w:hAnsi="Tw Cen MT Condensed" w:cs="Times New Roman"/>
                <w:color w:val="000000" w:themeColor="text1"/>
                <w:sz w:val="20"/>
                <w:szCs w:val="20"/>
                <w:lang w:eastAsia="en-GB"/>
              </w:rPr>
            </w:pPr>
            <w:r w:rsidRPr="00B36A5C">
              <w:rPr>
                <w:rFonts w:ascii="Tw Cen MT Condensed" w:eastAsia="Times New Roman" w:hAnsi="Tw Cen MT Condensed" w:cs="Times New Roman"/>
                <w:color w:val="000000" w:themeColor="text1"/>
                <w:sz w:val="20"/>
                <w:szCs w:val="20"/>
                <w:lang w:eastAsia="en-GB"/>
              </w:rPr>
              <w:t xml:space="preserve">Point measurements of groundwater level within aquifers should be collected at least twice per year. This data should then be averaged to obtain an annual average </w:t>
            </w:r>
            <w:r w:rsidRPr="00B36A5C">
              <w:rPr>
                <w:rFonts w:ascii="Tw Cen MT Condensed" w:eastAsia="Times New Roman" w:hAnsi="Tw Cen MT Condensed" w:cs="Times New Roman"/>
                <w:color w:val="000000" w:themeColor="text1"/>
                <w:sz w:val="20"/>
                <w:szCs w:val="20"/>
                <w:lang w:eastAsia="en-GB"/>
              </w:rPr>
              <w:lastRenderedPageBreak/>
              <w:t>groundwater level per aquifer monitored. Understanding the seasonal and other short term changes is a necessary aspect of management of groundwater but should only be considered as part of the local management of the groundwater.</w:t>
            </w:r>
          </w:p>
          <w:p w14:paraId="27E97EE6" w14:textId="77777777" w:rsidR="00221C59" w:rsidRPr="00B36A5C" w:rsidRDefault="00221C59" w:rsidP="00221C59">
            <w:pPr>
              <w:pStyle w:val="ListParagraph"/>
              <w:numPr>
                <w:ilvl w:val="0"/>
                <w:numId w:val="59"/>
              </w:numPr>
              <w:spacing w:before="200"/>
              <w:jc w:val="both"/>
              <w:rPr>
                <w:rFonts w:ascii="Tw Cen MT Condensed" w:eastAsia="Times New Roman" w:hAnsi="Tw Cen MT Condensed" w:cs="Times New Roman"/>
                <w:color w:val="000000" w:themeColor="text1"/>
                <w:sz w:val="20"/>
                <w:szCs w:val="20"/>
                <w:lang w:eastAsia="en-GB"/>
              </w:rPr>
            </w:pPr>
            <w:r w:rsidRPr="00B36A5C">
              <w:rPr>
                <w:rFonts w:ascii="Tw Cen MT Condensed" w:eastAsia="Times New Roman" w:hAnsi="Tw Cen MT Condensed" w:cs="Times New Roman"/>
                <w:color w:val="000000" w:themeColor="text1"/>
                <w:sz w:val="20"/>
                <w:szCs w:val="20"/>
                <w:lang w:eastAsia="en-GB"/>
              </w:rPr>
              <w:t>Each aquifer monitored should have at minimum one borehole that can be used for groundwater level measurements.</w:t>
            </w:r>
          </w:p>
          <w:p w14:paraId="43B60F87" w14:textId="77777777" w:rsidR="00221C59" w:rsidRPr="00B36A5C" w:rsidRDefault="00221C59" w:rsidP="00221C59">
            <w:pPr>
              <w:jc w:val="both"/>
              <w:rPr>
                <w:rFonts w:eastAsia="Times New Roman" w:cs="Times New Roman"/>
                <w:color w:val="000000" w:themeColor="text1"/>
                <w:szCs w:val="20"/>
                <w:lang w:eastAsia="en-GB"/>
              </w:rPr>
            </w:pPr>
            <w:r w:rsidRPr="00B36A5C">
              <w:rPr>
                <w:rFonts w:eastAsia="Times New Roman" w:cs="Times New Roman"/>
                <w:color w:val="000000" w:themeColor="text1"/>
                <w:szCs w:val="20"/>
                <w:lang w:eastAsia="en-GB"/>
              </w:rPr>
              <w:t>Countries will submit 5 years of data on annual average groundwater level per basin to the custodian agencies, which will be averaged to smooth short-term variability. To generate national percentage change of discharge over time, a common reference period for all basins must be established. This baseline period will be used to calculate percentage change of groundwater quantity for any subsequent 5-year period. To calculate percentage change in quantity for each five year period following the reference period, the following formula is used:</w:t>
            </w:r>
          </w:p>
          <w:p w14:paraId="3A7E7CF1" w14:textId="77777777" w:rsidR="00221C59" w:rsidRPr="00B36A5C" w:rsidRDefault="00221C59" w:rsidP="00221C59">
            <w:pPr>
              <w:jc w:val="both"/>
              <w:rPr>
                <w:rFonts w:eastAsia="Times New Roman" w:cs="Times New Roman"/>
                <w:color w:val="000000" w:themeColor="text1"/>
                <w:szCs w:val="20"/>
                <w:lang w:eastAsia="en-GB"/>
              </w:rPr>
            </w:pPr>
          </w:p>
          <w:tbl>
            <w:tblPr>
              <w:tblStyle w:val="TableGrid"/>
              <w:tblpPr w:leftFromText="180" w:rightFromText="180" w:vertAnchor="text" w:horzAnchor="page" w:tblpX="6706"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tblGrid>
            <w:tr w:rsidR="00221C59" w:rsidRPr="00B36A5C" w14:paraId="0A8EB56A" w14:textId="77777777" w:rsidTr="00DB32C0">
              <w:trPr>
                <w:trHeight w:val="1790"/>
              </w:trPr>
              <w:tc>
                <w:tcPr>
                  <w:tcW w:w="4158" w:type="dxa"/>
                </w:tcPr>
                <w:p w14:paraId="218C0DA8" w14:textId="77777777" w:rsidR="00221C59" w:rsidRPr="00B36A5C" w:rsidRDefault="00221C59" w:rsidP="00221C59">
                  <w:pPr>
                    <w:jc w:val="both"/>
                    <w:rPr>
                      <w:rFonts w:eastAsia="Times New Roman" w:cs="Times New Roman"/>
                      <w:color w:val="000000" w:themeColor="text1"/>
                      <w:szCs w:val="20"/>
                      <w:lang w:val="en-GB" w:eastAsia="en-GB"/>
                    </w:rPr>
                  </w:pPr>
                  <w:r w:rsidRPr="00B36A5C">
                    <w:rPr>
                      <w:rFonts w:eastAsia="Times New Roman" w:cs="Times New Roman"/>
                      <w:color w:val="000000" w:themeColor="text1"/>
                      <w:szCs w:val="20"/>
                      <w:lang w:val="en-GB" w:eastAsia="en-GB"/>
                    </w:rPr>
                    <w:t xml:space="preserve">Where </w:t>
                  </w:r>
                  <m:oMath>
                    <m:r>
                      <m:rPr>
                        <m:sty m:val="p"/>
                      </m:rPr>
                      <w:rPr>
                        <w:rFonts w:ascii="Cambria Math" w:eastAsia="Times New Roman" w:hAnsi="Cambria Math" w:cs="Times New Roman"/>
                        <w:color w:val="000000" w:themeColor="text1"/>
                        <w:szCs w:val="20"/>
                        <w:lang w:val="en-GB" w:eastAsia="en-GB"/>
                      </w:rPr>
                      <m:t xml:space="preserve"> β </m:t>
                    </m:r>
                  </m:oMath>
                  <w:r w:rsidRPr="00B36A5C">
                    <w:rPr>
                      <w:rFonts w:eastAsia="Times New Roman" w:cs="Times New Roman"/>
                      <w:color w:val="000000" w:themeColor="text1"/>
                      <w:szCs w:val="20"/>
                      <w:lang w:val="en-GB" w:eastAsia="en-GB"/>
                    </w:rPr>
                    <w:t xml:space="preserve">= historical 5 year reference groundwater level </w:t>
                  </w:r>
                </w:p>
                <w:p w14:paraId="14F4B349" w14:textId="77777777" w:rsidR="00221C59" w:rsidRPr="00B36A5C" w:rsidRDefault="00221C59" w:rsidP="00221C59">
                  <w:pPr>
                    <w:jc w:val="both"/>
                    <w:rPr>
                      <w:rFonts w:eastAsia="Times New Roman" w:cs="Times New Roman"/>
                      <w:color w:val="000000" w:themeColor="text1"/>
                      <w:szCs w:val="20"/>
                      <w:lang w:val="en-GB" w:eastAsia="en-GB"/>
                    </w:rPr>
                  </w:pPr>
                  <w:r w:rsidRPr="00B36A5C">
                    <w:rPr>
                      <w:rFonts w:eastAsia="Times New Roman" w:cs="Times New Roman"/>
                      <w:color w:val="000000" w:themeColor="text1"/>
                      <w:szCs w:val="20"/>
                      <w:lang w:val="en-GB" w:eastAsia="en-GB"/>
                    </w:rPr>
                    <w:t xml:space="preserve">Where </w:t>
                  </w:r>
                  <m:oMath>
                    <m:r>
                      <m:rPr>
                        <m:sty m:val="p"/>
                      </m:rPr>
                      <w:rPr>
                        <w:rFonts w:ascii="Cambria Math" w:eastAsia="Times New Roman" w:hAnsi="Cambria Math" w:cs="Times New Roman"/>
                        <w:color w:val="000000" w:themeColor="text1"/>
                        <w:szCs w:val="20"/>
                        <w:lang w:val="en-GB" w:eastAsia="en-GB"/>
                      </w:rPr>
                      <m:t>γ</m:t>
                    </m:r>
                  </m:oMath>
                  <w:r w:rsidRPr="00B36A5C">
                    <w:rPr>
                      <w:rFonts w:eastAsia="Times New Roman" w:cs="Times New Roman"/>
                      <w:color w:val="000000" w:themeColor="text1"/>
                      <w:szCs w:val="20"/>
                      <w:lang w:val="en-GB" w:eastAsia="en-GB"/>
                    </w:rPr>
                    <w:t xml:space="preserve"> = the average groundwater level of 5 year period of interest</w:t>
                  </w:r>
                </w:p>
              </w:tc>
            </w:tr>
          </w:tbl>
          <w:p w14:paraId="1FD25856" w14:textId="77777777" w:rsidR="00221C59" w:rsidRPr="00B36A5C" w:rsidRDefault="00221C59" w:rsidP="00221C59">
            <w:pPr>
              <w:jc w:val="both"/>
              <w:rPr>
                <w:rFonts w:eastAsia="Times New Roman" w:cs="Times New Roman"/>
                <w:color w:val="000000" w:themeColor="text1"/>
                <w:szCs w:val="20"/>
                <w:lang w:eastAsia="en-GB"/>
              </w:rPr>
            </w:pPr>
            <m:oMathPara>
              <m:oMath>
                <m:r>
                  <m:rPr>
                    <m:sty m:val="p"/>
                  </m:rPr>
                  <w:rPr>
                    <w:rFonts w:ascii="Cambria Math" w:eastAsia="Times New Roman" w:hAnsi="Cambria Math" w:cs="Times New Roman"/>
                    <w:color w:val="000000" w:themeColor="text1"/>
                    <w:szCs w:val="20"/>
                    <w:lang w:eastAsia="en-GB"/>
                  </w:rPr>
                  <m:t>Percentage Change in Quantity=</m:t>
                </m:r>
                <m:f>
                  <m:fPr>
                    <m:ctrlPr>
                      <w:rPr>
                        <w:rFonts w:ascii="Cambria Math" w:eastAsia="Times New Roman" w:hAnsi="Cambria Math" w:cs="Times New Roman"/>
                        <w:color w:val="000000" w:themeColor="text1"/>
                        <w:szCs w:val="20"/>
                        <w:lang w:eastAsia="en-GB"/>
                      </w:rPr>
                    </m:ctrlPr>
                  </m:fPr>
                  <m:num>
                    <m:d>
                      <m:dPr>
                        <m:ctrlPr>
                          <w:rPr>
                            <w:rFonts w:ascii="Cambria Math" w:eastAsia="Times New Roman" w:hAnsi="Cambria Math" w:cs="Times New Roman"/>
                            <w:color w:val="000000" w:themeColor="text1"/>
                            <w:szCs w:val="20"/>
                            <w:lang w:eastAsia="en-GB"/>
                          </w:rPr>
                        </m:ctrlPr>
                      </m:dPr>
                      <m:e>
                        <m:r>
                          <m:rPr>
                            <m:sty m:val="p"/>
                          </m:rPr>
                          <w:rPr>
                            <w:rFonts w:ascii="Cambria Math" w:eastAsia="Times New Roman" w:hAnsi="Cambria Math" w:cs="Times New Roman"/>
                            <w:color w:val="000000" w:themeColor="text1"/>
                            <w:szCs w:val="20"/>
                            <w:lang w:eastAsia="en-GB"/>
                          </w:rPr>
                          <m:t>β-γ</m:t>
                        </m:r>
                      </m:e>
                    </m:d>
                  </m:num>
                  <m:den>
                    <m:r>
                      <m:rPr>
                        <m:sty m:val="p"/>
                      </m:rPr>
                      <w:rPr>
                        <w:rFonts w:ascii="Cambria Math" w:eastAsia="Times New Roman" w:hAnsi="Cambria Math" w:cs="Times New Roman"/>
                        <w:color w:val="000000" w:themeColor="text1"/>
                        <w:szCs w:val="20"/>
                        <w:lang w:eastAsia="en-GB"/>
                      </w:rPr>
                      <m:t>β</m:t>
                    </m:r>
                  </m:den>
                </m:f>
                <m:r>
                  <m:rPr>
                    <m:sty m:val="p"/>
                  </m:rPr>
                  <w:rPr>
                    <w:rFonts w:ascii="Cambria Math" w:eastAsia="Times New Roman" w:hAnsi="Cambria Math" w:cs="Times New Roman"/>
                    <w:color w:val="000000" w:themeColor="text1"/>
                    <w:szCs w:val="20"/>
                    <w:lang w:eastAsia="en-GB"/>
                  </w:rPr>
                  <m:t>×100</m:t>
                </m:r>
              </m:oMath>
            </m:oMathPara>
          </w:p>
          <w:p w14:paraId="639390E4" w14:textId="77777777" w:rsidR="00221C59" w:rsidRDefault="00221C59" w:rsidP="00221C59">
            <w:pPr>
              <w:pStyle w:val="NoSpacing"/>
              <w:rPr>
                <w:rStyle w:val="fontstyle01"/>
                <w:rFonts w:ascii="Tw Cen MT Condensed" w:hAnsi="Tw Cen MT Condensed"/>
                <w:b w:val="0"/>
                <w:bCs w:val="0"/>
                <w:color w:val="000000" w:themeColor="text1"/>
              </w:rPr>
            </w:pPr>
          </w:p>
          <w:p w14:paraId="2F2A56C4" w14:textId="77777777" w:rsidR="00221C59" w:rsidRPr="00983190" w:rsidRDefault="00221C59" w:rsidP="00221C59">
            <w:pPr>
              <w:pStyle w:val="NoSpacing"/>
              <w:rPr>
                <w:rStyle w:val="fontstyle01"/>
                <w:rFonts w:ascii="Tw Cen MT Condensed" w:hAnsi="Tw Cen MT Condensed"/>
                <w:bCs w:val="0"/>
                <w:color w:val="000000" w:themeColor="text1"/>
              </w:rPr>
            </w:pPr>
            <w:r w:rsidRPr="00983190">
              <w:rPr>
                <w:rStyle w:val="fontstyle01"/>
                <w:rFonts w:ascii="Tw Cen MT Condensed" w:hAnsi="Tw Cen MT Condensed"/>
                <w:bCs w:val="0"/>
                <w:color w:val="000000" w:themeColor="text1"/>
              </w:rPr>
              <w:t>b)</w:t>
            </w:r>
            <w:r w:rsidRPr="00983190">
              <w:t xml:space="preserve"> </w:t>
            </w:r>
            <w:r w:rsidRPr="00983190">
              <w:rPr>
                <w:rStyle w:val="fontstyle01"/>
                <w:rFonts w:ascii="Tw Cen MT Condensed" w:hAnsi="Tw Cen MT Condensed"/>
                <w:bCs w:val="0"/>
                <w:color w:val="000000" w:themeColor="text1"/>
              </w:rPr>
              <w:t>Definition:</w:t>
            </w:r>
          </w:p>
          <w:p w14:paraId="064F722D"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30DBDB13"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Extent of wetlands: this term can be defined as the surface area of wetlands. It is measured in km2 or hectares. It is expected that the surface reported by countries corresponds to the 2017 situation; if not, the reference year should be indicated. </w:t>
            </w:r>
          </w:p>
          <w:p w14:paraId="7D70409D"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566BC9A2" w14:textId="77777777" w:rsidR="00221C59"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Change in the extent of wetlands: this term refers to the percentage change in area of wetlands from a baseline reference. For reporting such change, the previous extent, if known, and the period over which the change has taken place should be specified.</w:t>
            </w:r>
          </w:p>
          <w:p w14:paraId="00233CC6" w14:textId="77777777" w:rsidR="00221C59" w:rsidRDefault="00221C59" w:rsidP="00221C59">
            <w:pPr>
              <w:pStyle w:val="NoSpacing"/>
              <w:rPr>
                <w:rStyle w:val="fontstyle01"/>
                <w:rFonts w:ascii="Tw Cen MT Condensed" w:hAnsi="Tw Cen MT Condensed"/>
                <w:b w:val="0"/>
                <w:bCs w:val="0"/>
                <w:color w:val="000000" w:themeColor="text1"/>
              </w:rPr>
            </w:pPr>
          </w:p>
          <w:p w14:paraId="62DF2123" w14:textId="77777777" w:rsidR="00221C59" w:rsidRPr="00983190" w:rsidRDefault="00221C59" w:rsidP="00221C59">
            <w:pPr>
              <w:pStyle w:val="NoSpacing"/>
              <w:rPr>
                <w:rStyle w:val="fontstyle01"/>
                <w:rFonts w:ascii="Tw Cen MT Condensed" w:hAnsi="Tw Cen MT Condensed"/>
                <w:bCs w:val="0"/>
                <w:color w:val="000000" w:themeColor="text1"/>
              </w:rPr>
            </w:pPr>
            <w:r w:rsidRPr="00983190">
              <w:rPr>
                <w:rStyle w:val="fontstyle01"/>
                <w:rFonts w:ascii="Tw Cen MT Condensed" w:hAnsi="Tw Cen MT Condensed"/>
                <w:bCs w:val="0"/>
                <w:color w:val="000000" w:themeColor="text1"/>
              </w:rPr>
              <w:t>Concepts:</w:t>
            </w:r>
          </w:p>
          <w:p w14:paraId="2507382D"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2102CCE6"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In order to provide a precise definition of the indicator, it is crucial to provide a definition of  </w:t>
            </w:r>
          </w:p>
          <w:p w14:paraId="037B5007"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lastRenderedPageBreak/>
              <w:t>“Water related ecosystems”.</w:t>
            </w:r>
          </w:p>
          <w:p w14:paraId="2CB9C00F"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6D09DD08"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w:t>
            </w:r>
            <w:r w:rsidRPr="00983190">
              <w:rPr>
                <w:rStyle w:val="fontstyle01"/>
                <w:rFonts w:ascii="Tw Cen MT Condensed" w:hAnsi="Tw Cen MT Condensed"/>
                <w:b w:val="0"/>
                <w:bCs w:val="0"/>
                <w:color w:val="000000" w:themeColor="text1"/>
              </w:rPr>
              <w:tab/>
              <w:t>the Ramsar definition of “wetlands”</w:t>
            </w:r>
          </w:p>
          <w:p w14:paraId="2E717717"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51F27882"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The Ramsar definition is very broad, reflecting the purpose and global coverage of the Convention:</w:t>
            </w:r>
          </w:p>
          <w:p w14:paraId="5E05F42F"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25758A90"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In accordance with Article 1.1 of the Convention, </w:t>
            </w:r>
          </w:p>
          <w:p w14:paraId="295187D6"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“Wetlands are areas of marsh, fen, peatland or water, whether natural or artificial, permanent or temporary, with water that is static or flowing, fresh, brackish or salt, including areas of marine water the depth of which at low tide does not exceed six metres”.</w:t>
            </w:r>
          </w:p>
          <w:p w14:paraId="37D4E832"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7DDC9CA1"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In addition, in accordance with Article 2.1, Ramsar Sites </w:t>
            </w:r>
          </w:p>
          <w:p w14:paraId="1371BDDC"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w:t>
            </w:r>
            <w:proofErr w:type="gramStart"/>
            <w:r w:rsidRPr="00983190">
              <w:rPr>
                <w:rStyle w:val="fontstyle01"/>
                <w:rFonts w:ascii="Tw Cen MT Condensed" w:hAnsi="Tw Cen MT Condensed"/>
                <w:b w:val="0"/>
                <w:bCs w:val="0"/>
                <w:color w:val="000000" w:themeColor="text1"/>
              </w:rPr>
              <w:t>may</w:t>
            </w:r>
            <w:proofErr w:type="gramEnd"/>
            <w:r w:rsidRPr="00983190">
              <w:rPr>
                <w:rStyle w:val="fontstyle01"/>
                <w:rFonts w:ascii="Tw Cen MT Condensed" w:hAnsi="Tw Cen MT Condensed"/>
                <w:b w:val="0"/>
                <w:bCs w:val="0"/>
                <w:color w:val="000000" w:themeColor="text1"/>
              </w:rPr>
              <w:t xml:space="preserve"> incorporate riparian and coastal zones adjacent to the wetlands, and islands or bodies of marine water deeper than six metres at low tide lying within the wetlands”.</w:t>
            </w:r>
          </w:p>
          <w:p w14:paraId="0D8D4DA8"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00E8EA5F"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w:t>
            </w:r>
            <w:r w:rsidRPr="00983190">
              <w:rPr>
                <w:rStyle w:val="fontstyle01"/>
                <w:rFonts w:ascii="Tw Cen MT Condensed" w:hAnsi="Tw Cen MT Condensed"/>
                <w:b w:val="0"/>
                <w:bCs w:val="0"/>
                <w:color w:val="000000" w:themeColor="text1"/>
              </w:rPr>
              <w:tab/>
              <w:t>the Ramsar system of classifying wetland types</w:t>
            </w:r>
          </w:p>
          <w:p w14:paraId="0273E4CE"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331D5F58"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Many national definitions and classifications of “wetlands” are in use. They have been developed in response to different national needs and take into account the main biophysical features (generally vegetation, landform and water regime, and sometimes also water chemistry such as salinity) and the variety and size of wetlands in the locality or region being considered.</w:t>
            </w:r>
          </w:p>
          <w:p w14:paraId="08DF9444"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04479F01"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The Ramsar Classification System for Wetland Types, adopted at COP4 in 1990, and amended at COP6 in 1996 (Resolution VI.5) and at COP7 in 1999 (Resolution VII.11) has value as a basic internationally applicable habitat description for sites designated for the Ramsar List of Wetlands of International Importance.</w:t>
            </w:r>
          </w:p>
          <w:p w14:paraId="4AAB9E3A"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34E1E363"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The System (see Annex 1) describes the types of wetland covered by each of the wetland type codes. Note that the wetland types are grouped in three major categories: marine/coastal, inland, and human-made wetlands. Within a single Ramsar Site or other wetland, there may be wetland types from two or more of these categories, particularly if the wetland is large. </w:t>
            </w:r>
          </w:p>
          <w:p w14:paraId="58DD13B2"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34497F7D" w14:textId="77777777" w:rsidR="00221C59"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For the purpose of the Target and Indicator, and based on the National Reports Parties report on the use of the three major categories. Countries also use Ramsar definition that has been internationally agreed under the Convention. The minimum information that should be provided is the total area of wetlands for each of these three categories with an emphasis on inland wetlands or freshwater ecosystems for purpose of indicator 6.6.1 (see table below, the explanations of each wetland </w:t>
            </w:r>
            <w:proofErr w:type="gramStart"/>
            <w:r w:rsidRPr="00983190">
              <w:rPr>
                <w:rStyle w:val="fontstyle01"/>
                <w:rFonts w:ascii="Tw Cen MT Condensed" w:hAnsi="Tw Cen MT Condensed"/>
                <w:b w:val="0"/>
                <w:bCs w:val="0"/>
                <w:color w:val="000000" w:themeColor="text1"/>
              </w:rPr>
              <w:t>type  code</w:t>
            </w:r>
            <w:proofErr w:type="gramEnd"/>
            <w:r w:rsidRPr="00983190">
              <w:rPr>
                <w:rStyle w:val="fontstyle01"/>
                <w:rFonts w:ascii="Tw Cen MT Condensed" w:hAnsi="Tw Cen MT Condensed"/>
                <w:b w:val="0"/>
                <w:bCs w:val="0"/>
                <w:color w:val="000000" w:themeColor="text1"/>
              </w:rPr>
              <w:t xml:space="preserve"> is in Annex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681"/>
              <w:gridCol w:w="879"/>
              <w:gridCol w:w="1414"/>
              <w:gridCol w:w="1358"/>
              <w:gridCol w:w="622"/>
            </w:tblGrid>
            <w:tr w:rsidR="00221C59" w:rsidRPr="00EB07A5" w14:paraId="41E1AB59" w14:textId="77777777" w:rsidTr="00DB32C0">
              <w:trPr>
                <w:trHeight w:val="144"/>
              </w:trPr>
              <w:tc>
                <w:tcPr>
                  <w:tcW w:w="681" w:type="dxa"/>
                  <w:vMerge w:val="restart"/>
                  <w:vAlign w:val="center"/>
                </w:tcPr>
                <w:p w14:paraId="02ACA080" w14:textId="77777777" w:rsidR="00221C59" w:rsidRPr="00EB07A5" w:rsidRDefault="00221C59" w:rsidP="00221C59">
                  <w:r w:rsidRPr="00EB07A5">
                    <w:lastRenderedPageBreak/>
                    <w:t>Fresh water</w:t>
                  </w:r>
                </w:p>
              </w:tc>
              <w:tc>
                <w:tcPr>
                  <w:tcW w:w="879" w:type="dxa"/>
                  <w:vMerge w:val="restart"/>
                  <w:vAlign w:val="center"/>
                </w:tcPr>
                <w:p w14:paraId="339609EB" w14:textId="77777777" w:rsidR="00221C59" w:rsidRPr="00EB07A5" w:rsidRDefault="00221C59" w:rsidP="00221C59">
                  <w:r w:rsidRPr="00EB07A5">
                    <w:t>Flowing water</w:t>
                  </w:r>
                </w:p>
              </w:tc>
              <w:tc>
                <w:tcPr>
                  <w:tcW w:w="1358" w:type="dxa"/>
                  <w:vMerge w:val="restart"/>
                  <w:vAlign w:val="center"/>
                </w:tcPr>
                <w:p w14:paraId="1E0757CA" w14:textId="77777777" w:rsidR="00221C59" w:rsidRPr="00EB07A5" w:rsidRDefault="00221C59" w:rsidP="00221C59">
                  <w:r w:rsidRPr="00EB07A5">
                    <w:t>Permanent</w:t>
                  </w:r>
                </w:p>
              </w:tc>
              <w:tc>
                <w:tcPr>
                  <w:tcW w:w="1358" w:type="dxa"/>
                  <w:vAlign w:val="center"/>
                </w:tcPr>
                <w:p w14:paraId="1ABF9B94" w14:textId="77777777" w:rsidR="00221C59" w:rsidRPr="00EB07A5" w:rsidRDefault="00221C59" w:rsidP="00221C59">
                  <w:r w:rsidRPr="00EB07A5">
                    <w:t xml:space="preserve">Rivers, streams, creeks </w:t>
                  </w:r>
                </w:p>
              </w:tc>
              <w:tc>
                <w:tcPr>
                  <w:tcW w:w="622" w:type="dxa"/>
                  <w:vAlign w:val="center"/>
                </w:tcPr>
                <w:p w14:paraId="43C04346" w14:textId="77777777" w:rsidR="00221C59" w:rsidRPr="00EB07A5" w:rsidRDefault="00221C59" w:rsidP="00221C59">
                  <w:r w:rsidRPr="00EB07A5">
                    <w:t>M</w:t>
                  </w:r>
                </w:p>
              </w:tc>
            </w:tr>
            <w:tr w:rsidR="00221C59" w:rsidRPr="00EB07A5" w14:paraId="3E24D6F6" w14:textId="77777777" w:rsidTr="00DB32C0">
              <w:trPr>
                <w:trHeight w:val="144"/>
              </w:trPr>
              <w:tc>
                <w:tcPr>
                  <w:tcW w:w="681" w:type="dxa"/>
                  <w:vMerge/>
                  <w:vAlign w:val="center"/>
                </w:tcPr>
                <w:p w14:paraId="097743C9" w14:textId="77777777" w:rsidR="00221C59" w:rsidRPr="00EB07A5" w:rsidRDefault="00221C59" w:rsidP="00221C59"/>
              </w:tc>
              <w:tc>
                <w:tcPr>
                  <w:tcW w:w="879" w:type="dxa"/>
                  <w:vMerge/>
                  <w:vAlign w:val="center"/>
                </w:tcPr>
                <w:p w14:paraId="3F703050" w14:textId="77777777" w:rsidR="00221C59" w:rsidRPr="00EB07A5" w:rsidRDefault="00221C59" w:rsidP="00221C59"/>
              </w:tc>
              <w:tc>
                <w:tcPr>
                  <w:tcW w:w="1358" w:type="dxa"/>
                  <w:vMerge/>
                  <w:vAlign w:val="center"/>
                </w:tcPr>
                <w:p w14:paraId="4DFA530A" w14:textId="77777777" w:rsidR="00221C59" w:rsidRPr="00EB07A5" w:rsidRDefault="00221C59" w:rsidP="00221C59"/>
              </w:tc>
              <w:tc>
                <w:tcPr>
                  <w:tcW w:w="1358" w:type="dxa"/>
                  <w:vAlign w:val="center"/>
                </w:tcPr>
                <w:p w14:paraId="175088A4" w14:textId="77777777" w:rsidR="00221C59" w:rsidRPr="00EB07A5" w:rsidRDefault="00221C59" w:rsidP="00221C59">
                  <w:r w:rsidRPr="00EB07A5">
                    <w:t>Deltas</w:t>
                  </w:r>
                </w:p>
              </w:tc>
              <w:tc>
                <w:tcPr>
                  <w:tcW w:w="622" w:type="dxa"/>
                  <w:vAlign w:val="center"/>
                </w:tcPr>
                <w:p w14:paraId="0796C589" w14:textId="77777777" w:rsidR="00221C59" w:rsidRPr="00EB07A5" w:rsidRDefault="00221C59" w:rsidP="00221C59">
                  <w:r w:rsidRPr="00EB07A5">
                    <w:t>L</w:t>
                  </w:r>
                </w:p>
              </w:tc>
            </w:tr>
            <w:tr w:rsidR="00221C59" w:rsidRPr="00EB07A5" w14:paraId="3825D8BB" w14:textId="77777777" w:rsidTr="00DB32C0">
              <w:trPr>
                <w:trHeight w:val="144"/>
              </w:trPr>
              <w:tc>
                <w:tcPr>
                  <w:tcW w:w="681" w:type="dxa"/>
                  <w:vMerge/>
                  <w:vAlign w:val="center"/>
                </w:tcPr>
                <w:p w14:paraId="26576C11" w14:textId="77777777" w:rsidR="00221C59" w:rsidRPr="00EB07A5" w:rsidRDefault="00221C59" w:rsidP="00221C59"/>
              </w:tc>
              <w:tc>
                <w:tcPr>
                  <w:tcW w:w="879" w:type="dxa"/>
                  <w:vMerge/>
                  <w:vAlign w:val="center"/>
                </w:tcPr>
                <w:p w14:paraId="02D993B5" w14:textId="77777777" w:rsidR="00221C59" w:rsidRPr="00EB07A5" w:rsidRDefault="00221C59" w:rsidP="00221C59"/>
              </w:tc>
              <w:tc>
                <w:tcPr>
                  <w:tcW w:w="1358" w:type="dxa"/>
                  <w:vMerge/>
                  <w:vAlign w:val="center"/>
                </w:tcPr>
                <w:p w14:paraId="70043DD3" w14:textId="77777777" w:rsidR="00221C59" w:rsidRPr="00EB07A5" w:rsidRDefault="00221C59" w:rsidP="00221C59"/>
              </w:tc>
              <w:tc>
                <w:tcPr>
                  <w:tcW w:w="1358" w:type="dxa"/>
                  <w:vAlign w:val="center"/>
                </w:tcPr>
                <w:p w14:paraId="6DC4B4E6" w14:textId="77777777" w:rsidR="00221C59" w:rsidRPr="00EB07A5" w:rsidRDefault="00221C59" w:rsidP="00221C59">
                  <w:r>
                    <w:t xml:space="preserve"> </w:t>
                  </w:r>
                  <w:r w:rsidRPr="00EB07A5">
                    <w:t>Springs, oases</w:t>
                  </w:r>
                </w:p>
              </w:tc>
              <w:tc>
                <w:tcPr>
                  <w:tcW w:w="622" w:type="dxa"/>
                  <w:vAlign w:val="center"/>
                </w:tcPr>
                <w:p w14:paraId="2E5CC607" w14:textId="77777777" w:rsidR="00221C59" w:rsidRPr="00EB07A5" w:rsidRDefault="00221C59" w:rsidP="00221C59">
                  <w:r w:rsidRPr="00EB07A5">
                    <w:t>Y</w:t>
                  </w:r>
                </w:p>
              </w:tc>
            </w:tr>
            <w:tr w:rsidR="00221C59" w:rsidRPr="00EB07A5" w14:paraId="35B1EEC6" w14:textId="77777777" w:rsidTr="00DB32C0">
              <w:trPr>
                <w:cantSplit/>
                <w:trHeight w:val="144"/>
              </w:trPr>
              <w:tc>
                <w:tcPr>
                  <w:tcW w:w="681" w:type="dxa"/>
                  <w:vMerge/>
                  <w:vAlign w:val="center"/>
                </w:tcPr>
                <w:p w14:paraId="1EF83DC6" w14:textId="77777777" w:rsidR="00221C59" w:rsidRPr="00EB07A5" w:rsidRDefault="00221C59" w:rsidP="00221C59"/>
              </w:tc>
              <w:tc>
                <w:tcPr>
                  <w:tcW w:w="879" w:type="dxa"/>
                  <w:vMerge/>
                  <w:vAlign w:val="center"/>
                </w:tcPr>
                <w:p w14:paraId="3466A57B" w14:textId="77777777" w:rsidR="00221C59" w:rsidRPr="00EB07A5" w:rsidRDefault="00221C59" w:rsidP="00221C59"/>
              </w:tc>
              <w:tc>
                <w:tcPr>
                  <w:tcW w:w="1358" w:type="dxa"/>
                  <w:vAlign w:val="center"/>
                </w:tcPr>
                <w:p w14:paraId="60E71D46" w14:textId="77777777" w:rsidR="00221C59" w:rsidRPr="00EB07A5" w:rsidRDefault="00221C59" w:rsidP="00221C59">
                  <w:r w:rsidRPr="00EB07A5">
                    <w:t>Seasonal/intermittent</w:t>
                  </w:r>
                </w:p>
              </w:tc>
              <w:tc>
                <w:tcPr>
                  <w:tcW w:w="1358" w:type="dxa"/>
                  <w:vAlign w:val="center"/>
                </w:tcPr>
                <w:p w14:paraId="1D5AEC1C" w14:textId="77777777" w:rsidR="00221C59" w:rsidRPr="00EB07A5" w:rsidRDefault="00221C59" w:rsidP="00221C59">
                  <w:r w:rsidRPr="00EB07A5">
                    <w:t>Rivers, streams, creeks</w:t>
                  </w:r>
                </w:p>
              </w:tc>
              <w:tc>
                <w:tcPr>
                  <w:tcW w:w="622" w:type="dxa"/>
                </w:tcPr>
                <w:p w14:paraId="4420B44E" w14:textId="77777777" w:rsidR="00221C59" w:rsidRPr="00EB07A5" w:rsidRDefault="00221C59" w:rsidP="00221C59">
                  <w:r w:rsidRPr="00EB07A5">
                    <w:t>N</w:t>
                  </w:r>
                </w:p>
              </w:tc>
            </w:tr>
            <w:tr w:rsidR="00221C59" w:rsidRPr="00EB07A5" w14:paraId="6DBEDBE0" w14:textId="77777777" w:rsidTr="00DB32C0">
              <w:trPr>
                <w:trHeight w:val="144"/>
              </w:trPr>
              <w:tc>
                <w:tcPr>
                  <w:tcW w:w="681" w:type="dxa"/>
                  <w:vMerge/>
                  <w:vAlign w:val="center"/>
                </w:tcPr>
                <w:p w14:paraId="062204FD" w14:textId="77777777" w:rsidR="00221C59" w:rsidRPr="00EB07A5" w:rsidRDefault="00221C59" w:rsidP="00221C59"/>
              </w:tc>
              <w:tc>
                <w:tcPr>
                  <w:tcW w:w="879" w:type="dxa"/>
                  <w:vMerge w:val="restart"/>
                  <w:vAlign w:val="center"/>
                </w:tcPr>
                <w:p w14:paraId="62261654" w14:textId="77777777" w:rsidR="00221C59" w:rsidRPr="00EB07A5" w:rsidRDefault="00221C59" w:rsidP="00221C59">
                  <w:r w:rsidRPr="00EB07A5">
                    <w:t>Lakes and pools</w:t>
                  </w:r>
                </w:p>
              </w:tc>
              <w:tc>
                <w:tcPr>
                  <w:tcW w:w="1358" w:type="dxa"/>
                  <w:vMerge w:val="restart"/>
                  <w:vAlign w:val="center"/>
                </w:tcPr>
                <w:p w14:paraId="6A338C19" w14:textId="77777777" w:rsidR="00221C59" w:rsidRPr="00EB07A5" w:rsidRDefault="00221C59" w:rsidP="00221C59">
                  <w:r w:rsidRPr="00EB07A5">
                    <w:t>Permanent</w:t>
                  </w:r>
                </w:p>
              </w:tc>
              <w:tc>
                <w:tcPr>
                  <w:tcW w:w="1358" w:type="dxa"/>
                  <w:vAlign w:val="center"/>
                </w:tcPr>
                <w:p w14:paraId="56929763" w14:textId="77777777" w:rsidR="00221C59" w:rsidRPr="00EB07A5" w:rsidRDefault="00221C59" w:rsidP="00221C59">
                  <w:r w:rsidRPr="00EB07A5">
                    <w:t>&gt; 8 ha</w:t>
                  </w:r>
                </w:p>
              </w:tc>
              <w:tc>
                <w:tcPr>
                  <w:tcW w:w="622" w:type="dxa"/>
                </w:tcPr>
                <w:p w14:paraId="50C697EA" w14:textId="77777777" w:rsidR="00221C59" w:rsidRPr="00EB07A5" w:rsidRDefault="00221C59" w:rsidP="00221C59">
                  <w:r w:rsidRPr="00EB07A5">
                    <w:t>O</w:t>
                  </w:r>
                </w:p>
              </w:tc>
            </w:tr>
            <w:tr w:rsidR="00221C59" w:rsidRPr="00EB07A5" w14:paraId="73C657D8" w14:textId="77777777" w:rsidTr="00DB32C0">
              <w:trPr>
                <w:trHeight w:val="144"/>
              </w:trPr>
              <w:tc>
                <w:tcPr>
                  <w:tcW w:w="681" w:type="dxa"/>
                  <w:vMerge/>
                  <w:vAlign w:val="center"/>
                </w:tcPr>
                <w:p w14:paraId="4E06017B" w14:textId="77777777" w:rsidR="00221C59" w:rsidRPr="00EB07A5" w:rsidRDefault="00221C59" w:rsidP="00221C59"/>
              </w:tc>
              <w:tc>
                <w:tcPr>
                  <w:tcW w:w="879" w:type="dxa"/>
                  <w:vMerge/>
                  <w:vAlign w:val="center"/>
                </w:tcPr>
                <w:p w14:paraId="5773B51B" w14:textId="77777777" w:rsidR="00221C59" w:rsidRPr="00EB07A5" w:rsidRDefault="00221C59" w:rsidP="00221C59"/>
              </w:tc>
              <w:tc>
                <w:tcPr>
                  <w:tcW w:w="1358" w:type="dxa"/>
                  <w:vMerge/>
                  <w:vAlign w:val="center"/>
                </w:tcPr>
                <w:p w14:paraId="0CF7BC75" w14:textId="77777777" w:rsidR="00221C59" w:rsidRPr="00EB07A5" w:rsidRDefault="00221C59" w:rsidP="00221C59"/>
              </w:tc>
              <w:tc>
                <w:tcPr>
                  <w:tcW w:w="1358" w:type="dxa"/>
                  <w:vAlign w:val="center"/>
                </w:tcPr>
                <w:p w14:paraId="17057A58" w14:textId="77777777" w:rsidR="00221C59" w:rsidRPr="00EB07A5" w:rsidRDefault="00221C59" w:rsidP="00221C59">
                  <w:r w:rsidRPr="00EB07A5">
                    <w:t>&lt; 8 ha</w:t>
                  </w:r>
                </w:p>
              </w:tc>
              <w:tc>
                <w:tcPr>
                  <w:tcW w:w="622" w:type="dxa"/>
                </w:tcPr>
                <w:p w14:paraId="48335164" w14:textId="77777777" w:rsidR="00221C59" w:rsidRPr="00EB07A5" w:rsidRDefault="00221C59" w:rsidP="00221C59">
                  <w:r w:rsidRPr="00EB07A5">
                    <w:t>Tp</w:t>
                  </w:r>
                </w:p>
              </w:tc>
            </w:tr>
            <w:tr w:rsidR="00221C59" w:rsidRPr="00EB07A5" w14:paraId="564A148A" w14:textId="77777777" w:rsidTr="00DB32C0">
              <w:trPr>
                <w:trHeight w:val="144"/>
              </w:trPr>
              <w:tc>
                <w:tcPr>
                  <w:tcW w:w="681" w:type="dxa"/>
                  <w:vMerge/>
                  <w:vAlign w:val="center"/>
                </w:tcPr>
                <w:p w14:paraId="1B24F69A" w14:textId="77777777" w:rsidR="00221C59" w:rsidRPr="00EB07A5" w:rsidRDefault="00221C59" w:rsidP="00221C59"/>
              </w:tc>
              <w:tc>
                <w:tcPr>
                  <w:tcW w:w="879" w:type="dxa"/>
                  <w:vMerge/>
                  <w:vAlign w:val="center"/>
                </w:tcPr>
                <w:p w14:paraId="7415329B" w14:textId="77777777" w:rsidR="00221C59" w:rsidRPr="00EB07A5" w:rsidRDefault="00221C59" w:rsidP="00221C59"/>
              </w:tc>
              <w:tc>
                <w:tcPr>
                  <w:tcW w:w="1358" w:type="dxa"/>
                  <w:vAlign w:val="center"/>
                </w:tcPr>
                <w:p w14:paraId="6C435B24" w14:textId="77777777" w:rsidR="00221C59" w:rsidRPr="00EB07A5" w:rsidRDefault="00221C59" w:rsidP="00221C59">
                  <w:r w:rsidRPr="00EB07A5">
                    <w:t>Seasonal/intermittent</w:t>
                  </w:r>
                </w:p>
              </w:tc>
              <w:tc>
                <w:tcPr>
                  <w:tcW w:w="1358" w:type="dxa"/>
                  <w:vAlign w:val="center"/>
                </w:tcPr>
                <w:p w14:paraId="6F0C7793" w14:textId="77777777" w:rsidR="00221C59" w:rsidRPr="00EB07A5" w:rsidRDefault="00221C59" w:rsidP="00221C59">
                  <w:r w:rsidRPr="00EB07A5">
                    <w:t>&gt; 8 ha</w:t>
                  </w:r>
                </w:p>
              </w:tc>
              <w:tc>
                <w:tcPr>
                  <w:tcW w:w="622" w:type="dxa"/>
                </w:tcPr>
                <w:p w14:paraId="4C543A36" w14:textId="77777777" w:rsidR="00221C59" w:rsidRPr="00EB07A5" w:rsidRDefault="00221C59" w:rsidP="00221C59">
                  <w:r w:rsidRPr="00EB07A5">
                    <w:t>P</w:t>
                  </w:r>
                </w:p>
              </w:tc>
            </w:tr>
            <w:tr w:rsidR="00221C59" w:rsidRPr="00EB07A5" w14:paraId="656CE217" w14:textId="77777777" w:rsidTr="00DB32C0">
              <w:trPr>
                <w:cantSplit/>
                <w:trHeight w:val="144"/>
              </w:trPr>
              <w:tc>
                <w:tcPr>
                  <w:tcW w:w="681" w:type="dxa"/>
                  <w:vMerge/>
                  <w:vAlign w:val="center"/>
                </w:tcPr>
                <w:p w14:paraId="7302D3B0" w14:textId="77777777" w:rsidR="00221C59" w:rsidRPr="00EB07A5" w:rsidRDefault="00221C59" w:rsidP="00221C59"/>
              </w:tc>
              <w:tc>
                <w:tcPr>
                  <w:tcW w:w="879" w:type="dxa"/>
                  <w:vMerge/>
                  <w:vAlign w:val="center"/>
                </w:tcPr>
                <w:p w14:paraId="4E7FF3CF" w14:textId="77777777" w:rsidR="00221C59" w:rsidRPr="00EB07A5" w:rsidRDefault="00221C59" w:rsidP="00221C59"/>
              </w:tc>
              <w:tc>
                <w:tcPr>
                  <w:tcW w:w="1358" w:type="dxa"/>
                  <w:vAlign w:val="center"/>
                </w:tcPr>
                <w:p w14:paraId="1DB92332" w14:textId="77777777" w:rsidR="00221C59" w:rsidRPr="00EB07A5" w:rsidRDefault="00221C59" w:rsidP="00221C59"/>
              </w:tc>
              <w:tc>
                <w:tcPr>
                  <w:tcW w:w="1358" w:type="dxa"/>
                  <w:vAlign w:val="center"/>
                </w:tcPr>
                <w:p w14:paraId="6287E438" w14:textId="77777777" w:rsidR="00221C59" w:rsidRPr="00EB07A5" w:rsidRDefault="00221C59" w:rsidP="00221C59">
                  <w:r w:rsidRPr="00EB07A5">
                    <w:t>&lt; 8 ha</w:t>
                  </w:r>
                </w:p>
              </w:tc>
              <w:tc>
                <w:tcPr>
                  <w:tcW w:w="622" w:type="dxa"/>
                </w:tcPr>
                <w:p w14:paraId="124B14E2" w14:textId="77777777" w:rsidR="00221C59" w:rsidRPr="00EB07A5" w:rsidRDefault="00221C59" w:rsidP="00221C59">
                  <w:r w:rsidRPr="00EB07A5">
                    <w:t>Ts</w:t>
                  </w:r>
                </w:p>
              </w:tc>
            </w:tr>
            <w:tr w:rsidR="00221C59" w:rsidRPr="00EB07A5" w14:paraId="1FB2C742" w14:textId="77777777" w:rsidTr="00DB32C0">
              <w:trPr>
                <w:cantSplit/>
                <w:trHeight w:val="144"/>
              </w:trPr>
              <w:tc>
                <w:tcPr>
                  <w:tcW w:w="681" w:type="dxa"/>
                  <w:vMerge/>
                  <w:vAlign w:val="center"/>
                </w:tcPr>
                <w:p w14:paraId="1D2A6AD8" w14:textId="77777777" w:rsidR="00221C59" w:rsidRPr="00EB07A5" w:rsidRDefault="00221C59" w:rsidP="00221C59"/>
              </w:tc>
              <w:tc>
                <w:tcPr>
                  <w:tcW w:w="879" w:type="dxa"/>
                  <w:vMerge w:val="restart"/>
                  <w:vAlign w:val="center"/>
                </w:tcPr>
                <w:p w14:paraId="7F5195D0" w14:textId="77777777" w:rsidR="00221C59" w:rsidRPr="00EB07A5" w:rsidRDefault="00221C59" w:rsidP="00221C59">
                  <w:r w:rsidRPr="00EB07A5">
                    <w:t>Marshes on inorganic soils</w:t>
                  </w:r>
                </w:p>
              </w:tc>
              <w:tc>
                <w:tcPr>
                  <w:tcW w:w="1358" w:type="dxa"/>
                  <w:vAlign w:val="center"/>
                </w:tcPr>
                <w:p w14:paraId="77ED595A" w14:textId="77777777" w:rsidR="00221C59" w:rsidRPr="00EB07A5" w:rsidRDefault="00221C59" w:rsidP="00221C59">
                  <w:r w:rsidRPr="00EB07A5">
                    <w:t>Permanent</w:t>
                  </w:r>
                </w:p>
              </w:tc>
              <w:tc>
                <w:tcPr>
                  <w:tcW w:w="1358" w:type="dxa"/>
                  <w:vAlign w:val="center"/>
                </w:tcPr>
                <w:p w14:paraId="6789B739" w14:textId="77777777" w:rsidR="00221C59" w:rsidRPr="00EB07A5" w:rsidRDefault="00221C59" w:rsidP="00221C59">
                  <w:r w:rsidRPr="00EB07A5">
                    <w:t>Herb-dominated</w:t>
                  </w:r>
                </w:p>
              </w:tc>
              <w:tc>
                <w:tcPr>
                  <w:tcW w:w="622" w:type="dxa"/>
                </w:tcPr>
                <w:p w14:paraId="2946E458" w14:textId="77777777" w:rsidR="00221C59" w:rsidRPr="00EB07A5" w:rsidRDefault="00221C59" w:rsidP="00221C59">
                  <w:r w:rsidRPr="00EB07A5">
                    <w:t>Tp</w:t>
                  </w:r>
                </w:p>
              </w:tc>
            </w:tr>
            <w:tr w:rsidR="00221C59" w:rsidRPr="00EB07A5" w14:paraId="11A7F2F9" w14:textId="77777777" w:rsidTr="00DB32C0">
              <w:trPr>
                <w:trHeight w:val="144"/>
              </w:trPr>
              <w:tc>
                <w:tcPr>
                  <w:tcW w:w="681" w:type="dxa"/>
                  <w:vMerge/>
                  <w:vAlign w:val="center"/>
                </w:tcPr>
                <w:p w14:paraId="2892E6CD" w14:textId="77777777" w:rsidR="00221C59" w:rsidRPr="00EB07A5" w:rsidRDefault="00221C59" w:rsidP="00221C59"/>
              </w:tc>
              <w:tc>
                <w:tcPr>
                  <w:tcW w:w="879" w:type="dxa"/>
                  <w:vMerge/>
                  <w:vAlign w:val="center"/>
                </w:tcPr>
                <w:p w14:paraId="26AD0650" w14:textId="77777777" w:rsidR="00221C59" w:rsidRPr="00EB07A5" w:rsidRDefault="00221C59" w:rsidP="00221C59"/>
              </w:tc>
              <w:tc>
                <w:tcPr>
                  <w:tcW w:w="1358" w:type="dxa"/>
                  <w:vMerge w:val="restart"/>
                  <w:vAlign w:val="center"/>
                </w:tcPr>
                <w:p w14:paraId="56D7FB9C" w14:textId="77777777" w:rsidR="00221C59" w:rsidRPr="00EB07A5" w:rsidRDefault="00221C59" w:rsidP="00221C59">
                  <w:r w:rsidRPr="00EB07A5">
                    <w:t>Permanent/ Seasonal/intermittent</w:t>
                  </w:r>
                </w:p>
              </w:tc>
              <w:tc>
                <w:tcPr>
                  <w:tcW w:w="1358" w:type="dxa"/>
                  <w:vAlign w:val="center"/>
                </w:tcPr>
                <w:p w14:paraId="36DC73A1" w14:textId="77777777" w:rsidR="00221C59" w:rsidRPr="00EB07A5" w:rsidRDefault="00221C59" w:rsidP="00221C59">
                  <w:r w:rsidRPr="00EB07A5">
                    <w:t>Shrub-dominated</w:t>
                  </w:r>
                </w:p>
              </w:tc>
              <w:tc>
                <w:tcPr>
                  <w:tcW w:w="622" w:type="dxa"/>
                  <w:vAlign w:val="center"/>
                </w:tcPr>
                <w:p w14:paraId="424CA6CE" w14:textId="77777777" w:rsidR="00221C59" w:rsidRPr="00EB07A5" w:rsidRDefault="00221C59" w:rsidP="00221C59">
                  <w:r w:rsidRPr="00EB07A5">
                    <w:t>W</w:t>
                  </w:r>
                </w:p>
              </w:tc>
            </w:tr>
            <w:tr w:rsidR="00221C59" w:rsidRPr="00EB07A5" w14:paraId="52D076EC" w14:textId="77777777" w:rsidTr="00DB32C0">
              <w:trPr>
                <w:trHeight w:val="144"/>
              </w:trPr>
              <w:tc>
                <w:tcPr>
                  <w:tcW w:w="681" w:type="dxa"/>
                  <w:vMerge/>
                  <w:vAlign w:val="center"/>
                </w:tcPr>
                <w:p w14:paraId="7320EE88" w14:textId="77777777" w:rsidR="00221C59" w:rsidRPr="00EB07A5" w:rsidRDefault="00221C59" w:rsidP="00221C59"/>
              </w:tc>
              <w:tc>
                <w:tcPr>
                  <w:tcW w:w="879" w:type="dxa"/>
                  <w:vMerge/>
                  <w:vAlign w:val="center"/>
                </w:tcPr>
                <w:p w14:paraId="516BBA76" w14:textId="77777777" w:rsidR="00221C59" w:rsidRPr="00EB07A5" w:rsidRDefault="00221C59" w:rsidP="00221C59"/>
              </w:tc>
              <w:tc>
                <w:tcPr>
                  <w:tcW w:w="1358" w:type="dxa"/>
                  <w:vMerge/>
                  <w:vAlign w:val="center"/>
                </w:tcPr>
                <w:p w14:paraId="2CDD1FCE" w14:textId="77777777" w:rsidR="00221C59" w:rsidRPr="00EB07A5" w:rsidRDefault="00221C59" w:rsidP="00221C59"/>
              </w:tc>
              <w:tc>
                <w:tcPr>
                  <w:tcW w:w="1358" w:type="dxa"/>
                  <w:vAlign w:val="center"/>
                </w:tcPr>
                <w:p w14:paraId="3A19DAA2" w14:textId="77777777" w:rsidR="00221C59" w:rsidRPr="00EB07A5" w:rsidRDefault="00221C59" w:rsidP="00221C59">
                  <w:r w:rsidRPr="00EB07A5">
                    <w:t>Tree-dominated</w:t>
                  </w:r>
                </w:p>
              </w:tc>
              <w:tc>
                <w:tcPr>
                  <w:tcW w:w="622" w:type="dxa"/>
                  <w:vAlign w:val="center"/>
                </w:tcPr>
                <w:p w14:paraId="0CE5468E" w14:textId="77777777" w:rsidR="00221C59" w:rsidRPr="00EB07A5" w:rsidRDefault="00221C59" w:rsidP="00221C59">
                  <w:r w:rsidRPr="00EB07A5">
                    <w:t>Xf</w:t>
                  </w:r>
                </w:p>
              </w:tc>
            </w:tr>
            <w:tr w:rsidR="00221C59" w:rsidRPr="00EB07A5" w14:paraId="5ED932E2" w14:textId="77777777" w:rsidTr="00DB32C0">
              <w:trPr>
                <w:trHeight w:val="144"/>
              </w:trPr>
              <w:tc>
                <w:tcPr>
                  <w:tcW w:w="681" w:type="dxa"/>
                  <w:vMerge/>
                  <w:vAlign w:val="center"/>
                </w:tcPr>
                <w:p w14:paraId="226F2490" w14:textId="77777777" w:rsidR="00221C59" w:rsidRPr="00EB07A5" w:rsidRDefault="00221C59" w:rsidP="00221C59"/>
              </w:tc>
              <w:tc>
                <w:tcPr>
                  <w:tcW w:w="879" w:type="dxa"/>
                  <w:vMerge/>
                  <w:vAlign w:val="center"/>
                </w:tcPr>
                <w:p w14:paraId="1CDA6036" w14:textId="77777777" w:rsidR="00221C59" w:rsidRPr="00EB07A5" w:rsidRDefault="00221C59" w:rsidP="00221C59"/>
              </w:tc>
              <w:tc>
                <w:tcPr>
                  <w:tcW w:w="1358" w:type="dxa"/>
                  <w:vAlign w:val="center"/>
                </w:tcPr>
                <w:p w14:paraId="00A9BE6E" w14:textId="77777777" w:rsidR="00221C59" w:rsidRPr="00EB07A5" w:rsidRDefault="00221C59" w:rsidP="00221C59">
                  <w:r w:rsidRPr="00EB07A5">
                    <w:t>Seasonal/intermittent</w:t>
                  </w:r>
                </w:p>
              </w:tc>
              <w:tc>
                <w:tcPr>
                  <w:tcW w:w="1358" w:type="dxa"/>
                  <w:vAlign w:val="center"/>
                </w:tcPr>
                <w:p w14:paraId="0AFB2807" w14:textId="77777777" w:rsidR="00221C59" w:rsidRPr="00EB07A5" w:rsidRDefault="00221C59" w:rsidP="00221C59">
                  <w:r w:rsidRPr="00EB07A5">
                    <w:t>Herb-dominated</w:t>
                  </w:r>
                </w:p>
              </w:tc>
              <w:tc>
                <w:tcPr>
                  <w:tcW w:w="622" w:type="dxa"/>
                </w:tcPr>
                <w:p w14:paraId="603B5282" w14:textId="77777777" w:rsidR="00221C59" w:rsidRPr="00EB07A5" w:rsidRDefault="00221C59" w:rsidP="00221C59">
                  <w:r w:rsidRPr="00EB07A5">
                    <w:t>Ts</w:t>
                  </w:r>
                </w:p>
              </w:tc>
            </w:tr>
            <w:tr w:rsidR="00221C59" w:rsidRPr="00EB07A5" w14:paraId="0ED7484F" w14:textId="77777777" w:rsidTr="00DB32C0">
              <w:trPr>
                <w:trHeight w:val="144"/>
              </w:trPr>
              <w:tc>
                <w:tcPr>
                  <w:tcW w:w="681" w:type="dxa"/>
                  <w:vMerge/>
                  <w:vAlign w:val="center"/>
                </w:tcPr>
                <w:p w14:paraId="4D81EE9A" w14:textId="77777777" w:rsidR="00221C59" w:rsidRPr="00EB07A5" w:rsidRDefault="00221C59" w:rsidP="00221C59"/>
              </w:tc>
              <w:tc>
                <w:tcPr>
                  <w:tcW w:w="879" w:type="dxa"/>
                  <w:vMerge w:val="restart"/>
                  <w:vAlign w:val="center"/>
                </w:tcPr>
                <w:p w14:paraId="0CAB765F" w14:textId="77777777" w:rsidR="00221C59" w:rsidRPr="00EB07A5" w:rsidRDefault="00221C59" w:rsidP="00221C59">
                  <w:r w:rsidRPr="00EB07A5">
                    <w:t>Marshes on peat soils</w:t>
                  </w:r>
                </w:p>
              </w:tc>
              <w:tc>
                <w:tcPr>
                  <w:tcW w:w="1358" w:type="dxa"/>
                  <w:vMerge w:val="restart"/>
                  <w:vAlign w:val="center"/>
                </w:tcPr>
                <w:p w14:paraId="28E8C79F" w14:textId="77777777" w:rsidR="00221C59" w:rsidRPr="00EB07A5" w:rsidRDefault="00221C59" w:rsidP="00221C59">
                  <w:r w:rsidRPr="00EB07A5">
                    <w:t>Permanent</w:t>
                  </w:r>
                </w:p>
              </w:tc>
              <w:tc>
                <w:tcPr>
                  <w:tcW w:w="1358" w:type="dxa"/>
                  <w:vAlign w:val="center"/>
                </w:tcPr>
                <w:p w14:paraId="053EDF94" w14:textId="77777777" w:rsidR="00221C59" w:rsidRPr="00EB07A5" w:rsidRDefault="00221C59" w:rsidP="00221C59">
                  <w:r w:rsidRPr="00EB07A5">
                    <w:t>Non-forested</w:t>
                  </w:r>
                </w:p>
              </w:tc>
              <w:tc>
                <w:tcPr>
                  <w:tcW w:w="622" w:type="dxa"/>
                  <w:vAlign w:val="center"/>
                </w:tcPr>
                <w:p w14:paraId="5813E8D0" w14:textId="77777777" w:rsidR="00221C59" w:rsidRPr="00EB07A5" w:rsidRDefault="00221C59" w:rsidP="00221C59">
                  <w:r w:rsidRPr="00EB07A5">
                    <w:t>U</w:t>
                  </w:r>
                </w:p>
              </w:tc>
            </w:tr>
            <w:tr w:rsidR="00221C59" w:rsidRPr="00EB07A5" w14:paraId="2A098D01" w14:textId="77777777" w:rsidTr="00DB32C0">
              <w:trPr>
                <w:trHeight w:val="144"/>
              </w:trPr>
              <w:tc>
                <w:tcPr>
                  <w:tcW w:w="681" w:type="dxa"/>
                  <w:vMerge/>
                  <w:vAlign w:val="center"/>
                </w:tcPr>
                <w:p w14:paraId="73FDC2E2" w14:textId="77777777" w:rsidR="00221C59" w:rsidRPr="00EB07A5" w:rsidRDefault="00221C59" w:rsidP="00221C59"/>
              </w:tc>
              <w:tc>
                <w:tcPr>
                  <w:tcW w:w="879" w:type="dxa"/>
                  <w:vMerge/>
                  <w:vAlign w:val="center"/>
                </w:tcPr>
                <w:p w14:paraId="692A3D2D" w14:textId="77777777" w:rsidR="00221C59" w:rsidRPr="00EB07A5" w:rsidRDefault="00221C59" w:rsidP="00221C59"/>
              </w:tc>
              <w:tc>
                <w:tcPr>
                  <w:tcW w:w="1358" w:type="dxa"/>
                  <w:vMerge/>
                  <w:vAlign w:val="center"/>
                </w:tcPr>
                <w:p w14:paraId="1479E8E7" w14:textId="77777777" w:rsidR="00221C59" w:rsidRPr="00EB07A5" w:rsidRDefault="00221C59" w:rsidP="00221C59"/>
              </w:tc>
              <w:tc>
                <w:tcPr>
                  <w:tcW w:w="1358" w:type="dxa"/>
                  <w:vAlign w:val="center"/>
                </w:tcPr>
                <w:p w14:paraId="23E89B92" w14:textId="77777777" w:rsidR="00221C59" w:rsidRPr="00EB07A5" w:rsidRDefault="00221C59" w:rsidP="00221C59">
                  <w:r w:rsidRPr="00EB07A5">
                    <w:t>Forested</w:t>
                  </w:r>
                </w:p>
              </w:tc>
              <w:tc>
                <w:tcPr>
                  <w:tcW w:w="622" w:type="dxa"/>
                  <w:vAlign w:val="center"/>
                </w:tcPr>
                <w:p w14:paraId="2DA4E59D" w14:textId="77777777" w:rsidR="00221C59" w:rsidRPr="00EB07A5" w:rsidRDefault="00221C59" w:rsidP="00221C59">
                  <w:r w:rsidRPr="00EB07A5">
                    <w:t>Xp</w:t>
                  </w:r>
                </w:p>
              </w:tc>
            </w:tr>
            <w:tr w:rsidR="00221C59" w:rsidRPr="00EB07A5" w14:paraId="73A18475" w14:textId="77777777" w:rsidTr="00DB32C0">
              <w:trPr>
                <w:trHeight w:val="144"/>
              </w:trPr>
              <w:tc>
                <w:tcPr>
                  <w:tcW w:w="681" w:type="dxa"/>
                  <w:vMerge/>
                  <w:vAlign w:val="center"/>
                </w:tcPr>
                <w:p w14:paraId="4B733874" w14:textId="77777777" w:rsidR="00221C59" w:rsidRPr="00EB07A5" w:rsidRDefault="00221C59" w:rsidP="00221C59"/>
              </w:tc>
              <w:tc>
                <w:tcPr>
                  <w:tcW w:w="879" w:type="dxa"/>
                  <w:vMerge w:val="restart"/>
                  <w:vAlign w:val="center"/>
                </w:tcPr>
                <w:p w14:paraId="1E4992DC" w14:textId="77777777" w:rsidR="00221C59" w:rsidRPr="00EB07A5" w:rsidRDefault="00221C59" w:rsidP="00221C59">
                  <w:r w:rsidRPr="00EB07A5">
                    <w:t>Marshes on inorganic or peat soils</w:t>
                  </w:r>
                </w:p>
              </w:tc>
              <w:tc>
                <w:tcPr>
                  <w:tcW w:w="2716" w:type="dxa"/>
                  <w:gridSpan w:val="2"/>
                  <w:vAlign w:val="center"/>
                </w:tcPr>
                <w:p w14:paraId="0793B7CD" w14:textId="77777777" w:rsidR="00221C59" w:rsidRPr="00EB07A5" w:rsidRDefault="00221C59" w:rsidP="00221C59">
                  <w:r w:rsidRPr="00EB07A5">
                    <w:t>High altitude (alpine)</w:t>
                  </w:r>
                </w:p>
              </w:tc>
              <w:tc>
                <w:tcPr>
                  <w:tcW w:w="622" w:type="dxa"/>
                </w:tcPr>
                <w:p w14:paraId="48FED796" w14:textId="77777777" w:rsidR="00221C59" w:rsidRPr="00EB07A5" w:rsidRDefault="00221C59" w:rsidP="00221C59">
                  <w:r w:rsidRPr="00EB07A5">
                    <w:t>Va</w:t>
                  </w:r>
                </w:p>
              </w:tc>
            </w:tr>
            <w:tr w:rsidR="00221C59" w:rsidRPr="00EB07A5" w14:paraId="78FE3D50" w14:textId="77777777" w:rsidTr="00DB32C0">
              <w:trPr>
                <w:trHeight w:val="144"/>
              </w:trPr>
              <w:tc>
                <w:tcPr>
                  <w:tcW w:w="681" w:type="dxa"/>
                  <w:vMerge/>
                  <w:vAlign w:val="center"/>
                </w:tcPr>
                <w:p w14:paraId="16637D15" w14:textId="77777777" w:rsidR="00221C59" w:rsidRPr="00EB07A5" w:rsidRDefault="00221C59" w:rsidP="00221C59"/>
              </w:tc>
              <w:tc>
                <w:tcPr>
                  <w:tcW w:w="879" w:type="dxa"/>
                  <w:vMerge/>
                  <w:vAlign w:val="center"/>
                </w:tcPr>
                <w:p w14:paraId="01C25CC9" w14:textId="77777777" w:rsidR="00221C59" w:rsidRPr="00EB07A5" w:rsidRDefault="00221C59" w:rsidP="00221C59"/>
              </w:tc>
              <w:tc>
                <w:tcPr>
                  <w:tcW w:w="2716" w:type="dxa"/>
                  <w:gridSpan w:val="2"/>
                  <w:vAlign w:val="center"/>
                </w:tcPr>
                <w:p w14:paraId="186E2971" w14:textId="77777777" w:rsidR="00221C59" w:rsidRPr="00EB07A5" w:rsidRDefault="00221C59" w:rsidP="00221C59">
                  <w:r w:rsidRPr="00EB07A5">
                    <w:t>Tundra</w:t>
                  </w:r>
                </w:p>
              </w:tc>
              <w:tc>
                <w:tcPr>
                  <w:tcW w:w="622" w:type="dxa"/>
                </w:tcPr>
                <w:p w14:paraId="5538A427" w14:textId="77777777" w:rsidR="00221C59" w:rsidRPr="00EB07A5" w:rsidRDefault="00221C59" w:rsidP="00221C59">
                  <w:r w:rsidRPr="00EB07A5">
                    <w:t>Vt</w:t>
                  </w:r>
                </w:p>
              </w:tc>
            </w:tr>
            <w:tr w:rsidR="00221C59" w:rsidRPr="00EB07A5" w14:paraId="6BCA8C1D" w14:textId="77777777" w:rsidTr="00DB32C0">
              <w:trPr>
                <w:trHeight w:val="144"/>
              </w:trPr>
              <w:tc>
                <w:tcPr>
                  <w:tcW w:w="681" w:type="dxa"/>
                  <w:vMerge w:val="restart"/>
                  <w:vAlign w:val="center"/>
                </w:tcPr>
                <w:p w14:paraId="4C831B66" w14:textId="77777777" w:rsidR="00221C59" w:rsidRPr="00EB07A5" w:rsidRDefault="00221C59" w:rsidP="00221C59">
                  <w:r w:rsidRPr="00EB07A5">
                    <w:t>Saline, brackish or alkaline water</w:t>
                  </w:r>
                </w:p>
              </w:tc>
              <w:tc>
                <w:tcPr>
                  <w:tcW w:w="879" w:type="dxa"/>
                  <w:vMerge w:val="restart"/>
                  <w:vAlign w:val="center"/>
                </w:tcPr>
                <w:p w14:paraId="5CBF0347" w14:textId="77777777" w:rsidR="00221C59" w:rsidRPr="00EB07A5" w:rsidRDefault="00221C59" w:rsidP="00221C59">
                  <w:r w:rsidRPr="00EB07A5">
                    <w:t>Lakes</w:t>
                  </w:r>
                </w:p>
              </w:tc>
              <w:tc>
                <w:tcPr>
                  <w:tcW w:w="2716" w:type="dxa"/>
                  <w:gridSpan w:val="2"/>
                  <w:vAlign w:val="center"/>
                </w:tcPr>
                <w:p w14:paraId="26ED91DD" w14:textId="77777777" w:rsidR="00221C59" w:rsidRPr="00EB07A5" w:rsidRDefault="00221C59" w:rsidP="00221C59">
                  <w:r w:rsidRPr="00EB07A5">
                    <w:t>Permanent</w:t>
                  </w:r>
                </w:p>
              </w:tc>
              <w:tc>
                <w:tcPr>
                  <w:tcW w:w="622" w:type="dxa"/>
                </w:tcPr>
                <w:p w14:paraId="03018150" w14:textId="77777777" w:rsidR="00221C59" w:rsidRPr="00EB07A5" w:rsidRDefault="00221C59" w:rsidP="00221C59">
                  <w:r w:rsidRPr="00EB07A5">
                    <w:t>Q</w:t>
                  </w:r>
                </w:p>
              </w:tc>
            </w:tr>
            <w:tr w:rsidR="00221C59" w:rsidRPr="00EB07A5" w14:paraId="3A8B8CCA" w14:textId="77777777" w:rsidTr="00DB32C0">
              <w:trPr>
                <w:trHeight w:val="144"/>
              </w:trPr>
              <w:tc>
                <w:tcPr>
                  <w:tcW w:w="681" w:type="dxa"/>
                  <w:vMerge/>
                  <w:vAlign w:val="center"/>
                </w:tcPr>
                <w:p w14:paraId="546E1B43" w14:textId="77777777" w:rsidR="00221C59" w:rsidRPr="00EB07A5" w:rsidRDefault="00221C59" w:rsidP="00221C59"/>
              </w:tc>
              <w:tc>
                <w:tcPr>
                  <w:tcW w:w="879" w:type="dxa"/>
                  <w:vMerge/>
                  <w:vAlign w:val="center"/>
                </w:tcPr>
                <w:p w14:paraId="1F18CB4F" w14:textId="77777777" w:rsidR="00221C59" w:rsidRPr="00EB07A5" w:rsidRDefault="00221C59" w:rsidP="00221C59"/>
              </w:tc>
              <w:tc>
                <w:tcPr>
                  <w:tcW w:w="2716" w:type="dxa"/>
                  <w:gridSpan w:val="2"/>
                  <w:vAlign w:val="center"/>
                </w:tcPr>
                <w:p w14:paraId="153C53BE" w14:textId="77777777" w:rsidR="00221C59" w:rsidRPr="00EB07A5" w:rsidRDefault="00221C59" w:rsidP="00221C59">
                  <w:r w:rsidRPr="00EB07A5">
                    <w:t>Seasonal/intermittent</w:t>
                  </w:r>
                </w:p>
              </w:tc>
              <w:tc>
                <w:tcPr>
                  <w:tcW w:w="622" w:type="dxa"/>
                </w:tcPr>
                <w:p w14:paraId="466562C9" w14:textId="77777777" w:rsidR="00221C59" w:rsidRPr="00EB07A5" w:rsidRDefault="00221C59" w:rsidP="00221C59">
                  <w:r w:rsidRPr="00EB07A5">
                    <w:t>R</w:t>
                  </w:r>
                </w:p>
              </w:tc>
            </w:tr>
            <w:tr w:rsidR="00221C59" w:rsidRPr="00EB07A5" w14:paraId="55994F41" w14:textId="77777777" w:rsidTr="00DB32C0">
              <w:trPr>
                <w:trHeight w:val="144"/>
              </w:trPr>
              <w:tc>
                <w:tcPr>
                  <w:tcW w:w="681" w:type="dxa"/>
                  <w:vMerge/>
                  <w:vAlign w:val="center"/>
                </w:tcPr>
                <w:p w14:paraId="16A4FE12" w14:textId="77777777" w:rsidR="00221C59" w:rsidRPr="00EB07A5" w:rsidRDefault="00221C59" w:rsidP="00221C59"/>
              </w:tc>
              <w:tc>
                <w:tcPr>
                  <w:tcW w:w="879" w:type="dxa"/>
                  <w:vMerge w:val="restart"/>
                  <w:vAlign w:val="center"/>
                </w:tcPr>
                <w:p w14:paraId="52B3C677" w14:textId="77777777" w:rsidR="00221C59" w:rsidRPr="00EB07A5" w:rsidRDefault="00221C59" w:rsidP="00221C59">
                  <w:r w:rsidRPr="00EB07A5">
                    <w:t>Marshes &amp; pools</w:t>
                  </w:r>
                </w:p>
              </w:tc>
              <w:tc>
                <w:tcPr>
                  <w:tcW w:w="2716" w:type="dxa"/>
                  <w:gridSpan w:val="2"/>
                  <w:vAlign w:val="center"/>
                </w:tcPr>
                <w:p w14:paraId="55D19979" w14:textId="77777777" w:rsidR="00221C59" w:rsidRPr="00EB07A5" w:rsidRDefault="00221C59" w:rsidP="00221C59">
                  <w:r w:rsidRPr="00EB07A5">
                    <w:t>Permanent</w:t>
                  </w:r>
                </w:p>
              </w:tc>
              <w:tc>
                <w:tcPr>
                  <w:tcW w:w="622" w:type="dxa"/>
                </w:tcPr>
                <w:p w14:paraId="64F9936B" w14:textId="77777777" w:rsidR="00221C59" w:rsidRPr="00EB07A5" w:rsidRDefault="00221C59" w:rsidP="00221C59">
                  <w:r w:rsidRPr="00EB07A5">
                    <w:t>Sp</w:t>
                  </w:r>
                </w:p>
              </w:tc>
            </w:tr>
            <w:tr w:rsidR="00221C59" w:rsidRPr="00EB07A5" w14:paraId="59F09B77" w14:textId="77777777" w:rsidTr="00DB32C0">
              <w:trPr>
                <w:trHeight w:val="144"/>
              </w:trPr>
              <w:tc>
                <w:tcPr>
                  <w:tcW w:w="681" w:type="dxa"/>
                  <w:vMerge/>
                </w:tcPr>
                <w:p w14:paraId="75825337" w14:textId="77777777" w:rsidR="00221C59" w:rsidRPr="00EB07A5" w:rsidRDefault="00221C59" w:rsidP="00221C59"/>
              </w:tc>
              <w:tc>
                <w:tcPr>
                  <w:tcW w:w="879" w:type="dxa"/>
                  <w:vMerge/>
                </w:tcPr>
                <w:p w14:paraId="23BF66AF" w14:textId="77777777" w:rsidR="00221C59" w:rsidRPr="00EB07A5" w:rsidRDefault="00221C59" w:rsidP="00221C59"/>
              </w:tc>
              <w:tc>
                <w:tcPr>
                  <w:tcW w:w="2716" w:type="dxa"/>
                  <w:gridSpan w:val="2"/>
                  <w:vAlign w:val="center"/>
                </w:tcPr>
                <w:p w14:paraId="00D30B3D" w14:textId="77777777" w:rsidR="00221C59" w:rsidRPr="00EB07A5" w:rsidRDefault="00221C59" w:rsidP="00221C59">
                  <w:r w:rsidRPr="00EB07A5">
                    <w:t>Seasonal/intermittent</w:t>
                  </w:r>
                </w:p>
              </w:tc>
              <w:tc>
                <w:tcPr>
                  <w:tcW w:w="622" w:type="dxa"/>
                </w:tcPr>
                <w:p w14:paraId="3B62D776" w14:textId="77777777" w:rsidR="00221C59" w:rsidRPr="00EB07A5" w:rsidRDefault="00221C59" w:rsidP="00221C59">
                  <w:r w:rsidRPr="00EB07A5">
                    <w:t>Ss</w:t>
                  </w:r>
                </w:p>
              </w:tc>
            </w:tr>
            <w:tr w:rsidR="00221C59" w:rsidRPr="00EB07A5" w14:paraId="48472CE7" w14:textId="77777777" w:rsidTr="00DB32C0">
              <w:trPr>
                <w:trHeight w:val="144"/>
              </w:trPr>
              <w:tc>
                <w:tcPr>
                  <w:tcW w:w="681" w:type="dxa"/>
                  <w:vMerge w:val="restart"/>
                </w:tcPr>
                <w:p w14:paraId="7E89021D" w14:textId="77777777" w:rsidR="00221C59" w:rsidRPr="00EB07A5" w:rsidRDefault="00221C59" w:rsidP="00221C59">
                  <w:r w:rsidRPr="00EB07A5">
                    <w:t>Fresh, saline, brackish or alkaline water</w:t>
                  </w:r>
                </w:p>
              </w:tc>
              <w:tc>
                <w:tcPr>
                  <w:tcW w:w="3595" w:type="dxa"/>
                  <w:gridSpan w:val="3"/>
                  <w:vAlign w:val="center"/>
                </w:tcPr>
                <w:p w14:paraId="6923033A" w14:textId="77777777" w:rsidR="00221C59" w:rsidRPr="00EB07A5" w:rsidRDefault="00221C59" w:rsidP="00221C59">
                  <w:r w:rsidRPr="00EB07A5">
                    <w:t>Geothermal</w:t>
                  </w:r>
                </w:p>
              </w:tc>
              <w:tc>
                <w:tcPr>
                  <w:tcW w:w="622" w:type="dxa"/>
                </w:tcPr>
                <w:p w14:paraId="7F3FA919" w14:textId="77777777" w:rsidR="00221C59" w:rsidRPr="00EB07A5" w:rsidRDefault="00221C59" w:rsidP="00221C59">
                  <w:r w:rsidRPr="00EB07A5">
                    <w:t>Zg</w:t>
                  </w:r>
                </w:p>
              </w:tc>
            </w:tr>
            <w:tr w:rsidR="00221C59" w:rsidRPr="00EB07A5" w14:paraId="48816CE0" w14:textId="77777777" w:rsidTr="00DB32C0">
              <w:trPr>
                <w:trHeight w:val="144"/>
              </w:trPr>
              <w:tc>
                <w:tcPr>
                  <w:tcW w:w="681" w:type="dxa"/>
                  <w:vMerge/>
                </w:tcPr>
                <w:p w14:paraId="6D926777" w14:textId="77777777" w:rsidR="00221C59" w:rsidRPr="00EB07A5" w:rsidRDefault="00221C59" w:rsidP="00221C59"/>
              </w:tc>
              <w:tc>
                <w:tcPr>
                  <w:tcW w:w="3595" w:type="dxa"/>
                  <w:gridSpan w:val="3"/>
                  <w:vAlign w:val="center"/>
                </w:tcPr>
                <w:p w14:paraId="2498405C" w14:textId="77777777" w:rsidR="00221C59" w:rsidRPr="00EB07A5" w:rsidRDefault="00221C59" w:rsidP="00221C59">
                  <w:r w:rsidRPr="00EB07A5">
                    <w:t>Subterranean</w:t>
                  </w:r>
                </w:p>
              </w:tc>
              <w:tc>
                <w:tcPr>
                  <w:tcW w:w="622" w:type="dxa"/>
                </w:tcPr>
                <w:p w14:paraId="7FE9D446" w14:textId="77777777" w:rsidR="00221C59" w:rsidRPr="00EB07A5" w:rsidRDefault="00221C59" w:rsidP="00221C59">
                  <w:r w:rsidRPr="00EB07A5">
                    <w:t>Zk(b)</w:t>
                  </w:r>
                </w:p>
              </w:tc>
            </w:tr>
          </w:tbl>
          <w:p w14:paraId="283AB980" w14:textId="77777777" w:rsidR="00221C59" w:rsidRDefault="00221C59" w:rsidP="00221C59">
            <w:pPr>
              <w:pStyle w:val="NoSpacing"/>
              <w:rPr>
                <w:rStyle w:val="fontstyle01"/>
                <w:rFonts w:ascii="Tw Cen MT Condensed" w:hAnsi="Tw Cen MT Condensed"/>
                <w:b w:val="0"/>
                <w:bCs w:val="0"/>
                <w:color w:val="000000" w:themeColor="text1"/>
              </w:rPr>
            </w:pPr>
          </w:p>
          <w:p w14:paraId="6FEB1B18" w14:textId="77777777" w:rsidR="00221C59" w:rsidRPr="00983190" w:rsidRDefault="00221C59" w:rsidP="00221C59">
            <w:pPr>
              <w:pStyle w:val="NoSpacing"/>
              <w:rPr>
                <w:rStyle w:val="fontstyle01"/>
                <w:rFonts w:ascii="Tw Cen MT Condensed" w:hAnsi="Tw Cen MT Condensed"/>
                <w:bCs w:val="0"/>
                <w:color w:val="000000" w:themeColor="text1"/>
              </w:rPr>
            </w:pPr>
            <w:r w:rsidRPr="00983190">
              <w:rPr>
                <w:rStyle w:val="fontstyle01"/>
                <w:rFonts w:ascii="Tw Cen MT Condensed" w:hAnsi="Tw Cen MT Condensed"/>
                <w:bCs w:val="0"/>
                <w:color w:val="000000" w:themeColor="text1"/>
              </w:rPr>
              <w:t>Computation Method:</w:t>
            </w:r>
          </w:p>
          <w:p w14:paraId="297B5F62"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Wetland area (Km2 or ha, reference year)/ Change in the extent of wetlands (water-related </w:t>
            </w:r>
            <w:r w:rsidRPr="00983190">
              <w:rPr>
                <w:rStyle w:val="fontstyle01"/>
                <w:rFonts w:ascii="Tw Cen MT Condensed" w:hAnsi="Tw Cen MT Condensed"/>
                <w:b w:val="0"/>
                <w:bCs w:val="0"/>
                <w:color w:val="000000" w:themeColor="text1"/>
              </w:rPr>
              <w:lastRenderedPageBreak/>
              <w:t>ecosystems over time) a baseline reference and year.</w:t>
            </w:r>
          </w:p>
          <w:p w14:paraId="7D06E939"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  </w:t>
            </w:r>
          </w:p>
          <w:p w14:paraId="0D2E1982"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Based upon the national wetland inventory (complete or partial) countries provide a baseline figure in square kilometres for the extent of wetlands (according to the Ramsar definition) for the year 2017.  The minimum information that should be provided is the total area of wetlands for each of the three major categories; “marine/coastal”, “inland” and “human-made.</w:t>
            </w:r>
          </w:p>
          <w:p w14:paraId="3C9555FC"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48108282" w14:textId="77777777" w:rsidR="00221C59" w:rsidRPr="00983190"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 xml:space="preserve">If the information is available countries indicate the % of change in the extent of wetlands over the last three years. If the period of data covers more than three years, countries provide the available information, and indicate the period of the change. For reporting such change, the previous extent, if known, and the period over which the change has taken place should be specified. </w:t>
            </w:r>
          </w:p>
          <w:p w14:paraId="3C6B8686" w14:textId="77777777" w:rsidR="00221C59" w:rsidRPr="00983190" w:rsidRDefault="00221C59" w:rsidP="00221C59">
            <w:pPr>
              <w:pStyle w:val="NoSpacing"/>
              <w:rPr>
                <w:rStyle w:val="fontstyle01"/>
                <w:rFonts w:ascii="Tw Cen MT Condensed" w:hAnsi="Tw Cen MT Condensed"/>
                <w:b w:val="0"/>
                <w:bCs w:val="0"/>
                <w:color w:val="000000" w:themeColor="text1"/>
              </w:rPr>
            </w:pPr>
          </w:p>
          <w:p w14:paraId="04149F98" w14:textId="77777777" w:rsidR="00221C59" w:rsidRPr="00B36A5C" w:rsidRDefault="00221C59" w:rsidP="00221C59">
            <w:pPr>
              <w:pStyle w:val="NoSpacing"/>
              <w:rPr>
                <w:rStyle w:val="fontstyle01"/>
                <w:rFonts w:ascii="Tw Cen MT Condensed" w:hAnsi="Tw Cen MT Condensed"/>
                <w:b w:val="0"/>
                <w:bCs w:val="0"/>
                <w:color w:val="000000" w:themeColor="text1"/>
              </w:rPr>
            </w:pPr>
            <w:r w:rsidRPr="00983190">
              <w:rPr>
                <w:rStyle w:val="fontstyle01"/>
                <w:rFonts w:ascii="Tw Cen MT Condensed" w:hAnsi="Tw Cen MT Condensed"/>
                <w:b w:val="0"/>
                <w:bCs w:val="0"/>
                <w:color w:val="000000" w:themeColor="text1"/>
              </w:rPr>
              <w:t>This indicator can be aggregated to global or regional level by adding all country values globally or in a specific region.</w:t>
            </w:r>
          </w:p>
        </w:tc>
        <w:tc>
          <w:tcPr>
            <w:tcW w:w="0" w:type="auto"/>
            <w:shd w:val="clear" w:color="auto" w:fill="auto"/>
          </w:tcPr>
          <w:p w14:paraId="263B46B0" w14:textId="77777777" w:rsidR="00221C59" w:rsidRPr="007243FC" w:rsidRDefault="00221C59" w:rsidP="00221C59">
            <w:pPr>
              <w:pStyle w:val="NoSpacing"/>
            </w:pPr>
          </w:p>
        </w:tc>
        <w:tc>
          <w:tcPr>
            <w:tcW w:w="0" w:type="auto"/>
            <w:shd w:val="clear" w:color="auto" w:fill="auto"/>
          </w:tcPr>
          <w:p w14:paraId="4B1397D1" w14:textId="77777777" w:rsidR="00221C59" w:rsidRDefault="00221C59" w:rsidP="00221C59">
            <w:pPr>
              <w:pStyle w:val="ListParagraph"/>
              <w:ind w:left="157"/>
              <w:rPr>
                <w:rFonts w:ascii="Tw Cen MT Condensed" w:hAnsi="Tw Cen MT Condensed"/>
              </w:rPr>
            </w:pPr>
            <w:r w:rsidRPr="00873FDE">
              <w:rPr>
                <w:rFonts w:ascii="Tw Cen MT Condensed" w:hAnsi="Tw Cen MT Condensed"/>
              </w:rPr>
              <w:t xml:space="preserve">1. GEMS/Water National Focal Points, in consultation with NSOs </w:t>
            </w:r>
          </w:p>
          <w:p w14:paraId="49B40A83" w14:textId="77777777" w:rsidR="00221C59" w:rsidRDefault="00221C59" w:rsidP="00221C59">
            <w:pPr>
              <w:pStyle w:val="ListParagraph"/>
              <w:ind w:left="157"/>
              <w:rPr>
                <w:rFonts w:ascii="Tw Cen MT Condensed" w:hAnsi="Tw Cen MT Condensed"/>
              </w:rPr>
            </w:pPr>
          </w:p>
          <w:p w14:paraId="1B041869" w14:textId="77777777" w:rsidR="00221C59" w:rsidRDefault="00221C59" w:rsidP="00221C59">
            <w:pPr>
              <w:pStyle w:val="ListParagraph"/>
              <w:ind w:left="157"/>
              <w:rPr>
                <w:rFonts w:ascii="Tw Cen MT Condensed" w:hAnsi="Tw Cen MT Condensed"/>
              </w:rPr>
            </w:pPr>
            <w:r w:rsidRPr="00873FDE">
              <w:rPr>
                <w:rFonts w:ascii="Tw Cen MT Condensed" w:hAnsi="Tw Cen MT Condensed"/>
              </w:rPr>
              <w:t>2. Satellite data from ESA and NASA</w:t>
            </w:r>
          </w:p>
          <w:p w14:paraId="07293F4D" w14:textId="77777777" w:rsidR="00221C59" w:rsidRPr="007243FC" w:rsidRDefault="00221C59" w:rsidP="00221C59">
            <w:pPr>
              <w:pStyle w:val="ListParagraph"/>
              <w:ind w:left="157"/>
              <w:rPr>
                <w:rFonts w:ascii="Tw Cen MT Condensed" w:hAnsi="Tw Cen MT Condensed"/>
                <w:bCs/>
                <w:sz w:val="20"/>
                <w:szCs w:val="20"/>
              </w:rPr>
            </w:pPr>
          </w:p>
        </w:tc>
        <w:tc>
          <w:tcPr>
            <w:tcW w:w="0" w:type="auto"/>
            <w:shd w:val="clear" w:color="auto" w:fill="auto"/>
            <w:vAlign w:val="center"/>
          </w:tcPr>
          <w:p w14:paraId="61C8791B" w14:textId="2927B0B8" w:rsidR="00221C59" w:rsidRPr="00BC6F10" w:rsidRDefault="00221C59" w:rsidP="00221C59">
            <w:pPr>
              <w:spacing w:line="276" w:lineRule="auto"/>
            </w:pPr>
          </w:p>
        </w:tc>
        <w:tc>
          <w:tcPr>
            <w:tcW w:w="0" w:type="auto"/>
            <w:shd w:val="clear" w:color="auto" w:fill="auto"/>
            <w:vAlign w:val="center"/>
          </w:tcPr>
          <w:p w14:paraId="62DAFDA3" w14:textId="77777777" w:rsidR="00221C59" w:rsidRPr="00BC6F10" w:rsidRDefault="00221C59" w:rsidP="00221C59">
            <w:pPr>
              <w:spacing w:line="276" w:lineRule="auto"/>
            </w:pPr>
            <w:r w:rsidRPr="00BC6F10">
              <w:t xml:space="preserve">a) DoE, </w:t>
            </w:r>
            <w:r>
              <w:t>MoEFCC</w:t>
            </w:r>
          </w:p>
          <w:p w14:paraId="06414796" w14:textId="77777777" w:rsidR="00221C59" w:rsidRPr="00BC6F10" w:rsidRDefault="00221C59" w:rsidP="00221C59">
            <w:pPr>
              <w:spacing w:line="276" w:lineRule="auto"/>
            </w:pPr>
            <w:r w:rsidRPr="00BC6F10">
              <w:t xml:space="preserve">b) </w:t>
            </w:r>
            <w:r>
              <w:t>B</w:t>
            </w:r>
            <w:r w:rsidRPr="00BC6F10">
              <w:t>WDB, MoWR</w:t>
            </w:r>
          </w:p>
          <w:p w14:paraId="1163F227" w14:textId="77777777" w:rsidR="00221C59" w:rsidRPr="00BC6F10" w:rsidRDefault="00221C59" w:rsidP="00221C59">
            <w:pPr>
              <w:spacing w:line="276" w:lineRule="auto"/>
            </w:pPr>
            <w:r w:rsidRPr="00BC6F10">
              <w:t xml:space="preserve">c) BFD, </w:t>
            </w:r>
            <w:r>
              <w:t>MoEFCC</w:t>
            </w:r>
          </w:p>
          <w:p w14:paraId="424D7F89" w14:textId="77777777" w:rsidR="00221C59" w:rsidRDefault="00221C59" w:rsidP="00221C59">
            <w:pPr>
              <w:spacing w:line="276" w:lineRule="auto"/>
            </w:pPr>
            <w:r w:rsidRPr="00BC6F10">
              <w:t>d) WARPO, MoWR</w:t>
            </w:r>
          </w:p>
          <w:p w14:paraId="32227B8B" w14:textId="77777777" w:rsidR="00221C59" w:rsidRPr="00BC6F10" w:rsidRDefault="00221C59" w:rsidP="00221C59">
            <w:pPr>
              <w:spacing w:line="276" w:lineRule="auto"/>
            </w:pPr>
            <w:r>
              <w:rPr>
                <w:rFonts w:eastAsia="Times New Roman" w:cs="Times New Roman"/>
                <w:color w:val="000000" w:themeColor="text1"/>
                <w:szCs w:val="20"/>
              </w:rPr>
              <w:t>Big Data</w:t>
            </w:r>
          </w:p>
        </w:tc>
        <w:tc>
          <w:tcPr>
            <w:tcW w:w="0" w:type="auto"/>
            <w:shd w:val="clear" w:color="auto" w:fill="auto"/>
          </w:tcPr>
          <w:p w14:paraId="6326B734" w14:textId="72B3526A" w:rsidR="00221C59" w:rsidRDefault="00221C59" w:rsidP="00221C59">
            <w:pPr>
              <w:rPr>
                <w:szCs w:val="20"/>
              </w:rPr>
            </w:pPr>
          </w:p>
          <w:p w14:paraId="6FEA55FD" w14:textId="095ECCD7" w:rsidR="00FE053A" w:rsidRPr="00634250" w:rsidRDefault="00FE053A" w:rsidP="000C4849">
            <w:pPr>
              <w:pStyle w:val="ListParagraph"/>
              <w:numPr>
                <w:ilvl w:val="0"/>
                <w:numId w:val="191"/>
              </w:numPr>
            </w:pPr>
            <w:r w:rsidRPr="000C4849">
              <w:rPr>
                <w:rFonts w:ascii="Tw Cen MT Condensed" w:hAnsi="Tw Cen MT Condensed"/>
              </w:rPr>
              <w:t>Ecosystem type</w:t>
            </w:r>
          </w:p>
        </w:tc>
        <w:tc>
          <w:tcPr>
            <w:tcW w:w="0" w:type="auto"/>
            <w:shd w:val="clear" w:color="auto" w:fill="auto"/>
          </w:tcPr>
          <w:p w14:paraId="0BF1CA97" w14:textId="77777777" w:rsidR="00221C59" w:rsidRPr="00671D7C" w:rsidRDefault="00221C59" w:rsidP="00221C59">
            <w:pPr>
              <w:spacing w:line="276" w:lineRule="auto"/>
              <w:rPr>
                <w:szCs w:val="20"/>
              </w:rPr>
            </w:pPr>
            <w:r w:rsidRPr="00671D7C">
              <w:rPr>
                <w:szCs w:val="20"/>
              </w:rPr>
              <w:t>5-yearly</w:t>
            </w:r>
          </w:p>
        </w:tc>
        <w:tc>
          <w:tcPr>
            <w:tcW w:w="0" w:type="auto"/>
            <w:shd w:val="clear" w:color="auto" w:fill="auto"/>
          </w:tcPr>
          <w:p w14:paraId="55F5CA1C"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2</w:t>
            </w:r>
          </w:p>
          <w:p w14:paraId="51578A68"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tcPr>
          <w:p w14:paraId="2665A9C0" w14:textId="77777777" w:rsidR="00221C59" w:rsidRDefault="00221C59" w:rsidP="00221C59">
            <w:pPr>
              <w:pStyle w:val="NoSpacing"/>
            </w:pPr>
            <w:r>
              <w:t>1</w:t>
            </w:r>
            <w:r w:rsidRPr="00013ACB">
              <w:rPr>
                <w:vertAlign w:val="superscript"/>
              </w:rPr>
              <w:t>st</w:t>
            </w:r>
            <w:r>
              <w:t xml:space="preserve"> Round: </w:t>
            </w:r>
          </w:p>
          <w:p w14:paraId="252DE8CB" w14:textId="77777777" w:rsidR="00221C59" w:rsidRDefault="00221C59" w:rsidP="00221C59">
            <w:pPr>
              <w:pStyle w:val="NoSpacing"/>
            </w:pPr>
            <w:r>
              <w:rPr>
                <w:sz w:val="18"/>
                <w:szCs w:val="18"/>
              </w:rPr>
              <w:t xml:space="preserve">June </w:t>
            </w:r>
            <w:r w:rsidRPr="00E42484">
              <w:rPr>
                <w:sz w:val="18"/>
                <w:szCs w:val="18"/>
              </w:rPr>
              <w:t>2020</w:t>
            </w:r>
          </w:p>
          <w:p w14:paraId="6D487681" w14:textId="77777777" w:rsidR="00221C59" w:rsidRDefault="00221C59" w:rsidP="00221C59">
            <w:pPr>
              <w:pStyle w:val="NoSpacing"/>
            </w:pPr>
            <w:r>
              <w:t>2</w:t>
            </w:r>
            <w:r w:rsidRPr="00013ACB">
              <w:rPr>
                <w:vertAlign w:val="superscript"/>
              </w:rPr>
              <w:t>nd</w:t>
            </w:r>
            <w:r>
              <w:t xml:space="preserve"> Round: </w:t>
            </w:r>
          </w:p>
          <w:p w14:paraId="0FF72D00" w14:textId="77777777" w:rsidR="00221C59" w:rsidRDefault="00221C59" w:rsidP="00221C59">
            <w:pPr>
              <w:pStyle w:val="NoSpacing"/>
            </w:pPr>
            <w:r>
              <w:rPr>
                <w:sz w:val="18"/>
                <w:szCs w:val="18"/>
              </w:rPr>
              <w:t>June 2025</w:t>
            </w:r>
          </w:p>
          <w:p w14:paraId="18860F7A" w14:textId="77777777" w:rsidR="00221C59" w:rsidRDefault="00221C59" w:rsidP="00221C59">
            <w:pPr>
              <w:pStyle w:val="NoSpacing"/>
            </w:pPr>
            <w:r>
              <w:t>3</w:t>
            </w:r>
            <w:r w:rsidRPr="00013ACB">
              <w:rPr>
                <w:vertAlign w:val="superscript"/>
              </w:rPr>
              <w:t>rd</w:t>
            </w:r>
            <w:r>
              <w:t xml:space="preserve"> Round: </w:t>
            </w:r>
          </w:p>
          <w:p w14:paraId="6A0C70D1" w14:textId="77777777" w:rsidR="00221C59" w:rsidRDefault="00221C59" w:rsidP="00221C59">
            <w:pPr>
              <w:pStyle w:val="NoSpacing"/>
            </w:pPr>
            <w:r>
              <w:rPr>
                <w:sz w:val="18"/>
                <w:szCs w:val="18"/>
              </w:rPr>
              <w:t>June 2030</w:t>
            </w:r>
          </w:p>
          <w:p w14:paraId="7A50F649" w14:textId="087FB71D" w:rsidR="00221C59" w:rsidRPr="00BC6F10" w:rsidRDefault="00221C59" w:rsidP="00221C59">
            <w:pPr>
              <w:rPr>
                <w:szCs w:val="20"/>
              </w:rPr>
            </w:pPr>
          </w:p>
        </w:tc>
        <w:tc>
          <w:tcPr>
            <w:tcW w:w="0" w:type="auto"/>
            <w:shd w:val="clear" w:color="auto" w:fill="auto"/>
          </w:tcPr>
          <w:p w14:paraId="0F055219" w14:textId="77777777" w:rsidR="00221C59" w:rsidRDefault="00221C59" w:rsidP="00221C59">
            <w:pPr>
              <w:ind w:left="-40"/>
              <w:jc w:val="both"/>
              <w:rPr>
                <w:bCs/>
                <w:szCs w:val="20"/>
              </w:rPr>
            </w:pPr>
          </w:p>
          <w:p w14:paraId="5A2B3B0F" w14:textId="77777777" w:rsidR="00221C59" w:rsidRPr="0034566F" w:rsidRDefault="00221C59" w:rsidP="00221C59">
            <w:pPr>
              <w:rPr>
                <w:szCs w:val="20"/>
              </w:rPr>
            </w:pPr>
            <w:r w:rsidRPr="0034566F">
              <w:rPr>
                <w:szCs w:val="20"/>
              </w:rPr>
              <w:t>Data availability reviewed in Nov. 2018  (classified as Tier I)</w:t>
            </w:r>
          </w:p>
          <w:p w14:paraId="47858E35" w14:textId="77777777" w:rsidR="00221C59" w:rsidRPr="0034566F" w:rsidRDefault="00221C59" w:rsidP="00221C59">
            <w:pPr>
              <w:rPr>
                <w:szCs w:val="20"/>
              </w:rPr>
            </w:pPr>
          </w:p>
          <w:p w14:paraId="69AD6656" w14:textId="77777777" w:rsidR="00221C59" w:rsidRPr="0034566F" w:rsidRDefault="00221C59" w:rsidP="00221C59">
            <w:pPr>
              <w:rPr>
                <w:szCs w:val="20"/>
              </w:rPr>
            </w:pPr>
            <w:r w:rsidRPr="0034566F">
              <w:rPr>
                <w:szCs w:val="20"/>
              </w:rPr>
              <w:t>Reviewed at 7th IAEG-SDG meeting (classified as Tier II)</w:t>
            </w:r>
          </w:p>
        </w:tc>
      </w:tr>
      <w:tr w:rsidR="0085651F" w14:paraId="67EC1F1F" w14:textId="77777777" w:rsidTr="0085651F">
        <w:tc>
          <w:tcPr>
            <w:tcW w:w="0" w:type="auto"/>
            <w:gridSpan w:val="13"/>
            <w:shd w:val="clear" w:color="auto" w:fill="auto"/>
          </w:tcPr>
          <w:p w14:paraId="6810CF43" w14:textId="77777777" w:rsidR="0085651F" w:rsidRPr="00423FEB" w:rsidRDefault="0085651F" w:rsidP="00221C59">
            <w:pPr>
              <w:ind w:left="-40"/>
              <w:rPr>
                <w:bCs/>
                <w:color w:val="0070C0"/>
                <w:sz w:val="30"/>
                <w:szCs w:val="30"/>
              </w:rPr>
            </w:pPr>
            <w:r>
              <w:rPr>
                <w:color w:val="0070C0"/>
                <w:sz w:val="30"/>
                <w:szCs w:val="30"/>
              </w:rPr>
              <w:lastRenderedPageBreak/>
              <w:t>Target</w:t>
            </w:r>
            <w:r w:rsidRPr="00423FEB">
              <w:rPr>
                <w:bCs/>
                <w:color w:val="0070C0"/>
                <w:sz w:val="30"/>
                <w:szCs w:val="30"/>
              </w:rPr>
              <w:t xml:space="preserve"> 6.a</w:t>
            </w:r>
            <w:r>
              <w:rPr>
                <w:color w:val="0070C0"/>
                <w:sz w:val="30"/>
                <w:szCs w:val="30"/>
              </w:rPr>
              <w:t>:</w:t>
            </w:r>
            <w:r w:rsidRPr="00423FEB">
              <w:rPr>
                <w:bCs/>
                <w:color w:val="0070C0"/>
                <w:sz w:val="30"/>
                <w:szCs w:val="30"/>
              </w:rPr>
              <w:t xml:space="preserve"> By 2030, expand international cooperation and capacity-building support to developing countries in water- and sanitation-related activities and programmes, including water harvesting, desalination, water efficiency, wastewater treatment, recycling and reuse technologies</w:t>
            </w:r>
          </w:p>
        </w:tc>
      </w:tr>
      <w:tr w:rsidR="00DB32C0" w14:paraId="4ECB2911" w14:textId="77777777" w:rsidTr="0085651F">
        <w:tc>
          <w:tcPr>
            <w:tcW w:w="0" w:type="auto"/>
            <w:tcBorders>
              <w:bottom w:val="single" w:sz="4" w:space="0" w:color="auto"/>
            </w:tcBorders>
            <w:shd w:val="clear" w:color="auto" w:fill="auto"/>
          </w:tcPr>
          <w:p w14:paraId="6872C3AC" w14:textId="77777777" w:rsidR="00221C59" w:rsidRPr="004826CD" w:rsidRDefault="00221C59" w:rsidP="00221C59">
            <w:pPr>
              <w:jc w:val="both"/>
              <w:rPr>
                <w:szCs w:val="20"/>
              </w:rPr>
            </w:pPr>
            <w:r w:rsidRPr="004826CD">
              <w:rPr>
                <w:szCs w:val="20"/>
              </w:rPr>
              <w:t>6.a.1 Amount of water- and sanitation-related official development assistance that is part of a government-coordinated spending plan</w:t>
            </w:r>
          </w:p>
        </w:tc>
        <w:tc>
          <w:tcPr>
            <w:tcW w:w="0" w:type="auto"/>
            <w:shd w:val="clear" w:color="auto" w:fill="auto"/>
          </w:tcPr>
          <w:p w14:paraId="15C98E67" w14:textId="77777777" w:rsidR="00221C59" w:rsidRPr="0097196B" w:rsidRDefault="00221C59" w:rsidP="00221C59">
            <w:pPr>
              <w:rPr>
                <w:szCs w:val="20"/>
              </w:rPr>
            </w:pPr>
            <w:r w:rsidRPr="0097196B">
              <w:rPr>
                <w:szCs w:val="20"/>
              </w:rPr>
              <w:t>WHO,</w:t>
            </w:r>
          </w:p>
          <w:p w14:paraId="7068D4FD" w14:textId="77777777" w:rsidR="00221C59" w:rsidRDefault="00221C59" w:rsidP="00221C59">
            <w:pPr>
              <w:rPr>
                <w:szCs w:val="20"/>
              </w:rPr>
            </w:pPr>
            <w:r w:rsidRPr="0097196B">
              <w:rPr>
                <w:szCs w:val="20"/>
              </w:rPr>
              <w:t>OECD</w:t>
            </w:r>
          </w:p>
          <w:p w14:paraId="00BFEA5F" w14:textId="77777777" w:rsidR="00221C59" w:rsidRDefault="00221C59" w:rsidP="00221C59">
            <w:pPr>
              <w:rPr>
                <w:szCs w:val="20"/>
              </w:rPr>
            </w:pPr>
          </w:p>
          <w:p w14:paraId="5D8EE6BF" w14:textId="77777777" w:rsidR="00221C59" w:rsidRPr="007243FC" w:rsidRDefault="00221C59" w:rsidP="00221C59">
            <w:pPr>
              <w:rPr>
                <w:b/>
                <w:bCs/>
                <w:szCs w:val="20"/>
              </w:rPr>
            </w:pPr>
            <w:r w:rsidRPr="007243FC">
              <w:rPr>
                <w:b/>
                <w:bCs/>
                <w:szCs w:val="20"/>
              </w:rPr>
              <w:t>Partner Agencies:</w:t>
            </w:r>
          </w:p>
          <w:p w14:paraId="4E371BFB" w14:textId="77777777" w:rsidR="00221C59" w:rsidRPr="0097196B" w:rsidRDefault="00221C59" w:rsidP="00221C59">
            <w:pPr>
              <w:rPr>
                <w:szCs w:val="20"/>
              </w:rPr>
            </w:pPr>
            <w:r w:rsidRPr="0097196B">
              <w:rPr>
                <w:szCs w:val="20"/>
              </w:rPr>
              <w:t>UNEP,</w:t>
            </w:r>
          </w:p>
          <w:p w14:paraId="33395562" w14:textId="77777777" w:rsidR="00221C59" w:rsidRPr="007243FC" w:rsidRDefault="00221C59" w:rsidP="00221C59">
            <w:pPr>
              <w:rPr>
                <w:szCs w:val="20"/>
              </w:rPr>
            </w:pPr>
            <w:r w:rsidRPr="0097196B">
              <w:rPr>
                <w:szCs w:val="20"/>
              </w:rPr>
              <w:t>UN-Water</w:t>
            </w:r>
          </w:p>
        </w:tc>
        <w:tc>
          <w:tcPr>
            <w:tcW w:w="825" w:type="dxa"/>
            <w:shd w:val="clear" w:color="auto" w:fill="auto"/>
          </w:tcPr>
          <w:p w14:paraId="398D6B57" w14:textId="77777777" w:rsidR="00221C59" w:rsidRPr="007243FC" w:rsidRDefault="00221C59" w:rsidP="00221C59">
            <w:pPr>
              <w:rPr>
                <w:szCs w:val="20"/>
              </w:rPr>
            </w:pPr>
            <w:r w:rsidRPr="0097196B">
              <w:rPr>
                <w:szCs w:val="20"/>
              </w:rPr>
              <w:t>Tier I</w:t>
            </w:r>
          </w:p>
        </w:tc>
        <w:tc>
          <w:tcPr>
            <w:tcW w:w="6373" w:type="dxa"/>
            <w:shd w:val="clear" w:color="auto" w:fill="auto"/>
          </w:tcPr>
          <w:p w14:paraId="015BC12D" w14:textId="77777777" w:rsidR="00221C59" w:rsidRPr="00563B35" w:rsidRDefault="00221C59" w:rsidP="00221C59">
            <w:pPr>
              <w:pStyle w:val="NoSpacing"/>
              <w:rPr>
                <w:szCs w:val="20"/>
                <w:lang w:val="en-GB"/>
              </w:rPr>
            </w:pPr>
            <w:r w:rsidRPr="00563B35">
              <w:rPr>
                <w:b/>
                <w:bCs/>
                <w:szCs w:val="20"/>
                <w:lang w:val="en-GB"/>
              </w:rPr>
              <w:t>Definition:</w:t>
            </w:r>
          </w:p>
          <w:p w14:paraId="380E8349" w14:textId="77777777" w:rsidR="00221C59" w:rsidRPr="00563B35" w:rsidRDefault="00221C59" w:rsidP="00221C59">
            <w:pPr>
              <w:pStyle w:val="NoSpacing"/>
              <w:rPr>
                <w:szCs w:val="20"/>
                <w:lang w:val="en-GB"/>
              </w:rPr>
            </w:pPr>
            <w:r w:rsidRPr="00563B35">
              <w:rPr>
                <w:szCs w:val="20"/>
                <w:lang w:val="en-GB"/>
              </w:rPr>
              <w:t>Amount of water- and sanitation-related official development assistance that is part of a government-coordinated spending plan</w:t>
            </w:r>
            <w:r w:rsidRPr="00563B35" w:rsidDel="00A62173">
              <w:rPr>
                <w:szCs w:val="20"/>
                <w:lang w:val="en-GB"/>
              </w:rPr>
              <w:t xml:space="preserve"> </w:t>
            </w:r>
            <w:r w:rsidRPr="00563B35">
              <w:rPr>
                <w:szCs w:val="20"/>
                <w:lang w:val="en-GB"/>
              </w:rPr>
              <w:t>is defined as the proportion of total water and sanitation-related Official Development Assistance (ODA) disbursements that are included in the government budget.</w:t>
            </w:r>
          </w:p>
          <w:p w14:paraId="1FCF5A3E" w14:textId="77777777" w:rsidR="00221C59" w:rsidRPr="00563B35" w:rsidRDefault="00221C59" w:rsidP="00221C59">
            <w:pPr>
              <w:pStyle w:val="NoSpacing"/>
              <w:rPr>
                <w:szCs w:val="20"/>
                <w:lang w:val="en-GB"/>
              </w:rPr>
            </w:pPr>
            <w:r w:rsidRPr="00563B35">
              <w:rPr>
                <w:b/>
                <w:bCs/>
                <w:szCs w:val="20"/>
                <w:lang w:val="en-GB"/>
              </w:rPr>
              <w:t>Concepts:</w:t>
            </w:r>
          </w:p>
          <w:p w14:paraId="70C5CFD7" w14:textId="77777777" w:rsidR="00221C59" w:rsidRPr="00563B35" w:rsidRDefault="00221C59" w:rsidP="00221C59">
            <w:pPr>
              <w:pStyle w:val="NoSpacing"/>
              <w:rPr>
                <w:szCs w:val="20"/>
                <w:lang w:val="en-GB"/>
              </w:rPr>
            </w:pPr>
          </w:p>
          <w:p w14:paraId="6FC36AB5" w14:textId="77777777" w:rsidR="00221C59" w:rsidRPr="00563B35" w:rsidRDefault="00221C59" w:rsidP="00221C59">
            <w:pPr>
              <w:pStyle w:val="NoSpacing"/>
              <w:rPr>
                <w:szCs w:val="20"/>
                <w:lang w:val="en-GB"/>
              </w:rPr>
            </w:pPr>
            <w:r w:rsidRPr="00563B35">
              <w:rPr>
                <w:szCs w:val="20"/>
                <w:lang w:val="en-GB"/>
              </w:rPr>
              <w:t>“International cooperation and capacity-building support” implies aid (most of it quantifiable) in the form of grants or loans by external support agencies. The amount of water and sanitation-related Official Development Assistance (ODA) can be used as a proxy for this, captured by OECD Creditor Reporting System (CRS). ODA is defined as flows of official financing administered with the promotion of the economic development and welfare of developing countries as the main objective, and which are concessional in character with a grant element of at least 25 per cent (using a fixed 10 per cent rate of discount). By convention, ODA flows comprise contributions of donor government agencies, at all levels, to developing countries (“bilateral ODA”) and to multilateral institutions. ODA receipts, from a recipient perspective, comprise disbursements by bilateral donors and multilateral institutions. Lending by export credit agencies—with the pure purpose of export promotion—is excluded (see http://www.oecd.org/dac/stats/officialdevelopmentassistancedefinitionandcoverage.htm).</w:t>
            </w:r>
          </w:p>
          <w:p w14:paraId="36E1887B" w14:textId="77777777" w:rsidR="00221C59" w:rsidRPr="00563B35" w:rsidRDefault="00221C59" w:rsidP="00221C59">
            <w:pPr>
              <w:pStyle w:val="NoSpacing"/>
              <w:rPr>
                <w:szCs w:val="20"/>
                <w:lang w:val="en-GB"/>
              </w:rPr>
            </w:pPr>
          </w:p>
          <w:p w14:paraId="053DB1BA" w14:textId="77777777" w:rsidR="00221C59" w:rsidRPr="00563B35" w:rsidRDefault="00221C59" w:rsidP="00221C59">
            <w:pPr>
              <w:pStyle w:val="NoSpacing"/>
              <w:rPr>
                <w:szCs w:val="20"/>
                <w:lang w:val="en-GB"/>
              </w:rPr>
            </w:pPr>
            <w:r w:rsidRPr="00563B35">
              <w:rPr>
                <w:szCs w:val="20"/>
                <w:lang w:val="en-GB"/>
              </w:rPr>
              <w:t xml:space="preserve">“Developing countries” refer to countries, which are eligible to receive official development assistance (see http://www.oecd.org/dac/stats/daclist.htm). This limits the scope of reporting to those countries receiving water and sanitation ODA, and the number of such countries is expected to decrease going </w:t>
            </w:r>
            <w:r w:rsidRPr="00563B35">
              <w:rPr>
                <w:szCs w:val="20"/>
                <w:lang w:val="en-GB"/>
              </w:rPr>
              <w:lastRenderedPageBreak/>
              <w:t>forward.</w:t>
            </w:r>
          </w:p>
          <w:p w14:paraId="2AD7D449" w14:textId="77777777" w:rsidR="00221C59" w:rsidRPr="00563B35" w:rsidRDefault="00221C59" w:rsidP="00221C59">
            <w:pPr>
              <w:pStyle w:val="NoSpacing"/>
              <w:rPr>
                <w:szCs w:val="20"/>
                <w:lang w:val="en-GB"/>
              </w:rPr>
            </w:pPr>
          </w:p>
          <w:p w14:paraId="34F7B256" w14:textId="77777777" w:rsidR="00221C59" w:rsidRPr="00563B35" w:rsidRDefault="00221C59" w:rsidP="00221C59">
            <w:pPr>
              <w:pStyle w:val="NoSpacing"/>
              <w:rPr>
                <w:szCs w:val="20"/>
                <w:lang w:val="en-GB"/>
              </w:rPr>
            </w:pPr>
            <w:r w:rsidRPr="00563B35">
              <w:rPr>
                <w:szCs w:val="20"/>
                <w:lang w:val="en-GB"/>
              </w:rPr>
              <w:t xml:space="preserve">Water and sanitation-related activities and programmes include those for water supply, sanitation and hygiene (WASH) (targets 6.1, 6.2), wastewater and water quality (6.3), water efficiency (6.4), water resource management (6.5), and water-related ecosystems (6.6). As per target 6.a wording, it includes activities and programmes for water harvesting, desalination, water efficiency, wastewater treatment, recycling and reuse technologies. </w:t>
            </w:r>
          </w:p>
          <w:p w14:paraId="1D816177" w14:textId="77777777" w:rsidR="00221C59" w:rsidRPr="00563B35" w:rsidRDefault="00221C59" w:rsidP="00221C59">
            <w:pPr>
              <w:pStyle w:val="NoSpacing"/>
              <w:rPr>
                <w:szCs w:val="20"/>
                <w:lang w:val="en-GB"/>
              </w:rPr>
            </w:pPr>
          </w:p>
          <w:p w14:paraId="0784CC01" w14:textId="77777777" w:rsidR="00221C59" w:rsidRPr="00563B35" w:rsidRDefault="00221C59" w:rsidP="00221C59">
            <w:pPr>
              <w:pStyle w:val="NoSpacing"/>
              <w:rPr>
                <w:szCs w:val="20"/>
                <w:lang w:val="en-GB"/>
              </w:rPr>
            </w:pPr>
            <w:r w:rsidRPr="00563B35">
              <w:rPr>
                <w:szCs w:val="20"/>
                <w:lang w:val="en-GB"/>
              </w:rPr>
              <w:t>A government coordinated spending plan is defined as a financing plan/budget for the water and sanitation sector, clearly assessing the available sources of finance and strategies for financing future needs.</w:t>
            </w:r>
          </w:p>
          <w:p w14:paraId="0C92F791" w14:textId="77777777" w:rsidR="00221C59" w:rsidRPr="00563B35" w:rsidRDefault="00221C59" w:rsidP="00221C59">
            <w:pPr>
              <w:pStyle w:val="NoSpacing"/>
              <w:rPr>
                <w:szCs w:val="20"/>
                <w:lang w:val="en-GB"/>
              </w:rPr>
            </w:pPr>
            <w:r w:rsidRPr="00563B35">
              <w:rPr>
                <w:b/>
                <w:bCs/>
                <w:szCs w:val="20"/>
                <w:lang w:val="en-GB"/>
              </w:rPr>
              <w:t>Comments and limitations:</w:t>
            </w:r>
          </w:p>
          <w:p w14:paraId="7D3027CD" w14:textId="77777777" w:rsidR="00221C59" w:rsidRPr="00563B35" w:rsidRDefault="00221C59" w:rsidP="00221C59">
            <w:pPr>
              <w:pStyle w:val="NoSpacing"/>
              <w:rPr>
                <w:szCs w:val="20"/>
                <w:lang w:val="en-GB"/>
              </w:rPr>
            </w:pPr>
          </w:p>
          <w:p w14:paraId="3B73D12B" w14:textId="77777777" w:rsidR="00221C59" w:rsidRPr="00563B35" w:rsidRDefault="00221C59" w:rsidP="00221C59">
            <w:pPr>
              <w:pStyle w:val="NoSpacing"/>
              <w:rPr>
                <w:szCs w:val="20"/>
                <w:lang w:val="en-GB"/>
              </w:rPr>
            </w:pPr>
            <w:r w:rsidRPr="00563B35">
              <w:rPr>
                <w:szCs w:val="20"/>
                <w:lang w:val="en-GB"/>
              </w:rPr>
              <w:t>Data on water and sanitation-related ODA included in the government budget will be available by end-2016 with the current cycle of UN-Water Global Analysis and Assessment of Sanitation and Drinking-Water (GLAAS) data. Until then, total water and sanitation-related ODA (denominator) will be reported. Total water and sanitation-related ODA will continue to be reported as an additional indicator going forward.</w:t>
            </w:r>
          </w:p>
          <w:p w14:paraId="652C3576" w14:textId="77777777" w:rsidR="00221C59" w:rsidRPr="00563B35" w:rsidRDefault="00221C59" w:rsidP="00221C59">
            <w:pPr>
              <w:pStyle w:val="NoSpacing"/>
              <w:rPr>
                <w:szCs w:val="20"/>
                <w:lang w:val="en-GB"/>
              </w:rPr>
            </w:pPr>
          </w:p>
          <w:p w14:paraId="6C0BDDB6" w14:textId="77777777" w:rsidR="00221C59" w:rsidRPr="00563B35" w:rsidRDefault="00221C59" w:rsidP="00221C59">
            <w:pPr>
              <w:pStyle w:val="NoSpacing"/>
              <w:rPr>
                <w:szCs w:val="20"/>
                <w:lang w:val="en-GB"/>
              </w:rPr>
            </w:pPr>
            <w:r w:rsidRPr="00563B35">
              <w:rPr>
                <w:szCs w:val="20"/>
                <w:lang w:val="en-GB"/>
              </w:rPr>
              <w:t xml:space="preserve">In addition, the proportion of ODA channelled through the government treasury will be reported as an additional indicator. ODA channelled through treasury indicates a high level of cooperation and alignment between donors and national government in which the donors channel funds through the national budget process. </w:t>
            </w:r>
          </w:p>
          <w:p w14:paraId="1E4573E6" w14:textId="77777777" w:rsidR="00221C59" w:rsidRPr="00563B35" w:rsidRDefault="00221C59" w:rsidP="00221C59">
            <w:pPr>
              <w:pStyle w:val="NoSpacing"/>
              <w:rPr>
                <w:szCs w:val="20"/>
                <w:lang w:val="en-GB"/>
              </w:rPr>
            </w:pPr>
          </w:p>
          <w:p w14:paraId="697BFDDE" w14:textId="77777777" w:rsidR="00221C59" w:rsidRPr="00563B35" w:rsidRDefault="00221C59" w:rsidP="00221C59">
            <w:pPr>
              <w:pStyle w:val="NoSpacing"/>
              <w:rPr>
                <w:szCs w:val="20"/>
                <w:lang w:val="en-GB"/>
              </w:rPr>
            </w:pPr>
            <w:r w:rsidRPr="00563B35">
              <w:rPr>
                <w:szCs w:val="20"/>
                <w:lang w:val="en-GB"/>
              </w:rPr>
              <w:t>The OECD Creditor Reporting System (CRS) currently disaggregates ODA for the water and sanitation among several categories including: sector policy and administration, water resources protection, large and basic water and sanitation systems, river basin infrastructure, waste management, agricultural water resources, and education and training. While these categories do not align directly with the target areas of SDG 6 individually, which limits the disaggregation of ODA among the SDG target areas, the combined ODA from these categories does align with a majority of the reported ODA to the water sector.</w:t>
            </w:r>
          </w:p>
          <w:p w14:paraId="54C71A25" w14:textId="77777777" w:rsidR="00221C59" w:rsidRPr="00563B35" w:rsidRDefault="00221C59" w:rsidP="00221C59">
            <w:pPr>
              <w:pStyle w:val="NoSpacing"/>
              <w:rPr>
                <w:szCs w:val="20"/>
                <w:lang w:val="en-GB"/>
              </w:rPr>
            </w:pPr>
          </w:p>
          <w:p w14:paraId="7542D7E0" w14:textId="77777777" w:rsidR="00221C59" w:rsidRPr="00563B35" w:rsidRDefault="00221C59" w:rsidP="00221C59">
            <w:pPr>
              <w:pStyle w:val="NoSpacing"/>
              <w:rPr>
                <w:szCs w:val="20"/>
                <w:lang w:val="en-GB"/>
              </w:rPr>
            </w:pPr>
            <w:r w:rsidRPr="00563B35">
              <w:rPr>
                <w:szCs w:val="20"/>
                <w:lang w:val="en-GB"/>
              </w:rPr>
              <w:t xml:space="preserve">As the numerator and denominator come from different sources, there is the possibility of different underlying assumptions regarding what should be </w:t>
            </w:r>
            <w:proofErr w:type="gramStart"/>
            <w:r w:rsidRPr="00563B35">
              <w:rPr>
                <w:szCs w:val="20"/>
                <w:lang w:val="en-GB"/>
              </w:rPr>
              <w:t>included/excluded</w:t>
            </w:r>
            <w:proofErr w:type="gramEnd"/>
            <w:r w:rsidRPr="00563B35">
              <w:rPr>
                <w:szCs w:val="20"/>
                <w:lang w:val="en-GB"/>
              </w:rPr>
              <w:t xml:space="preserve"> in the ODA figures. This could lead to situations in which the proportion of ODA included in government budget is greater than 1 (100%) if total ODA reported to OECD is lower than ODA reported to be included the budget. To guard against this possibility, the OECD will supply GLAAS with the reported ODA figures, broken down to the project level, so that respondents can match these with their on-budget project data. </w:t>
            </w:r>
          </w:p>
          <w:p w14:paraId="2060B5CC" w14:textId="77777777" w:rsidR="00221C59" w:rsidRPr="00563B35" w:rsidRDefault="00221C59" w:rsidP="00221C59">
            <w:pPr>
              <w:pStyle w:val="NoSpacing"/>
              <w:rPr>
                <w:szCs w:val="20"/>
                <w:lang w:val="en-GB"/>
              </w:rPr>
            </w:pPr>
          </w:p>
          <w:p w14:paraId="392B0BAE" w14:textId="77777777" w:rsidR="00221C59" w:rsidRDefault="00221C59" w:rsidP="00221C59">
            <w:pPr>
              <w:pStyle w:val="NoSpacing"/>
              <w:rPr>
                <w:szCs w:val="20"/>
                <w:lang w:val="en-GB"/>
              </w:rPr>
            </w:pPr>
            <w:r w:rsidRPr="00563B35">
              <w:rPr>
                <w:szCs w:val="20"/>
                <w:lang w:val="en-GB"/>
              </w:rPr>
              <w:t xml:space="preserve">ODA represents only one aspect of international cooperation. To capture other dimensions, additional supporting indicators are available, including indicators for the Collaborative Behaviours identified by the Sanitation and Water for All (SWA) partnership. </w:t>
            </w:r>
            <w:proofErr w:type="gramStart"/>
            <w:r w:rsidRPr="00563B35">
              <w:rPr>
                <w:szCs w:val="20"/>
                <w:lang w:val="en-GB"/>
              </w:rPr>
              <w:t>Each behaviour</w:t>
            </w:r>
            <w:proofErr w:type="gramEnd"/>
            <w:r w:rsidRPr="00563B35">
              <w:rPr>
                <w:szCs w:val="20"/>
                <w:lang w:val="en-GB"/>
              </w:rPr>
              <w:t xml:space="preserve"> has one or two key indicators for governments and for development partners. If the behaviours are jointly adapted by governments and development partners, long-term sector performance and sustainability would improve. For additional information on the Collaborative Behaviours see: http://sanitationandwaterforall.org/about/the-fou</w:t>
            </w:r>
            <w:r>
              <w:rPr>
                <w:szCs w:val="20"/>
                <w:lang w:val="en-GB"/>
              </w:rPr>
              <w:t>r-swa-collaborative-behaviours.</w:t>
            </w:r>
          </w:p>
          <w:p w14:paraId="436BF15F" w14:textId="77777777" w:rsidR="00221C59" w:rsidRPr="004B24AC" w:rsidRDefault="00221C59" w:rsidP="00221C59">
            <w:pPr>
              <w:pStyle w:val="NoSpacing"/>
              <w:rPr>
                <w:szCs w:val="20"/>
                <w:lang w:val="en-GB"/>
              </w:rPr>
            </w:pPr>
          </w:p>
          <w:p w14:paraId="1F179737" w14:textId="77777777" w:rsidR="00221C59" w:rsidRPr="00563B35" w:rsidRDefault="00221C59" w:rsidP="00221C59">
            <w:pPr>
              <w:pStyle w:val="NoSpacing"/>
              <w:rPr>
                <w:szCs w:val="20"/>
                <w:lang w:val="en-GB"/>
              </w:rPr>
            </w:pPr>
            <w:r w:rsidRPr="00563B35">
              <w:rPr>
                <w:b/>
                <w:bCs/>
                <w:szCs w:val="20"/>
                <w:lang w:val="en-GB"/>
              </w:rPr>
              <w:t>Computation Method:</w:t>
            </w:r>
          </w:p>
          <w:p w14:paraId="6710DA51" w14:textId="77777777" w:rsidR="00221C59" w:rsidRPr="00563B35" w:rsidRDefault="00221C59" w:rsidP="00221C59">
            <w:pPr>
              <w:pStyle w:val="NoSpacing"/>
              <w:rPr>
                <w:szCs w:val="20"/>
                <w:lang w:val="en-GB"/>
              </w:rPr>
            </w:pPr>
          </w:p>
          <w:p w14:paraId="0C943E41" w14:textId="77777777" w:rsidR="00221C59" w:rsidRPr="00563B35" w:rsidRDefault="00221C59" w:rsidP="00221C59">
            <w:pPr>
              <w:pStyle w:val="NoSpacing"/>
              <w:rPr>
                <w:szCs w:val="20"/>
                <w:lang w:val="en-GB"/>
              </w:rPr>
            </w:pPr>
            <w:r w:rsidRPr="00563B35">
              <w:rPr>
                <w:szCs w:val="20"/>
                <w:lang w:val="en-GB"/>
              </w:rPr>
              <w:t>The indicator is computed as the proportion of total water and sanitation-related ODA that is included in the government budget, i.e. the amount of water and sanitation-related ODA in the government budget divided by the total amount of water and sanitation-related ODA.</w:t>
            </w:r>
          </w:p>
          <w:p w14:paraId="2E24FB83" w14:textId="77777777" w:rsidR="00221C59" w:rsidRPr="00563B35" w:rsidRDefault="00221C59" w:rsidP="00221C59">
            <w:pPr>
              <w:pStyle w:val="NoSpacing"/>
              <w:rPr>
                <w:szCs w:val="20"/>
                <w:lang w:val="en-GB"/>
              </w:rPr>
            </w:pPr>
          </w:p>
          <w:p w14:paraId="5BD19765" w14:textId="77777777" w:rsidR="00221C59" w:rsidRDefault="00221C59" w:rsidP="00221C59">
            <w:pPr>
              <w:pStyle w:val="NoSpacing"/>
              <w:rPr>
                <w:szCs w:val="20"/>
                <w:lang w:val="en-GB"/>
              </w:rPr>
            </w:pPr>
            <w:r w:rsidRPr="00563B35">
              <w:rPr>
                <w:szCs w:val="20"/>
                <w:lang w:val="en-GB"/>
              </w:rPr>
              <w:t xml:space="preserve">The numerator on water and sanitation-related ODA in the government budget will be obtained from the UN-Water Global Analysis and Assessment of Sanitation and Drinking-Water (GLAAS) survey for the 2016-2017 </w:t>
            </w:r>
            <w:proofErr w:type="gramStart"/>
            <w:r w:rsidRPr="00563B35">
              <w:rPr>
                <w:szCs w:val="20"/>
                <w:lang w:val="en-GB"/>
              </w:rPr>
              <w:t>cycle</w:t>
            </w:r>
            <w:proofErr w:type="gramEnd"/>
            <w:r w:rsidRPr="00563B35">
              <w:rPr>
                <w:szCs w:val="20"/>
                <w:lang w:val="en-GB"/>
              </w:rPr>
              <w:t>. The question on external funding collects data on the amount of donor funds that were included in government budget. Data for 2015 ODA disbursements through GLAAS will be available by end-2016. The scope of the question on external funding has been expanded beyond WASH for the 2016-17 cycle to address all targets under SDG 6, including wastewater and water quality, water efficiency, water resource management, and water-related ecosystems.</w:t>
            </w:r>
          </w:p>
          <w:p w14:paraId="12A9F07C" w14:textId="77777777" w:rsidR="00221C59" w:rsidRPr="00563B35" w:rsidRDefault="00221C59" w:rsidP="00221C59">
            <w:pPr>
              <w:pStyle w:val="NoSpacing"/>
              <w:rPr>
                <w:szCs w:val="20"/>
                <w:lang w:val="en-GB"/>
              </w:rPr>
            </w:pPr>
            <w:r w:rsidRPr="00CE4245">
              <w:rPr>
                <w:szCs w:val="20"/>
                <w:lang w:val="en-GB"/>
              </w:rPr>
              <w:t>The denominator on total water and sanitation-related ODA disbursements will be obtained through OECD Creditor Reporting System (CRS) (purpose codes 14000-series for the water sector and purpose code 31140 for agricultural water resources). Data on ODA disbursements for 2015 will be made available through CRS in December 2016.</w:t>
            </w:r>
          </w:p>
          <w:p w14:paraId="1C7B8304" w14:textId="77777777" w:rsidR="00221C59" w:rsidRPr="00563B35" w:rsidRDefault="00221C59" w:rsidP="00221C59">
            <w:pPr>
              <w:pStyle w:val="NoSpacing"/>
              <w:rPr>
                <w:rStyle w:val="fontstyle01"/>
                <w:rFonts w:ascii="Tw Cen MT Condensed" w:hAnsi="Tw Cen MT Condensed"/>
                <w:b w:val="0"/>
                <w:bCs w:val="0"/>
              </w:rPr>
            </w:pPr>
          </w:p>
        </w:tc>
        <w:tc>
          <w:tcPr>
            <w:tcW w:w="0" w:type="auto"/>
            <w:shd w:val="clear" w:color="auto" w:fill="auto"/>
          </w:tcPr>
          <w:p w14:paraId="495DEC3F" w14:textId="77777777" w:rsidR="00221C59" w:rsidRPr="007243FC" w:rsidRDefault="00221C59" w:rsidP="00221C59">
            <w:pPr>
              <w:rPr>
                <w:bCs/>
                <w:szCs w:val="20"/>
              </w:rPr>
            </w:pPr>
          </w:p>
        </w:tc>
        <w:tc>
          <w:tcPr>
            <w:tcW w:w="0" w:type="auto"/>
            <w:shd w:val="clear" w:color="auto" w:fill="auto"/>
          </w:tcPr>
          <w:p w14:paraId="333D04C7" w14:textId="77777777" w:rsidR="00221C59" w:rsidRPr="007243FC" w:rsidRDefault="00221C59" w:rsidP="00221C59">
            <w:pPr>
              <w:pStyle w:val="NoSpacing"/>
              <w:rPr>
                <w:bCs/>
                <w:szCs w:val="20"/>
              </w:rPr>
            </w:pPr>
            <w:r w:rsidRPr="00873FDE">
              <w:t>Ministries with responsibilities related to finance, water supply and sanitation, agriculture, water resources development and management, environment, and foreign affairs</w:t>
            </w:r>
          </w:p>
        </w:tc>
        <w:tc>
          <w:tcPr>
            <w:tcW w:w="0" w:type="auto"/>
            <w:shd w:val="clear" w:color="auto" w:fill="auto"/>
          </w:tcPr>
          <w:p w14:paraId="46ED229B" w14:textId="77777777" w:rsidR="00221C59" w:rsidRPr="007243FC" w:rsidRDefault="00221C59" w:rsidP="00221C59">
            <w:pPr>
              <w:rPr>
                <w:rFonts w:eastAsia="Times New Roman" w:cs="Times New Roman"/>
                <w:color w:val="000000" w:themeColor="text1"/>
                <w:szCs w:val="20"/>
              </w:rPr>
            </w:pPr>
            <w:r w:rsidRPr="002A0CEE">
              <w:rPr>
                <w:highlight w:val="yellow"/>
              </w:rPr>
              <w:t>ERD</w:t>
            </w:r>
          </w:p>
        </w:tc>
        <w:tc>
          <w:tcPr>
            <w:tcW w:w="0" w:type="auto"/>
            <w:shd w:val="clear" w:color="auto" w:fill="auto"/>
          </w:tcPr>
          <w:p w14:paraId="125565C2" w14:textId="77777777" w:rsidR="00221C59" w:rsidRDefault="00221C59" w:rsidP="00221C59">
            <w:r w:rsidRPr="002A0CEE">
              <w:rPr>
                <w:highlight w:val="yellow"/>
              </w:rPr>
              <w:t>ERD</w:t>
            </w:r>
          </w:p>
          <w:p w14:paraId="712D87F5" w14:textId="77777777" w:rsidR="00221C59" w:rsidRPr="007243FC" w:rsidRDefault="00221C59" w:rsidP="00221C59">
            <w:pPr>
              <w:rPr>
                <w:rFonts w:eastAsia="Times New Roman" w:cs="Times New Roman"/>
                <w:color w:val="000000" w:themeColor="text1"/>
                <w:szCs w:val="20"/>
              </w:rPr>
            </w:pPr>
            <w:r>
              <w:rPr>
                <w:rFonts w:eastAsia="Times New Roman" w:cs="Times New Roman"/>
                <w:color w:val="000000" w:themeColor="text1"/>
                <w:szCs w:val="20"/>
              </w:rPr>
              <w:t>Administrative Data</w:t>
            </w:r>
          </w:p>
        </w:tc>
        <w:tc>
          <w:tcPr>
            <w:tcW w:w="0" w:type="auto"/>
            <w:shd w:val="clear" w:color="auto" w:fill="auto"/>
          </w:tcPr>
          <w:p w14:paraId="7AC5C2F4" w14:textId="77777777" w:rsidR="00221C59" w:rsidRPr="001D6006" w:rsidRDefault="00221C59" w:rsidP="00221C59">
            <w:pPr>
              <w:pStyle w:val="ListParagraph"/>
              <w:numPr>
                <w:ilvl w:val="0"/>
                <w:numId w:val="48"/>
              </w:numPr>
              <w:spacing w:after="0" w:line="240" w:lineRule="auto"/>
              <w:ind w:left="160" w:hanging="160"/>
              <w:rPr>
                <w:rFonts w:ascii="Tw Cen MT Condensed" w:hAnsi="Tw Cen MT Condensed"/>
              </w:rPr>
            </w:pPr>
            <w:r w:rsidRPr="001D6006">
              <w:rPr>
                <w:rFonts w:ascii="Tw Cen MT Condensed" w:hAnsi="Tw Cen MT Condensed"/>
              </w:rPr>
              <w:t>subsector: basic system, large system</w:t>
            </w:r>
          </w:p>
          <w:p w14:paraId="0FD4FBB6" w14:textId="77777777" w:rsidR="00221C59" w:rsidRPr="00012E4A" w:rsidRDefault="00221C59" w:rsidP="00221C59"/>
        </w:tc>
        <w:tc>
          <w:tcPr>
            <w:tcW w:w="0" w:type="auto"/>
            <w:shd w:val="clear" w:color="auto" w:fill="auto"/>
          </w:tcPr>
          <w:p w14:paraId="78C92C56" w14:textId="77777777" w:rsidR="00221C59" w:rsidRPr="007243FC" w:rsidRDefault="00221C59" w:rsidP="00221C59">
            <w:pPr>
              <w:rPr>
                <w:szCs w:val="20"/>
              </w:rPr>
            </w:pPr>
            <w:r w:rsidRPr="00BC6F10">
              <w:t>Annual</w:t>
            </w:r>
          </w:p>
        </w:tc>
        <w:tc>
          <w:tcPr>
            <w:tcW w:w="0" w:type="auto"/>
            <w:shd w:val="clear" w:color="auto" w:fill="auto"/>
          </w:tcPr>
          <w:p w14:paraId="58B6DA6C" w14:textId="77777777" w:rsidR="00221C59" w:rsidRPr="007243FC" w:rsidRDefault="00221C59" w:rsidP="00221C59">
            <w:pPr>
              <w:rPr>
                <w:b/>
                <w:bCs/>
                <w:sz w:val="22"/>
                <w:szCs w:val="22"/>
              </w:rPr>
            </w:pPr>
            <w:r>
              <w:rPr>
                <w:rStyle w:val="fontstyle01"/>
                <w:rFonts w:ascii="Tw Cen MT Condensed" w:hAnsi="Tw Cen MT Condensed"/>
                <w:b w:val="0"/>
                <w:bCs w:val="0"/>
                <w:sz w:val="18"/>
                <w:szCs w:val="18"/>
              </w:rPr>
              <w:t>Group 1</w:t>
            </w:r>
          </w:p>
          <w:p w14:paraId="79E652BF" w14:textId="77777777" w:rsidR="00221C59" w:rsidRPr="007243FC" w:rsidRDefault="00221C59" w:rsidP="00221C59">
            <w:pPr>
              <w:jc w:val="center"/>
              <w:rPr>
                <w:rStyle w:val="fontstyle01"/>
                <w:rFonts w:ascii="Tw Cen MT Condensed" w:hAnsi="Tw Cen MT Condensed"/>
                <w:b w:val="0"/>
                <w:bCs w:val="0"/>
                <w:sz w:val="18"/>
                <w:szCs w:val="18"/>
              </w:rPr>
            </w:pPr>
          </w:p>
        </w:tc>
        <w:tc>
          <w:tcPr>
            <w:tcW w:w="0" w:type="auto"/>
            <w:shd w:val="clear" w:color="auto" w:fill="auto"/>
          </w:tcPr>
          <w:p w14:paraId="140170B6" w14:textId="77777777" w:rsidR="00221C59" w:rsidRDefault="00221C59" w:rsidP="00221C59">
            <w:pPr>
              <w:pStyle w:val="NoSpacing"/>
            </w:pPr>
            <w:r>
              <w:t>1</w:t>
            </w:r>
            <w:r w:rsidRPr="00013ACB">
              <w:rPr>
                <w:vertAlign w:val="superscript"/>
              </w:rPr>
              <w:t>st</w:t>
            </w:r>
            <w:r>
              <w:t xml:space="preserve"> Round: </w:t>
            </w:r>
          </w:p>
          <w:p w14:paraId="164DAB65" w14:textId="77777777" w:rsidR="00221C59" w:rsidRDefault="00221C59" w:rsidP="00221C59">
            <w:pPr>
              <w:pStyle w:val="NoSpacing"/>
            </w:pPr>
            <w:r>
              <w:t>2015</w:t>
            </w:r>
          </w:p>
          <w:p w14:paraId="3CB4FACA" w14:textId="77777777" w:rsidR="00221C59" w:rsidRDefault="00221C59" w:rsidP="00221C59">
            <w:pPr>
              <w:pStyle w:val="NoSpacing"/>
            </w:pPr>
            <w:r>
              <w:t>2</w:t>
            </w:r>
            <w:r w:rsidRPr="00013ACB">
              <w:rPr>
                <w:vertAlign w:val="superscript"/>
              </w:rPr>
              <w:t>nd</w:t>
            </w:r>
            <w:r>
              <w:t xml:space="preserve"> Round: </w:t>
            </w:r>
          </w:p>
          <w:p w14:paraId="0605DA99" w14:textId="77777777" w:rsidR="00221C59" w:rsidRDefault="00221C59" w:rsidP="00221C59">
            <w:pPr>
              <w:pStyle w:val="NoSpacing"/>
            </w:pPr>
            <w:r>
              <w:rPr>
                <w:sz w:val="18"/>
                <w:szCs w:val="18"/>
              </w:rPr>
              <w:t>January 20</w:t>
            </w:r>
            <w:r w:rsidRPr="00E42484">
              <w:rPr>
                <w:sz w:val="18"/>
                <w:szCs w:val="18"/>
              </w:rPr>
              <w:t>19</w:t>
            </w:r>
          </w:p>
          <w:p w14:paraId="299FD070" w14:textId="77777777" w:rsidR="00221C59" w:rsidRDefault="00221C59" w:rsidP="00221C59">
            <w:pPr>
              <w:pStyle w:val="NoSpacing"/>
            </w:pPr>
            <w:r>
              <w:t>3</w:t>
            </w:r>
            <w:r w:rsidRPr="00013ACB">
              <w:rPr>
                <w:vertAlign w:val="superscript"/>
              </w:rPr>
              <w:t>rd</w:t>
            </w:r>
            <w:r>
              <w:t xml:space="preserve"> Round: </w:t>
            </w:r>
          </w:p>
          <w:p w14:paraId="730C1CA5" w14:textId="77777777" w:rsidR="00221C59" w:rsidRDefault="00221C59" w:rsidP="00221C59">
            <w:pPr>
              <w:pStyle w:val="NoSpacing"/>
            </w:pPr>
            <w:r>
              <w:rPr>
                <w:sz w:val="18"/>
                <w:szCs w:val="18"/>
              </w:rPr>
              <w:t>June 2020</w:t>
            </w:r>
          </w:p>
          <w:p w14:paraId="32B3DC7B" w14:textId="77777777" w:rsidR="00221C59" w:rsidRDefault="00221C59" w:rsidP="00221C59">
            <w:pPr>
              <w:pStyle w:val="NoSpacing"/>
            </w:pPr>
            <w:r>
              <w:t>4</w:t>
            </w:r>
            <w:r w:rsidRPr="00013ACB">
              <w:rPr>
                <w:vertAlign w:val="superscript"/>
              </w:rPr>
              <w:t>th</w:t>
            </w:r>
            <w:r>
              <w:t xml:space="preserve"> Round: </w:t>
            </w:r>
          </w:p>
          <w:p w14:paraId="391E1BF2" w14:textId="77777777" w:rsidR="00221C59" w:rsidRDefault="00221C59" w:rsidP="00221C59">
            <w:pPr>
              <w:pStyle w:val="NoSpacing"/>
            </w:pPr>
            <w:r>
              <w:rPr>
                <w:sz w:val="18"/>
                <w:szCs w:val="18"/>
              </w:rPr>
              <w:t>June 2021</w:t>
            </w:r>
          </w:p>
          <w:p w14:paraId="5322F4C5" w14:textId="77777777" w:rsidR="00221C59" w:rsidRDefault="00221C59" w:rsidP="00221C59">
            <w:pPr>
              <w:pStyle w:val="NoSpacing"/>
            </w:pPr>
            <w:r>
              <w:t>5</w:t>
            </w:r>
            <w:r w:rsidRPr="00013ACB">
              <w:rPr>
                <w:vertAlign w:val="superscript"/>
              </w:rPr>
              <w:t>th</w:t>
            </w:r>
            <w:r>
              <w:t xml:space="preserve"> Round: </w:t>
            </w:r>
          </w:p>
          <w:p w14:paraId="7F150BF2" w14:textId="5E16478B" w:rsidR="00221C59" w:rsidRPr="00261A09" w:rsidRDefault="00221C59" w:rsidP="00221C59">
            <w:pPr>
              <w:rPr>
                <w:szCs w:val="20"/>
              </w:rPr>
            </w:pPr>
            <w:r>
              <w:rPr>
                <w:sz w:val="18"/>
                <w:szCs w:val="18"/>
              </w:rPr>
              <w:t>June 2022</w:t>
            </w:r>
          </w:p>
        </w:tc>
        <w:tc>
          <w:tcPr>
            <w:tcW w:w="0" w:type="auto"/>
            <w:shd w:val="clear" w:color="auto" w:fill="auto"/>
          </w:tcPr>
          <w:p w14:paraId="65782FB5" w14:textId="77777777" w:rsidR="00221C59" w:rsidRPr="007243FC" w:rsidRDefault="00221C59" w:rsidP="00221C59">
            <w:pPr>
              <w:ind w:left="-40"/>
              <w:jc w:val="both"/>
              <w:rPr>
                <w:bCs/>
                <w:szCs w:val="20"/>
              </w:rPr>
            </w:pPr>
          </w:p>
        </w:tc>
      </w:tr>
      <w:tr w:rsidR="00E81E46" w14:paraId="688A479E" w14:textId="77777777" w:rsidTr="0085651F">
        <w:tc>
          <w:tcPr>
            <w:tcW w:w="0" w:type="auto"/>
            <w:gridSpan w:val="13"/>
            <w:shd w:val="clear" w:color="auto" w:fill="auto"/>
          </w:tcPr>
          <w:p w14:paraId="297AD6AC" w14:textId="77777777" w:rsidR="00E81E46" w:rsidRPr="00423FEB" w:rsidRDefault="00E81E46" w:rsidP="00221C59">
            <w:pPr>
              <w:rPr>
                <w:bCs/>
                <w:sz w:val="30"/>
                <w:szCs w:val="30"/>
              </w:rPr>
            </w:pPr>
            <w:r>
              <w:rPr>
                <w:color w:val="0070C0"/>
                <w:sz w:val="30"/>
                <w:szCs w:val="30"/>
              </w:rPr>
              <w:lastRenderedPageBreak/>
              <w:t>Target</w:t>
            </w:r>
            <w:r w:rsidRPr="00423FEB">
              <w:rPr>
                <w:bCs/>
                <w:color w:val="0070C0"/>
                <w:sz w:val="30"/>
                <w:szCs w:val="30"/>
              </w:rPr>
              <w:t xml:space="preserve"> 6.b</w:t>
            </w:r>
            <w:r>
              <w:rPr>
                <w:color w:val="0070C0"/>
                <w:sz w:val="30"/>
                <w:szCs w:val="30"/>
              </w:rPr>
              <w:t>:</w:t>
            </w:r>
            <w:r w:rsidRPr="00423FEB">
              <w:rPr>
                <w:bCs/>
                <w:color w:val="0070C0"/>
                <w:sz w:val="30"/>
                <w:szCs w:val="30"/>
              </w:rPr>
              <w:t xml:space="preserve"> Support and strengthen the participation of local communities in improving water and sanitation management</w:t>
            </w:r>
          </w:p>
        </w:tc>
      </w:tr>
      <w:tr w:rsidR="00DB32C0" w14:paraId="620D48F8" w14:textId="77777777" w:rsidTr="0085651F">
        <w:tc>
          <w:tcPr>
            <w:tcW w:w="0" w:type="auto"/>
            <w:shd w:val="clear" w:color="auto" w:fill="auto"/>
          </w:tcPr>
          <w:p w14:paraId="1BEA6F03" w14:textId="77777777" w:rsidR="00221C59" w:rsidRPr="004826CD" w:rsidRDefault="00221C59" w:rsidP="00221C59">
            <w:pPr>
              <w:jc w:val="both"/>
              <w:rPr>
                <w:szCs w:val="20"/>
              </w:rPr>
            </w:pPr>
            <w:r w:rsidRPr="004826CD">
              <w:rPr>
                <w:szCs w:val="20"/>
              </w:rPr>
              <w:t xml:space="preserve">6.b.1 Proportion of local administrative units with established and operational policies and procedures for participation of local </w:t>
            </w:r>
            <w:r w:rsidRPr="004826CD">
              <w:rPr>
                <w:szCs w:val="20"/>
              </w:rPr>
              <w:lastRenderedPageBreak/>
              <w:t>communities in water and sanitation management</w:t>
            </w:r>
          </w:p>
        </w:tc>
        <w:tc>
          <w:tcPr>
            <w:tcW w:w="0" w:type="auto"/>
            <w:shd w:val="clear" w:color="auto" w:fill="auto"/>
          </w:tcPr>
          <w:p w14:paraId="0BB18E2D" w14:textId="77777777" w:rsidR="00221C59" w:rsidRPr="0097196B" w:rsidRDefault="00221C59" w:rsidP="00221C59">
            <w:pPr>
              <w:rPr>
                <w:szCs w:val="20"/>
              </w:rPr>
            </w:pPr>
            <w:r w:rsidRPr="0097196B">
              <w:rPr>
                <w:szCs w:val="20"/>
              </w:rPr>
              <w:lastRenderedPageBreak/>
              <w:t>WHO,</w:t>
            </w:r>
          </w:p>
          <w:p w14:paraId="35A7FDC9" w14:textId="77777777" w:rsidR="00221C59" w:rsidRDefault="00221C59" w:rsidP="00221C59">
            <w:pPr>
              <w:rPr>
                <w:szCs w:val="20"/>
              </w:rPr>
            </w:pPr>
            <w:r w:rsidRPr="0097196B">
              <w:rPr>
                <w:szCs w:val="20"/>
              </w:rPr>
              <w:t>OECD</w:t>
            </w:r>
          </w:p>
          <w:p w14:paraId="08BFCCA8" w14:textId="77777777" w:rsidR="00221C59" w:rsidRDefault="00221C59" w:rsidP="00221C59">
            <w:pPr>
              <w:rPr>
                <w:szCs w:val="20"/>
              </w:rPr>
            </w:pPr>
          </w:p>
          <w:p w14:paraId="411B0B31" w14:textId="77777777" w:rsidR="00221C59" w:rsidRDefault="00221C59" w:rsidP="00221C59">
            <w:pPr>
              <w:rPr>
                <w:b/>
                <w:bCs/>
                <w:szCs w:val="20"/>
              </w:rPr>
            </w:pPr>
            <w:r w:rsidRPr="007243FC">
              <w:rPr>
                <w:b/>
                <w:bCs/>
                <w:szCs w:val="20"/>
              </w:rPr>
              <w:t>Partner Agencies:</w:t>
            </w:r>
          </w:p>
          <w:p w14:paraId="45893F8D" w14:textId="77777777" w:rsidR="00221C59" w:rsidRPr="0097196B" w:rsidRDefault="00221C59" w:rsidP="00221C59">
            <w:pPr>
              <w:rPr>
                <w:szCs w:val="20"/>
              </w:rPr>
            </w:pPr>
            <w:r w:rsidRPr="0097196B">
              <w:rPr>
                <w:szCs w:val="20"/>
              </w:rPr>
              <w:t>UNEP</w:t>
            </w:r>
          </w:p>
          <w:p w14:paraId="3D57DB84" w14:textId="77777777" w:rsidR="00221C59" w:rsidRPr="007243FC" w:rsidRDefault="00221C59" w:rsidP="00221C59">
            <w:pPr>
              <w:rPr>
                <w:szCs w:val="20"/>
              </w:rPr>
            </w:pPr>
          </w:p>
        </w:tc>
        <w:tc>
          <w:tcPr>
            <w:tcW w:w="825" w:type="dxa"/>
            <w:shd w:val="clear" w:color="auto" w:fill="auto"/>
          </w:tcPr>
          <w:p w14:paraId="6E8D21E1" w14:textId="77777777" w:rsidR="00221C59" w:rsidRPr="007243FC" w:rsidRDefault="00221C59" w:rsidP="00221C59">
            <w:pPr>
              <w:rPr>
                <w:szCs w:val="20"/>
              </w:rPr>
            </w:pPr>
            <w:r w:rsidRPr="0097196B">
              <w:rPr>
                <w:szCs w:val="20"/>
              </w:rPr>
              <w:t>Tier I</w:t>
            </w:r>
          </w:p>
        </w:tc>
        <w:tc>
          <w:tcPr>
            <w:tcW w:w="6373" w:type="dxa"/>
            <w:shd w:val="clear" w:color="auto" w:fill="auto"/>
          </w:tcPr>
          <w:p w14:paraId="3759A728" w14:textId="77777777" w:rsidR="00221C59" w:rsidRPr="00B37D04" w:rsidRDefault="00221C59" w:rsidP="00221C59">
            <w:pPr>
              <w:pStyle w:val="NoSpacing"/>
              <w:rPr>
                <w:szCs w:val="20"/>
                <w:lang w:val="en-GB"/>
              </w:rPr>
            </w:pPr>
            <w:r w:rsidRPr="00B37D04">
              <w:rPr>
                <w:b/>
                <w:bCs/>
                <w:szCs w:val="20"/>
                <w:lang w:val="en-GB"/>
              </w:rPr>
              <w:t>Definition:</w:t>
            </w:r>
          </w:p>
          <w:p w14:paraId="056E6B19" w14:textId="77777777" w:rsidR="00221C59" w:rsidRPr="00B37D04" w:rsidRDefault="00221C59" w:rsidP="00221C59">
            <w:pPr>
              <w:pStyle w:val="NoSpacing"/>
              <w:rPr>
                <w:szCs w:val="20"/>
                <w:lang w:val="en-GB"/>
              </w:rPr>
            </w:pPr>
          </w:p>
          <w:p w14:paraId="780F4F15" w14:textId="77777777" w:rsidR="00221C59" w:rsidRPr="00B37D04" w:rsidRDefault="00221C59" w:rsidP="00221C59">
            <w:pPr>
              <w:pStyle w:val="NoSpacing"/>
              <w:rPr>
                <w:szCs w:val="20"/>
                <w:lang w:val="en-GB"/>
              </w:rPr>
            </w:pPr>
            <w:r w:rsidRPr="00B37D04">
              <w:rPr>
                <w:szCs w:val="20"/>
                <w:lang w:val="en-GB"/>
              </w:rPr>
              <w:t>The indicator assesses the percentage of local administrative units (as defined by the national government) that have an established and operational mechanism by which individuals and communities can meaningfully contribute to decisions and directions about water and sanitation management.</w:t>
            </w:r>
          </w:p>
          <w:p w14:paraId="7E59D0E3" w14:textId="77777777" w:rsidR="00221C59" w:rsidRPr="00B37D04" w:rsidRDefault="00221C59" w:rsidP="00221C59">
            <w:pPr>
              <w:pStyle w:val="NoSpacing"/>
              <w:rPr>
                <w:szCs w:val="20"/>
                <w:lang w:val="en-GB"/>
              </w:rPr>
            </w:pPr>
          </w:p>
          <w:p w14:paraId="56AF82D5" w14:textId="77777777" w:rsidR="00221C59" w:rsidRDefault="00221C59" w:rsidP="00221C59">
            <w:pPr>
              <w:pStyle w:val="NoSpacing"/>
              <w:rPr>
                <w:szCs w:val="20"/>
                <w:lang w:val="en-GB"/>
              </w:rPr>
            </w:pPr>
            <w:r w:rsidRPr="00B37D04">
              <w:rPr>
                <w:szCs w:val="20"/>
                <w:lang w:val="en-GB"/>
              </w:rPr>
              <w:t xml:space="preserve">The indicator Proportion of local administrative units with established and operational policies and procedures for participation of local communities in water and sanitation management is currently being measured by the Proportion of countries with clearly defined procedures in law or policy for </w:t>
            </w:r>
            <w:r w:rsidRPr="00B37D04">
              <w:rPr>
                <w:szCs w:val="20"/>
                <w:lang w:val="en-GB"/>
              </w:rPr>
              <w:lastRenderedPageBreak/>
              <w:t>participation by service users/communities in planning program in water and sanitation management, and hygiene promotion and the Proportion of countries with high level of users/communities participating in planning programs in water and sanitation man</w:t>
            </w:r>
            <w:r>
              <w:rPr>
                <w:szCs w:val="20"/>
                <w:lang w:val="en-GB"/>
              </w:rPr>
              <w:t>agement, and hygiene promotion.</w:t>
            </w:r>
          </w:p>
          <w:p w14:paraId="263B14A6" w14:textId="77777777" w:rsidR="00221C59" w:rsidRPr="00B37D04" w:rsidRDefault="00221C59" w:rsidP="00221C59">
            <w:pPr>
              <w:pStyle w:val="NoSpacing"/>
              <w:rPr>
                <w:szCs w:val="20"/>
                <w:lang w:val="en-GB"/>
              </w:rPr>
            </w:pPr>
          </w:p>
          <w:p w14:paraId="4393F407" w14:textId="77777777" w:rsidR="00221C59" w:rsidRPr="00B37D04" w:rsidRDefault="00221C59" w:rsidP="00221C59">
            <w:pPr>
              <w:pStyle w:val="NoSpacing"/>
              <w:rPr>
                <w:szCs w:val="20"/>
                <w:lang w:val="en-GB"/>
              </w:rPr>
            </w:pPr>
            <w:r w:rsidRPr="00B37D04">
              <w:rPr>
                <w:b/>
                <w:bCs/>
                <w:szCs w:val="20"/>
                <w:lang w:val="en-GB"/>
              </w:rPr>
              <w:t>Concepts:</w:t>
            </w:r>
          </w:p>
          <w:p w14:paraId="1E059493" w14:textId="77777777" w:rsidR="00221C59" w:rsidRPr="00B37D04" w:rsidRDefault="00221C59" w:rsidP="00221C59">
            <w:pPr>
              <w:pStyle w:val="NoSpacing"/>
              <w:rPr>
                <w:szCs w:val="20"/>
                <w:lang w:val="en-GB"/>
              </w:rPr>
            </w:pPr>
            <w:r w:rsidRPr="00B37D04">
              <w:rPr>
                <w:szCs w:val="20"/>
                <w:lang w:val="en-GB"/>
              </w:rPr>
              <w:t>Stakeholder participation is essential to ensure the sustainability of water and sanitation management options over time, e.g. the choice of appropriate solutions for a given social and economic context, and the full understanding of the impacts of a certain development decision. Defining the procedures in policy or law for the participation of local communities is vital to ensure needs of all the community is met, including the most vulnerable and also encourages ownership of schemes which in turn contributes to their sustainability.</w:t>
            </w:r>
          </w:p>
          <w:p w14:paraId="572191AF" w14:textId="77777777" w:rsidR="00221C59" w:rsidRPr="00B37D04" w:rsidRDefault="00221C59" w:rsidP="00221C59">
            <w:pPr>
              <w:pStyle w:val="NoSpacing"/>
              <w:rPr>
                <w:szCs w:val="20"/>
                <w:lang w:val="en-GB"/>
              </w:rPr>
            </w:pPr>
          </w:p>
          <w:p w14:paraId="3DDECEF3" w14:textId="77777777" w:rsidR="00221C59" w:rsidRPr="00B37D04" w:rsidRDefault="00221C59" w:rsidP="00221C59">
            <w:pPr>
              <w:pStyle w:val="NoSpacing"/>
              <w:rPr>
                <w:szCs w:val="20"/>
                <w:lang w:val="en-GB"/>
              </w:rPr>
            </w:pPr>
            <w:proofErr w:type="gramStart"/>
            <w:r w:rsidRPr="00B37D04">
              <w:rPr>
                <w:szCs w:val="20"/>
                <w:lang w:val="en-GB"/>
              </w:rPr>
              <w:t>Local administrative units refers</w:t>
            </w:r>
            <w:proofErr w:type="gramEnd"/>
            <w:r w:rsidRPr="00B37D04">
              <w:rPr>
                <w:szCs w:val="20"/>
                <w:lang w:val="en-GB"/>
              </w:rPr>
              <w:t xml:space="preserve"> to non-overlapping sub-districts, municipalities, communes, or other local community-level units covering both urban and rural areas to be defined by the government. </w:t>
            </w:r>
          </w:p>
          <w:p w14:paraId="27B61B18" w14:textId="77777777" w:rsidR="00221C59" w:rsidRPr="00B37D04" w:rsidRDefault="00221C59" w:rsidP="00221C59">
            <w:pPr>
              <w:pStyle w:val="NoSpacing"/>
              <w:rPr>
                <w:szCs w:val="20"/>
                <w:lang w:val="en-GB"/>
              </w:rPr>
            </w:pPr>
          </w:p>
          <w:p w14:paraId="103A20E4" w14:textId="77777777" w:rsidR="00221C59" w:rsidRPr="00B37D04" w:rsidRDefault="00221C59" w:rsidP="00221C59">
            <w:pPr>
              <w:pStyle w:val="NoSpacing"/>
              <w:rPr>
                <w:szCs w:val="20"/>
                <w:lang w:val="en-GB"/>
              </w:rPr>
            </w:pPr>
            <w:r w:rsidRPr="00B37D04">
              <w:rPr>
                <w:szCs w:val="20"/>
                <w:lang w:val="en-GB"/>
              </w:rPr>
              <w:t xml:space="preserve">Policies and procedures for participation of local communities in water and sanitation management would define a formal mechanism to ensure participation of users in planning water and sanitation activities. </w:t>
            </w:r>
          </w:p>
          <w:p w14:paraId="210C9502" w14:textId="77777777" w:rsidR="00221C59" w:rsidRPr="00B37D04" w:rsidRDefault="00221C59" w:rsidP="00221C59">
            <w:pPr>
              <w:pStyle w:val="NoSpacing"/>
              <w:rPr>
                <w:szCs w:val="20"/>
                <w:lang w:val="en-GB"/>
              </w:rPr>
            </w:pPr>
          </w:p>
          <w:p w14:paraId="7ABD40D2" w14:textId="77777777" w:rsidR="00221C59" w:rsidRPr="00B37D04" w:rsidRDefault="00221C59" w:rsidP="00221C59">
            <w:pPr>
              <w:pStyle w:val="NoSpacing"/>
              <w:rPr>
                <w:szCs w:val="20"/>
                <w:lang w:val="en-GB"/>
              </w:rPr>
            </w:pPr>
            <w:r w:rsidRPr="00B37D04">
              <w:rPr>
                <w:szCs w:val="20"/>
                <w:lang w:val="en-GB"/>
              </w:rPr>
              <w:t>A policy or procedure is considered to be established if the mechanism for participation of local communities is defined in law or has been formally approved and published. It is considered to be operational if the policy or procedure is being implemented, with appropriate funding in place and with means for verifying that participation took place.</w:t>
            </w:r>
          </w:p>
          <w:p w14:paraId="496CA2FD" w14:textId="77777777" w:rsidR="00221C59" w:rsidRPr="00B37D04" w:rsidRDefault="00221C59" w:rsidP="00221C59">
            <w:pPr>
              <w:pStyle w:val="NoSpacing"/>
              <w:rPr>
                <w:szCs w:val="20"/>
                <w:lang w:val="en-GB"/>
              </w:rPr>
            </w:pPr>
          </w:p>
          <w:p w14:paraId="67B5908F" w14:textId="77777777" w:rsidR="00221C59" w:rsidRPr="00B37D04" w:rsidRDefault="00221C59" w:rsidP="00221C59">
            <w:pPr>
              <w:pStyle w:val="NoSpacing"/>
              <w:rPr>
                <w:szCs w:val="20"/>
                <w:lang w:val="en-GB"/>
              </w:rPr>
            </w:pPr>
            <w:r w:rsidRPr="00B37D04">
              <w:rPr>
                <w:szCs w:val="20"/>
                <w:lang w:val="en-GB"/>
              </w:rPr>
              <w:t>‘Water and sanitation’ includes all areas of management related to each of the targets under SDG 6, namely: water supply (6.1), sanitation and hygiene (6.2), wastewater treatment and ambient water quality (6.3), efficiency and sustainable use (6.4), integrated water resources management (6.5) and water-related ecosystems (6.6).</w:t>
            </w:r>
          </w:p>
          <w:p w14:paraId="3B77B72F" w14:textId="77777777" w:rsidR="00221C59" w:rsidRPr="00B37D04" w:rsidRDefault="00221C59" w:rsidP="00221C59">
            <w:pPr>
              <w:pStyle w:val="NoSpacing"/>
              <w:rPr>
                <w:szCs w:val="20"/>
                <w:lang w:val="en-GB"/>
              </w:rPr>
            </w:pPr>
          </w:p>
          <w:p w14:paraId="7ABB5BDD" w14:textId="77777777" w:rsidR="00221C59" w:rsidRPr="00B37D04" w:rsidRDefault="00221C59" w:rsidP="00221C59">
            <w:pPr>
              <w:pStyle w:val="NoSpacing"/>
              <w:rPr>
                <w:szCs w:val="20"/>
                <w:lang w:val="en-GB"/>
              </w:rPr>
            </w:pPr>
            <w:r w:rsidRPr="00B37D04">
              <w:rPr>
                <w:b/>
                <w:bCs/>
                <w:szCs w:val="20"/>
                <w:lang w:val="en-GB"/>
              </w:rPr>
              <w:t>Comments and limitations:</w:t>
            </w:r>
          </w:p>
          <w:p w14:paraId="00C02CAB" w14:textId="77777777" w:rsidR="00221C59" w:rsidRPr="00B37D04" w:rsidRDefault="00221C59" w:rsidP="00221C59">
            <w:pPr>
              <w:pStyle w:val="NoSpacing"/>
              <w:rPr>
                <w:szCs w:val="20"/>
                <w:lang w:val="en-GB"/>
              </w:rPr>
            </w:pPr>
          </w:p>
          <w:p w14:paraId="677E4781" w14:textId="77777777" w:rsidR="00221C59" w:rsidRPr="00B37D04" w:rsidRDefault="00221C59" w:rsidP="00221C59">
            <w:pPr>
              <w:pStyle w:val="NoSpacing"/>
              <w:rPr>
                <w:szCs w:val="20"/>
                <w:lang w:val="en-GB"/>
              </w:rPr>
            </w:pPr>
            <w:r w:rsidRPr="00B37D04">
              <w:rPr>
                <w:szCs w:val="20"/>
                <w:lang w:val="en-GB"/>
              </w:rPr>
              <w:t>Data on local administrative units with established and operational policies and procedures for local participation is being collected through the current cycle of GLAAS, and will be available by end-2016. Until then, the presence of policies and procedures as reported at the national level for different subsectors will be reported.</w:t>
            </w:r>
          </w:p>
          <w:p w14:paraId="728A0038" w14:textId="77777777" w:rsidR="00221C59" w:rsidRPr="00B37D04" w:rsidRDefault="00221C59" w:rsidP="00221C59">
            <w:pPr>
              <w:pStyle w:val="NoSpacing"/>
              <w:rPr>
                <w:szCs w:val="20"/>
                <w:lang w:val="en-GB"/>
              </w:rPr>
            </w:pPr>
          </w:p>
          <w:p w14:paraId="33376047" w14:textId="77777777" w:rsidR="00221C59" w:rsidRPr="00B37D04" w:rsidRDefault="00221C59" w:rsidP="00221C59">
            <w:pPr>
              <w:pStyle w:val="NoSpacing"/>
              <w:rPr>
                <w:szCs w:val="20"/>
                <w:lang w:val="en-GB"/>
              </w:rPr>
            </w:pPr>
            <w:r w:rsidRPr="00B37D04">
              <w:rPr>
                <w:szCs w:val="20"/>
                <w:lang w:val="en-GB"/>
              </w:rPr>
              <w:t xml:space="preserve">Additional data, including data measuring local participation from the OECD Water Governance Indicators and administrative data, will be progressively included in the calculation of the indicator as </w:t>
            </w:r>
            <w:r w:rsidRPr="00B37D04">
              <w:rPr>
                <w:szCs w:val="20"/>
                <w:lang w:val="en-GB"/>
              </w:rPr>
              <w:lastRenderedPageBreak/>
              <w:t>they become available.</w:t>
            </w:r>
          </w:p>
          <w:p w14:paraId="6E75480D" w14:textId="77777777" w:rsidR="00221C59" w:rsidRPr="00B37D04" w:rsidRDefault="00221C59" w:rsidP="00221C59">
            <w:pPr>
              <w:pStyle w:val="NoSpacing"/>
              <w:rPr>
                <w:b/>
                <w:bCs/>
                <w:szCs w:val="20"/>
                <w:lang w:val="en-GB"/>
              </w:rPr>
            </w:pPr>
          </w:p>
          <w:p w14:paraId="245A06C5" w14:textId="77777777" w:rsidR="00221C59" w:rsidRPr="00B37D04" w:rsidRDefault="00221C59" w:rsidP="00221C59">
            <w:pPr>
              <w:pStyle w:val="NoSpacing"/>
              <w:rPr>
                <w:szCs w:val="20"/>
                <w:lang w:val="en-GB"/>
              </w:rPr>
            </w:pPr>
            <w:r w:rsidRPr="00B37D04">
              <w:rPr>
                <w:b/>
                <w:bCs/>
                <w:szCs w:val="20"/>
                <w:lang w:val="en-GB"/>
              </w:rPr>
              <w:t>Computation Method:</w:t>
            </w:r>
          </w:p>
          <w:p w14:paraId="2CC28AB6" w14:textId="77777777" w:rsidR="00221C59" w:rsidRPr="00B37D04" w:rsidRDefault="00221C59" w:rsidP="00221C59">
            <w:pPr>
              <w:pStyle w:val="NoSpacing"/>
              <w:rPr>
                <w:szCs w:val="20"/>
                <w:lang w:val="en-GB"/>
              </w:rPr>
            </w:pPr>
          </w:p>
          <w:p w14:paraId="3E50251C" w14:textId="77777777" w:rsidR="00221C59" w:rsidRPr="00B37D04" w:rsidRDefault="00221C59" w:rsidP="00221C59">
            <w:pPr>
              <w:pStyle w:val="NoSpacing"/>
              <w:rPr>
                <w:szCs w:val="20"/>
                <w:lang w:val="en-GB"/>
              </w:rPr>
            </w:pPr>
            <w:r w:rsidRPr="00B37D04">
              <w:rPr>
                <w:szCs w:val="20"/>
                <w:lang w:val="en-GB"/>
              </w:rPr>
              <w:t>The UN-Water Global Analysis and Assessment of Sanitation and Drinking-Water (GLAAS) questionnaire provides information on whether there are “clearly defined procedures in laws or policies for participation by service users (e.g. households) and communities in planning programs”. For countries that have data available from the local administrative unit level, they are asked to provide data on the number of local administrative units for which policies and procedures for local participation (i) exist, and (ii) are operational, as well as (iii) the number of local administrative units assessed, and (iv) the total number of units in the country. The indicator is computed as (ii) the number of local admin units with operation policies and procedures for local participation divided by (iv) the total number of local administrative units in the country.</w:t>
            </w:r>
          </w:p>
          <w:p w14:paraId="23AC7778" w14:textId="77777777" w:rsidR="00221C59" w:rsidRPr="00B37D04" w:rsidRDefault="00221C59" w:rsidP="00221C59">
            <w:pPr>
              <w:pStyle w:val="NoSpacing"/>
              <w:rPr>
                <w:szCs w:val="20"/>
                <w:lang w:val="en-GB"/>
              </w:rPr>
            </w:pPr>
          </w:p>
          <w:p w14:paraId="2A6FF755" w14:textId="77777777" w:rsidR="00221C59" w:rsidRPr="003614AE" w:rsidRDefault="00221C59" w:rsidP="00221C59">
            <w:pPr>
              <w:pStyle w:val="NoSpacing"/>
              <w:rPr>
                <w:rStyle w:val="fontstyle01"/>
                <w:rFonts w:ascii="Tw Cen MT Condensed" w:hAnsi="Tw Cen MT Condensed"/>
                <w:b w:val="0"/>
                <w:bCs w:val="0"/>
                <w:lang w:val="en-GB"/>
              </w:rPr>
            </w:pPr>
            <w:r w:rsidRPr="00B37D04">
              <w:rPr>
                <w:szCs w:val="20"/>
                <w:lang w:val="en-GB"/>
              </w:rPr>
              <w:t xml:space="preserve">Both numerator and denominator will be obtained through the GLAAS </w:t>
            </w:r>
            <w:r>
              <w:rPr>
                <w:szCs w:val="20"/>
                <w:lang w:val="en-GB"/>
              </w:rPr>
              <w:t xml:space="preserve">survey for the 2016-2017 </w:t>
            </w:r>
            <w:proofErr w:type="gramStart"/>
            <w:r>
              <w:rPr>
                <w:szCs w:val="20"/>
                <w:lang w:val="en-GB"/>
              </w:rPr>
              <w:t>cycle</w:t>
            </w:r>
            <w:proofErr w:type="gramEnd"/>
            <w:r>
              <w:rPr>
                <w:szCs w:val="20"/>
                <w:lang w:val="en-GB"/>
              </w:rPr>
              <w:t>.</w:t>
            </w:r>
          </w:p>
        </w:tc>
        <w:tc>
          <w:tcPr>
            <w:tcW w:w="0" w:type="auto"/>
            <w:shd w:val="clear" w:color="auto" w:fill="auto"/>
          </w:tcPr>
          <w:p w14:paraId="24704F52" w14:textId="77777777" w:rsidR="00221C59" w:rsidRPr="00873FDE" w:rsidRDefault="00221C59" w:rsidP="00221C59">
            <w:r w:rsidRPr="00873FDE">
              <w:lastRenderedPageBreak/>
              <w:t>Survey</w:t>
            </w:r>
          </w:p>
        </w:tc>
        <w:tc>
          <w:tcPr>
            <w:tcW w:w="0" w:type="auto"/>
            <w:shd w:val="clear" w:color="auto" w:fill="auto"/>
          </w:tcPr>
          <w:p w14:paraId="039FD5A8" w14:textId="77777777" w:rsidR="00221C59" w:rsidRPr="00873FDE" w:rsidRDefault="00221C59" w:rsidP="00221C59">
            <w:pPr>
              <w:pStyle w:val="NoSpacing"/>
            </w:pPr>
            <w:r w:rsidRPr="00873FDE">
              <w:t>Ministries with responsibilities related to water supply and sanitation, agriculture, water resources development and management, and environment</w:t>
            </w:r>
          </w:p>
        </w:tc>
        <w:tc>
          <w:tcPr>
            <w:tcW w:w="0" w:type="auto"/>
            <w:shd w:val="clear" w:color="auto" w:fill="auto"/>
          </w:tcPr>
          <w:p w14:paraId="25D451D8" w14:textId="42435C35" w:rsidR="00221C59" w:rsidRPr="007243FC" w:rsidRDefault="00221C59" w:rsidP="00221C59">
            <w:pPr>
              <w:rPr>
                <w:rFonts w:eastAsia="Times New Roman" w:cs="Times New Roman"/>
                <w:color w:val="000000" w:themeColor="text1"/>
                <w:szCs w:val="20"/>
              </w:rPr>
            </w:pPr>
          </w:p>
        </w:tc>
        <w:tc>
          <w:tcPr>
            <w:tcW w:w="0" w:type="auto"/>
            <w:shd w:val="clear" w:color="auto" w:fill="auto"/>
          </w:tcPr>
          <w:p w14:paraId="5D548DB4" w14:textId="77777777" w:rsidR="00221C59" w:rsidRPr="007243FC" w:rsidRDefault="00221C59" w:rsidP="00221C59">
            <w:pPr>
              <w:rPr>
                <w:rFonts w:eastAsia="Times New Roman" w:cs="Times New Roman"/>
                <w:color w:val="000000" w:themeColor="text1"/>
                <w:szCs w:val="20"/>
              </w:rPr>
            </w:pPr>
            <w:r>
              <w:t xml:space="preserve">DPHE, </w:t>
            </w:r>
            <w:r w:rsidRPr="00BC6F10">
              <w:t>LGD</w:t>
            </w:r>
          </w:p>
        </w:tc>
        <w:tc>
          <w:tcPr>
            <w:tcW w:w="0" w:type="auto"/>
            <w:shd w:val="clear" w:color="auto" w:fill="auto"/>
          </w:tcPr>
          <w:p w14:paraId="0FCD221D" w14:textId="77777777" w:rsidR="00221C59" w:rsidRPr="00012E4A" w:rsidRDefault="00221C59" w:rsidP="00221C59">
            <w:r>
              <w:rPr>
                <w:szCs w:val="20"/>
              </w:rPr>
              <w:t>Not Applicable</w:t>
            </w:r>
          </w:p>
        </w:tc>
        <w:tc>
          <w:tcPr>
            <w:tcW w:w="0" w:type="auto"/>
            <w:shd w:val="clear" w:color="auto" w:fill="auto"/>
          </w:tcPr>
          <w:p w14:paraId="4BA25F58" w14:textId="77777777" w:rsidR="00221C59" w:rsidRPr="007243FC" w:rsidRDefault="00221C59" w:rsidP="00221C59">
            <w:pPr>
              <w:rPr>
                <w:szCs w:val="20"/>
              </w:rPr>
            </w:pPr>
            <w:r w:rsidRPr="00BC6F10">
              <w:t>Bi-annual</w:t>
            </w:r>
          </w:p>
        </w:tc>
        <w:tc>
          <w:tcPr>
            <w:tcW w:w="0" w:type="auto"/>
            <w:shd w:val="clear" w:color="auto" w:fill="auto"/>
          </w:tcPr>
          <w:p w14:paraId="2F307E46" w14:textId="77777777" w:rsidR="00221C59" w:rsidRPr="00753AFF" w:rsidRDefault="00221C59" w:rsidP="00221C59">
            <w:pPr>
              <w:rPr>
                <w:rStyle w:val="fontstyle01"/>
                <w:rFonts w:ascii="Tw Cen MT Condensed" w:hAnsi="Tw Cen MT Condensed"/>
                <w:sz w:val="22"/>
                <w:szCs w:val="22"/>
              </w:rPr>
            </w:pPr>
            <w:r>
              <w:rPr>
                <w:rStyle w:val="fontstyle01"/>
                <w:rFonts w:ascii="Tw Cen MT Condensed" w:hAnsi="Tw Cen MT Condensed"/>
                <w:b w:val="0"/>
                <w:bCs w:val="0"/>
                <w:sz w:val="18"/>
                <w:szCs w:val="18"/>
              </w:rPr>
              <w:t>Group 2</w:t>
            </w:r>
          </w:p>
        </w:tc>
        <w:tc>
          <w:tcPr>
            <w:tcW w:w="0" w:type="auto"/>
            <w:shd w:val="clear" w:color="auto" w:fill="auto"/>
          </w:tcPr>
          <w:p w14:paraId="72690BF5" w14:textId="77777777" w:rsidR="00221C59" w:rsidRDefault="00221C59" w:rsidP="00221C59">
            <w:pPr>
              <w:pStyle w:val="NoSpacing"/>
            </w:pPr>
            <w:r>
              <w:t>1</w:t>
            </w:r>
            <w:r w:rsidRPr="00013ACB">
              <w:rPr>
                <w:vertAlign w:val="superscript"/>
              </w:rPr>
              <w:t>st</w:t>
            </w:r>
            <w:r>
              <w:t xml:space="preserve"> Round: </w:t>
            </w:r>
          </w:p>
          <w:p w14:paraId="42FCAF9D" w14:textId="77777777" w:rsidR="00221C59" w:rsidRDefault="00221C59" w:rsidP="00221C59">
            <w:pPr>
              <w:pStyle w:val="NoSpacing"/>
            </w:pPr>
            <w:r>
              <w:rPr>
                <w:rFonts w:cs="Calibri"/>
                <w:szCs w:val="20"/>
              </w:rPr>
              <w:t>January 20</w:t>
            </w:r>
            <w:r w:rsidRPr="00BC6F10">
              <w:rPr>
                <w:rFonts w:cs="Calibri"/>
                <w:szCs w:val="20"/>
              </w:rPr>
              <w:t>19</w:t>
            </w:r>
          </w:p>
          <w:p w14:paraId="72E9EC61" w14:textId="77777777" w:rsidR="00221C59" w:rsidRDefault="00221C59" w:rsidP="00221C59">
            <w:pPr>
              <w:pStyle w:val="NoSpacing"/>
            </w:pPr>
            <w:r>
              <w:t>2</w:t>
            </w:r>
            <w:r w:rsidRPr="00013ACB">
              <w:rPr>
                <w:vertAlign w:val="superscript"/>
              </w:rPr>
              <w:t>nd</w:t>
            </w:r>
            <w:r>
              <w:t xml:space="preserve"> Round: </w:t>
            </w:r>
          </w:p>
          <w:p w14:paraId="131E36FC" w14:textId="77777777" w:rsidR="00221C59" w:rsidRDefault="00221C59" w:rsidP="00221C59">
            <w:pPr>
              <w:pStyle w:val="NoSpacing"/>
            </w:pPr>
            <w:r>
              <w:rPr>
                <w:rFonts w:cs="Calibri"/>
                <w:szCs w:val="20"/>
              </w:rPr>
              <w:t>January 2021</w:t>
            </w:r>
          </w:p>
          <w:p w14:paraId="09300AD6" w14:textId="77777777" w:rsidR="00221C59" w:rsidRDefault="00221C59" w:rsidP="00221C59">
            <w:pPr>
              <w:pStyle w:val="NoSpacing"/>
            </w:pPr>
            <w:r>
              <w:t>3</w:t>
            </w:r>
            <w:r w:rsidRPr="00013ACB">
              <w:rPr>
                <w:vertAlign w:val="superscript"/>
              </w:rPr>
              <w:t>rd</w:t>
            </w:r>
            <w:r>
              <w:t xml:space="preserve"> Round: </w:t>
            </w:r>
          </w:p>
          <w:p w14:paraId="131C6A71" w14:textId="77777777" w:rsidR="00221C59" w:rsidRDefault="00221C59" w:rsidP="00221C59">
            <w:pPr>
              <w:pStyle w:val="NoSpacing"/>
            </w:pPr>
            <w:r>
              <w:rPr>
                <w:rFonts w:cs="Calibri"/>
                <w:szCs w:val="20"/>
              </w:rPr>
              <w:t>January 2023</w:t>
            </w:r>
          </w:p>
          <w:p w14:paraId="442C3B74" w14:textId="77777777" w:rsidR="00221C59" w:rsidRDefault="00221C59" w:rsidP="00221C59">
            <w:pPr>
              <w:pStyle w:val="NoSpacing"/>
            </w:pPr>
            <w:r>
              <w:t>4</w:t>
            </w:r>
            <w:r w:rsidRPr="00013ACB">
              <w:rPr>
                <w:vertAlign w:val="superscript"/>
              </w:rPr>
              <w:t>th</w:t>
            </w:r>
            <w:r>
              <w:t xml:space="preserve"> Round: </w:t>
            </w:r>
          </w:p>
          <w:p w14:paraId="6FF1B923" w14:textId="77777777" w:rsidR="00221C59" w:rsidRDefault="00221C59" w:rsidP="00221C59">
            <w:pPr>
              <w:pStyle w:val="NoSpacing"/>
            </w:pPr>
            <w:r>
              <w:rPr>
                <w:rFonts w:cs="Calibri"/>
                <w:szCs w:val="20"/>
              </w:rPr>
              <w:lastRenderedPageBreak/>
              <w:t>January 2025</w:t>
            </w:r>
          </w:p>
          <w:p w14:paraId="2758786A" w14:textId="77777777" w:rsidR="00221C59" w:rsidRDefault="00221C59" w:rsidP="00221C59">
            <w:pPr>
              <w:pStyle w:val="NoSpacing"/>
            </w:pPr>
            <w:r>
              <w:t>5</w:t>
            </w:r>
            <w:r w:rsidRPr="00013ACB">
              <w:rPr>
                <w:vertAlign w:val="superscript"/>
              </w:rPr>
              <w:t>th</w:t>
            </w:r>
            <w:r>
              <w:t xml:space="preserve"> Round: </w:t>
            </w:r>
          </w:p>
          <w:p w14:paraId="0810485D" w14:textId="77777777" w:rsidR="00221C59" w:rsidRDefault="00221C59" w:rsidP="00221C59">
            <w:pPr>
              <w:pStyle w:val="NoSpacing"/>
            </w:pPr>
            <w:r>
              <w:rPr>
                <w:rFonts w:cs="Calibri"/>
                <w:szCs w:val="20"/>
              </w:rPr>
              <w:t>January 2027</w:t>
            </w:r>
          </w:p>
          <w:p w14:paraId="73B4C0B1" w14:textId="6B44FFC5" w:rsidR="00221C59" w:rsidRPr="003457F9" w:rsidRDefault="00221C59" w:rsidP="00221C59">
            <w:pPr>
              <w:rPr>
                <w:sz w:val="18"/>
                <w:szCs w:val="18"/>
              </w:rPr>
            </w:pPr>
          </w:p>
        </w:tc>
        <w:tc>
          <w:tcPr>
            <w:tcW w:w="0" w:type="auto"/>
            <w:shd w:val="clear" w:color="auto" w:fill="auto"/>
          </w:tcPr>
          <w:p w14:paraId="78514D3E" w14:textId="77777777" w:rsidR="00221C59" w:rsidRPr="007243FC" w:rsidRDefault="00221C59" w:rsidP="00221C59">
            <w:pPr>
              <w:ind w:left="-40"/>
              <w:jc w:val="both"/>
              <w:rPr>
                <w:bCs/>
                <w:szCs w:val="20"/>
              </w:rPr>
            </w:pPr>
          </w:p>
        </w:tc>
      </w:tr>
    </w:tbl>
    <w:p w14:paraId="32B53F44" w14:textId="77777777" w:rsidR="00214C29" w:rsidRDefault="00214C29">
      <w:pPr>
        <w:rPr>
          <w:color w:val="FF0000"/>
          <w:sz w:val="32"/>
          <w:szCs w:val="32"/>
        </w:rPr>
      </w:pPr>
    </w:p>
    <w:p w14:paraId="6E48E021" w14:textId="77777777" w:rsidR="00200408" w:rsidRDefault="00200408">
      <w:pPr>
        <w:rPr>
          <w:color w:val="FF0000"/>
          <w:sz w:val="32"/>
          <w:szCs w:val="32"/>
        </w:rPr>
      </w:pPr>
    </w:p>
    <w:p w14:paraId="58C0E590" w14:textId="77777777" w:rsidR="0085651F" w:rsidRDefault="0085651F">
      <w:pPr>
        <w:rPr>
          <w:color w:val="0070C0"/>
          <w:sz w:val="48"/>
          <w:szCs w:val="48"/>
        </w:rPr>
      </w:pPr>
      <w:r>
        <w:rPr>
          <w:color w:val="0070C0"/>
          <w:sz w:val="48"/>
          <w:szCs w:val="48"/>
        </w:rPr>
        <w:br w:type="page"/>
      </w:r>
    </w:p>
    <w:p w14:paraId="7CCB3650" w14:textId="3FB2568D" w:rsidR="006E7608" w:rsidRPr="006C6341" w:rsidRDefault="00BB3B57" w:rsidP="006E7608">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18720" w:type="dxa"/>
        <w:tblInd w:w="-5" w:type="dxa"/>
        <w:tblLayout w:type="fixed"/>
        <w:tblLook w:val="04A0" w:firstRow="1" w:lastRow="0" w:firstColumn="1" w:lastColumn="0" w:noHBand="0" w:noVBand="1"/>
      </w:tblPr>
      <w:tblGrid>
        <w:gridCol w:w="1278"/>
        <w:gridCol w:w="17442"/>
      </w:tblGrid>
      <w:tr w:rsidR="006E7608" w14:paraId="4C23DCE4" w14:textId="77777777" w:rsidTr="0025292C">
        <w:tc>
          <w:tcPr>
            <w:tcW w:w="1278" w:type="dxa"/>
            <w:tcBorders>
              <w:left w:val="single" w:sz="4" w:space="0" w:color="C00000"/>
              <w:bottom w:val="single" w:sz="4" w:space="0" w:color="C00000"/>
            </w:tcBorders>
          </w:tcPr>
          <w:p w14:paraId="1AEFA3A9" w14:textId="77777777" w:rsidR="006E7608" w:rsidRDefault="006929F2" w:rsidP="006E7608">
            <w:pPr>
              <w:jc w:val="center"/>
              <w:rPr>
                <w:color w:val="C00000"/>
                <w:sz w:val="48"/>
                <w:szCs w:val="48"/>
              </w:rPr>
            </w:pPr>
            <w:r>
              <w:rPr>
                <w:noProof/>
                <w:color w:val="C00000"/>
                <w:sz w:val="48"/>
                <w:szCs w:val="48"/>
                <w:lang w:bidi="bn-BD"/>
              </w:rPr>
              <w:drawing>
                <wp:inline distT="0" distB="0" distL="0" distR="0" wp14:anchorId="5722C901" wp14:editId="15CD01CB">
                  <wp:extent cx="674370" cy="674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_SDG goals_icons-individual-rgb-07.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74370" cy="674370"/>
                          </a:xfrm>
                          <a:prstGeom prst="rect">
                            <a:avLst/>
                          </a:prstGeom>
                        </pic:spPr>
                      </pic:pic>
                    </a:graphicData>
                  </a:graphic>
                </wp:inline>
              </w:drawing>
            </w:r>
          </w:p>
        </w:tc>
        <w:tc>
          <w:tcPr>
            <w:tcW w:w="17442" w:type="dxa"/>
            <w:shd w:val="clear" w:color="auto" w:fill="D27D00"/>
            <w:vAlign w:val="center"/>
          </w:tcPr>
          <w:p w14:paraId="766642F6" w14:textId="77777777" w:rsidR="006E7608" w:rsidRPr="00214C29" w:rsidRDefault="006E7608" w:rsidP="006E7608">
            <w:pPr>
              <w:jc w:val="both"/>
              <w:rPr>
                <w:color w:val="FFFFFF" w:themeColor="background1"/>
                <w:sz w:val="62"/>
                <w:szCs w:val="62"/>
              </w:rPr>
            </w:pPr>
            <w:r w:rsidRPr="00214C29">
              <w:rPr>
                <w:color w:val="FFFFFF" w:themeColor="background1"/>
                <w:sz w:val="62"/>
                <w:szCs w:val="62"/>
              </w:rPr>
              <w:t>Ensure access to affordable, reliable, sustainable and modern energy for all</w:t>
            </w:r>
          </w:p>
        </w:tc>
      </w:tr>
    </w:tbl>
    <w:p w14:paraId="16DDE4AE" w14:textId="77777777" w:rsidR="006E7608" w:rsidRPr="006E7608" w:rsidRDefault="006E7608">
      <w:pPr>
        <w:rPr>
          <w:color w:val="FF0000"/>
          <w:sz w:val="2"/>
          <w:szCs w:val="2"/>
        </w:rPr>
      </w:pPr>
    </w:p>
    <w:tbl>
      <w:tblPr>
        <w:tblStyle w:val="TableGrid"/>
        <w:tblW w:w="0" w:type="auto"/>
        <w:tblLook w:val="04A0" w:firstRow="1" w:lastRow="0" w:firstColumn="1" w:lastColumn="0" w:noHBand="0" w:noVBand="1"/>
      </w:tblPr>
      <w:tblGrid>
        <w:gridCol w:w="1550"/>
        <w:gridCol w:w="1114"/>
        <w:gridCol w:w="757"/>
        <w:gridCol w:w="4377"/>
        <w:gridCol w:w="1205"/>
        <w:gridCol w:w="1276"/>
        <w:gridCol w:w="1209"/>
        <w:gridCol w:w="1226"/>
        <w:gridCol w:w="2080"/>
        <w:gridCol w:w="903"/>
        <w:gridCol w:w="781"/>
        <w:gridCol w:w="878"/>
        <w:gridCol w:w="1580"/>
      </w:tblGrid>
      <w:tr w:rsidR="00B36A5C" w:rsidRPr="00C766D7" w14:paraId="6D13001E" w14:textId="77777777" w:rsidTr="0025292C">
        <w:trPr>
          <w:tblHeader/>
        </w:trPr>
        <w:tc>
          <w:tcPr>
            <w:tcW w:w="0" w:type="auto"/>
            <w:shd w:val="clear" w:color="auto" w:fill="DDD9C3" w:themeFill="background2" w:themeFillShade="E6"/>
            <w:vAlign w:val="center"/>
          </w:tcPr>
          <w:p w14:paraId="599AB67C" w14:textId="77777777" w:rsidR="006E7608" w:rsidRDefault="006E7608" w:rsidP="0025292C">
            <w:pPr>
              <w:jc w:val="center"/>
            </w:pPr>
            <w:r>
              <w:rPr>
                <w:b/>
                <w:bCs/>
                <w:sz w:val="18"/>
                <w:szCs w:val="18"/>
              </w:rPr>
              <w:t>T</w:t>
            </w:r>
            <w:r w:rsidRPr="00C766D7">
              <w:rPr>
                <w:b/>
                <w:bCs/>
                <w:sz w:val="18"/>
                <w:szCs w:val="18"/>
              </w:rPr>
              <w:t>argets and Indicators</w:t>
            </w:r>
          </w:p>
        </w:tc>
        <w:tc>
          <w:tcPr>
            <w:tcW w:w="0" w:type="auto"/>
            <w:shd w:val="clear" w:color="auto" w:fill="DDD9C3" w:themeFill="background2" w:themeFillShade="E6"/>
            <w:vAlign w:val="center"/>
          </w:tcPr>
          <w:p w14:paraId="1F5793A2" w14:textId="77777777" w:rsidR="006E7608" w:rsidRDefault="006E7608" w:rsidP="0025292C">
            <w:pPr>
              <w:jc w:val="cente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DDD9C3" w:themeFill="background2" w:themeFillShade="E6"/>
            <w:vAlign w:val="center"/>
          </w:tcPr>
          <w:p w14:paraId="7DC7667E" w14:textId="77777777" w:rsidR="006E7608" w:rsidRDefault="006E7608" w:rsidP="0025292C">
            <w:pPr>
              <w:jc w:val="center"/>
            </w:pPr>
            <w:r w:rsidRPr="00C766D7">
              <w:rPr>
                <w:b/>
                <w:bCs/>
                <w:sz w:val="18"/>
                <w:szCs w:val="18"/>
              </w:rPr>
              <w:t>Tier Classifi</w:t>
            </w:r>
            <w:r>
              <w:rPr>
                <w:b/>
                <w:bCs/>
                <w:sz w:val="18"/>
                <w:szCs w:val="18"/>
              </w:rPr>
              <w:t>-</w:t>
            </w:r>
            <w:r w:rsidRPr="00C766D7">
              <w:rPr>
                <w:b/>
                <w:bCs/>
                <w:sz w:val="18"/>
                <w:szCs w:val="18"/>
              </w:rPr>
              <w:t>cations</w:t>
            </w:r>
          </w:p>
        </w:tc>
        <w:tc>
          <w:tcPr>
            <w:tcW w:w="0" w:type="auto"/>
            <w:shd w:val="clear" w:color="auto" w:fill="DDD9C3" w:themeFill="background2" w:themeFillShade="E6"/>
            <w:vAlign w:val="center"/>
          </w:tcPr>
          <w:p w14:paraId="1AEC401B" w14:textId="77777777" w:rsidR="006E7608" w:rsidRDefault="006E7608" w:rsidP="0025292C">
            <w:pPr>
              <w:jc w:val="cente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DDD9C3" w:themeFill="background2" w:themeFillShade="E6"/>
            <w:vAlign w:val="center"/>
          </w:tcPr>
          <w:p w14:paraId="746406A0" w14:textId="77777777" w:rsidR="006E7608" w:rsidRDefault="006E7608" w:rsidP="0025292C">
            <w:pPr>
              <w:jc w:val="center"/>
            </w:pPr>
            <w:r w:rsidRPr="00C766D7">
              <w:rPr>
                <w:b/>
                <w:bCs/>
                <w:sz w:val="18"/>
                <w:szCs w:val="18"/>
              </w:rPr>
              <w:t>UN Suggested activities of data generation</w:t>
            </w:r>
          </w:p>
        </w:tc>
        <w:tc>
          <w:tcPr>
            <w:tcW w:w="0" w:type="auto"/>
            <w:shd w:val="clear" w:color="auto" w:fill="DDD9C3" w:themeFill="background2" w:themeFillShade="E6"/>
            <w:vAlign w:val="center"/>
          </w:tcPr>
          <w:p w14:paraId="3C5F1885" w14:textId="77777777" w:rsidR="006E7608" w:rsidRPr="00C766D7" w:rsidRDefault="006E7608" w:rsidP="0025292C">
            <w:pPr>
              <w:jc w:val="center"/>
              <w:rPr>
                <w:b/>
                <w:bCs/>
                <w:sz w:val="18"/>
                <w:szCs w:val="18"/>
              </w:rPr>
            </w:pPr>
            <w:r w:rsidRPr="00C766D7">
              <w:rPr>
                <w:b/>
                <w:bCs/>
                <w:sz w:val="18"/>
                <w:szCs w:val="18"/>
              </w:rPr>
              <w:t>UN Suggested data provider</w:t>
            </w:r>
          </w:p>
        </w:tc>
        <w:tc>
          <w:tcPr>
            <w:tcW w:w="0" w:type="auto"/>
            <w:shd w:val="clear" w:color="auto" w:fill="DDD9C3" w:themeFill="background2" w:themeFillShade="E6"/>
            <w:vAlign w:val="center"/>
          </w:tcPr>
          <w:p w14:paraId="273C6B7A" w14:textId="77777777" w:rsidR="006E7608" w:rsidRPr="00C766D7" w:rsidRDefault="006E7608" w:rsidP="0025292C">
            <w:pPr>
              <w:jc w:val="center"/>
              <w:rPr>
                <w:b/>
                <w:bCs/>
                <w:sz w:val="18"/>
                <w:szCs w:val="18"/>
              </w:rPr>
            </w:pPr>
            <w:r w:rsidRPr="00C766D7">
              <w:rPr>
                <w:b/>
                <w:bCs/>
                <w:sz w:val="18"/>
                <w:szCs w:val="18"/>
              </w:rPr>
              <w:t>Recent Available Data Sources</w:t>
            </w:r>
          </w:p>
        </w:tc>
        <w:tc>
          <w:tcPr>
            <w:tcW w:w="0" w:type="auto"/>
            <w:shd w:val="clear" w:color="auto" w:fill="DDD9C3" w:themeFill="background2" w:themeFillShade="E6"/>
            <w:vAlign w:val="center"/>
          </w:tcPr>
          <w:p w14:paraId="53F3F3E5" w14:textId="77777777" w:rsidR="006E7608" w:rsidRPr="00C766D7" w:rsidRDefault="006E7608" w:rsidP="0025292C">
            <w:pPr>
              <w:jc w:val="center"/>
              <w:rPr>
                <w:b/>
                <w:bCs/>
                <w:sz w:val="18"/>
                <w:szCs w:val="18"/>
              </w:rPr>
            </w:pPr>
            <w:r w:rsidRPr="00C766D7">
              <w:rPr>
                <w:b/>
                <w:bCs/>
                <w:sz w:val="18"/>
                <w:szCs w:val="18"/>
              </w:rPr>
              <w:t>Possible future Sources</w:t>
            </w:r>
          </w:p>
        </w:tc>
        <w:tc>
          <w:tcPr>
            <w:tcW w:w="0" w:type="auto"/>
            <w:shd w:val="clear" w:color="auto" w:fill="DDD9C3" w:themeFill="background2" w:themeFillShade="E6"/>
            <w:vAlign w:val="center"/>
          </w:tcPr>
          <w:p w14:paraId="50E08A75" w14:textId="77777777" w:rsidR="006E7608" w:rsidRPr="00C766D7" w:rsidRDefault="006E7608" w:rsidP="0025292C">
            <w:pPr>
              <w:jc w:val="center"/>
              <w:rPr>
                <w:b/>
                <w:bCs/>
                <w:sz w:val="18"/>
                <w:szCs w:val="18"/>
              </w:rPr>
            </w:pPr>
            <w:r>
              <w:rPr>
                <w:b/>
                <w:bCs/>
                <w:sz w:val="18"/>
                <w:szCs w:val="18"/>
              </w:rPr>
              <w:t>Minimum Disaggregation Dimensions and Categories</w:t>
            </w:r>
          </w:p>
        </w:tc>
        <w:tc>
          <w:tcPr>
            <w:tcW w:w="0" w:type="auto"/>
            <w:shd w:val="clear" w:color="auto" w:fill="DDD9C3" w:themeFill="background2" w:themeFillShade="E6"/>
            <w:vAlign w:val="center"/>
          </w:tcPr>
          <w:p w14:paraId="512C846B" w14:textId="219FC5A3" w:rsidR="00B36A5C" w:rsidRDefault="006E7608" w:rsidP="0025292C">
            <w:pPr>
              <w:jc w:val="center"/>
              <w:rPr>
                <w:b/>
                <w:bCs/>
                <w:sz w:val="18"/>
                <w:szCs w:val="18"/>
              </w:rPr>
            </w:pPr>
            <w:r w:rsidRPr="00C766D7">
              <w:rPr>
                <w:b/>
                <w:bCs/>
                <w:sz w:val="18"/>
                <w:szCs w:val="18"/>
              </w:rPr>
              <w:t>Frequency</w:t>
            </w:r>
          </w:p>
          <w:p w14:paraId="33E0D583" w14:textId="096DB0A5" w:rsidR="00B36A5C" w:rsidRDefault="006E7608" w:rsidP="0025292C">
            <w:pPr>
              <w:jc w:val="center"/>
              <w:rPr>
                <w:b/>
                <w:bCs/>
                <w:sz w:val="18"/>
                <w:szCs w:val="18"/>
              </w:rPr>
            </w:pPr>
            <w:r w:rsidRPr="00C766D7">
              <w:rPr>
                <w:b/>
                <w:bCs/>
                <w:sz w:val="18"/>
                <w:szCs w:val="18"/>
              </w:rPr>
              <w:t>of</w:t>
            </w:r>
          </w:p>
          <w:p w14:paraId="536BD7DB" w14:textId="501E66C8" w:rsidR="00B36A5C" w:rsidRDefault="006E7608" w:rsidP="0025292C">
            <w:pPr>
              <w:jc w:val="center"/>
              <w:rPr>
                <w:b/>
                <w:bCs/>
                <w:sz w:val="18"/>
                <w:szCs w:val="18"/>
              </w:rPr>
            </w:pPr>
            <w:r w:rsidRPr="00C766D7">
              <w:rPr>
                <w:b/>
                <w:bCs/>
                <w:sz w:val="18"/>
                <w:szCs w:val="18"/>
              </w:rPr>
              <w:t>data</w:t>
            </w:r>
          </w:p>
          <w:p w14:paraId="6B44E185" w14:textId="77777777" w:rsidR="006E7608" w:rsidRPr="00C766D7" w:rsidRDefault="006E7608" w:rsidP="0025292C">
            <w:pPr>
              <w:jc w:val="center"/>
              <w:rPr>
                <w:b/>
                <w:bCs/>
                <w:sz w:val="18"/>
                <w:szCs w:val="18"/>
              </w:rPr>
            </w:pPr>
            <w:r w:rsidRPr="00C766D7">
              <w:rPr>
                <w:b/>
                <w:bCs/>
                <w:sz w:val="18"/>
                <w:szCs w:val="18"/>
              </w:rPr>
              <w:t>generation</w:t>
            </w:r>
          </w:p>
        </w:tc>
        <w:tc>
          <w:tcPr>
            <w:tcW w:w="0" w:type="auto"/>
            <w:shd w:val="clear" w:color="auto" w:fill="DDD9C3" w:themeFill="background2" w:themeFillShade="E6"/>
            <w:vAlign w:val="center"/>
          </w:tcPr>
          <w:p w14:paraId="4C8C99E9" w14:textId="3959F361" w:rsidR="00B36A5C" w:rsidRDefault="006E7608" w:rsidP="0025292C">
            <w:pPr>
              <w:jc w:val="center"/>
              <w:rPr>
                <w:b/>
                <w:bCs/>
                <w:sz w:val="18"/>
                <w:szCs w:val="18"/>
              </w:rPr>
            </w:pPr>
            <w:r w:rsidRPr="00C766D7">
              <w:rPr>
                <w:b/>
                <w:bCs/>
                <w:sz w:val="18"/>
                <w:szCs w:val="18"/>
              </w:rPr>
              <w:t>Local</w:t>
            </w:r>
          </w:p>
          <w:p w14:paraId="48F95D61" w14:textId="4ADA9938" w:rsidR="00B36A5C" w:rsidRDefault="006E7608" w:rsidP="0025292C">
            <w:pPr>
              <w:jc w:val="center"/>
              <w:rPr>
                <w:b/>
                <w:bCs/>
                <w:sz w:val="18"/>
                <w:szCs w:val="18"/>
              </w:rPr>
            </w:pPr>
            <w:r w:rsidRPr="00C766D7">
              <w:rPr>
                <w:b/>
                <w:bCs/>
                <w:sz w:val="18"/>
                <w:szCs w:val="18"/>
              </w:rPr>
              <w:t>Indicator</w:t>
            </w:r>
          </w:p>
          <w:p w14:paraId="218034FF" w14:textId="77777777" w:rsidR="006E7608" w:rsidRPr="00C766D7" w:rsidRDefault="006E7608" w:rsidP="0025292C">
            <w:pPr>
              <w:jc w:val="center"/>
              <w:rPr>
                <w:b/>
                <w:bCs/>
                <w:sz w:val="18"/>
                <w:szCs w:val="18"/>
              </w:rPr>
            </w:pPr>
            <w:r w:rsidRPr="00C766D7">
              <w:rPr>
                <w:b/>
                <w:bCs/>
                <w:sz w:val="18"/>
                <w:szCs w:val="18"/>
              </w:rPr>
              <w:t>Group</w:t>
            </w:r>
          </w:p>
        </w:tc>
        <w:tc>
          <w:tcPr>
            <w:tcW w:w="0" w:type="auto"/>
            <w:shd w:val="clear" w:color="auto" w:fill="DDD9C3" w:themeFill="background2" w:themeFillShade="E6"/>
            <w:vAlign w:val="center"/>
          </w:tcPr>
          <w:p w14:paraId="4E7DDD8C" w14:textId="77777777" w:rsidR="006E7608" w:rsidRDefault="006E7608" w:rsidP="0025292C">
            <w:pPr>
              <w:jc w:val="center"/>
              <w:rPr>
                <w:b/>
                <w:bCs/>
                <w:sz w:val="18"/>
                <w:szCs w:val="18"/>
              </w:rPr>
            </w:pPr>
            <w:r w:rsidRPr="00BE3A94">
              <w:rPr>
                <w:b/>
                <w:bCs/>
                <w:sz w:val="18"/>
                <w:szCs w:val="18"/>
              </w:rPr>
              <w:t>Deadline for Data providing</w:t>
            </w:r>
          </w:p>
        </w:tc>
        <w:tc>
          <w:tcPr>
            <w:tcW w:w="0" w:type="auto"/>
            <w:shd w:val="clear" w:color="auto" w:fill="DDD9C3" w:themeFill="background2" w:themeFillShade="E6"/>
            <w:vAlign w:val="center"/>
          </w:tcPr>
          <w:p w14:paraId="4DA92591" w14:textId="77777777" w:rsidR="006E7608" w:rsidRPr="00C766D7" w:rsidRDefault="006E7608" w:rsidP="0025292C">
            <w:pPr>
              <w:jc w:val="center"/>
              <w:rPr>
                <w:b/>
                <w:bCs/>
                <w:sz w:val="18"/>
                <w:szCs w:val="18"/>
              </w:rPr>
            </w:pPr>
            <w:r>
              <w:rPr>
                <w:b/>
                <w:bCs/>
                <w:sz w:val="18"/>
                <w:szCs w:val="18"/>
              </w:rPr>
              <w:t>Remarks</w:t>
            </w:r>
          </w:p>
        </w:tc>
      </w:tr>
      <w:tr w:rsidR="00B36A5C" w:rsidRPr="0025292C" w14:paraId="119C9B0E" w14:textId="77777777" w:rsidTr="0025292C">
        <w:trPr>
          <w:tblHeader/>
        </w:trPr>
        <w:tc>
          <w:tcPr>
            <w:tcW w:w="0" w:type="auto"/>
            <w:shd w:val="clear" w:color="auto" w:fill="00B0F0"/>
          </w:tcPr>
          <w:p w14:paraId="0CF873F1" w14:textId="77777777" w:rsidR="006E7608" w:rsidRPr="0025292C" w:rsidRDefault="006E7608" w:rsidP="0025292C">
            <w:pPr>
              <w:jc w:val="center"/>
              <w:rPr>
                <w:i/>
                <w:iCs/>
              </w:rPr>
            </w:pPr>
            <w:r w:rsidRPr="0025292C">
              <w:rPr>
                <w:i/>
                <w:iCs/>
              </w:rPr>
              <w:t>1</w:t>
            </w:r>
          </w:p>
        </w:tc>
        <w:tc>
          <w:tcPr>
            <w:tcW w:w="0" w:type="auto"/>
            <w:shd w:val="clear" w:color="auto" w:fill="00B0F0"/>
          </w:tcPr>
          <w:p w14:paraId="32848D8A" w14:textId="77777777" w:rsidR="006E7608" w:rsidRPr="0025292C" w:rsidRDefault="006E7608" w:rsidP="0025292C">
            <w:pPr>
              <w:jc w:val="center"/>
              <w:rPr>
                <w:i/>
                <w:iCs/>
              </w:rPr>
            </w:pPr>
            <w:r w:rsidRPr="0025292C">
              <w:rPr>
                <w:i/>
                <w:iCs/>
              </w:rPr>
              <w:t>2</w:t>
            </w:r>
          </w:p>
        </w:tc>
        <w:tc>
          <w:tcPr>
            <w:tcW w:w="0" w:type="auto"/>
            <w:shd w:val="clear" w:color="auto" w:fill="00B0F0"/>
          </w:tcPr>
          <w:p w14:paraId="2236A853" w14:textId="77777777" w:rsidR="006E7608" w:rsidRPr="0025292C" w:rsidRDefault="006E7608" w:rsidP="0025292C">
            <w:pPr>
              <w:jc w:val="center"/>
              <w:rPr>
                <w:i/>
                <w:iCs/>
              </w:rPr>
            </w:pPr>
            <w:r w:rsidRPr="0025292C">
              <w:rPr>
                <w:i/>
                <w:iCs/>
              </w:rPr>
              <w:t>3</w:t>
            </w:r>
          </w:p>
        </w:tc>
        <w:tc>
          <w:tcPr>
            <w:tcW w:w="0" w:type="auto"/>
            <w:shd w:val="clear" w:color="auto" w:fill="00B0F0"/>
          </w:tcPr>
          <w:p w14:paraId="25E42CAE" w14:textId="77777777" w:rsidR="006E7608" w:rsidRPr="0025292C" w:rsidRDefault="006E7608" w:rsidP="0025292C">
            <w:pPr>
              <w:jc w:val="center"/>
              <w:rPr>
                <w:i/>
                <w:iCs/>
              </w:rPr>
            </w:pPr>
            <w:r w:rsidRPr="0025292C">
              <w:rPr>
                <w:i/>
                <w:iCs/>
              </w:rPr>
              <w:t>4</w:t>
            </w:r>
          </w:p>
        </w:tc>
        <w:tc>
          <w:tcPr>
            <w:tcW w:w="0" w:type="auto"/>
            <w:shd w:val="clear" w:color="auto" w:fill="00B0F0"/>
          </w:tcPr>
          <w:p w14:paraId="3D92CF5A" w14:textId="77777777" w:rsidR="006E7608" w:rsidRPr="0025292C" w:rsidRDefault="006E7608" w:rsidP="0025292C">
            <w:pPr>
              <w:jc w:val="center"/>
              <w:rPr>
                <w:i/>
                <w:iCs/>
              </w:rPr>
            </w:pPr>
            <w:r w:rsidRPr="0025292C">
              <w:rPr>
                <w:i/>
                <w:iCs/>
              </w:rPr>
              <w:t>5</w:t>
            </w:r>
          </w:p>
        </w:tc>
        <w:tc>
          <w:tcPr>
            <w:tcW w:w="0" w:type="auto"/>
            <w:shd w:val="clear" w:color="auto" w:fill="00B0F0"/>
          </w:tcPr>
          <w:p w14:paraId="442975C1" w14:textId="77777777" w:rsidR="006E7608" w:rsidRPr="0025292C" w:rsidRDefault="006E7608" w:rsidP="0025292C">
            <w:pPr>
              <w:jc w:val="center"/>
              <w:rPr>
                <w:i/>
                <w:iCs/>
              </w:rPr>
            </w:pPr>
            <w:r w:rsidRPr="0025292C">
              <w:rPr>
                <w:i/>
                <w:iCs/>
              </w:rPr>
              <w:t>6</w:t>
            </w:r>
          </w:p>
        </w:tc>
        <w:tc>
          <w:tcPr>
            <w:tcW w:w="0" w:type="auto"/>
            <w:shd w:val="clear" w:color="auto" w:fill="00B0F0"/>
          </w:tcPr>
          <w:p w14:paraId="05974096" w14:textId="77777777" w:rsidR="006E7608" w:rsidRPr="0025292C" w:rsidRDefault="006E7608" w:rsidP="0025292C">
            <w:pPr>
              <w:jc w:val="center"/>
              <w:rPr>
                <w:i/>
                <w:iCs/>
              </w:rPr>
            </w:pPr>
            <w:r w:rsidRPr="0025292C">
              <w:rPr>
                <w:i/>
                <w:iCs/>
              </w:rPr>
              <w:t>7</w:t>
            </w:r>
          </w:p>
        </w:tc>
        <w:tc>
          <w:tcPr>
            <w:tcW w:w="0" w:type="auto"/>
            <w:shd w:val="clear" w:color="auto" w:fill="00B0F0"/>
          </w:tcPr>
          <w:p w14:paraId="16957B4F" w14:textId="77777777" w:rsidR="006E7608" w:rsidRPr="0025292C" w:rsidRDefault="006E7608" w:rsidP="0025292C">
            <w:pPr>
              <w:jc w:val="center"/>
              <w:rPr>
                <w:i/>
                <w:iCs/>
              </w:rPr>
            </w:pPr>
            <w:r w:rsidRPr="0025292C">
              <w:rPr>
                <w:i/>
                <w:iCs/>
              </w:rPr>
              <w:t>8</w:t>
            </w:r>
          </w:p>
        </w:tc>
        <w:tc>
          <w:tcPr>
            <w:tcW w:w="0" w:type="auto"/>
            <w:shd w:val="clear" w:color="auto" w:fill="00B0F0"/>
          </w:tcPr>
          <w:p w14:paraId="7FA83DBE" w14:textId="77777777" w:rsidR="006E7608" w:rsidRPr="0025292C" w:rsidRDefault="006E7608" w:rsidP="0025292C">
            <w:pPr>
              <w:jc w:val="center"/>
              <w:rPr>
                <w:i/>
                <w:iCs/>
              </w:rPr>
            </w:pPr>
            <w:r w:rsidRPr="0025292C">
              <w:rPr>
                <w:i/>
                <w:iCs/>
              </w:rPr>
              <w:t>9</w:t>
            </w:r>
          </w:p>
        </w:tc>
        <w:tc>
          <w:tcPr>
            <w:tcW w:w="0" w:type="auto"/>
            <w:shd w:val="clear" w:color="auto" w:fill="00B0F0"/>
          </w:tcPr>
          <w:p w14:paraId="74559D21" w14:textId="77777777" w:rsidR="006E7608" w:rsidRPr="0025292C" w:rsidRDefault="006E7608" w:rsidP="0025292C">
            <w:pPr>
              <w:jc w:val="center"/>
              <w:rPr>
                <w:i/>
                <w:iCs/>
              </w:rPr>
            </w:pPr>
            <w:r w:rsidRPr="0025292C">
              <w:rPr>
                <w:i/>
                <w:iCs/>
              </w:rPr>
              <w:t>10</w:t>
            </w:r>
          </w:p>
        </w:tc>
        <w:tc>
          <w:tcPr>
            <w:tcW w:w="0" w:type="auto"/>
            <w:shd w:val="clear" w:color="auto" w:fill="00B0F0"/>
          </w:tcPr>
          <w:p w14:paraId="1379E59D" w14:textId="77777777" w:rsidR="006E7608" w:rsidRPr="0025292C" w:rsidRDefault="006E7608" w:rsidP="0025292C">
            <w:pPr>
              <w:jc w:val="center"/>
              <w:rPr>
                <w:i/>
                <w:iCs/>
              </w:rPr>
            </w:pPr>
            <w:r w:rsidRPr="0025292C">
              <w:rPr>
                <w:i/>
                <w:iCs/>
              </w:rPr>
              <w:t>11</w:t>
            </w:r>
          </w:p>
        </w:tc>
        <w:tc>
          <w:tcPr>
            <w:tcW w:w="0" w:type="auto"/>
            <w:shd w:val="clear" w:color="auto" w:fill="00B0F0"/>
          </w:tcPr>
          <w:p w14:paraId="466A7DCB" w14:textId="77777777" w:rsidR="006E7608" w:rsidRPr="0025292C" w:rsidRDefault="006E7608" w:rsidP="0025292C">
            <w:pPr>
              <w:jc w:val="center"/>
              <w:rPr>
                <w:i/>
                <w:iCs/>
              </w:rPr>
            </w:pPr>
            <w:r w:rsidRPr="0025292C">
              <w:rPr>
                <w:i/>
                <w:iCs/>
              </w:rPr>
              <w:t>12</w:t>
            </w:r>
          </w:p>
        </w:tc>
        <w:tc>
          <w:tcPr>
            <w:tcW w:w="0" w:type="auto"/>
            <w:shd w:val="clear" w:color="auto" w:fill="00B0F0"/>
          </w:tcPr>
          <w:p w14:paraId="7E68B2B4" w14:textId="77777777" w:rsidR="006E7608" w:rsidRPr="0025292C" w:rsidRDefault="006E7608" w:rsidP="0025292C">
            <w:pPr>
              <w:jc w:val="center"/>
              <w:rPr>
                <w:i/>
                <w:iCs/>
              </w:rPr>
            </w:pPr>
            <w:r w:rsidRPr="0025292C">
              <w:rPr>
                <w:i/>
                <w:iCs/>
              </w:rPr>
              <w:t>13</w:t>
            </w:r>
          </w:p>
        </w:tc>
      </w:tr>
      <w:tr w:rsidR="0025292C" w14:paraId="7A9DE057" w14:textId="77777777" w:rsidTr="00D52BCB">
        <w:tc>
          <w:tcPr>
            <w:tcW w:w="0" w:type="auto"/>
            <w:gridSpan w:val="13"/>
            <w:shd w:val="clear" w:color="auto" w:fill="auto"/>
          </w:tcPr>
          <w:p w14:paraId="39A7EF8E" w14:textId="77777777" w:rsidR="0025292C" w:rsidRPr="00800152" w:rsidRDefault="0025292C" w:rsidP="006504DA">
            <w:pPr>
              <w:ind w:left="970" w:hanging="970"/>
              <w:jc w:val="both"/>
              <w:rPr>
                <w:color w:val="0070C0"/>
                <w:sz w:val="30"/>
                <w:szCs w:val="30"/>
              </w:rPr>
            </w:pPr>
            <w:r w:rsidRPr="00800152">
              <w:rPr>
                <w:color w:val="0070C0"/>
                <w:sz w:val="30"/>
                <w:szCs w:val="30"/>
              </w:rPr>
              <w:t xml:space="preserve">Target </w:t>
            </w:r>
            <w:r w:rsidRPr="00800152">
              <w:rPr>
                <w:b/>
                <w:bCs/>
                <w:color w:val="0070C0"/>
                <w:sz w:val="30"/>
                <w:szCs w:val="30"/>
                <w:cs/>
                <w:lang w:bidi="bn-BD"/>
              </w:rPr>
              <w:t>7</w:t>
            </w:r>
            <w:r w:rsidRPr="00800152">
              <w:rPr>
                <w:color w:val="0070C0"/>
                <w:sz w:val="30"/>
                <w:szCs w:val="30"/>
              </w:rPr>
              <w:t>.1:  By 2030, ensure universal access to affordable, reliable and modern energy services</w:t>
            </w:r>
          </w:p>
        </w:tc>
      </w:tr>
      <w:tr w:rsidR="00E45009" w14:paraId="136E3A0A" w14:textId="77777777" w:rsidTr="0025292C">
        <w:tc>
          <w:tcPr>
            <w:tcW w:w="0" w:type="auto"/>
            <w:shd w:val="clear" w:color="auto" w:fill="auto"/>
          </w:tcPr>
          <w:p w14:paraId="15B46DEF" w14:textId="77777777" w:rsidR="00E45009" w:rsidRPr="008A7088" w:rsidRDefault="00E45009" w:rsidP="00E45009">
            <w:pPr>
              <w:rPr>
                <w:color w:val="0070C0"/>
                <w:szCs w:val="20"/>
                <w:lang w:bidi="bn-BD"/>
              </w:rPr>
            </w:pPr>
            <w:r w:rsidRPr="008A7088">
              <w:rPr>
                <w:szCs w:val="20"/>
              </w:rPr>
              <w:t>7.1.1 Proportion of</w:t>
            </w:r>
            <w:r w:rsidRPr="008A7088">
              <w:rPr>
                <w:b/>
                <w:bCs/>
                <w:szCs w:val="20"/>
              </w:rPr>
              <w:t xml:space="preserve"> </w:t>
            </w:r>
            <w:r w:rsidRPr="008A7088">
              <w:rPr>
                <w:szCs w:val="20"/>
              </w:rPr>
              <w:t>population with access to electricity</w:t>
            </w:r>
          </w:p>
        </w:tc>
        <w:tc>
          <w:tcPr>
            <w:tcW w:w="0" w:type="auto"/>
            <w:shd w:val="clear" w:color="auto" w:fill="auto"/>
          </w:tcPr>
          <w:p w14:paraId="45EA14E8" w14:textId="77777777" w:rsidR="00E45009" w:rsidRDefault="00E45009" w:rsidP="00E45009">
            <w:pPr>
              <w:rPr>
                <w:b/>
                <w:bCs/>
                <w:szCs w:val="20"/>
              </w:rPr>
            </w:pPr>
            <w:r w:rsidRPr="00FC10F1">
              <w:rPr>
                <w:b/>
                <w:bCs/>
                <w:szCs w:val="20"/>
              </w:rPr>
              <w:t>World Bank</w:t>
            </w:r>
          </w:p>
          <w:p w14:paraId="4030F321" w14:textId="77777777" w:rsidR="00E45009" w:rsidRDefault="00E45009" w:rsidP="00E45009">
            <w:pPr>
              <w:ind w:left="970" w:hanging="970"/>
              <w:jc w:val="both"/>
              <w:rPr>
                <w:color w:val="0070C0"/>
                <w:sz w:val="30"/>
                <w:szCs w:val="30"/>
              </w:rPr>
            </w:pPr>
          </w:p>
          <w:p w14:paraId="30EC1394" w14:textId="77777777" w:rsidR="00E45009" w:rsidRDefault="00E45009" w:rsidP="00E45009">
            <w:r w:rsidRPr="007243FC">
              <w:rPr>
                <w:b/>
                <w:bCs/>
                <w:szCs w:val="20"/>
              </w:rPr>
              <w:t>Partner Agencies:</w:t>
            </w:r>
            <w:r>
              <w:t xml:space="preserve"> </w:t>
            </w:r>
          </w:p>
          <w:p w14:paraId="6BB7DF64" w14:textId="77777777" w:rsidR="00E45009" w:rsidRDefault="00E45009" w:rsidP="00E45009">
            <w:r>
              <w:t xml:space="preserve">IEA, </w:t>
            </w:r>
          </w:p>
          <w:p w14:paraId="0801FC3D" w14:textId="77777777" w:rsidR="00E45009" w:rsidRDefault="00E45009" w:rsidP="00E45009">
            <w:pPr>
              <w:rPr>
                <w:color w:val="0070C0"/>
                <w:sz w:val="30"/>
                <w:szCs w:val="30"/>
              </w:rPr>
            </w:pPr>
            <w:r>
              <w:t>UN-Energy</w:t>
            </w:r>
          </w:p>
        </w:tc>
        <w:tc>
          <w:tcPr>
            <w:tcW w:w="0" w:type="auto"/>
            <w:shd w:val="clear" w:color="auto" w:fill="auto"/>
          </w:tcPr>
          <w:p w14:paraId="4F365BD8" w14:textId="77777777" w:rsidR="00E45009" w:rsidRDefault="00E45009" w:rsidP="00E45009">
            <w:pPr>
              <w:pStyle w:val="NoSpacing"/>
            </w:pPr>
            <w:r w:rsidRPr="00666486">
              <w:t>Tier I</w:t>
            </w:r>
          </w:p>
        </w:tc>
        <w:tc>
          <w:tcPr>
            <w:tcW w:w="0" w:type="auto"/>
            <w:shd w:val="clear" w:color="auto" w:fill="auto"/>
          </w:tcPr>
          <w:p w14:paraId="736E4355" w14:textId="77777777" w:rsidR="00E45009" w:rsidRPr="00592ECB" w:rsidRDefault="00E45009" w:rsidP="0025292C">
            <w:pPr>
              <w:pStyle w:val="NoSpacing"/>
              <w:jc w:val="both"/>
              <w:rPr>
                <w:lang w:val="en-GB"/>
              </w:rPr>
            </w:pPr>
            <w:r w:rsidRPr="00592ECB">
              <w:rPr>
                <w:b/>
                <w:bCs/>
                <w:lang w:val="en-GB"/>
              </w:rPr>
              <w:t>Definition:</w:t>
            </w:r>
          </w:p>
          <w:p w14:paraId="681A1A39" w14:textId="77777777" w:rsidR="00E45009" w:rsidRPr="00592ECB" w:rsidRDefault="00E45009" w:rsidP="0025292C">
            <w:pPr>
              <w:pStyle w:val="NoSpacing"/>
              <w:jc w:val="both"/>
              <w:rPr>
                <w:lang w:val="en-GB"/>
              </w:rPr>
            </w:pPr>
          </w:p>
          <w:p w14:paraId="4C6CF0C5" w14:textId="77777777" w:rsidR="00E45009" w:rsidRPr="00592ECB" w:rsidRDefault="00E45009" w:rsidP="0025292C">
            <w:pPr>
              <w:pStyle w:val="NoSpacing"/>
              <w:jc w:val="both"/>
              <w:rPr>
                <w:lang w:val="en-GB"/>
              </w:rPr>
            </w:pPr>
            <w:r w:rsidRPr="00592ECB">
              <w:rPr>
                <w:lang w:val="en-GB"/>
              </w:rPr>
              <w:t>Proportion of population with access to electricity</w:t>
            </w:r>
            <w:r w:rsidRPr="00592ECB" w:rsidDel="00467B7F">
              <w:rPr>
                <w:lang w:val="en-GB"/>
              </w:rPr>
              <w:t xml:space="preserve"> </w:t>
            </w:r>
            <w:r w:rsidRPr="00592ECB">
              <w:rPr>
                <w:lang w:val="en-GB"/>
              </w:rPr>
              <w:t>is the percentage of population with access to electricity.</w:t>
            </w:r>
          </w:p>
          <w:p w14:paraId="0A5D9D45" w14:textId="77777777" w:rsidR="00E45009" w:rsidRPr="00592ECB" w:rsidRDefault="00E45009" w:rsidP="0025292C">
            <w:pPr>
              <w:pStyle w:val="NoSpacing"/>
              <w:jc w:val="both"/>
              <w:rPr>
                <w:lang w:val="en-GB"/>
              </w:rPr>
            </w:pPr>
          </w:p>
          <w:p w14:paraId="44672287" w14:textId="77777777" w:rsidR="00E45009" w:rsidRPr="00592ECB" w:rsidRDefault="00E45009" w:rsidP="0025292C">
            <w:pPr>
              <w:pStyle w:val="NoSpacing"/>
              <w:jc w:val="both"/>
              <w:rPr>
                <w:lang w:val="en-GB"/>
              </w:rPr>
            </w:pPr>
            <w:r w:rsidRPr="00592ECB">
              <w:rPr>
                <w:b/>
                <w:bCs/>
                <w:lang w:val="en-GB"/>
              </w:rPr>
              <w:t>Concepts:</w:t>
            </w:r>
          </w:p>
          <w:p w14:paraId="43A4734E" w14:textId="77777777" w:rsidR="00E45009" w:rsidRPr="00592ECB" w:rsidRDefault="00E45009" w:rsidP="0025292C">
            <w:pPr>
              <w:pStyle w:val="NoSpacing"/>
              <w:jc w:val="both"/>
              <w:rPr>
                <w:lang w:val="en-GB"/>
              </w:rPr>
            </w:pPr>
          </w:p>
          <w:p w14:paraId="16E83E25" w14:textId="77777777" w:rsidR="00E45009" w:rsidRPr="00592ECB" w:rsidRDefault="00E45009" w:rsidP="0025292C">
            <w:pPr>
              <w:pStyle w:val="NoSpacing"/>
              <w:jc w:val="both"/>
              <w:rPr>
                <w:lang w:val="en-GB"/>
              </w:rPr>
            </w:pPr>
            <w:r w:rsidRPr="00592ECB">
              <w:rPr>
                <w:lang w:val="en-GB"/>
              </w:rPr>
              <w:t>Please see method of computation for more details.</w:t>
            </w:r>
          </w:p>
          <w:p w14:paraId="66A4DDDE" w14:textId="77777777" w:rsidR="00E45009" w:rsidRPr="00592ECB" w:rsidRDefault="00E45009" w:rsidP="0025292C">
            <w:pPr>
              <w:pStyle w:val="NoSpacing"/>
              <w:jc w:val="both"/>
              <w:rPr>
                <w:lang w:val="en-GB"/>
              </w:rPr>
            </w:pPr>
          </w:p>
          <w:p w14:paraId="5DE071FA" w14:textId="77777777" w:rsidR="00E45009" w:rsidRPr="00592ECB" w:rsidRDefault="00E45009" w:rsidP="0025292C">
            <w:pPr>
              <w:pStyle w:val="NoSpacing"/>
              <w:jc w:val="both"/>
              <w:rPr>
                <w:lang w:val="en-GB"/>
              </w:rPr>
            </w:pPr>
            <w:r w:rsidRPr="00592ECB">
              <w:rPr>
                <w:b/>
                <w:bCs/>
                <w:lang w:val="en-GB"/>
              </w:rPr>
              <w:t>Comments and limitations:</w:t>
            </w:r>
          </w:p>
          <w:p w14:paraId="068165FB" w14:textId="77777777" w:rsidR="00E45009" w:rsidRPr="00592ECB" w:rsidRDefault="00E45009" w:rsidP="0025292C">
            <w:pPr>
              <w:pStyle w:val="NoSpacing"/>
              <w:jc w:val="both"/>
              <w:rPr>
                <w:lang w:val="en-GB"/>
              </w:rPr>
            </w:pPr>
          </w:p>
          <w:p w14:paraId="2D31FFB6" w14:textId="77777777" w:rsidR="00E45009" w:rsidRPr="00592ECB" w:rsidRDefault="00E45009" w:rsidP="0025292C">
            <w:pPr>
              <w:pStyle w:val="NoSpacing"/>
              <w:jc w:val="both"/>
              <w:rPr>
                <w:lang w:val="en-GB"/>
              </w:rPr>
            </w:pPr>
            <w:r w:rsidRPr="00592ECB">
              <w:rPr>
                <w:lang w:val="en-GB"/>
              </w:rPr>
              <w:t xml:space="preserve">While the existing global household survey evidence base provides a good starting point for tracking household energy access, it also presents a number of limitations that will need to be addressed over time. In many parts of the world, the presence of an electricity connection in the household does not necessarily guarantee that the energy supplied is adequate in quality and reliability or affordable in cost and it would be desirable to have fuller information about these critical attributes of the service, which </w:t>
            </w:r>
            <w:proofErr w:type="gramStart"/>
            <w:r w:rsidRPr="00592ECB">
              <w:rPr>
                <w:lang w:val="en-GB"/>
              </w:rPr>
              <w:t>have</w:t>
            </w:r>
            <w:proofErr w:type="gramEnd"/>
            <w:r w:rsidRPr="00592ECB">
              <w:rPr>
                <w:lang w:val="en-GB"/>
              </w:rPr>
              <w:t xml:space="preserve"> been highlighted in SDG7.</w:t>
            </w:r>
          </w:p>
          <w:p w14:paraId="722BC56D" w14:textId="77777777" w:rsidR="00E45009" w:rsidRPr="00592ECB" w:rsidRDefault="00E45009" w:rsidP="0025292C">
            <w:pPr>
              <w:pStyle w:val="NoSpacing"/>
              <w:jc w:val="both"/>
              <w:rPr>
                <w:sz w:val="10"/>
                <w:szCs w:val="14"/>
                <w:lang w:val="en-GB"/>
              </w:rPr>
            </w:pPr>
          </w:p>
          <w:p w14:paraId="1441DE69" w14:textId="77777777" w:rsidR="00E45009" w:rsidRPr="00592ECB" w:rsidRDefault="00E45009" w:rsidP="0025292C">
            <w:pPr>
              <w:pStyle w:val="NoSpacing"/>
              <w:jc w:val="both"/>
              <w:rPr>
                <w:lang w:val="en-GB"/>
              </w:rPr>
            </w:pPr>
            <w:r w:rsidRPr="00592ECB">
              <w:rPr>
                <w:lang w:val="en-GB"/>
              </w:rPr>
              <w:t xml:space="preserve">Substantial progress has already been made toward developing and piloting a new methodology known as the Multi-Tier Framework for Measuring Energy Access (World Bank) which is able to capture these broader dimensions of service quality and would make it possible to go beyond a simple yes/no measure of energy access to a more refined approach that recognizes different levels of energy access, and also takes into account the affordability and reliability of energy access explicitly referenced in the language of SDG7. The methodology for the Multi-Tier Framework for Measuring Energy </w:t>
            </w:r>
            <w:r w:rsidRPr="00592ECB">
              <w:rPr>
                <w:lang w:val="en-GB"/>
              </w:rPr>
              <w:lastRenderedPageBreak/>
              <w:t>Access has already been published based on a broad consultative exercise and represents a consensus view across numerous international agencies working in the field. A first Global Energy Access Survey using this methodology has already been launched and is underway expecting to yield results by early 2017. Discussions are also progressing with the World Bank’s Household Survey Technical Working Group regarding the mainstreaming of this methodology into the standardized household questionnaire design that will be applied every three years in all low income countries between 2015 and 2030 as part of the broader SDG monitoring exercise.</w:t>
            </w:r>
          </w:p>
          <w:p w14:paraId="3DFE26B4" w14:textId="77777777" w:rsidR="00E45009" w:rsidRPr="00592ECB" w:rsidRDefault="00E45009" w:rsidP="0025292C">
            <w:pPr>
              <w:pStyle w:val="NoSpacing"/>
              <w:jc w:val="both"/>
              <w:rPr>
                <w:lang w:val="en-GB"/>
              </w:rPr>
            </w:pPr>
          </w:p>
          <w:p w14:paraId="5A1FA8F2" w14:textId="77777777" w:rsidR="00E45009" w:rsidRPr="00592ECB" w:rsidRDefault="00E45009" w:rsidP="0025292C">
            <w:pPr>
              <w:pStyle w:val="NoSpacing"/>
              <w:jc w:val="both"/>
              <w:rPr>
                <w:lang w:val="en-GB"/>
              </w:rPr>
            </w:pPr>
            <w:r w:rsidRPr="00592ECB">
              <w:rPr>
                <w:lang w:val="en-GB"/>
              </w:rPr>
              <w:t>The adoption of this methodology will allow – over time – the more refined measurement of energy access, making it possible to report more disaggregated information regarding the type of electricity supply (grid or off-grid), the capacity of electricity supply provided (in Watts), the duration of service (daily hours and evening hours), the reliability of service (in terms of number and length of unplanned service interruptions), the quality of service (in terms of voltage fluctuations), as well as affordability and legality of service.</w:t>
            </w:r>
          </w:p>
          <w:p w14:paraId="0BA138CA" w14:textId="77777777" w:rsidR="00E45009" w:rsidRPr="00592ECB" w:rsidRDefault="00E45009" w:rsidP="0025292C">
            <w:pPr>
              <w:pStyle w:val="NoSpacing"/>
              <w:jc w:val="both"/>
              <w:rPr>
                <w:lang w:val="en-GB"/>
              </w:rPr>
            </w:pPr>
          </w:p>
          <w:p w14:paraId="430C4DF0" w14:textId="77777777" w:rsidR="00E45009" w:rsidRPr="00592ECB" w:rsidRDefault="00E45009" w:rsidP="0025292C">
            <w:pPr>
              <w:pStyle w:val="NoSpacing"/>
              <w:jc w:val="both"/>
              <w:rPr>
                <w:lang w:val="en-GB"/>
              </w:rPr>
            </w:pPr>
            <w:r w:rsidRPr="00592ECB">
              <w:rPr>
                <w:lang w:val="en-GB"/>
              </w:rPr>
              <w:t>Another advantage of this approach is that they can be applied not only to measuring energy access at the household level, but also its availability to support enterprises and deliver critical community services, such as health and education.</w:t>
            </w:r>
          </w:p>
          <w:p w14:paraId="4A16BEA3" w14:textId="77777777" w:rsidR="00E45009" w:rsidRPr="00592ECB" w:rsidRDefault="00E45009" w:rsidP="0025292C">
            <w:pPr>
              <w:pStyle w:val="NoSpacing"/>
              <w:jc w:val="both"/>
              <w:rPr>
                <w:lang w:val="en-GB"/>
              </w:rPr>
            </w:pPr>
          </w:p>
          <w:p w14:paraId="659C53DF" w14:textId="77777777" w:rsidR="00E45009" w:rsidRPr="00592ECB" w:rsidRDefault="00E45009" w:rsidP="0025292C">
            <w:pPr>
              <w:pStyle w:val="NoSpacing"/>
              <w:jc w:val="both"/>
              <w:rPr>
                <w:lang w:val="en-GB"/>
              </w:rPr>
            </w:pPr>
            <w:r w:rsidRPr="00592ECB">
              <w:rPr>
                <w:lang w:val="en-GB"/>
              </w:rPr>
              <w:t>Methodological challenges associated with the measurement of energy access are more fully described the Global Tracking Framework (2013) (Chapter 2, Section 1, page 75-82), and in the ESMAP (2015) Report “Beyond Connections: Energy Access Redefined” both of which are referenced below.</w:t>
            </w:r>
          </w:p>
          <w:p w14:paraId="394A77FD" w14:textId="77777777" w:rsidR="00E45009" w:rsidRPr="00592ECB" w:rsidRDefault="00E45009" w:rsidP="0025292C">
            <w:pPr>
              <w:pStyle w:val="NoSpacing"/>
              <w:jc w:val="both"/>
              <w:rPr>
                <w:b/>
                <w:bCs/>
                <w:lang w:val="en-GB"/>
              </w:rPr>
            </w:pPr>
          </w:p>
          <w:p w14:paraId="78EA06EA" w14:textId="77777777" w:rsidR="00E45009" w:rsidRPr="00592ECB" w:rsidRDefault="00E45009" w:rsidP="0025292C">
            <w:pPr>
              <w:pStyle w:val="NoSpacing"/>
              <w:jc w:val="both"/>
              <w:rPr>
                <w:lang w:val="en-GB"/>
              </w:rPr>
            </w:pPr>
            <w:r w:rsidRPr="00592ECB">
              <w:rPr>
                <w:b/>
                <w:bCs/>
                <w:lang w:val="en-GB"/>
              </w:rPr>
              <w:t>Computation Method:</w:t>
            </w:r>
          </w:p>
          <w:p w14:paraId="45182F53" w14:textId="77777777" w:rsidR="00E45009" w:rsidRPr="00592ECB" w:rsidRDefault="00E45009" w:rsidP="0025292C">
            <w:pPr>
              <w:pStyle w:val="NoSpacing"/>
              <w:jc w:val="both"/>
              <w:rPr>
                <w:lang w:val="en-GB"/>
              </w:rPr>
            </w:pPr>
          </w:p>
          <w:p w14:paraId="4BDC67C8" w14:textId="77777777" w:rsidR="00E45009" w:rsidRPr="00592ECB" w:rsidRDefault="00E45009" w:rsidP="0025292C">
            <w:pPr>
              <w:pStyle w:val="NoSpacing"/>
              <w:jc w:val="both"/>
              <w:rPr>
                <w:lang w:val="en-GB"/>
              </w:rPr>
            </w:pPr>
            <w:r w:rsidRPr="00592ECB">
              <w:rPr>
                <w:lang w:val="en-GB"/>
              </w:rPr>
              <w:t xml:space="preserve">Given the low frequency and the regional distribution of some surveys, a number of countries have gaps in available data. To develop the historical evolution and starting point of electrification rates, a simple modelling approach was adopted to fill in the missing data points - around 1990, 2000, 2010 and 2012. This modelling approach allowed the estimation of electrification rates for 212 </w:t>
            </w:r>
            <w:r w:rsidRPr="00592ECB">
              <w:rPr>
                <w:lang w:val="en-GB"/>
              </w:rPr>
              <w:lastRenderedPageBreak/>
              <w:t>countries over these time periods. The SE4ALL Global Tracking Framework Report (2013) referenced below provides more details on the suggested methodology for tracking access to energy (Chapter 2, Section 1, page 82-87).</w:t>
            </w:r>
          </w:p>
          <w:p w14:paraId="61863B52" w14:textId="77777777" w:rsidR="00E45009" w:rsidRDefault="00E45009" w:rsidP="0025292C">
            <w:pPr>
              <w:pStyle w:val="NoSpacing"/>
              <w:jc w:val="both"/>
            </w:pPr>
          </w:p>
        </w:tc>
        <w:tc>
          <w:tcPr>
            <w:tcW w:w="0" w:type="auto"/>
            <w:shd w:val="clear" w:color="auto" w:fill="auto"/>
          </w:tcPr>
          <w:p w14:paraId="759EA68E" w14:textId="460BD167" w:rsidR="007F72BB" w:rsidRPr="00873FDE" w:rsidRDefault="00E45009" w:rsidP="00E45009">
            <w:r w:rsidRPr="00873FDE">
              <w:lastRenderedPageBreak/>
              <w:t>Household Survey/Census</w:t>
            </w:r>
          </w:p>
        </w:tc>
        <w:tc>
          <w:tcPr>
            <w:tcW w:w="0" w:type="auto"/>
            <w:shd w:val="clear" w:color="auto" w:fill="auto"/>
          </w:tcPr>
          <w:p w14:paraId="626899C2" w14:textId="77777777" w:rsidR="00E45009" w:rsidRPr="00873FDE" w:rsidRDefault="00E45009" w:rsidP="00E45009">
            <w:r w:rsidRPr="00873FDE">
              <w:t>National Statistical Offices</w:t>
            </w:r>
          </w:p>
        </w:tc>
        <w:tc>
          <w:tcPr>
            <w:tcW w:w="0" w:type="auto"/>
            <w:shd w:val="clear" w:color="auto" w:fill="auto"/>
          </w:tcPr>
          <w:p w14:paraId="61DF9133" w14:textId="77777777" w:rsidR="00E45009" w:rsidRDefault="00E45009" w:rsidP="00E45009">
            <w:pPr>
              <w:pStyle w:val="NoSpacing"/>
            </w:pPr>
            <w:r w:rsidRPr="00BC6F10">
              <w:t>BBS</w:t>
            </w:r>
          </w:p>
          <w:p w14:paraId="58D236AE" w14:textId="77777777" w:rsidR="00E45009" w:rsidRDefault="00E45009" w:rsidP="00E45009">
            <w:pPr>
              <w:pStyle w:val="NoSpacing"/>
            </w:pPr>
          </w:p>
          <w:p w14:paraId="1388934C" w14:textId="51152506" w:rsidR="00E45009" w:rsidRDefault="00E45009" w:rsidP="00E45009">
            <w:pPr>
              <w:pStyle w:val="NoSpacing"/>
              <w:rPr>
                <w:color w:val="0070C0"/>
                <w:sz w:val="30"/>
                <w:szCs w:val="30"/>
              </w:rPr>
            </w:pPr>
            <w:r w:rsidRPr="00BC6F10">
              <w:rPr>
                <w:rFonts w:eastAsia="Times New Roman" w:cs="Times New Roman"/>
                <w:color w:val="000000" w:themeColor="text1"/>
                <w:szCs w:val="20"/>
              </w:rPr>
              <w:t>SVRS</w:t>
            </w:r>
          </w:p>
        </w:tc>
        <w:tc>
          <w:tcPr>
            <w:tcW w:w="0" w:type="auto"/>
            <w:shd w:val="clear" w:color="auto" w:fill="auto"/>
          </w:tcPr>
          <w:p w14:paraId="7987752A" w14:textId="77777777" w:rsidR="00E45009" w:rsidRDefault="00E45009" w:rsidP="00E45009">
            <w:pPr>
              <w:pStyle w:val="NoSpacing"/>
            </w:pPr>
            <w:r w:rsidRPr="00BC6F10">
              <w:t>BBS</w:t>
            </w:r>
          </w:p>
          <w:p w14:paraId="5CA6D30D" w14:textId="77777777" w:rsidR="00E45009" w:rsidRDefault="00E45009" w:rsidP="00E45009">
            <w:pPr>
              <w:pStyle w:val="NoSpacing"/>
            </w:pPr>
          </w:p>
          <w:p w14:paraId="06FB913D" w14:textId="77777777" w:rsidR="00E45009" w:rsidRDefault="00E45009" w:rsidP="00E45009">
            <w:pPr>
              <w:pStyle w:val="NoSpacing"/>
              <w:rPr>
                <w:color w:val="0070C0"/>
                <w:sz w:val="30"/>
                <w:szCs w:val="30"/>
              </w:rPr>
            </w:pPr>
            <w:r w:rsidRPr="00BC6F10">
              <w:rPr>
                <w:rFonts w:eastAsia="Times New Roman" w:cs="Times New Roman"/>
                <w:color w:val="000000" w:themeColor="text1"/>
                <w:szCs w:val="20"/>
              </w:rPr>
              <w:t>SVRS</w:t>
            </w:r>
            <w:r>
              <w:rPr>
                <w:rFonts w:eastAsia="Times New Roman" w:cs="Times New Roman"/>
                <w:color w:val="000000" w:themeColor="text1"/>
                <w:szCs w:val="20"/>
              </w:rPr>
              <w:t>/PHC/MICS</w:t>
            </w:r>
          </w:p>
        </w:tc>
        <w:tc>
          <w:tcPr>
            <w:tcW w:w="0" w:type="auto"/>
            <w:shd w:val="clear" w:color="auto" w:fill="auto"/>
          </w:tcPr>
          <w:p w14:paraId="7BFF79C5" w14:textId="77777777" w:rsidR="00E45009" w:rsidRPr="00A84745" w:rsidRDefault="00E45009" w:rsidP="00E45009">
            <w:pPr>
              <w:pStyle w:val="NoSpacing"/>
              <w:numPr>
                <w:ilvl w:val="0"/>
                <w:numId w:val="50"/>
              </w:numPr>
            </w:pPr>
            <w:r w:rsidRPr="00ED194D">
              <w:t>geographical location: urban/ rural</w:t>
            </w:r>
          </w:p>
        </w:tc>
        <w:tc>
          <w:tcPr>
            <w:tcW w:w="0" w:type="auto"/>
            <w:shd w:val="clear" w:color="auto" w:fill="auto"/>
          </w:tcPr>
          <w:p w14:paraId="12EF65A4" w14:textId="77777777" w:rsidR="00E45009" w:rsidRDefault="00E45009" w:rsidP="00E45009">
            <w:pPr>
              <w:ind w:left="970" w:hanging="970"/>
              <w:jc w:val="both"/>
              <w:rPr>
                <w:color w:val="0070C0"/>
                <w:sz w:val="30"/>
                <w:szCs w:val="30"/>
              </w:rPr>
            </w:pPr>
            <w:r w:rsidRPr="00BC6F10">
              <w:t>Annual</w:t>
            </w:r>
          </w:p>
        </w:tc>
        <w:tc>
          <w:tcPr>
            <w:tcW w:w="0" w:type="auto"/>
            <w:shd w:val="clear" w:color="auto" w:fill="auto"/>
          </w:tcPr>
          <w:p w14:paraId="051B0DC9" w14:textId="77777777" w:rsidR="00E45009" w:rsidRDefault="00E45009" w:rsidP="00E45009">
            <w:pPr>
              <w:pStyle w:val="NoSpacing"/>
            </w:pPr>
            <w:r>
              <w:t>Group 1</w:t>
            </w:r>
          </w:p>
        </w:tc>
        <w:tc>
          <w:tcPr>
            <w:tcW w:w="0" w:type="auto"/>
            <w:shd w:val="clear" w:color="auto" w:fill="auto"/>
          </w:tcPr>
          <w:p w14:paraId="79EC9D40" w14:textId="77777777" w:rsidR="00E45009" w:rsidRDefault="00E45009" w:rsidP="00E45009">
            <w:pPr>
              <w:pStyle w:val="NoSpacing"/>
            </w:pPr>
            <w:r>
              <w:t>1</w:t>
            </w:r>
            <w:r w:rsidRPr="00013ACB">
              <w:rPr>
                <w:vertAlign w:val="superscript"/>
              </w:rPr>
              <w:t>st</w:t>
            </w:r>
            <w:r>
              <w:t xml:space="preserve"> Round: </w:t>
            </w:r>
          </w:p>
          <w:p w14:paraId="05599A2A" w14:textId="77777777" w:rsidR="00E45009" w:rsidRDefault="00E45009" w:rsidP="00E45009">
            <w:pPr>
              <w:pStyle w:val="NoSpacing"/>
            </w:pPr>
            <w:r>
              <w:t>2015</w:t>
            </w:r>
          </w:p>
          <w:p w14:paraId="597BDEC0" w14:textId="77777777" w:rsidR="00E45009" w:rsidRDefault="00E45009" w:rsidP="00E45009">
            <w:pPr>
              <w:pStyle w:val="NoSpacing"/>
            </w:pPr>
            <w:r>
              <w:t>2</w:t>
            </w:r>
            <w:r w:rsidRPr="00013ACB">
              <w:rPr>
                <w:vertAlign w:val="superscript"/>
              </w:rPr>
              <w:t>nd</w:t>
            </w:r>
            <w:r>
              <w:t xml:space="preserve"> Round: </w:t>
            </w:r>
          </w:p>
          <w:p w14:paraId="001D4D03" w14:textId="77777777" w:rsidR="00E45009" w:rsidRDefault="00E45009" w:rsidP="00E45009">
            <w:pPr>
              <w:pStyle w:val="NoSpacing"/>
            </w:pPr>
            <w:r w:rsidRPr="00BC6F10">
              <w:t>July</w:t>
            </w:r>
            <w:r>
              <w:t xml:space="preserve"> </w:t>
            </w:r>
            <w:r w:rsidRPr="00BC6F10">
              <w:t>2019</w:t>
            </w:r>
          </w:p>
          <w:p w14:paraId="7F2016B8" w14:textId="77777777" w:rsidR="00E45009" w:rsidRDefault="00E45009" w:rsidP="00E45009">
            <w:pPr>
              <w:pStyle w:val="NoSpacing"/>
            </w:pPr>
          </w:p>
          <w:p w14:paraId="0D149E9D" w14:textId="77777777" w:rsidR="00E45009" w:rsidRDefault="00E45009" w:rsidP="00E45009">
            <w:pPr>
              <w:pStyle w:val="NoSpacing"/>
            </w:pPr>
            <w:r>
              <w:t>3</w:t>
            </w:r>
            <w:r w:rsidRPr="00013ACB">
              <w:rPr>
                <w:vertAlign w:val="superscript"/>
              </w:rPr>
              <w:t>rd</w:t>
            </w:r>
            <w:r>
              <w:t xml:space="preserve"> Round: </w:t>
            </w:r>
          </w:p>
          <w:p w14:paraId="6B15A202" w14:textId="77777777" w:rsidR="00E45009" w:rsidRDefault="00E45009" w:rsidP="00E45009">
            <w:pPr>
              <w:pStyle w:val="NoSpacing"/>
            </w:pPr>
            <w:r w:rsidRPr="00BC6F10">
              <w:t>July</w:t>
            </w:r>
            <w:r>
              <w:t xml:space="preserve"> 2020</w:t>
            </w:r>
          </w:p>
          <w:p w14:paraId="37F510AD" w14:textId="77777777" w:rsidR="00E45009" w:rsidRDefault="00E45009" w:rsidP="00E45009">
            <w:pPr>
              <w:pStyle w:val="NoSpacing"/>
            </w:pPr>
          </w:p>
          <w:p w14:paraId="4F8D90B1" w14:textId="77777777" w:rsidR="00E45009" w:rsidRDefault="00E45009" w:rsidP="00E45009">
            <w:pPr>
              <w:pStyle w:val="NoSpacing"/>
            </w:pPr>
            <w:r>
              <w:t>4</w:t>
            </w:r>
            <w:r w:rsidRPr="00013ACB">
              <w:rPr>
                <w:vertAlign w:val="superscript"/>
              </w:rPr>
              <w:t>th</w:t>
            </w:r>
            <w:r>
              <w:t xml:space="preserve"> Round: </w:t>
            </w:r>
          </w:p>
          <w:p w14:paraId="04F4B9F6" w14:textId="77777777" w:rsidR="00E45009" w:rsidRDefault="00E45009" w:rsidP="00E45009">
            <w:pPr>
              <w:pStyle w:val="NoSpacing"/>
            </w:pPr>
            <w:r w:rsidRPr="00BC6F10">
              <w:t>July</w:t>
            </w:r>
            <w:r>
              <w:t xml:space="preserve"> 2021</w:t>
            </w:r>
          </w:p>
          <w:p w14:paraId="3B8EB5CF" w14:textId="77777777" w:rsidR="00E45009" w:rsidRDefault="00E45009" w:rsidP="00E45009">
            <w:pPr>
              <w:pStyle w:val="NoSpacing"/>
            </w:pPr>
          </w:p>
          <w:p w14:paraId="6CE19CD0" w14:textId="77777777" w:rsidR="00E45009" w:rsidRDefault="00E45009" w:rsidP="00E45009">
            <w:pPr>
              <w:pStyle w:val="NoSpacing"/>
            </w:pPr>
            <w:r>
              <w:t>5</w:t>
            </w:r>
            <w:r w:rsidRPr="00013ACB">
              <w:rPr>
                <w:vertAlign w:val="superscript"/>
              </w:rPr>
              <w:t>th</w:t>
            </w:r>
            <w:r>
              <w:t xml:space="preserve"> Round: </w:t>
            </w:r>
          </w:p>
          <w:p w14:paraId="2649D6DE" w14:textId="77777777" w:rsidR="00E45009" w:rsidRDefault="00E45009" w:rsidP="00E45009">
            <w:pPr>
              <w:pStyle w:val="NoSpacing"/>
            </w:pPr>
            <w:r w:rsidRPr="00BC6F10">
              <w:t>July</w:t>
            </w:r>
            <w:r>
              <w:t xml:space="preserve"> 2022</w:t>
            </w:r>
          </w:p>
          <w:p w14:paraId="79C4CD80" w14:textId="132EAF34" w:rsidR="00E45009" w:rsidRPr="00BC6F10" w:rsidRDefault="00E45009" w:rsidP="00E45009">
            <w:pPr>
              <w:pStyle w:val="NoSpacing"/>
            </w:pPr>
          </w:p>
        </w:tc>
        <w:tc>
          <w:tcPr>
            <w:tcW w:w="0" w:type="auto"/>
            <w:shd w:val="clear" w:color="auto" w:fill="auto"/>
          </w:tcPr>
          <w:p w14:paraId="0E0C92F3" w14:textId="77777777" w:rsidR="00E45009" w:rsidRDefault="00E45009" w:rsidP="00E45009">
            <w:pPr>
              <w:ind w:left="970" w:hanging="970"/>
              <w:jc w:val="both"/>
              <w:rPr>
                <w:color w:val="0070C0"/>
                <w:sz w:val="30"/>
                <w:szCs w:val="30"/>
              </w:rPr>
            </w:pPr>
          </w:p>
        </w:tc>
      </w:tr>
      <w:tr w:rsidR="00E45009" w14:paraId="038E7D78" w14:textId="77777777" w:rsidTr="0025292C">
        <w:tc>
          <w:tcPr>
            <w:tcW w:w="0" w:type="auto"/>
            <w:shd w:val="clear" w:color="auto" w:fill="auto"/>
          </w:tcPr>
          <w:p w14:paraId="06B5493C" w14:textId="77777777" w:rsidR="00E45009" w:rsidRPr="008A7088" w:rsidRDefault="00E45009" w:rsidP="00E45009">
            <w:pPr>
              <w:pStyle w:val="NoSpacing"/>
            </w:pPr>
            <w:r w:rsidRPr="008A7088">
              <w:lastRenderedPageBreak/>
              <w:t>7.1.2 Proportion of population with primary reliance on clean fuels and technology</w:t>
            </w:r>
            <w:r>
              <w:t xml:space="preserve"> </w:t>
            </w:r>
          </w:p>
        </w:tc>
        <w:tc>
          <w:tcPr>
            <w:tcW w:w="0" w:type="auto"/>
            <w:shd w:val="clear" w:color="auto" w:fill="auto"/>
          </w:tcPr>
          <w:p w14:paraId="73C72DBA" w14:textId="77777777" w:rsidR="00E45009" w:rsidRDefault="00E45009" w:rsidP="00E45009">
            <w:pPr>
              <w:pStyle w:val="NoSpacing"/>
            </w:pPr>
            <w:r w:rsidRPr="00FC10F1">
              <w:t>WHO</w:t>
            </w:r>
          </w:p>
          <w:p w14:paraId="3B323BD8" w14:textId="77777777" w:rsidR="00E45009" w:rsidRDefault="00E45009" w:rsidP="00E45009">
            <w:pPr>
              <w:rPr>
                <w:b/>
                <w:bCs/>
                <w:szCs w:val="20"/>
              </w:rPr>
            </w:pPr>
            <w:r w:rsidRPr="007243FC">
              <w:rPr>
                <w:b/>
                <w:bCs/>
                <w:szCs w:val="20"/>
              </w:rPr>
              <w:t>Partner Agencies:</w:t>
            </w:r>
          </w:p>
          <w:p w14:paraId="112EB04D" w14:textId="77777777" w:rsidR="00E45009" w:rsidRDefault="00E45009" w:rsidP="00E45009">
            <w:pPr>
              <w:rPr>
                <w:b/>
                <w:bCs/>
                <w:szCs w:val="20"/>
              </w:rPr>
            </w:pPr>
            <w:r w:rsidRPr="00FC10F1">
              <w:rPr>
                <w:b/>
                <w:bCs/>
                <w:szCs w:val="20"/>
              </w:rPr>
              <w:t>UN-Energy</w:t>
            </w:r>
          </w:p>
          <w:p w14:paraId="472E43DA" w14:textId="77777777" w:rsidR="00E45009" w:rsidRDefault="00E45009" w:rsidP="00E45009">
            <w:pPr>
              <w:ind w:left="970" w:hanging="970"/>
              <w:jc w:val="both"/>
              <w:rPr>
                <w:color w:val="0070C0"/>
                <w:sz w:val="30"/>
                <w:szCs w:val="30"/>
              </w:rPr>
            </w:pPr>
          </w:p>
        </w:tc>
        <w:tc>
          <w:tcPr>
            <w:tcW w:w="0" w:type="auto"/>
            <w:shd w:val="clear" w:color="auto" w:fill="auto"/>
          </w:tcPr>
          <w:p w14:paraId="54EDDFC8" w14:textId="77777777" w:rsidR="00E45009" w:rsidRDefault="00E45009" w:rsidP="00E45009">
            <w:pPr>
              <w:pStyle w:val="NoSpacing"/>
            </w:pPr>
            <w:r w:rsidRPr="00666486">
              <w:t>Tier I</w:t>
            </w:r>
          </w:p>
        </w:tc>
        <w:tc>
          <w:tcPr>
            <w:tcW w:w="0" w:type="auto"/>
            <w:shd w:val="clear" w:color="auto" w:fill="auto"/>
          </w:tcPr>
          <w:p w14:paraId="44AED07A" w14:textId="77777777" w:rsidR="00E45009" w:rsidRPr="00592ECB" w:rsidRDefault="00E45009" w:rsidP="0025292C">
            <w:pPr>
              <w:pStyle w:val="NoSpacing"/>
              <w:jc w:val="both"/>
              <w:rPr>
                <w:b/>
                <w:bCs/>
                <w:lang w:val="en-GB"/>
              </w:rPr>
            </w:pPr>
            <w:r w:rsidRPr="00592ECB">
              <w:rPr>
                <w:b/>
                <w:bCs/>
                <w:lang w:val="en-GB"/>
              </w:rPr>
              <w:t>Definition:</w:t>
            </w:r>
          </w:p>
          <w:p w14:paraId="0180A37A" w14:textId="77777777" w:rsidR="00E45009" w:rsidRPr="00592ECB" w:rsidRDefault="00E45009" w:rsidP="0025292C">
            <w:pPr>
              <w:pStyle w:val="NoSpacing"/>
              <w:jc w:val="both"/>
              <w:rPr>
                <w:lang w:val="en-GB"/>
              </w:rPr>
            </w:pPr>
          </w:p>
          <w:p w14:paraId="3F0C39EA" w14:textId="77777777" w:rsidR="00E45009" w:rsidRPr="00592ECB" w:rsidRDefault="00E45009" w:rsidP="0025292C">
            <w:pPr>
              <w:pStyle w:val="NoSpacing"/>
              <w:jc w:val="both"/>
              <w:rPr>
                <w:lang w:val="en-GB"/>
              </w:rPr>
            </w:pPr>
            <w:r w:rsidRPr="00592ECB">
              <w:rPr>
                <w:lang w:val="en-GB"/>
              </w:rPr>
              <w:t>Proportion of population with primary reliance on clean fuels and technology is calculated as the number of people using clean fuels and technologies for cooking, heating and lighting divided by total population reporting that any cooking, heating or lighting, expressed as percentage.</w:t>
            </w:r>
            <w:r w:rsidRPr="00592ECB" w:rsidDel="000E5928">
              <w:rPr>
                <w:lang w:val="en-GB"/>
              </w:rPr>
              <w:t xml:space="preserve"> </w:t>
            </w:r>
            <w:r w:rsidRPr="00592ECB">
              <w:rPr>
                <w:lang w:val="en-GB"/>
              </w:rPr>
              <w:t>“Clean” is defined by the emission rate targets and specific fuel recommendations (i.e. against unprocessed coal and kerosene) included in the normative guidance WHO guidelines for indoor air quality: household fuel combustion.</w:t>
            </w:r>
          </w:p>
          <w:p w14:paraId="5316A17F" w14:textId="77777777" w:rsidR="00E45009" w:rsidRPr="00592ECB" w:rsidRDefault="00E45009" w:rsidP="0025292C">
            <w:pPr>
              <w:pStyle w:val="NoSpacing"/>
              <w:jc w:val="both"/>
              <w:rPr>
                <w:lang w:val="en-GB"/>
              </w:rPr>
            </w:pPr>
          </w:p>
          <w:p w14:paraId="263E6220" w14:textId="77777777" w:rsidR="00E45009" w:rsidRPr="00592ECB" w:rsidRDefault="00E45009" w:rsidP="0025292C">
            <w:pPr>
              <w:pStyle w:val="NoSpacing"/>
              <w:jc w:val="both"/>
              <w:rPr>
                <w:lang w:val="en-GB"/>
              </w:rPr>
            </w:pPr>
            <w:r w:rsidRPr="00592ECB">
              <w:rPr>
                <w:b/>
                <w:bCs/>
                <w:lang w:val="en-GB"/>
              </w:rPr>
              <w:t>Concepts:</w:t>
            </w:r>
          </w:p>
          <w:p w14:paraId="42472910" w14:textId="77777777" w:rsidR="00E45009" w:rsidRPr="00592ECB" w:rsidRDefault="00E45009" w:rsidP="0025292C">
            <w:pPr>
              <w:pStyle w:val="NoSpacing"/>
              <w:jc w:val="both"/>
              <w:rPr>
                <w:lang w:val="en-GB"/>
              </w:rPr>
            </w:pPr>
          </w:p>
          <w:p w14:paraId="3EFF1092" w14:textId="77777777" w:rsidR="00E45009" w:rsidRPr="00592ECB" w:rsidRDefault="00E45009" w:rsidP="0025292C">
            <w:pPr>
              <w:pStyle w:val="NoSpacing"/>
              <w:jc w:val="both"/>
              <w:rPr>
                <w:lang w:val="en-GB"/>
              </w:rPr>
            </w:pPr>
            <w:r w:rsidRPr="00592ECB">
              <w:rPr>
                <w:lang w:val="en-GB"/>
              </w:rPr>
              <w:t>Current global data collection focuses on the primary fuel used for cooking, categorized as solid or non-solid fuels, where solid fuels are considered polluting and non-modern, while non-solid fuels are considered clean. This single measure captures a good part of the lack of access to clean cooking fuels, but fails to collect data on type of device or technology is used for cooking, and also fails to capture other polluting forms of energy use in the home such as those used for lighting and heating.</w:t>
            </w:r>
          </w:p>
          <w:p w14:paraId="5A2B8EFF" w14:textId="77777777" w:rsidR="00E45009" w:rsidRPr="00592ECB" w:rsidRDefault="00E45009" w:rsidP="0025292C">
            <w:pPr>
              <w:pStyle w:val="NoSpacing"/>
              <w:jc w:val="both"/>
              <w:rPr>
                <w:lang w:val="en-GB"/>
              </w:rPr>
            </w:pPr>
          </w:p>
          <w:p w14:paraId="5419C44C" w14:textId="77777777" w:rsidR="00E45009" w:rsidRPr="00592ECB" w:rsidRDefault="00E45009" w:rsidP="0025292C">
            <w:pPr>
              <w:pStyle w:val="NoSpacing"/>
              <w:jc w:val="both"/>
              <w:rPr>
                <w:lang w:val="en-GB"/>
              </w:rPr>
            </w:pPr>
            <w:r w:rsidRPr="00592ECB">
              <w:rPr>
                <w:lang w:val="en-GB"/>
              </w:rPr>
              <w:t xml:space="preserve">New evidence-based normative guidance from the WHO (i.e. WHO Guidelines for indoor air quality guidelines: household fuel combustion), highlights the importance of addressing both fuel and the technology for adequately protecting public health. These guidelines provide technical recommendations in the form of emissions targets for as to what fuels and technology (stove, lamp, and so on) combinations in the home are clean. These guidelines also recommend against the use of unprocessed coal and discourage the use kerosene (a non-solid but highly polluting fuel) in the home. They also recommend that all major household energy end uses (e.g. cooking, space heating, lighting) use efficient fuels and technology </w:t>
            </w:r>
            <w:r w:rsidRPr="00592ECB">
              <w:rPr>
                <w:lang w:val="en-GB"/>
              </w:rPr>
              <w:lastRenderedPageBreak/>
              <w:t>combinations to ensure health benefits.</w:t>
            </w:r>
          </w:p>
          <w:p w14:paraId="7B8C7484" w14:textId="77777777" w:rsidR="00E45009" w:rsidRPr="00592ECB" w:rsidRDefault="00E45009" w:rsidP="0025292C">
            <w:pPr>
              <w:pStyle w:val="NoSpacing"/>
              <w:jc w:val="both"/>
              <w:rPr>
                <w:lang w:val="en-GB"/>
              </w:rPr>
            </w:pPr>
          </w:p>
          <w:p w14:paraId="565EF525" w14:textId="77777777" w:rsidR="00E45009" w:rsidRPr="00592ECB" w:rsidRDefault="00E45009" w:rsidP="0025292C">
            <w:pPr>
              <w:pStyle w:val="NoSpacing"/>
              <w:jc w:val="both"/>
              <w:rPr>
                <w:lang w:val="en-GB"/>
              </w:rPr>
            </w:pPr>
            <w:r w:rsidRPr="00592ECB">
              <w:rPr>
                <w:lang w:val="en-GB"/>
              </w:rPr>
              <w:t>For this reason, the technical recommendations in the WHO guidelines, access to modern cooking solution in the home will be defined as “access to clean fuels and technologies” rather than “access to non-solid fuels.” This shift will help ensure that health and other “nexus” benefits are better counted, and thus realized.</w:t>
            </w:r>
          </w:p>
          <w:p w14:paraId="13EF7CC3" w14:textId="77777777" w:rsidR="00E45009" w:rsidRPr="00592ECB" w:rsidRDefault="00E45009" w:rsidP="0025292C">
            <w:pPr>
              <w:pStyle w:val="NoSpacing"/>
              <w:jc w:val="both"/>
              <w:rPr>
                <w:lang w:val="en-GB"/>
              </w:rPr>
            </w:pPr>
          </w:p>
          <w:p w14:paraId="65920307" w14:textId="77777777" w:rsidR="00E45009" w:rsidRPr="00592ECB" w:rsidRDefault="00E45009" w:rsidP="0025292C">
            <w:pPr>
              <w:pStyle w:val="NoSpacing"/>
              <w:jc w:val="both"/>
              <w:rPr>
                <w:lang w:val="en-GB"/>
              </w:rPr>
            </w:pPr>
            <w:r w:rsidRPr="00592ECB">
              <w:rPr>
                <w:b/>
                <w:bCs/>
                <w:lang w:val="en-GB"/>
              </w:rPr>
              <w:t>Comments and limitations:</w:t>
            </w:r>
          </w:p>
          <w:p w14:paraId="2D8B1A9B" w14:textId="77777777" w:rsidR="00E45009" w:rsidRPr="00592ECB" w:rsidRDefault="00E45009" w:rsidP="0025292C">
            <w:pPr>
              <w:pStyle w:val="NoSpacing"/>
              <w:jc w:val="both"/>
              <w:rPr>
                <w:lang w:val="en-GB"/>
              </w:rPr>
            </w:pPr>
          </w:p>
          <w:p w14:paraId="4C8877D6" w14:textId="77777777" w:rsidR="00E45009" w:rsidRPr="00592ECB" w:rsidRDefault="00E45009" w:rsidP="0025292C">
            <w:pPr>
              <w:pStyle w:val="NoSpacing"/>
              <w:jc w:val="both"/>
              <w:rPr>
                <w:lang w:val="en-GB"/>
              </w:rPr>
            </w:pPr>
            <w:r w:rsidRPr="00592ECB">
              <w:rPr>
                <w:lang w:val="en-GB"/>
              </w:rPr>
              <w:t>The indicator uses the type of primary fuels and technologies used for cooking, heating, and lighting as a practical surrogate for estimating human exposure to household (indoor) air pollution and its related disease burden, as it is not currently possible to obtain nationally representative samples of indoor concentrations of criteria pollutants, such as fine particulate matter and carbon monoxide. However epidemiological studies provide a science-based evidence for establishing those estimates using these surrogates.</w:t>
            </w:r>
          </w:p>
          <w:p w14:paraId="2A6A2A2E" w14:textId="77777777" w:rsidR="00E45009" w:rsidRPr="00592ECB" w:rsidRDefault="00E45009" w:rsidP="0025292C">
            <w:pPr>
              <w:pStyle w:val="NoSpacing"/>
              <w:jc w:val="both"/>
              <w:rPr>
                <w:lang w:val="en-GB"/>
              </w:rPr>
            </w:pPr>
            <w:r w:rsidRPr="00592ECB">
              <w:rPr>
                <w:lang w:val="en-GB"/>
              </w:rPr>
              <w:t>The indicator is based on the main type of fuel and technology used for cooking as cooking occupies the largest share of overall household energy needs. However, many households use more than one type of fuel and stove for cooking and, depending on climatic and geographical conditions, heating with polluting fuels can also be a contributor to household (indoor) air pollution levels. In addition, lighting with kerosene, a very polluting and hazardous fuel is also often used, and in some countries is the main fuel used for cooking.</w:t>
            </w:r>
          </w:p>
          <w:p w14:paraId="45E0ED98" w14:textId="77777777" w:rsidR="00E45009" w:rsidRPr="00592ECB" w:rsidRDefault="00E45009" w:rsidP="0025292C">
            <w:pPr>
              <w:pStyle w:val="NoSpacing"/>
              <w:jc w:val="both"/>
              <w:rPr>
                <w:lang w:val="en-GB"/>
              </w:rPr>
            </w:pPr>
          </w:p>
          <w:p w14:paraId="6107B39D" w14:textId="77777777" w:rsidR="00E45009" w:rsidRPr="00592ECB" w:rsidRDefault="00E45009" w:rsidP="0025292C">
            <w:pPr>
              <w:pStyle w:val="NoSpacing"/>
              <w:jc w:val="both"/>
              <w:rPr>
                <w:lang w:val="en-GB"/>
              </w:rPr>
            </w:pPr>
            <w:r w:rsidRPr="00592ECB">
              <w:rPr>
                <w:lang w:val="en-GB"/>
              </w:rPr>
              <w:t xml:space="preserve">While the existing global household survey evidence base provides a good starting point for tracking household energy access for cooking fuel, it also presents a number of limitations that will need to be addressed over time. Currently there is a limited amount of available data capturing the type of fuel and devices used in the home for heating and lighting. Accordingly WHO in cooperation with World Bank, and the Global Alliance for Clean Cook stoves, is leading a survey enhancement process with representatives from country statistical offices and national household surveying agencies (e.g. Demographic and Health Survey, Multiple Indicator Cluster Survey, Living Standards Measurement Survey) to better gather efficiently and harmoniously information on the fuels and technologies for </w:t>
            </w:r>
            <w:r w:rsidRPr="00592ECB">
              <w:rPr>
                <w:lang w:val="en-GB"/>
              </w:rPr>
              <w:lastRenderedPageBreak/>
              <w:t>cooking, heating and lighting. This process is currently in the piloting phase with expected rollout of the final household surveys questions (~6 questions in total) expected in the coming year. These few questions will replace and slightly expand the current set of questions commonly used on national multipurpose surveys to assess household energy.</w:t>
            </w:r>
          </w:p>
          <w:p w14:paraId="7F826E3D" w14:textId="77777777" w:rsidR="00E45009" w:rsidRPr="00592ECB" w:rsidRDefault="00E45009" w:rsidP="0025292C">
            <w:pPr>
              <w:pStyle w:val="NoSpacing"/>
              <w:jc w:val="both"/>
              <w:rPr>
                <w:lang w:val="en-GB"/>
              </w:rPr>
            </w:pPr>
          </w:p>
          <w:p w14:paraId="49CC230E" w14:textId="77777777" w:rsidR="00E45009" w:rsidRPr="00592ECB" w:rsidRDefault="00E45009" w:rsidP="0025292C">
            <w:pPr>
              <w:pStyle w:val="NoSpacing"/>
              <w:jc w:val="both"/>
              <w:rPr>
                <w:lang w:val="en-GB"/>
              </w:rPr>
            </w:pPr>
            <w:r w:rsidRPr="00592ECB">
              <w:rPr>
                <w:lang w:val="en-GB"/>
              </w:rPr>
              <w:t>Substantial progress has already been made toward developing and piloting a new methodology known as the Multi-Tier Framework for Measuring Energy Access (World Bank) which is able to capture the affordability and reliability of energy access explicitly referenced in the language of SDG7 and harnesses the normative guidance in the WHO guidelines to benchmark tiers of energy access. The methodology for the Multi-Tier Framework for Measuring Energy Access has already been published based on a broad consultative exercise and represents a consensus view across numerous international agencies working in the field. A first Global Energy Access Survey using this methodology has already been launched and is underway expecting to yield results by early 2017.</w:t>
            </w:r>
          </w:p>
          <w:p w14:paraId="3769A488" w14:textId="77777777" w:rsidR="00E45009" w:rsidRPr="00592ECB" w:rsidRDefault="00E45009" w:rsidP="0025292C">
            <w:pPr>
              <w:pStyle w:val="NoSpacing"/>
              <w:jc w:val="both"/>
              <w:rPr>
                <w:b/>
                <w:bCs/>
                <w:lang w:val="en-GB"/>
              </w:rPr>
            </w:pPr>
          </w:p>
          <w:p w14:paraId="6AD9C414" w14:textId="77777777" w:rsidR="00E45009" w:rsidRPr="00592ECB" w:rsidRDefault="00E45009" w:rsidP="0025292C">
            <w:pPr>
              <w:pStyle w:val="NoSpacing"/>
              <w:jc w:val="both"/>
              <w:rPr>
                <w:lang w:val="en-GB"/>
              </w:rPr>
            </w:pPr>
            <w:r w:rsidRPr="00592ECB">
              <w:rPr>
                <w:b/>
                <w:bCs/>
                <w:lang w:val="en-GB"/>
              </w:rPr>
              <w:t>Computation Method:</w:t>
            </w:r>
          </w:p>
          <w:p w14:paraId="3F4428D4" w14:textId="77777777" w:rsidR="00E45009" w:rsidRPr="00592ECB" w:rsidRDefault="00E45009" w:rsidP="0025292C">
            <w:pPr>
              <w:pStyle w:val="NoSpacing"/>
              <w:jc w:val="both"/>
              <w:rPr>
                <w:lang w:val="en-GB"/>
              </w:rPr>
            </w:pPr>
          </w:p>
          <w:p w14:paraId="34DF26B5" w14:textId="77777777" w:rsidR="00E45009" w:rsidRPr="00592ECB" w:rsidRDefault="00E45009" w:rsidP="0025292C">
            <w:pPr>
              <w:pStyle w:val="NoSpacing"/>
              <w:jc w:val="both"/>
              <w:rPr>
                <w:lang w:val="en-GB"/>
              </w:rPr>
            </w:pPr>
            <w:r w:rsidRPr="00592ECB">
              <w:rPr>
                <w:lang w:val="en-GB"/>
              </w:rPr>
              <w:t xml:space="preserve">The indicator is modelled with household survey data compiled by </w:t>
            </w:r>
            <w:proofErr w:type="gramStart"/>
            <w:r w:rsidRPr="00592ECB">
              <w:rPr>
                <w:lang w:val="en-GB"/>
              </w:rPr>
              <w:t>WHO</w:t>
            </w:r>
            <w:proofErr w:type="gramEnd"/>
            <w:r w:rsidRPr="00592ECB">
              <w:rPr>
                <w:lang w:val="en-GB"/>
              </w:rPr>
              <w:t>. The information on cooking fuel use and cooking practices comes from about 800 nationally representative survey and censuses. Survey sources include Demographic and Health Surveys (DHS) and Living Standards Measurement Surveys (LSMS), Multi-Indicator Cluster Surveys (MICS), the World Health Survey (WHS), and other nationally developed and implemented surveys.</w:t>
            </w:r>
          </w:p>
          <w:p w14:paraId="6FDCB17D" w14:textId="77777777" w:rsidR="00E45009" w:rsidRPr="00592ECB" w:rsidRDefault="00E45009" w:rsidP="0025292C">
            <w:pPr>
              <w:pStyle w:val="NoSpacing"/>
              <w:jc w:val="both"/>
              <w:rPr>
                <w:lang w:val="en-GB"/>
              </w:rPr>
            </w:pPr>
          </w:p>
          <w:p w14:paraId="0091EA0C" w14:textId="77777777" w:rsidR="00E45009" w:rsidRPr="00592ECB" w:rsidRDefault="00E45009" w:rsidP="0025292C">
            <w:pPr>
              <w:pStyle w:val="NoSpacing"/>
              <w:jc w:val="both"/>
              <w:rPr>
                <w:lang w:val="en-GB"/>
              </w:rPr>
            </w:pPr>
            <w:r w:rsidRPr="00592ECB">
              <w:rPr>
                <w:lang w:val="en-GB"/>
              </w:rPr>
              <w:t xml:space="preserve">Estimates of primary cooking energy for the total, urban and rural population for a given year are obtained separately using a multilevel model. The model only accounts for regions, countries and time as a spline </w:t>
            </w:r>
            <w:proofErr w:type="gramStart"/>
            <w:r w:rsidRPr="00592ECB">
              <w:rPr>
                <w:lang w:val="en-GB"/>
              </w:rPr>
              <w:t>function,</w:t>
            </w:r>
            <w:proofErr w:type="gramEnd"/>
            <w:r w:rsidRPr="00592ECB">
              <w:rPr>
                <w:lang w:val="en-GB"/>
              </w:rPr>
              <w:t xml:space="preserve"> and estimates are restricted to values ranging from zero to one. More details on the model are published elsewhere (Bonjour et al, 2013).</w:t>
            </w:r>
          </w:p>
          <w:p w14:paraId="78CC758B" w14:textId="77777777" w:rsidR="00E45009" w:rsidRPr="00592ECB" w:rsidRDefault="00E45009" w:rsidP="0025292C">
            <w:pPr>
              <w:pStyle w:val="NoSpacing"/>
              <w:jc w:val="both"/>
              <w:rPr>
                <w:lang w:val="en-GB"/>
              </w:rPr>
            </w:pPr>
          </w:p>
          <w:p w14:paraId="56C655A0" w14:textId="77777777" w:rsidR="00E45009" w:rsidRPr="00592ECB" w:rsidRDefault="00E45009" w:rsidP="0025292C">
            <w:pPr>
              <w:pStyle w:val="NoSpacing"/>
              <w:jc w:val="both"/>
              <w:rPr>
                <w:lang w:val="en-GB"/>
              </w:rPr>
            </w:pPr>
            <w:r w:rsidRPr="00592ECB">
              <w:rPr>
                <w:lang w:val="en-GB"/>
              </w:rPr>
              <w:t>Estimates for countries with no available surveys were obtained as follows:</w:t>
            </w:r>
          </w:p>
          <w:p w14:paraId="11CFB15F" w14:textId="77777777" w:rsidR="00E45009" w:rsidRPr="00592ECB" w:rsidRDefault="00E45009" w:rsidP="0025292C">
            <w:pPr>
              <w:pStyle w:val="NoSpacing"/>
              <w:jc w:val="both"/>
              <w:rPr>
                <w:lang w:val="en-GB"/>
              </w:rPr>
            </w:pPr>
          </w:p>
          <w:p w14:paraId="67D43F9C" w14:textId="77777777" w:rsidR="00E45009" w:rsidRPr="00592ECB" w:rsidRDefault="00E45009" w:rsidP="0025292C">
            <w:pPr>
              <w:pStyle w:val="NoSpacing"/>
              <w:jc w:val="both"/>
              <w:rPr>
                <w:lang w:val="en-GB"/>
              </w:rPr>
            </w:pPr>
            <w:r w:rsidRPr="00592ECB">
              <w:rPr>
                <w:lang w:val="en-GB"/>
              </w:rPr>
              <w:t>When survey data is available for a country, the regional population- weighted mean is used to derive aggregate estimates at a regional or global level, however no country point estimate is given for that country is reported</w:t>
            </w:r>
          </w:p>
          <w:p w14:paraId="5499230E" w14:textId="77777777" w:rsidR="00E45009" w:rsidRPr="00592ECB" w:rsidRDefault="00E45009" w:rsidP="0025292C">
            <w:pPr>
              <w:pStyle w:val="NoSpacing"/>
              <w:jc w:val="both"/>
              <w:rPr>
                <w:lang w:val="en-GB"/>
              </w:rPr>
            </w:pPr>
          </w:p>
          <w:p w14:paraId="11E2B2B2" w14:textId="77777777" w:rsidR="00E45009" w:rsidRPr="00592ECB" w:rsidRDefault="00E45009" w:rsidP="0025292C">
            <w:pPr>
              <w:pStyle w:val="NoSpacing"/>
              <w:jc w:val="both"/>
              <w:rPr>
                <w:lang w:val="en-GB"/>
              </w:rPr>
            </w:pPr>
            <w:r w:rsidRPr="00592ECB">
              <w:rPr>
                <w:lang w:val="en-GB"/>
              </w:rPr>
              <w:t>Countries classified as high-income with a Gross National Income (GNI) of more than US$ 12,746</w:t>
            </w:r>
            <w:proofErr w:type="gramStart"/>
            <w:r w:rsidRPr="00592ECB">
              <w:rPr>
                <w:lang w:val="en-GB"/>
              </w:rPr>
              <w:t>.-</w:t>
            </w:r>
            <w:proofErr w:type="gramEnd"/>
            <w:r w:rsidRPr="00592ECB">
              <w:rPr>
                <w:lang w:val="en-GB"/>
              </w:rPr>
              <w:t xml:space="preserve"> per capita are assumed to have made a complete transition to using clean fuels and technologies as the primary domestic energy source for cooking and the primary reliance on polluting (unclean) fuels and technologies use is reported to be less than 5% and assumed as zero for regional and global estimates.</w:t>
            </w:r>
          </w:p>
          <w:p w14:paraId="40EE0BA3" w14:textId="77777777" w:rsidR="00E45009" w:rsidRPr="00592ECB" w:rsidRDefault="00E45009" w:rsidP="0025292C">
            <w:pPr>
              <w:pStyle w:val="NoSpacing"/>
              <w:jc w:val="both"/>
              <w:rPr>
                <w:lang w:val="en-GB"/>
              </w:rPr>
            </w:pPr>
          </w:p>
          <w:p w14:paraId="0741562B" w14:textId="77777777" w:rsidR="00E45009" w:rsidRPr="00592ECB" w:rsidRDefault="00E45009" w:rsidP="0025292C">
            <w:pPr>
              <w:pStyle w:val="NoSpacing"/>
              <w:jc w:val="both"/>
              <w:rPr>
                <w:lang w:val="en-GB"/>
              </w:rPr>
            </w:pPr>
            <w:r w:rsidRPr="00592ECB">
              <w:rPr>
                <w:lang w:val="en-GB"/>
              </w:rPr>
              <w:t>For estimating the fraction of the population relying on clean fuels and technologies for heating and lighting, the same methodology using survey data to derive country estimates for a particular year will be used using the same above mentioned assumptions.</w:t>
            </w:r>
          </w:p>
          <w:p w14:paraId="70935CF3" w14:textId="77777777" w:rsidR="00E45009" w:rsidRDefault="00E45009" w:rsidP="0025292C">
            <w:pPr>
              <w:pStyle w:val="NoSpacing"/>
              <w:jc w:val="both"/>
            </w:pPr>
          </w:p>
        </w:tc>
        <w:tc>
          <w:tcPr>
            <w:tcW w:w="0" w:type="auto"/>
            <w:shd w:val="clear" w:color="auto" w:fill="auto"/>
          </w:tcPr>
          <w:p w14:paraId="6061D25B" w14:textId="77777777" w:rsidR="00E45009" w:rsidRPr="00873FDE" w:rsidRDefault="00E45009" w:rsidP="00E45009">
            <w:r w:rsidRPr="00873FDE">
              <w:lastRenderedPageBreak/>
              <w:t>Household Survey/Census</w:t>
            </w:r>
          </w:p>
        </w:tc>
        <w:tc>
          <w:tcPr>
            <w:tcW w:w="0" w:type="auto"/>
            <w:shd w:val="clear" w:color="auto" w:fill="auto"/>
          </w:tcPr>
          <w:p w14:paraId="23CFE578" w14:textId="77777777" w:rsidR="00E45009" w:rsidRPr="00873FDE" w:rsidRDefault="00E45009" w:rsidP="00E45009">
            <w:r w:rsidRPr="00873FDE">
              <w:t>National Statistical Offices</w:t>
            </w:r>
          </w:p>
        </w:tc>
        <w:tc>
          <w:tcPr>
            <w:tcW w:w="0" w:type="auto"/>
            <w:shd w:val="clear" w:color="auto" w:fill="auto"/>
          </w:tcPr>
          <w:p w14:paraId="79A30275" w14:textId="77777777" w:rsidR="00E45009" w:rsidRDefault="00E45009" w:rsidP="00E45009">
            <w:pPr>
              <w:pStyle w:val="NoSpacing"/>
            </w:pPr>
            <w:r w:rsidRPr="00604C21">
              <w:t>BBS</w:t>
            </w:r>
          </w:p>
          <w:p w14:paraId="7DA248D9" w14:textId="01041A49" w:rsidR="00E45009" w:rsidRDefault="00E45009" w:rsidP="00E45009">
            <w:pPr>
              <w:pStyle w:val="NoSpacing"/>
              <w:rPr>
                <w:color w:val="0070C0"/>
                <w:sz w:val="30"/>
                <w:szCs w:val="30"/>
              </w:rPr>
            </w:pPr>
            <w:r w:rsidRPr="00BC6F10">
              <w:rPr>
                <w:rFonts w:eastAsia="Times New Roman" w:cs="Times New Roman"/>
                <w:color w:val="000000" w:themeColor="text1"/>
                <w:szCs w:val="20"/>
              </w:rPr>
              <w:t>SVRS</w:t>
            </w:r>
          </w:p>
        </w:tc>
        <w:tc>
          <w:tcPr>
            <w:tcW w:w="0" w:type="auto"/>
            <w:shd w:val="clear" w:color="auto" w:fill="auto"/>
          </w:tcPr>
          <w:p w14:paraId="55D1A0E5" w14:textId="77777777" w:rsidR="00E45009" w:rsidRDefault="00E45009" w:rsidP="00E45009">
            <w:pPr>
              <w:pStyle w:val="NoSpacing"/>
            </w:pPr>
            <w:r w:rsidRPr="00604C21">
              <w:t>BBS</w:t>
            </w:r>
          </w:p>
          <w:p w14:paraId="661658F7" w14:textId="77777777" w:rsidR="00E45009" w:rsidRDefault="00E45009" w:rsidP="00E45009">
            <w:pPr>
              <w:pStyle w:val="NoSpacing"/>
              <w:rPr>
                <w:color w:val="0070C0"/>
                <w:sz w:val="30"/>
                <w:szCs w:val="30"/>
              </w:rPr>
            </w:pPr>
            <w:r w:rsidRPr="00BC6F10">
              <w:rPr>
                <w:rFonts w:eastAsia="Times New Roman" w:cs="Times New Roman"/>
                <w:color w:val="000000" w:themeColor="text1"/>
                <w:szCs w:val="20"/>
              </w:rPr>
              <w:t>SVRS</w:t>
            </w:r>
            <w:r>
              <w:rPr>
                <w:rFonts w:eastAsia="Times New Roman" w:cs="Times New Roman"/>
                <w:color w:val="000000" w:themeColor="text1"/>
                <w:szCs w:val="20"/>
              </w:rPr>
              <w:t>/PHC/</w:t>
            </w:r>
            <w:r w:rsidRPr="00604C21">
              <w:t xml:space="preserve"> MICS</w:t>
            </w:r>
          </w:p>
        </w:tc>
        <w:tc>
          <w:tcPr>
            <w:tcW w:w="0" w:type="auto"/>
            <w:shd w:val="clear" w:color="auto" w:fill="auto"/>
          </w:tcPr>
          <w:p w14:paraId="025FEB87" w14:textId="77777777" w:rsidR="00E45009" w:rsidRPr="00ED194D" w:rsidRDefault="00E45009" w:rsidP="00E45009">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end-use</w:t>
            </w:r>
          </w:p>
          <w:p w14:paraId="34DB4DD2" w14:textId="77777777" w:rsidR="00E45009" w:rsidRPr="00ED194D" w:rsidRDefault="00E45009" w:rsidP="00E45009">
            <w:pPr>
              <w:pStyle w:val="ListParagraph"/>
              <w:numPr>
                <w:ilvl w:val="0"/>
                <w:numId w:val="48"/>
              </w:numPr>
              <w:spacing w:after="0" w:line="240" w:lineRule="auto"/>
              <w:ind w:left="160" w:hanging="160"/>
              <w:rPr>
                <w:rFonts w:ascii="Tw Cen MT Condensed" w:hAnsi="Tw Cen MT Condensed"/>
              </w:rPr>
            </w:pPr>
            <w:r w:rsidRPr="00ED194D">
              <w:rPr>
                <w:rFonts w:ascii="Tw Cen MT Condensed" w:hAnsi="Tw Cen MT Condensed"/>
              </w:rPr>
              <w:t>geographical location: urban/ rural</w:t>
            </w:r>
          </w:p>
          <w:p w14:paraId="5C453879" w14:textId="77777777" w:rsidR="00E45009" w:rsidRDefault="00E45009" w:rsidP="00E45009">
            <w:pPr>
              <w:pStyle w:val="ListParagraph"/>
              <w:numPr>
                <w:ilvl w:val="0"/>
                <w:numId w:val="48"/>
              </w:numPr>
              <w:spacing w:after="0" w:line="240" w:lineRule="auto"/>
              <w:ind w:left="160" w:hanging="160"/>
              <w:rPr>
                <w:rFonts w:ascii="Tw Cen MT Condensed" w:hAnsi="Tw Cen MT Condensed"/>
              </w:rPr>
            </w:pPr>
            <w:r w:rsidRPr="00ED194D">
              <w:rPr>
                <w:rFonts w:ascii="Tw Cen MT Condensed" w:hAnsi="Tw Cen MT Condensed"/>
              </w:rPr>
              <w:t xml:space="preserve">sex: </w:t>
            </w:r>
            <w:r>
              <w:rPr>
                <w:rFonts w:ascii="Tw Cen MT Condensed" w:hAnsi="Tw Cen MT Condensed"/>
              </w:rPr>
              <w:t>male/female</w:t>
            </w:r>
          </w:p>
          <w:p w14:paraId="669459DD" w14:textId="77777777" w:rsidR="00E45009" w:rsidRPr="00A84745" w:rsidRDefault="00E45009" w:rsidP="00E45009">
            <w:pPr>
              <w:pStyle w:val="ListParagraph"/>
              <w:numPr>
                <w:ilvl w:val="0"/>
                <w:numId w:val="48"/>
              </w:numPr>
              <w:spacing w:after="0" w:line="240" w:lineRule="auto"/>
              <w:ind w:left="160" w:hanging="160"/>
              <w:rPr>
                <w:rFonts w:ascii="Tw Cen MT Condensed" w:hAnsi="Tw Cen MT Condensed"/>
              </w:rPr>
            </w:pPr>
            <w:r>
              <w:rPr>
                <w:rFonts w:ascii="Tw Cen MT Condensed" w:hAnsi="Tw Cen MT Condensed"/>
              </w:rPr>
              <w:t xml:space="preserve">gender head of household: </w:t>
            </w:r>
            <w:r w:rsidRPr="00E84604">
              <w:rPr>
                <w:rFonts w:ascii="Tw Cen MT Condensed" w:hAnsi="Tw Cen MT Condensed"/>
              </w:rPr>
              <w:t>Male, Female, Transgender</w:t>
            </w:r>
          </w:p>
        </w:tc>
        <w:tc>
          <w:tcPr>
            <w:tcW w:w="0" w:type="auto"/>
            <w:shd w:val="clear" w:color="auto" w:fill="auto"/>
          </w:tcPr>
          <w:p w14:paraId="6448604E" w14:textId="77777777" w:rsidR="00E45009" w:rsidRDefault="00E45009" w:rsidP="00E45009">
            <w:pPr>
              <w:ind w:left="970" w:hanging="970"/>
              <w:jc w:val="both"/>
              <w:rPr>
                <w:color w:val="0070C0"/>
                <w:sz w:val="30"/>
                <w:szCs w:val="30"/>
              </w:rPr>
            </w:pPr>
            <w:r w:rsidRPr="00604C21">
              <w:rPr>
                <w:szCs w:val="22"/>
              </w:rPr>
              <w:t>Triennial</w:t>
            </w:r>
          </w:p>
        </w:tc>
        <w:tc>
          <w:tcPr>
            <w:tcW w:w="0" w:type="auto"/>
            <w:shd w:val="clear" w:color="auto" w:fill="auto"/>
          </w:tcPr>
          <w:p w14:paraId="47A37530" w14:textId="77777777" w:rsidR="00E45009" w:rsidRDefault="00E45009" w:rsidP="00E45009">
            <w:pPr>
              <w:ind w:left="970" w:hanging="970"/>
              <w:jc w:val="both"/>
              <w:rPr>
                <w:color w:val="0070C0"/>
                <w:sz w:val="30"/>
                <w:szCs w:val="30"/>
              </w:rPr>
            </w:pPr>
            <w:r>
              <w:t>Group 1</w:t>
            </w:r>
          </w:p>
        </w:tc>
        <w:tc>
          <w:tcPr>
            <w:tcW w:w="0" w:type="auto"/>
            <w:shd w:val="clear" w:color="auto" w:fill="auto"/>
          </w:tcPr>
          <w:p w14:paraId="64D39F02" w14:textId="77777777" w:rsidR="00E45009" w:rsidRDefault="00E45009" w:rsidP="00E45009">
            <w:pPr>
              <w:pStyle w:val="NoSpacing"/>
            </w:pPr>
            <w:r>
              <w:t>1</w:t>
            </w:r>
            <w:r w:rsidRPr="00013ACB">
              <w:rPr>
                <w:vertAlign w:val="superscript"/>
              </w:rPr>
              <w:t>st</w:t>
            </w:r>
            <w:r>
              <w:t xml:space="preserve"> Round: </w:t>
            </w:r>
          </w:p>
          <w:p w14:paraId="2587F123" w14:textId="77777777" w:rsidR="00E45009" w:rsidRDefault="00E45009" w:rsidP="00E45009">
            <w:pPr>
              <w:pStyle w:val="NoSpacing"/>
            </w:pPr>
            <w:r>
              <w:t>2015</w:t>
            </w:r>
          </w:p>
          <w:p w14:paraId="6B3A8449" w14:textId="77777777" w:rsidR="00E45009" w:rsidRDefault="00E45009" w:rsidP="00E45009">
            <w:pPr>
              <w:pStyle w:val="NoSpacing"/>
            </w:pPr>
            <w:r>
              <w:t>2</w:t>
            </w:r>
            <w:r w:rsidRPr="00013ACB">
              <w:rPr>
                <w:vertAlign w:val="superscript"/>
              </w:rPr>
              <w:t>nd</w:t>
            </w:r>
            <w:r>
              <w:t xml:space="preserve"> Round: </w:t>
            </w:r>
          </w:p>
          <w:p w14:paraId="3EF1C3AE" w14:textId="77777777" w:rsidR="00E45009" w:rsidRDefault="00E45009" w:rsidP="00E45009">
            <w:pPr>
              <w:pStyle w:val="NoSpacing"/>
            </w:pPr>
            <w:r w:rsidRPr="00BC6F10">
              <w:t>Dec</w:t>
            </w:r>
            <w:r>
              <w:t>ember 20</w:t>
            </w:r>
            <w:r w:rsidRPr="00BC6F10">
              <w:t>19</w:t>
            </w:r>
          </w:p>
          <w:p w14:paraId="5BECB80F" w14:textId="77777777" w:rsidR="00E45009" w:rsidRDefault="00E45009" w:rsidP="00E45009">
            <w:pPr>
              <w:pStyle w:val="NoSpacing"/>
            </w:pPr>
          </w:p>
          <w:p w14:paraId="235E0D17" w14:textId="77777777" w:rsidR="00E45009" w:rsidRDefault="00E45009" w:rsidP="00E45009">
            <w:pPr>
              <w:pStyle w:val="NoSpacing"/>
            </w:pPr>
            <w:r>
              <w:t>3</w:t>
            </w:r>
            <w:r w:rsidRPr="00013ACB">
              <w:rPr>
                <w:vertAlign w:val="superscript"/>
              </w:rPr>
              <w:t>rd</w:t>
            </w:r>
            <w:r>
              <w:t xml:space="preserve"> Round: </w:t>
            </w:r>
          </w:p>
          <w:p w14:paraId="6A28E593" w14:textId="77777777" w:rsidR="00E45009" w:rsidRDefault="00E45009" w:rsidP="00E45009">
            <w:pPr>
              <w:pStyle w:val="NoSpacing"/>
            </w:pPr>
            <w:r w:rsidRPr="00BC6F10">
              <w:t>Dec</w:t>
            </w:r>
            <w:r>
              <w:t>ember 2022</w:t>
            </w:r>
          </w:p>
          <w:p w14:paraId="3DFC1769" w14:textId="77777777" w:rsidR="00E45009" w:rsidRDefault="00E45009" w:rsidP="00E45009">
            <w:pPr>
              <w:pStyle w:val="NoSpacing"/>
            </w:pPr>
          </w:p>
          <w:p w14:paraId="0B1AFD46" w14:textId="77777777" w:rsidR="00E45009" w:rsidRDefault="00E45009" w:rsidP="00E45009">
            <w:pPr>
              <w:pStyle w:val="NoSpacing"/>
            </w:pPr>
            <w:r>
              <w:t>4</w:t>
            </w:r>
            <w:r w:rsidRPr="00013ACB">
              <w:rPr>
                <w:vertAlign w:val="superscript"/>
              </w:rPr>
              <w:t>th</w:t>
            </w:r>
            <w:r>
              <w:t xml:space="preserve"> Round: </w:t>
            </w:r>
          </w:p>
          <w:p w14:paraId="25733003" w14:textId="77777777" w:rsidR="00E45009" w:rsidRDefault="00E45009" w:rsidP="00E45009">
            <w:pPr>
              <w:pStyle w:val="NoSpacing"/>
            </w:pPr>
            <w:r w:rsidRPr="00BC6F10">
              <w:t>Dec</w:t>
            </w:r>
            <w:r>
              <w:t>ember 2025</w:t>
            </w:r>
          </w:p>
          <w:p w14:paraId="4F05A4CD" w14:textId="77777777" w:rsidR="00E45009" w:rsidRDefault="00E45009" w:rsidP="00E45009">
            <w:pPr>
              <w:pStyle w:val="NoSpacing"/>
            </w:pPr>
          </w:p>
          <w:p w14:paraId="269031C7" w14:textId="77777777" w:rsidR="00E45009" w:rsidRDefault="00E45009" w:rsidP="00E45009">
            <w:pPr>
              <w:pStyle w:val="NoSpacing"/>
            </w:pPr>
            <w:r>
              <w:t>5</w:t>
            </w:r>
            <w:r w:rsidRPr="00013ACB">
              <w:rPr>
                <w:vertAlign w:val="superscript"/>
              </w:rPr>
              <w:t>th</w:t>
            </w:r>
            <w:r>
              <w:t xml:space="preserve"> Round: </w:t>
            </w:r>
          </w:p>
          <w:p w14:paraId="04D268F4" w14:textId="77777777" w:rsidR="00E45009" w:rsidRDefault="00E45009" w:rsidP="00E45009">
            <w:pPr>
              <w:pStyle w:val="NoSpacing"/>
            </w:pPr>
            <w:r w:rsidRPr="00BC6F10">
              <w:t>Dec</w:t>
            </w:r>
            <w:r>
              <w:t>ember 2028</w:t>
            </w:r>
          </w:p>
          <w:p w14:paraId="1710FAF6" w14:textId="49C65611" w:rsidR="00E45009" w:rsidRPr="00BC6F10" w:rsidRDefault="00E45009" w:rsidP="00E45009">
            <w:pPr>
              <w:pStyle w:val="NoSpacing"/>
            </w:pPr>
          </w:p>
        </w:tc>
        <w:tc>
          <w:tcPr>
            <w:tcW w:w="0" w:type="auto"/>
            <w:shd w:val="clear" w:color="auto" w:fill="auto"/>
          </w:tcPr>
          <w:p w14:paraId="01786A31" w14:textId="77777777" w:rsidR="00E45009" w:rsidRDefault="00E45009" w:rsidP="00E45009">
            <w:pPr>
              <w:ind w:left="970" w:hanging="970"/>
              <w:jc w:val="both"/>
              <w:rPr>
                <w:color w:val="0070C0"/>
                <w:sz w:val="30"/>
                <w:szCs w:val="30"/>
              </w:rPr>
            </w:pPr>
          </w:p>
        </w:tc>
      </w:tr>
      <w:tr w:rsidR="0025292C" w14:paraId="55AD695D" w14:textId="77777777" w:rsidTr="00D52BCB">
        <w:tc>
          <w:tcPr>
            <w:tcW w:w="0" w:type="auto"/>
            <w:gridSpan w:val="13"/>
            <w:shd w:val="clear" w:color="auto" w:fill="auto"/>
          </w:tcPr>
          <w:p w14:paraId="45FEA930" w14:textId="77777777" w:rsidR="0025292C" w:rsidRDefault="0025292C" w:rsidP="00E45009">
            <w:pPr>
              <w:ind w:left="970" w:hanging="970"/>
              <w:jc w:val="both"/>
              <w:rPr>
                <w:color w:val="0070C0"/>
                <w:sz w:val="30"/>
                <w:szCs w:val="30"/>
              </w:rPr>
            </w:pPr>
            <w:r>
              <w:rPr>
                <w:color w:val="0070C0"/>
                <w:sz w:val="30"/>
                <w:szCs w:val="30"/>
              </w:rPr>
              <w:lastRenderedPageBreak/>
              <w:t>Target</w:t>
            </w:r>
            <w:r w:rsidRPr="0038565A">
              <w:rPr>
                <w:color w:val="0070C0"/>
                <w:sz w:val="30"/>
                <w:szCs w:val="30"/>
              </w:rPr>
              <w:t xml:space="preserve"> 7.2 By 2030, increase substantially the share of renewable energy in the global energy mix</w:t>
            </w:r>
          </w:p>
        </w:tc>
      </w:tr>
      <w:tr w:rsidR="00E45009" w14:paraId="5B8DD4CB" w14:textId="77777777" w:rsidTr="0025292C">
        <w:tc>
          <w:tcPr>
            <w:tcW w:w="0" w:type="auto"/>
            <w:shd w:val="clear" w:color="auto" w:fill="auto"/>
          </w:tcPr>
          <w:p w14:paraId="78AFF969" w14:textId="77777777" w:rsidR="00E45009" w:rsidRPr="008A7088" w:rsidRDefault="00E45009" w:rsidP="00E45009">
            <w:pPr>
              <w:jc w:val="both"/>
              <w:rPr>
                <w:color w:val="0D0D0D" w:themeColor="text1" w:themeTint="F2"/>
                <w:szCs w:val="20"/>
              </w:rPr>
            </w:pPr>
            <w:r w:rsidRPr="008A7088">
              <w:t>7.2.1 Renewable energy share in the total final energy consumption</w:t>
            </w:r>
          </w:p>
        </w:tc>
        <w:tc>
          <w:tcPr>
            <w:tcW w:w="0" w:type="auto"/>
            <w:shd w:val="clear" w:color="auto" w:fill="auto"/>
          </w:tcPr>
          <w:p w14:paraId="12002F2D" w14:textId="77777777" w:rsidR="00E45009" w:rsidRDefault="00E45009" w:rsidP="00E45009">
            <w:pPr>
              <w:pStyle w:val="NoSpacing"/>
            </w:pPr>
            <w:r>
              <w:t>UNSD,</w:t>
            </w:r>
          </w:p>
          <w:p w14:paraId="2C1E98E8" w14:textId="77777777" w:rsidR="00E45009" w:rsidRDefault="00E45009" w:rsidP="00E45009">
            <w:pPr>
              <w:pStyle w:val="NoSpacing"/>
            </w:pPr>
            <w:r>
              <w:t>IEA,</w:t>
            </w:r>
          </w:p>
          <w:p w14:paraId="2CDCC1AB" w14:textId="77777777" w:rsidR="00E45009" w:rsidRDefault="00E45009" w:rsidP="00E45009">
            <w:pPr>
              <w:pStyle w:val="NoSpacing"/>
            </w:pPr>
            <w:r>
              <w:t>IRENA</w:t>
            </w:r>
          </w:p>
          <w:p w14:paraId="2BFE783E" w14:textId="77777777" w:rsidR="00E45009" w:rsidRDefault="00E45009" w:rsidP="00E45009">
            <w:pPr>
              <w:rPr>
                <w:b/>
                <w:bCs/>
                <w:szCs w:val="20"/>
              </w:rPr>
            </w:pPr>
            <w:r w:rsidRPr="007243FC">
              <w:rPr>
                <w:b/>
                <w:bCs/>
                <w:szCs w:val="20"/>
              </w:rPr>
              <w:t>Partner Agencies:</w:t>
            </w:r>
          </w:p>
          <w:p w14:paraId="5C57A210" w14:textId="77777777" w:rsidR="00E45009" w:rsidRDefault="00E45009" w:rsidP="00E45009">
            <w:pPr>
              <w:pStyle w:val="NoSpacing"/>
            </w:pPr>
            <w:r>
              <w:t xml:space="preserve">World Bank, </w:t>
            </w:r>
          </w:p>
          <w:p w14:paraId="28F11ADA" w14:textId="77777777" w:rsidR="00E45009" w:rsidRPr="00FC10F1" w:rsidRDefault="00E45009" w:rsidP="00E45009">
            <w:pPr>
              <w:pStyle w:val="NoSpacing"/>
            </w:pPr>
            <w:r>
              <w:t>UN-Energy</w:t>
            </w:r>
          </w:p>
        </w:tc>
        <w:tc>
          <w:tcPr>
            <w:tcW w:w="0" w:type="auto"/>
            <w:shd w:val="clear" w:color="auto" w:fill="auto"/>
          </w:tcPr>
          <w:p w14:paraId="449FEB45" w14:textId="77777777" w:rsidR="00E45009" w:rsidRDefault="00E45009" w:rsidP="00E45009">
            <w:pPr>
              <w:pStyle w:val="NoSpacing"/>
            </w:pPr>
            <w:r w:rsidRPr="00666486">
              <w:t>Tier I</w:t>
            </w:r>
          </w:p>
        </w:tc>
        <w:tc>
          <w:tcPr>
            <w:tcW w:w="0" w:type="auto"/>
            <w:shd w:val="clear" w:color="auto" w:fill="auto"/>
          </w:tcPr>
          <w:p w14:paraId="46119A3F" w14:textId="77777777" w:rsidR="00E45009" w:rsidRPr="00B505F1" w:rsidRDefault="00E45009" w:rsidP="00E45009">
            <w:pPr>
              <w:pStyle w:val="NoSpacing"/>
              <w:rPr>
                <w:lang w:val="en-GB"/>
              </w:rPr>
            </w:pPr>
            <w:r w:rsidRPr="00B505F1">
              <w:rPr>
                <w:b/>
                <w:bCs/>
                <w:lang w:val="en-GB"/>
              </w:rPr>
              <w:t>Definition:</w:t>
            </w:r>
          </w:p>
          <w:p w14:paraId="2C57371C" w14:textId="77777777" w:rsidR="00E45009" w:rsidRPr="00B505F1" w:rsidRDefault="00E45009" w:rsidP="00E45009">
            <w:pPr>
              <w:pStyle w:val="NoSpacing"/>
              <w:rPr>
                <w:lang w:val="en-GB"/>
              </w:rPr>
            </w:pPr>
          </w:p>
          <w:p w14:paraId="28E9E6F1" w14:textId="77777777" w:rsidR="00E45009" w:rsidRPr="00B505F1" w:rsidRDefault="00E45009" w:rsidP="00E45009">
            <w:pPr>
              <w:pStyle w:val="NoSpacing"/>
              <w:rPr>
                <w:lang w:val="en-GB"/>
              </w:rPr>
            </w:pPr>
            <w:r w:rsidRPr="00B505F1">
              <w:rPr>
                <w:lang w:val="en-GB"/>
              </w:rPr>
              <w:t>The renewable energy share in total final consumption is the percentage of final consumption of energy that is derived from renewable resources.</w:t>
            </w:r>
          </w:p>
          <w:p w14:paraId="304D871D" w14:textId="77777777" w:rsidR="00E45009" w:rsidRPr="00B505F1" w:rsidRDefault="00E45009" w:rsidP="00E45009">
            <w:pPr>
              <w:pStyle w:val="NoSpacing"/>
              <w:rPr>
                <w:b/>
                <w:bCs/>
                <w:lang w:val="en-GB"/>
              </w:rPr>
            </w:pPr>
          </w:p>
          <w:p w14:paraId="29453C07" w14:textId="77777777" w:rsidR="00E45009" w:rsidRPr="00B505F1" w:rsidRDefault="00E45009" w:rsidP="00E45009">
            <w:pPr>
              <w:pStyle w:val="NoSpacing"/>
              <w:rPr>
                <w:lang w:val="en-GB"/>
              </w:rPr>
            </w:pPr>
            <w:r w:rsidRPr="00B505F1">
              <w:rPr>
                <w:b/>
                <w:bCs/>
                <w:lang w:val="en-GB"/>
              </w:rPr>
              <w:t>Concepts:</w:t>
            </w:r>
          </w:p>
          <w:p w14:paraId="601C9FE0" w14:textId="77777777" w:rsidR="00E45009" w:rsidRPr="00B505F1" w:rsidRDefault="00E45009" w:rsidP="0025292C">
            <w:pPr>
              <w:pStyle w:val="NoSpacing"/>
              <w:jc w:val="both"/>
              <w:rPr>
                <w:lang w:val="en-GB"/>
              </w:rPr>
            </w:pPr>
            <w:r w:rsidRPr="00B505F1">
              <w:rPr>
                <w:lang w:val="en-GB"/>
              </w:rPr>
              <w:t xml:space="preserve">Renewable energy consumption includes consumption of energy derived from: hydro, solid biofuels, wind, solar, liquid biofuels, </w:t>
            </w:r>
            <w:proofErr w:type="gramStart"/>
            <w:r w:rsidRPr="00B505F1">
              <w:rPr>
                <w:lang w:val="en-GB"/>
              </w:rPr>
              <w:t>biogas</w:t>
            </w:r>
            <w:proofErr w:type="gramEnd"/>
            <w:r w:rsidRPr="00B505F1">
              <w:rPr>
                <w:lang w:val="en-GB"/>
              </w:rPr>
              <w:t xml:space="preserve">, geothermal, marine and waste. Total final energy consumption is calculated from national balances and statistics as total final consumption minus non-energy use. </w:t>
            </w:r>
          </w:p>
          <w:p w14:paraId="452E2B38" w14:textId="77777777" w:rsidR="00E45009" w:rsidRPr="00B505F1" w:rsidRDefault="00E45009" w:rsidP="0025292C">
            <w:pPr>
              <w:pStyle w:val="NoSpacing"/>
              <w:jc w:val="both"/>
              <w:rPr>
                <w:lang w:val="en-GB"/>
              </w:rPr>
            </w:pPr>
          </w:p>
          <w:p w14:paraId="173CCAD4" w14:textId="77777777" w:rsidR="00E45009" w:rsidRPr="00B505F1" w:rsidRDefault="00E45009" w:rsidP="0025292C">
            <w:pPr>
              <w:pStyle w:val="NoSpacing"/>
              <w:jc w:val="both"/>
              <w:rPr>
                <w:lang w:val="en-GB"/>
              </w:rPr>
            </w:pPr>
            <w:r w:rsidRPr="00B505F1">
              <w:rPr>
                <w:lang w:val="en-GB"/>
              </w:rPr>
              <w:t xml:space="preserve">Comments with regard to specific renewable energy resources: </w:t>
            </w:r>
          </w:p>
          <w:p w14:paraId="123DE56F" w14:textId="77777777" w:rsidR="00E45009" w:rsidRPr="00B505F1" w:rsidRDefault="00E45009" w:rsidP="0025292C">
            <w:pPr>
              <w:pStyle w:val="NoSpacing"/>
              <w:numPr>
                <w:ilvl w:val="0"/>
                <w:numId w:val="61"/>
              </w:numPr>
              <w:jc w:val="both"/>
              <w:rPr>
                <w:lang w:val="en-GB"/>
              </w:rPr>
            </w:pPr>
            <w:r w:rsidRPr="00B505F1">
              <w:rPr>
                <w:lang w:val="en-GB"/>
              </w:rPr>
              <w:t xml:space="preserve">Solar energy consumption includes solar PV and solar thermal </w:t>
            </w:r>
          </w:p>
          <w:p w14:paraId="6B979290" w14:textId="77777777" w:rsidR="00E45009" w:rsidRPr="00B505F1" w:rsidRDefault="00E45009" w:rsidP="0025292C">
            <w:pPr>
              <w:pStyle w:val="NoSpacing"/>
              <w:numPr>
                <w:ilvl w:val="0"/>
                <w:numId w:val="61"/>
              </w:numPr>
              <w:jc w:val="both"/>
              <w:rPr>
                <w:lang w:val="en-GB"/>
              </w:rPr>
            </w:pPr>
            <w:r w:rsidRPr="00B505F1">
              <w:rPr>
                <w:lang w:val="en-GB"/>
              </w:rPr>
              <w:t xml:space="preserve">Liquid biofuel energy consumption includes biogasoline, biodiesels and other liquid biofuels </w:t>
            </w:r>
          </w:p>
          <w:p w14:paraId="30DE83D7" w14:textId="77777777" w:rsidR="00E45009" w:rsidRPr="00B505F1" w:rsidRDefault="00E45009" w:rsidP="0025292C">
            <w:pPr>
              <w:pStyle w:val="NoSpacing"/>
              <w:numPr>
                <w:ilvl w:val="0"/>
                <w:numId w:val="61"/>
              </w:numPr>
              <w:jc w:val="both"/>
              <w:rPr>
                <w:lang w:val="en-GB"/>
              </w:rPr>
            </w:pPr>
            <w:r w:rsidRPr="00B505F1">
              <w:rPr>
                <w:lang w:val="en-GB"/>
              </w:rPr>
              <w:lastRenderedPageBreak/>
              <w:t xml:space="preserve">Solid biofuel consumption includes fuelwood, animal waste, vegetable waste, black liquor, bagasse and charcoal </w:t>
            </w:r>
          </w:p>
          <w:p w14:paraId="6374ADBD" w14:textId="77777777" w:rsidR="00E45009" w:rsidRPr="00B505F1" w:rsidRDefault="00E45009" w:rsidP="0025292C">
            <w:pPr>
              <w:pStyle w:val="NoSpacing"/>
              <w:numPr>
                <w:ilvl w:val="0"/>
                <w:numId w:val="61"/>
              </w:numPr>
              <w:jc w:val="both"/>
              <w:rPr>
                <w:lang w:val="en-GB"/>
              </w:rPr>
            </w:pPr>
            <w:r w:rsidRPr="00B505F1">
              <w:rPr>
                <w:lang w:val="en-GB"/>
              </w:rPr>
              <w:t xml:space="preserve">Waste energy covers energy from renewable municipal waste </w:t>
            </w:r>
          </w:p>
          <w:p w14:paraId="0E3A1550" w14:textId="77777777" w:rsidR="00E45009" w:rsidRPr="00B505F1" w:rsidRDefault="00E45009" w:rsidP="0025292C">
            <w:pPr>
              <w:pStyle w:val="NoSpacing"/>
              <w:jc w:val="both"/>
              <w:rPr>
                <w:lang w:val="en-GB"/>
              </w:rPr>
            </w:pPr>
          </w:p>
          <w:p w14:paraId="655055E2" w14:textId="77777777" w:rsidR="00E45009" w:rsidRPr="00B505F1" w:rsidRDefault="00E45009" w:rsidP="0025292C">
            <w:pPr>
              <w:pStyle w:val="NoSpacing"/>
              <w:jc w:val="both"/>
              <w:rPr>
                <w:lang w:val="en-GB"/>
              </w:rPr>
            </w:pPr>
            <w:r w:rsidRPr="00B505F1">
              <w:rPr>
                <w:b/>
                <w:bCs/>
                <w:lang w:val="en-GB"/>
              </w:rPr>
              <w:t>Comments and limitations:</w:t>
            </w:r>
          </w:p>
          <w:p w14:paraId="55FBA54E" w14:textId="77777777" w:rsidR="00E45009" w:rsidRPr="00B505F1" w:rsidRDefault="00E45009" w:rsidP="0025292C">
            <w:pPr>
              <w:pStyle w:val="NoSpacing"/>
              <w:jc w:val="both"/>
              <w:rPr>
                <w:lang w:val="en-GB"/>
              </w:rPr>
            </w:pPr>
          </w:p>
          <w:p w14:paraId="320171E3" w14:textId="77777777" w:rsidR="00E45009" w:rsidRPr="00B505F1" w:rsidRDefault="00E45009" w:rsidP="0025292C">
            <w:pPr>
              <w:pStyle w:val="NoSpacing"/>
              <w:numPr>
                <w:ilvl w:val="0"/>
                <w:numId w:val="62"/>
              </w:numPr>
              <w:jc w:val="both"/>
              <w:rPr>
                <w:lang w:val="en-GB"/>
              </w:rPr>
            </w:pPr>
            <w:r w:rsidRPr="00B505F1">
              <w:rPr>
                <w:lang w:val="en-GB"/>
              </w:rPr>
              <w:t xml:space="preserve">A limitation with existing renewable energy statistics is that they are not able to distinguish whether renewable energy is being sustainably produced. For example, a substantial share of today’s renewable energy consumption comes from the use of wood and charcoal by households in the developing world, which sometimes may be associated with unsustainable forestry practices. There are efforts underway to improve the ability to measure the sustainability of bio-energy, although this remains a significant challenge. </w:t>
            </w:r>
          </w:p>
          <w:p w14:paraId="7C7ACF0D" w14:textId="77777777" w:rsidR="00E45009" w:rsidRPr="00B505F1" w:rsidRDefault="00E45009" w:rsidP="0025292C">
            <w:pPr>
              <w:pStyle w:val="NoSpacing"/>
              <w:numPr>
                <w:ilvl w:val="0"/>
                <w:numId w:val="62"/>
              </w:numPr>
              <w:jc w:val="both"/>
              <w:rPr>
                <w:lang w:val="en-GB"/>
              </w:rPr>
            </w:pPr>
            <w:r w:rsidRPr="00B505F1">
              <w:rPr>
                <w:lang w:val="en-GB"/>
              </w:rPr>
              <w:t xml:space="preserve">Off-grid renewables data is limited and not sufficiently captured in the energy statistics </w:t>
            </w:r>
          </w:p>
          <w:p w14:paraId="0E6631C4" w14:textId="77777777" w:rsidR="00E45009" w:rsidRPr="00B505F1" w:rsidRDefault="00E45009" w:rsidP="0025292C">
            <w:pPr>
              <w:pStyle w:val="NoSpacing"/>
              <w:numPr>
                <w:ilvl w:val="0"/>
                <w:numId w:val="62"/>
              </w:numPr>
              <w:jc w:val="both"/>
              <w:rPr>
                <w:lang w:val="en-GB"/>
              </w:rPr>
            </w:pPr>
            <w:r w:rsidRPr="00B505F1">
              <w:rPr>
                <w:lang w:val="en-GB"/>
              </w:rPr>
              <w:t xml:space="preserve">The method of allocation of renewable energy consumption from electricity and heat output assumes that the </w:t>
            </w:r>
            <w:proofErr w:type="gramStart"/>
            <w:r w:rsidRPr="00B505F1">
              <w:rPr>
                <w:lang w:val="en-GB"/>
              </w:rPr>
              <w:t>share of transmission and distribution losses are</w:t>
            </w:r>
            <w:proofErr w:type="gramEnd"/>
            <w:r w:rsidRPr="00B505F1">
              <w:rPr>
                <w:lang w:val="en-GB"/>
              </w:rPr>
              <w:t xml:space="preserve"> the same between all technologies. However, this is not always true because renewables are usually located in more remote areas from consumption centers and may incur larger losses. </w:t>
            </w:r>
          </w:p>
          <w:p w14:paraId="018FF26A" w14:textId="6D1F55A6" w:rsidR="00E45009" w:rsidRPr="00B505F1" w:rsidRDefault="00E45009" w:rsidP="0025292C">
            <w:pPr>
              <w:pStyle w:val="NoSpacing"/>
              <w:numPr>
                <w:ilvl w:val="0"/>
                <w:numId w:val="62"/>
              </w:numPr>
              <w:jc w:val="both"/>
              <w:rPr>
                <w:lang w:val="en-GB"/>
              </w:rPr>
            </w:pPr>
            <w:r w:rsidRPr="00B505F1">
              <w:rPr>
                <w:lang w:val="en-GB"/>
              </w:rPr>
              <w:t>Likewise, imports and exports of electricity and heat are assumed to follow the share of renewability of electricity and heat generation, respectively. This is a simplification that in many cases will not affect the indicator too much, but that might do so in some cases, for example, when a country only generates electricity from fossil fuels but imports a great share of the electricity it uses from a neighbo</w:t>
            </w:r>
            <w:r w:rsidR="0025292C">
              <w:rPr>
                <w:lang w:val="en-GB"/>
              </w:rPr>
              <w:t>u</w:t>
            </w:r>
            <w:r w:rsidRPr="00B505F1">
              <w:rPr>
                <w:lang w:val="en-GB"/>
              </w:rPr>
              <w:t xml:space="preserve">ring country’s hydroelectric power plant. </w:t>
            </w:r>
          </w:p>
          <w:p w14:paraId="0A53878E" w14:textId="77777777" w:rsidR="00E45009" w:rsidRPr="00B505F1" w:rsidRDefault="00E45009" w:rsidP="0025292C">
            <w:pPr>
              <w:pStyle w:val="NoSpacing"/>
              <w:numPr>
                <w:ilvl w:val="0"/>
                <w:numId w:val="62"/>
              </w:numPr>
              <w:jc w:val="both"/>
              <w:rPr>
                <w:lang w:val="en-GB"/>
              </w:rPr>
            </w:pPr>
            <w:r w:rsidRPr="00B505F1">
              <w:rPr>
                <w:lang w:val="en-GB"/>
              </w:rPr>
              <w:t xml:space="preserve">Methodological challenges associated with defining and measuring renewable energy are more fully described </w:t>
            </w:r>
            <w:r w:rsidRPr="00B505F1">
              <w:rPr>
                <w:lang w:val="en-GB"/>
              </w:rPr>
              <w:lastRenderedPageBreak/>
              <w:t>the Global Tracking Framework (IEA and World Bank, 2013) Chapter 4, Section 1, page 194-200. Data for traditional use of solid biofuels are generally scares globally, and developing capacity in tracking such energy use, including developing national level surveys, is essential for sound global energy tracking.</w:t>
            </w:r>
          </w:p>
          <w:p w14:paraId="41840B29" w14:textId="77777777" w:rsidR="00E45009" w:rsidRPr="00B505F1" w:rsidRDefault="00E45009" w:rsidP="00E45009">
            <w:pPr>
              <w:pStyle w:val="NoSpacing"/>
              <w:rPr>
                <w:b/>
                <w:bCs/>
                <w:lang w:val="en-GB"/>
              </w:rPr>
            </w:pPr>
          </w:p>
          <w:p w14:paraId="01ACE832" w14:textId="77777777" w:rsidR="00E45009" w:rsidRPr="00B505F1" w:rsidRDefault="00E45009" w:rsidP="00E45009">
            <w:pPr>
              <w:pStyle w:val="NoSpacing"/>
              <w:rPr>
                <w:lang w:val="en-GB"/>
              </w:rPr>
            </w:pPr>
            <w:r w:rsidRPr="00B505F1">
              <w:rPr>
                <w:b/>
                <w:bCs/>
                <w:lang w:val="en-GB"/>
              </w:rPr>
              <w:t>Computation Method:</w:t>
            </w:r>
          </w:p>
          <w:p w14:paraId="61547C1C" w14:textId="77777777" w:rsidR="00E45009" w:rsidRPr="00B505F1" w:rsidRDefault="00E45009" w:rsidP="00E45009">
            <w:pPr>
              <w:pStyle w:val="NoSpacing"/>
              <w:rPr>
                <w:lang w:val="en-GB"/>
              </w:rPr>
            </w:pPr>
          </w:p>
          <w:p w14:paraId="012A35FD" w14:textId="77777777" w:rsidR="00E45009" w:rsidRPr="00B505F1" w:rsidRDefault="00E45009" w:rsidP="00E45009">
            <w:pPr>
              <w:pStyle w:val="NoSpacing"/>
              <w:rPr>
                <w:lang w:val="en-GB"/>
              </w:rPr>
            </w:pPr>
            <w:r w:rsidRPr="00B505F1">
              <w:rPr>
                <w:lang w:val="en-GB"/>
              </w:rPr>
              <w:t xml:space="preserve">This indicator is based on the development of comprehensive energy statistics across supply and demand for all energy sources – statistics used to produce a national energy balance. Internationally agreed methodologies for energy statistics are described in the “International Recommendations on Energy Statistics” (IRES), adopted by the UN Statistical Commission, available at: </w:t>
            </w:r>
            <w:hyperlink r:id="rId80" w:history="1">
              <w:r w:rsidRPr="00B505F1">
                <w:rPr>
                  <w:rStyle w:val="Hyperlink"/>
                  <w:lang w:val="en-GB"/>
                </w:rPr>
                <w:t>https://unstats.un.org/unsd/energy/ires/</w:t>
              </w:r>
            </w:hyperlink>
            <w:r w:rsidRPr="00B505F1">
              <w:rPr>
                <w:lang w:val="en-GB"/>
              </w:rPr>
              <w:t>.</w:t>
            </w:r>
          </w:p>
          <w:p w14:paraId="4B65E009" w14:textId="77777777" w:rsidR="00E45009" w:rsidRPr="00B505F1" w:rsidRDefault="00E45009" w:rsidP="00E45009">
            <w:pPr>
              <w:pStyle w:val="NoSpacing"/>
              <w:rPr>
                <w:lang w:val="en-GB"/>
              </w:rPr>
            </w:pPr>
          </w:p>
          <w:p w14:paraId="1E508ACC" w14:textId="77777777" w:rsidR="00E45009" w:rsidRPr="00B505F1" w:rsidRDefault="00E45009" w:rsidP="0025292C">
            <w:pPr>
              <w:pStyle w:val="NoSpacing"/>
              <w:jc w:val="both"/>
              <w:rPr>
                <w:lang w:val="en-GB"/>
              </w:rPr>
            </w:pPr>
            <w:r w:rsidRPr="00B505F1">
              <w:rPr>
                <w:lang w:val="en-GB"/>
              </w:rPr>
              <w:t xml:space="preserve">Once a national energy balance is developed, the indicator can be calculated by dividing consumption of energy from all renewable sources by total final energy consumption. Renewable energy consumption is derived from three tables of the IEA world energy statistics and balances: total final consumption, electricity output and heat output. All volumes reported in the total final consumption table are taken as reported. Since volumes for electricity and heat in the final consumption table are not broken down by technology, electricity and heat output tables are used instead to break down final consumption of electricity and heat by technology. The allocation by technology is done by deriving the share of technology in electricity and heat output tables and multiplying that share by final energy consumption of electricity and heat, respectively. For instance, if total final consumption table reports 150 TJ for biogas energy, while total final consumption of electricity is 400 TJ and heat 100 TJ, and the share of biogas in total electricity output is 10 percent and 5 percent in heat, the total reported number for biogas consumption will be 195 TJ (150 TJ+400TJ*10%+100TJ*5%). The Global Tracking Framework Report (IEA and World Bank, 2013) provides more details on the suggested methodology for defining and measuring renewable energy (Chapter 4, Section 1, page 201-202). </w:t>
            </w:r>
          </w:p>
          <w:p w14:paraId="12E964AA" w14:textId="77777777" w:rsidR="00E45009" w:rsidRDefault="00E45009" w:rsidP="00E45009">
            <w:pPr>
              <w:pStyle w:val="NoSpacing"/>
            </w:pPr>
          </w:p>
        </w:tc>
        <w:tc>
          <w:tcPr>
            <w:tcW w:w="0" w:type="auto"/>
            <w:shd w:val="clear" w:color="auto" w:fill="auto"/>
          </w:tcPr>
          <w:p w14:paraId="1EC79C36" w14:textId="77777777" w:rsidR="00E45009" w:rsidRPr="00873FDE" w:rsidRDefault="00E45009" w:rsidP="00E45009">
            <w:r w:rsidRPr="00873FDE">
              <w:lastRenderedPageBreak/>
              <w:t>Industry surveys or household surveys</w:t>
            </w:r>
          </w:p>
        </w:tc>
        <w:tc>
          <w:tcPr>
            <w:tcW w:w="0" w:type="auto"/>
            <w:shd w:val="clear" w:color="auto" w:fill="auto"/>
          </w:tcPr>
          <w:p w14:paraId="6AC07DE9" w14:textId="77777777" w:rsidR="00E45009" w:rsidRPr="00873FDE" w:rsidRDefault="00E45009" w:rsidP="00E45009">
            <w:r w:rsidRPr="00873FDE">
              <w:t>National statistical office</w:t>
            </w:r>
          </w:p>
        </w:tc>
        <w:tc>
          <w:tcPr>
            <w:tcW w:w="0" w:type="auto"/>
            <w:shd w:val="clear" w:color="auto" w:fill="auto"/>
          </w:tcPr>
          <w:p w14:paraId="75AB399E" w14:textId="77777777" w:rsidR="00E45009" w:rsidRDefault="00E45009" w:rsidP="00E45009">
            <w:pPr>
              <w:jc w:val="center"/>
              <w:rPr>
                <w:rFonts w:eastAsia="Times New Roman"/>
                <w:color w:val="000000" w:themeColor="text1"/>
                <w:szCs w:val="20"/>
              </w:rPr>
            </w:pPr>
            <w:r w:rsidRPr="00BC6F10">
              <w:rPr>
                <w:rFonts w:eastAsia="Times New Roman" w:cs="Times New Roman"/>
                <w:color w:val="000000" w:themeColor="text1"/>
                <w:szCs w:val="20"/>
              </w:rPr>
              <w:t>SREDA, PD</w:t>
            </w:r>
          </w:p>
          <w:p w14:paraId="44CE6AC5" w14:textId="77777777" w:rsidR="00E45009" w:rsidRPr="00223AB4" w:rsidRDefault="00E45009" w:rsidP="00E45009">
            <w:pPr>
              <w:jc w:val="center"/>
              <w:rPr>
                <w:rFonts w:eastAsia="Times New Roman"/>
                <w:color w:val="000000" w:themeColor="text1"/>
                <w:szCs w:val="20"/>
              </w:rPr>
            </w:pPr>
          </w:p>
          <w:p w14:paraId="3DE2D185" w14:textId="77777777" w:rsidR="00E45009" w:rsidRDefault="00E45009" w:rsidP="00E45009">
            <w:pPr>
              <w:pStyle w:val="NoSpacing"/>
            </w:pPr>
            <w:r>
              <w:rPr>
                <w:rFonts w:eastAsia="Times New Roman" w:cs="Times New Roman"/>
                <w:color w:val="000000" w:themeColor="text1"/>
                <w:szCs w:val="20"/>
              </w:rPr>
              <w:t>Combination of Survey and Administrative Data</w:t>
            </w:r>
          </w:p>
        </w:tc>
        <w:tc>
          <w:tcPr>
            <w:tcW w:w="0" w:type="auto"/>
            <w:shd w:val="clear" w:color="auto" w:fill="auto"/>
          </w:tcPr>
          <w:p w14:paraId="418CBFDF" w14:textId="77777777" w:rsidR="00E45009" w:rsidRDefault="00E45009" w:rsidP="00E45009">
            <w:pPr>
              <w:jc w:val="center"/>
              <w:rPr>
                <w:rFonts w:eastAsia="Times New Roman"/>
                <w:color w:val="000000" w:themeColor="text1"/>
                <w:szCs w:val="20"/>
              </w:rPr>
            </w:pPr>
            <w:r w:rsidRPr="00BC6F10">
              <w:rPr>
                <w:rFonts w:eastAsia="Times New Roman" w:cs="Times New Roman"/>
                <w:color w:val="000000" w:themeColor="text1"/>
                <w:szCs w:val="20"/>
              </w:rPr>
              <w:t>SREDA, PD</w:t>
            </w:r>
          </w:p>
          <w:p w14:paraId="4FA99EB5" w14:textId="77777777" w:rsidR="00E45009" w:rsidRPr="00223AB4" w:rsidRDefault="00E45009" w:rsidP="00E45009">
            <w:pPr>
              <w:jc w:val="center"/>
              <w:rPr>
                <w:rFonts w:eastAsia="Times New Roman"/>
                <w:color w:val="000000" w:themeColor="text1"/>
                <w:szCs w:val="20"/>
              </w:rPr>
            </w:pPr>
          </w:p>
          <w:p w14:paraId="393A77A5" w14:textId="77777777" w:rsidR="00E45009" w:rsidRDefault="00E45009" w:rsidP="00E45009">
            <w:pPr>
              <w:pStyle w:val="NoSpacing"/>
            </w:pPr>
            <w:r>
              <w:rPr>
                <w:rFonts w:eastAsia="Times New Roman" w:cs="Times New Roman"/>
                <w:color w:val="000000" w:themeColor="text1"/>
                <w:szCs w:val="20"/>
              </w:rPr>
              <w:t>Combination of Survey and Administrative Data</w:t>
            </w:r>
          </w:p>
        </w:tc>
        <w:tc>
          <w:tcPr>
            <w:tcW w:w="0" w:type="auto"/>
            <w:shd w:val="clear" w:color="auto" w:fill="auto"/>
          </w:tcPr>
          <w:p w14:paraId="130CD261" w14:textId="77777777" w:rsidR="00E45009" w:rsidRDefault="00E45009" w:rsidP="00E45009">
            <w:pPr>
              <w:pStyle w:val="NoSpacing"/>
              <w:numPr>
                <w:ilvl w:val="0"/>
                <w:numId w:val="50"/>
              </w:numPr>
            </w:pPr>
            <w:r w:rsidRPr="00A46860">
              <w:t>Solar Energy: Grid-Capacity/ Off-Grid Capacity</w:t>
            </w:r>
          </w:p>
          <w:p w14:paraId="6DEF9A1E" w14:textId="77777777" w:rsidR="00E45009" w:rsidRDefault="00E45009" w:rsidP="00E45009">
            <w:pPr>
              <w:pStyle w:val="NoSpacing"/>
              <w:ind w:left="360"/>
            </w:pPr>
          </w:p>
          <w:p w14:paraId="1BF86AA9" w14:textId="77777777" w:rsidR="00E45009" w:rsidRPr="00A46860" w:rsidRDefault="00E45009" w:rsidP="00E45009">
            <w:pPr>
              <w:pStyle w:val="NoSpacing"/>
              <w:numPr>
                <w:ilvl w:val="0"/>
                <w:numId w:val="50"/>
              </w:numPr>
            </w:pPr>
            <w:r w:rsidRPr="00891C3E">
              <w:t>Consumption of Renewable Energy: Resource-Capacity/ End-Use Capacity</w:t>
            </w:r>
          </w:p>
        </w:tc>
        <w:tc>
          <w:tcPr>
            <w:tcW w:w="0" w:type="auto"/>
            <w:shd w:val="clear" w:color="auto" w:fill="auto"/>
          </w:tcPr>
          <w:p w14:paraId="24208F51" w14:textId="77777777" w:rsidR="00E45009" w:rsidRDefault="00E45009" w:rsidP="00E45009">
            <w:pPr>
              <w:ind w:left="970" w:hanging="970"/>
              <w:jc w:val="both"/>
              <w:rPr>
                <w:color w:val="0070C0"/>
                <w:sz w:val="30"/>
                <w:szCs w:val="30"/>
              </w:rPr>
            </w:pPr>
            <w:r w:rsidRPr="00BC6F10">
              <w:t>Annual</w:t>
            </w:r>
          </w:p>
        </w:tc>
        <w:tc>
          <w:tcPr>
            <w:tcW w:w="0" w:type="auto"/>
            <w:shd w:val="clear" w:color="auto" w:fill="auto"/>
          </w:tcPr>
          <w:p w14:paraId="1026D991" w14:textId="77777777" w:rsidR="00E45009" w:rsidRDefault="00E45009" w:rsidP="00E45009">
            <w:pPr>
              <w:ind w:left="970" w:hanging="970"/>
              <w:jc w:val="both"/>
              <w:rPr>
                <w:color w:val="0070C0"/>
                <w:sz w:val="30"/>
                <w:szCs w:val="30"/>
              </w:rPr>
            </w:pPr>
            <w:r>
              <w:t>Group 1</w:t>
            </w:r>
          </w:p>
        </w:tc>
        <w:tc>
          <w:tcPr>
            <w:tcW w:w="0" w:type="auto"/>
            <w:shd w:val="clear" w:color="auto" w:fill="auto"/>
          </w:tcPr>
          <w:p w14:paraId="3D753990" w14:textId="77777777" w:rsidR="00E45009" w:rsidRDefault="00E45009" w:rsidP="00E45009">
            <w:pPr>
              <w:pStyle w:val="NoSpacing"/>
            </w:pPr>
            <w:r>
              <w:t>1</w:t>
            </w:r>
            <w:r w:rsidRPr="00013ACB">
              <w:rPr>
                <w:vertAlign w:val="superscript"/>
              </w:rPr>
              <w:t>st</w:t>
            </w:r>
            <w:r>
              <w:t xml:space="preserve"> Round: </w:t>
            </w:r>
          </w:p>
          <w:p w14:paraId="552E1164" w14:textId="77777777" w:rsidR="00E45009" w:rsidRDefault="00E45009" w:rsidP="00E45009">
            <w:pPr>
              <w:pStyle w:val="NoSpacing"/>
            </w:pPr>
            <w:r>
              <w:t>2015</w:t>
            </w:r>
          </w:p>
          <w:p w14:paraId="635E1F7D" w14:textId="77777777" w:rsidR="00E45009" w:rsidRDefault="00E45009" w:rsidP="00E45009">
            <w:pPr>
              <w:pStyle w:val="NoSpacing"/>
            </w:pPr>
            <w:r>
              <w:t>2</w:t>
            </w:r>
            <w:r w:rsidRPr="00013ACB">
              <w:rPr>
                <w:vertAlign w:val="superscript"/>
              </w:rPr>
              <w:t>nd</w:t>
            </w:r>
            <w:r>
              <w:t xml:space="preserve"> Round: </w:t>
            </w:r>
          </w:p>
          <w:p w14:paraId="2CEAE969" w14:textId="77777777" w:rsidR="00E45009" w:rsidRDefault="00E45009" w:rsidP="00E45009">
            <w:r>
              <w:t>January 20</w:t>
            </w:r>
            <w:r w:rsidRPr="00BC6F10">
              <w:t>19</w:t>
            </w:r>
          </w:p>
          <w:p w14:paraId="4B09234E" w14:textId="77777777" w:rsidR="00E45009" w:rsidRDefault="00E45009" w:rsidP="00E45009">
            <w:pPr>
              <w:pStyle w:val="NoSpacing"/>
            </w:pPr>
            <w:r>
              <w:t>3</w:t>
            </w:r>
            <w:r w:rsidRPr="00013ACB">
              <w:rPr>
                <w:vertAlign w:val="superscript"/>
              </w:rPr>
              <w:t>rd</w:t>
            </w:r>
            <w:r>
              <w:t xml:space="preserve"> Round: </w:t>
            </w:r>
          </w:p>
          <w:p w14:paraId="389C5016" w14:textId="77777777" w:rsidR="00E45009" w:rsidRDefault="00E45009" w:rsidP="00E45009">
            <w:r>
              <w:t>January 2020</w:t>
            </w:r>
          </w:p>
          <w:p w14:paraId="5FB93348" w14:textId="77777777" w:rsidR="00E45009" w:rsidRDefault="00E45009" w:rsidP="00E45009">
            <w:pPr>
              <w:pStyle w:val="NoSpacing"/>
            </w:pPr>
            <w:r>
              <w:t>4</w:t>
            </w:r>
            <w:r w:rsidRPr="00013ACB">
              <w:rPr>
                <w:vertAlign w:val="superscript"/>
              </w:rPr>
              <w:t>th</w:t>
            </w:r>
            <w:r>
              <w:t xml:space="preserve"> Round: </w:t>
            </w:r>
          </w:p>
          <w:p w14:paraId="5EF14272" w14:textId="77777777" w:rsidR="00E45009" w:rsidRDefault="00E45009" w:rsidP="00E45009">
            <w:r>
              <w:t>January 2021</w:t>
            </w:r>
          </w:p>
          <w:p w14:paraId="688F01D4" w14:textId="77777777" w:rsidR="00E45009" w:rsidRDefault="00E45009" w:rsidP="00E45009">
            <w:pPr>
              <w:pStyle w:val="NoSpacing"/>
            </w:pPr>
            <w:r>
              <w:t>5</w:t>
            </w:r>
            <w:r w:rsidRPr="00013ACB">
              <w:rPr>
                <w:vertAlign w:val="superscript"/>
              </w:rPr>
              <w:t>th</w:t>
            </w:r>
            <w:r>
              <w:t xml:space="preserve"> Round: </w:t>
            </w:r>
          </w:p>
          <w:p w14:paraId="514609DE" w14:textId="77777777" w:rsidR="00E45009" w:rsidRDefault="00E45009" w:rsidP="00E45009">
            <w:r>
              <w:t>January 2022</w:t>
            </w:r>
          </w:p>
          <w:p w14:paraId="06F55A0D" w14:textId="3D86A913" w:rsidR="00E45009" w:rsidRPr="00BC6F10" w:rsidRDefault="00E45009" w:rsidP="00E45009">
            <w:pPr>
              <w:jc w:val="center"/>
            </w:pPr>
          </w:p>
        </w:tc>
        <w:tc>
          <w:tcPr>
            <w:tcW w:w="0" w:type="auto"/>
            <w:shd w:val="clear" w:color="auto" w:fill="auto"/>
          </w:tcPr>
          <w:p w14:paraId="0D8C5461" w14:textId="77777777" w:rsidR="00E45009" w:rsidRDefault="00E45009" w:rsidP="00E45009">
            <w:pPr>
              <w:ind w:left="970" w:hanging="970"/>
              <w:jc w:val="both"/>
              <w:rPr>
                <w:color w:val="0070C0"/>
                <w:sz w:val="30"/>
                <w:szCs w:val="30"/>
              </w:rPr>
            </w:pPr>
          </w:p>
        </w:tc>
      </w:tr>
      <w:tr w:rsidR="00E45009" w14:paraId="3D39ED97" w14:textId="77777777" w:rsidTr="0025292C">
        <w:tc>
          <w:tcPr>
            <w:tcW w:w="0" w:type="auto"/>
            <w:shd w:val="clear" w:color="auto" w:fill="auto"/>
          </w:tcPr>
          <w:p w14:paraId="6B295B7E" w14:textId="77777777" w:rsidR="00E45009" w:rsidRPr="008A7088" w:rsidRDefault="00E45009" w:rsidP="00E45009">
            <w:pPr>
              <w:jc w:val="both"/>
            </w:pPr>
          </w:p>
        </w:tc>
        <w:tc>
          <w:tcPr>
            <w:tcW w:w="0" w:type="auto"/>
            <w:gridSpan w:val="12"/>
            <w:shd w:val="clear" w:color="auto" w:fill="auto"/>
          </w:tcPr>
          <w:p w14:paraId="2CA7D242" w14:textId="77777777" w:rsidR="00E45009" w:rsidRDefault="00E45009" w:rsidP="00E45009">
            <w:pPr>
              <w:ind w:left="970" w:hanging="970"/>
              <w:jc w:val="both"/>
              <w:rPr>
                <w:color w:val="0070C0"/>
                <w:sz w:val="30"/>
                <w:szCs w:val="30"/>
              </w:rPr>
            </w:pPr>
            <w:r>
              <w:rPr>
                <w:color w:val="0070C0"/>
                <w:sz w:val="30"/>
                <w:szCs w:val="30"/>
              </w:rPr>
              <w:t xml:space="preserve">Target </w:t>
            </w:r>
            <w:r w:rsidRPr="006429A5">
              <w:rPr>
                <w:color w:val="0070C0"/>
                <w:sz w:val="30"/>
                <w:szCs w:val="30"/>
              </w:rPr>
              <w:t>7.3 By 2030, double the global rate of improvement in energy efficiency</w:t>
            </w:r>
          </w:p>
        </w:tc>
      </w:tr>
      <w:tr w:rsidR="00E45009" w14:paraId="3793E035" w14:textId="77777777" w:rsidTr="0025292C">
        <w:tc>
          <w:tcPr>
            <w:tcW w:w="0" w:type="auto"/>
            <w:shd w:val="clear" w:color="auto" w:fill="auto"/>
          </w:tcPr>
          <w:p w14:paraId="725C9BDC" w14:textId="77777777" w:rsidR="00E45009" w:rsidRDefault="00E45009" w:rsidP="00E45009">
            <w:pPr>
              <w:pStyle w:val="NoSpacing"/>
              <w:rPr>
                <w:color w:val="0070C0"/>
                <w:sz w:val="30"/>
                <w:szCs w:val="30"/>
              </w:rPr>
            </w:pPr>
            <w:r w:rsidRPr="008A7088">
              <w:t>7.3.1 Energy intensity measured in terms of primary energy and GDP</w:t>
            </w:r>
          </w:p>
        </w:tc>
        <w:tc>
          <w:tcPr>
            <w:tcW w:w="0" w:type="auto"/>
            <w:shd w:val="clear" w:color="auto" w:fill="auto"/>
          </w:tcPr>
          <w:p w14:paraId="65D4373D" w14:textId="77777777" w:rsidR="00E45009" w:rsidRPr="004F06F3" w:rsidRDefault="00E45009" w:rsidP="00E45009">
            <w:pPr>
              <w:rPr>
                <w:b/>
                <w:bCs/>
                <w:szCs w:val="20"/>
              </w:rPr>
            </w:pPr>
            <w:r w:rsidRPr="004F06F3">
              <w:rPr>
                <w:b/>
                <w:bCs/>
                <w:szCs w:val="20"/>
              </w:rPr>
              <w:t>UNSD,</w:t>
            </w:r>
          </w:p>
          <w:p w14:paraId="195803CB" w14:textId="77777777" w:rsidR="00E45009" w:rsidRDefault="00E45009" w:rsidP="00E45009">
            <w:pPr>
              <w:rPr>
                <w:b/>
                <w:bCs/>
                <w:szCs w:val="20"/>
              </w:rPr>
            </w:pPr>
            <w:r w:rsidRPr="004F06F3">
              <w:rPr>
                <w:b/>
                <w:bCs/>
                <w:szCs w:val="20"/>
              </w:rPr>
              <w:t>IEA</w:t>
            </w:r>
          </w:p>
          <w:p w14:paraId="6096340C" w14:textId="77777777" w:rsidR="00E45009" w:rsidRDefault="00E45009" w:rsidP="00E45009">
            <w:pPr>
              <w:rPr>
                <w:b/>
                <w:bCs/>
                <w:szCs w:val="20"/>
              </w:rPr>
            </w:pPr>
            <w:r w:rsidRPr="007243FC">
              <w:rPr>
                <w:b/>
                <w:bCs/>
                <w:szCs w:val="20"/>
              </w:rPr>
              <w:t>Partner Agencies:</w:t>
            </w:r>
          </w:p>
          <w:p w14:paraId="7D579E20" w14:textId="77777777" w:rsidR="00E45009" w:rsidRPr="004F06F3" w:rsidRDefault="00E45009" w:rsidP="00E45009">
            <w:pPr>
              <w:jc w:val="both"/>
              <w:rPr>
                <w:color w:val="0070C0"/>
                <w:sz w:val="30"/>
                <w:szCs w:val="30"/>
              </w:rPr>
            </w:pPr>
            <w:r w:rsidRPr="004F06F3">
              <w:t>UN-Energy</w:t>
            </w:r>
          </w:p>
        </w:tc>
        <w:tc>
          <w:tcPr>
            <w:tcW w:w="0" w:type="auto"/>
            <w:shd w:val="clear" w:color="auto" w:fill="auto"/>
          </w:tcPr>
          <w:p w14:paraId="255A35CD" w14:textId="77777777" w:rsidR="00E45009" w:rsidRDefault="00E45009" w:rsidP="00E45009">
            <w:pPr>
              <w:pStyle w:val="NoSpacing"/>
            </w:pPr>
            <w:r w:rsidRPr="00666486">
              <w:t>Tier I</w:t>
            </w:r>
          </w:p>
        </w:tc>
        <w:tc>
          <w:tcPr>
            <w:tcW w:w="0" w:type="auto"/>
            <w:shd w:val="clear" w:color="auto" w:fill="auto"/>
          </w:tcPr>
          <w:p w14:paraId="10CEBCD6" w14:textId="77777777" w:rsidR="00E45009" w:rsidRPr="00B505F1" w:rsidRDefault="00E45009" w:rsidP="00E45009">
            <w:pPr>
              <w:pStyle w:val="NoSpacing"/>
              <w:rPr>
                <w:b/>
                <w:bCs/>
                <w:lang w:val="en-GB"/>
              </w:rPr>
            </w:pPr>
            <w:r w:rsidRPr="00B505F1">
              <w:rPr>
                <w:b/>
                <w:bCs/>
                <w:lang w:val="en-GB"/>
              </w:rPr>
              <w:t xml:space="preserve">Definition: </w:t>
            </w:r>
          </w:p>
          <w:p w14:paraId="662F1C88" w14:textId="77777777" w:rsidR="00E45009" w:rsidRPr="00B505F1" w:rsidRDefault="00E45009" w:rsidP="0025292C">
            <w:pPr>
              <w:pStyle w:val="NoSpacing"/>
              <w:jc w:val="both"/>
              <w:rPr>
                <w:lang w:val="en-GB"/>
              </w:rPr>
            </w:pPr>
            <w:r w:rsidRPr="00B505F1">
              <w:rPr>
                <w:lang w:val="en-GB"/>
              </w:rPr>
              <w:t xml:space="preserve">Energy intensity is defined as the energy supplied to the economy pet unit value of economic output. </w:t>
            </w:r>
          </w:p>
          <w:p w14:paraId="38666F7D" w14:textId="77777777" w:rsidR="00E45009" w:rsidRPr="00B505F1" w:rsidRDefault="00E45009" w:rsidP="0025292C">
            <w:pPr>
              <w:pStyle w:val="NoSpacing"/>
              <w:jc w:val="both"/>
              <w:rPr>
                <w:b/>
                <w:bCs/>
                <w:lang w:val="en-GB"/>
              </w:rPr>
            </w:pPr>
          </w:p>
          <w:p w14:paraId="4CCFDF55" w14:textId="77777777" w:rsidR="00E45009" w:rsidRPr="00B505F1" w:rsidRDefault="00E45009" w:rsidP="0025292C">
            <w:pPr>
              <w:pStyle w:val="NoSpacing"/>
              <w:jc w:val="both"/>
              <w:rPr>
                <w:b/>
                <w:bCs/>
                <w:lang w:val="en-GB"/>
              </w:rPr>
            </w:pPr>
            <w:r w:rsidRPr="00B505F1">
              <w:rPr>
                <w:b/>
                <w:bCs/>
                <w:lang w:val="en-GB"/>
              </w:rPr>
              <w:t xml:space="preserve">Rationale: </w:t>
            </w:r>
          </w:p>
          <w:p w14:paraId="5DB7A04F" w14:textId="77777777" w:rsidR="00E45009" w:rsidRPr="00B505F1" w:rsidRDefault="00E45009" w:rsidP="0025292C">
            <w:pPr>
              <w:pStyle w:val="NoSpacing"/>
              <w:jc w:val="both"/>
              <w:rPr>
                <w:lang w:val="en-GB"/>
              </w:rPr>
            </w:pPr>
            <w:r w:rsidRPr="00B505F1">
              <w:rPr>
                <w:lang w:val="en-GB"/>
              </w:rPr>
              <w:t xml:space="preserve">Energy intensity is an indication of how much energy is used to produce one unit of economic output. It is a proxy of the efficiency with which an economy is able to use energy to produce economic output. A lower ratio indicates that less energy is used to produce one unit of output. </w:t>
            </w:r>
          </w:p>
          <w:p w14:paraId="688DEE22" w14:textId="77777777" w:rsidR="00E45009" w:rsidRPr="00B505F1" w:rsidRDefault="00E45009" w:rsidP="0025292C">
            <w:pPr>
              <w:pStyle w:val="NoSpacing"/>
              <w:jc w:val="both"/>
              <w:rPr>
                <w:b/>
                <w:bCs/>
                <w:lang w:val="en-GB"/>
              </w:rPr>
            </w:pPr>
          </w:p>
          <w:p w14:paraId="27F57CB9" w14:textId="77777777" w:rsidR="00E45009" w:rsidRPr="00B505F1" w:rsidRDefault="00E45009" w:rsidP="0025292C">
            <w:pPr>
              <w:pStyle w:val="NoSpacing"/>
              <w:jc w:val="both"/>
              <w:rPr>
                <w:b/>
                <w:bCs/>
                <w:lang w:val="en-GB"/>
              </w:rPr>
            </w:pPr>
            <w:r w:rsidRPr="00B505F1">
              <w:rPr>
                <w:b/>
                <w:bCs/>
                <w:lang w:val="en-GB"/>
              </w:rPr>
              <w:t xml:space="preserve">Concepts: </w:t>
            </w:r>
          </w:p>
          <w:p w14:paraId="0FBE8E0A" w14:textId="77777777" w:rsidR="00E45009" w:rsidRPr="00B505F1" w:rsidRDefault="00E45009" w:rsidP="0025292C">
            <w:pPr>
              <w:pStyle w:val="NoSpacing"/>
              <w:jc w:val="both"/>
              <w:rPr>
                <w:lang w:val="en-GB"/>
              </w:rPr>
            </w:pPr>
            <w:r w:rsidRPr="00B505F1">
              <w:rPr>
                <w:lang w:val="en-GB"/>
              </w:rPr>
              <w:t xml:space="preserve">Total energy supply, as defined by the International Recommendations for Energy Statistics (IRES), as made up of production plus net imports minus international marine and aviation bunkers plus-stock changes. Gross Domestic Product (GDP) is the measure of economic output. For international comparison purposes, GDP is measured in constant terms at purchasing power parity </w:t>
            </w:r>
          </w:p>
          <w:p w14:paraId="1C5BDE64" w14:textId="77777777" w:rsidR="00E45009" w:rsidRPr="00B505F1" w:rsidRDefault="00E45009" w:rsidP="0025292C">
            <w:pPr>
              <w:pStyle w:val="NoSpacing"/>
              <w:jc w:val="both"/>
              <w:rPr>
                <w:b/>
                <w:bCs/>
                <w:lang w:val="en-GB"/>
              </w:rPr>
            </w:pPr>
          </w:p>
          <w:p w14:paraId="0B6F641E" w14:textId="77777777" w:rsidR="00E45009" w:rsidRPr="00B505F1" w:rsidRDefault="00E45009" w:rsidP="0025292C">
            <w:pPr>
              <w:pStyle w:val="NoSpacing"/>
              <w:jc w:val="both"/>
              <w:rPr>
                <w:b/>
                <w:bCs/>
                <w:lang w:val="en-GB"/>
              </w:rPr>
            </w:pPr>
            <w:r w:rsidRPr="00B505F1">
              <w:rPr>
                <w:b/>
                <w:bCs/>
                <w:lang w:val="en-GB"/>
              </w:rPr>
              <w:t xml:space="preserve">Comments and limitations: </w:t>
            </w:r>
          </w:p>
          <w:p w14:paraId="4B6098CE" w14:textId="77777777" w:rsidR="00E45009" w:rsidRPr="00B505F1" w:rsidRDefault="00E45009" w:rsidP="0025292C">
            <w:pPr>
              <w:pStyle w:val="NoSpacing"/>
              <w:jc w:val="both"/>
              <w:rPr>
                <w:lang w:val="en-GB"/>
              </w:rPr>
            </w:pPr>
            <w:r w:rsidRPr="00B505F1">
              <w:rPr>
                <w:lang w:val="en-GB"/>
              </w:rPr>
              <w:t xml:space="preserve">Energy intensity is only an imperfect proxy for energy efficiency. It can be affected by a number of factors, such as climate, structure of the economy, nature of economic activities etc. that are not necessarily linked to pure efficiency. </w:t>
            </w:r>
          </w:p>
          <w:p w14:paraId="53D302BB" w14:textId="77777777" w:rsidR="00E45009" w:rsidRPr="00B505F1" w:rsidRDefault="00E45009" w:rsidP="0025292C">
            <w:pPr>
              <w:pStyle w:val="NoSpacing"/>
              <w:jc w:val="both"/>
              <w:rPr>
                <w:b/>
                <w:bCs/>
                <w:lang w:val="en-GB"/>
              </w:rPr>
            </w:pPr>
          </w:p>
          <w:p w14:paraId="611CAF5A" w14:textId="77777777" w:rsidR="00E45009" w:rsidRPr="00B505F1" w:rsidRDefault="00E45009" w:rsidP="0025292C">
            <w:pPr>
              <w:pStyle w:val="NoSpacing"/>
              <w:jc w:val="both"/>
              <w:rPr>
                <w:b/>
                <w:bCs/>
                <w:lang w:val="en-GB"/>
              </w:rPr>
            </w:pPr>
            <w:r w:rsidRPr="00B505F1">
              <w:rPr>
                <w:b/>
                <w:bCs/>
                <w:lang w:val="en-GB"/>
              </w:rPr>
              <w:t xml:space="preserve">Computation Method: </w:t>
            </w:r>
          </w:p>
          <w:p w14:paraId="247FED5C" w14:textId="77777777" w:rsidR="00E45009" w:rsidRPr="00B505F1" w:rsidRDefault="00E45009" w:rsidP="0025292C">
            <w:pPr>
              <w:pStyle w:val="NoSpacing"/>
              <w:jc w:val="both"/>
              <w:rPr>
                <w:lang w:val="en-GB"/>
              </w:rPr>
            </w:pPr>
            <w:r w:rsidRPr="00B505F1">
              <w:rPr>
                <w:lang w:val="en-GB"/>
              </w:rPr>
              <w:t>This indicator is based on the development of comprehensive energy statistics across supply and demand for all energy sources – statistics used to produce a national energy balance. Internationally agreed methodologies for energy statistics are described in the “International Recommendations for Energy Statistics” (IRES), adopted by the UN Statistical Commission, available at: https://unstats.un.org/unsd/energy/ires/.</w:t>
            </w:r>
          </w:p>
          <w:p w14:paraId="5AC197D8" w14:textId="77777777" w:rsidR="00E45009" w:rsidRPr="00B505F1" w:rsidRDefault="00E45009" w:rsidP="0025292C">
            <w:pPr>
              <w:pStyle w:val="NoSpacing"/>
              <w:jc w:val="both"/>
              <w:rPr>
                <w:lang w:val="en-GB"/>
              </w:rPr>
            </w:pPr>
          </w:p>
          <w:p w14:paraId="4FEB26DD" w14:textId="77777777" w:rsidR="00E45009" w:rsidRPr="00B505F1" w:rsidRDefault="00E45009" w:rsidP="0025292C">
            <w:pPr>
              <w:pStyle w:val="NoSpacing"/>
              <w:jc w:val="both"/>
              <w:rPr>
                <w:lang w:val="en-GB"/>
              </w:rPr>
            </w:pPr>
            <w:r w:rsidRPr="00B505F1">
              <w:rPr>
                <w:lang w:val="en-GB"/>
              </w:rPr>
              <w:t xml:space="preserve">Once a national energy balance is developed, the indicator can be obtained by dividing total energy supply over GDP. </w:t>
            </w:r>
          </w:p>
          <w:p w14:paraId="0B3ECD9F" w14:textId="77777777" w:rsidR="00E45009" w:rsidRPr="00B505F1" w:rsidRDefault="00E45009" w:rsidP="00E45009">
            <w:pPr>
              <w:pStyle w:val="NoSpacing"/>
              <w:rPr>
                <w:lang w:val="en-GB"/>
              </w:rPr>
            </w:pPr>
          </w:p>
        </w:tc>
        <w:tc>
          <w:tcPr>
            <w:tcW w:w="0" w:type="auto"/>
            <w:shd w:val="clear" w:color="auto" w:fill="auto"/>
          </w:tcPr>
          <w:p w14:paraId="0362FE5E" w14:textId="77777777" w:rsidR="00E45009" w:rsidRPr="00873FDE" w:rsidRDefault="00E45009" w:rsidP="00E45009">
            <w:r w:rsidRPr="00873FDE">
              <w:lastRenderedPageBreak/>
              <w:t>Energy balances</w:t>
            </w:r>
          </w:p>
        </w:tc>
        <w:tc>
          <w:tcPr>
            <w:tcW w:w="0" w:type="auto"/>
            <w:shd w:val="clear" w:color="auto" w:fill="auto"/>
          </w:tcPr>
          <w:p w14:paraId="07C51912" w14:textId="77777777" w:rsidR="00E45009" w:rsidRPr="00873FDE" w:rsidRDefault="00E45009" w:rsidP="00E45009">
            <w:r w:rsidRPr="00873FDE">
              <w:t>National statistical office</w:t>
            </w:r>
          </w:p>
        </w:tc>
        <w:tc>
          <w:tcPr>
            <w:tcW w:w="0" w:type="auto"/>
            <w:shd w:val="clear" w:color="auto" w:fill="auto"/>
          </w:tcPr>
          <w:p w14:paraId="2F5F6E81" w14:textId="77777777" w:rsidR="00E45009" w:rsidRDefault="00E45009" w:rsidP="00E45009">
            <w:pPr>
              <w:jc w:val="center"/>
              <w:rPr>
                <w:rFonts w:eastAsia="Times New Roman" w:cs="Times New Roman"/>
                <w:color w:val="000000" w:themeColor="text1"/>
                <w:szCs w:val="20"/>
              </w:rPr>
            </w:pPr>
            <w:r w:rsidRPr="007067F8">
              <w:rPr>
                <w:rFonts w:eastAsia="Times New Roman" w:cs="Times New Roman"/>
                <w:color w:val="000000" w:themeColor="text1"/>
                <w:szCs w:val="20"/>
              </w:rPr>
              <w:t>HCU, EMRD</w:t>
            </w:r>
          </w:p>
          <w:p w14:paraId="7B1F0FB8" w14:textId="77777777" w:rsidR="00E45009" w:rsidRDefault="00E45009" w:rsidP="00E45009">
            <w:pPr>
              <w:pStyle w:val="NoSpacing"/>
              <w:rPr>
                <w:color w:val="0070C0"/>
                <w:sz w:val="30"/>
                <w:szCs w:val="30"/>
              </w:rPr>
            </w:pPr>
            <w:r w:rsidRPr="007067F8">
              <w:t>Administrative Data</w:t>
            </w:r>
          </w:p>
        </w:tc>
        <w:tc>
          <w:tcPr>
            <w:tcW w:w="0" w:type="auto"/>
            <w:shd w:val="clear" w:color="auto" w:fill="auto"/>
          </w:tcPr>
          <w:p w14:paraId="71AB0345" w14:textId="77777777" w:rsidR="00E45009" w:rsidRDefault="00E45009" w:rsidP="00E45009">
            <w:pPr>
              <w:jc w:val="center"/>
              <w:rPr>
                <w:rFonts w:eastAsia="Times New Roman" w:cs="Times New Roman"/>
                <w:color w:val="000000" w:themeColor="text1"/>
                <w:szCs w:val="20"/>
              </w:rPr>
            </w:pPr>
            <w:r w:rsidRPr="007067F8">
              <w:rPr>
                <w:rFonts w:eastAsia="Times New Roman" w:cs="Times New Roman"/>
                <w:color w:val="000000" w:themeColor="text1"/>
                <w:szCs w:val="20"/>
              </w:rPr>
              <w:t>HCU, EMRD</w:t>
            </w:r>
          </w:p>
          <w:p w14:paraId="48A970F7" w14:textId="77777777" w:rsidR="00E45009" w:rsidRDefault="00E45009" w:rsidP="00E45009">
            <w:pPr>
              <w:pStyle w:val="NoSpacing"/>
            </w:pPr>
            <w:r w:rsidRPr="007067F8">
              <w:rPr>
                <w:rFonts w:eastAsia="Times New Roman" w:cs="Times New Roman"/>
                <w:color w:val="000000" w:themeColor="text1"/>
                <w:szCs w:val="20"/>
              </w:rPr>
              <w:t>Administrative Data</w:t>
            </w:r>
          </w:p>
        </w:tc>
        <w:tc>
          <w:tcPr>
            <w:tcW w:w="0" w:type="auto"/>
            <w:shd w:val="clear" w:color="auto" w:fill="auto"/>
          </w:tcPr>
          <w:p w14:paraId="275F9A29" w14:textId="77777777" w:rsidR="00E45009" w:rsidRPr="00891C3E" w:rsidRDefault="00E45009" w:rsidP="00E45009">
            <w:pPr>
              <w:pStyle w:val="ListParagraph"/>
              <w:numPr>
                <w:ilvl w:val="0"/>
                <w:numId w:val="48"/>
              </w:numPr>
              <w:spacing w:after="0" w:line="240" w:lineRule="auto"/>
              <w:ind w:left="230" w:hanging="230"/>
              <w:rPr>
                <w:rFonts w:ascii="Tw Cen MT Condensed" w:hAnsi="Tw Cen MT Condensed"/>
              </w:rPr>
            </w:pPr>
            <w:r w:rsidRPr="00891C3E">
              <w:rPr>
                <w:rFonts w:ascii="Tw Cen MT Condensed" w:hAnsi="Tw Cen MT Condensed"/>
              </w:rPr>
              <w:t>Final Consumption Sector or end uses: Industry/Residential/</w:t>
            </w:r>
            <w:r>
              <w:rPr>
                <w:rFonts w:ascii="Tw Cen MT Condensed" w:hAnsi="Tw Cen MT Condensed"/>
              </w:rPr>
              <w:t xml:space="preserve"> </w:t>
            </w:r>
            <w:r w:rsidRPr="00891C3E">
              <w:rPr>
                <w:rFonts w:ascii="Tw Cen MT Condensed" w:hAnsi="Tw Cen MT Condensed"/>
              </w:rPr>
              <w:t>Transport/</w:t>
            </w:r>
            <w:r>
              <w:rPr>
                <w:rFonts w:ascii="Tw Cen MT Condensed" w:hAnsi="Tw Cen MT Condensed"/>
              </w:rPr>
              <w:t xml:space="preserve"> </w:t>
            </w:r>
            <w:r w:rsidRPr="00891C3E">
              <w:rPr>
                <w:rFonts w:ascii="Tw Cen MT Condensed" w:hAnsi="Tw Cen MT Condensed"/>
              </w:rPr>
              <w:t>Agriculture/</w:t>
            </w:r>
            <w:r>
              <w:rPr>
                <w:rFonts w:ascii="Tw Cen MT Condensed" w:hAnsi="Tw Cen MT Condensed"/>
              </w:rPr>
              <w:t xml:space="preserve"> </w:t>
            </w:r>
            <w:r w:rsidRPr="00891C3E">
              <w:rPr>
                <w:rFonts w:ascii="Tw Cen MT Condensed" w:hAnsi="Tw Cen MT Condensed"/>
              </w:rPr>
              <w:t>Households</w:t>
            </w:r>
          </w:p>
          <w:p w14:paraId="19A9D5FD" w14:textId="77777777" w:rsidR="00E45009" w:rsidRDefault="00E45009" w:rsidP="00E45009">
            <w:pPr>
              <w:pStyle w:val="ListParagraph"/>
              <w:numPr>
                <w:ilvl w:val="0"/>
                <w:numId w:val="48"/>
              </w:numPr>
              <w:spacing w:after="0" w:line="240" w:lineRule="auto"/>
              <w:ind w:left="230" w:hanging="230"/>
              <w:rPr>
                <w:rFonts w:ascii="Tw Cen MT Condensed" w:hAnsi="Tw Cen MT Condensed"/>
              </w:rPr>
            </w:pPr>
            <w:r w:rsidRPr="00891C3E">
              <w:rPr>
                <w:rFonts w:ascii="Tw Cen MT Condensed" w:hAnsi="Tw Cen MT Condensed"/>
              </w:rPr>
              <w:t>Sectoral Level Energy Intensity: Categories not decided yet.</w:t>
            </w:r>
          </w:p>
          <w:p w14:paraId="2382FC24" w14:textId="77777777" w:rsidR="00E45009" w:rsidRPr="00A46860" w:rsidRDefault="00E45009" w:rsidP="00E45009">
            <w:pPr>
              <w:pStyle w:val="ListParagraph"/>
              <w:numPr>
                <w:ilvl w:val="0"/>
                <w:numId w:val="48"/>
              </w:numPr>
              <w:spacing w:after="0" w:line="240" w:lineRule="auto"/>
              <w:ind w:left="230" w:hanging="230"/>
              <w:rPr>
                <w:rFonts w:ascii="Tw Cen MT Condensed" w:hAnsi="Tw Cen MT Condensed"/>
              </w:rPr>
            </w:pPr>
            <w:r w:rsidRPr="00891C3E">
              <w:rPr>
                <w:rFonts w:ascii="Tw Cen MT Condensed" w:hAnsi="Tw Cen MT Condensed"/>
              </w:rPr>
              <w:t>Type of Vehicle: Categories not decided yet.</w:t>
            </w:r>
          </w:p>
        </w:tc>
        <w:tc>
          <w:tcPr>
            <w:tcW w:w="0" w:type="auto"/>
            <w:shd w:val="clear" w:color="auto" w:fill="auto"/>
          </w:tcPr>
          <w:p w14:paraId="730FB183" w14:textId="77777777" w:rsidR="00E45009" w:rsidRDefault="00E45009" w:rsidP="00E45009">
            <w:pPr>
              <w:ind w:left="970" w:hanging="970"/>
              <w:jc w:val="both"/>
              <w:rPr>
                <w:color w:val="0070C0"/>
                <w:sz w:val="30"/>
                <w:szCs w:val="30"/>
              </w:rPr>
            </w:pPr>
            <w:r w:rsidRPr="00BC6F10">
              <w:t>Annual</w:t>
            </w:r>
          </w:p>
        </w:tc>
        <w:tc>
          <w:tcPr>
            <w:tcW w:w="0" w:type="auto"/>
            <w:shd w:val="clear" w:color="auto" w:fill="auto"/>
          </w:tcPr>
          <w:p w14:paraId="3C19F6E3" w14:textId="77777777" w:rsidR="00E45009" w:rsidRDefault="00E45009" w:rsidP="00E45009">
            <w:pPr>
              <w:ind w:left="970" w:hanging="970"/>
              <w:jc w:val="both"/>
              <w:rPr>
                <w:color w:val="0070C0"/>
                <w:sz w:val="30"/>
                <w:szCs w:val="30"/>
              </w:rPr>
            </w:pPr>
            <w:r>
              <w:t>Group 1</w:t>
            </w:r>
          </w:p>
        </w:tc>
        <w:tc>
          <w:tcPr>
            <w:tcW w:w="0" w:type="auto"/>
            <w:shd w:val="clear" w:color="auto" w:fill="auto"/>
          </w:tcPr>
          <w:p w14:paraId="4B212586" w14:textId="77777777" w:rsidR="00E45009" w:rsidRDefault="00E45009" w:rsidP="00E45009">
            <w:pPr>
              <w:pStyle w:val="NoSpacing"/>
            </w:pPr>
            <w:r>
              <w:t>1</w:t>
            </w:r>
            <w:r w:rsidRPr="00013ACB">
              <w:rPr>
                <w:vertAlign w:val="superscript"/>
              </w:rPr>
              <w:t>st</w:t>
            </w:r>
            <w:r>
              <w:t xml:space="preserve"> Round: </w:t>
            </w:r>
          </w:p>
          <w:p w14:paraId="51A97552" w14:textId="77777777" w:rsidR="00E45009" w:rsidRDefault="00E45009" w:rsidP="00E45009">
            <w:pPr>
              <w:pStyle w:val="NoSpacing"/>
            </w:pPr>
            <w:r>
              <w:t>2016</w:t>
            </w:r>
          </w:p>
          <w:p w14:paraId="6D06BD5A" w14:textId="77777777" w:rsidR="00E45009" w:rsidRDefault="00E45009" w:rsidP="00E45009">
            <w:pPr>
              <w:pStyle w:val="NoSpacing"/>
            </w:pPr>
            <w:r>
              <w:t>2</w:t>
            </w:r>
            <w:r w:rsidRPr="00013ACB">
              <w:rPr>
                <w:vertAlign w:val="superscript"/>
              </w:rPr>
              <w:t>nd</w:t>
            </w:r>
            <w:r>
              <w:t xml:space="preserve"> Round: </w:t>
            </w:r>
          </w:p>
          <w:p w14:paraId="369B1B7C" w14:textId="77777777" w:rsidR="00E45009" w:rsidRDefault="00E45009" w:rsidP="00E45009">
            <w:r>
              <w:t>January 20</w:t>
            </w:r>
            <w:r w:rsidRPr="00BC6F10">
              <w:t>19</w:t>
            </w:r>
          </w:p>
          <w:p w14:paraId="777A2C33" w14:textId="77777777" w:rsidR="00E45009" w:rsidRDefault="00E45009" w:rsidP="00E45009">
            <w:pPr>
              <w:pStyle w:val="NoSpacing"/>
            </w:pPr>
            <w:r>
              <w:t>3</w:t>
            </w:r>
            <w:r w:rsidRPr="00013ACB">
              <w:rPr>
                <w:vertAlign w:val="superscript"/>
              </w:rPr>
              <w:t>rd</w:t>
            </w:r>
            <w:r>
              <w:t xml:space="preserve"> Round: </w:t>
            </w:r>
          </w:p>
          <w:p w14:paraId="24FE9DA9" w14:textId="77777777" w:rsidR="00E45009" w:rsidRDefault="00E45009" w:rsidP="00E45009">
            <w:r>
              <w:t>January 2020</w:t>
            </w:r>
          </w:p>
          <w:p w14:paraId="56F31D0E" w14:textId="77777777" w:rsidR="00E45009" w:rsidRDefault="00E45009" w:rsidP="00E45009">
            <w:pPr>
              <w:pStyle w:val="NoSpacing"/>
            </w:pPr>
            <w:r>
              <w:t>4</w:t>
            </w:r>
            <w:r w:rsidRPr="00013ACB">
              <w:rPr>
                <w:vertAlign w:val="superscript"/>
              </w:rPr>
              <w:t>th</w:t>
            </w:r>
            <w:r>
              <w:t xml:space="preserve"> Round: </w:t>
            </w:r>
          </w:p>
          <w:p w14:paraId="47AE98EC" w14:textId="77777777" w:rsidR="00E45009" w:rsidRDefault="00E45009" w:rsidP="00E45009">
            <w:r>
              <w:t>January 2021</w:t>
            </w:r>
          </w:p>
          <w:p w14:paraId="102D72B9" w14:textId="77777777" w:rsidR="00E45009" w:rsidRDefault="00E45009" w:rsidP="00E45009">
            <w:pPr>
              <w:pStyle w:val="NoSpacing"/>
            </w:pPr>
            <w:r>
              <w:t>5</w:t>
            </w:r>
            <w:r w:rsidRPr="00013ACB">
              <w:rPr>
                <w:vertAlign w:val="superscript"/>
              </w:rPr>
              <w:t>th</w:t>
            </w:r>
            <w:r>
              <w:t xml:space="preserve"> Round: </w:t>
            </w:r>
          </w:p>
          <w:p w14:paraId="3A96E6A5" w14:textId="77777777" w:rsidR="00E45009" w:rsidRDefault="00E45009" w:rsidP="00E45009">
            <w:r>
              <w:t>January 2022</w:t>
            </w:r>
          </w:p>
          <w:p w14:paraId="4A1B0DB3" w14:textId="1438EC2A" w:rsidR="00E45009" w:rsidRPr="00BC6F10" w:rsidRDefault="00E45009" w:rsidP="00E45009">
            <w:pPr>
              <w:jc w:val="center"/>
            </w:pPr>
          </w:p>
        </w:tc>
        <w:tc>
          <w:tcPr>
            <w:tcW w:w="0" w:type="auto"/>
            <w:shd w:val="clear" w:color="auto" w:fill="auto"/>
          </w:tcPr>
          <w:p w14:paraId="0AE969FE" w14:textId="77777777" w:rsidR="00E45009" w:rsidRDefault="00E45009" w:rsidP="00E45009">
            <w:pPr>
              <w:ind w:left="970" w:hanging="970"/>
              <w:jc w:val="both"/>
              <w:rPr>
                <w:color w:val="0070C0"/>
                <w:sz w:val="30"/>
                <w:szCs w:val="30"/>
              </w:rPr>
            </w:pPr>
          </w:p>
        </w:tc>
      </w:tr>
      <w:tr w:rsidR="00E45009" w14:paraId="582B103C" w14:textId="77777777" w:rsidTr="0025292C">
        <w:tc>
          <w:tcPr>
            <w:tcW w:w="0" w:type="auto"/>
            <w:shd w:val="clear" w:color="auto" w:fill="auto"/>
          </w:tcPr>
          <w:p w14:paraId="3F0D2E2A" w14:textId="77777777" w:rsidR="00E45009" w:rsidRPr="008A7088" w:rsidRDefault="00E45009" w:rsidP="00E45009">
            <w:pPr>
              <w:pStyle w:val="NoSpacing"/>
            </w:pPr>
          </w:p>
        </w:tc>
        <w:tc>
          <w:tcPr>
            <w:tcW w:w="0" w:type="auto"/>
            <w:gridSpan w:val="12"/>
            <w:shd w:val="clear" w:color="auto" w:fill="auto"/>
          </w:tcPr>
          <w:p w14:paraId="77B0E416" w14:textId="77777777" w:rsidR="00E45009" w:rsidRDefault="00E45009" w:rsidP="00E45009">
            <w:pPr>
              <w:ind w:left="970" w:hanging="970"/>
              <w:jc w:val="both"/>
              <w:rPr>
                <w:color w:val="0070C0"/>
                <w:sz w:val="30"/>
                <w:szCs w:val="30"/>
              </w:rPr>
            </w:pPr>
            <w:r>
              <w:rPr>
                <w:color w:val="0070C0"/>
                <w:sz w:val="30"/>
                <w:szCs w:val="30"/>
              </w:rPr>
              <w:t xml:space="preserve">Target </w:t>
            </w:r>
            <w:r w:rsidRPr="006429A5">
              <w:rPr>
                <w:color w:val="0070C0"/>
                <w:sz w:val="30"/>
                <w:szCs w:val="30"/>
              </w:rPr>
              <w:t>7.a 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tc>
      </w:tr>
      <w:tr w:rsidR="00E45009" w14:paraId="3BF78EA4" w14:textId="77777777" w:rsidTr="0025292C">
        <w:tc>
          <w:tcPr>
            <w:tcW w:w="0" w:type="auto"/>
            <w:shd w:val="clear" w:color="auto" w:fill="auto"/>
          </w:tcPr>
          <w:p w14:paraId="071AAB89" w14:textId="77777777" w:rsidR="00E45009" w:rsidRPr="008A7088" w:rsidRDefault="00E45009" w:rsidP="00E45009">
            <w:pPr>
              <w:pStyle w:val="NoSpacing"/>
            </w:pPr>
            <w:r w:rsidRPr="004626CF">
              <w:t>7.a.1 International financial flows to developing countries in support of clean energy research and development and renewable energy production, including in hybrid systems</w:t>
            </w:r>
          </w:p>
        </w:tc>
        <w:tc>
          <w:tcPr>
            <w:tcW w:w="0" w:type="auto"/>
            <w:shd w:val="clear" w:color="auto" w:fill="auto"/>
          </w:tcPr>
          <w:p w14:paraId="2533632A" w14:textId="77777777" w:rsidR="00E45009" w:rsidRDefault="00E45009" w:rsidP="00E45009">
            <w:pPr>
              <w:pStyle w:val="NoSpacing"/>
            </w:pPr>
            <w:r>
              <w:t xml:space="preserve">OECD, </w:t>
            </w:r>
          </w:p>
          <w:p w14:paraId="3F70052B" w14:textId="77777777" w:rsidR="00E45009" w:rsidRDefault="00E45009" w:rsidP="00E45009">
            <w:pPr>
              <w:pStyle w:val="NoSpacing"/>
            </w:pPr>
            <w:r>
              <w:t>IRENA</w:t>
            </w:r>
          </w:p>
          <w:p w14:paraId="47832454" w14:textId="77777777" w:rsidR="00E45009" w:rsidRDefault="00E45009" w:rsidP="00E45009">
            <w:pPr>
              <w:rPr>
                <w:b/>
                <w:bCs/>
                <w:szCs w:val="20"/>
              </w:rPr>
            </w:pPr>
            <w:r w:rsidRPr="007243FC">
              <w:rPr>
                <w:b/>
                <w:bCs/>
                <w:szCs w:val="20"/>
              </w:rPr>
              <w:t>Partner Agencies:</w:t>
            </w:r>
          </w:p>
          <w:p w14:paraId="0D157EF7" w14:textId="77777777" w:rsidR="00E45009" w:rsidRDefault="00E45009" w:rsidP="00E45009">
            <w:pPr>
              <w:pStyle w:val="NoSpacing"/>
            </w:pPr>
            <w:r>
              <w:t xml:space="preserve">IEA, </w:t>
            </w:r>
          </w:p>
          <w:p w14:paraId="0CB4720C" w14:textId="77777777" w:rsidR="00E45009" w:rsidRDefault="00E45009" w:rsidP="00E45009">
            <w:pPr>
              <w:pStyle w:val="NoSpacing"/>
            </w:pPr>
            <w:r>
              <w:t>UN-Energy,</w:t>
            </w:r>
          </w:p>
          <w:p w14:paraId="0187DF33" w14:textId="77777777" w:rsidR="00E45009" w:rsidRDefault="00E45009" w:rsidP="00E45009">
            <w:pPr>
              <w:pStyle w:val="NoSpacing"/>
            </w:pPr>
            <w:r>
              <w:t>UNEP</w:t>
            </w:r>
          </w:p>
        </w:tc>
        <w:tc>
          <w:tcPr>
            <w:tcW w:w="0" w:type="auto"/>
            <w:shd w:val="clear" w:color="auto" w:fill="auto"/>
          </w:tcPr>
          <w:p w14:paraId="548A5AC7" w14:textId="77777777" w:rsidR="00E45009" w:rsidRDefault="00E45009" w:rsidP="00E45009">
            <w:pPr>
              <w:pStyle w:val="NoSpacing"/>
            </w:pPr>
            <w:r w:rsidRPr="00666486">
              <w:t>Tier I</w:t>
            </w:r>
          </w:p>
        </w:tc>
        <w:tc>
          <w:tcPr>
            <w:tcW w:w="0" w:type="auto"/>
            <w:shd w:val="clear" w:color="auto" w:fill="auto"/>
          </w:tcPr>
          <w:p w14:paraId="5AC9676C" w14:textId="77777777" w:rsidR="00E45009" w:rsidRPr="005A39C3" w:rsidRDefault="00E45009" w:rsidP="00E45009">
            <w:pPr>
              <w:pStyle w:val="NoSpacing"/>
              <w:rPr>
                <w:lang w:val="en-GB"/>
              </w:rPr>
            </w:pPr>
            <w:r w:rsidRPr="005A39C3">
              <w:rPr>
                <w:b/>
                <w:bCs/>
                <w:lang w:val="en-GB"/>
              </w:rPr>
              <w:t>Definition:</w:t>
            </w:r>
          </w:p>
          <w:p w14:paraId="7B918B73" w14:textId="77777777" w:rsidR="00E45009" w:rsidRPr="005A39C3" w:rsidRDefault="00E45009" w:rsidP="0025292C">
            <w:pPr>
              <w:pStyle w:val="NoSpacing"/>
              <w:jc w:val="both"/>
              <w:rPr>
                <w:lang w:val="en-GB"/>
              </w:rPr>
            </w:pPr>
            <w:r w:rsidRPr="005A39C3">
              <w:rPr>
                <w:lang w:val="en-GB"/>
              </w:rPr>
              <w:t>The flows are covered through two complementary sources.</w:t>
            </w:r>
          </w:p>
          <w:p w14:paraId="199FA63A" w14:textId="77777777" w:rsidR="00E45009" w:rsidRPr="005A39C3" w:rsidRDefault="00E45009" w:rsidP="0025292C">
            <w:pPr>
              <w:pStyle w:val="NoSpacing"/>
              <w:jc w:val="both"/>
              <w:rPr>
                <w:lang w:val="en-GB"/>
              </w:rPr>
            </w:pPr>
          </w:p>
          <w:p w14:paraId="1CB8C4D5" w14:textId="77777777" w:rsidR="00E45009" w:rsidRPr="005A39C3" w:rsidRDefault="00E45009" w:rsidP="0025292C">
            <w:pPr>
              <w:pStyle w:val="NoSpacing"/>
              <w:jc w:val="both"/>
              <w:rPr>
                <w:lang w:val="en-GB"/>
              </w:rPr>
            </w:pPr>
            <w:r w:rsidRPr="005A39C3">
              <w:rPr>
                <w:lang w:val="en-GB"/>
              </w:rPr>
              <w:t>OECD: The flows covered by the OECD are defined as all official loans, grants and equity investments received by countries on the DAC List of ODA Recipients from foreign governments and multilateral agencies, for the purpose of clean energy research and development and renewable energy production, including in hybrid systems extracted from the OECD/DAC Creditor Reporting System (CRS) with the following sector codes:</w:t>
            </w:r>
          </w:p>
          <w:p w14:paraId="7763D6F9" w14:textId="77777777" w:rsidR="00E45009" w:rsidRPr="005A39C3" w:rsidRDefault="00E45009" w:rsidP="0025292C">
            <w:pPr>
              <w:pStyle w:val="NoSpacing"/>
              <w:jc w:val="both"/>
              <w:rPr>
                <w:lang w:val="en-GB"/>
              </w:rPr>
            </w:pPr>
          </w:p>
          <w:p w14:paraId="4C3B061E" w14:textId="77777777" w:rsidR="00E45009" w:rsidRPr="005A39C3" w:rsidRDefault="00E45009" w:rsidP="0025292C">
            <w:pPr>
              <w:pStyle w:val="NoSpacing"/>
              <w:numPr>
                <w:ilvl w:val="0"/>
                <w:numId w:val="63"/>
              </w:numPr>
              <w:ind w:left="418" w:hanging="238"/>
              <w:jc w:val="both"/>
              <w:rPr>
                <w:lang w:val="en-GB"/>
              </w:rPr>
            </w:pPr>
            <w:r w:rsidRPr="005A39C3">
              <w:rPr>
                <w:lang w:val="en-GB"/>
              </w:rPr>
              <w:t xml:space="preserve">23210 Energy </w:t>
            </w:r>
            <w:proofErr w:type="gramStart"/>
            <w:r w:rsidRPr="005A39C3">
              <w:rPr>
                <w:lang w:val="en-GB"/>
              </w:rPr>
              <w:t>generation</w:t>
            </w:r>
            <w:proofErr w:type="gramEnd"/>
            <w:r w:rsidRPr="005A39C3">
              <w:rPr>
                <w:lang w:val="en-GB"/>
              </w:rPr>
              <w:t xml:space="preserve">, renewable sources – multiple technologies - Renewable energy generation programmes that cannot be attributed to one single technology (codes 23220 through 23280 below). Fuelwood/charcoal production should be included under forestry 31261. </w:t>
            </w:r>
          </w:p>
          <w:p w14:paraId="0F6689E3" w14:textId="77777777" w:rsidR="00E45009" w:rsidRPr="005A39C3" w:rsidRDefault="00E45009" w:rsidP="0025292C">
            <w:pPr>
              <w:pStyle w:val="NoSpacing"/>
              <w:numPr>
                <w:ilvl w:val="0"/>
                <w:numId w:val="63"/>
              </w:numPr>
              <w:ind w:left="418" w:hanging="238"/>
              <w:jc w:val="both"/>
              <w:rPr>
                <w:lang w:val="en-GB"/>
              </w:rPr>
            </w:pPr>
            <w:r w:rsidRPr="005A39C3">
              <w:rPr>
                <w:lang w:val="en-GB"/>
              </w:rPr>
              <w:t xml:space="preserve">23220 Hydro-electric power plants - Including energy generating river barges. </w:t>
            </w:r>
          </w:p>
          <w:p w14:paraId="6BC48CE6" w14:textId="77777777" w:rsidR="00E45009" w:rsidRPr="005A39C3" w:rsidRDefault="00E45009" w:rsidP="0025292C">
            <w:pPr>
              <w:pStyle w:val="NoSpacing"/>
              <w:numPr>
                <w:ilvl w:val="0"/>
                <w:numId w:val="63"/>
              </w:numPr>
              <w:ind w:left="418" w:hanging="238"/>
              <w:jc w:val="both"/>
              <w:rPr>
                <w:lang w:val="en-GB"/>
              </w:rPr>
            </w:pPr>
            <w:proofErr w:type="gramStart"/>
            <w:r w:rsidRPr="005A39C3">
              <w:rPr>
                <w:lang w:val="en-GB"/>
              </w:rPr>
              <w:t>23230 Solar energy - Including photo-voltaic cells, solar thermal applications and solar heating.</w:t>
            </w:r>
            <w:proofErr w:type="gramEnd"/>
            <w:r w:rsidRPr="005A39C3">
              <w:rPr>
                <w:lang w:val="en-GB"/>
              </w:rPr>
              <w:t xml:space="preserve"> </w:t>
            </w:r>
          </w:p>
          <w:p w14:paraId="6E5E3FAC" w14:textId="77777777" w:rsidR="00E45009" w:rsidRPr="005A39C3" w:rsidRDefault="00E45009" w:rsidP="0025292C">
            <w:pPr>
              <w:pStyle w:val="NoSpacing"/>
              <w:numPr>
                <w:ilvl w:val="0"/>
                <w:numId w:val="63"/>
              </w:numPr>
              <w:ind w:left="418" w:hanging="238"/>
              <w:jc w:val="both"/>
              <w:rPr>
                <w:lang w:val="en-GB"/>
              </w:rPr>
            </w:pPr>
            <w:proofErr w:type="gramStart"/>
            <w:r w:rsidRPr="005A39C3">
              <w:rPr>
                <w:lang w:val="en-GB"/>
              </w:rPr>
              <w:t>23240 Wind energy - Wind energy for water lifting and electric power generation.</w:t>
            </w:r>
            <w:proofErr w:type="gramEnd"/>
            <w:r w:rsidRPr="005A39C3">
              <w:rPr>
                <w:lang w:val="en-GB"/>
              </w:rPr>
              <w:t xml:space="preserve"> </w:t>
            </w:r>
          </w:p>
          <w:p w14:paraId="30BDADE2" w14:textId="77777777" w:rsidR="00E45009" w:rsidRPr="005A39C3" w:rsidRDefault="00E45009" w:rsidP="0025292C">
            <w:pPr>
              <w:pStyle w:val="NoSpacing"/>
              <w:numPr>
                <w:ilvl w:val="0"/>
                <w:numId w:val="63"/>
              </w:numPr>
              <w:ind w:left="418" w:hanging="238"/>
              <w:jc w:val="both"/>
              <w:rPr>
                <w:lang w:val="en-GB"/>
              </w:rPr>
            </w:pPr>
            <w:r w:rsidRPr="005A39C3">
              <w:rPr>
                <w:lang w:val="en-GB"/>
              </w:rPr>
              <w:t xml:space="preserve">23250 Marine energy - Including ocean thermal energy conversion, tidal and wave power. </w:t>
            </w:r>
          </w:p>
          <w:p w14:paraId="77C48F70" w14:textId="77777777" w:rsidR="00E45009" w:rsidRPr="005A39C3" w:rsidRDefault="00E45009" w:rsidP="0025292C">
            <w:pPr>
              <w:pStyle w:val="NoSpacing"/>
              <w:numPr>
                <w:ilvl w:val="0"/>
                <w:numId w:val="63"/>
              </w:numPr>
              <w:ind w:left="418" w:hanging="238"/>
              <w:jc w:val="both"/>
              <w:rPr>
                <w:lang w:val="en-GB"/>
              </w:rPr>
            </w:pPr>
            <w:proofErr w:type="gramStart"/>
            <w:r w:rsidRPr="005A39C3">
              <w:rPr>
                <w:lang w:val="en-GB"/>
              </w:rPr>
              <w:t>23260 Geothermal energy - Use of geothermal energy for generating electric power or directly as heat for agriculture, etc.</w:t>
            </w:r>
            <w:proofErr w:type="gramEnd"/>
            <w:r w:rsidRPr="005A39C3">
              <w:rPr>
                <w:lang w:val="en-GB"/>
              </w:rPr>
              <w:t xml:space="preserve"> </w:t>
            </w:r>
          </w:p>
          <w:p w14:paraId="4ABFC1CF" w14:textId="77777777" w:rsidR="00E45009" w:rsidRPr="005A39C3" w:rsidRDefault="00E45009" w:rsidP="0025292C">
            <w:pPr>
              <w:pStyle w:val="NoSpacing"/>
              <w:numPr>
                <w:ilvl w:val="0"/>
                <w:numId w:val="63"/>
              </w:numPr>
              <w:ind w:left="418" w:hanging="238"/>
              <w:jc w:val="both"/>
              <w:rPr>
                <w:lang w:val="en-GB"/>
              </w:rPr>
            </w:pPr>
            <w:r w:rsidRPr="005A39C3">
              <w:rPr>
                <w:lang w:val="en-GB"/>
              </w:rPr>
              <w:t xml:space="preserve">23270- Biofuel-fired power plants Use of solids and liquids produced from biomass for direct power generation. Also includes biogases from anaerobic fermentation (e.g. landfill gas, sewage sludge gas, fermentation of energy crops and manure) and thermal processes (also known as syngas); waste fired power plants making use of biodegradable municipal waste (household waste and waste from companies and public </w:t>
            </w:r>
            <w:r w:rsidRPr="005A39C3">
              <w:rPr>
                <w:lang w:val="en-GB"/>
              </w:rPr>
              <w:lastRenderedPageBreak/>
              <w:t>services that resembles household waste, collected at installations specifically designed for their disposal with recovery of combustible liquids, gases or heat). See code 23360 for non-renewable waste-fired power plants.</w:t>
            </w:r>
          </w:p>
          <w:p w14:paraId="397B016F" w14:textId="77777777" w:rsidR="00E45009" w:rsidRPr="005A39C3" w:rsidRDefault="00E45009" w:rsidP="0025292C">
            <w:pPr>
              <w:pStyle w:val="NoSpacing"/>
              <w:jc w:val="both"/>
              <w:rPr>
                <w:lang w:val="en-GB"/>
              </w:rPr>
            </w:pPr>
          </w:p>
          <w:p w14:paraId="3EF2D3FE" w14:textId="77777777" w:rsidR="00E45009" w:rsidRPr="005A39C3" w:rsidRDefault="00E45009" w:rsidP="0025292C">
            <w:pPr>
              <w:pStyle w:val="NoSpacing"/>
              <w:jc w:val="both"/>
              <w:rPr>
                <w:lang w:val="en-GB"/>
              </w:rPr>
            </w:pPr>
            <w:r w:rsidRPr="005A39C3">
              <w:rPr>
                <w:lang w:val="en-GB"/>
              </w:rPr>
              <w:t>Research and development of energy efficiency technologies and measures is captured under CRS sector code 23182 on Energy research. The above flows also include technical assistance provided to support production, research and development as defined above.</w:t>
            </w:r>
          </w:p>
          <w:p w14:paraId="04BB9ADB" w14:textId="77777777" w:rsidR="00E45009" w:rsidRPr="005A39C3" w:rsidRDefault="00E45009" w:rsidP="0025292C">
            <w:pPr>
              <w:pStyle w:val="NoSpacing"/>
              <w:jc w:val="both"/>
              <w:rPr>
                <w:lang w:val="en-GB"/>
              </w:rPr>
            </w:pPr>
            <w:r w:rsidRPr="005A39C3">
              <w:rPr>
                <w:lang w:val="en-GB"/>
              </w:rPr>
              <w:t>IRENA: The flows covered by IRENA are defined as all additional loans, grants and equity investments received by developing countries (defined as countries in developing regions, as listed in the UN M49 composition of regions) from all foreign governments, multilateral agencies and additional development finance institutions (including export credits, where available) for the purpose of clean energy research and development and renewable energy production, including in hybrid systems. These additional flows cover the same technologies and other activities (research and development, technical assistance, etc.) as listed above and exclude all flows extracted from the OECD/DAC CRS.</w:t>
            </w:r>
          </w:p>
          <w:p w14:paraId="2C308665" w14:textId="77777777" w:rsidR="00E45009" w:rsidRPr="005A39C3" w:rsidRDefault="00E45009" w:rsidP="00E45009">
            <w:pPr>
              <w:pStyle w:val="NoSpacing"/>
              <w:rPr>
                <w:lang w:val="en-GB"/>
              </w:rPr>
            </w:pPr>
          </w:p>
          <w:p w14:paraId="5CA0AB6E" w14:textId="77777777" w:rsidR="00E45009" w:rsidRPr="005A39C3" w:rsidRDefault="00E45009" w:rsidP="00E45009">
            <w:pPr>
              <w:pStyle w:val="NoSpacing"/>
              <w:rPr>
                <w:lang w:val="en-GB"/>
              </w:rPr>
            </w:pPr>
            <w:r w:rsidRPr="005A39C3">
              <w:rPr>
                <w:b/>
                <w:bCs/>
                <w:lang w:val="en-GB"/>
              </w:rPr>
              <w:t>Concepts:</w:t>
            </w:r>
          </w:p>
          <w:p w14:paraId="1ADD7387" w14:textId="77777777" w:rsidR="00E45009" w:rsidRPr="005A39C3" w:rsidRDefault="00E45009" w:rsidP="0025292C">
            <w:pPr>
              <w:pStyle w:val="NoSpacing"/>
              <w:jc w:val="both"/>
              <w:rPr>
                <w:lang w:val="en-GB"/>
              </w:rPr>
            </w:pPr>
            <w:r w:rsidRPr="005A39C3">
              <w:rPr>
                <w:lang w:val="en-GB"/>
              </w:rPr>
              <w:t>The definition and classification of renewable technologies complies with the UN Standard International Energy Product Classification (SIEC). Definitions of other concepts are given above.</w:t>
            </w:r>
          </w:p>
          <w:p w14:paraId="3CA5D058" w14:textId="77777777" w:rsidR="00E45009" w:rsidRPr="005A39C3" w:rsidRDefault="00E45009" w:rsidP="0025292C">
            <w:pPr>
              <w:pStyle w:val="NoSpacing"/>
              <w:jc w:val="both"/>
              <w:rPr>
                <w:lang w:val="en-GB"/>
              </w:rPr>
            </w:pPr>
          </w:p>
          <w:p w14:paraId="403692B1" w14:textId="77777777" w:rsidR="00E45009" w:rsidRPr="005A39C3" w:rsidRDefault="00E45009" w:rsidP="0025292C">
            <w:pPr>
              <w:pStyle w:val="NoSpacing"/>
              <w:jc w:val="both"/>
              <w:rPr>
                <w:lang w:val="en-GB"/>
              </w:rPr>
            </w:pPr>
            <w:r w:rsidRPr="005A39C3">
              <w:rPr>
                <w:b/>
                <w:bCs/>
                <w:lang w:val="en-GB"/>
              </w:rPr>
              <w:t>Comments and limitations:</w:t>
            </w:r>
          </w:p>
          <w:p w14:paraId="08A65829" w14:textId="77777777" w:rsidR="00E45009" w:rsidRPr="005A39C3" w:rsidRDefault="00E45009" w:rsidP="0025292C">
            <w:pPr>
              <w:pStyle w:val="NoSpacing"/>
              <w:jc w:val="both"/>
              <w:rPr>
                <w:lang w:val="en-GB"/>
              </w:rPr>
            </w:pPr>
            <w:r w:rsidRPr="005A39C3">
              <w:rPr>
                <w:lang w:val="en-GB"/>
              </w:rPr>
              <w:t xml:space="preserve">Data in the Creditor Reporting System are available from 1973.  However, the data coverage is considered complete since 1995 for commitments at an activity level and 2002 for disbursements. At present, flows to clean energy research and development are only partially covered by the database and a few other areas (e.g. off-grid electricity supply, investments in improved cookstove projects) may be covered only partially. </w:t>
            </w:r>
          </w:p>
          <w:p w14:paraId="7090D7C9" w14:textId="77777777" w:rsidR="00E45009" w:rsidRPr="005A39C3" w:rsidRDefault="00E45009" w:rsidP="0025292C">
            <w:pPr>
              <w:pStyle w:val="NoSpacing"/>
              <w:jc w:val="both"/>
              <w:rPr>
                <w:lang w:val="en-GB"/>
              </w:rPr>
            </w:pPr>
          </w:p>
          <w:p w14:paraId="7FB33160" w14:textId="77777777" w:rsidR="00E45009" w:rsidRPr="005A39C3" w:rsidRDefault="00E45009" w:rsidP="0025292C">
            <w:pPr>
              <w:pStyle w:val="NoSpacing"/>
              <w:jc w:val="both"/>
              <w:rPr>
                <w:lang w:val="en-GB"/>
              </w:rPr>
            </w:pPr>
            <w:r w:rsidRPr="005A39C3">
              <w:rPr>
                <w:lang w:val="en-GB"/>
              </w:rPr>
              <w:t xml:space="preserve">The IRENA database currently only covers financial institutions that have invested a total of USD 400 million or more in renewable energy. The process of continuous improvement of the database includes verifying the data against data produced by the multilateral </w:t>
            </w:r>
            <w:r w:rsidRPr="005A39C3">
              <w:rPr>
                <w:lang w:val="en-GB"/>
              </w:rPr>
              <w:lastRenderedPageBreak/>
              <w:t>development banks for climate finance reporting and by comparing the data with other independent reporting by international development finance agencies.</w:t>
            </w:r>
          </w:p>
          <w:p w14:paraId="187A3DB8" w14:textId="77777777" w:rsidR="00E45009" w:rsidRPr="005A39C3" w:rsidRDefault="00E45009" w:rsidP="0025292C">
            <w:pPr>
              <w:pStyle w:val="NoSpacing"/>
              <w:jc w:val="both"/>
              <w:rPr>
                <w:b/>
                <w:bCs/>
                <w:lang w:val="en-GB"/>
              </w:rPr>
            </w:pPr>
          </w:p>
          <w:p w14:paraId="249E697A" w14:textId="77777777" w:rsidR="00E45009" w:rsidRPr="005A39C3" w:rsidRDefault="00E45009" w:rsidP="0025292C">
            <w:pPr>
              <w:pStyle w:val="NoSpacing"/>
              <w:jc w:val="both"/>
              <w:rPr>
                <w:lang w:val="en-GB"/>
              </w:rPr>
            </w:pPr>
            <w:r w:rsidRPr="005A39C3">
              <w:rPr>
                <w:b/>
                <w:bCs/>
                <w:lang w:val="en-GB"/>
              </w:rPr>
              <w:t>Computation Method:</w:t>
            </w:r>
          </w:p>
          <w:p w14:paraId="6C41388C" w14:textId="77777777" w:rsidR="00E45009" w:rsidRPr="005A39C3" w:rsidRDefault="00E45009" w:rsidP="0025292C">
            <w:pPr>
              <w:pStyle w:val="NoSpacing"/>
              <w:jc w:val="both"/>
              <w:rPr>
                <w:lang w:val="en-GB"/>
              </w:rPr>
            </w:pPr>
            <w:r w:rsidRPr="005A39C3">
              <w:rPr>
                <w:lang w:val="en-GB"/>
              </w:rPr>
              <w:t>The OECD flows are calculated by taking the total official flows (ODA and OOF) from DAC member countries, multilateral organisations and other providers of development assistance to the sectors listed above. The IRENA (additional) flows are calculated by taking the total public investment flows from IRENA’s Public Renewable Energy Investment Database and excluding: domestic financial flows; international flows to countries outside developing regions; and flows reported by OECD (as described above). The flows are measured in current United States Dollars (USD).</w:t>
            </w:r>
          </w:p>
          <w:p w14:paraId="1D233ACA" w14:textId="77777777" w:rsidR="00E45009" w:rsidRDefault="00E45009" w:rsidP="00E45009">
            <w:pPr>
              <w:pStyle w:val="NoSpacing"/>
            </w:pPr>
          </w:p>
        </w:tc>
        <w:tc>
          <w:tcPr>
            <w:tcW w:w="0" w:type="auto"/>
            <w:shd w:val="clear" w:color="auto" w:fill="auto"/>
          </w:tcPr>
          <w:p w14:paraId="6B930875" w14:textId="77777777" w:rsidR="00E45009" w:rsidRPr="00873FDE" w:rsidRDefault="00E45009" w:rsidP="00E45009">
            <w:r w:rsidRPr="00873FDE">
              <w:lastRenderedPageBreak/>
              <w:t>Official and private resource flows</w:t>
            </w:r>
          </w:p>
        </w:tc>
        <w:tc>
          <w:tcPr>
            <w:tcW w:w="0" w:type="auto"/>
            <w:shd w:val="clear" w:color="auto" w:fill="auto"/>
          </w:tcPr>
          <w:p w14:paraId="02B86FBC" w14:textId="77777777" w:rsidR="00E45009" w:rsidRPr="00873FDE" w:rsidRDefault="00E45009" w:rsidP="00E45009">
            <w:r w:rsidRPr="00873FDE">
              <w:t>National administration</w:t>
            </w:r>
          </w:p>
        </w:tc>
        <w:tc>
          <w:tcPr>
            <w:tcW w:w="0" w:type="auto"/>
            <w:shd w:val="clear" w:color="auto" w:fill="auto"/>
          </w:tcPr>
          <w:p w14:paraId="78A34341" w14:textId="77777777" w:rsidR="00E45009" w:rsidRDefault="00E45009" w:rsidP="00E45009">
            <w:pPr>
              <w:spacing w:line="276" w:lineRule="auto"/>
              <w:jc w:val="center"/>
              <w:rPr>
                <w:rFonts w:eastAsia="Times New Roman" w:cs="Times New Roman"/>
                <w:color w:val="000000" w:themeColor="text1"/>
                <w:szCs w:val="20"/>
              </w:rPr>
            </w:pPr>
            <w:r w:rsidRPr="00BC6F10">
              <w:rPr>
                <w:rFonts w:eastAsia="Times New Roman" w:cs="Times New Roman"/>
                <w:color w:val="000000" w:themeColor="text1"/>
                <w:szCs w:val="20"/>
              </w:rPr>
              <w:t>ERD</w:t>
            </w:r>
          </w:p>
          <w:p w14:paraId="2A580B27" w14:textId="77777777" w:rsidR="00E45009" w:rsidRDefault="00E45009" w:rsidP="00E45009">
            <w:pPr>
              <w:pStyle w:val="NoSpacing"/>
            </w:pPr>
            <w:r>
              <w:rPr>
                <w:rFonts w:eastAsia="Times New Roman" w:cs="Times New Roman"/>
                <w:color w:val="000000" w:themeColor="text1"/>
                <w:szCs w:val="20"/>
              </w:rPr>
              <w:t>Administrative Data</w:t>
            </w:r>
          </w:p>
        </w:tc>
        <w:tc>
          <w:tcPr>
            <w:tcW w:w="0" w:type="auto"/>
            <w:shd w:val="clear" w:color="auto" w:fill="auto"/>
          </w:tcPr>
          <w:p w14:paraId="0EB0AF5D" w14:textId="77777777" w:rsidR="00E45009" w:rsidRDefault="00E45009" w:rsidP="00E45009">
            <w:pPr>
              <w:spacing w:line="276" w:lineRule="auto"/>
              <w:jc w:val="center"/>
              <w:rPr>
                <w:rFonts w:eastAsia="Times New Roman" w:cs="Times New Roman"/>
                <w:color w:val="000000" w:themeColor="text1"/>
                <w:szCs w:val="20"/>
              </w:rPr>
            </w:pPr>
            <w:r w:rsidRPr="00BC6F10">
              <w:rPr>
                <w:rFonts w:eastAsia="Times New Roman" w:cs="Times New Roman"/>
                <w:color w:val="000000" w:themeColor="text1"/>
                <w:szCs w:val="20"/>
              </w:rPr>
              <w:t>ERD</w:t>
            </w:r>
          </w:p>
          <w:p w14:paraId="2B442E3F" w14:textId="77777777" w:rsidR="00E45009" w:rsidRDefault="00E45009" w:rsidP="00E45009">
            <w:pPr>
              <w:ind w:left="970" w:hanging="970"/>
              <w:jc w:val="both"/>
              <w:rPr>
                <w:rFonts w:eastAsia="Times New Roman" w:cs="Times New Roman"/>
                <w:color w:val="000000" w:themeColor="text1"/>
                <w:szCs w:val="20"/>
              </w:rPr>
            </w:pPr>
            <w:r>
              <w:rPr>
                <w:rFonts w:eastAsia="Times New Roman" w:cs="Times New Roman"/>
                <w:color w:val="000000" w:themeColor="text1"/>
                <w:szCs w:val="20"/>
              </w:rPr>
              <w:t>Adminis</w:t>
            </w:r>
          </w:p>
          <w:p w14:paraId="71AEE7D9" w14:textId="77777777" w:rsidR="00E45009" w:rsidRDefault="00E45009" w:rsidP="00E45009">
            <w:pPr>
              <w:ind w:left="970" w:hanging="970"/>
              <w:jc w:val="both"/>
              <w:rPr>
                <w:rFonts w:eastAsia="Times New Roman" w:cs="Times New Roman"/>
                <w:color w:val="000000" w:themeColor="text1"/>
                <w:szCs w:val="20"/>
              </w:rPr>
            </w:pPr>
            <w:r>
              <w:rPr>
                <w:rFonts w:eastAsia="Times New Roman" w:cs="Times New Roman"/>
                <w:color w:val="000000" w:themeColor="text1"/>
                <w:szCs w:val="20"/>
              </w:rPr>
              <w:t xml:space="preserve">trative </w:t>
            </w:r>
          </w:p>
          <w:p w14:paraId="5E015C2D" w14:textId="77777777" w:rsidR="00E45009" w:rsidRDefault="00E45009" w:rsidP="00E45009">
            <w:pPr>
              <w:ind w:left="970" w:hanging="970"/>
              <w:jc w:val="both"/>
              <w:rPr>
                <w:color w:val="0070C0"/>
                <w:sz w:val="30"/>
                <w:szCs w:val="30"/>
              </w:rPr>
            </w:pPr>
            <w:r>
              <w:rPr>
                <w:rFonts w:eastAsia="Times New Roman" w:cs="Times New Roman"/>
                <w:color w:val="000000" w:themeColor="text1"/>
                <w:szCs w:val="20"/>
              </w:rPr>
              <w:t>Data</w:t>
            </w:r>
          </w:p>
        </w:tc>
        <w:tc>
          <w:tcPr>
            <w:tcW w:w="0" w:type="auto"/>
            <w:shd w:val="clear" w:color="auto" w:fill="auto"/>
          </w:tcPr>
          <w:p w14:paraId="753A1D5C"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IRENA:</w:t>
            </w:r>
            <w:r>
              <w:rPr>
                <w:rFonts w:ascii="Tw Cen MT Condensed" w:hAnsi="Tw Cen MT Condensed"/>
              </w:rPr>
              <w:t xml:space="preserve"> </w:t>
            </w:r>
            <w:r w:rsidRPr="00DF1537">
              <w:rPr>
                <w:rFonts w:ascii="Tw Cen MT Condensed" w:hAnsi="Tw Cen MT Condensed"/>
              </w:rPr>
              <w:t>type of technology of financial flow: bio</w:t>
            </w:r>
            <w:r>
              <w:rPr>
                <w:rFonts w:ascii="Tw Cen MT Condensed" w:hAnsi="Tw Cen MT Condensed"/>
              </w:rPr>
              <w:t>-</w:t>
            </w:r>
            <w:r w:rsidRPr="00DF1537">
              <w:rPr>
                <w:rFonts w:ascii="Tw Cen MT Condensed" w:hAnsi="Tw Cen MT Condensed"/>
              </w:rPr>
              <w:t>energy, geothermal energy, hydropower, ocean energy, solar energy, and wind energy</w:t>
            </w:r>
          </w:p>
          <w:p w14:paraId="51854BA8"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IRENA: country: source country, recipient country</w:t>
            </w:r>
          </w:p>
          <w:p w14:paraId="01B441FA"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 xml:space="preserve">Data in IRENA: type of recipient: </w:t>
            </w:r>
          </w:p>
          <w:p w14:paraId="7B53D468"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IRENA: geographical location: country, region</w:t>
            </w:r>
          </w:p>
          <w:p w14:paraId="5A0889A6"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IRENA: type of financial instrument</w:t>
            </w:r>
          </w:p>
          <w:p w14:paraId="14959D6B"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CRS: type of flow: ODA, OOF</w:t>
            </w:r>
          </w:p>
          <w:p w14:paraId="4AC4CBDE"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CRS:</w:t>
            </w:r>
            <w:r>
              <w:rPr>
                <w:rFonts w:ascii="Tw Cen MT Condensed" w:hAnsi="Tw Cen MT Condensed"/>
              </w:rPr>
              <w:t xml:space="preserve"> </w:t>
            </w:r>
            <w:r w:rsidRPr="00DF1537">
              <w:rPr>
                <w:rFonts w:ascii="Tw Cen MT Condensed" w:hAnsi="Tw Cen MT Condensed"/>
              </w:rPr>
              <w:t>donor country</w:t>
            </w:r>
          </w:p>
          <w:p w14:paraId="7ACDCDC0"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CRS: recipient country</w:t>
            </w:r>
          </w:p>
          <w:p w14:paraId="445B313E" w14:textId="77777777" w:rsidR="00E45009" w:rsidRPr="00DF1537"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CRS: type of finance</w:t>
            </w:r>
          </w:p>
          <w:p w14:paraId="797CDFFA" w14:textId="77777777" w:rsidR="00E45009" w:rsidRPr="00BC6F10" w:rsidRDefault="00E45009" w:rsidP="00E45009">
            <w:pPr>
              <w:pStyle w:val="ListParagraph"/>
              <w:numPr>
                <w:ilvl w:val="0"/>
                <w:numId w:val="48"/>
              </w:numPr>
              <w:spacing w:after="0" w:line="240" w:lineRule="auto"/>
              <w:ind w:left="160" w:hanging="160"/>
              <w:rPr>
                <w:rFonts w:ascii="Tw Cen MT Condensed" w:hAnsi="Tw Cen MT Condensed"/>
              </w:rPr>
            </w:pPr>
            <w:r w:rsidRPr="00DF1537">
              <w:rPr>
                <w:rFonts w:ascii="Tw Cen MT Condensed" w:hAnsi="Tw Cen MT Condensed"/>
              </w:rPr>
              <w:t>Data in CRS:</w:t>
            </w:r>
            <w:r>
              <w:rPr>
                <w:rFonts w:ascii="Tw Cen MT Condensed" w:hAnsi="Tw Cen MT Condensed"/>
              </w:rPr>
              <w:t xml:space="preserve"> </w:t>
            </w:r>
            <w:r w:rsidRPr="00DF1537">
              <w:rPr>
                <w:rFonts w:ascii="Tw Cen MT Condensed" w:hAnsi="Tw Cen MT Condensed"/>
              </w:rPr>
              <w:t>type of aid: project, agriculture sub-sector</w:t>
            </w:r>
          </w:p>
        </w:tc>
        <w:tc>
          <w:tcPr>
            <w:tcW w:w="0" w:type="auto"/>
            <w:shd w:val="clear" w:color="auto" w:fill="auto"/>
          </w:tcPr>
          <w:p w14:paraId="46A96C76" w14:textId="77777777" w:rsidR="00E45009" w:rsidRDefault="00E45009" w:rsidP="00E45009">
            <w:pPr>
              <w:ind w:left="970" w:hanging="970"/>
              <w:jc w:val="both"/>
              <w:rPr>
                <w:color w:val="0070C0"/>
                <w:sz w:val="30"/>
                <w:szCs w:val="30"/>
              </w:rPr>
            </w:pPr>
            <w:r w:rsidRPr="00BC6F10">
              <w:t>Annual</w:t>
            </w:r>
          </w:p>
        </w:tc>
        <w:tc>
          <w:tcPr>
            <w:tcW w:w="0" w:type="auto"/>
            <w:shd w:val="clear" w:color="auto" w:fill="auto"/>
          </w:tcPr>
          <w:p w14:paraId="6CB2C168" w14:textId="77777777" w:rsidR="00E45009" w:rsidRDefault="00E45009" w:rsidP="00E45009">
            <w:pPr>
              <w:ind w:left="970" w:hanging="970"/>
              <w:jc w:val="both"/>
              <w:rPr>
                <w:color w:val="0070C0"/>
                <w:sz w:val="30"/>
                <w:szCs w:val="30"/>
              </w:rPr>
            </w:pPr>
            <w:r>
              <w:t>Group 1</w:t>
            </w:r>
          </w:p>
        </w:tc>
        <w:tc>
          <w:tcPr>
            <w:tcW w:w="0" w:type="auto"/>
            <w:shd w:val="clear" w:color="auto" w:fill="auto"/>
          </w:tcPr>
          <w:p w14:paraId="20B2AB1E" w14:textId="77777777" w:rsidR="00E45009" w:rsidRDefault="00E45009" w:rsidP="00E45009">
            <w:pPr>
              <w:pStyle w:val="NoSpacing"/>
            </w:pPr>
            <w:r>
              <w:t>1</w:t>
            </w:r>
            <w:r w:rsidRPr="00013ACB">
              <w:rPr>
                <w:vertAlign w:val="superscript"/>
              </w:rPr>
              <w:t>st</w:t>
            </w:r>
            <w:r>
              <w:t xml:space="preserve"> Round: </w:t>
            </w:r>
          </w:p>
          <w:p w14:paraId="015B6CF4" w14:textId="77777777" w:rsidR="00E45009" w:rsidRDefault="00E45009" w:rsidP="00E45009">
            <w:pPr>
              <w:pStyle w:val="NoSpacing"/>
            </w:pPr>
            <w:r>
              <w:t>2016</w:t>
            </w:r>
          </w:p>
          <w:p w14:paraId="2B6F71F5" w14:textId="77777777" w:rsidR="00E45009" w:rsidRDefault="00E45009" w:rsidP="00E45009">
            <w:pPr>
              <w:pStyle w:val="NoSpacing"/>
            </w:pPr>
            <w:r>
              <w:t>2</w:t>
            </w:r>
            <w:r w:rsidRPr="00013ACB">
              <w:rPr>
                <w:vertAlign w:val="superscript"/>
              </w:rPr>
              <w:t>nd</w:t>
            </w:r>
            <w:r>
              <w:t xml:space="preserve"> Round: </w:t>
            </w:r>
          </w:p>
          <w:p w14:paraId="6D738903" w14:textId="77777777" w:rsidR="00E45009" w:rsidRDefault="00E45009" w:rsidP="00E45009">
            <w:r w:rsidRPr="00BC6F10">
              <w:t>Jul</w:t>
            </w:r>
            <w:r>
              <w:t>y 20</w:t>
            </w:r>
            <w:r w:rsidRPr="00BC6F10">
              <w:t>19</w:t>
            </w:r>
          </w:p>
          <w:p w14:paraId="045C2899" w14:textId="77777777" w:rsidR="00E45009" w:rsidRDefault="00E45009" w:rsidP="00E45009">
            <w:pPr>
              <w:pStyle w:val="NoSpacing"/>
            </w:pPr>
          </w:p>
          <w:p w14:paraId="5E8E320C" w14:textId="77777777" w:rsidR="00E45009" w:rsidRDefault="00E45009" w:rsidP="00E45009">
            <w:pPr>
              <w:pStyle w:val="NoSpacing"/>
            </w:pPr>
            <w:r>
              <w:t>3</w:t>
            </w:r>
            <w:r w:rsidRPr="00013ACB">
              <w:rPr>
                <w:vertAlign w:val="superscript"/>
              </w:rPr>
              <w:t>rd</w:t>
            </w:r>
            <w:r>
              <w:t xml:space="preserve"> Round: </w:t>
            </w:r>
          </w:p>
          <w:p w14:paraId="1022E69B" w14:textId="77777777" w:rsidR="00E45009" w:rsidRDefault="00E45009" w:rsidP="00E45009">
            <w:r w:rsidRPr="00BC6F10">
              <w:t>Jul</w:t>
            </w:r>
            <w:r>
              <w:t>y 2020</w:t>
            </w:r>
          </w:p>
          <w:p w14:paraId="25F57F88" w14:textId="77777777" w:rsidR="00E45009" w:rsidRDefault="00E45009" w:rsidP="00E45009">
            <w:pPr>
              <w:pStyle w:val="NoSpacing"/>
            </w:pPr>
          </w:p>
          <w:p w14:paraId="562A5939" w14:textId="77777777" w:rsidR="00E45009" w:rsidRDefault="00E45009" w:rsidP="00E45009">
            <w:pPr>
              <w:pStyle w:val="NoSpacing"/>
            </w:pPr>
            <w:r>
              <w:t>4</w:t>
            </w:r>
            <w:r w:rsidRPr="00013ACB">
              <w:rPr>
                <w:vertAlign w:val="superscript"/>
              </w:rPr>
              <w:t>th</w:t>
            </w:r>
            <w:r>
              <w:t xml:space="preserve"> Round: </w:t>
            </w:r>
          </w:p>
          <w:p w14:paraId="31ADD139" w14:textId="77777777" w:rsidR="00E45009" w:rsidRDefault="00E45009" w:rsidP="00E45009">
            <w:r w:rsidRPr="00BC6F10">
              <w:t>Jul</w:t>
            </w:r>
            <w:r>
              <w:t>y 2021</w:t>
            </w:r>
          </w:p>
          <w:p w14:paraId="744058A9" w14:textId="77777777" w:rsidR="00E45009" w:rsidRDefault="00E45009" w:rsidP="00E45009">
            <w:pPr>
              <w:pStyle w:val="NoSpacing"/>
            </w:pPr>
          </w:p>
          <w:p w14:paraId="63964D3E" w14:textId="77777777" w:rsidR="00E45009" w:rsidRDefault="00E45009" w:rsidP="00E45009">
            <w:pPr>
              <w:pStyle w:val="NoSpacing"/>
            </w:pPr>
            <w:r>
              <w:t>5</w:t>
            </w:r>
            <w:r w:rsidRPr="00013ACB">
              <w:rPr>
                <w:vertAlign w:val="superscript"/>
              </w:rPr>
              <w:t>th</w:t>
            </w:r>
            <w:r>
              <w:t xml:space="preserve"> Round: </w:t>
            </w:r>
          </w:p>
          <w:p w14:paraId="181E3B7D" w14:textId="77777777" w:rsidR="00E45009" w:rsidRDefault="00E45009" w:rsidP="00E45009">
            <w:r w:rsidRPr="00BC6F10">
              <w:t>Jul</w:t>
            </w:r>
            <w:r>
              <w:t>y 2022</w:t>
            </w:r>
          </w:p>
          <w:p w14:paraId="5ADCD677" w14:textId="7C2C125D" w:rsidR="00E45009" w:rsidRPr="00BC6F10" w:rsidRDefault="00E45009" w:rsidP="00E45009">
            <w:pPr>
              <w:jc w:val="center"/>
            </w:pPr>
          </w:p>
        </w:tc>
        <w:tc>
          <w:tcPr>
            <w:tcW w:w="0" w:type="auto"/>
            <w:shd w:val="clear" w:color="auto" w:fill="auto"/>
          </w:tcPr>
          <w:p w14:paraId="651C8BF0" w14:textId="77777777" w:rsidR="00E45009" w:rsidRPr="00785FED" w:rsidRDefault="00E45009" w:rsidP="00E45009">
            <w:pPr>
              <w:pStyle w:val="NoSpacing"/>
            </w:pPr>
            <w:r w:rsidRPr="00785FED">
              <w:t>Data availability reviewed in Oct. 2019</w:t>
            </w:r>
          </w:p>
          <w:p w14:paraId="133167EF" w14:textId="77777777" w:rsidR="00E45009" w:rsidRPr="00785FED" w:rsidRDefault="00E45009" w:rsidP="00E45009">
            <w:pPr>
              <w:pStyle w:val="NoSpacing"/>
            </w:pPr>
            <w:r w:rsidRPr="00785FED">
              <w:t>(classified as Tier I)</w:t>
            </w:r>
          </w:p>
          <w:p w14:paraId="696CE4F5" w14:textId="77777777" w:rsidR="00E45009" w:rsidRPr="00785FED" w:rsidRDefault="00E45009" w:rsidP="00E45009">
            <w:pPr>
              <w:ind w:left="970" w:hanging="970"/>
              <w:jc w:val="both"/>
              <w:rPr>
                <w:color w:val="0070C0"/>
                <w:sz w:val="30"/>
                <w:szCs w:val="30"/>
              </w:rPr>
            </w:pPr>
          </w:p>
          <w:p w14:paraId="1198807F" w14:textId="77777777" w:rsidR="00E45009" w:rsidRPr="00785FED" w:rsidRDefault="00E45009" w:rsidP="00E45009">
            <w:pPr>
              <w:pStyle w:val="NoSpacing"/>
            </w:pPr>
            <w:r w:rsidRPr="00785FED">
              <w:t>Reviewed at 6th IAEG-SDG meeting (classified as Tier II)</w:t>
            </w:r>
          </w:p>
          <w:p w14:paraId="2286346C" w14:textId="77777777" w:rsidR="00E45009" w:rsidRPr="00785FED" w:rsidRDefault="00E45009" w:rsidP="00E45009">
            <w:pPr>
              <w:ind w:left="970" w:hanging="970"/>
              <w:jc w:val="both"/>
              <w:rPr>
                <w:color w:val="0070C0"/>
                <w:sz w:val="30"/>
                <w:szCs w:val="30"/>
              </w:rPr>
            </w:pPr>
          </w:p>
          <w:p w14:paraId="1195D420" w14:textId="41C96695" w:rsidR="00E45009" w:rsidRDefault="00E45009" w:rsidP="00E45009">
            <w:pPr>
              <w:pStyle w:val="NoSpacing"/>
            </w:pPr>
            <w:r w:rsidRPr="00785FED">
              <w:t xml:space="preserve">UNSC 48 refinement, Reviewed at 5th IAEG-SDG meeting: Internationally agreed methodology and standard needs to be developed (classified as </w:t>
            </w:r>
            <w:r w:rsidR="006B621F">
              <w:t>TBD</w:t>
            </w:r>
            <w:r w:rsidRPr="00785FED">
              <w:t>)</w:t>
            </w:r>
          </w:p>
        </w:tc>
      </w:tr>
      <w:tr w:rsidR="00E45009" w14:paraId="22C55A56" w14:textId="77777777" w:rsidTr="0025292C">
        <w:tc>
          <w:tcPr>
            <w:tcW w:w="0" w:type="auto"/>
            <w:shd w:val="clear" w:color="auto" w:fill="auto"/>
          </w:tcPr>
          <w:p w14:paraId="2327FA34" w14:textId="77777777" w:rsidR="00E45009" w:rsidRPr="004626CF" w:rsidRDefault="00E45009" w:rsidP="00E45009">
            <w:pPr>
              <w:pStyle w:val="NoSpacing"/>
            </w:pPr>
          </w:p>
        </w:tc>
        <w:tc>
          <w:tcPr>
            <w:tcW w:w="0" w:type="auto"/>
            <w:gridSpan w:val="12"/>
            <w:shd w:val="clear" w:color="auto" w:fill="auto"/>
          </w:tcPr>
          <w:p w14:paraId="4FB66173" w14:textId="77777777" w:rsidR="00E45009" w:rsidRDefault="00E45009" w:rsidP="00E45009">
            <w:pPr>
              <w:ind w:left="970" w:hanging="970"/>
              <w:jc w:val="both"/>
              <w:rPr>
                <w:color w:val="0070C0"/>
                <w:sz w:val="30"/>
                <w:szCs w:val="30"/>
              </w:rPr>
            </w:pPr>
            <w:r>
              <w:rPr>
                <w:color w:val="0070C0"/>
                <w:sz w:val="30"/>
                <w:szCs w:val="30"/>
              </w:rPr>
              <w:t xml:space="preserve">Target </w:t>
            </w:r>
            <w:r w:rsidRPr="006429A5">
              <w:rPr>
                <w:color w:val="0070C0"/>
                <w:sz w:val="30"/>
                <w:szCs w:val="30"/>
              </w:rPr>
              <w:t>7.b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r>
      <w:tr w:rsidR="00E45009" w14:paraId="157CC9E1" w14:textId="77777777" w:rsidTr="0025292C">
        <w:tc>
          <w:tcPr>
            <w:tcW w:w="0" w:type="auto"/>
            <w:shd w:val="clear" w:color="auto" w:fill="auto"/>
          </w:tcPr>
          <w:p w14:paraId="08275BC1" w14:textId="77777777" w:rsidR="00E45009" w:rsidRPr="008A7088" w:rsidRDefault="00E45009" w:rsidP="00E45009">
            <w:pPr>
              <w:pStyle w:val="NoSpacing"/>
            </w:pPr>
            <w:r>
              <w:t>7.b.1 Installed renewable</w:t>
            </w:r>
            <w:r>
              <w:rPr>
                <w:lang w:bidi="bn-BD"/>
              </w:rPr>
              <w:t xml:space="preserve"> electricity</w:t>
            </w:r>
            <w:r>
              <w:t xml:space="preserve"> </w:t>
            </w:r>
            <w:r w:rsidRPr="004626CF">
              <w:t>generating capacity in developing countries (in watts per capita)</w:t>
            </w:r>
          </w:p>
        </w:tc>
        <w:tc>
          <w:tcPr>
            <w:tcW w:w="0" w:type="auto"/>
            <w:shd w:val="clear" w:color="auto" w:fill="auto"/>
          </w:tcPr>
          <w:p w14:paraId="68F7ABAA" w14:textId="77777777" w:rsidR="00E45009" w:rsidRPr="00B16A54" w:rsidRDefault="00E45009" w:rsidP="00E45009">
            <w:pPr>
              <w:pStyle w:val="NoSpacing"/>
            </w:pPr>
            <w:r w:rsidRPr="00B16A54">
              <w:rPr>
                <w:rFonts w:cs="Calibri"/>
                <w:szCs w:val="20"/>
              </w:rPr>
              <w:t>International Renewable Energy Agency (IRENA)</w:t>
            </w:r>
          </w:p>
        </w:tc>
        <w:tc>
          <w:tcPr>
            <w:tcW w:w="0" w:type="auto"/>
            <w:shd w:val="clear" w:color="auto" w:fill="auto"/>
          </w:tcPr>
          <w:p w14:paraId="00818D93" w14:textId="66713213" w:rsidR="00E45009" w:rsidRDefault="00754676" w:rsidP="00E45009">
            <w:pPr>
              <w:pStyle w:val="NoSpacing"/>
            </w:pPr>
            <w:r>
              <w:t>TBD</w:t>
            </w:r>
          </w:p>
          <w:p w14:paraId="0520FAB3" w14:textId="1F9AFBD7" w:rsidR="00E45009" w:rsidRDefault="00E45009" w:rsidP="00E45009">
            <w:pPr>
              <w:pStyle w:val="NoSpacing"/>
              <w:rPr>
                <w:color w:val="0070C0"/>
                <w:sz w:val="30"/>
                <w:szCs w:val="30"/>
              </w:rPr>
            </w:pPr>
          </w:p>
        </w:tc>
        <w:tc>
          <w:tcPr>
            <w:tcW w:w="0" w:type="auto"/>
            <w:shd w:val="clear" w:color="auto" w:fill="auto"/>
          </w:tcPr>
          <w:p w14:paraId="5D3E64A4" w14:textId="77777777" w:rsidR="00E45009" w:rsidRPr="009B0A53" w:rsidRDefault="00E45009" w:rsidP="00E45009">
            <w:pPr>
              <w:pStyle w:val="NoSpacing"/>
            </w:pPr>
            <w:r w:rsidRPr="009B0A53">
              <w:rPr>
                <w:b/>
              </w:rPr>
              <w:t>Definition:</w:t>
            </w:r>
            <w:r w:rsidRPr="009B0A53">
              <w:t xml:space="preserve"> </w:t>
            </w:r>
          </w:p>
          <w:p w14:paraId="3DA7D515" w14:textId="77777777" w:rsidR="00E45009" w:rsidRPr="009B0A53" w:rsidRDefault="00E45009" w:rsidP="0025292C">
            <w:pPr>
              <w:pStyle w:val="NoSpacing"/>
              <w:jc w:val="both"/>
            </w:pPr>
            <w:r w:rsidRPr="009B0A53">
              <w:t xml:space="preserve">The indicator is defined as the installed capacity of power plants that generate electricity from renewable energy sources divided by the total population of a country. Capacity is defined as the net maximum electrical capacity installed at the year-end and renewable energy sources are as defined in the IRENA Statute (see concepts below).  </w:t>
            </w:r>
          </w:p>
          <w:p w14:paraId="6AA657A0" w14:textId="77777777" w:rsidR="00E45009" w:rsidRPr="009B0A53" w:rsidRDefault="00E45009" w:rsidP="0025292C">
            <w:pPr>
              <w:pStyle w:val="NoSpacing"/>
              <w:jc w:val="both"/>
            </w:pPr>
            <w:r w:rsidRPr="009B0A53">
              <w:rPr>
                <w:b/>
              </w:rPr>
              <w:t>Concepts:</w:t>
            </w:r>
            <w:r w:rsidRPr="009B0A53">
              <w:t xml:space="preserve"> </w:t>
            </w:r>
          </w:p>
          <w:p w14:paraId="0A7C7C88" w14:textId="77777777" w:rsidR="00E45009" w:rsidRPr="009B0A53" w:rsidRDefault="00E45009" w:rsidP="0025292C">
            <w:pPr>
              <w:pStyle w:val="NoSpacing"/>
              <w:jc w:val="both"/>
            </w:pPr>
            <w:r w:rsidRPr="009B0A53">
              <w:t xml:space="preserve">Electricity capacity is defined in the International Recommendations for Energy Statistics or IRES (UN, 2018) as the maximum active power that can be supplied continuously (i.e., throughout a prolonged period in a day with the whole plant running) at the point of outlet (i.e., after taking the power supplies for the station auxiliaries and allowing for the losses in those transformers considered integral to the station). This assumes no restriction of interconnection to the network. It does not include overload capacity that can only be sustained for a short period of time (e.g., internal combustion engines momentarily running above their rated capacity). </w:t>
            </w:r>
          </w:p>
          <w:p w14:paraId="64C213FE" w14:textId="77777777" w:rsidR="00E45009" w:rsidRPr="009B0A53" w:rsidRDefault="00E45009" w:rsidP="0025292C">
            <w:pPr>
              <w:pStyle w:val="NoSpacing"/>
              <w:jc w:val="both"/>
            </w:pPr>
            <w:r w:rsidRPr="009B0A53">
              <w:t xml:space="preserve"> </w:t>
            </w:r>
          </w:p>
          <w:p w14:paraId="0485E605" w14:textId="77777777" w:rsidR="00E45009" w:rsidRPr="009B0A53" w:rsidRDefault="00E45009" w:rsidP="0025292C">
            <w:pPr>
              <w:pStyle w:val="NoSpacing"/>
              <w:jc w:val="both"/>
            </w:pPr>
            <w:r w:rsidRPr="009B0A53">
              <w:t xml:space="preserve">The IRENA Statute defines renewable energy to include energy from the following sources: hydropower; marine energy (ocean, tidal and </w:t>
            </w:r>
            <w:r w:rsidRPr="009B0A53">
              <w:lastRenderedPageBreak/>
              <w:t xml:space="preserve">wave energy); wind energy; solar energy (photovoltaic and thermal energy); bioenergy; and geothermal energy. </w:t>
            </w:r>
          </w:p>
          <w:p w14:paraId="1FD61321" w14:textId="77777777" w:rsidR="00E45009" w:rsidRPr="009B0A53" w:rsidRDefault="00E45009" w:rsidP="0025292C">
            <w:pPr>
              <w:pStyle w:val="NoSpacing"/>
              <w:jc w:val="both"/>
            </w:pPr>
            <w:r w:rsidRPr="009B0A53">
              <w:t xml:space="preserve"> </w:t>
            </w:r>
          </w:p>
          <w:p w14:paraId="72A88D23" w14:textId="77777777" w:rsidR="00E45009" w:rsidRPr="009B0A53" w:rsidRDefault="00E45009" w:rsidP="0025292C">
            <w:pPr>
              <w:pStyle w:val="NoSpacing"/>
              <w:jc w:val="both"/>
            </w:pPr>
            <w:r w:rsidRPr="009B0A53">
              <w:rPr>
                <w:b/>
              </w:rPr>
              <w:t>Comments and limitations:</w:t>
            </w:r>
            <w:r w:rsidRPr="009B0A53">
              <w:t xml:space="preserve"> </w:t>
            </w:r>
          </w:p>
          <w:p w14:paraId="473B61BD" w14:textId="77777777" w:rsidR="00E45009" w:rsidRPr="009B0A53" w:rsidRDefault="00E45009" w:rsidP="0025292C">
            <w:pPr>
              <w:pStyle w:val="NoSpacing"/>
              <w:jc w:val="both"/>
            </w:pPr>
            <w:r w:rsidRPr="009B0A53">
              <w:t xml:space="preserve">At present, electricity only accounts for about one-quarter of total energy use in the World and an even lower share of energy use in most developing countries. The focus of this indicator on electricity capacity does not capture any trends in the modernisation of technologies used to produce heat or provide energy for transport. </w:t>
            </w:r>
          </w:p>
          <w:p w14:paraId="4C216A66" w14:textId="77777777" w:rsidR="00E45009" w:rsidRPr="009B0A53" w:rsidRDefault="00E45009" w:rsidP="0025292C">
            <w:pPr>
              <w:pStyle w:val="NoSpacing"/>
              <w:jc w:val="both"/>
            </w:pPr>
            <w:r w:rsidRPr="009B0A53">
              <w:t xml:space="preserve"> </w:t>
            </w:r>
          </w:p>
          <w:p w14:paraId="38FBA39F" w14:textId="77777777" w:rsidR="00E45009" w:rsidRPr="009B0A53" w:rsidRDefault="00E45009" w:rsidP="0025292C">
            <w:pPr>
              <w:pStyle w:val="NoSpacing"/>
              <w:jc w:val="both"/>
            </w:pPr>
            <w:r w:rsidRPr="009B0A53">
              <w:t xml:space="preserve">However, with the growing trend towards electrification of energy end-uses, the focus here on electricity may become less of a weakness in the future and may also serve as a general indicator of the progress towards greater electrification in developing counties. That, in itself, should be seen as a shift towards the use of more modern technology to deliver sustainable energy services. </w:t>
            </w:r>
          </w:p>
          <w:p w14:paraId="28C0D910" w14:textId="77777777" w:rsidR="00E45009" w:rsidRPr="009B0A53" w:rsidRDefault="00E45009" w:rsidP="0025292C">
            <w:pPr>
              <w:pStyle w:val="NoSpacing"/>
              <w:jc w:val="both"/>
            </w:pPr>
            <w:r w:rsidRPr="009B0A53">
              <w:t xml:space="preserve"> </w:t>
            </w:r>
          </w:p>
          <w:p w14:paraId="09540D89" w14:textId="77777777" w:rsidR="00E45009" w:rsidRPr="009B0A53" w:rsidRDefault="00E45009" w:rsidP="0025292C">
            <w:pPr>
              <w:pStyle w:val="NoSpacing"/>
              <w:jc w:val="both"/>
            </w:pPr>
            <w:r w:rsidRPr="009B0A53">
              <w:t xml:space="preserve">Furthermore, as reflected in many national policies, plans and targets, increasing the production of electricity and, in particular, renewable electricity, is seen by many countries as a first priority in their transition to the delivery of more modern and sustainable energy services. Thus, this indicator is a useful first-step towards measuring overall progress on this target that reflects country priorities and can be used until other additional or better indicators can be developed. </w:t>
            </w:r>
          </w:p>
          <w:p w14:paraId="7898089F" w14:textId="77777777" w:rsidR="00E45009" w:rsidRPr="009B0A53" w:rsidRDefault="00E45009" w:rsidP="0025292C">
            <w:pPr>
              <w:pStyle w:val="NoSpacing"/>
              <w:jc w:val="both"/>
            </w:pPr>
            <w:r w:rsidRPr="009B0A53">
              <w:t xml:space="preserve"> </w:t>
            </w:r>
          </w:p>
          <w:p w14:paraId="7B8FC361" w14:textId="77777777" w:rsidR="00E45009" w:rsidRPr="009B0A53" w:rsidRDefault="00E45009" w:rsidP="0025292C">
            <w:pPr>
              <w:pStyle w:val="NoSpacing"/>
              <w:jc w:val="both"/>
            </w:pPr>
            <w:r w:rsidRPr="009B0A53">
              <w:rPr>
                <w:b/>
              </w:rPr>
              <w:t>Computation Method:</w:t>
            </w:r>
            <w:r w:rsidRPr="009B0A53">
              <w:t xml:space="preserve"> </w:t>
            </w:r>
          </w:p>
          <w:p w14:paraId="554757BF" w14:textId="77777777" w:rsidR="00E45009" w:rsidRPr="009B0A53" w:rsidRDefault="00E45009" w:rsidP="0025292C">
            <w:pPr>
              <w:pStyle w:val="NoSpacing"/>
              <w:jc w:val="both"/>
            </w:pPr>
            <w:r w:rsidRPr="009B0A53">
              <w:t xml:space="preserve">For each country and year, the renewable electricity generating capacity at the end of the year is divided by the total population of the country in that year. </w:t>
            </w:r>
          </w:p>
          <w:p w14:paraId="2CFE2FCD" w14:textId="77777777" w:rsidR="00E45009" w:rsidRPr="009B0A53" w:rsidRDefault="00E45009" w:rsidP="00E45009">
            <w:pPr>
              <w:pStyle w:val="NoSpacing"/>
            </w:pPr>
          </w:p>
        </w:tc>
        <w:tc>
          <w:tcPr>
            <w:tcW w:w="0" w:type="auto"/>
            <w:shd w:val="clear" w:color="auto" w:fill="auto"/>
          </w:tcPr>
          <w:p w14:paraId="2E7C9727" w14:textId="77777777" w:rsidR="00E45009" w:rsidRPr="003B6968" w:rsidRDefault="00E45009" w:rsidP="00E45009">
            <w:pPr>
              <w:pStyle w:val="NoSpacing"/>
            </w:pPr>
            <w:r w:rsidRPr="003B6968">
              <w:lastRenderedPageBreak/>
              <w:t>IRENA’s annual questionnaire cycle</w:t>
            </w:r>
          </w:p>
        </w:tc>
        <w:tc>
          <w:tcPr>
            <w:tcW w:w="0" w:type="auto"/>
            <w:shd w:val="clear" w:color="auto" w:fill="auto"/>
          </w:tcPr>
          <w:p w14:paraId="7CBF782C" w14:textId="77777777" w:rsidR="00E45009" w:rsidRDefault="00E45009" w:rsidP="00E45009">
            <w:pPr>
              <w:pStyle w:val="NoSpacing"/>
              <w:rPr>
                <w:color w:val="0070C0"/>
                <w:sz w:val="30"/>
                <w:szCs w:val="30"/>
              </w:rPr>
            </w:pPr>
            <w:r>
              <w:t>National Statistical Offices and National Energy Agencies of Ministries</w:t>
            </w:r>
          </w:p>
        </w:tc>
        <w:tc>
          <w:tcPr>
            <w:tcW w:w="0" w:type="auto"/>
            <w:shd w:val="clear" w:color="auto" w:fill="auto"/>
          </w:tcPr>
          <w:p w14:paraId="2E9AC281" w14:textId="421019F3" w:rsidR="00E45009" w:rsidRDefault="00E45009" w:rsidP="00E45009">
            <w:pPr>
              <w:spacing w:line="276" w:lineRule="auto"/>
              <w:jc w:val="center"/>
              <w:rPr>
                <w:color w:val="0070C0"/>
                <w:sz w:val="30"/>
                <w:szCs w:val="30"/>
              </w:rPr>
            </w:pPr>
          </w:p>
        </w:tc>
        <w:tc>
          <w:tcPr>
            <w:tcW w:w="0" w:type="auto"/>
            <w:shd w:val="clear" w:color="auto" w:fill="auto"/>
          </w:tcPr>
          <w:p w14:paraId="022493F4" w14:textId="77777777" w:rsidR="00E45009" w:rsidRPr="00BC6F10" w:rsidRDefault="00E45009" w:rsidP="00E45009">
            <w:pPr>
              <w:spacing w:line="276" w:lineRule="auto"/>
              <w:jc w:val="center"/>
            </w:pPr>
            <w:r w:rsidRPr="00BC6F10">
              <w:t>a) SREDA, PD</w:t>
            </w:r>
          </w:p>
          <w:p w14:paraId="2545527E" w14:textId="2583E393" w:rsidR="00E45009" w:rsidRDefault="00E45009" w:rsidP="00E45009">
            <w:pPr>
              <w:spacing w:line="276" w:lineRule="auto"/>
              <w:jc w:val="center"/>
            </w:pPr>
          </w:p>
          <w:p w14:paraId="6F7A75F3" w14:textId="77777777" w:rsidR="00E45009" w:rsidRDefault="00E45009" w:rsidP="00E45009">
            <w:pPr>
              <w:spacing w:line="276" w:lineRule="auto"/>
              <w:jc w:val="center"/>
            </w:pPr>
          </w:p>
          <w:p w14:paraId="480BE4BC" w14:textId="77777777" w:rsidR="00E45009" w:rsidRDefault="00E45009" w:rsidP="00E45009">
            <w:pPr>
              <w:spacing w:line="276" w:lineRule="auto"/>
              <w:jc w:val="center"/>
            </w:pPr>
          </w:p>
          <w:p w14:paraId="0B52EB13" w14:textId="77777777" w:rsidR="00E45009" w:rsidRDefault="00E45009" w:rsidP="00E45009">
            <w:pPr>
              <w:spacing w:line="276" w:lineRule="auto"/>
              <w:jc w:val="center"/>
              <w:rPr>
                <w:color w:val="0070C0"/>
                <w:sz w:val="30"/>
                <w:szCs w:val="30"/>
              </w:rPr>
            </w:pPr>
            <w:r>
              <w:rPr>
                <w:rFonts w:eastAsia="Times New Roman" w:cs="Times New Roman"/>
                <w:color w:val="000000" w:themeColor="text1"/>
                <w:szCs w:val="20"/>
              </w:rPr>
              <w:t>Administrative Data</w:t>
            </w:r>
          </w:p>
        </w:tc>
        <w:tc>
          <w:tcPr>
            <w:tcW w:w="0" w:type="auto"/>
            <w:shd w:val="clear" w:color="auto" w:fill="auto"/>
          </w:tcPr>
          <w:p w14:paraId="6E5562E0" w14:textId="7EC04F13" w:rsidR="00E45009" w:rsidRDefault="00E45009" w:rsidP="00E45009">
            <w:pPr>
              <w:pStyle w:val="NoSpacing"/>
            </w:pPr>
          </w:p>
          <w:p w14:paraId="239FB443" w14:textId="77777777" w:rsidR="001D7700" w:rsidRDefault="001D7700" w:rsidP="000C4849">
            <w:pPr>
              <w:pStyle w:val="NoSpacing"/>
              <w:numPr>
                <w:ilvl w:val="0"/>
                <w:numId w:val="192"/>
              </w:numPr>
              <w:rPr>
                <w:color w:val="0070C0"/>
                <w:szCs w:val="20"/>
              </w:rPr>
            </w:pPr>
            <w:proofErr w:type="gramStart"/>
            <w:r w:rsidRPr="000C4849">
              <w:rPr>
                <w:color w:val="0070C0"/>
                <w:szCs w:val="20"/>
              </w:rPr>
              <w:t>by</w:t>
            </w:r>
            <w:proofErr w:type="gramEnd"/>
            <w:r w:rsidRPr="000C4849">
              <w:rPr>
                <w:color w:val="0070C0"/>
                <w:szCs w:val="20"/>
              </w:rPr>
              <w:t xml:space="preserve"> technology (solar, hydro, wind, etc.)</w:t>
            </w:r>
          </w:p>
          <w:p w14:paraId="0710E52A" w14:textId="3722A8B7" w:rsidR="001D7700" w:rsidRPr="000C4849" w:rsidRDefault="001D7700" w:rsidP="000C4849">
            <w:pPr>
              <w:pStyle w:val="NoSpacing"/>
              <w:numPr>
                <w:ilvl w:val="0"/>
                <w:numId w:val="192"/>
              </w:numPr>
              <w:rPr>
                <w:color w:val="0070C0"/>
                <w:szCs w:val="20"/>
              </w:rPr>
            </w:pPr>
            <w:r w:rsidRPr="001D7700">
              <w:rPr>
                <w:color w:val="0070C0"/>
                <w:szCs w:val="20"/>
              </w:rPr>
              <w:t>by on-grid and off-grid capacity</w:t>
            </w:r>
          </w:p>
        </w:tc>
        <w:tc>
          <w:tcPr>
            <w:tcW w:w="0" w:type="auto"/>
            <w:shd w:val="clear" w:color="auto" w:fill="auto"/>
          </w:tcPr>
          <w:p w14:paraId="2E3424A5" w14:textId="77777777" w:rsidR="00E45009" w:rsidRDefault="00E45009" w:rsidP="00E45009">
            <w:pPr>
              <w:ind w:left="970" w:hanging="970"/>
              <w:jc w:val="both"/>
              <w:rPr>
                <w:color w:val="0070C0"/>
                <w:sz w:val="30"/>
                <w:szCs w:val="30"/>
              </w:rPr>
            </w:pPr>
            <w:r w:rsidRPr="00BC6F10">
              <w:t>Annual</w:t>
            </w:r>
          </w:p>
        </w:tc>
        <w:tc>
          <w:tcPr>
            <w:tcW w:w="0" w:type="auto"/>
            <w:shd w:val="clear" w:color="auto" w:fill="auto"/>
          </w:tcPr>
          <w:p w14:paraId="216EA41C" w14:textId="77777777" w:rsidR="00E45009" w:rsidRDefault="00E45009" w:rsidP="00E45009">
            <w:pPr>
              <w:ind w:left="970" w:hanging="970"/>
              <w:jc w:val="both"/>
              <w:rPr>
                <w:color w:val="0070C0"/>
                <w:sz w:val="30"/>
                <w:szCs w:val="30"/>
              </w:rPr>
            </w:pPr>
          </w:p>
        </w:tc>
        <w:tc>
          <w:tcPr>
            <w:tcW w:w="0" w:type="auto"/>
            <w:shd w:val="clear" w:color="auto" w:fill="auto"/>
          </w:tcPr>
          <w:p w14:paraId="2C9A9BAB" w14:textId="77777777" w:rsidR="00E45009" w:rsidRDefault="00E45009" w:rsidP="00E45009">
            <w:pPr>
              <w:pStyle w:val="NoSpacing"/>
            </w:pPr>
            <w:r>
              <w:t>1</w:t>
            </w:r>
            <w:r w:rsidRPr="00013ACB">
              <w:rPr>
                <w:vertAlign w:val="superscript"/>
              </w:rPr>
              <w:t>st</w:t>
            </w:r>
            <w:r>
              <w:t xml:space="preserve"> Round: </w:t>
            </w:r>
          </w:p>
          <w:p w14:paraId="4252AC43" w14:textId="77777777" w:rsidR="00E45009" w:rsidRDefault="00E45009" w:rsidP="00E45009">
            <w:pPr>
              <w:pStyle w:val="NoSpacing"/>
            </w:pPr>
            <w:r w:rsidRPr="00BC6F10">
              <w:t>Jul</w:t>
            </w:r>
            <w:r>
              <w:t>y 20</w:t>
            </w:r>
            <w:r w:rsidRPr="00BC6F10">
              <w:t>19</w:t>
            </w:r>
          </w:p>
          <w:p w14:paraId="78A76891" w14:textId="77777777" w:rsidR="00E45009" w:rsidRDefault="00E45009" w:rsidP="00E45009">
            <w:pPr>
              <w:pStyle w:val="NoSpacing"/>
            </w:pPr>
            <w:r>
              <w:t>2</w:t>
            </w:r>
            <w:r w:rsidRPr="00013ACB">
              <w:rPr>
                <w:vertAlign w:val="superscript"/>
              </w:rPr>
              <w:t>nd</w:t>
            </w:r>
            <w:r>
              <w:t xml:space="preserve"> Round: </w:t>
            </w:r>
          </w:p>
          <w:p w14:paraId="496387E6" w14:textId="77777777" w:rsidR="00E45009" w:rsidRDefault="00E45009" w:rsidP="00E45009">
            <w:pPr>
              <w:pStyle w:val="NoSpacing"/>
            </w:pPr>
            <w:r w:rsidRPr="00BC6F10">
              <w:t>Jul</w:t>
            </w:r>
            <w:r>
              <w:t>y 2020</w:t>
            </w:r>
          </w:p>
          <w:p w14:paraId="0A615AE6" w14:textId="77777777" w:rsidR="00E45009" w:rsidRDefault="00E45009" w:rsidP="00E45009">
            <w:pPr>
              <w:pStyle w:val="NoSpacing"/>
            </w:pPr>
            <w:r>
              <w:t>3</w:t>
            </w:r>
            <w:r w:rsidRPr="00013ACB">
              <w:rPr>
                <w:vertAlign w:val="superscript"/>
              </w:rPr>
              <w:t>rd</w:t>
            </w:r>
            <w:r>
              <w:t xml:space="preserve"> Round: </w:t>
            </w:r>
          </w:p>
          <w:p w14:paraId="53E8E2F3" w14:textId="77777777" w:rsidR="00E45009" w:rsidRDefault="00E45009" w:rsidP="00E45009">
            <w:pPr>
              <w:pStyle w:val="NoSpacing"/>
            </w:pPr>
            <w:r w:rsidRPr="00BC6F10">
              <w:t>Jul</w:t>
            </w:r>
            <w:r>
              <w:t>y 2021</w:t>
            </w:r>
          </w:p>
          <w:p w14:paraId="2857635D" w14:textId="77777777" w:rsidR="00E45009" w:rsidRDefault="00E45009" w:rsidP="00E45009">
            <w:pPr>
              <w:pStyle w:val="NoSpacing"/>
            </w:pPr>
            <w:r>
              <w:t>4</w:t>
            </w:r>
            <w:r w:rsidRPr="00013ACB">
              <w:rPr>
                <w:vertAlign w:val="superscript"/>
              </w:rPr>
              <w:t>th</w:t>
            </w:r>
            <w:r>
              <w:t xml:space="preserve"> Round: </w:t>
            </w:r>
          </w:p>
          <w:p w14:paraId="3B8BAD85" w14:textId="77777777" w:rsidR="00E45009" w:rsidRDefault="00E45009" w:rsidP="00E45009">
            <w:pPr>
              <w:pStyle w:val="NoSpacing"/>
            </w:pPr>
            <w:r w:rsidRPr="00BC6F10">
              <w:t>Jul</w:t>
            </w:r>
            <w:r>
              <w:t>y 2022</w:t>
            </w:r>
          </w:p>
          <w:p w14:paraId="788C8CC6" w14:textId="77777777" w:rsidR="00E45009" w:rsidRDefault="00E45009" w:rsidP="00E45009">
            <w:pPr>
              <w:pStyle w:val="NoSpacing"/>
            </w:pPr>
            <w:r>
              <w:t>5</w:t>
            </w:r>
            <w:r w:rsidRPr="00013ACB">
              <w:rPr>
                <w:vertAlign w:val="superscript"/>
              </w:rPr>
              <w:t>th</w:t>
            </w:r>
            <w:r>
              <w:t xml:space="preserve"> Round: </w:t>
            </w:r>
          </w:p>
          <w:p w14:paraId="43017061" w14:textId="37566E04" w:rsidR="00E45009" w:rsidRDefault="00E45009" w:rsidP="00E45009">
            <w:pPr>
              <w:pStyle w:val="NoSpacing"/>
              <w:rPr>
                <w:color w:val="0070C0"/>
                <w:sz w:val="30"/>
                <w:szCs w:val="30"/>
              </w:rPr>
            </w:pPr>
            <w:r w:rsidRPr="00BC6F10">
              <w:t>Jul</w:t>
            </w:r>
            <w:r>
              <w:t>y 2023</w:t>
            </w:r>
          </w:p>
        </w:tc>
        <w:tc>
          <w:tcPr>
            <w:tcW w:w="0" w:type="auto"/>
            <w:shd w:val="clear" w:color="auto" w:fill="auto"/>
          </w:tcPr>
          <w:p w14:paraId="29411B2C" w14:textId="77777777" w:rsidR="00E45009" w:rsidRDefault="00E45009" w:rsidP="00E45009">
            <w:pPr>
              <w:ind w:left="970" w:hanging="970"/>
              <w:jc w:val="both"/>
              <w:rPr>
                <w:color w:val="0070C0"/>
                <w:sz w:val="30"/>
                <w:szCs w:val="30"/>
              </w:rPr>
            </w:pPr>
          </w:p>
          <w:p w14:paraId="41BC29F8" w14:textId="77777777" w:rsidR="00E45009" w:rsidRDefault="00E45009" w:rsidP="00E45009">
            <w:pPr>
              <w:pStyle w:val="NoSpacing"/>
            </w:pPr>
            <w:r>
              <w:t>UNSC 51 replacement included in the 2020 comprehensive review</w:t>
            </w:r>
          </w:p>
          <w:p w14:paraId="783D1E38" w14:textId="77777777" w:rsidR="001C664A" w:rsidRDefault="001C664A" w:rsidP="00E45009">
            <w:pPr>
              <w:pStyle w:val="NoSpacing"/>
            </w:pPr>
          </w:p>
          <w:p w14:paraId="5BBD4D9E" w14:textId="77777777" w:rsidR="001C664A" w:rsidRDefault="001C664A" w:rsidP="00E45009">
            <w:pPr>
              <w:pStyle w:val="NoSpacing"/>
            </w:pPr>
          </w:p>
          <w:p w14:paraId="090810E5" w14:textId="2E033B2C" w:rsidR="00E45009" w:rsidRPr="00785FED" w:rsidRDefault="001C664A" w:rsidP="00E45009">
            <w:pPr>
              <w:pStyle w:val="NoSpacing"/>
            </w:pPr>
            <w:r>
              <w:t>[ R</w:t>
            </w:r>
            <w:r w:rsidR="00E45009">
              <w:t>epeat</w:t>
            </w:r>
            <w:r>
              <w:t>ed 12.a.1 ]</w:t>
            </w:r>
          </w:p>
        </w:tc>
      </w:tr>
    </w:tbl>
    <w:p w14:paraId="6F59886A" w14:textId="448FF880" w:rsidR="00200408" w:rsidRDefault="00200408">
      <w:pPr>
        <w:rPr>
          <w:color w:val="FF0000"/>
          <w:sz w:val="32"/>
          <w:szCs w:val="32"/>
        </w:rPr>
      </w:pPr>
    </w:p>
    <w:p w14:paraId="58D335E1" w14:textId="77777777" w:rsidR="00200408" w:rsidRDefault="00200408">
      <w:pPr>
        <w:rPr>
          <w:color w:val="FF0000"/>
          <w:sz w:val="32"/>
          <w:szCs w:val="32"/>
        </w:rPr>
      </w:pPr>
    </w:p>
    <w:p w14:paraId="39C6DDD1" w14:textId="77777777" w:rsidR="00200408" w:rsidRPr="00200408" w:rsidRDefault="00200408">
      <w:pPr>
        <w:framePr w:hSpace="180" w:wrap="around" w:vAnchor="text" w:hAnchor="margin" w:y="19"/>
        <w:rPr>
          <w:color w:val="FF0000"/>
          <w:sz w:val="2"/>
          <w:szCs w:val="2"/>
        </w:rPr>
      </w:pPr>
    </w:p>
    <w:p w14:paraId="1D38760B" w14:textId="77777777" w:rsidR="00965EEF" w:rsidRDefault="00965EEF" w:rsidP="00214C29">
      <w:pPr>
        <w:jc w:val="both"/>
        <w:rPr>
          <w:color w:val="C00000"/>
          <w:sz w:val="30"/>
          <w:szCs w:val="30"/>
        </w:rPr>
      </w:pPr>
    </w:p>
    <w:p w14:paraId="1A1532AE" w14:textId="77777777" w:rsidR="00550D1C" w:rsidRDefault="00550D1C" w:rsidP="00214C29">
      <w:pPr>
        <w:jc w:val="both"/>
        <w:rPr>
          <w:color w:val="C00000"/>
          <w:sz w:val="30"/>
          <w:szCs w:val="30"/>
        </w:rPr>
      </w:pPr>
    </w:p>
    <w:p w14:paraId="3A45F6E8" w14:textId="77777777" w:rsidR="00E24B69" w:rsidRDefault="00E24B69">
      <w:pPr>
        <w:rPr>
          <w:color w:val="FF0000"/>
          <w:sz w:val="32"/>
          <w:szCs w:val="32"/>
        </w:rPr>
      </w:pPr>
    </w:p>
    <w:p w14:paraId="291DF6E1" w14:textId="77777777" w:rsidR="00E24B69" w:rsidRDefault="00E24B69">
      <w:pPr>
        <w:rPr>
          <w:color w:val="FF0000"/>
          <w:sz w:val="32"/>
          <w:szCs w:val="32"/>
        </w:rPr>
      </w:pPr>
    </w:p>
    <w:p w14:paraId="7D94CBFC" w14:textId="77777777" w:rsidR="00E24B69" w:rsidRDefault="00E24B69">
      <w:pPr>
        <w:rPr>
          <w:color w:val="FF0000"/>
          <w:sz w:val="32"/>
          <w:szCs w:val="32"/>
        </w:rPr>
      </w:pPr>
    </w:p>
    <w:p w14:paraId="50626FDE" w14:textId="5A82D195" w:rsidR="00AB1047" w:rsidRDefault="00BB3B57" w:rsidP="00AB1047">
      <w:pPr>
        <w:jc w:val="both"/>
        <w:rPr>
          <w:color w:val="0070C0"/>
          <w:sz w:val="48"/>
          <w:szCs w:val="48"/>
        </w:rPr>
      </w:pPr>
      <w:r>
        <w:rPr>
          <w:color w:val="0070C0"/>
          <w:sz w:val="48"/>
          <w:szCs w:val="48"/>
        </w:rPr>
        <w:t>Action Plan and Methodological Guidelines towards Data Generation and Disaggregation for Monitoring and Evaluation of SDGs</w:t>
      </w:r>
    </w:p>
    <w:tbl>
      <w:tblPr>
        <w:tblStyle w:val="TableGrid"/>
        <w:tblW w:w="18720" w:type="dxa"/>
        <w:tblInd w:w="-5" w:type="dxa"/>
        <w:tblLayout w:type="fixed"/>
        <w:tblLook w:val="04A0" w:firstRow="1" w:lastRow="0" w:firstColumn="1" w:lastColumn="0" w:noHBand="0" w:noVBand="1"/>
      </w:tblPr>
      <w:tblGrid>
        <w:gridCol w:w="1440"/>
        <w:gridCol w:w="17280"/>
      </w:tblGrid>
      <w:tr w:rsidR="00AB1047" w14:paraId="51A7404B" w14:textId="77777777" w:rsidTr="0025292C">
        <w:tc>
          <w:tcPr>
            <w:tcW w:w="1440" w:type="dxa"/>
            <w:tcBorders>
              <w:left w:val="single" w:sz="4" w:space="0" w:color="C00000"/>
              <w:bottom w:val="single" w:sz="4" w:space="0" w:color="C00000"/>
            </w:tcBorders>
          </w:tcPr>
          <w:p w14:paraId="6B6A7216" w14:textId="77777777" w:rsidR="00AB1047" w:rsidRDefault="00AB1047" w:rsidP="002B01EC">
            <w:pPr>
              <w:jc w:val="center"/>
              <w:rPr>
                <w:color w:val="C00000"/>
                <w:sz w:val="48"/>
                <w:szCs w:val="48"/>
              </w:rPr>
            </w:pPr>
            <w:r>
              <w:rPr>
                <w:noProof/>
                <w:color w:val="C00000"/>
                <w:sz w:val="48"/>
                <w:szCs w:val="48"/>
                <w:lang w:bidi="bn-BD"/>
              </w:rPr>
              <w:drawing>
                <wp:inline distT="0" distB="0" distL="0" distR="0" wp14:anchorId="6F4B4D7D" wp14:editId="74CA7E04">
                  <wp:extent cx="804333" cy="8043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INVERTED SDG goals_icons-individual-cmyk-0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09203" cy="809203"/>
                          </a:xfrm>
                          <a:prstGeom prst="rect">
                            <a:avLst/>
                          </a:prstGeom>
                        </pic:spPr>
                      </pic:pic>
                    </a:graphicData>
                  </a:graphic>
                </wp:inline>
              </w:drawing>
            </w:r>
          </w:p>
        </w:tc>
        <w:tc>
          <w:tcPr>
            <w:tcW w:w="17280" w:type="dxa"/>
            <w:shd w:val="clear" w:color="auto" w:fill="632423" w:themeFill="accent2" w:themeFillShade="80"/>
            <w:vAlign w:val="center"/>
          </w:tcPr>
          <w:p w14:paraId="6DA7990C" w14:textId="77777777" w:rsidR="00AB1047" w:rsidRPr="00214C29" w:rsidRDefault="00AB1047" w:rsidP="002B01EC">
            <w:pPr>
              <w:jc w:val="both"/>
              <w:rPr>
                <w:color w:val="FFFFFF" w:themeColor="background1"/>
                <w:sz w:val="62"/>
                <w:szCs w:val="62"/>
              </w:rPr>
            </w:pPr>
            <w:r w:rsidRPr="00E24B69">
              <w:rPr>
                <w:color w:val="FFFFFF" w:themeColor="background1"/>
                <w:sz w:val="62"/>
                <w:szCs w:val="62"/>
              </w:rPr>
              <w:t>Promote sustained, inclusive and sustainable economic growth, full and productive employment and decent work for all</w:t>
            </w:r>
          </w:p>
        </w:tc>
      </w:tr>
    </w:tbl>
    <w:p w14:paraId="185A5C7C" w14:textId="77777777" w:rsidR="00AB1047" w:rsidRPr="004072C0" w:rsidRDefault="00AB1047" w:rsidP="00AB1047">
      <w:pPr>
        <w:jc w:val="both"/>
        <w:rPr>
          <w:color w:val="0070C0"/>
          <w:sz w:val="30"/>
          <w:szCs w:val="30"/>
        </w:rPr>
      </w:pPr>
    </w:p>
    <w:tbl>
      <w:tblPr>
        <w:tblStyle w:val="TableGrid"/>
        <w:tblW w:w="0" w:type="auto"/>
        <w:tblLook w:val="04A0" w:firstRow="1" w:lastRow="0" w:firstColumn="1" w:lastColumn="0" w:noHBand="0" w:noVBand="1"/>
      </w:tblPr>
      <w:tblGrid>
        <w:gridCol w:w="911"/>
        <w:gridCol w:w="704"/>
        <w:gridCol w:w="587"/>
        <w:gridCol w:w="8773"/>
        <w:gridCol w:w="870"/>
        <w:gridCol w:w="945"/>
        <w:gridCol w:w="870"/>
        <w:gridCol w:w="1361"/>
        <w:gridCol w:w="971"/>
        <w:gridCol w:w="726"/>
        <w:gridCol w:w="636"/>
        <w:gridCol w:w="692"/>
        <w:gridCol w:w="890"/>
      </w:tblGrid>
      <w:tr w:rsidR="002B4B5A" w14:paraId="26312D37" w14:textId="77777777" w:rsidTr="0025292C">
        <w:trPr>
          <w:tblHeader/>
        </w:trPr>
        <w:tc>
          <w:tcPr>
            <w:tcW w:w="0" w:type="auto"/>
            <w:shd w:val="clear" w:color="auto" w:fill="DDD9C3" w:themeFill="background2" w:themeFillShade="E6"/>
            <w:vAlign w:val="center"/>
          </w:tcPr>
          <w:p w14:paraId="5D9AAF5A" w14:textId="77777777" w:rsidR="00AB1047" w:rsidRDefault="00AB1047" w:rsidP="002B01EC">
            <w:pPr>
              <w:jc w:val="center"/>
              <w:rPr>
                <w:color w:val="0070C0"/>
                <w:sz w:val="48"/>
                <w:szCs w:val="48"/>
              </w:rPr>
            </w:pPr>
            <w:r>
              <w:rPr>
                <w:b/>
                <w:bCs/>
                <w:sz w:val="18"/>
                <w:szCs w:val="18"/>
              </w:rPr>
              <w:t>T</w:t>
            </w:r>
            <w:r w:rsidRPr="00C766D7">
              <w:rPr>
                <w:b/>
                <w:bCs/>
                <w:sz w:val="18"/>
                <w:szCs w:val="18"/>
              </w:rPr>
              <w:t>argets and Indicators</w:t>
            </w:r>
          </w:p>
        </w:tc>
        <w:tc>
          <w:tcPr>
            <w:tcW w:w="0" w:type="auto"/>
            <w:shd w:val="clear" w:color="auto" w:fill="DDD9C3" w:themeFill="background2" w:themeFillShade="E6"/>
            <w:vAlign w:val="center"/>
          </w:tcPr>
          <w:p w14:paraId="1245F347" w14:textId="77777777" w:rsidR="00AB1047" w:rsidRDefault="00AB1047" w:rsidP="002B01EC">
            <w:pPr>
              <w:jc w:val="center"/>
              <w:rPr>
                <w:color w:val="0070C0"/>
                <w:sz w:val="48"/>
                <w:szCs w:val="4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DDD9C3" w:themeFill="background2" w:themeFillShade="E6"/>
            <w:vAlign w:val="center"/>
          </w:tcPr>
          <w:p w14:paraId="2092ADA2" w14:textId="77777777" w:rsidR="00AB1047" w:rsidRDefault="00AB1047" w:rsidP="002B01EC">
            <w:pPr>
              <w:jc w:val="center"/>
              <w:rPr>
                <w:color w:val="0070C0"/>
                <w:sz w:val="48"/>
                <w:szCs w:val="48"/>
              </w:rPr>
            </w:pPr>
            <w:r w:rsidRPr="00C766D7">
              <w:rPr>
                <w:b/>
                <w:bCs/>
                <w:sz w:val="18"/>
                <w:szCs w:val="18"/>
              </w:rPr>
              <w:t>Tier Classifi</w:t>
            </w:r>
            <w:r>
              <w:rPr>
                <w:b/>
                <w:bCs/>
                <w:sz w:val="18"/>
                <w:szCs w:val="18"/>
              </w:rPr>
              <w:t>-</w:t>
            </w:r>
            <w:r w:rsidRPr="00C766D7">
              <w:rPr>
                <w:b/>
                <w:bCs/>
                <w:sz w:val="18"/>
                <w:szCs w:val="18"/>
              </w:rPr>
              <w:t>cations</w:t>
            </w:r>
          </w:p>
        </w:tc>
        <w:tc>
          <w:tcPr>
            <w:tcW w:w="0" w:type="auto"/>
            <w:shd w:val="clear" w:color="auto" w:fill="DDD9C3" w:themeFill="background2" w:themeFillShade="E6"/>
            <w:vAlign w:val="center"/>
          </w:tcPr>
          <w:p w14:paraId="361BD43A" w14:textId="77777777" w:rsidR="00AB1047" w:rsidRDefault="00AB1047" w:rsidP="00B82E08">
            <w:pPr>
              <w:jc w:val="center"/>
              <w:rPr>
                <w:color w:val="0070C0"/>
                <w:sz w:val="48"/>
                <w:szCs w:val="48"/>
              </w:rPr>
            </w:pPr>
            <w:r w:rsidRPr="00B82E08">
              <w:t>Definition</w:t>
            </w:r>
            <w:r>
              <w:t xml:space="preserve">, </w:t>
            </w:r>
            <w:r w:rsidRPr="00C766D7">
              <w:t>Concept</w:t>
            </w:r>
            <w:r>
              <w:t>, Computation Methods and</w:t>
            </w:r>
            <w:r w:rsidRPr="00C766D7">
              <w:t xml:space="preserve"> formula</w:t>
            </w:r>
          </w:p>
        </w:tc>
        <w:tc>
          <w:tcPr>
            <w:tcW w:w="0" w:type="auto"/>
            <w:shd w:val="clear" w:color="auto" w:fill="DDD9C3" w:themeFill="background2" w:themeFillShade="E6"/>
            <w:vAlign w:val="center"/>
          </w:tcPr>
          <w:p w14:paraId="64A98DA2" w14:textId="77777777" w:rsidR="002906E3" w:rsidRDefault="00AB1047" w:rsidP="002B01EC">
            <w:pPr>
              <w:jc w:val="center"/>
              <w:rPr>
                <w:b/>
                <w:bCs/>
                <w:sz w:val="18"/>
                <w:szCs w:val="18"/>
              </w:rPr>
            </w:pPr>
            <w:r w:rsidRPr="00C766D7">
              <w:rPr>
                <w:b/>
                <w:bCs/>
                <w:sz w:val="18"/>
                <w:szCs w:val="18"/>
              </w:rPr>
              <w:t>UN</w:t>
            </w:r>
          </w:p>
          <w:p w14:paraId="57AB7484" w14:textId="77777777" w:rsidR="00AB1047" w:rsidRDefault="00AB1047" w:rsidP="002B01EC">
            <w:pPr>
              <w:jc w:val="center"/>
              <w:rPr>
                <w:color w:val="0070C0"/>
                <w:sz w:val="48"/>
                <w:szCs w:val="48"/>
              </w:rPr>
            </w:pPr>
            <w:r w:rsidRPr="00C766D7">
              <w:rPr>
                <w:b/>
                <w:bCs/>
                <w:sz w:val="18"/>
                <w:szCs w:val="18"/>
              </w:rPr>
              <w:t xml:space="preserve"> Suggested activities of data generation</w:t>
            </w:r>
          </w:p>
        </w:tc>
        <w:tc>
          <w:tcPr>
            <w:tcW w:w="0" w:type="auto"/>
            <w:shd w:val="clear" w:color="auto" w:fill="DDD9C3" w:themeFill="background2" w:themeFillShade="E6"/>
            <w:vAlign w:val="center"/>
          </w:tcPr>
          <w:p w14:paraId="67A1BEAC" w14:textId="77777777" w:rsidR="00B00C8C" w:rsidRDefault="00AB1047" w:rsidP="002B01EC">
            <w:pPr>
              <w:jc w:val="center"/>
              <w:rPr>
                <w:b/>
                <w:bCs/>
                <w:sz w:val="18"/>
                <w:szCs w:val="18"/>
              </w:rPr>
            </w:pPr>
            <w:r w:rsidRPr="00C766D7">
              <w:rPr>
                <w:b/>
                <w:bCs/>
                <w:sz w:val="18"/>
                <w:szCs w:val="18"/>
              </w:rPr>
              <w:t xml:space="preserve">UN </w:t>
            </w:r>
          </w:p>
          <w:p w14:paraId="431CBAB4" w14:textId="77777777" w:rsidR="00B00C8C" w:rsidRDefault="00AB1047" w:rsidP="002B01EC">
            <w:pPr>
              <w:jc w:val="center"/>
              <w:rPr>
                <w:b/>
                <w:bCs/>
                <w:sz w:val="18"/>
                <w:szCs w:val="18"/>
              </w:rPr>
            </w:pPr>
            <w:r w:rsidRPr="00C766D7">
              <w:rPr>
                <w:b/>
                <w:bCs/>
                <w:sz w:val="18"/>
                <w:szCs w:val="18"/>
              </w:rPr>
              <w:t xml:space="preserve">Suggested </w:t>
            </w:r>
          </w:p>
          <w:p w14:paraId="40336CA6" w14:textId="77777777" w:rsidR="00B00C8C" w:rsidRDefault="00AB1047" w:rsidP="002B01EC">
            <w:pPr>
              <w:jc w:val="center"/>
              <w:rPr>
                <w:b/>
                <w:bCs/>
                <w:sz w:val="18"/>
                <w:szCs w:val="18"/>
              </w:rPr>
            </w:pPr>
            <w:r w:rsidRPr="00C766D7">
              <w:rPr>
                <w:b/>
                <w:bCs/>
                <w:sz w:val="18"/>
                <w:szCs w:val="18"/>
              </w:rPr>
              <w:t xml:space="preserve">data </w:t>
            </w:r>
          </w:p>
          <w:p w14:paraId="0FDBED4E" w14:textId="77777777" w:rsidR="00AB1047" w:rsidRDefault="00AB1047" w:rsidP="002B01EC">
            <w:pPr>
              <w:jc w:val="center"/>
              <w:rPr>
                <w:color w:val="0070C0"/>
                <w:sz w:val="48"/>
                <w:szCs w:val="48"/>
              </w:rPr>
            </w:pPr>
            <w:r w:rsidRPr="00C766D7">
              <w:rPr>
                <w:b/>
                <w:bCs/>
                <w:sz w:val="18"/>
                <w:szCs w:val="18"/>
              </w:rPr>
              <w:t>provider</w:t>
            </w:r>
          </w:p>
        </w:tc>
        <w:tc>
          <w:tcPr>
            <w:tcW w:w="0" w:type="auto"/>
            <w:shd w:val="clear" w:color="auto" w:fill="DDD9C3" w:themeFill="background2" w:themeFillShade="E6"/>
            <w:vAlign w:val="center"/>
          </w:tcPr>
          <w:p w14:paraId="032B8A61" w14:textId="77777777" w:rsidR="00B00C8C" w:rsidRDefault="00AB1047" w:rsidP="002B01EC">
            <w:pPr>
              <w:jc w:val="center"/>
              <w:rPr>
                <w:b/>
                <w:bCs/>
                <w:sz w:val="18"/>
                <w:szCs w:val="18"/>
              </w:rPr>
            </w:pPr>
            <w:r w:rsidRPr="00C766D7">
              <w:rPr>
                <w:b/>
                <w:bCs/>
                <w:sz w:val="18"/>
                <w:szCs w:val="18"/>
              </w:rPr>
              <w:t xml:space="preserve">Recent </w:t>
            </w:r>
          </w:p>
          <w:p w14:paraId="386851D4" w14:textId="77777777" w:rsidR="00B00C8C" w:rsidRDefault="00AB1047" w:rsidP="002B01EC">
            <w:pPr>
              <w:jc w:val="center"/>
              <w:rPr>
                <w:b/>
                <w:bCs/>
                <w:sz w:val="18"/>
                <w:szCs w:val="18"/>
              </w:rPr>
            </w:pPr>
            <w:r w:rsidRPr="00C766D7">
              <w:rPr>
                <w:b/>
                <w:bCs/>
                <w:sz w:val="18"/>
                <w:szCs w:val="18"/>
              </w:rPr>
              <w:t>Available</w:t>
            </w:r>
          </w:p>
          <w:p w14:paraId="1517FA67" w14:textId="77777777" w:rsidR="00B00C8C" w:rsidRDefault="00AB1047" w:rsidP="002B01EC">
            <w:pPr>
              <w:jc w:val="center"/>
              <w:rPr>
                <w:b/>
                <w:bCs/>
                <w:sz w:val="18"/>
                <w:szCs w:val="18"/>
              </w:rPr>
            </w:pPr>
            <w:r w:rsidRPr="00C766D7">
              <w:rPr>
                <w:b/>
                <w:bCs/>
                <w:sz w:val="18"/>
                <w:szCs w:val="18"/>
              </w:rPr>
              <w:t xml:space="preserve"> Data </w:t>
            </w:r>
          </w:p>
          <w:p w14:paraId="53EDF75E" w14:textId="77777777" w:rsidR="00AB1047" w:rsidRDefault="00AB1047" w:rsidP="002B01EC">
            <w:pPr>
              <w:jc w:val="center"/>
              <w:rPr>
                <w:color w:val="0070C0"/>
                <w:sz w:val="48"/>
                <w:szCs w:val="48"/>
              </w:rPr>
            </w:pPr>
            <w:r w:rsidRPr="00C766D7">
              <w:rPr>
                <w:b/>
                <w:bCs/>
                <w:sz w:val="18"/>
                <w:szCs w:val="18"/>
              </w:rPr>
              <w:t>Sources</w:t>
            </w:r>
          </w:p>
        </w:tc>
        <w:tc>
          <w:tcPr>
            <w:tcW w:w="0" w:type="auto"/>
            <w:shd w:val="clear" w:color="auto" w:fill="DDD9C3" w:themeFill="background2" w:themeFillShade="E6"/>
            <w:vAlign w:val="center"/>
          </w:tcPr>
          <w:p w14:paraId="6B37A298" w14:textId="77777777" w:rsidR="00B00C8C" w:rsidRDefault="00AB1047" w:rsidP="002906E3">
            <w:pPr>
              <w:jc w:val="center"/>
              <w:rPr>
                <w:b/>
                <w:bCs/>
                <w:sz w:val="18"/>
                <w:szCs w:val="18"/>
              </w:rPr>
            </w:pPr>
            <w:r w:rsidRPr="00C766D7">
              <w:rPr>
                <w:b/>
                <w:bCs/>
                <w:sz w:val="18"/>
                <w:szCs w:val="18"/>
              </w:rPr>
              <w:t>Possible</w:t>
            </w:r>
          </w:p>
          <w:p w14:paraId="50658C11" w14:textId="77777777" w:rsidR="00B00C8C" w:rsidRDefault="00AB1047" w:rsidP="002906E3">
            <w:pPr>
              <w:jc w:val="center"/>
              <w:rPr>
                <w:b/>
                <w:bCs/>
                <w:sz w:val="18"/>
                <w:szCs w:val="18"/>
              </w:rPr>
            </w:pPr>
            <w:r w:rsidRPr="00C766D7">
              <w:rPr>
                <w:b/>
                <w:bCs/>
                <w:sz w:val="18"/>
                <w:szCs w:val="18"/>
              </w:rPr>
              <w:t>future</w:t>
            </w:r>
          </w:p>
          <w:p w14:paraId="62BB42EA" w14:textId="77777777" w:rsidR="00AB1047" w:rsidRDefault="00AB1047" w:rsidP="002906E3">
            <w:pPr>
              <w:jc w:val="center"/>
              <w:rPr>
                <w:color w:val="0070C0"/>
                <w:sz w:val="48"/>
                <w:szCs w:val="48"/>
              </w:rPr>
            </w:pPr>
            <w:r w:rsidRPr="00C766D7">
              <w:rPr>
                <w:b/>
                <w:bCs/>
                <w:sz w:val="18"/>
                <w:szCs w:val="18"/>
              </w:rPr>
              <w:t>Sources</w:t>
            </w:r>
          </w:p>
        </w:tc>
        <w:tc>
          <w:tcPr>
            <w:tcW w:w="0" w:type="auto"/>
            <w:shd w:val="clear" w:color="auto" w:fill="DDD9C3" w:themeFill="background2" w:themeFillShade="E6"/>
            <w:vAlign w:val="center"/>
          </w:tcPr>
          <w:p w14:paraId="4502E393" w14:textId="77777777" w:rsidR="002906E3" w:rsidRDefault="00AB1047" w:rsidP="002B01EC">
            <w:pPr>
              <w:jc w:val="center"/>
              <w:rPr>
                <w:b/>
                <w:bCs/>
                <w:sz w:val="18"/>
                <w:szCs w:val="18"/>
              </w:rPr>
            </w:pPr>
            <w:r>
              <w:rPr>
                <w:b/>
                <w:bCs/>
                <w:sz w:val="18"/>
                <w:szCs w:val="18"/>
              </w:rPr>
              <w:t xml:space="preserve">Minimum </w:t>
            </w:r>
          </w:p>
          <w:p w14:paraId="1AE14CB4" w14:textId="77777777" w:rsidR="002906E3" w:rsidRDefault="00AB1047" w:rsidP="002B01EC">
            <w:pPr>
              <w:jc w:val="center"/>
              <w:rPr>
                <w:b/>
                <w:bCs/>
                <w:sz w:val="18"/>
                <w:szCs w:val="18"/>
              </w:rPr>
            </w:pPr>
            <w:r>
              <w:rPr>
                <w:b/>
                <w:bCs/>
                <w:sz w:val="18"/>
                <w:szCs w:val="18"/>
              </w:rPr>
              <w:t xml:space="preserve">Disaggregation </w:t>
            </w:r>
          </w:p>
          <w:p w14:paraId="5048681C" w14:textId="77777777" w:rsidR="002906E3" w:rsidRDefault="00AB1047" w:rsidP="002B01EC">
            <w:pPr>
              <w:jc w:val="center"/>
              <w:rPr>
                <w:b/>
                <w:bCs/>
                <w:sz w:val="18"/>
                <w:szCs w:val="18"/>
              </w:rPr>
            </w:pPr>
            <w:r>
              <w:rPr>
                <w:b/>
                <w:bCs/>
                <w:sz w:val="18"/>
                <w:szCs w:val="18"/>
              </w:rPr>
              <w:t xml:space="preserve">Dimensions </w:t>
            </w:r>
          </w:p>
          <w:p w14:paraId="04CEE865" w14:textId="77777777" w:rsidR="00AB1047" w:rsidRDefault="00AB1047" w:rsidP="002B01EC">
            <w:pPr>
              <w:jc w:val="center"/>
              <w:rPr>
                <w:color w:val="0070C0"/>
                <w:sz w:val="48"/>
                <w:szCs w:val="48"/>
              </w:rPr>
            </w:pPr>
            <w:r>
              <w:rPr>
                <w:b/>
                <w:bCs/>
                <w:sz w:val="18"/>
                <w:szCs w:val="18"/>
              </w:rPr>
              <w:t>and Categories</w:t>
            </w:r>
          </w:p>
        </w:tc>
        <w:tc>
          <w:tcPr>
            <w:tcW w:w="0" w:type="auto"/>
            <w:shd w:val="clear" w:color="auto" w:fill="DDD9C3" w:themeFill="background2" w:themeFillShade="E6"/>
            <w:vAlign w:val="center"/>
          </w:tcPr>
          <w:p w14:paraId="10B62597" w14:textId="77777777" w:rsidR="002906E3" w:rsidRDefault="00AB1047" w:rsidP="002B01EC">
            <w:pPr>
              <w:jc w:val="center"/>
              <w:rPr>
                <w:b/>
                <w:bCs/>
                <w:sz w:val="18"/>
                <w:szCs w:val="18"/>
              </w:rPr>
            </w:pPr>
            <w:r w:rsidRPr="00C766D7">
              <w:rPr>
                <w:b/>
                <w:bCs/>
                <w:sz w:val="18"/>
                <w:szCs w:val="18"/>
              </w:rPr>
              <w:t xml:space="preserve">Frequency </w:t>
            </w:r>
          </w:p>
          <w:p w14:paraId="36CCBC7E" w14:textId="77777777" w:rsidR="002906E3" w:rsidRDefault="00AB1047" w:rsidP="002B01EC">
            <w:pPr>
              <w:jc w:val="center"/>
              <w:rPr>
                <w:b/>
                <w:bCs/>
                <w:sz w:val="18"/>
                <w:szCs w:val="18"/>
              </w:rPr>
            </w:pPr>
            <w:r w:rsidRPr="00C766D7">
              <w:rPr>
                <w:b/>
                <w:bCs/>
                <w:sz w:val="18"/>
                <w:szCs w:val="18"/>
              </w:rPr>
              <w:t xml:space="preserve">of data </w:t>
            </w:r>
          </w:p>
          <w:p w14:paraId="6767EECF" w14:textId="77777777" w:rsidR="00AB1047" w:rsidRDefault="00AB1047" w:rsidP="002B01EC">
            <w:pPr>
              <w:jc w:val="center"/>
              <w:rPr>
                <w:color w:val="0070C0"/>
                <w:sz w:val="48"/>
                <w:szCs w:val="48"/>
              </w:rPr>
            </w:pPr>
            <w:r w:rsidRPr="00C766D7">
              <w:rPr>
                <w:b/>
                <w:bCs/>
                <w:sz w:val="18"/>
                <w:szCs w:val="18"/>
              </w:rPr>
              <w:t>generation</w:t>
            </w:r>
          </w:p>
        </w:tc>
        <w:tc>
          <w:tcPr>
            <w:tcW w:w="0" w:type="auto"/>
            <w:shd w:val="clear" w:color="auto" w:fill="DDD9C3" w:themeFill="background2" w:themeFillShade="E6"/>
            <w:vAlign w:val="center"/>
          </w:tcPr>
          <w:p w14:paraId="19416E84" w14:textId="77777777" w:rsidR="002906E3" w:rsidRDefault="00AB1047" w:rsidP="002B01EC">
            <w:pPr>
              <w:jc w:val="center"/>
              <w:rPr>
                <w:b/>
                <w:bCs/>
                <w:sz w:val="18"/>
                <w:szCs w:val="18"/>
              </w:rPr>
            </w:pPr>
            <w:r w:rsidRPr="00C766D7">
              <w:rPr>
                <w:b/>
                <w:bCs/>
                <w:sz w:val="18"/>
                <w:szCs w:val="18"/>
              </w:rPr>
              <w:t xml:space="preserve">Local </w:t>
            </w:r>
          </w:p>
          <w:p w14:paraId="7E398655" w14:textId="77777777" w:rsidR="00AB1047" w:rsidRDefault="00AB1047" w:rsidP="002B01EC">
            <w:pPr>
              <w:jc w:val="center"/>
              <w:rPr>
                <w:color w:val="0070C0"/>
                <w:sz w:val="48"/>
                <w:szCs w:val="48"/>
              </w:rPr>
            </w:pPr>
            <w:r w:rsidRPr="00C766D7">
              <w:rPr>
                <w:b/>
                <w:bCs/>
                <w:sz w:val="18"/>
                <w:szCs w:val="18"/>
              </w:rPr>
              <w:t>Indicator Group</w:t>
            </w:r>
          </w:p>
        </w:tc>
        <w:tc>
          <w:tcPr>
            <w:tcW w:w="0" w:type="auto"/>
            <w:shd w:val="clear" w:color="auto" w:fill="DDD9C3" w:themeFill="background2" w:themeFillShade="E6"/>
          </w:tcPr>
          <w:p w14:paraId="7FE3568C" w14:textId="77777777" w:rsidR="002906E3" w:rsidRDefault="00AB1047" w:rsidP="002B01EC">
            <w:pPr>
              <w:jc w:val="center"/>
              <w:rPr>
                <w:b/>
                <w:bCs/>
                <w:sz w:val="18"/>
                <w:szCs w:val="18"/>
              </w:rPr>
            </w:pPr>
            <w:r w:rsidRPr="00BE3A94">
              <w:rPr>
                <w:b/>
                <w:bCs/>
                <w:sz w:val="18"/>
                <w:szCs w:val="18"/>
              </w:rPr>
              <w:t xml:space="preserve">Deadline </w:t>
            </w:r>
          </w:p>
          <w:p w14:paraId="4F7C39CF" w14:textId="77777777" w:rsidR="00AB1047" w:rsidRDefault="00AB1047" w:rsidP="002B01EC">
            <w:pPr>
              <w:jc w:val="center"/>
              <w:rPr>
                <w:color w:val="0070C0"/>
                <w:sz w:val="48"/>
                <w:szCs w:val="48"/>
              </w:rPr>
            </w:pPr>
            <w:r w:rsidRPr="00BE3A94">
              <w:rPr>
                <w:b/>
                <w:bCs/>
                <w:sz w:val="18"/>
                <w:szCs w:val="18"/>
              </w:rPr>
              <w:t>for Data providing</w:t>
            </w:r>
          </w:p>
        </w:tc>
        <w:tc>
          <w:tcPr>
            <w:tcW w:w="0" w:type="auto"/>
            <w:shd w:val="clear" w:color="auto" w:fill="DDD9C3" w:themeFill="background2" w:themeFillShade="E6"/>
            <w:vAlign w:val="center"/>
          </w:tcPr>
          <w:p w14:paraId="6BC2AB43" w14:textId="77777777" w:rsidR="00AB1047" w:rsidRDefault="00AB1047" w:rsidP="002B01EC">
            <w:pPr>
              <w:jc w:val="center"/>
              <w:rPr>
                <w:color w:val="0070C0"/>
                <w:sz w:val="48"/>
                <w:szCs w:val="48"/>
              </w:rPr>
            </w:pPr>
            <w:r>
              <w:rPr>
                <w:b/>
                <w:bCs/>
                <w:sz w:val="18"/>
                <w:szCs w:val="18"/>
              </w:rPr>
              <w:t>Remarks</w:t>
            </w:r>
          </w:p>
        </w:tc>
      </w:tr>
      <w:tr w:rsidR="002B4B5A" w:rsidRPr="007E6DF7" w14:paraId="47304992" w14:textId="77777777" w:rsidTr="0025292C">
        <w:trPr>
          <w:tblHeader/>
        </w:trPr>
        <w:tc>
          <w:tcPr>
            <w:tcW w:w="0" w:type="auto"/>
            <w:shd w:val="clear" w:color="auto" w:fill="00B0F0"/>
          </w:tcPr>
          <w:p w14:paraId="47A064D5" w14:textId="77777777" w:rsidR="00AB1047" w:rsidRPr="007E6DF7" w:rsidRDefault="00AB1047" w:rsidP="00B00C8C">
            <w:pPr>
              <w:jc w:val="center"/>
              <w:rPr>
                <w:color w:val="0070C0"/>
                <w:sz w:val="48"/>
                <w:szCs w:val="48"/>
              </w:rPr>
            </w:pPr>
            <w:r w:rsidRPr="007E6DF7">
              <w:rPr>
                <w:b/>
                <w:bCs/>
                <w:sz w:val="18"/>
                <w:szCs w:val="18"/>
              </w:rPr>
              <w:t>1</w:t>
            </w:r>
          </w:p>
        </w:tc>
        <w:tc>
          <w:tcPr>
            <w:tcW w:w="0" w:type="auto"/>
            <w:shd w:val="clear" w:color="auto" w:fill="00B0F0"/>
          </w:tcPr>
          <w:p w14:paraId="6F490EA7" w14:textId="77777777" w:rsidR="00AB1047" w:rsidRPr="007E6DF7" w:rsidRDefault="00AB1047" w:rsidP="00B00C8C">
            <w:pPr>
              <w:jc w:val="center"/>
              <w:rPr>
                <w:color w:val="0070C0"/>
                <w:sz w:val="48"/>
                <w:szCs w:val="48"/>
              </w:rPr>
            </w:pPr>
            <w:r w:rsidRPr="007E6DF7">
              <w:rPr>
                <w:b/>
                <w:bCs/>
                <w:sz w:val="18"/>
                <w:szCs w:val="18"/>
              </w:rPr>
              <w:t>2</w:t>
            </w:r>
          </w:p>
        </w:tc>
        <w:tc>
          <w:tcPr>
            <w:tcW w:w="0" w:type="auto"/>
            <w:shd w:val="clear" w:color="auto" w:fill="00B0F0"/>
          </w:tcPr>
          <w:p w14:paraId="60C3FD40" w14:textId="77777777" w:rsidR="00AB1047" w:rsidRPr="007E6DF7" w:rsidRDefault="00AB1047" w:rsidP="00B00C8C">
            <w:pPr>
              <w:jc w:val="center"/>
              <w:rPr>
                <w:color w:val="0070C0"/>
                <w:sz w:val="48"/>
                <w:szCs w:val="48"/>
              </w:rPr>
            </w:pPr>
            <w:r w:rsidRPr="007E6DF7">
              <w:rPr>
                <w:b/>
                <w:bCs/>
                <w:sz w:val="18"/>
                <w:szCs w:val="18"/>
              </w:rPr>
              <w:t>3</w:t>
            </w:r>
          </w:p>
        </w:tc>
        <w:tc>
          <w:tcPr>
            <w:tcW w:w="0" w:type="auto"/>
            <w:shd w:val="clear" w:color="auto" w:fill="00B0F0"/>
          </w:tcPr>
          <w:p w14:paraId="59D75F55" w14:textId="77777777" w:rsidR="00AB1047" w:rsidRPr="007E6DF7" w:rsidRDefault="00AB1047" w:rsidP="00B00C8C">
            <w:pPr>
              <w:jc w:val="center"/>
              <w:rPr>
                <w:color w:val="0070C0"/>
                <w:sz w:val="48"/>
                <w:szCs w:val="48"/>
              </w:rPr>
            </w:pPr>
            <w:r w:rsidRPr="007E6DF7">
              <w:rPr>
                <w:b/>
                <w:bCs/>
                <w:sz w:val="18"/>
                <w:szCs w:val="18"/>
              </w:rPr>
              <w:t>4</w:t>
            </w:r>
          </w:p>
        </w:tc>
        <w:tc>
          <w:tcPr>
            <w:tcW w:w="0" w:type="auto"/>
            <w:shd w:val="clear" w:color="auto" w:fill="00B0F0"/>
          </w:tcPr>
          <w:p w14:paraId="36712CFA" w14:textId="77777777" w:rsidR="00AB1047" w:rsidRPr="007E6DF7" w:rsidRDefault="00AB1047" w:rsidP="00B00C8C">
            <w:pPr>
              <w:jc w:val="center"/>
              <w:rPr>
                <w:color w:val="0070C0"/>
                <w:sz w:val="48"/>
                <w:szCs w:val="48"/>
              </w:rPr>
            </w:pPr>
            <w:r w:rsidRPr="007E6DF7">
              <w:rPr>
                <w:b/>
                <w:bCs/>
                <w:sz w:val="18"/>
                <w:szCs w:val="18"/>
              </w:rPr>
              <w:t>5</w:t>
            </w:r>
          </w:p>
        </w:tc>
        <w:tc>
          <w:tcPr>
            <w:tcW w:w="0" w:type="auto"/>
            <w:shd w:val="clear" w:color="auto" w:fill="00B0F0"/>
          </w:tcPr>
          <w:p w14:paraId="2ED73848" w14:textId="77777777" w:rsidR="00AB1047" w:rsidRPr="007E6DF7" w:rsidRDefault="00AB1047" w:rsidP="00B00C8C">
            <w:pPr>
              <w:jc w:val="center"/>
              <w:rPr>
                <w:color w:val="0070C0"/>
                <w:sz w:val="48"/>
                <w:szCs w:val="48"/>
              </w:rPr>
            </w:pPr>
            <w:r w:rsidRPr="007E6DF7">
              <w:rPr>
                <w:b/>
                <w:bCs/>
                <w:sz w:val="18"/>
                <w:szCs w:val="18"/>
              </w:rPr>
              <w:t>6</w:t>
            </w:r>
          </w:p>
        </w:tc>
        <w:tc>
          <w:tcPr>
            <w:tcW w:w="0" w:type="auto"/>
            <w:shd w:val="clear" w:color="auto" w:fill="00B0F0"/>
          </w:tcPr>
          <w:p w14:paraId="1196E43F" w14:textId="77777777" w:rsidR="00AB1047" w:rsidRPr="007E6DF7" w:rsidRDefault="00AB1047" w:rsidP="00B00C8C">
            <w:pPr>
              <w:jc w:val="center"/>
              <w:rPr>
                <w:color w:val="0070C0"/>
                <w:sz w:val="48"/>
                <w:szCs w:val="48"/>
              </w:rPr>
            </w:pPr>
            <w:r w:rsidRPr="007E6DF7">
              <w:rPr>
                <w:b/>
                <w:bCs/>
                <w:sz w:val="18"/>
                <w:szCs w:val="18"/>
              </w:rPr>
              <w:t>7</w:t>
            </w:r>
          </w:p>
        </w:tc>
        <w:tc>
          <w:tcPr>
            <w:tcW w:w="0" w:type="auto"/>
            <w:shd w:val="clear" w:color="auto" w:fill="00B0F0"/>
          </w:tcPr>
          <w:p w14:paraId="64BF004E" w14:textId="77777777" w:rsidR="00AB1047" w:rsidRPr="007E6DF7" w:rsidRDefault="00AB1047" w:rsidP="00B00C8C">
            <w:pPr>
              <w:jc w:val="center"/>
              <w:rPr>
                <w:color w:val="0070C0"/>
                <w:sz w:val="48"/>
                <w:szCs w:val="48"/>
              </w:rPr>
            </w:pPr>
            <w:r w:rsidRPr="007E6DF7">
              <w:rPr>
                <w:b/>
                <w:bCs/>
                <w:sz w:val="18"/>
                <w:szCs w:val="18"/>
              </w:rPr>
              <w:t>8</w:t>
            </w:r>
          </w:p>
        </w:tc>
        <w:tc>
          <w:tcPr>
            <w:tcW w:w="0" w:type="auto"/>
            <w:shd w:val="clear" w:color="auto" w:fill="00B0F0"/>
          </w:tcPr>
          <w:p w14:paraId="0E7B8BC0" w14:textId="77777777" w:rsidR="00AB1047" w:rsidRPr="007E6DF7" w:rsidRDefault="00AB1047" w:rsidP="00B00C8C">
            <w:pPr>
              <w:jc w:val="center"/>
              <w:rPr>
                <w:color w:val="0070C0"/>
                <w:sz w:val="48"/>
                <w:szCs w:val="48"/>
              </w:rPr>
            </w:pPr>
            <w:r w:rsidRPr="007E6DF7">
              <w:rPr>
                <w:b/>
                <w:bCs/>
                <w:sz w:val="18"/>
                <w:szCs w:val="18"/>
              </w:rPr>
              <w:t>9</w:t>
            </w:r>
          </w:p>
        </w:tc>
        <w:tc>
          <w:tcPr>
            <w:tcW w:w="0" w:type="auto"/>
            <w:shd w:val="clear" w:color="auto" w:fill="00B0F0"/>
          </w:tcPr>
          <w:p w14:paraId="34AD0F4E" w14:textId="77777777" w:rsidR="00AB1047" w:rsidRPr="007E6DF7" w:rsidRDefault="00AB1047" w:rsidP="00B00C8C">
            <w:pPr>
              <w:jc w:val="center"/>
              <w:rPr>
                <w:color w:val="0070C0"/>
                <w:sz w:val="48"/>
                <w:szCs w:val="48"/>
              </w:rPr>
            </w:pPr>
            <w:r w:rsidRPr="007E6DF7">
              <w:rPr>
                <w:b/>
                <w:bCs/>
                <w:sz w:val="18"/>
                <w:szCs w:val="18"/>
              </w:rPr>
              <w:t>10</w:t>
            </w:r>
          </w:p>
        </w:tc>
        <w:tc>
          <w:tcPr>
            <w:tcW w:w="0" w:type="auto"/>
            <w:shd w:val="clear" w:color="auto" w:fill="00B0F0"/>
          </w:tcPr>
          <w:p w14:paraId="6E30F2E8" w14:textId="77777777" w:rsidR="00AB1047" w:rsidRPr="007E6DF7" w:rsidRDefault="00AB1047" w:rsidP="00B00C8C">
            <w:pPr>
              <w:jc w:val="center"/>
              <w:rPr>
                <w:color w:val="0070C0"/>
                <w:sz w:val="48"/>
                <w:szCs w:val="48"/>
              </w:rPr>
            </w:pPr>
            <w:r w:rsidRPr="007E6DF7">
              <w:rPr>
                <w:b/>
                <w:bCs/>
                <w:sz w:val="18"/>
                <w:szCs w:val="18"/>
              </w:rPr>
              <w:t>11</w:t>
            </w:r>
          </w:p>
        </w:tc>
        <w:tc>
          <w:tcPr>
            <w:tcW w:w="0" w:type="auto"/>
            <w:shd w:val="clear" w:color="auto" w:fill="00B0F0"/>
          </w:tcPr>
          <w:p w14:paraId="66E3AABC" w14:textId="77777777" w:rsidR="00AB1047" w:rsidRPr="007E6DF7" w:rsidRDefault="00AB1047" w:rsidP="00B00C8C">
            <w:pPr>
              <w:jc w:val="center"/>
              <w:rPr>
                <w:color w:val="0070C0"/>
                <w:sz w:val="48"/>
                <w:szCs w:val="48"/>
              </w:rPr>
            </w:pPr>
            <w:r w:rsidRPr="007E6DF7">
              <w:rPr>
                <w:rFonts w:hint="cs"/>
                <w:b/>
                <w:bCs/>
                <w:sz w:val="18"/>
                <w:szCs w:val="18"/>
                <w:cs/>
                <w:lang w:bidi="bn-BD"/>
              </w:rPr>
              <w:t>12</w:t>
            </w:r>
          </w:p>
        </w:tc>
        <w:tc>
          <w:tcPr>
            <w:tcW w:w="0" w:type="auto"/>
            <w:shd w:val="clear" w:color="auto" w:fill="00B0F0"/>
          </w:tcPr>
          <w:p w14:paraId="4719E343" w14:textId="77777777" w:rsidR="00AB1047" w:rsidRPr="007E6DF7" w:rsidRDefault="00AB1047" w:rsidP="00B00C8C">
            <w:pPr>
              <w:jc w:val="center"/>
              <w:rPr>
                <w:color w:val="0070C0"/>
                <w:sz w:val="48"/>
                <w:szCs w:val="48"/>
              </w:rPr>
            </w:pPr>
            <w:r w:rsidRPr="007E6DF7">
              <w:rPr>
                <w:b/>
                <w:bCs/>
                <w:sz w:val="18"/>
                <w:szCs w:val="18"/>
              </w:rPr>
              <w:t>1</w:t>
            </w:r>
            <w:r w:rsidRPr="007E6DF7">
              <w:rPr>
                <w:rFonts w:hint="cs"/>
                <w:b/>
                <w:bCs/>
                <w:sz w:val="18"/>
                <w:szCs w:val="18"/>
                <w:cs/>
                <w:lang w:bidi="bn-BD"/>
              </w:rPr>
              <w:t>3</w:t>
            </w:r>
          </w:p>
        </w:tc>
      </w:tr>
      <w:tr w:rsidR="00AB1047" w14:paraId="20CBE5B0" w14:textId="77777777" w:rsidTr="0025292C">
        <w:trPr>
          <w:trHeight w:val="413"/>
        </w:trPr>
        <w:tc>
          <w:tcPr>
            <w:tcW w:w="0" w:type="auto"/>
            <w:gridSpan w:val="13"/>
            <w:shd w:val="clear" w:color="auto" w:fill="auto"/>
          </w:tcPr>
          <w:p w14:paraId="228343C7" w14:textId="77777777" w:rsidR="00AB1047" w:rsidRDefault="00AB1047" w:rsidP="002B01EC">
            <w:pPr>
              <w:jc w:val="both"/>
              <w:rPr>
                <w:color w:val="0070C0"/>
                <w:sz w:val="48"/>
                <w:szCs w:val="48"/>
              </w:rPr>
            </w:pPr>
            <w:r w:rsidRPr="00382228">
              <w:rPr>
                <w:color w:val="0070C0"/>
                <w:w w:val="95"/>
                <w:sz w:val="30"/>
                <w:szCs w:val="30"/>
              </w:rPr>
              <w:t xml:space="preserve">Target </w:t>
            </w:r>
            <w:r w:rsidRPr="00382228">
              <w:rPr>
                <w:color w:val="0070C0"/>
                <w:w w:val="95"/>
                <w:sz w:val="30"/>
                <w:szCs w:val="30"/>
                <w:lang w:bidi="bn-BD"/>
              </w:rPr>
              <w:t>8.1 Sustain per capita economic growth in accordance with national circumstances and, in particular, at least 7 per cent gross domestic product growth per annum in the least developed countries</w:t>
            </w:r>
          </w:p>
        </w:tc>
      </w:tr>
      <w:tr w:rsidR="00E45009" w14:paraId="5ECCBC60" w14:textId="77777777" w:rsidTr="0025292C">
        <w:tc>
          <w:tcPr>
            <w:tcW w:w="0" w:type="auto"/>
            <w:shd w:val="clear" w:color="auto" w:fill="auto"/>
          </w:tcPr>
          <w:p w14:paraId="493753D9" w14:textId="77777777" w:rsidR="00E45009" w:rsidRDefault="00E45009" w:rsidP="00E45009">
            <w:pPr>
              <w:jc w:val="both"/>
              <w:rPr>
                <w:color w:val="0070C0"/>
                <w:sz w:val="48"/>
                <w:szCs w:val="48"/>
              </w:rPr>
            </w:pPr>
            <w:r w:rsidRPr="0095033B">
              <w:t>8.1.1 Annual growth rate of real GDP per capita</w:t>
            </w:r>
          </w:p>
        </w:tc>
        <w:tc>
          <w:tcPr>
            <w:tcW w:w="0" w:type="auto"/>
            <w:shd w:val="clear" w:color="auto" w:fill="auto"/>
          </w:tcPr>
          <w:p w14:paraId="6A988D89" w14:textId="77777777" w:rsidR="00E45009" w:rsidRDefault="00E45009" w:rsidP="00E45009">
            <w:pPr>
              <w:pStyle w:val="NoSpacing"/>
            </w:pPr>
            <w:r w:rsidRPr="00EE1D53">
              <w:t>UNSD</w:t>
            </w:r>
          </w:p>
          <w:p w14:paraId="797ABB93" w14:textId="77777777" w:rsidR="00E45009" w:rsidRDefault="00E45009" w:rsidP="00E45009">
            <w:pPr>
              <w:rPr>
                <w:b/>
                <w:bCs/>
                <w:szCs w:val="20"/>
              </w:rPr>
            </w:pPr>
            <w:r w:rsidRPr="007243FC">
              <w:rPr>
                <w:b/>
                <w:bCs/>
                <w:szCs w:val="20"/>
              </w:rPr>
              <w:t>Partner Agencies:</w:t>
            </w:r>
          </w:p>
          <w:p w14:paraId="747AEB70" w14:textId="77777777" w:rsidR="00E45009" w:rsidRDefault="00E45009" w:rsidP="00E45009">
            <w:pPr>
              <w:jc w:val="both"/>
              <w:rPr>
                <w:color w:val="0070C0"/>
                <w:sz w:val="48"/>
                <w:szCs w:val="48"/>
              </w:rPr>
            </w:pPr>
            <w:r w:rsidRPr="00EE1D53">
              <w:t>World Bank</w:t>
            </w:r>
          </w:p>
        </w:tc>
        <w:tc>
          <w:tcPr>
            <w:tcW w:w="0" w:type="auto"/>
            <w:shd w:val="clear" w:color="auto" w:fill="auto"/>
          </w:tcPr>
          <w:p w14:paraId="2AA71D67" w14:textId="77777777" w:rsidR="00E45009" w:rsidRDefault="00E45009" w:rsidP="00E45009">
            <w:pPr>
              <w:jc w:val="both"/>
              <w:rPr>
                <w:color w:val="0070C0"/>
                <w:sz w:val="48"/>
                <w:szCs w:val="48"/>
              </w:rPr>
            </w:pPr>
            <w:r w:rsidRPr="00666486">
              <w:t>Tier I</w:t>
            </w:r>
          </w:p>
        </w:tc>
        <w:tc>
          <w:tcPr>
            <w:tcW w:w="0" w:type="auto"/>
            <w:shd w:val="clear" w:color="auto" w:fill="auto"/>
          </w:tcPr>
          <w:p w14:paraId="681FB9AE" w14:textId="77777777" w:rsidR="00E45009" w:rsidRPr="000C4849" w:rsidRDefault="00E45009" w:rsidP="00E45009">
            <w:pPr>
              <w:pStyle w:val="NoSpacing"/>
              <w:rPr>
                <w:b/>
                <w:lang w:bidi="en-US"/>
              </w:rPr>
            </w:pPr>
            <w:r w:rsidRPr="000C4849">
              <w:rPr>
                <w:b/>
                <w:lang w:bidi="en-US"/>
              </w:rPr>
              <w:t>Definition:</w:t>
            </w:r>
          </w:p>
          <w:p w14:paraId="24232A12" w14:textId="77777777" w:rsidR="00E45009" w:rsidRPr="00C73219" w:rsidRDefault="00E45009" w:rsidP="00E45009">
            <w:pPr>
              <w:pStyle w:val="NoSpacing"/>
            </w:pPr>
            <w:r w:rsidRPr="00C73219">
              <w:rPr>
                <w:lang w:bidi="en-US"/>
              </w:rPr>
              <w:t>Annual growth rate of real Gross Domestic Product (GDP) per capita is calculated as the percentage change in the real GDP per capita between two consecutive years. Real GDP per capita is calculated by dividing GDP at constant prices by the population of a country or area. The data for real GDP are measured in constant US dollars to facilitate the calculation of regional and global aggregates.</w:t>
            </w:r>
          </w:p>
          <w:p w14:paraId="7411B08E" w14:textId="77777777" w:rsidR="00E45009" w:rsidRPr="000C4849" w:rsidRDefault="00E45009" w:rsidP="00E45009">
            <w:pPr>
              <w:pStyle w:val="NoSpacing"/>
              <w:rPr>
                <w:b/>
                <w:lang w:bidi="en-US"/>
              </w:rPr>
            </w:pPr>
            <w:r w:rsidRPr="000C4849">
              <w:rPr>
                <w:b/>
                <w:lang w:bidi="en-US"/>
              </w:rPr>
              <w:t>Concepts:</w:t>
            </w:r>
          </w:p>
          <w:p w14:paraId="65AF2461" w14:textId="77777777" w:rsidR="00E45009" w:rsidRPr="00C73219" w:rsidRDefault="00E45009" w:rsidP="00E45009">
            <w:pPr>
              <w:pStyle w:val="NoSpacing"/>
            </w:pPr>
            <w:r w:rsidRPr="00C73219">
              <w:rPr>
                <w:lang w:bidi="en-US"/>
              </w:rPr>
              <w:t>GDP measures the monetary value of final goods and services produced in an economic territory/country in a given period of time (say a quarter or a year). It is calculated without making deductions for depreciation of produced assets or for depletion and degradation of natural resources. GDP can be measured using the expenditure approach as the sum of expenditure on final consumption plus gross capital formation plus exports less imports, the production approach as the value of output less intermediate consumption plus any taxes less subsidies on products not already included in the value of output, or the income approach as compensation of employees plus gross operating surplus plus gross mixed incomes plus taxes less subsidies on both production and imports</w:t>
            </w:r>
            <w:r>
              <w:rPr>
                <w:lang w:bidi="en-US"/>
              </w:rPr>
              <w:t>.</w:t>
            </w:r>
          </w:p>
          <w:p w14:paraId="0B13938E" w14:textId="77777777" w:rsidR="00E45009" w:rsidRPr="00C73219" w:rsidRDefault="00E45009" w:rsidP="00E45009">
            <w:pPr>
              <w:pStyle w:val="NoSpacing"/>
            </w:pPr>
          </w:p>
          <w:p w14:paraId="09105ACC" w14:textId="77777777" w:rsidR="00E45009" w:rsidRPr="000C4849" w:rsidRDefault="00E45009" w:rsidP="00E45009">
            <w:pPr>
              <w:pStyle w:val="NoSpacing"/>
              <w:rPr>
                <w:b/>
              </w:rPr>
            </w:pPr>
            <w:r w:rsidRPr="000C4849">
              <w:rPr>
                <w:b/>
              </w:rPr>
              <w:t>Comments and limitations:</w:t>
            </w:r>
          </w:p>
          <w:p w14:paraId="5377FE07" w14:textId="77777777" w:rsidR="00E45009" w:rsidRPr="00C73219" w:rsidRDefault="00E45009" w:rsidP="00E45009">
            <w:pPr>
              <w:pStyle w:val="NoSpacing"/>
              <w:rPr>
                <w:lang w:bidi="en-US"/>
              </w:rPr>
            </w:pPr>
          </w:p>
          <w:p w14:paraId="3D593C0B" w14:textId="77777777" w:rsidR="00E45009" w:rsidRPr="00C73219" w:rsidRDefault="00E45009" w:rsidP="00E45009">
            <w:pPr>
              <w:pStyle w:val="NoSpacing"/>
            </w:pPr>
            <w:bookmarkStart w:id="2" w:name="_Hlk522106885"/>
            <w:r w:rsidRPr="00C73219">
              <w:t xml:space="preserve">Although countries or areas calculate GDP using the common principles and recommendations in the United Nations System of National Accounts (SNA), </w:t>
            </w:r>
            <w:bookmarkEnd w:id="2"/>
            <w:r w:rsidRPr="00C73219">
              <w:t>there are still problems in international comparability of GDP estimates. These include:</w:t>
            </w:r>
          </w:p>
          <w:p w14:paraId="2361423F" w14:textId="77777777" w:rsidR="00E45009" w:rsidRPr="00C73219" w:rsidRDefault="00E45009" w:rsidP="00E45009">
            <w:pPr>
              <w:pStyle w:val="NoSpacing"/>
            </w:pPr>
            <w:r w:rsidRPr="00C73219">
              <w:t>Different versions of the SNA (for example, 1968, 1993 or 2008) countries or areas use in calculating their GDP estimates</w:t>
            </w:r>
          </w:p>
          <w:p w14:paraId="653732F7" w14:textId="77777777" w:rsidR="00E45009" w:rsidRPr="00C73219" w:rsidRDefault="00E45009" w:rsidP="00E45009">
            <w:pPr>
              <w:pStyle w:val="NoSpacing"/>
            </w:pPr>
            <w:r w:rsidRPr="00C73219">
              <w:t>Different degree of coverage of informal and non-observed economic activities in the GDP estimates</w:t>
            </w:r>
          </w:p>
          <w:p w14:paraId="11AB23E5" w14:textId="77777777" w:rsidR="00E45009" w:rsidRPr="00C73219" w:rsidRDefault="00E45009" w:rsidP="00E45009">
            <w:pPr>
              <w:pStyle w:val="NoSpacing"/>
            </w:pPr>
          </w:p>
          <w:p w14:paraId="6D8CCCD3" w14:textId="77777777" w:rsidR="00E45009" w:rsidRPr="00C73219" w:rsidRDefault="00E45009" w:rsidP="00E45009">
            <w:pPr>
              <w:pStyle w:val="NoSpacing"/>
            </w:pPr>
            <w:r w:rsidRPr="00C73219">
              <w:t xml:space="preserve">Further, as a necessary condition to being a key economic performance indicator of sustainable development, one of the often-cited limitations </w:t>
            </w:r>
            <w:r w:rsidRPr="00C73219">
              <w:lastRenderedPageBreak/>
              <w:t>of GDP is that it does not account for the social and</w:t>
            </w:r>
          </w:p>
          <w:p w14:paraId="4D9AA32D" w14:textId="77777777" w:rsidR="00E45009" w:rsidRPr="00C73219" w:rsidRDefault="00E45009" w:rsidP="00E45009">
            <w:pPr>
              <w:pStyle w:val="NoSpacing"/>
              <w:rPr>
                <w:lang w:bidi="en-US"/>
              </w:rPr>
            </w:pPr>
            <w:proofErr w:type="gramStart"/>
            <w:r w:rsidRPr="00C73219">
              <w:rPr>
                <w:lang w:bidi="en-US"/>
              </w:rPr>
              <w:t>environmental</w:t>
            </w:r>
            <w:proofErr w:type="gramEnd"/>
            <w:r w:rsidRPr="00C73219">
              <w:rPr>
                <w:lang w:bidi="en-US"/>
              </w:rPr>
              <w:t xml:space="preserve"> costs of production. It is designed as a measure of the level of overall well-being. For example, growth in real GDP per capita reveals nothing concerning energy and material interactions with the environment.</w:t>
            </w:r>
          </w:p>
          <w:p w14:paraId="4072DE2C" w14:textId="77777777" w:rsidR="00E45009" w:rsidRPr="00C73219" w:rsidRDefault="00E45009" w:rsidP="00E45009">
            <w:pPr>
              <w:pStyle w:val="NoSpacing"/>
            </w:pPr>
          </w:p>
          <w:p w14:paraId="11C21C3F" w14:textId="77777777" w:rsidR="00E45009" w:rsidRPr="00C73219" w:rsidRDefault="00E45009" w:rsidP="00E45009">
            <w:pPr>
              <w:pStyle w:val="NoSpacing"/>
              <w:rPr>
                <w:b/>
                <w:bCs/>
                <w:lang w:bidi="en-US"/>
              </w:rPr>
            </w:pPr>
            <w:r w:rsidRPr="00C73219">
              <w:rPr>
                <w:b/>
                <w:bCs/>
                <w:lang w:bidi="en-US"/>
              </w:rPr>
              <w:t>Computation Method:</w:t>
            </w:r>
          </w:p>
          <w:p w14:paraId="5EC263B1" w14:textId="77777777" w:rsidR="00E45009" w:rsidRPr="00C73219" w:rsidRDefault="00E45009" w:rsidP="00E45009">
            <w:pPr>
              <w:pStyle w:val="NoSpacing"/>
              <w:rPr>
                <w:lang w:bidi="en-US"/>
              </w:rPr>
            </w:pPr>
          </w:p>
          <w:p w14:paraId="62777017" w14:textId="77777777" w:rsidR="00E45009" w:rsidRPr="00C73219" w:rsidRDefault="00E45009" w:rsidP="00E45009">
            <w:pPr>
              <w:pStyle w:val="NoSpacing"/>
              <w:rPr>
                <w:lang w:bidi="en-US"/>
              </w:rPr>
            </w:pPr>
            <w:r w:rsidRPr="00C73219">
              <w:rPr>
                <w:lang w:bidi="en-US"/>
              </w:rPr>
              <w:t>The annual growth rate of real Gross Domestic Product (GDP) per capita is calculated as follows:</w:t>
            </w:r>
          </w:p>
          <w:p w14:paraId="1B1406B0" w14:textId="77777777" w:rsidR="00E45009" w:rsidRPr="00C73219" w:rsidRDefault="00E45009" w:rsidP="00E45009">
            <w:pPr>
              <w:pStyle w:val="NoSpacing"/>
              <w:rPr>
                <w:lang w:bidi="en-US"/>
              </w:rPr>
            </w:pPr>
          </w:p>
          <w:p w14:paraId="6A5149BA" w14:textId="77777777" w:rsidR="00E45009" w:rsidRDefault="00E45009" w:rsidP="00E45009">
            <w:pPr>
              <w:pStyle w:val="NoSpacing"/>
              <w:rPr>
                <w:lang w:bidi="en-US"/>
              </w:rPr>
            </w:pPr>
            <w:r w:rsidRPr="00C73219">
              <w:rPr>
                <w:lang w:bidi="en-US"/>
              </w:rPr>
              <w:t>Convert annual real GDP in domestic currency at 2010 prices for a country or area to US dollars at 2010 prices using the 2010 exchange rates.</w:t>
            </w:r>
          </w:p>
          <w:p w14:paraId="4B8662D3" w14:textId="77777777" w:rsidR="00E45009" w:rsidRPr="00C73219" w:rsidRDefault="00E45009" w:rsidP="00E45009">
            <w:pPr>
              <w:pStyle w:val="NoSpacing"/>
              <w:rPr>
                <w:lang w:bidi="en-US"/>
              </w:rPr>
            </w:pPr>
          </w:p>
          <w:p w14:paraId="7D8A14F6" w14:textId="77777777" w:rsidR="00E45009" w:rsidRDefault="00E45009" w:rsidP="00E45009">
            <w:pPr>
              <w:pStyle w:val="NoSpacing"/>
              <w:rPr>
                <w:lang w:bidi="en-US"/>
              </w:rPr>
            </w:pPr>
            <w:r w:rsidRPr="00C73219">
              <w:rPr>
                <w:lang w:bidi="en-US"/>
              </w:rPr>
              <w:t>Divide the result by the population of the country or area to obtain annual real GDP per capita in constant US dollars at 2010 prices.</w:t>
            </w:r>
          </w:p>
          <w:p w14:paraId="3553192E" w14:textId="77777777" w:rsidR="00E45009" w:rsidRPr="00C73219" w:rsidRDefault="00E45009" w:rsidP="00E45009">
            <w:pPr>
              <w:pStyle w:val="NoSpacing"/>
              <w:rPr>
                <w:cs/>
                <w:lang w:bidi="bn-BD"/>
              </w:rPr>
            </w:pPr>
            <w:r>
              <w:rPr>
                <w:rFonts w:hint="cs"/>
                <w:cs/>
                <w:lang w:bidi="bn-BD"/>
              </w:rPr>
              <w:t xml:space="preserve">  </w:t>
            </w:r>
          </w:p>
          <w:p w14:paraId="4FF9BE45" w14:textId="77777777" w:rsidR="00E45009" w:rsidRPr="00C73219" w:rsidRDefault="00E45009" w:rsidP="00E45009">
            <w:pPr>
              <w:pStyle w:val="NoSpacing"/>
              <w:rPr>
                <w:lang w:bidi="en-US"/>
              </w:rPr>
            </w:pPr>
            <w:r w:rsidRPr="00C73219">
              <w:rPr>
                <w:lang w:bidi="en-US"/>
              </w:rPr>
              <w:t>Calculate the annual growth rate of real GDP per capita in year t+ 1 using the following formula: [(G(t+1) – G(t))/G(t)] x 100, where G(t+1) is real GDP per capita in 2010 US dollars in year t+1 and G(t) is real GDP per capita in 2010 US dollars in year t.</w:t>
            </w:r>
          </w:p>
          <w:p w14:paraId="3B053EA0" w14:textId="77777777" w:rsidR="00E45009" w:rsidRPr="00C73219" w:rsidRDefault="00E45009" w:rsidP="00E45009">
            <w:pPr>
              <w:pStyle w:val="NoSpacing"/>
              <w:rPr>
                <w:lang w:bidi="en-US"/>
              </w:rPr>
            </w:pPr>
          </w:p>
          <w:p w14:paraId="534046A2" w14:textId="77777777" w:rsidR="00E45009" w:rsidRPr="00C73219" w:rsidRDefault="00E45009" w:rsidP="00E45009">
            <w:pPr>
              <w:pStyle w:val="NoSpacing"/>
            </w:pPr>
          </w:p>
        </w:tc>
        <w:tc>
          <w:tcPr>
            <w:tcW w:w="0" w:type="auto"/>
            <w:shd w:val="clear" w:color="auto" w:fill="auto"/>
          </w:tcPr>
          <w:p w14:paraId="63E28BC4" w14:textId="77777777" w:rsidR="00E45009" w:rsidRDefault="00E45009" w:rsidP="00E45009">
            <w:pPr>
              <w:pStyle w:val="NoSpacing"/>
            </w:pPr>
            <w:r w:rsidRPr="00873FDE">
              <w:lastRenderedPageBreak/>
              <w:t>Official national accounts estimate</w:t>
            </w:r>
          </w:p>
        </w:tc>
        <w:tc>
          <w:tcPr>
            <w:tcW w:w="0" w:type="auto"/>
            <w:shd w:val="clear" w:color="auto" w:fill="auto"/>
          </w:tcPr>
          <w:p w14:paraId="0518D305" w14:textId="77777777" w:rsidR="00E45009" w:rsidRDefault="00E45009" w:rsidP="00E45009">
            <w:pPr>
              <w:pStyle w:val="NoSpacing"/>
            </w:pPr>
            <w:r>
              <w:t>National statistics offices, central banks or national agencies responsible for compiling official national accounts estimates for a country or area</w:t>
            </w:r>
          </w:p>
          <w:p w14:paraId="2464211D" w14:textId="77777777" w:rsidR="00E45009" w:rsidRPr="00C73219" w:rsidRDefault="00E45009" w:rsidP="00E45009">
            <w:pPr>
              <w:pStyle w:val="NoSpacing"/>
            </w:pPr>
          </w:p>
        </w:tc>
        <w:tc>
          <w:tcPr>
            <w:tcW w:w="0" w:type="auto"/>
            <w:shd w:val="clear" w:color="auto" w:fill="auto"/>
          </w:tcPr>
          <w:p w14:paraId="30571527" w14:textId="77777777" w:rsidR="00E45009" w:rsidRDefault="00E45009" w:rsidP="00E45009">
            <w:pPr>
              <w:jc w:val="center"/>
              <w:rPr>
                <w:rFonts w:eastAsia="Times New Roman" w:cs="Times New Roman"/>
                <w:color w:val="000000" w:themeColor="text1"/>
                <w:szCs w:val="20"/>
              </w:rPr>
            </w:pPr>
            <w:r>
              <w:rPr>
                <w:rFonts w:eastAsia="Times New Roman" w:cs="Times New Roman"/>
                <w:color w:val="000000" w:themeColor="text1"/>
                <w:szCs w:val="20"/>
              </w:rPr>
              <w:t>BBS,</w:t>
            </w:r>
          </w:p>
          <w:p w14:paraId="17D334D0" w14:textId="77777777" w:rsidR="00E45009" w:rsidRDefault="00E45009" w:rsidP="00E45009">
            <w:pPr>
              <w:jc w:val="center"/>
              <w:rPr>
                <w:color w:val="0070C0"/>
                <w:sz w:val="48"/>
                <w:szCs w:val="48"/>
              </w:rPr>
            </w:pPr>
            <w:r>
              <w:rPr>
                <w:rFonts w:eastAsia="Times New Roman" w:cs="Times New Roman"/>
                <w:color w:val="000000" w:themeColor="text1"/>
                <w:szCs w:val="20"/>
              </w:rPr>
              <w:t>NAW</w:t>
            </w:r>
          </w:p>
        </w:tc>
        <w:tc>
          <w:tcPr>
            <w:tcW w:w="0" w:type="auto"/>
            <w:shd w:val="clear" w:color="auto" w:fill="auto"/>
          </w:tcPr>
          <w:p w14:paraId="1C9DD985" w14:textId="77777777" w:rsidR="00E45009" w:rsidRDefault="00E45009" w:rsidP="00E45009">
            <w:pPr>
              <w:jc w:val="both"/>
              <w:rPr>
                <w:rFonts w:eastAsia="Times New Roman" w:cs="Times New Roman"/>
                <w:color w:val="000000" w:themeColor="text1"/>
                <w:szCs w:val="20"/>
              </w:rPr>
            </w:pPr>
          </w:p>
          <w:p w14:paraId="6EAE8181" w14:textId="77777777" w:rsidR="00E45009" w:rsidRDefault="00E45009" w:rsidP="00E45009">
            <w:pPr>
              <w:jc w:val="center"/>
              <w:rPr>
                <w:rFonts w:eastAsia="Times New Roman" w:cs="Times New Roman"/>
                <w:color w:val="000000" w:themeColor="text1"/>
                <w:szCs w:val="20"/>
              </w:rPr>
            </w:pPr>
            <w:r>
              <w:rPr>
                <w:rFonts w:eastAsia="Times New Roman" w:cs="Times New Roman"/>
                <w:color w:val="000000" w:themeColor="text1"/>
                <w:szCs w:val="20"/>
              </w:rPr>
              <w:t>BBS,</w:t>
            </w:r>
          </w:p>
          <w:p w14:paraId="37AB28ED" w14:textId="77777777" w:rsidR="00E45009" w:rsidRDefault="00E45009" w:rsidP="00E45009">
            <w:pPr>
              <w:jc w:val="center"/>
              <w:rPr>
                <w:rFonts w:eastAsia="Times New Roman" w:cs="Times New Roman"/>
                <w:color w:val="000000" w:themeColor="text1"/>
                <w:szCs w:val="20"/>
              </w:rPr>
            </w:pPr>
            <w:r>
              <w:rPr>
                <w:rFonts w:eastAsia="Times New Roman" w:cs="Times New Roman"/>
                <w:color w:val="000000" w:themeColor="text1"/>
                <w:szCs w:val="20"/>
              </w:rPr>
              <w:t>NAW</w:t>
            </w:r>
          </w:p>
          <w:p w14:paraId="3C4DD7B3" w14:textId="77777777" w:rsidR="00E45009" w:rsidRDefault="00E45009" w:rsidP="00E45009">
            <w:pPr>
              <w:jc w:val="center"/>
              <w:rPr>
                <w:color w:val="0070C0"/>
                <w:sz w:val="48"/>
                <w:szCs w:val="48"/>
              </w:rPr>
            </w:pPr>
            <w:r w:rsidRPr="007067F8">
              <w:rPr>
                <w:rFonts w:eastAsia="Times New Roman" w:cs="Times New Roman"/>
                <w:color w:val="000000" w:themeColor="text1"/>
                <w:szCs w:val="20"/>
              </w:rPr>
              <w:t>Data</w:t>
            </w:r>
          </w:p>
        </w:tc>
        <w:tc>
          <w:tcPr>
            <w:tcW w:w="0" w:type="auto"/>
            <w:shd w:val="clear" w:color="auto" w:fill="auto"/>
          </w:tcPr>
          <w:p w14:paraId="26D6F361" w14:textId="4D01D762" w:rsidR="00E45009" w:rsidRDefault="00E45009" w:rsidP="00E45009">
            <w:pPr>
              <w:jc w:val="both"/>
              <w:rPr>
                <w:iCs/>
                <w:sz w:val="18"/>
                <w:szCs w:val="18"/>
              </w:rPr>
            </w:pPr>
          </w:p>
          <w:p w14:paraId="1158D26F" w14:textId="37D8C387" w:rsidR="00F15E20" w:rsidRPr="000C4849" w:rsidRDefault="00F15E20" w:rsidP="000C4849">
            <w:pPr>
              <w:pStyle w:val="ListParagraph"/>
              <w:numPr>
                <w:ilvl w:val="0"/>
                <w:numId w:val="193"/>
              </w:numPr>
              <w:jc w:val="both"/>
              <w:rPr>
                <w:color w:val="0070C0"/>
                <w:szCs w:val="20"/>
              </w:rPr>
            </w:pPr>
            <w:r w:rsidRPr="000C4849">
              <w:rPr>
                <w:rFonts w:ascii="Tw Cen MT Condensed" w:hAnsi="Tw Cen MT Condensed"/>
                <w:color w:val="0070C0"/>
                <w:sz w:val="20"/>
                <w:szCs w:val="20"/>
              </w:rPr>
              <w:t>By Region</w:t>
            </w:r>
            <w:r w:rsidR="000E04CC">
              <w:rPr>
                <w:rFonts w:ascii="Tw Cen MT Condensed" w:hAnsi="Tw Cen MT Condensed"/>
                <w:color w:val="0070C0"/>
                <w:sz w:val="20"/>
                <w:szCs w:val="20"/>
              </w:rPr>
              <w:t>: Division</w:t>
            </w:r>
          </w:p>
        </w:tc>
        <w:tc>
          <w:tcPr>
            <w:tcW w:w="0" w:type="auto"/>
            <w:shd w:val="clear" w:color="auto" w:fill="auto"/>
          </w:tcPr>
          <w:p w14:paraId="178DAF17" w14:textId="77777777" w:rsidR="00E45009" w:rsidRDefault="00E45009" w:rsidP="00E45009">
            <w:pPr>
              <w:jc w:val="both"/>
              <w:rPr>
                <w:color w:val="0070C0"/>
                <w:sz w:val="48"/>
                <w:szCs w:val="48"/>
              </w:rPr>
            </w:pPr>
            <w:r w:rsidRPr="00BC6F10">
              <w:t>Annual</w:t>
            </w:r>
          </w:p>
        </w:tc>
        <w:tc>
          <w:tcPr>
            <w:tcW w:w="0" w:type="auto"/>
            <w:shd w:val="clear" w:color="auto" w:fill="auto"/>
          </w:tcPr>
          <w:p w14:paraId="3182B2C3" w14:textId="77777777" w:rsidR="00E45009" w:rsidRDefault="00E45009" w:rsidP="00E45009">
            <w:pPr>
              <w:jc w:val="both"/>
              <w:rPr>
                <w:color w:val="0070C0"/>
                <w:sz w:val="48"/>
                <w:szCs w:val="48"/>
              </w:rPr>
            </w:pPr>
            <w:r>
              <w:t>Group 1</w:t>
            </w:r>
          </w:p>
        </w:tc>
        <w:tc>
          <w:tcPr>
            <w:tcW w:w="0" w:type="auto"/>
            <w:shd w:val="clear" w:color="auto" w:fill="auto"/>
          </w:tcPr>
          <w:p w14:paraId="7E10BF86" w14:textId="77777777" w:rsidR="00E45009" w:rsidRDefault="00E45009" w:rsidP="00E45009">
            <w:pPr>
              <w:pStyle w:val="NoSpacing"/>
            </w:pPr>
            <w:r>
              <w:t>1</w:t>
            </w:r>
            <w:r w:rsidRPr="00013ACB">
              <w:rPr>
                <w:vertAlign w:val="superscript"/>
              </w:rPr>
              <w:t>st</w:t>
            </w:r>
            <w:r>
              <w:t xml:space="preserve"> Round: 2015</w:t>
            </w:r>
          </w:p>
          <w:p w14:paraId="63906BF7" w14:textId="77777777" w:rsidR="00E45009" w:rsidRDefault="00E45009" w:rsidP="00E45009">
            <w:pPr>
              <w:pStyle w:val="NoSpacing"/>
            </w:pPr>
          </w:p>
          <w:p w14:paraId="368ADF56" w14:textId="77777777" w:rsidR="00E45009" w:rsidRDefault="00E45009" w:rsidP="00E45009">
            <w:pPr>
              <w:pStyle w:val="NoSpacing"/>
            </w:pPr>
            <w:r>
              <w:t>2</w:t>
            </w:r>
            <w:r w:rsidRPr="00013ACB">
              <w:rPr>
                <w:vertAlign w:val="superscript"/>
              </w:rPr>
              <w:t>nd</w:t>
            </w:r>
            <w:r>
              <w:t xml:space="preserve"> Round: December 2019</w:t>
            </w:r>
          </w:p>
          <w:p w14:paraId="08A6C2B5" w14:textId="77777777" w:rsidR="00E45009" w:rsidRDefault="00E45009" w:rsidP="00E45009">
            <w:pPr>
              <w:pStyle w:val="NoSpacing"/>
            </w:pPr>
          </w:p>
          <w:p w14:paraId="008852C7" w14:textId="77777777" w:rsidR="00E45009" w:rsidRDefault="00E45009" w:rsidP="00E45009">
            <w:pPr>
              <w:pStyle w:val="NoSpacing"/>
            </w:pPr>
          </w:p>
          <w:p w14:paraId="08DC588A" w14:textId="77777777" w:rsidR="00E45009" w:rsidRDefault="00E45009" w:rsidP="00E45009">
            <w:pPr>
              <w:pStyle w:val="NoSpacing"/>
            </w:pPr>
            <w:r>
              <w:t>3</w:t>
            </w:r>
            <w:r w:rsidRPr="00013ACB">
              <w:rPr>
                <w:vertAlign w:val="superscript"/>
              </w:rPr>
              <w:t>rd</w:t>
            </w:r>
            <w:r>
              <w:t xml:space="preserve"> Round: </w:t>
            </w:r>
          </w:p>
          <w:p w14:paraId="083D5B1D" w14:textId="77777777" w:rsidR="00E45009" w:rsidRDefault="00E45009" w:rsidP="00E45009">
            <w:pPr>
              <w:pStyle w:val="NoSpacing"/>
            </w:pPr>
            <w:r>
              <w:t>December 2020</w:t>
            </w:r>
          </w:p>
          <w:p w14:paraId="34DD1042" w14:textId="77777777" w:rsidR="00E45009" w:rsidRDefault="00E45009" w:rsidP="00E45009">
            <w:pPr>
              <w:pStyle w:val="NoSpacing"/>
            </w:pPr>
          </w:p>
          <w:p w14:paraId="1FC59652" w14:textId="77777777" w:rsidR="00E45009" w:rsidRDefault="00E45009" w:rsidP="00E45009">
            <w:pPr>
              <w:pStyle w:val="NoSpacing"/>
            </w:pPr>
            <w:r>
              <w:t>4</w:t>
            </w:r>
            <w:r w:rsidRPr="00013ACB">
              <w:rPr>
                <w:vertAlign w:val="superscript"/>
              </w:rPr>
              <w:t>th</w:t>
            </w:r>
            <w:r>
              <w:t xml:space="preserve"> Round: </w:t>
            </w:r>
          </w:p>
          <w:p w14:paraId="7A249DEA" w14:textId="77777777" w:rsidR="00E45009" w:rsidRDefault="00E45009" w:rsidP="00E45009">
            <w:pPr>
              <w:pStyle w:val="NoSpacing"/>
            </w:pPr>
            <w:r>
              <w:t>December 2021</w:t>
            </w:r>
          </w:p>
          <w:p w14:paraId="69CB258F" w14:textId="77777777" w:rsidR="00E45009" w:rsidRDefault="00E45009" w:rsidP="00E45009">
            <w:pPr>
              <w:pStyle w:val="NoSpacing"/>
            </w:pPr>
          </w:p>
          <w:p w14:paraId="316CD7CF" w14:textId="77777777" w:rsidR="00E45009" w:rsidRDefault="00E45009" w:rsidP="00E45009">
            <w:pPr>
              <w:pStyle w:val="NoSpacing"/>
            </w:pPr>
            <w:r>
              <w:lastRenderedPageBreak/>
              <w:t>5</w:t>
            </w:r>
            <w:r w:rsidRPr="00013ACB">
              <w:rPr>
                <w:vertAlign w:val="superscript"/>
              </w:rPr>
              <w:t>th</w:t>
            </w:r>
            <w:r>
              <w:t xml:space="preserve"> Round: </w:t>
            </w:r>
          </w:p>
          <w:p w14:paraId="379FF984" w14:textId="77777777" w:rsidR="00E45009" w:rsidRDefault="00E45009" w:rsidP="00E45009">
            <w:pPr>
              <w:pStyle w:val="NoSpacing"/>
            </w:pPr>
            <w:r>
              <w:t>December 2022</w:t>
            </w:r>
          </w:p>
          <w:p w14:paraId="0F340437" w14:textId="5AB0A09E" w:rsidR="00E45009" w:rsidRDefault="00E45009" w:rsidP="00E45009">
            <w:pPr>
              <w:pStyle w:val="NoSpacing"/>
            </w:pPr>
          </w:p>
        </w:tc>
        <w:tc>
          <w:tcPr>
            <w:tcW w:w="0" w:type="auto"/>
            <w:shd w:val="clear" w:color="auto" w:fill="auto"/>
          </w:tcPr>
          <w:p w14:paraId="59925B7D" w14:textId="77777777" w:rsidR="00E45009" w:rsidRDefault="00E45009" w:rsidP="00E45009">
            <w:pPr>
              <w:jc w:val="both"/>
              <w:rPr>
                <w:color w:val="0070C0"/>
                <w:sz w:val="48"/>
                <w:szCs w:val="48"/>
              </w:rPr>
            </w:pPr>
          </w:p>
        </w:tc>
      </w:tr>
      <w:tr w:rsidR="00E45009" w14:paraId="5A15F3EB" w14:textId="77777777" w:rsidTr="0025292C">
        <w:tc>
          <w:tcPr>
            <w:tcW w:w="0" w:type="auto"/>
            <w:gridSpan w:val="13"/>
            <w:shd w:val="clear" w:color="auto" w:fill="auto"/>
          </w:tcPr>
          <w:p w14:paraId="6F639347" w14:textId="77777777" w:rsidR="00E45009" w:rsidRDefault="00E45009" w:rsidP="00E45009">
            <w:pPr>
              <w:jc w:val="both"/>
              <w:rPr>
                <w:color w:val="0070C0"/>
                <w:sz w:val="48"/>
                <w:szCs w:val="48"/>
              </w:rPr>
            </w:pPr>
            <w:r w:rsidRPr="00382228">
              <w:rPr>
                <w:color w:val="0070C0"/>
                <w:w w:val="95"/>
                <w:sz w:val="30"/>
                <w:szCs w:val="30"/>
              </w:rPr>
              <w:lastRenderedPageBreak/>
              <w:t xml:space="preserve">Target 8.2 Achieve higher levels of economic productivity through diversification, technological upgrading and innovation, including through a focus on high-value added and </w:t>
            </w:r>
            <w:r w:rsidRPr="00382228">
              <w:rPr>
                <w:color w:val="0070C0"/>
                <w:w w:val="95"/>
                <w:sz w:val="30"/>
                <w:szCs w:val="30"/>
                <w:lang w:val="en-GB"/>
              </w:rPr>
              <w:t>labour</w:t>
            </w:r>
            <w:r w:rsidRPr="00382228">
              <w:rPr>
                <w:color w:val="0070C0"/>
                <w:w w:val="95"/>
                <w:sz w:val="30"/>
                <w:szCs w:val="30"/>
              </w:rPr>
              <w:t>-intensive sectors</w:t>
            </w:r>
          </w:p>
        </w:tc>
      </w:tr>
      <w:tr w:rsidR="00E45009" w14:paraId="43CD160D" w14:textId="77777777" w:rsidTr="0025292C">
        <w:tc>
          <w:tcPr>
            <w:tcW w:w="0" w:type="auto"/>
            <w:shd w:val="clear" w:color="auto" w:fill="auto"/>
          </w:tcPr>
          <w:p w14:paraId="173B5238" w14:textId="77777777" w:rsidR="00E45009" w:rsidRDefault="00E45009" w:rsidP="00E45009">
            <w:pPr>
              <w:jc w:val="both"/>
              <w:rPr>
                <w:color w:val="0070C0"/>
                <w:sz w:val="48"/>
                <w:szCs w:val="48"/>
              </w:rPr>
            </w:pPr>
            <w:r w:rsidRPr="0095033B">
              <w:t>8.2.1 Annual growth rate of real GDP per employed person</w:t>
            </w:r>
          </w:p>
        </w:tc>
        <w:tc>
          <w:tcPr>
            <w:tcW w:w="0" w:type="auto"/>
            <w:shd w:val="clear" w:color="auto" w:fill="auto"/>
          </w:tcPr>
          <w:p w14:paraId="59CDEBA2" w14:textId="77777777" w:rsidR="00E45009" w:rsidRDefault="00E45009" w:rsidP="00E45009">
            <w:pPr>
              <w:pStyle w:val="NoSpacing"/>
            </w:pPr>
            <w:r w:rsidRPr="00EE1D53">
              <w:t>ILO</w:t>
            </w:r>
          </w:p>
          <w:p w14:paraId="4BD59605" w14:textId="77777777" w:rsidR="00E45009" w:rsidRDefault="00E45009" w:rsidP="00E45009">
            <w:pPr>
              <w:rPr>
                <w:b/>
                <w:bCs/>
                <w:szCs w:val="20"/>
              </w:rPr>
            </w:pPr>
            <w:r w:rsidRPr="007243FC">
              <w:rPr>
                <w:b/>
                <w:bCs/>
                <w:szCs w:val="20"/>
              </w:rPr>
              <w:t>Partner Agencies:</w:t>
            </w:r>
          </w:p>
          <w:p w14:paraId="5BE9146F" w14:textId="77777777" w:rsidR="00E45009" w:rsidRPr="00EE1D53" w:rsidRDefault="00E45009" w:rsidP="00E45009">
            <w:pPr>
              <w:pStyle w:val="NoSpacing"/>
            </w:pPr>
            <w:r w:rsidRPr="00EE1D53">
              <w:t>UNSD</w:t>
            </w:r>
            <w:r>
              <w:t>,</w:t>
            </w:r>
          </w:p>
          <w:p w14:paraId="17C1BF44" w14:textId="77777777" w:rsidR="00E45009" w:rsidRDefault="00E45009" w:rsidP="00E45009">
            <w:pPr>
              <w:jc w:val="both"/>
              <w:rPr>
                <w:color w:val="0070C0"/>
                <w:sz w:val="48"/>
                <w:szCs w:val="48"/>
              </w:rPr>
            </w:pPr>
            <w:r w:rsidRPr="00EE1D53">
              <w:t>World Bank</w:t>
            </w:r>
          </w:p>
        </w:tc>
        <w:tc>
          <w:tcPr>
            <w:tcW w:w="0" w:type="auto"/>
            <w:shd w:val="clear" w:color="auto" w:fill="auto"/>
          </w:tcPr>
          <w:p w14:paraId="7ED35E7A" w14:textId="77777777" w:rsidR="00E45009" w:rsidRDefault="00E45009" w:rsidP="00E45009">
            <w:pPr>
              <w:jc w:val="both"/>
              <w:rPr>
                <w:color w:val="0070C0"/>
                <w:sz w:val="48"/>
                <w:szCs w:val="48"/>
              </w:rPr>
            </w:pPr>
            <w:r w:rsidRPr="00666486">
              <w:t>Tier I</w:t>
            </w:r>
          </w:p>
        </w:tc>
        <w:tc>
          <w:tcPr>
            <w:tcW w:w="0" w:type="auto"/>
            <w:shd w:val="clear" w:color="auto" w:fill="auto"/>
          </w:tcPr>
          <w:p w14:paraId="0DDC792A" w14:textId="77777777" w:rsidR="00E45009" w:rsidRPr="002F7E3F" w:rsidRDefault="00E45009" w:rsidP="00E45009">
            <w:pPr>
              <w:pStyle w:val="NoSpacing"/>
              <w:rPr>
                <w:lang w:val="en-GB"/>
              </w:rPr>
            </w:pPr>
            <w:r w:rsidRPr="002F7E3F">
              <w:rPr>
                <w:b/>
                <w:bCs/>
                <w:lang w:val="en-GB"/>
              </w:rPr>
              <w:t>Definition:</w:t>
            </w:r>
          </w:p>
          <w:p w14:paraId="5E210A10" w14:textId="77777777" w:rsidR="00E45009" w:rsidRPr="002F7E3F" w:rsidRDefault="00E45009" w:rsidP="00E45009">
            <w:pPr>
              <w:pStyle w:val="NoSpacing"/>
              <w:rPr>
                <w:lang w:val="en-GB"/>
              </w:rPr>
            </w:pPr>
            <w:r w:rsidRPr="002F7E3F">
              <w:rPr>
                <w:lang w:val="en-GB"/>
              </w:rPr>
              <w:t>Annual growth rate of real GDP per employed person conveys the annual percentage change in real Gross Domestic Product per employed person.</w:t>
            </w:r>
          </w:p>
          <w:p w14:paraId="348BDE6E" w14:textId="77777777" w:rsidR="00E45009" w:rsidRPr="002F7E3F" w:rsidRDefault="00E45009" w:rsidP="00E45009">
            <w:pPr>
              <w:pStyle w:val="NoSpacing"/>
              <w:rPr>
                <w:lang w:val="en-GB"/>
              </w:rPr>
            </w:pPr>
          </w:p>
          <w:p w14:paraId="74E0FAE6" w14:textId="77777777" w:rsidR="00E45009" w:rsidRPr="002F7E3F" w:rsidRDefault="00E45009" w:rsidP="00E45009">
            <w:pPr>
              <w:pStyle w:val="NoSpacing"/>
              <w:rPr>
                <w:lang w:val="en-GB"/>
              </w:rPr>
            </w:pPr>
            <w:r w:rsidRPr="002F7E3F">
              <w:rPr>
                <w:b/>
                <w:bCs/>
                <w:lang w:val="en-GB"/>
              </w:rPr>
              <w:t>Concepts:</w:t>
            </w:r>
          </w:p>
          <w:p w14:paraId="76063AB2" w14:textId="77777777" w:rsidR="00E45009" w:rsidRPr="002F7E3F" w:rsidRDefault="00E45009" w:rsidP="00E45009">
            <w:pPr>
              <w:pStyle w:val="NoSpacing"/>
              <w:rPr>
                <w:lang w:val="en-GB"/>
              </w:rPr>
            </w:pPr>
            <w:r w:rsidRPr="002F7E3F">
              <w:rPr>
                <w:lang w:val="en-GB"/>
              </w:rPr>
              <w:t>Gross Domestic Product (GDP): It is the main measure of national output, representing the total value of all final goods and services within the System of National Accounts (SNA) production boundary produced in a particular economy (that is, the dollar value of all goods and services within the SNA production boundary produced within a country’s borders in a given year). According to the SNA, “GDP is the sum of gross value added of all resident producer units plus that part (possibly the total) of taxes on products, less subsidies on products, that is not included in the valuation of output … GDP is also equal to the sum of the final uses of goods and services (all uses except intermediate consumption) measured at purchasers’ prices, less the value of imports of goods and services GDP is also equal to the sum of primary incomes distributed by resident producer units.”</w:t>
            </w:r>
          </w:p>
          <w:p w14:paraId="6806A34A" w14:textId="77777777" w:rsidR="00E45009" w:rsidRPr="002F7E3F" w:rsidRDefault="00E45009" w:rsidP="00E45009">
            <w:pPr>
              <w:pStyle w:val="NoSpacing"/>
              <w:rPr>
                <w:lang w:val="en-GB"/>
              </w:rPr>
            </w:pPr>
          </w:p>
          <w:p w14:paraId="61B34BFC" w14:textId="77777777" w:rsidR="00E45009" w:rsidRPr="002F7E3F" w:rsidRDefault="00E45009" w:rsidP="00E45009">
            <w:pPr>
              <w:pStyle w:val="NoSpacing"/>
              <w:rPr>
                <w:lang w:val="en-GB"/>
              </w:rPr>
            </w:pPr>
            <w:r w:rsidRPr="002F7E3F">
              <w:rPr>
                <w:lang w:val="en-GB"/>
              </w:rPr>
              <w:t>Real Gross Domestic Product (GDP): Real GDP refers to GDP calculated at constant prices, that is, the volume level of GDP, excluding the effect of inflation and favouring comparisons of quantities beyond price changes. Constant price estimates of GDP are calculated by expressing values in terms of a base period. In theory, the price and quantity components of a value are identified and the price in the base period is substituted for that in the current period.</w:t>
            </w:r>
          </w:p>
          <w:p w14:paraId="3676F749" w14:textId="77777777" w:rsidR="00E45009" w:rsidRPr="002F7E3F" w:rsidRDefault="00E45009" w:rsidP="00E45009">
            <w:pPr>
              <w:pStyle w:val="NoSpacing"/>
              <w:rPr>
                <w:lang w:val="en-GB"/>
              </w:rPr>
            </w:pPr>
          </w:p>
          <w:p w14:paraId="0CF98536" w14:textId="77777777" w:rsidR="00E45009" w:rsidRPr="002F7E3F" w:rsidRDefault="00E45009" w:rsidP="00E45009">
            <w:pPr>
              <w:pStyle w:val="NoSpacing"/>
              <w:rPr>
                <w:lang w:val="en-GB"/>
              </w:rPr>
            </w:pPr>
            <w:r w:rsidRPr="002F7E3F">
              <w:rPr>
                <w:lang w:val="en-GB"/>
              </w:rPr>
              <w:lastRenderedPageBreak/>
              <w:t xml:space="preserve">Employed persons: Persons of working age (usually defined as persons aged 15 and above) who, during a short reference period such as a day or a week, performed work for others in exchange for pay or profit (as stated in the </w:t>
            </w:r>
            <w:r w:rsidRPr="002F7E3F">
              <w:rPr>
                <w:i/>
                <w:lang w:val="en-GB"/>
              </w:rPr>
              <w:t>Resolution concerning statistics of work, employment and labour underutilization</w:t>
            </w:r>
            <w:r w:rsidRPr="002F7E3F">
              <w:rPr>
                <w:lang w:val="en-GB"/>
              </w:rPr>
              <w:t xml:space="preserve"> adopted by the 19</w:t>
            </w:r>
            <w:r w:rsidRPr="002F7E3F">
              <w:rPr>
                <w:vertAlign w:val="superscript"/>
                <w:lang w:val="en-GB"/>
              </w:rPr>
              <w:t>th</w:t>
            </w:r>
            <w:r w:rsidRPr="002F7E3F">
              <w:rPr>
                <w:lang w:val="en-GB"/>
              </w:rPr>
              <w:t xml:space="preserve"> International Conference of Labour Statisticians.</w:t>
            </w:r>
            <w:r w:rsidRPr="002F7E3F">
              <w:rPr>
                <w:lang w:val="en-GB"/>
              </w:rPr>
              <w:cr/>
            </w:r>
          </w:p>
          <w:p w14:paraId="5B782C5A" w14:textId="77777777" w:rsidR="00E45009" w:rsidRPr="002F7E3F" w:rsidRDefault="00E45009" w:rsidP="00E45009">
            <w:pPr>
              <w:pStyle w:val="NoSpacing"/>
              <w:rPr>
                <w:lang w:val="en-GB"/>
              </w:rPr>
            </w:pPr>
            <w:r w:rsidRPr="002F7E3F">
              <w:rPr>
                <w:b/>
                <w:bCs/>
                <w:lang w:val="en-GB"/>
              </w:rPr>
              <w:t>Comments and limitations:</w:t>
            </w:r>
          </w:p>
          <w:p w14:paraId="2C4A5A54" w14:textId="77777777" w:rsidR="00E45009" w:rsidRPr="002F7E3F" w:rsidRDefault="00E45009" w:rsidP="00E45009">
            <w:pPr>
              <w:pStyle w:val="NoSpacing"/>
              <w:rPr>
                <w:lang w:val="en-GB"/>
              </w:rPr>
            </w:pPr>
            <w:r w:rsidRPr="002F7E3F">
              <w:rPr>
                <w:lang w:val="en-GB"/>
              </w:rPr>
              <w:t>Output measures are obtained from national accounts and represent, as much as possible, GDP at market prices for the aggregate economy. However, despite common principles that are mostly based on the United Nations System of National Accounts, there are still significant problems in international consistency of national accounts estimates, based on factors such as differences in the treatment of output in services sectors, differences in methods used to correct output measures for price changes (in particular, the use of different weighting systems to obtain deflators) and differences in the degree of coverage of informal economic activities.</w:t>
            </w:r>
          </w:p>
          <w:p w14:paraId="3B7815FE" w14:textId="77777777" w:rsidR="00E45009" w:rsidRPr="002F7E3F" w:rsidRDefault="00E45009" w:rsidP="00E45009">
            <w:pPr>
              <w:pStyle w:val="NoSpacing"/>
              <w:rPr>
                <w:lang w:val="en-GB"/>
              </w:rPr>
            </w:pPr>
          </w:p>
          <w:p w14:paraId="08F08413" w14:textId="77777777" w:rsidR="00E45009" w:rsidRPr="002F7E3F" w:rsidRDefault="00E45009" w:rsidP="00E45009">
            <w:pPr>
              <w:pStyle w:val="NoSpacing"/>
              <w:rPr>
                <w:lang w:val="en-GB"/>
              </w:rPr>
            </w:pPr>
            <w:r w:rsidRPr="002F7E3F">
              <w:rPr>
                <w:lang w:val="en-GB"/>
              </w:rPr>
              <w:t xml:space="preserve">Data on employment used in the denominator of this indicator </w:t>
            </w:r>
            <w:proofErr w:type="gramStart"/>
            <w:r w:rsidRPr="002F7E3F">
              <w:rPr>
                <w:lang w:val="en-GB"/>
              </w:rPr>
              <w:t>refer,</w:t>
            </w:r>
            <w:proofErr w:type="gramEnd"/>
            <w:r w:rsidRPr="002F7E3F">
              <w:rPr>
                <w:lang w:val="en-GB"/>
              </w:rPr>
              <w:t xml:space="preserve"> as much as possible, to the average number of persons with one or more paid jobs during the year. That is, the reliability of the employment data is also dependent on the degree of coverage of informal activities by the statistical source used.</w:t>
            </w:r>
          </w:p>
          <w:p w14:paraId="0E07755E" w14:textId="77777777" w:rsidR="00E45009" w:rsidRPr="002F7E3F" w:rsidRDefault="00E45009" w:rsidP="00E45009">
            <w:pPr>
              <w:pStyle w:val="NoSpacing"/>
              <w:rPr>
                <w:b/>
                <w:bCs/>
                <w:lang w:val="en-GB"/>
              </w:rPr>
            </w:pPr>
          </w:p>
          <w:p w14:paraId="4F2E4DEC" w14:textId="77777777" w:rsidR="00E45009" w:rsidRPr="002F7E3F" w:rsidRDefault="00E45009" w:rsidP="00E45009">
            <w:pPr>
              <w:pStyle w:val="NoSpacing"/>
              <w:rPr>
                <w:lang w:val="en-GB"/>
              </w:rPr>
            </w:pPr>
            <w:r w:rsidRPr="002F7E3F">
              <w:rPr>
                <w:b/>
                <w:bCs/>
                <w:lang w:val="en-GB"/>
              </w:rPr>
              <w:t>Computation Method:</w:t>
            </w:r>
          </w:p>
          <w:p w14:paraId="3E70281B" w14:textId="77777777" w:rsidR="00E45009" w:rsidRPr="002F7E3F" w:rsidRDefault="00E45009" w:rsidP="00E45009">
            <w:pPr>
              <w:pStyle w:val="NoSpacing"/>
              <w:rPr>
                <w:lang w:val="en-GB"/>
              </w:rPr>
            </w:pPr>
            <m:oMathPara>
              <m:oMath>
                <m:r>
                  <m:rPr>
                    <m:sty m:val="p"/>
                  </m:rPr>
                  <w:rPr>
                    <w:rFonts w:ascii="Cambria Math" w:hAnsi="Cambria Math"/>
                    <w:lang w:val="en-GB"/>
                  </w:rPr>
                  <m:t xml:space="preserve">Real GDP per employed person= </m:t>
                </m:r>
                <m:f>
                  <m:fPr>
                    <m:ctrlPr>
                      <w:rPr>
                        <w:rFonts w:ascii="Cambria Math" w:hAnsi="Cambria Math"/>
                        <w:lang w:val="en-GB"/>
                      </w:rPr>
                    </m:ctrlPr>
                  </m:fPr>
                  <m:num>
                    <m:r>
                      <m:rPr>
                        <m:sty m:val="p"/>
                      </m:rPr>
                      <w:rPr>
                        <w:rFonts w:ascii="Cambria Math" w:hAnsi="Cambria Math"/>
                        <w:lang w:val="en-GB"/>
                      </w:rPr>
                      <m:t xml:space="preserve">GDP at constant prices </m:t>
                    </m:r>
                  </m:num>
                  <m:den>
                    <m:r>
                      <m:rPr>
                        <m:sty m:val="p"/>
                      </m:rPr>
                      <w:rPr>
                        <w:rFonts w:ascii="Cambria Math" w:hAnsi="Cambria Math"/>
                        <w:lang w:val="en-GB"/>
                      </w:rPr>
                      <m:t>Total employment</m:t>
                    </m:r>
                  </m:den>
                </m:f>
              </m:oMath>
            </m:oMathPara>
          </w:p>
          <w:p w14:paraId="6FBF77AF" w14:textId="77777777" w:rsidR="00E45009" w:rsidRPr="002F7E3F" w:rsidRDefault="00E45009" w:rsidP="00E45009">
            <w:pPr>
              <w:pStyle w:val="NoSpacing"/>
              <w:rPr>
                <w:lang w:val="en-GB"/>
              </w:rPr>
            </w:pPr>
          </w:p>
          <w:p w14:paraId="1F5F79A6" w14:textId="77777777" w:rsidR="00E45009" w:rsidRPr="002F7E3F" w:rsidRDefault="00E45009" w:rsidP="00E45009">
            <w:pPr>
              <w:pStyle w:val="NoSpacing"/>
              <w:rPr>
                <w:lang w:val="en-GB"/>
              </w:rPr>
            </w:pPr>
            <w:r w:rsidRPr="002F7E3F">
              <w:rPr>
                <w:lang w:val="en-GB"/>
              </w:rPr>
              <w:t>The numerator and denominator of the equation above should refer to the same reference period, for example, the same calendar year.</w:t>
            </w:r>
          </w:p>
          <w:p w14:paraId="2CCA9F8F" w14:textId="77777777" w:rsidR="00E45009" w:rsidRPr="002F7E3F" w:rsidRDefault="00E45009" w:rsidP="00E45009">
            <w:pPr>
              <w:pStyle w:val="NoSpacing"/>
              <w:rPr>
                <w:lang w:val="en-GB"/>
              </w:rPr>
            </w:pPr>
          </w:p>
          <w:p w14:paraId="74580B03" w14:textId="77777777" w:rsidR="00E45009" w:rsidRPr="002F7E3F" w:rsidRDefault="00E45009" w:rsidP="00E45009">
            <w:pPr>
              <w:pStyle w:val="NoSpacing"/>
              <w:rPr>
                <w:lang w:val="en-GB"/>
              </w:rPr>
            </w:pPr>
            <w:r w:rsidRPr="002F7E3F">
              <w:rPr>
                <w:lang w:val="en-GB"/>
              </w:rPr>
              <w:t>If we call the real GDP per employed person “LabProd”, then the annual growth rate of real GDP per employed person is calculated as follows:</w:t>
            </w:r>
          </w:p>
          <w:p w14:paraId="70AB58AA" w14:textId="77777777" w:rsidR="00E45009" w:rsidRPr="002F7E3F" w:rsidRDefault="00E45009" w:rsidP="00E45009">
            <w:pPr>
              <w:pStyle w:val="NoSpacing"/>
              <w:rPr>
                <w:lang w:val="en-GB"/>
              </w:rPr>
            </w:pPr>
            <m:oMathPara>
              <m:oMath>
                <m:r>
                  <m:rPr>
                    <m:sty m:val="p"/>
                  </m:rPr>
                  <w:rPr>
                    <w:rFonts w:ascii="Cambria Math" w:hAnsi="Cambria Math"/>
                    <w:lang w:val="en-GB"/>
                  </w:rPr>
                  <m:t xml:space="preserve">Annual growth rate of real GDP per employed person= </m:t>
                </m:r>
                <m:f>
                  <m:fPr>
                    <m:ctrlPr>
                      <w:rPr>
                        <w:rFonts w:ascii="Cambria Math" w:hAnsi="Cambria Math"/>
                        <w:lang w:val="en-GB"/>
                      </w:rPr>
                    </m:ctrlPr>
                  </m:fPr>
                  <m:num>
                    <m:r>
                      <m:rPr>
                        <m:sty m:val="p"/>
                      </m:rPr>
                      <w:rPr>
                        <w:rFonts w:ascii="Cambria Math" w:hAnsi="Cambria Math"/>
                        <w:lang w:val="en-GB"/>
                      </w:rPr>
                      <m:t>(LabProd in year n) –</m:t>
                    </m:r>
                    <m:d>
                      <m:dPr>
                        <m:ctrlPr>
                          <w:rPr>
                            <w:rFonts w:ascii="Cambria Math" w:hAnsi="Cambria Math"/>
                            <w:lang w:val="en-GB"/>
                          </w:rPr>
                        </m:ctrlPr>
                      </m:dPr>
                      <m:e>
                        <m:r>
                          <m:rPr>
                            <m:sty m:val="p"/>
                          </m:rPr>
                          <w:rPr>
                            <w:rFonts w:ascii="Cambria Math" w:hAnsi="Cambria Math"/>
                            <w:lang w:val="en-GB"/>
                          </w:rPr>
                          <m:t>LabProd in year n-1</m:t>
                        </m:r>
                      </m:e>
                    </m:d>
                  </m:num>
                  <m:den>
                    <m:r>
                      <m:rPr>
                        <m:sty m:val="p"/>
                      </m:rPr>
                      <w:rPr>
                        <w:rFonts w:ascii="Cambria Math" w:hAnsi="Cambria Math"/>
                        <w:lang w:val="en-GB"/>
                      </w:rPr>
                      <m:t>(LabProd in year n-1)</m:t>
                    </m:r>
                  </m:den>
                </m:f>
                <m:r>
                  <w:rPr>
                    <w:rFonts w:ascii="Cambria Math" w:hAnsi="Cambria Math"/>
                    <w:lang w:val="en-GB"/>
                  </w:rPr>
                  <m:t xml:space="preserve"> ×100</m:t>
                </m:r>
              </m:oMath>
            </m:oMathPara>
          </w:p>
          <w:p w14:paraId="78756538" w14:textId="77777777" w:rsidR="00E45009" w:rsidRDefault="00E45009" w:rsidP="00E45009">
            <w:pPr>
              <w:pStyle w:val="NoSpacing"/>
            </w:pPr>
          </w:p>
        </w:tc>
        <w:tc>
          <w:tcPr>
            <w:tcW w:w="0" w:type="auto"/>
            <w:shd w:val="clear" w:color="auto" w:fill="auto"/>
          </w:tcPr>
          <w:p w14:paraId="4AB91219" w14:textId="77777777" w:rsidR="00E45009" w:rsidRPr="00873FDE" w:rsidRDefault="00E45009" w:rsidP="00E45009">
            <w:r w:rsidRPr="00873FDE">
              <w:lastRenderedPageBreak/>
              <w:t>Production side of national accounts and household survey</w:t>
            </w:r>
          </w:p>
        </w:tc>
        <w:tc>
          <w:tcPr>
            <w:tcW w:w="0" w:type="auto"/>
            <w:shd w:val="clear" w:color="auto" w:fill="auto"/>
          </w:tcPr>
          <w:p w14:paraId="38F8338E" w14:textId="77777777" w:rsidR="00E45009" w:rsidRPr="00873FDE" w:rsidRDefault="00E45009" w:rsidP="00E45009">
            <w:r w:rsidRPr="00873FDE">
              <w:t>Mainly National Statistical Offices, in some cases Labour Ministries or other related agencies.</w:t>
            </w:r>
          </w:p>
        </w:tc>
        <w:tc>
          <w:tcPr>
            <w:tcW w:w="0" w:type="auto"/>
            <w:shd w:val="clear" w:color="auto" w:fill="auto"/>
          </w:tcPr>
          <w:p w14:paraId="24DEACB3" w14:textId="450EBB51" w:rsidR="00E45009" w:rsidRDefault="00E45009" w:rsidP="00E45009">
            <w:pPr>
              <w:jc w:val="both"/>
            </w:pPr>
          </w:p>
          <w:p w14:paraId="0D9407E7" w14:textId="77777777" w:rsidR="00E45009" w:rsidRDefault="00E45009" w:rsidP="00E45009">
            <w:pPr>
              <w:jc w:val="both"/>
              <w:rPr>
                <w:color w:val="0070C0"/>
                <w:sz w:val="48"/>
                <w:szCs w:val="48"/>
              </w:rPr>
            </w:pPr>
            <w:r w:rsidRPr="00487D64">
              <w:rPr>
                <w:rFonts w:eastAsia="Times New Roman" w:cs="Times New Roman"/>
                <w:color w:val="000000" w:themeColor="text1"/>
                <w:szCs w:val="20"/>
              </w:rPr>
              <w:t>ILO</w:t>
            </w:r>
          </w:p>
        </w:tc>
        <w:tc>
          <w:tcPr>
            <w:tcW w:w="0" w:type="auto"/>
            <w:shd w:val="clear" w:color="auto" w:fill="auto"/>
          </w:tcPr>
          <w:p w14:paraId="02FFD73A" w14:textId="77777777" w:rsidR="00E45009" w:rsidRDefault="00E45009" w:rsidP="00E45009">
            <w:pPr>
              <w:jc w:val="both"/>
            </w:pPr>
            <w:r>
              <w:t xml:space="preserve">a)BBS, </w:t>
            </w:r>
          </w:p>
          <w:p w14:paraId="2BF0894A" w14:textId="77777777" w:rsidR="00E45009" w:rsidRDefault="00E45009" w:rsidP="00E45009">
            <w:pPr>
              <w:jc w:val="both"/>
            </w:pPr>
            <w:r>
              <w:t>NAW/QLFS</w:t>
            </w:r>
          </w:p>
          <w:p w14:paraId="45CF9EB9" w14:textId="77777777" w:rsidR="00E45009" w:rsidRDefault="00E45009" w:rsidP="00E45009">
            <w:pPr>
              <w:jc w:val="both"/>
            </w:pPr>
          </w:p>
          <w:p w14:paraId="4908EA96" w14:textId="77777777" w:rsidR="00E45009" w:rsidRDefault="00E45009" w:rsidP="00E45009">
            <w:pPr>
              <w:jc w:val="both"/>
              <w:rPr>
                <w:color w:val="0070C0"/>
                <w:sz w:val="48"/>
                <w:szCs w:val="48"/>
              </w:rPr>
            </w:pPr>
            <w:r>
              <w:t>b) ILO</w:t>
            </w:r>
          </w:p>
        </w:tc>
        <w:tc>
          <w:tcPr>
            <w:tcW w:w="0" w:type="auto"/>
            <w:shd w:val="clear" w:color="auto" w:fill="auto"/>
          </w:tcPr>
          <w:p w14:paraId="761C4BFD" w14:textId="77777777" w:rsidR="00E45009" w:rsidRPr="008459FC" w:rsidRDefault="00E45009" w:rsidP="00E45009">
            <w:pPr>
              <w:pStyle w:val="ListParagraph"/>
              <w:numPr>
                <w:ilvl w:val="0"/>
                <w:numId w:val="48"/>
              </w:numPr>
              <w:spacing w:after="0" w:line="240" w:lineRule="auto"/>
              <w:ind w:left="160" w:hanging="160"/>
              <w:rPr>
                <w:rFonts w:ascii="Tw Cen MT Condensed" w:hAnsi="Tw Cen MT Condensed"/>
              </w:rPr>
            </w:pPr>
            <w:r w:rsidRPr="008459FC">
              <w:rPr>
                <w:rFonts w:ascii="Tw Cen MT Condensed" w:hAnsi="Tw Cen MT Condensed"/>
              </w:rPr>
              <w:t xml:space="preserve">Sex: </w:t>
            </w:r>
            <w:r>
              <w:rPr>
                <w:rFonts w:ascii="Tw Cen MT Condensed" w:hAnsi="Tw Cen MT Condensed"/>
              </w:rPr>
              <w:t>male/female</w:t>
            </w:r>
          </w:p>
          <w:p w14:paraId="369C1E66" w14:textId="77777777" w:rsidR="00E45009" w:rsidRDefault="00E45009" w:rsidP="00E45009">
            <w:pPr>
              <w:pStyle w:val="ListParagraph"/>
              <w:numPr>
                <w:ilvl w:val="0"/>
                <w:numId w:val="48"/>
              </w:numPr>
              <w:spacing w:after="0" w:line="240" w:lineRule="auto"/>
              <w:ind w:left="160" w:hanging="160"/>
              <w:rPr>
                <w:rFonts w:ascii="Tw Cen MT Condensed" w:hAnsi="Tw Cen MT Condensed"/>
              </w:rPr>
            </w:pPr>
            <w:r w:rsidRPr="008459FC">
              <w:rPr>
                <w:rFonts w:ascii="Tw Cen MT Condensed" w:hAnsi="Tw Cen MT Condensed"/>
              </w:rPr>
              <w:t>Legality of employment: formal, informal</w:t>
            </w:r>
          </w:p>
          <w:p w14:paraId="1E4701B4" w14:textId="77777777" w:rsidR="00E45009" w:rsidRDefault="00E45009" w:rsidP="00E45009">
            <w:pPr>
              <w:jc w:val="both"/>
              <w:rPr>
                <w:color w:val="0070C0"/>
                <w:sz w:val="48"/>
                <w:szCs w:val="48"/>
              </w:rPr>
            </w:pPr>
            <w:r w:rsidRPr="00A46860">
              <w:t>Economic sector: agriculture, industry,</w:t>
            </w:r>
          </w:p>
        </w:tc>
        <w:tc>
          <w:tcPr>
            <w:tcW w:w="0" w:type="auto"/>
            <w:shd w:val="clear" w:color="auto" w:fill="auto"/>
          </w:tcPr>
          <w:p w14:paraId="25191748" w14:textId="77777777" w:rsidR="00E45009" w:rsidRDefault="00E45009" w:rsidP="00E45009">
            <w:pPr>
              <w:jc w:val="both"/>
              <w:rPr>
                <w:color w:val="0070C0"/>
                <w:sz w:val="48"/>
                <w:szCs w:val="48"/>
              </w:rPr>
            </w:pPr>
            <w:r w:rsidRPr="00BC6F10">
              <w:t>Annual</w:t>
            </w:r>
          </w:p>
        </w:tc>
        <w:tc>
          <w:tcPr>
            <w:tcW w:w="0" w:type="auto"/>
            <w:shd w:val="clear" w:color="auto" w:fill="auto"/>
          </w:tcPr>
          <w:p w14:paraId="4E9EE42C" w14:textId="77777777" w:rsidR="00E45009" w:rsidRDefault="00E45009" w:rsidP="00E45009">
            <w:pPr>
              <w:jc w:val="both"/>
              <w:rPr>
                <w:color w:val="0070C0"/>
                <w:sz w:val="48"/>
                <w:szCs w:val="48"/>
              </w:rPr>
            </w:pPr>
            <w:r>
              <w:t>Group 1</w:t>
            </w:r>
          </w:p>
        </w:tc>
        <w:tc>
          <w:tcPr>
            <w:tcW w:w="0" w:type="auto"/>
            <w:shd w:val="clear" w:color="auto" w:fill="auto"/>
          </w:tcPr>
          <w:p w14:paraId="40A43C9C" w14:textId="77777777" w:rsidR="00E45009" w:rsidRDefault="00E45009" w:rsidP="00E45009">
            <w:pPr>
              <w:pStyle w:val="NoSpacing"/>
            </w:pPr>
            <w:r>
              <w:t>1</w:t>
            </w:r>
            <w:r w:rsidRPr="00013ACB">
              <w:rPr>
                <w:vertAlign w:val="superscript"/>
              </w:rPr>
              <w:t>st</w:t>
            </w:r>
            <w:r>
              <w:t xml:space="preserve"> Round: 2015</w:t>
            </w:r>
          </w:p>
          <w:p w14:paraId="77B5F13A" w14:textId="77777777" w:rsidR="00E45009" w:rsidRDefault="00E45009" w:rsidP="00E45009">
            <w:pPr>
              <w:pStyle w:val="NoSpacing"/>
            </w:pPr>
          </w:p>
          <w:p w14:paraId="19F445FE" w14:textId="77777777" w:rsidR="00E45009" w:rsidRDefault="00E45009" w:rsidP="00E45009">
            <w:pPr>
              <w:pStyle w:val="NoSpacing"/>
            </w:pPr>
            <w:r>
              <w:t>2</w:t>
            </w:r>
            <w:r w:rsidRPr="00013ACB">
              <w:rPr>
                <w:vertAlign w:val="superscript"/>
              </w:rPr>
              <w:t>nd</w:t>
            </w:r>
            <w:r>
              <w:t xml:space="preserve"> Round: December 2019</w:t>
            </w:r>
          </w:p>
          <w:p w14:paraId="4B2DE7EE" w14:textId="77777777" w:rsidR="00E45009" w:rsidRDefault="00E45009" w:rsidP="00E45009">
            <w:pPr>
              <w:pStyle w:val="NoSpacing"/>
            </w:pPr>
          </w:p>
          <w:p w14:paraId="3B277A51" w14:textId="77777777" w:rsidR="00E45009" w:rsidRDefault="00E45009" w:rsidP="00E45009">
            <w:pPr>
              <w:pStyle w:val="NoSpacing"/>
            </w:pPr>
          </w:p>
          <w:p w14:paraId="748C3BA1" w14:textId="77777777" w:rsidR="00E45009" w:rsidRDefault="00E45009" w:rsidP="00E45009">
            <w:pPr>
              <w:pStyle w:val="NoSpacing"/>
            </w:pPr>
            <w:r>
              <w:t>3</w:t>
            </w:r>
            <w:r w:rsidRPr="00013ACB">
              <w:rPr>
                <w:vertAlign w:val="superscript"/>
              </w:rPr>
              <w:t>rd</w:t>
            </w:r>
            <w:r>
              <w:t xml:space="preserve"> Round: </w:t>
            </w:r>
          </w:p>
          <w:p w14:paraId="42D89742" w14:textId="77777777" w:rsidR="00E45009" w:rsidRDefault="00E45009" w:rsidP="00E45009">
            <w:pPr>
              <w:pStyle w:val="NoSpacing"/>
            </w:pPr>
            <w:r>
              <w:t>December 2020</w:t>
            </w:r>
          </w:p>
          <w:p w14:paraId="0A2F9DEA" w14:textId="77777777" w:rsidR="00E45009" w:rsidRDefault="00E45009" w:rsidP="00E45009">
            <w:pPr>
              <w:pStyle w:val="NoSpacing"/>
            </w:pPr>
          </w:p>
          <w:p w14:paraId="5FC9D2CD" w14:textId="77777777" w:rsidR="00E45009" w:rsidRDefault="00E45009" w:rsidP="00E45009">
            <w:pPr>
              <w:pStyle w:val="NoSpacing"/>
            </w:pPr>
            <w:r>
              <w:t>4</w:t>
            </w:r>
            <w:r w:rsidRPr="00013ACB">
              <w:rPr>
                <w:vertAlign w:val="superscript"/>
              </w:rPr>
              <w:t>th</w:t>
            </w:r>
            <w:r>
              <w:t xml:space="preserve"> Round: </w:t>
            </w:r>
          </w:p>
          <w:p w14:paraId="5CA8F689" w14:textId="77777777" w:rsidR="00E45009" w:rsidRDefault="00E45009" w:rsidP="00E45009">
            <w:pPr>
              <w:pStyle w:val="NoSpacing"/>
            </w:pPr>
            <w:r>
              <w:t>Decemb</w:t>
            </w:r>
            <w:r>
              <w:lastRenderedPageBreak/>
              <w:t>er 2021</w:t>
            </w:r>
          </w:p>
          <w:p w14:paraId="5906CD78" w14:textId="77777777" w:rsidR="00E45009" w:rsidRDefault="00E45009" w:rsidP="00E45009">
            <w:pPr>
              <w:pStyle w:val="NoSpacing"/>
            </w:pPr>
          </w:p>
          <w:p w14:paraId="75055D6A" w14:textId="77777777" w:rsidR="00E45009" w:rsidRDefault="00E45009" w:rsidP="00E45009">
            <w:pPr>
              <w:pStyle w:val="NoSpacing"/>
            </w:pPr>
            <w:r>
              <w:t>5</w:t>
            </w:r>
            <w:r w:rsidRPr="00013ACB">
              <w:rPr>
                <w:vertAlign w:val="superscript"/>
              </w:rPr>
              <w:t>th</w:t>
            </w:r>
            <w:r>
              <w:t xml:space="preserve"> Round: </w:t>
            </w:r>
          </w:p>
          <w:p w14:paraId="69DDB021" w14:textId="77777777" w:rsidR="00E45009" w:rsidRDefault="00E45009" w:rsidP="00E45009">
            <w:pPr>
              <w:pStyle w:val="NoSpacing"/>
            </w:pPr>
            <w:r>
              <w:t>December 2022</w:t>
            </w:r>
          </w:p>
          <w:p w14:paraId="78BACF4E" w14:textId="6134FE2C" w:rsidR="00E45009" w:rsidRDefault="00E45009" w:rsidP="00E45009">
            <w:pPr>
              <w:pStyle w:val="NoSpacing"/>
            </w:pPr>
          </w:p>
        </w:tc>
        <w:tc>
          <w:tcPr>
            <w:tcW w:w="0" w:type="auto"/>
            <w:shd w:val="clear" w:color="auto" w:fill="auto"/>
          </w:tcPr>
          <w:p w14:paraId="31AFE410" w14:textId="77777777" w:rsidR="00E45009" w:rsidRDefault="00E45009" w:rsidP="00E45009">
            <w:pPr>
              <w:jc w:val="both"/>
              <w:rPr>
                <w:color w:val="0070C0"/>
                <w:sz w:val="48"/>
                <w:szCs w:val="48"/>
              </w:rPr>
            </w:pPr>
          </w:p>
        </w:tc>
      </w:tr>
      <w:tr w:rsidR="00E45009" w14:paraId="2EC1827F" w14:textId="77777777" w:rsidTr="0025292C">
        <w:tc>
          <w:tcPr>
            <w:tcW w:w="0" w:type="auto"/>
            <w:gridSpan w:val="13"/>
            <w:shd w:val="clear" w:color="auto" w:fill="auto"/>
          </w:tcPr>
          <w:p w14:paraId="2DD3BB34" w14:textId="77777777" w:rsidR="00E45009" w:rsidRDefault="00E45009" w:rsidP="00E45009">
            <w:pPr>
              <w:jc w:val="both"/>
              <w:rPr>
                <w:color w:val="0070C0"/>
                <w:sz w:val="48"/>
                <w:szCs w:val="48"/>
              </w:rPr>
            </w:pPr>
            <w:r w:rsidRPr="00382228">
              <w:rPr>
                <w:color w:val="0070C0"/>
                <w:w w:val="95"/>
                <w:sz w:val="30"/>
                <w:szCs w:val="30"/>
              </w:rPr>
              <w:lastRenderedPageBreak/>
              <w:t>Target 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r>
      <w:tr w:rsidR="00E45009" w14:paraId="521FD608" w14:textId="77777777" w:rsidTr="0025292C">
        <w:tc>
          <w:tcPr>
            <w:tcW w:w="0" w:type="auto"/>
            <w:shd w:val="clear" w:color="auto" w:fill="auto"/>
          </w:tcPr>
          <w:p w14:paraId="50B81C5A" w14:textId="77777777" w:rsidR="00E45009" w:rsidRDefault="00E45009" w:rsidP="00E45009">
            <w:pPr>
              <w:jc w:val="both"/>
              <w:rPr>
                <w:color w:val="0070C0"/>
                <w:sz w:val="48"/>
                <w:szCs w:val="48"/>
              </w:rPr>
            </w:pPr>
            <w:r w:rsidRPr="0095033B">
              <w:t>8.3.1 Proportion of informal employment in total employme</w:t>
            </w:r>
            <w:r w:rsidRPr="0095033B">
              <w:lastRenderedPageBreak/>
              <w:t>nt, by sector and sex</w:t>
            </w:r>
          </w:p>
        </w:tc>
        <w:tc>
          <w:tcPr>
            <w:tcW w:w="0" w:type="auto"/>
            <w:shd w:val="clear" w:color="auto" w:fill="auto"/>
          </w:tcPr>
          <w:p w14:paraId="422476D9" w14:textId="77777777" w:rsidR="00E45009" w:rsidRDefault="00E45009" w:rsidP="00E45009">
            <w:pPr>
              <w:pStyle w:val="NoSpacing"/>
            </w:pPr>
            <w:r w:rsidRPr="00EE1D53">
              <w:lastRenderedPageBreak/>
              <w:t>ILO</w:t>
            </w:r>
          </w:p>
          <w:p w14:paraId="0BF0279F" w14:textId="77777777" w:rsidR="00E45009" w:rsidRDefault="00E45009" w:rsidP="00E45009">
            <w:pPr>
              <w:jc w:val="both"/>
              <w:rPr>
                <w:color w:val="0070C0"/>
                <w:sz w:val="48"/>
                <w:szCs w:val="48"/>
              </w:rPr>
            </w:pPr>
          </w:p>
        </w:tc>
        <w:tc>
          <w:tcPr>
            <w:tcW w:w="0" w:type="auto"/>
            <w:shd w:val="clear" w:color="auto" w:fill="auto"/>
          </w:tcPr>
          <w:p w14:paraId="172CA880" w14:textId="77777777" w:rsidR="00E45009" w:rsidRDefault="00E45009" w:rsidP="00E45009">
            <w:pPr>
              <w:jc w:val="both"/>
              <w:rPr>
                <w:color w:val="0070C0"/>
                <w:sz w:val="48"/>
                <w:szCs w:val="48"/>
              </w:rPr>
            </w:pPr>
            <w:r w:rsidRPr="00666486">
              <w:t>Tier II</w:t>
            </w:r>
          </w:p>
        </w:tc>
        <w:tc>
          <w:tcPr>
            <w:tcW w:w="0" w:type="auto"/>
            <w:shd w:val="clear" w:color="auto" w:fill="auto"/>
          </w:tcPr>
          <w:p w14:paraId="2748F0A5" w14:textId="77777777" w:rsidR="00E45009" w:rsidRPr="000A28F3" w:rsidRDefault="00E45009" w:rsidP="00E45009">
            <w:pPr>
              <w:pStyle w:val="NoSpacing"/>
              <w:rPr>
                <w:lang w:val="en-GB"/>
              </w:rPr>
            </w:pPr>
            <w:r w:rsidRPr="000A28F3">
              <w:rPr>
                <w:b/>
                <w:bCs/>
                <w:lang w:val="en-GB"/>
              </w:rPr>
              <w:t>Definition:</w:t>
            </w:r>
          </w:p>
          <w:p w14:paraId="3444C1FC" w14:textId="77777777" w:rsidR="00E45009" w:rsidRPr="000A28F3" w:rsidRDefault="00E45009" w:rsidP="00E45009">
            <w:pPr>
              <w:pStyle w:val="NoSpacing"/>
              <w:rPr>
                <w:lang w:val="en-GB"/>
              </w:rPr>
            </w:pPr>
            <w:r w:rsidRPr="000A28F3">
              <w:rPr>
                <w:lang w:val="en-GB"/>
              </w:rPr>
              <w:t>This indicator presents the share of non-agricultural employment which is classified as informal employment.</w:t>
            </w:r>
            <w:r w:rsidRPr="000A28F3">
              <w:rPr>
                <w:lang w:val="en-GB"/>
              </w:rPr>
              <w:cr/>
            </w:r>
          </w:p>
          <w:p w14:paraId="4CD2A46E" w14:textId="77777777" w:rsidR="00E45009" w:rsidRPr="000A28F3" w:rsidRDefault="00E45009" w:rsidP="00E45009">
            <w:pPr>
              <w:pStyle w:val="NoSpacing"/>
              <w:rPr>
                <w:lang w:val="en-GB"/>
              </w:rPr>
            </w:pPr>
            <w:r w:rsidRPr="000A28F3">
              <w:rPr>
                <w:b/>
                <w:bCs/>
                <w:lang w:val="en-GB"/>
              </w:rPr>
              <w:t>Rationale:</w:t>
            </w:r>
          </w:p>
          <w:p w14:paraId="47FAFF87" w14:textId="77777777" w:rsidR="00E45009" w:rsidRPr="000A28F3" w:rsidRDefault="00E45009" w:rsidP="00E45009">
            <w:pPr>
              <w:pStyle w:val="NoSpacing"/>
              <w:rPr>
                <w:lang w:val="en-GB"/>
              </w:rPr>
            </w:pPr>
            <w:r w:rsidRPr="000A28F3">
              <w:rPr>
                <w:lang w:val="en-GB"/>
              </w:rPr>
              <w:t xml:space="preserve">Informal employment offers a necessary survival strategy in countries that lack social safety nets, such as unemployment insurance, or where wages and pensions are low, especially in the public sector. In these situations, indicators such as the unemployment rate and time-related </w:t>
            </w:r>
            <w:r w:rsidRPr="000A28F3">
              <w:rPr>
                <w:lang w:val="en-GB"/>
              </w:rPr>
              <w:lastRenderedPageBreak/>
              <w:t xml:space="preserve">underemployment are not sufficient to describe the labour market completely. Statistics on informality are </w:t>
            </w:r>
            <w:proofErr w:type="gramStart"/>
            <w:r w:rsidRPr="000A28F3">
              <w:rPr>
                <w:lang w:val="en-GB"/>
              </w:rPr>
              <w:t>key</w:t>
            </w:r>
            <w:proofErr w:type="gramEnd"/>
            <w:r w:rsidRPr="000A28F3">
              <w:rPr>
                <w:lang w:val="en-GB"/>
              </w:rPr>
              <w:t xml:space="preserve"> to assessing the quality of employment in an economy, and are relevant to developing and developed countries alike (ILOSTAT indicator description for informality, available at </w:t>
            </w:r>
            <w:hyperlink r:id="rId82" w:history="1">
              <w:r w:rsidRPr="000A28F3">
                <w:rPr>
                  <w:rStyle w:val="Hyperlink"/>
                  <w:lang w:val="en-GB"/>
                </w:rPr>
                <w:t>http://www.ilo.org/ilostatfiles/Documents/description_IFL_EN.pdf</w:t>
              </w:r>
            </w:hyperlink>
            <w:r w:rsidRPr="000A28F3">
              <w:rPr>
                <w:lang w:val="en-GB"/>
              </w:rPr>
              <w:t>).</w:t>
            </w:r>
            <w:r w:rsidRPr="000A28F3">
              <w:rPr>
                <w:lang w:val="en-GB"/>
              </w:rPr>
              <w:cr/>
            </w:r>
          </w:p>
          <w:p w14:paraId="0329C9A5" w14:textId="77777777" w:rsidR="00E45009" w:rsidRPr="000A28F3" w:rsidRDefault="00E45009" w:rsidP="00E45009">
            <w:pPr>
              <w:pStyle w:val="NoSpacing"/>
              <w:rPr>
                <w:lang w:val="en-GB"/>
              </w:rPr>
            </w:pPr>
            <w:r w:rsidRPr="000A28F3">
              <w:rPr>
                <w:b/>
                <w:bCs/>
                <w:lang w:val="en-GB"/>
              </w:rPr>
              <w:t>Concepts:</w:t>
            </w:r>
          </w:p>
          <w:p w14:paraId="75296C1F" w14:textId="77777777" w:rsidR="00E45009" w:rsidRPr="000A28F3" w:rsidRDefault="00E45009" w:rsidP="00E45009">
            <w:pPr>
              <w:pStyle w:val="NoSpacing"/>
              <w:rPr>
                <w:lang w:val="en-GB"/>
              </w:rPr>
            </w:pPr>
            <w:r w:rsidRPr="000A28F3">
              <w:rPr>
                <w:lang w:val="en-GB"/>
              </w:rPr>
              <w:t>Employment comprises all persons of working age who during a specified brief period, such as one week or one day, performed work for others in exchange for pay or profit.</w:t>
            </w:r>
          </w:p>
          <w:p w14:paraId="5125CF68" w14:textId="77777777" w:rsidR="00E45009" w:rsidRPr="000A28F3" w:rsidRDefault="00E45009" w:rsidP="00E45009">
            <w:pPr>
              <w:pStyle w:val="NoSpacing"/>
              <w:rPr>
                <w:lang w:val="en-GB"/>
              </w:rPr>
            </w:pPr>
          </w:p>
          <w:p w14:paraId="3292BA26" w14:textId="77777777" w:rsidR="00E45009" w:rsidRPr="000A28F3" w:rsidRDefault="00E45009" w:rsidP="00E45009">
            <w:pPr>
              <w:pStyle w:val="NoSpacing"/>
              <w:rPr>
                <w:lang w:val="en-GB"/>
              </w:rPr>
            </w:pPr>
            <w:r w:rsidRPr="000A28F3">
              <w:rPr>
                <w:lang w:val="en-GB"/>
              </w:rPr>
              <w:t>Informal employment comprises persons who in their main or secondary jobs were in one of the following categories:</w:t>
            </w:r>
          </w:p>
          <w:p w14:paraId="41FC16D3" w14:textId="77777777" w:rsidR="00E45009" w:rsidRPr="000A28F3" w:rsidRDefault="00E45009" w:rsidP="00E45009">
            <w:pPr>
              <w:pStyle w:val="NoSpacing"/>
              <w:rPr>
                <w:lang w:val="en-GB"/>
              </w:rPr>
            </w:pPr>
            <w:r w:rsidRPr="000A28F3">
              <w:rPr>
                <w:lang w:val="en-GB"/>
              </w:rPr>
              <w:t>- Own-account workers, employers and members of producers’ cooperatives employed in their own informal sector enterprises (the characteristics of the enterprise determine the informal nature of their jobs);</w:t>
            </w:r>
          </w:p>
          <w:p w14:paraId="7F048061" w14:textId="77777777" w:rsidR="00E45009" w:rsidRPr="000A28F3" w:rsidRDefault="00E45009" w:rsidP="00E45009">
            <w:pPr>
              <w:pStyle w:val="NoSpacing"/>
              <w:rPr>
                <w:lang w:val="en-GB"/>
              </w:rPr>
            </w:pPr>
            <w:r w:rsidRPr="000A28F3">
              <w:rPr>
                <w:lang w:val="en-GB"/>
              </w:rPr>
              <w:t>- Own-account workers engaged in the production of goods exclusively for own final use by their household (e.g. subsistence farming);</w:t>
            </w:r>
          </w:p>
          <w:p w14:paraId="6ABE005F" w14:textId="77777777" w:rsidR="00E45009" w:rsidRPr="000A28F3" w:rsidRDefault="00E45009" w:rsidP="00E45009">
            <w:pPr>
              <w:pStyle w:val="NoSpacing"/>
              <w:rPr>
                <w:lang w:val="en-GB"/>
              </w:rPr>
            </w:pPr>
            <w:r w:rsidRPr="000A28F3">
              <w:rPr>
                <w:lang w:val="en-GB"/>
              </w:rPr>
              <w:t>- Contributing family workers, regardless of whether they work in formal or informal sector enterprises (they usually do not have explicit, written contracts of employment, and are not subject to labour legislation, social security regulations, collective agreements, etc., which determines the informal nature of their jobs);</w:t>
            </w:r>
          </w:p>
          <w:p w14:paraId="16213586" w14:textId="77777777" w:rsidR="00E45009" w:rsidRPr="000A28F3" w:rsidRDefault="00E45009" w:rsidP="00E45009">
            <w:pPr>
              <w:pStyle w:val="NoSpacing"/>
              <w:rPr>
                <w:lang w:val="en-GB"/>
              </w:rPr>
            </w:pPr>
            <w:r w:rsidRPr="000A28F3">
              <w:rPr>
                <w:lang w:val="en-GB"/>
              </w:rPr>
              <w:t>- Employees holding informal jobs, whether employed by formal sector enterprises, informal sector enterprises, or as paid domestic workers by households (employees are considered to have informal jobs if their employment relationship is, in law or in practice, not subject to national labour legislation, income taxation, social protection or entitlement to certain employment benefits).</w:t>
            </w:r>
          </w:p>
          <w:p w14:paraId="130F1692" w14:textId="77777777" w:rsidR="00E45009" w:rsidRPr="000A28F3" w:rsidRDefault="00E45009" w:rsidP="00E45009">
            <w:pPr>
              <w:pStyle w:val="NoSpacing"/>
              <w:rPr>
                <w:lang w:val="en-GB"/>
              </w:rPr>
            </w:pPr>
          </w:p>
          <w:p w14:paraId="44E19E0E" w14:textId="77777777" w:rsidR="00E45009" w:rsidRPr="000A28F3" w:rsidRDefault="00E45009" w:rsidP="00E45009">
            <w:pPr>
              <w:pStyle w:val="NoSpacing"/>
              <w:rPr>
                <w:lang w:val="en-GB"/>
              </w:rPr>
            </w:pPr>
            <w:r w:rsidRPr="000A28F3">
              <w:rPr>
                <w:lang w:val="en-GB"/>
              </w:rPr>
              <w:t>An enterprise belongs to the informal sector if it fulfils the three following conditions:</w:t>
            </w:r>
          </w:p>
          <w:p w14:paraId="1E794FB6" w14:textId="77777777" w:rsidR="00E45009" w:rsidRPr="000A28F3" w:rsidRDefault="00E45009" w:rsidP="00E45009">
            <w:pPr>
              <w:pStyle w:val="NoSpacing"/>
              <w:rPr>
                <w:lang w:val="en-GB"/>
              </w:rPr>
            </w:pPr>
            <w:r w:rsidRPr="000A28F3">
              <w:rPr>
                <w:lang w:val="en-GB"/>
              </w:rPr>
              <w:t>- It is an unincorporated enterprise (it is not constituted as a legal entity separate from its owners, and it is owned and controlled by one or more members of one or more households, and it is not a quasi-corporation: it does not have a complete set of accounts, including balance sheets);</w:t>
            </w:r>
          </w:p>
          <w:p w14:paraId="2EF3BDAE" w14:textId="77777777" w:rsidR="00E45009" w:rsidRPr="000A28F3" w:rsidRDefault="00E45009" w:rsidP="00E45009">
            <w:pPr>
              <w:pStyle w:val="NoSpacing"/>
              <w:rPr>
                <w:lang w:val="en-GB"/>
              </w:rPr>
            </w:pPr>
            <w:r w:rsidRPr="000A28F3">
              <w:rPr>
                <w:lang w:val="en-GB"/>
              </w:rPr>
              <w:t>- It is a market enterprise (it sells at least some of the goods or services it produces);</w:t>
            </w:r>
          </w:p>
          <w:p w14:paraId="57C07767" w14:textId="77777777" w:rsidR="00E45009" w:rsidRPr="000A28F3" w:rsidRDefault="00E45009" w:rsidP="00E45009">
            <w:pPr>
              <w:pStyle w:val="NoSpacing"/>
              <w:rPr>
                <w:lang w:val="en-GB"/>
              </w:rPr>
            </w:pPr>
            <w:r w:rsidRPr="000A28F3">
              <w:rPr>
                <w:lang w:val="en-GB"/>
              </w:rPr>
              <w:t>- The enterprise is not registered or the employees of the enterprise are not registered or the number of persons engaged on a continuous basis is below a threshold determined by the country.</w:t>
            </w:r>
            <w:r w:rsidRPr="000A28F3">
              <w:rPr>
                <w:lang w:val="en-GB"/>
              </w:rPr>
              <w:cr/>
            </w:r>
          </w:p>
          <w:p w14:paraId="0DB1974B" w14:textId="77777777" w:rsidR="00E45009" w:rsidRPr="000A28F3" w:rsidRDefault="00E45009" w:rsidP="00E45009">
            <w:pPr>
              <w:pStyle w:val="NoSpacing"/>
              <w:rPr>
                <w:lang w:val="en-GB"/>
              </w:rPr>
            </w:pPr>
            <w:r w:rsidRPr="000A28F3">
              <w:rPr>
                <w:b/>
                <w:bCs/>
                <w:lang w:val="en-GB"/>
              </w:rPr>
              <w:t>Comments and limitations:</w:t>
            </w:r>
          </w:p>
          <w:p w14:paraId="7105C8CC" w14:textId="77777777" w:rsidR="00E45009" w:rsidRPr="000A28F3" w:rsidRDefault="00E45009" w:rsidP="00E45009">
            <w:pPr>
              <w:pStyle w:val="NoSpacing"/>
              <w:rPr>
                <w:lang w:val="en-GB"/>
              </w:rPr>
            </w:pPr>
            <w:r w:rsidRPr="000A28F3">
              <w:rPr>
                <w:lang w:val="en-GB"/>
              </w:rPr>
              <w:t xml:space="preserve">The considerable heterogeneity of definitions and operational criteria used by countries to measure informal employment greatly hinders the international comparability of statistics on informality. </w:t>
            </w:r>
          </w:p>
          <w:p w14:paraId="05F52EED" w14:textId="77777777" w:rsidR="00E45009" w:rsidRPr="000A28F3" w:rsidRDefault="00E45009" w:rsidP="00E45009">
            <w:pPr>
              <w:pStyle w:val="NoSpacing"/>
              <w:rPr>
                <w:lang w:val="en-GB"/>
              </w:rPr>
            </w:pPr>
            <w:r w:rsidRPr="000A28F3">
              <w:rPr>
                <w:lang w:val="en-GB"/>
              </w:rPr>
              <w:t>Also, the scope of this indicator is limited to non-agriculture. However, to have a comprehensive picture of the importance of informality in the economy and to better understand its patterns, statistics on informal employment should be produced and analysed for both agricultural and non-agricultural activities.</w:t>
            </w:r>
            <w:r w:rsidRPr="000A28F3">
              <w:rPr>
                <w:lang w:val="en-GB"/>
              </w:rPr>
              <w:cr/>
            </w:r>
          </w:p>
          <w:p w14:paraId="2A15F478" w14:textId="77777777" w:rsidR="00E45009" w:rsidRPr="000A28F3" w:rsidRDefault="00E45009" w:rsidP="00E45009">
            <w:pPr>
              <w:pStyle w:val="NoSpacing"/>
              <w:rPr>
                <w:lang w:val="en-GB"/>
              </w:rPr>
            </w:pPr>
            <w:r w:rsidRPr="000A28F3">
              <w:rPr>
                <w:b/>
                <w:bCs/>
                <w:lang w:val="en-GB"/>
              </w:rPr>
              <w:t>Computation Method:</w:t>
            </w:r>
          </w:p>
          <w:p w14:paraId="2750662E" w14:textId="77777777" w:rsidR="00E45009" w:rsidRPr="000A28F3" w:rsidRDefault="00E45009" w:rsidP="00E45009">
            <w:pPr>
              <w:pStyle w:val="NoSpacing"/>
              <w:rPr>
                <w:lang w:val="en-GB"/>
              </w:rPr>
            </w:pPr>
            <m:oMathPara>
              <m:oMath>
                <m:r>
                  <m:rPr>
                    <m:sty m:val="p"/>
                  </m:rPr>
                  <w:rPr>
                    <w:rFonts w:ascii="Cambria Math" w:hAnsi="Cambria Math"/>
                    <w:lang w:val="en-GB"/>
                  </w:rPr>
                  <w:lastRenderedPageBreak/>
                  <m:t xml:space="preserve">Proportion of informal employment in non agricultural employment= </m:t>
                </m:r>
                <m:f>
                  <m:fPr>
                    <m:ctrlPr>
                      <w:rPr>
                        <w:rFonts w:ascii="Cambria Math" w:hAnsi="Cambria Math"/>
                        <w:lang w:val="en-GB"/>
                      </w:rPr>
                    </m:ctrlPr>
                  </m:fPr>
                  <m:num>
                    <m:r>
                      <m:rPr>
                        <m:sty m:val="p"/>
                      </m:rPr>
                      <w:rPr>
                        <w:rFonts w:ascii="Cambria Math" w:hAnsi="Cambria Math"/>
                        <w:lang w:val="en-GB"/>
                      </w:rPr>
                      <m:t>Informal employment in non agricultural activities</m:t>
                    </m:r>
                  </m:num>
                  <m:den>
                    <m:r>
                      <m:rPr>
                        <m:sty m:val="p"/>
                      </m:rPr>
                      <w:rPr>
                        <w:rFonts w:ascii="Cambria Math" w:hAnsi="Cambria Math"/>
                        <w:lang w:val="en-GB"/>
                      </w:rPr>
                      <m:t>Total employment in non agricultural activities</m:t>
                    </m:r>
                  </m:den>
                </m:f>
                <m:r>
                  <w:rPr>
                    <w:rFonts w:ascii="Cambria Math" w:hAnsi="Cambria Math"/>
                    <w:lang w:val="en-GB"/>
                  </w:rPr>
                  <m:t xml:space="preserve"> ×100</m:t>
                </m:r>
              </m:oMath>
            </m:oMathPara>
          </w:p>
          <w:p w14:paraId="526CAA3B" w14:textId="77777777" w:rsidR="00E45009" w:rsidRDefault="00E45009" w:rsidP="00E45009">
            <w:pPr>
              <w:pStyle w:val="NoSpacing"/>
            </w:pPr>
          </w:p>
        </w:tc>
        <w:tc>
          <w:tcPr>
            <w:tcW w:w="0" w:type="auto"/>
            <w:shd w:val="clear" w:color="auto" w:fill="auto"/>
          </w:tcPr>
          <w:p w14:paraId="2DCB8A21" w14:textId="77777777" w:rsidR="00E45009" w:rsidRPr="00873FDE" w:rsidRDefault="00E45009" w:rsidP="00E45009">
            <w:r w:rsidRPr="00873FDE">
              <w:lastRenderedPageBreak/>
              <w:t>Survey</w:t>
            </w:r>
          </w:p>
        </w:tc>
        <w:tc>
          <w:tcPr>
            <w:tcW w:w="0" w:type="auto"/>
            <w:shd w:val="clear" w:color="auto" w:fill="auto"/>
          </w:tcPr>
          <w:p w14:paraId="747ECEA7" w14:textId="77777777" w:rsidR="00E45009" w:rsidRPr="00873FDE" w:rsidRDefault="00E45009" w:rsidP="00E45009">
            <w:r w:rsidRPr="00873FDE">
              <w:t>National statistical office</w:t>
            </w:r>
          </w:p>
        </w:tc>
        <w:tc>
          <w:tcPr>
            <w:tcW w:w="0" w:type="auto"/>
            <w:shd w:val="clear" w:color="auto" w:fill="auto"/>
          </w:tcPr>
          <w:p w14:paraId="3FCAE57D" w14:textId="77777777" w:rsidR="00E45009" w:rsidRDefault="00E45009" w:rsidP="00E45009">
            <w:pPr>
              <w:jc w:val="both"/>
              <w:rPr>
                <w:color w:val="0070C0"/>
                <w:sz w:val="48"/>
                <w:szCs w:val="48"/>
              </w:rPr>
            </w:pPr>
            <w:r>
              <w:t>BBS, QLFS</w:t>
            </w:r>
          </w:p>
        </w:tc>
        <w:tc>
          <w:tcPr>
            <w:tcW w:w="0" w:type="auto"/>
            <w:shd w:val="clear" w:color="auto" w:fill="auto"/>
          </w:tcPr>
          <w:p w14:paraId="65D2B9F5" w14:textId="77777777" w:rsidR="00E45009" w:rsidRDefault="00E45009" w:rsidP="00E45009">
            <w:pPr>
              <w:jc w:val="both"/>
              <w:rPr>
                <w:color w:val="0070C0"/>
                <w:sz w:val="48"/>
                <w:szCs w:val="48"/>
              </w:rPr>
            </w:pPr>
            <w:r>
              <w:t>BBS, QLFS</w:t>
            </w:r>
          </w:p>
        </w:tc>
        <w:tc>
          <w:tcPr>
            <w:tcW w:w="0" w:type="auto"/>
            <w:shd w:val="clear" w:color="auto" w:fill="auto"/>
          </w:tcPr>
          <w:p w14:paraId="6034EC21" w14:textId="77777777" w:rsidR="00E45009" w:rsidRDefault="00E45009" w:rsidP="00E45009">
            <w:pPr>
              <w:pStyle w:val="ListParagraph"/>
              <w:numPr>
                <w:ilvl w:val="0"/>
                <w:numId w:val="48"/>
              </w:numPr>
              <w:spacing w:after="0" w:line="240" w:lineRule="auto"/>
              <w:ind w:left="160" w:hanging="160"/>
              <w:rPr>
                <w:rFonts w:ascii="Tw Cen MT Condensed" w:hAnsi="Tw Cen MT Condensed"/>
              </w:rPr>
            </w:pPr>
            <w:r w:rsidRPr="001C2145">
              <w:rPr>
                <w:rFonts w:ascii="Tw Cen MT Condensed" w:hAnsi="Tw Cen MT Condensed"/>
              </w:rPr>
              <w:t xml:space="preserve">Sex: </w:t>
            </w:r>
            <w:r>
              <w:rPr>
                <w:rFonts w:ascii="Tw Cen MT Condensed" w:hAnsi="Tw Cen MT Condensed"/>
              </w:rPr>
              <w:t>male/femal</w:t>
            </w:r>
          </w:p>
          <w:p w14:paraId="69539F0E" w14:textId="77777777" w:rsidR="00E45009" w:rsidRDefault="00E45009" w:rsidP="00E45009">
            <w:pPr>
              <w:jc w:val="both"/>
              <w:rPr>
                <w:color w:val="0070C0"/>
                <w:sz w:val="48"/>
                <w:szCs w:val="48"/>
              </w:rPr>
            </w:pPr>
            <w:r w:rsidRPr="00EB55F0">
              <w:t>Type of employment</w:t>
            </w:r>
          </w:p>
        </w:tc>
        <w:tc>
          <w:tcPr>
            <w:tcW w:w="0" w:type="auto"/>
            <w:shd w:val="clear" w:color="auto" w:fill="auto"/>
          </w:tcPr>
          <w:p w14:paraId="4809B999" w14:textId="77777777" w:rsidR="00E45009" w:rsidRDefault="00E45009" w:rsidP="00E45009">
            <w:pPr>
              <w:jc w:val="both"/>
              <w:rPr>
                <w:color w:val="0070C0"/>
                <w:sz w:val="48"/>
                <w:szCs w:val="48"/>
              </w:rPr>
            </w:pPr>
            <w:r w:rsidRPr="00BC6F10">
              <w:t>Triennial</w:t>
            </w:r>
          </w:p>
        </w:tc>
        <w:tc>
          <w:tcPr>
            <w:tcW w:w="0" w:type="auto"/>
            <w:shd w:val="clear" w:color="auto" w:fill="auto"/>
          </w:tcPr>
          <w:p w14:paraId="3821F06F" w14:textId="77777777" w:rsidR="00E45009" w:rsidRDefault="00E45009" w:rsidP="00E45009">
            <w:pPr>
              <w:jc w:val="both"/>
              <w:rPr>
                <w:color w:val="0070C0"/>
                <w:sz w:val="48"/>
                <w:szCs w:val="48"/>
              </w:rPr>
            </w:pPr>
            <w:r>
              <w:t>Group 1</w:t>
            </w:r>
          </w:p>
        </w:tc>
        <w:tc>
          <w:tcPr>
            <w:tcW w:w="0" w:type="auto"/>
            <w:shd w:val="clear" w:color="auto" w:fill="auto"/>
          </w:tcPr>
          <w:p w14:paraId="0911A19A" w14:textId="77777777" w:rsidR="00E45009" w:rsidRDefault="00E45009" w:rsidP="00E45009">
            <w:pPr>
              <w:pStyle w:val="NoSpacing"/>
            </w:pPr>
            <w:r>
              <w:t>1</w:t>
            </w:r>
            <w:r w:rsidRPr="00013ACB">
              <w:rPr>
                <w:vertAlign w:val="superscript"/>
              </w:rPr>
              <w:t>st</w:t>
            </w:r>
            <w:r>
              <w:t xml:space="preserve"> Round: </w:t>
            </w:r>
          </w:p>
          <w:p w14:paraId="04714B2B" w14:textId="77777777" w:rsidR="00E45009" w:rsidRDefault="00E45009" w:rsidP="00E45009">
            <w:pPr>
              <w:pStyle w:val="NoSpacing"/>
            </w:pPr>
            <w:r>
              <w:t>2016</w:t>
            </w:r>
          </w:p>
          <w:p w14:paraId="095D6945" w14:textId="77777777" w:rsidR="00E45009" w:rsidRDefault="00E45009" w:rsidP="00E45009">
            <w:pPr>
              <w:pStyle w:val="NoSpacing"/>
            </w:pPr>
            <w:r>
              <w:t>2</w:t>
            </w:r>
            <w:r w:rsidRPr="00013ACB">
              <w:rPr>
                <w:vertAlign w:val="superscript"/>
              </w:rPr>
              <w:t>nd</w:t>
            </w:r>
            <w:r>
              <w:t xml:space="preserve"> Round: </w:t>
            </w:r>
          </w:p>
          <w:p w14:paraId="5F9C3BD4" w14:textId="77777777" w:rsidR="00E45009" w:rsidRDefault="00E45009" w:rsidP="00E45009">
            <w:pPr>
              <w:pStyle w:val="NoSpacing"/>
            </w:pPr>
            <w:r>
              <w:t>Decemb</w:t>
            </w:r>
            <w:r>
              <w:lastRenderedPageBreak/>
              <w:t>er 2019</w:t>
            </w:r>
          </w:p>
          <w:p w14:paraId="07B023F6" w14:textId="77777777" w:rsidR="00E45009" w:rsidRDefault="00E45009" w:rsidP="00E45009">
            <w:pPr>
              <w:pStyle w:val="NoSpacing"/>
            </w:pPr>
          </w:p>
          <w:p w14:paraId="0B605615" w14:textId="77777777" w:rsidR="00E45009" w:rsidRDefault="00E45009" w:rsidP="00E45009">
            <w:pPr>
              <w:pStyle w:val="NoSpacing"/>
            </w:pPr>
            <w:r>
              <w:t>3</w:t>
            </w:r>
            <w:r w:rsidRPr="00013ACB">
              <w:rPr>
                <w:vertAlign w:val="superscript"/>
              </w:rPr>
              <w:t>rd</w:t>
            </w:r>
            <w:r>
              <w:t xml:space="preserve"> Round: </w:t>
            </w:r>
          </w:p>
          <w:p w14:paraId="09D32293" w14:textId="77777777" w:rsidR="00E45009" w:rsidRDefault="00E45009" w:rsidP="00E45009">
            <w:pPr>
              <w:pStyle w:val="NoSpacing"/>
            </w:pPr>
            <w:r>
              <w:t>December 2022</w:t>
            </w:r>
          </w:p>
          <w:p w14:paraId="03E204B3" w14:textId="77777777" w:rsidR="00E45009" w:rsidRDefault="00E45009" w:rsidP="00E45009">
            <w:pPr>
              <w:pStyle w:val="NoSpacing"/>
            </w:pPr>
          </w:p>
          <w:p w14:paraId="10DAE959" w14:textId="77777777" w:rsidR="00E45009" w:rsidRDefault="00E45009" w:rsidP="00E45009">
            <w:pPr>
              <w:pStyle w:val="NoSpacing"/>
            </w:pPr>
            <w:r>
              <w:t>4</w:t>
            </w:r>
            <w:r w:rsidRPr="00013ACB">
              <w:rPr>
                <w:vertAlign w:val="superscript"/>
              </w:rPr>
              <w:t>th</w:t>
            </w:r>
            <w:r>
              <w:t xml:space="preserve"> Round: </w:t>
            </w:r>
          </w:p>
          <w:p w14:paraId="3936B627" w14:textId="77777777" w:rsidR="00E45009" w:rsidRDefault="00E45009" w:rsidP="00E45009">
            <w:pPr>
              <w:pStyle w:val="NoSpacing"/>
            </w:pPr>
            <w:r>
              <w:t>December 2025</w:t>
            </w:r>
          </w:p>
          <w:p w14:paraId="02F6C034" w14:textId="77777777" w:rsidR="00E45009" w:rsidRDefault="00E45009" w:rsidP="00E45009">
            <w:pPr>
              <w:pStyle w:val="NoSpacing"/>
            </w:pPr>
          </w:p>
          <w:p w14:paraId="4F3829B0" w14:textId="77777777" w:rsidR="00E45009" w:rsidRDefault="00E45009" w:rsidP="00E45009">
            <w:pPr>
              <w:pStyle w:val="NoSpacing"/>
            </w:pPr>
            <w:r>
              <w:t>5</w:t>
            </w:r>
            <w:r w:rsidRPr="00013ACB">
              <w:rPr>
                <w:vertAlign w:val="superscript"/>
              </w:rPr>
              <w:t>th</w:t>
            </w:r>
            <w:r>
              <w:t xml:space="preserve"> Round: </w:t>
            </w:r>
          </w:p>
          <w:p w14:paraId="38A41184" w14:textId="77777777" w:rsidR="00E45009" w:rsidRDefault="00E45009" w:rsidP="00E45009">
            <w:pPr>
              <w:pStyle w:val="NoSpacing"/>
            </w:pPr>
            <w:r>
              <w:t>December 2028</w:t>
            </w:r>
          </w:p>
          <w:p w14:paraId="0940D7DD" w14:textId="4907BF77" w:rsidR="00E45009" w:rsidRDefault="00E45009" w:rsidP="00E45009">
            <w:pPr>
              <w:pStyle w:val="NoSpacing"/>
            </w:pPr>
          </w:p>
        </w:tc>
        <w:tc>
          <w:tcPr>
            <w:tcW w:w="0" w:type="auto"/>
            <w:shd w:val="clear" w:color="auto" w:fill="auto"/>
          </w:tcPr>
          <w:p w14:paraId="17A5E3C6" w14:textId="77777777" w:rsidR="00E45009" w:rsidRDefault="00E45009" w:rsidP="00E45009">
            <w:pPr>
              <w:pStyle w:val="NoSpacing"/>
            </w:pPr>
            <w:r w:rsidRPr="00785FED">
              <w:lastRenderedPageBreak/>
              <w:t xml:space="preserve">UNSC 51 revision included in the 2020 comprehensive </w:t>
            </w:r>
            <w:r w:rsidRPr="00785FED">
              <w:lastRenderedPageBreak/>
              <w:t>review</w:t>
            </w:r>
          </w:p>
        </w:tc>
      </w:tr>
      <w:tr w:rsidR="00E45009" w14:paraId="2A569B14" w14:textId="77777777" w:rsidTr="0025292C">
        <w:tc>
          <w:tcPr>
            <w:tcW w:w="0" w:type="auto"/>
            <w:gridSpan w:val="13"/>
            <w:shd w:val="clear" w:color="auto" w:fill="auto"/>
          </w:tcPr>
          <w:p w14:paraId="2A62C61A" w14:textId="77777777" w:rsidR="00E45009" w:rsidRDefault="00E45009" w:rsidP="00E45009">
            <w:pPr>
              <w:jc w:val="both"/>
              <w:rPr>
                <w:color w:val="0070C0"/>
                <w:sz w:val="48"/>
                <w:szCs w:val="48"/>
              </w:rPr>
            </w:pPr>
            <w:r w:rsidRPr="00382228">
              <w:rPr>
                <w:color w:val="0070C0"/>
                <w:w w:val="95"/>
                <w:sz w:val="30"/>
                <w:szCs w:val="30"/>
              </w:rPr>
              <w:lastRenderedPageBreak/>
              <w:t>Target 8.4 Improve progressively, through 2030, global resource efficiency in consumption and production and endeavour to decouple economic growth from environmental degradation, in accordance with the 10</w:t>
            </w:r>
            <w:r w:rsidRPr="00382228">
              <w:rPr>
                <w:rFonts w:ascii="Cambria Math" w:hAnsi="Cambria Math" w:cs="Cambria Math"/>
                <w:color w:val="0070C0"/>
                <w:w w:val="95"/>
                <w:sz w:val="30"/>
                <w:szCs w:val="30"/>
              </w:rPr>
              <w:t>‑</w:t>
            </w:r>
            <w:r w:rsidRPr="00382228">
              <w:rPr>
                <w:color w:val="0070C0"/>
                <w:w w:val="95"/>
                <w:sz w:val="30"/>
                <w:szCs w:val="30"/>
              </w:rPr>
              <w:t>Year Framework of Programmes on Sustainable Consumption and Production, with developed countries taking the lead</w:t>
            </w:r>
          </w:p>
        </w:tc>
      </w:tr>
      <w:tr w:rsidR="00E45009" w14:paraId="75A3C573" w14:textId="77777777" w:rsidTr="0025292C">
        <w:trPr>
          <w:trHeight w:val="233"/>
        </w:trPr>
        <w:tc>
          <w:tcPr>
            <w:tcW w:w="0" w:type="auto"/>
            <w:shd w:val="clear" w:color="auto" w:fill="auto"/>
          </w:tcPr>
          <w:p w14:paraId="57881A9E" w14:textId="77777777" w:rsidR="00E45009" w:rsidRDefault="00E45009" w:rsidP="00E45009">
            <w:pPr>
              <w:jc w:val="both"/>
              <w:rPr>
                <w:color w:val="0070C0"/>
                <w:sz w:val="48"/>
                <w:szCs w:val="48"/>
              </w:rPr>
            </w:pPr>
            <w:r w:rsidRPr="0095033B">
              <w:t>8.4.1 Material footprint, material footprint per capita, and material footprint per GDP</w:t>
            </w:r>
          </w:p>
        </w:tc>
        <w:tc>
          <w:tcPr>
            <w:tcW w:w="0" w:type="auto"/>
            <w:shd w:val="clear" w:color="auto" w:fill="auto"/>
          </w:tcPr>
          <w:p w14:paraId="1B71FCC3" w14:textId="77777777" w:rsidR="00E45009" w:rsidRDefault="00E45009" w:rsidP="00E45009">
            <w:pPr>
              <w:pStyle w:val="NoSpacing"/>
            </w:pPr>
            <w:r w:rsidRPr="00EE1D53">
              <w:t>UNEP</w:t>
            </w:r>
          </w:p>
          <w:p w14:paraId="7EFA84C0" w14:textId="77777777" w:rsidR="00E45009" w:rsidRDefault="00E45009" w:rsidP="00E45009">
            <w:pPr>
              <w:pStyle w:val="NoSpacing"/>
              <w:rPr>
                <w:b/>
                <w:bCs/>
                <w:szCs w:val="20"/>
              </w:rPr>
            </w:pPr>
            <w:r w:rsidRPr="007243FC">
              <w:rPr>
                <w:b/>
                <w:bCs/>
                <w:szCs w:val="20"/>
              </w:rPr>
              <w:t>Partner Agencies:</w:t>
            </w:r>
          </w:p>
          <w:p w14:paraId="6BC3B7A1" w14:textId="77777777" w:rsidR="00E45009" w:rsidRDefault="00E45009" w:rsidP="00E45009">
            <w:pPr>
              <w:jc w:val="both"/>
              <w:rPr>
                <w:color w:val="0070C0"/>
                <w:sz w:val="48"/>
                <w:szCs w:val="48"/>
              </w:rPr>
            </w:pPr>
            <w:r w:rsidRPr="00EE1D53">
              <w:t>OECD</w:t>
            </w:r>
          </w:p>
        </w:tc>
        <w:tc>
          <w:tcPr>
            <w:tcW w:w="0" w:type="auto"/>
            <w:shd w:val="clear" w:color="auto" w:fill="auto"/>
          </w:tcPr>
          <w:p w14:paraId="4E687B52" w14:textId="77777777" w:rsidR="00E45009" w:rsidRDefault="00E45009" w:rsidP="00E45009">
            <w:pPr>
              <w:jc w:val="both"/>
              <w:rPr>
                <w:color w:val="0070C0"/>
                <w:sz w:val="48"/>
                <w:szCs w:val="48"/>
              </w:rPr>
            </w:pPr>
            <w:r w:rsidRPr="00666486">
              <w:t>Tier II</w:t>
            </w:r>
          </w:p>
        </w:tc>
        <w:tc>
          <w:tcPr>
            <w:tcW w:w="0" w:type="auto"/>
            <w:shd w:val="clear" w:color="auto" w:fill="auto"/>
          </w:tcPr>
          <w:p w14:paraId="194FDEEB" w14:textId="77777777" w:rsidR="00E45009" w:rsidRPr="000A28F3" w:rsidRDefault="00E45009" w:rsidP="00E45009">
            <w:pPr>
              <w:pStyle w:val="NoSpacing"/>
              <w:rPr>
                <w:lang w:val="en-GB"/>
              </w:rPr>
            </w:pPr>
            <w:r w:rsidRPr="000A28F3">
              <w:rPr>
                <w:b/>
                <w:bCs/>
                <w:lang w:val="en-GB"/>
              </w:rPr>
              <w:t>Definition:</w:t>
            </w:r>
          </w:p>
          <w:p w14:paraId="2827A6F4" w14:textId="77777777" w:rsidR="00E45009" w:rsidRPr="000A28F3" w:rsidRDefault="00E45009" w:rsidP="00E45009">
            <w:pPr>
              <w:pStyle w:val="NoSpacing"/>
              <w:rPr>
                <w:lang w:val="en-GB"/>
              </w:rPr>
            </w:pPr>
            <w:r w:rsidRPr="000A28F3">
              <w:rPr>
                <w:lang w:val="en-GB"/>
              </w:rPr>
              <w:t xml:space="preserve">Material Footprint (MF) is the attribution of global material extraction to domestic final demand of a country. The total material footprint is the sum of the material footprint for biomass, fossil fuels, metal ores and non-metal ores. </w:t>
            </w:r>
          </w:p>
          <w:p w14:paraId="143CA05B" w14:textId="77777777" w:rsidR="00E45009" w:rsidRPr="000A28F3" w:rsidRDefault="00E45009" w:rsidP="00E45009">
            <w:pPr>
              <w:pStyle w:val="NoSpacing"/>
              <w:rPr>
                <w:lang w:val="en-GB"/>
              </w:rPr>
            </w:pPr>
          </w:p>
          <w:p w14:paraId="74E081FF" w14:textId="77777777" w:rsidR="00E45009" w:rsidRPr="000A28F3" w:rsidRDefault="00E45009" w:rsidP="00E45009">
            <w:pPr>
              <w:pStyle w:val="NoSpacing"/>
              <w:rPr>
                <w:lang w:val="en-GB"/>
              </w:rPr>
            </w:pPr>
            <w:r w:rsidRPr="000A28F3">
              <w:rPr>
                <w:b/>
                <w:bCs/>
                <w:lang w:val="en-GB"/>
              </w:rPr>
              <w:t>Concepts:</w:t>
            </w:r>
          </w:p>
          <w:p w14:paraId="63E803A7" w14:textId="77777777" w:rsidR="00E45009" w:rsidRPr="000A28F3" w:rsidRDefault="00E45009" w:rsidP="00E45009">
            <w:pPr>
              <w:pStyle w:val="NoSpacing"/>
              <w:rPr>
                <w:lang w:val="en-GB"/>
              </w:rPr>
            </w:pPr>
            <w:r w:rsidRPr="000A28F3">
              <w:rPr>
                <w:lang w:val="en-GB"/>
              </w:rPr>
              <w:t>Domestic Material Consumption (DMC) and MF need to be looked at in combination as they cover the two aspects of the economy, production and consumption. The DMC reports the actual amount of material in an economy, MF the virtual amount required across the whole supply chain to service final demand. A country can, for instance have a very high DMC because it has a large primary production sector for export or a very low DMC because it has outsourced most of the material intensive industrial process to other countries. The material footprint corrects for both phenomena.</w:t>
            </w:r>
          </w:p>
          <w:p w14:paraId="56E10CC9" w14:textId="77777777" w:rsidR="00E45009" w:rsidRPr="000A28F3" w:rsidRDefault="00E45009" w:rsidP="00E45009">
            <w:pPr>
              <w:pStyle w:val="NoSpacing"/>
              <w:rPr>
                <w:lang w:val="en-GB"/>
              </w:rPr>
            </w:pPr>
          </w:p>
          <w:p w14:paraId="12B4632C" w14:textId="77777777" w:rsidR="00E45009" w:rsidRPr="000A28F3" w:rsidRDefault="00E45009" w:rsidP="00E45009">
            <w:pPr>
              <w:pStyle w:val="NoSpacing"/>
              <w:rPr>
                <w:lang w:val="en-GB"/>
              </w:rPr>
            </w:pPr>
            <w:r w:rsidRPr="000A28F3">
              <w:rPr>
                <w:b/>
                <w:bCs/>
                <w:lang w:val="en-GB"/>
              </w:rPr>
              <w:t>Comments and limitations:</w:t>
            </w:r>
          </w:p>
          <w:p w14:paraId="2D4D54E5" w14:textId="77777777" w:rsidR="00E45009" w:rsidRPr="000A28F3" w:rsidRDefault="00E45009" w:rsidP="00E45009">
            <w:pPr>
              <w:pStyle w:val="NoSpacing"/>
              <w:rPr>
                <w:lang w:val="en-GB"/>
              </w:rPr>
            </w:pPr>
            <w:r w:rsidRPr="000A28F3">
              <w:rPr>
                <w:lang w:val="en-GB"/>
              </w:rPr>
              <w:t xml:space="preserve">The global material flows database is based on country material flow accounts from the European Union and Japan and estimated data for the rest of the world. </w:t>
            </w:r>
          </w:p>
          <w:p w14:paraId="0ABE9ABA" w14:textId="77777777" w:rsidR="00E45009" w:rsidRPr="000A28F3" w:rsidRDefault="00E45009" w:rsidP="00E45009">
            <w:pPr>
              <w:pStyle w:val="NoSpacing"/>
              <w:rPr>
                <w:b/>
                <w:bCs/>
                <w:lang w:val="en-GB"/>
              </w:rPr>
            </w:pPr>
          </w:p>
          <w:p w14:paraId="4D429AA0" w14:textId="77777777" w:rsidR="00E45009" w:rsidRPr="000A28F3" w:rsidRDefault="00E45009" w:rsidP="00E45009">
            <w:pPr>
              <w:pStyle w:val="NoSpacing"/>
              <w:rPr>
                <w:lang w:val="en-GB"/>
              </w:rPr>
            </w:pPr>
            <w:r w:rsidRPr="000A28F3">
              <w:rPr>
                <w:b/>
                <w:bCs/>
                <w:lang w:val="en-GB"/>
              </w:rPr>
              <w:t>Computation Method:</w:t>
            </w:r>
          </w:p>
          <w:p w14:paraId="0F32C9CA" w14:textId="77777777" w:rsidR="00E45009" w:rsidRPr="000A28F3" w:rsidRDefault="00E45009" w:rsidP="00E45009">
            <w:pPr>
              <w:pStyle w:val="NoSpacing"/>
              <w:rPr>
                <w:lang w:val="en-GB"/>
              </w:rPr>
            </w:pPr>
            <w:r w:rsidRPr="000A28F3">
              <w:rPr>
                <w:lang w:val="en-GB"/>
              </w:rPr>
              <w:t>It is calculated as raw material equivalent of imports (RME</w:t>
            </w:r>
            <w:r w:rsidRPr="000A28F3">
              <w:rPr>
                <w:vertAlign w:val="subscript"/>
                <w:lang w:val="en-GB"/>
              </w:rPr>
              <w:t>IM</w:t>
            </w:r>
            <w:r w:rsidRPr="000A28F3">
              <w:rPr>
                <w:lang w:val="en-GB"/>
              </w:rPr>
              <w:t>) plus domestic extraction (DE) minus raw material equivalents of exports (RME</w:t>
            </w:r>
            <w:r w:rsidRPr="000A28F3">
              <w:rPr>
                <w:vertAlign w:val="subscript"/>
                <w:lang w:val="en-GB"/>
              </w:rPr>
              <w:t>EX</w:t>
            </w:r>
            <w:r w:rsidRPr="000A28F3">
              <w:rPr>
                <w:lang w:val="en-GB"/>
              </w:rPr>
              <w:t xml:space="preserve">). For the attribution of the primary material needs of final demand a global, multi-regional input-output (MRIO) framework is employed. The attribution method based on I-O analytical tools is described in detail in Wiedmann et al. 2015. It is based on the EORA MRIO framework developed by the University of Sydney, Australia (Lenzen et al. 2013) which is an internationally well-established and the most detailed and reliable MRIO framework available to date. </w:t>
            </w:r>
          </w:p>
          <w:p w14:paraId="2A73FFCF" w14:textId="77777777" w:rsidR="00E45009" w:rsidRDefault="00E45009" w:rsidP="00E45009">
            <w:pPr>
              <w:pStyle w:val="NoSpacing"/>
            </w:pPr>
          </w:p>
        </w:tc>
        <w:tc>
          <w:tcPr>
            <w:tcW w:w="0" w:type="auto"/>
            <w:shd w:val="clear" w:color="auto" w:fill="auto"/>
          </w:tcPr>
          <w:p w14:paraId="3F296F3B" w14:textId="77777777" w:rsidR="00E45009" w:rsidRPr="000B0FEC" w:rsidRDefault="00E45009" w:rsidP="00E45009">
            <w:pPr>
              <w:rPr>
                <w:lang w:val="en-GB"/>
              </w:rPr>
            </w:pPr>
            <w:r w:rsidRPr="000B0FEC">
              <w:rPr>
                <w:lang w:val="en-GB"/>
              </w:rPr>
              <w:t>The IRP Global Material Flows and Resource Productivity working group compiles the data from countries and from other sources.</w:t>
            </w:r>
          </w:p>
          <w:p w14:paraId="339D0BC4" w14:textId="77777777" w:rsidR="00E45009" w:rsidRPr="00873FDE" w:rsidRDefault="00E45009" w:rsidP="00E45009"/>
        </w:tc>
        <w:tc>
          <w:tcPr>
            <w:tcW w:w="0" w:type="auto"/>
            <w:shd w:val="clear" w:color="auto" w:fill="auto"/>
          </w:tcPr>
          <w:p w14:paraId="2AD9362C" w14:textId="77777777" w:rsidR="00E45009" w:rsidRPr="00873FDE" w:rsidRDefault="00E45009" w:rsidP="00E45009">
            <w:r w:rsidRPr="00873FDE">
              <w:t>National statistical office</w:t>
            </w:r>
          </w:p>
        </w:tc>
        <w:tc>
          <w:tcPr>
            <w:tcW w:w="0" w:type="auto"/>
            <w:shd w:val="clear" w:color="auto" w:fill="auto"/>
          </w:tcPr>
          <w:p w14:paraId="69FFF2E6" w14:textId="49491E22" w:rsidR="00E45009" w:rsidRDefault="00E45009" w:rsidP="00E45009">
            <w:pPr>
              <w:jc w:val="both"/>
              <w:rPr>
                <w:color w:val="0070C0"/>
                <w:sz w:val="48"/>
                <w:szCs w:val="48"/>
              </w:rPr>
            </w:pPr>
          </w:p>
        </w:tc>
        <w:tc>
          <w:tcPr>
            <w:tcW w:w="0" w:type="auto"/>
            <w:shd w:val="clear" w:color="auto" w:fill="auto"/>
          </w:tcPr>
          <w:p w14:paraId="1B16553F" w14:textId="77777777" w:rsidR="00E45009" w:rsidRDefault="00E45009" w:rsidP="00E45009">
            <w:pPr>
              <w:jc w:val="both"/>
              <w:rPr>
                <w:color w:val="0070C0"/>
                <w:sz w:val="48"/>
                <w:szCs w:val="48"/>
              </w:rPr>
            </w:pPr>
            <w:r>
              <w:t>BBS, NAW</w:t>
            </w:r>
          </w:p>
        </w:tc>
        <w:tc>
          <w:tcPr>
            <w:tcW w:w="0" w:type="auto"/>
            <w:shd w:val="clear" w:color="auto" w:fill="auto"/>
          </w:tcPr>
          <w:p w14:paraId="42D116BF" w14:textId="77777777" w:rsidR="00E45009" w:rsidRPr="00CA048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CA0488">
              <w:rPr>
                <w:rFonts w:ascii="Tw Cen MT Condensed" w:hAnsi="Tw Cen MT Condensed"/>
                <w:sz w:val="20"/>
                <w:szCs w:val="20"/>
              </w:rPr>
              <w:t xml:space="preserve">four main </w:t>
            </w:r>
            <w:r>
              <w:rPr>
                <w:rFonts w:ascii="Tw Cen MT Condensed" w:hAnsi="Tw Cen MT Condensed"/>
                <w:sz w:val="20"/>
                <w:szCs w:val="20"/>
              </w:rPr>
              <w:t>material categories</w:t>
            </w:r>
            <w:r w:rsidRPr="00CA0488">
              <w:rPr>
                <w:rFonts w:ascii="Tw Cen MT Condensed" w:hAnsi="Tw Cen MT Condensed"/>
                <w:sz w:val="20"/>
                <w:szCs w:val="20"/>
              </w:rPr>
              <w:t xml:space="preserve"> </w:t>
            </w:r>
          </w:p>
          <w:p w14:paraId="6A627473" w14:textId="77777777" w:rsidR="00E45009"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economic sector</w:t>
            </w:r>
          </w:p>
          <w:p w14:paraId="5E1A6287" w14:textId="77777777" w:rsidR="00E45009" w:rsidRDefault="00E45009" w:rsidP="00E45009">
            <w:pPr>
              <w:jc w:val="both"/>
              <w:rPr>
                <w:color w:val="0070C0"/>
                <w:sz w:val="48"/>
                <w:szCs w:val="48"/>
              </w:rPr>
            </w:pPr>
            <w:r w:rsidRPr="00232439">
              <w:rPr>
                <w:szCs w:val="20"/>
              </w:rPr>
              <w:t>type of domestic final demand sector: household</w:t>
            </w:r>
          </w:p>
        </w:tc>
        <w:tc>
          <w:tcPr>
            <w:tcW w:w="0" w:type="auto"/>
            <w:shd w:val="clear" w:color="auto" w:fill="auto"/>
          </w:tcPr>
          <w:p w14:paraId="3542AD76" w14:textId="77777777" w:rsidR="00E45009" w:rsidRDefault="00E45009" w:rsidP="00E45009">
            <w:pPr>
              <w:jc w:val="both"/>
              <w:rPr>
                <w:color w:val="0070C0"/>
                <w:sz w:val="48"/>
                <w:szCs w:val="48"/>
              </w:rPr>
            </w:pPr>
            <w:r w:rsidRPr="00BC6F10">
              <w:t>Annual</w:t>
            </w:r>
          </w:p>
        </w:tc>
        <w:tc>
          <w:tcPr>
            <w:tcW w:w="0" w:type="auto"/>
            <w:shd w:val="clear" w:color="auto" w:fill="auto"/>
          </w:tcPr>
          <w:p w14:paraId="5A05483B" w14:textId="77777777" w:rsidR="00E45009" w:rsidRDefault="00E45009" w:rsidP="00E45009">
            <w:pPr>
              <w:jc w:val="both"/>
              <w:rPr>
                <w:color w:val="0070C0"/>
                <w:sz w:val="48"/>
                <w:szCs w:val="48"/>
              </w:rPr>
            </w:pPr>
            <w:r>
              <w:t>Group 2</w:t>
            </w:r>
          </w:p>
        </w:tc>
        <w:tc>
          <w:tcPr>
            <w:tcW w:w="0" w:type="auto"/>
            <w:shd w:val="clear" w:color="auto" w:fill="auto"/>
          </w:tcPr>
          <w:p w14:paraId="17B0DA66" w14:textId="77777777" w:rsidR="00E45009" w:rsidRDefault="00E45009" w:rsidP="00E45009">
            <w:pPr>
              <w:pStyle w:val="NoSpacing"/>
            </w:pPr>
            <w:r>
              <w:t>1</w:t>
            </w:r>
            <w:r w:rsidRPr="00013ACB">
              <w:rPr>
                <w:vertAlign w:val="superscript"/>
              </w:rPr>
              <w:t>st</w:t>
            </w:r>
            <w:r>
              <w:t xml:space="preserve"> Round: </w:t>
            </w:r>
          </w:p>
          <w:p w14:paraId="76B74229" w14:textId="77777777" w:rsidR="00E45009" w:rsidRDefault="00E45009" w:rsidP="00E45009">
            <w:pPr>
              <w:pStyle w:val="NoSpacing"/>
            </w:pPr>
            <w:r>
              <w:t>Decembe</w:t>
            </w:r>
            <w:r>
              <w:br/>
              <w:t>r 2020</w:t>
            </w:r>
          </w:p>
          <w:p w14:paraId="6F720731" w14:textId="77777777" w:rsidR="00E45009" w:rsidRDefault="00E45009" w:rsidP="00E45009">
            <w:pPr>
              <w:pStyle w:val="NoSpacing"/>
            </w:pPr>
          </w:p>
          <w:p w14:paraId="048ADD03" w14:textId="77777777" w:rsidR="00E45009" w:rsidRDefault="00E45009" w:rsidP="00E45009">
            <w:pPr>
              <w:pStyle w:val="NoSpacing"/>
            </w:pPr>
            <w:r>
              <w:t>2</w:t>
            </w:r>
            <w:r w:rsidRPr="00013ACB">
              <w:rPr>
                <w:vertAlign w:val="superscript"/>
              </w:rPr>
              <w:t>nd</w:t>
            </w:r>
            <w:r>
              <w:t xml:space="preserve"> Round: </w:t>
            </w:r>
          </w:p>
          <w:p w14:paraId="5E4D7974" w14:textId="77777777" w:rsidR="00E45009" w:rsidRDefault="00E45009" w:rsidP="00E45009">
            <w:pPr>
              <w:pStyle w:val="NoSpacing"/>
            </w:pPr>
            <w:r>
              <w:t>Decembe</w:t>
            </w:r>
            <w:r>
              <w:br/>
              <w:t>r 2021</w:t>
            </w:r>
          </w:p>
          <w:p w14:paraId="5D394E46" w14:textId="77777777" w:rsidR="00E45009" w:rsidRDefault="00E45009" w:rsidP="00E45009">
            <w:pPr>
              <w:pStyle w:val="NoSpacing"/>
            </w:pPr>
          </w:p>
          <w:p w14:paraId="7A7CCC49" w14:textId="77777777" w:rsidR="00E45009" w:rsidRDefault="00E45009" w:rsidP="00E45009">
            <w:pPr>
              <w:pStyle w:val="NoSpacing"/>
            </w:pPr>
            <w:r>
              <w:t>3</w:t>
            </w:r>
            <w:r w:rsidRPr="00013ACB">
              <w:rPr>
                <w:vertAlign w:val="superscript"/>
              </w:rPr>
              <w:t>rd</w:t>
            </w:r>
            <w:r>
              <w:t xml:space="preserve"> Round: </w:t>
            </w:r>
          </w:p>
          <w:p w14:paraId="20B60C33" w14:textId="77777777" w:rsidR="00E45009" w:rsidRDefault="00E45009" w:rsidP="00E45009">
            <w:pPr>
              <w:pStyle w:val="NoSpacing"/>
            </w:pPr>
            <w:r>
              <w:t>Decembe</w:t>
            </w:r>
            <w:r>
              <w:br/>
              <w:t>r 2022</w:t>
            </w:r>
          </w:p>
          <w:p w14:paraId="02FEC7CA" w14:textId="77777777" w:rsidR="00E45009" w:rsidRDefault="00E45009" w:rsidP="00E45009">
            <w:pPr>
              <w:pStyle w:val="NoSpacing"/>
            </w:pPr>
          </w:p>
          <w:p w14:paraId="034339E6" w14:textId="77777777" w:rsidR="00E45009" w:rsidRDefault="00E45009" w:rsidP="00E45009">
            <w:pPr>
              <w:pStyle w:val="NoSpacing"/>
            </w:pPr>
            <w:r>
              <w:t>4</w:t>
            </w:r>
            <w:r w:rsidRPr="00013ACB">
              <w:rPr>
                <w:vertAlign w:val="superscript"/>
              </w:rPr>
              <w:t>th</w:t>
            </w:r>
            <w:r>
              <w:t xml:space="preserve"> Round: </w:t>
            </w:r>
          </w:p>
          <w:p w14:paraId="4510D1CC" w14:textId="77777777" w:rsidR="00E45009" w:rsidRDefault="00E45009" w:rsidP="00E45009">
            <w:pPr>
              <w:pStyle w:val="NoSpacing"/>
            </w:pPr>
            <w:r>
              <w:t>Decembe</w:t>
            </w:r>
            <w:r>
              <w:br/>
              <w:t>r 2023</w:t>
            </w:r>
          </w:p>
          <w:p w14:paraId="314D5426" w14:textId="77777777" w:rsidR="00E45009" w:rsidRDefault="00E45009" w:rsidP="00E45009">
            <w:pPr>
              <w:pStyle w:val="NoSpacing"/>
            </w:pPr>
          </w:p>
          <w:p w14:paraId="7EA20E37" w14:textId="77777777" w:rsidR="00E45009" w:rsidRDefault="00E45009" w:rsidP="00E45009">
            <w:pPr>
              <w:pStyle w:val="NoSpacing"/>
            </w:pPr>
            <w:r>
              <w:t>5</w:t>
            </w:r>
            <w:r w:rsidRPr="00013ACB">
              <w:rPr>
                <w:vertAlign w:val="superscript"/>
              </w:rPr>
              <w:t>th</w:t>
            </w:r>
            <w:r>
              <w:t xml:space="preserve"> Round: </w:t>
            </w:r>
          </w:p>
          <w:p w14:paraId="2A086112" w14:textId="77777777" w:rsidR="00E45009" w:rsidRDefault="00E45009" w:rsidP="00E45009">
            <w:pPr>
              <w:pStyle w:val="NoSpacing"/>
            </w:pPr>
            <w:r>
              <w:t>Decembe</w:t>
            </w:r>
            <w:r>
              <w:br/>
            </w:r>
            <w:r>
              <w:lastRenderedPageBreak/>
              <w:t>r 2024</w:t>
            </w:r>
          </w:p>
          <w:p w14:paraId="1E80CA94" w14:textId="77777777" w:rsidR="00E45009" w:rsidRDefault="00E45009" w:rsidP="00E45009">
            <w:pPr>
              <w:pStyle w:val="NoSpacing"/>
            </w:pPr>
          </w:p>
          <w:p w14:paraId="4DE85DD7" w14:textId="1515D964" w:rsidR="00E45009" w:rsidRPr="00CA542A" w:rsidRDefault="00E45009" w:rsidP="00E45009">
            <w:pPr>
              <w:pStyle w:val="NoSpacing"/>
            </w:pPr>
          </w:p>
        </w:tc>
        <w:tc>
          <w:tcPr>
            <w:tcW w:w="0" w:type="auto"/>
            <w:shd w:val="clear" w:color="auto" w:fill="auto"/>
          </w:tcPr>
          <w:p w14:paraId="6664E548" w14:textId="77777777" w:rsidR="00E45009" w:rsidRDefault="00E45009" w:rsidP="00E45009">
            <w:pPr>
              <w:jc w:val="both"/>
            </w:pPr>
            <w:r>
              <w:lastRenderedPageBreak/>
              <w:t>Reviewed at 9th IAEG-SDG meeting. Agreed methodology only at global level. Not for country level monitoring (classified as Tier II)</w:t>
            </w:r>
          </w:p>
          <w:p w14:paraId="47BCF5BD" w14:textId="77777777" w:rsidR="00E45009" w:rsidRDefault="00E45009" w:rsidP="00E45009">
            <w:pPr>
              <w:jc w:val="both"/>
            </w:pPr>
          </w:p>
          <w:p w14:paraId="372C33CB" w14:textId="77777777" w:rsidR="00E45009" w:rsidRDefault="00E45009" w:rsidP="00E45009">
            <w:pPr>
              <w:jc w:val="both"/>
            </w:pPr>
            <w:r>
              <w:t xml:space="preserve">Reviewed at Jan. 2019 WebEx meeting: request UNEP to do additional methodological work and await approval as </w:t>
            </w:r>
            <w:r>
              <w:lastRenderedPageBreak/>
              <w:t>international standard before indicator</w:t>
            </w:r>
          </w:p>
          <w:p w14:paraId="35CBCE4F" w14:textId="02419F68" w:rsidR="00E45009" w:rsidRDefault="00E45009" w:rsidP="00E45009">
            <w:pPr>
              <w:jc w:val="both"/>
            </w:pPr>
            <w:proofErr w:type="gramStart"/>
            <w:r>
              <w:t>reclassified</w:t>
            </w:r>
            <w:proofErr w:type="gramEnd"/>
            <w:r>
              <w:t xml:space="preserve">. (classified as </w:t>
            </w:r>
            <w:r w:rsidR="006B621F">
              <w:t>TBD</w:t>
            </w:r>
            <w:r>
              <w:t>)</w:t>
            </w:r>
          </w:p>
          <w:p w14:paraId="66B68530" w14:textId="77777777" w:rsidR="00E45009" w:rsidRDefault="00E45009" w:rsidP="00E45009">
            <w:pPr>
              <w:jc w:val="both"/>
            </w:pPr>
          </w:p>
          <w:p w14:paraId="03207023" w14:textId="2A8D1699" w:rsidR="00E45009" w:rsidRDefault="00E45009" w:rsidP="00E45009">
            <w:pPr>
              <w:jc w:val="both"/>
            </w:pPr>
            <w:r>
              <w:t xml:space="preserve">IAEG-SDG 3rd meeting: There is no established methodology for the indicator (classified as </w:t>
            </w:r>
            <w:r w:rsidR="006B621F">
              <w:t>TBD</w:t>
            </w:r>
            <w:r>
              <w:t>)</w:t>
            </w:r>
          </w:p>
          <w:p w14:paraId="0E7A9F32" w14:textId="77777777" w:rsidR="00E45009" w:rsidRDefault="00E45009" w:rsidP="00E45009">
            <w:pPr>
              <w:jc w:val="both"/>
            </w:pPr>
          </w:p>
          <w:p w14:paraId="7A6A9DB8" w14:textId="77777777" w:rsidR="00E45009" w:rsidRDefault="00E45009" w:rsidP="00E45009">
            <w:pPr>
              <w:jc w:val="both"/>
            </w:pPr>
          </w:p>
          <w:p w14:paraId="67319EBE" w14:textId="3A91776F" w:rsidR="00E45009" w:rsidRDefault="001C664A" w:rsidP="00E45009">
            <w:pPr>
              <w:jc w:val="both"/>
              <w:rPr>
                <w:color w:val="0070C0"/>
                <w:sz w:val="48"/>
                <w:szCs w:val="48"/>
              </w:rPr>
            </w:pPr>
            <w:r>
              <w:t xml:space="preserve">[ </w:t>
            </w:r>
            <w:r w:rsidR="00E45009">
              <w:t>Repeated 12.2.1</w:t>
            </w:r>
            <w:r>
              <w:t xml:space="preserve"> ]</w:t>
            </w:r>
          </w:p>
        </w:tc>
      </w:tr>
      <w:tr w:rsidR="00E45009" w14:paraId="54D5ED55" w14:textId="77777777" w:rsidTr="0025292C">
        <w:tc>
          <w:tcPr>
            <w:tcW w:w="0" w:type="auto"/>
            <w:shd w:val="clear" w:color="auto" w:fill="auto"/>
          </w:tcPr>
          <w:p w14:paraId="26DAB23B" w14:textId="77777777" w:rsidR="00E45009" w:rsidRDefault="00E45009" w:rsidP="00E45009">
            <w:pPr>
              <w:jc w:val="both"/>
              <w:rPr>
                <w:color w:val="0070C0"/>
                <w:sz w:val="48"/>
                <w:szCs w:val="48"/>
              </w:rPr>
            </w:pPr>
            <w:r w:rsidRPr="0095033B">
              <w:lastRenderedPageBreak/>
              <w:t xml:space="preserve">8.4.2 Domestic material consumption, domestic material consumption per capita, and domestic material </w:t>
            </w:r>
            <w:r w:rsidRPr="0095033B">
              <w:lastRenderedPageBreak/>
              <w:t>consumption per GDP</w:t>
            </w:r>
          </w:p>
        </w:tc>
        <w:tc>
          <w:tcPr>
            <w:tcW w:w="0" w:type="auto"/>
            <w:shd w:val="clear" w:color="auto" w:fill="auto"/>
          </w:tcPr>
          <w:p w14:paraId="2EF4592D" w14:textId="77777777" w:rsidR="00E45009" w:rsidRDefault="00E45009" w:rsidP="00E45009">
            <w:pPr>
              <w:pStyle w:val="NoSpacing"/>
            </w:pPr>
            <w:r w:rsidRPr="00EE1D53">
              <w:lastRenderedPageBreak/>
              <w:t>UNEP</w:t>
            </w:r>
          </w:p>
          <w:p w14:paraId="6F0DE1B8" w14:textId="77777777" w:rsidR="00E45009" w:rsidRDefault="00E45009" w:rsidP="00E45009">
            <w:pPr>
              <w:pStyle w:val="NoSpacing"/>
              <w:rPr>
                <w:b/>
                <w:bCs/>
                <w:szCs w:val="20"/>
              </w:rPr>
            </w:pPr>
            <w:r w:rsidRPr="007243FC">
              <w:rPr>
                <w:b/>
                <w:bCs/>
                <w:szCs w:val="20"/>
              </w:rPr>
              <w:t>Partner Agencies:</w:t>
            </w:r>
          </w:p>
          <w:p w14:paraId="02994FE6" w14:textId="77777777" w:rsidR="00E45009" w:rsidRDefault="00E45009" w:rsidP="00E45009">
            <w:pPr>
              <w:jc w:val="both"/>
              <w:rPr>
                <w:color w:val="0070C0"/>
                <w:sz w:val="48"/>
                <w:szCs w:val="48"/>
              </w:rPr>
            </w:pPr>
            <w:r w:rsidRPr="00EE1D53">
              <w:t>OECD</w:t>
            </w:r>
          </w:p>
        </w:tc>
        <w:tc>
          <w:tcPr>
            <w:tcW w:w="0" w:type="auto"/>
            <w:shd w:val="clear" w:color="auto" w:fill="auto"/>
          </w:tcPr>
          <w:p w14:paraId="4E9AEE5D" w14:textId="77777777" w:rsidR="00E45009" w:rsidRDefault="00E45009" w:rsidP="00E45009">
            <w:pPr>
              <w:jc w:val="both"/>
              <w:rPr>
                <w:color w:val="0070C0"/>
                <w:sz w:val="48"/>
                <w:szCs w:val="48"/>
              </w:rPr>
            </w:pPr>
            <w:r w:rsidRPr="00666486">
              <w:t>Tier I</w:t>
            </w:r>
          </w:p>
        </w:tc>
        <w:tc>
          <w:tcPr>
            <w:tcW w:w="0" w:type="auto"/>
            <w:shd w:val="clear" w:color="auto" w:fill="auto"/>
          </w:tcPr>
          <w:p w14:paraId="28B74E64" w14:textId="77777777" w:rsidR="00E45009" w:rsidRPr="00975381" w:rsidRDefault="00E45009" w:rsidP="00E45009">
            <w:pPr>
              <w:pStyle w:val="NoSpacing"/>
              <w:rPr>
                <w:lang w:val="en-GB"/>
              </w:rPr>
            </w:pPr>
            <w:r w:rsidRPr="00975381">
              <w:rPr>
                <w:b/>
                <w:bCs/>
                <w:lang w:val="en-GB"/>
              </w:rPr>
              <w:t>Definition:</w:t>
            </w:r>
          </w:p>
          <w:p w14:paraId="1B470C53" w14:textId="77777777" w:rsidR="00E45009" w:rsidRPr="00975381" w:rsidRDefault="00E45009" w:rsidP="00E45009">
            <w:pPr>
              <w:pStyle w:val="NoSpacing"/>
              <w:rPr>
                <w:lang w:val="en-GB"/>
              </w:rPr>
            </w:pPr>
            <w:r w:rsidRPr="00975381">
              <w:rPr>
                <w:lang w:val="en-GB"/>
              </w:rPr>
              <w:t xml:space="preserve">Domestic Material Consumption (DMC) is a standard material flow accounting (MFA) indicator and reports the apparent consumption of materials in a national economy. </w:t>
            </w:r>
          </w:p>
          <w:p w14:paraId="0FB09642" w14:textId="77777777" w:rsidR="00E45009" w:rsidRPr="00975381" w:rsidRDefault="00E45009" w:rsidP="00E45009">
            <w:pPr>
              <w:pStyle w:val="NoSpacing"/>
              <w:rPr>
                <w:lang w:val="en-GB"/>
              </w:rPr>
            </w:pPr>
          </w:p>
          <w:p w14:paraId="04812E1C" w14:textId="77777777" w:rsidR="00E45009" w:rsidRPr="00975381" w:rsidRDefault="00E45009" w:rsidP="00E45009">
            <w:pPr>
              <w:pStyle w:val="NoSpacing"/>
              <w:rPr>
                <w:lang w:val="en-GB"/>
              </w:rPr>
            </w:pPr>
            <w:r w:rsidRPr="00975381">
              <w:rPr>
                <w:b/>
                <w:bCs/>
                <w:lang w:val="en-GB"/>
              </w:rPr>
              <w:t>Concepts:</w:t>
            </w:r>
          </w:p>
          <w:p w14:paraId="6AD28A43" w14:textId="77777777" w:rsidR="00E45009" w:rsidRPr="00975381" w:rsidRDefault="00E45009" w:rsidP="00E45009">
            <w:pPr>
              <w:pStyle w:val="NoSpacing"/>
              <w:rPr>
                <w:lang w:val="en-GB"/>
              </w:rPr>
            </w:pPr>
            <w:r w:rsidRPr="00975381">
              <w:rPr>
                <w:lang w:val="en-GB"/>
              </w:rPr>
              <w:t xml:space="preserve">Domestic Material Consumption (DMC) and MF need to be looked at in combination as they cover the two aspects of the economy, production and consumption. The DMC reports the actual amount of material in an economy, MF the virtual amount required across the whole supply chain to service final demand. A country can, for instance have a very high DMC because it has a large primary production sector for export or a very low DMC because it has outsourced most of the material intensive industrial process to other countries. The material footprint corrects for both phenomena. </w:t>
            </w:r>
          </w:p>
          <w:p w14:paraId="2A0F1EFB" w14:textId="77777777" w:rsidR="00E45009" w:rsidRPr="00975381" w:rsidRDefault="00E45009" w:rsidP="00E45009">
            <w:pPr>
              <w:pStyle w:val="NoSpacing"/>
              <w:rPr>
                <w:lang w:val="en-GB"/>
              </w:rPr>
            </w:pPr>
          </w:p>
          <w:p w14:paraId="212459BA" w14:textId="77777777" w:rsidR="00E45009" w:rsidRPr="00975381" w:rsidRDefault="00E45009" w:rsidP="00E45009">
            <w:pPr>
              <w:pStyle w:val="NoSpacing"/>
              <w:rPr>
                <w:lang w:val="en-GB"/>
              </w:rPr>
            </w:pPr>
            <w:r w:rsidRPr="00975381">
              <w:rPr>
                <w:b/>
                <w:bCs/>
                <w:lang w:val="en-GB"/>
              </w:rPr>
              <w:lastRenderedPageBreak/>
              <w:t>Comments and limitations:</w:t>
            </w:r>
          </w:p>
          <w:p w14:paraId="0A93068C" w14:textId="77777777" w:rsidR="00E45009" w:rsidRPr="00975381" w:rsidRDefault="00E45009" w:rsidP="00E45009">
            <w:pPr>
              <w:pStyle w:val="NoSpacing"/>
              <w:rPr>
                <w:lang w:val="en-GB"/>
              </w:rPr>
            </w:pPr>
            <w:r w:rsidRPr="00975381">
              <w:rPr>
                <w:lang w:val="en-GB"/>
              </w:rPr>
              <w:t xml:space="preserve">DMC cannot be disaggregated to economic sectors which limits its potential to become a satellite account to the System of National Accounts (SNA). </w:t>
            </w:r>
          </w:p>
          <w:p w14:paraId="456ED165" w14:textId="77777777" w:rsidR="00E45009" w:rsidRPr="00975381" w:rsidRDefault="00E45009" w:rsidP="00E45009">
            <w:pPr>
              <w:pStyle w:val="NoSpacing"/>
              <w:rPr>
                <w:b/>
                <w:bCs/>
                <w:lang w:val="en-GB"/>
              </w:rPr>
            </w:pPr>
          </w:p>
          <w:p w14:paraId="4763F3CC" w14:textId="77777777" w:rsidR="00E45009" w:rsidRPr="00975381" w:rsidRDefault="00E45009" w:rsidP="00E45009">
            <w:pPr>
              <w:pStyle w:val="NoSpacing"/>
              <w:rPr>
                <w:lang w:val="en-GB"/>
              </w:rPr>
            </w:pPr>
            <w:r w:rsidRPr="00975381">
              <w:rPr>
                <w:b/>
                <w:bCs/>
                <w:lang w:val="en-GB"/>
              </w:rPr>
              <w:t>Computation Method:</w:t>
            </w:r>
          </w:p>
          <w:p w14:paraId="608CA65C" w14:textId="77777777" w:rsidR="00E45009" w:rsidRPr="00975381" w:rsidRDefault="00E45009" w:rsidP="00E45009">
            <w:pPr>
              <w:pStyle w:val="NoSpacing"/>
              <w:rPr>
                <w:lang w:val="en-GB"/>
              </w:rPr>
            </w:pPr>
            <w:r w:rsidRPr="00975381">
              <w:rPr>
                <w:lang w:val="en-GB"/>
              </w:rPr>
              <w:t xml:space="preserve">It is calculated as direct imports (IM) of material plus domestic extraction (DE) of materials minus direct exports (EX) of materials measured in metric tonnes. DMC measure the amount of materials that are used in economic processes. It does not include materials that are mobilized the process of domestic extraction but do not enter the economic process. DMC is based on official economic statistics and it requires some modelling to adapt the source data to the methodological requirements of the MFA. The accounting standard and accounting methods are set out in the EUROSTAT guidebooks for MFA accounts in the latest edition of 2013. MFA accounting is also part of the central framework of the </w:t>
            </w:r>
            <w:proofErr w:type="gramStart"/>
            <w:r w:rsidRPr="00975381">
              <w:rPr>
                <w:lang w:val="en-GB"/>
              </w:rPr>
              <w:t>System  of</w:t>
            </w:r>
            <w:proofErr w:type="gramEnd"/>
            <w:r w:rsidRPr="00975381">
              <w:rPr>
                <w:lang w:val="en-GB"/>
              </w:rPr>
              <w:t xml:space="preserve"> integrated Environmental-Economic Accounts (SEEA). </w:t>
            </w:r>
          </w:p>
          <w:p w14:paraId="0ED6FBAE" w14:textId="77777777" w:rsidR="00E45009" w:rsidRDefault="00E45009" w:rsidP="00E45009">
            <w:pPr>
              <w:pStyle w:val="NoSpacing"/>
            </w:pPr>
          </w:p>
        </w:tc>
        <w:tc>
          <w:tcPr>
            <w:tcW w:w="0" w:type="auto"/>
            <w:shd w:val="clear" w:color="auto" w:fill="auto"/>
          </w:tcPr>
          <w:p w14:paraId="6881F709" w14:textId="77777777" w:rsidR="00E45009" w:rsidRPr="00975381" w:rsidRDefault="00E45009" w:rsidP="00E45009">
            <w:pPr>
              <w:pStyle w:val="NoSpacing"/>
            </w:pPr>
            <w:r w:rsidRPr="00D805D8">
              <w:rPr>
                <w:lang w:eastAsia="en-GB"/>
              </w:rPr>
              <w:lastRenderedPageBreak/>
              <w:t xml:space="preserve">The IRP Global Material Flows and Resource Productivity working group </w:t>
            </w:r>
            <w:r>
              <w:rPr>
                <w:lang w:eastAsia="en-GB"/>
              </w:rPr>
              <w:t xml:space="preserve">compiles the data from </w:t>
            </w:r>
            <w:r>
              <w:rPr>
                <w:lang w:eastAsia="en-GB"/>
              </w:rPr>
              <w:lastRenderedPageBreak/>
              <w:t>countries and from other sources</w:t>
            </w:r>
          </w:p>
        </w:tc>
        <w:tc>
          <w:tcPr>
            <w:tcW w:w="0" w:type="auto"/>
            <w:shd w:val="clear" w:color="auto" w:fill="auto"/>
          </w:tcPr>
          <w:p w14:paraId="5CEEF048" w14:textId="77777777" w:rsidR="00E45009" w:rsidRDefault="00E45009" w:rsidP="00E45009">
            <w:pPr>
              <w:pStyle w:val="NoSpacing"/>
            </w:pPr>
            <w:r w:rsidRPr="00873FDE">
              <w:lastRenderedPageBreak/>
              <w:t>National statistical office</w:t>
            </w:r>
          </w:p>
        </w:tc>
        <w:tc>
          <w:tcPr>
            <w:tcW w:w="0" w:type="auto"/>
            <w:shd w:val="clear" w:color="auto" w:fill="auto"/>
          </w:tcPr>
          <w:p w14:paraId="5584D618" w14:textId="41D3129C" w:rsidR="00E45009" w:rsidRDefault="00E45009" w:rsidP="00E45009">
            <w:pPr>
              <w:jc w:val="both"/>
              <w:rPr>
                <w:color w:val="0070C0"/>
                <w:sz w:val="48"/>
                <w:szCs w:val="48"/>
              </w:rPr>
            </w:pPr>
          </w:p>
        </w:tc>
        <w:tc>
          <w:tcPr>
            <w:tcW w:w="0" w:type="auto"/>
            <w:shd w:val="clear" w:color="auto" w:fill="auto"/>
          </w:tcPr>
          <w:p w14:paraId="64162BB0" w14:textId="77777777" w:rsidR="00E45009" w:rsidRDefault="00E45009" w:rsidP="00E45009">
            <w:pPr>
              <w:jc w:val="both"/>
              <w:rPr>
                <w:color w:val="0070C0"/>
                <w:sz w:val="48"/>
                <w:szCs w:val="48"/>
              </w:rPr>
            </w:pPr>
            <w:r>
              <w:t>BBS, NAW</w:t>
            </w:r>
          </w:p>
        </w:tc>
        <w:tc>
          <w:tcPr>
            <w:tcW w:w="0" w:type="auto"/>
            <w:shd w:val="clear" w:color="auto" w:fill="auto"/>
            <w:vAlign w:val="center"/>
          </w:tcPr>
          <w:p w14:paraId="4196D807" w14:textId="77777777" w:rsidR="00E45009" w:rsidRPr="00F62F2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F62F28">
              <w:rPr>
                <w:rFonts w:ascii="Tw Cen MT Condensed" w:hAnsi="Tw Cen MT Condensed"/>
                <w:sz w:val="20"/>
                <w:szCs w:val="20"/>
              </w:rPr>
              <w:t>material follow categories: biomass, fossil fuels, metal ores, non-</w:t>
            </w:r>
            <w:r w:rsidRPr="00F62F28">
              <w:rPr>
                <w:rFonts w:ascii="Tw Cen MT Condensed" w:hAnsi="Tw Cen MT Condensed"/>
                <w:sz w:val="20"/>
                <w:szCs w:val="20"/>
              </w:rPr>
              <w:lastRenderedPageBreak/>
              <w:t>metallic minerals at highest disaggregation level; DMC: 11 categories; DE: 44 categories</w:t>
            </w:r>
          </w:p>
          <w:p w14:paraId="52EA5D42" w14:textId="77777777" w:rsidR="00E45009" w:rsidRDefault="00E45009" w:rsidP="00E45009">
            <w:pPr>
              <w:jc w:val="both"/>
              <w:rPr>
                <w:color w:val="0070C0"/>
                <w:sz w:val="48"/>
                <w:szCs w:val="48"/>
              </w:rPr>
            </w:pPr>
            <w:r w:rsidRPr="00F62F28">
              <w:rPr>
                <w:szCs w:val="20"/>
              </w:rPr>
              <w:t>trade flows: imports, exports, domestic extraction</w:t>
            </w:r>
          </w:p>
        </w:tc>
        <w:tc>
          <w:tcPr>
            <w:tcW w:w="0" w:type="auto"/>
            <w:shd w:val="clear" w:color="auto" w:fill="auto"/>
          </w:tcPr>
          <w:p w14:paraId="04088938" w14:textId="77777777" w:rsidR="00E45009" w:rsidRDefault="00E45009" w:rsidP="00E45009">
            <w:pPr>
              <w:jc w:val="both"/>
              <w:rPr>
                <w:color w:val="0070C0"/>
                <w:sz w:val="48"/>
                <w:szCs w:val="48"/>
              </w:rPr>
            </w:pPr>
            <w:r w:rsidRPr="00BC6F10">
              <w:lastRenderedPageBreak/>
              <w:t>Annual</w:t>
            </w:r>
          </w:p>
        </w:tc>
        <w:tc>
          <w:tcPr>
            <w:tcW w:w="0" w:type="auto"/>
            <w:shd w:val="clear" w:color="auto" w:fill="auto"/>
          </w:tcPr>
          <w:p w14:paraId="5684CD75" w14:textId="77777777" w:rsidR="00E45009" w:rsidRDefault="00E45009" w:rsidP="00E45009">
            <w:pPr>
              <w:jc w:val="both"/>
              <w:rPr>
                <w:color w:val="0070C0"/>
                <w:sz w:val="48"/>
                <w:szCs w:val="48"/>
              </w:rPr>
            </w:pPr>
            <w:r>
              <w:t>Group 2</w:t>
            </w:r>
          </w:p>
        </w:tc>
        <w:tc>
          <w:tcPr>
            <w:tcW w:w="0" w:type="auto"/>
            <w:shd w:val="clear" w:color="auto" w:fill="auto"/>
          </w:tcPr>
          <w:p w14:paraId="3FCAF079" w14:textId="77777777" w:rsidR="00E45009" w:rsidRDefault="00E45009" w:rsidP="00E45009">
            <w:pPr>
              <w:pStyle w:val="NoSpacing"/>
            </w:pPr>
            <w:r>
              <w:t>1</w:t>
            </w:r>
            <w:r w:rsidRPr="00013ACB">
              <w:rPr>
                <w:vertAlign w:val="superscript"/>
              </w:rPr>
              <w:t>st</w:t>
            </w:r>
            <w:r>
              <w:t xml:space="preserve"> Round: </w:t>
            </w:r>
          </w:p>
          <w:p w14:paraId="67782C2B" w14:textId="77777777" w:rsidR="00E45009" w:rsidRDefault="00E45009" w:rsidP="00E45009">
            <w:pPr>
              <w:pStyle w:val="NoSpacing"/>
            </w:pPr>
            <w:r>
              <w:t>Decembe</w:t>
            </w:r>
            <w:r>
              <w:br/>
              <w:t>r 2020</w:t>
            </w:r>
          </w:p>
          <w:p w14:paraId="08436223" w14:textId="77777777" w:rsidR="00E45009" w:rsidRDefault="00E45009" w:rsidP="00E45009">
            <w:pPr>
              <w:pStyle w:val="NoSpacing"/>
            </w:pPr>
          </w:p>
          <w:p w14:paraId="1C189D80" w14:textId="77777777" w:rsidR="00E45009" w:rsidRDefault="00E45009" w:rsidP="00E45009">
            <w:pPr>
              <w:pStyle w:val="NoSpacing"/>
            </w:pPr>
            <w:r>
              <w:t>2</w:t>
            </w:r>
            <w:r w:rsidRPr="00013ACB">
              <w:rPr>
                <w:vertAlign w:val="superscript"/>
              </w:rPr>
              <w:t>nd</w:t>
            </w:r>
            <w:r>
              <w:t xml:space="preserve"> Round: </w:t>
            </w:r>
          </w:p>
          <w:p w14:paraId="775F0798" w14:textId="77777777" w:rsidR="00E45009" w:rsidRDefault="00E45009" w:rsidP="00E45009">
            <w:pPr>
              <w:pStyle w:val="NoSpacing"/>
            </w:pPr>
            <w:r>
              <w:t>Decembe</w:t>
            </w:r>
            <w:r>
              <w:br/>
              <w:t>r 2021</w:t>
            </w:r>
          </w:p>
          <w:p w14:paraId="13B35918" w14:textId="77777777" w:rsidR="00E45009" w:rsidRDefault="00E45009" w:rsidP="00E45009">
            <w:pPr>
              <w:pStyle w:val="NoSpacing"/>
            </w:pPr>
          </w:p>
          <w:p w14:paraId="626D9F65" w14:textId="77777777" w:rsidR="00E45009" w:rsidRDefault="00E45009" w:rsidP="00E45009">
            <w:pPr>
              <w:pStyle w:val="NoSpacing"/>
            </w:pPr>
            <w:r>
              <w:t>3</w:t>
            </w:r>
            <w:r w:rsidRPr="00013ACB">
              <w:rPr>
                <w:vertAlign w:val="superscript"/>
              </w:rPr>
              <w:t>rd</w:t>
            </w:r>
            <w:r>
              <w:t xml:space="preserve"> Round: </w:t>
            </w:r>
          </w:p>
          <w:p w14:paraId="2288CFF1" w14:textId="77777777" w:rsidR="00E45009" w:rsidRDefault="00E45009" w:rsidP="00E45009">
            <w:pPr>
              <w:pStyle w:val="NoSpacing"/>
            </w:pPr>
            <w:r>
              <w:t>Decembe</w:t>
            </w:r>
            <w:r>
              <w:br/>
              <w:t>r 2022</w:t>
            </w:r>
          </w:p>
          <w:p w14:paraId="759E19C1" w14:textId="77777777" w:rsidR="00E45009" w:rsidRDefault="00E45009" w:rsidP="00E45009">
            <w:pPr>
              <w:pStyle w:val="NoSpacing"/>
            </w:pPr>
            <w:r>
              <w:t>4</w:t>
            </w:r>
            <w:r w:rsidRPr="00013ACB">
              <w:rPr>
                <w:vertAlign w:val="superscript"/>
              </w:rPr>
              <w:t>th</w:t>
            </w:r>
            <w:r>
              <w:t xml:space="preserve"> Round: </w:t>
            </w:r>
          </w:p>
          <w:p w14:paraId="4D4EECB6" w14:textId="77777777" w:rsidR="00E45009" w:rsidRDefault="00E45009" w:rsidP="00E45009">
            <w:pPr>
              <w:pStyle w:val="NoSpacing"/>
            </w:pPr>
            <w:r>
              <w:t>Decembe</w:t>
            </w:r>
            <w:r>
              <w:br/>
              <w:t>r 2023</w:t>
            </w:r>
          </w:p>
          <w:p w14:paraId="67DBD5A9" w14:textId="77777777" w:rsidR="00E45009" w:rsidRDefault="00E45009" w:rsidP="00E45009">
            <w:pPr>
              <w:pStyle w:val="NoSpacing"/>
            </w:pPr>
            <w:r>
              <w:t>5</w:t>
            </w:r>
            <w:r w:rsidRPr="00013ACB">
              <w:rPr>
                <w:vertAlign w:val="superscript"/>
              </w:rPr>
              <w:t>th</w:t>
            </w:r>
            <w:r>
              <w:t xml:space="preserve"> Round: </w:t>
            </w:r>
          </w:p>
          <w:p w14:paraId="77A0A289" w14:textId="597DBD2B" w:rsidR="00E45009" w:rsidRPr="00CA542A" w:rsidRDefault="00E45009" w:rsidP="00E45009">
            <w:pPr>
              <w:pStyle w:val="NoSpacing"/>
            </w:pPr>
            <w:r>
              <w:t>Decembe</w:t>
            </w:r>
            <w:r>
              <w:br/>
              <w:t>r 2024</w:t>
            </w:r>
          </w:p>
        </w:tc>
        <w:tc>
          <w:tcPr>
            <w:tcW w:w="0" w:type="auto"/>
            <w:shd w:val="clear" w:color="auto" w:fill="auto"/>
          </w:tcPr>
          <w:p w14:paraId="6888626B" w14:textId="77777777" w:rsidR="00E45009" w:rsidRDefault="00E45009" w:rsidP="00E45009">
            <w:pPr>
              <w:jc w:val="both"/>
            </w:pPr>
            <w:r>
              <w:lastRenderedPageBreak/>
              <w:t>Data availability reviewed in Nov. 2017 (classified as Tier I)</w:t>
            </w:r>
          </w:p>
          <w:p w14:paraId="7487A284" w14:textId="77777777" w:rsidR="003E5AFB" w:rsidRDefault="003E5AFB" w:rsidP="00E45009">
            <w:pPr>
              <w:jc w:val="both"/>
            </w:pPr>
          </w:p>
          <w:p w14:paraId="12728E14" w14:textId="77777777" w:rsidR="003E5AFB" w:rsidRDefault="003E5AFB" w:rsidP="00E45009">
            <w:pPr>
              <w:jc w:val="both"/>
            </w:pPr>
          </w:p>
          <w:p w14:paraId="5BACF892" w14:textId="77777777" w:rsidR="00E45009" w:rsidRDefault="00E45009" w:rsidP="00E45009">
            <w:pPr>
              <w:jc w:val="both"/>
            </w:pPr>
          </w:p>
          <w:p w14:paraId="15C8D667" w14:textId="77777777" w:rsidR="00E45009" w:rsidRDefault="00E45009" w:rsidP="00E45009">
            <w:pPr>
              <w:jc w:val="both"/>
              <w:rPr>
                <w:color w:val="0070C0"/>
                <w:sz w:val="48"/>
                <w:szCs w:val="48"/>
              </w:rPr>
            </w:pPr>
            <w:r>
              <w:t xml:space="preserve">Repeated </w:t>
            </w:r>
            <w:r>
              <w:lastRenderedPageBreak/>
              <w:t>12.2.2</w:t>
            </w:r>
          </w:p>
        </w:tc>
      </w:tr>
      <w:tr w:rsidR="00E45009" w14:paraId="1E4EDB87" w14:textId="77777777" w:rsidTr="0025292C">
        <w:tc>
          <w:tcPr>
            <w:tcW w:w="0" w:type="auto"/>
            <w:gridSpan w:val="13"/>
            <w:shd w:val="clear" w:color="auto" w:fill="auto"/>
          </w:tcPr>
          <w:p w14:paraId="2DFEAD66" w14:textId="77777777" w:rsidR="00E45009" w:rsidRDefault="00E45009" w:rsidP="00E45009">
            <w:pPr>
              <w:jc w:val="both"/>
              <w:rPr>
                <w:color w:val="0070C0"/>
                <w:sz w:val="48"/>
                <w:szCs w:val="48"/>
              </w:rPr>
            </w:pPr>
            <w:r w:rsidRPr="00382228">
              <w:rPr>
                <w:color w:val="0070C0"/>
                <w:w w:val="95"/>
                <w:sz w:val="30"/>
                <w:szCs w:val="30"/>
              </w:rPr>
              <w:lastRenderedPageBreak/>
              <w:t>Target 8.5 By 2030, achieve full and productive employment and decent work for all women and men, including for young people and persons with disabilities, and equal pay for work of equal value</w:t>
            </w:r>
          </w:p>
        </w:tc>
      </w:tr>
      <w:tr w:rsidR="00E45009" w14:paraId="4CDBBB18" w14:textId="77777777" w:rsidTr="0025292C">
        <w:tc>
          <w:tcPr>
            <w:tcW w:w="0" w:type="auto"/>
            <w:shd w:val="clear" w:color="auto" w:fill="auto"/>
          </w:tcPr>
          <w:p w14:paraId="524889BB" w14:textId="77777777" w:rsidR="00E45009" w:rsidRDefault="00E45009" w:rsidP="00E45009">
            <w:pPr>
              <w:jc w:val="both"/>
              <w:rPr>
                <w:color w:val="0070C0"/>
                <w:sz w:val="48"/>
                <w:szCs w:val="48"/>
              </w:rPr>
            </w:pPr>
            <w:r w:rsidRPr="00F73727">
              <w:t>8.5.1 Average hourly earnings of female and male employees, by occupation, age and persons with disabilities</w:t>
            </w:r>
          </w:p>
        </w:tc>
        <w:tc>
          <w:tcPr>
            <w:tcW w:w="0" w:type="auto"/>
            <w:shd w:val="clear" w:color="auto" w:fill="auto"/>
          </w:tcPr>
          <w:p w14:paraId="43D8B3E9" w14:textId="77777777" w:rsidR="00E45009" w:rsidRDefault="00E45009" w:rsidP="00E45009">
            <w:pPr>
              <w:pStyle w:val="NoSpacing"/>
            </w:pPr>
          </w:p>
          <w:p w14:paraId="6B7AB77A" w14:textId="77777777" w:rsidR="00E45009" w:rsidRDefault="00E45009" w:rsidP="00E45009">
            <w:pPr>
              <w:jc w:val="both"/>
              <w:rPr>
                <w:color w:val="0070C0"/>
                <w:sz w:val="48"/>
                <w:szCs w:val="48"/>
              </w:rPr>
            </w:pPr>
            <w:r w:rsidRPr="00EE1D53">
              <w:t>ILO</w:t>
            </w:r>
          </w:p>
        </w:tc>
        <w:tc>
          <w:tcPr>
            <w:tcW w:w="0" w:type="auto"/>
            <w:shd w:val="clear" w:color="auto" w:fill="auto"/>
          </w:tcPr>
          <w:p w14:paraId="5DDDA83F" w14:textId="77777777" w:rsidR="00E45009" w:rsidRDefault="00E45009" w:rsidP="00E45009">
            <w:pPr>
              <w:jc w:val="both"/>
              <w:rPr>
                <w:color w:val="0070C0"/>
                <w:sz w:val="48"/>
                <w:szCs w:val="48"/>
              </w:rPr>
            </w:pPr>
            <w:r w:rsidRPr="00666486">
              <w:t>Tier II</w:t>
            </w:r>
          </w:p>
        </w:tc>
        <w:tc>
          <w:tcPr>
            <w:tcW w:w="0" w:type="auto"/>
            <w:shd w:val="clear" w:color="auto" w:fill="auto"/>
          </w:tcPr>
          <w:p w14:paraId="1B8C6C81" w14:textId="77777777" w:rsidR="00E45009" w:rsidRPr="00C33979" w:rsidRDefault="00E45009" w:rsidP="00E45009">
            <w:pPr>
              <w:pStyle w:val="NoSpacing"/>
              <w:rPr>
                <w:lang w:val="en-GB"/>
              </w:rPr>
            </w:pPr>
            <w:r w:rsidRPr="00C33979">
              <w:rPr>
                <w:b/>
                <w:bCs/>
                <w:lang w:val="en-GB"/>
              </w:rPr>
              <w:t>Definition:</w:t>
            </w:r>
          </w:p>
          <w:p w14:paraId="752B4EC0" w14:textId="77777777" w:rsidR="00E45009" w:rsidRPr="00C33979" w:rsidRDefault="00E45009" w:rsidP="00E45009">
            <w:pPr>
              <w:pStyle w:val="NoSpacing"/>
              <w:rPr>
                <w:lang w:val="en-GB"/>
              </w:rPr>
            </w:pPr>
            <w:r w:rsidRPr="00C33979">
              <w:rPr>
                <w:lang w:val="en-GB"/>
              </w:rPr>
              <w:t xml:space="preserve">This indicator provides information on the mean hourly earnings from paid employment of employees by sex, occupation, </w:t>
            </w:r>
            <w:proofErr w:type="gramStart"/>
            <w:r w:rsidRPr="00C33979">
              <w:rPr>
                <w:lang w:val="en-GB"/>
              </w:rPr>
              <w:t>age</w:t>
            </w:r>
            <w:proofErr w:type="gramEnd"/>
            <w:r w:rsidRPr="00C33979">
              <w:rPr>
                <w:lang w:val="en-GB"/>
              </w:rPr>
              <w:t xml:space="preserve"> and disability status. </w:t>
            </w:r>
          </w:p>
          <w:p w14:paraId="19791D4E" w14:textId="77777777" w:rsidR="00E45009" w:rsidRPr="00C33979" w:rsidRDefault="00E45009" w:rsidP="00E45009">
            <w:pPr>
              <w:pStyle w:val="NoSpacing"/>
              <w:rPr>
                <w:lang w:val="en-GB"/>
              </w:rPr>
            </w:pPr>
          </w:p>
          <w:p w14:paraId="5665EF0F" w14:textId="77777777" w:rsidR="00E45009" w:rsidRPr="00C33979" w:rsidRDefault="00E45009" w:rsidP="00E45009">
            <w:pPr>
              <w:pStyle w:val="NoSpacing"/>
              <w:rPr>
                <w:lang w:val="en-GB"/>
              </w:rPr>
            </w:pPr>
            <w:r w:rsidRPr="00C33979">
              <w:rPr>
                <w:b/>
                <w:bCs/>
                <w:lang w:val="en-GB"/>
              </w:rPr>
              <w:t>Concepts:</w:t>
            </w:r>
          </w:p>
          <w:p w14:paraId="1F90F55B" w14:textId="77777777" w:rsidR="00E45009" w:rsidRPr="00C33979" w:rsidRDefault="00E45009" w:rsidP="00E45009">
            <w:pPr>
              <w:pStyle w:val="NoSpacing"/>
              <w:rPr>
                <w:lang w:val="en-GB"/>
              </w:rPr>
            </w:pPr>
            <w:r w:rsidRPr="00C33979">
              <w:rPr>
                <w:lang w:val="en-GB"/>
              </w:rPr>
              <w:t xml:space="preserve">Earnings refer to the gross remuneration in cash or in kind paid to employees, as a rule at regular intervals, for time worked or work done together with remuneration for time not worked, such as annual vacation, other type of paid leave or holidays. Earnings exclude employers’ contributions in respect of their employees paid to social security and pension schemes and also the benefits received by employees under these schemes. Earnings also exclude severance and termination pay. </w:t>
            </w:r>
          </w:p>
          <w:p w14:paraId="172174E9" w14:textId="77777777" w:rsidR="00E45009" w:rsidRPr="00C33979" w:rsidRDefault="00E45009" w:rsidP="00E45009">
            <w:pPr>
              <w:pStyle w:val="NoSpacing"/>
              <w:rPr>
                <w:lang w:val="en-GB"/>
              </w:rPr>
            </w:pPr>
            <w:r w:rsidRPr="00C33979">
              <w:rPr>
                <w:lang w:val="en-GB"/>
              </w:rPr>
              <w:t xml:space="preserve">For international comparability purposes, statistics of earnings used relate to employees’ gross remuneration, i.e. the total before any deductions are made by the employer in respect of taxes, contributions of employees to social security and pension schemes, life insurance premiums, union dues and other obligations of employees. </w:t>
            </w:r>
          </w:p>
          <w:p w14:paraId="798EC1BE" w14:textId="77777777" w:rsidR="00E45009" w:rsidRPr="00C33979" w:rsidRDefault="00E45009" w:rsidP="00E45009">
            <w:pPr>
              <w:pStyle w:val="NoSpacing"/>
              <w:rPr>
                <w:lang w:val="en-GB"/>
              </w:rPr>
            </w:pPr>
            <w:r w:rsidRPr="00C33979">
              <w:rPr>
                <w:lang w:val="en-GB"/>
              </w:rPr>
              <w:t>As stated in the indicator title, data on earnings should be presented on the basis of the arithmetic average of the hourly earnings of all employees.</w:t>
            </w:r>
          </w:p>
          <w:p w14:paraId="74AB9194" w14:textId="77777777" w:rsidR="00E45009" w:rsidRPr="00C33979" w:rsidRDefault="00E45009" w:rsidP="00E45009">
            <w:pPr>
              <w:pStyle w:val="NoSpacing"/>
              <w:rPr>
                <w:lang w:val="en-GB"/>
              </w:rPr>
            </w:pPr>
          </w:p>
          <w:p w14:paraId="74FCC8D5" w14:textId="77777777" w:rsidR="00E45009" w:rsidRPr="00C33979" w:rsidRDefault="00E45009" w:rsidP="00E45009">
            <w:pPr>
              <w:pStyle w:val="NoSpacing"/>
              <w:rPr>
                <w:lang w:val="en-GB"/>
              </w:rPr>
            </w:pPr>
            <w:r w:rsidRPr="00C33979">
              <w:rPr>
                <w:b/>
                <w:bCs/>
                <w:lang w:val="en-GB"/>
              </w:rPr>
              <w:t>Comments and limitations:</w:t>
            </w:r>
          </w:p>
          <w:p w14:paraId="20B18D24" w14:textId="77777777" w:rsidR="00E45009" w:rsidRPr="00C33979" w:rsidRDefault="00E45009" w:rsidP="00E45009">
            <w:pPr>
              <w:pStyle w:val="NoSpacing"/>
              <w:rPr>
                <w:lang w:val="en-GB"/>
              </w:rPr>
            </w:pPr>
            <w:r w:rsidRPr="00C33979">
              <w:rPr>
                <w:lang w:val="en-GB"/>
              </w:rPr>
              <w:t xml:space="preserve">The variety of possible sources for statistics on earnings greatly hinders international comparability, as each type of source has its own coverage, scope and characteristics. It would not be fully accurate to compare, for example, hourly earnings from a labour force survey for one </w:t>
            </w:r>
            <w:r w:rsidRPr="00C33979">
              <w:rPr>
                <w:lang w:val="en-GB"/>
              </w:rPr>
              <w:lastRenderedPageBreak/>
              <w:t xml:space="preserve">country with hourly earnings from an establishment survey for another. </w:t>
            </w:r>
          </w:p>
          <w:p w14:paraId="568057FF" w14:textId="77777777" w:rsidR="00E45009" w:rsidRPr="00C33979" w:rsidRDefault="00E45009" w:rsidP="00E45009">
            <w:pPr>
              <w:pStyle w:val="NoSpacing"/>
              <w:rPr>
                <w:lang w:val="en-GB"/>
              </w:rPr>
            </w:pPr>
            <w:r w:rsidRPr="00C33979">
              <w:rPr>
                <w:lang w:val="en-GB"/>
              </w:rPr>
              <w:t xml:space="preserve">The use of non-standard definitions and the heterogeneity of operational criteria applied further hamper cross-country comparisons. </w:t>
            </w:r>
          </w:p>
          <w:p w14:paraId="14BCBB24" w14:textId="77777777" w:rsidR="00E45009" w:rsidRPr="00C33979" w:rsidRDefault="00E45009" w:rsidP="00E45009">
            <w:pPr>
              <w:pStyle w:val="NoSpacing"/>
              <w:rPr>
                <w:b/>
                <w:bCs/>
                <w:lang w:val="en-GB"/>
              </w:rPr>
            </w:pPr>
          </w:p>
          <w:p w14:paraId="2763FDF7" w14:textId="77777777" w:rsidR="00E45009" w:rsidRPr="00C33979" w:rsidRDefault="00E45009" w:rsidP="00E45009">
            <w:pPr>
              <w:pStyle w:val="NoSpacing"/>
              <w:rPr>
                <w:lang w:val="en-GB"/>
              </w:rPr>
            </w:pPr>
            <w:r w:rsidRPr="00C33979">
              <w:rPr>
                <w:b/>
                <w:bCs/>
                <w:lang w:val="en-GB"/>
              </w:rPr>
              <w:t>Computation Method:</w:t>
            </w:r>
          </w:p>
          <w:p w14:paraId="4212B4D0" w14:textId="77777777" w:rsidR="00E45009" w:rsidRPr="00C33979" w:rsidRDefault="00E45009" w:rsidP="00E45009">
            <w:pPr>
              <w:pStyle w:val="NoSpacing"/>
              <w:rPr>
                <w:lang w:val="en-GB"/>
              </w:rPr>
            </w:pPr>
            <w:r w:rsidRPr="00C33979">
              <w:rPr>
                <w:lang w:val="en-GB"/>
              </w:rPr>
              <w:t>Statistics on average hourly earnings by sex can be used to calculate the gender pay gap, as follows:</w:t>
            </w:r>
          </w:p>
          <w:p w14:paraId="62AF5F5C" w14:textId="77777777" w:rsidR="00E45009" w:rsidRPr="00C33979" w:rsidRDefault="00E45009" w:rsidP="00E45009">
            <w:pPr>
              <w:pStyle w:val="NoSpacing"/>
              <w:rPr>
                <w:lang w:val="en-GB"/>
              </w:rPr>
            </w:pPr>
            <w:r w:rsidRPr="00C33979">
              <w:rPr>
                <w:rFonts w:hint="eastAsia"/>
                <w:lang w:val="en-GB"/>
              </w:rPr>
              <w:t>Gender pay gap=  (</w:t>
            </w:r>
            <w:r w:rsidRPr="00C33979">
              <w:rPr>
                <w:rFonts w:ascii="Cambria Math" w:eastAsia="Cambria Math" w:hAnsi="Cambria Math" w:cs="Cambria Math" w:hint="eastAsia"/>
                <w:lang w:val="en-GB"/>
              </w:rPr>
              <w:t>〖</w:t>
            </w:r>
            <w:r w:rsidRPr="00C33979">
              <w:rPr>
                <w:rFonts w:hint="eastAsia"/>
                <w:lang w:val="en-GB"/>
              </w:rPr>
              <w:t>Average hourly earnings</w:t>
            </w:r>
            <w:r w:rsidRPr="00C33979">
              <w:rPr>
                <w:rFonts w:ascii="Cambria Math" w:eastAsia="Cambria Math" w:hAnsi="Cambria Math" w:cs="Cambria Math" w:hint="eastAsia"/>
                <w:lang w:val="en-GB"/>
              </w:rPr>
              <w:t>〗</w:t>
            </w:r>
            <w:r w:rsidRPr="00C33979">
              <w:rPr>
                <w:rFonts w:hint="eastAsia"/>
                <w:lang w:val="en-GB"/>
              </w:rPr>
              <w:t xml:space="preserve">_Men- </w:t>
            </w:r>
            <w:r w:rsidRPr="00C33979">
              <w:rPr>
                <w:rFonts w:ascii="Cambria Math" w:eastAsia="Cambria Math" w:hAnsi="Cambria Math" w:cs="Cambria Math" w:hint="eastAsia"/>
                <w:lang w:val="en-GB"/>
              </w:rPr>
              <w:t>〖</w:t>
            </w:r>
            <w:r w:rsidRPr="00C33979">
              <w:rPr>
                <w:rFonts w:hint="eastAsia"/>
                <w:lang w:val="en-GB"/>
              </w:rPr>
              <w:t>Average hourly earnings</w:t>
            </w:r>
            <w:r w:rsidRPr="00C33979">
              <w:rPr>
                <w:rFonts w:ascii="Cambria Math" w:eastAsia="Cambria Math" w:hAnsi="Cambria Math" w:cs="Cambria Math" w:hint="eastAsia"/>
                <w:lang w:val="en-GB"/>
              </w:rPr>
              <w:t>〗</w:t>
            </w:r>
            <w:r w:rsidRPr="00C33979">
              <w:rPr>
                <w:rFonts w:hint="eastAsia"/>
                <w:lang w:val="en-GB"/>
              </w:rPr>
              <w:t>_Women)/</w:t>
            </w:r>
            <w:r w:rsidRPr="00C33979">
              <w:rPr>
                <w:rFonts w:ascii="Cambria Math" w:eastAsia="Cambria Math" w:hAnsi="Cambria Math" w:cs="Cambria Math" w:hint="eastAsia"/>
                <w:lang w:val="en-GB"/>
              </w:rPr>
              <w:t>〖</w:t>
            </w:r>
            <w:r w:rsidRPr="00C33979">
              <w:rPr>
                <w:rFonts w:hint="eastAsia"/>
                <w:lang w:val="en-GB"/>
              </w:rPr>
              <w:t>Average hourly earnings</w:t>
            </w:r>
            <w:r w:rsidRPr="00C33979">
              <w:rPr>
                <w:rFonts w:ascii="Cambria Math" w:eastAsia="Cambria Math" w:hAnsi="Cambria Math" w:cs="Cambria Math" w:hint="eastAsia"/>
                <w:lang w:val="en-GB"/>
              </w:rPr>
              <w:t>〗</w:t>
            </w:r>
            <w:r w:rsidRPr="00C33979">
              <w:rPr>
                <w:rFonts w:hint="eastAsia"/>
                <w:lang w:val="en-GB"/>
              </w:rPr>
              <w:t>_Men   x 100</w:t>
            </w:r>
          </w:p>
          <w:p w14:paraId="7CEA376B" w14:textId="77777777" w:rsidR="00E45009" w:rsidRDefault="00E45009" w:rsidP="00E45009">
            <w:pPr>
              <w:pStyle w:val="NoSpacing"/>
            </w:pPr>
          </w:p>
        </w:tc>
        <w:tc>
          <w:tcPr>
            <w:tcW w:w="0" w:type="auto"/>
            <w:shd w:val="clear" w:color="auto" w:fill="auto"/>
          </w:tcPr>
          <w:p w14:paraId="405CEC65" w14:textId="77777777" w:rsidR="00E45009" w:rsidRPr="00873FDE" w:rsidRDefault="00E45009" w:rsidP="00E45009">
            <w:r w:rsidRPr="00873FDE">
              <w:lastRenderedPageBreak/>
              <w:t>Household Survey</w:t>
            </w:r>
          </w:p>
        </w:tc>
        <w:tc>
          <w:tcPr>
            <w:tcW w:w="0" w:type="auto"/>
            <w:shd w:val="clear" w:color="auto" w:fill="auto"/>
          </w:tcPr>
          <w:p w14:paraId="47E5C784" w14:textId="77777777" w:rsidR="00E45009" w:rsidRPr="00873FDE" w:rsidRDefault="00E45009" w:rsidP="00E45009">
            <w:r w:rsidRPr="00873FDE">
              <w:t>Mainly National Statistical Offices, and in some cases Labour Ministries or other related agencies</w:t>
            </w:r>
          </w:p>
        </w:tc>
        <w:tc>
          <w:tcPr>
            <w:tcW w:w="0" w:type="auto"/>
            <w:shd w:val="clear" w:color="auto" w:fill="auto"/>
          </w:tcPr>
          <w:p w14:paraId="5523F136" w14:textId="77777777" w:rsidR="00E45009" w:rsidRDefault="00E45009" w:rsidP="00E45009">
            <w:pPr>
              <w:jc w:val="both"/>
              <w:rPr>
                <w:color w:val="0070C0"/>
                <w:sz w:val="48"/>
                <w:szCs w:val="48"/>
              </w:rPr>
            </w:pPr>
            <w:r>
              <w:t>BBS, LFS</w:t>
            </w:r>
          </w:p>
        </w:tc>
        <w:tc>
          <w:tcPr>
            <w:tcW w:w="0" w:type="auto"/>
            <w:shd w:val="clear" w:color="auto" w:fill="auto"/>
          </w:tcPr>
          <w:p w14:paraId="5EE991C9" w14:textId="77777777" w:rsidR="00E45009" w:rsidRDefault="00E45009" w:rsidP="00E45009">
            <w:pPr>
              <w:jc w:val="both"/>
              <w:rPr>
                <w:color w:val="0070C0"/>
                <w:sz w:val="48"/>
                <w:szCs w:val="48"/>
              </w:rPr>
            </w:pPr>
            <w:r>
              <w:t>BBS, QLFS</w:t>
            </w:r>
          </w:p>
        </w:tc>
        <w:tc>
          <w:tcPr>
            <w:tcW w:w="0" w:type="auto"/>
            <w:shd w:val="clear" w:color="auto" w:fill="auto"/>
            <w:vAlign w:val="center"/>
          </w:tcPr>
          <w:p w14:paraId="418ABECF" w14:textId="77777777" w:rsidR="00E45009" w:rsidRPr="002D65C7"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D65C7">
              <w:rPr>
                <w:rFonts w:ascii="Tw Cen MT Condensed" w:hAnsi="Tw Cen MT Condensed"/>
                <w:sz w:val="20"/>
                <w:szCs w:val="20"/>
              </w:rPr>
              <w:t>Sex: Female, Male</w:t>
            </w:r>
            <w:r>
              <w:rPr>
                <w:rFonts w:ascii="Tw Cen MT Condensed" w:hAnsi="Tw Cen MT Condensed"/>
                <w:sz w:val="20"/>
                <w:szCs w:val="20"/>
              </w:rPr>
              <w:t xml:space="preserve">, </w:t>
            </w:r>
            <w:r w:rsidRPr="002D65C7">
              <w:rPr>
                <w:rFonts w:ascii="Tw Cen MT Condensed" w:hAnsi="Tw Cen MT Condensed"/>
                <w:sz w:val="20"/>
                <w:szCs w:val="20"/>
              </w:rPr>
              <w:t>Both</w:t>
            </w:r>
          </w:p>
          <w:p w14:paraId="02C6EF88" w14:textId="77777777" w:rsidR="00E45009" w:rsidRPr="002D65C7"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D65C7">
              <w:rPr>
                <w:rFonts w:ascii="Tw Cen MT Condensed" w:hAnsi="Tw Cen MT Condensed"/>
                <w:sz w:val="20"/>
                <w:szCs w:val="20"/>
              </w:rPr>
              <w:t>Occupation: ICSO Classification</w:t>
            </w:r>
          </w:p>
          <w:p w14:paraId="24DFF033" w14:textId="77777777" w:rsidR="00E45009" w:rsidRPr="002D65C7"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Disability</w:t>
            </w:r>
          </w:p>
          <w:p w14:paraId="3E0EAC6C" w14:textId="77777777" w:rsidR="00E45009" w:rsidRDefault="00E45009" w:rsidP="00E45009">
            <w:pPr>
              <w:jc w:val="both"/>
              <w:rPr>
                <w:color w:val="0070C0"/>
                <w:sz w:val="48"/>
                <w:szCs w:val="48"/>
              </w:rPr>
            </w:pPr>
            <w:r>
              <w:rPr>
                <w:szCs w:val="20"/>
              </w:rPr>
              <w:t>Age</w:t>
            </w:r>
          </w:p>
        </w:tc>
        <w:tc>
          <w:tcPr>
            <w:tcW w:w="0" w:type="auto"/>
            <w:shd w:val="clear" w:color="auto" w:fill="auto"/>
          </w:tcPr>
          <w:p w14:paraId="53F9782F" w14:textId="77777777" w:rsidR="00E45009" w:rsidRDefault="00E45009" w:rsidP="00E45009">
            <w:pPr>
              <w:jc w:val="both"/>
              <w:rPr>
                <w:color w:val="0070C0"/>
                <w:sz w:val="48"/>
                <w:szCs w:val="48"/>
              </w:rPr>
            </w:pPr>
            <w:r w:rsidRPr="00BC6F10">
              <w:t>Triennial</w:t>
            </w:r>
          </w:p>
        </w:tc>
        <w:tc>
          <w:tcPr>
            <w:tcW w:w="0" w:type="auto"/>
            <w:shd w:val="clear" w:color="auto" w:fill="auto"/>
          </w:tcPr>
          <w:p w14:paraId="248491D2" w14:textId="77777777" w:rsidR="00E45009" w:rsidRDefault="00E45009" w:rsidP="00E45009">
            <w:pPr>
              <w:jc w:val="both"/>
              <w:rPr>
                <w:color w:val="0070C0"/>
                <w:sz w:val="48"/>
                <w:szCs w:val="48"/>
              </w:rPr>
            </w:pPr>
            <w:r>
              <w:t>Group 1</w:t>
            </w:r>
          </w:p>
        </w:tc>
        <w:tc>
          <w:tcPr>
            <w:tcW w:w="0" w:type="auto"/>
            <w:shd w:val="clear" w:color="auto" w:fill="auto"/>
          </w:tcPr>
          <w:p w14:paraId="0CDAEA9A" w14:textId="77777777" w:rsidR="00E45009" w:rsidRDefault="00E45009" w:rsidP="00E45009">
            <w:pPr>
              <w:pStyle w:val="NoSpacing"/>
            </w:pPr>
            <w:r>
              <w:t>1</w:t>
            </w:r>
            <w:r w:rsidRPr="00013ACB">
              <w:rPr>
                <w:vertAlign w:val="superscript"/>
              </w:rPr>
              <w:t>st</w:t>
            </w:r>
            <w:r>
              <w:t xml:space="preserve"> Round: </w:t>
            </w:r>
          </w:p>
          <w:p w14:paraId="4566CA18" w14:textId="77777777" w:rsidR="00E45009" w:rsidRDefault="00E45009" w:rsidP="00E45009">
            <w:pPr>
              <w:pStyle w:val="NoSpacing"/>
            </w:pPr>
            <w:r>
              <w:t>2016</w:t>
            </w:r>
          </w:p>
          <w:p w14:paraId="1363E4BF" w14:textId="77777777" w:rsidR="00E45009" w:rsidRDefault="00E45009" w:rsidP="00E45009">
            <w:pPr>
              <w:pStyle w:val="NoSpacing"/>
            </w:pPr>
            <w:r>
              <w:t>2</w:t>
            </w:r>
            <w:r w:rsidRPr="00013ACB">
              <w:rPr>
                <w:vertAlign w:val="superscript"/>
              </w:rPr>
              <w:t>nd</w:t>
            </w:r>
            <w:r>
              <w:t xml:space="preserve"> Round: </w:t>
            </w:r>
          </w:p>
          <w:p w14:paraId="7A4B27AF" w14:textId="77777777" w:rsidR="00E45009" w:rsidRDefault="00E45009" w:rsidP="00E45009">
            <w:pPr>
              <w:pStyle w:val="NoSpacing"/>
            </w:pPr>
            <w:r>
              <w:t>Decembe</w:t>
            </w:r>
            <w:r>
              <w:br/>
              <w:t>r 2020</w:t>
            </w:r>
          </w:p>
          <w:p w14:paraId="303E5C89" w14:textId="77777777" w:rsidR="00E45009" w:rsidRDefault="00E45009" w:rsidP="00E45009">
            <w:pPr>
              <w:pStyle w:val="NoSpacing"/>
            </w:pPr>
          </w:p>
          <w:p w14:paraId="6370C644" w14:textId="77777777" w:rsidR="00E45009" w:rsidRDefault="00E45009" w:rsidP="00E45009">
            <w:pPr>
              <w:pStyle w:val="NoSpacing"/>
            </w:pPr>
            <w:r>
              <w:t>3</w:t>
            </w:r>
            <w:r w:rsidRPr="00013ACB">
              <w:rPr>
                <w:vertAlign w:val="superscript"/>
              </w:rPr>
              <w:t>rd</w:t>
            </w:r>
            <w:r>
              <w:t xml:space="preserve"> Round: </w:t>
            </w:r>
          </w:p>
          <w:p w14:paraId="7872F804" w14:textId="77777777" w:rsidR="00E45009" w:rsidRDefault="00E45009" w:rsidP="00E45009">
            <w:pPr>
              <w:pStyle w:val="NoSpacing"/>
            </w:pPr>
            <w:r>
              <w:t>Decembe</w:t>
            </w:r>
            <w:r>
              <w:br/>
              <w:t>r 2023</w:t>
            </w:r>
          </w:p>
          <w:p w14:paraId="6DA19F12" w14:textId="77777777" w:rsidR="00E45009" w:rsidRDefault="00E45009" w:rsidP="00E45009">
            <w:pPr>
              <w:pStyle w:val="NoSpacing"/>
            </w:pPr>
          </w:p>
          <w:p w14:paraId="6C606BD9" w14:textId="77777777" w:rsidR="00E45009" w:rsidRDefault="00E45009" w:rsidP="00E45009">
            <w:pPr>
              <w:pStyle w:val="NoSpacing"/>
            </w:pPr>
            <w:r>
              <w:t>4</w:t>
            </w:r>
            <w:r w:rsidRPr="00013ACB">
              <w:rPr>
                <w:vertAlign w:val="superscript"/>
              </w:rPr>
              <w:t>th</w:t>
            </w:r>
            <w:r>
              <w:t xml:space="preserve"> Round: </w:t>
            </w:r>
          </w:p>
          <w:p w14:paraId="4A165CD7" w14:textId="77777777" w:rsidR="00E45009" w:rsidRDefault="00E45009" w:rsidP="00E45009">
            <w:pPr>
              <w:pStyle w:val="NoSpacing"/>
            </w:pPr>
            <w:r>
              <w:t>Decemb</w:t>
            </w:r>
            <w:r>
              <w:lastRenderedPageBreak/>
              <w:t>e</w:t>
            </w:r>
            <w:r>
              <w:br/>
              <w:t>r 2026</w:t>
            </w:r>
          </w:p>
          <w:p w14:paraId="56F48B6E" w14:textId="77777777" w:rsidR="00E45009" w:rsidRDefault="00E45009" w:rsidP="00E45009">
            <w:pPr>
              <w:pStyle w:val="NoSpacing"/>
            </w:pPr>
          </w:p>
          <w:p w14:paraId="7E95E74E" w14:textId="77777777" w:rsidR="00E45009" w:rsidRDefault="00E45009" w:rsidP="00E45009">
            <w:pPr>
              <w:pStyle w:val="NoSpacing"/>
            </w:pPr>
            <w:r>
              <w:t>5</w:t>
            </w:r>
            <w:r w:rsidRPr="00013ACB">
              <w:rPr>
                <w:vertAlign w:val="superscript"/>
              </w:rPr>
              <w:t>th</w:t>
            </w:r>
            <w:r>
              <w:t xml:space="preserve"> Round: </w:t>
            </w:r>
          </w:p>
          <w:p w14:paraId="57D78E33" w14:textId="77777777" w:rsidR="00E45009" w:rsidRDefault="00E45009" w:rsidP="00E45009">
            <w:pPr>
              <w:pStyle w:val="NoSpacing"/>
            </w:pPr>
            <w:r>
              <w:t>Decembe</w:t>
            </w:r>
            <w:r>
              <w:br/>
              <w:t>r 2029</w:t>
            </w:r>
          </w:p>
          <w:p w14:paraId="037725E7" w14:textId="6B28D1A8" w:rsidR="00E45009" w:rsidRPr="00CA542A" w:rsidRDefault="00E45009" w:rsidP="00E45009">
            <w:pPr>
              <w:pStyle w:val="NoSpacing"/>
            </w:pPr>
          </w:p>
        </w:tc>
        <w:tc>
          <w:tcPr>
            <w:tcW w:w="0" w:type="auto"/>
            <w:shd w:val="clear" w:color="auto" w:fill="auto"/>
          </w:tcPr>
          <w:p w14:paraId="0CF5CD90" w14:textId="77777777" w:rsidR="00E45009" w:rsidRDefault="00E45009" w:rsidP="00E45009">
            <w:pPr>
              <w:jc w:val="both"/>
              <w:rPr>
                <w:color w:val="0070C0"/>
                <w:sz w:val="48"/>
                <w:szCs w:val="48"/>
              </w:rPr>
            </w:pPr>
          </w:p>
        </w:tc>
      </w:tr>
      <w:tr w:rsidR="00E45009" w14:paraId="0958B4EA" w14:textId="77777777" w:rsidTr="0025292C">
        <w:tc>
          <w:tcPr>
            <w:tcW w:w="0" w:type="auto"/>
            <w:shd w:val="clear" w:color="auto" w:fill="auto"/>
          </w:tcPr>
          <w:p w14:paraId="24A560E3" w14:textId="77777777" w:rsidR="00E45009" w:rsidRDefault="00E45009" w:rsidP="00E45009">
            <w:pPr>
              <w:jc w:val="both"/>
              <w:rPr>
                <w:color w:val="0070C0"/>
                <w:sz w:val="48"/>
                <w:szCs w:val="48"/>
              </w:rPr>
            </w:pPr>
            <w:r w:rsidRPr="00F73727">
              <w:lastRenderedPageBreak/>
              <w:t>8.5.2 Unemployment rate, by sex, age and persons with disabilities</w:t>
            </w:r>
          </w:p>
        </w:tc>
        <w:tc>
          <w:tcPr>
            <w:tcW w:w="0" w:type="auto"/>
            <w:shd w:val="clear" w:color="auto" w:fill="auto"/>
          </w:tcPr>
          <w:p w14:paraId="77829DC8" w14:textId="77777777" w:rsidR="00E45009" w:rsidRDefault="00E45009" w:rsidP="00E45009">
            <w:pPr>
              <w:pStyle w:val="NoSpacing"/>
            </w:pPr>
          </w:p>
          <w:p w14:paraId="68EC0022" w14:textId="77777777" w:rsidR="00E45009" w:rsidRDefault="00E45009" w:rsidP="00E45009">
            <w:pPr>
              <w:jc w:val="both"/>
              <w:rPr>
                <w:color w:val="0070C0"/>
                <w:sz w:val="48"/>
                <w:szCs w:val="48"/>
              </w:rPr>
            </w:pPr>
            <w:r w:rsidRPr="00EE1D53">
              <w:t>ILO</w:t>
            </w:r>
          </w:p>
        </w:tc>
        <w:tc>
          <w:tcPr>
            <w:tcW w:w="0" w:type="auto"/>
            <w:shd w:val="clear" w:color="auto" w:fill="auto"/>
          </w:tcPr>
          <w:p w14:paraId="40CE0992" w14:textId="77777777" w:rsidR="00E45009" w:rsidRDefault="00E45009" w:rsidP="00E45009">
            <w:pPr>
              <w:jc w:val="both"/>
              <w:rPr>
                <w:color w:val="0070C0"/>
                <w:sz w:val="48"/>
                <w:szCs w:val="48"/>
              </w:rPr>
            </w:pPr>
            <w:r w:rsidRPr="00666486">
              <w:t>Tier I</w:t>
            </w:r>
          </w:p>
        </w:tc>
        <w:tc>
          <w:tcPr>
            <w:tcW w:w="0" w:type="auto"/>
            <w:shd w:val="clear" w:color="auto" w:fill="auto"/>
          </w:tcPr>
          <w:p w14:paraId="3B51EB20" w14:textId="77777777" w:rsidR="00E45009" w:rsidRPr="00A530FD" w:rsidRDefault="00E45009" w:rsidP="00E45009">
            <w:pPr>
              <w:pStyle w:val="NoSpacing"/>
              <w:rPr>
                <w:lang w:val="en-GB"/>
              </w:rPr>
            </w:pPr>
            <w:r w:rsidRPr="00A530FD">
              <w:rPr>
                <w:b/>
                <w:bCs/>
                <w:lang w:val="en-GB"/>
              </w:rPr>
              <w:t>Definition:</w:t>
            </w:r>
          </w:p>
          <w:p w14:paraId="50B5F03C" w14:textId="77777777" w:rsidR="00E45009" w:rsidRPr="00A530FD" w:rsidRDefault="00E45009" w:rsidP="00E45009">
            <w:pPr>
              <w:pStyle w:val="NoSpacing"/>
              <w:rPr>
                <w:lang w:val="en-GB"/>
              </w:rPr>
            </w:pPr>
            <w:r w:rsidRPr="00A530FD">
              <w:rPr>
                <w:lang w:val="en-GB"/>
              </w:rPr>
              <w:t>The unemployment rate conveys the percentage of persons in the labour force who are unemployed.</w:t>
            </w:r>
          </w:p>
          <w:p w14:paraId="6ECDFDD1" w14:textId="77777777" w:rsidR="00E45009" w:rsidRPr="00A530FD" w:rsidRDefault="00E45009" w:rsidP="00E45009">
            <w:pPr>
              <w:pStyle w:val="NoSpacing"/>
              <w:rPr>
                <w:b/>
                <w:bCs/>
                <w:lang w:val="en-GB"/>
              </w:rPr>
            </w:pPr>
          </w:p>
          <w:p w14:paraId="6F8F3AD3" w14:textId="77777777" w:rsidR="00E45009" w:rsidRPr="00A530FD" w:rsidRDefault="00E45009" w:rsidP="00E45009">
            <w:pPr>
              <w:pStyle w:val="NoSpacing"/>
              <w:rPr>
                <w:lang w:val="en-GB"/>
              </w:rPr>
            </w:pPr>
            <w:r w:rsidRPr="00A530FD">
              <w:rPr>
                <w:b/>
                <w:bCs/>
                <w:lang w:val="en-GB"/>
              </w:rPr>
              <w:t>Rationale:</w:t>
            </w:r>
          </w:p>
          <w:p w14:paraId="64D0B340" w14:textId="77777777" w:rsidR="00E45009" w:rsidRPr="00A530FD" w:rsidRDefault="00E45009" w:rsidP="00E45009">
            <w:pPr>
              <w:pStyle w:val="NoSpacing"/>
              <w:rPr>
                <w:lang w:val="en-GB"/>
              </w:rPr>
            </w:pPr>
            <w:r w:rsidRPr="00A530FD">
              <w:rPr>
                <w:lang w:val="en-GB"/>
              </w:rPr>
              <w:t>The unemployment rate is a useful measure of the underutilization of the labour supply. It reflects the inability of an economy to generate employment for those persons who want to work but are not doing so, even though they are available for employment and actively seeking work. It is thus seen as an indicator of the efficiency and effectiveness of an economy to absorb its labour force and of the performance of the labour market. Short-term time series of the unemployment rate can be used to signal changes in the business cycle; upward movements in the indicator often coincide with recessionary periods or in some cases with the beginning of an expansionary period as persons previously not in the labour market begin to test conditions through an active job search.</w:t>
            </w:r>
            <w:r w:rsidRPr="00A530FD">
              <w:rPr>
                <w:lang w:val="en-GB"/>
              </w:rPr>
              <w:cr/>
            </w:r>
          </w:p>
          <w:p w14:paraId="35798F2B" w14:textId="77777777" w:rsidR="00E45009" w:rsidRPr="00A530FD" w:rsidRDefault="00E45009" w:rsidP="00E45009">
            <w:pPr>
              <w:pStyle w:val="NoSpacing"/>
              <w:rPr>
                <w:lang w:val="en-GB"/>
              </w:rPr>
            </w:pPr>
            <w:r w:rsidRPr="00A530FD">
              <w:rPr>
                <w:b/>
                <w:bCs/>
                <w:lang w:val="en-GB"/>
              </w:rPr>
              <w:t>Concepts:</w:t>
            </w:r>
          </w:p>
          <w:p w14:paraId="13763433" w14:textId="77777777" w:rsidR="00E45009" w:rsidRPr="00A530FD" w:rsidRDefault="00E45009" w:rsidP="00E45009">
            <w:pPr>
              <w:pStyle w:val="NoSpacing"/>
              <w:rPr>
                <w:lang w:val="en-GB"/>
              </w:rPr>
            </w:pPr>
            <w:r w:rsidRPr="00A530FD">
              <w:rPr>
                <w:lang w:val="en-GB"/>
              </w:rPr>
              <w:t xml:space="preserve">Persons in unemployment are defined as all those of working age (usually persons aged 15 and above) who were not in employment, carried out activities to seek employment during a specified recent period and were currently available to take up employment given a job opportunity, where: (a) “not in employment” is assessed with respect to the short reference period for the measurement of employment; (b) to “seek employment” refers to any activity when carried out, during a specified recent period comprising the last four weeks or one month, for the purpose of finding a job or setting up a business or agricultural  undertaking; (c) the point when the enterprise starts to exist should be used to distinguish between search activities aimed at setting up a business and the work activity itself, as evidenced by the enterprise’s registration to operate or by when financial resources become available, the necessary infrastructure or materials are in place or the first client or order is received, depending on the context; (d) “currently available” serves as a test of readiness to start a job in the present, assessed with respect to a short reference period comprising that used to measure employment (depending on national circumstances, the reference period may be extended to include a short subsequent period not exceeding two weeks in total, so as to ensure adequate coverage of unemployment situations among different population groups). </w:t>
            </w:r>
          </w:p>
          <w:p w14:paraId="38BD3842" w14:textId="77777777" w:rsidR="00E45009" w:rsidRPr="00A530FD" w:rsidRDefault="00E45009" w:rsidP="00E45009">
            <w:pPr>
              <w:pStyle w:val="NoSpacing"/>
              <w:rPr>
                <w:lang w:val="en-GB"/>
              </w:rPr>
            </w:pPr>
          </w:p>
          <w:p w14:paraId="4E240A80" w14:textId="77777777" w:rsidR="00E45009" w:rsidRPr="00A530FD" w:rsidRDefault="00E45009" w:rsidP="00E45009">
            <w:pPr>
              <w:pStyle w:val="NoSpacing"/>
              <w:rPr>
                <w:lang w:val="en-GB"/>
              </w:rPr>
            </w:pPr>
            <w:r w:rsidRPr="00A530FD">
              <w:rPr>
                <w:lang w:val="en-GB"/>
              </w:rPr>
              <w:t>Persons in employment are defined as all those of working age (usually persons aged 15 and above) who, during a short reference period such as one week or one day, performed work for others in exchange for pay or profit.</w:t>
            </w:r>
          </w:p>
          <w:p w14:paraId="57B3B820" w14:textId="77777777" w:rsidR="00E45009" w:rsidRPr="00A530FD" w:rsidRDefault="00E45009" w:rsidP="00E45009">
            <w:pPr>
              <w:pStyle w:val="NoSpacing"/>
              <w:rPr>
                <w:lang w:val="en-GB"/>
              </w:rPr>
            </w:pPr>
          </w:p>
          <w:p w14:paraId="24AB857C" w14:textId="77777777" w:rsidR="00E45009" w:rsidRPr="00A530FD" w:rsidRDefault="00E45009" w:rsidP="00E45009">
            <w:pPr>
              <w:pStyle w:val="NoSpacing"/>
              <w:rPr>
                <w:lang w:val="en-GB"/>
              </w:rPr>
            </w:pPr>
            <w:r w:rsidRPr="00A530FD">
              <w:rPr>
                <w:lang w:val="en-GB"/>
              </w:rPr>
              <w:lastRenderedPageBreak/>
              <w:t>The labour force corresponds to the sum of persons in employment and in unemployment</w:t>
            </w:r>
            <w:r w:rsidRPr="00A530FD">
              <w:rPr>
                <w:lang w:val="en-GB"/>
              </w:rPr>
              <w:cr/>
            </w:r>
          </w:p>
          <w:p w14:paraId="632CA210" w14:textId="77777777" w:rsidR="00E45009" w:rsidRPr="00A530FD" w:rsidRDefault="00E45009" w:rsidP="00E45009">
            <w:pPr>
              <w:pStyle w:val="NoSpacing"/>
              <w:rPr>
                <w:lang w:val="en-GB"/>
              </w:rPr>
            </w:pPr>
            <w:r w:rsidRPr="00A530FD">
              <w:rPr>
                <w:lang w:val="en-GB"/>
              </w:rPr>
              <w:t>For more information on the definitions of employment and unemployment refer to the Resolution concerning statistics of work, employment and labour underutilization Adopted by the 19</w:t>
            </w:r>
            <w:r w:rsidRPr="00A530FD">
              <w:rPr>
                <w:vertAlign w:val="superscript"/>
                <w:lang w:val="en-GB"/>
              </w:rPr>
              <w:t>th</w:t>
            </w:r>
            <w:r w:rsidRPr="00A530FD">
              <w:rPr>
                <w:lang w:val="en-GB"/>
              </w:rPr>
              <w:t xml:space="preserve"> International Conference of Labour Statisticians.</w:t>
            </w:r>
          </w:p>
          <w:p w14:paraId="42522C9C" w14:textId="77777777" w:rsidR="00E45009" w:rsidRPr="00A530FD" w:rsidRDefault="00E45009" w:rsidP="00E45009">
            <w:pPr>
              <w:pStyle w:val="NoSpacing"/>
              <w:rPr>
                <w:lang w:val="en-GB"/>
              </w:rPr>
            </w:pPr>
          </w:p>
          <w:p w14:paraId="65862C9E" w14:textId="77777777" w:rsidR="00E45009" w:rsidRPr="00A530FD" w:rsidRDefault="00E45009" w:rsidP="00E45009">
            <w:pPr>
              <w:pStyle w:val="NoSpacing"/>
              <w:rPr>
                <w:lang w:val="en-GB"/>
              </w:rPr>
            </w:pPr>
            <w:r w:rsidRPr="00A530FD">
              <w:rPr>
                <w:b/>
                <w:bCs/>
                <w:lang w:val="en-GB"/>
              </w:rPr>
              <w:t>Comments and limitations:</w:t>
            </w:r>
          </w:p>
          <w:p w14:paraId="676AA255" w14:textId="77777777" w:rsidR="00E45009" w:rsidRPr="00A530FD" w:rsidRDefault="00E45009" w:rsidP="00E45009">
            <w:pPr>
              <w:pStyle w:val="NoSpacing"/>
              <w:rPr>
                <w:lang w:val="en-GB"/>
              </w:rPr>
            </w:pPr>
            <w:r w:rsidRPr="00A530FD">
              <w:rPr>
                <w:lang w:val="en-GB"/>
              </w:rPr>
              <w:t>Even though in most developed countries the unemployment rate continues to prove its usefulness as an important indicator of labour market performance, and specifically, as a key measure of labour underutilisation, in many developing countries, however, the significance and meaning of the unemployment rate could be questioned. In the absence of unemployment insurance systems or social safety nets, persons of working age must avoid unemployment, resorting to engaging in some form of economic activity, however insignificant or inadequate. Thus, in this context, other measures should supplement the unemployment rate to comprehensively assess labour underutilization.</w:t>
            </w:r>
          </w:p>
          <w:p w14:paraId="00E2772A" w14:textId="77777777" w:rsidR="00E45009" w:rsidRPr="00A530FD" w:rsidRDefault="00E45009" w:rsidP="00E45009">
            <w:pPr>
              <w:pStyle w:val="NoSpacing"/>
              <w:rPr>
                <w:lang w:val="en-GB"/>
              </w:rPr>
            </w:pPr>
          </w:p>
          <w:p w14:paraId="0B024966" w14:textId="77777777" w:rsidR="00E45009" w:rsidRPr="00A530FD" w:rsidRDefault="00E45009" w:rsidP="00E45009">
            <w:pPr>
              <w:pStyle w:val="NoSpacing"/>
              <w:rPr>
                <w:lang w:val="en-GB"/>
              </w:rPr>
            </w:pPr>
            <w:r w:rsidRPr="00A530FD">
              <w:rPr>
                <w:lang w:val="en-GB"/>
              </w:rPr>
              <w:t>Methodology</w:t>
            </w:r>
          </w:p>
          <w:p w14:paraId="71C677F0" w14:textId="77777777" w:rsidR="00E45009" w:rsidRPr="00A530FD" w:rsidRDefault="00E45009" w:rsidP="00E45009">
            <w:pPr>
              <w:pStyle w:val="NoSpacing"/>
              <w:rPr>
                <w:b/>
                <w:bCs/>
                <w:lang w:val="en-GB"/>
              </w:rPr>
            </w:pPr>
          </w:p>
          <w:p w14:paraId="65F42C22" w14:textId="77777777" w:rsidR="00E45009" w:rsidRPr="00A530FD" w:rsidRDefault="00E45009" w:rsidP="00E45009">
            <w:pPr>
              <w:pStyle w:val="NoSpacing"/>
              <w:rPr>
                <w:lang w:val="en-GB"/>
              </w:rPr>
            </w:pPr>
            <w:r w:rsidRPr="00A530FD">
              <w:rPr>
                <w:b/>
                <w:bCs/>
                <w:lang w:val="en-GB"/>
              </w:rPr>
              <w:t>Computation Method:</w:t>
            </w:r>
          </w:p>
          <w:p w14:paraId="634DF2D6" w14:textId="77777777" w:rsidR="00E45009" w:rsidRPr="00A530FD" w:rsidRDefault="00E45009" w:rsidP="00E45009">
            <w:pPr>
              <w:pStyle w:val="NoSpacing"/>
              <w:rPr>
                <w:lang w:val="en-GB"/>
              </w:rPr>
            </w:pPr>
            <m:oMathPara>
              <m:oMath>
                <m:r>
                  <m:rPr>
                    <m:sty m:val="p"/>
                  </m:rPr>
                  <w:rPr>
                    <w:rFonts w:ascii="Cambria Math" w:hAnsi="Cambria Math"/>
                    <w:lang w:val="en-GB"/>
                  </w:rPr>
                  <m:t xml:space="preserve">Unemployment rate= </m:t>
                </m:r>
                <m:f>
                  <m:fPr>
                    <m:ctrlPr>
                      <w:rPr>
                        <w:rFonts w:ascii="Cambria Math" w:hAnsi="Cambria Math"/>
                        <w:lang w:val="en-GB"/>
                      </w:rPr>
                    </m:ctrlPr>
                  </m:fPr>
                  <m:num>
                    <m:r>
                      <m:rPr>
                        <m:sty m:val="p"/>
                      </m:rPr>
                      <w:rPr>
                        <w:rFonts w:ascii="Cambria Math" w:hAnsi="Cambria Math"/>
                        <w:lang w:val="en-GB"/>
                      </w:rPr>
                      <m:t>Total unemployment</m:t>
                    </m:r>
                  </m:num>
                  <m:den>
                    <m:r>
                      <m:rPr>
                        <m:sty m:val="p"/>
                      </m:rPr>
                      <w:rPr>
                        <w:rFonts w:ascii="Cambria Math" w:hAnsi="Cambria Math"/>
                        <w:lang w:val="en-GB"/>
                      </w:rPr>
                      <m:t>Total labour force</m:t>
                    </m:r>
                  </m:den>
                </m:f>
                <m:r>
                  <w:rPr>
                    <w:rFonts w:ascii="Cambria Math" w:hAnsi="Cambria Math"/>
                    <w:lang w:val="en-GB"/>
                  </w:rPr>
                  <m:t xml:space="preserve"> ×100</m:t>
                </m:r>
              </m:oMath>
            </m:oMathPara>
          </w:p>
          <w:p w14:paraId="4069D774" w14:textId="77777777" w:rsidR="00E45009" w:rsidRDefault="00E45009" w:rsidP="00E45009">
            <w:pPr>
              <w:pStyle w:val="NoSpacing"/>
              <w:rPr>
                <w:lang w:bidi="bn-BD"/>
              </w:rPr>
            </w:pPr>
            <w:r>
              <w:rPr>
                <w:rFonts w:hint="cs"/>
                <w:cs/>
                <w:lang w:bidi="bn-BD"/>
              </w:rPr>
              <w:t xml:space="preserve">  </w:t>
            </w:r>
          </w:p>
        </w:tc>
        <w:tc>
          <w:tcPr>
            <w:tcW w:w="0" w:type="auto"/>
            <w:shd w:val="clear" w:color="auto" w:fill="auto"/>
          </w:tcPr>
          <w:p w14:paraId="377B6392" w14:textId="77777777" w:rsidR="00E45009" w:rsidRPr="00873FDE" w:rsidRDefault="00E45009" w:rsidP="00E45009">
            <w:r w:rsidRPr="00873FDE">
              <w:lastRenderedPageBreak/>
              <w:t>Household Survey</w:t>
            </w:r>
          </w:p>
        </w:tc>
        <w:tc>
          <w:tcPr>
            <w:tcW w:w="0" w:type="auto"/>
            <w:shd w:val="clear" w:color="auto" w:fill="auto"/>
          </w:tcPr>
          <w:p w14:paraId="13A79722" w14:textId="77777777" w:rsidR="00E45009" w:rsidRPr="00873FDE" w:rsidRDefault="00E45009" w:rsidP="00E45009">
            <w:r w:rsidRPr="00873FDE">
              <w:t>Mainly National Statistical Offices, and in some cases Labour Ministries or other related agencies</w:t>
            </w:r>
          </w:p>
        </w:tc>
        <w:tc>
          <w:tcPr>
            <w:tcW w:w="0" w:type="auto"/>
            <w:shd w:val="clear" w:color="auto" w:fill="auto"/>
          </w:tcPr>
          <w:p w14:paraId="1F5DA495" w14:textId="77777777" w:rsidR="00E45009" w:rsidRDefault="00E45009" w:rsidP="00E45009">
            <w:pPr>
              <w:jc w:val="both"/>
              <w:rPr>
                <w:color w:val="0070C0"/>
                <w:sz w:val="48"/>
                <w:szCs w:val="48"/>
              </w:rPr>
            </w:pPr>
            <w:r>
              <w:t>BBS, LFS</w:t>
            </w:r>
          </w:p>
        </w:tc>
        <w:tc>
          <w:tcPr>
            <w:tcW w:w="0" w:type="auto"/>
            <w:shd w:val="clear" w:color="auto" w:fill="auto"/>
          </w:tcPr>
          <w:p w14:paraId="667FA891" w14:textId="77777777" w:rsidR="00E45009" w:rsidRDefault="00E45009" w:rsidP="00E45009">
            <w:pPr>
              <w:jc w:val="both"/>
              <w:rPr>
                <w:color w:val="0070C0"/>
                <w:sz w:val="48"/>
                <w:szCs w:val="48"/>
              </w:rPr>
            </w:pPr>
            <w:r>
              <w:t>BBS, QLFS/PHC</w:t>
            </w:r>
          </w:p>
        </w:tc>
        <w:tc>
          <w:tcPr>
            <w:tcW w:w="0" w:type="auto"/>
            <w:shd w:val="clear" w:color="auto" w:fill="auto"/>
          </w:tcPr>
          <w:p w14:paraId="4A72A49B" w14:textId="77777777" w:rsidR="00E45009" w:rsidRPr="00191586"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 xml:space="preserve">sex: </w:t>
            </w:r>
            <w:r w:rsidRPr="002D65C7">
              <w:rPr>
                <w:rFonts w:ascii="Tw Cen MT Condensed" w:hAnsi="Tw Cen MT Condensed"/>
                <w:sz w:val="20"/>
                <w:szCs w:val="20"/>
              </w:rPr>
              <w:t>female, male</w:t>
            </w:r>
            <w:r>
              <w:rPr>
                <w:rFonts w:ascii="Tw Cen MT Condensed" w:hAnsi="Tw Cen MT Condensed"/>
                <w:sz w:val="20"/>
                <w:szCs w:val="20"/>
              </w:rPr>
              <w:t xml:space="preserve">, </w:t>
            </w:r>
            <w:r w:rsidRPr="002D65C7">
              <w:rPr>
                <w:rFonts w:ascii="Tw Cen MT Condensed" w:hAnsi="Tw Cen MT Condensed"/>
                <w:sz w:val="20"/>
                <w:szCs w:val="20"/>
              </w:rPr>
              <w:t>both</w:t>
            </w:r>
          </w:p>
          <w:p w14:paraId="2B21B7A9" w14:textId="77777777" w:rsidR="00E45009" w:rsidRPr="00191586"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191586">
              <w:rPr>
                <w:rFonts w:ascii="Tw Cen MT Condensed" w:hAnsi="Tw Cen MT Condensed"/>
                <w:sz w:val="20"/>
                <w:szCs w:val="20"/>
              </w:rPr>
              <w:t>age: 15-24, 15 and older</w:t>
            </w:r>
            <w:r>
              <w:rPr>
                <w:rFonts w:ascii="Tw Cen MT Condensed" w:hAnsi="Tw Cen MT Condensed"/>
                <w:sz w:val="20"/>
                <w:szCs w:val="20"/>
              </w:rPr>
              <w:t xml:space="preserve">, </w:t>
            </w:r>
            <w:r w:rsidRPr="00191586">
              <w:rPr>
                <w:rFonts w:ascii="Tw Cen MT Condensed" w:hAnsi="Tw Cen MT Condensed"/>
                <w:sz w:val="20"/>
                <w:szCs w:val="20"/>
              </w:rPr>
              <w:t>25 and older</w:t>
            </w:r>
          </w:p>
          <w:p w14:paraId="478F90B5" w14:textId="5F512DCE" w:rsidR="00E45009" w:rsidRPr="00191586"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disability</w:t>
            </w:r>
            <w:r w:rsidR="000E04CC">
              <w:rPr>
                <w:rFonts w:ascii="Tw Cen MT Condensed" w:hAnsi="Tw Cen MT Condensed"/>
                <w:sz w:val="20"/>
                <w:szCs w:val="20"/>
              </w:rPr>
              <w:t>: Disable/ Non Disable</w:t>
            </w:r>
          </w:p>
          <w:p w14:paraId="69AF4013" w14:textId="77777777" w:rsidR="00E45009" w:rsidRDefault="00E45009" w:rsidP="00E45009">
            <w:pPr>
              <w:jc w:val="both"/>
              <w:rPr>
                <w:color w:val="0070C0"/>
                <w:sz w:val="48"/>
                <w:szCs w:val="48"/>
              </w:rPr>
            </w:pPr>
          </w:p>
        </w:tc>
        <w:tc>
          <w:tcPr>
            <w:tcW w:w="0" w:type="auto"/>
            <w:shd w:val="clear" w:color="auto" w:fill="auto"/>
          </w:tcPr>
          <w:p w14:paraId="033A0E52" w14:textId="77777777" w:rsidR="00E45009" w:rsidRDefault="00E45009" w:rsidP="00E45009">
            <w:pPr>
              <w:jc w:val="both"/>
              <w:rPr>
                <w:color w:val="0070C0"/>
                <w:sz w:val="48"/>
                <w:szCs w:val="48"/>
              </w:rPr>
            </w:pPr>
            <w:r w:rsidRPr="00BC6F10">
              <w:t>Triennial</w:t>
            </w:r>
          </w:p>
        </w:tc>
        <w:tc>
          <w:tcPr>
            <w:tcW w:w="0" w:type="auto"/>
            <w:shd w:val="clear" w:color="auto" w:fill="auto"/>
          </w:tcPr>
          <w:p w14:paraId="6544051A" w14:textId="77777777" w:rsidR="00E45009" w:rsidRDefault="00E45009" w:rsidP="00E45009">
            <w:pPr>
              <w:jc w:val="both"/>
              <w:rPr>
                <w:color w:val="0070C0"/>
                <w:sz w:val="48"/>
                <w:szCs w:val="48"/>
              </w:rPr>
            </w:pPr>
            <w:r>
              <w:t>Group 1</w:t>
            </w:r>
          </w:p>
        </w:tc>
        <w:tc>
          <w:tcPr>
            <w:tcW w:w="0" w:type="auto"/>
            <w:shd w:val="clear" w:color="auto" w:fill="auto"/>
          </w:tcPr>
          <w:p w14:paraId="7D84A1D1" w14:textId="77777777" w:rsidR="00E45009" w:rsidRDefault="00E45009" w:rsidP="00E45009">
            <w:pPr>
              <w:pStyle w:val="NoSpacing"/>
            </w:pPr>
            <w:r>
              <w:t>1</w:t>
            </w:r>
            <w:r w:rsidRPr="00013ACB">
              <w:rPr>
                <w:vertAlign w:val="superscript"/>
              </w:rPr>
              <w:t>st</w:t>
            </w:r>
            <w:r>
              <w:t xml:space="preserve"> Round: </w:t>
            </w:r>
          </w:p>
          <w:p w14:paraId="6440CAEE" w14:textId="77777777" w:rsidR="00E45009" w:rsidRDefault="00E45009" w:rsidP="00E45009">
            <w:pPr>
              <w:pStyle w:val="NoSpacing"/>
            </w:pPr>
            <w:r>
              <w:t>2016</w:t>
            </w:r>
          </w:p>
          <w:p w14:paraId="24B5FDFB" w14:textId="77777777" w:rsidR="00E45009" w:rsidRDefault="00E45009" w:rsidP="00E45009">
            <w:pPr>
              <w:pStyle w:val="NoSpacing"/>
            </w:pPr>
            <w:r>
              <w:t>2</w:t>
            </w:r>
            <w:r w:rsidRPr="00013ACB">
              <w:rPr>
                <w:vertAlign w:val="superscript"/>
              </w:rPr>
              <w:t>nd</w:t>
            </w:r>
            <w:r>
              <w:t xml:space="preserve"> Round: </w:t>
            </w:r>
          </w:p>
          <w:p w14:paraId="74DD40C6" w14:textId="77777777" w:rsidR="00E45009" w:rsidRDefault="00E45009" w:rsidP="00E45009">
            <w:pPr>
              <w:pStyle w:val="NoSpacing"/>
            </w:pPr>
            <w:r>
              <w:t>Decembe</w:t>
            </w:r>
            <w:r>
              <w:br/>
              <w:t>r 2020</w:t>
            </w:r>
          </w:p>
          <w:p w14:paraId="670AEDC7" w14:textId="77777777" w:rsidR="00E45009" w:rsidRDefault="00E45009" w:rsidP="00E45009">
            <w:pPr>
              <w:pStyle w:val="NoSpacing"/>
            </w:pPr>
          </w:p>
          <w:p w14:paraId="2950E341" w14:textId="77777777" w:rsidR="00E45009" w:rsidRDefault="00E45009" w:rsidP="00E45009">
            <w:pPr>
              <w:pStyle w:val="NoSpacing"/>
            </w:pPr>
            <w:r>
              <w:t>3</w:t>
            </w:r>
            <w:r w:rsidRPr="00013ACB">
              <w:rPr>
                <w:vertAlign w:val="superscript"/>
              </w:rPr>
              <w:t>rd</w:t>
            </w:r>
            <w:r>
              <w:t xml:space="preserve"> Round: </w:t>
            </w:r>
          </w:p>
          <w:p w14:paraId="1F2B0709" w14:textId="77777777" w:rsidR="00E45009" w:rsidRDefault="00E45009" w:rsidP="00E45009">
            <w:pPr>
              <w:pStyle w:val="NoSpacing"/>
            </w:pPr>
            <w:r>
              <w:t>Decembe</w:t>
            </w:r>
            <w:r>
              <w:br/>
              <w:t>r 2023</w:t>
            </w:r>
          </w:p>
          <w:p w14:paraId="50B9B69D" w14:textId="77777777" w:rsidR="00E45009" w:rsidRDefault="00E45009" w:rsidP="00E45009">
            <w:pPr>
              <w:pStyle w:val="NoSpacing"/>
            </w:pPr>
          </w:p>
          <w:p w14:paraId="7F9F96C6" w14:textId="77777777" w:rsidR="00E45009" w:rsidRDefault="00E45009" w:rsidP="00E45009">
            <w:pPr>
              <w:pStyle w:val="NoSpacing"/>
            </w:pPr>
            <w:r>
              <w:t>4</w:t>
            </w:r>
            <w:r w:rsidRPr="00013ACB">
              <w:rPr>
                <w:vertAlign w:val="superscript"/>
              </w:rPr>
              <w:t>th</w:t>
            </w:r>
            <w:r>
              <w:t xml:space="preserve"> Round: </w:t>
            </w:r>
          </w:p>
          <w:p w14:paraId="28681FCB" w14:textId="77777777" w:rsidR="00E45009" w:rsidRDefault="00E45009" w:rsidP="00E45009">
            <w:pPr>
              <w:pStyle w:val="NoSpacing"/>
            </w:pPr>
            <w:r>
              <w:t>Decembe</w:t>
            </w:r>
            <w:r>
              <w:br/>
              <w:t>r 2026</w:t>
            </w:r>
          </w:p>
          <w:p w14:paraId="3D987DF2" w14:textId="77777777" w:rsidR="00E45009" w:rsidRDefault="00E45009" w:rsidP="00E45009">
            <w:pPr>
              <w:pStyle w:val="NoSpacing"/>
            </w:pPr>
          </w:p>
          <w:p w14:paraId="1E248688" w14:textId="77777777" w:rsidR="00E45009" w:rsidRDefault="00E45009" w:rsidP="00E45009">
            <w:pPr>
              <w:pStyle w:val="NoSpacing"/>
            </w:pPr>
            <w:r>
              <w:t>5</w:t>
            </w:r>
            <w:r w:rsidRPr="00013ACB">
              <w:rPr>
                <w:vertAlign w:val="superscript"/>
              </w:rPr>
              <w:t>th</w:t>
            </w:r>
            <w:r>
              <w:t xml:space="preserve"> Round: </w:t>
            </w:r>
          </w:p>
          <w:p w14:paraId="7A49CC2B" w14:textId="17FFFF90" w:rsidR="00E45009" w:rsidRDefault="00E45009" w:rsidP="00E45009">
            <w:pPr>
              <w:pStyle w:val="NoSpacing"/>
            </w:pPr>
            <w:r>
              <w:t>Decembe</w:t>
            </w:r>
            <w:r>
              <w:br/>
              <w:t>r 2029</w:t>
            </w:r>
          </w:p>
        </w:tc>
        <w:tc>
          <w:tcPr>
            <w:tcW w:w="0" w:type="auto"/>
            <w:shd w:val="clear" w:color="auto" w:fill="auto"/>
          </w:tcPr>
          <w:p w14:paraId="7C2A99BC" w14:textId="77777777" w:rsidR="00E45009" w:rsidRDefault="00E45009" w:rsidP="00E45009">
            <w:pPr>
              <w:jc w:val="both"/>
              <w:rPr>
                <w:color w:val="0070C0"/>
                <w:sz w:val="48"/>
                <w:szCs w:val="48"/>
              </w:rPr>
            </w:pPr>
          </w:p>
        </w:tc>
      </w:tr>
      <w:tr w:rsidR="00E45009" w14:paraId="33AD5C9D" w14:textId="77777777" w:rsidTr="0025292C">
        <w:tc>
          <w:tcPr>
            <w:tcW w:w="0" w:type="auto"/>
            <w:gridSpan w:val="13"/>
            <w:shd w:val="clear" w:color="auto" w:fill="auto"/>
          </w:tcPr>
          <w:p w14:paraId="2B2132FA" w14:textId="77777777" w:rsidR="00E45009" w:rsidRDefault="00E45009" w:rsidP="00E45009">
            <w:pPr>
              <w:jc w:val="both"/>
              <w:rPr>
                <w:color w:val="0070C0"/>
                <w:sz w:val="48"/>
                <w:szCs w:val="48"/>
              </w:rPr>
            </w:pPr>
            <w:r>
              <w:rPr>
                <w:color w:val="0070C0"/>
                <w:sz w:val="30"/>
                <w:szCs w:val="30"/>
              </w:rPr>
              <w:lastRenderedPageBreak/>
              <w:t xml:space="preserve">Target </w:t>
            </w:r>
            <w:r w:rsidRPr="006429A5">
              <w:rPr>
                <w:color w:val="0070C0"/>
                <w:sz w:val="30"/>
                <w:szCs w:val="30"/>
              </w:rPr>
              <w:t>8.6 By 2020, substantially reduce the proportion of youth not in employment, education or training</w:t>
            </w:r>
          </w:p>
        </w:tc>
      </w:tr>
      <w:tr w:rsidR="00E45009" w14:paraId="3C8BF8CF" w14:textId="77777777" w:rsidTr="0025292C">
        <w:tc>
          <w:tcPr>
            <w:tcW w:w="0" w:type="auto"/>
            <w:shd w:val="clear" w:color="auto" w:fill="auto"/>
          </w:tcPr>
          <w:p w14:paraId="1CC6CAEE" w14:textId="77777777" w:rsidR="00E45009" w:rsidRDefault="00E45009" w:rsidP="00E45009">
            <w:pPr>
              <w:jc w:val="both"/>
              <w:rPr>
                <w:color w:val="0070C0"/>
                <w:sz w:val="48"/>
                <w:szCs w:val="48"/>
              </w:rPr>
            </w:pPr>
            <w:r w:rsidRPr="00F73727">
              <w:t>8.6.1 Proportion of youth (aged 15–24 years) not in education, employment or training</w:t>
            </w:r>
          </w:p>
        </w:tc>
        <w:tc>
          <w:tcPr>
            <w:tcW w:w="0" w:type="auto"/>
            <w:shd w:val="clear" w:color="auto" w:fill="auto"/>
          </w:tcPr>
          <w:p w14:paraId="1163C26A" w14:textId="77777777" w:rsidR="00E45009" w:rsidRDefault="00E45009" w:rsidP="00E45009">
            <w:pPr>
              <w:ind w:left="970" w:hanging="970"/>
              <w:jc w:val="both"/>
              <w:rPr>
                <w:color w:val="0070C0"/>
                <w:sz w:val="30"/>
                <w:szCs w:val="30"/>
              </w:rPr>
            </w:pPr>
          </w:p>
          <w:p w14:paraId="3B260798" w14:textId="77777777" w:rsidR="00E45009" w:rsidRDefault="00E45009" w:rsidP="00E45009">
            <w:pPr>
              <w:jc w:val="both"/>
              <w:rPr>
                <w:color w:val="0070C0"/>
                <w:sz w:val="48"/>
                <w:szCs w:val="48"/>
              </w:rPr>
            </w:pPr>
            <w:r w:rsidRPr="00EE1D53">
              <w:t>ILO</w:t>
            </w:r>
          </w:p>
        </w:tc>
        <w:tc>
          <w:tcPr>
            <w:tcW w:w="0" w:type="auto"/>
            <w:shd w:val="clear" w:color="auto" w:fill="auto"/>
          </w:tcPr>
          <w:p w14:paraId="3CFE16B4" w14:textId="77777777" w:rsidR="00E45009" w:rsidRDefault="00E45009" w:rsidP="00E45009">
            <w:pPr>
              <w:jc w:val="both"/>
              <w:rPr>
                <w:color w:val="0070C0"/>
                <w:sz w:val="48"/>
                <w:szCs w:val="48"/>
              </w:rPr>
            </w:pPr>
            <w:r w:rsidRPr="00666486">
              <w:t>Tier I</w:t>
            </w:r>
          </w:p>
        </w:tc>
        <w:tc>
          <w:tcPr>
            <w:tcW w:w="0" w:type="auto"/>
            <w:shd w:val="clear" w:color="auto" w:fill="auto"/>
          </w:tcPr>
          <w:p w14:paraId="7AB9D1FA" w14:textId="77777777" w:rsidR="00E45009" w:rsidRPr="00763738" w:rsidRDefault="00E45009" w:rsidP="00E45009">
            <w:pPr>
              <w:pStyle w:val="NoSpacing"/>
              <w:rPr>
                <w:lang w:val="en-GB"/>
              </w:rPr>
            </w:pPr>
            <w:r w:rsidRPr="00763738">
              <w:rPr>
                <w:b/>
                <w:bCs/>
                <w:lang w:val="en-GB"/>
              </w:rPr>
              <w:t>Definition:</w:t>
            </w:r>
          </w:p>
          <w:p w14:paraId="45B954D0" w14:textId="77777777" w:rsidR="00E45009" w:rsidRPr="00763738" w:rsidRDefault="00E45009" w:rsidP="00E45009">
            <w:pPr>
              <w:pStyle w:val="NoSpacing"/>
              <w:rPr>
                <w:lang w:val="en-GB"/>
              </w:rPr>
            </w:pPr>
            <w:r w:rsidRPr="00763738">
              <w:rPr>
                <w:lang w:val="en-GB"/>
              </w:rPr>
              <w:t>This indicator conveys the proportion of youth (aged 15-24 years) not in education, employment or training (also known as "the youth NEET rate").</w:t>
            </w:r>
          </w:p>
          <w:p w14:paraId="71F7861A" w14:textId="77777777" w:rsidR="00E45009" w:rsidRPr="00763738" w:rsidRDefault="00E45009" w:rsidP="00E45009">
            <w:pPr>
              <w:pStyle w:val="NoSpacing"/>
              <w:rPr>
                <w:b/>
                <w:bCs/>
                <w:lang w:val="en-GB"/>
              </w:rPr>
            </w:pPr>
          </w:p>
          <w:p w14:paraId="3FE08BC8" w14:textId="77777777" w:rsidR="00E45009" w:rsidRPr="00763738" w:rsidRDefault="00E45009" w:rsidP="00E45009">
            <w:pPr>
              <w:pStyle w:val="NoSpacing"/>
              <w:rPr>
                <w:lang w:val="en-GB"/>
              </w:rPr>
            </w:pPr>
            <w:r w:rsidRPr="00763738">
              <w:rPr>
                <w:b/>
                <w:bCs/>
                <w:lang w:val="en-GB"/>
              </w:rPr>
              <w:t>Rationale:</w:t>
            </w:r>
          </w:p>
          <w:p w14:paraId="245F46B5" w14:textId="77777777" w:rsidR="00E45009" w:rsidRPr="00763738" w:rsidRDefault="00E45009" w:rsidP="00E45009">
            <w:pPr>
              <w:pStyle w:val="NoSpacing"/>
              <w:rPr>
                <w:lang w:val="en-GB"/>
              </w:rPr>
            </w:pPr>
            <w:r w:rsidRPr="00763738">
              <w:rPr>
                <w:lang w:val="en-GB"/>
              </w:rPr>
              <w:t>The share of youth not in employment, education or training (youth NEET rate) provides a measure of youth who are outside the educational system, not in training and not in employment, and thus serves as a broader measure of potential youth labour market entrants than youth unemployment. It includes discouraged worker youth as well as those who are outside the labour force due to disability and engagement in household chores, among other reasons. NEET is also a better measure of the current universe of potential youth labour market entrants as compared with the youth inactivity rate, as the latter includes those youth who are outside the labour force and are in education, and thus are furthering their skills and qualifications.</w:t>
            </w:r>
            <w:r w:rsidRPr="00763738">
              <w:rPr>
                <w:lang w:val="en-GB"/>
              </w:rPr>
              <w:cr/>
            </w:r>
          </w:p>
          <w:p w14:paraId="7628596E" w14:textId="77777777" w:rsidR="00E45009" w:rsidRPr="00763738" w:rsidRDefault="00E45009" w:rsidP="00E45009">
            <w:pPr>
              <w:pStyle w:val="NoSpacing"/>
              <w:rPr>
                <w:lang w:val="en-GB"/>
              </w:rPr>
            </w:pPr>
            <w:r w:rsidRPr="00763738">
              <w:rPr>
                <w:b/>
                <w:bCs/>
                <w:lang w:val="en-GB"/>
              </w:rPr>
              <w:t>Concepts:</w:t>
            </w:r>
          </w:p>
          <w:p w14:paraId="04FBBC56" w14:textId="77777777" w:rsidR="00E45009" w:rsidRPr="00763738" w:rsidRDefault="00E45009" w:rsidP="00E45009">
            <w:pPr>
              <w:pStyle w:val="NoSpacing"/>
              <w:rPr>
                <w:lang w:val="en-GB"/>
              </w:rPr>
            </w:pPr>
            <w:r w:rsidRPr="00763738">
              <w:rPr>
                <w:lang w:val="en-GB"/>
              </w:rPr>
              <w:t>For the purposes of this indicator, youth is defined as all persons between the ages of 15 and 24 (inclusive).</w:t>
            </w:r>
          </w:p>
          <w:p w14:paraId="4874EDF5" w14:textId="77777777" w:rsidR="00E45009" w:rsidRPr="00763738" w:rsidRDefault="00E45009" w:rsidP="00E45009">
            <w:pPr>
              <w:pStyle w:val="NoSpacing"/>
              <w:rPr>
                <w:lang w:val="en-GB"/>
              </w:rPr>
            </w:pPr>
            <w:r w:rsidRPr="00763738">
              <w:rPr>
                <w:lang w:val="en-GB"/>
              </w:rPr>
              <w:t xml:space="preserve">According to the International Standard Classification of Education (ISCED), education is defined as organized and sustained communication designed to bring about learning. Formal education is defined in ISCED as </w:t>
            </w:r>
            <w:proofErr w:type="gramStart"/>
            <w:r w:rsidRPr="00763738">
              <w:rPr>
                <w:lang w:val="en-GB"/>
              </w:rPr>
              <w:t xml:space="preserve">education that is institutionalized, intentional, and planned through </w:t>
            </w:r>
            <w:r w:rsidRPr="00763738">
              <w:rPr>
                <w:lang w:val="en-GB"/>
              </w:rPr>
              <w:lastRenderedPageBreak/>
              <w:t>public organizations and recognized private bodies and, in their totality, make</w:t>
            </w:r>
            <w:proofErr w:type="gramEnd"/>
            <w:r w:rsidRPr="00763738">
              <w:rPr>
                <w:lang w:val="en-GB"/>
              </w:rPr>
              <w:t xml:space="preserve"> up the formal education system of a country.</w:t>
            </w:r>
          </w:p>
          <w:p w14:paraId="48D9AB1E" w14:textId="77777777" w:rsidR="00E45009" w:rsidRPr="00763738" w:rsidRDefault="00E45009" w:rsidP="00E45009">
            <w:pPr>
              <w:pStyle w:val="NoSpacing"/>
              <w:rPr>
                <w:lang w:val="en-GB"/>
              </w:rPr>
            </w:pPr>
            <w:r w:rsidRPr="00763738">
              <w:rPr>
                <w:lang w:val="en-GB"/>
              </w:rPr>
              <w:t>Non-formal education, like formal education is defined in ISCED as education that is institutionalized, intentional and planned by an education provider but is considered an addition, alternative and/or a complement to formal education. It may be short in duration and/or low in intensity and it is typically provided in the form of short courses, workshops or seminars. Informal learning is defined in ISCED as forms of learning that are intentional or deliberate, but not institutionalized. It is thus less organized and less structured than either formal or non-formal education. Informal learning may include learning activities that occur in the family, in the work place, in the local community, and in daily life, on a self-directed, family-directed or socially-directed basis. For the purposes of this indicator, persons will be considered in education if they are in formal or non-formal education, as described above, but excluding informal learning.</w:t>
            </w:r>
          </w:p>
          <w:p w14:paraId="618672F1" w14:textId="77777777" w:rsidR="00E45009" w:rsidRPr="00763738" w:rsidRDefault="00E45009" w:rsidP="00E45009">
            <w:pPr>
              <w:pStyle w:val="NoSpacing"/>
              <w:rPr>
                <w:lang w:val="en-GB"/>
              </w:rPr>
            </w:pPr>
          </w:p>
          <w:p w14:paraId="7DF4679B" w14:textId="77777777" w:rsidR="00E45009" w:rsidRPr="00763738" w:rsidRDefault="00E45009" w:rsidP="00E45009">
            <w:pPr>
              <w:pStyle w:val="NoSpacing"/>
              <w:rPr>
                <w:lang w:val="en-GB"/>
              </w:rPr>
            </w:pPr>
            <w:r w:rsidRPr="00763738">
              <w:rPr>
                <w:lang w:val="en-GB"/>
              </w:rPr>
              <w:t xml:space="preserve">Persons in employment are defined as all those who, during a short reference period, such as one week or one day, performed work for others in exchange for pay or profit. </w:t>
            </w:r>
          </w:p>
          <w:p w14:paraId="2437A045" w14:textId="77777777" w:rsidR="00E45009" w:rsidRPr="00763738" w:rsidRDefault="00E45009" w:rsidP="00E45009">
            <w:pPr>
              <w:pStyle w:val="NoSpacing"/>
              <w:rPr>
                <w:lang w:val="en-GB"/>
              </w:rPr>
            </w:pPr>
          </w:p>
          <w:p w14:paraId="050C2D65" w14:textId="77777777" w:rsidR="00E45009" w:rsidRPr="00763738" w:rsidRDefault="00E45009" w:rsidP="00E45009">
            <w:pPr>
              <w:pStyle w:val="NoSpacing"/>
              <w:rPr>
                <w:lang w:val="en-GB"/>
              </w:rPr>
            </w:pPr>
            <w:r w:rsidRPr="00763738">
              <w:rPr>
                <w:lang w:val="en-GB"/>
              </w:rPr>
              <w:t>For the purposes of this indicator, persons are considered to be in training if they are in a non-academic learning activity through which they acquire specific skills intended for vocational or technical jobs.</w:t>
            </w:r>
          </w:p>
          <w:p w14:paraId="3F362341" w14:textId="77777777" w:rsidR="00E45009" w:rsidRPr="00763738" w:rsidRDefault="00E45009" w:rsidP="00E45009">
            <w:pPr>
              <w:pStyle w:val="NoSpacing"/>
              <w:rPr>
                <w:lang w:val="en-GB"/>
              </w:rPr>
            </w:pPr>
            <w:r w:rsidRPr="00763738">
              <w:rPr>
                <w:lang w:val="en-GB"/>
              </w:rPr>
              <w:t>Vocational training prepares trainees for jobs that are based on manual or practical activities, and for skilled operative jobs, both blue and white collar related to a specific trade, occupation or vocation. Technical training on the other hand imparts learning that can be applied in intermediate-level jobs, in particular those of technicians and middle managers. The coverage of vocational and technical training includes only programmes that are solely school-based vocational and technical training. Employer-based training is, by definition, excluded from the scope of this indicator.</w:t>
            </w:r>
          </w:p>
          <w:p w14:paraId="1AF34ADC" w14:textId="77777777" w:rsidR="00E45009" w:rsidRPr="00763738" w:rsidRDefault="00E45009" w:rsidP="00E45009">
            <w:pPr>
              <w:pStyle w:val="NoSpacing"/>
              <w:rPr>
                <w:lang w:val="en-GB"/>
              </w:rPr>
            </w:pPr>
          </w:p>
          <w:p w14:paraId="028B9006" w14:textId="77777777" w:rsidR="00E45009" w:rsidRPr="00763738" w:rsidRDefault="00E45009" w:rsidP="00E45009">
            <w:pPr>
              <w:pStyle w:val="NoSpacing"/>
              <w:rPr>
                <w:lang w:val="en-GB"/>
              </w:rPr>
            </w:pPr>
            <w:r w:rsidRPr="00763738">
              <w:rPr>
                <w:b/>
                <w:bCs/>
                <w:lang w:val="en-GB"/>
              </w:rPr>
              <w:t>Comments and limitations:</w:t>
            </w:r>
          </w:p>
          <w:p w14:paraId="3F20EF33" w14:textId="77777777" w:rsidR="00E45009" w:rsidRPr="00763738" w:rsidRDefault="00E45009" w:rsidP="00E45009">
            <w:pPr>
              <w:pStyle w:val="NoSpacing"/>
              <w:rPr>
                <w:lang w:val="en-GB"/>
              </w:rPr>
            </w:pPr>
            <w:r w:rsidRPr="00763738">
              <w:rPr>
                <w:lang w:val="en-GB"/>
              </w:rPr>
              <w:t xml:space="preserve">The calculation of this indicator requires </w:t>
            </w:r>
            <w:proofErr w:type="gramStart"/>
            <w:r w:rsidRPr="00763738">
              <w:rPr>
                <w:lang w:val="en-GB"/>
              </w:rPr>
              <w:t>to have</w:t>
            </w:r>
            <w:proofErr w:type="gramEnd"/>
            <w:r w:rsidRPr="00763738">
              <w:rPr>
                <w:lang w:val="en-GB"/>
              </w:rPr>
              <w:t xml:space="preserve"> reliable information on both the labour market status and the participation in education or training of young persons. The quality of such information is heavily dependent on the questionnaire design, the sample size and design and the accuracy of respondents' answers. </w:t>
            </w:r>
          </w:p>
          <w:p w14:paraId="6D855A22" w14:textId="77777777" w:rsidR="00E45009" w:rsidRPr="00763738" w:rsidRDefault="00E45009" w:rsidP="00E45009">
            <w:pPr>
              <w:pStyle w:val="NoSpacing"/>
              <w:rPr>
                <w:lang w:val="en-GB"/>
              </w:rPr>
            </w:pPr>
            <w:r w:rsidRPr="00763738">
              <w:rPr>
                <w:lang w:val="en-GB"/>
              </w:rPr>
              <w:t>In terms of the analysis of the indicator, in order to avoid misinterpreting it, it is important to bear in mind that it is composed of two different sub-groups (unemployed youth not in education or training and youth outside the labour force not in education or training). The prevalence and composition of each sub-group would have policy implications, and thus, should also be considered when analysing the NEET rate.</w:t>
            </w:r>
          </w:p>
          <w:p w14:paraId="2FDFBCB2" w14:textId="77777777" w:rsidR="00E45009" w:rsidRPr="00763738" w:rsidRDefault="00E45009" w:rsidP="00E45009">
            <w:pPr>
              <w:pStyle w:val="NoSpacing"/>
              <w:rPr>
                <w:b/>
                <w:bCs/>
                <w:lang w:val="en-GB"/>
              </w:rPr>
            </w:pPr>
          </w:p>
          <w:p w14:paraId="3556B355" w14:textId="77777777" w:rsidR="00E45009" w:rsidRPr="00763738" w:rsidRDefault="00E45009" w:rsidP="00E45009">
            <w:pPr>
              <w:pStyle w:val="NoSpacing"/>
              <w:rPr>
                <w:lang w:val="en-GB"/>
              </w:rPr>
            </w:pPr>
            <w:r w:rsidRPr="00763738">
              <w:rPr>
                <w:b/>
                <w:bCs/>
                <w:lang w:val="en-GB"/>
              </w:rPr>
              <w:t>Computation Method:</w:t>
            </w:r>
          </w:p>
          <w:p w14:paraId="5A2AA655" w14:textId="77777777" w:rsidR="00E45009" w:rsidRPr="000C4849" w:rsidRDefault="00E45009" w:rsidP="00E45009">
            <w:pPr>
              <w:pStyle w:val="NoSpacing"/>
              <w:rPr>
                <w:sz w:val="14"/>
                <w:szCs w:val="14"/>
                <w:lang w:val="en-GB"/>
              </w:rPr>
            </w:pPr>
            <m:oMathPara>
              <m:oMath>
                <m:r>
                  <m:rPr>
                    <m:sty m:val="p"/>
                  </m:rPr>
                  <w:rPr>
                    <w:rFonts w:ascii="Cambria Math" w:hAnsi="Cambria Math"/>
                    <w:sz w:val="14"/>
                    <w:szCs w:val="14"/>
                    <w:lang w:val="en-GB"/>
                  </w:rPr>
                  <m:t xml:space="preserve">Youth NEET  rate= </m:t>
                </m:r>
                <m:f>
                  <m:fPr>
                    <m:ctrlPr>
                      <w:rPr>
                        <w:rFonts w:ascii="Cambria Math" w:hAnsi="Cambria Math"/>
                        <w:sz w:val="14"/>
                        <w:szCs w:val="14"/>
                        <w:lang w:val="en-GB"/>
                      </w:rPr>
                    </m:ctrlPr>
                  </m:fPr>
                  <m:num>
                    <m:r>
                      <w:rPr>
                        <w:rFonts w:ascii="Cambria Math" w:hAnsi="Cambria Math"/>
                        <w:sz w:val="14"/>
                        <w:szCs w:val="14"/>
                        <w:lang w:val="en-GB"/>
                      </w:rPr>
                      <m:t xml:space="preserve"> Youth –(Youth in employment+ Youth not in employment but in education or training)</m:t>
                    </m:r>
                  </m:num>
                  <m:den>
                    <m:r>
                      <w:rPr>
                        <w:rFonts w:ascii="Cambria Math" w:hAnsi="Cambria Math"/>
                        <w:sz w:val="14"/>
                        <w:szCs w:val="14"/>
                        <w:lang w:val="en-GB"/>
                      </w:rPr>
                      <m:t>Youth</m:t>
                    </m:r>
                  </m:den>
                </m:f>
                <m:r>
                  <w:rPr>
                    <w:rFonts w:ascii="Cambria Math" w:hAnsi="Cambria Math"/>
                    <w:sz w:val="14"/>
                    <w:szCs w:val="14"/>
                    <w:lang w:val="en-GB"/>
                  </w:rPr>
                  <m:t xml:space="preserve"> ×100</m:t>
                </m:r>
              </m:oMath>
            </m:oMathPara>
          </w:p>
          <w:p w14:paraId="313BFEA5" w14:textId="77777777" w:rsidR="00E45009" w:rsidRPr="00763738" w:rsidRDefault="00E45009" w:rsidP="00E45009">
            <w:pPr>
              <w:pStyle w:val="NoSpacing"/>
              <w:rPr>
                <w:lang w:val="en-GB"/>
              </w:rPr>
            </w:pPr>
          </w:p>
          <w:p w14:paraId="65A4CBC4" w14:textId="77777777" w:rsidR="00E45009" w:rsidRPr="00763738" w:rsidRDefault="00E45009" w:rsidP="00E45009">
            <w:pPr>
              <w:pStyle w:val="NoSpacing"/>
              <w:rPr>
                <w:lang w:val="en-GB"/>
              </w:rPr>
            </w:pPr>
            <w:r w:rsidRPr="00763738">
              <w:rPr>
                <w:lang w:val="en-GB"/>
              </w:rPr>
              <w:t>It is important to note here that youth simultaneously in employment and education or training should not be double counted when subtracted from the total number of youth.</w:t>
            </w:r>
          </w:p>
          <w:p w14:paraId="7E2A1782" w14:textId="77777777" w:rsidR="00E45009" w:rsidRPr="00763738" w:rsidRDefault="00E45009" w:rsidP="00E45009">
            <w:pPr>
              <w:pStyle w:val="NoSpacing"/>
              <w:rPr>
                <w:lang w:val="en-GB"/>
              </w:rPr>
            </w:pPr>
            <w:r w:rsidRPr="00763738">
              <w:rPr>
                <w:lang w:val="en-GB"/>
              </w:rPr>
              <w:t>The formula can also be expressed as:</w:t>
            </w:r>
            <w:r w:rsidRPr="00763738">
              <w:rPr>
                <w:lang w:val="en-GB"/>
              </w:rPr>
              <w:cr/>
            </w:r>
          </w:p>
          <w:p w14:paraId="2FD4D95A" w14:textId="77777777" w:rsidR="00E45009" w:rsidRPr="000C4849" w:rsidRDefault="00E45009" w:rsidP="00E45009">
            <w:pPr>
              <w:pStyle w:val="NoSpacing"/>
              <w:rPr>
                <w:sz w:val="14"/>
                <w:szCs w:val="14"/>
                <w:lang w:val="en-GB"/>
              </w:rPr>
            </w:pPr>
            <m:oMathPara>
              <m:oMath>
                <m:r>
                  <m:rPr>
                    <m:sty m:val="p"/>
                  </m:rPr>
                  <w:rPr>
                    <w:rFonts w:ascii="Cambria Math" w:hAnsi="Cambria Math"/>
                    <w:sz w:val="14"/>
                    <w:szCs w:val="14"/>
                    <w:lang w:val="en-GB"/>
                  </w:rPr>
                  <w:lastRenderedPageBreak/>
                  <m:t xml:space="preserve">Youth NEET  rate= </m:t>
                </m:r>
                <m:f>
                  <m:fPr>
                    <m:ctrlPr>
                      <w:rPr>
                        <w:rFonts w:ascii="Cambria Math" w:hAnsi="Cambria Math"/>
                        <w:sz w:val="14"/>
                        <w:szCs w:val="14"/>
                        <w:lang w:val="en-GB"/>
                      </w:rPr>
                    </m:ctrlPr>
                  </m:fPr>
                  <m:num>
                    <m:r>
                      <w:rPr>
                        <w:rFonts w:ascii="Cambria Math" w:hAnsi="Cambria Math"/>
                        <w:sz w:val="14"/>
                        <w:szCs w:val="14"/>
                        <w:lang w:val="en-GB"/>
                      </w:rPr>
                      <m:t xml:space="preserve">(Unemployed youth + Youth outside the labour force) – (Unemployed youth in education or training+Youth outside the labour force in education or training) </m:t>
                    </m:r>
                  </m:num>
                  <m:den>
                    <m:r>
                      <w:rPr>
                        <w:rFonts w:ascii="Cambria Math" w:hAnsi="Cambria Math"/>
                        <w:sz w:val="14"/>
                        <w:szCs w:val="14"/>
                        <w:lang w:val="en-GB"/>
                      </w:rPr>
                      <m:t>Youth</m:t>
                    </m:r>
                  </m:den>
                </m:f>
                <m:r>
                  <w:rPr>
                    <w:rFonts w:ascii="Cambria Math" w:hAnsi="Cambria Math"/>
                    <w:sz w:val="14"/>
                    <w:szCs w:val="14"/>
                    <w:lang w:val="en-GB"/>
                  </w:rPr>
                  <m:t xml:space="preserve"> ×100</m:t>
                </m:r>
              </m:oMath>
            </m:oMathPara>
          </w:p>
          <w:p w14:paraId="13A326BE" w14:textId="77777777" w:rsidR="00E45009" w:rsidRPr="00763738" w:rsidRDefault="00E45009" w:rsidP="00E45009">
            <w:pPr>
              <w:pStyle w:val="NoSpacing"/>
              <w:rPr>
                <w:b/>
                <w:bCs/>
                <w:lang w:val="en-GB"/>
              </w:rPr>
            </w:pPr>
          </w:p>
          <w:p w14:paraId="751200B7" w14:textId="77777777" w:rsidR="00E45009" w:rsidRDefault="00E45009" w:rsidP="00E45009">
            <w:pPr>
              <w:pStyle w:val="NoSpacing"/>
            </w:pPr>
          </w:p>
        </w:tc>
        <w:tc>
          <w:tcPr>
            <w:tcW w:w="0" w:type="auto"/>
            <w:shd w:val="clear" w:color="auto" w:fill="auto"/>
          </w:tcPr>
          <w:p w14:paraId="4EB26770" w14:textId="77777777" w:rsidR="00E45009" w:rsidRPr="00873FDE" w:rsidRDefault="00E45009" w:rsidP="00E45009">
            <w:r w:rsidRPr="00873FDE">
              <w:lastRenderedPageBreak/>
              <w:t>Household-based labour force survey</w:t>
            </w:r>
          </w:p>
        </w:tc>
        <w:tc>
          <w:tcPr>
            <w:tcW w:w="0" w:type="auto"/>
            <w:shd w:val="clear" w:color="auto" w:fill="auto"/>
          </w:tcPr>
          <w:p w14:paraId="2D371060" w14:textId="77777777" w:rsidR="00E45009" w:rsidRPr="00873FDE" w:rsidRDefault="00E45009" w:rsidP="00E45009">
            <w:r w:rsidRPr="00873FDE">
              <w:t>National Statistical Office</w:t>
            </w:r>
          </w:p>
        </w:tc>
        <w:tc>
          <w:tcPr>
            <w:tcW w:w="0" w:type="auto"/>
            <w:shd w:val="clear" w:color="auto" w:fill="auto"/>
          </w:tcPr>
          <w:p w14:paraId="347C00CD" w14:textId="77777777" w:rsidR="00E45009" w:rsidRDefault="00E45009" w:rsidP="00E45009">
            <w:pPr>
              <w:jc w:val="both"/>
              <w:rPr>
                <w:color w:val="0070C0"/>
                <w:sz w:val="48"/>
                <w:szCs w:val="48"/>
              </w:rPr>
            </w:pPr>
            <w:r>
              <w:t>BBS, LFS</w:t>
            </w:r>
          </w:p>
        </w:tc>
        <w:tc>
          <w:tcPr>
            <w:tcW w:w="0" w:type="auto"/>
            <w:shd w:val="clear" w:color="auto" w:fill="auto"/>
          </w:tcPr>
          <w:p w14:paraId="14378EB8" w14:textId="77777777" w:rsidR="00E45009" w:rsidRDefault="00E45009" w:rsidP="00E45009">
            <w:pPr>
              <w:jc w:val="both"/>
              <w:rPr>
                <w:color w:val="0070C0"/>
                <w:sz w:val="48"/>
                <w:szCs w:val="48"/>
              </w:rPr>
            </w:pPr>
            <w:r>
              <w:t>BBS, QLFS/PHC</w:t>
            </w:r>
          </w:p>
        </w:tc>
        <w:tc>
          <w:tcPr>
            <w:tcW w:w="0" w:type="auto"/>
            <w:shd w:val="clear" w:color="auto" w:fill="auto"/>
            <w:vAlign w:val="center"/>
          </w:tcPr>
          <w:p w14:paraId="326ADEF1" w14:textId="77777777" w:rsidR="00E45009" w:rsidRPr="00C357A5"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Age</w:t>
            </w:r>
            <w:r w:rsidRPr="00C357A5">
              <w:rPr>
                <w:rFonts w:ascii="Tw Cen MT Condensed" w:hAnsi="Tw Cen MT Condensed"/>
                <w:sz w:val="20"/>
                <w:szCs w:val="20"/>
              </w:rPr>
              <w:t>: 15-24</w:t>
            </w:r>
          </w:p>
          <w:p w14:paraId="48F7A2EF" w14:textId="77777777" w:rsidR="00E45009" w:rsidRDefault="00E45009" w:rsidP="00E45009">
            <w:pPr>
              <w:jc w:val="both"/>
              <w:rPr>
                <w:color w:val="0070C0"/>
                <w:sz w:val="48"/>
                <w:szCs w:val="48"/>
              </w:rPr>
            </w:pPr>
            <w:r w:rsidRPr="00C357A5">
              <w:rPr>
                <w:szCs w:val="20"/>
              </w:rPr>
              <w:t xml:space="preserve">Sex: female, male, </w:t>
            </w:r>
            <w:r w:rsidRPr="00F83B8E">
              <w:rPr>
                <w:szCs w:val="20"/>
              </w:rPr>
              <w:t>both</w:t>
            </w:r>
          </w:p>
        </w:tc>
        <w:tc>
          <w:tcPr>
            <w:tcW w:w="0" w:type="auto"/>
            <w:shd w:val="clear" w:color="auto" w:fill="auto"/>
          </w:tcPr>
          <w:p w14:paraId="5F328D6E" w14:textId="77777777" w:rsidR="00E45009" w:rsidRDefault="00E45009" w:rsidP="00E45009">
            <w:pPr>
              <w:jc w:val="both"/>
              <w:rPr>
                <w:color w:val="0070C0"/>
                <w:sz w:val="48"/>
                <w:szCs w:val="48"/>
              </w:rPr>
            </w:pPr>
            <w:r w:rsidRPr="00BC6F10">
              <w:t>Triennial</w:t>
            </w:r>
          </w:p>
        </w:tc>
        <w:tc>
          <w:tcPr>
            <w:tcW w:w="0" w:type="auto"/>
            <w:shd w:val="clear" w:color="auto" w:fill="auto"/>
          </w:tcPr>
          <w:p w14:paraId="3168904D" w14:textId="77777777" w:rsidR="00E45009" w:rsidRDefault="00E45009" w:rsidP="00E45009">
            <w:pPr>
              <w:jc w:val="both"/>
              <w:rPr>
                <w:color w:val="0070C0"/>
                <w:sz w:val="48"/>
                <w:szCs w:val="48"/>
              </w:rPr>
            </w:pPr>
            <w:r>
              <w:t>Group 1</w:t>
            </w:r>
          </w:p>
        </w:tc>
        <w:tc>
          <w:tcPr>
            <w:tcW w:w="0" w:type="auto"/>
            <w:shd w:val="clear" w:color="auto" w:fill="auto"/>
          </w:tcPr>
          <w:p w14:paraId="13749D90" w14:textId="77777777" w:rsidR="00E45009" w:rsidRDefault="00E45009" w:rsidP="00E45009">
            <w:pPr>
              <w:pStyle w:val="NoSpacing"/>
            </w:pPr>
            <w:r>
              <w:t>1</w:t>
            </w:r>
            <w:r w:rsidRPr="00013ACB">
              <w:rPr>
                <w:vertAlign w:val="superscript"/>
              </w:rPr>
              <w:t>st</w:t>
            </w:r>
            <w:r>
              <w:t xml:space="preserve"> Round: </w:t>
            </w:r>
          </w:p>
          <w:p w14:paraId="7BCD4AA4" w14:textId="77777777" w:rsidR="00E45009" w:rsidRDefault="00E45009" w:rsidP="00E45009">
            <w:pPr>
              <w:pStyle w:val="NoSpacing"/>
            </w:pPr>
            <w:r>
              <w:t>2016</w:t>
            </w:r>
          </w:p>
          <w:p w14:paraId="0DB571AA" w14:textId="77777777" w:rsidR="00E45009" w:rsidRDefault="00E45009" w:rsidP="00E45009">
            <w:pPr>
              <w:pStyle w:val="NoSpacing"/>
            </w:pPr>
            <w:r>
              <w:t>2</w:t>
            </w:r>
            <w:r w:rsidRPr="00013ACB">
              <w:rPr>
                <w:vertAlign w:val="superscript"/>
              </w:rPr>
              <w:t>nd</w:t>
            </w:r>
            <w:r>
              <w:t xml:space="preserve"> Round: </w:t>
            </w:r>
          </w:p>
          <w:p w14:paraId="04D63272" w14:textId="77777777" w:rsidR="00E45009" w:rsidRDefault="00E45009" w:rsidP="00E45009">
            <w:pPr>
              <w:pStyle w:val="NoSpacing"/>
            </w:pPr>
            <w:r>
              <w:t>Decembe</w:t>
            </w:r>
            <w:r>
              <w:br/>
              <w:t>r 2019</w:t>
            </w:r>
          </w:p>
          <w:p w14:paraId="2859EEEC" w14:textId="77777777" w:rsidR="00E45009" w:rsidRDefault="00E45009" w:rsidP="00E45009">
            <w:pPr>
              <w:pStyle w:val="NoSpacing"/>
            </w:pPr>
          </w:p>
          <w:p w14:paraId="1D2F8D5B" w14:textId="77777777" w:rsidR="00E45009" w:rsidRDefault="00E45009" w:rsidP="00E45009">
            <w:pPr>
              <w:pStyle w:val="NoSpacing"/>
            </w:pPr>
            <w:r>
              <w:t>3</w:t>
            </w:r>
            <w:r w:rsidRPr="00013ACB">
              <w:rPr>
                <w:vertAlign w:val="superscript"/>
              </w:rPr>
              <w:t>rd</w:t>
            </w:r>
            <w:r>
              <w:t xml:space="preserve"> Round: </w:t>
            </w:r>
          </w:p>
          <w:p w14:paraId="444EA9AF" w14:textId="77777777" w:rsidR="00E45009" w:rsidRDefault="00E45009" w:rsidP="00E45009">
            <w:pPr>
              <w:pStyle w:val="NoSpacing"/>
            </w:pPr>
            <w:r>
              <w:t>Decembe</w:t>
            </w:r>
            <w:r>
              <w:br/>
              <w:t>r 2022</w:t>
            </w:r>
          </w:p>
          <w:p w14:paraId="18D07F4F" w14:textId="77777777" w:rsidR="00E45009" w:rsidRDefault="00E45009" w:rsidP="00E45009">
            <w:pPr>
              <w:pStyle w:val="NoSpacing"/>
            </w:pPr>
            <w:r>
              <w:t>4</w:t>
            </w:r>
            <w:r w:rsidRPr="00013ACB">
              <w:rPr>
                <w:vertAlign w:val="superscript"/>
              </w:rPr>
              <w:t>th</w:t>
            </w:r>
            <w:r>
              <w:t xml:space="preserve"> Round: </w:t>
            </w:r>
          </w:p>
          <w:p w14:paraId="11B0C049" w14:textId="77777777" w:rsidR="00E45009" w:rsidRDefault="00E45009" w:rsidP="00E45009">
            <w:pPr>
              <w:pStyle w:val="NoSpacing"/>
            </w:pPr>
            <w:r>
              <w:lastRenderedPageBreak/>
              <w:t>Decembe</w:t>
            </w:r>
            <w:r>
              <w:br/>
              <w:t>r 2025</w:t>
            </w:r>
          </w:p>
          <w:p w14:paraId="44CD680B" w14:textId="77777777" w:rsidR="00E45009" w:rsidRDefault="00E45009" w:rsidP="00E45009">
            <w:pPr>
              <w:pStyle w:val="NoSpacing"/>
            </w:pPr>
          </w:p>
          <w:p w14:paraId="171D3854" w14:textId="77777777" w:rsidR="00E45009" w:rsidRDefault="00E45009" w:rsidP="00E45009">
            <w:pPr>
              <w:pStyle w:val="NoSpacing"/>
            </w:pPr>
            <w:r>
              <w:t>5</w:t>
            </w:r>
            <w:r w:rsidRPr="00013ACB">
              <w:rPr>
                <w:vertAlign w:val="superscript"/>
              </w:rPr>
              <w:t>th</w:t>
            </w:r>
            <w:r>
              <w:t xml:space="preserve"> Round: </w:t>
            </w:r>
          </w:p>
          <w:p w14:paraId="5706A92F" w14:textId="52FBEF95" w:rsidR="00E45009" w:rsidRDefault="00E45009" w:rsidP="00E45009">
            <w:pPr>
              <w:pStyle w:val="NoSpacing"/>
            </w:pPr>
            <w:r>
              <w:t>Decembe</w:t>
            </w:r>
            <w:r>
              <w:br/>
              <w:t>r 2028</w:t>
            </w:r>
          </w:p>
        </w:tc>
        <w:tc>
          <w:tcPr>
            <w:tcW w:w="0" w:type="auto"/>
            <w:shd w:val="clear" w:color="auto" w:fill="auto"/>
          </w:tcPr>
          <w:p w14:paraId="35955288" w14:textId="77777777" w:rsidR="00E45009" w:rsidRDefault="00E45009" w:rsidP="00E45009">
            <w:pPr>
              <w:jc w:val="both"/>
              <w:rPr>
                <w:color w:val="0070C0"/>
                <w:sz w:val="48"/>
                <w:szCs w:val="48"/>
              </w:rPr>
            </w:pPr>
          </w:p>
        </w:tc>
      </w:tr>
      <w:tr w:rsidR="00E45009" w14:paraId="62FC847D" w14:textId="77777777" w:rsidTr="0025292C">
        <w:tc>
          <w:tcPr>
            <w:tcW w:w="0" w:type="auto"/>
            <w:gridSpan w:val="13"/>
            <w:shd w:val="clear" w:color="auto" w:fill="auto"/>
          </w:tcPr>
          <w:p w14:paraId="60D4E906" w14:textId="77777777" w:rsidR="00E45009" w:rsidRDefault="00E45009" w:rsidP="00E45009">
            <w:pPr>
              <w:jc w:val="both"/>
              <w:rPr>
                <w:color w:val="0070C0"/>
                <w:sz w:val="48"/>
                <w:szCs w:val="48"/>
              </w:rPr>
            </w:pPr>
            <w:r>
              <w:rPr>
                <w:color w:val="0070C0"/>
                <w:sz w:val="30"/>
                <w:szCs w:val="30"/>
              </w:rPr>
              <w:lastRenderedPageBreak/>
              <w:t xml:space="preserve">Target </w:t>
            </w:r>
            <w:r w:rsidRPr="006429A5">
              <w:rPr>
                <w:color w:val="0070C0"/>
                <w:sz w:val="30"/>
                <w:szCs w:val="30"/>
              </w:rPr>
              <w:t>8.7 Take immediate and effective measures to eradicate forced labour, end modern slavery and human trafficking and secure the prohibition and elimination of the worst forms of child labour, including recruitment and use of child soldiers, and by 2025 end child labour in all its forms</w:t>
            </w:r>
          </w:p>
        </w:tc>
      </w:tr>
      <w:tr w:rsidR="00E45009" w14:paraId="571443BB" w14:textId="77777777" w:rsidTr="0025292C">
        <w:tc>
          <w:tcPr>
            <w:tcW w:w="0" w:type="auto"/>
            <w:shd w:val="clear" w:color="auto" w:fill="auto"/>
          </w:tcPr>
          <w:p w14:paraId="0C738C2D" w14:textId="77777777" w:rsidR="00E45009" w:rsidRDefault="00E45009" w:rsidP="00E45009">
            <w:pPr>
              <w:jc w:val="both"/>
              <w:rPr>
                <w:color w:val="0070C0"/>
                <w:sz w:val="48"/>
                <w:szCs w:val="48"/>
              </w:rPr>
            </w:pPr>
            <w:r w:rsidRPr="00F73727">
              <w:t>8.7.1 Proportion and number of children aged 5–17 years engaged in child labour, by sex and age</w:t>
            </w:r>
          </w:p>
        </w:tc>
        <w:tc>
          <w:tcPr>
            <w:tcW w:w="0" w:type="auto"/>
            <w:shd w:val="clear" w:color="auto" w:fill="auto"/>
          </w:tcPr>
          <w:p w14:paraId="47D548E1" w14:textId="77777777" w:rsidR="00E45009" w:rsidRDefault="00E45009" w:rsidP="00E45009">
            <w:pPr>
              <w:ind w:left="970" w:hanging="970"/>
              <w:jc w:val="both"/>
              <w:rPr>
                <w:color w:val="0070C0"/>
                <w:sz w:val="30"/>
                <w:szCs w:val="30"/>
              </w:rPr>
            </w:pPr>
          </w:p>
          <w:p w14:paraId="5C59B1DC" w14:textId="77777777" w:rsidR="00E45009" w:rsidRDefault="00E45009" w:rsidP="00E45009">
            <w:pPr>
              <w:pStyle w:val="NoSpacing"/>
            </w:pPr>
            <w:r>
              <w:t>ILO,</w:t>
            </w:r>
          </w:p>
          <w:p w14:paraId="780921C1" w14:textId="77777777" w:rsidR="00E45009" w:rsidRDefault="00E45009" w:rsidP="00E45009">
            <w:pPr>
              <w:jc w:val="both"/>
              <w:rPr>
                <w:color w:val="0070C0"/>
                <w:sz w:val="48"/>
                <w:szCs w:val="48"/>
              </w:rPr>
            </w:pPr>
            <w:r>
              <w:t>UNICEF</w:t>
            </w:r>
          </w:p>
        </w:tc>
        <w:tc>
          <w:tcPr>
            <w:tcW w:w="0" w:type="auto"/>
            <w:shd w:val="clear" w:color="auto" w:fill="auto"/>
          </w:tcPr>
          <w:p w14:paraId="1160EB58" w14:textId="77777777" w:rsidR="00E45009" w:rsidRDefault="00E45009" w:rsidP="00E45009">
            <w:pPr>
              <w:jc w:val="both"/>
              <w:rPr>
                <w:color w:val="0070C0"/>
                <w:sz w:val="48"/>
                <w:szCs w:val="48"/>
              </w:rPr>
            </w:pPr>
            <w:r w:rsidRPr="00666486">
              <w:t>Tier II</w:t>
            </w:r>
          </w:p>
        </w:tc>
        <w:tc>
          <w:tcPr>
            <w:tcW w:w="0" w:type="auto"/>
            <w:shd w:val="clear" w:color="auto" w:fill="auto"/>
          </w:tcPr>
          <w:p w14:paraId="4E3136C1" w14:textId="77777777" w:rsidR="00E45009" w:rsidRPr="00F90E3B" w:rsidRDefault="00E45009" w:rsidP="00E45009">
            <w:pPr>
              <w:pStyle w:val="NoSpacing"/>
              <w:rPr>
                <w:b/>
                <w:bCs/>
                <w:lang w:val="en-GB"/>
              </w:rPr>
            </w:pPr>
            <w:r w:rsidRPr="00F90E3B">
              <w:rPr>
                <w:b/>
                <w:bCs/>
                <w:lang w:val="en-GB"/>
              </w:rPr>
              <w:t xml:space="preserve">Definition: </w:t>
            </w:r>
          </w:p>
          <w:p w14:paraId="510E7543" w14:textId="77777777" w:rsidR="00E45009" w:rsidRPr="00F90E3B" w:rsidRDefault="00E45009" w:rsidP="00E45009">
            <w:pPr>
              <w:pStyle w:val="NoSpacing"/>
              <w:rPr>
                <w:b/>
                <w:bCs/>
                <w:lang w:val="en-GB"/>
              </w:rPr>
            </w:pPr>
          </w:p>
          <w:p w14:paraId="32B55B70" w14:textId="77777777" w:rsidR="00E45009" w:rsidRPr="00F90E3B" w:rsidRDefault="00E45009" w:rsidP="00E45009">
            <w:pPr>
              <w:pStyle w:val="NoSpacing"/>
              <w:rPr>
                <w:lang w:val="en-GB"/>
              </w:rPr>
            </w:pPr>
            <w:r w:rsidRPr="00F90E3B">
              <w:rPr>
                <w:lang w:val="en-GB"/>
              </w:rPr>
              <w:t>The number of children engaged in child labour corresponds to the number of children reported to be in child labour during the reference period (usually the week prior to the survey). The proportion of children in child labour is calculated as the number of children in child labour divided by the total number of children in the population.  For the purposes of this indicator, children include all persons aged 5 to 17. This indicator is disaggregated by sex and age group (age bands 5-14 and 15-17)</w:t>
            </w:r>
          </w:p>
          <w:p w14:paraId="7281B831" w14:textId="77777777" w:rsidR="00E45009" w:rsidRPr="00F90E3B" w:rsidRDefault="00E45009" w:rsidP="00E45009">
            <w:pPr>
              <w:pStyle w:val="NoSpacing"/>
              <w:rPr>
                <w:lang w:val="en-GB"/>
              </w:rPr>
            </w:pPr>
          </w:p>
          <w:p w14:paraId="75842E34" w14:textId="77777777" w:rsidR="00E45009" w:rsidRPr="00F90E3B" w:rsidRDefault="00E45009" w:rsidP="00E45009">
            <w:pPr>
              <w:pStyle w:val="NoSpacing"/>
              <w:rPr>
                <w:b/>
                <w:bCs/>
                <w:lang w:val="en-GB"/>
              </w:rPr>
            </w:pPr>
            <w:r w:rsidRPr="00F90E3B">
              <w:rPr>
                <w:b/>
                <w:bCs/>
                <w:lang w:val="en-GB"/>
              </w:rPr>
              <w:t xml:space="preserve">Concepts: </w:t>
            </w:r>
          </w:p>
          <w:p w14:paraId="6AED6B36" w14:textId="77777777" w:rsidR="00E45009" w:rsidRPr="00F90E3B" w:rsidRDefault="00E45009" w:rsidP="00E45009">
            <w:pPr>
              <w:pStyle w:val="NoSpacing"/>
              <w:rPr>
                <w:lang w:val="en-GB"/>
              </w:rPr>
            </w:pPr>
          </w:p>
          <w:p w14:paraId="3136ED3B" w14:textId="77777777" w:rsidR="00E45009" w:rsidRDefault="00E45009" w:rsidP="00E45009">
            <w:pPr>
              <w:pStyle w:val="NoSpacing"/>
            </w:pPr>
            <w:r w:rsidRPr="00F90E3B">
              <w:rPr>
                <w:lang w:val="en-GB"/>
              </w:rPr>
              <w:t xml:space="preserve">The term </w:t>
            </w:r>
            <w:r w:rsidRPr="00F90E3B">
              <w:rPr>
                <w:b/>
                <w:lang w:val="en-GB"/>
              </w:rPr>
              <w:t>child labour</w:t>
            </w:r>
            <w:r w:rsidRPr="00F90E3B">
              <w:rPr>
                <w:lang w:val="en-GB"/>
              </w:rPr>
              <w:t xml:space="preserve"> refers to the subset of children’s activities that is injurious, negative or undesirable to children and that should be targeted for elimination. </w:t>
            </w:r>
            <w:r w:rsidRPr="00F90E3B">
              <w:t>Child labour is a legal concept rather than a statistical one, and the international legal standards that define it are therefore the necessary frame of reference for child labour statistics. The three principal international conventions on child labour – ILO Convention No. 138 (Minimum Age) (C138), ILO Convention No. 182 (Worst Forms) (C182), and the United Nations Convention on the Rights of the Child (CRC), together set the legal boundaries for child labour, and provide the legal basis for national and international actions against it.</w:t>
            </w:r>
          </w:p>
          <w:p w14:paraId="2337B897" w14:textId="77777777" w:rsidR="00E45009" w:rsidRDefault="00E45009" w:rsidP="00E45009">
            <w:pPr>
              <w:pStyle w:val="NoSpacing"/>
            </w:pPr>
          </w:p>
          <w:p w14:paraId="2BB14FA0" w14:textId="77777777" w:rsidR="00E45009" w:rsidRDefault="00E45009" w:rsidP="00E45009">
            <w:pPr>
              <w:pStyle w:val="NoSpacing"/>
            </w:pPr>
          </w:p>
          <w:p w14:paraId="4C486DA3" w14:textId="77777777" w:rsidR="00E45009" w:rsidRDefault="00E45009" w:rsidP="00E45009">
            <w:pPr>
              <w:pStyle w:val="NoSpacing"/>
            </w:pPr>
            <w:r>
              <w:t>In December 2008, the International Conference of Labour Statisticians (ICLS) adopted the Resolution concerning statistics of child labour. This Resolution helps in translating the legal standards governing child labour into statistical terms. In particular, the Resolution is designed to set standards for the collection, compilation and analysis of national child labour statistics, and to guide countries in updating their existing statistical system in this field.</w:t>
            </w:r>
          </w:p>
          <w:p w14:paraId="11A2EF1E" w14:textId="77777777" w:rsidR="00E45009" w:rsidRDefault="00E45009" w:rsidP="00E45009">
            <w:pPr>
              <w:pStyle w:val="NoSpacing"/>
            </w:pPr>
          </w:p>
          <w:p w14:paraId="32BC10C4" w14:textId="77777777" w:rsidR="00E45009" w:rsidRDefault="00E45009" w:rsidP="00E45009">
            <w:pPr>
              <w:pStyle w:val="NoSpacing"/>
            </w:pPr>
            <w:r>
              <w:t xml:space="preserve">In accordance with the Resolution, and on the basis of the production boundary set by the United Nations System of National Accounts (SNA), child labour is defined for measurement purposes to include all persons aged 5 to 17 years who are engaged in one or more of the following activities during a specified time period: </w:t>
            </w:r>
          </w:p>
          <w:p w14:paraId="73DBF1E3" w14:textId="77777777" w:rsidR="00E45009" w:rsidRDefault="00E45009" w:rsidP="00E45009">
            <w:pPr>
              <w:pStyle w:val="NoSpacing"/>
            </w:pPr>
            <w:r>
              <w:t>•</w:t>
            </w:r>
            <w:r>
              <w:tab/>
              <w:t xml:space="preserve">hazardous work (18th ICLS, paragraphs 21 to 32); </w:t>
            </w:r>
          </w:p>
          <w:p w14:paraId="57DB84A1" w14:textId="77777777" w:rsidR="00E45009" w:rsidRDefault="00E45009" w:rsidP="00E45009">
            <w:pPr>
              <w:pStyle w:val="NoSpacing"/>
            </w:pPr>
            <w:r>
              <w:t>•</w:t>
            </w:r>
            <w:r>
              <w:tab/>
              <w:t xml:space="preserve">worst forms of child labour other than hazardous work (18th ICLS, paragraphs 33 to 34); and </w:t>
            </w:r>
          </w:p>
          <w:p w14:paraId="1B7BF560" w14:textId="45A2328B" w:rsidR="00E45009" w:rsidRDefault="00E45009" w:rsidP="00E45009">
            <w:pPr>
              <w:pStyle w:val="NoSpacing"/>
            </w:pPr>
            <w:r>
              <w:t>•</w:t>
            </w:r>
            <w:r>
              <w:tab/>
            </w:r>
            <w:proofErr w:type="gramStart"/>
            <w:r>
              <w:t>employment</w:t>
            </w:r>
            <w:proofErr w:type="gramEnd"/>
            <w:r>
              <w:t xml:space="preserve"> below the minimum working age, excluding, where applicable, “light work”, performed by children aged not less than 12 or 1</w:t>
            </w:r>
            <w:r w:rsidR="005F24FB">
              <w:t>Triennial</w:t>
            </w:r>
            <w:r>
              <w:t xml:space="preserve">  (18th ICLS, paragraphs 35 to 37). </w:t>
            </w:r>
          </w:p>
          <w:p w14:paraId="7D811207" w14:textId="77777777" w:rsidR="00E45009" w:rsidRDefault="00E45009" w:rsidP="00E45009">
            <w:pPr>
              <w:pStyle w:val="NoSpacing"/>
            </w:pPr>
          </w:p>
          <w:p w14:paraId="5B9D928C" w14:textId="77777777" w:rsidR="00E45009" w:rsidRDefault="00E45009" w:rsidP="00E45009">
            <w:pPr>
              <w:pStyle w:val="NoSpacing"/>
            </w:pPr>
            <w:r>
              <w:t>If, depending upon national policies and circumstances, the general production boundary rather than the SNA production boundary is used for measuring productive activities by children, child labour will include, in addition to these three categories, hazardous unpaid household services. For the sake of clarity, child labour estimated on this basis should be called “child labour (general production boundary basis)”.</w:t>
            </w:r>
          </w:p>
          <w:p w14:paraId="470BF660" w14:textId="77777777" w:rsidR="00E45009" w:rsidRDefault="00E45009" w:rsidP="00E45009">
            <w:pPr>
              <w:pStyle w:val="NoSpacing"/>
            </w:pPr>
            <w:r>
              <w:t xml:space="preserve">The measurement methodology used by the ILO in its global estimates on child labour,  building on the ICLS statistical definition, classifies child labour on the basis of the following criteria: </w:t>
            </w:r>
          </w:p>
          <w:p w14:paraId="30F7A1D5" w14:textId="77777777" w:rsidR="00E45009" w:rsidRDefault="00E45009" w:rsidP="00E45009">
            <w:pPr>
              <w:pStyle w:val="NoSpacing"/>
            </w:pPr>
            <w:r>
              <w:t>•</w:t>
            </w:r>
            <w:r>
              <w:tab/>
              <w:t xml:space="preserve">Ages 5 to 11: at least 1 hour of economic activity per week; </w:t>
            </w:r>
          </w:p>
          <w:p w14:paraId="270843DE" w14:textId="77777777" w:rsidR="00E45009" w:rsidRDefault="00E45009" w:rsidP="00E45009">
            <w:pPr>
              <w:pStyle w:val="NoSpacing"/>
            </w:pPr>
            <w:r>
              <w:t>•</w:t>
            </w:r>
            <w:r>
              <w:tab/>
              <w:t>Ages 12 to 14: at least 14 hour of economic activity per week in all forms of economic activity except permissible “light” work, where light work is operationally defined as economic activity that (i) does not exceed 14 hours per week and that (ii) is not hazardous in nature; and</w:t>
            </w:r>
          </w:p>
          <w:p w14:paraId="03206D2D" w14:textId="77777777" w:rsidR="00E45009" w:rsidRDefault="00E45009" w:rsidP="00E45009">
            <w:pPr>
              <w:pStyle w:val="NoSpacing"/>
            </w:pPr>
            <w:r>
              <w:t>•</w:t>
            </w:r>
            <w:r>
              <w:tab/>
              <w:t>Ages 15 to 17: work in designated hazardous industries, or in designated hazardous occupations, or for long hours. Long hours are defined as 43 or more hours during the reference week.</w:t>
            </w:r>
          </w:p>
          <w:p w14:paraId="0E08FC71" w14:textId="77777777" w:rsidR="00E45009" w:rsidRDefault="00E45009" w:rsidP="00E45009">
            <w:pPr>
              <w:pStyle w:val="NoSpacing"/>
            </w:pPr>
            <w:r>
              <w:t xml:space="preserve">Comments and limitations: </w:t>
            </w:r>
          </w:p>
          <w:p w14:paraId="09C92B29" w14:textId="77777777" w:rsidR="00E45009" w:rsidRDefault="00E45009" w:rsidP="00E45009">
            <w:pPr>
              <w:pStyle w:val="NoSpacing"/>
            </w:pPr>
            <w:r>
              <w:t>Child labour estimates based on the statistical standards set out in the ICLS resolution represent useful benchmarks for international comparative purposes but are not necessarily consistent with estimates based on national child labour legislation. ILO Convention No. 138 contains a number of flexibility clauses left to the discretion of the competent national authority in consultation (where relevant) with workers’ and employers’ organizations (e.g., minimum ages, scope of application).  This means that there is no single legal definition of child labour across countries, and thus, no single statistical measure of child labour consistent with national legislation across countries.</w:t>
            </w:r>
          </w:p>
          <w:p w14:paraId="05897F8B" w14:textId="77777777" w:rsidR="00E45009" w:rsidRDefault="00E45009" w:rsidP="00E45009">
            <w:pPr>
              <w:pStyle w:val="NoSpacing"/>
            </w:pPr>
          </w:p>
          <w:p w14:paraId="06EE9B17" w14:textId="77777777" w:rsidR="00E45009" w:rsidRPr="000C4849" w:rsidRDefault="00E45009" w:rsidP="00E45009">
            <w:pPr>
              <w:pStyle w:val="NoSpacing"/>
              <w:rPr>
                <w:b/>
              </w:rPr>
            </w:pPr>
            <w:r w:rsidRPr="000C4849">
              <w:rPr>
                <w:b/>
              </w:rPr>
              <w:t xml:space="preserve">Computation Method: </w:t>
            </w:r>
          </w:p>
          <w:p w14:paraId="0AC07F8D" w14:textId="77777777" w:rsidR="00E45009" w:rsidRDefault="00E45009" w:rsidP="00E45009">
            <w:pPr>
              <w:pStyle w:val="NoSpacing"/>
            </w:pPr>
          </w:p>
          <w:p w14:paraId="15E9EE8F" w14:textId="77777777" w:rsidR="00E45009" w:rsidRDefault="00E45009" w:rsidP="00E45009">
            <w:pPr>
              <w:pStyle w:val="NoSpacing"/>
            </w:pPr>
            <w:r>
              <w:t xml:space="preserve">Children aged 5-17: Number of children aged 5-17 reported in child labour during the week prior to the survey divided by the total number of children aged 5-17 in the population, multiplied by 100. </w:t>
            </w:r>
          </w:p>
          <w:p w14:paraId="4A71AF7A" w14:textId="77777777" w:rsidR="00E45009" w:rsidRDefault="00E45009" w:rsidP="00E45009">
            <w:pPr>
              <w:pStyle w:val="NoSpacing"/>
            </w:pPr>
          </w:p>
          <w:p w14:paraId="0665B8C2" w14:textId="77777777" w:rsidR="00E45009" w:rsidRDefault="00E45009" w:rsidP="00E45009">
            <w:pPr>
              <w:pStyle w:val="NoSpacing"/>
            </w:pPr>
            <w:r>
              <w:t xml:space="preserve">Children aged 5-14: Number of children aged 5-14 reported in child labour during the week prior to the survey divided by the total number of children aged 5-14 in the population, multiplied by 100. </w:t>
            </w:r>
          </w:p>
          <w:p w14:paraId="076DB15D" w14:textId="77777777" w:rsidR="00E45009" w:rsidRDefault="00E45009" w:rsidP="00E45009">
            <w:pPr>
              <w:pStyle w:val="NoSpacing"/>
            </w:pPr>
          </w:p>
          <w:p w14:paraId="1639E9D2" w14:textId="77777777" w:rsidR="00E45009" w:rsidRPr="00F90E3B" w:rsidRDefault="00E45009" w:rsidP="00E45009">
            <w:pPr>
              <w:pStyle w:val="NoSpacing"/>
            </w:pPr>
            <w:r>
              <w:t>Children aged 15-17: Number of children aged 15-17 reported child labour during the week prior to the survey divided by the total number of children aged 15-17 in the population, multiplied by 100.</w:t>
            </w:r>
          </w:p>
          <w:p w14:paraId="46CBD722" w14:textId="77777777" w:rsidR="00E45009" w:rsidRDefault="00E45009" w:rsidP="00E45009">
            <w:pPr>
              <w:pStyle w:val="NoSpacing"/>
            </w:pPr>
          </w:p>
        </w:tc>
        <w:tc>
          <w:tcPr>
            <w:tcW w:w="0" w:type="auto"/>
            <w:shd w:val="clear" w:color="auto" w:fill="auto"/>
          </w:tcPr>
          <w:p w14:paraId="6A8100E5" w14:textId="77777777" w:rsidR="00E45009" w:rsidRDefault="00E45009" w:rsidP="00E45009">
            <w:r w:rsidRPr="00873FDE">
              <w:lastRenderedPageBreak/>
              <w:t>Household survey</w:t>
            </w:r>
          </w:p>
          <w:p w14:paraId="150915E3" w14:textId="720C4900" w:rsidR="00AF59FD" w:rsidRPr="00873FDE" w:rsidRDefault="00AF59FD" w:rsidP="00E45009">
            <w:r w:rsidRPr="00714D47">
              <w:t>Labour Force Survey</w:t>
            </w:r>
          </w:p>
        </w:tc>
        <w:tc>
          <w:tcPr>
            <w:tcW w:w="0" w:type="auto"/>
            <w:shd w:val="clear" w:color="auto" w:fill="auto"/>
          </w:tcPr>
          <w:p w14:paraId="18995379" w14:textId="77777777" w:rsidR="00E45009" w:rsidRPr="00873FDE" w:rsidRDefault="00E45009" w:rsidP="00E45009">
            <w:r w:rsidRPr="00873FDE">
              <w:t>National Statistical Offices (for the most part) and line ministries/other government agencies and International agencies that have conducted labour force surveys or other household surveys through which data on child labour were collected.</w:t>
            </w:r>
          </w:p>
        </w:tc>
        <w:tc>
          <w:tcPr>
            <w:tcW w:w="0" w:type="auto"/>
            <w:shd w:val="clear" w:color="auto" w:fill="auto"/>
          </w:tcPr>
          <w:p w14:paraId="7BA01D13" w14:textId="2A47807B" w:rsidR="00E45009" w:rsidRDefault="00E45009" w:rsidP="00E45009">
            <w:pPr>
              <w:jc w:val="both"/>
              <w:rPr>
                <w:color w:val="0070C0"/>
                <w:sz w:val="48"/>
                <w:szCs w:val="48"/>
              </w:rPr>
            </w:pPr>
            <w:r w:rsidRPr="00BC6F10">
              <w:rPr>
                <w:rFonts w:eastAsia="Times New Roman" w:cs="Times New Roman"/>
                <w:color w:val="000000" w:themeColor="text1"/>
                <w:szCs w:val="20"/>
              </w:rPr>
              <w:t>Child Labour Survey</w:t>
            </w:r>
          </w:p>
        </w:tc>
        <w:tc>
          <w:tcPr>
            <w:tcW w:w="0" w:type="auto"/>
            <w:shd w:val="clear" w:color="auto" w:fill="auto"/>
          </w:tcPr>
          <w:p w14:paraId="48886181" w14:textId="77777777" w:rsidR="00E45009" w:rsidRDefault="00E45009" w:rsidP="00E45009">
            <w:pPr>
              <w:pStyle w:val="NoSpacing"/>
            </w:pPr>
            <w:r w:rsidRPr="00DA7965">
              <w:t>BBS</w:t>
            </w:r>
          </w:p>
          <w:p w14:paraId="33117897" w14:textId="77777777" w:rsidR="00E45009" w:rsidRDefault="00E45009" w:rsidP="00E45009">
            <w:pPr>
              <w:jc w:val="both"/>
              <w:rPr>
                <w:color w:val="0070C0"/>
                <w:sz w:val="48"/>
                <w:szCs w:val="48"/>
              </w:rPr>
            </w:pPr>
            <w:r>
              <w:t>Q</w:t>
            </w:r>
            <w:r w:rsidRPr="00BC6F10">
              <w:t>LFS/Child Labour Survey</w:t>
            </w:r>
            <w:r>
              <w:t>/PHC</w:t>
            </w:r>
          </w:p>
        </w:tc>
        <w:tc>
          <w:tcPr>
            <w:tcW w:w="0" w:type="auto"/>
            <w:shd w:val="clear" w:color="auto" w:fill="auto"/>
            <w:vAlign w:val="center"/>
          </w:tcPr>
          <w:p w14:paraId="404C13D2" w14:textId="77777777" w:rsidR="00E45009" w:rsidRPr="00B2607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B26078">
              <w:rPr>
                <w:rFonts w:ascii="Tw Cen MT Condensed" w:hAnsi="Tw Cen MT Condensed"/>
                <w:sz w:val="20"/>
                <w:szCs w:val="20"/>
              </w:rPr>
              <w:t xml:space="preserve">Sex: </w:t>
            </w:r>
            <w:r w:rsidRPr="00BE149B">
              <w:rPr>
                <w:rFonts w:ascii="Tw Cen MT Condensed" w:hAnsi="Tw Cen MT Condensed"/>
                <w:sz w:val="20"/>
                <w:szCs w:val="20"/>
              </w:rPr>
              <w:t>male/female</w:t>
            </w:r>
          </w:p>
          <w:p w14:paraId="41A12665" w14:textId="77777777" w:rsidR="00E45009" w:rsidRPr="00B2607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B26078">
              <w:rPr>
                <w:rFonts w:ascii="Tw Cen MT Condensed" w:hAnsi="Tw Cen MT Condensed"/>
                <w:sz w:val="20"/>
                <w:szCs w:val="20"/>
              </w:rPr>
              <w:t>Age:  5-17, 5-14</w:t>
            </w:r>
          </w:p>
          <w:p w14:paraId="5E4AD8FD" w14:textId="77777777" w:rsidR="00E45009" w:rsidRDefault="00E45009" w:rsidP="00E45009">
            <w:pPr>
              <w:jc w:val="both"/>
              <w:rPr>
                <w:color w:val="0070C0"/>
                <w:sz w:val="48"/>
                <w:szCs w:val="48"/>
              </w:rPr>
            </w:pPr>
          </w:p>
        </w:tc>
        <w:tc>
          <w:tcPr>
            <w:tcW w:w="0" w:type="auto"/>
            <w:shd w:val="clear" w:color="auto" w:fill="auto"/>
          </w:tcPr>
          <w:p w14:paraId="78735C1D" w14:textId="77777777" w:rsidR="00E45009" w:rsidRDefault="00E45009" w:rsidP="00E45009">
            <w:pPr>
              <w:jc w:val="both"/>
              <w:rPr>
                <w:color w:val="0070C0"/>
                <w:sz w:val="48"/>
                <w:szCs w:val="48"/>
              </w:rPr>
            </w:pPr>
            <w:r w:rsidRPr="00BC6F10">
              <w:t>Triennial</w:t>
            </w:r>
          </w:p>
        </w:tc>
        <w:tc>
          <w:tcPr>
            <w:tcW w:w="0" w:type="auto"/>
            <w:shd w:val="clear" w:color="auto" w:fill="auto"/>
          </w:tcPr>
          <w:p w14:paraId="7CA1CE8D" w14:textId="77777777" w:rsidR="00E45009" w:rsidRDefault="00E45009" w:rsidP="00E45009">
            <w:pPr>
              <w:jc w:val="both"/>
              <w:rPr>
                <w:color w:val="0070C0"/>
                <w:sz w:val="48"/>
                <w:szCs w:val="48"/>
              </w:rPr>
            </w:pPr>
            <w:r>
              <w:t>Group 1</w:t>
            </w:r>
          </w:p>
        </w:tc>
        <w:tc>
          <w:tcPr>
            <w:tcW w:w="0" w:type="auto"/>
            <w:shd w:val="clear" w:color="auto" w:fill="auto"/>
          </w:tcPr>
          <w:p w14:paraId="667DE78A" w14:textId="77777777" w:rsidR="00E45009" w:rsidRDefault="00E45009" w:rsidP="00E45009">
            <w:pPr>
              <w:pStyle w:val="NoSpacing"/>
            </w:pPr>
            <w:r>
              <w:t>1</w:t>
            </w:r>
            <w:r w:rsidRPr="00013ACB">
              <w:rPr>
                <w:vertAlign w:val="superscript"/>
              </w:rPr>
              <w:t>st</w:t>
            </w:r>
            <w:r>
              <w:t xml:space="preserve"> Round: </w:t>
            </w:r>
          </w:p>
          <w:p w14:paraId="07287DC4" w14:textId="77777777" w:rsidR="00E45009" w:rsidRDefault="00E45009" w:rsidP="00E45009">
            <w:pPr>
              <w:pStyle w:val="NoSpacing"/>
            </w:pPr>
            <w:r>
              <w:t>2013</w:t>
            </w:r>
          </w:p>
          <w:p w14:paraId="376D7982" w14:textId="77777777" w:rsidR="00E45009" w:rsidRDefault="00E45009" w:rsidP="00E45009">
            <w:pPr>
              <w:pStyle w:val="NoSpacing"/>
            </w:pPr>
          </w:p>
          <w:p w14:paraId="7DDB37A1" w14:textId="77777777" w:rsidR="00E45009" w:rsidRDefault="00E45009" w:rsidP="00E45009">
            <w:pPr>
              <w:pStyle w:val="NoSpacing"/>
            </w:pPr>
            <w:r>
              <w:t>2</w:t>
            </w:r>
            <w:r w:rsidRPr="00013ACB">
              <w:rPr>
                <w:vertAlign w:val="superscript"/>
              </w:rPr>
              <w:t>nd</w:t>
            </w:r>
            <w:r>
              <w:t xml:space="preserve"> Round: </w:t>
            </w:r>
          </w:p>
          <w:p w14:paraId="5DF21FA9" w14:textId="77777777" w:rsidR="00E45009" w:rsidRDefault="00E45009" w:rsidP="00E45009">
            <w:pPr>
              <w:pStyle w:val="NoSpacing"/>
            </w:pPr>
            <w:r w:rsidRPr="00CA542A">
              <w:t>July 2019</w:t>
            </w:r>
          </w:p>
          <w:p w14:paraId="2CB5801F" w14:textId="77777777" w:rsidR="00E45009" w:rsidRDefault="00E45009" w:rsidP="00E45009">
            <w:pPr>
              <w:pStyle w:val="NoSpacing"/>
            </w:pPr>
          </w:p>
          <w:p w14:paraId="4A00E40D" w14:textId="4E9D8BC5" w:rsidR="00E45009" w:rsidRDefault="00E45009" w:rsidP="00E45009">
            <w:pPr>
              <w:pStyle w:val="NoSpacing"/>
            </w:pPr>
            <w:r>
              <w:t>3</w:t>
            </w:r>
            <w:r w:rsidRPr="00013ACB">
              <w:rPr>
                <w:vertAlign w:val="superscript"/>
              </w:rPr>
              <w:t>rd</w:t>
            </w:r>
            <w:r>
              <w:t xml:space="preserve"> Round: </w:t>
            </w:r>
            <w:r w:rsidR="00E1625C" w:rsidRPr="00CA542A">
              <w:t>July 20</w:t>
            </w:r>
            <w:r w:rsidR="00E1625C">
              <w:t>22</w:t>
            </w:r>
          </w:p>
          <w:p w14:paraId="1F39A8CE" w14:textId="77777777" w:rsidR="00E45009" w:rsidRDefault="00E45009" w:rsidP="00E45009">
            <w:pPr>
              <w:pStyle w:val="NoSpacing"/>
            </w:pPr>
          </w:p>
          <w:p w14:paraId="020DB7C3" w14:textId="59759E61" w:rsidR="00E45009" w:rsidRDefault="00E45009" w:rsidP="00E45009">
            <w:pPr>
              <w:pStyle w:val="NoSpacing"/>
            </w:pPr>
            <w:r>
              <w:t>4</w:t>
            </w:r>
            <w:r w:rsidRPr="00013ACB">
              <w:rPr>
                <w:vertAlign w:val="superscript"/>
              </w:rPr>
              <w:t>th</w:t>
            </w:r>
            <w:r>
              <w:t xml:space="preserve"> Round: </w:t>
            </w:r>
            <w:r w:rsidR="00E1625C" w:rsidRPr="00CA542A">
              <w:t>July 20</w:t>
            </w:r>
            <w:r w:rsidR="00E1625C">
              <w:t>25</w:t>
            </w:r>
          </w:p>
          <w:p w14:paraId="634F6DE8" w14:textId="77777777" w:rsidR="00E45009" w:rsidRDefault="00E45009" w:rsidP="00E45009">
            <w:pPr>
              <w:pStyle w:val="NoSpacing"/>
            </w:pPr>
          </w:p>
          <w:p w14:paraId="793854B7" w14:textId="39F89DC1" w:rsidR="00E45009" w:rsidRDefault="00E45009" w:rsidP="00E45009">
            <w:pPr>
              <w:pStyle w:val="NoSpacing"/>
            </w:pPr>
            <w:r>
              <w:t>5</w:t>
            </w:r>
            <w:r w:rsidRPr="00013ACB">
              <w:rPr>
                <w:vertAlign w:val="superscript"/>
              </w:rPr>
              <w:t>th</w:t>
            </w:r>
            <w:r>
              <w:t xml:space="preserve"> Round: </w:t>
            </w:r>
            <w:r w:rsidR="00E1625C" w:rsidRPr="00CA542A">
              <w:t>July 20</w:t>
            </w:r>
            <w:r w:rsidR="00E1625C">
              <w:t>28</w:t>
            </w:r>
          </w:p>
          <w:p w14:paraId="0116F5DB" w14:textId="1418AE87" w:rsidR="00E45009" w:rsidRDefault="00E45009" w:rsidP="00E45009">
            <w:pPr>
              <w:pStyle w:val="NoSpacing"/>
            </w:pPr>
          </w:p>
        </w:tc>
        <w:tc>
          <w:tcPr>
            <w:tcW w:w="0" w:type="auto"/>
            <w:shd w:val="clear" w:color="auto" w:fill="auto"/>
          </w:tcPr>
          <w:p w14:paraId="68E29252" w14:textId="77777777" w:rsidR="00E45009" w:rsidRDefault="00E45009" w:rsidP="00E45009">
            <w:pPr>
              <w:pStyle w:val="NoSpacing"/>
            </w:pPr>
            <w:r w:rsidRPr="005C54E8">
              <w:t>Data availability reviewed in Nov. 2017 (classified as Tier II)</w:t>
            </w:r>
          </w:p>
        </w:tc>
      </w:tr>
      <w:tr w:rsidR="00E45009" w14:paraId="5F570F3E" w14:textId="77777777" w:rsidTr="0025292C">
        <w:tc>
          <w:tcPr>
            <w:tcW w:w="0" w:type="auto"/>
            <w:gridSpan w:val="13"/>
            <w:shd w:val="clear" w:color="auto" w:fill="auto"/>
          </w:tcPr>
          <w:p w14:paraId="3F775079" w14:textId="77777777" w:rsidR="00E45009" w:rsidRDefault="00E45009" w:rsidP="00E45009">
            <w:pPr>
              <w:jc w:val="both"/>
              <w:rPr>
                <w:color w:val="0070C0"/>
                <w:sz w:val="48"/>
                <w:szCs w:val="48"/>
              </w:rPr>
            </w:pPr>
            <w:r>
              <w:rPr>
                <w:color w:val="0070C0"/>
                <w:sz w:val="30"/>
                <w:szCs w:val="30"/>
              </w:rPr>
              <w:lastRenderedPageBreak/>
              <w:t xml:space="preserve">Target </w:t>
            </w:r>
            <w:r w:rsidRPr="006429A5">
              <w:rPr>
                <w:color w:val="0070C0"/>
                <w:sz w:val="30"/>
                <w:szCs w:val="30"/>
              </w:rPr>
              <w:t>8.8  Protect labour rights and promote safe and secure working environments for all workers, including migrant workers, in particular women migrants, and those in precarious employment</w:t>
            </w:r>
          </w:p>
        </w:tc>
      </w:tr>
      <w:tr w:rsidR="00E45009" w14:paraId="0E9B9B9D" w14:textId="77777777" w:rsidTr="0025292C">
        <w:tc>
          <w:tcPr>
            <w:tcW w:w="0" w:type="auto"/>
            <w:shd w:val="clear" w:color="auto" w:fill="auto"/>
          </w:tcPr>
          <w:p w14:paraId="29F09CD5" w14:textId="77777777" w:rsidR="00E45009" w:rsidRDefault="00E45009" w:rsidP="00E45009">
            <w:pPr>
              <w:jc w:val="both"/>
              <w:rPr>
                <w:color w:val="0070C0"/>
                <w:sz w:val="48"/>
                <w:szCs w:val="48"/>
              </w:rPr>
            </w:pPr>
            <w:r w:rsidRPr="00F73727">
              <w:t xml:space="preserve">8.8.1 Frequency rates of fatal and </w:t>
            </w:r>
            <w:r w:rsidRPr="00F73727">
              <w:lastRenderedPageBreak/>
              <w:t>non-fatal occupational injuries, by sex and migrant status</w:t>
            </w:r>
          </w:p>
        </w:tc>
        <w:tc>
          <w:tcPr>
            <w:tcW w:w="0" w:type="auto"/>
            <w:shd w:val="clear" w:color="auto" w:fill="auto"/>
          </w:tcPr>
          <w:p w14:paraId="0EBD7305" w14:textId="77777777" w:rsidR="00E45009" w:rsidRPr="00EE1D53" w:rsidRDefault="00E45009" w:rsidP="00E45009">
            <w:pPr>
              <w:ind w:left="970" w:hanging="970"/>
              <w:jc w:val="both"/>
              <w:rPr>
                <w:color w:val="0070C0"/>
                <w:sz w:val="30"/>
                <w:szCs w:val="30"/>
              </w:rPr>
            </w:pPr>
          </w:p>
          <w:p w14:paraId="14F23FEA" w14:textId="77777777" w:rsidR="00E45009" w:rsidRDefault="00E45009" w:rsidP="00E45009">
            <w:pPr>
              <w:jc w:val="both"/>
              <w:rPr>
                <w:color w:val="0070C0"/>
                <w:sz w:val="48"/>
                <w:szCs w:val="48"/>
              </w:rPr>
            </w:pPr>
            <w:r w:rsidRPr="00EE1D53">
              <w:rPr>
                <w:szCs w:val="20"/>
              </w:rPr>
              <w:t>ILO</w:t>
            </w:r>
          </w:p>
        </w:tc>
        <w:tc>
          <w:tcPr>
            <w:tcW w:w="0" w:type="auto"/>
            <w:shd w:val="clear" w:color="auto" w:fill="auto"/>
          </w:tcPr>
          <w:p w14:paraId="2C8AB738" w14:textId="77777777" w:rsidR="00E45009" w:rsidRDefault="00E45009" w:rsidP="00E45009">
            <w:pPr>
              <w:jc w:val="both"/>
              <w:rPr>
                <w:color w:val="0070C0"/>
                <w:sz w:val="48"/>
                <w:szCs w:val="48"/>
              </w:rPr>
            </w:pPr>
            <w:r w:rsidRPr="00666486">
              <w:t>Tier II</w:t>
            </w:r>
          </w:p>
        </w:tc>
        <w:tc>
          <w:tcPr>
            <w:tcW w:w="0" w:type="auto"/>
            <w:shd w:val="clear" w:color="auto" w:fill="auto"/>
          </w:tcPr>
          <w:p w14:paraId="60A3B68F" w14:textId="77777777" w:rsidR="00E45009" w:rsidRDefault="00E45009" w:rsidP="00E45009">
            <w:pPr>
              <w:pStyle w:val="NoSpacing"/>
            </w:pPr>
            <w:r>
              <w:t>Definition:</w:t>
            </w:r>
          </w:p>
          <w:p w14:paraId="039F7647" w14:textId="77777777" w:rsidR="00E45009" w:rsidRDefault="00E45009" w:rsidP="00E45009">
            <w:pPr>
              <w:pStyle w:val="NoSpacing"/>
            </w:pPr>
            <w:r>
              <w:t>The frequency rates of fatal and non-fatal occupational injuries provide information on the number of cases of fatal and non-fatal occupational injury per hours worked by the concerned population during the reference period. It is a measure of the risk of having a fatal or a non-fatal occupational injury based on the duration of exposure to adverse work-related factors.</w:t>
            </w:r>
          </w:p>
          <w:p w14:paraId="17892B9B" w14:textId="77777777" w:rsidR="00E45009" w:rsidRDefault="00E45009" w:rsidP="00E45009">
            <w:pPr>
              <w:pStyle w:val="NoSpacing"/>
            </w:pPr>
          </w:p>
          <w:p w14:paraId="045A9A6D" w14:textId="77777777" w:rsidR="00E45009" w:rsidRDefault="00E45009" w:rsidP="00E45009">
            <w:pPr>
              <w:pStyle w:val="NoSpacing"/>
            </w:pPr>
            <w:r>
              <w:t>The incidence rates of fatal and non-fatal occupational injuries provide information on the number of cases of fatal and non-fatal occupational injury per workers in the reference group during the reference period. It is a measure of the personal likelihood of the workers in the reference group of suffering from work-related injuries.</w:t>
            </w:r>
          </w:p>
          <w:p w14:paraId="22E2F528" w14:textId="77777777" w:rsidR="00E45009" w:rsidRDefault="00E45009" w:rsidP="00E45009">
            <w:pPr>
              <w:pStyle w:val="NoSpacing"/>
            </w:pPr>
          </w:p>
          <w:p w14:paraId="77E3C3CA" w14:textId="77777777" w:rsidR="00E45009" w:rsidRDefault="00E45009" w:rsidP="00E45009">
            <w:pPr>
              <w:pStyle w:val="NoSpacing"/>
            </w:pPr>
            <w:r>
              <w:t>For the purposes of international reporting on the SDG indicators, incidence rates are used, even though the indicator title of 8.8.1 calls for the use of frequency rates, as common practices around the world and data availability favour incidence rates.</w:t>
            </w:r>
          </w:p>
          <w:p w14:paraId="77DB086D" w14:textId="77777777" w:rsidR="00E45009" w:rsidRDefault="00E45009" w:rsidP="00E45009">
            <w:pPr>
              <w:pStyle w:val="NoSpacing"/>
            </w:pPr>
          </w:p>
          <w:p w14:paraId="28DF3B1B" w14:textId="77777777" w:rsidR="00E45009" w:rsidRDefault="00E45009" w:rsidP="00E45009">
            <w:pPr>
              <w:pStyle w:val="NoSpacing"/>
            </w:pPr>
            <w:r>
              <w:t>Concepts:</w:t>
            </w:r>
          </w:p>
          <w:p w14:paraId="16EB37E1" w14:textId="77777777" w:rsidR="00E45009" w:rsidRDefault="00E45009" w:rsidP="00E45009">
            <w:pPr>
              <w:pStyle w:val="NoSpacing"/>
            </w:pPr>
            <w:r>
              <w:t>Definitions of the main concepts presented below are derived from the Resolution concerning statistics of occupational injuries (resulting from occupational accidents), adopted by the 16th ICLS in 1998</w:t>
            </w:r>
          </w:p>
          <w:p w14:paraId="58CB67A3" w14:textId="77777777" w:rsidR="00E45009" w:rsidRDefault="00E45009" w:rsidP="00E45009">
            <w:pPr>
              <w:pStyle w:val="NoSpacing"/>
            </w:pPr>
            <w:r>
              <w:t>(http://www.ilo.org/global/statistics-and-databases/standards-and-guidelines/resolutions-adopted-byinternational-conferences-of-labour-statisticians/WCMS_087528/lang--en/index.htm).</w:t>
            </w:r>
          </w:p>
          <w:p w14:paraId="0E53BB33" w14:textId="77777777" w:rsidR="00E45009" w:rsidRDefault="00E45009" w:rsidP="00E45009">
            <w:pPr>
              <w:pStyle w:val="NoSpacing"/>
            </w:pPr>
          </w:p>
          <w:p w14:paraId="3D4144FB" w14:textId="77777777" w:rsidR="00E45009" w:rsidRDefault="00E45009" w:rsidP="00E45009">
            <w:pPr>
              <w:pStyle w:val="NoSpacing"/>
            </w:pPr>
            <w:r>
              <w:t>Occupational accident: an unexpected and unplanned occurrence, including acts of violence, arising out of or in connection with work which results in one or more workers incurring a personal injury, disease or death. Occupational accidents are to be considered travel, transport or road traffic accidents in which workers are injured and which arise out of or in the course of work; that is, while engaged in an economic activity, or at work, or carrying out the business of the employer.</w:t>
            </w:r>
          </w:p>
          <w:p w14:paraId="0C002688" w14:textId="77777777" w:rsidR="00E45009" w:rsidRDefault="00E45009" w:rsidP="00E45009">
            <w:pPr>
              <w:pStyle w:val="NoSpacing"/>
            </w:pPr>
          </w:p>
          <w:p w14:paraId="7CD2DE9C" w14:textId="77777777" w:rsidR="00E45009" w:rsidRDefault="00E45009" w:rsidP="00E45009">
            <w:pPr>
              <w:pStyle w:val="NoSpacing"/>
            </w:pPr>
            <w:r>
              <w:t>Occupational injury: any personal injury, disease or death resulting from an occupational accident. An occupational injury is different from an occupational disease, which comes as a result of an exposure over a period of time to risk factors linked to the work activity. Diseases are included only in cases where the disease arose as a direct result of an accident. An occupational injury can be fatal or non-fatal (and non-fatal injuries could entail the loss of work days).</w:t>
            </w:r>
          </w:p>
          <w:p w14:paraId="40B2F125" w14:textId="77777777" w:rsidR="00E45009" w:rsidRDefault="00E45009" w:rsidP="00E45009">
            <w:pPr>
              <w:pStyle w:val="NoSpacing"/>
            </w:pPr>
          </w:p>
          <w:p w14:paraId="2BD9F6A1" w14:textId="77777777" w:rsidR="00E45009" w:rsidRDefault="00E45009" w:rsidP="00E45009">
            <w:pPr>
              <w:pStyle w:val="NoSpacing"/>
            </w:pPr>
            <w:r>
              <w:t>Fatal occupational injury: an occupational injury leading to death within one year of the day of the occupational accident.</w:t>
            </w:r>
          </w:p>
          <w:p w14:paraId="63D73E53" w14:textId="77777777" w:rsidR="00E45009" w:rsidRDefault="00E45009" w:rsidP="00E45009">
            <w:pPr>
              <w:pStyle w:val="NoSpacing"/>
            </w:pPr>
          </w:p>
          <w:p w14:paraId="537EED10" w14:textId="77777777" w:rsidR="00E45009" w:rsidRDefault="00E45009" w:rsidP="00E45009">
            <w:pPr>
              <w:pStyle w:val="NoSpacing"/>
            </w:pPr>
            <w:r>
              <w:t xml:space="preserve">Case of occupational injury: the case of one worker incurring one or more occupational injuries as a result of one occupational accident. </w:t>
            </w:r>
          </w:p>
          <w:p w14:paraId="475962C4" w14:textId="77777777" w:rsidR="00E45009" w:rsidRDefault="00E45009" w:rsidP="00E45009">
            <w:pPr>
              <w:pStyle w:val="NoSpacing"/>
            </w:pPr>
          </w:p>
          <w:p w14:paraId="4B2EDEE1" w14:textId="77777777" w:rsidR="00E45009" w:rsidRDefault="00E45009" w:rsidP="00E45009">
            <w:pPr>
              <w:pStyle w:val="NoSpacing"/>
            </w:pPr>
            <w:r>
              <w:t>Workers in the reference group: workers in the reference group refer to the average number of workers in the particular group under consideration and who are covered by the source of the statistics on occupational injuries (for example, those of a specific sex or in a specific economic activity, occupation, region, age group, or any combination of these, or those covered by a particular insurance scheme, accident notification systems, or household or establishment survey).</w:t>
            </w:r>
          </w:p>
          <w:p w14:paraId="60294A3C" w14:textId="77777777" w:rsidR="00E45009" w:rsidRDefault="00E45009" w:rsidP="00E45009">
            <w:pPr>
              <w:pStyle w:val="NoSpacing"/>
            </w:pPr>
          </w:p>
          <w:p w14:paraId="2B11BA3D" w14:textId="77777777" w:rsidR="00E45009" w:rsidRDefault="00E45009" w:rsidP="00E45009">
            <w:pPr>
              <w:pStyle w:val="NoSpacing"/>
            </w:pPr>
            <w:r>
              <w:t>Comments and limitations:</w:t>
            </w:r>
          </w:p>
          <w:p w14:paraId="622272DA" w14:textId="77777777" w:rsidR="00E45009" w:rsidRDefault="00E45009" w:rsidP="00E45009">
            <w:pPr>
              <w:pStyle w:val="NoSpacing"/>
            </w:pPr>
            <w:r>
              <w:t xml:space="preserve">There may be problems of under reporting of occupational injuries, and proper systems should be put in place to ensure the best reporting and data quality. Under reporting is thought to be present in countries at all levels of development, but may be particularly problematic in some </w:t>
            </w:r>
            <w:r>
              <w:lastRenderedPageBreak/>
              <w:t>developing countries. Data users should be aware of this issue when analysing the data.</w:t>
            </w:r>
          </w:p>
          <w:p w14:paraId="5E9CF3FA" w14:textId="77777777" w:rsidR="00E45009" w:rsidRDefault="00E45009" w:rsidP="00E45009">
            <w:pPr>
              <w:pStyle w:val="NoSpacing"/>
            </w:pPr>
            <w:r>
              <w:t>Double-counting of cases of occupational injury may also happen in cases where data from several registries (records kept by different agencies, for example) are consolidated to have more comprehensive statistics.</w:t>
            </w:r>
          </w:p>
          <w:p w14:paraId="4648B568" w14:textId="77777777" w:rsidR="00E45009" w:rsidRDefault="00E45009" w:rsidP="00E45009">
            <w:pPr>
              <w:pStyle w:val="NoSpacing"/>
            </w:pPr>
          </w:p>
          <w:p w14:paraId="6E642CB9" w14:textId="77777777" w:rsidR="00E45009" w:rsidRDefault="00E45009" w:rsidP="00E45009">
            <w:pPr>
              <w:pStyle w:val="NoSpacing"/>
            </w:pPr>
            <w:r>
              <w:t xml:space="preserve">Because data quality issues may be present, it may be more relevant to analyse indicator trends rather than levels. When measured over a period of time, the data can reveal progress or deterioration in occupational safety and health, and thus point to the effectiveness of prevention measures. This indicator is volatile and strong annual fluctuations may occur due to unexpected but significant accidents or national calamities. The underlying trend should therefore be analysed. </w:t>
            </w:r>
          </w:p>
          <w:p w14:paraId="14149C29" w14:textId="77777777" w:rsidR="00E45009" w:rsidRDefault="00E45009" w:rsidP="00E45009">
            <w:pPr>
              <w:pStyle w:val="NoSpacing"/>
            </w:pPr>
          </w:p>
          <w:p w14:paraId="75B79A8C" w14:textId="77777777" w:rsidR="00E45009" w:rsidRDefault="00E45009" w:rsidP="00E45009">
            <w:pPr>
              <w:pStyle w:val="NoSpacing"/>
            </w:pPr>
            <w:r>
              <w:t>Computation Method:</w:t>
            </w:r>
          </w:p>
          <w:p w14:paraId="1FB0DBE8" w14:textId="77777777" w:rsidR="00E45009" w:rsidRDefault="00E45009" w:rsidP="00E45009">
            <w:pPr>
              <w:pStyle w:val="NoSpacing"/>
            </w:pPr>
          </w:p>
          <w:p w14:paraId="5EF10E40" w14:textId="77777777" w:rsidR="00E45009" w:rsidRDefault="00E45009" w:rsidP="00E45009">
            <w:pPr>
              <w:pStyle w:val="NoSpacing"/>
            </w:pPr>
            <w:r>
              <w:t>The frequency and incidence rates of fatal and non-fatal occupational injuries will be calculated separately, since statistics on fatal injuries tend to come from a different source than those on non-fatal injuries, which would make their sum into total occupational accidents inaccurate.</w:t>
            </w:r>
          </w:p>
          <w:p w14:paraId="60BC8537" w14:textId="77777777" w:rsidR="00E45009" w:rsidRDefault="00E45009" w:rsidP="00E45009">
            <w:pPr>
              <w:pStyle w:val="NoSpacing"/>
            </w:pPr>
          </w:p>
          <w:p w14:paraId="3B4F7243" w14:textId="77777777" w:rsidR="00E45009" w:rsidRDefault="00E45009" w:rsidP="00E45009">
            <w:pPr>
              <w:pStyle w:val="NoSpacing"/>
            </w:pPr>
            <w:r>
              <w:t>The fatal occupational injury frequency rate is expressed per 1’000’000 hours worked by the workers in the reference group. Thus, it is calculated as follows:</w:t>
            </w:r>
          </w:p>
          <w:p w14:paraId="71DF41AA" w14:textId="77777777" w:rsidR="00E45009" w:rsidRDefault="00E45009" w:rsidP="00E45009">
            <w:pPr>
              <w:pStyle w:val="NoSpacing"/>
            </w:pPr>
          </w:p>
          <w:p w14:paraId="1CE701FC" w14:textId="77777777" w:rsidR="00E45009" w:rsidRDefault="00E45009" w:rsidP="00E45009">
            <w:pPr>
              <w:pStyle w:val="NoSpacing"/>
            </w:pPr>
            <w:r>
              <w:t>Fatal occupational injury frequency rate =  (New cases of fatal injury during the reference year)/(total number of hours worked by workers in the reference group during the reference year)  ×1'000'000</w:t>
            </w:r>
          </w:p>
          <w:p w14:paraId="6543D153" w14:textId="77777777" w:rsidR="00E45009" w:rsidRDefault="00E45009" w:rsidP="00E45009">
            <w:pPr>
              <w:pStyle w:val="NoSpacing"/>
            </w:pPr>
          </w:p>
          <w:p w14:paraId="75C24081" w14:textId="77777777" w:rsidR="00E45009" w:rsidRDefault="00E45009" w:rsidP="00E45009">
            <w:pPr>
              <w:pStyle w:val="NoSpacing"/>
            </w:pPr>
          </w:p>
          <w:p w14:paraId="38318F86" w14:textId="77777777" w:rsidR="00E45009" w:rsidRDefault="00E45009" w:rsidP="00E45009">
            <w:pPr>
              <w:pStyle w:val="NoSpacing"/>
            </w:pPr>
            <w:r>
              <w:t>Similarly, the non-fatal occupational injury frequency rate is calculated as follows:</w:t>
            </w:r>
          </w:p>
          <w:p w14:paraId="605BC87E" w14:textId="77777777" w:rsidR="00E45009" w:rsidRDefault="00E45009" w:rsidP="00E45009">
            <w:pPr>
              <w:pStyle w:val="NoSpacing"/>
            </w:pPr>
            <w:r>
              <w:t>Non fatal occupational injury frequency rate =  (New cases of non fatal injury during the reference year)/(total number of hours worked by workers in the reference group during the reference year)  ×1'000'000</w:t>
            </w:r>
          </w:p>
          <w:p w14:paraId="3C27682F" w14:textId="77777777" w:rsidR="00E45009" w:rsidRDefault="00E45009" w:rsidP="00E45009">
            <w:pPr>
              <w:pStyle w:val="NoSpacing"/>
            </w:pPr>
          </w:p>
          <w:p w14:paraId="4ED4A7D1" w14:textId="77777777" w:rsidR="00E45009" w:rsidRDefault="00E45009" w:rsidP="00E45009">
            <w:pPr>
              <w:pStyle w:val="NoSpacing"/>
            </w:pPr>
            <w:r>
              <w:t>Ideally, the denominator should be the number of hours actually worked by workers in the reference group. When this is not possible, the denominator can be calculated on the basis of normal hours of work taking into account entitlements to periods of paid absence from work, such as paid vacations, paid sick leave and public holidays.</w:t>
            </w:r>
          </w:p>
          <w:p w14:paraId="4F36E779" w14:textId="77777777" w:rsidR="00E45009" w:rsidRDefault="00E45009" w:rsidP="00E45009">
            <w:pPr>
              <w:pStyle w:val="NoSpacing"/>
            </w:pPr>
          </w:p>
          <w:p w14:paraId="085AF20A" w14:textId="77777777" w:rsidR="00E45009" w:rsidRDefault="00E45009" w:rsidP="00E45009">
            <w:pPr>
              <w:pStyle w:val="NoSpacing"/>
            </w:pPr>
            <w:r>
              <w:t>If the data needed to calculate frequency rates is not available, incidence rates may be calculated instead. Indeed, incidence rates are used for the purposes of international reporting on this indicator rather than frequency rates.</w:t>
            </w:r>
          </w:p>
          <w:p w14:paraId="24041E62" w14:textId="77777777" w:rsidR="00E45009" w:rsidRDefault="00E45009" w:rsidP="00E45009">
            <w:pPr>
              <w:pStyle w:val="NoSpacing"/>
            </w:pPr>
          </w:p>
          <w:p w14:paraId="4D0E6AA5" w14:textId="77777777" w:rsidR="00E45009" w:rsidRDefault="00E45009" w:rsidP="00E45009">
            <w:pPr>
              <w:pStyle w:val="NoSpacing"/>
            </w:pPr>
            <w:r>
              <w:t>The fatal occupational injury incidence rate is expressed per 100’000 workers in the reference group, and thus, is calculated as follows:</w:t>
            </w:r>
          </w:p>
          <w:p w14:paraId="3D1E1C00" w14:textId="77777777" w:rsidR="00E45009" w:rsidRDefault="00E45009" w:rsidP="00E45009">
            <w:pPr>
              <w:pStyle w:val="NoSpacing"/>
            </w:pPr>
          </w:p>
          <w:p w14:paraId="47250098" w14:textId="77777777" w:rsidR="00E45009" w:rsidRDefault="00E45009" w:rsidP="00E45009">
            <w:pPr>
              <w:pStyle w:val="NoSpacing"/>
            </w:pPr>
            <w:r>
              <w:t>Fatal occupational injury incidence rate =  (New cases of fatal injury during the reference year)/(Workers in the reference group during the reference year)  ×100'000</w:t>
            </w:r>
          </w:p>
          <w:p w14:paraId="7194A3D4" w14:textId="77777777" w:rsidR="00E45009" w:rsidRDefault="00E45009" w:rsidP="00E45009">
            <w:pPr>
              <w:pStyle w:val="NoSpacing"/>
            </w:pPr>
          </w:p>
          <w:p w14:paraId="6E5DE955" w14:textId="77777777" w:rsidR="00E45009" w:rsidRDefault="00E45009" w:rsidP="00E45009">
            <w:pPr>
              <w:pStyle w:val="NoSpacing"/>
            </w:pPr>
          </w:p>
          <w:p w14:paraId="23CD62AF" w14:textId="77777777" w:rsidR="00E45009" w:rsidRDefault="00E45009" w:rsidP="00E45009">
            <w:pPr>
              <w:pStyle w:val="NoSpacing"/>
            </w:pPr>
            <w:r>
              <w:t>Similarly, the non-fatal occupational injury incidence rate is calculated as follows:</w:t>
            </w:r>
          </w:p>
          <w:p w14:paraId="194F9058" w14:textId="77777777" w:rsidR="00E45009" w:rsidRDefault="00E45009" w:rsidP="00E45009">
            <w:pPr>
              <w:pStyle w:val="NoSpacing"/>
            </w:pPr>
          </w:p>
          <w:p w14:paraId="1C613F5C" w14:textId="77777777" w:rsidR="00E45009" w:rsidRDefault="00E45009" w:rsidP="00E45009">
            <w:pPr>
              <w:pStyle w:val="NoSpacing"/>
            </w:pPr>
            <w:r>
              <w:t>Non fatal occupational injury incidence rate =  (New cases of non fatal injury during the reference year)/(Workers in the reference group during the reference year)  ×100'000</w:t>
            </w:r>
          </w:p>
          <w:p w14:paraId="59C87986" w14:textId="77777777" w:rsidR="00E45009" w:rsidRDefault="00E45009" w:rsidP="00E45009">
            <w:pPr>
              <w:pStyle w:val="NoSpacing"/>
            </w:pPr>
          </w:p>
          <w:p w14:paraId="7AEADFFE" w14:textId="77777777" w:rsidR="00E45009" w:rsidRDefault="00E45009" w:rsidP="00E45009">
            <w:pPr>
              <w:pStyle w:val="NoSpacing"/>
            </w:pPr>
            <w:r>
              <w:t>In calculating the average number of workers, the number of part-time workers should be converted to full-time equivalents. For the calculation of rates, the numerator and the denominator should have the same coverage. For example, if self-employed persons are not covered by the source of statistics on fatal occupational injuries, they should also be taken out of the denominator.</w:t>
            </w:r>
          </w:p>
        </w:tc>
        <w:tc>
          <w:tcPr>
            <w:tcW w:w="0" w:type="auto"/>
            <w:shd w:val="clear" w:color="auto" w:fill="auto"/>
          </w:tcPr>
          <w:p w14:paraId="1FA01D12" w14:textId="77777777" w:rsidR="00E45009" w:rsidRPr="00873FDE" w:rsidRDefault="00E45009" w:rsidP="00E45009">
            <w:r w:rsidRPr="00873FDE">
              <w:lastRenderedPageBreak/>
              <w:t xml:space="preserve">Administrative  record/ household </w:t>
            </w:r>
            <w:r w:rsidRPr="00873FDE">
              <w:lastRenderedPageBreak/>
              <w:t>survey/ establishment survey</w:t>
            </w:r>
          </w:p>
        </w:tc>
        <w:tc>
          <w:tcPr>
            <w:tcW w:w="0" w:type="auto"/>
            <w:shd w:val="clear" w:color="auto" w:fill="auto"/>
          </w:tcPr>
          <w:p w14:paraId="5C87F083" w14:textId="77777777" w:rsidR="00E45009" w:rsidRPr="00873FDE" w:rsidRDefault="00E45009" w:rsidP="00E45009">
            <w:r w:rsidRPr="00873FDE">
              <w:lastRenderedPageBreak/>
              <w:t xml:space="preserve">Labour Ministries, Labour Inspection, </w:t>
            </w:r>
            <w:r w:rsidRPr="00873FDE">
              <w:lastRenderedPageBreak/>
              <w:t>National Insurances, and/or National Statistical Office</w:t>
            </w:r>
          </w:p>
        </w:tc>
        <w:tc>
          <w:tcPr>
            <w:tcW w:w="0" w:type="auto"/>
            <w:shd w:val="clear" w:color="auto" w:fill="auto"/>
          </w:tcPr>
          <w:p w14:paraId="6622BB89" w14:textId="11EC1B3B" w:rsidR="00E45009" w:rsidRDefault="00E45009" w:rsidP="00E45009">
            <w:pPr>
              <w:jc w:val="both"/>
            </w:pPr>
          </w:p>
          <w:p w14:paraId="5D8170D4" w14:textId="77777777" w:rsidR="00E45009" w:rsidRDefault="00E45009" w:rsidP="00E45009">
            <w:pPr>
              <w:jc w:val="both"/>
              <w:rPr>
                <w:color w:val="0070C0"/>
                <w:sz w:val="48"/>
                <w:szCs w:val="48"/>
              </w:rPr>
            </w:pPr>
            <w:r>
              <w:t>DIFE</w:t>
            </w:r>
          </w:p>
        </w:tc>
        <w:tc>
          <w:tcPr>
            <w:tcW w:w="0" w:type="auto"/>
            <w:shd w:val="clear" w:color="auto" w:fill="auto"/>
          </w:tcPr>
          <w:p w14:paraId="49D24ABC" w14:textId="77777777" w:rsidR="00E45009" w:rsidRDefault="00E45009" w:rsidP="00E45009">
            <w:pPr>
              <w:jc w:val="both"/>
            </w:pPr>
            <w:r>
              <w:t>a.BBS, QLFS</w:t>
            </w:r>
          </w:p>
          <w:p w14:paraId="2389E058" w14:textId="77777777" w:rsidR="00E45009" w:rsidRDefault="00E45009" w:rsidP="00E45009">
            <w:pPr>
              <w:jc w:val="both"/>
              <w:rPr>
                <w:color w:val="0070C0"/>
                <w:sz w:val="48"/>
                <w:szCs w:val="48"/>
              </w:rPr>
            </w:pPr>
            <w:r>
              <w:t>b.DIFE, MoLE</w:t>
            </w:r>
          </w:p>
        </w:tc>
        <w:tc>
          <w:tcPr>
            <w:tcW w:w="0" w:type="auto"/>
            <w:shd w:val="clear" w:color="auto" w:fill="auto"/>
            <w:vAlign w:val="center"/>
          </w:tcPr>
          <w:p w14:paraId="7B7065D5" w14:textId="77777777" w:rsidR="00E45009" w:rsidRPr="00E12F8F"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 xml:space="preserve">sex: female, male, </w:t>
            </w:r>
            <w:r w:rsidRPr="00E12F8F">
              <w:rPr>
                <w:rFonts w:ascii="Tw Cen MT Condensed" w:hAnsi="Tw Cen MT Condensed"/>
                <w:sz w:val="20"/>
                <w:szCs w:val="20"/>
              </w:rPr>
              <w:t>both</w:t>
            </w:r>
          </w:p>
          <w:p w14:paraId="21FFA2BA" w14:textId="77777777" w:rsidR="00E45009" w:rsidRPr="00E12F8F"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lastRenderedPageBreak/>
              <w:t>migrant status</w:t>
            </w:r>
          </w:p>
          <w:p w14:paraId="67128745" w14:textId="77777777" w:rsidR="00E45009" w:rsidRPr="00E12F8F"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E12F8F">
              <w:rPr>
                <w:rFonts w:ascii="Tw Cen MT Condensed" w:hAnsi="Tw Cen MT Condensed"/>
                <w:sz w:val="20"/>
                <w:szCs w:val="20"/>
              </w:rPr>
              <w:t>economic activity: fatal, non-fatal</w:t>
            </w:r>
          </w:p>
          <w:p w14:paraId="4CDC49C4" w14:textId="77777777" w:rsidR="00E45009" w:rsidRPr="00E12F8F"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E12F8F">
              <w:rPr>
                <w:rFonts w:ascii="Tw Cen MT Condensed" w:hAnsi="Tw Cen MT Condensed"/>
                <w:sz w:val="20"/>
                <w:szCs w:val="20"/>
              </w:rPr>
              <w:t>occupation</w:t>
            </w:r>
          </w:p>
          <w:p w14:paraId="3A06CD07" w14:textId="77777777" w:rsidR="00E45009" w:rsidRDefault="00E45009" w:rsidP="00E45009">
            <w:pPr>
              <w:jc w:val="both"/>
              <w:rPr>
                <w:color w:val="0070C0"/>
                <w:sz w:val="48"/>
                <w:szCs w:val="48"/>
              </w:rPr>
            </w:pPr>
          </w:p>
        </w:tc>
        <w:tc>
          <w:tcPr>
            <w:tcW w:w="0" w:type="auto"/>
            <w:shd w:val="clear" w:color="auto" w:fill="auto"/>
          </w:tcPr>
          <w:p w14:paraId="31F463CE" w14:textId="77777777" w:rsidR="00E45009" w:rsidRDefault="00E45009" w:rsidP="00E45009">
            <w:pPr>
              <w:jc w:val="both"/>
              <w:rPr>
                <w:color w:val="0070C0"/>
                <w:sz w:val="48"/>
                <w:szCs w:val="48"/>
              </w:rPr>
            </w:pPr>
            <w:r w:rsidRPr="00BC6F10">
              <w:lastRenderedPageBreak/>
              <w:t>Triennial</w:t>
            </w:r>
          </w:p>
        </w:tc>
        <w:tc>
          <w:tcPr>
            <w:tcW w:w="0" w:type="auto"/>
            <w:shd w:val="clear" w:color="auto" w:fill="auto"/>
          </w:tcPr>
          <w:p w14:paraId="07A59CA6" w14:textId="77777777" w:rsidR="00E45009" w:rsidRDefault="00E45009" w:rsidP="00E45009">
            <w:pPr>
              <w:jc w:val="both"/>
              <w:rPr>
                <w:color w:val="0070C0"/>
                <w:sz w:val="48"/>
                <w:szCs w:val="48"/>
              </w:rPr>
            </w:pPr>
            <w:r>
              <w:t>Group 1</w:t>
            </w:r>
          </w:p>
        </w:tc>
        <w:tc>
          <w:tcPr>
            <w:tcW w:w="0" w:type="auto"/>
            <w:shd w:val="clear" w:color="auto" w:fill="auto"/>
          </w:tcPr>
          <w:p w14:paraId="7777325D" w14:textId="77777777" w:rsidR="00E45009" w:rsidRDefault="00E45009" w:rsidP="00E45009">
            <w:pPr>
              <w:pStyle w:val="NoSpacing"/>
            </w:pPr>
            <w:r>
              <w:t>1</w:t>
            </w:r>
            <w:r w:rsidRPr="00013ACB">
              <w:rPr>
                <w:vertAlign w:val="superscript"/>
              </w:rPr>
              <w:t>st</w:t>
            </w:r>
            <w:r>
              <w:t xml:space="preserve"> Round: </w:t>
            </w:r>
          </w:p>
          <w:p w14:paraId="32D4247B" w14:textId="77777777" w:rsidR="00E45009" w:rsidRDefault="00E45009" w:rsidP="00E45009">
            <w:pPr>
              <w:pStyle w:val="NoSpacing"/>
            </w:pPr>
            <w:r>
              <w:t>2015</w:t>
            </w:r>
          </w:p>
          <w:p w14:paraId="0F883E8E" w14:textId="77777777" w:rsidR="00E45009" w:rsidRDefault="00E45009" w:rsidP="00E45009">
            <w:pPr>
              <w:pStyle w:val="NoSpacing"/>
            </w:pPr>
          </w:p>
          <w:p w14:paraId="78D48614" w14:textId="77777777" w:rsidR="00E45009" w:rsidRDefault="00E45009" w:rsidP="00E45009">
            <w:pPr>
              <w:pStyle w:val="NoSpacing"/>
            </w:pPr>
            <w:r>
              <w:lastRenderedPageBreak/>
              <w:t>2</w:t>
            </w:r>
            <w:r w:rsidRPr="00013ACB">
              <w:rPr>
                <w:vertAlign w:val="superscript"/>
              </w:rPr>
              <w:t>nd</w:t>
            </w:r>
            <w:r>
              <w:t xml:space="preserve"> Round: </w:t>
            </w:r>
          </w:p>
          <w:p w14:paraId="0C28ABD3" w14:textId="77777777" w:rsidR="00E45009" w:rsidRDefault="00E45009" w:rsidP="00E45009">
            <w:pPr>
              <w:pStyle w:val="NoSpacing"/>
            </w:pPr>
            <w:r w:rsidRPr="00CA542A">
              <w:t>July 2019</w:t>
            </w:r>
          </w:p>
          <w:p w14:paraId="0F546930" w14:textId="77777777" w:rsidR="00E45009" w:rsidRDefault="00E45009" w:rsidP="00E45009">
            <w:pPr>
              <w:pStyle w:val="NoSpacing"/>
            </w:pPr>
          </w:p>
          <w:p w14:paraId="34541E5F" w14:textId="44C4422B" w:rsidR="00E45009" w:rsidRDefault="00E45009" w:rsidP="00E45009">
            <w:pPr>
              <w:pStyle w:val="NoSpacing"/>
            </w:pPr>
            <w:r>
              <w:t>3</w:t>
            </w:r>
            <w:r w:rsidRPr="00013ACB">
              <w:rPr>
                <w:vertAlign w:val="superscript"/>
              </w:rPr>
              <w:t>rd</w:t>
            </w:r>
            <w:r>
              <w:t xml:space="preserve"> Round: </w:t>
            </w:r>
            <w:r w:rsidR="00E72A8B" w:rsidRPr="00CA542A">
              <w:t>July 20</w:t>
            </w:r>
            <w:r w:rsidR="00E72A8B">
              <w:t>22</w:t>
            </w:r>
          </w:p>
          <w:p w14:paraId="1A1DE460" w14:textId="77777777" w:rsidR="00E45009" w:rsidRDefault="00E45009" w:rsidP="00E45009">
            <w:pPr>
              <w:pStyle w:val="NoSpacing"/>
            </w:pPr>
          </w:p>
          <w:p w14:paraId="07CF03C1" w14:textId="052635B2" w:rsidR="00E45009" w:rsidRDefault="00E45009" w:rsidP="00E45009">
            <w:pPr>
              <w:pStyle w:val="NoSpacing"/>
            </w:pPr>
            <w:r>
              <w:t>4</w:t>
            </w:r>
            <w:r w:rsidRPr="00013ACB">
              <w:rPr>
                <w:vertAlign w:val="superscript"/>
              </w:rPr>
              <w:t>th</w:t>
            </w:r>
            <w:r>
              <w:t xml:space="preserve"> Round: </w:t>
            </w:r>
            <w:r w:rsidR="00E72A8B" w:rsidRPr="00CA542A">
              <w:t>July 20</w:t>
            </w:r>
            <w:r w:rsidR="00E72A8B">
              <w:t>25</w:t>
            </w:r>
          </w:p>
          <w:p w14:paraId="2BCFC487" w14:textId="77777777" w:rsidR="00E45009" w:rsidRDefault="00E45009" w:rsidP="00E45009">
            <w:pPr>
              <w:pStyle w:val="NoSpacing"/>
            </w:pPr>
          </w:p>
          <w:p w14:paraId="5CB33879" w14:textId="1D0C56F6" w:rsidR="00E45009" w:rsidRDefault="00E45009" w:rsidP="00E45009">
            <w:pPr>
              <w:pStyle w:val="NoSpacing"/>
            </w:pPr>
            <w:r>
              <w:t>5</w:t>
            </w:r>
            <w:r w:rsidRPr="00013ACB">
              <w:rPr>
                <w:vertAlign w:val="superscript"/>
              </w:rPr>
              <w:t>th</w:t>
            </w:r>
            <w:r>
              <w:t xml:space="preserve"> Round: </w:t>
            </w:r>
            <w:r w:rsidR="00E72A8B" w:rsidRPr="00CA542A">
              <w:t>July 20</w:t>
            </w:r>
            <w:r w:rsidR="00E72A8B">
              <w:t>28</w:t>
            </w:r>
          </w:p>
          <w:p w14:paraId="628A5418" w14:textId="29DD6407" w:rsidR="00E45009" w:rsidRDefault="00E45009" w:rsidP="00E45009">
            <w:pPr>
              <w:pStyle w:val="NoSpacing"/>
            </w:pPr>
          </w:p>
        </w:tc>
        <w:tc>
          <w:tcPr>
            <w:tcW w:w="0" w:type="auto"/>
            <w:shd w:val="clear" w:color="auto" w:fill="auto"/>
          </w:tcPr>
          <w:p w14:paraId="6FC90A43" w14:textId="77777777" w:rsidR="00E45009" w:rsidRDefault="00E45009" w:rsidP="00E45009">
            <w:pPr>
              <w:pStyle w:val="NoSpacing"/>
            </w:pPr>
            <w:r w:rsidRPr="005C54E8">
              <w:lastRenderedPageBreak/>
              <w:t xml:space="preserve">Data availability reviewed in Nov. </w:t>
            </w:r>
            <w:r w:rsidRPr="005C54E8">
              <w:lastRenderedPageBreak/>
              <w:t>2017 (classified as Tier II)</w:t>
            </w:r>
          </w:p>
        </w:tc>
      </w:tr>
      <w:tr w:rsidR="00E45009" w14:paraId="665A4078" w14:textId="77777777" w:rsidTr="0025292C">
        <w:tc>
          <w:tcPr>
            <w:tcW w:w="0" w:type="auto"/>
            <w:shd w:val="clear" w:color="auto" w:fill="auto"/>
          </w:tcPr>
          <w:p w14:paraId="02AD7F79" w14:textId="77777777" w:rsidR="00E45009" w:rsidRDefault="00E45009" w:rsidP="00E45009">
            <w:pPr>
              <w:jc w:val="both"/>
              <w:rPr>
                <w:color w:val="0070C0"/>
                <w:sz w:val="48"/>
                <w:szCs w:val="48"/>
              </w:rPr>
            </w:pPr>
            <w:r w:rsidRPr="00F73727">
              <w:lastRenderedPageBreak/>
              <w:t>8.8.2 Level of national compliance with labour rights (freedom of association and collective bargaining) based on International Labour Organization (ILO) textual sources and national legislation, by sex and migrant status</w:t>
            </w:r>
          </w:p>
        </w:tc>
        <w:tc>
          <w:tcPr>
            <w:tcW w:w="0" w:type="auto"/>
            <w:shd w:val="clear" w:color="auto" w:fill="auto"/>
          </w:tcPr>
          <w:p w14:paraId="55000997" w14:textId="77777777" w:rsidR="00E45009" w:rsidRDefault="00E45009" w:rsidP="00E45009">
            <w:pPr>
              <w:ind w:left="970" w:hanging="970"/>
              <w:jc w:val="both"/>
              <w:rPr>
                <w:color w:val="0070C0"/>
                <w:sz w:val="30"/>
                <w:szCs w:val="30"/>
              </w:rPr>
            </w:pPr>
          </w:p>
          <w:p w14:paraId="7D7CCE61" w14:textId="77777777" w:rsidR="00E45009" w:rsidRDefault="00E45009" w:rsidP="00E45009">
            <w:pPr>
              <w:jc w:val="both"/>
              <w:rPr>
                <w:color w:val="0070C0"/>
                <w:sz w:val="48"/>
                <w:szCs w:val="48"/>
              </w:rPr>
            </w:pPr>
            <w:r w:rsidRPr="00EE1D53">
              <w:t>ILO</w:t>
            </w:r>
          </w:p>
        </w:tc>
        <w:tc>
          <w:tcPr>
            <w:tcW w:w="0" w:type="auto"/>
            <w:shd w:val="clear" w:color="auto" w:fill="auto"/>
          </w:tcPr>
          <w:p w14:paraId="38065EFE" w14:textId="77777777" w:rsidR="00E45009" w:rsidRDefault="00E45009" w:rsidP="00E45009">
            <w:pPr>
              <w:jc w:val="both"/>
              <w:rPr>
                <w:color w:val="0070C0"/>
                <w:sz w:val="48"/>
                <w:szCs w:val="48"/>
              </w:rPr>
            </w:pPr>
            <w:r w:rsidRPr="00666486">
              <w:t>Tier II</w:t>
            </w:r>
          </w:p>
        </w:tc>
        <w:tc>
          <w:tcPr>
            <w:tcW w:w="0" w:type="auto"/>
            <w:shd w:val="clear" w:color="auto" w:fill="auto"/>
          </w:tcPr>
          <w:p w14:paraId="67770492" w14:textId="77777777" w:rsidR="00E45009" w:rsidRPr="00081C8E" w:rsidRDefault="00E45009" w:rsidP="00E45009">
            <w:pPr>
              <w:pStyle w:val="NoSpacing"/>
              <w:rPr>
                <w:lang w:val="en-GB"/>
              </w:rPr>
            </w:pPr>
            <w:r w:rsidRPr="00081C8E">
              <w:rPr>
                <w:b/>
                <w:bCs/>
                <w:lang w:val="en-GB"/>
              </w:rPr>
              <w:t>Definition:</w:t>
            </w:r>
          </w:p>
          <w:p w14:paraId="5BF74E1F" w14:textId="77777777" w:rsidR="00E45009" w:rsidRPr="00081C8E" w:rsidRDefault="00E45009" w:rsidP="00E45009">
            <w:pPr>
              <w:pStyle w:val="NoSpacing"/>
              <w:rPr>
                <w:lang w:val="en-GB"/>
              </w:rPr>
            </w:pPr>
            <w:r w:rsidRPr="00081C8E">
              <w:rPr>
                <w:lang w:val="en-GB"/>
              </w:rPr>
              <w:t xml:space="preserve">The indicator will cover all ILO member states seeking to measure the level of national compliance with fundamental rights (freedom of association and collective bargaining, FACB) based on six international ILO supervisory body textual sources and also on national legislation. It is based on a coding process starting from coding the sources relevant to the year evaluated, coding the non-compliance identified in the collected sources and by converting the coding into indicators. </w:t>
            </w:r>
          </w:p>
          <w:p w14:paraId="397CE97B" w14:textId="77777777" w:rsidR="00E45009" w:rsidRPr="00081C8E" w:rsidRDefault="00E45009" w:rsidP="00E45009">
            <w:pPr>
              <w:pStyle w:val="NoSpacing"/>
              <w:rPr>
                <w:b/>
                <w:bCs/>
                <w:lang w:val="en-GB"/>
              </w:rPr>
            </w:pPr>
          </w:p>
          <w:p w14:paraId="0815F4F2" w14:textId="77777777" w:rsidR="00E45009" w:rsidRPr="00081C8E" w:rsidRDefault="00E45009" w:rsidP="00E45009">
            <w:pPr>
              <w:pStyle w:val="NoSpacing"/>
              <w:rPr>
                <w:lang w:val="en-GB"/>
              </w:rPr>
            </w:pPr>
            <w:r w:rsidRPr="00081C8E">
              <w:rPr>
                <w:b/>
                <w:bCs/>
                <w:lang w:val="en-GB"/>
              </w:rPr>
              <w:t>Concepts:</w:t>
            </w:r>
          </w:p>
          <w:p w14:paraId="4D62928C" w14:textId="77777777" w:rsidR="00E45009" w:rsidRPr="00081C8E" w:rsidRDefault="00E45009" w:rsidP="00E45009">
            <w:pPr>
              <w:pStyle w:val="NoSpacing"/>
              <w:numPr>
                <w:ilvl w:val="0"/>
                <w:numId w:val="153"/>
              </w:numPr>
              <w:rPr>
                <w:lang w:val="en-GB"/>
              </w:rPr>
            </w:pPr>
            <w:bookmarkStart w:id="3" w:name="_Toc523910452"/>
            <w:r w:rsidRPr="00081C8E">
              <w:rPr>
                <w:lang w:val="en-GB"/>
              </w:rPr>
              <w:t>Freedom of association and collective bargaining rights and their supervision</w:t>
            </w:r>
            <w:bookmarkEnd w:id="3"/>
          </w:p>
          <w:p w14:paraId="599CEC42" w14:textId="77777777" w:rsidR="00E45009" w:rsidRPr="00081C8E" w:rsidRDefault="00E45009" w:rsidP="00E45009">
            <w:pPr>
              <w:pStyle w:val="NoSpacing"/>
              <w:rPr>
                <w:lang w:val="en-GB"/>
              </w:rPr>
            </w:pPr>
            <w:r w:rsidRPr="00081C8E">
              <w:rPr>
                <w:lang w:val="en-GB"/>
              </w:rPr>
              <w:t xml:space="preserve">The principles of freedom of association and collective bargaining (FACB) are and have long been at the core of the ILO’s normative foundations. These foundations have been established in the ILO’s Constitution (1919), the ILO Declaration of Philadelphia (1944), in two key ILO Conventions (namely the </w:t>
            </w:r>
            <w:r w:rsidRPr="00081C8E">
              <w:rPr>
                <w:i/>
                <w:lang w:val="en-GB"/>
              </w:rPr>
              <w:t>Freedom of Association and Protection of the Right to Organise Convention, 1948 (No. 87)</w:t>
            </w:r>
            <w:r w:rsidRPr="00081C8E">
              <w:rPr>
                <w:lang w:val="en-GB"/>
              </w:rPr>
              <w:t xml:space="preserve"> and the </w:t>
            </w:r>
            <w:r w:rsidRPr="00081C8E">
              <w:rPr>
                <w:i/>
                <w:lang w:val="en-GB"/>
              </w:rPr>
              <w:t>Right to Organise and Collective Bargaining Convention, 1949 (No. 98)</w:t>
            </w:r>
            <w:r w:rsidRPr="00081C8E">
              <w:rPr>
                <w:lang w:val="en-GB"/>
              </w:rPr>
              <w:t>) and the ILO Declaration on Fundamental Principles and Rights at Work (1998). They are also rights proclaimed in the Universal Declaration of Human Rights (1948) and other international and regional human rights instruments. With the adoption of the 1998 ILO Declaration, the promotion and realization of these fundamental principles and rights also became a constitutional obligation of all ILO member States.</w:t>
            </w:r>
          </w:p>
          <w:p w14:paraId="7420934A" w14:textId="77777777" w:rsidR="00E45009" w:rsidRPr="00081C8E" w:rsidRDefault="00E45009" w:rsidP="00E45009">
            <w:pPr>
              <w:pStyle w:val="NoSpacing"/>
              <w:rPr>
                <w:lang w:val="en-GB"/>
              </w:rPr>
            </w:pPr>
          </w:p>
          <w:p w14:paraId="20BF6CA1" w14:textId="77777777" w:rsidR="00E45009" w:rsidRPr="00081C8E" w:rsidRDefault="00E45009" w:rsidP="00E45009">
            <w:pPr>
              <w:pStyle w:val="NoSpacing"/>
              <w:rPr>
                <w:lang w:val="en-GB"/>
              </w:rPr>
            </w:pPr>
            <w:r w:rsidRPr="00081C8E">
              <w:rPr>
                <w:lang w:val="en-GB"/>
              </w:rPr>
              <w:t xml:space="preserve"> FACB rights are considered as ‘enabling rights’, the realisation of which is necessary to promote and realise other rights at work. They provide an essential foundation for social dialogue, effective labour market governance and realization of decent work. They are vital in enabling employers and workers to associate and efficiently negotiate work relations, to ensure that both employers and workers have an equal voice in negotiations, and that the outcome is fair and equitable. As such they play a crucial role in the elaboration of economic and social policies that take on board the interests and needs of all actors in the economy. FACB rights are also salient because they are indispensable pillars of democracy as well as the process of democratization.</w:t>
            </w:r>
          </w:p>
          <w:p w14:paraId="6AB721F2" w14:textId="77777777" w:rsidR="00E45009" w:rsidRPr="00081C8E" w:rsidRDefault="00E45009" w:rsidP="00E45009">
            <w:pPr>
              <w:pStyle w:val="NoSpacing"/>
              <w:rPr>
                <w:lang w:val="en-GB"/>
              </w:rPr>
            </w:pPr>
          </w:p>
          <w:p w14:paraId="0E9E295E" w14:textId="77777777" w:rsidR="00E45009" w:rsidRPr="00081C8E" w:rsidRDefault="00E45009" w:rsidP="00E45009">
            <w:pPr>
              <w:pStyle w:val="NoSpacing"/>
              <w:rPr>
                <w:lang w:val="en-GB"/>
              </w:rPr>
            </w:pPr>
            <w:r w:rsidRPr="00081C8E">
              <w:rPr>
                <w:lang w:val="en-GB"/>
              </w:rPr>
              <w:t xml:space="preserve">FACB rights, together with other international labour standards, are backed by the ILO’s unique supervisory system. The ILO regularly examines the application of standards in member States and highlights areas where those standards are violated and where they could be </w:t>
            </w:r>
            <w:r w:rsidRPr="00081C8E">
              <w:rPr>
                <w:lang w:val="en-GB"/>
              </w:rPr>
              <w:lastRenderedPageBreak/>
              <w:t>better applied. The ILO’s supervisory system includes two kinds of supervisory mechanisms: the regular system of supervision and the special procedures. The prior entails the examination of periodic reports submitted by member States on the measures taken to implement the provisions of ILO Conventions ratified by them. The special procedures, that is, representations, complaints and the special procedure for complaints regarding freedom of association through the Freedom of Association Committee, allow for the examination of violations on the basis of a submission of a representation or a complaint.</w:t>
            </w:r>
          </w:p>
          <w:p w14:paraId="64A5B691" w14:textId="77777777" w:rsidR="00E45009" w:rsidRPr="00081C8E" w:rsidRDefault="00E45009" w:rsidP="00E45009">
            <w:pPr>
              <w:pStyle w:val="NoSpacing"/>
              <w:rPr>
                <w:lang w:val="en-GB"/>
              </w:rPr>
            </w:pPr>
          </w:p>
          <w:p w14:paraId="4459B417" w14:textId="77777777" w:rsidR="00E45009" w:rsidRPr="00081C8E" w:rsidRDefault="00E45009" w:rsidP="00E45009">
            <w:pPr>
              <w:pStyle w:val="NoSpacing"/>
              <w:rPr>
                <w:lang w:val="en-GB"/>
              </w:rPr>
            </w:pPr>
            <w:r w:rsidRPr="00081C8E">
              <w:rPr>
                <w:lang w:val="en-GB"/>
              </w:rPr>
              <w:t>In an effort to address some of the shortcomings of previous methods, the ILO developed an alternative coding scheme which provides the foundation for its new method of constructing labour rights indicators (Sari and Kucera, 2011). Among the most important improvements over the previous method are the following:</w:t>
            </w:r>
          </w:p>
          <w:p w14:paraId="405EA0E9" w14:textId="77777777" w:rsidR="00E45009" w:rsidRPr="00081C8E" w:rsidRDefault="00E45009" w:rsidP="00E45009">
            <w:pPr>
              <w:pStyle w:val="NoSpacing"/>
              <w:numPr>
                <w:ilvl w:val="0"/>
                <w:numId w:val="154"/>
              </w:numPr>
              <w:rPr>
                <w:lang w:val="en-GB"/>
              </w:rPr>
            </w:pPr>
            <w:r w:rsidRPr="00081C8E">
              <w:rPr>
                <w:lang w:val="en-GB"/>
              </w:rPr>
              <w:t>Coding seven rather than just three textual sources and thus making full use of textual sources available through the ILO’s supervisory system, as well as coding national legislation.</w:t>
            </w:r>
          </w:p>
          <w:p w14:paraId="094FDA39" w14:textId="77777777" w:rsidR="00E45009" w:rsidRPr="00081C8E" w:rsidRDefault="00E45009" w:rsidP="00E45009">
            <w:pPr>
              <w:pStyle w:val="NoSpacing"/>
              <w:numPr>
                <w:ilvl w:val="0"/>
                <w:numId w:val="154"/>
              </w:numPr>
              <w:rPr>
                <w:lang w:val="en-GB"/>
              </w:rPr>
            </w:pPr>
            <w:r w:rsidRPr="00081C8E">
              <w:rPr>
                <w:lang w:val="en-GB"/>
              </w:rPr>
              <w:t>Distinct evaluation criteria for violations of FACB rights in law (</w:t>
            </w:r>
            <w:r w:rsidRPr="00081C8E">
              <w:rPr>
                <w:i/>
                <w:lang w:val="en-GB"/>
              </w:rPr>
              <w:t>de jure</w:t>
            </w:r>
            <w:r w:rsidRPr="00081C8E">
              <w:rPr>
                <w:lang w:val="en-GB"/>
              </w:rPr>
              <w:t>) and in practice (</w:t>
            </w:r>
            <w:r w:rsidRPr="00081C8E">
              <w:rPr>
                <w:i/>
                <w:lang w:val="en-GB"/>
              </w:rPr>
              <w:t>de facto</w:t>
            </w:r>
            <w:r w:rsidRPr="00081C8E">
              <w:rPr>
                <w:lang w:val="en-GB"/>
              </w:rPr>
              <w:t xml:space="preserve">).  </w:t>
            </w:r>
          </w:p>
          <w:p w14:paraId="57736C6F" w14:textId="77777777" w:rsidR="00E45009" w:rsidRPr="00081C8E" w:rsidRDefault="00E45009" w:rsidP="00E45009">
            <w:pPr>
              <w:pStyle w:val="NoSpacing"/>
              <w:numPr>
                <w:ilvl w:val="0"/>
                <w:numId w:val="154"/>
              </w:numPr>
              <w:rPr>
                <w:lang w:val="en-GB"/>
              </w:rPr>
            </w:pPr>
            <w:r w:rsidRPr="00081C8E">
              <w:rPr>
                <w:lang w:val="en-GB"/>
              </w:rPr>
              <w:t>Greater emphasis on violations of FACB rights regarding due process.</w:t>
            </w:r>
          </w:p>
          <w:p w14:paraId="0213D337" w14:textId="77777777" w:rsidR="00E45009" w:rsidRPr="00081C8E" w:rsidRDefault="00E45009" w:rsidP="00E45009">
            <w:pPr>
              <w:pStyle w:val="NoSpacing"/>
              <w:numPr>
                <w:ilvl w:val="0"/>
                <w:numId w:val="154"/>
              </w:numPr>
              <w:rPr>
                <w:lang w:val="en-GB"/>
              </w:rPr>
            </w:pPr>
            <w:r w:rsidRPr="00081C8E">
              <w:rPr>
                <w:lang w:val="en-GB"/>
              </w:rPr>
              <w:t>Greater emphasis on violations of FACB rights committed against officials of workers’ and employers’ organizations.</w:t>
            </w:r>
          </w:p>
          <w:p w14:paraId="4D9AA63E" w14:textId="77777777" w:rsidR="00E45009" w:rsidRPr="00081C8E" w:rsidRDefault="00E45009" w:rsidP="00E45009">
            <w:pPr>
              <w:pStyle w:val="NoSpacing"/>
              <w:numPr>
                <w:ilvl w:val="0"/>
                <w:numId w:val="154"/>
              </w:numPr>
              <w:rPr>
                <w:lang w:val="en-GB"/>
              </w:rPr>
            </w:pPr>
            <w:r w:rsidRPr="00081C8E">
              <w:rPr>
                <w:lang w:val="en-GB"/>
              </w:rPr>
              <w:t>Eliminating catch-all evaluation criteria, such as “Other de jure acts of prohibitions, infringements and interference” or “Other de facto acts of prohibitions, infringements and interference”.</w:t>
            </w:r>
          </w:p>
          <w:p w14:paraId="40E87A62" w14:textId="77777777" w:rsidR="00E45009" w:rsidRPr="00081C8E" w:rsidRDefault="00E45009" w:rsidP="00E45009">
            <w:pPr>
              <w:pStyle w:val="NoSpacing"/>
              <w:numPr>
                <w:ilvl w:val="0"/>
                <w:numId w:val="154"/>
              </w:numPr>
              <w:rPr>
                <w:lang w:val="en-GB"/>
              </w:rPr>
            </w:pPr>
            <w:r w:rsidRPr="00081C8E">
              <w:rPr>
                <w:lang w:val="en-GB"/>
              </w:rPr>
              <w:t>Coding violations against both workers and workers’ organizations and employers and employer’s organizations.</w:t>
            </w:r>
          </w:p>
          <w:p w14:paraId="31ABD4A0" w14:textId="77777777" w:rsidR="00E45009" w:rsidRPr="00081C8E" w:rsidRDefault="00E45009" w:rsidP="00E45009">
            <w:pPr>
              <w:pStyle w:val="NoSpacing"/>
              <w:numPr>
                <w:ilvl w:val="0"/>
                <w:numId w:val="154"/>
              </w:numPr>
              <w:rPr>
                <w:lang w:val="en-GB"/>
              </w:rPr>
            </w:pPr>
            <w:r w:rsidRPr="00081C8E">
              <w:rPr>
                <w:lang w:val="en-GB"/>
              </w:rPr>
              <w:t>Following from the prior points, an increase in the number of evaluation criteria from 37 to 180 (103 evaluation criteria for workers’ organizations and 77 evaluation criteria for employers’ organizations).</w:t>
            </w:r>
          </w:p>
          <w:p w14:paraId="2808BB7E" w14:textId="77777777" w:rsidR="00E45009" w:rsidRPr="00081C8E" w:rsidRDefault="00E45009" w:rsidP="00E45009">
            <w:pPr>
              <w:pStyle w:val="NoSpacing"/>
              <w:numPr>
                <w:ilvl w:val="0"/>
                <w:numId w:val="154"/>
              </w:numPr>
              <w:rPr>
                <w:lang w:val="en-GB"/>
              </w:rPr>
            </w:pPr>
            <w:r w:rsidRPr="00081C8E">
              <w:rPr>
                <w:lang w:val="en-GB"/>
              </w:rPr>
              <w:t>More comprehensive definitions of what constitutes a violation of each of the evaluation criteria.</w:t>
            </w:r>
          </w:p>
          <w:p w14:paraId="720DA18B" w14:textId="77777777" w:rsidR="00E45009" w:rsidRPr="00081C8E" w:rsidRDefault="00E45009" w:rsidP="00E45009">
            <w:pPr>
              <w:pStyle w:val="NoSpacing"/>
              <w:numPr>
                <w:ilvl w:val="0"/>
                <w:numId w:val="154"/>
              </w:numPr>
              <w:rPr>
                <w:lang w:val="en-GB"/>
              </w:rPr>
            </w:pPr>
            <w:r w:rsidRPr="00081C8E">
              <w:rPr>
                <w:lang w:val="en-GB"/>
              </w:rPr>
              <w:t>The use of the Delphi method of expert consultation to derive weights for each of the evaluation criteria.</w:t>
            </w:r>
          </w:p>
          <w:p w14:paraId="0FFB4A5C" w14:textId="77777777" w:rsidR="00E45009" w:rsidRPr="00081C8E" w:rsidRDefault="00E45009" w:rsidP="00E45009">
            <w:pPr>
              <w:pStyle w:val="NoSpacing"/>
              <w:numPr>
                <w:ilvl w:val="0"/>
                <w:numId w:val="154"/>
              </w:numPr>
              <w:rPr>
                <w:lang w:val="en-GB"/>
              </w:rPr>
            </w:pPr>
            <w:r w:rsidRPr="00081C8E">
              <w:rPr>
                <w:lang w:val="en-GB"/>
              </w:rPr>
              <w:t xml:space="preserve">Perhaps most fundamentally, whereas the previous method was the work of an economist, the new method was developed in equal measure by a labour lawyer and an economist working in close collaboration, with the coding done by labour lawyers rather than economists.  </w:t>
            </w:r>
          </w:p>
          <w:p w14:paraId="36605E73" w14:textId="77777777" w:rsidR="00E45009" w:rsidRPr="00081C8E" w:rsidRDefault="00E45009" w:rsidP="00E45009">
            <w:pPr>
              <w:pStyle w:val="NoSpacing"/>
              <w:rPr>
                <w:lang w:val="en-GB"/>
              </w:rPr>
            </w:pPr>
          </w:p>
          <w:p w14:paraId="2A143001" w14:textId="77777777" w:rsidR="00E45009" w:rsidRPr="00081C8E" w:rsidRDefault="00E45009" w:rsidP="00E45009">
            <w:pPr>
              <w:pStyle w:val="NoSpacing"/>
              <w:rPr>
                <w:lang w:val="en-GB"/>
              </w:rPr>
            </w:pPr>
            <w:bookmarkStart w:id="4" w:name="_Toc283285303"/>
            <w:bookmarkStart w:id="5" w:name="_Toc370293981"/>
            <w:r w:rsidRPr="00081C8E">
              <w:rPr>
                <w:lang w:val="en-GB"/>
              </w:rPr>
              <w:t xml:space="preserve">Regarding the main elements of the new method, the use of the Delphi method to derive weights, and the rules for converting the coded information into normalized indicators ranging in value from 0 to 10 (best and worst possible scores, respectively). </w:t>
            </w:r>
          </w:p>
          <w:p w14:paraId="6382621D" w14:textId="77777777" w:rsidR="00E45009" w:rsidRPr="00081C8E" w:rsidRDefault="00E45009" w:rsidP="00E45009">
            <w:pPr>
              <w:pStyle w:val="NoSpacing"/>
              <w:numPr>
                <w:ilvl w:val="0"/>
                <w:numId w:val="153"/>
              </w:numPr>
              <w:rPr>
                <w:b/>
                <w:bCs/>
                <w:lang w:val="en-GB"/>
              </w:rPr>
            </w:pPr>
            <w:bookmarkStart w:id="6" w:name="_Toc523910454"/>
            <w:r w:rsidRPr="00081C8E">
              <w:rPr>
                <w:b/>
                <w:bCs/>
                <w:lang w:val="en-GB"/>
              </w:rPr>
              <w:t>Key premises</w:t>
            </w:r>
            <w:bookmarkEnd w:id="4"/>
            <w:bookmarkEnd w:id="5"/>
            <w:bookmarkEnd w:id="6"/>
          </w:p>
          <w:p w14:paraId="1BFAE4E1" w14:textId="77777777" w:rsidR="00E45009" w:rsidRPr="00081C8E" w:rsidRDefault="00E45009" w:rsidP="00E45009">
            <w:pPr>
              <w:pStyle w:val="NoSpacing"/>
              <w:rPr>
                <w:lang w:val="en-GB"/>
              </w:rPr>
            </w:pPr>
            <w:r w:rsidRPr="00081C8E">
              <w:rPr>
                <w:lang w:val="en-GB"/>
              </w:rPr>
              <w:t>The key premises on which the indicators are based are: (i) definitional validity – the extent to which the evaluation criteria and their corresponding definitions accurately reflect the phenomena they are meant to measure; (ii) transparency – how readily a coded violation can be traced back to any given textual source; and (iii) inter-coder reliability – the extent to which different evaluators working independently are able to consistently arrive at the same results.</w:t>
            </w:r>
          </w:p>
          <w:p w14:paraId="032B4643" w14:textId="77777777" w:rsidR="00E45009" w:rsidRPr="00081C8E" w:rsidRDefault="00E45009" w:rsidP="00E45009">
            <w:pPr>
              <w:pStyle w:val="NoSpacing"/>
              <w:rPr>
                <w:lang w:val="en-GB"/>
              </w:rPr>
            </w:pPr>
          </w:p>
          <w:p w14:paraId="2E33267F" w14:textId="77777777" w:rsidR="00E45009" w:rsidRPr="00081C8E" w:rsidRDefault="00E45009" w:rsidP="00E45009">
            <w:pPr>
              <w:pStyle w:val="NoSpacing"/>
              <w:rPr>
                <w:lang w:val="en-GB"/>
              </w:rPr>
            </w:pPr>
            <w:r w:rsidRPr="00081C8E">
              <w:rPr>
                <w:i/>
                <w:lang w:val="en-GB"/>
              </w:rPr>
              <w:t>Definitional validity</w:t>
            </w:r>
            <w:r w:rsidRPr="00081C8E">
              <w:rPr>
                <w:lang w:val="en-GB"/>
              </w:rPr>
              <w:t xml:space="preserve">. As these are meant to be indicators of </w:t>
            </w:r>
            <w:r w:rsidRPr="00081C8E">
              <w:rPr>
                <w:i/>
                <w:lang w:val="en-GB"/>
              </w:rPr>
              <w:t>international</w:t>
            </w:r>
            <w:r w:rsidRPr="00081C8E">
              <w:rPr>
                <w:lang w:val="en-GB"/>
              </w:rPr>
              <w:t xml:space="preserve"> FACB rights, the evaluation criteria and their corresponding </w:t>
            </w:r>
            <w:r w:rsidRPr="00081C8E">
              <w:rPr>
                <w:lang w:val="en-GB"/>
              </w:rPr>
              <w:lastRenderedPageBreak/>
              <w:t>definitions are directly based on the ILO Constitution, ILO Conventions No. 87 and 98 and the related body of comments of the ILO supervisory bodies.</w:t>
            </w:r>
            <w:r w:rsidRPr="00081C8E">
              <w:rPr>
                <w:vertAlign w:val="superscript"/>
                <w:lang w:val="en-GB"/>
              </w:rPr>
              <w:footnoteReference w:id="4"/>
            </w:r>
            <w:r w:rsidRPr="00081C8E">
              <w:rPr>
                <w:lang w:val="en-GB"/>
              </w:rPr>
              <w:t xml:space="preserve"> Given that the ILO supervisory system is also guided by these definitions, this facilitates the act of coding itself given the heavy reliance on ILO textual sources produced by the supervisory system.  </w:t>
            </w:r>
          </w:p>
          <w:p w14:paraId="7B58ABC7" w14:textId="77777777" w:rsidR="00E45009" w:rsidRPr="00081C8E" w:rsidRDefault="00E45009" w:rsidP="00E45009">
            <w:pPr>
              <w:pStyle w:val="NoSpacing"/>
              <w:rPr>
                <w:i/>
                <w:lang w:val="en-GB"/>
              </w:rPr>
            </w:pPr>
          </w:p>
          <w:p w14:paraId="13C2F9BE" w14:textId="77777777" w:rsidR="00E45009" w:rsidRPr="00081C8E" w:rsidRDefault="00E45009" w:rsidP="00E45009">
            <w:pPr>
              <w:pStyle w:val="NoSpacing"/>
              <w:rPr>
                <w:lang w:val="en-GB"/>
              </w:rPr>
            </w:pPr>
            <w:r w:rsidRPr="00081C8E">
              <w:rPr>
                <w:i/>
                <w:lang w:val="en-GB"/>
              </w:rPr>
              <w:t>Transparency</w:t>
            </w:r>
            <w:r w:rsidRPr="00081C8E">
              <w:rPr>
                <w:lang w:val="en-GB"/>
              </w:rPr>
              <w:t xml:space="preserve">. A key rationale for the large number of evaluation criteria is to eliminate catchall evaluation criteria for violations of FACB rights not elsewhere coded, that is, violations for which there are no explicit evaluation criteria. More generally, the aim was to avoid pigeon-holing violations that are not of similar character or severity. This level of detail also facilitates the transparency of the method, in that very specific violations can be readily traced back to individual textual sources. This is made possible by the coding itself, in which violations are coded with the letters “a” through “g,” with each letter standing for one of the seven textual sources coded, as discussed below. </w:t>
            </w:r>
          </w:p>
          <w:p w14:paraId="39F398A9" w14:textId="77777777" w:rsidR="00E45009" w:rsidRPr="00081C8E" w:rsidRDefault="00E45009" w:rsidP="00E45009">
            <w:pPr>
              <w:pStyle w:val="NoSpacing"/>
              <w:rPr>
                <w:i/>
                <w:lang w:val="en-GB"/>
              </w:rPr>
            </w:pPr>
          </w:p>
          <w:p w14:paraId="51344C6E" w14:textId="77777777" w:rsidR="00E45009" w:rsidRPr="00081C8E" w:rsidRDefault="00E45009" w:rsidP="00E45009">
            <w:pPr>
              <w:pStyle w:val="NoSpacing"/>
              <w:rPr>
                <w:lang w:val="en-GB"/>
              </w:rPr>
            </w:pPr>
            <w:r w:rsidRPr="00081C8E">
              <w:rPr>
                <w:i/>
                <w:lang w:val="en-GB"/>
              </w:rPr>
              <w:t>Inter-coder reliability</w:t>
            </w:r>
            <w:r w:rsidRPr="00081C8E">
              <w:rPr>
                <w:lang w:val="en-GB"/>
              </w:rPr>
              <w:t xml:space="preserve">. The method is based on clear and comprehensive coding rules as well as definitions for each of the evaluation criteria with the aim of making the indicators reproducible. Inter-coder reliability was assessed in the process of training teams of lawyers (sequentially and independently of each other) to do the coding and in double-checking their coding, which resulted in a number of clarifications and refinements to the coding rules and definitions. This process led to the conclusion that the inter-coder reliability of the method depends first and foremost on the coders being sufficiently well-trained and in particular being sufficiently well-versed in the coding rules and definitions to be able to apply them consistently. </w:t>
            </w:r>
          </w:p>
          <w:p w14:paraId="5E650B46" w14:textId="77777777" w:rsidR="00E45009" w:rsidRPr="00081C8E" w:rsidRDefault="00E45009" w:rsidP="00E45009">
            <w:pPr>
              <w:pStyle w:val="NoSpacing"/>
              <w:rPr>
                <w:b/>
                <w:bCs/>
                <w:lang w:val="en-GB"/>
              </w:rPr>
            </w:pPr>
          </w:p>
          <w:p w14:paraId="656E6B2C" w14:textId="77777777" w:rsidR="00E45009" w:rsidRPr="00081C8E" w:rsidRDefault="00E45009" w:rsidP="00E45009">
            <w:pPr>
              <w:pStyle w:val="NoSpacing"/>
              <w:rPr>
                <w:lang w:val="en-GB"/>
              </w:rPr>
            </w:pPr>
            <w:r w:rsidRPr="00081C8E">
              <w:rPr>
                <w:b/>
                <w:bCs/>
                <w:lang w:val="en-GB"/>
              </w:rPr>
              <w:t>Computation Method:</w:t>
            </w:r>
          </w:p>
          <w:p w14:paraId="581262A8" w14:textId="77777777" w:rsidR="00E45009" w:rsidRPr="00081C8E" w:rsidRDefault="00E45009" w:rsidP="00E45009">
            <w:pPr>
              <w:pStyle w:val="NoSpacing"/>
              <w:rPr>
                <w:lang w:val="en-GB"/>
              </w:rPr>
            </w:pPr>
          </w:p>
          <w:p w14:paraId="545FA18B" w14:textId="77777777" w:rsidR="00E45009" w:rsidRPr="00081C8E" w:rsidRDefault="00E45009" w:rsidP="00E45009">
            <w:pPr>
              <w:pStyle w:val="NoSpacing"/>
              <w:rPr>
                <w:lang w:val="en-GB"/>
              </w:rPr>
            </w:pPr>
            <w:r w:rsidRPr="00081C8E">
              <w:rPr>
                <w:lang w:val="en-GB"/>
              </w:rPr>
              <w:t>Table 1</w:t>
            </w:r>
            <w:r w:rsidRPr="00081C8E">
              <w:rPr>
                <w:i/>
                <w:lang w:val="en-GB"/>
              </w:rPr>
              <w:t xml:space="preserve"> </w:t>
            </w:r>
            <w:r w:rsidRPr="00081C8E">
              <w:rPr>
                <w:lang w:val="en-GB"/>
              </w:rPr>
              <w:t xml:space="preserve">enumerates the evaluation criteria for workers and their organizations and Table 2 the evaluation criteria for employers and their organizations. As shown in these tables, the evaluation criteria are grouped into broad categories represented by Roman numerals, which are themselves split into violations of FACB rights in law and in practice. In other words, most of the evaluation criteria representing violations in law have a partner representing violations in practice, and vice versa. </w:t>
            </w:r>
          </w:p>
          <w:p w14:paraId="73C53B84" w14:textId="77777777" w:rsidR="00E45009" w:rsidRPr="00081C8E" w:rsidRDefault="00E45009" w:rsidP="00E45009">
            <w:pPr>
              <w:pStyle w:val="NoSpacing"/>
              <w:numPr>
                <w:ilvl w:val="0"/>
                <w:numId w:val="155"/>
              </w:numPr>
              <w:rPr>
                <w:lang w:val="en-GB"/>
              </w:rPr>
            </w:pPr>
            <w:r w:rsidRPr="00081C8E">
              <w:rPr>
                <w:lang w:val="en-GB"/>
              </w:rPr>
              <w:t>Violations in law refer to national legislation that is not in conformity with FACB rights as defined by the ILO as well as to actions taken on the basis of such legislation.</w:t>
            </w:r>
          </w:p>
          <w:p w14:paraId="708937FA" w14:textId="77777777" w:rsidR="00E45009" w:rsidRPr="00081C8E" w:rsidRDefault="00E45009" w:rsidP="00E45009">
            <w:pPr>
              <w:pStyle w:val="NoSpacing"/>
              <w:numPr>
                <w:ilvl w:val="0"/>
                <w:numId w:val="155"/>
              </w:numPr>
              <w:rPr>
                <w:lang w:val="en-GB"/>
              </w:rPr>
            </w:pPr>
            <w:r w:rsidRPr="00081C8E">
              <w:rPr>
                <w:lang w:val="en-GB"/>
              </w:rPr>
              <w:t>Violations in practice refer to acts committed and in violation of the existing national legislation that is in conformity with FACB rights as defined by the ILO.</w:t>
            </w:r>
            <w:r w:rsidRPr="00081C8E">
              <w:rPr>
                <w:vertAlign w:val="superscript"/>
                <w:lang w:val="en-GB"/>
              </w:rPr>
              <w:footnoteReference w:id="5"/>
            </w:r>
          </w:p>
          <w:tbl>
            <w:tblPr>
              <w:tblW w:w="5323" w:type="pct"/>
              <w:tblBorders>
                <w:bottom w:val="single" w:sz="4" w:space="0" w:color="auto"/>
                <w:insideH w:val="single" w:sz="4" w:space="0" w:color="auto"/>
              </w:tblBorders>
              <w:tblLook w:val="04A0" w:firstRow="1" w:lastRow="0" w:firstColumn="1" w:lastColumn="0" w:noHBand="0" w:noVBand="1"/>
            </w:tblPr>
            <w:tblGrid>
              <w:gridCol w:w="414"/>
              <w:gridCol w:w="4564"/>
              <w:gridCol w:w="256"/>
              <w:gridCol w:w="736"/>
              <w:gridCol w:w="502"/>
              <w:gridCol w:w="256"/>
              <w:gridCol w:w="757"/>
              <w:gridCol w:w="499"/>
              <w:gridCol w:w="256"/>
              <w:gridCol w:w="870"/>
            </w:tblGrid>
            <w:tr w:rsidR="00E45009" w:rsidRPr="0025292C" w14:paraId="12C1B544" w14:textId="77777777" w:rsidTr="00DB32C0">
              <w:trPr>
                <w:trHeight w:val="375"/>
              </w:trPr>
              <w:tc>
                <w:tcPr>
                  <w:tcW w:w="5000" w:type="pct"/>
                  <w:gridSpan w:val="10"/>
                  <w:tcBorders>
                    <w:top w:val="nil"/>
                    <w:bottom w:val="nil"/>
                  </w:tcBorders>
                  <w:shd w:val="clear" w:color="000000" w:fill="FFFFFF"/>
                  <w:noWrap/>
                  <w:hideMark/>
                </w:tcPr>
                <w:p w14:paraId="5B3569EE" w14:textId="77777777" w:rsidR="00E45009" w:rsidRPr="0025292C" w:rsidRDefault="00E45009" w:rsidP="00E45009">
                  <w:pPr>
                    <w:pStyle w:val="NoSpacing"/>
                    <w:rPr>
                      <w:b/>
                      <w:bCs/>
                      <w:sz w:val="18"/>
                      <w:szCs w:val="22"/>
                      <w:lang w:val="en-GB"/>
                    </w:rPr>
                  </w:pPr>
                </w:p>
                <w:p w14:paraId="2B2DAFE5" w14:textId="77777777" w:rsidR="00E45009" w:rsidRPr="0025292C" w:rsidRDefault="00E45009" w:rsidP="00E45009">
                  <w:pPr>
                    <w:pStyle w:val="NoSpacing"/>
                    <w:rPr>
                      <w:b/>
                      <w:bCs/>
                      <w:sz w:val="18"/>
                      <w:szCs w:val="22"/>
                      <w:lang w:val="en-GB"/>
                    </w:rPr>
                  </w:pPr>
                  <w:r w:rsidRPr="0025292C">
                    <w:rPr>
                      <w:b/>
                      <w:bCs/>
                      <w:sz w:val="18"/>
                      <w:szCs w:val="22"/>
                      <w:lang w:val="en-GB"/>
                    </w:rPr>
                    <w:t>Table 1: Evaluation Criteria, Delphi Method Results and Weights</w:t>
                  </w:r>
                </w:p>
              </w:tc>
            </w:tr>
            <w:tr w:rsidR="00E45009" w:rsidRPr="0025292C" w14:paraId="5B01F863" w14:textId="77777777" w:rsidTr="00DB32C0">
              <w:trPr>
                <w:trHeight w:val="375"/>
              </w:trPr>
              <w:tc>
                <w:tcPr>
                  <w:tcW w:w="267" w:type="pct"/>
                  <w:tcBorders>
                    <w:top w:val="nil"/>
                    <w:bottom w:val="nil"/>
                  </w:tcBorders>
                  <w:shd w:val="clear" w:color="000000" w:fill="FFFFFF"/>
                  <w:noWrap/>
                  <w:hideMark/>
                </w:tcPr>
                <w:p w14:paraId="2C53B9B6"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2195" w:type="pct"/>
                  <w:tcBorders>
                    <w:top w:val="nil"/>
                    <w:bottom w:val="nil"/>
                  </w:tcBorders>
                  <w:shd w:val="clear" w:color="000000" w:fill="FFFFFF"/>
                  <w:noWrap/>
                  <w:hideMark/>
                </w:tcPr>
                <w:p w14:paraId="230843F3"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125" w:type="pct"/>
                  <w:tcBorders>
                    <w:top w:val="nil"/>
                    <w:bottom w:val="nil"/>
                  </w:tcBorders>
                  <w:shd w:val="clear" w:color="000000" w:fill="FFFFFF"/>
                  <w:noWrap/>
                  <w:hideMark/>
                </w:tcPr>
                <w:p w14:paraId="0F238A09"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tcBorders>
                    <w:top w:val="nil"/>
                    <w:bottom w:val="nil"/>
                  </w:tcBorders>
                  <w:shd w:val="clear" w:color="000000" w:fill="FFFFFF"/>
                  <w:noWrap/>
                  <w:hideMark/>
                </w:tcPr>
                <w:p w14:paraId="61733D0E"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335" w:type="pct"/>
                  <w:tcBorders>
                    <w:top w:val="nil"/>
                    <w:bottom w:val="nil"/>
                  </w:tcBorders>
                  <w:shd w:val="clear" w:color="000000" w:fill="FFFFFF"/>
                  <w:noWrap/>
                  <w:hideMark/>
                </w:tcPr>
                <w:p w14:paraId="1CFA2E5C"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125" w:type="pct"/>
                  <w:tcBorders>
                    <w:top w:val="nil"/>
                    <w:bottom w:val="nil"/>
                  </w:tcBorders>
                  <w:shd w:val="clear" w:color="000000" w:fill="FFFFFF"/>
                  <w:noWrap/>
                  <w:hideMark/>
                </w:tcPr>
                <w:p w14:paraId="44D144F5"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75" w:type="pct"/>
                  <w:tcBorders>
                    <w:top w:val="nil"/>
                    <w:bottom w:val="nil"/>
                  </w:tcBorders>
                  <w:shd w:val="clear" w:color="000000" w:fill="FFFFFF"/>
                  <w:noWrap/>
                  <w:hideMark/>
                </w:tcPr>
                <w:p w14:paraId="2B4F3410"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333" w:type="pct"/>
                  <w:tcBorders>
                    <w:top w:val="nil"/>
                    <w:bottom w:val="nil"/>
                  </w:tcBorders>
                  <w:shd w:val="clear" w:color="000000" w:fill="FFFFFF"/>
                  <w:noWrap/>
                  <w:hideMark/>
                </w:tcPr>
                <w:p w14:paraId="188D011D"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125" w:type="pct"/>
                  <w:tcBorders>
                    <w:top w:val="nil"/>
                    <w:bottom w:val="nil"/>
                  </w:tcBorders>
                  <w:shd w:val="clear" w:color="000000" w:fill="FFFFFF"/>
                  <w:noWrap/>
                  <w:hideMark/>
                </w:tcPr>
                <w:p w14:paraId="74706AF5"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537" w:type="pct"/>
                  <w:tcBorders>
                    <w:top w:val="nil"/>
                    <w:bottom w:val="nil"/>
                  </w:tcBorders>
                  <w:shd w:val="clear" w:color="000000" w:fill="FFFFFF"/>
                  <w:noWrap/>
                  <w:hideMark/>
                </w:tcPr>
                <w:p w14:paraId="17C42667" w14:textId="77777777" w:rsidR="00E45009" w:rsidRPr="0025292C" w:rsidRDefault="00E45009" w:rsidP="00E45009">
                  <w:pPr>
                    <w:pStyle w:val="NoSpacing"/>
                    <w:rPr>
                      <w:b/>
                      <w:bCs/>
                      <w:sz w:val="18"/>
                      <w:szCs w:val="22"/>
                      <w:lang w:val="en-GB"/>
                    </w:rPr>
                  </w:pPr>
                  <w:r w:rsidRPr="0025292C">
                    <w:rPr>
                      <w:b/>
                      <w:bCs/>
                      <w:sz w:val="18"/>
                      <w:szCs w:val="22"/>
                      <w:lang w:val="en-GB"/>
                    </w:rPr>
                    <w:t> </w:t>
                  </w:r>
                </w:p>
              </w:tc>
            </w:tr>
            <w:tr w:rsidR="00E45009" w:rsidRPr="0025292C" w14:paraId="01E9ED07" w14:textId="77777777" w:rsidTr="00DB32C0">
              <w:trPr>
                <w:trHeight w:val="315"/>
              </w:trPr>
              <w:tc>
                <w:tcPr>
                  <w:tcW w:w="267" w:type="pct"/>
                  <w:tcBorders>
                    <w:top w:val="nil"/>
                    <w:bottom w:val="nil"/>
                  </w:tcBorders>
                  <w:shd w:val="clear" w:color="000000" w:fill="FFFFFF"/>
                  <w:noWrap/>
                  <w:hideMark/>
                </w:tcPr>
                <w:p w14:paraId="75A2C5ED" w14:textId="77777777" w:rsidR="00E45009" w:rsidRPr="0025292C" w:rsidRDefault="00E45009" w:rsidP="00E45009">
                  <w:pPr>
                    <w:pStyle w:val="NoSpacing"/>
                    <w:rPr>
                      <w:sz w:val="18"/>
                      <w:szCs w:val="22"/>
                      <w:lang w:val="en-GB"/>
                    </w:rPr>
                  </w:pPr>
                  <w:r w:rsidRPr="0025292C">
                    <w:rPr>
                      <w:sz w:val="18"/>
                      <w:szCs w:val="22"/>
                      <w:lang w:val="en-GB"/>
                    </w:rPr>
                    <w:lastRenderedPageBreak/>
                    <w:t> </w:t>
                  </w:r>
                </w:p>
              </w:tc>
              <w:tc>
                <w:tcPr>
                  <w:tcW w:w="2195" w:type="pct"/>
                  <w:tcBorders>
                    <w:top w:val="nil"/>
                    <w:bottom w:val="nil"/>
                  </w:tcBorders>
                  <w:shd w:val="clear" w:color="000000" w:fill="FFFFFF"/>
                  <w:noWrap/>
                  <w:hideMark/>
                </w:tcPr>
                <w:p w14:paraId="00901EBF"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125" w:type="pct"/>
                  <w:tcBorders>
                    <w:top w:val="nil"/>
                    <w:bottom w:val="nil"/>
                  </w:tcBorders>
                  <w:shd w:val="clear" w:color="000000" w:fill="FFFFFF"/>
                  <w:noWrap/>
                  <w:hideMark/>
                </w:tcPr>
                <w:p w14:paraId="33F82C6D"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1751" w:type="pct"/>
                  <w:gridSpan w:val="5"/>
                  <w:tcBorders>
                    <w:top w:val="nil"/>
                    <w:bottom w:val="single" w:sz="4" w:space="0" w:color="auto"/>
                  </w:tcBorders>
                  <w:shd w:val="clear" w:color="000000" w:fill="FFFFFF"/>
                  <w:noWrap/>
                  <w:hideMark/>
                </w:tcPr>
                <w:p w14:paraId="52CD1D6D" w14:textId="77777777" w:rsidR="00E45009" w:rsidRPr="0025292C" w:rsidRDefault="00E45009" w:rsidP="00E45009">
                  <w:pPr>
                    <w:pStyle w:val="NoSpacing"/>
                    <w:rPr>
                      <w:b/>
                      <w:bCs/>
                      <w:sz w:val="18"/>
                      <w:szCs w:val="22"/>
                      <w:lang w:val="en-GB"/>
                    </w:rPr>
                  </w:pPr>
                  <w:r w:rsidRPr="0025292C">
                    <w:rPr>
                      <w:b/>
                      <w:bCs/>
                      <w:sz w:val="18"/>
                      <w:szCs w:val="22"/>
                      <w:lang w:val="en-GB"/>
                    </w:rPr>
                    <w:t>Delphi method results</w:t>
                  </w:r>
                </w:p>
              </w:tc>
              <w:tc>
                <w:tcPr>
                  <w:tcW w:w="125" w:type="pct"/>
                  <w:tcBorders>
                    <w:top w:val="nil"/>
                    <w:bottom w:val="nil"/>
                  </w:tcBorders>
                  <w:shd w:val="clear" w:color="000000" w:fill="FFFFFF"/>
                  <w:noWrap/>
                  <w:hideMark/>
                </w:tcPr>
                <w:p w14:paraId="21EEBD0C"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tcBorders>
                    <w:top w:val="nil"/>
                    <w:bottom w:val="nil"/>
                  </w:tcBorders>
                  <w:shd w:val="clear" w:color="000000" w:fill="FFFFFF"/>
                  <w:noWrap/>
                  <w:hideMark/>
                </w:tcPr>
                <w:p w14:paraId="5ED73A71"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4B98A245" w14:textId="77777777" w:rsidTr="00DB32C0">
              <w:trPr>
                <w:trHeight w:val="315"/>
              </w:trPr>
              <w:tc>
                <w:tcPr>
                  <w:tcW w:w="267" w:type="pct"/>
                  <w:tcBorders>
                    <w:top w:val="nil"/>
                    <w:bottom w:val="nil"/>
                  </w:tcBorders>
                  <w:shd w:val="clear" w:color="000000" w:fill="FFFFFF"/>
                  <w:noWrap/>
                  <w:hideMark/>
                </w:tcPr>
                <w:p w14:paraId="0636CF35"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tcBorders>
                    <w:top w:val="nil"/>
                    <w:bottom w:val="nil"/>
                  </w:tcBorders>
                  <w:shd w:val="clear" w:color="000000" w:fill="FFFFFF"/>
                  <w:noWrap/>
                  <w:hideMark/>
                </w:tcPr>
                <w:p w14:paraId="7FB7D76E"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125" w:type="pct"/>
                  <w:tcBorders>
                    <w:top w:val="nil"/>
                    <w:bottom w:val="nil"/>
                  </w:tcBorders>
                  <w:shd w:val="clear" w:color="000000" w:fill="FFFFFF"/>
                  <w:noWrap/>
                  <w:hideMark/>
                </w:tcPr>
                <w:p w14:paraId="4AD08A1E"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818" w:type="pct"/>
                  <w:gridSpan w:val="2"/>
                  <w:tcBorders>
                    <w:top w:val="single" w:sz="4" w:space="0" w:color="auto"/>
                    <w:bottom w:val="single" w:sz="4" w:space="0" w:color="auto"/>
                  </w:tcBorders>
                  <w:shd w:val="clear" w:color="000000" w:fill="FFFFFF"/>
                  <w:noWrap/>
                  <w:hideMark/>
                </w:tcPr>
                <w:p w14:paraId="3D4F727F" w14:textId="77777777" w:rsidR="00E45009" w:rsidRPr="0025292C" w:rsidRDefault="00E45009" w:rsidP="00E45009">
                  <w:pPr>
                    <w:pStyle w:val="NoSpacing"/>
                    <w:rPr>
                      <w:b/>
                      <w:bCs/>
                      <w:sz w:val="18"/>
                      <w:szCs w:val="22"/>
                      <w:lang w:val="en-GB"/>
                    </w:rPr>
                  </w:pPr>
                  <w:r w:rsidRPr="0025292C">
                    <w:rPr>
                      <w:b/>
                      <w:bCs/>
                      <w:sz w:val="18"/>
                      <w:szCs w:val="22"/>
                      <w:lang w:val="en-GB"/>
                    </w:rPr>
                    <w:t>1st round</w:t>
                  </w:r>
                </w:p>
              </w:tc>
              <w:tc>
                <w:tcPr>
                  <w:tcW w:w="125" w:type="pct"/>
                  <w:tcBorders>
                    <w:top w:val="single" w:sz="4" w:space="0" w:color="auto"/>
                    <w:bottom w:val="nil"/>
                  </w:tcBorders>
                  <w:shd w:val="clear" w:color="000000" w:fill="FFFFFF"/>
                  <w:noWrap/>
                  <w:hideMark/>
                </w:tcPr>
                <w:p w14:paraId="2BE8448F"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808" w:type="pct"/>
                  <w:gridSpan w:val="2"/>
                  <w:tcBorders>
                    <w:top w:val="single" w:sz="4" w:space="0" w:color="auto"/>
                    <w:bottom w:val="single" w:sz="4" w:space="0" w:color="auto"/>
                  </w:tcBorders>
                  <w:shd w:val="clear" w:color="000000" w:fill="FFFFFF"/>
                  <w:noWrap/>
                  <w:hideMark/>
                </w:tcPr>
                <w:p w14:paraId="089AF44D" w14:textId="77777777" w:rsidR="00E45009" w:rsidRPr="0025292C" w:rsidRDefault="00E45009" w:rsidP="00E45009">
                  <w:pPr>
                    <w:pStyle w:val="NoSpacing"/>
                    <w:rPr>
                      <w:b/>
                      <w:bCs/>
                      <w:sz w:val="18"/>
                      <w:szCs w:val="22"/>
                      <w:lang w:val="en-GB"/>
                    </w:rPr>
                  </w:pPr>
                  <w:r w:rsidRPr="0025292C">
                    <w:rPr>
                      <w:b/>
                      <w:bCs/>
                      <w:sz w:val="18"/>
                      <w:szCs w:val="22"/>
                      <w:lang w:val="en-GB"/>
                    </w:rPr>
                    <w:t>2nd round</w:t>
                  </w:r>
                </w:p>
              </w:tc>
              <w:tc>
                <w:tcPr>
                  <w:tcW w:w="125" w:type="pct"/>
                  <w:tcBorders>
                    <w:top w:val="nil"/>
                    <w:bottom w:val="nil"/>
                  </w:tcBorders>
                  <w:shd w:val="clear" w:color="000000" w:fill="FFFFFF"/>
                  <w:noWrap/>
                  <w:hideMark/>
                </w:tcPr>
                <w:p w14:paraId="3B9AD2F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tcBorders>
                    <w:top w:val="nil"/>
                    <w:bottom w:val="nil"/>
                  </w:tcBorders>
                  <w:shd w:val="clear" w:color="000000" w:fill="FFFFFF"/>
                  <w:noWrap/>
                  <w:hideMark/>
                </w:tcPr>
                <w:p w14:paraId="3D9D0369"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06069B8F" w14:textId="77777777" w:rsidTr="00DB32C0">
              <w:trPr>
                <w:trHeight w:val="315"/>
              </w:trPr>
              <w:tc>
                <w:tcPr>
                  <w:tcW w:w="267" w:type="pct"/>
                  <w:tcBorders>
                    <w:top w:val="nil"/>
                    <w:bottom w:val="nil"/>
                  </w:tcBorders>
                  <w:shd w:val="clear" w:color="000000" w:fill="FFFFFF"/>
                  <w:noWrap/>
                  <w:hideMark/>
                </w:tcPr>
                <w:p w14:paraId="399603B7"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tcBorders>
                    <w:top w:val="nil"/>
                    <w:bottom w:val="nil"/>
                  </w:tcBorders>
                  <w:shd w:val="clear" w:color="000000" w:fill="FFFFFF"/>
                  <w:noWrap/>
                  <w:hideMark/>
                </w:tcPr>
                <w:p w14:paraId="4B19445E" w14:textId="77777777" w:rsidR="00E45009" w:rsidRPr="0025292C" w:rsidRDefault="00E45009" w:rsidP="00E45009">
                  <w:pPr>
                    <w:pStyle w:val="NoSpacing"/>
                    <w:rPr>
                      <w:b/>
                      <w:bCs/>
                      <w:sz w:val="18"/>
                      <w:szCs w:val="22"/>
                      <w:lang w:val="en-GB"/>
                    </w:rPr>
                  </w:pPr>
                  <w:r w:rsidRPr="0025292C">
                    <w:rPr>
                      <w:b/>
                      <w:bCs/>
                      <w:sz w:val="18"/>
                      <w:szCs w:val="22"/>
                      <w:lang w:val="en-GB"/>
                    </w:rPr>
                    <w:t>Evaluation Criteria</w:t>
                  </w:r>
                </w:p>
              </w:tc>
              <w:tc>
                <w:tcPr>
                  <w:tcW w:w="125" w:type="pct"/>
                  <w:tcBorders>
                    <w:top w:val="nil"/>
                    <w:bottom w:val="nil"/>
                  </w:tcBorders>
                  <w:shd w:val="clear" w:color="000000" w:fill="FFFFFF"/>
                  <w:noWrap/>
                  <w:hideMark/>
                </w:tcPr>
                <w:p w14:paraId="2360AF87"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tcBorders>
                    <w:top w:val="single" w:sz="4" w:space="0" w:color="auto"/>
                    <w:bottom w:val="nil"/>
                  </w:tcBorders>
                  <w:shd w:val="clear" w:color="000000" w:fill="FFFFFF"/>
                  <w:hideMark/>
                </w:tcPr>
                <w:p w14:paraId="4F3A9EAA" w14:textId="77777777" w:rsidR="00E45009" w:rsidRPr="0025292C" w:rsidRDefault="00E45009" w:rsidP="00E45009">
                  <w:pPr>
                    <w:pStyle w:val="NoSpacing"/>
                    <w:rPr>
                      <w:b/>
                      <w:bCs/>
                      <w:sz w:val="18"/>
                      <w:szCs w:val="22"/>
                      <w:lang w:val="en-GB"/>
                    </w:rPr>
                  </w:pPr>
                  <w:r w:rsidRPr="0025292C">
                    <w:rPr>
                      <w:b/>
                      <w:bCs/>
                      <w:sz w:val="18"/>
                      <w:szCs w:val="22"/>
                      <w:lang w:val="en-GB"/>
                    </w:rPr>
                    <w:t>Avg.</w:t>
                  </w:r>
                </w:p>
              </w:tc>
              <w:tc>
                <w:tcPr>
                  <w:tcW w:w="335" w:type="pct"/>
                  <w:tcBorders>
                    <w:top w:val="single" w:sz="4" w:space="0" w:color="auto"/>
                    <w:bottom w:val="nil"/>
                  </w:tcBorders>
                  <w:shd w:val="clear" w:color="000000" w:fill="FFFFFF"/>
                  <w:hideMark/>
                </w:tcPr>
                <w:p w14:paraId="16E5CAAF" w14:textId="77777777" w:rsidR="00E45009" w:rsidRPr="0025292C" w:rsidRDefault="00E45009" w:rsidP="00E45009">
                  <w:pPr>
                    <w:pStyle w:val="NoSpacing"/>
                    <w:rPr>
                      <w:b/>
                      <w:bCs/>
                      <w:sz w:val="18"/>
                      <w:szCs w:val="22"/>
                      <w:lang w:val="en-GB"/>
                    </w:rPr>
                  </w:pPr>
                  <w:r w:rsidRPr="0025292C">
                    <w:rPr>
                      <w:b/>
                      <w:bCs/>
                      <w:sz w:val="18"/>
                      <w:szCs w:val="22"/>
                      <w:lang w:val="en-GB"/>
                    </w:rPr>
                    <w:t>Std.</w:t>
                  </w:r>
                </w:p>
              </w:tc>
              <w:tc>
                <w:tcPr>
                  <w:tcW w:w="125" w:type="pct"/>
                  <w:tcBorders>
                    <w:top w:val="nil"/>
                    <w:bottom w:val="nil"/>
                  </w:tcBorders>
                  <w:shd w:val="clear" w:color="000000" w:fill="FFFFFF"/>
                  <w:hideMark/>
                </w:tcPr>
                <w:p w14:paraId="089D56C5"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75" w:type="pct"/>
                  <w:tcBorders>
                    <w:top w:val="nil"/>
                    <w:bottom w:val="nil"/>
                  </w:tcBorders>
                  <w:shd w:val="clear" w:color="000000" w:fill="FFFFFF"/>
                  <w:hideMark/>
                </w:tcPr>
                <w:p w14:paraId="17168A14" w14:textId="77777777" w:rsidR="00E45009" w:rsidRPr="0025292C" w:rsidRDefault="00E45009" w:rsidP="00E45009">
                  <w:pPr>
                    <w:pStyle w:val="NoSpacing"/>
                    <w:rPr>
                      <w:b/>
                      <w:bCs/>
                      <w:sz w:val="18"/>
                      <w:szCs w:val="22"/>
                      <w:lang w:val="en-GB"/>
                    </w:rPr>
                  </w:pPr>
                  <w:r w:rsidRPr="0025292C">
                    <w:rPr>
                      <w:b/>
                      <w:bCs/>
                      <w:sz w:val="18"/>
                      <w:szCs w:val="22"/>
                      <w:lang w:val="en-GB"/>
                    </w:rPr>
                    <w:t>Avg.</w:t>
                  </w:r>
                </w:p>
              </w:tc>
              <w:tc>
                <w:tcPr>
                  <w:tcW w:w="333" w:type="pct"/>
                  <w:tcBorders>
                    <w:top w:val="nil"/>
                    <w:bottom w:val="nil"/>
                  </w:tcBorders>
                  <w:shd w:val="clear" w:color="000000" w:fill="FFFFFF"/>
                  <w:hideMark/>
                </w:tcPr>
                <w:p w14:paraId="56BBD1D1" w14:textId="77777777" w:rsidR="00E45009" w:rsidRPr="0025292C" w:rsidRDefault="00E45009" w:rsidP="00E45009">
                  <w:pPr>
                    <w:pStyle w:val="NoSpacing"/>
                    <w:rPr>
                      <w:b/>
                      <w:bCs/>
                      <w:sz w:val="18"/>
                      <w:szCs w:val="22"/>
                      <w:lang w:val="en-GB"/>
                    </w:rPr>
                  </w:pPr>
                  <w:r w:rsidRPr="0025292C">
                    <w:rPr>
                      <w:b/>
                      <w:bCs/>
                      <w:sz w:val="18"/>
                      <w:szCs w:val="22"/>
                      <w:lang w:val="en-GB"/>
                    </w:rPr>
                    <w:t>Std.</w:t>
                  </w:r>
                </w:p>
              </w:tc>
              <w:tc>
                <w:tcPr>
                  <w:tcW w:w="125" w:type="pct"/>
                  <w:tcBorders>
                    <w:top w:val="nil"/>
                    <w:bottom w:val="nil"/>
                  </w:tcBorders>
                  <w:shd w:val="clear" w:color="000000" w:fill="FFFFFF"/>
                  <w:noWrap/>
                  <w:hideMark/>
                </w:tcPr>
                <w:p w14:paraId="7E6D33BC"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tcBorders>
                    <w:top w:val="nil"/>
                    <w:bottom w:val="nil"/>
                  </w:tcBorders>
                  <w:shd w:val="clear" w:color="000000" w:fill="FFFFFF"/>
                  <w:noWrap/>
                  <w:hideMark/>
                </w:tcPr>
                <w:p w14:paraId="3E66BA51" w14:textId="77777777" w:rsidR="00E45009" w:rsidRPr="0025292C" w:rsidRDefault="00E45009" w:rsidP="00E45009">
                  <w:pPr>
                    <w:pStyle w:val="NoSpacing"/>
                    <w:rPr>
                      <w:b/>
                      <w:bCs/>
                      <w:sz w:val="18"/>
                      <w:szCs w:val="22"/>
                      <w:lang w:val="en-GB"/>
                    </w:rPr>
                  </w:pPr>
                  <w:r w:rsidRPr="0025292C">
                    <w:rPr>
                      <w:b/>
                      <w:bCs/>
                      <w:sz w:val="18"/>
                      <w:szCs w:val="22"/>
                      <w:lang w:val="en-GB"/>
                    </w:rPr>
                    <w:t>Weights</w:t>
                  </w:r>
                </w:p>
              </w:tc>
            </w:tr>
            <w:tr w:rsidR="00E45009" w:rsidRPr="0025292C" w14:paraId="20FCE1A5" w14:textId="77777777" w:rsidTr="00DB32C0">
              <w:trPr>
                <w:trHeight w:val="315"/>
              </w:trPr>
              <w:tc>
                <w:tcPr>
                  <w:tcW w:w="2462" w:type="pct"/>
                  <w:gridSpan w:val="2"/>
                  <w:tcBorders>
                    <w:top w:val="nil"/>
                  </w:tcBorders>
                  <w:shd w:val="clear" w:color="000000" w:fill="FFFFFF"/>
                  <w:noWrap/>
                  <w:hideMark/>
                </w:tcPr>
                <w:p w14:paraId="468A602A" w14:textId="77777777" w:rsidR="00E45009" w:rsidRPr="0025292C" w:rsidRDefault="00E45009" w:rsidP="00E45009">
                  <w:pPr>
                    <w:pStyle w:val="NoSpacing"/>
                    <w:rPr>
                      <w:b/>
                      <w:bCs/>
                      <w:sz w:val="18"/>
                      <w:szCs w:val="22"/>
                      <w:lang w:val="en-GB"/>
                    </w:rPr>
                  </w:pPr>
                  <w:r w:rsidRPr="0025292C">
                    <w:rPr>
                      <w:b/>
                      <w:bCs/>
                      <w:sz w:val="18"/>
                      <w:szCs w:val="22"/>
                      <w:lang w:val="en-GB"/>
                    </w:rPr>
                    <w:t>Workers and their organizations</w:t>
                  </w:r>
                </w:p>
              </w:tc>
              <w:tc>
                <w:tcPr>
                  <w:tcW w:w="125" w:type="pct"/>
                  <w:tcBorders>
                    <w:top w:val="nil"/>
                  </w:tcBorders>
                  <w:shd w:val="clear" w:color="000000" w:fill="FFFFFF"/>
                  <w:noWrap/>
                  <w:hideMark/>
                </w:tcPr>
                <w:p w14:paraId="45981355"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tcBorders>
                    <w:top w:val="nil"/>
                  </w:tcBorders>
                  <w:shd w:val="clear" w:color="000000" w:fill="FFFFFF"/>
                  <w:noWrap/>
                  <w:hideMark/>
                </w:tcPr>
                <w:p w14:paraId="762A892E" w14:textId="77777777" w:rsidR="00E45009" w:rsidRPr="0025292C" w:rsidRDefault="00E45009" w:rsidP="00E45009">
                  <w:pPr>
                    <w:pStyle w:val="NoSpacing"/>
                    <w:rPr>
                      <w:b/>
                      <w:bCs/>
                      <w:sz w:val="18"/>
                      <w:szCs w:val="22"/>
                      <w:lang w:val="en-GB"/>
                    </w:rPr>
                  </w:pPr>
                  <w:r w:rsidRPr="0025292C">
                    <w:rPr>
                      <w:b/>
                      <w:bCs/>
                      <w:sz w:val="18"/>
                      <w:szCs w:val="22"/>
                      <w:lang w:val="en-GB"/>
                    </w:rPr>
                    <w:t>(1 to 5)</w:t>
                  </w:r>
                </w:p>
              </w:tc>
              <w:tc>
                <w:tcPr>
                  <w:tcW w:w="335" w:type="pct"/>
                  <w:tcBorders>
                    <w:top w:val="nil"/>
                  </w:tcBorders>
                  <w:shd w:val="clear" w:color="000000" w:fill="FFFFFF"/>
                  <w:hideMark/>
                </w:tcPr>
                <w:p w14:paraId="58DD99BA" w14:textId="77777777" w:rsidR="00E45009" w:rsidRPr="0025292C" w:rsidRDefault="00E45009" w:rsidP="00E45009">
                  <w:pPr>
                    <w:pStyle w:val="NoSpacing"/>
                    <w:rPr>
                      <w:b/>
                      <w:bCs/>
                      <w:sz w:val="18"/>
                      <w:szCs w:val="22"/>
                      <w:lang w:val="en-GB"/>
                    </w:rPr>
                  </w:pPr>
                  <w:r w:rsidRPr="0025292C">
                    <w:rPr>
                      <w:b/>
                      <w:bCs/>
                      <w:sz w:val="18"/>
                      <w:szCs w:val="22"/>
                      <w:lang w:val="en-GB"/>
                    </w:rPr>
                    <w:t>Dev.</w:t>
                  </w:r>
                </w:p>
              </w:tc>
              <w:tc>
                <w:tcPr>
                  <w:tcW w:w="125" w:type="pct"/>
                  <w:tcBorders>
                    <w:top w:val="nil"/>
                  </w:tcBorders>
                  <w:shd w:val="clear" w:color="000000" w:fill="FFFFFF"/>
                  <w:hideMark/>
                </w:tcPr>
                <w:p w14:paraId="485F63B0"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75" w:type="pct"/>
                  <w:tcBorders>
                    <w:top w:val="nil"/>
                  </w:tcBorders>
                  <w:shd w:val="clear" w:color="000000" w:fill="FFFFFF"/>
                  <w:noWrap/>
                  <w:hideMark/>
                </w:tcPr>
                <w:p w14:paraId="0E803F17" w14:textId="77777777" w:rsidR="00E45009" w:rsidRPr="0025292C" w:rsidRDefault="00E45009" w:rsidP="00E45009">
                  <w:pPr>
                    <w:pStyle w:val="NoSpacing"/>
                    <w:rPr>
                      <w:b/>
                      <w:bCs/>
                      <w:sz w:val="18"/>
                      <w:szCs w:val="22"/>
                      <w:lang w:val="en-GB"/>
                    </w:rPr>
                  </w:pPr>
                  <w:r w:rsidRPr="0025292C">
                    <w:rPr>
                      <w:b/>
                      <w:bCs/>
                      <w:sz w:val="18"/>
                      <w:szCs w:val="22"/>
                      <w:lang w:val="en-GB"/>
                    </w:rPr>
                    <w:t>(1 to 5)</w:t>
                  </w:r>
                </w:p>
              </w:tc>
              <w:tc>
                <w:tcPr>
                  <w:tcW w:w="333" w:type="pct"/>
                  <w:tcBorders>
                    <w:top w:val="nil"/>
                  </w:tcBorders>
                  <w:shd w:val="clear" w:color="000000" w:fill="FFFFFF"/>
                  <w:hideMark/>
                </w:tcPr>
                <w:p w14:paraId="69011B43" w14:textId="77777777" w:rsidR="00E45009" w:rsidRPr="0025292C" w:rsidRDefault="00E45009" w:rsidP="00E45009">
                  <w:pPr>
                    <w:pStyle w:val="NoSpacing"/>
                    <w:rPr>
                      <w:b/>
                      <w:bCs/>
                      <w:sz w:val="18"/>
                      <w:szCs w:val="22"/>
                      <w:lang w:val="en-GB"/>
                    </w:rPr>
                  </w:pPr>
                  <w:r w:rsidRPr="0025292C">
                    <w:rPr>
                      <w:b/>
                      <w:bCs/>
                      <w:sz w:val="18"/>
                      <w:szCs w:val="22"/>
                      <w:lang w:val="en-GB"/>
                    </w:rPr>
                    <w:t>Dev.</w:t>
                  </w:r>
                </w:p>
              </w:tc>
              <w:tc>
                <w:tcPr>
                  <w:tcW w:w="125" w:type="pct"/>
                  <w:tcBorders>
                    <w:top w:val="nil"/>
                  </w:tcBorders>
                  <w:shd w:val="clear" w:color="000000" w:fill="FFFFFF"/>
                  <w:noWrap/>
                  <w:hideMark/>
                </w:tcPr>
                <w:p w14:paraId="6A7FC53C"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537" w:type="pct"/>
                  <w:tcBorders>
                    <w:top w:val="nil"/>
                  </w:tcBorders>
                  <w:shd w:val="clear" w:color="000000" w:fill="FFFFFF"/>
                  <w:noWrap/>
                  <w:hideMark/>
                </w:tcPr>
                <w:p w14:paraId="42BE7E37" w14:textId="77777777" w:rsidR="00E45009" w:rsidRPr="0025292C" w:rsidRDefault="00E45009" w:rsidP="00E45009">
                  <w:pPr>
                    <w:pStyle w:val="NoSpacing"/>
                    <w:rPr>
                      <w:b/>
                      <w:bCs/>
                      <w:sz w:val="18"/>
                      <w:szCs w:val="22"/>
                      <w:lang w:val="en-GB"/>
                    </w:rPr>
                  </w:pPr>
                  <w:r w:rsidRPr="0025292C">
                    <w:rPr>
                      <w:b/>
                      <w:bCs/>
                      <w:sz w:val="18"/>
                      <w:szCs w:val="22"/>
                      <w:lang w:val="en-GB"/>
                    </w:rPr>
                    <w:t>(1 to 2)</w:t>
                  </w:r>
                </w:p>
              </w:tc>
            </w:tr>
            <w:tr w:rsidR="00E45009" w:rsidRPr="0025292C" w14:paraId="7EA47E9E" w14:textId="77777777" w:rsidTr="00DB32C0">
              <w:trPr>
                <w:trHeight w:val="255"/>
              </w:trPr>
              <w:tc>
                <w:tcPr>
                  <w:tcW w:w="267" w:type="pct"/>
                  <w:shd w:val="clear" w:color="000000" w:fill="FFFFFF"/>
                  <w:noWrap/>
                  <w:hideMark/>
                </w:tcPr>
                <w:p w14:paraId="20692C5E" w14:textId="77777777" w:rsidR="00E45009" w:rsidRPr="0025292C" w:rsidRDefault="00E45009" w:rsidP="00E45009">
                  <w:pPr>
                    <w:pStyle w:val="NoSpacing"/>
                    <w:rPr>
                      <w:sz w:val="18"/>
                      <w:szCs w:val="22"/>
                      <w:lang w:val="en-GB"/>
                    </w:rPr>
                  </w:pPr>
                  <w:r w:rsidRPr="0025292C">
                    <w:rPr>
                      <w:sz w:val="18"/>
                      <w:szCs w:val="22"/>
                      <w:lang w:val="en-GB"/>
                    </w:rPr>
                    <w:t>0</w:t>
                  </w:r>
                </w:p>
              </w:tc>
              <w:tc>
                <w:tcPr>
                  <w:tcW w:w="2195" w:type="pct"/>
                  <w:shd w:val="clear" w:color="auto" w:fill="auto"/>
                  <w:noWrap/>
                  <w:hideMark/>
                </w:tcPr>
                <w:p w14:paraId="7DD7D92D" w14:textId="77777777" w:rsidR="00E45009" w:rsidRPr="0025292C" w:rsidRDefault="00E45009" w:rsidP="00E45009">
                  <w:pPr>
                    <w:pStyle w:val="NoSpacing"/>
                    <w:rPr>
                      <w:sz w:val="18"/>
                      <w:szCs w:val="22"/>
                      <w:lang w:val="en-GB"/>
                    </w:rPr>
                  </w:pPr>
                  <w:r w:rsidRPr="0025292C">
                    <w:rPr>
                      <w:sz w:val="18"/>
                      <w:szCs w:val="22"/>
                      <w:lang w:val="en-GB"/>
                    </w:rPr>
                    <w:t>Establishment of a Commission of Inquiry under Article 26 of the ILO Constitution</w:t>
                  </w:r>
                </w:p>
              </w:tc>
              <w:tc>
                <w:tcPr>
                  <w:tcW w:w="125" w:type="pct"/>
                  <w:shd w:val="clear" w:color="000000" w:fill="FFFFFF"/>
                  <w:noWrap/>
                  <w:hideMark/>
                </w:tcPr>
                <w:p w14:paraId="5CB39B0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14FCD09" w14:textId="77777777" w:rsidR="00E45009" w:rsidRPr="0025292C" w:rsidRDefault="00E45009" w:rsidP="00E45009">
                  <w:pPr>
                    <w:pStyle w:val="NoSpacing"/>
                    <w:rPr>
                      <w:sz w:val="18"/>
                      <w:szCs w:val="22"/>
                      <w:lang w:val="en-GB"/>
                    </w:rPr>
                  </w:pPr>
                  <w:r w:rsidRPr="0025292C">
                    <w:rPr>
                      <w:sz w:val="18"/>
                      <w:szCs w:val="22"/>
                      <w:lang w:val="en-GB"/>
                    </w:rPr>
                    <w:t>NA</w:t>
                  </w:r>
                </w:p>
              </w:tc>
              <w:tc>
                <w:tcPr>
                  <w:tcW w:w="335" w:type="pct"/>
                  <w:shd w:val="clear" w:color="000000" w:fill="FFFFFF"/>
                  <w:noWrap/>
                  <w:hideMark/>
                </w:tcPr>
                <w:p w14:paraId="1D79BC85" w14:textId="77777777" w:rsidR="00E45009" w:rsidRPr="0025292C" w:rsidRDefault="00E45009" w:rsidP="00E45009">
                  <w:pPr>
                    <w:pStyle w:val="NoSpacing"/>
                    <w:rPr>
                      <w:sz w:val="18"/>
                      <w:szCs w:val="22"/>
                      <w:lang w:val="en-GB"/>
                    </w:rPr>
                  </w:pPr>
                  <w:r w:rsidRPr="0025292C">
                    <w:rPr>
                      <w:sz w:val="18"/>
                      <w:szCs w:val="22"/>
                      <w:lang w:val="en-GB"/>
                    </w:rPr>
                    <w:t>NA</w:t>
                  </w:r>
                </w:p>
              </w:tc>
              <w:tc>
                <w:tcPr>
                  <w:tcW w:w="125" w:type="pct"/>
                  <w:shd w:val="clear" w:color="000000" w:fill="FFFFFF"/>
                  <w:noWrap/>
                  <w:hideMark/>
                </w:tcPr>
                <w:p w14:paraId="624203AB"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993B0A8" w14:textId="77777777" w:rsidR="00E45009" w:rsidRPr="0025292C" w:rsidRDefault="00E45009" w:rsidP="00E45009">
                  <w:pPr>
                    <w:pStyle w:val="NoSpacing"/>
                    <w:rPr>
                      <w:sz w:val="18"/>
                      <w:szCs w:val="22"/>
                      <w:lang w:val="en-GB"/>
                    </w:rPr>
                  </w:pPr>
                  <w:r w:rsidRPr="0025292C">
                    <w:rPr>
                      <w:sz w:val="18"/>
                      <w:szCs w:val="22"/>
                      <w:lang w:val="en-GB"/>
                    </w:rPr>
                    <w:t>NA</w:t>
                  </w:r>
                </w:p>
              </w:tc>
              <w:tc>
                <w:tcPr>
                  <w:tcW w:w="333" w:type="pct"/>
                  <w:shd w:val="clear" w:color="000000" w:fill="FFFFFF"/>
                  <w:noWrap/>
                  <w:hideMark/>
                </w:tcPr>
                <w:p w14:paraId="51ECE855" w14:textId="77777777" w:rsidR="00E45009" w:rsidRPr="0025292C" w:rsidRDefault="00E45009" w:rsidP="00E45009">
                  <w:pPr>
                    <w:pStyle w:val="NoSpacing"/>
                    <w:rPr>
                      <w:sz w:val="18"/>
                      <w:szCs w:val="22"/>
                      <w:lang w:val="en-GB"/>
                    </w:rPr>
                  </w:pPr>
                  <w:r w:rsidRPr="0025292C">
                    <w:rPr>
                      <w:sz w:val="18"/>
                      <w:szCs w:val="22"/>
                      <w:lang w:val="en-GB"/>
                    </w:rPr>
                    <w:t>NA</w:t>
                  </w:r>
                </w:p>
              </w:tc>
              <w:tc>
                <w:tcPr>
                  <w:tcW w:w="125" w:type="pct"/>
                  <w:shd w:val="clear" w:color="000000" w:fill="FFFFFF"/>
                  <w:noWrap/>
                  <w:hideMark/>
                </w:tcPr>
                <w:p w14:paraId="0899F3C7"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529C62E" w14:textId="77777777" w:rsidR="00E45009" w:rsidRPr="0025292C" w:rsidRDefault="00E45009" w:rsidP="00E45009">
                  <w:pPr>
                    <w:pStyle w:val="NoSpacing"/>
                    <w:rPr>
                      <w:sz w:val="18"/>
                      <w:szCs w:val="22"/>
                      <w:lang w:val="en-GB"/>
                    </w:rPr>
                  </w:pPr>
                  <w:r w:rsidRPr="0025292C">
                    <w:rPr>
                      <w:sz w:val="18"/>
                      <w:szCs w:val="22"/>
                      <w:lang w:val="en-GB"/>
                    </w:rPr>
                    <w:t>2.00</w:t>
                  </w:r>
                </w:p>
              </w:tc>
            </w:tr>
            <w:tr w:rsidR="00E45009" w:rsidRPr="0025292C" w14:paraId="16ECA9C3" w14:textId="77777777" w:rsidTr="00DB32C0">
              <w:trPr>
                <w:trHeight w:val="255"/>
              </w:trPr>
              <w:tc>
                <w:tcPr>
                  <w:tcW w:w="267" w:type="pct"/>
                  <w:shd w:val="clear" w:color="000000" w:fill="FFFFFF"/>
                  <w:noWrap/>
                  <w:hideMark/>
                </w:tcPr>
                <w:p w14:paraId="079A5E2D"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481B91AE" w14:textId="77777777" w:rsidR="00E45009" w:rsidRPr="0025292C" w:rsidRDefault="00E45009" w:rsidP="00E45009">
                  <w:pPr>
                    <w:pStyle w:val="NoSpacing"/>
                    <w:rPr>
                      <w:b/>
                      <w:bCs/>
                      <w:sz w:val="18"/>
                      <w:szCs w:val="22"/>
                      <w:lang w:val="en-GB"/>
                    </w:rPr>
                  </w:pPr>
                  <w:r w:rsidRPr="0025292C">
                    <w:rPr>
                      <w:b/>
                      <w:bCs/>
                      <w:sz w:val="18"/>
                      <w:szCs w:val="22"/>
                      <w:lang w:val="en-GB"/>
                    </w:rPr>
                    <w:t>Ia. Fundamental civil liberties in law</w:t>
                  </w:r>
                </w:p>
              </w:tc>
              <w:tc>
                <w:tcPr>
                  <w:tcW w:w="125" w:type="pct"/>
                  <w:shd w:val="clear" w:color="000000" w:fill="FFFFFF"/>
                  <w:hideMark/>
                </w:tcPr>
                <w:p w14:paraId="64B095ED"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65749D81"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45CB5A18"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254C2AB4"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60F0903"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39D9BF30"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1885B1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71B8C93"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2563770B" w14:textId="77777777" w:rsidTr="00DB32C0">
              <w:trPr>
                <w:trHeight w:val="255"/>
              </w:trPr>
              <w:tc>
                <w:tcPr>
                  <w:tcW w:w="267" w:type="pct"/>
                  <w:shd w:val="clear" w:color="000000" w:fill="FFFFFF"/>
                  <w:noWrap/>
                  <w:hideMark/>
                </w:tcPr>
                <w:p w14:paraId="103966D3" w14:textId="77777777" w:rsidR="00E45009" w:rsidRPr="0025292C" w:rsidRDefault="00E45009" w:rsidP="00E45009">
                  <w:pPr>
                    <w:pStyle w:val="NoSpacing"/>
                    <w:rPr>
                      <w:sz w:val="18"/>
                      <w:szCs w:val="22"/>
                      <w:lang w:val="en-GB"/>
                    </w:rPr>
                  </w:pPr>
                  <w:r w:rsidRPr="0025292C">
                    <w:rPr>
                      <w:sz w:val="18"/>
                      <w:szCs w:val="22"/>
                      <w:lang w:val="en-GB"/>
                    </w:rPr>
                    <w:t>1</w:t>
                  </w:r>
                </w:p>
              </w:tc>
              <w:tc>
                <w:tcPr>
                  <w:tcW w:w="2195" w:type="pct"/>
                  <w:shd w:val="clear" w:color="000000" w:fill="FFFFFF"/>
                  <w:hideMark/>
                </w:tcPr>
                <w:p w14:paraId="052A5CFC" w14:textId="77777777" w:rsidR="00E45009" w:rsidRPr="0025292C" w:rsidRDefault="00E45009" w:rsidP="00E45009">
                  <w:pPr>
                    <w:pStyle w:val="NoSpacing"/>
                    <w:rPr>
                      <w:sz w:val="18"/>
                      <w:szCs w:val="22"/>
                      <w:lang w:val="en-GB"/>
                    </w:rPr>
                  </w:pPr>
                  <w:r w:rsidRPr="0025292C">
                    <w:rPr>
                      <w:sz w:val="18"/>
                      <w:szCs w:val="22"/>
                      <w:lang w:val="en-GB"/>
                    </w:rPr>
                    <w:t>Arrest, detention, imprisonment, charging and fining of trade unionists in relation to their trade union activities</w:t>
                  </w:r>
                </w:p>
              </w:tc>
              <w:tc>
                <w:tcPr>
                  <w:tcW w:w="125" w:type="pct"/>
                  <w:shd w:val="clear" w:color="000000" w:fill="FFFFFF"/>
                  <w:hideMark/>
                </w:tcPr>
                <w:p w14:paraId="453DE918"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3240460" w14:textId="77777777" w:rsidR="00E45009" w:rsidRPr="0025292C" w:rsidRDefault="00E45009" w:rsidP="00E45009">
                  <w:pPr>
                    <w:pStyle w:val="NoSpacing"/>
                    <w:rPr>
                      <w:sz w:val="18"/>
                      <w:szCs w:val="22"/>
                      <w:lang w:val="en-GB"/>
                    </w:rPr>
                  </w:pPr>
                  <w:r w:rsidRPr="0025292C">
                    <w:rPr>
                      <w:sz w:val="18"/>
                      <w:szCs w:val="22"/>
                      <w:lang w:val="en-GB"/>
                    </w:rPr>
                    <w:t>4.92</w:t>
                  </w:r>
                </w:p>
              </w:tc>
              <w:tc>
                <w:tcPr>
                  <w:tcW w:w="335" w:type="pct"/>
                  <w:shd w:val="clear" w:color="000000" w:fill="FFFFFF"/>
                  <w:noWrap/>
                  <w:hideMark/>
                </w:tcPr>
                <w:p w14:paraId="47C8BBBA" w14:textId="77777777" w:rsidR="00E45009" w:rsidRPr="0025292C" w:rsidRDefault="00E45009" w:rsidP="00E45009">
                  <w:pPr>
                    <w:pStyle w:val="NoSpacing"/>
                    <w:rPr>
                      <w:sz w:val="18"/>
                      <w:szCs w:val="22"/>
                      <w:lang w:val="en-GB"/>
                    </w:rPr>
                  </w:pPr>
                  <w:r w:rsidRPr="0025292C">
                    <w:rPr>
                      <w:sz w:val="18"/>
                      <w:szCs w:val="22"/>
                      <w:lang w:val="en-GB"/>
                    </w:rPr>
                    <w:t>0.27</w:t>
                  </w:r>
                </w:p>
              </w:tc>
              <w:tc>
                <w:tcPr>
                  <w:tcW w:w="125" w:type="pct"/>
                  <w:shd w:val="clear" w:color="000000" w:fill="FFFFFF"/>
                  <w:noWrap/>
                  <w:hideMark/>
                </w:tcPr>
                <w:p w14:paraId="7AD6BB4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ADBF53B" w14:textId="77777777" w:rsidR="00E45009" w:rsidRPr="0025292C" w:rsidRDefault="00E45009" w:rsidP="00E45009">
                  <w:pPr>
                    <w:pStyle w:val="NoSpacing"/>
                    <w:rPr>
                      <w:sz w:val="18"/>
                      <w:szCs w:val="22"/>
                      <w:lang w:val="en-GB"/>
                    </w:rPr>
                  </w:pPr>
                  <w:r w:rsidRPr="0025292C">
                    <w:rPr>
                      <w:sz w:val="18"/>
                      <w:szCs w:val="22"/>
                      <w:lang w:val="en-GB"/>
                    </w:rPr>
                    <w:t>5.00</w:t>
                  </w:r>
                </w:p>
              </w:tc>
              <w:tc>
                <w:tcPr>
                  <w:tcW w:w="333" w:type="pct"/>
                  <w:shd w:val="clear" w:color="000000" w:fill="FFFFFF"/>
                  <w:noWrap/>
                  <w:hideMark/>
                </w:tcPr>
                <w:p w14:paraId="035B88EB" w14:textId="77777777" w:rsidR="00E45009" w:rsidRPr="0025292C" w:rsidRDefault="00E45009" w:rsidP="00E45009">
                  <w:pPr>
                    <w:pStyle w:val="NoSpacing"/>
                    <w:rPr>
                      <w:sz w:val="18"/>
                      <w:szCs w:val="22"/>
                      <w:lang w:val="en-GB"/>
                    </w:rPr>
                  </w:pPr>
                  <w:r w:rsidRPr="0025292C">
                    <w:rPr>
                      <w:sz w:val="18"/>
                      <w:szCs w:val="22"/>
                      <w:lang w:val="en-GB"/>
                    </w:rPr>
                    <w:t>0.00</w:t>
                  </w:r>
                </w:p>
              </w:tc>
              <w:tc>
                <w:tcPr>
                  <w:tcW w:w="125" w:type="pct"/>
                  <w:shd w:val="clear" w:color="000000" w:fill="FFFFFF"/>
                  <w:noWrap/>
                  <w:hideMark/>
                </w:tcPr>
                <w:p w14:paraId="69A0407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3D6E030" w14:textId="77777777" w:rsidR="00E45009" w:rsidRPr="0025292C" w:rsidRDefault="00E45009" w:rsidP="00E45009">
                  <w:pPr>
                    <w:pStyle w:val="NoSpacing"/>
                    <w:rPr>
                      <w:sz w:val="18"/>
                      <w:szCs w:val="22"/>
                      <w:lang w:val="en-GB"/>
                    </w:rPr>
                  </w:pPr>
                  <w:r w:rsidRPr="0025292C">
                    <w:rPr>
                      <w:sz w:val="18"/>
                      <w:szCs w:val="22"/>
                      <w:lang w:val="en-GB"/>
                    </w:rPr>
                    <w:t>2.00</w:t>
                  </w:r>
                </w:p>
              </w:tc>
            </w:tr>
            <w:tr w:rsidR="00E45009" w:rsidRPr="0025292C" w14:paraId="7055B071" w14:textId="77777777" w:rsidTr="00DB32C0">
              <w:trPr>
                <w:trHeight w:val="255"/>
              </w:trPr>
              <w:tc>
                <w:tcPr>
                  <w:tcW w:w="267" w:type="pct"/>
                  <w:shd w:val="clear" w:color="000000" w:fill="FFFFFF"/>
                  <w:noWrap/>
                  <w:hideMark/>
                </w:tcPr>
                <w:p w14:paraId="73DAA028" w14:textId="77777777" w:rsidR="00E45009" w:rsidRPr="0025292C" w:rsidRDefault="00E45009" w:rsidP="00E45009">
                  <w:pPr>
                    <w:pStyle w:val="NoSpacing"/>
                    <w:rPr>
                      <w:sz w:val="18"/>
                      <w:szCs w:val="22"/>
                      <w:lang w:val="en-GB"/>
                    </w:rPr>
                  </w:pPr>
                  <w:r w:rsidRPr="0025292C">
                    <w:rPr>
                      <w:sz w:val="18"/>
                      <w:szCs w:val="22"/>
                      <w:lang w:val="en-GB"/>
                    </w:rPr>
                    <w:t>2</w:t>
                  </w:r>
                </w:p>
              </w:tc>
              <w:tc>
                <w:tcPr>
                  <w:tcW w:w="2195" w:type="pct"/>
                  <w:shd w:val="clear" w:color="000000" w:fill="FFFFFF"/>
                  <w:hideMark/>
                </w:tcPr>
                <w:p w14:paraId="253F2375" w14:textId="77777777" w:rsidR="00E45009" w:rsidRPr="0025292C" w:rsidRDefault="00E45009" w:rsidP="00E45009">
                  <w:pPr>
                    <w:pStyle w:val="NoSpacing"/>
                    <w:rPr>
                      <w:sz w:val="18"/>
                      <w:szCs w:val="22"/>
                      <w:lang w:val="en-GB"/>
                    </w:rPr>
                  </w:pPr>
                  <w:r w:rsidRPr="0025292C">
                    <w:rPr>
                      <w:sz w:val="18"/>
                      <w:szCs w:val="22"/>
                      <w:lang w:val="en-GB"/>
                    </w:rPr>
                    <w:t xml:space="preserve">Infringements of trade unionists' basic freedoms </w:t>
                  </w:r>
                </w:p>
              </w:tc>
              <w:tc>
                <w:tcPr>
                  <w:tcW w:w="125" w:type="pct"/>
                  <w:shd w:val="clear" w:color="000000" w:fill="FFFFFF"/>
                  <w:hideMark/>
                </w:tcPr>
                <w:p w14:paraId="023FFBF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BB24956" w14:textId="77777777" w:rsidR="00E45009" w:rsidRPr="0025292C" w:rsidRDefault="00E45009" w:rsidP="00E45009">
                  <w:pPr>
                    <w:pStyle w:val="NoSpacing"/>
                    <w:rPr>
                      <w:sz w:val="18"/>
                      <w:szCs w:val="22"/>
                      <w:lang w:val="en-GB"/>
                    </w:rPr>
                  </w:pPr>
                  <w:r w:rsidRPr="0025292C">
                    <w:rPr>
                      <w:sz w:val="18"/>
                      <w:szCs w:val="22"/>
                      <w:lang w:val="en-GB"/>
                    </w:rPr>
                    <w:t>4.46</w:t>
                  </w:r>
                </w:p>
              </w:tc>
              <w:tc>
                <w:tcPr>
                  <w:tcW w:w="335" w:type="pct"/>
                  <w:shd w:val="clear" w:color="000000" w:fill="FFFFFF"/>
                  <w:noWrap/>
                  <w:hideMark/>
                </w:tcPr>
                <w:p w14:paraId="31B445D5"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6BE7C1D6"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5041731" w14:textId="77777777" w:rsidR="00E45009" w:rsidRPr="0025292C" w:rsidRDefault="00E45009" w:rsidP="00E45009">
                  <w:pPr>
                    <w:pStyle w:val="NoSpacing"/>
                    <w:rPr>
                      <w:sz w:val="18"/>
                      <w:szCs w:val="22"/>
                      <w:lang w:val="en-GB"/>
                    </w:rPr>
                  </w:pPr>
                  <w:r w:rsidRPr="0025292C">
                    <w:rPr>
                      <w:sz w:val="18"/>
                      <w:szCs w:val="22"/>
                      <w:lang w:val="en-GB"/>
                    </w:rPr>
                    <w:t>4.71</w:t>
                  </w:r>
                </w:p>
              </w:tc>
              <w:tc>
                <w:tcPr>
                  <w:tcW w:w="333" w:type="pct"/>
                  <w:shd w:val="clear" w:color="000000" w:fill="FFFFFF"/>
                  <w:noWrap/>
                  <w:hideMark/>
                </w:tcPr>
                <w:p w14:paraId="78FA94BB"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4028B34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472B9FA" w14:textId="77777777" w:rsidR="00E45009" w:rsidRPr="0025292C" w:rsidRDefault="00E45009" w:rsidP="00E45009">
                  <w:pPr>
                    <w:pStyle w:val="NoSpacing"/>
                    <w:rPr>
                      <w:sz w:val="18"/>
                      <w:szCs w:val="22"/>
                      <w:lang w:val="en-GB"/>
                    </w:rPr>
                  </w:pPr>
                  <w:r w:rsidRPr="0025292C">
                    <w:rPr>
                      <w:sz w:val="18"/>
                      <w:szCs w:val="22"/>
                      <w:lang w:val="en-GB"/>
                    </w:rPr>
                    <w:t>1.93</w:t>
                  </w:r>
                </w:p>
              </w:tc>
            </w:tr>
            <w:tr w:rsidR="00E45009" w:rsidRPr="0025292C" w14:paraId="1D0095CC" w14:textId="77777777" w:rsidTr="00DB32C0">
              <w:trPr>
                <w:trHeight w:val="255"/>
              </w:trPr>
              <w:tc>
                <w:tcPr>
                  <w:tcW w:w="267" w:type="pct"/>
                  <w:shd w:val="clear" w:color="000000" w:fill="FFFFFF"/>
                  <w:noWrap/>
                  <w:hideMark/>
                </w:tcPr>
                <w:p w14:paraId="225ECC60" w14:textId="77777777" w:rsidR="00E45009" w:rsidRPr="0025292C" w:rsidRDefault="00E45009" w:rsidP="00E45009">
                  <w:pPr>
                    <w:pStyle w:val="NoSpacing"/>
                    <w:rPr>
                      <w:sz w:val="18"/>
                      <w:szCs w:val="22"/>
                      <w:lang w:val="en-GB"/>
                    </w:rPr>
                  </w:pPr>
                  <w:r w:rsidRPr="0025292C">
                    <w:rPr>
                      <w:sz w:val="18"/>
                      <w:szCs w:val="22"/>
                      <w:lang w:val="en-GB"/>
                    </w:rPr>
                    <w:t>3</w:t>
                  </w:r>
                </w:p>
              </w:tc>
              <w:tc>
                <w:tcPr>
                  <w:tcW w:w="2195" w:type="pct"/>
                  <w:shd w:val="clear" w:color="000000" w:fill="FFFFFF"/>
                  <w:hideMark/>
                </w:tcPr>
                <w:p w14:paraId="29D332F4" w14:textId="77777777" w:rsidR="00E45009" w:rsidRPr="0025292C" w:rsidRDefault="00E45009" w:rsidP="00E45009">
                  <w:pPr>
                    <w:pStyle w:val="NoSpacing"/>
                    <w:rPr>
                      <w:sz w:val="18"/>
                      <w:szCs w:val="22"/>
                      <w:lang w:val="en-GB"/>
                    </w:rPr>
                  </w:pPr>
                  <w:r w:rsidRPr="0025292C">
                    <w:rPr>
                      <w:sz w:val="18"/>
                      <w:szCs w:val="22"/>
                      <w:lang w:val="en-GB"/>
                    </w:rPr>
                    <w:t>Infringements of trade unions' and trade unionists' right to protection of their premises and property</w:t>
                  </w:r>
                </w:p>
              </w:tc>
              <w:tc>
                <w:tcPr>
                  <w:tcW w:w="125" w:type="pct"/>
                  <w:shd w:val="clear" w:color="000000" w:fill="FFFFFF"/>
                  <w:hideMark/>
                </w:tcPr>
                <w:p w14:paraId="2656775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E2CD6A9"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793408FA"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5C495B2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539C1A8" w14:textId="77777777" w:rsidR="00E45009" w:rsidRPr="0025292C" w:rsidRDefault="00E45009" w:rsidP="00E45009">
                  <w:pPr>
                    <w:pStyle w:val="NoSpacing"/>
                    <w:rPr>
                      <w:sz w:val="18"/>
                      <w:szCs w:val="22"/>
                      <w:lang w:val="en-GB"/>
                    </w:rPr>
                  </w:pPr>
                  <w:r w:rsidRPr="0025292C">
                    <w:rPr>
                      <w:sz w:val="18"/>
                      <w:szCs w:val="22"/>
                      <w:lang w:val="en-GB"/>
                    </w:rPr>
                    <w:t>3.93</w:t>
                  </w:r>
                </w:p>
              </w:tc>
              <w:tc>
                <w:tcPr>
                  <w:tcW w:w="333" w:type="pct"/>
                  <w:shd w:val="clear" w:color="000000" w:fill="FFFFFF"/>
                  <w:noWrap/>
                  <w:hideMark/>
                </w:tcPr>
                <w:p w14:paraId="13C6F425"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5290E610"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BD6DD9D" w14:textId="77777777" w:rsidR="00E45009" w:rsidRPr="0025292C" w:rsidRDefault="00E45009" w:rsidP="00E45009">
                  <w:pPr>
                    <w:pStyle w:val="NoSpacing"/>
                    <w:rPr>
                      <w:sz w:val="18"/>
                      <w:szCs w:val="22"/>
                      <w:lang w:val="en-GB"/>
                    </w:rPr>
                  </w:pPr>
                  <w:r w:rsidRPr="0025292C">
                    <w:rPr>
                      <w:sz w:val="18"/>
                      <w:szCs w:val="22"/>
                      <w:lang w:val="en-GB"/>
                    </w:rPr>
                    <w:t>1.73</w:t>
                  </w:r>
                </w:p>
              </w:tc>
            </w:tr>
            <w:tr w:rsidR="00E45009" w:rsidRPr="0025292C" w14:paraId="56BDF00E" w14:textId="77777777" w:rsidTr="00DB32C0">
              <w:trPr>
                <w:trHeight w:val="255"/>
              </w:trPr>
              <w:tc>
                <w:tcPr>
                  <w:tcW w:w="267" w:type="pct"/>
                  <w:shd w:val="clear" w:color="000000" w:fill="FFFFFF"/>
                  <w:noWrap/>
                  <w:hideMark/>
                </w:tcPr>
                <w:p w14:paraId="3A7F6AB5" w14:textId="77777777" w:rsidR="00E45009" w:rsidRPr="0025292C" w:rsidRDefault="00E45009" w:rsidP="00E45009">
                  <w:pPr>
                    <w:pStyle w:val="NoSpacing"/>
                    <w:rPr>
                      <w:sz w:val="18"/>
                      <w:szCs w:val="22"/>
                      <w:lang w:val="en-GB"/>
                    </w:rPr>
                  </w:pPr>
                  <w:r w:rsidRPr="0025292C">
                    <w:rPr>
                      <w:sz w:val="18"/>
                      <w:szCs w:val="22"/>
                      <w:lang w:val="en-GB"/>
                    </w:rPr>
                    <w:t>4</w:t>
                  </w:r>
                </w:p>
              </w:tc>
              <w:tc>
                <w:tcPr>
                  <w:tcW w:w="2195" w:type="pct"/>
                  <w:shd w:val="clear" w:color="000000" w:fill="FFFFFF"/>
                  <w:hideMark/>
                </w:tcPr>
                <w:p w14:paraId="452D730D" w14:textId="77777777" w:rsidR="00E45009" w:rsidRPr="0025292C" w:rsidRDefault="00E45009" w:rsidP="00E45009">
                  <w:pPr>
                    <w:pStyle w:val="NoSpacing"/>
                    <w:rPr>
                      <w:sz w:val="18"/>
                      <w:szCs w:val="22"/>
                      <w:lang w:val="en-GB"/>
                    </w:rPr>
                  </w:pPr>
                  <w:r w:rsidRPr="0025292C">
                    <w:rPr>
                      <w:sz w:val="18"/>
                      <w:szCs w:val="22"/>
                      <w:lang w:val="en-GB"/>
                    </w:rPr>
                    <w:t>Excessive prohibitions/restrictions on trade union rights in the event of state of emergency</w:t>
                  </w:r>
                </w:p>
              </w:tc>
              <w:tc>
                <w:tcPr>
                  <w:tcW w:w="125" w:type="pct"/>
                  <w:shd w:val="clear" w:color="000000" w:fill="FFFFFF"/>
                  <w:hideMark/>
                </w:tcPr>
                <w:p w14:paraId="7BA396A1"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DD6A7AE" w14:textId="77777777" w:rsidR="00E45009" w:rsidRPr="0025292C" w:rsidRDefault="00E45009" w:rsidP="00E45009">
                  <w:pPr>
                    <w:pStyle w:val="NoSpacing"/>
                    <w:rPr>
                      <w:sz w:val="18"/>
                      <w:szCs w:val="22"/>
                      <w:lang w:val="en-GB"/>
                    </w:rPr>
                  </w:pPr>
                  <w:r w:rsidRPr="0025292C">
                    <w:rPr>
                      <w:sz w:val="18"/>
                      <w:szCs w:val="22"/>
                      <w:lang w:val="en-GB"/>
                    </w:rPr>
                    <w:t>3.68</w:t>
                  </w:r>
                </w:p>
              </w:tc>
              <w:tc>
                <w:tcPr>
                  <w:tcW w:w="335" w:type="pct"/>
                  <w:shd w:val="clear" w:color="000000" w:fill="FFFFFF"/>
                  <w:noWrap/>
                  <w:hideMark/>
                </w:tcPr>
                <w:p w14:paraId="3EEBAE87" w14:textId="77777777" w:rsidR="00E45009" w:rsidRPr="0025292C" w:rsidRDefault="00E45009" w:rsidP="00E45009">
                  <w:pPr>
                    <w:pStyle w:val="NoSpacing"/>
                    <w:rPr>
                      <w:sz w:val="18"/>
                      <w:szCs w:val="22"/>
                      <w:lang w:val="en-GB"/>
                    </w:rPr>
                  </w:pPr>
                  <w:r w:rsidRPr="0025292C">
                    <w:rPr>
                      <w:sz w:val="18"/>
                      <w:szCs w:val="22"/>
                      <w:lang w:val="en-GB"/>
                    </w:rPr>
                    <w:t>1.09</w:t>
                  </w:r>
                </w:p>
              </w:tc>
              <w:tc>
                <w:tcPr>
                  <w:tcW w:w="125" w:type="pct"/>
                  <w:shd w:val="clear" w:color="000000" w:fill="FFFFFF"/>
                  <w:noWrap/>
                  <w:hideMark/>
                </w:tcPr>
                <w:p w14:paraId="7293559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9479F48" w14:textId="77777777" w:rsidR="00E45009" w:rsidRPr="0025292C" w:rsidRDefault="00E45009" w:rsidP="00E45009">
                  <w:pPr>
                    <w:pStyle w:val="NoSpacing"/>
                    <w:rPr>
                      <w:sz w:val="18"/>
                      <w:szCs w:val="22"/>
                      <w:lang w:val="en-GB"/>
                    </w:rPr>
                  </w:pPr>
                  <w:r w:rsidRPr="0025292C">
                    <w:rPr>
                      <w:sz w:val="18"/>
                      <w:szCs w:val="22"/>
                      <w:lang w:val="en-GB"/>
                    </w:rPr>
                    <w:t>3.64</w:t>
                  </w:r>
                </w:p>
              </w:tc>
              <w:tc>
                <w:tcPr>
                  <w:tcW w:w="333" w:type="pct"/>
                  <w:shd w:val="clear" w:color="000000" w:fill="FFFFFF"/>
                  <w:noWrap/>
                  <w:hideMark/>
                </w:tcPr>
                <w:p w14:paraId="6BB658C2" w14:textId="77777777" w:rsidR="00E45009" w:rsidRPr="0025292C" w:rsidRDefault="00E45009" w:rsidP="00E45009">
                  <w:pPr>
                    <w:pStyle w:val="NoSpacing"/>
                    <w:rPr>
                      <w:sz w:val="18"/>
                      <w:szCs w:val="22"/>
                      <w:lang w:val="en-GB"/>
                    </w:rPr>
                  </w:pPr>
                  <w:r w:rsidRPr="0025292C">
                    <w:rPr>
                      <w:sz w:val="18"/>
                      <w:szCs w:val="22"/>
                      <w:lang w:val="en-GB"/>
                    </w:rPr>
                    <w:t>0.63</w:t>
                  </w:r>
                </w:p>
              </w:tc>
              <w:tc>
                <w:tcPr>
                  <w:tcW w:w="125" w:type="pct"/>
                  <w:shd w:val="clear" w:color="000000" w:fill="FFFFFF"/>
                  <w:noWrap/>
                  <w:hideMark/>
                </w:tcPr>
                <w:p w14:paraId="4D77EEE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D1416DE" w14:textId="77777777" w:rsidR="00E45009" w:rsidRPr="0025292C" w:rsidRDefault="00E45009" w:rsidP="00E45009">
                  <w:pPr>
                    <w:pStyle w:val="NoSpacing"/>
                    <w:rPr>
                      <w:sz w:val="18"/>
                      <w:szCs w:val="22"/>
                      <w:lang w:val="en-GB"/>
                    </w:rPr>
                  </w:pPr>
                  <w:r w:rsidRPr="0025292C">
                    <w:rPr>
                      <w:sz w:val="18"/>
                      <w:szCs w:val="22"/>
                      <w:lang w:val="en-GB"/>
                    </w:rPr>
                    <w:t>1.66</w:t>
                  </w:r>
                </w:p>
              </w:tc>
            </w:tr>
            <w:tr w:rsidR="00E45009" w:rsidRPr="0025292C" w14:paraId="42F9AB26" w14:textId="77777777" w:rsidTr="00DB32C0">
              <w:trPr>
                <w:trHeight w:val="255"/>
              </w:trPr>
              <w:tc>
                <w:tcPr>
                  <w:tcW w:w="267" w:type="pct"/>
                  <w:shd w:val="clear" w:color="000000" w:fill="FFFFFF"/>
                  <w:noWrap/>
                  <w:hideMark/>
                </w:tcPr>
                <w:p w14:paraId="4FAF25C6" w14:textId="77777777" w:rsidR="00E45009" w:rsidRPr="0025292C" w:rsidRDefault="00E45009" w:rsidP="00E45009">
                  <w:pPr>
                    <w:pStyle w:val="NoSpacing"/>
                    <w:rPr>
                      <w:sz w:val="18"/>
                      <w:szCs w:val="22"/>
                      <w:lang w:val="en-GB"/>
                    </w:rPr>
                  </w:pPr>
                  <w:r w:rsidRPr="0025292C">
                    <w:rPr>
                      <w:sz w:val="18"/>
                      <w:szCs w:val="22"/>
                      <w:lang w:val="en-GB"/>
                    </w:rPr>
                    <w:t>5</w:t>
                  </w:r>
                </w:p>
              </w:tc>
              <w:tc>
                <w:tcPr>
                  <w:tcW w:w="2195" w:type="pct"/>
                  <w:shd w:val="clear" w:color="000000" w:fill="FFFFFF"/>
                  <w:hideMark/>
                </w:tcPr>
                <w:p w14:paraId="0D48EADC"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1-4</w:t>
                  </w:r>
                </w:p>
              </w:tc>
              <w:tc>
                <w:tcPr>
                  <w:tcW w:w="125" w:type="pct"/>
                  <w:shd w:val="clear" w:color="000000" w:fill="FFFFFF"/>
                  <w:hideMark/>
                </w:tcPr>
                <w:p w14:paraId="4166A9C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A8CF9F0" w14:textId="77777777" w:rsidR="00E45009" w:rsidRPr="0025292C" w:rsidRDefault="00E45009" w:rsidP="00E45009">
                  <w:pPr>
                    <w:pStyle w:val="NoSpacing"/>
                    <w:rPr>
                      <w:sz w:val="18"/>
                      <w:szCs w:val="22"/>
                      <w:lang w:val="en-GB"/>
                    </w:rPr>
                  </w:pPr>
                  <w:r w:rsidRPr="0025292C">
                    <w:rPr>
                      <w:sz w:val="18"/>
                      <w:szCs w:val="22"/>
                      <w:lang w:val="en-GB"/>
                    </w:rPr>
                    <w:t>4.23</w:t>
                  </w:r>
                </w:p>
              </w:tc>
              <w:tc>
                <w:tcPr>
                  <w:tcW w:w="335" w:type="pct"/>
                  <w:shd w:val="clear" w:color="000000" w:fill="FFFFFF"/>
                  <w:noWrap/>
                  <w:hideMark/>
                </w:tcPr>
                <w:p w14:paraId="2D5D2536" w14:textId="77777777" w:rsidR="00E45009" w:rsidRPr="0025292C" w:rsidRDefault="00E45009" w:rsidP="00E45009">
                  <w:pPr>
                    <w:pStyle w:val="NoSpacing"/>
                    <w:rPr>
                      <w:sz w:val="18"/>
                      <w:szCs w:val="22"/>
                      <w:lang w:val="en-GB"/>
                    </w:rPr>
                  </w:pPr>
                  <w:r w:rsidRPr="0025292C">
                    <w:rPr>
                      <w:sz w:val="18"/>
                      <w:szCs w:val="22"/>
                      <w:lang w:val="en-GB"/>
                    </w:rPr>
                    <w:t>0.91</w:t>
                  </w:r>
                </w:p>
              </w:tc>
              <w:tc>
                <w:tcPr>
                  <w:tcW w:w="125" w:type="pct"/>
                  <w:shd w:val="clear" w:color="000000" w:fill="FFFFFF"/>
                  <w:noWrap/>
                  <w:hideMark/>
                </w:tcPr>
                <w:p w14:paraId="696944DB"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6838743" w14:textId="77777777" w:rsidR="00E45009" w:rsidRPr="0025292C" w:rsidRDefault="00E45009" w:rsidP="00E45009">
                  <w:pPr>
                    <w:pStyle w:val="NoSpacing"/>
                    <w:rPr>
                      <w:sz w:val="18"/>
                      <w:szCs w:val="22"/>
                      <w:lang w:val="en-GB"/>
                    </w:rPr>
                  </w:pPr>
                  <w:r w:rsidRPr="0025292C">
                    <w:rPr>
                      <w:sz w:val="18"/>
                      <w:szCs w:val="22"/>
                      <w:lang w:val="en-GB"/>
                    </w:rPr>
                    <w:t>4.43</w:t>
                  </w:r>
                </w:p>
              </w:tc>
              <w:tc>
                <w:tcPr>
                  <w:tcW w:w="333" w:type="pct"/>
                  <w:shd w:val="clear" w:color="000000" w:fill="FFFFFF"/>
                  <w:noWrap/>
                  <w:hideMark/>
                </w:tcPr>
                <w:p w14:paraId="7EE8D8EC"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45D6CFCB"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CEE748A" w14:textId="77777777" w:rsidR="00E45009" w:rsidRPr="0025292C" w:rsidRDefault="00E45009" w:rsidP="00E45009">
                  <w:pPr>
                    <w:pStyle w:val="NoSpacing"/>
                    <w:rPr>
                      <w:sz w:val="18"/>
                      <w:szCs w:val="22"/>
                      <w:lang w:val="en-GB"/>
                    </w:rPr>
                  </w:pPr>
                  <w:r w:rsidRPr="0025292C">
                    <w:rPr>
                      <w:sz w:val="18"/>
                      <w:szCs w:val="22"/>
                      <w:lang w:val="en-GB"/>
                    </w:rPr>
                    <w:t>1.86</w:t>
                  </w:r>
                </w:p>
              </w:tc>
            </w:tr>
            <w:tr w:rsidR="00E45009" w:rsidRPr="0025292C" w14:paraId="0D14A6C2" w14:textId="77777777" w:rsidTr="00DB32C0">
              <w:trPr>
                <w:trHeight w:val="255"/>
              </w:trPr>
              <w:tc>
                <w:tcPr>
                  <w:tcW w:w="267" w:type="pct"/>
                  <w:shd w:val="clear" w:color="000000" w:fill="FFFFFF"/>
                  <w:noWrap/>
                  <w:hideMark/>
                </w:tcPr>
                <w:p w14:paraId="7F27A28C"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2E93DB95" w14:textId="77777777" w:rsidR="00E45009" w:rsidRPr="0025292C" w:rsidRDefault="00E45009" w:rsidP="00E45009">
                  <w:pPr>
                    <w:pStyle w:val="NoSpacing"/>
                    <w:rPr>
                      <w:b/>
                      <w:bCs/>
                      <w:sz w:val="18"/>
                      <w:szCs w:val="22"/>
                      <w:lang w:val="en-GB"/>
                    </w:rPr>
                  </w:pPr>
                  <w:r w:rsidRPr="0025292C">
                    <w:rPr>
                      <w:b/>
                      <w:bCs/>
                      <w:sz w:val="18"/>
                      <w:szCs w:val="22"/>
                      <w:lang w:val="en-GB"/>
                    </w:rPr>
                    <w:t>Ib. Fundamental civil liberties in practice</w:t>
                  </w:r>
                </w:p>
              </w:tc>
              <w:tc>
                <w:tcPr>
                  <w:tcW w:w="125" w:type="pct"/>
                  <w:shd w:val="clear" w:color="000000" w:fill="FFFFFF"/>
                  <w:hideMark/>
                </w:tcPr>
                <w:p w14:paraId="795BAD61"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4D1762AA"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1530FA7D"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1306420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21F3432"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32224A77"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688F8B1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5D73B8E"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2D370873" w14:textId="77777777" w:rsidTr="00DB32C0">
              <w:trPr>
                <w:trHeight w:val="255"/>
              </w:trPr>
              <w:tc>
                <w:tcPr>
                  <w:tcW w:w="267" w:type="pct"/>
                  <w:shd w:val="clear" w:color="000000" w:fill="FFFFFF"/>
                  <w:noWrap/>
                  <w:hideMark/>
                </w:tcPr>
                <w:p w14:paraId="6C4E10BA" w14:textId="77777777" w:rsidR="00E45009" w:rsidRPr="0025292C" w:rsidRDefault="00E45009" w:rsidP="00E45009">
                  <w:pPr>
                    <w:pStyle w:val="NoSpacing"/>
                    <w:rPr>
                      <w:sz w:val="18"/>
                      <w:szCs w:val="22"/>
                      <w:lang w:val="en-GB"/>
                    </w:rPr>
                  </w:pPr>
                  <w:r w:rsidRPr="0025292C">
                    <w:rPr>
                      <w:sz w:val="18"/>
                      <w:szCs w:val="22"/>
                      <w:lang w:val="en-GB"/>
                    </w:rPr>
                    <w:t>6</w:t>
                  </w:r>
                </w:p>
              </w:tc>
              <w:tc>
                <w:tcPr>
                  <w:tcW w:w="2195" w:type="pct"/>
                  <w:shd w:val="clear" w:color="000000" w:fill="FFFFFF"/>
                  <w:hideMark/>
                </w:tcPr>
                <w:p w14:paraId="09E4AEE1" w14:textId="77777777" w:rsidR="00E45009" w:rsidRPr="0025292C" w:rsidRDefault="00E45009" w:rsidP="00E45009">
                  <w:pPr>
                    <w:pStyle w:val="NoSpacing"/>
                    <w:rPr>
                      <w:sz w:val="18"/>
                      <w:szCs w:val="22"/>
                      <w:lang w:val="en-GB"/>
                    </w:rPr>
                  </w:pPr>
                  <w:r w:rsidRPr="0025292C">
                    <w:rPr>
                      <w:sz w:val="18"/>
                      <w:szCs w:val="22"/>
                      <w:lang w:val="en-GB"/>
                    </w:rPr>
                    <w:t>Killing or disappearance of trade unionists in relation to their trade union activities</w:t>
                  </w:r>
                </w:p>
              </w:tc>
              <w:tc>
                <w:tcPr>
                  <w:tcW w:w="125" w:type="pct"/>
                  <w:shd w:val="clear" w:color="000000" w:fill="FFFFFF"/>
                  <w:hideMark/>
                </w:tcPr>
                <w:p w14:paraId="2515923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797A684" w14:textId="77777777" w:rsidR="00E45009" w:rsidRPr="0025292C" w:rsidRDefault="00E45009" w:rsidP="00E45009">
                  <w:pPr>
                    <w:pStyle w:val="NoSpacing"/>
                    <w:rPr>
                      <w:sz w:val="18"/>
                      <w:szCs w:val="22"/>
                      <w:lang w:val="en-GB"/>
                    </w:rPr>
                  </w:pPr>
                  <w:r w:rsidRPr="0025292C">
                    <w:rPr>
                      <w:sz w:val="18"/>
                      <w:szCs w:val="22"/>
                      <w:lang w:val="en-GB"/>
                    </w:rPr>
                    <w:t>5.00</w:t>
                  </w:r>
                </w:p>
              </w:tc>
              <w:tc>
                <w:tcPr>
                  <w:tcW w:w="335" w:type="pct"/>
                  <w:shd w:val="clear" w:color="000000" w:fill="FFFFFF"/>
                  <w:noWrap/>
                  <w:hideMark/>
                </w:tcPr>
                <w:p w14:paraId="1FDC01ED" w14:textId="77777777" w:rsidR="00E45009" w:rsidRPr="0025292C" w:rsidRDefault="00E45009" w:rsidP="00E45009">
                  <w:pPr>
                    <w:pStyle w:val="NoSpacing"/>
                    <w:rPr>
                      <w:sz w:val="18"/>
                      <w:szCs w:val="22"/>
                      <w:lang w:val="en-GB"/>
                    </w:rPr>
                  </w:pPr>
                  <w:r w:rsidRPr="0025292C">
                    <w:rPr>
                      <w:sz w:val="18"/>
                      <w:szCs w:val="22"/>
                      <w:lang w:val="en-GB"/>
                    </w:rPr>
                    <w:t>0.00</w:t>
                  </w:r>
                </w:p>
              </w:tc>
              <w:tc>
                <w:tcPr>
                  <w:tcW w:w="125" w:type="pct"/>
                  <w:shd w:val="clear" w:color="000000" w:fill="FFFFFF"/>
                  <w:noWrap/>
                  <w:hideMark/>
                </w:tcPr>
                <w:p w14:paraId="5642B11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791CBCD" w14:textId="77777777" w:rsidR="00E45009" w:rsidRPr="0025292C" w:rsidRDefault="00E45009" w:rsidP="00E45009">
                  <w:pPr>
                    <w:pStyle w:val="NoSpacing"/>
                    <w:rPr>
                      <w:sz w:val="18"/>
                      <w:szCs w:val="22"/>
                      <w:lang w:val="en-GB"/>
                    </w:rPr>
                  </w:pPr>
                  <w:r w:rsidRPr="0025292C">
                    <w:rPr>
                      <w:sz w:val="18"/>
                      <w:szCs w:val="22"/>
                      <w:lang w:val="en-GB"/>
                    </w:rPr>
                    <w:t>5.00</w:t>
                  </w:r>
                </w:p>
              </w:tc>
              <w:tc>
                <w:tcPr>
                  <w:tcW w:w="333" w:type="pct"/>
                  <w:shd w:val="clear" w:color="000000" w:fill="FFFFFF"/>
                  <w:noWrap/>
                  <w:hideMark/>
                </w:tcPr>
                <w:p w14:paraId="0F4453A3" w14:textId="77777777" w:rsidR="00E45009" w:rsidRPr="0025292C" w:rsidRDefault="00E45009" w:rsidP="00E45009">
                  <w:pPr>
                    <w:pStyle w:val="NoSpacing"/>
                    <w:rPr>
                      <w:sz w:val="18"/>
                      <w:szCs w:val="22"/>
                      <w:lang w:val="en-GB"/>
                    </w:rPr>
                  </w:pPr>
                  <w:r w:rsidRPr="0025292C">
                    <w:rPr>
                      <w:sz w:val="18"/>
                      <w:szCs w:val="22"/>
                      <w:lang w:val="en-GB"/>
                    </w:rPr>
                    <w:t>0.00</w:t>
                  </w:r>
                </w:p>
              </w:tc>
              <w:tc>
                <w:tcPr>
                  <w:tcW w:w="125" w:type="pct"/>
                  <w:shd w:val="clear" w:color="000000" w:fill="FFFFFF"/>
                  <w:noWrap/>
                  <w:hideMark/>
                </w:tcPr>
                <w:p w14:paraId="4B4957BA"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7B7474C" w14:textId="77777777" w:rsidR="00E45009" w:rsidRPr="0025292C" w:rsidRDefault="00E45009" w:rsidP="00E45009">
                  <w:pPr>
                    <w:pStyle w:val="NoSpacing"/>
                    <w:rPr>
                      <w:sz w:val="18"/>
                      <w:szCs w:val="22"/>
                      <w:lang w:val="en-GB"/>
                    </w:rPr>
                  </w:pPr>
                  <w:r w:rsidRPr="0025292C">
                    <w:rPr>
                      <w:sz w:val="18"/>
                      <w:szCs w:val="22"/>
                      <w:lang w:val="en-GB"/>
                    </w:rPr>
                    <w:t>2.00</w:t>
                  </w:r>
                </w:p>
              </w:tc>
            </w:tr>
            <w:tr w:rsidR="00E45009" w:rsidRPr="0025292C" w14:paraId="5F7E64F8" w14:textId="77777777" w:rsidTr="00DB32C0">
              <w:trPr>
                <w:trHeight w:val="255"/>
              </w:trPr>
              <w:tc>
                <w:tcPr>
                  <w:tcW w:w="267" w:type="pct"/>
                  <w:shd w:val="clear" w:color="000000" w:fill="FFFFFF"/>
                  <w:noWrap/>
                  <w:hideMark/>
                </w:tcPr>
                <w:p w14:paraId="334BF573" w14:textId="77777777" w:rsidR="00E45009" w:rsidRPr="0025292C" w:rsidRDefault="00E45009" w:rsidP="00E45009">
                  <w:pPr>
                    <w:pStyle w:val="NoSpacing"/>
                    <w:rPr>
                      <w:sz w:val="18"/>
                      <w:szCs w:val="22"/>
                      <w:lang w:val="en-GB"/>
                    </w:rPr>
                  </w:pPr>
                  <w:r w:rsidRPr="0025292C">
                    <w:rPr>
                      <w:sz w:val="18"/>
                      <w:szCs w:val="22"/>
                      <w:lang w:val="en-GB"/>
                    </w:rPr>
                    <w:t>7</w:t>
                  </w:r>
                </w:p>
              </w:tc>
              <w:tc>
                <w:tcPr>
                  <w:tcW w:w="2195" w:type="pct"/>
                  <w:shd w:val="clear" w:color="000000" w:fill="FFFFFF"/>
                  <w:hideMark/>
                </w:tcPr>
                <w:p w14:paraId="0414162C" w14:textId="77777777" w:rsidR="00E45009" w:rsidRPr="0025292C" w:rsidRDefault="00E45009" w:rsidP="00E45009">
                  <w:pPr>
                    <w:pStyle w:val="NoSpacing"/>
                    <w:rPr>
                      <w:sz w:val="18"/>
                      <w:szCs w:val="22"/>
                      <w:lang w:val="en-GB"/>
                    </w:rPr>
                  </w:pPr>
                  <w:r w:rsidRPr="0025292C">
                    <w:rPr>
                      <w:sz w:val="18"/>
                      <w:szCs w:val="22"/>
                      <w:lang w:val="en-GB"/>
                    </w:rPr>
                    <w:t>Committed against trade union officials re violation no. 6</w:t>
                  </w:r>
                </w:p>
              </w:tc>
              <w:tc>
                <w:tcPr>
                  <w:tcW w:w="125" w:type="pct"/>
                  <w:shd w:val="clear" w:color="000000" w:fill="FFFFFF"/>
                  <w:hideMark/>
                </w:tcPr>
                <w:p w14:paraId="11A33DD9"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E887996" w14:textId="77777777" w:rsidR="00E45009" w:rsidRPr="0025292C" w:rsidRDefault="00E45009" w:rsidP="00E45009">
                  <w:pPr>
                    <w:pStyle w:val="NoSpacing"/>
                    <w:rPr>
                      <w:sz w:val="18"/>
                      <w:szCs w:val="22"/>
                      <w:lang w:val="en-GB"/>
                    </w:rPr>
                  </w:pPr>
                  <w:r w:rsidRPr="0025292C">
                    <w:rPr>
                      <w:sz w:val="18"/>
                      <w:szCs w:val="22"/>
                      <w:lang w:val="en-GB"/>
                    </w:rPr>
                    <w:t>4.92</w:t>
                  </w:r>
                </w:p>
              </w:tc>
              <w:tc>
                <w:tcPr>
                  <w:tcW w:w="335" w:type="pct"/>
                  <w:shd w:val="clear" w:color="000000" w:fill="FFFFFF"/>
                  <w:noWrap/>
                  <w:hideMark/>
                </w:tcPr>
                <w:p w14:paraId="14AD3B79" w14:textId="77777777" w:rsidR="00E45009" w:rsidRPr="0025292C" w:rsidRDefault="00E45009" w:rsidP="00E45009">
                  <w:pPr>
                    <w:pStyle w:val="NoSpacing"/>
                    <w:rPr>
                      <w:sz w:val="18"/>
                      <w:szCs w:val="22"/>
                      <w:lang w:val="en-GB"/>
                    </w:rPr>
                  </w:pPr>
                  <w:r w:rsidRPr="0025292C">
                    <w:rPr>
                      <w:sz w:val="18"/>
                      <w:szCs w:val="22"/>
                      <w:lang w:val="en-GB"/>
                    </w:rPr>
                    <w:t>0.27</w:t>
                  </w:r>
                </w:p>
              </w:tc>
              <w:tc>
                <w:tcPr>
                  <w:tcW w:w="125" w:type="pct"/>
                  <w:shd w:val="clear" w:color="000000" w:fill="FFFFFF"/>
                  <w:noWrap/>
                  <w:hideMark/>
                </w:tcPr>
                <w:p w14:paraId="54CF4B7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F8F5BD7" w14:textId="77777777" w:rsidR="00E45009" w:rsidRPr="0025292C" w:rsidRDefault="00E45009" w:rsidP="00E45009">
                  <w:pPr>
                    <w:pStyle w:val="NoSpacing"/>
                    <w:rPr>
                      <w:sz w:val="18"/>
                      <w:szCs w:val="22"/>
                      <w:lang w:val="en-GB"/>
                    </w:rPr>
                  </w:pPr>
                  <w:r w:rsidRPr="0025292C">
                    <w:rPr>
                      <w:sz w:val="18"/>
                      <w:szCs w:val="22"/>
                      <w:lang w:val="en-GB"/>
                    </w:rPr>
                    <w:t>5.00</w:t>
                  </w:r>
                </w:p>
              </w:tc>
              <w:tc>
                <w:tcPr>
                  <w:tcW w:w="333" w:type="pct"/>
                  <w:shd w:val="clear" w:color="000000" w:fill="FFFFFF"/>
                  <w:noWrap/>
                  <w:hideMark/>
                </w:tcPr>
                <w:p w14:paraId="29C31CC0" w14:textId="77777777" w:rsidR="00E45009" w:rsidRPr="0025292C" w:rsidRDefault="00E45009" w:rsidP="00E45009">
                  <w:pPr>
                    <w:pStyle w:val="NoSpacing"/>
                    <w:rPr>
                      <w:sz w:val="18"/>
                      <w:szCs w:val="22"/>
                      <w:lang w:val="en-GB"/>
                    </w:rPr>
                  </w:pPr>
                  <w:r w:rsidRPr="0025292C">
                    <w:rPr>
                      <w:sz w:val="18"/>
                      <w:szCs w:val="22"/>
                      <w:lang w:val="en-GB"/>
                    </w:rPr>
                    <w:t>0.00</w:t>
                  </w:r>
                </w:p>
              </w:tc>
              <w:tc>
                <w:tcPr>
                  <w:tcW w:w="125" w:type="pct"/>
                  <w:shd w:val="clear" w:color="000000" w:fill="FFFFFF"/>
                  <w:noWrap/>
                  <w:hideMark/>
                </w:tcPr>
                <w:p w14:paraId="3D32BCD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E82EB01" w14:textId="77777777" w:rsidR="00E45009" w:rsidRPr="0025292C" w:rsidRDefault="00E45009" w:rsidP="00E45009">
                  <w:pPr>
                    <w:pStyle w:val="NoSpacing"/>
                    <w:rPr>
                      <w:sz w:val="18"/>
                      <w:szCs w:val="22"/>
                      <w:lang w:val="en-GB"/>
                    </w:rPr>
                  </w:pPr>
                  <w:r w:rsidRPr="0025292C">
                    <w:rPr>
                      <w:sz w:val="18"/>
                      <w:szCs w:val="22"/>
                      <w:lang w:val="en-GB"/>
                    </w:rPr>
                    <w:t>2.00</w:t>
                  </w:r>
                </w:p>
              </w:tc>
            </w:tr>
            <w:tr w:rsidR="00E45009" w:rsidRPr="0025292C" w14:paraId="20A8E74C" w14:textId="77777777" w:rsidTr="00DB32C0">
              <w:trPr>
                <w:trHeight w:val="255"/>
              </w:trPr>
              <w:tc>
                <w:tcPr>
                  <w:tcW w:w="267" w:type="pct"/>
                  <w:shd w:val="clear" w:color="000000" w:fill="FFFFFF"/>
                  <w:noWrap/>
                  <w:hideMark/>
                </w:tcPr>
                <w:p w14:paraId="0EF4759C" w14:textId="77777777" w:rsidR="00E45009" w:rsidRPr="0025292C" w:rsidRDefault="00E45009" w:rsidP="00E45009">
                  <w:pPr>
                    <w:pStyle w:val="NoSpacing"/>
                    <w:rPr>
                      <w:sz w:val="18"/>
                      <w:szCs w:val="22"/>
                      <w:lang w:val="en-GB"/>
                    </w:rPr>
                  </w:pPr>
                  <w:r w:rsidRPr="0025292C">
                    <w:rPr>
                      <w:sz w:val="18"/>
                      <w:szCs w:val="22"/>
                      <w:lang w:val="en-GB"/>
                    </w:rPr>
                    <w:t>8</w:t>
                  </w:r>
                </w:p>
              </w:tc>
              <w:tc>
                <w:tcPr>
                  <w:tcW w:w="2195" w:type="pct"/>
                  <w:shd w:val="clear" w:color="000000" w:fill="FFFFFF"/>
                  <w:hideMark/>
                </w:tcPr>
                <w:p w14:paraId="53508A48"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no.6</w:t>
                  </w:r>
                </w:p>
              </w:tc>
              <w:tc>
                <w:tcPr>
                  <w:tcW w:w="125" w:type="pct"/>
                  <w:shd w:val="clear" w:color="000000" w:fill="FFFFFF"/>
                  <w:hideMark/>
                </w:tcPr>
                <w:p w14:paraId="53D5D73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DAEBB90" w14:textId="77777777" w:rsidR="00E45009" w:rsidRPr="0025292C" w:rsidRDefault="00E45009" w:rsidP="00E45009">
                  <w:pPr>
                    <w:pStyle w:val="NoSpacing"/>
                    <w:rPr>
                      <w:sz w:val="18"/>
                      <w:szCs w:val="22"/>
                      <w:lang w:val="en-GB"/>
                    </w:rPr>
                  </w:pPr>
                  <w:r w:rsidRPr="0025292C">
                    <w:rPr>
                      <w:sz w:val="18"/>
                      <w:szCs w:val="22"/>
                      <w:lang w:val="en-GB"/>
                    </w:rPr>
                    <w:t>4.39</w:t>
                  </w:r>
                </w:p>
              </w:tc>
              <w:tc>
                <w:tcPr>
                  <w:tcW w:w="335" w:type="pct"/>
                  <w:shd w:val="clear" w:color="000000" w:fill="FFFFFF"/>
                  <w:noWrap/>
                  <w:hideMark/>
                </w:tcPr>
                <w:p w14:paraId="435E67F1"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17C6603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0660BC0" w14:textId="77777777" w:rsidR="00E45009" w:rsidRPr="0025292C" w:rsidRDefault="00E45009" w:rsidP="00E45009">
                  <w:pPr>
                    <w:pStyle w:val="NoSpacing"/>
                    <w:rPr>
                      <w:sz w:val="18"/>
                      <w:szCs w:val="22"/>
                      <w:lang w:val="en-GB"/>
                    </w:rPr>
                  </w:pPr>
                  <w:r w:rsidRPr="0025292C">
                    <w:rPr>
                      <w:sz w:val="18"/>
                      <w:szCs w:val="22"/>
                      <w:lang w:val="en-GB"/>
                    </w:rPr>
                    <w:t>4.57</w:t>
                  </w:r>
                </w:p>
              </w:tc>
              <w:tc>
                <w:tcPr>
                  <w:tcW w:w="333" w:type="pct"/>
                  <w:shd w:val="clear" w:color="000000" w:fill="FFFFFF"/>
                  <w:noWrap/>
                  <w:hideMark/>
                </w:tcPr>
                <w:p w14:paraId="55DDA28F" w14:textId="77777777" w:rsidR="00E45009" w:rsidRPr="0025292C" w:rsidRDefault="00E45009" w:rsidP="00E45009">
                  <w:pPr>
                    <w:pStyle w:val="NoSpacing"/>
                    <w:rPr>
                      <w:sz w:val="18"/>
                      <w:szCs w:val="22"/>
                      <w:lang w:val="en-GB"/>
                    </w:rPr>
                  </w:pPr>
                  <w:r w:rsidRPr="0025292C">
                    <w:rPr>
                      <w:sz w:val="18"/>
                      <w:szCs w:val="22"/>
                      <w:lang w:val="en-GB"/>
                    </w:rPr>
                    <w:t>0.51</w:t>
                  </w:r>
                </w:p>
              </w:tc>
              <w:tc>
                <w:tcPr>
                  <w:tcW w:w="125" w:type="pct"/>
                  <w:shd w:val="clear" w:color="000000" w:fill="FFFFFF"/>
                  <w:noWrap/>
                  <w:hideMark/>
                </w:tcPr>
                <w:p w14:paraId="32B231A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92878A2" w14:textId="77777777" w:rsidR="00E45009" w:rsidRPr="0025292C" w:rsidRDefault="00E45009" w:rsidP="00E45009">
                  <w:pPr>
                    <w:pStyle w:val="NoSpacing"/>
                    <w:rPr>
                      <w:sz w:val="18"/>
                      <w:szCs w:val="22"/>
                      <w:lang w:val="en-GB"/>
                    </w:rPr>
                  </w:pPr>
                  <w:r w:rsidRPr="0025292C">
                    <w:rPr>
                      <w:sz w:val="18"/>
                      <w:szCs w:val="22"/>
                      <w:lang w:val="en-GB"/>
                    </w:rPr>
                    <w:t>1.89</w:t>
                  </w:r>
                </w:p>
              </w:tc>
            </w:tr>
            <w:tr w:rsidR="00E45009" w:rsidRPr="0025292C" w14:paraId="6CA6E426" w14:textId="77777777" w:rsidTr="00DB32C0">
              <w:trPr>
                <w:trHeight w:val="255"/>
              </w:trPr>
              <w:tc>
                <w:tcPr>
                  <w:tcW w:w="267" w:type="pct"/>
                  <w:shd w:val="clear" w:color="000000" w:fill="FFFFFF"/>
                  <w:noWrap/>
                  <w:hideMark/>
                </w:tcPr>
                <w:p w14:paraId="0ABE1F9C" w14:textId="77777777" w:rsidR="00E45009" w:rsidRPr="0025292C" w:rsidRDefault="00E45009" w:rsidP="00E45009">
                  <w:pPr>
                    <w:pStyle w:val="NoSpacing"/>
                    <w:rPr>
                      <w:sz w:val="18"/>
                      <w:szCs w:val="22"/>
                      <w:lang w:val="en-GB"/>
                    </w:rPr>
                  </w:pPr>
                  <w:r w:rsidRPr="0025292C">
                    <w:rPr>
                      <w:sz w:val="18"/>
                      <w:szCs w:val="22"/>
                      <w:lang w:val="en-GB"/>
                    </w:rPr>
                    <w:t>9</w:t>
                  </w:r>
                </w:p>
              </w:tc>
              <w:tc>
                <w:tcPr>
                  <w:tcW w:w="2195" w:type="pct"/>
                  <w:shd w:val="clear" w:color="000000" w:fill="FFFFFF"/>
                  <w:hideMark/>
                </w:tcPr>
                <w:p w14:paraId="3ACF64B6" w14:textId="77777777" w:rsidR="00E45009" w:rsidRPr="0025292C" w:rsidRDefault="00E45009" w:rsidP="00E45009">
                  <w:pPr>
                    <w:pStyle w:val="NoSpacing"/>
                    <w:rPr>
                      <w:sz w:val="18"/>
                      <w:szCs w:val="22"/>
                      <w:lang w:val="en-GB"/>
                    </w:rPr>
                  </w:pPr>
                  <w:r w:rsidRPr="0025292C">
                    <w:rPr>
                      <w:sz w:val="18"/>
                      <w:szCs w:val="22"/>
                      <w:lang w:val="en-GB"/>
                    </w:rPr>
                    <w:t>Other violent actions against trade unionists  in relation to their trade union activities</w:t>
                  </w:r>
                </w:p>
              </w:tc>
              <w:tc>
                <w:tcPr>
                  <w:tcW w:w="125" w:type="pct"/>
                  <w:shd w:val="clear" w:color="000000" w:fill="FFFFFF"/>
                  <w:hideMark/>
                </w:tcPr>
                <w:p w14:paraId="41576712"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119E5EB" w14:textId="77777777" w:rsidR="00E45009" w:rsidRPr="0025292C" w:rsidRDefault="00E45009" w:rsidP="00E45009">
                  <w:pPr>
                    <w:pStyle w:val="NoSpacing"/>
                    <w:rPr>
                      <w:sz w:val="18"/>
                      <w:szCs w:val="22"/>
                      <w:lang w:val="en-GB"/>
                    </w:rPr>
                  </w:pPr>
                  <w:r w:rsidRPr="0025292C">
                    <w:rPr>
                      <w:sz w:val="18"/>
                      <w:szCs w:val="22"/>
                      <w:lang w:val="en-GB"/>
                    </w:rPr>
                    <w:t>4.16</w:t>
                  </w:r>
                </w:p>
              </w:tc>
              <w:tc>
                <w:tcPr>
                  <w:tcW w:w="335" w:type="pct"/>
                  <w:shd w:val="clear" w:color="000000" w:fill="FFFFFF"/>
                  <w:noWrap/>
                  <w:hideMark/>
                </w:tcPr>
                <w:p w14:paraId="6996540A"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47230482"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570D941"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754B46E9"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63EC509A"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BDD1CCD"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305EBAAF" w14:textId="77777777" w:rsidTr="00DB32C0">
              <w:trPr>
                <w:trHeight w:val="255"/>
              </w:trPr>
              <w:tc>
                <w:tcPr>
                  <w:tcW w:w="267" w:type="pct"/>
                  <w:shd w:val="clear" w:color="000000" w:fill="FFFFFF"/>
                  <w:noWrap/>
                  <w:hideMark/>
                </w:tcPr>
                <w:p w14:paraId="598B736C" w14:textId="77777777" w:rsidR="00E45009" w:rsidRPr="0025292C" w:rsidRDefault="00E45009" w:rsidP="00E45009">
                  <w:pPr>
                    <w:pStyle w:val="NoSpacing"/>
                    <w:rPr>
                      <w:sz w:val="18"/>
                      <w:szCs w:val="22"/>
                      <w:lang w:val="en-GB"/>
                    </w:rPr>
                  </w:pPr>
                  <w:r w:rsidRPr="0025292C">
                    <w:rPr>
                      <w:sz w:val="18"/>
                      <w:szCs w:val="22"/>
                      <w:lang w:val="en-GB"/>
                    </w:rPr>
                    <w:t>10</w:t>
                  </w:r>
                </w:p>
              </w:tc>
              <w:tc>
                <w:tcPr>
                  <w:tcW w:w="2195" w:type="pct"/>
                  <w:shd w:val="clear" w:color="000000" w:fill="FFFFFF"/>
                  <w:hideMark/>
                </w:tcPr>
                <w:p w14:paraId="55D7EC8C" w14:textId="77777777" w:rsidR="00E45009" w:rsidRPr="0025292C" w:rsidRDefault="00E45009" w:rsidP="00E45009">
                  <w:pPr>
                    <w:pStyle w:val="NoSpacing"/>
                    <w:rPr>
                      <w:sz w:val="18"/>
                      <w:szCs w:val="22"/>
                      <w:lang w:val="en-GB"/>
                    </w:rPr>
                  </w:pPr>
                  <w:r w:rsidRPr="0025292C">
                    <w:rPr>
                      <w:sz w:val="18"/>
                      <w:szCs w:val="22"/>
                      <w:lang w:val="en-GB"/>
                    </w:rPr>
                    <w:t>Committed against trade union officials re violation no.9</w:t>
                  </w:r>
                </w:p>
              </w:tc>
              <w:tc>
                <w:tcPr>
                  <w:tcW w:w="125" w:type="pct"/>
                  <w:shd w:val="clear" w:color="000000" w:fill="FFFFFF"/>
                  <w:hideMark/>
                </w:tcPr>
                <w:p w14:paraId="579A896E"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E97213E" w14:textId="77777777" w:rsidR="00E45009" w:rsidRPr="0025292C" w:rsidRDefault="00E45009" w:rsidP="00E45009">
                  <w:pPr>
                    <w:pStyle w:val="NoSpacing"/>
                    <w:rPr>
                      <w:sz w:val="18"/>
                      <w:szCs w:val="22"/>
                      <w:lang w:val="en-GB"/>
                    </w:rPr>
                  </w:pPr>
                  <w:r w:rsidRPr="0025292C">
                    <w:rPr>
                      <w:sz w:val="18"/>
                      <w:szCs w:val="22"/>
                      <w:lang w:val="en-GB"/>
                    </w:rPr>
                    <w:t>4.16</w:t>
                  </w:r>
                </w:p>
              </w:tc>
              <w:tc>
                <w:tcPr>
                  <w:tcW w:w="335" w:type="pct"/>
                  <w:shd w:val="clear" w:color="000000" w:fill="FFFFFF"/>
                  <w:noWrap/>
                  <w:hideMark/>
                </w:tcPr>
                <w:p w14:paraId="66E33105"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34DC836E"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AAADB0C"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57A204CB"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7D9ECAB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FD4C38C"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6B88CA7C" w14:textId="77777777" w:rsidTr="00DB32C0">
              <w:trPr>
                <w:trHeight w:val="255"/>
              </w:trPr>
              <w:tc>
                <w:tcPr>
                  <w:tcW w:w="267" w:type="pct"/>
                  <w:shd w:val="clear" w:color="000000" w:fill="FFFFFF"/>
                  <w:noWrap/>
                  <w:hideMark/>
                </w:tcPr>
                <w:p w14:paraId="3D2CA9D6" w14:textId="77777777" w:rsidR="00E45009" w:rsidRPr="0025292C" w:rsidRDefault="00E45009" w:rsidP="00E45009">
                  <w:pPr>
                    <w:pStyle w:val="NoSpacing"/>
                    <w:rPr>
                      <w:sz w:val="18"/>
                      <w:szCs w:val="22"/>
                      <w:lang w:val="en-GB"/>
                    </w:rPr>
                  </w:pPr>
                  <w:r w:rsidRPr="0025292C">
                    <w:rPr>
                      <w:sz w:val="18"/>
                      <w:szCs w:val="22"/>
                      <w:lang w:val="en-GB"/>
                    </w:rPr>
                    <w:t>11</w:t>
                  </w:r>
                </w:p>
              </w:tc>
              <w:tc>
                <w:tcPr>
                  <w:tcW w:w="2195" w:type="pct"/>
                  <w:shd w:val="clear" w:color="000000" w:fill="FFFFFF"/>
                  <w:hideMark/>
                </w:tcPr>
                <w:p w14:paraId="757C3D8C"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no.9</w:t>
                  </w:r>
                </w:p>
              </w:tc>
              <w:tc>
                <w:tcPr>
                  <w:tcW w:w="125" w:type="pct"/>
                  <w:shd w:val="clear" w:color="000000" w:fill="FFFFFF"/>
                  <w:hideMark/>
                </w:tcPr>
                <w:p w14:paraId="3A5216A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A3BC2A1" w14:textId="77777777" w:rsidR="00E45009" w:rsidRPr="0025292C" w:rsidRDefault="00E45009" w:rsidP="00E45009">
                  <w:pPr>
                    <w:pStyle w:val="NoSpacing"/>
                    <w:rPr>
                      <w:sz w:val="18"/>
                      <w:szCs w:val="22"/>
                      <w:lang w:val="en-GB"/>
                    </w:rPr>
                  </w:pPr>
                  <w:r w:rsidRPr="0025292C">
                    <w:rPr>
                      <w:sz w:val="18"/>
                      <w:szCs w:val="22"/>
                      <w:lang w:val="en-GB"/>
                    </w:rPr>
                    <w:t>4.01</w:t>
                  </w:r>
                </w:p>
              </w:tc>
              <w:tc>
                <w:tcPr>
                  <w:tcW w:w="335" w:type="pct"/>
                  <w:shd w:val="clear" w:color="000000" w:fill="FFFFFF"/>
                  <w:noWrap/>
                  <w:hideMark/>
                </w:tcPr>
                <w:p w14:paraId="61A6A302"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50C85BC4"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1755874" w14:textId="77777777" w:rsidR="00E45009" w:rsidRPr="0025292C" w:rsidRDefault="00E45009" w:rsidP="00E45009">
                  <w:pPr>
                    <w:pStyle w:val="NoSpacing"/>
                    <w:rPr>
                      <w:sz w:val="18"/>
                      <w:szCs w:val="22"/>
                      <w:lang w:val="en-GB"/>
                    </w:rPr>
                  </w:pPr>
                  <w:r w:rsidRPr="0025292C">
                    <w:rPr>
                      <w:sz w:val="18"/>
                      <w:szCs w:val="22"/>
                      <w:lang w:val="en-GB"/>
                    </w:rPr>
                    <w:t>4.36</w:t>
                  </w:r>
                </w:p>
              </w:tc>
              <w:tc>
                <w:tcPr>
                  <w:tcW w:w="333" w:type="pct"/>
                  <w:shd w:val="clear" w:color="000000" w:fill="FFFFFF"/>
                  <w:noWrap/>
                  <w:hideMark/>
                </w:tcPr>
                <w:p w14:paraId="7DCF2358" w14:textId="77777777" w:rsidR="00E45009" w:rsidRPr="0025292C" w:rsidRDefault="00E45009" w:rsidP="00E45009">
                  <w:pPr>
                    <w:pStyle w:val="NoSpacing"/>
                    <w:rPr>
                      <w:sz w:val="18"/>
                      <w:szCs w:val="22"/>
                      <w:lang w:val="en-GB"/>
                    </w:rPr>
                  </w:pPr>
                  <w:r w:rsidRPr="0025292C">
                    <w:rPr>
                      <w:sz w:val="18"/>
                      <w:szCs w:val="22"/>
                      <w:lang w:val="en-GB"/>
                    </w:rPr>
                    <w:t>0.50</w:t>
                  </w:r>
                </w:p>
              </w:tc>
              <w:tc>
                <w:tcPr>
                  <w:tcW w:w="125" w:type="pct"/>
                  <w:shd w:val="clear" w:color="000000" w:fill="FFFFFF"/>
                  <w:noWrap/>
                  <w:hideMark/>
                </w:tcPr>
                <w:p w14:paraId="0E8BD29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519D839" w14:textId="77777777" w:rsidR="00E45009" w:rsidRPr="0025292C" w:rsidRDefault="00E45009" w:rsidP="00E45009">
                  <w:pPr>
                    <w:pStyle w:val="NoSpacing"/>
                    <w:rPr>
                      <w:sz w:val="18"/>
                      <w:szCs w:val="22"/>
                      <w:lang w:val="en-GB"/>
                    </w:rPr>
                  </w:pPr>
                  <w:r w:rsidRPr="0025292C">
                    <w:rPr>
                      <w:sz w:val="18"/>
                      <w:szCs w:val="22"/>
                      <w:lang w:val="en-GB"/>
                    </w:rPr>
                    <w:t>1.84</w:t>
                  </w:r>
                </w:p>
              </w:tc>
            </w:tr>
            <w:tr w:rsidR="00E45009" w:rsidRPr="0025292C" w14:paraId="15D61C45" w14:textId="77777777" w:rsidTr="00DB32C0">
              <w:trPr>
                <w:trHeight w:val="255"/>
              </w:trPr>
              <w:tc>
                <w:tcPr>
                  <w:tcW w:w="267" w:type="pct"/>
                  <w:shd w:val="clear" w:color="000000" w:fill="FFFFFF"/>
                  <w:noWrap/>
                  <w:hideMark/>
                </w:tcPr>
                <w:p w14:paraId="79CCF7B2" w14:textId="77777777" w:rsidR="00E45009" w:rsidRPr="0025292C" w:rsidRDefault="00E45009" w:rsidP="00E45009">
                  <w:pPr>
                    <w:pStyle w:val="NoSpacing"/>
                    <w:rPr>
                      <w:sz w:val="18"/>
                      <w:szCs w:val="22"/>
                      <w:lang w:val="en-GB"/>
                    </w:rPr>
                  </w:pPr>
                  <w:r w:rsidRPr="0025292C">
                    <w:rPr>
                      <w:sz w:val="18"/>
                      <w:szCs w:val="22"/>
                      <w:lang w:val="en-GB"/>
                    </w:rPr>
                    <w:t>12</w:t>
                  </w:r>
                </w:p>
              </w:tc>
              <w:tc>
                <w:tcPr>
                  <w:tcW w:w="2195" w:type="pct"/>
                  <w:shd w:val="clear" w:color="000000" w:fill="FFFFFF"/>
                  <w:hideMark/>
                </w:tcPr>
                <w:p w14:paraId="47476338" w14:textId="77777777" w:rsidR="00E45009" w:rsidRPr="0025292C" w:rsidRDefault="00E45009" w:rsidP="00E45009">
                  <w:pPr>
                    <w:pStyle w:val="NoSpacing"/>
                    <w:rPr>
                      <w:sz w:val="18"/>
                      <w:szCs w:val="22"/>
                      <w:lang w:val="en-GB"/>
                    </w:rPr>
                  </w:pPr>
                  <w:r w:rsidRPr="0025292C">
                    <w:rPr>
                      <w:sz w:val="18"/>
                      <w:szCs w:val="22"/>
                      <w:lang w:val="en-GB"/>
                    </w:rPr>
                    <w:t>Arrest, detention, imprisonment, charging and fining of trade unionists in relation to their trade union activities</w:t>
                  </w:r>
                </w:p>
              </w:tc>
              <w:tc>
                <w:tcPr>
                  <w:tcW w:w="125" w:type="pct"/>
                  <w:shd w:val="clear" w:color="000000" w:fill="FFFFFF"/>
                  <w:hideMark/>
                </w:tcPr>
                <w:p w14:paraId="18B6496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42B3AD5" w14:textId="77777777" w:rsidR="00E45009" w:rsidRPr="0025292C" w:rsidRDefault="00E45009" w:rsidP="00E45009">
                  <w:pPr>
                    <w:pStyle w:val="NoSpacing"/>
                    <w:rPr>
                      <w:sz w:val="18"/>
                      <w:szCs w:val="22"/>
                      <w:lang w:val="en-GB"/>
                    </w:rPr>
                  </w:pPr>
                  <w:r w:rsidRPr="0025292C">
                    <w:rPr>
                      <w:sz w:val="18"/>
                      <w:szCs w:val="22"/>
                      <w:lang w:val="en-GB"/>
                    </w:rPr>
                    <w:t>4.62</w:t>
                  </w:r>
                </w:p>
              </w:tc>
              <w:tc>
                <w:tcPr>
                  <w:tcW w:w="335" w:type="pct"/>
                  <w:shd w:val="clear" w:color="000000" w:fill="FFFFFF"/>
                  <w:noWrap/>
                  <w:hideMark/>
                </w:tcPr>
                <w:p w14:paraId="297CB042" w14:textId="77777777" w:rsidR="00E45009" w:rsidRPr="0025292C" w:rsidRDefault="00E45009" w:rsidP="00E45009">
                  <w:pPr>
                    <w:pStyle w:val="NoSpacing"/>
                    <w:rPr>
                      <w:sz w:val="18"/>
                      <w:szCs w:val="22"/>
                      <w:lang w:val="en-GB"/>
                    </w:rPr>
                  </w:pPr>
                  <w:r w:rsidRPr="0025292C">
                    <w:rPr>
                      <w:sz w:val="18"/>
                      <w:szCs w:val="22"/>
                      <w:lang w:val="en-GB"/>
                    </w:rPr>
                    <w:t>0.63</w:t>
                  </w:r>
                </w:p>
              </w:tc>
              <w:tc>
                <w:tcPr>
                  <w:tcW w:w="125" w:type="pct"/>
                  <w:shd w:val="clear" w:color="000000" w:fill="FFFFFF"/>
                  <w:noWrap/>
                  <w:hideMark/>
                </w:tcPr>
                <w:p w14:paraId="2F829444"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F7EC8B3" w14:textId="77777777" w:rsidR="00E45009" w:rsidRPr="0025292C" w:rsidRDefault="00E45009" w:rsidP="00E45009">
                  <w:pPr>
                    <w:pStyle w:val="NoSpacing"/>
                    <w:rPr>
                      <w:sz w:val="18"/>
                      <w:szCs w:val="22"/>
                      <w:lang w:val="en-GB"/>
                    </w:rPr>
                  </w:pPr>
                  <w:r w:rsidRPr="0025292C">
                    <w:rPr>
                      <w:sz w:val="18"/>
                      <w:szCs w:val="22"/>
                      <w:lang w:val="en-GB"/>
                    </w:rPr>
                    <w:t>4.79</w:t>
                  </w:r>
                </w:p>
              </w:tc>
              <w:tc>
                <w:tcPr>
                  <w:tcW w:w="333" w:type="pct"/>
                  <w:shd w:val="clear" w:color="000000" w:fill="FFFFFF"/>
                  <w:noWrap/>
                  <w:hideMark/>
                </w:tcPr>
                <w:p w14:paraId="7DE64640"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0622138B"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4546C92" w14:textId="77777777" w:rsidR="00E45009" w:rsidRPr="0025292C" w:rsidRDefault="00E45009" w:rsidP="00E45009">
                  <w:pPr>
                    <w:pStyle w:val="NoSpacing"/>
                    <w:rPr>
                      <w:sz w:val="18"/>
                      <w:szCs w:val="22"/>
                      <w:lang w:val="en-GB"/>
                    </w:rPr>
                  </w:pPr>
                  <w:r w:rsidRPr="0025292C">
                    <w:rPr>
                      <w:sz w:val="18"/>
                      <w:szCs w:val="22"/>
                      <w:lang w:val="en-GB"/>
                    </w:rPr>
                    <w:t>1.95</w:t>
                  </w:r>
                </w:p>
              </w:tc>
            </w:tr>
            <w:tr w:rsidR="00E45009" w:rsidRPr="0025292C" w14:paraId="34F67D27" w14:textId="77777777" w:rsidTr="00DB32C0">
              <w:trPr>
                <w:trHeight w:val="255"/>
              </w:trPr>
              <w:tc>
                <w:tcPr>
                  <w:tcW w:w="267" w:type="pct"/>
                  <w:shd w:val="clear" w:color="000000" w:fill="FFFFFF"/>
                  <w:noWrap/>
                  <w:hideMark/>
                </w:tcPr>
                <w:p w14:paraId="520746E0" w14:textId="77777777" w:rsidR="00E45009" w:rsidRPr="0025292C" w:rsidRDefault="00E45009" w:rsidP="00E45009">
                  <w:pPr>
                    <w:pStyle w:val="NoSpacing"/>
                    <w:rPr>
                      <w:sz w:val="18"/>
                      <w:szCs w:val="22"/>
                      <w:lang w:val="en-GB"/>
                    </w:rPr>
                  </w:pPr>
                  <w:r w:rsidRPr="0025292C">
                    <w:rPr>
                      <w:sz w:val="18"/>
                      <w:szCs w:val="22"/>
                      <w:lang w:val="en-GB"/>
                    </w:rPr>
                    <w:t>13</w:t>
                  </w:r>
                </w:p>
              </w:tc>
              <w:tc>
                <w:tcPr>
                  <w:tcW w:w="2195" w:type="pct"/>
                  <w:shd w:val="clear" w:color="000000" w:fill="FFFFFF"/>
                  <w:hideMark/>
                </w:tcPr>
                <w:p w14:paraId="7C36E7F9" w14:textId="77777777" w:rsidR="00E45009" w:rsidRPr="0025292C" w:rsidRDefault="00E45009" w:rsidP="00E45009">
                  <w:pPr>
                    <w:pStyle w:val="NoSpacing"/>
                    <w:rPr>
                      <w:sz w:val="18"/>
                      <w:szCs w:val="22"/>
                      <w:lang w:val="en-GB"/>
                    </w:rPr>
                  </w:pPr>
                  <w:r w:rsidRPr="0025292C">
                    <w:rPr>
                      <w:sz w:val="18"/>
                      <w:szCs w:val="22"/>
                      <w:lang w:val="en-GB"/>
                    </w:rPr>
                    <w:t>Committed against trade union officials re violation no.12</w:t>
                  </w:r>
                </w:p>
              </w:tc>
              <w:tc>
                <w:tcPr>
                  <w:tcW w:w="125" w:type="pct"/>
                  <w:shd w:val="clear" w:color="000000" w:fill="FFFFFF"/>
                  <w:hideMark/>
                </w:tcPr>
                <w:p w14:paraId="616E2B2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A7B3097" w14:textId="77777777" w:rsidR="00E45009" w:rsidRPr="0025292C" w:rsidRDefault="00E45009" w:rsidP="00E45009">
                  <w:pPr>
                    <w:pStyle w:val="NoSpacing"/>
                    <w:rPr>
                      <w:sz w:val="18"/>
                      <w:szCs w:val="22"/>
                      <w:lang w:val="en-GB"/>
                    </w:rPr>
                  </w:pPr>
                  <w:r w:rsidRPr="0025292C">
                    <w:rPr>
                      <w:sz w:val="18"/>
                      <w:szCs w:val="22"/>
                      <w:lang w:val="en-GB"/>
                    </w:rPr>
                    <w:t>4.54</w:t>
                  </w:r>
                </w:p>
              </w:tc>
              <w:tc>
                <w:tcPr>
                  <w:tcW w:w="335" w:type="pct"/>
                  <w:shd w:val="clear" w:color="000000" w:fill="FFFFFF"/>
                  <w:noWrap/>
                  <w:hideMark/>
                </w:tcPr>
                <w:p w14:paraId="4304097D"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0CECEB3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8073DB1" w14:textId="77777777" w:rsidR="00E45009" w:rsidRPr="0025292C" w:rsidRDefault="00E45009" w:rsidP="00E45009">
                  <w:pPr>
                    <w:pStyle w:val="NoSpacing"/>
                    <w:rPr>
                      <w:sz w:val="18"/>
                      <w:szCs w:val="22"/>
                      <w:lang w:val="en-GB"/>
                    </w:rPr>
                  </w:pPr>
                  <w:r w:rsidRPr="0025292C">
                    <w:rPr>
                      <w:sz w:val="18"/>
                      <w:szCs w:val="22"/>
                      <w:lang w:val="en-GB"/>
                    </w:rPr>
                    <w:t>4.79</w:t>
                  </w:r>
                </w:p>
              </w:tc>
              <w:tc>
                <w:tcPr>
                  <w:tcW w:w="333" w:type="pct"/>
                  <w:shd w:val="clear" w:color="000000" w:fill="FFFFFF"/>
                  <w:noWrap/>
                  <w:hideMark/>
                </w:tcPr>
                <w:p w14:paraId="48D6A46A"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6D6E4CBF"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B833E36" w14:textId="77777777" w:rsidR="00E45009" w:rsidRPr="0025292C" w:rsidRDefault="00E45009" w:rsidP="00E45009">
                  <w:pPr>
                    <w:pStyle w:val="NoSpacing"/>
                    <w:rPr>
                      <w:sz w:val="18"/>
                      <w:szCs w:val="22"/>
                      <w:lang w:val="en-GB"/>
                    </w:rPr>
                  </w:pPr>
                  <w:r w:rsidRPr="0025292C">
                    <w:rPr>
                      <w:sz w:val="18"/>
                      <w:szCs w:val="22"/>
                      <w:lang w:val="en-GB"/>
                    </w:rPr>
                    <w:t>1.95</w:t>
                  </w:r>
                </w:p>
              </w:tc>
            </w:tr>
            <w:tr w:rsidR="00E45009" w:rsidRPr="0025292C" w14:paraId="654AD05F" w14:textId="77777777" w:rsidTr="00DB32C0">
              <w:trPr>
                <w:trHeight w:val="255"/>
              </w:trPr>
              <w:tc>
                <w:tcPr>
                  <w:tcW w:w="267" w:type="pct"/>
                  <w:shd w:val="clear" w:color="000000" w:fill="FFFFFF"/>
                  <w:noWrap/>
                  <w:hideMark/>
                </w:tcPr>
                <w:p w14:paraId="6F2C0B58" w14:textId="77777777" w:rsidR="00E45009" w:rsidRPr="0025292C" w:rsidRDefault="00E45009" w:rsidP="00E45009">
                  <w:pPr>
                    <w:pStyle w:val="NoSpacing"/>
                    <w:rPr>
                      <w:sz w:val="18"/>
                      <w:szCs w:val="22"/>
                      <w:lang w:val="en-GB"/>
                    </w:rPr>
                  </w:pPr>
                  <w:r w:rsidRPr="0025292C">
                    <w:rPr>
                      <w:sz w:val="18"/>
                      <w:szCs w:val="22"/>
                      <w:lang w:val="en-GB"/>
                    </w:rPr>
                    <w:t>14</w:t>
                  </w:r>
                </w:p>
              </w:tc>
              <w:tc>
                <w:tcPr>
                  <w:tcW w:w="2195" w:type="pct"/>
                  <w:shd w:val="clear" w:color="000000" w:fill="FFFFFF"/>
                  <w:hideMark/>
                </w:tcPr>
                <w:p w14:paraId="07BC286E"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no.12</w:t>
                  </w:r>
                </w:p>
              </w:tc>
              <w:tc>
                <w:tcPr>
                  <w:tcW w:w="125" w:type="pct"/>
                  <w:shd w:val="clear" w:color="000000" w:fill="FFFFFF"/>
                  <w:hideMark/>
                </w:tcPr>
                <w:p w14:paraId="5867C85F"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07EB822" w14:textId="77777777" w:rsidR="00E45009" w:rsidRPr="0025292C" w:rsidRDefault="00E45009" w:rsidP="00E45009">
                  <w:pPr>
                    <w:pStyle w:val="NoSpacing"/>
                    <w:rPr>
                      <w:sz w:val="18"/>
                      <w:szCs w:val="22"/>
                      <w:lang w:val="en-GB"/>
                    </w:rPr>
                  </w:pPr>
                  <w:r w:rsidRPr="0025292C">
                    <w:rPr>
                      <w:sz w:val="18"/>
                      <w:szCs w:val="22"/>
                      <w:lang w:val="en-GB"/>
                    </w:rPr>
                    <w:t>4.23</w:t>
                  </w:r>
                </w:p>
              </w:tc>
              <w:tc>
                <w:tcPr>
                  <w:tcW w:w="335" w:type="pct"/>
                  <w:shd w:val="clear" w:color="000000" w:fill="FFFFFF"/>
                  <w:noWrap/>
                  <w:hideMark/>
                </w:tcPr>
                <w:p w14:paraId="386ABF1A"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72321E9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7CD4288" w14:textId="77777777" w:rsidR="00E45009" w:rsidRPr="0025292C" w:rsidRDefault="00E45009" w:rsidP="00E45009">
                  <w:pPr>
                    <w:pStyle w:val="NoSpacing"/>
                    <w:rPr>
                      <w:sz w:val="18"/>
                      <w:szCs w:val="22"/>
                      <w:lang w:val="en-GB"/>
                    </w:rPr>
                  </w:pPr>
                  <w:r w:rsidRPr="0025292C">
                    <w:rPr>
                      <w:sz w:val="18"/>
                      <w:szCs w:val="22"/>
                      <w:lang w:val="en-GB"/>
                    </w:rPr>
                    <w:t>4.50</w:t>
                  </w:r>
                </w:p>
              </w:tc>
              <w:tc>
                <w:tcPr>
                  <w:tcW w:w="333" w:type="pct"/>
                  <w:shd w:val="clear" w:color="000000" w:fill="FFFFFF"/>
                  <w:noWrap/>
                  <w:hideMark/>
                </w:tcPr>
                <w:p w14:paraId="687E189F" w14:textId="77777777" w:rsidR="00E45009" w:rsidRPr="0025292C" w:rsidRDefault="00E45009" w:rsidP="00E45009">
                  <w:pPr>
                    <w:pStyle w:val="NoSpacing"/>
                    <w:rPr>
                      <w:sz w:val="18"/>
                      <w:szCs w:val="22"/>
                      <w:lang w:val="en-GB"/>
                    </w:rPr>
                  </w:pPr>
                  <w:r w:rsidRPr="0025292C">
                    <w:rPr>
                      <w:sz w:val="18"/>
                      <w:szCs w:val="22"/>
                      <w:lang w:val="en-GB"/>
                    </w:rPr>
                    <w:t>0.52</w:t>
                  </w:r>
                </w:p>
              </w:tc>
              <w:tc>
                <w:tcPr>
                  <w:tcW w:w="125" w:type="pct"/>
                  <w:shd w:val="clear" w:color="000000" w:fill="FFFFFF"/>
                  <w:noWrap/>
                  <w:hideMark/>
                </w:tcPr>
                <w:p w14:paraId="488374F6"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62ADC1A" w14:textId="77777777" w:rsidR="00E45009" w:rsidRPr="0025292C" w:rsidRDefault="00E45009" w:rsidP="00E45009">
                  <w:pPr>
                    <w:pStyle w:val="NoSpacing"/>
                    <w:rPr>
                      <w:sz w:val="18"/>
                      <w:szCs w:val="22"/>
                      <w:lang w:val="en-GB"/>
                    </w:rPr>
                  </w:pPr>
                  <w:r w:rsidRPr="0025292C">
                    <w:rPr>
                      <w:sz w:val="18"/>
                      <w:szCs w:val="22"/>
                      <w:lang w:val="en-GB"/>
                    </w:rPr>
                    <w:t>1.88</w:t>
                  </w:r>
                </w:p>
              </w:tc>
            </w:tr>
            <w:tr w:rsidR="00E45009" w:rsidRPr="0025292C" w14:paraId="1CFEEC40" w14:textId="77777777" w:rsidTr="00DB32C0">
              <w:trPr>
                <w:trHeight w:val="255"/>
              </w:trPr>
              <w:tc>
                <w:tcPr>
                  <w:tcW w:w="267" w:type="pct"/>
                  <w:shd w:val="clear" w:color="000000" w:fill="FFFFFF"/>
                  <w:noWrap/>
                  <w:hideMark/>
                </w:tcPr>
                <w:p w14:paraId="0228C154" w14:textId="77777777" w:rsidR="00E45009" w:rsidRPr="0025292C" w:rsidRDefault="00E45009" w:rsidP="00E45009">
                  <w:pPr>
                    <w:pStyle w:val="NoSpacing"/>
                    <w:rPr>
                      <w:sz w:val="18"/>
                      <w:szCs w:val="22"/>
                      <w:lang w:val="en-GB"/>
                    </w:rPr>
                  </w:pPr>
                  <w:r w:rsidRPr="0025292C">
                    <w:rPr>
                      <w:sz w:val="18"/>
                      <w:szCs w:val="22"/>
                      <w:lang w:val="en-GB"/>
                    </w:rPr>
                    <w:t>15</w:t>
                  </w:r>
                </w:p>
              </w:tc>
              <w:tc>
                <w:tcPr>
                  <w:tcW w:w="2195" w:type="pct"/>
                  <w:shd w:val="clear" w:color="000000" w:fill="FFFFFF"/>
                  <w:hideMark/>
                </w:tcPr>
                <w:p w14:paraId="708D6DCF" w14:textId="77777777" w:rsidR="00E45009" w:rsidRPr="0025292C" w:rsidRDefault="00E45009" w:rsidP="00E45009">
                  <w:pPr>
                    <w:pStyle w:val="NoSpacing"/>
                    <w:rPr>
                      <w:sz w:val="18"/>
                      <w:szCs w:val="22"/>
                      <w:lang w:val="en-GB"/>
                    </w:rPr>
                  </w:pPr>
                  <w:r w:rsidRPr="0025292C">
                    <w:rPr>
                      <w:sz w:val="18"/>
                      <w:szCs w:val="22"/>
                      <w:lang w:val="en-GB"/>
                    </w:rPr>
                    <w:t>Infringements of trade unionists' basic freedoms</w:t>
                  </w:r>
                </w:p>
              </w:tc>
              <w:tc>
                <w:tcPr>
                  <w:tcW w:w="125" w:type="pct"/>
                  <w:shd w:val="clear" w:color="000000" w:fill="FFFFFF"/>
                  <w:hideMark/>
                </w:tcPr>
                <w:p w14:paraId="7CBA842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A6DAB5C" w14:textId="77777777" w:rsidR="00E45009" w:rsidRPr="0025292C" w:rsidRDefault="00E45009" w:rsidP="00E45009">
                  <w:pPr>
                    <w:pStyle w:val="NoSpacing"/>
                    <w:rPr>
                      <w:sz w:val="18"/>
                      <w:szCs w:val="22"/>
                      <w:lang w:val="en-GB"/>
                    </w:rPr>
                  </w:pPr>
                  <w:r w:rsidRPr="0025292C">
                    <w:rPr>
                      <w:sz w:val="18"/>
                      <w:szCs w:val="22"/>
                      <w:lang w:val="en-GB"/>
                    </w:rPr>
                    <w:t>4.23</w:t>
                  </w:r>
                </w:p>
              </w:tc>
              <w:tc>
                <w:tcPr>
                  <w:tcW w:w="335" w:type="pct"/>
                  <w:shd w:val="clear" w:color="000000" w:fill="FFFFFF"/>
                  <w:noWrap/>
                  <w:hideMark/>
                </w:tcPr>
                <w:p w14:paraId="7C53A962"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309600F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5AF36EF"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2DDB1B55"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49B461AC"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813DC80"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340AD72B" w14:textId="77777777" w:rsidTr="00DB32C0">
              <w:trPr>
                <w:trHeight w:val="255"/>
              </w:trPr>
              <w:tc>
                <w:tcPr>
                  <w:tcW w:w="267" w:type="pct"/>
                  <w:shd w:val="clear" w:color="000000" w:fill="FFFFFF"/>
                  <w:noWrap/>
                  <w:hideMark/>
                </w:tcPr>
                <w:p w14:paraId="7ABA0D3E" w14:textId="77777777" w:rsidR="00E45009" w:rsidRPr="0025292C" w:rsidRDefault="00E45009" w:rsidP="00E45009">
                  <w:pPr>
                    <w:pStyle w:val="NoSpacing"/>
                    <w:rPr>
                      <w:sz w:val="18"/>
                      <w:szCs w:val="22"/>
                      <w:lang w:val="en-GB"/>
                    </w:rPr>
                  </w:pPr>
                  <w:r w:rsidRPr="0025292C">
                    <w:rPr>
                      <w:sz w:val="18"/>
                      <w:szCs w:val="22"/>
                      <w:lang w:val="en-GB"/>
                    </w:rPr>
                    <w:t>16</w:t>
                  </w:r>
                </w:p>
              </w:tc>
              <w:tc>
                <w:tcPr>
                  <w:tcW w:w="2195" w:type="pct"/>
                  <w:shd w:val="clear" w:color="000000" w:fill="FFFFFF"/>
                  <w:hideMark/>
                </w:tcPr>
                <w:p w14:paraId="4E9AF3FE" w14:textId="77777777" w:rsidR="00E45009" w:rsidRPr="0025292C" w:rsidRDefault="00E45009" w:rsidP="00E45009">
                  <w:pPr>
                    <w:pStyle w:val="NoSpacing"/>
                    <w:rPr>
                      <w:sz w:val="18"/>
                      <w:szCs w:val="22"/>
                      <w:lang w:val="en-GB"/>
                    </w:rPr>
                  </w:pPr>
                  <w:r w:rsidRPr="0025292C">
                    <w:rPr>
                      <w:sz w:val="18"/>
                      <w:szCs w:val="22"/>
                      <w:lang w:val="en-GB"/>
                    </w:rPr>
                    <w:t>Committed against trade union officials re violation no.15</w:t>
                  </w:r>
                </w:p>
              </w:tc>
              <w:tc>
                <w:tcPr>
                  <w:tcW w:w="125" w:type="pct"/>
                  <w:shd w:val="clear" w:color="000000" w:fill="FFFFFF"/>
                  <w:hideMark/>
                </w:tcPr>
                <w:p w14:paraId="298F237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350CEBE" w14:textId="77777777" w:rsidR="00E45009" w:rsidRPr="0025292C" w:rsidRDefault="00E45009" w:rsidP="00E45009">
                  <w:pPr>
                    <w:pStyle w:val="NoSpacing"/>
                    <w:rPr>
                      <w:sz w:val="18"/>
                      <w:szCs w:val="22"/>
                      <w:lang w:val="en-GB"/>
                    </w:rPr>
                  </w:pPr>
                  <w:r w:rsidRPr="0025292C">
                    <w:rPr>
                      <w:sz w:val="18"/>
                      <w:szCs w:val="22"/>
                      <w:lang w:val="en-GB"/>
                    </w:rPr>
                    <w:t>4.23</w:t>
                  </w:r>
                </w:p>
              </w:tc>
              <w:tc>
                <w:tcPr>
                  <w:tcW w:w="335" w:type="pct"/>
                  <w:shd w:val="clear" w:color="000000" w:fill="FFFFFF"/>
                  <w:noWrap/>
                  <w:hideMark/>
                </w:tcPr>
                <w:p w14:paraId="7E183D8A"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02FDD45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EC7D529"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334971A5"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2399991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691D7A6"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62A64422" w14:textId="77777777" w:rsidTr="00DB32C0">
              <w:trPr>
                <w:trHeight w:val="255"/>
              </w:trPr>
              <w:tc>
                <w:tcPr>
                  <w:tcW w:w="267" w:type="pct"/>
                  <w:shd w:val="clear" w:color="000000" w:fill="FFFFFF"/>
                  <w:noWrap/>
                  <w:hideMark/>
                </w:tcPr>
                <w:p w14:paraId="1EED5AA0" w14:textId="77777777" w:rsidR="00E45009" w:rsidRPr="0025292C" w:rsidRDefault="00E45009" w:rsidP="00E45009">
                  <w:pPr>
                    <w:pStyle w:val="NoSpacing"/>
                    <w:rPr>
                      <w:sz w:val="18"/>
                      <w:szCs w:val="22"/>
                      <w:lang w:val="en-GB"/>
                    </w:rPr>
                  </w:pPr>
                  <w:r w:rsidRPr="0025292C">
                    <w:rPr>
                      <w:sz w:val="18"/>
                      <w:szCs w:val="22"/>
                      <w:lang w:val="en-GB"/>
                    </w:rPr>
                    <w:t>17</w:t>
                  </w:r>
                </w:p>
              </w:tc>
              <w:tc>
                <w:tcPr>
                  <w:tcW w:w="2195" w:type="pct"/>
                  <w:shd w:val="clear" w:color="000000" w:fill="FFFFFF"/>
                  <w:hideMark/>
                </w:tcPr>
                <w:p w14:paraId="12BA62FA"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no.15</w:t>
                  </w:r>
                </w:p>
              </w:tc>
              <w:tc>
                <w:tcPr>
                  <w:tcW w:w="125" w:type="pct"/>
                  <w:shd w:val="clear" w:color="000000" w:fill="FFFFFF"/>
                  <w:hideMark/>
                </w:tcPr>
                <w:p w14:paraId="1373C2C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B04EBDE" w14:textId="77777777" w:rsidR="00E45009" w:rsidRPr="0025292C" w:rsidRDefault="00E45009" w:rsidP="00E45009">
                  <w:pPr>
                    <w:pStyle w:val="NoSpacing"/>
                    <w:rPr>
                      <w:sz w:val="18"/>
                      <w:szCs w:val="22"/>
                      <w:lang w:val="en-GB"/>
                    </w:rPr>
                  </w:pPr>
                  <w:r w:rsidRPr="0025292C">
                    <w:rPr>
                      <w:sz w:val="18"/>
                      <w:szCs w:val="22"/>
                      <w:lang w:val="en-GB"/>
                    </w:rPr>
                    <w:t>4.16</w:t>
                  </w:r>
                </w:p>
              </w:tc>
              <w:tc>
                <w:tcPr>
                  <w:tcW w:w="335" w:type="pct"/>
                  <w:shd w:val="clear" w:color="000000" w:fill="FFFFFF"/>
                  <w:noWrap/>
                  <w:hideMark/>
                </w:tcPr>
                <w:p w14:paraId="66D982BB" w14:textId="77777777" w:rsidR="00E45009" w:rsidRPr="0025292C" w:rsidRDefault="00E45009" w:rsidP="00E45009">
                  <w:pPr>
                    <w:pStyle w:val="NoSpacing"/>
                    <w:rPr>
                      <w:sz w:val="18"/>
                      <w:szCs w:val="22"/>
                      <w:lang w:val="en-GB"/>
                    </w:rPr>
                  </w:pPr>
                  <w:r w:rsidRPr="0025292C">
                    <w:rPr>
                      <w:sz w:val="18"/>
                      <w:szCs w:val="22"/>
                      <w:lang w:val="en-GB"/>
                    </w:rPr>
                    <w:t>0.89</w:t>
                  </w:r>
                </w:p>
              </w:tc>
              <w:tc>
                <w:tcPr>
                  <w:tcW w:w="125" w:type="pct"/>
                  <w:shd w:val="clear" w:color="000000" w:fill="FFFFFF"/>
                  <w:noWrap/>
                  <w:hideMark/>
                </w:tcPr>
                <w:p w14:paraId="41792D0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0C1515D" w14:textId="77777777" w:rsidR="00E45009" w:rsidRPr="0025292C" w:rsidRDefault="00E45009" w:rsidP="00E45009">
                  <w:pPr>
                    <w:pStyle w:val="NoSpacing"/>
                    <w:rPr>
                      <w:sz w:val="18"/>
                      <w:szCs w:val="22"/>
                      <w:lang w:val="en-GB"/>
                    </w:rPr>
                  </w:pPr>
                  <w:r w:rsidRPr="0025292C">
                    <w:rPr>
                      <w:sz w:val="18"/>
                      <w:szCs w:val="22"/>
                      <w:lang w:val="en-GB"/>
                    </w:rPr>
                    <w:t>4.50</w:t>
                  </w:r>
                </w:p>
              </w:tc>
              <w:tc>
                <w:tcPr>
                  <w:tcW w:w="333" w:type="pct"/>
                  <w:shd w:val="clear" w:color="000000" w:fill="FFFFFF"/>
                  <w:noWrap/>
                  <w:hideMark/>
                </w:tcPr>
                <w:p w14:paraId="735B453B" w14:textId="77777777" w:rsidR="00E45009" w:rsidRPr="0025292C" w:rsidRDefault="00E45009" w:rsidP="00E45009">
                  <w:pPr>
                    <w:pStyle w:val="NoSpacing"/>
                    <w:rPr>
                      <w:sz w:val="18"/>
                      <w:szCs w:val="22"/>
                      <w:lang w:val="en-GB"/>
                    </w:rPr>
                  </w:pPr>
                  <w:r w:rsidRPr="0025292C">
                    <w:rPr>
                      <w:sz w:val="18"/>
                      <w:szCs w:val="22"/>
                      <w:lang w:val="en-GB"/>
                    </w:rPr>
                    <w:t>0.52</w:t>
                  </w:r>
                </w:p>
              </w:tc>
              <w:tc>
                <w:tcPr>
                  <w:tcW w:w="125" w:type="pct"/>
                  <w:shd w:val="clear" w:color="000000" w:fill="FFFFFF"/>
                  <w:noWrap/>
                  <w:hideMark/>
                </w:tcPr>
                <w:p w14:paraId="0F7BF09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0C93941" w14:textId="77777777" w:rsidR="00E45009" w:rsidRPr="0025292C" w:rsidRDefault="00E45009" w:rsidP="00E45009">
                  <w:pPr>
                    <w:pStyle w:val="NoSpacing"/>
                    <w:rPr>
                      <w:sz w:val="18"/>
                      <w:szCs w:val="22"/>
                      <w:lang w:val="en-GB"/>
                    </w:rPr>
                  </w:pPr>
                  <w:r w:rsidRPr="0025292C">
                    <w:rPr>
                      <w:sz w:val="18"/>
                      <w:szCs w:val="22"/>
                      <w:lang w:val="en-GB"/>
                    </w:rPr>
                    <w:t>1.88</w:t>
                  </w:r>
                </w:p>
              </w:tc>
            </w:tr>
            <w:tr w:rsidR="00E45009" w:rsidRPr="0025292C" w14:paraId="50FF3A0C" w14:textId="77777777" w:rsidTr="00DB32C0">
              <w:trPr>
                <w:trHeight w:val="255"/>
              </w:trPr>
              <w:tc>
                <w:tcPr>
                  <w:tcW w:w="267" w:type="pct"/>
                  <w:shd w:val="clear" w:color="000000" w:fill="FFFFFF"/>
                  <w:noWrap/>
                  <w:hideMark/>
                </w:tcPr>
                <w:p w14:paraId="1F90BE2C" w14:textId="77777777" w:rsidR="00E45009" w:rsidRPr="0025292C" w:rsidRDefault="00E45009" w:rsidP="00E45009">
                  <w:pPr>
                    <w:pStyle w:val="NoSpacing"/>
                    <w:rPr>
                      <w:sz w:val="18"/>
                      <w:szCs w:val="22"/>
                      <w:lang w:val="en-GB"/>
                    </w:rPr>
                  </w:pPr>
                  <w:r w:rsidRPr="0025292C">
                    <w:rPr>
                      <w:sz w:val="18"/>
                      <w:szCs w:val="22"/>
                      <w:lang w:val="en-GB"/>
                    </w:rPr>
                    <w:t>18</w:t>
                  </w:r>
                </w:p>
              </w:tc>
              <w:tc>
                <w:tcPr>
                  <w:tcW w:w="2195" w:type="pct"/>
                  <w:shd w:val="clear" w:color="000000" w:fill="FFFFFF"/>
                  <w:hideMark/>
                </w:tcPr>
                <w:p w14:paraId="0EDC4E17" w14:textId="77777777" w:rsidR="00E45009" w:rsidRPr="0025292C" w:rsidRDefault="00E45009" w:rsidP="00E45009">
                  <w:pPr>
                    <w:pStyle w:val="NoSpacing"/>
                    <w:rPr>
                      <w:sz w:val="18"/>
                      <w:szCs w:val="22"/>
                      <w:lang w:val="en-GB"/>
                    </w:rPr>
                  </w:pPr>
                  <w:r w:rsidRPr="0025292C">
                    <w:rPr>
                      <w:sz w:val="18"/>
                      <w:szCs w:val="22"/>
                      <w:lang w:val="en-GB"/>
                    </w:rPr>
                    <w:t>Attacks against trade unions' and trade unionists' premises and property</w:t>
                  </w:r>
                </w:p>
              </w:tc>
              <w:tc>
                <w:tcPr>
                  <w:tcW w:w="125" w:type="pct"/>
                  <w:shd w:val="clear" w:color="000000" w:fill="FFFFFF"/>
                  <w:hideMark/>
                </w:tcPr>
                <w:p w14:paraId="34AC935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B9E0371" w14:textId="77777777" w:rsidR="00E45009" w:rsidRPr="0025292C" w:rsidRDefault="00E45009" w:rsidP="00E45009">
                  <w:pPr>
                    <w:pStyle w:val="NoSpacing"/>
                    <w:rPr>
                      <w:sz w:val="18"/>
                      <w:szCs w:val="22"/>
                      <w:lang w:val="en-GB"/>
                    </w:rPr>
                  </w:pPr>
                  <w:r w:rsidRPr="0025292C">
                    <w:rPr>
                      <w:sz w:val="18"/>
                      <w:szCs w:val="22"/>
                      <w:lang w:val="en-GB"/>
                    </w:rPr>
                    <w:t>4.01</w:t>
                  </w:r>
                </w:p>
              </w:tc>
              <w:tc>
                <w:tcPr>
                  <w:tcW w:w="335" w:type="pct"/>
                  <w:shd w:val="clear" w:color="000000" w:fill="FFFFFF"/>
                  <w:noWrap/>
                  <w:hideMark/>
                </w:tcPr>
                <w:p w14:paraId="57F6E9C7"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36736E6E"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5604476" w14:textId="77777777" w:rsidR="00E45009" w:rsidRPr="0025292C" w:rsidRDefault="00E45009" w:rsidP="00E45009">
                  <w:pPr>
                    <w:pStyle w:val="NoSpacing"/>
                    <w:rPr>
                      <w:sz w:val="18"/>
                      <w:szCs w:val="22"/>
                      <w:lang w:val="en-GB"/>
                    </w:rPr>
                  </w:pPr>
                  <w:r w:rsidRPr="0025292C">
                    <w:rPr>
                      <w:sz w:val="18"/>
                      <w:szCs w:val="22"/>
                      <w:lang w:val="en-GB"/>
                    </w:rPr>
                    <w:t>4.07</w:t>
                  </w:r>
                </w:p>
              </w:tc>
              <w:tc>
                <w:tcPr>
                  <w:tcW w:w="333" w:type="pct"/>
                  <w:shd w:val="clear" w:color="000000" w:fill="FFFFFF"/>
                  <w:noWrap/>
                  <w:hideMark/>
                </w:tcPr>
                <w:p w14:paraId="592F15D1"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7E64E08B"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F072ABB" w14:textId="77777777" w:rsidR="00E45009" w:rsidRPr="0025292C" w:rsidRDefault="00E45009" w:rsidP="00E45009">
                  <w:pPr>
                    <w:pStyle w:val="NoSpacing"/>
                    <w:rPr>
                      <w:sz w:val="18"/>
                      <w:szCs w:val="22"/>
                      <w:lang w:val="en-GB"/>
                    </w:rPr>
                  </w:pPr>
                  <w:r w:rsidRPr="0025292C">
                    <w:rPr>
                      <w:sz w:val="18"/>
                      <w:szCs w:val="22"/>
                      <w:lang w:val="en-GB"/>
                    </w:rPr>
                    <w:t>1.77</w:t>
                  </w:r>
                </w:p>
              </w:tc>
            </w:tr>
            <w:tr w:rsidR="00E45009" w:rsidRPr="0025292C" w14:paraId="4F9BBA7E" w14:textId="77777777" w:rsidTr="00DB32C0">
              <w:trPr>
                <w:trHeight w:val="255"/>
              </w:trPr>
              <w:tc>
                <w:tcPr>
                  <w:tcW w:w="267" w:type="pct"/>
                  <w:shd w:val="clear" w:color="000000" w:fill="FFFFFF"/>
                  <w:noWrap/>
                  <w:hideMark/>
                </w:tcPr>
                <w:p w14:paraId="6A62D0C6" w14:textId="77777777" w:rsidR="00E45009" w:rsidRPr="0025292C" w:rsidRDefault="00E45009" w:rsidP="00E45009">
                  <w:pPr>
                    <w:pStyle w:val="NoSpacing"/>
                    <w:rPr>
                      <w:sz w:val="18"/>
                      <w:szCs w:val="22"/>
                      <w:lang w:val="en-GB"/>
                    </w:rPr>
                  </w:pPr>
                  <w:r w:rsidRPr="0025292C">
                    <w:rPr>
                      <w:sz w:val="18"/>
                      <w:szCs w:val="22"/>
                      <w:lang w:val="en-GB"/>
                    </w:rPr>
                    <w:lastRenderedPageBreak/>
                    <w:t>19</w:t>
                  </w:r>
                </w:p>
              </w:tc>
              <w:tc>
                <w:tcPr>
                  <w:tcW w:w="2195" w:type="pct"/>
                  <w:shd w:val="clear" w:color="000000" w:fill="FFFFFF"/>
                  <w:hideMark/>
                </w:tcPr>
                <w:p w14:paraId="6BF023C7" w14:textId="77777777" w:rsidR="00E45009" w:rsidRPr="0025292C" w:rsidRDefault="00E45009" w:rsidP="00E45009">
                  <w:pPr>
                    <w:pStyle w:val="NoSpacing"/>
                    <w:rPr>
                      <w:sz w:val="18"/>
                      <w:szCs w:val="22"/>
                      <w:lang w:val="en-GB"/>
                    </w:rPr>
                  </w:pPr>
                  <w:r w:rsidRPr="0025292C">
                    <w:rPr>
                      <w:sz w:val="18"/>
                      <w:szCs w:val="22"/>
                      <w:lang w:val="en-GB"/>
                    </w:rPr>
                    <w:t>Committed against trade union officials re violation no.18</w:t>
                  </w:r>
                </w:p>
              </w:tc>
              <w:tc>
                <w:tcPr>
                  <w:tcW w:w="125" w:type="pct"/>
                  <w:shd w:val="clear" w:color="000000" w:fill="FFFFFF"/>
                  <w:hideMark/>
                </w:tcPr>
                <w:p w14:paraId="7699800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9D26F2D" w14:textId="77777777" w:rsidR="00E45009" w:rsidRPr="0025292C" w:rsidRDefault="00E45009" w:rsidP="00E45009">
                  <w:pPr>
                    <w:pStyle w:val="NoSpacing"/>
                    <w:rPr>
                      <w:sz w:val="18"/>
                      <w:szCs w:val="22"/>
                      <w:lang w:val="en-GB"/>
                    </w:rPr>
                  </w:pPr>
                  <w:r w:rsidRPr="0025292C">
                    <w:rPr>
                      <w:sz w:val="18"/>
                      <w:szCs w:val="22"/>
                      <w:lang w:val="en-GB"/>
                    </w:rPr>
                    <w:t>4.01</w:t>
                  </w:r>
                </w:p>
              </w:tc>
              <w:tc>
                <w:tcPr>
                  <w:tcW w:w="335" w:type="pct"/>
                  <w:shd w:val="clear" w:color="000000" w:fill="FFFFFF"/>
                  <w:noWrap/>
                  <w:hideMark/>
                </w:tcPr>
                <w:p w14:paraId="19000650"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30FEF35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FCB41DA" w14:textId="77777777" w:rsidR="00E45009" w:rsidRPr="0025292C" w:rsidRDefault="00E45009" w:rsidP="00E45009">
                  <w:pPr>
                    <w:pStyle w:val="NoSpacing"/>
                    <w:rPr>
                      <w:sz w:val="18"/>
                      <w:szCs w:val="22"/>
                      <w:lang w:val="en-GB"/>
                    </w:rPr>
                  </w:pPr>
                  <w:r w:rsidRPr="0025292C">
                    <w:rPr>
                      <w:sz w:val="18"/>
                      <w:szCs w:val="22"/>
                      <w:lang w:val="en-GB"/>
                    </w:rPr>
                    <w:t>4.07</w:t>
                  </w:r>
                </w:p>
              </w:tc>
              <w:tc>
                <w:tcPr>
                  <w:tcW w:w="333" w:type="pct"/>
                  <w:shd w:val="clear" w:color="000000" w:fill="FFFFFF"/>
                  <w:noWrap/>
                  <w:hideMark/>
                </w:tcPr>
                <w:p w14:paraId="73AA26D4"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61A07CAA"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4DB6417" w14:textId="77777777" w:rsidR="00E45009" w:rsidRPr="0025292C" w:rsidRDefault="00E45009" w:rsidP="00E45009">
                  <w:pPr>
                    <w:pStyle w:val="NoSpacing"/>
                    <w:rPr>
                      <w:sz w:val="18"/>
                      <w:szCs w:val="22"/>
                      <w:lang w:val="en-GB"/>
                    </w:rPr>
                  </w:pPr>
                  <w:r w:rsidRPr="0025292C">
                    <w:rPr>
                      <w:sz w:val="18"/>
                      <w:szCs w:val="22"/>
                      <w:lang w:val="en-GB"/>
                    </w:rPr>
                    <w:t>1.77</w:t>
                  </w:r>
                </w:p>
              </w:tc>
            </w:tr>
            <w:tr w:rsidR="00E45009" w:rsidRPr="0025292C" w14:paraId="2FC0C5A0" w14:textId="77777777" w:rsidTr="00DB32C0">
              <w:trPr>
                <w:trHeight w:val="255"/>
              </w:trPr>
              <w:tc>
                <w:tcPr>
                  <w:tcW w:w="267" w:type="pct"/>
                  <w:shd w:val="clear" w:color="000000" w:fill="FFFFFF"/>
                  <w:noWrap/>
                  <w:hideMark/>
                </w:tcPr>
                <w:p w14:paraId="244E6272" w14:textId="77777777" w:rsidR="00E45009" w:rsidRPr="0025292C" w:rsidRDefault="00E45009" w:rsidP="00E45009">
                  <w:pPr>
                    <w:pStyle w:val="NoSpacing"/>
                    <w:rPr>
                      <w:sz w:val="18"/>
                      <w:szCs w:val="22"/>
                      <w:lang w:val="en-GB"/>
                    </w:rPr>
                  </w:pPr>
                  <w:r w:rsidRPr="0025292C">
                    <w:rPr>
                      <w:sz w:val="18"/>
                      <w:szCs w:val="22"/>
                      <w:lang w:val="en-GB"/>
                    </w:rPr>
                    <w:t>20</w:t>
                  </w:r>
                </w:p>
              </w:tc>
              <w:tc>
                <w:tcPr>
                  <w:tcW w:w="2195" w:type="pct"/>
                  <w:shd w:val="clear" w:color="000000" w:fill="FFFFFF"/>
                  <w:hideMark/>
                </w:tcPr>
                <w:p w14:paraId="6E236DC0"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no.18</w:t>
                  </w:r>
                </w:p>
              </w:tc>
              <w:tc>
                <w:tcPr>
                  <w:tcW w:w="125" w:type="pct"/>
                  <w:shd w:val="clear" w:color="000000" w:fill="FFFFFF"/>
                  <w:hideMark/>
                </w:tcPr>
                <w:p w14:paraId="603663BF"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19D801D" w14:textId="77777777" w:rsidR="00E45009" w:rsidRPr="0025292C" w:rsidRDefault="00E45009" w:rsidP="00E45009">
                  <w:pPr>
                    <w:pStyle w:val="NoSpacing"/>
                    <w:rPr>
                      <w:sz w:val="18"/>
                      <w:szCs w:val="22"/>
                      <w:lang w:val="en-GB"/>
                    </w:rPr>
                  </w:pPr>
                  <w:r w:rsidRPr="0025292C">
                    <w:rPr>
                      <w:sz w:val="18"/>
                      <w:szCs w:val="22"/>
                      <w:lang w:val="en-GB"/>
                    </w:rPr>
                    <w:t>4.08</w:t>
                  </w:r>
                </w:p>
              </w:tc>
              <w:tc>
                <w:tcPr>
                  <w:tcW w:w="335" w:type="pct"/>
                  <w:shd w:val="clear" w:color="000000" w:fill="FFFFFF"/>
                  <w:noWrap/>
                  <w:hideMark/>
                </w:tcPr>
                <w:p w14:paraId="32489754" w14:textId="77777777" w:rsidR="00E45009" w:rsidRPr="0025292C" w:rsidRDefault="00E45009" w:rsidP="00E45009">
                  <w:pPr>
                    <w:pStyle w:val="NoSpacing"/>
                    <w:rPr>
                      <w:sz w:val="18"/>
                      <w:szCs w:val="22"/>
                      <w:lang w:val="en-GB"/>
                    </w:rPr>
                  </w:pPr>
                  <w:r w:rsidRPr="0025292C">
                    <w:rPr>
                      <w:sz w:val="18"/>
                      <w:szCs w:val="22"/>
                      <w:lang w:val="en-GB"/>
                    </w:rPr>
                    <w:t>0.77</w:t>
                  </w:r>
                </w:p>
              </w:tc>
              <w:tc>
                <w:tcPr>
                  <w:tcW w:w="125" w:type="pct"/>
                  <w:shd w:val="clear" w:color="000000" w:fill="FFFFFF"/>
                  <w:noWrap/>
                  <w:hideMark/>
                </w:tcPr>
                <w:p w14:paraId="25E22D3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0EE27B7" w14:textId="77777777" w:rsidR="00E45009" w:rsidRPr="0025292C" w:rsidRDefault="00E45009" w:rsidP="00E45009">
                  <w:pPr>
                    <w:pStyle w:val="NoSpacing"/>
                    <w:rPr>
                      <w:sz w:val="18"/>
                      <w:szCs w:val="22"/>
                      <w:lang w:val="en-GB"/>
                    </w:rPr>
                  </w:pPr>
                  <w:r w:rsidRPr="0025292C">
                    <w:rPr>
                      <w:sz w:val="18"/>
                      <w:szCs w:val="22"/>
                      <w:lang w:val="en-GB"/>
                    </w:rPr>
                    <w:t>4.07</w:t>
                  </w:r>
                </w:p>
              </w:tc>
              <w:tc>
                <w:tcPr>
                  <w:tcW w:w="333" w:type="pct"/>
                  <w:shd w:val="clear" w:color="000000" w:fill="FFFFFF"/>
                  <w:noWrap/>
                  <w:hideMark/>
                </w:tcPr>
                <w:p w14:paraId="7B769E46"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10A2DAF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2B61E99" w14:textId="77777777" w:rsidR="00E45009" w:rsidRPr="0025292C" w:rsidRDefault="00E45009" w:rsidP="00E45009">
                  <w:pPr>
                    <w:pStyle w:val="NoSpacing"/>
                    <w:rPr>
                      <w:sz w:val="18"/>
                      <w:szCs w:val="22"/>
                      <w:lang w:val="en-GB"/>
                    </w:rPr>
                  </w:pPr>
                  <w:r w:rsidRPr="0025292C">
                    <w:rPr>
                      <w:sz w:val="18"/>
                      <w:szCs w:val="22"/>
                      <w:lang w:val="en-GB"/>
                    </w:rPr>
                    <w:t>1.77</w:t>
                  </w:r>
                </w:p>
              </w:tc>
            </w:tr>
            <w:tr w:rsidR="00E45009" w:rsidRPr="0025292C" w14:paraId="5A0E4807" w14:textId="77777777" w:rsidTr="00DB32C0">
              <w:trPr>
                <w:trHeight w:val="255"/>
              </w:trPr>
              <w:tc>
                <w:tcPr>
                  <w:tcW w:w="267" w:type="pct"/>
                  <w:shd w:val="clear" w:color="000000" w:fill="FFFFFF"/>
                  <w:noWrap/>
                  <w:hideMark/>
                </w:tcPr>
                <w:p w14:paraId="116A5023" w14:textId="77777777" w:rsidR="00E45009" w:rsidRPr="0025292C" w:rsidRDefault="00E45009" w:rsidP="00E45009">
                  <w:pPr>
                    <w:pStyle w:val="NoSpacing"/>
                    <w:rPr>
                      <w:sz w:val="18"/>
                      <w:szCs w:val="22"/>
                      <w:lang w:val="en-GB"/>
                    </w:rPr>
                  </w:pPr>
                  <w:r w:rsidRPr="0025292C">
                    <w:rPr>
                      <w:sz w:val="18"/>
                      <w:szCs w:val="22"/>
                      <w:lang w:val="en-GB"/>
                    </w:rPr>
                    <w:t>21</w:t>
                  </w:r>
                </w:p>
              </w:tc>
              <w:tc>
                <w:tcPr>
                  <w:tcW w:w="2195" w:type="pct"/>
                  <w:shd w:val="clear" w:color="000000" w:fill="FFFFFF"/>
                  <w:hideMark/>
                </w:tcPr>
                <w:p w14:paraId="36910D5B" w14:textId="77777777" w:rsidR="00E45009" w:rsidRPr="0025292C" w:rsidRDefault="00E45009" w:rsidP="00E45009">
                  <w:pPr>
                    <w:pStyle w:val="NoSpacing"/>
                    <w:rPr>
                      <w:sz w:val="18"/>
                      <w:szCs w:val="22"/>
                      <w:lang w:val="en-GB"/>
                    </w:rPr>
                  </w:pPr>
                  <w:r w:rsidRPr="0025292C">
                    <w:rPr>
                      <w:sz w:val="18"/>
                      <w:szCs w:val="22"/>
                      <w:lang w:val="en-GB"/>
                    </w:rPr>
                    <w:t>Excessive prohibitions/restrictions on trade union rights in the event of state of emergency</w:t>
                  </w:r>
                </w:p>
              </w:tc>
              <w:tc>
                <w:tcPr>
                  <w:tcW w:w="125" w:type="pct"/>
                  <w:shd w:val="clear" w:color="000000" w:fill="FFFFFF"/>
                  <w:hideMark/>
                </w:tcPr>
                <w:p w14:paraId="75BA3033"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02D8140F" w14:textId="77777777" w:rsidR="00E45009" w:rsidRPr="0025292C" w:rsidRDefault="00E45009" w:rsidP="00E45009">
                  <w:pPr>
                    <w:pStyle w:val="NoSpacing"/>
                    <w:rPr>
                      <w:sz w:val="18"/>
                      <w:szCs w:val="22"/>
                      <w:lang w:val="en-GB"/>
                    </w:rPr>
                  </w:pPr>
                  <w:r w:rsidRPr="0025292C">
                    <w:rPr>
                      <w:sz w:val="18"/>
                      <w:szCs w:val="22"/>
                      <w:lang w:val="en-GB"/>
                    </w:rPr>
                    <w:t>3.68</w:t>
                  </w:r>
                </w:p>
              </w:tc>
              <w:tc>
                <w:tcPr>
                  <w:tcW w:w="335" w:type="pct"/>
                  <w:shd w:val="clear" w:color="000000" w:fill="FFFFFF"/>
                  <w:noWrap/>
                  <w:hideMark/>
                </w:tcPr>
                <w:p w14:paraId="36863CEC" w14:textId="77777777" w:rsidR="00E45009" w:rsidRPr="0025292C" w:rsidRDefault="00E45009" w:rsidP="00E45009">
                  <w:pPr>
                    <w:pStyle w:val="NoSpacing"/>
                    <w:rPr>
                      <w:sz w:val="18"/>
                      <w:szCs w:val="22"/>
                      <w:lang w:val="en-GB"/>
                    </w:rPr>
                  </w:pPr>
                  <w:r w:rsidRPr="0025292C">
                    <w:rPr>
                      <w:sz w:val="18"/>
                      <w:szCs w:val="22"/>
                      <w:lang w:val="en-GB"/>
                    </w:rPr>
                    <w:t>1.02</w:t>
                  </w:r>
                </w:p>
              </w:tc>
              <w:tc>
                <w:tcPr>
                  <w:tcW w:w="125" w:type="pct"/>
                  <w:shd w:val="clear" w:color="000000" w:fill="FFFFFF"/>
                  <w:noWrap/>
                  <w:hideMark/>
                </w:tcPr>
                <w:p w14:paraId="56DBE96D"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D96D436"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2E57FEC0"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00D4CB2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E81F12D"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37BDEFB0" w14:textId="77777777" w:rsidTr="00DB32C0">
              <w:trPr>
                <w:trHeight w:val="255"/>
              </w:trPr>
              <w:tc>
                <w:tcPr>
                  <w:tcW w:w="267" w:type="pct"/>
                  <w:shd w:val="clear" w:color="000000" w:fill="FFFFFF"/>
                  <w:noWrap/>
                  <w:hideMark/>
                </w:tcPr>
                <w:p w14:paraId="70EE2382" w14:textId="77777777" w:rsidR="00E45009" w:rsidRPr="0025292C" w:rsidRDefault="00E45009" w:rsidP="00E45009">
                  <w:pPr>
                    <w:pStyle w:val="NoSpacing"/>
                    <w:rPr>
                      <w:sz w:val="18"/>
                      <w:szCs w:val="22"/>
                      <w:lang w:val="en-GB"/>
                    </w:rPr>
                  </w:pPr>
                  <w:r w:rsidRPr="0025292C">
                    <w:rPr>
                      <w:sz w:val="18"/>
                      <w:szCs w:val="22"/>
                      <w:lang w:val="en-GB"/>
                    </w:rPr>
                    <w:t>22</w:t>
                  </w:r>
                </w:p>
              </w:tc>
              <w:tc>
                <w:tcPr>
                  <w:tcW w:w="2195" w:type="pct"/>
                  <w:shd w:val="clear" w:color="000000" w:fill="FFFFFF"/>
                  <w:hideMark/>
                </w:tcPr>
                <w:p w14:paraId="7AD532CD"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no.21</w:t>
                  </w:r>
                </w:p>
              </w:tc>
              <w:tc>
                <w:tcPr>
                  <w:tcW w:w="125" w:type="pct"/>
                  <w:shd w:val="clear" w:color="000000" w:fill="FFFFFF"/>
                  <w:hideMark/>
                </w:tcPr>
                <w:p w14:paraId="600AD6F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AE66CC6"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14E798A3" w14:textId="77777777" w:rsidR="00E45009" w:rsidRPr="0025292C" w:rsidRDefault="00E45009" w:rsidP="00E45009">
                  <w:pPr>
                    <w:pStyle w:val="NoSpacing"/>
                    <w:rPr>
                      <w:sz w:val="18"/>
                      <w:szCs w:val="22"/>
                      <w:lang w:val="en-GB"/>
                    </w:rPr>
                  </w:pPr>
                  <w:r w:rsidRPr="0025292C">
                    <w:rPr>
                      <w:sz w:val="18"/>
                      <w:szCs w:val="22"/>
                      <w:lang w:val="en-GB"/>
                    </w:rPr>
                    <w:t>1.07</w:t>
                  </w:r>
                </w:p>
              </w:tc>
              <w:tc>
                <w:tcPr>
                  <w:tcW w:w="125" w:type="pct"/>
                  <w:shd w:val="clear" w:color="000000" w:fill="FFFFFF"/>
                  <w:noWrap/>
                  <w:hideMark/>
                </w:tcPr>
                <w:p w14:paraId="13D75B3E"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7D40B93" w14:textId="77777777" w:rsidR="00E45009" w:rsidRPr="0025292C" w:rsidRDefault="00E45009" w:rsidP="00E45009">
                  <w:pPr>
                    <w:pStyle w:val="NoSpacing"/>
                    <w:rPr>
                      <w:sz w:val="18"/>
                      <w:szCs w:val="22"/>
                      <w:lang w:val="en-GB"/>
                    </w:rPr>
                  </w:pPr>
                  <w:r w:rsidRPr="0025292C">
                    <w:rPr>
                      <w:sz w:val="18"/>
                      <w:szCs w:val="22"/>
                      <w:lang w:val="en-GB"/>
                    </w:rPr>
                    <w:t>3.93</w:t>
                  </w:r>
                </w:p>
              </w:tc>
              <w:tc>
                <w:tcPr>
                  <w:tcW w:w="333" w:type="pct"/>
                  <w:shd w:val="clear" w:color="000000" w:fill="FFFFFF"/>
                  <w:noWrap/>
                  <w:hideMark/>
                </w:tcPr>
                <w:p w14:paraId="2CCCED21"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4CB1E5F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FCF88BF" w14:textId="77777777" w:rsidR="00E45009" w:rsidRPr="0025292C" w:rsidRDefault="00E45009" w:rsidP="00E45009">
                  <w:pPr>
                    <w:pStyle w:val="NoSpacing"/>
                    <w:rPr>
                      <w:sz w:val="18"/>
                      <w:szCs w:val="22"/>
                      <w:lang w:val="en-GB"/>
                    </w:rPr>
                  </w:pPr>
                  <w:r w:rsidRPr="0025292C">
                    <w:rPr>
                      <w:sz w:val="18"/>
                      <w:szCs w:val="22"/>
                      <w:lang w:val="en-GB"/>
                    </w:rPr>
                    <w:t>1.73</w:t>
                  </w:r>
                </w:p>
              </w:tc>
            </w:tr>
            <w:tr w:rsidR="00E45009" w:rsidRPr="0025292C" w14:paraId="04611544" w14:textId="77777777" w:rsidTr="00DB32C0">
              <w:trPr>
                <w:trHeight w:val="255"/>
              </w:trPr>
              <w:tc>
                <w:tcPr>
                  <w:tcW w:w="267" w:type="pct"/>
                  <w:shd w:val="clear" w:color="000000" w:fill="FFFFFF"/>
                  <w:noWrap/>
                  <w:hideMark/>
                </w:tcPr>
                <w:p w14:paraId="0CA106C9"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188E0A50" w14:textId="77777777" w:rsidR="00E45009" w:rsidRPr="0025292C" w:rsidRDefault="00E45009" w:rsidP="00E45009">
                  <w:pPr>
                    <w:pStyle w:val="NoSpacing"/>
                    <w:rPr>
                      <w:b/>
                      <w:bCs/>
                      <w:sz w:val="18"/>
                      <w:szCs w:val="22"/>
                      <w:lang w:val="en-GB"/>
                    </w:rPr>
                  </w:pPr>
                  <w:r w:rsidRPr="0025292C">
                    <w:rPr>
                      <w:b/>
                      <w:bCs/>
                      <w:sz w:val="18"/>
                      <w:szCs w:val="22"/>
                      <w:lang w:val="en-GB"/>
                    </w:rPr>
                    <w:t>IIa. Right of workers to establish and join organizations in law</w:t>
                  </w:r>
                </w:p>
              </w:tc>
              <w:tc>
                <w:tcPr>
                  <w:tcW w:w="125" w:type="pct"/>
                  <w:shd w:val="clear" w:color="000000" w:fill="FFFFFF"/>
                  <w:hideMark/>
                </w:tcPr>
                <w:p w14:paraId="1C2E68DF"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3B79E344"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4E1080A4"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6A2404B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2D5EB54"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63B198E1"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2F42E5C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474EAD1"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10531DEF" w14:textId="77777777" w:rsidTr="00DB32C0">
              <w:trPr>
                <w:trHeight w:val="255"/>
              </w:trPr>
              <w:tc>
                <w:tcPr>
                  <w:tcW w:w="267" w:type="pct"/>
                  <w:shd w:val="clear" w:color="000000" w:fill="FFFFFF"/>
                  <w:noWrap/>
                  <w:hideMark/>
                </w:tcPr>
                <w:p w14:paraId="1B79942B" w14:textId="77777777" w:rsidR="00E45009" w:rsidRPr="0025292C" w:rsidRDefault="00E45009" w:rsidP="00E45009">
                  <w:pPr>
                    <w:pStyle w:val="NoSpacing"/>
                    <w:rPr>
                      <w:sz w:val="18"/>
                      <w:szCs w:val="22"/>
                      <w:lang w:val="en-GB"/>
                    </w:rPr>
                  </w:pPr>
                  <w:r w:rsidRPr="0025292C">
                    <w:rPr>
                      <w:sz w:val="18"/>
                      <w:szCs w:val="22"/>
                      <w:lang w:val="en-GB"/>
                    </w:rPr>
                    <w:t>23</w:t>
                  </w:r>
                </w:p>
              </w:tc>
              <w:tc>
                <w:tcPr>
                  <w:tcW w:w="2195" w:type="pct"/>
                  <w:shd w:val="clear" w:color="000000" w:fill="FFFFFF"/>
                  <w:hideMark/>
                </w:tcPr>
                <w:p w14:paraId="2235ED85" w14:textId="77777777" w:rsidR="00E45009" w:rsidRPr="0025292C" w:rsidRDefault="00E45009" w:rsidP="00E45009">
                  <w:pPr>
                    <w:pStyle w:val="NoSpacing"/>
                    <w:rPr>
                      <w:sz w:val="18"/>
                      <w:szCs w:val="22"/>
                      <w:lang w:val="en-GB"/>
                    </w:rPr>
                  </w:pPr>
                  <w:r w:rsidRPr="0025292C">
                    <w:rPr>
                      <w:sz w:val="18"/>
                      <w:szCs w:val="22"/>
                      <w:lang w:val="en-GB"/>
                    </w:rPr>
                    <w:t>General prohibition of the right to establish and join organizations</w:t>
                  </w:r>
                </w:p>
              </w:tc>
              <w:tc>
                <w:tcPr>
                  <w:tcW w:w="125" w:type="pct"/>
                  <w:shd w:val="clear" w:color="000000" w:fill="FFFFFF"/>
                  <w:hideMark/>
                </w:tcPr>
                <w:p w14:paraId="09E5CE21"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0216E0D" w14:textId="77777777" w:rsidR="00E45009" w:rsidRPr="0025292C" w:rsidRDefault="00E45009" w:rsidP="00E45009">
                  <w:pPr>
                    <w:pStyle w:val="NoSpacing"/>
                    <w:rPr>
                      <w:sz w:val="18"/>
                      <w:szCs w:val="22"/>
                      <w:lang w:val="en-GB"/>
                    </w:rPr>
                  </w:pPr>
                  <w:r w:rsidRPr="0025292C">
                    <w:rPr>
                      <w:sz w:val="18"/>
                      <w:szCs w:val="22"/>
                      <w:lang w:val="en-GB"/>
                    </w:rPr>
                    <w:t>4.77</w:t>
                  </w:r>
                </w:p>
              </w:tc>
              <w:tc>
                <w:tcPr>
                  <w:tcW w:w="335" w:type="pct"/>
                  <w:shd w:val="clear" w:color="000000" w:fill="FFFFFF"/>
                  <w:noWrap/>
                  <w:hideMark/>
                </w:tcPr>
                <w:p w14:paraId="2D87CD0E"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4DD24DE1"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80288A2" w14:textId="77777777" w:rsidR="00E45009" w:rsidRPr="0025292C" w:rsidRDefault="00E45009" w:rsidP="00E45009">
                  <w:pPr>
                    <w:pStyle w:val="NoSpacing"/>
                    <w:rPr>
                      <w:sz w:val="18"/>
                      <w:szCs w:val="22"/>
                      <w:lang w:val="en-GB"/>
                    </w:rPr>
                  </w:pPr>
                  <w:r w:rsidRPr="0025292C">
                    <w:rPr>
                      <w:sz w:val="18"/>
                      <w:szCs w:val="22"/>
                      <w:lang w:val="en-GB"/>
                    </w:rPr>
                    <w:t>4.86</w:t>
                  </w:r>
                </w:p>
              </w:tc>
              <w:tc>
                <w:tcPr>
                  <w:tcW w:w="333" w:type="pct"/>
                  <w:shd w:val="clear" w:color="000000" w:fill="FFFFFF"/>
                  <w:noWrap/>
                  <w:hideMark/>
                </w:tcPr>
                <w:p w14:paraId="344064CD" w14:textId="77777777" w:rsidR="00E45009" w:rsidRPr="0025292C" w:rsidRDefault="00E45009" w:rsidP="00E45009">
                  <w:pPr>
                    <w:pStyle w:val="NoSpacing"/>
                    <w:rPr>
                      <w:sz w:val="18"/>
                      <w:szCs w:val="22"/>
                      <w:lang w:val="en-GB"/>
                    </w:rPr>
                  </w:pPr>
                  <w:r w:rsidRPr="0025292C">
                    <w:rPr>
                      <w:sz w:val="18"/>
                      <w:szCs w:val="22"/>
                      <w:lang w:val="en-GB"/>
                    </w:rPr>
                    <w:t>0.36</w:t>
                  </w:r>
                </w:p>
              </w:tc>
              <w:tc>
                <w:tcPr>
                  <w:tcW w:w="125" w:type="pct"/>
                  <w:shd w:val="clear" w:color="000000" w:fill="FFFFFF"/>
                  <w:noWrap/>
                  <w:hideMark/>
                </w:tcPr>
                <w:p w14:paraId="2567DDEC"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CB96B39" w14:textId="77777777" w:rsidR="00E45009" w:rsidRPr="0025292C" w:rsidRDefault="00E45009" w:rsidP="00E45009">
                  <w:pPr>
                    <w:pStyle w:val="NoSpacing"/>
                    <w:rPr>
                      <w:sz w:val="18"/>
                      <w:szCs w:val="22"/>
                      <w:lang w:val="en-GB"/>
                    </w:rPr>
                  </w:pPr>
                  <w:r w:rsidRPr="0025292C">
                    <w:rPr>
                      <w:sz w:val="18"/>
                      <w:szCs w:val="22"/>
                      <w:lang w:val="en-GB"/>
                    </w:rPr>
                    <w:t>1.96</w:t>
                  </w:r>
                </w:p>
              </w:tc>
            </w:tr>
            <w:tr w:rsidR="00E45009" w:rsidRPr="0025292C" w14:paraId="75400578" w14:textId="77777777" w:rsidTr="00DB32C0">
              <w:trPr>
                <w:trHeight w:val="255"/>
              </w:trPr>
              <w:tc>
                <w:tcPr>
                  <w:tcW w:w="267" w:type="pct"/>
                  <w:shd w:val="clear" w:color="000000" w:fill="FFFFFF"/>
                  <w:noWrap/>
                  <w:hideMark/>
                </w:tcPr>
                <w:p w14:paraId="5FB02474" w14:textId="77777777" w:rsidR="00E45009" w:rsidRPr="0025292C" w:rsidRDefault="00E45009" w:rsidP="00E45009">
                  <w:pPr>
                    <w:pStyle w:val="NoSpacing"/>
                    <w:rPr>
                      <w:sz w:val="18"/>
                      <w:szCs w:val="22"/>
                      <w:lang w:val="en-GB"/>
                    </w:rPr>
                  </w:pPr>
                  <w:r w:rsidRPr="0025292C">
                    <w:rPr>
                      <w:sz w:val="18"/>
                      <w:szCs w:val="22"/>
                      <w:lang w:val="en-GB"/>
                    </w:rPr>
                    <w:t>24</w:t>
                  </w:r>
                </w:p>
              </w:tc>
              <w:tc>
                <w:tcPr>
                  <w:tcW w:w="2195" w:type="pct"/>
                  <w:shd w:val="clear" w:color="000000" w:fill="FFFFFF"/>
                  <w:hideMark/>
                </w:tcPr>
                <w:p w14:paraId="03734CB0" w14:textId="77777777" w:rsidR="00E45009" w:rsidRPr="0025292C" w:rsidRDefault="00E45009" w:rsidP="00E45009">
                  <w:pPr>
                    <w:pStyle w:val="NoSpacing"/>
                    <w:rPr>
                      <w:sz w:val="18"/>
                      <w:szCs w:val="22"/>
                      <w:lang w:val="en-GB"/>
                    </w:rPr>
                  </w:pPr>
                  <w:r w:rsidRPr="0025292C">
                    <w:rPr>
                      <w:sz w:val="18"/>
                      <w:szCs w:val="22"/>
                      <w:lang w:val="en-GB"/>
                    </w:rPr>
                    <w:t>Exclusion of workers from the right to establish and join organizations</w:t>
                  </w:r>
                </w:p>
              </w:tc>
              <w:tc>
                <w:tcPr>
                  <w:tcW w:w="125" w:type="pct"/>
                  <w:shd w:val="clear" w:color="000000" w:fill="FFFFFF"/>
                  <w:hideMark/>
                </w:tcPr>
                <w:p w14:paraId="7951A78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C9574C2" w14:textId="77777777" w:rsidR="00E45009" w:rsidRPr="0025292C" w:rsidRDefault="00E45009" w:rsidP="00E45009">
                  <w:pPr>
                    <w:pStyle w:val="NoSpacing"/>
                    <w:rPr>
                      <w:sz w:val="18"/>
                      <w:szCs w:val="22"/>
                      <w:lang w:val="en-GB"/>
                    </w:rPr>
                  </w:pPr>
                  <w:r w:rsidRPr="0025292C">
                    <w:rPr>
                      <w:sz w:val="18"/>
                      <w:szCs w:val="22"/>
                      <w:lang w:val="en-GB"/>
                    </w:rPr>
                    <w:t>4.23</w:t>
                  </w:r>
                </w:p>
              </w:tc>
              <w:tc>
                <w:tcPr>
                  <w:tcW w:w="335" w:type="pct"/>
                  <w:shd w:val="clear" w:color="000000" w:fill="FFFFFF"/>
                  <w:noWrap/>
                  <w:hideMark/>
                </w:tcPr>
                <w:p w14:paraId="1CAD1AA8"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37E4734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2263E62" w14:textId="77777777" w:rsidR="00E45009" w:rsidRPr="0025292C" w:rsidRDefault="00E45009" w:rsidP="00E45009">
                  <w:pPr>
                    <w:pStyle w:val="NoSpacing"/>
                    <w:rPr>
                      <w:sz w:val="18"/>
                      <w:szCs w:val="22"/>
                      <w:lang w:val="en-GB"/>
                    </w:rPr>
                  </w:pPr>
                  <w:r w:rsidRPr="0025292C">
                    <w:rPr>
                      <w:sz w:val="18"/>
                      <w:szCs w:val="22"/>
                      <w:lang w:val="en-GB"/>
                    </w:rPr>
                    <w:t>4.43</w:t>
                  </w:r>
                </w:p>
              </w:tc>
              <w:tc>
                <w:tcPr>
                  <w:tcW w:w="333" w:type="pct"/>
                  <w:shd w:val="clear" w:color="000000" w:fill="FFFFFF"/>
                  <w:noWrap/>
                  <w:hideMark/>
                </w:tcPr>
                <w:p w14:paraId="2034112B" w14:textId="77777777" w:rsidR="00E45009" w:rsidRPr="0025292C" w:rsidRDefault="00E45009" w:rsidP="00E45009">
                  <w:pPr>
                    <w:pStyle w:val="NoSpacing"/>
                    <w:rPr>
                      <w:sz w:val="18"/>
                      <w:szCs w:val="22"/>
                      <w:lang w:val="en-GB"/>
                    </w:rPr>
                  </w:pPr>
                  <w:r w:rsidRPr="0025292C">
                    <w:rPr>
                      <w:sz w:val="18"/>
                      <w:szCs w:val="22"/>
                      <w:lang w:val="en-GB"/>
                    </w:rPr>
                    <w:t>0.51</w:t>
                  </w:r>
                </w:p>
              </w:tc>
              <w:tc>
                <w:tcPr>
                  <w:tcW w:w="125" w:type="pct"/>
                  <w:shd w:val="clear" w:color="000000" w:fill="FFFFFF"/>
                  <w:noWrap/>
                  <w:hideMark/>
                </w:tcPr>
                <w:p w14:paraId="088350C0"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0BD9D15" w14:textId="77777777" w:rsidR="00E45009" w:rsidRPr="0025292C" w:rsidRDefault="00E45009" w:rsidP="00E45009">
                  <w:pPr>
                    <w:pStyle w:val="NoSpacing"/>
                    <w:rPr>
                      <w:sz w:val="18"/>
                      <w:szCs w:val="22"/>
                      <w:lang w:val="en-GB"/>
                    </w:rPr>
                  </w:pPr>
                  <w:r w:rsidRPr="0025292C">
                    <w:rPr>
                      <w:sz w:val="18"/>
                      <w:szCs w:val="22"/>
                      <w:lang w:val="en-GB"/>
                    </w:rPr>
                    <w:t>1.86</w:t>
                  </w:r>
                </w:p>
              </w:tc>
            </w:tr>
            <w:tr w:rsidR="00E45009" w:rsidRPr="0025292C" w14:paraId="30F6F95C" w14:textId="77777777" w:rsidTr="00DB32C0">
              <w:trPr>
                <w:trHeight w:val="255"/>
              </w:trPr>
              <w:tc>
                <w:tcPr>
                  <w:tcW w:w="267" w:type="pct"/>
                  <w:shd w:val="clear" w:color="000000" w:fill="FFFFFF"/>
                  <w:noWrap/>
                  <w:hideMark/>
                </w:tcPr>
                <w:p w14:paraId="341EBA71" w14:textId="77777777" w:rsidR="00E45009" w:rsidRPr="0025292C" w:rsidRDefault="00E45009" w:rsidP="00E45009">
                  <w:pPr>
                    <w:pStyle w:val="NoSpacing"/>
                    <w:rPr>
                      <w:sz w:val="18"/>
                      <w:szCs w:val="22"/>
                      <w:lang w:val="en-GB"/>
                    </w:rPr>
                  </w:pPr>
                  <w:r w:rsidRPr="0025292C">
                    <w:rPr>
                      <w:sz w:val="18"/>
                      <w:szCs w:val="22"/>
                      <w:lang w:val="en-GB"/>
                    </w:rPr>
                    <w:t>25</w:t>
                  </w:r>
                </w:p>
              </w:tc>
              <w:tc>
                <w:tcPr>
                  <w:tcW w:w="2195" w:type="pct"/>
                  <w:shd w:val="clear" w:color="000000" w:fill="FFFFFF"/>
                  <w:hideMark/>
                </w:tcPr>
                <w:p w14:paraId="19E33F9E" w14:textId="77777777" w:rsidR="00E45009" w:rsidRPr="0025292C" w:rsidRDefault="00E45009" w:rsidP="00E45009">
                  <w:pPr>
                    <w:pStyle w:val="NoSpacing"/>
                    <w:rPr>
                      <w:sz w:val="18"/>
                      <w:szCs w:val="22"/>
                      <w:lang w:val="en-GB"/>
                    </w:rPr>
                  </w:pPr>
                  <w:r w:rsidRPr="0025292C">
                    <w:rPr>
                      <w:sz w:val="18"/>
                      <w:szCs w:val="22"/>
                      <w:lang w:val="en-GB"/>
                    </w:rPr>
                    <w:t>Previous authorization requirements</w:t>
                  </w:r>
                </w:p>
              </w:tc>
              <w:tc>
                <w:tcPr>
                  <w:tcW w:w="125" w:type="pct"/>
                  <w:shd w:val="clear" w:color="000000" w:fill="FFFFFF"/>
                  <w:hideMark/>
                </w:tcPr>
                <w:p w14:paraId="3E0C5D93"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B6EADAF" w14:textId="77777777" w:rsidR="00E45009" w:rsidRPr="0025292C" w:rsidRDefault="00E45009" w:rsidP="00E45009">
                  <w:pPr>
                    <w:pStyle w:val="NoSpacing"/>
                    <w:rPr>
                      <w:sz w:val="18"/>
                      <w:szCs w:val="22"/>
                      <w:lang w:val="en-GB"/>
                    </w:rPr>
                  </w:pPr>
                  <w:r w:rsidRPr="0025292C">
                    <w:rPr>
                      <w:sz w:val="18"/>
                      <w:szCs w:val="22"/>
                      <w:lang w:val="en-GB"/>
                    </w:rPr>
                    <w:t>3.38</w:t>
                  </w:r>
                </w:p>
              </w:tc>
              <w:tc>
                <w:tcPr>
                  <w:tcW w:w="335" w:type="pct"/>
                  <w:shd w:val="clear" w:color="000000" w:fill="FFFFFF"/>
                  <w:noWrap/>
                  <w:hideMark/>
                </w:tcPr>
                <w:p w14:paraId="600A183F" w14:textId="77777777" w:rsidR="00E45009" w:rsidRPr="0025292C" w:rsidRDefault="00E45009" w:rsidP="00E45009">
                  <w:pPr>
                    <w:pStyle w:val="NoSpacing"/>
                    <w:rPr>
                      <w:sz w:val="18"/>
                      <w:szCs w:val="22"/>
                      <w:lang w:val="en-GB"/>
                    </w:rPr>
                  </w:pPr>
                  <w:r w:rsidRPr="0025292C">
                    <w:rPr>
                      <w:sz w:val="18"/>
                      <w:szCs w:val="22"/>
                      <w:lang w:val="en-GB"/>
                    </w:rPr>
                    <w:t>0.63</w:t>
                  </w:r>
                </w:p>
              </w:tc>
              <w:tc>
                <w:tcPr>
                  <w:tcW w:w="125" w:type="pct"/>
                  <w:shd w:val="clear" w:color="000000" w:fill="FFFFFF"/>
                  <w:noWrap/>
                  <w:hideMark/>
                </w:tcPr>
                <w:p w14:paraId="7E51048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5276824" w14:textId="77777777" w:rsidR="00E45009" w:rsidRPr="0025292C" w:rsidRDefault="00E45009" w:rsidP="00E45009">
                  <w:pPr>
                    <w:pStyle w:val="NoSpacing"/>
                    <w:rPr>
                      <w:sz w:val="18"/>
                      <w:szCs w:val="22"/>
                      <w:lang w:val="en-GB"/>
                    </w:rPr>
                  </w:pPr>
                  <w:r w:rsidRPr="0025292C">
                    <w:rPr>
                      <w:sz w:val="18"/>
                      <w:szCs w:val="22"/>
                      <w:lang w:val="en-GB"/>
                    </w:rPr>
                    <w:t>3.50</w:t>
                  </w:r>
                </w:p>
              </w:tc>
              <w:tc>
                <w:tcPr>
                  <w:tcW w:w="333" w:type="pct"/>
                  <w:shd w:val="clear" w:color="000000" w:fill="FFFFFF"/>
                  <w:noWrap/>
                  <w:hideMark/>
                </w:tcPr>
                <w:p w14:paraId="53D2F070"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5E5EDDD7"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871632F" w14:textId="77777777" w:rsidR="00E45009" w:rsidRPr="0025292C" w:rsidRDefault="00E45009" w:rsidP="00E45009">
                  <w:pPr>
                    <w:pStyle w:val="NoSpacing"/>
                    <w:rPr>
                      <w:sz w:val="18"/>
                      <w:szCs w:val="22"/>
                      <w:lang w:val="en-GB"/>
                    </w:rPr>
                  </w:pPr>
                  <w:r w:rsidRPr="0025292C">
                    <w:rPr>
                      <w:sz w:val="18"/>
                      <w:szCs w:val="22"/>
                      <w:lang w:val="en-GB"/>
                    </w:rPr>
                    <w:t>1.63</w:t>
                  </w:r>
                </w:p>
              </w:tc>
            </w:tr>
            <w:tr w:rsidR="00E45009" w:rsidRPr="0025292C" w14:paraId="3B1F1FD8" w14:textId="77777777" w:rsidTr="00DB32C0">
              <w:trPr>
                <w:trHeight w:val="255"/>
              </w:trPr>
              <w:tc>
                <w:tcPr>
                  <w:tcW w:w="267" w:type="pct"/>
                  <w:shd w:val="clear" w:color="000000" w:fill="FFFFFF"/>
                  <w:noWrap/>
                  <w:hideMark/>
                </w:tcPr>
                <w:p w14:paraId="0DC91EDC" w14:textId="77777777" w:rsidR="00E45009" w:rsidRPr="0025292C" w:rsidRDefault="00E45009" w:rsidP="00E45009">
                  <w:pPr>
                    <w:pStyle w:val="NoSpacing"/>
                    <w:rPr>
                      <w:sz w:val="18"/>
                      <w:szCs w:val="22"/>
                      <w:lang w:val="en-GB"/>
                    </w:rPr>
                  </w:pPr>
                  <w:r w:rsidRPr="0025292C">
                    <w:rPr>
                      <w:sz w:val="18"/>
                      <w:szCs w:val="22"/>
                      <w:lang w:val="en-GB"/>
                    </w:rPr>
                    <w:t>26</w:t>
                  </w:r>
                </w:p>
              </w:tc>
              <w:tc>
                <w:tcPr>
                  <w:tcW w:w="2195" w:type="pct"/>
                  <w:shd w:val="clear" w:color="000000" w:fill="FFFFFF"/>
                  <w:hideMark/>
                </w:tcPr>
                <w:p w14:paraId="77B188A1" w14:textId="77777777" w:rsidR="00E45009" w:rsidRPr="0025292C" w:rsidRDefault="00E45009" w:rsidP="00E45009">
                  <w:pPr>
                    <w:pStyle w:val="NoSpacing"/>
                    <w:rPr>
                      <w:sz w:val="18"/>
                      <w:szCs w:val="22"/>
                      <w:lang w:val="en-GB"/>
                    </w:rPr>
                  </w:pPr>
                  <w:r w:rsidRPr="0025292C">
                    <w:rPr>
                      <w:sz w:val="18"/>
                      <w:szCs w:val="22"/>
                      <w:lang w:val="en-GB"/>
                    </w:rPr>
                    <w:t>Restrictions on the freedom of choice of trade union structure and composition</w:t>
                  </w:r>
                </w:p>
              </w:tc>
              <w:tc>
                <w:tcPr>
                  <w:tcW w:w="125" w:type="pct"/>
                  <w:shd w:val="clear" w:color="000000" w:fill="FFFFFF"/>
                  <w:hideMark/>
                </w:tcPr>
                <w:p w14:paraId="70D376D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B839ED3" w14:textId="77777777" w:rsidR="00E45009" w:rsidRPr="0025292C" w:rsidRDefault="00E45009" w:rsidP="00E45009">
                  <w:pPr>
                    <w:pStyle w:val="NoSpacing"/>
                    <w:rPr>
                      <w:sz w:val="18"/>
                      <w:szCs w:val="22"/>
                      <w:lang w:val="en-GB"/>
                    </w:rPr>
                  </w:pPr>
                  <w:r w:rsidRPr="0025292C">
                    <w:rPr>
                      <w:sz w:val="18"/>
                      <w:szCs w:val="22"/>
                      <w:lang w:val="en-GB"/>
                    </w:rPr>
                    <w:t>3.46</w:t>
                  </w:r>
                </w:p>
              </w:tc>
              <w:tc>
                <w:tcPr>
                  <w:tcW w:w="335" w:type="pct"/>
                  <w:shd w:val="clear" w:color="000000" w:fill="FFFFFF"/>
                  <w:noWrap/>
                  <w:hideMark/>
                </w:tcPr>
                <w:p w14:paraId="0370FAD1"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2052E8A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7B37E59" w14:textId="77777777" w:rsidR="00E45009" w:rsidRPr="0025292C" w:rsidRDefault="00E45009" w:rsidP="00E45009">
                  <w:pPr>
                    <w:pStyle w:val="NoSpacing"/>
                    <w:rPr>
                      <w:sz w:val="18"/>
                      <w:szCs w:val="22"/>
                      <w:lang w:val="en-GB"/>
                    </w:rPr>
                  </w:pPr>
                  <w:r w:rsidRPr="0025292C">
                    <w:rPr>
                      <w:sz w:val="18"/>
                      <w:szCs w:val="22"/>
                      <w:lang w:val="en-GB"/>
                    </w:rPr>
                    <w:t>3.50</w:t>
                  </w:r>
                </w:p>
              </w:tc>
              <w:tc>
                <w:tcPr>
                  <w:tcW w:w="333" w:type="pct"/>
                  <w:shd w:val="clear" w:color="000000" w:fill="FFFFFF"/>
                  <w:noWrap/>
                  <w:hideMark/>
                </w:tcPr>
                <w:p w14:paraId="2C02DA99"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0488F74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58219A9" w14:textId="77777777" w:rsidR="00E45009" w:rsidRPr="0025292C" w:rsidRDefault="00E45009" w:rsidP="00E45009">
                  <w:pPr>
                    <w:pStyle w:val="NoSpacing"/>
                    <w:rPr>
                      <w:sz w:val="18"/>
                      <w:szCs w:val="22"/>
                      <w:lang w:val="en-GB"/>
                    </w:rPr>
                  </w:pPr>
                  <w:r w:rsidRPr="0025292C">
                    <w:rPr>
                      <w:sz w:val="18"/>
                      <w:szCs w:val="22"/>
                      <w:lang w:val="en-GB"/>
                    </w:rPr>
                    <w:t>1.63</w:t>
                  </w:r>
                </w:p>
              </w:tc>
            </w:tr>
            <w:tr w:rsidR="00E45009" w:rsidRPr="0025292C" w14:paraId="47090FEA" w14:textId="77777777" w:rsidTr="00DB32C0">
              <w:trPr>
                <w:trHeight w:val="255"/>
              </w:trPr>
              <w:tc>
                <w:tcPr>
                  <w:tcW w:w="267" w:type="pct"/>
                  <w:shd w:val="clear" w:color="000000" w:fill="FFFFFF"/>
                  <w:noWrap/>
                  <w:hideMark/>
                </w:tcPr>
                <w:p w14:paraId="341564D5" w14:textId="77777777" w:rsidR="00E45009" w:rsidRPr="0025292C" w:rsidRDefault="00E45009" w:rsidP="00E45009">
                  <w:pPr>
                    <w:pStyle w:val="NoSpacing"/>
                    <w:rPr>
                      <w:sz w:val="18"/>
                      <w:szCs w:val="22"/>
                      <w:lang w:val="en-GB"/>
                    </w:rPr>
                  </w:pPr>
                  <w:r w:rsidRPr="0025292C">
                    <w:rPr>
                      <w:sz w:val="18"/>
                      <w:szCs w:val="22"/>
                      <w:lang w:val="en-GB"/>
                    </w:rPr>
                    <w:t>27</w:t>
                  </w:r>
                </w:p>
              </w:tc>
              <w:tc>
                <w:tcPr>
                  <w:tcW w:w="2195" w:type="pct"/>
                  <w:shd w:val="clear" w:color="000000" w:fill="FFFFFF"/>
                  <w:hideMark/>
                </w:tcPr>
                <w:p w14:paraId="33C9FE2B" w14:textId="77777777" w:rsidR="00E45009" w:rsidRPr="0025292C" w:rsidRDefault="00E45009" w:rsidP="00E45009">
                  <w:pPr>
                    <w:pStyle w:val="NoSpacing"/>
                    <w:rPr>
                      <w:sz w:val="18"/>
                      <w:szCs w:val="22"/>
                      <w:lang w:val="en-GB"/>
                    </w:rPr>
                  </w:pPr>
                  <w:r w:rsidRPr="0025292C">
                    <w:rPr>
                      <w:sz w:val="18"/>
                      <w:szCs w:val="22"/>
                      <w:lang w:val="en-GB"/>
                    </w:rPr>
                    <w:t>Imposed trade union unity</w:t>
                  </w:r>
                </w:p>
              </w:tc>
              <w:tc>
                <w:tcPr>
                  <w:tcW w:w="125" w:type="pct"/>
                  <w:shd w:val="clear" w:color="000000" w:fill="FFFFFF"/>
                  <w:hideMark/>
                </w:tcPr>
                <w:p w14:paraId="672899B3"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B9D5F51" w14:textId="77777777" w:rsidR="00E45009" w:rsidRPr="0025292C" w:rsidRDefault="00E45009" w:rsidP="00E45009">
                  <w:pPr>
                    <w:pStyle w:val="NoSpacing"/>
                    <w:rPr>
                      <w:sz w:val="18"/>
                      <w:szCs w:val="22"/>
                      <w:lang w:val="en-GB"/>
                    </w:rPr>
                  </w:pPr>
                  <w:r w:rsidRPr="0025292C">
                    <w:rPr>
                      <w:sz w:val="18"/>
                      <w:szCs w:val="22"/>
                      <w:lang w:val="en-GB"/>
                    </w:rPr>
                    <w:t>3.83</w:t>
                  </w:r>
                </w:p>
              </w:tc>
              <w:tc>
                <w:tcPr>
                  <w:tcW w:w="335" w:type="pct"/>
                  <w:shd w:val="clear" w:color="000000" w:fill="FFFFFF"/>
                  <w:noWrap/>
                  <w:hideMark/>
                </w:tcPr>
                <w:p w14:paraId="7F5E607E" w14:textId="77777777" w:rsidR="00E45009" w:rsidRPr="0025292C" w:rsidRDefault="00E45009" w:rsidP="00E45009">
                  <w:pPr>
                    <w:pStyle w:val="NoSpacing"/>
                    <w:rPr>
                      <w:sz w:val="18"/>
                      <w:szCs w:val="22"/>
                      <w:lang w:val="en-GB"/>
                    </w:rPr>
                  </w:pPr>
                  <w:r w:rsidRPr="0025292C">
                    <w:rPr>
                      <w:sz w:val="18"/>
                      <w:szCs w:val="22"/>
                      <w:lang w:val="en-GB"/>
                    </w:rPr>
                    <w:t>0.93</w:t>
                  </w:r>
                </w:p>
              </w:tc>
              <w:tc>
                <w:tcPr>
                  <w:tcW w:w="125" w:type="pct"/>
                  <w:shd w:val="clear" w:color="000000" w:fill="FFFFFF"/>
                  <w:noWrap/>
                  <w:hideMark/>
                </w:tcPr>
                <w:p w14:paraId="62A8B93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DD614C5" w14:textId="77777777" w:rsidR="00E45009" w:rsidRPr="0025292C" w:rsidRDefault="00E45009" w:rsidP="00E45009">
                  <w:pPr>
                    <w:pStyle w:val="NoSpacing"/>
                    <w:rPr>
                      <w:sz w:val="18"/>
                      <w:szCs w:val="22"/>
                      <w:lang w:val="en-GB"/>
                    </w:rPr>
                  </w:pPr>
                  <w:r w:rsidRPr="0025292C">
                    <w:rPr>
                      <w:sz w:val="18"/>
                      <w:szCs w:val="22"/>
                      <w:lang w:val="en-GB"/>
                    </w:rPr>
                    <w:t>3.71</w:t>
                  </w:r>
                </w:p>
              </w:tc>
              <w:tc>
                <w:tcPr>
                  <w:tcW w:w="333" w:type="pct"/>
                  <w:shd w:val="clear" w:color="000000" w:fill="FFFFFF"/>
                  <w:noWrap/>
                  <w:hideMark/>
                </w:tcPr>
                <w:p w14:paraId="18E7C6B3"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0EBE81B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D8233C6" w14:textId="77777777" w:rsidR="00E45009" w:rsidRPr="0025292C" w:rsidRDefault="00E45009" w:rsidP="00E45009">
                  <w:pPr>
                    <w:pStyle w:val="NoSpacing"/>
                    <w:rPr>
                      <w:sz w:val="18"/>
                      <w:szCs w:val="22"/>
                      <w:lang w:val="en-GB"/>
                    </w:rPr>
                  </w:pPr>
                  <w:r w:rsidRPr="0025292C">
                    <w:rPr>
                      <w:sz w:val="18"/>
                      <w:szCs w:val="22"/>
                      <w:lang w:val="en-GB"/>
                    </w:rPr>
                    <w:t>1.68</w:t>
                  </w:r>
                </w:p>
              </w:tc>
            </w:tr>
            <w:tr w:rsidR="00E45009" w:rsidRPr="0025292C" w14:paraId="7A43D225" w14:textId="77777777" w:rsidTr="00DB32C0">
              <w:trPr>
                <w:trHeight w:val="255"/>
              </w:trPr>
              <w:tc>
                <w:tcPr>
                  <w:tcW w:w="267" w:type="pct"/>
                  <w:shd w:val="clear" w:color="000000" w:fill="FFFFFF"/>
                  <w:noWrap/>
                  <w:hideMark/>
                </w:tcPr>
                <w:p w14:paraId="41B46DCF" w14:textId="77777777" w:rsidR="00E45009" w:rsidRPr="0025292C" w:rsidRDefault="00E45009" w:rsidP="00E45009">
                  <w:pPr>
                    <w:pStyle w:val="NoSpacing"/>
                    <w:rPr>
                      <w:sz w:val="18"/>
                      <w:szCs w:val="22"/>
                      <w:lang w:val="en-GB"/>
                    </w:rPr>
                  </w:pPr>
                  <w:r w:rsidRPr="0025292C">
                    <w:rPr>
                      <w:sz w:val="18"/>
                      <w:szCs w:val="22"/>
                      <w:lang w:val="en-GB"/>
                    </w:rPr>
                    <w:t>28</w:t>
                  </w:r>
                </w:p>
              </w:tc>
              <w:tc>
                <w:tcPr>
                  <w:tcW w:w="2195" w:type="pct"/>
                  <w:shd w:val="clear" w:color="000000" w:fill="FFFFFF"/>
                  <w:hideMark/>
                </w:tcPr>
                <w:p w14:paraId="41E563F5" w14:textId="77777777" w:rsidR="00E45009" w:rsidRPr="0025292C" w:rsidRDefault="00E45009" w:rsidP="00E45009">
                  <w:pPr>
                    <w:pStyle w:val="NoSpacing"/>
                    <w:rPr>
                      <w:sz w:val="18"/>
                      <w:szCs w:val="22"/>
                      <w:lang w:val="en-GB"/>
                    </w:rPr>
                  </w:pPr>
                  <w:r w:rsidRPr="0025292C">
                    <w:rPr>
                      <w:sz w:val="18"/>
                      <w:szCs w:val="22"/>
                      <w:lang w:val="en-GB"/>
                    </w:rPr>
                    <w:t>Dissolution/suspension of legally functioning organizations</w:t>
                  </w:r>
                </w:p>
              </w:tc>
              <w:tc>
                <w:tcPr>
                  <w:tcW w:w="125" w:type="pct"/>
                  <w:shd w:val="clear" w:color="000000" w:fill="FFFFFF"/>
                  <w:hideMark/>
                </w:tcPr>
                <w:p w14:paraId="18388BF7"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C5E5407" w14:textId="77777777" w:rsidR="00E45009" w:rsidRPr="0025292C" w:rsidRDefault="00E45009" w:rsidP="00E45009">
                  <w:pPr>
                    <w:pStyle w:val="NoSpacing"/>
                    <w:rPr>
                      <w:sz w:val="18"/>
                      <w:szCs w:val="22"/>
                      <w:lang w:val="en-GB"/>
                    </w:rPr>
                  </w:pPr>
                  <w:r w:rsidRPr="0025292C">
                    <w:rPr>
                      <w:sz w:val="18"/>
                      <w:szCs w:val="22"/>
                      <w:lang w:val="en-GB"/>
                    </w:rPr>
                    <w:t>4.45</w:t>
                  </w:r>
                </w:p>
              </w:tc>
              <w:tc>
                <w:tcPr>
                  <w:tcW w:w="335" w:type="pct"/>
                  <w:shd w:val="clear" w:color="000000" w:fill="FFFFFF"/>
                  <w:noWrap/>
                  <w:hideMark/>
                </w:tcPr>
                <w:p w14:paraId="59CA6D74" w14:textId="77777777" w:rsidR="00E45009" w:rsidRPr="0025292C" w:rsidRDefault="00E45009" w:rsidP="00E45009">
                  <w:pPr>
                    <w:pStyle w:val="NoSpacing"/>
                    <w:rPr>
                      <w:sz w:val="18"/>
                      <w:szCs w:val="22"/>
                      <w:lang w:val="en-GB"/>
                    </w:rPr>
                  </w:pPr>
                  <w:r w:rsidRPr="0025292C">
                    <w:rPr>
                      <w:sz w:val="18"/>
                      <w:szCs w:val="22"/>
                      <w:lang w:val="en-GB"/>
                    </w:rPr>
                    <w:t>0.74</w:t>
                  </w:r>
                </w:p>
              </w:tc>
              <w:tc>
                <w:tcPr>
                  <w:tcW w:w="125" w:type="pct"/>
                  <w:shd w:val="clear" w:color="000000" w:fill="FFFFFF"/>
                  <w:noWrap/>
                  <w:hideMark/>
                </w:tcPr>
                <w:p w14:paraId="45D5DDF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8B16356" w14:textId="77777777" w:rsidR="00E45009" w:rsidRPr="0025292C" w:rsidRDefault="00E45009" w:rsidP="00E45009">
                  <w:pPr>
                    <w:pStyle w:val="NoSpacing"/>
                    <w:rPr>
                      <w:sz w:val="18"/>
                      <w:szCs w:val="22"/>
                      <w:lang w:val="en-GB"/>
                    </w:rPr>
                  </w:pPr>
                  <w:r w:rsidRPr="0025292C">
                    <w:rPr>
                      <w:sz w:val="18"/>
                      <w:szCs w:val="22"/>
                      <w:lang w:val="en-GB"/>
                    </w:rPr>
                    <w:t>4.57</w:t>
                  </w:r>
                </w:p>
              </w:tc>
              <w:tc>
                <w:tcPr>
                  <w:tcW w:w="333" w:type="pct"/>
                  <w:shd w:val="clear" w:color="000000" w:fill="FFFFFF"/>
                  <w:noWrap/>
                  <w:hideMark/>
                </w:tcPr>
                <w:p w14:paraId="083CB7D5" w14:textId="77777777" w:rsidR="00E45009" w:rsidRPr="0025292C" w:rsidRDefault="00E45009" w:rsidP="00E45009">
                  <w:pPr>
                    <w:pStyle w:val="NoSpacing"/>
                    <w:rPr>
                      <w:sz w:val="18"/>
                      <w:szCs w:val="22"/>
                      <w:lang w:val="en-GB"/>
                    </w:rPr>
                  </w:pPr>
                  <w:r w:rsidRPr="0025292C">
                    <w:rPr>
                      <w:sz w:val="18"/>
                      <w:szCs w:val="22"/>
                      <w:lang w:val="en-GB"/>
                    </w:rPr>
                    <w:t>0.51</w:t>
                  </w:r>
                </w:p>
              </w:tc>
              <w:tc>
                <w:tcPr>
                  <w:tcW w:w="125" w:type="pct"/>
                  <w:shd w:val="clear" w:color="000000" w:fill="FFFFFF"/>
                  <w:noWrap/>
                  <w:hideMark/>
                </w:tcPr>
                <w:p w14:paraId="1C6514D6"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CDD20E5" w14:textId="77777777" w:rsidR="00E45009" w:rsidRPr="0025292C" w:rsidRDefault="00E45009" w:rsidP="00E45009">
                  <w:pPr>
                    <w:pStyle w:val="NoSpacing"/>
                    <w:rPr>
                      <w:sz w:val="18"/>
                      <w:szCs w:val="22"/>
                      <w:lang w:val="en-GB"/>
                    </w:rPr>
                  </w:pPr>
                  <w:r w:rsidRPr="0025292C">
                    <w:rPr>
                      <w:sz w:val="18"/>
                      <w:szCs w:val="22"/>
                      <w:lang w:val="en-GB"/>
                    </w:rPr>
                    <w:t>1.89</w:t>
                  </w:r>
                </w:p>
              </w:tc>
            </w:tr>
            <w:tr w:rsidR="00E45009" w:rsidRPr="0025292C" w14:paraId="4BE7C923" w14:textId="77777777" w:rsidTr="00DB32C0">
              <w:trPr>
                <w:trHeight w:val="510"/>
              </w:trPr>
              <w:tc>
                <w:tcPr>
                  <w:tcW w:w="267" w:type="pct"/>
                  <w:shd w:val="clear" w:color="000000" w:fill="FFFFFF"/>
                  <w:noWrap/>
                  <w:hideMark/>
                </w:tcPr>
                <w:p w14:paraId="16E1D772" w14:textId="77777777" w:rsidR="00E45009" w:rsidRPr="0025292C" w:rsidRDefault="00E45009" w:rsidP="00E45009">
                  <w:pPr>
                    <w:pStyle w:val="NoSpacing"/>
                    <w:rPr>
                      <w:sz w:val="18"/>
                      <w:szCs w:val="22"/>
                      <w:lang w:val="en-GB"/>
                    </w:rPr>
                  </w:pPr>
                  <w:r w:rsidRPr="0025292C">
                    <w:rPr>
                      <w:sz w:val="18"/>
                      <w:szCs w:val="22"/>
                      <w:lang w:val="en-GB"/>
                    </w:rPr>
                    <w:t>29</w:t>
                  </w:r>
                </w:p>
              </w:tc>
              <w:tc>
                <w:tcPr>
                  <w:tcW w:w="2195" w:type="pct"/>
                  <w:shd w:val="clear" w:color="000000" w:fill="FFFFFF"/>
                  <w:hideMark/>
                </w:tcPr>
                <w:p w14:paraId="7112E995" w14:textId="77777777" w:rsidR="00E45009" w:rsidRPr="0025292C" w:rsidRDefault="00E45009" w:rsidP="00E45009">
                  <w:pPr>
                    <w:pStyle w:val="NoSpacing"/>
                    <w:rPr>
                      <w:sz w:val="18"/>
                      <w:szCs w:val="22"/>
                      <w:lang w:val="en-GB"/>
                    </w:rPr>
                  </w:pPr>
                  <w:r w:rsidRPr="0025292C">
                    <w:rPr>
                      <w:sz w:val="18"/>
                      <w:szCs w:val="22"/>
                      <w:lang w:val="en-GB"/>
                    </w:rPr>
                    <w:t>Provisions in law allowing for anti-union discriminatory measures in relation to hiring, during employment (e.g. transfers and downgrading) and dismissal</w:t>
                  </w:r>
                </w:p>
              </w:tc>
              <w:tc>
                <w:tcPr>
                  <w:tcW w:w="125" w:type="pct"/>
                  <w:shd w:val="clear" w:color="000000" w:fill="FFFFFF"/>
                  <w:hideMark/>
                </w:tcPr>
                <w:p w14:paraId="7D97E9A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7EC3EBB" w14:textId="77777777" w:rsidR="00E45009" w:rsidRPr="0025292C" w:rsidRDefault="00E45009" w:rsidP="00E45009">
                  <w:pPr>
                    <w:pStyle w:val="NoSpacing"/>
                    <w:rPr>
                      <w:sz w:val="18"/>
                      <w:szCs w:val="22"/>
                      <w:lang w:val="en-GB"/>
                    </w:rPr>
                  </w:pPr>
                  <w:r w:rsidRPr="0025292C">
                    <w:rPr>
                      <w:sz w:val="18"/>
                      <w:szCs w:val="22"/>
                      <w:lang w:val="en-GB"/>
                    </w:rPr>
                    <w:t>4.62</w:t>
                  </w:r>
                </w:p>
              </w:tc>
              <w:tc>
                <w:tcPr>
                  <w:tcW w:w="335" w:type="pct"/>
                  <w:shd w:val="clear" w:color="000000" w:fill="FFFFFF"/>
                  <w:noWrap/>
                  <w:hideMark/>
                </w:tcPr>
                <w:p w14:paraId="4D2F5E48" w14:textId="77777777" w:rsidR="00E45009" w:rsidRPr="0025292C" w:rsidRDefault="00E45009" w:rsidP="00E45009">
                  <w:pPr>
                    <w:pStyle w:val="NoSpacing"/>
                    <w:rPr>
                      <w:sz w:val="18"/>
                      <w:szCs w:val="22"/>
                      <w:lang w:val="en-GB"/>
                    </w:rPr>
                  </w:pPr>
                  <w:r w:rsidRPr="0025292C">
                    <w:rPr>
                      <w:sz w:val="18"/>
                      <w:szCs w:val="22"/>
                      <w:lang w:val="en-GB"/>
                    </w:rPr>
                    <w:t>0.74</w:t>
                  </w:r>
                </w:p>
              </w:tc>
              <w:tc>
                <w:tcPr>
                  <w:tcW w:w="125" w:type="pct"/>
                  <w:shd w:val="clear" w:color="000000" w:fill="FFFFFF"/>
                  <w:noWrap/>
                  <w:hideMark/>
                </w:tcPr>
                <w:p w14:paraId="2D40BB8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7674645" w14:textId="77777777" w:rsidR="00E45009" w:rsidRPr="0025292C" w:rsidRDefault="00E45009" w:rsidP="00E45009">
                  <w:pPr>
                    <w:pStyle w:val="NoSpacing"/>
                    <w:rPr>
                      <w:sz w:val="18"/>
                      <w:szCs w:val="22"/>
                      <w:lang w:val="en-GB"/>
                    </w:rPr>
                  </w:pPr>
                  <w:r w:rsidRPr="0025292C">
                    <w:rPr>
                      <w:sz w:val="18"/>
                      <w:szCs w:val="22"/>
                      <w:lang w:val="en-GB"/>
                    </w:rPr>
                    <w:t>4.71</w:t>
                  </w:r>
                </w:p>
              </w:tc>
              <w:tc>
                <w:tcPr>
                  <w:tcW w:w="333" w:type="pct"/>
                  <w:shd w:val="clear" w:color="000000" w:fill="FFFFFF"/>
                  <w:noWrap/>
                  <w:hideMark/>
                </w:tcPr>
                <w:p w14:paraId="3FFF9431"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4AE4EE7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B9C72AA" w14:textId="77777777" w:rsidR="00E45009" w:rsidRPr="0025292C" w:rsidRDefault="00E45009" w:rsidP="00E45009">
                  <w:pPr>
                    <w:pStyle w:val="NoSpacing"/>
                    <w:rPr>
                      <w:sz w:val="18"/>
                      <w:szCs w:val="22"/>
                      <w:lang w:val="en-GB"/>
                    </w:rPr>
                  </w:pPr>
                  <w:r w:rsidRPr="0025292C">
                    <w:rPr>
                      <w:sz w:val="18"/>
                      <w:szCs w:val="22"/>
                      <w:lang w:val="en-GB"/>
                    </w:rPr>
                    <w:t>1.93</w:t>
                  </w:r>
                </w:p>
              </w:tc>
            </w:tr>
            <w:tr w:rsidR="00E45009" w:rsidRPr="0025292C" w14:paraId="56DD7052" w14:textId="77777777" w:rsidTr="00DB32C0">
              <w:trPr>
                <w:trHeight w:val="255"/>
              </w:trPr>
              <w:tc>
                <w:tcPr>
                  <w:tcW w:w="267" w:type="pct"/>
                  <w:shd w:val="clear" w:color="000000" w:fill="FFFFFF"/>
                  <w:noWrap/>
                  <w:hideMark/>
                </w:tcPr>
                <w:p w14:paraId="161C1457" w14:textId="77777777" w:rsidR="00E45009" w:rsidRPr="0025292C" w:rsidRDefault="00E45009" w:rsidP="00E45009">
                  <w:pPr>
                    <w:pStyle w:val="NoSpacing"/>
                    <w:rPr>
                      <w:sz w:val="18"/>
                      <w:szCs w:val="22"/>
                      <w:lang w:val="en-GB"/>
                    </w:rPr>
                  </w:pPr>
                  <w:r w:rsidRPr="0025292C">
                    <w:rPr>
                      <w:sz w:val="18"/>
                      <w:szCs w:val="22"/>
                      <w:lang w:val="en-GB"/>
                    </w:rPr>
                    <w:t>30</w:t>
                  </w:r>
                </w:p>
              </w:tc>
              <w:tc>
                <w:tcPr>
                  <w:tcW w:w="2195" w:type="pct"/>
                  <w:shd w:val="clear" w:color="000000" w:fill="FFFFFF"/>
                  <w:hideMark/>
                </w:tcPr>
                <w:p w14:paraId="4E45122A" w14:textId="77777777" w:rsidR="00E45009" w:rsidRPr="0025292C" w:rsidRDefault="00E45009" w:rsidP="00E45009">
                  <w:pPr>
                    <w:pStyle w:val="NoSpacing"/>
                    <w:rPr>
                      <w:sz w:val="18"/>
                      <w:szCs w:val="22"/>
                      <w:lang w:val="en-GB"/>
                    </w:rPr>
                  </w:pPr>
                  <w:r w:rsidRPr="0025292C">
                    <w:rPr>
                      <w:sz w:val="18"/>
                      <w:szCs w:val="22"/>
                      <w:lang w:val="en-GB"/>
                    </w:rPr>
                    <w:t>Lack of adequate legal guarantees against anti-union discriminatory measures</w:t>
                  </w:r>
                </w:p>
              </w:tc>
              <w:tc>
                <w:tcPr>
                  <w:tcW w:w="125" w:type="pct"/>
                  <w:shd w:val="clear" w:color="000000" w:fill="FFFFFF"/>
                  <w:hideMark/>
                </w:tcPr>
                <w:p w14:paraId="4AD6B6D0"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A30366F"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16A5173E" w14:textId="77777777" w:rsidR="00E45009" w:rsidRPr="0025292C" w:rsidRDefault="00E45009" w:rsidP="00E45009">
                  <w:pPr>
                    <w:pStyle w:val="NoSpacing"/>
                    <w:rPr>
                      <w:sz w:val="18"/>
                      <w:szCs w:val="22"/>
                      <w:lang w:val="en-GB"/>
                    </w:rPr>
                  </w:pPr>
                  <w:r w:rsidRPr="0025292C">
                    <w:rPr>
                      <w:sz w:val="18"/>
                      <w:szCs w:val="22"/>
                      <w:lang w:val="en-GB"/>
                    </w:rPr>
                    <w:t>1.07</w:t>
                  </w:r>
                </w:p>
              </w:tc>
              <w:tc>
                <w:tcPr>
                  <w:tcW w:w="125" w:type="pct"/>
                  <w:shd w:val="clear" w:color="000000" w:fill="FFFFFF"/>
                  <w:noWrap/>
                  <w:hideMark/>
                </w:tcPr>
                <w:p w14:paraId="567973F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C62F81E" w14:textId="77777777" w:rsidR="00E45009" w:rsidRPr="0025292C" w:rsidRDefault="00E45009" w:rsidP="00E45009">
                  <w:pPr>
                    <w:pStyle w:val="NoSpacing"/>
                    <w:rPr>
                      <w:sz w:val="18"/>
                      <w:szCs w:val="22"/>
                      <w:lang w:val="en-GB"/>
                    </w:rPr>
                  </w:pPr>
                  <w:r w:rsidRPr="0025292C">
                    <w:rPr>
                      <w:sz w:val="18"/>
                      <w:szCs w:val="22"/>
                      <w:lang w:val="en-GB"/>
                    </w:rPr>
                    <w:t>4.00</w:t>
                  </w:r>
                </w:p>
              </w:tc>
              <w:tc>
                <w:tcPr>
                  <w:tcW w:w="333" w:type="pct"/>
                  <w:shd w:val="clear" w:color="000000" w:fill="FFFFFF"/>
                  <w:noWrap/>
                  <w:hideMark/>
                </w:tcPr>
                <w:p w14:paraId="4BD55683" w14:textId="77777777" w:rsidR="00E45009" w:rsidRPr="0025292C" w:rsidRDefault="00E45009" w:rsidP="00E45009">
                  <w:pPr>
                    <w:pStyle w:val="NoSpacing"/>
                    <w:rPr>
                      <w:sz w:val="18"/>
                      <w:szCs w:val="22"/>
                      <w:lang w:val="en-GB"/>
                    </w:rPr>
                  </w:pPr>
                  <w:r w:rsidRPr="0025292C">
                    <w:rPr>
                      <w:sz w:val="18"/>
                      <w:szCs w:val="22"/>
                      <w:lang w:val="en-GB"/>
                    </w:rPr>
                    <w:t>0.55</w:t>
                  </w:r>
                </w:p>
              </w:tc>
              <w:tc>
                <w:tcPr>
                  <w:tcW w:w="125" w:type="pct"/>
                  <w:shd w:val="clear" w:color="000000" w:fill="FFFFFF"/>
                  <w:noWrap/>
                  <w:hideMark/>
                </w:tcPr>
                <w:p w14:paraId="5264C19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E63D488" w14:textId="77777777" w:rsidR="00E45009" w:rsidRPr="0025292C" w:rsidRDefault="00E45009" w:rsidP="00E45009">
                  <w:pPr>
                    <w:pStyle w:val="NoSpacing"/>
                    <w:rPr>
                      <w:sz w:val="18"/>
                      <w:szCs w:val="22"/>
                      <w:lang w:val="en-GB"/>
                    </w:rPr>
                  </w:pPr>
                  <w:r w:rsidRPr="0025292C">
                    <w:rPr>
                      <w:sz w:val="18"/>
                      <w:szCs w:val="22"/>
                      <w:lang w:val="en-GB"/>
                    </w:rPr>
                    <w:t>1.75</w:t>
                  </w:r>
                </w:p>
              </w:tc>
            </w:tr>
            <w:tr w:rsidR="00E45009" w:rsidRPr="0025292C" w14:paraId="5BA44C17" w14:textId="77777777" w:rsidTr="00DB32C0">
              <w:trPr>
                <w:trHeight w:val="255"/>
              </w:trPr>
              <w:tc>
                <w:tcPr>
                  <w:tcW w:w="267" w:type="pct"/>
                  <w:shd w:val="clear" w:color="000000" w:fill="FFFFFF"/>
                  <w:noWrap/>
                  <w:hideMark/>
                </w:tcPr>
                <w:p w14:paraId="082AF101" w14:textId="77777777" w:rsidR="00E45009" w:rsidRPr="0025292C" w:rsidRDefault="00E45009" w:rsidP="00E45009">
                  <w:pPr>
                    <w:pStyle w:val="NoSpacing"/>
                    <w:rPr>
                      <w:sz w:val="18"/>
                      <w:szCs w:val="22"/>
                      <w:lang w:val="en-GB"/>
                    </w:rPr>
                  </w:pPr>
                  <w:r w:rsidRPr="0025292C">
                    <w:rPr>
                      <w:sz w:val="18"/>
                      <w:szCs w:val="22"/>
                      <w:lang w:val="en-GB"/>
                    </w:rPr>
                    <w:t>31</w:t>
                  </w:r>
                </w:p>
              </w:tc>
              <w:tc>
                <w:tcPr>
                  <w:tcW w:w="2195" w:type="pct"/>
                  <w:shd w:val="clear" w:color="000000" w:fill="FFFFFF"/>
                  <w:hideMark/>
                </w:tcPr>
                <w:p w14:paraId="726C6676" w14:textId="77777777" w:rsidR="00E45009" w:rsidRPr="0025292C" w:rsidRDefault="00E45009" w:rsidP="00E45009">
                  <w:pPr>
                    <w:pStyle w:val="NoSpacing"/>
                    <w:rPr>
                      <w:sz w:val="18"/>
                      <w:szCs w:val="22"/>
                      <w:lang w:val="en-GB"/>
                    </w:rPr>
                  </w:pPr>
                  <w:r w:rsidRPr="0025292C">
                    <w:rPr>
                      <w:sz w:val="18"/>
                      <w:szCs w:val="22"/>
                      <w:lang w:val="en-GB"/>
                    </w:rPr>
                    <w:t>Provisions in law allowing for interference of employers and/or public authorities</w:t>
                  </w:r>
                </w:p>
              </w:tc>
              <w:tc>
                <w:tcPr>
                  <w:tcW w:w="125" w:type="pct"/>
                  <w:shd w:val="clear" w:color="000000" w:fill="FFFFFF"/>
                  <w:hideMark/>
                </w:tcPr>
                <w:p w14:paraId="43A3B86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AE6F54D" w14:textId="77777777" w:rsidR="00E45009" w:rsidRPr="0025292C" w:rsidRDefault="00E45009" w:rsidP="00E45009">
                  <w:pPr>
                    <w:pStyle w:val="NoSpacing"/>
                    <w:rPr>
                      <w:sz w:val="18"/>
                      <w:szCs w:val="22"/>
                      <w:lang w:val="en-GB"/>
                    </w:rPr>
                  </w:pPr>
                  <w:r w:rsidRPr="0025292C">
                    <w:rPr>
                      <w:sz w:val="18"/>
                      <w:szCs w:val="22"/>
                      <w:lang w:val="en-GB"/>
                    </w:rPr>
                    <w:t>4.08</w:t>
                  </w:r>
                </w:p>
              </w:tc>
              <w:tc>
                <w:tcPr>
                  <w:tcW w:w="335" w:type="pct"/>
                  <w:shd w:val="clear" w:color="000000" w:fill="FFFFFF"/>
                  <w:noWrap/>
                  <w:hideMark/>
                </w:tcPr>
                <w:p w14:paraId="095D84A9"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63B6FA4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DAC0FB7" w14:textId="77777777" w:rsidR="00E45009" w:rsidRPr="0025292C" w:rsidRDefault="00E45009" w:rsidP="00E45009">
                  <w:pPr>
                    <w:pStyle w:val="NoSpacing"/>
                    <w:rPr>
                      <w:sz w:val="18"/>
                      <w:szCs w:val="22"/>
                      <w:lang w:val="en-GB"/>
                    </w:rPr>
                  </w:pPr>
                  <w:r w:rsidRPr="0025292C">
                    <w:rPr>
                      <w:sz w:val="18"/>
                      <w:szCs w:val="22"/>
                      <w:lang w:val="en-GB"/>
                    </w:rPr>
                    <w:t>4.21</w:t>
                  </w:r>
                </w:p>
              </w:tc>
              <w:tc>
                <w:tcPr>
                  <w:tcW w:w="333" w:type="pct"/>
                  <w:shd w:val="clear" w:color="000000" w:fill="FFFFFF"/>
                  <w:noWrap/>
                  <w:hideMark/>
                </w:tcPr>
                <w:p w14:paraId="4CE3D9D7"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5C28D86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602FCAD" w14:textId="77777777" w:rsidR="00E45009" w:rsidRPr="0025292C" w:rsidRDefault="00E45009" w:rsidP="00E45009">
                  <w:pPr>
                    <w:pStyle w:val="NoSpacing"/>
                    <w:rPr>
                      <w:sz w:val="18"/>
                      <w:szCs w:val="22"/>
                      <w:lang w:val="en-GB"/>
                    </w:rPr>
                  </w:pPr>
                  <w:r w:rsidRPr="0025292C">
                    <w:rPr>
                      <w:sz w:val="18"/>
                      <w:szCs w:val="22"/>
                      <w:lang w:val="en-GB"/>
                    </w:rPr>
                    <w:t>1.80</w:t>
                  </w:r>
                </w:p>
              </w:tc>
            </w:tr>
            <w:tr w:rsidR="00E45009" w:rsidRPr="0025292C" w14:paraId="6E3568C1" w14:textId="77777777" w:rsidTr="00DB32C0">
              <w:trPr>
                <w:trHeight w:val="255"/>
              </w:trPr>
              <w:tc>
                <w:tcPr>
                  <w:tcW w:w="267" w:type="pct"/>
                  <w:shd w:val="clear" w:color="000000" w:fill="FFFFFF"/>
                  <w:noWrap/>
                  <w:hideMark/>
                </w:tcPr>
                <w:p w14:paraId="490806FD" w14:textId="77777777" w:rsidR="00E45009" w:rsidRPr="0025292C" w:rsidRDefault="00E45009" w:rsidP="00E45009">
                  <w:pPr>
                    <w:pStyle w:val="NoSpacing"/>
                    <w:rPr>
                      <w:sz w:val="18"/>
                      <w:szCs w:val="22"/>
                      <w:lang w:val="en-GB"/>
                    </w:rPr>
                  </w:pPr>
                  <w:r w:rsidRPr="0025292C">
                    <w:rPr>
                      <w:sz w:val="18"/>
                      <w:szCs w:val="22"/>
                      <w:lang w:val="en-GB"/>
                    </w:rPr>
                    <w:t>32</w:t>
                  </w:r>
                </w:p>
              </w:tc>
              <w:tc>
                <w:tcPr>
                  <w:tcW w:w="2195" w:type="pct"/>
                  <w:shd w:val="clear" w:color="000000" w:fill="FFFFFF"/>
                  <w:hideMark/>
                </w:tcPr>
                <w:p w14:paraId="540102AF" w14:textId="77777777" w:rsidR="00E45009" w:rsidRPr="0025292C" w:rsidRDefault="00E45009" w:rsidP="00E45009">
                  <w:pPr>
                    <w:pStyle w:val="NoSpacing"/>
                    <w:rPr>
                      <w:sz w:val="18"/>
                      <w:szCs w:val="22"/>
                      <w:lang w:val="en-GB"/>
                    </w:rPr>
                  </w:pPr>
                  <w:r w:rsidRPr="0025292C">
                    <w:rPr>
                      <w:sz w:val="18"/>
                      <w:szCs w:val="22"/>
                      <w:lang w:val="en-GB"/>
                    </w:rPr>
                    <w:t xml:space="preserve">Lack of adequate legal guarantees against acts of interference  </w:t>
                  </w:r>
                </w:p>
              </w:tc>
              <w:tc>
                <w:tcPr>
                  <w:tcW w:w="125" w:type="pct"/>
                  <w:shd w:val="clear" w:color="000000" w:fill="FFFFFF"/>
                  <w:hideMark/>
                </w:tcPr>
                <w:p w14:paraId="45D0C732"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57697E9" w14:textId="77777777" w:rsidR="00E45009" w:rsidRPr="0025292C" w:rsidRDefault="00E45009" w:rsidP="00E45009">
                  <w:pPr>
                    <w:pStyle w:val="NoSpacing"/>
                    <w:rPr>
                      <w:sz w:val="18"/>
                      <w:szCs w:val="22"/>
                      <w:lang w:val="en-GB"/>
                    </w:rPr>
                  </w:pPr>
                  <w:r w:rsidRPr="0025292C">
                    <w:rPr>
                      <w:sz w:val="18"/>
                      <w:szCs w:val="22"/>
                      <w:lang w:val="en-GB"/>
                    </w:rPr>
                    <w:t>3.62</w:t>
                  </w:r>
                </w:p>
              </w:tc>
              <w:tc>
                <w:tcPr>
                  <w:tcW w:w="335" w:type="pct"/>
                  <w:shd w:val="clear" w:color="000000" w:fill="FFFFFF"/>
                  <w:noWrap/>
                  <w:hideMark/>
                </w:tcPr>
                <w:p w14:paraId="61AEC22C" w14:textId="77777777" w:rsidR="00E45009" w:rsidRPr="0025292C" w:rsidRDefault="00E45009" w:rsidP="00E45009">
                  <w:pPr>
                    <w:pStyle w:val="NoSpacing"/>
                    <w:rPr>
                      <w:sz w:val="18"/>
                      <w:szCs w:val="22"/>
                      <w:lang w:val="en-GB"/>
                    </w:rPr>
                  </w:pPr>
                  <w:r w:rsidRPr="0025292C">
                    <w:rPr>
                      <w:sz w:val="18"/>
                      <w:szCs w:val="22"/>
                      <w:lang w:val="en-GB"/>
                    </w:rPr>
                    <w:t>1.01</w:t>
                  </w:r>
                </w:p>
              </w:tc>
              <w:tc>
                <w:tcPr>
                  <w:tcW w:w="125" w:type="pct"/>
                  <w:shd w:val="clear" w:color="000000" w:fill="FFFFFF"/>
                  <w:noWrap/>
                  <w:hideMark/>
                </w:tcPr>
                <w:p w14:paraId="085C0DF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E91945A"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41F51AAF"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730D8B2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9A15B38"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26436FBE" w14:textId="77777777" w:rsidTr="00DB32C0">
              <w:trPr>
                <w:trHeight w:val="255"/>
              </w:trPr>
              <w:tc>
                <w:tcPr>
                  <w:tcW w:w="267" w:type="pct"/>
                  <w:shd w:val="clear" w:color="000000" w:fill="FFFFFF"/>
                  <w:noWrap/>
                  <w:hideMark/>
                </w:tcPr>
                <w:p w14:paraId="1200A628" w14:textId="77777777" w:rsidR="00E45009" w:rsidRPr="0025292C" w:rsidRDefault="00E45009" w:rsidP="00E45009">
                  <w:pPr>
                    <w:pStyle w:val="NoSpacing"/>
                    <w:rPr>
                      <w:sz w:val="18"/>
                      <w:szCs w:val="22"/>
                      <w:lang w:val="en-GB"/>
                    </w:rPr>
                  </w:pPr>
                  <w:r w:rsidRPr="0025292C">
                    <w:rPr>
                      <w:sz w:val="18"/>
                      <w:szCs w:val="22"/>
                      <w:lang w:val="en-GB"/>
                    </w:rPr>
                    <w:t>33</w:t>
                  </w:r>
                </w:p>
              </w:tc>
              <w:tc>
                <w:tcPr>
                  <w:tcW w:w="2195" w:type="pct"/>
                  <w:shd w:val="clear" w:color="000000" w:fill="FFFFFF"/>
                  <w:hideMark/>
                </w:tcPr>
                <w:p w14:paraId="3DF311B1" w14:textId="77777777" w:rsidR="00E45009" w:rsidRPr="0025292C" w:rsidRDefault="00E45009" w:rsidP="00E45009">
                  <w:pPr>
                    <w:pStyle w:val="NoSpacing"/>
                    <w:rPr>
                      <w:sz w:val="18"/>
                      <w:szCs w:val="22"/>
                      <w:lang w:val="en-GB"/>
                    </w:rPr>
                  </w:pPr>
                  <w:r w:rsidRPr="0025292C">
                    <w:rPr>
                      <w:sz w:val="18"/>
                      <w:szCs w:val="22"/>
                      <w:lang w:val="en-GB"/>
                    </w:rPr>
                    <w:t>Infringements of the right to establish and join federations/confederations/international organizations</w:t>
                  </w:r>
                </w:p>
              </w:tc>
              <w:tc>
                <w:tcPr>
                  <w:tcW w:w="125" w:type="pct"/>
                  <w:shd w:val="clear" w:color="000000" w:fill="FFFFFF"/>
                  <w:hideMark/>
                </w:tcPr>
                <w:p w14:paraId="30FA7FE1"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508A6A5"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07EDBB7F" w14:textId="77777777" w:rsidR="00E45009" w:rsidRPr="0025292C" w:rsidRDefault="00E45009" w:rsidP="00E45009">
                  <w:pPr>
                    <w:pStyle w:val="NoSpacing"/>
                    <w:rPr>
                      <w:sz w:val="18"/>
                      <w:szCs w:val="22"/>
                      <w:lang w:val="en-GB"/>
                    </w:rPr>
                  </w:pPr>
                  <w:r w:rsidRPr="0025292C">
                    <w:rPr>
                      <w:sz w:val="18"/>
                      <w:szCs w:val="22"/>
                      <w:lang w:val="en-GB"/>
                    </w:rPr>
                    <w:t>0.77</w:t>
                  </w:r>
                </w:p>
              </w:tc>
              <w:tc>
                <w:tcPr>
                  <w:tcW w:w="125" w:type="pct"/>
                  <w:shd w:val="clear" w:color="000000" w:fill="FFFFFF"/>
                  <w:noWrap/>
                  <w:hideMark/>
                </w:tcPr>
                <w:p w14:paraId="463EA96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CF61CC6" w14:textId="77777777" w:rsidR="00E45009" w:rsidRPr="0025292C" w:rsidRDefault="00E45009" w:rsidP="00E45009">
                  <w:pPr>
                    <w:pStyle w:val="NoSpacing"/>
                    <w:rPr>
                      <w:sz w:val="18"/>
                      <w:szCs w:val="22"/>
                      <w:lang w:val="en-GB"/>
                    </w:rPr>
                  </w:pPr>
                  <w:r w:rsidRPr="0025292C">
                    <w:rPr>
                      <w:sz w:val="18"/>
                      <w:szCs w:val="22"/>
                      <w:lang w:val="en-GB"/>
                    </w:rPr>
                    <w:t>3.93</w:t>
                  </w:r>
                </w:p>
              </w:tc>
              <w:tc>
                <w:tcPr>
                  <w:tcW w:w="333" w:type="pct"/>
                  <w:shd w:val="clear" w:color="000000" w:fill="FFFFFF"/>
                  <w:noWrap/>
                  <w:hideMark/>
                </w:tcPr>
                <w:p w14:paraId="38BACCE5"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7153357F"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0382DD8" w14:textId="77777777" w:rsidR="00E45009" w:rsidRPr="0025292C" w:rsidRDefault="00E45009" w:rsidP="00E45009">
                  <w:pPr>
                    <w:pStyle w:val="NoSpacing"/>
                    <w:rPr>
                      <w:sz w:val="18"/>
                      <w:szCs w:val="22"/>
                      <w:lang w:val="en-GB"/>
                    </w:rPr>
                  </w:pPr>
                  <w:r w:rsidRPr="0025292C">
                    <w:rPr>
                      <w:sz w:val="18"/>
                      <w:szCs w:val="22"/>
                      <w:lang w:val="en-GB"/>
                    </w:rPr>
                    <w:t>1.73</w:t>
                  </w:r>
                </w:p>
              </w:tc>
            </w:tr>
            <w:tr w:rsidR="00E45009" w:rsidRPr="0025292C" w14:paraId="51283260" w14:textId="77777777" w:rsidTr="00DB32C0">
              <w:trPr>
                <w:trHeight w:val="255"/>
              </w:trPr>
              <w:tc>
                <w:tcPr>
                  <w:tcW w:w="267" w:type="pct"/>
                  <w:shd w:val="clear" w:color="000000" w:fill="FFFFFF"/>
                  <w:noWrap/>
                  <w:hideMark/>
                </w:tcPr>
                <w:p w14:paraId="04228F50" w14:textId="77777777" w:rsidR="00E45009" w:rsidRPr="0025292C" w:rsidRDefault="00E45009" w:rsidP="00E45009">
                  <w:pPr>
                    <w:pStyle w:val="NoSpacing"/>
                    <w:rPr>
                      <w:sz w:val="18"/>
                      <w:szCs w:val="22"/>
                      <w:lang w:val="en-GB"/>
                    </w:rPr>
                  </w:pPr>
                  <w:r w:rsidRPr="0025292C">
                    <w:rPr>
                      <w:sz w:val="18"/>
                      <w:szCs w:val="22"/>
                      <w:lang w:val="en-GB"/>
                    </w:rPr>
                    <w:t>34</w:t>
                  </w:r>
                </w:p>
              </w:tc>
              <w:tc>
                <w:tcPr>
                  <w:tcW w:w="2195" w:type="pct"/>
                  <w:shd w:val="clear" w:color="000000" w:fill="FFFFFF"/>
                  <w:hideMark/>
                </w:tcPr>
                <w:p w14:paraId="3CE0A7E2"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23-33</w:t>
                  </w:r>
                </w:p>
              </w:tc>
              <w:tc>
                <w:tcPr>
                  <w:tcW w:w="125" w:type="pct"/>
                  <w:shd w:val="clear" w:color="000000" w:fill="FFFFFF"/>
                  <w:hideMark/>
                </w:tcPr>
                <w:p w14:paraId="11956F4F"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CDBD3E3" w14:textId="77777777" w:rsidR="00E45009" w:rsidRPr="0025292C" w:rsidRDefault="00E45009" w:rsidP="00E45009">
                  <w:pPr>
                    <w:pStyle w:val="NoSpacing"/>
                    <w:rPr>
                      <w:sz w:val="18"/>
                      <w:szCs w:val="22"/>
                      <w:lang w:val="en-GB"/>
                    </w:rPr>
                  </w:pPr>
                  <w:r w:rsidRPr="0025292C">
                    <w:rPr>
                      <w:sz w:val="18"/>
                      <w:szCs w:val="22"/>
                      <w:lang w:val="en-GB"/>
                    </w:rPr>
                    <w:t>3.93</w:t>
                  </w:r>
                </w:p>
              </w:tc>
              <w:tc>
                <w:tcPr>
                  <w:tcW w:w="335" w:type="pct"/>
                  <w:shd w:val="clear" w:color="000000" w:fill="FFFFFF"/>
                  <w:noWrap/>
                  <w:hideMark/>
                </w:tcPr>
                <w:p w14:paraId="085C690F" w14:textId="77777777" w:rsidR="00E45009" w:rsidRPr="0025292C" w:rsidRDefault="00E45009" w:rsidP="00E45009">
                  <w:pPr>
                    <w:pStyle w:val="NoSpacing"/>
                    <w:rPr>
                      <w:sz w:val="18"/>
                      <w:szCs w:val="22"/>
                      <w:lang w:val="en-GB"/>
                    </w:rPr>
                  </w:pPr>
                  <w:r w:rsidRPr="0025292C">
                    <w:rPr>
                      <w:sz w:val="18"/>
                      <w:szCs w:val="22"/>
                      <w:lang w:val="en-GB"/>
                    </w:rPr>
                    <w:t>1.11</w:t>
                  </w:r>
                </w:p>
              </w:tc>
              <w:tc>
                <w:tcPr>
                  <w:tcW w:w="125" w:type="pct"/>
                  <w:shd w:val="clear" w:color="000000" w:fill="FFFFFF"/>
                  <w:noWrap/>
                  <w:hideMark/>
                </w:tcPr>
                <w:p w14:paraId="5C3723C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A63DC56" w14:textId="77777777" w:rsidR="00E45009" w:rsidRPr="0025292C" w:rsidRDefault="00E45009" w:rsidP="00E45009">
                  <w:pPr>
                    <w:pStyle w:val="NoSpacing"/>
                    <w:rPr>
                      <w:sz w:val="18"/>
                      <w:szCs w:val="22"/>
                      <w:lang w:val="en-GB"/>
                    </w:rPr>
                  </w:pPr>
                  <w:r w:rsidRPr="0025292C">
                    <w:rPr>
                      <w:sz w:val="18"/>
                      <w:szCs w:val="22"/>
                      <w:lang w:val="en-GB"/>
                    </w:rPr>
                    <w:t>4.21</w:t>
                  </w:r>
                </w:p>
              </w:tc>
              <w:tc>
                <w:tcPr>
                  <w:tcW w:w="333" w:type="pct"/>
                  <w:shd w:val="clear" w:color="000000" w:fill="FFFFFF"/>
                  <w:noWrap/>
                  <w:hideMark/>
                </w:tcPr>
                <w:p w14:paraId="7408A9AE" w14:textId="77777777" w:rsidR="00E45009" w:rsidRPr="0025292C" w:rsidRDefault="00E45009" w:rsidP="00E45009">
                  <w:pPr>
                    <w:pStyle w:val="NoSpacing"/>
                    <w:rPr>
                      <w:sz w:val="18"/>
                      <w:szCs w:val="22"/>
                      <w:lang w:val="en-GB"/>
                    </w:rPr>
                  </w:pPr>
                  <w:r w:rsidRPr="0025292C">
                    <w:rPr>
                      <w:sz w:val="18"/>
                      <w:szCs w:val="22"/>
                      <w:lang w:val="en-GB"/>
                    </w:rPr>
                    <w:t>0.58</w:t>
                  </w:r>
                </w:p>
              </w:tc>
              <w:tc>
                <w:tcPr>
                  <w:tcW w:w="125" w:type="pct"/>
                  <w:shd w:val="clear" w:color="000000" w:fill="FFFFFF"/>
                  <w:noWrap/>
                  <w:hideMark/>
                </w:tcPr>
                <w:p w14:paraId="0B625B4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7541EA3" w14:textId="77777777" w:rsidR="00E45009" w:rsidRPr="0025292C" w:rsidRDefault="00E45009" w:rsidP="00E45009">
                  <w:pPr>
                    <w:pStyle w:val="NoSpacing"/>
                    <w:rPr>
                      <w:sz w:val="18"/>
                      <w:szCs w:val="22"/>
                      <w:lang w:val="en-GB"/>
                    </w:rPr>
                  </w:pPr>
                  <w:r w:rsidRPr="0025292C">
                    <w:rPr>
                      <w:sz w:val="18"/>
                      <w:szCs w:val="22"/>
                      <w:lang w:val="en-GB"/>
                    </w:rPr>
                    <w:t>1.80</w:t>
                  </w:r>
                </w:p>
              </w:tc>
            </w:tr>
            <w:tr w:rsidR="00E45009" w:rsidRPr="0025292C" w14:paraId="4D9567F0" w14:textId="77777777" w:rsidTr="00DB32C0">
              <w:trPr>
                <w:trHeight w:val="255"/>
              </w:trPr>
              <w:tc>
                <w:tcPr>
                  <w:tcW w:w="267" w:type="pct"/>
                  <w:shd w:val="clear" w:color="000000" w:fill="FFFFFF"/>
                  <w:noWrap/>
                  <w:hideMark/>
                </w:tcPr>
                <w:p w14:paraId="0E215A94"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309CA11B" w14:textId="77777777" w:rsidR="00E45009" w:rsidRPr="0025292C" w:rsidRDefault="00E45009" w:rsidP="00E45009">
                  <w:pPr>
                    <w:pStyle w:val="NoSpacing"/>
                    <w:rPr>
                      <w:b/>
                      <w:bCs/>
                      <w:sz w:val="18"/>
                      <w:szCs w:val="22"/>
                      <w:lang w:val="en-GB"/>
                    </w:rPr>
                  </w:pPr>
                  <w:r w:rsidRPr="0025292C">
                    <w:rPr>
                      <w:b/>
                      <w:bCs/>
                      <w:sz w:val="18"/>
                      <w:szCs w:val="22"/>
                      <w:lang w:val="en-GB"/>
                    </w:rPr>
                    <w:t>IIb. Right of workers to establish and join organizations in practice</w:t>
                  </w:r>
                </w:p>
              </w:tc>
              <w:tc>
                <w:tcPr>
                  <w:tcW w:w="125" w:type="pct"/>
                  <w:shd w:val="clear" w:color="000000" w:fill="FFFFFF"/>
                  <w:hideMark/>
                </w:tcPr>
                <w:p w14:paraId="03DD4B46"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5B9D7453"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42848153"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0621994"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E7C2717"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7BF4A5F2"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38F3A3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8B908DA"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0F3CF990" w14:textId="77777777" w:rsidTr="00DB32C0">
              <w:trPr>
                <w:trHeight w:val="255"/>
              </w:trPr>
              <w:tc>
                <w:tcPr>
                  <w:tcW w:w="267" w:type="pct"/>
                  <w:shd w:val="clear" w:color="000000" w:fill="FFFFFF"/>
                  <w:noWrap/>
                  <w:hideMark/>
                </w:tcPr>
                <w:p w14:paraId="77C14CBC" w14:textId="77777777" w:rsidR="00E45009" w:rsidRPr="0025292C" w:rsidRDefault="00E45009" w:rsidP="00E45009">
                  <w:pPr>
                    <w:pStyle w:val="NoSpacing"/>
                    <w:rPr>
                      <w:sz w:val="18"/>
                      <w:szCs w:val="22"/>
                      <w:lang w:val="en-GB"/>
                    </w:rPr>
                  </w:pPr>
                  <w:r w:rsidRPr="0025292C">
                    <w:rPr>
                      <w:sz w:val="18"/>
                      <w:szCs w:val="22"/>
                      <w:lang w:val="en-GB"/>
                    </w:rPr>
                    <w:t>35</w:t>
                  </w:r>
                </w:p>
              </w:tc>
              <w:tc>
                <w:tcPr>
                  <w:tcW w:w="2195" w:type="pct"/>
                  <w:shd w:val="clear" w:color="000000" w:fill="FFFFFF"/>
                  <w:hideMark/>
                </w:tcPr>
                <w:p w14:paraId="4DA9AD60" w14:textId="77777777" w:rsidR="00E45009" w:rsidRPr="0025292C" w:rsidRDefault="00E45009" w:rsidP="00E45009">
                  <w:pPr>
                    <w:pStyle w:val="NoSpacing"/>
                    <w:rPr>
                      <w:sz w:val="18"/>
                      <w:szCs w:val="22"/>
                      <w:lang w:val="en-GB"/>
                    </w:rPr>
                  </w:pPr>
                  <w:r w:rsidRPr="0025292C">
                    <w:rPr>
                      <w:sz w:val="18"/>
                      <w:szCs w:val="22"/>
                      <w:lang w:val="en-GB"/>
                    </w:rPr>
                    <w:t>General prohibition of the development of independent workers' organizations</w:t>
                  </w:r>
                </w:p>
              </w:tc>
              <w:tc>
                <w:tcPr>
                  <w:tcW w:w="125" w:type="pct"/>
                  <w:shd w:val="clear" w:color="000000" w:fill="FFFFFF"/>
                  <w:hideMark/>
                </w:tcPr>
                <w:p w14:paraId="016D1711"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11A9CD3" w14:textId="77777777" w:rsidR="00E45009" w:rsidRPr="0025292C" w:rsidRDefault="00E45009" w:rsidP="00E45009">
                  <w:pPr>
                    <w:pStyle w:val="NoSpacing"/>
                    <w:rPr>
                      <w:sz w:val="18"/>
                      <w:szCs w:val="22"/>
                      <w:lang w:val="en-GB"/>
                    </w:rPr>
                  </w:pPr>
                  <w:r w:rsidRPr="0025292C">
                    <w:rPr>
                      <w:sz w:val="18"/>
                      <w:szCs w:val="22"/>
                      <w:lang w:val="en-GB"/>
                    </w:rPr>
                    <w:t>4.54</w:t>
                  </w:r>
                </w:p>
              </w:tc>
              <w:tc>
                <w:tcPr>
                  <w:tcW w:w="335" w:type="pct"/>
                  <w:shd w:val="clear" w:color="000000" w:fill="FFFFFF"/>
                  <w:noWrap/>
                  <w:hideMark/>
                </w:tcPr>
                <w:p w14:paraId="04FF2698"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4B784F4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1869AF4" w14:textId="77777777" w:rsidR="00E45009" w:rsidRPr="0025292C" w:rsidRDefault="00E45009" w:rsidP="00E45009">
                  <w:pPr>
                    <w:pStyle w:val="NoSpacing"/>
                    <w:rPr>
                      <w:sz w:val="18"/>
                      <w:szCs w:val="22"/>
                      <w:lang w:val="en-GB"/>
                    </w:rPr>
                  </w:pPr>
                  <w:r w:rsidRPr="0025292C">
                    <w:rPr>
                      <w:sz w:val="18"/>
                      <w:szCs w:val="22"/>
                      <w:lang w:val="en-GB"/>
                    </w:rPr>
                    <w:t>4.71</w:t>
                  </w:r>
                </w:p>
              </w:tc>
              <w:tc>
                <w:tcPr>
                  <w:tcW w:w="333" w:type="pct"/>
                  <w:shd w:val="clear" w:color="000000" w:fill="FFFFFF"/>
                  <w:noWrap/>
                  <w:hideMark/>
                </w:tcPr>
                <w:p w14:paraId="03F37104"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2D4348EC"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9514E7E" w14:textId="77777777" w:rsidR="00E45009" w:rsidRPr="0025292C" w:rsidRDefault="00E45009" w:rsidP="00E45009">
                  <w:pPr>
                    <w:pStyle w:val="NoSpacing"/>
                    <w:rPr>
                      <w:sz w:val="18"/>
                      <w:szCs w:val="22"/>
                      <w:lang w:val="en-GB"/>
                    </w:rPr>
                  </w:pPr>
                  <w:r w:rsidRPr="0025292C">
                    <w:rPr>
                      <w:sz w:val="18"/>
                      <w:szCs w:val="22"/>
                      <w:lang w:val="en-GB"/>
                    </w:rPr>
                    <w:t>1.93</w:t>
                  </w:r>
                </w:p>
              </w:tc>
            </w:tr>
            <w:tr w:rsidR="00E45009" w:rsidRPr="0025292C" w14:paraId="45D9FF33" w14:textId="77777777" w:rsidTr="00DB32C0">
              <w:trPr>
                <w:trHeight w:val="255"/>
              </w:trPr>
              <w:tc>
                <w:tcPr>
                  <w:tcW w:w="267" w:type="pct"/>
                  <w:shd w:val="clear" w:color="000000" w:fill="FFFFFF"/>
                  <w:noWrap/>
                  <w:hideMark/>
                </w:tcPr>
                <w:p w14:paraId="313ECF39" w14:textId="77777777" w:rsidR="00E45009" w:rsidRPr="0025292C" w:rsidRDefault="00E45009" w:rsidP="00E45009">
                  <w:pPr>
                    <w:pStyle w:val="NoSpacing"/>
                    <w:rPr>
                      <w:sz w:val="18"/>
                      <w:szCs w:val="22"/>
                      <w:lang w:val="en-GB"/>
                    </w:rPr>
                  </w:pPr>
                  <w:r w:rsidRPr="0025292C">
                    <w:rPr>
                      <w:sz w:val="18"/>
                      <w:szCs w:val="22"/>
                      <w:lang w:val="en-GB"/>
                    </w:rPr>
                    <w:t>36</w:t>
                  </w:r>
                </w:p>
              </w:tc>
              <w:tc>
                <w:tcPr>
                  <w:tcW w:w="2195" w:type="pct"/>
                  <w:shd w:val="clear" w:color="000000" w:fill="FFFFFF"/>
                  <w:hideMark/>
                </w:tcPr>
                <w:p w14:paraId="51A0833D" w14:textId="77777777" w:rsidR="00E45009" w:rsidRPr="0025292C" w:rsidRDefault="00E45009" w:rsidP="00E45009">
                  <w:pPr>
                    <w:pStyle w:val="NoSpacing"/>
                    <w:rPr>
                      <w:sz w:val="18"/>
                      <w:szCs w:val="22"/>
                      <w:lang w:val="en-GB"/>
                    </w:rPr>
                  </w:pPr>
                  <w:r w:rsidRPr="0025292C">
                    <w:rPr>
                      <w:sz w:val="18"/>
                      <w:szCs w:val="22"/>
                      <w:lang w:val="en-GB"/>
                    </w:rPr>
                    <w:t>Exclusion of workers from the right to establish and join organizations</w:t>
                  </w:r>
                </w:p>
              </w:tc>
              <w:tc>
                <w:tcPr>
                  <w:tcW w:w="125" w:type="pct"/>
                  <w:shd w:val="clear" w:color="000000" w:fill="FFFFFF"/>
                  <w:hideMark/>
                </w:tcPr>
                <w:p w14:paraId="15D7AA9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0DB7CD6E" w14:textId="77777777" w:rsidR="00E45009" w:rsidRPr="0025292C" w:rsidRDefault="00E45009" w:rsidP="00E45009">
                  <w:pPr>
                    <w:pStyle w:val="NoSpacing"/>
                    <w:rPr>
                      <w:sz w:val="18"/>
                      <w:szCs w:val="22"/>
                      <w:lang w:val="en-GB"/>
                    </w:rPr>
                  </w:pPr>
                  <w:r w:rsidRPr="0025292C">
                    <w:rPr>
                      <w:sz w:val="18"/>
                      <w:szCs w:val="22"/>
                      <w:lang w:val="en-GB"/>
                    </w:rPr>
                    <w:t>4.39</w:t>
                  </w:r>
                </w:p>
              </w:tc>
              <w:tc>
                <w:tcPr>
                  <w:tcW w:w="335" w:type="pct"/>
                  <w:shd w:val="clear" w:color="000000" w:fill="FFFFFF"/>
                  <w:noWrap/>
                  <w:hideMark/>
                </w:tcPr>
                <w:p w14:paraId="5F50AA62" w14:textId="77777777" w:rsidR="00E45009" w:rsidRPr="0025292C" w:rsidRDefault="00E45009" w:rsidP="00E45009">
                  <w:pPr>
                    <w:pStyle w:val="NoSpacing"/>
                    <w:rPr>
                      <w:sz w:val="18"/>
                      <w:szCs w:val="22"/>
                      <w:lang w:val="en-GB"/>
                    </w:rPr>
                  </w:pPr>
                  <w:r w:rsidRPr="0025292C">
                    <w:rPr>
                      <w:sz w:val="18"/>
                      <w:szCs w:val="22"/>
                      <w:lang w:val="en-GB"/>
                    </w:rPr>
                    <w:t>0.51</w:t>
                  </w:r>
                </w:p>
              </w:tc>
              <w:tc>
                <w:tcPr>
                  <w:tcW w:w="125" w:type="pct"/>
                  <w:shd w:val="clear" w:color="000000" w:fill="FFFFFF"/>
                  <w:noWrap/>
                  <w:hideMark/>
                </w:tcPr>
                <w:p w14:paraId="34A55EF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73A3DF8" w14:textId="77777777" w:rsidR="00E45009" w:rsidRPr="0025292C" w:rsidRDefault="00E45009" w:rsidP="00E45009">
                  <w:pPr>
                    <w:pStyle w:val="NoSpacing"/>
                    <w:rPr>
                      <w:sz w:val="18"/>
                      <w:szCs w:val="22"/>
                      <w:lang w:val="en-GB"/>
                    </w:rPr>
                  </w:pPr>
                  <w:r w:rsidRPr="0025292C">
                    <w:rPr>
                      <w:sz w:val="18"/>
                      <w:szCs w:val="22"/>
                      <w:lang w:val="en-GB"/>
                    </w:rPr>
                    <w:t>4.43</w:t>
                  </w:r>
                </w:p>
              </w:tc>
              <w:tc>
                <w:tcPr>
                  <w:tcW w:w="333" w:type="pct"/>
                  <w:shd w:val="clear" w:color="000000" w:fill="FFFFFF"/>
                  <w:noWrap/>
                  <w:hideMark/>
                </w:tcPr>
                <w:p w14:paraId="20682B10" w14:textId="77777777" w:rsidR="00E45009" w:rsidRPr="0025292C" w:rsidRDefault="00E45009" w:rsidP="00E45009">
                  <w:pPr>
                    <w:pStyle w:val="NoSpacing"/>
                    <w:rPr>
                      <w:sz w:val="18"/>
                      <w:szCs w:val="22"/>
                      <w:lang w:val="en-GB"/>
                    </w:rPr>
                  </w:pPr>
                  <w:r w:rsidRPr="0025292C">
                    <w:rPr>
                      <w:sz w:val="18"/>
                      <w:szCs w:val="22"/>
                      <w:lang w:val="en-GB"/>
                    </w:rPr>
                    <w:t>0.51</w:t>
                  </w:r>
                </w:p>
              </w:tc>
              <w:tc>
                <w:tcPr>
                  <w:tcW w:w="125" w:type="pct"/>
                  <w:shd w:val="clear" w:color="000000" w:fill="FFFFFF"/>
                  <w:noWrap/>
                  <w:hideMark/>
                </w:tcPr>
                <w:p w14:paraId="5748C1BA"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D3CF043" w14:textId="77777777" w:rsidR="00E45009" w:rsidRPr="0025292C" w:rsidRDefault="00E45009" w:rsidP="00E45009">
                  <w:pPr>
                    <w:pStyle w:val="NoSpacing"/>
                    <w:rPr>
                      <w:sz w:val="18"/>
                      <w:szCs w:val="22"/>
                      <w:lang w:val="en-GB"/>
                    </w:rPr>
                  </w:pPr>
                  <w:r w:rsidRPr="0025292C">
                    <w:rPr>
                      <w:sz w:val="18"/>
                      <w:szCs w:val="22"/>
                      <w:lang w:val="en-GB"/>
                    </w:rPr>
                    <w:t>1.86</w:t>
                  </w:r>
                </w:p>
              </w:tc>
            </w:tr>
            <w:tr w:rsidR="00E45009" w:rsidRPr="0025292C" w14:paraId="6FE15729" w14:textId="77777777" w:rsidTr="00DB32C0">
              <w:trPr>
                <w:trHeight w:val="255"/>
              </w:trPr>
              <w:tc>
                <w:tcPr>
                  <w:tcW w:w="267" w:type="pct"/>
                  <w:shd w:val="clear" w:color="000000" w:fill="FFFFFF"/>
                  <w:noWrap/>
                  <w:hideMark/>
                </w:tcPr>
                <w:p w14:paraId="57201E98" w14:textId="77777777" w:rsidR="00E45009" w:rsidRPr="0025292C" w:rsidRDefault="00E45009" w:rsidP="00E45009">
                  <w:pPr>
                    <w:pStyle w:val="NoSpacing"/>
                    <w:rPr>
                      <w:sz w:val="18"/>
                      <w:szCs w:val="22"/>
                      <w:lang w:val="en-GB"/>
                    </w:rPr>
                  </w:pPr>
                  <w:r w:rsidRPr="0025292C">
                    <w:rPr>
                      <w:sz w:val="18"/>
                      <w:szCs w:val="22"/>
                      <w:lang w:val="en-GB"/>
                    </w:rPr>
                    <w:t>37</w:t>
                  </w:r>
                </w:p>
              </w:tc>
              <w:tc>
                <w:tcPr>
                  <w:tcW w:w="2195" w:type="pct"/>
                  <w:shd w:val="clear" w:color="000000" w:fill="FFFFFF"/>
                  <w:hideMark/>
                </w:tcPr>
                <w:p w14:paraId="0642899C" w14:textId="77777777" w:rsidR="00E45009" w:rsidRPr="0025292C" w:rsidRDefault="00E45009" w:rsidP="00E45009">
                  <w:pPr>
                    <w:pStyle w:val="NoSpacing"/>
                    <w:rPr>
                      <w:sz w:val="18"/>
                      <w:szCs w:val="22"/>
                      <w:lang w:val="en-GB"/>
                    </w:rPr>
                  </w:pPr>
                  <w:r w:rsidRPr="0025292C">
                    <w:rPr>
                      <w:sz w:val="18"/>
                      <w:szCs w:val="22"/>
                      <w:lang w:val="en-GB"/>
                    </w:rPr>
                    <w:t>Previous authorization requirements</w:t>
                  </w:r>
                </w:p>
              </w:tc>
              <w:tc>
                <w:tcPr>
                  <w:tcW w:w="125" w:type="pct"/>
                  <w:shd w:val="clear" w:color="000000" w:fill="FFFFFF"/>
                  <w:hideMark/>
                </w:tcPr>
                <w:p w14:paraId="41A5D7B9"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251BAF0" w14:textId="77777777" w:rsidR="00E45009" w:rsidRPr="0025292C" w:rsidRDefault="00E45009" w:rsidP="00E45009">
                  <w:pPr>
                    <w:pStyle w:val="NoSpacing"/>
                    <w:rPr>
                      <w:sz w:val="18"/>
                      <w:szCs w:val="22"/>
                      <w:lang w:val="en-GB"/>
                    </w:rPr>
                  </w:pPr>
                  <w:r w:rsidRPr="0025292C">
                    <w:rPr>
                      <w:sz w:val="18"/>
                      <w:szCs w:val="22"/>
                      <w:lang w:val="en-GB"/>
                    </w:rPr>
                    <w:t>3.77</w:t>
                  </w:r>
                </w:p>
              </w:tc>
              <w:tc>
                <w:tcPr>
                  <w:tcW w:w="335" w:type="pct"/>
                  <w:shd w:val="clear" w:color="000000" w:fill="FFFFFF"/>
                  <w:noWrap/>
                  <w:hideMark/>
                </w:tcPr>
                <w:p w14:paraId="647D3DC9"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33B8357E"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CE8E4B6"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4D9AEDF6"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4BA7DA0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163E1FD"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36CF71B5" w14:textId="77777777" w:rsidTr="00DB32C0">
              <w:trPr>
                <w:trHeight w:val="255"/>
              </w:trPr>
              <w:tc>
                <w:tcPr>
                  <w:tcW w:w="267" w:type="pct"/>
                  <w:shd w:val="clear" w:color="000000" w:fill="FFFFFF"/>
                  <w:noWrap/>
                  <w:hideMark/>
                </w:tcPr>
                <w:p w14:paraId="32D9BF33" w14:textId="77777777" w:rsidR="00E45009" w:rsidRPr="0025292C" w:rsidRDefault="00E45009" w:rsidP="00E45009">
                  <w:pPr>
                    <w:pStyle w:val="NoSpacing"/>
                    <w:rPr>
                      <w:sz w:val="18"/>
                      <w:szCs w:val="22"/>
                      <w:lang w:val="en-GB"/>
                    </w:rPr>
                  </w:pPr>
                  <w:r w:rsidRPr="0025292C">
                    <w:rPr>
                      <w:sz w:val="18"/>
                      <w:szCs w:val="22"/>
                      <w:lang w:val="en-GB"/>
                    </w:rPr>
                    <w:t>38</w:t>
                  </w:r>
                </w:p>
              </w:tc>
              <w:tc>
                <w:tcPr>
                  <w:tcW w:w="2195" w:type="pct"/>
                  <w:shd w:val="clear" w:color="000000" w:fill="FFFFFF"/>
                  <w:hideMark/>
                </w:tcPr>
                <w:p w14:paraId="6688DDEB" w14:textId="77777777" w:rsidR="00E45009" w:rsidRPr="0025292C" w:rsidRDefault="00E45009" w:rsidP="00E45009">
                  <w:pPr>
                    <w:pStyle w:val="NoSpacing"/>
                    <w:rPr>
                      <w:sz w:val="18"/>
                      <w:szCs w:val="22"/>
                      <w:lang w:val="en-GB"/>
                    </w:rPr>
                  </w:pPr>
                  <w:r w:rsidRPr="0025292C">
                    <w:rPr>
                      <w:sz w:val="18"/>
                      <w:szCs w:val="22"/>
                      <w:lang w:val="en-GB"/>
                    </w:rPr>
                    <w:t>Restrictions on the freedom of choice of trade union structure and composition</w:t>
                  </w:r>
                </w:p>
              </w:tc>
              <w:tc>
                <w:tcPr>
                  <w:tcW w:w="125" w:type="pct"/>
                  <w:shd w:val="clear" w:color="000000" w:fill="FFFFFF"/>
                  <w:hideMark/>
                </w:tcPr>
                <w:p w14:paraId="2BB66AC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02ADEB6" w14:textId="77777777" w:rsidR="00E45009" w:rsidRPr="0025292C" w:rsidRDefault="00E45009" w:rsidP="00E45009">
                  <w:pPr>
                    <w:pStyle w:val="NoSpacing"/>
                    <w:rPr>
                      <w:sz w:val="18"/>
                      <w:szCs w:val="22"/>
                      <w:lang w:val="en-GB"/>
                    </w:rPr>
                  </w:pPr>
                  <w:r w:rsidRPr="0025292C">
                    <w:rPr>
                      <w:sz w:val="18"/>
                      <w:szCs w:val="22"/>
                      <w:lang w:val="en-GB"/>
                    </w:rPr>
                    <w:t>3.62</w:t>
                  </w:r>
                </w:p>
              </w:tc>
              <w:tc>
                <w:tcPr>
                  <w:tcW w:w="335" w:type="pct"/>
                  <w:shd w:val="clear" w:color="000000" w:fill="FFFFFF"/>
                  <w:noWrap/>
                  <w:hideMark/>
                </w:tcPr>
                <w:p w14:paraId="57AEA91C" w14:textId="77777777" w:rsidR="00E45009" w:rsidRPr="0025292C" w:rsidRDefault="00E45009" w:rsidP="00E45009">
                  <w:pPr>
                    <w:pStyle w:val="NoSpacing"/>
                    <w:rPr>
                      <w:sz w:val="18"/>
                      <w:szCs w:val="22"/>
                      <w:lang w:val="en-GB"/>
                    </w:rPr>
                  </w:pPr>
                  <w:r w:rsidRPr="0025292C">
                    <w:rPr>
                      <w:sz w:val="18"/>
                      <w:szCs w:val="22"/>
                      <w:lang w:val="en-GB"/>
                    </w:rPr>
                    <w:t>0.74</w:t>
                  </w:r>
                </w:p>
              </w:tc>
              <w:tc>
                <w:tcPr>
                  <w:tcW w:w="125" w:type="pct"/>
                  <w:shd w:val="clear" w:color="000000" w:fill="FFFFFF"/>
                  <w:noWrap/>
                  <w:hideMark/>
                </w:tcPr>
                <w:p w14:paraId="629A6B77"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9199B55"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4668E352" w14:textId="77777777" w:rsidR="00E45009" w:rsidRPr="0025292C" w:rsidRDefault="00E45009" w:rsidP="00E45009">
                  <w:pPr>
                    <w:pStyle w:val="NoSpacing"/>
                    <w:rPr>
                      <w:sz w:val="18"/>
                      <w:szCs w:val="22"/>
                      <w:lang w:val="en-GB"/>
                    </w:rPr>
                  </w:pPr>
                  <w:r w:rsidRPr="0025292C">
                    <w:rPr>
                      <w:sz w:val="18"/>
                      <w:szCs w:val="22"/>
                      <w:lang w:val="en-GB"/>
                    </w:rPr>
                    <w:t>0.58</w:t>
                  </w:r>
                </w:p>
              </w:tc>
              <w:tc>
                <w:tcPr>
                  <w:tcW w:w="125" w:type="pct"/>
                  <w:shd w:val="clear" w:color="000000" w:fill="FFFFFF"/>
                  <w:noWrap/>
                  <w:hideMark/>
                </w:tcPr>
                <w:p w14:paraId="40E599A7"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34485D7"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5760AD24" w14:textId="77777777" w:rsidTr="00DB32C0">
              <w:trPr>
                <w:trHeight w:val="255"/>
              </w:trPr>
              <w:tc>
                <w:tcPr>
                  <w:tcW w:w="267" w:type="pct"/>
                  <w:shd w:val="clear" w:color="000000" w:fill="FFFFFF"/>
                  <w:noWrap/>
                  <w:hideMark/>
                </w:tcPr>
                <w:p w14:paraId="4F49F61C" w14:textId="77777777" w:rsidR="00E45009" w:rsidRPr="0025292C" w:rsidRDefault="00E45009" w:rsidP="00E45009">
                  <w:pPr>
                    <w:pStyle w:val="NoSpacing"/>
                    <w:rPr>
                      <w:sz w:val="18"/>
                      <w:szCs w:val="22"/>
                      <w:lang w:val="en-GB"/>
                    </w:rPr>
                  </w:pPr>
                  <w:r w:rsidRPr="0025292C">
                    <w:rPr>
                      <w:sz w:val="18"/>
                      <w:szCs w:val="22"/>
                      <w:lang w:val="en-GB"/>
                    </w:rPr>
                    <w:t>39</w:t>
                  </w:r>
                </w:p>
              </w:tc>
              <w:tc>
                <w:tcPr>
                  <w:tcW w:w="2195" w:type="pct"/>
                  <w:shd w:val="clear" w:color="000000" w:fill="FFFFFF"/>
                  <w:hideMark/>
                </w:tcPr>
                <w:p w14:paraId="63736357" w14:textId="77777777" w:rsidR="00E45009" w:rsidRPr="0025292C" w:rsidRDefault="00E45009" w:rsidP="00E45009">
                  <w:pPr>
                    <w:pStyle w:val="NoSpacing"/>
                    <w:rPr>
                      <w:sz w:val="18"/>
                      <w:szCs w:val="22"/>
                      <w:lang w:val="en-GB"/>
                    </w:rPr>
                  </w:pPr>
                  <w:r w:rsidRPr="0025292C">
                    <w:rPr>
                      <w:sz w:val="18"/>
                      <w:szCs w:val="22"/>
                      <w:lang w:val="en-GB"/>
                    </w:rPr>
                    <w:t>Imposed trade union unity</w:t>
                  </w:r>
                </w:p>
              </w:tc>
              <w:tc>
                <w:tcPr>
                  <w:tcW w:w="125" w:type="pct"/>
                  <w:shd w:val="clear" w:color="000000" w:fill="FFFFFF"/>
                  <w:hideMark/>
                </w:tcPr>
                <w:p w14:paraId="5CB6F24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1792FF5" w14:textId="77777777" w:rsidR="00E45009" w:rsidRPr="0025292C" w:rsidRDefault="00E45009" w:rsidP="00E45009">
                  <w:pPr>
                    <w:pStyle w:val="NoSpacing"/>
                    <w:rPr>
                      <w:sz w:val="18"/>
                      <w:szCs w:val="22"/>
                      <w:lang w:val="en-GB"/>
                    </w:rPr>
                  </w:pPr>
                  <w:r w:rsidRPr="0025292C">
                    <w:rPr>
                      <w:sz w:val="18"/>
                      <w:szCs w:val="22"/>
                      <w:lang w:val="en-GB"/>
                    </w:rPr>
                    <w:t>3.91</w:t>
                  </w:r>
                </w:p>
              </w:tc>
              <w:tc>
                <w:tcPr>
                  <w:tcW w:w="335" w:type="pct"/>
                  <w:shd w:val="clear" w:color="000000" w:fill="FFFFFF"/>
                  <w:noWrap/>
                  <w:hideMark/>
                </w:tcPr>
                <w:p w14:paraId="5131C39D" w14:textId="77777777" w:rsidR="00E45009" w:rsidRPr="0025292C" w:rsidRDefault="00E45009" w:rsidP="00E45009">
                  <w:pPr>
                    <w:pStyle w:val="NoSpacing"/>
                    <w:rPr>
                      <w:sz w:val="18"/>
                      <w:szCs w:val="22"/>
                      <w:lang w:val="en-GB"/>
                    </w:rPr>
                  </w:pPr>
                  <w:r w:rsidRPr="0025292C">
                    <w:rPr>
                      <w:sz w:val="18"/>
                      <w:szCs w:val="22"/>
                      <w:lang w:val="en-GB"/>
                    </w:rPr>
                    <w:t>0.80</w:t>
                  </w:r>
                </w:p>
              </w:tc>
              <w:tc>
                <w:tcPr>
                  <w:tcW w:w="125" w:type="pct"/>
                  <w:shd w:val="clear" w:color="000000" w:fill="FFFFFF"/>
                  <w:noWrap/>
                  <w:hideMark/>
                </w:tcPr>
                <w:p w14:paraId="7D2A3061"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68EEAFA"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43D96ED5"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077DBE7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DFFBF73"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48378A1D" w14:textId="77777777" w:rsidTr="00DB32C0">
              <w:trPr>
                <w:trHeight w:val="255"/>
              </w:trPr>
              <w:tc>
                <w:tcPr>
                  <w:tcW w:w="267" w:type="pct"/>
                  <w:shd w:val="clear" w:color="000000" w:fill="FFFFFF"/>
                  <w:noWrap/>
                  <w:hideMark/>
                </w:tcPr>
                <w:p w14:paraId="32DF1C6A" w14:textId="77777777" w:rsidR="00E45009" w:rsidRPr="0025292C" w:rsidRDefault="00E45009" w:rsidP="00E45009">
                  <w:pPr>
                    <w:pStyle w:val="NoSpacing"/>
                    <w:rPr>
                      <w:sz w:val="18"/>
                      <w:szCs w:val="22"/>
                      <w:lang w:val="en-GB"/>
                    </w:rPr>
                  </w:pPr>
                  <w:r w:rsidRPr="0025292C">
                    <w:rPr>
                      <w:sz w:val="18"/>
                      <w:szCs w:val="22"/>
                      <w:lang w:val="en-GB"/>
                    </w:rPr>
                    <w:t>40</w:t>
                  </w:r>
                </w:p>
              </w:tc>
              <w:tc>
                <w:tcPr>
                  <w:tcW w:w="2195" w:type="pct"/>
                  <w:shd w:val="clear" w:color="000000" w:fill="FFFFFF"/>
                  <w:hideMark/>
                </w:tcPr>
                <w:p w14:paraId="3451DC49" w14:textId="77777777" w:rsidR="00E45009" w:rsidRPr="0025292C" w:rsidRDefault="00E45009" w:rsidP="00E45009">
                  <w:pPr>
                    <w:pStyle w:val="NoSpacing"/>
                    <w:rPr>
                      <w:sz w:val="18"/>
                      <w:szCs w:val="22"/>
                      <w:lang w:val="en-GB"/>
                    </w:rPr>
                  </w:pPr>
                  <w:r w:rsidRPr="0025292C">
                    <w:rPr>
                      <w:sz w:val="18"/>
                      <w:szCs w:val="22"/>
                      <w:lang w:val="en-GB"/>
                    </w:rPr>
                    <w:t>Dissolution/suspension of legally functioning organizations</w:t>
                  </w:r>
                </w:p>
              </w:tc>
              <w:tc>
                <w:tcPr>
                  <w:tcW w:w="125" w:type="pct"/>
                  <w:shd w:val="clear" w:color="000000" w:fill="FFFFFF"/>
                  <w:hideMark/>
                </w:tcPr>
                <w:p w14:paraId="437CA4D3"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FCC175C" w14:textId="77777777" w:rsidR="00E45009" w:rsidRPr="0025292C" w:rsidRDefault="00E45009" w:rsidP="00E45009">
                  <w:pPr>
                    <w:pStyle w:val="NoSpacing"/>
                    <w:rPr>
                      <w:sz w:val="18"/>
                      <w:szCs w:val="22"/>
                      <w:lang w:val="en-GB"/>
                    </w:rPr>
                  </w:pPr>
                  <w:r w:rsidRPr="0025292C">
                    <w:rPr>
                      <w:sz w:val="18"/>
                      <w:szCs w:val="22"/>
                      <w:lang w:val="en-GB"/>
                    </w:rPr>
                    <w:t>4.58</w:t>
                  </w:r>
                </w:p>
              </w:tc>
              <w:tc>
                <w:tcPr>
                  <w:tcW w:w="335" w:type="pct"/>
                  <w:shd w:val="clear" w:color="000000" w:fill="FFFFFF"/>
                  <w:noWrap/>
                  <w:hideMark/>
                </w:tcPr>
                <w:p w14:paraId="73A8DCB1" w14:textId="77777777" w:rsidR="00E45009" w:rsidRPr="0025292C" w:rsidRDefault="00E45009" w:rsidP="00E45009">
                  <w:pPr>
                    <w:pStyle w:val="NoSpacing"/>
                    <w:rPr>
                      <w:sz w:val="18"/>
                      <w:szCs w:val="22"/>
                      <w:lang w:val="en-GB"/>
                    </w:rPr>
                  </w:pPr>
                  <w:r w:rsidRPr="0025292C">
                    <w:rPr>
                      <w:sz w:val="18"/>
                      <w:szCs w:val="22"/>
                      <w:lang w:val="en-GB"/>
                    </w:rPr>
                    <w:t>0.52</w:t>
                  </w:r>
                </w:p>
              </w:tc>
              <w:tc>
                <w:tcPr>
                  <w:tcW w:w="125" w:type="pct"/>
                  <w:shd w:val="clear" w:color="000000" w:fill="FFFFFF"/>
                  <w:noWrap/>
                  <w:hideMark/>
                </w:tcPr>
                <w:p w14:paraId="30275BF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0FF579C" w14:textId="77777777" w:rsidR="00E45009" w:rsidRPr="0025292C" w:rsidRDefault="00E45009" w:rsidP="00E45009">
                  <w:pPr>
                    <w:pStyle w:val="NoSpacing"/>
                    <w:rPr>
                      <w:sz w:val="18"/>
                      <w:szCs w:val="22"/>
                      <w:lang w:val="en-GB"/>
                    </w:rPr>
                  </w:pPr>
                  <w:r w:rsidRPr="0025292C">
                    <w:rPr>
                      <w:sz w:val="18"/>
                      <w:szCs w:val="22"/>
                      <w:lang w:val="en-GB"/>
                    </w:rPr>
                    <w:t>4.79</w:t>
                  </w:r>
                </w:p>
              </w:tc>
              <w:tc>
                <w:tcPr>
                  <w:tcW w:w="333" w:type="pct"/>
                  <w:shd w:val="clear" w:color="000000" w:fill="FFFFFF"/>
                  <w:noWrap/>
                  <w:hideMark/>
                </w:tcPr>
                <w:p w14:paraId="0ED0EFD0"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008CC706"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3BBD718" w14:textId="77777777" w:rsidR="00E45009" w:rsidRPr="0025292C" w:rsidRDefault="00E45009" w:rsidP="00E45009">
                  <w:pPr>
                    <w:pStyle w:val="NoSpacing"/>
                    <w:rPr>
                      <w:sz w:val="18"/>
                      <w:szCs w:val="22"/>
                      <w:lang w:val="en-GB"/>
                    </w:rPr>
                  </w:pPr>
                  <w:r w:rsidRPr="0025292C">
                    <w:rPr>
                      <w:sz w:val="18"/>
                      <w:szCs w:val="22"/>
                      <w:lang w:val="en-GB"/>
                    </w:rPr>
                    <w:t>1.95</w:t>
                  </w:r>
                </w:p>
              </w:tc>
            </w:tr>
            <w:tr w:rsidR="00E45009" w:rsidRPr="0025292C" w14:paraId="7D24D1A0" w14:textId="77777777" w:rsidTr="00DB32C0">
              <w:trPr>
                <w:trHeight w:val="510"/>
              </w:trPr>
              <w:tc>
                <w:tcPr>
                  <w:tcW w:w="267" w:type="pct"/>
                  <w:shd w:val="clear" w:color="000000" w:fill="FFFFFF"/>
                  <w:noWrap/>
                  <w:hideMark/>
                </w:tcPr>
                <w:p w14:paraId="15BA4A13" w14:textId="77777777" w:rsidR="00E45009" w:rsidRPr="0025292C" w:rsidRDefault="00E45009" w:rsidP="00E45009">
                  <w:pPr>
                    <w:pStyle w:val="NoSpacing"/>
                    <w:rPr>
                      <w:sz w:val="18"/>
                      <w:szCs w:val="22"/>
                      <w:lang w:val="en-GB"/>
                    </w:rPr>
                  </w:pPr>
                  <w:r w:rsidRPr="0025292C">
                    <w:rPr>
                      <w:sz w:val="18"/>
                      <w:szCs w:val="22"/>
                      <w:lang w:val="en-GB"/>
                    </w:rPr>
                    <w:t>41</w:t>
                  </w:r>
                </w:p>
              </w:tc>
              <w:tc>
                <w:tcPr>
                  <w:tcW w:w="2195" w:type="pct"/>
                  <w:shd w:val="clear" w:color="000000" w:fill="FFFFFF"/>
                  <w:hideMark/>
                </w:tcPr>
                <w:p w14:paraId="26B87A4B" w14:textId="77777777" w:rsidR="00E45009" w:rsidRPr="0025292C" w:rsidRDefault="00E45009" w:rsidP="00E45009">
                  <w:pPr>
                    <w:pStyle w:val="NoSpacing"/>
                    <w:rPr>
                      <w:sz w:val="18"/>
                      <w:szCs w:val="22"/>
                      <w:lang w:val="en-GB"/>
                    </w:rPr>
                  </w:pPr>
                  <w:r w:rsidRPr="0025292C">
                    <w:rPr>
                      <w:sz w:val="18"/>
                      <w:szCs w:val="22"/>
                      <w:lang w:val="en-GB"/>
                    </w:rPr>
                    <w:t>Anti-union discriminatory measures in relation to hiring, during employment (e.g. transfers and downgrading) and dismissal</w:t>
                  </w:r>
                </w:p>
              </w:tc>
              <w:tc>
                <w:tcPr>
                  <w:tcW w:w="125" w:type="pct"/>
                  <w:shd w:val="clear" w:color="000000" w:fill="FFFFFF"/>
                  <w:hideMark/>
                </w:tcPr>
                <w:p w14:paraId="0E385C5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33B98A7" w14:textId="77777777" w:rsidR="00E45009" w:rsidRPr="0025292C" w:rsidRDefault="00E45009" w:rsidP="00E45009">
                  <w:pPr>
                    <w:pStyle w:val="NoSpacing"/>
                    <w:rPr>
                      <w:sz w:val="18"/>
                      <w:szCs w:val="22"/>
                      <w:lang w:val="en-GB"/>
                    </w:rPr>
                  </w:pPr>
                  <w:r w:rsidRPr="0025292C">
                    <w:rPr>
                      <w:sz w:val="18"/>
                      <w:szCs w:val="22"/>
                      <w:lang w:val="en-GB"/>
                    </w:rPr>
                    <w:t>4.23</w:t>
                  </w:r>
                </w:p>
              </w:tc>
              <w:tc>
                <w:tcPr>
                  <w:tcW w:w="335" w:type="pct"/>
                  <w:shd w:val="clear" w:color="000000" w:fill="FFFFFF"/>
                  <w:noWrap/>
                  <w:hideMark/>
                </w:tcPr>
                <w:p w14:paraId="405BFBBC" w14:textId="77777777" w:rsidR="00E45009" w:rsidRPr="0025292C" w:rsidRDefault="00E45009" w:rsidP="00E45009">
                  <w:pPr>
                    <w:pStyle w:val="NoSpacing"/>
                    <w:rPr>
                      <w:sz w:val="18"/>
                      <w:szCs w:val="22"/>
                      <w:lang w:val="en-GB"/>
                    </w:rPr>
                  </w:pPr>
                  <w:r w:rsidRPr="0025292C">
                    <w:rPr>
                      <w:sz w:val="18"/>
                      <w:szCs w:val="22"/>
                      <w:lang w:val="en-GB"/>
                    </w:rPr>
                    <w:t>0.91</w:t>
                  </w:r>
                </w:p>
              </w:tc>
              <w:tc>
                <w:tcPr>
                  <w:tcW w:w="125" w:type="pct"/>
                  <w:shd w:val="clear" w:color="000000" w:fill="FFFFFF"/>
                  <w:noWrap/>
                  <w:hideMark/>
                </w:tcPr>
                <w:p w14:paraId="23D5369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59AEEEE"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63CCF846"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495D912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595C149"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616CE149" w14:textId="77777777" w:rsidTr="00DB32C0">
              <w:trPr>
                <w:trHeight w:val="255"/>
              </w:trPr>
              <w:tc>
                <w:tcPr>
                  <w:tcW w:w="267" w:type="pct"/>
                  <w:shd w:val="clear" w:color="000000" w:fill="FFFFFF"/>
                  <w:noWrap/>
                  <w:hideMark/>
                </w:tcPr>
                <w:p w14:paraId="088AEB9A" w14:textId="77777777" w:rsidR="00E45009" w:rsidRPr="0025292C" w:rsidRDefault="00E45009" w:rsidP="00E45009">
                  <w:pPr>
                    <w:pStyle w:val="NoSpacing"/>
                    <w:rPr>
                      <w:sz w:val="18"/>
                      <w:szCs w:val="22"/>
                      <w:lang w:val="en-GB"/>
                    </w:rPr>
                  </w:pPr>
                  <w:r w:rsidRPr="0025292C">
                    <w:rPr>
                      <w:sz w:val="18"/>
                      <w:szCs w:val="22"/>
                      <w:lang w:val="en-GB"/>
                    </w:rPr>
                    <w:lastRenderedPageBreak/>
                    <w:t>42</w:t>
                  </w:r>
                </w:p>
              </w:tc>
              <w:tc>
                <w:tcPr>
                  <w:tcW w:w="2195" w:type="pct"/>
                  <w:shd w:val="clear" w:color="000000" w:fill="FFFFFF"/>
                  <w:hideMark/>
                </w:tcPr>
                <w:p w14:paraId="547D2BD1" w14:textId="77777777" w:rsidR="00E45009" w:rsidRPr="0025292C" w:rsidRDefault="00E45009" w:rsidP="00E45009">
                  <w:pPr>
                    <w:pStyle w:val="NoSpacing"/>
                    <w:rPr>
                      <w:sz w:val="18"/>
                      <w:szCs w:val="22"/>
                      <w:lang w:val="en-GB"/>
                    </w:rPr>
                  </w:pPr>
                  <w:r w:rsidRPr="0025292C">
                    <w:rPr>
                      <w:sz w:val="18"/>
                      <w:szCs w:val="22"/>
                      <w:lang w:val="en-GB"/>
                    </w:rPr>
                    <w:t>Committed against trade union officials re violation no. 41</w:t>
                  </w:r>
                </w:p>
              </w:tc>
              <w:tc>
                <w:tcPr>
                  <w:tcW w:w="125" w:type="pct"/>
                  <w:shd w:val="clear" w:color="000000" w:fill="FFFFFF"/>
                  <w:hideMark/>
                </w:tcPr>
                <w:p w14:paraId="6106C598"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BD73BCC" w14:textId="77777777" w:rsidR="00E45009" w:rsidRPr="0025292C" w:rsidRDefault="00E45009" w:rsidP="00E45009">
                  <w:pPr>
                    <w:pStyle w:val="NoSpacing"/>
                    <w:rPr>
                      <w:sz w:val="18"/>
                      <w:szCs w:val="22"/>
                      <w:lang w:val="en-GB"/>
                    </w:rPr>
                  </w:pPr>
                  <w:r w:rsidRPr="0025292C">
                    <w:rPr>
                      <w:sz w:val="18"/>
                      <w:szCs w:val="22"/>
                      <w:lang w:val="en-GB"/>
                    </w:rPr>
                    <w:t>4.39</w:t>
                  </w:r>
                </w:p>
              </w:tc>
              <w:tc>
                <w:tcPr>
                  <w:tcW w:w="335" w:type="pct"/>
                  <w:shd w:val="clear" w:color="000000" w:fill="FFFFFF"/>
                  <w:noWrap/>
                  <w:hideMark/>
                </w:tcPr>
                <w:p w14:paraId="6B1DEA4E"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75B2B36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39AA853" w14:textId="77777777" w:rsidR="00E45009" w:rsidRPr="0025292C" w:rsidRDefault="00E45009" w:rsidP="00E45009">
                  <w:pPr>
                    <w:pStyle w:val="NoSpacing"/>
                    <w:rPr>
                      <w:sz w:val="18"/>
                      <w:szCs w:val="22"/>
                      <w:lang w:val="en-GB"/>
                    </w:rPr>
                  </w:pPr>
                  <w:r w:rsidRPr="0025292C">
                    <w:rPr>
                      <w:sz w:val="18"/>
                      <w:szCs w:val="22"/>
                      <w:lang w:val="en-GB"/>
                    </w:rPr>
                    <w:t>4.57</w:t>
                  </w:r>
                </w:p>
              </w:tc>
              <w:tc>
                <w:tcPr>
                  <w:tcW w:w="333" w:type="pct"/>
                  <w:shd w:val="clear" w:color="000000" w:fill="FFFFFF"/>
                  <w:noWrap/>
                  <w:hideMark/>
                </w:tcPr>
                <w:p w14:paraId="3F3873DC" w14:textId="77777777" w:rsidR="00E45009" w:rsidRPr="0025292C" w:rsidRDefault="00E45009" w:rsidP="00E45009">
                  <w:pPr>
                    <w:pStyle w:val="NoSpacing"/>
                    <w:rPr>
                      <w:sz w:val="18"/>
                      <w:szCs w:val="22"/>
                      <w:lang w:val="en-GB"/>
                    </w:rPr>
                  </w:pPr>
                  <w:r w:rsidRPr="0025292C">
                    <w:rPr>
                      <w:sz w:val="18"/>
                      <w:szCs w:val="22"/>
                      <w:lang w:val="en-GB"/>
                    </w:rPr>
                    <w:t>0.51</w:t>
                  </w:r>
                </w:p>
              </w:tc>
              <w:tc>
                <w:tcPr>
                  <w:tcW w:w="125" w:type="pct"/>
                  <w:shd w:val="clear" w:color="000000" w:fill="FFFFFF"/>
                  <w:noWrap/>
                  <w:hideMark/>
                </w:tcPr>
                <w:p w14:paraId="73C1947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46A69E2" w14:textId="77777777" w:rsidR="00E45009" w:rsidRPr="0025292C" w:rsidRDefault="00E45009" w:rsidP="00E45009">
                  <w:pPr>
                    <w:pStyle w:val="NoSpacing"/>
                    <w:rPr>
                      <w:sz w:val="18"/>
                      <w:szCs w:val="22"/>
                      <w:lang w:val="en-GB"/>
                    </w:rPr>
                  </w:pPr>
                  <w:r w:rsidRPr="0025292C">
                    <w:rPr>
                      <w:sz w:val="18"/>
                      <w:szCs w:val="22"/>
                      <w:lang w:val="en-GB"/>
                    </w:rPr>
                    <w:t>1.89</w:t>
                  </w:r>
                </w:p>
              </w:tc>
            </w:tr>
            <w:tr w:rsidR="00E45009" w:rsidRPr="0025292C" w14:paraId="62341585" w14:textId="77777777" w:rsidTr="00DB32C0">
              <w:trPr>
                <w:trHeight w:val="255"/>
              </w:trPr>
              <w:tc>
                <w:tcPr>
                  <w:tcW w:w="267" w:type="pct"/>
                  <w:shd w:val="clear" w:color="000000" w:fill="FFFFFF"/>
                  <w:noWrap/>
                  <w:hideMark/>
                </w:tcPr>
                <w:p w14:paraId="290B93B9" w14:textId="77777777" w:rsidR="00E45009" w:rsidRPr="0025292C" w:rsidRDefault="00E45009" w:rsidP="00E45009">
                  <w:pPr>
                    <w:pStyle w:val="NoSpacing"/>
                    <w:rPr>
                      <w:sz w:val="18"/>
                      <w:szCs w:val="22"/>
                      <w:lang w:val="en-GB"/>
                    </w:rPr>
                  </w:pPr>
                  <w:r w:rsidRPr="0025292C">
                    <w:rPr>
                      <w:sz w:val="18"/>
                      <w:szCs w:val="22"/>
                      <w:lang w:val="en-GB"/>
                    </w:rPr>
                    <w:t>43</w:t>
                  </w:r>
                </w:p>
              </w:tc>
              <w:tc>
                <w:tcPr>
                  <w:tcW w:w="2195" w:type="pct"/>
                  <w:shd w:val="clear" w:color="000000" w:fill="FFFFFF"/>
                  <w:hideMark/>
                </w:tcPr>
                <w:p w14:paraId="3C2EF0C1"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 41</w:t>
                  </w:r>
                </w:p>
              </w:tc>
              <w:tc>
                <w:tcPr>
                  <w:tcW w:w="125" w:type="pct"/>
                  <w:shd w:val="clear" w:color="000000" w:fill="FFFFFF"/>
                  <w:hideMark/>
                </w:tcPr>
                <w:p w14:paraId="6FD70011"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62A71DB" w14:textId="77777777" w:rsidR="00E45009" w:rsidRPr="0025292C" w:rsidRDefault="00E45009" w:rsidP="00E45009">
                  <w:pPr>
                    <w:pStyle w:val="NoSpacing"/>
                    <w:rPr>
                      <w:sz w:val="18"/>
                      <w:szCs w:val="22"/>
                      <w:lang w:val="en-GB"/>
                    </w:rPr>
                  </w:pPr>
                  <w:r w:rsidRPr="0025292C">
                    <w:rPr>
                      <w:sz w:val="18"/>
                      <w:szCs w:val="22"/>
                      <w:lang w:val="en-GB"/>
                    </w:rPr>
                    <w:t>3.93</w:t>
                  </w:r>
                </w:p>
              </w:tc>
              <w:tc>
                <w:tcPr>
                  <w:tcW w:w="335" w:type="pct"/>
                  <w:shd w:val="clear" w:color="000000" w:fill="FFFFFF"/>
                  <w:noWrap/>
                  <w:hideMark/>
                </w:tcPr>
                <w:p w14:paraId="455EA4C4" w14:textId="77777777" w:rsidR="00E45009" w:rsidRPr="0025292C" w:rsidRDefault="00E45009" w:rsidP="00E45009">
                  <w:pPr>
                    <w:pStyle w:val="NoSpacing"/>
                    <w:rPr>
                      <w:sz w:val="18"/>
                      <w:szCs w:val="22"/>
                      <w:lang w:val="en-GB"/>
                    </w:rPr>
                  </w:pPr>
                  <w:r w:rsidRPr="0025292C">
                    <w:rPr>
                      <w:sz w:val="18"/>
                      <w:szCs w:val="22"/>
                      <w:lang w:val="en-GB"/>
                    </w:rPr>
                    <w:t>1.18</w:t>
                  </w:r>
                </w:p>
              </w:tc>
              <w:tc>
                <w:tcPr>
                  <w:tcW w:w="125" w:type="pct"/>
                  <w:shd w:val="clear" w:color="000000" w:fill="FFFFFF"/>
                  <w:noWrap/>
                  <w:hideMark/>
                </w:tcPr>
                <w:p w14:paraId="5AE3D49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160439A" w14:textId="77777777" w:rsidR="00E45009" w:rsidRPr="0025292C" w:rsidRDefault="00E45009" w:rsidP="00E45009">
                  <w:pPr>
                    <w:pStyle w:val="NoSpacing"/>
                    <w:rPr>
                      <w:sz w:val="18"/>
                      <w:szCs w:val="22"/>
                      <w:lang w:val="en-GB"/>
                    </w:rPr>
                  </w:pPr>
                  <w:r w:rsidRPr="0025292C">
                    <w:rPr>
                      <w:sz w:val="18"/>
                      <w:szCs w:val="22"/>
                      <w:lang w:val="en-GB"/>
                    </w:rPr>
                    <w:t>4.21</w:t>
                  </w:r>
                </w:p>
              </w:tc>
              <w:tc>
                <w:tcPr>
                  <w:tcW w:w="333" w:type="pct"/>
                  <w:shd w:val="clear" w:color="000000" w:fill="FFFFFF"/>
                  <w:noWrap/>
                  <w:hideMark/>
                </w:tcPr>
                <w:p w14:paraId="150E7078" w14:textId="77777777" w:rsidR="00E45009" w:rsidRPr="0025292C" w:rsidRDefault="00E45009" w:rsidP="00E45009">
                  <w:pPr>
                    <w:pStyle w:val="NoSpacing"/>
                    <w:rPr>
                      <w:sz w:val="18"/>
                      <w:szCs w:val="22"/>
                      <w:lang w:val="en-GB"/>
                    </w:rPr>
                  </w:pPr>
                  <w:r w:rsidRPr="0025292C">
                    <w:rPr>
                      <w:sz w:val="18"/>
                      <w:szCs w:val="22"/>
                      <w:lang w:val="en-GB"/>
                    </w:rPr>
                    <w:t>0.58</w:t>
                  </w:r>
                </w:p>
              </w:tc>
              <w:tc>
                <w:tcPr>
                  <w:tcW w:w="125" w:type="pct"/>
                  <w:shd w:val="clear" w:color="000000" w:fill="FFFFFF"/>
                  <w:noWrap/>
                  <w:hideMark/>
                </w:tcPr>
                <w:p w14:paraId="65FD797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828D9B0" w14:textId="77777777" w:rsidR="00E45009" w:rsidRPr="0025292C" w:rsidRDefault="00E45009" w:rsidP="00E45009">
                  <w:pPr>
                    <w:pStyle w:val="NoSpacing"/>
                    <w:rPr>
                      <w:sz w:val="18"/>
                      <w:szCs w:val="22"/>
                      <w:lang w:val="en-GB"/>
                    </w:rPr>
                  </w:pPr>
                  <w:r w:rsidRPr="0025292C">
                    <w:rPr>
                      <w:sz w:val="18"/>
                      <w:szCs w:val="22"/>
                      <w:lang w:val="en-GB"/>
                    </w:rPr>
                    <w:t>1.80</w:t>
                  </w:r>
                </w:p>
              </w:tc>
            </w:tr>
            <w:tr w:rsidR="00E45009" w:rsidRPr="0025292C" w14:paraId="4FA303F8" w14:textId="77777777" w:rsidTr="00DB32C0">
              <w:trPr>
                <w:trHeight w:val="255"/>
              </w:trPr>
              <w:tc>
                <w:tcPr>
                  <w:tcW w:w="267" w:type="pct"/>
                  <w:shd w:val="clear" w:color="000000" w:fill="FFFFFF"/>
                  <w:noWrap/>
                  <w:hideMark/>
                </w:tcPr>
                <w:p w14:paraId="032A6E54" w14:textId="77777777" w:rsidR="00E45009" w:rsidRPr="0025292C" w:rsidRDefault="00E45009" w:rsidP="00E45009">
                  <w:pPr>
                    <w:pStyle w:val="NoSpacing"/>
                    <w:rPr>
                      <w:sz w:val="18"/>
                      <w:szCs w:val="22"/>
                      <w:lang w:val="en-GB"/>
                    </w:rPr>
                  </w:pPr>
                  <w:r w:rsidRPr="0025292C">
                    <w:rPr>
                      <w:sz w:val="18"/>
                      <w:szCs w:val="22"/>
                      <w:lang w:val="en-GB"/>
                    </w:rPr>
                    <w:t>44</w:t>
                  </w:r>
                </w:p>
              </w:tc>
              <w:tc>
                <w:tcPr>
                  <w:tcW w:w="2195" w:type="pct"/>
                  <w:shd w:val="clear" w:color="000000" w:fill="FFFFFF"/>
                  <w:hideMark/>
                </w:tcPr>
                <w:p w14:paraId="0DD74C48" w14:textId="77777777" w:rsidR="00E45009" w:rsidRPr="0025292C" w:rsidRDefault="00E45009" w:rsidP="00E45009">
                  <w:pPr>
                    <w:pStyle w:val="NoSpacing"/>
                    <w:rPr>
                      <w:sz w:val="18"/>
                      <w:szCs w:val="22"/>
                      <w:lang w:val="en-GB"/>
                    </w:rPr>
                  </w:pPr>
                  <w:r w:rsidRPr="0025292C">
                    <w:rPr>
                      <w:sz w:val="18"/>
                      <w:szCs w:val="22"/>
                      <w:lang w:val="en-GB"/>
                    </w:rPr>
                    <w:t>Acts of interference of employers and/or public authorities</w:t>
                  </w:r>
                </w:p>
              </w:tc>
              <w:tc>
                <w:tcPr>
                  <w:tcW w:w="125" w:type="pct"/>
                  <w:shd w:val="clear" w:color="000000" w:fill="FFFFFF"/>
                  <w:hideMark/>
                </w:tcPr>
                <w:p w14:paraId="17962FBE"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7B23E5F"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0C0FC51D"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5409B417"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34EA5EF" w14:textId="77777777" w:rsidR="00E45009" w:rsidRPr="0025292C" w:rsidRDefault="00E45009" w:rsidP="00E45009">
                  <w:pPr>
                    <w:pStyle w:val="NoSpacing"/>
                    <w:rPr>
                      <w:sz w:val="18"/>
                      <w:szCs w:val="22"/>
                      <w:lang w:val="en-GB"/>
                    </w:rPr>
                  </w:pPr>
                  <w:r w:rsidRPr="0025292C">
                    <w:rPr>
                      <w:sz w:val="18"/>
                      <w:szCs w:val="22"/>
                      <w:lang w:val="en-GB"/>
                    </w:rPr>
                    <w:t>4.00</w:t>
                  </w:r>
                </w:p>
              </w:tc>
              <w:tc>
                <w:tcPr>
                  <w:tcW w:w="333" w:type="pct"/>
                  <w:shd w:val="clear" w:color="000000" w:fill="FFFFFF"/>
                  <w:noWrap/>
                  <w:hideMark/>
                </w:tcPr>
                <w:p w14:paraId="4B40718E" w14:textId="77777777" w:rsidR="00E45009" w:rsidRPr="0025292C" w:rsidRDefault="00E45009" w:rsidP="00E45009">
                  <w:pPr>
                    <w:pStyle w:val="NoSpacing"/>
                    <w:rPr>
                      <w:sz w:val="18"/>
                      <w:szCs w:val="22"/>
                      <w:lang w:val="en-GB"/>
                    </w:rPr>
                  </w:pPr>
                  <w:r w:rsidRPr="0025292C">
                    <w:rPr>
                      <w:sz w:val="18"/>
                      <w:szCs w:val="22"/>
                      <w:lang w:val="en-GB"/>
                    </w:rPr>
                    <w:t>0.68</w:t>
                  </w:r>
                </w:p>
              </w:tc>
              <w:tc>
                <w:tcPr>
                  <w:tcW w:w="125" w:type="pct"/>
                  <w:shd w:val="clear" w:color="000000" w:fill="FFFFFF"/>
                  <w:noWrap/>
                  <w:hideMark/>
                </w:tcPr>
                <w:p w14:paraId="0251231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DBCD0CB" w14:textId="77777777" w:rsidR="00E45009" w:rsidRPr="0025292C" w:rsidRDefault="00E45009" w:rsidP="00E45009">
                  <w:pPr>
                    <w:pStyle w:val="NoSpacing"/>
                    <w:rPr>
                      <w:sz w:val="18"/>
                      <w:szCs w:val="22"/>
                      <w:lang w:val="en-GB"/>
                    </w:rPr>
                  </w:pPr>
                  <w:r w:rsidRPr="0025292C">
                    <w:rPr>
                      <w:sz w:val="18"/>
                      <w:szCs w:val="22"/>
                      <w:lang w:val="en-GB"/>
                    </w:rPr>
                    <w:t>1.75</w:t>
                  </w:r>
                </w:p>
              </w:tc>
            </w:tr>
            <w:tr w:rsidR="00E45009" w:rsidRPr="0025292C" w14:paraId="69A23983" w14:textId="77777777" w:rsidTr="00DB32C0">
              <w:trPr>
                <w:trHeight w:val="255"/>
              </w:trPr>
              <w:tc>
                <w:tcPr>
                  <w:tcW w:w="267" w:type="pct"/>
                  <w:shd w:val="clear" w:color="000000" w:fill="FFFFFF"/>
                  <w:noWrap/>
                  <w:hideMark/>
                </w:tcPr>
                <w:p w14:paraId="3BDC1431" w14:textId="77777777" w:rsidR="00E45009" w:rsidRPr="0025292C" w:rsidRDefault="00E45009" w:rsidP="00E45009">
                  <w:pPr>
                    <w:pStyle w:val="NoSpacing"/>
                    <w:rPr>
                      <w:sz w:val="18"/>
                      <w:szCs w:val="22"/>
                      <w:lang w:val="en-GB"/>
                    </w:rPr>
                  </w:pPr>
                  <w:r w:rsidRPr="0025292C">
                    <w:rPr>
                      <w:sz w:val="18"/>
                      <w:szCs w:val="22"/>
                      <w:lang w:val="en-GB"/>
                    </w:rPr>
                    <w:t>45</w:t>
                  </w:r>
                </w:p>
              </w:tc>
              <w:tc>
                <w:tcPr>
                  <w:tcW w:w="2195" w:type="pct"/>
                  <w:shd w:val="clear" w:color="000000" w:fill="FFFFFF"/>
                  <w:hideMark/>
                </w:tcPr>
                <w:p w14:paraId="04FF6024"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 no. 44</w:t>
                  </w:r>
                </w:p>
              </w:tc>
              <w:tc>
                <w:tcPr>
                  <w:tcW w:w="125" w:type="pct"/>
                  <w:shd w:val="clear" w:color="000000" w:fill="FFFFFF"/>
                  <w:hideMark/>
                </w:tcPr>
                <w:p w14:paraId="5417EB5E"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4AD4805"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76B0BD9B" w14:textId="77777777" w:rsidR="00E45009" w:rsidRPr="0025292C" w:rsidRDefault="00E45009" w:rsidP="00E45009">
                  <w:pPr>
                    <w:pStyle w:val="NoSpacing"/>
                    <w:rPr>
                      <w:sz w:val="18"/>
                      <w:szCs w:val="22"/>
                      <w:lang w:val="en-GB"/>
                    </w:rPr>
                  </w:pPr>
                  <w:r w:rsidRPr="0025292C">
                    <w:rPr>
                      <w:sz w:val="18"/>
                      <w:szCs w:val="22"/>
                      <w:lang w:val="en-GB"/>
                    </w:rPr>
                    <w:t>1.14</w:t>
                  </w:r>
                </w:p>
              </w:tc>
              <w:tc>
                <w:tcPr>
                  <w:tcW w:w="125" w:type="pct"/>
                  <w:shd w:val="clear" w:color="000000" w:fill="FFFFFF"/>
                  <w:noWrap/>
                  <w:hideMark/>
                </w:tcPr>
                <w:p w14:paraId="7566E2A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7134BB0" w14:textId="77777777" w:rsidR="00E45009" w:rsidRPr="0025292C" w:rsidRDefault="00E45009" w:rsidP="00E45009">
                  <w:pPr>
                    <w:pStyle w:val="NoSpacing"/>
                    <w:rPr>
                      <w:sz w:val="18"/>
                      <w:szCs w:val="22"/>
                      <w:lang w:val="en-GB"/>
                    </w:rPr>
                  </w:pPr>
                  <w:r w:rsidRPr="0025292C">
                    <w:rPr>
                      <w:sz w:val="18"/>
                      <w:szCs w:val="22"/>
                      <w:lang w:val="en-GB"/>
                    </w:rPr>
                    <w:t>4.07</w:t>
                  </w:r>
                </w:p>
              </w:tc>
              <w:tc>
                <w:tcPr>
                  <w:tcW w:w="333" w:type="pct"/>
                  <w:shd w:val="clear" w:color="000000" w:fill="FFFFFF"/>
                  <w:noWrap/>
                  <w:hideMark/>
                </w:tcPr>
                <w:p w14:paraId="0A4B5903"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07A272C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E1AEA7A" w14:textId="77777777" w:rsidR="00E45009" w:rsidRPr="0025292C" w:rsidRDefault="00E45009" w:rsidP="00E45009">
                  <w:pPr>
                    <w:pStyle w:val="NoSpacing"/>
                    <w:rPr>
                      <w:sz w:val="18"/>
                      <w:szCs w:val="22"/>
                      <w:lang w:val="en-GB"/>
                    </w:rPr>
                  </w:pPr>
                  <w:r w:rsidRPr="0025292C">
                    <w:rPr>
                      <w:sz w:val="18"/>
                      <w:szCs w:val="22"/>
                      <w:lang w:val="en-GB"/>
                    </w:rPr>
                    <w:t>1.77</w:t>
                  </w:r>
                </w:p>
              </w:tc>
            </w:tr>
            <w:tr w:rsidR="00E45009" w:rsidRPr="0025292C" w14:paraId="4FE9929B" w14:textId="77777777" w:rsidTr="00DB32C0">
              <w:trPr>
                <w:trHeight w:val="255"/>
              </w:trPr>
              <w:tc>
                <w:tcPr>
                  <w:tcW w:w="267" w:type="pct"/>
                  <w:shd w:val="clear" w:color="000000" w:fill="FFFFFF"/>
                  <w:noWrap/>
                  <w:hideMark/>
                </w:tcPr>
                <w:p w14:paraId="0F8545B6" w14:textId="77777777" w:rsidR="00E45009" w:rsidRPr="0025292C" w:rsidRDefault="00E45009" w:rsidP="00E45009">
                  <w:pPr>
                    <w:pStyle w:val="NoSpacing"/>
                    <w:rPr>
                      <w:sz w:val="18"/>
                      <w:szCs w:val="22"/>
                      <w:lang w:val="en-GB"/>
                    </w:rPr>
                  </w:pPr>
                  <w:r w:rsidRPr="0025292C">
                    <w:rPr>
                      <w:sz w:val="18"/>
                      <w:szCs w:val="22"/>
                      <w:lang w:val="en-GB"/>
                    </w:rPr>
                    <w:t>46</w:t>
                  </w:r>
                </w:p>
              </w:tc>
              <w:tc>
                <w:tcPr>
                  <w:tcW w:w="2195" w:type="pct"/>
                  <w:shd w:val="clear" w:color="000000" w:fill="FFFFFF"/>
                  <w:hideMark/>
                </w:tcPr>
                <w:p w14:paraId="06D018E8" w14:textId="77777777" w:rsidR="00E45009" w:rsidRPr="0025292C" w:rsidRDefault="00E45009" w:rsidP="00E45009">
                  <w:pPr>
                    <w:pStyle w:val="NoSpacing"/>
                    <w:rPr>
                      <w:sz w:val="18"/>
                      <w:szCs w:val="22"/>
                      <w:lang w:val="en-GB"/>
                    </w:rPr>
                  </w:pPr>
                  <w:r w:rsidRPr="0025292C">
                    <w:rPr>
                      <w:sz w:val="18"/>
                      <w:szCs w:val="22"/>
                      <w:lang w:val="en-GB"/>
                    </w:rPr>
                    <w:t>Infringements of the right to establish and join federations/confederations/international organizations</w:t>
                  </w:r>
                </w:p>
              </w:tc>
              <w:tc>
                <w:tcPr>
                  <w:tcW w:w="125" w:type="pct"/>
                  <w:shd w:val="clear" w:color="000000" w:fill="FFFFFF"/>
                  <w:hideMark/>
                </w:tcPr>
                <w:p w14:paraId="78584230"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CF01755" w14:textId="77777777" w:rsidR="00E45009" w:rsidRPr="0025292C" w:rsidRDefault="00E45009" w:rsidP="00E45009">
                  <w:pPr>
                    <w:pStyle w:val="NoSpacing"/>
                    <w:rPr>
                      <w:sz w:val="18"/>
                      <w:szCs w:val="22"/>
                      <w:lang w:val="en-GB"/>
                    </w:rPr>
                  </w:pPr>
                  <w:r w:rsidRPr="0025292C">
                    <w:rPr>
                      <w:sz w:val="18"/>
                      <w:szCs w:val="22"/>
                      <w:lang w:val="en-GB"/>
                    </w:rPr>
                    <w:t>3.83</w:t>
                  </w:r>
                </w:p>
              </w:tc>
              <w:tc>
                <w:tcPr>
                  <w:tcW w:w="335" w:type="pct"/>
                  <w:shd w:val="clear" w:color="000000" w:fill="FFFFFF"/>
                  <w:noWrap/>
                  <w:hideMark/>
                </w:tcPr>
                <w:p w14:paraId="51BC074C" w14:textId="77777777" w:rsidR="00E45009" w:rsidRPr="0025292C" w:rsidRDefault="00E45009" w:rsidP="00E45009">
                  <w:pPr>
                    <w:pStyle w:val="NoSpacing"/>
                    <w:rPr>
                      <w:sz w:val="18"/>
                      <w:szCs w:val="22"/>
                      <w:lang w:val="en-GB"/>
                    </w:rPr>
                  </w:pPr>
                  <w:r w:rsidRPr="0025292C">
                    <w:rPr>
                      <w:sz w:val="18"/>
                      <w:szCs w:val="22"/>
                      <w:lang w:val="en-GB"/>
                    </w:rPr>
                    <w:t>0.80</w:t>
                  </w:r>
                </w:p>
              </w:tc>
              <w:tc>
                <w:tcPr>
                  <w:tcW w:w="125" w:type="pct"/>
                  <w:shd w:val="clear" w:color="000000" w:fill="FFFFFF"/>
                  <w:noWrap/>
                  <w:hideMark/>
                </w:tcPr>
                <w:p w14:paraId="3570CC5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35C2EB9" w14:textId="77777777" w:rsidR="00E45009" w:rsidRPr="0025292C" w:rsidRDefault="00E45009" w:rsidP="00E45009">
                  <w:pPr>
                    <w:pStyle w:val="NoSpacing"/>
                    <w:rPr>
                      <w:sz w:val="18"/>
                      <w:szCs w:val="22"/>
                      <w:lang w:val="en-GB"/>
                    </w:rPr>
                  </w:pPr>
                  <w:r w:rsidRPr="0025292C">
                    <w:rPr>
                      <w:sz w:val="18"/>
                      <w:szCs w:val="22"/>
                      <w:lang w:val="en-GB"/>
                    </w:rPr>
                    <w:t>4.14</w:t>
                  </w:r>
                </w:p>
              </w:tc>
              <w:tc>
                <w:tcPr>
                  <w:tcW w:w="333" w:type="pct"/>
                  <w:shd w:val="clear" w:color="000000" w:fill="FFFFFF"/>
                  <w:noWrap/>
                  <w:hideMark/>
                </w:tcPr>
                <w:p w14:paraId="4279587B" w14:textId="77777777" w:rsidR="00E45009" w:rsidRPr="0025292C" w:rsidRDefault="00E45009" w:rsidP="00E45009">
                  <w:pPr>
                    <w:pStyle w:val="NoSpacing"/>
                    <w:rPr>
                      <w:sz w:val="18"/>
                      <w:szCs w:val="22"/>
                      <w:lang w:val="en-GB"/>
                    </w:rPr>
                  </w:pPr>
                  <w:r w:rsidRPr="0025292C">
                    <w:rPr>
                      <w:sz w:val="18"/>
                      <w:szCs w:val="22"/>
                      <w:lang w:val="en-GB"/>
                    </w:rPr>
                    <w:t>0.53</w:t>
                  </w:r>
                </w:p>
              </w:tc>
              <w:tc>
                <w:tcPr>
                  <w:tcW w:w="125" w:type="pct"/>
                  <w:shd w:val="clear" w:color="000000" w:fill="FFFFFF"/>
                  <w:noWrap/>
                  <w:hideMark/>
                </w:tcPr>
                <w:p w14:paraId="4444486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A99F8C7" w14:textId="77777777" w:rsidR="00E45009" w:rsidRPr="0025292C" w:rsidRDefault="00E45009" w:rsidP="00E45009">
                  <w:pPr>
                    <w:pStyle w:val="NoSpacing"/>
                    <w:rPr>
                      <w:sz w:val="18"/>
                      <w:szCs w:val="22"/>
                      <w:lang w:val="en-GB"/>
                    </w:rPr>
                  </w:pPr>
                  <w:r w:rsidRPr="0025292C">
                    <w:rPr>
                      <w:sz w:val="18"/>
                      <w:szCs w:val="22"/>
                      <w:lang w:val="en-GB"/>
                    </w:rPr>
                    <w:t>1.79</w:t>
                  </w:r>
                </w:p>
              </w:tc>
            </w:tr>
            <w:tr w:rsidR="00E45009" w:rsidRPr="0025292C" w14:paraId="382C0879" w14:textId="77777777" w:rsidTr="00DB32C0">
              <w:trPr>
                <w:trHeight w:val="255"/>
              </w:trPr>
              <w:tc>
                <w:tcPr>
                  <w:tcW w:w="267" w:type="pct"/>
                  <w:shd w:val="clear" w:color="000000" w:fill="FFFFFF"/>
                  <w:noWrap/>
                  <w:hideMark/>
                </w:tcPr>
                <w:p w14:paraId="4EAA1382" w14:textId="77777777" w:rsidR="00E45009" w:rsidRPr="0025292C" w:rsidRDefault="00E45009" w:rsidP="00E45009">
                  <w:pPr>
                    <w:pStyle w:val="NoSpacing"/>
                    <w:rPr>
                      <w:sz w:val="18"/>
                      <w:szCs w:val="22"/>
                      <w:lang w:val="en-GB"/>
                    </w:rPr>
                  </w:pPr>
                  <w:r w:rsidRPr="0025292C">
                    <w:rPr>
                      <w:sz w:val="18"/>
                      <w:szCs w:val="22"/>
                      <w:lang w:val="en-GB"/>
                    </w:rPr>
                    <w:t>47</w:t>
                  </w:r>
                </w:p>
              </w:tc>
              <w:tc>
                <w:tcPr>
                  <w:tcW w:w="2195" w:type="pct"/>
                  <w:shd w:val="clear" w:color="000000" w:fill="FFFFFF"/>
                  <w:hideMark/>
                </w:tcPr>
                <w:p w14:paraId="6DBB3BD7"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35-46</w:t>
                  </w:r>
                </w:p>
              </w:tc>
              <w:tc>
                <w:tcPr>
                  <w:tcW w:w="125" w:type="pct"/>
                  <w:shd w:val="clear" w:color="000000" w:fill="FFFFFF"/>
                  <w:hideMark/>
                </w:tcPr>
                <w:p w14:paraId="42F38A3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40B05A1" w14:textId="77777777" w:rsidR="00E45009" w:rsidRPr="0025292C" w:rsidRDefault="00E45009" w:rsidP="00E45009">
                  <w:pPr>
                    <w:pStyle w:val="NoSpacing"/>
                    <w:rPr>
                      <w:sz w:val="18"/>
                      <w:szCs w:val="22"/>
                      <w:lang w:val="en-GB"/>
                    </w:rPr>
                  </w:pPr>
                  <w:r w:rsidRPr="0025292C">
                    <w:rPr>
                      <w:sz w:val="18"/>
                      <w:szCs w:val="22"/>
                      <w:lang w:val="en-GB"/>
                    </w:rPr>
                    <w:t>3.93</w:t>
                  </w:r>
                </w:p>
              </w:tc>
              <w:tc>
                <w:tcPr>
                  <w:tcW w:w="335" w:type="pct"/>
                  <w:shd w:val="clear" w:color="000000" w:fill="FFFFFF"/>
                  <w:noWrap/>
                  <w:hideMark/>
                </w:tcPr>
                <w:p w14:paraId="05E39F33" w14:textId="77777777" w:rsidR="00E45009" w:rsidRPr="0025292C" w:rsidRDefault="00E45009" w:rsidP="00E45009">
                  <w:pPr>
                    <w:pStyle w:val="NoSpacing"/>
                    <w:rPr>
                      <w:sz w:val="18"/>
                      <w:szCs w:val="22"/>
                      <w:lang w:val="en-GB"/>
                    </w:rPr>
                  </w:pPr>
                  <w:r w:rsidRPr="0025292C">
                    <w:rPr>
                      <w:sz w:val="18"/>
                      <w:szCs w:val="22"/>
                      <w:lang w:val="en-GB"/>
                    </w:rPr>
                    <w:t>1.11</w:t>
                  </w:r>
                </w:p>
              </w:tc>
              <w:tc>
                <w:tcPr>
                  <w:tcW w:w="125" w:type="pct"/>
                  <w:shd w:val="clear" w:color="000000" w:fill="FFFFFF"/>
                  <w:noWrap/>
                  <w:hideMark/>
                </w:tcPr>
                <w:p w14:paraId="085F135D"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276943A" w14:textId="77777777" w:rsidR="00E45009" w:rsidRPr="0025292C" w:rsidRDefault="00E45009" w:rsidP="00E45009">
                  <w:pPr>
                    <w:pStyle w:val="NoSpacing"/>
                    <w:rPr>
                      <w:sz w:val="18"/>
                      <w:szCs w:val="22"/>
                      <w:lang w:val="en-GB"/>
                    </w:rPr>
                  </w:pPr>
                  <w:r w:rsidRPr="0025292C">
                    <w:rPr>
                      <w:sz w:val="18"/>
                      <w:szCs w:val="22"/>
                      <w:lang w:val="en-GB"/>
                    </w:rPr>
                    <w:t>4.07</w:t>
                  </w:r>
                </w:p>
              </w:tc>
              <w:tc>
                <w:tcPr>
                  <w:tcW w:w="333" w:type="pct"/>
                  <w:shd w:val="clear" w:color="000000" w:fill="FFFFFF"/>
                  <w:noWrap/>
                  <w:hideMark/>
                </w:tcPr>
                <w:p w14:paraId="5A214CCF"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4A8C95F0"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E60F1E1" w14:textId="77777777" w:rsidR="00E45009" w:rsidRPr="0025292C" w:rsidRDefault="00E45009" w:rsidP="00E45009">
                  <w:pPr>
                    <w:pStyle w:val="NoSpacing"/>
                    <w:rPr>
                      <w:sz w:val="18"/>
                      <w:szCs w:val="22"/>
                      <w:lang w:val="en-GB"/>
                    </w:rPr>
                  </w:pPr>
                  <w:r w:rsidRPr="0025292C">
                    <w:rPr>
                      <w:sz w:val="18"/>
                      <w:szCs w:val="22"/>
                      <w:lang w:val="en-GB"/>
                    </w:rPr>
                    <w:t>1.77</w:t>
                  </w:r>
                </w:p>
              </w:tc>
            </w:tr>
            <w:tr w:rsidR="00E45009" w:rsidRPr="0025292C" w14:paraId="5D18D659" w14:textId="77777777" w:rsidTr="00DB32C0">
              <w:trPr>
                <w:trHeight w:val="255"/>
              </w:trPr>
              <w:tc>
                <w:tcPr>
                  <w:tcW w:w="267" w:type="pct"/>
                  <w:shd w:val="clear" w:color="000000" w:fill="FFFFFF"/>
                  <w:noWrap/>
                  <w:hideMark/>
                </w:tcPr>
                <w:p w14:paraId="0C4DEB98"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2453CD55" w14:textId="77777777" w:rsidR="00E45009" w:rsidRPr="0025292C" w:rsidRDefault="00E45009" w:rsidP="00E45009">
                  <w:pPr>
                    <w:pStyle w:val="NoSpacing"/>
                    <w:rPr>
                      <w:b/>
                      <w:bCs/>
                      <w:sz w:val="18"/>
                      <w:szCs w:val="22"/>
                      <w:lang w:val="en-GB"/>
                    </w:rPr>
                  </w:pPr>
                  <w:r w:rsidRPr="0025292C">
                    <w:rPr>
                      <w:b/>
                      <w:bCs/>
                      <w:sz w:val="18"/>
                      <w:szCs w:val="22"/>
                      <w:lang w:val="en-GB"/>
                    </w:rPr>
                    <w:t>IIIa. Other union activities in law</w:t>
                  </w:r>
                </w:p>
              </w:tc>
              <w:tc>
                <w:tcPr>
                  <w:tcW w:w="125" w:type="pct"/>
                  <w:shd w:val="clear" w:color="000000" w:fill="FFFFFF"/>
                  <w:hideMark/>
                </w:tcPr>
                <w:p w14:paraId="3DF908AD"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15CEA3AD"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3369DA9F"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EF4D721"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1EE173C"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75FE1137"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2EE7629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DBD2A9D"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0DC26CA1" w14:textId="77777777" w:rsidTr="00DB32C0">
              <w:trPr>
                <w:trHeight w:val="255"/>
              </w:trPr>
              <w:tc>
                <w:tcPr>
                  <w:tcW w:w="267" w:type="pct"/>
                  <w:shd w:val="clear" w:color="000000" w:fill="FFFFFF"/>
                  <w:noWrap/>
                  <w:hideMark/>
                </w:tcPr>
                <w:p w14:paraId="1CE4045A" w14:textId="77777777" w:rsidR="00E45009" w:rsidRPr="0025292C" w:rsidRDefault="00E45009" w:rsidP="00E45009">
                  <w:pPr>
                    <w:pStyle w:val="NoSpacing"/>
                    <w:rPr>
                      <w:sz w:val="18"/>
                      <w:szCs w:val="22"/>
                      <w:lang w:val="en-GB"/>
                    </w:rPr>
                  </w:pPr>
                  <w:r w:rsidRPr="0025292C">
                    <w:rPr>
                      <w:sz w:val="18"/>
                      <w:szCs w:val="22"/>
                      <w:lang w:val="en-GB"/>
                    </w:rPr>
                    <w:t>48</w:t>
                  </w:r>
                </w:p>
              </w:tc>
              <w:tc>
                <w:tcPr>
                  <w:tcW w:w="2195" w:type="pct"/>
                  <w:shd w:val="clear" w:color="000000" w:fill="FFFFFF"/>
                  <w:hideMark/>
                </w:tcPr>
                <w:p w14:paraId="7287B95F" w14:textId="77777777" w:rsidR="00E45009" w:rsidRPr="0025292C" w:rsidRDefault="00E45009" w:rsidP="00E45009">
                  <w:pPr>
                    <w:pStyle w:val="NoSpacing"/>
                    <w:rPr>
                      <w:sz w:val="18"/>
                      <w:szCs w:val="22"/>
                      <w:lang w:val="en-GB"/>
                    </w:rPr>
                  </w:pPr>
                  <w:r w:rsidRPr="0025292C">
                    <w:rPr>
                      <w:sz w:val="18"/>
                      <w:szCs w:val="22"/>
                      <w:lang w:val="en-GB"/>
                    </w:rPr>
                    <w:t>Infringements of the right to freely draw up constitutions and internal rules and administration</w:t>
                  </w:r>
                </w:p>
              </w:tc>
              <w:tc>
                <w:tcPr>
                  <w:tcW w:w="125" w:type="pct"/>
                  <w:shd w:val="clear" w:color="000000" w:fill="FFFFFF"/>
                  <w:hideMark/>
                </w:tcPr>
                <w:p w14:paraId="5BDF790E"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733FE8E"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10B959B7" w14:textId="77777777" w:rsidR="00E45009" w:rsidRPr="0025292C" w:rsidRDefault="00E45009" w:rsidP="00E45009">
                  <w:pPr>
                    <w:pStyle w:val="NoSpacing"/>
                    <w:rPr>
                      <w:sz w:val="18"/>
                      <w:szCs w:val="22"/>
                      <w:lang w:val="en-GB"/>
                    </w:rPr>
                  </w:pPr>
                  <w:r w:rsidRPr="0025292C">
                    <w:rPr>
                      <w:sz w:val="18"/>
                      <w:szCs w:val="22"/>
                      <w:lang w:val="en-GB"/>
                    </w:rPr>
                    <w:t>0.85</w:t>
                  </w:r>
                </w:p>
              </w:tc>
              <w:tc>
                <w:tcPr>
                  <w:tcW w:w="125" w:type="pct"/>
                  <w:shd w:val="clear" w:color="000000" w:fill="FFFFFF"/>
                  <w:noWrap/>
                  <w:hideMark/>
                </w:tcPr>
                <w:p w14:paraId="31B389F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FBF8877" w14:textId="77777777" w:rsidR="00E45009" w:rsidRPr="0025292C" w:rsidRDefault="00E45009" w:rsidP="00E45009">
                  <w:pPr>
                    <w:pStyle w:val="NoSpacing"/>
                    <w:rPr>
                      <w:sz w:val="18"/>
                      <w:szCs w:val="22"/>
                      <w:lang w:val="en-GB"/>
                    </w:rPr>
                  </w:pPr>
                  <w:r w:rsidRPr="0025292C">
                    <w:rPr>
                      <w:sz w:val="18"/>
                      <w:szCs w:val="22"/>
                      <w:lang w:val="en-GB"/>
                    </w:rPr>
                    <w:t>3.50</w:t>
                  </w:r>
                </w:p>
              </w:tc>
              <w:tc>
                <w:tcPr>
                  <w:tcW w:w="333" w:type="pct"/>
                  <w:shd w:val="clear" w:color="000000" w:fill="FFFFFF"/>
                  <w:noWrap/>
                  <w:hideMark/>
                </w:tcPr>
                <w:p w14:paraId="01E313A0"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7F74A52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8F0ED0A" w14:textId="77777777" w:rsidR="00E45009" w:rsidRPr="0025292C" w:rsidRDefault="00E45009" w:rsidP="00E45009">
                  <w:pPr>
                    <w:pStyle w:val="NoSpacing"/>
                    <w:rPr>
                      <w:sz w:val="18"/>
                      <w:szCs w:val="22"/>
                      <w:lang w:val="en-GB"/>
                    </w:rPr>
                  </w:pPr>
                  <w:r w:rsidRPr="0025292C">
                    <w:rPr>
                      <w:sz w:val="18"/>
                      <w:szCs w:val="22"/>
                      <w:lang w:val="en-GB"/>
                    </w:rPr>
                    <w:t>1.63</w:t>
                  </w:r>
                </w:p>
              </w:tc>
            </w:tr>
            <w:tr w:rsidR="00E45009" w:rsidRPr="0025292C" w14:paraId="274FABCC" w14:textId="77777777" w:rsidTr="00DB32C0">
              <w:trPr>
                <w:trHeight w:val="255"/>
              </w:trPr>
              <w:tc>
                <w:tcPr>
                  <w:tcW w:w="267" w:type="pct"/>
                  <w:shd w:val="clear" w:color="000000" w:fill="FFFFFF"/>
                  <w:noWrap/>
                  <w:hideMark/>
                </w:tcPr>
                <w:p w14:paraId="76CE27B7" w14:textId="77777777" w:rsidR="00E45009" w:rsidRPr="0025292C" w:rsidRDefault="00E45009" w:rsidP="00E45009">
                  <w:pPr>
                    <w:pStyle w:val="NoSpacing"/>
                    <w:rPr>
                      <w:sz w:val="18"/>
                      <w:szCs w:val="22"/>
                      <w:lang w:val="en-GB"/>
                    </w:rPr>
                  </w:pPr>
                  <w:r w:rsidRPr="0025292C">
                    <w:rPr>
                      <w:sz w:val="18"/>
                      <w:szCs w:val="22"/>
                      <w:lang w:val="en-GB"/>
                    </w:rPr>
                    <w:t>49</w:t>
                  </w:r>
                </w:p>
              </w:tc>
              <w:tc>
                <w:tcPr>
                  <w:tcW w:w="2195" w:type="pct"/>
                  <w:shd w:val="clear" w:color="000000" w:fill="FFFFFF"/>
                  <w:hideMark/>
                </w:tcPr>
                <w:p w14:paraId="5DD67F68" w14:textId="77777777" w:rsidR="00E45009" w:rsidRPr="0025292C" w:rsidRDefault="00E45009" w:rsidP="00E45009">
                  <w:pPr>
                    <w:pStyle w:val="NoSpacing"/>
                    <w:rPr>
                      <w:sz w:val="18"/>
                      <w:szCs w:val="22"/>
                      <w:lang w:val="en-GB"/>
                    </w:rPr>
                  </w:pPr>
                  <w:r w:rsidRPr="0025292C">
                    <w:rPr>
                      <w:sz w:val="18"/>
                      <w:szCs w:val="22"/>
                      <w:lang w:val="en-GB"/>
                    </w:rPr>
                    <w:t>Infringements of the right to freely elect representatives</w:t>
                  </w:r>
                </w:p>
              </w:tc>
              <w:tc>
                <w:tcPr>
                  <w:tcW w:w="125" w:type="pct"/>
                  <w:shd w:val="clear" w:color="000000" w:fill="FFFFFF"/>
                  <w:hideMark/>
                </w:tcPr>
                <w:p w14:paraId="08E2903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6C3B392" w14:textId="77777777" w:rsidR="00E45009" w:rsidRPr="0025292C" w:rsidRDefault="00E45009" w:rsidP="00E45009">
                  <w:pPr>
                    <w:pStyle w:val="NoSpacing"/>
                    <w:rPr>
                      <w:sz w:val="18"/>
                      <w:szCs w:val="22"/>
                      <w:lang w:val="en-GB"/>
                    </w:rPr>
                  </w:pPr>
                  <w:r w:rsidRPr="0025292C">
                    <w:rPr>
                      <w:sz w:val="18"/>
                      <w:szCs w:val="22"/>
                      <w:lang w:val="en-GB"/>
                    </w:rPr>
                    <w:t>3.93</w:t>
                  </w:r>
                </w:p>
              </w:tc>
              <w:tc>
                <w:tcPr>
                  <w:tcW w:w="335" w:type="pct"/>
                  <w:shd w:val="clear" w:color="000000" w:fill="FFFFFF"/>
                  <w:noWrap/>
                  <w:hideMark/>
                </w:tcPr>
                <w:p w14:paraId="4CCCD236" w14:textId="77777777" w:rsidR="00E45009" w:rsidRPr="0025292C" w:rsidRDefault="00E45009" w:rsidP="00E45009">
                  <w:pPr>
                    <w:pStyle w:val="NoSpacing"/>
                    <w:rPr>
                      <w:sz w:val="18"/>
                      <w:szCs w:val="22"/>
                      <w:lang w:val="en-GB"/>
                    </w:rPr>
                  </w:pPr>
                  <w:r w:rsidRPr="0025292C">
                    <w:rPr>
                      <w:sz w:val="18"/>
                      <w:szCs w:val="22"/>
                      <w:lang w:val="en-GB"/>
                    </w:rPr>
                    <w:t>0.96</w:t>
                  </w:r>
                </w:p>
              </w:tc>
              <w:tc>
                <w:tcPr>
                  <w:tcW w:w="125" w:type="pct"/>
                  <w:shd w:val="clear" w:color="000000" w:fill="FFFFFF"/>
                  <w:noWrap/>
                  <w:hideMark/>
                </w:tcPr>
                <w:p w14:paraId="68A94A4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193EF92" w14:textId="77777777" w:rsidR="00E45009" w:rsidRPr="0025292C" w:rsidRDefault="00E45009" w:rsidP="00E45009">
                  <w:pPr>
                    <w:pStyle w:val="NoSpacing"/>
                    <w:rPr>
                      <w:sz w:val="18"/>
                      <w:szCs w:val="22"/>
                      <w:lang w:val="en-GB"/>
                    </w:rPr>
                  </w:pPr>
                  <w:r w:rsidRPr="0025292C">
                    <w:rPr>
                      <w:sz w:val="18"/>
                      <w:szCs w:val="22"/>
                      <w:lang w:val="en-GB"/>
                    </w:rPr>
                    <w:t>4.21</w:t>
                  </w:r>
                </w:p>
              </w:tc>
              <w:tc>
                <w:tcPr>
                  <w:tcW w:w="333" w:type="pct"/>
                  <w:shd w:val="clear" w:color="000000" w:fill="FFFFFF"/>
                  <w:noWrap/>
                  <w:hideMark/>
                </w:tcPr>
                <w:p w14:paraId="635A8316" w14:textId="77777777" w:rsidR="00E45009" w:rsidRPr="0025292C" w:rsidRDefault="00E45009" w:rsidP="00E45009">
                  <w:pPr>
                    <w:pStyle w:val="NoSpacing"/>
                    <w:rPr>
                      <w:sz w:val="18"/>
                      <w:szCs w:val="22"/>
                      <w:lang w:val="en-GB"/>
                    </w:rPr>
                  </w:pPr>
                  <w:r w:rsidRPr="0025292C">
                    <w:rPr>
                      <w:sz w:val="18"/>
                      <w:szCs w:val="22"/>
                      <w:lang w:val="en-GB"/>
                    </w:rPr>
                    <w:t>0.80</w:t>
                  </w:r>
                </w:p>
              </w:tc>
              <w:tc>
                <w:tcPr>
                  <w:tcW w:w="125" w:type="pct"/>
                  <w:shd w:val="clear" w:color="000000" w:fill="FFFFFF"/>
                  <w:noWrap/>
                  <w:hideMark/>
                </w:tcPr>
                <w:p w14:paraId="2263D509"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AF07F47" w14:textId="77777777" w:rsidR="00E45009" w:rsidRPr="0025292C" w:rsidRDefault="00E45009" w:rsidP="00E45009">
                  <w:pPr>
                    <w:pStyle w:val="NoSpacing"/>
                    <w:rPr>
                      <w:sz w:val="18"/>
                      <w:szCs w:val="22"/>
                      <w:lang w:val="en-GB"/>
                    </w:rPr>
                  </w:pPr>
                  <w:r w:rsidRPr="0025292C">
                    <w:rPr>
                      <w:sz w:val="18"/>
                      <w:szCs w:val="22"/>
                      <w:lang w:val="en-GB"/>
                    </w:rPr>
                    <w:t>1.80</w:t>
                  </w:r>
                </w:p>
              </w:tc>
            </w:tr>
            <w:tr w:rsidR="00E45009" w:rsidRPr="0025292C" w14:paraId="667B64FB" w14:textId="77777777" w:rsidTr="00DB32C0">
              <w:trPr>
                <w:trHeight w:val="255"/>
              </w:trPr>
              <w:tc>
                <w:tcPr>
                  <w:tcW w:w="267" w:type="pct"/>
                  <w:shd w:val="clear" w:color="000000" w:fill="FFFFFF"/>
                  <w:noWrap/>
                  <w:hideMark/>
                </w:tcPr>
                <w:p w14:paraId="367E8541" w14:textId="77777777" w:rsidR="00E45009" w:rsidRPr="0025292C" w:rsidRDefault="00E45009" w:rsidP="00E45009">
                  <w:pPr>
                    <w:pStyle w:val="NoSpacing"/>
                    <w:rPr>
                      <w:sz w:val="18"/>
                      <w:szCs w:val="22"/>
                      <w:lang w:val="en-GB"/>
                    </w:rPr>
                  </w:pPr>
                  <w:r w:rsidRPr="0025292C">
                    <w:rPr>
                      <w:sz w:val="18"/>
                      <w:szCs w:val="22"/>
                      <w:lang w:val="en-GB"/>
                    </w:rPr>
                    <w:t>50</w:t>
                  </w:r>
                </w:p>
              </w:tc>
              <w:tc>
                <w:tcPr>
                  <w:tcW w:w="2195" w:type="pct"/>
                  <w:shd w:val="clear" w:color="000000" w:fill="FFFFFF"/>
                  <w:hideMark/>
                </w:tcPr>
                <w:p w14:paraId="2ECAE7C8" w14:textId="77777777" w:rsidR="00E45009" w:rsidRPr="0025292C" w:rsidRDefault="00E45009" w:rsidP="00E45009">
                  <w:pPr>
                    <w:pStyle w:val="NoSpacing"/>
                    <w:rPr>
                      <w:sz w:val="18"/>
                      <w:szCs w:val="22"/>
                      <w:lang w:val="en-GB"/>
                    </w:rPr>
                  </w:pPr>
                  <w:r w:rsidRPr="0025292C">
                    <w:rPr>
                      <w:sz w:val="18"/>
                      <w:szCs w:val="22"/>
                      <w:lang w:val="en-GB"/>
                    </w:rPr>
                    <w:t>Infringements of the right to freely organize and control financial administration</w:t>
                  </w:r>
                </w:p>
              </w:tc>
              <w:tc>
                <w:tcPr>
                  <w:tcW w:w="125" w:type="pct"/>
                  <w:shd w:val="clear" w:color="000000" w:fill="FFFFFF"/>
                  <w:hideMark/>
                </w:tcPr>
                <w:p w14:paraId="392A9CF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2D4FAF0" w14:textId="77777777" w:rsidR="00E45009" w:rsidRPr="0025292C" w:rsidRDefault="00E45009" w:rsidP="00E45009">
                  <w:pPr>
                    <w:pStyle w:val="NoSpacing"/>
                    <w:rPr>
                      <w:sz w:val="18"/>
                      <w:szCs w:val="22"/>
                      <w:lang w:val="en-GB"/>
                    </w:rPr>
                  </w:pPr>
                  <w:r w:rsidRPr="0025292C">
                    <w:rPr>
                      <w:sz w:val="18"/>
                      <w:szCs w:val="22"/>
                      <w:lang w:val="en-GB"/>
                    </w:rPr>
                    <w:t>3.46</w:t>
                  </w:r>
                </w:p>
              </w:tc>
              <w:tc>
                <w:tcPr>
                  <w:tcW w:w="335" w:type="pct"/>
                  <w:shd w:val="clear" w:color="000000" w:fill="FFFFFF"/>
                  <w:noWrap/>
                  <w:hideMark/>
                </w:tcPr>
                <w:p w14:paraId="2FAB940B" w14:textId="77777777" w:rsidR="00E45009" w:rsidRPr="0025292C" w:rsidRDefault="00E45009" w:rsidP="00E45009">
                  <w:pPr>
                    <w:pStyle w:val="NoSpacing"/>
                    <w:rPr>
                      <w:sz w:val="18"/>
                      <w:szCs w:val="22"/>
                      <w:lang w:val="en-GB"/>
                    </w:rPr>
                  </w:pPr>
                  <w:r w:rsidRPr="0025292C">
                    <w:rPr>
                      <w:sz w:val="18"/>
                      <w:szCs w:val="22"/>
                      <w:lang w:val="en-GB"/>
                    </w:rPr>
                    <w:t>0.94</w:t>
                  </w:r>
                </w:p>
              </w:tc>
              <w:tc>
                <w:tcPr>
                  <w:tcW w:w="125" w:type="pct"/>
                  <w:shd w:val="clear" w:color="000000" w:fill="FFFFFF"/>
                  <w:noWrap/>
                  <w:hideMark/>
                </w:tcPr>
                <w:p w14:paraId="645B2F14"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929FE3D" w14:textId="77777777" w:rsidR="00E45009" w:rsidRPr="0025292C" w:rsidRDefault="00E45009" w:rsidP="00E45009">
                  <w:pPr>
                    <w:pStyle w:val="NoSpacing"/>
                    <w:rPr>
                      <w:sz w:val="18"/>
                      <w:szCs w:val="22"/>
                      <w:lang w:val="en-GB"/>
                    </w:rPr>
                  </w:pPr>
                  <w:r w:rsidRPr="0025292C">
                    <w:rPr>
                      <w:sz w:val="18"/>
                      <w:szCs w:val="22"/>
                      <w:lang w:val="en-GB"/>
                    </w:rPr>
                    <w:t>3.36</w:t>
                  </w:r>
                </w:p>
              </w:tc>
              <w:tc>
                <w:tcPr>
                  <w:tcW w:w="333" w:type="pct"/>
                  <w:shd w:val="clear" w:color="000000" w:fill="FFFFFF"/>
                  <w:noWrap/>
                  <w:hideMark/>
                </w:tcPr>
                <w:p w14:paraId="7B0B3A2E" w14:textId="77777777" w:rsidR="00E45009" w:rsidRPr="0025292C" w:rsidRDefault="00E45009" w:rsidP="00E45009">
                  <w:pPr>
                    <w:pStyle w:val="NoSpacing"/>
                    <w:rPr>
                      <w:sz w:val="18"/>
                      <w:szCs w:val="22"/>
                      <w:lang w:val="en-GB"/>
                    </w:rPr>
                  </w:pPr>
                  <w:r w:rsidRPr="0025292C">
                    <w:rPr>
                      <w:sz w:val="18"/>
                      <w:szCs w:val="22"/>
                      <w:lang w:val="en-GB"/>
                    </w:rPr>
                    <w:t>0.93</w:t>
                  </w:r>
                </w:p>
              </w:tc>
              <w:tc>
                <w:tcPr>
                  <w:tcW w:w="125" w:type="pct"/>
                  <w:shd w:val="clear" w:color="000000" w:fill="FFFFFF"/>
                  <w:noWrap/>
                  <w:hideMark/>
                </w:tcPr>
                <w:p w14:paraId="78C3F69C"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0D8C146" w14:textId="77777777" w:rsidR="00E45009" w:rsidRPr="0025292C" w:rsidRDefault="00E45009" w:rsidP="00E45009">
                  <w:pPr>
                    <w:pStyle w:val="NoSpacing"/>
                    <w:rPr>
                      <w:sz w:val="18"/>
                      <w:szCs w:val="22"/>
                      <w:lang w:val="en-GB"/>
                    </w:rPr>
                  </w:pPr>
                  <w:r w:rsidRPr="0025292C">
                    <w:rPr>
                      <w:sz w:val="18"/>
                      <w:szCs w:val="22"/>
                      <w:lang w:val="en-GB"/>
                    </w:rPr>
                    <w:t>1.59</w:t>
                  </w:r>
                </w:p>
              </w:tc>
            </w:tr>
            <w:tr w:rsidR="00E45009" w:rsidRPr="0025292C" w14:paraId="1719A39B" w14:textId="77777777" w:rsidTr="00DB32C0">
              <w:trPr>
                <w:trHeight w:val="255"/>
              </w:trPr>
              <w:tc>
                <w:tcPr>
                  <w:tcW w:w="267" w:type="pct"/>
                  <w:shd w:val="clear" w:color="000000" w:fill="FFFFFF"/>
                  <w:noWrap/>
                  <w:hideMark/>
                </w:tcPr>
                <w:p w14:paraId="26DDE71F" w14:textId="77777777" w:rsidR="00E45009" w:rsidRPr="0025292C" w:rsidRDefault="00E45009" w:rsidP="00E45009">
                  <w:pPr>
                    <w:pStyle w:val="NoSpacing"/>
                    <w:rPr>
                      <w:sz w:val="18"/>
                      <w:szCs w:val="22"/>
                      <w:lang w:val="en-GB"/>
                    </w:rPr>
                  </w:pPr>
                  <w:r w:rsidRPr="0025292C">
                    <w:rPr>
                      <w:sz w:val="18"/>
                      <w:szCs w:val="22"/>
                      <w:lang w:val="en-GB"/>
                    </w:rPr>
                    <w:t>51</w:t>
                  </w:r>
                </w:p>
              </w:tc>
              <w:tc>
                <w:tcPr>
                  <w:tcW w:w="2195" w:type="pct"/>
                  <w:shd w:val="clear" w:color="000000" w:fill="FFFFFF"/>
                  <w:hideMark/>
                </w:tcPr>
                <w:p w14:paraId="29F8665B" w14:textId="77777777" w:rsidR="00E45009" w:rsidRPr="0025292C" w:rsidRDefault="00E45009" w:rsidP="00E45009">
                  <w:pPr>
                    <w:pStyle w:val="NoSpacing"/>
                    <w:rPr>
                      <w:sz w:val="18"/>
                      <w:szCs w:val="22"/>
                      <w:lang w:val="en-GB"/>
                    </w:rPr>
                  </w:pPr>
                  <w:r w:rsidRPr="0025292C">
                    <w:rPr>
                      <w:sz w:val="18"/>
                      <w:szCs w:val="22"/>
                      <w:lang w:val="en-GB"/>
                    </w:rPr>
                    <w:t>Infringements of the right to freely organize activities/programmes</w:t>
                  </w:r>
                </w:p>
              </w:tc>
              <w:tc>
                <w:tcPr>
                  <w:tcW w:w="125" w:type="pct"/>
                  <w:shd w:val="clear" w:color="000000" w:fill="FFFFFF"/>
                  <w:hideMark/>
                </w:tcPr>
                <w:p w14:paraId="397B7F9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1DA5EC1" w14:textId="77777777" w:rsidR="00E45009" w:rsidRPr="0025292C" w:rsidRDefault="00E45009" w:rsidP="00E45009">
                  <w:pPr>
                    <w:pStyle w:val="NoSpacing"/>
                    <w:rPr>
                      <w:sz w:val="18"/>
                      <w:szCs w:val="22"/>
                      <w:lang w:val="en-GB"/>
                    </w:rPr>
                  </w:pPr>
                  <w:r w:rsidRPr="0025292C">
                    <w:rPr>
                      <w:sz w:val="18"/>
                      <w:szCs w:val="22"/>
                      <w:lang w:val="en-GB"/>
                    </w:rPr>
                    <w:t>3.99</w:t>
                  </w:r>
                </w:p>
              </w:tc>
              <w:tc>
                <w:tcPr>
                  <w:tcW w:w="335" w:type="pct"/>
                  <w:shd w:val="clear" w:color="000000" w:fill="FFFFFF"/>
                  <w:noWrap/>
                  <w:hideMark/>
                </w:tcPr>
                <w:p w14:paraId="4171F3F8"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4BA9537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9F435C1" w14:textId="77777777" w:rsidR="00E45009" w:rsidRPr="0025292C" w:rsidRDefault="00E45009" w:rsidP="00E45009">
                  <w:pPr>
                    <w:pStyle w:val="NoSpacing"/>
                    <w:rPr>
                      <w:sz w:val="18"/>
                      <w:szCs w:val="22"/>
                      <w:lang w:val="en-GB"/>
                    </w:rPr>
                  </w:pPr>
                  <w:r w:rsidRPr="0025292C">
                    <w:rPr>
                      <w:sz w:val="18"/>
                      <w:szCs w:val="22"/>
                      <w:lang w:val="en-GB"/>
                    </w:rPr>
                    <w:t>4.21</w:t>
                  </w:r>
                </w:p>
              </w:tc>
              <w:tc>
                <w:tcPr>
                  <w:tcW w:w="333" w:type="pct"/>
                  <w:shd w:val="clear" w:color="000000" w:fill="FFFFFF"/>
                  <w:noWrap/>
                  <w:hideMark/>
                </w:tcPr>
                <w:p w14:paraId="68BEFD0F"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01FF216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3B08CE3" w14:textId="77777777" w:rsidR="00E45009" w:rsidRPr="0025292C" w:rsidRDefault="00E45009" w:rsidP="00E45009">
                  <w:pPr>
                    <w:pStyle w:val="NoSpacing"/>
                    <w:rPr>
                      <w:sz w:val="18"/>
                      <w:szCs w:val="22"/>
                      <w:lang w:val="en-GB"/>
                    </w:rPr>
                  </w:pPr>
                  <w:r w:rsidRPr="0025292C">
                    <w:rPr>
                      <w:sz w:val="18"/>
                      <w:szCs w:val="22"/>
                      <w:lang w:val="en-GB"/>
                    </w:rPr>
                    <w:t>1.80</w:t>
                  </w:r>
                </w:p>
              </w:tc>
            </w:tr>
            <w:tr w:rsidR="00E45009" w:rsidRPr="0025292C" w14:paraId="585378BC" w14:textId="77777777" w:rsidTr="00DB32C0">
              <w:trPr>
                <w:trHeight w:val="255"/>
              </w:trPr>
              <w:tc>
                <w:tcPr>
                  <w:tcW w:w="267" w:type="pct"/>
                  <w:shd w:val="clear" w:color="000000" w:fill="FFFFFF"/>
                  <w:noWrap/>
                  <w:hideMark/>
                </w:tcPr>
                <w:p w14:paraId="4DA63232" w14:textId="77777777" w:rsidR="00E45009" w:rsidRPr="0025292C" w:rsidRDefault="00E45009" w:rsidP="00E45009">
                  <w:pPr>
                    <w:pStyle w:val="NoSpacing"/>
                    <w:rPr>
                      <w:sz w:val="18"/>
                      <w:szCs w:val="22"/>
                      <w:lang w:val="en-GB"/>
                    </w:rPr>
                  </w:pPr>
                  <w:r w:rsidRPr="0025292C">
                    <w:rPr>
                      <w:sz w:val="18"/>
                      <w:szCs w:val="22"/>
                      <w:lang w:val="en-GB"/>
                    </w:rPr>
                    <w:t>52</w:t>
                  </w:r>
                </w:p>
              </w:tc>
              <w:tc>
                <w:tcPr>
                  <w:tcW w:w="2195" w:type="pct"/>
                  <w:shd w:val="clear" w:color="000000" w:fill="FFFFFF"/>
                  <w:hideMark/>
                </w:tcPr>
                <w:p w14:paraId="7BE08D8A" w14:textId="77777777" w:rsidR="00E45009" w:rsidRPr="0025292C" w:rsidRDefault="00E45009" w:rsidP="00E45009">
                  <w:pPr>
                    <w:pStyle w:val="NoSpacing"/>
                    <w:rPr>
                      <w:sz w:val="18"/>
                      <w:szCs w:val="22"/>
                      <w:lang w:val="en-GB"/>
                    </w:rPr>
                  </w:pPr>
                  <w:r w:rsidRPr="0025292C">
                    <w:rPr>
                      <w:sz w:val="18"/>
                      <w:szCs w:val="22"/>
                      <w:lang w:val="en-GB"/>
                    </w:rPr>
                    <w:t>Prohibition of all political activities</w:t>
                  </w:r>
                </w:p>
              </w:tc>
              <w:tc>
                <w:tcPr>
                  <w:tcW w:w="125" w:type="pct"/>
                  <w:shd w:val="clear" w:color="000000" w:fill="FFFFFF"/>
                  <w:hideMark/>
                </w:tcPr>
                <w:p w14:paraId="70A2DE1E"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3300FD2" w14:textId="77777777" w:rsidR="00E45009" w:rsidRPr="0025292C" w:rsidRDefault="00E45009" w:rsidP="00E45009">
                  <w:pPr>
                    <w:pStyle w:val="NoSpacing"/>
                    <w:rPr>
                      <w:sz w:val="18"/>
                      <w:szCs w:val="22"/>
                      <w:lang w:val="en-GB"/>
                    </w:rPr>
                  </w:pPr>
                  <w:r w:rsidRPr="0025292C">
                    <w:rPr>
                      <w:sz w:val="18"/>
                      <w:szCs w:val="22"/>
                      <w:lang w:val="en-GB"/>
                    </w:rPr>
                    <w:t>3.62</w:t>
                  </w:r>
                </w:p>
              </w:tc>
              <w:tc>
                <w:tcPr>
                  <w:tcW w:w="335" w:type="pct"/>
                  <w:shd w:val="clear" w:color="000000" w:fill="FFFFFF"/>
                  <w:noWrap/>
                  <w:hideMark/>
                </w:tcPr>
                <w:p w14:paraId="55DBCCEB" w14:textId="77777777" w:rsidR="00E45009" w:rsidRPr="0025292C" w:rsidRDefault="00E45009" w:rsidP="00E45009">
                  <w:pPr>
                    <w:pStyle w:val="NoSpacing"/>
                    <w:rPr>
                      <w:sz w:val="18"/>
                      <w:szCs w:val="22"/>
                      <w:lang w:val="en-GB"/>
                    </w:rPr>
                  </w:pPr>
                  <w:r w:rsidRPr="0025292C">
                    <w:rPr>
                      <w:sz w:val="18"/>
                      <w:szCs w:val="22"/>
                      <w:lang w:val="en-GB"/>
                    </w:rPr>
                    <w:t>1.34</w:t>
                  </w:r>
                </w:p>
              </w:tc>
              <w:tc>
                <w:tcPr>
                  <w:tcW w:w="125" w:type="pct"/>
                  <w:shd w:val="clear" w:color="000000" w:fill="FFFFFF"/>
                  <w:noWrap/>
                  <w:hideMark/>
                </w:tcPr>
                <w:p w14:paraId="6C51473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525B56B" w14:textId="77777777" w:rsidR="00E45009" w:rsidRPr="0025292C" w:rsidRDefault="00E45009" w:rsidP="00E45009">
                  <w:pPr>
                    <w:pStyle w:val="NoSpacing"/>
                    <w:rPr>
                      <w:sz w:val="18"/>
                      <w:szCs w:val="22"/>
                      <w:lang w:val="en-GB"/>
                    </w:rPr>
                  </w:pPr>
                  <w:r w:rsidRPr="0025292C">
                    <w:rPr>
                      <w:sz w:val="18"/>
                      <w:szCs w:val="22"/>
                      <w:lang w:val="en-GB"/>
                    </w:rPr>
                    <w:t>3.93</w:t>
                  </w:r>
                </w:p>
              </w:tc>
              <w:tc>
                <w:tcPr>
                  <w:tcW w:w="333" w:type="pct"/>
                  <w:shd w:val="clear" w:color="000000" w:fill="FFFFFF"/>
                  <w:noWrap/>
                  <w:hideMark/>
                </w:tcPr>
                <w:p w14:paraId="12AD7269" w14:textId="77777777" w:rsidR="00E45009" w:rsidRPr="0025292C" w:rsidRDefault="00E45009" w:rsidP="00E45009">
                  <w:pPr>
                    <w:pStyle w:val="NoSpacing"/>
                    <w:rPr>
                      <w:sz w:val="18"/>
                      <w:szCs w:val="22"/>
                      <w:lang w:val="en-GB"/>
                    </w:rPr>
                  </w:pPr>
                  <w:r w:rsidRPr="0025292C">
                    <w:rPr>
                      <w:sz w:val="18"/>
                      <w:szCs w:val="22"/>
                      <w:lang w:val="en-GB"/>
                    </w:rPr>
                    <w:t>0.92</w:t>
                  </w:r>
                </w:p>
              </w:tc>
              <w:tc>
                <w:tcPr>
                  <w:tcW w:w="125" w:type="pct"/>
                  <w:shd w:val="clear" w:color="000000" w:fill="FFFFFF"/>
                  <w:noWrap/>
                  <w:hideMark/>
                </w:tcPr>
                <w:p w14:paraId="230AE3E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3D548B7" w14:textId="77777777" w:rsidR="00E45009" w:rsidRPr="0025292C" w:rsidRDefault="00E45009" w:rsidP="00E45009">
                  <w:pPr>
                    <w:pStyle w:val="NoSpacing"/>
                    <w:rPr>
                      <w:sz w:val="18"/>
                      <w:szCs w:val="22"/>
                      <w:lang w:val="en-GB"/>
                    </w:rPr>
                  </w:pPr>
                  <w:r w:rsidRPr="0025292C">
                    <w:rPr>
                      <w:sz w:val="18"/>
                      <w:szCs w:val="22"/>
                      <w:lang w:val="en-GB"/>
                    </w:rPr>
                    <w:t>1.73</w:t>
                  </w:r>
                </w:p>
              </w:tc>
            </w:tr>
            <w:tr w:rsidR="00E45009" w:rsidRPr="0025292C" w14:paraId="5990342F" w14:textId="77777777" w:rsidTr="00DB32C0">
              <w:trPr>
                <w:trHeight w:val="255"/>
              </w:trPr>
              <w:tc>
                <w:tcPr>
                  <w:tcW w:w="267" w:type="pct"/>
                  <w:shd w:val="clear" w:color="000000" w:fill="FFFFFF"/>
                  <w:noWrap/>
                  <w:hideMark/>
                </w:tcPr>
                <w:p w14:paraId="154B9FA3" w14:textId="77777777" w:rsidR="00E45009" w:rsidRPr="0025292C" w:rsidRDefault="00E45009" w:rsidP="00E45009">
                  <w:pPr>
                    <w:pStyle w:val="NoSpacing"/>
                    <w:rPr>
                      <w:sz w:val="18"/>
                      <w:szCs w:val="22"/>
                      <w:lang w:val="en-GB"/>
                    </w:rPr>
                  </w:pPr>
                  <w:r w:rsidRPr="0025292C">
                    <w:rPr>
                      <w:sz w:val="18"/>
                      <w:szCs w:val="22"/>
                      <w:lang w:val="en-GB"/>
                    </w:rPr>
                    <w:t>53</w:t>
                  </w:r>
                </w:p>
              </w:tc>
              <w:tc>
                <w:tcPr>
                  <w:tcW w:w="2195" w:type="pct"/>
                  <w:shd w:val="clear" w:color="000000" w:fill="FFFFFF"/>
                  <w:hideMark/>
                </w:tcPr>
                <w:p w14:paraId="1137F3CE"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48-52</w:t>
                  </w:r>
                </w:p>
              </w:tc>
              <w:tc>
                <w:tcPr>
                  <w:tcW w:w="125" w:type="pct"/>
                  <w:shd w:val="clear" w:color="000000" w:fill="FFFFFF"/>
                  <w:hideMark/>
                </w:tcPr>
                <w:p w14:paraId="2A90D32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101EE58" w14:textId="77777777" w:rsidR="00E45009" w:rsidRPr="0025292C" w:rsidRDefault="00E45009" w:rsidP="00E45009">
                  <w:pPr>
                    <w:pStyle w:val="NoSpacing"/>
                    <w:rPr>
                      <w:sz w:val="18"/>
                      <w:szCs w:val="22"/>
                      <w:lang w:val="en-GB"/>
                    </w:rPr>
                  </w:pPr>
                  <w:r w:rsidRPr="0025292C">
                    <w:rPr>
                      <w:sz w:val="18"/>
                      <w:szCs w:val="22"/>
                      <w:lang w:val="en-GB"/>
                    </w:rPr>
                    <w:t>4.00</w:t>
                  </w:r>
                </w:p>
              </w:tc>
              <w:tc>
                <w:tcPr>
                  <w:tcW w:w="335" w:type="pct"/>
                  <w:shd w:val="clear" w:color="000000" w:fill="FFFFFF"/>
                  <w:noWrap/>
                  <w:hideMark/>
                </w:tcPr>
                <w:p w14:paraId="122151A8" w14:textId="77777777" w:rsidR="00E45009" w:rsidRPr="0025292C" w:rsidRDefault="00E45009" w:rsidP="00E45009">
                  <w:pPr>
                    <w:pStyle w:val="NoSpacing"/>
                    <w:rPr>
                      <w:sz w:val="18"/>
                      <w:szCs w:val="22"/>
                      <w:lang w:val="en-GB"/>
                    </w:rPr>
                  </w:pPr>
                  <w:r w:rsidRPr="0025292C">
                    <w:rPr>
                      <w:sz w:val="18"/>
                      <w:szCs w:val="22"/>
                      <w:lang w:val="en-GB"/>
                    </w:rPr>
                    <w:t>1.24</w:t>
                  </w:r>
                </w:p>
              </w:tc>
              <w:tc>
                <w:tcPr>
                  <w:tcW w:w="125" w:type="pct"/>
                  <w:shd w:val="clear" w:color="000000" w:fill="FFFFFF"/>
                  <w:noWrap/>
                  <w:hideMark/>
                </w:tcPr>
                <w:p w14:paraId="2346498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A7FECC0"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78AA75BC"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3E73B46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7DC4D59"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0130F5DE" w14:textId="77777777" w:rsidTr="00DB32C0">
              <w:trPr>
                <w:trHeight w:val="255"/>
              </w:trPr>
              <w:tc>
                <w:tcPr>
                  <w:tcW w:w="267" w:type="pct"/>
                  <w:shd w:val="clear" w:color="000000" w:fill="FFFFFF"/>
                  <w:noWrap/>
                  <w:hideMark/>
                </w:tcPr>
                <w:p w14:paraId="0C2EDBCC"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7CB2EA16" w14:textId="77777777" w:rsidR="00E45009" w:rsidRPr="0025292C" w:rsidRDefault="00E45009" w:rsidP="00E45009">
                  <w:pPr>
                    <w:pStyle w:val="NoSpacing"/>
                    <w:rPr>
                      <w:b/>
                      <w:bCs/>
                      <w:sz w:val="18"/>
                      <w:szCs w:val="22"/>
                      <w:lang w:val="en-GB"/>
                    </w:rPr>
                  </w:pPr>
                  <w:r w:rsidRPr="0025292C">
                    <w:rPr>
                      <w:b/>
                      <w:bCs/>
                      <w:sz w:val="18"/>
                      <w:szCs w:val="22"/>
                      <w:lang w:val="en-GB"/>
                    </w:rPr>
                    <w:t>IIIb. Other union activities in practice</w:t>
                  </w:r>
                </w:p>
              </w:tc>
              <w:tc>
                <w:tcPr>
                  <w:tcW w:w="125" w:type="pct"/>
                  <w:shd w:val="clear" w:color="000000" w:fill="FFFFFF"/>
                  <w:hideMark/>
                </w:tcPr>
                <w:p w14:paraId="76CB4B0B"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700AEB57"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6DF35CAB"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2C36F3E6"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337880F"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146B888F"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C62990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D94D15E"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5A1CE053" w14:textId="77777777" w:rsidTr="00DB32C0">
              <w:trPr>
                <w:trHeight w:val="255"/>
              </w:trPr>
              <w:tc>
                <w:tcPr>
                  <w:tcW w:w="267" w:type="pct"/>
                  <w:shd w:val="clear" w:color="000000" w:fill="FFFFFF"/>
                  <w:noWrap/>
                  <w:hideMark/>
                </w:tcPr>
                <w:p w14:paraId="4E54FCB8" w14:textId="77777777" w:rsidR="00E45009" w:rsidRPr="0025292C" w:rsidRDefault="00E45009" w:rsidP="00E45009">
                  <w:pPr>
                    <w:pStyle w:val="NoSpacing"/>
                    <w:rPr>
                      <w:sz w:val="18"/>
                      <w:szCs w:val="22"/>
                      <w:lang w:val="en-GB"/>
                    </w:rPr>
                  </w:pPr>
                  <w:r w:rsidRPr="0025292C">
                    <w:rPr>
                      <w:sz w:val="18"/>
                      <w:szCs w:val="22"/>
                      <w:lang w:val="en-GB"/>
                    </w:rPr>
                    <w:t>54</w:t>
                  </w:r>
                </w:p>
              </w:tc>
              <w:tc>
                <w:tcPr>
                  <w:tcW w:w="2195" w:type="pct"/>
                  <w:shd w:val="clear" w:color="000000" w:fill="FFFFFF"/>
                  <w:hideMark/>
                </w:tcPr>
                <w:p w14:paraId="2D700C18" w14:textId="77777777" w:rsidR="00E45009" w:rsidRPr="0025292C" w:rsidRDefault="00E45009" w:rsidP="00E45009">
                  <w:pPr>
                    <w:pStyle w:val="NoSpacing"/>
                    <w:rPr>
                      <w:sz w:val="18"/>
                      <w:szCs w:val="22"/>
                      <w:lang w:val="en-GB"/>
                    </w:rPr>
                  </w:pPr>
                  <w:r w:rsidRPr="0025292C">
                    <w:rPr>
                      <w:sz w:val="18"/>
                      <w:szCs w:val="22"/>
                      <w:lang w:val="en-GB"/>
                    </w:rPr>
                    <w:t>Infringements of the right to freely draw up constitutions and internal rules and administration</w:t>
                  </w:r>
                </w:p>
              </w:tc>
              <w:tc>
                <w:tcPr>
                  <w:tcW w:w="125" w:type="pct"/>
                  <w:shd w:val="clear" w:color="000000" w:fill="FFFFFF"/>
                  <w:hideMark/>
                </w:tcPr>
                <w:p w14:paraId="3E8CAD37"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5DDEF2C" w14:textId="77777777" w:rsidR="00E45009" w:rsidRPr="0025292C" w:rsidRDefault="00E45009" w:rsidP="00E45009">
                  <w:pPr>
                    <w:pStyle w:val="NoSpacing"/>
                    <w:rPr>
                      <w:sz w:val="18"/>
                      <w:szCs w:val="22"/>
                      <w:lang w:val="en-GB"/>
                    </w:rPr>
                  </w:pPr>
                  <w:r w:rsidRPr="0025292C">
                    <w:rPr>
                      <w:sz w:val="18"/>
                      <w:szCs w:val="22"/>
                      <w:lang w:val="en-GB"/>
                    </w:rPr>
                    <w:t>3.92</w:t>
                  </w:r>
                </w:p>
              </w:tc>
              <w:tc>
                <w:tcPr>
                  <w:tcW w:w="335" w:type="pct"/>
                  <w:shd w:val="clear" w:color="000000" w:fill="FFFFFF"/>
                  <w:noWrap/>
                  <w:hideMark/>
                </w:tcPr>
                <w:p w14:paraId="1E2D3CCF" w14:textId="77777777" w:rsidR="00E45009" w:rsidRPr="0025292C" w:rsidRDefault="00E45009" w:rsidP="00E45009">
                  <w:pPr>
                    <w:pStyle w:val="NoSpacing"/>
                    <w:rPr>
                      <w:sz w:val="18"/>
                      <w:szCs w:val="22"/>
                      <w:lang w:val="en-GB"/>
                    </w:rPr>
                  </w:pPr>
                  <w:r w:rsidRPr="0025292C">
                    <w:rPr>
                      <w:sz w:val="18"/>
                      <w:szCs w:val="22"/>
                      <w:lang w:val="en-GB"/>
                    </w:rPr>
                    <w:t>0.77</w:t>
                  </w:r>
                </w:p>
              </w:tc>
              <w:tc>
                <w:tcPr>
                  <w:tcW w:w="125" w:type="pct"/>
                  <w:shd w:val="clear" w:color="000000" w:fill="FFFFFF"/>
                  <w:noWrap/>
                  <w:hideMark/>
                </w:tcPr>
                <w:p w14:paraId="4882922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42E1B3D" w14:textId="77777777" w:rsidR="00E45009" w:rsidRPr="0025292C" w:rsidRDefault="00E45009" w:rsidP="00E45009">
                  <w:pPr>
                    <w:pStyle w:val="NoSpacing"/>
                    <w:rPr>
                      <w:sz w:val="18"/>
                      <w:szCs w:val="22"/>
                      <w:lang w:val="en-GB"/>
                    </w:rPr>
                  </w:pPr>
                  <w:r w:rsidRPr="0025292C">
                    <w:rPr>
                      <w:sz w:val="18"/>
                      <w:szCs w:val="22"/>
                      <w:lang w:val="en-GB"/>
                    </w:rPr>
                    <w:t>4.00</w:t>
                  </w:r>
                </w:p>
              </w:tc>
              <w:tc>
                <w:tcPr>
                  <w:tcW w:w="333" w:type="pct"/>
                  <w:shd w:val="clear" w:color="000000" w:fill="FFFFFF"/>
                  <w:noWrap/>
                  <w:hideMark/>
                </w:tcPr>
                <w:p w14:paraId="07D7E607" w14:textId="77777777" w:rsidR="00E45009" w:rsidRPr="0025292C" w:rsidRDefault="00E45009" w:rsidP="00E45009">
                  <w:pPr>
                    <w:pStyle w:val="NoSpacing"/>
                    <w:rPr>
                      <w:sz w:val="18"/>
                      <w:szCs w:val="22"/>
                      <w:lang w:val="en-GB"/>
                    </w:rPr>
                  </w:pPr>
                  <w:r w:rsidRPr="0025292C">
                    <w:rPr>
                      <w:sz w:val="18"/>
                      <w:szCs w:val="22"/>
                      <w:lang w:val="en-GB"/>
                    </w:rPr>
                    <w:t>0.55</w:t>
                  </w:r>
                </w:p>
              </w:tc>
              <w:tc>
                <w:tcPr>
                  <w:tcW w:w="125" w:type="pct"/>
                  <w:shd w:val="clear" w:color="000000" w:fill="FFFFFF"/>
                  <w:noWrap/>
                  <w:hideMark/>
                </w:tcPr>
                <w:p w14:paraId="00A05F7B"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37BA95B" w14:textId="77777777" w:rsidR="00E45009" w:rsidRPr="0025292C" w:rsidRDefault="00E45009" w:rsidP="00E45009">
                  <w:pPr>
                    <w:pStyle w:val="NoSpacing"/>
                    <w:rPr>
                      <w:sz w:val="18"/>
                      <w:szCs w:val="22"/>
                      <w:lang w:val="en-GB"/>
                    </w:rPr>
                  </w:pPr>
                  <w:r w:rsidRPr="0025292C">
                    <w:rPr>
                      <w:sz w:val="18"/>
                      <w:szCs w:val="22"/>
                      <w:lang w:val="en-GB"/>
                    </w:rPr>
                    <w:t>1.75</w:t>
                  </w:r>
                </w:p>
              </w:tc>
            </w:tr>
            <w:tr w:rsidR="00E45009" w:rsidRPr="0025292C" w14:paraId="05D3C7D4" w14:textId="77777777" w:rsidTr="00DB32C0">
              <w:trPr>
                <w:trHeight w:val="255"/>
              </w:trPr>
              <w:tc>
                <w:tcPr>
                  <w:tcW w:w="267" w:type="pct"/>
                  <w:shd w:val="clear" w:color="000000" w:fill="FFFFFF"/>
                  <w:noWrap/>
                  <w:hideMark/>
                </w:tcPr>
                <w:p w14:paraId="20D6B472" w14:textId="77777777" w:rsidR="00E45009" w:rsidRPr="0025292C" w:rsidRDefault="00E45009" w:rsidP="00E45009">
                  <w:pPr>
                    <w:pStyle w:val="NoSpacing"/>
                    <w:rPr>
                      <w:sz w:val="18"/>
                      <w:szCs w:val="22"/>
                      <w:lang w:val="en-GB"/>
                    </w:rPr>
                  </w:pPr>
                  <w:r w:rsidRPr="0025292C">
                    <w:rPr>
                      <w:sz w:val="18"/>
                      <w:szCs w:val="22"/>
                      <w:lang w:val="en-GB"/>
                    </w:rPr>
                    <w:t>55</w:t>
                  </w:r>
                </w:p>
              </w:tc>
              <w:tc>
                <w:tcPr>
                  <w:tcW w:w="2195" w:type="pct"/>
                  <w:shd w:val="clear" w:color="000000" w:fill="FFFFFF"/>
                  <w:hideMark/>
                </w:tcPr>
                <w:p w14:paraId="67D544F1" w14:textId="77777777" w:rsidR="00E45009" w:rsidRPr="0025292C" w:rsidRDefault="00E45009" w:rsidP="00E45009">
                  <w:pPr>
                    <w:pStyle w:val="NoSpacing"/>
                    <w:rPr>
                      <w:sz w:val="18"/>
                      <w:szCs w:val="22"/>
                      <w:lang w:val="en-GB"/>
                    </w:rPr>
                  </w:pPr>
                  <w:r w:rsidRPr="0025292C">
                    <w:rPr>
                      <w:sz w:val="18"/>
                      <w:szCs w:val="22"/>
                      <w:lang w:val="en-GB"/>
                    </w:rPr>
                    <w:t>Infringements of the right to freely elect representatives</w:t>
                  </w:r>
                </w:p>
              </w:tc>
              <w:tc>
                <w:tcPr>
                  <w:tcW w:w="125" w:type="pct"/>
                  <w:shd w:val="clear" w:color="000000" w:fill="FFFFFF"/>
                  <w:hideMark/>
                </w:tcPr>
                <w:p w14:paraId="7BC2AEF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6BFE6CA" w14:textId="77777777" w:rsidR="00E45009" w:rsidRPr="0025292C" w:rsidRDefault="00E45009" w:rsidP="00E45009">
                  <w:pPr>
                    <w:pStyle w:val="NoSpacing"/>
                    <w:rPr>
                      <w:sz w:val="18"/>
                      <w:szCs w:val="22"/>
                      <w:lang w:val="en-GB"/>
                    </w:rPr>
                  </w:pPr>
                  <w:r w:rsidRPr="0025292C">
                    <w:rPr>
                      <w:sz w:val="18"/>
                      <w:szCs w:val="22"/>
                      <w:lang w:val="en-GB"/>
                    </w:rPr>
                    <w:t>4.16</w:t>
                  </w:r>
                </w:p>
              </w:tc>
              <w:tc>
                <w:tcPr>
                  <w:tcW w:w="335" w:type="pct"/>
                  <w:shd w:val="clear" w:color="000000" w:fill="FFFFFF"/>
                  <w:noWrap/>
                  <w:hideMark/>
                </w:tcPr>
                <w:p w14:paraId="3B05CD4B"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68A17E1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66F8CB5"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5075A663"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4C7D0B5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429E219"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113431EB" w14:textId="77777777" w:rsidTr="00DB32C0">
              <w:trPr>
                <w:trHeight w:val="255"/>
              </w:trPr>
              <w:tc>
                <w:tcPr>
                  <w:tcW w:w="267" w:type="pct"/>
                  <w:shd w:val="clear" w:color="000000" w:fill="FFFFFF"/>
                  <w:noWrap/>
                  <w:hideMark/>
                </w:tcPr>
                <w:p w14:paraId="28A5D57A" w14:textId="77777777" w:rsidR="00E45009" w:rsidRPr="0025292C" w:rsidRDefault="00E45009" w:rsidP="00E45009">
                  <w:pPr>
                    <w:pStyle w:val="NoSpacing"/>
                    <w:rPr>
                      <w:sz w:val="18"/>
                      <w:szCs w:val="22"/>
                      <w:lang w:val="en-GB"/>
                    </w:rPr>
                  </w:pPr>
                  <w:r w:rsidRPr="0025292C">
                    <w:rPr>
                      <w:sz w:val="18"/>
                      <w:szCs w:val="22"/>
                      <w:lang w:val="en-GB"/>
                    </w:rPr>
                    <w:t>56</w:t>
                  </w:r>
                </w:p>
              </w:tc>
              <w:tc>
                <w:tcPr>
                  <w:tcW w:w="2195" w:type="pct"/>
                  <w:shd w:val="clear" w:color="000000" w:fill="FFFFFF"/>
                  <w:hideMark/>
                </w:tcPr>
                <w:p w14:paraId="7CFB6B67" w14:textId="77777777" w:rsidR="00E45009" w:rsidRPr="0025292C" w:rsidRDefault="00E45009" w:rsidP="00E45009">
                  <w:pPr>
                    <w:pStyle w:val="NoSpacing"/>
                    <w:rPr>
                      <w:sz w:val="18"/>
                      <w:szCs w:val="22"/>
                      <w:lang w:val="en-GB"/>
                    </w:rPr>
                  </w:pPr>
                  <w:r w:rsidRPr="0025292C">
                    <w:rPr>
                      <w:sz w:val="18"/>
                      <w:szCs w:val="22"/>
                      <w:lang w:val="en-GB"/>
                    </w:rPr>
                    <w:t>Infringements of the right to freely organize and control financial administration</w:t>
                  </w:r>
                </w:p>
              </w:tc>
              <w:tc>
                <w:tcPr>
                  <w:tcW w:w="125" w:type="pct"/>
                  <w:shd w:val="clear" w:color="000000" w:fill="FFFFFF"/>
                  <w:hideMark/>
                </w:tcPr>
                <w:p w14:paraId="54545690"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289ADCD" w14:textId="77777777" w:rsidR="00E45009" w:rsidRPr="0025292C" w:rsidRDefault="00E45009" w:rsidP="00E45009">
                  <w:pPr>
                    <w:pStyle w:val="NoSpacing"/>
                    <w:rPr>
                      <w:sz w:val="18"/>
                      <w:szCs w:val="22"/>
                      <w:lang w:val="en-GB"/>
                    </w:rPr>
                  </w:pPr>
                  <w:r w:rsidRPr="0025292C">
                    <w:rPr>
                      <w:sz w:val="18"/>
                      <w:szCs w:val="22"/>
                      <w:lang w:val="en-GB"/>
                    </w:rPr>
                    <w:t>3.92</w:t>
                  </w:r>
                </w:p>
              </w:tc>
              <w:tc>
                <w:tcPr>
                  <w:tcW w:w="335" w:type="pct"/>
                  <w:shd w:val="clear" w:color="000000" w:fill="FFFFFF"/>
                  <w:noWrap/>
                  <w:hideMark/>
                </w:tcPr>
                <w:p w14:paraId="36DD62FF" w14:textId="77777777" w:rsidR="00E45009" w:rsidRPr="0025292C" w:rsidRDefault="00E45009" w:rsidP="00E45009">
                  <w:pPr>
                    <w:pStyle w:val="NoSpacing"/>
                    <w:rPr>
                      <w:sz w:val="18"/>
                      <w:szCs w:val="22"/>
                      <w:lang w:val="en-GB"/>
                    </w:rPr>
                  </w:pPr>
                  <w:r w:rsidRPr="0025292C">
                    <w:rPr>
                      <w:sz w:val="18"/>
                      <w:szCs w:val="22"/>
                      <w:lang w:val="en-GB"/>
                    </w:rPr>
                    <w:t>0.66</w:t>
                  </w:r>
                </w:p>
              </w:tc>
              <w:tc>
                <w:tcPr>
                  <w:tcW w:w="125" w:type="pct"/>
                  <w:shd w:val="clear" w:color="000000" w:fill="FFFFFF"/>
                  <w:noWrap/>
                  <w:hideMark/>
                </w:tcPr>
                <w:p w14:paraId="662B9C16"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20FF4D3" w14:textId="77777777" w:rsidR="00E45009" w:rsidRPr="0025292C" w:rsidRDefault="00E45009" w:rsidP="00E45009">
                  <w:pPr>
                    <w:pStyle w:val="NoSpacing"/>
                    <w:rPr>
                      <w:sz w:val="18"/>
                      <w:szCs w:val="22"/>
                      <w:lang w:val="en-GB"/>
                    </w:rPr>
                  </w:pPr>
                  <w:r w:rsidRPr="0025292C">
                    <w:rPr>
                      <w:sz w:val="18"/>
                      <w:szCs w:val="22"/>
                      <w:lang w:val="en-GB"/>
                    </w:rPr>
                    <w:t>3.86</w:t>
                  </w:r>
                </w:p>
              </w:tc>
              <w:tc>
                <w:tcPr>
                  <w:tcW w:w="333" w:type="pct"/>
                  <w:shd w:val="clear" w:color="000000" w:fill="FFFFFF"/>
                  <w:noWrap/>
                  <w:hideMark/>
                </w:tcPr>
                <w:p w14:paraId="29300DA8" w14:textId="77777777" w:rsidR="00E45009" w:rsidRPr="0025292C" w:rsidRDefault="00E45009" w:rsidP="00E45009">
                  <w:pPr>
                    <w:pStyle w:val="NoSpacing"/>
                    <w:rPr>
                      <w:sz w:val="18"/>
                      <w:szCs w:val="22"/>
                      <w:lang w:val="en-GB"/>
                    </w:rPr>
                  </w:pPr>
                  <w:r w:rsidRPr="0025292C">
                    <w:rPr>
                      <w:sz w:val="18"/>
                      <w:szCs w:val="22"/>
                      <w:lang w:val="en-GB"/>
                    </w:rPr>
                    <w:t>0.53</w:t>
                  </w:r>
                </w:p>
              </w:tc>
              <w:tc>
                <w:tcPr>
                  <w:tcW w:w="125" w:type="pct"/>
                  <w:shd w:val="clear" w:color="000000" w:fill="FFFFFF"/>
                  <w:noWrap/>
                  <w:hideMark/>
                </w:tcPr>
                <w:p w14:paraId="3388B90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F300B74" w14:textId="77777777" w:rsidR="00E45009" w:rsidRPr="0025292C" w:rsidRDefault="00E45009" w:rsidP="00E45009">
                  <w:pPr>
                    <w:pStyle w:val="NoSpacing"/>
                    <w:rPr>
                      <w:sz w:val="18"/>
                      <w:szCs w:val="22"/>
                      <w:lang w:val="en-GB"/>
                    </w:rPr>
                  </w:pPr>
                  <w:r w:rsidRPr="0025292C">
                    <w:rPr>
                      <w:sz w:val="18"/>
                      <w:szCs w:val="22"/>
                      <w:lang w:val="en-GB"/>
                    </w:rPr>
                    <w:t>1.71</w:t>
                  </w:r>
                </w:p>
              </w:tc>
            </w:tr>
            <w:tr w:rsidR="00E45009" w:rsidRPr="0025292C" w14:paraId="00EADE26" w14:textId="77777777" w:rsidTr="00DB32C0">
              <w:trPr>
                <w:trHeight w:val="255"/>
              </w:trPr>
              <w:tc>
                <w:tcPr>
                  <w:tcW w:w="267" w:type="pct"/>
                  <w:shd w:val="clear" w:color="000000" w:fill="FFFFFF"/>
                  <w:noWrap/>
                  <w:hideMark/>
                </w:tcPr>
                <w:p w14:paraId="1A6BB082" w14:textId="77777777" w:rsidR="00E45009" w:rsidRPr="0025292C" w:rsidRDefault="00E45009" w:rsidP="00E45009">
                  <w:pPr>
                    <w:pStyle w:val="NoSpacing"/>
                    <w:rPr>
                      <w:sz w:val="18"/>
                      <w:szCs w:val="22"/>
                      <w:lang w:val="en-GB"/>
                    </w:rPr>
                  </w:pPr>
                  <w:r w:rsidRPr="0025292C">
                    <w:rPr>
                      <w:sz w:val="18"/>
                      <w:szCs w:val="22"/>
                      <w:lang w:val="en-GB"/>
                    </w:rPr>
                    <w:t>57</w:t>
                  </w:r>
                </w:p>
              </w:tc>
              <w:tc>
                <w:tcPr>
                  <w:tcW w:w="2195" w:type="pct"/>
                  <w:shd w:val="clear" w:color="000000" w:fill="FFFFFF"/>
                  <w:hideMark/>
                </w:tcPr>
                <w:p w14:paraId="305F1E2E" w14:textId="77777777" w:rsidR="00E45009" w:rsidRPr="0025292C" w:rsidRDefault="00E45009" w:rsidP="00E45009">
                  <w:pPr>
                    <w:pStyle w:val="NoSpacing"/>
                    <w:rPr>
                      <w:sz w:val="18"/>
                      <w:szCs w:val="22"/>
                      <w:lang w:val="en-GB"/>
                    </w:rPr>
                  </w:pPr>
                  <w:r w:rsidRPr="0025292C">
                    <w:rPr>
                      <w:sz w:val="18"/>
                      <w:szCs w:val="22"/>
                      <w:lang w:val="en-GB"/>
                    </w:rPr>
                    <w:t>Infringements of the right to freely organize activities/programmes</w:t>
                  </w:r>
                </w:p>
              </w:tc>
              <w:tc>
                <w:tcPr>
                  <w:tcW w:w="125" w:type="pct"/>
                  <w:shd w:val="clear" w:color="000000" w:fill="FFFFFF"/>
                  <w:hideMark/>
                </w:tcPr>
                <w:p w14:paraId="4C1591F8"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28DA6F7" w14:textId="77777777" w:rsidR="00E45009" w:rsidRPr="0025292C" w:rsidRDefault="00E45009" w:rsidP="00E45009">
                  <w:pPr>
                    <w:pStyle w:val="NoSpacing"/>
                    <w:rPr>
                      <w:sz w:val="18"/>
                      <w:szCs w:val="22"/>
                      <w:lang w:val="en-GB"/>
                    </w:rPr>
                  </w:pPr>
                  <w:r w:rsidRPr="0025292C">
                    <w:rPr>
                      <w:sz w:val="18"/>
                      <w:szCs w:val="22"/>
                      <w:lang w:val="en-GB"/>
                    </w:rPr>
                    <w:t>4.07</w:t>
                  </w:r>
                </w:p>
              </w:tc>
              <w:tc>
                <w:tcPr>
                  <w:tcW w:w="335" w:type="pct"/>
                  <w:shd w:val="clear" w:color="000000" w:fill="FFFFFF"/>
                  <w:noWrap/>
                  <w:hideMark/>
                </w:tcPr>
                <w:p w14:paraId="3F4B43B2" w14:textId="77777777" w:rsidR="00E45009" w:rsidRPr="0025292C" w:rsidRDefault="00E45009" w:rsidP="00E45009">
                  <w:pPr>
                    <w:pStyle w:val="NoSpacing"/>
                    <w:rPr>
                      <w:sz w:val="18"/>
                      <w:szCs w:val="22"/>
                      <w:lang w:val="en-GB"/>
                    </w:rPr>
                  </w:pPr>
                  <w:r w:rsidRPr="0025292C">
                    <w:rPr>
                      <w:sz w:val="18"/>
                      <w:szCs w:val="22"/>
                      <w:lang w:val="en-GB"/>
                    </w:rPr>
                    <w:t>0.96</w:t>
                  </w:r>
                </w:p>
              </w:tc>
              <w:tc>
                <w:tcPr>
                  <w:tcW w:w="125" w:type="pct"/>
                  <w:shd w:val="clear" w:color="000000" w:fill="FFFFFF"/>
                  <w:noWrap/>
                  <w:hideMark/>
                </w:tcPr>
                <w:p w14:paraId="4570E82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7869D2C" w14:textId="77777777" w:rsidR="00E45009" w:rsidRPr="0025292C" w:rsidRDefault="00E45009" w:rsidP="00E45009">
                  <w:pPr>
                    <w:pStyle w:val="NoSpacing"/>
                    <w:rPr>
                      <w:sz w:val="18"/>
                      <w:szCs w:val="22"/>
                      <w:lang w:val="en-GB"/>
                    </w:rPr>
                  </w:pPr>
                  <w:r w:rsidRPr="0025292C">
                    <w:rPr>
                      <w:sz w:val="18"/>
                      <w:szCs w:val="22"/>
                      <w:lang w:val="en-GB"/>
                    </w:rPr>
                    <w:t>4.14</w:t>
                  </w:r>
                </w:p>
              </w:tc>
              <w:tc>
                <w:tcPr>
                  <w:tcW w:w="333" w:type="pct"/>
                  <w:shd w:val="clear" w:color="000000" w:fill="FFFFFF"/>
                  <w:noWrap/>
                  <w:hideMark/>
                </w:tcPr>
                <w:p w14:paraId="224870A3" w14:textId="77777777" w:rsidR="00E45009" w:rsidRPr="0025292C" w:rsidRDefault="00E45009" w:rsidP="00E45009">
                  <w:pPr>
                    <w:pStyle w:val="NoSpacing"/>
                    <w:rPr>
                      <w:sz w:val="18"/>
                      <w:szCs w:val="22"/>
                      <w:lang w:val="en-GB"/>
                    </w:rPr>
                  </w:pPr>
                  <w:r w:rsidRPr="0025292C">
                    <w:rPr>
                      <w:sz w:val="18"/>
                      <w:szCs w:val="22"/>
                      <w:lang w:val="en-GB"/>
                    </w:rPr>
                    <w:t>0.77</w:t>
                  </w:r>
                </w:p>
              </w:tc>
              <w:tc>
                <w:tcPr>
                  <w:tcW w:w="125" w:type="pct"/>
                  <w:shd w:val="clear" w:color="000000" w:fill="FFFFFF"/>
                  <w:noWrap/>
                  <w:hideMark/>
                </w:tcPr>
                <w:p w14:paraId="5015D3E9"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06F8269" w14:textId="77777777" w:rsidR="00E45009" w:rsidRPr="0025292C" w:rsidRDefault="00E45009" w:rsidP="00E45009">
                  <w:pPr>
                    <w:pStyle w:val="NoSpacing"/>
                    <w:rPr>
                      <w:sz w:val="18"/>
                      <w:szCs w:val="22"/>
                      <w:lang w:val="en-GB"/>
                    </w:rPr>
                  </w:pPr>
                  <w:r w:rsidRPr="0025292C">
                    <w:rPr>
                      <w:sz w:val="18"/>
                      <w:szCs w:val="22"/>
                      <w:lang w:val="en-GB"/>
                    </w:rPr>
                    <w:t>1.79</w:t>
                  </w:r>
                </w:p>
              </w:tc>
            </w:tr>
            <w:tr w:rsidR="00E45009" w:rsidRPr="0025292C" w14:paraId="176090CF" w14:textId="77777777" w:rsidTr="00DB32C0">
              <w:trPr>
                <w:trHeight w:val="255"/>
              </w:trPr>
              <w:tc>
                <w:tcPr>
                  <w:tcW w:w="267" w:type="pct"/>
                  <w:shd w:val="clear" w:color="000000" w:fill="FFFFFF"/>
                  <w:noWrap/>
                  <w:hideMark/>
                </w:tcPr>
                <w:p w14:paraId="4D590FC7" w14:textId="77777777" w:rsidR="00E45009" w:rsidRPr="0025292C" w:rsidRDefault="00E45009" w:rsidP="00E45009">
                  <w:pPr>
                    <w:pStyle w:val="NoSpacing"/>
                    <w:rPr>
                      <w:sz w:val="18"/>
                      <w:szCs w:val="22"/>
                      <w:lang w:val="en-GB"/>
                    </w:rPr>
                  </w:pPr>
                  <w:r w:rsidRPr="0025292C">
                    <w:rPr>
                      <w:sz w:val="18"/>
                      <w:szCs w:val="22"/>
                      <w:lang w:val="en-GB"/>
                    </w:rPr>
                    <w:t>58</w:t>
                  </w:r>
                </w:p>
              </w:tc>
              <w:tc>
                <w:tcPr>
                  <w:tcW w:w="2195" w:type="pct"/>
                  <w:shd w:val="clear" w:color="000000" w:fill="FFFFFF"/>
                  <w:hideMark/>
                </w:tcPr>
                <w:p w14:paraId="6CBF1311" w14:textId="77777777" w:rsidR="00E45009" w:rsidRPr="0025292C" w:rsidRDefault="00E45009" w:rsidP="00E45009">
                  <w:pPr>
                    <w:pStyle w:val="NoSpacing"/>
                    <w:rPr>
                      <w:sz w:val="18"/>
                      <w:szCs w:val="22"/>
                      <w:lang w:val="en-GB"/>
                    </w:rPr>
                  </w:pPr>
                  <w:r w:rsidRPr="0025292C">
                    <w:rPr>
                      <w:sz w:val="18"/>
                      <w:szCs w:val="22"/>
                      <w:lang w:val="en-GB"/>
                    </w:rPr>
                    <w:t>Prohibition of all political activities</w:t>
                  </w:r>
                </w:p>
              </w:tc>
              <w:tc>
                <w:tcPr>
                  <w:tcW w:w="125" w:type="pct"/>
                  <w:shd w:val="clear" w:color="000000" w:fill="FFFFFF"/>
                  <w:hideMark/>
                </w:tcPr>
                <w:p w14:paraId="794B6D4E"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DAD4C89" w14:textId="77777777" w:rsidR="00E45009" w:rsidRPr="0025292C" w:rsidRDefault="00E45009" w:rsidP="00E45009">
                  <w:pPr>
                    <w:pStyle w:val="NoSpacing"/>
                    <w:rPr>
                      <w:sz w:val="18"/>
                      <w:szCs w:val="22"/>
                      <w:lang w:val="en-GB"/>
                    </w:rPr>
                  </w:pPr>
                  <w:r w:rsidRPr="0025292C">
                    <w:rPr>
                      <w:sz w:val="18"/>
                      <w:szCs w:val="22"/>
                      <w:lang w:val="en-GB"/>
                    </w:rPr>
                    <w:t>3.69</w:t>
                  </w:r>
                </w:p>
              </w:tc>
              <w:tc>
                <w:tcPr>
                  <w:tcW w:w="335" w:type="pct"/>
                  <w:shd w:val="clear" w:color="000000" w:fill="FFFFFF"/>
                  <w:noWrap/>
                  <w:hideMark/>
                </w:tcPr>
                <w:p w14:paraId="5C5DFFB5" w14:textId="77777777" w:rsidR="00E45009" w:rsidRPr="0025292C" w:rsidRDefault="00E45009" w:rsidP="00E45009">
                  <w:pPr>
                    <w:pStyle w:val="NoSpacing"/>
                    <w:rPr>
                      <w:sz w:val="18"/>
                      <w:szCs w:val="22"/>
                      <w:lang w:val="en-GB"/>
                    </w:rPr>
                  </w:pPr>
                  <w:r w:rsidRPr="0025292C">
                    <w:rPr>
                      <w:sz w:val="18"/>
                      <w:szCs w:val="22"/>
                      <w:lang w:val="en-GB"/>
                    </w:rPr>
                    <w:t>1.33</w:t>
                  </w:r>
                </w:p>
              </w:tc>
              <w:tc>
                <w:tcPr>
                  <w:tcW w:w="125" w:type="pct"/>
                  <w:shd w:val="clear" w:color="000000" w:fill="FFFFFF"/>
                  <w:noWrap/>
                  <w:hideMark/>
                </w:tcPr>
                <w:p w14:paraId="1D2797B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2F46D4D"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4611D553" w14:textId="77777777" w:rsidR="00E45009" w:rsidRPr="0025292C" w:rsidRDefault="00E45009" w:rsidP="00E45009">
                  <w:pPr>
                    <w:pStyle w:val="NoSpacing"/>
                    <w:rPr>
                      <w:sz w:val="18"/>
                      <w:szCs w:val="22"/>
                      <w:lang w:val="en-GB"/>
                    </w:rPr>
                  </w:pPr>
                  <w:r w:rsidRPr="0025292C">
                    <w:rPr>
                      <w:sz w:val="18"/>
                      <w:szCs w:val="22"/>
                      <w:lang w:val="en-GB"/>
                    </w:rPr>
                    <w:t>1.05</w:t>
                  </w:r>
                </w:p>
              </w:tc>
              <w:tc>
                <w:tcPr>
                  <w:tcW w:w="125" w:type="pct"/>
                  <w:shd w:val="clear" w:color="000000" w:fill="FFFFFF"/>
                  <w:noWrap/>
                  <w:hideMark/>
                </w:tcPr>
                <w:p w14:paraId="3531AD6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DD59FCE"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5298B39F" w14:textId="77777777" w:rsidTr="00DB32C0">
              <w:trPr>
                <w:trHeight w:val="255"/>
              </w:trPr>
              <w:tc>
                <w:tcPr>
                  <w:tcW w:w="267" w:type="pct"/>
                  <w:shd w:val="clear" w:color="000000" w:fill="FFFFFF"/>
                  <w:noWrap/>
                  <w:hideMark/>
                </w:tcPr>
                <w:p w14:paraId="6EA0090C" w14:textId="77777777" w:rsidR="00E45009" w:rsidRPr="0025292C" w:rsidRDefault="00E45009" w:rsidP="00E45009">
                  <w:pPr>
                    <w:pStyle w:val="NoSpacing"/>
                    <w:rPr>
                      <w:sz w:val="18"/>
                      <w:szCs w:val="22"/>
                      <w:lang w:val="en-GB"/>
                    </w:rPr>
                  </w:pPr>
                  <w:r w:rsidRPr="0025292C">
                    <w:rPr>
                      <w:sz w:val="18"/>
                      <w:szCs w:val="22"/>
                      <w:lang w:val="en-GB"/>
                    </w:rPr>
                    <w:t>59</w:t>
                  </w:r>
                </w:p>
              </w:tc>
              <w:tc>
                <w:tcPr>
                  <w:tcW w:w="2195" w:type="pct"/>
                  <w:shd w:val="clear" w:color="000000" w:fill="FFFFFF"/>
                  <w:hideMark/>
                </w:tcPr>
                <w:p w14:paraId="0C8805E0"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54-58</w:t>
                  </w:r>
                </w:p>
              </w:tc>
              <w:tc>
                <w:tcPr>
                  <w:tcW w:w="125" w:type="pct"/>
                  <w:shd w:val="clear" w:color="000000" w:fill="FFFFFF"/>
                  <w:hideMark/>
                </w:tcPr>
                <w:p w14:paraId="5956273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92BFFDD"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08039DAD" w14:textId="77777777" w:rsidR="00E45009" w:rsidRPr="0025292C" w:rsidRDefault="00E45009" w:rsidP="00E45009">
                  <w:pPr>
                    <w:pStyle w:val="NoSpacing"/>
                    <w:rPr>
                      <w:sz w:val="18"/>
                      <w:szCs w:val="22"/>
                      <w:lang w:val="en-GB"/>
                    </w:rPr>
                  </w:pPr>
                  <w:r w:rsidRPr="0025292C">
                    <w:rPr>
                      <w:sz w:val="18"/>
                      <w:szCs w:val="22"/>
                      <w:lang w:val="en-GB"/>
                    </w:rPr>
                    <w:t>1.17</w:t>
                  </w:r>
                </w:p>
              </w:tc>
              <w:tc>
                <w:tcPr>
                  <w:tcW w:w="125" w:type="pct"/>
                  <w:shd w:val="clear" w:color="000000" w:fill="FFFFFF"/>
                  <w:noWrap/>
                  <w:hideMark/>
                </w:tcPr>
                <w:p w14:paraId="0DC4A7E7"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C6A0948" w14:textId="77777777" w:rsidR="00E45009" w:rsidRPr="0025292C" w:rsidRDefault="00E45009" w:rsidP="00E45009">
                  <w:pPr>
                    <w:pStyle w:val="NoSpacing"/>
                    <w:rPr>
                      <w:sz w:val="18"/>
                      <w:szCs w:val="22"/>
                      <w:lang w:val="en-GB"/>
                    </w:rPr>
                  </w:pPr>
                  <w:r w:rsidRPr="0025292C">
                    <w:rPr>
                      <w:sz w:val="18"/>
                      <w:szCs w:val="22"/>
                      <w:lang w:val="en-GB"/>
                    </w:rPr>
                    <w:t>4.14</w:t>
                  </w:r>
                </w:p>
              </w:tc>
              <w:tc>
                <w:tcPr>
                  <w:tcW w:w="333" w:type="pct"/>
                  <w:shd w:val="clear" w:color="000000" w:fill="FFFFFF"/>
                  <w:noWrap/>
                  <w:hideMark/>
                </w:tcPr>
                <w:p w14:paraId="1AF2EA1F" w14:textId="77777777" w:rsidR="00E45009" w:rsidRPr="0025292C" w:rsidRDefault="00E45009" w:rsidP="00E45009">
                  <w:pPr>
                    <w:pStyle w:val="NoSpacing"/>
                    <w:rPr>
                      <w:sz w:val="18"/>
                      <w:szCs w:val="22"/>
                      <w:lang w:val="en-GB"/>
                    </w:rPr>
                  </w:pPr>
                  <w:r w:rsidRPr="0025292C">
                    <w:rPr>
                      <w:sz w:val="18"/>
                      <w:szCs w:val="22"/>
                      <w:lang w:val="en-GB"/>
                    </w:rPr>
                    <w:t>0.86</w:t>
                  </w:r>
                </w:p>
              </w:tc>
              <w:tc>
                <w:tcPr>
                  <w:tcW w:w="125" w:type="pct"/>
                  <w:shd w:val="clear" w:color="000000" w:fill="FFFFFF"/>
                  <w:noWrap/>
                  <w:hideMark/>
                </w:tcPr>
                <w:p w14:paraId="740C6E5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BF2F473" w14:textId="77777777" w:rsidR="00E45009" w:rsidRPr="0025292C" w:rsidRDefault="00E45009" w:rsidP="00E45009">
                  <w:pPr>
                    <w:pStyle w:val="NoSpacing"/>
                    <w:rPr>
                      <w:sz w:val="18"/>
                      <w:szCs w:val="22"/>
                      <w:lang w:val="en-GB"/>
                    </w:rPr>
                  </w:pPr>
                  <w:r w:rsidRPr="0025292C">
                    <w:rPr>
                      <w:sz w:val="18"/>
                      <w:szCs w:val="22"/>
                      <w:lang w:val="en-GB"/>
                    </w:rPr>
                    <w:t>1.79</w:t>
                  </w:r>
                </w:p>
              </w:tc>
            </w:tr>
            <w:tr w:rsidR="00E45009" w:rsidRPr="0025292C" w14:paraId="385917CE" w14:textId="77777777" w:rsidTr="00DB32C0">
              <w:trPr>
                <w:trHeight w:val="255"/>
              </w:trPr>
              <w:tc>
                <w:tcPr>
                  <w:tcW w:w="267" w:type="pct"/>
                  <w:shd w:val="clear" w:color="000000" w:fill="FFFFFF"/>
                  <w:noWrap/>
                  <w:hideMark/>
                </w:tcPr>
                <w:p w14:paraId="472FBE6B"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0DA8D8AE" w14:textId="77777777" w:rsidR="00E45009" w:rsidRPr="0025292C" w:rsidRDefault="00E45009" w:rsidP="00E45009">
                  <w:pPr>
                    <w:pStyle w:val="NoSpacing"/>
                    <w:rPr>
                      <w:b/>
                      <w:bCs/>
                      <w:sz w:val="18"/>
                      <w:szCs w:val="22"/>
                      <w:lang w:val="en-GB"/>
                    </w:rPr>
                  </w:pPr>
                  <w:r w:rsidRPr="0025292C">
                    <w:rPr>
                      <w:b/>
                      <w:bCs/>
                      <w:sz w:val="18"/>
                      <w:szCs w:val="22"/>
                      <w:lang w:val="en-GB"/>
                    </w:rPr>
                    <w:t>IVa. Right to collective bargaining in law</w:t>
                  </w:r>
                </w:p>
              </w:tc>
              <w:tc>
                <w:tcPr>
                  <w:tcW w:w="125" w:type="pct"/>
                  <w:shd w:val="clear" w:color="000000" w:fill="FFFFFF"/>
                  <w:hideMark/>
                </w:tcPr>
                <w:p w14:paraId="218D3B78"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422F1D2C"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247EEBC4"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34277C52"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9D91F84"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499B00F7"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5A80E0CA"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D3C9627"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31C47050" w14:textId="77777777" w:rsidTr="00DB32C0">
              <w:trPr>
                <w:trHeight w:val="255"/>
              </w:trPr>
              <w:tc>
                <w:tcPr>
                  <w:tcW w:w="267" w:type="pct"/>
                  <w:shd w:val="clear" w:color="000000" w:fill="FFFFFF"/>
                  <w:noWrap/>
                  <w:hideMark/>
                </w:tcPr>
                <w:p w14:paraId="4CF3182C" w14:textId="77777777" w:rsidR="00E45009" w:rsidRPr="0025292C" w:rsidRDefault="00E45009" w:rsidP="00E45009">
                  <w:pPr>
                    <w:pStyle w:val="NoSpacing"/>
                    <w:rPr>
                      <w:sz w:val="18"/>
                      <w:szCs w:val="22"/>
                      <w:lang w:val="en-GB"/>
                    </w:rPr>
                  </w:pPr>
                  <w:r w:rsidRPr="0025292C">
                    <w:rPr>
                      <w:sz w:val="18"/>
                      <w:szCs w:val="22"/>
                      <w:lang w:val="en-GB"/>
                    </w:rPr>
                    <w:t>60</w:t>
                  </w:r>
                </w:p>
              </w:tc>
              <w:tc>
                <w:tcPr>
                  <w:tcW w:w="2195" w:type="pct"/>
                  <w:shd w:val="clear" w:color="000000" w:fill="FFFFFF"/>
                  <w:hideMark/>
                </w:tcPr>
                <w:p w14:paraId="24F31DC3" w14:textId="77777777" w:rsidR="00E45009" w:rsidRPr="0025292C" w:rsidRDefault="00E45009" w:rsidP="00E45009">
                  <w:pPr>
                    <w:pStyle w:val="NoSpacing"/>
                    <w:rPr>
                      <w:sz w:val="18"/>
                      <w:szCs w:val="22"/>
                      <w:lang w:val="en-GB"/>
                    </w:rPr>
                  </w:pPr>
                  <w:r w:rsidRPr="0025292C">
                    <w:rPr>
                      <w:sz w:val="18"/>
                      <w:szCs w:val="22"/>
                      <w:lang w:val="en-GB"/>
                    </w:rPr>
                    <w:t>General prohibition of the right to collective bargaining</w:t>
                  </w:r>
                </w:p>
              </w:tc>
              <w:tc>
                <w:tcPr>
                  <w:tcW w:w="125" w:type="pct"/>
                  <w:shd w:val="clear" w:color="000000" w:fill="FFFFFF"/>
                  <w:hideMark/>
                </w:tcPr>
                <w:p w14:paraId="1DC98A2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7C59225" w14:textId="77777777" w:rsidR="00E45009" w:rsidRPr="0025292C" w:rsidRDefault="00E45009" w:rsidP="00E45009">
                  <w:pPr>
                    <w:pStyle w:val="NoSpacing"/>
                    <w:rPr>
                      <w:sz w:val="18"/>
                      <w:szCs w:val="22"/>
                      <w:lang w:val="en-GB"/>
                    </w:rPr>
                  </w:pPr>
                  <w:r w:rsidRPr="0025292C">
                    <w:rPr>
                      <w:sz w:val="18"/>
                      <w:szCs w:val="22"/>
                      <w:lang w:val="en-GB"/>
                    </w:rPr>
                    <w:t>4.69</w:t>
                  </w:r>
                </w:p>
              </w:tc>
              <w:tc>
                <w:tcPr>
                  <w:tcW w:w="335" w:type="pct"/>
                  <w:shd w:val="clear" w:color="000000" w:fill="FFFFFF"/>
                  <w:noWrap/>
                  <w:hideMark/>
                </w:tcPr>
                <w:p w14:paraId="51847413"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6165E68D"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D4A8D69" w14:textId="77777777" w:rsidR="00E45009" w:rsidRPr="0025292C" w:rsidRDefault="00E45009" w:rsidP="00E45009">
                  <w:pPr>
                    <w:pStyle w:val="NoSpacing"/>
                    <w:rPr>
                      <w:sz w:val="18"/>
                      <w:szCs w:val="22"/>
                      <w:lang w:val="en-GB"/>
                    </w:rPr>
                  </w:pPr>
                  <w:r w:rsidRPr="0025292C">
                    <w:rPr>
                      <w:sz w:val="18"/>
                      <w:szCs w:val="22"/>
                      <w:lang w:val="en-GB"/>
                    </w:rPr>
                    <w:t>4.71</w:t>
                  </w:r>
                </w:p>
              </w:tc>
              <w:tc>
                <w:tcPr>
                  <w:tcW w:w="333" w:type="pct"/>
                  <w:shd w:val="clear" w:color="000000" w:fill="FFFFFF"/>
                  <w:noWrap/>
                  <w:hideMark/>
                </w:tcPr>
                <w:p w14:paraId="501FB4FC"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6B6EF81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B3094AD" w14:textId="77777777" w:rsidR="00E45009" w:rsidRPr="0025292C" w:rsidRDefault="00E45009" w:rsidP="00E45009">
                  <w:pPr>
                    <w:pStyle w:val="NoSpacing"/>
                    <w:rPr>
                      <w:sz w:val="18"/>
                      <w:szCs w:val="22"/>
                      <w:lang w:val="en-GB"/>
                    </w:rPr>
                  </w:pPr>
                  <w:r w:rsidRPr="0025292C">
                    <w:rPr>
                      <w:sz w:val="18"/>
                      <w:szCs w:val="22"/>
                      <w:lang w:val="en-GB"/>
                    </w:rPr>
                    <w:t>1.93</w:t>
                  </w:r>
                </w:p>
              </w:tc>
            </w:tr>
            <w:tr w:rsidR="00E45009" w:rsidRPr="0025292C" w14:paraId="5C3B1F1C" w14:textId="77777777" w:rsidTr="00DB32C0">
              <w:trPr>
                <w:trHeight w:val="255"/>
              </w:trPr>
              <w:tc>
                <w:tcPr>
                  <w:tcW w:w="267" w:type="pct"/>
                  <w:shd w:val="clear" w:color="000000" w:fill="FFFFFF"/>
                  <w:noWrap/>
                  <w:hideMark/>
                </w:tcPr>
                <w:p w14:paraId="58158122" w14:textId="77777777" w:rsidR="00E45009" w:rsidRPr="0025292C" w:rsidRDefault="00E45009" w:rsidP="00E45009">
                  <w:pPr>
                    <w:pStyle w:val="NoSpacing"/>
                    <w:rPr>
                      <w:sz w:val="18"/>
                      <w:szCs w:val="22"/>
                      <w:lang w:val="en-GB"/>
                    </w:rPr>
                  </w:pPr>
                  <w:r w:rsidRPr="0025292C">
                    <w:rPr>
                      <w:sz w:val="18"/>
                      <w:szCs w:val="22"/>
                      <w:lang w:val="en-GB"/>
                    </w:rPr>
                    <w:t>61</w:t>
                  </w:r>
                </w:p>
              </w:tc>
              <w:tc>
                <w:tcPr>
                  <w:tcW w:w="2195" w:type="pct"/>
                  <w:shd w:val="clear" w:color="000000" w:fill="FFFFFF"/>
                  <w:hideMark/>
                </w:tcPr>
                <w:p w14:paraId="4C07C78C" w14:textId="77777777" w:rsidR="00E45009" w:rsidRPr="0025292C" w:rsidRDefault="00E45009" w:rsidP="00E45009">
                  <w:pPr>
                    <w:pStyle w:val="NoSpacing"/>
                    <w:rPr>
                      <w:sz w:val="18"/>
                      <w:szCs w:val="22"/>
                      <w:lang w:val="en-GB"/>
                    </w:rPr>
                  </w:pPr>
                  <w:r w:rsidRPr="0025292C">
                    <w:rPr>
                      <w:sz w:val="18"/>
                      <w:szCs w:val="22"/>
                      <w:lang w:val="en-GB"/>
                    </w:rPr>
                    <w:t>Insufficient promotion of collective bargaining</w:t>
                  </w:r>
                </w:p>
              </w:tc>
              <w:tc>
                <w:tcPr>
                  <w:tcW w:w="125" w:type="pct"/>
                  <w:shd w:val="clear" w:color="000000" w:fill="FFFFFF"/>
                  <w:hideMark/>
                </w:tcPr>
                <w:p w14:paraId="617F29A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66E367F" w14:textId="77777777" w:rsidR="00E45009" w:rsidRPr="0025292C" w:rsidRDefault="00E45009" w:rsidP="00E45009">
                  <w:pPr>
                    <w:pStyle w:val="NoSpacing"/>
                    <w:rPr>
                      <w:sz w:val="18"/>
                      <w:szCs w:val="22"/>
                      <w:lang w:val="en-GB"/>
                    </w:rPr>
                  </w:pPr>
                  <w:r w:rsidRPr="0025292C">
                    <w:rPr>
                      <w:sz w:val="18"/>
                      <w:szCs w:val="22"/>
                      <w:lang w:val="en-GB"/>
                    </w:rPr>
                    <w:t>2.77</w:t>
                  </w:r>
                </w:p>
              </w:tc>
              <w:tc>
                <w:tcPr>
                  <w:tcW w:w="335" w:type="pct"/>
                  <w:shd w:val="clear" w:color="000000" w:fill="FFFFFF"/>
                  <w:noWrap/>
                  <w:hideMark/>
                </w:tcPr>
                <w:p w14:paraId="2D2D9AE0" w14:textId="77777777" w:rsidR="00E45009" w:rsidRPr="0025292C" w:rsidRDefault="00E45009" w:rsidP="00E45009">
                  <w:pPr>
                    <w:pStyle w:val="NoSpacing"/>
                    <w:rPr>
                      <w:sz w:val="18"/>
                      <w:szCs w:val="22"/>
                      <w:lang w:val="en-GB"/>
                    </w:rPr>
                  </w:pPr>
                  <w:r w:rsidRPr="0025292C">
                    <w:rPr>
                      <w:sz w:val="18"/>
                      <w:szCs w:val="22"/>
                      <w:lang w:val="en-GB"/>
                    </w:rPr>
                    <w:t>0.97</w:t>
                  </w:r>
                </w:p>
              </w:tc>
              <w:tc>
                <w:tcPr>
                  <w:tcW w:w="125" w:type="pct"/>
                  <w:shd w:val="clear" w:color="000000" w:fill="FFFFFF"/>
                  <w:noWrap/>
                  <w:hideMark/>
                </w:tcPr>
                <w:p w14:paraId="499B5D1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84E18E9" w14:textId="77777777" w:rsidR="00E45009" w:rsidRPr="0025292C" w:rsidRDefault="00E45009" w:rsidP="00E45009">
                  <w:pPr>
                    <w:pStyle w:val="NoSpacing"/>
                    <w:rPr>
                      <w:sz w:val="18"/>
                      <w:szCs w:val="22"/>
                      <w:lang w:val="en-GB"/>
                    </w:rPr>
                  </w:pPr>
                  <w:r w:rsidRPr="0025292C">
                    <w:rPr>
                      <w:sz w:val="18"/>
                      <w:szCs w:val="22"/>
                      <w:lang w:val="en-GB"/>
                    </w:rPr>
                    <w:t>2.79</w:t>
                  </w:r>
                </w:p>
              </w:tc>
              <w:tc>
                <w:tcPr>
                  <w:tcW w:w="333" w:type="pct"/>
                  <w:shd w:val="clear" w:color="000000" w:fill="FFFFFF"/>
                  <w:noWrap/>
                  <w:hideMark/>
                </w:tcPr>
                <w:p w14:paraId="171E8447"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08C56546"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7CADADD" w14:textId="77777777" w:rsidR="00E45009" w:rsidRPr="0025292C" w:rsidRDefault="00E45009" w:rsidP="00E45009">
                  <w:pPr>
                    <w:pStyle w:val="NoSpacing"/>
                    <w:rPr>
                      <w:sz w:val="18"/>
                      <w:szCs w:val="22"/>
                      <w:lang w:val="en-GB"/>
                    </w:rPr>
                  </w:pPr>
                  <w:r w:rsidRPr="0025292C">
                    <w:rPr>
                      <w:sz w:val="18"/>
                      <w:szCs w:val="22"/>
                      <w:lang w:val="en-GB"/>
                    </w:rPr>
                    <w:t>1.45</w:t>
                  </w:r>
                </w:p>
              </w:tc>
            </w:tr>
            <w:tr w:rsidR="00E45009" w:rsidRPr="0025292C" w14:paraId="3FD8288A" w14:textId="77777777" w:rsidTr="00DB32C0">
              <w:trPr>
                <w:trHeight w:val="255"/>
              </w:trPr>
              <w:tc>
                <w:tcPr>
                  <w:tcW w:w="267" w:type="pct"/>
                  <w:shd w:val="clear" w:color="000000" w:fill="FFFFFF"/>
                  <w:noWrap/>
                  <w:hideMark/>
                </w:tcPr>
                <w:p w14:paraId="6325524E" w14:textId="77777777" w:rsidR="00E45009" w:rsidRPr="0025292C" w:rsidRDefault="00E45009" w:rsidP="00E45009">
                  <w:pPr>
                    <w:pStyle w:val="NoSpacing"/>
                    <w:rPr>
                      <w:sz w:val="18"/>
                      <w:szCs w:val="22"/>
                      <w:lang w:val="en-GB"/>
                    </w:rPr>
                  </w:pPr>
                  <w:r w:rsidRPr="0025292C">
                    <w:rPr>
                      <w:sz w:val="18"/>
                      <w:szCs w:val="22"/>
                      <w:lang w:val="en-GB"/>
                    </w:rPr>
                    <w:t>62</w:t>
                  </w:r>
                </w:p>
              </w:tc>
              <w:tc>
                <w:tcPr>
                  <w:tcW w:w="2195" w:type="pct"/>
                  <w:shd w:val="clear" w:color="000000" w:fill="FFFFFF"/>
                  <w:hideMark/>
                </w:tcPr>
                <w:p w14:paraId="29D37213" w14:textId="77777777" w:rsidR="00E45009" w:rsidRPr="0025292C" w:rsidRDefault="00E45009" w:rsidP="00E45009">
                  <w:pPr>
                    <w:pStyle w:val="NoSpacing"/>
                    <w:rPr>
                      <w:sz w:val="18"/>
                      <w:szCs w:val="22"/>
                      <w:lang w:val="en-GB"/>
                    </w:rPr>
                  </w:pPr>
                  <w:r w:rsidRPr="0025292C">
                    <w:rPr>
                      <w:sz w:val="18"/>
                      <w:szCs w:val="22"/>
                      <w:lang w:val="en-GB"/>
                    </w:rPr>
                    <w:t>Exclusion of workers from the right to collective bargaining</w:t>
                  </w:r>
                </w:p>
              </w:tc>
              <w:tc>
                <w:tcPr>
                  <w:tcW w:w="125" w:type="pct"/>
                  <w:shd w:val="clear" w:color="000000" w:fill="FFFFFF"/>
                  <w:hideMark/>
                </w:tcPr>
                <w:p w14:paraId="2FCC006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038E795" w14:textId="77777777" w:rsidR="00E45009" w:rsidRPr="0025292C" w:rsidRDefault="00E45009" w:rsidP="00E45009">
                  <w:pPr>
                    <w:pStyle w:val="NoSpacing"/>
                    <w:rPr>
                      <w:sz w:val="18"/>
                      <w:szCs w:val="22"/>
                      <w:lang w:val="en-GB"/>
                    </w:rPr>
                  </w:pPr>
                  <w:r w:rsidRPr="0025292C">
                    <w:rPr>
                      <w:sz w:val="18"/>
                      <w:szCs w:val="22"/>
                      <w:lang w:val="en-GB"/>
                    </w:rPr>
                    <w:t>4.15</w:t>
                  </w:r>
                </w:p>
              </w:tc>
              <w:tc>
                <w:tcPr>
                  <w:tcW w:w="335" w:type="pct"/>
                  <w:shd w:val="clear" w:color="000000" w:fill="FFFFFF"/>
                  <w:noWrap/>
                  <w:hideMark/>
                </w:tcPr>
                <w:p w14:paraId="62190962" w14:textId="77777777" w:rsidR="00E45009" w:rsidRPr="0025292C" w:rsidRDefault="00E45009" w:rsidP="00E45009">
                  <w:pPr>
                    <w:pStyle w:val="NoSpacing"/>
                    <w:rPr>
                      <w:sz w:val="18"/>
                      <w:szCs w:val="22"/>
                      <w:lang w:val="en-GB"/>
                    </w:rPr>
                  </w:pPr>
                  <w:r w:rsidRPr="0025292C">
                    <w:rPr>
                      <w:sz w:val="18"/>
                      <w:szCs w:val="22"/>
                      <w:lang w:val="en-GB"/>
                    </w:rPr>
                    <w:t>0.77</w:t>
                  </w:r>
                </w:p>
              </w:tc>
              <w:tc>
                <w:tcPr>
                  <w:tcW w:w="125" w:type="pct"/>
                  <w:shd w:val="clear" w:color="000000" w:fill="FFFFFF"/>
                  <w:noWrap/>
                  <w:hideMark/>
                </w:tcPr>
                <w:p w14:paraId="7589CEA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2CA3656"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62934E57"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48315C49"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8AE3FF3"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16A27CBC" w14:textId="77777777" w:rsidTr="00DB32C0">
              <w:trPr>
                <w:trHeight w:val="255"/>
              </w:trPr>
              <w:tc>
                <w:tcPr>
                  <w:tcW w:w="267" w:type="pct"/>
                  <w:shd w:val="clear" w:color="000000" w:fill="FFFFFF"/>
                  <w:noWrap/>
                  <w:hideMark/>
                </w:tcPr>
                <w:p w14:paraId="6298191C" w14:textId="77777777" w:rsidR="00E45009" w:rsidRPr="0025292C" w:rsidRDefault="00E45009" w:rsidP="00E45009">
                  <w:pPr>
                    <w:pStyle w:val="NoSpacing"/>
                    <w:rPr>
                      <w:sz w:val="18"/>
                      <w:szCs w:val="22"/>
                      <w:lang w:val="en-GB"/>
                    </w:rPr>
                  </w:pPr>
                  <w:r w:rsidRPr="0025292C">
                    <w:rPr>
                      <w:sz w:val="18"/>
                      <w:szCs w:val="22"/>
                      <w:lang w:val="en-GB"/>
                    </w:rPr>
                    <w:t>63</w:t>
                  </w:r>
                </w:p>
              </w:tc>
              <w:tc>
                <w:tcPr>
                  <w:tcW w:w="2195" w:type="pct"/>
                  <w:shd w:val="clear" w:color="000000" w:fill="FFFFFF"/>
                  <w:hideMark/>
                </w:tcPr>
                <w:p w14:paraId="0008455B" w14:textId="77777777" w:rsidR="00E45009" w:rsidRPr="0025292C" w:rsidRDefault="00E45009" w:rsidP="00E45009">
                  <w:pPr>
                    <w:pStyle w:val="NoSpacing"/>
                    <w:rPr>
                      <w:sz w:val="18"/>
                      <w:szCs w:val="22"/>
                      <w:lang w:val="en-GB"/>
                    </w:rPr>
                  </w:pPr>
                  <w:r w:rsidRPr="0025292C">
                    <w:rPr>
                      <w:sz w:val="18"/>
                      <w:szCs w:val="22"/>
                      <w:lang w:val="en-GB"/>
                    </w:rPr>
                    <w:t>Exclusion/restriction of subjects covered by collective bargaining</w:t>
                  </w:r>
                </w:p>
              </w:tc>
              <w:tc>
                <w:tcPr>
                  <w:tcW w:w="125" w:type="pct"/>
                  <w:shd w:val="clear" w:color="000000" w:fill="FFFFFF"/>
                  <w:hideMark/>
                </w:tcPr>
                <w:p w14:paraId="5859630A"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8394C33" w14:textId="77777777" w:rsidR="00E45009" w:rsidRPr="0025292C" w:rsidRDefault="00E45009" w:rsidP="00E45009">
                  <w:pPr>
                    <w:pStyle w:val="NoSpacing"/>
                    <w:rPr>
                      <w:sz w:val="18"/>
                      <w:szCs w:val="22"/>
                      <w:lang w:val="en-GB"/>
                    </w:rPr>
                  </w:pPr>
                  <w:r w:rsidRPr="0025292C">
                    <w:rPr>
                      <w:sz w:val="18"/>
                      <w:szCs w:val="22"/>
                      <w:lang w:val="en-GB"/>
                    </w:rPr>
                    <w:t>3.46</w:t>
                  </w:r>
                </w:p>
              </w:tc>
              <w:tc>
                <w:tcPr>
                  <w:tcW w:w="335" w:type="pct"/>
                  <w:shd w:val="clear" w:color="000000" w:fill="FFFFFF"/>
                  <w:noWrap/>
                  <w:hideMark/>
                </w:tcPr>
                <w:p w14:paraId="492D38A3" w14:textId="77777777" w:rsidR="00E45009" w:rsidRPr="0025292C" w:rsidRDefault="00E45009" w:rsidP="00E45009">
                  <w:pPr>
                    <w:pStyle w:val="NoSpacing"/>
                    <w:rPr>
                      <w:sz w:val="18"/>
                      <w:szCs w:val="22"/>
                      <w:lang w:val="en-GB"/>
                    </w:rPr>
                  </w:pPr>
                  <w:r w:rsidRPr="0025292C">
                    <w:rPr>
                      <w:sz w:val="18"/>
                      <w:szCs w:val="22"/>
                      <w:lang w:val="en-GB"/>
                    </w:rPr>
                    <w:t>0.85</w:t>
                  </w:r>
                </w:p>
              </w:tc>
              <w:tc>
                <w:tcPr>
                  <w:tcW w:w="125" w:type="pct"/>
                  <w:shd w:val="clear" w:color="000000" w:fill="FFFFFF"/>
                  <w:noWrap/>
                  <w:hideMark/>
                </w:tcPr>
                <w:p w14:paraId="66E2A5A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FF9A261" w14:textId="77777777" w:rsidR="00E45009" w:rsidRPr="0025292C" w:rsidRDefault="00E45009" w:rsidP="00E45009">
                  <w:pPr>
                    <w:pStyle w:val="NoSpacing"/>
                    <w:rPr>
                      <w:sz w:val="18"/>
                      <w:szCs w:val="22"/>
                      <w:lang w:val="en-GB"/>
                    </w:rPr>
                  </w:pPr>
                  <w:r w:rsidRPr="0025292C">
                    <w:rPr>
                      <w:sz w:val="18"/>
                      <w:szCs w:val="22"/>
                      <w:lang w:val="en-GB"/>
                    </w:rPr>
                    <w:t>3.71</w:t>
                  </w:r>
                </w:p>
              </w:tc>
              <w:tc>
                <w:tcPr>
                  <w:tcW w:w="333" w:type="pct"/>
                  <w:shd w:val="clear" w:color="000000" w:fill="FFFFFF"/>
                  <w:noWrap/>
                  <w:hideMark/>
                </w:tcPr>
                <w:p w14:paraId="46D72B3F"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47A2D8B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D60D399" w14:textId="77777777" w:rsidR="00E45009" w:rsidRPr="0025292C" w:rsidRDefault="00E45009" w:rsidP="00E45009">
                  <w:pPr>
                    <w:pStyle w:val="NoSpacing"/>
                    <w:rPr>
                      <w:sz w:val="18"/>
                      <w:szCs w:val="22"/>
                      <w:lang w:val="en-GB"/>
                    </w:rPr>
                  </w:pPr>
                  <w:r w:rsidRPr="0025292C">
                    <w:rPr>
                      <w:sz w:val="18"/>
                      <w:szCs w:val="22"/>
                      <w:lang w:val="en-GB"/>
                    </w:rPr>
                    <w:t>1.68</w:t>
                  </w:r>
                </w:p>
              </w:tc>
            </w:tr>
            <w:tr w:rsidR="00E45009" w:rsidRPr="0025292C" w14:paraId="44A7788F" w14:textId="77777777" w:rsidTr="00DB32C0">
              <w:trPr>
                <w:trHeight w:val="255"/>
              </w:trPr>
              <w:tc>
                <w:tcPr>
                  <w:tcW w:w="267" w:type="pct"/>
                  <w:shd w:val="clear" w:color="000000" w:fill="FFFFFF"/>
                  <w:noWrap/>
                  <w:hideMark/>
                </w:tcPr>
                <w:p w14:paraId="7297FE34" w14:textId="77777777" w:rsidR="00E45009" w:rsidRPr="0025292C" w:rsidRDefault="00E45009" w:rsidP="00E45009">
                  <w:pPr>
                    <w:pStyle w:val="NoSpacing"/>
                    <w:rPr>
                      <w:sz w:val="18"/>
                      <w:szCs w:val="22"/>
                      <w:lang w:val="en-GB"/>
                    </w:rPr>
                  </w:pPr>
                  <w:r w:rsidRPr="0025292C">
                    <w:rPr>
                      <w:sz w:val="18"/>
                      <w:szCs w:val="22"/>
                      <w:lang w:val="en-GB"/>
                    </w:rPr>
                    <w:t>64</w:t>
                  </w:r>
                </w:p>
              </w:tc>
              <w:tc>
                <w:tcPr>
                  <w:tcW w:w="2195" w:type="pct"/>
                  <w:shd w:val="clear" w:color="000000" w:fill="FFFFFF"/>
                  <w:hideMark/>
                </w:tcPr>
                <w:p w14:paraId="4BFFFCC9" w14:textId="77777777" w:rsidR="00E45009" w:rsidRPr="0025292C" w:rsidRDefault="00E45009" w:rsidP="00E45009">
                  <w:pPr>
                    <w:pStyle w:val="NoSpacing"/>
                    <w:rPr>
                      <w:sz w:val="18"/>
                      <w:szCs w:val="22"/>
                      <w:lang w:val="en-GB"/>
                    </w:rPr>
                  </w:pPr>
                  <w:r w:rsidRPr="0025292C">
                    <w:rPr>
                      <w:sz w:val="18"/>
                      <w:szCs w:val="22"/>
                      <w:lang w:val="en-GB"/>
                    </w:rPr>
                    <w:t>Compulsory arbitration accorded to collective bargaining</w:t>
                  </w:r>
                </w:p>
              </w:tc>
              <w:tc>
                <w:tcPr>
                  <w:tcW w:w="125" w:type="pct"/>
                  <w:shd w:val="clear" w:color="000000" w:fill="FFFFFF"/>
                  <w:hideMark/>
                </w:tcPr>
                <w:p w14:paraId="36919A70"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0ADE985A" w14:textId="77777777" w:rsidR="00E45009" w:rsidRPr="0025292C" w:rsidRDefault="00E45009" w:rsidP="00E45009">
                  <w:pPr>
                    <w:pStyle w:val="NoSpacing"/>
                    <w:rPr>
                      <w:sz w:val="18"/>
                      <w:szCs w:val="22"/>
                      <w:lang w:val="en-GB"/>
                    </w:rPr>
                  </w:pPr>
                  <w:r w:rsidRPr="0025292C">
                    <w:rPr>
                      <w:sz w:val="18"/>
                      <w:szCs w:val="22"/>
                      <w:lang w:val="en-GB"/>
                    </w:rPr>
                    <w:t>3.62</w:t>
                  </w:r>
                </w:p>
              </w:tc>
              <w:tc>
                <w:tcPr>
                  <w:tcW w:w="335" w:type="pct"/>
                  <w:shd w:val="clear" w:color="000000" w:fill="FFFFFF"/>
                  <w:noWrap/>
                  <w:hideMark/>
                </w:tcPr>
                <w:p w14:paraId="18876A1F" w14:textId="77777777" w:rsidR="00E45009" w:rsidRPr="0025292C" w:rsidRDefault="00E45009" w:rsidP="00E45009">
                  <w:pPr>
                    <w:pStyle w:val="NoSpacing"/>
                    <w:rPr>
                      <w:sz w:val="18"/>
                      <w:szCs w:val="22"/>
                      <w:lang w:val="en-GB"/>
                    </w:rPr>
                  </w:pPr>
                  <w:r w:rsidRPr="0025292C">
                    <w:rPr>
                      <w:sz w:val="18"/>
                      <w:szCs w:val="22"/>
                      <w:lang w:val="en-GB"/>
                    </w:rPr>
                    <w:t>0.93</w:t>
                  </w:r>
                </w:p>
              </w:tc>
              <w:tc>
                <w:tcPr>
                  <w:tcW w:w="125" w:type="pct"/>
                  <w:shd w:val="clear" w:color="000000" w:fill="FFFFFF"/>
                  <w:noWrap/>
                  <w:hideMark/>
                </w:tcPr>
                <w:p w14:paraId="1DFEEE4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8089494"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5C38C9BB" w14:textId="77777777" w:rsidR="00E45009" w:rsidRPr="0025292C" w:rsidRDefault="00E45009" w:rsidP="00E45009">
                  <w:pPr>
                    <w:pStyle w:val="NoSpacing"/>
                    <w:rPr>
                      <w:sz w:val="18"/>
                      <w:szCs w:val="22"/>
                      <w:lang w:val="en-GB"/>
                    </w:rPr>
                  </w:pPr>
                  <w:r w:rsidRPr="0025292C">
                    <w:rPr>
                      <w:sz w:val="18"/>
                      <w:szCs w:val="22"/>
                      <w:lang w:val="en-GB"/>
                    </w:rPr>
                    <w:t>0.58</w:t>
                  </w:r>
                </w:p>
              </w:tc>
              <w:tc>
                <w:tcPr>
                  <w:tcW w:w="125" w:type="pct"/>
                  <w:shd w:val="clear" w:color="000000" w:fill="FFFFFF"/>
                  <w:noWrap/>
                  <w:hideMark/>
                </w:tcPr>
                <w:p w14:paraId="099FEE3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782814E"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243E5F81" w14:textId="77777777" w:rsidTr="00DB32C0">
              <w:trPr>
                <w:trHeight w:val="510"/>
              </w:trPr>
              <w:tc>
                <w:tcPr>
                  <w:tcW w:w="267" w:type="pct"/>
                  <w:shd w:val="clear" w:color="000000" w:fill="FFFFFF"/>
                  <w:noWrap/>
                  <w:hideMark/>
                </w:tcPr>
                <w:p w14:paraId="67C8DD04" w14:textId="77777777" w:rsidR="00E45009" w:rsidRPr="0025292C" w:rsidRDefault="00E45009" w:rsidP="00E45009">
                  <w:pPr>
                    <w:pStyle w:val="NoSpacing"/>
                    <w:rPr>
                      <w:sz w:val="18"/>
                      <w:szCs w:val="22"/>
                      <w:lang w:val="en-GB"/>
                    </w:rPr>
                  </w:pPr>
                  <w:r w:rsidRPr="0025292C">
                    <w:rPr>
                      <w:sz w:val="18"/>
                      <w:szCs w:val="22"/>
                      <w:lang w:val="en-GB"/>
                    </w:rPr>
                    <w:lastRenderedPageBreak/>
                    <w:t>65</w:t>
                  </w:r>
                </w:p>
              </w:tc>
              <w:tc>
                <w:tcPr>
                  <w:tcW w:w="2195" w:type="pct"/>
                  <w:shd w:val="clear" w:color="000000" w:fill="FFFFFF"/>
                  <w:hideMark/>
                </w:tcPr>
                <w:p w14:paraId="1FD3BED8" w14:textId="77777777" w:rsidR="00E45009" w:rsidRPr="0025292C" w:rsidRDefault="00E45009" w:rsidP="00E45009">
                  <w:pPr>
                    <w:pStyle w:val="NoSpacing"/>
                    <w:rPr>
                      <w:sz w:val="18"/>
                      <w:szCs w:val="22"/>
                      <w:lang w:val="en-GB"/>
                    </w:rPr>
                  </w:pPr>
                  <w:r w:rsidRPr="0025292C">
                    <w:rPr>
                      <w:sz w:val="18"/>
                      <w:szCs w:val="22"/>
                      <w:lang w:val="en-GB"/>
                    </w:rPr>
                    <w:t xml:space="preserve">Excessive requirements and/or lack of objective, pre-established and precise criteria for the determination/recognition of trade unions entitled to collective bargaining </w:t>
                  </w:r>
                </w:p>
              </w:tc>
              <w:tc>
                <w:tcPr>
                  <w:tcW w:w="125" w:type="pct"/>
                  <w:shd w:val="clear" w:color="000000" w:fill="FFFFFF"/>
                  <w:hideMark/>
                </w:tcPr>
                <w:p w14:paraId="194D168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D65D30B" w14:textId="77777777" w:rsidR="00E45009" w:rsidRPr="0025292C" w:rsidRDefault="00E45009" w:rsidP="00E45009">
                  <w:pPr>
                    <w:pStyle w:val="NoSpacing"/>
                    <w:rPr>
                      <w:sz w:val="18"/>
                      <w:szCs w:val="22"/>
                      <w:lang w:val="en-GB"/>
                    </w:rPr>
                  </w:pPr>
                  <w:r w:rsidRPr="0025292C">
                    <w:rPr>
                      <w:sz w:val="18"/>
                      <w:szCs w:val="22"/>
                      <w:lang w:val="en-GB"/>
                    </w:rPr>
                    <w:t>3.23</w:t>
                  </w:r>
                </w:p>
              </w:tc>
              <w:tc>
                <w:tcPr>
                  <w:tcW w:w="335" w:type="pct"/>
                  <w:shd w:val="clear" w:color="000000" w:fill="FFFFFF"/>
                  <w:noWrap/>
                  <w:hideMark/>
                </w:tcPr>
                <w:p w14:paraId="065E27F6" w14:textId="77777777" w:rsidR="00E45009" w:rsidRPr="0025292C" w:rsidRDefault="00E45009" w:rsidP="00E45009">
                  <w:pPr>
                    <w:pStyle w:val="NoSpacing"/>
                    <w:rPr>
                      <w:sz w:val="18"/>
                      <w:szCs w:val="22"/>
                      <w:lang w:val="en-GB"/>
                    </w:rPr>
                  </w:pPr>
                  <w:r w:rsidRPr="0025292C">
                    <w:rPr>
                      <w:sz w:val="18"/>
                      <w:szCs w:val="22"/>
                      <w:lang w:val="en-GB"/>
                    </w:rPr>
                    <w:t>0.99</w:t>
                  </w:r>
                </w:p>
              </w:tc>
              <w:tc>
                <w:tcPr>
                  <w:tcW w:w="125" w:type="pct"/>
                  <w:shd w:val="clear" w:color="000000" w:fill="FFFFFF"/>
                  <w:noWrap/>
                  <w:hideMark/>
                </w:tcPr>
                <w:p w14:paraId="652FCF7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6373D41" w14:textId="77777777" w:rsidR="00E45009" w:rsidRPr="0025292C" w:rsidRDefault="00E45009" w:rsidP="00E45009">
                  <w:pPr>
                    <w:pStyle w:val="NoSpacing"/>
                    <w:rPr>
                      <w:sz w:val="18"/>
                      <w:szCs w:val="22"/>
                      <w:lang w:val="en-GB"/>
                    </w:rPr>
                  </w:pPr>
                  <w:r w:rsidRPr="0025292C">
                    <w:rPr>
                      <w:sz w:val="18"/>
                      <w:szCs w:val="22"/>
                      <w:lang w:val="en-GB"/>
                    </w:rPr>
                    <w:t>3.36</w:t>
                  </w:r>
                </w:p>
              </w:tc>
              <w:tc>
                <w:tcPr>
                  <w:tcW w:w="333" w:type="pct"/>
                  <w:shd w:val="clear" w:color="000000" w:fill="FFFFFF"/>
                  <w:noWrap/>
                  <w:hideMark/>
                </w:tcPr>
                <w:p w14:paraId="4035E0D2" w14:textId="77777777" w:rsidR="00E45009" w:rsidRPr="0025292C" w:rsidRDefault="00E45009" w:rsidP="00E45009">
                  <w:pPr>
                    <w:pStyle w:val="NoSpacing"/>
                    <w:rPr>
                      <w:sz w:val="18"/>
                      <w:szCs w:val="22"/>
                      <w:lang w:val="en-GB"/>
                    </w:rPr>
                  </w:pPr>
                  <w:r w:rsidRPr="0025292C">
                    <w:rPr>
                      <w:sz w:val="18"/>
                      <w:szCs w:val="22"/>
                      <w:lang w:val="en-GB"/>
                    </w:rPr>
                    <w:t>0.74</w:t>
                  </w:r>
                </w:p>
              </w:tc>
              <w:tc>
                <w:tcPr>
                  <w:tcW w:w="125" w:type="pct"/>
                  <w:shd w:val="clear" w:color="000000" w:fill="FFFFFF"/>
                  <w:noWrap/>
                  <w:hideMark/>
                </w:tcPr>
                <w:p w14:paraId="6DFEBC0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07FDC96" w14:textId="77777777" w:rsidR="00E45009" w:rsidRPr="0025292C" w:rsidRDefault="00E45009" w:rsidP="00E45009">
                  <w:pPr>
                    <w:pStyle w:val="NoSpacing"/>
                    <w:rPr>
                      <w:sz w:val="18"/>
                      <w:szCs w:val="22"/>
                      <w:lang w:val="en-GB"/>
                    </w:rPr>
                  </w:pPr>
                  <w:r w:rsidRPr="0025292C">
                    <w:rPr>
                      <w:sz w:val="18"/>
                      <w:szCs w:val="22"/>
                      <w:lang w:val="en-GB"/>
                    </w:rPr>
                    <w:t>1.59</w:t>
                  </w:r>
                </w:p>
              </w:tc>
            </w:tr>
            <w:tr w:rsidR="00E45009" w:rsidRPr="0025292C" w14:paraId="7867025C" w14:textId="77777777" w:rsidTr="00DB32C0">
              <w:trPr>
                <w:trHeight w:val="255"/>
              </w:trPr>
              <w:tc>
                <w:tcPr>
                  <w:tcW w:w="267" w:type="pct"/>
                  <w:shd w:val="clear" w:color="000000" w:fill="FFFFFF"/>
                  <w:noWrap/>
                  <w:hideMark/>
                </w:tcPr>
                <w:p w14:paraId="07E298C1" w14:textId="77777777" w:rsidR="00E45009" w:rsidRPr="0025292C" w:rsidRDefault="00E45009" w:rsidP="00E45009">
                  <w:pPr>
                    <w:pStyle w:val="NoSpacing"/>
                    <w:rPr>
                      <w:sz w:val="18"/>
                      <w:szCs w:val="22"/>
                      <w:lang w:val="en-GB"/>
                    </w:rPr>
                  </w:pPr>
                  <w:r w:rsidRPr="0025292C">
                    <w:rPr>
                      <w:sz w:val="18"/>
                      <w:szCs w:val="22"/>
                      <w:lang w:val="en-GB"/>
                    </w:rPr>
                    <w:t>66</w:t>
                  </w:r>
                </w:p>
              </w:tc>
              <w:tc>
                <w:tcPr>
                  <w:tcW w:w="2195" w:type="pct"/>
                  <w:shd w:val="clear" w:color="000000" w:fill="FFFFFF"/>
                  <w:hideMark/>
                </w:tcPr>
                <w:p w14:paraId="1B0AE321" w14:textId="77777777" w:rsidR="00E45009" w:rsidRPr="0025292C" w:rsidRDefault="00E45009" w:rsidP="00E45009">
                  <w:pPr>
                    <w:pStyle w:val="NoSpacing"/>
                    <w:rPr>
                      <w:sz w:val="18"/>
                      <w:szCs w:val="22"/>
                      <w:lang w:val="en-GB"/>
                    </w:rPr>
                  </w:pPr>
                  <w:r w:rsidRPr="0025292C">
                    <w:rPr>
                      <w:sz w:val="18"/>
                      <w:szCs w:val="22"/>
                      <w:lang w:val="en-GB"/>
                    </w:rPr>
                    <w:t>Acts of interference in collective bargaining</w:t>
                  </w:r>
                </w:p>
              </w:tc>
              <w:tc>
                <w:tcPr>
                  <w:tcW w:w="125" w:type="pct"/>
                  <w:shd w:val="clear" w:color="000000" w:fill="FFFFFF"/>
                  <w:hideMark/>
                </w:tcPr>
                <w:p w14:paraId="0BB8399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5870098" w14:textId="77777777" w:rsidR="00E45009" w:rsidRPr="0025292C" w:rsidRDefault="00E45009" w:rsidP="00E45009">
                  <w:pPr>
                    <w:pStyle w:val="NoSpacing"/>
                    <w:rPr>
                      <w:sz w:val="18"/>
                      <w:szCs w:val="22"/>
                      <w:lang w:val="en-GB"/>
                    </w:rPr>
                  </w:pPr>
                  <w:r w:rsidRPr="0025292C">
                    <w:rPr>
                      <w:sz w:val="18"/>
                      <w:szCs w:val="22"/>
                      <w:lang w:val="en-GB"/>
                    </w:rPr>
                    <w:t>3.62</w:t>
                  </w:r>
                </w:p>
              </w:tc>
              <w:tc>
                <w:tcPr>
                  <w:tcW w:w="335" w:type="pct"/>
                  <w:shd w:val="clear" w:color="000000" w:fill="FFFFFF"/>
                  <w:noWrap/>
                  <w:hideMark/>
                </w:tcPr>
                <w:p w14:paraId="172EA8C7" w14:textId="77777777" w:rsidR="00E45009" w:rsidRPr="0025292C" w:rsidRDefault="00E45009" w:rsidP="00E45009">
                  <w:pPr>
                    <w:pStyle w:val="NoSpacing"/>
                    <w:rPr>
                      <w:sz w:val="18"/>
                      <w:szCs w:val="22"/>
                      <w:lang w:val="en-GB"/>
                    </w:rPr>
                  </w:pPr>
                  <w:r w:rsidRPr="0025292C">
                    <w:rPr>
                      <w:sz w:val="18"/>
                      <w:szCs w:val="22"/>
                      <w:lang w:val="en-GB"/>
                    </w:rPr>
                    <w:t>1.08</w:t>
                  </w:r>
                </w:p>
              </w:tc>
              <w:tc>
                <w:tcPr>
                  <w:tcW w:w="125" w:type="pct"/>
                  <w:shd w:val="clear" w:color="000000" w:fill="FFFFFF"/>
                  <w:noWrap/>
                  <w:hideMark/>
                </w:tcPr>
                <w:p w14:paraId="740DA0C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9DEAF64" w14:textId="77777777" w:rsidR="00E45009" w:rsidRPr="0025292C" w:rsidRDefault="00E45009" w:rsidP="00E45009">
                  <w:pPr>
                    <w:pStyle w:val="NoSpacing"/>
                    <w:rPr>
                      <w:sz w:val="18"/>
                      <w:szCs w:val="22"/>
                      <w:lang w:val="en-GB"/>
                    </w:rPr>
                  </w:pPr>
                  <w:r w:rsidRPr="0025292C">
                    <w:rPr>
                      <w:sz w:val="18"/>
                      <w:szCs w:val="22"/>
                      <w:lang w:val="en-GB"/>
                    </w:rPr>
                    <w:t>3.64</w:t>
                  </w:r>
                </w:p>
              </w:tc>
              <w:tc>
                <w:tcPr>
                  <w:tcW w:w="333" w:type="pct"/>
                  <w:shd w:val="clear" w:color="000000" w:fill="FFFFFF"/>
                  <w:noWrap/>
                  <w:hideMark/>
                </w:tcPr>
                <w:p w14:paraId="7EFB5DC6" w14:textId="77777777" w:rsidR="00E45009" w:rsidRPr="0025292C" w:rsidRDefault="00E45009" w:rsidP="00E45009">
                  <w:pPr>
                    <w:pStyle w:val="NoSpacing"/>
                    <w:rPr>
                      <w:sz w:val="18"/>
                      <w:szCs w:val="22"/>
                      <w:lang w:val="en-GB"/>
                    </w:rPr>
                  </w:pPr>
                  <w:r w:rsidRPr="0025292C">
                    <w:rPr>
                      <w:sz w:val="18"/>
                      <w:szCs w:val="22"/>
                      <w:lang w:val="en-GB"/>
                    </w:rPr>
                    <w:t>0.93</w:t>
                  </w:r>
                </w:p>
              </w:tc>
              <w:tc>
                <w:tcPr>
                  <w:tcW w:w="125" w:type="pct"/>
                  <w:shd w:val="clear" w:color="000000" w:fill="FFFFFF"/>
                  <w:noWrap/>
                  <w:hideMark/>
                </w:tcPr>
                <w:p w14:paraId="0C497BF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A24FF67" w14:textId="77777777" w:rsidR="00E45009" w:rsidRPr="0025292C" w:rsidRDefault="00E45009" w:rsidP="00E45009">
                  <w:pPr>
                    <w:pStyle w:val="NoSpacing"/>
                    <w:rPr>
                      <w:sz w:val="18"/>
                      <w:szCs w:val="22"/>
                      <w:lang w:val="en-GB"/>
                    </w:rPr>
                  </w:pPr>
                  <w:r w:rsidRPr="0025292C">
                    <w:rPr>
                      <w:sz w:val="18"/>
                      <w:szCs w:val="22"/>
                      <w:lang w:val="en-GB"/>
                    </w:rPr>
                    <w:t>1.66</w:t>
                  </w:r>
                </w:p>
              </w:tc>
            </w:tr>
            <w:tr w:rsidR="00E45009" w:rsidRPr="0025292C" w14:paraId="26FE75DC" w14:textId="77777777" w:rsidTr="00DB32C0">
              <w:trPr>
                <w:trHeight w:val="255"/>
              </w:trPr>
              <w:tc>
                <w:tcPr>
                  <w:tcW w:w="267" w:type="pct"/>
                  <w:shd w:val="clear" w:color="000000" w:fill="FFFFFF"/>
                  <w:noWrap/>
                  <w:hideMark/>
                </w:tcPr>
                <w:p w14:paraId="22D26BA6" w14:textId="77777777" w:rsidR="00E45009" w:rsidRPr="0025292C" w:rsidRDefault="00E45009" w:rsidP="00E45009">
                  <w:pPr>
                    <w:pStyle w:val="NoSpacing"/>
                    <w:rPr>
                      <w:sz w:val="18"/>
                      <w:szCs w:val="22"/>
                      <w:lang w:val="en-GB"/>
                    </w:rPr>
                  </w:pPr>
                  <w:r w:rsidRPr="0025292C">
                    <w:rPr>
                      <w:sz w:val="18"/>
                      <w:szCs w:val="22"/>
                      <w:lang w:val="en-GB"/>
                    </w:rPr>
                    <w:t>67</w:t>
                  </w:r>
                </w:p>
              </w:tc>
              <w:tc>
                <w:tcPr>
                  <w:tcW w:w="2195" w:type="pct"/>
                  <w:shd w:val="clear" w:color="000000" w:fill="FFFFFF"/>
                  <w:hideMark/>
                </w:tcPr>
                <w:p w14:paraId="7D788C41" w14:textId="77777777" w:rsidR="00E45009" w:rsidRPr="0025292C" w:rsidRDefault="00E45009" w:rsidP="00E45009">
                  <w:pPr>
                    <w:pStyle w:val="NoSpacing"/>
                    <w:rPr>
                      <w:sz w:val="18"/>
                      <w:szCs w:val="22"/>
                      <w:lang w:val="en-GB"/>
                    </w:rPr>
                  </w:pPr>
                  <w:r w:rsidRPr="0025292C">
                    <w:rPr>
                      <w:sz w:val="18"/>
                      <w:szCs w:val="22"/>
                      <w:lang w:val="en-GB"/>
                    </w:rPr>
                    <w:t>Violations of collective agreements</w:t>
                  </w:r>
                </w:p>
              </w:tc>
              <w:tc>
                <w:tcPr>
                  <w:tcW w:w="125" w:type="pct"/>
                  <w:shd w:val="clear" w:color="000000" w:fill="FFFFFF"/>
                  <w:hideMark/>
                </w:tcPr>
                <w:p w14:paraId="14A9885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6E0F6E1" w14:textId="77777777" w:rsidR="00E45009" w:rsidRPr="0025292C" w:rsidRDefault="00E45009" w:rsidP="00E45009">
                  <w:pPr>
                    <w:pStyle w:val="NoSpacing"/>
                    <w:rPr>
                      <w:sz w:val="18"/>
                      <w:szCs w:val="22"/>
                      <w:lang w:val="en-GB"/>
                    </w:rPr>
                  </w:pPr>
                  <w:r w:rsidRPr="0025292C">
                    <w:rPr>
                      <w:sz w:val="18"/>
                      <w:szCs w:val="22"/>
                      <w:lang w:val="en-GB"/>
                    </w:rPr>
                    <w:t>3.68</w:t>
                  </w:r>
                </w:p>
              </w:tc>
              <w:tc>
                <w:tcPr>
                  <w:tcW w:w="335" w:type="pct"/>
                  <w:shd w:val="clear" w:color="000000" w:fill="FFFFFF"/>
                  <w:noWrap/>
                  <w:hideMark/>
                </w:tcPr>
                <w:p w14:paraId="3F6BFE30" w14:textId="77777777" w:rsidR="00E45009" w:rsidRPr="0025292C" w:rsidRDefault="00E45009" w:rsidP="00E45009">
                  <w:pPr>
                    <w:pStyle w:val="NoSpacing"/>
                    <w:rPr>
                      <w:sz w:val="18"/>
                      <w:szCs w:val="22"/>
                      <w:lang w:val="en-GB"/>
                    </w:rPr>
                  </w:pPr>
                  <w:r w:rsidRPr="0025292C">
                    <w:rPr>
                      <w:sz w:val="18"/>
                      <w:szCs w:val="22"/>
                      <w:lang w:val="en-GB"/>
                    </w:rPr>
                    <w:t>1.16</w:t>
                  </w:r>
                </w:p>
              </w:tc>
              <w:tc>
                <w:tcPr>
                  <w:tcW w:w="125" w:type="pct"/>
                  <w:shd w:val="clear" w:color="000000" w:fill="FFFFFF"/>
                  <w:noWrap/>
                  <w:hideMark/>
                </w:tcPr>
                <w:p w14:paraId="2D03593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48294C1" w14:textId="77777777" w:rsidR="00E45009" w:rsidRPr="0025292C" w:rsidRDefault="00E45009" w:rsidP="00E45009">
                  <w:pPr>
                    <w:pStyle w:val="NoSpacing"/>
                    <w:rPr>
                      <w:sz w:val="18"/>
                      <w:szCs w:val="22"/>
                      <w:lang w:val="en-GB"/>
                    </w:rPr>
                  </w:pPr>
                  <w:r w:rsidRPr="0025292C">
                    <w:rPr>
                      <w:sz w:val="18"/>
                      <w:szCs w:val="22"/>
                      <w:lang w:val="en-GB"/>
                    </w:rPr>
                    <w:t>3.57</w:t>
                  </w:r>
                </w:p>
              </w:tc>
              <w:tc>
                <w:tcPr>
                  <w:tcW w:w="333" w:type="pct"/>
                  <w:shd w:val="clear" w:color="000000" w:fill="FFFFFF"/>
                  <w:noWrap/>
                  <w:hideMark/>
                </w:tcPr>
                <w:p w14:paraId="5091A108" w14:textId="77777777" w:rsidR="00E45009" w:rsidRPr="0025292C" w:rsidRDefault="00E45009" w:rsidP="00E45009">
                  <w:pPr>
                    <w:pStyle w:val="NoSpacing"/>
                    <w:rPr>
                      <w:sz w:val="18"/>
                      <w:szCs w:val="22"/>
                      <w:lang w:val="en-GB"/>
                    </w:rPr>
                  </w:pPr>
                  <w:r w:rsidRPr="0025292C">
                    <w:rPr>
                      <w:sz w:val="18"/>
                      <w:szCs w:val="22"/>
                      <w:lang w:val="en-GB"/>
                    </w:rPr>
                    <w:t>0.85</w:t>
                  </w:r>
                </w:p>
              </w:tc>
              <w:tc>
                <w:tcPr>
                  <w:tcW w:w="125" w:type="pct"/>
                  <w:shd w:val="clear" w:color="000000" w:fill="FFFFFF"/>
                  <w:noWrap/>
                  <w:hideMark/>
                </w:tcPr>
                <w:p w14:paraId="7DDB7F8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8B947A5" w14:textId="77777777" w:rsidR="00E45009" w:rsidRPr="0025292C" w:rsidRDefault="00E45009" w:rsidP="00E45009">
                  <w:pPr>
                    <w:pStyle w:val="NoSpacing"/>
                    <w:rPr>
                      <w:sz w:val="18"/>
                      <w:szCs w:val="22"/>
                      <w:lang w:val="en-GB"/>
                    </w:rPr>
                  </w:pPr>
                  <w:r w:rsidRPr="0025292C">
                    <w:rPr>
                      <w:sz w:val="18"/>
                      <w:szCs w:val="22"/>
                      <w:lang w:val="en-GB"/>
                    </w:rPr>
                    <w:t>1.64</w:t>
                  </w:r>
                </w:p>
              </w:tc>
            </w:tr>
            <w:tr w:rsidR="00E45009" w:rsidRPr="0025292C" w14:paraId="6EFDB3F9" w14:textId="77777777" w:rsidTr="00DB32C0">
              <w:trPr>
                <w:trHeight w:val="255"/>
              </w:trPr>
              <w:tc>
                <w:tcPr>
                  <w:tcW w:w="267" w:type="pct"/>
                  <w:shd w:val="clear" w:color="000000" w:fill="FFFFFF"/>
                  <w:noWrap/>
                  <w:hideMark/>
                </w:tcPr>
                <w:p w14:paraId="0AFC4880" w14:textId="77777777" w:rsidR="00E45009" w:rsidRPr="0025292C" w:rsidRDefault="00E45009" w:rsidP="00E45009">
                  <w:pPr>
                    <w:pStyle w:val="NoSpacing"/>
                    <w:rPr>
                      <w:sz w:val="18"/>
                      <w:szCs w:val="22"/>
                      <w:lang w:val="en-GB"/>
                    </w:rPr>
                  </w:pPr>
                  <w:r w:rsidRPr="0025292C">
                    <w:rPr>
                      <w:sz w:val="18"/>
                      <w:szCs w:val="22"/>
                      <w:lang w:val="en-GB"/>
                    </w:rPr>
                    <w:t>68</w:t>
                  </w:r>
                </w:p>
              </w:tc>
              <w:tc>
                <w:tcPr>
                  <w:tcW w:w="2195" w:type="pct"/>
                  <w:shd w:val="clear" w:color="000000" w:fill="FFFFFF"/>
                  <w:hideMark/>
                </w:tcPr>
                <w:p w14:paraId="0B76063C" w14:textId="77777777" w:rsidR="00E45009" w:rsidRPr="0025292C" w:rsidRDefault="00E45009" w:rsidP="00E45009">
                  <w:pPr>
                    <w:pStyle w:val="NoSpacing"/>
                    <w:rPr>
                      <w:sz w:val="18"/>
                      <w:szCs w:val="22"/>
                      <w:lang w:val="en-GB"/>
                    </w:rPr>
                  </w:pPr>
                  <w:r w:rsidRPr="0025292C">
                    <w:rPr>
                      <w:sz w:val="18"/>
                      <w:szCs w:val="22"/>
                      <w:lang w:val="en-GB"/>
                    </w:rPr>
                    <w:t>Infringements of the consultation with workers' organizations</w:t>
                  </w:r>
                </w:p>
              </w:tc>
              <w:tc>
                <w:tcPr>
                  <w:tcW w:w="125" w:type="pct"/>
                  <w:shd w:val="clear" w:color="000000" w:fill="FFFFFF"/>
                  <w:hideMark/>
                </w:tcPr>
                <w:p w14:paraId="49D9D3F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4A545A1" w14:textId="77777777" w:rsidR="00E45009" w:rsidRPr="0025292C" w:rsidRDefault="00E45009" w:rsidP="00E45009">
                  <w:pPr>
                    <w:pStyle w:val="NoSpacing"/>
                    <w:rPr>
                      <w:sz w:val="18"/>
                      <w:szCs w:val="22"/>
                      <w:lang w:val="en-GB"/>
                    </w:rPr>
                  </w:pPr>
                  <w:r w:rsidRPr="0025292C">
                    <w:rPr>
                      <w:sz w:val="18"/>
                      <w:szCs w:val="22"/>
                      <w:lang w:val="en-GB"/>
                    </w:rPr>
                    <w:t>3.46</w:t>
                  </w:r>
                </w:p>
              </w:tc>
              <w:tc>
                <w:tcPr>
                  <w:tcW w:w="335" w:type="pct"/>
                  <w:shd w:val="clear" w:color="000000" w:fill="FFFFFF"/>
                  <w:noWrap/>
                  <w:hideMark/>
                </w:tcPr>
                <w:p w14:paraId="136D1359" w14:textId="77777777" w:rsidR="00E45009" w:rsidRPr="0025292C" w:rsidRDefault="00E45009" w:rsidP="00E45009">
                  <w:pPr>
                    <w:pStyle w:val="NoSpacing"/>
                    <w:rPr>
                      <w:sz w:val="18"/>
                      <w:szCs w:val="22"/>
                      <w:lang w:val="en-GB"/>
                    </w:rPr>
                  </w:pPr>
                  <w:r w:rsidRPr="0025292C">
                    <w:rPr>
                      <w:sz w:val="18"/>
                      <w:szCs w:val="22"/>
                      <w:lang w:val="en-GB"/>
                    </w:rPr>
                    <w:t>1.02</w:t>
                  </w:r>
                </w:p>
              </w:tc>
              <w:tc>
                <w:tcPr>
                  <w:tcW w:w="125" w:type="pct"/>
                  <w:shd w:val="clear" w:color="000000" w:fill="FFFFFF"/>
                  <w:noWrap/>
                  <w:hideMark/>
                </w:tcPr>
                <w:p w14:paraId="5A8BF95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6E9B821" w14:textId="77777777" w:rsidR="00E45009" w:rsidRPr="0025292C" w:rsidRDefault="00E45009" w:rsidP="00E45009">
                  <w:pPr>
                    <w:pStyle w:val="NoSpacing"/>
                    <w:rPr>
                      <w:sz w:val="18"/>
                      <w:szCs w:val="22"/>
                      <w:lang w:val="en-GB"/>
                    </w:rPr>
                  </w:pPr>
                  <w:r w:rsidRPr="0025292C">
                    <w:rPr>
                      <w:sz w:val="18"/>
                      <w:szCs w:val="22"/>
                      <w:lang w:val="en-GB"/>
                    </w:rPr>
                    <w:t>3.43</w:t>
                  </w:r>
                </w:p>
              </w:tc>
              <w:tc>
                <w:tcPr>
                  <w:tcW w:w="333" w:type="pct"/>
                  <w:shd w:val="clear" w:color="000000" w:fill="FFFFFF"/>
                  <w:noWrap/>
                  <w:hideMark/>
                </w:tcPr>
                <w:p w14:paraId="0F4999F1" w14:textId="77777777" w:rsidR="00E45009" w:rsidRPr="0025292C" w:rsidRDefault="00E45009" w:rsidP="00E45009">
                  <w:pPr>
                    <w:pStyle w:val="NoSpacing"/>
                    <w:rPr>
                      <w:sz w:val="18"/>
                      <w:szCs w:val="22"/>
                      <w:lang w:val="en-GB"/>
                    </w:rPr>
                  </w:pPr>
                  <w:r w:rsidRPr="0025292C">
                    <w:rPr>
                      <w:sz w:val="18"/>
                      <w:szCs w:val="22"/>
                      <w:lang w:val="en-GB"/>
                    </w:rPr>
                    <w:t>0.94</w:t>
                  </w:r>
                </w:p>
              </w:tc>
              <w:tc>
                <w:tcPr>
                  <w:tcW w:w="125" w:type="pct"/>
                  <w:shd w:val="clear" w:color="000000" w:fill="FFFFFF"/>
                  <w:noWrap/>
                  <w:hideMark/>
                </w:tcPr>
                <w:p w14:paraId="15A35EC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77718C3" w14:textId="77777777" w:rsidR="00E45009" w:rsidRPr="0025292C" w:rsidRDefault="00E45009" w:rsidP="00E45009">
                  <w:pPr>
                    <w:pStyle w:val="NoSpacing"/>
                    <w:rPr>
                      <w:sz w:val="18"/>
                      <w:szCs w:val="22"/>
                      <w:lang w:val="en-GB"/>
                    </w:rPr>
                  </w:pPr>
                  <w:r w:rsidRPr="0025292C">
                    <w:rPr>
                      <w:sz w:val="18"/>
                      <w:szCs w:val="22"/>
                      <w:lang w:val="en-GB"/>
                    </w:rPr>
                    <w:t>1.61</w:t>
                  </w:r>
                </w:p>
              </w:tc>
            </w:tr>
            <w:tr w:rsidR="00E45009" w:rsidRPr="0025292C" w14:paraId="13571F57" w14:textId="77777777" w:rsidTr="00DB32C0">
              <w:trPr>
                <w:trHeight w:val="255"/>
              </w:trPr>
              <w:tc>
                <w:tcPr>
                  <w:tcW w:w="267" w:type="pct"/>
                  <w:shd w:val="clear" w:color="000000" w:fill="FFFFFF"/>
                  <w:noWrap/>
                  <w:hideMark/>
                </w:tcPr>
                <w:p w14:paraId="15EE4E12" w14:textId="77777777" w:rsidR="00E45009" w:rsidRPr="0025292C" w:rsidRDefault="00E45009" w:rsidP="00E45009">
                  <w:pPr>
                    <w:pStyle w:val="NoSpacing"/>
                    <w:rPr>
                      <w:sz w:val="18"/>
                      <w:szCs w:val="22"/>
                      <w:lang w:val="en-GB"/>
                    </w:rPr>
                  </w:pPr>
                  <w:r w:rsidRPr="0025292C">
                    <w:rPr>
                      <w:sz w:val="18"/>
                      <w:szCs w:val="22"/>
                      <w:lang w:val="en-GB"/>
                    </w:rPr>
                    <w:t>69</w:t>
                  </w:r>
                </w:p>
              </w:tc>
              <w:tc>
                <w:tcPr>
                  <w:tcW w:w="2195" w:type="pct"/>
                  <w:shd w:val="clear" w:color="000000" w:fill="FFFFFF"/>
                  <w:hideMark/>
                </w:tcPr>
                <w:p w14:paraId="7235D0B1"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60-68</w:t>
                  </w:r>
                </w:p>
              </w:tc>
              <w:tc>
                <w:tcPr>
                  <w:tcW w:w="125" w:type="pct"/>
                  <w:shd w:val="clear" w:color="000000" w:fill="FFFFFF"/>
                  <w:hideMark/>
                </w:tcPr>
                <w:p w14:paraId="1594136F"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CBA49FC"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41B53F62" w14:textId="77777777" w:rsidR="00E45009" w:rsidRPr="0025292C" w:rsidRDefault="00E45009" w:rsidP="00E45009">
                  <w:pPr>
                    <w:pStyle w:val="NoSpacing"/>
                    <w:rPr>
                      <w:sz w:val="18"/>
                      <w:szCs w:val="22"/>
                      <w:lang w:val="en-GB"/>
                    </w:rPr>
                  </w:pPr>
                  <w:r w:rsidRPr="0025292C">
                    <w:rPr>
                      <w:sz w:val="18"/>
                      <w:szCs w:val="22"/>
                      <w:lang w:val="en-GB"/>
                    </w:rPr>
                    <w:t>1.45</w:t>
                  </w:r>
                </w:p>
              </w:tc>
              <w:tc>
                <w:tcPr>
                  <w:tcW w:w="125" w:type="pct"/>
                  <w:shd w:val="clear" w:color="000000" w:fill="FFFFFF"/>
                  <w:noWrap/>
                  <w:hideMark/>
                </w:tcPr>
                <w:p w14:paraId="614D6FB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2C47708" w14:textId="77777777" w:rsidR="00E45009" w:rsidRPr="0025292C" w:rsidRDefault="00E45009" w:rsidP="00E45009">
                  <w:pPr>
                    <w:pStyle w:val="NoSpacing"/>
                    <w:rPr>
                      <w:sz w:val="18"/>
                      <w:szCs w:val="22"/>
                      <w:lang w:val="en-GB"/>
                    </w:rPr>
                  </w:pPr>
                  <w:r w:rsidRPr="0025292C">
                    <w:rPr>
                      <w:sz w:val="18"/>
                      <w:szCs w:val="22"/>
                      <w:lang w:val="en-GB"/>
                    </w:rPr>
                    <w:t>3.93</w:t>
                  </w:r>
                </w:p>
              </w:tc>
              <w:tc>
                <w:tcPr>
                  <w:tcW w:w="333" w:type="pct"/>
                  <w:shd w:val="clear" w:color="000000" w:fill="FFFFFF"/>
                  <w:noWrap/>
                  <w:hideMark/>
                </w:tcPr>
                <w:p w14:paraId="761751C8" w14:textId="77777777" w:rsidR="00E45009" w:rsidRPr="0025292C" w:rsidRDefault="00E45009" w:rsidP="00E45009">
                  <w:pPr>
                    <w:pStyle w:val="NoSpacing"/>
                    <w:rPr>
                      <w:sz w:val="18"/>
                      <w:szCs w:val="22"/>
                      <w:lang w:val="en-GB"/>
                    </w:rPr>
                  </w:pPr>
                  <w:r w:rsidRPr="0025292C">
                    <w:rPr>
                      <w:sz w:val="18"/>
                      <w:szCs w:val="22"/>
                      <w:lang w:val="en-GB"/>
                    </w:rPr>
                    <w:t>0.92</w:t>
                  </w:r>
                </w:p>
              </w:tc>
              <w:tc>
                <w:tcPr>
                  <w:tcW w:w="125" w:type="pct"/>
                  <w:shd w:val="clear" w:color="000000" w:fill="FFFFFF"/>
                  <w:noWrap/>
                  <w:hideMark/>
                </w:tcPr>
                <w:p w14:paraId="77A96AC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9733222" w14:textId="77777777" w:rsidR="00E45009" w:rsidRPr="0025292C" w:rsidRDefault="00E45009" w:rsidP="00E45009">
                  <w:pPr>
                    <w:pStyle w:val="NoSpacing"/>
                    <w:rPr>
                      <w:sz w:val="18"/>
                      <w:szCs w:val="22"/>
                      <w:lang w:val="en-GB"/>
                    </w:rPr>
                  </w:pPr>
                  <w:r w:rsidRPr="0025292C">
                    <w:rPr>
                      <w:sz w:val="18"/>
                      <w:szCs w:val="22"/>
                      <w:lang w:val="en-GB"/>
                    </w:rPr>
                    <w:t>1.73</w:t>
                  </w:r>
                </w:p>
              </w:tc>
            </w:tr>
            <w:tr w:rsidR="00E45009" w:rsidRPr="0025292C" w14:paraId="2CD250D6" w14:textId="77777777" w:rsidTr="00DB32C0">
              <w:trPr>
                <w:trHeight w:val="255"/>
              </w:trPr>
              <w:tc>
                <w:tcPr>
                  <w:tcW w:w="267" w:type="pct"/>
                  <w:shd w:val="clear" w:color="000000" w:fill="FFFFFF"/>
                  <w:noWrap/>
                  <w:hideMark/>
                </w:tcPr>
                <w:p w14:paraId="105A100B"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6A263BC1" w14:textId="77777777" w:rsidR="00E45009" w:rsidRPr="0025292C" w:rsidRDefault="00E45009" w:rsidP="00E45009">
                  <w:pPr>
                    <w:pStyle w:val="NoSpacing"/>
                    <w:rPr>
                      <w:b/>
                      <w:bCs/>
                      <w:sz w:val="18"/>
                      <w:szCs w:val="22"/>
                      <w:lang w:val="en-GB"/>
                    </w:rPr>
                  </w:pPr>
                  <w:r w:rsidRPr="0025292C">
                    <w:rPr>
                      <w:b/>
                      <w:bCs/>
                      <w:sz w:val="18"/>
                      <w:szCs w:val="22"/>
                      <w:lang w:val="en-GB"/>
                    </w:rPr>
                    <w:t>IVb. Right to collective bargaining in practice</w:t>
                  </w:r>
                </w:p>
              </w:tc>
              <w:tc>
                <w:tcPr>
                  <w:tcW w:w="125" w:type="pct"/>
                  <w:shd w:val="clear" w:color="000000" w:fill="FFFFFF"/>
                  <w:hideMark/>
                </w:tcPr>
                <w:p w14:paraId="57CF3912"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43CD5F33"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38CA0470"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39191F8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3DAFB33"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52E38AC0"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E4EBC9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DA4F832"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0E4BDEF3" w14:textId="77777777" w:rsidTr="00DB32C0">
              <w:trPr>
                <w:trHeight w:val="255"/>
              </w:trPr>
              <w:tc>
                <w:tcPr>
                  <w:tcW w:w="267" w:type="pct"/>
                  <w:shd w:val="clear" w:color="000000" w:fill="FFFFFF"/>
                  <w:noWrap/>
                  <w:hideMark/>
                </w:tcPr>
                <w:p w14:paraId="1B73DDD6" w14:textId="77777777" w:rsidR="00E45009" w:rsidRPr="0025292C" w:rsidRDefault="00E45009" w:rsidP="00E45009">
                  <w:pPr>
                    <w:pStyle w:val="NoSpacing"/>
                    <w:rPr>
                      <w:sz w:val="18"/>
                      <w:szCs w:val="22"/>
                      <w:lang w:val="en-GB"/>
                    </w:rPr>
                  </w:pPr>
                  <w:r w:rsidRPr="0025292C">
                    <w:rPr>
                      <w:sz w:val="18"/>
                      <w:szCs w:val="22"/>
                      <w:lang w:val="en-GB"/>
                    </w:rPr>
                    <w:t>70</w:t>
                  </w:r>
                </w:p>
              </w:tc>
              <w:tc>
                <w:tcPr>
                  <w:tcW w:w="2195" w:type="pct"/>
                  <w:shd w:val="clear" w:color="000000" w:fill="FFFFFF"/>
                  <w:hideMark/>
                </w:tcPr>
                <w:p w14:paraId="47122825" w14:textId="77777777" w:rsidR="00E45009" w:rsidRPr="0025292C" w:rsidRDefault="00E45009" w:rsidP="00E45009">
                  <w:pPr>
                    <w:pStyle w:val="NoSpacing"/>
                    <w:rPr>
                      <w:sz w:val="18"/>
                      <w:szCs w:val="22"/>
                      <w:lang w:val="en-GB"/>
                    </w:rPr>
                  </w:pPr>
                  <w:r w:rsidRPr="0025292C">
                    <w:rPr>
                      <w:sz w:val="18"/>
                      <w:szCs w:val="22"/>
                      <w:lang w:val="en-GB"/>
                    </w:rPr>
                    <w:t>General prohibition of collective bargaining</w:t>
                  </w:r>
                </w:p>
              </w:tc>
              <w:tc>
                <w:tcPr>
                  <w:tcW w:w="125" w:type="pct"/>
                  <w:shd w:val="clear" w:color="000000" w:fill="FFFFFF"/>
                  <w:hideMark/>
                </w:tcPr>
                <w:p w14:paraId="1E9ADF4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6742D03" w14:textId="77777777" w:rsidR="00E45009" w:rsidRPr="0025292C" w:rsidRDefault="00E45009" w:rsidP="00E45009">
                  <w:pPr>
                    <w:pStyle w:val="NoSpacing"/>
                    <w:rPr>
                      <w:sz w:val="18"/>
                      <w:szCs w:val="22"/>
                      <w:lang w:val="en-GB"/>
                    </w:rPr>
                  </w:pPr>
                  <w:r w:rsidRPr="0025292C">
                    <w:rPr>
                      <w:sz w:val="18"/>
                      <w:szCs w:val="22"/>
                      <w:lang w:val="en-GB"/>
                    </w:rPr>
                    <w:t>4.54</w:t>
                  </w:r>
                </w:p>
              </w:tc>
              <w:tc>
                <w:tcPr>
                  <w:tcW w:w="335" w:type="pct"/>
                  <w:shd w:val="clear" w:color="000000" w:fill="FFFFFF"/>
                  <w:noWrap/>
                  <w:hideMark/>
                </w:tcPr>
                <w:p w14:paraId="21EFA8DA"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022D881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7CAAC7B" w14:textId="77777777" w:rsidR="00E45009" w:rsidRPr="0025292C" w:rsidRDefault="00E45009" w:rsidP="00E45009">
                  <w:pPr>
                    <w:pStyle w:val="NoSpacing"/>
                    <w:rPr>
                      <w:sz w:val="18"/>
                      <w:szCs w:val="22"/>
                      <w:lang w:val="en-GB"/>
                    </w:rPr>
                  </w:pPr>
                  <w:r w:rsidRPr="0025292C">
                    <w:rPr>
                      <w:sz w:val="18"/>
                      <w:szCs w:val="22"/>
                      <w:lang w:val="en-GB"/>
                    </w:rPr>
                    <w:t>4.57</w:t>
                  </w:r>
                </w:p>
              </w:tc>
              <w:tc>
                <w:tcPr>
                  <w:tcW w:w="333" w:type="pct"/>
                  <w:shd w:val="clear" w:color="000000" w:fill="FFFFFF"/>
                  <w:noWrap/>
                  <w:hideMark/>
                </w:tcPr>
                <w:p w14:paraId="2547A129" w14:textId="77777777" w:rsidR="00E45009" w:rsidRPr="0025292C" w:rsidRDefault="00E45009" w:rsidP="00E45009">
                  <w:pPr>
                    <w:pStyle w:val="NoSpacing"/>
                    <w:rPr>
                      <w:sz w:val="18"/>
                      <w:szCs w:val="22"/>
                      <w:lang w:val="en-GB"/>
                    </w:rPr>
                  </w:pPr>
                  <w:r w:rsidRPr="0025292C">
                    <w:rPr>
                      <w:sz w:val="18"/>
                      <w:szCs w:val="22"/>
                      <w:lang w:val="en-GB"/>
                    </w:rPr>
                    <w:t>0.51</w:t>
                  </w:r>
                </w:p>
              </w:tc>
              <w:tc>
                <w:tcPr>
                  <w:tcW w:w="125" w:type="pct"/>
                  <w:shd w:val="clear" w:color="000000" w:fill="FFFFFF"/>
                  <w:noWrap/>
                  <w:hideMark/>
                </w:tcPr>
                <w:p w14:paraId="47FE6E6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6DE03FE" w14:textId="77777777" w:rsidR="00E45009" w:rsidRPr="0025292C" w:rsidRDefault="00E45009" w:rsidP="00E45009">
                  <w:pPr>
                    <w:pStyle w:val="NoSpacing"/>
                    <w:rPr>
                      <w:sz w:val="18"/>
                      <w:szCs w:val="22"/>
                      <w:lang w:val="en-GB"/>
                    </w:rPr>
                  </w:pPr>
                  <w:r w:rsidRPr="0025292C">
                    <w:rPr>
                      <w:sz w:val="18"/>
                      <w:szCs w:val="22"/>
                      <w:lang w:val="en-GB"/>
                    </w:rPr>
                    <w:t>1.89</w:t>
                  </w:r>
                </w:p>
              </w:tc>
            </w:tr>
            <w:tr w:rsidR="00E45009" w:rsidRPr="0025292C" w14:paraId="5D0C6A92" w14:textId="77777777" w:rsidTr="00DB32C0">
              <w:trPr>
                <w:trHeight w:val="255"/>
              </w:trPr>
              <w:tc>
                <w:tcPr>
                  <w:tcW w:w="267" w:type="pct"/>
                  <w:shd w:val="clear" w:color="000000" w:fill="FFFFFF"/>
                  <w:noWrap/>
                  <w:hideMark/>
                </w:tcPr>
                <w:p w14:paraId="0FB4C22F" w14:textId="77777777" w:rsidR="00E45009" w:rsidRPr="0025292C" w:rsidRDefault="00E45009" w:rsidP="00E45009">
                  <w:pPr>
                    <w:pStyle w:val="NoSpacing"/>
                    <w:rPr>
                      <w:sz w:val="18"/>
                      <w:szCs w:val="22"/>
                      <w:lang w:val="en-GB"/>
                    </w:rPr>
                  </w:pPr>
                  <w:r w:rsidRPr="0025292C">
                    <w:rPr>
                      <w:sz w:val="18"/>
                      <w:szCs w:val="22"/>
                      <w:lang w:val="en-GB"/>
                    </w:rPr>
                    <w:t>71</w:t>
                  </w:r>
                </w:p>
              </w:tc>
              <w:tc>
                <w:tcPr>
                  <w:tcW w:w="2195" w:type="pct"/>
                  <w:shd w:val="clear" w:color="000000" w:fill="FFFFFF"/>
                  <w:hideMark/>
                </w:tcPr>
                <w:p w14:paraId="248A3781" w14:textId="77777777" w:rsidR="00E45009" w:rsidRPr="0025292C" w:rsidRDefault="00E45009" w:rsidP="00E45009">
                  <w:pPr>
                    <w:pStyle w:val="NoSpacing"/>
                    <w:rPr>
                      <w:sz w:val="18"/>
                      <w:szCs w:val="22"/>
                      <w:lang w:val="en-GB"/>
                    </w:rPr>
                  </w:pPr>
                  <w:r w:rsidRPr="0025292C">
                    <w:rPr>
                      <w:sz w:val="18"/>
                      <w:szCs w:val="22"/>
                      <w:lang w:val="en-GB"/>
                    </w:rPr>
                    <w:t>Insufficient promotion of collective bargaining</w:t>
                  </w:r>
                </w:p>
              </w:tc>
              <w:tc>
                <w:tcPr>
                  <w:tcW w:w="125" w:type="pct"/>
                  <w:shd w:val="clear" w:color="000000" w:fill="FFFFFF"/>
                  <w:hideMark/>
                </w:tcPr>
                <w:p w14:paraId="65800CB4"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C74421C" w14:textId="77777777" w:rsidR="00E45009" w:rsidRPr="0025292C" w:rsidRDefault="00E45009" w:rsidP="00E45009">
                  <w:pPr>
                    <w:pStyle w:val="NoSpacing"/>
                    <w:rPr>
                      <w:sz w:val="18"/>
                      <w:szCs w:val="22"/>
                      <w:lang w:val="en-GB"/>
                    </w:rPr>
                  </w:pPr>
                  <w:r w:rsidRPr="0025292C">
                    <w:rPr>
                      <w:sz w:val="18"/>
                      <w:szCs w:val="22"/>
                      <w:lang w:val="en-GB"/>
                    </w:rPr>
                    <w:t>2.92</w:t>
                  </w:r>
                </w:p>
              </w:tc>
              <w:tc>
                <w:tcPr>
                  <w:tcW w:w="335" w:type="pct"/>
                  <w:shd w:val="clear" w:color="000000" w:fill="FFFFFF"/>
                  <w:noWrap/>
                  <w:hideMark/>
                </w:tcPr>
                <w:p w14:paraId="13191B85"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45416DC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A1DF296" w14:textId="77777777" w:rsidR="00E45009" w:rsidRPr="0025292C" w:rsidRDefault="00E45009" w:rsidP="00E45009">
                  <w:pPr>
                    <w:pStyle w:val="NoSpacing"/>
                    <w:rPr>
                      <w:sz w:val="18"/>
                      <w:szCs w:val="22"/>
                      <w:lang w:val="en-GB"/>
                    </w:rPr>
                  </w:pPr>
                  <w:r w:rsidRPr="0025292C">
                    <w:rPr>
                      <w:sz w:val="18"/>
                      <w:szCs w:val="22"/>
                      <w:lang w:val="en-GB"/>
                    </w:rPr>
                    <w:t>2.79</w:t>
                  </w:r>
                </w:p>
              </w:tc>
              <w:tc>
                <w:tcPr>
                  <w:tcW w:w="333" w:type="pct"/>
                  <w:shd w:val="clear" w:color="000000" w:fill="FFFFFF"/>
                  <w:noWrap/>
                  <w:hideMark/>
                </w:tcPr>
                <w:p w14:paraId="69F06FA2"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47F77F87"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CE44A89" w14:textId="77777777" w:rsidR="00E45009" w:rsidRPr="0025292C" w:rsidRDefault="00E45009" w:rsidP="00E45009">
                  <w:pPr>
                    <w:pStyle w:val="NoSpacing"/>
                    <w:rPr>
                      <w:sz w:val="18"/>
                      <w:szCs w:val="22"/>
                      <w:lang w:val="en-GB"/>
                    </w:rPr>
                  </w:pPr>
                  <w:r w:rsidRPr="0025292C">
                    <w:rPr>
                      <w:sz w:val="18"/>
                      <w:szCs w:val="22"/>
                      <w:lang w:val="en-GB"/>
                    </w:rPr>
                    <w:t>1.45</w:t>
                  </w:r>
                </w:p>
              </w:tc>
            </w:tr>
            <w:tr w:rsidR="00E45009" w:rsidRPr="0025292C" w14:paraId="55D59FE1" w14:textId="77777777" w:rsidTr="00DB32C0">
              <w:trPr>
                <w:trHeight w:val="255"/>
              </w:trPr>
              <w:tc>
                <w:tcPr>
                  <w:tcW w:w="267" w:type="pct"/>
                  <w:shd w:val="clear" w:color="000000" w:fill="FFFFFF"/>
                  <w:noWrap/>
                  <w:hideMark/>
                </w:tcPr>
                <w:p w14:paraId="4061462B" w14:textId="77777777" w:rsidR="00E45009" w:rsidRPr="0025292C" w:rsidRDefault="00E45009" w:rsidP="00E45009">
                  <w:pPr>
                    <w:pStyle w:val="NoSpacing"/>
                    <w:rPr>
                      <w:sz w:val="18"/>
                      <w:szCs w:val="22"/>
                      <w:lang w:val="en-GB"/>
                    </w:rPr>
                  </w:pPr>
                  <w:r w:rsidRPr="0025292C">
                    <w:rPr>
                      <w:sz w:val="18"/>
                      <w:szCs w:val="22"/>
                      <w:lang w:val="en-GB"/>
                    </w:rPr>
                    <w:t>72</w:t>
                  </w:r>
                </w:p>
              </w:tc>
              <w:tc>
                <w:tcPr>
                  <w:tcW w:w="2195" w:type="pct"/>
                  <w:shd w:val="clear" w:color="000000" w:fill="FFFFFF"/>
                  <w:hideMark/>
                </w:tcPr>
                <w:p w14:paraId="6ECDC55F" w14:textId="77777777" w:rsidR="00E45009" w:rsidRPr="0025292C" w:rsidRDefault="00E45009" w:rsidP="00E45009">
                  <w:pPr>
                    <w:pStyle w:val="NoSpacing"/>
                    <w:rPr>
                      <w:sz w:val="18"/>
                      <w:szCs w:val="22"/>
                      <w:lang w:val="en-GB"/>
                    </w:rPr>
                  </w:pPr>
                  <w:r w:rsidRPr="0025292C">
                    <w:rPr>
                      <w:sz w:val="18"/>
                      <w:szCs w:val="22"/>
                      <w:lang w:val="en-GB"/>
                    </w:rPr>
                    <w:t>Exclusion of workers from the right to collective bargaining</w:t>
                  </w:r>
                </w:p>
              </w:tc>
              <w:tc>
                <w:tcPr>
                  <w:tcW w:w="125" w:type="pct"/>
                  <w:shd w:val="clear" w:color="000000" w:fill="FFFFFF"/>
                  <w:hideMark/>
                </w:tcPr>
                <w:p w14:paraId="6719C0F9"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20D0D36" w14:textId="77777777" w:rsidR="00E45009" w:rsidRPr="0025292C" w:rsidRDefault="00E45009" w:rsidP="00E45009">
                  <w:pPr>
                    <w:pStyle w:val="NoSpacing"/>
                    <w:rPr>
                      <w:sz w:val="18"/>
                      <w:szCs w:val="22"/>
                      <w:lang w:val="en-GB"/>
                    </w:rPr>
                  </w:pPr>
                  <w:r w:rsidRPr="0025292C">
                    <w:rPr>
                      <w:sz w:val="18"/>
                      <w:szCs w:val="22"/>
                      <w:lang w:val="en-GB"/>
                    </w:rPr>
                    <w:t>4.08</w:t>
                  </w:r>
                </w:p>
              </w:tc>
              <w:tc>
                <w:tcPr>
                  <w:tcW w:w="335" w:type="pct"/>
                  <w:shd w:val="clear" w:color="000000" w:fill="FFFFFF"/>
                  <w:noWrap/>
                  <w:hideMark/>
                </w:tcPr>
                <w:p w14:paraId="29C0BB04" w14:textId="77777777" w:rsidR="00E45009" w:rsidRPr="0025292C" w:rsidRDefault="00E45009" w:rsidP="00E45009">
                  <w:pPr>
                    <w:pStyle w:val="NoSpacing"/>
                    <w:rPr>
                      <w:sz w:val="18"/>
                      <w:szCs w:val="22"/>
                      <w:lang w:val="en-GB"/>
                    </w:rPr>
                  </w:pPr>
                  <w:r w:rsidRPr="0025292C">
                    <w:rPr>
                      <w:sz w:val="18"/>
                      <w:szCs w:val="22"/>
                      <w:lang w:val="en-GB"/>
                    </w:rPr>
                    <w:t>0.66</w:t>
                  </w:r>
                </w:p>
              </w:tc>
              <w:tc>
                <w:tcPr>
                  <w:tcW w:w="125" w:type="pct"/>
                  <w:shd w:val="clear" w:color="000000" w:fill="FFFFFF"/>
                  <w:noWrap/>
                  <w:hideMark/>
                </w:tcPr>
                <w:p w14:paraId="61D35F9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5072D94" w14:textId="77777777" w:rsidR="00E45009" w:rsidRPr="0025292C" w:rsidRDefault="00E45009" w:rsidP="00E45009">
                  <w:pPr>
                    <w:pStyle w:val="NoSpacing"/>
                    <w:rPr>
                      <w:sz w:val="18"/>
                      <w:szCs w:val="22"/>
                      <w:lang w:val="en-GB"/>
                    </w:rPr>
                  </w:pPr>
                  <w:r w:rsidRPr="0025292C">
                    <w:rPr>
                      <w:sz w:val="18"/>
                      <w:szCs w:val="22"/>
                      <w:lang w:val="en-GB"/>
                    </w:rPr>
                    <w:t>4.36</w:t>
                  </w:r>
                </w:p>
              </w:tc>
              <w:tc>
                <w:tcPr>
                  <w:tcW w:w="333" w:type="pct"/>
                  <w:shd w:val="clear" w:color="000000" w:fill="FFFFFF"/>
                  <w:noWrap/>
                  <w:hideMark/>
                </w:tcPr>
                <w:p w14:paraId="7F6C34B1" w14:textId="77777777" w:rsidR="00E45009" w:rsidRPr="0025292C" w:rsidRDefault="00E45009" w:rsidP="00E45009">
                  <w:pPr>
                    <w:pStyle w:val="NoSpacing"/>
                    <w:rPr>
                      <w:sz w:val="18"/>
                      <w:szCs w:val="22"/>
                      <w:lang w:val="en-GB"/>
                    </w:rPr>
                  </w:pPr>
                  <w:r w:rsidRPr="0025292C">
                    <w:rPr>
                      <w:sz w:val="18"/>
                      <w:szCs w:val="22"/>
                      <w:lang w:val="en-GB"/>
                    </w:rPr>
                    <w:t>0.50</w:t>
                  </w:r>
                </w:p>
              </w:tc>
              <w:tc>
                <w:tcPr>
                  <w:tcW w:w="125" w:type="pct"/>
                  <w:shd w:val="clear" w:color="000000" w:fill="FFFFFF"/>
                  <w:noWrap/>
                  <w:hideMark/>
                </w:tcPr>
                <w:p w14:paraId="752E77C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2B571A6" w14:textId="77777777" w:rsidR="00E45009" w:rsidRPr="0025292C" w:rsidRDefault="00E45009" w:rsidP="00E45009">
                  <w:pPr>
                    <w:pStyle w:val="NoSpacing"/>
                    <w:rPr>
                      <w:sz w:val="18"/>
                      <w:szCs w:val="22"/>
                      <w:lang w:val="en-GB"/>
                    </w:rPr>
                  </w:pPr>
                  <w:r w:rsidRPr="0025292C">
                    <w:rPr>
                      <w:sz w:val="18"/>
                      <w:szCs w:val="22"/>
                      <w:lang w:val="en-GB"/>
                    </w:rPr>
                    <w:t>1.84</w:t>
                  </w:r>
                </w:p>
              </w:tc>
            </w:tr>
            <w:tr w:rsidR="00E45009" w:rsidRPr="0025292C" w14:paraId="21477E40" w14:textId="77777777" w:rsidTr="00DB32C0">
              <w:trPr>
                <w:trHeight w:val="255"/>
              </w:trPr>
              <w:tc>
                <w:tcPr>
                  <w:tcW w:w="267" w:type="pct"/>
                  <w:shd w:val="clear" w:color="000000" w:fill="FFFFFF"/>
                  <w:noWrap/>
                  <w:hideMark/>
                </w:tcPr>
                <w:p w14:paraId="7F636BE0" w14:textId="77777777" w:rsidR="00E45009" w:rsidRPr="0025292C" w:rsidRDefault="00E45009" w:rsidP="00E45009">
                  <w:pPr>
                    <w:pStyle w:val="NoSpacing"/>
                    <w:rPr>
                      <w:sz w:val="18"/>
                      <w:szCs w:val="22"/>
                      <w:lang w:val="en-GB"/>
                    </w:rPr>
                  </w:pPr>
                  <w:r w:rsidRPr="0025292C">
                    <w:rPr>
                      <w:sz w:val="18"/>
                      <w:szCs w:val="22"/>
                      <w:lang w:val="en-GB"/>
                    </w:rPr>
                    <w:t>73</w:t>
                  </w:r>
                </w:p>
              </w:tc>
              <w:tc>
                <w:tcPr>
                  <w:tcW w:w="2195" w:type="pct"/>
                  <w:shd w:val="clear" w:color="000000" w:fill="FFFFFF"/>
                  <w:hideMark/>
                </w:tcPr>
                <w:p w14:paraId="242E7B38" w14:textId="77777777" w:rsidR="00E45009" w:rsidRPr="0025292C" w:rsidRDefault="00E45009" w:rsidP="00E45009">
                  <w:pPr>
                    <w:pStyle w:val="NoSpacing"/>
                    <w:rPr>
                      <w:sz w:val="18"/>
                      <w:szCs w:val="22"/>
                      <w:lang w:val="en-GB"/>
                    </w:rPr>
                  </w:pPr>
                  <w:r w:rsidRPr="0025292C">
                    <w:rPr>
                      <w:sz w:val="18"/>
                      <w:szCs w:val="22"/>
                      <w:lang w:val="en-GB"/>
                    </w:rPr>
                    <w:t>Exclusion/restriction of subjects covered by collective bargaining</w:t>
                  </w:r>
                </w:p>
              </w:tc>
              <w:tc>
                <w:tcPr>
                  <w:tcW w:w="125" w:type="pct"/>
                  <w:shd w:val="clear" w:color="000000" w:fill="FFFFFF"/>
                  <w:hideMark/>
                </w:tcPr>
                <w:p w14:paraId="2639DD2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4E5D16D" w14:textId="77777777" w:rsidR="00E45009" w:rsidRPr="0025292C" w:rsidRDefault="00E45009" w:rsidP="00E45009">
                  <w:pPr>
                    <w:pStyle w:val="NoSpacing"/>
                    <w:rPr>
                      <w:sz w:val="18"/>
                      <w:szCs w:val="22"/>
                      <w:lang w:val="en-GB"/>
                    </w:rPr>
                  </w:pPr>
                  <w:r w:rsidRPr="0025292C">
                    <w:rPr>
                      <w:sz w:val="18"/>
                      <w:szCs w:val="22"/>
                      <w:lang w:val="en-GB"/>
                    </w:rPr>
                    <w:t>3.38</w:t>
                  </w:r>
                </w:p>
              </w:tc>
              <w:tc>
                <w:tcPr>
                  <w:tcW w:w="335" w:type="pct"/>
                  <w:shd w:val="clear" w:color="000000" w:fill="FFFFFF"/>
                  <w:noWrap/>
                  <w:hideMark/>
                </w:tcPr>
                <w:p w14:paraId="4F9FF52C" w14:textId="77777777" w:rsidR="00E45009" w:rsidRPr="0025292C" w:rsidRDefault="00E45009" w:rsidP="00E45009">
                  <w:pPr>
                    <w:pStyle w:val="NoSpacing"/>
                    <w:rPr>
                      <w:sz w:val="18"/>
                      <w:szCs w:val="22"/>
                      <w:lang w:val="en-GB"/>
                    </w:rPr>
                  </w:pPr>
                  <w:r w:rsidRPr="0025292C">
                    <w:rPr>
                      <w:sz w:val="18"/>
                      <w:szCs w:val="22"/>
                      <w:lang w:val="en-GB"/>
                    </w:rPr>
                    <w:t>0.50</w:t>
                  </w:r>
                </w:p>
              </w:tc>
              <w:tc>
                <w:tcPr>
                  <w:tcW w:w="125" w:type="pct"/>
                  <w:shd w:val="clear" w:color="000000" w:fill="FFFFFF"/>
                  <w:noWrap/>
                  <w:hideMark/>
                </w:tcPr>
                <w:p w14:paraId="468D8A2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EF8D21B" w14:textId="77777777" w:rsidR="00E45009" w:rsidRPr="0025292C" w:rsidRDefault="00E45009" w:rsidP="00E45009">
                  <w:pPr>
                    <w:pStyle w:val="NoSpacing"/>
                    <w:rPr>
                      <w:sz w:val="18"/>
                      <w:szCs w:val="22"/>
                      <w:lang w:val="en-GB"/>
                    </w:rPr>
                  </w:pPr>
                  <w:r w:rsidRPr="0025292C">
                    <w:rPr>
                      <w:sz w:val="18"/>
                      <w:szCs w:val="22"/>
                      <w:lang w:val="en-GB"/>
                    </w:rPr>
                    <w:t>3.36</w:t>
                  </w:r>
                </w:p>
              </w:tc>
              <w:tc>
                <w:tcPr>
                  <w:tcW w:w="333" w:type="pct"/>
                  <w:shd w:val="clear" w:color="000000" w:fill="FFFFFF"/>
                  <w:noWrap/>
                  <w:hideMark/>
                </w:tcPr>
                <w:p w14:paraId="6AA11F89" w14:textId="77777777" w:rsidR="00E45009" w:rsidRPr="0025292C" w:rsidRDefault="00E45009" w:rsidP="00E45009">
                  <w:pPr>
                    <w:pStyle w:val="NoSpacing"/>
                    <w:rPr>
                      <w:sz w:val="18"/>
                      <w:szCs w:val="22"/>
                      <w:lang w:val="en-GB"/>
                    </w:rPr>
                  </w:pPr>
                  <w:r w:rsidRPr="0025292C">
                    <w:rPr>
                      <w:sz w:val="18"/>
                      <w:szCs w:val="22"/>
                      <w:lang w:val="en-GB"/>
                    </w:rPr>
                    <w:t>0.50</w:t>
                  </w:r>
                </w:p>
              </w:tc>
              <w:tc>
                <w:tcPr>
                  <w:tcW w:w="125" w:type="pct"/>
                  <w:shd w:val="clear" w:color="000000" w:fill="FFFFFF"/>
                  <w:noWrap/>
                  <w:hideMark/>
                </w:tcPr>
                <w:p w14:paraId="4243C0C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C4795B8" w14:textId="77777777" w:rsidR="00E45009" w:rsidRPr="0025292C" w:rsidRDefault="00E45009" w:rsidP="00E45009">
                  <w:pPr>
                    <w:pStyle w:val="NoSpacing"/>
                    <w:rPr>
                      <w:sz w:val="18"/>
                      <w:szCs w:val="22"/>
                      <w:lang w:val="en-GB"/>
                    </w:rPr>
                  </w:pPr>
                  <w:r w:rsidRPr="0025292C">
                    <w:rPr>
                      <w:sz w:val="18"/>
                      <w:szCs w:val="22"/>
                      <w:lang w:val="en-GB"/>
                    </w:rPr>
                    <w:t>1.59</w:t>
                  </w:r>
                </w:p>
              </w:tc>
            </w:tr>
            <w:tr w:rsidR="00E45009" w:rsidRPr="0025292C" w14:paraId="28DE6B4A" w14:textId="77777777" w:rsidTr="00DB32C0">
              <w:trPr>
                <w:trHeight w:val="255"/>
              </w:trPr>
              <w:tc>
                <w:tcPr>
                  <w:tcW w:w="267" w:type="pct"/>
                  <w:shd w:val="clear" w:color="000000" w:fill="FFFFFF"/>
                  <w:noWrap/>
                  <w:hideMark/>
                </w:tcPr>
                <w:p w14:paraId="4EC31EE3" w14:textId="77777777" w:rsidR="00E45009" w:rsidRPr="0025292C" w:rsidRDefault="00E45009" w:rsidP="00E45009">
                  <w:pPr>
                    <w:pStyle w:val="NoSpacing"/>
                    <w:rPr>
                      <w:sz w:val="18"/>
                      <w:szCs w:val="22"/>
                      <w:lang w:val="en-GB"/>
                    </w:rPr>
                  </w:pPr>
                  <w:r w:rsidRPr="0025292C">
                    <w:rPr>
                      <w:sz w:val="18"/>
                      <w:szCs w:val="22"/>
                      <w:lang w:val="en-GB"/>
                    </w:rPr>
                    <w:t>74</w:t>
                  </w:r>
                </w:p>
              </w:tc>
              <w:tc>
                <w:tcPr>
                  <w:tcW w:w="2195" w:type="pct"/>
                  <w:shd w:val="clear" w:color="000000" w:fill="FFFFFF"/>
                  <w:hideMark/>
                </w:tcPr>
                <w:p w14:paraId="2E84C8CD" w14:textId="77777777" w:rsidR="00E45009" w:rsidRPr="0025292C" w:rsidRDefault="00E45009" w:rsidP="00E45009">
                  <w:pPr>
                    <w:pStyle w:val="NoSpacing"/>
                    <w:rPr>
                      <w:sz w:val="18"/>
                      <w:szCs w:val="22"/>
                      <w:lang w:val="en-GB"/>
                    </w:rPr>
                  </w:pPr>
                  <w:r w:rsidRPr="0025292C">
                    <w:rPr>
                      <w:sz w:val="18"/>
                      <w:szCs w:val="22"/>
                      <w:lang w:val="en-GB"/>
                    </w:rPr>
                    <w:t>Compulsory arbitration accorded to collective bargaining</w:t>
                  </w:r>
                </w:p>
              </w:tc>
              <w:tc>
                <w:tcPr>
                  <w:tcW w:w="125" w:type="pct"/>
                  <w:shd w:val="clear" w:color="000000" w:fill="FFFFFF"/>
                  <w:hideMark/>
                </w:tcPr>
                <w:p w14:paraId="37182E40"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5B3158F" w14:textId="77777777" w:rsidR="00E45009" w:rsidRPr="0025292C" w:rsidRDefault="00E45009" w:rsidP="00E45009">
                  <w:pPr>
                    <w:pStyle w:val="NoSpacing"/>
                    <w:rPr>
                      <w:sz w:val="18"/>
                      <w:szCs w:val="22"/>
                      <w:lang w:val="en-GB"/>
                    </w:rPr>
                  </w:pPr>
                  <w:r w:rsidRPr="0025292C">
                    <w:rPr>
                      <w:sz w:val="18"/>
                      <w:szCs w:val="22"/>
                      <w:lang w:val="en-GB"/>
                    </w:rPr>
                    <w:t>3.69</w:t>
                  </w:r>
                </w:p>
              </w:tc>
              <w:tc>
                <w:tcPr>
                  <w:tcW w:w="335" w:type="pct"/>
                  <w:shd w:val="clear" w:color="000000" w:fill="FFFFFF"/>
                  <w:noWrap/>
                  <w:hideMark/>
                </w:tcPr>
                <w:p w14:paraId="324ECD4A" w14:textId="77777777" w:rsidR="00E45009" w:rsidRPr="0025292C" w:rsidRDefault="00E45009" w:rsidP="00E45009">
                  <w:pPr>
                    <w:pStyle w:val="NoSpacing"/>
                    <w:rPr>
                      <w:sz w:val="18"/>
                      <w:szCs w:val="22"/>
                      <w:lang w:val="en-GB"/>
                    </w:rPr>
                  </w:pPr>
                  <w:r w:rsidRPr="0025292C">
                    <w:rPr>
                      <w:sz w:val="18"/>
                      <w:szCs w:val="22"/>
                      <w:lang w:val="en-GB"/>
                    </w:rPr>
                    <w:t>0.93</w:t>
                  </w:r>
                </w:p>
              </w:tc>
              <w:tc>
                <w:tcPr>
                  <w:tcW w:w="125" w:type="pct"/>
                  <w:shd w:val="clear" w:color="000000" w:fill="FFFFFF"/>
                  <w:noWrap/>
                  <w:hideMark/>
                </w:tcPr>
                <w:p w14:paraId="14266E8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16AA79B" w14:textId="77777777" w:rsidR="00E45009" w:rsidRPr="0025292C" w:rsidRDefault="00E45009" w:rsidP="00E45009">
                  <w:pPr>
                    <w:pStyle w:val="NoSpacing"/>
                    <w:rPr>
                      <w:sz w:val="18"/>
                      <w:szCs w:val="22"/>
                      <w:lang w:val="en-GB"/>
                    </w:rPr>
                  </w:pPr>
                  <w:r w:rsidRPr="0025292C">
                    <w:rPr>
                      <w:sz w:val="18"/>
                      <w:szCs w:val="22"/>
                      <w:lang w:val="en-GB"/>
                    </w:rPr>
                    <w:t>3.71</w:t>
                  </w:r>
                </w:p>
              </w:tc>
              <w:tc>
                <w:tcPr>
                  <w:tcW w:w="333" w:type="pct"/>
                  <w:shd w:val="clear" w:color="000000" w:fill="FFFFFF"/>
                  <w:noWrap/>
                  <w:hideMark/>
                </w:tcPr>
                <w:p w14:paraId="13AC9D22"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6014E130"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C0FE55A" w14:textId="77777777" w:rsidR="00E45009" w:rsidRPr="0025292C" w:rsidRDefault="00E45009" w:rsidP="00E45009">
                  <w:pPr>
                    <w:pStyle w:val="NoSpacing"/>
                    <w:rPr>
                      <w:sz w:val="18"/>
                      <w:szCs w:val="22"/>
                      <w:lang w:val="en-GB"/>
                    </w:rPr>
                  </w:pPr>
                  <w:r w:rsidRPr="0025292C">
                    <w:rPr>
                      <w:sz w:val="18"/>
                      <w:szCs w:val="22"/>
                      <w:lang w:val="en-GB"/>
                    </w:rPr>
                    <w:t>1.68</w:t>
                  </w:r>
                </w:p>
              </w:tc>
            </w:tr>
            <w:tr w:rsidR="00E45009" w:rsidRPr="0025292C" w14:paraId="1432048B" w14:textId="77777777" w:rsidTr="00DB32C0">
              <w:trPr>
                <w:trHeight w:val="510"/>
              </w:trPr>
              <w:tc>
                <w:tcPr>
                  <w:tcW w:w="267" w:type="pct"/>
                  <w:shd w:val="clear" w:color="000000" w:fill="FFFFFF"/>
                  <w:noWrap/>
                  <w:hideMark/>
                </w:tcPr>
                <w:p w14:paraId="77C6B532" w14:textId="77777777" w:rsidR="00E45009" w:rsidRPr="0025292C" w:rsidRDefault="00E45009" w:rsidP="00E45009">
                  <w:pPr>
                    <w:pStyle w:val="NoSpacing"/>
                    <w:rPr>
                      <w:sz w:val="18"/>
                      <w:szCs w:val="22"/>
                      <w:lang w:val="en-GB"/>
                    </w:rPr>
                  </w:pPr>
                  <w:r w:rsidRPr="0025292C">
                    <w:rPr>
                      <w:sz w:val="18"/>
                      <w:szCs w:val="22"/>
                      <w:lang w:val="en-GB"/>
                    </w:rPr>
                    <w:t>75</w:t>
                  </w:r>
                </w:p>
              </w:tc>
              <w:tc>
                <w:tcPr>
                  <w:tcW w:w="2195" w:type="pct"/>
                  <w:shd w:val="clear" w:color="000000" w:fill="FFFFFF"/>
                  <w:hideMark/>
                </w:tcPr>
                <w:p w14:paraId="1D222BAA" w14:textId="77777777" w:rsidR="00E45009" w:rsidRPr="0025292C" w:rsidRDefault="00E45009" w:rsidP="00E45009">
                  <w:pPr>
                    <w:pStyle w:val="NoSpacing"/>
                    <w:rPr>
                      <w:sz w:val="18"/>
                      <w:szCs w:val="22"/>
                      <w:lang w:val="en-GB"/>
                    </w:rPr>
                  </w:pPr>
                  <w:r w:rsidRPr="0025292C">
                    <w:rPr>
                      <w:sz w:val="18"/>
                      <w:szCs w:val="22"/>
                      <w:lang w:val="en-GB"/>
                    </w:rPr>
                    <w:t xml:space="preserve">Excessive requirements and/or lack of objective, pre-established and precise criteria for the determination/recognition of trade unions entitled to collective bargaining </w:t>
                  </w:r>
                </w:p>
              </w:tc>
              <w:tc>
                <w:tcPr>
                  <w:tcW w:w="125" w:type="pct"/>
                  <w:shd w:val="clear" w:color="000000" w:fill="FFFFFF"/>
                  <w:hideMark/>
                </w:tcPr>
                <w:p w14:paraId="42F1CCD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14BEA6F" w14:textId="77777777" w:rsidR="00E45009" w:rsidRPr="0025292C" w:rsidRDefault="00E45009" w:rsidP="00E45009">
                  <w:pPr>
                    <w:pStyle w:val="NoSpacing"/>
                    <w:rPr>
                      <w:sz w:val="18"/>
                      <w:szCs w:val="22"/>
                      <w:lang w:val="en-GB"/>
                    </w:rPr>
                  </w:pPr>
                  <w:r w:rsidRPr="0025292C">
                    <w:rPr>
                      <w:sz w:val="18"/>
                      <w:szCs w:val="22"/>
                      <w:lang w:val="en-GB"/>
                    </w:rPr>
                    <w:t>3.62</w:t>
                  </w:r>
                </w:p>
              </w:tc>
              <w:tc>
                <w:tcPr>
                  <w:tcW w:w="335" w:type="pct"/>
                  <w:shd w:val="clear" w:color="000000" w:fill="FFFFFF"/>
                  <w:noWrap/>
                  <w:hideMark/>
                </w:tcPr>
                <w:p w14:paraId="686D831B" w14:textId="77777777" w:rsidR="00E45009" w:rsidRPr="0025292C" w:rsidRDefault="00E45009" w:rsidP="00E45009">
                  <w:pPr>
                    <w:pStyle w:val="NoSpacing"/>
                    <w:rPr>
                      <w:sz w:val="18"/>
                      <w:szCs w:val="22"/>
                      <w:lang w:val="en-GB"/>
                    </w:rPr>
                  </w:pPr>
                  <w:r w:rsidRPr="0025292C">
                    <w:rPr>
                      <w:sz w:val="18"/>
                      <w:szCs w:val="22"/>
                      <w:lang w:val="en-GB"/>
                    </w:rPr>
                    <w:t>0.84</w:t>
                  </w:r>
                </w:p>
              </w:tc>
              <w:tc>
                <w:tcPr>
                  <w:tcW w:w="125" w:type="pct"/>
                  <w:shd w:val="clear" w:color="000000" w:fill="FFFFFF"/>
                  <w:noWrap/>
                  <w:hideMark/>
                </w:tcPr>
                <w:p w14:paraId="4C4B9A6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B6EEAA3" w14:textId="77777777" w:rsidR="00E45009" w:rsidRPr="0025292C" w:rsidRDefault="00E45009" w:rsidP="00E45009">
                  <w:pPr>
                    <w:pStyle w:val="NoSpacing"/>
                    <w:rPr>
                      <w:sz w:val="18"/>
                      <w:szCs w:val="22"/>
                      <w:lang w:val="en-GB"/>
                    </w:rPr>
                  </w:pPr>
                  <w:r w:rsidRPr="0025292C">
                    <w:rPr>
                      <w:sz w:val="18"/>
                      <w:szCs w:val="22"/>
                      <w:lang w:val="en-GB"/>
                    </w:rPr>
                    <w:t>3.57</w:t>
                  </w:r>
                </w:p>
              </w:tc>
              <w:tc>
                <w:tcPr>
                  <w:tcW w:w="333" w:type="pct"/>
                  <w:shd w:val="clear" w:color="000000" w:fill="FFFFFF"/>
                  <w:noWrap/>
                  <w:hideMark/>
                </w:tcPr>
                <w:p w14:paraId="392C2FCE"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6F32BB57"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849D9B7" w14:textId="77777777" w:rsidR="00E45009" w:rsidRPr="0025292C" w:rsidRDefault="00E45009" w:rsidP="00E45009">
                  <w:pPr>
                    <w:pStyle w:val="NoSpacing"/>
                    <w:rPr>
                      <w:sz w:val="18"/>
                      <w:szCs w:val="22"/>
                      <w:lang w:val="en-GB"/>
                    </w:rPr>
                  </w:pPr>
                  <w:r w:rsidRPr="0025292C">
                    <w:rPr>
                      <w:sz w:val="18"/>
                      <w:szCs w:val="22"/>
                      <w:lang w:val="en-GB"/>
                    </w:rPr>
                    <w:t>1.64</w:t>
                  </w:r>
                </w:p>
              </w:tc>
            </w:tr>
            <w:tr w:rsidR="00E45009" w:rsidRPr="0025292C" w14:paraId="64F22BC0" w14:textId="77777777" w:rsidTr="00DB32C0">
              <w:trPr>
                <w:trHeight w:val="255"/>
              </w:trPr>
              <w:tc>
                <w:tcPr>
                  <w:tcW w:w="267" w:type="pct"/>
                  <w:shd w:val="clear" w:color="000000" w:fill="FFFFFF"/>
                  <w:noWrap/>
                  <w:hideMark/>
                </w:tcPr>
                <w:p w14:paraId="5DE511C6" w14:textId="77777777" w:rsidR="00E45009" w:rsidRPr="0025292C" w:rsidRDefault="00E45009" w:rsidP="00E45009">
                  <w:pPr>
                    <w:pStyle w:val="NoSpacing"/>
                    <w:rPr>
                      <w:sz w:val="18"/>
                      <w:szCs w:val="22"/>
                      <w:lang w:val="en-GB"/>
                    </w:rPr>
                  </w:pPr>
                  <w:r w:rsidRPr="0025292C">
                    <w:rPr>
                      <w:sz w:val="18"/>
                      <w:szCs w:val="22"/>
                      <w:lang w:val="en-GB"/>
                    </w:rPr>
                    <w:t>76</w:t>
                  </w:r>
                </w:p>
              </w:tc>
              <w:tc>
                <w:tcPr>
                  <w:tcW w:w="2195" w:type="pct"/>
                  <w:shd w:val="clear" w:color="000000" w:fill="FFFFFF"/>
                  <w:hideMark/>
                </w:tcPr>
                <w:p w14:paraId="37E7CB7F" w14:textId="77777777" w:rsidR="00E45009" w:rsidRPr="0025292C" w:rsidRDefault="00E45009" w:rsidP="00E45009">
                  <w:pPr>
                    <w:pStyle w:val="NoSpacing"/>
                    <w:rPr>
                      <w:sz w:val="18"/>
                      <w:szCs w:val="22"/>
                      <w:lang w:val="en-GB"/>
                    </w:rPr>
                  </w:pPr>
                  <w:r w:rsidRPr="0025292C">
                    <w:rPr>
                      <w:sz w:val="18"/>
                      <w:szCs w:val="22"/>
                      <w:lang w:val="en-GB"/>
                    </w:rPr>
                    <w:t>Acts of interference in collective bargaining</w:t>
                  </w:r>
                </w:p>
              </w:tc>
              <w:tc>
                <w:tcPr>
                  <w:tcW w:w="125" w:type="pct"/>
                  <w:shd w:val="clear" w:color="000000" w:fill="FFFFFF"/>
                  <w:hideMark/>
                </w:tcPr>
                <w:p w14:paraId="5276968F"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2A7ADA78" w14:textId="77777777" w:rsidR="00E45009" w:rsidRPr="0025292C" w:rsidRDefault="00E45009" w:rsidP="00E45009">
                  <w:pPr>
                    <w:pStyle w:val="NoSpacing"/>
                    <w:rPr>
                      <w:sz w:val="18"/>
                      <w:szCs w:val="22"/>
                      <w:lang w:val="en-GB"/>
                    </w:rPr>
                  </w:pPr>
                  <w:r w:rsidRPr="0025292C">
                    <w:rPr>
                      <w:sz w:val="18"/>
                      <w:szCs w:val="22"/>
                      <w:lang w:val="en-GB"/>
                    </w:rPr>
                    <w:t>3.77</w:t>
                  </w:r>
                </w:p>
              </w:tc>
              <w:tc>
                <w:tcPr>
                  <w:tcW w:w="335" w:type="pct"/>
                  <w:shd w:val="clear" w:color="000000" w:fill="FFFFFF"/>
                  <w:noWrap/>
                  <w:hideMark/>
                </w:tcPr>
                <w:p w14:paraId="461C045C" w14:textId="77777777" w:rsidR="00E45009" w:rsidRPr="0025292C" w:rsidRDefault="00E45009" w:rsidP="00E45009">
                  <w:pPr>
                    <w:pStyle w:val="NoSpacing"/>
                    <w:rPr>
                      <w:sz w:val="18"/>
                      <w:szCs w:val="22"/>
                      <w:lang w:val="en-GB"/>
                    </w:rPr>
                  </w:pPr>
                  <w:r w:rsidRPr="0025292C">
                    <w:rPr>
                      <w:sz w:val="18"/>
                      <w:szCs w:val="22"/>
                      <w:lang w:val="en-GB"/>
                    </w:rPr>
                    <w:t>0.97</w:t>
                  </w:r>
                </w:p>
              </w:tc>
              <w:tc>
                <w:tcPr>
                  <w:tcW w:w="125" w:type="pct"/>
                  <w:shd w:val="clear" w:color="000000" w:fill="FFFFFF"/>
                  <w:noWrap/>
                  <w:hideMark/>
                </w:tcPr>
                <w:p w14:paraId="3BE0244D"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0DD6083" w14:textId="77777777" w:rsidR="00E45009" w:rsidRPr="0025292C" w:rsidRDefault="00E45009" w:rsidP="00E45009">
                  <w:pPr>
                    <w:pStyle w:val="NoSpacing"/>
                    <w:rPr>
                      <w:sz w:val="18"/>
                      <w:szCs w:val="22"/>
                      <w:lang w:val="en-GB"/>
                    </w:rPr>
                  </w:pPr>
                  <w:r w:rsidRPr="0025292C">
                    <w:rPr>
                      <w:sz w:val="18"/>
                      <w:szCs w:val="22"/>
                      <w:lang w:val="en-GB"/>
                    </w:rPr>
                    <w:t>3.57</w:t>
                  </w:r>
                </w:p>
              </w:tc>
              <w:tc>
                <w:tcPr>
                  <w:tcW w:w="333" w:type="pct"/>
                  <w:shd w:val="clear" w:color="000000" w:fill="FFFFFF"/>
                  <w:noWrap/>
                  <w:hideMark/>
                </w:tcPr>
                <w:p w14:paraId="67CC4074" w14:textId="77777777" w:rsidR="00E45009" w:rsidRPr="0025292C" w:rsidRDefault="00E45009" w:rsidP="00E45009">
                  <w:pPr>
                    <w:pStyle w:val="NoSpacing"/>
                    <w:rPr>
                      <w:sz w:val="18"/>
                      <w:szCs w:val="22"/>
                      <w:lang w:val="en-GB"/>
                    </w:rPr>
                  </w:pPr>
                  <w:r w:rsidRPr="0025292C">
                    <w:rPr>
                      <w:sz w:val="18"/>
                      <w:szCs w:val="22"/>
                      <w:lang w:val="en-GB"/>
                    </w:rPr>
                    <w:t>0.85</w:t>
                  </w:r>
                </w:p>
              </w:tc>
              <w:tc>
                <w:tcPr>
                  <w:tcW w:w="125" w:type="pct"/>
                  <w:shd w:val="clear" w:color="000000" w:fill="FFFFFF"/>
                  <w:noWrap/>
                  <w:hideMark/>
                </w:tcPr>
                <w:p w14:paraId="21D18B3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ED5A399" w14:textId="77777777" w:rsidR="00E45009" w:rsidRPr="0025292C" w:rsidRDefault="00E45009" w:rsidP="00E45009">
                  <w:pPr>
                    <w:pStyle w:val="NoSpacing"/>
                    <w:rPr>
                      <w:sz w:val="18"/>
                      <w:szCs w:val="22"/>
                      <w:lang w:val="en-GB"/>
                    </w:rPr>
                  </w:pPr>
                  <w:r w:rsidRPr="0025292C">
                    <w:rPr>
                      <w:sz w:val="18"/>
                      <w:szCs w:val="22"/>
                      <w:lang w:val="en-GB"/>
                    </w:rPr>
                    <w:t>1.64</w:t>
                  </w:r>
                </w:p>
              </w:tc>
            </w:tr>
            <w:tr w:rsidR="00E45009" w:rsidRPr="0025292C" w14:paraId="6069F8A5" w14:textId="77777777" w:rsidTr="00DB32C0">
              <w:trPr>
                <w:trHeight w:val="255"/>
              </w:trPr>
              <w:tc>
                <w:tcPr>
                  <w:tcW w:w="267" w:type="pct"/>
                  <w:shd w:val="clear" w:color="000000" w:fill="FFFFFF"/>
                  <w:noWrap/>
                  <w:hideMark/>
                </w:tcPr>
                <w:p w14:paraId="398558AA" w14:textId="77777777" w:rsidR="00E45009" w:rsidRPr="0025292C" w:rsidRDefault="00E45009" w:rsidP="00E45009">
                  <w:pPr>
                    <w:pStyle w:val="NoSpacing"/>
                    <w:rPr>
                      <w:sz w:val="18"/>
                      <w:szCs w:val="22"/>
                      <w:lang w:val="en-GB"/>
                    </w:rPr>
                  </w:pPr>
                  <w:r w:rsidRPr="0025292C">
                    <w:rPr>
                      <w:sz w:val="18"/>
                      <w:szCs w:val="22"/>
                      <w:lang w:val="en-GB"/>
                    </w:rPr>
                    <w:t>77</w:t>
                  </w:r>
                </w:p>
              </w:tc>
              <w:tc>
                <w:tcPr>
                  <w:tcW w:w="2195" w:type="pct"/>
                  <w:shd w:val="clear" w:color="000000" w:fill="FFFFFF"/>
                  <w:hideMark/>
                </w:tcPr>
                <w:p w14:paraId="4BA74B86" w14:textId="77777777" w:rsidR="00E45009" w:rsidRPr="0025292C" w:rsidRDefault="00E45009" w:rsidP="00E45009">
                  <w:pPr>
                    <w:pStyle w:val="NoSpacing"/>
                    <w:rPr>
                      <w:sz w:val="18"/>
                      <w:szCs w:val="22"/>
                      <w:lang w:val="en-GB"/>
                    </w:rPr>
                  </w:pPr>
                  <w:r w:rsidRPr="0025292C">
                    <w:rPr>
                      <w:sz w:val="18"/>
                      <w:szCs w:val="22"/>
                      <w:lang w:val="en-GB"/>
                    </w:rPr>
                    <w:t>Violations of collective agreements</w:t>
                  </w:r>
                </w:p>
              </w:tc>
              <w:tc>
                <w:tcPr>
                  <w:tcW w:w="125" w:type="pct"/>
                  <w:shd w:val="clear" w:color="000000" w:fill="FFFFFF"/>
                  <w:hideMark/>
                </w:tcPr>
                <w:p w14:paraId="6C091E61"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4DF731D" w14:textId="77777777" w:rsidR="00E45009" w:rsidRPr="0025292C" w:rsidRDefault="00E45009" w:rsidP="00E45009">
                  <w:pPr>
                    <w:pStyle w:val="NoSpacing"/>
                    <w:rPr>
                      <w:sz w:val="18"/>
                      <w:szCs w:val="22"/>
                      <w:lang w:val="en-GB"/>
                    </w:rPr>
                  </w:pPr>
                  <w:r w:rsidRPr="0025292C">
                    <w:rPr>
                      <w:sz w:val="18"/>
                      <w:szCs w:val="22"/>
                      <w:lang w:val="en-GB"/>
                    </w:rPr>
                    <w:t>4.07</w:t>
                  </w:r>
                </w:p>
              </w:tc>
              <w:tc>
                <w:tcPr>
                  <w:tcW w:w="335" w:type="pct"/>
                  <w:shd w:val="clear" w:color="000000" w:fill="FFFFFF"/>
                  <w:noWrap/>
                  <w:hideMark/>
                </w:tcPr>
                <w:p w14:paraId="7B4FED62" w14:textId="77777777" w:rsidR="00E45009" w:rsidRPr="0025292C" w:rsidRDefault="00E45009" w:rsidP="00E45009">
                  <w:pPr>
                    <w:pStyle w:val="NoSpacing"/>
                    <w:rPr>
                      <w:sz w:val="18"/>
                      <w:szCs w:val="22"/>
                      <w:lang w:val="en-GB"/>
                    </w:rPr>
                  </w:pPr>
                  <w:r w:rsidRPr="0025292C">
                    <w:rPr>
                      <w:sz w:val="18"/>
                      <w:szCs w:val="22"/>
                      <w:lang w:val="en-GB"/>
                    </w:rPr>
                    <w:t>0.88</w:t>
                  </w:r>
                </w:p>
              </w:tc>
              <w:tc>
                <w:tcPr>
                  <w:tcW w:w="125" w:type="pct"/>
                  <w:shd w:val="clear" w:color="000000" w:fill="FFFFFF"/>
                  <w:noWrap/>
                  <w:hideMark/>
                </w:tcPr>
                <w:p w14:paraId="4452BE3D"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5590AE5" w14:textId="77777777" w:rsidR="00E45009" w:rsidRPr="0025292C" w:rsidRDefault="00E45009" w:rsidP="00E45009">
                  <w:pPr>
                    <w:pStyle w:val="NoSpacing"/>
                    <w:rPr>
                      <w:sz w:val="18"/>
                      <w:szCs w:val="22"/>
                      <w:lang w:val="en-GB"/>
                    </w:rPr>
                  </w:pPr>
                  <w:r w:rsidRPr="0025292C">
                    <w:rPr>
                      <w:sz w:val="18"/>
                      <w:szCs w:val="22"/>
                      <w:lang w:val="en-GB"/>
                    </w:rPr>
                    <w:t>3.93</w:t>
                  </w:r>
                </w:p>
              </w:tc>
              <w:tc>
                <w:tcPr>
                  <w:tcW w:w="333" w:type="pct"/>
                  <w:shd w:val="clear" w:color="000000" w:fill="FFFFFF"/>
                  <w:noWrap/>
                  <w:hideMark/>
                </w:tcPr>
                <w:p w14:paraId="3403B9C6"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0DFABED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7772241" w14:textId="77777777" w:rsidR="00E45009" w:rsidRPr="0025292C" w:rsidRDefault="00E45009" w:rsidP="00E45009">
                  <w:pPr>
                    <w:pStyle w:val="NoSpacing"/>
                    <w:rPr>
                      <w:sz w:val="18"/>
                      <w:szCs w:val="22"/>
                      <w:lang w:val="en-GB"/>
                    </w:rPr>
                  </w:pPr>
                  <w:r w:rsidRPr="0025292C">
                    <w:rPr>
                      <w:sz w:val="18"/>
                      <w:szCs w:val="22"/>
                      <w:lang w:val="en-GB"/>
                    </w:rPr>
                    <w:t>1.73</w:t>
                  </w:r>
                </w:p>
              </w:tc>
            </w:tr>
            <w:tr w:rsidR="00E45009" w:rsidRPr="0025292C" w14:paraId="1A5D9394" w14:textId="77777777" w:rsidTr="00DB32C0">
              <w:trPr>
                <w:trHeight w:val="255"/>
              </w:trPr>
              <w:tc>
                <w:tcPr>
                  <w:tcW w:w="267" w:type="pct"/>
                  <w:shd w:val="clear" w:color="000000" w:fill="FFFFFF"/>
                  <w:noWrap/>
                  <w:hideMark/>
                </w:tcPr>
                <w:p w14:paraId="5C74B465" w14:textId="77777777" w:rsidR="00E45009" w:rsidRPr="0025292C" w:rsidRDefault="00E45009" w:rsidP="00E45009">
                  <w:pPr>
                    <w:pStyle w:val="NoSpacing"/>
                    <w:rPr>
                      <w:sz w:val="18"/>
                      <w:szCs w:val="22"/>
                      <w:lang w:val="en-GB"/>
                    </w:rPr>
                  </w:pPr>
                  <w:r w:rsidRPr="0025292C">
                    <w:rPr>
                      <w:sz w:val="18"/>
                      <w:szCs w:val="22"/>
                      <w:lang w:val="en-GB"/>
                    </w:rPr>
                    <w:t>78</w:t>
                  </w:r>
                </w:p>
              </w:tc>
              <w:tc>
                <w:tcPr>
                  <w:tcW w:w="2195" w:type="pct"/>
                  <w:shd w:val="clear" w:color="000000" w:fill="FFFFFF"/>
                  <w:hideMark/>
                </w:tcPr>
                <w:p w14:paraId="04397A76" w14:textId="77777777" w:rsidR="00E45009" w:rsidRPr="0025292C" w:rsidRDefault="00E45009" w:rsidP="00E45009">
                  <w:pPr>
                    <w:pStyle w:val="NoSpacing"/>
                    <w:rPr>
                      <w:sz w:val="18"/>
                      <w:szCs w:val="22"/>
                      <w:lang w:val="en-GB"/>
                    </w:rPr>
                  </w:pPr>
                  <w:r w:rsidRPr="0025292C">
                    <w:rPr>
                      <w:sz w:val="18"/>
                      <w:szCs w:val="22"/>
                      <w:lang w:val="en-GB"/>
                    </w:rPr>
                    <w:t>Infringements of the consultation with workers' organizations</w:t>
                  </w:r>
                </w:p>
              </w:tc>
              <w:tc>
                <w:tcPr>
                  <w:tcW w:w="125" w:type="pct"/>
                  <w:shd w:val="clear" w:color="000000" w:fill="FFFFFF"/>
                  <w:hideMark/>
                </w:tcPr>
                <w:p w14:paraId="2C1BA65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BC8DDD3"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23F2C46A" w14:textId="77777777" w:rsidR="00E45009" w:rsidRPr="0025292C" w:rsidRDefault="00E45009" w:rsidP="00E45009">
                  <w:pPr>
                    <w:pStyle w:val="NoSpacing"/>
                    <w:rPr>
                      <w:sz w:val="18"/>
                      <w:szCs w:val="22"/>
                      <w:lang w:val="en-GB"/>
                    </w:rPr>
                  </w:pPr>
                  <w:r w:rsidRPr="0025292C">
                    <w:rPr>
                      <w:sz w:val="18"/>
                      <w:szCs w:val="22"/>
                      <w:lang w:val="en-GB"/>
                    </w:rPr>
                    <w:t>0.85</w:t>
                  </w:r>
                </w:p>
              </w:tc>
              <w:tc>
                <w:tcPr>
                  <w:tcW w:w="125" w:type="pct"/>
                  <w:shd w:val="clear" w:color="000000" w:fill="FFFFFF"/>
                  <w:noWrap/>
                  <w:hideMark/>
                </w:tcPr>
                <w:p w14:paraId="3365EB67"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804A08A" w14:textId="77777777" w:rsidR="00E45009" w:rsidRPr="0025292C" w:rsidRDefault="00E45009" w:rsidP="00E45009">
                  <w:pPr>
                    <w:pStyle w:val="NoSpacing"/>
                    <w:rPr>
                      <w:sz w:val="18"/>
                      <w:szCs w:val="22"/>
                      <w:lang w:val="en-GB"/>
                    </w:rPr>
                  </w:pPr>
                  <w:r w:rsidRPr="0025292C">
                    <w:rPr>
                      <w:sz w:val="18"/>
                      <w:szCs w:val="22"/>
                      <w:lang w:val="en-GB"/>
                    </w:rPr>
                    <w:t>3.36</w:t>
                  </w:r>
                </w:p>
              </w:tc>
              <w:tc>
                <w:tcPr>
                  <w:tcW w:w="333" w:type="pct"/>
                  <w:shd w:val="clear" w:color="000000" w:fill="FFFFFF"/>
                  <w:noWrap/>
                  <w:hideMark/>
                </w:tcPr>
                <w:p w14:paraId="148FAAF9" w14:textId="77777777" w:rsidR="00E45009" w:rsidRPr="0025292C" w:rsidRDefault="00E45009" w:rsidP="00E45009">
                  <w:pPr>
                    <w:pStyle w:val="NoSpacing"/>
                    <w:rPr>
                      <w:sz w:val="18"/>
                      <w:szCs w:val="22"/>
                      <w:lang w:val="en-GB"/>
                    </w:rPr>
                  </w:pPr>
                  <w:r w:rsidRPr="0025292C">
                    <w:rPr>
                      <w:sz w:val="18"/>
                      <w:szCs w:val="22"/>
                      <w:lang w:val="en-GB"/>
                    </w:rPr>
                    <w:t>0.84</w:t>
                  </w:r>
                </w:p>
              </w:tc>
              <w:tc>
                <w:tcPr>
                  <w:tcW w:w="125" w:type="pct"/>
                  <w:shd w:val="clear" w:color="000000" w:fill="FFFFFF"/>
                  <w:noWrap/>
                  <w:hideMark/>
                </w:tcPr>
                <w:p w14:paraId="669EC7F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7469D000" w14:textId="77777777" w:rsidR="00E45009" w:rsidRPr="0025292C" w:rsidRDefault="00E45009" w:rsidP="00E45009">
                  <w:pPr>
                    <w:pStyle w:val="NoSpacing"/>
                    <w:rPr>
                      <w:sz w:val="18"/>
                      <w:szCs w:val="22"/>
                      <w:lang w:val="en-GB"/>
                    </w:rPr>
                  </w:pPr>
                  <w:r w:rsidRPr="0025292C">
                    <w:rPr>
                      <w:sz w:val="18"/>
                      <w:szCs w:val="22"/>
                      <w:lang w:val="en-GB"/>
                    </w:rPr>
                    <w:t>1.59</w:t>
                  </w:r>
                </w:p>
              </w:tc>
            </w:tr>
            <w:tr w:rsidR="00E45009" w:rsidRPr="0025292C" w14:paraId="094564B8" w14:textId="77777777" w:rsidTr="00DB32C0">
              <w:trPr>
                <w:trHeight w:val="255"/>
              </w:trPr>
              <w:tc>
                <w:tcPr>
                  <w:tcW w:w="267" w:type="pct"/>
                  <w:shd w:val="clear" w:color="000000" w:fill="FFFFFF"/>
                  <w:noWrap/>
                  <w:hideMark/>
                </w:tcPr>
                <w:p w14:paraId="12F346BF" w14:textId="77777777" w:rsidR="00E45009" w:rsidRPr="0025292C" w:rsidRDefault="00E45009" w:rsidP="00E45009">
                  <w:pPr>
                    <w:pStyle w:val="NoSpacing"/>
                    <w:rPr>
                      <w:sz w:val="18"/>
                      <w:szCs w:val="22"/>
                      <w:lang w:val="en-GB"/>
                    </w:rPr>
                  </w:pPr>
                  <w:r w:rsidRPr="0025292C">
                    <w:rPr>
                      <w:sz w:val="18"/>
                      <w:szCs w:val="22"/>
                      <w:lang w:val="en-GB"/>
                    </w:rPr>
                    <w:t>79</w:t>
                  </w:r>
                </w:p>
              </w:tc>
              <w:tc>
                <w:tcPr>
                  <w:tcW w:w="2195" w:type="pct"/>
                  <w:shd w:val="clear" w:color="000000" w:fill="FFFFFF"/>
                  <w:hideMark/>
                </w:tcPr>
                <w:p w14:paraId="19EDC6C9"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70-78</w:t>
                  </w:r>
                </w:p>
              </w:tc>
              <w:tc>
                <w:tcPr>
                  <w:tcW w:w="125" w:type="pct"/>
                  <w:shd w:val="clear" w:color="000000" w:fill="FFFFFF"/>
                  <w:hideMark/>
                </w:tcPr>
                <w:p w14:paraId="51EFC5B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681D0C1" w14:textId="77777777" w:rsidR="00E45009" w:rsidRPr="0025292C" w:rsidRDefault="00E45009" w:rsidP="00E45009">
                  <w:pPr>
                    <w:pStyle w:val="NoSpacing"/>
                    <w:rPr>
                      <w:sz w:val="18"/>
                      <w:szCs w:val="22"/>
                      <w:lang w:val="en-GB"/>
                    </w:rPr>
                  </w:pPr>
                  <w:r w:rsidRPr="0025292C">
                    <w:rPr>
                      <w:sz w:val="18"/>
                      <w:szCs w:val="22"/>
                      <w:lang w:val="en-GB"/>
                    </w:rPr>
                    <w:t>3.85</w:t>
                  </w:r>
                </w:p>
              </w:tc>
              <w:tc>
                <w:tcPr>
                  <w:tcW w:w="335" w:type="pct"/>
                  <w:shd w:val="clear" w:color="000000" w:fill="FFFFFF"/>
                  <w:noWrap/>
                  <w:hideMark/>
                </w:tcPr>
                <w:p w14:paraId="6D3267EF" w14:textId="77777777" w:rsidR="00E45009" w:rsidRPr="0025292C" w:rsidRDefault="00E45009" w:rsidP="00E45009">
                  <w:pPr>
                    <w:pStyle w:val="NoSpacing"/>
                    <w:rPr>
                      <w:sz w:val="18"/>
                      <w:szCs w:val="22"/>
                      <w:lang w:val="en-GB"/>
                    </w:rPr>
                  </w:pPr>
                  <w:r w:rsidRPr="0025292C">
                    <w:rPr>
                      <w:sz w:val="18"/>
                      <w:szCs w:val="22"/>
                      <w:lang w:val="en-GB"/>
                    </w:rPr>
                    <w:t>1.23</w:t>
                  </w:r>
                </w:p>
              </w:tc>
              <w:tc>
                <w:tcPr>
                  <w:tcW w:w="125" w:type="pct"/>
                  <w:shd w:val="clear" w:color="000000" w:fill="FFFFFF"/>
                  <w:noWrap/>
                  <w:hideMark/>
                </w:tcPr>
                <w:p w14:paraId="41CA2459"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2E15329" w14:textId="77777777" w:rsidR="00E45009" w:rsidRPr="0025292C" w:rsidRDefault="00E45009" w:rsidP="00E45009">
                  <w:pPr>
                    <w:pStyle w:val="NoSpacing"/>
                    <w:rPr>
                      <w:sz w:val="18"/>
                      <w:szCs w:val="22"/>
                      <w:lang w:val="en-GB"/>
                    </w:rPr>
                  </w:pPr>
                  <w:r w:rsidRPr="0025292C">
                    <w:rPr>
                      <w:sz w:val="18"/>
                      <w:szCs w:val="22"/>
                      <w:lang w:val="en-GB"/>
                    </w:rPr>
                    <w:t>3.86</w:t>
                  </w:r>
                </w:p>
              </w:tc>
              <w:tc>
                <w:tcPr>
                  <w:tcW w:w="333" w:type="pct"/>
                  <w:shd w:val="clear" w:color="000000" w:fill="FFFFFF"/>
                  <w:noWrap/>
                  <w:hideMark/>
                </w:tcPr>
                <w:p w14:paraId="194003CB" w14:textId="77777777" w:rsidR="00E45009" w:rsidRPr="0025292C" w:rsidRDefault="00E45009" w:rsidP="00E45009">
                  <w:pPr>
                    <w:pStyle w:val="NoSpacing"/>
                    <w:rPr>
                      <w:sz w:val="18"/>
                      <w:szCs w:val="22"/>
                      <w:lang w:val="en-GB"/>
                    </w:rPr>
                  </w:pPr>
                  <w:r w:rsidRPr="0025292C">
                    <w:rPr>
                      <w:sz w:val="18"/>
                      <w:szCs w:val="22"/>
                      <w:lang w:val="en-GB"/>
                    </w:rPr>
                    <w:t>0.86</w:t>
                  </w:r>
                </w:p>
              </w:tc>
              <w:tc>
                <w:tcPr>
                  <w:tcW w:w="125" w:type="pct"/>
                  <w:shd w:val="clear" w:color="000000" w:fill="FFFFFF"/>
                  <w:noWrap/>
                  <w:hideMark/>
                </w:tcPr>
                <w:p w14:paraId="47DE498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5B8B004" w14:textId="77777777" w:rsidR="00E45009" w:rsidRPr="0025292C" w:rsidRDefault="00E45009" w:rsidP="00E45009">
                  <w:pPr>
                    <w:pStyle w:val="NoSpacing"/>
                    <w:rPr>
                      <w:sz w:val="18"/>
                      <w:szCs w:val="22"/>
                      <w:lang w:val="en-GB"/>
                    </w:rPr>
                  </w:pPr>
                  <w:r w:rsidRPr="0025292C">
                    <w:rPr>
                      <w:sz w:val="18"/>
                      <w:szCs w:val="22"/>
                      <w:lang w:val="en-GB"/>
                    </w:rPr>
                    <w:t>1.71</w:t>
                  </w:r>
                </w:p>
              </w:tc>
            </w:tr>
            <w:tr w:rsidR="00E45009" w:rsidRPr="0025292C" w14:paraId="7A90276B" w14:textId="77777777" w:rsidTr="00DB32C0">
              <w:trPr>
                <w:trHeight w:val="255"/>
              </w:trPr>
              <w:tc>
                <w:tcPr>
                  <w:tcW w:w="267" w:type="pct"/>
                  <w:shd w:val="clear" w:color="000000" w:fill="FFFFFF"/>
                  <w:noWrap/>
                  <w:hideMark/>
                </w:tcPr>
                <w:p w14:paraId="4635A376"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12CCBDB0" w14:textId="77777777" w:rsidR="00E45009" w:rsidRPr="0025292C" w:rsidRDefault="00E45009" w:rsidP="00E45009">
                  <w:pPr>
                    <w:pStyle w:val="NoSpacing"/>
                    <w:rPr>
                      <w:b/>
                      <w:bCs/>
                      <w:sz w:val="18"/>
                      <w:szCs w:val="22"/>
                      <w:lang w:val="en-GB"/>
                    </w:rPr>
                  </w:pPr>
                  <w:r w:rsidRPr="0025292C">
                    <w:rPr>
                      <w:b/>
                      <w:bCs/>
                      <w:sz w:val="18"/>
                      <w:szCs w:val="22"/>
                      <w:lang w:val="en-GB"/>
                    </w:rPr>
                    <w:t>Va. Right to strike in law</w:t>
                  </w:r>
                </w:p>
              </w:tc>
              <w:tc>
                <w:tcPr>
                  <w:tcW w:w="125" w:type="pct"/>
                  <w:shd w:val="clear" w:color="000000" w:fill="FFFFFF"/>
                  <w:hideMark/>
                </w:tcPr>
                <w:p w14:paraId="5395B7EB"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31BD87F1"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4F14ECA9"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0C7ED8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0EF4D19"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376D8CD4"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00C0653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FF73A9A"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05714C79" w14:textId="77777777" w:rsidTr="00DB32C0">
              <w:trPr>
                <w:trHeight w:val="255"/>
              </w:trPr>
              <w:tc>
                <w:tcPr>
                  <w:tcW w:w="267" w:type="pct"/>
                  <w:shd w:val="clear" w:color="000000" w:fill="FFFFFF"/>
                  <w:noWrap/>
                  <w:hideMark/>
                </w:tcPr>
                <w:p w14:paraId="07453AD2" w14:textId="77777777" w:rsidR="00E45009" w:rsidRPr="0025292C" w:rsidRDefault="00E45009" w:rsidP="00E45009">
                  <w:pPr>
                    <w:pStyle w:val="NoSpacing"/>
                    <w:rPr>
                      <w:sz w:val="18"/>
                      <w:szCs w:val="22"/>
                      <w:lang w:val="en-GB"/>
                    </w:rPr>
                  </w:pPr>
                  <w:r w:rsidRPr="0025292C">
                    <w:rPr>
                      <w:sz w:val="18"/>
                      <w:szCs w:val="22"/>
                      <w:lang w:val="en-GB"/>
                    </w:rPr>
                    <w:t>80</w:t>
                  </w:r>
                </w:p>
              </w:tc>
              <w:tc>
                <w:tcPr>
                  <w:tcW w:w="2195" w:type="pct"/>
                  <w:shd w:val="clear" w:color="000000" w:fill="FFFFFF"/>
                  <w:hideMark/>
                </w:tcPr>
                <w:p w14:paraId="05EE4303" w14:textId="77777777" w:rsidR="00E45009" w:rsidRPr="0025292C" w:rsidRDefault="00E45009" w:rsidP="00E45009">
                  <w:pPr>
                    <w:pStyle w:val="NoSpacing"/>
                    <w:rPr>
                      <w:sz w:val="18"/>
                      <w:szCs w:val="22"/>
                      <w:lang w:val="en-GB"/>
                    </w:rPr>
                  </w:pPr>
                  <w:r w:rsidRPr="0025292C">
                    <w:rPr>
                      <w:sz w:val="18"/>
                      <w:szCs w:val="22"/>
                      <w:lang w:val="en-GB"/>
                    </w:rPr>
                    <w:t>General prohibition of the right to strike</w:t>
                  </w:r>
                </w:p>
              </w:tc>
              <w:tc>
                <w:tcPr>
                  <w:tcW w:w="125" w:type="pct"/>
                  <w:shd w:val="clear" w:color="000000" w:fill="FFFFFF"/>
                  <w:hideMark/>
                </w:tcPr>
                <w:p w14:paraId="208D90D3"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1F9B41C" w14:textId="77777777" w:rsidR="00E45009" w:rsidRPr="0025292C" w:rsidRDefault="00E45009" w:rsidP="00E45009">
                  <w:pPr>
                    <w:pStyle w:val="NoSpacing"/>
                    <w:rPr>
                      <w:sz w:val="18"/>
                      <w:szCs w:val="22"/>
                      <w:lang w:val="en-GB"/>
                    </w:rPr>
                  </w:pPr>
                  <w:r w:rsidRPr="0025292C">
                    <w:rPr>
                      <w:sz w:val="18"/>
                      <w:szCs w:val="22"/>
                      <w:lang w:val="en-GB"/>
                    </w:rPr>
                    <w:t>4.62</w:t>
                  </w:r>
                </w:p>
              </w:tc>
              <w:tc>
                <w:tcPr>
                  <w:tcW w:w="335" w:type="pct"/>
                  <w:shd w:val="clear" w:color="000000" w:fill="FFFFFF"/>
                  <w:noWrap/>
                  <w:hideMark/>
                </w:tcPr>
                <w:p w14:paraId="137F7EA0" w14:textId="77777777" w:rsidR="00E45009" w:rsidRPr="0025292C" w:rsidRDefault="00E45009" w:rsidP="00E45009">
                  <w:pPr>
                    <w:pStyle w:val="NoSpacing"/>
                    <w:rPr>
                      <w:sz w:val="18"/>
                      <w:szCs w:val="22"/>
                      <w:lang w:val="en-GB"/>
                    </w:rPr>
                  </w:pPr>
                  <w:r w:rsidRPr="0025292C">
                    <w:rPr>
                      <w:sz w:val="18"/>
                      <w:szCs w:val="22"/>
                      <w:lang w:val="en-GB"/>
                    </w:rPr>
                    <w:t>0.74</w:t>
                  </w:r>
                </w:p>
              </w:tc>
              <w:tc>
                <w:tcPr>
                  <w:tcW w:w="125" w:type="pct"/>
                  <w:shd w:val="clear" w:color="000000" w:fill="FFFFFF"/>
                  <w:noWrap/>
                  <w:hideMark/>
                </w:tcPr>
                <w:p w14:paraId="1D297BB2"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B7B1EA6" w14:textId="77777777" w:rsidR="00E45009" w:rsidRPr="0025292C" w:rsidRDefault="00E45009" w:rsidP="00E45009">
                  <w:pPr>
                    <w:pStyle w:val="NoSpacing"/>
                    <w:rPr>
                      <w:sz w:val="18"/>
                      <w:szCs w:val="22"/>
                      <w:lang w:val="en-GB"/>
                    </w:rPr>
                  </w:pPr>
                  <w:r w:rsidRPr="0025292C">
                    <w:rPr>
                      <w:sz w:val="18"/>
                      <w:szCs w:val="22"/>
                      <w:lang w:val="en-GB"/>
                    </w:rPr>
                    <w:t>4.79</w:t>
                  </w:r>
                </w:p>
              </w:tc>
              <w:tc>
                <w:tcPr>
                  <w:tcW w:w="333" w:type="pct"/>
                  <w:shd w:val="clear" w:color="000000" w:fill="FFFFFF"/>
                  <w:noWrap/>
                  <w:hideMark/>
                </w:tcPr>
                <w:p w14:paraId="1D53AEFB"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2E6CA38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8C98147" w14:textId="77777777" w:rsidR="00E45009" w:rsidRPr="0025292C" w:rsidRDefault="00E45009" w:rsidP="00E45009">
                  <w:pPr>
                    <w:pStyle w:val="NoSpacing"/>
                    <w:rPr>
                      <w:sz w:val="18"/>
                      <w:szCs w:val="22"/>
                      <w:lang w:val="en-GB"/>
                    </w:rPr>
                  </w:pPr>
                  <w:r w:rsidRPr="0025292C">
                    <w:rPr>
                      <w:sz w:val="18"/>
                      <w:szCs w:val="22"/>
                      <w:lang w:val="en-GB"/>
                    </w:rPr>
                    <w:t>1.95</w:t>
                  </w:r>
                </w:p>
              </w:tc>
            </w:tr>
            <w:tr w:rsidR="00E45009" w:rsidRPr="0025292C" w14:paraId="1DFC89CE" w14:textId="77777777" w:rsidTr="00DB32C0">
              <w:trPr>
                <w:trHeight w:val="255"/>
              </w:trPr>
              <w:tc>
                <w:tcPr>
                  <w:tcW w:w="267" w:type="pct"/>
                  <w:shd w:val="clear" w:color="000000" w:fill="FFFFFF"/>
                  <w:noWrap/>
                  <w:hideMark/>
                </w:tcPr>
                <w:p w14:paraId="668F82F7" w14:textId="77777777" w:rsidR="00E45009" w:rsidRPr="0025292C" w:rsidRDefault="00E45009" w:rsidP="00E45009">
                  <w:pPr>
                    <w:pStyle w:val="NoSpacing"/>
                    <w:rPr>
                      <w:sz w:val="18"/>
                      <w:szCs w:val="22"/>
                      <w:lang w:val="en-GB"/>
                    </w:rPr>
                  </w:pPr>
                  <w:r w:rsidRPr="0025292C">
                    <w:rPr>
                      <w:sz w:val="18"/>
                      <w:szCs w:val="22"/>
                      <w:lang w:val="en-GB"/>
                    </w:rPr>
                    <w:t>81</w:t>
                  </w:r>
                </w:p>
              </w:tc>
              <w:tc>
                <w:tcPr>
                  <w:tcW w:w="2195" w:type="pct"/>
                  <w:shd w:val="clear" w:color="000000" w:fill="FFFFFF"/>
                  <w:hideMark/>
                </w:tcPr>
                <w:p w14:paraId="2AA022BC" w14:textId="77777777" w:rsidR="00E45009" w:rsidRPr="0025292C" w:rsidRDefault="00E45009" w:rsidP="00E45009">
                  <w:pPr>
                    <w:pStyle w:val="NoSpacing"/>
                    <w:rPr>
                      <w:sz w:val="18"/>
                      <w:szCs w:val="22"/>
                      <w:lang w:val="en-GB"/>
                    </w:rPr>
                  </w:pPr>
                  <w:r w:rsidRPr="0025292C">
                    <w:rPr>
                      <w:sz w:val="18"/>
                      <w:szCs w:val="22"/>
                      <w:lang w:val="en-GB"/>
                    </w:rPr>
                    <w:t>Exclusion of workers from the right to strike</w:t>
                  </w:r>
                </w:p>
              </w:tc>
              <w:tc>
                <w:tcPr>
                  <w:tcW w:w="125" w:type="pct"/>
                  <w:shd w:val="clear" w:color="000000" w:fill="FFFFFF"/>
                  <w:hideMark/>
                </w:tcPr>
                <w:p w14:paraId="5C615A71"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DD77A38" w14:textId="77777777" w:rsidR="00E45009" w:rsidRPr="0025292C" w:rsidRDefault="00E45009" w:rsidP="00E45009">
                  <w:pPr>
                    <w:pStyle w:val="NoSpacing"/>
                    <w:rPr>
                      <w:sz w:val="18"/>
                      <w:szCs w:val="22"/>
                      <w:lang w:val="en-GB"/>
                    </w:rPr>
                  </w:pPr>
                  <w:r w:rsidRPr="0025292C">
                    <w:rPr>
                      <w:sz w:val="18"/>
                      <w:szCs w:val="22"/>
                      <w:lang w:val="en-GB"/>
                    </w:rPr>
                    <w:t>4.16</w:t>
                  </w:r>
                </w:p>
              </w:tc>
              <w:tc>
                <w:tcPr>
                  <w:tcW w:w="335" w:type="pct"/>
                  <w:shd w:val="clear" w:color="000000" w:fill="FFFFFF"/>
                  <w:noWrap/>
                  <w:hideMark/>
                </w:tcPr>
                <w:p w14:paraId="6E786FA9" w14:textId="77777777" w:rsidR="00E45009" w:rsidRPr="0025292C" w:rsidRDefault="00E45009" w:rsidP="00E45009">
                  <w:pPr>
                    <w:pStyle w:val="NoSpacing"/>
                    <w:rPr>
                      <w:sz w:val="18"/>
                      <w:szCs w:val="22"/>
                      <w:lang w:val="en-GB"/>
                    </w:rPr>
                  </w:pPr>
                  <w:r w:rsidRPr="0025292C">
                    <w:rPr>
                      <w:sz w:val="18"/>
                      <w:szCs w:val="22"/>
                      <w:lang w:val="en-GB"/>
                    </w:rPr>
                    <w:t>0.89</w:t>
                  </w:r>
                </w:p>
              </w:tc>
              <w:tc>
                <w:tcPr>
                  <w:tcW w:w="125" w:type="pct"/>
                  <w:shd w:val="clear" w:color="000000" w:fill="FFFFFF"/>
                  <w:noWrap/>
                  <w:hideMark/>
                </w:tcPr>
                <w:p w14:paraId="1D60A4E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FA1F03B"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2289CC85"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1B77CFE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E70871F"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51969795" w14:textId="77777777" w:rsidTr="00DB32C0">
              <w:trPr>
                <w:trHeight w:val="255"/>
              </w:trPr>
              <w:tc>
                <w:tcPr>
                  <w:tcW w:w="267" w:type="pct"/>
                  <w:shd w:val="clear" w:color="000000" w:fill="FFFFFF"/>
                  <w:noWrap/>
                  <w:hideMark/>
                </w:tcPr>
                <w:p w14:paraId="7C3F59A2" w14:textId="77777777" w:rsidR="00E45009" w:rsidRPr="0025292C" w:rsidRDefault="00E45009" w:rsidP="00E45009">
                  <w:pPr>
                    <w:pStyle w:val="NoSpacing"/>
                    <w:rPr>
                      <w:sz w:val="18"/>
                      <w:szCs w:val="22"/>
                      <w:lang w:val="en-GB"/>
                    </w:rPr>
                  </w:pPr>
                  <w:r w:rsidRPr="0025292C">
                    <w:rPr>
                      <w:sz w:val="18"/>
                      <w:szCs w:val="22"/>
                      <w:lang w:val="en-GB"/>
                    </w:rPr>
                    <w:t>82</w:t>
                  </w:r>
                </w:p>
              </w:tc>
              <w:tc>
                <w:tcPr>
                  <w:tcW w:w="2195" w:type="pct"/>
                  <w:shd w:val="clear" w:color="000000" w:fill="FFFFFF"/>
                  <w:hideMark/>
                </w:tcPr>
                <w:p w14:paraId="255E85BA" w14:textId="77777777" w:rsidR="00E45009" w:rsidRPr="0025292C" w:rsidRDefault="00E45009" w:rsidP="00E45009">
                  <w:pPr>
                    <w:pStyle w:val="NoSpacing"/>
                    <w:rPr>
                      <w:sz w:val="18"/>
                      <w:szCs w:val="22"/>
                      <w:lang w:val="en-GB"/>
                    </w:rPr>
                  </w:pPr>
                  <w:r w:rsidRPr="0025292C">
                    <w:rPr>
                      <w:sz w:val="18"/>
                      <w:szCs w:val="22"/>
                      <w:lang w:val="en-GB"/>
                    </w:rPr>
                    <w:t>Exclusion/restriction based on the objective and/or type of the strike</w:t>
                  </w:r>
                </w:p>
              </w:tc>
              <w:tc>
                <w:tcPr>
                  <w:tcW w:w="125" w:type="pct"/>
                  <w:shd w:val="clear" w:color="000000" w:fill="FFFFFF"/>
                  <w:hideMark/>
                </w:tcPr>
                <w:p w14:paraId="363CFD5F"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CD10651" w14:textId="77777777" w:rsidR="00E45009" w:rsidRPr="0025292C" w:rsidRDefault="00E45009" w:rsidP="00E45009">
                  <w:pPr>
                    <w:pStyle w:val="NoSpacing"/>
                    <w:rPr>
                      <w:sz w:val="18"/>
                      <w:szCs w:val="22"/>
                      <w:lang w:val="en-GB"/>
                    </w:rPr>
                  </w:pPr>
                  <w:r w:rsidRPr="0025292C">
                    <w:rPr>
                      <w:sz w:val="18"/>
                      <w:szCs w:val="22"/>
                      <w:lang w:val="en-GB"/>
                    </w:rPr>
                    <w:t>2.77</w:t>
                  </w:r>
                </w:p>
              </w:tc>
              <w:tc>
                <w:tcPr>
                  <w:tcW w:w="335" w:type="pct"/>
                  <w:shd w:val="clear" w:color="000000" w:fill="FFFFFF"/>
                  <w:noWrap/>
                  <w:hideMark/>
                </w:tcPr>
                <w:p w14:paraId="59EC4557" w14:textId="77777777" w:rsidR="00E45009" w:rsidRPr="0025292C" w:rsidRDefault="00E45009" w:rsidP="00E45009">
                  <w:pPr>
                    <w:pStyle w:val="NoSpacing"/>
                    <w:rPr>
                      <w:sz w:val="18"/>
                      <w:szCs w:val="22"/>
                      <w:lang w:val="en-GB"/>
                    </w:rPr>
                  </w:pPr>
                  <w:r w:rsidRPr="0025292C">
                    <w:rPr>
                      <w:sz w:val="18"/>
                      <w:szCs w:val="22"/>
                      <w:lang w:val="en-GB"/>
                    </w:rPr>
                    <w:t>1.25</w:t>
                  </w:r>
                </w:p>
              </w:tc>
              <w:tc>
                <w:tcPr>
                  <w:tcW w:w="125" w:type="pct"/>
                  <w:shd w:val="clear" w:color="000000" w:fill="FFFFFF"/>
                  <w:noWrap/>
                  <w:hideMark/>
                </w:tcPr>
                <w:p w14:paraId="582CF45E"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FA7AB37" w14:textId="77777777" w:rsidR="00E45009" w:rsidRPr="0025292C" w:rsidRDefault="00E45009" w:rsidP="00E45009">
                  <w:pPr>
                    <w:pStyle w:val="NoSpacing"/>
                    <w:rPr>
                      <w:sz w:val="18"/>
                      <w:szCs w:val="22"/>
                      <w:lang w:val="en-GB"/>
                    </w:rPr>
                  </w:pPr>
                  <w:r w:rsidRPr="0025292C">
                    <w:rPr>
                      <w:sz w:val="18"/>
                      <w:szCs w:val="22"/>
                      <w:lang w:val="en-GB"/>
                    </w:rPr>
                    <w:t>2.86</w:t>
                  </w:r>
                </w:p>
              </w:tc>
              <w:tc>
                <w:tcPr>
                  <w:tcW w:w="333" w:type="pct"/>
                  <w:shd w:val="clear" w:color="000000" w:fill="FFFFFF"/>
                  <w:noWrap/>
                  <w:hideMark/>
                </w:tcPr>
                <w:p w14:paraId="6E603A7D" w14:textId="77777777" w:rsidR="00E45009" w:rsidRPr="0025292C" w:rsidRDefault="00E45009" w:rsidP="00E45009">
                  <w:pPr>
                    <w:pStyle w:val="NoSpacing"/>
                    <w:rPr>
                      <w:sz w:val="18"/>
                      <w:szCs w:val="22"/>
                      <w:lang w:val="en-GB"/>
                    </w:rPr>
                  </w:pPr>
                  <w:r w:rsidRPr="0025292C">
                    <w:rPr>
                      <w:sz w:val="18"/>
                      <w:szCs w:val="22"/>
                      <w:lang w:val="en-GB"/>
                    </w:rPr>
                    <w:t>0.95</w:t>
                  </w:r>
                </w:p>
              </w:tc>
              <w:tc>
                <w:tcPr>
                  <w:tcW w:w="125" w:type="pct"/>
                  <w:shd w:val="clear" w:color="000000" w:fill="FFFFFF"/>
                  <w:noWrap/>
                  <w:hideMark/>
                </w:tcPr>
                <w:p w14:paraId="7CB0C19F"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2400E67A" w14:textId="77777777" w:rsidR="00E45009" w:rsidRPr="0025292C" w:rsidRDefault="00E45009" w:rsidP="00E45009">
                  <w:pPr>
                    <w:pStyle w:val="NoSpacing"/>
                    <w:rPr>
                      <w:sz w:val="18"/>
                      <w:szCs w:val="22"/>
                      <w:lang w:val="en-GB"/>
                    </w:rPr>
                  </w:pPr>
                  <w:r w:rsidRPr="0025292C">
                    <w:rPr>
                      <w:sz w:val="18"/>
                      <w:szCs w:val="22"/>
                      <w:lang w:val="en-GB"/>
                    </w:rPr>
                    <w:t>1.46</w:t>
                  </w:r>
                </w:p>
              </w:tc>
            </w:tr>
            <w:tr w:rsidR="00E45009" w:rsidRPr="0025292C" w14:paraId="6B936B94" w14:textId="77777777" w:rsidTr="00DB32C0">
              <w:trPr>
                <w:trHeight w:val="255"/>
              </w:trPr>
              <w:tc>
                <w:tcPr>
                  <w:tcW w:w="267" w:type="pct"/>
                  <w:shd w:val="clear" w:color="000000" w:fill="FFFFFF"/>
                  <w:noWrap/>
                  <w:hideMark/>
                </w:tcPr>
                <w:p w14:paraId="194210FD" w14:textId="77777777" w:rsidR="00E45009" w:rsidRPr="0025292C" w:rsidRDefault="00E45009" w:rsidP="00E45009">
                  <w:pPr>
                    <w:pStyle w:val="NoSpacing"/>
                    <w:rPr>
                      <w:sz w:val="18"/>
                      <w:szCs w:val="22"/>
                      <w:lang w:val="en-GB"/>
                    </w:rPr>
                  </w:pPr>
                  <w:r w:rsidRPr="0025292C">
                    <w:rPr>
                      <w:sz w:val="18"/>
                      <w:szCs w:val="22"/>
                      <w:lang w:val="en-GB"/>
                    </w:rPr>
                    <w:t>83</w:t>
                  </w:r>
                </w:p>
              </w:tc>
              <w:tc>
                <w:tcPr>
                  <w:tcW w:w="2195" w:type="pct"/>
                  <w:shd w:val="clear" w:color="000000" w:fill="FFFFFF"/>
                  <w:hideMark/>
                </w:tcPr>
                <w:p w14:paraId="169275EE" w14:textId="77777777" w:rsidR="00E45009" w:rsidRPr="0025292C" w:rsidRDefault="00E45009" w:rsidP="00E45009">
                  <w:pPr>
                    <w:pStyle w:val="NoSpacing"/>
                    <w:rPr>
                      <w:sz w:val="18"/>
                      <w:szCs w:val="22"/>
                      <w:lang w:val="en-GB"/>
                    </w:rPr>
                  </w:pPr>
                  <w:r w:rsidRPr="0025292C">
                    <w:rPr>
                      <w:sz w:val="18"/>
                      <w:szCs w:val="22"/>
                      <w:lang w:val="en-GB"/>
                    </w:rPr>
                    <w:t>Provisions in law allowing for the suspension and/or declaration of illegality of strikes by administrative authority</w:t>
                  </w:r>
                </w:p>
              </w:tc>
              <w:tc>
                <w:tcPr>
                  <w:tcW w:w="125" w:type="pct"/>
                  <w:shd w:val="clear" w:color="000000" w:fill="FFFFFF"/>
                  <w:hideMark/>
                </w:tcPr>
                <w:p w14:paraId="0BC2F1E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0C6AE24" w14:textId="77777777" w:rsidR="00E45009" w:rsidRPr="0025292C" w:rsidRDefault="00E45009" w:rsidP="00E45009">
                  <w:pPr>
                    <w:pStyle w:val="NoSpacing"/>
                    <w:rPr>
                      <w:sz w:val="18"/>
                      <w:szCs w:val="22"/>
                      <w:lang w:val="en-GB"/>
                    </w:rPr>
                  </w:pPr>
                  <w:r w:rsidRPr="0025292C">
                    <w:rPr>
                      <w:sz w:val="18"/>
                      <w:szCs w:val="22"/>
                      <w:lang w:val="en-GB"/>
                    </w:rPr>
                    <w:t>3.16</w:t>
                  </w:r>
                </w:p>
              </w:tc>
              <w:tc>
                <w:tcPr>
                  <w:tcW w:w="335" w:type="pct"/>
                  <w:shd w:val="clear" w:color="000000" w:fill="FFFFFF"/>
                  <w:noWrap/>
                  <w:hideMark/>
                </w:tcPr>
                <w:p w14:paraId="71136DA5" w14:textId="77777777" w:rsidR="00E45009" w:rsidRPr="0025292C" w:rsidRDefault="00E45009" w:rsidP="00E45009">
                  <w:pPr>
                    <w:pStyle w:val="NoSpacing"/>
                    <w:rPr>
                      <w:sz w:val="18"/>
                      <w:szCs w:val="22"/>
                      <w:lang w:val="en-GB"/>
                    </w:rPr>
                  </w:pPr>
                  <w:r w:rsidRPr="0025292C">
                    <w:rPr>
                      <w:sz w:val="18"/>
                      <w:szCs w:val="22"/>
                      <w:lang w:val="en-GB"/>
                    </w:rPr>
                    <w:t>0.89</w:t>
                  </w:r>
                </w:p>
              </w:tc>
              <w:tc>
                <w:tcPr>
                  <w:tcW w:w="125" w:type="pct"/>
                  <w:shd w:val="clear" w:color="000000" w:fill="FFFFFF"/>
                  <w:noWrap/>
                  <w:hideMark/>
                </w:tcPr>
                <w:p w14:paraId="11625997"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513B912" w14:textId="77777777" w:rsidR="00E45009" w:rsidRPr="0025292C" w:rsidRDefault="00E45009" w:rsidP="00E45009">
                  <w:pPr>
                    <w:pStyle w:val="NoSpacing"/>
                    <w:rPr>
                      <w:sz w:val="18"/>
                      <w:szCs w:val="22"/>
                      <w:lang w:val="en-GB"/>
                    </w:rPr>
                  </w:pPr>
                  <w:r w:rsidRPr="0025292C">
                    <w:rPr>
                      <w:sz w:val="18"/>
                      <w:szCs w:val="22"/>
                      <w:lang w:val="en-GB"/>
                    </w:rPr>
                    <w:t>3.36</w:t>
                  </w:r>
                </w:p>
              </w:tc>
              <w:tc>
                <w:tcPr>
                  <w:tcW w:w="333" w:type="pct"/>
                  <w:shd w:val="clear" w:color="000000" w:fill="FFFFFF"/>
                  <w:noWrap/>
                  <w:hideMark/>
                </w:tcPr>
                <w:p w14:paraId="60AF9864" w14:textId="77777777" w:rsidR="00E45009" w:rsidRPr="0025292C" w:rsidRDefault="00E45009" w:rsidP="00E45009">
                  <w:pPr>
                    <w:pStyle w:val="NoSpacing"/>
                    <w:rPr>
                      <w:sz w:val="18"/>
                      <w:szCs w:val="22"/>
                      <w:lang w:val="en-GB"/>
                    </w:rPr>
                  </w:pPr>
                  <w:r w:rsidRPr="0025292C">
                    <w:rPr>
                      <w:sz w:val="18"/>
                      <w:szCs w:val="22"/>
                      <w:lang w:val="en-GB"/>
                    </w:rPr>
                    <w:t>0.63</w:t>
                  </w:r>
                </w:p>
              </w:tc>
              <w:tc>
                <w:tcPr>
                  <w:tcW w:w="125" w:type="pct"/>
                  <w:shd w:val="clear" w:color="000000" w:fill="FFFFFF"/>
                  <w:noWrap/>
                  <w:hideMark/>
                </w:tcPr>
                <w:p w14:paraId="4B761EA7"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D82BCD8" w14:textId="77777777" w:rsidR="00E45009" w:rsidRPr="0025292C" w:rsidRDefault="00E45009" w:rsidP="00E45009">
                  <w:pPr>
                    <w:pStyle w:val="NoSpacing"/>
                    <w:rPr>
                      <w:sz w:val="18"/>
                      <w:szCs w:val="22"/>
                      <w:lang w:val="en-GB"/>
                    </w:rPr>
                  </w:pPr>
                  <w:r w:rsidRPr="0025292C">
                    <w:rPr>
                      <w:sz w:val="18"/>
                      <w:szCs w:val="22"/>
                      <w:lang w:val="en-GB"/>
                    </w:rPr>
                    <w:t>1.59</w:t>
                  </w:r>
                </w:p>
              </w:tc>
            </w:tr>
            <w:tr w:rsidR="00E45009" w:rsidRPr="0025292C" w14:paraId="104B6472" w14:textId="77777777" w:rsidTr="00DB32C0">
              <w:trPr>
                <w:trHeight w:val="255"/>
              </w:trPr>
              <w:tc>
                <w:tcPr>
                  <w:tcW w:w="267" w:type="pct"/>
                  <w:shd w:val="clear" w:color="000000" w:fill="FFFFFF"/>
                  <w:noWrap/>
                  <w:hideMark/>
                </w:tcPr>
                <w:p w14:paraId="1193070D" w14:textId="77777777" w:rsidR="00E45009" w:rsidRPr="0025292C" w:rsidRDefault="00E45009" w:rsidP="00E45009">
                  <w:pPr>
                    <w:pStyle w:val="NoSpacing"/>
                    <w:rPr>
                      <w:sz w:val="18"/>
                      <w:szCs w:val="22"/>
                      <w:lang w:val="en-GB"/>
                    </w:rPr>
                  </w:pPr>
                  <w:r w:rsidRPr="0025292C">
                    <w:rPr>
                      <w:sz w:val="18"/>
                      <w:szCs w:val="22"/>
                      <w:lang w:val="en-GB"/>
                    </w:rPr>
                    <w:t>84</w:t>
                  </w:r>
                </w:p>
              </w:tc>
              <w:tc>
                <w:tcPr>
                  <w:tcW w:w="2195" w:type="pct"/>
                  <w:shd w:val="clear" w:color="000000" w:fill="FFFFFF"/>
                  <w:hideMark/>
                </w:tcPr>
                <w:p w14:paraId="508241FB" w14:textId="77777777" w:rsidR="00E45009" w:rsidRPr="0025292C" w:rsidRDefault="00E45009" w:rsidP="00E45009">
                  <w:pPr>
                    <w:pStyle w:val="NoSpacing"/>
                    <w:rPr>
                      <w:sz w:val="18"/>
                      <w:szCs w:val="22"/>
                      <w:lang w:val="en-GB"/>
                    </w:rPr>
                  </w:pPr>
                  <w:r w:rsidRPr="0025292C">
                    <w:rPr>
                      <w:sz w:val="18"/>
                      <w:szCs w:val="22"/>
                      <w:lang w:val="en-GB"/>
                    </w:rPr>
                    <w:t>Lack of compensatory guarantees accorded to lawful restrictions on the right to strike</w:t>
                  </w:r>
                </w:p>
              </w:tc>
              <w:tc>
                <w:tcPr>
                  <w:tcW w:w="125" w:type="pct"/>
                  <w:shd w:val="clear" w:color="000000" w:fill="FFFFFF"/>
                  <w:hideMark/>
                </w:tcPr>
                <w:p w14:paraId="302A263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C097C6D" w14:textId="77777777" w:rsidR="00E45009" w:rsidRPr="0025292C" w:rsidRDefault="00E45009" w:rsidP="00E45009">
                  <w:pPr>
                    <w:pStyle w:val="NoSpacing"/>
                    <w:rPr>
                      <w:sz w:val="18"/>
                      <w:szCs w:val="22"/>
                      <w:lang w:val="en-GB"/>
                    </w:rPr>
                  </w:pPr>
                  <w:r w:rsidRPr="0025292C">
                    <w:rPr>
                      <w:sz w:val="18"/>
                      <w:szCs w:val="22"/>
                      <w:lang w:val="en-GB"/>
                    </w:rPr>
                    <w:t>3.08</w:t>
                  </w:r>
                </w:p>
              </w:tc>
              <w:tc>
                <w:tcPr>
                  <w:tcW w:w="335" w:type="pct"/>
                  <w:shd w:val="clear" w:color="000000" w:fill="FFFFFF"/>
                  <w:noWrap/>
                  <w:hideMark/>
                </w:tcPr>
                <w:p w14:paraId="72F73703" w14:textId="77777777" w:rsidR="00E45009" w:rsidRPr="0025292C" w:rsidRDefault="00E45009" w:rsidP="00E45009">
                  <w:pPr>
                    <w:pStyle w:val="NoSpacing"/>
                    <w:rPr>
                      <w:sz w:val="18"/>
                      <w:szCs w:val="22"/>
                      <w:lang w:val="en-GB"/>
                    </w:rPr>
                  </w:pPr>
                  <w:r w:rsidRPr="0025292C">
                    <w:rPr>
                      <w:sz w:val="18"/>
                      <w:szCs w:val="22"/>
                      <w:lang w:val="en-GB"/>
                    </w:rPr>
                    <w:t>1.12</w:t>
                  </w:r>
                </w:p>
              </w:tc>
              <w:tc>
                <w:tcPr>
                  <w:tcW w:w="125" w:type="pct"/>
                  <w:shd w:val="clear" w:color="000000" w:fill="FFFFFF"/>
                  <w:noWrap/>
                  <w:hideMark/>
                </w:tcPr>
                <w:p w14:paraId="110670FE"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F298056" w14:textId="77777777" w:rsidR="00E45009" w:rsidRPr="0025292C" w:rsidRDefault="00E45009" w:rsidP="00E45009">
                  <w:pPr>
                    <w:pStyle w:val="NoSpacing"/>
                    <w:rPr>
                      <w:sz w:val="18"/>
                      <w:szCs w:val="22"/>
                      <w:lang w:val="en-GB"/>
                    </w:rPr>
                  </w:pPr>
                  <w:r w:rsidRPr="0025292C">
                    <w:rPr>
                      <w:sz w:val="18"/>
                      <w:szCs w:val="22"/>
                      <w:lang w:val="en-GB"/>
                    </w:rPr>
                    <w:t>3.21</w:t>
                  </w:r>
                </w:p>
              </w:tc>
              <w:tc>
                <w:tcPr>
                  <w:tcW w:w="333" w:type="pct"/>
                  <w:shd w:val="clear" w:color="000000" w:fill="FFFFFF"/>
                  <w:noWrap/>
                  <w:hideMark/>
                </w:tcPr>
                <w:p w14:paraId="362D48B2" w14:textId="77777777" w:rsidR="00E45009" w:rsidRPr="0025292C" w:rsidRDefault="00E45009" w:rsidP="00E45009">
                  <w:pPr>
                    <w:pStyle w:val="NoSpacing"/>
                    <w:rPr>
                      <w:sz w:val="18"/>
                      <w:szCs w:val="22"/>
                      <w:lang w:val="en-GB"/>
                    </w:rPr>
                  </w:pPr>
                  <w:r w:rsidRPr="0025292C">
                    <w:rPr>
                      <w:sz w:val="18"/>
                      <w:szCs w:val="22"/>
                      <w:lang w:val="en-GB"/>
                    </w:rPr>
                    <w:t>0.97</w:t>
                  </w:r>
                </w:p>
              </w:tc>
              <w:tc>
                <w:tcPr>
                  <w:tcW w:w="125" w:type="pct"/>
                  <w:shd w:val="clear" w:color="000000" w:fill="FFFFFF"/>
                  <w:noWrap/>
                  <w:hideMark/>
                </w:tcPr>
                <w:p w14:paraId="024AAC42"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5BF206B" w14:textId="77777777" w:rsidR="00E45009" w:rsidRPr="0025292C" w:rsidRDefault="00E45009" w:rsidP="00E45009">
                  <w:pPr>
                    <w:pStyle w:val="NoSpacing"/>
                    <w:rPr>
                      <w:sz w:val="18"/>
                      <w:szCs w:val="22"/>
                      <w:lang w:val="en-GB"/>
                    </w:rPr>
                  </w:pPr>
                  <w:r w:rsidRPr="0025292C">
                    <w:rPr>
                      <w:sz w:val="18"/>
                      <w:szCs w:val="22"/>
                      <w:lang w:val="en-GB"/>
                    </w:rPr>
                    <w:t>1.55</w:t>
                  </w:r>
                </w:p>
              </w:tc>
            </w:tr>
            <w:tr w:rsidR="00E45009" w:rsidRPr="0025292C" w14:paraId="0A4BDD4A" w14:textId="77777777" w:rsidTr="00DB32C0">
              <w:trPr>
                <w:trHeight w:val="255"/>
              </w:trPr>
              <w:tc>
                <w:tcPr>
                  <w:tcW w:w="267" w:type="pct"/>
                  <w:shd w:val="clear" w:color="000000" w:fill="FFFFFF"/>
                  <w:noWrap/>
                  <w:hideMark/>
                </w:tcPr>
                <w:p w14:paraId="37591D08" w14:textId="77777777" w:rsidR="00E45009" w:rsidRPr="0025292C" w:rsidRDefault="00E45009" w:rsidP="00E45009">
                  <w:pPr>
                    <w:pStyle w:val="NoSpacing"/>
                    <w:rPr>
                      <w:sz w:val="18"/>
                      <w:szCs w:val="22"/>
                      <w:lang w:val="en-GB"/>
                    </w:rPr>
                  </w:pPr>
                  <w:r w:rsidRPr="0025292C">
                    <w:rPr>
                      <w:sz w:val="18"/>
                      <w:szCs w:val="22"/>
                      <w:lang w:val="en-GB"/>
                    </w:rPr>
                    <w:t>85</w:t>
                  </w:r>
                </w:p>
              </w:tc>
              <w:tc>
                <w:tcPr>
                  <w:tcW w:w="2195" w:type="pct"/>
                  <w:shd w:val="clear" w:color="000000" w:fill="FFFFFF"/>
                  <w:hideMark/>
                </w:tcPr>
                <w:p w14:paraId="70BB8C44" w14:textId="77777777" w:rsidR="00E45009" w:rsidRPr="0025292C" w:rsidRDefault="00E45009" w:rsidP="00E45009">
                  <w:pPr>
                    <w:pStyle w:val="NoSpacing"/>
                    <w:rPr>
                      <w:sz w:val="18"/>
                      <w:szCs w:val="22"/>
                      <w:lang w:val="en-GB"/>
                    </w:rPr>
                  </w:pPr>
                  <w:r w:rsidRPr="0025292C">
                    <w:rPr>
                      <w:sz w:val="18"/>
                      <w:szCs w:val="22"/>
                      <w:lang w:val="en-GB"/>
                    </w:rPr>
                    <w:t>Infringements of the determination of minimum services</w:t>
                  </w:r>
                </w:p>
              </w:tc>
              <w:tc>
                <w:tcPr>
                  <w:tcW w:w="125" w:type="pct"/>
                  <w:shd w:val="clear" w:color="000000" w:fill="FFFFFF"/>
                  <w:hideMark/>
                </w:tcPr>
                <w:p w14:paraId="6600F274"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D623FC1" w14:textId="77777777" w:rsidR="00E45009" w:rsidRPr="0025292C" w:rsidRDefault="00E45009" w:rsidP="00E45009">
                  <w:pPr>
                    <w:pStyle w:val="NoSpacing"/>
                    <w:rPr>
                      <w:sz w:val="18"/>
                      <w:szCs w:val="22"/>
                      <w:lang w:val="en-GB"/>
                    </w:rPr>
                  </w:pPr>
                  <w:r w:rsidRPr="0025292C">
                    <w:rPr>
                      <w:sz w:val="18"/>
                      <w:szCs w:val="22"/>
                      <w:lang w:val="en-GB"/>
                    </w:rPr>
                    <w:t>2.77</w:t>
                  </w:r>
                </w:p>
              </w:tc>
              <w:tc>
                <w:tcPr>
                  <w:tcW w:w="335" w:type="pct"/>
                  <w:shd w:val="clear" w:color="000000" w:fill="FFFFFF"/>
                  <w:noWrap/>
                  <w:hideMark/>
                </w:tcPr>
                <w:p w14:paraId="4D34B35E"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79D1F85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730D742" w14:textId="77777777" w:rsidR="00E45009" w:rsidRPr="0025292C" w:rsidRDefault="00E45009" w:rsidP="00E45009">
                  <w:pPr>
                    <w:pStyle w:val="NoSpacing"/>
                    <w:rPr>
                      <w:sz w:val="18"/>
                      <w:szCs w:val="22"/>
                      <w:lang w:val="en-GB"/>
                    </w:rPr>
                  </w:pPr>
                  <w:r w:rsidRPr="0025292C">
                    <w:rPr>
                      <w:sz w:val="18"/>
                      <w:szCs w:val="22"/>
                      <w:lang w:val="en-GB"/>
                    </w:rPr>
                    <w:t>2.79</w:t>
                  </w:r>
                </w:p>
              </w:tc>
              <w:tc>
                <w:tcPr>
                  <w:tcW w:w="333" w:type="pct"/>
                  <w:shd w:val="clear" w:color="000000" w:fill="FFFFFF"/>
                  <w:noWrap/>
                  <w:hideMark/>
                </w:tcPr>
                <w:p w14:paraId="77BEB48C" w14:textId="77777777" w:rsidR="00E45009" w:rsidRPr="0025292C" w:rsidRDefault="00E45009" w:rsidP="00E45009">
                  <w:pPr>
                    <w:pStyle w:val="NoSpacing"/>
                    <w:rPr>
                      <w:sz w:val="18"/>
                      <w:szCs w:val="22"/>
                      <w:lang w:val="en-GB"/>
                    </w:rPr>
                  </w:pPr>
                  <w:r w:rsidRPr="0025292C">
                    <w:rPr>
                      <w:sz w:val="18"/>
                      <w:szCs w:val="22"/>
                      <w:lang w:val="en-GB"/>
                    </w:rPr>
                    <w:t>0.43</w:t>
                  </w:r>
                </w:p>
              </w:tc>
              <w:tc>
                <w:tcPr>
                  <w:tcW w:w="125" w:type="pct"/>
                  <w:shd w:val="clear" w:color="000000" w:fill="FFFFFF"/>
                  <w:noWrap/>
                  <w:hideMark/>
                </w:tcPr>
                <w:p w14:paraId="6A215A30"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C8DE30B" w14:textId="77777777" w:rsidR="00E45009" w:rsidRPr="0025292C" w:rsidRDefault="00E45009" w:rsidP="00E45009">
                  <w:pPr>
                    <w:pStyle w:val="NoSpacing"/>
                    <w:rPr>
                      <w:sz w:val="18"/>
                      <w:szCs w:val="22"/>
                      <w:lang w:val="en-GB"/>
                    </w:rPr>
                  </w:pPr>
                  <w:r w:rsidRPr="0025292C">
                    <w:rPr>
                      <w:sz w:val="18"/>
                      <w:szCs w:val="22"/>
                      <w:lang w:val="en-GB"/>
                    </w:rPr>
                    <w:t>1.45</w:t>
                  </w:r>
                </w:p>
              </w:tc>
            </w:tr>
            <w:tr w:rsidR="00E45009" w:rsidRPr="0025292C" w14:paraId="5827DE2B" w14:textId="77777777" w:rsidTr="00DB32C0">
              <w:trPr>
                <w:trHeight w:val="255"/>
              </w:trPr>
              <w:tc>
                <w:tcPr>
                  <w:tcW w:w="267" w:type="pct"/>
                  <w:shd w:val="clear" w:color="000000" w:fill="FFFFFF"/>
                  <w:noWrap/>
                  <w:hideMark/>
                </w:tcPr>
                <w:p w14:paraId="1B750D84" w14:textId="77777777" w:rsidR="00E45009" w:rsidRPr="0025292C" w:rsidRDefault="00E45009" w:rsidP="00E45009">
                  <w:pPr>
                    <w:pStyle w:val="NoSpacing"/>
                    <w:rPr>
                      <w:sz w:val="18"/>
                      <w:szCs w:val="22"/>
                      <w:lang w:val="en-GB"/>
                    </w:rPr>
                  </w:pPr>
                  <w:r w:rsidRPr="0025292C">
                    <w:rPr>
                      <w:sz w:val="18"/>
                      <w:szCs w:val="22"/>
                      <w:lang w:val="en-GB"/>
                    </w:rPr>
                    <w:t>86</w:t>
                  </w:r>
                </w:p>
              </w:tc>
              <w:tc>
                <w:tcPr>
                  <w:tcW w:w="2195" w:type="pct"/>
                  <w:shd w:val="clear" w:color="000000" w:fill="FFFFFF"/>
                  <w:hideMark/>
                </w:tcPr>
                <w:p w14:paraId="74944C2E" w14:textId="77777777" w:rsidR="00E45009" w:rsidRPr="0025292C" w:rsidRDefault="00E45009" w:rsidP="00E45009">
                  <w:pPr>
                    <w:pStyle w:val="NoSpacing"/>
                    <w:rPr>
                      <w:sz w:val="18"/>
                      <w:szCs w:val="22"/>
                      <w:lang w:val="en-GB"/>
                    </w:rPr>
                  </w:pPr>
                  <w:r w:rsidRPr="0025292C">
                    <w:rPr>
                      <w:sz w:val="18"/>
                      <w:szCs w:val="22"/>
                      <w:lang w:val="en-GB"/>
                    </w:rPr>
                    <w:t>Compulsory arbitration accorded to strikes</w:t>
                  </w:r>
                </w:p>
              </w:tc>
              <w:tc>
                <w:tcPr>
                  <w:tcW w:w="125" w:type="pct"/>
                  <w:shd w:val="clear" w:color="000000" w:fill="FFFFFF"/>
                  <w:hideMark/>
                </w:tcPr>
                <w:p w14:paraId="783B68A2"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1A2A0CA9"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5A3461F8" w14:textId="77777777" w:rsidR="00E45009" w:rsidRPr="0025292C" w:rsidRDefault="00E45009" w:rsidP="00E45009">
                  <w:pPr>
                    <w:pStyle w:val="NoSpacing"/>
                    <w:rPr>
                      <w:sz w:val="18"/>
                      <w:szCs w:val="22"/>
                      <w:lang w:val="en-GB"/>
                    </w:rPr>
                  </w:pPr>
                  <w:r w:rsidRPr="0025292C">
                    <w:rPr>
                      <w:sz w:val="18"/>
                      <w:szCs w:val="22"/>
                      <w:lang w:val="en-GB"/>
                    </w:rPr>
                    <w:t>1.22</w:t>
                  </w:r>
                </w:p>
              </w:tc>
              <w:tc>
                <w:tcPr>
                  <w:tcW w:w="125" w:type="pct"/>
                  <w:shd w:val="clear" w:color="000000" w:fill="FFFFFF"/>
                  <w:noWrap/>
                  <w:hideMark/>
                </w:tcPr>
                <w:p w14:paraId="269F583D"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4A08DA47" w14:textId="77777777" w:rsidR="00E45009" w:rsidRPr="0025292C" w:rsidRDefault="00E45009" w:rsidP="00E45009">
                  <w:pPr>
                    <w:pStyle w:val="NoSpacing"/>
                    <w:rPr>
                      <w:sz w:val="18"/>
                      <w:szCs w:val="22"/>
                      <w:lang w:val="en-GB"/>
                    </w:rPr>
                  </w:pPr>
                  <w:r w:rsidRPr="0025292C">
                    <w:rPr>
                      <w:sz w:val="18"/>
                      <w:szCs w:val="22"/>
                      <w:lang w:val="en-GB"/>
                    </w:rPr>
                    <w:t>3.57</w:t>
                  </w:r>
                </w:p>
              </w:tc>
              <w:tc>
                <w:tcPr>
                  <w:tcW w:w="333" w:type="pct"/>
                  <w:shd w:val="clear" w:color="000000" w:fill="FFFFFF"/>
                  <w:noWrap/>
                  <w:hideMark/>
                </w:tcPr>
                <w:p w14:paraId="50AA9F86" w14:textId="77777777" w:rsidR="00E45009" w:rsidRPr="0025292C" w:rsidRDefault="00E45009" w:rsidP="00E45009">
                  <w:pPr>
                    <w:pStyle w:val="NoSpacing"/>
                    <w:rPr>
                      <w:sz w:val="18"/>
                      <w:szCs w:val="22"/>
                      <w:lang w:val="en-GB"/>
                    </w:rPr>
                  </w:pPr>
                  <w:r w:rsidRPr="0025292C">
                    <w:rPr>
                      <w:sz w:val="18"/>
                      <w:szCs w:val="22"/>
                      <w:lang w:val="en-GB"/>
                    </w:rPr>
                    <w:t>0.94</w:t>
                  </w:r>
                </w:p>
              </w:tc>
              <w:tc>
                <w:tcPr>
                  <w:tcW w:w="125" w:type="pct"/>
                  <w:shd w:val="clear" w:color="000000" w:fill="FFFFFF"/>
                  <w:noWrap/>
                  <w:hideMark/>
                </w:tcPr>
                <w:p w14:paraId="3CB6A75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63E1E94" w14:textId="77777777" w:rsidR="00E45009" w:rsidRPr="0025292C" w:rsidRDefault="00E45009" w:rsidP="00E45009">
                  <w:pPr>
                    <w:pStyle w:val="NoSpacing"/>
                    <w:rPr>
                      <w:sz w:val="18"/>
                      <w:szCs w:val="22"/>
                      <w:lang w:val="en-GB"/>
                    </w:rPr>
                  </w:pPr>
                  <w:r w:rsidRPr="0025292C">
                    <w:rPr>
                      <w:sz w:val="18"/>
                      <w:szCs w:val="22"/>
                      <w:lang w:val="en-GB"/>
                    </w:rPr>
                    <w:t>1.64</w:t>
                  </w:r>
                </w:p>
              </w:tc>
            </w:tr>
            <w:tr w:rsidR="00E45009" w:rsidRPr="0025292C" w14:paraId="72840C65" w14:textId="77777777" w:rsidTr="00DB32C0">
              <w:trPr>
                <w:trHeight w:val="255"/>
              </w:trPr>
              <w:tc>
                <w:tcPr>
                  <w:tcW w:w="267" w:type="pct"/>
                  <w:shd w:val="clear" w:color="000000" w:fill="FFFFFF"/>
                  <w:noWrap/>
                  <w:hideMark/>
                </w:tcPr>
                <w:p w14:paraId="0C82FFA0" w14:textId="77777777" w:rsidR="00E45009" w:rsidRPr="0025292C" w:rsidRDefault="00E45009" w:rsidP="00E45009">
                  <w:pPr>
                    <w:pStyle w:val="NoSpacing"/>
                    <w:rPr>
                      <w:sz w:val="18"/>
                      <w:szCs w:val="22"/>
                      <w:lang w:val="en-GB"/>
                    </w:rPr>
                  </w:pPr>
                  <w:r w:rsidRPr="0025292C">
                    <w:rPr>
                      <w:sz w:val="18"/>
                      <w:szCs w:val="22"/>
                      <w:lang w:val="en-GB"/>
                    </w:rPr>
                    <w:t>87</w:t>
                  </w:r>
                </w:p>
              </w:tc>
              <w:tc>
                <w:tcPr>
                  <w:tcW w:w="2195" w:type="pct"/>
                  <w:shd w:val="clear" w:color="000000" w:fill="FFFFFF"/>
                  <w:hideMark/>
                </w:tcPr>
                <w:p w14:paraId="18955519" w14:textId="77777777" w:rsidR="00E45009" w:rsidRPr="0025292C" w:rsidRDefault="00E45009" w:rsidP="00E45009">
                  <w:pPr>
                    <w:pStyle w:val="NoSpacing"/>
                    <w:rPr>
                      <w:sz w:val="18"/>
                      <w:szCs w:val="22"/>
                      <w:lang w:val="en-GB"/>
                    </w:rPr>
                  </w:pPr>
                  <w:r w:rsidRPr="0025292C">
                    <w:rPr>
                      <w:sz w:val="18"/>
                      <w:szCs w:val="22"/>
                      <w:lang w:val="en-GB"/>
                    </w:rPr>
                    <w:t xml:space="preserve">Excessive prerequisites required for exercising the right to strike </w:t>
                  </w:r>
                </w:p>
              </w:tc>
              <w:tc>
                <w:tcPr>
                  <w:tcW w:w="125" w:type="pct"/>
                  <w:shd w:val="clear" w:color="000000" w:fill="FFFFFF"/>
                  <w:hideMark/>
                </w:tcPr>
                <w:p w14:paraId="33EE6DD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CF9593A"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64E0EAC6" w14:textId="77777777" w:rsidR="00E45009" w:rsidRPr="0025292C" w:rsidRDefault="00E45009" w:rsidP="00E45009">
                  <w:pPr>
                    <w:pStyle w:val="NoSpacing"/>
                    <w:rPr>
                      <w:sz w:val="18"/>
                      <w:szCs w:val="22"/>
                      <w:lang w:val="en-GB"/>
                    </w:rPr>
                  </w:pPr>
                  <w:r w:rsidRPr="0025292C">
                    <w:rPr>
                      <w:sz w:val="18"/>
                      <w:szCs w:val="22"/>
                      <w:lang w:val="en-GB"/>
                    </w:rPr>
                    <w:t>0.85</w:t>
                  </w:r>
                </w:p>
              </w:tc>
              <w:tc>
                <w:tcPr>
                  <w:tcW w:w="125" w:type="pct"/>
                  <w:shd w:val="clear" w:color="000000" w:fill="FFFFFF"/>
                  <w:noWrap/>
                  <w:hideMark/>
                </w:tcPr>
                <w:p w14:paraId="239B8C91"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16C59F7" w14:textId="77777777" w:rsidR="00E45009" w:rsidRPr="0025292C" w:rsidRDefault="00E45009" w:rsidP="00E45009">
                  <w:pPr>
                    <w:pStyle w:val="NoSpacing"/>
                    <w:rPr>
                      <w:sz w:val="18"/>
                      <w:szCs w:val="22"/>
                      <w:lang w:val="en-GB"/>
                    </w:rPr>
                  </w:pPr>
                  <w:r w:rsidRPr="0025292C">
                    <w:rPr>
                      <w:sz w:val="18"/>
                      <w:szCs w:val="22"/>
                      <w:lang w:val="en-GB"/>
                    </w:rPr>
                    <w:t>3.86</w:t>
                  </w:r>
                </w:p>
              </w:tc>
              <w:tc>
                <w:tcPr>
                  <w:tcW w:w="333" w:type="pct"/>
                  <w:shd w:val="clear" w:color="000000" w:fill="FFFFFF"/>
                  <w:noWrap/>
                  <w:hideMark/>
                </w:tcPr>
                <w:p w14:paraId="54C4108D" w14:textId="77777777" w:rsidR="00E45009" w:rsidRPr="0025292C" w:rsidRDefault="00E45009" w:rsidP="00E45009">
                  <w:pPr>
                    <w:pStyle w:val="NoSpacing"/>
                    <w:rPr>
                      <w:sz w:val="18"/>
                      <w:szCs w:val="22"/>
                      <w:lang w:val="en-GB"/>
                    </w:rPr>
                  </w:pPr>
                  <w:r w:rsidRPr="0025292C">
                    <w:rPr>
                      <w:sz w:val="18"/>
                      <w:szCs w:val="22"/>
                      <w:lang w:val="en-GB"/>
                    </w:rPr>
                    <w:t>0.53</w:t>
                  </w:r>
                </w:p>
              </w:tc>
              <w:tc>
                <w:tcPr>
                  <w:tcW w:w="125" w:type="pct"/>
                  <w:shd w:val="clear" w:color="000000" w:fill="FFFFFF"/>
                  <w:noWrap/>
                  <w:hideMark/>
                </w:tcPr>
                <w:p w14:paraId="00BBD76E"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1444125" w14:textId="77777777" w:rsidR="00E45009" w:rsidRPr="0025292C" w:rsidRDefault="00E45009" w:rsidP="00E45009">
                  <w:pPr>
                    <w:pStyle w:val="NoSpacing"/>
                    <w:rPr>
                      <w:sz w:val="18"/>
                      <w:szCs w:val="22"/>
                      <w:lang w:val="en-GB"/>
                    </w:rPr>
                  </w:pPr>
                  <w:r w:rsidRPr="0025292C">
                    <w:rPr>
                      <w:sz w:val="18"/>
                      <w:szCs w:val="22"/>
                      <w:lang w:val="en-GB"/>
                    </w:rPr>
                    <w:t>1.71</w:t>
                  </w:r>
                </w:p>
              </w:tc>
            </w:tr>
            <w:tr w:rsidR="00E45009" w:rsidRPr="0025292C" w14:paraId="2304C667" w14:textId="77777777" w:rsidTr="00DB32C0">
              <w:trPr>
                <w:trHeight w:val="255"/>
              </w:trPr>
              <w:tc>
                <w:tcPr>
                  <w:tcW w:w="267" w:type="pct"/>
                  <w:shd w:val="clear" w:color="000000" w:fill="FFFFFF"/>
                  <w:noWrap/>
                  <w:hideMark/>
                </w:tcPr>
                <w:p w14:paraId="4EDC6FD5" w14:textId="77777777" w:rsidR="00E45009" w:rsidRPr="0025292C" w:rsidRDefault="00E45009" w:rsidP="00E45009">
                  <w:pPr>
                    <w:pStyle w:val="NoSpacing"/>
                    <w:rPr>
                      <w:sz w:val="18"/>
                      <w:szCs w:val="22"/>
                      <w:lang w:val="en-GB"/>
                    </w:rPr>
                  </w:pPr>
                  <w:r w:rsidRPr="0025292C">
                    <w:rPr>
                      <w:sz w:val="18"/>
                      <w:szCs w:val="22"/>
                      <w:lang w:val="en-GB"/>
                    </w:rPr>
                    <w:lastRenderedPageBreak/>
                    <w:t>88</w:t>
                  </w:r>
                </w:p>
              </w:tc>
              <w:tc>
                <w:tcPr>
                  <w:tcW w:w="2195" w:type="pct"/>
                  <w:shd w:val="clear" w:color="000000" w:fill="FFFFFF"/>
                  <w:hideMark/>
                </w:tcPr>
                <w:p w14:paraId="79BB2301" w14:textId="77777777" w:rsidR="00E45009" w:rsidRPr="0025292C" w:rsidRDefault="00E45009" w:rsidP="00E45009">
                  <w:pPr>
                    <w:pStyle w:val="NoSpacing"/>
                    <w:rPr>
                      <w:sz w:val="18"/>
                      <w:szCs w:val="22"/>
                      <w:lang w:val="en-GB"/>
                    </w:rPr>
                  </w:pPr>
                  <w:r w:rsidRPr="0025292C">
                    <w:rPr>
                      <w:sz w:val="18"/>
                      <w:szCs w:val="22"/>
                      <w:lang w:val="en-GB"/>
                    </w:rPr>
                    <w:t>Acts of interference during the course of strike action</w:t>
                  </w:r>
                </w:p>
              </w:tc>
              <w:tc>
                <w:tcPr>
                  <w:tcW w:w="125" w:type="pct"/>
                  <w:shd w:val="clear" w:color="000000" w:fill="FFFFFF"/>
                  <w:hideMark/>
                </w:tcPr>
                <w:p w14:paraId="1B3ADB6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BFF7940" w14:textId="77777777" w:rsidR="00E45009" w:rsidRPr="0025292C" w:rsidRDefault="00E45009" w:rsidP="00E45009">
                  <w:pPr>
                    <w:pStyle w:val="NoSpacing"/>
                    <w:rPr>
                      <w:sz w:val="18"/>
                      <w:szCs w:val="22"/>
                      <w:lang w:val="en-GB"/>
                    </w:rPr>
                  </w:pPr>
                  <w:r w:rsidRPr="0025292C">
                    <w:rPr>
                      <w:sz w:val="18"/>
                      <w:szCs w:val="22"/>
                      <w:lang w:val="en-GB"/>
                    </w:rPr>
                    <w:t>3.31</w:t>
                  </w:r>
                </w:p>
              </w:tc>
              <w:tc>
                <w:tcPr>
                  <w:tcW w:w="335" w:type="pct"/>
                  <w:shd w:val="clear" w:color="000000" w:fill="FFFFFF"/>
                  <w:noWrap/>
                  <w:hideMark/>
                </w:tcPr>
                <w:p w14:paraId="52DB51A2" w14:textId="77777777" w:rsidR="00E45009" w:rsidRPr="0025292C" w:rsidRDefault="00E45009" w:rsidP="00E45009">
                  <w:pPr>
                    <w:pStyle w:val="NoSpacing"/>
                    <w:rPr>
                      <w:sz w:val="18"/>
                      <w:szCs w:val="22"/>
                      <w:lang w:val="en-GB"/>
                    </w:rPr>
                  </w:pPr>
                  <w:r w:rsidRPr="0025292C">
                    <w:rPr>
                      <w:sz w:val="18"/>
                      <w:szCs w:val="22"/>
                      <w:lang w:val="en-GB"/>
                    </w:rPr>
                    <w:t>1.07</w:t>
                  </w:r>
                </w:p>
              </w:tc>
              <w:tc>
                <w:tcPr>
                  <w:tcW w:w="125" w:type="pct"/>
                  <w:shd w:val="clear" w:color="000000" w:fill="FFFFFF"/>
                  <w:noWrap/>
                  <w:hideMark/>
                </w:tcPr>
                <w:p w14:paraId="42D79555"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388C3C8" w14:textId="77777777" w:rsidR="00E45009" w:rsidRPr="0025292C" w:rsidRDefault="00E45009" w:rsidP="00E45009">
                  <w:pPr>
                    <w:pStyle w:val="NoSpacing"/>
                    <w:rPr>
                      <w:sz w:val="18"/>
                      <w:szCs w:val="22"/>
                      <w:lang w:val="en-GB"/>
                    </w:rPr>
                  </w:pPr>
                  <w:r w:rsidRPr="0025292C">
                    <w:rPr>
                      <w:sz w:val="18"/>
                      <w:szCs w:val="22"/>
                      <w:lang w:val="en-GB"/>
                    </w:rPr>
                    <w:t>3.43</w:t>
                  </w:r>
                </w:p>
              </w:tc>
              <w:tc>
                <w:tcPr>
                  <w:tcW w:w="333" w:type="pct"/>
                  <w:shd w:val="clear" w:color="000000" w:fill="FFFFFF"/>
                  <w:noWrap/>
                  <w:hideMark/>
                </w:tcPr>
                <w:p w14:paraId="10CBAAB3"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70603CB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70702D7" w14:textId="77777777" w:rsidR="00E45009" w:rsidRPr="0025292C" w:rsidRDefault="00E45009" w:rsidP="00E45009">
                  <w:pPr>
                    <w:pStyle w:val="NoSpacing"/>
                    <w:rPr>
                      <w:sz w:val="18"/>
                      <w:szCs w:val="22"/>
                      <w:lang w:val="en-GB"/>
                    </w:rPr>
                  </w:pPr>
                  <w:r w:rsidRPr="0025292C">
                    <w:rPr>
                      <w:sz w:val="18"/>
                      <w:szCs w:val="22"/>
                      <w:lang w:val="en-GB"/>
                    </w:rPr>
                    <w:t>1.61</w:t>
                  </w:r>
                </w:p>
              </w:tc>
            </w:tr>
            <w:tr w:rsidR="00E45009" w:rsidRPr="0025292C" w14:paraId="0668F939" w14:textId="77777777" w:rsidTr="00DB32C0">
              <w:trPr>
                <w:trHeight w:val="255"/>
              </w:trPr>
              <w:tc>
                <w:tcPr>
                  <w:tcW w:w="267" w:type="pct"/>
                  <w:shd w:val="clear" w:color="000000" w:fill="FFFFFF"/>
                  <w:noWrap/>
                  <w:hideMark/>
                </w:tcPr>
                <w:p w14:paraId="093C1E29" w14:textId="77777777" w:rsidR="00E45009" w:rsidRPr="0025292C" w:rsidRDefault="00E45009" w:rsidP="00E45009">
                  <w:pPr>
                    <w:pStyle w:val="NoSpacing"/>
                    <w:rPr>
                      <w:sz w:val="18"/>
                      <w:szCs w:val="22"/>
                      <w:lang w:val="en-GB"/>
                    </w:rPr>
                  </w:pPr>
                  <w:r w:rsidRPr="0025292C">
                    <w:rPr>
                      <w:sz w:val="18"/>
                      <w:szCs w:val="22"/>
                      <w:lang w:val="en-GB"/>
                    </w:rPr>
                    <w:t>89</w:t>
                  </w:r>
                </w:p>
              </w:tc>
              <w:tc>
                <w:tcPr>
                  <w:tcW w:w="2195" w:type="pct"/>
                  <w:shd w:val="clear" w:color="000000" w:fill="FFFFFF"/>
                  <w:hideMark/>
                </w:tcPr>
                <w:p w14:paraId="625DBBF9" w14:textId="77777777" w:rsidR="00E45009" w:rsidRPr="0025292C" w:rsidRDefault="00E45009" w:rsidP="00E45009">
                  <w:pPr>
                    <w:pStyle w:val="NoSpacing"/>
                    <w:rPr>
                      <w:sz w:val="18"/>
                      <w:szCs w:val="22"/>
                      <w:lang w:val="en-GB"/>
                    </w:rPr>
                  </w:pPr>
                  <w:r w:rsidRPr="0025292C">
                    <w:rPr>
                      <w:sz w:val="18"/>
                      <w:szCs w:val="22"/>
                      <w:lang w:val="en-GB"/>
                    </w:rPr>
                    <w:t>Imposing excessive sanctions in case of legitimate strikes</w:t>
                  </w:r>
                </w:p>
              </w:tc>
              <w:tc>
                <w:tcPr>
                  <w:tcW w:w="125" w:type="pct"/>
                  <w:shd w:val="clear" w:color="000000" w:fill="FFFFFF"/>
                  <w:hideMark/>
                </w:tcPr>
                <w:p w14:paraId="41011852"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20EEBF6" w14:textId="77777777" w:rsidR="00E45009" w:rsidRPr="0025292C" w:rsidRDefault="00E45009" w:rsidP="00E45009">
                  <w:pPr>
                    <w:pStyle w:val="NoSpacing"/>
                    <w:rPr>
                      <w:sz w:val="18"/>
                      <w:szCs w:val="22"/>
                      <w:lang w:val="en-GB"/>
                    </w:rPr>
                  </w:pPr>
                  <w:r w:rsidRPr="0025292C">
                    <w:rPr>
                      <w:sz w:val="18"/>
                      <w:szCs w:val="22"/>
                      <w:lang w:val="en-GB"/>
                    </w:rPr>
                    <w:t>4.08</w:t>
                  </w:r>
                </w:p>
              </w:tc>
              <w:tc>
                <w:tcPr>
                  <w:tcW w:w="335" w:type="pct"/>
                  <w:shd w:val="clear" w:color="000000" w:fill="FFFFFF"/>
                  <w:noWrap/>
                  <w:hideMark/>
                </w:tcPr>
                <w:p w14:paraId="717F24F7" w14:textId="77777777" w:rsidR="00E45009" w:rsidRPr="0025292C" w:rsidRDefault="00E45009" w:rsidP="00E45009">
                  <w:pPr>
                    <w:pStyle w:val="NoSpacing"/>
                    <w:rPr>
                      <w:sz w:val="18"/>
                      <w:szCs w:val="22"/>
                      <w:lang w:val="en-GB"/>
                    </w:rPr>
                  </w:pPr>
                  <w:r w:rsidRPr="0025292C">
                    <w:rPr>
                      <w:sz w:val="18"/>
                      <w:szCs w:val="22"/>
                      <w:lang w:val="en-GB"/>
                    </w:rPr>
                    <w:t>1.07</w:t>
                  </w:r>
                </w:p>
              </w:tc>
              <w:tc>
                <w:tcPr>
                  <w:tcW w:w="125" w:type="pct"/>
                  <w:shd w:val="clear" w:color="000000" w:fill="FFFFFF"/>
                  <w:noWrap/>
                  <w:hideMark/>
                </w:tcPr>
                <w:p w14:paraId="35BA077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CBC9A06"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2A6DAA74"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4C30E88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B563CD9"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708B5CE3" w14:textId="77777777" w:rsidTr="00DB32C0">
              <w:trPr>
                <w:trHeight w:val="255"/>
              </w:trPr>
              <w:tc>
                <w:tcPr>
                  <w:tcW w:w="267" w:type="pct"/>
                  <w:shd w:val="clear" w:color="000000" w:fill="FFFFFF"/>
                  <w:noWrap/>
                  <w:hideMark/>
                </w:tcPr>
                <w:p w14:paraId="042DAF84" w14:textId="77777777" w:rsidR="00E45009" w:rsidRPr="0025292C" w:rsidRDefault="00E45009" w:rsidP="00E45009">
                  <w:pPr>
                    <w:pStyle w:val="NoSpacing"/>
                    <w:rPr>
                      <w:sz w:val="18"/>
                      <w:szCs w:val="22"/>
                      <w:lang w:val="en-GB"/>
                    </w:rPr>
                  </w:pPr>
                  <w:r w:rsidRPr="0025292C">
                    <w:rPr>
                      <w:sz w:val="18"/>
                      <w:szCs w:val="22"/>
                      <w:lang w:val="en-GB"/>
                    </w:rPr>
                    <w:t>90</w:t>
                  </w:r>
                </w:p>
              </w:tc>
              <w:tc>
                <w:tcPr>
                  <w:tcW w:w="2195" w:type="pct"/>
                  <w:shd w:val="clear" w:color="000000" w:fill="FFFFFF"/>
                  <w:hideMark/>
                </w:tcPr>
                <w:p w14:paraId="67B30A15"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80-89</w:t>
                  </w:r>
                </w:p>
              </w:tc>
              <w:tc>
                <w:tcPr>
                  <w:tcW w:w="125" w:type="pct"/>
                  <w:shd w:val="clear" w:color="000000" w:fill="FFFFFF"/>
                  <w:hideMark/>
                </w:tcPr>
                <w:p w14:paraId="5A96AB22"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1301995" w14:textId="77777777" w:rsidR="00E45009" w:rsidRPr="0025292C" w:rsidRDefault="00E45009" w:rsidP="00E45009">
                  <w:pPr>
                    <w:pStyle w:val="NoSpacing"/>
                    <w:rPr>
                      <w:sz w:val="18"/>
                      <w:szCs w:val="22"/>
                      <w:lang w:val="en-GB"/>
                    </w:rPr>
                  </w:pPr>
                  <w:r w:rsidRPr="0025292C">
                    <w:rPr>
                      <w:sz w:val="18"/>
                      <w:szCs w:val="22"/>
                      <w:lang w:val="en-GB"/>
                    </w:rPr>
                    <w:t>4.08</w:t>
                  </w:r>
                </w:p>
              </w:tc>
              <w:tc>
                <w:tcPr>
                  <w:tcW w:w="335" w:type="pct"/>
                  <w:shd w:val="clear" w:color="000000" w:fill="FFFFFF"/>
                  <w:noWrap/>
                  <w:hideMark/>
                </w:tcPr>
                <w:p w14:paraId="0D5247FE" w14:textId="77777777" w:rsidR="00E45009" w:rsidRPr="0025292C" w:rsidRDefault="00E45009" w:rsidP="00E45009">
                  <w:pPr>
                    <w:pStyle w:val="NoSpacing"/>
                    <w:rPr>
                      <w:sz w:val="18"/>
                      <w:szCs w:val="22"/>
                      <w:lang w:val="en-GB"/>
                    </w:rPr>
                  </w:pPr>
                  <w:r w:rsidRPr="0025292C">
                    <w:rPr>
                      <w:sz w:val="18"/>
                      <w:szCs w:val="22"/>
                      <w:lang w:val="en-GB"/>
                    </w:rPr>
                    <w:t>1.17</w:t>
                  </w:r>
                </w:p>
              </w:tc>
              <w:tc>
                <w:tcPr>
                  <w:tcW w:w="125" w:type="pct"/>
                  <w:shd w:val="clear" w:color="000000" w:fill="FFFFFF"/>
                  <w:noWrap/>
                  <w:hideMark/>
                </w:tcPr>
                <w:p w14:paraId="28A08D1A"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251F045" w14:textId="77777777" w:rsidR="00E45009" w:rsidRPr="0025292C" w:rsidRDefault="00E45009" w:rsidP="00E45009">
                  <w:pPr>
                    <w:pStyle w:val="NoSpacing"/>
                    <w:rPr>
                      <w:sz w:val="18"/>
                      <w:szCs w:val="22"/>
                      <w:lang w:val="en-GB"/>
                    </w:rPr>
                  </w:pPr>
                  <w:r w:rsidRPr="0025292C">
                    <w:rPr>
                      <w:sz w:val="18"/>
                      <w:szCs w:val="22"/>
                      <w:lang w:val="en-GB"/>
                    </w:rPr>
                    <w:t>4.21</w:t>
                  </w:r>
                </w:p>
              </w:tc>
              <w:tc>
                <w:tcPr>
                  <w:tcW w:w="333" w:type="pct"/>
                  <w:shd w:val="clear" w:color="000000" w:fill="FFFFFF"/>
                  <w:noWrap/>
                  <w:hideMark/>
                </w:tcPr>
                <w:p w14:paraId="0C7B4808" w14:textId="77777777" w:rsidR="00E45009" w:rsidRPr="0025292C" w:rsidRDefault="00E45009" w:rsidP="00E45009">
                  <w:pPr>
                    <w:pStyle w:val="NoSpacing"/>
                    <w:rPr>
                      <w:sz w:val="18"/>
                      <w:szCs w:val="22"/>
                      <w:lang w:val="en-GB"/>
                    </w:rPr>
                  </w:pPr>
                  <w:r w:rsidRPr="0025292C">
                    <w:rPr>
                      <w:sz w:val="18"/>
                      <w:szCs w:val="22"/>
                      <w:lang w:val="en-GB"/>
                    </w:rPr>
                    <w:t>0.89</w:t>
                  </w:r>
                </w:p>
              </w:tc>
              <w:tc>
                <w:tcPr>
                  <w:tcW w:w="125" w:type="pct"/>
                  <w:shd w:val="clear" w:color="000000" w:fill="FFFFFF"/>
                  <w:noWrap/>
                  <w:hideMark/>
                </w:tcPr>
                <w:p w14:paraId="708720E3"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B059755" w14:textId="77777777" w:rsidR="00E45009" w:rsidRPr="0025292C" w:rsidRDefault="00E45009" w:rsidP="00E45009">
                  <w:pPr>
                    <w:pStyle w:val="NoSpacing"/>
                    <w:rPr>
                      <w:sz w:val="18"/>
                      <w:szCs w:val="22"/>
                      <w:lang w:val="en-GB"/>
                    </w:rPr>
                  </w:pPr>
                  <w:r w:rsidRPr="0025292C">
                    <w:rPr>
                      <w:sz w:val="18"/>
                      <w:szCs w:val="22"/>
                      <w:lang w:val="en-GB"/>
                    </w:rPr>
                    <w:t>1.80</w:t>
                  </w:r>
                </w:p>
              </w:tc>
            </w:tr>
            <w:tr w:rsidR="00E45009" w:rsidRPr="0025292C" w14:paraId="2DBC992E" w14:textId="77777777" w:rsidTr="00DB32C0">
              <w:trPr>
                <w:trHeight w:val="255"/>
              </w:trPr>
              <w:tc>
                <w:tcPr>
                  <w:tcW w:w="267" w:type="pct"/>
                  <w:shd w:val="clear" w:color="000000" w:fill="FFFFFF"/>
                  <w:noWrap/>
                  <w:hideMark/>
                </w:tcPr>
                <w:p w14:paraId="2D775578"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hideMark/>
                </w:tcPr>
                <w:p w14:paraId="5616B0BD" w14:textId="77777777" w:rsidR="00E45009" w:rsidRPr="0025292C" w:rsidRDefault="00E45009" w:rsidP="00E45009">
                  <w:pPr>
                    <w:pStyle w:val="NoSpacing"/>
                    <w:rPr>
                      <w:b/>
                      <w:bCs/>
                      <w:sz w:val="18"/>
                      <w:szCs w:val="22"/>
                      <w:lang w:val="en-GB"/>
                    </w:rPr>
                  </w:pPr>
                  <w:r w:rsidRPr="0025292C">
                    <w:rPr>
                      <w:b/>
                      <w:bCs/>
                      <w:sz w:val="18"/>
                      <w:szCs w:val="22"/>
                      <w:lang w:val="en-GB"/>
                    </w:rPr>
                    <w:t>Vb. Right to strike in practice</w:t>
                  </w:r>
                </w:p>
              </w:tc>
              <w:tc>
                <w:tcPr>
                  <w:tcW w:w="125" w:type="pct"/>
                  <w:shd w:val="clear" w:color="000000" w:fill="FFFFFF"/>
                  <w:hideMark/>
                </w:tcPr>
                <w:p w14:paraId="3F871BD3" w14:textId="77777777" w:rsidR="00E45009" w:rsidRPr="0025292C" w:rsidRDefault="00E45009" w:rsidP="00E45009">
                  <w:pPr>
                    <w:pStyle w:val="NoSpacing"/>
                    <w:rPr>
                      <w:b/>
                      <w:bCs/>
                      <w:sz w:val="18"/>
                      <w:szCs w:val="22"/>
                      <w:lang w:val="en-GB"/>
                    </w:rPr>
                  </w:pPr>
                  <w:r w:rsidRPr="0025292C">
                    <w:rPr>
                      <w:b/>
                      <w:bCs/>
                      <w:sz w:val="18"/>
                      <w:szCs w:val="22"/>
                      <w:lang w:val="en-GB"/>
                    </w:rPr>
                    <w:t> </w:t>
                  </w:r>
                </w:p>
              </w:tc>
              <w:tc>
                <w:tcPr>
                  <w:tcW w:w="483" w:type="pct"/>
                  <w:shd w:val="clear" w:color="000000" w:fill="FFFFFF"/>
                  <w:noWrap/>
                  <w:hideMark/>
                </w:tcPr>
                <w:p w14:paraId="3D434D56"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59FAB45B"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01E5F84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E7280E0"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39C6FD5A"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21F2265C"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1B667E5"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0F6871D6" w14:textId="77777777" w:rsidTr="00DB32C0">
              <w:trPr>
                <w:trHeight w:val="255"/>
              </w:trPr>
              <w:tc>
                <w:tcPr>
                  <w:tcW w:w="267" w:type="pct"/>
                  <w:shd w:val="clear" w:color="000000" w:fill="FFFFFF"/>
                  <w:noWrap/>
                  <w:hideMark/>
                </w:tcPr>
                <w:p w14:paraId="374D3D26" w14:textId="77777777" w:rsidR="00E45009" w:rsidRPr="0025292C" w:rsidRDefault="00E45009" w:rsidP="00E45009">
                  <w:pPr>
                    <w:pStyle w:val="NoSpacing"/>
                    <w:rPr>
                      <w:sz w:val="18"/>
                      <w:szCs w:val="22"/>
                      <w:lang w:val="en-GB"/>
                    </w:rPr>
                  </w:pPr>
                  <w:r w:rsidRPr="0025292C">
                    <w:rPr>
                      <w:sz w:val="18"/>
                      <w:szCs w:val="22"/>
                      <w:lang w:val="en-GB"/>
                    </w:rPr>
                    <w:t>91</w:t>
                  </w:r>
                </w:p>
              </w:tc>
              <w:tc>
                <w:tcPr>
                  <w:tcW w:w="2195" w:type="pct"/>
                  <w:shd w:val="clear" w:color="000000" w:fill="FFFFFF"/>
                  <w:hideMark/>
                </w:tcPr>
                <w:p w14:paraId="292FA091" w14:textId="77777777" w:rsidR="00E45009" w:rsidRPr="0025292C" w:rsidRDefault="00E45009" w:rsidP="00E45009">
                  <w:pPr>
                    <w:pStyle w:val="NoSpacing"/>
                    <w:rPr>
                      <w:sz w:val="18"/>
                      <w:szCs w:val="22"/>
                      <w:lang w:val="en-GB"/>
                    </w:rPr>
                  </w:pPr>
                  <w:r w:rsidRPr="0025292C">
                    <w:rPr>
                      <w:sz w:val="18"/>
                      <w:szCs w:val="22"/>
                      <w:lang w:val="en-GB"/>
                    </w:rPr>
                    <w:t>General prohibition of strikes</w:t>
                  </w:r>
                </w:p>
              </w:tc>
              <w:tc>
                <w:tcPr>
                  <w:tcW w:w="125" w:type="pct"/>
                  <w:shd w:val="clear" w:color="000000" w:fill="FFFFFF"/>
                  <w:hideMark/>
                </w:tcPr>
                <w:p w14:paraId="232F9246"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730B58B9" w14:textId="77777777" w:rsidR="00E45009" w:rsidRPr="0025292C" w:rsidRDefault="00E45009" w:rsidP="00E45009">
                  <w:pPr>
                    <w:pStyle w:val="NoSpacing"/>
                    <w:rPr>
                      <w:sz w:val="18"/>
                      <w:szCs w:val="22"/>
                      <w:lang w:val="en-GB"/>
                    </w:rPr>
                  </w:pPr>
                  <w:r w:rsidRPr="0025292C">
                    <w:rPr>
                      <w:sz w:val="18"/>
                      <w:szCs w:val="22"/>
                      <w:lang w:val="en-GB"/>
                    </w:rPr>
                    <w:t>4.62</w:t>
                  </w:r>
                </w:p>
              </w:tc>
              <w:tc>
                <w:tcPr>
                  <w:tcW w:w="335" w:type="pct"/>
                  <w:shd w:val="clear" w:color="000000" w:fill="FFFFFF"/>
                  <w:noWrap/>
                  <w:hideMark/>
                </w:tcPr>
                <w:p w14:paraId="1557B47C" w14:textId="77777777" w:rsidR="00E45009" w:rsidRPr="0025292C" w:rsidRDefault="00E45009" w:rsidP="00E45009">
                  <w:pPr>
                    <w:pStyle w:val="NoSpacing"/>
                    <w:rPr>
                      <w:sz w:val="18"/>
                      <w:szCs w:val="22"/>
                      <w:lang w:val="en-GB"/>
                    </w:rPr>
                  </w:pPr>
                  <w:r w:rsidRPr="0025292C">
                    <w:rPr>
                      <w:sz w:val="18"/>
                      <w:szCs w:val="22"/>
                      <w:lang w:val="en-GB"/>
                    </w:rPr>
                    <w:t>0.63</w:t>
                  </w:r>
                </w:p>
              </w:tc>
              <w:tc>
                <w:tcPr>
                  <w:tcW w:w="125" w:type="pct"/>
                  <w:shd w:val="clear" w:color="000000" w:fill="FFFFFF"/>
                  <w:noWrap/>
                  <w:hideMark/>
                </w:tcPr>
                <w:p w14:paraId="60B3B58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694752D5" w14:textId="77777777" w:rsidR="00E45009" w:rsidRPr="0025292C" w:rsidRDefault="00E45009" w:rsidP="00E45009">
                  <w:pPr>
                    <w:pStyle w:val="NoSpacing"/>
                    <w:rPr>
                      <w:sz w:val="18"/>
                      <w:szCs w:val="22"/>
                      <w:lang w:val="en-GB"/>
                    </w:rPr>
                  </w:pPr>
                  <w:r w:rsidRPr="0025292C">
                    <w:rPr>
                      <w:sz w:val="18"/>
                      <w:szCs w:val="22"/>
                      <w:lang w:val="en-GB"/>
                    </w:rPr>
                    <w:t>4.71</w:t>
                  </w:r>
                </w:p>
              </w:tc>
              <w:tc>
                <w:tcPr>
                  <w:tcW w:w="333" w:type="pct"/>
                  <w:shd w:val="clear" w:color="000000" w:fill="FFFFFF"/>
                  <w:noWrap/>
                  <w:hideMark/>
                </w:tcPr>
                <w:p w14:paraId="704192F6" w14:textId="77777777" w:rsidR="00E45009" w:rsidRPr="0025292C" w:rsidRDefault="00E45009" w:rsidP="00E45009">
                  <w:pPr>
                    <w:pStyle w:val="NoSpacing"/>
                    <w:rPr>
                      <w:sz w:val="18"/>
                      <w:szCs w:val="22"/>
                      <w:lang w:val="en-GB"/>
                    </w:rPr>
                  </w:pPr>
                  <w:r w:rsidRPr="0025292C">
                    <w:rPr>
                      <w:sz w:val="18"/>
                      <w:szCs w:val="22"/>
                      <w:lang w:val="en-GB"/>
                    </w:rPr>
                    <w:t>0.47</w:t>
                  </w:r>
                </w:p>
              </w:tc>
              <w:tc>
                <w:tcPr>
                  <w:tcW w:w="125" w:type="pct"/>
                  <w:shd w:val="clear" w:color="000000" w:fill="FFFFFF"/>
                  <w:noWrap/>
                  <w:hideMark/>
                </w:tcPr>
                <w:p w14:paraId="1EAFE28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C930660" w14:textId="77777777" w:rsidR="00E45009" w:rsidRPr="0025292C" w:rsidRDefault="00E45009" w:rsidP="00E45009">
                  <w:pPr>
                    <w:pStyle w:val="NoSpacing"/>
                    <w:rPr>
                      <w:sz w:val="18"/>
                      <w:szCs w:val="22"/>
                      <w:lang w:val="en-GB"/>
                    </w:rPr>
                  </w:pPr>
                  <w:r w:rsidRPr="0025292C">
                    <w:rPr>
                      <w:sz w:val="18"/>
                      <w:szCs w:val="22"/>
                      <w:lang w:val="en-GB"/>
                    </w:rPr>
                    <w:t>1.93</w:t>
                  </w:r>
                </w:p>
              </w:tc>
            </w:tr>
            <w:tr w:rsidR="00E45009" w:rsidRPr="0025292C" w14:paraId="7FBF2286" w14:textId="77777777" w:rsidTr="00DB32C0">
              <w:trPr>
                <w:trHeight w:val="255"/>
              </w:trPr>
              <w:tc>
                <w:tcPr>
                  <w:tcW w:w="267" w:type="pct"/>
                  <w:shd w:val="clear" w:color="000000" w:fill="FFFFFF"/>
                  <w:noWrap/>
                  <w:hideMark/>
                </w:tcPr>
                <w:p w14:paraId="34E3D3DE" w14:textId="77777777" w:rsidR="00E45009" w:rsidRPr="0025292C" w:rsidRDefault="00E45009" w:rsidP="00E45009">
                  <w:pPr>
                    <w:pStyle w:val="NoSpacing"/>
                    <w:rPr>
                      <w:sz w:val="18"/>
                      <w:szCs w:val="22"/>
                      <w:lang w:val="en-GB"/>
                    </w:rPr>
                  </w:pPr>
                  <w:r w:rsidRPr="0025292C">
                    <w:rPr>
                      <w:sz w:val="18"/>
                      <w:szCs w:val="22"/>
                      <w:lang w:val="en-GB"/>
                    </w:rPr>
                    <w:t>92</w:t>
                  </w:r>
                </w:p>
              </w:tc>
              <w:tc>
                <w:tcPr>
                  <w:tcW w:w="2195" w:type="pct"/>
                  <w:shd w:val="clear" w:color="000000" w:fill="FFFFFF"/>
                  <w:hideMark/>
                </w:tcPr>
                <w:p w14:paraId="2343BD2C" w14:textId="77777777" w:rsidR="00E45009" w:rsidRPr="0025292C" w:rsidRDefault="00E45009" w:rsidP="00E45009">
                  <w:pPr>
                    <w:pStyle w:val="NoSpacing"/>
                    <w:rPr>
                      <w:sz w:val="18"/>
                      <w:szCs w:val="22"/>
                      <w:lang w:val="en-GB"/>
                    </w:rPr>
                  </w:pPr>
                  <w:r w:rsidRPr="0025292C">
                    <w:rPr>
                      <w:sz w:val="18"/>
                      <w:szCs w:val="22"/>
                      <w:lang w:val="en-GB"/>
                    </w:rPr>
                    <w:t>Exclusion of workers from the right to strike</w:t>
                  </w:r>
                </w:p>
              </w:tc>
              <w:tc>
                <w:tcPr>
                  <w:tcW w:w="125" w:type="pct"/>
                  <w:shd w:val="clear" w:color="000000" w:fill="FFFFFF"/>
                  <w:hideMark/>
                </w:tcPr>
                <w:p w14:paraId="78BD0C6F"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0792FB29" w14:textId="77777777" w:rsidR="00E45009" w:rsidRPr="0025292C" w:rsidRDefault="00E45009" w:rsidP="00E45009">
                  <w:pPr>
                    <w:pStyle w:val="NoSpacing"/>
                    <w:rPr>
                      <w:sz w:val="18"/>
                      <w:szCs w:val="22"/>
                      <w:lang w:val="en-GB"/>
                    </w:rPr>
                  </w:pPr>
                  <w:r w:rsidRPr="0025292C">
                    <w:rPr>
                      <w:sz w:val="18"/>
                      <w:szCs w:val="22"/>
                      <w:lang w:val="en-GB"/>
                    </w:rPr>
                    <w:t>4.16</w:t>
                  </w:r>
                </w:p>
              </w:tc>
              <w:tc>
                <w:tcPr>
                  <w:tcW w:w="335" w:type="pct"/>
                  <w:shd w:val="clear" w:color="000000" w:fill="FFFFFF"/>
                  <w:noWrap/>
                  <w:hideMark/>
                </w:tcPr>
                <w:p w14:paraId="2CB9F8B0" w14:textId="77777777" w:rsidR="00E45009" w:rsidRPr="0025292C" w:rsidRDefault="00E45009" w:rsidP="00E45009">
                  <w:pPr>
                    <w:pStyle w:val="NoSpacing"/>
                    <w:rPr>
                      <w:sz w:val="18"/>
                      <w:szCs w:val="22"/>
                      <w:lang w:val="en-GB"/>
                    </w:rPr>
                  </w:pPr>
                  <w:r w:rsidRPr="0025292C">
                    <w:rPr>
                      <w:sz w:val="18"/>
                      <w:szCs w:val="22"/>
                      <w:lang w:val="en-GB"/>
                    </w:rPr>
                    <w:t>0.58</w:t>
                  </w:r>
                </w:p>
              </w:tc>
              <w:tc>
                <w:tcPr>
                  <w:tcW w:w="125" w:type="pct"/>
                  <w:shd w:val="clear" w:color="000000" w:fill="FFFFFF"/>
                  <w:noWrap/>
                  <w:hideMark/>
                </w:tcPr>
                <w:p w14:paraId="75863287"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84D66E5"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0C7130CB"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6D6987C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48BBC30"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73D22A38" w14:textId="77777777" w:rsidTr="00DB32C0">
              <w:trPr>
                <w:trHeight w:val="255"/>
              </w:trPr>
              <w:tc>
                <w:tcPr>
                  <w:tcW w:w="267" w:type="pct"/>
                  <w:shd w:val="clear" w:color="000000" w:fill="FFFFFF"/>
                  <w:noWrap/>
                  <w:hideMark/>
                </w:tcPr>
                <w:p w14:paraId="629C6B82" w14:textId="77777777" w:rsidR="00E45009" w:rsidRPr="0025292C" w:rsidRDefault="00E45009" w:rsidP="00E45009">
                  <w:pPr>
                    <w:pStyle w:val="NoSpacing"/>
                    <w:rPr>
                      <w:sz w:val="18"/>
                      <w:szCs w:val="22"/>
                      <w:lang w:val="en-GB"/>
                    </w:rPr>
                  </w:pPr>
                  <w:r w:rsidRPr="0025292C">
                    <w:rPr>
                      <w:sz w:val="18"/>
                      <w:szCs w:val="22"/>
                      <w:lang w:val="en-GB"/>
                    </w:rPr>
                    <w:t>93</w:t>
                  </w:r>
                </w:p>
              </w:tc>
              <w:tc>
                <w:tcPr>
                  <w:tcW w:w="2195" w:type="pct"/>
                  <w:shd w:val="clear" w:color="000000" w:fill="FFFFFF"/>
                  <w:hideMark/>
                </w:tcPr>
                <w:p w14:paraId="25D54BBF" w14:textId="77777777" w:rsidR="00E45009" w:rsidRPr="0025292C" w:rsidRDefault="00E45009" w:rsidP="00E45009">
                  <w:pPr>
                    <w:pStyle w:val="NoSpacing"/>
                    <w:rPr>
                      <w:sz w:val="18"/>
                      <w:szCs w:val="22"/>
                      <w:lang w:val="en-GB"/>
                    </w:rPr>
                  </w:pPr>
                  <w:r w:rsidRPr="0025292C">
                    <w:rPr>
                      <w:sz w:val="18"/>
                      <w:szCs w:val="22"/>
                      <w:lang w:val="en-GB"/>
                    </w:rPr>
                    <w:t>Exclusion/restriction based on the objective and/or type of the strike</w:t>
                  </w:r>
                </w:p>
              </w:tc>
              <w:tc>
                <w:tcPr>
                  <w:tcW w:w="125" w:type="pct"/>
                  <w:shd w:val="clear" w:color="000000" w:fill="FFFFFF"/>
                  <w:hideMark/>
                </w:tcPr>
                <w:p w14:paraId="02C798F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E44B0AC" w14:textId="77777777" w:rsidR="00E45009" w:rsidRPr="0025292C" w:rsidRDefault="00E45009" w:rsidP="00E45009">
                  <w:pPr>
                    <w:pStyle w:val="NoSpacing"/>
                    <w:rPr>
                      <w:sz w:val="18"/>
                      <w:szCs w:val="22"/>
                      <w:lang w:val="en-GB"/>
                    </w:rPr>
                  </w:pPr>
                  <w:r w:rsidRPr="0025292C">
                    <w:rPr>
                      <w:sz w:val="18"/>
                      <w:szCs w:val="22"/>
                      <w:lang w:val="en-GB"/>
                    </w:rPr>
                    <w:t>3.08</w:t>
                  </w:r>
                </w:p>
              </w:tc>
              <w:tc>
                <w:tcPr>
                  <w:tcW w:w="335" w:type="pct"/>
                  <w:shd w:val="clear" w:color="000000" w:fill="FFFFFF"/>
                  <w:noWrap/>
                  <w:hideMark/>
                </w:tcPr>
                <w:p w14:paraId="6C3A8802" w14:textId="77777777" w:rsidR="00E45009" w:rsidRPr="0025292C" w:rsidRDefault="00E45009" w:rsidP="00E45009">
                  <w:pPr>
                    <w:pStyle w:val="NoSpacing"/>
                    <w:rPr>
                      <w:sz w:val="18"/>
                      <w:szCs w:val="22"/>
                      <w:lang w:val="en-GB"/>
                    </w:rPr>
                  </w:pPr>
                  <w:r w:rsidRPr="0025292C">
                    <w:rPr>
                      <w:sz w:val="18"/>
                      <w:szCs w:val="22"/>
                      <w:lang w:val="en-GB"/>
                    </w:rPr>
                    <w:t>1.14</w:t>
                  </w:r>
                </w:p>
              </w:tc>
              <w:tc>
                <w:tcPr>
                  <w:tcW w:w="125" w:type="pct"/>
                  <w:shd w:val="clear" w:color="000000" w:fill="FFFFFF"/>
                  <w:noWrap/>
                  <w:hideMark/>
                </w:tcPr>
                <w:p w14:paraId="1C80972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C34B3A1" w14:textId="77777777" w:rsidR="00E45009" w:rsidRPr="0025292C" w:rsidRDefault="00E45009" w:rsidP="00E45009">
                  <w:pPr>
                    <w:pStyle w:val="NoSpacing"/>
                    <w:rPr>
                      <w:sz w:val="18"/>
                      <w:szCs w:val="22"/>
                      <w:lang w:val="en-GB"/>
                    </w:rPr>
                  </w:pPr>
                  <w:r w:rsidRPr="0025292C">
                    <w:rPr>
                      <w:sz w:val="18"/>
                      <w:szCs w:val="22"/>
                      <w:lang w:val="en-GB"/>
                    </w:rPr>
                    <w:t>3.21</w:t>
                  </w:r>
                </w:p>
              </w:tc>
              <w:tc>
                <w:tcPr>
                  <w:tcW w:w="333" w:type="pct"/>
                  <w:shd w:val="clear" w:color="000000" w:fill="FFFFFF"/>
                  <w:noWrap/>
                  <w:hideMark/>
                </w:tcPr>
                <w:p w14:paraId="5CDBDAE3" w14:textId="77777777" w:rsidR="00E45009" w:rsidRPr="0025292C" w:rsidRDefault="00E45009" w:rsidP="00E45009">
                  <w:pPr>
                    <w:pStyle w:val="NoSpacing"/>
                    <w:rPr>
                      <w:sz w:val="18"/>
                      <w:szCs w:val="22"/>
                      <w:lang w:val="en-GB"/>
                    </w:rPr>
                  </w:pPr>
                  <w:r w:rsidRPr="0025292C">
                    <w:rPr>
                      <w:sz w:val="18"/>
                      <w:szCs w:val="22"/>
                      <w:lang w:val="en-GB"/>
                    </w:rPr>
                    <w:t>0.80</w:t>
                  </w:r>
                </w:p>
              </w:tc>
              <w:tc>
                <w:tcPr>
                  <w:tcW w:w="125" w:type="pct"/>
                  <w:shd w:val="clear" w:color="000000" w:fill="FFFFFF"/>
                  <w:noWrap/>
                  <w:hideMark/>
                </w:tcPr>
                <w:p w14:paraId="79692787"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521E69EA" w14:textId="77777777" w:rsidR="00E45009" w:rsidRPr="0025292C" w:rsidRDefault="00E45009" w:rsidP="00E45009">
                  <w:pPr>
                    <w:pStyle w:val="NoSpacing"/>
                    <w:rPr>
                      <w:sz w:val="18"/>
                      <w:szCs w:val="22"/>
                      <w:lang w:val="en-GB"/>
                    </w:rPr>
                  </w:pPr>
                  <w:r w:rsidRPr="0025292C">
                    <w:rPr>
                      <w:sz w:val="18"/>
                      <w:szCs w:val="22"/>
                      <w:lang w:val="en-GB"/>
                    </w:rPr>
                    <w:t>1.55</w:t>
                  </w:r>
                </w:p>
              </w:tc>
            </w:tr>
            <w:tr w:rsidR="00E45009" w:rsidRPr="0025292C" w14:paraId="69C31467" w14:textId="77777777" w:rsidTr="00DB32C0">
              <w:trPr>
                <w:trHeight w:val="255"/>
              </w:trPr>
              <w:tc>
                <w:tcPr>
                  <w:tcW w:w="267" w:type="pct"/>
                  <w:shd w:val="clear" w:color="000000" w:fill="FFFFFF"/>
                  <w:noWrap/>
                  <w:hideMark/>
                </w:tcPr>
                <w:p w14:paraId="60AA9BFB" w14:textId="77777777" w:rsidR="00E45009" w:rsidRPr="0025292C" w:rsidRDefault="00E45009" w:rsidP="00E45009">
                  <w:pPr>
                    <w:pStyle w:val="NoSpacing"/>
                    <w:rPr>
                      <w:sz w:val="18"/>
                      <w:szCs w:val="22"/>
                      <w:lang w:val="en-GB"/>
                    </w:rPr>
                  </w:pPr>
                  <w:r w:rsidRPr="0025292C">
                    <w:rPr>
                      <w:sz w:val="18"/>
                      <w:szCs w:val="22"/>
                      <w:lang w:val="en-GB"/>
                    </w:rPr>
                    <w:t>94</w:t>
                  </w:r>
                </w:p>
              </w:tc>
              <w:tc>
                <w:tcPr>
                  <w:tcW w:w="2195" w:type="pct"/>
                  <w:shd w:val="clear" w:color="000000" w:fill="FFFFFF"/>
                  <w:hideMark/>
                </w:tcPr>
                <w:p w14:paraId="0C2ECCEB" w14:textId="77777777" w:rsidR="00E45009" w:rsidRPr="0025292C" w:rsidRDefault="00E45009" w:rsidP="00E45009">
                  <w:pPr>
                    <w:pStyle w:val="NoSpacing"/>
                    <w:rPr>
                      <w:sz w:val="18"/>
                      <w:szCs w:val="22"/>
                      <w:lang w:val="en-GB"/>
                    </w:rPr>
                  </w:pPr>
                  <w:r w:rsidRPr="0025292C">
                    <w:rPr>
                      <w:sz w:val="18"/>
                      <w:szCs w:val="22"/>
                      <w:lang w:val="en-GB"/>
                    </w:rPr>
                    <w:t>Suspension and/or declaration of illegality of strikes by administrative authority</w:t>
                  </w:r>
                </w:p>
              </w:tc>
              <w:tc>
                <w:tcPr>
                  <w:tcW w:w="125" w:type="pct"/>
                  <w:shd w:val="clear" w:color="000000" w:fill="FFFFFF"/>
                  <w:hideMark/>
                </w:tcPr>
                <w:p w14:paraId="7A7819F3"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C888386" w14:textId="77777777" w:rsidR="00E45009" w:rsidRPr="0025292C" w:rsidRDefault="00E45009" w:rsidP="00E45009">
                  <w:pPr>
                    <w:pStyle w:val="NoSpacing"/>
                    <w:rPr>
                      <w:sz w:val="18"/>
                      <w:szCs w:val="22"/>
                      <w:lang w:val="en-GB"/>
                    </w:rPr>
                  </w:pPr>
                  <w:r w:rsidRPr="0025292C">
                    <w:rPr>
                      <w:sz w:val="18"/>
                      <w:szCs w:val="22"/>
                      <w:lang w:val="en-GB"/>
                    </w:rPr>
                    <w:t>3.77</w:t>
                  </w:r>
                </w:p>
              </w:tc>
              <w:tc>
                <w:tcPr>
                  <w:tcW w:w="335" w:type="pct"/>
                  <w:shd w:val="clear" w:color="000000" w:fill="FFFFFF"/>
                  <w:noWrap/>
                  <w:hideMark/>
                </w:tcPr>
                <w:p w14:paraId="4C2A9C72"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19C0A97E"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F3305B7" w14:textId="77777777" w:rsidR="00E45009" w:rsidRPr="0025292C" w:rsidRDefault="00E45009" w:rsidP="00E45009">
                  <w:pPr>
                    <w:pStyle w:val="NoSpacing"/>
                    <w:rPr>
                      <w:sz w:val="18"/>
                      <w:szCs w:val="22"/>
                      <w:lang w:val="en-GB"/>
                    </w:rPr>
                  </w:pPr>
                  <w:r w:rsidRPr="0025292C">
                    <w:rPr>
                      <w:sz w:val="18"/>
                      <w:szCs w:val="22"/>
                      <w:lang w:val="en-GB"/>
                    </w:rPr>
                    <w:t>3.79</w:t>
                  </w:r>
                </w:p>
              </w:tc>
              <w:tc>
                <w:tcPr>
                  <w:tcW w:w="333" w:type="pct"/>
                  <w:shd w:val="clear" w:color="000000" w:fill="FFFFFF"/>
                  <w:noWrap/>
                  <w:hideMark/>
                </w:tcPr>
                <w:p w14:paraId="336F0723" w14:textId="77777777" w:rsidR="00E45009" w:rsidRPr="0025292C" w:rsidRDefault="00E45009" w:rsidP="00E45009">
                  <w:pPr>
                    <w:pStyle w:val="NoSpacing"/>
                    <w:rPr>
                      <w:sz w:val="18"/>
                      <w:szCs w:val="22"/>
                      <w:lang w:val="en-GB"/>
                    </w:rPr>
                  </w:pPr>
                  <w:r w:rsidRPr="0025292C">
                    <w:rPr>
                      <w:sz w:val="18"/>
                      <w:szCs w:val="22"/>
                      <w:lang w:val="en-GB"/>
                    </w:rPr>
                    <w:t>0.58</w:t>
                  </w:r>
                </w:p>
              </w:tc>
              <w:tc>
                <w:tcPr>
                  <w:tcW w:w="125" w:type="pct"/>
                  <w:shd w:val="clear" w:color="000000" w:fill="FFFFFF"/>
                  <w:noWrap/>
                  <w:hideMark/>
                </w:tcPr>
                <w:p w14:paraId="45719265"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10A0DE0" w14:textId="77777777" w:rsidR="00E45009" w:rsidRPr="0025292C" w:rsidRDefault="00E45009" w:rsidP="00E45009">
                  <w:pPr>
                    <w:pStyle w:val="NoSpacing"/>
                    <w:rPr>
                      <w:sz w:val="18"/>
                      <w:szCs w:val="22"/>
                      <w:lang w:val="en-GB"/>
                    </w:rPr>
                  </w:pPr>
                  <w:r w:rsidRPr="0025292C">
                    <w:rPr>
                      <w:sz w:val="18"/>
                      <w:szCs w:val="22"/>
                      <w:lang w:val="en-GB"/>
                    </w:rPr>
                    <w:t>1.70</w:t>
                  </w:r>
                </w:p>
              </w:tc>
            </w:tr>
            <w:tr w:rsidR="00E45009" w:rsidRPr="0025292C" w14:paraId="5074B9F4" w14:textId="77777777" w:rsidTr="00DB32C0">
              <w:trPr>
                <w:trHeight w:val="255"/>
              </w:trPr>
              <w:tc>
                <w:tcPr>
                  <w:tcW w:w="267" w:type="pct"/>
                  <w:shd w:val="clear" w:color="000000" w:fill="FFFFFF"/>
                  <w:noWrap/>
                  <w:hideMark/>
                </w:tcPr>
                <w:p w14:paraId="7BF29EF0" w14:textId="77777777" w:rsidR="00E45009" w:rsidRPr="0025292C" w:rsidRDefault="00E45009" w:rsidP="00E45009">
                  <w:pPr>
                    <w:pStyle w:val="NoSpacing"/>
                    <w:rPr>
                      <w:sz w:val="18"/>
                      <w:szCs w:val="22"/>
                      <w:lang w:val="en-GB"/>
                    </w:rPr>
                  </w:pPr>
                  <w:r w:rsidRPr="0025292C">
                    <w:rPr>
                      <w:sz w:val="18"/>
                      <w:szCs w:val="22"/>
                      <w:lang w:val="en-GB"/>
                    </w:rPr>
                    <w:t>95</w:t>
                  </w:r>
                </w:p>
              </w:tc>
              <w:tc>
                <w:tcPr>
                  <w:tcW w:w="2195" w:type="pct"/>
                  <w:shd w:val="clear" w:color="000000" w:fill="FFFFFF"/>
                  <w:hideMark/>
                </w:tcPr>
                <w:p w14:paraId="25C85021" w14:textId="77777777" w:rsidR="00E45009" w:rsidRPr="0025292C" w:rsidRDefault="00E45009" w:rsidP="00E45009">
                  <w:pPr>
                    <w:pStyle w:val="NoSpacing"/>
                    <w:rPr>
                      <w:sz w:val="18"/>
                      <w:szCs w:val="22"/>
                      <w:lang w:val="en-GB"/>
                    </w:rPr>
                  </w:pPr>
                  <w:r w:rsidRPr="0025292C">
                    <w:rPr>
                      <w:sz w:val="18"/>
                      <w:szCs w:val="22"/>
                      <w:lang w:val="en-GB"/>
                    </w:rPr>
                    <w:t>Lack of compensatory guarantees accorded to lawful restrictions on the right to strike</w:t>
                  </w:r>
                </w:p>
              </w:tc>
              <w:tc>
                <w:tcPr>
                  <w:tcW w:w="125" w:type="pct"/>
                  <w:shd w:val="clear" w:color="000000" w:fill="FFFFFF"/>
                  <w:hideMark/>
                </w:tcPr>
                <w:p w14:paraId="10B6CE0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500B3D7C" w14:textId="77777777" w:rsidR="00E45009" w:rsidRPr="0025292C" w:rsidRDefault="00E45009" w:rsidP="00E45009">
                  <w:pPr>
                    <w:pStyle w:val="NoSpacing"/>
                    <w:rPr>
                      <w:sz w:val="18"/>
                      <w:szCs w:val="22"/>
                      <w:lang w:val="en-GB"/>
                    </w:rPr>
                  </w:pPr>
                  <w:r w:rsidRPr="0025292C">
                    <w:rPr>
                      <w:sz w:val="18"/>
                      <w:szCs w:val="22"/>
                      <w:lang w:val="en-GB"/>
                    </w:rPr>
                    <w:t>3.17</w:t>
                  </w:r>
                </w:p>
              </w:tc>
              <w:tc>
                <w:tcPr>
                  <w:tcW w:w="335" w:type="pct"/>
                  <w:shd w:val="clear" w:color="000000" w:fill="FFFFFF"/>
                  <w:noWrap/>
                  <w:hideMark/>
                </w:tcPr>
                <w:p w14:paraId="5A428E72" w14:textId="77777777" w:rsidR="00E45009" w:rsidRPr="0025292C" w:rsidRDefault="00E45009" w:rsidP="00E45009">
                  <w:pPr>
                    <w:pStyle w:val="NoSpacing"/>
                    <w:rPr>
                      <w:sz w:val="18"/>
                      <w:szCs w:val="22"/>
                      <w:lang w:val="en-GB"/>
                    </w:rPr>
                  </w:pPr>
                  <w:r w:rsidRPr="0025292C">
                    <w:rPr>
                      <w:sz w:val="18"/>
                      <w:szCs w:val="22"/>
                      <w:lang w:val="en-GB"/>
                    </w:rPr>
                    <w:t>0.90</w:t>
                  </w:r>
                </w:p>
              </w:tc>
              <w:tc>
                <w:tcPr>
                  <w:tcW w:w="125" w:type="pct"/>
                  <w:shd w:val="clear" w:color="000000" w:fill="FFFFFF"/>
                  <w:noWrap/>
                  <w:hideMark/>
                </w:tcPr>
                <w:p w14:paraId="465F816F"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8F546E1" w14:textId="77777777" w:rsidR="00E45009" w:rsidRPr="0025292C" w:rsidRDefault="00E45009" w:rsidP="00E45009">
                  <w:pPr>
                    <w:pStyle w:val="NoSpacing"/>
                    <w:rPr>
                      <w:sz w:val="18"/>
                      <w:szCs w:val="22"/>
                      <w:lang w:val="en-GB"/>
                    </w:rPr>
                  </w:pPr>
                  <w:r w:rsidRPr="0025292C">
                    <w:rPr>
                      <w:sz w:val="18"/>
                      <w:szCs w:val="22"/>
                      <w:lang w:val="en-GB"/>
                    </w:rPr>
                    <w:t>3.36</w:t>
                  </w:r>
                </w:p>
              </w:tc>
              <w:tc>
                <w:tcPr>
                  <w:tcW w:w="333" w:type="pct"/>
                  <w:shd w:val="clear" w:color="000000" w:fill="FFFFFF"/>
                  <w:noWrap/>
                  <w:hideMark/>
                </w:tcPr>
                <w:p w14:paraId="54AD117C" w14:textId="77777777" w:rsidR="00E45009" w:rsidRPr="0025292C" w:rsidRDefault="00E45009" w:rsidP="00E45009">
                  <w:pPr>
                    <w:pStyle w:val="NoSpacing"/>
                    <w:rPr>
                      <w:sz w:val="18"/>
                      <w:szCs w:val="22"/>
                      <w:lang w:val="en-GB"/>
                    </w:rPr>
                  </w:pPr>
                  <w:r w:rsidRPr="0025292C">
                    <w:rPr>
                      <w:sz w:val="18"/>
                      <w:szCs w:val="22"/>
                      <w:lang w:val="en-GB"/>
                    </w:rPr>
                    <w:t>0.74</w:t>
                  </w:r>
                </w:p>
              </w:tc>
              <w:tc>
                <w:tcPr>
                  <w:tcW w:w="125" w:type="pct"/>
                  <w:shd w:val="clear" w:color="000000" w:fill="FFFFFF"/>
                  <w:noWrap/>
                  <w:hideMark/>
                </w:tcPr>
                <w:p w14:paraId="0E84A38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118257F3" w14:textId="77777777" w:rsidR="00E45009" w:rsidRPr="0025292C" w:rsidRDefault="00E45009" w:rsidP="00E45009">
                  <w:pPr>
                    <w:pStyle w:val="NoSpacing"/>
                    <w:rPr>
                      <w:sz w:val="18"/>
                      <w:szCs w:val="22"/>
                      <w:lang w:val="en-GB"/>
                    </w:rPr>
                  </w:pPr>
                  <w:r w:rsidRPr="0025292C">
                    <w:rPr>
                      <w:sz w:val="18"/>
                      <w:szCs w:val="22"/>
                      <w:lang w:val="en-GB"/>
                    </w:rPr>
                    <w:t>1.59</w:t>
                  </w:r>
                </w:p>
              </w:tc>
            </w:tr>
            <w:tr w:rsidR="00E45009" w:rsidRPr="0025292C" w14:paraId="16D5495D" w14:textId="77777777" w:rsidTr="00DB32C0">
              <w:trPr>
                <w:trHeight w:val="255"/>
              </w:trPr>
              <w:tc>
                <w:tcPr>
                  <w:tcW w:w="267" w:type="pct"/>
                  <w:shd w:val="clear" w:color="000000" w:fill="FFFFFF"/>
                  <w:noWrap/>
                  <w:hideMark/>
                </w:tcPr>
                <w:p w14:paraId="290E93B8" w14:textId="77777777" w:rsidR="00E45009" w:rsidRPr="0025292C" w:rsidRDefault="00E45009" w:rsidP="00E45009">
                  <w:pPr>
                    <w:pStyle w:val="NoSpacing"/>
                    <w:rPr>
                      <w:sz w:val="18"/>
                      <w:szCs w:val="22"/>
                      <w:lang w:val="en-GB"/>
                    </w:rPr>
                  </w:pPr>
                  <w:r w:rsidRPr="0025292C">
                    <w:rPr>
                      <w:sz w:val="18"/>
                      <w:szCs w:val="22"/>
                      <w:lang w:val="en-GB"/>
                    </w:rPr>
                    <w:t>96</w:t>
                  </w:r>
                </w:p>
              </w:tc>
              <w:tc>
                <w:tcPr>
                  <w:tcW w:w="2195" w:type="pct"/>
                  <w:shd w:val="clear" w:color="000000" w:fill="FFFFFF"/>
                  <w:hideMark/>
                </w:tcPr>
                <w:p w14:paraId="2F45B7A9" w14:textId="77777777" w:rsidR="00E45009" w:rsidRPr="0025292C" w:rsidRDefault="00E45009" w:rsidP="00E45009">
                  <w:pPr>
                    <w:pStyle w:val="NoSpacing"/>
                    <w:rPr>
                      <w:sz w:val="18"/>
                      <w:szCs w:val="22"/>
                      <w:lang w:val="en-GB"/>
                    </w:rPr>
                  </w:pPr>
                  <w:r w:rsidRPr="0025292C">
                    <w:rPr>
                      <w:sz w:val="18"/>
                      <w:szCs w:val="22"/>
                      <w:lang w:val="en-GB"/>
                    </w:rPr>
                    <w:t>Infringements of the determination of minimum services</w:t>
                  </w:r>
                </w:p>
              </w:tc>
              <w:tc>
                <w:tcPr>
                  <w:tcW w:w="125" w:type="pct"/>
                  <w:shd w:val="clear" w:color="000000" w:fill="FFFFFF"/>
                  <w:hideMark/>
                </w:tcPr>
                <w:p w14:paraId="20A3A29E"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0A2412B" w14:textId="77777777" w:rsidR="00E45009" w:rsidRPr="0025292C" w:rsidRDefault="00E45009" w:rsidP="00E45009">
                  <w:pPr>
                    <w:pStyle w:val="NoSpacing"/>
                    <w:rPr>
                      <w:sz w:val="18"/>
                      <w:szCs w:val="22"/>
                      <w:lang w:val="en-GB"/>
                    </w:rPr>
                  </w:pPr>
                  <w:r w:rsidRPr="0025292C">
                    <w:rPr>
                      <w:sz w:val="18"/>
                      <w:szCs w:val="22"/>
                      <w:lang w:val="en-GB"/>
                    </w:rPr>
                    <w:t>3.08</w:t>
                  </w:r>
                </w:p>
              </w:tc>
              <w:tc>
                <w:tcPr>
                  <w:tcW w:w="335" w:type="pct"/>
                  <w:shd w:val="clear" w:color="000000" w:fill="FFFFFF"/>
                  <w:noWrap/>
                  <w:hideMark/>
                </w:tcPr>
                <w:p w14:paraId="2BAAEA2F" w14:textId="77777777" w:rsidR="00E45009" w:rsidRPr="0025292C" w:rsidRDefault="00E45009" w:rsidP="00E45009">
                  <w:pPr>
                    <w:pStyle w:val="NoSpacing"/>
                    <w:rPr>
                      <w:sz w:val="18"/>
                      <w:szCs w:val="22"/>
                      <w:lang w:val="en-GB"/>
                    </w:rPr>
                  </w:pPr>
                  <w:r w:rsidRPr="0025292C">
                    <w:rPr>
                      <w:sz w:val="18"/>
                      <w:szCs w:val="22"/>
                      <w:lang w:val="en-GB"/>
                    </w:rPr>
                    <w:t>0.73</w:t>
                  </w:r>
                </w:p>
              </w:tc>
              <w:tc>
                <w:tcPr>
                  <w:tcW w:w="125" w:type="pct"/>
                  <w:shd w:val="clear" w:color="000000" w:fill="FFFFFF"/>
                  <w:noWrap/>
                  <w:hideMark/>
                </w:tcPr>
                <w:p w14:paraId="56E6E590"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301B301" w14:textId="77777777" w:rsidR="00E45009" w:rsidRPr="0025292C" w:rsidRDefault="00E45009" w:rsidP="00E45009">
                  <w:pPr>
                    <w:pStyle w:val="NoSpacing"/>
                    <w:rPr>
                      <w:sz w:val="18"/>
                      <w:szCs w:val="22"/>
                      <w:lang w:val="en-GB"/>
                    </w:rPr>
                  </w:pPr>
                  <w:r w:rsidRPr="0025292C">
                    <w:rPr>
                      <w:sz w:val="18"/>
                      <w:szCs w:val="22"/>
                      <w:lang w:val="en-GB"/>
                    </w:rPr>
                    <w:t>3.07</w:t>
                  </w:r>
                </w:p>
              </w:tc>
              <w:tc>
                <w:tcPr>
                  <w:tcW w:w="333" w:type="pct"/>
                  <w:shd w:val="clear" w:color="000000" w:fill="FFFFFF"/>
                  <w:noWrap/>
                  <w:hideMark/>
                </w:tcPr>
                <w:p w14:paraId="233D2A92"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7C96EA9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4B2B4F7" w14:textId="77777777" w:rsidR="00E45009" w:rsidRPr="0025292C" w:rsidRDefault="00E45009" w:rsidP="00E45009">
                  <w:pPr>
                    <w:pStyle w:val="NoSpacing"/>
                    <w:rPr>
                      <w:sz w:val="18"/>
                      <w:szCs w:val="22"/>
                      <w:lang w:val="en-GB"/>
                    </w:rPr>
                  </w:pPr>
                  <w:r w:rsidRPr="0025292C">
                    <w:rPr>
                      <w:sz w:val="18"/>
                      <w:szCs w:val="22"/>
                      <w:lang w:val="en-GB"/>
                    </w:rPr>
                    <w:t>1.52</w:t>
                  </w:r>
                </w:p>
              </w:tc>
            </w:tr>
            <w:tr w:rsidR="00E45009" w:rsidRPr="0025292C" w14:paraId="5A659243" w14:textId="77777777" w:rsidTr="00DB32C0">
              <w:trPr>
                <w:trHeight w:val="255"/>
              </w:trPr>
              <w:tc>
                <w:tcPr>
                  <w:tcW w:w="267" w:type="pct"/>
                  <w:shd w:val="clear" w:color="000000" w:fill="FFFFFF"/>
                  <w:noWrap/>
                  <w:hideMark/>
                </w:tcPr>
                <w:p w14:paraId="0F6C4244" w14:textId="77777777" w:rsidR="00E45009" w:rsidRPr="0025292C" w:rsidRDefault="00E45009" w:rsidP="00E45009">
                  <w:pPr>
                    <w:pStyle w:val="NoSpacing"/>
                    <w:rPr>
                      <w:sz w:val="18"/>
                      <w:szCs w:val="22"/>
                      <w:lang w:val="en-GB"/>
                    </w:rPr>
                  </w:pPr>
                  <w:r w:rsidRPr="0025292C">
                    <w:rPr>
                      <w:sz w:val="18"/>
                      <w:szCs w:val="22"/>
                      <w:lang w:val="en-GB"/>
                    </w:rPr>
                    <w:t>97</w:t>
                  </w:r>
                </w:p>
              </w:tc>
              <w:tc>
                <w:tcPr>
                  <w:tcW w:w="2195" w:type="pct"/>
                  <w:shd w:val="clear" w:color="000000" w:fill="FFFFFF"/>
                  <w:hideMark/>
                </w:tcPr>
                <w:p w14:paraId="4736D723" w14:textId="77777777" w:rsidR="00E45009" w:rsidRPr="0025292C" w:rsidRDefault="00E45009" w:rsidP="00E45009">
                  <w:pPr>
                    <w:pStyle w:val="NoSpacing"/>
                    <w:rPr>
                      <w:sz w:val="18"/>
                      <w:szCs w:val="22"/>
                      <w:lang w:val="en-GB"/>
                    </w:rPr>
                  </w:pPr>
                  <w:r w:rsidRPr="0025292C">
                    <w:rPr>
                      <w:sz w:val="18"/>
                      <w:szCs w:val="22"/>
                      <w:lang w:val="en-GB"/>
                    </w:rPr>
                    <w:t>Compulsory arbitration accorded to strikes</w:t>
                  </w:r>
                </w:p>
              </w:tc>
              <w:tc>
                <w:tcPr>
                  <w:tcW w:w="125" w:type="pct"/>
                  <w:shd w:val="clear" w:color="000000" w:fill="FFFFFF"/>
                  <w:hideMark/>
                </w:tcPr>
                <w:p w14:paraId="1DE8288B"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E681344"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29B80F71"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15351FB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320E9C21" w14:textId="77777777" w:rsidR="00E45009" w:rsidRPr="0025292C" w:rsidRDefault="00E45009" w:rsidP="00E45009">
                  <w:pPr>
                    <w:pStyle w:val="NoSpacing"/>
                    <w:rPr>
                      <w:sz w:val="18"/>
                      <w:szCs w:val="22"/>
                      <w:lang w:val="en-GB"/>
                    </w:rPr>
                  </w:pPr>
                  <w:r w:rsidRPr="0025292C">
                    <w:rPr>
                      <w:sz w:val="18"/>
                      <w:szCs w:val="22"/>
                      <w:lang w:val="en-GB"/>
                    </w:rPr>
                    <w:t>3.43</w:t>
                  </w:r>
                </w:p>
              </w:tc>
              <w:tc>
                <w:tcPr>
                  <w:tcW w:w="333" w:type="pct"/>
                  <w:shd w:val="clear" w:color="000000" w:fill="FFFFFF"/>
                  <w:noWrap/>
                  <w:hideMark/>
                </w:tcPr>
                <w:p w14:paraId="75885FFF" w14:textId="77777777" w:rsidR="00E45009" w:rsidRPr="0025292C" w:rsidRDefault="00E45009" w:rsidP="00E45009">
                  <w:pPr>
                    <w:pStyle w:val="NoSpacing"/>
                    <w:rPr>
                      <w:sz w:val="18"/>
                      <w:szCs w:val="22"/>
                      <w:lang w:val="en-GB"/>
                    </w:rPr>
                  </w:pPr>
                  <w:r w:rsidRPr="0025292C">
                    <w:rPr>
                      <w:sz w:val="18"/>
                      <w:szCs w:val="22"/>
                      <w:lang w:val="en-GB"/>
                    </w:rPr>
                    <w:t>0.65</w:t>
                  </w:r>
                </w:p>
              </w:tc>
              <w:tc>
                <w:tcPr>
                  <w:tcW w:w="125" w:type="pct"/>
                  <w:shd w:val="clear" w:color="000000" w:fill="FFFFFF"/>
                  <w:noWrap/>
                  <w:hideMark/>
                </w:tcPr>
                <w:p w14:paraId="0BD7BAD1"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6E269D18" w14:textId="77777777" w:rsidR="00E45009" w:rsidRPr="0025292C" w:rsidRDefault="00E45009" w:rsidP="00E45009">
                  <w:pPr>
                    <w:pStyle w:val="NoSpacing"/>
                    <w:rPr>
                      <w:sz w:val="18"/>
                      <w:szCs w:val="22"/>
                      <w:lang w:val="en-GB"/>
                    </w:rPr>
                  </w:pPr>
                  <w:r w:rsidRPr="0025292C">
                    <w:rPr>
                      <w:sz w:val="18"/>
                      <w:szCs w:val="22"/>
                      <w:lang w:val="en-GB"/>
                    </w:rPr>
                    <w:t>1.61</w:t>
                  </w:r>
                </w:p>
              </w:tc>
            </w:tr>
            <w:tr w:rsidR="00E45009" w:rsidRPr="0025292C" w14:paraId="5CAC0D29" w14:textId="77777777" w:rsidTr="00DB32C0">
              <w:trPr>
                <w:trHeight w:val="255"/>
              </w:trPr>
              <w:tc>
                <w:tcPr>
                  <w:tcW w:w="267" w:type="pct"/>
                  <w:shd w:val="clear" w:color="000000" w:fill="FFFFFF"/>
                  <w:noWrap/>
                  <w:hideMark/>
                </w:tcPr>
                <w:p w14:paraId="05A8E797" w14:textId="77777777" w:rsidR="00E45009" w:rsidRPr="0025292C" w:rsidRDefault="00E45009" w:rsidP="00E45009">
                  <w:pPr>
                    <w:pStyle w:val="NoSpacing"/>
                    <w:rPr>
                      <w:sz w:val="18"/>
                      <w:szCs w:val="22"/>
                      <w:lang w:val="en-GB"/>
                    </w:rPr>
                  </w:pPr>
                  <w:r w:rsidRPr="0025292C">
                    <w:rPr>
                      <w:sz w:val="18"/>
                      <w:szCs w:val="22"/>
                      <w:lang w:val="en-GB"/>
                    </w:rPr>
                    <w:t>98</w:t>
                  </w:r>
                </w:p>
              </w:tc>
              <w:tc>
                <w:tcPr>
                  <w:tcW w:w="2195" w:type="pct"/>
                  <w:shd w:val="clear" w:color="000000" w:fill="FFFFFF"/>
                  <w:hideMark/>
                </w:tcPr>
                <w:p w14:paraId="3BC937C4" w14:textId="77777777" w:rsidR="00E45009" w:rsidRPr="0025292C" w:rsidRDefault="00E45009" w:rsidP="00E45009">
                  <w:pPr>
                    <w:pStyle w:val="NoSpacing"/>
                    <w:rPr>
                      <w:sz w:val="18"/>
                      <w:szCs w:val="22"/>
                      <w:lang w:val="en-GB"/>
                    </w:rPr>
                  </w:pPr>
                  <w:r w:rsidRPr="0025292C">
                    <w:rPr>
                      <w:sz w:val="18"/>
                      <w:szCs w:val="22"/>
                      <w:lang w:val="en-GB"/>
                    </w:rPr>
                    <w:t xml:space="preserve">Excessive prerequisites required for exercising the right to strike </w:t>
                  </w:r>
                </w:p>
              </w:tc>
              <w:tc>
                <w:tcPr>
                  <w:tcW w:w="125" w:type="pct"/>
                  <w:shd w:val="clear" w:color="000000" w:fill="FFFFFF"/>
                  <w:hideMark/>
                </w:tcPr>
                <w:p w14:paraId="316D1E9D"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23C40A8"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1C893BC9"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57C73DD3"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19B9D26" w14:textId="77777777" w:rsidR="00E45009" w:rsidRPr="0025292C" w:rsidRDefault="00E45009" w:rsidP="00E45009">
                  <w:pPr>
                    <w:pStyle w:val="NoSpacing"/>
                    <w:rPr>
                      <w:sz w:val="18"/>
                      <w:szCs w:val="22"/>
                      <w:lang w:val="en-GB"/>
                    </w:rPr>
                  </w:pPr>
                  <w:r w:rsidRPr="0025292C">
                    <w:rPr>
                      <w:sz w:val="18"/>
                      <w:szCs w:val="22"/>
                      <w:lang w:val="en-GB"/>
                    </w:rPr>
                    <w:t>3.71</w:t>
                  </w:r>
                </w:p>
              </w:tc>
              <w:tc>
                <w:tcPr>
                  <w:tcW w:w="333" w:type="pct"/>
                  <w:shd w:val="clear" w:color="000000" w:fill="FFFFFF"/>
                  <w:noWrap/>
                  <w:hideMark/>
                </w:tcPr>
                <w:p w14:paraId="19E877F3"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064E6126"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7F1A74E" w14:textId="77777777" w:rsidR="00E45009" w:rsidRPr="0025292C" w:rsidRDefault="00E45009" w:rsidP="00E45009">
                  <w:pPr>
                    <w:pStyle w:val="NoSpacing"/>
                    <w:rPr>
                      <w:sz w:val="18"/>
                      <w:szCs w:val="22"/>
                      <w:lang w:val="en-GB"/>
                    </w:rPr>
                  </w:pPr>
                  <w:r w:rsidRPr="0025292C">
                    <w:rPr>
                      <w:sz w:val="18"/>
                      <w:szCs w:val="22"/>
                      <w:lang w:val="en-GB"/>
                    </w:rPr>
                    <w:t>1.68</w:t>
                  </w:r>
                </w:p>
              </w:tc>
            </w:tr>
            <w:tr w:rsidR="00E45009" w:rsidRPr="0025292C" w14:paraId="1A1AEA70" w14:textId="77777777" w:rsidTr="00DB32C0">
              <w:trPr>
                <w:trHeight w:val="255"/>
              </w:trPr>
              <w:tc>
                <w:tcPr>
                  <w:tcW w:w="267" w:type="pct"/>
                  <w:shd w:val="clear" w:color="000000" w:fill="FFFFFF"/>
                  <w:noWrap/>
                  <w:hideMark/>
                </w:tcPr>
                <w:p w14:paraId="4F81D614" w14:textId="77777777" w:rsidR="00E45009" w:rsidRPr="0025292C" w:rsidRDefault="00E45009" w:rsidP="00E45009">
                  <w:pPr>
                    <w:pStyle w:val="NoSpacing"/>
                    <w:rPr>
                      <w:sz w:val="18"/>
                      <w:szCs w:val="22"/>
                      <w:lang w:val="en-GB"/>
                    </w:rPr>
                  </w:pPr>
                  <w:r w:rsidRPr="0025292C">
                    <w:rPr>
                      <w:sz w:val="18"/>
                      <w:szCs w:val="22"/>
                      <w:lang w:val="en-GB"/>
                    </w:rPr>
                    <w:t>99</w:t>
                  </w:r>
                </w:p>
              </w:tc>
              <w:tc>
                <w:tcPr>
                  <w:tcW w:w="2195" w:type="pct"/>
                  <w:shd w:val="clear" w:color="000000" w:fill="FFFFFF"/>
                  <w:hideMark/>
                </w:tcPr>
                <w:p w14:paraId="42FEA498" w14:textId="77777777" w:rsidR="00E45009" w:rsidRPr="0025292C" w:rsidRDefault="00E45009" w:rsidP="00E45009">
                  <w:pPr>
                    <w:pStyle w:val="NoSpacing"/>
                    <w:rPr>
                      <w:sz w:val="18"/>
                      <w:szCs w:val="22"/>
                      <w:lang w:val="en-GB"/>
                    </w:rPr>
                  </w:pPr>
                  <w:r w:rsidRPr="0025292C">
                    <w:rPr>
                      <w:sz w:val="18"/>
                      <w:szCs w:val="22"/>
                      <w:lang w:val="en-GB"/>
                    </w:rPr>
                    <w:t>Acts of interference during the course of strike action</w:t>
                  </w:r>
                </w:p>
              </w:tc>
              <w:tc>
                <w:tcPr>
                  <w:tcW w:w="125" w:type="pct"/>
                  <w:shd w:val="clear" w:color="000000" w:fill="FFFFFF"/>
                  <w:hideMark/>
                </w:tcPr>
                <w:p w14:paraId="3DFD2134"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32EF9465" w14:textId="77777777" w:rsidR="00E45009" w:rsidRPr="0025292C" w:rsidRDefault="00E45009" w:rsidP="00E45009">
                  <w:pPr>
                    <w:pStyle w:val="NoSpacing"/>
                    <w:rPr>
                      <w:sz w:val="18"/>
                      <w:szCs w:val="22"/>
                      <w:lang w:val="en-GB"/>
                    </w:rPr>
                  </w:pPr>
                  <w:r w:rsidRPr="0025292C">
                    <w:rPr>
                      <w:sz w:val="18"/>
                      <w:szCs w:val="22"/>
                      <w:lang w:val="en-GB"/>
                    </w:rPr>
                    <w:t>3.54</w:t>
                  </w:r>
                </w:p>
              </w:tc>
              <w:tc>
                <w:tcPr>
                  <w:tcW w:w="335" w:type="pct"/>
                  <w:shd w:val="clear" w:color="000000" w:fill="FFFFFF"/>
                  <w:noWrap/>
                  <w:hideMark/>
                </w:tcPr>
                <w:p w14:paraId="2C1CABA1" w14:textId="77777777" w:rsidR="00E45009" w:rsidRPr="0025292C" w:rsidRDefault="00E45009" w:rsidP="00E45009">
                  <w:pPr>
                    <w:pStyle w:val="NoSpacing"/>
                    <w:rPr>
                      <w:sz w:val="18"/>
                      <w:szCs w:val="22"/>
                      <w:lang w:val="en-GB"/>
                    </w:rPr>
                  </w:pPr>
                  <w:r w:rsidRPr="0025292C">
                    <w:rPr>
                      <w:sz w:val="18"/>
                      <w:szCs w:val="22"/>
                      <w:lang w:val="en-GB"/>
                    </w:rPr>
                    <w:t>0.94</w:t>
                  </w:r>
                </w:p>
              </w:tc>
              <w:tc>
                <w:tcPr>
                  <w:tcW w:w="125" w:type="pct"/>
                  <w:shd w:val="clear" w:color="000000" w:fill="FFFFFF"/>
                  <w:noWrap/>
                  <w:hideMark/>
                </w:tcPr>
                <w:p w14:paraId="62F0F72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146B829" w14:textId="77777777" w:rsidR="00E45009" w:rsidRPr="0025292C" w:rsidRDefault="00E45009" w:rsidP="00E45009">
                  <w:pPr>
                    <w:pStyle w:val="NoSpacing"/>
                    <w:rPr>
                      <w:sz w:val="18"/>
                      <w:szCs w:val="22"/>
                      <w:lang w:val="en-GB"/>
                    </w:rPr>
                  </w:pPr>
                  <w:r w:rsidRPr="0025292C">
                    <w:rPr>
                      <w:sz w:val="18"/>
                      <w:szCs w:val="22"/>
                      <w:lang w:val="en-GB"/>
                    </w:rPr>
                    <w:t>3.57</w:t>
                  </w:r>
                </w:p>
              </w:tc>
              <w:tc>
                <w:tcPr>
                  <w:tcW w:w="333" w:type="pct"/>
                  <w:shd w:val="clear" w:color="000000" w:fill="FFFFFF"/>
                  <w:noWrap/>
                  <w:hideMark/>
                </w:tcPr>
                <w:p w14:paraId="2113D5B0" w14:textId="77777777" w:rsidR="00E45009" w:rsidRPr="0025292C" w:rsidRDefault="00E45009" w:rsidP="00E45009">
                  <w:pPr>
                    <w:pStyle w:val="NoSpacing"/>
                    <w:rPr>
                      <w:sz w:val="18"/>
                      <w:szCs w:val="22"/>
                      <w:lang w:val="en-GB"/>
                    </w:rPr>
                  </w:pPr>
                  <w:r w:rsidRPr="0025292C">
                    <w:rPr>
                      <w:sz w:val="18"/>
                      <w:szCs w:val="22"/>
                      <w:lang w:val="en-GB"/>
                    </w:rPr>
                    <w:t>0.76</w:t>
                  </w:r>
                </w:p>
              </w:tc>
              <w:tc>
                <w:tcPr>
                  <w:tcW w:w="125" w:type="pct"/>
                  <w:shd w:val="clear" w:color="000000" w:fill="FFFFFF"/>
                  <w:noWrap/>
                  <w:hideMark/>
                </w:tcPr>
                <w:p w14:paraId="10F97DC8"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E5B2803" w14:textId="77777777" w:rsidR="00E45009" w:rsidRPr="0025292C" w:rsidRDefault="00E45009" w:rsidP="00E45009">
                  <w:pPr>
                    <w:pStyle w:val="NoSpacing"/>
                    <w:rPr>
                      <w:sz w:val="18"/>
                      <w:szCs w:val="22"/>
                      <w:lang w:val="en-GB"/>
                    </w:rPr>
                  </w:pPr>
                  <w:r w:rsidRPr="0025292C">
                    <w:rPr>
                      <w:sz w:val="18"/>
                      <w:szCs w:val="22"/>
                      <w:lang w:val="en-GB"/>
                    </w:rPr>
                    <w:t>1.64</w:t>
                  </w:r>
                </w:p>
              </w:tc>
            </w:tr>
            <w:tr w:rsidR="00E45009" w:rsidRPr="0025292C" w14:paraId="157589EB" w14:textId="77777777" w:rsidTr="00DB32C0">
              <w:trPr>
                <w:trHeight w:val="255"/>
              </w:trPr>
              <w:tc>
                <w:tcPr>
                  <w:tcW w:w="267" w:type="pct"/>
                  <w:shd w:val="clear" w:color="000000" w:fill="FFFFFF"/>
                  <w:noWrap/>
                  <w:hideMark/>
                </w:tcPr>
                <w:p w14:paraId="15A07B05" w14:textId="77777777" w:rsidR="00E45009" w:rsidRPr="0025292C" w:rsidRDefault="00E45009" w:rsidP="00E45009">
                  <w:pPr>
                    <w:pStyle w:val="NoSpacing"/>
                    <w:rPr>
                      <w:sz w:val="18"/>
                      <w:szCs w:val="22"/>
                      <w:lang w:val="en-GB"/>
                    </w:rPr>
                  </w:pPr>
                  <w:r w:rsidRPr="0025292C">
                    <w:rPr>
                      <w:sz w:val="18"/>
                      <w:szCs w:val="22"/>
                      <w:lang w:val="en-GB"/>
                    </w:rPr>
                    <w:t>100</w:t>
                  </w:r>
                </w:p>
              </w:tc>
              <w:tc>
                <w:tcPr>
                  <w:tcW w:w="2195" w:type="pct"/>
                  <w:shd w:val="clear" w:color="000000" w:fill="FFFFFF"/>
                  <w:hideMark/>
                </w:tcPr>
                <w:p w14:paraId="489C285C" w14:textId="77777777" w:rsidR="00E45009" w:rsidRPr="0025292C" w:rsidRDefault="00E45009" w:rsidP="00E45009">
                  <w:pPr>
                    <w:pStyle w:val="NoSpacing"/>
                    <w:rPr>
                      <w:sz w:val="18"/>
                      <w:szCs w:val="22"/>
                      <w:lang w:val="en-GB"/>
                    </w:rPr>
                  </w:pPr>
                  <w:r w:rsidRPr="0025292C">
                    <w:rPr>
                      <w:sz w:val="18"/>
                      <w:szCs w:val="22"/>
                      <w:lang w:val="en-GB"/>
                    </w:rPr>
                    <w:t>Imposing excessive sanctions in case of legitimate strikes</w:t>
                  </w:r>
                </w:p>
              </w:tc>
              <w:tc>
                <w:tcPr>
                  <w:tcW w:w="125" w:type="pct"/>
                  <w:shd w:val="clear" w:color="000000" w:fill="FFFFFF"/>
                  <w:hideMark/>
                </w:tcPr>
                <w:p w14:paraId="29C53E72"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0EF959E8" w14:textId="77777777" w:rsidR="00E45009" w:rsidRPr="0025292C" w:rsidRDefault="00E45009" w:rsidP="00E45009">
                  <w:pPr>
                    <w:pStyle w:val="NoSpacing"/>
                    <w:rPr>
                      <w:sz w:val="18"/>
                      <w:szCs w:val="22"/>
                      <w:lang w:val="en-GB"/>
                    </w:rPr>
                  </w:pPr>
                  <w:r w:rsidRPr="0025292C">
                    <w:rPr>
                      <w:sz w:val="18"/>
                      <w:szCs w:val="22"/>
                      <w:lang w:val="en-GB"/>
                    </w:rPr>
                    <w:t>4.08</w:t>
                  </w:r>
                </w:p>
              </w:tc>
              <w:tc>
                <w:tcPr>
                  <w:tcW w:w="335" w:type="pct"/>
                  <w:shd w:val="clear" w:color="000000" w:fill="FFFFFF"/>
                  <w:noWrap/>
                  <w:hideMark/>
                </w:tcPr>
                <w:p w14:paraId="0EFADF7E" w14:textId="77777777" w:rsidR="00E45009" w:rsidRPr="0025292C" w:rsidRDefault="00E45009" w:rsidP="00E45009">
                  <w:pPr>
                    <w:pStyle w:val="NoSpacing"/>
                    <w:rPr>
                      <w:sz w:val="18"/>
                      <w:szCs w:val="22"/>
                      <w:lang w:val="en-GB"/>
                    </w:rPr>
                  </w:pPr>
                  <w:r w:rsidRPr="0025292C">
                    <w:rPr>
                      <w:sz w:val="18"/>
                      <w:szCs w:val="22"/>
                      <w:lang w:val="en-GB"/>
                    </w:rPr>
                    <w:t>0.92</w:t>
                  </w:r>
                </w:p>
              </w:tc>
              <w:tc>
                <w:tcPr>
                  <w:tcW w:w="125" w:type="pct"/>
                  <w:shd w:val="clear" w:color="000000" w:fill="FFFFFF"/>
                  <w:noWrap/>
                  <w:hideMark/>
                </w:tcPr>
                <w:p w14:paraId="495C9FD1"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016BF3DD" w14:textId="77777777" w:rsidR="00E45009" w:rsidRPr="0025292C" w:rsidRDefault="00E45009" w:rsidP="00E45009">
                  <w:pPr>
                    <w:pStyle w:val="NoSpacing"/>
                    <w:rPr>
                      <w:sz w:val="18"/>
                      <w:szCs w:val="22"/>
                      <w:lang w:val="en-GB"/>
                    </w:rPr>
                  </w:pPr>
                  <w:r w:rsidRPr="0025292C">
                    <w:rPr>
                      <w:sz w:val="18"/>
                      <w:szCs w:val="22"/>
                      <w:lang w:val="en-GB"/>
                    </w:rPr>
                    <w:t>4.29</w:t>
                  </w:r>
                </w:p>
              </w:tc>
              <w:tc>
                <w:tcPr>
                  <w:tcW w:w="333" w:type="pct"/>
                  <w:shd w:val="clear" w:color="000000" w:fill="FFFFFF"/>
                  <w:noWrap/>
                  <w:hideMark/>
                </w:tcPr>
                <w:p w14:paraId="25771E15" w14:textId="77777777" w:rsidR="00E45009" w:rsidRPr="0025292C" w:rsidRDefault="00E45009" w:rsidP="00E45009">
                  <w:pPr>
                    <w:pStyle w:val="NoSpacing"/>
                    <w:rPr>
                      <w:sz w:val="18"/>
                      <w:szCs w:val="22"/>
                      <w:lang w:val="en-GB"/>
                    </w:rPr>
                  </w:pPr>
                  <w:r w:rsidRPr="0025292C">
                    <w:rPr>
                      <w:sz w:val="18"/>
                      <w:szCs w:val="22"/>
                      <w:lang w:val="en-GB"/>
                    </w:rPr>
                    <w:t>0.61</w:t>
                  </w:r>
                </w:p>
              </w:tc>
              <w:tc>
                <w:tcPr>
                  <w:tcW w:w="125" w:type="pct"/>
                  <w:shd w:val="clear" w:color="000000" w:fill="FFFFFF"/>
                  <w:noWrap/>
                  <w:hideMark/>
                </w:tcPr>
                <w:p w14:paraId="65C9D95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BA35EB9" w14:textId="77777777" w:rsidR="00E45009" w:rsidRPr="0025292C" w:rsidRDefault="00E45009" w:rsidP="00E45009">
                  <w:pPr>
                    <w:pStyle w:val="NoSpacing"/>
                    <w:rPr>
                      <w:sz w:val="18"/>
                      <w:szCs w:val="22"/>
                      <w:lang w:val="en-GB"/>
                    </w:rPr>
                  </w:pPr>
                  <w:r w:rsidRPr="0025292C">
                    <w:rPr>
                      <w:sz w:val="18"/>
                      <w:szCs w:val="22"/>
                      <w:lang w:val="en-GB"/>
                    </w:rPr>
                    <w:t>1.82</w:t>
                  </w:r>
                </w:p>
              </w:tc>
            </w:tr>
            <w:tr w:rsidR="00E45009" w:rsidRPr="0025292C" w14:paraId="2A86186D" w14:textId="77777777" w:rsidTr="00DB32C0">
              <w:trPr>
                <w:trHeight w:val="255"/>
              </w:trPr>
              <w:tc>
                <w:tcPr>
                  <w:tcW w:w="267" w:type="pct"/>
                  <w:shd w:val="clear" w:color="000000" w:fill="FFFFFF"/>
                  <w:noWrap/>
                  <w:hideMark/>
                </w:tcPr>
                <w:p w14:paraId="5938C460" w14:textId="77777777" w:rsidR="00E45009" w:rsidRPr="0025292C" w:rsidRDefault="00E45009" w:rsidP="00E45009">
                  <w:pPr>
                    <w:pStyle w:val="NoSpacing"/>
                    <w:rPr>
                      <w:sz w:val="18"/>
                      <w:szCs w:val="22"/>
                      <w:lang w:val="en-GB"/>
                    </w:rPr>
                  </w:pPr>
                  <w:r w:rsidRPr="0025292C">
                    <w:rPr>
                      <w:sz w:val="18"/>
                      <w:szCs w:val="22"/>
                      <w:lang w:val="en-GB"/>
                    </w:rPr>
                    <w:t>101</w:t>
                  </w:r>
                </w:p>
              </w:tc>
              <w:tc>
                <w:tcPr>
                  <w:tcW w:w="2195" w:type="pct"/>
                  <w:shd w:val="clear" w:color="000000" w:fill="FFFFFF"/>
                  <w:hideMark/>
                </w:tcPr>
                <w:p w14:paraId="71D28611" w14:textId="77777777" w:rsidR="00E45009" w:rsidRPr="0025292C" w:rsidRDefault="00E45009" w:rsidP="00E45009">
                  <w:pPr>
                    <w:pStyle w:val="NoSpacing"/>
                    <w:rPr>
                      <w:sz w:val="18"/>
                      <w:szCs w:val="22"/>
                      <w:lang w:val="en-GB"/>
                    </w:rPr>
                  </w:pPr>
                  <w:r w:rsidRPr="0025292C">
                    <w:rPr>
                      <w:sz w:val="18"/>
                      <w:szCs w:val="22"/>
                      <w:lang w:val="en-GB"/>
                    </w:rPr>
                    <w:t>Committed against trade union officials re violation no. 100</w:t>
                  </w:r>
                </w:p>
              </w:tc>
              <w:tc>
                <w:tcPr>
                  <w:tcW w:w="125" w:type="pct"/>
                  <w:shd w:val="clear" w:color="000000" w:fill="FFFFFF"/>
                  <w:hideMark/>
                </w:tcPr>
                <w:p w14:paraId="346E294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01330A7A" w14:textId="77777777" w:rsidR="00E45009" w:rsidRPr="0025292C" w:rsidRDefault="00E45009" w:rsidP="00E45009">
                  <w:pPr>
                    <w:pStyle w:val="NoSpacing"/>
                    <w:rPr>
                      <w:sz w:val="18"/>
                      <w:szCs w:val="22"/>
                      <w:lang w:val="en-GB"/>
                    </w:rPr>
                  </w:pPr>
                  <w:r w:rsidRPr="0025292C">
                    <w:rPr>
                      <w:sz w:val="18"/>
                      <w:szCs w:val="22"/>
                      <w:lang w:val="en-GB"/>
                    </w:rPr>
                    <w:t>4.08</w:t>
                  </w:r>
                </w:p>
              </w:tc>
              <w:tc>
                <w:tcPr>
                  <w:tcW w:w="335" w:type="pct"/>
                  <w:shd w:val="clear" w:color="000000" w:fill="FFFFFF"/>
                  <w:noWrap/>
                  <w:hideMark/>
                </w:tcPr>
                <w:p w14:paraId="1E2590D6" w14:textId="77777777" w:rsidR="00E45009" w:rsidRPr="0025292C" w:rsidRDefault="00E45009" w:rsidP="00E45009">
                  <w:pPr>
                    <w:pStyle w:val="NoSpacing"/>
                    <w:rPr>
                      <w:sz w:val="18"/>
                      <w:szCs w:val="22"/>
                      <w:lang w:val="en-GB"/>
                    </w:rPr>
                  </w:pPr>
                  <w:r w:rsidRPr="0025292C">
                    <w:rPr>
                      <w:sz w:val="18"/>
                      <w:szCs w:val="22"/>
                      <w:lang w:val="en-GB"/>
                    </w:rPr>
                    <w:t>0.92</w:t>
                  </w:r>
                </w:p>
              </w:tc>
              <w:tc>
                <w:tcPr>
                  <w:tcW w:w="125" w:type="pct"/>
                  <w:shd w:val="clear" w:color="000000" w:fill="FFFFFF"/>
                  <w:noWrap/>
                  <w:hideMark/>
                </w:tcPr>
                <w:p w14:paraId="22322328"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787B8A76" w14:textId="77777777" w:rsidR="00E45009" w:rsidRPr="0025292C" w:rsidRDefault="00E45009" w:rsidP="00E45009">
                  <w:pPr>
                    <w:pStyle w:val="NoSpacing"/>
                    <w:rPr>
                      <w:sz w:val="18"/>
                      <w:szCs w:val="22"/>
                      <w:lang w:val="en-GB"/>
                    </w:rPr>
                  </w:pPr>
                  <w:r w:rsidRPr="0025292C">
                    <w:rPr>
                      <w:sz w:val="18"/>
                      <w:szCs w:val="22"/>
                      <w:lang w:val="en-GB"/>
                    </w:rPr>
                    <w:t>4.21</w:t>
                  </w:r>
                </w:p>
              </w:tc>
              <w:tc>
                <w:tcPr>
                  <w:tcW w:w="333" w:type="pct"/>
                  <w:shd w:val="clear" w:color="000000" w:fill="FFFFFF"/>
                  <w:noWrap/>
                  <w:hideMark/>
                </w:tcPr>
                <w:p w14:paraId="367BB9A8" w14:textId="77777777" w:rsidR="00E45009" w:rsidRPr="0025292C" w:rsidRDefault="00E45009" w:rsidP="00E45009">
                  <w:pPr>
                    <w:pStyle w:val="NoSpacing"/>
                    <w:rPr>
                      <w:sz w:val="18"/>
                      <w:szCs w:val="22"/>
                      <w:lang w:val="en-GB"/>
                    </w:rPr>
                  </w:pPr>
                  <w:r w:rsidRPr="0025292C">
                    <w:rPr>
                      <w:sz w:val="18"/>
                      <w:szCs w:val="22"/>
                      <w:lang w:val="en-GB"/>
                    </w:rPr>
                    <w:t>0.70</w:t>
                  </w:r>
                </w:p>
              </w:tc>
              <w:tc>
                <w:tcPr>
                  <w:tcW w:w="125" w:type="pct"/>
                  <w:shd w:val="clear" w:color="000000" w:fill="FFFFFF"/>
                  <w:noWrap/>
                  <w:hideMark/>
                </w:tcPr>
                <w:p w14:paraId="438E29BD"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FE40AFB" w14:textId="77777777" w:rsidR="00E45009" w:rsidRPr="0025292C" w:rsidRDefault="00E45009" w:rsidP="00E45009">
                  <w:pPr>
                    <w:pStyle w:val="NoSpacing"/>
                    <w:rPr>
                      <w:sz w:val="18"/>
                      <w:szCs w:val="22"/>
                      <w:lang w:val="en-GB"/>
                    </w:rPr>
                  </w:pPr>
                  <w:r w:rsidRPr="0025292C">
                    <w:rPr>
                      <w:sz w:val="18"/>
                      <w:szCs w:val="22"/>
                      <w:lang w:val="en-GB"/>
                    </w:rPr>
                    <w:t>1.80</w:t>
                  </w:r>
                </w:p>
              </w:tc>
            </w:tr>
            <w:tr w:rsidR="00E45009" w:rsidRPr="0025292C" w14:paraId="32C3DE7B" w14:textId="77777777" w:rsidTr="00DB32C0">
              <w:trPr>
                <w:trHeight w:val="255"/>
              </w:trPr>
              <w:tc>
                <w:tcPr>
                  <w:tcW w:w="267" w:type="pct"/>
                  <w:shd w:val="clear" w:color="000000" w:fill="FFFFFF"/>
                  <w:noWrap/>
                  <w:hideMark/>
                </w:tcPr>
                <w:p w14:paraId="7563CDE2" w14:textId="77777777" w:rsidR="00E45009" w:rsidRPr="0025292C" w:rsidRDefault="00E45009" w:rsidP="00E45009">
                  <w:pPr>
                    <w:pStyle w:val="NoSpacing"/>
                    <w:rPr>
                      <w:sz w:val="18"/>
                      <w:szCs w:val="22"/>
                      <w:lang w:val="en-GB"/>
                    </w:rPr>
                  </w:pPr>
                  <w:r w:rsidRPr="0025292C">
                    <w:rPr>
                      <w:sz w:val="18"/>
                      <w:szCs w:val="22"/>
                      <w:lang w:val="en-GB"/>
                    </w:rPr>
                    <w:t>102</w:t>
                  </w:r>
                </w:p>
              </w:tc>
              <w:tc>
                <w:tcPr>
                  <w:tcW w:w="2195" w:type="pct"/>
                  <w:shd w:val="clear" w:color="000000" w:fill="FFFFFF"/>
                  <w:hideMark/>
                </w:tcPr>
                <w:p w14:paraId="10DE5176" w14:textId="77777777" w:rsidR="00E45009" w:rsidRPr="0025292C" w:rsidRDefault="00E45009" w:rsidP="00E45009">
                  <w:pPr>
                    <w:pStyle w:val="NoSpacing"/>
                    <w:rPr>
                      <w:sz w:val="18"/>
                      <w:szCs w:val="22"/>
                      <w:lang w:val="en-GB"/>
                    </w:rPr>
                  </w:pPr>
                  <w:r w:rsidRPr="0025292C">
                    <w:rPr>
                      <w:sz w:val="18"/>
                      <w:szCs w:val="22"/>
                      <w:lang w:val="en-GB"/>
                    </w:rPr>
                    <w:t>Lack of guarantee of due process and/or justice re violations nos. 91-101</w:t>
                  </w:r>
                </w:p>
              </w:tc>
              <w:tc>
                <w:tcPr>
                  <w:tcW w:w="125" w:type="pct"/>
                  <w:shd w:val="clear" w:color="000000" w:fill="FFFFFF"/>
                  <w:hideMark/>
                </w:tcPr>
                <w:p w14:paraId="3BE7E72C"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4A9C4B84" w14:textId="77777777" w:rsidR="00E45009" w:rsidRPr="0025292C" w:rsidRDefault="00E45009" w:rsidP="00E45009">
                  <w:pPr>
                    <w:pStyle w:val="NoSpacing"/>
                    <w:rPr>
                      <w:sz w:val="18"/>
                      <w:szCs w:val="22"/>
                      <w:lang w:val="en-GB"/>
                    </w:rPr>
                  </w:pPr>
                  <w:r w:rsidRPr="0025292C">
                    <w:rPr>
                      <w:sz w:val="18"/>
                      <w:szCs w:val="22"/>
                      <w:lang w:val="en-GB"/>
                    </w:rPr>
                    <w:t>3.93</w:t>
                  </w:r>
                </w:p>
              </w:tc>
              <w:tc>
                <w:tcPr>
                  <w:tcW w:w="335" w:type="pct"/>
                  <w:shd w:val="clear" w:color="000000" w:fill="FFFFFF"/>
                  <w:noWrap/>
                  <w:hideMark/>
                </w:tcPr>
                <w:p w14:paraId="6909DA32" w14:textId="77777777" w:rsidR="00E45009" w:rsidRPr="0025292C" w:rsidRDefault="00E45009" w:rsidP="00E45009">
                  <w:pPr>
                    <w:pStyle w:val="NoSpacing"/>
                    <w:rPr>
                      <w:sz w:val="18"/>
                      <w:szCs w:val="22"/>
                      <w:lang w:val="en-GB"/>
                    </w:rPr>
                  </w:pPr>
                  <w:r w:rsidRPr="0025292C">
                    <w:rPr>
                      <w:sz w:val="18"/>
                      <w:szCs w:val="22"/>
                      <w:lang w:val="en-GB"/>
                    </w:rPr>
                    <w:t>1.11</w:t>
                  </w:r>
                </w:p>
              </w:tc>
              <w:tc>
                <w:tcPr>
                  <w:tcW w:w="125" w:type="pct"/>
                  <w:shd w:val="clear" w:color="000000" w:fill="FFFFFF"/>
                  <w:noWrap/>
                  <w:hideMark/>
                </w:tcPr>
                <w:p w14:paraId="3A04A8CD"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5FCC84E1" w14:textId="77777777" w:rsidR="00E45009" w:rsidRPr="0025292C" w:rsidRDefault="00E45009" w:rsidP="00E45009">
                  <w:pPr>
                    <w:pStyle w:val="NoSpacing"/>
                    <w:rPr>
                      <w:sz w:val="18"/>
                      <w:szCs w:val="22"/>
                      <w:lang w:val="en-GB"/>
                    </w:rPr>
                  </w:pPr>
                  <w:r w:rsidRPr="0025292C">
                    <w:rPr>
                      <w:sz w:val="18"/>
                      <w:szCs w:val="22"/>
                      <w:lang w:val="en-GB"/>
                    </w:rPr>
                    <w:t>4.07</w:t>
                  </w:r>
                </w:p>
              </w:tc>
              <w:tc>
                <w:tcPr>
                  <w:tcW w:w="333" w:type="pct"/>
                  <w:shd w:val="clear" w:color="000000" w:fill="FFFFFF"/>
                  <w:noWrap/>
                  <w:hideMark/>
                </w:tcPr>
                <w:p w14:paraId="4412A5B9" w14:textId="77777777" w:rsidR="00E45009" w:rsidRPr="0025292C" w:rsidRDefault="00E45009" w:rsidP="00E45009">
                  <w:pPr>
                    <w:pStyle w:val="NoSpacing"/>
                    <w:rPr>
                      <w:sz w:val="18"/>
                      <w:szCs w:val="22"/>
                      <w:lang w:val="en-GB"/>
                    </w:rPr>
                  </w:pPr>
                  <w:r w:rsidRPr="0025292C">
                    <w:rPr>
                      <w:sz w:val="18"/>
                      <w:szCs w:val="22"/>
                      <w:lang w:val="en-GB"/>
                    </w:rPr>
                    <w:t>0.83</w:t>
                  </w:r>
                </w:p>
              </w:tc>
              <w:tc>
                <w:tcPr>
                  <w:tcW w:w="125" w:type="pct"/>
                  <w:shd w:val="clear" w:color="000000" w:fill="FFFFFF"/>
                  <w:noWrap/>
                  <w:hideMark/>
                </w:tcPr>
                <w:p w14:paraId="1A6C78F6"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4E69252C" w14:textId="77777777" w:rsidR="00E45009" w:rsidRPr="0025292C" w:rsidRDefault="00E45009" w:rsidP="00E45009">
                  <w:pPr>
                    <w:pStyle w:val="NoSpacing"/>
                    <w:rPr>
                      <w:sz w:val="18"/>
                      <w:szCs w:val="22"/>
                      <w:lang w:val="en-GB"/>
                    </w:rPr>
                  </w:pPr>
                  <w:r w:rsidRPr="0025292C">
                    <w:rPr>
                      <w:sz w:val="18"/>
                      <w:szCs w:val="22"/>
                      <w:lang w:val="en-GB"/>
                    </w:rPr>
                    <w:t>1.77</w:t>
                  </w:r>
                </w:p>
              </w:tc>
            </w:tr>
            <w:tr w:rsidR="00E45009" w:rsidRPr="0025292C" w14:paraId="2376EB40" w14:textId="77777777" w:rsidTr="00DB32C0">
              <w:trPr>
                <w:trHeight w:val="255"/>
              </w:trPr>
              <w:tc>
                <w:tcPr>
                  <w:tcW w:w="267" w:type="pct"/>
                  <w:shd w:val="clear" w:color="000000" w:fill="FFFFFF"/>
                  <w:noWrap/>
                  <w:hideMark/>
                </w:tcPr>
                <w:p w14:paraId="1F3AD1D4"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noWrap/>
                  <w:hideMark/>
                </w:tcPr>
                <w:p w14:paraId="2E906DE2"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75D455F5"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6DF2968E" w14:textId="77777777" w:rsidR="00E45009" w:rsidRPr="0025292C" w:rsidRDefault="00E45009" w:rsidP="00E45009">
                  <w:pPr>
                    <w:pStyle w:val="NoSpacing"/>
                    <w:rPr>
                      <w:sz w:val="18"/>
                      <w:szCs w:val="22"/>
                      <w:lang w:val="en-GB"/>
                    </w:rPr>
                  </w:pPr>
                  <w:r w:rsidRPr="0025292C">
                    <w:rPr>
                      <w:sz w:val="18"/>
                      <w:szCs w:val="22"/>
                      <w:lang w:val="en-GB"/>
                    </w:rPr>
                    <w:t> </w:t>
                  </w:r>
                </w:p>
              </w:tc>
              <w:tc>
                <w:tcPr>
                  <w:tcW w:w="335" w:type="pct"/>
                  <w:shd w:val="clear" w:color="000000" w:fill="FFFFFF"/>
                  <w:noWrap/>
                  <w:hideMark/>
                </w:tcPr>
                <w:p w14:paraId="0E86BDD9"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622DF5D6"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183D01F0" w14:textId="77777777" w:rsidR="00E45009" w:rsidRPr="0025292C" w:rsidRDefault="00E45009" w:rsidP="00E45009">
                  <w:pPr>
                    <w:pStyle w:val="NoSpacing"/>
                    <w:rPr>
                      <w:sz w:val="18"/>
                      <w:szCs w:val="22"/>
                      <w:lang w:val="en-GB"/>
                    </w:rPr>
                  </w:pPr>
                  <w:r w:rsidRPr="0025292C">
                    <w:rPr>
                      <w:sz w:val="18"/>
                      <w:szCs w:val="22"/>
                      <w:lang w:val="en-GB"/>
                    </w:rPr>
                    <w:t> </w:t>
                  </w:r>
                </w:p>
              </w:tc>
              <w:tc>
                <w:tcPr>
                  <w:tcW w:w="333" w:type="pct"/>
                  <w:shd w:val="clear" w:color="000000" w:fill="FFFFFF"/>
                  <w:noWrap/>
                  <w:hideMark/>
                </w:tcPr>
                <w:p w14:paraId="77801CF1" w14:textId="77777777" w:rsidR="00E45009" w:rsidRPr="0025292C" w:rsidRDefault="00E45009" w:rsidP="00E45009">
                  <w:pPr>
                    <w:pStyle w:val="NoSpacing"/>
                    <w:rPr>
                      <w:sz w:val="18"/>
                      <w:szCs w:val="22"/>
                      <w:lang w:val="en-GB"/>
                    </w:rPr>
                  </w:pPr>
                  <w:r w:rsidRPr="0025292C">
                    <w:rPr>
                      <w:sz w:val="18"/>
                      <w:szCs w:val="22"/>
                      <w:lang w:val="en-GB"/>
                    </w:rPr>
                    <w:t> </w:t>
                  </w:r>
                </w:p>
              </w:tc>
              <w:tc>
                <w:tcPr>
                  <w:tcW w:w="125" w:type="pct"/>
                  <w:shd w:val="clear" w:color="000000" w:fill="FFFFFF"/>
                  <w:noWrap/>
                  <w:hideMark/>
                </w:tcPr>
                <w:p w14:paraId="08E331B4"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0EF68C74" w14:textId="77777777" w:rsidR="00E45009" w:rsidRPr="0025292C" w:rsidRDefault="00E45009" w:rsidP="00E45009">
                  <w:pPr>
                    <w:pStyle w:val="NoSpacing"/>
                    <w:rPr>
                      <w:sz w:val="18"/>
                      <w:szCs w:val="22"/>
                      <w:lang w:val="en-GB"/>
                    </w:rPr>
                  </w:pPr>
                  <w:r w:rsidRPr="0025292C">
                    <w:rPr>
                      <w:sz w:val="18"/>
                      <w:szCs w:val="22"/>
                      <w:lang w:val="en-GB"/>
                    </w:rPr>
                    <w:t> </w:t>
                  </w:r>
                </w:p>
              </w:tc>
            </w:tr>
            <w:tr w:rsidR="00E45009" w:rsidRPr="0025292C" w14:paraId="22CB5939" w14:textId="77777777" w:rsidTr="00DB32C0">
              <w:trPr>
                <w:trHeight w:val="300"/>
              </w:trPr>
              <w:tc>
                <w:tcPr>
                  <w:tcW w:w="267" w:type="pct"/>
                  <w:shd w:val="clear" w:color="000000" w:fill="FFFFFF"/>
                  <w:noWrap/>
                  <w:hideMark/>
                </w:tcPr>
                <w:p w14:paraId="242BB711" w14:textId="77777777" w:rsidR="00E45009" w:rsidRPr="0025292C" w:rsidRDefault="00E45009" w:rsidP="00E45009">
                  <w:pPr>
                    <w:pStyle w:val="NoSpacing"/>
                    <w:rPr>
                      <w:sz w:val="18"/>
                      <w:szCs w:val="22"/>
                      <w:lang w:val="en-GB"/>
                    </w:rPr>
                  </w:pPr>
                  <w:r w:rsidRPr="0025292C">
                    <w:rPr>
                      <w:sz w:val="18"/>
                      <w:szCs w:val="22"/>
                      <w:lang w:val="en-GB"/>
                    </w:rPr>
                    <w:t> </w:t>
                  </w:r>
                </w:p>
              </w:tc>
              <w:tc>
                <w:tcPr>
                  <w:tcW w:w="2195" w:type="pct"/>
                  <w:shd w:val="clear" w:color="000000" w:fill="FFFFFF"/>
                  <w:noWrap/>
                  <w:hideMark/>
                </w:tcPr>
                <w:p w14:paraId="3C1ABF39" w14:textId="77777777" w:rsidR="00E45009" w:rsidRPr="0025292C" w:rsidRDefault="00E45009" w:rsidP="00E45009">
                  <w:pPr>
                    <w:pStyle w:val="NoSpacing"/>
                    <w:rPr>
                      <w:b/>
                      <w:bCs/>
                      <w:sz w:val="18"/>
                      <w:szCs w:val="22"/>
                      <w:lang w:val="en-GB"/>
                    </w:rPr>
                  </w:pPr>
                  <w:r w:rsidRPr="0025292C">
                    <w:rPr>
                      <w:b/>
                      <w:bCs/>
                      <w:sz w:val="18"/>
                      <w:szCs w:val="22"/>
                      <w:lang w:val="en-GB"/>
                    </w:rPr>
                    <w:t>Average</w:t>
                  </w:r>
                </w:p>
              </w:tc>
              <w:tc>
                <w:tcPr>
                  <w:tcW w:w="125" w:type="pct"/>
                  <w:shd w:val="clear" w:color="000000" w:fill="FFFFFF"/>
                  <w:noWrap/>
                  <w:hideMark/>
                </w:tcPr>
                <w:p w14:paraId="6926C273" w14:textId="77777777" w:rsidR="00E45009" w:rsidRPr="0025292C" w:rsidRDefault="00E45009" w:rsidP="00E45009">
                  <w:pPr>
                    <w:pStyle w:val="NoSpacing"/>
                    <w:rPr>
                      <w:sz w:val="18"/>
                      <w:szCs w:val="22"/>
                      <w:lang w:val="en-GB"/>
                    </w:rPr>
                  </w:pPr>
                  <w:r w:rsidRPr="0025292C">
                    <w:rPr>
                      <w:sz w:val="18"/>
                      <w:szCs w:val="22"/>
                      <w:lang w:val="en-GB"/>
                    </w:rPr>
                    <w:t> </w:t>
                  </w:r>
                </w:p>
              </w:tc>
              <w:tc>
                <w:tcPr>
                  <w:tcW w:w="483" w:type="pct"/>
                  <w:shd w:val="clear" w:color="000000" w:fill="FFFFFF"/>
                  <w:noWrap/>
                  <w:hideMark/>
                </w:tcPr>
                <w:p w14:paraId="0EFEA054" w14:textId="77777777" w:rsidR="00E45009" w:rsidRPr="0025292C" w:rsidRDefault="00E45009" w:rsidP="00E45009">
                  <w:pPr>
                    <w:pStyle w:val="NoSpacing"/>
                    <w:rPr>
                      <w:sz w:val="18"/>
                      <w:szCs w:val="22"/>
                      <w:lang w:val="en-GB"/>
                    </w:rPr>
                  </w:pPr>
                  <w:r w:rsidRPr="0025292C">
                    <w:rPr>
                      <w:sz w:val="18"/>
                      <w:szCs w:val="22"/>
                      <w:lang w:val="en-GB"/>
                    </w:rPr>
                    <w:t>3.90</w:t>
                  </w:r>
                </w:p>
              </w:tc>
              <w:tc>
                <w:tcPr>
                  <w:tcW w:w="335" w:type="pct"/>
                  <w:shd w:val="clear" w:color="000000" w:fill="FFFFFF"/>
                  <w:noWrap/>
                  <w:hideMark/>
                </w:tcPr>
                <w:p w14:paraId="5959753B" w14:textId="77777777" w:rsidR="00E45009" w:rsidRPr="0025292C" w:rsidRDefault="00E45009" w:rsidP="00E45009">
                  <w:pPr>
                    <w:pStyle w:val="NoSpacing"/>
                    <w:rPr>
                      <w:sz w:val="18"/>
                      <w:szCs w:val="22"/>
                      <w:lang w:val="en-GB"/>
                    </w:rPr>
                  </w:pPr>
                  <w:r w:rsidRPr="0025292C">
                    <w:rPr>
                      <w:sz w:val="18"/>
                      <w:szCs w:val="22"/>
                      <w:lang w:val="en-GB"/>
                    </w:rPr>
                    <w:t>0.85</w:t>
                  </w:r>
                </w:p>
              </w:tc>
              <w:tc>
                <w:tcPr>
                  <w:tcW w:w="125" w:type="pct"/>
                  <w:shd w:val="clear" w:color="000000" w:fill="FFFFFF"/>
                  <w:noWrap/>
                  <w:hideMark/>
                </w:tcPr>
                <w:p w14:paraId="57F3338C" w14:textId="77777777" w:rsidR="00E45009" w:rsidRPr="0025292C" w:rsidRDefault="00E45009" w:rsidP="00E45009">
                  <w:pPr>
                    <w:pStyle w:val="NoSpacing"/>
                    <w:rPr>
                      <w:sz w:val="18"/>
                      <w:szCs w:val="22"/>
                      <w:lang w:val="en-GB"/>
                    </w:rPr>
                  </w:pPr>
                  <w:r w:rsidRPr="0025292C">
                    <w:rPr>
                      <w:sz w:val="18"/>
                      <w:szCs w:val="22"/>
                      <w:lang w:val="en-GB"/>
                    </w:rPr>
                    <w:t> </w:t>
                  </w:r>
                </w:p>
              </w:tc>
              <w:tc>
                <w:tcPr>
                  <w:tcW w:w="475" w:type="pct"/>
                  <w:shd w:val="clear" w:color="000000" w:fill="FFFFFF"/>
                  <w:noWrap/>
                  <w:hideMark/>
                </w:tcPr>
                <w:p w14:paraId="280D56E8" w14:textId="77777777" w:rsidR="00E45009" w:rsidRPr="0025292C" w:rsidRDefault="00E45009" w:rsidP="00E45009">
                  <w:pPr>
                    <w:pStyle w:val="NoSpacing"/>
                    <w:rPr>
                      <w:sz w:val="18"/>
                      <w:szCs w:val="22"/>
                      <w:lang w:val="en-GB"/>
                    </w:rPr>
                  </w:pPr>
                  <w:r w:rsidRPr="0025292C">
                    <w:rPr>
                      <w:sz w:val="18"/>
                      <w:szCs w:val="22"/>
                      <w:lang w:val="en-GB"/>
                    </w:rPr>
                    <w:t>4.01</w:t>
                  </w:r>
                </w:p>
              </w:tc>
              <w:tc>
                <w:tcPr>
                  <w:tcW w:w="333" w:type="pct"/>
                  <w:shd w:val="clear" w:color="000000" w:fill="FFFFFF"/>
                  <w:noWrap/>
                  <w:hideMark/>
                </w:tcPr>
                <w:p w14:paraId="22CBBBFA" w14:textId="77777777" w:rsidR="00E45009" w:rsidRPr="0025292C" w:rsidRDefault="00E45009" w:rsidP="00E45009">
                  <w:pPr>
                    <w:pStyle w:val="NoSpacing"/>
                    <w:rPr>
                      <w:sz w:val="18"/>
                      <w:szCs w:val="22"/>
                      <w:lang w:val="en-GB"/>
                    </w:rPr>
                  </w:pPr>
                  <w:r w:rsidRPr="0025292C">
                    <w:rPr>
                      <w:sz w:val="18"/>
                      <w:szCs w:val="22"/>
                      <w:lang w:val="en-GB"/>
                    </w:rPr>
                    <w:t>0.62</w:t>
                  </w:r>
                </w:p>
              </w:tc>
              <w:tc>
                <w:tcPr>
                  <w:tcW w:w="125" w:type="pct"/>
                  <w:shd w:val="clear" w:color="000000" w:fill="FFFFFF"/>
                  <w:noWrap/>
                  <w:hideMark/>
                </w:tcPr>
                <w:p w14:paraId="7CF73A69" w14:textId="77777777" w:rsidR="00E45009" w:rsidRPr="0025292C" w:rsidRDefault="00E45009" w:rsidP="00E45009">
                  <w:pPr>
                    <w:pStyle w:val="NoSpacing"/>
                    <w:rPr>
                      <w:sz w:val="18"/>
                      <w:szCs w:val="22"/>
                      <w:lang w:val="en-GB"/>
                    </w:rPr>
                  </w:pPr>
                  <w:r w:rsidRPr="0025292C">
                    <w:rPr>
                      <w:sz w:val="18"/>
                      <w:szCs w:val="22"/>
                      <w:lang w:val="en-GB"/>
                    </w:rPr>
                    <w:t> </w:t>
                  </w:r>
                </w:p>
              </w:tc>
              <w:tc>
                <w:tcPr>
                  <w:tcW w:w="537" w:type="pct"/>
                  <w:shd w:val="clear" w:color="000000" w:fill="FFFFFF"/>
                  <w:noWrap/>
                  <w:hideMark/>
                </w:tcPr>
                <w:p w14:paraId="3388D11F" w14:textId="77777777" w:rsidR="00E45009" w:rsidRPr="0025292C" w:rsidRDefault="00E45009" w:rsidP="00E45009">
                  <w:pPr>
                    <w:pStyle w:val="NoSpacing"/>
                    <w:rPr>
                      <w:sz w:val="18"/>
                      <w:szCs w:val="22"/>
                      <w:lang w:val="en-GB"/>
                    </w:rPr>
                  </w:pPr>
                  <w:r w:rsidRPr="0025292C">
                    <w:rPr>
                      <w:sz w:val="18"/>
                      <w:szCs w:val="22"/>
                      <w:lang w:val="en-GB"/>
                    </w:rPr>
                    <w:t>1.75</w:t>
                  </w:r>
                </w:p>
              </w:tc>
            </w:tr>
          </w:tbl>
          <w:p w14:paraId="6E2A93B4" w14:textId="77777777" w:rsidR="00E45009" w:rsidRPr="00081C8E" w:rsidRDefault="00E45009" w:rsidP="00E45009">
            <w:pPr>
              <w:pStyle w:val="NoSpacing"/>
              <w:rPr>
                <w:b/>
                <w:lang w:val="en-GB"/>
              </w:rPr>
            </w:pPr>
          </w:p>
          <w:p w14:paraId="727162D7" w14:textId="77777777" w:rsidR="00E45009" w:rsidRPr="00081C8E" w:rsidRDefault="00E45009" w:rsidP="00E45009">
            <w:pPr>
              <w:pStyle w:val="NoSpacing"/>
              <w:rPr>
                <w:lang w:val="en-GB"/>
              </w:rPr>
            </w:pPr>
          </w:p>
          <w:p w14:paraId="02E9B517" w14:textId="77777777" w:rsidR="00E45009" w:rsidRPr="00081C8E" w:rsidRDefault="00E45009" w:rsidP="00E45009">
            <w:pPr>
              <w:pStyle w:val="NoSpacing"/>
              <w:rPr>
                <w:lang w:val="en-GB"/>
              </w:rPr>
            </w:pPr>
          </w:p>
          <w:tbl>
            <w:tblPr>
              <w:tblW w:w="9730" w:type="dxa"/>
              <w:tblBorders>
                <w:insideH w:val="single" w:sz="4" w:space="0" w:color="auto"/>
              </w:tblBorders>
              <w:tblCellMar>
                <w:left w:w="0" w:type="dxa"/>
                <w:right w:w="0" w:type="dxa"/>
              </w:tblCellMar>
              <w:tblLook w:val="04A0" w:firstRow="1" w:lastRow="0" w:firstColumn="1" w:lastColumn="0" w:noHBand="0" w:noVBand="1"/>
            </w:tblPr>
            <w:tblGrid>
              <w:gridCol w:w="166"/>
              <w:gridCol w:w="5188"/>
              <w:gridCol w:w="87"/>
              <w:gridCol w:w="663"/>
              <w:gridCol w:w="429"/>
              <w:gridCol w:w="87"/>
              <w:gridCol w:w="663"/>
              <w:gridCol w:w="429"/>
              <w:gridCol w:w="72"/>
              <w:gridCol w:w="773"/>
            </w:tblGrid>
            <w:tr w:rsidR="00E45009" w:rsidRPr="00081C8E" w14:paraId="345D8E6B" w14:textId="77777777" w:rsidTr="00DB32C0">
              <w:trPr>
                <w:trHeight w:val="375"/>
              </w:trPr>
              <w:tc>
                <w:tcPr>
                  <w:tcW w:w="9730" w:type="dxa"/>
                  <w:gridSpan w:val="10"/>
                  <w:tcBorders>
                    <w:top w:val="nil"/>
                    <w:bottom w:val="nil"/>
                  </w:tcBorders>
                  <w:shd w:val="clear" w:color="000000" w:fill="FFFFFF"/>
                  <w:noWrap/>
                  <w:tcMar>
                    <w:top w:w="15" w:type="dxa"/>
                    <w:left w:w="15" w:type="dxa"/>
                    <w:bottom w:w="0" w:type="dxa"/>
                    <w:right w:w="15" w:type="dxa"/>
                  </w:tcMar>
                  <w:hideMark/>
                </w:tcPr>
                <w:p w14:paraId="5AD4E4E2" w14:textId="77777777" w:rsidR="00E45009" w:rsidRPr="00081C8E" w:rsidRDefault="00E45009" w:rsidP="00E45009">
                  <w:pPr>
                    <w:pStyle w:val="NoSpacing"/>
                    <w:rPr>
                      <w:b/>
                      <w:bCs/>
                      <w:lang w:val="en-GB"/>
                    </w:rPr>
                  </w:pPr>
                  <w:r w:rsidRPr="00081C8E">
                    <w:rPr>
                      <w:b/>
                      <w:bCs/>
                      <w:lang w:val="en-GB"/>
                    </w:rPr>
                    <w:br w:type="page"/>
                  </w:r>
                  <w:r w:rsidRPr="00081C8E">
                    <w:rPr>
                      <w:b/>
                      <w:bCs/>
                      <w:lang w:val="en-GB"/>
                    </w:rPr>
                    <w:br w:type="page"/>
                    <w:t>Table 2: Evaluation Criteria, Delphi Method Results and Weights</w:t>
                  </w:r>
                </w:p>
              </w:tc>
            </w:tr>
            <w:tr w:rsidR="00E45009" w:rsidRPr="00081C8E" w14:paraId="78595889" w14:textId="77777777" w:rsidTr="00DB32C0">
              <w:trPr>
                <w:trHeight w:val="587"/>
              </w:trPr>
              <w:tc>
                <w:tcPr>
                  <w:tcW w:w="185" w:type="dxa"/>
                  <w:tcBorders>
                    <w:top w:val="nil"/>
                    <w:bottom w:val="nil"/>
                  </w:tcBorders>
                  <w:shd w:val="clear" w:color="000000" w:fill="FFFFFF"/>
                  <w:noWrap/>
                  <w:tcMar>
                    <w:top w:w="15" w:type="dxa"/>
                    <w:left w:w="15" w:type="dxa"/>
                    <w:bottom w:w="0" w:type="dxa"/>
                    <w:right w:w="15" w:type="dxa"/>
                  </w:tcMar>
                  <w:hideMark/>
                </w:tcPr>
                <w:p w14:paraId="042D60F6" w14:textId="77777777" w:rsidR="00E45009" w:rsidRPr="00081C8E" w:rsidRDefault="00E45009" w:rsidP="00E45009">
                  <w:pPr>
                    <w:pStyle w:val="NoSpacing"/>
                    <w:rPr>
                      <w:b/>
                      <w:bCs/>
                      <w:lang w:val="en-GB"/>
                    </w:rPr>
                  </w:pPr>
                  <w:r w:rsidRPr="00081C8E">
                    <w:rPr>
                      <w:b/>
                      <w:bCs/>
                      <w:lang w:val="en-GB"/>
                    </w:rPr>
                    <w:t> </w:t>
                  </w:r>
                </w:p>
              </w:tc>
              <w:tc>
                <w:tcPr>
                  <w:tcW w:w="5870" w:type="dxa"/>
                  <w:tcBorders>
                    <w:top w:val="nil"/>
                    <w:bottom w:val="nil"/>
                  </w:tcBorders>
                  <w:shd w:val="clear" w:color="000000" w:fill="FFFFFF"/>
                  <w:noWrap/>
                  <w:tcMar>
                    <w:top w:w="15" w:type="dxa"/>
                    <w:left w:w="15" w:type="dxa"/>
                    <w:bottom w:w="0" w:type="dxa"/>
                    <w:right w:w="15" w:type="dxa"/>
                  </w:tcMar>
                  <w:hideMark/>
                </w:tcPr>
                <w:p w14:paraId="5BED78C9" w14:textId="77777777" w:rsidR="00E45009" w:rsidRPr="00081C8E" w:rsidRDefault="00E45009" w:rsidP="00E45009">
                  <w:pPr>
                    <w:pStyle w:val="NoSpacing"/>
                    <w:rPr>
                      <w:b/>
                      <w:bCs/>
                      <w:lang w:val="en-GB"/>
                    </w:rPr>
                  </w:pPr>
                </w:p>
              </w:tc>
              <w:tc>
                <w:tcPr>
                  <w:tcW w:w="88" w:type="dxa"/>
                  <w:tcBorders>
                    <w:top w:val="nil"/>
                    <w:bottom w:val="nil"/>
                  </w:tcBorders>
                  <w:shd w:val="clear" w:color="000000" w:fill="FFFFFF"/>
                  <w:noWrap/>
                  <w:tcMar>
                    <w:top w:w="15" w:type="dxa"/>
                    <w:left w:w="15" w:type="dxa"/>
                    <w:bottom w:w="0" w:type="dxa"/>
                    <w:right w:w="15" w:type="dxa"/>
                  </w:tcMar>
                  <w:hideMark/>
                </w:tcPr>
                <w:p w14:paraId="403F926F" w14:textId="77777777" w:rsidR="00E45009" w:rsidRPr="00081C8E" w:rsidRDefault="00E45009" w:rsidP="00E45009">
                  <w:pPr>
                    <w:pStyle w:val="NoSpacing"/>
                    <w:rPr>
                      <w:b/>
                      <w:bCs/>
                      <w:lang w:val="en-GB"/>
                    </w:rPr>
                  </w:pPr>
                  <w:r w:rsidRPr="00081C8E">
                    <w:rPr>
                      <w:b/>
                      <w:bCs/>
                      <w:lang w:val="en-GB"/>
                    </w:rPr>
                    <w:t> </w:t>
                  </w:r>
                </w:p>
              </w:tc>
              <w:tc>
                <w:tcPr>
                  <w:tcW w:w="667" w:type="dxa"/>
                  <w:tcBorders>
                    <w:top w:val="nil"/>
                    <w:bottom w:val="nil"/>
                  </w:tcBorders>
                  <w:shd w:val="clear" w:color="000000" w:fill="FFFFFF"/>
                  <w:noWrap/>
                  <w:tcMar>
                    <w:top w:w="15" w:type="dxa"/>
                    <w:left w:w="15" w:type="dxa"/>
                    <w:bottom w:w="0" w:type="dxa"/>
                    <w:right w:w="15" w:type="dxa"/>
                  </w:tcMar>
                  <w:hideMark/>
                </w:tcPr>
                <w:p w14:paraId="61E176E0" w14:textId="77777777" w:rsidR="00E45009" w:rsidRPr="00081C8E" w:rsidRDefault="00E45009" w:rsidP="00E45009">
                  <w:pPr>
                    <w:pStyle w:val="NoSpacing"/>
                    <w:rPr>
                      <w:b/>
                      <w:bCs/>
                      <w:lang w:val="en-GB"/>
                    </w:rPr>
                  </w:pPr>
                  <w:r w:rsidRPr="00081C8E">
                    <w:rPr>
                      <w:b/>
                      <w:bCs/>
                      <w:lang w:val="en-GB"/>
                    </w:rPr>
                    <w:t> </w:t>
                  </w:r>
                </w:p>
              </w:tc>
              <w:tc>
                <w:tcPr>
                  <w:tcW w:w="427" w:type="dxa"/>
                  <w:tcBorders>
                    <w:top w:val="nil"/>
                    <w:bottom w:val="nil"/>
                  </w:tcBorders>
                  <w:shd w:val="clear" w:color="000000" w:fill="FFFFFF"/>
                  <w:noWrap/>
                  <w:tcMar>
                    <w:top w:w="15" w:type="dxa"/>
                    <w:left w:w="15" w:type="dxa"/>
                    <w:bottom w:w="0" w:type="dxa"/>
                    <w:right w:w="15" w:type="dxa"/>
                  </w:tcMar>
                  <w:hideMark/>
                </w:tcPr>
                <w:p w14:paraId="219A6550" w14:textId="77777777" w:rsidR="00E45009" w:rsidRPr="00081C8E" w:rsidRDefault="00E45009" w:rsidP="00E45009">
                  <w:pPr>
                    <w:pStyle w:val="NoSpacing"/>
                    <w:rPr>
                      <w:b/>
                      <w:bCs/>
                      <w:lang w:val="en-GB"/>
                    </w:rPr>
                  </w:pPr>
                  <w:r w:rsidRPr="00081C8E">
                    <w:rPr>
                      <w:b/>
                      <w:bCs/>
                      <w:lang w:val="en-GB"/>
                    </w:rPr>
                    <w:t> </w:t>
                  </w:r>
                </w:p>
              </w:tc>
              <w:tc>
                <w:tcPr>
                  <w:tcW w:w="88" w:type="dxa"/>
                  <w:tcBorders>
                    <w:top w:val="nil"/>
                    <w:bottom w:val="nil"/>
                  </w:tcBorders>
                  <w:shd w:val="clear" w:color="000000" w:fill="FFFFFF"/>
                  <w:noWrap/>
                  <w:tcMar>
                    <w:top w:w="15" w:type="dxa"/>
                    <w:left w:w="15" w:type="dxa"/>
                    <w:bottom w:w="0" w:type="dxa"/>
                    <w:right w:w="15" w:type="dxa"/>
                  </w:tcMar>
                  <w:hideMark/>
                </w:tcPr>
                <w:p w14:paraId="3B2D8428" w14:textId="77777777" w:rsidR="00E45009" w:rsidRPr="00081C8E" w:rsidRDefault="00E45009" w:rsidP="00E45009">
                  <w:pPr>
                    <w:pStyle w:val="NoSpacing"/>
                    <w:rPr>
                      <w:b/>
                      <w:bCs/>
                      <w:lang w:val="en-GB"/>
                    </w:rPr>
                  </w:pPr>
                  <w:r w:rsidRPr="00081C8E">
                    <w:rPr>
                      <w:b/>
                      <w:bCs/>
                      <w:lang w:val="en-GB"/>
                    </w:rPr>
                    <w:t> </w:t>
                  </w:r>
                </w:p>
              </w:tc>
              <w:tc>
                <w:tcPr>
                  <w:tcW w:w="667" w:type="dxa"/>
                  <w:tcBorders>
                    <w:top w:val="nil"/>
                    <w:bottom w:val="nil"/>
                  </w:tcBorders>
                  <w:shd w:val="clear" w:color="000000" w:fill="FFFFFF"/>
                  <w:noWrap/>
                  <w:tcMar>
                    <w:top w:w="15" w:type="dxa"/>
                    <w:left w:w="15" w:type="dxa"/>
                    <w:bottom w:w="0" w:type="dxa"/>
                    <w:right w:w="15" w:type="dxa"/>
                  </w:tcMar>
                  <w:hideMark/>
                </w:tcPr>
                <w:p w14:paraId="5C33C10E" w14:textId="77777777" w:rsidR="00E45009" w:rsidRPr="00081C8E" w:rsidRDefault="00E45009" w:rsidP="00E45009">
                  <w:pPr>
                    <w:pStyle w:val="NoSpacing"/>
                    <w:rPr>
                      <w:b/>
                      <w:bCs/>
                      <w:lang w:val="en-GB"/>
                    </w:rPr>
                  </w:pPr>
                  <w:r w:rsidRPr="00081C8E">
                    <w:rPr>
                      <w:b/>
                      <w:bCs/>
                      <w:lang w:val="en-GB"/>
                    </w:rPr>
                    <w:t> </w:t>
                  </w:r>
                </w:p>
              </w:tc>
              <w:tc>
                <w:tcPr>
                  <w:tcW w:w="427" w:type="dxa"/>
                  <w:tcBorders>
                    <w:top w:val="nil"/>
                    <w:bottom w:val="nil"/>
                  </w:tcBorders>
                  <w:shd w:val="clear" w:color="000000" w:fill="FFFFFF"/>
                  <w:noWrap/>
                  <w:tcMar>
                    <w:top w:w="15" w:type="dxa"/>
                    <w:left w:w="15" w:type="dxa"/>
                    <w:bottom w:w="0" w:type="dxa"/>
                    <w:right w:w="15" w:type="dxa"/>
                  </w:tcMar>
                  <w:hideMark/>
                </w:tcPr>
                <w:p w14:paraId="48821DB6" w14:textId="77777777" w:rsidR="00E45009" w:rsidRPr="00081C8E" w:rsidRDefault="00E45009" w:rsidP="00E45009">
                  <w:pPr>
                    <w:pStyle w:val="NoSpacing"/>
                    <w:rPr>
                      <w:b/>
                      <w:bCs/>
                      <w:lang w:val="en-GB"/>
                    </w:rPr>
                  </w:pPr>
                  <w:r w:rsidRPr="00081C8E">
                    <w:rPr>
                      <w:b/>
                      <w:bCs/>
                      <w:lang w:val="en-GB"/>
                    </w:rPr>
                    <w:t> </w:t>
                  </w:r>
                </w:p>
              </w:tc>
              <w:tc>
                <w:tcPr>
                  <w:tcW w:w="78" w:type="dxa"/>
                  <w:tcBorders>
                    <w:top w:val="nil"/>
                    <w:bottom w:val="nil"/>
                  </w:tcBorders>
                  <w:shd w:val="clear" w:color="000000" w:fill="FFFFFF"/>
                  <w:noWrap/>
                  <w:tcMar>
                    <w:top w:w="15" w:type="dxa"/>
                    <w:left w:w="15" w:type="dxa"/>
                    <w:bottom w:w="0" w:type="dxa"/>
                    <w:right w:w="15" w:type="dxa"/>
                  </w:tcMar>
                  <w:hideMark/>
                </w:tcPr>
                <w:p w14:paraId="42BAB0F9" w14:textId="77777777" w:rsidR="00E45009" w:rsidRPr="00081C8E" w:rsidRDefault="00E45009" w:rsidP="00E45009">
                  <w:pPr>
                    <w:pStyle w:val="NoSpacing"/>
                    <w:rPr>
                      <w:b/>
                      <w:bCs/>
                      <w:lang w:val="en-GB"/>
                    </w:rPr>
                  </w:pPr>
                  <w:r w:rsidRPr="00081C8E">
                    <w:rPr>
                      <w:b/>
                      <w:bCs/>
                      <w:lang w:val="en-GB"/>
                    </w:rPr>
                    <w:t> </w:t>
                  </w:r>
                </w:p>
              </w:tc>
              <w:tc>
                <w:tcPr>
                  <w:tcW w:w="613" w:type="dxa"/>
                  <w:tcBorders>
                    <w:top w:val="nil"/>
                    <w:bottom w:val="nil"/>
                  </w:tcBorders>
                  <w:shd w:val="clear" w:color="000000" w:fill="FFFFFF"/>
                  <w:noWrap/>
                  <w:tcMar>
                    <w:top w:w="15" w:type="dxa"/>
                    <w:left w:w="15" w:type="dxa"/>
                    <w:bottom w:w="0" w:type="dxa"/>
                    <w:right w:w="15" w:type="dxa"/>
                  </w:tcMar>
                  <w:hideMark/>
                </w:tcPr>
                <w:p w14:paraId="0F2422D7" w14:textId="77777777" w:rsidR="00E45009" w:rsidRPr="00081C8E" w:rsidRDefault="00E45009" w:rsidP="00E45009">
                  <w:pPr>
                    <w:pStyle w:val="NoSpacing"/>
                    <w:rPr>
                      <w:b/>
                      <w:bCs/>
                      <w:lang w:val="en-GB"/>
                    </w:rPr>
                  </w:pPr>
                  <w:r w:rsidRPr="00081C8E">
                    <w:rPr>
                      <w:b/>
                      <w:bCs/>
                      <w:lang w:val="en-GB"/>
                    </w:rPr>
                    <w:t> </w:t>
                  </w:r>
                </w:p>
              </w:tc>
            </w:tr>
            <w:tr w:rsidR="00E45009" w:rsidRPr="00081C8E" w14:paraId="64200614" w14:textId="77777777" w:rsidTr="00DB32C0">
              <w:trPr>
                <w:trHeight w:val="315"/>
              </w:trPr>
              <w:tc>
                <w:tcPr>
                  <w:tcW w:w="185" w:type="dxa"/>
                  <w:tcBorders>
                    <w:top w:val="nil"/>
                    <w:bottom w:val="nil"/>
                  </w:tcBorders>
                  <w:shd w:val="clear" w:color="000000" w:fill="FFFFFF"/>
                  <w:noWrap/>
                  <w:tcMar>
                    <w:top w:w="15" w:type="dxa"/>
                    <w:left w:w="15" w:type="dxa"/>
                    <w:bottom w:w="0" w:type="dxa"/>
                    <w:right w:w="15" w:type="dxa"/>
                  </w:tcMar>
                  <w:hideMark/>
                </w:tcPr>
                <w:p w14:paraId="16A67616" w14:textId="77777777" w:rsidR="00E45009" w:rsidRPr="00081C8E" w:rsidRDefault="00E45009" w:rsidP="00E45009">
                  <w:pPr>
                    <w:pStyle w:val="NoSpacing"/>
                    <w:rPr>
                      <w:lang w:val="en-GB"/>
                    </w:rPr>
                  </w:pPr>
                  <w:r w:rsidRPr="00081C8E">
                    <w:rPr>
                      <w:lang w:val="en-GB"/>
                    </w:rPr>
                    <w:t> </w:t>
                  </w:r>
                </w:p>
              </w:tc>
              <w:tc>
                <w:tcPr>
                  <w:tcW w:w="5870" w:type="dxa"/>
                  <w:tcBorders>
                    <w:top w:val="nil"/>
                    <w:bottom w:val="nil"/>
                  </w:tcBorders>
                  <w:shd w:val="clear" w:color="000000" w:fill="FFFFFF"/>
                  <w:noWrap/>
                  <w:tcMar>
                    <w:top w:w="15" w:type="dxa"/>
                    <w:left w:w="15" w:type="dxa"/>
                    <w:bottom w:w="0" w:type="dxa"/>
                    <w:right w:w="15" w:type="dxa"/>
                  </w:tcMar>
                  <w:hideMark/>
                </w:tcPr>
                <w:p w14:paraId="0B0CD647" w14:textId="77777777" w:rsidR="00E45009" w:rsidRPr="00081C8E" w:rsidRDefault="00E45009" w:rsidP="00E45009">
                  <w:pPr>
                    <w:pStyle w:val="NoSpacing"/>
                    <w:rPr>
                      <w:b/>
                      <w:bCs/>
                      <w:lang w:val="en-GB"/>
                    </w:rPr>
                  </w:pPr>
                  <w:r w:rsidRPr="00081C8E">
                    <w:rPr>
                      <w:b/>
                      <w:bCs/>
                      <w:lang w:val="en-GB"/>
                    </w:rPr>
                    <w:t> </w:t>
                  </w:r>
                </w:p>
              </w:tc>
              <w:tc>
                <w:tcPr>
                  <w:tcW w:w="88" w:type="dxa"/>
                  <w:tcBorders>
                    <w:top w:val="nil"/>
                    <w:bottom w:val="nil"/>
                  </w:tcBorders>
                  <w:shd w:val="clear" w:color="000000" w:fill="FFFFFF"/>
                  <w:noWrap/>
                  <w:tcMar>
                    <w:top w:w="15" w:type="dxa"/>
                    <w:left w:w="15" w:type="dxa"/>
                    <w:bottom w:w="0" w:type="dxa"/>
                    <w:right w:w="15" w:type="dxa"/>
                  </w:tcMar>
                  <w:hideMark/>
                </w:tcPr>
                <w:p w14:paraId="068522AF" w14:textId="77777777" w:rsidR="00E45009" w:rsidRPr="00081C8E" w:rsidRDefault="00E45009" w:rsidP="00E45009">
                  <w:pPr>
                    <w:pStyle w:val="NoSpacing"/>
                    <w:rPr>
                      <w:b/>
                      <w:bCs/>
                      <w:lang w:val="en-GB"/>
                    </w:rPr>
                  </w:pPr>
                  <w:r w:rsidRPr="00081C8E">
                    <w:rPr>
                      <w:b/>
                      <w:bCs/>
                      <w:lang w:val="en-GB"/>
                    </w:rPr>
                    <w:t> </w:t>
                  </w:r>
                </w:p>
              </w:tc>
              <w:tc>
                <w:tcPr>
                  <w:tcW w:w="2276" w:type="dxa"/>
                  <w:gridSpan w:val="5"/>
                  <w:tcBorders>
                    <w:top w:val="nil"/>
                    <w:bottom w:val="single" w:sz="4" w:space="0" w:color="auto"/>
                  </w:tcBorders>
                  <w:shd w:val="clear" w:color="000000" w:fill="FFFFFF"/>
                  <w:noWrap/>
                  <w:tcMar>
                    <w:top w:w="15" w:type="dxa"/>
                    <w:left w:w="15" w:type="dxa"/>
                    <w:bottom w:w="0" w:type="dxa"/>
                    <w:right w:w="15" w:type="dxa"/>
                  </w:tcMar>
                  <w:hideMark/>
                </w:tcPr>
                <w:p w14:paraId="3C905297" w14:textId="77777777" w:rsidR="00E45009" w:rsidRPr="00081C8E" w:rsidRDefault="00E45009" w:rsidP="00E45009">
                  <w:pPr>
                    <w:pStyle w:val="NoSpacing"/>
                    <w:rPr>
                      <w:b/>
                      <w:bCs/>
                      <w:lang w:val="en-GB"/>
                    </w:rPr>
                  </w:pPr>
                  <w:r w:rsidRPr="00081C8E">
                    <w:rPr>
                      <w:b/>
                      <w:bCs/>
                      <w:lang w:val="en-GB"/>
                    </w:rPr>
                    <w:tab/>
                    <w:t>Delphi method results</w:t>
                  </w:r>
                </w:p>
              </w:tc>
              <w:tc>
                <w:tcPr>
                  <w:tcW w:w="78" w:type="dxa"/>
                  <w:tcBorders>
                    <w:top w:val="nil"/>
                    <w:bottom w:val="nil"/>
                  </w:tcBorders>
                  <w:shd w:val="clear" w:color="000000" w:fill="FFFFFF"/>
                  <w:noWrap/>
                  <w:tcMar>
                    <w:top w:w="15" w:type="dxa"/>
                    <w:left w:w="15" w:type="dxa"/>
                    <w:bottom w:w="0" w:type="dxa"/>
                    <w:right w:w="15" w:type="dxa"/>
                  </w:tcMar>
                  <w:hideMark/>
                </w:tcPr>
                <w:p w14:paraId="07BD3B7B" w14:textId="77777777" w:rsidR="00E45009" w:rsidRPr="00081C8E" w:rsidRDefault="00E45009" w:rsidP="00E45009">
                  <w:pPr>
                    <w:pStyle w:val="NoSpacing"/>
                    <w:rPr>
                      <w:lang w:val="en-GB"/>
                    </w:rPr>
                  </w:pPr>
                  <w:r w:rsidRPr="00081C8E">
                    <w:rPr>
                      <w:lang w:val="en-GB"/>
                    </w:rPr>
                    <w:t> </w:t>
                  </w:r>
                </w:p>
              </w:tc>
              <w:tc>
                <w:tcPr>
                  <w:tcW w:w="613" w:type="dxa"/>
                  <w:tcBorders>
                    <w:top w:val="nil"/>
                    <w:bottom w:val="nil"/>
                  </w:tcBorders>
                  <w:shd w:val="clear" w:color="000000" w:fill="FFFFFF"/>
                  <w:noWrap/>
                  <w:tcMar>
                    <w:top w:w="15" w:type="dxa"/>
                    <w:left w:w="15" w:type="dxa"/>
                    <w:bottom w:w="0" w:type="dxa"/>
                    <w:right w:w="15" w:type="dxa"/>
                  </w:tcMar>
                  <w:hideMark/>
                </w:tcPr>
                <w:p w14:paraId="019FA23F" w14:textId="77777777" w:rsidR="00E45009" w:rsidRPr="00081C8E" w:rsidRDefault="00E45009" w:rsidP="00E45009">
                  <w:pPr>
                    <w:pStyle w:val="NoSpacing"/>
                    <w:rPr>
                      <w:lang w:val="en-GB"/>
                    </w:rPr>
                  </w:pPr>
                  <w:r w:rsidRPr="00081C8E">
                    <w:rPr>
                      <w:lang w:val="en-GB"/>
                    </w:rPr>
                    <w:t> </w:t>
                  </w:r>
                </w:p>
              </w:tc>
            </w:tr>
            <w:tr w:rsidR="00E45009" w:rsidRPr="00081C8E" w14:paraId="01C25AE0" w14:textId="77777777" w:rsidTr="00DB32C0">
              <w:trPr>
                <w:trHeight w:val="315"/>
              </w:trPr>
              <w:tc>
                <w:tcPr>
                  <w:tcW w:w="185" w:type="dxa"/>
                  <w:tcBorders>
                    <w:top w:val="nil"/>
                    <w:bottom w:val="nil"/>
                  </w:tcBorders>
                  <w:shd w:val="clear" w:color="000000" w:fill="FFFFFF"/>
                  <w:noWrap/>
                  <w:tcMar>
                    <w:top w:w="15" w:type="dxa"/>
                    <w:left w:w="15" w:type="dxa"/>
                    <w:bottom w:w="0" w:type="dxa"/>
                    <w:right w:w="15" w:type="dxa"/>
                  </w:tcMar>
                  <w:hideMark/>
                </w:tcPr>
                <w:p w14:paraId="3B961A23" w14:textId="77777777" w:rsidR="00E45009" w:rsidRPr="00081C8E" w:rsidRDefault="00E45009" w:rsidP="00E45009">
                  <w:pPr>
                    <w:pStyle w:val="NoSpacing"/>
                    <w:rPr>
                      <w:lang w:val="en-GB"/>
                    </w:rPr>
                  </w:pPr>
                  <w:r w:rsidRPr="00081C8E">
                    <w:rPr>
                      <w:lang w:val="en-GB"/>
                    </w:rPr>
                    <w:t> </w:t>
                  </w:r>
                </w:p>
              </w:tc>
              <w:tc>
                <w:tcPr>
                  <w:tcW w:w="5870" w:type="dxa"/>
                  <w:tcBorders>
                    <w:top w:val="nil"/>
                    <w:bottom w:val="nil"/>
                  </w:tcBorders>
                  <w:shd w:val="clear" w:color="000000" w:fill="FFFFFF"/>
                  <w:noWrap/>
                  <w:tcMar>
                    <w:top w:w="15" w:type="dxa"/>
                    <w:left w:w="15" w:type="dxa"/>
                    <w:bottom w:w="0" w:type="dxa"/>
                    <w:right w:w="15" w:type="dxa"/>
                  </w:tcMar>
                  <w:hideMark/>
                </w:tcPr>
                <w:p w14:paraId="08759319" w14:textId="77777777" w:rsidR="00E45009" w:rsidRPr="00081C8E" w:rsidRDefault="00E45009" w:rsidP="00E45009">
                  <w:pPr>
                    <w:pStyle w:val="NoSpacing"/>
                    <w:rPr>
                      <w:b/>
                      <w:bCs/>
                      <w:lang w:val="en-GB"/>
                    </w:rPr>
                  </w:pPr>
                  <w:r w:rsidRPr="00081C8E">
                    <w:rPr>
                      <w:b/>
                      <w:bCs/>
                      <w:lang w:val="en-GB"/>
                    </w:rPr>
                    <w:t> </w:t>
                  </w:r>
                </w:p>
              </w:tc>
              <w:tc>
                <w:tcPr>
                  <w:tcW w:w="88" w:type="dxa"/>
                  <w:tcBorders>
                    <w:top w:val="nil"/>
                    <w:bottom w:val="nil"/>
                  </w:tcBorders>
                  <w:shd w:val="clear" w:color="000000" w:fill="FFFFFF"/>
                  <w:noWrap/>
                  <w:tcMar>
                    <w:top w:w="15" w:type="dxa"/>
                    <w:left w:w="15" w:type="dxa"/>
                    <w:bottom w:w="0" w:type="dxa"/>
                    <w:right w:w="15" w:type="dxa"/>
                  </w:tcMar>
                  <w:hideMark/>
                </w:tcPr>
                <w:p w14:paraId="2198EC84" w14:textId="77777777" w:rsidR="00E45009" w:rsidRPr="00081C8E" w:rsidRDefault="00E45009" w:rsidP="00E45009">
                  <w:pPr>
                    <w:pStyle w:val="NoSpacing"/>
                    <w:rPr>
                      <w:b/>
                      <w:bCs/>
                      <w:lang w:val="en-GB"/>
                    </w:rPr>
                  </w:pPr>
                  <w:r w:rsidRPr="00081C8E">
                    <w:rPr>
                      <w:b/>
                      <w:bCs/>
                      <w:lang w:val="en-GB"/>
                    </w:rPr>
                    <w:t> </w:t>
                  </w:r>
                </w:p>
              </w:tc>
              <w:tc>
                <w:tcPr>
                  <w:tcW w:w="1094" w:type="dxa"/>
                  <w:gridSpan w:val="2"/>
                  <w:tcBorders>
                    <w:top w:val="single" w:sz="4" w:space="0" w:color="auto"/>
                    <w:bottom w:val="single" w:sz="4" w:space="0" w:color="auto"/>
                  </w:tcBorders>
                  <w:shd w:val="clear" w:color="000000" w:fill="FFFFFF"/>
                  <w:noWrap/>
                  <w:tcMar>
                    <w:top w:w="15" w:type="dxa"/>
                    <w:left w:w="15" w:type="dxa"/>
                    <w:bottom w:w="0" w:type="dxa"/>
                    <w:right w:w="15" w:type="dxa"/>
                  </w:tcMar>
                  <w:hideMark/>
                </w:tcPr>
                <w:p w14:paraId="02B653E8" w14:textId="77777777" w:rsidR="00E45009" w:rsidRPr="00081C8E" w:rsidRDefault="00E45009" w:rsidP="00E45009">
                  <w:pPr>
                    <w:pStyle w:val="NoSpacing"/>
                    <w:rPr>
                      <w:b/>
                      <w:bCs/>
                      <w:lang w:val="en-GB"/>
                    </w:rPr>
                  </w:pPr>
                  <w:r w:rsidRPr="00081C8E">
                    <w:rPr>
                      <w:b/>
                      <w:bCs/>
                      <w:lang w:val="en-GB"/>
                    </w:rPr>
                    <w:t>1st round</w:t>
                  </w:r>
                </w:p>
              </w:tc>
              <w:tc>
                <w:tcPr>
                  <w:tcW w:w="88" w:type="dxa"/>
                  <w:tcBorders>
                    <w:top w:val="single" w:sz="4" w:space="0" w:color="auto"/>
                    <w:bottom w:val="nil"/>
                  </w:tcBorders>
                  <w:shd w:val="clear" w:color="000000" w:fill="FFFFFF"/>
                  <w:noWrap/>
                  <w:tcMar>
                    <w:top w:w="15" w:type="dxa"/>
                    <w:left w:w="15" w:type="dxa"/>
                    <w:bottom w:w="0" w:type="dxa"/>
                    <w:right w:w="15" w:type="dxa"/>
                  </w:tcMar>
                  <w:hideMark/>
                </w:tcPr>
                <w:p w14:paraId="27BD977E" w14:textId="77777777" w:rsidR="00E45009" w:rsidRPr="00081C8E" w:rsidRDefault="00E45009" w:rsidP="00E45009">
                  <w:pPr>
                    <w:pStyle w:val="NoSpacing"/>
                    <w:rPr>
                      <w:b/>
                      <w:bCs/>
                      <w:lang w:val="en-GB"/>
                    </w:rPr>
                  </w:pPr>
                  <w:r w:rsidRPr="00081C8E">
                    <w:rPr>
                      <w:b/>
                      <w:bCs/>
                      <w:lang w:val="en-GB"/>
                    </w:rPr>
                    <w:t> </w:t>
                  </w:r>
                </w:p>
              </w:tc>
              <w:tc>
                <w:tcPr>
                  <w:tcW w:w="1094" w:type="dxa"/>
                  <w:gridSpan w:val="2"/>
                  <w:tcBorders>
                    <w:top w:val="single" w:sz="4" w:space="0" w:color="auto"/>
                    <w:bottom w:val="single" w:sz="4" w:space="0" w:color="auto"/>
                  </w:tcBorders>
                  <w:shd w:val="clear" w:color="000000" w:fill="FFFFFF"/>
                  <w:noWrap/>
                  <w:tcMar>
                    <w:top w:w="15" w:type="dxa"/>
                    <w:left w:w="15" w:type="dxa"/>
                    <w:bottom w:w="0" w:type="dxa"/>
                    <w:right w:w="15" w:type="dxa"/>
                  </w:tcMar>
                  <w:hideMark/>
                </w:tcPr>
                <w:p w14:paraId="2F6976B2" w14:textId="77777777" w:rsidR="00E45009" w:rsidRPr="00081C8E" w:rsidRDefault="00E45009" w:rsidP="00E45009">
                  <w:pPr>
                    <w:pStyle w:val="NoSpacing"/>
                    <w:rPr>
                      <w:b/>
                      <w:bCs/>
                      <w:lang w:val="en-GB"/>
                    </w:rPr>
                  </w:pPr>
                  <w:r w:rsidRPr="00081C8E">
                    <w:rPr>
                      <w:b/>
                      <w:bCs/>
                      <w:lang w:val="en-GB"/>
                    </w:rPr>
                    <w:t>2nd round</w:t>
                  </w:r>
                </w:p>
              </w:tc>
              <w:tc>
                <w:tcPr>
                  <w:tcW w:w="78" w:type="dxa"/>
                  <w:tcBorders>
                    <w:top w:val="nil"/>
                    <w:bottom w:val="nil"/>
                  </w:tcBorders>
                  <w:shd w:val="clear" w:color="000000" w:fill="FFFFFF"/>
                  <w:noWrap/>
                  <w:tcMar>
                    <w:top w:w="15" w:type="dxa"/>
                    <w:left w:w="15" w:type="dxa"/>
                    <w:bottom w:w="0" w:type="dxa"/>
                    <w:right w:w="15" w:type="dxa"/>
                  </w:tcMar>
                  <w:hideMark/>
                </w:tcPr>
                <w:p w14:paraId="7BFB64CD" w14:textId="77777777" w:rsidR="00E45009" w:rsidRPr="00081C8E" w:rsidRDefault="00E45009" w:rsidP="00E45009">
                  <w:pPr>
                    <w:pStyle w:val="NoSpacing"/>
                    <w:rPr>
                      <w:lang w:val="en-GB"/>
                    </w:rPr>
                  </w:pPr>
                  <w:r w:rsidRPr="00081C8E">
                    <w:rPr>
                      <w:lang w:val="en-GB"/>
                    </w:rPr>
                    <w:t> </w:t>
                  </w:r>
                </w:p>
              </w:tc>
              <w:tc>
                <w:tcPr>
                  <w:tcW w:w="613" w:type="dxa"/>
                  <w:tcBorders>
                    <w:top w:val="nil"/>
                    <w:bottom w:val="nil"/>
                  </w:tcBorders>
                  <w:shd w:val="clear" w:color="000000" w:fill="FFFFFF"/>
                  <w:noWrap/>
                  <w:tcMar>
                    <w:top w:w="15" w:type="dxa"/>
                    <w:left w:w="15" w:type="dxa"/>
                    <w:bottom w:w="0" w:type="dxa"/>
                    <w:right w:w="15" w:type="dxa"/>
                  </w:tcMar>
                  <w:hideMark/>
                </w:tcPr>
                <w:p w14:paraId="7656FA04" w14:textId="77777777" w:rsidR="00E45009" w:rsidRPr="00081C8E" w:rsidRDefault="00E45009" w:rsidP="00E45009">
                  <w:pPr>
                    <w:pStyle w:val="NoSpacing"/>
                    <w:rPr>
                      <w:lang w:val="en-GB"/>
                    </w:rPr>
                  </w:pPr>
                  <w:r w:rsidRPr="00081C8E">
                    <w:rPr>
                      <w:lang w:val="en-GB"/>
                    </w:rPr>
                    <w:t> </w:t>
                  </w:r>
                </w:p>
              </w:tc>
            </w:tr>
            <w:tr w:rsidR="00E45009" w:rsidRPr="00081C8E" w14:paraId="5DA98A64" w14:textId="77777777" w:rsidTr="00DB32C0">
              <w:trPr>
                <w:trHeight w:val="315"/>
              </w:trPr>
              <w:tc>
                <w:tcPr>
                  <w:tcW w:w="185" w:type="dxa"/>
                  <w:tcBorders>
                    <w:top w:val="nil"/>
                    <w:bottom w:val="nil"/>
                  </w:tcBorders>
                  <w:shd w:val="clear" w:color="000000" w:fill="FFFFFF"/>
                  <w:noWrap/>
                  <w:tcMar>
                    <w:top w:w="15" w:type="dxa"/>
                    <w:left w:w="15" w:type="dxa"/>
                    <w:bottom w:w="0" w:type="dxa"/>
                    <w:right w:w="15" w:type="dxa"/>
                  </w:tcMar>
                  <w:hideMark/>
                </w:tcPr>
                <w:p w14:paraId="1824FAC0" w14:textId="77777777" w:rsidR="00E45009" w:rsidRPr="00081C8E" w:rsidRDefault="00E45009" w:rsidP="00E45009">
                  <w:pPr>
                    <w:pStyle w:val="NoSpacing"/>
                    <w:rPr>
                      <w:lang w:val="en-GB"/>
                    </w:rPr>
                  </w:pPr>
                  <w:r w:rsidRPr="00081C8E">
                    <w:rPr>
                      <w:lang w:val="en-GB"/>
                    </w:rPr>
                    <w:t> </w:t>
                  </w:r>
                </w:p>
              </w:tc>
              <w:tc>
                <w:tcPr>
                  <w:tcW w:w="5870" w:type="dxa"/>
                  <w:tcBorders>
                    <w:top w:val="nil"/>
                    <w:bottom w:val="nil"/>
                  </w:tcBorders>
                  <w:shd w:val="clear" w:color="000000" w:fill="FFFFFF"/>
                  <w:noWrap/>
                  <w:tcMar>
                    <w:top w:w="15" w:type="dxa"/>
                    <w:left w:w="15" w:type="dxa"/>
                    <w:bottom w:w="0" w:type="dxa"/>
                    <w:right w:w="15" w:type="dxa"/>
                  </w:tcMar>
                  <w:hideMark/>
                </w:tcPr>
                <w:p w14:paraId="5DB45425" w14:textId="77777777" w:rsidR="00E45009" w:rsidRPr="00081C8E" w:rsidRDefault="00E45009" w:rsidP="00E45009">
                  <w:pPr>
                    <w:pStyle w:val="NoSpacing"/>
                    <w:rPr>
                      <w:b/>
                      <w:bCs/>
                      <w:lang w:val="en-GB"/>
                    </w:rPr>
                  </w:pPr>
                  <w:r w:rsidRPr="00081C8E">
                    <w:rPr>
                      <w:b/>
                      <w:bCs/>
                      <w:lang w:val="en-GB"/>
                    </w:rPr>
                    <w:t> </w:t>
                  </w:r>
                </w:p>
              </w:tc>
              <w:tc>
                <w:tcPr>
                  <w:tcW w:w="88" w:type="dxa"/>
                  <w:tcBorders>
                    <w:top w:val="nil"/>
                    <w:bottom w:val="nil"/>
                  </w:tcBorders>
                  <w:shd w:val="clear" w:color="000000" w:fill="FFFFFF"/>
                  <w:noWrap/>
                  <w:tcMar>
                    <w:top w:w="15" w:type="dxa"/>
                    <w:left w:w="15" w:type="dxa"/>
                    <w:bottom w:w="0" w:type="dxa"/>
                    <w:right w:w="15" w:type="dxa"/>
                  </w:tcMar>
                  <w:hideMark/>
                </w:tcPr>
                <w:p w14:paraId="6A0CE95A" w14:textId="77777777" w:rsidR="00E45009" w:rsidRPr="00081C8E" w:rsidRDefault="00E45009" w:rsidP="00E45009">
                  <w:pPr>
                    <w:pStyle w:val="NoSpacing"/>
                    <w:rPr>
                      <w:b/>
                      <w:bCs/>
                      <w:lang w:val="en-GB"/>
                    </w:rPr>
                  </w:pPr>
                  <w:r w:rsidRPr="00081C8E">
                    <w:rPr>
                      <w:b/>
                      <w:bCs/>
                      <w:lang w:val="en-GB"/>
                    </w:rPr>
                    <w:t> </w:t>
                  </w:r>
                </w:p>
              </w:tc>
              <w:tc>
                <w:tcPr>
                  <w:tcW w:w="753" w:type="dxa"/>
                  <w:tcBorders>
                    <w:top w:val="single" w:sz="4" w:space="0" w:color="auto"/>
                    <w:bottom w:val="nil"/>
                  </w:tcBorders>
                  <w:shd w:val="clear" w:color="000000" w:fill="FFFFFF"/>
                  <w:tcMar>
                    <w:top w:w="15" w:type="dxa"/>
                    <w:left w:w="15" w:type="dxa"/>
                    <w:bottom w:w="0" w:type="dxa"/>
                    <w:right w:w="15" w:type="dxa"/>
                  </w:tcMar>
                  <w:hideMark/>
                </w:tcPr>
                <w:p w14:paraId="0C6120B4" w14:textId="77777777" w:rsidR="00E45009" w:rsidRPr="00081C8E" w:rsidRDefault="00E45009" w:rsidP="00E45009">
                  <w:pPr>
                    <w:pStyle w:val="NoSpacing"/>
                    <w:rPr>
                      <w:b/>
                      <w:bCs/>
                      <w:lang w:val="en-GB"/>
                    </w:rPr>
                  </w:pPr>
                  <w:r w:rsidRPr="00081C8E">
                    <w:rPr>
                      <w:b/>
                      <w:bCs/>
                      <w:lang w:val="en-GB"/>
                    </w:rPr>
                    <w:t>Avg.</w:t>
                  </w:r>
                </w:p>
              </w:tc>
              <w:tc>
                <w:tcPr>
                  <w:tcW w:w="486" w:type="dxa"/>
                  <w:tcBorders>
                    <w:top w:val="single" w:sz="4" w:space="0" w:color="auto"/>
                    <w:bottom w:val="nil"/>
                  </w:tcBorders>
                  <w:shd w:val="clear" w:color="000000" w:fill="FFFFFF"/>
                  <w:tcMar>
                    <w:top w:w="15" w:type="dxa"/>
                    <w:left w:w="15" w:type="dxa"/>
                    <w:bottom w:w="0" w:type="dxa"/>
                    <w:right w:w="15" w:type="dxa"/>
                  </w:tcMar>
                  <w:hideMark/>
                </w:tcPr>
                <w:p w14:paraId="0530484D" w14:textId="77777777" w:rsidR="00E45009" w:rsidRPr="00081C8E" w:rsidRDefault="00E45009" w:rsidP="00E45009">
                  <w:pPr>
                    <w:pStyle w:val="NoSpacing"/>
                    <w:rPr>
                      <w:b/>
                      <w:bCs/>
                      <w:lang w:val="en-GB"/>
                    </w:rPr>
                  </w:pPr>
                  <w:r w:rsidRPr="00081C8E">
                    <w:rPr>
                      <w:b/>
                      <w:bCs/>
                      <w:lang w:val="en-GB"/>
                    </w:rPr>
                    <w:t>Std.</w:t>
                  </w:r>
                </w:p>
              </w:tc>
              <w:tc>
                <w:tcPr>
                  <w:tcW w:w="95" w:type="dxa"/>
                  <w:tcBorders>
                    <w:top w:val="nil"/>
                    <w:bottom w:val="nil"/>
                  </w:tcBorders>
                  <w:shd w:val="clear" w:color="000000" w:fill="FFFFFF"/>
                  <w:tcMar>
                    <w:top w:w="15" w:type="dxa"/>
                    <w:left w:w="15" w:type="dxa"/>
                    <w:bottom w:w="0" w:type="dxa"/>
                    <w:right w:w="15" w:type="dxa"/>
                  </w:tcMar>
                  <w:hideMark/>
                </w:tcPr>
                <w:p w14:paraId="28525A36" w14:textId="77777777" w:rsidR="00E45009" w:rsidRPr="00081C8E" w:rsidRDefault="00E45009" w:rsidP="00E45009">
                  <w:pPr>
                    <w:pStyle w:val="NoSpacing"/>
                    <w:rPr>
                      <w:b/>
                      <w:bCs/>
                      <w:lang w:val="en-GB"/>
                    </w:rPr>
                  </w:pPr>
                  <w:r w:rsidRPr="00081C8E">
                    <w:rPr>
                      <w:b/>
                      <w:bCs/>
                      <w:lang w:val="en-GB"/>
                    </w:rPr>
                    <w:t> </w:t>
                  </w:r>
                </w:p>
              </w:tc>
              <w:tc>
                <w:tcPr>
                  <w:tcW w:w="753" w:type="dxa"/>
                  <w:tcBorders>
                    <w:top w:val="nil"/>
                    <w:bottom w:val="nil"/>
                  </w:tcBorders>
                  <w:shd w:val="clear" w:color="000000" w:fill="FFFFFF"/>
                  <w:tcMar>
                    <w:top w:w="15" w:type="dxa"/>
                    <w:left w:w="15" w:type="dxa"/>
                    <w:bottom w:w="0" w:type="dxa"/>
                    <w:right w:w="15" w:type="dxa"/>
                  </w:tcMar>
                  <w:hideMark/>
                </w:tcPr>
                <w:p w14:paraId="7A5B91D8" w14:textId="77777777" w:rsidR="00E45009" w:rsidRPr="00081C8E" w:rsidRDefault="00E45009" w:rsidP="00E45009">
                  <w:pPr>
                    <w:pStyle w:val="NoSpacing"/>
                    <w:rPr>
                      <w:b/>
                      <w:bCs/>
                      <w:lang w:val="en-GB"/>
                    </w:rPr>
                  </w:pPr>
                  <w:r w:rsidRPr="00081C8E">
                    <w:rPr>
                      <w:b/>
                      <w:bCs/>
                      <w:lang w:val="en-GB"/>
                    </w:rPr>
                    <w:t>Avg.</w:t>
                  </w:r>
                </w:p>
              </w:tc>
              <w:tc>
                <w:tcPr>
                  <w:tcW w:w="486" w:type="dxa"/>
                  <w:tcBorders>
                    <w:top w:val="nil"/>
                    <w:bottom w:val="nil"/>
                  </w:tcBorders>
                  <w:shd w:val="clear" w:color="000000" w:fill="FFFFFF"/>
                  <w:tcMar>
                    <w:top w:w="15" w:type="dxa"/>
                    <w:left w:w="15" w:type="dxa"/>
                    <w:bottom w:w="0" w:type="dxa"/>
                    <w:right w:w="15" w:type="dxa"/>
                  </w:tcMar>
                  <w:hideMark/>
                </w:tcPr>
                <w:p w14:paraId="25F70F92" w14:textId="77777777" w:rsidR="00E45009" w:rsidRPr="00081C8E" w:rsidRDefault="00E45009" w:rsidP="00E45009">
                  <w:pPr>
                    <w:pStyle w:val="NoSpacing"/>
                    <w:rPr>
                      <w:b/>
                      <w:bCs/>
                      <w:lang w:val="en-GB"/>
                    </w:rPr>
                  </w:pPr>
                  <w:r w:rsidRPr="00081C8E">
                    <w:rPr>
                      <w:b/>
                      <w:bCs/>
                      <w:lang w:val="en-GB"/>
                    </w:rPr>
                    <w:t>Std.</w:t>
                  </w:r>
                </w:p>
              </w:tc>
              <w:tc>
                <w:tcPr>
                  <w:tcW w:w="78" w:type="dxa"/>
                  <w:tcBorders>
                    <w:top w:val="nil"/>
                    <w:bottom w:val="nil"/>
                  </w:tcBorders>
                  <w:shd w:val="clear" w:color="000000" w:fill="FFFFFF"/>
                  <w:noWrap/>
                  <w:tcMar>
                    <w:top w:w="15" w:type="dxa"/>
                    <w:left w:w="15" w:type="dxa"/>
                    <w:bottom w:w="0" w:type="dxa"/>
                    <w:right w:w="15" w:type="dxa"/>
                  </w:tcMar>
                  <w:hideMark/>
                </w:tcPr>
                <w:p w14:paraId="121D1082" w14:textId="77777777" w:rsidR="00E45009" w:rsidRPr="00081C8E" w:rsidRDefault="00E45009" w:rsidP="00E45009">
                  <w:pPr>
                    <w:pStyle w:val="NoSpacing"/>
                    <w:rPr>
                      <w:lang w:val="en-GB"/>
                    </w:rPr>
                  </w:pPr>
                  <w:r w:rsidRPr="00081C8E">
                    <w:rPr>
                      <w:lang w:val="en-GB"/>
                    </w:rPr>
                    <w:t> </w:t>
                  </w:r>
                </w:p>
              </w:tc>
              <w:tc>
                <w:tcPr>
                  <w:tcW w:w="613" w:type="dxa"/>
                  <w:tcBorders>
                    <w:top w:val="nil"/>
                    <w:bottom w:val="nil"/>
                  </w:tcBorders>
                  <w:shd w:val="clear" w:color="000000" w:fill="FFFFFF"/>
                  <w:noWrap/>
                  <w:tcMar>
                    <w:top w:w="15" w:type="dxa"/>
                    <w:left w:w="15" w:type="dxa"/>
                    <w:bottom w:w="0" w:type="dxa"/>
                    <w:right w:w="15" w:type="dxa"/>
                  </w:tcMar>
                  <w:hideMark/>
                </w:tcPr>
                <w:p w14:paraId="000F151C" w14:textId="77777777" w:rsidR="00E45009" w:rsidRPr="00081C8E" w:rsidRDefault="00E45009" w:rsidP="00E45009">
                  <w:pPr>
                    <w:pStyle w:val="NoSpacing"/>
                    <w:rPr>
                      <w:b/>
                      <w:bCs/>
                      <w:lang w:val="en-GB"/>
                    </w:rPr>
                  </w:pPr>
                  <w:r w:rsidRPr="00081C8E">
                    <w:rPr>
                      <w:b/>
                      <w:bCs/>
                      <w:lang w:val="en-GB"/>
                    </w:rPr>
                    <w:t>Weights</w:t>
                  </w:r>
                </w:p>
              </w:tc>
            </w:tr>
            <w:tr w:rsidR="00E45009" w:rsidRPr="00081C8E" w14:paraId="489DD86F" w14:textId="77777777" w:rsidTr="00DB32C0">
              <w:trPr>
                <w:trHeight w:val="315"/>
              </w:trPr>
              <w:tc>
                <w:tcPr>
                  <w:tcW w:w="6106" w:type="dxa"/>
                  <w:gridSpan w:val="2"/>
                  <w:tcBorders>
                    <w:top w:val="nil"/>
                  </w:tcBorders>
                  <w:shd w:val="clear" w:color="000000" w:fill="FFFFFF"/>
                  <w:noWrap/>
                  <w:tcMar>
                    <w:top w:w="15" w:type="dxa"/>
                    <w:left w:w="15" w:type="dxa"/>
                    <w:bottom w:w="0" w:type="dxa"/>
                    <w:right w:w="15" w:type="dxa"/>
                  </w:tcMar>
                  <w:hideMark/>
                </w:tcPr>
                <w:p w14:paraId="4C2F1983" w14:textId="77777777" w:rsidR="00E45009" w:rsidRPr="00081C8E" w:rsidRDefault="00E45009" w:rsidP="00E45009">
                  <w:pPr>
                    <w:pStyle w:val="NoSpacing"/>
                    <w:rPr>
                      <w:b/>
                      <w:bCs/>
                      <w:lang w:val="en-GB"/>
                    </w:rPr>
                  </w:pPr>
                  <w:r w:rsidRPr="00081C8E">
                    <w:rPr>
                      <w:b/>
                      <w:bCs/>
                      <w:lang w:val="en-GB"/>
                    </w:rPr>
                    <w:lastRenderedPageBreak/>
                    <w:t>Evaluation Criteria - Employers and their organizations</w:t>
                  </w:r>
                </w:p>
              </w:tc>
              <w:tc>
                <w:tcPr>
                  <w:tcW w:w="88" w:type="dxa"/>
                  <w:tcBorders>
                    <w:top w:val="nil"/>
                  </w:tcBorders>
                  <w:shd w:val="clear" w:color="000000" w:fill="FFFFFF"/>
                  <w:noWrap/>
                  <w:tcMar>
                    <w:top w:w="15" w:type="dxa"/>
                    <w:left w:w="15" w:type="dxa"/>
                    <w:bottom w:w="0" w:type="dxa"/>
                    <w:right w:w="15" w:type="dxa"/>
                  </w:tcMar>
                  <w:hideMark/>
                </w:tcPr>
                <w:p w14:paraId="45F28F61" w14:textId="77777777" w:rsidR="00E45009" w:rsidRPr="00081C8E" w:rsidRDefault="00E45009" w:rsidP="00E45009">
                  <w:pPr>
                    <w:pStyle w:val="NoSpacing"/>
                    <w:rPr>
                      <w:b/>
                      <w:bCs/>
                      <w:lang w:val="en-GB"/>
                    </w:rPr>
                  </w:pPr>
                  <w:r w:rsidRPr="00081C8E">
                    <w:rPr>
                      <w:b/>
                      <w:bCs/>
                      <w:lang w:val="en-GB"/>
                    </w:rPr>
                    <w:t> </w:t>
                  </w:r>
                </w:p>
              </w:tc>
              <w:tc>
                <w:tcPr>
                  <w:tcW w:w="667" w:type="dxa"/>
                  <w:tcBorders>
                    <w:top w:val="nil"/>
                  </w:tcBorders>
                  <w:shd w:val="clear" w:color="000000" w:fill="FFFFFF"/>
                  <w:noWrap/>
                  <w:tcMar>
                    <w:top w:w="15" w:type="dxa"/>
                    <w:left w:w="15" w:type="dxa"/>
                    <w:bottom w:w="0" w:type="dxa"/>
                    <w:right w:w="15" w:type="dxa"/>
                  </w:tcMar>
                  <w:hideMark/>
                </w:tcPr>
                <w:p w14:paraId="05735F72" w14:textId="77777777" w:rsidR="00E45009" w:rsidRPr="00081C8E" w:rsidRDefault="00E45009" w:rsidP="00E45009">
                  <w:pPr>
                    <w:pStyle w:val="NoSpacing"/>
                    <w:rPr>
                      <w:b/>
                      <w:bCs/>
                      <w:lang w:val="en-GB"/>
                    </w:rPr>
                  </w:pPr>
                  <w:r w:rsidRPr="00081C8E">
                    <w:rPr>
                      <w:b/>
                      <w:bCs/>
                      <w:lang w:val="en-GB"/>
                    </w:rPr>
                    <w:t>(1 to 5)</w:t>
                  </w:r>
                </w:p>
              </w:tc>
              <w:tc>
                <w:tcPr>
                  <w:tcW w:w="486" w:type="dxa"/>
                  <w:tcBorders>
                    <w:top w:val="nil"/>
                  </w:tcBorders>
                  <w:shd w:val="clear" w:color="000000" w:fill="FFFFFF"/>
                  <w:tcMar>
                    <w:top w:w="15" w:type="dxa"/>
                    <w:left w:w="15" w:type="dxa"/>
                    <w:bottom w:w="0" w:type="dxa"/>
                    <w:right w:w="15" w:type="dxa"/>
                  </w:tcMar>
                  <w:hideMark/>
                </w:tcPr>
                <w:p w14:paraId="36215EC6" w14:textId="77777777" w:rsidR="00E45009" w:rsidRPr="00081C8E" w:rsidRDefault="00E45009" w:rsidP="00E45009">
                  <w:pPr>
                    <w:pStyle w:val="NoSpacing"/>
                    <w:rPr>
                      <w:b/>
                      <w:bCs/>
                      <w:lang w:val="en-GB"/>
                    </w:rPr>
                  </w:pPr>
                  <w:r w:rsidRPr="00081C8E">
                    <w:rPr>
                      <w:b/>
                      <w:bCs/>
                      <w:lang w:val="en-GB"/>
                    </w:rPr>
                    <w:t>Dev.</w:t>
                  </w:r>
                </w:p>
              </w:tc>
              <w:tc>
                <w:tcPr>
                  <w:tcW w:w="95" w:type="dxa"/>
                  <w:tcBorders>
                    <w:top w:val="nil"/>
                  </w:tcBorders>
                  <w:shd w:val="clear" w:color="000000" w:fill="FFFFFF"/>
                  <w:tcMar>
                    <w:top w:w="15" w:type="dxa"/>
                    <w:left w:w="15" w:type="dxa"/>
                    <w:bottom w:w="0" w:type="dxa"/>
                    <w:right w:w="15" w:type="dxa"/>
                  </w:tcMar>
                  <w:hideMark/>
                </w:tcPr>
                <w:p w14:paraId="393D9AE9" w14:textId="77777777" w:rsidR="00E45009" w:rsidRPr="00081C8E" w:rsidRDefault="00E45009" w:rsidP="00E45009">
                  <w:pPr>
                    <w:pStyle w:val="NoSpacing"/>
                    <w:rPr>
                      <w:b/>
                      <w:bCs/>
                      <w:lang w:val="en-GB"/>
                    </w:rPr>
                  </w:pPr>
                  <w:r w:rsidRPr="00081C8E">
                    <w:rPr>
                      <w:b/>
                      <w:bCs/>
                      <w:lang w:val="en-GB"/>
                    </w:rPr>
                    <w:t> </w:t>
                  </w:r>
                </w:p>
              </w:tc>
              <w:tc>
                <w:tcPr>
                  <w:tcW w:w="667" w:type="dxa"/>
                  <w:tcBorders>
                    <w:top w:val="nil"/>
                  </w:tcBorders>
                  <w:shd w:val="clear" w:color="000000" w:fill="FFFFFF"/>
                  <w:noWrap/>
                  <w:tcMar>
                    <w:top w:w="15" w:type="dxa"/>
                    <w:left w:w="15" w:type="dxa"/>
                    <w:bottom w:w="0" w:type="dxa"/>
                    <w:right w:w="15" w:type="dxa"/>
                  </w:tcMar>
                  <w:hideMark/>
                </w:tcPr>
                <w:p w14:paraId="0B6CB357" w14:textId="77777777" w:rsidR="00E45009" w:rsidRPr="00081C8E" w:rsidRDefault="00E45009" w:rsidP="00E45009">
                  <w:pPr>
                    <w:pStyle w:val="NoSpacing"/>
                    <w:rPr>
                      <w:b/>
                      <w:bCs/>
                      <w:lang w:val="en-GB"/>
                    </w:rPr>
                  </w:pPr>
                  <w:r w:rsidRPr="00081C8E">
                    <w:rPr>
                      <w:b/>
                      <w:bCs/>
                      <w:lang w:val="en-GB"/>
                    </w:rPr>
                    <w:t>(1 to 5)</w:t>
                  </w:r>
                </w:p>
              </w:tc>
              <w:tc>
                <w:tcPr>
                  <w:tcW w:w="486" w:type="dxa"/>
                  <w:tcBorders>
                    <w:top w:val="nil"/>
                  </w:tcBorders>
                  <w:shd w:val="clear" w:color="000000" w:fill="FFFFFF"/>
                  <w:tcMar>
                    <w:top w:w="15" w:type="dxa"/>
                    <w:left w:w="15" w:type="dxa"/>
                    <w:bottom w:w="0" w:type="dxa"/>
                    <w:right w:w="15" w:type="dxa"/>
                  </w:tcMar>
                  <w:hideMark/>
                </w:tcPr>
                <w:p w14:paraId="6428CA26" w14:textId="77777777" w:rsidR="00E45009" w:rsidRPr="00081C8E" w:rsidRDefault="00E45009" w:rsidP="00E45009">
                  <w:pPr>
                    <w:pStyle w:val="NoSpacing"/>
                    <w:rPr>
                      <w:b/>
                      <w:bCs/>
                      <w:lang w:val="en-GB"/>
                    </w:rPr>
                  </w:pPr>
                  <w:r w:rsidRPr="00081C8E">
                    <w:rPr>
                      <w:b/>
                      <w:bCs/>
                      <w:lang w:val="en-GB"/>
                    </w:rPr>
                    <w:t>Dev.</w:t>
                  </w:r>
                </w:p>
              </w:tc>
              <w:tc>
                <w:tcPr>
                  <w:tcW w:w="78" w:type="dxa"/>
                  <w:tcBorders>
                    <w:top w:val="nil"/>
                  </w:tcBorders>
                  <w:shd w:val="clear" w:color="000000" w:fill="FFFFFF"/>
                  <w:noWrap/>
                  <w:tcMar>
                    <w:top w:w="15" w:type="dxa"/>
                    <w:left w:w="15" w:type="dxa"/>
                    <w:bottom w:w="0" w:type="dxa"/>
                    <w:right w:w="15" w:type="dxa"/>
                  </w:tcMar>
                  <w:hideMark/>
                </w:tcPr>
                <w:p w14:paraId="0BE000D4" w14:textId="77777777" w:rsidR="00E45009" w:rsidRPr="00081C8E" w:rsidRDefault="00E45009" w:rsidP="00E45009">
                  <w:pPr>
                    <w:pStyle w:val="NoSpacing"/>
                    <w:rPr>
                      <w:b/>
                      <w:bCs/>
                      <w:lang w:val="en-GB"/>
                    </w:rPr>
                  </w:pPr>
                  <w:r w:rsidRPr="00081C8E">
                    <w:rPr>
                      <w:b/>
                      <w:bCs/>
                      <w:lang w:val="en-GB"/>
                    </w:rPr>
                    <w:t> </w:t>
                  </w:r>
                </w:p>
              </w:tc>
              <w:tc>
                <w:tcPr>
                  <w:tcW w:w="613" w:type="dxa"/>
                  <w:tcBorders>
                    <w:top w:val="nil"/>
                  </w:tcBorders>
                  <w:shd w:val="clear" w:color="000000" w:fill="FFFFFF"/>
                  <w:noWrap/>
                  <w:tcMar>
                    <w:top w:w="15" w:type="dxa"/>
                    <w:left w:w="15" w:type="dxa"/>
                    <w:bottom w:w="0" w:type="dxa"/>
                    <w:right w:w="15" w:type="dxa"/>
                  </w:tcMar>
                  <w:hideMark/>
                </w:tcPr>
                <w:p w14:paraId="2B8C8382" w14:textId="77777777" w:rsidR="00E45009" w:rsidRPr="00081C8E" w:rsidRDefault="00E45009" w:rsidP="00E45009">
                  <w:pPr>
                    <w:pStyle w:val="NoSpacing"/>
                    <w:rPr>
                      <w:b/>
                      <w:bCs/>
                      <w:lang w:val="en-GB"/>
                    </w:rPr>
                  </w:pPr>
                  <w:r w:rsidRPr="00081C8E">
                    <w:rPr>
                      <w:b/>
                      <w:bCs/>
                      <w:lang w:val="en-GB"/>
                    </w:rPr>
                    <w:t>(1 to 2)</w:t>
                  </w:r>
                </w:p>
              </w:tc>
            </w:tr>
            <w:tr w:rsidR="00E45009" w:rsidRPr="00081C8E" w14:paraId="2567D593" w14:textId="77777777" w:rsidTr="00DB32C0">
              <w:trPr>
                <w:trHeight w:val="255"/>
              </w:trPr>
              <w:tc>
                <w:tcPr>
                  <w:tcW w:w="185" w:type="dxa"/>
                  <w:shd w:val="clear" w:color="000000" w:fill="FFFFFF"/>
                  <w:noWrap/>
                  <w:tcMar>
                    <w:top w:w="15" w:type="dxa"/>
                    <w:left w:w="15" w:type="dxa"/>
                    <w:bottom w:w="0" w:type="dxa"/>
                    <w:right w:w="15" w:type="dxa"/>
                  </w:tcMar>
                  <w:hideMark/>
                </w:tcPr>
                <w:p w14:paraId="6A84FBBB" w14:textId="77777777" w:rsidR="00E45009" w:rsidRPr="00081C8E" w:rsidRDefault="00E45009" w:rsidP="00E45009">
                  <w:pPr>
                    <w:pStyle w:val="NoSpacing"/>
                    <w:rPr>
                      <w:lang w:val="en-GB"/>
                    </w:rPr>
                  </w:pPr>
                  <w:r w:rsidRPr="00081C8E">
                    <w:rPr>
                      <w:lang w:val="en-GB"/>
                    </w:rPr>
                    <w:t>0</w:t>
                  </w:r>
                </w:p>
              </w:tc>
              <w:tc>
                <w:tcPr>
                  <w:tcW w:w="5870" w:type="dxa"/>
                  <w:shd w:val="clear" w:color="auto" w:fill="auto"/>
                  <w:noWrap/>
                  <w:tcMar>
                    <w:top w:w="15" w:type="dxa"/>
                    <w:left w:w="15" w:type="dxa"/>
                    <w:bottom w:w="0" w:type="dxa"/>
                    <w:right w:w="15" w:type="dxa"/>
                  </w:tcMar>
                  <w:hideMark/>
                </w:tcPr>
                <w:p w14:paraId="0ABA13DF" w14:textId="77777777" w:rsidR="00E45009" w:rsidRPr="00081C8E" w:rsidRDefault="00E45009" w:rsidP="00E45009">
                  <w:pPr>
                    <w:pStyle w:val="NoSpacing"/>
                    <w:rPr>
                      <w:lang w:val="en-GB"/>
                    </w:rPr>
                  </w:pPr>
                  <w:r w:rsidRPr="00081C8E">
                    <w:rPr>
                      <w:lang w:val="en-GB"/>
                    </w:rPr>
                    <w:t>Establishment of a Commission of Inquiry under Article 26 of the ILO Constitution</w:t>
                  </w:r>
                </w:p>
              </w:tc>
              <w:tc>
                <w:tcPr>
                  <w:tcW w:w="88" w:type="dxa"/>
                  <w:shd w:val="clear" w:color="000000" w:fill="FFFFFF"/>
                  <w:noWrap/>
                  <w:tcMar>
                    <w:top w:w="15" w:type="dxa"/>
                    <w:left w:w="15" w:type="dxa"/>
                    <w:bottom w:w="0" w:type="dxa"/>
                    <w:right w:w="15" w:type="dxa"/>
                  </w:tcMar>
                  <w:hideMark/>
                </w:tcPr>
                <w:p w14:paraId="1F990AC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D4074E6" w14:textId="77777777" w:rsidR="00E45009" w:rsidRPr="00081C8E" w:rsidRDefault="00E45009" w:rsidP="00E45009">
                  <w:pPr>
                    <w:pStyle w:val="NoSpacing"/>
                    <w:rPr>
                      <w:lang w:val="en-GB"/>
                    </w:rPr>
                  </w:pPr>
                  <w:r w:rsidRPr="00081C8E">
                    <w:rPr>
                      <w:lang w:val="en-GB"/>
                    </w:rPr>
                    <w:t>NA</w:t>
                  </w:r>
                </w:p>
              </w:tc>
              <w:tc>
                <w:tcPr>
                  <w:tcW w:w="427" w:type="dxa"/>
                  <w:shd w:val="clear" w:color="000000" w:fill="FFFFFF"/>
                  <w:noWrap/>
                  <w:tcMar>
                    <w:top w:w="15" w:type="dxa"/>
                    <w:left w:w="15" w:type="dxa"/>
                    <w:bottom w:w="0" w:type="dxa"/>
                    <w:right w:w="15" w:type="dxa"/>
                  </w:tcMar>
                  <w:hideMark/>
                </w:tcPr>
                <w:p w14:paraId="3CD18342" w14:textId="77777777" w:rsidR="00E45009" w:rsidRPr="00081C8E" w:rsidRDefault="00E45009" w:rsidP="00E45009">
                  <w:pPr>
                    <w:pStyle w:val="NoSpacing"/>
                    <w:rPr>
                      <w:lang w:val="en-GB"/>
                    </w:rPr>
                  </w:pPr>
                  <w:r w:rsidRPr="00081C8E">
                    <w:rPr>
                      <w:lang w:val="en-GB"/>
                    </w:rPr>
                    <w:t>NA</w:t>
                  </w:r>
                </w:p>
              </w:tc>
              <w:tc>
                <w:tcPr>
                  <w:tcW w:w="88" w:type="dxa"/>
                  <w:shd w:val="clear" w:color="000000" w:fill="FFFFFF"/>
                  <w:noWrap/>
                  <w:tcMar>
                    <w:top w:w="15" w:type="dxa"/>
                    <w:left w:w="15" w:type="dxa"/>
                    <w:bottom w:w="0" w:type="dxa"/>
                    <w:right w:w="15" w:type="dxa"/>
                  </w:tcMar>
                  <w:hideMark/>
                </w:tcPr>
                <w:p w14:paraId="4CA53D7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A32CFF2" w14:textId="77777777" w:rsidR="00E45009" w:rsidRPr="00081C8E" w:rsidRDefault="00E45009" w:rsidP="00E45009">
                  <w:pPr>
                    <w:pStyle w:val="NoSpacing"/>
                    <w:rPr>
                      <w:lang w:val="en-GB"/>
                    </w:rPr>
                  </w:pPr>
                  <w:r w:rsidRPr="00081C8E">
                    <w:rPr>
                      <w:lang w:val="en-GB"/>
                    </w:rPr>
                    <w:t>NA</w:t>
                  </w:r>
                </w:p>
              </w:tc>
              <w:tc>
                <w:tcPr>
                  <w:tcW w:w="427" w:type="dxa"/>
                  <w:shd w:val="clear" w:color="000000" w:fill="FFFFFF"/>
                  <w:noWrap/>
                  <w:tcMar>
                    <w:top w:w="15" w:type="dxa"/>
                    <w:left w:w="15" w:type="dxa"/>
                    <w:bottom w:w="0" w:type="dxa"/>
                    <w:right w:w="15" w:type="dxa"/>
                  </w:tcMar>
                  <w:hideMark/>
                </w:tcPr>
                <w:p w14:paraId="0A606417" w14:textId="77777777" w:rsidR="00E45009" w:rsidRPr="00081C8E" w:rsidRDefault="00E45009" w:rsidP="00E45009">
                  <w:pPr>
                    <w:pStyle w:val="NoSpacing"/>
                    <w:rPr>
                      <w:lang w:val="en-GB"/>
                    </w:rPr>
                  </w:pPr>
                  <w:r w:rsidRPr="00081C8E">
                    <w:rPr>
                      <w:lang w:val="en-GB"/>
                    </w:rPr>
                    <w:t>NA</w:t>
                  </w:r>
                </w:p>
              </w:tc>
              <w:tc>
                <w:tcPr>
                  <w:tcW w:w="78" w:type="dxa"/>
                  <w:shd w:val="clear" w:color="000000" w:fill="FFFFFF"/>
                  <w:noWrap/>
                  <w:tcMar>
                    <w:top w:w="15" w:type="dxa"/>
                    <w:left w:w="15" w:type="dxa"/>
                    <w:bottom w:w="0" w:type="dxa"/>
                    <w:right w:w="15" w:type="dxa"/>
                  </w:tcMar>
                  <w:hideMark/>
                </w:tcPr>
                <w:p w14:paraId="2EEC6C7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F0B0912" w14:textId="77777777" w:rsidR="00E45009" w:rsidRPr="00081C8E" w:rsidRDefault="00E45009" w:rsidP="00E45009">
                  <w:pPr>
                    <w:pStyle w:val="NoSpacing"/>
                    <w:rPr>
                      <w:lang w:val="en-GB"/>
                    </w:rPr>
                  </w:pPr>
                  <w:r w:rsidRPr="00081C8E">
                    <w:rPr>
                      <w:lang w:val="en-GB"/>
                    </w:rPr>
                    <w:t>2.00</w:t>
                  </w:r>
                </w:p>
              </w:tc>
            </w:tr>
            <w:tr w:rsidR="00E45009" w:rsidRPr="00081C8E" w14:paraId="2ADFC2E1" w14:textId="77777777" w:rsidTr="00DB32C0">
              <w:trPr>
                <w:trHeight w:val="255"/>
              </w:trPr>
              <w:tc>
                <w:tcPr>
                  <w:tcW w:w="185" w:type="dxa"/>
                  <w:shd w:val="clear" w:color="000000" w:fill="FFFFFF"/>
                  <w:noWrap/>
                  <w:tcMar>
                    <w:top w:w="15" w:type="dxa"/>
                    <w:left w:w="15" w:type="dxa"/>
                    <w:bottom w:w="0" w:type="dxa"/>
                    <w:right w:w="15" w:type="dxa"/>
                  </w:tcMar>
                  <w:hideMark/>
                </w:tcPr>
                <w:p w14:paraId="1B7940AC" w14:textId="77777777" w:rsidR="00E45009" w:rsidRPr="00081C8E" w:rsidRDefault="00E45009" w:rsidP="00E45009">
                  <w:pPr>
                    <w:pStyle w:val="NoSpacing"/>
                    <w:rPr>
                      <w:lang w:val="en-GB"/>
                    </w:rPr>
                  </w:pPr>
                  <w:r w:rsidRPr="00081C8E">
                    <w:rPr>
                      <w:lang w:val="en-GB"/>
                    </w:rPr>
                    <w:t> </w:t>
                  </w:r>
                </w:p>
              </w:tc>
              <w:tc>
                <w:tcPr>
                  <w:tcW w:w="5870" w:type="dxa"/>
                  <w:shd w:val="clear" w:color="000000" w:fill="FFFFFF"/>
                  <w:tcMar>
                    <w:top w:w="15" w:type="dxa"/>
                    <w:left w:w="15" w:type="dxa"/>
                    <w:bottom w:w="0" w:type="dxa"/>
                    <w:right w:w="15" w:type="dxa"/>
                  </w:tcMar>
                  <w:vAlign w:val="center"/>
                  <w:hideMark/>
                </w:tcPr>
                <w:p w14:paraId="15B2B8EA" w14:textId="77777777" w:rsidR="00E45009" w:rsidRPr="00081C8E" w:rsidRDefault="00E45009" w:rsidP="00E45009">
                  <w:pPr>
                    <w:pStyle w:val="NoSpacing"/>
                    <w:rPr>
                      <w:b/>
                      <w:bCs/>
                      <w:lang w:val="en-GB"/>
                    </w:rPr>
                  </w:pPr>
                  <w:r w:rsidRPr="00081C8E">
                    <w:rPr>
                      <w:b/>
                      <w:bCs/>
                      <w:lang w:val="en-GB"/>
                    </w:rPr>
                    <w:t>Ia. Fundamental civil liberties in law</w:t>
                  </w:r>
                </w:p>
              </w:tc>
              <w:tc>
                <w:tcPr>
                  <w:tcW w:w="95" w:type="dxa"/>
                  <w:shd w:val="clear" w:color="000000" w:fill="FFFFFF"/>
                  <w:tcMar>
                    <w:top w:w="15" w:type="dxa"/>
                    <w:left w:w="15" w:type="dxa"/>
                    <w:bottom w:w="0" w:type="dxa"/>
                    <w:right w:w="15" w:type="dxa"/>
                  </w:tcMar>
                  <w:hideMark/>
                </w:tcPr>
                <w:p w14:paraId="046CA5DB"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5723628D"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0388AA92"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2D04535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9FF1D0F"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6B0A8F1B"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0F20E3AA"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BCAB71D" w14:textId="77777777" w:rsidR="00E45009" w:rsidRPr="00081C8E" w:rsidRDefault="00E45009" w:rsidP="00E45009">
                  <w:pPr>
                    <w:pStyle w:val="NoSpacing"/>
                    <w:rPr>
                      <w:lang w:val="en-GB"/>
                    </w:rPr>
                  </w:pPr>
                  <w:r w:rsidRPr="00081C8E">
                    <w:rPr>
                      <w:lang w:val="en-GB"/>
                    </w:rPr>
                    <w:t> </w:t>
                  </w:r>
                </w:p>
              </w:tc>
            </w:tr>
            <w:tr w:rsidR="00E45009" w:rsidRPr="00081C8E" w14:paraId="53734B4B" w14:textId="77777777" w:rsidTr="00DB32C0">
              <w:trPr>
                <w:trHeight w:val="255"/>
              </w:trPr>
              <w:tc>
                <w:tcPr>
                  <w:tcW w:w="185" w:type="dxa"/>
                  <w:shd w:val="clear" w:color="000000" w:fill="FFFFFF"/>
                  <w:noWrap/>
                  <w:tcMar>
                    <w:top w:w="15" w:type="dxa"/>
                    <w:left w:w="15" w:type="dxa"/>
                    <w:bottom w:w="0" w:type="dxa"/>
                    <w:right w:w="15" w:type="dxa"/>
                  </w:tcMar>
                  <w:hideMark/>
                </w:tcPr>
                <w:p w14:paraId="65440894" w14:textId="77777777" w:rsidR="00E45009" w:rsidRPr="00081C8E" w:rsidRDefault="00E45009" w:rsidP="00E45009">
                  <w:pPr>
                    <w:pStyle w:val="NoSpacing"/>
                    <w:rPr>
                      <w:lang w:val="en-GB"/>
                    </w:rPr>
                  </w:pPr>
                  <w:r w:rsidRPr="00081C8E">
                    <w:rPr>
                      <w:lang w:val="en-GB"/>
                    </w:rPr>
                    <w:t>1</w:t>
                  </w:r>
                </w:p>
              </w:tc>
              <w:tc>
                <w:tcPr>
                  <w:tcW w:w="5870" w:type="dxa"/>
                  <w:shd w:val="clear" w:color="000000" w:fill="FFFFFF"/>
                  <w:tcMar>
                    <w:top w:w="15" w:type="dxa"/>
                    <w:left w:w="15" w:type="dxa"/>
                    <w:bottom w:w="0" w:type="dxa"/>
                    <w:right w:w="15" w:type="dxa"/>
                  </w:tcMar>
                  <w:vAlign w:val="center"/>
                  <w:hideMark/>
                </w:tcPr>
                <w:p w14:paraId="7E0A039B" w14:textId="77777777" w:rsidR="00E45009" w:rsidRPr="00081C8E" w:rsidRDefault="00E45009" w:rsidP="00E45009">
                  <w:pPr>
                    <w:pStyle w:val="NoSpacing"/>
                    <w:rPr>
                      <w:lang w:val="en-GB"/>
                    </w:rPr>
                  </w:pPr>
                  <w:r w:rsidRPr="00081C8E">
                    <w:rPr>
                      <w:lang w:val="en-GB"/>
                    </w:rPr>
                    <w:t>Arrest, detention, imprisonment, charging and fining of members of employers' organizations</w:t>
                  </w:r>
                </w:p>
              </w:tc>
              <w:tc>
                <w:tcPr>
                  <w:tcW w:w="95" w:type="dxa"/>
                  <w:shd w:val="clear" w:color="000000" w:fill="FFFFFF"/>
                  <w:tcMar>
                    <w:top w:w="15" w:type="dxa"/>
                    <w:left w:w="15" w:type="dxa"/>
                    <w:bottom w:w="0" w:type="dxa"/>
                    <w:right w:w="15" w:type="dxa"/>
                  </w:tcMar>
                  <w:hideMark/>
                </w:tcPr>
                <w:p w14:paraId="61395C7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09C8D74" w14:textId="77777777" w:rsidR="00E45009" w:rsidRPr="00081C8E" w:rsidRDefault="00E45009" w:rsidP="00E45009">
                  <w:pPr>
                    <w:pStyle w:val="NoSpacing"/>
                    <w:rPr>
                      <w:lang w:val="en-GB"/>
                    </w:rPr>
                  </w:pPr>
                  <w:r w:rsidRPr="00081C8E">
                    <w:rPr>
                      <w:lang w:val="en-GB"/>
                    </w:rPr>
                    <w:t>4.92</w:t>
                  </w:r>
                </w:p>
              </w:tc>
              <w:tc>
                <w:tcPr>
                  <w:tcW w:w="427" w:type="dxa"/>
                  <w:shd w:val="clear" w:color="000000" w:fill="FFFFFF"/>
                  <w:noWrap/>
                  <w:tcMar>
                    <w:top w:w="15" w:type="dxa"/>
                    <w:left w:w="15" w:type="dxa"/>
                    <w:bottom w:w="0" w:type="dxa"/>
                    <w:right w:w="15" w:type="dxa"/>
                  </w:tcMar>
                  <w:hideMark/>
                </w:tcPr>
                <w:p w14:paraId="40EB87A3" w14:textId="77777777" w:rsidR="00E45009" w:rsidRPr="00081C8E" w:rsidRDefault="00E45009" w:rsidP="00E45009">
                  <w:pPr>
                    <w:pStyle w:val="NoSpacing"/>
                    <w:rPr>
                      <w:lang w:val="en-GB"/>
                    </w:rPr>
                  </w:pPr>
                  <w:r w:rsidRPr="00081C8E">
                    <w:rPr>
                      <w:lang w:val="en-GB"/>
                    </w:rPr>
                    <w:t>0.27</w:t>
                  </w:r>
                </w:p>
              </w:tc>
              <w:tc>
                <w:tcPr>
                  <w:tcW w:w="88" w:type="dxa"/>
                  <w:shd w:val="clear" w:color="000000" w:fill="FFFFFF"/>
                  <w:noWrap/>
                  <w:tcMar>
                    <w:top w:w="15" w:type="dxa"/>
                    <w:left w:w="15" w:type="dxa"/>
                    <w:bottom w:w="0" w:type="dxa"/>
                    <w:right w:w="15" w:type="dxa"/>
                  </w:tcMar>
                  <w:hideMark/>
                </w:tcPr>
                <w:p w14:paraId="26BF52A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4D2B3BA" w14:textId="77777777" w:rsidR="00E45009" w:rsidRPr="00081C8E" w:rsidRDefault="00E45009" w:rsidP="00E45009">
                  <w:pPr>
                    <w:pStyle w:val="NoSpacing"/>
                    <w:rPr>
                      <w:lang w:val="en-GB"/>
                    </w:rPr>
                  </w:pPr>
                  <w:r w:rsidRPr="00081C8E">
                    <w:rPr>
                      <w:lang w:val="en-GB"/>
                    </w:rPr>
                    <w:t>5.00</w:t>
                  </w:r>
                </w:p>
              </w:tc>
              <w:tc>
                <w:tcPr>
                  <w:tcW w:w="427" w:type="dxa"/>
                  <w:shd w:val="clear" w:color="000000" w:fill="FFFFFF"/>
                  <w:noWrap/>
                  <w:tcMar>
                    <w:top w:w="15" w:type="dxa"/>
                    <w:left w:w="15" w:type="dxa"/>
                    <w:bottom w:w="0" w:type="dxa"/>
                    <w:right w:w="15" w:type="dxa"/>
                  </w:tcMar>
                  <w:hideMark/>
                </w:tcPr>
                <w:p w14:paraId="72459EFD" w14:textId="77777777" w:rsidR="00E45009" w:rsidRPr="00081C8E" w:rsidRDefault="00E45009" w:rsidP="00E45009">
                  <w:pPr>
                    <w:pStyle w:val="NoSpacing"/>
                    <w:rPr>
                      <w:lang w:val="en-GB"/>
                    </w:rPr>
                  </w:pPr>
                  <w:r w:rsidRPr="00081C8E">
                    <w:rPr>
                      <w:lang w:val="en-GB"/>
                    </w:rPr>
                    <w:t>0.00</w:t>
                  </w:r>
                </w:p>
              </w:tc>
              <w:tc>
                <w:tcPr>
                  <w:tcW w:w="78" w:type="dxa"/>
                  <w:shd w:val="clear" w:color="000000" w:fill="FFFFFF"/>
                  <w:noWrap/>
                  <w:tcMar>
                    <w:top w:w="15" w:type="dxa"/>
                    <w:left w:w="15" w:type="dxa"/>
                    <w:bottom w:w="0" w:type="dxa"/>
                    <w:right w:w="15" w:type="dxa"/>
                  </w:tcMar>
                  <w:hideMark/>
                </w:tcPr>
                <w:p w14:paraId="73F1477E"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A50A915" w14:textId="77777777" w:rsidR="00E45009" w:rsidRPr="00081C8E" w:rsidRDefault="00E45009" w:rsidP="00E45009">
                  <w:pPr>
                    <w:pStyle w:val="NoSpacing"/>
                    <w:rPr>
                      <w:lang w:val="en-GB"/>
                    </w:rPr>
                  </w:pPr>
                  <w:r w:rsidRPr="00081C8E">
                    <w:rPr>
                      <w:lang w:val="en-GB"/>
                    </w:rPr>
                    <w:t>2.00</w:t>
                  </w:r>
                </w:p>
              </w:tc>
            </w:tr>
            <w:tr w:rsidR="00E45009" w:rsidRPr="00081C8E" w14:paraId="31F70618" w14:textId="77777777" w:rsidTr="00DB32C0">
              <w:trPr>
                <w:trHeight w:val="255"/>
              </w:trPr>
              <w:tc>
                <w:tcPr>
                  <w:tcW w:w="185" w:type="dxa"/>
                  <w:shd w:val="clear" w:color="000000" w:fill="FFFFFF"/>
                  <w:noWrap/>
                  <w:tcMar>
                    <w:top w:w="15" w:type="dxa"/>
                    <w:left w:w="15" w:type="dxa"/>
                    <w:bottom w:w="0" w:type="dxa"/>
                    <w:right w:w="15" w:type="dxa"/>
                  </w:tcMar>
                  <w:hideMark/>
                </w:tcPr>
                <w:p w14:paraId="091C4CB9" w14:textId="77777777" w:rsidR="00E45009" w:rsidRPr="00081C8E" w:rsidRDefault="00E45009" w:rsidP="00E45009">
                  <w:pPr>
                    <w:pStyle w:val="NoSpacing"/>
                    <w:rPr>
                      <w:lang w:val="en-GB"/>
                    </w:rPr>
                  </w:pPr>
                  <w:r w:rsidRPr="00081C8E">
                    <w:rPr>
                      <w:lang w:val="en-GB"/>
                    </w:rPr>
                    <w:t>2</w:t>
                  </w:r>
                </w:p>
              </w:tc>
              <w:tc>
                <w:tcPr>
                  <w:tcW w:w="5870" w:type="dxa"/>
                  <w:shd w:val="clear" w:color="000000" w:fill="FFFFFF"/>
                  <w:tcMar>
                    <w:top w:w="15" w:type="dxa"/>
                    <w:left w:w="15" w:type="dxa"/>
                    <w:bottom w:w="0" w:type="dxa"/>
                    <w:right w:w="15" w:type="dxa"/>
                  </w:tcMar>
                  <w:vAlign w:val="center"/>
                  <w:hideMark/>
                </w:tcPr>
                <w:p w14:paraId="1DB80BD5" w14:textId="77777777" w:rsidR="00E45009" w:rsidRPr="00081C8E" w:rsidRDefault="00E45009" w:rsidP="00E45009">
                  <w:pPr>
                    <w:pStyle w:val="NoSpacing"/>
                    <w:rPr>
                      <w:lang w:val="en-GB"/>
                    </w:rPr>
                  </w:pPr>
                  <w:r w:rsidRPr="00081C8E">
                    <w:rPr>
                      <w:lang w:val="en-GB"/>
                    </w:rPr>
                    <w:t xml:space="preserve">Infringements of members of employers' organizations' basic freedoms </w:t>
                  </w:r>
                </w:p>
              </w:tc>
              <w:tc>
                <w:tcPr>
                  <w:tcW w:w="95" w:type="dxa"/>
                  <w:shd w:val="clear" w:color="000000" w:fill="FFFFFF"/>
                  <w:tcMar>
                    <w:top w:w="15" w:type="dxa"/>
                    <w:left w:w="15" w:type="dxa"/>
                    <w:bottom w:w="0" w:type="dxa"/>
                    <w:right w:w="15" w:type="dxa"/>
                  </w:tcMar>
                  <w:hideMark/>
                </w:tcPr>
                <w:p w14:paraId="38AAADD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6DAF0B0" w14:textId="77777777" w:rsidR="00E45009" w:rsidRPr="00081C8E" w:rsidRDefault="00E45009" w:rsidP="00E45009">
                  <w:pPr>
                    <w:pStyle w:val="NoSpacing"/>
                    <w:rPr>
                      <w:lang w:val="en-GB"/>
                    </w:rPr>
                  </w:pPr>
                  <w:r w:rsidRPr="00081C8E">
                    <w:rPr>
                      <w:lang w:val="en-GB"/>
                    </w:rPr>
                    <w:t>4.46</w:t>
                  </w:r>
                </w:p>
              </w:tc>
              <w:tc>
                <w:tcPr>
                  <w:tcW w:w="427" w:type="dxa"/>
                  <w:shd w:val="clear" w:color="000000" w:fill="FFFFFF"/>
                  <w:noWrap/>
                  <w:tcMar>
                    <w:top w:w="15" w:type="dxa"/>
                    <w:left w:w="15" w:type="dxa"/>
                    <w:bottom w:w="0" w:type="dxa"/>
                    <w:right w:w="15" w:type="dxa"/>
                  </w:tcMar>
                  <w:hideMark/>
                </w:tcPr>
                <w:p w14:paraId="18504789" w14:textId="77777777" w:rsidR="00E45009" w:rsidRPr="00081C8E" w:rsidRDefault="00E45009" w:rsidP="00E45009">
                  <w:pPr>
                    <w:pStyle w:val="NoSpacing"/>
                    <w:rPr>
                      <w:lang w:val="en-GB"/>
                    </w:rPr>
                  </w:pPr>
                  <w:r w:rsidRPr="00081C8E">
                    <w:rPr>
                      <w:lang w:val="en-GB"/>
                    </w:rPr>
                    <w:t>0.76</w:t>
                  </w:r>
                </w:p>
              </w:tc>
              <w:tc>
                <w:tcPr>
                  <w:tcW w:w="88" w:type="dxa"/>
                  <w:shd w:val="clear" w:color="000000" w:fill="FFFFFF"/>
                  <w:noWrap/>
                  <w:tcMar>
                    <w:top w:w="15" w:type="dxa"/>
                    <w:left w:w="15" w:type="dxa"/>
                    <w:bottom w:w="0" w:type="dxa"/>
                    <w:right w:w="15" w:type="dxa"/>
                  </w:tcMar>
                  <w:hideMark/>
                </w:tcPr>
                <w:p w14:paraId="5AD5241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DD57D16" w14:textId="77777777" w:rsidR="00E45009" w:rsidRPr="00081C8E" w:rsidRDefault="00E45009" w:rsidP="00E45009">
                  <w:pPr>
                    <w:pStyle w:val="NoSpacing"/>
                    <w:rPr>
                      <w:lang w:val="en-GB"/>
                    </w:rPr>
                  </w:pPr>
                  <w:r w:rsidRPr="00081C8E">
                    <w:rPr>
                      <w:lang w:val="en-GB"/>
                    </w:rPr>
                    <w:t>4.71</w:t>
                  </w:r>
                </w:p>
              </w:tc>
              <w:tc>
                <w:tcPr>
                  <w:tcW w:w="427" w:type="dxa"/>
                  <w:shd w:val="clear" w:color="000000" w:fill="FFFFFF"/>
                  <w:noWrap/>
                  <w:tcMar>
                    <w:top w:w="15" w:type="dxa"/>
                    <w:left w:w="15" w:type="dxa"/>
                    <w:bottom w:w="0" w:type="dxa"/>
                    <w:right w:w="15" w:type="dxa"/>
                  </w:tcMar>
                  <w:hideMark/>
                </w:tcPr>
                <w:p w14:paraId="422C97D3"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43C94388"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B3095FF" w14:textId="77777777" w:rsidR="00E45009" w:rsidRPr="00081C8E" w:rsidRDefault="00E45009" w:rsidP="00E45009">
                  <w:pPr>
                    <w:pStyle w:val="NoSpacing"/>
                    <w:rPr>
                      <w:lang w:val="en-GB"/>
                    </w:rPr>
                  </w:pPr>
                  <w:r w:rsidRPr="00081C8E">
                    <w:rPr>
                      <w:lang w:val="en-GB"/>
                    </w:rPr>
                    <w:t>1.93</w:t>
                  </w:r>
                </w:p>
              </w:tc>
            </w:tr>
            <w:tr w:rsidR="00E45009" w:rsidRPr="00081C8E" w14:paraId="0E5BF5F6" w14:textId="77777777" w:rsidTr="00DB32C0">
              <w:trPr>
                <w:trHeight w:val="255"/>
              </w:trPr>
              <w:tc>
                <w:tcPr>
                  <w:tcW w:w="185" w:type="dxa"/>
                  <w:shd w:val="clear" w:color="000000" w:fill="FFFFFF"/>
                  <w:noWrap/>
                  <w:tcMar>
                    <w:top w:w="15" w:type="dxa"/>
                    <w:left w:w="15" w:type="dxa"/>
                    <w:bottom w:w="0" w:type="dxa"/>
                    <w:right w:w="15" w:type="dxa"/>
                  </w:tcMar>
                  <w:hideMark/>
                </w:tcPr>
                <w:p w14:paraId="6CB191DF" w14:textId="77777777" w:rsidR="00E45009" w:rsidRPr="00081C8E" w:rsidRDefault="00E45009" w:rsidP="00E45009">
                  <w:pPr>
                    <w:pStyle w:val="NoSpacing"/>
                    <w:rPr>
                      <w:lang w:val="en-GB"/>
                    </w:rPr>
                  </w:pPr>
                  <w:r w:rsidRPr="00081C8E">
                    <w:rPr>
                      <w:lang w:val="en-GB"/>
                    </w:rPr>
                    <w:t>3</w:t>
                  </w:r>
                </w:p>
              </w:tc>
              <w:tc>
                <w:tcPr>
                  <w:tcW w:w="5870" w:type="dxa"/>
                  <w:shd w:val="clear" w:color="000000" w:fill="FFFFFF"/>
                  <w:tcMar>
                    <w:top w:w="15" w:type="dxa"/>
                    <w:left w:w="15" w:type="dxa"/>
                    <w:bottom w:w="0" w:type="dxa"/>
                    <w:right w:w="15" w:type="dxa"/>
                  </w:tcMar>
                  <w:vAlign w:val="center"/>
                  <w:hideMark/>
                </w:tcPr>
                <w:p w14:paraId="7335F8F7" w14:textId="77777777" w:rsidR="00E45009" w:rsidRPr="00081C8E" w:rsidRDefault="00E45009" w:rsidP="00E45009">
                  <w:pPr>
                    <w:pStyle w:val="NoSpacing"/>
                    <w:rPr>
                      <w:lang w:val="en-GB"/>
                    </w:rPr>
                  </w:pPr>
                  <w:r w:rsidRPr="00081C8E">
                    <w:rPr>
                      <w:lang w:val="en-GB"/>
                    </w:rPr>
                    <w:t>Infringements of employers' organizations' right to protection of their premises and property</w:t>
                  </w:r>
                </w:p>
              </w:tc>
              <w:tc>
                <w:tcPr>
                  <w:tcW w:w="95" w:type="dxa"/>
                  <w:shd w:val="clear" w:color="000000" w:fill="FFFFFF"/>
                  <w:tcMar>
                    <w:top w:w="15" w:type="dxa"/>
                    <w:left w:w="15" w:type="dxa"/>
                    <w:bottom w:w="0" w:type="dxa"/>
                    <w:right w:w="15" w:type="dxa"/>
                  </w:tcMar>
                  <w:hideMark/>
                </w:tcPr>
                <w:p w14:paraId="789D1DB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E8A6E78" w14:textId="77777777" w:rsidR="00E45009" w:rsidRPr="00081C8E" w:rsidRDefault="00E45009" w:rsidP="00E45009">
                  <w:pPr>
                    <w:pStyle w:val="NoSpacing"/>
                    <w:rPr>
                      <w:lang w:val="en-GB"/>
                    </w:rPr>
                  </w:pPr>
                  <w:r w:rsidRPr="00081C8E">
                    <w:rPr>
                      <w:lang w:val="en-GB"/>
                    </w:rPr>
                    <w:t>3.85</w:t>
                  </w:r>
                </w:p>
              </w:tc>
              <w:tc>
                <w:tcPr>
                  <w:tcW w:w="427" w:type="dxa"/>
                  <w:shd w:val="clear" w:color="000000" w:fill="FFFFFF"/>
                  <w:noWrap/>
                  <w:tcMar>
                    <w:top w:w="15" w:type="dxa"/>
                    <w:left w:w="15" w:type="dxa"/>
                    <w:bottom w:w="0" w:type="dxa"/>
                    <w:right w:w="15" w:type="dxa"/>
                  </w:tcMar>
                  <w:hideMark/>
                </w:tcPr>
                <w:p w14:paraId="5FBCBBD9"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667F4DE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CDC30C5"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6647C297" w14:textId="77777777" w:rsidR="00E45009" w:rsidRPr="00081C8E" w:rsidRDefault="00E45009" w:rsidP="00E45009">
                  <w:pPr>
                    <w:pStyle w:val="NoSpacing"/>
                    <w:rPr>
                      <w:lang w:val="en-GB"/>
                    </w:rPr>
                  </w:pPr>
                  <w:r w:rsidRPr="00081C8E">
                    <w:rPr>
                      <w:lang w:val="en-GB"/>
                    </w:rPr>
                    <w:t>0.62</w:t>
                  </w:r>
                </w:p>
              </w:tc>
              <w:tc>
                <w:tcPr>
                  <w:tcW w:w="78" w:type="dxa"/>
                  <w:shd w:val="clear" w:color="000000" w:fill="FFFFFF"/>
                  <w:noWrap/>
                  <w:tcMar>
                    <w:top w:w="15" w:type="dxa"/>
                    <w:left w:w="15" w:type="dxa"/>
                    <w:bottom w:w="0" w:type="dxa"/>
                    <w:right w:w="15" w:type="dxa"/>
                  </w:tcMar>
                  <w:hideMark/>
                </w:tcPr>
                <w:p w14:paraId="6A01109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5E5723A" w14:textId="77777777" w:rsidR="00E45009" w:rsidRPr="00081C8E" w:rsidRDefault="00E45009" w:rsidP="00E45009">
                  <w:pPr>
                    <w:pStyle w:val="NoSpacing"/>
                    <w:rPr>
                      <w:lang w:val="en-GB"/>
                    </w:rPr>
                  </w:pPr>
                  <w:r w:rsidRPr="00081C8E">
                    <w:rPr>
                      <w:lang w:val="en-GB"/>
                    </w:rPr>
                    <w:t>1.73</w:t>
                  </w:r>
                </w:p>
              </w:tc>
            </w:tr>
            <w:tr w:rsidR="00E45009" w:rsidRPr="00081C8E" w14:paraId="6C969CC6" w14:textId="77777777" w:rsidTr="00DB32C0">
              <w:trPr>
                <w:trHeight w:val="255"/>
              </w:trPr>
              <w:tc>
                <w:tcPr>
                  <w:tcW w:w="185" w:type="dxa"/>
                  <w:shd w:val="clear" w:color="000000" w:fill="FFFFFF"/>
                  <w:noWrap/>
                  <w:tcMar>
                    <w:top w:w="15" w:type="dxa"/>
                    <w:left w:w="15" w:type="dxa"/>
                    <w:bottom w:w="0" w:type="dxa"/>
                    <w:right w:w="15" w:type="dxa"/>
                  </w:tcMar>
                  <w:hideMark/>
                </w:tcPr>
                <w:p w14:paraId="78F79E81" w14:textId="77777777" w:rsidR="00E45009" w:rsidRPr="00081C8E" w:rsidRDefault="00E45009" w:rsidP="00E45009">
                  <w:pPr>
                    <w:pStyle w:val="NoSpacing"/>
                    <w:rPr>
                      <w:lang w:val="en-GB"/>
                    </w:rPr>
                  </w:pPr>
                  <w:r w:rsidRPr="00081C8E">
                    <w:rPr>
                      <w:lang w:val="en-GB"/>
                    </w:rPr>
                    <w:t>4</w:t>
                  </w:r>
                </w:p>
              </w:tc>
              <w:tc>
                <w:tcPr>
                  <w:tcW w:w="5870" w:type="dxa"/>
                  <w:shd w:val="clear" w:color="000000" w:fill="FFFFFF"/>
                  <w:tcMar>
                    <w:top w:w="15" w:type="dxa"/>
                    <w:left w:w="15" w:type="dxa"/>
                    <w:bottom w:w="0" w:type="dxa"/>
                    <w:right w:w="15" w:type="dxa"/>
                  </w:tcMar>
                  <w:vAlign w:val="center"/>
                  <w:hideMark/>
                </w:tcPr>
                <w:p w14:paraId="4E88A749" w14:textId="77777777" w:rsidR="00E45009" w:rsidRPr="00081C8E" w:rsidRDefault="00E45009" w:rsidP="00E45009">
                  <w:pPr>
                    <w:pStyle w:val="NoSpacing"/>
                    <w:rPr>
                      <w:lang w:val="en-GB"/>
                    </w:rPr>
                  </w:pPr>
                  <w:r w:rsidRPr="00081C8E">
                    <w:rPr>
                      <w:lang w:val="en-GB"/>
                    </w:rPr>
                    <w:t>Excessive prohibitions/restrictions on employers' organizations' rights in the event of state of emergency</w:t>
                  </w:r>
                </w:p>
              </w:tc>
              <w:tc>
                <w:tcPr>
                  <w:tcW w:w="95" w:type="dxa"/>
                  <w:shd w:val="clear" w:color="000000" w:fill="FFFFFF"/>
                  <w:tcMar>
                    <w:top w:w="15" w:type="dxa"/>
                    <w:left w:w="15" w:type="dxa"/>
                    <w:bottom w:w="0" w:type="dxa"/>
                    <w:right w:w="15" w:type="dxa"/>
                  </w:tcMar>
                  <w:hideMark/>
                </w:tcPr>
                <w:p w14:paraId="6B866F1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F5FA6F6" w14:textId="77777777" w:rsidR="00E45009" w:rsidRPr="00081C8E" w:rsidRDefault="00E45009" w:rsidP="00E45009">
                  <w:pPr>
                    <w:pStyle w:val="NoSpacing"/>
                    <w:rPr>
                      <w:lang w:val="en-GB"/>
                    </w:rPr>
                  </w:pPr>
                  <w:r w:rsidRPr="00081C8E">
                    <w:rPr>
                      <w:lang w:val="en-GB"/>
                    </w:rPr>
                    <w:t>3.68</w:t>
                  </w:r>
                </w:p>
              </w:tc>
              <w:tc>
                <w:tcPr>
                  <w:tcW w:w="427" w:type="dxa"/>
                  <w:shd w:val="clear" w:color="000000" w:fill="FFFFFF"/>
                  <w:noWrap/>
                  <w:tcMar>
                    <w:top w:w="15" w:type="dxa"/>
                    <w:left w:w="15" w:type="dxa"/>
                    <w:bottom w:w="0" w:type="dxa"/>
                    <w:right w:w="15" w:type="dxa"/>
                  </w:tcMar>
                  <w:hideMark/>
                </w:tcPr>
                <w:p w14:paraId="3394DF72" w14:textId="77777777" w:rsidR="00E45009" w:rsidRPr="00081C8E" w:rsidRDefault="00E45009" w:rsidP="00E45009">
                  <w:pPr>
                    <w:pStyle w:val="NoSpacing"/>
                    <w:rPr>
                      <w:lang w:val="en-GB"/>
                    </w:rPr>
                  </w:pPr>
                  <w:r w:rsidRPr="00081C8E">
                    <w:rPr>
                      <w:lang w:val="en-GB"/>
                    </w:rPr>
                    <w:t>1.09</w:t>
                  </w:r>
                </w:p>
              </w:tc>
              <w:tc>
                <w:tcPr>
                  <w:tcW w:w="88" w:type="dxa"/>
                  <w:shd w:val="clear" w:color="000000" w:fill="FFFFFF"/>
                  <w:noWrap/>
                  <w:tcMar>
                    <w:top w:w="15" w:type="dxa"/>
                    <w:left w:w="15" w:type="dxa"/>
                    <w:bottom w:w="0" w:type="dxa"/>
                    <w:right w:w="15" w:type="dxa"/>
                  </w:tcMar>
                  <w:hideMark/>
                </w:tcPr>
                <w:p w14:paraId="714CD51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B984B98" w14:textId="77777777" w:rsidR="00E45009" w:rsidRPr="00081C8E" w:rsidRDefault="00E45009" w:rsidP="00E45009">
                  <w:pPr>
                    <w:pStyle w:val="NoSpacing"/>
                    <w:rPr>
                      <w:lang w:val="en-GB"/>
                    </w:rPr>
                  </w:pPr>
                  <w:r w:rsidRPr="00081C8E">
                    <w:rPr>
                      <w:lang w:val="en-GB"/>
                    </w:rPr>
                    <w:t>3.64</w:t>
                  </w:r>
                </w:p>
              </w:tc>
              <w:tc>
                <w:tcPr>
                  <w:tcW w:w="427" w:type="dxa"/>
                  <w:shd w:val="clear" w:color="000000" w:fill="FFFFFF"/>
                  <w:noWrap/>
                  <w:tcMar>
                    <w:top w:w="15" w:type="dxa"/>
                    <w:left w:w="15" w:type="dxa"/>
                    <w:bottom w:w="0" w:type="dxa"/>
                    <w:right w:w="15" w:type="dxa"/>
                  </w:tcMar>
                  <w:hideMark/>
                </w:tcPr>
                <w:p w14:paraId="0C98D785" w14:textId="77777777" w:rsidR="00E45009" w:rsidRPr="00081C8E" w:rsidRDefault="00E45009" w:rsidP="00E45009">
                  <w:pPr>
                    <w:pStyle w:val="NoSpacing"/>
                    <w:rPr>
                      <w:lang w:val="en-GB"/>
                    </w:rPr>
                  </w:pPr>
                  <w:r w:rsidRPr="00081C8E">
                    <w:rPr>
                      <w:lang w:val="en-GB"/>
                    </w:rPr>
                    <w:t>0.63</w:t>
                  </w:r>
                </w:p>
              </w:tc>
              <w:tc>
                <w:tcPr>
                  <w:tcW w:w="78" w:type="dxa"/>
                  <w:shd w:val="clear" w:color="000000" w:fill="FFFFFF"/>
                  <w:noWrap/>
                  <w:tcMar>
                    <w:top w:w="15" w:type="dxa"/>
                    <w:left w:w="15" w:type="dxa"/>
                    <w:bottom w:w="0" w:type="dxa"/>
                    <w:right w:w="15" w:type="dxa"/>
                  </w:tcMar>
                  <w:hideMark/>
                </w:tcPr>
                <w:p w14:paraId="5E90BFDD"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21D641D" w14:textId="77777777" w:rsidR="00E45009" w:rsidRPr="00081C8E" w:rsidRDefault="00E45009" w:rsidP="00E45009">
                  <w:pPr>
                    <w:pStyle w:val="NoSpacing"/>
                    <w:rPr>
                      <w:lang w:val="en-GB"/>
                    </w:rPr>
                  </w:pPr>
                  <w:r w:rsidRPr="00081C8E">
                    <w:rPr>
                      <w:lang w:val="en-GB"/>
                    </w:rPr>
                    <w:t>1.66</w:t>
                  </w:r>
                </w:p>
              </w:tc>
            </w:tr>
            <w:tr w:rsidR="00E45009" w:rsidRPr="00081C8E" w14:paraId="0C9A9795" w14:textId="77777777" w:rsidTr="00DB32C0">
              <w:trPr>
                <w:trHeight w:val="255"/>
              </w:trPr>
              <w:tc>
                <w:tcPr>
                  <w:tcW w:w="185" w:type="dxa"/>
                  <w:shd w:val="clear" w:color="000000" w:fill="FFFFFF"/>
                  <w:noWrap/>
                  <w:tcMar>
                    <w:top w:w="15" w:type="dxa"/>
                    <w:left w:w="15" w:type="dxa"/>
                    <w:bottom w:w="0" w:type="dxa"/>
                    <w:right w:w="15" w:type="dxa"/>
                  </w:tcMar>
                  <w:hideMark/>
                </w:tcPr>
                <w:p w14:paraId="69095C07" w14:textId="77777777" w:rsidR="00E45009" w:rsidRPr="00081C8E" w:rsidRDefault="00E45009" w:rsidP="00E45009">
                  <w:pPr>
                    <w:pStyle w:val="NoSpacing"/>
                    <w:rPr>
                      <w:lang w:val="en-GB"/>
                    </w:rPr>
                  </w:pPr>
                  <w:r w:rsidRPr="00081C8E">
                    <w:rPr>
                      <w:lang w:val="en-GB"/>
                    </w:rPr>
                    <w:t>5</w:t>
                  </w:r>
                </w:p>
              </w:tc>
              <w:tc>
                <w:tcPr>
                  <w:tcW w:w="5870" w:type="dxa"/>
                  <w:shd w:val="clear" w:color="000000" w:fill="FFFFFF"/>
                  <w:tcMar>
                    <w:top w:w="15" w:type="dxa"/>
                    <w:left w:w="15" w:type="dxa"/>
                    <w:bottom w:w="0" w:type="dxa"/>
                    <w:right w:w="15" w:type="dxa"/>
                  </w:tcMar>
                  <w:vAlign w:val="center"/>
                  <w:hideMark/>
                </w:tcPr>
                <w:p w14:paraId="271C5B60" w14:textId="77777777" w:rsidR="00E45009" w:rsidRPr="00081C8E" w:rsidRDefault="00E45009" w:rsidP="00E45009">
                  <w:pPr>
                    <w:pStyle w:val="NoSpacing"/>
                    <w:rPr>
                      <w:lang w:val="en-GB"/>
                    </w:rPr>
                  </w:pPr>
                  <w:r w:rsidRPr="00081C8E">
                    <w:rPr>
                      <w:lang w:val="en-GB"/>
                    </w:rPr>
                    <w:t>Lack of guarantee of due process and/or justice re violations nos. 1-4</w:t>
                  </w:r>
                </w:p>
              </w:tc>
              <w:tc>
                <w:tcPr>
                  <w:tcW w:w="95" w:type="dxa"/>
                  <w:shd w:val="clear" w:color="000000" w:fill="FFFFFF"/>
                  <w:tcMar>
                    <w:top w:w="15" w:type="dxa"/>
                    <w:left w:w="15" w:type="dxa"/>
                    <w:bottom w:w="0" w:type="dxa"/>
                    <w:right w:w="15" w:type="dxa"/>
                  </w:tcMar>
                  <w:hideMark/>
                </w:tcPr>
                <w:p w14:paraId="05EA3BC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60338B4" w14:textId="77777777" w:rsidR="00E45009" w:rsidRPr="00081C8E" w:rsidRDefault="00E45009" w:rsidP="00E45009">
                  <w:pPr>
                    <w:pStyle w:val="NoSpacing"/>
                    <w:rPr>
                      <w:lang w:val="en-GB"/>
                    </w:rPr>
                  </w:pPr>
                  <w:r w:rsidRPr="00081C8E">
                    <w:rPr>
                      <w:lang w:val="en-GB"/>
                    </w:rPr>
                    <w:t>4.23</w:t>
                  </w:r>
                </w:p>
              </w:tc>
              <w:tc>
                <w:tcPr>
                  <w:tcW w:w="427" w:type="dxa"/>
                  <w:shd w:val="clear" w:color="000000" w:fill="FFFFFF"/>
                  <w:noWrap/>
                  <w:tcMar>
                    <w:top w:w="15" w:type="dxa"/>
                    <w:left w:w="15" w:type="dxa"/>
                    <w:bottom w:w="0" w:type="dxa"/>
                    <w:right w:w="15" w:type="dxa"/>
                  </w:tcMar>
                  <w:hideMark/>
                </w:tcPr>
                <w:p w14:paraId="44A2FFD9" w14:textId="77777777" w:rsidR="00E45009" w:rsidRPr="00081C8E" w:rsidRDefault="00E45009" w:rsidP="00E45009">
                  <w:pPr>
                    <w:pStyle w:val="NoSpacing"/>
                    <w:rPr>
                      <w:lang w:val="en-GB"/>
                    </w:rPr>
                  </w:pPr>
                  <w:r w:rsidRPr="00081C8E">
                    <w:rPr>
                      <w:lang w:val="en-GB"/>
                    </w:rPr>
                    <w:t>0.91</w:t>
                  </w:r>
                </w:p>
              </w:tc>
              <w:tc>
                <w:tcPr>
                  <w:tcW w:w="88" w:type="dxa"/>
                  <w:shd w:val="clear" w:color="000000" w:fill="FFFFFF"/>
                  <w:noWrap/>
                  <w:tcMar>
                    <w:top w:w="15" w:type="dxa"/>
                    <w:left w:w="15" w:type="dxa"/>
                    <w:bottom w:w="0" w:type="dxa"/>
                    <w:right w:w="15" w:type="dxa"/>
                  </w:tcMar>
                  <w:hideMark/>
                </w:tcPr>
                <w:p w14:paraId="3C3DF2F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F9F8E81" w14:textId="77777777" w:rsidR="00E45009" w:rsidRPr="00081C8E" w:rsidRDefault="00E45009" w:rsidP="00E45009">
                  <w:pPr>
                    <w:pStyle w:val="NoSpacing"/>
                    <w:rPr>
                      <w:lang w:val="en-GB"/>
                    </w:rPr>
                  </w:pPr>
                  <w:r w:rsidRPr="00081C8E">
                    <w:rPr>
                      <w:lang w:val="en-GB"/>
                    </w:rPr>
                    <w:t>4.43</w:t>
                  </w:r>
                </w:p>
              </w:tc>
              <w:tc>
                <w:tcPr>
                  <w:tcW w:w="427" w:type="dxa"/>
                  <w:shd w:val="clear" w:color="000000" w:fill="FFFFFF"/>
                  <w:noWrap/>
                  <w:tcMar>
                    <w:top w:w="15" w:type="dxa"/>
                    <w:left w:w="15" w:type="dxa"/>
                    <w:bottom w:w="0" w:type="dxa"/>
                    <w:right w:w="15" w:type="dxa"/>
                  </w:tcMar>
                  <w:hideMark/>
                </w:tcPr>
                <w:p w14:paraId="172AC65B" w14:textId="77777777" w:rsidR="00E45009" w:rsidRPr="00081C8E" w:rsidRDefault="00E45009" w:rsidP="00E45009">
                  <w:pPr>
                    <w:pStyle w:val="NoSpacing"/>
                    <w:rPr>
                      <w:lang w:val="en-GB"/>
                    </w:rPr>
                  </w:pPr>
                  <w:r w:rsidRPr="00081C8E">
                    <w:rPr>
                      <w:lang w:val="en-GB"/>
                    </w:rPr>
                    <w:t>0.65</w:t>
                  </w:r>
                </w:p>
              </w:tc>
              <w:tc>
                <w:tcPr>
                  <w:tcW w:w="78" w:type="dxa"/>
                  <w:shd w:val="clear" w:color="000000" w:fill="FFFFFF"/>
                  <w:noWrap/>
                  <w:tcMar>
                    <w:top w:w="15" w:type="dxa"/>
                    <w:left w:w="15" w:type="dxa"/>
                    <w:bottom w:w="0" w:type="dxa"/>
                    <w:right w:w="15" w:type="dxa"/>
                  </w:tcMar>
                  <w:hideMark/>
                </w:tcPr>
                <w:p w14:paraId="5F083C3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9FAFBCC" w14:textId="77777777" w:rsidR="00E45009" w:rsidRPr="00081C8E" w:rsidRDefault="00E45009" w:rsidP="00E45009">
                  <w:pPr>
                    <w:pStyle w:val="NoSpacing"/>
                    <w:rPr>
                      <w:lang w:val="en-GB"/>
                    </w:rPr>
                  </w:pPr>
                  <w:r w:rsidRPr="00081C8E">
                    <w:rPr>
                      <w:lang w:val="en-GB"/>
                    </w:rPr>
                    <w:t>1.86</w:t>
                  </w:r>
                </w:p>
              </w:tc>
            </w:tr>
            <w:tr w:rsidR="00E45009" w:rsidRPr="00081C8E" w14:paraId="5DA78631" w14:textId="77777777" w:rsidTr="00DB32C0">
              <w:trPr>
                <w:trHeight w:val="255"/>
              </w:trPr>
              <w:tc>
                <w:tcPr>
                  <w:tcW w:w="185" w:type="dxa"/>
                  <w:shd w:val="clear" w:color="000000" w:fill="FFFFFF"/>
                  <w:noWrap/>
                  <w:tcMar>
                    <w:top w:w="15" w:type="dxa"/>
                    <w:left w:w="15" w:type="dxa"/>
                    <w:bottom w:w="0" w:type="dxa"/>
                    <w:right w:w="15" w:type="dxa"/>
                  </w:tcMar>
                  <w:hideMark/>
                </w:tcPr>
                <w:p w14:paraId="21B5D3C5" w14:textId="77777777" w:rsidR="00E45009" w:rsidRPr="00081C8E" w:rsidRDefault="00E45009" w:rsidP="00E45009">
                  <w:pPr>
                    <w:pStyle w:val="NoSpacing"/>
                    <w:rPr>
                      <w:lang w:val="en-GB"/>
                    </w:rPr>
                  </w:pPr>
                  <w:r w:rsidRPr="00081C8E">
                    <w:rPr>
                      <w:lang w:val="en-GB"/>
                    </w:rPr>
                    <w:t> </w:t>
                  </w:r>
                </w:p>
              </w:tc>
              <w:tc>
                <w:tcPr>
                  <w:tcW w:w="5870" w:type="dxa"/>
                  <w:shd w:val="clear" w:color="000000" w:fill="FFFFFF"/>
                  <w:tcMar>
                    <w:top w:w="15" w:type="dxa"/>
                    <w:left w:w="15" w:type="dxa"/>
                    <w:bottom w:w="0" w:type="dxa"/>
                    <w:right w:w="15" w:type="dxa"/>
                  </w:tcMar>
                  <w:vAlign w:val="center"/>
                  <w:hideMark/>
                </w:tcPr>
                <w:p w14:paraId="5789FF96" w14:textId="77777777" w:rsidR="00E45009" w:rsidRPr="00081C8E" w:rsidRDefault="00E45009" w:rsidP="00E45009">
                  <w:pPr>
                    <w:pStyle w:val="NoSpacing"/>
                    <w:rPr>
                      <w:b/>
                      <w:bCs/>
                      <w:lang w:val="en-GB"/>
                    </w:rPr>
                  </w:pPr>
                  <w:r w:rsidRPr="00081C8E">
                    <w:rPr>
                      <w:b/>
                      <w:bCs/>
                      <w:lang w:val="en-GB"/>
                    </w:rPr>
                    <w:t>Ib. Fundamental civil liberties in practice</w:t>
                  </w:r>
                </w:p>
              </w:tc>
              <w:tc>
                <w:tcPr>
                  <w:tcW w:w="95" w:type="dxa"/>
                  <w:shd w:val="clear" w:color="000000" w:fill="FFFFFF"/>
                  <w:tcMar>
                    <w:top w:w="15" w:type="dxa"/>
                    <w:left w:w="15" w:type="dxa"/>
                    <w:bottom w:w="0" w:type="dxa"/>
                    <w:right w:w="15" w:type="dxa"/>
                  </w:tcMar>
                  <w:hideMark/>
                </w:tcPr>
                <w:p w14:paraId="641F0138"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147EB87C"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5C78192E"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066AD30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B2E7ACD"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5129DA58"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4DAA53E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A62DC3B" w14:textId="77777777" w:rsidR="00E45009" w:rsidRPr="00081C8E" w:rsidRDefault="00E45009" w:rsidP="00E45009">
                  <w:pPr>
                    <w:pStyle w:val="NoSpacing"/>
                    <w:rPr>
                      <w:lang w:val="en-GB"/>
                    </w:rPr>
                  </w:pPr>
                  <w:r w:rsidRPr="00081C8E">
                    <w:rPr>
                      <w:lang w:val="en-GB"/>
                    </w:rPr>
                    <w:t> </w:t>
                  </w:r>
                </w:p>
              </w:tc>
            </w:tr>
            <w:tr w:rsidR="00E45009" w:rsidRPr="00081C8E" w14:paraId="1F4EC0C1" w14:textId="77777777" w:rsidTr="00DB32C0">
              <w:trPr>
                <w:trHeight w:val="255"/>
              </w:trPr>
              <w:tc>
                <w:tcPr>
                  <w:tcW w:w="185" w:type="dxa"/>
                  <w:shd w:val="clear" w:color="000000" w:fill="FFFFFF"/>
                  <w:noWrap/>
                  <w:tcMar>
                    <w:top w:w="15" w:type="dxa"/>
                    <w:left w:w="15" w:type="dxa"/>
                    <w:bottom w:w="0" w:type="dxa"/>
                    <w:right w:w="15" w:type="dxa"/>
                  </w:tcMar>
                  <w:hideMark/>
                </w:tcPr>
                <w:p w14:paraId="7ED3FFEE" w14:textId="77777777" w:rsidR="00E45009" w:rsidRPr="00081C8E" w:rsidRDefault="00E45009" w:rsidP="00E45009">
                  <w:pPr>
                    <w:pStyle w:val="NoSpacing"/>
                    <w:rPr>
                      <w:lang w:val="en-GB"/>
                    </w:rPr>
                  </w:pPr>
                  <w:r w:rsidRPr="00081C8E">
                    <w:rPr>
                      <w:lang w:val="en-GB"/>
                    </w:rPr>
                    <w:t>6</w:t>
                  </w:r>
                </w:p>
              </w:tc>
              <w:tc>
                <w:tcPr>
                  <w:tcW w:w="5870" w:type="dxa"/>
                  <w:shd w:val="clear" w:color="000000" w:fill="FFFFFF"/>
                  <w:tcMar>
                    <w:top w:w="15" w:type="dxa"/>
                    <w:left w:w="15" w:type="dxa"/>
                    <w:bottom w:w="0" w:type="dxa"/>
                    <w:right w:w="15" w:type="dxa"/>
                  </w:tcMar>
                  <w:vAlign w:val="center"/>
                  <w:hideMark/>
                </w:tcPr>
                <w:p w14:paraId="260E5083" w14:textId="77777777" w:rsidR="00E45009" w:rsidRPr="00081C8E" w:rsidRDefault="00E45009" w:rsidP="00E45009">
                  <w:pPr>
                    <w:pStyle w:val="NoSpacing"/>
                    <w:rPr>
                      <w:lang w:val="en-GB"/>
                    </w:rPr>
                  </w:pPr>
                  <w:r w:rsidRPr="00081C8E">
                    <w:rPr>
                      <w:lang w:val="en-GB"/>
                    </w:rPr>
                    <w:t>Killing or disappearance of members of employers' organizations in relation to their related activities</w:t>
                  </w:r>
                </w:p>
              </w:tc>
              <w:tc>
                <w:tcPr>
                  <w:tcW w:w="95" w:type="dxa"/>
                  <w:shd w:val="clear" w:color="000000" w:fill="FFFFFF"/>
                  <w:tcMar>
                    <w:top w:w="15" w:type="dxa"/>
                    <w:left w:w="15" w:type="dxa"/>
                    <w:bottom w:w="0" w:type="dxa"/>
                    <w:right w:w="15" w:type="dxa"/>
                  </w:tcMar>
                  <w:hideMark/>
                </w:tcPr>
                <w:p w14:paraId="0E337F9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8B2A110" w14:textId="77777777" w:rsidR="00E45009" w:rsidRPr="00081C8E" w:rsidRDefault="00E45009" w:rsidP="00E45009">
                  <w:pPr>
                    <w:pStyle w:val="NoSpacing"/>
                    <w:rPr>
                      <w:lang w:val="en-GB"/>
                    </w:rPr>
                  </w:pPr>
                  <w:r w:rsidRPr="00081C8E">
                    <w:rPr>
                      <w:lang w:val="en-GB"/>
                    </w:rPr>
                    <w:t>5.00</w:t>
                  </w:r>
                </w:p>
              </w:tc>
              <w:tc>
                <w:tcPr>
                  <w:tcW w:w="427" w:type="dxa"/>
                  <w:shd w:val="clear" w:color="000000" w:fill="FFFFFF"/>
                  <w:noWrap/>
                  <w:tcMar>
                    <w:top w:w="15" w:type="dxa"/>
                    <w:left w:w="15" w:type="dxa"/>
                    <w:bottom w:w="0" w:type="dxa"/>
                    <w:right w:w="15" w:type="dxa"/>
                  </w:tcMar>
                  <w:hideMark/>
                </w:tcPr>
                <w:p w14:paraId="27D9E185" w14:textId="77777777" w:rsidR="00E45009" w:rsidRPr="00081C8E" w:rsidRDefault="00E45009" w:rsidP="00E45009">
                  <w:pPr>
                    <w:pStyle w:val="NoSpacing"/>
                    <w:rPr>
                      <w:lang w:val="en-GB"/>
                    </w:rPr>
                  </w:pPr>
                  <w:r w:rsidRPr="00081C8E">
                    <w:rPr>
                      <w:lang w:val="en-GB"/>
                    </w:rPr>
                    <w:t>0.00</w:t>
                  </w:r>
                </w:p>
              </w:tc>
              <w:tc>
                <w:tcPr>
                  <w:tcW w:w="88" w:type="dxa"/>
                  <w:shd w:val="clear" w:color="000000" w:fill="FFFFFF"/>
                  <w:noWrap/>
                  <w:tcMar>
                    <w:top w:w="15" w:type="dxa"/>
                    <w:left w:w="15" w:type="dxa"/>
                    <w:bottom w:w="0" w:type="dxa"/>
                    <w:right w:w="15" w:type="dxa"/>
                  </w:tcMar>
                  <w:hideMark/>
                </w:tcPr>
                <w:p w14:paraId="6CAD64B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2FD7933" w14:textId="77777777" w:rsidR="00E45009" w:rsidRPr="00081C8E" w:rsidRDefault="00E45009" w:rsidP="00E45009">
                  <w:pPr>
                    <w:pStyle w:val="NoSpacing"/>
                    <w:rPr>
                      <w:lang w:val="en-GB"/>
                    </w:rPr>
                  </w:pPr>
                  <w:r w:rsidRPr="00081C8E">
                    <w:rPr>
                      <w:lang w:val="en-GB"/>
                    </w:rPr>
                    <w:t>5.00</w:t>
                  </w:r>
                </w:p>
              </w:tc>
              <w:tc>
                <w:tcPr>
                  <w:tcW w:w="427" w:type="dxa"/>
                  <w:shd w:val="clear" w:color="000000" w:fill="FFFFFF"/>
                  <w:noWrap/>
                  <w:tcMar>
                    <w:top w:w="15" w:type="dxa"/>
                    <w:left w:w="15" w:type="dxa"/>
                    <w:bottom w:w="0" w:type="dxa"/>
                    <w:right w:w="15" w:type="dxa"/>
                  </w:tcMar>
                  <w:hideMark/>
                </w:tcPr>
                <w:p w14:paraId="611F86B2" w14:textId="77777777" w:rsidR="00E45009" w:rsidRPr="00081C8E" w:rsidRDefault="00E45009" w:rsidP="00E45009">
                  <w:pPr>
                    <w:pStyle w:val="NoSpacing"/>
                    <w:rPr>
                      <w:lang w:val="en-GB"/>
                    </w:rPr>
                  </w:pPr>
                  <w:r w:rsidRPr="00081C8E">
                    <w:rPr>
                      <w:lang w:val="en-GB"/>
                    </w:rPr>
                    <w:t>0.00</w:t>
                  </w:r>
                </w:p>
              </w:tc>
              <w:tc>
                <w:tcPr>
                  <w:tcW w:w="78" w:type="dxa"/>
                  <w:shd w:val="clear" w:color="000000" w:fill="FFFFFF"/>
                  <w:noWrap/>
                  <w:tcMar>
                    <w:top w:w="15" w:type="dxa"/>
                    <w:left w:w="15" w:type="dxa"/>
                    <w:bottom w:w="0" w:type="dxa"/>
                    <w:right w:w="15" w:type="dxa"/>
                  </w:tcMar>
                  <w:hideMark/>
                </w:tcPr>
                <w:p w14:paraId="117F4D75"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BCB3F78" w14:textId="77777777" w:rsidR="00E45009" w:rsidRPr="00081C8E" w:rsidRDefault="00E45009" w:rsidP="00E45009">
                  <w:pPr>
                    <w:pStyle w:val="NoSpacing"/>
                    <w:rPr>
                      <w:lang w:val="en-GB"/>
                    </w:rPr>
                  </w:pPr>
                  <w:r w:rsidRPr="00081C8E">
                    <w:rPr>
                      <w:lang w:val="en-GB"/>
                    </w:rPr>
                    <w:t>2.00</w:t>
                  </w:r>
                </w:p>
              </w:tc>
            </w:tr>
            <w:tr w:rsidR="00E45009" w:rsidRPr="00081C8E" w14:paraId="2D44CA9D" w14:textId="77777777" w:rsidTr="00DB32C0">
              <w:trPr>
                <w:trHeight w:val="255"/>
              </w:trPr>
              <w:tc>
                <w:tcPr>
                  <w:tcW w:w="185" w:type="dxa"/>
                  <w:shd w:val="clear" w:color="000000" w:fill="FFFFFF"/>
                  <w:noWrap/>
                  <w:tcMar>
                    <w:top w:w="15" w:type="dxa"/>
                    <w:left w:w="15" w:type="dxa"/>
                    <w:bottom w:w="0" w:type="dxa"/>
                    <w:right w:w="15" w:type="dxa"/>
                  </w:tcMar>
                  <w:hideMark/>
                </w:tcPr>
                <w:p w14:paraId="2B455DA4" w14:textId="77777777" w:rsidR="00E45009" w:rsidRPr="00081C8E" w:rsidRDefault="00E45009" w:rsidP="00E45009">
                  <w:pPr>
                    <w:pStyle w:val="NoSpacing"/>
                    <w:rPr>
                      <w:lang w:val="en-GB"/>
                    </w:rPr>
                  </w:pPr>
                  <w:r w:rsidRPr="00081C8E">
                    <w:rPr>
                      <w:lang w:val="en-GB"/>
                    </w:rPr>
                    <w:t>7</w:t>
                  </w:r>
                </w:p>
              </w:tc>
              <w:tc>
                <w:tcPr>
                  <w:tcW w:w="5870" w:type="dxa"/>
                  <w:shd w:val="clear" w:color="000000" w:fill="FFFFFF"/>
                  <w:tcMar>
                    <w:top w:w="15" w:type="dxa"/>
                    <w:left w:w="15" w:type="dxa"/>
                    <w:bottom w:w="0" w:type="dxa"/>
                    <w:right w:w="15" w:type="dxa"/>
                  </w:tcMar>
                  <w:vAlign w:val="center"/>
                  <w:hideMark/>
                </w:tcPr>
                <w:p w14:paraId="1F2638E4" w14:textId="77777777" w:rsidR="00E45009" w:rsidRPr="00081C8E" w:rsidRDefault="00E45009" w:rsidP="00E45009">
                  <w:pPr>
                    <w:pStyle w:val="NoSpacing"/>
                    <w:rPr>
                      <w:lang w:val="en-GB"/>
                    </w:rPr>
                  </w:pPr>
                  <w:r w:rsidRPr="00081C8E">
                    <w:rPr>
                      <w:lang w:val="en-GB"/>
                    </w:rPr>
                    <w:t>Committed against officials of employers' organizations re violation no. 6</w:t>
                  </w:r>
                </w:p>
              </w:tc>
              <w:tc>
                <w:tcPr>
                  <w:tcW w:w="95" w:type="dxa"/>
                  <w:shd w:val="clear" w:color="000000" w:fill="FFFFFF"/>
                  <w:tcMar>
                    <w:top w:w="15" w:type="dxa"/>
                    <w:left w:w="15" w:type="dxa"/>
                    <w:bottom w:w="0" w:type="dxa"/>
                    <w:right w:w="15" w:type="dxa"/>
                  </w:tcMar>
                  <w:hideMark/>
                </w:tcPr>
                <w:p w14:paraId="1861544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8EAEC46" w14:textId="77777777" w:rsidR="00E45009" w:rsidRPr="00081C8E" w:rsidRDefault="00E45009" w:rsidP="00E45009">
                  <w:pPr>
                    <w:pStyle w:val="NoSpacing"/>
                    <w:rPr>
                      <w:lang w:val="en-GB"/>
                    </w:rPr>
                  </w:pPr>
                  <w:r w:rsidRPr="00081C8E">
                    <w:rPr>
                      <w:lang w:val="en-GB"/>
                    </w:rPr>
                    <w:t>4.92</w:t>
                  </w:r>
                </w:p>
              </w:tc>
              <w:tc>
                <w:tcPr>
                  <w:tcW w:w="427" w:type="dxa"/>
                  <w:shd w:val="clear" w:color="000000" w:fill="FFFFFF"/>
                  <w:noWrap/>
                  <w:tcMar>
                    <w:top w:w="15" w:type="dxa"/>
                    <w:left w:w="15" w:type="dxa"/>
                    <w:bottom w:w="0" w:type="dxa"/>
                    <w:right w:w="15" w:type="dxa"/>
                  </w:tcMar>
                  <w:hideMark/>
                </w:tcPr>
                <w:p w14:paraId="17773A62" w14:textId="77777777" w:rsidR="00E45009" w:rsidRPr="00081C8E" w:rsidRDefault="00E45009" w:rsidP="00E45009">
                  <w:pPr>
                    <w:pStyle w:val="NoSpacing"/>
                    <w:rPr>
                      <w:lang w:val="en-GB"/>
                    </w:rPr>
                  </w:pPr>
                  <w:r w:rsidRPr="00081C8E">
                    <w:rPr>
                      <w:lang w:val="en-GB"/>
                    </w:rPr>
                    <w:t>0.27</w:t>
                  </w:r>
                </w:p>
              </w:tc>
              <w:tc>
                <w:tcPr>
                  <w:tcW w:w="88" w:type="dxa"/>
                  <w:shd w:val="clear" w:color="000000" w:fill="FFFFFF"/>
                  <w:noWrap/>
                  <w:tcMar>
                    <w:top w:w="15" w:type="dxa"/>
                    <w:left w:w="15" w:type="dxa"/>
                    <w:bottom w:w="0" w:type="dxa"/>
                    <w:right w:w="15" w:type="dxa"/>
                  </w:tcMar>
                  <w:hideMark/>
                </w:tcPr>
                <w:p w14:paraId="54078C3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09B89FA" w14:textId="77777777" w:rsidR="00E45009" w:rsidRPr="00081C8E" w:rsidRDefault="00E45009" w:rsidP="00E45009">
                  <w:pPr>
                    <w:pStyle w:val="NoSpacing"/>
                    <w:rPr>
                      <w:lang w:val="en-GB"/>
                    </w:rPr>
                  </w:pPr>
                  <w:r w:rsidRPr="00081C8E">
                    <w:rPr>
                      <w:lang w:val="en-GB"/>
                    </w:rPr>
                    <w:t>5.00</w:t>
                  </w:r>
                </w:p>
              </w:tc>
              <w:tc>
                <w:tcPr>
                  <w:tcW w:w="427" w:type="dxa"/>
                  <w:shd w:val="clear" w:color="000000" w:fill="FFFFFF"/>
                  <w:noWrap/>
                  <w:tcMar>
                    <w:top w:w="15" w:type="dxa"/>
                    <w:left w:w="15" w:type="dxa"/>
                    <w:bottom w:w="0" w:type="dxa"/>
                    <w:right w:w="15" w:type="dxa"/>
                  </w:tcMar>
                  <w:hideMark/>
                </w:tcPr>
                <w:p w14:paraId="2A090DCB" w14:textId="77777777" w:rsidR="00E45009" w:rsidRPr="00081C8E" w:rsidRDefault="00E45009" w:rsidP="00E45009">
                  <w:pPr>
                    <w:pStyle w:val="NoSpacing"/>
                    <w:rPr>
                      <w:lang w:val="en-GB"/>
                    </w:rPr>
                  </w:pPr>
                  <w:r w:rsidRPr="00081C8E">
                    <w:rPr>
                      <w:lang w:val="en-GB"/>
                    </w:rPr>
                    <w:t>0.00</w:t>
                  </w:r>
                </w:p>
              </w:tc>
              <w:tc>
                <w:tcPr>
                  <w:tcW w:w="78" w:type="dxa"/>
                  <w:shd w:val="clear" w:color="000000" w:fill="FFFFFF"/>
                  <w:noWrap/>
                  <w:tcMar>
                    <w:top w:w="15" w:type="dxa"/>
                    <w:left w:w="15" w:type="dxa"/>
                    <w:bottom w:w="0" w:type="dxa"/>
                    <w:right w:w="15" w:type="dxa"/>
                  </w:tcMar>
                  <w:hideMark/>
                </w:tcPr>
                <w:p w14:paraId="3862F3A5"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729E50C" w14:textId="77777777" w:rsidR="00E45009" w:rsidRPr="00081C8E" w:rsidRDefault="00E45009" w:rsidP="00E45009">
                  <w:pPr>
                    <w:pStyle w:val="NoSpacing"/>
                    <w:rPr>
                      <w:lang w:val="en-GB"/>
                    </w:rPr>
                  </w:pPr>
                  <w:r w:rsidRPr="00081C8E">
                    <w:rPr>
                      <w:lang w:val="en-GB"/>
                    </w:rPr>
                    <w:t>2.00</w:t>
                  </w:r>
                </w:p>
              </w:tc>
            </w:tr>
            <w:tr w:rsidR="00E45009" w:rsidRPr="00081C8E" w14:paraId="5B07E929" w14:textId="77777777" w:rsidTr="00DB32C0">
              <w:trPr>
                <w:trHeight w:val="255"/>
              </w:trPr>
              <w:tc>
                <w:tcPr>
                  <w:tcW w:w="185" w:type="dxa"/>
                  <w:shd w:val="clear" w:color="000000" w:fill="FFFFFF"/>
                  <w:noWrap/>
                  <w:tcMar>
                    <w:top w:w="15" w:type="dxa"/>
                    <w:left w:w="15" w:type="dxa"/>
                    <w:bottom w:w="0" w:type="dxa"/>
                    <w:right w:w="15" w:type="dxa"/>
                  </w:tcMar>
                  <w:hideMark/>
                </w:tcPr>
                <w:p w14:paraId="431DA6ED" w14:textId="77777777" w:rsidR="00E45009" w:rsidRPr="00081C8E" w:rsidRDefault="00E45009" w:rsidP="00E45009">
                  <w:pPr>
                    <w:pStyle w:val="NoSpacing"/>
                    <w:rPr>
                      <w:lang w:val="en-GB"/>
                    </w:rPr>
                  </w:pPr>
                  <w:r w:rsidRPr="00081C8E">
                    <w:rPr>
                      <w:lang w:val="en-GB"/>
                    </w:rPr>
                    <w:t>8</w:t>
                  </w:r>
                </w:p>
              </w:tc>
              <w:tc>
                <w:tcPr>
                  <w:tcW w:w="5870" w:type="dxa"/>
                  <w:shd w:val="clear" w:color="000000" w:fill="FFFFFF"/>
                  <w:tcMar>
                    <w:top w:w="15" w:type="dxa"/>
                    <w:left w:w="15" w:type="dxa"/>
                    <w:bottom w:w="0" w:type="dxa"/>
                    <w:right w:w="15" w:type="dxa"/>
                  </w:tcMar>
                  <w:vAlign w:val="center"/>
                  <w:hideMark/>
                </w:tcPr>
                <w:p w14:paraId="6399AD49" w14:textId="77777777" w:rsidR="00E45009" w:rsidRPr="00081C8E" w:rsidRDefault="00E45009" w:rsidP="00E45009">
                  <w:pPr>
                    <w:pStyle w:val="NoSpacing"/>
                    <w:rPr>
                      <w:lang w:val="en-GB"/>
                    </w:rPr>
                  </w:pPr>
                  <w:r w:rsidRPr="00081C8E">
                    <w:rPr>
                      <w:lang w:val="en-GB"/>
                    </w:rPr>
                    <w:t>Lack of guarantee of due process and/or justice re violation no.6</w:t>
                  </w:r>
                </w:p>
              </w:tc>
              <w:tc>
                <w:tcPr>
                  <w:tcW w:w="95" w:type="dxa"/>
                  <w:shd w:val="clear" w:color="000000" w:fill="FFFFFF"/>
                  <w:tcMar>
                    <w:top w:w="15" w:type="dxa"/>
                    <w:left w:w="15" w:type="dxa"/>
                    <w:bottom w:w="0" w:type="dxa"/>
                    <w:right w:w="15" w:type="dxa"/>
                  </w:tcMar>
                  <w:hideMark/>
                </w:tcPr>
                <w:p w14:paraId="1999A589"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6702E58" w14:textId="77777777" w:rsidR="00E45009" w:rsidRPr="00081C8E" w:rsidRDefault="00E45009" w:rsidP="00E45009">
                  <w:pPr>
                    <w:pStyle w:val="NoSpacing"/>
                    <w:rPr>
                      <w:lang w:val="en-GB"/>
                    </w:rPr>
                  </w:pPr>
                  <w:r w:rsidRPr="00081C8E">
                    <w:rPr>
                      <w:lang w:val="en-GB"/>
                    </w:rPr>
                    <w:t>4.39</w:t>
                  </w:r>
                </w:p>
              </w:tc>
              <w:tc>
                <w:tcPr>
                  <w:tcW w:w="427" w:type="dxa"/>
                  <w:shd w:val="clear" w:color="000000" w:fill="FFFFFF"/>
                  <w:noWrap/>
                  <w:tcMar>
                    <w:top w:w="15" w:type="dxa"/>
                    <w:left w:w="15" w:type="dxa"/>
                    <w:bottom w:w="0" w:type="dxa"/>
                    <w:right w:w="15" w:type="dxa"/>
                  </w:tcMar>
                  <w:hideMark/>
                </w:tcPr>
                <w:p w14:paraId="08AEBAF1" w14:textId="77777777" w:rsidR="00E45009" w:rsidRPr="00081C8E" w:rsidRDefault="00E45009" w:rsidP="00E45009">
                  <w:pPr>
                    <w:pStyle w:val="NoSpacing"/>
                    <w:rPr>
                      <w:lang w:val="en-GB"/>
                    </w:rPr>
                  </w:pPr>
                  <w:r w:rsidRPr="00081C8E">
                    <w:rPr>
                      <w:lang w:val="en-GB"/>
                    </w:rPr>
                    <w:t>0.76</w:t>
                  </w:r>
                </w:p>
              </w:tc>
              <w:tc>
                <w:tcPr>
                  <w:tcW w:w="88" w:type="dxa"/>
                  <w:shd w:val="clear" w:color="000000" w:fill="FFFFFF"/>
                  <w:noWrap/>
                  <w:tcMar>
                    <w:top w:w="15" w:type="dxa"/>
                    <w:left w:w="15" w:type="dxa"/>
                    <w:bottom w:w="0" w:type="dxa"/>
                    <w:right w:w="15" w:type="dxa"/>
                  </w:tcMar>
                  <w:hideMark/>
                </w:tcPr>
                <w:p w14:paraId="3246624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1351682" w14:textId="77777777" w:rsidR="00E45009" w:rsidRPr="00081C8E" w:rsidRDefault="00E45009" w:rsidP="00E45009">
                  <w:pPr>
                    <w:pStyle w:val="NoSpacing"/>
                    <w:rPr>
                      <w:lang w:val="en-GB"/>
                    </w:rPr>
                  </w:pPr>
                  <w:r w:rsidRPr="00081C8E">
                    <w:rPr>
                      <w:lang w:val="en-GB"/>
                    </w:rPr>
                    <w:t>4.57</w:t>
                  </w:r>
                </w:p>
              </w:tc>
              <w:tc>
                <w:tcPr>
                  <w:tcW w:w="427" w:type="dxa"/>
                  <w:shd w:val="clear" w:color="000000" w:fill="FFFFFF"/>
                  <w:noWrap/>
                  <w:tcMar>
                    <w:top w:w="15" w:type="dxa"/>
                    <w:left w:w="15" w:type="dxa"/>
                    <w:bottom w:w="0" w:type="dxa"/>
                    <w:right w:w="15" w:type="dxa"/>
                  </w:tcMar>
                  <w:hideMark/>
                </w:tcPr>
                <w:p w14:paraId="7CAD5576" w14:textId="77777777" w:rsidR="00E45009" w:rsidRPr="00081C8E" w:rsidRDefault="00E45009" w:rsidP="00E45009">
                  <w:pPr>
                    <w:pStyle w:val="NoSpacing"/>
                    <w:rPr>
                      <w:lang w:val="en-GB"/>
                    </w:rPr>
                  </w:pPr>
                  <w:r w:rsidRPr="00081C8E">
                    <w:rPr>
                      <w:lang w:val="en-GB"/>
                    </w:rPr>
                    <w:t>0.51</w:t>
                  </w:r>
                </w:p>
              </w:tc>
              <w:tc>
                <w:tcPr>
                  <w:tcW w:w="78" w:type="dxa"/>
                  <w:shd w:val="clear" w:color="000000" w:fill="FFFFFF"/>
                  <w:noWrap/>
                  <w:tcMar>
                    <w:top w:w="15" w:type="dxa"/>
                    <w:left w:w="15" w:type="dxa"/>
                    <w:bottom w:w="0" w:type="dxa"/>
                    <w:right w:w="15" w:type="dxa"/>
                  </w:tcMar>
                  <w:hideMark/>
                </w:tcPr>
                <w:p w14:paraId="20B480B6"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7BA8EDF" w14:textId="77777777" w:rsidR="00E45009" w:rsidRPr="00081C8E" w:rsidRDefault="00E45009" w:rsidP="00E45009">
                  <w:pPr>
                    <w:pStyle w:val="NoSpacing"/>
                    <w:rPr>
                      <w:lang w:val="en-GB"/>
                    </w:rPr>
                  </w:pPr>
                  <w:r w:rsidRPr="00081C8E">
                    <w:rPr>
                      <w:lang w:val="en-GB"/>
                    </w:rPr>
                    <w:t>1.89</w:t>
                  </w:r>
                </w:p>
              </w:tc>
            </w:tr>
            <w:tr w:rsidR="00E45009" w:rsidRPr="00081C8E" w14:paraId="5B26DB1F" w14:textId="77777777" w:rsidTr="00DB32C0">
              <w:trPr>
                <w:trHeight w:val="255"/>
              </w:trPr>
              <w:tc>
                <w:tcPr>
                  <w:tcW w:w="185" w:type="dxa"/>
                  <w:shd w:val="clear" w:color="000000" w:fill="FFFFFF"/>
                  <w:noWrap/>
                  <w:tcMar>
                    <w:top w:w="15" w:type="dxa"/>
                    <w:left w:w="15" w:type="dxa"/>
                    <w:bottom w:w="0" w:type="dxa"/>
                    <w:right w:w="15" w:type="dxa"/>
                  </w:tcMar>
                  <w:hideMark/>
                </w:tcPr>
                <w:p w14:paraId="5988B62A" w14:textId="77777777" w:rsidR="00E45009" w:rsidRPr="00081C8E" w:rsidRDefault="00E45009" w:rsidP="00E45009">
                  <w:pPr>
                    <w:pStyle w:val="NoSpacing"/>
                    <w:rPr>
                      <w:lang w:val="en-GB"/>
                    </w:rPr>
                  </w:pPr>
                  <w:r w:rsidRPr="00081C8E">
                    <w:rPr>
                      <w:lang w:val="en-GB"/>
                    </w:rPr>
                    <w:t>9</w:t>
                  </w:r>
                </w:p>
              </w:tc>
              <w:tc>
                <w:tcPr>
                  <w:tcW w:w="5870" w:type="dxa"/>
                  <w:shd w:val="clear" w:color="000000" w:fill="FFFFFF"/>
                  <w:tcMar>
                    <w:top w:w="15" w:type="dxa"/>
                    <w:left w:w="15" w:type="dxa"/>
                    <w:bottom w:w="0" w:type="dxa"/>
                    <w:right w:w="15" w:type="dxa"/>
                  </w:tcMar>
                  <w:vAlign w:val="center"/>
                  <w:hideMark/>
                </w:tcPr>
                <w:p w14:paraId="6CC15527" w14:textId="77777777" w:rsidR="00E45009" w:rsidRPr="00081C8E" w:rsidRDefault="00E45009" w:rsidP="00E45009">
                  <w:pPr>
                    <w:pStyle w:val="NoSpacing"/>
                    <w:rPr>
                      <w:lang w:val="en-GB"/>
                    </w:rPr>
                  </w:pPr>
                  <w:r w:rsidRPr="00081C8E">
                    <w:rPr>
                      <w:lang w:val="en-GB"/>
                    </w:rPr>
                    <w:t>Other violent actions against members of employers' organizations in relation to their related activities</w:t>
                  </w:r>
                </w:p>
              </w:tc>
              <w:tc>
                <w:tcPr>
                  <w:tcW w:w="95" w:type="dxa"/>
                  <w:shd w:val="clear" w:color="000000" w:fill="FFFFFF"/>
                  <w:tcMar>
                    <w:top w:w="15" w:type="dxa"/>
                    <w:left w:w="15" w:type="dxa"/>
                    <w:bottom w:w="0" w:type="dxa"/>
                    <w:right w:w="15" w:type="dxa"/>
                  </w:tcMar>
                  <w:hideMark/>
                </w:tcPr>
                <w:p w14:paraId="4FECA89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50C603A" w14:textId="77777777" w:rsidR="00E45009" w:rsidRPr="00081C8E" w:rsidRDefault="00E45009" w:rsidP="00E45009">
                  <w:pPr>
                    <w:pStyle w:val="NoSpacing"/>
                    <w:rPr>
                      <w:lang w:val="en-GB"/>
                    </w:rPr>
                  </w:pPr>
                  <w:r w:rsidRPr="00081C8E">
                    <w:rPr>
                      <w:lang w:val="en-GB"/>
                    </w:rPr>
                    <w:t>4.16</w:t>
                  </w:r>
                </w:p>
              </w:tc>
              <w:tc>
                <w:tcPr>
                  <w:tcW w:w="427" w:type="dxa"/>
                  <w:shd w:val="clear" w:color="000000" w:fill="FFFFFF"/>
                  <w:noWrap/>
                  <w:tcMar>
                    <w:top w:w="15" w:type="dxa"/>
                    <w:left w:w="15" w:type="dxa"/>
                    <w:bottom w:w="0" w:type="dxa"/>
                    <w:right w:w="15" w:type="dxa"/>
                  </w:tcMar>
                  <w:hideMark/>
                </w:tcPr>
                <w:p w14:paraId="06D473D4" w14:textId="77777777" w:rsidR="00E45009" w:rsidRPr="00081C8E" w:rsidRDefault="00E45009" w:rsidP="00E45009">
                  <w:pPr>
                    <w:pStyle w:val="NoSpacing"/>
                    <w:rPr>
                      <w:lang w:val="en-GB"/>
                    </w:rPr>
                  </w:pPr>
                  <w:r w:rsidRPr="00081C8E">
                    <w:rPr>
                      <w:lang w:val="en-GB"/>
                    </w:rPr>
                    <w:t>0.70</w:t>
                  </w:r>
                </w:p>
              </w:tc>
              <w:tc>
                <w:tcPr>
                  <w:tcW w:w="88" w:type="dxa"/>
                  <w:shd w:val="clear" w:color="000000" w:fill="FFFFFF"/>
                  <w:noWrap/>
                  <w:tcMar>
                    <w:top w:w="15" w:type="dxa"/>
                    <w:left w:w="15" w:type="dxa"/>
                    <w:bottom w:w="0" w:type="dxa"/>
                    <w:right w:w="15" w:type="dxa"/>
                  </w:tcMar>
                  <w:hideMark/>
                </w:tcPr>
                <w:p w14:paraId="1F6C4EE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91CBBCF" w14:textId="77777777" w:rsidR="00E45009" w:rsidRPr="00081C8E" w:rsidRDefault="00E45009" w:rsidP="00E45009">
                  <w:pPr>
                    <w:pStyle w:val="NoSpacing"/>
                    <w:rPr>
                      <w:lang w:val="en-GB"/>
                    </w:rPr>
                  </w:pPr>
                  <w:r w:rsidRPr="00081C8E">
                    <w:rPr>
                      <w:lang w:val="en-GB"/>
                    </w:rPr>
                    <w:t>4.29</w:t>
                  </w:r>
                </w:p>
              </w:tc>
              <w:tc>
                <w:tcPr>
                  <w:tcW w:w="427" w:type="dxa"/>
                  <w:shd w:val="clear" w:color="000000" w:fill="FFFFFF"/>
                  <w:noWrap/>
                  <w:tcMar>
                    <w:top w:w="15" w:type="dxa"/>
                    <w:left w:w="15" w:type="dxa"/>
                    <w:bottom w:w="0" w:type="dxa"/>
                    <w:right w:w="15" w:type="dxa"/>
                  </w:tcMar>
                  <w:hideMark/>
                </w:tcPr>
                <w:p w14:paraId="7E5DA247"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692772D4"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296D24BB" w14:textId="77777777" w:rsidR="00E45009" w:rsidRPr="00081C8E" w:rsidRDefault="00E45009" w:rsidP="00E45009">
                  <w:pPr>
                    <w:pStyle w:val="NoSpacing"/>
                    <w:rPr>
                      <w:lang w:val="en-GB"/>
                    </w:rPr>
                  </w:pPr>
                  <w:r w:rsidRPr="00081C8E">
                    <w:rPr>
                      <w:lang w:val="en-GB"/>
                    </w:rPr>
                    <w:t>1.82</w:t>
                  </w:r>
                </w:p>
              </w:tc>
            </w:tr>
            <w:tr w:rsidR="00E45009" w:rsidRPr="00081C8E" w14:paraId="1D7659AF" w14:textId="77777777" w:rsidTr="00DB32C0">
              <w:trPr>
                <w:trHeight w:val="255"/>
              </w:trPr>
              <w:tc>
                <w:tcPr>
                  <w:tcW w:w="185" w:type="dxa"/>
                  <w:shd w:val="clear" w:color="000000" w:fill="FFFFFF"/>
                  <w:noWrap/>
                  <w:tcMar>
                    <w:top w:w="15" w:type="dxa"/>
                    <w:left w:w="15" w:type="dxa"/>
                    <w:bottom w:w="0" w:type="dxa"/>
                    <w:right w:w="15" w:type="dxa"/>
                  </w:tcMar>
                  <w:hideMark/>
                </w:tcPr>
                <w:p w14:paraId="7CB10F25" w14:textId="77777777" w:rsidR="00E45009" w:rsidRPr="00081C8E" w:rsidRDefault="00E45009" w:rsidP="00E45009">
                  <w:pPr>
                    <w:pStyle w:val="NoSpacing"/>
                    <w:rPr>
                      <w:lang w:val="en-GB"/>
                    </w:rPr>
                  </w:pPr>
                  <w:r w:rsidRPr="00081C8E">
                    <w:rPr>
                      <w:lang w:val="en-GB"/>
                    </w:rPr>
                    <w:t>10</w:t>
                  </w:r>
                </w:p>
              </w:tc>
              <w:tc>
                <w:tcPr>
                  <w:tcW w:w="5870" w:type="dxa"/>
                  <w:shd w:val="clear" w:color="000000" w:fill="FFFFFF"/>
                  <w:tcMar>
                    <w:top w:w="15" w:type="dxa"/>
                    <w:left w:w="15" w:type="dxa"/>
                    <w:bottom w:w="0" w:type="dxa"/>
                    <w:right w:w="15" w:type="dxa"/>
                  </w:tcMar>
                  <w:vAlign w:val="center"/>
                  <w:hideMark/>
                </w:tcPr>
                <w:p w14:paraId="2F9F0B4F" w14:textId="77777777" w:rsidR="00E45009" w:rsidRPr="00081C8E" w:rsidRDefault="00E45009" w:rsidP="00E45009">
                  <w:pPr>
                    <w:pStyle w:val="NoSpacing"/>
                    <w:rPr>
                      <w:lang w:val="en-GB"/>
                    </w:rPr>
                  </w:pPr>
                  <w:r w:rsidRPr="00081C8E">
                    <w:rPr>
                      <w:lang w:val="en-GB"/>
                    </w:rPr>
                    <w:t>Committed against officials of employers' organizations re violation no.9</w:t>
                  </w:r>
                </w:p>
              </w:tc>
              <w:tc>
                <w:tcPr>
                  <w:tcW w:w="95" w:type="dxa"/>
                  <w:shd w:val="clear" w:color="000000" w:fill="FFFFFF"/>
                  <w:tcMar>
                    <w:top w:w="15" w:type="dxa"/>
                    <w:left w:w="15" w:type="dxa"/>
                    <w:bottom w:w="0" w:type="dxa"/>
                    <w:right w:w="15" w:type="dxa"/>
                  </w:tcMar>
                  <w:hideMark/>
                </w:tcPr>
                <w:p w14:paraId="03819BC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E4134F3" w14:textId="77777777" w:rsidR="00E45009" w:rsidRPr="00081C8E" w:rsidRDefault="00E45009" w:rsidP="00E45009">
                  <w:pPr>
                    <w:pStyle w:val="NoSpacing"/>
                    <w:rPr>
                      <w:lang w:val="en-GB"/>
                    </w:rPr>
                  </w:pPr>
                  <w:r w:rsidRPr="00081C8E">
                    <w:rPr>
                      <w:lang w:val="en-GB"/>
                    </w:rPr>
                    <w:t>4.16</w:t>
                  </w:r>
                </w:p>
              </w:tc>
              <w:tc>
                <w:tcPr>
                  <w:tcW w:w="427" w:type="dxa"/>
                  <w:shd w:val="clear" w:color="000000" w:fill="FFFFFF"/>
                  <w:noWrap/>
                  <w:tcMar>
                    <w:top w:w="15" w:type="dxa"/>
                    <w:left w:w="15" w:type="dxa"/>
                    <w:bottom w:w="0" w:type="dxa"/>
                    <w:right w:w="15" w:type="dxa"/>
                  </w:tcMar>
                  <w:hideMark/>
                </w:tcPr>
                <w:p w14:paraId="46990F17" w14:textId="77777777" w:rsidR="00E45009" w:rsidRPr="00081C8E" w:rsidRDefault="00E45009" w:rsidP="00E45009">
                  <w:pPr>
                    <w:pStyle w:val="NoSpacing"/>
                    <w:rPr>
                      <w:lang w:val="en-GB"/>
                    </w:rPr>
                  </w:pPr>
                  <w:r w:rsidRPr="00081C8E">
                    <w:rPr>
                      <w:lang w:val="en-GB"/>
                    </w:rPr>
                    <w:t>0.70</w:t>
                  </w:r>
                </w:p>
              </w:tc>
              <w:tc>
                <w:tcPr>
                  <w:tcW w:w="88" w:type="dxa"/>
                  <w:shd w:val="clear" w:color="000000" w:fill="FFFFFF"/>
                  <w:noWrap/>
                  <w:tcMar>
                    <w:top w:w="15" w:type="dxa"/>
                    <w:left w:w="15" w:type="dxa"/>
                    <w:bottom w:w="0" w:type="dxa"/>
                    <w:right w:w="15" w:type="dxa"/>
                  </w:tcMar>
                  <w:hideMark/>
                </w:tcPr>
                <w:p w14:paraId="78E4C3C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B370AF2" w14:textId="77777777" w:rsidR="00E45009" w:rsidRPr="00081C8E" w:rsidRDefault="00E45009" w:rsidP="00E45009">
                  <w:pPr>
                    <w:pStyle w:val="NoSpacing"/>
                    <w:rPr>
                      <w:lang w:val="en-GB"/>
                    </w:rPr>
                  </w:pPr>
                  <w:r w:rsidRPr="00081C8E">
                    <w:rPr>
                      <w:lang w:val="en-GB"/>
                    </w:rPr>
                    <w:t>4.29</w:t>
                  </w:r>
                </w:p>
              </w:tc>
              <w:tc>
                <w:tcPr>
                  <w:tcW w:w="427" w:type="dxa"/>
                  <w:shd w:val="clear" w:color="000000" w:fill="FFFFFF"/>
                  <w:noWrap/>
                  <w:tcMar>
                    <w:top w:w="15" w:type="dxa"/>
                    <w:left w:w="15" w:type="dxa"/>
                    <w:bottom w:w="0" w:type="dxa"/>
                    <w:right w:w="15" w:type="dxa"/>
                  </w:tcMar>
                  <w:hideMark/>
                </w:tcPr>
                <w:p w14:paraId="09ABD08A"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1F6C03E5"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DDE1FCB" w14:textId="77777777" w:rsidR="00E45009" w:rsidRPr="00081C8E" w:rsidRDefault="00E45009" w:rsidP="00E45009">
                  <w:pPr>
                    <w:pStyle w:val="NoSpacing"/>
                    <w:rPr>
                      <w:lang w:val="en-GB"/>
                    </w:rPr>
                  </w:pPr>
                  <w:r w:rsidRPr="00081C8E">
                    <w:rPr>
                      <w:lang w:val="en-GB"/>
                    </w:rPr>
                    <w:t>1.82</w:t>
                  </w:r>
                </w:p>
              </w:tc>
            </w:tr>
            <w:tr w:rsidR="00E45009" w:rsidRPr="00081C8E" w14:paraId="4BB4FA7F" w14:textId="77777777" w:rsidTr="00DB32C0">
              <w:trPr>
                <w:trHeight w:val="255"/>
              </w:trPr>
              <w:tc>
                <w:tcPr>
                  <w:tcW w:w="185" w:type="dxa"/>
                  <w:shd w:val="clear" w:color="000000" w:fill="FFFFFF"/>
                  <w:noWrap/>
                  <w:tcMar>
                    <w:top w:w="15" w:type="dxa"/>
                    <w:left w:w="15" w:type="dxa"/>
                    <w:bottom w:w="0" w:type="dxa"/>
                    <w:right w:w="15" w:type="dxa"/>
                  </w:tcMar>
                  <w:hideMark/>
                </w:tcPr>
                <w:p w14:paraId="605B451F" w14:textId="77777777" w:rsidR="00E45009" w:rsidRPr="00081C8E" w:rsidRDefault="00E45009" w:rsidP="00E45009">
                  <w:pPr>
                    <w:pStyle w:val="NoSpacing"/>
                    <w:rPr>
                      <w:lang w:val="en-GB"/>
                    </w:rPr>
                  </w:pPr>
                  <w:r w:rsidRPr="00081C8E">
                    <w:rPr>
                      <w:lang w:val="en-GB"/>
                    </w:rPr>
                    <w:t>11</w:t>
                  </w:r>
                </w:p>
              </w:tc>
              <w:tc>
                <w:tcPr>
                  <w:tcW w:w="5870" w:type="dxa"/>
                  <w:shd w:val="clear" w:color="000000" w:fill="FFFFFF"/>
                  <w:tcMar>
                    <w:top w:w="15" w:type="dxa"/>
                    <w:left w:w="15" w:type="dxa"/>
                    <w:bottom w:w="0" w:type="dxa"/>
                    <w:right w:w="15" w:type="dxa"/>
                  </w:tcMar>
                  <w:vAlign w:val="center"/>
                  <w:hideMark/>
                </w:tcPr>
                <w:p w14:paraId="28779918" w14:textId="77777777" w:rsidR="00E45009" w:rsidRPr="00081C8E" w:rsidRDefault="00E45009" w:rsidP="00E45009">
                  <w:pPr>
                    <w:pStyle w:val="NoSpacing"/>
                    <w:rPr>
                      <w:lang w:val="en-GB"/>
                    </w:rPr>
                  </w:pPr>
                  <w:r w:rsidRPr="00081C8E">
                    <w:rPr>
                      <w:lang w:val="en-GB"/>
                    </w:rPr>
                    <w:t>Lack of guarantee of due process and/or justice re violation no.9</w:t>
                  </w:r>
                </w:p>
              </w:tc>
              <w:tc>
                <w:tcPr>
                  <w:tcW w:w="95" w:type="dxa"/>
                  <w:shd w:val="clear" w:color="000000" w:fill="FFFFFF"/>
                  <w:tcMar>
                    <w:top w:w="15" w:type="dxa"/>
                    <w:left w:w="15" w:type="dxa"/>
                    <w:bottom w:w="0" w:type="dxa"/>
                    <w:right w:w="15" w:type="dxa"/>
                  </w:tcMar>
                  <w:hideMark/>
                </w:tcPr>
                <w:p w14:paraId="0F38F79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77F862C" w14:textId="77777777" w:rsidR="00E45009" w:rsidRPr="00081C8E" w:rsidRDefault="00E45009" w:rsidP="00E45009">
                  <w:pPr>
                    <w:pStyle w:val="NoSpacing"/>
                    <w:rPr>
                      <w:lang w:val="en-GB"/>
                    </w:rPr>
                  </w:pPr>
                  <w:r w:rsidRPr="00081C8E">
                    <w:rPr>
                      <w:lang w:val="en-GB"/>
                    </w:rPr>
                    <w:t>4.01</w:t>
                  </w:r>
                </w:p>
              </w:tc>
              <w:tc>
                <w:tcPr>
                  <w:tcW w:w="427" w:type="dxa"/>
                  <w:shd w:val="clear" w:color="000000" w:fill="FFFFFF"/>
                  <w:noWrap/>
                  <w:tcMar>
                    <w:top w:w="15" w:type="dxa"/>
                    <w:left w:w="15" w:type="dxa"/>
                    <w:bottom w:w="0" w:type="dxa"/>
                    <w:right w:w="15" w:type="dxa"/>
                  </w:tcMar>
                  <w:hideMark/>
                </w:tcPr>
                <w:p w14:paraId="124AF471"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60905E34"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D7AD1DA" w14:textId="77777777" w:rsidR="00E45009" w:rsidRPr="00081C8E" w:rsidRDefault="00E45009" w:rsidP="00E45009">
                  <w:pPr>
                    <w:pStyle w:val="NoSpacing"/>
                    <w:rPr>
                      <w:lang w:val="en-GB"/>
                    </w:rPr>
                  </w:pPr>
                  <w:r w:rsidRPr="00081C8E">
                    <w:rPr>
                      <w:lang w:val="en-GB"/>
                    </w:rPr>
                    <w:t>4.36</w:t>
                  </w:r>
                </w:p>
              </w:tc>
              <w:tc>
                <w:tcPr>
                  <w:tcW w:w="427" w:type="dxa"/>
                  <w:shd w:val="clear" w:color="000000" w:fill="FFFFFF"/>
                  <w:noWrap/>
                  <w:tcMar>
                    <w:top w:w="15" w:type="dxa"/>
                    <w:left w:w="15" w:type="dxa"/>
                    <w:bottom w:w="0" w:type="dxa"/>
                    <w:right w:w="15" w:type="dxa"/>
                  </w:tcMar>
                  <w:hideMark/>
                </w:tcPr>
                <w:p w14:paraId="0BD14D53" w14:textId="77777777" w:rsidR="00E45009" w:rsidRPr="00081C8E" w:rsidRDefault="00E45009" w:rsidP="00E45009">
                  <w:pPr>
                    <w:pStyle w:val="NoSpacing"/>
                    <w:rPr>
                      <w:lang w:val="en-GB"/>
                    </w:rPr>
                  </w:pPr>
                  <w:r w:rsidRPr="00081C8E">
                    <w:rPr>
                      <w:lang w:val="en-GB"/>
                    </w:rPr>
                    <w:t>0.50</w:t>
                  </w:r>
                </w:p>
              </w:tc>
              <w:tc>
                <w:tcPr>
                  <w:tcW w:w="78" w:type="dxa"/>
                  <w:shd w:val="clear" w:color="000000" w:fill="FFFFFF"/>
                  <w:noWrap/>
                  <w:tcMar>
                    <w:top w:w="15" w:type="dxa"/>
                    <w:left w:w="15" w:type="dxa"/>
                    <w:bottom w:w="0" w:type="dxa"/>
                    <w:right w:w="15" w:type="dxa"/>
                  </w:tcMar>
                  <w:hideMark/>
                </w:tcPr>
                <w:p w14:paraId="7790144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6D680C83" w14:textId="77777777" w:rsidR="00E45009" w:rsidRPr="00081C8E" w:rsidRDefault="00E45009" w:rsidP="00E45009">
                  <w:pPr>
                    <w:pStyle w:val="NoSpacing"/>
                    <w:rPr>
                      <w:lang w:val="en-GB"/>
                    </w:rPr>
                  </w:pPr>
                  <w:r w:rsidRPr="00081C8E">
                    <w:rPr>
                      <w:lang w:val="en-GB"/>
                    </w:rPr>
                    <w:t>1.84</w:t>
                  </w:r>
                </w:p>
              </w:tc>
            </w:tr>
            <w:tr w:rsidR="00E45009" w:rsidRPr="00081C8E" w14:paraId="2727E144" w14:textId="77777777" w:rsidTr="00DB32C0">
              <w:trPr>
                <w:trHeight w:val="510"/>
              </w:trPr>
              <w:tc>
                <w:tcPr>
                  <w:tcW w:w="185" w:type="dxa"/>
                  <w:shd w:val="clear" w:color="000000" w:fill="FFFFFF"/>
                  <w:noWrap/>
                  <w:tcMar>
                    <w:top w:w="15" w:type="dxa"/>
                    <w:left w:w="15" w:type="dxa"/>
                    <w:bottom w:w="0" w:type="dxa"/>
                    <w:right w:w="15" w:type="dxa"/>
                  </w:tcMar>
                  <w:hideMark/>
                </w:tcPr>
                <w:p w14:paraId="78FAAC2E" w14:textId="77777777" w:rsidR="00E45009" w:rsidRPr="00081C8E" w:rsidRDefault="00E45009" w:rsidP="00E45009">
                  <w:pPr>
                    <w:pStyle w:val="NoSpacing"/>
                    <w:rPr>
                      <w:lang w:val="en-GB"/>
                    </w:rPr>
                  </w:pPr>
                  <w:r w:rsidRPr="00081C8E">
                    <w:rPr>
                      <w:lang w:val="en-GB"/>
                    </w:rPr>
                    <w:t>12</w:t>
                  </w:r>
                </w:p>
              </w:tc>
              <w:tc>
                <w:tcPr>
                  <w:tcW w:w="5870" w:type="dxa"/>
                  <w:shd w:val="clear" w:color="000000" w:fill="FFFFFF"/>
                  <w:tcMar>
                    <w:top w:w="15" w:type="dxa"/>
                    <w:left w:w="15" w:type="dxa"/>
                    <w:bottom w:w="0" w:type="dxa"/>
                    <w:right w:w="15" w:type="dxa"/>
                  </w:tcMar>
                  <w:vAlign w:val="center"/>
                  <w:hideMark/>
                </w:tcPr>
                <w:p w14:paraId="43AC5CF1" w14:textId="77777777" w:rsidR="00E45009" w:rsidRPr="00081C8E" w:rsidRDefault="00E45009" w:rsidP="00E45009">
                  <w:pPr>
                    <w:pStyle w:val="NoSpacing"/>
                    <w:rPr>
                      <w:lang w:val="en-GB"/>
                    </w:rPr>
                  </w:pPr>
                  <w:r w:rsidRPr="00081C8E">
                    <w:rPr>
                      <w:lang w:val="en-GB"/>
                    </w:rPr>
                    <w:t>Arrest, detention, imprisonment, charging and fining of members of employers' organizations in relation to their related activities</w:t>
                  </w:r>
                </w:p>
              </w:tc>
              <w:tc>
                <w:tcPr>
                  <w:tcW w:w="95" w:type="dxa"/>
                  <w:shd w:val="clear" w:color="000000" w:fill="FFFFFF"/>
                  <w:tcMar>
                    <w:top w:w="15" w:type="dxa"/>
                    <w:left w:w="15" w:type="dxa"/>
                    <w:bottom w:w="0" w:type="dxa"/>
                    <w:right w:w="15" w:type="dxa"/>
                  </w:tcMar>
                  <w:hideMark/>
                </w:tcPr>
                <w:p w14:paraId="467669A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7C13A23" w14:textId="77777777" w:rsidR="00E45009" w:rsidRPr="00081C8E" w:rsidRDefault="00E45009" w:rsidP="00E45009">
                  <w:pPr>
                    <w:pStyle w:val="NoSpacing"/>
                    <w:rPr>
                      <w:lang w:val="en-GB"/>
                    </w:rPr>
                  </w:pPr>
                  <w:r w:rsidRPr="00081C8E">
                    <w:rPr>
                      <w:lang w:val="en-GB"/>
                    </w:rPr>
                    <w:t>4.62</w:t>
                  </w:r>
                </w:p>
              </w:tc>
              <w:tc>
                <w:tcPr>
                  <w:tcW w:w="427" w:type="dxa"/>
                  <w:shd w:val="clear" w:color="000000" w:fill="FFFFFF"/>
                  <w:noWrap/>
                  <w:tcMar>
                    <w:top w:w="15" w:type="dxa"/>
                    <w:left w:w="15" w:type="dxa"/>
                    <w:bottom w:w="0" w:type="dxa"/>
                    <w:right w:w="15" w:type="dxa"/>
                  </w:tcMar>
                  <w:hideMark/>
                </w:tcPr>
                <w:p w14:paraId="5AE02934" w14:textId="77777777" w:rsidR="00E45009" w:rsidRPr="00081C8E" w:rsidRDefault="00E45009" w:rsidP="00E45009">
                  <w:pPr>
                    <w:pStyle w:val="NoSpacing"/>
                    <w:rPr>
                      <w:lang w:val="en-GB"/>
                    </w:rPr>
                  </w:pPr>
                  <w:r w:rsidRPr="00081C8E">
                    <w:rPr>
                      <w:lang w:val="en-GB"/>
                    </w:rPr>
                    <w:t>0.63</w:t>
                  </w:r>
                </w:p>
              </w:tc>
              <w:tc>
                <w:tcPr>
                  <w:tcW w:w="88" w:type="dxa"/>
                  <w:shd w:val="clear" w:color="000000" w:fill="FFFFFF"/>
                  <w:noWrap/>
                  <w:tcMar>
                    <w:top w:w="15" w:type="dxa"/>
                    <w:left w:w="15" w:type="dxa"/>
                    <w:bottom w:w="0" w:type="dxa"/>
                    <w:right w:w="15" w:type="dxa"/>
                  </w:tcMar>
                  <w:hideMark/>
                </w:tcPr>
                <w:p w14:paraId="64999D9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43F5A55" w14:textId="77777777" w:rsidR="00E45009" w:rsidRPr="00081C8E" w:rsidRDefault="00E45009" w:rsidP="00E45009">
                  <w:pPr>
                    <w:pStyle w:val="NoSpacing"/>
                    <w:rPr>
                      <w:lang w:val="en-GB"/>
                    </w:rPr>
                  </w:pPr>
                  <w:r w:rsidRPr="00081C8E">
                    <w:rPr>
                      <w:lang w:val="en-GB"/>
                    </w:rPr>
                    <w:t>4.79</w:t>
                  </w:r>
                </w:p>
              </w:tc>
              <w:tc>
                <w:tcPr>
                  <w:tcW w:w="427" w:type="dxa"/>
                  <w:shd w:val="clear" w:color="000000" w:fill="FFFFFF"/>
                  <w:noWrap/>
                  <w:tcMar>
                    <w:top w:w="15" w:type="dxa"/>
                    <w:left w:w="15" w:type="dxa"/>
                    <w:bottom w:w="0" w:type="dxa"/>
                    <w:right w:w="15" w:type="dxa"/>
                  </w:tcMar>
                  <w:hideMark/>
                </w:tcPr>
                <w:p w14:paraId="3D795CB9" w14:textId="77777777" w:rsidR="00E45009" w:rsidRPr="00081C8E" w:rsidRDefault="00E45009" w:rsidP="00E45009">
                  <w:pPr>
                    <w:pStyle w:val="NoSpacing"/>
                    <w:rPr>
                      <w:lang w:val="en-GB"/>
                    </w:rPr>
                  </w:pPr>
                  <w:r w:rsidRPr="00081C8E">
                    <w:rPr>
                      <w:lang w:val="en-GB"/>
                    </w:rPr>
                    <w:t>0.43</w:t>
                  </w:r>
                </w:p>
              </w:tc>
              <w:tc>
                <w:tcPr>
                  <w:tcW w:w="78" w:type="dxa"/>
                  <w:shd w:val="clear" w:color="000000" w:fill="FFFFFF"/>
                  <w:noWrap/>
                  <w:tcMar>
                    <w:top w:w="15" w:type="dxa"/>
                    <w:left w:w="15" w:type="dxa"/>
                    <w:bottom w:w="0" w:type="dxa"/>
                    <w:right w:w="15" w:type="dxa"/>
                  </w:tcMar>
                  <w:hideMark/>
                </w:tcPr>
                <w:p w14:paraId="73E70A22"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17CADE5" w14:textId="77777777" w:rsidR="00E45009" w:rsidRPr="00081C8E" w:rsidRDefault="00E45009" w:rsidP="00E45009">
                  <w:pPr>
                    <w:pStyle w:val="NoSpacing"/>
                    <w:rPr>
                      <w:lang w:val="en-GB"/>
                    </w:rPr>
                  </w:pPr>
                  <w:r w:rsidRPr="00081C8E">
                    <w:rPr>
                      <w:lang w:val="en-GB"/>
                    </w:rPr>
                    <w:t>1.95</w:t>
                  </w:r>
                </w:p>
              </w:tc>
            </w:tr>
            <w:tr w:rsidR="00E45009" w:rsidRPr="00081C8E" w14:paraId="1F65627C" w14:textId="77777777" w:rsidTr="00DB32C0">
              <w:trPr>
                <w:trHeight w:val="255"/>
              </w:trPr>
              <w:tc>
                <w:tcPr>
                  <w:tcW w:w="185" w:type="dxa"/>
                  <w:shd w:val="clear" w:color="000000" w:fill="FFFFFF"/>
                  <w:noWrap/>
                  <w:tcMar>
                    <w:top w:w="15" w:type="dxa"/>
                    <w:left w:w="15" w:type="dxa"/>
                    <w:bottom w:w="0" w:type="dxa"/>
                    <w:right w:w="15" w:type="dxa"/>
                  </w:tcMar>
                  <w:hideMark/>
                </w:tcPr>
                <w:p w14:paraId="3FF9B496" w14:textId="77777777" w:rsidR="00E45009" w:rsidRPr="00081C8E" w:rsidRDefault="00E45009" w:rsidP="00E45009">
                  <w:pPr>
                    <w:pStyle w:val="NoSpacing"/>
                    <w:rPr>
                      <w:lang w:val="en-GB"/>
                    </w:rPr>
                  </w:pPr>
                  <w:r w:rsidRPr="00081C8E">
                    <w:rPr>
                      <w:lang w:val="en-GB"/>
                    </w:rPr>
                    <w:t>13</w:t>
                  </w:r>
                </w:p>
              </w:tc>
              <w:tc>
                <w:tcPr>
                  <w:tcW w:w="5870" w:type="dxa"/>
                  <w:shd w:val="clear" w:color="000000" w:fill="FFFFFF"/>
                  <w:tcMar>
                    <w:top w:w="15" w:type="dxa"/>
                    <w:left w:w="15" w:type="dxa"/>
                    <w:bottom w:w="0" w:type="dxa"/>
                    <w:right w:w="15" w:type="dxa"/>
                  </w:tcMar>
                  <w:vAlign w:val="center"/>
                  <w:hideMark/>
                </w:tcPr>
                <w:p w14:paraId="6991BD63" w14:textId="77777777" w:rsidR="00E45009" w:rsidRPr="00081C8E" w:rsidRDefault="00E45009" w:rsidP="00E45009">
                  <w:pPr>
                    <w:pStyle w:val="NoSpacing"/>
                    <w:rPr>
                      <w:lang w:val="en-GB"/>
                    </w:rPr>
                  </w:pPr>
                  <w:r w:rsidRPr="00081C8E">
                    <w:rPr>
                      <w:lang w:val="en-GB"/>
                    </w:rPr>
                    <w:t>Committed against officials of employers' organizations re violation no.12</w:t>
                  </w:r>
                </w:p>
              </w:tc>
              <w:tc>
                <w:tcPr>
                  <w:tcW w:w="95" w:type="dxa"/>
                  <w:shd w:val="clear" w:color="000000" w:fill="FFFFFF"/>
                  <w:tcMar>
                    <w:top w:w="15" w:type="dxa"/>
                    <w:left w:w="15" w:type="dxa"/>
                    <w:bottom w:w="0" w:type="dxa"/>
                    <w:right w:w="15" w:type="dxa"/>
                  </w:tcMar>
                  <w:hideMark/>
                </w:tcPr>
                <w:p w14:paraId="171B6DD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252642C" w14:textId="77777777" w:rsidR="00E45009" w:rsidRPr="00081C8E" w:rsidRDefault="00E45009" w:rsidP="00E45009">
                  <w:pPr>
                    <w:pStyle w:val="NoSpacing"/>
                    <w:rPr>
                      <w:lang w:val="en-GB"/>
                    </w:rPr>
                  </w:pPr>
                  <w:r w:rsidRPr="00081C8E">
                    <w:rPr>
                      <w:lang w:val="en-GB"/>
                    </w:rPr>
                    <w:t>4.54</w:t>
                  </w:r>
                </w:p>
              </w:tc>
              <w:tc>
                <w:tcPr>
                  <w:tcW w:w="427" w:type="dxa"/>
                  <w:shd w:val="clear" w:color="000000" w:fill="FFFFFF"/>
                  <w:noWrap/>
                  <w:tcMar>
                    <w:top w:w="15" w:type="dxa"/>
                    <w:left w:w="15" w:type="dxa"/>
                    <w:bottom w:w="0" w:type="dxa"/>
                    <w:right w:w="15" w:type="dxa"/>
                  </w:tcMar>
                  <w:hideMark/>
                </w:tcPr>
                <w:p w14:paraId="7DD997E4" w14:textId="77777777" w:rsidR="00E45009" w:rsidRPr="00081C8E" w:rsidRDefault="00E45009" w:rsidP="00E45009">
                  <w:pPr>
                    <w:pStyle w:val="NoSpacing"/>
                    <w:rPr>
                      <w:lang w:val="en-GB"/>
                    </w:rPr>
                  </w:pPr>
                  <w:r w:rsidRPr="00081C8E">
                    <w:rPr>
                      <w:lang w:val="en-GB"/>
                    </w:rPr>
                    <w:t>0.76</w:t>
                  </w:r>
                </w:p>
              </w:tc>
              <w:tc>
                <w:tcPr>
                  <w:tcW w:w="88" w:type="dxa"/>
                  <w:shd w:val="clear" w:color="000000" w:fill="FFFFFF"/>
                  <w:noWrap/>
                  <w:tcMar>
                    <w:top w:w="15" w:type="dxa"/>
                    <w:left w:w="15" w:type="dxa"/>
                    <w:bottom w:w="0" w:type="dxa"/>
                    <w:right w:w="15" w:type="dxa"/>
                  </w:tcMar>
                  <w:hideMark/>
                </w:tcPr>
                <w:p w14:paraId="1FA4F09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5AF17A5" w14:textId="77777777" w:rsidR="00E45009" w:rsidRPr="00081C8E" w:rsidRDefault="00E45009" w:rsidP="00E45009">
                  <w:pPr>
                    <w:pStyle w:val="NoSpacing"/>
                    <w:rPr>
                      <w:lang w:val="en-GB"/>
                    </w:rPr>
                  </w:pPr>
                  <w:r w:rsidRPr="00081C8E">
                    <w:rPr>
                      <w:lang w:val="en-GB"/>
                    </w:rPr>
                    <w:t>4.79</w:t>
                  </w:r>
                </w:p>
              </w:tc>
              <w:tc>
                <w:tcPr>
                  <w:tcW w:w="427" w:type="dxa"/>
                  <w:shd w:val="clear" w:color="000000" w:fill="FFFFFF"/>
                  <w:noWrap/>
                  <w:tcMar>
                    <w:top w:w="15" w:type="dxa"/>
                    <w:left w:w="15" w:type="dxa"/>
                    <w:bottom w:w="0" w:type="dxa"/>
                    <w:right w:w="15" w:type="dxa"/>
                  </w:tcMar>
                  <w:hideMark/>
                </w:tcPr>
                <w:p w14:paraId="792AC44B" w14:textId="77777777" w:rsidR="00E45009" w:rsidRPr="00081C8E" w:rsidRDefault="00E45009" w:rsidP="00E45009">
                  <w:pPr>
                    <w:pStyle w:val="NoSpacing"/>
                    <w:rPr>
                      <w:lang w:val="en-GB"/>
                    </w:rPr>
                  </w:pPr>
                  <w:r w:rsidRPr="00081C8E">
                    <w:rPr>
                      <w:lang w:val="en-GB"/>
                    </w:rPr>
                    <w:t>0.43</w:t>
                  </w:r>
                </w:p>
              </w:tc>
              <w:tc>
                <w:tcPr>
                  <w:tcW w:w="78" w:type="dxa"/>
                  <w:shd w:val="clear" w:color="000000" w:fill="FFFFFF"/>
                  <w:noWrap/>
                  <w:tcMar>
                    <w:top w:w="15" w:type="dxa"/>
                    <w:left w:w="15" w:type="dxa"/>
                    <w:bottom w:w="0" w:type="dxa"/>
                    <w:right w:w="15" w:type="dxa"/>
                  </w:tcMar>
                  <w:hideMark/>
                </w:tcPr>
                <w:p w14:paraId="78B969A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C1727F8" w14:textId="77777777" w:rsidR="00E45009" w:rsidRPr="00081C8E" w:rsidRDefault="00E45009" w:rsidP="00E45009">
                  <w:pPr>
                    <w:pStyle w:val="NoSpacing"/>
                    <w:rPr>
                      <w:lang w:val="en-GB"/>
                    </w:rPr>
                  </w:pPr>
                  <w:r w:rsidRPr="00081C8E">
                    <w:rPr>
                      <w:lang w:val="en-GB"/>
                    </w:rPr>
                    <w:t>1.95</w:t>
                  </w:r>
                </w:p>
              </w:tc>
            </w:tr>
            <w:tr w:rsidR="00E45009" w:rsidRPr="00081C8E" w14:paraId="5CC0FAEB" w14:textId="77777777" w:rsidTr="00DB32C0">
              <w:trPr>
                <w:trHeight w:val="255"/>
              </w:trPr>
              <w:tc>
                <w:tcPr>
                  <w:tcW w:w="185" w:type="dxa"/>
                  <w:shd w:val="clear" w:color="000000" w:fill="FFFFFF"/>
                  <w:noWrap/>
                  <w:tcMar>
                    <w:top w:w="15" w:type="dxa"/>
                    <w:left w:w="15" w:type="dxa"/>
                    <w:bottom w:w="0" w:type="dxa"/>
                    <w:right w:w="15" w:type="dxa"/>
                  </w:tcMar>
                  <w:hideMark/>
                </w:tcPr>
                <w:p w14:paraId="0F7FFF99" w14:textId="77777777" w:rsidR="00E45009" w:rsidRPr="00081C8E" w:rsidRDefault="00E45009" w:rsidP="00E45009">
                  <w:pPr>
                    <w:pStyle w:val="NoSpacing"/>
                    <w:rPr>
                      <w:lang w:val="en-GB"/>
                    </w:rPr>
                  </w:pPr>
                  <w:r w:rsidRPr="00081C8E">
                    <w:rPr>
                      <w:lang w:val="en-GB"/>
                    </w:rPr>
                    <w:t>14</w:t>
                  </w:r>
                </w:p>
              </w:tc>
              <w:tc>
                <w:tcPr>
                  <w:tcW w:w="5870" w:type="dxa"/>
                  <w:shd w:val="clear" w:color="000000" w:fill="FFFFFF"/>
                  <w:tcMar>
                    <w:top w:w="15" w:type="dxa"/>
                    <w:left w:w="15" w:type="dxa"/>
                    <w:bottom w:w="0" w:type="dxa"/>
                    <w:right w:w="15" w:type="dxa"/>
                  </w:tcMar>
                  <w:vAlign w:val="center"/>
                  <w:hideMark/>
                </w:tcPr>
                <w:p w14:paraId="3C7D4E2C" w14:textId="77777777" w:rsidR="00E45009" w:rsidRPr="00081C8E" w:rsidRDefault="00E45009" w:rsidP="00E45009">
                  <w:pPr>
                    <w:pStyle w:val="NoSpacing"/>
                    <w:rPr>
                      <w:lang w:val="en-GB"/>
                    </w:rPr>
                  </w:pPr>
                  <w:r w:rsidRPr="00081C8E">
                    <w:rPr>
                      <w:lang w:val="en-GB"/>
                    </w:rPr>
                    <w:t>Lack of guarantee of due process and/or justice re violation no.12</w:t>
                  </w:r>
                </w:p>
              </w:tc>
              <w:tc>
                <w:tcPr>
                  <w:tcW w:w="95" w:type="dxa"/>
                  <w:shd w:val="clear" w:color="000000" w:fill="FFFFFF"/>
                  <w:tcMar>
                    <w:top w:w="15" w:type="dxa"/>
                    <w:left w:w="15" w:type="dxa"/>
                    <w:bottom w:w="0" w:type="dxa"/>
                    <w:right w:w="15" w:type="dxa"/>
                  </w:tcMar>
                  <w:hideMark/>
                </w:tcPr>
                <w:p w14:paraId="2E2CD3A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8C0E6E5" w14:textId="77777777" w:rsidR="00E45009" w:rsidRPr="00081C8E" w:rsidRDefault="00E45009" w:rsidP="00E45009">
                  <w:pPr>
                    <w:pStyle w:val="NoSpacing"/>
                    <w:rPr>
                      <w:lang w:val="en-GB"/>
                    </w:rPr>
                  </w:pPr>
                  <w:r w:rsidRPr="00081C8E">
                    <w:rPr>
                      <w:lang w:val="en-GB"/>
                    </w:rPr>
                    <w:t>4.23</w:t>
                  </w:r>
                </w:p>
              </w:tc>
              <w:tc>
                <w:tcPr>
                  <w:tcW w:w="427" w:type="dxa"/>
                  <w:shd w:val="clear" w:color="000000" w:fill="FFFFFF"/>
                  <w:noWrap/>
                  <w:tcMar>
                    <w:top w:w="15" w:type="dxa"/>
                    <w:left w:w="15" w:type="dxa"/>
                    <w:bottom w:w="0" w:type="dxa"/>
                    <w:right w:w="15" w:type="dxa"/>
                  </w:tcMar>
                  <w:hideMark/>
                </w:tcPr>
                <w:p w14:paraId="6B669344"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592C7AC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A6E436A" w14:textId="77777777" w:rsidR="00E45009" w:rsidRPr="00081C8E" w:rsidRDefault="00E45009" w:rsidP="00E45009">
                  <w:pPr>
                    <w:pStyle w:val="NoSpacing"/>
                    <w:rPr>
                      <w:lang w:val="en-GB"/>
                    </w:rPr>
                  </w:pPr>
                  <w:r w:rsidRPr="00081C8E">
                    <w:rPr>
                      <w:lang w:val="en-GB"/>
                    </w:rPr>
                    <w:t>4.50</w:t>
                  </w:r>
                </w:p>
              </w:tc>
              <w:tc>
                <w:tcPr>
                  <w:tcW w:w="427" w:type="dxa"/>
                  <w:shd w:val="clear" w:color="000000" w:fill="FFFFFF"/>
                  <w:noWrap/>
                  <w:tcMar>
                    <w:top w:w="15" w:type="dxa"/>
                    <w:left w:w="15" w:type="dxa"/>
                    <w:bottom w:w="0" w:type="dxa"/>
                    <w:right w:w="15" w:type="dxa"/>
                  </w:tcMar>
                  <w:hideMark/>
                </w:tcPr>
                <w:p w14:paraId="131CF24E" w14:textId="77777777" w:rsidR="00E45009" w:rsidRPr="00081C8E" w:rsidRDefault="00E45009" w:rsidP="00E45009">
                  <w:pPr>
                    <w:pStyle w:val="NoSpacing"/>
                    <w:rPr>
                      <w:lang w:val="en-GB"/>
                    </w:rPr>
                  </w:pPr>
                  <w:r w:rsidRPr="00081C8E">
                    <w:rPr>
                      <w:lang w:val="en-GB"/>
                    </w:rPr>
                    <w:t>0.52</w:t>
                  </w:r>
                </w:p>
              </w:tc>
              <w:tc>
                <w:tcPr>
                  <w:tcW w:w="78" w:type="dxa"/>
                  <w:shd w:val="clear" w:color="000000" w:fill="FFFFFF"/>
                  <w:noWrap/>
                  <w:tcMar>
                    <w:top w:w="15" w:type="dxa"/>
                    <w:left w:w="15" w:type="dxa"/>
                    <w:bottom w:w="0" w:type="dxa"/>
                    <w:right w:w="15" w:type="dxa"/>
                  </w:tcMar>
                  <w:hideMark/>
                </w:tcPr>
                <w:p w14:paraId="58886809"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40C08F9" w14:textId="77777777" w:rsidR="00E45009" w:rsidRPr="00081C8E" w:rsidRDefault="00E45009" w:rsidP="00E45009">
                  <w:pPr>
                    <w:pStyle w:val="NoSpacing"/>
                    <w:rPr>
                      <w:lang w:val="en-GB"/>
                    </w:rPr>
                  </w:pPr>
                  <w:r w:rsidRPr="00081C8E">
                    <w:rPr>
                      <w:lang w:val="en-GB"/>
                    </w:rPr>
                    <w:t>1.88</w:t>
                  </w:r>
                </w:p>
              </w:tc>
            </w:tr>
            <w:tr w:rsidR="00E45009" w:rsidRPr="00081C8E" w14:paraId="44027F38" w14:textId="77777777" w:rsidTr="00DB32C0">
              <w:trPr>
                <w:trHeight w:val="255"/>
              </w:trPr>
              <w:tc>
                <w:tcPr>
                  <w:tcW w:w="185" w:type="dxa"/>
                  <w:shd w:val="clear" w:color="000000" w:fill="FFFFFF"/>
                  <w:noWrap/>
                  <w:tcMar>
                    <w:top w:w="15" w:type="dxa"/>
                    <w:left w:w="15" w:type="dxa"/>
                    <w:bottom w:w="0" w:type="dxa"/>
                    <w:right w:w="15" w:type="dxa"/>
                  </w:tcMar>
                  <w:hideMark/>
                </w:tcPr>
                <w:p w14:paraId="7266E7A1" w14:textId="77777777" w:rsidR="00E45009" w:rsidRPr="00081C8E" w:rsidRDefault="00E45009" w:rsidP="00E45009">
                  <w:pPr>
                    <w:pStyle w:val="NoSpacing"/>
                    <w:rPr>
                      <w:lang w:val="en-GB"/>
                    </w:rPr>
                  </w:pPr>
                  <w:r w:rsidRPr="00081C8E">
                    <w:rPr>
                      <w:lang w:val="en-GB"/>
                    </w:rPr>
                    <w:t>15</w:t>
                  </w:r>
                </w:p>
              </w:tc>
              <w:tc>
                <w:tcPr>
                  <w:tcW w:w="5870" w:type="dxa"/>
                  <w:shd w:val="clear" w:color="000000" w:fill="FFFFFF"/>
                  <w:tcMar>
                    <w:top w:w="15" w:type="dxa"/>
                    <w:left w:w="15" w:type="dxa"/>
                    <w:bottom w:w="0" w:type="dxa"/>
                    <w:right w:w="15" w:type="dxa"/>
                  </w:tcMar>
                  <w:vAlign w:val="center"/>
                  <w:hideMark/>
                </w:tcPr>
                <w:p w14:paraId="70D0F8A8" w14:textId="77777777" w:rsidR="00E45009" w:rsidRPr="00081C8E" w:rsidRDefault="00E45009" w:rsidP="00E45009">
                  <w:pPr>
                    <w:pStyle w:val="NoSpacing"/>
                    <w:rPr>
                      <w:lang w:val="en-GB"/>
                    </w:rPr>
                  </w:pPr>
                  <w:r w:rsidRPr="00081C8E">
                    <w:rPr>
                      <w:lang w:val="en-GB"/>
                    </w:rPr>
                    <w:t>Infringements of members of employers' organizations' basic freedoms</w:t>
                  </w:r>
                </w:p>
              </w:tc>
              <w:tc>
                <w:tcPr>
                  <w:tcW w:w="95" w:type="dxa"/>
                  <w:shd w:val="clear" w:color="000000" w:fill="FFFFFF"/>
                  <w:tcMar>
                    <w:top w:w="15" w:type="dxa"/>
                    <w:left w:w="15" w:type="dxa"/>
                    <w:bottom w:w="0" w:type="dxa"/>
                    <w:right w:w="15" w:type="dxa"/>
                  </w:tcMar>
                  <w:hideMark/>
                </w:tcPr>
                <w:p w14:paraId="1BE037E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3CD3791" w14:textId="77777777" w:rsidR="00E45009" w:rsidRPr="00081C8E" w:rsidRDefault="00E45009" w:rsidP="00E45009">
                  <w:pPr>
                    <w:pStyle w:val="NoSpacing"/>
                    <w:rPr>
                      <w:lang w:val="en-GB"/>
                    </w:rPr>
                  </w:pPr>
                  <w:r w:rsidRPr="00081C8E">
                    <w:rPr>
                      <w:lang w:val="en-GB"/>
                    </w:rPr>
                    <w:t>4.23</w:t>
                  </w:r>
                </w:p>
              </w:tc>
              <w:tc>
                <w:tcPr>
                  <w:tcW w:w="427" w:type="dxa"/>
                  <w:shd w:val="clear" w:color="000000" w:fill="FFFFFF"/>
                  <w:noWrap/>
                  <w:tcMar>
                    <w:top w:w="15" w:type="dxa"/>
                    <w:left w:w="15" w:type="dxa"/>
                    <w:bottom w:w="0" w:type="dxa"/>
                    <w:right w:w="15" w:type="dxa"/>
                  </w:tcMar>
                  <w:hideMark/>
                </w:tcPr>
                <w:p w14:paraId="72D97450" w14:textId="77777777" w:rsidR="00E45009" w:rsidRPr="00081C8E" w:rsidRDefault="00E45009" w:rsidP="00E45009">
                  <w:pPr>
                    <w:pStyle w:val="NoSpacing"/>
                    <w:rPr>
                      <w:lang w:val="en-GB"/>
                    </w:rPr>
                  </w:pPr>
                  <w:r w:rsidRPr="00081C8E">
                    <w:rPr>
                      <w:lang w:val="en-GB"/>
                    </w:rPr>
                    <w:t>0.73</w:t>
                  </w:r>
                </w:p>
              </w:tc>
              <w:tc>
                <w:tcPr>
                  <w:tcW w:w="88" w:type="dxa"/>
                  <w:shd w:val="clear" w:color="000000" w:fill="FFFFFF"/>
                  <w:noWrap/>
                  <w:tcMar>
                    <w:top w:w="15" w:type="dxa"/>
                    <w:left w:w="15" w:type="dxa"/>
                    <w:bottom w:w="0" w:type="dxa"/>
                    <w:right w:w="15" w:type="dxa"/>
                  </w:tcMar>
                  <w:hideMark/>
                </w:tcPr>
                <w:p w14:paraId="1B501B9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B3E8947" w14:textId="77777777" w:rsidR="00E45009" w:rsidRPr="00081C8E" w:rsidRDefault="00E45009" w:rsidP="00E45009">
                  <w:pPr>
                    <w:pStyle w:val="NoSpacing"/>
                    <w:rPr>
                      <w:lang w:val="en-GB"/>
                    </w:rPr>
                  </w:pPr>
                  <w:r w:rsidRPr="00081C8E">
                    <w:rPr>
                      <w:lang w:val="en-GB"/>
                    </w:rPr>
                    <w:t>4.29</w:t>
                  </w:r>
                </w:p>
              </w:tc>
              <w:tc>
                <w:tcPr>
                  <w:tcW w:w="427" w:type="dxa"/>
                  <w:shd w:val="clear" w:color="000000" w:fill="FFFFFF"/>
                  <w:noWrap/>
                  <w:tcMar>
                    <w:top w:w="15" w:type="dxa"/>
                    <w:left w:w="15" w:type="dxa"/>
                    <w:bottom w:w="0" w:type="dxa"/>
                    <w:right w:w="15" w:type="dxa"/>
                  </w:tcMar>
                  <w:hideMark/>
                </w:tcPr>
                <w:p w14:paraId="59254F72"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07659C90"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6033F31D" w14:textId="77777777" w:rsidR="00E45009" w:rsidRPr="00081C8E" w:rsidRDefault="00E45009" w:rsidP="00E45009">
                  <w:pPr>
                    <w:pStyle w:val="NoSpacing"/>
                    <w:rPr>
                      <w:lang w:val="en-GB"/>
                    </w:rPr>
                  </w:pPr>
                  <w:r w:rsidRPr="00081C8E">
                    <w:rPr>
                      <w:lang w:val="en-GB"/>
                    </w:rPr>
                    <w:t>1.82</w:t>
                  </w:r>
                </w:p>
              </w:tc>
            </w:tr>
            <w:tr w:rsidR="00E45009" w:rsidRPr="00081C8E" w14:paraId="4B84C4F9" w14:textId="77777777" w:rsidTr="00DB32C0">
              <w:trPr>
                <w:trHeight w:val="255"/>
              </w:trPr>
              <w:tc>
                <w:tcPr>
                  <w:tcW w:w="185" w:type="dxa"/>
                  <w:shd w:val="clear" w:color="000000" w:fill="FFFFFF"/>
                  <w:noWrap/>
                  <w:tcMar>
                    <w:top w:w="15" w:type="dxa"/>
                    <w:left w:w="15" w:type="dxa"/>
                    <w:bottom w:w="0" w:type="dxa"/>
                    <w:right w:w="15" w:type="dxa"/>
                  </w:tcMar>
                  <w:hideMark/>
                </w:tcPr>
                <w:p w14:paraId="2ED75F76" w14:textId="77777777" w:rsidR="00E45009" w:rsidRPr="00081C8E" w:rsidRDefault="00E45009" w:rsidP="00E45009">
                  <w:pPr>
                    <w:pStyle w:val="NoSpacing"/>
                    <w:rPr>
                      <w:lang w:val="en-GB"/>
                    </w:rPr>
                  </w:pPr>
                  <w:r w:rsidRPr="00081C8E">
                    <w:rPr>
                      <w:lang w:val="en-GB"/>
                    </w:rPr>
                    <w:t>1</w:t>
                  </w:r>
                  <w:r w:rsidRPr="00081C8E">
                    <w:rPr>
                      <w:lang w:val="en-GB"/>
                    </w:rPr>
                    <w:lastRenderedPageBreak/>
                    <w:t>6</w:t>
                  </w:r>
                </w:p>
              </w:tc>
              <w:tc>
                <w:tcPr>
                  <w:tcW w:w="5870" w:type="dxa"/>
                  <w:shd w:val="clear" w:color="000000" w:fill="FFFFFF"/>
                  <w:tcMar>
                    <w:top w:w="15" w:type="dxa"/>
                    <w:left w:w="15" w:type="dxa"/>
                    <w:bottom w:w="0" w:type="dxa"/>
                    <w:right w:w="15" w:type="dxa"/>
                  </w:tcMar>
                  <w:vAlign w:val="center"/>
                  <w:hideMark/>
                </w:tcPr>
                <w:p w14:paraId="1775FCB9" w14:textId="77777777" w:rsidR="00E45009" w:rsidRPr="00081C8E" w:rsidRDefault="00E45009" w:rsidP="00E45009">
                  <w:pPr>
                    <w:pStyle w:val="NoSpacing"/>
                    <w:rPr>
                      <w:lang w:val="en-GB"/>
                    </w:rPr>
                  </w:pPr>
                  <w:r w:rsidRPr="00081C8E">
                    <w:rPr>
                      <w:lang w:val="en-GB"/>
                    </w:rPr>
                    <w:lastRenderedPageBreak/>
                    <w:t>Committed against officials of employers' organizations re violation no.15</w:t>
                  </w:r>
                </w:p>
              </w:tc>
              <w:tc>
                <w:tcPr>
                  <w:tcW w:w="95" w:type="dxa"/>
                  <w:shd w:val="clear" w:color="000000" w:fill="FFFFFF"/>
                  <w:tcMar>
                    <w:top w:w="15" w:type="dxa"/>
                    <w:left w:w="15" w:type="dxa"/>
                    <w:bottom w:w="0" w:type="dxa"/>
                    <w:right w:w="15" w:type="dxa"/>
                  </w:tcMar>
                  <w:hideMark/>
                </w:tcPr>
                <w:p w14:paraId="246D0A4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630A4DC" w14:textId="77777777" w:rsidR="00E45009" w:rsidRPr="00081C8E" w:rsidRDefault="00E45009" w:rsidP="00E45009">
                  <w:pPr>
                    <w:pStyle w:val="NoSpacing"/>
                    <w:rPr>
                      <w:lang w:val="en-GB"/>
                    </w:rPr>
                  </w:pPr>
                  <w:r w:rsidRPr="00081C8E">
                    <w:rPr>
                      <w:lang w:val="en-GB"/>
                    </w:rPr>
                    <w:t>4.23</w:t>
                  </w:r>
                </w:p>
              </w:tc>
              <w:tc>
                <w:tcPr>
                  <w:tcW w:w="427" w:type="dxa"/>
                  <w:shd w:val="clear" w:color="000000" w:fill="FFFFFF"/>
                  <w:noWrap/>
                  <w:tcMar>
                    <w:top w:w="15" w:type="dxa"/>
                    <w:left w:w="15" w:type="dxa"/>
                    <w:bottom w:w="0" w:type="dxa"/>
                    <w:right w:w="15" w:type="dxa"/>
                  </w:tcMar>
                  <w:hideMark/>
                </w:tcPr>
                <w:p w14:paraId="13313596" w14:textId="77777777" w:rsidR="00E45009" w:rsidRPr="00081C8E" w:rsidRDefault="00E45009" w:rsidP="00E45009">
                  <w:pPr>
                    <w:pStyle w:val="NoSpacing"/>
                    <w:rPr>
                      <w:lang w:val="en-GB"/>
                    </w:rPr>
                  </w:pPr>
                  <w:r w:rsidRPr="00081C8E">
                    <w:rPr>
                      <w:lang w:val="en-GB"/>
                    </w:rPr>
                    <w:t>0.73</w:t>
                  </w:r>
                </w:p>
              </w:tc>
              <w:tc>
                <w:tcPr>
                  <w:tcW w:w="88" w:type="dxa"/>
                  <w:shd w:val="clear" w:color="000000" w:fill="FFFFFF"/>
                  <w:noWrap/>
                  <w:tcMar>
                    <w:top w:w="15" w:type="dxa"/>
                    <w:left w:w="15" w:type="dxa"/>
                    <w:bottom w:w="0" w:type="dxa"/>
                    <w:right w:w="15" w:type="dxa"/>
                  </w:tcMar>
                  <w:hideMark/>
                </w:tcPr>
                <w:p w14:paraId="61E16EA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05F7249" w14:textId="77777777" w:rsidR="00E45009" w:rsidRPr="00081C8E" w:rsidRDefault="00E45009" w:rsidP="00E45009">
                  <w:pPr>
                    <w:pStyle w:val="NoSpacing"/>
                    <w:rPr>
                      <w:lang w:val="en-GB"/>
                    </w:rPr>
                  </w:pPr>
                  <w:r w:rsidRPr="00081C8E">
                    <w:rPr>
                      <w:lang w:val="en-GB"/>
                    </w:rPr>
                    <w:t>4.29</w:t>
                  </w:r>
                </w:p>
              </w:tc>
              <w:tc>
                <w:tcPr>
                  <w:tcW w:w="427" w:type="dxa"/>
                  <w:shd w:val="clear" w:color="000000" w:fill="FFFFFF"/>
                  <w:noWrap/>
                  <w:tcMar>
                    <w:top w:w="15" w:type="dxa"/>
                    <w:left w:w="15" w:type="dxa"/>
                    <w:bottom w:w="0" w:type="dxa"/>
                    <w:right w:w="15" w:type="dxa"/>
                  </w:tcMar>
                  <w:hideMark/>
                </w:tcPr>
                <w:p w14:paraId="08B01E09" w14:textId="77777777" w:rsidR="00E45009" w:rsidRPr="00081C8E" w:rsidRDefault="00E45009" w:rsidP="00E45009">
                  <w:pPr>
                    <w:pStyle w:val="NoSpacing"/>
                    <w:rPr>
                      <w:lang w:val="en-GB"/>
                    </w:rPr>
                  </w:pPr>
                  <w:r w:rsidRPr="00081C8E">
                    <w:rPr>
                      <w:lang w:val="en-GB"/>
                    </w:rPr>
                    <w:t>0.61</w:t>
                  </w:r>
                </w:p>
              </w:tc>
              <w:tc>
                <w:tcPr>
                  <w:tcW w:w="78" w:type="dxa"/>
                  <w:shd w:val="clear" w:color="000000" w:fill="FFFFFF"/>
                  <w:noWrap/>
                  <w:tcMar>
                    <w:top w:w="15" w:type="dxa"/>
                    <w:left w:w="15" w:type="dxa"/>
                    <w:bottom w:w="0" w:type="dxa"/>
                    <w:right w:w="15" w:type="dxa"/>
                  </w:tcMar>
                  <w:hideMark/>
                </w:tcPr>
                <w:p w14:paraId="677CE5A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D8251B1" w14:textId="77777777" w:rsidR="00E45009" w:rsidRPr="00081C8E" w:rsidRDefault="00E45009" w:rsidP="00E45009">
                  <w:pPr>
                    <w:pStyle w:val="NoSpacing"/>
                    <w:rPr>
                      <w:lang w:val="en-GB"/>
                    </w:rPr>
                  </w:pPr>
                  <w:r w:rsidRPr="00081C8E">
                    <w:rPr>
                      <w:lang w:val="en-GB"/>
                    </w:rPr>
                    <w:t>1.82</w:t>
                  </w:r>
                </w:p>
              </w:tc>
            </w:tr>
            <w:tr w:rsidR="00E45009" w:rsidRPr="00081C8E" w14:paraId="774FB5F4" w14:textId="77777777" w:rsidTr="00DB32C0">
              <w:trPr>
                <w:trHeight w:val="255"/>
              </w:trPr>
              <w:tc>
                <w:tcPr>
                  <w:tcW w:w="185" w:type="dxa"/>
                  <w:shd w:val="clear" w:color="000000" w:fill="FFFFFF"/>
                  <w:noWrap/>
                  <w:tcMar>
                    <w:top w:w="15" w:type="dxa"/>
                    <w:left w:w="15" w:type="dxa"/>
                    <w:bottom w:w="0" w:type="dxa"/>
                    <w:right w:w="15" w:type="dxa"/>
                  </w:tcMar>
                  <w:hideMark/>
                </w:tcPr>
                <w:p w14:paraId="3F855DD9" w14:textId="77777777" w:rsidR="00E45009" w:rsidRPr="00081C8E" w:rsidRDefault="00E45009" w:rsidP="00E45009">
                  <w:pPr>
                    <w:pStyle w:val="NoSpacing"/>
                    <w:rPr>
                      <w:lang w:val="en-GB"/>
                    </w:rPr>
                  </w:pPr>
                  <w:r w:rsidRPr="00081C8E">
                    <w:rPr>
                      <w:lang w:val="en-GB"/>
                    </w:rPr>
                    <w:lastRenderedPageBreak/>
                    <w:t>17</w:t>
                  </w:r>
                </w:p>
              </w:tc>
              <w:tc>
                <w:tcPr>
                  <w:tcW w:w="5870" w:type="dxa"/>
                  <w:shd w:val="clear" w:color="000000" w:fill="FFFFFF"/>
                  <w:tcMar>
                    <w:top w:w="15" w:type="dxa"/>
                    <w:left w:w="15" w:type="dxa"/>
                    <w:bottom w:w="0" w:type="dxa"/>
                    <w:right w:w="15" w:type="dxa"/>
                  </w:tcMar>
                  <w:vAlign w:val="center"/>
                  <w:hideMark/>
                </w:tcPr>
                <w:p w14:paraId="7A6E1C0E" w14:textId="77777777" w:rsidR="00E45009" w:rsidRPr="00081C8E" w:rsidRDefault="00E45009" w:rsidP="00E45009">
                  <w:pPr>
                    <w:pStyle w:val="NoSpacing"/>
                    <w:rPr>
                      <w:lang w:val="en-GB"/>
                    </w:rPr>
                  </w:pPr>
                  <w:r w:rsidRPr="00081C8E">
                    <w:rPr>
                      <w:lang w:val="en-GB"/>
                    </w:rPr>
                    <w:t>Lack of guarantee of due process and/or justice re violation no.15</w:t>
                  </w:r>
                </w:p>
              </w:tc>
              <w:tc>
                <w:tcPr>
                  <w:tcW w:w="95" w:type="dxa"/>
                  <w:shd w:val="clear" w:color="000000" w:fill="FFFFFF"/>
                  <w:tcMar>
                    <w:top w:w="15" w:type="dxa"/>
                    <w:left w:w="15" w:type="dxa"/>
                    <w:bottom w:w="0" w:type="dxa"/>
                    <w:right w:w="15" w:type="dxa"/>
                  </w:tcMar>
                  <w:hideMark/>
                </w:tcPr>
                <w:p w14:paraId="6D37373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A4D91F1" w14:textId="77777777" w:rsidR="00E45009" w:rsidRPr="00081C8E" w:rsidRDefault="00E45009" w:rsidP="00E45009">
                  <w:pPr>
                    <w:pStyle w:val="NoSpacing"/>
                    <w:rPr>
                      <w:lang w:val="en-GB"/>
                    </w:rPr>
                  </w:pPr>
                  <w:r w:rsidRPr="00081C8E">
                    <w:rPr>
                      <w:lang w:val="en-GB"/>
                    </w:rPr>
                    <w:t>4.16</w:t>
                  </w:r>
                </w:p>
              </w:tc>
              <w:tc>
                <w:tcPr>
                  <w:tcW w:w="427" w:type="dxa"/>
                  <w:shd w:val="clear" w:color="000000" w:fill="FFFFFF"/>
                  <w:noWrap/>
                  <w:tcMar>
                    <w:top w:w="15" w:type="dxa"/>
                    <w:left w:w="15" w:type="dxa"/>
                    <w:bottom w:w="0" w:type="dxa"/>
                    <w:right w:w="15" w:type="dxa"/>
                  </w:tcMar>
                  <w:hideMark/>
                </w:tcPr>
                <w:p w14:paraId="0CE4B27B" w14:textId="77777777" w:rsidR="00E45009" w:rsidRPr="00081C8E" w:rsidRDefault="00E45009" w:rsidP="00E45009">
                  <w:pPr>
                    <w:pStyle w:val="NoSpacing"/>
                    <w:rPr>
                      <w:lang w:val="en-GB"/>
                    </w:rPr>
                  </w:pPr>
                  <w:r w:rsidRPr="00081C8E">
                    <w:rPr>
                      <w:lang w:val="en-GB"/>
                    </w:rPr>
                    <w:t>0.89</w:t>
                  </w:r>
                </w:p>
              </w:tc>
              <w:tc>
                <w:tcPr>
                  <w:tcW w:w="88" w:type="dxa"/>
                  <w:shd w:val="clear" w:color="000000" w:fill="FFFFFF"/>
                  <w:noWrap/>
                  <w:tcMar>
                    <w:top w:w="15" w:type="dxa"/>
                    <w:left w:w="15" w:type="dxa"/>
                    <w:bottom w:w="0" w:type="dxa"/>
                    <w:right w:w="15" w:type="dxa"/>
                  </w:tcMar>
                  <w:hideMark/>
                </w:tcPr>
                <w:p w14:paraId="3C9FC9C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90C16B4" w14:textId="77777777" w:rsidR="00E45009" w:rsidRPr="00081C8E" w:rsidRDefault="00E45009" w:rsidP="00E45009">
                  <w:pPr>
                    <w:pStyle w:val="NoSpacing"/>
                    <w:rPr>
                      <w:lang w:val="en-GB"/>
                    </w:rPr>
                  </w:pPr>
                  <w:r w:rsidRPr="00081C8E">
                    <w:rPr>
                      <w:lang w:val="en-GB"/>
                    </w:rPr>
                    <w:t>4.50</w:t>
                  </w:r>
                </w:p>
              </w:tc>
              <w:tc>
                <w:tcPr>
                  <w:tcW w:w="427" w:type="dxa"/>
                  <w:shd w:val="clear" w:color="000000" w:fill="FFFFFF"/>
                  <w:noWrap/>
                  <w:tcMar>
                    <w:top w:w="15" w:type="dxa"/>
                    <w:left w:w="15" w:type="dxa"/>
                    <w:bottom w:w="0" w:type="dxa"/>
                    <w:right w:w="15" w:type="dxa"/>
                  </w:tcMar>
                  <w:hideMark/>
                </w:tcPr>
                <w:p w14:paraId="3FCFE190" w14:textId="77777777" w:rsidR="00E45009" w:rsidRPr="00081C8E" w:rsidRDefault="00E45009" w:rsidP="00E45009">
                  <w:pPr>
                    <w:pStyle w:val="NoSpacing"/>
                    <w:rPr>
                      <w:lang w:val="en-GB"/>
                    </w:rPr>
                  </w:pPr>
                  <w:r w:rsidRPr="00081C8E">
                    <w:rPr>
                      <w:lang w:val="en-GB"/>
                    </w:rPr>
                    <w:t>0.52</w:t>
                  </w:r>
                </w:p>
              </w:tc>
              <w:tc>
                <w:tcPr>
                  <w:tcW w:w="78" w:type="dxa"/>
                  <w:shd w:val="clear" w:color="000000" w:fill="FFFFFF"/>
                  <w:noWrap/>
                  <w:tcMar>
                    <w:top w:w="15" w:type="dxa"/>
                    <w:left w:w="15" w:type="dxa"/>
                    <w:bottom w:w="0" w:type="dxa"/>
                    <w:right w:w="15" w:type="dxa"/>
                  </w:tcMar>
                  <w:hideMark/>
                </w:tcPr>
                <w:p w14:paraId="250D39EA"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7738F5E" w14:textId="77777777" w:rsidR="00E45009" w:rsidRPr="00081C8E" w:rsidRDefault="00E45009" w:rsidP="00E45009">
                  <w:pPr>
                    <w:pStyle w:val="NoSpacing"/>
                    <w:rPr>
                      <w:lang w:val="en-GB"/>
                    </w:rPr>
                  </w:pPr>
                  <w:r w:rsidRPr="00081C8E">
                    <w:rPr>
                      <w:lang w:val="en-GB"/>
                    </w:rPr>
                    <w:t>1.88</w:t>
                  </w:r>
                </w:p>
              </w:tc>
            </w:tr>
            <w:tr w:rsidR="00E45009" w:rsidRPr="00081C8E" w14:paraId="6F4B3DB6" w14:textId="77777777" w:rsidTr="00DB32C0">
              <w:trPr>
                <w:trHeight w:val="255"/>
              </w:trPr>
              <w:tc>
                <w:tcPr>
                  <w:tcW w:w="185" w:type="dxa"/>
                  <w:shd w:val="clear" w:color="000000" w:fill="FFFFFF"/>
                  <w:noWrap/>
                  <w:tcMar>
                    <w:top w:w="15" w:type="dxa"/>
                    <w:left w:w="15" w:type="dxa"/>
                    <w:bottom w:w="0" w:type="dxa"/>
                    <w:right w:w="15" w:type="dxa"/>
                  </w:tcMar>
                  <w:hideMark/>
                </w:tcPr>
                <w:p w14:paraId="4804434F" w14:textId="77777777" w:rsidR="00E45009" w:rsidRPr="00081C8E" w:rsidRDefault="00E45009" w:rsidP="00E45009">
                  <w:pPr>
                    <w:pStyle w:val="NoSpacing"/>
                    <w:rPr>
                      <w:lang w:val="en-GB"/>
                    </w:rPr>
                  </w:pPr>
                  <w:r w:rsidRPr="00081C8E">
                    <w:rPr>
                      <w:lang w:val="en-GB"/>
                    </w:rPr>
                    <w:t>18</w:t>
                  </w:r>
                </w:p>
              </w:tc>
              <w:tc>
                <w:tcPr>
                  <w:tcW w:w="5870" w:type="dxa"/>
                  <w:shd w:val="clear" w:color="000000" w:fill="FFFFFF"/>
                  <w:tcMar>
                    <w:top w:w="15" w:type="dxa"/>
                    <w:left w:w="15" w:type="dxa"/>
                    <w:bottom w:w="0" w:type="dxa"/>
                    <w:right w:w="15" w:type="dxa"/>
                  </w:tcMar>
                  <w:vAlign w:val="center"/>
                  <w:hideMark/>
                </w:tcPr>
                <w:p w14:paraId="6696F64D" w14:textId="77777777" w:rsidR="00E45009" w:rsidRPr="00081C8E" w:rsidRDefault="00E45009" w:rsidP="00E45009">
                  <w:pPr>
                    <w:pStyle w:val="NoSpacing"/>
                    <w:rPr>
                      <w:lang w:val="en-GB"/>
                    </w:rPr>
                  </w:pPr>
                  <w:r w:rsidRPr="00081C8E">
                    <w:rPr>
                      <w:lang w:val="en-GB"/>
                    </w:rPr>
                    <w:t>Attacks against employers' organizations' premises and property</w:t>
                  </w:r>
                </w:p>
              </w:tc>
              <w:tc>
                <w:tcPr>
                  <w:tcW w:w="95" w:type="dxa"/>
                  <w:shd w:val="clear" w:color="000000" w:fill="FFFFFF"/>
                  <w:tcMar>
                    <w:top w:w="15" w:type="dxa"/>
                    <w:left w:w="15" w:type="dxa"/>
                    <w:bottom w:w="0" w:type="dxa"/>
                    <w:right w:w="15" w:type="dxa"/>
                  </w:tcMar>
                  <w:hideMark/>
                </w:tcPr>
                <w:p w14:paraId="4873E88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1AD3760" w14:textId="77777777" w:rsidR="00E45009" w:rsidRPr="00081C8E" w:rsidRDefault="00E45009" w:rsidP="00E45009">
                  <w:pPr>
                    <w:pStyle w:val="NoSpacing"/>
                    <w:rPr>
                      <w:lang w:val="en-GB"/>
                    </w:rPr>
                  </w:pPr>
                  <w:r w:rsidRPr="00081C8E">
                    <w:rPr>
                      <w:lang w:val="en-GB"/>
                    </w:rPr>
                    <w:t>4.01</w:t>
                  </w:r>
                </w:p>
              </w:tc>
              <w:tc>
                <w:tcPr>
                  <w:tcW w:w="427" w:type="dxa"/>
                  <w:shd w:val="clear" w:color="000000" w:fill="FFFFFF"/>
                  <w:noWrap/>
                  <w:tcMar>
                    <w:top w:w="15" w:type="dxa"/>
                    <w:left w:w="15" w:type="dxa"/>
                    <w:bottom w:w="0" w:type="dxa"/>
                    <w:right w:w="15" w:type="dxa"/>
                  </w:tcMar>
                  <w:hideMark/>
                </w:tcPr>
                <w:p w14:paraId="0D3222AA" w14:textId="77777777" w:rsidR="00E45009" w:rsidRPr="00081C8E" w:rsidRDefault="00E45009" w:rsidP="00E45009">
                  <w:pPr>
                    <w:pStyle w:val="NoSpacing"/>
                    <w:rPr>
                      <w:lang w:val="en-GB"/>
                    </w:rPr>
                  </w:pPr>
                  <w:r w:rsidRPr="00081C8E">
                    <w:rPr>
                      <w:lang w:val="en-GB"/>
                    </w:rPr>
                    <w:t>0.62</w:t>
                  </w:r>
                </w:p>
              </w:tc>
              <w:tc>
                <w:tcPr>
                  <w:tcW w:w="88" w:type="dxa"/>
                  <w:shd w:val="clear" w:color="000000" w:fill="FFFFFF"/>
                  <w:noWrap/>
                  <w:tcMar>
                    <w:top w:w="15" w:type="dxa"/>
                    <w:left w:w="15" w:type="dxa"/>
                    <w:bottom w:w="0" w:type="dxa"/>
                    <w:right w:w="15" w:type="dxa"/>
                  </w:tcMar>
                  <w:hideMark/>
                </w:tcPr>
                <w:p w14:paraId="57687D7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EA32B48" w14:textId="77777777" w:rsidR="00E45009" w:rsidRPr="00081C8E" w:rsidRDefault="00E45009" w:rsidP="00E45009">
                  <w:pPr>
                    <w:pStyle w:val="NoSpacing"/>
                    <w:rPr>
                      <w:lang w:val="en-GB"/>
                    </w:rPr>
                  </w:pPr>
                  <w:r w:rsidRPr="00081C8E">
                    <w:rPr>
                      <w:lang w:val="en-GB"/>
                    </w:rPr>
                    <w:t>4.07</w:t>
                  </w:r>
                </w:p>
              </w:tc>
              <w:tc>
                <w:tcPr>
                  <w:tcW w:w="427" w:type="dxa"/>
                  <w:shd w:val="clear" w:color="000000" w:fill="FFFFFF"/>
                  <w:noWrap/>
                  <w:tcMar>
                    <w:top w:w="15" w:type="dxa"/>
                    <w:left w:w="15" w:type="dxa"/>
                    <w:bottom w:w="0" w:type="dxa"/>
                    <w:right w:w="15" w:type="dxa"/>
                  </w:tcMar>
                  <w:hideMark/>
                </w:tcPr>
                <w:p w14:paraId="34C04133"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4E920569"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2E67CB6" w14:textId="77777777" w:rsidR="00E45009" w:rsidRPr="00081C8E" w:rsidRDefault="00E45009" w:rsidP="00E45009">
                  <w:pPr>
                    <w:pStyle w:val="NoSpacing"/>
                    <w:rPr>
                      <w:lang w:val="en-GB"/>
                    </w:rPr>
                  </w:pPr>
                  <w:r w:rsidRPr="00081C8E">
                    <w:rPr>
                      <w:lang w:val="en-GB"/>
                    </w:rPr>
                    <w:t>1.77</w:t>
                  </w:r>
                </w:p>
              </w:tc>
            </w:tr>
            <w:tr w:rsidR="00E45009" w:rsidRPr="00081C8E" w14:paraId="074F5E1E" w14:textId="77777777" w:rsidTr="00DB32C0">
              <w:trPr>
                <w:trHeight w:val="255"/>
              </w:trPr>
              <w:tc>
                <w:tcPr>
                  <w:tcW w:w="185" w:type="dxa"/>
                  <w:shd w:val="clear" w:color="000000" w:fill="FFFFFF"/>
                  <w:noWrap/>
                  <w:tcMar>
                    <w:top w:w="15" w:type="dxa"/>
                    <w:left w:w="15" w:type="dxa"/>
                    <w:bottom w:w="0" w:type="dxa"/>
                    <w:right w:w="15" w:type="dxa"/>
                  </w:tcMar>
                  <w:hideMark/>
                </w:tcPr>
                <w:p w14:paraId="348B6907" w14:textId="77777777" w:rsidR="00E45009" w:rsidRPr="00081C8E" w:rsidRDefault="00E45009" w:rsidP="00E45009">
                  <w:pPr>
                    <w:pStyle w:val="NoSpacing"/>
                    <w:rPr>
                      <w:lang w:val="en-GB"/>
                    </w:rPr>
                  </w:pPr>
                  <w:r w:rsidRPr="00081C8E">
                    <w:rPr>
                      <w:lang w:val="en-GB"/>
                    </w:rPr>
                    <w:t>19</w:t>
                  </w:r>
                </w:p>
              </w:tc>
              <w:tc>
                <w:tcPr>
                  <w:tcW w:w="5870" w:type="dxa"/>
                  <w:shd w:val="clear" w:color="000000" w:fill="FFFFFF"/>
                  <w:tcMar>
                    <w:top w:w="15" w:type="dxa"/>
                    <w:left w:w="15" w:type="dxa"/>
                    <w:bottom w:w="0" w:type="dxa"/>
                    <w:right w:w="15" w:type="dxa"/>
                  </w:tcMar>
                  <w:vAlign w:val="center"/>
                  <w:hideMark/>
                </w:tcPr>
                <w:p w14:paraId="6348F966" w14:textId="77777777" w:rsidR="00E45009" w:rsidRPr="00081C8E" w:rsidRDefault="00E45009" w:rsidP="00E45009">
                  <w:pPr>
                    <w:pStyle w:val="NoSpacing"/>
                    <w:rPr>
                      <w:lang w:val="en-GB"/>
                    </w:rPr>
                  </w:pPr>
                  <w:r w:rsidRPr="00081C8E">
                    <w:rPr>
                      <w:lang w:val="en-GB"/>
                    </w:rPr>
                    <w:t>Committed against officials of employers' organizations re violation no.18</w:t>
                  </w:r>
                </w:p>
              </w:tc>
              <w:tc>
                <w:tcPr>
                  <w:tcW w:w="95" w:type="dxa"/>
                  <w:shd w:val="clear" w:color="000000" w:fill="FFFFFF"/>
                  <w:tcMar>
                    <w:top w:w="15" w:type="dxa"/>
                    <w:left w:w="15" w:type="dxa"/>
                    <w:bottom w:w="0" w:type="dxa"/>
                    <w:right w:w="15" w:type="dxa"/>
                  </w:tcMar>
                  <w:hideMark/>
                </w:tcPr>
                <w:p w14:paraId="01949F5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DB0910F" w14:textId="77777777" w:rsidR="00E45009" w:rsidRPr="00081C8E" w:rsidRDefault="00E45009" w:rsidP="00E45009">
                  <w:pPr>
                    <w:pStyle w:val="NoSpacing"/>
                    <w:rPr>
                      <w:lang w:val="en-GB"/>
                    </w:rPr>
                  </w:pPr>
                  <w:r w:rsidRPr="00081C8E">
                    <w:rPr>
                      <w:lang w:val="en-GB"/>
                    </w:rPr>
                    <w:t>4.01</w:t>
                  </w:r>
                </w:p>
              </w:tc>
              <w:tc>
                <w:tcPr>
                  <w:tcW w:w="427" w:type="dxa"/>
                  <w:shd w:val="clear" w:color="000000" w:fill="FFFFFF"/>
                  <w:noWrap/>
                  <w:tcMar>
                    <w:top w:w="15" w:type="dxa"/>
                    <w:left w:w="15" w:type="dxa"/>
                    <w:bottom w:w="0" w:type="dxa"/>
                    <w:right w:w="15" w:type="dxa"/>
                  </w:tcMar>
                  <w:hideMark/>
                </w:tcPr>
                <w:p w14:paraId="39B9D3DA" w14:textId="77777777" w:rsidR="00E45009" w:rsidRPr="00081C8E" w:rsidRDefault="00E45009" w:rsidP="00E45009">
                  <w:pPr>
                    <w:pStyle w:val="NoSpacing"/>
                    <w:rPr>
                      <w:lang w:val="en-GB"/>
                    </w:rPr>
                  </w:pPr>
                  <w:r w:rsidRPr="00081C8E">
                    <w:rPr>
                      <w:lang w:val="en-GB"/>
                    </w:rPr>
                    <w:t>0.62</w:t>
                  </w:r>
                </w:p>
              </w:tc>
              <w:tc>
                <w:tcPr>
                  <w:tcW w:w="88" w:type="dxa"/>
                  <w:shd w:val="clear" w:color="000000" w:fill="FFFFFF"/>
                  <w:noWrap/>
                  <w:tcMar>
                    <w:top w:w="15" w:type="dxa"/>
                    <w:left w:w="15" w:type="dxa"/>
                    <w:bottom w:w="0" w:type="dxa"/>
                    <w:right w:w="15" w:type="dxa"/>
                  </w:tcMar>
                  <w:hideMark/>
                </w:tcPr>
                <w:p w14:paraId="29012A9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CCC8966" w14:textId="77777777" w:rsidR="00E45009" w:rsidRPr="00081C8E" w:rsidRDefault="00E45009" w:rsidP="00E45009">
                  <w:pPr>
                    <w:pStyle w:val="NoSpacing"/>
                    <w:rPr>
                      <w:lang w:val="en-GB"/>
                    </w:rPr>
                  </w:pPr>
                  <w:r w:rsidRPr="00081C8E">
                    <w:rPr>
                      <w:lang w:val="en-GB"/>
                    </w:rPr>
                    <w:t>4.07</w:t>
                  </w:r>
                </w:p>
              </w:tc>
              <w:tc>
                <w:tcPr>
                  <w:tcW w:w="427" w:type="dxa"/>
                  <w:shd w:val="clear" w:color="000000" w:fill="FFFFFF"/>
                  <w:noWrap/>
                  <w:tcMar>
                    <w:top w:w="15" w:type="dxa"/>
                    <w:left w:w="15" w:type="dxa"/>
                    <w:bottom w:w="0" w:type="dxa"/>
                    <w:right w:w="15" w:type="dxa"/>
                  </w:tcMar>
                  <w:hideMark/>
                </w:tcPr>
                <w:p w14:paraId="3DBFE905"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065B2BED"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2B0E508" w14:textId="77777777" w:rsidR="00E45009" w:rsidRPr="00081C8E" w:rsidRDefault="00E45009" w:rsidP="00E45009">
                  <w:pPr>
                    <w:pStyle w:val="NoSpacing"/>
                    <w:rPr>
                      <w:lang w:val="en-GB"/>
                    </w:rPr>
                  </w:pPr>
                  <w:r w:rsidRPr="00081C8E">
                    <w:rPr>
                      <w:lang w:val="en-GB"/>
                    </w:rPr>
                    <w:t>1.77</w:t>
                  </w:r>
                </w:p>
              </w:tc>
            </w:tr>
            <w:tr w:rsidR="00E45009" w:rsidRPr="00081C8E" w14:paraId="368B6385" w14:textId="77777777" w:rsidTr="00DB32C0">
              <w:trPr>
                <w:trHeight w:val="255"/>
              </w:trPr>
              <w:tc>
                <w:tcPr>
                  <w:tcW w:w="185" w:type="dxa"/>
                  <w:shd w:val="clear" w:color="000000" w:fill="FFFFFF"/>
                  <w:noWrap/>
                  <w:tcMar>
                    <w:top w:w="15" w:type="dxa"/>
                    <w:left w:w="15" w:type="dxa"/>
                    <w:bottom w:w="0" w:type="dxa"/>
                    <w:right w:w="15" w:type="dxa"/>
                  </w:tcMar>
                  <w:hideMark/>
                </w:tcPr>
                <w:p w14:paraId="0ADA6245" w14:textId="77777777" w:rsidR="00E45009" w:rsidRPr="00081C8E" w:rsidRDefault="00E45009" w:rsidP="00E45009">
                  <w:pPr>
                    <w:pStyle w:val="NoSpacing"/>
                    <w:rPr>
                      <w:lang w:val="en-GB"/>
                    </w:rPr>
                  </w:pPr>
                  <w:r w:rsidRPr="00081C8E">
                    <w:rPr>
                      <w:lang w:val="en-GB"/>
                    </w:rPr>
                    <w:t>20</w:t>
                  </w:r>
                </w:p>
              </w:tc>
              <w:tc>
                <w:tcPr>
                  <w:tcW w:w="5870" w:type="dxa"/>
                  <w:shd w:val="clear" w:color="000000" w:fill="FFFFFF"/>
                  <w:tcMar>
                    <w:top w:w="15" w:type="dxa"/>
                    <w:left w:w="15" w:type="dxa"/>
                    <w:bottom w:w="0" w:type="dxa"/>
                    <w:right w:w="15" w:type="dxa"/>
                  </w:tcMar>
                  <w:vAlign w:val="center"/>
                  <w:hideMark/>
                </w:tcPr>
                <w:p w14:paraId="76F89B79" w14:textId="77777777" w:rsidR="00E45009" w:rsidRPr="00081C8E" w:rsidRDefault="00E45009" w:rsidP="00E45009">
                  <w:pPr>
                    <w:pStyle w:val="NoSpacing"/>
                    <w:rPr>
                      <w:lang w:val="en-GB"/>
                    </w:rPr>
                  </w:pPr>
                  <w:r w:rsidRPr="00081C8E">
                    <w:rPr>
                      <w:lang w:val="en-GB"/>
                    </w:rPr>
                    <w:t>Lack of guarantee of due process and/or justice re violation no.18</w:t>
                  </w:r>
                </w:p>
              </w:tc>
              <w:tc>
                <w:tcPr>
                  <w:tcW w:w="95" w:type="dxa"/>
                  <w:shd w:val="clear" w:color="000000" w:fill="FFFFFF"/>
                  <w:tcMar>
                    <w:top w:w="15" w:type="dxa"/>
                    <w:left w:w="15" w:type="dxa"/>
                    <w:bottom w:w="0" w:type="dxa"/>
                    <w:right w:w="15" w:type="dxa"/>
                  </w:tcMar>
                  <w:hideMark/>
                </w:tcPr>
                <w:p w14:paraId="3A7169D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BF55051" w14:textId="77777777" w:rsidR="00E45009" w:rsidRPr="00081C8E" w:rsidRDefault="00E45009" w:rsidP="00E45009">
                  <w:pPr>
                    <w:pStyle w:val="NoSpacing"/>
                    <w:rPr>
                      <w:lang w:val="en-GB"/>
                    </w:rPr>
                  </w:pPr>
                  <w:r w:rsidRPr="00081C8E">
                    <w:rPr>
                      <w:lang w:val="en-GB"/>
                    </w:rPr>
                    <w:t>4.08</w:t>
                  </w:r>
                </w:p>
              </w:tc>
              <w:tc>
                <w:tcPr>
                  <w:tcW w:w="427" w:type="dxa"/>
                  <w:shd w:val="clear" w:color="000000" w:fill="FFFFFF"/>
                  <w:noWrap/>
                  <w:tcMar>
                    <w:top w:w="15" w:type="dxa"/>
                    <w:left w:w="15" w:type="dxa"/>
                    <w:bottom w:w="0" w:type="dxa"/>
                    <w:right w:w="15" w:type="dxa"/>
                  </w:tcMar>
                  <w:hideMark/>
                </w:tcPr>
                <w:p w14:paraId="7D1701A6" w14:textId="77777777" w:rsidR="00E45009" w:rsidRPr="00081C8E" w:rsidRDefault="00E45009" w:rsidP="00E45009">
                  <w:pPr>
                    <w:pStyle w:val="NoSpacing"/>
                    <w:rPr>
                      <w:lang w:val="en-GB"/>
                    </w:rPr>
                  </w:pPr>
                  <w:r w:rsidRPr="00081C8E">
                    <w:rPr>
                      <w:lang w:val="en-GB"/>
                    </w:rPr>
                    <w:t>0.77</w:t>
                  </w:r>
                </w:p>
              </w:tc>
              <w:tc>
                <w:tcPr>
                  <w:tcW w:w="88" w:type="dxa"/>
                  <w:shd w:val="clear" w:color="000000" w:fill="FFFFFF"/>
                  <w:noWrap/>
                  <w:tcMar>
                    <w:top w:w="15" w:type="dxa"/>
                    <w:left w:w="15" w:type="dxa"/>
                    <w:bottom w:w="0" w:type="dxa"/>
                    <w:right w:w="15" w:type="dxa"/>
                  </w:tcMar>
                  <w:hideMark/>
                </w:tcPr>
                <w:p w14:paraId="76A72F6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6D30E4A" w14:textId="77777777" w:rsidR="00E45009" w:rsidRPr="00081C8E" w:rsidRDefault="00E45009" w:rsidP="00E45009">
                  <w:pPr>
                    <w:pStyle w:val="NoSpacing"/>
                    <w:rPr>
                      <w:lang w:val="en-GB"/>
                    </w:rPr>
                  </w:pPr>
                  <w:r w:rsidRPr="00081C8E">
                    <w:rPr>
                      <w:lang w:val="en-GB"/>
                    </w:rPr>
                    <w:t>4.07</w:t>
                  </w:r>
                </w:p>
              </w:tc>
              <w:tc>
                <w:tcPr>
                  <w:tcW w:w="427" w:type="dxa"/>
                  <w:shd w:val="clear" w:color="000000" w:fill="FFFFFF"/>
                  <w:noWrap/>
                  <w:tcMar>
                    <w:top w:w="15" w:type="dxa"/>
                    <w:left w:w="15" w:type="dxa"/>
                    <w:bottom w:w="0" w:type="dxa"/>
                    <w:right w:w="15" w:type="dxa"/>
                  </w:tcMar>
                  <w:hideMark/>
                </w:tcPr>
                <w:p w14:paraId="69D7EE71" w14:textId="77777777" w:rsidR="00E45009" w:rsidRPr="00081C8E" w:rsidRDefault="00E45009" w:rsidP="00E45009">
                  <w:pPr>
                    <w:pStyle w:val="NoSpacing"/>
                    <w:rPr>
                      <w:lang w:val="en-GB"/>
                    </w:rPr>
                  </w:pPr>
                  <w:r w:rsidRPr="00081C8E">
                    <w:rPr>
                      <w:lang w:val="en-GB"/>
                    </w:rPr>
                    <w:t>0.62</w:t>
                  </w:r>
                </w:p>
              </w:tc>
              <w:tc>
                <w:tcPr>
                  <w:tcW w:w="78" w:type="dxa"/>
                  <w:shd w:val="clear" w:color="000000" w:fill="FFFFFF"/>
                  <w:noWrap/>
                  <w:tcMar>
                    <w:top w:w="15" w:type="dxa"/>
                    <w:left w:w="15" w:type="dxa"/>
                    <w:bottom w:w="0" w:type="dxa"/>
                    <w:right w:w="15" w:type="dxa"/>
                  </w:tcMar>
                  <w:hideMark/>
                </w:tcPr>
                <w:p w14:paraId="1BE362C8"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D51648D" w14:textId="77777777" w:rsidR="00E45009" w:rsidRPr="00081C8E" w:rsidRDefault="00E45009" w:rsidP="00E45009">
                  <w:pPr>
                    <w:pStyle w:val="NoSpacing"/>
                    <w:rPr>
                      <w:lang w:val="en-GB"/>
                    </w:rPr>
                  </w:pPr>
                  <w:r w:rsidRPr="00081C8E">
                    <w:rPr>
                      <w:lang w:val="en-GB"/>
                    </w:rPr>
                    <w:t>1.77</w:t>
                  </w:r>
                </w:p>
              </w:tc>
            </w:tr>
            <w:tr w:rsidR="00E45009" w:rsidRPr="00081C8E" w14:paraId="64F26847" w14:textId="77777777" w:rsidTr="00DB32C0">
              <w:trPr>
                <w:trHeight w:val="255"/>
              </w:trPr>
              <w:tc>
                <w:tcPr>
                  <w:tcW w:w="185" w:type="dxa"/>
                  <w:shd w:val="clear" w:color="000000" w:fill="FFFFFF"/>
                  <w:noWrap/>
                  <w:tcMar>
                    <w:top w:w="15" w:type="dxa"/>
                    <w:left w:w="15" w:type="dxa"/>
                    <w:bottom w:w="0" w:type="dxa"/>
                    <w:right w:w="15" w:type="dxa"/>
                  </w:tcMar>
                  <w:hideMark/>
                </w:tcPr>
                <w:p w14:paraId="1C75A72E" w14:textId="77777777" w:rsidR="00E45009" w:rsidRPr="00081C8E" w:rsidRDefault="00E45009" w:rsidP="00E45009">
                  <w:pPr>
                    <w:pStyle w:val="NoSpacing"/>
                    <w:rPr>
                      <w:lang w:val="en-GB"/>
                    </w:rPr>
                  </w:pPr>
                  <w:r w:rsidRPr="00081C8E">
                    <w:rPr>
                      <w:lang w:val="en-GB"/>
                    </w:rPr>
                    <w:t>21</w:t>
                  </w:r>
                </w:p>
              </w:tc>
              <w:tc>
                <w:tcPr>
                  <w:tcW w:w="5870" w:type="dxa"/>
                  <w:shd w:val="clear" w:color="000000" w:fill="FFFFFF"/>
                  <w:tcMar>
                    <w:top w:w="15" w:type="dxa"/>
                    <w:left w:w="15" w:type="dxa"/>
                    <w:bottom w:w="0" w:type="dxa"/>
                    <w:right w:w="15" w:type="dxa"/>
                  </w:tcMar>
                  <w:vAlign w:val="center"/>
                  <w:hideMark/>
                </w:tcPr>
                <w:p w14:paraId="689B5C96" w14:textId="77777777" w:rsidR="00E45009" w:rsidRPr="00081C8E" w:rsidRDefault="00E45009" w:rsidP="00E45009">
                  <w:pPr>
                    <w:pStyle w:val="NoSpacing"/>
                    <w:rPr>
                      <w:lang w:val="en-GB"/>
                    </w:rPr>
                  </w:pPr>
                  <w:r w:rsidRPr="00081C8E">
                    <w:rPr>
                      <w:lang w:val="en-GB"/>
                    </w:rPr>
                    <w:t>Excessive prohibitions/restrictions on employers' organizations' rights in the event of state of emergency</w:t>
                  </w:r>
                </w:p>
              </w:tc>
              <w:tc>
                <w:tcPr>
                  <w:tcW w:w="95" w:type="dxa"/>
                  <w:shd w:val="clear" w:color="000000" w:fill="FFFFFF"/>
                  <w:tcMar>
                    <w:top w:w="15" w:type="dxa"/>
                    <w:left w:w="15" w:type="dxa"/>
                    <w:bottom w:w="0" w:type="dxa"/>
                    <w:right w:w="15" w:type="dxa"/>
                  </w:tcMar>
                  <w:hideMark/>
                </w:tcPr>
                <w:p w14:paraId="2B3BCE4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064F67F" w14:textId="77777777" w:rsidR="00E45009" w:rsidRPr="00081C8E" w:rsidRDefault="00E45009" w:rsidP="00E45009">
                  <w:pPr>
                    <w:pStyle w:val="NoSpacing"/>
                    <w:rPr>
                      <w:lang w:val="en-GB"/>
                    </w:rPr>
                  </w:pPr>
                  <w:r w:rsidRPr="00081C8E">
                    <w:rPr>
                      <w:lang w:val="en-GB"/>
                    </w:rPr>
                    <w:t>3.68</w:t>
                  </w:r>
                </w:p>
              </w:tc>
              <w:tc>
                <w:tcPr>
                  <w:tcW w:w="427" w:type="dxa"/>
                  <w:shd w:val="clear" w:color="000000" w:fill="FFFFFF"/>
                  <w:noWrap/>
                  <w:tcMar>
                    <w:top w:w="15" w:type="dxa"/>
                    <w:left w:w="15" w:type="dxa"/>
                    <w:bottom w:w="0" w:type="dxa"/>
                    <w:right w:w="15" w:type="dxa"/>
                  </w:tcMar>
                  <w:hideMark/>
                </w:tcPr>
                <w:p w14:paraId="2C514047" w14:textId="77777777" w:rsidR="00E45009" w:rsidRPr="00081C8E" w:rsidRDefault="00E45009" w:rsidP="00E45009">
                  <w:pPr>
                    <w:pStyle w:val="NoSpacing"/>
                    <w:rPr>
                      <w:lang w:val="en-GB"/>
                    </w:rPr>
                  </w:pPr>
                  <w:r w:rsidRPr="00081C8E">
                    <w:rPr>
                      <w:lang w:val="en-GB"/>
                    </w:rPr>
                    <w:t>1.02</w:t>
                  </w:r>
                </w:p>
              </w:tc>
              <w:tc>
                <w:tcPr>
                  <w:tcW w:w="88" w:type="dxa"/>
                  <w:shd w:val="clear" w:color="000000" w:fill="FFFFFF"/>
                  <w:noWrap/>
                  <w:tcMar>
                    <w:top w:w="15" w:type="dxa"/>
                    <w:left w:w="15" w:type="dxa"/>
                    <w:bottom w:w="0" w:type="dxa"/>
                    <w:right w:w="15" w:type="dxa"/>
                  </w:tcMar>
                  <w:hideMark/>
                </w:tcPr>
                <w:p w14:paraId="441BAAF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47B01B9" w14:textId="77777777" w:rsidR="00E45009" w:rsidRPr="00081C8E" w:rsidRDefault="00E45009" w:rsidP="00E45009">
                  <w:pPr>
                    <w:pStyle w:val="NoSpacing"/>
                    <w:rPr>
                      <w:lang w:val="en-GB"/>
                    </w:rPr>
                  </w:pPr>
                  <w:r w:rsidRPr="00081C8E">
                    <w:rPr>
                      <w:lang w:val="en-GB"/>
                    </w:rPr>
                    <w:t>3.79</w:t>
                  </w:r>
                </w:p>
              </w:tc>
              <w:tc>
                <w:tcPr>
                  <w:tcW w:w="427" w:type="dxa"/>
                  <w:shd w:val="clear" w:color="000000" w:fill="FFFFFF"/>
                  <w:noWrap/>
                  <w:tcMar>
                    <w:top w:w="15" w:type="dxa"/>
                    <w:left w:w="15" w:type="dxa"/>
                    <w:bottom w:w="0" w:type="dxa"/>
                    <w:right w:w="15" w:type="dxa"/>
                  </w:tcMar>
                  <w:hideMark/>
                </w:tcPr>
                <w:p w14:paraId="2DFE0C4C" w14:textId="77777777" w:rsidR="00E45009" w:rsidRPr="00081C8E" w:rsidRDefault="00E45009" w:rsidP="00E45009">
                  <w:pPr>
                    <w:pStyle w:val="NoSpacing"/>
                    <w:rPr>
                      <w:lang w:val="en-GB"/>
                    </w:rPr>
                  </w:pPr>
                  <w:r w:rsidRPr="00081C8E">
                    <w:rPr>
                      <w:lang w:val="en-GB"/>
                    </w:rPr>
                    <w:t>0.43</w:t>
                  </w:r>
                </w:p>
              </w:tc>
              <w:tc>
                <w:tcPr>
                  <w:tcW w:w="78" w:type="dxa"/>
                  <w:shd w:val="clear" w:color="000000" w:fill="FFFFFF"/>
                  <w:noWrap/>
                  <w:tcMar>
                    <w:top w:w="15" w:type="dxa"/>
                    <w:left w:w="15" w:type="dxa"/>
                    <w:bottom w:w="0" w:type="dxa"/>
                    <w:right w:w="15" w:type="dxa"/>
                  </w:tcMar>
                  <w:hideMark/>
                </w:tcPr>
                <w:p w14:paraId="062A7D4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2714D314" w14:textId="77777777" w:rsidR="00E45009" w:rsidRPr="00081C8E" w:rsidRDefault="00E45009" w:rsidP="00E45009">
                  <w:pPr>
                    <w:pStyle w:val="NoSpacing"/>
                    <w:rPr>
                      <w:lang w:val="en-GB"/>
                    </w:rPr>
                  </w:pPr>
                  <w:r w:rsidRPr="00081C8E">
                    <w:rPr>
                      <w:lang w:val="en-GB"/>
                    </w:rPr>
                    <w:t>1.70</w:t>
                  </w:r>
                </w:p>
              </w:tc>
            </w:tr>
            <w:tr w:rsidR="00E45009" w:rsidRPr="00081C8E" w14:paraId="6793255D" w14:textId="77777777" w:rsidTr="00DB32C0">
              <w:trPr>
                <w:trHeight w:val="255"/>
              </w:trPr>
              <w:tc>
                <w:tcPr>
                  <w:tcW w:w="185" w:type="dxa"/>
                  <w:shd w:val="clear" w:color="000000" w:fill="FFFFFF"/>
                  <w:noWrap/>
                  <w:tcMar>
                    <w:top w:w="15" w:type="dxa"/>
                    <w:left w:w="15" w:type="dxa"/>
                    <w:bottom w:w="0" w:type="dxa"/>
                    <w:right w:w="15" w:type="dxa"/>
                  </w:tcMar>
                  <w:hideMark/>
                </w:tcPr>
                <w:p w14:paraId="4297469B" w14:textId="77777777" w:rsidR="00E45009" w:rsidRPr="00081C8E" w:rsidRDefault="00E45009" w:rsidP="00E45009">
                  <w:pPr>
                    <w:pStyle w:val="NoSpacing"/>
                    <w:rPr>
                      <w:lang w:val="en-GB"/>
                    </w:rPr>
                  </w:pPr>
                  <w:r w:rsidRPr="00081C8E">
                    <w:rPr>
                      <w:lang w:val="en-GB"/>
                    </w:rPr>
                    <w:t>22</w:t>
                  </w:r>
                </w:p>
              </w:tc>
              <w:tc>
                <w:tcPr>
                  <w:tcW w:w="5870" w:type="dxa"/>
                  <w:shd w:val="clear" w:color="000000" w:fill="FFFFFF"/>
                  <w:tcMar>
                    <w:top w:w="15" w:type="dxa"/>
                    <w:left w:w="15" w:type="dxa"/>
                    <w:bottom w:w="0" w:type="dxa"/>
                    <w:right w:w="15" w:type="dxa"/>
                  </w:tcMar>
                  <w:vAlign w:val="center"/>
                  <w:hideMark/>
                </w:tcPr>
                <w:p w14:paraId="407C87D8" w14:textId="77777777" w:rsidR="00E45009" w:rsidRPr="00081C8E" w:rsidRDefault="00E45009" w:rsidP="00E45009">
                  <w:pPr>
                    <w:pStyle w:val="NoSpacing"/>
                    <w:rPr>
                      <w:lang w:val="en-GB"/>
                    </w:rPr>
                  </w:pPr>
                  <w:r w:rsidRPr="00081C8E">
                    <w:rPr>
                      <w:lang w:val="en-GB"/>
                    </w:rPr>
                    <w:t>Lack of guarantee of due process and/or justice re violation no.21</w:t>
                  </w:r>
                </w:p>
              </w:tc>
              <w:tc>
                <w:tcPr>
                  <w:tcW w:w="95" w:type="dxa"/>
                  <w:shd w:val="clear" w:color="000000" w:fill="FFFFFF"/>
                  <w:tcMar>
                    <w:top w:w="15" w:type="dxa"/>
                    <w:left w:w="15" w:type="dxa"/>
                    <w:bottom w:w="0" w:type="dxa"/>
                    <w:right w:w="15" w:type="dxa"/>
                  </w:tcMar>
                  <w:hideMark/>
                </w:tcPr>
                <w:p w14:paraId="047433A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8EE3A66" w14:textId="77777777" w:rsidR="00E45009" w:rsidRPr="00081C8E" w:rsidRDefault="00E45009" w:rsidP="00E45009">
                  <w:pPr>
                    <w:pStyle w:val="NoSpacing"/>
                    <w:rPr>
                      <w:lang w:val="en-GB"/>
                    </w:rPr>
                  </w:pPr>
                  <w:r w:rsidRPr="00081C8E">
                    <w:rPr>
                      <w:lang w:val="en-GB"/>
                    </w:rPr>
                    <w:t>3.85</w:t>
                  </w:r>
                </w:p>
              </w:tc>
              <w:tc>
                <w:tcPr>
                  <w:tcW w:w="427" w:type="dxa"/>
                  <w:shd w:val="clear" w:color="000000" w:fill="FFFFFF"/>
                  <w:noWrap/>
                  <w:tcMar>
                    <w:top w:w="15" w:type="dxa"/>
                    <w:left w:w="15" w:type="dxa"/>
                    <w:bottom w:w="0" w:type="dxa"/>
                    <w:right w:w="15" w:type="dxa"/>
                  </w:tcMar>
                  <w:hideMark/>
                </w:tcPr>
                <w:p w14:paraId="664345C0" w14:textId="77777777" w:rsidR="00E45009" w:rsidRPr="00081C8E" w:rsidRDefault="00E45009" w:rsidP="00E45009">
                  <w:pPr>
                    <w:pStyle w:val="NoSpacing"/>
                    <w:rPr>
                      <w:lang w:val="en-GB"/>
                    </w:rPr>
                  </w:pPr>
                  <w:r w:rsidRPr="00081C8E">
                    <w:rPr>
                      <w:lang w:val="en-GB"/>
                    </w:rPr>
                    <w:t>1.07</w:t>
                  </w:r>
                </w:p>
              </w:tc>
              <w:tc>
                <w:tcPr>
                  <w:tcW w:w="88" w:type="dxa"/>
                  <w:shd w:val="clear" w:color="000000" w:fill="FFFFFF"/>
                  <w:noWrap/>
                  <w:tcMar>
                    <w:top w:w="15" w:type="dxa"/>
                    <w:left w:w="15" w:type="dxa"/>
                    <w:bottom w:w="0" w:type="dxa"/>
                    <w:right w:w="15" w:type="dxa"/>
                  </w:tcMar>
                  <w:hideMark/>
                </w:tcPr>
                <w:p w14:paraId="3DD7C9C4"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A643714"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11A1A9B3" w14:textId="77777777" w:rsidR="00E45009" w:rsidRPr="00081C8E" w:rsidRDefault="00E45009" w:rsidP="00E45009">
                  <w:pPr>
                    <w:pStyle w:val="NoSpacing"/>
                    <w:rPr>
                      <w:lang w:val="en-GB"/>
                    </w:rPr>
                  </w:pPr>
                  <w:r w:rsidRPr="00081C8E">
                    <w:rPr>
                      <w:lang w:val="en-GB"/>
                    </w:rPr>
                    <w:t>0.62</w:t>
                  </w:r>
                </w:p>
              </w:tc>
              <w:tc>
                <w:tcPr>
                  <w:tcW w:w="78" w:type="dxa"/>
                  <w:shd w:val="clear" w:color="000000" w:fill="FFFFFF"/>
                  <w:noWrap/>
                  <w:tcMar>
                    <w:top w:w="15" w:type="dxa"/>
                    <w:left w:w="15" w:type="dxa"/>
                    <w:bottom w:w="0" w:type="dxa"/>
                    <w:right w:w="15" w:type="dxa"/>
                  </w:tcMar>
                  <w:hideMark/>
                </w:tcPr>
                <w:p w14:paraId="01F7EAA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EF2E6F6" w14:textId="77777777" w:rsidR="00E45009" w:rsidRPr="00081C8E" w:rsidRDefault="00E45009" w:rsidP="00E45009">
                  <w:pPr>
                    <w:pStyle w:val="NoSpacing"/>
                    <w:rPr>
                      <w:lang w:val="en-GB"/>
                    </w:rPr>
                  </w:pPr>
                  <w:r w:rsidRPr="00081C8E">
                    <w:rPr>
                      <w:lang w:val="en-GB"/>
                    </w:rPr>
                    <w:t>1.73</w:t>
                  </w:r>
                </w:p>
              </w:tc>
            </w:tr>
            <w:tr w:rsidR="00E45009" w:rsidRPr="00081C8E" w14:paraId="5B5009A5" w14:textId="77777777" w:rsidTr="00DB32C0">
              <w:trPr>
                <w:trHeight w:val="255"/>
              </w:trPr>
              <w:tc>
                <w:tcPr>
                  <w:tcW w:w="185" w:type="dxa"/>
                  <w:shd w:val="clear" w:color="000000" w:fill="FFFFFF"/>
                  <w:noWrap/>
                  <w:tcMar>
                    <w:top w:w="15" w:type="dxa"/>
                    <w:left w:w="15" w:type="dxa"/>
                    <w:bottom w:w="0" w:type="dxa"/>
                    <w:right w:w="15" w:type="dxa"/>
                  </w:tcMar>
                  <w:hideMark/>
                </w:tcPr>
                <w:p w14:paraId="130D41E5" w14:textId="77777777" w:rsidR="00E45009" w:rsidRPr="00081C8E" w:rsidRDefault="00E45009" w:rsidP="00E45009">
                  <w:pPr>
                    <w:pStyle w:val="NoSpacing"/>
                    <w:rPr>
                      <w:lang w:val="en-GB"/>
                    </w:rPr>
                  </w:pPr>
                  <w:r w:rsidRPr="00081C8E">
                    <w:rPr>
                      <w:lang w:val="en-GB"/>
                    </w:rPr>
                    <w:t> </w:t>
                  </w:r>
                </w:p>
              </w:tc>
              <w:tc>
                <w:tcPr>
                  <w:tcW w:w="5870" w:type="dxa"/>
                  <w:shd w:val="clear" w:color="000000" w:fill="FFFFFF"/>
                  <w:tcMar>
                    <w:top w:w="15" w:type="dxa"/>
                    <w:left w:w="15" w:type="dxa"/>
                    <w:bottom w:w="0" w:type="dxa"/>
                    <w:right w:w="15" w:type="dxa"/>
                  </w:tcMar>
                  <w:vAlign w:val="center"/>
                  <w:hideMark/>
                </w:tcPr>
                <w:p w14:paraId="7EA5B140" w14:textId="77777777" w:rsidR="00E45009" w:rsidRPr="00081C8E" w:rsidRDefault="00E45009" w:rsidP="00E45009">
                  <w:pPr>
                    <w:pStyle w:val="NoSpacing"/>
                    <w:rPr>
                      <w:b/>
                      <w:bCs/>
                      <w:lang w:val="en-GB"/>
                    </w:rPr>
                  </w:pPr>
                  <w:r w:rsidRPr="00081C8E">
                    <w:rPr>
                      <w:b/>
                      <w:bCs/>
                      <w:lang w:val="en-GB"/>
                    </w:rPr>
                    <w:t>IIa. Right of employers to establish and join organizations in law</w:t>
                  </w:r>
                </w:p>
              </w:tc>
              <w:tc>
                <w:tcPr>
                  <w:tcW w:w="95" w:type="dxa"/>
                  <w:shd w:val="clear" w:color="000000" w:fill="FFFFFF"/>
                  <w:tcMar>
                    <w:top w:w="15" w:type="dxa"/>
                    <w:left w:w="15" w:type="dxa"/>
                    <w:bottom w:w="0" w:type="dxa"/>
                    <w:right w:w="15" w:type="dxa"/>
                  </w:tcMar>
                  <w:hideMark/>
                </w:tcPr>
                <w:p w14:paraId="358DD3E5"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1D06C48C"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27AEE5DC"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7BB4E8D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6553142"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6D4F90CF"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20733B4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FB4EF5F" w14:textId="77777777" w:rsidR="00E45009" w:rsidRPr="00081C8E" w:rsidRDefault="00E45009" w:rsidP="00E45009">
                  <w:pPr>
                    <w:pStyle w:val="NoSpacing"/>
                    <w:rPr>
                      <w:lang w:val="en-GB"/>
                    </w:rPr>
                  </w:pPr>
                  <w:r w:rsidRPr="00081C8E">
                    <w:rPr>
                      <w:lang w:val="en-GB"/>
                    </w:rPr>
                    <w:t> </w:t>
                  </w:r>
                </w:p>
              </w:tc>
            </w:tr>
            <w:tr w:rsidR="00E45009" w:rsidRPr="00081C8E" w14:paraId="4F9477A2" w14:textId="77777777" w:rsidTr="00DB32C0">
              <w:trPr>
                <w:trHeight w:val="255"/>
              </w:trPr>
              <w:tc>
                <w:tcPr>
                  <w:tcW w:w="185" w:type="dxa"/>
                  <w:shd w:val="clear" w:color="000000" w:fill="FFFFFF"/>
                  <w:noWrap/>
                  <w:tcMar>
                    <w:top w:w="15" w:type="dxa"/>
                    <w:left w:w="15" w:type="dxa"/>
                    <w:bottom w:w="0" w:type="dxa"/>
                    <w:right w:w="15" w:type="dxa"/>
                  </w:tcMar>
                  <w:hideMark/>
                </w:tcPr>
                <w:p w14:paraId="288EDBC8" w14:textId="77777777" w:rsidR="00E45009" w:rsidRPr="00081C8E" w:rsidRDefault="00E45009" w:rsidP="00E45009">
                  <w:pPr>
                    <w:pStyle w:val="NoSpacing"/>
                    <w:rPr>
                      <w:lang w:val="en-GB"/>
                    </w:rPr>
                  </w:pPr>
                  <w:r w:rsidRPr="00081C8E">
                    <w:rPr>
                      <w:lang w:val="en-GB"/>
                    </w:rPr>
                    <w:t>23</w:t>
                  </w:r>
                </w:p>
              </w:tc>
              <w:tc>
                <w:tcPr>
                  <w:tcW w:w="5870" w:type="dxa"/>
                  <w:shd w:val="clear" w:color="000000" w:fill="FFFFFF"/>
                  <w:tcMar>
                    <w:top w:w="15" w:type="dxa"/>
                    <w:left w:w="15" w:type="dxa"/>
                    <w:bottom w:w="0" w:type="dxa"/>
                    <w:right w:w="15" w:type="dxa"/>
                  </w:tcMar>
                  <w:vAlign w:val="center"/>
                  <w:hideMark/>
                </w:tcPr>
                <w:p w14:paraId="0B923D29" w14:textId="77777777" w:rsidR="00E45009" w:rsidRPr="00081C8E" w:rsidRDefault="00E45009" w:rsidP="00E45009">
                  <w:pPr>
                    <w:pStyle w:val="NoSpacing"/>
                    <w:rPr>
                      <w:lang w:val="en-GB"/>
                    </w:rPr>
                  </w:pPr>
                  <w:r w:rsidRPr="00081C8E">
                    <w:rPr>
                      <w:lang w:val="en-GB"/>
                    </w:rPr>
                    <w:t>General prohibition of the right to establish and join organizations</w:t>
                  </w:r>
                </w:p>
              </w:tc>
              <w:tc>
                <w:tcPr>
                  <w:tcW w:w="95" w:type="dxa"/>
                  <w:shd w:val="clear" w:color="000000" w:fill="FFFFFF"/>
                  <w:tcMar>
                    <w:top w:w="15" w:type="dxa"/>
                    <w:left w:w="15" w:type="dxa"/>
                    <w:bottom w:w="0" w:type="dxa"/>
                    <w:right w:w="15" w:type="dxa"/>
                  </w:tcMar>
                  <w:hideMark/>
                </w:tcPr>
                <w:p w14:paraId="0440F589"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B183F9E" w14:textId="77777777" w:rsidR="00E45009" w:rsidRPr="00081C8E" w:rsidRDefault="00E45009" w:rsidP="00E45009">
                  <w:pPr>
                    <w:pStyle w:val="NoSpacing"/>
                    <w:rPr>
                      <w:lang w:val="en-GB"/>
                    </w:rPr>
                  </w:pPr>
                  <w:r w:rsidRPr="00081C8E">
                    <w:rPr>
                      <w:lang w:val="en-GB"/>
                    </w:rPr>
                    <w:t>4.77</w:t>
                  </w:r>
                </w:p>
              </w:tc>
              <w:tc>
                <w:tcPr>
                  <w:tcW w:w="427" w:type="dxa"/>
                  <w:shd w:val="clear" w:color="000000" w:fill="FFFFFF"/>
                  <w:noWrap/>
                  <w:tcMar>
                    <w:top w:w="15" w:type="dxa"/>
                    <w:left w:w="15" w:type="dxa"/>
                    <w:bottom w:w="0" w:type="dxa"/>
                    <w:right w:w="15" w:type="dxa"/>
                  </w:tcMar>
                  <w:hideMark/>
                </w:tcPr>
                <w:p w14:paraId="7C4D68BC" w14:textId="77777777" w:rsidR="00E45009" w:rsidRPr="00081C8E" w:rsidRDefault="00E45009" w:rsidP="00E45009">
                  <w:pPr>
                    <w:pStyle w:val="NoSpacing"/>
                    <w:rPr>
                      <w:lang w:val="en-GB"/>
                    </w:rPr>
                  </w:pPr>
                  <w:r w:rsidRPr="00081C8E">
                    <w:rPr>
                      <w:lang w:val="en-GB"/>
                    </w:rPr>
                    <w:t>0.43</w:t>
                  </w:r>
                </w:p>
              </w:tc>
              <w:tc>
                <w:tcPr>
                  <w:tcW w:w="88" w:type="dxa"/>
                  <w:shd w:val="clear" w:color="000000" w:fill="FFFFFF"/>
                  <w:noWrap/>
                  <w:tcMar>
                    <w:top w:w="15" w:type="dxa"/>
                    <w:left w:w="15" w:type="dxa"/>
                    <w:bottom w:w="0" w:type="dxa"/>
                    <w:right w:w="15" w:type="dxa"/>
                  </w:tcMar>
                  <w:hideMark/>
                </w:tcPr>
                <w:p w14:paraId="40B7FA6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D0EBA1A" w14:textId="77777777" w:rsidR="00E45009" w:rsidRPr="00081C8E" w:rsidRDefault="00E45009" w:rsidP="00E45009">
                  <w:pPr>
                    <w:pStyle w:val="NoSpacing"/>
                    <w:rPr>
                      <w:lang w:val="en-GB"/>
                    </w:rPr>
                  </w:pPr>
                  <w:r w:rsidRPr="00081C8E">
                    <w:rPr>
                      <w:lang w:val="en-GB"/>
                    </w:rPr>
                    <w:t>4.86</w:t>
                  </w:r>
                </w:p>
              </w:tc>
              <w:tc>
                <w:tcPr>
                  <w:tcW w:w="427" w:type="dxa"/>
                  <w:shd w:val="clear" w:color="000000" w:fill="FFFFFF"/>
                  <w:noWrap/>
                  <w:tcMar>
                    <w:top w:w="15" w:type="dxa"/>
                    <w:left w:w="15" w:type="dxa"/>
                    <w:bottom w:w="0" w:type="dxa"/>
                    <w:right w:w="15" w:type="dxa"/>
                  </w:tcMar>
                  <w:hideMark/>
                </w:tcPr>
                <w:p w14:paraId="6906727A" w14:textId="77777777" w:rsidR="00E45009" w:rsidRPr="00081C8E" w:rsidRDefault="00E45009" w:rsidP="00E45009">
                  <w:pPr>
                    <w:pStyle w:val="NoSpacing"/>
                    <w:rPr>
                      <w:lang w:val="en-GB"/>
                    </w:rPr>
                  </w:pPr>
                  <w:r w:rsidRPr="00081C8E">
                    <w:rPr>
                      <w:lang w:val="en-GB"/>
                    </w:rPr>
                    <w:t>0.36</w:t>
                  </w:r>
                </w:p>
              </w:tc>
              <w:tc>
                <w:tcPr>
                  <w:tcW w:w="78" w:type="dxa"/>
                  <w:shd w:val="clear" w:color="000000" w:fill="FFFFFF"/>
                  <w:noWrap/>
                  <w:tcMar>
                    <w:top w:w="15" w:type="dxa"/>
                    <w:left w:w="15" w:type="dxa"/>
                    <w:bottom w:w="0" w:type="dxa"/>
                    <w:right w:w="15" w:type="dxa"/>
                  </w:tcMar>
                  <w:hideMark/>
                </w:tcPr>
                <w:p w14:paraId="3762960D"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C23417E" w14:textId="77777777" w:rsidR="00E45009" w:rsidRPr="00081C8E" w:rsidRDefault="00E45009" w:rsidP="00E45009">
                  <w:pPr>
                    <w:pStyle w:val="NoSpacing"/>
                    <w:rPr>
                      <w:lang w:val="en-GB"/>
                    </w:rPr>
                  </w:pPr>
                  <w:r w:rsidRPr="00081C8E">
                    <w:rPr>
                      <w:lang w:val="en-GB"/>
                    </w:rPr>
                    <w:t>1.96</w:t>
                  </w:r>
                </w:p>
              </w:tc>
            </w:tr>
            <w:tr w:rsidR="00E45009" w:rsidRPr="00081C8E" w14:paraId="04B6E449" w14:textId="77777777" w:rsidTr="00DB32C0">
              <w:trPr>
                <w:trHeight w:val="255"/>
              </w:trPr>
              <w:tc>
                <w:tcPr>
                  <w:tcW w:w="185" w:type="dxa"/>
                  <w:shd w:val="clear" w:color="000000" w:fill="FFFFFF"/>
                  <w:noWrap/>
                  <w:tcMar>
                    <w:top w:w="15" w:type="dxa"/>
                    <w:left w:w="15" w:type="dxa"/>
                    <w:bottom w:w="0" w:type="dxa"/>
                    <w:right w:w="15" w:type="dxa"/>
                  </w:tcMar>
                  <w:hideMark/>
                </w:tcPr>
                <w:p w14:paraId="0DBE5B2B" w14:textId="77777777" w:rsidR="00E45009" w:rsidRPr="00081C8E" w:rsidRDefault="00E45009" w:rsidP="00E45009">
                  <w:pPr>
                    <w:pStyle w:val="NoSpacing"/>
                    <w:rPr>
                      <w:lang w:val="en-GB"/>
                    </w:rPr>
                  </w:pPr>
                  <w:r w:rsidRPr="00081C8E">
                    <w:rPr>
                      <w:lang w:val="en-GB"/>
                    </w:rPr>
                    <w:t>24</w:t>
                  </w:r>
                </w:p>
              </w:tc>
              <w:tc>
                <w:tcPr>
                  <w:tcW w:w="5870" w:type="dxa"/>
                  <w:shd w:val="clear" w:color="000000" w:fill="FFFFFF"/>
                  <w:tcMar>
                    <w:top w:w="15" w:type="dxa"/>
                    <w:left w:w="15" w:type="dxa"/>
                    <w:bottom w:w="0" w:type="dxa"/>
                    <w:right w:w="15" w:type="dxa"/>
                  </w:tcMar>
                  <w:vAlign w:val="center"/>
                  <w:hideMark/>
                </w:tcPr>
                <w:p w14:paraId="5ABC47E0" w14:textId="77777777" w:rsidR="00E45009" w:rsidRPr="00081C8E" w:rsidRDefault="00E45009" w:rsidP="00E45009">
                  <w:pPr>
                    <w:pStyle w:val="NoSpacing"/>
                    <w:rPr>
                      <w:lang w:val="en-GB"/>
                    </w:rPr>
                  </w:pPr>
                  <w:r w:rsidRPr="00081C8E">
                    <w:rPr>
                      <w:lang w:val="en-GB"/>
                    </w:rPr>
                    <w:t>Exclusion of other employers from the right to establish and join organizations</w:t>
                  </w:r>
                </w:p>
              </w:tc>
              <w:tc>
                <w:tcPr>
                  <w:tcW w:w="95" w:type="dxa"/>
                  <w:shd w:val="clear" w:color="000000" w:fill="FFFFFF"/>
                  <w:tcMar>
                    <w:top w:w="15" w:type="dxa"/>
                    <w:left w:w="15" w:type="dxa"/>
                    <w:bottom w:w="0" w:type="dxa"/>
                    <w:right w:w="15" w:type="dxa"/>
                  </w:tcMar>
                  <w:hideMark/>
                </w:tcPr>
                <w:p w14:paraId="041E529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A541CA4" w14:textId="77777777" w:rsidR="00E45009" w:rsidRPr="00081C8E" w:rsidRDefault="00E45009" w:rsidP="00E45009">
                  <w:pPr>
                    <w:pStyle w:val="NoSpacing"/>
                    <w:rPr>
                      <w:lang w:val="en-GB"/>
                    </w:rPr>
                  </w:pPr>
                  <w:r w:rsidRPr="00081C8E">
                    <w:rPr>
                      <w:lang w:val="en-GB"/>
                    </w:rPr>
                    <w:t>4.23</w:t>
                  </w:r>
                </w:p>
              </w:tc>
              <w:tc>
                <w:tcPr>
                  <w:tcW w:w="427" w:type="dxa"/>
                  <w:shd w:val="clear" w:color="000000" w:fill="FFFFFF"/>
                  <w:noWrap/>
                  <w:tcMar>
                    <w:top w:w="15" w:type="dxa"/>
                    <w:left w:w="15" w:type="dxa"/>
                    <w:bottom w:w="0" w:type="dxa"/>
                    <w:right w:w="15" w:type="dxa"/>
                  </w:tcMar>
                  <w:hideMark/>
                </w:tcPr>
                <w:p w14:paraId="27DB7D9F" w14:textId="77777777" w:rsidR="00E45009" w:rsidRPr="00081C8E" w:rsidRDefault="00E45009" w:rsidP="00E45009">
                  <w:pPr>
                    <w:pStyle w:val="NoSpacing"/>
                    <w:rPr>
                      <w:lang w:val="en-GB"/>
                    </w:rPr>
                  </w:pPr>
                  <w:r w:rsidRPr="00081C8E">
                    <w:rPr>
                      <w:lang w:val="en-GB"/>
                    </w:rPr>
                    <w:t>0.73</w:t>
                  </w:r>
                </w:p>
              </w:tc>
              <w:tc>
                <w:tcPr>
                  <w:tcW w:w="88" w:type="dxa"/>
                  <w:shd w:val="clear" w:color="000000" w:fill="FFFFFF"/>
                  <w:noWrap/>
                  <w:tcMar>
                    <w:top w:w="15" w:type="dxa"/>
                    <w:left w:w="15" w:type="dxa"/>
                    <w:bottom w:w="0" w:type="dxa"/>
                    <w:right w:w="15" w:type="dxa"/>
                  </w:tcMar>
                  <w:hideMark/>
                </w:tcPr>
                <w:p w14:paraId="2A6EFF8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F4D8B72" w14:textId="77777777" w:rsidR="00E45009" w:rsidRPr="00081C8E" w:rsidRDefault="00E45009" w:rsidP="00E45009">
                  <w:pPr>
                    <w:pStyle w:val="NoSpacing"/>
                    <w:rPr>
                      <w:lang w:val="en-GB"/>
                    </w:rPr>
                  </w:pPr>
                  <w:r w:rsidRPr="00081C8E">
                    <w:rPr>
                      <w:lang w:val="en-GB"/>
                    </w:rPr>
                    <w:t>4.43</w:t>
                  </w:r>
                </w:p>
              </w:tc>
              <w:tc>
                <w:tcPr>
                  <w:tcW w:w="427" w:type="dxa"/>
                  <w:shd w:val="clear" w:color="000000" w:fill="FFFFFF"/>
                  <w:noWrap/>
                  <w:tcMar>
                    <w:top w:w="15" w:type="dxa"/>
                    <w:left w:w="15" w:type="dxa"/>
                    <w:bottom w:w="0" w:type="dxa"/>
                    <w:right w:w="15" w:type="dxa"/>
                  </w:tcMar>
                  <w:hideMark/>
                </w:tcPr>
                <w:p w14:paraId="5CEB9776" w14:textId="77777777" w:rsidR="00E45009" w:rsidRPr="00081C8E" w:rsidRDefault="00E45009" w:rsidP="00E45009">
                  <w:pPr>
                    <w:pStyle w:val="NoSpacing"/>
                    <w:rPr>
                      <w:lang w:val="en-GB"/>
                    </w:rPr>
                  </w:pPr>
                  <w:r w:rsidRPr="00081C8E">
                    <w:rPr>
                      <w:lang w:val="en-GB"/>
                    </w:rPr>
                    <w:t>0.51</w:t>
                  </w:r>
                </w:p>
              </w:tc>
              <w:tc>
                <w:tcPr>
                  <w:tcW w:w="78" w:type="dxa"/>
                  <w:shd w:val="clear" w:color="000000" w:fill="FFFFFF"/>
                  <w:noWrap/>
                  <w:tcMar>
                    <w:top w:w="15" w:type="dxa"/>
                    <w:left w:w="15" w:type="dxa"/>
                    <w:bottom w:w="0" w:type="dxa"/>
                    <w:right w:w="15" w:type="dxa"/>
                  </w:tcMar>
                  <w:hideMark/>
                </w:tcPr>
                <w:p w14:paraId="551E7E3B"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DDD7AA6" w14:textId="77777777" w:rsidR="00E45009" w:rsidRPr="00081C8E" w:rsidRDefault="00E45009" w:rsidP="00E45009">
                  <w:pPr>
                    <w:pStyle w:val="NoSpacing"/>
                    <w:rPr>
                      <w:lang w:val="en-GB"/>
                    </w:rPr>
                  </w:pPr>
                  <w:r w:rsidRPr="00081C8E">
                    <w:rPr>
                      <w:lang w:val="en-GB"/>
                    </w:rPr>
                    <w:t>1.86</w:t>
                  </w:r>
                </w:p>
              </w:tc>
            </w:tr>
            <w:tr w:rsidR="00E45009" w:rsidRPr="00081C8E" w14:paraId="1EB8ECDD" w14:textId="77777777" w:rsidTr="00DB32C0">
              <w:trPr>
                <w:trHeight w:val="255"/>
              </w:trPr>
              <w:tc>
                <w:tcPr>
                  <w:tcW w:w="185" w:type="dxa"/>
                  <w:shd w:val="clear" w:color="000000" w:fill="FFFFFF"/>
                  <w:noWrap/>
                  <w:tcMar>
                    <w:top w:w="15" w:type="dxa"/>
                    <w:left w:w="15" w:type="dxa"/>
                    <w:bottom w:w="0" w:type="dxa"/>
                    <w:right w:w="15" w:type="dxa"/>
                  </w:tcMar>
                  <w:hideMark/>
                </w:tcPr>
                <w:p w14:paraId="77607DE9" w14:textId="77777777" w:rsidR="00E45009" w:rsidRPr="00081C8E" w:rsidRDefault="00E45009" w:rsidP="00E45009">
                  <w:pPr>
                    <w:pStyle w:val="NoSpacing"/>
                    <w:rPr>
                      <w:lang w:val="en-GB"/>
                    </w:rPr>
                  </w:pPr>
                  <w:r w:rsidRPr="00081C8E">
                    <w:rPr>
                      <w:lang w:val="en-GB"/>
                    </w:rPr>
                    <w:t>25</w:t>
                  </w:r>
                </w:p>
              </w:tc>
              <w:tc>
                <w:tcPr>
                  <w:tcW w:w="5870" w:type="dxa"/>
                  <w:shd w:val="clear" w:color="000000" w:fill="FFFFFF"/>
                  <w:tcMar>
                    <w:top w:w="15" w:type="dxa"/>
                    <w:left w:w="15" w:type="dxa"/>
                    <w:bottom w:w="0" w:type="dxa"/>
                    <w:right w:w="15" w:type="dxa"/>
                  </w:tcMar>
                  <w:vAlign w:val="center"/>
                  <w:hideMark/>
                </w:tcPr>
                <w:p w14:paraId="4BCB5917" w14:textId="77777777" w:rsidR="00E45009" w:rsidRPr="00081C8E" w:rsidRDefault="00E45009" w:rsidP="00E45009">
                  <w:pPr>
                    <w:pStyle w:val="NoSpacing"/>
                    <w:rPr>
                      <w:lang w:val="en-GB"/>
                    </w:rPr>
                  </w:pPr>
                  <w:r w:rsidRPr="00081C8E">
                    <w:rPr>
                      <w:lang w:val="en-GB"/>
                    </w:rPr>
                    <w:t>Previous authorization requirements</w:t>
                  </w:r>
                </w:p>
              </w:tc>
              <w:tc>
                <w:tcPr>
                  <w:tcW w:w="95" w:type="dxa"/>
                  <w:shd w:val="clear" w:color="000000" w:fill="FFFFFF"/>
                  <w:tcMar>
                    <w:top w:w="15" w:type="dxa"/>
                    <w:left w:w="15" w:type="dxa"/>
                    <w:bottom w:w="0" w:type="dxa"/>
                    <w:right w:w="15" w:type="dxa"/>
                  </w:tcMar>
                  <w:hideMark/>
                </w:tcPr>
                <w:p w14:paraId="5325B48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88B6B78" w14:textId="77777777" w:rsidR="00E45009" w:rsidRPr="00081C8E" w:rsidRDefault="00E45009" w:rsidP="00E45009">
                  <w:pPr>
                    <w:pStyle w:val="NoSpacing"/>
                    <w:rPr>
                      <w:lang w:val="en-GB"/>
                    </w:rPr>
                  </w:pPr>
                  <w:r w:rsidRPr="00081C8E">
                    <w:rPr>
                      <w:lang w:val="en-GB"/>
                    </w:rPr>
                    <w:t>3.38</w:t>
                  </w:r>
                </w:p>
              </w:tc>
              <w:tc>
                <w:tcPr>
                  <w:tcW w:w="427" w:type="dxa"/>
                  <w:shd w:val="clear" w:color="000000" w:fill="FFFFFF"/>
                  <w:noWrap/>
                  <w:tcMar>
                    <w:top w:w="15" w:type="dxa"/>
                    <w:left w:w="15" w:type="dxa"/>
                    <w:bottom w:w="0" w:type="dxa"/>
                    <w:right w:w="15" w:type="dxa"/>
                  </w:tcMar>
                  <w:hideMark/>
                </w:tcPr>
                <w:p w14:paraId="47A6BEEC" w14:textId="77777777" w:rsidR="00E45009" w:rsidRPr="00081C8E" w:rsidRDefault="00E45009" w:rsidP="00E45009">
                  <w:pPr>
                    <w:pStyle w:val="NoSpacing"/>
                    <w:rPr>
                      <w:lang w:val="en-GB"/>
                    </w:rPr>
                  </w:pPr>
                  <w:r w:rsidRPr="00081C8E">
                    <w:rPr>
                      <w:lang w:val="en-GB"/>
                    </w:rPr>
                    <w:t>0.63</w:t>
                  </w:r>
                </w:p>
              </w:tc>
              <w:tc>
                <w:tcPr>
                  <w:tcW w:w="88" w:type="dxa"/>
                  <w:shd w:val="clear" w:color="000000" w:fill="FFFFFF"/>
                  <w:noWrap/>
                  <w:tcMar>
                    <w:top w:w="15" w:type="dxa"/>
                    <w:left w:w="15" w:type="dxa"/>
                    <w:bottom w:w="0" w:type="dxa"/>
                    <w:right w:w="15" w:type="dxa"/>
                  </w:tcMar>
                  <w:hideMark/>
                </w:tcPr>
                <w:p w14:paraId="62F745E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34113B8" w14:textId="77777777" w:rsidR="00E45009" w:rsidRPr="00081C8E" w:rsidRDefault="00E45009" w:rsidP="00E45009">
                  <w:pPr>
                    <w:pStyle w:val="NoSpacing"/>
                    <w:rPr>
                      <w:lang w:val="en-GB"/>
                    </w:rPr>
                  </w:pPr>
                  <w:r w:rsidRPr="00081C8E">
                    <w:rPr>
                      <w:lang w:val="en-GB"/>
                    </w:rPr>
                    <w:t>3.50</w:t>
                  </w:r>
                </w:p>
              </w:tc>
              <w:tc>
                <w:tcPr>
                  <w:tcW w:w="427" w:type="dxa"/>
                  <w:shd w:val="clear" w:color="000000" w:fill="FFFFFF"/>
                  <w:noWrap/>
                  <w:tcMar>
                    <w:top w:w="15" w:type="dxa"/>
                    <w:left w:w="15" w:type="dxa"/>
                    <w:bottom w:w="0" w:type="dxa"/>
                    <w:right w:w="15" w:type="dxa"/>
                  </w:tcMar>
                  <w:hideMark/>
                </w:tcPr>
                <w:p w14:paraId="329E5628" w14:textId="77777777" w:rsidR="00E45009" w:rsidRPr="00081C8E" w:rsidRDefault="00E45009" w:rsidP="00E45009">
                  <w:pPr>
                    <w:pStyle w:val="NoSpacing"/>
                    <w:rPr>
                      <w:lang w:val="en-GB"/>
                    </w:rPr>
                  </w:pPr>
                  <w:r w:rsidRPr="00081C8E">
                    <w:rPr>
                      <w:lang w:val="en-GB"/>
                    </w:rPr>
                    <w:t>0.65</w:t>
                  </w:r>
                </w:p>
              </w:tc>
              <w:tc>
                <w:tcPr>
                  <w:tcW w:w="78" w:type="dxa"/>
                  <w:shd w:val="clear" w:color="000000" w:fill="FFFFFF"/>
                  <w:noWrap/>
                  <w:tcMar>
                    <w:top w:w="15" w:type="dxa"/>
                    <w:left w:w="15" w:type="dxa"/>
                    <w:bottom w:w="0" w:type="dxa"/>
                    <w:right w:w="15" w:type="dxa"/>
                  </w:tcMar>
                  <w:hideMark/>
                </w:tcPr>
                <w:p w14:paraId="7F5C0DFA"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9911AAC" w14:textId="77777777" w:rsidR="00E45009" w:rsidRPr="00081C8E" w:rsidRDefault="00E45009" w:rsidP="00E45009">
                  <w:pPr>
                    <w:pStyle w:val="NoSpacing"/>
                    <w:rPr>
                      <w:lang w:val="en-GB"/>
                    </w:rPr>
                  </w:pPr>
                  <w:r w:rsidRPr="00081C8E">
                    <w:rPr>
                      <w:lang w:val="en-GB"/>
                    </w:rPr>
                    <w:t>1.63</w:t>
                  </w:r>
                </w:p>
              </w:tc>
            </w:tr>
            <w:tr w:rsidR="00E45009" w:rsidRPr="00081C8E" w14:paraId="69D262C3" w14:textId="77777777" w:rsidTr="00DB32C0">
              <w:trPr>
                <w:trHeight w:val="255"/>
              </w:trPr>
              <w:tc>
                <w:tcPr>
                  <w:tcW w:w="185" w:type="dxa"/>
                  <w:shd w:val="clear" w:color="000000" w:fill="FFFFFF"/>
                  <w:noWrap/>
                  <w:tcMar>
                    <w:top w:w="15" w:type="dxa"/>
                    <w:left w:w="15" w:type="dxa"/>
                    <w:bottom w:w="0" w:type="dxa"/>
                    <w:right w:w="15" w:type="dxa"/>
                  </w:tcMar>
                  <w:hideMark/>
                </w:tcPr>
                <w:p w14:paraId="37638C7D" w14:textId="77777777" w:rsidR="00E45009" w:rsidRPr="00081C8E" w:rsidRDefault="00E45009" w:rsidP="00E45009">
                  <w:pPr>
                    <w:pStyle w:val="NoSpacing"/>
                    <w:rPr>
                      <w:lang w:val="en-GB"/>
                    </w:rPr>
                  </w:pPr>
                  <w:r w:rsidRPr="00081C8E">
                    <w:rPr>
                      <w:lang w:val="en-GB"/>
                    </w:rPr>
                    <w:t>26</w:t>
                  </w:r>
                </w:p>
              </w:tc>
              <w:tc>
                <w:tcPr>
                  <w:tcW w:w="5870" w:type="dxa"/>
                  <w:shd w:val="clear" w:color="000000" w:fill="FFFFFF"/>
                  <w:tcMar>
                    <w:top w:w="15" w:type="dxa"/>
                    <w:left w:w="15" w:type="dxa"/>
                    <w:bottom w:w="0" w:type="dxa"/>
                    <w:right w:w="15" w:type="dxa"/>
                  </w:tcMar>
                  <w:vAlign w:val="center"/>
                  <w:hideMark/>
                </w:tcPr>
                <w:p w14:paraId="011165B7" w14:textId="77777777" w:rsidR="00E45009" w:rsidRPr="00081C8E" w:rsidRDefault="00E45009" w:rsidP="00E45009">
                  <w:pPr>
                    <w:pStyle w:val="NoSpacing"/>
                    <w:rPr>
                      <w:lang w:val="en-GB"/>
                    </w:rPr>
                  </w:pPr>
                  <w:r w:rsidRPr="00081C8E">
                    <w:rPr>
                      <w:lang w:val="en-GB"/>
                    </w:rPr>
                    <w:t>Restrictions on the freedom of choice of employers' organizations' stucture and composition</w:t>
                  </w:r>
                </w:p>
              </w:tc>
              <w:tc>
                <w:tcPr>
                  <w:tcW w:w="95" w:type="dxa"/>
                  <w:shd w:val="clear" w:color="000000" w:fill="FFFFFF"/>
                  <w:tcMar>
                    <w:top w:w="15" w:type="dxa"/>
                    <w:left w:w="15" w:type="dxa"/>
                    <w:bottom w:w="0" w:type="dxa"/>
                    <w:right w:w="15" w:type="dxa"/>
                  </w:tcMar>
                  <w:hideMark/>
                </w:tcPr>
                <w:p w14:paraId="1377C9D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58704F6" w14:textId="77777777" w:rsidR="00E45009" w:rsidRPr="00081C8E" w:rsidRDefault="00E45009" w:rsidP="00E45009">
                  <w:pPr>
                    <w:pStyle w:val="NoSpacing"/>
                    <w:rPr>
                      <w:lang w:val="en-GB"/>
                    </w:rPr>
                  </w:pPr>
                  <w:r w:rsidRPr="00081C8E">
                    <w:rPr>
                      <w:lang w:val="en-GB"/>
                    </w:rPr>
                    <w:t>3.46</w:t>
                  </w:r>
                </w:p>
              </w:tc>
              <w:tc>
                <w:tcPr>
                  <w:tcW w:w="427" w:type="dxa"/>
                  <w:shd w:val="clear" w:color="000000" w:fill="FFFFFF"/>
                  <w:noWrap/>
                  <w:tcMar>
                    <w:top w:w="15" w:type="dxa"/>
                    <w:left w:w="15" w:type="dxa"/>
                    <w:bottom w:w="0" w:type="dxa"/>
                    <w:right w:w="15" w:type="dxa"/>
                  </w:tcMar>
                  <w:hideMark/>
                </w:tcPr>
                <w:p w14:paraId="57D63E20" w14:textId="77777777" w:rsidR="00E45009" w:rsidRPr="00081C8E" w:rsidRDefault="00E45009" w:rsidP="00E45009">
                  <w:pPr>
                    <w:pStyle w:val="NoSpacing"/>
                    <w:rPr>
                      <w:lang w:val="en-GB"/>
                    </w:rPr>
                  </w:pPr>
                  <w:r w:rsidRPr="00081C8E">
                    <w:rPr>
                      <w:lang w:val="en-GB"/>
                    </w:rPr>
                    <w:t>0.76</w:t>
                  </w:r>
                </w:p>
              </w:tc>
              <w:tc>
                <w:tcPr>
                  <w:tcW w:w="88" w:type="dxa"/>
                  <w:shd w:val="clear" w:color="000000" w:fill="FFFFFF"/>
                  <w:noWrap/>
                  <w:tcMar>
                    <w:top w:w="15" w:type="dxa"/>
                    <w:left w:w="15" w:type="dxa"/>
                    <w:bottom w:w="0" w:type="dxa"/>
                    <w:right w:w="15" w:type="dxa"/>
                  </w:tcMar>
                  <w:hideMark/>
                </w:tcPr>
                <w:p w14:paraId="511A314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4E27BD0" w14:textId="77777777" w:rsidR="00E45009" w:rsidRPr="00081C8E" w:rsidRDefault="00E45009" w:rsidP="00E45009">
                  <w:pPr>
                    <w:pStyle w:val="NoSpacing"/>
                    <w:rPr>
                      <w:lang w:val="en-GB"/>
                    </w:rPr>
                  </w:pPr>
                  <w:r w:rsidRPr="00081C8E">
                    <w:rPr>
                      <w:lang w:val="en-GB"/>
                    </w:rPr>
                    <w:t>3.50</w:t>
                  </w:r>
                </w:p>
              </w:tc>
              <w:tc>
                <w:tcPr>
                  <w:tcW w:w="427" w:type="dxa"/>
                  <w:shd w:val="clear" w:color="000000" w:fill="FFFFFF"/>
                  <w:noWrap/>
                  <w:tcMar>
                    <w:top w:w="15" w:type="dxa"/>
                    <w:left w:w="15" w:type="dxa"/>
                    <w:bottom w:w="0" w:type="dxa"/>
                    <w:right w:w="15" w:type="dxa"/>
                  </w:tcMar>
                  <w:hideMark/>
                </w:tcPr>
                <w:p w14:paraId="2FB4CBC8" w14:textId="77777777" w:rsidR="00E45009" w:rsidRPr="00081C8E" w:rsidRDefault="00E45009" w:rsidP="00E45009">
                  <w:pPr>
                    <w:pStyle w:val="NoSpacing"/>
                    <w:rPr>
                      <w:lang w:val="en-GB"/>
                    </w:rPr>
                  </w:pPr>
                  <w:r w:rsidRPr="00081C8E">
                    <w:rPr>
                      <w:lang w:val="en-GB"/>
                    </w:rPr>
                    <w:t>0.65</w:t>
                  </w:r>
                </w:p>
              </w:tc>
              <w:tc>
                <w:tcPr>
                  <w:tcW w:w="78" w:type="dxa"/>
                  <w:shd w:val="clear" w:color="000000" w:fill="FFFFFF"/>
                  <w:noWrap/>
                  <w:tcMar>
                    <w:top w:w="15" w:type="dxa"/>
                    <w:left w:w="15" w:type="dxa"/>
                    <w:bottom w:w="0" w:type="dxa"/>
                    <w:right w:w="15" w:type="dxa"/>
                  </w:tcMar>
                  <w:hideMark/>
                </w:tcPr>
                <w:p w14:paraId="45FA7CD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5932A81" w14:textId="77777777" w:rsidR="00E45009" w:rsidRPr="00081C8E" w:rsidRDefault="00E45009" w:rsidP="00E45009">
                  <w:pPr>
                    <w:pStyle w:val="NoSpacing"/>
                    <w:rPr>
                      <w:lang w:val="en-GB"/>
                    </w:rPr>
                  </w:pPr>
                  <w:r w:rsidRPr="00081C8E">
                    <w:rPr>
                      <w:lang w:val="en-GB"/>
                    </w:rPr>
                    <w:t>1.63</w:t>
                  </w:r>
                </w:p>
              </w:tc>
            </w:tr>
            <w:tr w:rsidR="00E45009" w:rsidRPr="00081C8E" w14:paraId="5E63A45A" w14:textId="77777777" w:rsidTr="00DB32C0">
              <w:trPr>
                <w:trHeight w:val="255"/>
              </w:trPr>
              <w:tc>
                <w:tcPr>
                  <w:tcW w:w="185" w:type="dxa"/>
                  <w:shd w:val="clear" w:color="000000" w:fill="FFFFFF"/>
                  <w:noWrap/>
                  <w:tcMar>
                    <w:top w:w="15" w:type="dxa"/>
                    <w:left w:w="15" w:type="dxa"/>
                    <w:bottom w:w="0" w:type="dxa"/>
                    <w:right w:w="15" w:type="dxa"/>
                  </w:tcMar>
                  <w:hideMark/>
                </w:tcPr>
                <w:p w14:paraId="4723D31E" w14:textId="77777777" w:rsidR="00E45009" w:rsidRPr="00081C8E" w:rsidRDefault="00E45009" w:rsidP="00E45009">
                  <w:pPr>
                    <w:pStyle w:val="NoSpacing"/>
                    <w:rPr>
                      <w:lang w:val="en-GB"/>
                    </w:rPr>
                  </w:pPr>
                  <w:r w:rsidRPr="00081C8E">
                    <w:rPr>
                      <w:lang w:val="en-GB"/>
                    </w:rPr>
                    <w:t>27</w:t>
                  </w:r>
                </w:p>
              </w:tc>
              <w:tc>
                <w:tcPr>
                  <w:tcW w:w="5870" w:type="dxa"/>
                  <w:shd w:val="clear" w:color="000000" w:fill="FFFFFF"/>
                  <w:tcMar>
                    <w:top w:w="15" w:type="dxa"/>
                    <w:left w:w="15" w:type="dxa"/>
                    <w:bottom w:w="0" w:type="dxa"/>
                    <w:right w:w="15" w:type="dxa"/>
                  </w:tcMar>
                  <w:vAlign w:val="center"/>
                  <w:hideMark/>
                </w:tcPr>
                <w:p w14:paraId="4466FE8A" w14:textId="77777777" w:rsidR="00E45009" w:rsidRPr="00081C8E" w:rsidRDefault="00E45009" w:rsidP="00E45009">
                  <w:pPr>
                    <w:pStyle w:val="NoSpacing"/>
                    <w:rPr>
                      <w:lang w:val="en-GB"/>
                    </w:rPr>
                  </w:pPr>
                  <w:r w:rsidRPr="00081C8E">
                    <w:rPr>
                      <w:lang w:val="en-GB"/>
                    </w:rPr>
                    <w:t>Imposed unity of employers' organizations</w:t>
                  </w:r>
                </w:p>
              </w:tc>
              <w:tc>
                <w:tcPr>
                  <w:tcW w:w="95" w:type="dxa"/>
                  <w:shd w:val="clear" w:color="000000" w:fill="FFFFFF"/>
                  <w:tcMar>
                    <w:top w:w="15" w:type="dxa"/>
                    <w:left w:w="15" w:type="dxa"/>
                    <w:bottom w:w="0" w:type="dxa"/>
                    <w:right w:w="15" w:type="dxa"/>
                  </w:tcMar>
                  <w:hideMark/>
                </w:tcPr>
                <w:p w14:paraId="3E3FC96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01E4305" w14:textId="77777777" w:rsidR="00E45009" w:rsidRPr="00081C8E" w:rsidRDefault="00E45009" w:rsidP="00E45009">
                  <w:pPr>
                    <w:pStyle w:val="NoSpacing"/>
                    <w:rPr>
                      <w:lang w:val="en-GB"/>
                    </w:rPr>
                  </w:pPr>
                  <w:r w:rsidRPr="00081C8E">
                    <w:rPr>
                      <w:lang w:val="en-GB"/>
                    </w:rPr>
                    <w:t>3.83</w:t>
                  </w:r>
                </w:p>
              </w:tc>
              <w:tc>
                <w:tcPr>
                  <w:tcW w:w="427" w:type="dxa"/>
                  <w:shd w:val="clear" w:color="000000" w:fill="FFFFFF"/>
                  <w:noWrap/>
                  <w:tcMar>
                    <w:top w:w="15" w:type="dxa"/>
                    <w:left w:w="15" w:type="dxa"/>
                    <w:bottom w:w="0" w:type="dxa"/>
                    <w:right w:w="15" w:type="dxa"/>
                  </w:tcMar>
                  <w:hideMark/>
                </w:tcPr>
                <w:p w14:paraId="13FDDF0D" w14:textId="77777777" w:rsidR="00E45009" w:rsidRPr="00081C8E" w:rsidRDefault="00E45009" w:rsidP="00E45009">
                  <w:pPr>
                    <w:pStyle w:val="NoSpacing"/>
                    <w:rPr>
                      <w:lang w:val="en-GB"/>
                    </w:rPr>
                  </w:pPr>
                  <w:r w:rsidRPr="00081C8E">
                    <w:rPr>
                      <w:lang w:val="en-GB"/>
                    </w:rPr>
                    <w:t>0.93</w:t>
                  </w:r>
                </w:p>
              </w:tc>
              <w:tc>
                <w:tcPr>
                  <w:tcW w:w="88" w:type="dxa"/>
                  <w:shd w:val="clear" w:color="000000" w:fill="FFFFFF"/>
                  <w:noWrap/>
                  <w:tcMar>
                    <w:top w:w="15" w:type="dxa"/>
                    <w:left w:w="15" w:type="dxa"/>
                    <w:bottom w:w="0" w:type="dxa"/>
                    <w:right w:w="15" w:type="dxa"/>
                  </w:tcMar>
                  <w:hideMark/>
                </w:tcPr>
                <w:p w14:paraId="0D62AD19"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D97547A" w14:textId="77777777" w:rsidR="00E45009" w:rsidRPr="00081C8E" w:rsidRDefault="00E45009" w:rsidP="00E45009">
                  <w:pPr>
                    <w:pStyle w:val="NoSpacing"/>
                    <w:rPr>
                      <w:lang w:val="en-GB"/>
                    </w:rPr>
                  </w:pPr>
                  <w:r w:rsidRPr="00081C8E">
                    <w:rPr>
                      <w:lang w:val="en-GB"/>
                    </w:rPr>
                    <w:t>3.71</w:t>
                  </w:r>
                </w:p>
              </w:tc>
              <w:tc>
                <w:tcPr>
                  <w:tcW w:w="427" w:type="dxa"/>
                  <w:shd w:val="clear" w:color="000000" w:fill="FFFFFF"/>
                  <w:noWrap/>
                  <w:tcMar>
                    <w:top w:w="15" w:type="dxa"/>
                    <w:left w:w="15" w:type="dxa"/>
                    <w:bottom w:w="0" w:type="dxa"/>
                    <w:right w:w="15" w:type="dxa"/>
                  </w:tcMar>
                  <w:hideMark/>
                </w:tcPr>
                <w:p w14:paraId="51908F3B" w14:textId="77777777" w:rsidR="00E45009" w:rsidRPr="00081C8E" w:rsidRDefault="00E45009" w:rsidP="00E45009">
                  <w:pPr>
                    <w:pStyle w:val="NoSpacing"/>
                    <w:rPr>
                      <w:lang w:val="en-GB"/>
                    </w:rPr>
                  </w:pPr>
                  <w:r w:rsidRPr="00081C8E">
                    <w:rPr>
                      <w:lang w:val="en-GB"/>
                    </w:rPr>
                    <w:t>0.61</w:t>
                  </w:r>
                </w:p>
              </w:tc>
              <w:tc>
                <w:tcPr>
                  <w:tcW w:w="78" w:type="dxa"/>
                  <w:shd w:val="clear" w:color="000000" w:fill="FFFFFF"/>
                  <w:noWrap/>
                  <w:tcMar>
                    <w:top w:w="15" w:type="dxa"/>
                    <w:left w:w="15" w:type="dxa"/>
                    <w:bottom w:w="0" w:type="dxa"/>
                    <w:right w:w="15" w:type="dxa"/>
                  </w:tcMar>
                  <w:hideMark/>
                </w:tcPr>
                <w:p w14:paraId="31D3AC24"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207FB586" w14:textId="77777777" w:rsidR="00E45009" w:rsidRPr="00081C8E" w:rsidRDefault="00E45009" w:rsidP="00E45009">
                  <w:pPr>
                    <w:pStyle w:val="NoSpacing"/>
                    <w:rPr>
                      <w:lang w:val="en-GB"/>
                    </w:rPr>
                  </w:pPr>
                  <w:r w:rsidRPr="00081C8E">
                    <w:rPr>
                      <w:lang w:val="en-GB"/>
                    </w:rPr>
                    <w:t>1.68</w:t>
                  </w:r>
                </w:p>
              </w:tc>
            </w:tr>
            <w:tr w:rsidR="00E45009" w:rsidRPr="00081C8E" w14:paraId="4DC27C81" w14:textId="77777777" w:rsidTr="00DB32C0">
              <w:trPr>
                <w:trHeight w:val="255"/>
              </w:trPr>
              <w:tc>
                <w:tcPr>
                  <w:tcW w:w="185" w:type="dxa"/>
                  <w:shd w:val="clear" w:color="000000" w:fill="FFFFFF"/>
                  <w:noWrap/>
                  <w:tcMar>
                    <w:top w:w="15" w:type="dxa"/>
                    <w:left w:w="15" w:type="dxa"/>
                    <w:bottom w:w="0" w:type="dxa"/>
                    <w:right w:w="15" w:type="dxa"/>
                  </w:tcMar>
                  <w:hideMark/>
                </w:tcPr>
                <w:p w14:paraId="2FA50642" w14:textId="77777777" w:rsidR="00E45009" w:rsidRPr="00081C8E" w:rsidRDefault="00E45009" w:rsidP="00E45009">
                  <w:pPr>
                    <w:pStyle w:val="NoSpacing"/>
                    <w:rPr>
                      <w:lang w:val="en-GB"/>
                    </w:rPr>
                  </w:pPr>
                  <w:r w:rsidRPr="00081C8E">
                    <w:rPr>
                      <w:lang w:val="en-GB"/>
                    </w:rPr>
                    <w:t>28</w:t>
                  </w:r>
                </w:p>
              </w:tc>
              <w:tc>
                <w:tcPr>
                  <w:tcW w:w="5870" w:type="dxa"/>
                  <w:shd w:val="clear" w:color="000000" w:fill="FFFFFF"/>
                  <w:tcMar>
                    <w:top w:w="15" w:type="dxa"/>
                    <w:left w:w="15" w:type="dxa"/>
                    <w:bottom w:w="0" w:type="dxa"/>
                    <w:right w:w="15" w:type="dxa"/>
                  </w:tcMar>
                  <w:vAlign w:val="center"/>
                  <w:hideMark/>
                </w:tcPr>
                <w:p w14:paraId="68EDEB97" w14:textId="77777777" w:rsidR="00E45009" w:rsidRPr="00081C8E" w:rsidRDefault="00E45009" w:rsidP="00E45009">
                  <w:pPr>
                    <w:pStyle w:val="NoSpacing"/>
                    <w:rPr>
                      <w:lang w:val="en-GB"/>
                    </w:rPr>
                  </w:pPr>
                  <w:r w:rsidRPr="00081C8E">
                    <w:rPr>
                      <w:lang w:val="en-GB"/>
                    </w:rPr>
                    <w:t>Dissolution/suspension of legally functioning organizations</w:t>
                  </w:r>
                </w:p>
              </w:tc>
              <w:tc>
                <w:tcPr>
                  <w:tcW w:w="95" w:type="dxa"/>
                  <w:shd w:val="clear" w:color="000000" w:fill="FFFFFF"/>
                  <w:tcMar>
                    <w:top w:w="15" w:type="dxa"/>
                    <w:left w:w="15" w:type="dxa"/>
                    <w:bottom w:w="0" w:type="dxa"/>
                    <w:right w:w="15" w:type="dxa"/>
                  </w:tcMar>
                  <w:hideMark/>
                </w:tcPr>
                <w:p w14:paraId="0A73E2F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AD7C34D" w14:textId="77777777" w:rsidR="00E45009" w:rsidRPr="00081C8E" w:rsidRDefault="00E45009" w:rsidP="00E45009">
                  <w:pPr>
                    <w:pStyle w:val="NoSpacing"/>
                    <w:rPr>
                      <w:lang w:val="en-GB"/>
                    </w:rPr>
                  </w:pPr>
                  <w:r w:rsidRPr="00081C8E">
                    <w:rPr>
                      <w:lang w:val="en-GB"/>
                    </w:rPr>
                    <w:t>4.45</w:t>
                  </w:r>
                </w:p>
              </w:tc>
              <w:tc>
                <w:tcPr>
                  <w:tcW w:w="427" w:type="dxa"/>
                  <w:shd w:val="clear" w:color="000000" w:fill="FFFFFF"/>
                  <w:noWrap/>
                  <w:tcMar>
                    <w:top w:w="15" w:type="dxa"/>
                    <w:left w:w="15" w:type="dxa"/>
                    <w:bottom w:w="0" w:type="dxa"/>
                    <w:right w:w="15" w:type="dxa"/>
                  </w:tcMar>
                  <w:hideMark/>
                </w:tcPr>
                <w:p w14:paraId="626C2E12" w14:textId="77777777" w:rsidR="00E45009" w:rsidRPr="00081C8E" w:rsidRDefault="00E45009" w:rsidP="00E45009">
                  <w:pPr>
                    <w:pStyle w:val="NoSpacing"/>
                    <w:rPr>
                      <w:lang w:val="en-GB"/>
                    </w:rPr>
                  </w:pPr>
                  <w:r w:rsidRPr="00081C8E">
                    <w:rPr>
                      <w:lang w:val="en-GB"/>
                    </w:rPr>
                    <w:t>0.74</w:t>
                  </w:r>
                </w:p>
              </w:tc>
              <w:tc>
                <w:tcPr>
                  <w:tcW w:w="88" w:type="dxa"/>
                  <w:shd w:val="clear" w:color="000000" w:fill="FFFFFF"/>
                  <w:noWrap/>
                  <w:tcMar>
                    <w:top w:w="15" w:type="dxa"/>
                    <w:left w:w="15" w:type="dxa"/>
                    <w:bottom w:w="0" w:type="dxa"/>
                    <w:right w:w="15" w:type="dxa"/>
                  </w:tcMar>
                  <w:hideMark/>
                </w:tcPr>
                <w:p w14:paraId="6B30653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AA7F8C6" w14:textId="77777777" w:rsidR="00E45009" w:rsidRPr="00081C8E" w:rsidRDefault="00E45009" w:rsidP="00E45009">
                  <w:pPr>
                    <w:pStyle w:val="NoSpacing"/>
                    <w:rPr>
                      <w:lang w:val="en-GB"/>
                    </w:rPr>
                  </w:pPr>
                  <w:r w:rsidRPr="00081C8E">
                    <w:rPr>
                      <w:lang w:val="en-GB"/>
                    </w:rPr>
                    <w:t>4.57</w:t>
                  </w:r>
                </w:p>
              </w:tc>
              <w:tc>
                <w:tcPr>
                  <w:tcW w:w="427" w:type="dxa"/>
                  <w:shd w:val="clear" w:color="000000" w:fill="FFFFFF"/>
                  <w:noWrap/>
                  <w:tcMar>
                    <w:top w:w="15" w:type="dxa"/>
                    <w:left w:w="15" w:type="dxa"/>
                    <w:bottom w:w="0" w:type="dxa"/>
                    <w:right w:w="15" w:type="dxa"/>
                  </w:tcMar>
                  <w:hideMark/>
                </w:tcPr>
                <w:p w14:paraId="58FF9F44" w14:textId="77777777" w:rsidR="00E45009" w:rsidRPr="00081C8E" w:rsidRDefault="00E45009" w:rsidP="00E45009">
                  <w:pPr>
                    <w:pStyle w:val="NoSpacing"/>
                    <w:rPr>
                      <w:lang w:val="en-GB"/>
                    </w:rPr>
                  </w:pPr>
                  <w:r w:rsidRPr="00081C8E">
                    <w:rPr>
                      <w:lang w:val="en-GB"/>
                    </w:rPr>
                    <w:t>0.51</w:t>
                  </w:r>
                </w:p>
              </w:tc>
              <w:tc>
                <w:tcPr>
                  <w:tcW w:w="78" w:type="dxa"/>
                  <w:shd w:val="clear" w:color="000000" w:fill="FFFFFF"/>
                  <w:noWrap/>
                  <w:tcMar>
                    <w:top w:w="15" w:type="dxa"/>
                    <w:left w:w="15" w:type="dxa"/>
                    <w:bottom w:w="0" w:type="dxa"/>
                    <w:right w:w="15" w:type="dxa"/>
                  </w:tcMar>
                  <w:hideMark/>
                </w:tcPr>
                <w:p w14:paraId="618DDDA6"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A7D235E" w14:textId="77777777" w:rsidR="00E45009" w:rsidRPr="00081C8E" w:rsidRDefault="00E45009" w:rsidP="00E45009">
                  <w:pPr>
                    <w:pStyle w:val="NoSpacing"/>
                    <w:rPr>
                      <w:lang w:val="en-GB"/>
                    </w:rPr>
                  </w:pPr>
                  <w:r w:rsidRPr="00081C8E">
                    <w:rPr>
                      <w:lang w:val="en-GB"/>
                    </w:rPr>
                    <w:t>1.89</w:t>
                  </w:r>
                </w:p>
              </w:tc>
            </w:tr>
            <w:tr w:rsidR="00E45009" w:rsidRPr="00081C8E" w14:paraId="3FBF1207" w14:textId="77777777" w:rsidTr="00DB32C0">
              <w:trPr>
                <w:trHeight w:val="255"/>
              </w:trPr>
              <w:tc>
                <w:tcPr>
                  <w:tcW w:w="185" w:type="dxa"/>
                  <w:shd w:val="clear" w:color="000000" w:fill="FFFFFF"/>
                  <w:noWrap/>
                  <w:tcMar>
                    <w:top w:w="15" w:type="dxa"/>
                    <w:left w:w="15" w:type="dxa"/>
                    <w:bottom w:w="0" w:type="dxa"/>
                    <w:right w:w="15" w:type="dxa"/>
                  </w:tcMar>
                  <w:hideMark/>
                </w:tcPr>
                <w:p w14:paraId="392F32E9" w14:textId="77777777" w:rsidR="00E45009" w:rsidRPr="00081C8E" w:rsidRDefault="00E45009" w:rsidP="00E45009">
                  <w:pPr>
                    <w:pStyle w:val="NoSpacing"/>
                    <w:rPr>
                      <w:lang w:val="en-GB"/>
                    </w:rPr>
                  </w:pPr>
                  <w:r w:rsidRPr="00081C8E">
                    <w:rPr>
                      <w:lang w:val="en-GB"/>
                    </w:rPr>
                    <w:t>29</w:t>
                  </w:r>
                </w:p>
              </w:tc>
              <w:tc>
                <w:tcPr>
                  <w:tcW w:w="5870" w:type="dxa"/>
                  <w:shd w:val="clear" w:color="000000" w:fill="FFFFFF"/>
                  <w:tcMar>
                    <w:top w:w="15" w:type="dxa"/>
                    <w:left w:w="15" w:type="dxa"/>
                    <w:bottom w:w="0" w:type="dxa"/>
                    <w:right w:w="15" w:type="dxa"/>
                  </w:tcMar>
                  <w:vAlign w:val="center"/>
                  <w:hideMark/>
                </w:tcPr>
                <w:p w14:paraId="62C0EA83" w14:textId="77777777" w:rsidR="00E45009" w:rsidRPr="00081C8E" w:rsidRDefault="00E45009" w:rsidP="00E45009">
                  <w:pPr>
                    <w:pStyle w:val="NoSpacing"/>
                    <w:rPr>
                      <w:lang w:val="en-GB"/>
                    </w:rPr>
                  </w:pPr>
                  <w:r w:rsidRPr="00081C8E">
                    <w:rPr>
                      <w:lang w:val="en-GB"/>
                    </w:rPr>
                    <w:t>Provisions in law allowing for interference of workers' organizations and/or public authorities</w:t>
                  </w:r>
                </w:p>
              </w:tc>
              <w:tc>
                <w:tcPr>
                  <w:tcW w:w="95" w:type="dxa"/>
                  <w:shd w:val="clear" w:color="000000" w:fill="FFFFFF"/>
                  <w:tcMar>
                    <w:top w:w="15" w:type="dxa"/>
                    <w:left w:w="15" w:type="dxa"/>
                    <w:bottom w:w="0" w:type="dxa"/>
                    <w:right w:w="15" w:type="dxa"/>
                  </w:tcMar>
                  <w:hideMark/>
                </w:tcPr>
                <w:p w14:paraId="1DF1839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5516C07" w14:textId="77777777" w:rsidR="00E45009" w:rsidRPr="00081C8E" w:rsidRDefault="00E45009" w:rsidP="00E45009">
                  <w:pPr>
                    <w:pStyle w:val="NoSpacing"/>
                    <w:rPr>
                      <w:lang w:val="en-GB"/>
                    </w:rPr>
                  </w:pPr>
                  <w:r w:rsidRPr="00081C8E">
                    <w:rPr>
                      <w:lang w:val="en-GB"/>
                    </w:rPr>
                    <w:t>4.08</w:t>
                  </w:r>
                </w:p>
              </w:tc>
              <w:tc>
                <w:tcPr>
                  <w:tcW w:w="427" w:type="dxa"/>
                  <w:shd w:val="clear" w:color="000000" w:fill="FFFFFF"/>
                  <w:noWrap/>
                  <w:tcMar>
                    <w:top w:w="15" w:type="dxa"/>
                    <w:left w:w="15" w:type="dxa"/>
                    <w:bottom w:w="0" w:type="dxa"/>
                    <w:right w:w="15" w:type="dxa"/>
                  </w:tcMar>
                  <w:hideMark/>
                </w:tcPr>
                <w:p w14:paraId="2FAA2947"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2DFE4F6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037F3C3" w14:textId="77777777" w:rsidR="00E45009" w:rsidRPr="00081C8E" w:rsidRDefault="00E45009" w:rsidP="00E45009">
                  <w:pPr>
                    <w:pStyle w:val="NoSpacing"/>
                    <w:rPr>
                      <w:lang w:val="en-GB"/>
                    </w:rPr>
                  </w:pPr>
                  <w:r w:rsidRPr="00081C8E">
                    <w:rPr>
                      <w:lang w:val="en-GB"/>
                    </w:rPr>
                    <w:t>4.21</w:t>
                  </w:r>
                </w:p>
              </w:tc>
              <w:tc>
                <w:tcPr>
                  <w:tcW w:w="427" w:type="dxa"/>
                  <w:shd w:val="clear" w:color="000000" w:fill="FFFFFF"/>
                  <w:noWrap/>
                  <w:tcMar>
                    <w:top w:w="15" w:type="dxa"/>
                    <w:left w:w="15" w:type="dxa"/>
                    <w:bottom w:w="0" w:type="dxa"/>
                    <w:right w:w="15" w:type="dxa"/>
                  </w:tcMar>
                  <w:hideMark/>
                </w:tcPr>
                <w:p w14:paraId="4D8F4A2B" w14:textId="77777777" w:rsidR="00E45009" w:rsidRPr="00081C8E" w:rsidRDefault="00E45009" w:rsidP="00E45009">
                  <w:pPr>
                    <w:pStyle w:val="NoSpacing"/>
                    <w:rPr>
                      <w:lang w:val="en-GB"/>
                    </w:rPr>
                  </w:pPr>
                  <w:r w:rsidRPr="00081C8E">
                    <w:rPr>
                      <w:lang w:val="en-GB"/>
                    </w:rPr>
                    <w:t>0.70</w:t>
                  </w:r>
                </w:p>
              </w:tc>
              <w:tc>
                <w:tcPr>
                  <w:tcW w:w="78" w:type="dxa"/>
                  <w:shd w:val="clear" w:color="000000" w:fill="FFFFFF"/>
                  <w:noWrap/>
                  <w:tcMar>
                    <w:top w:w="15" w:type="dxa"/>
                    <w:left w:w="15" w:type="dxa"/>
                    <w:bottom w:w="0" w:type="dxa"/>
                    <w:right w:w="15" w:type="dxa"/>
                  </w:tcMar>
                  <w:hideMark/>
                </w:tcPr>
                <w:p w14:paraId="0D1D34A8"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479CD20" w14:textId="77777777" w:rsidR="00E45009" w:rsidRPr="00081C8E" w:rsidRDefault="00E45009" w:rsidP="00E45009">
                  <w:pPr>
                    <w:pStyle w:val="NoSpacing"/>
                    <w:rPr>
                      <w:lang w:val="en-GB"/>
                    </w:rPr>
                  </w:pPr>
                  <w:r w:rsidRPr="00081C8E">
                    <w:rPr>
                      <w:lang w:val="en-GB"/>
                    </w:rPr>
                    <w:t>1.80</w:t>
                  </w:r>
                </w:p>
              </w:tc>
            </w:tr>
            <w:tr w:rsidR="00E45009" w:rsidRPr="00081C8E" w14:paraId="180827B0" w14:textId="77777777" w:rsidTr="00DB32C0">
              <w:trPr>
                <w:trHeight w:val="255"/>
              </w:trPr>
              <w:tc>
                <w:tcPr>
                  <w:tcW w:w="185" w:type="dxa"/>
                  <w:shd w:val="clear" w:color="000000" w:fill="FFFFFF"/>
                  <w:noWrap/>
                  <w:tcMar>
                    <w:top w:w="15" w:type="dxa"/>
                    <w:left w:w="15" w:type="dxa"/>
                    <w:bottom w:w="0" w:type="dxa"/>
                    <w:right w:w="15" w:type="dxa"/>
                  </w:tcMar>
                  <w:hideMark/>
                </w:tcPr>
                <w:p w14:paraId="2023625F" w14:textId="77777777" w:rsidR="00E45009" w:rsidRPr="00081C8E" w:rsidRDefault="00E45009" w:rsidP="00E45009">
                  <w:pPr>
                    <w:pStyle w:val="NoSpacing"/>
                    <w:rPr>
                      <w:lang w:val="en-GB"/>
                    </w:rPr>
                  </w:pPr>
                  <w:r w:rsidRPr="00081C8E">
                    <w:rPr>
                      <w:lang w:val="en-GB"/>
                    </w:rPr>
                    <w:t>30</w:t>
                  </w:r>
                </w:p>
              </w:tc>
              <w:tc>
                <w:tcPr>
                  <w:tcW w:w="5870" w:type="dxa"/>
                  <w:shd w:val="clear" w:color="000000" w:fill="FFFFFF"/>
                  <w:tcMar>
                    <w:top w:w="15" w:type="dxa"/>
                    <w:left w:w="15" w:type="dxa"/>
                    <w:bottom w:w="0" w:type="dxa"/>
                    <w:right w:w="15" w:type="dxa"/>
                  </w:tcMar>
                  <w:vAlign w:val="center"/>
                  <w:hideMark/>
                </w:tcPr>
                <w:p w14:paraId="0881A976" w14:textId="77777777" w:rsidR="00E45009" w:rsidRPr="00081C8E" w:rsidRDefault="00E45009" w:rsidP="00E45009">
                  <w:pPr>
                    <w:pStyle w:val="NoSpacing"/>
                    <w:rPr>
                      <w:lang w:val="en-GB"/>
                    </w:rPr>
                  </w:pPr>
                  <w:r w:rsidRPr="00081C8E">
                    <w:rPr>
                      <w:lang w:val="en-GB"/>
                    </w:rPr>
                    <w:t xml:space="preserve">Lack of adequate legal guarantees against acts of interference  </w:t>
                  </w:r>
                </w:p>
              </w:tc>
              <w:tc>
                <w:tcPr>
                  <w:tcW w:w="95" w:type="dxa"/>
                  <w:shd w:val="clear" w:color="000000" w:fill="FFFFFF"/>
                  <w:tcMar>
                    <w:top w:w="15" w:type="dxa"/>
                    <w:left w:w="15" w:type="dxa"/>
                    <w:bottom w:w="0" w:type="dxa"/>
                    <w:right w:w="15" w:type="dxa"/>
                  </w:tcMar>
                  <w:hideMark/>
                </w:tcPr>
                <w:p w14:paraId="714ECA4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6B26798" w14:textId="77777777" w:rsidR="00E45009" w:rsidRPr="00081C8E" w:rsidRDefault="00E45009" w:rsidP="00E45009">
                  <w:pPr>
                    <w:pStyle w:val="NoSpacing"/>
                    <w:rPr>
                      <w:lang w:val="en-GB"/>
                    </w:rPr>
                  </w:pPr>
                  <w:r w:rsidRPr="00081C8E">
                    <w:rPr>
                      <w:lang w:val="en-GB"/>
                    </w:rPr>
                    <w:t>3.62</w:t>
                  </w:r>
                </w:p>
              </w:tc>
              <w:tc>
                <w:tcPr>
                  <w:tcW w:w="427" w:type="dxa"/>
                  <w:shd w:val="clear" w:color="000000" w:fill="FFFFFF"/>
                  <w:noWrap/>
                  <w:tcMar>
                    <w:top w:w="15" w:type="dxa"/>
                    <w:left w:w="15" w:type="dxa"/>
                    <w:bottom w:w="0" w:type="dxa"/>
                    <w:right w:w="15" w:type="dxa"/>
                  </w:tcMar>
                  <w:hideMark/>
                </w:tcPr>
                <w:p w14:paraId="353D2AC8" w14:textId="77777777" w:rsidR="00E45009" w:rsidRPr="00081C8E" w:rsidRDefault="00E45009" w:rsidP="00E45009">
                  <w:pPr>
                    <w:pStyle w:val="NoSpacing"/>
                    <w:rPr>
                      <w:lang w:val="en-GB"/>
                    </w:rPr>
                  </w:pPr>
                  <w:r w:rsidRPr="00081C8E">
                    <w:rPr>
                      <w:lang w:val="en-GB"/>
                    </w:rPr>
                    <w:t>1.01</w:t>
                  </w:r>
                </w:p>
              </w:tc>
              <w:tc>
                <w:tcPr>
                  <w:tcW w:w="88" w:type="dxa"/>
                  <w:shd w:val="clear" w:color="000000" w:fill="FFFFFF"/>
                  <w:noWrap/>
                  <w:tcMar>
                    <w:top w:w="15" w:type="dxa"/>
                    <w:left w:w="15" w:type="dxa"/>
                    <w:bottom w:w="0" w:type="dxa"/>
                    <w:right w:w="15" w:type="dxa"/>
                  </w:tcMar>
                  <w:hideMark/>
                </w:tcPr>
                <w:p w14:paraId="069EF82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BA38EB2" w14:textId="77777777" w:rsidR="00E45009" w:rsidRPr="00081C8E" w:rsidRDefault="00E45009" w:rsidP="00E45009">
                  <w:pPr>
                    <w:pStyle w:val="NoSpacing"/>
                    <w:rPr>
                      <w:lang w:val="en-GB"/>
                    </w:rPr>
                  </w:pPr>
                  <w:r w:rsidRPr="00081C8E">
                    <w:rPr>
                      <w:lang w:val="en-GB"/>
                    </w:rPr>
                    <w:t>3.79</w:t>
                  </w:r>
                </w:p>
              </w:tc>
              <w:tc>
                <w:tcPr>
                  <w:tcW w:w="427" w:type="dxa"/>
                  <w:shd w:val="clear" w:color="000000" w:fill="FFFFFF"/>
                  <w:noWrap/>
                  <w:tcMar>
                    <w:top w:w="15" w:type="dxa"/>
                    <w:left w:w="15" w:type="dxa"/>
                    <w:bottom w:w="0" w:type="dxa"/>
                    <w:right w:w="15" w:type="dxa"/>
                  </w:tcMar>
                  <w:hideMark/>
                </w:tcPr>
                <w:p w14:paraId="6CA60CEA" w14:textId="77777777" w:rsidR="00E45009" w:rsidRPr="00081C8E" w:rsidRDefault="00E45009" w:rsidP="00E45009">
                  <w:pPr>
                    <w:pStyle w:val="NoSpacing"/>
                    <w:rPr>
                      <w:lang w:val="en-GB"/>
                    </w:rPr>
                  </w:pPr>
                  <w:r w:rsidRPr="00081C8E">
                    <w:rPr>
                      <w:lang w:val="en-GB"/>
                    </w:rPr>
                    <w:t>0.70</w:t>
                  </w:r>
                </w:p>
              </w:tc>
              <w:tc>
                <w:tcPr>
                  <w:tcW w:w="78" w:type="dxa"/>
                  <w:shd w:val="clear" w:color="000000" w:fill="FFFFFF"/>
                  <w:noWrap/>
                  <w:tcMar>
                    <w:top w:w="15" w:type="dxa"/>
                    <w:left w:w="15" w:type="dxa"/>
                    <w:bottom w:w="0" w:type="dxa"/>
                    <w:right w:w="15" w:type="dxa"/>
                  </w:tcMar>
                  <w:hideMark/>
                </w:tcPr>
                <w:p w14:paraId="394A6D70"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755220C" w14:textId="77777777" w:rsidR="00E45009" w:rsidRPr="00081C8E" w:rsidRDefault="00E45009" w:rsidP="00E45009">
                  <w:pPr>
                    <w:pStyle w:val="NoSpacing"/>
                    <w:rPr>
                      <w:lang w:val="en-GB"/>
                    </w:rPr>
                  </w:pPr>
                  <w:r w:rsidRPr="00081C8E">
                    <w:rPr>
                      <w:lang w:val="en-GB"/>
                    </w:rPr>
                    <w:t>1.70</w:t>
                  </w:r>
                </w:p>
              </w:tc>
            </w:tr>
            <w:tr w:rsidR="00E45009" w:rsidRPr="00081C8E" w14:paraId="009E4BF0" w14:textId="77777777" w:rsidTr="00DB32C0">
              <w:trPr>
                <w:trHeight w:val="255"/>
              </w:trPr>
              <w:tc>
                <w:tcPr>
                  <w:tcW w:w="185" w:type="dxa"/>
                  <w:shd w:val="clear" w:color="000000" w:fill="FFFFFF"/>
                  <w:noWrap/>
                  <w:tcMar>
                    <w:top w:w="15" w:type="dxa"/>
                    <w:left w:w="15" w:type="dxa"/>
                    <w:bottom w:w="0" w:type="dxa"/>
                    <w:right w:w="15" w:type="dxa"/>
                  </w:tcMar>
                  <w:hideMark/>
                </w:tcPr>
                <w:p w14:paraId="0BE75233" w14:textId="77777777" w:rsidR="00E45009" w:rsidRPr="00081C8E" w:rsidRDefault="00E45009" w:rsidP="00E45009">
                  <w:pPr>
                    <w:pStyle w:val="NoSpacing"/>
                    <w:rPr>
                      <w:lang w:val="en-GB"/>
                    </w:rPr>
                  </w:pPr>
                  <w:r w:rsidRPr="00081C8E">
                    <w:rPr>
                      <w:lang w:val="en-GB"/>
                    </w:rPr>
                    <w:t>31</w:t>
                  </w:r>
                </w:p>
              </w:tc>
              <w:tc>
                <w:tcPr>
                  <w:tcW w:w="5870" w:type="dxa"/>
                  <w:shd w:val="clear" w:color="000000" w:fill="FFFFFF"/>
                  <w:tcMar>
                    <w:top w:w="15" w:type="dxa"/>
                    <w:left w:w="15" w:type="dxa"/>
                    <w:bottom w:w="0" w:type="dxa"/>
                    <w:right w:w="15" w:type="dxa"/>
                  </w:tcMar>
                  <w:vAlign w:val="center"/>
                  <w:hideMark/>
                </w:tcPr>
                <w:p w14:paraId="4449180A" w14:textId="77777777" w:rsidR="00E45009" w:rsidRPr="00081C8E" w:rsidRDefault="00E45009" w:rsidP="00E45009">
                  <w:pPr>
                    <w:pStyle w:val="NoSpacing"/>
                    <w:rPr>
                      <w:lang w:val="en-GB"/>
                    </w:rPr>
                  </w:pPr>
                  <w:r w:rsidRPr="00081C8E">
                    <w:rPr>
                      <w:lang w:val="en-GB"/>
                    </w:rPr>
                    <w:t>Infringements of the right to establish and join federations/confederations/international organizations</w:t>
                  </w:r>
                </w:p>
              </w:tc>
              <w:tc>
                <w:tcPr>
                  <w:tcW w:w="95" w:type="dxa"/>
                  <w:shd w:val="clear" w:color="000000" w:fill="FFFFFF"/>
                  <w:tcMar>
                    <w:top w:w="15" w:type="dxa"/>
                    <w:left w:w="15" w:type="dxa"/>
                    <w:bottom w:w="0" w:type="dxa"/>
                    <w:right w:w="15" w:type="dxa"/>
                  </w:tcMar>
                  <w:hideMark/>
                </w:tcPr>
                <w:p w14:paraId="432C033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A84F934" w14:textId="77777777" w:rsidR="00E45009" w:rsidRPr="00081C8E" w:rsidRDefault="00E45009" w:rsidP="00E45009">
                  <w:pPr>
                    <w:pStyle w:val="NoSpacing"/>
                    <w:rPr>
                      <w:lang w:val="en-GB"/>
                    </w:rPr>
                  </w:pPr>
                  <w:r w:rsidRPr="00081C8E">
                    <w:rPr>
                      <w:lang w:val="en-GB"/>
                    </w:rPr>
                    <w:t>3.85</w:t>
                  </w:r>
                </w:p>
              </w:tc>
              <w:tc>
                <w:tcPr>
                  <w:tcW w:w="427" w:type="dxa"/>
                  <w:shd w:val="clear" w:color="000000" w:fill="FFFFFF"/>
                  <w:noWrap/>
                  <w:tcMar>
                    <w:top w:w="15" w:type="dxa"/>
                    <w:left w:w="15" w:type="dxa"/>
                    <w:bottom w:w="0" w:type="dxa"/>
                    <w:right w:w="15" w:type="dxa"/>
                  </w:tcMar>
                  <w:hideMark/>
                </w:tcPr>
                <w:p w14:paraId="2A5902A7" w14:textId="77777777" w:rsidR="00E45009" w:rsidRPr="00081C8E" w:rsidRDefault="00E45009" w:rsidP="00E45009">
                  <w:pPr>
                    <w:pStyle w:val="NoSpacing"/>
                    <w:rPr>
                      <w:lang w:val="en-GB"/>
                    </w:rPr>
                  </w:pPr>
                  <w:r w:rsidRPr="00081C8E">
                    <w:rPr>
                      <w:lang w:val="en-GB"/>
                    </w:rPr>
                    <w:t>0.77</w:t>
                  </w:r>
                </w:p>
              </w:tc>
              <w:tc>
                <w:tcPr>
                  <w:tcW w:w="88" w:type="dxa"/>
                  <w:shd w:val="clear" w:color="000000" w:fill="FFFFFF"/>
                  <w:noWrap/>
                  <w:tcMar>
                    <w:top w:w="15" w:type="dxa"/>
                    <w:left w:w="15" w:type="dxa"/>
                    <w:bottom w:w="0" w:type="dxa"/>
                    <w:right w:w="15" w:type="dxa"/>
                  </w:tcMar>
                  <w:hideMark/>
                </w:tcPr>
                <w:p w14:paraId="33C7947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A966961"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475555CD" w14:textId="77777777" w:rsidR="00E45009" w:rsidRPr="00081C8E" w:rsidRDefault="00E45009" w:rsidP="00E45009">
                  <w:pPr>
                    <w:pStyle w:val="NoSpacing"/>
                    <w:rPr>
                      <w:lang w:val="en-GB"/>
                    </w:rPr>
                  </w:pPr>
                  <w:r w:rsidRPr="00081C8E">
                    <w:rPr>
                      <w:lang w:val="en-GB"/>
                    </w:rPr>
                    <w:t>0.73</w:t>
                  </w:r>
                </w:p>
              </w:tc>
              <w:tc>
                <w:tcPr>
                  <w:tcW w:w="78" w:type="dxa"/>
                  <w:shd w:val="clear" w:color="000000" w:fill="FFFFFF"/>
                  <w:noWrap/>
                  <w:tcMar>
                    <w:top w:w="15" w:type="dxa"/>
                    <w:left w:w="15" w:type="dxa"/>
                    <w:bottom w:w="0" w:type="dxa"/>
                    <w:right w:w="15" w:type="dxa"/>
                  </w:tcMar>
                  <w:hideMark/>
                </w:tcPr>
                <w:p w14:paraId="2FC96FB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DCF9BF1" w14:textId="77777777" w:rsidR="00E45009" w:rsidRPr="00081C8E" w:rsidRDefault="00E45009" w:rsidP="00E45009">
                  <w:pPr>
                    <w:pStyle w:val="NoSpacing"/>
                    <w:rPr>
                      <w:lang w:val="en-GB"/>
                    </w:rPr>
                  </w:pPr>
                  <w:r w:rsidRPr="00081C8E">
                    <w:rPr>
                      <w:lang w:val="en-GB"/>
                    </w:rPr>
                    <w:t>1.73</w:t>
                  </w:r>
                </w:p>
              </w:tc>
            </w:tr>
            <w:tr w:rsidR="00E45009" w:rsidRPr="00081C8E" w14:paraId="2247845A" w14:textId="77777777" w:rsidTr="00DB32C0">
              <w:trPr>
                <w:trHeight w:val="255"/>
              </w:trPr>
              <w:tc>
                <w:tcPr>
                  <w:tcW w:w="185" w:type="dxa"/>
                  <w:shd w:val="clear" w:color="000000" w:fill="FFFFFF"/>
                  <w:noWrap/>
                  <w:tcMar>
                    <w:top w:w="15" w:type="dxa"/>
                    <w:left w:w="15" w:type="dxa"/>
                    <w:bottom w:w="0" w:type="dxa"/>
                    <w:right w:w="15" w:type="dxa"/>
                  </w:tcMar>
                  <w:hideMark/>
                </w:tcPr>
                <w:p w14:paraId="53D3F26E" w14:textId="77777777" w:rsidR="00E45009" w:rsidRPr="00081C8E" w:rsidRDefault="00E45009" w:rsidP="00E45009">
                  <w:pPr>
                    <w:pStyle w:val="NoSpacing"/>
                    <w:rPr>
                      <w:lang w:val="en-GB"/>
                    </w:rPr>
                  </w:pPr>
                  <w:r w:rsidRPr="00081C8E">
                    <w:rPr>
                      <w:lang w:val="en-GB"/>
                    </w:rPr>
                    <w:t>3</w:t>
                  </w:r>
                  <w:r w:rsidRPr="00081C8E">
                    <w:rPr>
                      <w:lang w:val="en-GB"/>
                    </w:rPr>
                    <w:lastRenderedPageBreak/>
                    <w:t>2</w:t>
                  </w:r>
                </w:p>
              </w:tc>
              <w:tc>
                <w:tcPr>
                  <w:tcW w:w="5870" w:type="dxa"/>
                  <w:shd w:val="clear" w:color="000000" w:fill="FFFFFF"/>
                  <w:tcMar>
                    <w:top w:w="15" w:type="dxa"/>
                    <w:left w:w="15" w:type="dxa"/>
                    <w:bottom w:w="0" w:type="dxa"/>
                    <w:right w:w="15" w:type="dxa"/>
                  </w:tcMar>
                  <w:vAlign w:val="center"/>
                  <w:hideMark/>
                </w:tcPr>
                <w:p w14:paraId="0508414E" w14:textId="77777777" w:rsidR="00E45009" w:rsidRPr="00081C8E" w:rsidRDefault="00E45009" w:rsidP="00E45009">
                  <w:pPr>
                    <w:pStyle w:val="NoSpacing"/>
                    <w:rPr>
                      <w:lang w:val="en-GB"/>
                    </w:rPr>
                  </w:pPr>
                  <w:r w:rsidRPr="00081C8E">
                    <w:rPr>
                      <w:lang w:val="en-GB"/>
                    </w:rPr>
                    <w:lastRenderedPageBreak/>
                    <w:t>Lack of guarantee of due process and/or justice re violations nos. 23-31</w:t>
                  </w:r>
                </w:p>
              </w:tc>
              <w:tc>
                <w:tcPr>
                  <w:tcW w:w="95" w:type="dxa"/>
                  <w:shd w:val="clear" w:color="000000" w:fill="FFFFFF"/>
                  <w:tcMar>
                    <w:top w:w="15" w:type="dxa"/>
                    <w:left w:w="15" w:type="dxa"/>
                    <w:bottom w:w="0" w:type="dxa"/>
                    <w:right w:w="15" w:type="dxa"/>
                  </w:tcMar>
                  <w:hideMark/>
                </w:tcPr>
                <w:p w14:paraId="28BDF60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A940FDC"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3D312FEE" w14:textId="77777777" w:rsidR="00E45009" w:rsidRPr="00081C8E" w:rsidRDefault="00E45009" w:rsidP="00E45009">
                  <w:pPr>
                    <w:pStyle w:val="NoSpacing"/>
                    <w:rPr>
                      <w:lang w:val="en-GB"/>
                    </w:rPr>
                  </w:pPr>
                  <w:r w:rsidRPr="00081C8E">
                    <w:rPr>
                      <w:lang w:val="en-GB"/>
                    </w:rPr>
                    <w:t>1.11</w:t>
                  </w:r>
                </w:p>
              </w:tc>
              <w:tc>
                <w:tcPr>
                  <w:tcW w:w="88" w:type="dxa"/>
                  <w:shd w:val="clear" w:color="000000" w:fill="FFFFFF"/>
                  <w:noWrap/>
                  <w:tcMar>
                    <w:top w:w="15" w:type="dxa"/>
                    <w:left w:w="15" w:type="dxa"/>
                    <w:bottom w:w="0" w:type="dxa"/>
                    <w:right w:w="15" w:type="dxa"/>
                  </w:tcMar>
                  <w:hideMark/>
                </w:tcPr>
                <w:p w14:paraId="2308A27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D4D8361" w14:textId="77777777" w:rsidR="00E45009" w:rsidRPr="00081C8E" w:rsidRDefault="00E45009" w:rsidP="00E45009">
                  <w:pPr>
                    <w:pStyle w:val="NoSpacing"/>
                    <w:rPr>
                      <w:lang w:val="en-GB"/>
                    </w:rPr>
                  </w:pPr>
                  <w:r w:rsidRPr="00081C8E">
                    <w:rPr>
                      <w:lang w:val="en-GB"/>
                    </w:rPr>
                    <w:t>4.21</w:t>
                  </w:r>
                </w:p>
              </w:tc>
              <w:tc>
                <w:tcPr>
                  <w:tcW w:w="427" w:type="dxa"/>
                  <w:shd w:val="clear" w:color="000000" w:fill="FFFFFF"/>
                  <w:noWrap/>
                  <w:tcMar>
                    <w:top w:w="15" w:type="dxa"/>
                    <w:left w:w="15" w:type="dxa"/>
                    <w:bottom w:w="0" w:type="dxa"/>
                    <w:right w:w="15" w:type="dxa"/>
                  </w:tcMar>
                  <w:hideMark/>
                </w:tcPr>
                <w:p w14:paraId="41B5D30A" w14:textId="77777777" w:rsidR="00E45009" w:rsidRPr="00081C8E" w:rsidRDefault="00E45009" w:rsidP="00E45009">
                  <w:pPr>
                    <w:pStyle w:val="NoSpacing"/>
                    <w:rPr>
                      <w:lang w:val="en-GB"/>
                    </w:rPr>
                  </w:pPr>
                  <w:r w:rsidRPr="00081C8E">
                    <w:rPr>
                      <w:lang w:val="en-GB"/>
                    </w:rPr>
                    <w:t>0.58</w:t>
                  </w:r>
                </w:p>
              </w:tc>
              <w:tc>
                <w:tcPr>
                  <w:tcW w:w="78" w:type="dxa"/>
                  <w:shd w:val="clear" w:color="000000" w:fill="FFFFFF"/>
                  <w:noWrap/>
                  <w:tcMar>
                    <w:top w:w="15" w:type="dxa"/>
                    <w:left w:w="15" w:type="dxa"/>
                    <w:bottom w:w="0" w:type="dxa"/>
                    <w:right w:w="15" w:type="dxa"/>
                  </w:tcMar>
                  <w:hideMark/>
                </w:tcPr>
                <w:p w14:paraId="776E0650"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2F5298A" w14:textId="77777777" w:rsidR="00E45009" w:rsidRPr="00081C8E" w:rsidRDefault="00E45009" w:rsidP="00E45009">
                  <w:pPr>
                    <w:pStyle w:val="NoSpacing"/>
                    <w:rPr>
                      <w:lang w:val="en-GB"/>
                    </w:rPr>
                  </w:pPr>
                  <w:r w:rsidRPr="00081C8E">
                    <w:rPr>
                      <w:lang w:val="en-GB"/>
                    </w:rPr>
                    <w:t>1.80</w:t>
                  </w:r>
                </w:p>
              </w:tc>
            </w:tr>
            <w:tr w:rsidR="00E45009" w:rsidRPr="00081C8E" w14:paraId="73455911" w14:textId="77777777" w:rsidTr="00DB32C0">
              <w:trPr>
                <w:trHeight w:val="255"/>
              </w:trPr>
              <w:tc>
                <w:tcPr>
                  <w:tcW w:w="185" w:type="dxa"/>
                  <w:shd w:val="clear" w:color="000000" w:fill="FFFFFF"/>
                  <w:noWrap/>
                  <w:tcMar>
                    <w:top w:w="15" w:type="dxa"/>
                    <w:left w:w="15" w:type="dxa"/>
                    <w:bottom w:w="0" w:type="dxa"/>
                    <w:right w:w="15" w:type="dxa"/>
                  </w:tcMar>
                  <w:hideMark/>
                </w:tcPr>
                <w:p w14:paraId="2CAD35C8" w14:textId="77777777" w:rsidR="00E45009" w:rsidRPr="00081C8E" w:rsidRDefault="00E45009" w:rsidP="00E45009">
                  <w:pPr>
                    <w:pStyle w:val="NoSpacing"/>
                    <w:rPr>
                      <w:lang w:val="en-GB"/>
                    </w:rPr>
                  </w:pPr>
                  <w:r w:rsidRPr="00081C8E">
                    <w:rPr>
                      <w:lang w:val="en-GB"/>
                    </w:rPr>
                    <w:lastRenderedPageBreak/>
                    <w:t> </w:t>
                  </w:r>
                </w:p>
              </w:tc>
              <w:tc>
                <w:tcPr>
                  <w:tcW w:w="5870" w:type="dxa"/>
                  <w:shd w:val="clear" w:color="000000" w:fill="FFFFFF"/>
                  <w:tcMar>
                    <w:top w:w="15" w:type="dxa"/>
                    <w:left w:w="15" w:type="dxa"/>
                    <w:bottom w:w="0" w:type="dxa"/>
                    <w:right w:w="15" w:type="dxa"/>
                  </w:tcMar>
                  <w:vAlign w:val="center"/>
                  <w:hideMark/>
                </w:tcPr>
                <w:p w14:paraId="0BF4FF45" w14:textId="77777777" w:rsidR="00E45009" w:rsidRPr="00081C8E" w:rsidRDefault="00E45009" w:rsidP="00E45009">
                  <w:pPr>
                    <w:pStyle w:val="NoSpacing"/>
                    <w:rPr>
                      <w:b/>
                      <w:bCs/>
                      <w:lang w:val="en-GB"/>
                    </w:rPr>
                  </w:pPr>
                  <w:r w:rsidRPr="00081C8E">
                    <w:rPr>
                      <w:b/>
                      <w:bCs/>
                      <w:lang w:val="en-GB"/>
                    </w:rPr>
                    <w:t>IIb. Right of employers to establish and join organizations in practice</w:t>
                  </w:r>
                </w:p>
              </w:tc>
              <w:tc>
                <w:tcPr>
                  <w:tcW w:w="95" w:type="dxa"/>
                  <w:shd w:val="clear" w:color="000000" w:fill="FFFFFF"/>
                  <w:tcMar>
                    <w:top w:w="15" w:type="dxa"/>
                    <w:left w:w="15" w:type="dxa"/>
                    <w:bottom w:w="0" w:type="dxa"/>
                    <w:right w:w="15" w:type="dxa"/>
                  </w:tcMar>
                  <w:hideMark/>
                </w:tcPr>
                <w:p w14:paraId="50F1A3BA"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6122F01C"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14623E56"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17FE2CC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D07B4D8"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7BB175F1"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62069696"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1CBD208" w14:textId="77777777" w:rsidR="00E45009" w:rsidRPr="00081C8E" w:rsidRDefault="00E45009" w:rsidP="00E45009">
                  <w:pPr>
                    <w:pStyle w:val="NoSpacing"/>
                    <w:rPr>
                      <w:lang w:val="en-GB"/>
                    </w:rPr>
                  </w:pPr>
                  <w:r w:rsidRPr="00081C8E">
                    <w:rPr>
                      <w:lang w:val="en-GB"/>
                    </w:rPr>
                    <w:t> </w:t>
                  </w:r>
                </w:p>
              </w:tc>
            </w:tr>
            <w:tr w:rsidR="00E45009" w:rsidRPr="00081C8E" w14:paraId="5D683C7D" w14:textId="77777777" w:rsidTr="00DB32C0">
              <w:trPr>
                <w:trHeight w:val="255"/>
              </w:trPr>
              <w:tc>
                <w:tcPr>
                  <w:tcW w:w="185" w:type="dxa"/>
                  <w:shd w:val="clear" w:color="000000" w:fill="FFFFFF"/>
                  <w:noWrap/>
                  <w:tcMar>
                    <w:top w:w="15" w:type="dxa"/>
                    <w:left w:w="15" w:type="dxa"/>
                    <w:bottom w:w="0" w:type="dxa"/>
                    <w:right w:w="15" w:type="dxa"/>
                  </w:tcMar>
                  <w:hideMark/>
                </w:tcPr>
                <w:p w14:paraId="4676CB0D" w14:textId="77777777" w:rsidR="00E45009" w:rsidRPr="00081C8E" w:rsidRDefault="00E45009" w:rsidP="00E45009">
                  <w:pPr>
                    <w:pStyle w:val="NoSpacing"/>
                    <w:rPr>
                      <w:lang w:val="en-GB"/>
                    </w:rPr>
                  </w:pPr>
                  <w:r w:rsidRPr="00081C8E">
                    <w:rPr>
                      <w:lang w:val="en-GB"/>
                    </w:rPr>
                    <w:t>33</w:t>
                  </w:r>
                </w:p>
              </w:tc>
              <w:tc>
                <w:tcPr>
                  <w:tcW w:w="5870" w:type="dxa"/>
                  <w:shd w:val="clear" w:color="000000" w:fill="FFFFFF"/>
                  <w:tcMar>
                    <w:top w:w="15" w:type="dxa"/>
                    <w:left w:w="15" w:type="dxa"/>
                    <w:bottom w:w="0" w:type="dxa"/>
                    <w:right w:w="15" w:type="dxa"/>
                  </w:tcMar>
                  <w:vAlign w:val="center"/>
                  <w:hideMark/>
                </w:tcPr>
                <w:p w14:paraId="56587E86" w14:textId="77777777" w:rsidR="00E45009" w:rsidRPr="00081C8E" w:rsidRDefault="00E45009" w:rsidP="00E45009">
                  <w:pPr>
                    <w:pStyle w:val="NoSpacing"/>
                    <w:rPr>
                      <w:lang w:val="en-GB"/>
                    </w:rPr>
                  </w:pPr>
                  <w:r w:rsidRPr="00081C8E">
                    <w:rPr>
                      <w:lang w:val="en-GB"/>
                    </w:rPr>
                    <w:t>General prohibition of the development of independent employers' organizations</w:t>
                  </w:r>
                </w:p>
              </w:tc>
              <w:tc>
                <w:tcPr>
                  <w:tcW w:w="95" w:type="dxa"/>
                  <w:shd w:val="clear" w:color="000000" w:fill="FFFFFF"/>
                  <w:tcMar>
                    <w:top w:w="15" w:type="dxa"/>
                    <w:left w:w="15" w:type="dxa"/>
                    <w:bottom w:w="0" w:type="dxa"/>
                    <w:right w:w="15" w:type="dxa"/>
                  </w:tcMar>
                  <w:hideMark/>
                </w:tcPr>
                <w:p w14:paraId="1BFABB7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CF777F5" w14:textId="77777777" w:rsidR="00E45009" w:rsidRPr="00081C8E" w:rsidRDefault="00E45009" w:rsidP="00E45009">
                  <w:pPr>
                    <w:pStyle w:val="NoSpacing"/>
                    <w:rPr>
                      <w:lang w:val="en-GB"/>
                    </w:rPr>
                  </w:pPr>
                  <w:r w:rsidRPr="00081C8E">
                    <w:rPr>
                      <w:lang w:val="en-GB"/>
                    </w:rPr>
                    <w:t>4.54</w:t>
                  </w:r>
                </w:p>
              </w:tc>
              <w:tc>
                <w:tcPr>
                  <w:tcW w:w="427" w:type="dxa"/>
                  <w:shd w:val="clear" w:color="000000" w:fill="FFFFFF"/>
                  <w:noWrap/>
                  <w:tcMar>
                    <w:top w:w="15" w:type="dxa"/>
                    <w:left w:w="15" w:type="dxa"/>
                    <w:bottom w:w="0" w:type="dxa"/>
                    <w:right w:w="15" w:type="dxa"/>
                  </w:tcMar>
                  <w:hideMark/>
                </w:tcPr>
                <w:p w14:paraId="3CC1F222" w14:textId="77777777" w:rsidR="00E45009" w:rsidRPr="00081C8E" w:rsidRDefault="00E45009" w:rsidP="00E45009">
                  <w:pPr>
                    <w:pStyle w:val="NoSpacing"/>
                    <w:rPr>
                      <w:lang w:val="en-GB"/>
                    </w:rPr>
                  </w:pPr>
                  <w:r w:rsidRPr="00081C8E">
                    <w:rPr>
                      <w:lang w:val="en-GB"/>
                    </w:rPr>
                    <w:t>0.65</w:t>
                  </w:r>
                </w:p>
              </w:tc>
              <w:tc>
                <w:tcPr>
                  <w:tcW w:w="88" w:type="dxa"/>
                  <w:shd w:val="clear" w:color="000000" w:fill="FFFFFF"/>
                  <w:noWrap/>
                  <w:tcMar>
                    <w:top w:w="15" w:type="dxa"/>
                    <w:left w:w="15" w:type="dxa"/>
                    <w:bottom w:w="0" w:type="dxa"/>
                    <w:right w:w="15" w:type="dxa"/>
                  </w:tcMar>
                  <w:hideMark/>
                </w:tcPr>
                <w:p w14:paraId="7772CD34"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A372F57" w14:textId="77777777" w:rsidR="00E45009" w:rsidRPr="00081C8E" w:rsidRDefault="00E45009" w:rsidP="00E45009">
                  <w:pPr>
                    <w:pStyle w:val="NoSpacing"/>
                    <w:rPr>
                      <w:lang w:val="en-GB"/>
                    </w:rPr>
                  </w:pPr>
                  <w:r w:rsidRPr="00081C8E">
                    <w:rPr>
                      <w:lang w:val="en-GB"/>
                    </w:rPr>
                    <w:t>4.71</w:t>
                  </w:r>
                </w:p>
              </w:tc>
              <w:tc>
                <w:tcPr>
                  <w:tcW w:w="427" w:type="dxa"/>
                  <w:shd w:val="clear" w:color="000000" w:fill="FFFFFF"/>
                  <w:noWrap/>
                  <w:tcMar>
                    <w:top w:w="15" w:type="dxa"/>
                    <w:left w:w="15" w:type="dxa"/>
                    <w:bottom w:w="0" w:type="dxa"/>
                    <w:right w:w="15" w:type="dxa"/>
                  </w:tcMar>
                  <w:hideMark/>
                </w:tcPr>
                <w:p w14:paraId="021FE25E" w14:textId="77777777" w:rsidR="00E45009" w:rsidRPr="00081C8E" w:rsidRDefault="00E45009" w:rsidP="00E45009">
                  <w:pPr>
                    <w:pStyle w:val="NoSpacing"/>
                    <w:rPr>
                      <w:lang w:val="en-GB"/>
                    </w:rPr>
                  </w:pPr>
                  <w:r w:rsidRPr="00081C8E">
                    <w:rPr>
                      <w:lang w:val="en-GB"/>
                    </w:rPr>
                    <w:t>0.61</w:t>
                  </w:r>
                </w:p>
              </w:tc>
              <w:tc>
                <w:tcPr>
                  <w:tcW w:w="78" w:type="dxa"/>
                  <w:shd w:val="clear" w:color="000000" w:fill="FFFFFF"/>
                  <w:noWrap/>
                  <w:tcMar>
                    <w:top w:w="15" w:type="dxa"/>
                    <w:left w:w="15" w:type="dxa"/>
                    <w:bottom w:w="0" w:type="dxa"/>
                    <w:right w:w="15" w:type="dxa"/>
                  </w:tcMar>
                  <w:hideMark/>
                </w:tcPr>
                <w:p w14:paraId="1C3BE7B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1365BB0" w14:textId="77777777" w:rsidR="00E45009" w:rsidRPr="00081C8E" w:rsidRDefault="00E45009" w:rsidP="00E45009">
                  <w:pPr>
                    <w:pStyle w:val="NoSpacing"/>
                    <w:rPr>
                      <w:lang w:val="en-GB"/>
                    </w:rPr>
                  </w:pPr>
                  <w:r w:rsidRPr="00081C8E">
                    <w:rPr>
                      <w:lang w:val="en-GB"/>
                    </w:rPr>
                    <w:t>1.93</w:t>
                  </w:r>
                </w:p>
              </w:tc>
            </w:tr>
            <w:tr w:rsidR="00E45009" w:rsidRPr="00081C8E" w14:paraId="22A0F47A" w14:textId="77777777" w:rsidTr="00DB32C0">
              <w:trPr>
                <w:trHeight w:val="255"/>
              </w:trPr>
              <w:tc>
                <w:tcPr>
                  <w:tcW w:w="185" w:type="dxa"/>
                  <w:shd w:val="clear" w:color="000000" w:fill="FFFFFF"/>
                  <w:noWrap/>
                  <w:tcMar>
                    <w:top w:w="15" w:type="dxa"/>
                    <w:left w:w="15" w:type="dxa"/>
                    <w:bottom w:w="0" w:type="dxa"/>
                    <w:right w:w="15" w:type="dxa"/>
                  </w:tcMar>
                  <w:hideMark/>
                </w:tcPr>
                <w:p w14:paraId="02E5612E" w14:textId="77777777" w:rsidR="00E45009" w:rsidRPr="00081C8E" w:rsidRDefault="00E45009" w:rsidP="00E45009">
                  <w:pPr>
                    <w:pStyle w:val="NoSpacing"/>
                    <w:rPr>
                      <w:lang w:val="en-GB"/>
                    </w:rPr>
                  </w:pPr>
                  <w:r w:rsidRPr="00081C8E">
                    <w:rPr>
                      <w:lang w:val="en-GB"/>
                    </w:rPr>
                    <w:t>34</w:t>
                  </w:r>
                </w:p>
              </w:tc>
              <w:tc>
                <w:tcPr>
                  <w:tcW w:w="5870" w:type="dxa"/>
                  <w:shd w:val="clear" w:color="000000" w:fill="FFFFFF"/>
                  <w:tcMar>
                    <w:top w:w="15" w:type="dxa"/>
                    <w:left w:w="15" w:type="dxa"/>
                    <w:bottom w:w="0" w:type="dxa"/>
                    <w:right w:w="15" w:type="dxa"/>
                  </w:tcMar>
                  <w:vAlign w:val="center"/>
                  <w:hideMark/>
                </w:tcPr>
                <w:p w14:paraId="34CDC60D" w14:textId="77777777" w:rsidR="00E45009" w:rsidRPr="00081C8E" w:rsidRDefault="00E45009" w:rsidP="00E45009">
                  <w:pPr>
                    <w:pStyle w:val="NoSpacing"/>
                    <w:rPr>
                      <w:lang w:val="en-GB"/>
                    </w:rPr>
                  </w:pPr>
                  <w:r w:rsidRPr="00081C8E">
                    <w:rPr>
                      <w:lang w:val="en-GB"/>
                    </w:rPr>
                    <w:t>Exclusion of employers from the right to establish and join organizations</w:t>
                  </w:r>
                </w:p>
              </w:tc>
              <w:tc>
                <w:tcPr>
                  <w:tcW w:w="95" w:type="dxa"/>
                  <w:shd w:val="clear" w:color="000000" w:fill="FFFFFF"/>
                  <w:tcMar>
                    <w:top w:w="15" w:type="dxa"/>
                    <w:left w:w="15" w:type="dxa"/>
                    <w:bottom w:w="0" w:type="dxa"/>
                    <w:right w:w="15" w:type="dxa"/>
                  </w:tcMar>
                  <w:hideMark/>
                </w:tcPr>
                <w:p w14:paraId="5533BE3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D15E8A7" w14:textId="77777777" w:rsidR="00E45009" w:rsidRPr="00081C8E" w:rsidRDefault="00E45009" w:rsidP="00E45009">
                  <w:pPr>
                    <w:pStyle w:val="NoSpacing"/>
                    <w:rPr>
                      <w:lang w:val="en-GB"/>
                    </w:rPr>
                  </w:pPr>
                  <w:r w:rsidRPr="00081C8E">
                    <w:rPr>
                      <w:lang w:val="en-GB"/>
                    </w:rPr>
                    <w:t>4.39</w:t>
                  </w:r>
                </w:p>
              </w:tc>
              <w:tc>
                <w:tcPr>
                  <w:tcW w:w="427" w:type="dxa"/>
                  <w:shd w:val="clear" w:color="000000" w:fill="FFFFFF"/>
                  <w:noWrap/>
                  <w:tcMar>
                    <w:top w:w="15" w:type="dxa"/>
                    <w:left w:w="15" w:type="dxa"/>
                    <w:bottom w:w="0" w:type="dxa"/>
                    <w:right w:w="15" w:type="dxa"/>
                  </w:tcMar>
                  <w:hideMark/>
                </w:tcPr>
                <w:p w14:paraId="0C8B14E1" w14:textId="77777777" w:rsidR="00E45009" w:rsidRPr="00081C8E" w:rsidRDefault="00E45009" w:rsidP="00E45009">
                  <w:pPr>
                    <w:pStyle w:val="NoSpacing"/>
                    <w:rPr>
                      <w:lang w:val="en-GB"/>
                    </w:rPr>
                  </w:pPr>
                  <w:r w:rsidRPr="00081C8E">
                    <w:rPr>
                      <w:lang w:val="en-GB"/>
                    </w:rPr>
                    <w:t>0.51</w:t>
                  </w:r>
                </w:p>
              </w:tc>
              <w:tc>
                <w:tcPr>
                  <w:tcW w:w="88" w:type="dxa"/>
                  <w:shd w:val="clear" w:color="000000" w:fill="FFFFFF"/>
                  <w:noWrap/>
                  <w:tcMar>
                    <w:top w:w="15" w:type="dxa"/>
                    <w:left w:w="15" w:type="dxa"/>
                    <w:bottom w:w="0" w:type="dxa"/>
                    <w:right w:w="15" w:type="dxa"/>
                  </w:tcMar>
                  <w:hideMark/>
                </w:tcPr>
                <w:p w14:paraId="4EACB6C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2ECF597" w14:textId="77777777" w:rsidR="00E45009" w:rsidRPr="00081C8E" w:rsidRDefault="00E45009" w:rsidP="00E45009">
                  <w:pPr>
                    <w:pStyle w:val="NoSpacing"/>
                    <w:rPr>
                      <w:lang w:val="en-GB"/>
                    </w:rPr>
                  </w:pPr>
                  <w:r w:rsidRPr="00081C8E">
                    <w:rPr>
                      <w:lang w:val="en-GB"/>
                    </w:rPr>
                    <w:t>4.43</w:t>
                  </w:r>
                </w:p>
              </w:tc>
              <w:tc>
                <w:tcPr>
                  <w:tcW w:w="427" w:type="dxa"/>
                  <w:shd w:val="clear" w:color="000000" w:fill="FFFFFF"/>
                  <w:noWrap/>
                  <w:tcMar>
                    <w:top w:w="15" w:type="dxa"/>
                    <w:left w:w="15" w:type="dxa"/>
                    <w:bottom w:w="0" w:type="dxa"/>
                    <w:right w:w="15" w:type="dxa"/>
                  </w:tcMar>
                  <w:hideMark/>
                </w:tcPr>
                <w:p w14:paraId="67968103" w14:textId="77777777" w:rsidR="00E45009" w:rsidRPr="00081C8E" w:rsidRDefault="00E45009" w:rsidP="00E45009">
                  <w:pPr>
                    <w:pStyle w:val="NoSpacing"/>
                    <w:rPr>
                      <w:lang w:val="en-GB"/>
                    </w:rPr>
                  </w:pPr>
                  <w:r w:rsidRPr="00081C8E">
                    <w:rPr>
                      <w:lang w:val="en-GB"/>
                    </w:rPr>
                    <w:t>0.51</w:t>
                  </w:r>
                </w:p>
              </w:tc>
              <w:tc>
                <w:tcPr>
                  <w:tcW w:w="78" w:type="dxa"/>
                  <w:shd w:val="clear" w:color="000000" w:fill="FFFFFF"/>
                  <w:noWrap/>
                  <w:tcMar>
                    <w:top w:w="15" w:type="dxa"/>
                    <w:left w:w="15" w:type="dxa"/>
                    <w:bottom w:w="0" w:type="dxa"/>
                    <w:right w:w="15" w:type="dxa"/>
                  </w:tcMar>
                  <w:hideMark/>
                </w:tcPr>
                <w:p w14:paraId="13E04428"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DA373DF" w14:textId="77777777" w:rsidR="00E45009" w:rsidRPr="00081C8E" w:rsidRDefault="00E45009" w:rsidP="00E45009">
                  <w:pPr>
                    <w:pStyle w:val="NoSpacing"/>
                    <w:rPr>
                      <w:lang w:val="en-GB"/>
                    </w:rPr>
                  </w:pPr>
                  <w:r w:rsidRPr="00081C8E">
                    <w:rPr>
                      <w:lang w:val="en-GB"/>
                    </w:rPr>
                    <w:t>1.86</w:t>
                  </w:r>
                </w:p>
              </w:tc>
            </w:tr>
            <w:tr w:rsidR="00E45009" w:rsidRPr="00081C8E" w14:paraId="603C82C2" w14:textId="77777777" w:rsidTr="00DB32C0">
              <w:trPr>
                <w:trHeight w:val="255"/>
              </w:trPr>
              <w:tc>
                <w:tcPr>
                  <w:tcW w:w="185" w:type="dxa"/>
                  <w:shd w:val="clear" w:color="000000" w:fill="FFFFFF"/>
                  <w:noWrap/>
                  <w:tcMar>
                    <w:top w:w="15" w:type="dxa"/>
                    <w:left w:w="15" w:type="dxa"/>
                    <w:bottom w:w="0" w:type="dxa"/>
                    <w:right w:w="15" w:type="dxa"/>
                  </w:tcMar>
                  <w:hideMark/>
                </w:tcPr>
                <w:p w14:paraId="13CFA438" w14:textId="77777777" w:rsidR="00E45009" w:rsidRPr="00081C8E" w:rsidRDefault="00E45009" w:rsidP="00E45009">
                  <w:pPr>
                    <w:pStyle w:val="NoSpacing"/>
                    <w:rPr>
                      <w:lang w:val="en-GB"/>
                    </w:rPr>
                  </w:pPr>
                  <w:r w:rsidRPr="00081C8E">
                    <w:rPr>
                      <w:lang w:val="en-GB"/>
                    </w:rPr>
                    <w:t>35</w:t>
                  </w:r>
                </w:p>
              </w:tc>
              <w:tc>
                <w:tcPr>
                  <w:tcW w:w="5870" w:type="dxa"/>
                  <w:shd w:val="clear" w:color="000000" w:fill="FFFFFF"/>
                  <w:tcMar>
                    <w:top w:w="15" w:type="dxa"/>
                    <w:left w:w="15" w:type="dxa"/>
                    <w:bottom w:w="0" w:type="dxa"/>
                    <w:right w:w="15" w:type="dxa"/>
                  </w:tcMar>
                  <w:vAlign w:val="center"/>
                  <w:hideMark/>
                </w:tcPr>
                <w:p w14:paraId="1FDBBF27" w14:textId="77777777" w:rsidR="00E45009" w:rsidRPr="00081C8E" w:rsidRDefault="00E45009" w:rsidP="00E45009">
                  <w:pPr>
                    <w:pStyle w:val="NoSpacing"/>
                    <w:rPr>
                      <w:lang w:val="en-GB"/>
                    </w:rPr>
                  </w:pPr>
                  <w:r w:rsidRPr="00081C8E">
                    <w:rPr>
                      <w:lang w:val="en-GB"/>
                    </w:rPr>
                    <w:t>Previous authorization requirements</w:t>
                  </w:r>
                </w:p>
              </w:tc>
              <w:tc>
                <w:tcPr>
                  <w:tcW w:w="95" w:type="dxa"/>
                  <w:shd w:val="clear" w:color="000000" w:fill="FFFFFF"/>
                  <w:tcMar>
                    <w:top w:w="15" w:type="dxa"/>
                    <w:left w:w="15" w:type="dxa"/>
                    <w:bottom w:w="0" w:type="dxa"/>
                    <w:right w:w="15" w:type="dxa"/>
                  </w:tcMar>
                  <w:hideMark/>
                </w:tcPr>
                <w:p w14:paraId="4C41079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5CD368B" w14:textId="77777777" w:rsidR="00E45009" w:rsidRPr="00081C8E" w:rsidRDefault="00E45009" w:rsidP="00E45009">
                  <w:pPr>
                    <w:pStyle w:val="NoSpacing"/>
                    <w:rPr>
                      <w:lang w:val="en-GB"/>
                    </w:rPr>
                  </w:pPr>
                  <w:r w:rsidRPr="00081C8E">
                    <w:rPr>
                      <w:lang w:val="en-GB"/>
                    </w:rPr>
                    <w:t>3.77</w:t>
                  </w:r>
                </w:p>
              </w:tc>
              <w:tc>
                <w:tcPr>
                  <w:tcW w:w="427" w:type="dxa"/>
                  <w:shd w:val="clear" w:color="000000" w:fill="FFFFFF"/>
                  <w:noWrap/>
                  <w:tcMar>
                    <w:top w:w="15" w:type="dxa"/>
                    <w:left w:w="15" w:type="dxa"/>
                    <w:bottom w:w="0" w:type="dxa"/>
                    <w:right w:w="15" w:type="dxa"/>
                  </w:tcMar>
                  <w:hideMark/>
                </w:tcPr>
                <w:p w14:paraId="5CB27B04" w14:textId="77777777" w:rsidR="00E45009" w:rsidRPr="00081C8E" w:rsidRDefault="00E45009" w:rsidP="00E45009">
                  <w:pPr>
                    <w:pStyle w:val="NoSpacing"/>
                    <w:rPr>
                      <w:lang w:val="en-GB"/>
                    </w:rPr>
                  </w:pPr>
                  <w:r w:rsidRPr="00081C8E">
                    <w:rPr>
                      <w:lang w:val="en-GB"/>
                    </w:rPr>
                    <w:t>0.70</w:t>
                  </w:r>
                </w:p>
              </w:tc>
              <w:tc>
                <w:tcPr>
                  <w:tcW w:w="88" w:type="dxa"/>
                  <w:shd w:val="clear" w:color="000000" w:fill="FFFFFF"/>
                  <w:noWrap/>
                  <w:tcMar>
                    <w:top w:w="15" w:type="dxa"/>
                    <w:left w:w="15" w:type="dxa"/>
                    <w:bottom w:w="0" w:type="dxa"/>
                    <w:right w:w="15" w:type="dxa"/>
                  </w:tcMar>
                  <w:hideMark/>
                </w:tcPr>
                <w:p w14:paraId="4626207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FB96C06" w14:textId="77777777" w:rsidR="00E45009" w:rsidRPr="00081C8E" w:rsidRDefault="00E45009" w:rsidP="00E45009">
                  <w:pPr>
                    <w:pStyle w:val="NoSpacing"/>
                    <w:rPr>
                      <w:lang w:val="en-GB"/>
                    </w:rPr>
                  </w:pPr>
                  <w:r w:rsidRPr="00081C8E">
                    <w:rPr>
                      <w:lang w:val="en-GB"/>
                    </w:rPr>
                    <w:t>3.79</w:t>
                  </w:r>
                </w:p>
              </w:tc>
              <w:tc>
                <w:tcPr>
                  <w:tcW w:w="427" w:type="dxa"/>
                  <w:shd w:val="clear" w:color="000000" w:fill="FFFFFF"/>
                  <w:noWrap/>
                  <w:tcMar>
                    <w:top w:w="15" w:type="dxa"/>
                    <w:left w:w="15" w:type="dxa"/>
                    <w:bottom w:w="0" w:type="dxa"/>
                    <w:right w:w="15" w:type="dxa"/>
                  </w:tcMar>
                  <w:hideMark/>
                </w:tcPr>
                <w:p w14:paraId="4771EB62" w14:textId="77777777" w:rsidR="00E45009" w:rsidRPr="00081C8E" w:rsidRDefault="00E45009" w:rsidP="00E45009">
                  <w:pPr>
                    <w:pStyle w:val="NoSpacing"/>
                    <w:rPr>
                      <w:lang w:val="en-GB"/>
                    </w:rPr>
                  </w:pPr>
                  <w:r w:rsidRPr="00081C8E">
                    <w:rPr>
                      <w:lang w:val="en-GB"/>
                    </w:rPr>
                    <w:t>0.43</w:t>
                  </w:r>
                </w:p>
              </w:tc>
              <w:tc>
                <w:tcPr>
                  <w:tcW w:w="78" w:type="dxa"/>
                  <w:shd w:val="clear" w:color="000000" w:fill="FFFFFF"/>
                  <w:noWrap/>
                  <w:tcMar>
                    <w:top w:w="15" w:type="dxa"/>
                    <w:left w:w="15" w:type="dxa"/>
                    <w:bottom w:w="0" w:type="dxa"/>
                    <w:right w:w="15" w:type="dxa"/>
                  </w:tcMar>
                  <w:hideMark/>
                </w:tcPr>
                <w:p w14:paraId="785FFA32"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50E4A13" w14:textId="77777777" w:rsidR="00E45009" w:rsidRPr="00081C8E" w:rsidRDefault="00E45009" w:rsidP="00E45009">
                  <w:pPr>
                    <w:pStyle w:val="NoSpacing"/>
                    <w:rPr>
                      <w:lang w:val="en-GB"/>
                    </w:rPr>
                  </w:pPr>
                  <w:r w:rsidRPr="00081C8E">
                    <w:rPr>
                      <w:lang w:val="en-GB"/>
                    </w:rPr>
                    <w:t>1.70</w:t>
                  </w:r>
                </w:p>
              </w:tc>
            </w:tr>
            <w:tr w:rsidR="00E45009" w:rsidRPr="00081C8E" w14:paraId="2975F0B2" w14:textId="77777777" w:rsidTr="00DB32C0">
              <w:trPr>
                <w:trHeight w:val="255"/>
              </w:trPr>
              <w:tc>
                <w:tcPr>
                  <w:tcW w:w="185" w:type="dxa"/>
                  <w:shd w:val="clear" w:color="000000" w:fill="FFFFFF"/>
                  <w:noWrap/>
                  <w:tcMar>
                    <w:top w:w="15" w:type="dxa"/>
                    <w:left w:w="15" w:type="dxa"/>
                    <w:bottom w:w="0" w:type="dxa"/>
                    <w:right w:w="15" w:type="dxa"/>
                  </w:tcMar>
                  <w:hideMark/>
                </w:tcPr>
                <w:p w14:paraId="0C712DBD" w14:textId="77777777" w:rsidR="00E45009" w:rsidRPr="00081C8E" w:rsidRDefault="00E45009" w:rsidP="00E45009">
                  <w:pPr>
                    <w:pStyle w:val="NoSpacing"/>
                    <w:rPr>
                      <w:lang w:val="en-GB"/>
                    </w:rPr>
                  </w:pPr>
                  <w:r w:rsidRPr="00081C8E">
                    <w:rPr>
                      <w:lang w:val="en-GB"/>
                    </w:rPr>
                    <w:t>36</w:t>
                  </w:r>
                </w:p>
              </w:tc>
              <w:tc>
                <w:tcPr>
                  <w:tcW w:w="5870" w:type="dxa"/>
                  <w:shd w:val="clear" w:color="000000" w:fill="FFFFFF"/>
                  <w:tcMar>
                    <w:top w:w="15" w:type="dxa"/>
                    <w:left w:w="15" w:type="dxa"/>
                    <w:bottom w:w="0" w:type="dxa"/>
                    <w:right w:w="15" w:type="dxa"/>
                  </w:tcMar>
                  <w:vAlign w:val="center"/>
                  <w:hideMark/>
                </w:tcPr>
                <w:p w14:paraId="6CF4564B" w14:textId="77777777" w:rsidR="00E45009" w:rsidRPr="00081C8E" w:rsidRDefault="00E45009" w:rsidP="00E45009">
                  <w:pPr>
                    <w:pStyle w:val="NoSpacing"/>
                    <w:rPr>
                      <w:lang w:val="en-GB"/>
                    </w:rPr>
                  </w:pPr>
                  <w:r w:rsidRPr="00081C8E">
                    <w:rPr>
                      <w:lang w:val="en-GB"/>
                    </w:rPr>
                    <w:t>Restrictions on the freedom of choice of employers' organizations' stucture and composition</w:t>
                  </w:r>
                </w:p>
              </w:tc>
              <w:tc>
                <w:tcPr>
                  <w:tcW w:w="95" w:type="dxa"/>
                  <w:shd w:val="clear" w:color="000000" w:fill="FFFFFF"/>
                  <w:tcMar>
                    <w:top w:w="15" w:type="dxa"/>
                    <w:left w:w="15" w:type="dxa"/>
                    <w:bottom w:w="0" w:type="dxa"/>
                    <w:right w:w="15" w:type="dxa"/>
                  </w:tcMar>
                  <w:hideMark/>
                </w:tcPr>
                <w:p w14:paraId="749F62A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1984742" w14:textId="77777777" w:rsidR="00E45009" w:rsidRPr="00081C8E" w:rsidRDefault="00E45009" w:rsidP="00E45009">
                  <w:pPr>
                    <w:pStyle w:val="NoSpacing"/>
                    <w:rPr>
                      <w:lang w:val="en-GB"/>
                    </w:rPr>
                  </w:pPr>
                  <w:r w:rsidRPr="00081C8E">
                    <w:rPr>
                      <w:lang w:val="en-GB"/>
                    </w:rPr>
                    <w:t>3.62</w:t>
                  </w:r>
                </w:p>
              </w:tc>
              <w:tc>
                <w:tcPr>
                  <w:tcW w:w="427" w:type="dxa"/>
                  <w:shd w:val="clear" w:color="000000" w:fill="FFFFFF"/>
                  <w:noWrap/>
                  <w:tcMar>
                    <w:top w:w="15" w:type="dxa"/>
                    <w:left w:w="15" w:type="dxa"/>
                    <w:bottom w:w="0" w:type="dxa"/>
                    <w:right w:w="15" w:type="dxa"/>
                  </w:tcMar>
                  <w:hideMark/>
                </w:tcPr>
                <w:p w14:paraId="69F2776E" w14:textId="77777777" w:rsidR="00E45009" w:rsidRPr="00081C8E" w:rsidRDefault="00E45009" w:rsidP="00E45009">
                  <w:pPr>
                    <w:pStyle w:val="NoSpacing"/>
                    <w:rPr>
                      <w:lang w:val="en-GB"/>
                    </w:rPr>
                  </w:pPr>
                  <w:r w:rsidRPr="00081C8E">
                    <w:rPr>
                      <w:lang w:val="en-GB"/>
                    </w:rPr>
                    <w:t>0.74</w:t>
                  </w:r>
                </w:p>
              </w:tc>
              <w:tc>
                <w:tcPr>
                  <w:tcW w:w="88" w:type="dxa"/>
                  <w:shd w:val="clear" w:color="000000" w:fill="FFFFFF"/>
                  <w:noWrap/>
                  <w:tcMar>
                    <w:top w:w="15" w:type="dxa"/>
                    <w:left w:w="15" w:type="dxa"/>
                    <w:bottom w:w="0" w:type="dxa"/>
                    <w:right w:w="15" w:type="dxa"/>
                  </w:tcMar>
                  <w:hideMark/>
                </w:tcPr>
                <w:p w14:paraId="15DCA99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D634F56" w14:textId="77777777" w:rsidR="00E45009" w:rsidRPr="00081C8E" w:rsidRDefault="00E45009" w:rsidP="00E45009">
                  <w:pPr>
                    <w:pStyle w:val="NoSpacing"/>
                    <w:rPr>
                      <w:lang w:val="en-GB"/>
                    </w:rPr>
                  </w:pPr>
                  <w:r w:rsidRPr="00081C8E">
                    <w:rPr>
                      <w:lang w:val="en-GB"/>
                    </w:rPr>
                    <w:t>3.79</w:t>
                  </w:r>
                </w:p>
              </w:tc>
              <w:tc>
                <w:tcPr>
                  <w:tcW w:w="427" w:type="dxa"/>
                  <w:shd w:val="clear" w:color="000000" w:fill="FFFFFF"/>
                  <w:noWrap/>
                  <w:tcMar>
                    <w:top w:w="15" w:type="dxa"/>
                    <w:left w:w="15" w:type="dxa"/>
                    <w:bottom w:w="0" w:type="dxa"/>
                    <w:right w:w="15" w:type="dxa"/>
                  </w:tcMar>
                  <w:hideMark/>
                </w:tcPr>
                <w:p w14:paraId="75E780A3" w14:textId="77777777" w:rsidR="00E45009" w:rsidRPr="00081C8E" w:rsidRDefault="00E45009" w:rsidP="00E45009">
                  <w:pPr>
                    <w:pStyle w:val="NoSpacing"/>
                    <w:rPr>
                      <w:lang w:val="en-GB"/>
                    </w:rPr>
                  </w:pPr>
                  <w:r w:rsidRPr="00081C8E">
                    <w:rPr>
                      <w:lang w:val="en-GB"/>
                    </w:rPr>
                    <w:t>0.58</w:t>
                  </w:r>
                </w:p>
              </w:tc>
              <w:tc>
                <w:tcPr>
                  <w:tcW w:w="78" w:type="dxa"/>
                  <w:shd w:val="clear" w:color="000000" w:fill="FFFFFF"/>
                  <w:noWrap/>
                  <w:tcMar>
                    <w:top w:w="15" w:type="dxa"/>
                    <w:left w:w="15" w:type="dxa"/>
                    <w:bottom w:w="0" w:type="dxa"/>
                    <w:right w:w="15" w:type="dxa"/>
                  </w:tcMar>
                  <w:hideMark/>
                </w:tcPr>
                <w:p w14:paraId="4D3EEAB8"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1BF7847" w14:textId="77777777" w:rsidR="00E45009" w:rsidRPr="00081C8E" w:rsidRDefault="00E45009" w:rsidP="00E45009">
                  <w:pPr>
                    <w:pStyle w:val="NoSpacing"/>
                    <w:rPr>
                      <w:lang w:val="en-GB"/>
                    </w:rPr>
                  </w:pPr>
                  <w:r w:rsidRPr="00081C8E">
                    <w:rPr>
                      <w:lang w:val="en-GB"/>
                    </w:rPr>
                    <w:t>1.70</w:t>
                  </w:r>
                </w:p>
              </w:tc>
            </w:tr>
            <w:tr w:rsidR="00E45009" w:rsidRPr="00081C8E" w14:paraId="2BCB5FD1" w14:textId="77777777" w:rsidTr="00DB32C0">
              <w:trPr>
                <w:trHeight w:val="255"/>
              </w:trPr>
              <w:tc>
                <w:tcPr>
                  <w:tcW w:w="185" w:type="dxa"/>
                  <w:shd w:val="clear" w:color="000000" w:fill="FFFFFF"/>
                  <w:noWrap/>
                  <w:tcMar>
                    <w:top w:w="15" w:type="dxa"/>
                    <w:left w:w="15" w:type="dxa"/>
                    <w:bottom w:w="0" w:type="dxa"/>
                    <w:right w:w="15" w:type="dxa"/>
                  </w:tcMar>
                  <w:hideMark/>
                </w:tcPr>
                <w:p w14:paraId="2C9F9949" w14:textId="77777777" w:rsidR="00E45009" w:rsidRPr="00081C8E" w:rsidRDefault="00E45009" w:rsidP="00E45009">
                  <w:pPr>
                    <w:pStyle w:val="NoSpacing"/>
                    <w:rPr>
                      <w:lang w:val="en-GB"/>
                    </w:rPr>
                  </w:pPr>
                  <w:r w:rsidRPr="00081C8E">
                    <w:rPr>
                      <w:lang w:val="en-GB"/>
                    </w:rPr>
                    <w:t>37</w:t>
                  </w:r>
                </w:p>
              </w:tc>
              <w:tc>
                <w:tcPr>
                  <w:tcW w:w="5870" w:type="dxa"/>
                  <w:shd w:val="clear" w:color="000000" w:fill="FFFFFF"/>
                  <w:tcMar>
                    <w:top w:w="15" w:type="dxa"/>
                    <w:left w:w="15" w:type="dxa"/>
                    <w:bottom w:w="0" w:type="dxa"/>
                    <w:right w:w="15" w:type="dxa"/>
                  </w:tcMar>
                  <w:vAlign w:val="center"/>
                  <w:hideMark/>
                </w:tcPr>
                <w:p w14:paraId="01C84DFB" w14:textId="77777777" w:rsidR="00E45009" w:rsidRPr="00081C8E" w:rsidRDefault="00E45009" w:rsidP="00E45009">
                  <w:pPr>
                    <w:pStyle w:val="NoSpacing"/>
                    <w:rPr>
                      <w:lang w:val="en-GB"/>
                    </w:rPr>
                  </w:pPr>
                  <w:r w:rsidRPr="00081C8E">
                    <w:rPr>
                      <w:lang w:val="en-GB"/>
                    </w:rPr>
                    <w:t>Imposed unity of employers' organizations</w:t>
                  </w:r>
                </w:p>
              </w:tc>
              <w:tc>
                <w:tcPr>
                  <w:tcW w:w="95" w:type="dxa"/>
                  <w:shd w:val="clear" w:color="000000" w:fill="FFFFFF"/>
                  <w:tcMar>
                    <w:top w:w="15" w:type="dxa"/>
                    <w:left w:w="15" w:type="dxa"/>
                    <w:bottom w:w="0" w:type="dxa"/>
                    <w:right w:w="15" w:type="dxa"/>
                  </w:tcMar>
                  <w:hideMark/>
                </w:tcPr>
                <w:p w14:paraId="7C643C1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C62617A" w14:textId="77777777" w:rsidR="00E45009" w:rsidRPr="00081C8E" w:rsidRDefault="00E45009" w:rsidP="00E45009">
                  <w:pPr>
                    <w:pStyle w:val="NoSpacing"/>
                    <w:rPr>
                      <w:lang w:val="en-GB"/>
                    </w:rPr>
                  </w:pPr>
                  <w:r w:rsidRPr="00081C8E">
                    <w:rPr>
                      <w:lang w:val="en-GB"/>
                    </w:rPr>
                    <w:t>3.91</w:t>
                  </w:r>
                </w:p>
              </w:tc>
              <w:tc>
                <w:tcPr>
                  <w:tcW w:w="427" w:type="dxa"/>
                  <w:shd w:val="clear" w:color="000000" w:fill="FFFFFF"/>
                  <w:noWrap/>
                  <w:tcMar>
                    <w:top w:w="15" w:type="dxa"/>
                    <w:left w:w="15" w:type="dxa"/>
                    <w:bottom w:w="0" w:type="dxa"/>
                    <w:right w:w="15" w:type="dxa"/>
                  </w:tcMar>
                  <w:hideMark/>
                </w:tcPr>
                <w:p w14:paraId="5542605B" w14:textId="77777777" w:rsidR="00E45009" w:rsidRPr="00081C8E" w:rsidRDefault="00E45009" w:rsidP="00E45009">
                  <w:pPr>
                    <w:pStyle w:val="NoSpacing"/>
                    <w:rPr>
                      <w:lang w:val="en-GB"/>
                    </w:rPr>
                  </w:pPr>
                  <w:r w:rsidRPr="00081C8E">
                    <w:rPr>
                      <w:lang w:val="en-GB"/>
                    </w:rPr>
                    <w:t>0.80</w:t>
                  </w:r>
                </w:p>
              </w:tc>
              <w:tc>
                <w:tcPr>
                  <w:tcW w:w="88" w:type="dxa"/>
                  <w:shd w:val="clear" w:color="000000" w:fill="FFFFFF"/>
                  <w:noWrap/>
                  <w:tcMar>
                    <w:top w:w="15" w:type="dxa"/>
                    <w:left w:w="15" w:type="dxa"/>
                    <w:bottom w:w="0" w:type="dxa"/>
                    <w:right w:w="15" w:type="dxa"/>
                  </w:tcMar>
                  <w:hideMark/>
                </w:tcPr>
                <w:p w14:paraId="6E77777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8302750" w14:textId="77777777" w:rsidR="00E45009" w:rsidRPr="00081C8E" w:rsidRDefault="00E45009" w:rsidP="00E45009">
                  <w:pPr>
                    <w:pStyle w:val="NoSpacing"/>
                    <w:rPr>
                      <w:lang w:val="en-GB"/>
                    </w:rPr>
                  </w:pPr>
                  <w:r w:rsidRPr="00081C8E">
                    <w:rPr>
                      <w:lang w:val="en-GB"/>
                    </w:rPr>
                    <w:t>3.79</w:t>
                  </w:r>
                </w:p>
              </w:tc>
              <w:tc>
                <w:tcPr>
                  <w:tcW w:w="427" w:type="dxa"/>
                  <w:shd w:val="clear" w:color="000000" w:fill="FFFFFF"/>
                  <w:noWrap/>
                  <w:tcMar>
                    <w:top w:w="15" w:type="dxa"/>
                    <w:left w:w="15" w:type="dxa"/>
                    <w:bottom w:w="0" w:type="dxa"/>
                    <w:right w:w="15" w:type="dxa"/>
                  </w:tcMar>
                  <w:hideMark/>
                </w:tcPr>
                <w:p w14:paraId="6A6122B8" w14:textId="77777777" w:rsidR="00E45009" w:rsidRPr="00081C8E" w:rsidRDefault="00E45009" w:rsidP="00E45009">
                  <w:pPr>
                    <w:pStyle w:val="NoSpacing"/>
                    <w:rPr>
                      <w:lang w:val="en-GB"/>
                    </w:rPr>
                  </w:pPr>
                  <w:r w:rsidRPr="00081C8E">
                    <w:rPr>
                      <w:lang w:val="en-GB"/>
                    </w:rPr>
                    <w:t>0.70</w:t>
                  </w:r>
                </w:p>
              </w:tc>
              <w:tc>
                <w:tcPr>
                  <w:tcW w:w="78" w:type="dxa"/>
                  <w:shd w:val="clear" w:color="000000" w:fill="FFFFFF"/>
                  <w:noWrap/>
                  <w:tcMar>
                    <w:top w:w="15" w:type="dxa"/>
                    <w:left w:w="15" w:type="dxa"/>
                    <w:bottom w:w="0" w:type="dxa"/>
                    <w:right w:w="15" w:type="dxa"/>
                  </w:tcMar>
                  <w:hideMark/>
                </w:tcPr>
                <w:p w14:paraId="2B7DD406"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53BA23B" w14:textId="77777777" w:rsidR="00E45009" w:rsidRPr="00081C8E" w:rsidRDefault="00E45009" w:rsidP="00E45009">
                  <w:pPr>
                    <w:pStyle w:val="NoSpacing"/>
                    <w:rPr>
                      <w:lang w:val="en-GB"/>
                    </w:rPr>
                  </w:pPr>
                  <w:r w:rsidRPr="00081C8E">
                    <w:rPr>
                      <w:lang w:val="en-GB"/>
                    </w:rPr>
                    <w:t>1.70</w:t>
                  </w:r>
                </w:p>
              </w:tc>
            </w:tr>
            <w:tr w:rsidR="00E45009" w:rsidRPr="00081C8E" w14:paraId="0B368A75" w14:textId="77777777" w:rsidTr="00DB32C0">
              <w:trPr>
                <w:trHeight w:val="255"/>
              </w:trPr>
              <w:tc>
                <w:tcPr>
                  <w:tcW w:w="185" w:type="dxa"/>
                  <w:shd w:val="clear" w:color="000000" w:fill="FFFFFF"/>
                  <w:noWrap/>
                  <w:tcMar>
                    <w:top w:w="15" w:type="dxa"/>
                    <w:left w:w="15" w:type="dxa"/>
                    <w:bottom w:w="0" w:type="dxa"/>
                    <w:right w:w="15" w:type="dxa"/>
                  </w:tcMar>
                  <w:hideMark/>
                </w:tcPr>
                <w:p w14:paraId="3427991D" w14:textId="77777777" w:rsidR="00E45009" w:rsidRPr="00081C8E" w:rsidRDefault="00E45009" w:rsidP="00E45009">
                  <w:pPr>
                    <w:pStyle w:val="NoSpacing"/>
                    <w:rPr>
                      <w:lang w:val="en-GB"/>
                    </w:rPr>
                  </w:pPr>
                  <w:r w:rsidRPr="00081C8E">
                    <w:rPr>
                      <w:lang w:val="en-GB"/>
                    </w:rPr>
                    <w:t>38</w:t>
                  </w:r>
                </w:p>
              </w:tc>
              <w:tc>
                <w:tcPr>
                  <w:tcW w:w="5870" w:type="dxa"/>
                  <w:shd w:val="clear" w:color="000000" w:fill="FFFFFF"/>
                  <w:tcMar>
                    <w:top w:w="15" w:type="dxa"/>
                    <w:left w:w="15" w:type="dxa"/>
                    <w:bottom w:w="0" w:type="dxa"/>
                    <w:right w:w="15" w:type="dxa"/>
                  </w:tcMar>
                  <w:vAlign w:val="center"/>
                  <w:hideMark/>
                </w:tcPr>
                <w:p w14:paraId="6E29AC3F" w14:textId="77777777" w:rsidR="00E45009" w:rsidRPr="00081C8E" w:rsidRDefault="00E45009" w:rsidP="00E45009">
                  <w:pPr>
                    <w:pStyle w:val="NoSpacing"/>
                    <w:rPr>
                      <w:lang w:val="en-GB"/>
                    </w:rPr>
                  </w:pPr>
                  <w:r w:rsidRPr="00081C8E">
                    <w:rPr>
                      <w:lang w:val="en-GB"/>
                    </w:rPr>
                    <w:t>Dissolution/suspension of legally functioning organizations</w:t>
                  </w:r>
                </w:p>
              </w:tc>
              <w:tc>
                <w:tcPr>
                  <w:tcW w:w="95" w:type="dxa"/>
                  <w:shd w:val="clear" w:color="000000" w:fill="FFFFFF"/>
                  <w:tcMar>
                    <w:top w:w="15" w:type="dxa"/>
                    <w:left w:w="15" w:type="dxa"/>
                    <w:bottom w:w="0" w:type="dxa"/>
                    <w:right w:w="15" w:type="dxa"/>
                  </w:tcMar>
                  <w:hideMark/>
                </w:tcPr>
                <w:p w14:paraId="4FC1EE5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DE23AD4" w14:textId="77777777" w:rsidR="00E45009" w:rsidRPr="00081C8E" w:rsidRDefault="00E45009" w:rsidP="00E45009">
                  <w:pPr>
                    <w:pStyle w:val="NoSpacing"/>
                    <w:rPr>
                      <w:lang w:val="en-GB"/>
                    </w:rPr>
                  </w:pPr>
                  <w:r w:rsidRPr="00081C8E">
                    <w:rPr>
                      <w:lang w:val="en-GB"/>
                    </w:rPr>
                    <w:t>4.58</w:t>
                  </w:r>
                </w:p>
              </w:tc>
              <w:tc>
                <w:tcPr>
                  <w:tcW w:w="427" w:type="dxa"/>
                  <w:shd w:val="clear" w:color="000000" w:fill="FFFFFF"/>
                  <w:noWrap/>
                  <w:tcMar>
                    <w:top w:w="15" w:type="dxa"/>
                    <w:left w:w="15" w:type="dxa"/>
                    <w:bottom w:w="0" w:type="dxa"/>
                    <w:right w:w="15" w:type="dxa"/>
                  </w:tcMar>
                  <w:hideMark/>
                </w:tcPr>
                <w:p w14:paraId="4AF7B713" w14:textId="77777777" w:rsidR="00E45009" w:rsidRPr="00081C8E" w:rsidRDefault="00E45009" w:rsidP="00E45009">
                  <w:pPr>
                    <w:pStyle w:val="NoSpacing"/>
                    <w:rPr>
                      <w:lang w:val="en-GB"/>
                    </w:rPr>
                  </w:pPr>
                  <w:r w:rsidRPr="00081C8E">
                    <w:rPr>
                      <w:lang w:val="en-GB"/>
                    </w:rPr>
                    <w:t>0.52</w:t>
                  </w:r>
                </w:p>
              </w:tc>
              <w:tc>
                <w:tcPr>
                  <w:tcW w:w="88" w:type="dxa"/>
                  <w:shd w:val="clear" w:color="000000" w:fill="FFFFFF"/>
                  <w:noWrap/>
                  <w:tcMar>
                    <w:top w:w="15" w:type="dxa"/>
                    <w:left w:w="15" w:type="dxa"/>
                    <w:bottom w:w="0" w:type="dxa"/>
                    <w:right w:w="15" w:type="dxa"/>
                  </w:tcMar>
                  <w:hideMark/>
                </w:tcPr>
                <w:p w14:paraId="1C37288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B196CC0" w14:textId="77777777" w:rsidR="00E45009" w:rsidRPr="00081C8E" w:rsidRDefault="00E45009" w:rsidP="00E45009">
                  <w:pPr>
                    <w:pStyle w:val="NoSpacing"/>
                    <w:rPr>
                      <w:lang w:val="en-GB"/>
                    </w:rPr>
                  </w:pPr>
                  <w:r w:rsidRPr="00081C8E">
                    <w:rPr>
                      <w:lang w:val="en-GB"/>
                    </w:rPr>
                    <w:t>4.79</w:t>
                  </w:r>
                </w:p>
              </w:tc>
              <w:tc>
                <w:tcPr>
                  <w:tcW w:w="427" w:type="dxa"/>
                  <w:shd w:val="clear" w:color="000000" w:fill="FFFFFF"/>
                  <w:noWrap/>
                  <w:tcMar>
                    <w:top w:w="15" w:type="dxa"/>
                    <w:left w:w="15" w:type="dxa"/>
                    <w:bottom w:w="0" w:type="dxa"/>
                    <w:right w:w="15" w:type="dxa"/>
                  </w:tcMar>
                  <w:hideMark/>
                </w:tcPr>
                <w:p w14:paraId="696DC8B4" w14:textId="77777777" w:rsidR="00E45009" w:rsidRPr="00081C8E" w:rsidRDefault="00E45009" w:rsidP="00E45009">
                  <w:pPr>
                    <w:pStyle w:val="NoSpacing"/>
                    <w:rPr>
                      <w:lang w:val="en-GB"/>
                    </w:rPr>
                  </w:pPr>
                  <w:r w:rsidRPr="00081C8E">
                    <w:rPr>
                      <w:lang w:val="en-GB"/>
                    </w:rPr>
                    <w:t>0.43</w:t>
                  </w:r>
                </w:p>
              </w:tc>
              <w:tc>
                <w:tcPr>
                  <w:tcW w:w="78" w:type="dxa"/>
                  <w:shd w:val="clear" w:color="000000" w:fill="FFFFFF"/>
                  <w:noWrap/>
                  <w:tcMar>
                    <w:top w:w="15" w:type="dxa"/>
                    <w:left w:w="15" w:type="dxa"/>
                    <w:bottom w:w="0" w:type="dxa"/>
                    <w:right w:w="15" w:type="dxa"/>
                  </w:tcMar>
                  <w:hideMark/>
                </w:tcPr>
                <w:p w14:paraId="33B9A21E"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38D34FC" w14:textId="77777777" w:rsidR="00E45009" w:rsidRPr="00081C8E" w:rsidRDefault="00E45009" w:rsidP="00E45009">
                  <w:pPr>
                    <w:pStyle w:val="NoSpacing"/>
                    <w:rPr>
                      <w:lang w:val="en-GB"/>
                    </w:rPr>
                  </w:pPr>
                  <w:r w:rsidRPr="00081C8E">
                    <w:rPr>
                      <w:lang w:val="en-GB"/>
                    </w:rPr>
                    <w:t>1.95</w:t>
                  </w:r>
                </w:p>
              </w:tc>
            </w:tr>
            <w:tr w:rsidR="00E45009" w:rsidRPr="00081C8E" w14:paraId="1DFFCEDA" w14:textId="77777777" w:rsidTr="00DB32C0">
              <w:trPr>
                <w:trHeight w:val="255"/>
              </w:trPr>
              <w:tc>
                <w:tcPr>
                  <w:tcW w:w="185" w:type="dxa"/>
                  <w:shd w:val="clear" w:color="000000" w:fill="FFFFFF"/>
                  <w:noWrap/>
                  <w:tcMar>
                    <w:top w:w="15" w:type="dxa"/>
                    <w:left w:w="15" w:type="dxa"/>
                    <w:bottom w:w="0" w:type="dxa"/>
                    <w:right w:w="15" w:type="dxa"/>
                  </w:tcMar>
                  <w:hideMark/>
                </w:tcPr>
                <w:p w14:paraId="466A54FD" w14:textId="77777777" w:rsidR="00E45009" w:rsidRPr="00081C8E" w:rsidRDefault="00E45009" w:rsidP="00E45009">
                  <w:pPr>
                    <w:pStyle w:val="NoSpacing"/>
                    <w:rPr>
                      <w:lang w:val="en-GB"/>
                    </w:rPr>
                  </w:pPr>
                  <w:r w:rsidRPr="00081C8E">
                    <w:rPr>
                      <w:lang w:val="en-GB"/>
                    </w:rPr>
                    <w:t>39</w:t>
                  </w:r>
                </w:p>
              </w:tc>
              <w:tc>
                <w:tcPr>
                  <w:tcW w:w="5870" w:type="dxa"/>
                  <w:shd w:val="clear" w:color="000000" w:fill="FFFFFF"/>
                  <w:tcMar>
                    <w:top w:w="15" w:type="dxa"/>
                    <w:left w:w="15" w:type="dxa"/>
                    <w:bottom w:w="0" w:type="dxa"/>
                    <w:right w:w="15" w:type="dxa"/>
                  </w:tcMar>
                  <w:vAlign w:val="center"/>
                  <w:hideMark/>
                </w:tcPr>
                <w:p w14:paraId="784B475F" w14:textId="77777777" w:rsidR="00E45009" w:rsidRPr="00081C8E" w:rsidRDefault="00E45009" w:rsidP="00E45009">
                  <w:pPr>
                    <w:pStyle w:val="NoSpacing"/>
                    <w:rPr>
                      <w:lang w:val="en-GB"/>
                    </w:rPr>
                  </w:pPr>
                  <w:r w:rsidRPr="00081C8E">
                    <w:rPr>
                      <w:lang w:val="en-GB"/>
                    </w:rPr>
                    <w:t>Acts of interference of workers' organizations and/or public authorities</w:t>
                  </w:r>
                </w:p>
              </w:tc>
              <w:tc>
                <w:tcPr>
                  <w:tcW w:w="95" w:type="dxa"/>
                  <w:shd w:val="clear" w:color="000000" w:fill="FFFFFF"/>
                  <w:tcMar>
                    <w:top w:w="15" w:type="dxa"/>
                    <w:left w:w="15" w:type="dxa"/>
                    <w:bottom w:w="0" w:type="dxa"/>
                    <w:right w:w="15" w:type="dxa"/>
                  </w:tcMar>
                  <w:hideMark/>
                </w:tcPr>
                <w:p w14:paraId="7AFE031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DC8913E" w14:textId="77777777" w:rsidR="00E45009" w:rsidRPr="00081C8E" w:rsidRDefault="00E45009" w:rsidP="00E45009">
                  <w:pPr>
                    <w:pStyle w:val="NoSpacing"/>
                    <w:rPr>
                      <w:lang w:val="en-GB"/>
                    </w:rPr>
                  </w:pPr>
                  <w:r w:rsidRPr="00081C8E">
                    <w:rPr>
                      <w:lang w:val="en-GB"/>
                    </w:rPr>
                    <w:t>3.85</w:t>
                  </w:r>
                </w:p>
              </w:tc>
              <w:tc>
                <w:tcPr>
                  <w:tcW w:w="427" w:type="dxa"/>
                  <w:shd w:val="clear" w:color="000000" w:fill="FFFFFF"/>
                  <w:noWrap/>
                  <w:tcMar>
                    <w:top w:w="15" w:type="dxa"/>
                    <w:left w:w="15" w:type="dxa"/>
                    <w:bottom w:w="0" w:type="dxa"/>
                    <w:right w:w="15" w:type="dxa"/>
                  </w:tcMar>
                  <w:hideMark/>
                </w:tcPr>
                <w:p w14:paraId="1278F149"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44CD377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FD4AD31" w14:textId="77777777" w:rsidR="00E45009" w:rsidRPr="00081C8E" w:rsidRDefault="00E45009" w:rsidP="00E45009">
                  <w:pPr>
                    <w:pStyle w:val="NoSpacing"/>
                    <w:rPr>
                      <w:lang w:val="en-GB"/>
                    </w:rPr>
                  </w:pPr>
                  <w:r w:rsidRPr="00081C8E">
                    <w:rPr>
                      <w:lang w:val="en-GB"/>
                    </w:rPr>
                    <w:t>4.00</w:t>
                  </w:r>
                </w:p>
              </w:tc>
              <w:tc>
                <w:tcPr>
                  <w:tcW w:w="427" w:type="dxa"/>
                  <w:shd w:val="clear" w:color="000000" w:fill="FFFFFF"/>
                  <w:noWrap/>
                  <w:tcMar>
                    <w:top w:w="15" w:type="dxa"/>
                    <w:left w:w="15" w:type="dxa"/>
                    <w:bottom w:w="0" w:type="dxa"/>
                    <w:right w:w="15" w:type="dxa"/>
                  </w:tcMar>
                  <w:hideMark/>
                </w:tcPr>
                <w:p w14:paraId="6D04DAAF" w14:textId="77777777" w:rsidR="00E45009" w:rsidRPr="00081C8E" w:rsidRDefault="00E45009" w:rsidP="00E45009">
                  <w:pPr>
                    <w:pStyle w:val="NoSpacing"/>
                    <w:rPr>
                      <w:lang w:val="en-GB"/>
                    </w:rPr>
                  </w:pPr>
                  <w:r w:rsidRPr="00081C8E">
                    <w:rPr>
                      <w:lang w:val="en-GB"/>
                    </w:rPr>
                    <w:t>0.68</w:t>
                  </w:r>
                </w:p>
              </w:tc>
              <w:tc>
                <w:tcPr>
                  <w:tcW w:w="78" w:type="dxa"/>
                  <w:shd w:val="clear" w:color="000000" w:fill="FFFFFF"/>
                  <w:noWrap/>
                  <w:tcMar>
                    <w:top w:w="15" w:type="dxa"/>
                    <w:left w:w="15" w:type="dxa"/>
                    <w:bottom w:w="0" w:type="dxa"/>
                    <w:right w:w="15" w:type="dxa"/>
                  </w:tcMar>
                  <w:hideMark/>
                </w:tcPr>
                <w:p w14:paraId="6E465A04"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BF841C4" w14:textId="77777777" w:rsidR="00E45009" w:rsidRPr="00081C8E" w:rsidRDefault="00E45009" w:rsidP="00E45009">
                  <w:pPr>
                    <w:pStyle w:val="NoSpacing"/>
                    <w:rPr>
                      <w:lang w:val="en-GB"/>
                    </w:rPr>
                  </w:pPr>
                  <w:r w:rsidRPr="00081C8E">
                    <w:rPr>
                      <w:lang w:val="en-GB"/>
                    </w:rPr>
                    <w:t>1.75</w:t>
                  </w:r>
                </w:p>
              </w:tc>
            </w:tr>
            <w:tr w:rsidR="00E45009" w:rsidRPr="00081C8E" w14:paraId="4FE34B6E" w14:textId="77777777" w:rsidTr="00DB32C0">
              <w:trPr>
                <w:trHeight w:val="255"/>
              </w:trPr>
              <w:tc>
                <w:tcPr>
                  <w:tcW w:w="185" w:type="dxa"/>
                  <w:shd w:val="clear" w:color="000000" w:fill="FFFFFF"/>
                  <w:noWrap/>
                  <w:tcMar>
                    <w:top w:w="15" w:type="dxa"/>
                    <w:left w:w="15" w:type="dxa"/>
                    <w:bottom w:w="0" w:type="dxa"/>
                    <w:right w:w="15" w:type="dxa"/>
                  </w:tcMar>
                  <w:hideMark/>
                </w:tcPr>
                <w:p w14:paraId="79AF4214" w14:textId="77777777" w:rsidR="00E45009" w:rsidRPr="00081C8E" w:rsidRDefault="00E45009" w:rsidP="00E45009">
                  <w:pPr>
                    <w:pStyle w:val="NoSpacing"/>
                    <w:rPr>
                      <w:lang w:val="en-GB"/>
                    </w:rPr>
                  </w:pPr>
                  <w:r w:rsidRPr="00081C8E">
                    <w:rPr>
                      <w:lang w:val="en-GB"/>
                    </w:rPr>
                    <w:t>40</w:t>
                  </w:r>
                </w:p>
              </w:tc>
              <w:tc>
                <w:tcPr>
                  <w:tcW w:w="5870" w:type="dxa"/>
                  <w:shd w:val="clear" w:color="000000" w:fill="FFFFFF"/>
                  <w:tcMar>
                    <w:top w:w="15" w:type="dxa"/>
                    <w:left w:w="15" w:type="dxa"/>
                    <w:bottom w:w="0" w:type="dxa"/>
                    <w:right w:w="15" w:type="dxa"/>
                  </w:tcMar>
                  <w:vAlign w:val="center"/>
                  <w:hideMark/>
                </w:tcPr>
                <w:p w14:paraId="53870502" w14:textId="77777777" w:rsidR="00E45009" w:rsidRPr="00081C8E" w:rsidRDefault="00E45009" w:rsidP="00E45009">
                  <w:pPr>
                    <w:pStyle w:val="NoSpacing"/>
                    <w:rPr>
                      <w:lang w:val="en-GB"/>
                    </w:rPr>
                  </w:pPr>
                  <w:r w:rsidRPr="00081C8E">
                    <w:rPr>
                      <w:lang w:val="en-GB"/>
                    </w:rPr>
                    <w:t>Lack of guarantee of due process and/or justice re violation no. 39</w:t>
                  </w:r>
                </w:p>
              </w:tc>
              <w:tc>
                <w:tcPr>
                  <w:tcW w:w="95" w:type="dxa"/>
                  <w:shd w:val="clear" w:color="000000" w:fill="FFFFFF"/>
                  <w:tcMar>
                    <w:top w:w="15" w:type="dxa"/>
                    <w:left w:w="15" w:type="dxa"/>
                    <w:bottom w:w="0" w:type="dxa"/>
                    <w:right w:w="15" w:type="dxa"/>
                  </w:tcMar>
                  <w:hideMark/>
                </w:tcPr>
                <w:p w14:paraId="7DD7EE6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FE29720" w14:textId="77777777" w:rsidR="00E45009" w:rsidRPr="00081C8E" w:rsidRDefault="00E45009" w:rsidP="00E45009">
                  <w:pPr>
                    <w:pStyle w:val="NoSpacing"/>
                    <w:rPr>
                      <w:lang w:val="en-GB"/>
                    </w:rPr>
                  </w:pPr>
                  <w:r w:rsidRPr="00081C8E">
                    <w:rPr>
                      <w:lang w:val="en-GB"/>
                    </w:rPr>
                    <w:t>3.85</w:t>
                  </w:r>
                </w:p>
              </w:tc>
              <w:tc>
                <w:tcPr>
                  <w:tcW w:w="427" w:type="dxa"/>
                  <w:shd w:val="clear" w:color="000000" w:fill="FFFFFF"/>
                  <w:noWrap/>
                  <w:tcMar>
                    <w:top w:w="15" w:type="dxa"/>
                    <w:left w:w="15" w:type="dxa"/>
                    <w:bottom w:w="0" w:type="dxa"/>
                    <w:right w:w="15" w:type="dxa"/>
                  </w:tcMar>
                  <w:hideMark/>
                </w:tcPr>
                <w:p w14:paraId="12CC8410" w14:textId="77777777" w:rsidR="00E45009" w:rsidRPr="00081C8E" w:rsidRDefault="00E45009" w:rsidP="00E45009">
                  <w:pPr>
                    <w:pStyle w:val="NoSpacing"/>
                    <w:rPr>
                      <w:lang w:val="en-GB"/>
                    </w:rPr>
                  </w:pPr>
                  <w:r w:rsidRPr="00081C8E">
                    <w:rPr>
                      <w:lang w:val="en-GB"/>
                    </w:rPr>
                    <w:t>1.14</w:t>
                  </w:r>
                </w:p>
              </w:tc>
              <w:tc>
                <w:tcPr>
                  <w:tcW w:w="88" w:type="dxa"/>
                  <w:shd w:val="clear" w:color="000000" w:fill="FFFFFF"/>
                  <w:noWrap/>
                  <w:tcMar>
                    <w:top w:w="15" w:type="dxa"/>
                    <w:left w:w="15" w:type="dxa"/>
                    <w:bottom w:w="0" w:type="dxa"/>
                    <w:right w:w="15" w:type="dxa"/>
                  </w:tcMar>
                  <w:hideMark/>
                </w:tcPr>
                <w:p w14:paraId="4AF320B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C3A200F" w14:textId="77777777" w:rsidR="00E45009" w:rsidRPr="00081C8E" w:rsidRDefault="00E45009" w:rsidP="00E45009">
                  <w:pPr>
                    <w:pStyle w:val="NoSpacing"/>
                    <w:rPr>
                      <w:lang w:val="en-GB"/>
                    </w:rPr>
                  </w:pPr>
                  <w:r w:rsidRPr="00081C8E">
                    <w:rPr>
                      <w:lang w:val="en-GB"/>
                    </w:rPr>
                    <w:t>4.07</w:t>
                  </w:r>
                </w:p>
              </w:tc>
              <w:tc>
                <w:tcPr>
                  <w:tcW w:w="427" w:type="dxa"/>
                  <w:shd w:val="clear" w:color="000000" w:fill="FFFFFF"/>
                  <w:noWrap/>
                  <w:tcMar>
                    <w:top w:w="15" w:type="dxa"/>
                    <w:left w:w="15" w:type="dxa"/>
                    <w:bottom w:w="0" w:type="dxa"/>
                    <w:right w:w="15" w:type="dxa"/>
                  </w:tcMar>
                  <w:hideMark/>
                </w:tcPr>
                <w:p w14:paraId="0CECBFA9" w14:textId="77777777" w:rsidR="00E45009" w:rsidRPr="00081C8E" w:rsidRDefault="00E45009" w:rsidP="00E45009">
                  <w:pPr>
                    <w:pStyle w:val="NoSpacing"/>
                    <w:rPr>
                      <w:lang w:val="en-GB"/>
                    </w:rPr>
                  </w:pPr>
                  <w:r w:rsidRPr="00081C8E">
                    <w:rPr>
                      <w:lang w:val="en-GB"/>
                    </w:rPr>
                    <w:t>0.73</w:t>
                  </w:r>
                </w:p>
              </w:tc>
              <w:tc>
                <w:tcPr>
                  <w:tcW w:w="78" w:type="dxa"/>
                  <w:shd w:val="clear" w:color="000000" w:fill="FFFFFF"/>
                  <w:noWrap/>
                  <w:tcMar>
                    <w:top w:w="15" w:type="dxa"/>
                    <w:left w:w="15" w:type="dxa"/>
                    <w:bottom w:w="0" w:type="dxa"/>
                    <w:right w:w="15" w:type="dxa"/>
                  </w:tcMar>
                  <w:hideMark/>
                </w:tcPr>
                <w:p w14:paraId="7181728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E14D2AF" w14:textId="77777777" w:rsidR="00E45009" w:rsidRPr="00081C8E" w:rsidRDefault="00E45009" w:rsidP="00E45009">
                  <w:pPr>
                    <w:pStyle w:val="NoSpacing"/>
                    <w:rPr>
                      <w:lang w:val="en-GB"/>
                    </w:rPr>
                  </w:pPr>
                  <w:r w:rsidRPr="00081C8E">
                    <w:rPr>
                      <w:lang w:val="en-GB"/>
                    </w:rPr>
                    <w:t>1.77</w:t>
                  </w:r>
                </w:p>
              </w:tc>
            </w:tr>
            <w:tr w:rsidR="00E45009" w:rsidRPr="00081C8E" w14:paraId="6637DB56" w14:textId="77777777" w:rsidTr="00DB32C0">
              <w:trPr>
                <w:trHeight w:val="255"/>
              </w:trPr>
              <w:tc>
                <w:tcPr>
                  <w:tcW w:w="185" w:type="dxa"/>
                  <w:shd w:val="clear" w:color="000000" w:fill="FFFFFF"/>
                  <w:noWrap/>
                  <w:tcMar>
                    <w:top w:w="15" w:type="dxa"/>
                    <w:left w:w="15" w:type="dxa"/>
                    <w:bottom w:w="0" w:type="dxa"/>
                    <w:right w:w="15" w:type="dxa"/>
                  </w:tcMar>
                  <w:hideMark/>
                </w:tcPr>
                <w:p w14:paraId="5DD19C37" w14:textId="77777777" w:rsidR="00E45009" w:rsidRPr="00081C8E" w:rsidRDefault="00E45009" w:rsidP="00E45009">
                  <w:pPr>
                    <w:pStyle w:val="NoSpacing"/>
                    <w:rPr>
                      <w:lang w:val="en-GB"/>
                    </w:rPr>
                  </w:pPr>
                  <w:r w:rsidRPr="00081C8E">
                    <w:rPr>
                      <w:lang w:val="en-GB"/>
                    </w:rPr>
                    <w:t>41</w:t>
                  </w:r>
                </w:p>
              </w:tc>
              <w:tc>
                <w:tcPr>
                  <w:tcW w:w="5870" w:type="dxa"/>
                  <w:shd w:val="clear" w:color="000000" w:fill="FFFFFF"/>
                  <w:tcMar>
                    <w:top w:w="15" w:type="dxa"/>
                    <w:left w:w="15" w:type="dxa"/>
                    <w:bottom w:w="0" w:type="dxa"/>
                    <w:right w:w="15" w:type="dxa"/>
                  </w:tcMar>
                  <w:vAlign w:val="center"/>
                  <w:hideMark/>
                </w:tcPr>
                <w:p w14:paraId="4D62E157" w14:textId="77777777" w:rsidR="00E45009" w:rsidRPr="00081C8E" w:rsidRDefault="00E45009" w:rsidP="00E45009">
                  <w:pPr>
                    <w:pStyle w:val="NoSpacing"/>
                    <w:rPr>
                      <w:lang w:val="en-GB"/>
                    </w:rPr>
                  </w:pPr>
                  <w:r w:rsidRPr="00081C8E">
                    <w:rPr>
                      <w:lang w:val="en-GB"/>
                    </w:rPr>
                    <w:t>Infringements of the right to establish and join federations/confederations/international organizations</w:t>
                  </w:r>
                </w:p>
              </w:tc>
              <w:tc>
                <w:tcPr>
                  <w:tcW w:w="95" w:type="dxa"/>
                  <w:shd w:val="clear" w:color="000000" w:fill="FFFFFF"/>
                  <w:tcMar>
                    <w:top w:w="15" w:type="dxa"/>
                    <w:left w:w="15" w:type="dxa"/>
                    <w:bottom w:w="0" w:type="dxa"/>
                    <w:right w:w="15" w:type="dxa"/>
                  </w:tcMar>
                  <w:hideMark/>
                </w:tcPr>
                <w:p w14:paraId="656BAE0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EFF4FAD" w14:textId="77777777" w:rsidR="00E45009" w:rsidRPr="00081C8E" w:rsidRDefault="00E45009" w:rsidP="00E45009">
                  <w:pPr>
                    <w:pStyle w:val="NoSpacing"/>
                    <w:rPr>
                      <w:lang w:val="en-GB"/>
                    </w:rPr>
                  </w:pPr>
                  <w:r w:rsidRPr="00081C8E">
                    <w:rPr>
                      <w:lang w:val="en-GB"/>
                    </w:rPr>
                    <w:t>3.83</w:t>
                  </w:r>
                </w:p>
              </w:tc>
              <w:tc>
                <w:tcPr>
                  <w:tcW w:w="427" w:type="dxa"/>
                  <w:shd w:val="clear" w:color="000000" w:fill="FFFFFF"/>
                  <w:noWrap/>
                  <w:tcMar>
                    <w:top w:w="15" w:type="dxa"/>
                    <w:left w:w="15" w:type="dxa"/>
                    <w:bottom w:w="0" w:type="dxa"/>
                    <w:right w:w="15" w:type="dxa"/>
                  </w:tcMar>
                  <w:hideMark/>
                </w:tcPr>
                <w:p w14:paraId="53A08E97" w14:textId="77777777" w:rsidR="00E45009" w:rsidRPr="00081C8E" w:rsidRDefault="00E45009" w:rsidP="00E45009">
                  <w:pPr>
                    <w:pStyle w:val="NoSpacing"/>
                    <w:rPr>
                      <w:lang w:val="en-GB"/>
                    </w:rPr>
                  </w:pPr>
                  <w:r w:rsidRPr="00081C8E">
                    <w:rPr>
                      <w:lang w:val="en-GB"/>
                    </w:rPr>
                    <w:t>0.80</w:t>
                  </w:r>
                </w:p>
              </w:tc>
              <w:tc>
                <w:tcPr>
                  <w:tcW w:w="88" w:type="dxa"/>
                  <w:shd w:val="clear" w:color="000000" w:fill="FFFFFF"/>
                  <w:noWrap/>
                  <w:tcMar>
                    <w:top w:w="15" w:type="dxa"/>
                    <w:left w:w="15" w:type="dxa"/>
                    <w:bottom w:w="0" w:type="dxa"/>
                    <w:right w:w="15" w:type="dxa"/>
                  </w:tcMar>
                  <w:hideMark/>
                </w:tcPr>
                <w:p w14:paraId="518B22A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1BE2F4C" w14:textId="77777777" w:rsidR="00E45009" w:rsidRPr="00081C8E" w:rsidRDefault="00E45009" w:rsidP="00E45009">
                  <w:pPr>
                    <w:pStyle w:val="NoSpacing"/>
                    <w:rPr>
                      <w:lang w:val="en-GB"/>
                    </w:rPr>
                  </w:pPr>
                  <w:r w:rsidRPr="00081C8E">
                    <w:rPr>
                      <w:lang w:val="en-GB"/>
                    </w:rPr>
                    <w:t>4.14</w:t>
                  </w:r>
                </w:p>
              </w:tc>
              <w:tc>
                <w:tcPr>
                  <w:tcW w:w="427" w:type="dxa"/>
                  <w:shd w:val="clear" w:color="000000" w:fill="FFFFFF"/>
                  <w:noWrap/>
                  <w:tcMar>
                    <w:top w:w="15" w:type="dxa"/>
                    <w:left w:w="15" w:type="dxa"/>
                    <w:bottom w:w="0" w:type="dxa"/>
                    <w:right w:w="15" w:type="dxa"/>
                  </w:tcMar>
                  <w:hideMark/>
                </w:tcPr>
                <w:p w14:paraId="58295864" w14:textId="77777777" w:rsidR="00E45009" w:rsidRPr="00081C8E" w:rsidRDefault="00E45009" w:rsidP="00E45009">
                  <w:pPr>
                    <w:pStyle w:val="NoSpacing"/>
                    <w:rPr>
                      <w:lang w:val="en-GB"/>
                    </w:rPr>
                  </w:pPr>
                  <w:r w:rsidRPr="00081C8E">
                    <w:rPr>
                      <w:lang w:val="en-GB"/>
                    </w:rPr>
                    <w:t>0.53</w:t>
                  </w:r>
                </w:p>
              </w:tc>
              <w:tc>
                <w:tcPr>
                  <w:tcW w:w="78" w:type="dxa"/>
                  <w:shd w:val="clear" w:color="000000" w:fill="FFFFFF"/>
                  <w:noWrap/>
                  <w:tcMar>
                    <w:top w:w="15" w:type="dxa"/>
                    <w:left w:w="15" w:type="dxa"/>
                    <w:bottom w:w="0" w:type="dxa"/>
                    <w:right w:w="15" w:type="dxa"/>
                  </w:tcMar>
                  <w:hideMark/>
                </w:tcPr>
                <w:p w14:paraId="4530CFBE"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C9E7693" w14:textId="77777777" w:rsidR="00E45009" w:rsidRPr="00081C8E" w:rsidRDefault="00E45009" w:rsidP="00E45009">
                  <w:pPr>
                    <w:pStyle w:val="NoSpacing"/>
                    <w:rPr>
                      <w:lang w:val="en-GB"/>
                    </w:rPr>
                  </w:pPr>
                  <w:r w:rsidRPr="00081C8E">
                    <w:rPr>
                      <w:lang w:val="en-GB"/>
                    </w:rPr>
                    <w:t>1.79</w:t>
                  </w:r>
                </w:p>
              </w:tc>
            </w:tr>
            <w:tr w:rsidR="00E45009" w:rsidRPr="00081C8E" w14:paraId="70D9C14C" w14:textId="77777777" w:rsidTr="00DB32C0">
              <w:trPr>
                <w:trHeight w:val="255"/>
              </w:trPr>
              <w:tc>
                <w:tcPr>
                  <w:tcW w:w="185" w:type="dxa"/>
                  <w:shd w:val="clear" w:color="000000" w:fill="FFFFFF"/>
                  <w:noWrap/>
                  <w:tcMar>
                    <w:top w:w="15" w:type="dxa"/>
                    <w:left w:w="15" w:type="dxa"/>
                    <w:bottom w:w="0" w:type="dxa"/>
                    <w:right w:w="15" w:type="dxa"/>
                  </w:tcMar>
                  <w:hideMark/>
                </w:tcPr>
                <w:p w14:paraId="07E66EDA" w14:textId="77777777" w:rsidR="00E45009" w:rsidRPr="00081C8E" w:rsidRDefault="00E45009" w:rsidP="00E45009">
                  <w:pPr>
                    <w:pStyle w:val="NoSpacing"/>
                    <w:rPr>
                      <w:lang w:val="en-GB"/>
                    </w:rPr>
                  </w:pPr>
                  <w:r w:rsidRPr="00081C8E">
                    <w:rPr>
                      <w:lang w:val="en-GB"/>
                    </w:rPr>
                    <w:t>42</w:t>
                  </w:r>
                </w:p>
              </w:tc>
              <w:tc>
                <w:tcPr>
                  <w:tcW w:w="5870" w:type="dxa"/>
                  <w:shd w:val="clear" w:color="000000" w:fill="FFFFFF"/>
                  <w:tcMar>
                    <w:top w:w="15" w:type="dxa"/>
                    <w:left w:w="15" w:type="dxa"/>
                    <w:bottom w:w="0" w:type="dxa"/>
                    <w:right w:w="15" w:type="dxa"/>
                  </w:tcMar>
                  <w:vAlign w:val="center"/>
                  <w:hideMark/>
                </w:tcPr>
                <w:p w14:paraId="2E37574C" w14:textId="77777777" w:rsidR="00E45009" w:rsidRPr="00081C8E" w:rsidRDefault="00E45009" w:rsidP="00E45009">
                  <w:pPr>
                    <w:pStyle w:val="NoSpacing"/>
                    <w:rPr>
                      <w:lang w:val="en-GB"/>
                    </w:rPr>
                  </w:pPr>
                  <w:r w:rsidRPr="00081C8E">
                    <w:rPr>
                      <w:lang w:val="en-GB"/>
                    </w:rPr>
                    <w:t>Lack of guarantee of due process and/or justice re violations nos. 33-41</w:t>
                  </w:r>
                </w:p>
              </w:tc>
              <w:tc>
                <w:tcPr>
                  <w:tcW w:w="95" w:type="dxa"/>
                  <w:shd w:val="clear" w:color="000000" w:fill="FFFFFF"/>
                  <w:tcMar>
                    <w:top w:w="15" w:type="dxa"/>
                    <w:left w:w="15" w:type="dxa"/>
                    <w:bottom w:w="0" w:type="dxa"/>
                    <w:right w:w="15" w:type="dxa"/>
                  </w:tcMar>
                  <w:hideMark/>
                </w:tcPr>
                <w:p w14:paraId="1C1CB7A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4BD7E19"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449B3A0E" w14:textId="77777777" w:rsidR="00E45009" w:rsidRPr="00081C8E" w:rsidRDefault="00E45009" w:rsidP="00E45009">
                  <w:pPr>
                    <w:pStyle w:val="NoSpacing"/>
                    <w:rPr>
                      <w:lang w:val="en-GB"/>
                    </w:rPr>
                  </w:pPr>
                  <w:r w:rsidRPr="00081C8E">
                    <w:rPr>
                      <w:lang w:val="en-GB"/>
                    </w:rPr>
                    <w:t>1.11</w:t>
                  </w:r>
                </w:p>
              </w:tc>
              <w:tc>
                <w:tcPr>
                  <w:tcW w:w="88" w:type="dxa"/>
                  <w:shd w:val="clear" w:color="000000" w:fill="FFFFFF"/>
                  <w:noWrap/>
                  <w:tcMar>
                    <w:top w:w="15" w:type="dxa"/>
                    <w:left w:w="15" w:type="dxa"/>
                    <w:bottom w:w="0" w:type="dxa"/>
                    <w:right w:w="15" w:type="dxa"/>
                  </w:tcMar>
                  <w:hideMark/>
                </w:tcPr>
                <w:p w14:paraId="120F150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7A6CDF6" w14:textId="77777777" w:rsidR="00E45009" w:rsidRPr="00081C8E" w:rsidRDefault="00E45009" w:rsidP="00E45009">
                  <w:pPr>
                    <w:pStyle w:val="NoSpacing"/>
                    <w:rPr>
                      <w:lang w:val="en-GB"/>
                    </w:rPr>
                  </w:pPr>
                  <w:r w:rsidRPr="00081C8E">
                    <w:rPr>
                      <w:lang w:val="en-GB"/>
                    </w:rPr>
                    <w:t>4.07</w:t>
                  </w:r>
                </w:p>
              </w:tc>
              <w:tc>
                <w:tcPr>
                  <w:tcW w:w="427" w:type="dxa"/>
                  <w:shd w:val="clear" w:color="000000" w:fill="FFFFFF"/>
                  <w:noWrap/>
                  <w:tcMar>
                    <w:top w:w="15" w:type="dxa"/>
                    <w:left w:w="15" w:type="dxa"/>
                    <w:bottom w:w="0" w:type="dxa"/>
                    <w:right w:w="15" w:type="dxa"/>
                  </w:tcMar>
                  <w:hideMark/>
                </w:tcPr>
                <w:p w14:paraId="05385274" w14:textId="77777777" w:rsidR="00E45009" w:rsidRPr="00081C8E" w:rsidRDefault="00E45009" w:rsidP="00E45009">
                  <w:pPr>
                    <w:pStyle w:val="NoSpacing"/>
                    <w:rPr>
                      <w:lang w:val="en-GB"/>
                    </w:rPr>
                  </w:pPr>
                  <w:r w:rsidRPr="00081C8E">
                    <w:rPr>
                      <w:lang w:val="en-GB"/>
                    </w:rPr>
                    <w:t>0.62</w:t>
                  </w:r>
                </w:p>
              </w:tc>
              <w:tc>
                <w:tcPr>
                  <w:tcW w:w="78" w:type="dxa"/>
                  <w:shd w:val="clear" w:color="000000" w:fill="FFFFFF"/>
                  <w:noWrap/>
                  <w:tcMar>
                    <w:top w:w="15" w:type="dxa"/>
                    <w:left w:w="15" w:type="dxa"/>
                    <w:bottom w:w="0" w:type="dxa"/>
                    <w:right w:w="15" w:type="dxa"/>
                  </w:tcMar>
                  <w:hideMark/>
                </w:tcPr>
                <w:p w14:paraId="5CBFD7D3"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6C78F85" w14:textId="77777777" w:rsidR="00E45009" w:rsidRPr="00081C8E" w:rsidRDefault="00E45009" w:rsidP="00E45009">
                  <w:pPr>
                    <w:pStyle w:val="NoSpacing"/>
                    <w:rPr>
                      <w:lang w:val="en-GB"/>
                    </w:rPr>
                  </w:pPr>
                  <w:r w:rsidRPr="00081C8E">
                    <w:rPr>
                      <w:lang w:val="en-GB"/>
                    </w:rPr>
                    <w:t>1.77</w:t>
                  </w:r>
                </w:p>
              </w:tc>
            </w:tr>
            <w:tr w:rsidR="00E45009" w:rsidRPr="00081C8E" w14:paraId="105976DF" w14:textId="77777777" w:rsidTr="00DB32C0">
              <w:trPr>
                <w:trHeight w:val="255"/>
              </w:trPr>
              <w:tc>
                <w:tcPr>
                  <w:tcW w:w="185" w:type="dxa"/>
                  <w:shd w:val="clear" w:color="000000" w:fill="FFFFFF"/>
                  <w:noWrap/>
                  <w:tcMar>
                    <w:top w:w="15" w:type="dxa"/>
                    <w:left w:w="15" w:type="dxa"/>
                    <w:bottom w:w="0" w:type="dxa"/>
                    <w:right w:w="15" w:type="dxa"/>
                  </w:tcMar>
                  <w:hideMark/>
                </w:tcPr>
                <w:p w14:paraId="6CD97499" w14:textId="77777777" w:rsidR="00E45009" w:rsidRPr="00081C8E" w:rsidRDefault="00E45009" w:rsidP="00E45009">
                  <w:pPr>
                    <w:pStyle w:val="NoSpacing"/>
                    <w:rPr>
                      <w:lang w:val="en-GB"/>
                    </w:rPr>
                  </w:pPr>
                  <w:r w:rsidRPr="00081C8E">
                    <w:rPr>
                      <w:lang w:val="en-GB"/>
                    </w:rPr>
                    <w:t> </w:t>
                  </w:r>
                </w:p>
              </w:tc>
              <w:tc>
                <w:tcPr>
                  <w:tcW w:w="5870" w:type="dxa"/>
                  <w:shd w:val="clear" w:color="000000" w:fill="FFFFFF"/>
                  <w:tcMar>
                    <w:top w:w="15" w:type="dxa"/>
                    <w:left w:w="15" w:type="dxa"/>
                    <w:bottom w:w="0" w:type="dxa"/>
                    <w:right w:w="15" w:type="dxa"/>
                  </w:tcMar>
                  <w:vAlign w:val="center"/>
                  <w:hideMark/>
                </w:tcPr>
                <w:p w14:paraId="6D5AF250" w14:textId="77777777" w:rsidR="00E45009" w:rsidRPr="00081C8E" w:rsidRDefault="00E45009" w:rsidP="00E45009">
                  <w:pPr>
                    <w:pStyle w:val="NoSpacing"/>
                    <w:rPr>
                      <w:b/>
                      <w:bCs/>
                      <w:lang w:val="en-GB"/>
                    </w:rPr>
                  </w:pPr>
                  <w:r w:rsidRPr="00081C8E">
                    <w:rPr>
                      <w:b/>
                      <w:bCs/>
                      <w:lang w:val="en-GB"/>
                    </w:rPr>
                    <w:t>IIIa. Other activities of employers' organizations in law</w:t>
                  </w:r>
                </w:p>
              </w:tc>
              <w:tc>
                <w:tcPr>
                  <w:tcW w:w="95" w:type="dxa"/>
                  <w:shd w:val="clear" w:color="000000" w:fill="FFFFFF"/>
                  <w:tcMar>
                    <w:top w:w="15" w:type="dxa"/>
                    <w:left w:w="15" w:type="dxa"/>
                    <w:bottom w:w="0" w:type="dxa"/>
                    <w:right w:w="15" w:type="dxa"/>
                  </w:tcMar>
                  <w:hideMark/>
                </w:tcPr>
                <w:p w14:paraId="550ED415"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34EB0E8F"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389A5120"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132715E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D806AF4"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2293EE48"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2028F94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EEEF5D3" w14:textId="77777777" w:rsidR="00E45009" w:rsidRPr="00081C8E" w:rsidRDefault="00E45009" w:rsidP="00E45009">
                  <w:pPr>
                    <w:pStyle w:val="NoSpacing"/>
                    <w:rPr>
                      <w:lang w:val="en-GB"/>
                    </w:rPr>
                  </w:pPr>
                  <w:r w:rsidRPr="00081C8E">
                    <w:rPr>
                      <w:lang w:val="en-GB"/>
                    </w:rPr>
                    <w:t> </w:t>
                  </w:r>
                </w:p>
              </w:tc>
            </w:tr>
            <w:tr w:rsidR="00E45009" w:rsidRPr="00081C8E" w14:paraId="6426FE75" w14:textId="77777777" w:rsidTr="00DB32C0">
              <w:trPr>
                <w:trHeight w:val="255"/>
              </w:trPr>
              <w:tc>
                <w:tcPr>
                  <w:tcW w:w="185" w:type="dxa"/>
                  <w:shd w:val="clear" w:color="000000" w:fill="FFFFFF"/>
                  <w:noWrap/>
                  <w:tcMar>
                    <w:top w:w="15" w:type="dxa"/>
                    <w:left w:w="15" w:type="dxa"/>
                    <w:bottom w:w="0" w:type="dxa"/>
                    <w:right w:w="15" w:type="dxa"/>
                  </w:tcMar>
                  <w:hideMark/>
                </w:tcPr>
                <w:p w14:paraId="53320CF9" w14:textId="77777777" w:rsidR="00E45009" w:rsidRPr="00081C8E" w:rsidRDefault="00E45009" w:rsidP="00E45009">
                  <w:pPr>
                    <w:pStyle w:val="NoSpacing"/>
                    <w:rPr>
                      <w:lang w:val="en-GB"/>
                    </w:rPr>
                  </w:pPr>
                  <w:r w:rsidRPr="00081C8E">
                    <w:rPr>
                      <w:lang w:val="en-GB"/>
                    </w:rPr>
                    <w:t>43</w:t>
                  </w:r>
                </w:p>
              </w:tc>
              <w:tc>
                <w:tcPr>
                  <w:tcW w:w="5870" w:type="dxa"/>
                  <w:shd w:val="clear" w:color="000000" w:fill="FFFFFF"/>
                  <w:tcMar>
                    <w:top w:w="15" w:type="dxa"/>
                    <w:left w:w="15" w:type="dxa"/>
                    <w:bottom w:w="0" w:type="dxa"/>
                    <w:right w:w="15" w:type="dxa"/>
                  </w:tcMar>
                  <w:vAlign w:val="center"/>
                  <w:hideMark/>
                </w:tcPr>
                <w:p w14:paraId="42287CA1" w14:textId="77777777" w:rsidR="00E45009" w:rsidRPr="00081C8E" w:rsidRDefault="00E45009" w:rsidP="00E45009">
                  <w:pPr>
                    <w:pStyle w:val="NoSpacing"/>
                    <w:rPr>
                      <w:lang w:val="en-GB"/>
                    </w:rPr>
                  </w:pPr>
                  <w:r w:rsidRPr="00081C8E">
                    <w:rPr>
                      <w:lang w:val="en-GB"/>
                    </w:rPr>
                    <w:t>Infringements of the right to freely draw up constitutions and internal rules and administration</w:t>
                  </w:r>
                </w:p>
              </w:tc>
              <w:tc>
                <w:tcPr>
                  <w:tcW w:w="95" w:type="dxa"/>
                  <w:shd w:val="clear" w:color="000000" w:fill="FFFFFF"/>
                  <w:tcMar>
                    <w:top w:w="15" w:type="dxa"/>
                    <w:left w:w="15" w:type="dxa"/>
                    <w:bottom w:w="0" w:type="dxa"/>
                    <w:right w:w="15" w:type="dxa"/>
                  </w:tcMar>
                  <w:hideMark/>
                </w:tcPr>
                <w:p w14:paraId="264213F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004BEA6" w14:textId="77777777" w:rsidR="00E45009" w:rsidRPr="00081C8E" w:rsidRDefault="00E45009" w:rsidP="00E45009">
                  <w:pPr>
                    <w:pStyle w:val="NoSpacing"/>
                    <w:rPr>
                      <w:lang w:val="en-GB"/>
                    </w:rPr>
                  </w:pPr>
                  <w:r w:rsidRPr="00081C8E">
                    <w:rPr>
                      <w:lang w:val="en-GB"/>
                    </w:rPr>
                    <w:t>3.54</w:t>
                  </w:r>
                </w:p>
              </w:tc>
              <w:tc>
                <w:tcPr>
                  <w:tcW w:w="427" w:type="dxa"/>
                  <w:shd w:val="clear" w:color="000000" w:fill="FFFFFF"/>
                  <w:noWrap/>
                  <w:tcMar>
                    <w:top w:w="15" w:type="dxa"/>
                    <w:left w:w="15" w:type="dxa"/>
                    <w:bottom w:w="0" w:type="dxa"/>
                    <w:right w:w="15" w:type="dxa"/>
                  </w:tcMar>
                  <w:hideMark/>
                </w:tcPr>
                <w:p w14:paraId="6112D0ED" w14:textId="77777777" w:rsidR="00E45009" w:rsidRPr="00081C8E" w:rsidRDefault="00E45009" w:rsidP="00E45009">
                  <w:pPr>
                    <w:pStyle w:val="NoSpacing"/>
                    <w:rPr>
                      <w:lang w:val="en-GB"/>
                    </w:rPr>
                  </w:pPr>
                  <w:r w:rsidRPr="00081C8E">
                    <w:rPr>
                      <w:lang w:val="en-GB"/>
                    </w:rPr>
                    <w:t>0.85</w:t>
                  </w:r>
                </w:p>
              </w:tc>
              <w:tc>
                <w:tcPr>
                  <w:tcW w:w="88" w:type="dxa"/>
                  <w:shd w:val="clear" w:color="000000" w:fill="FFFFFF"/>
                  <w:noWrap/>
                  <w:tcMar>
                    <w:top w:w="15" w:type="dxa"/>
                    <w:left w:w="15" w:type="dxa"/>
                    <w:bottom w:w="0" w:type="dxa"/>
                    <w:right w:w="15" w:type="dxa"/>
                  </w:tcMar>
                  <w:hideMark/>
                </w:tcPr>
                <w:p w14:paraId="29E6002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7A0626E" w14:textId="77777777" w:rsidR="00E45009" w:rsidRPr="00081C8E" w:rsidRDefault="00E45009" w:rsidP="00E45009">
                  <w:pPr>
                    <w:pStyle w:val="NoSpacing"/>
                    <w:rPr>
                      <w:lang w:val="en-GB"/>
                    </w:rPr>
                  </w:pPr>
                  <w:r w:rsidRPr="00081C8E">
                    <w:rPr>
                      <w:lang w:val="en-GB"/>
                    </w:rPr>
                    <w:t>3.50</w:t>
                  </w:r>
                </w:p>
              </w:tc>
              <w:tc>
                <w:tcPr>
                  <w:tcW w:w="427" w:type="dxa"/>
                  <w:shd w:val="clear" w:color="000000" w:fill="FFFFFF"/>
                  <w:noWrap/>
                  <w:tcMar>
                    <w:top w:w="15" w:type="dxa"/>
                    <w:left w:w="15" w:type="dxa"/>
                    <w:bottom w:w="0" w:type="dxa"/>
                    <w:right w:w="15" w:type="dxa"/>
                  </w:tcMar>
                  <w:hideMark/>
                </w:tcPr>
                <w:p w14:paraId="5EED11BE" w14:textId="77777777" w:rsidR="00E45009" w:rsidRPr="00081C8E" w:rsidRDefault="00E45009" w:rsidP="00E45009">
                  <w:pPr>
                    <w:pStyle w:val="NoSpacing"/>
                    <w:rPr>
                      <w:lang w:val="en-GB"/>
                    </w:rPr>
                  </w:pPr>
                  <w:r w:rsidRPr="00081C8E">
                    <w:rPr>
                      <w:lang w:val="en-GB"/>
                    </w:rPr>
                    <w:t>0.76</w:t>
                  </w:r>
                </w:p>
              </w:tc>
              <w:tc>
                <w:tcPr>
                  <w:tcW w:w="78" w:type="dxa"/>
                  <w:shd w:val="clear" w:color="000000" w:fill="FFFFFF"/>
                  <w:noWrap/>
                  <w:tcMar>
                    <w:top w:w="15" w:type="dxa"/>
                    <w:left w:w="15" w:type="dxa"/>
                    <w:bottom w:w="0" w:type="dxa"/>
                    <w:right w:w="15" w:type="dxa"/>
                  </w:tcMar>
                  <w:hideMark/>
                </w:tcPr>
                <w:p w14:paraId="47CE828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8738E4D" w14:textId="77777777" w:rsidR="00E45009" w:rsidRPr="00081C8E" w:rsidRDefault="00E45009" w:rsidP="00E45009">
                  <w:pPr>
                    <w:pStyle w:val="NoSpacing"/>
                    <w:rPr>
                      <w:lang w:val="en-GB"/>
                    </w:rPr>
                  </w:pPr>
                  <w:r w:rsidRPr="00081C8E">
                    <w:rPr>
                      <w:lang w:val="en-GB"/>
                    </w:rPr>
                    <w:t>1.63</w:t>
                  </w:r>
                </w:p>
              </w:tc>
            </w:tr>
            <w:tr w:rsidR="00E45009" w:rsidRPr="00081C8E" w14:paraId="73329A61" w14:textId="77777777" w:rsidTr="00DB32C0">
              <w:trPr>
                <w:trHeight w:val="255"/>
              </w:trPr>
              <w:tc>
                <w:tcPr>
                  <w:tcW w:w="185" w:type="dxa"/>
                  <w:shd w:val="clear" w:color="000000" w:fill="FFFFFF"/>
                  <w:noWrap/>
                  <w:tcMar>
                    <w:top w:w="15" w:type="dxa"/>
                    <w:left w:w="15" w:type="dxa"/>
                    <w:bottom w:w="0" w:type="dxa"/>
                    <w:right w:w="15" w:type="dxa"/>
                  </w:tcMar>
                  <w:hideMark/>
                </w:tcPr>
                <w:p w14:paraId="46FCAA37" w14:textId="77777777" w:rsidR="00E45009" w:rsidRPr="00081C8E" w:rsidRDefault="00E45009" w:rsidP="00E45009">
                  <w:pPr>
                    <w:pStyle w:val="NoSpacing"/>
                    <w:rPr>
                      <w:lang w:val="en-GB"/>
                    </w:rPr>
                  </w:pPr>
                  <w:r w:rsidRPr="00081C8E">
                    <w:rPr>
                      <w:lang w:val="en-GB"/>
                    </w:rPr>
                    <w:t>44</w:t>
                  </w:r>
                </w:p>
              </w:tc>
              <w:tc>
                <w:tcPr>
                  <w:tcW w:w="5870" w:type="dxa"/>
                  <w:shd w:val="clear" w:color="000000" w:fill="FFFFFF"/>
                  <w:tcMar>
                    <w:top w:w="15" w:type="dxa"/>
                    <w:left w:w="15" w:type="dxa"/>
                    <w:bottom w:w="0" w:type="dxa"/>
                    <w:right w:w="15" w:type="dxa"/>
                  </w:tcMar>
                  <w:vAlign w:val="center"/>
                  <w:hideMark/>
                </w:tcPr>
                <w:p w14:paraId="661AE668" w14:textId="77777777" w:rsidR="00E45009" w:rsidRPr="00081C8E" w:rsidRDefault="00E45009" w:rsidP="00E45009">
                  <w:pPr>
                    <w:pStyle w:val="NoSpacing"/>
                    <w:rPr>
                      <w:lang w:val="en-GB"/>
                    </w:rPr>
                  </w:pPr>
                  <w:r w:rsidRPr="00081C8E">
                    <w:rPr>
                      <w:lang w:val="en-GB"/>
                    </w:rPr>
                    <w:t>Infringements of the right to freely elect representatives</w:t>
                  </w:r>
                </w:p>
              </w:tc>
              <w:tc>
                <w:tcPr>
                  <w:tcW w:w="95" w:type="dxa"/>
                  <w:shd w:val="clear" w:color="000000" w:fill="FFFFFF"/>
                  <w:tcMar>
                    <w:top w:w="15" w:type="dxa"/>
                    <w:left w:w="15" w:type="dxa"/>
                    <w:bottom w:w="0" w:type="dxa"/>
                    <w:right w:w="15" w:type="dxa"/>
                  </w:tcMar>
                  <w:hideMark/>
                </w:tcPr>
                <w:p w14:paraId="3106093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F9D1A63"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590A2EC4" w14:textId="77777777" w:rsidR="00E45009" w:rsidRPr="00081C8E" w:rsidRDefault="00E45009" w:rsidP="00E45009">
                  <w:pPr>
                    <w:pStyle w:val="NoSpacing"/>
                    <w:rPr>
                      <w:lang w:val="en-GB"/>
                    </w:rPr>
                  </w:pPr>
                  <w:r w:rsidRPr="00081C8E">
                    <w:rPr>
                      <w:lang w:val="en-GB"/>
                    </w:rPr>
                    <w:t>0.96</w:t>
                  </w:r>
                </w:p>
              </w:tc>
              <w:tc>
                <w:tcPr>
                  <w:tcW w:w="88" w:type="dxa"/>
                  <w:shd w:val="clear" w:color="000000" w:fill="FFFFFF"/>
                  <w:noWrap/>
                  <w:tcMar>
                    <w:top w:w="15" w:type="dxa"/>
                    <w:left w:w="15" w:type="dxa"/>
                    <w:bottom w:w="0" w:type="dxa"/>
                    <w:right w:w="15" w:type="dxa"/>
                  </w:tcMar>
                  <w:hideMark/>
                </w:tcPr>
                <w:p w14:paraId="76B0F72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E05BCB3" w14:textId="77777777" w:rsidR="00E45009" w:rsidRPr="00081C8E" w:rsidRDefault="00E45009" w:rsidP="00E45009">
                  <w:pPr>
                    <w:pStyle w:val="NoSpacing"/>
                    <w:rPr>
                      <w:lang w:val="en-GB"/>
                    </w:rPr>
                  </w:pPr>
                  <w:r w:rsidRPr="00081C8E">
                    <w:rPr>
                      <w:lang w:val="en-GB"/>
                    </w:rPr>
                    <w:t>4.21</w:t>
                  </w:r>
                </w:p>
              </w:tc>
              <w:tc>
                <w:tcPr>
                  <w:tcW w:w="427" w:type="dxa"/>
                  <w:shd w:val="clear" w:color="000000" w:fill="FFFFFF"/>
                  <w:noWrap/>
                  <w:tcMar>
                    <w:top w:w="15" w:type="dxa"/>
                    <w:left w:w="15" w:type="dxa"/>
                    <w:bottom w:w="0" w:type="dxa"/>
                    <w:right w:w="15" w:type="dxa"/>
                  </w:tcMar>
                  <w:hideMark/>
                </w:tcPr>
                <w:p w14:paraId="3D2507DA" w14:textId="77777777" w:rsidR="00E45009" w:rsidRPr="00081C8E" w:rsidRDefault="00E45009" w:rsidP="00E45009">
                  <w:pPr>
                    <w:pStyle w:val="NoSpacing"/>
                    <w:rPr>
                      <w:lang w:val="en-GB"/>
                    </w:rPr>
                  </w:pPr>
                  <w:r w:rsidRPr="00081C8E">
                    <w:rPr>
                      <w:lang w:val="en-GB"/>
                    </w:rPr>
                    <w:t>0.80</w:t>
                  </w:r>
                </w:p>
              </w:tc>
              <w:tc>
                <w:tcPr>
                  <w:tcW w:w="78" w:type="dxa"/>
                  <w:shd w:val="clear" w:color="000000" w:fill="FFFFFF"/>
                  <w:noWrap/>
                  <w:tcMar>
                    <w:top w:w="15" w:type="dxa"/>
                    <w:left w:w="15" w:type="dxa"/>
                    <w:bottom w:w="0" w:type="dxa"/>
                    <w:right w:w="15" w:type="dxa"/>
                  </w:tcMar>
                  <w:hideMark/>
                </w:tcPr>
                <w:p w14:paraId="50AB1488"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E3F732E" w14:textId="77777777" w:rsidR="00E45009" w:rsidRPr="00081C8E" w:rsidRDefault="00E45009" w:rsidP="00E45009">
                  <w:pPr>
                    <w:pStyle w:val="NoSpacing"/>
                    <w:rPr>
                      <w:lang w:val="en-GB"/>
                    </w:rPr>
                  </w:pPr>
                  <w:r w:rsidRPr="00081C8E">
                    <w:rPr>
                      <w:lang w:val="en-GB"/>
                    </w:rPr>
                    <w:t>1.80</w:t>
                  </w:r>
                </w:p>
              </w:tc>
            </w:tr>
            <w:tr w:rsidR="00E45009" w:rsidRPr="00081C8E" w14:paraId="385B7BBB" w14:textId="77777777" w:rsidTr="00DB32C0">
              <w:trPr>
                <w:trHeight w:val="255"/>
              </w:trPr>
              <w:tc>
                <w:tcPr>
                  <w:tcW w:w="185" w:type="dxa"/>
                  <w:shd w:val="clear" w:color="000000" w:fill="FFFFFF"/>
                  <w:noWrap/>
                  <w:tcMar>
                    <w:top w:w="15" w:type="dxa"/>
                    <w:left w:w="15" w:type="dxa"/>
                    <w:bottom w:w="0" w:type="dxa"/>
                    <w:right w:w="15" w:type="dxa"/>
                  </w:tcMar>
                  <w:hideMark/>
                </w:tcPr>
                <w:p w14:paraId="77595FF0" w14:textId="77777777" w:rsidR="00E45009" w:rsidRPr="00081C8E" w:rsidRDefault="00E45009" w:rsidP="00E45009">
                  <w:pPr>
                    <w:pStyle w:val="NoSpacing"/>
                    <w:rPr>
                      <w:lang w:val="en-GB"/>
                    </w:rPr>
                  </w:pPr>
                  <w:r w:rsidRPr="00081C8E">
                    <w:rPr>
                      <w:lang w:val="en-GB"/>
                    </w:rPr>
                    <w:t>45</w:t>
                  </w:r>
                </w:p>
              </w:tc>
              <w:tc>
                <w:tcPr>
                  <w:tcW w:w="5870" w:type="dxa"/>
                  <w:shd w:val="clear" w:color="000000" w:fill="FFFFFF"/>
                  <w:tcMar>
                    <w:top w:w="15" w:type="dxa"/>
                    <w:left w:w="15" w:type="dxa"/>
                    <w:bottom w:w="0" w:type="dxa"/>
                    <w:right w:w="15" w:type="dxa"/>
                  </w:tcMar>
                  <w:vAlign w:val="center"/>
                  <w:hideMark/>
                </w:tcPr>
                <w:p w14:paraId="3AC27F30" w14:textId="77777777" w:rsidR="00E45009" w:rsidRPr="00081C8E" w:rsidRDefault="00E45009" w:rsidP="00E45009">
                  <w:pPr>
                    <w:pStyle w:val="NoSpacing"/>
                    <w:rPr>
                      <w:lang w:val="en-GB"/>
                    </w:rPr>
                  </w:pPr>
                  <w:r w:rsidRPr="00081C8E">
                    <w:rPr>
                      <w:lang w:val="en-GB"/>
                    </w:rPr>
                    <w:t>Infringements of the right to freely organize and control financial administration</w:t>
                  </w:r>
                </w:p>
              </w:tc>
              <w:tc>
                <w:tcPr>
                  <w:tcW w:w="95" w:type="dxa"/>
                  <w:shd w:val="clear" w:color="000000" w:fill="FFFFFF"/>
                  <w:tcMar>
                    <w:top w:w="15" w:type="dxa"/>
                    <w:left w:w="15" w:type="dxa"/>
                    <w:bottom w:w="0" w:type="dxa"/>
                    <w:right w:w="15" w:type="dxa"/>
                  </w:tcMar>
                  <w:hideMark/>
                </w:tcPr>
                <w:p w14:paraId="529617C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31BD243" w14:textId="77777777" w:rsidR="00E45009" w:rsidRPr="00081C8E" w:rsidRDefault="00E45009" w:rsidP="00E45009">
                  <w:pPr>
                    <w:pStyle w:val="NoSpacing"/>
                    <w:rPr>
                      <w:lang w:val="en-GB"/>
                    </w:rPr>
                  </w:pPr>
                  <w:r w:rsidRPr="00081C8E">
                    <w:rPr>
                      <w:lang w:val="en-GB"/>
                    </w:rPr>
                    <w:t>3.46</w:t>
                  </w:r>
                </w:p>
              </w:tc>
              <w:tc>
                <w:tcPr>
                  <w:tcW w:w="427" w:type="dxa"/>
                  <w:shd w:val="clear" w:color="000000" w:fill="FFFFFF"/>
                  <w:noWrap/>
                  <w:tcMar>
                    <w:top w:w="15" w:type="dxa"/>
                    <w:left w:w="15" w:type="dxa"/>
                    <w:bottom w:w="0" w:type="dxa"/>
                    <w:right w:w="15" w:type="dxa"/>
                  </w:tcMar>
                  <w:hideMark/>
                </w:tcPr>
                <w:p w14:paraId="3D5E366C" w14:textId="77777777" w:rsidR="00E45009" w:rsidRPr="00081C8E" w:rsidRDefault="00E45009" w:rsidP="00E45009">
                  <w:pPr>
                    <w:pStyle w:val="NoSpacing"/>
                    <w:rPr>
                      <w:lang w:val="en-GB"/>
                    </w:rPr>
                  </w:pPr>
                  <w:r w:rsidRPr="00081C8E">
                    <w:rPr>
                      <w:lang w:val="en-GB"/>
                    </w:rPr>
                    <w:t>0.94</w:t>
                  </w:r>
                </w:p>
              </w:tc>
              <w:tc>
                <w:tcPr>
                  <w:tcW w:w="88" w:type="dxa"/>
                  <w:shd w:val="clear" w:color="000000" w:fill="FFFFFF"/>
                  <w:noWrap/>
                  <w:tcMar>
                    <w:top w:w="15" w:type="dxa"/>
                    <w:left w:w="15" w:type="dxa"/>
                    <w:bottom w:w="0" w:type="dxa"/>
                    <w:right w:w="15" w:type="dxa"/>
                  </w:tcMar>
                  <w:hideMark/>
                </w:tcPr>
                <w:p w14:paraId="625A9E2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97244F7" w14:textId="77777777" w:rsidR="00E45009" w:rsidRPr="00081C8E" w:rsidRDefault="00E45009" w:rsidP="00E45009">
                  <w:pPr>
                    <w:pStyle w:val="NoSpacing"/>
                    <w:rPr>
                      <w:lang w:val="en-GB"/>
                    </w:rPr>
                  </w:pPr>
                  <w:r w:rsidRPr="00081C8E">
                    <w:rPr>
                      <w:lang w:val="en-GB"/>
                    </w:rPr>
                    <w:t>3.36</w:t>
                  </w:r>
                </w:p>
              </w:tc>
              <w:tc>
                <w:tcPr>
                  <w:tcW w:w="427" w:type="dxa"/>
                  <w:shd w:val="clear" w:color="000000" w:fill="FFFFFF"/>
                  <w:noWrap/>
                  <w:tcMar>
                    <w:top w:w="15" w:type="dxa"/>
                    <w:left w:w="15" w:type="dxa"/>
                    <w:bottom w:w="0" w:type="dxa"/>
                    <w:right w:w="15" w:type="dxa"/>
                  </w:tcMar>
                  <w:hideMark/>
                </w:tcPr>
                <w:p w14:paraId="3FCC88CE" w14:textId="77777777" w:rsidR="00E45009" w:rsidRPr="00081C8E" w:rsidRDefault="00E45009" w:rsidP="00E45009">
                  <w:pPr>
                    <w:pStyle w:val="NoSpacing"/>
                    <w:rPr>
                      <w:lang w:val="en-GB"/>
                    </w:rPr>
                  </w:pPr>
                  <w:r w:rsidRPr="00081C8E">
                    <w:rPr>
                      <w:lang w:val="en-GB"/>
                    </w:rPr>
                    <w:t>0.93</w:t>
                  </w:r>
                </w:p>
              </w:tc>
              <w:tc>
                <w:tcPr>
                  <w:tcW w:w="78" w:type="dxa"/>
                  <w:shd w:val="clear" w:color="000000" w:fill="FFFFFF"/>
                  <w:noWrap/>
                  <w:tcMar>
                    <w:top w:w="15" w:type="dxa"/>
                    <w:left w:w="15" w:type="dxa"/>
                    <w:bottom w:w="0" w:type="dxa"/>
                    <w:right w:w="15" w:type="dxa"/>
                  </w:tcMar>
                  <w:hideMark/>
                </w:tcPr>
                <w:p w14:paraId="24A90ED8"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4AB3D4E" w14:textId="77777777" w:rsidR="00E45009" w:rsidRPr="00081C8E" w:rsidRDefault="00E45009" w:rsidP="00E45009">
                  <w:pPr>
                    <w:pStyle w:val="NoSpacing"/>
                    <w:rPr>
                      <w:lang w:val="en-GB"/>
                    </w:rPr>
                  </w:pPr>
                  <w:r w:rsidRPr="00081C8E">
                    <w:rPr>
                      <w:lang w:val="en-GB"/>
                    </w:rPr>
                    <w:t>1.59</w:t>
                  </w:r>
                </w:p>
              </w:tc>
            </w:tr>
            <w:tr w:rsidR="00E45009" w:rsidRPr="00081C8E" w14:paraId="4AA73113" w14:textId="77777777" w:rsidTr="00DB32C0">
              <w:trPr>
                <w:trHeight w:val="255"/>
              </w:trPr>
              <w:tc>
                <w:tcPr>
                  <w:tcW w:w="185" w:type="dxa"/>
                  <w:shd w:val="clear" w:color="000000" w:fill="FFFFFF"/>
                  <w:noWrap/>
                  <w:tcMar>
                    <w:top w:w="15" w:type="dxa"/>
                    <w:left w:w="15" w:type="dxa"/>
                    <w:bottom w:w="0" w:type="dxa"/>
                    <w:right w:w="15" w:type="dxa"/>
                  </w:tcMar>
                  <w:hideMark/>
                </w:tcPr>
                <w:p w14:paraId="28A676B9" w14:textId="77777777" w:rsidR="00E45009" w:rsidRPr="00081C8E" w:rsidRDefault="00E45009" w:rsidP="00E45009">
                  <w:pPr>
                    <w:pStyle w:val="NoSpacing"/>
                    <w:rPr>
                      <w:lang w:val="en-GB"/>
                    </w:rPr>
                  </w:pPr>
                  <w:r w:rsidRPr="00081C8E">
                    <w:rPr>
                      <w:lang w:val="en-GB"/>
                    </w:rPr>
                    <w:t>46</w:t>
                  </w:r>
                </w:p>
              </w:tc>
              <w:tc>
                <w:tcPr>
                  <w:tcW w:w="5870" w:type="dxa"/>
                  <w:shd w:val="clear" w:color="000000" w:fill="FFFFFF"/>
                  <w:tcMar>
                    <w:top w:w="15" w:type="dxa"/>
                    <w:left w:w="15" w:type="dxa"/>
                    <w:bottom w:w="0" w:type="dxa"/>
                    <w:right w:w="15" w:type="dxa"/>
                  </w:tcMar>
                  <w:vAlign w:val="center"/>
                  <w:hideMark/>
                </w:tcPr>
                <w:p w14:paraId="15255D1E" w14:textId="77777777" w:rsidR="00E45009" w:rsidRPr="00081C8E" w:rsidRDefault="00E45009" w:rsidP="00E45009">
                  <w:pPr>
                    <w:pStyle w:val="NoSpacing"/>
                    <w:rPr>
                      <w:lang w:val="en-GB"/>
                    </w:rPr>
                  </w:pPr>
                  <w:r w:rsidRPr="00081C8E">
                    <w:rPr>
                      <w:lang w:val="en-GB"/>
                    </w:rPr>
                    <w:t>Infringements of the right to freely organize activities/programmes</w:t>
                  </w:r>
                </w:p>
              </w:tc>
              <w:tc>
                <w:tcPr>
                  <w:tcW w:w="95" w:type="dxa"/>
                  <w:shd w:val="clear" w:color="000000" w:fill="FFFFFF"/>
                  <w:tcMar>
                    <w:top w:w="15" w:type="dxa"/>
                    <w:left w:w="15" w:type="dxa"/>
                    <w:bottom w:w="0" w:type="dxa"/>
                    <w:right w:w="15" w:type="dxa"/>
                  </w:tcMar>
                  <w:hideMark/>
                </w:tcPr>
                <w:p w14:paraId="55720D6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37A2462" w14:textId="77777777" w:rsidR="00E45009" w:rsidRPr="00081C8E" w:rsidRDefault="00E45009" w:rsidP="00E45009">
                  <w:pPr>
                    <w:pStyle w:val="NoSpacing"/>
                    <w:rPr>
                      <w:lang w:val="en-GB"/>
                    </w:rPr>
                  </w:pPr>
                  <w:r w:rsidRPr="00081C8E">
                    <w:rPr>
                      <w:lang w:val="en-GB"/>
                    </w:rPr>
                    <w:t>3.99</w:t>
                  </w:r>
                </w:p>
              </w:tc>
              <w:tc>
                <w:tcPr>
                  <w:tcW w:w="427" w:type="dxa"/>
                  <w:shd w:val="clear" w:color="000000" w:fill="FFFFFF"/>
                  <w:noWrap/>
                  <w:tcMar>
                    <w:top w:w="15" w:type="dxa"/>
                    <w:left w:w="15" w:type="dxa"/>
                    <w:bottom w:w="0" w:type="dxa"/>
                    <w:right w:w="15" w:type="dxa"/>
                  </w:tcMar>
                  <w:hideMark/>
                </w:tcPr>
                <w:p w14:paraId="4FD27AE6"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58C1A55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7F0E801" w14:textId="77777777" w:rsidR="00E45009" w:rsidRPr="00081C8E" w:rsidRDefault="00E45009" w:rsidP="00E45009">
                  <w:pPr>
                    <w:pStyle w:val="NoSpacing"/>
                    <w:rPr>
                      <w:lang w:val="en-GB"/>
                    </w:rPr>
                  </w:pPr>
                  <w:r w:rsidRPr="00081C8E">
                    <w:rPr>
                      <w:lang w:val="en-GB"/>
                    </w:rPr>
                    <w:t>4.21</w:t>
                  </w:r>
                </w:p>
              </w:tc>
              <w:tc>
                <w:tcPr>
                  <w:tcW w:w="427" w:type="dxa"/>
                  <w:shd w:val="clear" w:color="000000" w:fill="FFFFFF"/>
                  <w:noWrap/>
                  <w:tcMar>
                    <w:top w:w="15" w:type="dxa"/>
                    <w:left w:w="15" w:type="dxa"/>
                    <w:bottom w:w="0" w:type="dxa"/>
                    <w:right w:w="15" w:type="dxa"/>
                  </w:tcMar>
                  <w:hideMark/>
                </w:tcPr>
                <w:p w14:paraId="10012956" w14:textId="77777777" w:rsidR="00E45009" w:rsidRPr="00081C8E" w:rsidRDefault="00E45009" w:rsidP="00E45009">
                  <w:pPr>
                    <w:pStyle w:val="NoSpacing"/>
                    <w:rPr>
                      <w:lang w:val="en-GB"/>
                    </w:rPr>
                  </w:pPr>
                  <w:r w:rsidRPr="00081C8E">
                    <w:rPr>
                      <w:lang w:val="en-GB"/>
                    </w:rPr>
                    <w:t>0.43</w:t>
                  </w:r>
                </w:p>
              </w:tc>
              <w:tc>
                <w:tcPr>
                  <w:tcW w:w="78" w:type="dxa"/>
                  <w:shd w:val="clear" w:color="000000" w:fill="FFFFFF"/>
                  <w:noWrap/>
                  <w:tcMar>
                    <w:top w:w="15" w:type="dxa"/>
                    <w:left w:w="15" w:type="dxa"/>
                    <w:bottom w:w="0" w:type="dxa"/>
                    <w:right w:w="15" w:type="dxa"/>
                  </w:tcMar>
                  <w:hideMark/>
                </w:tcPr>
                <w:p w14:paraId="179B79D9"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29E36C0" w14:textId="77777777" w:rsidR="00E45009" w:rsidRPr="00081C8E" w:rsidRDefault="00E45009" w:rsidP="00E45009">
                  <w:pPr>
                    <w:pStyle w:val="NoSpacing"/>
                    <w:rPr>
                      <w:lang w:val="en-GB"/>
                    </w:rPr>
                  </w:pPr>
                  <w:r w:rsidRPr="00081C8E">
                    <w:rPr>
                      <w:lang w:val="en-GB"/>
                    </w:rPr>
                    <w:t>1.80</w:t>
                  </w:r>
                </w:p>
              </w:tc>
            </w:tr>
            <w:tr w:rsidR="00E45009" w:rsidRPr="00081C8E" w14:paraId="27D3B358" w14:textId="77777777" w:rsidTr="00DB32C0">
              <w:trPr>
                <w:trHeight w:val="255"/>
              </w:trPr>
              <w:tc>
                <w:tcPr>
                  <w:tcW w:w="185" w:type="dxa"/>
                  <w:shd w:val="clear" w:color="000000" w:fill="FFFFFF"/>
                  <w:noWrap/>
                  <w:tcMar>
                    <w:top w:w="15" w:type="dxa"/>
                    <w:left w:w="15" w:type="dxa"/>
                    <w:bottom w:w="0" w:type="dxa"/>
                    <w:right w:w="15" w:type="dxa"/>
                  </w:tcMar>
                  <w:hideMark/>
                </w:tcPr>
                <w:p w14:paraId="0B129121" w14:textId="77777777" w:rsidR="00E45009" w:rsidRPr="00081C8E" w:rsidRDefault="00E45009" w:rsidP="00E45009">
                  <w:pPr>
                    <w:pStyle w:val="NoSpacing"/>
                    <w:rPr>
                      <w:lang w:val="en-GB"/>
                    </w:rPr>
                  </w:pPr>
                  <w:r w:rsidRPr="00081C8E">
                    <w:rPr>
                      <w:lang w:val="en-GB"/>
                    </w:rPr>
                    <w:t>47</w:t>
                  </w:r>
                </w:p>
              </w:tc>
              <w:tc>
                <w:tcPr>
                  <w:tcW w:w="5870" w:type="dxa"/>
                  <w:shd w:val="clear" w:color="000000" w:fill="FFFFFF"/>
                  <w:tcMar>
                    <w:top w:w="15" w:type="dxa"/>
                    <w:left w:w="15" w:type="dxa"/>
                    <w:bottom w:w="0" w:type="dxa"/>
                    <w:right w:w="15" w:type="dxa"/>
                  </w:tcMar>
                  <w:vAlign w:val="center"/>
                  <w:hideMark/>
                </w:tcPr>
                <w:p w14:paraId="62564FB1" w14:textId="77777777" w:rsidR="00E45009" w:rsidRPr="00081C8E" w:rsidRDefault="00E45009" w:rsidP="00E45009">
                  <w:pPr>
                    <w:pStyle w:val="NoSpacing"/>
                    <w:rPr>
                      <w:lang w:val="en-GB"/>
                    </w:rPr>
                  </w:pPr>
                  <w:r w:rsidRPr="00081C8E">
                    <w:rPr>
                      <w:lang w:val="en-GB"/>
                    </w:rPr>
                    <w:t>Prohibition of all political activities</w:t>
                  </w:r>
                </w:p>
              </w:tc>
              <w:tc>
                <w:tcPr>
                  <w:tcW w:w="95" w:type="dxa"/>
                  <w:shd w:val="clear" w:color="000000" w:fill="FFFFFF"/>
                  <w:tcMar>
                    <w:top w:w="15" w:type="dxa"/>
                    <w:left w:w="15" w:type="dxa"/>
                    <w:bottom w:w="0" w:type="dxa"/>
                    <w:right w:w="15" w:type="dxa"/>
                  </w:tcMar>
                  <w:hideMark/>
                </w:tcPr>
                <w:p w14:paraId="243C15B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018D95B" w14:textId="77777777" w:rsidR="00E45009" w:rsidRPr="00081C8E" w:rsidRDefault="00E45009" w:rsidP="00E45009">
                  <w:pPr>
                    <w:pStyle w:val="NoSpacing"/>
                    <w:rPr>
                      <w:lang w:val="en-GB"/>
                    </w:rPr>
                  </w:pPr>
                  <w:r w:rsidRPr="00081C8E">
                    <w:rPr>
                      <w:lang w:val="en-GB"/>
                    </w:rPr>
                    <w:t>3.62</w:t>
                  </w:r>
                </w:p>
              </w:tc>
              <w:tc>
                <w:tcPr>
                  <w:tcW w:w="427" w:type="dxa"/>
                  <w:shd w:val="clear" w:color="000000" w:fill="FFFFFF"/>
                  <w:noWrap/>
                  <w:tcMar>
                    <w:top w:w="15" w:type="dxa"/>
                    <w:left w:w="15" w:type="dxa"/>
                    <w:bottom w:w="0" w:type="dxa"/>
                    <w:right w:w="15" w:type="dxa"/>
                  </w:tcMar>
                  <w:hideMark/>
                </w:tcPr>
                <w:p w14:paraId="4457386C" w14:textId="77777777" w:rsidR="00E45009" w:rsidRPr="00081C8E" w:rsidRDefault="00E45009" w:rsidP="00E45009">
                  <w:pPr>
                    <w:pStyle w:val="NoSpacing"/>
                    <w:rPr>
                      <w:lang w:val="en-GB"/>
                    </w:rPr>
                  </w:pPr>
                  <w:r w:rsidRPr="00081C8E">
                    <w:rPr>
                      <w:lang w:val="en-GB"/>
                    </w:rPr>
                    <w:t>1.34</w:t>
                  </w:r>
                </w:p>
              </w:tc>
              <w:tc>
                <w:tcPr>
                  <w:tcW w:w="88" w:type="dxa"/>
                  <w:shd w:val="clear" w:color="000000" w:fill="FFFFFF"/>
                  <w:noWrap/>
                  <w:tcMar>
                    <w:top w:w="15" w:type="dxa"/>
                    <w:left w:w="15" w:type="dxa"/>
                    <w:bottom w:w="0" w:type="dxa"/>
                    <w:right w:w="15" w:type="dxa"/>
                  </w:tcMar>
                  <w:hideMark/>
                </w:tcPr>
                <w:p w14:paraId="611C623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8F005A3"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4B150027" w14:textId="77777777" w:rsidR="00E45009" w:rsidRPr="00081C8E" w:rsidRDefault="00E45009" w:rsidP="00E45009">
                  <w:pPr>
                    <w:pStyle w:val="NoSpacing"/>
                    <w:rPr>
                      <w:lang w:val="en-GB"/>
                    </w:rPr>
                  </w:pPr>
                  <w:r w:rsidRPr="00081C8E">
                    <w:rPr>
                      <w:lang w:val="en-GB"/>
                    </w:rPr>
                    <w:t>0.92</w:t>
                  </w:r>
                </w:p>
              </w:tc>
              <w:tc>
                <w:tcPr>
                  <w:tcW w:w="78" w:type="dxa"/>
                  <w:shd w:val="clear" w:color="000000" w:fill="FFFFFF"/>
                  <w:noWrap/>
                  <w:tcMar>
                    <w:top w:w="15" w:type="dxa"/>
                    <w:left w:w="15" w:type="dxa"/>
                    <w:bottom w:w="0" w:type="dxa"/>
                    <w:right w:w="15" w:type="dxa"/>
                  </w:tcMar>
                  <w:hideMark/>
                </w:tcPr>
                <w:p w14:paraId="7FB3AC02"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2ADAD2BF" w14:textId="77777777" w:rsidR="00E45009" w:rsidRPr="00081C8E" w:rsidRDefault="00E45009" w:rsidP="00E45009">
                  <w:pPr>
                    <w:pStyle w:val="NoSpacing"/>
                    <w:rPr>
                      <w:lang w:val="en-GB"/>
                    </w:rPr>
                  </w:pPr>
                  <w:r w:rsidRPr="00081C8E">
                    <w:rPr>
                      <w:lang w:val="en-GB"/>
                    </w:rPr>
                    <w:t>1.73</w:t>
                  </w:r>
                </w:p>
              </w:tc>
            </w:tr>
            <w:tr w:rsidR="00E45009" w:rsidRPr="00081C8E" w14:paraId="47944745" w14:textId="77777777" w:rsidTr="00DB32C0">
              <w:trPr>
                <w:trHeight w:val="255"/>
              </w:trPr>
              <w:tc>
                <w:tcPr>
                  <w:tcW w:w="185" w:type="dxa"/>
                  <w:shd w:val="clear" w:color="000000" w:fill="FFFFFF"/>
                  <w:noWrap/>
                  <w:tcMar>
                    <w:top w:w="15" w:type="dxa"/>
                    <w:left w:w="15" w:type="dxa"/>
                    <w:bottom w:w="0" w:type="dxa"/>
                    <w:right w:w="15" w:type="dxa"/>
                  </w:tcMar>
                  <w:hideMark/>
                </w:tcPr>
                <w:p w14:paraId="7F93F528" w14:textId="77777777" w:rsidR="00E45009" w:rsidRPr="00081C8E" w:rsidRDefault="00E45009" w:rsidP="00E45009">
                  <w:pPr>
                    <w:pStyle w:val="NoSpacing"/>
                    <w:rPr>
                      <w:lang w:val="en-GB"/>
                    </w:rPr>
                  </w:pPr>
                  <w:r w:rsidRPr="00081C8E">
                    <w:rPr>
                      <w:lang w:val="en-GB"/>
                    </w:rPr>
                    <w:lastRenderedPageBreak/>
                    <w:t>48</w:t>
                  </w:r>
                </w:p>
              </w:tc>
              <w:tc>
                <w:tcPr>
                  <w:tcW w:w="5870" w:type="dxa"/>
                  <w:shd w:val="clear" w:color="000000" w:fill="FFFFFF"/>
                  <w:tcMar>
                    <w:top w:w="15" w:type="dxa"/>
                    <w:left w:w="15" w:type="dxa"/>
                    <w:bottom w:w="0" w:type="dxa"/>
                    <w:right w:w="15" w:type="dxa"/>
                  </w:tcMar>
                  <w:vAlign w:val="center"/>
                  <w:hideMark/>
                </w:tcPr>
                <w:p w14:paraId="6A30F697" w14:textId="77777777" w:rsidR="00E45009" w:rsidRPr="00081C8E" w:rsidRDefault="00E45009" w:rsidP="00E45009">
                  <w:pPr>
                    <w:pStyle w:val="NoSpacing"/>
                    <w:rPr>
                      <w:lang w:val="en-GB"/>
                    </w:rPr>
                  </w:pPr>
                  <w:r w:rsidRPr="00081C8E">
                    <w:rPr>
                      <w:lang w:val="en-GB"/>
                    </w:rPr>
                    <w:t>Prohibition of employers' access to their premises during industrial action</w:t>
                  </w:r>
                </w:p>
              </w:tc>
              <w:tc>
                <w:tcPr>
                  <w:tcW w:w="95" w:type="dxa"/>
                  <w:shd w:val="clear" w:color="000000" w:fill="FFFFFF"/>
                  <w:tcMar>
                    <w:top w:w="15" w:type="dxa"/>
                    <w:left w:w="15" w:type="dxa"/>
                    <w:bottom w:w="0" w:type="dxa"/>
                    <w:right w:w="15" w:type="dxa"/>
                  </w:tcMar>
                  <w:hideMark/>
                </w:tcPr>
                <w:p w14:paraId="7370F0D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ED38CB1" w14:textId="77777777" w:rsidR="00E45009" w:rsidRPr="00081C8E" w:rsidRDefault="00E45009" w:rsidP="00E45009">
                  <w:pPr>
                    <w:pStyle w:val="NoSpacing"/>
                    <w:rPr>
                      <w:lang w:val="en-GB"/>
                    </w:rPr>
                  </w:pPr>
                  <w:r w:rsidRPr="00081C8E">
                    <w:rPr>
                      <w:lang w:val="en-GB"/>
                    </w:rPr>
                    <w:t>3.31</w:t>
                  </w:r>
                </w:p>
              </w:tc>
              <w:tc>
                <w:tcPr>
                  <w:tcW w:w="427" w:type="dxa"/>
                  <w:shd w:val="clear" w:color="000000" w:fill="FFFFFF"/>
                  <w:noWrap/>
                  <w:tcMar>
                    <w:top w:w="15" w:type="dxa"/>
                    <w:left w:w="15" w:type="dxa"/>
                    <w:bottom w:w="0" w:type="dxa"/>
                    <w:right w:w="15" w:type="dxa"/>
                  </w:tcMar>
                  <w:hideMark/>
                </w:tcPr>
                <w:p w14:paraId="24C94B6D" w14:textId="77777777" w:rsidR="00E45009" w:rsidRPr="00081C8E" w:rsidRDefault="00E45009" w:rsidP="00E45009">
                  <w:pPr>
                    <w:pStyle w:val="NoSpacing"/>
                    <w:rPr>
                      <w:lang w:val="en-GB"/>
                    </w:rPr>
                  </w:pPr>
                  <w:r w:rsidRPr="00081C8E">
                    <w:rPr>
                      <w:lang w:val="en-GB"/>
                    </w:rPr>
                    <w:t>1.07</w:t>
                  </w:r>
                </w:p>
              </w:tc>
              <w:tc>
                <w:tcPr>
                  <w:tcW w:w="88" w:type="dxa"/>
                  <w:shd w:val="clear" w:color="000000" w:fill="FFFFFF"/>
                  <w:noWrap/>
                  <w:tcMar>
                    <w:top w:w="15" w:type="dxa"/>
                    <w:left w:w="15" w:type="dxa"/>
                    <w:bottom w:w="0" w:type="dxa"/>
                    <w:right w:w="15" w:type="dxa"/>
                  </w:tcMar>
                  <w:hideMark/>
                </w:tcPr>
                <w:p w14:paraId="595F685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C33BAD6" w14:textId="77777777" w:rsidR="00E45009" w:rsidRPr="00081C8E" w:rsidRDefault="00E45009" w:rsidP="00E45009">
                  <w:pPr>
                    <w:pStyle w:val="NoSpacing"/>
                    <w:rPr>
                      <w:lang w:val="en-GB"/>
                    </w:rPr>
                  </w:pPr>
                  <w:r w:rsidRPr="00081C8E">
                    <w:rPr>
                      <w:lang w:val="en-GB"/>
                    </w:rPr>
                    <w:t>3.43</w:t>
                  </w:r>
                </w:p>
              </w:tc>
              <w:tc>
                <w:tcPr>
                  <w:tcW w:w="427" w:type="dxa"/>
                  <w:shd w:val="clear" w:color="000000" w:fill="FFFFFF"/>
                  <w:noWrap/>
                  <w:tcMar>
                    <w:top w:w="15" w:type="dxa"/>
                    <w:left w:w="15" w:type="dxa"/>
                    <w:bottom w:w="0" w:type="dxa"/>
                    <w:right w:w="15" w:type="dxa"/>
                  </w:tcMar>
                  <w:hideMark/>
                </w:tcPr>
                <w:p w14:paraId="279371AB" w14:textId="77777777" w:rsidR="00E45009" w:rsidRPr="00081C8E" w:rsidRDefault="00E45009" w:rsidP="00E45009">
                  <w:pPr>
                    <w:pStyle w:val="NoSpacing"/>
                    <w:rPr>
                      <w:lang w:val="en-GB"/>
                    </w:rPr>
                  </w:pPr>
                  <w:r w:rsidRPr="00081C8E">
                    <w:rPr>
                      <w:lang w:val="en-GB"/>
                    </w:rPr>
                    <w:t>0.65</w:t>
                  </w:r>
                </w:p>
              </w:tc>
              <w:tc>
                <w:tcPr>
                  <w:tcW w:w="78" w:type="dxa"/>
                  <w:shd w:val="clear" w:color="000000" w:fill="FFFFFF"/>
                  <w:noWrap/>
                  <w:tcMar>
                    <w:top w:w="15" w:type="dxa"/>
                    <w:left w:w="15" w:type="dxa"/>
                    <w:bottom w:w="0" w:type="dxa"/>
                    <w:right w:w="15" w:type="dxa"/>
                  </w:tcMar>
                  <w:hideMark/>
                </w:tcPr>
                <w:p w14:paraId="5E7C835D"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69C8633F" w14:textId="77777777" w:rsidR="00E45009" w:rsidRPr="00081C8E" w:rsidRDefault="00E45009" w:rsidP="00E45009">
                  <w:pPr>
                    <w:pStyle w:val="NoSpacing"/>
                    <w:rPr>
                      <w:lang w:val="en-GB"/>
                    </w:rPr>
                  </w:pPr>
                  <w:r w:rsidRPr="00081C8E">
                    <w:rPr>
                      <w:lang w:val="en-GB"/>
                    </w:rPr>
                    <w:t>1.61</w:t>
                  </w:r>
                </w:p>
              </w:tc>
            </w:tr>
            <w:tr w:rsidR="00E45009" w:rsidRPr="00081C8E" w14:paraId="3C0D82B6" w14:textId="77777777" w:rsidTr="00DB32C0">
              <w:trPr>
                <w:trHeight w:val="255"/>
              </w:trPr>
              <w:tc>
                <w:tcPr>
                  <w:tcW w:w="185" w:type="dxa"/>
                  <w:shd w:val="clear" w:color="000000" w:fill="FFFFFF"/>
                  <w:noWrap/>
                  <w:tcMar>
                    <w:top w:w="15" w:type="dxa"/>
                    <w:left w:w="15" w:type="dxa"/>
                    <w:bottom w:w="0" w:type="dxa"/>
                    <w:right w:w="15" w:type="dxa"/>
                  </w:tcMar>
                  <w:hideMark/>
                </w:tcPr>
                <w:p w14:paraId="1E7F04AD" w14:textId="77777777" w:rsidR="00E45009" w:rsidRPr="00081C8E" w:rsidRDefault="00E45009" w:rsidP="00E45009">
                  <w:pPr>
                    <w:pStyle w:val="NoSpacing"/>
                    <w:rPr>
                      <w:lang w:val="en-GB"/>
                    </w:rPr>
                  </w:pPr>
                  <w:r w:rsidRPr="00081C8E">
                    <w:rPr>
                      <w:lang w:val="en-GB"/>
                    </w:rPr>
                    <w:t>49</w:t>
                  </w:r>
                </w:p>
              </w:tc>
              <w:tc>
                <w:tcPr>
                  <w:tcW w:w="5870" w:type="dxa"/>
                  <w:shd w:val="clear" w:color="000000" w:fill="FFFFFF"/>
                  <w:tcMar>
                    <w:top w:w="15" w:type="dxa"/>
                    <w:left w:w="15" w:type="dxa"/>
                    <w:bottom w:w="0" w:type="dxa"/>
                    <w:right w:w="15" w:type="dxa"/>
                  </w:tcMar>
                  <w:vAlign w:val="center"/>
                  <w:hideMark/>
                </w:tcPr>
                <w:p w14:paraId="09E315D3" w14:textId="77777777" w:rsidR="00E45009" w:rsidRPr="00081C8E" w:rsidRDefault="00E45009" w:rsidP="00E45009">
                  <w:pPr>
                    <w:pStyle w:val="NoSpacing"/>
                    <w:rPr>
                      <w:lang w:val="en-GB"/>
                    </w:rPr>
                  </w:pPr>
                  <w:r w:rsidRPr="00081C8E">
                    <w:rPr>
                      <w:lang w:val="en-GB"/>
                    </w:rPr>
                    <w:t>Lack of guarantee of due process and/or justice re violations nos. 43-48</w:t>
                  </w:r>
                </w:p>
              </w:tc>
              <w:tc>
                <w:tcPr>
                  <w:tcW w:w="95" w:type="dxa"/>
                  <w:shd w:val="clear" w:color="000000" w:fill="FFFFFF"/>
                  <w:tcMar>
                    <w:top w:w="15" w:type="dxa"/>
                    <w:left w:w="15" w:type="dxa"/>
                    <w:bottom w:w="0" w:type="dxa"/>
                    <w:right w:w="15" w:type="dxa"/>
                  </w:tcMar>
                  <w:hideMark/>
                </w:tcPr>
                <w:p w14:paraId="67C9033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58E0EDB" w14:textId="77777777" w:rsidR="00E45009" w:rsidRPr="00081C8E" w:rsidRDefault="00E45009" w:rsidP="00E45009">
                  <w:pPr>
                    <w:pStyle w:val="NoSpacing"/>
                    <w:rPr>
                      <w:lang w:val="en-GB"/>
                    </w:rPr>
                  </w:pPr>
                  <w:r w:rsidRPr="00081C8E">
                    <w:rPr>
                      <w:lang w:val="en-GB"/>
                    </w:rPr>
                    <w:t>4.00</w:t>
                  </w:r>
                </w:p>
              </w:tc>
              <w:tc>
                <w:tcPr>
                  <w:tcW w:w="427" w:type="dxa"/>
                  <w:shd w:val="clear" w:color="000000" w:fill="FFFFFF"/>
                  <w:noWrap/>
                  <w:tcMar>
                    <w:top w:w="15" w:type="dxa"/>
                    <w:left w:w="15" w:type="dxa"/>
                    <w:bottom w:w="0" w:type="dxa"/>
                    <w:right w:w="15" w:type="dxa"/>
                  </w:tcMar>
                  <w:hideMark/>
                </w:tcPr>
                <w:p w14:paraId="55DCBD47" w14:textId="77777777" w:rsidR="00E45009" w:rsidRPr="00081C8E" w:rsidRDefault="00E45009" w:rsidP="00E45009">
                  <w:pPr>
                    <w:pStyle w:val="NoSpacing"/>
                    <w:rPr>
                      <w:lang w:val="en-GB"/>
                    </w:rPr>
                  </w:pPr>
                  <w:r w:rsidRPr="00081C8E">
                    <w:rPr>
                      <w:lang w:val="en-GB"/>
                    </w:rPr>
                    <w:t>1.24</w:t>
                  </w:r>
                </w:p>
              </w:tc>
              <w:tc>
                <w:tcPr>
                  <w:tcW w:w="88" w:type="dxa"/>
                  <w:shd w:val="clear" w:color="000000" w:fill="FFFFFF"/>
                  <w:noWrap/>
                  <w:tcMar>
                    <w:top w:w="15" w:type="dxa"/>
                    <w:left w:w="15" w:type="dxa"/>
                    <w:bottom w:w="0" w:type="dxa"/>
                    <w:right w:w="15" w:type="dxa"/>
                  </w:tcMar>
                  <w:hideMark/>
                </w:tcPr>
                <w:p w14:paraId="10561ED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2E9F3F9" w14:textId="77777777" w:rsidR="00E45009" w:rsidRPr="00081C8E" w:rsidRDefault="00E45009" w:rsidP="00E45009">
                  <w:pPr>
                    <w:pStyle w:val="NoSpacing"/>
                    <w:rPr>
                      <w:lang w:val="en-GB"/>
                    </w:rPr>
                  </w:pPr>
                  <w:r w:rsidRPr="00081C8E">
                    <w:rPr>
                      <w:lang w:val="en-GB"/>
                    </w:rPr>
                    <w:t>4.29</w:t>
                  </w:r>
                </w:p>
              </w:tc>
              <w:tc>
                <w:tcPr>
                  <w:tcW w:w="427" w:type="dxa"/>
                  <w:shd w:val="clear" w:color="000000" w:fill="FFFFFF"/>
                  <w:noWrap/>
                  <w:tcMar>
                    <w:top w:w="15" w:type="dxa"/>
                    <w:left w:w="15" w:type="dxa"/>
                    <w:bottom w:w="0" w:type="dxa"/>
                    <w:right w:w="15" w:type="dxa"/>
                  </w:tcMar>
                  <w:hideMark/>
                </w:tcPr>
                <w:p w14:paraId="74417770" w14:textId="77777777" w:rsidR="00E45009" w:rsidRPr="00081C8E" w:rsidRDefault="00E45009" w:rsidP="00E45009">
                  <w:pPr>
                    <w:pStyle w:val="NoSpacing"/>
                    <w:rPr>
                      <w:lang w:val="en-GB"/>
                    </w:rPr>
                  </w:pPr>
                  <w:r w:rsidRPr="00081C8E">
                    <w:rPr>
                      <w:lang w:val="en-GB"/>
                    </w:rPr>
                    <w:t>0.73</w:t>
                  </w:r>
                </w:p>
              </w:tc>
              <w:tc>
                <w:tcPr>
                  <w:tcW w:w="78" w:type="dxa"/>
                  <w:shd w:val="clear" w:color="000000" w:fill="FFFFFF"/>
                  <w:noWrap/>
                  <w:tcMar>
                    <w:top w:w="15" w:type="dxa"/>
                    <w:left w:w="15" w:type="dxa"/>
                    <w:bottom w:w="0" w:type="dxa"/>
                    <w:right w:w="15" w:type="dxa"/>
                  </w:tcMar>
                  <w:hideMark/>
                </w:tcPr>
                <w:p w14:paraId="0E8FF7AE"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41D8895" w14:textId="77777777" w:rsidR="00E45009" w:rsidRPr="00081C8E" w:rsidRDefault="00E45009" w:rsidP="00E45009">
                  <w:pPr>
                    <w:pStyle w:val="NoSpacing"/>
                    <w:rPr>
                      <w:lang w:val="en-GB"/>
                    </w:rPr>
                  </w:pPr>
                  <w:r w:rsidRPr="00081C8E">
                    <w:rPr>
                      <w:lang w:val="en-GB"/>
                    </w:rPr>
                    <w:t>1.82</w:t>
                  </w:r>
                </w:p>
              </w:tc>
            </w:tr>
            <w:tr w:rsidR="00E45009" w:rsidRPr="00081C8E" w14:paraId="7A9AC88F" w14:textId="77777777" w:rsidTr="00DB32C0">
              <w:trPr>
                <w:trHeight w:val="255"/>
              </w:trPr>
              <w:tc>
                <w:tcPr>
                  <w:tcW w:w="185" w:type="dxa"/>
                  <w:shd w:val="clear" w:color="000000" w:fill="FFFFFF"/>
                  <w:noWrap/>
                  <w:tcMar>
                    <w:top w:w="15" w:type="dxa"/>
                    <w:left w:w="15" w:type="dxa"/>
                    <w:bottom w:w="0" w:type="dxa"/>
                    <w:right w:w="15" w:type="dxa"/>
                  </w:tcMar>
                  <w:hideMark/>
                </w:tcPr>
                <w:p w14:paraId="6D5C5E00" w14:textId="77777777" w:rsidR="00E45009" w:rsidRPr="00081C8E" w:rsidRDefault="00E45009" w:rsidP="00E45009">
                  <w:pPr>
                    <w:pStyle w:val="NoSpacing"/>
                    <w:rPr>
                      <w:lang w:val="en-GB"/>
                    </w:rPr>
                  </w:pPr>
                  <w:r w:rsidRPr="00081C8E">
                    <w:rPr>
                      <w:lang w:val="en-GB"/>
                    </w:rPr>
                    <w:t> </w:t>
                  </w:r>
                </w:p>
              </w:tc>
              <w:tc>
                <w:tcPr>
                  <w:tcW w:w="5870" w:type="dxa"/>
                  <w:shd w:val="clear" w:color="000000" w:fill="FFFFFF"/>
                  <w:tcMar>
                    <w:top w:w="15" w:type="dxa"/>
                    <w:left w:w="15" w:type="dxa"/>
                    <w:bottom w:w="0" w:type="dxa"/>
                    <w:right w:w="15" w:type="dxa"/>
                  </w:tcMar>
                  <w:vAlign w:val="center"/>
                  <w:hideMark/>
                </w:tcPr>
                <w:p w14:paraId="0B8F16B2" w14:textId="77777777" w:rsidR="00E45009" w:rsidRPr="00081C8E" w:rsidRDefault="00E45009" w:rsidP="00E45009">
                  <w:pPr>
                    <w:pStyle w:val="NoSpacing"/>
                    <w:rPr>
                      <w:b/>
                      <w:bCs/>
                      <w:lang w:val="en-GB"/>
                    </w:rPr>
                  </w:pPr>
                  <w:r w:rsidRPr="00081C8E">
                    <w:rPr>
                      <w:b/>
                      <w:bCs/>
                      <w:lang w:val="en-GB"/>
                    </w:rPr>
                    <w:t>IIIb. Other activities of employers' organizations in practice</w:t>
                  </w:r>
                </w:p>
              </w:tc>
              <w:tc>
                <w:tcPr>
                  <w:tcW w:w="95" w:type="dxa"/>
                  <w:shd w:val="clear" w:color="000000" w:fill="FFFFFF"/>
                  <w:tcMar>
                    <w:top w:w="15" w:type="dxa"/>
                    <w:left w:w="15" w:type="dxa"/>
                    <w:bottom w:w="0" w:type="dxa"/>
                    <w:right w:w="15" w:type="dxa"/>
                  </w:tcMar>
                  <w:hideMark/>
                </w:tcPr>
                <w:p w14:paraId="0B666556"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724A5055"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27F8C0A5"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0D0345D9"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19B4962"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4D5B0D3E"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3917D8CB"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62E4B258" w14:textId="77777777" w:rsidR="00E45009" w:rsidRPr="00081C8E" w:rsidRDefault="00E45009" w:rsidP="00E45009">
                  <w:pPr>
                    <w:pStyle w:val="NoSpacing"/>
                    <w:rPr>
                      <w:lang w:val="en-GB"/>
                    </w:rPr>
                  </w:pPr>
                  <w:r w:rsidRPr="00081C8E">
                    <w:rPr>
                      <w:lang w:val="en-GB"/>
                    </w:rPr>
                    <w:t> </w:t>
                  </w:r>
                </w:p>
              </w:tc>
            </w:tr>
            <w:tr w:rsidR="00E45009" w:rsidRPr="00081C8E" w14:paraId="277A46A1" w14:textId="77777777" w:rsidTr="00DB32C0">
              <w:trPr>
                <w:trHeight w:val="255"/>
              </w:trPr>
              <w:tc>
                <w:tcPr>
                  <w:tcW w:w="185" w:type="dxa"/>
                  <w:shd w:val="clear" w:color="000000" w:fill="FFFFFF"/>
                  <w:noWrap/>
                  <w:tcMar>
                    <w:top w:w="15" w:type="dxa"/>
                    <w:left w:w="15" w:type="dxa"/>
                    <w:bottom w:w="0" w:type="dxa"/>
                    <w:right w:w="15" w:type="dxa"/>
                  </w:tcMar>
                  <w:hideMark/>
                </w:tcPr>
                <w:p w14:paraId="1F0D1A0D" w14:textId="77777777" w:rsidR="00E45009" w:rsidRPr="00081C8E" w:rsidRDefault="00E45009" w:rsidP="00E45009">
                  <w:pPr>
                    <w:pStyle w:val="NoSpacing"/>
                    <w:rPr>
                      <w:lang w:val="en-GB"/>
                    </w:rPr>
                  </w:pPr>
                  <w:r w:rsidRPr="00081C8E">
                    <w:rPr>
                      <w:lang w:val="en-GB"/>
                    </w:rPr>
                    <w:t>50</w:t>
                  </w:r>
                </w:p>
              </w:tc>
              <w:tc>
                <w:tcPr>
                  <w:tcW w:w="5870" w:type="dxa"/>
                  <w:shd w:val="clear" w:color="000000" w:fill="FFFFFF"/>
                  <w:tcMar>
                    <w:top w:w="15" w:type="dxa"/>
                    <w:left w:w="15" w:type="dxa"/>
                    <w:bottom w:w="0" w:type="dxa"/>
                    <w:right w:w="15" w:type="dxa"/>
                  </w:tcMar>
                  <w:vAlign w:val="center"/>
                  <w:hideMark/>
                </w:tcPr>
                <w:p w14:paraId="54AD2130" w14:textId="77777777" w:rsidR="00E45009" w:rsidRPr="00081C8E" w:rsidRDefault="00E45009" w:rsidP="00E45009">
                  <w:pPr>
                    <w:pStyle w:val="NoSpacing"/>
                    <w:rPr>
                      <w:lang w:val="en-GB"/>
                    </w:rPr>
                  </w:pPr>
                  <w:r w:rsidRPr="00081C8E">
                    <w:rPr>
                      <w:lang w:val="en-GB"/>
                    </w:rPr>
                    <w:t>Infringements of the right to freely draw up constitutions and internal rules and administration</w:t>
                  </w:r>
                </w:p>
              </w:tc>
              <w:tc>
                <w:tcPr>
                  <w:tcW w:w="95" w:type="dxa"/>
                  <w:shd w:val="clear" w:color="000000" w:fill="FFFFFF"/>
                  <w:tcMar>
                    <w:top w:w="15" w:type="dxa"/>
                    <w:left w:w="15" w:type="dxa"/>
                    <w:bottom w:w="0" w:type="dxa"/>
                    <w:right w:w="15" w:type="dxa"/>
                  </w:tcMar>
                  <w:hideMark/>
                </w:tcPr>
                <w:p w14:paraId="10DF1EA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AA8D6CC" w14:textId="77777777" w:rsidR="00E45009" w:rsidRPr="00081C8E" w:rsidRDefault="00E45009" w:rsidP="00E45009">
                  <w:pPr>
                    <w:pStyle w:val="NoSpacing"/>
                    <w:rPr>
                      <w:lang w:val="en-GB"/>
                    </w:rPr>
                  </w:pPr>
                  <w:r w:rsidRPr="00081C8E">
                    <w:rPr>
                      <w:lang w:val="en-GB"/>
                    </w:rPr>
                    <w:t>3.92</w:t>
                  </w:r>
                </w:p>
              </w:tc>
              <w:tc>
                <w:tcPr>
                  <w:tcW w:w="427" w:type="dxa"/>
                  <w:shd w:val="clear" w:color="000000" w:fill="FFFFFF"/>
                  <w:noWrap/>
                  <w:tcMar>
                    <w:top w:w="15" w:type="dxa"/>
                    <w:left w:w="15" w:type="dxa"/>
                    <w:bottom w:w="0" w:type="dxa"/>
                    <w:right w:w="15" w:type="dxa"/>
                  </w:tcMar>
                  <w:hideMark/>
                </w:tcPr>
                <w:p w14:paraId="1A4524EE" w14:textId="77777777" w:rsidR="00E45009" w:rsidRPr="00081C8E" w:rsidRDefault="00E45009" w:rsidP="00E45009">
                  <w:pPr>
                    <w:pStyle w:val="NoSpacing"/>
                    <w:rPr>
                      <w:lang w:val="en-GB"/>
                    </w:rPr>
                  </w:pPr>
                  <w:r w:rsidRPr="00081C8E">
                    <w:rPr>
                      <w:lang w:val="en-GB"/>
                    </w:rPr>
                    <w:t>0.77</w:t>
                  </w:r>
                </w:p>
              </w:tc>
              <w:tc>
                <w:tcPr>
                  <w:tcW w:w="88" w:type="dxa"/>
                  <w:shd w:val="clear" w:color="000000" w:fill="FFFFFF"/>
                  <w:noWrap/>
                  <w:tcMar>
                    <w:top w:w="15" w:type="dxa"/>
                    <w:left w:w="15" w:type="dxa"/>
                    <w:bottom w:w="0" w:type="dxa"/>
                    <w:right w:w="15" w:type="dxa"/>
                  </w:tcMar>
                  <w:hideMark/>
                </w:tcPr>
                <w:p w14:paraId="69A6899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4FA2CFE" w14:textId="77777777" w:rsidR="00E45009" w:rsidRPr="00081C8E" w:rsidRDefault="00E45009" w:rsidP="00E45009">
                  <w:pPr>
                    <w:pStyle w:val="NoSpacing"/>
                    <w:rPr>
                      <w:lang w:val="en-GB"/>
                    </w:rPr>
                  </w:pPr>
                  <w:r w:rsidRPr="00081C8E">
                    <w:rPr>
                      <w:lang w:val="en-GB"/>
                    </w:rPr>
                    <w:t>4.00</w:t>
                  </w:r>
                </w:p>
              </w:tc>
              <w:tc>
                <w:tcPr>
                  <w:tcW w:w="427" w:type="dxa"/>
                  <w:shd w:val="clear" w:color="000000" w:fill="FFFFFF"/>
                  <w:noWrap/>
                  <w:tcMar>
                    <w:top w:w="15" w:type="dxa"/>
                    <w:left w:w="15" w:type="dxa"/>
                    <w:bottom w:w="0" w:type="dxa"/>
                    <w:right w:w="15" w:type="dxa"/>
                  </w:tcMar>
                  <w:hideMark/>
                </w:tcPr>
                <w:p w14:paraId="7C9CE7C2" w14:textId="77777777" w:rsidR="00E45009" w:rsidRPr="00081C8E" w:rsidRDefault="00E45009" w:rsidP="00E45009">
                  <w:pPr>
                    <w:pStyle w:val="NoSpacing"/>
                    <w:rPr>
                      <w:lang w:val="en-GB"/>
                    </w:rPr>
                  </w:pPr>
                  <w:r w:rsidRPr="00081C8E">
                    <w:rPr>
                      <w:lang w:val="en-GB"/>
                    </w:rPr>
                    <w:t>0.55</w:t>
                  </w:r>
                </w:p>
              </w:tc>
              <w:tc>
                <w:tcPr>
                  <w:tcW w:w="78" w:type="dxa"/>
                  <w:shd w:val="clear" w:color="000000" w:fill="FFFFFF"/>
                  <w:noWrap/>
                  <w:tcMar>
                    <w:top w:w="15" w:type="dxa"/>
                    <w:left w:w="15" w:type="dxa"/>
                    <w:bottom w:w="0" w:type="dxa"/>
                    <w:right w:w="15" w:type="dxa"/>
                  </w:tcMar>
                  <w:hideMark/>
                </w:tcPr>
                <w:p w14:paraId="2A73F55D"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D98BC3D" w14:textId="77777777" w:rsidR="00E45009" w:rsidRPr="00081C8E" w:rsidRDefault="00E45009" w:rsidP="00E45009">
                  <w:pPr>
                    <w:pStyle w:val="NoSpacing"/>
                    <w:rPr>
                      <w:lang w:val="en-GB"/>
                    </w:rPr>
                  </w:pPr>
                  <w:r w:rsidRPr="00081C8E">
                    <w:rPr>
                      <w:lang w:val="en-GB"/>
                    </w:rPr>
                    <w:t>1.75</w:t>
                  </w:r>
                </w:p>
              </w:tc>
            </w:tr>
            <w:tr w:rsidR="00E45009" w:rsidRPr="00081C8E" w14:paraId="0F22A700" w14:textId="77777777" w:rsidTr="00DB32C0">
              <w:trPr>
                <w:trHeight w:val="255"/>
              </w:trPr>
              <w:tc>
                <w:tcPr>
                  <w:tcW w:w="185" w:type="dxa"/>
                  <w:shd w:val="clear" w:color="000000" w:fill="FFFFFF"/>
                  <w:noWrap/>
                  <w:tcMar>
                    <w:top w:w="15" w:type="dxa"/>
                    <w:left w:w="15" w:type="dxa"/>
                    <w:bottom w:w="0" w:type="dxa"/>
                    <w:right w:w="15" w:type="dxa"/>
                  </w:tcMar>
                  <w:hideMark/>
                </w:tcPr>
                <w:p w14:paraId="18F4597F" w14:textId="77777777" w:rsidR="00E45009" w:rsidRPr="00081C8E" w:rsidRDefault="00E45009" w:rsidP="00E45009">
                  <w:pPr>
                    <w:pStyle w:val="NoSpacing"/>
                    <w:rPr>
                      <w:lang w:val="en-GB"/>
                    </w:rPr>
                  </w:pPr>
                  <w:r w:rsidRPr="00081C8E">
                    <w:rPr>
                      <w:lang w:val="en-GB"/>
                    </w:rPr>
                    <w:t>51</w:t>
                  </w:r>
                </w:p>
              </w:tc>
              <w:tc>
                <w:tcPr>
                  <w:tcW w:w="5870" w:type="dxa"/>
                  <w:shd w:val="clear" w:color="000000" w:fill="FFFFFF"/>
                  <w:tcMar>
                    <w:top w:w="15" w:type="dxa"/>
                    <w:left w:w="15" w:type="dxa"/>
                    <w:bottom w:w="0" w:type="dxa"/>
                    <w:right w:w="15" w:type="dxa"/>
                  </w:tcMar>
                  <w:vAlign w:val="center"/>
                  <w:hideMark/>
                </w:tcPr>
                <w:p w14:paraId="711A09CB" w14:textId="77777777" w:rsidR="00E45009" w:rsidRPr="00081C8E" w:rsidRDefault="00E45009" w:rsidP="00E45009">
                  <w:pPr>
                    <w:pStyle w:val="NoSpacing"/>
                    <w:rPr>
                      <w:lang w:val="en-GB"/>
                    </w:rPr>
                  </w:pPr>
                  <w:r w:rsidRPr="00081C8E">
                    <w:rPr>
                      <w:lang w:val="en-GB"/>
                    </w:rPr>
                    <w:t>Infringements of the right to freely elect representatives</w:t>
                  </w:r>
                </w:p>
              </w:tc>
              <w:tc>
                <w:tcPr>
                  <w:tcW w:w="95" w:type="dxa"/>
                  <w:shd w:val="clear" w:color="000000" w:fill="FFFFFF"/>
                  <w:tcMar>
                    <w:top w:w="15" w:type="dxa"/>
                    <w:left w:w="15" w:type="dxa"/>
                    <w:bottom w:w="0" w:type="dxa"/>
                    <w:right w:w="15" w:type="dxa"/>
                  </w:tcMar>
                  <w:hideMark/>
                </w:tcPr>
                <w:p w14:paraId="0EF6947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4AADD2C" w14:textId="77777777" w:rsidR="00E45009" w:rsidRPr="00081C8E" w:rsidRDefault="00E45009" w:rsidP="00E45009">
                  <w:pPr>
                    <w:pStyle w:val="NoSpacing"/>
                    <w:rPr>
                      <w:lang w:val="en-GB"/>
                    </w:rPr>
                  </w:pPr>
                  <w:r w:rsidRPr="00081C8E">
                    <w:rPr>
                      <w:lang w:val="en-GB"/>
                    </w:rPr>
                    <w:t>4.16</w:t>
                  </w:r>
                </w:p>
              </w:tc>
              <w:tc>
                <w:tcPr>
                  <w:tcW w:w="427" w:type="dxa"/>
                  <w:shd w:val="clear" w:color="000000" w:fill="FFFFFF"/>
                  <w:noWrap/>
                  <w:tcMar>
                    <w:top w:w="15" w:type="dxa"/>
                    <w:left w:w="15" w:type="dxa"/>
                    <w:bottom w:w="0" w:type="dxa"/>
                    <w:right w:w="15" w:type="dxa"/>
                  </w:tcMar>
                  <w:hideMark/>
                </w:tcPr>
                <w:p w14:paraId="49F39416" w14:textId="77777777" w:rsidR="00E45009" w:rsidRPr="00081C8E" w:rsidRDefault="00E45009" w:rsidP="00E45009">
                  <w:pPr>
                    <w:pStyle w:val="NoSpacing"/>
                    <w:rPr>
                      <w:lang w:val="en-GB"/>
                    </w:rPr>
                  </w:pPr>
                  <w:r w:rsidRPr="00081C8E">
                    <w:rPr>
                      <w:lang w:val="en-GB"/>
                    </w:rPr>
                    <w:t>0.70</w:t>
                  </w:r>
                </w:p>
              </w:tc>
              <w:tc>
                <w:tcPr>
                  <w:tcW w:w="88" w:type="dxa"/>
                  <w:shd w:val="clear" w:color="000000" w:fill="FFFFFF"/>
                  <w:noWrap/>
                  <w:tcMar>
                    <w:top w:w="15" w:type="dxa"/>
                    <w:left w:w="15" w:type="dxa"/>
                    <w:bottom w:w="0" w:type="dxa"/>
                    <w:right w:w="15" w:type="dxa"/>
                  </w:tcMar>
                  <w:hideMark/>
                </w:tcPr>
                <w:p w14:paraId="2084E530"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5592A12" w14:textId="77777777" w:rsidR="00E45009" w:rsidRPr="00081C8E" w:rsidRDefault="00E45009" w:rsidP="00E45009">
                  <w:pPr>
                    <w:pStyle w:val="NoSpacing"/>
                    <w:rPr>
                      <w:lang w:val="en-GB"/>
                    </w:rPr>
                  </w:pPr>
                  <w:r w:rsidRPr="00081C8E">
                    <w:rPr>
                      <w:lang w:val="en-GB"/>
                    </w:rPr>
                    <w:t>4.29</w:t>
                  </w:r>
                </w:p>
              </w:tc>
              <w:tc>
                <w:tcPr>
                  <w:tcW w:w="427" w:type="dxa"/>
                  <w:shd w:val="clear" w:color="000000" w:fill="FFFFFF"/>
                  <w:noWrap/>
                  <w:tcMar>
                    <w:top w:w="15" w:type="dxa"/>
                    <w:left w:w="15" w:type="dxa"/>
                    <w:bottom w:w="0" w:type="dxa"/>
                    <w:right w:w="15" w:type="dxa"/>
                  </w:tcMar>
                  <w:hideMark/>
                </w:tcPr>
                <w:p w14:paraId="68AFC0E4" w14:textId="77777777" w:rsidR="00E45009" w:rsidRPr="00081C8E" w:rsidRDefault="00E45009" w:rsidP="00E45009">
                  <w:pPr>
                    <w:pStyle w:val="NoSpacing"/>
                    <w:rPr>
                      <w:lang w:val="en-GB"/>
                    </w:rPr>
                  </w:pPr>
                  <w:r w:rsidRPr="00081C8E">
                    <w:rPr>
                      <w:lang w:val="en-GB"/>
                    </w:rPr>
                    <w:t>0.61</w:t>
                  </w:r>
                </w:p>
              </w:tc>
              <w:tc>
                <w:tcPr>
                  <w:tcW w:w="78" w:type="dxa"/>
                  <w:shd w:val="clear" w:color="000000" w:fill="FFFFFF"/>
                  <w:noWrap/>
                  <w:tcMar>
                    <w:top w:w="15" w:type="dxa"/>
                    <w:left w:w="15" w:type="dxa"/>
                    <w:bottom w:w="0" w:type="dxa"/>
                    <w:right w:w="15" w:type="dxa"/>
                  </w:tcMar>
                  <w:hideMark/>
                </w:tcPr>
                <w:p w14:paraId="3987C83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2917BFB7" w14:textId="77777777" w:rsidR="00E45009" w:rsidRPr="00081C8E" w:rsidRDefault="00E45009" w:rsidP="00E45009">
                  <w:pPr>
                    <w:pStyle w:val="NoSpacing"/>
                    <w:rPr>
                      <w:lang w:val="en-GB"/>
                    </w:rPr>
                  </w:pPr>
                  <w:r w:rsidRPr="00081C8E">
                    <w:rPr>
                      <w:lang w:val="en-GB"/>
                    </w:rPr>
                    <w:t>1.82</w:t>
                  </w:r>
                </w:p>
              </w:tc>
            </w:tr>
            <w:tr w:rsidR="00E45009" w:rsidRPr="00081C8E" w14:paraId="29772BE3" w14:textId="77777777" w:rsidTr="00DB32C0">
              <w:trPr>
                <w:trHeight w:val="255"/>
              </w:trPr>
              <w:tc>
                <w:tcPr>
                  <w:tcW w:w="185" w:type="dxa"/>
                  <w:shd w:val="clear" w:color="000000" w:fill="FFFFFF"/>
                  <w:noWrap/>
                  <w:tcMar>
                    <w:top w:w="15" w:type="dxa"/>
                    <w:left w:w="15" w:type="dxa"/>
                    <w:bottom w:w="0" w:type="dxa"/>
                    <w:right w:w="15" w:type="dxa"/>
                  </w:tcMar>
                  <w:hideMark/>
                </w:tcPr>
                <w:p w14:paraId="3F6D6478" w14:textId="77777777" w:rsidR="00E45009" w:rsidRPr="00081C8E" w:rsidRDefault="00E45009" w:rsidP="00E45009">
                  <w:pPr>
                    <w:pStyle w:val="NoSpacing"/>
                    <w:rPr>
                      <w:lang w:val="en-GB"/>
                    </w:rPr>
                  </w:pPr>
                  <w:r w:rsidRPr="00081C8E">
                    <w:rPr>
                      <w:lang w:val="en-GB"/>
                    </w:rPr>
                    <w:t>52</w:t>
                  </w:r>
                </w:p>
              </w:tc>
              <w:tc>
                <w:tcPr>
                  <w:tcW w:w="5870" w:type="dxa"/>
                  <w:shd w:val="clear" w:color="000000" w:fill="FFFFFF"/>
                  <w:tcMar>
                    <w:top w:w="15" w:type="dxa"/>
                    <w:left w:w="15" w:type="dxa"/>
                    <w:bottom w:w="0" w:type="dxa"/>
                    <w:right w:w="15" w:type="dxa"/>
                  </w:tcMar>
                  <w:vAlign w:val="center"/>
                  <w:hideMark/>
                </w:tcPr>
                <w:p w14:paraId="62B435A5" w14:textId="77777777" w:rsidR="00E45009" w:rsidRPr="00081C8E" w:rsidRDefault="00E45009" w:rsidP="00E45009">
                  <w:pPr>
                    <w:pStyle w:val="NoSpacing"/>
                    <w:rPr>
                      <w:lang w:val="en-GB"/>
                    </w:rPr>
                  </w:pPr>
                  <w:r w:rsidRPr="00081C8E">
                    <w:rPr>
                      <w:lang w:val="en-GB"/>
                    </w:rPr>
                    <w:t>Infringements of the right to freely organize and control financial administration</w:t>
                  </w:r>
                </w:p>
              </w:tc>
              <w:tc>
                <w:tcPr>
                  <w:tcW w:w="95" w:type="dxa"/>
                  <w:shd w:val="clear" w:color="000000" w:fill="FFFFFF"/>
                  <w:tcMar>
                    <w:top w:w="15" w:type="dxa"/>
                    <w:left w:w="15" w:type="dxa"/>
                    <w:bottom w:w="0" w:type="dxa"/>
                    <w:right w:w="15" w:type="dxa"/>
                  </w:tcMar>
                  <w:hideMark/>
                </w:tcPr>
                <w:p w14:paraId="367AE3E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3867435" w14:textId="77777777" w:rsidR="00E45009" w:rsidRPr="00081C8E" w:rsidRDefault="00E45009" w:rsidP="00E45009">
                  <w:pPr>
                    <w:pStyle w:val="NoSpacing"/>
                    <w:rPr>
                      <w:lang w:val="en-GB"/>
                    </w:rPr>
                  </w:pPr>
                  <w:r w:rsidRPr="00081C8E">
                    <w:rPr>
                      <w:lang w:val="en-GB"/>
                    </w:rPr>
                    <w:t>3.92</w:t>
                  </w:r>
                </w:p>
              </w:tc>
              <w:tc>
                <w:tcPr>
                  <w:tcW w:w="427" w:type="dxa"/>
                  <w:shd w:val="clear" w:color="000000" w:fill="FFFFFF"/>
                  <w:noWrap/>
                  <w:tcMar>
                    <w:top w:w="15" w:type="dxa"/>
                    <w:left w:w="15" w:type="dxa"/>
                    <w:bottom w:w="0" w:type="dxa"/>
                    <w:right w:w="15" w:type="dxa"/>
                  </w:tcMar>
                  <w:hideMark/>
                </w:tcPr>
                <w:p w14:paraId="7824D3D1" w14:textId="77777777" w:rsidR="00E45009" w:rsidRPr="00081C8E" w:rsidRDefault="00E45009" w:rsidP="00E45009">
                  <w:pPr>
                    <w:pStyle w:val="NoSpacing"/>
                    <w:rPr>
                      <w:lang w:val="en-GB"/>
                    </w:rPr>
                  </w:pPr>
                  <w:r w:rsidRPr="00081C8E">
                    <w:rPr>
                      <w:lang w:val="en-GB"/>
                    </w:rPr>
                    <w:t>0.66</w:t>
                  </w:r>
                </w:p>
              </w:tc>
              <w:tc>
                <w:tcPr>
                  <w:tcW w:w="88" w:type="dxa"/>
                  <w:shd w:val="clear" w:color="000000" w:fill="FFFFFF"/>
                  <w:noWrap/>
                  <w:tcMar>
                    <w:top w:w="15" w:type="dxa"/>
                    <w:left w:w="15" w:type="dxa"/>
                    <w:bottom w:w="0" w:type="dxa"/>
                    <w:right w:w="15" w:type="dxa"/>
                  </w:tcMar>
                  <w:hideMark/>
                </w:tcPr>
                <w:p w14:paraId="37DEEC7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E226EAA" w14:textId="77777777" w:rsidR="00E45009" w:rsidRPr="00081C8E" w:rsidRDefault="00E45009" w:rsidP="00E45009">
                  <w:pPr>
                    <w:pStyle w:val="NoSpacing"/>
                    <w:rPr>
                      <w:lang w:val="en-GB"/>
                    </w:rPr>
                  </w:pPr>
                  <w:r w:rsidRPr="00081C8E">
                    <w:rPr>
                      <w:lang w:val="en-GB"/>
                    </w:rPr>
                    <w:t>3.86</w:t>
                  </w:r>
                </w:p>
              </w:tc>
              <w:tc>
                <w:tcPr>
                  <w:tcW w:w="427" w:type="dxa"/>
                  <w:shd w:val="clear" w:color="000000" w:fill="FFFFFF"/>
                  <w:noWrap/>
                  <w:tcMar>
                    <w:top w:w="15" w:type="dxa"/>
                    <w:left w:w="15" w:type="dxa"/>
                    <w:bottom w:w="0" w:type="dxa"/>
                    <w:right w:w="15" w:type="dxa"/>
                  </w:tcMar>
                  <w:hideMark/>
                </w:tcPr>
                <w:p w14:paraId="09FC5D02" w14:textId="77777777" w:rsidR="00E45009" w:rsidRPr="00081C8E" w:rsidRDefault="00E45009" w:rsidP="00E45009">
                  <w:pPr>
                    <w:pStyle w:val="NoSpacing"/>
                    <w:rPr>
                      <w:lang w:val="en-GB"/>
                    </w:rPr>
                  </w:pPr>
                  <w:r w:rsidRPr="00081C8E">
                    <w:rPr>
                      <w:lang w:val="en-GB"/>
                    </w:rPr>
                    <w:t>0.53</w:t>
                  </w:r>
                </w:p>
              </w:tc>
              <w:tc>
                <w:tcPr>
                  <w:tcW w:w="78" w:type="dxa"/>
                  <w:shd w:val="clear" w:color="000000" w:fill="FFFFFF"/>
                  <w:noWrap/>
                  <w:tcMar>
                    <w:top w:w="15" w:type="dxa"/>
                    <w:left w:w="15" w:type="dxa"/>
                    <w:bottom w:w="0" w:type="dxa"/>
                    <w:right w:w="15" w:type="dxa"/>
                  </w:tcMar>
                  <w:hideMark/>
                </w:tcPr>
                <w:p w14:paraId="3188C2E9"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66AA2C6C" w14:textId="77777777" w:rsidR="00E45009" w:rsidRPr="00081C8E" w:rsidRDefault="00E45009" w:rsidP="00E45009">
                  <w:pPr>
                    <w:pStyle w:val="NoSpacing"/>
                    <w:rPr>
                      <w:lang w:val="en-GB"/>
                    </w:rPr>
                  </w:pPr>
                  <w:r w:rsidRPr="00081C8E">
                    <w:rPr>
                      <w:lang w:val="en-GB"/>
                    </w:rPr>
                    <w:t>1.71</w:t>
                  </w:r>
                </w:p>
              </w:tc>
            </w:tr>
            <w:tr w:rsidR="00E45009" w:rsidRPr="00081C8E" w14:paraId="47757D98" w14:textId="77777777" w:rsidTr="00DB32C0">
              <w:trPr>
                <w:trHeight w:val="255"/>
              </w:trPr>
              <w:tc>
                <w:tcPr>
                  <w:tcW w:w="185" w:type="dxa"/>
                  <w:shd w:val="clear" w:color="000000" w:fill="FFFFFF"/>
                  <w:noWrap/>
                  <w:tcMar>
                    <w:top w:w="15" w:type="dxa"/>
                    <w:left w:w="15" w:type="dxa"/>
                    <w:bottom w:w="0" w:type="dxa"/>
                    <w:right w:w="15" w:type="dxa"/>
                  </w:tcMar>
                  <w:hideMark/>
                </w:tcPr>
                <w:p w14:paraId="5BDB7895" w14:textId="77777777" w:rsidR="00E45009" w:rsidRPr="00081C8E" w:rsidRDefault="00E45009" w:rsidP="00E45009">
                  <w:pPr>
                    <w:pStyle w:val="NoSpacing"/>
                    <w:rPr>
                      <w:lang w:val="en-GB"/>
                    </w:rPr>
                  </w:pPr>
                  <w:r w:rsidRPr="00081C8E">
                    <w:rPr>
                      <w:lang w:val="en-GB"/>
                    </w:rPr>
                    <w:t>53</w:t>
                  </w:r>
                </w:p>
              </w:tc>
              <w:tc>
                <w:tcPr>
                  <w:tcW w:w="5870" w:type="dxa"/>
                  <w:shd w:val="clear" w:color="000000" w:fill="FFFFFF"/>
                  <w:tcMar>
                    <w:top w:w="15" w:type="dxa"/>
                    <w:left w:w="15" w:type="dxa"/>
                    <w:bottom w:w="0" w:type="dxa"/>
                    <w:right w:w="15" w:type="dxa"/>
                  </w:tcMar>
                  <w:vAlign w:val="center"/>
                  <w:hideMark/>
                </w:tcPr>
                <w:p w14:paraId="0DADD329" w14:textId="77777777" w:rsidR="00E45009" w:rsidRPr="00081C8E" w:rsidRDefault="00E45009" w:rsidP="00E45009">
                  <w:pPr>
                    <w:pStyle w:val="NoSpacing"/>
                    <w:rPr>
                      <w:lang w:val="en-GB"/>
                    </w:rPr>
                  </w:pPr>
                  <w:r w:rsidRPr="00081C8E">
                    <w:rPr>
                      <w:lang w:val="en-GB"/>
                    </w:rPr>
                    <w:t>Infringements of the right to freely organize activities/programmes</w:t>
                  </w:r>
                </w:p>
              </w:tc>
              <w:tc>
                <w:tcPr>
                  <w:tcW w:w="95" w:type="dxa"/>
                  <w:shd w:val="clear" w:color="000000" w:fill="FFFFFF"/>
                  <w:tcMar>
                    <w:top w:w="15" w:type="dxa"/>
                    <w:left w:w="15" w:type="dxa"/>
                    <w:bottom w:w="0" w:type="dxa"/>
                    <w:right w:w="15" w:type="dxa"/>
                  </w:tcMar>
                  <w:hideMark/>
                </w:tcPr>
                <w:p w14:paraId="608A760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ADDE15A" w14:textId="77777777" w:rsidR="00E45009" w:rsidRPr="00081C8E" w:rsidRDefault="00E45009" w:rsidP="00E45009">
                  <w:pPr>
                    <w:pStyle w:val="NoSpacing"/>
                    <w:rPr>
                      <w:lang w:val="en-GB"/>
                    </w:rPr>
                  </w:pPr>
                  <w:r w:rsidRPr="00081C8E">
                    <w:rPr>
                      <w:lang w:val="en-GB"/>
                    </w:rPr>
                    <w:t>4.07</w:t>
                  </w:r>
                </w:p>
              </w:tc>
              <w:tc>
                <w:tcPr>
                  <w:tcW w:w="427" w:type="dxa"/>
                  <w:shd w:val="clear" w:color="000000" w:fill="FFFFFF"/>
                  <w:noWrap/>
                  <w:tcMar>
                    <w:top w:w="15" w:type="dxa"/>
                    <w:left w:w="15" w:type="dxa"/>
                    <w:bottom w:w="0" w:type="dxa"/>
                    <w:right w:w="15" w:type="dxa"/>
                  </w:tcMar>
                  <w:hideMark/>
                </w:tcPr>
                <w:p w14:paraId="6D1AFD21" w14:textId="77777777" w:rsidR="00E45009" w:rsidRPr="00081C8E" w:rsidRDefault="00E45009" w:rsidP="00E45009">
                  <w:pPr>
                    <w:pStyle w:val="NoSpacing"/>
                    <w:rPr>
                      <w:lang w:val="en-GB"/>
                    </w:rPr>
                  </w:pPr>
                  <w:r w:rsidRPr="00081C8E">
                    <w:rPr>
                      <w:lang w:val="en-GB"/>
                    </w:rPr>
                    <w:t>0.96</w:t>
                  </w:r>
                </w:p>
              </w:tc>
              <w:tc>
                <w:tcPr>
                  <w:tcW w:w="88" w:type="dxa"/>
                  <w:shd w:val="clear" w:color="000000" w:fill="FFFFFF"/>
                  <w:noWrap/>
                  <w:tcMar>
                    <w:top w:w="15" w:type="dxa"/>
                    <w:left w:w="15" w:type="dxa"/>
                    <w:bottom w:w="0" w:type="dxa"/>
                    <w:right w:w="15" w:type="dxa"/>
                  </w:tcMar>
                  <w:hideMark/>
                </w:tcPr>
                <w:p w14:paraId="3F6DC71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17C5B34" w14:textId="77777777" w:rsidR="00E45009" w:rsidRPr="00081C8E" w:rsidRDefault="00E45009" w:rsidP="00E45009">
                  <w:pPr>
                    <w:pStyle w:val="NoSpacing"/>
                    <w:rPr>
                      <w:lang w:val="en-GB"/>
                    </w:rPr>
                  </w:pPr>
                  <w:r w:rsidRPr="00081C8E">
                    <w:rPr>
                      <w:lang w:val="en-GB"/>
                    </w:rPr>
                    <w:t>4.14</w:t>
                  </w:r>
                </w:p>
              </w:tc>
              <w:tc>
                <w:tcPr>
                  <w:tcW w:w="427" w:type="dxa"/>
                  <w:shd w:val="clear" w:color="000000" w:fill="FFFFFF"/>
                  <w:noWrap/>
                  <w:tcMar>
                    <w:top w:w="15" w:type="dxa"/>
                    <w:left w:w="15" w:type="dxa"/>
                    <w:bottom w:w="0" w:type="dxa"/>
                    <w:right w:w="15" w:type="dxa"/>
                  </w:tcMar>
                  <w:hideMark/>
                </w:tcPr>
                <w:p w14:paraId="4AC3D885" w14:textId="77777777" w:rsidR="00E45009" w:rsidRPr="00081C8E" w:rsidRDefault="00E45009" w:rsidP="00E45009">
                  <w:pPr>
                    <w:pStyle w:val="NoSpacing"/>
                    <w:rPr>
                      <w:lang w:val="en-GB"/>
                    </w:rPr>
                  </w:pPr>
                  <w:r w:rsidRPr="00081C8E">
                    <w:rPr>
                      <w:lang w:val="en-GB"/>
                    </w:rPr>
                    <w:t>0.77</w:t>
                  </w:r>
                </w:p>
              </w:tc>
              <w:tc>
                <w:tcPr>
                  <w:tcW w:w="78" w:type="dxa"/>
                  <w:shd w:val="clear" w:color="000000" w:fill="FFFFFF"/>
                  <w:noWrap/>
                  <w:tcMar>
                    <w:top w:w="15" w:type="dxa"/>
                    <w:left w:w="15" w:type="dxa"/>
                    <w:bottom w:w="0" w:type="dxa"/>
                    <w:right w:w="15" w:type="dxa"/>
                  </w:tcMar>
                  <w:hideMark/>
                </w:tcPr>
                <w:p w14:paraId="56563F4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5C591C1" w14:textId="77777777" w:rsidR="00E45009" w:rsidRPr="00081C8E" w:rsidRDefault="00E45009" w:rsidP="00E45009">
                  <w:pPr>
                    <w:pStyle w:val="NoSpacing"/>
                    <w:rPr>
                      <w:lang w:val="en-GB"/>
                    </w:rPr>
                  </w:pPr>
                  <w:r w:rsidRPr="00081C8E">
                    <w:rPr>
                      <w:lang w:val="en-GB"/>
                    </w:rPr>
                    <w:t>1.79</w:t>
                  </w:r>
                </w:p>
              </w:tc>
            </w:tr>
            <w:tr w:rsidR="00E45009" w:rsidRPr="00081C8E" w14:paraId="63B18724" w14:textId="77777777" w:rsidTr="00DB32C0">
              <w:trPr>
                <w:trHeight w:val="255"/>
              </w:trPr>
              <w:tc>
                <w:tcPr>
                  <w:tcW w:w="185" w:type="dxa"/>
                  <w:shd w:val="clear" w:color="000000" w:fill="FFFFFF"/>
                  <w:noWrap/>
                  <w:tcMar>
                    <w:top w:w="15" w:type="dxa"/>
                    <w:left w:w="15" w:type="dxa"/>
                    <w:bottom w:w="0" w:type="dxa"/>
                    <w:right w:w="15" w:type="dxa"/>
                  </w:tcMar>
                  <w:hideMark/>
                </w:tcPr>
                <w:p w14:paraId="015FF9F4" w14:textId="77777777" w:rsidR="00E45009" w:rsidRPr="00081C8E" w:rsidRDefault="00E45009" w:rsidP="00E45009">
                  <w:pPr>
                    <w:pStyle w:val="NoSpacing"/>
                    <w:rPr>
                      <w:lang w:val="en-GB"/>
                    </w:rPr>
                  </w:pPr>
                  <w:r w:rsidRPr="00081C8E">
                    <w:rPr>
                      <w:lang w:val="en-GB"/>
                    </w:rPr>
                    <w:t>54</w:t>
                  </w:r>
                </w:p>
              </w:tc>
              <w:tc>
                <w:tcPr>
                  <w:tcW w:w="5870" w:type="dxa"/>
                  <w:shd w:val="clear" w:color="000000" w:fill="FFFFFF"/>
                  <w:tcMar>
                    <w:top w:w="15" w:type="dxa"/>
                    <w:left w:w="15" w:type="dxa"/>
                    <w:bottom w:w="0" w:type="dxa"/>
                    <w:right w:w="15" w:type="dxa"/>
                  </w:tcMar>
                  <w:vAlign w:val="center"/>
                  <w:hideMark/>
                </w:tcPr>
                <w:p w14:paraId="5A04AEED" w14:textId="77777777" w:rsidR="00E45009" w:rsidRPr="00081C8E" w:rsidRDefault="00E45009" w:rsidP="00E45009">
                  <w:pPr>
                    <w:pStyle w:val="NoSpacing"/>
                    <w:rPr>
                      <w:lang w:val="en-GB"/>
                    </w:rPr>
                  </w:pPr>
                  <w:r w:rsidRPr="00081C8E">
                    <w:rPr>
                      <w:lang w:val="en-GB"/>
                    </w:rPr>
                    <w:t>Prohibition of all political activities</w:t>
                  </w:r>
                </w:p>
              </w:tc>
              <w:tc>
                <w:tcPr>
                  <w:tcW w:w="95" w:type="dxa"/>
                  <w:shd w:val="clear" w:color="000000" w:fill="FFFFFF"/>
                  <w:tcMar>
                    <w:top w:w="15" w:type="dxa"/>
                    <w:left w:w="15" w:type="dxa"/>
                    <w:bottom w:w="0" w:type="dxa"/>
                    <w:right w:w="15" w:type="dxa"/>
                  </w:tcMar>
                  <w:hideMark/>
                </w:tcPr>
                <w:p w14:paraId="00B7972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E2ED5C4" w14:textId="77777777" w:rsidR="00E45009" w:rsidRPr="00081C8E" w:rsidRDefault="00E45009" w:rsidP="00E45009">
                  <w:pPr>
                    <w:pStyle w:val="NoSpacing"/>
                    <w:rPr>
                      <w:lang w:val="en-GB"/>
                    </w:rPr>
                  </w:pPr>
                  <w:r w:rsidRPr="00081C8E">
                    <w:rPr>
                      <w:lang w:val="en-GB"/>
                    </w:rPr>
                    <w:t>3.69</w:t>
                  </w:r>
                </w:p>
              </w:tc>
              <w:tc>
                <w:tcPr>
                  <w:tcW w:w="427" w:type="dxa"/>
                  <w:shd w:val="clear" w:color="000000" w:fill="FFFFFF"/>
                  <w:noWrap/>
                  <w:tcMar>
                    <w:top w:w="15" w:type="dxa"/>
                    <w:left w:w="15" w:type="dxa"/>
                    <w:bottom w:w="0" w:type="dxa"/>
                    <w:right w:w="15" w:type="dxa"/>
                  </w:tcMar>
                  <w:hideMark/>
                </w:tcPr>
                <w:p w14:paraId="05CB79D4" w14:textId="77777777" w:rsidR="00E45009" w:rsidRPr="00081C8E" w:rsidRDefault="00E45009" w:rsidP="00E45009">
                  <w:pPr>
                    <w:pStyle w:val="NoSpacing"/>
                    <w:rPr>
                      <w:lang w:val="en-GB"/>
                    </w:rPr>
                  </w:pPr>
                  <w:r w:rsidRPr="00081C8E">
                    <w:rPr>
                      <w:lang w:val="en-GB"/>
                    </w:rPr>
                    <w:t>1.33</w:t>
                  </w:r>
                </w:p>
              </w:tc>
              <w:tc>
                <w:tcPr>
                  <w:tcW w:w="88" w:type="dxa"/>
                  <w:shd w:val="clear" w:color="000000" w:fill="FFFFFF"/>
                  <w:noWrap/>
                  <w:tcMar>
                    <w:top w:w="15" w:type="dxa"/>
                    <w:left w:w="15" w:type="dxa"/>
                    <w:bottom w:w="0" w:type="dxa"/>
                    <w:right w:w="15" w:type="dxa"/>
                  </w:tcMar>
                  <w:hideMark/>
                </w:tcPr>
                <w:p w14:paraId="6A0D6CC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012FDAD" w14:textId="77777777" w:rsidR="00E45009" w:rsidRPr="00081C8E" w:rsidRDefault="00E45009" w:rsidP="00E45009">
                  <w:pPr>
                    <w:pStyle w:val="NoSpacing"/>
                    <w:rPr>
                      <w:lang w:val="en-GB"/>
                    </w:rPr>
                  </w:pPr>
                  <w:r w:rsidRPr="00081C8E">
                    <w:rPr>
                      <w:lang w:val="en-GB"/>
                    </w:rPr>
                    <w:t>3.79</w:t>
                  </w:r>
                </w:p>
              </w:tc>
              <w:tc>
                <w:tcPr>
                  <w:tcW w:w="427" w:type="dxa"/>
                  <w:shd w:val="clear" w:color="000000" w:fill="FFFFFF"/>
                  <w:noWrap/>
                  <w:tcMar>
                    <w:top w:w="15" w:type="dxa"/>
                    <w:left w:w="15" w:type="dxa"/>
                    <w:bottom w:w="0" w:type="dxa"/>
                    <w:right w:w="15" w:type="dxa"/>
                  </w:tcMar>
                  <w:hideMark/>
                </w:tcPr>
                <w:p w14:paraId="139A9CE2" w14:textId="77777777" w:rsidR="00E45009" w:rsidRPr="00081C8E" w:rsidRDefault="00E45009" w:rsidP="00E45009">
                  <w:pPr>
                    <w:pStyle w:val="NoSpacing"/>
                    <w:rPr>
                      <w:lang w:val="en-GB"/>
                    </w:rPr>
                  </w:pPr>
                  <w:r w:rsidRPr="00081C8E">
                    <w:rPr>
                      <w:lang w:val="en-GB"/>
                    </w:rPr>
                    <w:t>1.05</w:t>
                  </w:r>
                </w:p>
              </w:tc>
              <w:tc>
                <w:tcPr>
                  <w:tcW w:w="78" w:type="dxa"/>
                  <w:shd w:val="clear" w:color="000000" w:fill="FFFFFF"/>
                  <w:noWrap/>
                  <w:tcMar>
                    <w:top w:w="15" w:type="dxa"/>
                    <w:left w:w="15" w:type="dxa"/>
                    <w:bottom w:w="0" w:type="dxa"/>
                    <w:right w:w="15" w:type="dxa"/>
                  </w:tcMar>
                  <w:hideMark/>
                </w:tcPr>
                <w:p w14:paraId="2D814512"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3439B81" w14:textId="77777777" w:rsidR="00E45009" w:rsidRPr="00081C8E" w:rsidRDefault="00E45009" w:rsidP="00E45009">
                  <w:pPr>
                    <w:pStyle w:val="NoSpacing"/>
                    <w:rPr>
                      <w:lang w:val="en-GB"/>
                    </w:rPr>
                  </w:pPr>
                  <w:r w:rsidRPr="00081C8E">
                    <w:rPr>
                      <w:lang w:val="en-GB"/>
                    </w:rPr>
                    <w:t>1.70</w:t>
                  </w:r>
                </w:p>
              </w:tc>
            </w:tr>
            <w:tr w:rsidR="00E45009" w:rsidRPr="00081C8E" w14:paraId="45AFAAA3" w14:textId="77777777" w:rsidTr="00DB32C0">
              <w:trPr>
                <w:trHeight w:val="255"/>
              </w:trPr>
              <w:tc>
                <w:tcPr>
                  <w:tcW w:w="185" w:type="dxa"/>
                  <w:shd w:val="clear" w:color="000000" w:fill="FFFFFF"/>
                  <w:noWrap/>
                  <w:tcMar>
                    <w:top w:w="15" w:type="dxa"/>
                    <w:left w:w="15" w:type="dxa"/>
                    <w:bottom w:w="0" w:type="dxa"/>
                    <w:right w:w="15" w:type="dxa"/>
                  </w:tcMar>
                  <w:hideMark/>
                </w:tcPr>
                <w:p w14:paraId="2C9A63C5" w14:textId="77777777" w:rsidR="00E45009" w:rsidRPr="00081C8E" w:rsidRDefault="00E45009" w:rsidP="00E45009">
                  <w:pPr>
                    <w:pStyle w:val="NoSpacing"/>
                    <w:rPr>
                      <w:lang w:val="en-GB"/>
                    </w:rPr>
                  </w:pPr>
                  <w:r w:rsidRPr="00081C8E">
                    <w:rPr>
                      <w:lang w:val="en-GB"/>
                    </w:rPr>
                    <w:t>55</w:t>
                  </w:r>
                </w:p>
              </w:tc>
              <w:tc>
                <w:tcPr>
                  <w:tcW w:w="5870" w:type="dxa"/>
                  <w:shd w:val="clear" w:color="000000" w:fill="FFFFFF"/>
                  <w:tcMar>
                    <w:top w:w="15" w:type="dxa"/>
                    <w:left w:w="15" w:type="dxa"/>
                    <w:bottom w:w="0" w:type="dxa"/>
                    <w:right w:w="15" w:type="dxa"/>
                  </w:tcMar>
                  <w:vAlign w:val="center"/>
                  <w:hideMark/>
                </w:tcPr>
                <w:p w14:paraId="39F2416D" w14:textId="77777777" w:rsidR="00E45009" w:rsidRPr="00081C8E" w:rsidRDefault="00E45009" w:rsidP="00E45009">
                  <w:pPr>
                    <w:pStyle w:val="NoSpacing"/>
                    <w:rPr>
                      <w:lang w:val="en-GB"/>
                    </w:rPr>
                  </w:pPr>
                  <w:r w:rsidRPr="00081C8E">
                    <w:rPr>
                      <w:lang w:val="en-GB"/>
                    </w:rPr>
                    <w:t>Prohibition of employers' access to their premises during industrial action</w:t>
                  </w:r>
                </w:p>
              </w:tc>
              <w:tc>
                <w:tcPr>
                  <w:tcW w:w="95" w:type="dxa"/>
                  <w:shd w:val="clear" w:color="000000" w:fill="FFFFFF"/>
                  <w:tcMar>
                    <w:top w:w="15" w:type="dxa"/>
                    <w:left w:w="15" w:type="dxa"/>
                    <w:bottom w:w="0" w:type="dxa"/>
                    <w:right w:w="15" w:type="dxa"/>
                  </w:tcMar>
                  <w:hideMark/>
                </w:tcPr>
                <w:p w14:paraId="1DC4C9A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1795B26" w14:textId="77777777" w:rsidR="00E45009" w:rsidRPr="00081C8E" w:rsidRDefault="00E45009" w:rsidP="00E45009">
                  <w:pPr>
                    <w:pStyle w:val="NoSpacing"/>
                    <w:rPr>
                      <w:lang w:val="en-GB"/>
                    </w:rPr>
                  </w:pPr>
                  <w:r w:rsidRPr="00081C8E">
                    <w:rPr>
                      <w:lang w:val="en-GB"/>
                    </w:rPr>
                    <w:t>3.54</w:t>
                  </w:r>
                </w:p>
              </w:tc>
              <w:tc>
                <w:tcPr>
                  <w:tcW w:w="427" w:type="dxa"/>
                  <w:shd w:val="clear" w:color="000000" w:fill="FFFFFF"/>
                  <w:noWrap/>
                  <w:tcMar>
                    <w:top w:w="15" w:type="dxa"/>
                    <w:left w:w="15" w:type="dxa"/>
                    <w:bottom w:w="0" w:type="dxa"/>
                    <w:right w:w="15" w:type="dxa"/>
                  </w:tcMar>
                  <w:hideMark/>
                </w:tcPr>
                <w:p w14:paraId="47AA72DB" w14:textId="77777777" w:rsidR="00E45009" w:rsidRPr="00081C8E" w:rsidRDefault="00E45009" w:rsidP="00E45009">
                  <w:pPr>
                    <w:pStyle w:val="NoSpacing"/>
                    <w:rPr>
                      <w:lang w:val="en-GB"/>
                    </w:rPr>
                  </w:pPr>
                  <w:r w:rsidRPr="00081C8E">
                    <w:rPr>
                      <w:lang w:val="en-GB"/>
                    </w:rPr>
                    <w:t>0.94</w:t>
                  </w:r>
                </w:p>
              </w:tc>
              <w:tc>
                <w:tcPr>
                  <w:tcW w:w="88" w:type="dxa"/>
                  <w:shd w:val="clear" w:color="000000" w:fill="FFFFFF"/>
                  <w:noWrap/>
                  <w:tcMar>
                    <w:top w:w="15" w:type="dxa"/>
                    <w:left w:w="15" w:type="dxa"/>
                    <w:bottom w:w="0" w:type="dxa"/>
                    <w:right w:w="15" w:type="dxa"/>
                  </w:tcMar>
                  <w:hideMark/>
                </w:tcPr>
                <w:p w14:paraId="7105224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D01257B" w14:textId="77777777" w:rsidR="00E45009" w:rsidRPr="00081C8E" w:rsidRDefault="00E45009" w:rsidP="00E45009">
                  <w:pPr>
                    <w:pStyle w:val="NoSpacing"/>
                    <w:rPr>
                      <w:lang w:val="en-GB"/>
                    </w:rPr>
                  </w:pPr>
                  <w:r w:rsidRPr="00081C8E">
                    <w:rPr>
                      <w:lang w:val="en-GB"/>
                    </w:rPr>
                    <w:t>3.57</w:t>
                  </w:r>
                </w:p>
              </w:tc>
              <w:tc>
                <w:tcPr>
                  <w:tcW w:w="427" w:type="dxa"/>
                  <w:shd w:val="clear" w:color="000000" w:fill="FFFFFF"/>
                  <w:noWrap/>
                  <w:tcMar>
                    <w:top w:w="15" w:type="dxa"/>
                    <w:left w:w="15" w:type="dxa"/>
                    <w:bottom w:w="0" w:type="dxa"/>
                    <w:right w:w="15" w:type="dxa"/>
                  </w:tcMar>
                  <w:hideMark/>
                </w:tcPr>
                <w:p w14:paraId="6007CD4D" w14:textId="77777777" w:rsidR="00E45009" w:rsidRPr="00081C8E" w:rsidRDefault="00E45009" w:rsidP="00E45009">
                  <w:pPr>
                    <w:pStyle w:val="NoSpacing"/>
                    <w:rPr>
                      <w:lang w:val="en-GB"/>
                    </w:rPr>
                  </w:pPr>
                  <w:r w:rsidRPr="00081C8E">
                    <w:rPr>
                      <w:lang w:val="en-GB"/>
                    </w:rPr>
                    <w:t>0.76</w:t>
                  </w:r>
                </w:p>
              </w:tc>
              <w:tc>
                <w:tcPr>
                  <w:tcW w:w="78" w:type="dxa"/>
                  <w:shd w:val="clear" w:color="000000" w:fill="FFFFFF"/>
                  <w:noWrap/>
                  <w:tcMar>
                    <w:top w:w="15" w:type="dxa"/>
                    <w:left w:w="15" w:type="dxa"/>
                    <w:bottom w:w="0" w:type="dxa"/>
                    <w:right w:w="15" w:type="dxa"/>
                  </w:tcMar>
                  <w:hideMark/>
                </w:tcPr>
                <w:p w14:paraId="265BF949"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1773817" w14:textId="77777777" w:rsidR="00E45009" w:rsidRPr="00081C8E" w:rsidRDefault="00E45009" w:rsidP="00E45009">
                  <w:pPr>
                    <w:pStyle w:val="NoSpacing"/>
                    <w:rPr>
                      <w:lang w:val="en-GB"/>
                    </w:rPr>
                  </w:pPr>
                  <w:r w:rsidRPr="00081C8E">
                    <w:rPr>
                      <w:lang w:val="en-GB"/>
                    </w:rPr>
                    <w:t>1.64</w:t>
                  </w:r>
                </w:p>
              </w:tc>
            </w:tr>
            <w:tr w:rsidR="00E45009" w:rsidRPr="00081C8E" w14:paraId="0259DBAA" w14:textId="77777777" w:rsidTr="00DB32C0">
              <w:trPr>
                <w:trHeight w:val="255"/>
              </w:trPr>
              <w:tc>
                <w:tcPr>
                  <w:tcW w:w="185" w:type="dxa"/>
                  <w:shd w:val="clear" w:color="000000" w:fill="FFFFFF"/>
                  <w:noWrap/>
                  <w:tcMar>
                    <w:top w:w="15" w:type="dxa"/>
                    <w:left w:w="15" w:type="dxa"/>
                    <w:bottom w:w="0" w:type="dxa"/>
                    <w:right w:w="15" w:type="dxa"/>
                  </w:tcMar>
                  <w:hideMark/>
                </w:tcPr>
                <w:p w14:paraId="7F3218B6" w14:textId="77777777" w:rsidR="00E45009" w:rsidRPr="00081C8E" w:rsidRDefault="00E45009" w:rsidP="00E45009">
                  <w:pPr>
                    <w:pStyle w:val="NoSpacing"/>
                    <w:rPr>
                      <w:lang w:val="en-GB"/>
                    </w:rPr>
                  </w:pPr>
                  <w:r w:rsidRPr="00081C8E">
                    <w:rPr>
                      <w:lang w:val="en-GB"/>
                    </w:rPr>
                    <w:t>56</w:t>
                  </w:r>
                </w:p>
              </w:tc>
              <w:tc>
                <w:tcPr>
                  <w:tcW w:w="5870" w:type="dxa"/>
                  <w:shd w:val="clear" w:color="000000" w:fill="FFFFFF"/>
                  <w:tcMar>
                    <w:top w:w="15" w:type="dxa"/>
                    <w:left w:w="15" w:type="dxa"/>
                    <w:bottom w:w="0" w:type="dxa"/>
                    <w:right w:w="15" w:type="dxa"/>
                  </w:tcMar>
                  <w:vAlign w:val="center"/>
                  <w:hideMark/>
                </w:tcPr>
                <w:p w14:paraId="3FEAF4BB" w14:textId="77777777" w:rsidR="00E45009" w:rsidRPr="00081C8E" w:rsidRDefault="00E45009" w:rsidP="00E45009">
                  <w:pPr>
                    <w:pStyle w:val="NoSpacing"/>
                    <w:rPr>
                      <w:lang w:val="en-GB"/>
                    </w:rPr>
                  </w:pPr>
                  <w:r w:rsidRPr="00081C8E">
                    <w:rPr>
                      <w:lang w:val="en-GB"/>
                    </w:rPr>
                    <w:t>Lack of guarantee of due process and/or justice re violations nos. 50-55</w:t>
                  </w:r>
                </w:p>
              </w:tc>
              <w:tc>
                <w:tcPr>
                  <w:tcW w:w="95" w:type="dxa"/>
                  <w:shd w:val="clear" w:color="000000" w:fill="FFFFFF"/>
                  <w:tcMar>
                    <w:top w:w="15" w:type="dxa"/>
                    <w:left w:w="15" w:type="dxa"/>
                    <w:bottom w:w="0" w:type="dxa"/>
                    <w:right w:w="15" w:type="dxa"/>
                  </w:tcMar>
                  <w:hideMark/>
                </w:tcPr>
                <w:p w14:paraId="33BB721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914B320" w14:textId="77777777" w:rsidR="00E45009" w:rsidRPr="00081C8E" w:rsidRDefault="00E45009" w:rsidP="00E45009">
                  <w:pPr>
                    <w:pStyle w:val="NoSpacing"/>
                    <w:rPr>
                      <w:lang w:val="en-GB"/>
                    </w:rPr>
                  </w:pPr>
                  <w:r w:rsidRPr="00081C8E">
                    <w:rPr>
                      <w:lang w:val="en-GB"/>
                    </w:rPr>
                    <w:t>3.85</w:t>
                  </w:r>
                </w:p>
              </w:tc>
              <w:tc>
                <w:tcPr>
                  <w:tcW w:w="427" w:type="dxa"/>
                  <w:shd w:val="clear" w:color="000000" w:fill="FFFFFF"/>
                  <w:noWrap/>
                  <w:tcMar>
                    <w:top w:w="15" w:type="dxa"/>
                    <w:left w:w="15" w:type="dxa"/>
                    <w:bottom w:w="0" w:type="dxa"/>
                    <w:right w:w="15" w:type="dxa"/>
                  </w:tcMar>
                  <w:hideMark/>
                </w:tcPr>
                <w:p w14:paraId="6A289323" w14:textId="77777777" w:rsidR="00E45009" w:rsidRPr="00081C8E" w:rsidRDefault="00E45009" w:rsidP="00E45009">
                  <w:pPr>
                    <w:pStyle w:val="NoSpacing"/>
                    <w:rPr>
                      <w:lang w:val="en-GB"/>
                    </w:rPr>
                  </w:pPr>
                  <w:r w:rsidRPr="00081C8E">
                    <w:rPr>
                      <w:lang w:val="en-GB"/>
                    </w:rPr>
                    <w:t>1.17</w:t>
                  </w:r>
                </w:p>
              </w:tc>
              <w:tc>
                <w:tcPr>
                  <w:tcW w:w="88" w:type="dxa"/>
                  <w:shd w:val="clear" w:color="000000" w:fill="FFFFFF"/>
                  <w:noWrap/>
                  <w:tcMar>
                    <w:top w:w="15" w:type="dxa"/>
                    <w:left w:w="15" w:type="dxa"/>
                    <w:bottom w:w="0" w:type="dxa"/>
                    <w:right w:w="15" w:type="dxa"/>
                  </w:tcMar>
                  <w:hideMark/>
                </w:tcPr>
                <w:p w14:paraId="31A18E9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DE90244" w14:textId="77777777" w:rsidR="00E45009" w:rsidRPr="00081C8E" w:rsidRDefault="00E45009" w:rsidP="00E45009">
                  <w:pPr>
                    <w:pStyle w:val="NoSpacing"/>
                    <w:rPr>
                      <w:lang w:val="en-GB"/>
                    </w:rPr>
                  </w:pPr>
                  <w:r w:rsidRPr="00081C8E">
                    <w:rPr>
                      <w:lang w:val="en-GB"/>
                    </w:rPr>
                    <w:t>4.14</w:t>
                  </w:r>
                </w:p>
              </w:tc>
              <w:tc>
                <w:tcPr>
                  <w:tcW w:w="427" w:type="dxa"/>
                  <w:shd w:val="clear" w:color="000000" w:fill="FFFFFF"/>
                  <w:noWrap/>
                  <w:tcMar>
                    <w:top w:w="15" w:type="dxa"/>
                    <w:left w:w="15" w:type="dxa"/>
                    <w:bottom w:w="0" w:type="dxa"/>
                    <w:right w:w="15" w:type="dxa"/>
                  </w:tcMar>
                  <w:hideMark/>
                </w:tcPr>
                <w:p w14:paraId="0F08AD65" w14:textId="77777777" w:rsidR="00E45009" w:rsidRPr="00081C8E" w:rsidRDefault="00E45009" w:rsidP="00E45009">
                  <w:pPr>
                    <w:pStyle w:val="NoSpacing"/>
                    <w:rPr>
                      <w:lang w:val="en-GB"/>
                    </w:rPr>
                  </w:pPr>
                  <w:r w:rsidRPr="00081C8E">
                    <w:rPr>
                      <w:lang w:val="en-GB"/>
                    </w:rPr>
                    <w:t>0.86</w:t>
                  </w:r>
                </w:p>
              </w:tc>
              <w:tc>
                <w:tcPr>
                  <w:tcW w:w="78" w:type="dxa"/>
                  <w:shd w:val="clear" w:color="000000" w:fill="FFFFFF"/>
                  <w:noWrap/>
                  <w:tcMar>
                    <w:top w:w="15" w:type="dxa"/>
                    <w:left w:w="15" w:type="dxa"/>
                    <w:bottom w:w="0" w:type="dxa"/>
                    <w:right w:w="15" w:type="dxa"/>
                  </w:tcMar>
                  <w:hideMark/>
                </w:tcPr>
                <w:p w14:paraId="5AF0A22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C88ACCB" w14:textId="77777777" w:rsidR="00E45009" w:rsidRPr="00081C8E" w:rsidRDefault="00E45009" w:rsidP="00E45009">
                  <w:pPr>
                    <w:pStyle w:val="NoSpacing"/>
                    <w:rPr>
                      <w:lang w:val="en-GB"/>
                    </w:rPr>
                  </w:pPr>
                  <w:r w:rsidRPr="00081C8E">
                    <w:rPr>
                      <w:lang w:val="en-GB"/>
                    </w:rPr>
                    <w:t>1.79</w:t>
                  </w:r>
                </w:p>
              </w:tc>
            </w:tr>
            <w:tr w:rsidR="00E45009" w:rsidRPr="00081C8E" w14:paraId="369DAE60" w14:textId="77777777" w:rsidTr="00DB32C0">
              <w:trPr>
                <w:trHeight w:val="255"/>
              </w:trPr>
              <w:tc>
                <w:tcPr>
                  <w:tcW w:w="185" w:type="dxa"/>
                  <w:shd w:val="clear" w:color="000000" w:fill="FFFFFF"/>
                  <w:noWrap/>
                  <w:tcMar>
                    <w:top w:w="15" w:type="dxa"/>
                    <w:left w:w="15" w:type="dxa"/>
                    <w:bottom w:w="0" w:type="dxa"/>
                    <w:right w:w="15" w:type="dxa"/>
                  </w:tcMar>
                  <w:hideMark/>
                </w:tcPr>
                <w:p w14:paraId="4C4CBC28" w14:textId="77777777" w:rsidR="00E45009" w:rsidRPr="00081C8E" w:rsidRDefault="00E45009" w:rsidP="00E45009">
                  <w:pPr>
                    <w:pStyle w:val="NoSpacing"/>
                    <w:rPr>
                      <w:lang w:val="en-GB"/>
                    </w:rPr>
                  </w:pPr>
                  <w:r w:rsidRPr="00081C8E">
                    <w:rPr>
                      <w:lang w:val="en-GB"/>
                    </w:rPr>
                    <w:t> </w:t>
                  </w:r>
                </w:p>
              </w:tc>
              <w:tc>
                <w:tcPr>
                  <w:tcW w:w="5870" w:type="dxa"/>
                  <w:shd w:val="clear" w:color="000000" w:fill="FFFFFF"/>
                  <w:tcMar>
                    <w:top w:w="15" w:type="dxa"/>
                    <w:left w:w="15" w:type="dxa"/>
                    <w:bottom w:w="0" w:type="dxa"/>
                    <w:right w:w="15" w:type="dxa"/>
                  </w:tcMar>
                  <w:vAlign w:val="center"/>
                  <w:hideMark/>
                </w:tcPr>
                <w:p w14:paraId="36DB3B9A" w14:textId="77777777" w:rsidR="00E45009" w:rsidRPr="00081C8E" w:rsidRDefault="00E45009" w:rsidP="00E45009">
                  <w:pPr>
                    <w:pStyle w:val="NoSpacing"/>
                    <w:rPr>
                      <w:b/>
                      <w:bCs/>
                      <w:lang w:val="en-GB"/>
                    </w:rPr>
                  </w:pPr>
                  <w:r w:rsidRPr="00081C8E">
                    <w:rPr>
                      <w:b/>
                      <w:bCs/>
                      <w:lang w:val="en-GB"/>
                    </w:rPr>
                    <w:t>IVa. Right to collective bargaining in law</w:t>
                  </w:r>
                </w:p>
              </w:tc>
              <w:tc>
                <w:tcPr>
                  <w:tcW w:w="95" w:type="dxa"/>
                  <w:shd w:val="clear" w:color="000000" w:fill="FFFFFF"/>
                  <w:tcMar>
                    <w:top w:w="15" w:type="dxa"/>
                    <w:left w:w="15" w:type="dxa"/>
                    <w:bottom w:w="0" w:type="dxa"/>
                    <w:right w:w="15" w:type="dxa"/>
                  </w:tcMar>
                  <w:hideMark/>
                </w:tcPr>
                <w:p w14:paraId="138A5119"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3C55F0DE"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480644BF"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338833E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B3BB03C"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0BE4B1AF"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5F814FC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EDE70E3" w14:textId="77777777" w:rsidR="00E45009" w:rsidRPr="00081C8E" w:rsidRDefault="00E45009" w:rsidP="00E45009">
                  <w:pPr>
                    <w:pStyle w:val="NoSpacing"/>
                    <w:rPr>
                      <w:lang w:val="en-GB"/>
                    </w:rPr>
                  </w:pPr>
                  <w:r w:rsidRPr="00081C8E">
                    <w:rPr>
                      <w:lang w:val="en-GB"/>
                    </w:rPr>
                    <w:t> </w:t>
                  </w:r>
                </w:p>
              </w:tc>
            </w:tr>
            <w:tr w:rsidR="00E45009" w:rsidRPr="00081C8E" w14:paraId="752FDE53" w14:textId="77777777" w:rsidTr="00DB32C0">
              <w:trPr>
                <w:trHeight w:val="255"/>
              </w:trPr>
              <w:tc>
                <w:tcPr>
                  <w:tcW w:w="185" w:type="dxa"/>
                  <w:shd w:val="clear" w:color="000000" w:fill="FFFFFF"/>
                  <w:noWrap/>
                  <w:tcMar>
                    <w:top w:w="15" w:type="dxa"/>
                    <w:left w:w="15" w:type="dxa"/>
                    <w:bottom w:w="0" w:type="dxa"/>
                    <w:right w:w="15" w:type="dxa"/>
                  </w:tcMar>
                  <w:hideMark/>
                </w:tcPr>
                <w:p w14:paraId="5A3760BB" w14:textId="77777777" w:rsidR="00E45009" w:rsidRPr="00081C8E" w:rsidRDefault="00E45009" w:rsidP="00E45009">
                  <w:pPr>
                    <w:pStyle w:val="NoSpacing"/>
                    <w:rPr>
                      <w:lang w:val="en-GB"/>
                    </w:rPr>
                  </w:pPr>
                  <w:r w:rsidRPr="00081C8E">
                    <w:rPr>
                      <w:lang w:val="en-GB"/>
                    </w:rPr>
                    <w:t>57</w:t>
                  </w:r>
                </w:p>
              </w:tc>
              <w:tc>
                <w:tcPr>
                  <w:tcW w:w="5870" w:type="dxa"/>
                  <w:shd w:val="clear" w:color="000000" w:fill="FFFFFF"/>
                  <w:tcMar>
                    <w:top w:w="15" w:type="dxa"/>
                    <w:left w:w="15" w:type="dxa"/>
                    <w:bottom w:w="0" w:type="dxa"/>
                    <w:right w:w="15" w:type="dxa"/>
                  </w:tcMar>
                  <w:vAlign w:val="center"/>
                  <w:hideMark/>
                </w:tcPr>
                <w:p w14:paraId="1986C731" w14:textId="77777777" w:rsidR="00E45009" w:rsidRPr="00081C8E" w:rsidRDefault="00E45009" w:rsidP="00E45009">
                  <w:pPr>
                    <w:pStyle w:val="NoSpacing"/>
                    <w:rPr>
                      <w:lang w:val="en-GB"/>
                    </w:rPr>
                  </w:pPr>
                  <w:r w:rsidRPr="00081C8E">
                    <w:rPr>
                      <w:lang w:val="en-GB"/>
                    </w:rPr>
                    <w:t>General prohibition of the right to collective bargaining</w:t>
                  </w:r>
                </w:p>
              </w:tc>
              <w:tc>
                <w:tcPr>
                  <w:tcW w:w="95" w:type="dxa"/>
                  <w:shd w:val="clear" w:color="000000" w:fill="FFFFFF"/>
                  <w:tcMar>
                    <w:top w:w="15" w:type="dxa"/>
                    <w:left w:w="15" w:type="dxa"/>
                    <w:bottom w:w="0" w:type="dxa"/>
                    <w:right w:w="15" w:type="dxa"/>
                  </w:tcMar>
                  <w:hideMark/>
                </w:tcPr>
                <w:p w14:paraId="629473C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42B4082" w14:textId="77777777" w:rsidR="00E45009" w:rsidRPr="00081C8E" w:rsidRDefault="00E45009" w:rsidP="00E45009">
                  <w:pPr>
                    <w:pStyle w:val="NoSpacing"/>
                    <w:rPr>
                      <w:lang w:val="en-GB"/>
                    </w:rPr>
                  </w:pPr>
                  <w:r w:rsidRPr="00081C8E">
                    <w:rPr>
                      <w:lang w:val="en-GB"/>
                    </w:rPr>
                    <w:t>4.69</w:t>
                  </w:r>
                </w:p>
              </w:tc>
              <w:tc>
                <w:tcPr>
                  <w:tcW w:w="427" w:type="dxa"/>
                  <w:shd w:val="clear" w:color="000000" w:fill="FFFFFF"/>
                  <w:noWrap/>
                  <w:tcMar>
                    <w:top w:w="15" w:type="dxa"/>
                    <w:left w:w="15" w:type="dxa"/>
                    <w:bottom w:w="0" w:type="dxa"/>
                    <w:right w:w="15" w:type="dxa"/>
                  </w:tcMar>
                  <w:hideMark/>
                </w:tcPr>
                <w:p w14:paraId="3A56AE8B" w14:textId="77777777" w:rsidR="00E45009" w:rsidRPr="00081C8E" w:rsidRDefault="00E45009" w:rsidP="00E45009">
                  <w:pPr>
                    <w:pStyle w:val="NoSpacing"/>
                    <w:rPr>
                      <w:lang w:val="en-GB"/>
                    </w:rPr>
                  </w:pPr>
                  <w:r w:rsidRPr="00081C8E">
                    <w:rPr>
                      <w:lang w:val="en-GB"/>
                    </w:rPr>
                    <w:t>0.61</w:t>
                  </w:r>
                </w:p>
              </w:tc>
              <w:tc>
                <w:tcPr>
                  <w:tcW w:w="88" w:type="dxa"/>
                  <w:shd w:val="clear" w:color="000000" w:fill="FFFFFF"/>
                  <w:noWrap/>
                  <w:tcMar>
                    <w:top w:w="15" w:type="dxa"/>
                    <w:left w:w="15" w:type="dxa"/>
                    <w:bottom w:w="0" w:type="dxa"/>
                    <w:right w:w="15" w:type="dxa"/>
                  </w:tcMar>
                  <w:hideMark/>
                </w:tcPr>
                <w:p w14:paraId="2A72D2F4"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213A6EC" w14:textId="77777777" w:rsidR="00E45009" w:rsidRPr="00081C8E" w:rsidRDefault="00E45009" w:rsidP="00E45009">
                  <w:pPr>
                    <w:pStyle w:val="NoSpacing"/>
                    <w:rPr>
                      <w:lang w:val="en-GB"/>
                    </w:rPr>
                  </w:pPr>
                  <w:r w:rsidRPr="00081C8E">
                    <w:rPr>
                      <w:lang w:val="en-GB"/>
                    </w:rPr>
                    <w:t>4.71</w:t>
                  </w:r>
                </w:p>
              </w:tc>
              <w:tc>
                <w:tcPr>
                  <w:tcW w:w="427" w:type="dxa"/>
                  <w:shd w:val="clear" w:color="000000" w:fill="FFFFFF"/>
                  <w:noWrap/>
                  <w:tcMar>
                    <w:top w:w="15" w:type="dxa"/>
                    <w:left w:w="15" w:type="dxa"/>
                    <w:bottom w:w="0" w:type="dxa"/>
                    <w:right w:w="15" w:type="dxa"/>
                  </w:tcMar>
                  <w:hideMark/>
                </w:tcPr>
                <w:p w14:paraId="16F75BC4"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2A88323D"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5FC254D" w14:textId="77777777" w:rsidR="00E45009" w:rsidRPr="00081C8E" w:rsidRDefault="00E45009" w:rsidP="00E45009">
                  <w:pPr>
                    <w:pStyle w:val="NoSpacing"/>
                    <w:rPr>
                      <w:lang w:val="en-GB"/>
                    </w:rPr>
                  </w:pPr>
                  <w:r w:rsidRPr="00081C8E">
                    <w:rPr>
                      <w:lang w:val="en-GB"/>
                    </w:rPr>
                    <w:t>1.93</w:t>
                  </w:r>
                </w:p>
              </w:tc>
            </w:tr>
            <w:tr w:rsidR="00E45009" w:rsidRPr="00081C8E" w14:paraId="7B905338" w14:textId="77777777" w:rsidTr="00DB32C0">
              <w:trPr>
                <w:trHeight w:val="255"/>
              </w:trPr>
              <w:tc>
                <w:tcPr>
                  <w:tcW w:w="185" w:type="dxa"/>
                  <w:shd w:val="clear" w:color="000000" w:fill="FFFFFF"/>
                  <w:noWrap/>
                  <w:tcMar>
                    <w:top w:w="15" w:type="dxa"/>
                    <w:left w:w="15" w:type="dxa"/>
                    <w:bottom w:w="0" w:type="dxa"/>
                    <w:right w:w="15" w:type="dxa"/>
                  </w:tcMar>
                  <w:hideMark/>
                </w:tcPr>
                <w:p w14:paraId="487110CF" w14:textId="77777777" w:rsidR="00E45009" w:rsidRPr="00081C8E" w:rsidRDefault="00E45009" w:rsidP="00E45009">
                  <w:pPr>
                    <w:pStyle w:val="NoSpacing"/>
                    <w:rPr>
                      <w:lang w:val="en-GB"/>
                    </w:rPr>
                  </w:pPr>
                  <w:r w:rsidRPr="00081C8E">
                    <w:rPr>
                      <w:lang w:val="en-GB"/>
                    </w:rPr>
                    <w:t>58</w:t>
                  </w:r>
                </w:p>
              </w:tc>
              <w:tc>
                <w:tcPr>
                  <w:tcW w:w="5870" w:type="dxa"/>
                  <w:shd w:val="clear" w:color="000000" w:fill="FFFFFF"/>
                  <w:tcMar>
                    <w:top w:w="15" w:type="dxa"/>
                    <w:left w:w="15" w:type="dxa"/>
                    <w:bottom w:w="0" w:type="dxa"/>
                    <w:right w:w="15" w:type="dxa"/>
                  </w:tcMar>
                  <w:vAlign w:val="center"/>
                  <w:hideMark/>
                </w:tcPr>
                <w:p w14:paraId="349EBC60" w14:textId="77777777" w:rsidR="00E45009" w:rsidRPr="00081C8E" w:rsidRDefault="00E45009" w:rsidP="00E45009">
                  <w:pPr>
                    <w:pStyle w:val="NoSpacing"/>
                    <w:rPr>
                      <w:lang w:val="en-GB"/>
                    </w:rPr>
                  </w:pPr>
                  <w:r w:rsidRPr="00081C8E">
                    <w:rPr>
                      <w:lang w:val="en-GB"/>
                    </w:rPr>
                    <w:t>Insufficient promotion of collective bargaining</w:t>
                  </w:r>
                </w:p>
              </w:tc>
              <w:tc>
                <w:tcPr>
                  <w:tcW w:w="95" w:type="dxa"/>
                  <w:shd w:val="clear" w:color="000000" w:fill="FFFFFF"/>
                  <w:tcMar>
                    <w:top w:w="15" w:type="dxa"/>
                    <w:left w:w="15" w:type="dxa"/>
                    <w:bottom w:w="0" w:type="dxa"/>
                    <w:right w:w="15" w:type="dxa"/>
                  </w:tcMar>
                  <w:hideMark/>
                </w:tcPr>
                <w:p w14:paraId="48AD8D49"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511FE43" w14:textId="77777777" w:rsidR="00E45009" w:rsidRPr="00081C8E" w:rsidRDefault="00E45009" w:rsidP="00E45009">
                  <w:pPr>
                    <w:pStyle w:val="NoSpacing"/>
                    <w:rPr>
                      <w:lang w:val="en-GB"/>
                    </w:rPr>
                  </w:pPr>
                  <w:r w:rsidRPr="00081C8E">
                    <w:rPr>
                      <w:lang w:val="en-GB"/>
                    </w:rPr>
                    <w:t>2.77</w:t>
                  </w:r>
                </w:p>
              </w:tc>
              <w:tc>
                <w:tcPr>
                  <w:tcW w:w="427" w:type="dxa"/>
                  <w:shd w:val="clear" w:color="000000" w:fill="FFFFFF"/>
                  <w:noWrap/>
                  <w:tcMar>
                    <w:top w:w="15" w:type="dxa"/>
                    <w:left w:w="15" w:type="dxa"/>
                    <w:bottom w:w="0" w:type="dxa"/>
                    <w:right w:w="15" w:type="dxa"/>
                  </w:tcMar>
                  <w:hideMark/>
                </w:tcPr>
                <w:p w14:paraId="5E543AE3" w14:textId="77777777" w:rsidR="00E45009" w:rsidRPr="00081C8E" w:rsidRDefault="00E45009" w:rsidP="00E45009">
                  <w:pPr>
                    <w:pStyle w:val="NoSpacing"/>
                    <w:rPr>
                      <w:lang w:val="en-GB"/>
                    </w:rPr>
                  </w:pPr>
                  <w:r w:rsidRPr="00081C8E">
                    <w:rPr>
                      <w:lang w:val="en-GB"/>
                    </w:rPr>
                    <w:t>0.97</w:t>
                  </w:r>
                </w:p>
              </w:tc>
              <w:tc>
                <w:tcPr>
                  <w:tcW w:w="88" w:type="dxa"/>
                  <w:shd w:val="clear" w:color="000000" w:fill="FFFFFF"/>
                  <w:noWrap/>
                  <w:tcMar>
                    <w:top w:w="15" w:type="dxa"/>
                    <w:left w:w="15" w:type="dxa"/>
                    <w:bottom w:w="0" w:type="dxa"/>
                    <w:right w:w="15" w:type="dxa"/>
                  </w:tcMar>
                  <w:hideMark/>
                </w:tcPr>
                <w:p w14:paraId="6063FB8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6B5DE9B" w14:textId="77777777" w:rsidR="00E45009" w:rsidRPr="00081C8E" w:rsidRDefault="00E45009" w:rsidP="00E45009">
                  <w:pPr>
                    <w:pStyle w:val="NoSpacing"/>
                    <w:rPr>
                      <w:lang w:val="en-GB"/>
                    </w:rPr>
                  </w:pPr>
                  <w:r w:rsidRPr="00081C8E">
                    <w:rPr>
                      <w:lang w:val="en-GB"/>
                    </w:rPr>
                    <w:t>2.79</w:t>
                  </w:r>
                </w:p>
              </w:tc>
              <w:tc>
                <w:tcPr>
                  <w:tcW w:w="427" w:type="dxa"/>
                  <w:shd w:val="clear" w:color="000000" w:fill="FFFFFF"/>
                  <w:noWrap/>
                  <w:tcMar>
                    <w:top w:w="15" w:type="dxa"/>
                    <w:left w:w="15" w:type="dxa"/>
                    <w:bottom w:w="0" w:type="dxa"/>
                    <w:right w:w="15" w:type="dxa"/>
                  </w:tcMar>
                  <w:hideMark/>
                </w:tcPr>
                <w:p w14:paraId="3A29DBB7" w14:textId="77777777" w:rsidR="00E45009" w:rsidRPr="00081C8E" w:rsidRDefault="00E45009" w:rsidP="00E45009">
                  <w:pPr>
                    <w:pStyle w:val="NoSpacing"/>
                    <w:rPr>
                      <w:lang w:val="en-GB"/>
                    </w:rPr>
                  </w:pPr>
                  <w:r w:rsidRPr="00081C8E">
                    <w:rPr>
                      <w:lang w:val="en-GB"/>
                    </w:rPr>
                    <w:t>0.70</w:t>
                  </w:r>
                </w:p>
              </w:tc>
              <w:tc>
                <w:tcPr>
                  <w:tcW w:w="78" w:type="dxa"/>
                  <w:shd w:val="clear" w:color="000000" w:fill="FFFFFF"/>
                  <w:noWrap/>
                  <w:tcMar>
                    <w:top w:w="15" w:type="dxa"/>
                    <w:left w:w="15" w:type="dxa"/>
                    <w:bottom w:w="0" w:type="dxa"/>
                    <w:right w:w="15" w:type="dxa"/>
                  </w:tcMar>
                  <w:hideMark/>
                </w:tcPr>
                <w:p w14:paraId="72DEDB9C"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6A9BF198" w14:textId="77777777" w:rsidR="00E45009" w:rsidRPr="00081C8E" w:rsidRDefault="00E45009" w:rsidP="00E45009">
                  <w:pPr>
                    <w:pStyle w:val="NoSpacing"/>
                    <w:rPr>
                      <w:lang w:val="en-GB"/>
                    </w:rPr>
                  </w:pPr>
                  <w:r w:rsidRPr="00081C8E">
                    <w:rPr>
                      <w:lang w:val="en-GB"/>
                    </w:rPr>
                    <w:t>1.45</w:t>
                  </w:r>
                </w:p>
              </w:tc>
            </w:tr>
            <w:tr w:rsidR="00E45009" w:rsidRPr="00081C8E" w14:paraId="5D12E3AE" w14:textId="77777777" w:rsidTr="00DB32C0">
              <w:trPr>
                <w:trHeight w:val="255"/>
              </w:trPr>
              <w:tc>
                <w:tcPr>
                  <w:tcW w:w="185" w:type="dxa"/>
                  <w:shd w:val="clear" w:color="000000" w:fill="FFFFFF"/>
                  <w:noWrap/>
                  <w:tcMar>
                    <w:top w:w="15" w:type="dxa"/>
                    <w:left w:w="15" w:type="dxa"/>
                    <w:bottom w:w="0" w:type="dxa"/>
                    <w:right w:w="15" w:type="dxa"/>
                  </w:tcMar>
                  <w:hideMark/>
                </w:tcPr>
                <w:p w14:paraId="6AD586F9" w14:textId="77777777" w:rsidR="00E45009" w:rsidRPr="00081C8E" w:rsidRDefault="00E45009" w:rsidP="00E45009">
                  <w:pPr>
                    <w:pStyle w:val="NoSpacing"/>
                    <w:rPr>
                      <w:lang w:val="en-GB"/>
                    </w:rPr>
                  </w:pPr>
                  <w:r w:rsidRPr="00081C8E">
                    <w:rPr>
                      <w:lang w:val="en-GB"/>
                    </w:rPr>
                    <w:t>59</w:t>
                  </w:r>
                </w:p>
              </w:tc>
              <w:tc>
                <w:tcPr>
                  <w:tcW w:w="5870" w:type="dxa"/>
                  <w:shd w:val="clear" w:color="000000" w:fill="FFFFFF"/>
                  <w:tcMar>
                    <w:top w:w="15" w:type="dxa"/>
                    <w:left w:w="15" w:type="dxa"/>
                    <w:bottom w:w="0" w:type="dxa"/>
                    <w:right w:w="15" w:type="dxa"/>
                  </w:tcMar>
                  <w:vAlign w:val="center"/>
                  <w:hideMark/>
                </w:tcPr>
                <w:p w14:paraId="1CA7F393" w14:textId="77777777" w:rsidR="00E45009" w:rsidRPr="00081C8E" w:rsidRDefault="00E45009" w:rsidP="00E45009">
                  <w:pPr>
                    <w:pStyle w:val="NoSpacing"/>
                    <w:rPr>
                      <w:lang w:val="en-GB"/>
                    </w:rPr>
                  </w:pPr>
                  <w:r w:rsidRPr="00081C8E">
                    <w:rPr>
                      <w:lang w:val="en-GB"/>
                    </w:rPr>
                    <w:t>Exclusion of employers from the right to collective bargaining</w:t>
                  </w:r>
                </w:p>
              </w:tc>
              <w:tc>
                <w:tcPr>
                  <w:tcW w:w="95" w:type="dxa"/>
                  <w:shd w:val="clear" w:color="000000" w:fill="FFFFFF"/>
                  <w:tcMar>
                    <w:top w:w="15" w:type="dxa"/>
                    <w:left w:w="15" w:type="dxa"/>
                    <w:bottom w:w="0" w:type="dxa"/>
                    <w:right w:w="15" w:type="dxa"/>
                  </w:tcMar>
                  <w:hideMark/>
                </w:tcPr>
                <w:p w14:paraId="7237FE4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922EC9E" w14:textId="77777777" w:rsidR="00E45009" w:rsidRPr="00081C8E" w:rsidRDefault="00E45009" w:rsidP="00E45009">
                  <w:pPr>
                    <w:pStyle w:val="NoSpacing"/>
                    <w:rPr>
                      <w:lang w:val="en-GB"/>
                    </w:rPr>
                  </w:pPr>
                  <w:r w:rsidRPr="00081C8E">
                    <w:rPr>
                      <w:lang w:val="en-GB"/>
                    </w:rPr>
                    <w:t>4.15</w:t>
                  </w:r>
                </w:p>
              </w:tc>
              <w:tc>
                <w:tcPr>
                  <w:tcW w:w="427" w:type="dxa"/>
                  <w:shd w:val="clear" w:color="000000" w:fill="FFFFFF"/>
                  <w:noWrap/>
                  <w:tcMar>
                    <w:top w:w="15" w:type="dxa"/>
                    <w:left w:w="15" w:type="dxa"/>
                    <w:bottom w:w="0" w:type="dxa"/>
                    <w:right w:w="15" w:type="dxa"/>
                  </w:tcMar>
                  <w:hideMark/>
                </w:tcPr>
                <w:p w14:paraId="7BDC48EE" w14:textId="77777777" w:rsidR="00E45009" w:rsidRPr="00081C8E" w:rsidRDefault="00E45009" w:rsidP="00E45009">
                  <w:pPr>
                    <w:pStyle w:val="NoSpacing"/>
                    <w:rPr>
                      <w:lang w:val="en-GB"/>
                    </w:rPr>
                  </w:pPr>
                  <w:r w:rsidRPr="00081C8E">
                    <w:rPr>
                      <w:lang w:val="en-GB"/>
                    </w:rPr>
                    <w:t>0.77</w:t>
                  </w:r>
                </w:p>
              </w:tc>
              <w:tc>
                <w:tcPr>
                  <w:tcW w:w="88" w:type="dxa"/>
                  <w:shd w:val="clear" w:color="000000" w:fill="FFFFFF"/>
                  <w:noWrap/>
                  <w:tcMar>
                    <w:top w:w="15" w:type="dxa"/>
                    <w:left w:w="15" w:type="dxa"/>
                    <w:bottom w:w="0" w:type="dxa"/>
                    <w:right w:w="15" w:type="dxa"/>
                  </w:tcMar>
                  <w:hideMark/>
                </w:tcPr>
                <w:p w14:paraId="4CE6C30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BD3D09C" w14:textId="77777777" w:rsidR="00E45009" w:rsidRPr="00081C8E" w:rsidRDefault="00E45009" w:rsidP="00E45009">
                  <w:pPr>
                    <w:pStyle w:val="NoSpacing"/>
                    <w:rPr>
                      <w:lang w:val="en-GB"/>
                    </w:rPr>
                  </w:pPr>
                  <w:r w:rsidRPr="00081C8E">
                    <w:rPr>
                      <w:lang w:val="en-GB"/>
                    </w:rPr>
                    <w:t>4.29</w:t>
                  </w:r>
                </w:p>
              </w:tc>
              <w:tc>
                <w:tcPr>
                  <w:tcW w:w="427" w:type="dxa"/>
                  <w:shd w:val="clear" w:color="000000" w:fill="FFFFFF"/>
                  <w:noWrap/>
                  <w:tcMar>
                    <w:top w:w="15" w:type="dxa"/>
                    <w:left w:w="15" w:type="dxa"/>
                    <w:bottom w:w="0" w:type="dxa"/>
                    <w:right w:w="15" w:type="dxa"/>
                  </w:tcMar>
                  <w:hideMark/>
                </w:tcPr>
                <w:p w14:paraId="17F6C2F2"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70A18252"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F117DC5" w14:textId="77777777" w:rsidR="00E45009" w:rsidRPr="00081C8E" w:rsidRDefault="00E45009" w:rsidP="00E45009">
                  <w:pPr>
                    <w:pStyle w:val="NoSpacing"/>
                    <w:rPr>
                      <w:lang w:val="en-GB"/>
                    </w:rPr>
                  </w:pPr>
                  <w:r w:rsidRPr="00081C8E">
                    <w:rPr>
                      <w:lang w:val="en-GB"/>
                    </w:rPr>
                    <w:t>1.82</w:t>
                  </w:r>
                </w:p>
              </w:tc>
            </w:tr>
            <w:tr w:rsidR="00E45009" w:rsidRPr="00081C8E" w14:paraId="0C19AD68" w14:textId="77777777" w:rsidTr="00DB32C0">
              <w:trPr>
                <w:trHeight w:val="255"/>
              </w:trPr>
              <w:tc>
                <w:tcPr>
                  <w:tcW w:w="185" w:type="dxa"/>
                  <w:shd w:val="clear" w:color="000000" w:fill="FFFFFF"/>
                  <w:noWrap/>
                  <w:tcMar>
                    <w:top w:w="15" w:type="dxa"/>
                    <w:left w:w="15" w:type="dxa"/>
                    <w:bottom w:w="0" w:type="dxa"/>
                    <w:right w:w="15" w:type="dxa"/>
                  </w:tcMar>
                  <w:hideMark/>
                </w:tcPr>
                <w:p w14:paraId="38B56074" w14:textId="77777777" w:rsidR="00E45009" w:rsidRPr="00081C8E" w:rsidRDefault="00E45009" w:rsidP="00E45009">
                  <w:pPr>
                    <w:pStyle w:val="NoSpacing"/>
                    <w:rPr>
                      <w:lang w:val="en-GB"/>
                    </w:rPr>
                  </w:pPr>
                  <w:r w:rsidRPr="00081C8E">
                    <w:rPr>
                      <w:lang w:val="en-GB"/>
                    </w:rPr>
                    <w:t>60</w:t>
                  </w:r>
                </w:p>
              </w:tc>
              <w:tc>
                <w:tcPr>
                  <w:tcW w:w="5870" w:type="dxa"/>
                  <w:shd w:val="clear" w:color="000000" w:fill="FFFFFF"/>
                  <w:tcMar>
                    <w:top w:w="15" w:type="dxa"/>
                    <w:left w:w="15" w:type="dxa"/>
                    <w:bottom w:w="0" w:type="dxa"/>
                    <w:right w:w="15" w:type="dxa"/>
                  </w:tcMar>
                  <w:vAlign w:val="center"/>
                  <w:hideMark/>
                </w:tcPr>
                <w:p w14:paraId="21421E9B" w14:textId="77777777" w:rsidR="00E45009" w:rsidRPr="00081C8E" w:rsidRDefault="00E45009" w:rsidP="00E45009">
                  <w:pPr>
                    <w:pStyle w:val="NoSpacing"/>
                    <w:rPr>
                      <w:lang w:val="en-GB"/>
                    </w:rPr>
                  </w:pPr>
                  <w:r w:rsidRPr="00081C8E">
                    <w:rPr>
                      <w:lang w:val="en-GB"/>
                    </w:rPr>
                    <w:t>Exclusion/restriction of subjects covered by collective bargaining</w:t>
                  </w:r>
                </w:p>
              </w:tc>
              <w:tc>
                <w:tcPr>
                  <w:tcW w:w="95" w:type="dxa"/>
                  <w:shd w:val="clear" w:color="000000" w:fill="FFFFFF"/>
                  <w:tcMar>
                    <w:top w:w="15" w:type="dxa"/>
                    <w:left w:w="15" w:type="dxa"/>
                    <w:bottom w:w="0" w:type="dxa"/>
                    <w:right w:w="15" w:type="dxa"/>
                  </w:tcMar>
                  <w:hideMark/>
                </w:tcPr>
                <w:p w14:paraId="009CD95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C4A4E20" w14:textId="77777777" w:rsidR="00E45009" w:rsidRPr="00081C8E" w:rsidRDefault="00E45009" w:rsidP="00E45009">
                  <w:pPr>
                    <w:pStyle w:val="NoSpacing"/>
                    <w:rPr>
                      <w:lang w:val="en-GB"/>
                    </w:rPr>
                  </w:pPr>
                  <w:r w:rsidRPr="00081C8E">
                    <w:rPr>
                      <w:lang w:val="en-GB"/>
                    </w:rPr>
                    <w:t>3.46</w:t>
                  </w:r>
                </w:p>
              </w:tc>
              <w:tc>
                <w:tcPr>
                  <w:tcW w:w="427" w:type="dxa"/>
                  <w:shd w:val="clear" w:color="000000" w:fill="FFFFFF"/>
                  <w:noWrap/>
                  <w:tcMar>
                    <w:top w:w="15" w:type="dxa"/>
                    <w:left w:w="15" w:type="dxa"/>
                    <w:bottom w:w="0" w:type="dxa"/>
                    <w:right w:w="15" w:type="dxa"/>
                  </w:tcMar>
                  <w:hideMark/>
                </w:tcPr>
                <w:p w14:paraId="69A3D699" w14:textId="77777777" w:rsidR="00E45009" w:rsidRPr="00081C8E" w:rsidRDefault="00E45009" w:rsidP="00E45009">
                  <w:pPr>
                    <w:pStyle w:val="NoSpacing"/>
                    <w:rPr>
                      <w:lang w:val="en-GB"/>
                    </w:rPr>
                  </w:pPr>
                  <w:r w:rsidRPr="00081C8E">
                    <w:rPr>
                      <w:lang w:val="en-GB"/>
                    </w:rPr>
                    <w:t>0.85</w:t>
                  </w:r>
                </w:p>
              </w:tc>
              <w:tc>
                <w:tcPr>
                  <w:tcW w:w="88" w:type="dxa"/>
                  <w:shd w:val="clear" w:color="000000" w:fill="FFFFFF"/>
                  <w:noWrap/>
                  <w:tcMar>
                    <w:top w:w="15" w:type="dxa"/>
                    <w:left w:w="15" w:type="dxa"/>
                    <w:bottom w:w="0" w:type="dxa"/>
                    <w:right w:w="15" w:type="dxa"/>
                  </w:tcMar>
                  <w:hideMark/>
                </w:tcPr>
                <w:p w14:paraId="4D6CA10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B6A9236" w14:textId="77777777" w:rsidR="00E45009" w:rsidRPr="00081C8E" w:rsidRDefault="00E45009" w:rsidP="00E45009">
                  <w:pPr>
                    <w:pStyle w:val="NoSpacing"/>
                    <w:rPr>
                      <w:lang w:val="en-GB"/>
                    </w:rPr>
                  </w:pPr>
                  <w:r w:rsidRPr="00081C8E">
                    <w:rPr>
                      <w:lang w:val="en-GB"/>
                    </w:rPr>
                    <w:t>3.71</w:t>
                  </w:r>
                </w:p>
              </w:tc>
              <w:tc>
                <w:tcPr>
                  <w:tcW w:w="427" w:type="dxa"/>
                  <w:shd w:val="clear" w:color="000000" w:fill="FFFFFF"/>
                  <w:noWrap/>
                  <w:tcMar>
                    <w:top w:w="15" w:type="dxa"/>
                    <w:left w:w="15" w:type="dxa"/>
                    <w:bottom w:w="0" w:type="dxa"/>
                    <w:right w:w="15" w:type="dxa"/>
                  </w:tcMar>
                  <w:hideMark/>
                </w:tcPr>
                <w:p w14:paraId="22780772" w14:textId="77777777" w:rsidR="00E45009" w:rsidRPr="00081C8E" w:rsidRDefault="00E45009" w:rsidP="00E45009">
                  <w:pPr>
                    <w:pStyle w:val="NoSpacing"/>
                    <w:rPr>
                      <w:lang w:val="en-GB"/>
                    </w:rPr>
                  </w:pPr>
                  <w:r w:rsidRPr="00081C8E">
                    <w:rPr>
                      <w:lang w:val="en-GB"/>
                    </w:rPr>
                    <w:t>0.61</w:t>
                  </w:r>
                </w:p>
              </w:tc>
              <w:tc>
                <w:tcPr>
                  <w:tcW w:w="78" w:type="dxa"/>
                  <w:shd w:val="clear" w:color="000000" w:fill="FFFFFF"/>
                  <w:noWrap/>
                  <w:tcMar>
                    <w:top w:w="15" w:type="dxa"/>
                    <w:left w:w="15" w:type="dxa"/>
                    <w:bottom w:w="0" w:type="dxa"/>
                    <w:right w:w="15" w:type="dxa"/>
                  </w:tcMar>
                  <w:hideMark/>
                </w:tcPr>
                <w:p w14:paraId="71C2747B"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BFB8B3E" w14:textId="77777777" w:rsidR="00E45009" w:rsidRPr="00081C8E" w:rsidRDefault="00E45009" w:rsidP="00E45009">
                  <w:pPr>
                    <w:pStyle w:val="NoSpacing"/>
                    <w:rPr>
                      <w:lang w:val="en-GB"/>
                    </w:rPr>
                  </w:pPr>
                  <w:r w:rsidRPr="00081C8E">
                    <w:rPr>
                      <w:lang w:val="en-GB"/>
                    </w:rPr>
                    <w:t>1.68</w:t>
                  </w:r>
                </w:p>
              </w:tc>
            </w:tr>
            <w:tr w:rsidR="00E45009" w:rsidRPr="00081C8E" w14:paraId="53614E8B" w14:textId="77777777" w:rsidTr="00DB32C0">
              <w:trPr>
                <w:trHeight w:val="255"/>
              </w:trPr>
              <w:tc>
                <w:tcPr>
                  <w:tcW w:w="185" w:type="dxa"/>
                  <w:shd w:val="clear" w:color="000000" w:fill="FFFFFF"/>
                  <w:noWrap/>
                  <w:tcMar>
                    <w:top w:w="15" w:type="dxa"/>
                    <w:left w:w="15" w:type="dxa"/>
                    <w:bottom w:w="0" w:type="dxa"/>
                    <w:right w:w="15" w:type="dxa"/>
                  </w:tcMar>
                  <w:hideMark/>
                </w:tcPr>
                <w:p w14:paraId="501E2720" w14:textId="77777777" w:rsidR="00E45009" w:rsidRPr="00081C8E" w:rsidRDefault="00E45009" w:rsidP="00E45009">
                  <w:pPr>
                    <w:pStyle w:val="NoSpacing"/>
                    <w:rPr>
                      <w:lang w:val="en-GB"/>
                    </w:rPr>
                  </w:pPr>
                  <w:r w:rsidRPr="00081C8E">
                    <w:rPr>
                      <w:lang w:val="en-GB"/>
                    </w:rPr>
                    <w:t>61</w:t>
                  </w:r>
                </w:p>
              </w:tc>
              <w:tc>
                <w:tcPr>
                  <w:tcW w:w="5870" w:type="dxa"/>
                  <w:shd w:val="clear" w:color="000000" w:fill="FFFFFF"/>
                  <w:tcMar>
                    <w:top w:w="15" w:type="dxa"/>
                    <w:left w:w="15" w:type="dxa"/>
                    <w:bottom w:w="0" w:type="dxa"/>
                    <w:right w:w="15" w:type="dxa"/>
                  </w:tcMar>
                  <w:vAlign w:val="center"/>
                  <w:hideMark/>
                </w:tcPr>
                <w:p w14:paraId="2FCFE73E" w14:textId="77777777" w:rsidR="00E45009" w:rsidRPr="00081C8E" w:rsidRDefault="00E45009" w:rsidP="00E45009">
                  <w:pPr>
                    <w:pStyle w:val="NoSpacing"/>
                    <w:rPr>
                      <w:lang w:val="en-GB"/>
                    </w:rPr>
                  </w:pPr>
                  <w:r w:rsidRPr="00081C8E">
                    <w:rPr>
                      <w:lang w:val="en-GB"/>
                    </w:rPr>
                    <w:t>Compulsory arbitration accorded to collective bargaining</w:t>
                  </w:r>
                </w:p>
              </w:tc>
              <w:tc>
                <w:tcPr>
                  <w:tcW w:w="95" w:type="dxa"/>
                  <w:shd w:val="clear" w:color="000000" w:fill="FFFFFF"/>
                  <w:tcMar>
                    <w:top w:w="15" w:type="dxa"/>
                    <w:left w:w="15" w:type="dxa"/>
                    <w:bottom w:w="0" w:type="dxa"/>
                    <w:right w:w="15" w:type="dxa"/>
                  </w:tcMar>
                  <w:hideMark/>
                </w:tcPr>
                <w:p w14:paraId="55E70F9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C4DD412" w14:textId="77777777" w:rsidR="00E45009" w:rsidRPr="00081C8E" w:rsidRDefault="00E45009" w:rsidP="00E45009">
                  <w:pPr>
                    <w:pStyle w:val="NoSpacing"/>
                    <w:rPr>
                      <w:lang w:val="en-GB"/>
                    </w:rPr>
                  </w:pPr>
                  <w:r w:rsidRPr="00081C8E">
                    <w:rPr>
                      <w:lang w:val="en-GB"/>
                    </w:rPr>
                    <w:t>3.62</w:t>
                  </w:r>
                </w:p>
              </w:tc>
              <w:tc>
                <w:tcPr>
                  <w:tcW w:w="427" w:type="dxa"/>
                  <w:shd w:val="clear" w:color="000000" w:fill="FFFFFF"/>
                  <w:noWrap/>
                  <w:tcMar>
                    <w:top w:w="15" w:type="dxa"/>
                    <w:left w:w="15" w:type="dxa"/>
                    <w:bottom w:w="0" w:type="dxa"/>
                    <w:right w:w="15" w:type="dxa"/>
                  </w:tcMar>
                  <w:hideMark/>
                </w:tcPr>
                <w:p w14:paraId="70CD8390" w14:textId="77777777" w:rsidR="00E45009" w:rsidRPr="00081C8E" w:rsidRDefault="00E45009" w:rsidP="00E45009">
                  <w:pPr>
                    <w:pStyle w:val="NoSpacing"/>
                    <w:rPr>
                      <w:lang w:val="en-GB"/>
                    </w:rPr>
                  </w:pPr>
                  <w:r w:rsidRPr="00081C8E">
                    <w:rPr>
                      <w:lang w:val="en-GB"/>
                    </w:rPr>
                    <w:t>0.93</w:t>
                  </w:r>
                </w:p>
              </w:tc>
              <w:tc>
                <w:tcPr>
                  <w:tcW w:w="88" w:type="dxa"/>
                  <w:shd w:val="clear" w:color="000000" w:fill="FFFFFF"/>
                  <w:noWrap/>
                  <w:tcMar>
                    <w:top w:w="15" w:type="dxa"/>
                    <w:left w:w="15" w:type="dxa"/>
                    <w:bottom w:w="0" w:type="dxa"/>
                    <w:right w:w="15" w:type="dxa"/>
                  </w:tcMar>
                  <w:hideMark/>
                </w:tcPr>
                <w:p w14:paraId="173D210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F28CACF" w14:textId="77777777" w:rsidR="00E45009" w:rsidRPr="00081C8E" w:rsidRDefault="00E45009" w:rsidP="00E45009">
                  <w:pPr>
                    <w:pStyle w:val="NoSpacing"/>
                    <w:rPr>
                      <w:lang w:val="en-GB"/>
                    </w:rPr>
                  </w:pPr>
                  <w:r w:rsidRPr="00081C8E">
                    <w:rPr>
                      <w:lang w:val="en-GB"/>
                    </w:rPr>
                    <w:t>3.79</w:t>
                  </w:r>
                </w:p>
              </w:tc>
              <w:tc>
                <w:tcPr>
                  <w:tcW w:w="427" w:type="dxa"/>
                  <w:shd w:val="clear" w:color="000000" w:fill="FFFFFF"/>
                  <w:noWrap/>
                  <w:tcMar>
                    <w:top w:w="15" w:type="dxa"/>
                    <w:left w:w="15" w:type="dxa"/>
                    <w:bottom w:w="0" w:type="dxa"/>
                    <w:right w:w="15" w:type="dxa"/>
                  </w:tcMar>
                  <w:hideMark/>
                </w:tcPr>
                <w:p w14:paraId="7AF922B0" w14:textId="77777777" w:rsidR="00E45009" w:rsidRPr="00081C8E" w:rsidRDefault="00E45009" w:rsidP="00E45009">
                  <w:pPr>
                    <w:pStyle w:val="NoSpacing"/>
                    <w:rPr>
                      <w:lang w:val="en-GB"/>
                    </w:rPr>
                  </w:pPr>
                  <w:r w:rsidRPr="00081C8E">
                    <w:rPr>
                      <w:lang w:val="en-GB"/>
                    </w:rPr>
                    <w:t>0.58</w:t>
                  </w:r>
                </w:p>
              </w:tc>
              <w:tc>
                <w:tcPr>
                  <w:tcW w:w="78" w:type="dxa"/>
                  <w:shd w:val="clear" w:color="000000" w:fill="FFFFFF"/>
                  <w:noWrap/>
                  <w:tcMar>
                    <w:top w:w="15" w:type="dxa"/>
                    <w:left w:w="15" w:type="dxa"/>
                    <w:bottom w:w="0" w:type="dxa"/>
                    <w:right w:w="15" w:type="dxa"/>
                  </w:tcMar>
                  <w:hideMark/>
                </w:tcPr>
                <w:p w14:paraId="42B4C2AF"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2B9D7A15" w14:textId="77777777" w:rsidR="00E45009" w:rsidRPr="00081C8E" w:rsidRDefault="00E45009" w:rsidP="00E45009">
                  <w:pPr>
                    <w:pStyle w:val="NoSpacing"/>
                    <w:rPr>
                      <w:lang w:val="en-GB"/>
                    </w:rPr>
                  </w:pPr>
                  <w:r w:rsidRPr="00081C8E">
                    <w:rPr>
                      <w:lang w:val="en-GB"/>
                    </w:rPr>
                    <w:t>1.70</w:t>
                  </w:r>
                </w:p>
              </w:tc>
            </w:tr>
            <w:tr w:rsidR="00E45009" w:rsidRPr="00081C8E" w14:paraId="3E20D187" w14:textId="77777777" w:rsidTr="00DB32C0">
              <w:trPr>
                <w:trHeight w:val="510"/>
              </w:trPr>
              <w:tc>
                <w:tcPr>
                  <w:tcW w:w="185" w:type="dxa"/>
                  <w:shd w:val="clear" w:color="000000" w:fill="FFFFFF"/>
                  <w:noWrap/>
                  <w:tcMar>
                    <w:top w:w="15" w:type="dxa"/>
                    <w:left w:w="15" w:type="dxa"/>
                    <w:bottom w:w="0" w:type="dxa"/>
                    <w:right w:w="15" w:type="dxa"/>
                  </w:tcMar>
                  <w:hideMark/>
                </w:tcPr>
                <w:p w14:paraId="570F1F4F" w14:textId="77777777" w:rsidR="00E45009" w:rsidRPr="00081C8E" w:rsidRDefault="00E45009" w:rsidP="00E45009">
                  <w:pPr>
                    <w:pStyle w:val="NoSpacing"/>
                    <w:rPr>
                      <w:lang w:val="en-GB"/>
                    </w:rPr>
                  </w:pPr>
                  <w:r w:rsidRPr="00081C8E">
                    <w:rPr>
                      <w:lang w:val="en-GB"/>
                    </w:rPr>
                    <w:t>62</w:t>
                  </w:r>
                </w:p>
              </w:tc>
              <w:tc>
                <w:tcPr>
                  <w:tcW w:w="5870" w:type="dxa"/>
                  <w:shd w:val="clear" w:color="000000" w:fill="FFFFFF"/>
                  <w:tcMar>
                    <w:top w:w="15" w:type="dxa"/>
                    <w:left w:w="15" w:type="dxa"/>
                    <w:bottom w:w="0" w:type="dxa"/>
                    <w:right w:w="15" w:type="dxa"/>
                  </w:tcMar>
                  <w:vAlign w:val="center"/>
                  <w:hideMark/>
                </w:tcPr>
                <w:p w14:paraId="7A30FA5A" w14:textId="77777777" w:rsidR="00E45009" w:rsidRPr="00081C8E" w:rsidRDefault="00E45009" w:rsidP="00E45009">
                  <w:pPr>
                    <w:pStyle w:val="NoSpacing"/>
                    <w:rPr>
                      <w:lang w:val="en-GB"/>
                    </w:rPr>
                  </w:pPr>
                  <w:r w:rsidRPr="00081C8E">
                    <w:rPr>
                      <w:lang w:val="en-GB"/>
                    </w:rPr>
                    <w:t xml:space="preserve">Excessive requirements and/or lack of objective, pre-established and precise criteria for the determination/recognition of employers' organizations entitled to collective bargaining </w:t>
                  </w:r>
                </w:p>
              </w:tc>
              <w:tc>
                <w:tcPr>
                  <w:tcW w:w="95" w:type="dxa"/>
                  <w:shd w:val="clear" w:color="000000" w:fill="FFFFFF"/>
                  <w:tcMar>
                    <w:top w:w="15" w:type="dxa"/>
                    <w:left w:w="15" w:type="dxa"/>
                    <w:bottom w:w="0" w:type="dxa"/>
                    <w:right w:w="15" w:type="dxa"/>
                  </w:tcMar>
                  <w:hideMark/>
                </w:tcPr>
                <w:p w14:paraId="44015B09"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30E4A5B" w14:textId="77777777" w:rsidR="00E45009" w:rsidRPr="00081C8E" w:rsidRDefault="00E45009" w:rsidP="00E45009">
                  <w:pPr>
                    <w:pStyle w:val="NoSpacing"/>
                    <w:rPr>
                      <w:lang w:val="en-GB"/>
                    </w:rPr>
                  </w:pPr>
                  <w:r w:rsidRPr="00081C8E">
                    <w:rPr>
                      <w:lang w:val="en-GB"/>
                    </w:rPr>
                    <w:t>3.23</w:t>
                  </w:r>
                </w:p>
              </w:tc>
              <w:tc>
                <w:tcPr>
                  <w:tcW w:w="427" w:type="dxa"/>
                  <w:shd w:val="clear" w:color="000000" w:fill="FFFFFF"/>
                  <w:noWrap/>
                  <w:tcMar>
                    <w:top w:w="15" w:type="dxa"/>
                    <w:left w:w="15" w:type="dxa"/>
                    <w:bottom w:w="0" w:type="dxa"/>
                    <w:right w:w="15" w:type="dxa"/>
                  </w:tcMar>
                  <w:hideMark/>
                </w:tcPr>
                <w:p w14:paraId="56472F9E" w14:textId="77777777" w:rsidR="00E45009" w:rsidRPr="00081C8E" w:rsidRDefault="00E45009" w:rsidP="00E45009">
                  <w:pPr>
                    <w:pStyle w:val="NoSpacing"/>
                    <w:rPr>
                      <w:lang w:val="en-GB"/>
                    </w:rPr>
                  </w:pPr>
                  <w:r w:rsidRPr="00081C8E">
                    <w:rPr>
                      <w:lang w:val="en-GB"/>
                    </w:rPr>
                    <w:t>0.99</w:t>
                  </w:r>
                </w:p>
              </w:tc>
              <w:tc>
                <w:tcPr>
                  <w:tcW w:w="88" w:type="dxa"/>
                  <w:shd w:val="clear" w:color="000000" w:fill="FFFFFF"/>
                  <w:noWrap/>
                  <w:tcMar>
                    <w:top w:w="15" w:type="dxa"/>
                    <w:left w:w="15" w:type="dxa"/>
                    <w:bottom w:w="0" w:type="dxa"/>
                    <w:right w:w="15" w:type="dxa"/>
                  </w:tcMar>
                  <w:hideMark/>
                </w:tcPr>
                <w:p w14:paraId="03FAA0D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0F8F374" w14:textId="77777777" w:rsidR="00E45009" w:rsidRPr="00081C8E" w:rsidRDefault="00E45009" w:rsidP="00E45009">
                  <w:pPr>
                    <w:pStyle w:val="NoSpacing"/>
                    <w:rPr>
                      <w:lang w:val="en-GB"/>
                    </w:rPr>
                  </w:pPr>
                  <w:r w:rsidRPr="00081C8E">
                    <w:rPr>
                      <w:lang w:val="en-GB"/>
                    </w:rPr>
                    <w:t>3.36</w:t>
                  </w:r>
                </w:p>
              </w:tc>
              <w:tc>
                <w:tcPr>
                  <w:tcW w:w="427" w:type="dxa"/>
                  <w:shd w:val="clear" w:color="000000" w:fill="FFFFFF"/>
                  <w:noWrap/>
                  <w:tcMar>
                    <w:top w:w="15" w:type="dxa"/>
                    <w:left w:w="15" w:type="dxa"/>
                    <w:bottom w:w="0" w:type="dxa"/>
                    <w:right w:w="15" w:type="dxa"/>
                  </w:tcMar>
                  <w:hideMark/>
                </w:tcPr>
                <w:p w14:paraId="29A08E72" w14:textId="77777777" w:rsidR="00E45009" w:rsidRPr="00081C8E" w:rsidRDefault="00E45009" w:rsidP="00E45009">
                  <w:pPr>
                    <w:pStyle w:val="NoSpacing"/>
                    <w:rPr>
                      <w:lang w:val="en-GB"/>
                    </w:rPr>
                  </w:pPr>
                  <w:r w:rsidRPr="00081C8E">
                    <w:rPr>
                      <w:lang w:val="en-GB"/>
                    </w:rPr>
                    <w:t>0.74</w:t>
                  </w:r>
                </w:p>
              </w:tc>
              <w:tc>
                <w:tcPr>
                  <w:tcW w:w="78" w:type="dxa"/>
                  <w:shd w:val="clear" w:color="000000" w:fill="FFFFFF"/>
                  <w:noWrap/>
                  <w:tcMar>
                    <w:top w:w="15" w:type="dxa"/>
                    <w:left w:w="15" w:type="dxa"/>
                    <w:bottom w:w="0" w:type="dxa"/>
                    <w:right w:w="15" w:type="dxa"/>
                  </w:tcMar>
                  <w:hideMark/>
                </w:tcPr>
                <w:p w14:paraId="0F857512"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DE8FC39" w14:textId="77777777" w:rsidR="00E45009" w:rsidRPr="00081C8E" w:rsidRDefault="00E45009" w:rsidP="00E45009">
                  <w:pPr>
                    <w:pStyle w:val="NoSpacing"/>
                    <w:rPr>
                      <w:lang w:val="en-GB"/>
                    </w:rPr>
                  </w:pPr>
                  <w:r w:rsidRPr="00081C8E">
                    <w:rPr>
                      <w:lang w:val="en-GB"/>
                    </w:rPr>
                    <w:t>1.59</w:t>
                  </w:r>
                </w:p>
              </w:tc>
            </w:tr>
            <w:tr w:rsidR="00E45009" w:rsidRPr="00081C8E" w14:paraId="2CF82468" w14:textId="77777777" w:rsidTr="00DB32C0">
              <w:trPr>
                <w:trHeight w:val="255"/>
              </w:trPr>
              <w:tc>
                <w:tcPr>
                  <w:tcW w:w="185" w:type="dxa"/>
                  <w:shd w:val="clear" w:color="000000" w:fill="FFFFFF"/>
                  <w:noWrap/>
                  <w:tcMar>
                    <w:top w:w="15" w:type="dxa"/>
                    <w:left w:w="15" w:type="dxa"/>
                    <w:bottom w:w="0" w:type="dxa"/>
                    <w:right w:w="15" w:type="dxa"/>
                  </w:tcMar>
                  <w:hideMark/>
                </w:tcPr>
                <w:p w14:paraId="0C12F213" w14:textId="77777777" w:rsidR="00E45009" w:rsidRPr="00081C8E" w:rsidRDefault="00E45009" w:rsidP="00E45009">
                  <w:pPr>
                    <w:pStyle w:val="NoSpacing"/>
                    <w:rPr>
                      <w:lang w:val="en-GB"/>
                    </w:rPr>
                  </w:pPr>
                  <w:r w:rsidRPr="00081C8E">
                    <w:rPr>
                      <w:lang w:val="en-GB"/>
                    </w:rPr>
                    <w:lastRenderedPageBreak/>
                    <w:t>63</w:t>
                  </w:r>
                </w:p>
              </w:tc>
              <w:tc>
                <w:tcPr>
                  <w:tcW w:w="5870" w:type="dxa"/>
                  <w:shd w:val="clear" w:color="000000" w:fill="FFFFFF"/>
                  <w:tcMar>
                    <w:top w:w="15" w:type="dxa"/>
                    <w:left w:w="15" w:type="dxa"/>
                    <w:bottom w:w="0" w:type="dxa"/>
                    <w:right w:w="15" w:type="dxa"/>
                  </w:tcMar>
                  <w:vAlign w:val="center"/>
                  <w:hideMark/>
                </w:tcPr>
                <w:p w14:paraId="4DDD8810" w14:textId="77777777" w:rsidR="00E45009" w:rsidRPr="00081C8E" w:rsidRDefault="00E45009" w:rsidP="00E45009">
                  <w:pPr>
                    <w:pStyle w:val="NoSpacing"/>
                    <w:rPr>
                      <w:lang w:val="en-GB"/>
                    </w:rPr>
                  </w:pPr>
                  <w:r w:rsidRPr="00081C8E">
                    <w:rPr>
                      <w:lang w:val="en-GB"/>
                    </w:rPr>
                    <w:t>Acts of interference in collective bargaining</w:t>
                  </w:r>
                </w:p>
              </w:tc>
              <w:tc>
                <w:tcPr>
                  <w:tcW w:w="95" w:type="dxa"/>
                  <w:shd w:val="clear" w:color="000000" w:fill="FFFFFF"/>
                  <w:tcMar>
                    <w:top w:w="15" w:type="dxa"/>
                    <w:left w:w="15" w:type="dxa"/>
                    <w:bottom w:w="0" w:type="dxa"/>
                    <w:right w:w="15" w:type="dxa"/>
                  </w:tcMar>
                  <w:hideMark/>
                </w:tcPr>
                <w:p w14:paraId="46B99A64"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964BA3B" w14:textId="77777777" w:rsidR="00E45009" w:rsidRPr="00081C8E" w:rsidRDefault="00E45009" w:rsidP="00E45009">
                  <w:pPr>
                    <w:pStyle w:val="NoSpacing"/>
                    <w:rPr>
                      <w:lang w:val="en-GB"/>
                    </w:rPr>
                  </w:pPr>
                  <w:r w:rsidRPr="00081C8E">
                    <w:rPr>
                      <w:lang w:val="en-GB"/>
                    </w:rPr>
                    <w:t>3.62</w:t>
                  </w:r>
                </w:p>
              </w:tc>
              <w:tc>
                <w:tcPr>
                  <w:tcW w:w="427" w:type="dxa"/>
                  <w:shd w:val="clear" w:color="000000" w:fill="FFFFFF"/>
                  <w:noWrap/>
                  <w:tcMar>
                    <w:top w:w="15" w:type="dxa"/>
                    <w:left w:w="15" w:type="dxa"/>
                    <w:bottom w:w="0" w:type="dxa"/>
                    <w:right w:w="15" w:type="dxa"/>
                  </w:tcMar>
                  <w:hideMark/>
                </w:tcPr>
                <w:p w14:paraId="0849435A" w14:textId="77777777" w:rsidR="00E45009" w:rsidRPr="00081C8E" w:rsidRDefault="00E45009" w:rsidP="00E45009">
                  <w:pPr>
                    <w:pStyle w:val="NoSpacing"/>
                    <w:rPr>
                      <w:lang w:val="en-GB"/>
                    </w:rPr>
                  </w:pPr>
                  <w:r w:rsidRPr="00081C8E">
                    <w:rPr>
                      <w:lang w:val="en-GB"/>
                    </w:rPr>
                    <w:t>1.08</w:t>
                  </w:r>
                </w:p>
              </w:tc>
              <w:tc>
                <w:tcPr>
                  <w:tcW w:w="88" w:type="dxa"/>
                  <w:shd w:val="clear" w:color="000000" w:fill="FFFFFF"/>
                  <w:noWrap/>
                  <w:tcMar>
                    <w:top w:w="15" w:type="dxa"/>
                    <w:left w:w="15" w:type="dxa"/>
                    <w:bottom w:w="0" w:type="dxa"/>
                    <w:right w:w="15" w:type="dxa"/>
                  </w:tcMar>
                  <w:hideMark/>
                </w:tcPr>
                <w:p w14:paraId="7DA985F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B8576B9" w14:textId="77777777" w:rsidR="00E45009" w:rsidRPr="00081C8E" w:rsidRDefault="00E45009" w:rsidP="00E45009">
                  <w:pPr>
                    <w:pStyle w:val="NoSpacing"/>
                    <w:rPr>
                      <w:lang w:val="en-GB"/>
                    </w:rPr>
                  </w:pPr>
                  <w:r w:rsidRPr="00081C8E">
                    <w:rPr>
                      <w:lang w:val="en-GB"/>
                    </w:rPr>
                    <w:t>3.64</w:t>
                  </w:r>
                </w:p>
              </w:tc>
              <w:tc>
                <w:tcPr>
                  <w:tcW w:w="427" w:type="dxa"/>
                  <w:shd w:val="clear" w:color="000000" w:fill="FFFFFF"/>
                  <w:noWrap/>
                  <w:tcMar>
                    <w:top w:w="15" w:type="dxa"/>
                    <w:left w:w="15" w:type="dxa"/>
                    <w:bottom w:w="0" w:type="dxa"/>
                    <w:right w:w="15" w:type="dxa"/>
                  </w:tcMar>
                  <w:hideMark/>
                </w:tcPr>
                <w:p w14:paraId="7A288C51" w14:textId="77777777" w:rsidR="00E45009" w:rsidRPr="00081C8E" w:rsidRDefault="00E45009" w:rsidP="00E45009">
                  <w:pPr>
                    <w:pStyle w:val="NoSpacing"/>
                    <w:rPr>
                      <w:lang w:val="en-GB"/>
                    </w:rPr>
                  </w:pPr>
                  <w:r w:rsidRPr="00081C8E">
                    <w:rPr>
                      <w:lang w:val="en-GB"/>
                    </w:rPr>
                    <w:t>0.93</w:t>
                  </w:r>
                </w:p>
              </w:tc>
              <w:tc>
                <w:tcPr>
                  <w:tcW w:w="78" w:type="dxa"/>
                  <w:shd w:val="clear" w:color="000000" w:fill="FFFFFF"/>
                  <w:noWrap/>
                  <w:tcMar>
                    <w:top w:w="15" w:type="dxa"/>
                    <w:left w:w="15" w:type="dxa"/>
                    <w:bottom w:w="0" w:type="dxa"/>
                    <w:right w:w="15" w:type="dxa"/>
                  </w:tcMar>
                  <w:hideMark/>
                </w:tcPr>
                <w:p w14:paraId="009BFC09"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7B209B70" w14:textId="77777777" w:rsidR="00E45009" w:rsidRPr="00081C8E" w:rsidRDefault="00E45009" w:rsidP="00E45009">
                  <w:pPr>
                    <w:pStyle w:val="NoSpacing"/>
                    <w:rPr>
                      <w:lang w:val="en-GB"/>
                    </w:rPr>
                  </w:pPr>
                  <w:r w:rsidRPr="00081C8E">
                    <w:rPr>
                      <w:lang w:val="en-GB"/>
                    </w:rPr>
                    <w:t>1.66</w:t>
                  </w:r>
                </w:p>
              </w:tc>
            </w:tr>
            <w:tr w:rsidR="00E45009" w:rsidRPr="00081C8E" w14:paraId="059355BD" w14:textId="77777777" w:rsidTr="00DB32C0">
              <w:trPr>
                <w:trHeight w:val="255"/>
              </w:trPr>
              <w:tc>
                <w:tcPr>
                  <w:tcW w:w="185" w:type="dxa"/>
                  <w:shd w:val="clear" w:color="000000" w:fill="FFFFFF"/>
                  <w:noWrap/>
                  <w:tcMar>
                    <w:top w:w="15" w:type="dxa"/>
                    <w:left w:w="15" w:type="dxa"/>
                    <w:bottom w:w="0" w:type="dxa"/>
                    <w:right w:w="15" w:type="dxa"/>
                  </w:tcMar>
                  <w:hideMark/>
                </w:tcPr>
                <w:p w14:paraId="46996D71" w14:textId="77777777" w:rsidR="00E45009" w:rsidRPr="00081C8E" w:rsidRDefault="00E45009" w:rsidP="00E45009">
                  <w:pPr>
                    <w:pStyle w:val="NoSpacing"/>
                    <w:rPr>
                      <w:lang w:val="en-GB"/>
                    </w:rPr>
                  </w:pPr>
                  <w:r w:rsidRPr="00081C8E">
                    <w:rPr>
                      <w:lang w:val="en-GB"/>
                    </w:rPr>
                    <w:t>64</w:t>
                  </w:r>
                </w:p>
              </w:tc>
              <w:tc>
                <w:tcPr>
                  <w:tcW w:w="5870" w:type="dxa"/>
                  <w:shd w:val="clear" w:color="000000" w:fill="FFFFFF"/>
                  <w:tcMar>
                    <w:top w:w="15" w:type="dxa"/>
                    <w:left w:w="15" w:type="dxa"/>
                    <w:bottom w:w="0" w:type="dxa"/>
                    <w:right w:w="15" w:type="dxa"/>
                  </w:tcMar>
                  <w:vAlign w:val="center"/>
                  <w:hideMark/>
                </w:tcPr>
                <w:p w14:paraId="070862B8" w14:textId="77777777" w:rsidR="00E45009" w:rsidRPr="00081C8E" w:rsidRDefault="00E45009" w:rsidP="00E45009">
                  <w:pPr>
                    <w:pStyle w:val="NoSpacing"/>
                    <w:rPr>
                      <w:lang w:val="en-GB"/>
                    </w:rPr>
                  </w:pPr>
                  <w:r w:rsidRPr="00081C8E">
                    <w:rPr>
                      <w:lang w:val="en-GB"/>
                    </w:rPr>
                    <w:t>Violations of collective agreements</w:t>
                  </w:r>
                </w:p>
              </w:tc>
              <w:tc>
                <w:tcPr>
                  <w:tcW w:w="95" w:type="dxa"/>
                  <w:shd w:val="clear" w:color="000000" w:fill="FFFFFF"/>
                  <w:tcMar>
                    <w:top w:w="15" w:type="dxa"/>
                    <w:left w:w="15" w:type="dxa"/>
                    <w:bottom w:w="0" w:type="dxa"/>
                    <w:right w:w="15" w:type="dxa"/>
                  </w:tcMar>
                  <w:hideMark/>
                </w:tcPr>
                <w:p w14:paraId="67BFD81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5D149B0" w14:textId="77777777" w:rsidR="00E45009" w:rsidRPr="00081C8E" w:rsidRDefault="00E45009" w:rsidP="00E45009">
                  <w:pPr>
                    <w:pStyle w:val="NoSpacing"/>
                    <w:rPr>
                      <w:lang w:val="en-GB"/>
                    </w:rPr>
                  </w:pPr>
                  <w:r w:rsidRPr="00081C8E">
                    <w:rPr>
                      <w:lang w:val="en-GB"/>
                    </w:rPr>
                    <w:t>3.68</w:t>
                  </w:r>
                </w:p>
              </w:tc>
              <w:tc>
                <w:tcPr>
                  <w:tcW w:w="427" w:type="dxa"/>
                  <w:shd w:val="clear" w:color="000000" w:fill="FFFFFF"/>
                  <w:noWrap/>
                  <w:tcMar>
                    <w:top w:w="15" w:type="dxa"/>
                    <w:left w:w="15" w:type="dxa"/>
                    <w:bottom w:w="0" w:type="dxa"/>
                    <w:right w:w="15" w:type="dxa"/>
                  </w:tcMar>
                  <w:hideMark/>
                </w:tcPr>
                <w:p w14:paraId="0904B74A" w14:textId="77777777" w:rsidR="00E45009" w:rsidRPr="00081C8E" w:rsidRDefault="00E45009" w:rsidP="00E45009">
                  <w:pPr>
                    <w:pStyle w:val="NoSpacing"/>
                    <w:rPr>
                      <w:lang w:val="en-GB"/>
                    </w:rPr>
                  </w:pPr>
                  <w:r w:rsidRPr="00081C8E">
                    <w:rPr>
                      <w:lang w:val="en-GB"/>
                    </w:rPr>
                    <w:t>1.16</w:t>
                  </w:r>
                </w:p>
              </w:tc>
              <w:tc>
                <w:tcPr>
                  <w:tcW w:w="88" w:type="dxa"/>
                  <w:shd w:val="clear" w:color="000000" w:fill="FFFFFF"/>
                  <w:noWrap/>
                  <w:tcMar>
                    <w:top w:w="15" w:type="dxa"/>
                    <w:left w:w="15" w:type="dxa"/>
                    <w:bottom w:w="0" w:type="dxa"/>
                    <w:right w:w="15" w:type="dxa"/>
                  </w:tcMar>
                  <w:hideMark/>
                </w:tcPr>
                <w:p w14:paraId="14F836E6"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15EE50F" w14:textId="77777777" w:rsidR="00E45009" w:rsidRPr="00081C8E" w:rsidRDefault="00E45009" w:rsidP="00E45009">
                  <w:pPr>
                    <w:pStyle w:val="NoSpacing"/>
                    <w:rPr>
                      <w:lang w:val="en-GB"/>
                    </w:rPr>
                  </w:pPr>
                  <w:r w:rsidRPr="00081C8E">
                    <w:rPr>
                      <w:lang w:val="en-GB"/>
                    </w:rPr>
                    <w:t>3.57</w:t>
                  </w:r>
                </w:p>
              </w:tc>
              <w:tc>
                <w:tcPr>
                  <w:tcW w:w="427" w:type="dxa"/>
                  <w:shd w:val="clear" w:color="000000" w:fill="FFFFFF"/>
                  <w:noWrap/>
                  <w:tcMar>
                    <w:top w:w="15" w:type="dxa"/>
                    <w:left w:w="15" w:type="dxa"/>
                    <w:bottom w:w="0" w:type="dxa"/>
                    <w:right w:w="15" w:type="dxa"/>
                  </w:tcMar>
                  <w:hideMark/>
                </w:tcPr>
                <w:p w14:paraId="00861937" w14:textId="77777777" w:rsidR="00E45009" w:rsidRPr="00081C8E" w:rsidRDefault="00E45009" w:rsidP="00E45009">
                  <w:pPr>
                    <w:pStyle w:val="NoSpacing"/>
                    <w:rPr>
                      <w:lang w:val="en-GB"/>
                    </w:rPr>
                  </w:pPr>
                  <w:r w:rsidRPr="00081C8E">
                    <w:rPr>
                      <w:lang w:val="en-GB"/>
                    </w:rPr>
                    <w:t>0.85</w:t>
                  </w:r>
                </w:p>
              </w:tc>
              <w:tc>
                <w:tcPr>
                  <w:tcW w:w="78" w:type="dxa"/>
                  <w:shd w:val="clear" w:color="000000" w:fill="FFFFFF"/>
                  <w:noWrap/>
                  <w:tcMar>
                    <w:top w:w="15" w:type="dxa"/>
                    <w:left w:w="15" w:type="dxa"/>
                    <w:bottom w:w="0" w:type="dxa"/>
                    <w:right w:w="15" w:type="dxa"/>
                  </w:tcMar>
                  <w:hideMark/>
                </w:tcPr>
                <w:p w14:paraId="3381FF44"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D2A9498" w14:textId="77777777" w:rsidR="00E45009" w:rsidRPr="00081C8E" w:rsidRDefault="00E45009" w:rsidP="00E45009">
                  <w:pPr>
                    <w:pStyle w:val="NoSpacing"/>
                    <w:rPr>
                      <w:lang w:val="en-GB"/>
                    </w:rPr>
                  </w:pPr>
                  <w:r w:rsidRPr="00081C8E">
                    <w:rPr>
                      <w:lang w:val="en-GB"/>
                    </w:rPr>
                    <w:t>1.64</w:t>
                  </w:r>
                </w:p>
              </w:tc>
            </w:tr>
            <w:tr w:rsidR="00E45009" w:rsidRPr="00081C8E" w14:paraId="6753EED1" w14:textId="77777777" w:rsidTr="00DB32C0">
              <w:trPr>
                <w:trHeight w:val="255"/>
              </w:trPr>
              <w:tc>
                <w:tcPr>
                  <w:tcW w:w="185" w:type="dxa"/>
                  <w:shd w:val="clear" w:color="000000" w:fill="FFFFFF"/>
                  <w:noWrap/>
                  <w:tcMar>
                    <w:top w:w="15" w:type="dxa"/>
                    <w:left w:w="15" w:type="dxa"/>
                    <w:bottom w:w="0" w:type="dxa"/>
                    <w:right w:w="15" w:type="dxa"/>
                  </w:tcMar>
                  <w:hideMark/>
                </w:tcPr>
                <w:p w14:paraId="004CEC93" w14:textId="77777777" w:rsidR="00E45009" w:rsidRPr="00081C8E" w:rsidRDefault="00E45009" w:rsidP="00E45009">
                  <w:pPr>
                    <w:pStyle w:val="NoSpacing"/>
                    <w:rPr>
                      <w:lang w:val="en-GB"/>
                    </w:rPr>
                  </w:pPr>
                  <w:r w:rsidRPr="00081C8E">
                    <w:rPr>
                      <w:lang w:val="en-GB"/>
                    </w:rPr>
                    <w:t>65</w:t>
                  </w:r>
                </w:p>
              </w:tc>
              <w:tc>
                <w:tcPr>
                  <w:tcW w:w="5870" w:type="dxa"/>
                  <w:shd w:val="clear" w:color="000000" w:fill="FFFFFF"/>
                  <w:tcMar>
                    <w:top w:w="15" w:type="dxa"/>
                    <w:left w:w="15" w:type="dxa"/>
                    <w:bottom w:w="0" w:type="dxa"/>
                    <w:right w:w="15" w:type="dxa"/>
                  </w:tcMar>
                  <w:vAlign w:val="center"/>
                  <w:hideMark/>
                </w:tcPr>
                <w:p w14:paraId="221C6203" w14:textId="77777777" w:rsidR="00E45009" w:rsidRPr="00081C8E" w:rsidRDefault="00E45009" w:rsidP="00E45009">
                  <w:pPr>
                    <w:pStyle w:val="NoSpacing"/>
                    <w:rPr>
                      <w:lang w:val="en-GB"/>
                    </w:rPr>
                  </w:pPr>
                  <w:r w:rsidRPr="00081C8E">
                    <w:rPr>
                      <w:lang w:val="en-GB"/>
                    </w:rPr>
                    <w:t>Infringements of the consultation with employers' organizations</w:t>
                  </w:r>
                </w:p>
              </w:tc>
              <w:tc>
                <w:tcPr>
                  <w:tcW w:w="95" w:type="dxa"/>
                  <w:shd w:val="clear" w:color="000000" w:fill="FFFFFF"/>
                  <w:tcMar>
                    <w:top w:w="15" w:type="dxa"/>
                    <w:left w:w="15" w:type="dxa"/>
                    <w:bottom w:w="0" w:type="dxa"/>
                    <w:right w:w="15" w:type="dxa"/>
                  </w:tcMar>
                  <w:hideMark/>
                </w:tcPr>
                <w:p w14:paraId="35E8DB6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136DC5F" w14:textId="77777777" w:rsidR="00E45009" w:rsidRPr="00081C8E" w:rsidRDefault="00E45009" w:rsidP="00E45009">
                  <w:pPr>
                    <w:pStyle w:val="NoSpacing"/>
                    <w:rPr>
                      <w:lang w:val="en-GB"/>
                    </w:rPr>
                  </w:pPr>
                  <w:r w:rsidRPr="00081C8E">
                    <w:rPr>
                      <w:lang w:val="en-GB"/>
                    </w:rPr>
                    <w:t>3.46</w:t>
                  </w:r>
                </w:p>
              </w:tc>
              <w:tc>
                <w:tcPr>
                  <w:tcW w:w="427" w:type="dxa"/>
                  <w:shd w:val="clear" w:color="000000" w:fill="FFFFFF"/>
                  <w:noWrap/>
                  <w:tcMar>
                    <w:top w:w="15" w:type="dxa"/>
                    <w:left w:w="15" w:type="dxa"/>
                    <w:bottom w:w="0" w:type="dxa"/>
                    <w:right w:w="15" w:type="dxa"/>
                  </w:tcMar>
                  <w:hideMark/>
                </w:tcPr>
                <w:p w14:paraId="70B0FCBA" w14:textId="77777777" w:rsidR="00E45009" w:rsidRPr="00081C8E" w:rsidRDefault="00E45009" w:rsidP="00E45009">
                  <w:pPr>
                    <w:pStyle w:val="NoSpacing"/>
                    <w:rPr>
                      <w:lang w:val="en-GB"/>
                    </w:rPr>
                  </w:pPr>
                  <w:r w:rsidRPr="00081C8E">
                    <w:rPr>
                      <w:lang w:val="en-GB"/>
                    </w:rPr>
                    <w:t>1.02</w:t>
                  </w:r>
                </w:p>
              </w:tc>
              <w:tc>
                <w:tcPr>
                  <w:tcW w:w="88" w:type="dxa"/>
                  <w:shd w:val="clear" w:color="000000" w:fill="FFFFFF"/>
                  <w:noWrap/>
                  <w:tcMar>
                    <w:top w:w="15" w:type="dxa"/>
                    <w:left w:w="15" w:type="dxa"/>
                    <w:bottom w:w="0" w:type="dxa"/>
                    <w:right w:w="15" w:type="dxa"/>
                  </w:tcMar>
                  <w:hideMark/>
                </w:tcPr>
                <w:p w14:paraId="50DC721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410D1D0" w14:textId="77777777" w:rsidR="00E45009" w:rsidRPr="00081C8E" w:rsidRDefault="00E45009" w:rsidP="00E45009">
                  <w:pPr>
                    <w:pStyle w:val="NoSpacing"/>
                    <w:rPr>
                      <w:lang w:val="en-GB"/>
                    </w:rPr>
                  </w:pPr>
                  <w:r w:rsidRPr="00081C8E">
                    <w:rPr>
                      <w:lang w:val="en-GB"/>
                    </w:rPr>
                    <w:t>3.43</w:t>
                  </w:r>
                </w:p>
              </w:tc>
              <w:tc>
                <w:tcPr>
                  <w:tcW w:w="427" w:type="dxa"/>
                  <w:shd w:val="clear" w:color="000000" w:fill="FFFFFF"/>
                  <w:noWrap/>
                  <w:tcMar>
                    <w:top w:w="15" w:type="dxa"/>
                    <w:left w:w="15" w:type="dxa"/>
                    <w:bottom w:w="0" w:type="dxa"/>
                    <w:right w:w="15" w:type="dxa"/>
                  </w:tcMar>
                  <w:hideMark/>
                </w:tcPr>
                <w:p w14:paraId="044DF806" w14:textId="77777777" w:rsidR="00E45009" w:rsidRPr="00081C8E" w:rsidRDefault="00E45009" w:rsidP="00E45009">
                  <w:pPr>
                    <w:pStyle w:val="NoSpacing"/>
                    <w:rPr>
                      <w:lang w:val="en-GB"/>
                    </w:rPr>
                  </w:pPr>
                  <w:r w:rsidRPr="00081C8E">
                    <w:rPr>
                      <w:lang w:val="en-GB"/>
                    </w:rPr>
                    <w:t>0.94</w:t>
                  </w:r>
                </w:p>
              </w:tc>
              <w:tc>
                <w:tcPr>
                  <w:tcW w:w="78" w:type="dxa"/>
                  <w:shd w:val="clear" w:color="000000" w:fill="FFFFFF"/>
                  <w:noWrap/>
                  <w:tcMar>
                    <w:top w:w="15" w:type="dxa"/>
                    <w:left w:w="15" w:type="dxa"/>
                    <w:bottom w:w="0" w:type="dxa"/>
                    <w:right w:w="15" w:type="dxa"/>
                  </w:tcMar>
                  <w:hideMark/>
                </w:tcPr>
                <w:p w14:paraId="3E30C164"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6F77F08B" w14:textId="77777777" w:rsidR="00E45009" w:rsidRPr="00081C8E" w:rsidRDefault="00E45009" w:rsidP="00E45009">
                  <w:pPr>
                    <w:pStyle w:val="NoSpacing"/>
                    <w:rPr>
                      <w:lang w:val="en-GB"/>
                    </w:rPr>
                  </w:pPr>
                  <w:r w:rsidRPr="00081C8E">
                    <w:rPr>
                      <w:lang w:val="en-GB"/>
                    </w:rPr>
                    <w:t>1.61</w:t>
                  </w:r>
                </w:p>
              </w:tc>
            </w:tr>
            <w:tr w:rsidR="00E45009" w:rsidRPr="00081C8E" w14:paraId="233BF3C0" w14:textId="77777777" w:rsidTr="00DB32C0">
              <w:trPr>
                <w:trHeight w:val="255"/>
              </w:trPr>
              <w:tc>
                <w:tcPr>
                  <w:tcW w:w="185" w:type="dxa"/>
                  <w:shd w:val="clear" w:color="000000" w:fill="FFFFFF"/>
                  <w:noWrap/>
                  <w:tcMar>
                    <w:top w:w="15" w:type="dxa"/>
                    <w:left w:w="15" w:type="dxa"/>
                    <w:bottom w:w="0" w:type="dxa"/>
                    <w:right w:w="15" w:type="dxa"/>
                  </w:tcMar>
                  <w:hideMark/>
                </w:tcPr>
                <w:p w14:paraId="19FDBE8A" w14:textId="77777777" w:rsidR="00E45009" w:rsidRPr="00081C8E" w:rsidRDefault="00E45009" w:rsidP="00E45009">
                  <w:pPr>
                    <w:pStyle w:val="NoSpacing"/>
                    <w:rPr>
                      <w:lang w:val="en-GB"/>
                    </w:rPr>
                  </w:pPr>
                  <w:r w:rsidRPr="00081C8E">
                    <w:rPr>
                      <w:lang w:val="en-GB"/>
                    </w:rPr>
                    <w:t>66</w:t>
                  </w:r>
                </w:p>
              </w:tc>
              <w:tc>
                <w:tcPr>
                  <w:tcW w:w="5870" w:type="dxa"/>
                  <w:shd w:val="clear" w:color="000000" w:fill="FFFFFF"/>
                  <w:tcMar>
                    <w:top w:w="15" w:type="dxa"/>
                    <w:left w:w="15" w:type="dxa"/>
                    <w:bottom w:w="0" w:type="dxa"/>
                    <w:right w:w="15" w:type="dxa"/>
                  </w:tcMar>
                  <w:vAlign w:val="center"/>
                  <w:hideMark/>
                </w:tcPr>
                <w:p w14:paraId="36837C37" w14:textId="77777777" w:rsidR="00E45009" w:rsidRPr="00081C8E" w:rsidRDefault="00E45009" w:rsidP="00E45009">
                  <w:pPr>
                    <w:pStyle w:val="NoSpacing"/>
                    <w:rPr>
                      <w:lang w:val="en-GB"/>
                    </w:rPr>
                  </w:pPr>
                  <w:r w:rsidRPr="00081C8E">
                    <w:rPr>
                      <w:lang w:val="en-GB"/>
                    </w:rPr>
                    <w:t>Lack of guarantee of due process and/or justice re violations nos. 57-65</w:t>
                  </w:r>
                </w:p>
              </w:tc>
              <w:tc>
                <w:tcPr>
                  <w:tcW w:w="95" w:type="dxa"/>
                  <w:shd w:val="clear" w:color="000000" w:fill="FFFFFF"/>
                  <w:tcMar>
                    <w:top w:w="15" w:type="dxa"/>
                    <w:left w:w="15" w:type="dxa"/>
                    <w:bottom w:w="0" w:type="dxa"/>
                    <w:right w:w="15" w:type="dxa"/>
                  </w:tcMar>
                  <w:hideMark/>
                </w:tcPr>
                <w:p w14:paraId="6D4119C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586D24A" w14:textId="77777777" w:rsidR="00E45009" w:rsidRPr="00081C8E" w:rsidRDefault="00E45009" w:rsidP="00E45009">
                  <w:pPr>
                    <w:pStyle w:val="NoSpacing"/>
                    <w:rPr>
                      <w:lang w:val="en-GB"/>
                    </w:rPr>
                  </w:pPr>
                  <w:r w:rsidRPr="00081C8E">
                    <w:rPr>
                      <w:lang w:val="en-GB"/>
                    </w:rPr>
                    <w:t>3.54</w:t>
                  </w:r>
                </w:p>
              </w:tc>
              <w:tc>
                <w:tcPr>
                  <w:tcW w:w="427" w:type="dxa"/>
                  <w:shd w:val="clear" w:color="000000" w:fill="FFFFFF"/>
                  <w:noWrap/>
                  <w:tcMar>
                    <w:top w:w="15" w:type="dxa"/>
                    <w:left w:w="15" w:type="dxa"/>
                    <w:bottom w:w="0" w:type="dxa"/>
                    <w:right w:w="15" w:type="dxa"/>
                  </w:tcMar>
                  <w:hideMark/>
                </w:tcPr>
                <w:p w14:paraId="503E4968" w14:textId="77777777" w:rsidR="00E45009" w:rsidRPr="00081C8E" w:rsidRDefault="00E45009" w:rsidP="00E45009">
                  <w:pPr>
                    <w:pStyle w:val="NoSpacing"/>
                    <w:rPr>
                      <w:lang w:val="en-GB"/>
                    </w:rPr>
                  </w:pPr>
                  <w:r w:rsidRPr="00081C8E">
                    <w:rPr>
                      <w:lang w:val="en-GB"/>
                    </w:rPr>
                    <w:t>1.45</w:t>
                  </w:r>
                </w:p>
              </w:tc>
              <w:tc>
                <w:tcPr>
                  <w:tcW w:w="88" w:type="dxa"/>
                  <w:shd w:val="clear" w:color="000000" w:fill="FFFFFF"/>
                  <w:noWrap/>
                  <w:tcMar>
                    <w:top w:w="15" w:type="dxa"/>
                    <w:left w:w="15" w:type="dxa"/>
                    <w:bottom w:w="0" w:type="dxa"/>
                    <w:right w:w="15" w:type="dxa"/>
                  </w:tcMar>
                  <w:hideMark/>
                </w:tcPr>
                <w:p w14:paraId="0093039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2FE2F92"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0C73BADA" w14:textId="77777777" w:rsidR="00E45009" w:rsidRPr="00081C8E" w:rsidRDefault="00E45009" w:rsidP="00E45009">
                  <w:pPr>
                    <w:pStyle w:val="NoSpacing"/>
                    <w:rPr>
                      <w:lang w:val="en-GB"/>
                    </w:rPr>
                  </w:pPr>
                  <w:r w:rsidRPr="00081C8E">
                    <w:rPr>
                      <w:lang w:val="en-GB"/>
                    </w:rPr>
                    <w:t>0.92</w:t>
                  </w:r>
                </w:p>
              </w:tc>
              <w:tc>
                <w:tcPr>
                  <w:tcW w:w="78" w:type="dxa"/>
                  <w:shd w:val="clear" w:color="000000" w:fill="FFFFFF"/>
                  <w:noWrap/>
                  <w:tcMar>
                    <w:top w:w="15" w:type="dxa"/>
                    <w:left w:w="15" w:type="dxa"/>
                    <w:bottom w:w="0" w:type="dxa"/>
                    <w:right w:w="15" w:type="dxa"/>
                  </w:tcMar>
                  <w:hideMark/>
                </w:tcPr>
                <w:p w14:paraId="4ED3EEC3"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37B7B75" w14:textId="77777777" w:rsidR="00E45009" w:rsidRPr="00081C8E" w:rsidRDefault="00E45009" w:rsidP="00E45009">
                  <w:pPr>
                    <w:pStyle w:val="NoSpacing"/>
                    <w:rPr>
                      <w:lang w:val="en-GB"/>
                    </w:rPr>
                  </w:pPr>
                  <w:r w:rsidRPr="00081C8E">
                    <w:rPr>
                      <w:lang w:val="en-GB"/>
                    </w:rPr>
                    <w:t>1.73</w:t>
                  </w:r>
                </w:p>
              </w:tc>
            </w:tr>
            <w:tr w:rsidR="00E45009" w:rsidRPr="00081C8E" w14:paraId="691467A7" w14:textId="77777777" w:rsidTr="00DB32C0">
              <w:trPr>
                <w:trHeight w:val="255"/>
              </w:trPr>
              <w:tc>
                <w:tcPr>
                  <w:tcW w:w="185" w:type="dxa"/>
                  <w:shd w:val="clear" w:color="000000" w:fill="FFFFFF"/>
                  <w:noWrap/>
                  <w:tcMar>
                    <w:top w:w="15" w:type="dxa"/>
                    <w:left w:w="15" w:type="dxa"/>
                    <w:bottom w:w="0" w:type="dxa"/>
                    <w:right w:w="15" w:type="dxa"/>
                  </w:tcMar>
                  <w:hideMark/>
                </w:tcPr>
                <w:p w14:paraId="4E02C1B9" w14:textId="77777777" w:rsidR="00E45009" w:rsidRPr="00081C8E" w:rsidRDefault="00E45009" w:rsidP="00E45009">
                  <w:pPr>
                    <w:pStyle w:val="NoSpacing"/>
                    <w:rPr>
                      <w:lang w:val="en-GB"/>
                    </w:rPr>
                  </w:pPr>
                  <w:r w:rsidRPr="00081C8E">
                    <w:rPr>
                      <w:lang w:val="en-GB"/>
                    </w:rPr>
                    <w:t> </w:t>
                  </w:r>
                </w:p>
              </w:tc>
              <w:tc>
                <w:tcPr>
                  <w:tcW w:w="5870" w:type="dxa"/>
                  <w:shd w:val="clear" w:color="000000" w:fill="FFFFFF"/>
                  <w:tcMar>
                    <w:top w:w="15" w:type="dxa"/>
                    <w:left w:w="15" w:type="dxa"/>
                    <w:bottom w:w="0" w:type="dxa"/>
                    <w:right w:w="15" w:type="dxa"/>
                  </w:tcMar>
                  <w:vAlign w:val="center"/>
                  <w:hideMark/>
                </w:tcPr>
                <w:p w14:paraId="5ACEC028" w14:textId="77777777" w:rsidR="00E45009" w:rsidRPr="00081C8E" w:rsidRDefault="00E45009" w:rsidP="00E45009">
                  <w:pPr>
                    <w:pStyle w:val="NoSpacing"/>
                    <w:rPr>
                      <w:b/>
                      <w:bCs/>
                      <w:lang w:val="en-GB"/>
                    </w:rPr>
                  </w:pPr>
                  <w:r w:rsidRPr="00081C8E">
                    <w:rPr>
                      <w:b/>
                      <w:bCs/>
                      <w:lang w:val="en-GB"/>
                    </w:rPr>
                    <w:t>IVb. Right to collective bargaining in practice</w:t>
                  </w:r>
                </w:p>
              </w:tc>
              <w:tc>
                <w:tcPr>
                  <w:tcW w:w="95" w:type="dxa"/>
                  <w:shd w:val="clear" w:color="000000" w:fill="FFFFFF"/>
                  <w:tcMar>
                    <w:top w:w="15" w:type="dxa"/>
                    <w:left w:w="15" w:type="dxa"/>
                    <w:bottom w:w="0" w:type="dxa"/>
                    <w:right w:w="15" w:type="dxa"/>
                  </w:tcMar>
                  <w:hideMark/>
                </w:tcPr>
                <w:p w14:paraId="48AE923A" w14:textId="77777777" w:rsidR="00E45009" w:rsidRPr="00081C8E" w:rsidRDefault="00E45009" w:rsidP="00E45009">
                  <w:pPr>
                    <w:pStyle w:val="NoSpacing"/>
                    <w:rPr>
                      <w:b/>
                      <w:bCs/>
                      <w:lang w:val="en-GB"/>
                    </w:rPr>
                  </w:pPr>
                  <w:r w:rsidRPr="00081C8E">
                    <w:rPr>
                      <w:b/>
                      <w:bCs/>
                      <w:lang w:val="en-GB"/>
                    </w:rPr>
                    <w:t> </w:t>
                  </w:r>
                </w:p>
              </w:tc>
              <w:tc>
                <w:tcPr>
                  <w:tcW w:w="667" w:type="dxa"/>
                  <w:shd w:val="clear" w:color="000000" w:fill="FFFFFF"/>
                  <w:noWrap/>
                  <w:tcMar>
                    <w:top w:w="15" w:type="dxa"/>
                    <w:left w:w="15" w:type="dxa"/>
                    <w:bottom w:w="0" w:type="dxa"/>
                    <w:right w:w="15" w:type="dxa"/>
                  </w:tcMar>
                  <w:hideMark/>
                </w:tcPr>
                <w:p w14:paraId="6C2C90C9"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04BB676F"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247BBCE8"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A0AD0DF"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4BFBC484"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14AEDD10"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36371E0" w14:textId="77777777" w:rsidR="00E45009" w:rsidRPr="00081C8E" w:rsidRDefault="00E45009" w:rsidP="00E45009">
                  <w:pPr>
                    <w:pStyle w:val="NoSpacing"/>
                    <w:rPr>
                      <w:lang w:val="en-GB"/>
                    </w:rPr>
                  </w:pPr>
                  <w:r w:rsidRPr="00081C8E">
                    <w:rPr>
                      <w:lang w:val="en-GB"/>
                    </w:rPr>
                    <w:t> </w:t>
                  </w:r>
                </w:p>
              </w:tc>
            </w:tr>
            <w:tr w:rsidR="00E45009" w:rsidRPr="00081C8E" w14:paraId="41D0652F" w14:textId="77777777" w:rsidTr="00DB32C0">
              <w:trPr>
                <w:trHeight w:val="255"/>
              </w:trPr>
              <w:tc>
                <w:tcPr>
                  <w:tcW w:w="185" w:type="dxa"/>
                  <w:shd w:val="clear" w:color="000000" w:fill="FFFFFF"/>
                  <w:noWrap/>
                  <w:tcMar>
                    <w:top w:w="15" w:type="dxa"/>
                    <w:left w:w="15" w:type="dxa"/>
                    <w:bottom w:w="0" w:type="dxa"/>
                    <w:right w:w="15" w:type="dxa"/>
                  </w:tcMar>
                  <w:hideMark/>
                </w:tcPr>
                <w:p w14:paraId="4ED9643C" w14:textId="77777777" w:rsidR="00E45009" w:rsidRPr="00081C8E" w:rsidRDefault="00E45009" w:rsidP="00E45009">
                  <w:pPr>
                    <w:pStyle w:val="NoSpacing"/>
                    <w:rPr>
                      <w:lang w:val="en-GB"/>
                    </w:rPr>
                  </w:pPr>
                  <w:r w:rsidRPr="00081C8E">
                    <w:rPr>
                      <w:lang w:val="en-GB"/>
                    </w:rPr>
                    <w:t>67</w:t>
                  </w:r>
                </w:p>
              </w:tc>
              <w:tc>
                <w:tcPr>
                  <w:tcW w:w="5870" w:type="dxa"/>
                  <w:shd w:val="clear" w:color="000000" w:fill="FFFFFF"/>
                  <w:tcMar>
                    <w:top w:w="15" w:type="dxa"/>
                    <w:left w:w="15" w:type="dxa"/>
                    <w:bottom w:w="0" w:type="dxa"/>
                    <w:right w:w="15" w:type="dxa"/>
                  </w:tcMar>
                  <w:vAlign w:val="center"/>
                  <w:hideMark/>
                </w:tcPr>
                <w:p w14:paraId="04E7213A" w14:textId="77777777" w:rsidR="00E45009" w:rsidRPr="00081C8E" w:rsidRDefault="00E45009" w:rsidP="00E45009">
                  <w:pPr>
                    <w:pStyle w:val="NoSpacing"/>
                    <w:rPr>
                      <w:lang w:val="en-GB"/>
                    </w:rPr>
                  </w:pPr>
                  <w:r w:rsidRPr="00081C8E">
                    <w:rPr>
                      <w:lang w:val="en-GB"/>
                    </w:rPr>
                    <w:t>General prohibition of collective bargaining</w:t>
                  </w:r>
                </w:p>
              </w:tc>
              <w:tc>
                <w:tcPr>
                  <w:tcW w:w="95" w:type="dxa"/>
                  <w:shd w:val="clear" w:color="000000" w:fill="FFFFFF"/>
                  <w:tcMar>
                    <w:top w:w="15" w:type="dxa"/>
                    <w:left w:w="15" w:type="dxa"/>
                    <w:bottom w:w="0" w:type="dxa"/>
                    <w:right w:w="15" w:type="dxa"/>
                  </w:tcMar>
                  <w:hideMark/>
                </w:tcPr>
                <w:p w14:paraId="31F24FDD"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7EEA80E" w14:textId="77777777" w:rsidR="00E45009" w:rsidRPr="00081C8E" w:rsidRDefault="00E45009" w:rsidP="00E45009">
                  <w:pPr>
                    <w:pStyle w:val="NoSpacing"/>
                    <w:rPr>
                      <w:lang w:val="en-GB"/>
                    </w:rPr>
                  </w:pPr>
                  <w:r w:rsidRPr="00081C8E">
                    <w:rPr>
                      <w:lang w:val="en-GB"/>
                    </w:rPr>
                    <w:t>4.54</w:t>
                  </w:r>
                </w:p>
              </w:tc>
              <w:tc>
                <w:tcPr>
                  <w:tcW w:w="427" w:type="dxa"/>
                  <w:shd w:val="clear" w:color="000000" w:fill="FFFFFF"/>
                  <w:noWrap/>
                  <w:tcMar>
                    <w:top w:w="15" w:type="dxa"/>
                    <w:left w:w="15" w:type="dxa"/>
                    <w:bottom w:w="0" w:type="dxa"/>
                    <w:right w:w="15" w:type="dxa"/>
                  </w:tcMar>
                  <w:hideMark/>
                </w:tcPr>
                <w:p w14:paraId="59B1E199" w14:textId="77777777" w:rsidR="00E45009" w:rsidRPr="00081C8E" w:rsidRDefault="00E45009" w:rsidP="00E45009">
                  <w:pPr>
                    <w:pStyle w:val="NoSpacing"/>
                    <w:rPr>
                      <w:lang w:val="en-GB"/>
                    </w:rPr>
                  </w:pPr>
                  <w:r w:rsidRPr="00081C8E">
                    <w:rPr>
                      <w:lang w:val="en-GB"/>
                    </w:rPr>
                    <w:t>0.65</w:t>
                  </w:r>
                </w:p>
              </w:tc>
              <w:tc>
                <w:tcPr>
                  <w:tcW w:w="88" w:type="dxa"/>
                  <w:shd w:val="clear" w:color="000000" w:fill="FFFFFF"/>
                  <w:noWrap/>
                  <w:tcMar>
                    <w:top w:w="15" w:type="dxa"/>
                    <w:left w:w="15" w:type="dxa"/>
                    <w:bottom w:w="0" w:type="dxa"/>
                    <w:right w:w="15" w:type="dxa"/>
                  </w:tcMar>
                  <w:hideMark/>
                </w:tcPr>
                <w:p w14:paraId="1828937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7AEBAE9" w14:textId="77777777" w:rsidR="00E45009" w:rsidRPr="00081C8E" w:rsidRDefault="00E45009" w:rsidP="00E45009">
                  <w:pPr>
                    <w:pStyle w:val="NoSpacing"/>
                    <w:rPr>
                      <w:lang w:val="en-GB"/>
                    </w:rPr>
                  </w:pPr>
                  <w:r w:rsidRPr="00081C8E">
                    <w:rPr>
                      <w:lang w:val="en-GB"/>
                    </w:rPr>
                    <w:t>4.57</w:t>
                  </w:r>
                </w:p>
              </w:tc>
              <w:tc>
                <w:tcPr>
                  <w:tcW w:w="427" w:type="dxa"/>
                  <w:shd w:val="clear" w:color="000000" w:fill="FFFFFF"/>
                  <w:noWrap/>
                  <w:tcMar>
                    <w:top w:w="15" w:type="dxa"/>
                    <w:left w:w="15" w:type="dxa"/>
                    <w:bottom w:w="0" w:type="dxa"/>
                    <w:right w:w="15" w:type="dxa"/>
                  </w:tcMar>
                  <w:hideMark/>
                </w:tcPr>
                <w:p w14:paraId="354565B2" w14:textId="77777777" w:rsidR="00E45009" w:rsidRPr="00081C8E" w:rsidRDefault="00E45009" w:rsidP="00E45009">
                  <w:pPr>
                    <w:pStyle w:val="NoSpacing"/>
                    <w:rPr>
                      <w:lang w:val="en-GB"/>
                    </w:rPr>
                  </w:pPr>
                  <w:r w:rsidRPr="00081C8E">
                    <w:rPr>
                      <w:lang w:val="en-GB"/>
                    </w:rPr>
                    <w:t>0.51</w:t>
                  </w:r>
                </w:p>
              </w:tc>
              <w:tc>
                <w:tcPr>
                  <w:tcW w:w="78" w:type="dxa"/>
                  <w:shd w:val="clear" w:color="000000" w:fill="FFFFFF"/>
                  <w:noWrap/>
                  <w:tcMar>
                    <w:top w:w="15" w:type="dxa"/>
                    <w:left w:w="15" w:type="dxa"/>
                    <w:bottom w:w="0" w:type="dxa"/>
                    <w:right w:w="15" w:type="dxa"/>
                  </w:tcMar>
                  <w:hideMark/>
                </w:tcPr>
                <w:p w14:paraId="425B2A7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E78F80A" w14:textId="77777777" w:rsidR="00E45009" w:rsidRPr="00081C8E" w:rsidRDefault="00E45009" w:rsidP="00E45009">
                  <w:pPr>
                    <w:pStyle w:val="NoSpacing"/>
                    <w:rPr>
                      <w:lang w:val="en-GB"/>
                    </w:rPr>
                  </w:pPr>
                  <w:r w:rsidRPr="00081C8E">
                    <w:rPr>
                      <w:lang w:val="en-GB"/>
                    </w:rPr>
                    <w:t>1.89</w:t>
                  </w:r>
                </w:p>
              </w:tc>
            </w:tr>
            <w:tr w:rsidR="00E45009" w:rsidRPr="00081C8E" w14:paraId="2DC9C2D0" w14:textId="77777777" w:rsidTr="00DB32C0">
              <w:trPr>
                <w:trHeight w:val="255"/>
              </w:trPr>
              <w:tc>
                <w:tcPr>
                  <w:tcW w:w="185" w:type="dxa"/>
                  <w:shd w:val="clear" w:color="000000" w:fill="FFFFFF"/>
                  <w:noWrap/>
                  <w:tcMar>
                    <w:top w:w="15" w:type="dxa"/>
                    <w:left w:w="15" w:type="dxa"/>
                    <w:bottom w:w="0" w:type="dxa"/>
                    <w:right w:w="15" w:type="dxa"/>
                  </w:tcMar>
                  <w:hideMark/>
                </w:tcPr>
                <w:p w14:paraId="72C695D6" w14:textId="77777777" w:rsidR="00E45009" w:rsidRPr="00081C8E" w:rsidRDefault="00E45009" w:rsidP="00E45009">
                  <w:pPr>
                    <w:pStyle w:val="NoSpacing"/>
                    <w:rPr>
                      <w:lang w:val="en-GB"/>
                    </w:rPr>
                  </w:pPr>
                  <w:r w:rsidRPr="00081C8E">
                    <w:rPr>
                      <w:lang w:val="en-GB"/>
                    </w:rPr>
                    <w:t>68</w:t>
                  </w:r>
                </w:p>
              </w:tc>
              <w:tc>
                <w:tcPr>
                  <w:tcW w:w="5870" w:type="dxa"/>
                  <w:shd w:val="clear" w:color="000000" w:fill="FFFFFF"/>
                  <w:tcMar>
                    <w:top w:w="15" w:type="dxa"/>
                    <w:left w:w="15" w:type="dxa"/>
                    <w:bottom w:w="0" w:type="dxa"/>
                    <w:right w:w="15" w:type="dxa"/>
                  </w:tcMar>
                  <w:vAlign w:val="center"/>
                  <w:hideMark/>
                </w:tcPr>
                <w:p w14:paraId="476F23CF" w14:textId="77777777" w:rsidR="00E45009" w:rsidRPr="00081C8E" w:rsidRDefault="00E45009" w:rsidP="00E45009">
                  <w:pPr>
                    <w:pStyle w:val="NoSpacing"/>
                    <w:rPr>
                      <w:lang w:val="en-GB"/>
                    </w:rPr>
                  </w:pPr>
                  <w:r w:rsidRPr="00081C8E">
                    <w:rPr>
                      <w:lang w:val="en-GB"/>
                    </w:rPr>
                    <w:t>Insufficient promotion of collective bargaining</w:t>
                  </w:r>
                </w:p>
              </w:tc>
              <w:tc>
                <w:tcPr>
                  <w:tcW w:w="95" w:type="dxa"/>
                  <w:shd w:val="clear" w:color="000000" w:fill="FFFFFF"/>
                  <w:tcMar>
                    <w:top w:w="15" w:type="dxa"/>
                    <w:left w:w="15" w:type="dxa"/>
                    <w:bottom w:w="0" w:type="dxa"/>
                    <w:right w:w="15" w:type="dxa"/>
                  </w:tcMar>
                  <w:hideMark/>
                </w:tcPr>
                <w:p w14:paraId="0DBD99C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3DC188D7" w14:textId="77777777" w:rsidR="00E45009" w:rsidRPr="00081C8E" w:rsidRDefault="00E45009" w:rsidP="00E45009">
                  <w:pPr>
                    <w:pStyle w:val="NoSpacing"/>
                    <w:rPr>
                      <w:lang w:val="en-GB"/>
                    </w:rPr>
                  </w:pPr>
                  <w:r w:rsidRPr="00081C8E">
                    <w:rPr>
                      <w:lang w:val="en-GB"/>
                    </w:rPr>
                    <w:t>2.92</w:t>
                  </w:r>
                </w:p>
              </w:tc>
              <w:tc>
                <w:tcPr>
                  <w:tcW w:w="427" w:type="dxa"/>
                  <w:shd w:val="clear" w:color="000000" w:fill="FFFFFF"/>
                  <w:noWrap/>
                  <w:tcMar>
                    <w:top w:w="15" w:type="dxa"/>
                    <w:left w:w="15" w:type="dxa"/>
                    <w:bottom w:w="0" w:type="dxa"/>
                    <w:right w:w="15" w:type="dxa"/>
                  </w:tcMar>
                  <w:hideMark/>
                </w:tcPr>
                <w:p w14:paraId="44AB6B42"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7F3EA3EE"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123E350" w14:textId="77777777" w:rsidR="00E45009" w:rsidRPr="00081C8E" w:rsidRDefault="00E45009" w:rsidP="00E45009">
                  <w:pPr>
                    <w:pStyle w:val="NoSpacing"/>
                    <w:rPr>
                      <w:lang w:val="en-GB"/>
                    </w:rPr>
                  </w:pPr>
                  <w:r w:rsidRPr="00081C8E">
                    <w:rPr>
                      <w:lang w:val="en-GB"/>
                    </w:rPr>
                    <w:t>2.79</w:t>
                  </w:r>
                </w:p>
              </w:tc>
              <w:tc>
                <w:tcPr>
                  <w:tcW w:w="427" w:type="dxa"/>
                  <w:shd w:val="clear" w:color="000000" w:fill="FFFFFF"/>
                  <w:noWrap/>
                  <w:tcMar>
                    <w:top w:w="15" w:type="dxa"/>
                    <w:left w:w="15" w:type="dxa"/>
                    <w:bottom w:w="0" w:type="dxa"/>
                    <w:right w:w="15" w:type="dxa"/>
                  </w:tcMar>
                  <w:hideMark/>
                </w:tcPr>
                <w:p w14:paraId="78D445A8" w14:textId="77777777" w:rsidR="00E45009" w:rsidRPr="00081C8E" w:rsidRDefault="00E45009" w:rsidP="00E45009">
                  <w:pPr>
                    <w:pStyle w:val="NoSpacing"/>
                    <w:rPr>
                      <w:lang w:val="en-GB"/>
                    </w:rPr>
                  </w:pPr>
                  <w:r w:rsidRPr="00081C8E">
                    <w:rPr>
                      <w:lang w:val="en-GB"/>
                    </w:rPr>
                    <w:t>0.70</w:t>
                  </w:r>
                </w:p>
              </w:tc>
              <w:tc>
                <w:tcPr>
                  <w:tcW w:w="78" w:type="dxa"/>
                  <w:shd w:val="clear" w:color="000000" w:fill="FFFFFF"/>
                  <w:noWrap/>
                  <w:tcMar>
                    <w:top w:w="15" w:type="dxa"/>
                    <w:left w:w="15" w:type="dxa"/>
                    <w:bottom w:w="0" w:type="dxa"/>
                    <w:right w:w="15" w:type="dxa"/>
                  </w:tcMar>
                  <w:hideMark/>
                </w:tcPr>
                <w:p w14:paraId="028136D2"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220C246" w14:textId="77777777" w:rsidR="00E45009" w:rsidRPr="00081C8E" w:rsidRDefault="00E45009" w:rsidP="00E45009">
                  <w:pPr>
                    <w:pStyle w:val="NoSpacing"/>
                    <w:rPr>
                      <w:lang w:val="en-GB"/>
                    </w:rPr>
                  </w:pPr>
                  <w:r w:rsidRPr="00081C8E">
                    <w:rPr>
                      <w:lang w:val="en-GB"/>
                    </w:rPr>
                    <w:t>1.45</w:t>
                  </w:r>
                </w:p>
              </w:tc>
            </w:tr>
            <w:tr w:rsidR="00E45009" w:rsidRPr="00081C8E" w14:paraId="7A9D0FF9" w14:textId="77777777" w:rsidTr="00DB32C0">
              <w:trPr>
                <w:trHeight w:val="255"/>
              </w:trPr>
              <w:tc>
                <w:tcPr>
                  <w:tcW w:w="185" w:type="dxa"/>
                  <w:shd w:val="clear" w:color="000000" w:fill="FFFFFF"/>
                  <w:noWrap/>
                  <w:tcMar>
                    <w:top w:w="15" w:type="dxa"/>
                    <w:left w:w="15" w:type="dxa"/>
                    <w:bottom w:w="0" w:type="dxa"/>
                    <w:right w:w="15" w:type="dxa"/>
                  </w:tcMar>
                  <w:hideMark/>
                </w:tcPr>
                <w:p w14:paraId="304365B4" w14:textId="77777777" w:rsidR="00E45009" w:rsidRPr="00081C8E" w:rsidRDefault="00E45009" w:rsidP="00E45009">
                  <w:pPr>
                    <w:pStyle w:val="NoSpacing"/>
                    <w:rPr>
                      <w:lang w:val="en-GB"/>
                    </w:rPr>
                  </w:pPr>
                  <w:r w:rsidRPr="00081C8E">
                    <w:rPr>
                      <w:lang w:val="en-GB"/>
                    </w:rPr>
                    <w:t>69</w:t>
                  </w:r>
                </w:p>
              </w:tc>
              <w:tc>
                <w:tcPr>
                  <w:tcW w:w="5870" w:type="dxa"/>
                  <w:shd w:val="clear" w:color="000000" w:fill="FFFFFF"/>
                  <w:tcMar>
                    <w:top w:w="15" w:type="dxa"/>
                    <w:left w:w="15" w:type="dxa"/>
                    <w:bottom w:w="0" w:type="dxa"/>
                    <w:right w:w="15" w:type="dxa"/>
                  </w:tcMar>
                  <w:vAlign w:val="center"/>
                  <w:hideMark/>
                </w:tcPr>
                <w:p w14:paraId="24A17073" w14:textId="77777777" w:rsidR="00E45009" w:rsidRPr="00081C8E" w:rsidRDefault="00E45009" w:rsidP="00E45009">
                  <w:pPr>
                    <w:pStyle w:val="NoSpacing"/>
                    <w:rPr>
                      <w:lang w:val="en-GB"/>
                    </w:rPr>
                  </w:pPr>
                  <w:r w:rsidRPr="00081C8E">
                    <w:rPr>
                      <w:lang w:val="en-GB"/>
                    </w:rPr>
                    <w:t>Exclusion of employers from the right to collective bargaining</w:t>
                  </w:r>
                </w:p>
              </w:tc>
              <w:tc>
                <w:tcPr>
                  <w:tcW w:w="95" w:type="dxa"/>
                  <w:shd w:val="clear" w:color="000000" w:fill="FFFFFF"/>
                  <w:tcMar>
                    <w:top w:w="15" w:type="dxa"/>
                    <w:left w:w="15" w:type="dxa"/>
                    <w:bottom w:w="0" w:type="dxa"/>
                    <w:right w:w="15" w:type="dxa"/>
                  </w:tcMar>
                  <w:hideMark/>
                </w:tcPr>
                <w:p w14:paraId="6063BF3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DACBB0F" w14:textId="77777777" w:rsidR="00E45009" w:rsidRPr="00081C8E" w:rsidRDefault="00E45009" w:rsidP="00E45009">
                  <w:pPr>
                    <w:pStyle w:val="NoSpacing"/>
                    <w:rPr>
                      <w:lang w:val="en-GB"/>
                    </w:rPr>
                  </w:pPr>
                  <w:r w:rsidRPr="00081C8E">
                    <w:rPr>
                      <w:lang w:val="en-GB"/>
                    </w:rPr>
                    <w:t>4.08</w:t>
                  </w:r>
                </w:p>
              </w:tc>
              <w:tc>
                <w:tcPr>
                  <w:tcW w:w="427" w:type="dxa"/>
                  <w:shd w:val="clear" w:color="000000" w:fill="FFFFFF"/>
                  <w:noWrap/>
                  <w:tcMar>
                    <w:top w:w="15" w:type="dxa"/>
                    <w:left w:w="15" w:type="dxa"/>
                    <w:bottom w:w="0" w:type="dxa"/>
                    <w:right w:w="15" w:type="dxa"/>
                  </w:tcMar>
                  <w:hideMark/>
                </w:tcPr>
                <w:p w14:paraId="1691333A" w14:textId="77777777" w:rsidR="00E45009" w:rsidRPr="00081C8E" w:rsidRDefault="00E45009" w:rsidP="00E45009">
                  <w:pPr>
                    <w:pStyle w:val="NoSpacing"/>
                    <w:rPr>
                      <w:lang w:val="en-GB"/>
                    </w:rPr>
                  </w:pPr>
                  <w:r w:rsidRPr="00081C8E">
                    <w:rPr>
                      <w:lang w:val="en-GB"/>
                    </w:rPr>
                    <w:t>0.66</w:t>
                  </w:r>
                </w:p>
              </w:tc>
              <w:tc>
                <w:tcPr>
                  <w:tcW w:w="88" w:type="dxa"/>
                  <w:shd w:val="clear" w:color="000000" w:fill="FFFFFF"/>
                  <w:noWrap/>
                  <w:tcMar>
                    <w:top w:w="15" w:type="dxa"/>
                    <w:left w:w="15" w:type="dxa"/>
                    <w:bottom w:w="0" w:type="dxa"/>
                    <w:right w:w="15" w:type="dxa"/>
                  </w:tcMar>
                  <w:hideMark/>
                </w:tcPr>
                <w:p w14:paraId="5B66E67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5A3B454" w14:textId="77777777" w:rsidR="00E45009" w:rsidRPr="00081C8E" w:rsidRDefault="00E45009" w:rsidP="00E45009">
                  <w:pPr>
                    <w:pStyle w:val="NoSpacing"/>
                    <w:rPr>
                      <w:lang w:val="en-GB"/>
                    </w:rPr>
                  </w:pPr>
                  <w:r w:rsidRPr="00081C8E">
                    <w:rPr>
                      <w:lang w:val="en-GB"/>
                    </w:rPr>
                    <w:t>4.36</w:t>
                  </w:r>
                </w:p>
              </w:tc>
              <w:tc>
                <w:tcPr>
                  <w:tcW w:w="427" w:type="dxa"/>
                  <w:shd w:val="clear" w:color="000000" w:fill="FFFFFF"/>
                  <w:noWrap/>
                  <w:tcMar>
                    <w:top w:w="15" w:type="dxa"/>
                    <w:left w:w="15" w:type="dxa"/>
                    <w:bottom w:w="0" w:type="dxa"/>
                    <w:right w:w="15" w:type="dxa"/>
                  </w:tcMar>
                  <w:hideMark/>
                </w:tcPr>
                <w:p w14:paraId="4449B93B" w14:textId="77777777" w:rsidR="00E45009" w:rsidRPr="00081C8E" w:rsidRDefault="00E45009" w:rsidP="00E45009">
                  <w:pPr>
                    <w:pStyle w:val="NoSpacing"/>
                    <w:rPr>
                      <w:lang w:val="en-GB"/>
                    </w:rPr>
                  </w:pPr>
                  <w:r w:rsidRPr="00081C8E">
                    <w:rPr>
                      <w:lang w:val="en-GB"/>
                    </w:rPr>
                    <w:t>0.50</w:t>
                  </w:r>
                </w:p>
              </w:tc>
              <w:tc>
                <w:tcPr>
                  <w:tcW w:w="78" w:type="dxa"/>
                  <w:shd w:val="clear" w:color="000000" w:fill="FFFFFF"/>
                  <w:noWrap/>
                  <w:tcMar>
                    <w:top w:w="15" w:type="dxa"/>
                    <w:left w:w="15" w:type="dxa"/>
                    <w:bottom w:w="0" w:type="dxa"/>
                    <w:right w:w="15" w:type="dxa"/>
                  </w:tcMar>
                  <w:hideMark/>
                </w:tcPr>
                <w:p w14:paraId="5B53E78C"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CE6BAE7" w14:textId="77777777" w:rsidR="00E45009" w:rsidRPr="00081C8E" w:rsidRDefault="00E45009" w:rsidP="00E45009">
                  <w:pPr>
                    <w:pStyle w:val="NoSpacing"/>
                    <w:rPr>
                      <w:lang w:val="en-GB"/>
                    </w:rPr>
                  </w:pPr>
                  <w:r w:rsidRPr="00081C8E">
                    <w:rPr>
                      <w:lang w:val="en-GB"/>
                    </w:rPr>
                    <w:t>1.84</w:t>
                  </w:r>
                </w:p>
              </w:tc>
            </w:tr>
            <w:tr w:rsidR="00E45009" w:rsidRPr="00081C8E" w14:paraId="5F07EA22" w14:textId="77777777" w:rsidTr="00DB32C0">
              <w:trPr>
                <w:trHeight w:val="255"/>
              </w:trPr>
              <w:tc>
                <w:tcPr>
                  <w:tcW w:w="185" w:type="dxa"/>
                  <w:shd w:val="clear" w:color="000000" w:fill="FFFFFF"/>
                  <w:noWrap/>
                  <w:tcMar>
                    <w:top w:w="15" w:type="dxa"/>
                    <w:left w:w="15" w:type="dxa"/>
                    <w:bottom w:w="0" w:type="dxa"/>
                    <w:right w:w="15" w:type="dxa"/>
                  </w:tcMar>
                  <w:hideMark/>
                </w:tcPr>
                <w:p w14:paraId="767ABE69" w14:textId="77777777" w:rsidR="00E45009" w:rsidRPr="00081C8E" w:rsidRDefault="00E45009" w:rsidP="00E45009">
                  <w:pPr>
                    <w:pStyle w:val="NoSpacing"/>
                    <w:rPr>
                      <w:lang w:val="en-GB"/>
                    </w:rPr>
                  </w:pPr>
                  <w:r w:rsidRPr="00081C8E">
                    <w:rPr>
                      <w:lang w:val="en-GB"/>
                    </w:rPr>
                    <w:t>70</w:t>
                  </w:r>
                </w:p>
              </w:tc>
              <w:tc>
                <w:tcPr>
                  <w:tcW w:w="5870" w:type="dxa"/>
                  <w:shd w:val="clear" w:color="000000" w:fill="FFFFFF"/>
                  <w:tcMar>
                    <w:top w:w="15" w:type="dxa"/>
                    <w:left w:w="15" w:type="dxa"/>
                    <w:bottom w:w="0" w:type="dxa"/>
                    <w:right w:w="15" w:type="dxa"/>
                  </w:tcMar>
                  <w:vAlign w:val="center"/>
                  <w:hideMark/>
                </w:tcPr>
                <w:p w14:paraId="5DE7C531" w14:textId="77777777" w:rsidR="00E45009" w:rsidRPr="00081C8E" w:rsidRDefault="00E45009" w:rsidP="00E45009">
                  <w:pPr>
                    <w:pStyle w:val="NoSpacing"/>
                    <w:rPr>
                      <w:lang w:val="en-GB"/>
                    </w:rPr>
                  </w:pPr>
                  <w:r w:rsidRPr="00081C8E">
                    <w:rPr>
                      <w:lang w:val="en-GB"/>
                    </w:rPr>
                    <w:t>Exclusion/restriction of subjects covered by collective bargaining</w:t>
                  </w:r>
                </w:p>
              </w:tc>
              <w:tc>
                <w:tcPr>
                  <w:tcW w:w="95" w:type="dxa"/>
                  <w:shd w:val="clear" w:color="000000" w:fill="FFFFFF"/>
                  <w:tcMar>
                    <w:top w:w="15" w:type="dxa"/>
                    <w:left w:w="15" w:type="dxa"/>
                    <w:bottom w:w="0" w:type="dxa"/>
                    <w:right w:w="15" w:type="dxa"/>
                  </w:tcMar>
                  <w:hideMark/>
                </w:tcPr>
                <w:p w14:paraId="1F84DD2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7257178" w14:textId="77777777" w:rsidR="00E45009" w:rsidRPr="00081C8E" w:rsidRDefault="00E45009" w:rsidP="00E45009">
                  <w:pPr>
                    <w:pStyle w:val="NoSpacing"/>
                    <w:rPr>
                      <w:lang w:val="en-GB"/>
                    </w:rPr>
                  </w:pPr>
                  <w:r w:rsidRPr="00081C8E">
                    <w:rPr>
                      <w:lang w:val="en-GB"/>
                    </w:rPr>
                    <w:t>3.38</w:t>
                  </w:r>
                </w:p>
              </w:tc>
              <w:tc>
                <w:tcPr>
                  <w:tcW w:w="427" w:type="dxa"/>
                  <w:shd w:val="clear" w:color="000000" w:fill="FFFFFF"/>
                  <w:noWrap/>
                  <w:tcMar>
                    <w:top w:w="15" w:type="dxa"/>
                    <w:left w:w="15" w:type="dxa"/>
                    <w:bottom w:w="0" w:type="dxa"/>
                    <w:right w:w="15" w:type="dxa"/>
                  </w:tcMar>
                  <w:hideMark/>
                </w:tcPr>
                <w:p w14:paraId="027EE0F0" w14:textId="77777777" w:rsidR="00E45009" w:rsidRPr="00081C8E" w:rsidRDefault="00E45009" w:rsidP="00E45009">
                  <w:pPr>
                    <w:pStyle w:val="NoSpacing"/>
                    <w:rPr>
                      <w:lang w:val="en-GB"/>
                    </w:rPr>
                  </w:pPr>
                  <w:r w:rsidRPr="00081C8E">
                    <w:rPr>
                      <w:lang w:val="en-GB"/>
                    </w:rPr>
                    <w:t>0.50</w:t>
                  </w:r>
                </w:p>
              </w:tc>
              <w:tc>
                <w:tcPr>
                  <w:tcW w:w="88" w:type="dxa"/>
                  <w:shd w:val="clear" w:color="000000" w:fill="FFFFFF"/>
                  <w:noWrap/>
                  <w:tcMar>
                    <w:top w:w="15" w:type="dxa"/>
                    <w:left w:w="15" w:type="dxa"/>
                    <w:bottom w:w="0" w:type="dxa"/>
                    <w:right w:w="15" w:type="dxa"/>
                  </w:tcMar>
                  <w:hideMark/>
                </w:tcPr>
                <w:p w14:paraId="5888109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6F10336" w14:textId="77777777" w:rsidR="00E45009" w:rsidRPr="00081C8E" w:rsidRDefault="00E45009" w:rsidP="00E45009">
                  <w:pPr>
                    <w:pStyle w:val="NoSpacing"/>
                    <w:rPr>
                      <w:lang w:val="en-GB"/>
                    </w:rPr>
                  </w:pPr>
                  <w:r w:rsidRPr="00081C8E">
                    <w:rPr>
                      <w:lang w:val="en-GB"/>
                    </w:rPr>
                    <w:t>3.36</w:t>
                  </w:r>
                </w:p>
              </w:tc>
              <w:tc>
                <w:tcPr>
                  <w:tcW w:w="427" w:type="dxa"/>
                  <w:shd w:val="clear" w:color="000000" w:fill="FFFFFF"/>
                  <w:noWrap/>
                  <w:tcMar>
                    <w:top w:w="15" w:type="dxa"/>
                    <w:left w:w="15" w:type="dxa"/>
                    <w:bottom w:w="0" w:type="dxa"/>
                    <w:right w:w="15" w:type="dxa"/>
                  </w:tcMar>
                  <w:hideMark/>
                </w:tcPr>
                <w:p w14:paraId="171532B8" w14:textId="77777777" w:rsidR="00E45009" w:rsidRPr="00081C8E" w:rsidRDefault="00E45009" w:rsidP="00E45009">
                  <w:pPr>
                    <w:pStyle w:val="NoSpacing"/>
                    <w:rPr>
                      <w:lang w:val="en-GB"/>
                    </w:rPr>
                  </w:pPr>
                  <w:r w:rsidRPr="00081C8E">
                    <w:rPr>
                      <w:lang w:val="en-GB"/>
                    </w:rPr>
                    <w:t>0.50</w:t>
                  </w:r>
                </w:p>
              </w:tc>
              <w:tc>
                <w:tcPr>
                  <w:tcW w:w="78" w:type="dxa"/>
                  <w:shd w:val="clear" w:color="000000" w:fill="FFFFFF"/>
                  <w:noWrap/>
                  <w:tcMar>
                    <w:top w:w="15" w:type="dxa"/>
                    <w:left w:w="15" w:type="dxa"/>
                    <w:bottom w:w="0" w:type="dxa"/>
                    <w:right w:w="15" w:type="dxa"/>
                  </w:tcMar>
                  <w:hideMark/>
                </w:tcPr>
                <w:p w14:paraId="23477950"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805BBF2" w14:textId="77777777" w:rsidR="00E45009" w:rsidRPr="00081C8E" w:rsidRDefault="00E45009" w:rsidP="00E45009">
                  <w:pPr>
                    <w:pStyle w:val="NoSpacing"/>
                    <w:rPr>
                      <w:lang w:val="en-GB"/>
                    </w:rPr>
                  </w:pPr>
                  <w:r w:rsidRPr="00081C8E">
                    <w:rPr>
                      <w:lang w:val="en-GB"/>
                    </w:rPr>
                    <w:t>1.59</w:t>
                  </w:r>
                </w:p>
              </w:tc>
            </w:tr>
            <w:tr w:rsidR="00E45009" w:rsidRPr="00081C8E" w14:paraId="6E67178E" w14:textId="77777777" w:rsidTr="00DB32C0">
              <w:trPr>
                <w:trHeight w:val="255"/>
              </w:trPr>
              <w:tc>
                <w:tcPr>
                  <w:tcW w:w="185" w:type="dxa"/>
                  <w:shd w:val="clear" w:color="000000" w:fill="FFFFFF"/>
                  <w:noWrap/>
                  <w:tcMar>
                    <w:top w:w="15" w:type="dxa"/>
                    <w:left w:w="15" w:type="dxa"/>
                    <w:bottom w:w="0" w:type="dxa"/>
                    <w:right w:w="15" w:type="dxa"/>
                  </w:tcMar>
                  <w:hideMark/>
                </w:tcPr>
                <w:p w14:paraId="4DAE1588" w14:textId="77777777" w:rsidR="00E45009" w:rsidRPr="00081C8E" w:rsidRDefault="00E45009" w:rsidP="00E45009">
                  <w:pPr>
                    <w:pStyle w:val="NoSpacing"/>
                    <w:rPr>
                      <w:lang w:val="en-GB"/>
                    </w:rPr>
                  </w:pPr>
                  <w:r w:rsidRPr="00081C8E">
                    <w:rPr>
                      <w:lang w:val="en-GB"/>
                    </w:rPr>
                    <w:t>71</w:t>
                  </w:r>
                </w:p>
              </w:tc>
              <w:tc>
                <w:tcPr>
                  <w:tcW w:w="5870" w:type="dxa"/>
                  <w:shd w:val="clear" w:color="000000" w:fill="FFFFFF"/>
                  <w:tcMar>
                    <w:top w:w="15" w:type="dxa"/>
                    <w:left w:w="15" w:type="dxa"/>
                    <w:bottom w:w="0" w:type="dxa"/>
                    <w:right w:w="15" w:type="dxa"/>
                  </w:tcMar>
                  <w:vAlign w:val="center"/>
                  <w:hideMark/>
                </w:tcPr>
                <w:p w14:paraId="2A7CF3ED" w14:textId="77777777" w:rsidR="00E45009" w:rsidRPr="00081C8E" w:rsidRDefault="00E45009" w:rsidP="00E45009">
                  <w:pPr>
                    <w:pStyle w:val="NoSpacing"/>
                    <w:rPr>
                      <w:lang w:val="en-GB"/>
                    </w:rPr>
                  </w:pPr>
                  <w:r w:rsidRPr="00081C8E">
                    <w:rPr>
                      <w:lang w:val="en-GB"/>
                    </w:rPr>
                    <w:t>Compulsory arbitration accorded to collective bargaining</w:t>
                  </w:r>
                </w:p>
              </w:tc>
              <w:tc>
                <w:tcPr>
                  <w:tcW w:w="95" w:type="dxa"/>
                  <w:shd w:val="clear" w:color="000000" w:fill="FFFFFF"/>
                  <w:tcMar>
                    <w:top w:w="15" w:type="dxa"/>
                    <w:left w:w="15" w:type="dxa"/>
                    <w:bottom w:w="0" w:type="dxa"/>
                    <w:right w:w="15" w:type="dxa"/>
                  </w:tcMar>
                  <w:hideMark/>
                </w:tcPr>
                <w:p w14:paraId="16A685B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D63B2CB" w14:textId="77777777" w:rsidR="00E45009" w:rsidRPr="00081C8E" w:rsidRDefault="00E45009" w:rsidP="00E45009">
                  <w:pPr>
                    <w:pStyle w:val="NoSpacing"/>
                    <w:rPr>
                      <w:lang w:val="en-GB"/>
                    </w:rPr>
                  </w:pPr>
                  <w:r w:rsidRPr="00081C8E">
                    <w:rPr>
                      <w:lang w:val="en-GB"/>
                    </w:rPr>
                    <w:t>3.69</w:t>
                  </w:r>
                </w:p>
              </w:tc>
              <w:tc>
                <w:tcPr>
                  <w:tcW w:w="427" w:type="dxa"/>
                  <w:shd w:val="clear" w:color="000000" w:fill="FFFFFF"/>
                  <w:noWrap/>
                  <w:tcMar>
                    <w:top w:w="15" w:type="dxa"/>
                    <w:left w:w="15" w:type="dxa"/>
                    <w:bottom w:w="0" w:type="dxa"/>
                    <w:right w:w="15" w:type="dxa"/>
                  </w:tcMar>
                  <w:hideMark/>
                </w:tcPr>
                <w:p w14:paraId="44CEC0E8" w14:textId="77777777" w:rsidR="00E45009" w:rsidRPr="00081C8E" w:rsidRDefault="00E45009" w:rsidP="00E45009">
                  <w:pPr>
                    <w:pStyle w:val="NoSpacing"/>
                    <w:rPr>
                      <w:lang w:val="en-GB"/>
                    </w:rPr>
                  </w:pPr>
                  <w:r w:rsidRPr="00081C8E">
                    <w:rPr>
                      <w:lang w:val="en-GB"/>
                    </w:rPr>
                    <w:t>0.93</w:t>
                  </w:r>
                </w:p>
              </w:tc>
              <w:tc>
                <w:tcPr>
                  <w:tcW w:w="88" w:type="dxa"/>
                  <w:shd w:val="clear" w:color="000000" w:fill="FFFFFF"/>
                  <w:noWrap/>
                  <w:tcMar>
                    <w:top w:w="15" w:type="dxa"/>
                    <w:left w:w="15" w:type="dxa"/>
                    <w:bottom w:w="0" w:type="dxa"/>
                    <w:right w:w="15" w:type="dxa"/>
                  </w:tcMar>
                  <w:hideMark/>
                </w:tcPr>
                <w:p w14:paraId="4ACB4FBC"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4BEB5C3" w14:textId="77777777" w:rsidR="00E45009" w:rsidRPr="00081C8E" w:rsidRDefault="00E45009" w:rsidP="00E45009">
                  <w:pPr>
                    <w:pStyle w:val="NoSpacing"/>
                    <w:rPr>
                      <w:lang w:val="en-GB"/>
                    </w:rPr>
                  </w:pPr>
                  <w:r w:rsidRPr="00081C8E">
                    <w:rPr>
                      <w:lang w:val="en-GB"/>
                    </w:rPr>
                    <w:t>3.71</w:t>
                  </w:r>
                </w:p>
              </w:tc>
              <w:tc>
                <w:tcPr>
                  <w:tcW w:w="427" w:type="dxa"/>
                  <w:shd w:val="clear" w:color="000000" w:fill="FFFFFF"/>
                  <w:noWrap/>
                  <w:tcMar>
                    <w:top w:w="15" w:type="dxa"/>
                    <w:left w:w="15" w:type="dxa"/>
                    <w:bottom w:w="0" w:type="dxa"/>
                    <w:right w:w="15" w:type="dxa"/>
                  </w:tcMar>
                  <w:hideMark/>
                </w:tcPr>
                <w:p w14:paraId="534FEB35" w14:textId="77777777" w:rsidR="00E45009" w:rsidRPr="00081C8E" w:rsidRDefault="00E45009" w:rsidP="00E45009">
                  <w:pPr>
                    <w:pStyle w:val="NoSpacing"/>
                    <w:rPr>
                      <w:lang w:val="en-GB"/>
                    </w:rPr>
                  </w:pPr>
                  <w:r w:rsidRPr="00081C8E">
                    <w:rPr>
                      <w:lang w:val="en-GB"/>
                    </w:rPr>
                    <w:t>0.47</w:t>
                  </w:r>
                </w:p>
              </w:tc>
              <w:tc>
                <w:tcPr>
                  <w:tcW w:w="78" w:type="dxa"/>
                  <w:shd w:val="clear" w:color="000000" w:fill="FFFFFF"/>
                  <w:noWrap/>
                  <w:tcMar>
                    <w:top w:w="15" w:type="dxa"/>
                    <w:left w:w="15" w:type="dxa"/>
                    <w:bottom w:w="0" w:type="dxa"/>
                    <w:right w:w="15" w:type="dxa"/>
                  </w:tcMar>
                  <w:hideMark/>
                </w:tcPr>
                <w:p w14:paraId="3BFF235A"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5FBF808" w14:textId="77777777" w:rsidR="00E45009" w:rsidRPr="00081C8E" w:rsidRDefault="00E45009" w:rsidP="00E45009">
                  <w:pPr>
                    <w:pStyle w:val="NoSpacing"/>
                    <w:rPr>
                      <w:lang w:val="en-GB"/>
                    </w:rPr>
                  </w:pPr>
                  <w:r w:rsidRPr="00081C8E">
                    <w:rPr>
                      <w:lang w:val="en-GB"/>
                    </w:rPr>
                    <w:t>1.68</w:t>
                  </w:r>
                </w:p>
              </w:tc>
            </w:tr>
            <w:tr w:rsidR="00E45009" w:rsidRPr="00081C8E" w14:paraId="55D58F65" w14:textId="77777777" w:rsidTr="00DB32C0">
              <w:trPr>
                <w:trHeight w:val="510"/>
              </w:trPr>
              <w:tc>
                <w:tcPr>
                  <w:tcW w:w="185" w:type="dxa"/>
                  <w:shd w:val="clear" w:color="000000" w:fill="FFFFFF"/>
                  <w:noWrap/>
                  <w:tcMar>
                    <w:top w:w="15" w:type="dxa"/>
                    <w:left w:w="15" w:type="dxa"/>
                    <w:bottom w:w="0" w:type="dxa"/>
                    <w:right w:w="15" w:type="dxa"/>
                  </w:tcMar>
                  <w:hideMark/>
                </w:tcPr>
                <w:p w14:paraId="03FF9BD3" w14:textId="77777777" w:rsidR="00E45009" w:rsidRPr="00081C8E" w:rsidRDefault="00E45009" w:rsidP="00E45009">
                  <w:pPr>
                    <w:pStyle w:val="NoSpacing"/>
                    <w:rPr>
                      <w:lang w:val="en-GB"/>
                    </w:rPr>
                  </w:pPr>
                  <w:r w:rsidRPr="00081C8E">
                    <w:rPr>
                      <w:lang w:val="en-GB"/>
                    </w:rPr>
                    <w:t>72</w:t>
                  </w:r>
                </w:p>
              </w:tc>
              <w:tc>
                <w:tcPr>
                  <w:tcW w:w="5870" w:type="dxa"/>
                  <w:shd w:val="clear" w:color="000000" w:fill="FFFFFF"/>
                  <w:tcMar>
                    <w:top w:w="15" w:type="dxa"/>
                    <w:left w:w="15" w:type="dxa"/>
                    <w:bottom w:w="0" w:type="dxa"/>
                    <w:right w:w="15" w:type="dxa"/>
                  </w:tcMar>
                  <w:vAlign w:val="center"/>
                  <w:hideMark/>
                </w:tcPr>
                <w:p w14:paraId="00099D3C" w14:textId="77777777" w:rsidR="00E45009" w:rsidRPr="00081C8E" w:rsidRDefault="00E45009" w:rsidP="00E45009">
                  <w:pPr>
                    <w:pStyle w:val="NoSpacing"/>
                    <w:rPr>
                      <w:lang w:val="en-GB"/>
                    </w:rPr>
                  </w:pPr>
                  <w:r w:rsidRPr="00081C8E">
                    <w:rPr>
                      <w:lang w:val="en-GB"/>
                    </w:rPr>
                    <w:t xml:space="preserve">Excessive requirements and/or lack of objective, pre-established and precise criteria for the determination/recognition of employers' organizations entitled to collective bargaining </w:t>
                  </w:r>
                </w:p>
              </w:tc>
              <w:tc>
                <w:tcPr>
                  <w:tcW w:w="95" w:type="dxa"/>
                  <w:shd w:val="clear" w:color="000000" w:fill="FFFFFF"/>
                  <w:tcMar>
                    <w:top w:w="15" w:type="dxa"/>
                    <w:left w:w="15" w:type="dxa"/>
                    <w:bottom w:w="0" w:type="dxa"/>
                    <w:right w:w="15" w:type="dxa"/>
                  </w:tcMar>
                  <w:hideMark/>
                </w:tcPr>
                <w:p w14:paraId="0BE1C76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FAAEA78" w14:textId="77777777" w:rsidR="00E45009" w:rsidRPr="00081C8E" w:rsidRDefault="00E45009" w:rsidP="00E45009">
                  <w:pPr>
                    <w:pStyle w:val="NoSpacing"/>
                    <w:rPr>
                      <w:lang w:val="en-GB"/>
                    </w:rPr>
                  </w:pPr>
                  <w:r w:rsidRPr="00081C8E">
                    <w:rPr>
                      <w:lang w:val="en-GB"/>
                    </w:rPr>
                    <w:t>3.62</w:t>
                  </w:r>
                </w:p>
              </w:tc>
              <w:tc>
                <w:tcPr>
                  <w:tcW w:w="427" w:type="dxa"/>
                  <w:shd w:val="clear" w:color="000000" w:fill="FFFFFF"/>
                  <w:noWrap/>
                  <w:tcMar>
                    <w:top w:w="15" w:type="dxa"/>
                    <w:left w:w="15" w:type="dxa"/>
                    <w:bottom w:w="0" w:type="dxa"/>
                    <w:right w:w="15" w:type="dxa"/>
                  </w:tcMar>
                  <w:hideMark/>
                </w:tcPr>
                <w:p w14:paraId="0AF1EC5C" w14:textId="77777777" w:rsidR="00E45009" w:rsidRPr="00081C8E" w:rsidRDefault="00E45009" w:rsidP="00E45009">
                  <w:pPr>
                    <w:pStyle w:val="NoSpacing"/>
                    <w:rPr>
                      <w:lang w:val="en-GB"/>
                    </w:rPr>
                  </w:pPr>
                  <w:r w:rsidRPr="00081C8E">
                    <w:rPr>
                      <w:lang w:val="en-GB"/>
                    </w:rPr>
                    <w:t>0.84</w:t>
                  </w:r>
                </w:p>
              </w:tc>
              <w:tc>
                <w:tcPr>
                  <w:tcW w:w="88" w:type="dxa"/>
                  <w:shd w:val="clear" w:color="000000" w:fill="FFFFFF"/>
                  <w:noWrap/>
                  <w:tcMar>
                    <w:top w:w="15" w:type="dxa"/>
                    <w:left w:w="15" w:type="dxa"/>
                    <w:bottom w:w="0" w:type="dxa"/>
                    <w:right w:w="15" w:type="dxa"/>
                  </w:tcMar>
                  <w:hideMark/>
                </w:tcPr>
                <w:p w14:paraId="7E0542E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AE5CFE6" w14:textId="77777777" w:rsidR="00E45009" w:rsidRPr="00081C8E" w:rsidRDefault="00E45009" w:rsidP="00E45009">
                  <w:pPr>
                    <w:pStyle w:val="NoSpacing"/>
                    <w:rPr>
                      <w:lang w:val="en-GB"/>
                    </w:rPr>
                  </w:pPr>
                  <w:r w:rsidRPr="00081C8E">
                    <w:rPr>
                      <w:lang w:val="en-GB"/>
                    </w:rPr>
                    <w:t>3.57</w:t>
                  </w:r>
                </w:p>
              </w:tc>
              <w:tc>
                <w:tcPr>
                  <w:tcW w:w="427" w:type="dxa"/>
                  <w:shd w:val="clear" w:color="000000" w:fill="FFFFFF"/>
                  <w:noWrap/>
                  <w:tcMar>
                    <w:top w:w="15" w:type="dxa"/>
                    <w:left w:w="15" w:type="dxa"/>
                    <w:bottom w:w="0" w:type="dxa"/>
                    <w:right w:w="15" w:type="dxa"/>
                  </w:tcMar>
                  <w:hideMark/>
                </w:tcPr>
                <w:p w14:paraId="4D6574CF" w14:textId="77777777" w:rsidR="00E45009" w:rsidRPr="00081C8E" w:rsidRDefault="00E45009" w:rsidP="00E45009">
                  <w:pPr>
                    <w:pStyle w:val="NoSpacing"/>
                    <w:rPr>
                      <w:lang w:val="en-GB"/>
                    </w:rPr>
                  </w:pPr>
                  <w:r w:rsidRPr="00081C8E">
                    <w:rPr>
                      <w:lang w:val="en-GB"/>
                    </w:rPr>
                    <w:t>0.76</w:t>
                  </w:r>
                </w:p>
              </w:tc>
              <w:tc>
                <w:tcPr>
                  <w:tcW w:w="78" w:type="dxa"/>
                  <w:shd w:val="clear" w:color="000000" w:fill="FFFFFF"/>
                  <w:noWrap/>
                  <w:tcMar>
                    <w:top w:w="15" w:type="dxa"/>
                    <w:left w:w="15" w:type="dxa"/>
                    <w:bottom w:w="0" w:type="dxa"/>
                    <w:right w:w="15" w:type="dxa"/>
                  </w:tcMar>
                  <w:hideMark/>
                </w:tcPr>
                <w:p w14:paraId="483F0343"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46D07EB" w14:textId="77777777" w:rsidR="00E45009" w:rsidRPr="00081C8E" w:rsidRDefault="00E45009" w:rsidP="00E45009">
                  <w:pPr>
                    <w:pStyle w:val="NoSpacing"/>
                    <w:rPr>
                      <w:lang w:val="en-GB"/>
                    </w:rPr>
                  </w:pPr>
                  <w:r w:rsidRPr="00081C8E">
                    <w:rPr>
                      <w:lang w:val="en-GB"/>
                    </w:rPr>
                    <w:t>1.64</w:t>
                  </w:r>
                </w:p>
              </w:tc>
            </w:tr>
            <w:tr w:rsidR="00E45009" w:rsidRPr="00081C8E" w14:paraId="289E43CF" w14:textId="77777777" w:rsidTr="00DB32C0">
              <w:trPr>
                <w:trHeight w:val="255"/>
              </w:trPr>
              <w:tc>
                <w:tcPr>
                  <w:tcW w:w="185" w:type="dxa"/>
                  <w:shd w:val="clear" w:color="000000" w:fill="FFFFFF"/>
                  <w:noWrap/>
                  <w:tcMar>
                    <w:top w:w="15" w:type="dxa"/>
                    <w:left w:w="15" w:type="dxa"/>
                    <w:bottom w:w="0" w:type="dxa"/>
                    <w:right w:w="15" w:type="dxa"/>
                  </w:tcMar>
                  <w:hideMark/>
                </w:tcPr>
                <w:p w14:paraId="7CEB0B66" w14:textId="77777777" w:rsidR="00E45009" w:rsidRPr="00081C8E" w:rsidRDefault="00E45009" w:rsidP="00E45009">
                  <w:pPr>
                    <w:pStyle w:val="NoSpacing"/>
                    <w:rPr>
                      <w:lang w:val="en-GB"/>
                    </w:rPr>
                  </w:pPr>
                  <w:r w:rsidRPr="00081C8E">
                    <w:rPr>
                      <w:lang w:val="en-GB"/>
                    </w:rPr>
                    <w:t>73</w:t>
                  </w:r>
                </w:p>
              </w:tc>
              <w:tc>
                <w:tcPr>
                  <w:tcW w:w="5870" w:type="dxa"/>
                  <w:shd w:val="clear" w:color="000000" w:fill="FFFFFF"/>
                  <w:tcMar>
                    <w:top w:w="15" w:type="dxa"/>
                    <w:left w:w="15" w:type="dxa"/>
                    <w:bottom w:w="0" w:type="dxa"/>
                    <w:right w:w="15" w:type="dxa"/>
                  </w:tcMar>
                  <w:vAlign w:val="center"/>
                  <w:hideMark/>
                </w:tcPr>
                <w:p w14:paraId="602155F8" w14:textId="77777777" w:rsidR="00E45009" w:rsidRPr="00081C8E" w:rsidRDefault="00E45009" w:rsidP="00E45009">
                  <w:pPr>
                    <w:pStyle w:val="NoSpacing"/>
                    <w:rPr>
                      <w:lang w:val="en-GB"/>
                    </w:rPr>
                  </w:pPr>
                  <w:r w:rsidRPr="00081C8E">
                    <w:rPr>
                      <w:lang w:val="en-GB"/>
                    </w:rPr>
                    <w:t>Acts of interference in collective bargaining</w:t>
                  </w:r>
                </w:p>
              </w:tc>
              <w:tc>
                <w:tcPr>
                  <w:tcW w:w="95" w:type="dxa"/>
                  <w:shd w:val="clear" w:color="000000" w:fill="FFFFFF"/>
                  <w:tcMar>
                    <w:top w:w="15" w:type="dxa"/>
                    <w:left w:w="15" w:type="dxa"/>
                    <w:bottom w:w="0" w:type="dxa"/>
                    <w:right w:w="15" w:type="dxa"/>
                  </w:tcMar>
                  <w:hideMark/>
                </w:tcPr>
                <w:p w14:paraId="79EBE62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9E8746D" w14:textId="77777777" w:rsidR="00E45009" w:rsidRPr="00081C8E" w:rsidRDefault="00E45009" w:rsidP="00E45009">
                  <w:pPr>
                    <w:pStyle w:val="NoSpacing"/>
                    <w:rPr>
                      <w:lang w:val="en-GB"/>
                    </w:rPr>
                  </w:pPr>
                  <w:r w:rsidRPr="00081C8E">
                    <w:rPr>
                      <w:lang w:val="en-GB"/>
                    </w:rPr>
                    <w:t>3.77</w:t>
                  </w:r>
                </w:p>
              </w:tc>
              <w:tc>
                <w:tcPr>
                  <w:tcW w:w="427" w:type="dxa"/>
                  <w:shd w:val="clear" w:color="000000" w:fill="FFFFFF"/>
                  <w:noWrap/>
                  <w:tcMar>
                    <w:top w:w="15" w:type="dxa"/>
                    <w:left w:w="15" w:type="dxa"/>
                    <w:bottom w:w="0" w:type="dxa"/>
                    <w:right w:w="15" w:type="dxa"/>
                  </w:tcMar>
                  <w:hideMark/>
                </w:tcPr>
                <w:p w14:paraId="15C75DEE" w14:textId="77777777" w:rsidR="00E45009" w:rsidRPr="00081C8E" w:rsidRDefault="00E45009" w:rsidP="00E45009">
                  <w:pPr>
                    <w:pStyle w:val="NoSpacing"/>
                    <w:rPr>
                      <w:lang w:val="en-GB"/>
                    </w:rPr>
                  </w:pPr>
                  <w:r w:rsidRPr="00081C8E">
                    <w:rPr>
                      <w:lang w:val="en-GB"/>
                    </w:rPr>
                    <w:t>0.97</w:t>
                  </w:r>
                </w:p>
              </w:tc>
              <w:tc>
                <w:tcPr>
                  <w:tcW w:w="88" w:type="dxa"/>
                  <w:shd w:val="clear" w:color="000000" w:fill="FFFFFF"/>
                  <w:noWrap/>
                  <w:tcMar>
                    <w:top w:w="15" w:type="dxa"/>
                    <w:left w:w="15" w:type="dxa"/>
                    <w:bottom w:w="0" w:type="dxa"/>
                    <w:right w:w="15" w:type="dxa"/>
                  </w:tcMar>
                  <w:hideMark/>
                </w:tcPr>
                <w:p w14:paraId="1C6B2F4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700A881" w14:textId="77777777" w:rsidR="00E45009" w:rsidRPr="00081C8E" w:rsidRDefault="00E45009" w:rsidP="00E45009">
                  <w:pPr>
                    <w:pStyle w:val="NoSpacing"/>
                    <w:rPr>
                      <w:lang w:val="en-GB"/>
                    </w:rPr>
                  </w:pPr>
                  <w:r w:rsidRPr="00081C8E">
                    <w:rPr>
                      <w:lang w:val="en-GB"/>
                    </w:rPr>
                    <w:t>3.57</w:t>
                  </w:r>
                </w:p>
              </w:tc>
              <w:tc>
                <w:tcPr>
                  <w:tcW w:w="427" w:type="dxa"/>
                  <w:shd w:val="clear" w:color="000000" w:fill="FFFFFF"/>
                  <w:noWrap/>
                  <w:tcMar>
                    <w:top w:w="15" w:type="dxa"/>
                    <w:left w:w="15" w:type="dxa"/>
                    <w:bottom w:w="0" w:type="dxa"/>
                    <w:right w:w="15" w:type="dxa"/>
                  </w:tcMar>
                  <w:hideMark/>
                </w:tcPr>
                <w:p w14:paraId="4F4D392D" w14:textId="77777777" w:rsidR="00E45009" w:rsidRPr="00081C8E" w:rsidRDefault="00E45009" w:rsidP="00E45009">
                  <w:pPr>
                    <w:pStyle w:val="NoSpacing"/>
                    <w:rPr>
                      <w:lang w:val="en-GB"/>
                    </w:rPr>
                  </w:pPr>
                  <w:r w:rsidRPr="00081C8E">
                    <w:rPr>
                      <w:lang w:val="en-GB"/>
                    </w:rPr>
                    <w:t>0.85</w:t>
                  </w:r>
                </w:p>
              </w:tc>
              <w:tc>
                <w:tcPr>
                  <w:tcW w:w="78" w:type="dxa"/>
                  <w:shd w:val="clear" w:color="000000" w:fill="FFFFFF"/>
                  <w:noWrap/>
                  <w:tcMar>
                    <w:top w:w="15" w:type="dxa"/>
                    <w:left w:w="15" w:type="dxa"/>
                    <w:bottom w:w="0" w:type="dxa"/>
                    <w:right w:w="15" w:type="dxa"/>
                  </w:tcMar>
                  <w:hideMark/>
                </w:tcPr>
                <w:p w14:paraId="609744CB"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26370A99" w14:textId="77777777" w:rsidR="00E45009" w:rsidRPr="00081C8E" w:rsidRDefault="00E45009" w:rsidP="00E45009">
                  <w:pPr>
                    <w:pStyle w:val="NoSpacing"/>
                    <w:rPr>
                      <w:lang w:val="en-GB"/>
                    </w:rPr>
                  </w:pPr>
                  <w:r w:rsidRPr="00081C8E">
                    <w:rPr>
                      <w:lang w:val="en-GB"/>
                    </w:rPr>
                    <w:t>1.64</w:t>
                  </w:r>
                </w:p>
              </w:tc>
            </w:tr>
            <w:tr w:rsidR="00E45009" w:rsidRPr="00081C8E" w14:paraId="74395EB0" w14:textId="77777777" w:rsidTr="00DB32C0">
              <w:trPr>
                <w:trHeight w:val="255"/>
              </w:trPr>
              <w:tc>
                <w:tcPr>
                  <w:tcW w:w="185" w:type="dxa"/>
                  <w:shd w:val="clear" w:color="000000" w:fill="FFFFFF"/>
                  <w:noWrap/>
                  <w:tcMar>
                    <w:top w:w="15" w:type="dxa"/>
                    <w:left w:w="15" w:type="dxa"/>
                    <w:bottom w:w="0" w:type="dxa"/>
                    <w:right w:w="15" w:type="dxa"/>
                  </w:tcMar>
                  <w:hideMark/>
                </w:tcPr>
                <w:p w14:paraId="5A9C26D4" w14:textId="77777777" w:rsidR="00E45009" w:rsidRPr="00081C8E" w:rsidRDefault="00E45009" w:rsidP="00E45009">
                  <w:pPr>
                    <w:pStyle w:val="NoSpacing"/>
                    <w:rPr>
                      <w:lang w:val="en-GB"/>
                    </w:rPr>
                  </w:pPr>
                  <w:r w:rsidRPr="00081C8E">
                    <w:rPr>
                      <w:lang w:val="en-GB"/>
                    </w:rPr>
                    <w:t>74</w:t>
                  </w:r>
                </w:p>
              </w:tc>
              <w:tc>
                <w:tcPr>
                  <w:tcW w:w="5870" w:type="dxa"/>
                  <w:shd w:val="clear" w:color="000000" w:fill="FFFFFF"/>
                  <w:tcMar>
                    <w:top w:w="15" w:type="dxa"/>
                    <w:left w:w="15" w:type="dxa"/>
                    <w:bottom w:w="0" w:type="dxa"/>
                    <w:right w:w="15" w:type="dxa"/>
                  </w:tcMar>
                  <w:vAlign w:val="center"/>
                  <w:hideMark/>
                </w:tcPr>
                <w:p w14:paraId="338A698F" w14:textId="77777777" w:rsidR="00E45009" w:rsidRPr="00081C8E" w:rsidRDefault="00E45009" w:rsidP="00E45009">
                  <w:pPr>
                    <w:pStyle w:val="NoSpacing"/>
                    <w:rPr>
                      <w:lang w:val="en-GB"/>
                    </w:rPr>
                  </w:pPr>
                  <w:r w:rsidRPr="00081C8E">
                    <w:rPr>
                      <w:lang w:val="en-GB"/>
                    </w:rPr>
                    <w:t>Violations of collective agreements</w:t>
                  </w:r>
                </w:p>
              </w:tc>
              <w:tc>
                <w:tcPr>
                  <w:tcW w:w="95" w:type="dxa"/>
                  <w:shd w:val="clear" w:color="000000" w:fill="FFFFFF"/>
                  <w:tcMar>
                    <w:top w:w="15" w:type="dxa"/>
                    <w:left w:w="15" w:type="dxa"/>
                    <w:bottom w:w="0" w:type="dxa"/>
                    <w:right w:w="15" w:type="dxa"/>
                  </w:tcMar>
                  <w:hideMark/>
                </w:tcPr>
                <w:p w14:paraId="600064EB"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A2C80A3" w14:textId="77777777" w:rsidR="00E45009" w:rsidRPr="00081C8E" w:rsidRDefault="00E45009" w:rsidP="00E45009">
                  <w:pPr>
                    <w:pStyle w:val="NoSpacing"/>
                    <w:rPr>
                      <w:lang w:val="en-GB"/>
                    </w:rPr>
                  </w:pPr>
                  <w:r w:rsidRPr="00081C8E">
                    <w:rPr>
                      <w:lang w:val="en-GB"/>
                    </w:rPr>
                    <w:t>4.07</w:t>
                  </w:r>
                </w:p>
              </w:tc>
              <w:tc>
                <w:tcPr>
                  <w:tcW w:w="427" w:type="dxa"/>
                  <w:shd w:val="clear" w:color="000000" w:fill="FFFFFF"/>
                  <w:noWrap/>
                  <w:tcMar>
                    <w:top w:w="15" w:type="dxa"/>
                    <w:left w:w="15" w:type="dxa"/>
                    <w:bottom w:w="0" w:type="dxa"/>
                    <w:right w:w="15" w:type="dxa"/>
                  </w:tcMar>
                  <w:hideMark/>
                </w:tcPr>
                <w:p w14:paraId="684FAAF4" w14:textId="77777777" w:rsidR="00E45009" w:rsidRPr="00081C8E" w:rsidRDefault="00E45009" w:rsidP="00E45009">
                  <w:pPr>
                    <w:pStyle w:val="NoSpacing"/>
                    <w:rPr>
                      <w:lang w:val="en-GB"/>
                    </w:rPr>
                  </w:pPr>
                  <w:r w:rsidRPr="00081C8E">
                    <w:rPr>
                      <w:lang w:val="en-GB"/>
                    </w:rPr>
                    <w:t>0.88</w:t>
                  </w:r>
                </w:p>
              </w:tc>
              <w:tc>
                <w:tcPr>
                  <w:tcW w:w="88" w:type="dxa"/>
                  <w:shd w:val="clear" w:color="000000" w:fill="FFFFFF"/>
                  <w:noWrap/>
                  <w:tcMar>
                    <w:top w:w="15" w:type="dxa"/>
                    <w:left w:w="15" w:type="dxa"/>
                    <w:bottom w:w="0" w:type="dxa"/>
                    <w:right w:w="15" w:type="dxa"/>
                  </w:tcMar>
                  <w:hideMark/>
                </w:tcPr>
                <w:p w14:paraId="535E4641"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62BA0FDE" w14:textId="77777777" w:rsidR="00E45009" w:rsidRPr="00081C8E" w:rsidRDefault="00E45009" w:rsidP="00E45009">
                  <w:pPr>
                    <w:pStyle w:val="NoSpacing"/>
                    <w:rPr>
                      <w:lang w:val="en-GB"/>
                    </w:rPr>
                  </w:pPr>
                  <w:r w:rsidRPr="00081C8E">
                    <w:rPr>
                      <w:lang w:val="en-GB"/>
                    </w:rPr>
                    <w:t>3.93</w:t>
                  </w:r>
                </w:p>
              </w:tc>
              <w:tc>
                <w:tcPr>
                  <w:tcW w:w="427" w:type="dxa"/>
                  <w:shd w:val="clear" w:color="000000" w:fill="FFFFFF"/>
                  <w:noWrap/>
                  <w:tcMar>
                    <w:top w:w="15" w:type="dxa"/>
                    <w:left w:w="15" w:type="dxa"/>
                    <w:bottom w:w="0" w:type="dxa"/>
                    <w:right w:w="15" w:type="dxa"/>
                  </w:tcMar>
                  <w:hideMark/>
                </w:tcPr>
                <w:p w14:paraId="16FF92D7" w14:textId="77777777" w:rsidR="00E45009" w:rsidRPr="00081C8E" w:rsidRDefault="00E45009" w:rsidP="00E45009">
                  <w:pPr>
                    <w:pStyle w:val="NoSpacing"/>
                    <w:rPr>
                      <w:lang w:val="en-GB"/>
                    </w:rPr>
                  </w:pPr>
                  <w:r w:rsidRPr="00081C8E">
                    <w:rPr>
                      <w:lang w:val="en-GB"/>
                    </w:rPr>
                    <w:t>0.73</w:t>
                  </w:r>
                </w:p>
              </w:tc>
              <w:tc>
                <w:tcPr>
                  <w:tcW w:w="78" w:type="dxa"/>
                  <w:shd w:val="clear" w:color="000000" w:fill="FFFFFF"/>
                  <w:noWrap/>
                  <w:tcMar>
                    <w:top w:w="15" w:type="dxa"/>
                    <w:left w:w="15" w:type="dxa"/>
                    <w:bottom w:w="0" w:type="dxa"/>
                    <w:right w:w="15" w:type="dxa"/>
                  </w:tcMar>
                  <w:hideMark/>
                </w:tcPr>
                <w:p w14:paraId="65B0F7C1"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511D830D" w14:textId="77777777" w:rsidR="00E45009" w:rsidRPr="00081C8E" w:rsidRDefault="00E45009" w:rsidP="00E45009">
                  <w:pPr>
                    <w:pStyle w:val="NoSpacing"/>
                    <w:rPr>
                      <w:lang w:val="en-GB"/>
                    </w:rPr>
                  </w:pPr>
                  <w:r w:rsidRPr="00081C8E">
                    <w:rPr>
                      <w:lang w:val="en-GB"/>
                    </w:rPr>
                    <w:t>1.73</w:t>
                  </w:r>
                </w:p>
              </w:tc>
            </w:tr>
            <w:tr w:rsidR="00E45009" w:rsidRPr="00081C8E" w14:paraId="284BA563" w14:textId="77777777" w:rsidTr="00DB32C0">
              <w:trPr>
                <w:trHeight w:val="255"/>
              </w:trPr>
              <w:tc>
                <w:tcPr>
                  <w:tcW w:w="185" w:type="dxa"/>
                  <w:shd w:val="clear" w:color="000000" w:fill="FFFFFF"/>
                  <w:noWrap/>
                  <w:tcMar>
                    <w:top w:w="15" w:type="dxa"/>
                    <w:left w:w="15" w:type="dxa"/>
                    <w:bottom w:w="0" w:type="dxa"/>
                    <w:right w:w="15" w:type="dxa"/>
                  </w:tcMar>
                  <w:hideMark/>
                </w:tcPr>
                <w:p w14:paraId="57F28564" w14:textId="77777777" w:rsidR="00E45009" w:rsidRPr="00081C8E" w:rsidRDefault="00E45009" w:rsidP="00E45009">
                  <w:pPr>
                    <w:pStyle w:val="NoSpacing"/>
                    <w:rPr>
                      <w:lang w:val="en-GB"/>
                    </w:rPr>
                  </w:pPr>
                  <w:r w:rsidRPr="00081C8E">
                    <w:rPr>
                      <w:lang w:val="en-GB"/>
                    </w:rPr>
                    <w:t>75</w:t>
                  </w:r>
                </w:p>
              </w:tc>
              <w:tc>
                <w:tcPr>
                  <w:tcW w:w="5870" w:type="dxa"/>
                  <w:shd w:val="clear" w:color="000000" w:fill="FFFFFF"/>
                  <w:tcMar>
                    <w:top w:w="15" w:type="dxa"/>
                    <w:left w:w="15" w:type="dxa"/>
                    <w:bottom w:w="0" w:type="dxa"/>
                    <w:right w:w="15" w:type="dxa"/>
                  </w:tcMar>
                  <w:vAlign w:val="center"/>
                  <w:hideMark/>
                </w:tcPr>
                <w:p w14:paraId="0DF4261F" w14:textId="77777777" w:rsidR="00E45009" w:rsidRPr="00081C8E" w:rsidRDefault="00E45009" w:rsidP="00E45009">
                  <w:pPr>
                    <w:pStyle w:val="NoSpacing"/>
                    <w:rPr>
                      <w:lang w:val="en-GB"/>
                    </w:rPr>
                  </w:pPr>
                  <w:r w:rsidRPr="00081C8E">
                    <w:rPr>
                      <w:lang w:val="en-GB"/>
                    </w:rPr>
                    <w:t>Infringements of the consultation with employers' organizations</w:t>
                  </w:r>
                </w:p>
              </w:tc>
              <w:tc>
                <w:tcPr>
                  <w:tcW w:w="95" w:type="dxa"/>
                  <w:shd w:val="clear" w:color="000000" w:fill="FFFFFF"/>
                  <w:tcMar>
                    <w:top w:w="15" w:type="dxa"/>
                    <w:left w:w="15" w:type="dxa"/>
                    <w:bottom w:w="0" w:type="dxa"/>
                    <w:right w:w="15" w:type="dxa"/>
                  </w:tcMar>
                  <w:hideMark/>
                </w:tcPr>
                <w:p w14:paraId="6A67301A"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13AD422B" w14:textId="77777777" w:rsidR="00E45009" w:rsidRPr="00081C8E" w:rsidRDefault="00E45009" w:rsidP="00E45009">
                  <w:pPr>
                    <w:pStyle w:val="NoSpacing"/>
                    <w:rPr>
                      <w:lang w:val="en-GB"/>
                    </w:rPr>
                  </w:pPr>
                  <w:r w:rsidRPr="00081C8E">
                    <w:rPr>
                      <w:lang w:val="en-GB"/>
                    </w:rPr>
                    <w:t>3.54</w:t>
                  </w:r>
                </w:p>
              </w:tc>
              <w:tc>
                <w:tcPr>
                  <w:tcW w:w="427" w:type="dxa"/>
                  <w:shd w:val="clear" w:color="000000" w:fill="FFFFFF"/>
                  <w:noWrap/>
                  <w:tcMar>
                    <w:top w:w="15" w:type="dxa"/>
                    <w:left w:w="15" w:type="dxa"/>
                    <w:bottom w:w="0" w:type="dxa"/>
                    <w:right w:w="15" w:type="dxa"/>
                  </w:tcMar>
                  <w:hideMark/>
                </w:tcPr>
                <w:p w14:paraId="78D03499" w14:textId="77777777" w:rsidR="00E45009" w:rsidRPr="00081C8E" w:rsidRDefault="00E45009" w:rsidP="00E45009">
                  <w:pPr>
                    <w:pStyle w:val="NoSpacing"/>
                    <w:rPr>
                      <w:lang w:val="en-GB"/>
                    </w:rPr>
                  </w:pPr>
                  <w:r w:rsidRPr="00081C8E">
                    <w:rPr>
                      <w:lang w:val="en-GB"/>
                    </w:rPr>
                    <w:t>0.85</w:t>
                  </w:r>
                </w:p>
              </w:tc>
              <w:tc>
                <w:tcPr>
                  <w:tcW w:w="88" w:type="dxa"/>
                  <w:shd w:val="clear" w:color="000000" w:fill="FFFFFF"/>
                  <w:noWrap/>
                  <w:tcMar>
                    <w:top w:w="15" w:type="dxa"/>
                    <w:left w:w="15" w:type="dxa"/>
                    <w:bottom w:w="0" w:type="dxa"/>
                    <w:right w:w="15" w:type="dxa"/>
                  </w:tcMar>
                  <w:hideMark/>
                </w:tcPr>
                <w:p w14:paraId="667ECEA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29CA2333" w14:textId="77777777" w:rsidR="00E45009" w:rsidRPr="00081C8E" w:rsidRDefault="00E45009" w:rsidP="00E45009">
                  <w:pPr>
                    <w:pStyle w:val="NoSpacing"/>
                    <w:rPr>
                      <w:lang w:val="en-GB"/>
                    </w:rPr>
                  </w:pPr>
                  <w:r w:rsidRPr="00081C8E">
                    <w:rPr>
                      <w:lang w:val="en-GB"/>
                    </w:rPr>
                    <w:t>3.36</w:t>
                  </w:r>
                </w:p>
              </w:tc>
              <w:tc>
                <w:tcPr>
                  <w:tcW w:w="427" w:type="dxa"/>
                  <w:shd w:val="clear" w:color="000000" w:fill="FFFFFF"/>
                  <w:noWrap/>
                  <w:tcMar>
                    <w:top w:w="15" w:type="dxa"/>
                    <w:left w:w="15" w:type="dxa"/>
                    <w:bottom w:w="0" w:type="dxa"/>
                    <w:right w:w="15" w:type="dxa"/>
                  </w:tcMar>
                  <w:hideMark/>
                </w:tcPr>
                <w:p w14:paraId="4AB52927" w14:textId="77777777" w:rsidR="00E45009" w:rsidRPr="00081C8E" w:rsidRDefault="00E45009" w:rsidP="00E45009">
                  <w:pPr>
                    <w:pStyle w:val="NoSpacing"/>
                    <w:rPr>
                      <w:lang w:val="en-GB"/>
                    </w:rPr>
                  </w:pPr>
                  <w:r w:rsidRPr="00081C8E">
                    <w:rPr>
                      <w:lang w:val="en-GB"/>
                    </w:rPr>
                    <w:t>0.84</w:t>
                  </w:r>
                </w:p>
              </w:tc>
              <w:tc>
                <w:tcPr>
                  <w:tcW w:w="78" w:type="dxa"/>
                  <w:shd w:val="clear" w:color="000000" w:fill="FFFFFF"/>
                  <w:noWrap/>
                  <w:tcMar>
                    <w:top w:w="15" w:type="dxa"/>
                    <w:left w:w="15" w:type="dxa"/>
                    <w:bottom w:w="0" w:type="dxa"/>
                    <w:right w:w="15" w:type="dxa"/>
                  </w:tcMar>
                  <w:hideMark/>
                </w:tcPr>
                <w:p w14:paraId="22F89DE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36CE6D80" w14:textId="77777777" w:rsidR="00E45009" w:rsidRPr="00081C8E" w:rsidRDefault="00E45009" w:rsidP="00E45009">
                  <w:pPr>
                    <w:pStyle w:val="NoSpacing"/>
                    <w:rPr>
                      <w:lang w:val="en-GB"/>
                    </w:rPr>
                  </w:pPr>
                  <w:r w:rsidRPr="00081C8E">
                    <w:rPr>
                      <w:lang w:val="en-GB"/>
                    </w:rPr>
                    <w:t>1.59</w:t>
                  </w:r>
                </w:p>
              </w:tc>
            </w:tr>
            <w:tr w:rsidR="00E45009" w:rsidRPr="00081C8E" w14:paraId="330E372A" w14:textId="77777777" w:rsidTr="00DB32C0">
              <w:trPr>
                <w:trHeight w:val="255"/>
              </w:trPr>
              <w:tc>
                <w:tcPr>
                  <w:tcW w:w="185" w:type="dxa"/>
                  <w:shd w:val="clear" w:color="000000" w:fill="FFFFFF"/>
                  <w:noWrap/>
                  <w:tcMar>
                    <w:top w:w="15" w:type="dxa"/>
                    <w:left w:w="15" w:type="dxa"/>
                    <w:bottom w:w="0" w:type="dxa"/>
                    <w:right w:w="15" w:type="dxa"/>
                  </w:tcMar>
                  <w:hideMark/>
                </w:tcPr>
                <w:p w14:paraId="7914914A" w14:textId="77777777" w:rsidR="00E45009" w:rsidRPr="00081C8E" w:rsidRDefault="00E45009" w:rsidP="00E45009">
                  <w:pPr>
                    <w:pStyle w:val="NoSpacing"/>
                    <w:rPr>
                      <w:lang w:val="en-GB"/>
                    </w:rPr>
                  </w:pPr>
                  <w:r w:rsidRPr="00081C8E">
                    <w:rPr>
                      <w:lang w:val="en-GB"/>
                    </w:rPr>
                    <w:t>76</w:t>
                  </w:r>
                </w:p>
              </w:tc>
              <w:tc>
                <w:tcPr>
                  <w:tcW w:w="5870" w:type="dxa"/>
                  <w:shd w:val="clear" w:color="000000" w:fill="FFFFFF"/>
                  <w:tcMar>
                    <w:top w:w="15" w:type="dxa"/>
                    <w:left w:w="15" w:type="dxa"/>
                    <w:bottom w:w="0" w:type="dxa"/>
                    <w:right w:w="15" w:type="dxa"/>
                  </w:tcMar>
                  <w:vAlign w:val="center"/>
                  <w:hideMark/>
                </w:tcPr>
                <w:p w14:paraId="2516CB48" w14:textId="77777777" w:rsidR="00E45009" w:rsidRPr="00081C8E" w:rsidRDefault="00E45009" w:rsidP="00E45009">
                  <w:pPr>
                    <w:pStyle w:val="NoSpacing"/>
                    <w:rPr>
                      <w:lang w:val="en-GB"/>
                    </w:rPr>
                  </w:pPr>
                  <w:r w:rsidRPr="00081C8E">
                    <w:rPr>
                      <w:lang w:val="en-GB"/>
                    </w:rPr>
                    <w:t>Lack of guarantee of due process and/or justice re violations nos. 67-75</w:t>
                  </w:r>
                </w:p>
              </w:tc>
              <w:tc>
                <w:tcPr>
                  <w:tcW w:w="95" w:type="dxa"/>
                  <w:shd w:val="clear" w:color="000000" w:fill="FFFFFF"/>
                  <w:tcMar>
                    <w:top w:w="15" w:type="dxa"/>
                    <w:left w:w="15" w:type="dxa"/>
                    <w:bottom w:w="0" w:type="dxa"/>
                    <w:right w:w="15" w:type="dxa"/>
                  </w:tcMar>
                  <w:hideMark/>
                </w:tcPr>
                <w:p w14:paraId="76814552"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84D5585" w14:textId="77777777" w:rsidR="00E45009" w:rsidRPr="00081C8E" w:rsidRDefault="00E45009" w:rsidP="00E45009">
                  <w:pPr>
                    <w:pStyle w:val="NoSpacing"/>
                    <w:rPr>
                      <w:lang w:val="en-GB"/>
                    </w:rPr>
                  </w:pPr>
                  <w:r w:rsidRPr="00081C8E">
                    <w:rPr>
                      <w:lang w:val="en-GB"/>
                    </w:rPr>
                    <w:t>3.85</w:t>
                  </w:r>
                </w:p>
              </w:tc>
              <w:tc>
                <w:tcPr>
                  <w:tcW w:w="427" w:type="dxa"/>
                  <w:shd w:val="clear" w:color="000000" w:fill="FFFFFF"/>
                  <w:noWrap/>
                  <w:tcMar>
                    <w:top w:w="15" w:type="dxa"/>
                    <w:left w:w="15" w:type="dxa"/>
                    <w:bottom w:w="0" w:type="dxa"/>
                    <w:right w:w="15" w:type="dxa"/>
                  </w:tcMar>
                  <w:hideMark/>
                </w:tcPr>
                <w:p w14:paraId="29D6BD8A" w14:textId="77777777" w:rsidR="00E45009" w:rsidRPr="00081C8E" w:rsidRDefault="00E45009" w:rsidP="00E45009">
                  <w:pPr>
                    <w:pStyle w:val="NoSpacing"/>
                    <w:rPr>
                      <w:lang w:val="en-GB"/>
                    </w:rPr>
                  </w:pPr>
                  <w:r w:rsidRPr="00081C8E">
                    <w:rPr>
                      <w:lang w:val="en-GB"/>
                    </w:rPr>
                    <w:t>1.23</w:t>
                  </w:r>
                </w:p>
              </w:tc>
              <w:tc>
                <w:tcPr>
                  <w:tcW w:w="88" w:type="dxa"/>
                  <w:shd w:val="clear" w:color="000000" w:fill="FFFFFF"/>
                  <w:noWrap/>
                  <w:tcMar>
                    <w:top w:w="15" w:type="dxa"/>
                    <w:left w:w="15" w:type="dxa"/>
                    <w:bottom w:w="0" w:type="dxa"/>
                    <w:right w:w="15" w:type="dxa"/>
                  </w:tcMar>
                  <w:hideMark/>
                </w:tcPr>
                <w:p w14:paraId="2E321207"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51EA678A" w14:textId="77777777" w:rsidR="00E45009" w:rsidRPr="00081C8E" w:rsidRDefault="00E45009" w:rsidP="00E45009">
                  <w:pPr>
                    <w:pStyle w:val="NoSpacing"/>
                    <w:rPr>
                      <w:lang w:val="en-GB"/>
                    </w:rPr>
                  </w:pPr>
                  <w:r w:rsidRPr="00081C8E">
                    <w:rPr>
                      <w:lang w:val="en-GB"/>
                    </w:rPr>
                    <w:t>3.86</w:t>
                  </w:r>
                </w:p>
              </w:tc>
              <w:tc>
                <w:tcPr>
                  <w:tcW w:w="427" w:type="dxa"/>
                  <w:shd w:val="clear" w:color="000000" w:fill="FFFFFF"/>
                  <w:noWrap/>
                  <w:tcMar>
                    <w:top w:w="15" w:type="dxa"/>
                    <w:left w:w="15" w:type="dxa"/>
                    <w:bottom w:w="0" w:type="dxa"/>
                    <w:right w:w="15" w:type="dxa"/>
                  </w:tcMar>
                  <w:hideMark/>
                </w:tcPr>
                <w:p w14:paraId="28930089" w14:textId="77777777" w:rsidR="00E45009" w:rsidRPr="00081C8E" w:rsidRDefault="00E45009" w:rsidP="00E45009">
                  <w:pPr>
                    <w:pStyle w:val="NoSpacing"/>
                    <w:rPr>
                      <w:lang w:val="en-GB"/>
                    </w:rPr>
                  </w:pPr>
                  <w:r w:rsidRPr="00081C8E">
                    <w:rPr>
                      <w:lang w:val="en-GB"/>
                    </w:rPr>
                    <w:t>0.86</w:t>
                  </w:r>
                </w:p>
              </w:tc>
              <w:tc>
                <w:tcPr>
                  <w:tcW w:w="78" w:type="dxa"/>
                  <w:shd w:val="clear" w:color="000000" w:fill="FFFFFF"/>
                  <w:noWrap/>
                  <w:tcMar>
                    <w:top w:w="15" w:type="dxa"/>
                    <w:left w:w="15" w:type="dxa"/>
                    <w:bottom w:w="0" w:type="dxa"/>
                    <w:right w:w="15" w:type="dxa"/>
                  </w:tcMar>
                  <w:hideMark/>
                </w:tcPr>
                <w:p w14:paraId="2A8854B9"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4B270596" w14:textId="77777777" w:rsidR="00E45009" w:rsidRPr="00081C8E" w:rsidRDefault="00E45009" w:rsidP="00E45009">
                  <w:pPr>
                    <w:pStyle w:val="NoSpacing"/>
                    <w:rPr>
                      <w:lang w:val="en-GB"/>
                    </w:rPr>
                  </w:pPr>
                  <w:r w:rsidRPr="00081C8E">
                    <w:rPr>
                      <w:lang w:val="en-GB"/>
                    </w:rPr>
                    <w:t>1.71</w:t>
                  </w:r>
                </w:p>
              </w:tc>
            </w:tr>
            <w:tr w:rsidR="00E45009" w:rsidRPr="00081C8E" w14:paraId="2253BB0A" w14:textId="77777777" w:rsidTr="00DB32C0">
              <w:trPr>
                <w:trHeight w:val="300"/>
              </w:trPr>
              <w:tc>
                <w:tcPr>
                  <w:tcW w:w="185" w:type="dxa"/>
                  <w:shd w:val="clear" w:color="000000" w:fill="FFFFFF"/>
                  <w:noWrap/>
                  <w:tcMar>
                    <w:top w:w="15" w:type="dxa"/>
                    <w:left w:w="15" w:type="dxa"/>
                    <w:bottom w:w="0" w:type="dxa"/>
                    <w:right w:w="15" w:type="dxa"/>
                  </w:tcMar>
                  <w:hideMark/>
                </w:tcPr>
                <w:p w14:paraId="436720C5" w14:textId="77777777" w:rsidR="00E45009" w:rsidRPr="00081C8E" w:rsidRDefault="00E45009" w:rsidP="00E45009">
                  <w:pPr>
                    <w:pStyle w:val="NoSpacing"/>
                    <w:rPr>
                      <w:lang w:val="en-GB"/>
                    </w:rPr>
                  </w:pPr>
                  <w:r w:rsidRPr="00081C8E">
                    <w:rPr>
                      <w:lang w:val="en-GB"/>
                    </w:rPr>
                    <w:t> </w:t>
                  </w:r>
                </w:p>
              </w:tc>
              <w:tc>
                <w:tcPr>
                  <w:tcW w:w="5870" w:type="dxa"/>
                  <w:shd w:val="clear" w:color="000000" w:fill="FFFFFF"/>
                  <w:noWrap/>
                  <w:tcMar>
                    <w:top w:w="15" w:type="dxa"/>
                    <w:left w:w="15" w:type="dxa"/>
                    <w:bottom w:w="0" w:type="dxa"/>
                    <w:right w:w="15" w:type="dxa"/>
                  </w:tcMar>
                  <w:hideMark/>
                </w:tcPr>
                <w:p w14:paraId="66610F97"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349FEE85"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68E35E9"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48B7246E" w14:textId="77777777" w:rsidR="00E45009" w:rsidRPr="00081C8E" w:rsidRDefault="00E45009" w:rsidP="00E45009">
                  <w:pPr>
                    <w:pStyle w:val="NoSpacing"/>
                    <w:rPr>
                      <w:lang w:val="en-GB"/>
                    </w:rPr>
                  </w:pPr>
                  <w:r w:rsidRPr="00081C8E">
                    <w:rPr>
                      <w:lang w:val="en-GB"/>
                    </w:rPr>
                    <w:t> </w:t>
                  </w:r>
                </w:p>
              </w:tc>
              <w:tc>
                <w:tcPr>
                  <w:tcW w:w="88" w:type="dxa"/>
                  <w:shd w:val="clear" w:color="000000" w:fill="FFFFFF"/>
                  <w:noWrap/>
                  <w:tcMar>
                    <w:top w:w="15" w:type="dxa"/>
                    <w:left w:w="15" w:type="dxa"/>
                    <w:bottom w:w="0" w:type="dxa"/>
                    <w:right w:w="15" w:type="dxa"/>
                  </w:tcMar>
                  <w:hideMark/>
                </w:tcPr>
                <w:p w14:paraId="34FD624F"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77B13C13" w14:textId="77777777" w:rsidR="00E45009" w:rsidRPr="00081C8E" w:rsidRDefault="00E45009" w:rsidP="00E45009">
                  <w:pPr>
                    <w:pStyle w:val="NoSpacing"/>
                    <w:rPr>
                      <w:lang w:val="en-GB"/>
                    </w:rPr>
                  </w:pPr>
                  <w:r w:rsidRPr="00081C8E">
                    <w:rPr>
                      <w:lang w:val="en-GB"/>
                    </w:rPr>
                    <w:t> </w:t>
                  </w:r>
                </w:p>
              </w:tc>
              <w:tc>
                <w:tcPr>
                  <w:tcW w:w="427" w:type="dxa"/>
                  <w:shd w:val="clear" w:color="000000" w:fill="FFFFFF"/>
                  <w:noWrap/>
                  <w:tcMar>
                    <w:top w:w="15" w:type="dxa"/>
                    <w:left w:w="15" w:type="dxa"/>
                    <w:bottom w:w="0" w:type="dxa"/>
                    <w:right w:w="15" w:type="dxa"/>
                  </w:tcMar>
                  <w:hideMark/>
                </w:tcPr>
                <w:p w14:paraId="655A9AC3" w14:textId="77777777" w:rsidR="00E45009" w:rsidRPr="00081C8E" w:rsidRDefault="00E45009" w:rsidP="00E45009">
                  <w:pPr>
                    <w:pStyle w:val="NoSpacing"/>
                    <w:rPr>
                      <w:lang w:val="en-GB"/>
                    </w:rPr>
                  </w:pPr>
                  <w:r w:rsidRPr="00081C8E">
                    <w:rPr>
                      <w:lang w:val="en-GB"/>
                    </w:rPr>
                    <w:t> </w:t>
                  </w:r>
                </w:p>
              </w:tc>
              <w:tc>
                <w:tcPr>
                  <w:tcW w:w="78" w:type="dxa"/>
                  <w:shd w:val="clear" w:color="000000" w:fill="FFFFFF"/>
                  <w:noWrap/>
                  <w:tcMar>
                    <w:top w:w="15" w:type="dxa"/>
                    <w:left w:w="15" w:type="dxa"/>
                    <w:bottom w:w="0" w:type="dxa"/>
                    <w:right w:w="15" w:type="dxa"/>
                  </w:tcMar>
                  <w:hideMark/>
                </w:tcPr>
                <w:p w14:paraId="5FF02067"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1A17E909" w14:textId="77777777" w:rsidR="00E45009" w:rsidRPr="00081C8E" w:rsidRDefault="00E45009" w:rsidP="00E45009">
                  <w:pPr>
                    <w:pStyle w:val="NoSpacing"/>
                    <w:rPr>
                      <w:lang w:val="en-GB"/>
                    </w:rPr>
                  </w:pPr>
                  <w:r w:rsidRPr="00081C8E">
                    <w:rPr>
                      <w:lang w:val="en-GB"/>
                    </w:rPr>
                    <w:t> </w:t>
                  </w:r>
                </w:p>
              </w:tc>
            </w:tr>
            <w:tr w:rsidR="00E45009" w:rsidRPr="00081C8E" w14:paraId="06692C46" w14:textId="77777777" w:rsidTr="00DB32C0">
              <w:trPr>
                <w:trHeight w:val="300"/>
              </w:trPr>
              <w:tc>
                <w:tcPr>
                  <w:tcW w:w="185" w:type="dxa"/>
                  <w:shd w:val="clear" w:color="000000" w:fill="FFFFFF"/>
                  <w:noWrap/>
                  <w:tcMar>
                    <w:top w:w="15" w:type="dxa"/>
                    <w:left w:w="15" w:type="dxa"/>
                    <w:bottom w:w="0" w:type="dxa"/>
                    <w:right w:w="15" w:type="dxa"/>
                  </w:tcMar>
                  <w:hideMark/>
                </w:tcPr>
                <w:p w14:paraId="013B2E07" w14:textId="77777777" w:rsidR="00E45009" w:rsidRPr="00081C8E" w:rsidRDefault="00E45009" w:rsidP="00E45009">
                  <w:pPr>
                    <w:pStyle w:val="NoSpacing"/>
                    <w:rPr>
                      <w:lang w:val="en-GB"/>
                    </w:rPr>
                  </w:pPr>
                  <w:r w:rsidRPr="00081C8E">
                    <w:rPr>
                      <w:lang w:val="en-GB"/>
                    </w:rPr>
                    <w:t> </w:t>
                  </w:r>
                </w:p>
              </w:tc>
              <w:tc>
                <w:tcPr>
                  <w:tcW w:w="5870" w:type="dxa"/>
                  <w:shd w:val="clear" w:color="000000" w:fill="FFFFFF"/>
                  <w:noWrap/>
                  <w:tcMar>
                    <w:top w:w="15" w:type="dxa"/>
                    <w:left w:w="15" w:type="dxa"/>
                    <w:bottom w:w="0" w:type="dxa"/>
                    <w:right w:w="15" w:type="dxa"/>
                  </w:tcMar>
                  <w:hideMark/>
                </w:tcPr>
                <w:p w14:paraId="56616948" w14:textId="77777777" w:rsidR="00E45009" w:rsidRPr="00081C8E" w:rsidRDefault="00E45009" w:rsidP="00E45009">
                  <w:pPr>
                    <w:pStyle w:val="NoSpacing"/>
                    <w:rPr>
                      <w:b/>
                      <w:bCs/>
                      <w:lang w:val="en-GB"/>
                    </w:rPr>
                  </w:pPr>
                  <w:r w:rsidRPr="00081C8E">
                    <w:rPr>
                      <w:b/>
                      <w:bCs/>
                      <w:lang w:val="en-GB"/>
                    </w:rPr>
                    <w:t>Average</w:t>
                  </w:r>
                </w:p>
              </w:tc>
              <w:tc>
                <w:tcPr>
                  <w:tcW w:w="88" w:type="dxa"/>
                  <w:shd w:val="clear" w:color="000000" w:fill="FFFFFF"/>
                  <w:noWrap/>
                  <w:tcMar>
                    <w:top w:w="15" w:type="dxa"/>
                    <w:left w:w="15" w:type="dxa"/>
                    <w:bottom w:w="0" w:type="dxa"/>
                    <w:right w:w="15" w:type="dxa"/>
                  </w:tcMar>
                  <w:hideMark/>
                </w:tcPr>
                <w:p w14:paraId="7210C579"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0874A1DB" w14:textId="77777777" w:rsidR="00E45009" w:rsidRPr="00081C8E" w:rsidRDefault="00E45009" w:rsidP="00E45009">
                  <w:pPr>
                    <w:pStyle w:val="NoSpacing"/>
                    <w:rPr>
                      <w:lang w:val="en-GB"/>
                    </w:rPr>
                  </w:pPr>
                  <w:r w:rsidRPr="00081C8E">
                    <w:rPr>
                      <w:lang w:val="en-GB"/>
                    </w:rPr>
                    <w:t>3.95</w:t>
                  </w:r>
                </w:p>
              </w:tc>
              <w:tc>
                <w:tcPr>
                  <w:tcW w:w="427" w:type="dxa"/>
                  <w:shd w:val="clear" w:color="000000" w:fill="FFFFFF"/>
                  <w:noWrap/>
                  <w:tcMar>
                    <w:top w:w="15" w:type="dxa"/>
                    <w:left w:w="15" w:type="dxa"/>
                    <w:bottom w:w="0" w:type="dxa"/>
                    <w:right w:w="15" w:type="dxa"/>
                  </w:tcMar>
                  <w:hideMark/>
                </w:tcPr>
                <w:p w14:paraId="7D71FB70" w14:textId="77777777" w:rsidR="00E45009" w:rsidRPr="00081C8E" w:rsidRDefault="00E45009" w:rsidP="00E45009">
                  <w:pPr>
                    <w:pStyle w:val="NoSpacing"/>
                    <w:rPr>
                      <w:lang w:val="en-GB"/>
                    </w:rPr>
                  </w:pPr>
                  <w:r w:rsidRPr="00081C8E">
                    <w:rPr>
                      <w:lang w:val="en-GB"/>
                    </w:rPr>
                    <w:t>0.83</w:t>
                  </w:r>
                </w:p>
              </w:tc>
              <w:tc>
                <w:tcPr>
                  <w:tcW w:w="88" w:type="dxa"/>
                  <w:shd w:val="clear" w:color="000000" w:fill="FFFFFF"/>
                  <w:noWrap/>
                  <w:tcMar>
                    <w:top w:w="15" w:type="dxa"/>
                    <w:left w:w="15" w:type="dxa"/>
                    <w:bottom w:w="0" w:type="dxa"/>
                    <w:right w:w="15" w:type="dxa"/>
                  </w:tcMar>
                  <w:hideMark/>
                </w:tcPr>
                <w:p w14:paraId="18C7F053" w14:textId="77777777" w:rsidR="00E45009" w:rsidRPr="00081C8E" w:rsidRDefault="00E45009" w:rsidP="00E45009">
                  <w:pPr>
                    <w:pStyle w:val="NoSpacing"/>
                    <w:rPr>
                      <w:lang w:val="en-GB"/>
                    </w:rPr>
                  </w:pPr>
                  <w:r w:rsidRPr="00081C8E">
                    <w:rPr>
                      <w:lang w:val="en-GB"/>
                    </w:rPr>
                    <w:t> </w:t>
                  </w:r>
                </w:p>
              </w:tc>
              <w:tc>
                <w:tcPr>
                  <w:tcW w:w="667" w:type="dxa"/>
                  <w:shd w:val="clear" w:color="000000" w:fill="FFFFFF"/>
                  <w:noWrap/>
                  <w:tcMar>
                    <w:top w:w="15" w:type="dxa"/>
                    <w:left w:w="15" w:type="dxa"/>
                    <w:bottom w:w="0" w:type="dxa"/>
                    <w:right w:w="15" w:type="dxa"/>
                  </w:tcMar>
                  <w:hideMark/>
                </w:tcPr>
                <w:p w14:paraId="495B64B6" w14:textId="77777777" w:rsidR="00E45009" w:rsidRPr="00081C8E" w:rsidRDefault="00E45009" w:rsidP="00E45009">
                  <w:pPr>
                    <w:pStyle w:val="NoSpacing"/>
                    <w:rPr>
                      <w:lang w:val="en-GB"/>
                    </w:rPr>
                  </w:pPr>
                  <w:r w:rsidRPr="00081C8E">
                    <w:rPr>
                      <w:lang w:val="en-GB"/>
                    </w:rPr>
                    <w:t>4.05</w:t>
                  </w:r>
                </w:p>
              </w:tc>
              <w:tc>
                <w:tcPr>
                  <w:tcW w:w="427" w:type="dxa"/>
                  <w:shd w:val="clear" w:color="000000" w:fill="FFFFFF"/>
                  <w:noWrap/>
                  <w:tcMar>
                    <w:top w:w="15" w:type="dxa"/>
                    <w:left w:w="15" w:type="dxa"/>
                    <w:bottom w:w="0" w:type="dxa"/>
                    <w:right w:w="15" w:type="dxa"/>
                  </w:tcMar>
                  <w:hideMark/>
                </w:tcPr>
                <w:p w14:paraId="52337BAC" w14:textId="77777777" w:rsidR="00E45009" w:rsidRPr="00081C8E" w:rsidRDefault="00E45009" w:rsidP="00E45009">
                  <w:pPr>
                    <w:pStyle w:val="NoSpacing"/>
                    <w:rPr>
                      <w:lang w:val="en-GB"/>
                    </w:rPr>
                  </w:pPr>
                  <w:r w:rsidRPr="00081C8E">
                    <w:rPr>
                      <w:lang w:val="en-GB"/>
                    </w:rPr>
                    <w:t>0.61</w:t>
                  </w:r>
                </w:p>
              </w:tc>
              <w:tc>
                <w:tcPr>
                  <w:tcW w:w="78" w:type="dxa"/>
                  <w:shd w:val="clear" w:color="000000" w:fill="FFFFFF"/>
                  <w:noWrap/>
                  <w:tcMar>
                    <w:top w:w="15" w:type="dxa"/>
                    <w:left w:w="15" w:type="dxa"/>
                    <w:bottom w:w="0" w:type="dxa"/>
                    <w:right w:w="15" w:type="dxa"/>
                  </w:tcMar>
                  <w:hideMark/>
                </w:tcPr>
                <w:p w14:paraId="1C1C625C" w14:textId="77777777" w:rsidR="00E45009" w:rsidRPr="00081C8E" w:rsidRDefault="00E45009" w:rsidP="00E45009">
                  <w:pPr>
                    <w:pStyle w:val="NoSpacing"/>
                    <w:rPr>
                      <w:lang w:val="en-GB"/>
                    </w:rPr>
                  </w:pPr>
                  <w:r w:rsidRPr="00081C8E">
                    <w:rPr>
                      <w:lang w:val="en-GB"/>
                    </w:rPr>
                    <w:t> </w:t>
                  </w:r>
                </w:p>
              </w:tc>
              <w:tc>
                <w:tcPr>
                  <w:tcW w:w="613" w:type="dxa"/>
                  <w:shd w:val="clear" w:color="000000" w:fill="FFFFFF"/>
                  <w:noWrap/>
                  <w:tcMar>
                    <w:top w:w="15" w:type="dxa"/>
                    <w:left w:w="15" w:type="dxa"/>
                    <w:bottom w:w="0" w:type="dxa"/>
                    <w:right w:w="15" w:type="dxa"/>
                  </w:tcMar>
                  <w:hideMark/>
                </w:tcPr>
                <w:p w14:paraId="07F613FB" w14:textId="77777777" w:rsidR="00E45009" w:rsidRPr="00081C8E" w:rsidRDefault="00E45009" w:rsidP="00E45009">
                  <w:pPr>
                    <w:pStyle w:val="NoSpacing"/>
                    <w:rPr>
                      <w:lang w:val="en-GB"/>
                    </w:rPr>
                  </w:pPr>
                  <w:r w:rsidRPr="00081C8E">
                    <w:rPr>
                      <w:lang w:val="en-GB"/>
                    </w:rPr>
                    <w:t>1.76</w:t>
                  </w:r>
                </w:p>
              </w:tc>
            </w:tr>
          </w:tbl>
          <w:p w14:paraId="0BD433BA" w14:textId="77777777" w:rsidR="00E45009" w:rsidRPr="00081C8E" w:rsidRDefault="00E45009" w:rsidP="00E45009">
            <w:pPr>
              <w:pStyle w:val="NoSpacing"/>
              <w:rPr>
                <w:lang w:val="en-GB"/>
              </w:rPr>
            </w:pPr>
          </w:p>
          <w:p w14:paraId="66D1262F" w14:textId="77777777" w:rsidR="00E45009" w:rsidRPr="00081C8E" w:rsidRDefault="00E45009" w:rsidP="00E45009">
            <w:pPr>
              <w:pStyle w:val="NoSpacing"/>
              <w:rPr>
                <w:lang w:val="en-GB"/>
              </w:rPr>
            </w:pPr>
          </w:p>
          <w:p w14:paraId="00B2BB16" w14:textId="77777777" w:rsidR="00E45009" w:rsidRPr="00081C8E" w:rsidRDefault="00E45009" w:rsidP="00E45009">
            <w:pPr>
              <w:pStyle w:val="NoSpacing"/>
              <w:rPr>
                <w:lang w:val="en-GB"/>
              </w:rPr>
            </w:pPr>
            <w:r w:rsidRPr="00081C8E">
              <w:rPr>
                <w:lang w:val="en-GB"/>
              </w:rPr>
              <w:t xml:space="preserve">The rough doubling of evaluation criteria by splitting them into violations in law and in practice makes their sizeable number more tractable for coders. Such branching relationships among the evaluation criteria extend to two additional types of evaluation criteria addressing “Lack of guarantee of due process and/or justice” and “Violations committed against trade union officials” and “Violations committed against officials of employers’ organizations”. </w:t>
            </w:r>
          </w:p>
          <w:p w14:paraId="63BFDE95" w14:textId="77777777" w:rsidR="00E45009" w:rsidRPr="00081C8E" w:rsidRDefault="00E45009" w:rsidP="00E45009">
            <w:pPr>
              <w:pStyle w:val="NoSpacing"/>
              <w:rPr>
                <w:lang w:val="en-GB"/>
              </w:rPr>
            </w:pPr>
          </w:p>
          <w:p w14:paraId="52CADEAF" w14:textId="77777777" w:rsidR="00E45009" w:rsidRPr="00081C8E" w:rsidRDefault="00E45009" w:rsidP="00E45009">
            <w:pPr>
              <w:pStyle w:val="NoSpacing"/>
              <w:rPr>
                <w:lang w:val="en-GB"/>
              </w:rPr>
            </w:pPr>
            <w:r w:rsidRPr="00081C8E">
              <w:rPr>
                <w:lang w:val="en-GB"/>
              </w:rPr>
              <w:t>The evaluation criteria “Lack of guarantee of due process and/or justice” are incorporated into the main categories of evaluation criteria as the last-listed evaluation criteria within each, with the exception of category on “Fundamental civil liberties in practice”. This is based on the premise that the exercise of FACB rights depends on their effective protection defined in terms of fair and sufficiently prompt trials by an independent and impartial judiciary. Under the category of “Fundamental civil liberties in practice,” on the other hand, these evaluation criteria are attached to each of the six more specific evaluation criteria. This emphasis on fundamental civil liberties in practice is meant to reflect the emphasis of the Committee of Experts on the Application of Conventions and Recommendations (CEACR) and Committee on Freedom of Association (CFA), in particular their view that a free and independent movement of workers and employers (and their organizations) can develop only to the extent that fundamental human rights are respected and where in the event of violations, measures are taken to identify, bring to trial and convict the guilty parties (ILO, 2006, Paras. 33 and 51). In addition, these criteria are attached to “Anti-union discriminatory measures” and “Acts of interference of employers and/or public authorities” and “Acts of interference of workers’ organizations and/or public authorities” under the category of “Right to establish and join organizations in practice”, motivated by Article 3 of ILO Convention 98 which states that “Machinery appropriate to national conditions shall be established, where necessary, for the purpose of ensuring respect for the right to organise...”.</w:t>
            </w:r>
          </w:p>
          <w:p w14:paraId="4BCDBBBC" w14:textId="77777777" w:rsidR="00E45009" w:rsidRPr="00081C8E" w:rsidRDefault="00E45009" w:rsidP="00E45009">
            <w:pPr>
              <w:pStyle w:val="NoSpacing"/>
              <w:rPr>
                <w:lang w:val="en-GB"/>
              </w:rPr>
            </w:pPr>
          </w:p>
          <w:p w14:paraId="2EA8052C" w14:textId="77777777" w:rsidR="00E45009" w:rsidRPr="00081C8E" w:rsidRDefault="00E45009" w:rsidP="00E45009">
            <w:pPr>
              <w:pStyle w:val="NoSpacing"/>
              <w:rPr>
                <w:lang w:val="en-GB"/>
              </w:rPr>
            </w:pPr>
            <w:r w:rsidRPr="00081C8E">
              <w:rPr>
                <w:lang w:val="en-GB"/>
              </w:rPr>
              <w:t xml:space="preserve">The evaluation criteria “Violations committed against trade union officials” and “Violations committed against officials of employers’ organizations” are attached to the specific evaluation criteria under the category of “Fundamental civil liberties in practice” (the case of ‘excessive prohibitions/restriction in the event of state of emergency’ does not apply here). In addition, this criterion is attached to “Anti-union discriminatory measures” under the category of “Right of workers to establish and join organizations in practice” as well as to “Use of excessive sanctions in case of legitimate and peaceful strikes” under the category of “Right to strike in practice”. The emphasis on officials is motivated by the view that violations against them are particularly damaging to the exercise of FACB rights. </w:t>
            </w:r>
          </w:p>
          <w:p w14:paraId="7EDB35B5" w14:textId="77777777" w:rsidR="00E45009" w:rsidRPr="00081C8E" w:rsidRDefault="00E45009" w:rsidP="00E45009">
            <w:pPr>
              <w:pStyle w:val="NoSpacing"/>
              <w:rPr>
                <w:lang w:val="en-GB"/>
              </w:rPr>
            </w:pPr>
          </w:p>
          <w:p w14:paraId="3AA860F5" w14:textId="77777777" w:rsidR="00E45009" w:rsidRPr="00081C8E" w:rsidRDefault="00E45009" w:rsidP="00E45009">
            <w:pPr>
              <w:pStyle w:val="NoSpacing"/>
              <w:rPr>
                <w:lang w:val="en-GB"/>
              </w:rPr>
            </w:pPr>
            <w:r w:rsidRPr="00081C8E">
              <w:rPr>
                <w:lang w:val="en-GB"/>
              </w:rPr>
              <w:t xml:space="preserve">In keeping with the definition for SDG indicator 8.8.2, while all violations of FACB rights based sex or migrant status will be coded and embodied in the indicator, the textual information on which this coding is based will also be made available in a separate document in an effort to highlight such violations.   </w:t>
            </w:r>
          </w:p>
          <w:p w14:paraId="689C68C0" w14:textId="77777777" w:rsidR="00E45009" w:rsidRPr="00081C8E" w:rsidRDefault="00E45009" w:rsidP="00E45009">
            <w:pPr>
              <w:pStyle w:val="NoSpacing"/>
              <w:numPr>
                <w:ilvl w:val="0"/>
                <w:numId w:val="153"/>
              </w:numPr>
              <w:rPr>
                <w:b/>
                <w:bCs/>
                <w:lang w:val="en-GB"/>
              </w:rPr>
            </w:pPr>
            <w:bookmarkStart w:id="7" w:name="_Toc283285307"/>
            <w:bookmarkStart w:id="8" w:name="_Toc370293985"/>
            <w:bookmarkStart w:id="9" w:name="_Toc523910456"/>
            <w:r w:rsidRPr="00081C8E">
              <w:rPr>
                <w:b/>
                <w:bCs/>
                <w:lang w:val="en-GB"/>
              </w:rPr>
              <w:t>Textual sources</w:t>
            </w:r>
            <w:bookmarkEnd w:id="7"/>
            <w:bookmarkEnd w:id="8"/>
            <w:bookmarkEnd w:id="9"/>
          </w:p>
          <w:p w14:paraId="536B6E1B" w14:textId="77777777" w:rsidR="00E45009" w:rsidRPr="00081C8E" w:rsidRDefault="00E45009" w:rsidP="00E45009">
            <w:pPr>
              <w:pStyle w:val="NoSpacing"/>
              <w:rPr>
                <w:i/>
                <w:iCs/>
                <w:lang w:val="en-GB"/>
              </w:rPr>
            </w:pPr>
            <w:r w:rsidRPr="00081C8E">
              <w:rPr>
                <w:lang w:val="en-GB"/>
              </w:rPr>
              <w:t xml:space="preserve">The present method makes use of six ILO textual sources: </w:t>
            </w:r>
            <w:r w:rsidRPr="00081C8E">
              <w:rPr>
                <w:i/>
                <w:iCs/>
                <w:lang w:val="en-GB"/>
              </w:rPr>
              <w:t>Reports of the Committee of Experts on the Application of Conventions and Recommendations; Reports of the Conference Committee on the Application of Standards; Country Baselines Under the ILO Declaration Annual Review; Representations under Article 24 of the ILO Constitution; Complaints under Article 26 of the ILO Constitution and Report on the Committee on Freedom of Association.</w:t>
            </w:r>
          </w:p>
          <w:p w14:paraId="5B6BF246" w14:textId="77777777" w:rsidR="00E45009" w:rsidRPr="00081C8E" w:rsidRDefault="00E45009" w:rsidP="00E45009">
            <w:pPr>
              <w:pStyle w:val="NoSpacing"/>
              <w:rPr>
                <w:lang w:val="en-GB"/>
              </w:rPr>
            </w:pPr>
          </w:p>
          <w:p w14:paraId="573A59EB" w14:textId="77777777" w:rsidR="00E45009" w:rsidRPr="00081C8E" w:rsidRDefault="00E45009" w:rsidP="00E45009">
            <w:pPr>
              <w:pStyle w:val="NoSpacing"/>
              <w:rPr>
                <w:lang w:val="en-GB"/>
              </w:rPr>
            </w:pPr>
            <w:r w:rsidRPr="00081C8E">
              <w:rPr>
                <w:lang w:val="en-GB"/>
              </w:rPr>
              <w:lastRenderedPageBreak/>
              <w:t xml:space="preserve">The method also codes relevant national legislation for non-ratifying countries. The coding of national legislation is particularly important to offset information asymmetries between ratifying and non-ratifying countries as regards FACB rights in law. Note that ratifying countries are defined as those that have ratified both Conventions 87 and 98, in which case its national legislation is not coded at present. Non-ratifying countries, on the other hand, fall into two categories, those that have ratified neither 87 nor 98 and those that have ratified only one of these Conventions. If a country has ratified only 87, its national legislation is coded for violations pertaining to 98, as violations </w:t>
            </w:r>
            <w:proofErr w:type="gramStart"/>
            <w:r w:rsidRPr="00081C8E">
              <w:rPr>
                <w:lang w:val="en-GB"/>
              </w:rPr>
              <w:t>under</w:t>
            </w:r>
            <w:proofErr w:type="gramEnd"/>
            <w:r w:rsidRPr="00081C8E">
              <w:rPr>
                <w:lang w:val="en-GB"/>
              </w:rPr>
              <w:t xml:space="preserve"> 87 fall under the remit of the ILO’s Committee of Experts as well as Committee on the Application of Standards. Similarly, if a country has ratified only 98, its national legislation is coded for violations pertaining to 87. Note that for federal states, only federal-level legislation is coded. </w:t>
            </w:r>
          </w:p>
          <w:p w14:paraId="74987B30" w14:textId="77777777" w:rsidR="00E45009" w:rsidRPr="00081C8E" w:rsidRDefault="00E45009" w:rsidP="00E45009">
            <w:pPr>
              <w:pStyle w:val="NoSpacing"/>
              <w:rPr>
                <w:lang w:val="en-GB"/>
              </w:rPr>
            </w:pPr>
          </w:p>
          <w:p w14:paraId="18BAD315" w14:textId="77777777" w:rsidR="00E45009" w:rsidRPr="00081C8E" w:rsidRDefault="00E45009" w:rsidP="00E45009">
            <w:pPr>
              <w:pStyle w:val="NoSpacing"/>
              <w:rPr>
                <w:lang w:val="en-GB"/>
              </w:rPr>
            </w:pPr>
            <w:r w:rsidRPr="00081C8E">
              <w:rPr>
                <w:lang w:val="en-GB"/>
              </w:rPr>
              <w:t xml:space="preserve">The seven textual sources are recapitulated in Table 3, along with the associated letters by which they are coded as well as whether these sources pertain to ratifying countries, non-ratifying countries, or both. </w:t>
            </w:r>
          </w:p>
          <w:p w14:paraId="52407CCF" w14:textId="77777777" w:rsidR="00E45009" w:rsidRPr="00081C8E" w:rsidRDefault="00E45009" w:rsidP="00E45009">
            <w:pPr>
              <w:pStyle w:val="NoSpacing"/>
              <w:rPr>
                <w:b/>
                <w:lang w:val="en-GB"/>
              </w:rPr>
            </w:pPr>
          </w:p>
          <w:tbl>
            <w:tblPr>
              <w:tblW w:w="10490" w:type="dxa"/>
              <w:tblLook w:val="04A0" w:firstRow="1" w:lastRow="0" w:firstColumn="1" w:lastColumn="0" w:noHBand="0" w:noVBand="1"/>
            </w:tblPr>
            <w:tblGrid>
              <w:gridCol w:w="4915"/>
              <w:gridCol w:w="1063"/>
              <w:gridCol w:w="1403"/>
              <w:gridCol w:w="1176"/>
            </w:tblGrid>
            <w:tr w:rsidR="00E45009" w:rsidRPr="00081C8E" w14:paraId="3017DDE3" w14:textId="77777777" w:rsidTr="00DB32C0">
              <w:trPr>
                <w:trHeight w:val="375"/>
              </w:trPr>
              <w:tc>
                <w:tcPr>
                  <w:tcW w:w="10490" w:type="dxa"/>
                  <w:gridSpan w:val="4"/>
                  <w:tcBorders>
                    <w:top w:val="nil"/>
                    <w:left w:val="nil"/>
                    <w:bottom w:val="nil"/>
                    <w:right w:val="nil"/>
                  </w:tcBorders>
                  <w:shd w:val="clear" w:color="000000" w:fill="FFFFFF"/>
                  <w:noWrap/>
                  <w:vAlign w:val="bottom"/>
                  <w:hideMark/>
                </w:tcPr>
                <w:p w14:paraId="0F00E32D" w14:textId="77777777" w:rsidR="00E45009" w:rsidRPr="00081C8E" w:rsidRDefault="00E45009" w:rsidP="00E45009">
                  <w:pPr>
                    <w:pStyle w:val="NoSpacing"/>
                    <w:rPr>
                      <w:b/>
                      <w:bCs/>
                      <w:lang w:val="en-GB"/>
                    </w:rPr>
                  </w:pPr>
                  <w:r w:rsidRPr="00081C8E">
                    <w:rPr>
                      <w:b/>
                      <w:bCs/>
                      <w:lang w:val="en-GB"/>
                    </w:rPr>
                    <w:t>Table 3: Textual Sources</w:t>
                  </w:r>
                </w:p>
              </w:tc>
            </w:tr>
            <w:tr w:rsidR="00E45009" w:rsidRPr="00081C8E" w14:paraId="7A914C00" w14:textId="77777777" w:rsidTr="00DB32C0">
              <w:trPr>
                <w:trHeight w:val="1260"/>
              </w:trPr>
              <w:tc>
                <w:tcPr>
                  <w:tcW w:w="6096" w:type="dxa"/>
                  <w:tcBorders>
                    <w:top w:val="nil"/>
                    <w:left w:val="nil"/>
                    <w:bottom w:val="single" w:sz="4" w:space="0" w:color="auto"/>
                    <w:right w:val="nil"/>
                  </w:tcBorders>
                  <w:shd w:val="clear" w:color="000000" w:fill="FFFFFF"/>
                  <w:noWrap/>
                  <w:vAlign w:val="bottom"/>
                  <w:hideMark/>
                </w:tcPr>
                <w:p w14:paraId="1EA80B35" w14:textId="77777777" w:rsidR="00E45009" w:rsidRPr="00081C8E" w:rsidRDefault="00E45009" w:rsidP="00E45009">
                  <w:pPr>
                    <w:pStyle w:val="NoSpacing"/>
                    <w:rPr>
                      <w:lang w:val="en-GB"/>
                    </w:rPr>
                  </w:pPr>
                  <w:r w:rsidRPr="00081C8E">
                    <w:rPr>
                      <w:lang w:val="en-GB"/>
                    </w:rPr>
                    <w:t> </w:t>
                  </w:r>
                </w:p>
              </w:tc>
              <w:tc>
                <w:tcPr>
                  <w:tcW w:w="1276" w:type="dxa"/>
                  <w:tcBorders>
                    <w:top w:val="nil"/>
                    <w:left w:val="nil"/>
                    <w:bottom w:val="single" w:sz="4" w:space="0" w:color="auto"/>
                    <w:right w:val="nil"/>
                  </w:tcBorders>
                  <w:shd w:val="clear" w:color="000000" w:fill="FFFFFF"/>
                  <w:vAlign w:val="bottom"/>
                  <w:hideMark/>
                </w:tcPr>
                <w:p w14:paraId="2FC2BD82" w14:textId="77777777" w:rsidR="00E45009" w:rsidRPr="00081C8E" w:rsidRDefault="00E45009" w:rsidP="00E45009">
                  <w:pPr>
                    <w:pStyle w:val="NoSpacing"/>
                    <w:rPr>
                      <w:b/>
                      <w:bCs/>
                      <w:lang w:val="en-GB"/>
                    </w:rPr>
                  </w:pPr>
                  <w:r w:rsidRPr="00081C8E">
                    <w:rPr>
                      <w:b/>
                      <w:bCs/>
                      <w:lang w:val="en-GB"/>
                    </w:rPr>
                    <w:t>Coding letter</w:t>
                  </w:r>
                </w:p>
              </w:tc>
              <w:tc>
                <w:tcPr>
                  <w:tcW w:w="1701" w:type="dxa"/>
                  <w:tcBorders>
                    <w:top w:val="nil"/>
                    <w:left w:val="nil"/>
                    <w:bottom w:val="single" w:sz="4" w:space="0" w:color="auto"/>
                    <w:right w:val="nil"/>
                  </w:tcBorders>
                  <w:shd w:val="clear" w:color="000000" w:fill="FFFFFF"/>
                  <w:vAlign w:val="bottom"/>
                  <w:hideMark/>
                </w:tcPr>
                <w:p w14:paraId="5CECE21E" w14:textId="77777777" w:rsidR="00E45009" w:rsidRPr="00081C8E" w:rsidRDefault="00E45009" w:rsidP="00E45009">
                  <w:pPr>
                    <w:pStyle w:val="NoSpacing"/>
                    <w:rPr>
                      <w:b/>
                      <w:bCs/>
                      <w:lang w:val="en-GB"/>
                    </w:rPr>
                  </w:pPr>
                  <w:r w:rsidRPr="00081C8E">
                    <w:rPr>
                      <w:b/>
                      <w:bCs/>
                      <w:lang w:val="en-GB"/>
                    </w:rPr>
                    <w:t>Ratifying countries (Both C. 87 &amp; C. 98)</w:t>
                  </w:r>
                </w:p>
              </w:tc>
              <w:tc>
                <w:tcPr>
                  <w:tcW w:w="1417" w:type="dxa"/>
                  <w:tcBorders>
                    <w:top w:val="nil"/>
                    <w:left w:val="nil"/>
                    <w:bottom w:val="single" w:sz="4" w:space="0" w:color="auto"/>
                    <w:right w:val="nil"/>
                  </w:tcBorders>
                  <w:shd w:val="clear" w:color="000000" w:fill="FFFFFF"/>
                  <w:vAlign w:val="bottom"/>
                  <w:hideMark/>
                </w:tcPr>
                <w:p w14:paraId="06AB7417" w14:textId="77777777" w:rsidR="00E45009" w:rsidRPr="00081C8E" w:rsidRDefault="00E45009" w:rsidP="00E45009">
                  <w:pPr>
                    <w:pStyle w:val="NoSpacing"/>
                    <w:rPr>
                      <w:b/>
                      <w:bCs/>
                      <w:lang w:val="en-GB"/>
                    </w:rPr>
                  </w:pPr>
                  <w:r w:rsidRPr="00081C8E">
                    <w:rPr>
                      <w:b/>
                      <w:bCs/>
                      <w:lang w:val="en-GB"/>
                    </w:rPr>
                    <w:t>Non-ratifying countries</w:t>
                  </w:r>
                </w:p>
              </w:tc>
            </w:tr>
            <w:tr w:rsidR="00E45009" w:rsidRPr="00081C8E" w14:paraId="02BD9FC4" w14:textId="77777777" w:rsidTr="00DB32C0">
              <w:trPr>
                <w:trHeight w:val="315"/>
              </w:trPr>
              <w:tc>
                <w:tcPr>
                  <w:tcW w:w="6096" w:type="dxa"/>
                  <w:tcBorders>
                    <w:top w:val="single" w:sz="4" w:space="0" w:color="auto"/>
                    <w:left w:val="nil"/>
                    <w:bottom w:val="single" w:sz="4" w:space="0" w:color="auto"/>
                    <w:right w:val="nil"/>
                  </w:tcBorders>
                  <w:shd w:val="clear" w:color="000000" w:fill="FFFFFF"/>
                  <w:noWrap/>
                  <w:vAlign w:val="bottom"/>
                  <w:hideMark/>
                </w:tcPr>
                <w:p w14:paraId="331D9E4D" w14:textId="77777777" w:rsidR="00E45009" w:rsidRPr="00081C8E" w:rsidRDefault="00E45009" w:rsidP="00E45009">
                  <w:pPr>
                    <w:pStyle w:val="NoSpacing"/>
                    <w:rPr>
                      <w:i/>
                      <w:iCs/>
                      <w:lang w:val="en-GB"/>
                    </w:rPr>
                  </w:pPr>
                  <w:r w:rsidRPr="00081C8E">
                    <w:rPr>
                      <w:i/>
                      <w:iCs/>
                      <w:lang w:val="en-GB"/>
                    </w:rPr>
                    <w:t>Reports of the Committee of Experts on the Application of Conventions and Recommendations</w:t>
                  </w:r>
                </w:p>
              </w:tc>
              <w:tc>
                <w:tcPr>
                  <w:tcW w:w="1276" w:type="dxa"/>
                  <w:tcBorders>
                    <w:top w:val="single" w:sz="4" w:space="0" w:color="auto"/>
                    <w:left w:val="nil"/>
                    <w:bottom w:val="single" w:sz="4" w:space="0" w:color="auto"/>
                    <w:right w:val="nil"/>
                  </w:tcBorders>
                  <w:shd w:val="clear" w:color="000000" w:fill="FFFFFF"/>
                  <w:noWrap/>
                  <w:vAlign w:val="bottom"/>
                  <w:hideMark/>
                </w:tcPr>
                <w:p w14:paraId="124EC505" w14:textId="77777777" w:rsidR="00E45009" w:rsidRPr="00081C8E" w:rsidRDefault="00E45009" w:rsidP="00E45009">
                  <w:pPr>
                    <w:pStyle w:val="NoSpacing"/>
                    <w:rPr>
                      <w:lang w:val="en-GB"/>
                    </w:rPr>
                  </w:pPr>
                  <w:r w:rsidRPr="00081C8E">
                    <w:rPr>
                      <w:lang w:val="en-GB"/>
                    </w:rPr>
                    <w:t>a</w:t>
                  </w:r>
                </w:p>
              </w:tc>
              <w:tc>
                <w:tcPr>
                  <w:tcW w:w="1701" w:type="dxa"/>
                  <w:tcBorders>
                    <w:top w:val="single" w:sz="4" w:space="0" w:color="auto"/>
                    <w:left w:val="nil"/>
                    <w:bottom w:val="single" w:sz="4" w:space="0" w:color="auto"/>
                    <w:right w:val="nil"/>
                  </w:tcBorders>
                  <w:shd w:val="clear" w:color="000000" w:fill="FFFFFF"/>
                  <w:noWrap/>
                  <w:vAlign w:val="bottom"/>
                  <w:hideMark/>
                </w:tcPr>
                <w:p w14:paraId="72E90A82" w14:textId="77777777" w:rsidR="00E45009" w:rsidRPr="00081C8E" w:rsidRDefault="00E45009" w:rsidP="00E45009">
                  <w:pPr>
                    <w:pStyle w:val="NoSpacing"/>
                    <w:rPr>
                      <w:lang w:val="en-GB"/>
                    </w:rPr>
                  </w:pPr>
                  <w:r w:rsidRPr="00081C8E">
                    <w:rPr>
                      <w:lang w:val="en-GB"/>
                    </w:rPr>
                    <w:t>X</w:t>
                  </w:r>
                </w:p>
              </w:tc>
              <w:tc>
                <w:tcPr>
                  <w:tcW w:w="1417" w:type="dxa"/>
                  <w:tcBorders>
                    <w:top w:val="single" w:sz="4" w:space="0" w:color="auto"/>
                    <w:left w:val="nil"/>
                    <w:bottom w:val="single" w:sz="4" w:space="0" w:color="auto"/>
                    <w:right w:val="nil"/>
                  </w:tcBorders>
                  <w:shd w:val="clear" w:color="000000" w:fill="FFFFFF"/>
                  <w:noWrap/>
                  <w:vAlign w:val="bottom"/>
                  <w:hideMark/>
                </w:tcPr>
                <w:p w14:paraId="7145182E" w14:textId="77777777" w:rsidR="00E45009" w:rsidRPr="00081C8E" w:rsidRDefault="00E45009" w:rsidP="00E45009">
                  <w:pPr>
                    <w:pStyle w:val="NoSpacing"/>
                    <w:rPr>
                      <w:lang w:val="en-GB"/>
                    </w:rPr>
                  </w:pPr>
                  <w:r w:rsidRPr="00081C8E">
                    <w:rPr>
                      <w:lang w:val="en-GB"/>
                    </w:rPr>
                    <w:t> </w:t>
                  </w:r>
                </w:p>
              </w:tc>
            </w:tr>
            <w:tr w:rsidR="00E45009" w:rsidRPr="00081C8E" w14:paraId="3B7393A0" w14:textId="77777777" w:rsidTr="00DB32C0">
              <w:trPr>
                <w:trHeight w:val="315"/>
              </w:trPr>
              <w:tc>
                <w:tcPr>
                  <w:tcW w:w="6096" w:type="dxa"/>
                  <w:tcBorders>
                    <w:top w:val="single" w:sz="4" w:space="0" w:color="auto"/>
                    <w:left w:val="nil"/>
                    <w:bottom w:val="single" w:sz="4" w:space="0" w:color="auto"/>
                    <w:right w:val="nil"/>
                  </w:tcBorders>
                  <w:shd w:val="clear" w:color="000000" w:fill="FFFFFF"/>
                  <w:noWrap/>
                  <w:vAlign w:val="bottom"/>
                  <w:hideMark/>
                </w:tcPr>
                <w:p w14:paraId="3FA6C9D7" w14:textId="77777777" w:rsidR="00E45009" w:rsidRPr="00081C8E" w:rsidRDefault="00E45009" w:rsidP="00E45009">
                  <w:pPr>
                    <w:pStyle w:val="NoSpacing"/>
                    <w:rPr>
                      <w:i/>
                      <w:iCs/>
                      <w:lang w:val="en-GB"/>
                    </w:rPr>
                  </w:pPr>
                  <w:r w:rsidRPr="00081C8E">
                    <w:rPr>
                      <w:i/>
                      <w:iCs/>
                      <w:lang w:val="en-GB"/>
                    </w:rPr>
                    <w:t>Reports of the Conference Committee on the Application of Standards</w:t>
                  </w:r>
                </w:p>
              </w:tc>
              <w:tc>
                <w:tcPr>
                  <w:tcW w:w="1276" w:type="dxa"/>
                  <w:tcBorders>
                    <w:top w:val="single" w:sz="4" w:space="0" w:color="auto"/>
                    <w:left w:val="nil"/>
                    <w:bottom w:val="single" w:sz="4" w:space="0" w:color="auto"/>
                    <w:right w:val="nil"/>
                  </w:tcBorders>
                  <w:shd w:val="clear" w:color="000000" w:fill="FFFFFF"/>
                  <w:noWrap/>
                  <w:vAlign w:val="bottom"/>
                  <w:hideMark/>
                </w:tcPr>
                <w:p w14:paraId="7C9A1A51" w14:textId="77777777" w:rsidR="00E45009" w:rsidRPr="00081C8E" w:rsidRDefault="00E45009" w:rsidP="00E45009">
                  <w:pPr>
                    <w:pStyle w:val="NoSpacing"/>
                    <w:rPr>
                      <w:lang w:val="en-GB"/>
                    </w:rPr>
                  </w:pPr>
                  <w:r w:rsidRPr="00081C8E">
                    <w:rPr>
                      <w:lang w:val="en-GB"/>
                    </w:rPr>
                    <w:t>b</w:t>
                  </w:r>
                </w:p>
              </w:tc>
              <w:tc>
                <w:tcPr>
                  <w:tcW w:w="1701" w:type="dxa"/>
                  <w:tcBorders>
                    <w:top w:val="single" w:sz="4" w:space="0" w:color="auto"/>
                    <w:left w:val="nil"/>
                    <w:bottom w:val="single" w:sz="4" w:space="0" w:color="auto"/>
                    <w:right w:val="nil"/>
                  </w:tcBorders>
                  <w:shd w:val="clear" w:color="000000" w:fill="FFFFFF"/>
                  <w:noWrap/>
                  <w:vAlign w:val="bottom"/>
                  <w:hideMark/>
                </w:tcPr>
                <w:p w14:paraId="3EF084C5" w14:textId="77777777" w:rsidR="00E45009" w:rsidRPr="00081C8E" w:rsidRDefault="00E45009" w:rsidP="00E45009">
                  <w:pPr>
                    <w:pStyle w:val="NoSpacing"/>
                    <w:rPr>
                      <w:lang w:val="en-GB"/>
                    </w:rPr>
                  </w:pPr>
                  <w:r w:rsidRPr="00081C8E">
                    <w:rPr>
                      <w:lang w:val="en-GB"/>
                    </w:rPr>
                    <w:t>X</w:t>
                  </w:r>
                </w:p>
              </w:tc>
              <w:tc>
                <w:tcPr>
                  <w:tcW w:w="1417" w:type="dxa"/>
                  <w:tcBorders>
                    <w:top w:val="single" w:sz="4" w:space="0" w:color="auto"/>
                    <w:left w:val="nil"/>
                    <w:bottom w:val="single" w:sz="4" w:space="0" w:color="auto"/>
                    <w:right w:val="nil"/>
                  </w:tcBorders>
                  <w:shd w:val="clear" w:color="000000" w:fill="FFFFFF"/>
                  <w:noWrap/>
                  <w:vAlign w:val="bottom"/>
                  <w:hideMark/>
                </w:tcPr>
                <w:p w14:paraId="2C225069" w14:textId="77777777" w:rsidR="00E45009" w:rsidRPr="00081C8E" w:rsidRDefault="00E45009" w:rsidP="00E45009">
                  <w:pPr>
                    <w:pStyle w:val="NoSpacing"/>
                    <w:rPr>
                      <w:lang w:val="en-GB"/>
                    </w:rPr>
                  </w:pPr>
                  <w:r w:rsidRPr="00081C8E">
                    <w:rPr>
                      <w:lang w:val="en-GB"/>
                    </w:rPr>
                    <w:t> </w:t>
                  </w:r>
                </w:p>
              </w:tc>
            </w:tr>
            <w:tr w:rsidR="00E45009" w:rsidRPr="00081C8E" w14:paraId="58BBA739" w14:textId="77777777" w:rsidTr="00DB32C0">
              <w:trPr>
                <w:trHeight w:val="315"/>
              </w:trPr>
              <w:tc>
                <w:tcPr>
                  <w:tcW w:w="6096" w:type="dxa"/>
                  <w:tcBorders>
                    <w:top w:val="single" w:sz="4" w:space="0" w:color="auto"/>
                    <w:left w:val="nil"/>
                    <w:bottom w:val="single" w:sz="4" w:space="0" w:color="auto"/>
                    <w:right w:val="nil"/>
                  </w:tcBorders>
                  <w:shd w:val="clear" w:color="000000" w:fill="FFFFFF"/>
                  <w:noWrap/>
                  <w:vAlign w:val="bottom"/>
                  <w:hideMark/>
                </w:tcPr>
                <w:p w14:paraId="5BF345E7" w14:textId="77777777" w:rsidR="00E45009" w:rsidRPr="00081C8E" w:rsidRDefault="00E45009" w:rsidP="00E45009">
                  <w:pPr>
                    <w:pStyle w:val="NoSpacing"/>
                    <w:rPr>
                      <w:i/>
                      <w:iCs/>
                      <w:lang w:val="en-GB"/>
                    </w:rPr>
                  </w:pPr>
                  <w:r w:rsidRPr="00081C8E">
                    <w:rPr>
                      <w:i/>
                      <w:iCs/>
                      <w:lang w:val="en-GB"/>
                    </w:rPr>
                    <w:t>Country Baselines under the ILO Declaration Annual Review</w:t>
                  </w:r>
                </w:p>
              </w:tc>
              <w:tc>
                <w:tcPr>
                  <w:tcW w:w="1276" w:type="dxa"/>
                  <w:tcBorders>
                    <w:top w:val="single" w:sz="4" w:space="0" w:color="auto"/>
                    <w:left w:val="nil"/>
                    <w:bottom w:val="single" w:sz="4" w:space="0" w:color="auto"/>
                    <w:right w:val="nil"/>
                  </w:tcBorders>
                  <w:shd w:val="clear" w:color="000000" w:fill="FFFFFF"/>
                  <w:noWrap/>
                  <w:vAlign w:val="bottom"/>
                  <w:hideMark/>
                </w:tcPr>
                <w:p w14:paraId="1ECD9486" w14:textId="77777777" w:rsidR="00E45009" w:rsidRPr="00081C8E" w:rsidRDefault="00E45009" w:rsidP="00E45009">
                  <w:pPr>
                    <w:pStyle w:val="NoSpacing"/>
                    <w:rPr>
                      <w:lang w:val="en-GB"/>
                    </w:rPr>
                  </w:pPr>
                  <w:r w:rsidRPr="00081C8E">
                    <w:rPr>
                      <w:lang w:val="en-GB"/>
                    </w:rPr>
                    <w:t>c</w:t>
                  </w:r>
                </w:p>
              </w:tc>
              <w:tc>
                <w:tcPr>
                  <w:tcW w:w="1701" w:type="dxa"/>
                  <w:tcBorders>
                    <w:top w:val="single" w:sz="4" w:space="0" w:color="auto"/>
                    <w:left w:val="nil"/>
                    <w:bottom w:val="single" w:sz="4" w:space="0" w:color="auto"/>
                    <w:right w:val="nil"/>
                  </w:tcBorders>
                  <w:shd w:val="clear" w:color="000000" w:fill="FFFFFF"/>
                  <w:noWrap/>
                  <w:vAlign w:val="bottom"/>
                  <w:hideMark/>
                </w:tcPr>
                <w:p w14:paraId="4FC797D8" w14:textId="77777777" w:rsidR="00E45009" w:rsidRPr="00081C8E" w:rsidRDefault="00E45009" w:rsidP="00E45009">
                  <w:pPr>
                    <w:pStyle w:val="NoSpacing"/>
                    <w:rPr>
                      <w:lang w:val="en-GB"/>
                    </w:rPr>
                  </w:pPr>
                  <w:r w:rsidRPr="00081C8E">
                    <w:rPr>
                      <w:lang w:val="en-GB"/>
                    </w:rPr>
                    <w:t> </w:t>
                  </w:r>
                </w:p>
              </w:tc>
              <w:tc>
                <w:tcPr>
                  <w:tcW w:w="1417" w:type="dxa"/>
                  <w:tcBorders>
                    <w:top w:val="single" w:sz="4" w:space="0" w:color="auto"/>
                    <w:left w:val="nil"/>
                    <w:bottom w:val="single" w:sz="4" w:space="0" w:color="auto"/>
                    <w:right w:val="nil"/>
                  </w:tcBorders>
                  <w:shd w:val="clear" w:color="000000" w:fill="FFFFFF"/>
                  <w:noWrap/>
                  <w:vAlign w:val="bottom"/>
                  <w:hideMark/>
                </w:tcPr>
                <w:p w14:paraId="37191807" w14:textId="77777777" w:rsidR="00E45009" w:rsidRPr="00081C8E" w:rsidRDefault="00E45009" w:rsidP="00E45009">
                  <w:pPr>
                    <w:pStyle w:val="NoSpacing"/>
                    <w:rPr>
                      <w:lang w:val="en-GB"/>
                    </w:rPr>
                  </w:pPr>
                  <w:r w:rsidRPr="00081C8E">
                    <w:rPr>
                      <w:lang w:val="en-GB"/>
                    </w:rPr>
                    <w:t>X</w:t>
                  </w:r>
                </w:p>
              </w:tc>
            </w:tr>
            <w:tr w:rsidR="00E45009" w:rsidRPr="00081C8E" w14:paraId="3322246F" w14:textId="77777777" w:rsidTr="00DB32C0">
              <w:trPr>
                <w:trHeight w:val="315"/>
              </w:trPr>
              <w:tc>
                <w:tcPr>
                  <w:tcW w:w="6096" w:type="dxa"/>
                  <w:tcBorders>
                    <w:top w:val="single" w:sz="4" w:space="0" w:color="auto"/>
                    <w:left w:val="nil"/>
                    <w:bottom w:val="single" w:sz="4" w:space="0" w:color="auto"/>
                    <w:right w:val="nil"/>
                  </w:tcBorders>
                  <w:shd w:val="clear" w:color="000000" w:fill="FFFFFF"/>
                  <w:noWrap/>
                  <w:vAlign w:val="bottom"/>
                  <w:hideMark/>
                </w:tcPr>
                <w:p w14:paraId="320B1804" w14:textId="77777777" w:rsidR="00E45009" w:rsidRPr="00081C8E" w:rsidRDefault="00E45009" w:rsidP="00E45009">
                  <w:pPr>
                    <w:pStyle w:val="NoSpacing"/>
                    <w:rPr>
                      <w:i/>
                      <w:iCs/>
                      <w:lang w:val="en-GB"/>
                    </w:rPr>
                  </w:pPr>
                  <w:r w:rsidRPr="00081C8E">
                    <w:rPr>
                      <w:i/>
                      <w:iCs/>
                      <w:lang w:val="en-GB"/>
                    </w:rPr>
                    <w:t>Representations under Article 24 of the ILO Constitution</w:t>
                  </w:r>
                </w:p>
              </w:tc>
              <w:tc>
                <w:tcPr>
                  <w:tcW w:w="1276" w:type="dxa"/>
                  <w:tcBorders>
                    <w:top w:val="single" w:sz="4" w:space="0" w:color="auto"/>
                    <w:left w:val="nil"/>
                    <w:bottom w:val="single" w:sz="4" w:space="0" w:color="auto"/>
                    <w:right w:val="nil"/>
                  </w:tcBorders>
                  <w:shd w:val="clear" w:color="000000" w:fill="FFFFFF"/>
                  <w:noWrap/>
                  <w:vAlign w:val="bottom"/>
                  <w:hideMark/>
                </w:tcPr>
                <w:p w14:paraId="6EA510EA" w14:textId="77777777" w:rsidR="00E45009" w:rsidRPr="00081C8E" w:rsidRDefault="00E45009" w:rsidP="00E45009">
                  <w:pPr>
                    <w:pStyle w:val="NoSpacing"/>
                    <w:rPr>
                      <w:lang w:val="en-GB"/>
                    </w:rPr>
                  </w:pPr>
                  <w:r w:rsidRPr="00081C8E">
                    <w:rPr>
                      <w:lang w:val="en-GB"/>
                    </w:rPr>
                    <w:t>d</w:t>
                  </w:r>
                </w:p>
              </w:tc>
              <w:tc>
                <w:tcPr>
                  <w:tcW w:w="1701" w:type="dxa"/>
                  <w:tcBorders>
                    <w:top w:val="single" w:sz="4" w:space="0" w:color="auto"/>
                    <w:left w:val="nil"/>
                    <w:bottom w:val="single" w:sz="4" w:space="0" w:color="auto"/>
                    <w:right w:val="nil"/>
                  </w:tcBorders>
                  <w:shd w:val="clear" w:color="000000" w:fill="FFFFFF"/>
                  <w:noWrap/>
                  <w:vAlign w:val="bottom"/>
                  <w:hideMark/>
                </w:tcPr>
                <w:p w14:paraId="4D86DB71" w14:textId="77777777" w:rsidR="00E45009" w:rsidRPr="00081C8E" w:rsidRDefault="00E45009" w:rsidP="00E45009">
                  <w:pPr>
                    <w:pStyle w:val="NoSpacing"/>
                    <w:rPr>
                      <w:lang w:val="en-GB"/>
                    </w:rPr>
                  </w:pPr>
                  <w:r w:rsidRPr="00081C8E">
                    <w:rPr>
                      <w:lang w:val="en-GB"/>
                    </w:rPr>
                    <w:t>X</w:t>
                  </w:r>
                </w:p>
              </w:tc>
              <w:tc>
                <w:tcPr>
                  <w:tcW w:w="1417" w:type="dxa"/>
                  <w:tcBorders>
                    <w:top w:val="single" w:sz="4" w:space="0" w:color="auto"/>
                    <w:left w:val="nil"/>
                    <w:bottom w:val="single" w:sz="4" w:space="0" w:color="auto"/>
                    <w:right w:val="nil"/>
                  </w:tcBorders>
                  <w:shd w:val="clear" w:color="000000" w:fill="FFFFFF"/>
                  <w:noWrap/>
                  <w:vAlign w:val="bottom"/>
                  <w:hideMark/>
                </w:tcPr>
                <w:p w14:paraId="499D5066" w14:textId="77777777" w:rsidR="00E45009" w:rsidRPr="00081C8E" w:rsidRDefault="00E45009" w:rsidP="00E45009">
                  <w:pPr>
                    <w:pStyle w:val="NoSpacing"/>
                    <w:rPr>
                      <w:lang w:val="en-GB"/>
                    </w:rPr>
                  </w:pPr>
                  <w:r w:rsidRPr="00081C8E">
                    <w:rPr>
                      <w:lang w:val="en-GB"/>
                    </w:rPr>
                    <w:t> </w:t>
                  </w:r>
                </w:p>
              </w:tc>
            </w:tr>
            <w:tr w:rsidR="00E45009" w:rsidRPr="00081C8E" w14:paraId="78F2CE10" w14:textId="77777777" w:rsidTr="00DB32C0">
              <w:trPr>
                <w:trHeight w:val="315"/>
              </w:trPr>
              <w:tc>
                <w:tcPr>
                  <w:tcW w:w="6096" w:type="dxa"/>
                  <w:tcBorders>
                    <w:top w:val="single" w:sz="4" w:space="0" w:color="auto"/>
                    <w:left w:val="nil"/>
                    <w:bottom w:val="single" w:sz="4" w:space="0" w:color="auto"/>
                    <w:right w:val="nil"/>
                  </w:tcBorders>
                  <w:shd w:val="clear" w:color="000000" w:fill="FFFFFF"/>
                  <w:noWrap/>
                  <w:vAlign w:val="bottom"/>
                  <w:hideMark/>
                </w:tcPr>
                <w:p w14:paraId="3FDC85D3" w14:textId="77777777" w:rsidR="00E45009" w:rsidRPr="00081C8E" w:rsidRDefault="00E45009" w:rsidP="00E45009">
                  <w:pPr>
                    <w:pStyle w:val="NoSpacing"/>
                    <w:rPr>
                      <w:i/>
                      <w:iCs/>
                      <w:lang w:val="en-GB"/>
                    </w:rPr>
                  </w:pPr>
                  <w:r w:rsidRPr="00081C8E">
                    <w:rPr>
                      <w:i/>
                      <w:iCs/>
                      <w:lang w:val="en-GB"/>
                    </w:rPr>
                    <w:t>Complaints under Article 26 of the ILO Constitution</w:t>
                  </w:r>
                </w:p>
              </w:tc>
              <w:tc>
                <w:tcPr>
                  <w:tcW w:w="1276" w:type="dxa"/>
                  <w:tcBorders>
                    <w:top w:val="single" w:sz="4" w:space="0" w:color="auto"/>
                    <w:left w:val="nil"/>
                    <w:bottom w:val="single" w:sz="4" w:space="0" w:color="auto"/>
                    <w:right w:val="nil"/>
                  </w:tcBorders>
                  <w:shd w:val="clear" w:color="000000" w:fill="FFFFFF"/>
                  <w:noWrap/>
                  <w:vAlign w:val="bottom"/>
                  <w:hideMark/>
                </w:tcPr>
                <w:p w14:paraId="0A06BEC8" w14:textId="77777777" w:rsidR="00E45009" w:rsidRPr="00081C8E" w:rsidRDefault="00E45009" w:rsidP="00E45009">
                  <w:pPr>
                    <w:pStyle w:val="NoSpacing"/>
                    <w:rPr>
                      <w:lang w:val="en-GB"/>
                    </w:rPr>
                  </w:pPr>
                  <w:r w:rsidRPr="00081C8E">
                    <w:rPr>
                      <w:lang w:val="en-GB"/>
                    </w:rPr>
                    <w:t>e</w:t>
                  </w:r>
                </w:p>
              </w:tc>
              <w:tc>
                <w:tcPr>
                  <w:tcW w:w="1701" w:type="dxa"/>
                  <w:tcBorders>
                    <w:top w:val="single" w:sz="4" w:space="0" w:color="auto"/>
                    <w:left w:val="nil"/>
                    <w:bottom w:val="single" w:sz="4" w:space="0" w:color="auto"/>
                    <w:right w:val="nil"/>
                  </w:tcBorders>
                  <w:shd w:val="clear" w:color="000000" w:fill="FFFFFF"/>
                  <w:noWrap/>
                  <w:vAlign w:val="bottom"/>
                  <w:hideMark/>
                </w:tcPr>
                <w:p w14:paraId="3FD1AAF0" w14:textId="77777777" w:rsidR="00E45009" w:rsidRPr="00081C8E" w:rsidRDefault="00E45009" w:rsidP="00E45009">
                  <w:pPr>
                    <w:pStyle w:val="NoSpacing"/>
                    <w:rPr>
                      <w:lang w:val="en-GB"/>
                    </w:rPr>
                  </w:pPr>
                  <w:r w:rsidRPr="00081C8E">
                    <w:rPr>
                      <w:lang w:val="en-GB"/>
                    </w:rPr>
                    <w:t>X</w:t>
                  </w:r>
                </w:p>
              </w:tc>
              <w:tc>
                <w:tcPr>
                  <w:tcW w:w="1417" w:type="dxa"/>
                  <w:tcBorders>
                    <w:top w:val="single" w:sz="4" w:space="0" w:color="auto"/>
                    <w:left w:val="nil"/>
                    <w:bottom w:val="single" w:sz="4" w:space="0" w:color="auto"/>
                    <w:right w:val="nil"/>
                  </w:tcBorders>
                  <w:shd w:val="clear" w:color="000000" w:fill="FFFFFF"/>
                  <w:noWrap/>
                  <w:vAlign w:val="bottom"/>
                  <w:hideMark/>
                </w:tcPr>
                <w:p w14:paraId="6997A070" w14:textId="77777777" w:rsidR="00E45009" w:rsidRPr="00081C8E" w:rsidRDefault="00E45009" w:rsidP="00E45009">
                  <w:pPr>
                    <w:pStyle w:val="NoSpacing"/>
                    <w:rPr>
                      <w:lang w:val="en-GB"/>
                    </w:rPr>
                  </w:pPr>
                  <w:r w:rsidRPr="00081C8E">
                    <w:rPr>
                      <w:lang w:val="en-GB"/>
                    </w:rPr>
                    <w:t> </w:t>
                  </w:r>
                </w:p>
              </w:tc>
            </w:tr>
            <w:tr w:rsidR="00E45009" w:rsidRPr="00081C8E" w14:paraId="293B6F95" w14:textId="77777777" w:rsidTr="00DB32C0">
              <w:trPr>
                <w:trHeight w:val="315"/>
              </w:trPr>
              <w:tc>
                <w:tcPr>
                  <w:tcW w:w="6096" w:type="dxa"/>
                  <w:tcBorders>
                    <w:top w:val="single" w:sz="4" w:space="0" w:color="auto"/>
                    <w:left w:val="nil"/>
                    <w:bottom w:val="single" w:sz="4" w:space="0" w:color="auto"/>
                    <w:right w:val="nil"/>
                  </w:tcBorders>
                  <w:shd w:val="clear" w:color="000000" w:fill="FFFFFF"/>
                  <w:noWrap/>
                  <w:vAlign w:val="bottom"/>
                  <w:hideMark/>
                </w:tcPr>
                <w:p w14:paraId="15D832CD" w14:textId="77777777" w:rsidR="00E45009" w:rsidRPr="00081C8E" w:rsidRDefault="00E45009" w:rsidP="00E45009">
                  <w:pPr>
                    <w:pStyle w:val="NoSpacing"/>
                    <w:rPr>
                      <w:i/>
                      <w:iCs/>
                      <w:lang w:val="en-GB"/>
                    </w:rPr>
                  </w:pPr>
                  <w:r w:rsidRPr="00081C8E">
                    <w:rPr>
                      <w:i/>
                      <w:iCs/>
                      <w:lang w:val="en-GB"/>
                    </w:rPr>
                    <w:t>Reports of the Committee on Freedom of Association</w:t>
                  </w:r>
                </w:p>
              </w:tc>
              <w:tc>
                <w:tcPr>
                  <w:tcW w:w="1276" w:type="dxa"/>
                  <w:tcBorders>
                    <w:top w:val="single" w:sz="4" w:space="0" w:color="auto"/>
                    <w:left w:val="nil"/>
                    <w:bottom w:val="single" w:sz="4" w:space="0" w:color="auto"/>
                    <w:right w:val="nil"/>
                  </w:tcBorders>
                  <w:shd w:val="clear" w:color="000000" w:fill="FFFFFF"/>
                  <w:noWrap/>
                  <w:vAlign w:val="bottom"/>
                  <w:hideMark/>
                </w:tcPr>
                <w:p w14:paraId="2221A709" w14:textId="77777777" w:rsidR="00E45009" w:rsidRPr="00081C8E" w:rsidRDefault="00E45009" w:rsidP="00E45009">
                  <w:pPr>
                    <w:pStyle w:val="NoSpacing"/>
                    <w:rPr>
                      <w:lang w:val="en-GB"/>
                    </w:rPr>
                  </w:pPr>
                  <w:r w:rsidRPr="00081C8E">
                    <w:rPr>
                      <w:lang w:val="en-GB"/>
                    </w:rPr>
                    <w:t>f</w:t>
                  </w:r>
                </w:p>
              </w:tc>
              <w:tc>
                <w:tcPr>
                  <w:tcW w:w="1701" w:type="dxa"/>
                  <w:tcBorders>
                    <w:top w:val="single" w:sz="4" w:space="0" w:color="auto"/>
                    <w:left w:val="nil"/>
                    <w:bottom w:val="single" w:sz="4" w:space="0" w:color="auto"/>
                    <w:right w:val="nil"/>
                  </w:tcBorders>
                  <w:shd w:val="clear" w:color="000000" w:fill="FFFFFF"/>
                  <w:noWrap/>
                  <w:vAlign w:val="bottom"/>
                  <w:hideMark/>
                </w:tcPr>
                <w:p w14:paraId="0011BF78" w14:textId="77777777" w:rsidR="00E45009" w:rsidRPr="00081C8E" w:rsidRDefault="00E45009" w:rsidP="00E45009">
                  <w:pPr>
                    <w:pStyle w:val="NoSpacing"/>
                    <w:rPr>
                      <w:lang w:val="en-GB"/>
                    </w:rPr>
                  </w:pPr>
                  <w:r w:rsidRPr="00081C8E">
                    <w:rPr>
                      <w:lang w:val="en-GB"/>
                    </w:rPr>
                    <w:t>X</w:t>
                  </w:r>
                </w:p>
              </w:tc>
              <w:tc>
                <w:tcPr>
                  <w:tcW w:w="1417" w:type="dxa"/>
                  <w:tcBorders>
                    <w:top w:val="single" w:sz="4" w:space="0" w:color="auto"/>
                    <w:left w:val="nil"/>
                    <w:bottom w:val="single" w:sz="4" w:space="0" w:color="auto"/>
                    <w:right w:val="nil"/>
                  </w:tcBorders>
                  <w:shd w:val="clear" w:color="000000" w:fill="FFFFFF"/>
                  <w:noWrap/>
                  <w:vAlign w:val="bottom"/>
                  <w:hideMark/>
                </w:tcPr>
                <w:p w14:paraId="43EAFEBD" w14:textId="77777777" w:rsidR="00E45009" w:rsidRPr="00081C8E" w:rsidRDefault="00E45009" w:rsidP="00E45009">
                  <w:pPr>
                    <w:pStyle w:val="NoSpacing"/>
                    <w:rPr>
                      <w:lang w:val="en-GB"/>
                    </w:rPr>
                  </w:pPr>
                  <w:r w:rsidRPr="00081C8E">
                    <w:rPr>
                      <w:lang w:val="en-GB"/>
                    </w:rPr>
                    <w:t>X</w:t>
                  </w:r>
                </w:p>
              </w:tc>
            </w:tr>
            <w:tr w:rsidR="00E45009" w:rsidRPr="00081C8E" w14:paraId="333FE150" w14:textId="77777777" w:rsidTr="00DB32C0">
              <w:trPr>
                <w:trHeight w:val="315"/>
              </w:trPr>
              <w:tc>
                <w:tcPr>
                  <w:tcW w:w="6096" w:type="dxa"/>
                  <w:tcBorders>
                    <w:top w:val="single" w:sz="4" w:space="0" w:color="auto"/>
                    <w:left w:val="nil"/>
                    <w:bottom w:val="nil"/>
                    <w:right w:val="nil"/>
                  </w:tcBorders>
                  <w:shd w:val="clear" w:color="000000" w:fill="FFFFFF"/>
                  <w:noWrap/>
                  <w:vAlign w:val="bottom"/>
                  <w:hideMark/>
                </w:tcPr>
                <w:p w14:paraId="68345CDA" w14:textId="77777777" w:rsidR="00E45009" w:rsidRPr="00081C8E" w:rsidRDefault="00E45009" w:rsidP="00E45009">
                  <w:pPr>
                    <w:pStyle w:val="NoSpacing"/>
                    <w:rPr>
                      <w:lang w:val="en-GB"/>
                    </w:rPr>
                  </w:pPr>
                  <w:r w:rsidRPr="00081C8E">
                    <w:rPr>
                      <w:lang w:val="en-GB"/>
                    </w:rPr>
                    <w:t>National legislation</w:t>
                  </w:r>
                </w:p>
              </w:tc>
              <w:tc>
                <w:tcPr>
                  <w:tcW w:w="1276" w:type="dxa"/>
                  <w:tcBorders>
                    <w:top w:val="single" w:sz="4" w:space="0" w:color="auto"/>
                    <w:left w:val="nil"/>
                    <w:bottom w:val="nil"/>
                    <w:right w:val="nil"/>
                  </w:tcBorders>
                  <w:shd w:val="clear" w:color="000000" w:fill="FFFFFF"/>
                  <w:noWrap/>
                  <w:vAlign w:val="bottom"/>
                  <w:hideMark/>
                </w:tcPr>
                <w:p w14:paraId="3BDAFA1A" w14:textId="77777777" w:rsidR="00E45009" w:rsidRPr="00081C8E" w:rsidRDefault="00E45009" w:rsidP="00E45009">
                  <w:pPr>
                    <w:pStyle w:val="NoSpacing"/>
                    <w:rPr>
                      <w:lang w:val="en-GB"/>
                    </w:rPr>
                  </w:pPr>
                  <w:r w:rsidRPr="00081C8E">
                    <w:rPr>
                      <w:lang w:val="en-GB"/>
                    </w:rPr>
                    <w:t>g</w:t>
                  </w:r>
                </w:p>
              </w:tc>
              <w:tc>
                <w:tcPr>
                  <w:tcW w:w="1701" w:type="dxa"/>
                  <w:tcBorders>
                    <w:top w:val="single" w:sz="4" w:space="0" w:color="auto"/>
                    <w:left w:val="nil"/>
                    <w:bottom w:val="nil"/>
                    <w:right w:val="nil"/>
                  </w:tcBorders>
                  <w:shd w:val="clear" w:color="000000" w:fill="FFFFFF"/>
                  <w:noWrap/>
                  <w:vAlign w:val="bottom"/>
                  <w:hideMark/>
                </w:tcPr>
                <w:p w14:paraId="5AB9884B" w14:textId="77777777" w:rsidR="00E45009" w:rsidRPr="00081C8E" w:rsidRDefault="00E45009" w:rsidP="00E45009">
                  <w:pPr>
                    <w:pStyle w:val="NoSpacing"/>
                    <w:rPr>
                      <w:lang w:val="en-GB"/>
                    </w:rPr>
                  </w:pPr>
                  <w:r w:rsidRPr="00081C8E">
                    <w:rPr>
                      <w:lang w:val="en-GB"/>
                    </w:rPr>
                    <w:t> </w:t>
                  </w:r>
                </w:p>
              </w:tc>
              <w:tc>
                <w:tcPr>
                  <w:tcW w:w="1417" w:type="dxa"/>
                  <w:tcBorders>
                    <w:top w:val="single" w:sz="4" w:space="0" w:color="auto"/>
                    <w:left w:val="nil"/>
                    <w:bottom w:val="nil"/>
                    <w:right w:val="nil"/>
                  </w:tcBorders>
                  <w:shd w:val="clear" w:color="000000" w:fill="FFFFFF"/>
                  <w:noWrap/>
                  <w:vAlign w:val="bottom"/>
                  <w:hideMark/>
                </w:tcPr>
                <w:p w14:paraId="1AAE7EB7" w14:textId="77777777" w:rsidR="00E45009" w:rsidRPr="00081C8E" w:rsidRDefault="00E45009" w:rsidP="00E45009">
                  <w:pPr>
                    <w:pStyle w:val="NoSpacing"/>
                    <w:rPr>
                      <w:lang w:val="en-GB"/>
                    </w:rPr>
                  </w:pPr>
                  <w:r w:rsidRPr="00081C8E">
                    <w:rPr>
                      <w:lang w:val="en-GB"/>
                    </w:rPr>
                    <w:t>X</w:t>
                  </w:r>
                </w:p>
              </w:tc>
            </w:tr>
          </w:tbl>
          <w:p w14:paraId="34B381B2" w14:textId="77777777" w:rsidR="00E45009" w:rsidRPr="00081C8E" w:rsidRDefault="00E45009" w:rsidP="00E45009">
            <w:pPr>
              <w:pStyle w:val="NoSpacing"/>
              <w:rPr>
                <w:b/>
                <w:lang w:val="en-GB"/>
              </w:rPr>
            </w:pPr>
          </w:p>
          <w:p w14:paraId="65835604" w14:textId="77777777" w:rsidR="00E45009" w:rsidRPr="00081C8E" w:rsidRDefault="00E45009" w:rsidP="00E45009">
            <w:pPr>
              <w:pStyle w:val="NoSpacing"/>
              <w:numPr>
                <w:ilvl w:val="0"/>
                <w:numId w:val="153"/>
              </w:numPr>
              <w:rPr>
                <w:b/>
                <w:bCs/>
                <w:lang w:val="en-GB"/>
              </w:rPr>
            </w:pPr>
            <w:bookmarkStart w:id="10" w:name="_Toc523910457"/>
            <w:r w:rsidRPr="00081C8E">
              <w:rPr>
                <w:b/>
                <w:bCs/>
                <w:lang w:val="en-GB"/>
              </w:rPr>
              <w:t>Using the Delphi Method to Construct Evaluation Criteria Weights</w:t>
            </w:r>
            <w:bookmarkEnd w:id="10"/>
          </w:p>
          <w:p w14:paraId="7A87B4CF" w14:textId="77777777" w:rsidR="00E45009" w:rsidRPr="00081C8E" w:rsidRDefault="00E45009" w:rsidP="00E45009">
            <w:pPr>
              <w:pStyle w:val="NoSpacing"/>
              <w:rPr>
                <w:lang w:val="en-GB"/>
              </w:rPr>
            </w:pPr>
            <w:r w:rsidRPr="00081C8E">
              <w:rPr>
                <w:lang w:val="en-GB"/>
              </w:rPr>
              <w:t xml:space="preserve">The application of the Delphi method involved two rounds of surveys conducted via email of internationally-recognized experts in labour law having knowledge of the ILO’s supervisory system and particular knowledge of FACB rights as defined by the ILO. Regional representation was another consideration. Experts remained anonymous with respect to each other throughout the process. Initial invitations to participate were sent to 37 experts, of whom 18 initially agreed to participate and of whom 14 went through both survey rounds. Of these 14 experts, 13 were </w:t>
            </w:r>
            <w:r w:rsidRPr="00081C8E">
              <w:rPr>
                <w:lang w:val="en-GB"/>
              </w:rPr>
              <w:lastRenderedPageBreak/>
              <w:t xml:space="preserve">lawyers and one a political scientist, with five based in Western Europe, one in Eastern Europe, three in the US, two in Latin America, two in Asia and one in Africa.  </w:t>
            </w:r>
          </w:p>
          <w:p w14:paraId="433075D7" w14:textId="77777777" w:rsidR="00E45009" w:rsidRPr="00081C8E" w:rsidRDefault="00E45009" w:rsidP="00E45009">
            <w:pPr>
              <w:pStyle w:val="NoSpacing"/>
              <w:numPr>
                <w:ilvl w:val="0"/>
                <w:numId w:val="153"/>
              </w:numPr>
              <w:rPr>
                <w:b/>
                <w:bCs/>
                <w:lang w:val="en-GB"/>
              </w:rPr>
            </w:pPr>
            <w:bookmarkStart w:id="11" w:name="_Toc523910458"/>
            <w:r w:rsidRPr="00081C8E">
              <w:rPr>
                <w:b/>
                <w:bCs/>
                <w:lang w:val="en-GB"/>
              </w:rPr>
              <w:t>Applying the weights, normalization and default scores</w:t>
            </w:r>
            <w:bookmarkEnd w:id="11"/>
          </w:p>
          <w:p w14:paraId="352590B3" w14:textId="77777777" w:rsidR="00E45009" w:rsidRPr="00081C8E" w:rsidRDefault="00E45009" w:rsidP="00E45009">
            <w:pPr>
              <w:pStyle w:val="NoSpacing"/>
              <w:rPr>
                <w:lang w:val="en-GB"/>
              </w:rPr>
            </w:pPr>
            <w:r w:rsidRPr="00081C8E">
              <w:rPr>
                <w:lang w:val="en-GB"/>
              </w:rPr>
              <w:t xml:space="preserve">The raw coding uses the letters “a” through “g” (again, with each letter corresponding to one of the seven textual sources) to represent coded violations of FACB rights for each evaluation criteria, yielding a column of 180 cells for any given country and year. In order to apply the weights, any cell containing one or more letters is assigned a value of 1 and any blank cell for which there are no coded violations is assigned a value of 0, creating a binary coding column. The number of letters in a cell does not affect the construction of the binary coding column, in order to avoid double-counting given that the textual sources commonly reference each other. The cells of the column of weights is then multiplied by corresponding cells of the binary coding column, and summing across the cells of the resultant column yields a weighted non-normalized score for any given country and year. A hypothetical example is provided in Table 4, showing only those evaluation criteria with coded violations. In this example, 24 evaluation criteria are coded. Applying the weights yields a non-normalized score of 42.3 and a normalized score of 4.5, based on the rules describe next. </w:t>
            </w:r>
          </w:p>
          <w:tbl>
            <w:tblPr>
              <w:tblW w:w="10775" w:type="dxa"/>
              <w:tblLook w:val="04A0" w:firstRow="1" w:lastRow="0" w:firstColumn="1" w:lastColumn="0" w:noHBand="0" w:noVBand="1"/>
            </w:tblPr>
            <w:tblGrid>
              <w:gridCol w:w="448"/>
              <w:gridCol w:w="4616"/>
              <w:gridCol w:w="265"/>
              <w:gridCol w:w="809"/>
              <w:gridCol w:w="718"/>
              <w:gridCol w:w="839"/>
              <w:gridCol w:w="862"/>
            </w:tblGrid>
            <w:tr w:rsidR="00E45009" w:rsidRPr="00081C8E" w14:paraId="4D3AC451" w14:textId="77777777" w:rsidTr="00DB32C0">
              <w:trPr>
                <w:trHeight w:val="375"/>
              </w:trPr>
              <w:tc>
                <w:tcPr>
                  <w:tcW w:w="10775" w:type="dxa"/>
                  <w:gridSpan w:val="7"/>
                  <w:tcBorders>
                    <w:top w:val="nil"/>
                    <w:left w:val="nil"/>
                    <w:bottom w:val="nil"/>
                    <w:right w:val="nil"/>
                  </w:tcBorders>
                  <w:shd w:val="clear" w:color="000000" w:fill="FFFFFF"/>
                  <w:noWrap/>
                  <w:hideMark/>
                </w:tcPr>
                <w:p w14:paraId="7D2CE376" w14:textId="77777777" w:rsidR="00E45009" w:rsidRPr="00081C8E" w:rsidRDefault="00E45009" w:rsidP="00E45009">
                  <w:pPr>
                    <w:pStyle w:val="NoSpacing"/>
                    <w:rPr>
                      <w:b/>
                      <w:bCs/>
                      <w:lang w:val="en-GB"/>
                    </w:rPr>
                  </w:pPr>
                </w:p>
                <w:p w14:paraId="3E1F2E2A" w14:textId="77777777" w:rsidR="00E45009" w:rsidRPr="00081C8E" w:rsidRDefault="00E45009" w:rsidP="00E45009">
                  <w:pPr>
                    <w:pStyle w:val="NoSpacing"/>
                    <w:rPr>
                      <w:b/>
                      <w:bCs/>
                      <w:lang w:val="en-GB"/>
                    </w:rPr>
                  </w:pPr>
                  <w:r w:rsidRPr="00081C8E">
                    <w:rPr>
                      <w:b/>
                      <w:bCs/>
                      <w:lang w:val="en-GB"/>
                    </w:rPr>
                    <w:t>Table 4: Hypothetical Example of Coding and Indicator Construction (for a Single Country and Year)</w:t>
                  </w:r>
                </w:p>
              </w:tc>
            </w:tr>
            <w:tr w:rsidR="00E45009" w:rsidRPr="00081C8E" w14:paraId="444384D5" w14:textId="77777777" w:rsidTr="00DB32C0">
              <w:trPr>
                <w:trHeight w:val="945"/>
              </w:trPr>
              <w:tc>
                <w:tcPr>
                  <w:tcW w:w="6522" w:type="dxa"/>
                  <w:gridSpan w:val="2"/>
                  <w:tcBorders>
                    <w:top w:val="nil"/>
                    <w:left w:val="nil"/>
                    <w:bottom w:val="single" w:sz="4" w:space="0" w:color="auto"/>
                    <w:right w:val="nil"/>
                  </w:tcBorders>
                  <w:shd w:val="clear" w:color="000000" w:fill="FFFFFF"/>
                  <w:noWrap/>
                  <w:vAlign w:val="bottom"/>
                  <w:hideMark/>
                </w:tcPr>
                <w:p w14:paraId="628A4711" w14:textId="77777777" w:rsidR="00E45009" w:rsidRPr="00081C8E" w:rsidRDefault="00E45009" w:rsidP="00E45009">
                  <w:pPr>
                    <w:pStyle w:val="NoSpacing"/>
                    <w:rPr>
                      <w:b/>
                      <w:bCs/>
                      <w:lang w:val="en-GB"/>
                    </w:rPr>
                  </w:pPr>
                  <w:r w:rsidRPr="00081C8E">
                    <w:rPr>
                      <w:b/>
                      <w:bCs/>
                      <w:lang w:val="en-GB"/>
                    </w:rPr>
                    <w:t>Evaluation Criteria</w:t>
                  </w:r>
                </w:p>
              </w:tc>
              <w:tc>
                <w:tcPr>
                  <w:tcW w:w="280" w:type="dxa"/>
                  <w:tcBorders>
                    <w:top w:val="nil"/>
                    <w:left w:val="nil"/>
                    <w:bottom w:val="nil"/>
                    <w:right w:val="nil"/>
                  </w:tcBorders>
                  <w:shd w:val="clear" w:color="000000" w:fill="FFFFFF"/>
                  <w:noWrap/>
                  <w:hideMark/>
                </w:tcPr>
                <w:p w14:paraId="6DD549BD" w14:textId="77777777" w:rsidR="00E45009" w:rsidRPr="00081C8E" w:rsidRDefault="00E45009" w:rsidP="00E45009">
                  <w:pPr>
                    <w:pStyle w:val="NoSpacing"/>
                    <w:rPr>
                      <w:b/>
                      <w:bCs/>
                      <w:lang w:val="en-GB"/>
                    </w:rPr>
                  </w:pPr>
                  <w:r w:rsidRPr="00081C8E">
                    <w:rPr>
                      <w:b/>
                      <w:bCs/>
                      <w:lang w:val="en-GB"/>
                    </w:rPr>
                    <w:t> </w:t>
                  </w:r>
                </w:p>
              </w:tc>
              <w:tc>
                <w:tcPr>
                  <w:tcW w:w="996" w:type="dxa"/>
                  <w:tcBorders>
                    <w:top w:val="nil"/>
                    <w:left w:val="nil"/>
                    <w:bottom w:val="single" w:sz="4" w:space="0" w:color="auto"/>
                    <w:right w:val="nil"/>
                  </w:tcBorders>
                  <w:shd w:val="clear" w:color="000000" w:fill="FFFFFF"/>
                  <w:vAlign w:val="bottom"/>
                  <w:hideMark/>
                </w:tcPr>
                <w:p w14:paraId="2A7ACD73" w14:textId="77777777" w:rsidR="00E45009" w:rsidRPr="00081C8E" w:rsidRDefault="00E45009" w:rsidP="00E45009">
                  <w:pPr>
                    <w:pStyle w:val="NoSpacing"/>
                    <w:rPr>
                      <w:b/>
                      <w:bCs/>
                      <w:lang w:val="en-GB"/>
                    </w:rPr>
                  </w:pPr>
                  <w:r w:rsidRPr="00081C8E">
                    <w:rPr>
                      <w:b/>
                      <w:bCs/>
                      <w:lang w:val="en-GB"/>
                    </w:rPr>
                    <w:t>Textual coding</w:t>
                  </w:r>
                </w:p>
              </w:tc>
              <w:tc>
                <w:tcPr>
                  <w:tcW w:w="876" w:type="dxa"/>
                  <w:tcBorders>
                    <w:top w:val="nil"/>
                    <w:left w:val="nil"/>
                    <w:bottom w:val="single" w:sz="4" w:space="0" w:color="auto"/>
                    <w:right w:val="nil"/>
                  </w:tcBorders>
                  <w:shd w:val="clear" w:color="000000" w:fill="FFFFFF"/>
                  <w:vAlign w:val="bottom"/>
                  <w:hideMark/>
                </w:tcPr>
                <w:p w14:paraId="44287CEF" w14:textId="77777777" w:rsidR="00E45009" w:rsidRPr="00081C8E" w:rsidRDefault="00E45009" w:rsidP="00E45009">
                  <w:pPr>
                    <w:pStyle w:val="NoSpacing"/>
                    <w:rPr>
                      <w:b/>
                      <w:bCs/>
                      <w:lang w:val="en-GB"/>
                    </w:rPr>
                  </w:pPr>
                  <w:r w:rsidRPr="00081C8E">
                    <w:rPr>
                      <w:b/>
                      <w:bCs/>
                      <w:lang w:val="en-GB"/>
                    </w:rPr>
                    <w:t>Binary coding</w:t>
                  </w:r>
                </w:p>
              </w:tc>
              <w:tc>
                <w:tcPr>
                  <w:tcW w:w="1035" w:type="dxa"/>
                  <w:tcBorders>
                    <w:top w:val="nil"/>
                    <w:left w:val="nil"/>
                    <w:bottom w:val="single" w:sz="4" w:space="0" w:color="auto"/>
                    <w:right w:val="nil"/>
                  </w:tcBorders>
                  <w:shd w:val="clear" w:color="000000" w:fill="FFFFFF"/>
                  <w:noWrap/>
                  <w:vAlign w:val="bottom"/>
                  <w:hideMark/>
                </w:tcPr>
                <w:p w14:paraId="604DB397" w14:textId="77777777" w:rsidR="00E45009" w:rsidRPr="00081C8E" w:rsidRDefault="00E45009" w:rsidP="00E45009">
                  <w:pPr>
                    <w:pStyle w:val="NoSpacing"/>
                    <w:rPr>
                      <w:b/>
                      <w:bCs/>
                      <w:lang w:val="en-GB"/>
                    </w:rPr>
                  </w:pPr>
                  <w:r w:rsidRPr="00081C8E">
                    <w:rPr>
                      <w:b/>
                      <w:bCs/>
                      <w:lang w:val="en-GB"/>
                    </w:rPr>
                    <w:t>Weights</w:t>
                  </w:r>
                </w:p>
              </w:tc>
              <w:tc>
                <w:tcPr>
                  <w:tcW w:w="1066" w:type="dxa"/>
                  <w:tcBorders>
                    <w:top w:val="nil"/>
                    <w:left w:val="nil"/>
                    <w:bottom w:val="single" w:sz="4" w:space="0" w:color="auto"/>
                    <w:right w:val="nil"/>
                  </w:tcBorders>
                  <w:shd w:val="clear" w:color="000000" w:fill="FFFFFF"/>
                  <w:vAlign w:val="bottom"/>
                  <w:hideMark/>
                </w:tcPr>
                <w:p w14:paraId="1FEF8EBC" w14:textId="77777777" w:rsidR="00E45009" w:rsidRPr="00081C8E" w:rsidRDefault="00E45009" w:rsidP="00E45009">
                  <w:pPr>
                    <w:pStyle w:val="NoSpacing"/>
                    <w:rPr>
                      <w:b/>
                      <w:bCs/>
                      <w:lang w:val="en-GB"/>
                    </w:rPr>
                  </w:pPr>
                  <w:r w:rsidRPr="00081C8E">
                    <w:rPr>
                      <w:b/>
                      <w:bCs/>
                      <w:lang w:val="en-GB"/>
                    </w:rPr>
                    <w:t>Binary coding x Weights</w:t>
                  </w:r>
                </w:p>
              </w:tc>
            </w:tr>
            <w:tr w:rsidR="00E45009" w:rsidRPr="00081C8E" w14:paraId="6569D91F" w14:textId="77777777" w:rsidTr="00DB32C0">
              <w:trPr>
                <w:trHeight w:val="255"/>
              </w:trPr>
              <w:tc>
                <w:tcPr>
                  <w:tcW w:w="521" w:type="dxa"/>
                  <w:tcBorders>
                    <w:top w:val="nil"/>
                    <w:left w:val="nil"/>
                    <w:bottom w:val="single" w:sz="4" w:space="0" w:color="auto"/>
                    <w:right w:val="nil"/>
                  </w:tcBorders>
                  <w:shd w:val="clear" w:color="000000" w:fill="FFFFFF"/>
                  <w:noWrap/>
                  <w:hideMark/>
                </w:tcPr>
                <w:p w14:paraId="6D4BC49B" w14:textId="77777777" w:rsidR="00E45009" w:rsidRPr="00081C8E" w:rsidRDefault="00E45009" w:rsidP="00E45009">
                  <w:pPr>
                    <w:pStyle w:val="NoSpacing"/>
                    <w:rPr>
                      <w:lang w:val="en-GB"/>
                    </w:rPr>
                  </w:pPr>
                  <w:r w:rsidRPr="00081C8E">
                    <w:rPr>
                      <w:lang w:val="en-GB"/>
                    </w:rPr>
                    <w:t> </w:t>
                  </w:r>
                </w:p>
              </w:tc>
              <w:tc>
                <w:tcPr>
                  <w:tcW w:w="6001" w:type="dxa"/>
                  <w:tcBorders>
                    <w:top w:val="nil"/>
                    <w:left w:val="nil"/>
                    <w:bottom w:val="single" w:sz="4" w:space="0" w:color="auto"/>
                    <w:right w:val="nil"/>
                  </w:tcBorders>
                  <w:shd w:val="clear" w:color="000000" w:fill="FFFFFF"/>
                  <w:hideMark/>
                </w:tcPr>
                <w:p w14:paraId="0EC2575D" w14:textId="77777777" w:rsidR="00E45009" w:rsidRPr="00081C8E" w:rsidRDefault="00E45009" w:rsidP="00E45009">
                  <w:pPr>
                    <w:pStyle w:val="NoSpacing"/>
                    <w:rPr>
                      <w:b/>
                      <w:bCs/>
                      <w:lang w:val="en-GB"/>
                    </w:rPr>
                  </w:pPr>
                  <w:r w:rsidRPr="00081C8E">
                    <w:rPr>
                      <w:b/>
                      <w:bCs/>
                      <w:lang w:val="en-GB"/>
                    </w:rPr>
                    <w:t>Ia. Fundamental civil liberties in law</w:t>
                  </w:r>
                </w:p>
              </w:tc>
              <w:tc>
                <w:tcPr>
                  <w:tcW w:w="280" w:type="dxa"/>
                  <w:tcBorders>
                    <w:top w:val="nil"/>
                    <w:left w:val="nil"/>
                    <w:bottom w:val="single" w:sz="4" w:space="0" w:color="auto"/>
                    <w:right w:val="nil"/>
                  </w:tcBorders>
                  <w:shd w:val="clear" w:color="000000" w:fill="FFFFFF"/>
                  <w:hideMark/>
                </w:tcPr>
                <w:p w14:paraId="509E315F" w14:textId="77777777" w:rsidR="00E45009" w:rsidRPr="00081C8E" w:rsidRDefault="00E45009" w:rsidP="00E45009">
                  <w:pPr>
                    <w:pStyle w:val="NoSpacing"/>
                    <w:rPr>
                      <w:b/>
                      <w:bCs/>
                      <w:lang w:val="en-GB"/>
                    </w:rPr>
                  </w:pPr>
                  <w:r w:rsidRPr="00081C8E">
                    <w:rPr>
                      <w:b/>
                      <w:bCs/>
                      <w:lang w:val="en-GB"/>
                    </w:rPr>
                    <w:t> </w:t>
                  </w:r>
                </w:p>
              </w:tc>
              <w:tc>
                <w:tcPr>
                  <w:tcW w:w="996" w:type="dxa"/>
                  <w:tcBorders>
                    <w:top w:val="nil"/>
                    <w:left w:val="nil"/>
                    <w:bottom w:val="single" w:sz="4" w:space="0" w:color="auto"/>
                    <w:right w:val="nil"/>
                  </w:tcBorders>
                  <w:shd w:val="clear" w:color="000000" w:fill="FFFFFF"/>
                  <w:noWrap/>
                  <w:hideMark/>
                </w:tcPr>
                <w:p w14:paraId="5FD8F841" w14:textId="77777777" w:rsidR="00E45009" w:rsidRPr="00081C8E" w:rsidRDefault="00E45009" w:rsidP="00E45009">
                  <w:pPr>
                    <w:pStyle w:val="NoSpacing"/>
                    <w:rPr>
                      <w:lang w:val="en-GB"/>
                    </w:rPr>
                  </w:pPr>
                  <w:r w:rsidRPr="00081C8E">
                    <w:rPr>
                      <w:lang w:val="en-GB"/>
                    </w:rPr>
                    <w:t> </w:t>
                  </w:r>
                </w:p>
              </w:tc>
              <w:tc>
                <w:tcPr>
                  <w:tcW w:w="876" w:type="dxa"/>
                  <w:tcBorders>
                    <w:top w:val="nil"/>
                    <w:left w:val="nil"/>
                    <w:bottom w:val="single" w:sz="4" w:space="0" w:color="auto"/>
                    <w:right w:val="nil"/>
                  </w:tcBorders>
                  <w:shd w:val="clear" w:color="000000" w:fill="FFFFFF"/>
                  <w:noWrap/>
                  <w:hideMark/>
                </w:tcPr>
                <w:p w14:paraId="21B8C14A" w14:textId="77777777" w:rsidR="00E45009" w:rsidRPr="00081C8E" w:rsidRDefault="00E45009" w:rsidP="00E45009">
                  <w:pPr>
                    <w:pStyle w:val="NoSpacing"/>
                    <w:rPr>
                      <w:lang w:val="en-GB"/>
                    </w:rPr>
                  </w:pPr>
                  <w:r w:rsidRPr="00081C8E">
                    <w:rPr>
                      <w:lang w:val="en-GB"/>
                    </w:rPr>
                    <w:t> </w:t>
                  </w:r>
                </w:p>
              </w:tc>
              <w:tc>
                <w:tcPr>
                  <w:tcW w:w="1035" w:type="dxa"/>
                  <w:tcBorders>
                    <w:top w:val="nil"/>
                    <w:left w:val="nil"/>
                    <w:bottom w:val="single" w:sz="4" w:space="0" w:color="auto"/>
                    <w:right w:val="nil"/>
                  </w:tcBorders>
                  <w:shd w:val="clear" w:color="000000" w:fill="FFFFFF"/>
                  <w:noWrap/>
                  <w:hideMark/>
                </w:tcPr>
                <w:p w14:paraId="47DBE808" w14:textId="77777777" w:rsidR="00E45009" w:rsidRPr="00081C8E" w:rsidRDefault="00E45009" w:rsidP="00E45009">
                  <w:pPr>
                    <w:pStyle w:val="NoSpacing"/>
                    <w:rPr>
                      <w:lang w:val="en-GB"/>
                    </w:rPr>
                  </w:pPr>
                  <w:r w:rsidRPr="00081C8E">
                    <w:rPr>
                      <w:lang w:val="en-GB"/>
                    </w:rPr>
                    <w:t> </w:t>
                  </w:r>
                </w:p>
              </w:tc>
              <w:tc>
                <w:tcPr>
                  <w:tcW w:w="1066" w:type="dxa"/>
                  <w:tcBorders>
                    <w:top w:val="nil"/>
                    <w:left w:val="nil"/>
                    <w:bottom w:val="single" w:sz="4" w:space="0" w:color="auto"/>
                    <w:right w:val="nil"/>
                  </w:tcBorders>
                  <w:shd w:val="clear" w:color="000000" w:fill="FFFFFF"/>
                  <w:noWrap/>
                  <w:hideMark/>
                </w:tcPr>
                <w:p w14:paraId="5A6164EE" w14:textId="77777777" w:rsidR="00E45009" w:rsidRPr="00081C8E" w:rsidRDefault="00E45009" w:rsidP="00E45009">
                  <w:pPr>
                    <w:pStyle w:val="NoSpacing"/>
                    <w:rPr>
                      <w:lang w:val="en-GB"/>
                    </w:rPr>
                  </w:pPr>
                  <w:r w:rsidRPr="00081C8E">
                    <w:rPr>
                      <w:lang w:val="en-GB"/>
                    </w:rPr>
                    <w:t> </w:t>
                  </w:r>
                </w:p>
              </w:tc>
            </w:tr>
            <w:tr w:rsidR="00E45009" w:rsidRPr="00081C8E" w14:paraId="15DFA4A1"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28BB7239" w14:textId="77777777" w:rsidR="00E45009" w:rsidRPr="00081C8E" w:rsidRDefault="00E45009" w:rsidP="00E45009">
                  <w:pPr>
                    <w:pStyle w:val="NoSpacing"/>
                    <w:rPr>
                      <w:lang w:val="en-GB"/>
                    </w:rPr>
                  </w:pPr>
                  <w:r w:rsidRPr="00081C8E">
                    <w:rPr>
                      <w:lang w:val="en-GB"/>
                    </w:rPr>
                    <w:t>2</w:t>
                  </w:r>
                </w:p>
              </w:tc>
              <w:tc>
                <w:tcPr>
                  <w:tcW w:w="6001" w:type="dxa"/>
                  <w:tcBorders>
                    <w:top w:val="single" w:sz="4" w:space="0" w:color="auto"/>
                    <w:left w:val="nil"/>
                    <w:bottom w:val="single" w:sz="4" w:space="0" w:color="auto"/>
                    <w:right w:val="nil"/>
                  </w:tcBorders>
                  <w:shd w:val="clear" w:color="000000" w:fill="FFFFFF"/>
                  <w:hideMark/>
                </w:tcPr>
                <w:p w14:paraId="3A19C721" w14:textId="77777777" w:rsidR="00E45009" w:rsidRPr="00081C8E" w:rsidRDefault="00E45009" w:rsidP="00E45009">
                  <w:pPr>
                    <w:pStyle w:val="NoSpacing"/>
                    <w:rPr>
                      <w:lang w:val="en-GB"/>
                    </w:rPr>
                  </w:pPr>
                  <w:r w:rsidRPr="00081C8E">
                    <w:rPr>
                      <w:lang w:val="en-GB"/>
                    </w:rPr>
                    <w:t xml:space="preserve">Infringements of trade unionists' basic freedoms </w:t>
                  </w:r>
                </w:p>
              </w:tc>
              <w:tc>
                <w:tcPr>
                  <w:tcW w:w="280" w:type="dxa"/>
                  <w:tcBorders>
                    <w:top w:val="single" w:sz="4" w:space="0" w:color="auto"/>
                    <w:left w:val="nil"/>
                    <w:bottom w:val="single" w:sz="4" w:space="0" w:color="auto"/>
                    <w:right w:val="nil"/>
                  </w:tcBorders>
                  <w:shd w:val="clear" w:color="000000" w:fill="FFFFFF"/>
                  <w:hideMark/>
                </w:tcPr>
                <w:p w14:paraId="09F90F57"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32CE219F" w14:textId="77777777" w:rsidR="00E45009" w:rsidRPr="00081C8E" w:rsidRDefault="00E45009" w:rsidP="00E45009">
                  <w:pPr>
                    <w:pStyle w:val="NoSpacing"/>
                    <w:rPr>
                      <w:lang w:val="en-GB"/>
                    </w:rPr>
                  </w:pPr>
                  <w:r w:rsidRPr="00081C8E">
                    <w:rPr>
                      <w:lang w:val="en-GB"/>
                    </w:rPr>
                    <w:t>i</w:t>
                  </w:r>
                </w:p>
              </w:tc>
              <w:tc>
                <w:tcPr>
                  <w:tcW w:w="876" w:type="dxa"/>
                  <w:tcBorders>
                    <w:top w:val="single" w:sz="4" w:space="0" w:color="auto"/>
                    <w:left w:val="nil"/>
                    <w:bottom w:val="single" w:sz="4" w:space="0" w:color="auto"/>
                    <w:right w:val="nil"/>
                  </w:tcBorders>
                  <w:shd w:val="clear" w:color="000000" w:fill="FFFFFF"/>
                  <w:noWrap/>
                  <w:hideMark/>
                </w:tcPr>
                <w:p w14:paraId="28ECA043"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18CCF978" w14:textId="77777777" w:rsidR="00E45009" w:rsidRPr="00081C8E" w:rsidRDefault="00E45009" w:rsidP="00E45009">
                  <w:pPr>
                    <w:pStyle w:val="NoSpacing"/>
                    <w:rPr>
                      <w:lang w:val="en-GB"/>
                    </w:rPr>
                  </w:pPr>
                  <w:r w:rsidRPr="00081C8E">
                    <w:rPr>
                      <w:lang w:val="en-GB"/>
                    </w:rPr>
                    <w:t>1.93</w:t>
                  </w:r>
                </w:p>
              </w:tc>
              <w:tc>
                <w:tcPr>
                  <w:tcW w:w="1066" w:type="dxa"/>
                  <w:tcBorders>
                    <w:top w:val="single" w:sz="4" w:space="0" w:color="auto"/>
                    <w:left w:val="nil"/>
                    <w:bottom w:val="single" w:sz="4" w:space="0" w:color="auto"/>
                    <w:right w:val="nil"/>
                  </w:tcBorders>
                  <w:shd w:val="clear" w:color="000000" w:fill="FFFFFF"/>
                  <w:noWrap/>
                  <w:hideMark/>
                </w:tcPr>
                <w:p w14:paraId="0A8B1CE1" w14:textId="77777777" w:rsidR="00E45009" w:rsidRPr="00081C8E" w:rsidRDefault="00E45009" w:rsidP="00E45009">
                  <w:pPr>
                    <w:pStyle w:val="NoSpacing"/>
                    <w:rPr>
                      <w:lang w:val="en-GB"/>
                    </w:rPr>
                  </w:pPr>
                  <w:r w:rsidRPr="00081C8E">
                    <w:rPr>
                      <w:lang w:val="en-GB"/>
                    </w:rPr>
                    <w:t>1.93</w:t>
                  </w:r>
                </w:p>
              </w:tc>
            </w:tr>
            <w:tr w:rsidR="00E45009" w:rsidRPr="00081C8E" w14:paraId="21EB944F"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3FBB7381" w14:textId="77777777" w:rsidR="00E45009" w:rsidRPr="00081C8E" w:rsidRDefault="00E45009" w:rsidP="00E45009">
                  <w:pPr>
                    <w:pStyle w:val="NoSpacing"/>
                    <w:rPr>
                      <w:lang w:val="en-GB"/>
                    </w:rPr>
                  </w:pPr>
                  <w:r w:rsidRPr="00081C8E">
                    <w:rPr>
                      <w:lang w:val="en-GB"/>
                    </w:rPr>
                    <w:t> </w:t>
                  </w:r>
                </w:p>
              </w:tc>
              <w:tc>
                <w:tcPr>
                  <w:tcW w:w="6001" w:type="dxa"/>
                  <w:tcBorders>
                    <w:top w:val="single" w:sz="4" w:space="0" w:color="auto"/>
                    <w:left w:val="nil"/>
                    <w:bottom w:val="single" w:sz="4" w:space="0" w:color="auto"/>
                    <w:right w:val="nil"/>
                  </w:tcBorders>
                  <w:shd w:val="clear" w:color="000000" w:fill="FFFFFF"/>
                  <w:hideMark/>
                </w:tcPr>
                <w:p w14:paraId="154AEC7D" w14:textId="77777777" w:rsidR="00E45009" w:rsidRPr="00081C8E" w:rsidRDefault="00E45009" w:rsidP="00E45009">
                  <w:pPr>
                    <w:pStyle w:val="NoSpacing"/>
                    <w:rPr>
                      <w:b/>
                      <w:bCs/>
                      <w:lang w:val="en-GB"/>
                    </w:rPr>
                  </w:pPr>
                  <w:r w:rsidRPr="00081C8E">
                    <w:rPr>
                      <w:b/>
                      <w:bCs/>
                      <w:lang w:val="en-GB"/>
                    </w:rPr>
                    <w:t>Ib. Fundamental civil liberties in practice</w:t>
                  </w:r>
                </w:p>
              </w:tc>
              <w:tc>
                <w:tcPr>
                  <w:tcW w:w="280" w:type="dxa"/>
                  <w:tcBorders>
                    <w:top w:val="single" w:sz="4" w:space="0" w:color="auto"/>
                    <w:left w:val="nil"/>
                    <w:bottom w:val="single" w:sz="4" w:space="0" w:color="auto"/>
                    <w:right w:val="nil"/>
                  </w:tcBorders>
                  <w:shd w:val="clear" w:color="000000" w:fill="FFFFFF"/>
                  <w:hideMark/>
                </w:tcPr>
                <w:p w14:paraId="765F3BF7"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3E8C7AA7"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2E4A1F54"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6CA09801"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67F44AEF" w14:textId="77777777" w:rsidR="00E45009" w:rsidRPr="00081C8E" w:rsidRDefault="00E45009" w:rsidP="00E45009">
                  <w:pPr>
                    <w:pStyle w:val="NoSpacing"/>
                    <w:rPr>
                      <w:lang w:val="en-GB"/>
                    </w:rPr>
                  </w:pPr>
                  <w:r w:rsidRPr="00081C8E">
                    <w:rPr>
                      <w:lang w:val="en-GB"/>
                    </w:rPr>
                    <w:t> </w:t>
                  </w:r>
                </w:p>
              </w:tc>
            </w:tr>
            <w:tr w:rsidR="00E45009" w:rsidRPr="00081C8E" w14:paraId="33FB3ADE"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5A55A3D" w14:textId="77777777" w:rsidR="00E45009" w:rsidRPr="00081C8E" w:rsidRDefault="00E45009" w:rsidP="00E45009">
                  <w:pPr>
                    <w:pStyle w:val="NoSpacing"/>
                    <w:rPr>
                      <w:lang w:val="en-GB"/>
                    </w:rPr>
                  </w:pPr>
                  <w:r w:rsidRPr="00081C8E">
                    <w:rPr>
                      <w:lang w:val="en-GB"/>
                    </w:rPr>
                    <w:t>6</w:t>
                  </w:r>
                </w:p>
              </w:tc>
              <w:tc>
                <w:tcPr>
                  <w:tcW w:w="6001" w:type="dxa"/>
                  <w:tcBorders>
                    <w:top w:val="single" w:sz="4" w:space="0" w:color="auto"/>
                    <w:left w:val="nil"/>
                    <w:bottom w:val="single" w:sz="4" w:space="0" w:color="auto"/>
                    <w:right w:val="nil"/>
                  </w:tcBorders>
                  <w:shd w:val="clear" w:color="000000" w:fill="FFFFFF"/>
                  <w:hideMark/>
                </w:tcPr>
                <w:p w14:paraId="1383B133" w14:textId="77777777" w:rsidR="00E45009" w:rsidRPr="00081C8E" w:rsidRDefault="00E45009" w:rsidP="00E45009">
                  <w:pPr>
                    <w:pStyle w:val="NoSpacing"/>
                    <w:rPr>
                      <w:lang w:val="en-GB"/>
                    </w:rPr>
                  </w:pPr>
                  <w:r w:rsidRPr="00081C8E">
                    <w:rPr>
                      <w:lang w:val="en-GB"/>
                    </w:rPr>
                    <w:t>Killing or disappearance of trade unionists in relation to their trade union activities</w:t>
                  </w:r>
                </w:p>
              </w:tc>
              <w:tc>
                <w:tcPr>
                  <w:tcW w:w="280" w:type="dxa"/>
                  <w:tcBorders>
                    <w:top w:val="single" w:sz="4" w:space="0" w:color="auto"/>
                    <w:left w:val="nil"/>
                    <w:bottom w:val="single" w:sz="4" w:space="0" w:color="auto"/>
                    <w:right w:val="nil"/>
                  </w:tcBorders>
                  <w:shd w:val="clear" w:color="000000" w:fill="FFFFFF"/>
                  <w:hideMark/>
                </w:tcPr>
                <w:p w14:paraId="3E31BF9A"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15905B21" w14:textId="77777777" w:rsidR="00E45009" w:rsidRPr="00081C8E" w:rsidRDefault="00E45009" w:rsidP="00E45009">
                  <w:pPr>
                    <w:pStyle w:val="NoSpacing"/>
                    <w:rPr>
                      <w:lang w:val="en-GB"/>
                    </w:rPr>
                  </w:pPr>
                  <w:r w:rsidRPr="00081C8E">
                    <w:rPr>
                      <w:lang w:val="en-GB"/>
                    </w:rPr>
                    <w:t>fhi</w:t>
                  </w:r>
                </w:p>
              </w:tc>
              <w:tc>
                <w:tcPr>
                  <w:tcW w:w="876" w:type="dxa"/>
                  <w:tcBorders>
                    <w:top w:val="single" w:sz="4" w:space="0" w:color="auto"/>
                    <w:left w:val="nil"/>
                    <w:bottom w:val="single" w:sz="4" w:space="0" w:color="auto"/>
                    <w:right w:val="nil"/>
                  </w:tcBorders>
                  <w:shd w:val="clear" w:color="000000" w:fill="FFFFFF"/>
                  <w:noWrap/>
                  <w:hideMark/>
                </w:tcPr>
                <w:p w14:paraId="5E04AED8"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74B47499" w14:textId="77777777" w:rsidR="00E45009" w:rsidRPr="00081C8E" w:rsidRDefault="00E45009" w:rsidP="00E45009">
                  <w:pPr>
                    <w:pStyle w:val="NoSpacing"/>
                    <w:rPr>
                      <w:lang w:val="en-GB"/>
                    </w:rPr>
                  </w:pPr>
                  <w:r w:rsidRPr="00081C8E">
                    <w:rPr>
                      <w:lang w:val="en-GB"/>
                    </w:rPr>
                    <w:t>2.00</w:t>
                  </w:r>
                </w:p>
              </w:tc>
              <w:tc>
                <w:tcPr>
                  <w:tcW w:w="1066" w:type="dxa"/>
                  <w:tcBorders>
                    <w:top w:val="single" w:sz="4" w:space="0" w:color="auto"/>
                    <w:left w:val="nil"/>
                    <w:bottom w:val="single" w:sz="4" w:space="0" w:color="auto"/>
                    <w:right w:val="nil"/>
                  </w:tcBorders>
                  <w:shd w:val="clear" w:color="000000" w:fill="FFFFFF"/>
                  <w:noWrap/>
                  <w:hideMark/>
                </w:tcPr>
                <w:p w14:paraId="49EA1382" w14:textId="77777777" w:rsidR="00E45009" w:rsidRPr="00081C8E" w:rsidRDefault="00E45009" w:rsidP="00E45009">
                  <w:pPr>
                    <w:pStyle w:val="NoSpacing"/>
                    <w:rPr>
                      <w:lang w:val="en-GB"/>
                    </w:rPr>
                  </w:pPr>
                  <w:r w:rsidRPr="00081C8E">
                    <w:rPr>
                      <w:lang w:val="en-GB"/>
                    </w:rPr>
                    <w:t>2.00</w:t>
                  </w:r>
                </w:p>
              </w:tc>
            </w:tr>
            <w:tr w:rsidR="00E45009" w:rsidRPr="00081C8E" w14:paraId="04D4865B"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480E2BEB" w14:textId="77777777" w:rsidR="00E45009" w:rsidRPr="00081C8E" w:rsidRDefault="00E45009" w:rsidP="00E45009">
                  <w:pPr>
                    <w:pStyle w:val="NoSpacing"/>
                    <w:rPr>
                      <w:lang w:val="en-GB"/>
                    </w:rPr>
                  </w:pPr>
                  <w:r w:rsidRPr="00081C8E">
                    <w:rPr>
                      <w:lang w:val="en-GB"/>
                    </w:rPr>
                    <w:t>9</w:t>
                  </w:r>
                </w:p>
              </w:tc>
              <w:tc>
                <w:tcPr>
                  <w:tcW w:w="6001" w:type="dxa"/>
                  <w:tcBorders>
                    <w:top w:val="single" w:sz="4" w:space="0" w:color="auto"/>
                    <w:left w:val="nil"/>
                    <w:bottom w:val="single" w:sz="4" w:space="0" w:color="auto"/>
                    <w:right w:val="nil"/>
                  </w:tcBorders>
                  <w:shd w:val="clear" w:color="000000" w:fill="FFFFFF"/>
                  <w:hideMark/>
                </w:tcPr>
                <w:p w14:paraId="62B7A4F8" w14:textId="77777777" w:rsidR="00E45009" w:rsidRPr="00081C8E" w:rsidRDefault="00E45009" w:rsidP="00E45009">
                  <w:pPr>
                    <w:pStyle w:val="NoSpacing"/>
                    <w:rPr>
                      <w:lang w:val="en-GB"/>
                    </w:rPr>
                  </w:pPr>
                  <w:r w:rsidRPr="00081C8E">
                    <w:rPr>
                      <w:lang w:val="en-GB"/>
                    </w:rPr>
                    <w:t>Other violent actions against trade unionists  in relation to their trade union activities</w:t>
                  </w:r>
                </w:p>
              </w:tc>
              <w:tc>
                <w:tcPr>
                  <w:tcW w:w="280" w:type="dxa"/>
                  <w:tcBorders>
                    <w:top w:val="single" w:sz="4" w:space="0" w:color="auto"/>
                    <w:left w:val="nil"/>
                    <w:bottom w:val="single" w:sz="4" w:space="0" w:color="auto"/>
                    <w:right w:val="nil"/>
                  </w:tcBorders>
                  <w:shd w:val="clear" w:color="000000" w:fill="FFFFFF"/>
                  <w:hideMark/>
                </w:tcPr>
                <w:p w14:paraId="3A40ACB0"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5E2DB9AC" w14:textId="77777777" w:rsidR="00E45009" w:rsidRPr="00081C8E" w:rsidRDefault="00E45009" w:rsidP="00E45009">
                  <w:pPr>
                    <w:pStyle w:val="NoSpacing"/>
                    <w:rPr>
                      <w:lang w:val="en-GB"/>
                    </w:rPr>
                  </w:pPr>
                  <w:r w:rsidRPr="00081C8E">
                    <w:rPr>
                      <w:lang w:val="en-GB"/>
                    </w:rPr>
                    <w:t>fhi</w:t>
                  </w:r>
                </w:p>
              </w:tc>
              <w:tc>
                <w:tcPr>
                  <w:tcW w:w="876" w:type="dxa"/>
                  <w:tcBorders>
                    <w:top w:val="single" w:sz="4" w:space="0" w:color="auto"/>
                    <w:left w:val="nil"/>
                    <w:bottom w:val="single" w:sz="4" w:space="0" w:color="auto"/>
                    <w:right w:val="nil"/>
                  </w:tcBorders>
                  <w:shd w:val="clear" w:color="000000" w:fill="FFFFFF"/>
                  <w:noWrap/>
                  <w:hideMark/>
                </w:tcPr>
                <w:p w14:paraId="1B38DE3E"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6FB2B36F" w14:textId="77777777" w:rsidR="00E45009" w:rsidRPr="00081C8E" w:rsidRDefault="00E45009" w:rsidP="00E45009">
                  <w:pPr>
                    <w:pStyle w:val="NoSpacing"/>
                    <w:rPr>
                      <w:lang w:val="en-GB"/>
                    </w:rPr>
                  </w:pPr>
                  <w:r w:rsidRPr="00081C8E">
                    <w:rPr>
                      <w:lang w:val="en-GB"/>
                    </w:rPr>
                    <w:t>1.82</w:t>
                  </w:r>
                </w:p>
              </w:tc>
              <w:tc>
                <w:tcPr>
                  <w:tcW w:w="1066" w:type="dxa"/>
                  <w:tcBorders>
                    <w:top w:val="single" w:sz="4" w:space="0" w:color="auto"/>
                    <w:left w:val="nil"/>
                    <w:bottom w:val="single" w:sz="4" w:space="0" w:color="auto"/>
                    <w:right w:val="nil"/>
                  </w:tcBorders>
                  <w:shd w:val="clear" w:color="000000" w:fill="FFFFFF"/>
                  <w:noWrap/>
                  <w:hideMark/>
                </w:tcPr>
                <w:p w14:paraId="359A8B08" w14:textId="77777777" w:rsidR="00E45009" w:rsidRPr="00081C8E" w:rsidRDefault="00E45009" w:rsidP="00E45009">
                  <w:pPr>
                    <w:pStyle w:val="NoSpacing"/>
                    <w:rPr>
                      <w:lang w:val="en-GB"/>
                    </w:rPr>
                  </w:pPr>
                  <w:r w:rsidRPr="00081C8E">
                    <w:rPr>
                      <w:lang w:val="en-GB"/>
                    </w:rPr>
                    <w:t>1.82</w:t>
                  </w:r>
                </w:p>
              </w:tc>
            </w:tr>
            <w:tr w:rsidR="00E45009" w:rsidRPr="00081C8E" w14:paraId="067301E3"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832F95E" w14:textId="77777777" w:rsidR="00E45009" w:rsidRPr="00081C8E" w:rsidRDefault="00E45009" w:rsidP="00E45009">
                  <w:pPr>
                    <w:pStyle w:val="NoSpacing"/>
                    <w:rPr>
                      <w:lang w:val="en-GB"/>
                    </w:rPr>
                  </w:pPr>
                  <w:r w:rsidRPr="00081C8E">
                    <w:rPr>
                      <w:lang w:val="en-GB"/>
                    </w:rPr>
                    <w:t>12</w:t>
                  </w:r>
                </w:p>
              </w:tc>
              <w:tc>
                <w:tcPr>
                  <w:tcW w:w="6001" w:type="dxa"/>
                  <w:tcBorders>
                    <w:top w:val="single" w:sz="4" w:space="0" w:color="auto"/>
                    <w:left w:val="nil"/>
                    <w:bottom w:val="single" w:sz="4" w:space="0" w:color="auto"/>
                    <w:right w:val="nil"/>
                  </w:tcBorders>
                  <w:shd w:val="clear" w:color="000000" w:fill="FFFFFF"/>
                  <w:hideMark/>
                </w:tcPr>
                <w:p w14:paraId="069580B7" w14:textId="77777777" w:rsidR="00E45009" w:rsidRPr="00081C8E" w:rsidRDefault="00E45009" w:rsidP="00E45009">
                  <w:pPr>
                    <w:pStyle w:val="NoSpacing"/>
                    <w:rPr>
                      <w:lang w:val="en-GB"/>
                    </w:rPr>
                  </w:pPr>
                  <w:r w:rsidRPr="00081C8E">
                    <w:rPr>
                      <w:lang w:val="en-GB"/>
                    </w:rPr>
                    <w:t>Arrest, detention, imprisonment, charging and fining of trade unionists in relation to their trade union activities</w:t>
                  </w:r>
                </w:p>
              </w:tc>
              <w:tc>
                <w:tcPr>
                  <w:tcW w:w="280" w:type="dxa"/>
                  <w:tcBorders>
                    <w:top w:val="single" w:sz="4" w:space="0" w:color="auto"/>
                    <w:left w:val="nil"/>
                    <w:bottom w:val="single" w:sz="4" w:space="0" w:color="auto"/>
                    <w:right w:val="nil"/>
                  </w:tcBorders>
                  <w:shd w:val="clear" w:color="000000" w:fill="FFFFFF"/>
                  <w:hideMark/>
                </w:tcPr>
                <w:p w14:paraId="30779FBC"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7837AC10" w14:textId="77777777" w:rsidR="00E45009" w:rsidRPr="00081C8E" w:rsidRDefault="00E45009" w:rsidP="00E45009">
                  <w:pPr>
                    <w:pStyle w:val="NoSpacing"/>
                    <w:rPr>
                      <w:lang w:val="en-GB"/>
                    </w:rPr>
                  </w:pPr>
                  <w:r w:rsidRPr="00081C8E">
                    <w:rPr>
                      <w:lang w:val="en-GB"/>
                    </w:rPr>
                    <w:t>hi</w:t>
                  </w:r>
                </w:p>
              </w:tc>
              <w:tc>
                <w:tcPr>
                  <w:tcW w:w="876" w:type="dxa"/>
                  <w:tcBorders>
                    <w:top w:val="single" w:sz="4" w:space="0" w:color="auto"/>
                    <w:left w:val="nil"/>
                    <w:bottom w:val="single" w:sz="4" w:space="0" w:color="auto"/>
                    <w:right w:val="nil"/>
                  </w:tcBorders>
                  <w:shd w:val="clear" w:color="000000" w:fill="FFFFFF"/>
                  <w:noWrap/>
                  <w:hideMark/>
                </w:tcPr>
                <w:p w14:paraId="0AD0C792"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0684D2EE" w14:textId="77777777" w:rsidR="00E45009" w:rsidRPr="00081C8E" w:rsidRDefault="00E45009" w:rsidP="00E45009">
                  <w:pPr>
                    <w:pStyle w:val="NoSpacing"/>
                    <w:rPr>
                      <w:lang w:val="en-GB"/>
                    </w:rPr>
                  </w:pPr>
                  <w:r w:rsidRPr="00081C8E">
                    <w:rPr>
                      <w:lang w:val="en-GB"/>
                    </w:rPr>
                    <w:t>1.95</w:t>
                  </w:r>
                </w:p>
              </w:tc>
              <w:tc>
                <w:tcPr>
                  <w:tcW w:w="1066" w:type="dxa"/>
                  <w:tcBorders>
                    <w:top w:val="single" w:sz="4" w:space="0" w:color="auto"/>
                    <w:left w:val="nil"/>
                    <w:bottom w:val="single" w:sz="4" w:space="0" w:color="auto"/>
                    <w:right w:val="nil"/>
                  </w:tcBorders>
                  <w:shd w:val="clear" w:color="000000" w:fill="FFFFFF"/>
                  <w:noWrap/>
                  <w:hideMark/>
                </w:tcPr>
                <w:p w14:paraId="309CB25A" w14:textId="77777777" w:rsidR="00E45009" w:rsidRPr="00081C8E" w:rsidRDefault="00E45009" w:rsidP="00E45009">
                  <w:pPr>
                    <w:pStyle w:val="NoSpacing"/>
                    <w:rPr>
                      <w:lang w:val="en-GB"/>
                    </w:rPr>
                  </w:pPr>
                  <w:r w:rsidRPr="00081C8E">
                    <w:rPr>
                      <w:lang w:val="en-GB"/>
                    </w:rPr>
                    <w:t>1.95</w:t>
                  </w:r>
                </w:p>
              </w:tc>
            </w:tr>
            <w:tr w:rsidR="00E45009" w:rsidRPr="00081C8E" w14:paraId="01FADAF3"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051C171E" w14:textId="77777777" w:rsidR="00E45009" w:rsidRPr="00081C8E" w:rsidRDefault="00E45009" w:rsidP="00E45009">
                  <w:pPr>
                    <w:pStyle w:val="NoSpacing"/>
                    <w:rPr>
                      <w:lang w:val="en-GB"/>
                    </w:rPr>
                  </w:pPr>
                  <w:r w:rsidRPr="00081C8E">
                    <w:rPr>
                      <w:lang w:val="en-GB"/>
                    </w:rPr>
                    <w:t> </w:t>
                  </w:r>
                </w:p>
              </w:tc>
              <w:tc>
                <w:tcPr>
                  <w:tcW w:w="6001" w:type="dxa"/>
                  <w:tcBorders>
                    <w:top w:val="single" w:sz="4" w:space="0" w:color="auto"/>
                    <w:left w:val="nil"/>
                    <w:bottom w:val="single" w:sz="4" w:space="0" w:color="auto"/>
                    <w:right w:val="nil"/>
                  </w:tcBorders>
                  <w:shd w:val="clear" w:color="000000" w:fill="FFFFFF"/>
                  <w:hideMark/>
                </w:tcPr>
                <w:p w14:paraId="21AF8F79" w14:textId="77777777" w:rsidR="00E45009" w:rsidRPr="00081C8E" w:rsidRDefault="00E45009" w:rsidP="00E45009">
                  <w:pPr>
                    <w:pStyle w:val="NoSpacing"/>
                    <w:rPr>
                      <w:b/>
                      <w:bCs/>
                      <w:lang w:val="en-GB"/>
                    </w:rPr>
                  </w:pPr>
                  <w:r w:rsidRPr="00081C8E">
                    <w:rPr>
                      <w:b/>
                      <w:bCs/>
                      <w:lang w:val="en-GB"/>
                    </w:rPr>
                    <w:t>IIa. Right of workers to establish and join organizations in law</w:t>
                  </w:r>
                </w:p>
              </w:tc>
              <w:tc>
                <w:tcPr>
                  <w:tcW w:w="280" w:type="dxa"/>
                  <w:tcBorders>
                    <w:top w:val="single" w:sz="4" w:space="0" w:color="auto"/>
                    <w:left w:val="nil"/>
                    <w:bottom w:val="single" w:sz="4" w:space="0" w:color="auto"/>
                    <w:right w:val="nil"/>
                  </w:tcBorders>
                  <w:shd w:val="clear" w:color="000000" w:fill="FFFFFF"/>
                  <w:hideMark/>
                </w:tcPr>
                <w:p w14:paraId="671FE9EC"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4E5E0230"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0786C428"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581FE867"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5B23A842" w14:textId="77777777" w:rsidR="00E45009" w:rsidRPr="00081C8E" w:rsidRDefault="00E45009" w:rsidP="00E45009">
                  <w:pPr>
                    <w:pStyle w:val="NoSpacing"/>
                    <w:rPr>
                      <w:lang w:val="en-GB"/>
                    </w:rPr>
                  </w:pPr>
                  <w:r w:rsidRPr="00081C8E">
                    <w:rPr>
                      <w:lang w:val="en-GB"/>
                    </w:rPr>
                    <w:t> </w:t>
                  </w:r>
                </w:p>
              </w:tc>
            </w:tr>
            <w:tr w:rsidR="00E45009" w:rsidRPr="00081C8E" w14:paraId="0149E436"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0FAE5022" w14:textId="77777777" w:rsidR="00E45009" w:rsidRPr="00081C8E" w:rsidRDefault="00E45009" w:rsidP="00E45009">
                  <w:pPr>
                    <w:pStyle w:val="NoSpacing"/>
                    <w:rPr>
                      <w:lang w:val="en-GB"/>
                    </w:rPr>
                  </w:pPr>
                  <w:r w:rsidRPr="00081C8E">
                    <w:rPr>
                      <w:lang w:val="en-GB"/>
                    </w:rPr>
                    <w:t>25</w:t>
                  </w:r>
                </w:p>
              </w:tc>
              <w:tc>
                <w:tcPr>
                  <w:tcW w:w="6001" w:type="dxa"/>
                  <w:tcBorders>
                    <w:top w:val="single" w:sz="4" w:space="0" w:color="auto"/>
                    <w:left w:val="nil"/>
                    <w:bottom w:val="single" w:sz="4" w:space="0" w:color="auto"/>
                    <w:right w:val="nil"/>
                  </w:tcBorders>
                  <w:shd w:val="clear" w:color="000000" w:fill="FFFFFF"/>
                  <w:hideMark/>
                </w:tcPr>
                <w:p w14:paraId="2D44D024" w14:textId="77777777" w:rsidR="00E45009" w:rsidRPr="00081C8E" w:rsidRDefault="00E45009" w:rsidP="00E45009">
                  <w:pPr>
                    <w:pStyle w:val="NoSpacing"/>
                    <w:rPr>
                      <w:lang w:val="en-GB"/>
                    </w:rPr>
                  </w:pPr>
                  <w:r w:rsidRPr="00081C8E">
                    <w:rPr>
                      <w:lang w:val="en-GB"/>
                    </w:rPr>
                    <w:t>Exclusion of other workers from the right to establish and join organizations</w:t>
                  </w:r>
                </w:p>
              </w:tc>
              <w:tc>
                <w:tcPr>
                  <w:tcW w:w="280" w:type="dxa"/>
                  <w:tcBorders>
                    <w:top w:val="single" w:sz="4" w:space="0" w:color="auto"/>
                    <w:left w:val="nil"/>
                    <w:bottom w:val="single" w:sz="4" w:space="0" w:color="auto"/>
                    <w:right w:val="nil"/>
                  </w:tcBorders>
                  <w:shd w:val="clear" w:color="000000" w:fill="FFFFFF"/>
                  <w:hideMark/>
                </w:tcPr>
                <w:p w14:paraId="43F1D0DE"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2EE69BAF" w14:textId="77777777" w:rsidR="00E45009" w:rsidRPr="00081C8E" w:rsidRDefault="00E45009" w:rsidP="00E45009">
                  <w:pPr>
                    <w:pStyle w:val="NoSpacing"/>
                    <w:rPr>
                      <w:lang w:val="en-GB"/>
                    </w:rPr>
                  </w:pPr>
                  <w:r w:rsidRPr="00081C8E">
                    <w:rPr>
                      <w:lang w:val="en-GB"/>
                    </w:rPr>
                    <w:t>ahi</w:t>
                  </w:r>
                </w:p>
              </w:tc>
              <w:tc>
                <w:tcPr>
                  <w:tcW w:w="876" w:type="dxa"/>
                  <w:tcBorders>
                    <w:top w:val="single" w:sz="4" w:space="0" w:color="auto"/>
                    <w:left w:val="nil"/>
                    <w:bottom w:val="single" w:sz="4" w:space="0" w:color="auto"/>
                    <w:right w:val="nil"/>
                  </w:tcBorders>
                  <w:shd w:val="clear" w:color="000000" w:fill="FFFFFF"/>
                  <w:noWrap/>
                  <w:hideMark/>
                </w:tcPr>
                <w:p w14:paraId="5FEF438B"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78FF0375" w14:textId="77777777" w:rsidR="00E45009" w:rsidRPr="00081C8E" w:rsidRDefault="00E45009" w:rsidP="00E45009">
                  <w:pPr>
                    <w:pStyle w:val="NoSpacing"/>
                    <w:rPr>
                      <w:lang w:val="en-GB"/>
                    </w:rPr>
                  </w:pPr>
                  <w:r w:rsidRPr="00081C8E">
                    <w:rPr>
                      <w:lang w:val="en-GB"/>
                    </w:rPr>
                    <w:t>1.86</w:t>
                  </w:r>
                </w:p>
              </w:tc>
              <w:tc>
                <w:tcPr>
                  <w:tcW w:w="1066" w:type="dxa"/>
                  <w:tcBorders>
                    <w:top w:val="single" w:sz="4" w:space="0" w:color="auto"/>
                    <w:left w:val="nil"/>
                    <w:bottom w:val="single" w:sz="4" w:space="0" w:color="auto"/>
                    <w:right w:val="nil"/>
                  </w:tcBorders>
                  <w:shd w:val="clear" w:color="000000" w:fill="FFFFFF"/>
                  <w:noWrap/>
                  <w:hideMark/>
                </w:tcPr>
                <w:p w14:paraId="6A34A925" w14:textId="77777777" w:rsidR="00E45009" w:rsidRPr="00081C8E" w:rsidRDefault="00E45009" w:rsidP="00E45009">
                  <w:pPr>
                    <w:pStyle w:val="NoSpacing"/>
                    <w:rPr>
                      <w:lang w:val="en-GB"/>
                    </w:rPr>
                  </w:pPr>
                  <w:r w:rsidRPr="00081C8E">
                    <w:rPr>
                      <w:lang w:val="en-GB"/>
                    </w:rPr>
                    <w:t>1.86</w:t>
                  </w:r>
                </w:p>
              </w:tc>
            </w:tr>
            <w:tr w:rsidR="00E45009" w:rsidRPr="00081C8E" w14:paraId="657B5820"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0AC49116" w14:textId="77777777" w:rsidR="00E45009" w:rsidRPr="00081C8E" w:rsidRDefault="00E45009" w:rsidP="00E45009">
                  <w:pPr>
                    <w:pStyle w:val="NoSpacing"/>
                    <w:rPr>
                      <w:lang w:val="en-GB"/>
                    </w:rPr>
                  </w:pPr>
                  <w:r w:rsidRPr="00081C8E">
                    <w:rPr>
                      <w:lang w:val="en-GB"/>
                    </w:rPr>
                    <w:t>31</w:t>
                  </w:r>
                </w:p>
              </w:tc>
              <w:tc>
                <w:tcPr>
                  <w:tcW w:w="6001" w:type="dxa"/>
                  <w:tcBorders>
                    <w:top w:val="single" w:sz="4" w:space="0" w:color="auto"/>
                    <w:left w:val="nil"/>
                    <w:bottom w:val="single" w:sz="4" w:space="0" w:color="auto"/>
                    <w:right w:val="nil"/>
                  </w:tcBorders>
                  <w:shd w:val="clear" w:color="000000" w:fill="FFFFFF"/>
                  <w:hideMark/>
                </w:tcPr>
                <w:p w14:paraId="31FEA594" w14:textId="77777777" w:rsidR="00E45009" w:rsidRPr="00081C8E" w:rsidRDefault="00E45009" w:rsidP="00E45009">
                  <w:pPr>
                    <w:pStyle w:val="NoSpacing"/>
                    <w:rPr>
                      <w:lang w:val="en-GB"/>
                    </w:rPr>
                  </w:pPr>
                  <w:r w:rsidRPr="00081C8E">
                    <w:rPr>
                      <w:lang w:val="en-GB"/>
                    </w:rPr>
                    <w:t>Lack of adequate legal guarantees against anti-union discriminatory measures</w:t>
                  </w:r>
                </w:p>
              </w:tc>
              <w:tc>
                <w:tcPr>
                  <w:tcW w:w="280" w:type="dxa"/>
                  <w:tcBorders>
                    <w:top w:val="single" w:sz="4" w:space="0" w:color="auto"/>
                    <w:left w:val="nil"/>
                    <w:bottom w:val="single" w:sz="4" w:space="0" w:color="auto"/>
                    <w:right w:val="nil"/>
                  </w:tcBorders>
                  <w:shd w:val="clear" w:color="000000" w:fill="FFFFFF"/>
                  <w:hideMark/>
                </w:tcPr>
                <w:p w14:paraId="1122E0AB"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0211BD4E" w14:textId="77777777" w:rsidR="00E45009" w:rsidRPr="00081C8E" w:rsidRDefault="00E45009" w:rsidP="00E45009">
                  <w:pPr>
                    <w:pStyle w:val="NoSpacing"/>
                    <w:rPr>
                      <w:lang w:val="en-GB"/>
                    </w:rPr>
                  </w:pPr>
                  <w:r w:rsidRPr="00081C8E">
                    <w:rPr>
                      <w:lang w:val="en-GB"/>
                    </w:rPr>
                    <w:t>a</w:t>
                  </w:r>
                </w:p>
              </w:tc>
              <w:tc>
                <w:tcPr>
                  <w:tcW w:w="876" w:type="dxa"/>
                  <w:tcBorders>
                    <w:top w:val="single" w:sz="4" w:space="0" w:color="auto"/>
                    <w:left w:val="nil"/>
                    <w:bottom w:val="single" w:sz="4" w:space="0" w:color="auto"/>
                    <w:right w:val="nil"/>
                  </w:tcBorders>
                  <w:shd w:val="clear" w:color="000000" w:fill="FFFFFF"/>
                  <w:noWrap/>
                  <w:hideMark/>
                </w:tcPr>
                <w:p w14:paraId="7D980581"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4C1815D8" w14:textId="77777777" w:rsidR="00E45009" w:rsidRPr="00081C8E" w:rsidRDefault="00E45009" w:rsidP="00E45009">
                  <w:pPr>
                    <w:pStyle w:val="NoSpacing"/>
                    <w:rPr>
                      <w:lang w:val="en-GB"/>
                    </w:rPr>
                  </w:pPr>
                  <w:r w:rsidRPr="00081C8E">
                    <w:rPr>
                      <w:lang w:val="en-GB"/>
                    </w:rPr>
                    <w:t>1.75</w:t>
                  </w:r>
                </w:p>
              </w:tc>
              <w:tc>
                <w:tcPr>
                  <w:tcW w:w="1066" w:type="dxa"/>
                  <w:tcBorders>
                    <w:top w:val="single" w:sz="4" w:space="0" w:color="auto"/>
                    <w:left w:val="nil"/>
                    <w:bottom w:val="single" w:sz="4" w:space="0" w:color="auto"/>
                    <w:right w:val="nil"/>
                  </w:tcBorders>
                  <w:shd w:val="clear" w:color="000000" w:fill="FFFFFF"/>
                  <w:noWrap/>
                  <w:hideMark/>
                </w:tcPr>
                <w:p w14:paraId="530AEEE3" w14:textId="77777777" w:rsidR="00E45009" w:rsidRPr="00081C8E" w:rsidRDefault="00E45009" w:rsidP="00E45009">
                  <w:pPr>
                    <w:pStyle w:val="NoSpacing"/>
                    <w:rPr>
                      <w:lang w:val="en-GB"/>
                    </w:rPr>
                  </w:pPr>
                  <w:r w:rsidRPr="00081C8E">
                    <w:rPr>
                      <w:lang w:val="en-GB"/>
                    </w:rPr>
                    <w:t>1.75</w:t>
                  </w:r>
                </w:p>
              </w:tc>
            </w:tr>
            <w:tr w:rsidR="00E45009" w:rsidRPr="00081C8E" w14:paraId="638FF2A1"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47F09F69" w14:textId="77777777" w:rsidR="00E45009" w:rsidRPr="00081C8E" w:rsidRDefault="00E45009" w:rsidP="00E45009">
                  <w:pPr>
                    <w:pStyle w:val="NoSpacing"/>
                    <w:rPr>
                      <w:lang w:val="en-GB"/>
                    </w:rPr>
                  </w:pPr>
                  <w:r w:rsidRPr="00081C8E">
                    <w:rPr>
                      <w:lang w:val="en-GB"/>
                    </w:rPr>
                    <w:t>34</w:t>
                  </w:r>
                </w:p>
              </w:tc>
              <w:tc>
                <w:tcPr>
                  <w:tcW w:w="6001" w:type="dxa"/>
                  <w:tcBorders>
                    <w:top w:val="single" w:sz="4" w:space="0" w:color="auto"/>
                    <w:left w:val="nil"/>
                    <w:bottom w:val="single" w:sz="4" w:space="0" w:color="auto"/>
                    <w:right w:val="nil"/>
                  </w:tcBorders>
                  <w:shd w:val="clear" w:color="000000" w:fill="FFFFFF"/>
                  <w:hideMark/>
                </w:tcPr>
                <w:p w14:paraId="75206C89" w14:textId="77777777" w:rsidR="00E45009" w:rsidRPr="00081C8E" w:rsidRDefault="00E45009" w:rsidP="00E45009">
                  <w:pPr>
                    <w:pStyle w:val="NoSpacing"/>
                    <w:rPr>
                      <w:lang w:val="en-GB"/>
                    </w:rPr>
                  </w:pPr>
                  <w:r w:rsidRPr="00081C8E">
                    <w:rPr>
                      <w:lang w:val="en-GB"/>
                    </w:rPr>
                    <w:t xml:space="preserve">Infringements of the right to establish and join </w:t>
                  </w:r>
                  <w:r w:rsidRPr="00081C8E">
                    <w:rPr>
                      <w:lang w:val="en-GB"/>
                    </w:rPr>
                    <w:lastRenderedPageBreak/>
                    <w:t>federations/confederations/international organizations</w:t>
                  </w:r>
                </w:p>
              </w:tc>
              <w:tc>
                <w:tcPr>
                  <w:tcW w:w="280" w:type="dxa"/>
                  <w:tcBorders>
                    <w:top w:val="single" w:sz="4" w:space="0" w:color="auto"/>
                    <w:left w:val="nil"/>
                    <w:bottom w:val="single" w:sz="4" w:space="0" w:color="auto"/>
                    <w:right w:val="nil"/>
                  </w:tcBorders>
                  <w:shd w:val="clear" w:color="000000" w:fill="FFFFFF"/>
                  <w:hideMark/>
                </w:tcPr>
                <w:p w14:paraId="77F0CB76" w14:textId="77777777" w:rsidR="00E45009" w:rsidRPr="00081C8E" w:rsidRDefault="00E45009" w:rsidP="00E45009">
                  <w:pPr>
                    <w:pStyle w:val="NoSpacing"/>
                    <w:rPr>
                      <w:lang w:val="en-GB"/>
                    </w:rPr>
                  </w:pPr>
                  <w:r w:rsidRPr="00081C8E">
                    <w:rPr>
                      <w:lang w:val="en-GB"/>
                    </w:rPr>
                    <w:lastRenderedPageBreak/>
                    <w:t> </w:t>
                  </w:r>
                </w:p>
              </w:tc>
              <w:tc>
                <w:tcPr>
                  <w:tcW w:w="996" w:type="dxa"/>
                  <w:tcBorders>
                    <w:top w:val="single" w:sz="4" w:space="0" w:color="auto"/>
                    <w:left w:val="nil"/>
                    <w:bottom w:val="single" w:sz="4" w:space="0" w:color="auto"/>
                    <w:right w:val="nil"/>
                  </w:tcBorders>
                  <w:shd w:val="clear" w:color="000000" w:fill="FFFFFF"/>
                  <w:noWrap/>
                  <w:hideMark/>
                </w:tcPr>
                <w:p w14:paraId="6BBA6C45" w14:textId="77777777" w:rsidR="00E45009" w:rsidRPr="00081C8E" w:rsidRDefault="00E45009" w:rsidP="00E45009">
                  <w:pPr>
                    <w:pStyle w:val="NoSpacing"/>
                    <w:rPr>
                      <w:lang w:val="en-GB"/>
                    </w:rPr>
                  </w:pPr>
                  <w:r w:rsidRPr="00081C8E">
                    <w:rPr>
                      <w:lang w:val="en-GB"/>
                    </w:rPr>
                    <w:t>abhi</w:t>
                  </w:r>
                </w:p>
              </w:tc>
              <w:tc>
                <w:tcPr>
                  <w:tcW w:w="876" w:type="dxa"/>
                  <w:tcBorders>
                    <w:top w:val="single" w:sz="4" w:space="0" w:color="auto"/>
                    <w:left w:val="nil"/>
                    <w:bottom w:val="single" w:sz="4" w:space="0" w:color="auto"/>
                    <w:right w:val="nil"/>
                  </w:tcBorders>
                  <w:shd w:val="clear" w:color="000000" w:fill="FFFFFF"/>
                  <w:noWrap/>
                  <w:hideMark/>
                </w:tcPr>
                <w:p w14:paraId="69D87D63"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314F3594" w14:textId="77777777" w:rsidR="00E45009" w:rsidRPr="00081C8E" w:rsidRDefault="00E45009" w:rsidP="00E45009">
                  <w:pPr>
                    <w:pStyle w:val="NoSpacing"/>
                    <w:rPr>
                      <w:lang w:val="en-GB"/>
                    </w:rPr>
                  </w:pPr>
                  <w:r w:rsidRPr="00081C8E">
                    <w:rPr>
                      <w:lang w:val="en-GB"/>
                    </w:rPr>
                    <w:t>1.73</w:t>
                  </w:r>
                </w:p>
              </w:tc>
              <w:tc>
                <w:tcPr>
                  <w:tcW w:w="1066" w:type="dxa"/>
                  <w:tcBorders>
                    <w:top w:val="single" w:sz="4" w:space="0" w:color="auto"/>
                    <w:left w:val="nil"/>
                    <w:bottom w:val="single" w:sz="4" w:space="0" w:color="auto"/>
                    <w:right w:val="nil"/>
                  </w:tcBorders>
                  <w:shd w:val="clear" w:color="000000" w:fill="FFFFFF"/>
                  <w:noWrap/>
                  <w:hideMark/>
                </w:tcPr>
                <w:p w14:paraId="46C736D9" w14:textId="77777777" w:rsidR="00E45009" w:rsidRPr="00081C8E" w:rsidRDefault="00E45009" w:rsidP="00E45009">
                  <w:pPr>
                    <w:pStyle w:val="NoSpacing"/>
                    <w:rPr>
                      <w:lang w:val="en-GB"/>
                    </w:rPr>
                  </w:pPr>
                  <w:r w:rsidRPr="00081C8E">
                    <w:rPr>
                      <w:lang w:val="en-GB"/>
                    </w:rPr>
                    <w:t>1.73</w:t>
                  </w:r>
                </w:p>
              </w:tc>
            </w:tr>
            <w:tr w:rsidR="00E45009" w:rsidRPr="00081C8E" w14:paraId="5DC40634"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245BF57D" w14:textId="77777777" w:rsidR="00E45009" w:rsidRPr="00081C8E" w:rsidRDefault="00E45009" w:rsidP="00E45009">
                  <w:pPr>
                    <w:pStyle w:val="NoSpacing"/>
                    <w:rPr>
                      <w:lang w:val="en-GB"/>
                    </w:rPr>
                  </w:pPr>
                  <w:r w:rsidRPr="00081C8E">
                    <w:rPr>
                      <w:lang w:val="en-GB"/>
                    </w:rPr>
                    <w:lastRenderedPageBreak/>
                    <w:t> </w:t>
                  </w:r>
                </w:p>
              </w:tc>
              <w:tc>
                <w:tcPr>
                  <w:tcW w:w="6001" w:type="dxa"/>
                  <w:tcBorders>
                    <w:top w:val="single" w:sz="4" w:space="0" w:color="auto"/>
                    <w:left w:val="nil"/>
                    <w:bottom w:val="single" w:sz="4" w:space="0" w:color="auto"/>
                    <w:right w:val="nil"/>
                  </w:tcBorders>
                  <w:shd w:val="clear" w:color="000000" w:fill="FFFFFF"/>
                  <w:hideMark/>
                </w:tcPr>
                <w:p w14:paraId="76E57E92" w14:textId="77777777" w:rsidR="00E45009" w:rsidRPr="00081C8E" w:rsidRDefault="00E45009" w:rsidP="00E45009">
                  <w:pPr>
                    <w:pStyle w:val="NoSpacing"/>
                    <w:rPr>
                      <w:b/>
                      <w:bCs/>
                      <w:lang w:val="en-GB"/>
                    </w:rPr>
                  </w:pPr>
                  <w:r w:rsidRPr="00081C8E">
                    <w:rPr>
                      <w:b/>
                      <w:bCs/>
                      <w:lang w:val="en-GB"/>
                    </w:rPr>
                    <w:t>IIb. Right of workers to establish and join organizations in practice</w:t>
                  </w:r>
                </w:p>
              </w:tc>
              <w:tc>
                <w:tcPr>
                  <w:tcW w:w="280" w:type="dxa"/>
                  <w:tcBorders>
                    <w:top w:val="single" w:sz="4" w:space="0" w:color="auto"/>
                    <w:left w:val="nil"/>
                    <w:bottom w:val="single" w:sz="4" w:space="0" w:color="auto"/>
                    <w:right w:val="nil"/>
                  </w:tcBorders>
                  <w:shd w:val="clear" w:color="000000" w:fill="FFFFFF"/>
                  <w:hideMark/>
                </w:tcPr>
                <w:p w14:paraId="5D358FCA"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6ADA0FD2"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4A9DEA84"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273AB447"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1222D7F8" w14:textId="77777777" w:rsidR="00E45009" w:rsidRPr="00081C8E" w:rsidRDefault="00E45009" w:rsidP="00E45009">
                  <w:pPr>
                    <w:pStyle w:val="NoSpacing"/>
                    <w:rPr>
                      <w:lang w:val="en-GB"/>
                    </w:rPr>
                  </w:pPr>
                  <w:r w:rsidRPr="00081C8E">
                    <w:rPr>
                      <w:lang w:val="en-GB"/>
                    </w:rPr>
                    <w:t> </w:t>
                  </w:r>
                </w:p>
              </w:tc>
            </w:tr>
            <w:tr w:rsidR="00E45009" w:rsidRPr="00081C8E" w14:paraId="2AD2A773"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442EF32C" w14:textId="77777777" w:rsidR="00E45009" w:rsidRPr="00081C8E" w:rsidRDefault="00E45009" w:rsidP="00E45009">
                  <w:pPr>
                    <w:pStyle w:val="NoSpacing"/>
                    <w:rPr>
                      <w:lang w:val="en-GB"/>
                    </w:rPr>
                  </w:pPr>
                  <w:r w:rsidRPr="00081C8E">
                    <w:rPr>
                      <w:lang w:val="en-GB"/>
                    </w:rPr>
                    <w:t>39</w:t>
                  </w:r>
                </w:p>
              </w:tc>
              <w:tc>
                <w:tcPr>
                  <w:tcW w:w="6001" w:type="dxa"/>
                  <w:tcBorders>
                    <w:top w:val="single" w:sz="4" w:space="0" w:color="auto"/>
                    <w:left w:val="nil"/>
                    <w:bottom w:val="single" w:sz="4" w:space="0" w:color="auto"/>
                    <w:right w:val="nil"/>
                  </w:tcBorders>
                  <w:shd w:val="clear" w:color="000000" w:fill="FFFFFF"/>
                  <w:hideMark/>
                </w:tcPr>
                <w:p w14:paraId="5833C99B" w14:textId="77777777" w:rsidR="00E45009" w:rsidRPr="00081C8E" w:rsidRDefault="00E45009" w:rsidP="00E45009">
                  <w:pPr>
                    <w:pStyle w:val="NoSpacing"/>
                    <w:rPr>
                      <w:lang w:val="en-GB"/>
                    </w:rPr>
                  </w:pPr>
                  <w:r w:rsidRPr="00081C8E">
                    <w:rPr>
                      <w:lang w:val="en-GB"/>
                    </w:rPr>
                    <w:t>Previous authorization requirements</w:t>
                  </w:r>
                </w:p>
              </w:tc>
              <w:tc>
                <w:tcPr>
                  <w:tcW w:w="280" w:type="dxa"/>
                  <w:tcBorders>
                    <w:top w:val="single" w:sz="4" w:space="0" w:color="auto"/>
                    <w:left w:val="nil"/>
                    <w:bottom w:val="single" w:sz="4" w:space="0" w:color="auto"/>
                    <w:right w:val="nil"/>
                  </w:tcBorders>
                  <w:shd w:val="clear" w:color="000000" w:fill="FFFFFF"/>
                  <w:hideMark/>
                </w:tcPr>
                <w:p w14:paraId="55CA2B5B"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47EE190D" w14:textId="77777777" w:rsidR="00E45009" w:rsidRPr="00081C8E" w:rsidRDefault="00E45009" w:rsidP="00E45009">
                  <w:pPr>
                    <w:pStyle w:val="NoSpacing"/>
                    <w:rPr>
                      <w:lang w:val="en-GB"/>
                    </w:rPr>
                  </w:pPr>
                  <w:r w:rsidRPr="00081C8E">
                    <w:rPr>
                      <w:lang w:val="en-GB"/>
                    </w:rPr>
                    <w:t>fhi</w:t>
                  </w:r>
                </w:p>
              </w:tc>
              <w:tc>
                <w:tcPr>
                  <w:tcW w:w="876" w:type="dxa"/>
                  <w:tcBorders>
                    <w:top w:val="single" w:sz="4" w:space="0" w:color="auto"/>
                    <w:left w:val="nil"/>
                    <w:bottom w:val="single" w:sz="4" w:space="0" w:color="auto"/>
                    <w:right w:val="nil"/>
                  </w:tcBorders>
                  <w:shd w:val="clear" w:color="000000" w:fill="FFFFFF"/>
                  <w:noWrap/>
                  <w:hideMark/>
                </w:tcPr>
                <w:p w14:paraId="1443DD25"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0A878A9E" w14:textId="77777777" w:rsidR="00E45009" w:rsidRPr="00081C8E" w:rsidRDefault="00E45009" w:rsidP="00E45009">
                  <w:pPr>
                    <w:pStyle w:val="NoSpacing"/>
                    <w:rPr>
                      <w:lang w:val="en-GB"/>
                    </w:rPr>
                  </w:pPr>
                  <w:r w:rsidRPr="00081C8E">
                    <w:rPr>
                      <w:lang w:val="en-GB"/>
                    </w:rPr>
                    <w:t>1.70</w:t>
                  </w:r>
                </w:p>
              </w:tc>
              <w:tc>
                <w:tcPr>
                  <w:tcW w:w="1066" w:type="dxa"/>
                  <w:tcBorders>
                    <w:top w:val="single" w:sz="4" w:space="0" w:color="auto"/>
                    <w:left w:val="nil"/>
                    <w:bottom w:val="single" w:sz="4" w:space="0" w:color="auto"/>
                    <w:right w:val="nil"/>
                  </w:tcBorders>
                  <w:shd w:val="clear" w:color="000000" w:fill="FFFFFF"/>
                  <w:noWrap/>
                  <w:hideMark/>
                </w:tcPr>
                <w:p w14:paraId="0CDD8F64" w14:textId="77777777" w:rsidR="00E45009" w:rsidRPr="00081C8E" w:rsidRDefault="00E45009" w:rsidP="00E45009">
                  <w:pPr>
                    <w:pStyle w:val="NoSpacing"/>
                    <w:rPr>
                      <w:lang w:val="en-GB"/>
                    </w:rPr>
                  </w:pPr>
                  <w:r w:rsidRPr="00081C8E">
                    <w:rPr>
                      <w:lang w:val="en-GB"/>
                    </w:rPr>
                    <w:t>1.70</w:t>
                  </w:r>
                </w:p>
              </w:tc>
            </w:tr>
            <w:tr w:rsidR="00E45009" w:rsidRPr="00081C8E" w14:paraId="521E1E80"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E6EC27D" w14:textId="77777777" w:rsidR="00E45009" w:rsidRPr="00081C8E" w:rsidRDefault="00E45009" w:rsidP="00E45009">
                  <w:pPr>
                    <w:pStyle w:val="NoSpacing"/>
                    <w:rPr>
                      <w:lang w:val="en-GB"/>
                    </w:rPr>
                  </w:pPr>
                  <w:r w:rsidRPr="00081C8E">
                    <w:rPr>
                      <w:lang w:val="en-GB"/>
                    </w:rPr>
                    <w:t>44</w:t>
                  </w:r>
                </w:p>
              </w:tc>
              <w:tc>
                <w:tcPr>
                  <w:tcW w:w="6001" w:type="dxa"/>
                  <w:tcBorders>
                    <w:top w:val="single" w:sz="4" w:space="0" w:color="auto"/>
                    <w:left w:val="nil"/>
                    <w:bottom w:val="single" w:sz="4" w:space="0" w:color="auto"/>
                    <w:right w:val="nil"/>
                  </w:tcBorders>
                  <w:shd w:val="clear" w:color="000000" w:fill="FFFFFF"/>
                  <w:hideMark/>
                </w:tcPr>
                <w:p w14:paraId="2A281BD7" w14:textId="77777777" w:rsidR="00E45009" w:rsidRPr="00081C8E" w:rsidRDefault="00E45009" w:rsidP="00E45009">
                  <w:pPr>
                    <w:pStyle w:val="NoSpacing"/>
                    <w:rPr>
                      <w:lang w:val="en-GB"/>
                    </w:rPr>
                  </w:pPr>
                  <w:r w:rsidRPr="00081C8E">
                    <w:rPr>
                      <w:lang w:val="en-GB"/>
                    </w:rPr>
                    <w:t>Committed against trade union officials re violation no. 43</w:t>
                  </w:r>
                </w:p>
              </w:tc>
              <w:tc>
                <w:tcPr>
                  <w:tcW w:w="280" w:type="dxa"/>
                  <w:tcBorders>
                    <w:top w:val="single" w:sz="4" w:space="0" w:color="auto"/>
                    <w:left w:val="nil"/>
                    <w:bottom w:val="single" w:sz="4" w:space="0" w:color="auto"/>
                    <w:right w:val="nil"/>
                  </w:tcBorders>
                  <w:shd w:val="clear" w:color="000000" w:fill="FFFFFF"/>
                  <w:hideMark/>
                </w:tcPr>
                <w:p w14:paraId="5FC0C645"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018323A1" w14:textId="77777777" w:rsidR="00E45009" w:rsidRPr="00081C8E" w:rsidRDefault="00E45009" w:rsidP="00E45009">
                  <w:pPr>
                    <w:pStyle w:val="NoSpacing"/>
                    <w:rPr>
                      <w:lang w:val="en-GB"/>
                    </w:rPr>
                  </w:pPr>
                  <w:r w:rsidRPr="00081C8E">
                    <w:rPr>
                      <w:lang w:val="en-GB"/>
                    </w:rPr>
                    <w:t>hi</w:t>
                  </w:r>
                </w:p>
              </w:tc>
              <w:tc>
                <w:tcPr>
                  <w:tcW w:w="876" w:type="dxa"/>
                  <w:tcBorders>
                    <w:top w:val="single" w:sz="4" w:space="0" w:color="auto"/>
                    <w:left w:val="nil"/>
                    <w:bottom w:val="single" w:sz="4" w:space="0" w:color="auto"/>
                    <w:right w:val="nil"/>
                  </w:tcBorders>
                  <w:shd w:val="clear" w:color="000000" w:fill="FFFFFF"/>
                  <w:noWrap/>
                  <w:hideMark/>
                </w:tcPr>
                <w:p w14:paraId="1EFA93CF"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0E052825" w14:textId="77777777" w:rsidR="00E45009" w:rsidRPr="00081C8E" w:rsidRDefault="00E45009" w:rsidP="00E45009">
                  <w:pPr>
                    <w:pStyle w:val="NoSpacing"/>
                    <w:rPr>
                      <w:lang w:val="en-GB"/>
                    </w:rPr>
                  </w:pPr>
                  <w:r w:rsidRPr="00081C8E">
                    <w:rPr>
                      <w:lang w:val="en-GB"/>
                    </w:rPr>
                    <w:t>1.89</w:t>
                  </w:r>
                </w:p>
              </w:tc>
              <w:tc>
                <w:tcPr>
                  <w:tcW w:w="1066" w:type="dxa"/>
                  <w:tcBorders>
                    <w:top w:val="single" w:sz="4" w:space="0" w:color="auto"/>
                    <w:left w:val="nil"/>
                    <w:bottom w:val="single" w:sz="4" w:space="0" w:color="auto"/>
                    <w:right w:val="nil"/>
                  </w:tcBorders>
                  <w:shd w:val="clear" w:color="000000" w:fill="FFFFFF"/>
                  <w:noWrap/>
                  <w:hideMark/>
                </w:tcPr>
                <w:p w14:paraId="76E1DE67" w14:textId="77777777" w:rsidR="00E45009" w:rsidRPr="00081C8E" w:rsidRDefault="00E45009" w:rsidP="00E45009">
                  <w:pPr>
                    <w:pStyle w:val="NoSpacing"/>
                    <w:rPr>
                      <w:lang w:val="en-GB"/>
                    </w:rPr>
                  </w:pPr>
                  <w:r w:rsidRPr="00081C8E">
                    <w:rPr>
                      <w:lang w:val="en-GB"/>
                    </w:rPr>
                    <w:t>1.89</w:t>
                  </w:r>
                </w:p>
              </w:tc>
            </w:tr>
            <w:tr w:rsidR="00E45009" w:rsidRPr="00081C8E" w14:paraId="6703BAEC"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884E725" w14:textId="77777777" w:rsidR="00E45009" w:rsidRPr="00081C8E" w:rsidRDefault="00E45009" w:rsidP="00E45009">
                  <w:pPr>
                    <w:pStyle w:val="NoSpacing"/>
                    <w:rPr>
                      <w:lang w:val="en-GB"/>
                    </w:rPr>
                  </w:pPr>
                  <w:r w:rsidRPr="00081C8E">
                    <w:rPr>
                      <w:lang w:val="en-GB"/>
                    </w:rPr>
                    <w:t>45</w:t>
                  </w:r>
                </w:p>
              </w:tc>
              <w:tc>
                <w:tcPr>
                  <w:tcW w:w="6001" w:type="dxa"/>
                  <w:tcBorders>
                    <w:top w:val="single" w:sz="4" w:space="0" w:color="auto"/>
                    <w:left w:val="nil"/>
                    <w:bottom w:val="single" w:sz="4" w:space="0" w:color="auto"/>
                    <w:right w:val="nil"/>
                  </w:tcBorders>
                  <w:shd w:val="clear" w:color="000000" w:fill="FFFFFF"/>
                  <w:hideMark/>
                </w:tcPr>
                <w:p w14:paraId="4DA45DB1" w14:textId="77777777" w:rsidR="00E45009" w:rsidRPr="00081C8E" w:rsidRDefault="00E45009" w:rsidP="00E45009">
                  <w:pPr>
                    <w:pStyle w:val="NoSpacing"/>
                    <w:rPr>
                      <w:lang w:val="en-GB"/>
                    </w:rPr>
                  </w:pPr>
                  <w:r w:rsidRPr="00081C8E">
                    <w:rPr>
                      <w:lang w:val="en-GB"/>
                    </w:rPr>
                    <w:t>Lack of guarantee of due process and/or justice re violation no. 43</w:t>
                  </w:r>
                </w:p>
              </w:tc>
              <w:tc>
                <w:tcPr>
                  <w:tcW w:w="280" w:type="dxa"/>
                  <w:tcBorders>
                    <w:top w:val="single" w:sz="4" w:space="0" w:color="auto"/>
                    <w:left w:val="nil"/>
                    <w:bottom w:val="single" w:sz="4" w:space="0" w:color="auto"/>
                    <w:right w:val="nil"/>
                  </w:tcBorders>
                  <w:shd w:val="clear" w:color="000000" w:fill="FFFFFF"/>
                  <w:hideMark/>
                </w:tcPr>
                <w:p w14:paraId="35AB34AE"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0410C7D6" w14:textId="77777777" w:rsidR="00E45009" w:rsidRPr="00081C8E" w:rsidRDefault="00E45009" w:rsidP="00E45009">
                  <w:pPr>
                    <w:pStyle w:val="NoSpacing"/>
                    <w:rPr>
                      <w:lang w:val="en-GB"/>
                    </w:rPr>
                  </w:pPr>
                  <w:r w:rsidRPr="00081C8E">
                    <w:rPr>
                      <w:lang w:val="en-GB"/>
                    </w:rPr>
                    <w:t>hi</w:t>
                  </w:r>
                </w:p>
              </w:tc>
              <w:tc>
                <w:tcPr>
                  <w:tcW w:w="876" w:type="dxa"/>
                  <w:tcBorders>
                    <w:top w:val="single" w:sz="4" w:space="0" w:color="auto"/>
                    <w:left w:val="nil"/>
                    <w:bottom w:val="single" w:sz="4" w:space="0" w:color="auto"/>
                    <w:right w:val="nil"/>
                  </w:tcBorders>
                  <w:shd w:val="clear" w:color="000000" w:fill="FFFFFF"/>
                  <w:noWrap/>
                  <w:hideMark/>
                </w:tcPr>
                <w:p w14:paraId="12CF214E"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2F3D6888" w14:textId="77777777" w:rsidR="00E45009" w:rsidRPr="00081C8E" w:rsidRDefault="00E45009" w:rsidP="00E45009">
                  <w:pPr>
                    <w:pStyle w:val="NoSpacing"/>
                    <w:rPr>
                      <w:lang w:val="en-GB"/>
                    </w:rPr>
                  </w:pPr>
                  <w:r w:rsidRPr="00081C8E">
                    <w:rPr>
                      <w:lang w:val="en-GB"/>
                    </w:rPr>
                    <w:t>1.80</w:t>
                  </w:r>
                </w:p>
              </w:tc>
              <w:tc>
                <w:tcPr>
                  <w:tcW w:w="1066" w:type="dxa"/>
                  <w:tcBorders>
                    <w:top w:val="single" w:sz="4" w:space="0" w:color="auto"/>
                    <w:left w:val="nil"/>
                    <w:bottom w:val="single" w:sz="4" w:space="0" w:color="auto"/>
                    <w:right w:val="nil"/>
                  </w:tcBorders>
                  <w:shd w:val="clear" w:color="000000" w:fill="FFFFFF"/>
                  <w:noWrap/>
                  <w:hideMark/>
                </w:tcPr>
                <w:p w14:paraId="61DFEFE9" w14:textId="77777777" w:rsidR="00E45009" w:rsidRPr="00081C8E" w:rsidRDefault="00E45009" w:rsidP="00E45009">
                  <w:pPr>
                    <w:pStyle w:val="NoSpacing"/>
                    <w:rPr>
                      <w:lang w:val="en-GB"/>
                    </w:rPr>
                  </w:pPr>
                  <w:r w:rsidRPr="00081C8E">
                    <w:rPr>
                      <w:lang w:val="en-GB"/>
                    </w:rPr>
                    <w:t>1.80</w:t>
                  </w:r>
                </w:p>
              </w:tc>
            </w:tr>
            <w:tr w:rsidR="00E45009" w:rsidRPr="00081C8E" w14:paraId="70DE3FC7"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1526E48D" w14:textId="77777777" w:rsidR="00E45009" w:rsidRPr="00081C8E" w:rsidRDefault="00E45009" w:rsidP="00E45009">
                  <w:pPr>
                    <w:pStyle w:val="NoSpacing"/>
                    <w:rPr>
                      <w:lang w:val="en-GB"/>
                    </w:rPr>
                  </w:pPr>
                  <w:r w:rsidRPr="00081C8E">
                    <w:rPr>
                      <w:lang w:val="en-GB"/>
                    </w:rPr>
                    <w:t> </w:t>
                  </w:r>
                </w:p>
              </w:tc>
              <w:tc>
                <w:tcPr>
                  <w:tcW w:w="6001" w:type="dxa"/>
                  <w:tcBorders>
                    <w:top w:val="single" w:sz="4" w:space="0" w:color="auto"/>
                    <w:left w:val="nil"/>
                    <w:bottom w:val="single" w:sz="4" w:space="0" w:color="auto"/>
                    <w:right w:val="nil"/>
                  </w:tcBorders>
                  <w:shd w:val="clear" w:color="000000" w:fill="FFFFFF"/>
                  <w:hideMark/>
                </w:tcPr>
                <w:p w14:paraId="101AAF85" w14:textId="77777777" w:rsidR="00E45009" w:rsidRPr="00081C8E" w:rsidRDefault="00E45009" w:rsidP="00E45009">
                  <w:pPr>
                    <w:pStyle w:val="NoSpacing"/>
                    <w:rPr>
                      <w:b/>
                      <w:bCs/>
                      <w:lang w:val="en-GB"/>
                    </w:rPr>
                  </w:pPr>
                  <w:r w:rsidRPr="00081C8E">
                    <w:rPr>
                      <w:b/>
                      <w:bCs/>
                      <w:lang w:val="en-GB"/>
                    </w:rPr>
                    <w:t>IIIa. Other union activities in law</w:t>
                  </w:r>
                </w:p>
              </w:tc>
              <w:tc>
                <w:tcPr>
                  <w:tcW w:w="280" w:type="dxa"/>
                  <w:tcBorders>
                    <w:top w:val="single" w:sz="4" w:space="0" w:color="auto"/>
                    <w:left w:val="nil"/>
                    <w:bottom w:val="single" w:sz="4" w:space="0" w:color="auto"/>
                    <w:right w:val="nil"/>
                  </w:tcBorders>
                  <w:shd w:val="clear" w:color="000000" w:fill="FFFFFF"/>
                  <w:hideMark/>
                </w:tcPr>
                <w:p w14:paraId="6ACC40EE"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38E3CC78"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1627E18D"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13049C6B"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32F15F35" w14:textId="77777777" w:rsidR="00E45009" w:rsidRPr="00081C8E" w:rsidRDefault="00E45009" w:rsidP="00E45009">
                  <w:pPr>
                    <w:pStyle w:val="NoSpacing"/>
                    <w:rPr>
                      <w:lang w:val="en-GB"/>
                    </w:rPr>
                  </w:pPr>
                  <w:r w:rsidRPr="00081C8E">
                    <w:rPr>
                      <w:lang w:val="en-GB"/>
                    </w:rPr>
                    <w:t> </w:t>
                  </w:r>
                </w:p>
              </w:tc>
            </w:tr>
            <w:tr w:rsidR="00E45009" w:rsidRPr="00081C8E" w14:paraId="57DB6E49"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1941B918" w14:textId="77777777" w:rsidR="00E45009" w:rsidRPr="00081C8E" w:rsidRDefault="00E45009" w:rsidP="00E45009">
                  <w:pPr>
                    <w:pStyle w:val="NoSpacing"/>
                    <w:rPr>
                      <w:lang w:val="en-GB"/>
                    </w:rPr>
                  </w:pPr>
                  <w:r w:rsidRPr="00081C8E">
                    <w:rPr>
                      <w:lang w:val="en-GB"/>
                    </w:rPr>
                    <w:t>51</w:t>
                  </w:r>
                </w:p>
              </w:tc>
              <w:tc>
                <w:tcPr>
                  <w:tcW w:w="6001" w:type="dxa"/>
                  <w:tcBorders>
                    <w:top w:val="single" w:sz="4" w:space="0" w:color="auto"/>
                    <w:left w:val="nil"/>
                    <w:bottom w:val="single" w:sz="4" w:space="0" w:color="auto"/>
                    <w:right w:val="nil"/>
                  </w:tcBorders>
                  <w:shd w:val="clear" w:color="000000" w:fill="FFFFFF"/>
                  <w:hideMark/>
                </w:tcPr>
                <w:p w14:paraId="096694AE" w14:textId="77777777" w:rsidR="00E45009" w:rsidRPr="00081C8E" w:rsidRDefault="00E45009" w:rsidP="00E45009">
                  <w:pPr>
                    <w:pStyle w:val="NoSpacing"/>
                    <w:rPr>
                      <w:lang w:val="en-GB"/>
                    </w:rPr>
                  </w:pPr>
                  <w:r w:rsidRPr="00081C8E">
                    <w:rPr>
                      <w:lang w:val="en-GB"/>
                    </w:rPr>
                    <w:t>Infringements of the right to freely elect representatives</w:t>
                  </w:r>
                </w:p>
              </w:tc>
              <w:tc>
                <w:tcPr>
                  <w:tcW w:w="280" w:type="dxa"/>
                  <w:tcBorders>
                    <w:top w:val="single" w:sz="4" w:space="0" w:color="auto"/>
                    <w:left w:val="nil"/>
                    <w:bottom w:val="single" w:sz="4" w:space="0" w:color="auto"/>
                    <w:right w:val="nil"/>
                  </w:tcBorders>
                  <w:shd w:val="clear" w:color="000000" w:fill="FFFFFF"/>
                  <w:hideMark/>
                </w:tcPr>
                <w:p w14:paraId="3F628B36"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428372B4" w14:textId="77777777" w:rsidR="00E45009" w:rsidRPr="00081C8E" w:rsidRDefault="00E45009" w:rsidP="00E45009">
                  <w:pPr>
                    <w:pStyle w:val="NoSpacing"/>
                    <w:rPr>
                      <w:lang w:val="en-GB"/>
                    </w:rPr>
                  </w:pPr>
                  <w:r w:rsidRPr="00081C8E">
                    <w:rPr>
                      <w:lang w:val="en-GB"/>
                    </w:rPr>
                    <w:t>ah</w:t>
                  </w:r>
                </w:p>
              </w:tc>
              <w:tc>
                <w:tcPr>
                  <w:tcW w:w="876" w:type="dxa"/>
                  <w:tcBorders>
                    <w:top w:val="single" w:sz="4" w:space="0" w:color="auto"/>
                    <w:left w:val="nil"/>
                    <w:bottom w:val="single" w:sz="4" w:space="0" w:color="auto"/>
                    <w:right w:val="nil"/>
                  </w:tcBorders>
                  <w:shd w:val="clear" w:color="000000" w:fill="FFFFFF"/>
                  <w:noWrap/>
                  <w:hideMark/>
                </w:tcPr>
                <w:p w14:paraId="47D4464C"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3599A275" w14:textId="77777777" w:rsidR="00E45009" w:rsidRPr="00081C8E" w:rsidRDefault="00E45009" w:rsidP="00E45009">
                  <w:pPr>
                    <w:pStyle w:val="NoSpacing"/>
                    <w:rPr>
                      <w:lang w:val="en-GB"/>
                    </w:rPr>
                  </w:pPr>
                  <w:r w:rsidRPr="00081C8E">
                    <w:rPr>
                      <w:lang w:val="en-GB"/>
                    </w:rPr>
                    <w:t>1.80</w:t>
                  </w:r>
                </w:p>
              </w:tc>
              <w:tc>
                <w:tcPr>
                  <w:tcW w:w="1066" w:type="dxa"/>
                  <w:tcBorders>
                    <w:top w:val="single" w:sz="4" w:space="0" w:color="auto"/>
                    <w:left w:val="nil"/>
                    <w:bottom w:val="single" w:sz="4" w:space="0" w:color="auto"/>
                    <w:right w:val="nil"/>
                  </w:tcBorders>
                  <w:shd w:val="clear" w:color="000000" w:fill="FFFFFF"/>
                  <w:noWrap/>
                  <w:hideMark/>
                </w:tcPr>
                <w:p w14:paraId="61FA3BF7" w14:textId="77777777" w:rsidR="00E45009" w:rsidRPr="00081C8E" w:rsidRDefault="00E45009" w:rsidP="00E45009">
                  <w:pPr>
                    <w:pStyle w:val="NoSpacing"/>
                    <w:rPr>
                      <w:lang w:val="en-GB"/>
                    </w:rPr>
                  </w:pPr>
                  <w:r w:rsidRPr="00081C8E">
                    <w:rPr>
                      <w:lang w:val="en-GB"/>
                    </w:rPr>
                    <w:t>1.80</w:t>
                  </w:r>
                </w:p>
              </w:tc>
            </w:tr>
            <w:tr w:rsidR="00E45009" w:rsidRPr="00081C8E" w14:paraId="579F0D44"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1822D484" w14:textId="77777777" w:rsidR="00E45009" w:rsidRPr="00081C8E" w:rsidRDefault="00E45009" w:rsidP="00E45009">
                  <w:pPr>
                    <w:pStyle w:val="NoSpacing"/>
                    <w:rPr>
                      <w:lang w:val="en-GB"/>
                    </w:rPr>
                  </w:pPr>
                  <w:r w:rsidRPr="00081C8E">
                    <w:rPr>
                      <w:lang w:val="en-GB"/>
                    </w:rPr>
                    <w:t>52</w:t>
                  </w:r>
                </w:p>
              </w:tc>
              <w:tc>
                <w:tcPr>
                  <w:tcW w:w="6001" w:type="dxa"/>
                  <w:tcBorders>
                    <w:top w:val="single" w:sz="4" w:space="0" w:color="auto"/>
                    <w:left w:val="nil"/>
                    <w:bottom w:val="single" w:sz="4" w:space="0" w:color="auto"/>
                    <w:right w:val="nil"/>
                  </w:tcBorders>
                  <w:shd w:val="clear" w:color="000000" w:fill="FFFFFF"/>
                  <w:hideMark/>
                </w:tcPr>
                <w:p w14:paraId="0B3F984F" w14:textId="77777777" w:rsidR="00E45009" w:rsidRPr="00081C8E" w:rsidRDefault="00E45009" w:rsidP="00E45009">
                  <w:pPr>
                    <w:pStyle w:val="NoSpacing"/>
                    <w:rPr>
                      <w:lang w:val="en-GB"/>
                    </w:rPr>
                  </w:pPr>
                  <w:r w:rsidRPr="00081C8E">
                    <w:rPr>
                      <w:lang w:val="en-GB"/>
                    </w:rPr>
                    <w:t>Infringements of the right to freely organize and control financial administration</w:t>
                  </w:r>
                </w:p>
              </w:tc>
              <w:tc>
                <w:tcPr>
                  <w:tcW w:w="280" w:type="dxa"/>
                  <w:tcBorders>
                    <w:top w:val="single" w:sz="4" w:space="0" w:color="auto"/>
                    <w:left w:val="nil"/>
                    <w:bottom w:val="single" w:sz="4" w:space="0" w:color="auto"/>
                    <w:right w:val="nil"/>
                  </w:tcBorders>
                  <w:shd w:val="clear" w:color="000000" w:fill="FFFFFF"/>
                  <w:hideMark/>
                </w:tcPr>
                <w:p w14:paraId="21C2C5B3"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482723F1" w14:textId="77777777" w:rsidR="00E45009" w:rsidRPr="00081C8E" w:rsidRDefault="00E45009" w:rsidP="00E45009">
                  <w:pPr>
                    <w:pStyle w:val="NoSpacing"/>
                    <w:rPr>
                      <w:lang w:val="en-GB"/>
                    </w:rPr>
                  </w:pPr>
                  <w:r w:rsidRPr="00081C8E">
                    <w:rPr>
                      <w:lang w:val="en-GB"/>
                    </w:rPr>
                    <w:t>ahi</w:t>
                  </w:r>
                </w:p>
              </w:tc>
              <w:tc>
                <w:tcPr>
                  <w:tcW w:w="876" w:type="dxa"/>
                  <w:tcBorders>
                    <w:top w:val="single" w:sz="4" w:space="0" w:color="auto"/>
                    <w:left w:val="nil"/>
                    <w:bottom w:val="single" w:sz="4" w:space="0" w:color="auto"/>
                    <w:right w:val="nil"/>
                  </w:tcBorders>
                  <w:shd w:val="clear" w:color="000000" w:fill="FFFFFF"/>
                  <w:noWrap/>
                  <w:hideMark/>
                </w:tcPr>
                <w:p w14:paraId="209AAC12"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68C7E802" w14:textId="77777777" w:rsidR="00E45009" w:rsidRPr="00081C8E" w:rsidRDefault="00E45009" w:rsidP="00E45009">
                  <w:pPr>
                    <w:pStyle w:val="NoSpacing"/>
                    <w:rPr>
                      <w:lang w:val="en-GB"/>
                    </w:rPr>
                  </w:pPr>
                  <w:r w:rsidRPr="00081C8E">
                    <w:rPr>
                      <w:lang w:val="en-GB"/>
                    </w:rPr>
                    <w:t>1.59</w:t>
                  </w:r>
                </w:p>
              </w:tc>
              <w:tc>
                <w:tcPr>
                  <w:tcW w:w="1066" w:type="dxa"/>
                  <w:tcBorders>
                    <w:top w:val="single" w:sz="4" w:space="0" w:color="auto"/>
                    <w:left w:val="nil"/>
                    <w:bottom w:val="single" w:sz="4" w:space="0" w:color="auto"/>
                    <w:right w:val="nil"/>
                  </w:tcBorders>
                  <w:shd w:val="clear" w:color="000000" w:fill="FFFFFF"/>
                  <w:noWrap/>
                  <w:hideMark/>
                </w:tcPr>
                <w:p w14:paraId="581C7AC7" w14:textId="77777777" w:rsidR="00E45009" w:rsidRPr="00081C8E" w:rsidRDefault="00E45009" w:rsidP="00E45009">
                  <w:pPr>
                    <w:pStyle w:val="NoSpacing"/>
                    <w:rPr>
                      <w:lang w:val="en-GB"/>
                    </w:rPr>
                  </w:pPr>
                  <w:r w:rsidRPr="00081C8E">
                    <w:rPr>
                      <w:lang w:val="en-GB"/>
                    </w:rPr>
                    <w:t>1.59</w:t>
                  </w:r>
                </w:p>
              </w:tc>
            </w:tr>
            <w:tr w:rsidR="00E45009" w:rsidRPr="00081C8E" w14:paraId="63E0EB2B"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0BCCD5E7" w14:textId="77777777" w:rsidR="00E45009" w:rsidRPr="00081C8E" w:rsidRDefault="00E45009" w:rsidP="00E45009">
                  <w:pPr>
                    <w:pStyle w:val="NoSpacing"/>
                    <w:rPr>
                      <w:lang w:val="en-GB"/>
                    </w:rPr>
                  </w:pPr>
                  <w:r w:rsidRPr="00081C8E">
                    <w:rPr>
                      <w:lang w:val="en-GB"/>
                    </w:rPr>
                    <w:t>54</w:t>
                  </w:r>
                </w:p>
              </w:tc>
              <w:tc>
                <w:tcPr>
                  <w:tcW w:w="6001" w:type="dxa"/>
                  <w:tcBorders>
                    <w:top w:val="single" w:sz="4" w:space="0" w:color="auto"/>
                    <w:left w:val="nil"/>
                    <w:bottom w:val="single" w:sz="4" w:space="0" w:color="auto"/>
                    <w:right w:val="nil"/>
                  </w:tcBorders>
                  <w:shd w:val="clear" w:color="000000" w:fill="FFFFFF"/>
                  <w:hideMark/>
                </w:tcPr>
                <w:p w14:paraId="4C36BD7C" w14:textId="77777777" w:rsidR="00E45009" w:rsidRPr="00081C8E" w:rsidRDefault="00E45009" w:rsidP="00E45009">
                  <w:pPr>
                    <w:pStyle w:val="NoSpacing"/>
                    <w:rPr>
                      <w:lang w:val="en-GB"/>
                    </w:rPr>
                  </w:pPr>
                  <w:r w:rsidRPr="00081C8E">
                    <w:rPr>
                      <w:lang w:val="en-GB"/>
                    </w:rPr>
                    <w:t>Prohibition of all political activities</w:t>
                  </w:r>
                </w:p>
              </w:tc>
              <w:tc>
                <w:tcPr>
                  <w:tcW w:w="280" w:type="dxa"/>
                  <w:tcBorders>
                    <w:top w:val="single" w:sz="4" w:space="0" w:color="auto"/>
                    <w:left w:val="nil"/>
                    <w:bottom w:val="single" w:sz="4" w:space="0" w:color="auto"/>
                    <w:right w:val="nil"/>
                  </w:tcBorders>
                  <w:shd w:val="clear" w:color="000000" w:fill="FFFFFF"/>
                  <w:hideMark/>
                </w:tcPr>
                <w:p w14:paraId="6B100B39"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618B66FE" w14:textId="77777777" w:rsidR="00E45009" w:rsidRPr="00081C8E" w:rsidRDefault="00E45009" w:rsidP="00E45009">
                  <w:pPr>
                    <w:pStyle w:val="NoSpacing"/>
                    <w:rPr>
                      <w:lang w:val="en-GB"/>
                    </w:rPr>
                  </w:pPr>
                  <w:r w:rsidRPr="00081C8E">
                    <w:rPr>
                      <w:lang w:val="en-GB"/>
                    </w:rPr>
                    <w:t>ahi</w:t>
                  </w:r>
                </w:p>
              </w:tc>
              <w:tc>
                <w:tcPr>
                  <w:tcW w:w="876" w:type="dxa"/>
                  <w:tcBorders>
                    <w:top w:val="single" w:sz="4" w:space="0" w:color="auto"/>
                    <w:left w:val="nil"/>
                    <w:bottom w:val="single" w:sz="4" w:space="0" w:color="auto"/>
                    <w:right w:val="nil"/>
                  </w:tcBorders>
                  <w:shd w:val="clear" w:color="000000" w:fill="FFFFFF"/>
                  <w:noWrap/>
                  <w:hideMark/>
                </w:tcPr>
                <w:p w14:paraId="3BFAFDA8"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26E1F8A4" w14:textId="77777777" w:rsidR="00E45009" w:rsidRPr="00081C8E" w:rsidRDefault="00E45009" w:rsidP="00E45009">
                  <w:pPr>
                    <w:pStyle w:val="NoSpacing"/>
                    <w:rPr>
                      <w:lang w:val="en-GB"/>
                    </w:rPr>
                  </w:pPr>
                  <w:r w:rsidRPr="00081C8E">
                    <w:rPr>
                      <w:lang w:val="en-GB"/>
                    </w:rPr>
                    <w:t>1.73</w:t>
                  </w:r>
                </w:p>
              </w:tc>
              <w:tc>
                <w:tcPr>
                  <w:tcW w:w="1066" w:type="dxa"/>
                  <w:tcBorders>
                    <w:top w:val="single" w:sz="4" w:space="0" w:color="auto"/>
                    <w:left w:val="nil"/>
                    <w:bottom w:val="single" w:sz="4" w:space="0" w:color="auto"/>
                    <w:right w:val="nil"/>
                  </w:tcBorders>
                  <w:shd w:val="clear" w:color="000000" w:fill="FFFFFF"/>
                  <w:noWrap/>
                  <w:hideMark/>
                </w:tcPr>
                <w:p w14:paraId="460C608D" w14:textId="77777777" w:rsidR="00E45009" w:rsidRPr="00081C8E" w:rsidRDefault="00E45009" w:rsidP="00E45009">
                  <w:pPr>
                    <w:pStyle w:val="NoSpacing"/>
                    <w:rPr>
                      <w:lang w:val="en-GB"/>
                    </w:rPr>
                  </w:pPr>
                  <w:r w:rsidRPr="00081C8E">
                    <w:rPr>
                      <w:lang w:val="en-GB"/>
                    </w:rPr>
                    <w:t>1.73</w:t>
                  </w:r>
                </w:p>
              </w:tc>
            </w:tr>
            <w:tr w:rsidR="00E45009" w:rsidRPr="00081C8E" w14:paraId="05DF0806"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46AACAAE" w14:textId="77777777" w:rsidR="00E45009" w:rsidRPr="00081C8E" w:rsidRDefault="00E45009" w:rsidP="00E45009">
                  <w:pPr>
                    <w:pStyle w:val="NoSpacing"/>
                    <w:rPr>
                      <w:lang w:val="en-GB"/>
                    </w:rPr>
                  </w:pPr>
                  <w:r w:rsidRPr="00081C8E">
                    <w:rPr>
                      <w:lang w:val="en-GB"/>
                    </w:rPr>
                    <w:t> </w:t>
                  </w:r>
                </w:p>
              </w:tc>
              <w:tc>
                <w:tcPr>
                  <w:tcW w:w="6001" w:type="dxa"/>
                  <w:tcBorders>
                    <w:top w:val="single" w:sz="4" w:space="0" w:color="auto"/>
                    <w:left w:val="nil"/>
                    <w:bottom w:val="single" w:sz="4" w:space="0" w:color="auto"/>
                    <w:right w:val="nil"/>
                  </w:tcBorders>
                  <w:shd w:val="clear" w:color="000000" w:fill="FFFFFF"/>
                  <w:hideMark/>
                </w:tcPr>
                <w:p w14:paraId="212E4AEE" w14:textId="77777777" w:rsidR="00E45009" w:rsidRPr="00081C8E" w:rsidRDefault="00E45009" w:rsidP="00E45009">
                  <w:pPr>
                    <w:pStyle w:val="NoSpacing"/>
                    <w:rPr>
                      <w:b/>
                      <w:bCs/>
                      <w:lang w:val="en-GB"/>
                    </w:rPr>
                  </w:pPr>
                  <w:r w:rsidRPr="00081C8E">
                    <w:rPr>
                      <w:b/>
                      <w:bCs/>
                      <w:lang w:val="en-GB"/>
                    </w:rPr>
                    <w:t>IIIb. Other union activities in practice</w:t>
                  </w:r>
                </w:p>
              </w:tc>
              <w:tc>
                <w:tcPr>
                  <w:tcW w:w="280" w:type="dxa"/>
                  <w:tcBorders>
                    <w:top w:val="single" w:sz="4" w:space="0" w:color="auto"/>
                    <w:left w:val="nil"/>
                    <w:bottom w:val="single" w:sz="4" w:space="0" w:color="auto"/>
                    <w:right w:val="nil"/>
                  </w:tcBorders>
                  <w:shd w:val="clear" w:color="000000" w:fill="FFFFFF"/>
                  <w:hideMark/>
                </w:tcPr>
                <w:p w14:paraId="07FD5E83"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1E1F7719"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3828B3B4"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0C82CE05"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11265030" w14:textId="77777777" w:rsidR="00E45009" w:rsidRPr="00081C8E" w:rsidRDefault="00E45009" w:rsidP="00E45009">
                  <w:pPr>
                    <w:pStyle w:val="NoSpacing"/>
                    <w:rPr>
                      <w:lang w:val="en-GB"/>
                    </w:rPr>
                  </w:pPr>
                  <w:r w:rsidRPr="00081C8E">
                    <w:rPr>
                      <w:lang w:val="en-GB"/>
                    </w:rPr>
                    <w:t> </w:t>
                  </w:r>
                </w:p>
              </w:tc>
            </w:tr>
            <w:tr w:rsidR="00E45009" w:rsidRPr="00081C8E" w14:paraId="7DCB2208"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584385B3" w14:textId="77777777" w:rsidR="00E45009" w:rsidRPr="00081C8E" w:rsidRDefault="00E45009" w:rsidP="00E45009">
                  <w:pPr>
                    <w:pStyle w:val="NoSpacing"/>
                    <w:rPr>
                      <w:lang w:val="en-GB"/>
                    </w:rPr>
                  </w:pPr>
                  <w:r w:rsidRPr="00081C8E">
                    <w:rPr>
                      <w:lang w:val="en-GB"/>
                    </w:rPr>
                    <w:t>58</w:t>
                  </w:r>
                </w:p>
              </w:tc>
              <w:tc>
                <w:tcPr>
                  <w:tcW w:w="6001" w:type="dxa"/>
                  <w:tcBorders>
                    <w:top w:val="single" w:sz="4" w:space="0" w:color="auto"/>
                    <w:left w:val="nil"/>
                    <w:bottom w:val="single" w:sz="4" w:space="0" w:color="auto"/>
                    <w:right w:val="nil"/>
                  </w:tcBorders>
                  <w:shd w:val="clear" w:color="000000" w:fill="FFFFFF"/>
                  <w:hideMark/>
                </w:tcPr>
                <w:p w14:paraId="316D14B9" w14:textId="77777777" w:rsidR="00E45009" w:rsidRPr="00081C8E" w:rsidRDefault="00E45009" w:rsidP="00E45009">
                  <w:pPr>
                    <w:pStyle w:val="NoSpacing"/>
                    <w:rPr>
                      <w:lang w:val="en-GB"/>
                    </w:rPr>
                  </w:pPr>
                  <w:r w:rsidRPr="00081C8E">
                    <w:rPr>
                      <w:lang w:val="en-GB"/>
                    </w:rPr>
                    <w:t>Infringements of the right to freely organize and control financial administration</w:t>
                  </w:r>
                </w:p>
              </w:tc>
              <w:tc>
                <w:tcPr>
                  <w:tcW w:w="280" w:type="dxa"/>
                  <w:tcBorders>
                    <w:top w:val="single" w:sz="4" w:space="0" w:color="auto"/>
                    <w:left w:val="nil"/>
                    <w:bottom w:val="single" w:sz="4" w:space="0" w:color="auto"/>
                    <w:right w:val="nil"/>
                  </w:tcBorders>
                  <w:shd w:val="clear" w:color="000000" w:fill="FFFFFF"/>
                  <w:hideMark/>
                </w:tcPr>
                <w:p w14:paraId="40C0B7E0"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3C5AEED5" w14:textId="77777777" w:rsidR="00E45009" w:rsidRPr="00081C8E" w:rsidRDefault="00E45009" w:rsidP="00E45009">
                  <w:pPr>
                    <w:pStyle w:val="NoSpacing"/>
                    <w:rPr>
                      <w:lang w:val="en-GB"/>
                    </w:rPr>
                  </w:pPr>
                  <w:r w:rsidRPr="00081C8E">
                    <w:rPr>
                      <w:lang w:val="en-GB"/>
                    </w:rPr>
                    <w:t>fhi</w:t>
                  </w:r>
                </w:p>
              </w:tc>
              <w:tc>
                <w:tcPr>
                  <w:tcW w:w="876" w:type="dxa"/>
                  <w:tcBorders>
                    <w:top w:val="single" w:sz="4" w:space="0" w:color="auto"/>
                    <w:left w:val="nil"/>
                    <w:bottom w:val="single" w:sz="4" w:space="0" w:color="auto"/>
                    <w:right w:val="nil"/>
                  </w:tcBorders>
                  <w:shd w:val="clear" w:color="000000" w:fill="FFFFFF"/>
                  <w:noWrap/>
                  <w:hideMark/>
                </w:tcPr>
                <w:p w14:paraId="07892EC9"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34D47A7C" w14:textId="77777777" w:rsidR="00E45009" w:rsidRPr="00081C8E" w:rsidRDefault="00E45009" w:rsidP="00E45009">
                  <w:pPr>
                    <w:pStyle w:val="NoSpacing"/>
                    <w:rPr>
                      <w:lang w:val="en-GB"/>
                    </w:rPr>
                  </w:pPr>
                  <w:r w:rsidRPr="00081C8E">
                    <w:rPr>
                      <w:lang w:val="en-GB"/>
                    </w:rPr>
                    <w:t>1.71</w:t>
                  </w:r>
                </w:p>
              </w:tc>
              <w:tc>
                <w:tcPr>
                  <w:tcW w:w="1066" w:type="dxa"/>
                  <w:tcBorders>
                    <w:top w:val="single" w:sz="4" w:space="0" w:color="auto"/>
                    <w:left w:val="nil"/>
                    <w:bottom w:val="single" w:sz="4" w:space="0" w:color="auto"/>
                    <w:right w:val="nil"/>
                  </w:tcBorders>
                  <w:shd w:val="clear" w:color="000000" w:fill="FFFFFF"/>
                  <w:noWrap/>
                  <w:hideMark/>
                </w:tcPr>
                <w:p w14:paraId="566BB9FE" w14:textId="77777777" w:rsidR="00E45009" w:rsidRPr="00081C8E" w:rsidRDefault="00E45009" w:rsidP="00E45009">
                  <w:pPr>
                    <w:pStyle w:val="NoSpacing"/>
                    <w:rPr>
                      <w:lang w:val="en-GB"/>
                    </w:rPr>
                  </w:pPr>
                  <w:r w:rsidRPr="00081C8E">
                    <w:rPr>
                      <w:lang w:val="en-GB"/>
                    </w:rPr>
                    <w:t>1.71</w:t>
                  </w:r>
                </w:p>
              </w:tc>
            </w:tr>
            <w:tr w:rsidR="00E45009" w:rsidRPr="00081C8E" w14:paraId="3AC69295"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74E58829" w14:textId="77777777" w:rsidR="00E45009" w:rsidRPr="00081C8E" w:rsidRDefault="00E45009" w:rsidP="00E45009">
                  <w:pPr>
                    <w:pStyle w:val="NoSpacing"/>
                    <w:rPr>
                      <w:lang w:val="en-GB"/>
                    </w:rPr>
                  </w:pPr>
                  <w:r w:rsidRPr="00081C8E">
                    <w:rPr>
                      <w:lang w:val="en-GB"/>
                    </w:rPr>
                    <w:t>61</w:t>
                  </w:r>
                </w:p>
              </w:tc>
              <w:tc>
                <w:tcPr>
                  <w:tcW w:w="6001" w:type="dxa"/>
                  <w:tcBorders>
                    <w:top w:val="single" w:sz="4" w:space="0" w:color="auto"/>
                    <w:left w:val="nil"/>
                    <w:bottom w:val="single" w:sz="4" w:space="0" w:color="auto"/>
                    <w:right w:val="nil"/>
                  </w:tcBorders>
                  <w:shd w:val="clear" w:color="000000" w:fill="FFFFFF"/>
                  <w:hideMark/>
                </w:tcPr>
                <w:p w14:paraId="24A58575" w14:textId="77777777" w:rsidR="00E45009" w:rsidRPr="00081C8E" w:rsidRDefault="00E45009" w:rsidP="00E45009">
                  <w:pPr>
                    <w:pStyle w:val="NoSpacing"/>
                    <w:rPr>
                      <w:lang w:val="en-GB"/>
                    </w:rPr>
                  </w:pPr>
                  <w:r w:rsidRPr="00081C8E">
                    <w:rPr>
                      <w:lang w:val="en-GB"/>
                    </w:rPr>
                    <w:t>Lack of guarantee of due process and/or justice re violations nos. 56-60</w:t>
                  </w:r>
                </w:p>
              </w:tc>
              <w:tc>
                <w:tcPr>
                  <w:tcW w:w="280" w:type="dxa"/>
                  <w:tcBorders>
                    <w:top w:val="single" w:sz="4" w:space="0" w:color="auto"/>
                    <w:left w:val="nil"/>
                    <w:bottom w:val="single" w:sz="4" w:space="0" w:color="auto"/>
                    <w:right w:val="nil"/>
                  </w:tcBorders>
                  <w:shd w:val="clear" w:color="000000" w:fill="FFFFFF"/>
                  <w:hideMark/>
                </w:tcPr>
                <w:p w14:paraId="7CFD9704"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27977987" w14:textId="77777777" w:rsidR="00E45009" w:rsidRPr="00081C8E" w:rsidRDefault="00E45009" w:rsidP="00E45009">
                  <w:pPr>
                    <w:pStyle w:val="NoSpacing"/>
                    <w:rPr>
                      <w:lang w:val="en-GB"/>
                    </w:rPr>
                  </w:pPr>
                  <w:r w:rsidRPr="00081C8E">
                    <w:rPr>
                      <w:lang w:val="en-GB"/>
                    </w:rPr>
                    <w:t>f</w:t>
                  </w:r>
                </w:p>
              </w:tc>
              <w:tc>
                <w:tcPr>
                  <w:tcW w:w="876" w:type="dxa"/>
                  <w:tcBorders>
                    <w:top w:val="single" w:sz="4" w:space="0" w:color="auto"/>
                    <w:left w:val="nil"/>
                    <w:bottom w:val="single" w:sz="4" w:space="0" w:color="auto"/>
                    <w:right w:val="nil"/>
                  </w:tcBorders>
                  <w:shd w:val="clear" w:color="000000" w:fill="FFFFFF"/>
                  <w:noWrap/>
                  <w:hideMark/>
                </w:tcPr>
                <w:p w14:paraId="791DFA4B"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0E180FAD" w14:textId="77777777" w:rsidR="00E45009" w:rsidRPr="00081C8E" w:rsidRDefault="00E45009" w:rsidP="00E45009">
                  <w:pPr>
                    <w:pStyle w:val="NoSpacing"/>
                    <w:rPr>
                      <w:lang w:val="en-GB"/>
                    </w:rPr>
                  </w:pPr>
                  <w:r w:rsidRPr="00081C8E">
                    <w:rPr>
                      <w:lang w:val="en-GB"/>
                    </w:rPr>
                    <w:t>1.79</w:t>
                  </w:r>
                </w:p>
              </w:tc>
              <w:tc>
                <w:tcPr>
                  <w:tcW w:w="1066" w:type="dxa"/>
                  <w:tcBorders>
                    <w:top w:val="single" w:sz="4" w:space="0" w:color="auto"/>
                    <w:left w:val="nil"/>
                    <w:bottom w:val="single" w:sz="4" w:space="0" w:color="auto"/>
                    <w:right w:val="nil"/>
                  </w:tcBorders>
                  <w:shd w:val="clear" w:color="000000" w:fill="FFFFFF"/>
                  <w:noWrap/>
                  <w:hideMark/>
                </w:tcPr>
                <w:p w14:paraId="4C1E2036" w14:textId="77777777" w:rsidR="00E45009" w:rsidRPr="00081C8E" w:rsidRDefault="00E45009" w:rsidP="00E45009">
                  <w:pPr>
                    <w:pStyle w:val="NoSpacing"/>
                    <w:rPr>
                      <w:lang w:val="en-GB"/>
                    </w:rPr>
                  </w:pPr>
                  <w:r w:rsidRPr="00081C8E">
                    <w:rPr>
                      <w:lang w:val="en-GB"/>
                    </w:rPr>
                    <w:t>1.79</w:t>
                  </w:r>
                </w:p>
              </w:tc>
            </w:tr>
            <w:tr w:rsidR="00E45009" w:rsidRPr="00081C8E" w14:paraId="19C56DFA"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EF2253C" w14:textId="77777777" w:rsidR="00E45009" w:rsidRPr="00081C8E" w:rsidRDefault="00E45009" w:rsidP="00E45009">
                  <w:pPr>
                    <w:pStyle w:val="NoSpacing"/>
                    <w:rPr>
                      <w:lang w:val="en-GB"/>
                    </w:rPr>
                  </w:pPr>
                  <w:r w:rsidRPr="00081C8E">
                    <w:rPr>
                      <w:lang w:val="en-GB"/>
                    </w:rPr>
                    <w:t> </w:t>
                  </w:r>
                </w:p>
              </w:tc>
              <w:tc>
                <w:tcPr>
                  <w:tcW w:w="6001" w:type="dxa"/>
                  <w:tcBorders>
                    <w:top w:val="single" w:sz="4" w:space="0" w:color="auto"/>
                    <w:left w:val="nil"/>
                    <w:bottom w:val="single" w:sz="4" w:space="0" w:color="auto"/>
                    <w:right w:val="nil"/>
                  </w:tcBorders>
                  <w:shd w:val="clear" w:color="000000" w:fill="FFFFFF"/>
                  <w:hideMark/>
                </w:tcPr>
                <w:p w14:paraId="5A8B5719" w14:textId="77777777" w:rsidR="00E45009" w:rsidRPr="00081C8E" w:rsidRDefault="00E45009" w:rsidP="00E45009">
                  <w:pPr>
                    <w:pStyle w:val="NoSpacing"/>
                    <w:rPr>
                      <w:b/>
                      <w:bCs/>
                      <w:lang w:val="en-GB"/>
                    </w:rPr>
                  </w:pPr>
                  <w:r w:rsidRPr="00081C8E">
                    <w:rPr>
                      <w:b/>
                      <w:bCs/>
                      <w:lang w:val="en-GB"/>
                    </w:rPr>
                    <w:t>IVa. Right to collective bargaining in law</w:t>
                  </w:r>
                </w:p>
              </w:tc>
              <w:tc>
                <w:tcPr>
                  <w:tcW w:w="280" w:type="dxa"/>
                  <w:tcBorders>
                    <w:top w:val="single" w:sz="4" w:space="0" w:color="auto"/>
                    <w:left w:val="nil"/>
                    <w:bottom w:val="single" w:sz="4" w:space="0" w:color="auto"/>
                    <w:right w:val="nil"/>
                  </w:tcBorders>
                  <w:shd w:val="clear" w:color="000000" w:fill="FFFFFF"/>
                  <w:hideMark/>
                </w:tcPr>
                <w:p w14:paraId="2E992DEE"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4583C0C1"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6A8675EA"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43668EFD"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508858D9" w14:textId="77777777" w:rsidR="00E45009" w:rsidRPr="00081C8E" w:rsidRDefault="00E45009" w:rsidP="00E45009">
                  <w:pPr>
                    <w:pStyle w:val="NoSpacing"/>
                    <w:rPr>
                      <w:lang w:val="en-GB"/>
                    </w:rPr>
                  </w:pPr>
                  <w:r w:rsidRPr="00081C8E">
                    <w:rPr>
                      <w:lang w:val="en-GB"/>
                    </w:rPr>
                    <w:t> </w:t>
                  </w:r>
                </w:p>
              </w:tc>
            </w:tr>
            <w:tr w:rsidR="00E45009" w:rsidRPr="00081C8E" w14:paraId="32EE91B9"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4618CDF0" w14:textId="77777777" w:rsidR="00E45009" w:rsidRPr="00081C8E" w:rsidRDefault="00E45009" w:rsidP="00E45009">
                  <w:pPr>
                    <w:pStyle w:val="NoSpacing"/>
                    <w:rPr>
                      <w:lang w:val="en-GB"/>
                    </w:rPr>
                  </w:pPr>
                  <w:r w:rsidRPr="00081C8E">
                    <w:rPr>
                      <w:lang w:val="en-GB"/>
                    </w:rPr>
                    <w:t>69</w:t>
                  </w:r>
                </w:p>
              </w:tc>
              <w:tc>
                <w:tcPr>
                  <w:tcW w:w="6001" w:type="dxa"/>
                  <w:tcBorders>
                    <w:top w:val="single" w:sz="4" w:space="0" w:color="auto"/>
                    <w:left w:val="nil"/>
                    <w:bottom w:val="single" w:sz="4" w:space="0" w:color="auto"/>
                    <w:right w:val="nil"/>
                  </w:tcBorders>
                  <w:shd w:val="clear" w:color="000000" w:fill="FFFFFF"/>
                  <w:hideMark/>
                </w:tcPr>
                <w:p w14:paraId="40A139EB" w14:textId="77777777" w:rsidR="00E45009" w:rsidRPr="00081C8E" w:rsidRDefault="00E45009" w:rsidP="00E45009">
                  <w:pPr>
                    <w:pStyle w:val="NoSpacing"/>
                    <w:rPr>
                      <w:lang w:val="en-GB"/>
                    </w:rPr>
                  </w:pPr>
                  <w:r w:rsidRPr="00081C8E">
                    <w:rPr>
                      <w:lang w:val="en-GB"/>
                    </w:rPr>
                    <w:t>Acts of interference in collective bargaining</w:t>
                  </w:r>
                </w:p>
              </w:tc>
              <w:tc>
                <w:tcPr>
                  <w:tcW w:w="280" w:type="dxa"/>
                  <w:tcBorders>
                    <w:top w:val="single" w:sz="4" w:space="0" w:color="auto"/>
                    <w:left w:val="nil"/>
                    <w:bottom w:val="single" w:sz="4" w:space="0" w:color="auto"/>
                    <w:right w:val="nil"/>
                  </w:tcBorders>
                  <w:shd w:val="clear" w:color="000000" w:fill="FFFFFF"/>
                  <w:hideMark/>
                </w:tcPr>
                <w:p w14:paraId="0437BC06"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6934E8E0" w14:textId="77777777" w:rsidR="00E45009" w:rsidRPr="00081C8E" w:rsidRDefault="00E45009" w:rsidP="00E45009">
                  <w:pPr>
                    <w:pStyle w:val="NoSpacing"/>
                    <w:rPr>
                      <w:lang w:val="en-GB"/>
                    </w:rPr>
                  </w:pPr>
                  <w:r w:rsidRPr="00081C8E">
                    <w:rPr>
                      <w:lang w:val="en-GB"/>
                    </w:rPr>
                    <w:t>a</w:t>
                  </w:r>
                </w:p>
              </w:tc>
              <w:tc>
                <w:tcPr>
                  <w:tcW w:w="876" w:type="dxa"/>
                  <w:tcBorders>
                    <w:top w:val="single" w:sz="4" w:space="0" w:color="auto"/>
                    <w:left w:val="nil"/>
                    <w:bottom w:val="single" w:sz="4" w:space="0" w:color="auto"/>
                    <w:right w:val="nil"/>
                  </w:tcBorders>
                  <w:shd w:val="clear" w:color="000000" w:fill="FFFFFF"/>
                  <w:noWrap/>
                  <w:hideMark/>
                </w:tcPr>
                <w:p w14:paraId="2DD6CA25"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2415AF15" w14:textId="77777777" w:rsidR="00E45009" w:rsidRPr="00081C8E" w:rsidRDefault="00E45009" w:rsidP="00E45009">
                  <w:pPr>
                    <w:pStyle w:val="NoSpacing"/>
                    <w:rPr>
                      <w:lang w:val="en-GB"/>
                    </w:rPr>
                  </w:pPr>
                  <w:r w:rsidRPr="00081C8E">
                    <w:rPr>
                      <w:lang w:val="en-GB"/>
                    </w:rPr>
                    <w:t>1.66</w:t>
                  </w:r>
                </w:p>
              </w:tc>
              <w:tc>
                <w:tcPr>
                  <w:tcW w:w="1066" w:type="dxa"/>
                  <w:tcBorders>
                    <w:top w:val="single" w:sz="4" w:space="0" w:color="auto"/>
                    <w:left w:val="nil"/>
                    <w:bottom w:val="single" w:sz="4" w:space="0" w:color="auto"/>
                    <w:right w:val="nil"/>
                  </w:tcBorders>
                  <w:shd w:val="clear" w:color="000000" w:fill="FFFFFF"/>
                  <w:noWrap/>
                  <w:hideMark/>
                </w:tcPr>
                <w:p w14:paraId="6EEA7099" w14:textId="77777777" w:rsidR="00E45009" w:rsidRPr="00081C8E" w:rsidRDefault="00E45009" w:rsidP="00E45009">
                  <w:pPr>
                    <w:pStyle w:val="NoSpacing"/>
                    <w:rPr>
                      <w:lang w:val="en-GB"/>
                    </w:rPr>
                  </w:pPr>
                  <w:r w:rsidRPr="00081C8E">
                    <w:rPr>
                      <w:lang w:val="en-GB"/>
                    </w:rPr>
                    <w:t>1.66</w:t>
                  </w:r>
                </w:p>
              </w:tc>
            </w:tr>
            <w:tr w:rsidR="00E45009" w:rsidRPr="00081C8E" w14:paraId="71799B6F"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05592EAB" w14:textId="77777777" w:rsidR="00E45009" w:rsidRPr="00081C8E" w:rsidRDefault="00E45009" w:rsidP="00E45009">
                  <w:pPr>
                    <w:pStyle w:val="NoSpacing"/>
                    <w:rPr>
                      <w:lang w:val="en-GB"/>
                    </w:rPr>
                  </w:pPr>
                  <w:r w:rsidRPr="00081C8E">
                    <w:rPr>
                      <w:lang w:val="en-GB"/>
                    </w:rPr>
                    <w:t>76</w:t>
                  </w:r>
                </w:p>
              </w:tc>
              <w:tc>
                <w:tcPr>
                  <w:tcW w:w="6001" w:type="dxa"/>
                  <w:tcBorders>
                    <w:top w:val="single" w:sz="4" w:space="0" w:color="auto"/>
                    <w:left w:val="nil"/>
                    <w:bottom w:val="single" w:sz="4" w:space="0" w:color="auto"/>
                    <w:right w:val="nil"/>
                  </w:tcBorders>
                  <w:shd w:val="clear" w:color="000000" w:fill="FFFFFF"/>
                  <w:hideMark/>
                </w:tcPr>
                <w:p w14:paraId="495FFC09" w14:textId="77777777" w:rsidR="00E45009" w:rsidRPr="00081C8E" w:rsidRDefault="00E45009" w:rsidP="00E45009">
                  <w:pPr>
                    <w:pStyle w:val="NoSpacing"/>
                    <w:rPr>
                      <w:lang w:val="en-GB"/>
                    </w:rPr>
                  </w:pPr>
                  <w:r w:rsidRPr="00081C8E">
                    <w:rPr>
                      <w:lang w:val="en-GB"/>
                    </w:rPr>
                    <w:t>Exclusion of other workers from the right to collective bargaining</w:t>
                  </w:r>
                </w:p>
              </w:tc>
              <w:tc>
                <w:tcPr>
                  <w:tcW w:w="280" w:type="dxa"/>
                  <w:tcBorders>
                    <w:top w:val="single" w:sz="4" w:space="0" w:color="auto"/>
                    <w:left w:val="nil"/>
                    <w:bottom w:val="single" w:sz="4" w:space="0" w:color="auto"/>
                    <w:right w:val="nil"/>
                  </w:tcBorders>
                  <w:shd w:val="clear" w:color="000000" w:fill="FFFFFF"/>
                  <w:hideMark/>
                </w:tcPr>
                <w:p w14:paraId="0254BBAA"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07B02CCC" w14:textId="77777777" w:rsidR="00E45009" w:rsidRPr="00081C8E" w:rsidRDefault="00E45009" w:rsidP="00E45009">
                  <w:pPr>
                    <w:pStyle w:val="NoSpacing"/>
                    <w:rPr>
                      <w:lang w:val="en-GB"/>
                    </w:rPr>
                  </w:pPr>
                  <w:r w:rsidRPr="00081C8E">
                    <w:rPr>
                      <w:lang w:val="en-GB"/>
                    </w:rPr>
                    <w:t>abhi</w:t>
                  </w:r>
                </w:p>
              </w:tc>
              <w:tc>
                <w:tcPr>
                  <w:tcW w:w="876" w:type="dxa"/>
                  <w:tcBorders>
                    <w:top w:val="single" w:sz="4" w:space="0" w:color="auto"/>
                    <w:left w:val="nil"/>
                    <w:bottom w:val="single" w:sz="4" w:space="0" w:color="auto"/>
                    <w:right w:val="nil"/>
                  </w:tcBorders>
                  <w:shd w:val="clear" w:color="000000" w:fill="FFFFFF"/>
                  <w:noWrap/>
                  <w:hideMark/>
                </w:tcPr>
                <w:p w14:paraId="0CB33EE5"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538084D0" w14:textId="77777777" w:rsidR="00E45009" w:rsidRPr="00081C8E" w:rsidRDefault="00E45009" w:rsidP="00E45009">
                  <w:pPr>
                    <w:pStyle w:val="NoSpacing"/>
                    <w:rPr>
                      <w:lang w:val="en-GB"/>
                    </w:rPr>
                  </w:pPr>
                  <w:r w:rsidRPr="00081C8E">
                    <w:rPr>
                      <w:lang w:val="en-GB"/>
                    </w:rPr>
                    <w:t>1.84</w:t>
                  </w:r>
                </w:p>
              </w:tc>
              <w:tc>
                <w:tcPr>
                  <w:tcW w:w="1066" w:type="dxa"/>
                  <w:tcBorders>
                    <w:top w:val="single" w:sz="4" w:space="0" w:color="auto"/>
                    <w:left w:val="nil"/>
                    <w:bottom w:val="single" w:sz="4" w:space="0" w:color="auto"/>
                    <w:right w:val="nil"/>
                  </w:tcBorders>
                  <w:shd w:val="clear" w:color="000000" w:fill="FFFFFF"/>
                  <w:noWrap/>
                  <w:hideMark/>
                </w:tcPr>
                <w:p w14:paraId="047401E7" w14:textId="77777777" w:rsidR="00E45009" w:rsidRPr="00081C8E" w:rsidRDefault="00E45009" w:rsidP="00E45009">
                  <w:pPr>
                    <w:pStyle w:val="NoSpacing"/>
                    <w:rPr>
                      <w:lang w:val="en-GB"/>
                    </w:rPr>
                  </w:pPr>
                  <w:r w:rsidRPr="00081C8E">
                    <w:rPr>
                      <w:lang w:val="en-GB"/>
                    </w:rPr>
                    <w:t>1.84</w:t>
                  </w:r>
                </w:p>
              </w:tc>
            </w:tr>
            <w:tr w:rsidR="00E45009" w:rsidRPr="00081C8E" w14:paraId="3A1C2F1E"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14CEB15" w14:textId="77777777" w:rsidR="00E45009" w:rsidRPr="00081C8E" w:rsidRDefault="00E45009" w:rsidP="00E45009">
                  <w:pPr>
                    <w:pStyle w:val="NoSpacing"/>
                    <w:rPr>
                      <w:lang w:val="en-GB"/>
                    </w:rPr>
                  </w:pPr>
                  <w:r w:rsidRPr="00081C8E">
                    <w:rPr>
                      <w:lang w:val="en-GB"/>
                    </w:rPr>
                    <w:t>80</w:t>
                  </w:r>
                </w:p>
              </w:tc>
              <w:tc>
                <w:tcPr>
                  <w:tcW w:w="6001" w:type="dxa"/>
                  <w:tcBorders>
                    <w:top w:val="single" w:sz="4" w:space="0" w:color="auto"/>
                    <w:left w:val="nil"/>
                    <w:bottom w:val="single" w:sz="4" w:space="0" w:color="auto"/>
                    <w:right w:val="nil"/>
                  </w:tcBorders>
                  <w:shd w:val="clear" w:color="000000" w:fill="FFFFFF"/>
                  <w:hideMark/>
                </w:tcPr>
                <w:p w14:paraId="5EE364E9" w14:textId="77777777" w:rsidR="00E45009" w:rsidRPr="00081C8E" w:rsidRDefault="00E45009" w:rsidP="00E45009">
                  <w:pPr>
                    <w:pStyle w:val="NoSpacing"/>
                    <w:rPr>
                      <w:lang w:val="en-GB"/>
                    </w:rPr>
                  </w:pPr>
                  <w:r w:rsidRPr="00081C8E">
                    <w:rPr>
                      <w:lang w:val="en-GB"/>
                    </w:rPr>
                    <w:t>Acts of interference in collective bargaining</w:t>
                  </w:r>
                </w:p>
              </w:tc>
              <w:tc>
                <w:tcPr>
                  <w:tcW w:w="280" w:type="dxa"/>
                  <w:tcBorders>
                    <w:top w:val="single" w:sz="4" w:space="0" w:color="auto"/>
                    <w:left w:val="nil"/>
                    <w:bottom w:val="single" w:sz="4" w:space="0" w:color="auto"/>
                    <w:right w:val="nil"/>
                  </w:tcBorders>
                  <w:shd w:val="clear" w:color="000000" w:fill="FFFFFF"/>
                  <w:hideMark/>
                </w:tcPr>
                <w:p w14:paraId="54A32825"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1247E3B1" w14:textId="77777777" w:rsidR="00E45009" w:rsidRPr="00081C8E" w:rsidRDefault="00E45009" w:rsidP="00E45009">
                  <w:pPr>
                    <w:pStyle w:val="NoSpacing"/>
                    <w:rPr>
                      <w:lang w:val="en-GB"/>
                    </w:rPr>
                  </w:pPr>
                  <w:r w:rsidRPr="00081C8E">
                    <w:rPr>
                      <w:lang w:val="en-GB"/>
                    </w:rPr>
                    <w:t>hi</w:t>
                  </w:r>
                </w:p>
              </w:tc>
              <w:tc>
                <w:tcPr>
                  <w:tcW w:w="876" w:type="dxa"/>
                  <w:tcBorders>
                    <w:top w:val="single" w:sz="4" w:space="0" w:color="auto"/>
                    <w:left w:val="nil"/>
                    <w:bottom w:val="single" w:sz="4" w:space="0" w:color="auto"/>
                    <w:right w:val="nil"/>
                  </w:tcBorders>
                  <w:shd w:val="clear" w:color="000000" w:fill="FFFFFF"/>
                  <w:noWrap/>
                  <w:hideMark/>
                </w:tcPr>
                <w:p w14:paraId="6AF6C561"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17FF1067" w14:textId="77777777" w:rsidR="00E45009" w:rsidRPr="00081C8E" w:rsidRDefault="00E45009" w:rsidP="00E45009">
                  <w:pPr>
                    <w:pStyle w:val="NoSpacing"/>
                    <w:rPr>
                      <w:lang w:val="en-GB"/>
                    </w:rPr>
                  </w:pPr>
                  <w:r w:rsidRPr="00081C8E">
                    <w:rPr>
                      <w:lang w:val="en-GB"/>
                    </w:rPr>
                    <w:t>1.64</w:t>
                  </w:r>
                </w:p>
              </w:tc>
              <w:tc>
                <w:tcPr>
                  <w:tcW w:w="1066" w:type="dxa"/>
                  <w:tcBorders>
                    <w:top w:val="single" w:sz="4" w:space="0" w:color="auto"/>
                    <w:left w:val="nil"/>
                    <w:bottom w:val="single" w:sz="4" w:space="0" w:color="auto"/>
                    <w:right w:val="nil"/>
                  </w:tcBorders>
                  <w:shd w:val="clear" w:color="000000" w:fill="FFFFFF"/>
                  <w:noWrap/>
                  <w:hideMark/>
                </w:tcPr>
                <w:p w14:paraId="2F250421" w14:textId="77777777" w:rsidR="00E45009" w:rsidRPr="00081C8E" w:rsidRDefault="00E45009" w:rsidP="00E45009">
                  <w:pPr>
                    <w:pStyle w:val="NoSpacing"/>
                    <w:rPr>
                      <w:lang w:val="en-GB"/>
                    </w:rPr>
                  </w:pPr>
                  <w:r w:rsidRPr="00081C8E">
                    <w:rPr>
                      <w:lang w:val="en-GB"/>
                    </w:rPr>
                    <w:t>1.64</w:t>
                  </w:r>
                </w:p>
              </w:tc>
            </w:tr>
            <w:tr w:rsidR="00E45009" w:rsidRPr="00081C8E" w14:paraId="61B805BA"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6487686" w14:textId="77777777" w:rsidR="00E45009" w:rsidRPr="00081C8E" w:rsidRDefault="00E45009" w:rsidP="00E45009">
                  <w:pPr>
                    <w:pStyle w:val="NoSpacing"/>
                    <w:rPr>
                      <w:lang w:val="en-GB"/>
                    </w:rPr>
                  </w:pPr>
                  <w:r w:rsidRPr="00081C8E">
                    <w:rPr>
                      <w:lang w:val="en-GB"/>
                    </w:rPr>
                    <w:t> </w:t>
                  </w:r>
                </w:p>
              </w:tc>
              <w:tc>
                <w:tcPr>
                  <w:tcW w:w="6001" w:type="dxa"/>
                  <w:tcBorders>
                    <w:top w:val="single" w:sz="4" w:space="0" w:color="auto"/>
                    <w:left w:val="nil"/>
                    <w:bottom w:val="single" w:sz="4" w:space="0" w:color="auto"/>
                    <w:right w:val="nil"/>
                  </w:tcBorders>
                  <w:shd w:val="clear" w:color="000000" w:fill="FFFFFF"/>
                  <w:hideMark/>
                </w:tcPr>
                <w:p w14:paraId="04F7F0B7" w14:textId="77777777" w:rsidR="00E45009" w:rsidRPr="00081C8E" w:rsidRDefault="00E45009" w:rsidP="00E45009">
                  <w:pPr>
                    <w:pStyle w:val="NoSpacing"/>
                    <w:rPr>
                      <w:b/>
                      <w:bCs/>
                      <w:lang w:val="en-GB"/>
                    </w:rPr>
                  </w:pPr>
                  <w:r w:rsidRPr="00081C8E">
                    <w:rPr>
                      <w:b/>
                      <w:bCs/>
                      <w:lang w:val="en-GB"/>
                    </w:rPr>
                    <w:t>Va. Right to strike in law</w:t>
                  </w:r>
                </w:p>
              </w:tc>
              <w:tc>
                <w:tcPr>
                  <w:tcW w:w="280" w:type="dxa"/>
                  <w:tcBorders>
                    <w:top w:val="single" w:sz="4" w:space="0" w:color="auto"/>
                    <w:left w:val="nil"/>
                    <w:bottom w:val="single" w:sz="4" w:space="0" w:color="auto"/>
                    <w:right w:val="nil"/>
                  </w:tcBorders>
                  <w:shd w:val="clear" w:color="000000" w:fill="FFFFFF"/>
                  <w:hideMark/>
                </w:tcPr>
                <w:p w14:paraId="36DA3D86"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6D771B7D"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0D667423"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2E822195"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514F13D0" w14:textId="77777777" w:rsidR="00E45009" w:rsidRPr="00081C8E" w:rsidRDefault="00E45009" w:rsidP="00E45009">
                  <w:pPr>
                    <w:pStyle w:val="NoSpacing"/>
                    <w:rPr>
                      <w:lang w:val="en-GB"/>
                    </w:rPr>
                  </w:pPr>
                  <w:r w:rsidRPr="00081C8E">
                    <w:rPr>
                      <w:lang w:val="en-GB"/>
                    </w:rPr>
                    <w:t> </w:t>
                  </w:r>
                </w:p>
              </w:tc>
            </w:tr>
            <w:tr w:rsidR="00E45009" w:rsidRPr="00081C8E" w14:paraId="34A2A42E"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BC09160" w14:textId="77777777" w:rsidR="00E45009" w:rsidRPr="00081C8E" w:rsidRDefault="00E45009" w:rsidP="00E45009">
                  <w:pPr>
                    <w:pStyle w:val="NoSpacing"/>
                    <w:rPr>
                      <w:lang w:val="en-GB"/>
                    </w:rPr>
                  </w:pPr>
                  <w:r w:rsidRPr="00081C8E">
                    <w:rPr>
                      <w:lang w:val="en-GB"/>
                    </w:rPr>
                    <w:t>87</w:t>
                  </w:r>
                </w:p>
              </w:tc>
              <w:tc>
                <w:tcPr>
                  <w:tcW w:w="6001" w:type="dxa"/>
                  <w:tcBorders>
                    <w:top w:val="single" w:sz="4" w:space="0" w:color="auto"/>
                    <w:left w:val="nil"/>
                    <w:bottom w:val="single" w:sz="4" w:space="0" w:color="auto"/>
                    <w:right w:val="nil"/>
                  </w:tcBorders>
                  <w:shd w:val="clear" w:color="000000" w:fill="FFFFFF"/>
                  <w:hideMark/>
                </w:tcPr>
                <w:p w14:paraId="559603CA" w14:textId="77777777" w:rsidR="00E45009" w:rsidRPr="00081C8E" w:rsidRDefault="00E45009" w:rsidP="00E45009">
                  <w:pPr>
                    <w:pStyle w:val="NoSpacing"/>
                    <w:rPr>
                      <w:lang w:val="en-GB"/>
                    </w:rPr>
                  </w:pPr>
                  <w:r w:rsidRPr="00081C8E">
                    <w:rPr>
                      <w:lang w:val="en-GB"/>
                    </w:rPr>
                    <w:t>Exclusion/restriction based on the objective and/or type of the strike</w:t>
                  </w:r>
                </w:p>
              </w:tc>
              <w:tc>
                <w:tcPr>
                  <w:tcW w:w="280" w:type="dxa"/>
                  <w:tcBorders>
                    <w:top w:val="single" w:sz="4" w:space="0" w:color="auto"/>
                    <w:left w:val="nil"/>
                    <w:bottom w:val="single" w:sz="4" w:space="0" w:color="auto"/>
                    <w:right w:val="nil"/>
                  </w:tcBorders>
                  <w:shd w:val="clear" w:color="000000" w:fill="FFFFFF"/>
                  <w:hideMark/>
                </w:tcPr>
                <w:p w14:paraId="771C3638"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1058FA62" w14:textId="77777777" w:rsidR="00E45009" w:rsidRPr="00081C8E" w:rsidRDefault="00E45009" w:rsidP="00E45009">
                  <w:pPr>
                    <w:pStyle w:val="NoSpacing"/>
                    <w:rPr>
                      <w:lang w:val="en-GB"/>
                    </w:rPr>
                  </w:pPr>
                  <w:r w:rsidRPr="00081C8E">
                    <w:rPr>
                      <w:lang w:val="en-GB"/>
                    </w:rPr>
                    <w:t>af</w:t>
                  </w:r>
                </w:p>
              </w:tc>
              <w:tc>
                <w:tcPr>
                  <w:tcW w:w="876" w:type="dxa"/>
                  <w:tcBorders>
                    <w:top w:val="single" w:sz="4" w:space="0" w:color="auto"/>
                    <w:left w:val="nil"/>
                    <w:bottom w:val="single" w:sz="4" w:space="0" w:color="auto"/>
                    <w:right w:val="nil"/>
                  </w:tcBorders>
                  <w:shd w:val="clear" w:color="000000" w:fill="FFFFFF"/>
                  <w:noWrap/>
                  <w:hideMark/>
                </w:tcPr>
                <w:p w14:paraId="408A34C7"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11179275" w14:textId="77777777" w:rsidR="00E45009" w:rsidRPr="00081C8E" w:rsidRDefault="00E45009" w:rsidP="00E45009">
                  <w:pPr>
                    <w:pStyle w:val="NoSpacing"/>
                    <w:rPr>
                      <w:lang w:val="en-GB"/>
                    </w:rPr>
                  </w:pPr>
                  <w:r w:rsidRPr="00081C8E">
                    <w:rPr>
                      <w:lang w:val="en-GB"/>
                    </w:rPr>
                    <w:t>1.46</w:t>
                  </w:r>
                </w:p>
              </w:tc>
              <w:tc>
                <w:tcPr>
                  <w:tcW w:w="1066" w:type="dxa"/>
                  <w:tcBorders>
                    <w:top w:val="single" w:sz="4" w:space="0" w:color="auto"/>
                    <w:left w:val="nil"/>
                    <w:bottom w:val="single" w:sz="4" w:space="0" w:color="auto"/>
                    <w:right w:val="nil"/>
                  </w:tcBorders>
                  <w:shd w:val="clear" w:color="000000" w:fill="FFFFFF"/>
                  <w:noWrap/>
                  <w:hideMark/>
                </w:tcPr>
                <w:p w14:paraId="505A5603" w14:textId="77777777" w:rsidR="00E45009" w:rsidRPr="00081C8E" w:rsidRDefault="00E45009" w:rsidP="00E45009">
                  <w:pPr>
                    <w:pStyle w:val="NoSpacing"/>
                    <w:rPr>
                      <w:lang w:val="en-GB"/>
                    </w:rPr>
                  </w:pPr>
                  <w:r w:rsidRPr="00081C8E">
                    <w:rPr>
                      <w:lang w:val="en-GB"/>
                    </w:rPr>
                    <w:t>1.46</w:t>
                  </w:r>
                </w:p>
              </w:tc>
            </w:tr>
            <w:tr w:rsidR="00E45009" w:rsidRPr="00081C8E" w14:paraId="5E8575F8"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5E81528C" w14:textId="77777777" w:rsidR="00E45009" w:rsidRPr="00081C8E" w:rsidRDefault="00E45009" w:rsidP="00E45009">
                  <w:pPr>
                    <w:pStyle w:val="NoSpacing"/>
                    <w:rPr>
                      <w:lang w:val="en-GB"/>
                    </w:rPr>
                  </w:pPr>
                  <w:r w:rsidRPr="00081C8E">
                    <w:rPr>
                      <w:lang w:val="en-GB"/>
                    </w:rPr>
                    <w:t>88</w:t>
                  </w:r>
                </w:p>
              </w:tc>
              <w:tc>
                <w:tcPr>
                  <w:tcW w:w="6001" w:type="dxa"/>
                  <w:tcBorders>
                    <w:top w:val="single" w:sz="4" w:space="0" w:color="auto"/>
                    <w:left w:val="nil"/>
                    <w:bottom w:val="single" w:sz="4" w:space="0" w:color="auto"/>
                    <w:right w:val="nil"/>
                  </w:tcBorders>
                  <w:shd w:val="clear" w:color="000000" w:fill="FFFFFF"/>
                  <w:hideMark/>
                </w:tcPr>
                <w:p w14:paraId="2248BCE6" w14:textId="77777777" w:rsidR="00E45009" w:rsidRPr="00081C8E" w:rsidRDefault="00E45009" w:rsidP="00E45009">
                  <w:pPr>
                    <w:pStyle w:val="NoSpacing"/>
                    <w:rPr>
                      <w:lang w:val="en-GB"/>
                    </w:rPr>
                  </w:pPr>
                  <w:r w:rsidRPr="00081C8E">
                    <w:rPr>
                      <w:lang w:val="en-GB"/>
                    </w:rPr>
                    <w:t>Provisions in law allowing for the suspension and/or declaration of illegality of strikes by administrative authority</w:t>
                  </w:r>
                </w:p>
              </w:tc>
              <w:tc>
                <w:tcPr>
                  <w:tcW w:w="280" w:type="dxa"/>
                  <w:tcBorders>
                    <w:top w:val="single" w:sz="4" w:space="0" w:color="auto"/>
                    <w:left w:val="nil"/>
                    <w:bottom w:val="single" w:sz="4" w:space="0" w:color="auto"/>
                    <w:right w:val="nil"/>
                  </w:tcBorders>
                  <w:shd w:val="clear" w:color="000000" w:fill="FFFFFF"/>
                  <w:hideMark/>
                </w:tcPr>
                <w:p w14:paraId="5B837694"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5D69005A" w14:textId="77777777" w:rsidR="00E45009" w:rsidRPr="00081C8E" w:rsidRDefault="00E45009" w:rsidP="00E45009">
                  <w:pPr>
                    <w:pStyle w:val="NoSpacing"/>
                    <w:rPr>
                      <w:lang w:val="en-GB"/>
                    </w:rPr>
                  </w:pPr>
                  <w:r w:rsidRPr="00081C8E">
                    <w:rPr>
                      <w:lang w:val="en-GB"/>
                    </w:rPr>
                    <w:t>ahi</w:t>
                  </w:r>
                </w:p>
              </w:tc>
              <w:tc>
                <w:tcPr>
                  <w:tcW w:w="876" w:type="dxa"/>
                  <w:tcBorders>
                    <w:top w:val="single" w:sz="4" w:space="0" w:color="auto"/>
                    <w:left w:val="nil"/>
                    <w:bottom w:val="single" w:sz="4" w:space="0" w:color="auto"/>
                    <w:right w:val="nil"/>
                  </w:tcBorders>
                  <w:shd w:val="clear" w:color="000000" w:fill="FFFFFF"/>
                  <w:noWrap/>
                  <w:hideMark/>
                </w:tcPr>
                <w:p w14:paraId="203F6ED0"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3C8AED8A" w14:textId="77777777" w:rsidR="00E45009" w:rsidRPr="00081C8E" w:rsidRDefault="00E45009" w:rsidP="00E45009">
                  <w:pPr>
                    <w:pStyle w:val="NoSpacing"/>
                    <w:rPr>
                      <w:lang w:val="en-GB"/>
                    </w:rPr>
                  </w:pPr>
                  <w:r w:rsidRPr="00081C8E">
                    <w:rPr>
                      <w:lang w:val="en-GB"/>
                    </w:rPr>
                    <w:t>1.59</w:t>
                  </w:r>
                </w:p>
              </w:tc>
              <w:tc>
                <w:tcPr>
                  <w:tcW w:w="1066" w:type="dxa"/>
                  <w:tcBorders>
                    <w:top w:val="single" w:sz="4" w:space="0" w:color="auto"/>
                    <w:left w:val="nil"/>
                    <w:bottom w:val="single" w:sz="4" w:space="0" w:color="auto"/>
                    <w:right w:val="nil"/>
                  </w:tcBorders>
                  <w:shd w:val="clear" w:color="000000" w:fill="FFFFFF"/>
                  <w:noWrap/>
                  <w:hideMark/>
                </w:tcPr>
                <w:p w14:paraId="38C7A804" w14:textId="77777777" w:rsidR="00E45009" w:rsidRPr="00081C8E" w:rsidRDefault="00E45009" w:rsidP="00E45009">
                  <w:pPr>
                    <w:pStyle w:val="NoSpacing"/>
                    <w:rPr>
                      <w:lang w:val="en-GB"/>
                    </w:rPr>
                  </w:pPr>
                  <w:r w:rsidRPr="00081C8E">
                    <w:rPr>
                      <w:lang w:val="en-GB"/>
                    </w:rPr>
                    <w:t>1.59</w:t>
                  </w:r>
                </w:p>
              </w:tc>
            </w:tr>
            <w:tr w:rsidR="00E45009" w:rsidRPr="00081C8E" w14:paraId="36F4B277"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410BA71A" w14:textId="77777777" w:rsidR="00E45009" w:rsidRPr="00081C8E" w:rsidRDefault="00E45009" w:rsidP="00E45009">
                  <w:pPr>
                    <w:pStyle w:val="NoSpacing"/>
                    <w:rPr>
                      <w:lang w:val="en-GB"/>
                    </w:rPr>
                  </w:pPr>
                  <w:r w:rsidRPr="00081C8E">
                    <w:rPr>
                      <w:lang w:val="en-GB"/>
                    </w:rPr>
                    <w:t>94</w:t>
                  </w:r>
                </w:p>
              </w:tc>
              <w:tc>
                <w:tcPr>
                  <w:tcW w:w="6001" w:type="dxa"/>
                  <w:tcBorders>
                    <w:top w:val="single" w:sz="4" w:space="0" w:color="auto"/>
                    <w:left w:val="nil"/>
                    <w:bottom w:val="single" w:sz="4" w:space="0" w:color="auto"/>
                    <w:right w:val="nil"/>
                  </w:tcBorders>
                  <w:shd w:val="clear" w:color="000000" w:fill="FFFFFF"/>
                  <w:hideMark/>
                </w:tcPr>
                <w:p w14:paraId="77165B85" w14:textId="77777777" w:rsidR="00E45009" w:rsidRPr="00081C8E" w:rsidRDefault="00E45009" w:rsidP="00E45009">
                  <w:pPr>
                    <w:pStyle w:val="NoSpacing"/>
                    <w:rPr>
                      <w:lang w:val="en-GB"/>
                    </w:rPr>
                  </w:pPr>
                  <w:r w:rsidRPr="00081C8E">
                    <w:rPr>
                      <w:lang w:val="en-GB"/>
                    </w:rPr>
                    <w:t>Imposing excessive sanctions in case of legitimate strikes</w:t>
                  </w:r>
                </w:p>
              </w:tc>
              <w:tc>
                <w:tcPr>
                  <w:tcW w:w="280" w:type="dxa"/>
                  <w:tcBorders>
                    <w:top w:val="single" w:sz="4" w:space="0" w:color="auto"/>
                    <w:left w:val="nil"/>
                    <w:bottom w:val="single" w:sz="4" w:space="0" w:color="auto"/>
                    <w:right w:val="nil"/>
                  </w:tcBorders>
                  <w:shd w:val="clear" w:color="000000" w:fill="FFFFFF"/>
                  <w:hideMark/>
                </w:tcPr>
                <w:p w14:paraId="2FC1FDAB"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402D68CE" w14:textId="77777777" w:rsidR="00E45009" w:rsidRPr="00081C8E" w:rsidRDefault="00E45009" w:rsidP="00E45009">
                  <w:pPr>
                    <w:pStyle w:val="NoSpacing"/>
                    <w:rPr>
                      <w:lang w:val="en-GB"/>
                    </w:rPr>
                  </w:pPr>
                  <w:r w:rsidRPr="00081C8E">
                    <w:rPr>
                      <w:lang w:val="en-GB"/>
                    </w:rPr>
                    <w:t>afhi</w:t>
                  </w:r>
                </w:p>
              </w:tc>
              <w:tc>
                <w:tcPr>
                  <w:tcW w:w="876" w:type="dxa"/>
                  <w:tcBorders>
                    <w:top w:val="single" w:sz="4" w:space="0" w:color="auto"/>
                    <w:left w:val="nil"/>
                    <w:bottom w:val="single" w:sz="4" w:space="0" w:color="auto"/>
                    <w:right w:val="nil"/>
                  </w:tcBorders>
                  <w:shd w:val="clear" w:color="000000" w:fill="FFFFFF"/>
                  <w:noWrap/>
                  <w:hideMark/>
                </w:tcPr>
                <w:p w14:paraId="291A7EF4"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7885217E" w14:textId="77777777" w:rsidR="00E45009" w:rsidRPr="00081C8E" w:rsidRDefault="00E45009" w:rsidP="00E45009">
                  <w:pPr>
                    <w:pStyle w:val="NoSpacing"/>
                    <w:rPr>
                      <w:lang w:val="en-GB"/>
                    </w:rPr>
                  </w:pPr>
                  <w:r w:rsidRPr="00081C8E">
                    <w:rPr>
                      <w:lang w:val="en-GB"/>
                    </w:rPr>
                    <w:t>1.82</w:t>
                  </w:r>
                </w:p>
              </w:tc>
              <w:tc>
                <w:tcPr>
                  <w:tcW w:w="1066" w:type="dxa"/>
                  <w:tcBorders>
                    <w:top w:val="single" w:sz="4" w:space="0" w:color="auto"/>
                    <w:left w:val="nil"/>
                    <w:bottom w:val="single" w:sz="4" w:space="0" w:color="auto"/>
                    <w:right w:val="nil"/>
                  </w:tcBorders>
                  <w:shd w:val="clear" w:color="000000" w:fill="FFFFFF"/>
                  <w:noWrap/>
                  <w:hideMark/>
                </w:tcPr>
                <w:p w14:paraId="2662CA39" w14:textId="77777777" w:rsidR="00E45009" w:rsidRPr="00081C8E" w:rsidRDefault="00E45009" w:rsidP="00E45009">
                  <w:pPr>
                    <w:pStyle w:val="NoSpacing"/>
                    <w:rPr>
                      <w:lang w:val="en-GB"/>
                    </w:rPr>
                  </w:pPr>
                  <w:r w:rsidRPr="00081C8E">
                    <w:rPr>
                      <w:lang w:val="en-GB"/>
                    </w:rPr>
                    <w:t>1.82</w:t>
                  </w:r>
                </w:p>
              </w:tc>
            </w:tr>
            <w:tr w:rsidR="00E45009" w:rsidRPr="00081C8E" w14:paraId="7EED30A6"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46F5D30" w14:textId="77777777" w:rsidR="00E45009" w:rsidRPr="00081C8E" w:rsidRDefault="00E45009" w:rsidP="00E45009">
                  <w:pPr>
                    <w:pStyle w:val="NoSpacing"/>
                    <w:rPr>
                      <w:lang w:val="en-GB"/>
                    </w:rPr>
                  </w:pPr>
                  <w:r w:rsidRPr="00081C8E">
                    <w:rPr>
                      <w:lang w:val="en-GB"/>
                    </w:rPr>
                    <w:t> </w:t>
                  </w:r>
                </w:p>
              </w:tc>
              <w:tc>
                <w:tcPr>
                  <w:tcW w:w="6001" w:type="dxa"/>
                  <w:tcBorders>
                    <w:top w:val="single" w:sz="4" w:space="0" w:color="auto"/>
                    <w:left w:val="nil"/>
                    <w:bottom w:val="single" w:sz="4" w:space="0" w:color="auto"/>
                    <w:right w:val="nil"/>
                  </w:tcBorders>
                  <w:shd w:val="clear" w:color="000000" w:fill="FFFFFF"/>
                  <w:hideMark/>
                </w:tcPr>
                <w:p w14:paraId="1F56F21A" w14:textId="77777777" w:rsidR="00E45009" w:rsidRPr="00081C8E" w:rsidRDefault="00E45009" w:rsidP="00E45009">
                  <w:pPr>
                    <w:pStyle w:val="NoSpacing"/>
                    <w:rPr>
                      <w:b/>
                      <w:bCs/>
                      <w:lang w:val="en-GB"/>
                    </w:rPr>
                  </w:pPr>
                  <w:r w:rsidRPr="00081C8E">
                    <w:rPr>
                      <w:b/>
                      <w:bCs/>
                      <w:lang w:val="en-GB"/>
                    </w:rPr>
                    <w:t>Vb. Right to strike in practice</w:t>
                  </w:r>
                </w:p>
              </w:tc>
              <w:tc>
                <w:tcPr>
                  <w:tcW w:w="280" w:type="dxa"/>
                  <w:tcBorders>
                    <w:top w:val="single" w:sz="4" w:space="0" w:color="auto"/>
                    <w:left w:val="nil"/>
                    <w:bottom w:val="single" w:sz="4" w:space="0" w:color="auto"/>
                    <w:right w:val="nil"/>
                  </w:tcBorders>
                  <w:shd w:val="clear" w:color="000000" w:fill="FFFFFF"/>
                  <w:hideMark/>
                </w:tcPr>
                <w:p w14:paraId="659285FE" w14:textId="77777777" w:rsidR="00E45009" w:rsidRPr="00081C8E" w:rsidRDefault="00E45009" w:rsidP="00E45009">
                  <w:pPr>
                    <w:pStyle w:val="NoSpacing"/>
                    <w:rPr>
                      <w:b/>
                      <w:bCs/>
                      <w:lang w:val="en-GB"/>
                    </w:rPr>
                  </w:pPr>
                  <w:r w:rsidRPr="00081C8E">
                    <w:rPr>
                      <w:b/>
                      <w:bCs/>
                      <w:lang w:val="en-GB"/>
                    </w:rPr>
                    <w:t> </w:t>
                  </w:r>
                </w:p>
              </w:tc>
              <w:tc>
                <w:tcPr>
                  <w:tcW w:w="996" w:type="dxa"/>
                  <w:tcBorders>
                    <w:top w:val="single" w:sz="4" w:space="0" w:color="auto"/>
                    <w:left w:val="nil"/>
                    <w:bottom w:val="single" w:sz="4" w:space="0" w:color="auto"/>
                    <w:right w:val="nil"/>
                  </w:tcBorders>
                  <w:shd w:val="clear" w:color="000000" w:fill="FFFFFF"/>
                  <w:noWrap/>
                  <w:hideMark/>
                </w:tcPr>
                <w:p w14:paraId="412B441B"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33E089B0"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480F0286"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02E0A381" w14:textId="77777777" w:rsidR="00E45009" w:rsidRPr="00081C8E" w:rsidRDefault="00E45009" w:rsidP="00E45009">
                  <w:pPr>
                    <w:pStyle w:val="NoSpacing"/>
                    <w:rPr>
                      <w:lang w:val="en-GB"/>
                    </w:rPr>
                  </w:pPr>
                  <w:r w:rsidRPr="00081C8E">
                    <w:rPr>
                      <w:lang w:val="en-GB"/>
                    </w:rPr>
                    <w:t> </w:t>
                  </w:r>
                </w:p>
              </w:tc>
            </w:tr>
            <w:tr w:rsidR="00E45009" w:rsidRPr="00081C8E" w14:paraId="332D843F"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6C7057A0" w14:textId="77777777" w:rsidR="00E45009" w:rsidRPr="00081C8E" w:rsidRDefault="00E45009" w:rsidP="00E45009">
                  <w:pPr>
                    <w:pStyle w:val="NoSpacing"/>
                    <w:rPr>
                      <w:lang w:val="en-GB"/>
                    </w:rPr>
                  </w:pPr>
                  <w:r w:rsidRPr="00081C8E">
                    <w:rPr>
                      <w:lang w:val="en-GB"/>
                    </w:rPr>
                    <w:t>105</w:t>
                  </w:r>
                </w:p>
              </w:tc>
              <w:tc>
                <w:tcPr>
                  <w:tcW w:w="6001" w:type="dxa"/>
                  <w:tcBorders>
                    <w:top w:val="single" w:sz="4" w:space="0" w:color="auto"/>
                    <w:left w:val="nil"/>
                    <w:bottom w:val="single" w:sz="4" w:space="0" w:color="auto"/>
                    <w:right w:val="nil"/>
                  </w:tcBorders>
                  <w:shd w:val="clear" w:color="000000" w:fill="FFFFFF"/>
                  <w:hideMark/>
                </w:tcPr>
                <w:p w14:paraId="2CDE87B1" w14:textId="77777777" w:rsidR="00E45009" w:rsidRPr="00081C8E" w:rsidRDefault="00E45009" w:rsidP="00E45009">
                  <w:pPr>
                    <w:pStyle w:val="NoSpacing"/>
                    <w:rPr>
                      <w:lang w:val="en-GB"/>
                    </w:rPr>
                  </w:pPr>
                  <w:r w:rsidRPr="00081C8E">
                    <w:rPr>
                      <w:lang w:val="en-GB"/>
                    </w:rPr>
                    <w:t>Acts of interference during the course of strike action</w:t>
                  </w:r>
                </w:p>
              </w:tc>
              <w:tc>
                <w:tcPr>
                  <w:tcW w:w="280" w:type="dxa"/>
                  <w:tcBorders>
                    <w:top w:val="single" w:sz="4" w:space="0" w:color="auto"/>
                    <w:left w:val="nil"/>
                    <w:bottom w:val="single" w:sz="4" w:space="0" w:color="auto"/>
                    <w:right w:val="nil"/>
                  </w:tcBorders>
                  <w:shd w:val="clear" w:color="000000" w:fill="FFFFFF"/>
                  <w:hideMark/>
                </w:tcPr>
                <w:p w14:paraId="700860CC"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0C76679A" w14:textId="77777777" w:rsidR="00E45009" w:rsidRPr="00081C8E" w:rsidRDefault="00E45009" w:rsidP="00E45009">
                  <w:pPr>
                    <w:pStyle w:val="NoSpacing"/>
                    <w:rPr>
                      <w:lang w:val="en-GB"/>
                    </w:rPr>
                  </w:pPr>
                  <w:r w:rsidRPr="00081C8E">
                    <w:rPr>
                      <w:lang w:val="en-GB"/>
                    </w:rPr>
                    <w:t>hi</w:t>
                  </w:r>
                </w:p>
              </w:tc>
              <w:tc>
                <w:tcPr>
                  <w:tcW w:w="876" w:type="dxa"/>
                  <w:tcBorders>
                    <w:top w:val="single" w:sz="4" w:space="0" w:color="auto"/>
                    <w:left w:val="nil"/>
                    <w:bottom w:val="single" w:sz="4" w:space="0" w:color="auto"/>
                    <w:right w:val="nil"/>
                  </w:tcBorders>
                  <w:shd w:val="clear" w:color="000000" w:fill="FFFFFF"/>
                  <w:noWrap/>
                  <w:hideMark/>
                </w:tcPr>
                <w:p w14:paraId="35712B3B"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51943752" w14:textId="77777777" w:rsidR="00E45009" w:rsidRPr="00081C8E" w:rsidRDefault="00E45009" w:rsidP="00E45009">
                  <w:pPr>
                    <w:pStyle w:val="NoSpacing"/>
                    <w:rPr>
                      <w:lang w:val="en-GB"/>
                    </w:rPr>
                  </w:pPr>
                  <w:r w:rsidRPr="00081C8E">
                    <w:rPr>
                      <w:lang w:val="en-GB"/>
                    </w:rPr>
                    <w:t>1.64</w:t>
                  </w:r>
                </w:p>
              </w:tc>
              <w:tc>
                <w:tcPr>
                  <w:tcW w:w="1066" w:type="dxa"/>
                  <w:tcBorders>
                    <w:top w:val="single" w:sz="4" w:space="0" w:color="auto"/>
                    <w:left w:val="nil"/>
                    <w:bottom w:val="single" w:sz="4" w:space="0" w:color="auto"/>
                    <w:right w:val="nil"/>
                  </w:tcBorders>
                  <w:shd w:val="clear" w:color="000000" w:fill="FFFFFF"/>
                  <w:noWrap/>
                  <w:hideMark/>
                </w:tcPr>
                <w:p w14:paraId="3E1B2A2B" w14:textId="77777777" w:rsidR="00E45009" w:rsidRPr="00081C8E" w:rsidRDefault="00E45009" w:rsidP="00E45009">
                  <w:pPr>
                    <w:pStyle w:val="NoSpacing"/>
                    <w:rPr>
                      <w:lang w:val="en-GB"/>
                    </w:rPr>
                  </w:pPr>
                  <w:r w:rsidRPr="00081C8E">
                    <w:rPr>
                      <w:lang w:val="en-GB"/>
                    </w:rPr>
                    <w:t>1.64</w:t>
                  </w:r>
                </w:p>
              </w:tc>
            </w:tr>
            <w:tr w:rsidR="00E45009" w:rsidRPr="00081C8E" w14:paraId="590CE6C4"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74372971" w14:textId="77777777" w:rsidR="00E45009" w:rsidRPr="00081C8E" w:rsidRDefault="00E45009" w:rsidP="00E45009">
                  <w:pPr>
                    <w:pStyle w:val="NoSpacing"/>
                    <w:rPr>
                      <w:lang w:val="en-GB"/>
                    </w:rPr>
                  </w:pPr>
                  <w:r w:rsidRPr="00081C8E">
                    <w:rPr>
                      <w:lang w:val="en-GB"/>
                    </w:rPr>
                    <w:t>107</w:t>
                  </w:r>
                </w:p>
              </w:tc>
              <w:tc>
                <w:tcPr>
                  <w:tcW w:w="6001" w:type="dxa"/>
                  <w:tcBorders>
                    <w:top w:val="single" w:sz="4" w:space="0" w:color="auto"/>
                    <w:left w:val="nil"/>
                    <w:bottom w:val="single" w:sz="4" w:space="0" w:color="auto"/>
                    <w:right w:val="nil"/>
                  </w:tcBorders>
                  <w:shd w:val="clear" w:color="000000" w:fill="FFFFFF"/>
                  <w:hideMark/>
                </w:tcPr>
                <w:p w14:paraId="033DDBFA" w14:textId="77777777" w:rsidR="00E45009" w:rsidRPr="00081C8E" w:rsidRDefault="00E45009" w:rsidP="00E45009">
                  <w:pPr>
                    <w:pStyle w:val="NoSpacing"/>
                    <w:rPr>
                      <w:lang w:val="en-GB"/>
                    </w:rPr>
                  </w:pPr>
                  <w:r w:rsidRPr="00081C8E">
                    <w:rPr>
                      <w:lang w:val="en-GB"/>
                    </w:rPr>
                    <w:t>Committed against trade union officials re violation no. 106</w:t>
                  </w:r>
                </w:p>
              </w:tc>
              <w:tc>
                <w:tcPr>
                  <w:tcW w:w="280" w:type="dxa"/>
                  <w:tcBorders>
                    <w:top w:val="single" w:sz="4" w:space="0" w:color="auto"/>
                    <w:left w:val="nil"/>
                    <w:bottom w:val="single" w:sz="4" w:space="0" w:color="auto"/>
                    <w:right w:val="nil"/>
                  </w:tcBorders>
                  <w:shd w:val="clear" w:color="000000" w:fill="FFFFFF"/>
                  <w:hideMark/>
                </w:tcPr>
                <w:p w14:paraId="772CA61D"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06ED8B65" w14:textId="77777777" w:rsidR="00E45009" w:rsidRPr="00081C8E" w:rsidRDefault="00E45009" w:rsidP="00E45009">
                  <w:pPr>
                    <w:pStyle w:val="NoSpacing"/>
                    <w:rPr>
                      <w:lang w:val="en-GB"/>
                    </w:rPr>
                  </w:pPr>
                  <w:r w:rsidRPr="00081C8E">
                    <w:rPr>
                      <w:lang w:val="en-GB"/>
                    </w:rPr>
                    <w:t>h</w:t>
                  </w:r>
                </w:p>
              </w:tc>
              <w:tc>
                <w:tcPr>
                  <w:tcW w:w="876" w:type="dxa"/>
                  <w:tcBorders>
                    <w:top w:val="single" w:sz="4" w:space="0" w:color="auto"/>
                    <w:left w:val="nil"/>
                    <w:bottom w:val="single" w:sz="4" w:space="0" w:color="auto"/>
                    <w:right w:val="nil"/>
                  </w:tcBorders>
                  <w:shd w:val="clear" w:color="000000" w:fill="FFFFFF"/>
                  <w:noWrap/>
                  <w:hideMark/>
                </w:tcPr>
                <w:p w14:paraId="6209589D"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1B995E59" w14:textId="77777777" w:rsidR="00E45009" w:rsidRPr="00081C8E" w:rsidRDefault="00E45009" w:rsidP="00E45009">
                  <w:pPr>
                    <w:pStyle w:val="NoSpacing"/>
                    <w:rPr>
                      <w:lang w:val="en-GB"/>
                    </w:rPr>
                  </w:pPr>
                  <w:r w:rsidRPr="00081C8E">
                    <w:rPr>
                      <w:lang w:val="en-GB"/>
                    </w:rPr>
                    <w:t>1.80</w:t>
                  </w:r>
                </w:p>
              </w:tc>
              <w:tc>
                <w:tcPr>
                  <w:tcW w:w="1066" w:type="dxa"/>
                  <w:tcBorders>
                    <w:top w:val="single" w:sz="4" w:space="0" w:color="auto"/>
                    <w:left w:val="nil"/>
                    <w:bottom w:val="single" w:sz="4" w:space="0" w:color="auto"/>
                    <w:right w:val="nil"/>
                  </w:tcBorders>
                  <w:shd w:val="clear" w:color="000000" w:fill="FFFFFF"/>
                  <w:noWrap/>
                  <w:hideMark/>
                </w:tcPr>
                <w:p w14:paraId="65C5319B" w14:textId="77777777" w:rsidR="00E45009" w:rsidRPr="00081C8E" w:rsidRDefault="00E45009" w:rsidP="00E45009">
                  <w:pPr>
                    <w:pStyle w:val="NoSpacing"/>
                    <w:rPr>
                      <w:lang w:val="en-GB"/>
                    </w:rPr>
                  </w:pPr>
                  <w:r w:rsidRPr="00081C8E">
                    <w:rPr>
                      <w:lang w:val="en-GB"/>
                    </w:rPr>
                    <w:t>1.80</w:t>
                  </w:r>
                </w:p>
              </w:tc>
            </w:tr>
            <w:tr w:rsidR="00E45009" w:rsidRPr="00081C8E" w14:paraId="57226090" w14:textId="77777777" w:rsidTr="00DB32C0">
              <w:trPr>
                <w:trHeight w:val="255"/>
              </w:trPr>
              <w:tc>
                <w:tcPr>
                  <w:tcW w:w="521" w:type="dxa"/>
                  <w:tcBorders>
                    <w:top w:val="single" w:sz="4" w:space="0" w:color="auto"/>
                    <w:left w:val="nil"/>
                    <w:bottom w:val="single" w:sz="4" w:space="0" w:color="auto"/>
                    <w:right w:val="nil"/>
                  </w:tcBorders>
                  <w:shd w:val="clear" w:color="000000" w:fill="FFFFFF"/>
                  <w:noWrap/>
                  <w:hideMark/>
                </w:tcPr>
                <w:p w14:paraId="5EFDD6C7" w14:textId="77777777" w:rsidR="00E45009" w:rsidRPr="00081C8E" w:rsidRDefault="00E45009" w:rsidP="00E45009">
                  <w:pPr>
                    <w:pStyle w:val="NoSpacing"/>
                    <w:rPr>
                      <w:lang w:val="en-GB"/>
                    </w:rPr>
                  </w:pPr>
                  <w:r w:rsidRPr="00081C8E">
                    <w:rPr>
                      <w:lang w:val="en-GB"/>
                    </w:rPr>
                    <w:t>108</w:t>
                  </w:r>
                </w:p>
              </w:tc>
              <w:tc>
                <w:tcPr>
                  <w:tcW w:w="6001" w:type="dxa"/>
                  <w:tcBorders>
                    <w:top w:val="single" w:sz="4" w:space="0" w:color="auto"/>
                    <w:left w:val="nil"/>
                    <w:bottom w:val="single" w:sz="4" w:space="0" w:color="auto"/>
                    <w:right w:val="nil"/>
                  </w:tcBorders>
                  <w:shd w:val="clear" w:color="000000" w:fill="FFFFFF"/>
                  <w:hideMark/>
                </w:tcPr>
                <w:p w14:paraId="4B256782" w14:textId="77777777" w:rsidR="00E45009" w:rsidRPr="00081C8E" w:rsidRDefault="00E45009" w:rsidP="00E45009">
                  <w:pPr>
                    <w:pStyle w:val="NoSpacing"/>
                    <w:rPr>
                      <w:lang w:val="en-GB"/>
                    </w:rPr>
                  </w:pPr>
                  <w:r w:rsidRPr="00081C8E">
                    <w:rPr>
                      <w:lang w:val="en-GB"/>
                    </w:rPr>
                    <w:t>Lack of guarantee of due process and/or justice re violations nos. 96-107</w:t>
                  </w:r>
                </w:p>
              </w:tc>
              <w:tc>
                <w:tcPr>
                  <w:tcW w:w="280" w:type="dxa"/>
                  <w:tcBorders>
                    <w:top w:val="single" w:sz="4" w:space="0" w:color="auto"/>
                    <w:left w:val="nil"/>
                    <w:bottom w:val="single" w:sz="4" w:space="0" w:color="auto"/>
                    <w:right w:val="nil"/>
                  </w:tcBorders>
                  <w:shd w:val="clear" w:color="000000" w:fill="FFFFFF"/>
                  <w:hideMark/>
                </w:tcPr>
                <w:p w14:paraId="7500D08C"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3B4D8166" w14:textId="77777777" w:rsidR="00E45009" w:rsidRPr="00081C8E" w:rsidRDefault="00E45009" w:rsidP="00E45009">
                  <w:pPr>
                    <w:pStyle w:val="NoSpacing"/>
                    <w:rPr>
                      <w:lang w:val="en-GB"/>
                    </w:rPr>
                  </w:pPr>
                  <w:r w:rsidRPr="00081C8E">
                    <w:rPr>
                      <w:lang w:val="en-GB"/>
                    </w:rPr>
                    <w:t>h</w:t>
                  </w:r>
                </w:p>
              </w:tc>
              <w:tc>
                <w:tcPr>
                  <w:tcW w:w="876" w:type="dxa"/>
                  <w:tcBorders>
                    <w:top w:val="single" w:sz="4" w:space="0" w:color="auto"/>
                    <w:left w:val="nil"/>
                    <w:bottom w:val="single" w:sz="4" w:space="0" w:color="auto"/>
                    <w:right w:val="nil"/>
                  </w:tcBorders>
                  <w:shd w:val="clear" w:color="000000" w:fill="FFFFFF"/>
                  <w:noWrap/>
                  <w:hideMark/>
                </w:tcPr>
                <w:p w14:paraId="2769E752" w14:textId="77777777" w:rsidR="00E45009" w:rsidRPr="00081C8E" w:rsidRDefault="00E45009" w:rsidP="00E45009">
                  <w:pPr>
                    <w:pStyle w:val="NoSpacing"/>
                    <w:rPr>
                      <w:lang w:val="en-GB"/>
                    </w:rPr>
                  </w:pPr>
                  <w:r w:rsidRPr="00081C8E">
                    <w:rPr>
                      <w:lang w:val="en-GB"/>
                    </w:rPr>
                    <w:t>1</w:t>
                  </w:r>
                </w:p>
              </w:tc>
              <w:tc>
                <w:tcPr>
                  <w:tcW w:w="1035" w:type="dxa"/>
                  <w:tcBorders>
                    <w:top w:val="single" w:sz="4" w:space="0" w:color="auto"/>
                    <w:left w:val="nil"/>
                    <w:bottom w:val="single" w:sz="4" w:space="0" w:color="auto"/>
                    <w:right w:val="nil"/>
                  </w:tcBorders>
                  <w:shd w:val="clear" w:color="000000" w:fill="FFFFFF"/>
                  <w:noWrap/>
                  <w:hideMark/>
                </w:tcPr>
                <w:p w14:paraId="24DBF049" w14:textId="77777777" w:rsidR="00E45009" w:rsidRPr="00081C8E" w:rsidRDefault="00E45009" w:rsidP="00E45009">
                  <w:pPr>
                    <w:pStyle w:val="NoSpacing"/>
                    <w:rPr>
                      <w:lang w:val="en-GB"/>
                    </w:rPr>
                  </w:pPr>
                  <w:r w:rsidRPr="00081C8E">
                    <w:rPr>
                      <w:lang w:val="en-GB"/>
                    </w:rPr>
                    <w:t>1.77</w:t>
                  </w:r>
                </w:p>
              </w:tc>
              <w:tc>
                <w:tcPr>
                  <w:tcW w:w="1066" w:type="dxa"/>
                  <w:tcBorders>
                    <w:top w:val="single" w:sz="4" w:space="0" w:color="auto"/>
                    <w:left w:val="nil"/>
                    <w:bottom w:val="single" w:sz="4" w:space="0" w:color="auto"/>
                    <w:right w:val="nil"/>
                  </w:tcBorders>
                  <w:shd w:val="clear" w:color="000000" w:fill="FFFFFF"/>
                  <w:noWrap/>
                  <w:hideMark/>
                </w:tcPr>
                <w:p w14:paraId="249DDC8A" w14:textId="77777777" w:rsidR="00E45009" w:rsidRPr="00081C8E" w:rsidRDefault="00E45009" w:rsidP="00E45009">
                  <w:pPr>
                    <w:pStyle w:val="NoSpacing"/>
                    <w:rPr>
                      <w:lang w:val="en-GB"/>
                    </w:rPr>
                  </w:pPr>
                  <w:r w:rsidRPr="00081C8E">
                    <w:rPr>
                      <w:lang w:val="en-GB"/>
                    </w:rPr>
                    <w:t>1.77</w:t>
                  </w:r>
                </w:p>
              </w:tc>
            </w:tr>
            <w:tr w:rsidR="00E45009" w:rsidRPr="00081C8E" w14:paraId="13A87CA3" w14:textId="77777777" w:rsidTr="00DB32C0">
              <w:trPr>
                <w:trHeight w:val="300"/>
              </w:trPr>
              <w:tc>
                <w:tcPr>
                  <w:tcW w:w="521" w:type="dxa"/>
                  <w:tcBorders>
                    <w:top w:val="nil"/>
                    <w:left w:val="nil"/>
                    <w:bottom w:val="single" w:sz="4" w:space="0" w:color="auto"/>
                    <w:right w:val="nil"/>
                  </w:tcBorders>
                  <w:shd w:val="clear" w:color="000000" w:fill="FFFFFF"/>
                  <w:noWrap/>
                  <w:hideMark/>
                </w:tcPr>
                <w:p w14:paraId="5CDF6A9F" w14:textId="77777777" w:rsidR="00E45009" w:rsidRPr="00081C8E" w:rsidRDefault="00E45009" w:rsidP="00E45009">
                  <w:pPr>
                    <w:pStyle w:val="NoSpacing"/>
                    <w:rPr>
                      <w:lang w:val="en-GB"/>
                    </w:rPr>
                  </w:pPr>
                  <w:r w:rsidRPr="00081C8E">
                    <w:rPr>
                      <w:lang w:val="en-GB"/>
                    </w:rPr>
                    <w:t> </w:t>
                  </w:r>
                </w:p>
              </w:tc>
              <w:tc>
                <w:tcPr>
                  <w:tcW w:w="6001" w:type="dxa"/>
                  <w:tcBorders>
                    <w:top w:val="nil"/>
                    <w:left w:val="nil"/>
                    <w:bottom w:val="single" w:sz="4" w:space="0" w:color="auto"/>
                    <w:right w:val="nil"/>
                  </w:tcBorders>
                  <w:shd w:val="clear" w:color="000000" w:fill="FFFFFF"/>
                  <w:hideMark/>
                </w:tcPr>
                <w:p w14:paraId="020A4EB3" w14:textId="77777777" w:rsidR="00E45009" w:rsidRPr="00081C8E" w:rsidRDefault="00E45009" w:rsidP="00E45009">
                  <w:pPr>
                    <w:pStyle w:val="NoSpacing"/>
                    <w:rPr>
                      <w:b/>
                      <w:bCs/>
                      <w:lang w:val="en-GB"/>
                    </w:rPr>
                  </w:pPr>
                  <w:r w:rsidRPr="00081C8E">
                    <w:rPr>
                      <w:b/>
                      <w:bCs/>
                      <w:lang w:val="en-GB"/>
                    </w:rPr>
                    <w:t>Sum (non-normalized score)</w:t>
                  </w:r>
                </w:p>
              </w:tc>
              <w:tc>
                <w:tcPr>
                  <w:tcW w:w="280" w:type="dxa"/>
                  <w:tcBorders>
                    <w:top w:val="nil"/>
                    <w:left w:val="nil"/>
                    <w:bottom w:val="single" w:sz="4" w:space="0" w:color="auto"/>
                    <w:right w:val="nil"/>
                  </w:tcBorders>
                  <w:shd w:val="clear" w:color="000000" w:fill="FFFFFF"/>
                  <w:noWrap/>
                  <w:hideMark/>
                </w:tcPr>
                <w:p w14:paraId="6079E2F2" w14:textId="77777777" w:rsidR="00E45009" w:rsidRPr="00081C8E" w:rsidRDefault="00E45009" w:rsidP="00E45009">
                  <w:pPr>
                    <w:pStyle w:val="NoSpacing"/>
                    <w:rPr>
                      <w:lang w:val="en-GB"/>
                    </w:rPr>
                  </w:pPr>
                  <w:r w:rsidRPr="00081C8E">
                    <w:rPr>
                      <w:lang w:val="en-GB"/>
                    </w:rPr>
                    <w:t> </w:t>
                  </w:r>
                </w:p>
              </w:tc>
              <w:tc>
                <w:tcPr>
                  <w:tcW w:w="996" w:type="dxa"/>
                  <w:tcBorders>
                    <w:top w:val="nil"/>
                    <w:left w:val="nil"/>
                    <w:bottom w:val="single" w:sz="4" w:space="0" w:color="auto"/>
                    <w:right w:val="nil"/>
                  </w:tcBorders>
                  <w:shd w:val="clear" w:color="000000" w:fill="FFFFFF"/>
                  <w:noWrap/>
                  <w:hideMark/>
                </w:tcPr>
                <w:p w14:paraId="3F04476A" w14:textId="77777777" w:rsidR="00E45009" w:rsidRPr="00081C8E" w:rsidRDefault="00E45009" w:rsidP="00E45009">
                  <w:pPr>
                    <w:pStyle w:val="NoSpacing"/>
                    <w:rPr>
                      <w:lang w:val="en-GB"/>
                    </w:rPr>
                  </w:pPr>
                  <w:r w:rsidRPr="00081C8E">
                    <w:rPr>
                      <w:lang w:val="en-GB"/>
                    </w:rPr>
                    <w:t> </w:t>
                  </w:r>
                </w:p>
              </w:tc>
              <w:tc>
                <w:tcPr>
                  <w:tcW w:w="876" w:type="dxa"/>
                  <w:tcBorders>
                    <w:top w:val="nil"/>
                    <w:left w:val="nil"/>
                    <w:bottom w:val="single" w:sz="4" w:space="0" w:color="auto"/>
                    <w:right w:val="nil"/>
                  </w:tcBorders>
                  <w:shd w:val="clear" w:color="000000" w:fill="FFFFFF"/>
                  <w:noWrap/>
                  <w:hideMark/>
                </w:tcPr>
                <w:p w14:paraId="223494C3" w14:textId="77777777" w:rsidR="00E45009" w:rsidRPr="00081C8E" w:rsidRDefault="00E45009" w:rsidP="00E45009">
                  <w:pPr>
                    <w:pStyle w:val="NoSpacing"/>
                    <w:rPr>
                      <w:lang w:val="en-GB"/>
                    </w:rPr>
                  </w:pPr>
                  <w:r w:rsidRPr="00081C8E">
                    <w:rPr>
                      <w:lang w:val="en-GB"/>
                    </w:rPr>
                    <w:t>24</w:t>
                  </w:r>
                </w:p>
              </w:tc>
              <w:tc>
                <w:tcPr>
                  <w:tcW w:w="1035" w:type="dxa"/>
                  <w:tcBorders>
                    <w:top w:val="nil"/>
                    <w:left w:val="nil"/>
                    <w:bottom w:val="single" w:sz="4" w:space="0" w:color="auto"/>
                    <w:right w:val="nil"/>
                  </w:tcBorders>
                  <w:shd w:val="clear" w:color="000000" w:fill="FFFFFF"/>
                  <w:noWrap/>
                  <w:hideMark/>
                </w:tcPr>
                <w:p w14:paraId="563BBBDA" w14:textId="77777777" w:rsidR="00E45009" w:rsidRPr="00081C8E" w:rsidRDefault="00E45009" w:rsidP="00E45009">
                  <w:pPr>
                    <w:pStyle w:val="NoSpacing"/>
                    <w:rPr>
                      <w:lang w:val="en-GB"/>
                    </w:rPr>
                  </w:pPr>
                  <w:r w:rsidRPr="00081C8E">
                    <w:rPr>
                      <w:lang w:val="en-GB"/>
                    </w:rPr>
                    <w:t> </w:t>
                  </w:r>
                </w:p>
              </w:tc>
              <w:tc>
                <w:tcPr>
                  <w:tcW w:w="1066" w:type="dxa"/>
                  <w:tcBorders>
                    <w:top w:val="nil"/>
                    <w:left w:val="nil"/>
                    <w:bottom w:val="single" w:sz="4" w:space="0" w:color="auto"/>
                    <w:right w:val="nil"/>
                  </w:tcBorders>
                  <w:shd w:val="clear" w:color="000000" w:fill="FFFFFF"/>
                  <w:noWrap/>
                  <w:hideMark/>
                </w:tcPr>
                <w:p w14:paraId="4CA2912E" w14:textId="77777777" w:rsidR="00E45009" w:rsidRPr="00081C8E" w:rsidRDefault="00E45009" w:rsidP="00E45009">
                  <w:pPr>
                    <w:pStyle w:val="NoSpacing"/>
                    <w:rPr>
                      <w:lang w:val="en-GB"/>
                    </w:rPr>
                  </w:pPr>
                  <w:r w:rsidRPr="00081C8E">
                    <w:rPr>
                      <w:lang w:val="en-GB"/>
                    </w:rPr>
                    <w:t>42.29</w:t>
                  </w:r>
                </w:p>
              </w:tc>
            </w:tr>
            <w:tr w:rsidR="00E45009" w:rsidRPr="00081C8E" w14:paraId="12C35A36" w14:textId="77777777" w:rsidTr="00DB32C0">
              <w:trPr>
                <w:trHeight w:val="360"/>
              </w:trPr>
              <w:tc>
                <w:tcPr>
                  <w:tcW w:w="521" w:type="dxa"/>
                  <w:tcBorders>
                    <w:top w:val="single" w:sz="4" w:space="0" w:color="auto"/>
                    <w:left w:val="nil"/>
                    <w:bottom w:val="single" w:sz="4" w:space="0" w:color="auto"/>
                    <w:right w:val="nil"/>
                  </w:tcBorders>
                  <w:shd w:val="clear" w:color="000000" w:fill="FFFFFF"/>
                  <w:noWrap/>
                  <w:hideMark/>
                </w:tcPr>
                <w:p w14:paraId="41C23469" w14:textId="77777777" w:rsidR="00E45009" w:rsidRPr="00081C8E" w:rsidRDefault="00E45009" w:rsidP="00E45009">
                  <w:pPr>
                    <w:pStyle w:val="NoSpacing"/>
                    <w:rPr>
                      <w:lang w:val="en-GB"/>
                    </w:rPr>
                  </w:pPr>
                  <w:r w:rsidRPr="00081C8E">
                    <w:rPr>
                      <w:lang w:val="en-GB"/>
                    </w:rPr>
                    <w:lastRenderedPageBreak/>
                    <w:t> </w:t>
                  </w:r>
                </w:p>
              </w:tc>
              <w:tc>
                <w:tcPr>
                  <w:tcW w:w="6001" w:type="dxa"/>
                  <w:tcBorders>
                    <w:top w:val="single" w:sz="4" w:space="0" w:color="auto"/>
                    <w:left w:val="nil"/>
                    <w:bottom w:val="single" w:sz="4" w:space="0" w:color="auto"/>
                    <w:right w:val="nil"/>
                  </w:tcBorders>
                  <w:shd w:val="clear" w:color="000000" w:fill="FFFFFF"/>
                  <w:hideMark/>
                </w:tcPr>
                <w:p w14:paraId="526166A7" w14:textId="77777777" w:rsidR="00E45009" w:rsidRPr="00081C8E" w:rsidRDefault="00E45009" w:rsidP="00E45009">
                  <w:pPr>
                    <w:pStyle w:val="NoSpacing"/>
                    <w:rPr>
                      <w:b/>
                      <w:bCs/>
                      <w:lang w:val="en-GB"/>
                    </w:rPr>
                  </w:pPr>
                  <w:r w:rsidRPr="00081C8E">
                    <w:rPr>
                      <w:b/>
                      <w:bCs/>
                      <w:lang w:val="en-GB"/>
                    </w:rPr>
                    <w:t>Normalized score (0 = best, 10 = worst)</w:t>
                  </w:r>
                  <w:r w:rsidRPr="00081C8E">
                    <w:rPr>
                      <w:b/>
                      <w:bCs/>
                      <w:vertAlign w:val="superscript"/>
                      <w:lang w:val="en-GB"/>
                    </w:rPr>
                    <w:t>1</w:t>
                  </w:r>
                </w:p>
              </w:tc>
              <w:tc>
                <w:tcPr>
                  <w:tcW w:w="280" w:type="dxa"/>
                  <w:tcBorders>
                    <w:top w:val="single" w:sz="4" w:space="0" w:color="auto"/>
                    <w:left w:val="nil"/>
                    <w:bottom w:val="single" w:sz="4" w:space="0" w:color="auto"/>
                    <w:right w:val="nil"/>
                  </w:tcBorders>
                  <w:shd w:val="clear" w:color="000000" w:fill="FFFFFF"/>
                  <w:noWrap/>
                  <w:hideMark/>
                </w:tcPr>
                <w:p w14:paraId="7DABEB95" w14:textId="77777777" w:rsidR="00E45009" w:rsidRPr="00081C8E" w:rsidRDefault="00E45009" w:rsidP="00E45009">
                  <w:pPr>
                    <w:pStyle w:val="NoSpacing"/>
                    <w:rPr>
                      <w:lang w:val="en-GB"/>
                    </w:rPr>
                  </w:pPr>
                  <w:r w:rsidRPr="00081C8E">
                    <w:rPr>
                      <w:lang w:val="en-GB"/>
                    </w:rPr>
                    <w:t> </w:t>
                  </w:r>
                </w:p>
              </w:tc>
              <w:tc>
                <w:tcPr>
                  <w:tcW w:w="996" w:type="dxa"/>
                  <w:tcBorders>
                    <w:top w:val="single" w:sz="4" w:space="0" w:color="auto"/>
                    <w:left w:val="nil"/>
                    <w:bottom w:val="single" w:sz="4" w:space="0" w:color="auto"/>
                    <w:right w:val="nil"/>
                  </w:tcBorders>
                  <w:shd w:val="clear" w:color="000000" w:fill="FFFFFF"/>
                  <w:noWrap/>
                  <w:hideMark/>
                </w:tcPr>
                <w:p w14:paraId="4779A7F1" w14:textId="77777777" w:rsidR="00E45009" w:rsidRPr="00081C8E" w:rsidRDefault="00E45009" w:rsidP="00E45009">
                  <w:pPr>
                    <w:pStyle w:val="NoSpacing"/>
                    <w:rPr>
                      <w:lang w:val="en-GB"/>
                    </w:rPr>
                  </w:pPr>
                  <w:r w:rsidRPr="00081C8E">
                    <w:rPr>
                      <w:lang w:val="en-GB"/>
                    </w:rPr>
                    <w:t> </w:t>
                  </w:r>
                </w:p>
              </w:tc>
              <w:tc>
                <w:tcPr>
                  <w:tcW w:w="876" w:type="dxa"/>
                  <w:tcBorders>
                    <w:top w:val="single" w:sz="4" w:space="0" w:color="auto"/>
                    <w:left w:val="nil"/>
                    <w:bottom w:val="single" w:sz="4" w:space="0" w:color="auto"/>
                    <w:right w:val="nil"/>
                  </w:tcBorders>
                  <w:shd w:val="clear" w:color="000000" w:fill="FFFFFF"/>
                  <w:noWrap/>
                  <w:hideMark/>
                </w:tcPr>
                <w:p w14:paraId="212CA949" w14:textId="77777777" w:rsidR="00E45009" w:rsidRPr="00081C8E" w:rsidRDefault="00E45009" w:rsidP="00E45009">
                  <w:pPr>
                    <w:pStyle w:val="NoSpacing"/>
                    <w:rPr>
                      <w:lang w:val="en-GB"/>
                    </w:rPr>
                  </w:pPr>
                  <w:r w:rsidRPr="00081C8E">
                    <w:rPr>
                      <w:lang w:val="en-GB"/>
                    </w:rPr>
                    <w:t> </w:t>
                  </w:r>
                </w:p>
              </w:tc>
              <w:tc>
                <w:tcPr>
                  <w:tcW w:w="1035" w:type="dxa"/>
                  <w:tcBorders>
                    <w:top w:val="single" w:sz="4" w:space="0" w:color="auto"/>
                    <w:left w:val="nil"/>
                    <w:bottom w:val="single" w:sz="4" w:space="0" w:color="auto"/>
                    <w:right w:val="nil"/>
                  </w:tcBorders>
                  <w:shd w:val="clear" w:color="000000" w:fill="FFFFFF"/>
                  <w:noWrap/>
                  <w:hideMark/>
                </w:tcPr>
                <w:p w14:paraId="49671C1A" w14:textId="77777777" w:rsidR="00E45009" w:rsidRPr="00081C8E" w:rsidRDefault="00E45009" w:rsidP="00E45009">
                  <w:pPr>
                    <w:pStyle w:val="NoSpacing"/>
                    <w:rPr>
                      <w:lang w:val="en-GB"/>
                    </w:rPr>
                  </w:pPr>
                  <w:r w:rsidRPr="00081C8E">
                    <w:rPr>
                      <w:lang w:val="en-GB"/>
                    </w:rPr>
                    <w:t> </w:t>
                  </w:r>
                </w:p>
              </w:tc>
              <w:tc>
                <w:tcPr>
                  <w:tcW w:w="1066" w:type="dxa"/>
                  <w:tcBorders>
                    <w:top w:val="single" w:sz="4" w:space="0" w:color="auto"/>
                    <w:left w:val="nil"/>
                    <w:bottom w:val="single" w:sz="4" w:space="0" w:color="auto"/>
                    <w:right w:val="nil"/>
                  </w:tcBorders>
                  <w:shd w:val="clear" w:color="000000" w:fill="FFFFFF"/>
                  <w:noWrap/>
                  <w:hideMark/>
                </w:tcPr>
                <w:p w14:paraId="13ADEF55" w14:textId="77777777" w:rsidR="00E45009" w:rsidRPr="00081C8E" w:rsidRDefault="00E45009" w:rsidP="00E45009">
                  <w:pPr>
                    <w:pStyle w:val="NoSpacing"/>
                    <w:rPr>
                      <w:b/>
                      <w:bCs/>
                      <w:lang w:val="en-GB"/>
                    </w:rPr>
                  </w:pPr>
                  <w:r w:rsidRPr="00081C8E">
                    <w:rPr>
                      <w:b/>
                      <w:bCs/>
                      <w:lang w:val="en-GB"/>
                    </w:rPr>
                    <w:t>4.45</w:t>
                  </w:r>
                </w:p>
              </w:tc>
            </w:tr>
            <w:tr w:rsidR="00E45009" w:rsidRPr="00081C8E" w14:paraId="0962D737" w14:textId="77777777" w:rsidTr="00DB32C0">
              <w:trPr>
                <w:trHeight w:val="279"/>
              </w:trPr>
              <w:tc>
                <w:tcPr>
                  <w:tcW w:w="521" w:type="dxa"/>
                  <w:tcBorders>
                    <w:top w:val="nil"/>
                    <w:left w:val="nil"/>
                    <w:bottom w:val="nil"/>
                    <w:right w:val="nil"/>
                  </w:tcBorders>
                  <w:shd w:val="clear" w:color="000000" w:fill="FFFFFF"/>
                  <w:noWrap/>
                  <w:hideMark/>
                </w:tcPr>
                <w:p w14:paraId="6B688449" w14:textId="77777777" w:rsidR="00E45009" w:rsidRPr="00081C8E" w:rsidRDefault="00E45009" w:rsidP="00E45009">
                  <w:pPr>
                    <w:pStyle w:val="NoSpacing"/>
                    <w:rPr>
                      <w:lang w:val="en-GB"/>
                    </w:rPr>
                  </w:pPr>
                  <w:r w:rsidRPr="00081C8E">
                    <w:rPr>
                      <w:lang w:val="en-GB"/>
                    </w:rPr>
                    <w:t> </w:t>
                  </w:r>
                </w:p>
              </w:tc>
              <w:tc>
                <w:tcPr>
                  <w:tcW w:w="6001" w:type="dxa"/>
                  <w:tcBorders>
                    <w:top w:val="nil"/>
                    <w:left w:val="nil"/>
                    <w:bottom w:val="nil"/>
                    <w:right w:val="nil"/>
                  </w:tcBorders>
                  <w:shd w:val="clear" w:color="000000" w:fill="FFFFFF"/>
                  <w:noWrap/>
                  <w:hideMark/>
                </w:tcPr>
                <w:p w14:paraId="23A7C6FA" w14:textId="77777777" w:rsidR="00E45009" w:rsidRPr="00081C8E" w:rsidRDefault="00E45009" w:rsidP="00E45009">
                  <w:pPr>
                    <w:pStyle w:val="NoSpacing"/>
                    <w:rPr>
                      <w:lang w:val="en-GB"/>
                    </w:rPr>
                  </w:pPr>
                  <w:r w:rsidRPr="00081C8E">
                    <w:rPr>
                      <w:lang w:val="en-GB"/>
                    </w:rPr>
                    <w:t> </w:t>
                  </w:r>
                </w:p>
              </w:tc>
              <w:tc>
                <w:tcPr>
                  <w:tcW w:w="280" w:type="dxa"/>
                  <w:tcBorders>
                    <w:top w:val="nil"/>
                    <w:left w:val="nil"/>
                    <w:bottom w:val="nil"/>
                    <w:right w:val="nil"/>
                  </w:tcBorders>
                  <w:shd w:val="clear" w:color="000000" w:fill="FFFFFF"/>
                  <w:noWrap/>
                  <w:hideMark/>
                </w:tcPr>
                <w:p w14:paraId="7689325E" w14:textId="77777777" w:rsidR="00E45009" w:rsidRPr="00081C8E" w:rsidRDefault="00E45009" w:rsidP="00E45009">
                  <w:pPr>
                    <w:pStyle w:val="NoSpacing"/>
                    <w:rPr>
                      <w:lang w:val="en-GB"/>
                    </w:rPr>
                  </w:pPr>
                  <w:r w:rsidRPr="00081C8E">
                    <w:rPr>
                      <w:lang w:val="en-GB"/>
                    </w:rPr>
                    <w:t> </w:t>
                  </w:r>
                </w:p>
              </w:tc>
              <w:tc>
                <w:tcPr>
                  <w:tcW w:w="996" w:type="dxa"/>
                  <w:tcBorders>
                    <w:top w:val="nil"/>
                    <w:left w:val="nil"/>
                    <w:bottom w:val="nil"/>
                    <w:right w:val="nil"/>
                  </w:tcBorders>
                  <w:shd w:val="clear" w:color="000000" w:fill="FFFFFF"/>
                  <w:noWrap/>
                  <w:hideMark/>
                </w:tcPr>
                <w:p w14:paraId="085E4048" w14:textId="77777777" w:rsidR="00E45009" w:rsidRPr="00081C8E" w:rsidRDefault="00E45009" w:rsidP="00E45009">
                  <w:pPr>
                    <w:pStyle w:val="NoSpacing"/>
                    <w:rPr>
                      <w:lang w:val="en-GB"/>
                    </w:rPr>
                  </w:pPr>
                  <w:r w:rsidRPr="00081C8E">
                    <w:rPr>
                      <w:lang w:val="en-GB"/>
                    </w:rPr>
                    <w:t> </w:t>
                  </w:r>
                </w:p>
              </w:tc>
              <w:tc>
                <w:tcPr>
                  <w:tcW w:w="876" w:type="dxa"/>
                  <w:tcBorders>
                    <w:top w:val="nil"/>
                    <w:left w:val="nil"/>
                    <w:bottom w:val="nil"/>
                    <w:right w:val="nil"/>
                  </w:tcBorders>
                  <w:shd w:val="clear" w:color="000000" w:fill="FFFFFF"/>
                  <w:noWrap/>
                  <w:hideMark/>
                </w:tcPr>
                <w:p w14:paraId="22D4AEA6" w14:textId="77777777" w:rsidR="00E45009" w:rsidRPr="00081C8E" w:rsidRDefault="00E45009" w:rsidP="00E45009">
                  <w:pPr>
                    <w:pStyle w:val="NoSpacing"/>
                    <w:rPr>
                      <w:lang w:val="en-GB"/>
                    </w:rPr>
                  </w:pPr>
                  <w:r w:rsidRPr="00081C8E">
                    <w:rPr>
                      <w:lang w:val="en-GB"/>
                    </w:rPr>
                    <w:t> </w:t>
                  </w:r>
                </w:p>
              </w:tc>
              <w:tc>
                <w:tcPr>
                  <w:tcW w:w="1035" w:type="dxa"/>
                  <w:tcBorders>
                    <w:top w:val="nil"/>
                    <w:left w:val="nil"/>
                    <w:bottom w:val="nil"/>
                    <w:right w:val="nil"/>
                  </w:tcBorders>
                  <w:shd w:val="clear" w:color="000000" w:fill="FFFFFF"/>
                  <w:noWrap/>
                  <w:hideMark/>
                </w:tcPr>
                <w:p w14:paraId="543CDB63" w14:textId="77777777" w:rsidR="00E45009" w:rsidRPr="00081C8E" w:rsidRDefault="00E45009" w:rsidP="00E45009">
                  <w:pPr>
                    <w:pStyle w:val="NoSpacing"/>
                    <w:rPr>
                      <w:lang w:val="en-GB"/>
                    </w:rPr>
                  </w:pPr>
                  <w:r w:rsidRPr="00081C8E">
                    <w:rPr>
                      <w:lang w:val="en-GB"/>
                    </w:rPr>
                    <w:t> </w:t>
                  </w:r>
                </w:p>
              </w:tc>
              <w:tc>
                <w:tcPr>
                  <w:tcW w:w="1066" w:type="dxa"/>
                  <w:tcBorders>
                    <w:top w:val="nil"/>
                    <w:left w:val="nil"/>
                    <w:bottom w:val="nil"/>
                    <w:right w:val="nil"/>
                  </w:tcBorders>
                  <w:shd w:val="clear" w:color="000000" w:fill="FFFFFF"/>
                  <w:noWrap/>
                  <w:hideMark/>
                </w:tcPr>
                <w:p w14:paraId="3DB950F0" w14:textId="77777777" w:rsidR="00E45009" w:rsidRPr="00081C8E" w:rsidRDefault="00E45009" w:rsidP="00E45009">
                  <w:pPr>
                    <w:pStyle w:val="NoSpacing"/>
                    <w:rPr>
                      <w:lang w:val="en-GB"/>
                    </w:rPr>
                  </w:pPr>
                  <w:r w:rsidRPr="00081C8E">
                    <w:rPr>
                      <w:lang w:val="en-GB"/>
                    </w:rPr>
                    <w:t> </w:t>
                  </w:r>
                </w:p>
              </w:tc>
            </w:tr>
            <w:tr w:rsidR="00E45009" w:rsidRPr="00081C8E" w14:paraId="5BFB2EEC" w14:textId="77777777" w:rsidTr="00DB32C0">
              <w:trPr>
                <w:trHeight w:val="300"/>
              </w:trPr>
              <w:tc>
                <w:tcPr>
                  <w:tcW w:w="6522" w:type="dxa"/>
                  <w:gridSpan w:val="2"/>
                  <w:tcBorders>
                    <w:top w:val="nil"/>
                    <w:left w:val="nil"/>
                    <w:bottom w:val="nil"/>
                    <w:right w:val="nil"/>
                  </w:tcBorders>
                  <w:shd w:val="clear" w:color="000000" w:fill="FFFFFF"/>
                  <w:noWrap/>
                  <w:hideMark/>
                </w:tcPr>
                <w:p w14:paraId="2FE70C28" w14:textId="77777777" w:rsidR="00E45009" w:rsidRPr="00081C8E" w:rsidRDefault="00E45009" w:rsidP="00E45009">
                  <w:pPr>
                    <w:pStyle w:val="NoSpacing"/>
                    <w:rPr>
                      <w:lang w:val="en-GB"/>
                    </w:rPr>
                  </w:pPr>
                  <w:r w:rsidRPr="00081C8E">
                    <w:rPr>
                      <w:lang w:val="en-GB"/>
                    </w:rPr>
                    <w:t>1. Note that the weighted non-normalized score is capped at 95, as described in the text.</w:t>
                  </w:r>
                </w:p>
              </w:tc>
              <w:tc>
                <w:tcPr>
                  <w:tcW w:w="280" w:type="dxa"/>
                  <w:tcBorders>
                    <w:top w:val="nil"/>
                    <w:left w:val="nil"/>
                    <w:bottom w:val="nil"/>
                    <w:right w:val="nil"/>
                  </w:tcBorders>
                  <w:shd w:val="clear" w:color="000000" w:fill="FFFFFF"/>
                  <w:noWrap/>
                  <w:hideMark/>
                </w:tcPr>
                <w:p w14:paraId="4DCA36B1" w14:textId="77777777" w:rsidR="00E45009" w:rsidRPr="00081C8E" w:rsidRDefault="00E45009" w:rsidP="00E45009">
                  <w:pPr>
                    <w:pStyle w:val="NoSpacing"/>
                    <w:rPr>
                      <w:lang w:val="en-GB"/>
                    </w:rPr>
                  </w:pPr>
                  <w:r w:rsidRPr="00081C8E">
                    <w:rPr>
                      <w:lang w:val="en-GB"/>
                    </w:rPr>
                    <w:t> </w:t>
                  </w:r>
                </w:p>
              </w:tc>
              <w:tc>
                <w:tcPr>
                  <w:tcW w:w="996" w:type="dxa"/>
                  <w:tcBorders>
                    <w:top w:val="nil"/>
                    <w:left w:val="nil"/>
                    <w:bottom w:val="nil"/>
                    <w:right w:val="nil"/>
                  </w:tcBorders>
                  <w:shd w:val="clear" w:color="000000" w:fill="FFFFFF"/>
                  <w:noWrap/>
                  <w:hideMark/>
                </w:tcPr>
                <w:p w14:paraId="61A10E2C" w14:textId="77777777" w:rsidR="00E45009" w:rsidRPr="00081C8E" w:rsidRDefault="00E45009" w:rsidP="00E45009">
                  <w:pPr>
                    <w:pStyle w:val="NoSpacing"/>
                    <w:rPr>
                      <w:lang w:val="en-GB"/>
                    </w:rPr>
                  </w:pPr>
                  <w:r w:rsidRPr="00081C8E">
                    <w:rPr>
                      <w:lang w:val="en-GB"/>
                    </w:rPr>
                    <w:t> </w:t>
                  </w:r>
                </w:p>
              </w:tc>
              <w:tc>
                <w:tcPr>
                  <w:tcW w:w="876" w:type="dxa"/>
                  <w:tcBorders>
                    <w:top w:val="nil"/>
                    <w:left w:val="nil"/>
                    <w:bottom w:val="nil"/>
                    <w:right w:val="nil"/>
                  </w:tcBorders>
                  <w:shd w:val="clear" w:color="000000" w:fill="FFFFFF"/>
                  <w:noWrap/>
                  <w:hideMark/>
                </w:tcPr>
                <w:p w14:paraId="7AA9A112" w14:textId="77777777" w:rsidR="00E45009" w:rsidRPr="00081C8E" w:rsidRDefault="00E45009" w:rsidP="00E45009">
                  <w:pPr>
                    <w:pStyle w:val="NoSpacing"/>
                    <w:rPr>
                      <w:lang w:val="en-GB"/>
                    </w:rPr>
                  </w:pPr>
                  <w:r w:rsidRPr="00081C8E">
                    <w:rPr>
                      <w:lang w:val="en-GB"/>
                    </w:rPr>
                    <w:t> </w:t>
                  </w:r>
                </w:p>
              </w:tc>
              <w:tc>
                <w:tcPr>
                  <w:tcW w:w="1035" w:type="dxa"/>
                  <w:tcBorders>
                    <w:top w:val="nil"/>
                    <w:left w:val="nil"/>
                    <w:bottom w:val="nil"/>
                    <w:right w:val="nil"/>
                  </w:tcBorders>
                  <w:shd w:val="clear" w:color="000000" w:fill="FFFFFF"/>
                  <w:noWrap/>
                  <w:hideMark/>
                </w:tcPr>
                <w:p w14:paraId="58952FBD" w14:textId="77777777" w:rsidR="00E45009" w:rsidRPr="00081C8E" w:rsidRDefault="00E45009" w:rsidP="00E45009">
                  <w:pPr>
                    <w:pStyle w:val="NoSpacing"/>
                    <w:rPr>
                      <w:lang w:val="en-GB"/>
                    </w:rPr>
                  </w:pPr>
                  <w:r w:rsidRPr="00081C8E">
                    <w:rPr>
                      <w:lang w:val="en-GB"/>
                    </w:rPr>
                    <w:t> </w:t>
                  </w:r>
                </w:p>
              </w:tc>
              <w:tc>
                <w:tcPr>
                  <w:tcW w:w="1066" w:type="dxa"/>
                  <w:tcBorders>
                    <w:top w:val="nil"/>
                    <w:left w:val="nil"/>
                    <w:bottom w:val="nil"/>
                    <w:right w:val="nil"/>
                  </w:tcBorders>
                  <w:shd w:val="clear" w:color="000000" w:fill="FFFFFF"/>
                  <w:noWrap/>
                  <w:hideMark/>
                </w:tcPr>
                <w:p w14:paraId="6E555DC5" w14:textId="77777777" w:rsidR="00E45009" w:rsidRPr="00081C8E" w:rsidRDefault="00E45009" w:rsidP="00E45009">
                  <w:pPr>
                    <w:pStyle w:val="NoSpacing"/>
                    <w:rPr>
                      <w:lang w:val="en-GB"/>
                    </w:rPr>
                  </w:pPr>
                  <w:r w:rsidRPr="00081C8E">
                    <w:rPr>
                      <w:lang w:val="en-GB"/>
                    </w:rPr>
                    <w:t> </w:t>
                  </w:r>
                </w:p>
              </w:tc>
            </w:tr>
          </w:tbl>
          <w:p w14:paraId="4E44045A" w14:textId="77777777" w:rsidR="00E45009" w:rsidRPr="00081C8E" w:rsidRDefault="00E45009" w:rsidP="00E45009">
            <w:pPr>
              <w:pStyle w:val="NoSpacing"/>
              <w:rPr>
                <w:lang w:val="en-GB"/>
              </w:rPr>
            </w:pPr>
            <w:r w:rsidRPr="00081C8E">
              <w:rPr>
                <w:lang w:val="en-GB"/>
              </w:rPr>
              <w:t xml:space="preserve">To normalize the indicators over time, weighted non-normalized scores were calculated for  the roughly one-third of countries having the most coded violations of FACB rights of workers and their organizations for the years 2000, 2005, 2009 and 2012. This is based on the number of violations of FACB rights of workers and their organizations because of their greater frequency of being reported in ILO textual sources. The highest weighted non-normalized score for several countries hovered around 80. As such, 95 </w:t>
            </w:r>
            <w:proofErr w:type="gramStart"/>
            <w:r w:rsidRPr="00081C8E">
              <w:rPr>
                <w:lang w:val="en-GB"/>
              </w:rPr>
              <w:t>is</w:t>
            </w:r>
            <w:proofErr w:type="gramEnd"/>
            <w:r w:rsidRPr="00081C8E">
              <w:rPr>
                <w:lang w:val="en-GB"/>
              </w:rPr>
              <w:t xml:space="preserve"> assigned as the maximum weighted non-normalized score for the overall LR indicator, roughly equal to one-half the hypothetically possible maximum weighted non-normalized score. On this basis, the non-normalized score for any given country and year is normalized to range in value from 0 to 10, the best and worst possible scores respectively. In the future, if any country should receive a non-normalized score of greater than 95, this will be capped at 95, yielding a normalized score of 10.</w:t>
            </w:r>
            <w:r w:rsidRPr="00081C8E">
              <w:rPr>
                <w:vertAlign w:val="superscript"/>
                <w:lang w:val="en-GB"/>
              </w:rPr>
              <w:footnoteReference w:id="6"/>
            </w:r>
          </w:p>
          <w:p w14:paraId="2267CAC3" w14:textId="77777777" w:rsidR="00E45009" w:rsidRPr="00081C8E" w:rsidRDefault="00E45009" w:rsidP="00E45009">
            <w:pPr>
              <w:pStyle w:val="NoSpacing"/>
              <w:rPr>
                <w:lang w:val="en-GB"/>
              </w:rPr>
            </w:pPr>
          </w:p>
          <w:p w14:paraId="02DA5B0F" w14:textId="77777777" w:rsidR="00E45009" w:rsidRPr="00081C8E" w:rsidRDefault="00E45009" w:rsidP="00E45009">
            <w:pPr>
              <w:pStyle w:val="NoSpacing"/>
              <w:rPr>
                <w:lang w:val="en-GB"/>
              </w:rPr>
            </w:pPr>
            <w:r w:rsidRPr="00081C8E">
              <w:rPr>
                <w:lang w:val="en-GB"/>
              </w:rPr>
              <w:t xml:space="preserve">In addition, the method applies the notion that general prohibitions in law imply general prohibitions in practice (though not vice versa). In terms of coding, this means that – both for workers and employers -the direct coding of “General prohibition of the right to establish and join organizations” in law automatically triggers the coding of “General prohibition of the development of independent organizations” in practice; the direct coding of “General prohibition of the right to collective bargaining” in law automatically triggers the coding of the “General prohibition of collective bargaining” in practice ; and, finally, for workers, the direct coding of “General prohibition of the right to strike” in law  automatically triggers the coding of the “General prohibition of strikes” in practice . Given that the general prohibition of the development of independent organizations implies the general prohibition of collective bargaining (though not vice versa), similar coding rules apply. </w:t>
            </w:r>
          </w:p>
          <w:p w14:paraId="0DE3F51E" w14:textId="77777777" w:rsidR="00E45009" w:rsidRPr="00081C8E" w:rsidRDefault="00E45009" w:rsidP="00E45009">
            <w:pPr>
              <w:pStyle w:val="NoSpacing"/>
              <w:rPr>
                <w:lang w:val="en-GB"/>
              </w:rPr>
            </w:pPr>
          </w:p>
          <w:p w14:paraId="7D3F28E2" w14:textId="77777777" w:rsidR="00E45009" w:rsidRPr="00081C8E" w:rsidRDefault="00E45009" w:rsidP="00E45009">
            <w:pPr>
              <w:pStyle w:val="NoSpacing"/>
              <w:rPr>
                <w:lang w:val="en-GB"/>
              </w:rPr>
            </w:pPr>
            <w:r w:rsidRPr="00081C8E">
              <w:rPr>
                <w:lang w:val="en-GB"/>
              </w:rPr>
              <w:t xml:space="preserve">In addition to the above normalization rules, the worst possible score of 10 is given for all-encompassing violations of FACB rights, that is, for “General prohibition of the right to establish and join organizations” in law, “General prohibition of the development of independent organizations” in practice, “General prohibition of the right to collective bargaining” in law, and “General prohibition of collective bargaining” in practice. </w:t>
            </w:r>
          </w:p>
          <w:p w14:paraId="7B1064A7" w14:textId="77777777" w:rsidR="00E45009" w:rsidRPr="00081C8E" w:rsidRDefault="00E45009" w:rsidP="00E45009">
            <w:pPr>
              <w:pStyle w:val="NoSpacing"/>
              <w:rPr>
                <w:lang w:val="en-GB"/>
              </w:rPr>
            </w:pPr>
          </w:p>
          <w:p w14:paraId="3EF252EE" w14:textId="77777777" w:rsidR="00E45009" w:rsidRPr="00081C8E" w:rsidRDefault="00E45009" w:rsidP="00E45009">
            <w:pPr>
              <w:pStyle w:val="NoSpacing"/>
              <w:rPr>
                <w:lang w:val="en-GB"/>
              </w:rPr>
            </w:pPr>
            <w:r w:rsidRPr="00081C8E">
              <w:rPr>
                <w:lang w:val="en-GB"/>
              </w:rPr>
              <w:t>The reporting of SDG indicator 8.8.2 will highlight differences between ratifying and non-ratifying countries by adding two columns alongside SDG indicator 8.8.2. The first column will indicate whether a country has ratified Convention No. 87 and the second column will indicate whether a county has ratified Convention No. 98. The columns will be explained with the following text: “</w:t>
            </w:r>
            <w:r w:rsidRPr="00081C8E">
              <w:rPr>
                <w:i/>
                <w:lang w:val="en-GB"/>
              </w:rPr>
              <w:t>SDG indicator 8.8.2 is not intended as a tool to compare compliance among ILO member States. It should specifically be noted that reporting obligations of an ILO member State to the ILO’s supervisory system and thus ILO textual sources are different for ratifying and non-ratifying ILO member States</w:t>
            </w:r>
            <w:r w:rsidRPr="00081C8E">
              <w:rPr>
                <w:lang w:val="en-GB"/>
              </w:rPr>
              <w:t>.”</w:t>
            </w:r>
          </w:p>
          <w:p w14:paraId="71643C77" w14:textId="77777777" w:rsidR="00E45009" w:rsidRPr="00081C8E" w:rsidRDefault="00E45009" w:rsidP="00E45009">
            <w:pPr>
              <w:pStyle w:val="NoSpacing"/>
              <w:rPr>
                <w:lang w:val="en-GB"/>
              </w:rPr>
            </w:pPr>
          </w:p>
          <w:p w14:paraId="2D70906D" w14:textId="77777777" w:rsidR="00E45009" w:rsidRPr="00081C8E" w:rsidRDefault="00E45009" w:rsidP="00E45009">
            <w:pPr>
              <w:pStyle w:val="NoSpacing"/>
              <w:rPr>
                <w:lang w:val="en-GB"/>
              </w:rPr>
            </w:pPr>
            <w:r w:rsidRPr="00081C8E">
              <w:rPr>
                <w:lang w:val="en-GB"/>
              </w:rPr>
              <w:lastRenderedPageBreak/>
              <w:t>Consistent with Tables 1 and 2 above, issues of non-compliance with respect to evaluation criteria concerning the exclusion of workers and employers in EPZs from freedom of association and collective bargaining rights will not be coded separately but rather coded under evaluation criteria concerning the general exclusion of workers and employers.</w:t>
            </w:r>
          </w:p>
          <w:p w14:paraId="52616E5A" w14:textId="77777777" w:rsidR="00E45009" w:rsidRPr="00081C8E" w:rsidRDefault="00E45009" w:rsidP="00E45009">
            <w:pPr>
              <w:pStyle w:val="NoSpacing"/>
              <w:rPr>
                <w:lang w:val="en-GB"/>
              </w:rPr>
            </w:pPr>
          </w:p>
          <w:p w14:paraId="7ED35AD8" w14:textId="77777777" w:rsidR="00E45009" w:rsidRPr="00081C8E" w:rsidRDefault="00E45009" w:rsidP="00E45009">
            <w:pPr>
              <w:pStyle w:val="NoSpacing"/>
              <w:rPr>
                <w:lang w:val="en-GB"/>
              </w:rPr>
            </w:pPr>
            <w:r w:rsidRPr="00081C8E">
              <w:rPr>
                <w:lang w:val="en-GB"/>
              </w:rPr>
              <w:t>An additional evaluation criterion has been added to code cases brought under Article 26 of the ILO’s Constitution before the ILO’s Commission of Inquiry and given the maximum weight of 2.0 (evaluation criteria 0 in Tables 1 and 2). This evaluation criterion will be coded first for the year when the decision is made for the establishment of the procedure and then for every subsequent year until the final report is adopted and published.</w:t>
            </w:r>
          </w:p>
          <w:p w14:paraId="0D50FCBE" w14:textId="77777777" w:rsidR="00E45009" w:rsidRPr="00081C8E" w:rsidRDefault="00E45009" w:rsidP="00E45009">
            <w:pPr>
              <w:pStyle w:val="NoSpacing"/>
              <w:rPr>
                <w:lang w:val="en-GB"/>
              </w:rPr>
            </w:pPr>
          </w:p>
          <w:p w14:paraId="76FCCAA1" w14:textId="77777777" w:rsidR="00E45009" w:rsidRPr="00081C8E" w:rsidRDefault="00E45009" w:rsidP="00E45009">
            <w:pPr>
              <w:pStyle w:val="NoSpacing"/>
              <w:rPr>
                <w:lang w:val="en-GB"/>
              </w:rPr>
            </w:pPr>
            <w:r w:rsidRPr="00081C8E">
              <w:rPr>
                <w:lang w:val="en-GB"/>
              </w:rPr>
              <w:t>Based on the identification of violations in ILO supervisory body textual sources, violations related to the prohibition of employers’ access to their premises during industrial action will be coded under new separate evaluation criteria that specifically address such violations (evaluation criteria 48 and 55 in Table 2 for violations in law and in practice, respectively).</w:t>
            </w:r>
          </w:p>
          <w:p w14:paraId="5AF678E0" w14:textId="77777777" w:rsidR="00E45009" w:rsidRPr="00081C8E" w:rsidRDefault="00E45009" w:rsidP="00E45009">
            <w:pPr>
              <w:pStyle w:val="NoSpacing"/>
              <w:rPr>
                <w:lang w:val="en-GB"/>
              </w:rPr>
            </w:pPr>
          </w:p>
          <w:p w14:paraId="3C8802EA" w14:textId="77777777" w:rsidR="00E45009" w:rsidRPr="00081C8E" w:rsidRDefault="00E45009" w:rsidP="00E45009">
            <w:pPr>
              <w:pStyle w:val="NoSpacing"/>
              <w:rPr>
                <w:lang w:val="en-GB"/>
              </w:rPr>
            </w:pPr>
            <w:r w:rsidRPr="00081C8E">
              <w:rPr>
                <w:lang w:val="en-GB"/>
              </w:rPr>
              <w:t>Regarding possible contradictions among textual sources, for the purposes of SDG indicator 8.8.2 the following coding rule will be applied: “If contradictory evidence is found within the same source or if an explicitly stated contradictory assessment is found among different sources – based solely on the comments, conclusions and recommendations of the ILO supervisory system – the information will be excluded from coding.”</w:t>
            </w:r>
          </w:p>
          <w:p w14:paraId="48E4A72B" w14:textId="77777777" w:rsidR="00E45009" w:rsidRPr="00081C8E" w:rsidRDefault="00E45009" w:rsidP="00E45009">
            <w:pPr>
              <w:pStyle w:val="NoSpacing"/>
              <w:rPr>
                <w:lang w:val="en-GB"/>
              </w:rPr>
            </w:pPr>
          </w:p>
          <w:p w14:paraId="06EE0680" w14:textId="77777777" w:rsidR="00E45009" w:rsidRPr="00081C8E" w:rsidRDefault="00E45009" w:rsidP="00E45009">
            <w:pPr>
              <w:pStyle w:val="NoSpacing"/>
              <w:rPr>
                <w:lang w:val="en-GB"/>
              </w:rPr>
            </w:pPr>
            <w:r w:rsidRPr="00081C8E">
              <w:rPr>
                <w:lang w:val="en-GB"/>
              </w:rPr>
              <w:t>The coding of national legislation will be done in close collaboration with the International Labour Office to assure that it is done in a manner consistent with the ILO’s supervisory system. In addition, countries may also make available information on national legislation when reporting on this indicator through Voluntary National Reports or national reporting platforms or any other national reports. Note that in order to avoid creating an additional supervisory mechanism, coding of national legislation for ratifying member States will not be undertaken for SDG indicator 8.8.2 as this is under the remit of the ILO’s supervisory system.</w:t>
            </w:r>
          </w:p>
          <w:p w14:paraId="747C02DC" w14:textId="77777777" w:rsidR="00E45009" w:rsidRDefault="00E45009" w:rsidP="00E45009">
            <w:pPr>
              <w:pStyle w:val="NoSpacing"/>
            </w:pPr>
          </w:p>
        </w:tc>
        <w:tc>
          <w:tcPr>
            <w:tcW w:w="0" w:type="auto"/>
            <w:shd w:val="clear" w:color="auto" w:fill="auto"/>
          </w:tcPr>
          <w:p w14:paraId="5486B220" w14:textId="77777777" w:rsidR="00E45009" w:rsidRDefault="00E45009" w:rsidP="00E45009">
            <w:pPr>
              <w:jc w:val="both"/>
              <w:rPr>
                <w:color w:val="0070C0"/>
                <w:sz w:val="48"/>
                <w:szCs w:val="48"/>
              </w:rPr>
            </w:pPr>
          </w:p>
        </w:tc>
        <w:tc>
          <w:tcPr>
            <w:tcW w:w="0" w:type="auto"/>
            <w:shd w:val="clear" w:color="auto" w:fill="auto"/>
          </w:tcPr>
          <w:p w14:paraId="4E6C475F" w14:textId="77777777" w:rsidR="00E45009" w:rsidRDefault="00E45009" w:rsidP="00E45009">
            <w:pPr>
              <w:pStyle w:val="NoSpacing"/>
            </w:pPr>
            <w:r>
              <w:t>textual sources of ILO</w:t>
            </w:r>
          </w:p>
        </w:tc>
        <w:tc>
          <w:tcPr>
            <w:tcW w:w="0" w:type="auto"/>
            <w:shd w:val="clear" w:color="auto" w:fill="auto"/>
          </w:tcPr>
          <w:p w14:paraId="413F3400" w14:textId="77777777" w:rsidR="00E45009" w:rsidRDefault="00E45009" w:rsidP="00E45009">
            <w:pPr>
              <w:jc w:val="both"/>
              <w:rPr>
                <w:rFonts w:eastAsia="Times New Roman" w:cs="Times New Roman"/>
                <w:color w:val="7030A0"/>
                <w:szCs w:val="20"/>
              </w:rPr>
            </w:pPr>
          </w:p>
          <w:p w14:paraId="30BAB047" w14:textId="209A9615" w:rsidR="00E45009" w:rsidRDefault="00E45009" w:rsidP="00E45009">
            <w:pPr>
              <w:jc w:val="both"/>
              <w:rPr>
                <w:color w:val="0070C0"/>
                <w:sz w:val="48"/>
                <w:szCs w:val="48"/>
              </w:rPr>
            </w:pPr>
          </w:p>
        </w:tc>
        <w:tc>
          <w:tcPr>
            <w:tcW w:w="0" w:type="auto"/>
            <w:shd w:val="clear" w:color="auto" w:fill="auto"/>
          </w:tcPr>
          <w:p w14:paraId="553B7779" w14:textId="729BA523" w:rsidR="00E45009" w:rsidRPr="00570538" w:rsidRDefault="00E45009" w:rsidP="00E45009">
            <w:pPr>
              <w:jc w:val="both"/>
              <w:rPr>
                <w:color w:val="000000" w:themeColor="text1"/>
                <w:szCs w:val="20"/>
              </w:rPr>
            </w:pPr>
            <w:r>
              <w:rPr>
                <w:color w:val="000000" w:themeColor="text1"/>
                <w:szCs w:val="20"/>
              </w:rPr>
              <w:t>a</w:t>
            </w:r>
            <w:r w:rsidRPr="00570538">
              <w:rPr>
                <w:color w:val="000000" w:themeColor="text1"/>
                <w:szCs w:val="20"/>
              </w:rPr>
              <w:t xml:space="preserve">) MoLE, </w:t>
            </w:r>
          </w:p>
          <w:p w14:paraId="65633419" w14:textId="77777777" w:rsidR="00E45009" w:rsidRDefault="00E45009" w:rsidP="00E45009">
            <w:pPr>
              <w:jc w:val="both"/>
              <w:rPr>
                <w:rFonts w:eastAsia="Times New Roman" w:cs="Times New Roman"/>
                <w:color w:val="7030A0"/>
                <w:szCs w:val="20"/>
              </w:rPr>
            </w:pPr>
            <w:r w:rsidRPr="00570538">
              <w:rPr>
                <w:color w:val="000000" w:themeColor="text1"/>
                <w:szCs w:val="20"/>
              </w:rPr>
              <w:t>b) MoEWOE</w:t>
            </w:r>
            <w:r w:rsidRPr="008E7E22">
              <w:rPr>
                <w:rFonts w:eastAsia="Times New Roman" w:cs="Times New Roman"/>
                <w:color w:val="7030A0"/>
                <w:szCs w:val="20"/>
              </w:rPr>
              <w:t xml:space="preserve"> </w:t>
            </w:r>
          </w:p>
          <w:p w14:paraId="29D28670" w14:textId="77777777" w:rsidR="00E45009" w:rsidRDefault="00E45009" w:rsidP="00E45009">
            <w:pPr>
              <w:jc w:val="both"/>
              <w:rPr>
                <w:rFonts w:eastAsia="Times New Roman" w:cs="Times New Roman"/>
                <w:color w:val="7030A0"/>
                <w:szCs w:val="20"/>
              </w:rPr>
            </w:pPr>
          </w:p>
          <w:p w14:paraId="0C7C4AFC" w14:textId="77777777" w:rsidR="00E45009" w:rsidRDefault="00E45009" w:rsidP="00E45009">
            <w:pPr>
              <w:jc w:val="both"/>
              <w:rPr>
                <w:color w:val="0070C0"/>
                <w:sz w:val="48"/>
                <w:szCs w:val="48"/>
              </w:rPr>
            </w:pPr>
            <w:r w:rsidRPr="00570538">
              <w:t>Administrative Data</w:t>
            </w:r>
          </w:p>
        </w:tc>
        <w:tc>
          <w:tcPr>
            <w:tcW w:w="0" w:type="auto"/>
            <w:shd w:val="clear" w:color="auto" w:fill="auto"/>
          </w:tcPr>
          <w:p w14:paraId="1755664A" w14:textId="77777777" w:rsidR="00E45009" w:rsidRPr="00B960B2"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B960B2">
              <w:rPr>
                <w:rFonts w:ascii="Tw Cen MT Condensed" w:hAnsi="Tw Cen MT Condensed"/>
                <w:sz w:val="20"/>
                <w:szCs w:val="20"/>
              </w:rPr>
              <w:t xml:space="preserve">Sex: Female, Male, </w:t>
            </w:r>
            <w:r w:rsidRPr="00E23F68">
              <w:rPr>
                <w:rFonts w:ascii="Tw Cen MT Condensed" w:hAnsi="Tw Cen MT Condensed"/>
                <w:sz w:val="20"/>
                <w:szCs w:val="20"/>
              </w:rPr>
              <w:t>Both</w:t>
            </w:r>
          </w:p>
          <w:p w14:paraId="4241D5F6" w14:textId="48572216" w:rsidR="00E45009" w:rsidRPr="00B960B2"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Migrant Status</w:t>
            </w:r>
            <w:r w:rsidR="000E04CC">
              <w:rPr>
                <w:rFonts w:ascii="Tw Cen MT Condensed" w:hAnsi="Tw Cen MT Condensed"/>
                <w:sz w:val="20"/>
                <w:szCs w:val="20"/>
              </w:rPr>
              <w:t>: migrant/ Non Migrant</w:t>
            </w:r>
          </w:p>
          <w:p w14:paraId="72BA173B" w14:textId="77777777" w:rsidR="00E45009" w:rsidRDefault="00E45009" w:rsidP="00E45009">
            <w:pPr>
              <w:jc w:val="both"/>
              <w:rPr>
                <w:color w:val="0070C0"/>
                <w:sz w:val="48"/>
                <w:szCs w:val="48"/>
              </w:rPr>
            </w:pPr>
          </w:p>
        </w:tc>
        <w:tc>
          <w:tcPr>
            <w:tcW w:w="0" w:type="auto"/>
            <w:shd w:val="clear" w:color="auto" w:fill="auto"/>
          </w:tcPr>
          <w:p w14:paraId="681A1C9B" w14:textId="77777777" w:rsidR="00E45009" w:rsidRDefault="00E45009" w:rsidP="00E45009">
            <w:pPr>
              <w:jc w:val="both"/>
              <w:rPr>
                <w:color w:val="0070C0"/>
                <w:sz w:val="48"/>
                <w:szCs w:val="48"/>
              </w:rPr>
            </w:pPr>
            <w:r w:rsidRPr="00BC6F10">
              <w:t>Triennial</w:t>
            </w:r>
          </w:p>
        </w:tc>
        <w:tc>
          <w:tcPr>
            <w:tcW w:w="0" w:type="auto"/>
            <w:shd w:val="clear" w:color="auto" w:fill="auto"/>
          </w:tcPr>
          <w:p w14:paraId="4CC84EFC" w14:textId="77777777" w:rsidR="00E45009" w:rsidRDefault="00E45009" w:rsidP="00E45009">
            <w:pPr>
              <w:jc w:val="both"/>
              <w:rPr>
                <w:color w:val="0070C0"/>
                <w:sz w:val="48"/>
                <w:szCs w:val="48"/>
              </w:rPr>
            </w:pPr>
            <w:r>
              <w:t>Group 2</w:t>
            </w:r>
          </w:p>
        </w:tc>
        <w:tc>
          <w:tcPr>
            <w:tcW w:w="0" w:type="auto"/>
            <w:shd w:val="clear" w:color="auto" w:fill="auto"/>
          </w:tcPr>
          <w:p w14:paraId="3B8AE9DF" w14:textId="77777777" w:rsidR="00E45009" w:rsidRDefault="00E45009" w:rsidP="00E45009">
            <w:pPr>
              <w:pStyle w:val="NoSpacing"/>
            </w:pPr>
            <w:r>
              <w:t>1</w:t>
            </w:r>
            <w:r w:rsidRPr="00013ACB">
              <w:rPr>
                <w:vertAlign w:val="superscript"/>
              </w:rPr>
              <w:t>st</w:t>
            </w:r>
            <w:r>
              <w:t xml:space="preserve"> Round: </w:t>
            </w:r>
          </w:p>
          <w:p w14:paraId="5B3ADF0F" w14:textId="77777777" w:rsidR="00E45009" w:rsidRDefault="00E45009" w:rsidP="00E45009">
            <w:pPr>
              <w:pStyle w:val="NoSpacing"/>
            </w:pPr>
            <w:r w:rsidRPr="00CA542A">
              <w:t>Decembe</w:t>
            </w:r>
            <w:r w:rsidRPr="00CA542A">
              <w:br/>
              <w:t>r 2020</w:t>
            </w:r>
          </w:p>
          <w:p w14:paraId="7C8C347D" w14:textId="77777777" w:rsidR="00E45009" w:rsidRDefault="00E45009" w:rsidP="00E45009">
            <w:pPr>
              <w:pStyle w:val="NoSpacing"/>
            </w:pPr>
          </w:p>
          <w:p w14:paraId="29C68AC9" w14:textId="77777777" w:rsidR="00E45009" w:rsidRDefault="00E45009" w:rsidP="00E45009">
            <w:pPr>
              <w:pStyle w:val="NoSpacing"/>
            </w:pPr>
            <w:r>
              <w:t>2</w:t>
            </w:r>
            <w:r w:rsidRPr="00013ACB">
              <w:rPr>
                <w:vertAlign w:val="superscript"/>
              </w:rPr>
              <w:t>nd</w:t>
            </w:r>
            <w:r>
              <w:t xml:space="preserve"> Round: </w:t>
            </w:r>
          </w:p>
          <w:p w14:paraId="40C6FFBC" w14:textId="77777777" w:rsidR="00E45009" w:rsidRDefault="00E45009" w:rsidP="00E45009">
            <w:pPr>
              <w:pStyle w:val="NoSpacing"/>
            </w:pPr>
            <w:r>
              <w:t>Decembe</w:t>
            </w:r>
            <w:r>
              <w:br/>
              <w:t>r 2023</w:t>
            </w:r>
          </w:p>
          <w:p w14:paraId="2D4DAA69" w14:textId="77777777" w:rsidR="00E45009" w:rsidRDefault="00E45009" w:rsidP="00E45009">
            <w:pPr>
              <w:pStyle w:val="NoSpacing"/>
            </w:pPr>
          </w:p>
          <w:p w14:paraId="178F5331" w14:textId="77777777" w:rsidR="00E45009" w:rsidRDefault="00E45009" w:rsidP="00E45009">
            <w:pPr>
              <w:pStyle w:val="NoSpacing"/>
            </w:pPr>
            <w:r>
              <w:t>3</w:t>
            </w:r>
            <w:r w:rsidRPr="00013ACB">
              <w:rPr>
                <w:vertAlign w:val="superscript"/>
              </w:rPr>
              <w:t>rd</w:t>
            </w:r>
            <w:r>
              <w:t xml:space="preserve"> Round: </w:t>
            </w:r>
          </w:p>
          <w:p w14:paraId="7077387E" w14:textId="77777777" w:rsidR="00E45009" w:rsidRDefault="00E45009" w:rsidP="00E45009">
            <w:pPr>
              <w:pStyle w:val="NoSpacing"/>
            </w:pPr>
            <w:r>
              <w:t>Decembe</w:t>
            </w:r>
            <w:r>
              <w:br/>
              <w:t>r 2026</w:t>
            </w:r>
          </w:p>
          <w:p w14:paraId="28BF34BC" w14:textId="77777777" w:rsidR="00E45009" w:rsidRDefault="00E45009" w:rsidP="00E45009">
            <w:pPr>
              <w:pStyle w:val="NoSpacing"/>
            </w:pPr>
          </w:p>
          <w:p w14:paraId="4A56C69F" w14:textId="77777777" w:rsidR="00E45009" w:rsidRDefault="00E45009" w:rsidP="00E45009">
            <w:pPr>
              <w:pStyle w:val="NoSpacing"/>
            </w:pPr>
            <w:r>
              <w:t>4</w:t>
            </w:r>
            <w:r w:rsidRPr="00013ACB">
              <w:rPr>
                <w:vertAlign w:val="superscript"/>
              </w:rPr>
              <w:t>th</w:t>
            </w:r>
            <w:r>
              <w:t xml:space="preserve"> Round: </w:t>
            </w:r>
          </w:p>
          <w:p w14:paraId="7E0E8FAF" w14:textId="77777777" w:rsidR="00E45009" w:rsidRDefault="00E45009" w:rsidP="00E45009">
            <w:pPr>
              <w:pStyle w:val="NoSpacing"/>
            </w:pPr>
            <w:r>
              <w:t>Decembe</w:t>
            </w:r>
            <w:r>
              <w:br/>
              <w:t>r 2029</w:t>
            </w:r>
          </w:p>
          <w:p w14:paraId="0FAB292F" w14:textId="77777777" w:rsidR="00E45009" w:rsidRDefault="00E45009" w:rsidP="00E45009">
            <w:pPr>
              <w:pStyle w:val="NoSpacing"/>
            </w:pPr>
          </w:p>
          <w:p w14:paraId="3457A640" w14:textId="77777777" w:rsidR="00E45009" w:rsidRDefault="00E45009" w:rsidP="00E45009">
            <w:pPr>
              <w:pStyle w:val="NoSpacing"/>
            </w:pPr>
            <w:r>
              <w:t>5</w:t>
            </w:r>
            <w:r w:rsidRPr="00013ACB">
              <w:rPr>
                <w:vertAlign w:val="superscript"/>
              </w:rPr>
              <w:t>th</w:t>
            </w:r>
            <w:r>
              <w:t xml:space="preserve"> Round: </w:t>
            </w:r>
          </w:p>
          <w:p w14:paraId="2191A53E" w14:textId="77777777" w:rsidR="00E45009" w:rsidRDefault="00E45009" w:rsidP="00E45009">
            <w:pPr>
              <w:pStyle w:val="NoSpacing"/>
            </w:pPr>
            <w:r>
              <w:lastRenderedPageBreak/>
              <w:t>Decembe</w:t>
            </w:r>
            <w:r>
              <w:br/>
              <w:t>r 2030</w:t>
            </w:r>
          </w:p>
          <w:p w14:paraId="6B7CF3A4" w14:textId="581B16AA" w:rsidR="00E45009" w:rsidRDefault="00E45009" w:rsidP="00E45009">
            <w:pPr>
              <w:pStyle w:val="NoSpacing"/>
            </w:pPr>
          </w:p>
        </w:tc>
        <w:tc>
          <w:tcPr>
            <w:tcW w:w="0" w:type="auto"/>
            <w:shd w:val="clear" w:color="auto" w:fill="auto"/>
          </w:tcPr>
          <w:p w14:paraId="339BDCA8" w14:textId="77777777" w:rsidR="00E45009" w:rsidRPr="00EB305D" w:rsidRDefault="00E45009" w:rsidP="00E45009">
            <w:pPr>
              <w:pStyle w:val="NoSpacing"/>
            </w:pPr>
            <w:r w:rsidRPr="00EB305D">
              <w:lastRenderedPageBreak/>
              <w:t>Data should be provided as per metadata by MOLE.</w:t>
            </w:r>
          </w:p>
          <w:p w14:paraId="7D6CD917" w14:textId="77777777" w:rsidR="00E45009" w:rsidRPr="00EB305D" w:rsidRDefault="00E45009" w:rsidP="00E45009">
            <w:pPr>
              <w:pStyle w:val="NoSpacing"/>
            </w:pPr>
            <w:r w:rsidRPr="00EB305D">
              <w:t xml:space="preserve">[No of Trade Union-8127 </w:t>
            </w:r>
          </w:p>
          <w:p w14:paraId="53D1532C" w14:textId="77777777" w:rsidR="00E45009" w:rsidRPr="00EB305D" w:rsidRDefault="00E45009" w:rsidP="00E45009">
            <w:pPr>
              <w:pStyle w:val="NoSpacing"/>
            </w:pPr>
            <w:r w:rsidRPr="00EB305D">
              <w:t>Num of Trade Union Members 245814</w:t>
            </w:r>
          </w:p>
          <w:p w14:paraId="207096BA" w14:textId="77777777" w:rsidR="00E45009" w:rsidRDefault="00E45009" w:rsidP="00E45009">
            <w:pPr>
              <w:pStyle w:val="NoSpacing"/>
            </w:pPr>
            <w:r w:rsidRPr="00EB305D">
              <w:t>(MoLE, 2019)]</w:t>
            </w:r>
          </w:p>
          <w:p w14:paraId="1A532BF3" w14:textId="77777777" w:rsidR="00E45009" w:rsidRDefault="00E45009" w:rsidP="00E45009">
            <w:pPr>
              <w:pStyle w:val="NoSpacing"/>
            </w:pPr>
          </w:p>
          <w:p w14:paraId="03C9BC9B" w14:textId="77777777" w:rsidR="00E45009" w:rsidRPr="005C54E8" w:rsidRDefault="00E45009" w:rsidP="00E45009">
            <w:pPr>
              <w:pStyle w:val="NoSpacing"/>
            </w:pPr>
            <w:r w:rsidRPr="005C54E8">
              <w:t>Reviewed at Dec. 2018 WebEx meeting</w:t>
            </w:r>
          </w:p>
          <w:p w14:paraId="6D554A0B" w14:textId="77777777" w:rsidR="00E45009" w:rsidRPr="005C54E8" w:rsidRDefault="00E45009" w:rsidP="00E45009">
            <w:pPr>
              <w:pStyle w:val="NoSpacing"/>
            </w:pPr>
            <w:r w:rsidRPr="005C54E8">
              <w:t>(classified as Tier II)</w:t>
            </w:r>
          </w:p>
          <w:p w14:paraId="7C0669A0" w14:textId="77777777" w:rsidR="00E45009" w:rsidRPr="005C54E8" w:rsidRDefault="00E45009" w:rsidP="00E45009">
            <w:pPr>
              <w:pStyle w:val="NoSpacing"/>
              <w:rPr>
                <w:color w:val="0070C0"/>
                <w:sz w:val="48"/>
                <w:szCs w:val="48"/>
              </w:rPr>
            </w:pPr>
          </w:p>
          <w:p w14:paraId="1D0F130B" w14:textId="224167C7" w:rsidR="00E45009" w:rsidRPr="005C54E8" w:rsidRDefault="00E45009" w:rsidP="00E45009">
            <w:pPr>
              <w:pStyle w:val="NoSpacing"/>
            </w:pPr>
            <w:r w:rsidRPr="005C54E8">
              <w:t xml:space="preserve">UNSC 48 refinement, Reviewed at 5th IAEG-SDG meeting: Internationally agreed methodology and standard needs to be approved (classified as </w:t>
            </w:r>
            <w:r w:rsidR="006B621F">
              <w:t>TBD</w:t>
            </w:r>
            <w:r w:rsidRPr="005C54E8">
              <w:t>)</w:t>
            </w:r>
          </w:p>
        </w:tc>
      </w:tr>
      <w:tr w:rsidR="00E45009" w14:paraId="4B9180E1" w14:textId="77777777" w:rsidTr="0025292C">
        <w:tc>
          <w:tcPr>
            <w:tcW w:w="0" w:type="auto"/>
            <w:gridSpan w:val="13"/>
            <w:shd w:val="clear" w:color="auto" w:fill="auto"/>
          </w:tcPr>
          <w:p w14:paraId="2F6833A1" w14:textId="77777777" w:rsidR="00E45009" w:rsidRDefault="00E45009" w:rsidP="00E45009">
            <w:pPr>
              <w:jc w:val="both"/>
              <w:rPr>
                <w:color w:val="0070C0"/>
                <w:sz w:val="48"/>
                <w:szCs w:val="48"/>
              </w:rPr>
            </w:pPr>
            <w:r>
              <w:rPr>
                <w:color w:val="0070C0"/>
                <w:sz w:val="30"/>
                <w:szCs w:val="30"/>
              </w:rPr>
              <w:lastRenderedPageBreak/>
              <w:t xml:space="preserve">Target </w:t>
            </w:r>
            <w:r w:rsidRPr="006429A5">
              <w:rPr>
                <w:color w:val="0070C0"/>
                <w:sz w:val="30"/>
                <w:szCs w:val="30"/>
              </w:rPr>
              <w:t>8.9 By 2030, devise and implement policies to promote sustainable tourism that creates jobs and promotes local culture and products</w:t>
            </w:r>
          </w:p>
        </w:tc>
      </w:tr>
      <w:tr w:rsidR="00E45009" w14:paraId="220005AC" w14:textId="77777777" w:rsidTr="0025292C">
        <w:tc>
          <w:tcPr>
            <w:tcW w:w="0" w:type="auto"/>
            <w:shd w:val="clear" w:color="auto" w:fill="auto"/>
          </w:tcPr>
          <w:p w14:paraId="280A05F7" w14:textId="77777777" w:rsidR="00E45009" w:rsidRDefault="00E45009" w:rsidP="00E45009">
            <w:pPr>
              <w:jc w:val="both"/>
              <w:rPr>
                <w:color w:val="0070C0"/>
                <w:sz w:val="48"/>
                <w:szCs w:val="48"/>
              </w:rPr>
            </w:pPr>
            <w:r w:rsidRPr="00F73727">
              <w:t>8.9.1 Tourism direct GDP as a proportion of total GDP and in growth rate</w:t>
            </w:r>
          </w:p>
        </w:tc>
        <w:tc>
          <w:tcPr>
            <w:tcW w:w="0" w:type="auto"/>
            <w:shd w:val="clear" w:color="auto" w:fill="auto"/>
          </w:tcPr>
          <w:p w14:paraId="2393A07C" w14:textId="77777777" w:rsidR="00E45009" w:rsidRDefault="00E45009" w:rsidP="00E45009">
            <w:pPr>
              <w:pStyle w:val="NoSpacing"/>
            </w:pPr>
            <w:r w:rsidRPr="00EE1D53">
              <w:t>UNWTO</w:t>
            </w:r>
          </w:p>
          <w:p w14:paraId="71808105" w14:textId="77777777" w:rsidR="00E45009" w:rsidRDefault="00E45009" w:rsidP="00E45009">
            <w:pPr>
              <w:rPr>
                <w:b/>
                <w:bCs/>
                <w:szCs w:val="20"/>
              </w:rPr>
            </w:pPr>
            <w:r w:rsidRPr="007243FC">
              <w:rPr>
                <w:b/>
                <w:bCs/>
                <w:szCs w:val="20"/>
              </w:rPr>
              <w:t>Partner Agencies:</w:t>
            </w:r>
          </w:p>
          <w:p w14:paraId="69E2A40F" w14:textId="77777777" w:rsidR="00E45009" w:rsidRDefault="00E45009" w:rsidP="00E45009">
            <w:pPr>
              <w:jc w:val="both"/>
              <w:rPr>
                <w:color w:val="0070C0"/>
                <w:sz w:val="48"/>
                <w:szCs w:val="48"/>
              </w:rPr>
            </w:pPr>
            <w:r w:rsidRPr="00EE1D53">
              <w:t>UNEP</w:t>
            </w:r>
          </w:p>
        </w:tc>
        <w:tc>
          <w:tcPr>
            <w:tcW w:w="0" w:type="auto"/>
            <w:shd w:val="clear" w:color="auto" w:fill="auto"/>
          </w:tcPr>
          <w:p w14:paraId="36BCCE68" w14:textId="77777777" w:rsidR="00E45009" w:rsidRDefault="00E45009" w:rsidP="00E45009">
            <w:pPr>
              <w:jc w:val="both"/>
              <w:rPr>
                <w:color w:val="0070C0"/>
                <w:sz w:val="48"/>
                <w:szCs w:val="48"/>
              </w:rPr>
            </w:pPr>
            <w:r w:rsidRPr="00666486">
              <w:t>Tier II</w:t>
            </w:r>
          </w:p>
        </w:tc>
        <w:tc>
          <w:tcPr>
            <w:tcW w:w="0" w:type="auto"/>
            <w:shd w:val="clear" w:color="auto" w:fill="auto"/>
          </w:tcPr>
          <w:p w14:paraId="04474866" w14:textId="53ED02A3" w:rsidR="00E45009" w:rsidRDefault="00E45009" w:rsidP="00E45009">
            <w:pPr>
              <w:pStyle w:val="NoSpacing"/>
            </w:pPr>
          </w:p>
          <w:p w14:paraId="3DB111A6" w14:textId="77777777" w:rsidR="00E45009" w:rsidRPr="000C4849" w:rsidRDefault="00E45009" w:rsidP="00E45009">
            <w:pPr>
              <w:pStyle w:val="NoSpacing"/>
              <w:rPr>
                <w:b/>
              </w:rPr>
            </w:pPr>
            <w:r w:rsidRPr="000C4849">
              <w:rPr>
                <w:b/>
              </w:rPr>
              <w:t>Definition:</w:t>
            </w:r>
          </w:p>
          <w:p w14:paraId="4CFEE7AB" w14:textId="77777777" w:rsidR="00E45009" w:rsidRDefault="00E45009" w:rsidP="00E45009">
            <w:pPr>
              <w:pStyle w:val="NoSpacing"/>
            </w:pPr>
            <w:r>
              <w:t>Tourism Direct GDP (TDGDP) is defined as the sum of the part of gross value added (at basic prices) generated by all industries in response to internal tourism consumption plus the amount of net taxes on products and imports included within the value of this expenditure at purchasers’ prices. The indicator relies on the Tourism Satellite Account: Recommended Methodological Framework 2008, an international standard adopted by the UN Statistical Commission and elaborated by UNWTO, OECD and EUROSTAT.</w:t>
            </w:r>
          </w:p>
          <w:p w14:paraId="6A0A6735" w14:textId="77777777" w:rsidR="00E45009" w:rsidRDefault="00E45009" w:rsidP="00E45009">
            <w:pPr>
              <w:pStyle w:val="NoSpacing"/>
            </w:pPr>
          </w:p>
          <w:p w14:paraId="2C263F29" w14:textId="77777777" w:rsidR="00E45009" w:rsidRPr="000C4849" w:rsidRDefault="00E45009" w:rsidP="00E45009">
            <w:pPr>
              <w:pStyle w:val="NoSpacing"/>
              <w:rPr>
                <w:b/>
              </w:rPr>
            </w:pPr>
            <w:r w:rsidRPr="000C4849">
              <w:rPr>
                <w:b/>
              </w:rPr>
              <w:t>Concepts:</w:t>
            </w:r>
          </w:p>
          <w:p w14:paraId="5251D8BE" w14:textId="77777777" w:rsidR="00E45009" w:rsidRDefault="00E45009" w:rsidP="00E45009">
            <w:pPr>
              <w:pStyle w:val="NoSpacing"/>
            </w:pPr>
            <w:r>
              <w:t>Tourism direct gross value added (TDGVA) is the part of gross value added generated by tourism industries and other industries of the economy that directly serve visitors in response to internal tourism consumption.</w:t>
            </w:r>
          </w:p>
          <w:p w14:paraId="28F4CA7D" w14:textId="77777777" w:rsidR="00E45009" w:rsidRDefault="00E45009" w:rsidP="00E45009">
            <w:pPr>
              <w:pStyle w:val="NoSpacing"/>
            </w:pPr>
          </w:p>
          <w:p w14:paraId="5208F29A" w14:textId="77777777" w:rsidR="00E45009" w:rsidRDefault="00E45009" w:rsidP="00E45009">
            <w:pPr>
              <w:pStyle w:val="NoSpacing"/>
            </w:pPr>
            <w:r>
              <w:t>Gross Domestic Product (GDP): It is the main measure of national output, representing the total value of all final goods and services within the System of National Accounts (SNA) production boundary produced in a particular economy (that is, the dollar value of all goods and services within the SNA production boundary produced within a country’s borders in a given year). According to the SNA, “GDP is the sum of gross value added of all resident producer units plus that part (possibly the total) of taxes on products, less subsidies on products, that is not included in the valuation of output … GDP is also equal to the sum of the final uses of goods and services (all uses except intermediate consumption) measured at purchasers’ prices, less the value of imports of goods and services GDP is also equal to the sum of primary incomes distributed by resident producer units.”</w:t>
            </w:r>
          </w:p>
          <w:p w14:paraId="3C4FEBF1" w14:textId="77777777" w:rsidR="00E45009" w:rsidRDefault="00E45009" w:rsidP="00E45009">
            <w:pPr>
              <w:pStyle w:val="NoSpacing"/>
            </w:pPr>
          </w:p>
          <w:p w14:paraId="611B48E7" w14:textId="77777777" w:rsidR="00E45009" w:rsidRPr="000C4849" w:rsidRDefault="00E45009" w:rsidP="00E45009">
            <w:pPr>
              <w:pStyle w:val="NoSpacing"/>
              <w:rPr>
                <w:b/>
              </w:rPr>
            </w:pPr>
            <w:r w:rsidRPr="000C4849">
              <w:rPr>
                <w:b/>
              </w:rPr>
              <w:t>Comments and limitations:</w:t>
            </w:r>
          </w:p>
          <w:p w14:paraId="6EC8A347" w14:textId="77777777" w:rsidR="00E45009" w:rsidRDefault="00E45009" w:rsidP="00E45009">
            <w:pPr>
              <w:pStyle w:val="NoSpacing"/>
            </w:pPr>
            <w:r>
              <w:t>Given that a growing number of countries produce Tourism Satellite Account (TSA), data on the suggested indicators could become available in many more countries in the near future.</w:t>
            </w:r>
          </w:p>
          <w:p w14:paraId="222CC112" w14:textId="77777777" w:rsidR="00E45009" w:rsidRDefault="00E45009" w:rsidP="00E45009">
            <w:pPr>
              <w:pStyle w:val="NoSpacing"/>
            </w:pPr>
            <w:r>
              <w:t>The data demands – among others - detailed input-output or supply and use tables for setting up a TSA; this means that it is often not possible to have current data or frequent updating of the TSA. Therefore, some countries produce estimates of TSA aggregates, in between reference years, to have more current data and to produce a time series.</w:t>
            </w:r>
          </w:p>
          <w:p w14:paraId="29F7A722" w14:textId="77777777" w:rsidR="00E45009" w:rsidRDefault="00E45009" w:rsidP="00E45009">
            <w:pPr>
              <w:pStyle w:val="NoSpacing"/>
            </w:pPr>
            <w:r>
              <w:t>TDGDP/GDP tends to do not show large variations from one year to the next and variations may stem from the numerator and/or denominator. This could warrant considering the indicator in different forms: absolute value, % change in constant price, and TDGDP per visitor or per employed person.</w:t>
            </w:r>
          </w:p>
          <w:p w14:paraId="1CD383CB" w14:textId="77777777" w:rsidR="00E45009" w:rsidRDefault="00E45009" w:rsidP="00E45009">
            <w:pPr>
              <w:pStyle w:val="NoSpacing"/>
            </w:pPr>
          </w:p>
          <w:p w14:paraId="7973BE50" w14:textId="77777777" w:rsidR="00E45009" w:rsidRPr="000C4849" w:rsidRDefault="00E45009" w:rsidP="00E45009">
            <w:pPr>
              <w:pStyle w:val="NoSpacing"/>
              <w:rPr>
                <w:b/>
              </w:rPr>
            </w:pPr>
            <w:r w:rsidRPr="000C4849">
              <w:rPr>
                <w:b/>
              </w:rPr>
              <w:t>Computation Method:</w:t>
            </w:r>
          </w:p>
          <w:p w14:paraId="6858EC69" w14:textId="77777777" w:rsidR="00E45009" w:rsidRDefault="00E45009" w:rsidP="00E45009">
            <w:pPr>
              <w:pStyle w:val="NoSpacing"/>
            </w:pPr>
          </w:p>
          <w:p w14:paraId="367260F8" w14:textId="77777777" w:rsidR="00E45009" w:rsidRDefault="00E45009" w:rsidP="00E45009">
            <w:pPr>
              <w:pStyle w:val="NoSpacing"/>
            </w:pPr>
            <w:r>
              <w:t>Tourism direct GDP as a proportion of total GDP (</w:t>
            </w:r>
            <w:proofErr w:type="gramStart"/>
            <w:r>
              <w:t>in%</w:t>
            </w:r>
            <w:proofErr w:type="gramEnd"/>
            <w:r>
              <w:t>):</w:t>
            </w:r>
          </w:p>
          <w:p w14:paraId="5CFEE85A" w14:textId="77777777" w:rsidR="00E45009" w:rsidRPr="007425F7" w:rsidRDefault="004B4A24" w:rsidP="00E45009">
            <w:pPr>
              <w:pStyle w:val="NoSpacing"/>
            </w:pPr>
            <m:oMathPara>
              <m:oMathParaPr>
                <m:jc m:val="left"/>
              </m:oMathParaPr>
              <m:oMath>
                <m:d>
                  <m:dPr>
                    <m:ctrlPr>
                      <w:rPr>
                        <w:rFonts w:ascii="Cambria Math" w:eastAsia="Times New Roman" w:hAnsi="Cambria Math" w:cs="Times New Roman"/>
                        <w:i/>
                        <w:color w:val="4A4A4A"/>
                        <w:sz w:val="21"/>
                        <w:szCs w:val="21"/>
                        <w:lang w:eastAsia="en-GB"/>
                      </w:rPr>
                    </m:ctrlPr>
                  </m:dPr>
                  <m:e>
                    <m:f>
                      <m:fPr>
                        <m:ctrlPr>
                          <w:rPr>
                            <w:rFonts w:ascii="Cambria Math" w:eastAsia="Times New Roman" w:hAnsi="Cambria Math" w:cs="Times New Roman"/>
                            <w:i/>
                            <w:color w:val="4A4A4A"/>
                            <w:sz w:val="21"/>
                            <w:szCs w:val="21"/>
                            <w:lang w:eastAsia="en-GB"/>
                          </w:rPr>
                        </m:ctrlPr>
                      </m:fPr>
                      <m:num>
                        <m:r>
                          <w:rPr>
                            <w:rFonts w:ascii="Cambria Math" w:eastAsia="Times New Roman" w:hAnsi="Cambria Math" w:cs="Times New Roman"/>
                            <w:color w:val="4A4A4A"/>
                            <w:sz w:val="21"/>
                            <w:szCs w:val="21"/>
                            <w:lang w:eastAsia="en-GB"/>
                          </w:rPr>
                          <m:t>tdgdp</m:t>
                        </m:r>
                      </m:num>
                      <m:den>
                        <m:r>
                          <w:rPr>
                            <w:rFonts w:ascii="Cambria Math" w:eastAsia="Times New Roman" w:hAnsi="Cambria Math" w:cs="Times New Roman"/>
                            <w:color w:val="4A4A4A"/>
                            <w:sz w:val="21"/>
                            <w:szCs w:val="21"/>
                            <w:lang w:eastAsia="en-GB"/>
                          </w:rPr>
                          <m:t>gdp</m:t>
                        </m:r>
                      </m:den>
                    </m:f>
                  </m:e>
                </m:d>
                <m:r>
                  <w:rPr>
                    <w:rFonts w:ascii="Cambria Math" w:eastAsia="Times New Roman" w:hAnsi="Cambria Math" w:cs="Times New Roman"/>
                    <w:color w:val="4A4A4A"/>
                    <w:sz w:val="21"/>
                    <w:szCs w:val="21"/>
                    <w:lang w:eastAsia="en-GB"/>
                  </w:rPr>
                  <m:t>*100</m:t>
                </m:r>
              </m:oMath>
            </m:oMathPara>
          </w:p>
          <w:p w14:paraId="3A24B1DE" w14:textId="77777777" w:rsidR="00E45009" w:rsidRDefault="00E45009" w:rsidP="00E45009">
            <w:pPr>
              <w:pStyle w:val="NoSpacing"/>
            </w:pPr>
          </w:p>
          <w:p w14:paraId="2CC85E14" w14:textId="77777777" w:rsidR="00E45009" w:rsidRDefault="00E45009" w:rsidP="00E45009">
            <w:pPr>
              <w:pStyle w:val="NoSpacing"/>
            </w:pPr>
            <w:r>
              <w:t>Tourism direct GDP in growth rate</w:t>
            </w:r>
          </w:p>
          <w:p w14:paraId="1DCDE33C" w14:textId="77777777" w:rsidR="00E45009" w:rsidRDefault="00E45009" w:rsidP="00E45009">
            <w:pPr>
              <w:pStyle w:val="NoSpacing"/>
            </w:pPr>
          </w:p>
          <w:p w14:paraId="7E933096" w14:textId="77777777" w:rsidR="00E45009" w:rsidRDefault="00E45009" w:rsidP="00E45009">
            <w:pPr>
              <w:pStyle w:val="NoSpacing"/>
            </w:pPr>
            <w:r>
              <w:t>((tdgdp t / tdgdp t-1)-1)*100</w:t>
            </w:r>
          </w:p>
        </w:tc>
        <w:tc>
          <w:tcPr>
            <w:tcW w:w="0" w:type="auto"/>
            <w:shd w:val="clear" w:color="auto" w:fill="auto"/>
          </w:tcPr>
          <w:p w14:paraId="6FBBE8BE" w14:textId="77777777" w:rsidR="00E45009" w:rsidRDefault="00E45009" w:rsidP="00E45009">
            <w:pPr>
              <w:pStyle w:val="NoSpacing"/>
            </w:pPr>
            <w:r>
              <w:lastRenderedPageBreak/>
              <w:t>Survey questionnaire</w:t>
            </w:r>
          </w:p>
        </w:tc>
        <w:tc>
          <w:tcPr>
            <w:tcW w:w="0" w:type="auto"/>
            <w:shd w:val="clear" w:color="auto" w:fill="auto"/>
          </w:tcPr>
          <w:p w14:paraId="16DCC3C7" w14:textId="77777777" w:rsidR="00E45009" w:rsidRPr="002664EF" w:rsidRDefault="00E45009" w:rsidP="00E45009">
            <w:pPr>
              <w:pStyle w:val="NoSpacing"/>
              <w:rPr>
                <w:lang w:val="en-GB"/>
              </w:rPr>
            </w:pPr>
            <w:r w:rsidRPr="002664EF">
              <w:rPr>
                <w:lang w:val="en-GB"/>
              </w:rPr>
              <w:t>National Statistics Offices and/or National Tourism Administrations.</w:t>
            </w:r>
          </w:p>
          <w:p w14:paraId="2E4F5B6C" w14:textId="77777777" w:rsidR="00E45009" w:rsidRDefault="00E45009" w:rsidP="00E45009">
            <w:pPr>
              <w:pStyle w:val="NoSpacing"/>
            </w:pPr>
          </w:p>
        </w:tc>
        <w:tc>
          <w:tcPr>
            <w:tcW w:w="0" w:type="auto"/>
            <w:shd w:val="clear" w:color="auto" w:fill="auto"/>
          </w:tcPr>
          <w:p w14:paraId="35730591" w14:textId="77777777" w:rsidR="00E45009" w:rsidRDefault="00E45009" w:rsidP="00E45009">
            <w:pPr>
              <w:pStyle w:val="NoSpacing"/>
            </w:pPr>
            <w:r w:rsidRPr="00BC6F10">
              <w:t>BBS</w:t>
            </w:r>
          </w:p>
          <w:p w14:paraId="18A96285" w14:textId="468B179B" w:rsidR="00E45009" w:rsidRDefault="00E45009" w:rsidP="00E45009">
            <w:pPr>
              <w:jc w:val="both"/>
              <w:rPr>
                <w:color w:val="0070C0"/>
                <w:sz w:val="48"/>
                <w:szCs w:val="48"/>
              </w:rPr>
            </w:pPr>
            <w:r w:rsidRPr="00BC6F10">
              <w:rPr>
                <w:rFonts w:eastAsia="Times New Roman" w:cs="Times New Roman"/>
                <w:color w:val="000000" w:themeColor="text1"/>
                <w:szCs w:val="20"/>
              </w:rPr>
              <w:t>TSA Survey</w:t>
            </w:r>
          </w:p>
        </w:tc>
        <w:tc>
          <w:tcPr>
            <w:tcW w:w="0" w:type="auto"/>
            <w:shd w:val="clear" w:color="auto" w:fill="auto"/>
          </w:tcPr>
          <w:p w14:paraId="35354FCD" w14:textId="77777777" w:rsidR="00E45009" w:rsidRPr="009906CC" w:rsidRDefault="00E45009" w:rsidP="00E45009">
            <w:pPr>
              <w:pStyle w:val="NoSpacing"/>
              <w:rPr>
                <w:szCs w:val="20"/>
              </w:rPr>
            </w:pPr>
            <w:r w:rsidRPr="009906CC">
              <w:t>BBS</w:t>
            </w:r>
          </w:p>
          <w:p w14:paraId="594329E3" w14:textId="77777777" w:rsidR="00E45009" w:rsidRDefault="00E45009" w:rsidP="00E45009">
            <w:pPr>
              <w:jc w:val="both"/>
              <w:rPr>
                <w:color w:val="0070C0"/>
                <w:sz w:val="48"/>
                <w:szCs w:val="48"/>
              </w:rPr>
            </w:pPr>
            <w:r w:rsidRPr="009906CC">
              <w:t>NAW/ TSA Survey</w:t>
            </w:r>
          </w:p>
        </w:tc>
        <w:tc>
          <w:tcPr>
            <w:tcW w:w="0" w:type="auto"/>
            <w:shd w:val="clear" w:color="auto" w:fill="auto"/>
          </w:tcPr>
          <w:p w14:paraId="6FDF367B" w14:textId="77777777" w:rsidR="008D1130" w:rsidRDefault="008D1130" w:rsidP="000E04CC">
            <w:pPr>
              <w:pStyle w:val="ListParagraph"/>
              <w:numPr>
                <w:ilvl w:val="0"/>
                <w:numId w:val="193"/>
              </w:numPr>
              <w:jc w:val="both"/>
              <w:rPr>
                <w:color w:val="0070C0"/>
                <w:szCs w:val="20"/>
              </w:rPr>
            </w:pPr>
            <w:r>
              <w:rPr>
                <w:rFonts w:ascii="Tw Cen MT Condensed" w:hAnsi="Tw Cen MT Condensed"/>
                <w:color w:val="0070C0"/>
                <w:szCs w:val="20"/>
              </w:rPr>
              <w:t>By Region</w:t>
            </w:r>
          </w:p>
          <w:p w14:paraId="00AACF12" w14:textId="3BCADB71" w:rsidR="008D1130" w:rsidRPr="000C4849" w:rsidRDefault="008D1130" w:rsidP="000C4849">
            <w:pPr>
              <w:pStyle w:val="ListParagraph"/>
              <w:numPr>
                <w:ilvl w:val="0"/>
                <w:numId w:val="193"/>
              </w:numPr>
              <w:jc w:val="both"/>
              <w:rPr>
                <w:color w:val="0070C0"/>
                <w:szCs w:val="20"/>
              </w:rPr>
            </w:pPr>
            <w:proofErr w:type="gramStart"/>
            <w:r w:rsidRPr="008D1130">
              <w:rPr>
                <w:rFonts w:ascii="Tw Cen MT Condensed" w:hAnsi="Tw Cen MT Condensed"/>
                <w:color w:val="0070C0"/>
                <w:szCs w:val="20"/>
              </w:rPr>
              <w:t>by</w:t>
            </w:r>
            <w:proofErr w:type="gramEnd"/>
            <w:r w:rsidRPr="008D1130">
              <w:rPr>
                <w:rFonts w:ascii="Tw Cen MT Condensed" w:hAnsi="Tw Cen MT Condensed"/>
                <w:color w:val="0070C0"/>
                <w:szCs w:val="20"/>
              </w:rPr>
              <w:t xml:space="preserve"> tourism industries </w:t>
            </w:r>
            <w:r w:rsidRPr="008D1130">
              <w:rPr>
                <w:rFonts w:ascii="Tw Cen MT Condensed" w:hAnsi="Tw Cen MT Condensed"/>
                <w:color w:val="0070C0"/>
                <w:szCs w:val="20"/>
              </w:rPr>
              <w:lastRenderedPageBreak/>
              <w:t>(e.g. accommodation for visitors, the different kinds of passenger transportation, etc.)</w:t>
            </w:r>
          </w:p>
        </w:tc>
        <w:tc>
          <w:tcPr>
            <w:tcW w:w="0" w:type="auto"/>
            <w:shd w:val="clear" w:color="auto" w:fill="auto"/>
          </w:tcPr>
          <w:p w14:paraId="33D6A4B4" w14:textId="77777777" w:rsidR="00E45009" w:rsidRDefault="00E45009" w:rsidP="00E45009">
            <w:pPr>
              <w:jc w:val="both"/>
              <w:rPr>
                <w:color w:val="0070C0"/>
                <w:sz w:val="48"/>
                <w:szCs w:val="48"/>
              </w:rPr>
            </w:pPr>
            <w:r w:rsidRPr="00BC6F10">
              <w:lastRenderedPageBreak/>
              <w:t>Annual</w:t>
            </w:r>
          </w:p>
        </w:tc>
        <w:tc>
          <w:tcPr>
            <w:tcW w:w="0" w:type="auto"/>
            <w:shd w:val="clear" w:color="auto" w:fill="auto"/>
          </w:tcPr>
          <w:p w14:paraId="4C796BF3" w14:textId="77777777" w:rsidR="00E45009" w:rsidRDefault="00E45009" w:rsidP="00E45009">
            <w:pPr>
              <w:jc w:val="both"/>
              <w:rPr>
                <w:color w:val="0070C0"/>
                <w:sz w:val="48"/>
                <w:szCs w:val="48"/>
              </w:rPr>
            </w:pPr>
            <w:r>
              <w:t>Group 1</w:t>
            </w:r>
          </w:p>
        </w:tc>
        <w:tc>
          <w:tcPr>
            <w:tcW w:w="0" w:type="auto"/>
            <w:shd w:val="clear" w:color="auto" w:fill="auto"/>
          </w:tcPr>
          <w:p w14:paraId="692F3775" w14:textId="77777777" w:rsidR="00E45009" w:rsidRDefault="00E45009" w:rsidP="00E45009">
            <w:pPr>
              <w:pStyle w:val="NoSpacing"/>
            </w:pPr>
            <w:r>
              <w:t>1</w:t>
            </w:r>
            <w:r w:rsidRPr="00013ACB">
              <w:rPr>
                <w:vertAlign w:val="superscript"/>
              </w:rPr>
              <w:t>st</w:t>
            </w:r>
            <w:r>
              <w:t xml:space="preserve"> Round: </w:t>
            </w:r>
          </w:p>
          <w:p w14:paraId="536F747F" w14:textId="77777777" w:rsidR="00E45009" w:rsidRDefault="00E45009" w:rsidP="00E45009">
            <w:pPr>
              <w:pStyle w:val="NoSpacing"/>
            </w:pPr>
            <w:r>
              <w:t>2012</w:t>
            </w:r>
          </w:p>
          <w:p w14:paraId="75D502AD" w14:textId="77777777" w:rsidR="00E45009" w:rsidRDefault="00E45009" w:rsidP="00E45009">
            <w:pPr>
              <w:pStyle w:val="NoSpacing"/>
            </w:pPr>
            <w:r>
              <w:t>2</w:t>
            </w:r>
            <w:r w:rsidRPr="00013ACB">
              <w:rPr>
                <w:vertAlign w:val="superscript"/>
              </w:rPr>
              <w:t>nd</w:t>
            </w:r>
            <w:r>
              <w:t xml:space="preserve"> Round: </w:t>
            </w:r>
          </w:p>
          <w:p w14:paraId="07D49F30" w14:textId="77777777" w:rsidR="00E45009" w:rsidRDefault="00E45009" w:rsidP="00E45009">
            <w:pPr>
              <w:pStyle w:val="NoSpacing"/>
            </w:pPr>
            <w:r>
              <w:t xml:space="preserve">June </w:t>
            </w:r>
            <w:r w:rsidRPr="00CA542A">
              <w:t>2020</w:t>
            </w:r>
          </w:p>
          <w:p w14:paraId="02EB9D21" w14:textId="77777777" w:rsidR="00E45009" w:rsidRDefault="00E45009" w:rsidP="00E45009">
            <w:pPr>
              <w:pStyle w:val="NoSpacing"/>
            </w:pPr>
          </w:p>
          <w:p w14:paraId="23F7A04E" w14:textId="77777777" w:rsidR="00E45009" w:rsidRDefault="00E45009" w:rsidP="00E45009">
            <w:pPr>
              <w:pStyle w:val="NoSpacing"/>
            </w:pPr>
            <w:r>
              <w:t>3</w:t>
            </w:r>
            <w:r w:rsidRPr="00013ACB">
              <w:rPr>
                <w:vertAlign w:val="superscript"/>
              </w:rPr>
              <w:t>rd</w:t>
            </w:r>
            <w:r>
              <w:t xml:space="preserve"> Round: </w:t>
            </w:r>
          </w:p>
          <w:p w14:paraId="6DCD9558" w14:textId="77777777" w:rsidR="00E45009" w:rsidRDefault="00E45009" w:rsidP="00E45009">
            <w:pPr>
              <w:pStyle w:val="NoSpacing"/>
            </w:pPr>
            <w:r>
              <w:lastRenderedPageBreak/>
              <w:t>June</w:t>
            </w:r>
            <w:r>
              <w:br/>
              <w:t>2021</w:t>
            </w:r>
          </w:p>
          <w:p w14:paraId="02E74CFB" w14:textId="77777777" w:rsidR="00E45009" w:rsidRDefault="00E45009" w:rsidP="00E45009">
            <w:pPr>
              <w:pStyle w:val="NoSpacing"/>
            </w:pPr>
            <w:r>
              <w:t>4</w:t>
            </w:r>
            <w:r w:rsidRPr="00013ACB">
              <w:rPr>
                <w:vertAlign w:val="superscript"/>
              </w:rPr>
              <w:t>th</w:t>
            </w:r>
            <w:r>
              <w:t xml:space="preserve"> Round: </w:t>
            </w:r>
          </w:p>
          <w:p w14:paraId="7E80DDF8" w14:textId="77777777" w:rsidR="00E45009" w:rsidRDefault="00E45009" w:rsidP="00E45009">
            <w:pPr>
              <w:pStyle w:val="NoSpacing"/>
            </w:pPr>
            <w:r>
              <w:t>June</w:t>
            </w:r>
            <w:r>
              <w:br/>
              <w:t>2022</w:t>
            </w:r>
          </w:p>
          <w:p w14:paraId="30D07A6B" w14:textId="77777777" w:rsidR="00E45009" w:rsidRDefault="00E45009" w:rsidP="00E45009">
            <w:pPr>
              <w:pStyle w:val="NoSpacing"/>
            </w:pPr>
            <w:r>
              <w:t>5</w:t>
            </w:r>
            <w:r w:rsidRPr="00013ACB">
              <w:rPr>
                <w:vertAlign w:val="superscript"/>
              </w:rPr>
              <w:t>th</w:t>
            </w:r>
            <w:r>
              <w:t xml:space="preserve"> Round: </w:t>
            </w:r>
          </w:p>
          <w:p w14:paraId="48F52713" w14:textId="611580D4" w:rsidR="00E45009" w:rsidRDefault="00E45009" w:rsidP="00E45009">
            <w:pPr>
              <w:pStyle w:val="NoSpacing"/>
            </w:pPr>
            <w:r>
              <w:t>June</w:t>
            </w:r>
            <w:r>
              <w:br/>
              <w:t>2023</w:t>
            </w:r>
          </w:p>
        </w:tc>
        <w:tc>
          <w:tcPr>
            <w:tcW w:w="0" w:type="auto"/>
            <w:shd w:val="clear" w:color="auto" w:fill="auto"/>
          </w:tcPr>
          <w:p w14:paraId="7FE8D353" w14:textId="77777777" w:rsidR="00E45009" w:rsidRDefault="00E45009" w:rsidP="00E45009">
            <w:pPr>
              <w:jc w:val="both"/>
              <w:rPr>
                <w:color w:val="0070C0"/>
                <w:sz w:val="48"/>
                <w:szCs w:val="48"/>
              </w:rPr>
            </w:pPr>
          </w:p>
        </w:tc>
      </w:tr>
      <w:tr w:rsidR="00E45009" w14:paraId="24235400" w14:textId="77777777" w:rsidTr="0025292C">
        <w:tc>
          <w:tcPr>
            <w:tcW w:w="0" w:type="auto"/>
            <w:gridSpan w:val="13"/>
            <w:shd w:val="clear" w:color="auto" w:fill="auto"/>
          </w:tcPr>
          <w:p w14:paraId="75E66E53" w14:textId="77777777" w:rsidR="00E45009" w:rsidRDefault="00E45009" w:rsidP="00E45009">
            <w:pPr>
              <w:jc w:val="both"/>
              <w:rPr>
                <w:color w:val="0070C0"/>
                <w:sz w:val="48"/>
                <w:szCs w:val="48"/>
              </w:rPr>
            </w:pPr>
            <w:r>
              <w:rPr>
                <w:color w:val="0070C0"/>
                <w:sz w:val="30"/>
                <w:szCs w:val="30"/>
              </w:rPr>
              <w:lastRenderedPageBreak/>
              <w:t xml:space="preserve">Target </w:t>
            </w:r>
            <w:r w:rsidRPr="006429A5">
              <w:rPr>
                <w:color w:val="0070C0"/>
                <w:sz w:val="30"/>
                <w:szCs w:val="30"/>
              </w:rPr>
              <w:t>8.10 Strengthen the capacity of domestic financial institutions to encourage and expand access to banking, insurance and financial services for all</w:t>
            </w:r>
          </w:p>
        </w:tc>
      </w:tr>
      <w:tr w:rsidR="00E45009" w14:paraId="346D3A72" w14:textId="77777777" w:rsidTr="0025292C">
        <w:tc>
          <w:tcPr>
            <w:tcW w:w="0" w:type="auto"/>
            <w:shd w:val="clear" w:color="auto" w:fill="auto"/>
          </w:tcPr>
          <w:p w14:paraId="7A5A4290" w14:textId="77777777" w:rsidR="00E45009" w:rsidRDefault="00E45009" w:rsidP="00E45009">
            <w:pPr>
              <w:jc w:val="both"/>
              <w:rPr>
                <w:color w:val="0070C0"/>
                <w:sz w:val="48"/>
                <w:szCs w:val="48"/>
              </w:rPr>
            </w:pPr>
            <w:r w:rsidRPr="00F73727">
              <w:t xml:space="preserve">8.10.1 (a) Number of commercial bank branches per </w:t>
            </w:r>
            <w:r w:rsidRPr="00F73727">
              <w:lastRenderedPageBreak/>
              <w:t>100,000 adults and (b) number of automated teller machines (ATMs) per 100,000 adults</w:t>
            </w:r>
          </w:p>
        </w:tc>
        <w:tc>
          <w:tcPr>
            <w:tcW w:w="0" w:type="auto"/>
            <w:shd w:val="clear" w:color="auto" w:fill="auto"/>
          </w:tcPr>
          <w:p w14:paraId="73B881D9" w14:textId="77777777" w:rsidR="00E45009" w:rsidRDefault="00E45009" w:rsidP="00E45009">
            <w:pPr>
              <w:pStyle w:val="NoSpacing"/>
            </w:pPr>
            <w:r w:rsidRPr="00EE1D53">
              <w:lastRenderedPageBreak/>
              <w:t>IMF</w:t>
            </w:r>
          </w:p>
          <w:p w14:paraId="085A65A2" w14:textId="77777777" w:rsidR="00E45009" w:rsidRDefault="00E45009" w:rsidP="00E45009">
            <w:pPr>
              <w:rPr>
                <w:b/>
                <w:bCs/>
                <w:szCs w:val="20"/>
              </w:rPr>
            </w:pPr>
            <w:r w:rsidRPr="007243FC">
              <w:rPr>
                <w:b/>
                <w:bCs/>
                <w:szCs w:val="20"/>
              </w:rPr>
              <w:t>Partner Agencies:</w:t>
            </w:r>
          </w:p>
          <w:p w14:paraId="0EF9BED0" w14:textId="77777777" w:rsidR="00E45009" w:rsidRDefault="00E45009" w:rsidP="00E45009">
            <w:pPr>
              <w:jc w:val="both"/>
              <w:rPr>
                <w:color w:val="0070C0"/>
                <w:sz w:val="48"/>
                <w:szCs w:val="48"/>
              </w:rPr>
            </w:pPr>
            <w:r w:rsidRPr="00EE1D53">
              <w:t>UNCDF</w:t>
            </w:r>
          </w:p>
        </w:tc>
        <w:tc>
          <w:tcPr>
            <w:tcW w:w="0" w:type="auto"/>
            <w:shd w:val="clear" w:color="auto" w:fill="auto"/>
          </w:tcPr>
          <w:p w14:paraId="1E19E591" w14:textId="77777777" w:rsidR="00E45009" w:rsidRDefault="00E45009" w:rsidP="00E45009">
            <w:pPr>
              <w:jc w:val="both"/>
              <w:rPr>
                <w:color w:val="0070C0"/>
                <w:sz w:val="48"/>
                <w:szCs w:val="48"/>
              </w:rPr>
            </w:pPr>
            <w:r w:rsidRPr="00666486">
              <w:t>Tier I</w:t>
            </w:r>
          </w:p>
        </w:tc>
        <w:tc>
          <w:tcPr>
            <w:tcW w:w="0" w:type="auto"/>
            <w:shd w:val="clear" w:color="auto" w:fill="auto"/>
          </w:tcPr>
          <w:p w14:paraId="6288A166" w14:textId="77777777" w:rsidR="00E45009" w:rsidRDefault="00E45009" w:rsidP="00E45009">
            <w:pPr>
              <w:pStyle w:val="NoSpacing"/>
            </w:pPr>
            <w:r>
              <w:t>Definition:</w:t>
            </w:r>
          </w:p>
          <w:p w14:paraId="2EA4A8F6" w14:textId="77777777" w:rsidR="00E45009" w:rsidRDefault="00E45009" w:rsidP="00E45009">
            <w:pPr>
              <w:pStyle w:val="NoSpacing"/>
            </w:pPr>
            <w:r>
              <w:t>The number of commercial bank branches per 100,000 adults</w:t>
            </w:r>
          </w:p>
          <w:p w14:paraId="7DF2B636" w14:textId="77777777" w:rsidR="00E45009" w:rsidRDefault="00E45009" w:rsidP="00E45009">
            <w:pPr>
              <w:pStyle w:val="NoSpacing"/>
            </w:pPr>
            <w:r>
              <w:t>The number of automated teller machines (ATMs) per 100,000 adults</w:t>
            </w:r>
          </w:p>
          <w:p w14:paraId="63453571" w14:textId="77777777" w:rsidR="00E45009" w:rsidRDefault="00E45009" w:rsidP="00E45009">
            <w:pPr>
              <w:pStyle w:val="NoSpacing"/>
            </w:pPr>
          </w:p>
          <w:p w14:paraId="71202BC1" w14:textId="77777777" w:rsidR="00E45009" w:rsidRDefault="00E45009" w:rsidP="00E45009">
            <w:pPr>
              <w:pStyle w:val="NoSpacing"/>
            </w:pPr>
            <w:r>
              <w:t>Concepts:</w:t>
            </w:r>
          </w:p>
          <w:p w14:paraId="7A3B870B" w14:textId="77777777" w:rsidR="00E45009" w:rsidRDefault="00E45009" w:rsidP="00E45009">
            <w:pPr>
              <w:pStyle w:val="NoSpacing"/>
            </w:pPr>
          </w:p>
          <w:p w14:paraId="58B89B9E" w14:textId="77777777" w:rsidR="00E45009" w:rsidRDefault="00E45009" w:rsidP="00E45009">
            <w:pPr>
              <w:pStyle w:val="NoSpacing"/>
            </w:pPr>
            <w:r>
              <w:lastRenderedPageBreak/>
              <w:t>The number of commercial bank branches per 100,000 adults refers to the number of commercial banks branches at end-year reported by the Central Bank or the main financial regulator of the country. To make it comparable, this number is presented as a reference per 100,000 adults in the respective country.</w:t>
            </w:r>
          </w:p>
          <w:p w14:paraId="3D36E885" w14:textId="77777777" w:rsidR="00E45009" w:rsidRDefault="00E45009" w:rsidP="00E45009">
            <w:pPr>
              <w:pStyle w:val="NoSpacing"/>
            </w:pPr>
          </w:p>
          <w:p w14:paraId="7E831446" w14:textId="77777777" w:rsidR="00E45009" w:rsidRDefault="00E45009" w:rsidP="00E45009">
            <w:pPr>
              <w:pStyle w:val="NoSpacing"/>
            </w:pPr>
            <w:r>
              <w:t xml:space="preserve">The number of automated teller machines (ATMs) per 100,000 </w:t>
            </w:r>
            <w:proofErr w:type="gramStart"/>
            <w:r>
              <w:t>adults,</w:t>
            </w:r>
            <w:proofErr w:type="gramEnd"/>
            <w:r>
              <w:t xml:space="preserve"> refers to the number of ATMs in the country for all types of financial institutions such as: commercial banks, non-deposit taking microfinance institutions, deposit taking micro finance institutions, credit union and financial cooperatives, among other. This information is reported every year by the Central Bank or the main financial regulator of the country. To make it comparable, this number is presented as a reference per 100,000 adults in the respective country.</w:t>
            </w:r>
          </w:p>
          <w:p w14:paraId="05ADB918" w14:textId="77777777" w:rsidR="00E45009" w:rsidRDefault="00E45009" w:rsidP="00E45009">
            <w:pPr>
              <w:pStyle w:val="NoSpacing"/>
            </w:pPr>
          </w:p>
          <w:p w14:paraId="74A28457" w14:textId="77777777" w:rsidR="00E45009" w:rsidRDefault="00E45009" w:rsidP="00E45009">
            <w:pPr>
              <w:pStyle w:val="NoSpacing"/>
            </w:pPr>
            <w:r>
              <w:t>Comments and limitations:</w:t>
            </w:r>
          </w:p>
          <w:p w14:paraId="19BBE768" w14:textId="77777777" w:rsidR="00E45009" w:rsidRDefault="00E45009" w:rsidP="00E45009">
            <w:pPr>
              <w:pStyle w:val="NoSpacing"/>
            </w:pPr>
            <w:r>
              <w:t xml:space="preserve">Since 2009, the Financial Access Survey (FAS) collects information from administrative sources on an annual basis. The Central Bank or the main financial regulator reports yearly information including the two indicators that are part of the SDGs. Since its launch, 189 economies have contributed to the FAS, which now </w:t>
            </w:r>
            <w:proofErr w:type="gramStart"/>
            <w:r>
              <w:t>contains</w:t>
            </w:r>
            <w:proofErr w:type="gramEnd"/>
            <w:r>
              <w:t xml:space="preserve"> more than 150 series on financial inclusion covering the period 2004-2016.</w:t>
            </w:r>
          </w:p>
          <w:p w14:paraId="58A9468A" w14:textId="77777777" w:rsidR="00E45009" w:rsidRDefault="00E45009" w:rsidP="00E45009">
            <w:pPr>
              <w:pStyle w:val="NoSpacing"/>
            </w:pPr>
          </w:p>
          <w:p w14:paraId="409E3C04" w14:textId="77777777" w:rsidR="00E45009" w:rsidRDefault="00E45009" w:rsidP="00E45009">
            <w:pPr>
              <w:pStyle w:val="NoSpacing"/>
            </w:pPr>
          </w:p>
          <w:p w14:paraId="11714271" w14:textId="77777777" w:rsidR="00E45009" w:rsidRDefault="00E45009" w:rsidP="00E45009">
            <w:pPr>
              <w:pStyle w:val="NoSpacing"/>
            </w:pPr>
            <w:r>
              <w:t>Computation Method:</w:t>
            </w:r>
          </w:p>
          <w:p w14:paraId="410EAC7D" w14:textId="77777777" w:rsidR="00E45009" w:rsidRDefault="00E45009" w:rsidP="00E45009">
            <w:pPr>
              <w:pStyle w:val="NoSpacing"/>
            </w:pPr>
            <w:r>
              <w:t>The indicators are calculated based on data collected directly from the Central Bank or the main financial regulator in the country. The formula to obtain these indicators are:</w:t>
            </w:r>
          </w:p>
          <w:p w14:paraId="6AFBFD2B" w14:textId="77777777" w:rsidR="00E45009" w:rsidRDefault="00E45009" w:rsidP="00E45009">
            <w:pPr>
              <w:pStyle w:val="NoSpacing"/>
            </w:pPr>
            <m:oMathPara>
              <m:oMath>
                <m:r>
                  <m:rPr>
                    <m:sty m:val="p"/>
                  </m:rPr>
                  <w:rPr>
                    <w:rFonts w:ascii="Cambria Math" w:eastAsia="Times New Roman" w:hAnsi="Cambria Math" w:cstheme="minorHAnsi"/>
                    <w:color w:val="4A4A4A"/>
                    <w:sz w:val="21"/>
                    <w:szCs w:val="21"/>
                    <w:lang w:eastAsia="en-GB"/>
                  </w:rPr>
                  <m:t xml:space="preserve">The number of commercial bank branches per 100,000 </m:t>
                </m:r>
                <m:sSub>
                  <m:sSubPr>
                    <m:ctrlPr>
                      <w:rPr>
                        <w:rFonts w:ascii="Cambria Math" w:eastAsia="Times New Roman" w:hAnsi="Cambria Math" w:cstheme="minorHAnsi"/>
                        <w:color w:val="4A4A4A"/>
                        <w:sz w:val="21"/>
                        <w:szCs w:val="21"/>
                        <w:lang w:eastAsia="en-GB"/>
                      </w:rPr>
                    </m:ctrlPr>
                  </m:sSubPr>
                  <m:e>
                    <m:r>
                      <m:rPr>
                        <m:sty m:val="p"/>
                      </m:rPr>
                      <w:rPr>
                        <w:rFonts w:ascii="Cambria Math" w:eastAsia="Times New Roman" w:hAnsi="Cambria Math" w:cstheme="minorHAnsi"/>
                        <w:color w:val="4A4A4A"/>
                        <w:sz w:val="21"/>
                        <w:szCs w:val="21"/>
                        <w:lang w:eastAsia="en-GB"/>
                      </w:rPr>
                      <m:t>adults</m:t>
                    </m:r>
                  </m:e>
                  <m:sub>
                    <m:r>
                      <m:rPr>
                        <m:sty m:val="p"/>
                      </m:rPr>
                      <w:rPr>
                        <w:rFonts w:ascii="Cambria Math" w:eastAsia="Times New Roman" w:hAnsi="Cambria Math" w:cstheme="minorHAnsi"/>
                        <w:color w:val="4A4A4A"/>
                        <w:sz w:val="21"/>
                        <w:szCs w:val="21"/>
                        <w:lang w:eastAsia="en-GB"/>
                      </w:rPr>
                      <m:t>it</m:t>
                    </m:r>
                  </m:sub>
                </m:sSub>
                <m:r>
                  <m:rPr>
                    <m:sty m:val="p"/>
                  </m:rPr>
                  <w:rPr>
                    <w:rFonts w:ascii="Cambria Math" w:eastAsia="Times New Roman" w:hAnsi="Cambria Math" w:cstheme="minorHAnsi"/>
                    <w:color w:val="4A4A4A"/>
                    <w:sz w:val="21"/>
                    <w:szCs w:val="21"/>
                    <w:lang w:eastAsia="en-GB"/>
                  </w:rPr>
                  <m:t xml:space="preserve">= </m:t>
                </m:r>
                <m:f>
                  <m:fPr>
                    <m:ctrlPr>
                      <w:rPr>
                        <w:rFonts w:ascii="Cambria Math" w:eastAsia="Times New Roman" w:hAnsi="Cambria Math" w:cstheme="minorHAnsi"/>
                        <w:color w:val="4A4A4A"/>
                        <w:sz w:val="21"/>
                        <w:szCs w:val="21"/>
                        <w:lang w:eastAsia="en-GB"/>
                      </w:rPr>
                    </m:ctrlPr>
                  </m:fPr>
                  <m:num>
                    <m:r>
                      <m:rPr>
                        <m:sty m:val="p"/>
                      </m:rPr>
                      <w:rPr>
                        <w:rFonts w:ascii="Cambria Math" w:eastAsia="Times New Roman" w:hAnsi="Cambria Math" w:cstheme="minorHAnsi"/>
                        <w:color w:val="4A4A4A"/>
                        <w:sz w:val="21"/>
                        <w:szCs w:val="21"/>
                        <w:lang w:eastAsia="en-GB"/>
                      </w:rPr>
                      <m:t xml:space="preserve">Number of commercial bank </m:t>
                    </m:r>
                    <m:sSub>
                      <m:sSubPr>
                        <m:ctrlPr>
                          <w:rPr>
                            <w:rFonts w:ascii="Cambria Math" w:eastAsia="Times New Roman" w:hAnsi="Cambria Math" w:cstheme="minorHAnsi"/>
                            <w:color w:val="4A4A4A"/>
                            <w:sz w:val="21"/>
                            <w:szCs w:val="21"/>
                            <w:lang w:eastAsia="en-GB"/>
                          </w:rPr>
                        </m:ctrlPr>
                      </m:sSubPr>
                      <m:e>
                        <m:r>
                          <m:rPr>
                            <m:sty m:val="p"/>
                          </m:rPr>
                          <w:rPr>
                            <w:rFonts w:ascii="Cambria Math" w:eastAsia="Times New Roman" w:hAnsi="Cambria Math" w:cstheme="minorHAnsi"/>
                            <w:color w:val="4A4A4A"/>
                            <w:sz w:val="21"/>
                            <w:szCs w:val="21"/>
                            <w:lang w:eastAsia="en-GB"/>
                          </w:rPr>
                          <m:t>branches</m:t>
                        </m:r>
                      </m:e>
                      <m:sub>
                        <m:r>
                          <m:rPr>
                            <m:sty m:val="p"/>
                          </m:rPr>
                          <w:rPr>
                            <w:rFonts w:ascii="Cambria Math" w:eastAsia="Times New Roman" w:hAnsi="Cambria Math" w:cstheme="minorHAnsi"/>
                            <w:color w:val="4A4A4A"/>
                            <w:sz w:val="21"/>
                            <w:szCs w:val="21"/>
                            <w:lang w:eastAsia="en-GB"/>
                          </w:rPr>
                          <m:t>it</m:t>
                        </m:r>
                      </m:sub>
                    </m:sSub>
                    <m:r>
                      <m:rPr>
                        <m:sty m:val="p"/>
                      </m:rPr>
                      <w:rPr>
                        <w:rFonts w:ascii="Cambria Math" w:eastAsia="Times New Roman" w:hAnsi="Cambria Math" w:cstheme="minorHAnsi"/>
                        <w:color w:val="4A4A4A"/>
                        <w:sz w:val="21"/>
                        <w:szCs w:val="21"/>
                        <w:lang w:eastAsia="en-GB"/>
                      </w:rPr>
                      <m:t xml:space="preserve"> </m:t>
                    </m:r>
                  </m:num>
                  <m:den>
                    <m:r>
                      <m:rPr>
                        <m:sty m:val="p"/>
                      </m:rPr>
                      <w:rPr>
                        <w:rFonts w:ascii="Cambria Math" w:eastAsia="Times New Roman" w:hAnsi="Cambria Math" w:cstheme="minorHAnsi"/>
                        <w:color w:val="4A4A4A"/>
                        <w:sz w:val="21"/>
                        <w:szCs w:val="21"/>
                        <w:lang w:eastAsia="en-GB"/>
                      </w:rPr>
                      <m:t xml:space="preserve"> </m:t>
                    </m:r>
                    <m:f>
                      <m:fPr>
                        <m:ctrlPr>
                          <w:rPr>
                            <w:rFonts w:ascii="Cambria Math" w:eastAsia="Times New Roman" w:hAnsi="Cambria Math" w:cstheme="minorHAnsi"/>
                            <w:color w:val="4A4A4A"/>
                            <w:sz w:val="21"/>
                            <w:szCs w:val="21"/>
                            <w:lang w:eastAsia="en-GB"/>
                          </w:rPr>
                        </m:ctrlPr>
                      </m:fPr>
                      <m:num>
                        <m:r>
                          <m:rPr>
                            <m:sty m:val="p"/>
                          </m:rPr>
                          <w:rPr>
                            <w:rFonts w:ascii="Cambria Math" w:eastAsia="Times New Roman" w:hAnsi="Cambria Math" w:cstheme="minorHAnsi"/>
                            <w:color w:val="4A4A4A"/>
                            <w:sz w:val="21"/>
                            <w:szCs w:val="21"/>
                            <w:lang w:eastAsia="en-GB"/>
                          </w:rPr>
                          <m:t xml:space="preserve">Adult </m:t>
                        </m:r>
                        <m:sSub>
                          <m:sSubPr>
                            <m:ctrlPr>
                              <w:rPr>
                                <w:rFonts w:ascii="Cambria Math" w:eastAsia="Times New Roman" w:hAnsi="Cambria Math" w:cstheme="minorHAnsi"/>
                                <w:color w:val="4A4A4A"/>
                                <w:sz w:val="21"/>
                                <w:szCs w:val="21"/>
                                <w:lang w:eastAsia="en-GB"/>
                              </w:rPr>
                            </m:ctrlPr>
                          </m:sSubPr>
                          <m:e>
                            <m:r>
                              <m:rPr>
                                <m:sty m:val="p"/>
                              </m:rPr>
                              <w:rPr>
                                <w:rFonts w:ascii="Cambria Math" w:eastAsia="Times New Roman" w:hAnsi="Cambria Math" w:cstheme="minorHAnsi"/>
                                <w:color w:val="4A4A4A"/>
                                <w:sz w:val="21"/>
                                <w:szCs w:val="21"/>
                                <w:lang w:eastAsia="en-GB"/>
                              </w:rPr>
                              <m:t>population</m:t>
                            </m:r>
                          </m:e>
                          <m:sub>
                            <m:r>
                              <m:rPr>
                                <m:sty m:val="p"/>
                              </m:rPr>
                              <w:rPr>
                                <w:rFonts w:ascii="Cambria Math" w:eastAsia="Times New Roman" w:hAnsi="Cambria Math" w:cstheme="minorHAnsi"/>
                                <w:color w:val="4A4A4A"/>
                                <w:sz w:val="21"/>
                                <w:szCs w:val="21"/>
                                <w:lang w:eastAsia="en-GB"/>
                              </w:rPr>
                              <m:t>it</m:t>
                            </m:r>
                          </m:sub>
                        </m:sSub>
                      </m:num>
                      <m:den>
                        <m:r>
                          <m:rPr>
                            <m:sty m:val="p"/>
                          </m:rPr>
                          <w:rPr>
                            <w:rFonts w:ascii="Cambria Math" w:eastAsia="Times New Roman" w:hAnsi="Cambria Math" w:cstheme="minorHAnsi"/>
                            <w:color w:val="4A4A4A"/>
                            <w:sz w:val="21"/>
                            <w:szCs w:val="21"/>
                            <w:lang w:eastAsia="en-GB"/>
                          </w:rPr>
                          <m:t>100,000</m:t>
                        </m:r>
                      </m:den>
                    </m:f>
                  </m:den>
                </m:f>
              </m:oMath>
            </m:oMathPara>
          </w:p>
          <w:p w14:paraId="602C3894" w14:textId="36FB7DE8" w:rsidR="00E45009" w:rsidRDefault="00E45009" w:rsidP="00E45009">
            <w:pPr>
              <w:pStyle w:val="NoSpacing"/>
            </w:pPr>
          </w:p>
          <w:p w14:paraId="1B837D94" w14:textId="77777777" w:rsidR="00E45009" w:rsidRDefault="00E45009" w:rsidP="00E45009">
            <w:pPr>
              <w:pStyle w:val="NoSpacing"/>
            </w:pPr>
            <m:oMathPara>
              <m:oMath>
                <m:r>
                  <m:rPr>
                    <m:sty m:val="p"/>
                  </m:rPr>
                  <w:rPr>
                    <w:rFonts w:ascii="Cambria Math" w:eastAsia="Times New Roman" w:hAnsi="Cambria Math" w:cs="Times New Roman"/>
                    <w:color w:val="4A4A4A"/>
                    <w:sz w:val="21"/>
                    <w:szCs w:val="21"/>
                    <w:lang w:eastAsia="en-GB"/>
                  </w:rPr>
                  <m:t xml:space="preserve">The number of automated teller machines (ATMs) per 100,000 </m:t>
                </m:r>
                <m:sSub>
                  <m:sSubPr>
                    <m:ctrlPr>
                      <w:rPr>
                        <w:rFonts w:ascii="Cambria Math" w:eastAsia="Times New Roman" w:hAnsi="Cambria Math" w:cs="Times New Roman"/>
                        <w:color w:val="4A4A4A"/>
                        <w:sz w:val="21"/>
                        <w:szCs w:val="21"/>
                        <w:lang w:eastAsia="en-GB"/>
                      </w:rPr>
                    </m:ctrlPr>
                  </m:sSubPr>
                  <m:e>
                    <m:r>
                      <m:rPr>
                        <m:sty m:val="p"/>
                      </m:rPr>
                      <w:rPr>
                        <w:rFonts w:ascii="Cambria Math" w:eastAsia="Times New Roman" w:hAnsi="Cambria Math" w:cs="Times New Roman"/>
                        <w:color w:val="4A4A4A"/>
                        <w:sz w:val="21"/>
                        <w:szCs w:val="21"/>
                        <w:lang w:eastAsia="en-GB"/>
                      </w:rPr>
                      <m:t>adults</m:t>
                    </m:r>
                  </m:e>
                  <m:sub>
                    <m:r>
                      <m:rPr>
                        <m:sty m:val="p"/>
                      </m:rPr>
                      <w:rPr>
                        <w:rFonts w:ascii="Cambria Math" w:eastAsia="Times New Roman" w:hAnsi="Cambria Math" w:cs="Times New Roman"/>
                        <w:color w:val="4A4A4A"/>
                        <w:sz w:val="21"/>
                        <w:szCs w:val="21"/>
                        <w:lang w:eastAsia="en-GB"/>
                      </w:rPr>
                      <m:t>it</m:t>
                    </m:r>
                  </m:sub>
                </m:sSub>
                <m:r>
                  <m:rPr>
                    <m:sty m:val="p"/>
                  </m:rPr>
                  <w:rPr>
                    <w:rFonts w:ascii="Cambria Math" w:eastAsia="Times New Roman" w:hAnsi="Cambria Math" w:cs="Times New Roman"/>
                    <w:color w:val="4A4A4A"/>
                    <w:sz w:val="21"/>
                    <w:szCs w:val="21"/>
                    <w:lang w:eastAsia="en-GB"/>
                  </w:rPr>
                  <m:t xml:space="preserve">= </m:t>
                </m:r>
                <m:f>
                  <m:fPr>
                    <m:ctrlPr>
                      <w:rPr>
                        <w:rFonts w:ascii="Cambria Math" w:eastAsia="Times New Roman" w:hAnsi="Cambria Math" w:cs="Times New Roman"/>
                        <w:color w:val="4A4A4A"/>
                        <w:sz w:val="21"/>
                        <w:szCs w:val="21"/>
                        <w:lang w:eastAsia="en-GB"/>
                      </w:rPr>
                    </m:ctrlPr>
                  </m:fPr>
                  <m:num>
                    <m:r>
                      <m:rPr>
                        <m:sty m:val="p"/>
                      </m:rPr>
                      <w:rPr>
                        <w:rFonts w:ascii="Cambria Math" w:eastAsia="Times New Roman" w:hAnsi="Cambria Math" w:cs="Times New Roman"/>
                        <w:color w:val="4A4A4A"/>
                        <w:sz w:val="21"/>
                        <w:szCs w:val="21"/>
                        <w:lang w:eastAsia="en-GB"/>
                      </w:rPr>
                      <m:t xml:space="preserve">Number of automated teller machines </m:t>
                    </m:r>
                    <m:sSub>
                      <m:sSubPr>
                        <m:ctrlPr>
                          <w:rPr>
                            <w:rFonts w:ascii="Cambria Math" w:eastAsia="Times New Roman" w:hAnsi="Cambria Math" w:cs="Times New Roman"/>
                            <w:color w:val="4A4A4A"/>
                            <w:sz w:val="21"/>
                            <w:szCs w:val="21"/>
                            <w:lang w:eastAsia="en-GB"/>
                          </w:rPr>
                        </m:ctrlPr>
                      </m:sSubPr>
                      <m:e>
                        <m:d>
                          <m:dPr>
                            <m:ctrlPr>
                              <w:rPr>
                                <w:rFonts w:ascii="Cambria Math" w:eastAsia="Times New Roman" w:hAnsi="Cambria Math" w:cs="Times New Roman"/>
                                <w:color w:val="4A4A4A"/>
                                <w:sz w:val="21"/>
                                <w:szCs w:val="21"/>
                                <w:lang w:eastAsia="en-GB"/>
                              </w:rPr>
                            </m:ctrlPr>
                          </m:dPr>
                          <m:e>
                            <m:r>
                              <m:rPr>
                                <m:sty m:val="p"/>
                              </m:rPr>
                              <w:rPr>
                                <w:rFonts w:ascii="Cambria Math" w:eastAsia="Times New Roman" w:hAnsi="Cambria Math" w:cs="Times New Roman"/>
                                <w:color w:val="4A4A4A"/>
                                <w:sz w:val="21"/>
                                <w:szCs w:val="21"/>
                                <w:lang w:eastAsia="en-GB"/>
                              </w:rPr>
                              <m:t>ATMs</m:t>
                            </m:r>
                          </m:e>
                        </m:d>
                      </m:e>
                      <m:sub>
                        <m:r>
                          <m:rPr>
                            <m:sty m:val="p"/>
                          </m:rPr>
                          <w:rPr>
                            <w:rFonts w:ascii="Cambria Math" w:eastAsia="Times New Roman" w:hAnsi="Cambria Math" w:cs="Times New Roman"/>
                            <w:color w:val="4A4A4A"/>
                            <w:sz w:val="21"/>
                            <w:szCs w:val="21"/>
                            <w:lang w:eastAsia="en-GB"/>
                          </w:rPr>
                          <m:t>it</m:t>
                        </m:r>
                      </m:sub>
                    </m:sSub>
                    <m:r>
                      <m:rPr>
                        <m:sty m:val="p"/>
                      </m:rPr>
                      <w:rPr>
                        <w:rFonts w:ascii="Cambria Math" w:eastAsia="Times New Roman" w:hAnsi="Cambria Math" w:cs="Times New Roman"/>
                        <w:color w:val="4A4A4A"/>
                        <w:sz w:val="21"/>
                        <w:szCs w:val="21"/>
                        <w:lang w:eastAsia="en-GB"/>
                      </w:rPr>
                      <m:t xml:space="preserve"> </m:t>
                    </m:r>
                  </m:num>
                  <m:den>
                    <m:r>
                      <w:rPr>
                        <w:rFonts w:ascii="Cambria Math" w:eastAsia="Times New Roman" w:hAnsi="Cambria Math" w:cs="Times New Roman"/>
                        <w:color w:val="4A4A4A"/>
                        <w:sz w:val="21"/>
                        <w:szCs w:val="21"/>
                        <w:lang w:eastAsia="en-GB"/>
                      </w:rPr>
                      <m:t xml:space="preserve"> </m:t>
                    </m:r>
                    <m:f>
                      <m:fPr>
                        <m:ctrlPr>
                          <w:rPr>
                            <w:rFonts w:ascii="Cambria Math" w:eastAsia="Times New Roman" w:hAnsi="Cambria Math" w:cs="Times New Roman"/>
                            <w:color w:val="4A4A4A"/>
                            <w:sz w:val="21"/>
                            <w:szCs w:val="21"/>
                            <w:lang w:eastAsia="en-GB"/>
                          </w:rPr>
                        </m:ctrlPr>
                      </m:fPr>
                      <m:num>
                        <m:r>
                          <m:rPr>
                            <m:sty m:val="p"/>
                          </m:rPr>
                          <w:rPr>
                            <w:rFonts w:ascii="Cambria Math" w:eastAsia="Times New Roman" w:hAnsi="Cambria Math" w:cs="Times New Roman"/>
                            <w:color w:val="4A4A4A"/>
                            <w:sz w:val="21"/>
                            <w:szCs w:val="21"/>
                            <w:lang w:eastAsia="en-GB"/>
                          </w:rPr>
                          <m:t xml:space="preserve">Adult </m:t>
                        </m:r>
                        <m:sSub>
                          <m:sSubPr>
                            <m:ctrlPr>
                              <w:rPr>
                                <w:rFonts w:ascii="Cambria Math" w:eastAsia="Times New Roman" w:hAnsi="Cambria Math" w:cs="Times New Roman"/>
                                <w:color w:val="4A4A4A"/>
                                <w:sz w:val="21"/>
                                <w:szCs w:val="21"/>
                                <w:lang w:eastAsia="en-GB"/>
                              </w:rPr>
                            </m:ctrlPr>
                          </m:sSubPr>
                          <m:e>
                            <m:r>
                              <m:rPr>
                                <m:sty m:val="p"/>
                              </m:rPr>
                              <w:rPr>
                                <w:rFonts w:ascii="Cambria Math" w:eastAsia="Times New Roman" w:hAnsi="Cambria Math" w:cs="Times New Roman"/>
                                <w:color w:val="4A4A4A"/>
                                <w:sz w:val="21"/>
                                <w:szCs w:val="21"/>
                                <w:lang w:eastAsia="en-GB"/>
                              </w:rPr>
                              <m:t>population</m:t>
                            </m:r>
                          </m:e>
                          <m:sub>
                            <m:r>
                              <m:rPr>
                                <m:sty m:val="p"/>
                              </m:rPr>
                              <w:rPr>
                                <w:rFonts w:ascii="Cambria Math" w:eastAsia="Times New Roman" w:hAnsi="Cambria Math" w:cs="Times New Roman"/>
                                <w:color w:val="4A4A4A"/>
                                <w:sz w:val="21"/>
                                <w:szCs w:val="21"/>
                                <w:lang w:eastAsia="en-GB"/>
                              </w:rPr>
                              <m:t>it</m:t>
                            </m:r>
                          </m:sub>
                        </m:sSub>
                      </m:num>
                      <m:den>
                        <m:r>
                          <w:rPr>
                            <w:rFonts w:ascii="Cambria Math" w:eastAsia="Times New Roman" w:hAnsi="Cambria Math" w:cs="Times New Roman"/>
                            <w:color w:val="4A4A4A"/>
                            <w:sz w:val="21"/>
                            <w:szCs w:val="21"/>
                            <w:lang w:eastAsia="en-GB"/>
                          </w:rPr>
                          <m:t>100,000</m:t>
                        </m:r>
                      </m:den>
                    </m:f>
                  </m:den>
                </m:f>
              </m:oMath>
            </m:oMathPara>
          </w:p>
          <w:p w14:paraId="173A80D7" w14:textId="77777777" w:rsidR="00E45009" w:rsidRDefault="00E45009" w:rsidP="00E45009">
            <w:pPr>
              <w:pStyle w:val="NoSpacing"/>
            </w:pPr>
          </w:p>
          <w:p w14:paraId="3A6D82BC" w14:textId="77777777" w:rsidR="00E45009" w:rsidRDefault="00E45009" w:rsidP="00E45009">
            <w:pPr>
              <w:pStyle w:val="NoSpacing"/>
            </w:pPr>
            <w:r>
              <w:t>Where “i” indicates the country and “t” indicates the year. The source of information for the number of commercial bank branches and the number of ATMs is the FAS, while the source of information for the adult population is the World Development Indicators.</w:t>
            </w:r>
          </w:p>
        </w:tc>
        <w:tc>
          <w:tcPr>
            <w:tcW w:w="0" w:type="auto"/>
            <w:shd w:val="clear" w:color="auto" w:fill="auto"/>
          </w:tcPr>
          <w:p w14:paraId="163D3CD8" w14:textId="77777777" w:rsidR="00E45009" w:rsidRPr="00873FDE" w:rsidRDefault="00E45009" w:rsidP="00E45009">
            <w:r w:rsidRPr="00873FDE">
              <w:lastRenderedPageBreak/>
              <w:t>Survey</w:t>
            </w:r>
          </w:p>
        </w:tc>
        <w:tc>
          <w:tcPr>
            <w:tcW w:w="0" w:type="auto"/>
            <w:shd w:val="clear" w:color="auto" w:fill="auto"/>
          </w:tcPr>
          <w:p w14:paraId="4653D614" w14:textId="77777777" w:rsidR="00E45009" w:rsidRPr="00873FDE" w:rsidRDefault="00E45009" w:rsidP="00E45009">
            <w:r w:rsidRPr="00873FDE">
              <w:t xml:space="preserve">Country authorities for the financial services, mainly </w:t>
            </w:r>
            <w:r w:rsidRPr="00873FDE">
              <w:lastRenderedPageBreak/>
              <w:t>Central Banks, financial system regulators or statistics national authorities.</w:t>
            </w:r>
          </w:p>
        </w:tc>
        <w:tc>
          <w:tcPr>
            <w:tcW w:w="0" w:type="auto"/>
            <w:shd w:val="clear" w:color="auto" w:fill="auto"/>
          </w:tcPr>
          <w:p w14:paraId="0F360B5E" w14:textId="6BED711A" w:rsidR="00E45009" w:rsidRPr="009906CC" w:rsidRDefault="00E45009" w:rsidP="00E45009">
            <w:pPr>
              <w:rPr>
                <w:rFonts w:eastAsia="Times New Roman"/>
                <w:color w:val="000000" w:themeColor="text1"/>
                <w:szCs w:val="20"/>
              </w:rPr>
            </w:pPr>
            <w:r w:rsidRPr="009906CC">
              <w:rPr>
                <w:rFonts w:eastAsia="Times New Roman" w:cs="Times New Roman"/>
                <w:color w:val="000000" w:themeColor="text1"/>
                <w:szCs w:val="20"/>
              </w:rPr>
              <w:lastRenderedPageBreak/>
              <w:t>IMF</w:t>
            </w:r>
          </w:p>
          <w:p w14:paraId="275EBC0A" w14:textId="77777777" w:rsidR="00E45009" w:rsidRPr="009906CC" w:rsidRDefault="00E45009" w:rsidP="00E45009">
            <w:pPr>
              <w:rPr>
                <w:rFonts w:eastAsia="Times New Roman" w:cstheme="minorBidi"/>
                <w:color w:val="000000" w:themeColor="text1"/>
                <w:szCs w:val="20"/>
              </w:rPr>
            </w:pPr>
          </w:p>
          <w:p w14:paraId="78608985" w14:textId="77777777" w:rsidR="00E45009" w:rsidRDefault="00E45009" w:rsidP="00E45009">
            <w:pPr>
              <w:jc w:val="both"/>
              <w:rPr>
                <w:color w:val="0070C0"/>
                <w:sz w:val="48"/>
                <w:szCs w:val="48"/>
              </w:rPr>
            </w:pPr>
            <w:r w:rsidRPr="009906CC">
              <w:rPr>
                <w:rFonts w:eastAsia="Times New Roman" w:cs="Times New Roman"/>
                <w:color w:val="000000" w:themeColor="text1"/>
                <w:szCs w:val="20"/>
              </w:rPr>
              <w:t>Administrative Data</w:t>
            </w:r>
          </w:p>
        </w:tc>
        <w:tc>
          <w:tcPr>
            <w:tcW w:w="0" w:type="auto"/>
            <w:shd w:val="clear" w:color="auto" w:fill="auto"/>
          </w:tcPr>
          <w:p w14:paraId="2A88B4DE" w14:textId="77777777" w:rsidR="00E45009" w:rsidRPr="009906CC" w:rsidRDefault="00E45009" w:rsidP="00E45009">
            <w:pPr>
              <w:rPr>
                <w:rFonts w:eastAsia="Times New Roman" w:cs="Times New Roman"/>
                <w:color w:val="000000" w:themeColor="text1"/>
                <w:szCs w:val="20"/>
              </w:rPr>
            </w:pPr>
            <w:r w:rsidRPr="009906CC">
              <w:rPr>
                <w:rFonts w:eastAsia="Times New Roman" w:cs="Times New Roman"/>
                <w:color w:val="000000" w:themeColor="text1"/>
                <w:szCs w:val="20"/>
              </w:rPr>
              <w:t>a) BB</w:t>
            </w:r>
            <w:r>
              <w:rPr>
                <w:rFonts w:eastAsia="Times New Roman" w:cs="Times New Roman"/>
                <w:color w:val="000000" w:themeColor="text1"/>
                <w:szCs w:val="20"/>
              </w:rPr>
              <w:t>, FID</w:t>
            </w:r>
          </w:p>
          <w:p w14:paraId="71E40333" w14:textId="77777777" w:rsidR="00E45009" w:rsidRPr="009906CC" w:rsidRDefault="00E45009" w:rsidP="00E45009">
            <w:pPr>
              <w:rPr>
                <w:rFonts w:eastAsia="Times New Roman" w:cstheme="minorBidi"/>
                <w:color w:val="000000" w:themeColor="text1"/>
                <w:szCs w:val="20"/>
              </w:rPr>
            </w:pPr>
          </w:p>
          <w:p w14:paraId="535BB2BD" w14:textId="77777777" w:rsidR="00E45009" w:rsidRDefault="00E45009" w:rsidP="00E45009">
            <w:pPr>
              <w:jc w:val="both"/>
              <w:rPr>
                <w:color w:val="0070C0"/>
                <w:sz w:val="48"/>
                <w:szCs w:val="48"/>
              </w:rPr>
            </w:pPr>
            <w:r w:rsidRPr="009906CC">
              <w:t>Administrative Data</w:t>
            </w:r>
          </w:p>
        </w:tc>
        <w:tc>
          <w:tcPr>
            <w:tcW w:w="0" w:type="auto"/>
            <w:shd w:val="clear" w:color="auto" w:fill="auto"/>
            <w:vAlign w:val="center"/>
          </w:tcPr>
          <w:p w14:paraId="7FE4D632" w14:textId="77777777" w:rsidR="00E45009" w:rsidRDefault="00E45009" w:rsidP="00E45009">
            <w:pPr>
              <w:jc w:val="both"/>
              <w:rPr>
                <w:color w:val="0070C0"/>
                <w:sz w:val="48"/>
                <w:szCs w:val="48"/>
              </w:rPr>
            </w:pPr>
            <w:r>
              <w:rPr>
                <w:szCs w:val="20"/>
              </w:rPr>
              <w:t>Year</w:t>
            </w:r>
          </w:p>
        </w:tc>
        <w:tc>
          <w:tcPr>
            <w:tcW w:w="0" w:type="auto"/>
            <w:shd w:val="clear" w:color="auto" w:fill="auto"/>
          </w:tcPr>
          <w:p w14:paraId="08FA3EB1" w14:textId="77777777" w:rsidR="00E45009" w:rsidRDefault="00E45009" w:rsidP="00E45009">
            <w:pPr>
              <w:jc w:val="both"/>
              <w:rPr>
                <w:color w:val="0070C0"/>
                <w:sz w:val="48"/>
                <w:szCs w:val="48"/>
              </w:rPr>
            </w:pPr>
            <w:r>
              <w:t>Annual</w:t>
            </w:r>
          </w:p>
        </w:tc>
        <w:tc>
          <w:tcPr>
            <w:tcW w:w="0" w:type="auto"/>
            <w:shd w:val="clear" w:color="auto" w:fill="auto"/>
          </w:tcPr>
          <w:p w14:paraId="0343CFF7" w14:textId="77777777" w:rsidR="00E45009" w:rsidRDefault="00E45009" w:rsidP="00E45009">
            <w:pPr>
              <w:jc w:val="both"/>
              <w:rPr>
                <w:color w:val="0070C0"/>
                <w:sz w:val="48"/>
                <w:szCs w:val="48"/>
              </w:rPr>
            </w:pPr>
            <w:r>
              <w:t>Group 1</w:t>
            </w:r>
          </w:p>
        </w:tc>
        <w:tc>
          <w:tcPr>
            <w:tcW w:w="0" w:type="auto"/>
            <w:shd w:val="clear" w:color="auto" w:fill="auto"/>
          </w:tcPr>
          <w:p w14:paraId="5B8DEB07" w14:textId="77777777" w:rsidR="00E45009" w:rsidRDefault="00E45009" w:rsidP="00E45009">
            <w:pPr>
              <w:pStyle w:val="NoSpacing"/>
            </w:pPr>
            <w:r>
              <w:t>1</w:t>
            </w:r>
            <w:r w:rsidRPr="00013ACB">
              <w:rPr>
                <w:vertAlign w:val="superscript"/>
              </w:rPr>
              <w:t>st</w:t>
            </w:r>
            <w:r>
              <w:t xml:space="preserve"> Round: </w:t>
            </w:r>
          </w:p>
          <w:p w14:paraId="6E7E6381" w14:textId="77777777" w:rsidR="00E45009" w:rsidRDefault="00E45009" w:rsidP="00E45009">
            <w:pPr>
              <w:pStyle w:val="NoSpacing"/>
            </w:pPr>
            <w:r>
              <w:t>2015</w:t>
            </w:r>
          </w:p>
          <w:p w14:paraId="01BC354B" w14:textId="77777777" w:rsidR="00E45009" w:rsidRDefault="00E45009" w:rsidP="00E45009">
            <w:pPr>
              <w:pStyle w:val="NoSpacing"/>
            </w:pPr>
            <w:r>
              <w:t>2</w:t>
            </w:r>
            <w:r w:rsidRPr="00013ACB">
              <w:rPr>
                <w:vertAlign w:val="superscript"/>
              </w:rPr>
              <w:t>nd</w:t>
            </w:r>
            <w:r>
              <w:t xml:space="preserve"> Round: </w:t>
            </w:r>
          </w:p>
          <w:p w14:paraId="2C55213D" w14:textId="77777777" w:rsidR="00E45009" w:rsidRDefault="00E45009" w:rsidP="00E45009">
            <w:pPr>
              <w:pStyle w:val="NoSpacing"/>
            </w:pPr>
            <w:r w:rsidRPr="00CA542A">
              <w:t xml:space="preserve">July </w:t>
            </w:r>
            <w:r w:rsidRPr="00CA542A">
              <w:lastRenderedPageBreak/>
              <w:t>2019</w:t>
            </w:r>
          </w:p>
          <w:p w14:paraId="58E8F455" w14:textId="77777777" w:rsidR="00E45009" w:rsidRDefault="00E45009" w:rsidP="00E45009">
            <w:pPr>
              <w:pStyle w:val="NoSpacing"/>
            </w:pPr>
          </w:p>
          <w:p w14:paraId="7BF2432E" w14:textId="77777777" w:rsidR="00E45009" w:rsidRDefault="00E45009" w:rsidP="00E45009">
            <w:pPr>
              <w:pStyle w:val="NoSpacing"/>
            </w:pPr>
            <w:r>
              <w:t>3</w:t>
            </w:r>
            <w:r w:rsidRPr="00013ACB">
              <w:rPr>
                <w:vertAlign w:val="superscript"/>
              </w:rPr>
              <w:t>rd</w:t>
            </w:r>
            <w:r>
              <w:t xml:space="preserve"> Round: </w:t>
            </w:r>
          </w:p>
          <w:p w14:paraId="180847E8" w14:textId="77777777" w:rsidR="00E45009" w:rsidRDefault="00E45009" w:rsidP="00E45009">
            <w:pPr>
              <w:pStyle w:val="NoSpacing"/>
            </w:pPr>
            <w:r>
              <w:t>July 2020</w:t>
            </w:r>
          </w:p>
          <w:p w14:paraId="10BB3D11" w14:textId="77777777" w:rsidR="00E45009" w:rsidRDefault="00E45009" w:rsidP="00E45009">
            <w:pPr>
              <w:pStyle w:val="NoSpacing"/>
            </w:pPr>
          </w:p>
          <w:p w14:paraId="7A2267F9" w14:textId="77777777" w:rsidR="00E45009" w:rsidRDefault="00E45009" w:rsidP="00E45009">
            <w:pPr>
              <w:pStyle w:val="NoSpacing"/>
            </w:pPr>
            <w:r>
              <w:t>4</w:t>
            </w:r>
            <w:r w:rsidRPr="00013ACB">
              <w:rPr>
                <w:vertAlign w:val="superscript"/>
              </w:rPr>
              <w:t>th</w:t>
            </w:r>
            <w:r>
              <w:t xml:space="preserve"> Round: </w:t>
            </w:r>
          </w:p>
          <w:p w14:paraId="14FBC182" w14:textId="77777777" w:rsidR="00E45009" w:rsidRDefault="00E45009" w:rsidP="00E45009">
            <w:pPr>
              <w:pStyle w:val="NoSpacing"/>
            </w:pPr>
            <w:r>
              <w:t>July 2021</w:t>
            </w:r>
          </w:p>
          <w:p w14:paraId="193B4A0E" w14:textId="77777777" w:rsidR="00E45009" w:rsidRDefault="00E45009" w:rsidP="00E45009">
            <w:pPr>
              <w:pStyle w:val="NoSpacing"/>
            </w:pPr>
          </w:p>
          <w:p w14:paraId="1294CCE9" w14:textId="77777777" w:rsidR="00E45009" w:rsidRDefault="00E45009" w:rsidP="00E45009">
            <w:pPr>
              <w:pStyle w:val="NoSpacing"/>
            </w:pPr>
            <w:r>
              <w:t>5</w:t>
            </w:r>
            <w:r w:rsidRPr="00013ACB">
              <w:rPr>
                <w:vertAlign w:val="superscript"/>
              </w:rPr>
              <w:t>th</w:t>
            </w:r>
            <w:r>
              <w:t xml:space="preserve"> Round: </w:t>
            </w:r>
          </w:p>
          <w:p w14:paraId="7185C79B" w14:textId="77777777" w:rsidR="00E45009" w:rsidRDefault="00E45009" w:rsidP="00E45009">
            <w:pPr>
              <w:pStyle w:val="NoSpacing"/>
            </w:pPr>
            <w:r>
              <w:t>July 2022</w:t>
            </w:r>
          </w:p>
          <w:p w14:paraId="344771A8" w14:textId="49726F73" w:rsidR="00E45009" w:rsidRDefault="00E45009" w:rsidP="00E45009">
            <w:pPr>
              <w:pStyle w:val="NoSpacing"/>
            </w:pPr>
          </w:p>
        </w:tc>
        <w:tc>
          <w:tcPr>
            <w:tcW w:w="0" w:type="auto"/>
            <w:shd w:val="clear" w:color="auto" w:fill="auto"/>
          </w:tcPr>
          <w:p w14:paraId="33E006AF" w14:textId="77777777" w:rsidR="00E45009" w:rsidRDefault="00E45009" w:rsidP="00E45009">
            <w:pPr>
              <w:jc w:val="both"/>
              <w:rPr>
                <w:color w:val="0070C0"/>
                <w:sz w:val="48"/>
                <w:szCs w:val="48"/>
              </w:rPr>
            </w:pPr>
          </w:p>
        </w:tc>
      </w:tr>
      <w:tr w:rsidR="00E45009" w14:paraId="25535F26" w14:textId="77777777" w:rsidTr="0025292C">
        <w:tc>
          <w:tcPr>
            <w:tcW w:w="0" w:type="auto"/>
            <w:shd w:val="clear" w:color="auto" w:fill="auto"/>
          </w:tcPr>
          <w:p w14:paraId="5D67FD35" w14:textId="77777777" w:rsidR="00E45009" w:rsidRDefault="00E45009" w:rsidP="00E45009">
            <w:pPr>
              <w:jc w:val="both"/>
              <w:rPr>
                <w:color w:val="0070C0"/>
                <w:sz w:val="48"/>
                <w:szCs w:val="48"/>
              </w:rPr>
            </w:pPr>
            <w:r w:rsidRPr="00F73727">
              <w:lastRenderedPageBreak/>
              <w:t xml:space="preserve">8.10.2 Proportion of adults (15 years and older) </w:t>
            </w:r>
            <w:r w:rsidRPr="00F73727">
              <w:lastRenderedPageBreak/>
              <w:t>with an account at a bank or other financial institution or with a mobile-money-service provider</w:t>
            </w:r>
          </w:p>
        </w:tc>
        <w:tc>
          <w:tcPr>
            <w:tcW w:w="0" w:type="auto"/>
            <w:shd w:val="clear" w:color="auto" w:fill="auto"/>
          </w:tcPr>
          <w:p w14:paraId="7969B344" w14:textId="77777777" w:rsidR="00E45009" w:rsidRDefault="00E45009" w:rsidP="00E45009">
            <w:pPr>
              <w:pStyle w:val="NoSpacing"/>
            </w:pPr>
            <w:r w:rsidRPr="00EE1D53">
              <w:lastRenderedPageBreak/>
              <w:t>World Bank</w:t>
            </w:r>
          </w:p>
          <w:p w14:paraId="670F2FD0" w14:textId="77777777" w:rsidR="00E45009" w:rsidRDefault="00E45009" w:rsidP="00E45009">
            <w:pPr>
              <w:rPr>
                <w:b/>
                <w:bCs/>
                <w:szCs w:val="20"/>
              </w:rPr>
            </w:pPr>
            <w:r w:rsidRPr="007243FC">
              <w:rPr>
                <w:b/>
                <w:bCs/>
                <w:szCs w:val="20"/>
              </w:rPr>
              <w:t>Partner Agenci</w:t>
            </w:r>
            <w:r w:rsidRPr="007243FC">
              <w:rPr>
                <w:b/>
                <w:bCs/>
                <w:szCs w:val="20"/>
              </w:rPr>
              <w:lastRenderedPageBreak/>
              <w:t>es:</w:t>
            </w:r>
          </w:p>
          <w:p w14:paraId="4CAA1EFF" w14:textId="77777777" w:rsidR="00E45009" w:rsidRDefault="00E45009" w:rsidP="00E45009">
            <w:pPr>
              <w:jc w:val="both"/>
              <w:rPr>
                <w:color w:val="0070C0"/>
                <w:sz w:val="48"/>
                <w:szCs w:val="48"/>
              </w:rPr>
            </w:pPr>
            <w:r w:rsidRPr="00EE1D53">
              <w:t>UNCDF</w:t>
            </w:r>
          </w:p>
        </w:tc>
        <w:tc>
          <w:tcPr>
            <w:tcW w:w="0" w:type="auto"/>
            <w:shd w:val="clear" w:color="auto" w:fill="auto"/>
          </w:tcPr>
          <w:p w14:paraId="3573EDB6" w14:textId="77777777" w:rsidR="00E45009" w:rsidRDefault="00E45009" w:rsidP="00E45009">
            <w:pPr>
              <w:jc w:val="both"/>
              <w:rPr>
                <w:color w:val="0070C0"/>
                <w:sz w:val="48"/>
                <w:szCs w:val="48"/>
              </w:rPr>
            </w:pPr>
            <w:r w:rsidRPr="00666486">
              <w:lastRenderedPageBreak/>
              <w:t>Tier I</w:t>
            </w:r>
          </w:p>
        </w:tc>
        <w:tc>
          <w:tcPr>
            <w:tcW w:w="0" w:type="auto"/>
            <w:shd w:val="clear" w:color="auto" w:fill="auto"/>
          </w:tcPr>
          <w:p w14:paraId="3B732720" w14:textId="77777777" w:rsidR="00E45009" w:rsidRDefault="00E45009" w:rsidP="00E45009">
            <w:pPr>
              <w:pStyle w:val="NoSpacing"/>
            </w:pPr>
            <w:r>
              <w:t>Definition:</w:t>
            </w:r>
          </w:p>
          <w:p w14:paraId="4BB0BF74" w14:textId="77777777" w:rsidR="00E45009" w:rsidRDefault="00E45009" w:rsidP="00E45009">
            <w:pPr>
              <w:pStyle w:val="NoSpacing"/>
            </w:pPr>
          </w:p>
          <w:p w14:paraId="56ADB442" w14:textId="77777777" w:rsidR="00E45009" w:rsidRDefault="00E45009" w:rsidP="00E45009">
            <w:pPr>
              <w:pStyle w:val="NoSpacing"/>
            </w:pPr>
            <w:r>
              <w:t xml:space="preserve">The percentage of adults (ages 15+) who report having an account (by themselves or together with someone else) at a bank or another type of financial institution or personally using a mobile money service in the past 12 months. </w:t>
            </w:r>
          </w:p>
          <w:p w14:paraId="60E93020" w14:textId="77777777" w:rsidR="00E45009" w:rsidRDefault="00E45009" w:rsidP="00E45009">
            <w:pPr>
              <w:pStyle w:val="NoSpacing"/>
            </w:pPr>
          </w:p>
          <w:p w14:paraId="6CE827E5" w14:textId="77777777" w:rsidR="00E45009" w:rsidRDefault="00E45009" w:rsidP="00E45009">
            <w:pPr>
              <w:pStyle w:val="NoSpacing"/>
            </w:pPr>
            <w:r>
              <w:lastRenderedPageBreak/>
              <w:t>Rationale:</w:t>
            </w:r>
          </w:p>
          <w:p w14:paraId="214F6817" w14:textId="77777777" w:rsidR="00E45009" w:rsidRDefault="00E45009" w:rsidP="00E45009">
            <w:pPr>
              <w:pStyle w:val="NoSpacing"/>
            </w:pPr>
          </w:p>
          <w:p w14:paraId="7E590368" w14:textId="77777777" w:rsidR="00E45009" w:rsidRDefault="00E45009" w:rsidP="00E45009">
            <w:pPr>
              <w:pStyle w:val="NoSpacing"/>
            </w:pPr>
            <w:r>
              <w:t>Access to formal financial services such as savings, insurance, payments, credit and remittances is essential to the ability of people—regardless of income level, gender, age, education or where they live—to manage their lives, build their futures, and grow their businesses. Having access to an account is an important starting point for people to access arange of financial services.</w:t>
            </w:r>
          </w:p>
          <w:p w14:paraId="37E4B0CE" w14:textId="77777777" w:rsidR="00E45009" w:rsidRDefault="00E45009" w:rsidP="00E45009">
            <w:pPr>
              <w:pStyle w:val="NoSpacing"/>
            </w:pPr>
          </w:p>
          <w:p w14:paraId="5B5FAAC6" w14:textId="77777777" w:rsidR="00E45009" w:rsidRDefault="00E45009" w:rsidP="00E45009">
            <w:pPr>
              <w:pStyle w:val="NoSpacing"/>
            </w:pPr>
            <w:r>
              <w:t>Concepts:</w:t>
            </w:r>
          </w:p>
          <w:p w14:paraId="002742E7" w14:textId="77777777" w:rsidR="00E45009" w:rsidRDefault="00E45009" w:rsidP="00E45009">
            <w:pPr>
              <w:pStyle w:val="NoSpacing"/>
            </w:pPr>
          </w:p>
          <w:p w14:paraId="7D3E4AA4" w14:textId="77777777" w:rsidR="00E45009" w:rsidRDefault="00E45009" w:rsidP="00E45009">
            <w:pPr>
              <w:pStyle w:val="NoSpacing"/>
            </w:pPr>
            <w:r>
              <w:t>Account at a financial institution includes respondents who report having an account at a bank or at another type of financial institution, such as a credit union, microfinance institution, cooperative, or the post office (if applicable), or having a debit card in their own name. In addition, it includes respondents who report receiving wages, government transfers, or payments for agricultural products into an account at a financial institution in the past 12 months; paying utility bills or school fees from an account at a financial institution in the past 12 months; or receiving wages or government transfers into a card in the past 12 months. Mobile money account includes respondents who report personally using GSM Association (GSMA) Mobile Money for the Unbanked (MMU) services in the past 12 months to pay bills or to send or receive money. In addition, it includes respondents who report receiving wages, government transfers, or payments for agricultural products through a mobile phone in the past 12 months.</w:t>
            </w:r>
          </w:p>
          <w:p w14:paraId="59C274A8" w14:textId="77777777" w:rsidR="00E45009" w:rsidRDefault="00E45009" w:rsidP="00E45009">
            <w:pPr>
              <w:pStyle w:val="NoSpacing"/>
            </w:pPr>
          </w:p>
          <w:p w14:paraId="14023BA8" w14:textId="77777777" w:rsidR="00E45009" w:rsidRDefault="00E45009" w:rsidP="00E45009">
            <w:pPr>
              <w:pStyle w:val="NoSpacing"/>
            </w:pPr>
            <w:r>
              <w:t>Comments and limitations:</w:t>
            </w:r>
          </w:p>
          <w:p w14:paraId="34B761B7" w14:textId="77777777" w:rsidR="00E45009" w:rsidRDefault="00E45009" w:rsidP="00E45009">
            <w:pPr>
              <w:pStyle w:val="NoSpacing"/>
            </w:pPr>
          </w:p>
          <w:p w14:paraId="7A2C8078" w14:textId="77777777" w:rsidR="00E45009" w:rsidRDefault="00E45009" w:rsidP="00E45009">
            <w:pPr>
              <w:pStyle w:val="NoSpacing"/>
            </w:pPr>
            <w:r>
              <w:t>World Bank’s Global Findex database is based on individual level surveys worldwide, conducted every three years. The first round of the survey was done in 2011, and the second in 2014. The third round will be done in 2017. The database covers about 140 countries.</w:t>
            </w:r>
          </w:p>
          <w:p w14:paraId="18497761" w14:textId="77777777" w:rsidR="00E45009" w:rsidRDefault="00E45009" w:rsidP="00E45009">
            <w:pPr>
              <w:pStyle w:val="NoSpacing"/>
            </w:pPr>
          </w:p>
          <w:p w14:paraId="55757A69" w14:textId="77777777" w:rsidR="00E45009" w:rsidRDefault="00E45009" w:rsidP="00E45009">
            <w:pPr>
              <w:pStyle w:val="NoSpacing"/>
            </w:pPr>
            <w:r>
              <w:t>Computation Method:</w:t>
            </w:r>
          </w:p>
          <w:p w14:paraId="16E5F480" w14:textId="77777777" w:rsidR="00E45009" w:rsidRDefault="00E45009" w:rsidP="00E45009">
            <w:pPr>
              <w:pStyle w:val="NoSpacing"/>
            </w:pPr>
          </w:p>
          <w:p w14:paraId="0EE18AA0" w14:textId="77777777" w:rsidR="00E45009" w:rsidRDefault="00E45009" w:rsidP="00E45009">
            <w:pPr>
              <w:pStyle w:val="NoSpacing"/>
            </w:pPr>
            <w:r>
              <w:t>The indicator is based on data collected through individual level surveys in each country with representative samples. Appropriate sampling weights are used in calculating country-level aggregates.</w:t>
            </w:r>
          </w:p>
        </w:tc>
        <w:tc>
          <w:tcPr>
            <w:tcW w:w="0" w:type="auto"/>
            <w:shd w:val="clear" w:color="auto" w:fill="auto"/>
          </w:tcPr>
          <w:p w14:paraId="7D8FD178" w14:textId="77777777" w:rsidR="00E45009" w:rsidRPr="00873FDE" w:rsidRDefault="00E45009" w:rsidP="00E45009">
            <w:r w:rsidRPr="00873FDE">
              <w:lastRenderedPageBreak/>
              <w:t>Survey</w:t>
            </w:r>
          </w:p>
        </w:tc>
        <w:tc>
          <w:tcPr>
            <w:tcW w:w="0" w:type="auto"/>
            <w:shd w:val="clear" w:color="auto" w:fill="auto"/>
          </w:tcPr>
          <w:p w14:paraId="1163F563" w14:textId="77777777" w:rsidR="00E45009" w:rsidRPr="00873FDE" w:rsidRDefault="00E45009" w:rsidP="00E45009">
            <w:r w:rsidRPr="00873FDE">
              <w:t>N/A</w:t>
            </w:r>
          </w:p>
        </w:tc>
        <w:tc>
          <w:tcPr>
            <w:tcW w:w="0" w:type="auto"/>
            <w:shd w:val="clear" w:color="auto" w:fill="auto"/>
          </w:tcPr>
          <w:p w14:paraId="66350983" w14:textId="6CE54631" w:rsidR="00E45009" w:rsidRDefault="00E45009" w:rsidP="00E45009">
            <w:pPr>
              <w:jc w:val="both"/>
              <w:rPr>
                <w:rFonts w:eastAsia="Times New Roman" w:cs="Times New Roman"/>
                <w:color w:val="000000" w:themeColor="text1"/>
                <w:szCs w:val="20"/>
              </w:rPr>
            </w:pPr>
          </w:p>
          <w:p w14:paraId="1BBAE107" w14:textId="77777777" w:rsidR="00E45009" w:rsidRPr="00BC6F10" w:rsidRDefault="00E45009" w:rsidP="00E45009">
            <w:pPr>
              <w:jc w:val="center"/>
              <w:rPr>
                <w:rFonts w:eastAsia="Times New Roman" w:cs="Times New Roman"/>
                <w:color w:val="000000" w:themeColor="text1"/>
                <w:szCs w:val="20"/>
              </w:rPr>
            </w:pPr>
            <w:r w:rsidRPr="00BC6F10">
              <w:rPr>
                <w:rFonts w:eastAsia="Times New Roman" w:cs="Times New Roman"/>
                <w:color w:val="000000" w:themeColor="text1"/>
                <w:sz w:val="18"/>
                <w:szCs w:val="20"/>
              </w:rPr>
              <w:t>Global Findex, WB</w:t>
            </w:r>
          </w:p>
          <w:p w14:paraId="6B578C60" w14:textId="77777777" w:rsidR="00E45009" w:rsidRDefault="00E45009" w:rsidP="00E45009">
            <w:pPr>
              <w:jc w:val="both"/>
              <w:rPr>
                <w:color w:val="0070C0"/>
                <w:sz w:val="48"/>
                <w:szCs w:val="48"/>
              </w:rPr>
            </w:pPr>
          </w:p>
        </w:tc>
        <w:tc>
          <w:tcPr>
            <w:tcW w:w="0" w:type="auto"/>
            <w:shd w:val="clear" w:color="auto" w:fill="auto"/>
          </w:tcPr>
          <w:p w14:paraId="18B13FFB" w14:textId="77777777" w:rsidR="00E45009" w:rsidRPr="00BC6F10" w:rsidRDefault="00E45009" w:rsidP="00E45009">
            <w:pPr>
              <w:rPr>
                <w:rFonts w:eastAsia="Times New Roman" w:cs="Times New Roman"/>
                <w:color w:val="000000" w:themeColor="text1"/>
                <w:szCs w:val="20"/>
              </w:rPr>
            </w:pPr>
            <w:r w:rsidRPr="00BC6F10">
              <w:rPr>
                <w:rFonts w:eastAsia="Times New Roman" w:cs="Times New Roman"/>
                <w:color w:val="000000" w:themeColor="text1"/>
                <w:szCs w:val="20"/>
              </w:rPr>
              <w:lastRenderedPageBreak/>
              <w:t xml:space="preserve">a) </w:t>
            </w:r>
            <w:r>
              <w:rPr>
                <w:rFonts w:eastAsia="Times New Roman" w:cs="Times New Roman"/>
                <w:color w:val="000000" w:themeColor="text1"/>
                <w:szCs w:val="20"/>
              </w:rPr>
              <w:t>BB, FID</w:t>
            </w:r>
          </w:p>
          <w:p w14:paraId="62F03275" w14:textId="77777777" w:rsidR="00E45009" w:rsidRPr="009906CC" w:rsidRDefault="00E45009" w:rsidP="00E45009">
            <w:pPr>
              <w:rPr>
                <w:rFonts w:eastAsia="Times New Roman"/>
                <w:color w:val="000000" w:themeColor="text1"/>
                <w:szCs w:val="20"/>
              </w:rPr>
            </w:pPr>
            <w:r w:rsidRPr="009906CC">
              <w:rPr>
                <w:rFonts w:eastAsia="Times New Roman" w:cs="Times New Roman"/>
                <w:color w:val="000000" w:themeColor="text1"/>
                <w:szCs w:val="20"/>
              </w:rPr>
              <w:t>b) BBS (PHC2021</w:t>
            </w:r>
            <w:r>
              <w:rPr>
                <w:rFonts w:eastAsia="Times New Roman" w:cs="Times New Roman"/>
                <w:color w:val="000000" w:themeColor="text1"/>
                <w:szCs w:val="20"/>
              </w:rPr>
              <w:t>/PHC/HIES/CPHS</w:t>
            </w:r>
            <w:r w:rsidRPr="009906CC">
              <w:rPr>
                <w:rFonts w:eastAsia="Times New Roman" w:cs="Times New Roman"/>
                <w:color w:val="000000" w:themeColor="text1"/>
                <w:szCs w:val="20"/>
              </w:rPr>
              <w:t>)</w:t>
            </w:r>
          </w:p>
          <w:p w14:paraId="33CCAE23" w14:textId="77777777" w:rsidR="00E45009" w:rsidRDefault="00E45009" w:rsidP="00E45009">
            <w:pPr>
              <w:rPr>
                <w:rFonts w:eastAsia="Times New Roman"/>
                <w:color w:val="FF0000"/>
                <w:szCs w:val="20"/>
              </w:rPr>
            </w:pPr>
          </w:p>
          <w:p w14:paraId="4E414350" w14:textId="77777777" w:rsidR="00E45009" w:rsidRDefault="00E45009" w:rsidP="00E45009">
            <w:pPr>
              <w:rPr>
                <w:rFonts w:eastAsia="Times New Roman"/>
                <w:color w:val="FF0000"/>
                <w:szCs w:val="20"/>
              </w:rPr>
            </w:pPr>
          </w:p>
          <w:p w14:paraId="38C042A8" w14:textId="77777777" w:rsidR="00E45009" w:rsidRDefault="00E45009" w:rsidP="00E45009">
            <w:pPr>
              <w:jc w:val="both"/>
              <w:rPr>
                <w:color w:val="0070C0"/>
                <w:sz w:val="48"/>
                <w:szCs w:val="48"/>
              </w:rPr>
            </w:pPr>
            <w:r>
              <w:rPr>
                <w:rFonts w:eastAsia="Times New Roman" w:cs="Times New Roman"/>
                <w:color w:val="000000" w:themeColor="text1"/>
                <w:szCs w:val="20"/>
              </w:rPr>
              <w:t>Administrative Data/Household Survey</w:t>
            </w:r>
          </w:p>
        </w:tc>
        <w:tc>
          <w:tcPr>
            <w:tcW w:w="0" w:type="auto"/>
            <w:shd w:val="clear" w:color="auto" w:fill="auto"/>
            <w:vAlign w:val="center"/>
          </w:tcPr>
          <w:p w14:paraId="42CA04C4" w14:textId="788C5118" w:rsidR="00E45009" w:rsidRPr="002540D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lastRenderedPageBreak/>
              <w:t>Income</w:t>
            </w:r>
            <w:r w:rsidR="00EF507A">
              <w:rPr>
                <w:rFonts w:ascii="Tw Cen MT Condensed" w:hAnsi="Tw Cen MT Condensed"/>
                <w:sz w:val="20"/>
                <w:szCs w:val="20"/>
              </w:rPr>
              <w:t>: High/ medium/ Low</w:t>
            </w:r>
          </w:p>
          <w:p w14:paraId="5B25B5F5" w14:textId="77777777" w:rsidR="00E45009" w:rsidRPr="002540D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lastRenderedPageBreak/>
              <w:t>Education Level</w:t>
            </w:r>
            <w:r w:rsidRPr="002540D8">
              <w:rPr>
                <w:rFonts w:ascii="Tw Cen MT Condensed" w:hAnsi="Tw Cen MT Condensed"/>
                <w:sz w:val="20"/>
                <w:szCs w:val="20"/>
              </w:rPr>
              <w:t xml:space="preserve"> </w:t>
            </w:r>
          </w:p>
          <w:p w14:paraId="50C26147" w14:textId="77777777" w:rsidR="00E45009" w:rsidRPr="002540D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540D8">
              <w:rPr>
                <w:rFonts w:ascii="Tw Cen MT Condensed" w:hAnsi="Tw Cen MT Condensed"/>
                <w:sz w:val="20"/>
                <w:szCs w:val="20"/>
              </w:rPr>
              <w:t>Geographic Location: Urban, Rural</w:t>
            </w:r>
          </w:p>
          <w:p w14:paraId="4C1AC280" w14:textId="77777777" w:rsidR="00E45009" w:rsidRPr="002540D8" w:rsidRDefault="00E45009" w:rsidP="00E45009">
            <w:pPr>
              <w:pStyle w:val="ListParagraph"/>
              <w:numPr>
                <w:ilvl w:val="0"/>
                <w:numId w:val="48"/>
              </w:numPr>
              <w:spacing w:after="0" w:line="240" w:lineRule="auto"/>
              <w:ind w:left="160" w:hanging="160"/>
              <w:rPr>
                <w:rFonts w:ascii="Tw Cen MT Condensed" w:hAnsi="Tw Cen MT Condensed"/>
                <w:sz w:val="20"/>
                <w:szCs w:val="20"/>
              </w:rPr>
            </w:pPr>
            <w:r>
              <w:rPr>
                <w:rFonts w:ascii="Tw Cen MT Condensed" w:hAnsi="Tw Cen MT Condensed"/>
                <w:sz w:val="20"/>
                <w:szCs w:val="20"/>
              </w:rPr>
              <w:t>Gender: Male, Female, Transgender</w:t>
            </w:r>
          </w:p>
          <w:p w14:paraId="39A47CF2" w14:textId="77777777" w:rsidR="00E45009" w:rsidRDefault="00E45009" w:rsidP="00E45009">
            <w:pPr>
              <w:jc w:val="both"/>
              <w:rPr>
                <w:color w:val="0070C0"/>
                <w:sz w:val="48"/>
                <w:szCs w:val="48"/>
              </w:rPr>
            </w:pPr>
            <w:r w:rsidRPr="002540D8">
              <w:rPr>
                <w:szCs w:val="20"/>
              </w:rPr>
              <w:t xml:space="preserve">Age: 15 </w:t>
            </w:r>
            <w:r>
              <w:rPr>
                <w:szCs w:val="20"/>
              </w:rPr>
              <w:t>a</w:t>
            </w:r>
            <w:r w:rsidRPr="002540D8">
              <w:rPr>
                <w:szCs w:val="20"/>
              </w:rPr>
              <w:t>nd Older</w:t>
            </w:r>
          </w:p>
        </w:tc>
        <w:tc>
          <w:tcPr>
            <w:tcW w:w="0" w:type="auto"/>
            <w:shd w:val="clear" w:color="auto" w:fill="auto"/>
          </w:tcPr>
          <w:p w14:paraId="765A1E96" w14:textId="77777777" w:rsidR="00E45009" w:rsidRDefault="00E45009" w:rsidP="00E45009">
            <w:pPr>
              <w:jc w:val="both"/>
              <w:rPr>
                <w:color w:val="0070C0"/>
                <w:sz w:val="48"/>
                <w:szCs w:val="48"/>
              </w:rPr>
            </w:pPr>
            <w:r>
              <w:lastRenderedPageBreak/>
              <w:t>Annual</w:t>
            </w:r>
          </w:p>
        </w:tc>
        <w:tc>
          <w:tcPr>
            <w:tcW w:w="0" w:type="auto"/>
            <w:shd w:val="clear" w:color="auto" w:fill="auto"/>
          </w:tcPr>
          <w:p w14:paraId="7A54560D" w14:textId="77777777" w:rsidR="00E45009" w:rsidRDefault="00E45009" w:rsidP="00E45009">
            <w:pPr>
              <w:jc w:val="both"/>
              <w:rPr>
                <w:color w:val="0070C0"/>
                <w:sz w:val="48"/>
                <w:szCs w:val="48"/>
              </w:rPr>
            </w:pPr>
            <w:r>
              <w:t>Group 1</w:t>
            </w:r>
          </w:p>
        </w:tc>
        <w:tc>
          <w:tcPr>
            <w:tcW w:w="0" w:type="auto"/>
            <w:shd w:val="clear" w:color="auto" w:fill="auto"/>
          </w:tcPr>
          <w:p w14:paraId="107630C7" w14:textId="77777777" w:rsidR="00E45009" w:rsidRDefault="00E45009" w:rsidP="00E45009">
            <w:pPr>
              <w:pStyle w:val="NoSpacing"/>
            </w:pPr>
            <w:r>
              <w:t>1</w:t>
            </w:r>
            <w:r w:rsidRPr="00013ACB">
              <w:rPr>
                <w:vertAlign w:val="superscript"/>
              </w:rPr>
              <w:t>st</w:t>
            </w:r>
            <w:r>
              <w:t xml:space="preserve"> Round:  2014</w:t>
            </w:r>
          </w:p>
          <w:p w14:paraId="213A061B" w14:textId="77777777" w:rsidR="00E45009" w:rsidRDefault="00E45009" w:rsidP="00E45009">
            <w:pPr>
              <w:pStyle w:val="NoSpacing"/>
            </w:pPr>
          </w:p>
          <w:p w14:paraId="4A08FC0B" w14:textId="77777777" w:rsidR="00E45009" w:rsidRDefault="00E45009" w:rsidP="00E45009">
            <w:pPr>
              <w:pStyle w:val="NoSpacing"/>
            </w:pPr>
            <w:r>
              <w:t>2</w:t>
            </w:r>
            <w:r w:rsidRPr="00013ACB">
              <w:rPr>
                <w:vertAlign w:val="superscript"/>
              </w:rPr>
              <w:t>nd</w:t>
            </w:r>
            <w:r>
              <w:t xml:space="preserve"> </w:t>
            </w:r>
            <w:r>
              <w:lastRenderedPageBreak/>
              <w:t xml:space="preserve">Round: </w:t>
            </w:r>
          </w:p>
          <w:p w14:paraId="55BA21B7" w14:textId="77777777" w:rsidR="00E45009" w:rsidRDefault="00E45009" w:rsidP="00E45009">
            <w:pPr>
              <w:pStyle w:val="NoSpacing"/>
            </w:pPr>
            <w:r w:rsidRPr="00CA542A">
              <w:t>July 2019</w:t>
            </w:r>
          </w:p>
          <w:p w14:paraId="60AC3CA6" w14:textId="77777777" w:rsidR="00E45009" w:rsidRDefault="00E45009" w:rsidP="00E45009">
            <w:pPr>
              <w:pStyle w:val="NoSpacing"/>
            </w:pPr>
          </w:p>
          <w:p w14:paraId="4A9F9DF8" w14:textId="77777777" w:rsidR="00E45009" w:rsidRDefault="00E45009" w:rsidP="00E45009">
            <w:pPr>
              <w:pStyle w:val="NoSpacing"/>
            </w:pPr>
            <w:r>
              <w:t>3</w:t>
            </w:r>
            <w:r w:rsidRPr="00013ACB">
              <w:rPr>
                <w:vertAlign w:val="superscript"/>
              </w:rPr>
              <w:t>rd</w:t>
            </w:r>
            <w:r>
              <w:t xml:space="preserve"> Round: </w:t>
            </w:r>
          </w:p>
          <w:p w14:paraId="687C21FC" w14:textId="77777777" w:rsidR="00E45009" w:rsidRDefault="00E45009" w:rsidP="00E45009">
            <w:pPr>
              <w:pStyle w:val="NoSpacing"/>
            </w:pPr>
            <w:r>
              <w:t>July 2020</w:t>
            </w:r>
          </w:p>
          <w:p w14:paraId="7D30BA27" w14:textId="77777777" w:rsidR="00E45009" w:rsidRDefault="00E45009" w:rsidP="00E45009">
            <w:pPr>
              <w:pStyle w:val="NoSpacing"/>
            </w:pPr>
          </w:p>
          <w:p w14:paraId="516262CD" w14:textId="77777777" w:rsidR="00E45009" w:rsidRDefault="00E45009" w:rsidP="00E45009">
            <w:pPr>
              <w:pStyle w:val="NoSpacing"/>
            </w:pPr>
            <w:r>
              <w:t>4</w:t>
            </w:r>
            <w:r w:rsidRPr="00013ACB">
              <w:rPr>
                <w:vertAlign w:val="superscript"/>
              </w:rPr>
              <w:t>th</w:t>
            </w:r>
            <w:r>
              <w:t xml:space="preserve"> Round: </w:t>
            </w:r>
          </w:p>
          <w:p w14:paraId="46753D65" w14:textId="77777777" w:rsidR="00E45009" w:rsidRDefault="00E45009" w:rsidP="00E45009">
            <w:pPr>
              <w:pStyle w:val="NoSpacing"/>
            </w:pPr>
            <w:r>
              <w:t>July 2021</w:t>
            </w:r>
          </w:p>
          <w:p w14:paraId="1AC12D40" w14:textId="77777777" w:rsidR="00E45009" w:rsidRDefault="00E45009" w:rsidP="00E45009">
            <w:pPr>
              <w:pStyle w:val="NoSpacing"/>
            </w:pPr>
          </w:p>
          <w:p w14:paraId="7FF1B6C1" w14:textId="77777777" w:rsidR="00E45009" w:rsidRDefault="00E45009" w:rsidP="00E45009">
            <w:pPr>
              <w:pStyle w:val="NoSpacing"/>
            </w:pPr>
            <w:r>
              <w:t>5</w:t>
            </w:r>
            <w:r w:rsidRPr="00013ACB">
              <w:rPr>
                <w:vertAlign w:val="superscript"/>
              </w:rPr>
              <w:t>th</w:t>
            </w:r>
            <w:r>
              <w:t xml:space="preserve"> Round: </w:t>
            </w:r>
          </w:p>
          <w:p w14:paraId="76FD0764" w14:textId="77777777" w:rsidR="00E45009" w:rsidRDefault="00E45009" w:rsidP="00E45009">
            <w:pPr>
              <w:pStyle w:val="NoSpacing"/>
            </w:pPr>
            <w:r>
              <w:t>July 2022</w:t>
            </w:r>
          </w:p>
          <w:p w14:paraId="64117C24" w14:textId="32C2BCB7" w:rsidR="00E45009" w:rsidRDefault="00E45009" w:rsidP="00E45009">
            <w:pPr>
              <w:pStyle w:val="NoSpacing"/>
            </w:pPr>
          </w:p>
        </w:tc>
        <w:tc>
          <w:tcPr>
            <w:tcW w:w="0" w:type="auto"/>
            <w:shd w:val="clear" w:color="auto" w:fill="auto"/>
          </w:tcPr>
          <w:p w14:paraId="0DD451D0" w14:textId="77777777" w:rsidR="00E45009" w:rsidRDefault="00E45009" w:rsidP="00E45009">
            <w:pPr>
              <w:jc w:val="both"/>
              <w:rPr>
                <w:color w:val="0070C0"/>
                <w:sz w:val="48"/>
                <w:szCs w:val="48"/>
              </w:rPr>
            </w:pPr>
          </w:p>
        </w:tc>
      </w:tr>
      <w:tr w:rsidR="00E45009" w14:paraId="68F81CD8" w14:textId="77777777" w:rsidTr="0025292C">
        <w:tc>
          <w:tcPr>
            <w:tcW w:w="0" w:type="auto"/>
            <w:gridSpan w:val="13"/>
            <w:shd w:val="clear" w:color="auto" w:fill="auto"/>
          </w:tcPr>
          <w:p w14:paraId="0A75EC55" w14:textId="77777777" w:rsidR="00E45009" w:rsidRDefault="00E45009" w:rsidP="00E45009">
            <w:pPr>
              <w:jc w:val="both"/>
              <w:rPr>
                <w:color w:val="0070C0"/>
                <w:sz w:val="48"/>
                <w:szCs w:val="48"/>
              </w:rPr>
            </w:pPr>
            <w:r>
              <w:rPr>
                <w:color w:val="0070C0"/>
                <w:sz w:val="30"/>
                <w:szCs w:val="30"/>
              </w:rPr>
              <w:lastRenderedPageBreak/>
              <w:t xml:space="preserve">Target </w:t>
            </w:r>
            <w:r w:rsidRPr="006429A5">
              <w:rPr>
                <w:color w:val="0070C0"/>
                <w:sz w:val="30"/>
                <w:szCs w:val="30"/>
              </w:rPr>
              <w:t>8.a Increase Aid for Trade support for developing countries, in particular least developed countries, including through the Enhanced Integrated Framework for Trade-related Technical Assistance to Least Developed Countries</w:t>
            </w:r>
          </w:p>
        </w:tc>
      </w:tr>
      <w:tr w:rsidR="00E45009" w14:paraId="09231D04" w14:textId="77777777" w:rsidTr="0025292C">
        <w:tc>
          <w:tcPr>
            <w:tcW w:w="0" w:type="auto"/>
            <w:shd w:val="clear" w:color="auto" w:fill="auto"/>
          </w:tcPr>
          <w:p w14:paraId="11776B81" w14:textId="77777777" w:rsidR="00E45009" w:rsidRDefault="00E45009" w:rsidP="00E45009">
            <w:pPr>
              <w:jc w:val="both"/>
              <w:rPr>
                <w:color w:val="0070C0"/>
                <w:sz w:val="48"/>
                <w:szCs w:val="48"/>
              </w:rPr>
            </w:pPr>
            <w:r w:rsidRPr="00F73727">
              <w:t>8.a.1 Aid for Trade commitments and disbursements</w:t>
            </w:r>
          </w:p>
        </w:tc>
        <w:tc>
          <w:tcPr>
            <w:tcW w:w="0" w:type="auto"/>
            <w:shd w:val="clear" w:color="auto" w:fill="auto"/>
          </w:tcPr>
          <w:p w14:paraId="2D63EFF5" w14:textId="77777777" w:rsidR="00E45009" w:rsidRDefault="00E45009" w:rsidP="00E45009">
            <w:pPr>
              <w:pStyle w:val="NoSpacing"/>
            </w:pPr>
            <w:r w:rsidRPr="00EE1D53">
              <w:t>OECD</w:t>
            </w:r>
          </w:p>
          <w:p w14:paraId="6DF95767" w14:textId="77777777" w:rsidR="00E45009" w:rsidRDefault="00E45009" w:rsidP="00E45009">
            <w:pPr>
              <w:rPr>
                <w:b/>
                <w:bCs/>
                <w:szCs w:val="20"/>
              </w:rPr>
            </w:pPr>
            <w:r w:rsidRPr="007243FC">
              <w:rPr>
                <w:b/>
                <w:bCs/>
                <w:szCs w:val="20"/>
              </w:rPr>
              <w:t>Partner Agencies:</w:t>
            </w:r>
          </w:p>
          <w:p w14:paraId="119AFC9D" w14:textId="77777777" w:rsidR="00E45009" w:rsidRDefault="00E45009" w:rsidP="00E45009">
            <w:pPr>
              <w:jc w:val="both"/>
              <w:rPr>
                <w:color w:val="0070C0"/>
                <w:sz w:val="48"/>
                <w:szCs w:val="48"/>
              </w:rPr>
            </w:pPr>
            <w:r w:rsidRPr="00EE1D53">
              <w:t>WTO-EIF</w:t>
            </w:r>
          </w:p>
        </w:tc>
        <w:tc>
          <w:tcPr>
            <w:tcW w:w="0" w:type="auto"/>
            <w:shd w:val="clear" w:color="auto" w:fill="auto"/>
          </w:tcPr>
          <w:p w14:paraId="01D9BF9F" w14:textId="77777777" w:rsidR="00E45009" w:rsidRDefault="00E45009" w:rsidP="00E45009">
            <w:pPr>
              <w:jc w:val="both"/>
              <w:rPr>
                <w:color w:val="0070C0"/>
                <w:sz w:val="48"/>
                <w:szCs w:val="48"/>
              </w:rPr>
            </w:pPr>
            <w:r w:rsidRPr="00666486">
              <w:t>Tier I</w:t>
            </w:r>
          </w:p>
        </w:tc>
        <w:tc>
          <w:tcPr>
            <w:tcW w:w="0" w:type="auto"/>
            <w:shd w:val="clear" w:color="auto" w:fill="auto"/>
          </w:tcPr>
          <w:p w14:paraId="1998ED2A" w14:textId="77777777" w:rsidR="00E45009" w:rsidRDefault="00E45009" w:rsidP="00E45009">
            <w:pPr>
              <w:pStyle w:val="NoSpacing"/>
            </w:pPr>
            <w:r>
              <w:t>Definition:</w:t>
            </w:r>
          </w:p>
          <w:p w14:paraId="1ACF12CB" w14:textId="77777777" w:rsidR="00E45009" w:rsidRDefault="00E45009" w:rsidP="00E45009">
            <w:pPr>
              <w:pStyle w:val="NoSpacing"/>
            </w:pPr>
          </w:p>
          <w:p w14:paraId="1510B883" w14:textId="77777777" w:rsidR="00E45009" w:rsidRDefault="00E45009" w:rsidP="00E45009">
            <w:pPr>
              <w:pStyle w:val="NoSpacing"/>
            </w:pPr>
            <w:r>
              <w:t>Aid for Trade commitments and disbursements is the gross disbursements and commitments of total Official Development Assistance (ODA) from all donors for aid for trade.</w:t>
            </w:r>
          </w:p>
          <w:p w14:paraId="3D8326FF" w14:textId="77777777" w:rsidR="00E45009" w:rsidRDefault="00E45009" w:rsidP="00E45009">
            <w:pPr>
              <w:pStyle w:val="NoSpacing"/>
            </w:pPr>
          </w:p>
          <w:p w14:paraId="6B7BE152" w14:textId="77777777" w:rsidR="00E45009" w:rsidRDefault="00E45009" w:rsidP="00E45009">
            <w:pPr>
              <w:pStyle w:val="NoSpacing"/>
            </w:pPr>
            <w:r>
              <w:t>Concepts:</w:t>
            </w:r>
          </w:p>
          <w:p w14:paraId="0A7FFB15" w14:textId="77777777" w:rsidR="00E45009" w:rsidRDefault="00E45009" w:rsidP="00E45009">
            <w:pPr>
              <w:pStyle w:val="NoSpacing"/>
            </w:pPr>
          </w:p>
          <w:p w14:paraId="6AD00481" w14:textId="77777777" w:rsidR="00E45009" w:rsidRDefault="00E45009" w:rsidP="00E45009">
            <w:pPr>
              <w:pStyle w:val="NoSpacing"/>
            </w:pPr>
            <w:r>
              <w:lastRenderedPageBreak/>
              <w:t>The DAC defines Official Development Assistance (ODA) as “those flows to countries and territories on the DAC List of ODA Recipients and to multilateral institutions which are i) provided by official agencies, including state and local governments, or by their executive agencies; and ii) each transaction is administered with the promotion of the economic development and welfare of developing countries as its main objective; and is concessional in character and conveys a grant element of at least 25 per cent (calculated at a rate of discount of 10 per cent). (See http://www.oecd.org/dac/stats/officialdevelopmentassistancedefinitionandcoverage.htm)</w:t>
            </w:r>
          </w:p>
          <w:p w14:paraId="4949CBB0" w14:textId="77777777" w:rsidR="00E45009" w:rsidRDefault="00E45009" w:rsidP="00E45009">
            <w:pPr>
              <w:pStyle w:val="NoSpacing"/>
            </w:pPr>
          </w:p>
          <w:p w14:paraId="2F17FE79" w14:textId="77777777" w:rsidR="00E45009" w:rsidRDefault="00E45009" w:rsidP="00E45009">
            <w:pPr>
              <w:pStyle w:val="NoSpacing"/>
            </w:pPr>
            <w:r>
              <w:t>Other official flows (OOF),excluding officially supported export credits, are defined as transactions by the official sector which do not meet the conditions for eligibility as ODA, either because they are not primarily aimed at development, or because they are not sufficiently concessional. See http://www.oecd.org/dac/stats/documentupload/</w:t>
            </w:r>
            <w:proofErr w:type="gramStart"/>
            <w:r>
              <w:t>DCDDAC(</w:t>
            </w:r>
            <w:proofErr w:type="gramEnd"/>
            <w:r>
              <w:t>2016)3FINAL.pdf, Para 24.</w:t>
            </w:r>
          </w:p>
          <w:p w14:paraId="468A3223" w14:textId="77777777" w:rsidR="00E45009" w:rsidRDefault="00E45009" w:rsidP="00E45009">
            <w:pPr>
              <w:pStyle w:val="NoSpacing"/>
            </w:pPr>
          </w:p>
          <w:p w14:paraId="3EB23BD0" w14:textId="77777777" w:rsidR="00E45009" w:rsidRDefault="00E45009" w:rsidP="00E45009">
            <w:pPr>
              <w:pStyle w:val="NoSpacing"/>
            </w:pPr>
            <w:r>
              <w:t xml:space="preserve">Aid for Trade is captured in the CRS through sector codes in the 331 series and the aid for trade marker. </w:t>
            </w:r>
            <w:proofErr w:type="gramStart"/>
            <w:r>
              <w:t>see</w:t>
            </w:r>
            <w:proofErr w:type="gramEnd"/>
            <w:r>
              <w:t xml:space="preserve"> here: http://www.oecd.org/dac/stats/purposecodessectorclassification.htm.</w:t>
            </w:r>
          </w:p>
          <w:p w14:paraId="56AD5EE5" w14:textId="77777777" w:rsidR="00E45009" w:rsidRDefault="00E45009" w:rsidP="00E45009">
            <w:pPr>
              <w:pStyle w:val="NoSpacing"/>
            </w:pPr>
          </w:p>
          <w:p w14:paraId="541E6A35" w14:textId="77777777" w:rsidR="00E45009" w:rsidRDefault="00E45009" w:rsidP="00E45009">
            <w:pPr>
              <w:pStyle w:val="NoSpacing"/>
            </w:pPr>
            <w:r>
              <w:t xml:space="preserve">‘All donors’ refers to DAC donors, non-DAC donors and multilateral organisations. </w:t>
            </w:r>
          </w:p>
          <w:p w14:paraId="2DDD4620" w14:textId="77777777" w:rsidR="00E45009" w:rsidRDefault="00E45009" w:rsidP="00E45009">
            <w:pPr>
              <w:pStyle w:val="NoSpacing"/>
            </w:pPr>
          </w:p>
          <w:p w14:paraId="1CD80F6C" w14:textId="77777777" w:rsidR="00E45009" w:rsidRDefault="00E45009" w:rsidP="00E45009">
            <w:pPr>
              <w:pStyle w:val="NoSpacing"/>
            </w:pPr>
            <w:r>
              <w:t>Comments and limitations:</w:t>
            </w:r>
          </w:p>
          <w:p w14:paraId="27D454E3" w14:textId="77777777" w:rsidR="00E45009" w:rsidRDefault="00E45009" w:rsidP="00E45009">
            <w:pPr>
              <w:pStyle w:val="NoSpacing"/>
            </w:pPr>
          </w:p>
          <w:p w14:paraId="17C95A37" w14:textId="77777777" w:rsidR="00E45009" w:rsidRDefault="00E45009" w:rsidP="00E45009">
            <w:pPr>
              <w:pStyle w:val="NoSpacing"/>
            </w:pPr>
            <w:r>
              <w:t>Data in the Creditor Reporting System are available from 1973. However, the data coverage is considered complete from 1995 for commitments at an activity level and 2002 for disbursements.</w:t>
            </w:r>
          </w:p>
          <w:p w14:paraId="2296A9FA" w14:textId="77777777" w:rsidR="00E45009" w:rsidRDefault="00E45009" w:rsidP="00E45009">
            <w:pPr>
              <w:pStyle w:val="NoSpacing"/>
            </w:pPr>
          </w:p>
          <w:p w14:paraId="0903A5EE" w14:textId="77777777" w:rsidR="00E45009" w:rsidRDefault="00E45009" w:rsidP="00E45009">
            <w:pPr>
              <w:pStyle w:val="NoSpacing"/>
            </w:pPr>
            <w:r>
              <w:t>Computation Method:</w:t>
            </w:r>
          </w:p>
          <w:p w14:paraId="6C014139" w14:textId="77777777" w:rsidR="00E45009" w:rsidRDefault="00E45009" w:rsidP="00E45009">
            <w:pPr>
              <w:pStyle w:val="NoSpacing"/>
            </w:pPr>
          </w:p>
          <w:p w14:paraId="07301688" w14:textId="77777777" w:rsidR="00E45009" w:rsidRDefault="00E45009" w:rsidP="00E45009">
            <w:pPr>
              <w:pStyle w:val="NoSpacing"/>
            </w:pPr>
            <w:r>
              <w:t>The sum of ODA and OOF flows from all donors to developing countries for aid for trade.</w:t>
            </w:r>
          </w:p>
          <w:p w14:paraId="5ADD0565" w14:textId="77777777" w:rsidR="00E45009" w:rsidRDefault="00E45009" w:rsidP="00E45009">
            <w:pPr>
              <w:pStyle w:val="NoSpacing"/>
            </w:pPr>
          </w:p>
        </w:tc>
        <w:tc>
          <w:tcPr>
            <w:tcW w:w="0" w:type="auto"/>
            <w:shd w:val="clear" w:color="auto" w:fill="auto"/>
          </w:tcPr>
          <w:p w14:paraId="6C24D10D" w14:textId="77777777" w:rsidR="00E45009" w:rsidRPr="00873FDE" w:rsidRDefault="00E45009" w:rsidP="00E45009">
            <w:pPr>
              <w:pStyle w:val="NoSpacing"/>
            </w:pPr>
            <w:r w:rsidRPr="00873FDE">
              <w:lastRenderedPageBreak/>
              <w:t>Administrative data</w:t>
            </w:r>
          </w:p>
        </w:tc>
        <w:tc>
          <w:tcPr>
            <w:tcW w:w="0" w:type="auto"/>
            <w:shd w:val="clear" w:color="auto" w:fill="auto"/>
          </w:tcPr>
          <w:p w14:paraId="5B74C600" w14:textId="77777777" w:rsidR="00E45009" w:rsidRPr="00873FDE" w:rsidRDefault="00E45009" w:rsidP="00E45009">
            <w:r w:rsidRPr="00873FDE">
              <w:t xml:space="preserve">Data are reported on an annual calendar year basis by statistical </w:t>
            </w:r>
            <w:r w:rsidRPr="00873FDE">
              <w:lastRenderedPageBreak/>
              <w:t>reporters in national administrations (aid agencies, Ministries of Foreign Affairs or Finance, etc.</w:t>
            </w:r>
          </w:p>
        </w:tc>
        <w:tc>
          <w:tcPr>
            <w:tcW w:w="0" w:type="auto"/>
            <w:shd w:val="clear" w:color="auto" w:fill="auto"/>
          </w:tcPr>
          <w:p w14:paraId="0AE0B4B8" w14:textId="12CE7285" w:rsidR="00E45009" w:rsidRDefault="00E45009" w:rsidP="00E45009">
            <w:pPr>
              <w:jc w:val="both"/>
              <w:rPr>
                <w:rFonts w:eastAsia="Times New Roman" w:cs="Times New Roman"/>
                <w:color w:val="000000" w:themeColor="text1"/>
                <w:szCs w:val="20"/>
              </w:rPr>
            </w:pPr>
          </w:p>
          <w:p w14:paraId="6981B927" w14:textId="77777777" w:rsidR="00E45009" w:rsidRDefault="00E45009" w:rsidP="00E45009">
            <w:pPr>
              <w:jc w:val="both"/>
              <w:rPr>
                <w:color w:val="0070C0"/>
                <w:sz w:val="48"/>
                <w:szCs w:val="48"/>
              </w:rPr>
            </w:pPr>
            <w:r w:rsidRPr="00BC6F10">
              <w:rPr>
                <w:rFonts w:eastAsia="Times New Roman" w:cs="Times New Roman"/>
                <w:color w:val="000000" w:themeColor="text1"/>
                <w:szCs w:val="20"/>
              </w:rPr>
              <w:t>OECD-WTO</w:t>
            </w:r>
          </w:p>
        </w:tc>
        <w:tc>
          <w:tcPr>
            <w:tcW w:w="0" w:type="auto"/>
            <w:shd w:val="clear" w:color="auto" w:fill="auto"/>
          </w:tcPr>
          <w:p w14:paraId="30A903DB" w14:textId="77777777" w:rsidR="00E45009" w:rsidRPr="00BC6F10" w:rsidRDefault="00E45009" w:rsidP="00E45009">
            <w:pPr>
              <w:rPr>
                <w:rFonts w:eastAsia="Times New Roman" w:cs="Times New Roman"/>
                <w:color w:val="000000" w:themeColor="text1"/>
                <w:szCs w:val="20"/>
              </w:rPr>
            </w:pPr>
            <w:r w:rsidRPr="00BC6F10">
              <w:rPr>
                <w:rFonts w:eastAsia="Times New Roman" w:cs="Times New Roman"/>
                <w:color w:val="000000" w:themeColor="text1"/>
                <w:szCs w:val="20"/>
              </w:rPr>
              <w:t>a) ERD</w:t>
            </w:r>
            <w:r w:rsidRPr="00BC6F10">
              <w:rPr>
                <w:rFonts w:eastAsia="Times New Roman" w:cs="Times New Roman"/>
                <w:color w:val="000000" w:themeColor="text1"/>
                <w:szCs w:val="20"/>
              </w:rPr>
              <w:br/>
              <w:t>b) MoC</w:t>
            </w:r>
          </w:p>
          <w:p w14:paraId="5F05B79B" w14:textId="77777777" w:rsidR="00E45009" w:rsidRDefault="00E45009" w:rsidP="00E45009">
            <w:pPr>
              <w:pStyle w:val="NoSpacing"/>
              <w:rPr>
                <w:rFonts w:eastAsia="Times New Roman" w:cs="Times New Roman"/>
                <w:color w:val="000000" w:themeColor="text1"/>
                <w:szCs w:val="20"/>
              </w:rPr>
            </w:pPr>
            <w:r w:rsidRPr="00BC6F10">
              <w:rPr>
                <w:rFonts w:eastAsia="Times New Roman" w:cs="Times New Roman"/>
                <w:color w:val="000000" w:themeColor="text1"/>
                <w:szCs w:val="20"/>
              </w:rPr>
              <w:t>c) WTO</w:t>
            </w:r>
          </w:p>
          <w:p w14:paraId="7961A759" w14:textId="77777777" w:rsidR="00E45009" w:rsidRDefault="00E45009" w:rsidP="00E45009">
            <w:pPr>
              <w:pStyle w:val="NoSpacing"/>
              <w:rPr>
                <w:rFonts w:eastAsia="Times New Roman" w:cs="Times New Roman"/>
                <w:color w:val="000000" w:themeColor="text1"/>
                <w:szCs w:val="20"/>
              </w:rPr>
            </w:pPr>
          </w:p>
          <w:p w14:paraId="325DECB5" w14:textId="77777777" w:rsidR="00E45009" w:rsidRDefault="00E45009" w:rsidP="00E45009">
            <w:pPr>
              <w:jc w:val="both"/>
              <w:rPr>
                <w:color w:val="0070C0"/>
                <w:sz w:val="48"/>
                <w:szCs w:val="48"/>
              </w:rPr>
            </w:pPr>
            <w:r>
              <w:rPr>
                <w:rFonts w:eastAsia="Times New Roman" w:cs="Times New Roman"/>
                <w:color w:val="000000" w:themeColor="text1"/>
                <w:szCs w:val="20"/>
              </w:rPr>
              <w:t>Administrative Data</w:t>
            </w:r>
          </w:p>
        </w:tc>
        <w:tc>
          <w:tcPr>
            <w:tcW w:w="0" w:type="auto"/>
            <w:shd w:val="clear" w:color="auto" w:fill="auto"/>
            <w:vAlign w:val="center"/>
          </w:tcPr>
          <w:p w14:paraId="584E9A78" w14:textId="77777777" w:rsidR="00E45009" w:rsidRPr="00232439"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32439">
              <w:rPr>
                <w:rFonts w:ascii="Tw Cen MT Condensed" w:hAnsi="Tw Cen MT Condensed"/>
                <w:sz w:val="20"/>
                <w:szCs w:val="20"/>
              </w:rPr>
              <w:t xml:space="preserve">Aid for Trade commitments: donor, recipient </w:t>
            </w:r>
            <w:r w:rsidRPr="00232439">
              <w:rPr>
                <w:rFonts w:ascii="Tw Cen MT Condensed" w:hAnsi="Tw Cen MT Condensed"/>
                <w:sz w:val="20"/>
                <w:szCs w:val="20"/>
              </w:rPr>
              <w:lastRenderedPageBreak/>
              <w:t>country</w:t>
            </w:r>
          </w:p>
          <w:p w14:paraId="5A88C8B5" w14:textId="77777777" w:rsidR="00E45009" w:rsidRPr="00232439"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32439">
              <w:rPr>
                <w:rFonts w:ascii="Tw Cen MT Condensed" w:hAnsi="Tw Cen MT Condensed"/>
                <w:sz w:val="20"/>
                <w:szCs w:val="20"/>
              </w:rPr>
              <w:t>Aid for Trade disbursements</w:t>
            </w:r>
          </w:p>
          <w:p w14:paraId="4C889CCC" w14:textId="77777777" w:rsidR="00E45009" w:rsidRPr="00232439"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32439">
              <w:rPr>
                <w:rFonts w:ascii="Tw Cen MT Condensed" w:hAnsi="Tw Cen MT Condensed"/>
                <w:sz w:val="20"/>
                <w:szCs w:val="20"/>
              </w:rPr>
              <w:t>type of finance</w:t>
            </w:r>
          </w:p>
          <w:p w14:paraId="2FF41E2B" w14:textId="77777777" w:rsidR="00E45009" w:rsidRPr="00232439"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32439">
              <w:rPr>
                <w:rFonts w:ascii="Tw Cen MT Condensed" w:hAnsi="Tw Cen MT Condensed"/>
                <w:sz w:val="20"/>
                <w:szCs w:val="20"/>
              </w:rPr>
              <w:t xml:space="preserve">type of aid </w:t>
            </w:r>
          </w:p>
          <w:p w14:paraId="43362C37" w14:textId="77777777" w:rsidR="00E45009" w:rsidRPr="00232439"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232439">
              <w:rPr>
                <w:rFonts w:ascii="Tw Cen MT Condensed" w:hAnsi="Tw Cen MT Condensed"/>
                <w:sz w:val="20"/>
                <w:szCs w:val="20"/>
              </w:rPr>
              <w:t xml:space="preserve">trade policy and regulations </w:t>
            </w:r>
          </w:p>
          <w:p w14:paraId="104B1698" w14:textId="77777777" w:rsidR="00E45009" w:rsidRDefault="00E45009" w:rsidP="00E45009">
            <w:pPr>
              <w:jc w:val="both"/>
              <w:rPr>
                <w:color w:val="0070C0"/>
                <w:sz w:val="48"/>
                <w:szCs w:val="48"/>
              </w:rPr>
            </w:pPr>
            <w:r w:rsidRPr="00232439">
              <w:rPr>
                <w:szCs w:val="20"/>
              </w:rPr>
              <w:t>trade related adjustment sub-sectors</w:t>
            </w:r>
            <w:r w:rsidRPr="00232439">
              <w:rPr>
                <w:rFonts w:ascii="Calibri" w:eastAsia="Times New Roman" w:hAnsi="Calibri" w:cs="Calibri"/>
                <w:szCs w:val="20"/>
              </w:rPr>
              <w:t xml:space="preserve"> </w:t>
            </w:r>
          </w:p>
        </w:tc>
        <w:tc>
          <w:tcPr>
            <w:tcW w:w="0" w:type="auto"/>
            <w:shd w:val="clear" w:color="auto" w:fill="auto"/>
          </w:tcPr>
          <w:p w14:paraId="2BAE8C2D" w14:textId="77777777" w:rsidR="00E45009" w:rsidRDefault="00E45009" w:rsidP="00E45009">
            <w:pPr>
              <w:jc w:val="both"/>
              <w:rPr>
                <w:color w:val="0070C0"/>
                <w:sz w:val="48"/>
                <w:szCs w:val="48"/>
              </w:rPr>
            </w:pPr>
            <w:r>
              <w:lastRenderedPageBreak/>
              <w:t>Annual</w:t>
            </w:r>
          </w:p>
        </w:tc>
        <w:tc>
          <w:tcPr>
            <w:tcW w:w="0" w:type="auto"/>
            <w:shd w:val="clear" w:color="auto" w:fill="auto"/>
          </w:tcPr>
          <w:p w14:paraId="624474B6" w14:textId="77777777" w:rsidR="00E45009" w:rsidRDefault="00E45009" w:rsidP="00E45009">
            <w:pPr>
              <w:jc w:val="both"/>
              <w:rPr>
                <w:color w:val="0070C0"/>
                <w:sz w:val="48"/>
                <w:szCs w:val="48"/>
              </w:rPr>
            </w:pPr>
            <w:r>
              <w:t>Group 1</w:t>
            </w:r>
          </w:p>
        </w:tc>
        <w:tc>
          <w:tcPr>
            <w:tcW w:w="0" w:type="auto"/>
            <w:shd w:val="clear" w:color="auto" w:fill="auto"/>
          </w:tcPr>
          <w:p w14:paraId="773E4633" w14:textId="77777777" w:rsidR="00E45009" w:rsidRDefault="00E45009" w:rsidP="00E45009">
            <w:pPr>
              <w:pStyle w:val="NoSpacing"/>
            </w:pPr>
            <w:r>
              <w:t>1</w:t>
            </w:r>
            <w:r w:rsidRPr="00013ACB">
              <w:rPr>
                <w:vertAlign w:val="superscript"/>
              </w:rPr>
              <w:t>st</w:t>
            </w:r>
            <w:r>
              <w:t xml:space="preserve"> Round: </w:t>
            </w:r>
          </w:p>
          <w:p w14:paraId="2B181BCC" w14:textId="77777777" w:rsidR="00E45009" w:rsidRDefault="00E45009" w:rsidP="00E45009">
            <w:pPr>
              <w:pStyle w:val="NoSpacing"/>
            </w:pPr>
            <w:r>
              <w:t>2015</w:t>
            </w:r>
          </w:p>
          <w:p w14:paraId="56EF31F5" w14:textId="77777777" w:rsidR="00E45009" w:rsidRDefault="00E45009" w:rsidP="00E45009">
            <w:pPr>
              <w:pStyle w:val="NoSpacing"/>
            </w:pPr>
          </w:p>
          <w:p w14:paraId="315C5D78" w14:textId="77777777" w:rsidR="00E45009" w:rsidRDefault="00E45009" w:rsidP="00E45009">
            <w:pPr>
              <w:pStyle w:val="NoSpacing"/>
            </w:pPr>
            <w:r>
              <w:t>2</w:t>
            </w:r>
            <w:r w:rsidRPr="00013ACB">
              <w:rPr>
                <w:vertAlign w:val="superscript"/>
              </w:rPr>
              <w:t>nd</w:t>
            </w:r>
            <w:r>
              <w:t xml:space="preserve"> Round: </w:t>
            </w:r>
          </w:p>
          <w:p w14:paraId="3F7A99CA" w14:textId="77777777" w:rsidR="00E45009" w:rsidRDefault="00E45009" w:rsidP="00E45009">
            <w:pPr>
              <w:pStyle w:val="NoSpacing"/>
            </w:pPr>
            <w:r>
              <w:t>Septem</w:t>
            </w:r>
            <w:r>
              <w:lastRenderedPageBreak/>
              <w:t>b</w:t>
            </w:r>
            <w:r w:rsidRPr="00CA542A">
              <w:t>er 2019</w:t>
            </w:r>
          </w:p>
          <w:p w14:paraId="5D6AA203" w14:textId="77777777" w:rsidR="00E45009" w:rsidRDefault="00E45009" w:rsidP="00E45009">
            <w:pPr>
              <w:pStyle w:val="NoSpacing"/>
            </w:pPr>
          </w:p>
          <w:p w14:paraId="5ED63FCE" w14:textId="77777777" w:rsidR="00E45009" w:rsidRDefault="00E45009" w:rsidP="00E45009">
            <w:pPr>
              <w:pStyle w:val="NoSpacing"/>
            </w:pPr>
            <w:r>
              <w:t>3</w:t>
            </w:r>
            <w:r w:rsidRPr="00013ACB">
              <w:rPr>
                <w:vertAlign w:val="superscript"/>
              </w:rPr>
              <w:t>rd</w:t>
            </w:r>
            <w:r>
              <w:t xml:space="preserve"> Round: </w:t>
            </w:r>
          </w:p>
          <w:p w14:paraId="5C5A9F32" w14:textId="77777777" w:rsidR="00E45009" w:rsidRDefault="00E45009" w:rsidP="00E45009">
            <w:pPr>
              <w:pStyle w:val="NoSpacing"/>
            </w:pPr>
            <w:r>
              <w:t>September 2020</w:t>
            </w:r>
          </w:p>
          <w:p w14:paraId="1B9A2772" w14:textId="77777777" w:rsidR="00E45009" w:rsidRDefault="00E45009" w:rsidP="00E45009">
            <w:pPr>
              <w:pStyle w:val="NoSpacing"/>
            </w:pPr>
          </w:p>
          <w:p w14:paraId="03E7F192" w14:textId="77777777" w:rsidR="00E45009" w:rsidRDefault="00E45009" w:rsidP="00E45009">
            <w:pPr>
              <w:pStyle w:val="NoSpacing"/>
            </w:pPr>
            <w:r>
              <w:t>4</w:t>
            </w:r>
            <w:r w:rsidRPr="00013ACB">
              <w:rPr>
                <w:vertAlign w:val="superscript"/>
              </w:rPr>
              <w:t>th</w:t>
            </w:r>
            <w:r>
              <w:t xml:space="preserve"> Round: </w:t>
            </w:r>
          </w:p>
          <w:p w14:paraId="742B2782" w14:textId="77777777" w:rsidR="00E45009" w:rsidRDefault="00E45009" w:rsidP="00E45009">
            <w:pPr>
              <w:pStyle w:val="NoSpacing"/>
            </w:pPr>
            <w:r>
              <w:t>September 2021</w:t>
            </w:r>
          </w:p>
          <w:p w14:paraId="36978C48" w14:textId="77777777" w:rsidR="00E45009" w:rsidRDefault="00E45009" w:rsidP="00E45009">
            <w:pPr>
              <w:pStyle w:val="NoSpacing"/>
            </w:pPr>
          </w:p>
          <w:p w14:paraId="6EED68EA" w14:textId="77777777" w:rsidR="00E45009" w:rsidRDefault="00E45009" w:rsidP="00E45009">
            <w:pPr>
              <w:pStyle w:val="NoSpacing"/>
            </w:pPr>
            <w:r>
              <w:t>5</w:t>
            </w:r>
            <w:r w:rsidRPr="00013ACB">
              <w:rPr>
                <w:vertAlign w:val="superscript"/>
              </w:rPr>
              <w:t>th</w:t>
            </w:r>
            <w:r>
              <w:t xml:space="preserve"> Round: </w:t>
            </w:r>
          </w:p>
          <w:p w14:paraId="24DED325" w14:textId="77777777" w:rsidR="00E45009" w:rsidRDefault="00E45009" w:rsidP="00E45009">
            <w:pPr>
              <w:pStyle w:val="NoSpacing"/>
            </w:pPr>
            <w:r>
              <w:t>September 2022</w:t>
            </w:r>
          </w:p>
          <w:p w14:paraId="1356E8EB" w14:textId="150C1AB5" w:rsidR="00E45009" w:rsidRDefault="00E45009" w:rsidP="00E45009">
            <w:pPr>
              <w:pStyle w:val="NoSpacing"/>
            </w:pPr>
          </w:p>
        </w:tc>
        <w:tc>
          <w:tcPr>
            <w:tcW w:w="0" w:type="auto"/>
            <w:shd w:val="clear" w:color="auto" w:fill="auto"/>
          </w:tcPr>
          <w:p w14:paraId="083234E0" w14:textId="77777777" w:rsidR="00E45009" w:rsidRDefault="00E45009" w:rsidP="00E45009">
            <w:pPr>
              <w:jc w:val="both"/>
              <w:rPr>
                <w:color w:val="0070C0"/>
                <w:sz w:val="48"/>
                <w:szCs w:val="48"/>
              </w:rPr>
            </w:pPr>
            <w:r w:rsidRPr="000F7498">
              <w:rPr>
                <w:szCs w:val="26"/>
              </w:rPr>
              <w:lastRenderedPageBreak/>
              <w:t>To be compiled by ministry of commerce</w:t>
            </w:r>
          </w:p>
        </w:tc>
      </w:tr>
      <w:tr w:rsidR="00E45009" w14:paraId="24C93751" w14:textId="77777777" w:rsidTr="0025292C">
        <w:tc>
          <w:tcPr>
            <w:tcW w:w="0" w:type="auto"/>
            <w:gridSpan w:val="13"/>
            <w:shd w:val="clear" w:color="auto" w:fill="auto"/>
          </w:tcPr>
          <w:p w14:paraId="231CD94D" w14:textId="77777777" w:rsidR="00E45009" w:rsidRDefault="00E45009" w:rsidP="00E45009">
            <w:pPr>
              <w:jc w:val="both"/>
              <w:rPr>
                <w:color w:val="0070C0"/>
                <w:sz w:val="48"/>
                <w:szCs w:val="48"/>
              </w:rPr>
            </w:pPr>
            <w:r>
              <w:rPr>
                <w:color w:val="0070C0"/>
                <w:sz w:val="30"/>
                <w:szCs w:val="30"/>
              </w:rPr>
              <w:lastRenderedPageBreak/>
              <w:t xml:space="preserve">Target </w:t>
            </w:r>
            <w:r w:rsidRPr="006429A5">
              <w:rPr>
                <w:color w:val="0070C0"/>
                <w:sz w:val="30"/>
                <w:szCs w:val="30"/>
              </w:rPr>
              <w:t>8.b By 2020, develop and operationalize a global strategy for youth employment and implement the Global Jobs Pact of the International Labour Organization</w:t>
            </w:r>
          </w:p>
        </w:tc>
      </w:tr>
      <w:tr w:rsidR="00E45009" w14:paraId="47EBD6F4" w14:textId="77777777" w:rsidTr="0025292C">
        <w:tc>
          <w:tcPr>
            <w:tcW w:w="0" w:type="auto"/>
            <w:shd w:val="clear" w:color="auto" w:fill="auto"/>
          </w:tcPr>
          <w:p w14:paraId="565BD7D2" w14:textId="77777777" w:rsidR="00E45009" w:rsidRPr="00F73727" w:rsidRDefault="00E45009" w:rsidP="00E45009">
            <w:pPr>
              <w:jc w:val="both"/>
            </w:pPr>
            <w:r w:rsidRPr="00F73727">
              <w:t xml:space="preserve">8.b.1 Existence of a developed and operationalized national strategy for youth </w:t>
            </w:r>
            <w:r w:rsidRPr="00F73727">
              <w:lastRenderedPageBreak/>
              <w:t>employment, as a distinct strategy or as part of a national employment strategy</w:t>
            </w:r>
          </w:p>
        </w:tc>
        <w:tc>
          <w:tcPr>
            <w:tcW w:w="0" w:type="auto"/>
            <w:shd w:val="clear" w:color="auto" w:fill="auto"/>
          </w:tcPr>
          <w:p w14:paraId="1C737260" w14:textId="77777777" w:rsidR="00E45009" w:rsidRDefault="00E45009" w:rsidP="00E45009">
            <w:pPr>
              <w:pStyle w:val="NoSpacing"/>
            </w:pPr>
            <w:r w:rsidRPr="00EE1D53">
              <w:lastRenderedPageBreak/>
              <w:t>ILO</w:t>
            </w:r>
          </w:p>
          <w:p w14:paraId="13F7939C" w14:textId="77777777" w:rsidR="00E45009" w:rsidRDefault="00E45009" w:rsidP="00E45009">
            <w:pPr>
              <w:rPr>
                <w:b/>
                <w:bCs/>
                <w:szCs w:val="20"/>
              </w:rPr>
            </w:pPr>
            <w:r w:rsidRPr="007243FC">
              <w:rPr>
                <w:b/>
                <w:bCs/>
                <w:szCs w:val="20"/>
              </w:rPr>
              <w:t>Partner Agencies:</w:t>
            </w:r>
          </w:p>
          <w:p w14:paraId="1BE68D22" w14:textId="77777777" w:rsidR="00E45009" w:rsidRDefault="00E45009" w:rsidP="00E45009">
            <w:pPr>
              <w:pStyle w:val="NoSpacing"/>
            </w:pPr>
            <w:r>
              <w:t>World Bank,</w:t>
            </w:r>
          </w:p>
          <w:p w14:paraId="76C1136F" w14:textId="77777777" w:rsidR="00E45009" w:rsidRPr="00EE1D53" w:rsidRDefault="00E45009" w:rsidP="00E45009">
            <w:pPr>
              <w:pStyle w:val="NoSpacing"/>
            </w:pPr>
            <w:r>
              <w:t>OECD</w:t>
            </w:r>
          </w:p>
        </w:tc>
        <w:tc>
          <w:tcPr>
            <w:tcW w:w="0" w:type="auto"/>
            <w:shd w:val="clear" w:color="auto" w:fill="auto"/>
          </w:tcPr>
          <w:p w14:paraId="68139178" w14:textId="77777777" w:rsidR="00E45009" w:rsidRPr="00666486" w:rsidRDefault="00E45009" w:rsidP="00E45009">
            <w:pPr>
              <w:jc w:val="both"/>
            </w:pPr>
            <w:r w:rsidRPr="00666486">
              <w:t>Tier II</w:t>
            </w:r>
          </w:p>
        </w:tc>
        <w:tc>
          <w:tcPr>
            <w:tcW w:w="0" w:type="auto"/>
            <w:shd w:val="clear" w:color="auto" w:fill="auto"/>
          </w:tcPr>
          <w:p w14:paraId="51C08415" w14:textId="77777777" w:rsidR="00E45009" w:rsidRPr="000C4849" w:rsidRDefault="00E45009" w:rsidP="00E45009">
            <w:pPr>
              <w:pStyle w:val="NoSpacing"/>
              <w:rPr>
                <w:b/>
              </w:rPr>
            </w:pPr>
            <w:r w:rsidRPr="000C4849">
              <w:rPr>
                <w:b/>
              </w:rPr>
              <w:t>Concepts and definitions</w:t>
            </w:r>
          </w:p>
          <w:p w14:paraId="6197EB26" w14:textId="77777777" w:rsidR="00E45009" w:rsidRDefault="00E45009" w:rsidP="00E45009">
            <w:pPr>
              <w:pStyle w:val="NoSpacing"/>
            </w:pPr>
            <w:r>
              <w:t>The proposed methodology draws on:</w:t>
            </w:r>
          </w:p>
          <w:p w14:paraId="1C2502A0" w14:textId="77777777" w:rsidR="00E45009" w:rsidRDefault="00E45009" w:rsidP="00E45009">
            <w:pPr>
              <w:pStyle w:val="NoSpacing"/>
            </w:pPr>
            <w:r>
              <w:t>a.</w:t>
            </w:r>
            <w:r>
              <w:tab/>
              <w:t>Global policy instruments, notably:</w:t>
            </w:r>
          </w:p>
          <w:p w14:paraId="52E2643A" w14:textId="77777777" w:rsidR="00E45009" w:rsidRDefault="00E45009" w:rsidP="00E45009">
            <w:pPr>
              <w:pStyle w:val="NoSpacing"/>
            </w:pPr>
            <w:proofErr w:type="gramStart"/>
            <w:r>
              <w:t>o</w:t>
            </w:r>
            <w:proofErr w:type="gramEnd"/>
            <w:r>
              <w:tab/>
              <w:t>Resolution on The youth employment crisis: A call for action , adopted at the 101st session of the International Labour Conference (ILC) in June 2012. In calling for vigorous, collective action to address an aggravated youth employment crisis, this resolution advocates for a multi-pronged approach with policy measures that are context-specific and integrated, entailing strategies which bring together in a coherent manner a variety of instruments to increase the demand, enhance the supply and improve matching in youth labour markets.</w:t>
            </w:r>
          </w:p>
          <w:p w14:paraId="522BF670" w14:textId="77777777" w:rsidR="00E45009" w:rsidRDefault="00E45009" w:rsidP="00E45009">
            <w:pPr>
              <w:pStyle w:val="NoSpacing"/>
            </w:pPr>
            <w:proofErr w:type="gramStart"/>
            <w:r>
              <w:t>o</w:t>
            </w:r>
            <w:proofErr w:type="gramEnd"/>
            <w:r>
              <w:tab/>
              <w:t xml:space="preserve">Recovering from the crisis: A Global Jobs Pact  adopted by the ILC at its June 2009 session. Based on the ILO’s Decent Work Agenda, the Global Jobs Pact presents an integrated portfolio of policies that puts employment and social protection at the centre of crisis response, recognising the critical role of participation and social dialogue.   </w:t>
            </w:r>
          </w:p>
          <w:p w14:paraId="7B99F9B4" w14:textId="77777777" w:rsidR="00E45009" w:rsidRDefault="00E45009" w:rsidP="00E45009">
            <w:pPr>
              <w:pStyle w:val="NoSpacing"/>
            </w:pPr>
            <w:r>
              <w:lastRenderedPageBreak/>
              <w:t>b.</w:t>
            </w:r>
            <w:r>
              <w:tab/>
              <w:t>ILO databases:</w:t>
            </w:r>
          </w:p>
          <w:p w14:paraId="5D0D787B" w14:textId="77777777" w:rsidR="00E45009" w:rsidRDefault="00E45009" w:rsidP="00E45009">
            <w:pPr>
              <w:pStyle w:val="NoSpacing"/>
            </w:pPr>
            <w:proofErr w:type="gramStart"/>
            <w:r>
              <w:t>o</w:t>
            </w:r>
            <w:proofErr w:type="gramEnd"/>
            <w:r>
              <w:tab/>
              <w:t xml:space="preserve">International monitoring of youth employment policies was carried out over the period 2010-2012 by the Youth Employment Network (YEN) – a partnership between the ILO, United Nations and World Bank – utilising a questionnaire sent to national authorities. This evolved into </w:t>
            </w:r>
            <w:proofErr w:type="gramStart"/>
            <w:r>
              <w:t>YouthPOL ,</w:t>
            </w:r>
            <w:proofErr w:type="gramEnd"/>
            <w:r>
              <w:t xml:space="preserve"> an inventory of youth employment policies and programmes maintained by the ILO (65 countries covered to date). </w:t>
            </w:r>
          </w:p>
          <w:p w14:paraId="68D3FDE4" w14:textId="77777777" w:rsidR="00E45009" w:rsidRDefault="00E45009" w:rsidP="00E45009">
            <w:pPr>
              <w:pStyle w:val="NoSpacing"/>
            </w:pPr>
            <w:proofErr w:type="gramStart"/>
            <w:r>
              <w:t>o</w:t>
            </w:r>
            <w:proofErr w:type="gramEnd"/>
            <w:r>
              <w:tab/>
              <w:t>The ILO also maintains EmPol, a dataset of broader national employment policies (143 countries covered).</w:t>
            </w:r>
          </w:p>
          <w:p w14:paraId="27C013A8" w14:textId="77777777" w:rsidR="00E45009" w:rsidRDefault="00E45009" w:rsidP="00E45009">
            <w:pPr>
              <w:pStyle w:val="NoSpacing"/>
            </w:pPr>
            <w:r>
              <w:t>c.</w:t>
            </w:r>
            <w:r>
              <w:tab/>
              <w:t xml:space="preserve">ILO expertise and experience:  </w:t>
            </w:r>
          </w:p>
          <w:p w14:paraId="0EBEE93A" w14:textId="77777777" w:rsidR="00E45009" w:rsidRDefault="00E45009" w:rsidP="00E45009">
            <w:pPr>
              <w:pStyle w:val="NoSpacing"/>
            </w:pPr>
            <w:proofErr w:type="gramStart"/>
            <w:r>
              <w:t>o</w:t>
            </w:r>
            <w:proofErr w:type="gramEnd"/>
            <w:r>
              <w:tab/>
              <w:t xml:space="preserve">The Department of Statistics (STATISTICS) works to provide relevant, timely and reliable labour statistics, to develop international standards for better measurement of labour issues and enhanced international comparability, and to help member States develop and improve their labour statistics. </w:t>
            </w:r>
          </w:p>
          <w:p w14:paraId="4D061DB4" w14:textId="77777777" w:rsidR="00E45009" w:rsidRDefault="00E45009" w:rsidP="00E45009">
            <w:pPr>
              <w:pStyle w:val="NoSpacing"/>
            </w:pPr>
            <w:proofErr w:type="gramStart"/>
            <w:r>
              <w:t>o</w:t>
            </w:r>
            <w:proofErr w:type="gramEnd"/>
            <w:r>
              <w:tab/>
              <w:t xml:space="preserve">The Employment Policy Department (EMPLOYMENT) is responsible for promoting full and productive employment by developing integrated employment, development and skills policies (ILO, 2012) that are inclusive, gender sensitive and sustainable. The department is mandated to coordinate ILO efforts to promote decent job opportunities for young women and men; over the years, it has supported the formulation, implementation and review of national youth employment strategies and action plans in different countries and regions (ILO, 2008; ILO, 2015). </w:t>
            </w:r>
            <w:proofErr w:type="gramStart"/>
            <w:r>
              <w:t>This type of targeted action and related achievements have</w:t>
            </w:r>
            <w:proofErr w:type="gramEnd"/>
            <w:r>
              <w:t xml:space="preserve"> been included in the ILO programming framework and performance system. </w:t>
            </w:r>
          </w:p>
          <w:p w14:paraId="7EAE4EBD" w14:textId="77777777" w:rsidR="00E45009" w:rsidRDefault="00E45009" w:rsidP="00E45009">
            <w:pPr>
              <w:pStyle w:val="NoSpacing"/>
            </w:pPr>
          </w:p>
          <w:p w14:paraId="000FAC63" w14:textId="77777777" w:rsidR="00E45009" w:rsidRDefault="00E45009" w:rsidP="00E45009">
            <w:pPr>
              <w:pStyle w:val="NoSpacing"/>
            </w:pPr>
            <w:r>
              <w:t xml:space="preserve">The ILO supports its constituents and other development stakeholders through knowledge and capacity building as well as through policy advocacy and advice. The list of references at the end of this note offers examples of recent major ILO contributions to knowledge building on youth employment and youth employment policy (ILO, 2017).  </w:t>
            </w:r>
          </w:p>
          <w:p w14:paraId="74551207" w14:textId="77777777" w:rsidR="00E45009" w:rsidRDefault="00E45009" w:rsidP="00E45009">
            <w:pPr>
              <w:pStyle w:val="NoSpacing"/>
            </w:pPr>
          </w:p>
          <w:p w14:paraId="7EA17BFE" w14:textId="77777777" w:rsidR="00E45009" w:rsidRPr="000C4849" w:rsidRDefault="00E45009" w:rsidP="00E45009">
            <w:pPr>
              <w:pStyle w:val="NoSpacing"/>
              <w:rPr>
                <w:b/>
              </w:rPr>
            </w:pPr>
            <w:r w:rsidRPr="000C4849">
              <w:rPr>
                <w:b/>
              </w:rPr>
              <w:t>Computation Method:</w:t>
            </w:r>
          </w:p>
          <w:p w14:paraId="141ECB05" w14:textId="77777777" w:rsidR="00E45009" w:rsidRDefault="00E45009" w:rsidP="00E45009">
            <w:pPr>
              <w:pStyle w:val="NoSpacing"/>
            </w:pPr>
            <w:r>
              <w:t xml:space="preserve">The information and documents provided by national authorities will be analysed by the ILO by making use of the grid hereafter.   </w:t>
            </w:r>
          </w:p>
          <w:p w14:paraId="7C5F2926" w14:textId="77777777" w:rsidR="00E45009" w:rsidRDefault="00E45009" w:rsidP="00E45009">
            <w:pPr>
              <w:pStyle w:val="NoSpacing"/>
            </w:pPr>
            <w:r>
              <w:t>Value</w:t>
            </w:r>
            <w:r>
              <w:tab/>
              <w:t>Description</w:t>
            </w:r>
          </w:p>
          <w:tbl>
            <w:tblPr>
              <w:tblW w:w="0" w:type="auto"/>
              <w:tblInd w:w="132" w:type="dxa"/>
              <w:tblCellMar>
                <w:left w:w="0" w:type="dxa"/>
                <w:right w:w="0" w:type="dxa"/>
              </w:tblCellMar>
              <w:tblLook w:val="04A0" w:firstRow="1" w:lastRow="0" w:firstColumn="1" w:lastColumn="0" w:noHBand="0" w:noVBand="1"/>
            </w:tblPr>
            <w:tblGrid>
              <w:gridCol w:w="1693"/>
              <w:gridCol w:w="3323"/>
            </w:tblGrid>
            <w:tr w:rsidR="00E45009" w:rsidRPr="00496D7F" w14:paraId="08C69655" w14:textId="77777777" w:rsidTr="00DB32C0">
              <w:tc>
                <w:tcPr>
                  <w:tcW w:w="1693"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9BA88B2" w14:textId="77777777" w:rsidR="00E45009" w:rsidRPr="00496D7F" w:rsidRDefault="00E45009" w:rsidP="00E45009">
                  <w:pPr>
                    <w:jc w:val="center"/>
                    <w:rPr>
                      <w:b/>
                      <w:sz w:val="21"/>
                      <w:szCs w:val="21"/>
                    </w:rPr>
                  </w:pPr>
                  <w:r w:rsidRPr="00496D7F">
                    <w:rPr>
                      <w:b/>
                      <w:sz w:val="21"/>
                      <w:szCs w:val="21"/>
                    </w:rPr>
                    <w:t>Value</w:t>
                  </w:r>
                </w:p>
              </w:tc>
              <w:tc>
                <w:tcPr>
                  <w:tcW w:w="3323"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41AF21A" w14:textId="77777777" w:rsidR="00E45009" w:rsidRPr="00496D7F" w:rsidRDefault="00E45009" w:rsidP="00E45009">
                  <w:pPr>
                    <w:jc w:val="center"/>
                    <w:rPr>
                      <w:b/>
                      <w:sz w:val="21"/>
                      <w:szCs w:val="21"/>
                    </w:rPr>
                  </w:pPr>
                  <w:r w:rsidRPr="00496D7F">
                    <w:rPr>
                      <w:b/>
                      <w:sz w:val="21"/>
                      <w:szCs w:val="21"/>
                    </w:rPr>
                    <w:t>Description</w:t>
                  </w:r>
                </w:p>
              </w:tc>
            </w:tr>
            <w:tr w:rsidR="00E45009" w:rsidRPr="00496D7F" w14:paraId="670F4EB9" w14:textId="77777777" w:rsidTr="00DB32C0">
              <w:tc>
                <w:tcPr>
                  <w:tcW w:w="1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81E7E9" w14:textId="77777777" w:rsidR="00E45009" w:rsidRPr="00496D7F" w:rsidRDefault="00E45009" w:rsidP="000C4849">
                  <w:pPr>
                    <w:pStyle w:val="NoSpacing"/>
                  </w:pPr>
                  <w:r w:rsidRPr="00496D7F">
                    <w:t>Missing value</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23AAB5DB" w14:textId="77777777" w:rsidR="00E45009" w:rsidRPr="00496D7F" w:rsidRDefault="00E45009" w:rsidP="000C4849">
                  <w:pPr>
                    <w:pStyle w:val="NoSpacing"/>
                  </w:pPr>
                  <w:r w:rsidRPr="00496D7F">
                    <w:t>No information available to assess the existence of a national strategy for youth employment</w:t>
                  </w:r>
                  <w:r w:rsidRPr="000C4849">
                    <w:t>.</w:t>
                  </w:r>
                </w:p>
              </w:tc>
            </w:tr>
            <w:tr w:rsidR="00E45009" w:rsidRPr="00496D7F" w14:paraId="6C2FF94B" w14:textId="77777777" w:rsidTr="00DB32C0">
              <w:tc>
                <w:tcPr>
                  <w:tcW w:w="1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4C09F0" w14:textId="77777777" w:rsidR="00E45009" w:rsidRPr="00496D7F" w:rsidRDefault="00E45009" w:rsidP="000C4849">
                  <w:pPr>
                    <w:pStyle w:val="NoSpacing"/>
                  </w:pPr>
                  <w:r w:rsidRPr="00496D7F">
                    <w:t>0</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6D262A41" w14:textId="77777777" w:rsidR="00E45009" w:rsidRPr="00496D7F" w:rsidRDefault="00E45009" w:rsidP="000C4849">
                  <w:pPr>
                    <w:pStyle w:val="NoSpacing"/>
                  </w:pPr>
                  <w:r w:rsidRPr="00496D7F">
                    <w:t>The country has not developed any national strategy for youth employment or taken steps to develop or adopt one.</w:t>
                  </w:r>
                </w:p>
              </w:tc>
            </w:tr>
            <w:tr w:rsidR="00E45009" w:rsidRPr="00496D7F" w14:paraId="794F20E9" w14:textId="77777777" w:rsidTr="00DB32C0">
              <w:tc>
                <w:tcPr>
                  <w:tcW w:w="1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7BB1DA" w14:textId="77777777" w:rsidR="00E45009" w:rsidRPr="00496D7F" w:rsidRDefault="00E45009" w:rsidP="000C4849">
                  <w:pPr>
                    <w:pStyle w:val="NoSpacing"/>
                  </w:pPr>
                  <w:r w:rsidRPr="00496D7F">
                    <w:t>1</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2F62B88F" w14:textId="77777777" w:rsidR="00E45009" w:rsidRPr="00496D7F" w:rsidRDefault="00E45009" w:rsidP="000C4849">
                  <w:pPr>
                    <w:pStyle w:val="NoSpacing"/>
                  </w:pPr>
                  <w:r w:rsidRPr="00496D7F">
                    <w:t xml:space="preserve">The country is in the process of developing a national strategy for youth employment.  </w:t>
                  </w:r>
                </w:p>
              </w:tc>
            </w:tr>
            <w:tr w:rsidR="00E45009" w:rsidRPr="00496D7F" w14:paraId="62883D88" w14:textId="77777777" w:rsidTr="00DB32C0">
              <w:tc>
                <w:tcPr>
                  <w:tcW w:w="1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E781D" w14:textId="77777777" w:rsidR="00E45009" w:rsidRPr="00496D7F" w:rsidRDefault="00E45009" w:rsidP="000C4849">
                  <w:pPr>
                    <w:pStyle w:val="NoSpacing"/>
                  </w:pPr>
                  <w:r w:rsidRPr="00496D7F">
                    <w:t>2</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1F42D8EA" w14:textId="77777777" w:rsidR="00E45009" w:rsidRPr="00496D7F" w:rsidRDefault="00E45009" w:rsidP="000C4849">
                  <w:pPr>
                    <w:pStyle w:val="NoSpacing"/>
                  </w:pPr>
                  <w:r w:rsidRPr="00496D7F">
                    <w:t>The country has developed and adopted a national strategy for youth employment</w:t>
                  </w:r>
                </w:p>
              </w:tc>
            </w:tr>
            <w:tr w:rsidR="00E45009" w:rsidRPr="00496D7F" w14:paraId="0A77ACDD" w14:textId="77777777" w:rsidTr="00DB32C0">
              <w:tc>
                <w:tcPr>
                  <w:tcW w:w="1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AD70E9" w14:textId="77777777" w:rsidR="00E45009" w:rsidRPr="00496D7F" w:rsidRDefault="00E45009" w:rsidP="000C4849">
                  <w:pPr>
                    <w:pStyle w:val="NoSpacing"/>
                  </w:pPr>
                  <w:r w:rsidRPr="00496D7F">
                    <w:t>3</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5BD160B3" w14:textId="77777777" w:rsidR="00E45009" w:rsidRPr="00496D7F" w:rsidRDefault="00E45009" w:rsidP="000C4849">
                  <w:pPr>
                    <w:pStyle w:val="NoSpacing"/>
                  </w:pPr>
                  <w:r w:rsidRPr="00496D7F">
                    <w:t xml:space="preserve">The country has operationalised a national strategy for youth employment. </w:t>
                  </w:r>
                </w:p>
              </w:tc>
            </w:tr>
          </w:tbl>
          <w:p w14:paraId="2C2F5B1A" w14:textId="77777777" w:rsidR="00E45009" w:rsidRDefault="00E45009" w:rsidP="00E45009">
            <w:pPr>
              <w:pStyle w:val="NoSpacing"/>
            </w:pPr>
          </w:p>
          <w:p w14:paraId="36EC6B9F" w14:textId="16174025" w:rsidR="00E45009" w:rsidRDefault="00E45009" w:rsidP="00E45009">
            <w:pPr>
              <w:pStyle w:val="NoSpacing"/>
            </w:pPr>
            <w:r>
              <w:t xml:space="preserve"> </w:t>
            </w:r>
          </w:p>
          <w:p w14:paraId="26E97F91" w14:textId="77777777" w:rsidR="00E45009" w:rsidRDefault="00E45009" w:rsidP="00E45009">
            <w:pPr>
              <w:pStyle w:val="NoSpacing"/>
            </w:pPr>
          </w:p>
          <w:p w14:paraId="66CF981E" w14:textId="77777777" w:rsidR="00E45009" w:rsidRDefault="00E45009" w:rsidP="00E45009">
            <w:pPr>
              <w:pStyle w:val="NoSpacing"/>
            </w:pPr>
            <w:r>
              <w:t>In all cases, the grid refers to a national strategy for youth employment as a distinct strategy or as part of a national employment strategy.</w:t>
            </w:r>
          </w:p>
        </w:tc>
        <w:tc>
          <w:tcPr>
            <w:tcW w:w="0" w:type="auto"/>
            <w:shd w:val="clear" w:color="auto" w:fill="auto"/>
          </w:tcPr>
          <w:p w14:paraId="450BAAD0" w14:textId="77777777" w:rsidR="00E45009" w:rsidRDefault="00E45009" w:rsidP="00E45009">
            <w:pPr>
              <w:pStyle w:val="NoSpacing"/>
            </w:pPr>
            <w:r>
              <w:lastRenderedPageBreak/>
              <w:t>Survey</w:t>
            </w:r>
          </w:p>
        </w:tc>
        <w:tc>
          <w:tcPr>
            <w:tcW w:w="0" w:type="auto"/>
            <w:shd w:val="clear" w:color="auto" w:fill="auto"/>
          </w:tcPr>
          <w:p w14:paraId="6BA4C753" w14:textId="77777777" w:rsidR="00E45009" w:rsidRPr="002664EF" w:rsidRDefault="00E45009" w:rsidP="00E45009">
            <w:pPr>
              <w:pStyle w:val="NoSpacing"/>
              <w:rPr>
                <w:lang w:val="en-GB"/>
              </w:rPr>
            </w:pPr>
            <w:r w:rsidRPr="002664EF">
              <w:rPr>
                <w:lang w:val="en-GB"/>
              </w:rPr>
              <w:t xml:space="preserve">National entities (ministries or other government agencies) responsible for development, </w:t>
            </w:r>
            <w:r w:rsidRPr="002664EF">
              <w:rPr>
                <w:lang w:val="en-GB"/>
              </w:rPr>
              <w:lastRenderedPageBreak/>
              <w:t xml:space="preserve">employment and youth policies. The ILO will maintain a roster of national actors to be involved in the monitoring process. </w:t>
            </w:r>
          </w:p>
          <w:p w14:paraId="2B7FAC39" w14:textId="77777777" w:rsidR="00E45009" w:rsidRDefault="00E45009" w:rsidP="00E45009">
            <w:pPr>
              <w:pStyle w:val="NoSpacing"/>
            </w:pPr>
          </w:p>
        </w:tc>
        <w:tc>
          <w:tcPr>
            <w:tcW w:w="0" w:type="auto"/>
            <w:shd w:val="clear" w:color="auto" w:fill="auto"/>
          </w:tcPr>
          <w:p w14:paraId="5BFEBDEE" w14:textId="77777777" w:rsidR="00E45009" w:rsidRPr="009906CC" w:rsidRDefault="00E45009" w:rsidP="00E45009">
            <w:pPr>
              <w:pStyle w:val="NoSpacing"/>
              <w:rPr>
                <w:rFonts w:eastAsia="Times New Roman"/>
                <w:color w:val="000000" w:themeColor="text1"/>
                <w:szCs w:val="25"/>
                <w:lang w:bidi="bn-BD"/>
              </w:rPr>
            </w:pPr>
            <w:r>
              <w:rPr>
                <w:rFonts w:eastAsia="Times New Roman"/>
                <w:color w:val="000000" w:themeColor="text1"/>
                <w:szCs w:val="25"/>
                <w:lang w:bidi="bn-BD"/>
              </w:rPr>
              <w:lastRenderedPageBreak/>
              <w:t>FD</w:t>
            </w:r>
          </w:p>
          <w:p w14:paraId="56C92847" w14:textId="77777777" w:rsidR="00E45009" w:rsidRPr="00BC6F10" w:rsidRDefault="00E45009" w:rsidP="00E45009">
            <w:pPr>
              <w:rPr>
                <w:rFonts w:eastAsia="Times New Roman" w:cs="Times New Roman"/>
                <w:color w:val="000000" w:themeColor="text1"/>
                <w:szCs w:val="20"/>
              </w:rPr>
            </w:pPr>
            <w:r>
              <w:t>Administrative Data</w:t>
            </w:r>
          </w:p>
        </w:tc>
        <w:tc>
          <w:tcPr>
            <w:tcW w:w="0" w:type="auto"/>
            <w:shd w:val="clear" w:color="auto" w:fill="auto"/>
          </w:tcPr>
          <w:p w14:paraId="714040A7" w14:textId="77777777" w:rsidR="00E45009" w:rsidRPr="00741A13" w:rsidRDefault="00E45009" w:rsidP="00E45009">
            <w:pPr>
              <w:jc w:val="center"/>
            </w:pPr>
            <w:r w:rsidRPr="00741A13">
              <w:t>a) MoYS</w:t>
            </w:r>
          </w:p>
          <w:p w14:paraId="48FD48AB" w14:textId="77777777" w:rsidR="00E45009" w:rsidRDefault="00E45009" w:rsidP="00E45009">
            <w:r w:rsidRPr="00741A13">
              <w:t>b) MoLE</w:t>
            </w:r>
          </w:p>
          <w:p w14:paraId="37D9A7A8" w14:textId="77777777" w:rsidR="00E45009" w:rsidRDefault="00E45009" w:rsidP="00E45009"/>
          <w:p w14:paraId="3401A236" w14:textId="77777777" w:rsidR="00E45009" w:rsidRDefault="00E45009" w:rsidP="00E45009"/>
          <w:p w14:paraId="3DB8C4B7" w14:textId="77777777" w:rsidR="00E45009" w:rsidRPr="00BC6F10" w:rsidRDefault="00E45009" w:rsidP="00E45009">
            <w:pPr>
              <w:rPr>
                <w:rFonts w:eastAsia="Times New Roman" w:cs="Times New Roman"/>
                <w:color w:val="000000" w:themeColor="text1"/>
                <w:szCs w:val="20"/>
              </w:rPr>
            </w:pPr>
            <w:r>
              <w:t>Administrative Data</w:t>
            </w:r>
          </w:p>
        </w:tc>
        <w:tc>
          <w:tcPr>
            <w:tcW w:w="0" w:type="auto"/>
            <w:shd w:val="clear" w:color="auto" w:fill="auto"/>
          </w:tcPr>
          <w:p w14:paraId="745F64D0" w14:textId="77777777" w:rsidR="00E45009" w:rsidRPr="00232439" w:rsidRDefault="00E45009" w:rsidP="00E45009">
            <w:pPr>
              <w:pStyle w:val="ListParagraph"/>
              <w:numPr>
                <w:ilvl w:val="0"/>
                <w:numId w:val="48"/>
              </w:numPr>
              <w:spacing w:after="0" w:line="240" w:lineRule="auto"/>
              <w:ind w:left="160" w:hanging="160"/>
              <w:rPr>
                <w:rFonts w:ascii="Tw Cen MT Condensed" w:hAnsi="Tw Cen MT Condensed"/>
                <w:sz w:val="20"/>
                <w:szCs w:val="20"/>
              </w:rPr>
            </w:pPr>
            <w:r w:rsidRPr="000F7498">
              <w:t>Not Applicable</w:t>
            </w:r>
          </w:p>
        </w:tc>
        <w:tc>
          <w:tcPr>
            <w:tcW w:w="0" w:type="auto"/>
            <w:shd w:val="clear" w:color="auto" w:fill="auto"/>
          </w:tcPr>
          <w:p w14:paraId="0AAB7295" w14:textId="77777777" w:rsidR="00E45009" w:rsidRDefault="00E45009" w:rsidP="00E45009">
            <w:pPr>
              <w:jc w:val="both"/>
            </w:pPr>
            <w:r w:rsidRPr="00BC6F10">
              <w:t>5-years</w:t>
            </w:r>
          </w:p>
        </w:tc>
        <w:tc>
          <w:tcPr>
            <w:tcW w:w="0" w:type="auto"/>
            <w:shd w:val="clear" w:color="auto" w:fill="auto"/>
          </w:tcPr>
          <w:p w14:paraId="6E576AB5" w14:textId="77777777" w:rsidR="00E45009" w:rsidRDefault="00E45009" w:rsidP="00E45009">
            <w:pPr>
              <w:jc w:val="both"/>
            </w:pPr>
            <w:r>
              <w:t>Group 1</w:t>
            </w:r>
          </w:p>
        </w:tc>
        <w:tc>
          <w:tcPr>
            <w:tcW w:w="0" w:type="auto"/>
            <w:shd w:val="clear" w:color="auto" w:fill="auto"/>
          </w:tcPr>
          <w:p w14:paraId="2AA5A4E1" w14:textId="77777777" w:rsidR="00E45009" w:rsidRDefault="00E45009" w:rsidP="00E45009">
            <w:pPr>
              <w:pStyle w:val="NoSpacing"/>
            </w:pPr>
            <w:r>
              <w:t>1</w:t>
            </w:r>
            <w:r w:rsidRPr="00013ACB">
              <w:rPr>
                <w:vertAlign w:val="superscript"/>
              </w:rPr>
              <w:t>st</w:t>
            </w:r>
            <w:r>
              <w:t xml:space="preserve"> Round:  September 2019</w:t>
            </w:r>
          </w:p>
          <w:p w14:paraId="2FB320C9" w14:textId="77777777" w:rsidR="00E45009" w:rsidRDefault="00E45009" w:rsidP="00E45009">
            <w:pPr>
              <w:pStyle w:val="NoSpacing"/>
            </w:pPr>
          </w:p>
          <w:p w14:paraId="05FD78B8" w14:textId="77777777" w:rsidR="00E45009" w:rsidRDefault="00E45009" w:rsidP="00E45009">
            <w:pPr>
              <w:pStyle w:val="NoSpacing"/>
            </w:pPr>
            <w:r>
              <w:t>2</w:t>
            </w:r>
            <w:r w:rsidRPr="00013ACB">
              <w:rPr>
                <w:vertAlign w:val="superscript"/>
              </w:rPr>
              <w:t>nd</w:t>
            </w:r>
            <w:r>
              <w:t xml:space="preserve"> Round: </w:t>
            </w:r>
          </w:p>
          <w:p w14:paraId="680CD913" w14:textId="77777777" w:rsidR="00E45009" w:rsidRDefault="00E45009" w:rsidP="00E45009">
            <w:pPr>
              <w:pStyle w:val="NoSpacing"/>
            </w:pPr>
            <w:r>
              <w:t xml:space="preserve">September </w:t>
            </w:r>
            <w:r>
              <w:lastRenderedPageBreak/>
              <w:t>2024</w:t>
            </w:r>
          </w:p>
          <w:p w14:paraId="4FF08A83" w14:textId="77777777" w:rsidR="00E45009" w:rsidRDefault="00E45009" w:rsidP="00E45009">
            <w:pPr>
              <w:pStyle w:val="NoSpacing"/>
            </w:pPr>
          </w:p>
          <w:p w14:paraId="59FEB0E9" w14:textId="77777777" w:rsidR="00E45009" w:rsidRDefault="00E45009" w:rsidP="00E45009">
            <w:pPr>
              <w:pStyle w:val="NoSpacing"/>
            </w:pPr>
            <w:r>
              <w:t>3</w:t>
            </w:r>
            <w:r w:rsidRPr="00013ACB">
              <w:rPr>
                <w:vertAlign w:val="superscript"/>
              </w:rPr>
              <w:t>rd</w:t>
            </w:r>
            <w:r>
              <w:t xml:space="preserve"> Round: </w:t>
            </w:r>
          </w:p>
          <w:p w14:paraId="1AD5B503" w14:textId="77777777" w:rsidR="00E45009" w:rsidRDefault="00E45009" w:rsidP="00E45009">
            <w:pPr>
              <w:pStyle w:val="NoSpacing"/>
            </w:pPr>
            <w:r>
              <w:t>September 2029</w:t>
            </w:r>
          </w:p>
          <w:p w14:paraId="138DE9D1" w14:textId="77777777" w:rsidR="00E45009" w:rsidRDefault="00E45009" w:rsidP="00E45009">
            <w:pPr>
              <w:pStyle w:val="NoSpacing"/>
            </w:pPr>
          </w:p>
          <w:p w14:paraId="464FB378" w14:textId="77777777" w:rsidR="00E45009" w:rsidRDefault="00E45009" w:rsidP="00E45009">
            <w:pPr>
              <w:pStyle w:val="NoSpacing"/>
            </w:pPr>
            <w:r>
              <w:t>4</w:t>
            </w:r>
            <w:r w:rsidRPr="00013ACB">
              <w:rPr>
                <w:vertAlign w:val="superscript"/>
              </w:rPr>
              <w:t>th</w:t>
            </w:r>
            <w:r>
              <w:t xml:space="preserve"> Round: </w:t>
            </w:r>
          </w:p>
          <w:p w14:paraId="7AA4D370" w14:textId="77777777" w:rsidR="00E45009" w:rsidRDefault="00E45009" w:rsidP="00E45009">
            <w:pPr>
              <w:pStyle w:val="NoSpacing"/>
            </w:pPr>
            <w:r>
              <w:t>December 2030</w:t>
            </w:r>
          </w:p>
          <w:p w14:paraId="20506F84" w14:textId="77777777" w:rsidR="00E45009" w:rsidRDefault="00E45009" w:rsidP="00E45009">
            <w:pPr>
              <w:pStyle w:val="NoSpacing"/>
            </w:pPr>
          </w:p>
          <w:p w14:paraId="48D2F04C" w14:textId="77777777" w:rsidR="00E45009" w:rsidRDefault="00E45009" w:rsidP="00E45009">
            <w:pPr>
              <w:pStyle w:val="NoSpacing"/>
            </w:pPr>
          </w:p>
          <w:p w14:paraId="5F59692D" w14:textId="69EA3F01" w:rsidR="00E45009" w:rsidRDefault="00E45009" w:rsidP="00E45009">
            <w:pPr>
              <w:pStyle w:val="NoSpacing"/>
            </w:pPr>
          </w:p>
        </w:tc>
        <w:tc>
          <w:tcPr>
            <w:tcW w:w="0" w:type="auto"/>
            <w:shd w:val="clear" w:color="auto" w:fill="auto"/>
          </w:tcPr>
          <w:p w14:paraId="0424CDD3" w14:textId="77777777" w:rsidR="00E45009" w:rsidRPr="002F2586" w:rsidRDefault="00E45009" w:rsidP="00E45009">
            <w:pPr>
              <w:pStyle w:val="NoSpacing"/>
            </w:pPr>
            <w:r w:rsidRPr="002F2586">
              <w:lastRenderedPageBreak/>
              <w:t>Reviewed at Dec. 2018 WebEx meeting</w:t>
            </w:r>
          </w:p>
          <w:p w14:paraId="12F8CF67" w14:textId="77777777" w:rsidR="00E45009" w:rsidRPr="002F2586" w:rsidRDefault="00E45009" w:rsidP="00E45009">
            <w:pPr>
              <w:pStyle w:val="NoSpacing"/>
            </w:pPr>
            <w:r w:rsidRPr="002F2586">
              <w:t>(classified as Tier II)</w:t>
            </w:r>
          </w:p>
          <w:p w14:paraId="6E395B49" w14:textId="77777777" w:rsidR="00E45009" w:rsidRPr="002F2586" w:rsidRDefault="00E45009" w:rsidP="00E45009">
            <w:pPr>
              <w:pStyle w:val="NoSpacing"/>
            </w:pPr>
          </w:p>
          <w:p w14:paraId="296FFA8E" w14:textId="5A7FFCD4" w:rsidR="00E45009" w:rsidRDefault="00E45009" w:rsidP="00E45009">
            <w:pPr>
              <w:pStyle w:val="NoSpacing"/>
            </w:pPr>
            <w:r w:rsidRPr="002F2586">
              <w:t>UNSC 48 refinement</w:t>
            </w:r>
            <w:r w:rsidRPr="002F2586">
              <w:lastRenderedPageBreak/>
              <w:t xml:space="preserve">; Reviewed at 5th IAEG-SDG meeting (classified as </w:t>
            </w:r>
            <w:r w:rsidR="006B621F">
              <w:t>TBD</w:t>
            </w:r>
            <w:r w:rsidRPr="002F2586">
              <w:t>)</w:t>
            </w:r>
          </w:p>
        </w:tc>
      </w:tr>
    </w:tbl>
    <w:p w14:paraId="3DA21F6A" w14:textId="77777777" w:rsidR="001C5F7A" w:rsidRDefault="001C5F7A">
      <w:pPr>
        <w:rPr>
          <w:color w:val="FF0000"/>
          <w:sz w:val="32"/>
          <w:szCs w:val="32"/>
        </w:rPr>
      </w:pPr>
    </w:p>
    <w:p w14:paraId="0F9BF802" w14:textId="77777777" w:rsidR="00F73727" w:rsidRDefault="00F73727">
      <w:pPr>
        <w:rPr>
          <w:color w:val="FF0000"/>
          <w:sz w:val="32"/>
          <w:szCs w:val="32"/>
        </w:rPr>
      </w:pPr>
    </w:p>
    <w:p w14:paraId="6D8617AD" w14:textId="77777777" w:rsidR="001C5F7A" w:rsidRDefault="001C5F7A">
      <w:pPr>
        <w:rPr>
          <w:color w:val="FF0000"/>
          <w:sz w:val="32"/>
          <w:szCs w:val="32"/>
        </w:rPr>
      </w:pPr>
    </w:p>
    <w:p w14:paraId="4C473578" w14:textId="77777777" w:rsidR="002436FF" w:rsidRDefault="002436FF">
      <w:pPr>
        <w:rPr>
          <w:color w:val="FF0000"/>
          <w:sz w:val="32"/>
          <w:szCs w:val="32"/>
        </w:rPr>
      </w:pPr>
    </w:p>
    <w:p w14:paraId="62DB0C8A" w14:textId="77777777" w:rsidR="002436FF" w:rsidRDefault="002436FF">
      <w:pPr>
        <w:rPr>
          <w:color w:val="FF0000"/>
          <w:sz w:val="32"/>
          <w:szCs w:val="32"/>
        </w:rPr>
      </w:pPr>
    </w:p>
    <w:p w14:paraId="087D0312" w14:textId="77777777" w:rsidR="002436FF" w:rsidRDefault="002436FF">
      <w:pPr>
        <w:rPr>
          <w:color w:val="FF0000"/>
          <w:sz w:val="32"/>
          <w:szCs w:val="32"/>
        </w:rPr>
      </w:pPr>
    </w:p>
    <w:p w14:paraId="3EEB8376" w14:textId="77777777" w:rsidR="002436FF" w:rsidRDefault="002436FF">
      <w:pPr>
        <w:rPr>
          <w:color w:val="FF0000"/>
          <w:sz w:val="32"/>
          <w:szCs w:val="32"/>
        </w:rPr>
      </w:pPr>
    </w:p>
    <w:p w14:paraId="6C1F0900" w14:textId="77777777" w:rsidR="002436FF" w:rsidRDefault="002436FF">
      <w:pPr>
        <w:rPr>
          <w:color w:val="FF0000"/>
          <w:sz w:val="32"/>
          <w:szCs w:val="32"/>
        </w:rPr>
      </w:pPr>
    </w:p>
    <w:p w14:paraId="1553AC75" w14:textId="340EE4BC" w:rsidR="002436FF" w:rsidRPr="006C6341" w:rsidRDefault="00BB3B57" w:rsidP="002436FF">
      <w:pPr>
        <w:jc w:val="both"/>
        <w:rPr>
          <w:color w:val="0070C0"/>
          <w:sz w:val="48"/>
          <w:szCs w:val="48"/>
        </w:rPr>
      </w:pPr>
      <w:r>
        <w:rPr>
          <w:color w:val="0070C0"/>
          <w:sz w:val="48"/>
          <w:szCs w:val="48"/>
        </w:rPr>
        <w:t>Action Plan and Methodological Guidelines towards Data Generation and Disaggregation for Monitoring and Evaluation of SDGs</w:t>
      </w:r>
    </w:p>
    <w:tbl>
      <w:tblPr>
        <w:tblStyle w:val="TableGrid"/>
        <w:tblW w:w="18630" w:type="dxa"/>
        <w:tblInd w:w="-5" w:type="dxa"/>
        <w:tblLayout w:type="fixed"/>
        <w:tblLook w:val="04A0" w:firstRow="1" w:lastRow="0" w:firstColumn="1" w:lastColumn="0" w:noHBand="0" w:noVBand="1"/>
      </w:tblPr>
      <w:tblGrid>
        <w:gridCol w:w="1440"/>
        <w:gridCol w:w="17190"/>
      </w:tblGrid>
      <w:tr w:rsidR="002436FF" w14:paraId="03EC5DF2" w14:textId="77777777" w:rsidTr="0025292C">
        <w:tc>
          <w:tcPr>
            <w:tcW w:w="1440" w:type="dxa"/>
            <w:tcBorders>
              <w:left w:val="single" w:sz="4" w:space="0" w:color="C00000"/>
              <w:bottom w:val="single" w:sz="4" w:space="0" w:color="C00000"/>
            </w:tcBorders>
          </w:tcPr>
          <w:p w14:paraId="460BAE64" w14:textId="0BF38AFE" w:rsidR="002436FF" w:rsidRDefault="00DB32C0" w:rsidP="002B01EC">
            <w:pPr>
              <w:jc w:val="center"/>
              <w:rPr>
                <w:color w:val="C00000"/>
                <w:sz w:val="48"/>
                <w:szCs w:val="48"/>
              </w:rPr>
            </w:pPr>
            <w:r>
              <w:rPr>
                <w:noProof/>
                <w:color w:val="C00000"/>
                <w:sz w:val="48"/>
                <w:szCs w:val="48"/>
                <w:lang w:bidi="bn-BD"/>
              </w:rPr>
              <w:drawing>
                <wp:inline distT="0" distB="0" distL="0" distR="0" wp14:anchorId="1927FB42" wp14:editId="17516547">
                  <wp:extent cx="772511" cy="772511"/>
                  <wp:effectExtent l="0" t="0" r="8890" b="889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_SDG goals_icons-individual-cmyk-0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3332" cy="773332"/>
                          </a:xfrm>
                          <a:prstGeom prst="rect">
                            <a:avLst/>
                          </a:prstGeom>
                        </pic:spPr>
                      </pic:pic>
                    </a:graphicData>
                  </a:graphic>
                </wp:inline>
              </w:drawing>
            </w:r>
          </w:p>
        </w:tc>
        <w:tc>
          <w:tcPr>
            <w:tcW w:w="17190" w:type="dxa"/>
            <w:shd w:val="clear" w:color="auto" w:fill="984806" w:themeFill="accent6" w:themeFillShade="80"/>
            <w:vAlign w:val="center"/>
          </w:tcPr>
          <w:p w14:paraId="492DFA69" w14:textId="77777777" w:rsidR="002436FF" w:rsidRPr="00214C29" w:rsidRDefault="001820B2" w:rsidP="002B01EC">
            <w:pPr>
              <w:jc w:val="both"/>
              <w:rPr>
                <w:color w:val="FFFFFF" w:themeColor="background1"/>
                <w:sz w:val="62"/>
                <w:szCs w:val="62"/>
              </w:rPr>
            </w:pPr>
            <w:r w:rsidRPr="001820B2">
              <w:rPr>
                <w:color w:val="FFFFFF" w:themeColor="background1"/>
                <w:sz w:val="62"/>
                <w:szCs w:val="62"/>
              </w:rPr>
              <w:t>Build resilient infrastructure, promote inclusive and sustainable industrialization and foster innovation</w:t>
            </w:r>
          </w:p>
        </w:tc>
      </w:tr>
    </w:tbl>
    <w:p w14:paraId="1DDCD18D" w14:textId="77777777" w:rsidR="001C5F7A" w:rsidRPr="00575C7C" w:rsidRDefault="001C5F7A">
      <w:pPr>
        <w:rPr>
          <w:color w:val="FF0000"/>
          <w:sz w:val="2"/>
          <w:szCs w:val="2"/>
        </w:rPr>
      </w:pPr>
    </w:p>
    <w:tbl>
      <w:tblPr>
        <w:tblStyle w:val="TableGrid"/>
        <w:tblW w:w="0" w:type="auto"/>
        <w:tblLook w:val="04A0" w:firstRow="1" w:lastRow="0" w:firstColumn="1" w:lastColumn="0" w:noHBand="0" w:noVBand="1"/>
      </w:tblPr>
      <w:tblGrid>
        <w:gridCol w:w="1096"/>
        <w:gridCol w:w="877"/>
        <w:gridCol w:w="715"/>
        <w:gridCol w:w="6418"/>
        <w:gridCol w:w="1273"/>
        <w:gridCol w:w="1614"/>
        <w:gridCol w:w="1103"/>
        <w:gridCol w:w="1100"/>
        <w:gridCol w:w="1189"/>
        <w:gridCol w:w="909"/>
        <w:gridCol w:w="781"/>
        <w:gridCol w:w="853"/>
        <w:gridCol w:w="1008"/>
      </w:tblGrid>
      <w:tr w:rsidR="00C466D3" w14:paraId="65DF01D0" w14:textId="77777777" w:rsidTr="00DB32C0">
        <w:trPr>
          <w:tblHeader/>
        </w:trPr>
        <w:tc>
          <w:tcPr>
            <w:tcW w:w="0" w:type="auto"/>
            <w:shd w:val="clear" w:color="auto" w:fill="B8CCE4" w:themeFill="accent1" w:themeFillTint="66"/>
            <w:vAlign w:val="center"/>
          </w:tcPr>
          <w:p w14:paraId="3B5FD063" w14:textId="77777777" w:rsidR="002436FF" w:rsidRPr="00C766D7" w:rsidRDefault="002436FF" w:rsidP="002436FF">
            <w:pPr>
              <w:jc w:val="center"/>
              <w:rPr>
                <w:b/>
                <w:bCs/>
                <w:sz w:val="18"/>
                <w:szCs w:val="18"/>
              </w:rPr>
            </w:pPr>
            <w:r>
              <w:rPr>
                <w:b/>
                <w:bCs/>
                <w:sz w:val="18"/>
                <w:szCs w:val="18"/>
              </w:rPr>
              <w:t>T</w:t>
            </w:r>
            <w:r w:rsidRPr="00C766D7">
              <w:rPr>
                <w:b/>
                <w:bCs/>
                <w:sz w:val="18"/>
                <w:szCs w:val="18"/>
              </w:rPr>
              <w:t>argets and Indicators</w:t>
            </w:r>
          </w:p>
        </w:tc>
        <w:tc>
          <w:tcPr>
            <w:tcW w:w="0" w:type="auto"/>
            <w:shd w:val="clear" w:color="auto" w:fill="B8CCE4" w:themeFill="accent1" w:themeFillTint="66"/>
            <w:vAlign w:val="center"/>
          </w:tcPr>
          <w:p w14:paraId="65CA2859" w14:textId="77777777" w:rsidR="002436FF" w:rsidRPr="00C766D7" w:rsidRDefault="002436FF" w:rsidP="002436FF">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B8CCE4" w:themeFill="accent1" w:themeFillTint="66"/>
            <w:vAlign w:val="center"/>
          </w:tcPr>
          <w:p w14:paraId="177ADBFD" w14:textId="77777777" w:rsidR="00C466D3" w:rsidRDefault="002436FF" w:rsidP="0094203B">
            <w:pPr>
              <w:rPr>
                <w:b/>
                <w:bCs/>
                <w:sz w:val="18"/>
                <w:szCs w:val="18"/>
              </w:rPr>
            </w:pPr>
            <w:r w:rsidRPr="00C766D7">
              <w:rPr>
                <w:b/>
                <w:bCs/>
                <w:sz w:val="18"/>
                <w:szCs w:val="18"/>
              </w:rPr>
              <w:t xml:space="preserve">Tier </w:t>
            </w:r>
          </w:p>
          <w:p w14:paraId="5F5643D6" w14:textId="77777777" w:rsidR="00C466D3" w:rsidRDefault="002436FF" w:rsidP="0094203B">
            <w:pPr>
              <w:rPr>
                <w:b/>
                <w:bCs/>
                <w:sz w:val="18"/>
                <w:szCs w:val="18"/>
              </w:rPr>
            </w:pPr>
            <w:r w:rsidRPr="00C766D7">
              <w:rPr>
                <w:b/>
                <w:bCs/>
                <w:sz w:val="18"/>
                <w:szCs w:val="18"/>
              </w:rPr>
              <w:t>Classifi</w:t>
            </w:r>
            <w:r>
              <w:rPr>
                <w:b/>
                <w:bCs/>
                <w:sz w:val="18"/>
                <w:szCs w:val="18"/>
              </w:rPr>
              <w:t>-</w:t>
            </w:r>
          </w:p>
          <w:p w14:paraId="0B755B29" w14:textId="77777777" w:rsidR="002436FF" w:rsidRPr="00C766D7" w:rsidRDefault="002436FF" w:rsidP="0094203B">
            <w:pPr>
              <w:rPr>
                <w:b/>
                <w:bCs/>
                <w:sz w:val="18"/>
                <w:szCs w:val="18"/>
              </w:rPr>
            </w:pPr>
            <w:r w:rsidRPr="00C766D7">
              <w:rPr>
                <w:b/>
                <w:bCs/>
                <w:sz w:val="18"/>
                <w:szCs w:val="18"/>
              </w:rPr>
              <w:t>cations</w:t>
            </w:r>
          </w:p>
        </w:tc>
        <w:tc>
          <w:tcPr>
            <w:tcW w:w="0" w:type="auto"/>
            <w:shd w:val="clear" w:color="auto" w:fill="B8CCE4" w:themeFill="accent1" w:themeFillTint="66"/>
            <w:vAlign w:val="center"/>
          </w:tcPr>
          <w:p w14:paraId="3036F562" w14:textId="77777777" w:rsidR="002436FF" w:rsidRPr="00C766D7" w:rsidRDefault="002436FF" w:rsidP="002436FF">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B8CCE4" w:themeFill="accent1" w:themeFillTint="66"/>
            <w:vAlign w:val="center"/>
          </w:tcPr>
          <w:p w14:paraId="47708100" w14:textId="77777777" w:rsidR="002436FF" w:rsidRPr="00C766D7" w:rsidRDefault="002436FF" w:rsidP="002436FF">
            <w:pPr>
              <w:jc w:val="center"/>
              <w:rPr>
                <w:b/>
                <w:bCs/>
                <w:sz w:val="18"/>
                <w:szCs w:val="18"/>
              </w:rPr>
            </w:pPr>
            <w:r w:rsidRPr="00C766D7">
              <w:rPr>
                <w:b/>
                <w:bCs/>
                <w:sz w:val="18"/>
                <w:szCs w:val="18"/>
              </w:rPr>
              <w:t>UN Suggested activities of data generation</w:t>
            </w:r>
          </w:p>
        </w:tc>
        <w:tc>
          <w:tcPr>
            <w:tcW w:w="0" w:type="auto"/>
            <w:shd w:val="clear" w:color="auto" w:fill="B8CCE4" w:themeFill="accent1" w:themeFillTint="66"/>
            <w:vAlign w:val="center"/>
          </w:tcPr>
          <w:p w14:paraId="4211B305" w14:textId="77777777" w:rsidR="0094203B" w:rsidRDefault="002436FF" w:rsidP="002436FF">
            <w:pPr>
              <w:jc w:val="center"/>
              <w:rPr>
                <w:b/>
                <w:bCs/>
                <w:sz w:val="18"/>
                <w:szCs w:val="18"/>
              </w:rPr>
            </w:pPr>
            <w:r w:rsidRPr="00C766D7">
              <w:rPr>
                <w:b/>
                <w:bCs/>
                <w:sz w:val="18"/>
                <w:szCs w:val="18"/>
              </w:rPr>
              <w:t xml:space="preserve">UN </w:t>
            </w:r>
          </w:p>
          <w:p w14:paraId="3C0D8E60" w14:textId="77777777" w:rsidR="0094203B" w:rsidRDefault="002436FF" w:rsidP="002436FF">
            <w:pPr>
              <w:jc w:val="center"/>
              <w:rPr>
                <w:b/>
                <w:bCs/>
                <w:sz w:val="18"/>
                <w:szCs w:val="18"/>
              </w:rPr>
            </w:pPr>
            <w:r w:rsidRPr="00C766D7">
              <w:rPr>
                <w:b/>
                <w:bCs/>
                <w:sz w:val="18"/>
                <w:szCs w:val="18"/>
              </w:rPr>
              <w:t xml:space="preserve">Suggested </w:t>
            </w:r>
          </w:p>
          <w:p w14:paraId="6F1BBE42" w14:textId="77777777" w:rsidR="0094203B" w:rsidRDefault="0094203B" w:rsidP="002436FF">
            <w:pPr>
              <w:jc w:val="center"/>
              <w:rPr>
                <w:b/>
                <w:bCs/>
                <w:sz w:val="18"/>
                <w:szCs w:val="18"/>
              </w:rPr>
            </w:pPr>
            <w:r w:rsidRPr="00C766D7">
              <w:rPr>
                <w:b/>
                <w:bCs/>
                <w:sz w:val="18"/>
                <w:szCs w:val="18"/>
              </w:rPr>
              <w:t>D</w:t>
            </w:r>
            <w:r w:rsidR="002436FF" w:rsidRPr="00C766D7">
              <w:rPr>
                <w:b/>
                <w:bCs/>
                <w:sz w:val="18"/>
                <w:szCs w:val="18"/>
              </w:rPr>
              <w:t>ata</w:t>
            </w:r>
          </w:p>
          <w:p w14:paraId="165ECB76" w14:textId="77777777" w:rsidR="002436FF" w:rsidRPr="00C766D7" w:rsidRDefault="002436FF" w:rsidP="002436FF">
            <w:pPr>
              <w:jc w:val="center"/>
              <w:rPr>
                <w:b/>
                <w:bCs/>
                <w:sz w:val="18"/>
                <w:szCs w:val="18"/>
              </w:rPr>
            </w:pPr>
            <w:r w:rsidRPr="00C766D7">
              <w:rPr>
                <w:b/>
                <w:bCs/>
                <w:sz w:val="18"/>
                <w:szCs w:val="18"/>
              </w:rPr>
              <w:t xml:space="preserve"> provider</w:t>
            </w:r>
          </w:p>
        </w:tc>
        <w:tc>
          <w:tcPr>
            <w:tcW w:w="0" w:type="auto"/>
            <w:shd w:val="clear" w:color="auto" w:fill="B8CCE4" w:themeFill="accent1" w:themeFillTint="66"/>
            <w:vAlign w:val="center"/>
          </w:tcPr>
          <w:p w14:paraId="4DB02D7B" w14:textId="77777777" w:rsidR="002436FF" w:rsidRPr="00C766D7" w:rsidRDefault="002436FF" w:rsidP="002436FF">
            <w:pPr>
              <w:jc w:val="center"/>
              <w:rPr>
                <w:b/>
                <w:bCs/>
                <w:sz w:val="18"/>
                <w:szCs w:val="18"/>
              </w:rPr>
            </w:pPr>
            <w:r w:rsidRPr="00C766D7">
              <w:rPr>
                <w:b/>
                <w:bCs/>
                <w:sz w:val="18"/>
                <w:szCs w:val="18"/>
              </w:rPr>
              <w:t>Recent Available Data Sources</w:t>
            </w:r>
          </w:p>
        </w:tc>
        <w:tc>
          <w:tcPr>
            <w:tcW w:w="0" w:type="auto"/>
            <w:shd w:val="clear" w:color="auto" w:fill="B8CCE4" w:themeFill="accent1" w:themeFillTint="66"/>
            <w:vAlign w:val="center"/>
          </w:tcPr>
          <w:p w14:paraId="7ACDA9B0" w14:textId="77777777" w:rsidR="002436FF" w:rsidRPr="00C766D7" w:rsidRDefault="002436FF" w:rsidP="002436FF">
            <w:pPr>
              <w:jc w:val="center"/>
              <w:rPr>
                <w:b/>
                <w:bCs/>
                <w:sz w:val="18"/>
                <w:szCs w:val="18"/>
              </w:rPr>
            </w:pPr>
            <w:r w:rsidRPr="00C766D7">
              <w:rPr>
                <w:b/>
                <w:bCs/>
                <w:sz w:val="18"/>
                <w:szCs w:val="18"/>
              </w:rPr>
              <w:t>Possible future Sources</w:t>
            </w:r>
          </w:p>
        </w:tc>
        <w:tc>
          <w:tcPr>
            <w:tcW w:w="0" w:type="auto"/>
            <w:shd w:val="clear" w:color="auto" w:fill="B8CCE4" w:themeFill="accent1" w:themeFillTint="66"/>
            <w:vAlign w:val="center"/>
          </w:tcPr>
          <w:p w14:paraId="3EF3B541" w14:textId="77777777" w:rsidR="002436FF" w:rsidRPr="00C766D7" w:rsidRDefault="002436FF" w:rsidP="002436FF">
            <w:pPr>
              <w:jc w:val="center"/>
              <w:rPr>
                <w:b/>
                <w:bCs/>
                <w:sz w:val="18"/>
                <w:szCs w:val="18"/>
              </w:rPr>
            </w:pPr>
            <w:r>
              <w:rPr>
                <w:b/>
                <w:bCs/>
                <w:sz w:val="18"/>
                <w:szCs w:val="18"/>
              </w:rPr>
              <w:t>Minimum Disaggregation Dimensions and Categories</w:t>
            </w:r>
          </w:p>
        </w:tc>
        <w:tc>
          <w:tcPr>
            <w:tcW w:w="0" w:type="auto"/>
            <w:shd w:val="clear" w:color="auto" w:fill="B8CCE4" w:themeFill="accent1" w:themeFillTint="66"/>
            <w:vAlign w:val="center"/>
          </w:tcPr>
          <w:p w14:paraId="267D633E" w14:textId="77777777" w:rsidR="002436FF" w:rsidRPr="00C766D7" w:rsidRDefault="002436FF" w:rsidP="002436FF">
            <w:pPr>
              <w:jc w:val="center"/>
              <w:rPr>
                <w:b/>
                <w:bCs/>
                <w:sz w:val="18"/>
                <w:szCs w:val="18"/>
              </w:rPr>
            </w:pPr>
            <w:r w:rsidRPr="00C766D7">
              <w:rPr>
                <w:b/>
                <w:bCs/>
                <w:sz w:val="18"/>
                <w:szCs w:val="18"/>
              </w:rPr>
              <w:t>Frequency of data generation</w:t>
            </w:r>
          </w:p>
        </w:tc>
        <w:tc>
          <w:tcPr>
            <w:tcW w:w="0" w:type="auto"/>
            <w:shd w:val="clear" w:color="auto" w:fill="B8CCE4" w:themeFill="accent1" w:themeFillTint="66"/>
            <w:vAlign w:val="center"/>
          </w:tcPr>
          <w:p w14:paraId="33551931" w14:textId="77777777" w:rsidR="0094203B" w:rsidRDefault="002436FF" w:rsidP="002436FF">
            <w:pPr>
              <w:jc w:val="center"/>
              <w:rPr>
                <w:b/>
                <w:bCs/>
                <w:sz w:val="18"/>
                <w:szCs w:val="18"/>
              </w:rPr>
            </w:pPr>
            <w:r w:rsidRPr="00C766D7">
              <w:rPr>
                <w:b/>
                <w:bCs/>
                <w:sz w:val="18"/>
                <w:szCs w:val="18"/>
              </w:rPr>
              <w:t xml:space="preserve">Local </w:t>
            </w:r>
          </w:p>
          <w:p w14:paraId="62B43435" w14:textId="77777777" w:rsidR="0094203B" w:rsidRDefault="002436FF" w:rsidP="002436FF">
            <w:pPr>
              <w:jc w:val="center"/>
              <w:rPr>
                <w:b/>
                <w:bCs/>
                <w:sz w:val="18"/>
                <w:szCs w:val="18"/>
              </w:rPr>
            </w:pPr>
            <w:r w:rsidRPr="00C766D7">
              <w:rPr>
                <w:b/>
                <w:bCs/>
                <w:sz w:val="18"/>
                <w:szCs w:val="18"/>
              </w:rPr>
              <w:t xml:space="preserve">Indicator </w:t>
            </w:r>
          </w:p>
          <w:p w14:paraId="3643B311" w14:textId="77777777" w:rsidR="002436FF" w:rsidRPr="00C766D7" w:rsidRDefault="002436FF" w:rsidP="002436FF">
            <w:pPr>
              <w:jc w:val="center"/>
              <w:rPr>
                <w:b/>
                <w:bCs/>
                <w:sz w:val="18"/>
                <w:szCs w:val="18"/>
              </w:rPr>
            </w:pPr>
            <w:r w:rsidRPr="00C766D7">
              <w:rPr>
                <w:b/>
                <w:bCs/>
                <w:sz w:val="18"/>
                <w:szCs w:val="18"/>
              </w:rPr>
              <w:t>Group</w:t>
            </w:r>
          </w:p>
        </w:tc>
        <w:tc>
          <w:tcPr>
            <w:tcW w:w="0" w:type="auto"/>
            <w:shd w:val="clear" w:color="auto" w:fill="B8CCE4" w:themeFill="accent1" w:themeFillTint="66"/>
          </w:tcPr>
          <w:p w14:paraId="5E395689" w14:textId="77777777" w:rsidR="002436FF" w:rsidRDefault="002436FF" w:rsidP="002436FF">
            <w:pPr>
              <w:jc w:val="center"/>
              <w:rPr>
                <w:b/>
                <w:bCs/>
                <w:sz w:val="18"/>
                <w:szCs w:val="18"/>
              </w:rPr>
            </w:pPr>
            <w:r w:rsidRPr="00BE3A94">
              <w:rPr>
                <w:b/>
                <w:bCs/>
                <w:sz w:val="18"/>
                <w:szCs w:val="18"/>
              </w:rPr>
              <w:t>Deadline for Data providing</w:t>
            </w:r>
          </w:p>
        </w:tc>
        <w:tc>
          <w:tcPr>
            <w:tcW w:w="0" w:type="auto"/>
            <w:shd w:val="clear" w:color="auto" w:fill="B8CCE4" w:themeFill="accent1" w:themeFillTint="66"/>
            <w:vAlign w:val="center"/>
          </w:tcPr>
          <w:p w14:paraId="58B9AAEC" w14:textId="77777777" w:rsidR="002436FF" w:rsidRPr="00C766D7" w:rsidRDefault="002436FF" w:rsidP="002436FF">
            <w:pPr>
              <w:jc w:val="center"/>
              <w:rPr>
                <w:b/>
                <w:bCs/>
                <w:sz w:val="18"/>
                <w:szCs w:val="18"/>
              </w:rPr>
            </w:pPr>
            <w:r>
              <w:rPr>
                <w:b/>
                <w:bCs/>
                <w:sz w:val="18"/>
                <w:szCs w:val="18"/>
              </w:rPr>
              <w:t>Remarks</w:t>
            </w:r>
          </w:p>
        </w:tc>
      </w:tr>
      <w:tr w:rsidR="00C466D3" w:rsidRPr="007E6DF7" w14:paraId="1C780566" w14:textId="77777777" w:rsidTr="00DB32C0">
        <w:trPr>
          <w:tblHeader/>
        </w:trPr>
        <w:tc>
          <w:tcPr>
            <w:tcW w:w="0" w:type="auto"/>
            <w:shd w:val="clear" w:color="auto" w:fill="548DD4" w:themeFill="text2" w:themeFillTint="99"/>
          </w:tcPr>
          <w:p w14:paraId="37557FD9" w14:textId="77777777" w:rsidR="002436FF" w:rsidRPr="007E6DF7" w:rsidRDefault="002436FF" w:rsidP="002436FF">
            <w:pPr>
              <w:jc w:val="center"/>
              <w:rPr>
                <w:b/>
                <w:bCs/>
                <w:sz w:val="18"/>
                <w:szCs w:val="18"/>
              </w:rPr>
            </w:pPr>
            <w:r w:rsidRPr="007E6DF7">
              <w:rPr>
                <w:b/>
                <w:bCs/>
                <w:sz w:val="18"/>
                <w:szCs w:val="18"/>
              </w:rPr>
              <w:t>1</w:t>
            </w:r>
          </w:p>
        </w:tc>
        <w:tc>
          <w:tcPr>
            <w:tcW w:w="0" w:type="auto"/>
            <w:shd w:val="clear" w:color="auto" w:fill="548DD4" w:themeFill="text2" w:themeFillTint="99"/>
          </w:tcPr>
          <w:p w14:paraId="66168843" w14:textId="77777777" w:rsidR="002436FF" w:rsidRPr="007E6DF7" w:rsidRDefault="002436FF" w:rsidP="002436FF">
            <w:pPr>
              <w:jc w:val="center"/>
              <w:rPr>
                <w:b/>
                <w:bCs/>
                <w:sz w:val="18"/>
                <w:szCs w:val="18"/>
              </w:rPr>
            </w:pPr>
            <w:r w:rsidRPr="007E6DF7">
              <w:rPr>
                <w:b/>
                <w:bCs/>
                <w:sz w:val="18"/>
                <w:szCs w:val="18"/>
              </w:rPr>
              <w:t>2</w:t>
            </w:r>
          </w:p>
        </w:tc>
        <w:tc>
          <w:tcPr>
            <w:tcW w:w="0" w:type="auto"/>
            <w:shd w:val="clear" w:color="auto" w:fill="548DD4" w:themeFill="text2" w:themeFillTint="99"/>
          </w:tcPr>
          <w:p w14:paraId="097669C7" w14:textId="77777777" w:rsidR="002436FF" w:rsidRPr="007E6DF7" w:rsidRDefault="002436FF" w:rsidP="002436FF">
            <w:pPr>
              <w:jc w:val="center"/>
              <w:rPr>
                <w:b/>
                <w:bCs/>
                <w:sz w:val="18"/>
                <w:szCs w:val="18"/>
              </w:rPr>
            </w:pPr>
            <w:r w:rsidRPr="007E6DF7">
              <w:rPr>
                <w:b/>
                <w:bCs/>
                <w:sz w:val="18"/>
                <w:szCs w:val="18"/>
              </w:rPr>
              <w:t>3</w:t>
            </w:r>
          </w:p>
        </w:tc>
        <w:tc>
          <w:tcPr>
            <w:tcW w:w="0" w:type="auto"/>
            <w:shd w:val="clear" w:color="auto" w:fill="548DD4" w:themeFill="text2" w:themeFillTint="99"/>
          </w:tcPr>
          <w:p w14:paraId="1EC4BF4D" w14:textId="77777777" w:rsidR="002436FF" w:rsidRPr="007E6DF7" w:rsidRDefault="002436FF" w:rsidP="002436FF">
            <w:pPr>
              <w:jc w:val="center"/>
              <w:rPr>
                <w:b/>
                <w:bCs/>
                <w:sz w:val="18"/>
                <w:szCs w:val="18"/>
              </w:rPr>
            </w:pPr>
            <w:r w:rsidRPr="007E6DF7">
              <w:rPr>
                <w:b/>
                <w:bCs/>
                <w:sz w:val="18"/>
                <w:szCs w:val="18"/>
              </w:rPr>
              <w:t>4</w:t>
            </w:r>
          </w:p>
        </w:tc>
        <w:tc>
          <w:tcPr>
            <w:tcW w:w="0" w:type="auto"/>
            <w:shd w:val="clear" w:color="auto" w:fill="548DD4" w:themeFill="text2" w:themeFillTint="99"/>
          </w:tcPr>
          <w:p w14:paraId="7CEBB5CD" w14:textId="77777777" w:rsidR="002436FF" w:rsidRPr="007E6DF7" w:rsidRDefault="002436FF" w:rsidP="002436FF">
            <w:pPr>
              <w:jc w:val="center"/>
              <w:rPr>
                <w:b/>
                <w:bCs/>
                <w:sz w:val="18"/>
                <w:szCs w:val="18"/>
              </w:rPr>
            </w:pPr>
            <w:r w:rsidRPr="007E6DF7">
              <w:rPr>
                <w:b/>
                <w:bCs/>
                <w:sz w:val="18"/>
                <w:szCs w:val="18"/>
              </w:rPr>
              <w:t>5</w:t>
            </w:r>
          </w:p>
        </w:tc>
        <w:tc>
          <w:tcPr>
            <w:tcW w:w="0" w:type="auto"/>
            <w:shd w:val="clear" w:color="auto" w:fill="548DD4" w:themeFill="text2" w:themeFillTint="99"/>
          </w:tcPr>
          <w:p w14:paraId="79AA6897" w14:textId="77777777" w:rsidR="002436FF" w:rsidRPr="007E6DF7" w:rsidRDefault="002436FF" w:rsidP="002436FF">
            <w:pPr>
              <w:jc w:val="center"/>
              <w:rPr>
                <w:b/>
                <w:bCs/>
                <w:sz w:val="18"/>
                <w:szCs w:val="18"/>
              </w:rPr>
            </w:pPr>
            <w:r w:rsidRPr="007E6DF7">
              <w:rPr>
                <w:b/>
                <w:bCs/>
                <w:sz w:val="18"/>
                <w:szCs w:val="18"/>
              </w:rPr>
              <w:t>6</w:t>
            </w:r>
          </w:p>
        </w:tc>
        <w:tc>
          <w:tcPr>
            <w:tcW w:w="0" w:type="auto"/>
            <w:shd w:val="clear" w:color="auto" w:fill="548DD4" w:themeFill="text2" w:themeFillTint="99"/>
          </w:tcPr>
          <w:p w14:paraId="197B5115" w14:textId="77777777" w:rsidR="002436FF" w:rsidRPr="007E6DF7" w:rsidRDefault="002436FF" w:rsidP="002436FF">
            <w:pPr>
              <w:jc w:val="center"/>
              <w:rPr>
                <w:b/>
                <w:bCs/>
                <w:sz w:val="18"/>
                <w:szCs w:val="18"/>
              </w:rPr>
            </w:pPr>
            <w:r w:rsidRPr="007E6DF7">
              <w:rPr>
                <w:b/>
                <w:bCs/>
                <w:sz w:val="18"/>
                <w:szCs w:val="18"/>
              </w:rPr>
              <w:t>7</w:t>
            </w:r>
          </w:p>
        </w:tc>
        <w:tc>
          <w:tcPr>
            <w:tcW w:w="0" w:type="auto"/>
            <w:shd w:val="clear" w:color="auto" w:fill="548DD4" w:themeFill="text2" w:themeFillTint="99"/>
          </w:tcPr>
          <w:p w14:paraId="2AE25F95" w14:textId="77777777" w:rsidR="002436FF" w:rsidRPr="007E6DF7" w:rsidRDefault="002436FF" w:rsidP="002436FF">
            <w:pPr>
              <w:jc w:val="center"/>
              <w:rPr>
                <w:b/>
                <w:bCs/>
                <w:sz w:val="18"/>
                <w:szCs w:val="18"/>
              </w:rPr>
            </w:pPr>
            <w:r w:rsidRPr="007E6DF7">
              <w:rPr>
                <w:b/>
                <w:bCs/>
                <w:sz w:val="18"/>
                <w:szCs w:val="18"/>
              </w:rPr>
              <w:t>8</w:t>
            </w:r>
          </w:p>
        </w:tc>
        <w:tc>
          <w:tcPr>
            <w:tcW w:w="0" w:type="auto"/>
            <w:shd w:val="clear" w:color="auto" w:fill="548DD4" w:themeFill="text2" w:themeFillTint="99"/>
          </w:tcPr>
          <w:p w14:paraId="49799F82" w14:textId="77777777" w:rsidR="002436FF" w:rsidRPr="007E6DF7" w:rsidRDefault="002436FF" w:rsidP="002436FF">
            <w:pPr>
              <w:jc w:val="center"/>
              <w:rPr>
                <w:b/>
                <w:bCs/>
                <w:sz w:val="18"/>
                <w:szCs w:val="18"/>
              </w:rPr>
            </w:pPr>
            <w:r w:rsidRPr="007E6DF7">
              <w:rPr>
                <w:b/>
                <w:bCs/>
                <w:sz w:val="18"/>
                <w:szCs w:val="18"/>
              </w:rPr>
              <w:t>9</w:t>
            </w:r>
          </w:p>
        </w:tc>
        <w:tc>
          <w:tcPr>
            <w:tcW w:w="0" w:type="auto"/>
            <w:shd w:val="clear" w:color="auto" w:fill="548DD4" w:themeFill="text2" w:themeFillTint="99"/>
          </w:tcPr>
          <w:p w14:paraId="59E929E6" w14:textId="77777777" w:rsidR="002436FF" w:rsidRPr="007E6DF7" w:rsidRDefault="002436FF" w:rsidP="002436FF">
            <w:pPr>
              <w:jc w:val="center"/>
              <w:rPr>
                <w:b/>
                <w:bCs/>
                <w:sz w:val="18"/>
                <w:szCs w:val="18"/>
              </w:rPr>
            </w:pPr>
            <w:r w:rsidRPr="007E6DF7">
              <w:rPr>
                <w:b/>
                <w:bCs/>
                <w:sz w:val="18"/>
                <w:szCs w:val="18"/>
              </w:rPr>
              <w:t>10</w:t>
            </w:r>
          </w:p>
        </w:tc>
        <w:tc>
          <w:tcPr>
            <w:tcW w:w="0" w:type="auto"/>
            <w:shd w:val="clear" w:color="auto" w:fill="548DD4" w:themeFill="text2" w:themeFillTint="99"/>
          </w:tcPr>
          <w:p w14:paraId="60F93711" w14:textId="77777777" w:rsidR="002436FF" w:rsidRPr="007E6DF7" w:rsidRDefault="002436FF" w:rsidP="002436FF">
            <w:pPr>
              <w:jc w:val="center"/>
              <w:rPr>
                <w:b/>
                <w:bCs/>
                <w:sz w:val="18"/>
                <w:szCs w:val="18"/>
              </w:rPr>
            </w:pPr>
            <w:r w:rsidRPr="007E6DF7">
              <w:rPr>
                <w:b/>
                <w:bCs/>
                <w:sz w:val="18"/>
                <w:szCs w:val="18"/>
              </w:rPr>
              <w:t>11</w:t>
            </w:r>
          </w:p>
        </w:tc>
        <w:tc>
          <w:tcPr>
            <w:tcW w:w="0" w:type="auto"/>
            <w:shd w:val="clear" w:color="auto" w:fill="548DD4" w:themeFill="text2" w:themeFillTint="99"/>
          </w:tcPr>
          <w:p w14:paraId="53C27133" w14:textId="77777777" w:rsidR="002436FF" w:rsidRPr="007E6DF7" w:rsidRDefault="002436FF" w:rsidP="002436FF">
            <w:pPr>
              <w:jc w:val="center"/>
              <w:rPr>
                <w:b/>
                <w:bCs/>
                <w:sz w:val="18"/>
                <w:szCs w:val="18"/>
                <w:lang w:bidi="bn-BD"/>
              </w:rPr>
            </w:pPr>
            <w:r w:rsidRPr="007E6DF7">
              <w:rPr>
                <w:rFonts w:hint="cs"/>
                <w:b/>
                <w:bCs/>
                <w:sz w:val="18"/>
                <w:szCs w:val="18"/>
                <w:cs/>
                <w:lang w:bidi="bn-BD"/>
              </w:rPr>
              <w:t>12</w:t>
            </w:r>
          </w:p>
        </w:tc>
        <w:tc>
          <w:tcPr>
            <w:tcW w:w="0" w:type="auto"/>
            <w:shd w:val="clear" w:color="auto" w:fill="548DD4" w:themeFill="text2" w:themeFillTint="99"/>
          </w:tcPr>
          <w:p w14:paraId="657D8C30" w14:textId="77777777" w:rsidR="002436FF" w:rsidRPr="007E6DF7" w:rsidRDefault="002436FF" w:rsidP="002436FF">
            <w:pPr>
              <w:jc w:val="center"/>
              <w:rPr>
                <w:b/>
                <w:bCs/>
                <w:sz w:val="18"/>
                <w:szCs w:val="18"/>
                <w:lang w:bidi="bn-BD"/>
              </w:rPr>
            </w:pPr>
            <w:r w:rsidRPr="007E6DF7">
              <w:rPr>
                <w:b/>
                <w:bCs/>
                <w:sz w:val="18"/>
                <w:szCs w:val="18"/>
              </w:rPr>
              <w:t>1</w:t>
            </w:r>
            <w:r w:rsidRPr="007E6DF7">
              <w:rPr>
                <w:rFonts w:hint="cs"/>
                <w:b/>
                <w:bCs/>
                <w:sz w:val="18"/>
                <w:szCs w:val="18"/>
                <w:cs/>
                <w:lang w:bidi="bn-BD"/>
              </w:rPr>
              <w:t>3</w:t>
            </w:r>
          </w:p>
        </w:tc>
      </w:tr>
      <w:tr w:rsidR="00A64F0D" w14:paraId="328F2980" w14:textId="77777777" w:rsidTr="006856A8">
        <w:tc>
          <w:tcPr>
            <w:tcW w:w="0" w:type="auto"/>
            <w:gridSpan w:val="13"/>
          </w:tcPr>
          <w:p w14:paraId="5143D6AA" w14:textId="77777777" w:rsidR="00A64F0D" w:rsidRDefault="00A64F0D" w:rsidP="002436FF">
            <w:pPr>
              <w:rPr>
                <w:color w:val="FF0000"/>
                <w:sz w:val="32"/>
                <w:szCs w:val="32"/>
              </w:rPr>
            </w:pPr>
            <w:r>
              <w:rPr>
                <w:color w:val="0070C0"/>
                <w:sz w:val="30"/>
                <w:szCs w:val="30"/>
              </w:rPr>
              <w:t xml:space="preserve">Target </w:t>
            </w:r>
            <w:r w:rsidRPr="006429A5">
              <w:rPr>
                <w:b/>
                <w:bCs/>
                <w:color w:val="0070C0"/>
                <w:sz w:val="30"/>
                <w:szCs w:val="30"/>
                <w:lang w:bidi="bn-BD"/>
              </w:rPr>
              <w:t>9.1 Develop quality, reliable, sustainable and resilient infrastructure, including regional and trans-border infrastructure, to support economic development and human well-being, with a focus on affordable and equitable access for all</w:t>
            </w:r>
          </w:p>
        </w:tc>
      </w:tr>
      <w:tr w:rsidR="0036416A" w14:paraId="580DCBFC" w14:textId="77777777" w:rsidTr="00DB32C0">
        <w:tc>
          <w:tcPr>
            <w:tcW w:w="0" w:type="auto"/>
          </w:tcPr>
          <w:p w14:paraId="3937E300" w14:textId="77777777" w:rsidR="0036416A" w:rsidRDefault="0036416A" w:rsidP="0036416A">
            <w:pPr>
              <w:pStyle w:val="NoSpacing"/>
            </w:pPr>
            <w:r w:rsidRPr="00292850">
              <w:t xml:space="preserve">9.1.1 Proportion of </w:t>
            </w:r>
            <w:r w:rsidRPr="00292850">
              <w:lastRenderedPageBreak/>
              <w:t>the rural population who live within 2 km of an all-season road</w:t>
            </w:r>
          </w:p>
        </w:tc>
        <w:tc>
          <w:tcPr>
            <w:tcW w:w="0" w:type="auto"/>
          </w:tcPr>
          <w:p w14:paraId="300C4620" w14:textId="77777777" w:rsidR="0036416A" w:rsidRDefault="0036416A" w:rsidP="0036416A">
            <w:pPr>
              <w:pStyle w:val="NoSpacing"/>
            </w:pPr>
            <w:r w:rsidRPr="007A7507">
              <w:lastRenderedPageBreak/>
              <w:t>World Bank</w:t>
            </w:r>
          </w:p>
          <w:p w14:paraId="61EB0C45" w14:textId="77777777" w:rsidR="0036416A" w:rsidRDefault="0036416A" w:rsidP="0036416A">
            <w:pPr>
              <w:rPr>
                <w:b/>
                <w:bCs/>
                <w:szCs w:val="20"/>
              </w:rPr>
            </w:pPr>
            <w:r w:rsidRPr="007243FC">
              <w:rPr>
                <w:b/>
                <w:bCs/>
                <w:szCs w:val="20"/>
              </w:rPr>
              <w:lastRenderedPageBreak/>
              <w:t>Partner Agencies:</w:t>
            </w:r>
          </w:p>
          <w:p w14:paraId="11429A52" w14:textId="77777777" w:rsidR="0036416A" w:rsidRDefault="0036416A" w:rsidP="0036416A">
            <w:pPr>
              <w:pStyle w:val="NoSpacing"/>
            </w:pPr>
            <w:r>
              <w:t>UNEP,</w:t>
            </w:r>
          </w:p>
          <w:p w14:paraId="4326FACE" w14:textId="77777777" w:rsidR="0036416A" w:rsidRDefault="0036416A" w:rsidP="0036416A">
            <w:pPr>
              <w:pStyle w:val="NoSpacing"/>
            </w:pPr>
            <w:r>
              <w:t>UNECE,</w:t>
            </w:r>
          </w:p>
          <w:p w14:paraId="49708175" w14:textId="77777777" w:rsidR="0036416A" w:rsidRDefault="0036416A" w:rsidP="0036416A">
            <w:pPr>
              <w:pStyle w:val="NoSpacing"/>
            </w:pPr>
            <w:r>
              <w:t>ADB</w:t>
            </w:r>
          </w:p>
        </w:tc>
        <w:tc>
          <w:tcPr>
            <w:tcW w:w="0" w:type="auto"/>
          </w:tcPr>
          <w:p w14:paraId="7C23506C" w14:textId="77777777" w:rsidR="0036416A" w:rsidRDefault="0036416A" w:rsidP="0036416A">
            <w:pPr>
              <w:ind w:left="970" w:hanging="970"/>
              <w:jc w:val="both"/>
              <w:rPr>
                <w:color w:val="0070C0"/>
                <w:sz w:val="30"/>
                <w:szCs w:val="30"/>
              </w:rPr>
            </w:pPr>
            <w:r w:rsidRPr="00666486">
              <w:lastRenderedPageBreak/>
              <w:t>Tier II</w:t>
            </w:r>
          </w:p>
        </w:tc>
        <w:tc>
          <w:tcPr>
            <w:tcW w:w="0" w:type="auto"/>
          </w:tcPr>
          <w:p w14:paraId="71D14727" w14:textId="77777777" w:rsidR="0036416A" w:rsidRDefault="0036416A" w:rsidP="0036416A">
            <w:pPr>
              <w:pStyle w:val="NoSpacing"/>
            </w:pPr>
            <w:r>
              <w:t>Definition:</w:t>
            </w:r>
          </w:p>
          <w:p w14:paraId="04A39031" w14:textId="77777777" w:rsidR="0036416A" w:rsidRDefault="0036416A" w:rsidP="0036416A">
            <w:pPr>
              <w:pStyle w:val="NoSpacing"/>
            </w:pPr>
            <w:r>
              <w:t xml:space="preserve">The indicator (commonly known as the Rural Access Index or RAI) measures the share of a country’s </w:t>
            </w:r>
            <w:r>
              <w:lastRenderedPageBreak/>
              <w:t xml:space="preserve">rural population that lives within 2 km of an all-season road. </w:t>
            </w:r>
          </w:p>
          <w:p w14:paraId="11DF665E" w14:textId="77777777" w:rsidR="0036416A" w:rsidRDefault="0036416A" w:rsidP="0036416A">
            <w:pPr>
              <w:pStyle w:val="NoSpacing"/>
            </w:pPr>
          </w:p>
          <w:p w14:paraId="245DD139" w14:textId="147B0781" w:rsidR="0036416A" w:rsidRDefault="0036416A" w:rsidP="0036416A">
            <w:pPr>
              <w:pStyle w:val="NoSpacing"/>
            </w:pPr>
            <w:r>
              <w:t xml:space="preserve"> </w:t>
            </w:r>
          </w:p>
          <w:p w14:paraId="3E302BDC" w14:textId="77777777" w:rsidR="0036416A" w:rsidRDefault="0036416A" w:rsidP="0036416A">
            <w:pPr>
              <w:pStyle w:val="NoSpacing"/>
            </w:pPr>
          </w:p>
          <w:p w14:paraId="590F5A95" w14:textId="77777777" w:rsidR="0036416A" w:rsidRDefault="0036416A" w:rsidP="0036416A">
            <w:pPr>
              <w:pStyle w:val="NoSpacing"/>
            </w:pPr>
            <w:r>
              <w:t xml:space="preserve">Concepts: </w:t>
            </w:r>
          </w:p>
          <w:p w14:paraId="3D12E0CB" w14:textId="77777777" w:rsidR="0036416A" w:rsidRDefault="0036416A" w:rsidP="0036416A">
            <w:pPr>
              <w:pStyle w:val="NoSpacing"/>
            </w:pPr>
            <w:r>
              <w:t xml:space="preserve">The indicator is measured by combining three sets of geospatial data: where people live, the spatial distribution of the road network, and road quality. The use of spatial data has various advantages. It can help ensure consistency across countries. The level of spatial resolution is broadly the same regardless of the size of the country or subnational boundaries. Any given norm of connectivity (for example, 2 km distance from a road) is uniquely and unambiguously applied for all countries. </w:t>
            </w:r>
          </w:p>
          <w:p w14:paraId="18469D59" w14:textId="77777777" w:rsidR="0036416A" w:rsidRDefault="0036416A" w:rsidP="0036416A">
            <w:pPr>
              <w:pStyle w:val="NoSpacing"/>
            </w:pPr>
          </w:p>
          <w:p w14:paraId="680F0B63" w14:textId="77777777" w:rsidR="0036416A" w:rsidRDefault="0036416A" w:rsidP="0036416A">
            <w:pPr>
              <w:pStyle w:val="NoSpacing"/>
            </w:pPr>
            <w:r>
              <w:t xml:space="preserve">Population Distribution - Quality population distribution data are essential for correct measurement of rural access. In some countries, census data is available in a geospatially detailed, reliable format. For other countries, population distribution data sets have been developed by the international research community, interpreting subnational census data through various modelling techniques. For the RAI, the WorldPop has been found to provide the best estimate. </w:t>
            </w:r>
          </w:p>
          <w:p w14:paraId="2434CDAD" w14:textId="77777777" w:rsidR="0036416A" w:rsidRDefault="0036416A" w:rsidP="0036416A">
            <w:pPr>
              <w:pStyle w:val="NoSpacing"/>
            </w:pPr>
          </w:p>
          <w:p w14:paraId="18C3313A" w14:textId="77777777" w:rsidR="0036416A" w:rsidRDefault="0036416A" w:rsidP="0036416A">
            <w:pPr>
              <w:pStyle w:val="NoSpacing"/>
            </w:pPr>
            <w:r>
              <w:t xml:space="preserve">Rural-Urban Definition – Related to population distribution data, an important challenge facing the index is the need for a consistent and reliable urban and rural definition to exclude urban areas from the calculation. The inclusion of urban areas would create a substantial upward bias in the RAI, because most urban residents have “access to roads,” no matter how it is defined. Ideally, spatial data determining urban-rural boundaries are needed at a similar level of resolution as the population. As such data may rely on different definitions in different </w:t>
            </w:r>
            <w:proofErr w:type="gramStart"/>
            <w:r>
              <w:t>countries,</w:t>
            </w:r>
            <w:proofErr w:type="gramEnd"/>
            <w:r>
              <w:t xml:space="preserve"> globally produced urban extents may be used, such as the Global Urban Rural Mapping Project.</w:t>
            </w:r>
          </w:p>
          <w:p w14:paraId="13444D93" w14:textId="77777777" w:rsidR="0036416A" w:rsidRDefault="0036416A" w:rsidP="0036416A">
            <w:pPr>
              <w:pStyle w:val="NoSpacing"/>
            </w:pPr>
          </w:p>
          <w:p w14:paraId="3E60A92A" w14:textId="77777777" w:rsidR="0036416A" w:rsidRDefault="0036416A" w:rsidP="0036416A">
            <w:pPr>
              <w:pStyle w:val="NoSpacing"/>
            </w:pPr>
            <w:r>
              <w:t xml:space="preserve">Road Network Data – Data on road locations may come from a number of sources. Ideally government data are used, as they are consistent with the road network for which road agencies are responsible and are relatively easily merged with other operational databases. In countries where the road location data may not be detailed enough or entirely missing, alternative data sources may be available, such as the open source Open Street Map. </w:t>
            </w:r>
          </w:p>
          <w:p w14:paraId="1D4682E8" w14:textId="77777777" w:rsidR="0036416A" w:rsidRDefault="0036416A" w:rsidP="0036416A">
            <w:pPr>
              <w:pStyle w:val="NoSpacing"/>
            </w:pPr>
          </w:p>
          <w:p w14:paraId="3518BF2C" w14:textId="77777777" w:rsidR="0036416A" w:rsidRDefault="0036416A" w:rsidP="0036416A">
            <w:pPr>
              <w:pStyle w:val="NoSpacing"/>
            </w:pPr>
            <w:r>
              <w:t xml:space="preserve">Road Condition Data – The principle of the “all-season” road network remains central to the original concept of measuring the RAI.  An “all-season road” is defined as a road that is motorable all year round by the prevailing means of rural transport (often a pick-up or a truck which does not have four-wheel-drive). Predictable interruptions of short duration during inclement weather (e.g. heavy rainfall) are accepted, particularly on low volume roads. It is important to determine whether access to facilities and services is available all year round, and hence the possibility of the road throughout the year is an essential factor in this aspect of contributing to poverty reduction. Information on the condition of the </w:t>
            </w:r>
            <w:r>
              <w:lastRenderedPageBreak/>
              <w:t xml:space="preserve">road network is frequently maintained by road agencies as part of their operational responsibilities. </w:t>
            </w:r>
          </w:p>
          <w:p w14:paraId="116ABA01" w14:textId="77777777" w:rsidR="0036416A" w:rsidRDefault="0036416A" w:rsidP="0036416A">
            <w:pPr>
              <w:pStyle w:val="NoSpacing"/>
            </w:pPr>
            <w:r>
              <w:t xml:space="preserve">The traditional road inventory survey can collect data on road condition, including the International Roughness Index (IRI), at a high level of information quality, to determine whether a road is “all-season”. For the purpose of the RAI, the road condition threshold is generally set at an IRI of less than 6 meters/km for paved roads, and an IRI of less than 13 meters/km for unpaved roads. When IRI is not available, other types of condition assessment may be used if comparable.  The use of smartphones with GPS are being investigated in order to accurately map local transport services routes, and identify which rural roads are open all year and hence are all-season roads. </w:t>
            </w:r>
          </w:p>
          <w:p w14:paraId="466E629F" w14:textId="77777777" w:rsidR="0036416A" w:rsidRDefault="0036416A" w:rsidP="0036416A">
            <w:pPr>
              <w:pStyle w:val="NoSpacing"/>
            </w:pPr>
          </w:p>
          <w:p w14:paraId="13CA58B0" w14:textId="77777777" w:rsidR="0036416A" w:rsidRDefault="0036416A" w:rsidP="0036416A">
            <w:pPr>
              <w:pStyle w:val="NoSpacing"/>
            </w:pPr>
            <w:r>
              <w:t>Comments and limitations:</w:t>
            </w:r>
          </w:p>
          <w:p w14:paraId="54B91321" w14:textId="77777777" w:rsidR="0036416A" w:rsidRDefault="0036416A" w:rsidP="0036416A">
            <w:pPr>
              <w:pStyle w:val="NoSpacing"/>
            </w:pPr>
            <w:r>
              <w:t>The Indicator relies substantially on data collected by road agencies and national statistics offices for their operational work. As such, its update is dependent on the frequency of update of the road condition surveys and national census. When these data sets are not from the same year, the basic principle to be followed is that a more stable data set should be used with more flexibility. For instance, a national rural roads program could dramatically improve the quality of roads in a certain locality in a relatively short term, while population data are fairly stable over five years. In such a case, the road quality data would be considered as an anchor, with the closest or adjusted population data applied.</w:t>
            </w:r>
          </w:p>
          <w:p w14:paraId="5B1FC5DC" w14:textId="77777777" w:rsidR="0036416A" w:rsidRDefault="0036416A" w:rsidP="0036416A">
            <w:pPr>
              <w:pStyle w:val="NoSpacing"/>
            </w:pPr>
          </w:p>
          <w:p w14:paraId="6CF65FD6" w14:textId="77777777" w:rsidR="0036416A" w:rsidRDefault="0036416A" w:rsidP="0036416A">
            <w:pPr>
              <w:pStyle w:val="NoSpacing"/>
            </w:pPr>
            <w:r>
              <w:t xml:space="preserve">The Indicator depends heavily on the quality of the underlying spatial data. The extent of the road network data, and how well it reflects the reality on the ground, can be a particular issue. More data are always better. Efforts are required to collect detailed road data, including tertiary or feeder roads, which may not be covered in the existing spatial road network data regardless of whether government or open data sources are used. The condition of the missing roads, however, matters; if the missing tertiary and feeder are of poor quality, their exclusion would not impact the overall results. </w:t>
            </w:r>
          </w:p>
          <w:p w14:paraId="42C7898E" w14:textId="77777777" w:rsidR="0036416A" w:rsidRDefault="0036416A" w:rsidP="0036416A">
            <w:pPr>
              <w:pStyle w:val="NoSpacing"/>
            </w:pPr>
          </w:p>
          <w:p w14:paraId="7BF4ED51" w14:textId="77777777" w:rsidR="0036416A" w:rsidRDefault="0036416A" w:rsidP="0036416A">
            <w:pPr>
              <w:pStyle w:val="NoSpacing"/>
            </w:pPr>
            <w:r>
              <w:t>For obvious reasons, the 2 km norm of access may not be as applicable in all areas. In Africa, for instance, a 5 km access band may make more sense given the low population density in many regions. However, for global consistency purposes and comparability across countries, the 2 km threshold has been maintained (equivalent to a 20-30 minute walk).</w:t>
            </w:r>
          </w:p>
          <w:p w14:paraId="7E41295E" w14:textId="77777777" w:rsidR="0036416A" w:rsidRDefault="0036416A" w:rsidP="0036416A">
            <w:pPr>
              <w:pStyle w:val="NoSpacing"/>
            </w:pPr>
          </w:p>
          <w:p w14:paraId="24DCFF8C" w14:textId="77777777" w:rsidR="0036416A" w:rsidRDefault="0036416A" w:rsidP="0036416A">
            <w:pPr>
              <w:pStyle w:val="NoSpacing"/>
            </w:pPr>
            <w:r>
              <w:t xml:space="preserve">While the RAI provides an objective benchmark for assessing access to transport in rural areas, “universal” access should not be set as a target. Where individual households are in very remote areas, attempting to reach 100% access would lead to inefficient allocation of resources. </w:t>
            </w:r>
          </w:p>
          <w:p w14:paraId="4D447633" w14:textId="77777777" w:rsidR="0036416A" w:rsidRDefault="0036416A" w:rsidP="0036416A">
            <w:pPr>
              <w:pStyle w:val="NoSpacing"/>
            </w:pPr>
          </w:p>
          <w:p w14:paraId="56776249" w14:textId="77777777" w:rsidR="0036416A" w:rsidRPr="000C4849" w:rsidRDefault="0036416A" w:rsidP="0036416A">
            <w:pPr>
              <w:pStyle w:val="NoSpacing"/>
              <w:rPr>
                <w:b/>
              </w:rPr>
            </w:pPr>
            <w:r w:rsidRPr="000C4849">
              <w:rPr>
                <w:b/>
              </w:rPr>
              <w:t>Computation Method:</w:t>
            </w:r>
          </w:p>
          <w:p w14:paraId="3D02699B" w14:textId="77777777" w:rsidR="0036416A" w:rsidRDefault="0036416A" w:rsidP="0036416A">
            <w:pPr>
              <w:pStyle w:val="NoSpacing"/>
            </w:pPr>
            <w:r>
              <w:t xml:space="preserve">The indicator is calculated by overlying three basic geospatial datasets: population distribution, road location, and road condition. The RAI is calculated as the rural population within a 2 km buffer of a good </w:t>
            </w:r>
            <w:r>
              <w:lastRenderedPageBreak/>
              <w:t xml:space="preserve">road divided by the total rural population of the country. </w:t>
            </w:r>
          </w:p>
          <w:p w14:paraId="209A260B" w14:textId="77777777" w:rsidR="0036416A" w:rsidRDefault="0036416A" w:rsidP="0036416A">
            <w:pPr>
              <w:pStyle w:val="NoSpacing"/>
            </w:pPr>
          </w:p>
          <w:p w14:paraId="54B23974" w14:textId="77777777" w:rsidR="0036416A" w:rsidRDefault="0036416A" w:rsidP="0036416A">
            <w:pPr>
              <w:pStyle w:val="NoSpacing"/>
            </w:pPr>
            <w:r>
              <w:t xml:space="preserve">First, the spatial distribution of the rural population needs to be determined. This involves obtaining the population dataset for the country, either from country sources or global datasets such as WorldPop. </w:t>
            </w:r>
          </w:p>
          <w:p w14:paraId="5452FF97" w14:textId="77777777" w:rsidR="0036416A" w:rsidRDefault="0036416A" w:rsidP="0036416A">
            <w:pPr>
              <w:pStyle w:val="NoSpacing"/>
            </w:pPr>
          </w:p>
          <w:p w14:paraId="0F2425A4" w14:textId="77777777" w:rsidR="0036416A" w:rsidRDefault="0036416A" w:rsidP="0036416A">
            <w:pPr>
              <w:pStyle w:val="NoSpacing"/>
            </w:pPr>
            <w:r>
              <w:t xml:space="preserve">Next, the road network should be merged with road condition assessments, either in terms of IRI if available, or visual assessment. Those roads with a quality not meeting the threshold of the RAI (not providing “all-season” access) should be excluded. In general, the RAI adopts a road condition threshold is generally set at an IRI of less than 6 meters/km for paved roads and an IRI of less than 13 meters/km for unpaved roads. If IRI is unavailable, alternative assessments of road condition may be used, if comparable. A 2 km buffer should be generated around the road network meeting the condition threshold. Urban areas should be removed from both the road data and the population data. </w:t>
            </w:r>
          </w:p>
          <w:p w14:paraId="78C4B9A0" w14:textId="77777777" w:rsidR="0036416A" w:rsidRDefault="0036416A" w:rsidP="0036416A">
            <w:pPr>
              <w:pStyle w:val="NoSpacing"/>
            </w:pPr>
          </w:p>
          <w:p w14:paraId="2E12200B" w14:textId="77777777" w:rsidR="0036416A" w:rsidRDefault="0036416A" w:rsidP="0036416A">
            <w:pPr>
              <w:pStyle w:val="NoSpacing"/>
            </w:pPr>
            <w:r>
              <w:t>Finally, the rural population living within the 2 km buffer should be calculated. The final RAI is determined by dividing this portion of the rural population from the total rural population.</w:t>
            </w:r>
          </w:p>
        </w:tc>
        <w:tc>
          <w:tcPr>
            <w:tcW w:w="0" w:type="auto"/>
          </w:tcPr>
          <w:p w14:paraId="086415A6" w14:textId="77777777" w:rsidR="0036416A" w:rsidRPr="00F9261C" w:rsidRDefault="0036416A" w:rsidP="0036416A">
            <w:pPr>
              <w:pStyle w:val="NoSpacing"/>
              <w:rPr>
                <w:lang w:val="en-GB"/>
              </w:rPr>
            </w:pPr>
            <w:r w:rsidRPr="00F9261C">
              <w:rPr>
                <w:lang w:val="en-GB"/>
              </w:rPr>
              <w:lastRenderedPageBreak/>
              <w:t xml:space="preserve">Source collection by the Transport </w:t>
            </w:r>
            <w:r w:rsidRPr="00F9261C">
              <w:rPr>
                <w:lang w:val="en-GB"/>
              </w:rPr>
              <w:lastRenderedPageBreak/>
              <w:t xml:space="preserve">Global Practice of the World Bank in coordination with NSOs and national road agencies. </w:t>
            </w:r>
          </w:p>
          <w:p w14:paraId="029F3802" w14:textId="77777777" w:rsidR="0036416A" w:rsidRPr="00F9261C" w:rsidRDefault="0036416A" w:rsidP="0036416A">
            <w:pPr>
              <w:pStyle w:val="NoSpacing"/>
            </w:pPr>
          </w:p>
        </w:tc>
        <w:tc>
          <w:tcPr>
            <w:tcW w:w="0" w:type="auto"/>
          </w:tcPr>
          <w:p w14:paraId="313448C5" w14:textId="77777777" w:rsidR="0036416A" w:rsidRDefault="0036416A" w:rsidP="0036416A">
            <w:pPr>
              <w:pStyle w:val="NoSpacing"/>
              <w:rPr>
                <w:color w:val="0070C0"/>
                <w:sz w:val="30"/>
                <w:szCs w:val="30"/>
              </w:rPr>
            </w:pPr>
            <w:r>
              <w:rPr>
                <w:lang w:eastAsia="en-GB"/>
              </w:rPr>
              <w:lastRenderedPageBreak/>
              <w:t>N</w:t>
            </w:r>
            <w:r w:rsidRPr="00CC489B">
              <w:rPr>
                <w:lang w:eastAsia="en-GB"/>
              </w:rPr>
              <w:t>ational road agencies and N</w:t>
            </w:r>
            <w:r>
              <w:rPr>
                <w:lang w:eastAsia="en-GB"/>
              </w:rPr>
              <w:t xml:space="preserve">ational </w:t>
            </w:r>
            <w:r w:rsidRPr="00CC489B">
              <w:rPr>
                <w:lang w:eastAsia="en-GB"/>
              </w:rPr>
              <w:t>S</w:t>
            </w:r>
            <w:r>
              <w:rPr>
                <w:lang w:eastAsia="en-GB"/>
              </w:rPr>
              <w:t xml:space="preserve">tatistical </w:t>
            </w:r>
            <w:r w:rsidRPr="00CF37BE">
              <w:lastRenderedPageBreak/>
              <w:t>Offices</w:t>
            </w:r>
          </w:p>
        </w:tc>
        <w:tc>
          <w:tcPr>
            <w:tcW w:w="0" w:type="auto"/>
          </w:tcPr>
          <w:p w14:paraId="332F133B" w14:textId="5AABF86F" w:rsidR="0036416A" w:rsidRDefault="0036416A" w:rsidP="0036416A">
            <w:pPr>
              <w:pStyle w:val="NoSpacing"/>
            </w:pPr>
          </w:p>
          <w:p w14:paraId="30018325" w14:textId="77777777" w:rsidR="0036416A" w:rsidRPr="009906CC" w:rsidRDefault="0036416A" w:rsidP="0036416A">
            <w:pPr>
              <w:pStyle w:val="NoSpacing"/>
            </w:pPr>
            <w:r>
              <w:t>LGED</w:t>
            </w:r>
          </w:p>
        </w:tc>
        <w:tc>
          <w:tcPr>
            <w:tcW w:w="0" w:type="auto"/>
          </w:tcPr>
          <w:p w14:paraId="352A24AB" w14:textId="68752FA5" w:rsidR="0036416A" w:rsidRDefault="0036416A" w:rsidP="0036416A">
            <w:pPr>
              <w:pStyle w:val="NoSpacing"/>
            </w:pPr>
          </w:p>
          <w:p w14:paraId="2CCD8BCA" w14:textId="77777777" w:rsidR="0036416A" w:rsidRPr="00741A13" w:rsidRDefault="0036416A" w:rsidP="0036416A">
            <w:pPr>
              <w:spacing w:line="276" w:lineRule="auto"/>
            </w:pPr>
            <w:r>
              <w:t>a) LGD, LGED</w:t>
            </w:r>
          </w:p>
          <w:p w14:paraId="64788BCA" w14:textId="77777777" w:rsidR="0036416A" w:rsidRPr="009906CC" w:rsidRDefault="0036416A" w:rsidP="0036416A">
            <w:pPr>
              <w:pStyle w:val="NoSpacing"/>
            </w:pPr>
            <w:r w:rsidRPr="00741A13">
              <w:lastRenderedPageBreak/>
              <w:t xml:space="preserve">b) </w:t>
            </w:r>
            <w:r>
              <w:t>(</w:t>
            </w:r>
            <w:r w:rsidRPr="00741A13">
              <w:t>APTRCS/PHC/ CPHS), SID</w:t>
            </w:r>
          </w:p>
        </w:tc>
        <w:tc>
          <w:tcPr>
            <w:tcW w:w="0" w:type="auto"/>
          </w:tcPr>
          <w:p w14:paraId="7F97A231" w14:textId="77777777" w:rsidR="0036416A" w:rsidRDefault="0036416A" w:rsidP="0036416A">
            <w:pPr>
              <w:pStyle w:val="ListParagraph"/>
              <w:numPr>
                <w:ilvl w:val="0"/>
                <w:numId w:val="51"/>
              </w:numPr>
              <w:spacing w:after="0" w:line="240" w:lineRule="auto"/>
              <w:ind w:left="130" w:hanging="130"/>
              <w:jc w:val="both"/>
              <w:rPr>
                <w:rFonts w:ascii="Tw Cen MT Condensed" w:hAnsi="Tw Cen MT Condensed"/>
                <w:color w:val="000000"/>
                <w:sz w:val="20"/>
                <w:szCs w:val="20"/>
              </w:rPr>
            </w:pPr>
            <w:r>
              <w:rPr>
                <w:rFonts w:ascii="Tw Cen MT Condensed" w:hAnsi="Tw Cen MT Condensed"/>
                <w:color w:val="000000"/>
                <w:sz w:val="20"/>
                <w:szCs w:val="20"/>
              </w:rPr>
              <w:lastRenderedPageBreak/>
              <w:t>District</w:t>
            </w:r>
          </w:p>
          <w:p w14:paraId="77361B86" w14:textId="77777777" w:rsidR="0036416A" w:rsidRDefault="0036416A" w:rsidP="0036416A">
            <w:pPr>
              <w:pStyle w:val="ListParagraph"/>
              <w:numPr>
                <w:ilvl w:val="0"/>
                <w:numId w:val="51"/>
              </w:numPr>
              <w:spacing w:after="160" w:line="256" w:lineRule="auto"/>
              <w:ind w:left="130" w:hanging="130"/>
              <w:jc w:val="both"/>
              <w:rPr>
                <w:rFonts w:ascii="Tw Cen MT Condensed" w:hAnsi="Tw Cen MT Condensed"/>
                <w:szCs w:val="20"/>
              </w:rPr>
            </w:pPr>
            <w:r>
              <w:rPr>
                <w:rFonts w:ascii="Tw Cen MT Condensed" w:hAnsi="Tw Cen MT Condensed"/>
                <w:color w:val="000000"/>
                <w:sz w:val="20"/>
                <w:szCs w:val="20"/>
              </w:rPr>
              <w:lastRenderedPageBreak/>
              <w:t>Upazila</w:t>
            </w:r>
          </w:p>
          <w:p w14:paraId="71CAC8E8" w14:textId="77777777" w:rsidR="0036416A" w:rsidRDefault="0036416A" w:rsidP="0036416A">
            <w:pPr>
              <w:ind w:left="970" w:hanging="970"/>
              <w:jc w:val="both"/>
              <w:rPr>
                <w:color w:val="0070C0"/>
                <w:sz w:val="30"/>
                <w:szCs w:val="30"/>
              </w:rPr>
            </w:pPr>
          </w:p>
        </w:tc>
        <w:tc>
          <w:tcPr>
            <w:tcW w:w="0" w:type="auto"/>
          </w:tcPr>
          <w:p w14:paraId="0B8A5569" w14:textId="77777777" w:rsidR="0036416A" w:rsidRDefault="0036416A" w:rsidP="0036416A">
            <w:pPr>
              <w:ind w:left="970" w:hanging="970"/>
              <w:jc w:val="both"/>
              <w:rPr>
                <w:color w:val="0070C0"/>
                <w:sz w:val="30"/>
                <w:szCs w:val="30"/>
              </w:rPr>
            </w:pPr>
            <w:r w:rsidRPr="00BC6F10">
              <w:lastRenderedPageBreak/>
              <w:t>Triennial</w:t>
            </w:r>
          </w:p>
        </w:tc>
        <w:tc>
          <w:tcPr>
            <w:tcW w:w="0" w:type="auto"/>
          </w:tcPr>
          <w:p w14:paraId="54FB4AA0" w14:textId="77777777" w:rsidR="0036416A" w:rsidRDefault="0036416A" w:rsidP="0036416A">
            <w:pPr>
              <w:ind w:left="970" w:hanging="970"/>
              <w:jc w:val="both"/>
              <w:rPr>
                <w:color w:val="0070C0"/>
                <w:sz w:val="30"/>
                <w:szCs w:val="30"/>
              </w:rPr>
            </w:pPr>
            <w:r>
              <w:t>Group 1</w:t>
            </w:r>
          </w:p>
        </w:tc>
        <w:tc>
          <w:tcPr>
            <w:tcW w:w="0" w:type="auto"/>
          </w:tcPr>
          <w:p w14:paraId="64A3F5DD" w14:textId="77777777" w:rsidR="0036416A" w:rsidRDefault="0036416A" w:rsidP="0036416A">
            <w:pPr>
              <w:pStyle w:val="NoSpacing"/>
            </w:pPr>
            <w:r>
              <w:t>1</w:t>
            </w:r>
            <w:r w:rsidRPr="00013ACB">
              <w:rPr>
                <w:vertAlign w:val="superscript"/>
              </w:rPr>
              <w:t>st</w:t>
            </w:r>
            <w:r>
              <w:t xml:space="preserve"> Round: </w:t>
            </w:r>
          </w:p>
          <w:p w14:paraId="011BFD53" w14:textId="77777777" w:rsidR="0036416A" w:rsidRDefault="0036416A" w:rsidP="0036416A">
            <w:pPr>
              <w:pStyle w:val="NoSpacing"/>
            </w:pPr>
            <w:r>
              <w:t>2016</w:t>
            </w:r>
          </w:p>
          <w:p w14:paraId="29D20B0E" w14:textId="77777777" w:rsidR="0036416A" w:rsidRDefault="0036416A" w:rsidP="0036416A">
            <w:pPr>
              <w:pStyle w:val="NoSpacing"/>
            </w:pPr>
            <w:r>
              <w:lastRenderedPageBreak/>
              <w:t>2</w:t>
            </w:r>
            <w:r w:rsidRPr="00013ACB">
              <w:rPr>
                <w:vertAlign w:val="superscript"/>
              </w:rPr>
              <w:t>nd</w:t>
            </w:r>
            <w:r>
              <w:t xml:space="preserve"> Round: </w:t>
            </w:r>
          </w:p>
          <w:p w14:paraId="79FEF0E0" w14:textId="77777777" w:rsidR="0036416A" w:rsidRDefault="0036416A" w:rsidP="0036416A">
            <w:pPr>
              <w:pStyle w:val="NoSpacing"/>
            </w:pPr>
            <w:r w:rsidRPr="00CA542A">
              <w:t>December 2020</w:t>
            </w:r>
          </w:p>
          <w:p w14:paraId="446BB015" w14:textId="77777777" w:rsidR="0036416A" w:rsidRDefault="0036416A" w:rsidP="0036416A">
            <w:pPr>
              <w:pStyle w:val="NoSpacing"/>
            </w:pPr>
          </w:p>
          <w:p w14:paraId="724EEAAB" w14:textId="77777777" w:rsidR="0036416A" w:rsidRDefault="0036416A" w:rsidP="0036416A">
            <w:pPr>
              <w:pStyle w:val="NoSpacing"/>
            </w:pPr>
            <w:r>
              <w:t>3</w:t>
            </w:r>
            <w:r w:rsidRPr="00013ACB">
              <w:rPr>
                <w:vertAlign w:val="superscript"/>
              </w:rPr>
              <w:t>rd</w:t>
            </w:r>
            <w:r>
              <w:t xml:space="preserve"> Round: </w:t>
            </w:r>
          </w:p>
          <w:p w14:paraId="588DA88B" w14:textId="77777777" w:rsidR="0036416A" w:rsidRDefault="0036416A" w:rsidP="0036416A">
            <w:pPr>
              <w:pStyle w:val="NoSpacing"/>
            </w:pPr>
            <w:r>
              <w:t>December 2023</w:t>
            </w:r>
          </w:p>
          <w:p w14:paraId="4D87B13D" w14:textId="77777777" w:rsidR="0036416A" w:rsidRDefault="0036416A" w:rsidP="0036416A">
            <w:pPr>
              <w:pStyle w:val="NoSpacing"/>
            </w:pPr>
          </w:p>
          <w:p w14:paraId="69A75BB5" w14:textId="77777777" w:rsidR="0036416A" w:rsidRDefault="0036416A" w:rsidP="0036416A">
            <w:pPr>
              <w:pStyle w:val="NoSpacing"/>
            </w:pPr>
            <w:r>
              <w:t>4</w:t>
            </w:r>
            <w:r w:rsidRPr="00013ACB">
              <w:rPr>
                <w:vertAlign w:val="superscript"/>
              </w:rPr>
              <w:t>th</w:t>
            </w:r>
            <w:r>
              <w:t xml:space="preserve"> Round: </w:t>
            </w:r>
          </w:p>
          <w:p w14:paraId="547613D5" w14:textId="77777777" w:rsidR="0036416A" w:rsidRDefault="0036416A" w:rsidP="0036416A">
            <w:pPr>
              <w:pStyle w:val="NoSpacing"/>
            </w:pPr>
            <w:r>
              <w:t>December 2026</w:t>
            </w:r>
          </w:p>
          <w:p w14:paraId="50E3AD7E" w14:textId="77777777" w:rsidR="0036416A" w:rsidRDefault="0036416A" w:rsidP="0036416A">
            <w:pPr>
              <w:pStyle w:val="NoSpacing"/>
            </w:pPr>
          </w:p>
          <w:p w14:paraId="49838FD1" w14:textId="77777777" w:rsidR="0036416A" w:rsidRDefault="0036416A" w:rsidP="0036416A">
            <w:pPr>
              <w:pStyle w:val="NoSpacing"/>
            </w:pPr>
            <w:r>
              <w:t>5</w:t>
            </w:r>
            <w:r w:rsidRPr="00013ACB">
              <w:rPr>
                <w:vertAlign w:val="superscript"/>
              </w:rPr>
              <w:t>th</w:t>
            </w:r>
            <w:r>
              <w:t xml:space="preserve"> Round: </w:t>
            </w:r>
          </w:p>
          <w:p w14:paraId="573124FC" w14:textId="77777777" w:rsidR="0036416A" w:rsidRDefault="0036416A" w:rsidP="0036416A">
            <w:pPr>
              <w:pStyle w:val="NoSpacing"/>
            </w:pPr>
            <w:r>
              <w:t>December 2029</w:t>
            </w:r>
          </w:p>
          <w:p w14:paraId="476ABFC8" w14:textId="72B1B9CF" w:rsidR="0036416A" w:rsidRDefault="0036416A" w:rsidP="0036416A">
            <w:pPr>
              <w:pStyle w:val="NoSpacing"/>
            </w:pPr>
          </w:p>
        </w:tc>
        <w:tc>
          <w:tcPr>
            <w:tcW w:w="0" w:type="auto"/>
          </w:tcPr>
          <w:p w14:paraId="654C2575" w14:textId="77777777" w:rsidR="0036416A" w:rsidRPr="002F2586" w:rsidRDefault="0036416A" w:rsidP="0036416A">
            <w:pPr>
              <w:pStyle w:val="NoSpacing"/>
            </w:pPr>
            <w:r w:rsidRPr="002F2586">
              <w:lastRenderedPageBreak/>
              <w:t xml:space="preserve">Reviewed at Dec. 2018 </w:t>
            </w:r>
            <w:r w:rsidRPr="002F2586">
              <w:lastRenderedPageBreak/>
              <w:t>WebEx meeting</w:t>
            </w:r>
          </w:p>
          <w:p w14:paraId="3545F67C" w14:textId="77777777" w:rsidR="0036416A" w:rsidRDefault="0036416A" w:rsidP="0036416A">
            <w:pPr>
              <w:pStyle w:val="NoSpacing"/>
            </w:pPr>
            <w:r w:rsidRPr="002F2586">
              <w:t>(classified as Tier II)</w:t>
            </w:r>
          </w:p>
        </w:tc>
      </w:tr>
      <w:tr w:rsidR="0036416A" w14:paraId="6F4AB410" w14:textId="77777777" w:rsidTr="00DB32C0">
        <w:tc>
          <w:tcPr>
            <w:tcW w:w="0" w:type="auto"/>
          </w:tcPr>
          <w:p w14:paraId="245773B1" w14:textId="77777777" w:rsidR="0036416A" w:rsidRDefault="0036416A" w:rsidP="0036416A">
            <w:pPr>
              <w:pStyle w:val="NoSpacing"/>
            </w:pPr>
            <w:r w:rsidRPr="00292850">
              <w:lastRenderedPageBreak/>
              <w:t>9.1.2 Passenger and freight volumes, by mode of transport</w:t>
            </w:r>
          </w:p>
        </w:tc>
        <w:tc>
          <w:tcPr>
            <w:tcW w:w="0" w:type="auto"/>
          </w:tcPr>
          <w:p w14:paraId="49FE0B6B" w14:textId="77777777" w:rsidR="0036416A" w:rsidRDefault="0036416A" w:rsidP="0036416A">
            <w:pPr>
              <w:pStyle w:val="NoSpacing"/>
            </w:pPr>
            <w:r>
              <w:t>ICAO,</w:t>
            </w:r>
          </w:p>
          <w:p w14:paraId="3208D19A" w14:textId="77777777" w:rsidR="0036416A" w:rsidRDefault="0036416A" w:rsidP="0036416A">
            <w:pPr>
              <w:pStyle w:val="NoSpacing"/>
            </w:pPr>
            <w:r>
              <w:t>ITF-OECD</w:t>
            </w:r>
          </w:p>
          <w:p w14:paraId="175DD099" w14:textId="77777777" w:rsidR="0036416A" w:rsidRDefault="0036416A" w:rsidP="0036416A">
            <w:pPr>
              <w:rPr>
                <w:b/>
                <w:bCs/>
                <w:szCs w:val="20"/>
              </w:rPr>
            </w:pPr>
            <w:r w:rsidRPr="007243FC">
              <w:rPr>
                <w:b/>
                <w:bCs/>
                <w:szCs w:val="20"/>
              </w:rPr>
              <w:t>Partner Agencies:</w:t>
            </w:r>
          </w:p>
          <w:p w14:paraId="05183449" w14:textId="77777777" w:rsidR="0036416A" w:rsidRDefault="0036416A" w:rsidP="0036416A">
            <w:pPr>
              <w:pStyle w:val="NoSpacing"/>
            </w:pPr>
            <w:r>
              <w:t xml:space="preserve">UPU, </w:t>
            </w:r>
          </w:p>
          <w:p w14:paraId="0C9A7890" w14:textId="77777777" w:rsidR="0036416A" w:rsidRDefault="0036416A" w:rsidP="0036416A">
            <w:pPr>
              <w:pStyle w:val="NoSpacing"/>
            </w:pPr>
            <w:r>
              <w:t>UNEP,</w:t>
            </w:r>
          </w:p>
          <w:p w14:paraId="1D0FEDF4" w14:textId="77777777" w:rsidR="0036416A" w:rsidRDefault="0036416A" w:rsidP="0036416A">
            <w:pPr>
              <w:pStyle w:val="NoSpacing"/>
            </w:pPr>
            <w:r>
              <w:t>UNECE</w:t>
            </w:r>
          </w:p>
        </w:tc>
        <w:tc>
          <w:tcPr>
            <w:tcW w:w="0" w:type="auto"/>
          </w:tcPr>
          <w:p w14:paraId="0728619E" w14:textId="77777777" w:rsidR="0036416A" w:rsidRDefault="0036416A" w:rsidP="0036416A">
            <w:pPr>
              <w:ind w:left="970" w:hanging="970"/>
              <w:jc w:val="both"/>
              <w:rPr>
                <w:color w:val="0070C0"/>
                <w:sz w:val="30"/>
                <w:szCs w:val="30"/>
              </w:rPr>
            </w:pPr>
            <w:r w:rsidRPr="00666486">
              <w:t>Tier I</w:t>
            </w:r>
          </w:p>
        </w:tc>
        <w:tc>
          <w:tcPr>
            <w:tcW w:w="0" w:type="auto"/>
          </w:tcPr>
          <w:p w14:paraId="333591D0" w14:textId="77777777" w:rsidR="0036416A" w:rsidRDefault="0036416A" w:rsidP="0036416A">
            <w:pPr>
              <w:pStyle w:val="NoSpacing"/>
            </w:pPr>
            <w:r>
              <w:t>Definition:</w:t>
            </w:r>
          </w:p>
          <w:p w14:paraId="2927A0DF" w14:textId="77777777" w:rsidR="0036416A" w:rsidRDefault="0036416A" w:rsidP="0036416A">
            <w:pPr>
              <w:pStyle w:val="NoSpacing"/>
            </w:pPr>
          </w:p>
          <w:p w14:paraId="70534959" w14:textId="77777777" w:rsidR="0036416A" w:rsidRDefault="0036416A" w:rsidP="0036416A">
            <w:pPr>
              <w:pStyle w:val="NoSpacing"/>
            </w:pPr>
            <w:proofErr w:type="gramStart"/>
            <w:r>
              <w:t>Passenger and freight volumes is</w:t>
            </w:r>
            <w:proofErr w:type="gramEnd"/>
            <w:r>
              <w:t xml:space="preserve"> the sum of the passenger and freight volumes reported for the air carriers in terms of number of people and metric tonnes of cargo respectively.</w:t>
            </w:r>
          </w:p>
          <w:p w14:paraId="4631E054" w14:textId="77777777" w:rsidR="0036416A" w:rsidRDefault="0036416A" w:rsidP="0036416A">
            <w:pPr>
              <w:pStyle w:val="NoSpacing"/>
            </w:pPr>
          </w:p>
          <w:p w14:paraId="0277E03E" w14:textId="77777777" w:rsidR="0036416A" w:rsidRDefault="0036416A" w:rsidP="0036416A">
            <w:pPr>
              <w:pStyle w:val="NoSpacing"/>
            </w:pPr>
            <w:r>
              <w:t>The International Transport Forum (ITF) collects data on transport (rail and road) statistics on annual basis from all its Member countries.  Data are collected from Transport Ministries, statistical offices and other institution designated as official data source. Although there are clear definitions for all the terms used in this survey, countries might have different methodologies to calculate tonne-kilometres and passenger-kilometres. Methods could be based on traffic or mobility surveys, use very different sampling methods and estimating techniques which could affect the comparability of their statistics.</w:t>
            </w:r>
          </w:p>
          <w:p w14:paraId="4BE26950" w14:textId="77777777" w:rsidR="0036416A" w:rsidRDefault="0036416A" w:rsidP="0036416A">
            <w:pPr>
              <w:pStyle w:val="NoSpacing"/>
            </w:pPr>
            <w:r>
              <w:t>•</w:t>
            </w:r>
            <w:r>
              <w:tab/>
              <w:t xml:space="preserve">ITF (2016) Trends in the Transport Sector </w:t>
            </w:r>
          </w:p>
          <w:p w14:paraId="47EF0425" w14:textId="77777777" w:rsidR="0036416A" w:rsidRDefault="0036416A" w:rsidP="0036416A">
            <w:pPr>
              <w:pStyle w:val="NoSpacing"/>
            </w:pPr>
          </w:p>
          <w:p w14:paraId="377EE75E" w14:textId="77777777" w:rsidR="0036416A" w:rsidRDefault="0036416A" w:rsidP="0036416A">
            <w:pPr>
              <w:pStyle w:val="NoSpacing"/>
            </w:pPr>
            <w:r>
              <w:t>Concepts:</w:t>
            </w:r>
          </w:p>
          <w:p w14:paraId="1A7ED884" w14:textId="77777777" w:rsidR="0036416A" w:rsidRDefault="0036416A" w:rsidP="0036416A">
            <w:pPr>
              <w:pStyle w:val="NoSpacing"/>
            </w:pPr>
          </w:p>
          <w:p w14:paraId="0F4511DA" w14:textId="77777777" w:rsidR="0036416A" w:rsidRDefault="0036416A" w:rsidP="0036416A">
            <w:pPr>
              <w:pStyle w:val="NoSpacing"/>
            </w:pPr>
            <w:r>
              <w:t>The International Civil Aviation Organization (ICAO) through its Statistics Division have established standard methodologies and definitions to collect and report traffic (passenger and freight volume) data related to air transport. These standards and methodologies have been adopted by the 191 Member States of ICAO and also by the Industry stakeholders i</w:t>
            </w:r>
            <w:proofErr w:type="gramStart"/>
            <w:r>
              <w:t>,e</w:t>
            </w:r>
            <w:proofErr w:type="gramEnd"/>
            <w:r>
              <w:t xml:space="preserve"> air carriers and airports. The data of ICAO is used by States and also the World Bank for its development indicators. ICAO uses Air Transport Reporting Forms A, AS, B and C to arrive at the passenger and freight volumes for air transport.</w:t>
            </w:r>
          </w:p>
          <w:p w14:paraId="67CAA020" w14:textId="77777777" w:rsidR="0036416A" w:rsidRDefault="0036416A" w:rsidP="0036416A">
            <w:pPr>
              <w:pStyle w:val="NoSpacing"/>
            </w:pPr>
          </w:p>
          <w:p w14:paraId="636DD3D9" w14:textId="77777777" w:rsidR="0036416A" w:rsidRDefault="0036416A" w:rsidP="0036416A">
            <w:pPr>
              <w:pStyle w:val="NoSpacing"/>
            </w:pPr>
            <w:r>
              <w:lastRenderedPageBreak/>
              <w:t>Precise definition of all different concepts and metadata related to Air Transport Reporting Forms A, AS, B and C to arrive at the passenger and freight volumes for air transport. approved by the ICAO Statistics Division and Member States can be found at the ICAO website given below -</w:t>
            </w:r>
          </w:p>
          <w:p w14:paraId="07651F13" w14:textId="77777777" w:rsidR="0036416A" w:rsidRDefault="0036416A" w:rsidP="0036416A">
            <w:pPr>
              <w:pStyle w:val="NoSpacing"/>
            </w:pPr>
            <w:r>
              <w:t>http://www.icao.int/sustainability/pages/eap-sta-excel.aspx/</w:t>
            </w:r>
          </w:p>
          <w:p w14:paraId="4D65DD50" w14:textId="77777777" w:rsidR="0036416A" w:rsidRDefault="0036416A" w:rsidP="0036416A">
            <w:pPr>
              <w:pStyle w:val="NoSpacing"/>
            </w:pPr>
          </w:p>
          <w:p w14:paraId="57E835DB" w14:textId="77777777" w:rsidR="0036416A" w:rsidRDefault="0036416A" w:rsidP="0036416A">
            <w:pPr>
              <w:pStyle w:val="NoSpacing"/>
            </w:pPr>
            <w:r>
              <w:t>Comments and limitations:</w:t>
            </w:r>
          </w:p>
          <w:p w14:paraId="0266ECB4" w14:textId="77777777" w:rsidR="0036416A" w:rsidRDefault="0036416A" w:rsidP="0036416A">
            <w:pPr>
              <w:pStyle w:val="NoSpacing"/>
            </w:pPr>
          </w:p>
          <w:p w14:paraId="41935636" w14:textId="77777777" w:rsidR="0036416A" w:rsidRDefault="0036416A" w:rsidP="0036416A">
            <w:pPr>
              <w:pStyle w:val="NoSpacing"/>
            </w:pPr>
            <w:r>
              <w:t>Coverage is for all ICAO 191 Member States</w:t>
            </w:r>
          </w:p>
          <w:p w14:paraId="4C5F1E86" w14:textId="77777777" w:rsidR="0036416A" w:rsidRDefault="0036416A" w:rsidP="0036416A">
            <w:pPr>
              <w:pStyle w:val="NoSpacing"/>
            </w:pPr>
            <w:r>
              <w:t>Computation Method:</w:t>
            </w:r>
          </w:p>
          <w:p w14:paraId="7822E167" w14:textId="77777777" w:rsidR="0036416A" w:rsidRDefault="0036416A" w:rsidP="0036416A">
            <w:pPr>
              <w:pStyle w:val="NoSpacing"/>
            </w:pPr>
          </w:p>
          <w:p w14:paraId="6D2E2DBE" w14:textId="77777777" w:rsidR="0036416A" w:rsidRDefault="0036416A" w:rsidP="0036416A">
            <w:pPr>
              <w:pStyle w:val="NoSpacing"/>
            </w:pPr>
            <w:r>
              <w:t>The indicator is calculated through a sum of the passenger and freight volumes reported for the air carriers through ICAO Air Transport Reporting Forms and grouped by Member States of ICAO.</w:t>
            </w:r>
          </w:p>
        </w:tc>
        <w:tc>
          <w:tcPr>
            <w:tcW w:w="0" w:type="auto"/>
          </w:tcPr>
          <w:p w14:paraId="1F9DBFA5" w14:textId="77777777" w:rsidR="0036416A" w:rsidRPr="00873FDE" w:rsidRDefault="0036416A" w:rsidP="0036416A">
            <w:pPr>
              <w:pStyle w:val="Default"/>
              <w:rPr>
                <w:rFonts w:ascii="Tw Cen MT Condensed" w:hAnsi="Tw Cen MT Condensed" w:cstheme="minorBidi"/>
                <w:szCs w:val="20"/>
                <w:lang w:val="en-GB"/>
              </w:rPr>
            </w:pPr>
            <w:r w:rsidRPr="00873FDE">
              <w:rPr>
                <w:rFonts w:ascii="Tw Cen MT Condensed" w:hAnsi="Tw Cen MT Condensed" w:cstheme="minorBidi"/>
                <w:szCs w:val="20"/>
                <w:lang w:val="en-GB"/>
              </w:rPr>
              <w:lastRenderedPageBreak/>
              <w:t>The indicator is calculated through a sum of the passenger and freight volumes reported for the air carriers through ICAO Air Transport Reporting Forms and grouped by Member States of ICAO.</w:t>
            </w:r>
          </w:p>
        </w:tc>
        <w:tc>
          <w:tcPr>
            <w:tcW w:w="0" w:type="auto"/>
          </w:tcPr>
          <w:p w14:paraId="01CDECE5" w14:textId="77777777" w:rsidR="0036416A" w:rsidRPr="00873FDE" w:rsidRDefault="0036416A" w:rsidP="0036416A">
            <w:pPr>
              <w:rPr>
                <w:szCs w:val="20"/>
              </w:rPr>
            </w:pPr>
            <w:r w:rsidRPr="00873FDE">
              <w:rPr>
                <w:szCs w:val="20"/>
              </w:rPr>
              <w:t>Data provided to ICAO by ICAO Member States from its Ministry of Transport, Infrastructure or Aviation</w:t>
            </w:r>
          </w:p>
        </w:tc>
        <w:tc>
          <w:tcPr>
            <w:tcW w:w="0" w:type="auto"/>
          </w:tcPr>
          <w:p w14:paraId="37EDA8D1" w14:textId="7BB49E78" w:rsidR="0036416A" w:rsidRDefault="0036416A" w:rsidP="0036416A">
            <w:pPr>
              <w:pStyle w:val="NoSpacing"/>
              <w:rPr>
                <w:color w:val="000000" w:themeColor="text1"/>
              </w:rPr>
            </w:pPr>
            <w:r w:rsidRPr="009906CC">
              <w:rPr>
                <w:color w:val="000000" w:themeColor="text1"/>
              </w:rPr>
              <w:t>CAAB</w:t>
            </w:r>
          </w:p>
          <w:p w14:paraId="33722588" w14:textId="77777777" w:rsidR="0036416A" w:rsidRDefault="0036416A" w:rsidP="0036416A">
            <w:pPr>
              <w:pStyle w:val="NoSpacing"/>
              <w:rPr>
                <w:color w:val="000000" w:themeColor="text1"/>
              </w:rPr>
            </w:pPr>
          </w:p>
          <w:p w14:paraId="3D169073" w14:textId="77777777" w:rsidR="0036416A" w:rsidRDefault="0036416A" w:rsidP="0036416A">
            <w:pPr>
              <w:pStyle w:val="NoSpacing"/>
            </w:pPr>
            <w:r>
              <w:t>Administrative Data</w:t>
            </w:r>
          </w:p>
        </w:tc>
        <w:tc>
          <w:tcPr>
            <w:tcW w:w="0" w:type="auto"/>
          </w:tcPr>
          <w:p w14:paraId="25B04E8A" w14:textId="4FBE3C38" w:rsidR="0036416A" w:rsidRDefault="0036416A" w:rsidP="0036416A">
            <w:pPr>
              <w:spacing w:line="276" w:lineRule="auto"/>
            </w:pPr>
            <w:r>
              <w:t>a)</w:t>
            </w:r>
            <w:r w:rsidR="002E7699">
              <w:t>RTHD</w:t>
            </w:r>
            <w:r>
              <w:t>, BRTA</w:t>
            </w:r>
          </w:p>
          <w:p w14:paraId="77C1D7E6" w14:textId="77777777" w:rsidR="0036416A" w:rsidRDefault="0036416A" w:rsidP="0036416A">
            <w:pPr>
              <w:spacing w:line="276" w:lineRule="auto"/>
            </w:pPr>
            <w:r>
              <w:t>b) MoS, BIWTC</w:t>
            </w:r>
          </w:p>
          <w:p w14:paraId="6284959A" w14:textId="77777777" w:rsidR="0036416A" w:rsidRDefault="0036416A" w:rsidP="0036416A">
            <w:pPr>
              <w:spacing w:line="276" w:lineRule="auto"/>
            </w:pPr>
            <w:r>
              <w:t>c) MoS, BIWTA</w:t>
            </w:r>
          </w:p>
          <w:p w14:paraId="136C2950" w14:textId="77777777" w:rsidR="0036416A" w:rsidRDefault="0036416A" w:rsidP="0036416A">
            <w:pPr>
              <w:spacing w:line="276" w:lineRule="auto"/>
            </w:pPr>
            <w:r>
              <w:t>d) MoR, BR</w:t>
            </w:r>
          </w:p>
          <w:p w14:paraId="377998E9" w14:textId="77777777" w:rsidR="0036416A" w:rsidRDefault="0036416A" w:rsidP="0036416A">
            <w:pPr>
              <w:pStyle w:val="NoSpacing"/>
              <w:rPr>
                <w:color w:val="000000" w:themeColor="text1"/>
              </w:rPr>
            </w:pPr>
            <w:r w:rsidRPr="009906CC">
              <w:rPr>
                <w:color w:val="000000" w:themeColor="text1"/>
              </w:rPr>
              <w:t xml:space="preserve">e) </w:t>
            </w:r>
            <w:r>
              <w:rPr>
                <w:color w:val="000000" w:themeColor="text1"/>
              </w:rPr>
              <w:t xml:space="preserve">MoCAT, </w:t>
            </w:r>
            <w:r w:rsidRPr="009906CC">
              <w:rPr>
                <w:color w:val="000000" w:themeColor="text1"/>
              </w:rPr>
              <w:t>CAAB</w:t>
            </w:r>
          </w:p>
          <w:p w14:paraId="4EEBFAFC" w14:textId="77777777" w:rsidR="0036416A" w:rsidRDefault="0036416A" w:rsidP="0036416A">
            <w:pPr>
              <w:pStyle w:val="NoSpacing"/>
              <w:rPr>
                <w:color w:val="000000" w:themeColor="text1"/>
              </w:rPr>
            </w:pPr>
          </w:p>
          <w:p w14:paraId="4E08754E" w14:textId="77777777" w:rsidR="0036416A" w:rsidRDefault="0036416A" w:rsidP="0036416A">
            <w:pPr>
              <w:pStyle w:val="NoSpacing"/>
            </w:pPr>
            <w:r>
              <w:t>Administrative Data</w:t>
            </w:r>
          </w:p>
        </w:tc>
        <w:tc>
          <w:tcPr>
            <w:tcW w:w="0" w:type="auto"/>
          </w:tcPr>
          <w:p w14:paraId="3589106C"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Country</w:t>
            </w:r>
          </w:p>
          <w:p w14:paraId="6647C5F7"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Country pair</w:t>
            </w:r>
          </w:p>
          <w:p w14:paraId="6A82808D"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City Pair</w:t>
            </w:r>
          </w:p>
          <w:p w14:paraId="2B8A89AD" w14:textId="1B842423"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Region</w:t>
            </w:r>
            <w:r w:rsidR="00857920">
              <w:rPr>
                <w:rFonts w:ascii="Tw Cen MT Condensed" w:hAnsi="Tw Cen MT Condensed"/>
                <w:sz w:val="20"/>
                <w:szCs w:val="20"/>
              </w:rPr>
              <w:t>: Division</w:t>
            </w:r>
          </w:p>
          <w:p w14:paraId="7CD06D43"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Segment: International, domestic</w:t>
            </w:r>
          </w:p>
          <w:p w14:paraId="62FCA51D"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Mode of Transport: Road, Rail, Inland waterways, Pipelines</w:t>
            </w:r>
          </w:p>
          <w:p w14:paraId="11573A75" w14:textId="77777777" w:rsidR="0036416A" w:rsidRDefault="0036416A" w:rsidP="0036416A">
            <w:pPr>
              <w:ind w:left="970" w:hanging="970"/>
              <w:jc w:val="both"/>
              <w:rPr>
                <w:color w:val="0070C0"/>
                <w:sz w:val="30"/>
                <w:szCs w:val="30"/>
              </w:rPr>
            </w:pPr>
          </w:p>
        </w:tc>
        <w:tc>
          <w:tcPr>
            <w:tcW w:w="0" w:type="auto"/>
          </w:tcPr>
          <w:p w14:paraId="5A6A43B7" w14:textId="77777777" w:rsidR="0036416A" w:rsidRDefault="0036416A" w:rsidP="0036416A">
            <w:pPr>
              <w:ind w:left="970" w:hanging="970"/>
              <w:jc w:val="both"/>
              <w:rPr>
                <w:color w:val="0070C0"/>
                <w:sz w:val="30"/>
                <w:szCs w:val="30"/>
              </w:rPr>
            </w:pPr>
            <w:r>
              <w:t>Annual</w:t>
            </w:r>
          </w:p>
        </w:tc>
        <w:tc>
          <w:tcPr>
            <w:tcW w:w="0" w:type="auto"/>
          </w:tcPr>
          <w:p w14:paraId="39B49993" w14:textId="77777777" w:rsidR="0036416A" w:rsidRDefault="0036416A" w:rsidP="0036416A">
            <w:pPr>
              <w:ind w:left="970" w:hanging="970"/>
              <w:jc w:val="both"/>
              <w:rPr>
                <w:color w:val="0070C0"/>
                <w:sz w:val="30"/>
                <w:szCs w:val="30"/>
              </w:rPr>
            </w:pPr>
            <w:r>
              <w:t>Group 1</w:t>
            </w:r>
          </w:p>
        </w:tc>
        <w:tc>
          <w:tcPr>
            <w:tcW w:w="0" w:type="auto"/>
          </w:tcPr>
          <w:p w14:paraId="182CBDB1" w14:textId="77777777" w:rsidR="0036416A" w:rsidRDefault="0036416A" w:rsidP="0036416A">
            <w:pPr>
              <w:pStyle w:val="NoSpacing"/>
            </w:pPr>
            <w:r>
              <w:t>1</w:t>
            </w:r>
            <w:r w:rsidRPr="00013ACB">
              <w:rPr>
                <w:vertAlign w:val="superscript"/>
              </w:rPr>
              <w:t>st</w:t>
            </w:r>
            <w:r>
              <w:t xml:space="preserve"> Round: </w:t>
            </w:r>
          </w:p>
          <w:p w14:paraId="0775F643" w14:textId="77777777" w:rsidR="0036416A" w:rsidRDefault="0036416A" w:rsidP="0036416A">
            <w:pPr>
              <w:pStyle w:val="NoSpacing"/>
            </w:pPr>
            <w:r>
              <w:t>2015</w:t>
            </w:r>
          </w:p>
          <w:p w14:paraId="53751C57" w14:textId="77777777" w:rsidR="0036416A" w:rsidRDefault="0036416A" w:rsidP="0036416A">
            <w:pPr>
              <w:pStyle w:val="NoSpacing"/>
            </w:pPr>
            <w:r>
              <w:t>2</w:t>
            </w:r>
            <w:r w:rsidRPr="00013ACB">
              <w:rPr>
                <w:vertAlign w:val="superscript"/>
              </w:rPr>
              <w:t>nd</w:t>
            </w:r>
            <w:r>
              <w:t xml:space="preserve"> Round: </w:t>
            </w:r>
          </w:p>
          <w:p w14:paraId="4ECD11B1" w14:textId="77777777" w:rsidR="0036416A" w:rsidRDefault="0036416A" w:rsidP="0036416A">
            <w:pPr>
              <w:pStyle w:val="NoSpacing"/>
            </w:pPr>
            <w:r w:rsidRPr="00CA542A">
              <w:t>December 2020</w:t>
            </w:r>
          </w:p>
          <w:p w14:paraId="2C2C9635" w14:textId="77777777" w:rsidR="0036416A" w:rsidRDefault="0036416A" w:rsidP="0036416A">
            <w:pPr>
              <w:pStyle w:val="NoSpacing"/>
            </w:pPr>
          </w:p>
          <w:p w14:paraId="458B401A" w14:textId="77777777" w:rsidR="0036416A" w:rsidRDefault="0036416A" w:rsidP="0036416A">
            <w:pPr>
              <w:pStyle w:val="NoSpacing"/>
            </w:pPr>
            <w:r>
              <w:t>3</w:t>
            </w:r>
            <w:r w:rsidRPr="00013ACB">
              <w:rPr>
                <w:vertAlign w:val="superscript"/>
              </w:rPr>
              <w:t>rd</w:t>
            </w:r>
            <w:r>
              <w:t xml:space="preserve"> Round: </w:t>
            </w:r>
          </w:p>
          <w:p w14:paraId="0A26FEEA" w14:textId="77777777" w:rsidR="0036416A" w:rsidRDefault="0036416A" w:rsidP="0036416A">
            <w:pPr>
              <w:pStyle w:val="NoSpacing"/>
            </w:pPr>
            <w:r>
              <w:t>December 2021</w:t>
            </w:r>
          </w:p>
          <w:p w14:paraId="150E05D7" w14:textId="77777777" w:rsidR="0036416A" w:rsidRDefault="0036416A" w:rsidP="0036416A">
            <w:pPr>
              <w:pStyle w:val="NoSpacing"/>
            </w:pPr>
          </w:p>
          <w:p w14:paraId="5602D0BC" w14:textId="77777777" w:rsidR="0036416A" w:rsidRDefault="0036416A" w:rsidP="0036416A">
            <w:pPr>
              <w:pStyle w:val="NoSpacing"/>
            </w:pPr>
            <w:r>
              <w:t>4</w:t>
            </w:r>
            <w:r w:rsidRPr="00013ACB">
              <w:rPr>
                <w:vertAlign w:val="superscript"/>
              </w:rPr>
              <w:t>th</w:t>
            </w:r>
            <w:r>
              <w:t xml:space="preserve"> Round: </w:t>
            </w:r>
          </w:p>
          <w:p w14:paraId="450EAF03" w14:textId="77777777" w:rsidR="0036416A" w:rsidRDefault="0036416A" w:rsidP="0036416A">
            <w:pPr>
              <w:pStyle w:val="NoSpacing"/>
            </w:pPr>
            <w:r>
              <w:t>December 2022</w:t>
            </w:r>
          </w:p>
          <w:p w14:paraId="5F5CE373" w14:textId="77777777" w:rsidR="0036416A" w:rsidRDefault="0036416A" w:rsidP="0036416A">
            <w:pPr>
              <w:pStyle w:val="NoSpacing"/>
            </w:pPr>
          </w:p>
          <w:p w14:paraId="098E990F" w14:textId="77777777" w:rsidR="0036416A" w:rsidRDefault="0036416A" w:rsidP="0036416A">
            <w:pPr>
              <w:pStyle w:val="NoSpacing"/>
            </w:pPr>
            <w:r>
              <w:t>5</w:t>
            </w:r>
            <w:r w:rsidRPr="00013ACB">
              <w:rPr>
                <w:vertAlign w:val="superscript"/>
              </w:rPr>
              <w:t>th</w:t>
            </w:r>
            <w:r>
              <w:t xml:space="preserve"> Round: </w:t>
            </w:r>
          </w:p>
          <w:p w14:paraId="3E92859A" w14:textId="77777777" w:rsidR="0036416A" w:rsidRDefault="0036416A" w:rsidP="0036416A">
            <w:pPr>
              <w:pStyle w:val="NoSpacing"/>
            </w:pPr>
            <w:r>
              <w:t>December 2023</w:t>
            </w:r>
          </w:p>
          <w:p w14:paraId="60746AED" w14:textId="5B3058E1" w:rsidR="0036416A" w:rsidRDefault="0036416A" w:rsidP="0036416A">
            <w:pPr>
              <w:pStyle w:val="NoSpacing"/>
            </w:pPr>
          </w:p>
        </w:tc>
        <w:tc>
          <w:tcPr>
            <w:tcW w:w="0" w:type="auto"/>
          </w:tcPr>
          <w:p w14:paraId="6D36EDB9" w14:textId="77777777" w:rsidR="0036416A" w:rsidRDefault="0036416A" w:rsidP="0036416A">
            <w:pPr>
              <w:ind w:left="970" w:hanging="970"/>
              <w:jc w:val="both"/>
              <w:rPr>
                <w:color w:val="0070C0"/>
                <w:sz w:val="30"/>
                <w:szCs w:val="30"/>
              </w:rPr>
            </w:pPr>
          </w:p>
        </w:tc>
      </w:tr>
      <w:tr w:rsidR="00A64F0D" w14:paraId="7465312E" w14:textId="77777777" w:rsidTr="006856A8">
        <w:tc>
          <w:tcPr>
            <w:tcW w:w="0" w:type="auto"/>
            <w:gridSpan w:val="13"/>
          </w:tcPr>
          <w:p w14:paraId="08E2806B" w14:textId="77777777" w:rsidR="00A64F0D" w:rsidRDefault="00A64F0D" w:rsidP="0036416A">
            <w:pPr>
              <w:rPr>
                <w:color w:val="FF0000"/>
                <w:sz w:val="32"/>
                <w:szCs w:val="32"/>
              </w:rPr>
            </w:pPr>
            <w:r>
              <w:rPr>
                <w:color w:val="0070C0"/>
                <w:sz w:val="30"/>
                <w:szCs w:val="30"/>
              </w:rPr>
              <w:lastRenderedPageBreak/>
              <w:t xml:space="preserve">Target </w:t>
            </w:r>
            <w:r w:rsidRPr="006429A5">
              <w:rPr>
                <w:color w:val="0070C0"/>
                <w:sz w:val="30"/>
                <w:szCs w:val="30"/>
              </w:rPr>
              <w:t>9.2 Promote inclusive and sustainable industrialization and, by 2030, significantly raise industry’s share of employment and gross domestic product, in line with national circumstances, and double its share in least developed countries</w:t>
            </w:r>
          </w:p>
        </w:tc>
      </w:tr>
      <w:tr w:rsidR="0036416A" w14:paraId="0E0437E9" w14:textId="77777777" w:rsidTr="00DB32C0">
        <w:tc>
          <w:tcPr>
            <w:tcW w:w="0" w:type="auto"/>
          </w:tcPr>
          <w:p w14:paraId="691CA745" w14:textId="77777777" w:rsidR="0036416A" w:rsidRDefault="0036416A" w:rsidP="0036416A">
            <w:pPr>
              <w:pStyle w:val="NoSpacing"/>
            </w:pPr>
            <w:r w:rsidRPr="00292850">
              <w:t>9.2.1 Manufacturing value added as a proportion of GDP and per capita</w:t>
            </w:r>
          </w:p>
        </w:tc>
        <w:tc>
          <w:tcPr>
            <w:tcW w:w="0" w:type="auto"/>
          </w:tcPr>
          <w:p w14:paraId="0B4A021F" w14:textId="77777777" w:rsidR="0036416A" w:rsidRDefault="0036416A" w:rsidP="0036416A">
            <w:pPr>
              <w:pStyle w:val="NoSpacing"/>
            </w:pPr>
            <w:r w:rsidRPr="007A7507">
              <w:t>UNIDO</w:t>
            </w:r>
          </w:p>
          <w:p w14:paraId="31402300" w14:textId="77777777" w:rsidR="0036416A" w:rsidRDefault="0036416A" w:rsidP="0036416A">
            <w:pPr>
              <w:rPr>
                <w:b/>
                <w:bCs/>
                <w:szCs w:val="20"/>
              </w:rPr>
            </w:pPr>
            <w:r w:rsidRPr="007243FC">
              <w:rPr>
                <w:b/>
                <w:bCs/>
                <w:szCs w:val="20"/>
              </w:rPr>
              <w:t>Partner Agencies:</w:t>
            </w:r>
          </w:p>
          <w:p w14:paraId="048B7246" w14:textId="77777777" w:rsidR="0036416A" w:rsidRDefault="0036416A" w:rsidP="0036416A">
            <w:pPr>
              <w:pStyle w:val="NoSpacing"/>
            </w:pPr>
            <w:r w:rsidRPr="007A7507">
              <w:t>World Bank</w:t>
            </w:r>
          </w:p>
        </w:tc>
        <w:tc>
          <w:tcPr>
            <w:tcW w:w="0" w:type="auto"/>
          </w:tcPr>
          <w:p w14:paraId="74AB8E8A" w14:textId="77777777" w:rsidR="0036416A" w:rsidRDefault="0036416A" w:rsidP="0036416A">
            <w:pPr>
              <w:ind w:left="970" w:hanging="970"/>
              <w:jc w:val="both"/>
              <w:rPr>
                <w:color w:val="0070C0"/>
                <w:sz w:val="30"/>
                <w:szCs w:val="30"/>
              </w:rPr>
            </w:pPr>
            <w:r w:rsidRPr="00666486">
              <w:t>Tier I</w:t>
            </w:r>
          </w:p>
        </w:tc>
        <w:tc>
          <w:tcPr>
            <w:tcW w:w="0" w:type="auto"/>
          </w:tcPr>
          <w:p w14:paraId="74883D4A" w14:textId="77777777" w:rsidR="0036416A" w:rsidRDefault="0036416A" w:rsidP="0036416A">
            <w:pPr>
              <w:pStyle w:val="NoSpacing"/>
            </w:pPr>
            <w:r>
              <w:t>Definition:</w:t>
            </w:r>
          </w:p>
          <w:p w14:paraId="29A43526" w14:textId="77777777" w:rsidR="0036416A" w:rsidRDefault="0036416A" w:rsidP="0036416A">
            <w:pPr>
              <w:pStyle w:val="NoSpacing"/>
            </w:pPr>
            <w:r>
              <w:t>Manufacturing value added (MVA) as a proportion of gross domestic product (GDP) is a ratio between MVA and GDP, both reported in constant 2010 USD.</w:t>
            </w:r>
          </w:p>
          <w:p w14:paraId="1B97B0A0" w14:textId="77777777" w:rsidR="0036416A" w:rsidRDefault="0036416A" w:rsidP="0036416A">
            <w:pPr>
              <w:pStyle w:val="NoSpacing"/>
            </w:pPr>
          </w:p>
          <w:p w14:paraId="255F97FC" w14:textId="77777777" w:rsidR="0036416A" w:rsidRDefault="0036416A" w:rsidP="0036416A">
            <w:pPr>
              <w:pStyle w:val="NoSpacing"/>
            </w:pPr>
            <w:r>
              <w:t>MVA per capita is calculated by dividing MVA in constant 2010 USD by population of a country or area.</w:t>
            </w:r>
          </w:p>
          <w:p w14:paraId="5F565851" w14:textId="77777777" w:rsidR="0036416A" w:rsidRDefault="0036416A" w:rsidP="0036416A">
            <w:pPr>
              <w:pStyle w:val="NoSpacing"/>
            </w:pPr>
          </w:p>
          <w:p w14:paraId="0E86F6FE" w14:textId="77777777" w:rsidR="0036416A" w:rsidRDefault="0036416A" w:rsidP="0036416A">
            <w:pPr>
              <w:pStyle w:val="NoSpacing"/>
            </w:pPr>
            <w:r>
              <w:t>Concepts:</w:t>
            </w:r>
          </w:p>
          <w:p w14:paraId="6ABE2066" w14:textId="77777777" w:rsidR="0036416A" w:rsidRDefault="0036416A" w:rsidP="0036416A">
            <w:pPr>
              <w:pStyle w:val="NoSpacing"/>
            </w:pPr>
            <w:r>
              <w:t>The gross value added is defined as output minus intermediate consumption and equals the sum of employee compensation, gross operating surplus of government and corporations, gross mixed income of unincorporated enterprises and taxes less subsidies on production and imports, except for net taxes on products (System of National Accounts 2008). Manufacturing refers to industries belonging to the sector C defined by International Standard Industrial Classification of All Economic Activities (ISIC) Revision 4, or D defined by ISIC Revision 3.</w:t>
            </w:r>
          </w:p>
          <w:p w14:paraId="1AEDD6C1" w14:textId="77777777" w:rsidR="0036416A" w:rsidRDefault="0036416A" w:rsidP="0036416A">
            <w:pPr>
              <w:pStyle w:val="NoSpacing"/>
            </w:pPr>
          </w:p>
          <w:p w14:paraId="31545A98" w14:textId="77777777" w:rsidR="0036416A" w:rsidRDefault="0036416A" w:rsidP="0036416A">
            <w:pPr>
              <w:pStyle w:val="NoSpacing"/>
            </w:pPr>
            <w:r>
              <w:t>GDP represents the sum of gross value added from all institutional units resident in the economy. For the purpose on comparability over time and across countries MVA and GDP are estimated in terms of constant prices in USD. The current series are given at constant prices of 2010.</w:t>
            </w:r>
          </w:p>
          <w:p w14:paraId="0C2440B4" w14:textId="77777777" w:rsidR="0036416A" w:rsidRDefault="0036416A" w:rsidP="0036416A">
            <w:pPr>
              <w:pStyle w:val="NoSpacing"/>
            </w:pPr>
          </w:p>
          <w:p w14:paraId="65D2F7CE" w14:textId="77777777" w:rsidR="0036416A" w:rsidRDefault="0036416A" w:rsidP="0036416A">
            <w:pPr>
              <w:pStyle w:val="NoSpacing"/>
            </w:pPr>
            <w:r>
              <w:t>Comments and limitations:</w:t>
            </w:r>
          </w:p>
          <w:p w14:paraId="69797F70" w14:textId="77777777" w:rsidR="0036416A" w:rsidRDefault="0036416A" w:rsidP="0036416A">
            <w:pPr>
              <w:pStyle w:val="NoSpacing"/>
            </w:pPr>
            <w:r>
              <w:t>Differences may appear due to different versions of System of National Accounts (SNA) or ISIC revisions used by countries.</w:t>
            </w:r>
          </w:p>
          <w:p w14:paraId="751AD136" w14:textId="77777777" w:rsidR="0036416A" w:rsidRDefault="0036416A" w:rsidP="0036416A">
            <w:pPr>
              <w:pStyle w:val="NoSpacing"/>
            </w:pPr>
          </w:p>
          <w:p w14:paraId="20D9098B" w14:textId="77777777" w:rsidR="0036416A" w:rsidRDefault="0036416A" w:rsidP="0036416A">
            <w:pPr>
              <w:pStyle w:val="NoSpacing"/>
            </w:pPr>
            <w:r>
              <w:t>Computation Method:</w:t>
            </w:r>
          </w:p>
          <w:p w14:paraId="414FD5F7" w14:textId="77777777" w:rsidR="0036416A" w:rsidRDefault="0036416A" w:rsidP="0036416A">
            <w:pPr>
              <w:pStyle w:val="NoSpacing"/>
            </w:pPr>
            <w:r>
              <w:lastRenderedPageBreak/>
              <w:t>MVA proportion to GDP = MVA/GDP*100.</w:t>
            </w:r>
          </w:p>
          <w:p w14:paraId="2ED02E9C" w14:textId="77777777" w:rsidR="0036416A" w:rsidRDefault="0036416A" w:rsidP="0036416A">
            <w:pPr>
              <w:pStyle w:val="NoSpacing"/>
            </w:pPr>
            <w:r>
              <w:t>MVA per capita = MVA/population</w:t>
            </w:r>
          </w:p>
        </w:tc>
        <w:tc>
          <w:tcPr>
            <w:tcW w:w="0" w:type="auto"/>
          </w:tcPr>
          <w:p w14:paraId="0398F443" w14:textId="77777777" w:rsidR="0036416A" w:rsidRDefault="0036416A" w:rsidP="0036416A">
            <w:pPr>
              <w:pStyle w:val="NoSpacing"/>
              <w:rPr>
                <w:lang w:val="en-GB"/>
              </w:rPr>
            </w:pPr>
            <w:r w:rsidRPr="00873FDE">
              <w:lastRenderedPageBreak/>
              <w:t xml:space="preserve">MVA proportion to </w:t>
            </w:r>
            <w:r w:rsidRPr="002E0A78">
              <w:rPr>
                <w:lang w:val="en-GB"/>
              </w:rPr>
              <w:t>The MVA and GDP country data are collected through a national accounts</w:t>
            </w:r>
            <w:r>
              <w:rPr>
                <w:lang w:val="en-GB"/>
              </w:rPr>
              <w:t xml:space="preserve"> questionnaire (NAQ) </w:t>
            </w:r>
            <w:r w:rsidRPr="002E0A78">
              <w:rPr>
                <w:lang w:val="en-GB"/>
              </w:rPr>
              <w:t xml:space="preserve">by UNSD. </w:t>
            </w:r>
          </w:p>
          <w:p w14:paraId="1DDF5CCC" w14:textId="77777777" w:rsidR="0036416A" w:rsidRDefault="0036416A" w:rsidP="0036416A">
            <w:pPr>
              <w:pStyle w:val="NoSpacing"/>
              <w:rPr>
                <w:lang w:val="en-GB"/>
              </w:rPr>
            </w:pPr>
          </w:p>
          <w:p w14:paraId="1CF7C944" w14:textId="77777777" w:rsidR="0036416A" w:rsidRPr="00873FDE" w:rsidRDefault="0036416A" w:rsidP="0036416A">
            <w:pPr>
              <w:pStyle w:val="NoSpacing"/>
            </w:pPr>
            <w:r w:rsidRPr="00873FDE">
              <w:t xml:space="preserve">GDP = MVA/GDP*100. </w:t>
            </w:r>
          </w:p>
          <w:p w14:paraId="68F0F04B" w14:textId="77777777" w:rsidR="0036416A" w:rsidRPr="00873FDE" w:rsidRDefault="0036416A" w:rsidP="0036416A">
            <w:pPr>
              <w:autoSpaceDE w:val="0"/>
              <w:autoSpaceDN w:val="0"/>
              <w:adjustRightInd w:val="0"/>
              <w:rPr>
                <w:szCs w:val="20"/>
              </w:rPr>
            </w:pPr>
          </w:p>
          <w:p w14:paraId="7E3F6F18" w14:textId="77777777" w:rsidR="0036416A" w:rsidRPr="00873FDE" w:rsidRDefault="0036416A" w:rsidP="0036416A">
            <w:pPr>
              <w:pStyle w:val="Default"/>
              <w:rPr>
                <w:rFonts w:ascii="Tw Cen MT Condensed" w:hAnsi="Tw Cen MT Condensed" w:cstheme="minorBidi"/>
                <w:szCs w:val="20"/>
                <w:lang w:val="en-GB"/>
              </w:rPr>
            </w:pPr>
            <w:r w:rsidRPr="00873FDE">
              <w:rPr>
                <w:rFonts w:ascii="Tw Cen MT Condensed" w:hAnsi="Tw Cen MT Condensed" w:cstheme="minorBidi"/>
                <w:szCs w:val="20"/>
                <w:lang w:val="en-GB"/>
              </w:rPr>
              <w:t>MVA per capita = MVA/population</w:t>
            </w:r>
          </w:p>
        </w:tc>
        <w:tc>
          <w:tcPr>
            <w:tcW w:w="0" w:type="auto"/>
          </w:tcPr>
          <w:p w14:paraId="6295E39A" w14:textId="77777777" w:rsidR="0036416A" w:rsidRPr="00DC54C3" w:rsidRDefault="0036416A" w:rsidP="0036416A">
            <w:pPr>
              <w:rPr>
                <w:szCs w:val="20"/>
                <w:lang w:val="en-GB"/>
              </w:rPr>
            </w:pPr>
            <w:r w:rsidRPr="00873FDE">
              <w:rPr>
                <w:szCs w:val="20"/>
              </w:rPr>
              <w:t xml:space="preserve"> </w:t>
            </w:r>
            <w:r w:rsidRPr="00DC54C3">
              <w:rPr>
                <w:szCs w:val="20"/>
                <w:lang w:val="en-GB"/>
              </w:rPr>
              <w:t>United Nations Statistics Division (UNSD) and official publications</w:t>
            </w:r>
          </w:p>
          <w:p w14:paraId="2B497CC3" w14:textId="77777777" w:rsidR="0036416A" w:rsidRPr="00DC54C3" w:rsidRDefault="0036416A" w:rsidP="0036416A">
            <w:pPr>
              <w:rPr>
                <w:szCs w:val="20"/>
                <w:lang w:val="en-GB"/>
              </w:rPr>
            </w:pPr>
            <w:r w:rsidRPr="00DC54C3">
              <w:rPr>
                <w:szCs w:val="20"/>
                <w:lang w:val="en-GB"/>
              </w:rPr>
              <w:t>from national statistical offices (NSOs)</w:t>
            </w:r>
          </w:p>
          <w:p w14:paraId="3D441B4F" w14:textId="77777777" w:rsidR="0036416A" w:rsidRPr="00873FDE" w:rsidRDefault="0036416A" w:rsidP="0036416A">
            <w:pPr>
              <w:rPr>
                <w:szCs w:val="20"/>
              </w:rPr>
            </w:pPr>
          </w:p>
        </w:tc>
        <w:tc>
          <w:tcPr>
            <w:tcW w:w="0" w:type="auto"/>
          </w:tcPr>
          <w:p w14:paraId="78D870B3" w14:textId="77777777" w:rsidR="0036416A" w:rsidRDefault="0036416A" w:rsidP="0036416A">
            <w:pPr>
              <w:pStyle w:val="NoSpacing"/>
            </w:pPr>
            <w:r>
              <w:t>BBS</w:t>
            </w:r>
          </w:p>
          <w:p w14:paraId="22687C6A" w14:textId="68CE902B" w:rsidR="0036416A" w:rsidRDefault="0036416A" w:rsidP="0036416A">
            <w:pPr>
              <w:pStyle w:val="NoSpacing"/>
            </w:pPr>
            <w:r w:rsidRPr="00BC6F10">
              <w:t>NAW</w:t>
            </w:r>
          </w:p>
        </w:tc>
        <w:tc>
          <w:tcPr>
            <w:tcW w:w="0" w:type="auto"/>
          </w:tcPr>
          <w:p w14:paraId="1D79ABE0" w14:textId="77777777" w:rsidR="0036416A" w:rsidRDefault="0036416A" w:rsidP="0036416A">
            <w:pPr>
              <w:pStyle w:val="NoSpacing"/>
            </w:pPr>
            <w:r>
              <w:t>BBS</w:t>
            </w:r>
          </w:p>
          <w:p w14:paraId="5FC38125" w14:textId="77777777" w:rsidR="0036416A" w:rsidRDefault="0036416A" w:rsidP="0036416A">
            <w:pPr>
              <w:ind w:left="970" w:hanging="970"/>
              <w:jc w:val="both"/>
              <w:rPr>
                <w:color w:val="0070C0"/>
                <w:sz w:val="30"/>
                <w:szCs w:val="30"/>
              </w:rPr>
            </w:pPr>
            <w:r w:rsidRPr="00BC6F10">
              <w:t>NAW/SMI</w:t>
            </w:r>
          </w:p>
        </w:tc>
        <w:tc>
          <w:tcPr>
            <w:tcW w:w="0" w:type="auto"/>
          </w:tcPr>
          <w:p w14:paraId="6A3E614C"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Mode of transport: road, rail, air</w:t>
            </w:r>
          </w:p>
          <w:p w14:paraId="7627A049"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Country-pair</w:t>
            </w:r>
          </w:p>
          <w:p w14:paraId="693CFE23"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City pair</w:t>
            </w:r>
          </w:p>
          <w:p w14:paraId="63EE7B06"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Division</w:t>
            </w:r>
          </w:p>
          <w:p w14:paraId="4EF28E1D"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b/>
                <w:bCs/>
                <w:i/>
                <w:iCs/>
                <w:sz w:val="18"/>
                <w:szCs w:val="18"/>
              </w:rPr>
            </w:pPr>
            <w:r>
              <w:rPr>
                <w:rFonts w:ascii="Tw Cen MT Condensed" w:hAnsi="Tw Cen MT Condensed"/>
                <w:sz w:val="20"/>
                <w:szCs w:val="20"/>
              </w:rPr>
              <w:t>Segment: international, domestic</w:t>
            </w:r>
          </w:p>
          <w:p w14:paraId="4A42CED1" w14:textId="77777777" w:rsidR="0036416A" w:rsidRDefault="0036416A" w:rsidP="0036416A">
            <w:pPr>
              <w:ind w:left="970" w:hanging="970"/>
              <w:jc w:val="both"/>
              <w:rPr>
                <w:color w:val="0070C0"/>
                <w:sz w:val="30"/>
                <w:szCs w:val="30"/>
              </w:rPr>
            </w:pPr>
          </w:p>
        </w:tc>
        <w:tc>
          <w:tcPr>
            <w:tcW w:w="0" w:type="auto"/>
          </w:tcPr>
          <w:p w14:paraId="0005116E" w14:textId="77777777" w:rsidR="0036416A" w:rsidRDefault="0036416A" w:rsidP="0036416A">
            <w:pPr>
              <w:ind w:left="970" w:hanging="970"/>
              <w:jc w:val="both"/>
              <w:rPr>
                <w:color w:val="0070C0"/>
                <w:sz w:val="30"/>
                <w:szCs w:val="30"/>
              </w:rPr>
            </w:pPr>
            <w:r>
              <w:t>Annual</w:t>
            </w:r>
          </w:p>
        </w:tc>
        <w:tc>
          <w:tcPr>
            <w:tcW w:w="0" w:type="auto"/>
          </w:tcPr>
          <w:p w14:paraId="5D7A52D8" w14:textId="77777777" w:rsidR="0036416A" w:rsidRDefault="0036416A" w:rsidP="0036416A">
            <w:pPr>
              <w:ind w:left="970" w:hanging="970"/>
              <w:jc w:val="both"/>
              <w:rPr>
                <w:color w:val="0070C0"/>
                <w:sz w:val="30"/>
                <w:szCs w:val="30"/>
              </w:rPr>
            </w:pPr>
            <w:r>
              <w:t>Group 1</w:t>
            </w:r>
          </w:p>
        </w:tc>
        <w:tc>
          <w:tcPr>
            <w:tcW w:w="0" w:type="auto"/>
          </w:tcPr>
          <w:p w14:paraId="55876C58" w14:textId="77777777" w:rsidR="0036416A" w:rsidRDefault="0036416A" w:rsidP="0036416A">
            <w:pPr>
              <w:pStyle w:val="NoSpacing"/>
            </w:pPr>
            <w:r>
              <w:t>1</w:t>
            </w:r>
            <w:r w:rsidRPr="00013ACB">
              <w:rPr>
                <w:vertAlign w:val="superscript"/>
              </w:rPr>
              <w:t>st</w:t>
            </w:r>
            <w:r>
              <w:t xml:space="preserve"> Round: </w:t>
            </w:r>
          </w:p>
          <w:p w14:paraId="475454F1" w14:textId="77777777" w:rsidR="0036416A" w:rsidRDefault="0036416A" w:rsidP="0036416A">
            <w:pPr>
              <w:pStyle w:val="NoSpacing"/>
            </w:pPr>
            <w:r>
              <w:t>2015</w:t>
            </w:r>
          </w:p>
          <w:p w14:paraId="094B8DC0" w14:textId="77777777" w:rsidR="0036416A" w:rsidRDefault="0036416A" w:rsidP="0036416A">
            <w:pPr>
              <w:pStyle w:val="NoSpacing"/>
            </w:pPr>
            <w:r>
              <w:t>2</w:t>
            </w:r>
            <w:r w:rsidRPr="00013ACB">
              <w:rPr>
                <w:vertAlign w:val="superscript"/>
              </w:rPr>
              <w:t>nd</w:t>
            </w:r>
            <w:r>
              <w:t xml:space="preserve"> Round: </w:t>
            </w:r>
          </w:p>
          <w:p w14:paraId="3289BD51" w14:textId="77777777" w:rsidR="0036416A" w:rsidRDefault="0036416A" w:rsidP="0036416A">
            <w:pPr>
              <w:pStyle w:val="NoSpacing"/>
            </w:pPr>
            <w:r w:rsidRPr="00CA542A">
              <w:t>July 2019</w:t>
            </w:r>
          </w:p>
          <w:p w14:paraId="6930999A" w14:textId="77777777" w:rsidR="0036416A" w:rsidRDefault="0036416A" w:rsidP="0036416A">
            <w:pPr>
              <w:pStyle w:val="NoSpacing"/>
            </w:pPr>
          </w:p>
          <w:p w14:paraId="0881863C" w14:textId="77777777" w:rsidR="0036416A" w:rsidRDefault="0036416A" w:rsidP="0036416A">
            <w:pPr>
              <w:pStyle w:val="NoSpacing"/>
            </w:pPr>
            <w:r>
              <w:t>3</w:t>
            </w:r>
            <w:r w:rsidRPr="00013ACB">
              <w:rPr>
                <w:vertAlign w:val="superscript"/>
              </w:rPr>
              <w:t>rd</w:t>
            </w:r>
            <w:r>
              <w:t xml:space="preserve"> Round: </w:t>
            </w:r>
          </w:p>
          <w:p w14:paraId="6C0764BD" w14:textId="77777777" w:rsidR="0036416A" w:rsidRDefault="0036416A" w:rsidP="0036416A">
            <w:pPr>
              <w:pStyle w:val="NoSpacing"/>
            </w:pPr>
            <w:r>
              <w:t>July 2020</w:t>
            </w:r>
          </w:p>
          <w:p w14:paraId="72B0A8A8" w14:textId="77777777" w:rsidR="0036416A" w:rsidRDefault="0036416A" w:rsidP="0036416A">
            <w:pPr>
              <w:pStyle w:val="NoSpacing"/>
            </w:pPr>
            <w:r>
              <w:t>4</w:t>
            </w:r>
            <w:r w:rsidRPr="00013ACB">
              <w:rPr>
                <w:vertAlign w:val="superscript"/>
              </w:rPr>
              <w:t>th</w:t>
            </w:r>
            <w:r>
              <w:t xml:space="preserve"> Round: </w:t>
            </w:r>
          </w:p>
          <w:p w14:paraId="7E433AED" w14:textId="77777777" w:rsidR="0036416A" w:rsidRDefault="0036416A" w:rsidP="0036416A">
            <w:pPr>
              <w:pStyle w:val="NoSpacing"/>
            </w:pPr>
            <w:r>
              <w:t>July 2021</w:t>
            </w:r>
          </w:p>
          <w:p w14:paraId="743886B6" w14:textId="77777777" w:rsidR="0036416A" w:rsidRDefault="0036416A" w:rsidP="0036416A">
            <w:pPr>
              <w:pStyle w:val="NoSpacing"/>
            </w:pPr>
          </w:p>
          <w:p w14:paraId="3794F49F" w14:textId="77777777" w:rsidR="0036416A" w:rsidRDefault="0036416A" w:rsidP="0036416A">
            <w:pPr>
              <w:pStyle w:val="NoSpacing"/>
            </w:pPr>
            <w:r>
              <w:t>5</w:t>
            </w:r>
            <w:r w:rsidRPr="00013ACB">
              <w:rPr>
                <w:vertAlign w:val="superscript"/>
              </w:rPr>
              <w:t>th</w:t>
            </w:r>
            <w:r>
              <w:t xml:space="preserve"> Round: </w:t>
            </w:r>
          </w:p>
          <w:p w14:paraId="68793F04" w14:textId="77777777" w:rsidR="0036416A" w:rsidRDefault="0036416A" w:rsidP="0036416A">
            <w:pPr>
              <w:pStyle w:val="NoSpacing"/>
            </w:pPr>
            <w:r>
              <w:t>July 2022</w:t>
            </w:r>
          </w:p>
          <w:p w14:paraId="38C916EA" w14:textId="577DB90E" w:rsidR="0036416A" w:rsidRDefault="0036416A" w:rsidP="0036416A">
            <w:pPr>
              <w:pStyle w:val="NoSpacing"/>
            </w:pPr>
          </w:p>
        </w:tc>
        <w:tc>
          <w:tcPr>
            <w:tcW w:w="0" w:type="auto"/>
          </w:tcPr>
          <w:p w14:paraId="1580ECAC" w14:textId="77777777" w:rsidR="0036416A" w:rsidRDefault="0036416A" w:rsidP="0036416A">
            <w:pPr>
              <w:ind w:left="970" w:hanging="970"/>
              <w:jc w:val="both"/>
              <w:rPr>
                <w:color w:val="0070C0"/>
                <w:sz w:val="30"/>
                <w:szCs w:val="30"/>
              </w:rPr>
            </w:pPr>
          </w:p>
        </w:tc>
      </w:tr>
      <w:tr w:rsidR="0036416A" w14:paraId="575A8CDF" w14:textId="77777777" w:rsidTr="00DB32C0">
        <w:tc>
          <w:tcPr>
            <w:tcW w:w="0" w:type="auto"/>
          </w:tcPr>
          <w:p w14:paraId="52E1ACAD" w14:textId="77777777" w:rsidR="0036416A" w:rsidRDefault="0036416A" w:rsidP="0036416A">
            <w:pPr>
              <w:pStyle w:val="NoSpacing"/>
            </w:pPr>
            <w:r w:rsidRPr="00292850">
              <w:lastRenderedPageBreak/>
              <w:t>9.2.2 Manufacturing employment as a proportion of total employment</w:t>
            </w:r>
          </w:p>
        </w:tc>
        <w:tc>
          <w:tcPr>
            <w:tcW w:w="0" w:type="auto"/>
          </w:tcPr>
          <w:p w14:paraId="36AA4A2E" w14:textId="77777777" w:rsidR="0036416A" w:rsidRDefault="0036416A" w:rsidP="0036416A">
            <w:pPr>
              <w:pStyle w:val="NoSpacing"/>
            </w:pPr>
          </w:p>
          <w:p w14:paraId="3DEC9EAD" w14:textId="77777777" w:rsidR="0036416A" w:rsidRDefault="0036416A" w:rsidP="0036416A">
            <w:pPr>
              <w:ind w:left="970" w:hanging="970"/>
              <w:jc w:val="both"/>
              <w:rPr>
                <w:color w:val="0070C0"/>
                <w:sz w:val="30"/>
                <w:szCs w:val="30"/>
              </w:rPr>
            </w:pPr>
            <w:r w:rsidRPr="007A7507">
              <w:rPr>
                <w:b/>
                <w:bCs/>
                <w:szCs w:val="20"/>
              </w:rPr>
              <w:t>UNIDO</w:t>
            </w:r>
          </w:p>
        </w:tc>
        <w:tc>
          <w:tcPr>
            <w:tcW w:w="0" w:type="auto"/>
          </w:tcPr>
          <w:p w14:paraId="39903621" w14:textId="77777777" w:rsidR="0036416A" w:rsidRDefault="0036416A" w:rsidP="0036416A">
            <w:pPr>
              <w:ind w:left="970" w:hanging="970"/>
              <w:jc w:val="both"/>
              <w:rPr>
                <w:color w:val="0070C0"/>
                <w:sz w:val="30"/>
                <w:szCs w:val="30"/>
              </w:rPr>
            </w:pPr>
            <w:r w:rsidRPr="00666486">
              <w:t>Tier I</w:t>
            </w:r>
          </w:p>
        </w:tc>
        <w:tc>
          <w:tcPr>
            <w:tcW w:w="0" w:type="auto"/>
          </w:tcPr>
          <w:p w14:paraId="6C795D50" w14:textId="77777777" w:rsidR="0036416A" w:rsidRDefault="0036416A" w:rsidP="0036416A">
            <w:pPr>
              <w:pStyle w:val="NoSpacing"/>
            </w:pPr>
            <w:r>
              <w:t>Definition:</w:t>
            </w:r>
          </w:p>
          <w:p w14:paraId="06FDB14A" w14:textId="77777777" w:rsidR="0036416A" w:rsidRDefault="0036416A" w:rsidP="0036416A">
            <w:pPr>
              <w:pStyle w:val="NoSpacing"/>
            </w:pPr>
          </w:p>
          <w:p w14:paraId="4D8714A9" w14:textId="77777777" w:rsidR="0036416A" w:rsidRDefault="0036416A" w:rsidP="0036416A">
            <w:pPr>
              <w:pStyle w:val="NoSpacing"/>
            </w:pPr>
            <w:r>
              <w:t>The indicator is represented by the share of manufacturing employment in total employment.</w:t>
            </w:r>
          </w:p>
          <w:p w14:paraId="52307AC0" w14:textId="77777777" w:rsidR="0036416A" w:rsidRDefault="0036416A" w:rsidP="0036416A">
            <w:pPr>
              <w:pStyle w:val="NoSpacing"/>
            </w:pPr>
          </w:p>
          <w:p w14:paraId="28E1EC0C" w14:textId="77777777" w:rsidR="0036416A" w:rsidRDefault="0036416A" w:rsidP="0036416A">
            <w:pPr>
              <w:pStyle w:val="NoSpacing"/>
            </w:pPr>
            <w:r>
              <w:t>Concepts:</w:t>
            </w:r>
          </w:p>
          <w:p w14:paraId="7E294918" w14:textId="77777777" w:rsidR="0036416A" w:rsidRDefault="0036416A" w:rsidP="0036416A">
            <w:pPr>
              <w:pStyle w:val="NoSpacing"/>
            </w:pPr>
          </w:p>
          <w:p w14:paraId="10E61B87" w14:textId="77777777" w:rsidR="0036416A" w:rsidRDefault="0036416A" w:rsidP="0036416A">
            <w:pPr>
              <w:pStyle w:val="NoSpacing"/>
            </w:pPr>
            <w:r>
              <w:t>Employment comprises all persons of working age who during a short reference period (one week), were engaged in any activity to produce goods or provide services for pay or profit. The working-age population is usually defined as all persons aged 15 and above. Employed persons are all persons of working age who, during a specified brief period (e.g. a day or a week), were either employed in a paid capacity or self-employed. For further clarification, see: Resolution concerning statistics of work, employment and labour underutilization (2013), available from http://ilo.org/global/statistics-and-databases/standards-and-guidelines/resolutions-adopted-by-international-conferences-of-labour-statisticians/WCMS_230304/lang--en/index.htm. No distinction is made between persons employed full time and those working less than full time.</w:t>
            </w:r>
          </w:p>
          <w:p w14:paraId="66BABC9E" w14:textId="77777777" w:rsidR="0036416A" w:rsidRDefault="0036416A" w:rsidP="0036416A">
            <w:pPr>
              <w:pStyle w:val="NoSpacing"/>
            </w:pPr>
          </w:p>
          <w:p w14:paraId="24E2EA8B" w14:textId="77777777" w:rsidR="0036416A" w:rsidRDefault="0036416A" w:rsidP="0036416A">
            <w:pPr>
              <w:pStyle w:val="NoSpacing"/>
            </w:pPr>
            <w:r>
              <w:t xml:space="preserve">Manufacturing sector is defined according to the International Standard Industrial Classification of all Economic Activities (ISIC) revision 3 (1990) or revision 4 (2008, the latest) Oor revision 3 (1990). It refers to industries belonging to sector C in revision 4 or sector D in revision 3. </w:t>
            </w:r>
            <w:proofErr w:type="gramStart"/>
            <w:r>
              <w:t>or</w:t>
            </w:r>
            <w:proofErr w:type="gramEnd"/>
            <w:r>
              <w:t xml:space="preserve"> sector C in revision 4.</w:t>
            </w:r>
          </w:p>
          <w:p w14:paraId="304C949D" w14:textId="77777777" w:rsidR="0036416A" w:rsidRDefault="0036416A" w:rsidP="0036416A">
            <w:pPr>
              <w:pStyle w:val="NoSpacing"/>
            </w:pPr>
          </w:p>
          <w:p w14:paraId="04EE14C5" w14:textId="77777777" w:rsidR="0036416A" w:rsidRDefault="0036416A" w:rsidP="0036416A">
            <w:pPr>
              <w:pStyle w:val="NoSpacing"/>
            </w:pPr>
            <w:r>
              <w:t>Comments and limitations:</w:t>
            </w:r>
          </w:p>
          <w:p w14:paraId="3C9F72DA" w14:textId="77777777" w:rsidR="0036416A" w:rsidRDefault="0036416A" w:rsidP="0036416A">
            <w:pPr>
              <w:pStyle w:val="NoSpacing"/>
            </w:pPr>
          </w:p>
          <w:p w14:paraId="4C05F241" w14:textId="77777777" w:rsidR="0036416A" w:rsidRDefault="0036416A" w:rsidP="0036416A">
            <w:pPr>
              <w:pStyle w:val="NoSpacing"/>
            </w:pPr>
            <w:r>
              <w:t xml:space="preserve">The characteristics of the data source impact the international comparability of the data, especially in cases where the coverage of the source is less than comprehensive (either in terms of country territory or economic activities). In the absence of a labour force survey (the preferred source of data for this indicator), some countries may use an establishment survey to derive this indicator, but these usually </w:t>
            </w:r>
            <w:proofErr w:type="gramStart"/>
            <w:r>
              <w:t>have  a</w:t>
            </w:r>
            <w:proofErr w:type="gramEnd"/>
            <w:r>
              <w:t xml:space="preserve"> cut-off points such that small units which are not officially registered (whether in manufacturing or not) are not included in the survey and consequently, employment data may be underestimated. Discrepancies can also be caused by differences in the definition of employment or working age. </w:t>
            </w:r>
          </w:p>
          <w:p w14:paraId="1B2B9862" w14:textId="77777777" w:rsidR="0036416A" w:rsidRDefault="0036416A" w:rsidP="0036416A">
            <w:pPr>
              <w:pStyle w:val="NoSpacing"/>
            </w:pPr>
          </w:p>
          <w:p w14:paraId="7281A93C" w14:textId="77777777" w:rsidR="0036416A" w:rsidRDefault="0036416A" w:rsidP="0036416A">
            <w:pPr>
              <w:pStyle w:val="NoSpacing"/>
            </w:pPr>
            <w:r>
              <w:t>Computation Method:</w:t>
            </w:r>
          </w:p>
          <w:p w14:paraId="7346677E" w14:textId="77777777" w:rsidR="0036416A" w:rsidRDefault="004B4A24" w:rsidP="0036416A">
            <w:pPr>
              <w:pStyle w:val="NoSpacing"/>
            </w:pPr>
            <m:oMathPara>
              <m:oMath>
                <m:f>
                  <m:fPr>
                    <m:ctrlPr>
                      <w:rPr>
                        <w:rFonts w:ascii="Cambria Math" w:hAnsi="Cambria Math"/>
                        <w:i/>
                      </w:rPr>
                    </m:ctrlPr>
                  </m:fPr>
                  <m:num>
                    <m:r>
                      <m:rPr>
                        <m:sty m:val="p"/>
                      </m:rPr>
                      <w:rPr>
                        <w:rFonts w:ascii="Cambria Math" w:hAnsi="Cambria Math"/>
                      </w:rPr>
                      <m:t xml:space="preserve">Total employment in manufacturing activities </m:t>
                    </m:r>
                  </m:num>
                  <m:den>
                    <m:r>
                      <m:rPr>
                        <m:sty m:val="p"/>
                      </m:rPr>
                      <w:rPr>
                        <w:rFonts w:ascii="Cambria Math" w:hAnsi="Cambria Math"/>
                      </w:rPr>
                      <m:t>Total employment in all economic activities</m:t>
                    </m:r>
                  </m:den>
                </m:f>
                <m:r>
                  <w:rPr>
                    <w:rFonts w:ascii="Cambria Math" w:hAnsi="Cambria Math"/>
                  </w:rPr>
                  <m:t>*100</m:t>
                </m:r>
              </m:oMath>
            </m:oMathPara>
          </w:p>
          <w:p w14:paraId="6EFD40FC" w14:textId="34E91D56" w:rsidR="0036416A" w:rsidRDefault="0036416A" w:rsidP="0036416A">
            <w:pPr>
              <w:pStyle w:val="NoSpacing"/>
            </w:pPr>
          </w:p>
        </w:tc>
        <w:tc>
          <w:tcPr>
            <w:tcW w:w="0" w:type="auto"/>
          </w:tcPr>
          <w:p w14:paraId="2405D845" w14:textId="6E1734FF" w:rsidR="0036416A" w:rsidRDefault="0036416A" w:rsidP="0036416A">
            <w:pPr>
              <w:pStyle w:val="NoSpacing"/>
              <w:rPr>
                <w:sz w:val="21"/>
                <w:szCs w:val="21"/>
              </w:rPr>
            </w:pPr>
          </w:p>
          <w:p w14:paraId="04B2F943" w14:textId="6DBA3635" w:rsidR="00053298" w:rsidRDefault="00053298" w:rsidP="0036416A">
            <w:pPr>
              <w:pStyle w:val="NoSpacing"/>
            </w:pPr>
            <w:r>
              <w:rPr>
                <w:noProof/>
              </w:rPr>
              <w:t>variety of sources, including labour force surveys and other similar types of household surveys, establishment surveys and administrative records</w:t>
            </w:r>
          </w:p>
        </w:tc>
        <w:tc>
          <w:tcPr>
            <w:tcW w:w="0" w:type="auto"/>
          </w:tcPr>
          <w:p w14:paraId="6111409A" w14:textId="218D9C6C" w:rsidR="0036416A" w:rsidRDefault="0036416A" w:rsidP="0036416A">
            <w:pPr>
              <w:pStyle w:val="NoSpacing"/>
            </w:pPr>
            <w:r>
              <w:t>ILO, UNIDO</w:t>
            </w:r>
            <w:r w:rsidR="00053298">
              <w:t>,</w:t>
            </w:r>
          </w:p>
          <w:p w14:paraId="1BBE7E27" w14:textId="75FA61FA" w:rsidR="00053298" w:rsidRDefault="00053298" w:rsidP="0036416A">
            <w:pPr>
              <w:pStyle w:val="NoSpacing"/>
            </w:pPr>
            <w:r>
              <w:t>NSO</w:t>
            </w:r>
          </w:p>
          <w:p w14:paraId="6DE835CD" w14:textId="77777777" w:rsidR="0036416A" w:rsidRPr="00A348D9" w:rsidRDefault="0036416A" w:rsidP="0036416A">
            <w:pPr>
              <w:pStyle w:val="NoSpacing"/>
            </w:pPr>
          </w:p>
        </w:tc>
        <w:tc>
          <w:tcPr>
            <w:tcW w:w="0" w:type="auto"/>
          </w:tcPr>
          <w:p w14:paraId="0064DBDC" w14:textId="77777777" w:rsidR="0036416A" w:rsidRDefault="0036416A" w:rsidP="0036416A">
            <w:pPr>
              <w:pStyle w:val="NoSpacing"/>
            </w:pPr>
            <w:r>
              <w:t>BBS</w:t>
            </w:r>
          </w:p>
          <w:p w14:paraId="38532711" w14:textId="77777777" w:rsidR="0036416A" w:rsidRDefault="0036416A" w:rsidP="0036416A">
            <w:pPr>
              <w:pStyle w:val="NoSpacing"/>
            </w:pPr>
            <w:r>
              <w:t>LFS</w:t>
            </w:r>
          </w:p>
        </w:tc>
        <w:tc>
          <w:tcPr>
            <w:tcW w:w="0" w:type="auto"/>
          </w:tcPr>
          <w:p w14:paraId="690E8E18" w14:textId="77777777" w:rsidR="0036416A" w:rsidRDefault="0036416A" w:rsidP="0036416A">
            <w:pPr>
              <w:pStyle w:val="NoSpacing"/>
            </w:pPr>
            <w:r>
              <w:t>BBS</w:t>
            </w:r>
          </w:p>
          <w:p w14:paraId="6E6E0B8D" w14:textId="77777777" w:rsidR="0036416A" w:rsidRDefault="0036416A" w:rsidP="0036416A">
            <w:pPr>
              <w:pStyle w:val="NoSpacing"/>
            </w:pPr>
            <w:r>
              <w:t>QLFS</w:t>
            </w:r>
          </w:p>
        </w:tc>
        <w:tc>
          <w:tcPr>
            <w:tcW w:w="0" w:type="auto"/>
          </w:tcPr>
          <w:p w14:paraId="0EBE2274"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Gender: Male, Female, Transgender</w:t>
            </w:r>
          </w:p>
          <w:p w14:paraId="2F3C63EE" w14:textId="77777777" w:rsidR="0036416A" w:rsidRDefault="0036416A" w:rsidP="0036416A">
            <w:pPr>
              <w:ind w:left="970" w:hanging="970"/>
              <w:jc w:val="both"/>
              <w:rPr>
                <w:color w:val="0070C0"/>
                <w:sz w:val="30"/>
                <w:szCs w:val="30"/>
              </w:rPr>
            </w:pPr>
          </w:p>
        </w:tc>
        <w:tc>
          <w:tcPr>
            <w:tcW w:w="0" w:type="auto"/>
          </w:tcPr>
          <w:p w14:paraId="3AD2663F" w14:textId="77777777" w:rsidR="0036416A" w:rsidRDefault="0036416A" w:rsidP="0036416A">
            <w:pPr>
              <w:ind w:left="970" w:hanging="970"/>
              <w:jc w:val="both"/>
              <w:rPr>
                <w:color w:val="0070C0"/>
                <w:sz w:val="30"/>
                <w:szCs w:val="30"/>
              </w:rPr>
            </w:pPr>
            <w:r w:rsidRPr="00BC6F10">
              <w:t>Triennial</w:t>
            </w:r>
          </w:p>
        </w:tc>
        <w:tc>
          <w:tcPr>
            <w:tcW w:w="0" w:type="auto"/>
          </w:tcPr>
          <w:p w14:paraId="34A94EFC" w14:textId="77777777" w:rsidR="0036416A" w:rsidRDefault="0036416A" w:rsidP="0036416A">
            <w:pPr>
              <w:ind w:left="970" w:hanging="970"/>
              <w:jc w:val="both"/>
              <w:rPr>
                <w:color w:val="0070C0"/>
                <w:sz w:val="30"/>
                <w:szCs w:val="30"/>
              </w:rPr>
            </w:pPr>
            <w:r>
              <w:t>Group 1</w:t>
            </w:r>
          </w:p>
        </w:tc>
        <w:tc>
          <w:tcPr>
            <w:tcW w:w="0" w:type="auto"/>
          </w:tcPr>
          <w:p w14:paraId="7E03BBE6" w14:textId="77777777" w:rsidR="0036416A" w:rsidRDefault="0036416A" w:rsidP="0036416A">
            <w:pPr>
              <w:pStyle w:val="NoSpacing"/>
            </w:pPr>
            <w:r>
              <w:t>1</w:t>
            </w:r>
            <w:r w:rsidRPr="00013ACB">
              <w:rPr>
                <w:vertAlign w:val="superscript"/>
              </w:rPr>
              <w:t>st</w:t>
            </w:r>
            <w:r>
              <w:t xml:space="preserve"> Round: </w:t>
            </w:r>
          </w:p>
          <w:p w14:paraId="704C7152" w14:textId="77777777" w:rsidR="0036416A" w:rsidRDefault="0036416A" w:rsidP="0036416A">
            <w:pPr>
              <w:pStyle w:val="NoSpacing"/>
            </w:pPr>
            <w:r>
              <w:t>2016</w:t>
            </w:r>
          </w:p>
          <w:p w14:paraId="3FA43FEA" w14:textId="77777777" w:rsidR="0036416A" w:rsidRDefault="0036416A" w:rsidP="0036416A">
            <w:pPr>
              <w:pStyle w:val="NoSpacing"/>
            </w:pPr>
          </w:p>
          <w:p w14:paraId="1B34C7DB" w14:textId="77777777" w:rsidR="0036416A" w:rsidRDefault="0036416A" w:rsidP="0036416A">
            <w:pPr>
              <w:pStyle w:val="NoSpacing"/>
            </w:pPr>
            <w:r>
              <w:t>2</w:t>
            </w:r>
            <w:r w:rsidRPr="00013ACB">
              <w:rPr>
                <w:vertAlign w:val="superscript"/>
              </w:rPr>
              <w:t>nd</w:t>
            </w:r>
            <w:r>
              <w:t xml:space="preserve"> Round: </w:t>
            </w:r>
          </w:p>
          <w:p w14:paraId="52E3D9D9" w14:textId="77777777" w:rsidR="0036416A" w:rsidRDefault="0036416A" w:rsidP="0036416A">
            <w:pPr>
              <w:pStyle w:val="NoSpacing"/>
            </w:pPr>
            <w:r>
              <w:t>December 2020</w:t>
            </w:r>
          </w:p>
          <w:p w14:paraId="0A294A01" w14:textId="77777777" w:rsidR="0036416A" w:rsidRDefault="0036416A" w:rsidP="0036416A">
            <w:pPr>
              <w:pStyle w:val="NoSpacing"/>
            </w:pPr>
          </w:p>
          <w:p w14:paraId="6D08B89D" w14:textId="77777777" w:rsidR="0036416A" w:rsidRDefault="0036416A" w:rsidP="0036416A">
            <w:pPr>
              <w:pStyle w:val="NoSpacing"/>
            </w:pPr>
            <w:r>
              <w:t>3</w:t>
            </w:r>
            <w:r w:rsidRPr="00013ACB">
              <w:rPr>
                <w:vertAlign w:val="superscript"/>
              </w:rPr>
              <w:t>rd</w:t>
            </w:r>
            <w:r>
              <w:t xml:space="preserve"> Round: </w:t>
            </w:r>
          </w:p>
          <w:p w14:paraId="029F5E58" w14:textId="77777777" w:rsidR="0036416A" w:rsidRDefault="0036416A" w:rsidP="0036416A">
            <w:pPr>
              <w:pStyle w:val="NoSpacing"/>
            </w:pPr>
            <w:r>
              <w:t>December 2023</w:t>
            </w:r>
          </w:p>
          <w:p w14:paraId="36F2FA76" w14:textId="77777777" w:rsidR="0036416A" w:rsidRDefault="0036416A" w:rsidP="0036416A">
            <w:pPr>
              <w:pStyle w:val="NoSpacing"/>
            </w:pPr>
          </w:p>
          <w:p w14:paraId="227F45F5" w14:textId="77777777" w:rsidR="0036416A" w:rsidRDefault="0036416A" w:rsidP="0036416A">
            <w:pPr>
              <w:pStyle w:val="NoSpacing"/>
            </w:pPr>
            <w:r>
              <w:t>4</w:t>
            </w:r>
            <w:r w:rsidRPr="00013ACB">
              <w:rPr>
                <w:vertAlign w:val="superscript"/>
              </w:rPr>
              <w:t>th</w:t>
            </w:r>
            <w:r>
              <w:t xml:space="preserve"> Round: </w:t>
            </w:r>
          </w:p>
          <w:p w14:paraId="07AB7E41" w14:textId="77777777" w:rsidR="0036416A" w:rsidRDefault="0036416A" w:rsidP="0036416A">
            <w:pPr>
              <w:pStyle w:val="NoSpacing"/>
            </w:pPr>
            <w:r>
              <w:t>December 2026</w:t>
            </w:r>
          </w:p>
          <w:p w14:paraId="59174A92" w14:textId="77777777" w:rsidR="0036416A" w:rsidRDefault="0036416A" w:rsidP="0036416A">
            <w:pPr>
              <w:pStyle w:val="NoSpacing"/>
            </w:pPr>
          </w:p>
          <w:p w14:paraId="6D949D66" w14:textId="77777777" w:rsidR="0036416A" w:rsidRDefault="0036416A" w:rsidP="0036416A">
            <w:pPr>
              <w:pStyle w:val="NoSpacing"/>
            </w:pPr>
            <w:r>
              <w:t>5</w:t>
            </w:r>
            <w:r w:rsidRPr="00013ACB">
              <w:rPr>
                <w:vertAlign w:val="superscript"/>
              </w:rPr>
              <w:t>th</w:t>
            </w:r>
            <w:r>
              <w:t xml:space="preserve"> Round: </w:t>
            </w:r>
          </w:p>
          <w:p w14:paraId="79675480" w14:textId="77777777" w:rsidR="0036416A" w:rsidRDefault="0036416A" w:rsidP="0036416A">
            <w:pPr>
              <w:pStyle w:val="NoSpacing"/>
            </w:pPr>
            <w:r>
              <w:t>December 2029</w:t>
            </w:r>
          </w:p>
          <w:p w14:paraId="5E47FA0E" w14:textId="0B5902CA" w:rsidR="0036416A" w:rsidRDefault="0036416A" w:rsidP="0036416A">
            <w:pPr>
              <w:pStyle w:val="NoSpacing"/>
              <w:rPr>
                <w:color w:val="0070C0"/>
                <w:sz w:val="30"/>
                <w:szCs w:val="30"/>
              </w:rPr>
            </w:pPr>
          </w:p>
        </w:tc>
        <w:tc>
          <w:tcPr>
            <w:tcW w:w="0" w:type="auto"/>
          </w:tcPr>
          <w:p w14:paraId="0A50C321" w14:textId="77777777" w:rsidR="0036416A" w:rsidRDefault="0036416A" w:rsidP="0036416A">
            <w:pPr>
              <w:ind w:left="970" w:hanging="970"/>
              <w:jc w:val="both"/>
              <w:rPr>
                <w:color w:val="0070C0"/>
                <w:sz w:val="30"/>
                <w:szCs w:val="30"/>
              </w:rPr>
            </w:pPr>
          </w:p>
        </w:tc>
      </w:tr>
      <w:tr w:rsidR="00A64F0D" w14:paraId="388C3E55" w14:textId="77777777" w:rsidTr="006856A8">
        <w:tc>
          <w:tcPr>
            <w:tcW w:w="0" w:type="auto"/>
            <w:gridSpan w:val="13"/>
          </w:tcPr>
          <w:p w14:paraId="3FC9B75D" w14:textId="77777777" w:rsidR="00A64F0D" w:rsidRDefault="00A64F0D" w:rsidP="0036416A">
            <w:pPr>
              <w:rPr>
                <w:color w:val="FF0000"/>
                <w:sz w:val="32"/>
                <w:szCs w:val="32"/>
              </w:rPr>
            </w:pPr>
            <w:r>
              <w:rPr>
                <w:color w:val="0070C0"/>
                <w:sz w:val="30"/>
                <w:szCs w:val="30"/>
              </w:rPr>
              <w:t xml:space="preserve">Target </w:t>
            </w:r>
            <w:r w:rsidRPr="006429A5">
              <w:rPr>
                <w:color w:val="0070C0"/>
                <w:sz w:val="30"/>
                <w:szCs w:val="30"/>
              </w:rPr>
              <w:t xml:space="preserve">9.3 Increase the access of small-scale industrial and other enterprises, in particular in developing countries, to financial services, including affordable credit, and their integration into value chains and </w:t>
            </w:r>
            <w:r w:rsidRPr="006429A5">
              <w:rPr>
                <w:color w:val="0070C0"/>
                <w:sz w:val="30"/>
                <w:szCs w:val="30"/>
              </w:rPr>
              <w:lastRenderedPageBreak/>
              <w:t>markets</w:t>
            </w:r>
          </w:p>
        </w:tc>
      </w:tr>
      <w:tr w:rsidR="0036416A" w14:paraId="4FF4E1A1" w14:textId="77777777" w:rsidTr="00DB32C0">
        <w:tc>
          <w:tcPr>
            <w:tcW w:w="0" w:type="auto"/>
          </w:tcPr>
          <w:p w14:paraId="77400AA8" w14:textId="77777777" w:rsidR="0036416A" w:rsidRDefault="0036416A" w:rsidP="0036416A">
            <w:pPr>
              <w:pStyle w:val="NoSpacing"/>
            </w:pPr>
            <w:r w:rsidRPr="00292850">
              <w:lastRenderedPageBreak/>
              <w:t>9.3.1 Proportion of small-scale industries in total industry value added</w:t>
            </w:r>
          </w:p>
        </w:tc>
        <w:tc>
          <w:tcPr>
            <w:tcW w:w="0" w:type="auto"/>
          </w:tcPr>
          <w:p w14:paraId="6EE5CFAE" w14:textId="77777777" w:rsidR="0036416A" w:rsidRDefault="0036416A" w:rsidP="0036416A">
            <w:pPr>
              <w:pStyle w:val="NoSpacing"/>
            </w:pPr>
            <w:r w:rsidRPr="007A7507">
              <w:t>UNIDO</w:t>
            </w:r>
          </w:p>
          <w:p w14:paraId="015D41C6" w14:textId="77777777" w:rsidR="0036416A" w:rsidRDefault="0036416A" w:rsidP="0036416A">
            <w:pPr>
              <w:rPr>
                <w:b/>
                <w:bCs/>
                <w:szCs w:val="20"/>
              </w:rPr>
            </w:pPr>
            <w:r w:rsidRPr="007243FC">
              <w:rPr>
                <w:b/>
                <w:bCs/>
                <w:szCs w:val="20"/>
              </w:rPr>
              <w:t>Partner Agencies:</w:t>
            </w:r>
          </w:p>
          <w:p w14:paraId="71B0EA45" w14:textId="77777777" w:rsidR="0036416A" w:rsidRDefault="0036416A" w:rsidP="0036416A">
            <w:pPr>
              <w:pStyle w:val="NoSpacing"/>
            </w:pPr>
            <w:r w:rsidRPr="007A7507">
              <w:t>UNCDF</w:t>
            </w:r>
          </w:p>
        </w:tc>
        <w:tc>
          <w:tcPr>
            <w:tcW w:w="0" w:type="auto"/>
          </w:tcPr>
          <w:p w14:paraId="2B1852C1" w14:textId="77777777" w:rsidR="0036416A" w:rsidRDefault="0036416A" w:rsidP="0036416A">
            <w:pPr>
              <w:pStyle w:val="NoSpacing"/>
            </w:pPr>
            <w:r w:rsidRPr="00253629">
              <w:t>Tier II</w:t>
            </w:r>
          </w:p>
        </w:tc>
        <w:tc>
          <w:tcPr>
            <w:tcW w:w="0" w:type="auto"/>
          </w:tcPr>
          <w:p w14:paraId="5F2B7487" w14:textId="77777777" w:rsidR="0036416A" w:rsidRDefault="0036416A" w:rsidP="0036416A">
            <w:pPr>
              <w:pStyle w:val="NoSpacing"/>
            </w:pPr>
            <w:r>
              <w:t>Definition:</w:t>
            </w:r>
          </w:p>
          <w:p w14:paraId="212244A6" w14:textId="77777777" w:rsidR="0036416A" w:rsidRDefault="0036416A" w:rsidP="0036416A">
            <w:pPr>
              <w:pStyle w:val="NoSpacing"/>
            </w:pPr>
          </w:p>
          <w:p w14:paraId="3AB05378" w14:textId="77777777" w:rsidR="0036416A" w:rsidRDefault="0036416A" w:rsidP="0036416A">
            <w:pPr>
              <w:pStyle w:val="NoSpacing"/>
            </w:pPr>
            <w:r>
              <w:t>Small-scale industrial enterprises, in the SDG framework also called “small-scale industries”, defined here for the purpose of statistical data collection and compilation refer to statistical units, generally enterprises, engaged in production of goods and services for market below a designated size class.</w:t>
            </w:r>
          </w:p>
          <w:p w14:paraId="197F0128" w14:textId="77777777" w:rsidR="0036416A" w:rsidRDefault="0036416A" w:rsidP="0036416A">
            <w:pPr>
              <w:pStyle w:val="NoSpacing"/>
            </w:pPr>
          </w:p>
          <w:p w14:paraId="385C17D9" w14:textId="77777777" w:rsidR="0036416A" w:rsidRDefault="0036416A" w:rsidP="0036416A">
            <w:pPr>
              <w:pStyle w:val="NoSpacing"/>
            </w:pPr>
            <w:r>
              <w:t>Proportion of “small-scale industries” in total industry value added represents an indicator calculating the share of manufacturing value added of small-scale manufacturing enterprises in the total manufacturing value added.</w:t>
            </w:r>
          </w:p>
          <w:p w14:paraId="400BC223" w14:textId="77777777" w:rsidR="0036416A" w:rsidRDefault="0036416A" w:rsidP="0036416A">
            <w:pPr>
              <w:pStyle w:val="NoSpacing"/>
            </w:pPr>
          </w:p>
          <w:p w14:paraId="1E239E8B" w14:textId="77777777" w:rsidR="0036416A" w:rsidRDefault="0036416A" w:rsidP="0036416A">
            <w:pPr>
              <w:pStyle w:val="NoSpacing"/>
            </w:pPr>
            <w:r>
              <w:t>Concepts:</w:t>
            </w:r>
          </w:p>
          <w:p w14:paraId="57860E91" w14:textId="77777777" w:rsidR="0036416A" w:rsidRDefault="0036416A" w:rsidP="0036416A">
            <w:pPr>
              <w:pStyle w:val="NoSpacing"/>
            </w:pPr>
          </w:p>
          <w:p w14:paraId="4CE9A2DF" w14:textId="77777777" w:rsidR="0036416A" w:rsidRDefault="0036416A" w:rsidP="0036416A">
            <w:pPr>
              <w:pStyle w:val="NoSpacing"/>
            </w:pPr>
            <w:r>
              <w:t>International recommendations for industrial statistics 2008 (IRIS 2008) (United Nations, 2011) define an enterprise as the smallest legal unit that constitutes an organizational unit producing goods or services. The enterprise is the basic statistical unit at which all information relating to its production activities and transactions, including financial and balance-sheet accounts, are maintained. It is also used for institutional sector classification in the 2008 System of National Accounts.</w:t>
            </w:r>
          </w:p>
          <w:p w14:paraId="3A1A28D1" w14:textId="77777777" w:rsidR="0036416A" w:rsidRDefault="0036416A" w:rsidP="0036416A">
            <w:pPr>
              <w:pStyle w:val="NoSpacing"/>
            </w:pPr>
          </w:p>
          <w:p w14:paraId="189CB1AB" w14:textId="77777777" w:rsidR="0036416A" w:rsidRDefault="0036416A" w:rsidP="0036416A">
            <w:pPr>
              <w:pStyle w:val="NoSpacing"/>
            </w:pPr>
            <w:r>
              <w:t>An establishment is defined as an enterprise or part of an enterprise that is situated in a single location and in which only a single productive activity is carried out or in which the principal productive activity accounts for most of the value added. An establishment can be defined ideally as an economic unit that engages, under single ownership or control, that is, under a single legal entity, in one, or predominantly one, kind of economic activity at a single physical location. Mines, factories and workshops are examples. This ideal concept of an establishment is applicable to many of the situations encountered in industrial inquiries, particularly in manufacturing.</w:t>
            </w:r>
          </w:p>
          <w:p w14:paraId="4E58BB7F" w14:textId="77777777" w:rsidR="0036416A" w:rsidRDefault="0036416A" w:rsidP="0036416A">
            <w:pPr>
              <w:pStyle w:val="NoSpacing"/>
            </w:pPr>
          </w:p>
          <w:p w14:paraId="3D1DD0D4" w14:textId="77777777" w:rsidR="0036416A" w:rsidRDefault="0036416A" w:rsidP="0036416A">
            <w:pPr>
              <w:pStyle w:val="NoSpacing"/>
            </w:pPr>
            <w:r>
              <w:t>Although the definition of an establishment allows for the possibility that there may be one or more secondary activities carried out in it, their magnitude should be small compared with that of the principal activity. If a secondary activity within an establishment is as important, or nearly as important, as the principal activity, then the unit is more like a local unit. It should be subdivided so that the secondary activity is treated as taking place within an establishment separate from the establishment in which the principal activity takes place.</w:t>
            </w:r>
          </w:p>
          <w:p w14:paraId="3BE118C0" w14:textId="77777777" w:rsidR="0036416A" w:rsidRDefault="0036416A" w:rsidP="0036416A">
            <w:pPr>
              <w:pStyle w:val="NoSpacing"/>
            </w:pPr>
          </w:p>
          <w:p w14:paraId="457F5F62" w14:textId="77777777" w:rsidR="0036416A" w:rsidRDefault="0036416A" w:rsidP="0036416A">
            <w:pPr>
              <w:pStyle w:val="NoSpacing"/>
            </w:pPr>
            <w:r>
              <w:t xml:space="preserve">In the case of most small-sized businesses, the enterprise and the establishment will be identical. Some enterprises are large and complex with different kinds of economic activities undertaken at different locations. Such enterprises should be broken down into one or more </w:t>
            </w:r>
            <w:proofErr w:type="gramStart"/>
            <w:r>
              <w:t>establishments,</w:t>
            </w:r>
            <w:proofErr w:type="gramEnd"/>
            <w:r>
              <w:t xml:space="preserve"> provided that smaller and more homogeneous production units can be identified for which production data may be </w:t>
            </w:r>
            <w:r>
              <w:lastRenderedPageBreak/>
              <w:t xml:space="preserve">meaningfully compiled. </w:t>
            </w:r>
          </w:p>
          <w:p w14:paraId="427B0014" w14:textId="77777777" w:rsidR="0036416A" w:rsidRDefault="0036416A" w:rsidP="0036416A">
            <w:pPr>
              <w:pStyle w:val="NoSpacing"/>
            </w:pPr>
          </w:p>
          <w:p w14:paraId="03BED211" w14:textId="77777777" w:rsidR="0036416A" w:rsidRDefault="0036416A" w:rsidP="0036416A">
            <w:pPr>
              <w:pStyle w:val="NoSpacing"/>
            </w:pPr>
            <w:r>
              <w:t>As introduced in IRIS 2008 (United Nations, 2011), an economic activity is understood as referring to a process, that is to say, to the combination of actions carried out by a certain entity that uses labor, capital, goods and services to produce specific products (goods and services). In general, industrial statistics reflect the characteristics and economic activities of units engaged in a class of industrial activities that are defined in terms of the International Standard Industrial Classification of All Economic Activities, Revision 4 (ISIC Rev.4) (United Nations, 2008) or International Standard Industrial Classification of All Economic Activities, Revision 3.1 (ISIC Rev. 3) (United Nations, 2002).</w:t>
            </w:r>
          </w:p>
          <w:p w14:paraId="4A8D7EA3" w14:textId="77777777" w:rsidR="0036416A" w:rsidRDefault="0036416A" w:rsidP="0036416A">
            <w:pPr>
              <w:pStyle w:val="NoSpacing"/>
            </w:pPr>
          </w:p>
          <w:p w14:paraId="3140105A" w14:textId="77777777" w:rsidR="0036416A" w:rsidRDefault="0036416A" w:rsidP="0036416A">
            <w:pPr>
              <w:pStyle w:val="NoSpacing"/>
            </w:pPr>
            <w:r>
              <w:t>Total numbers of persons employed is defined as the total number of persons who work in or for the statistical unit, whether full-time or part-time, including:</w:t>
            </w:r>
          </w:p>
          <w:p w14:paraId="01C01E12" w14:textId="77777777" w:rsidR="0036416A" w:rsidRDefault="0036416A" w:rsidP="0036416A">
            <w:pPr>
              <w:pStyle w:val="NoSpacing"/>
            </w:pPr>
            <w:r>
              <w:tab/>
              <w:t>Working proprietors</w:t>
            </w:r>
          </w:p>
          <w:p w14:paraId="424E560E" w14:textId="77777777" w:rsidR="0036416A" w:rsidRDefault="0036416A" w:rsidP="0036416A">
            <w:pPr>
              <w:pStyle w:val="NoSpacing"/>
            </w:pPr>
            <w:r>
              <w:tab/>
              <w:t>Active business partners</w:t>
            </w:r>
          </w:p>
          <w:p w14:paraId="524835CC" w14:textId="77777777" w:rsidR="0036416A" w:rsidRDefault="0036416A" w:rsidP="0036416A">
            <w:pPr>
              <w:pStyle w:val="NoSpacing"/>
            </w:pPr>
            <w:r>
              <w:tab/>
              <w:t>Unpaid family workers</w:t>
            </w:r>
          </w:p>
          <w:p w14:paraId="3744B45E" w14:textId="77777777" w:rsidR="0036416A" w:rsidRDefault="0036416A" w:rsidP="0036416A">
            <w:pPr>
              <w:pStyle w:val="NoSpacing"/>
            </w:pPr>
            <w:r>
              <w:tab/>
              <w:t>Paid employees (for more details see United Nations, 2011).</w:t>
            </w:r>
          </w:p>
          <w:p w14:paraId="61C84B25" w14:textId="77777777" w:rsidR="0036416A" w:rsidRDefault="0036416A" w:rsidP="0036416A">
            <w:pPr>
              <w:pStyle w:val="NoSpacing"/>
            </w:pPr>
          </w:p>
          <w:p w14:paraId="5BF7B1D7" w14:textId="77777777" w:rsidR="0036416A" w:rsidRDefault="0036416A" w:rsidP="0036416A">
            <w:pPr>
              <w:pStyle w:val="NoSpacing"/>
            </w:pPr>
            <w:r>
              <w:t xml:space="preserve">The size of a statistical unit based on employment should be defined primarily in terms of the average number of persons employed in that unit during the reference period. If the average number of persons employed is not available, the total number of persons employed in a single period may be used as the size criterion. The size classification should consist of the following classes of the average number of persons employed: 1-9, 10-19, 20-49, </w:t>
            </w:r>
            <w:proofErr w:type="gramStart"/>
            <w:r>
              <w:t>50</w:t>
            </w:r>
            <w:proofErr w:type="gramEnd"/>
            <w:r>
              <w:t>-249, 250 and more. This should be considered a minimum division of the overall range; more detailed classifications, where required, should be developed within this framework.</w:t>
            </w:r>
          </w:p>
          <w:p w14:paraId="486E786B" w14:textId="77777777" w:rsidR="0036416A" w:rsidRDefault="0036416A" w:rsidP="0036416A">
            <w:pPr>
              <w:pStyle w:val="NoSpacing"/>
            </w:pPr>
            <w:r>
              <w:t>Value added cannot be directly observed from the accounting records of the units. It is derived as the difference between gross output or census output and intermediate consumption or census input (United Nations, 2011). The value added at basic prices is calculated as the difference between the gross output at basic prices and the intermediate consumption at purchasers’ prices. The valuation of value added closely corresponds to the valuation of gross output. If the output is valued at basic prices, then the valuation of value added is also at basic prices (the valuation of intermediate consumption is always at purchasers’ prices).</w:t>
            </w:r>
          </w:p>
          <w:p w14:paraId="510E8F9D" w14:textId="77777777" w:rsidR="0036416A" w:rsidRDefault="0036416A" w:rsidP="0036416A">
            <w:pPr>
              <w:pStyle w:val="NoSpacing"/>
            </w:pPr>
          </w:p>
          <w:p w14:paraId="36A865B5" w14:textId="77777777" w:rsidR="0036416A" w:rsidRDefault="0036416A" w:rsidP="0036416A">
            <w:pPr>
              <w:pStyle w:val="NoSpacing"/>
            </w:pPr>
            <w:r>
              <w:t>All above mentioned terms are introduced to be in line with IRIS 2008 (United Nations, 2011).</w:t>
            </w:r>
          </w:p>
          <w:p w14:paraId="7552AB44" w14:textId="77777777" w:rsidR="0036416A" w:rsidRDefault="0036416A" w:rsidP="0036416A">
            <w:pPr>
              <w:pStyle w:val="NoSpacing"/>
            </w:pPr>
          </w:p>
          <w:p w14:paraId="7F8139B9" w14:textId="77777777" w:rsidR="0036416A" w:rsidRDefault="0036416A" w:rsidP="0036416A">
            <w:pPr>
              <w:pStyle w:val="NoSpacing"/>
            </w:pPr>
            <w:r>
              <w:t>Comments and limitations:</w:t>
            </w:r>
          </w:p>
          <w:p w14:paraId="1B906F50" w14:textId="77777777" w:rsidR="0036416A" w:rsidRDefault="0036416A" w:rsidP="0036416A">
            <w:pPr>
              <w:pStyle w:val="NoSpacing"/>
            </w:pPr>
          </w:p>
          <w:p w14:paraId="0F0B0258" w14:textId="77777777" w:rsidR="0036416A" w:rsidRDefault="0036416A" w:rsidP="0036416A">
            <w:pPr>
              <w:pStyle w:val="NoSpacing"/>
            </w:pPr>
            <w:r>
              <w:t xml:space="preserve">The main limitation of existing national data is varying size classes by country indicating that data are obtained from different target populations. Data of one country are not comparable to another. </w:t>
            </w:r>
          </w:p>
          <w:p w14:paraId="346598E0" w14:textId="77777777" w:rsidR="0036416A" w:rsidRDefault="0036416A" w:rsidP="0036416A">
            <w:pPr>
              <w:pStyle w:val="NoSpacing"/>
            </w:pPr>
          </w:p>
          <w:p w14:paraId="38A697FA" w14:textId="77777777" w:rsidR="0036416A" w:rsidRDefault="0036416A" w:rsidP="0036416A">
            <w:pPr>
              <w:pStyle w:val="NoSpacing"/>
            </w:pPr>
            <w:r>
              <w:t xml:space="preserve">The definition of size class in many countries is tied up with the legal and policy framework of the country. It has implications on registration procedure, taxation and different waivers aimed to promote “small-scale industries”. Therefore, countries may agree on a common size class for compilation purposes. In this context, UNIDO proposes that all countries compile the employment and value added data by a size class of “small-scale industries” as with less than 20 persons employed. From such data, an internationally comparable data on the share of “small-scale industries” in total could be derived. </w:t>
            </w:r>
          </w:p>
          <w:p w14:paraId="6A211A0D" w14:textId="77777777" w:rsidR="0036416A" w:rsidRDefault="0036416A" w:rsidP="0036416A">
            <w:pPr>
              <w:pStyle w:val="NoSpacing"/>
            </w:pPr>
          </w:p>
          <w:p w14:paraId="12F14276" w14:textId="77777777" w:rsidR="0036416A" w:rsidRDefault="0036416A" w:rsidP="0036416A">
            <w:pPr>
              <w:pStyle w:val="NoSpacing"/>
            </w:pPr>
            <w:r>
              <w:t>Computation Method:</w:t>
            </w:r>
          </w:p>
          <w:p w14:paraId="4C8F6542" w14:textId="77777777" w:rsidR="0036416A" w:rsidRDefault="0036416A" w:rsidP="0036416A">
            <w:pPr>
              <w:pStyle w:val="NoSpacing"/>
            </w:pPr>
          </w:p>
          <w:p w14:paraId="342C7E40" w14:textId="77777777" w:rsidR="0036416A" w:rsidRDefault="0036416A" w:rsidP="0036416A">
            <w:pPr>
              <w:pStyle w:val="NoSpacing"/>
            </w:pPr>
            <w:r>
              <w:t>The proportion of “small-scale industries” in total value added is an indicator calculated as a share of value added for small-scale manufacturing enterprises in total manufacturing value added:</w:t>
            </w:r>
          </w:p>
          <w:p w14:paraId="29F43EF5" w14:textId="77777777" w:rsidR="0036416A" w:rsidRDefault="004B4A24" w:rsidP="0036416A">
            <w:pPr>
              <w:pStyle w:val="NoSpacing"/>
            </w:pPr>
            <m:oMathPara>
              <m:oMath>
                <m:f>
                  <m:fPr>
                    <m:ctrlPr>
                      <w:rPr>
                        <w:rFonts w:ascii="Cambria Math" w:hAnsi="Cambria Math"/>
                        <w:i/>
                      </w:rPr>
                    </m:ctrlPr>
                  </m:fPr>
                  <m:num>
                    <m:r>
                      <w:rPr>
                        <w:rFonts w:ascii="Cambria Math" w:hAnsi="Cambria Math"/>
                      </w:rPr>
                      <m:t>Manufacturing value added of "small-scale industries"</m:t>
                    </m:r>
                  </m:num>
                  <m:den>
                    <m:r>
                      <w:rPr>
                        <w:rFonts w:ascii="Cambria Math" w:hAnsi="Cambria Math"/>
                      </w:rPr>
                      <m:t>Total manufacturing value added</m:t>
                    </m:r>
                  </m:den>
                </m:f>
                <m:r>
                  <w:rPr>
                    <w:rFonts w:ascii="Cambria Math" w:hAnsi="Cambria Math"/>
                  </w:rPr>
                  <m:t>*100</m:t>
                </m:r>
              </m:oMath>
            </m:oMathPara>
          </w:p>
          <w:p w14:paraId="1A201173" w14:textId="77777777" w:rsidR="0036416A" w:rsidRDefault="0036416A" w:rsidP="0036416A">
            <w:pPr>
              <w:pStyle w:val="NoSpacing"/>
            </w:pPr>
          </w:p>
          <w:p w14:paraId="5B4A3773" w14:textId="70CCC570" w:rsidR="0036416A" w:rsidRDefault="0036416A" w:rsidP="0036416A">
            <w:pPr>
              <w:pStyle w:val="NoSpacing"/>
            </w:pPr>
          </w:p>
        </w:tc>
        <w:tc>
          <w:tcPr>
            <w:tcW w:w="0" w:type="auto"/>
          </w:tcPr>
          <w:p w14:paraId="493E2C57" w14:textId="77777777" w:rsidR="0036416A" w:rsidRDefault="0036416A" w:rsidP="0036416A">
            <w:pPr>
              <w:pStyle w:val="NoSpacing"/>
            </w:pPr>
            <w:r>
              <w:lastRenderedPageBreak/>
              <w:t>Industrial and enterprise Surveys</w:t>
            </w:r>
          </w:p>
        </w:tc>
        <w:tc>
          <w:tcPr>
            <w:tcW w:w="0" w:type="auto"/>
          </w:tcPr>
          <w:p w14:paraId="7137DF38" w14:textId="77777777" w:rsidR="0036416A" w:rsidRPr="006D1250" w:rsidRDefault="0036416A" w:rsidP="0036416A">
            <w:pPr>
              <w:pStyle w:val="NoSpacing"/>
            </w:pPr>
            <w:r w:rsidRPr="006D1250">
              <w:t>National statistical offices (NSOs) in non-OECD countries, and OECD countries by OECD</w:t>
            </w:r>
          </w:p>
          <w:p w14:paraId="077B4A7A" w14:textId="77777777" w:rsidR="0036416A" w:rsidRPr="00A348D9" w:rsidRDefault="0036416A" w:rsidP="0036416A">
            <w:pPr>
              <w:pStyle w:val="NoSpacing"/>
            </w:pPr>
          </w:p>
        </w:tc>
        <w:tc>
          <w:tcPr>
            <w:tcW w:w="0" w:type="auto"/>
          </w:tcPr>
          <w:p w14:paraId="2BE99817" w14:textId="18F3FCA5" w:rsidR="0036416A" w:rsidRDefault="0036416A" w:rsidP="0036416A">
            <w:pPr>
              <w:pStyle w:val="NoSpacing"/>
            </w:pPr>
          </w:p>
        </w:tc>
        <w:tc>
          <w:tcPr>
            <w:tcW w:w="0" w:type="auto"/>
          </w:tcPr>
          <w:p w14:paraId="3B7C7C8D" w14:textId="77777777" w:rsidR="0036416A" w:rsidRDefault="0036416A" w:rsidP="0036416A">
            <w:pPr>
              <w:pStyle w:val="NoSpacing"/>
            </w:pPr>
            <w:r>
              <w:t>BBS</w:t>
            </w:r>
          </w:p>
          <w:p w14:paraId="31C31107" w14:textId="77777777" w:rsidR="0036416A" w:rsidRDefault="0036416A" w:rsidP="0036416A">
            <w:pPr>
              <w:pStyle w:val="NoSpacing"/>
            </w:pPr>
            <w:r>
              <w:t>SMI</w:t>
            </w:r>
          </w:p>
        </w:tc>
        <w:tc>
          <w:tcPr>
            <w:tcW w:w="0" w:type="auto"/>
          </w:tcPr>
          <w:p w14:paraId="23711149"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Industrial Sectors </w:t>
            </w:r>
          </w:p>
          <w:p w14:paraId="43B0EBE5" w14:textId="376B0D89" w:rsidR="0036416A" w:rsidRDefault="0036416A" w:rsidP="0036416A">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Geographical Region</w:t>
            </w:r>
            <w:r w:rsidR="00857920">
              <w:rPr>
                <w:rFonts w:ascii="Tw Cen MT Condensed" w:hAnsi="Tw Cen MT Condensed"/>
                <w:sz w:val="20"/>
                <w:szCs w:val="20"/>
              </w:rPr>
              <w:t>: Division</w:t>
            </w:r>
          </w:p>
          <w:p w14:paraId="755689E1" w14:textId="77777777" w:rsidR="0036416A" w:rsidRDefault="0036416A" w:rsidP="0036416A">
            <w:pPr>
              <w:ind w:left="970" w:hanging="970"/>
              <w:jc w:val="both"/>
              <w:rPr>
                <w:color w:val="0070C0"/>
                <w:sz w:val="30"/>
                <w:szCs w:val="30"/>
              </w:rPr>
            </w:pPr>
          </w:p>
        </w:tc>
        <w:tc>
          <w:tcPr>
            <w:tcW w:w="0" w:type="auto"/>
          </w:tcPr>
          <w:p w14:paraId="13F466D7" w14:textId="77777777" w:rsidR="0036416A" w:rsidRDefault="0036416A" w:rsidP="0036416A">
            <w:pPr>
              <w:ind w:left="970" w:hanging="970"/>
              <w:jc w:val="both"/>
              <w:rPr>
                <w:color w:val="0070C0"/>
                <w:sz w:val="30"/>
                <w:szCs w:val="30"/>
              </w:rPr>
            </w:pPr>
            <w:r w:rsidRPr="00BC6F10">
              <w:t>Triennial</w:t>
            </w:r>
          </w:p>
        </w:tc>
        <w:tc>
          <w:tcPr>
            <w:tcW w:w="0" w:type="auto"/>
          </w:tcPr>
          <w:p w14:paraId="221A0160" w14:textId="77777777" w:rsidR="0036416A" w:rsidRDefault="0036416A" w:rsidP="0036416A">
            <w:pPr>
              <w:ind w:left="970" w:hanging="970"/>
              <w:jc w:val="both"/>
              <w:rPr>
                <w:color w:val="0070C0"/>
                <w:sz w:val="30"/>
                <w:szCs w:val="30"/>
              </w:rPr>
            </w:pPr>
            <w:r>
              <w:t>Group 2</w:t>
            </w:r>
          </w:p>
        </w:tc>
        <w:tc>
          <w:tcPr>
            <w:tcW w:w="0" w:type="auto"/>
          </w:tcPr>
          <w:p w14:paraId="0530255D" w14:textId="77777777" w:rsidR="0036416A" w:rsidRDefault="0036416A" w:rsidP="0036416A">
            <w:pPr>
              <w:pStyle w:val="NoSpacing"/>
            </w:pPr>
            <w:r>
              <w:t>1</w:t>
            </w:r>
            <w:r w:rsidRPr="00013ACB">
              <w:rPr>
                <w:vertAlign w:val="superscript"/>
              </w:rPr>
              <w:t>st</w:t>
            </w:r>
            <w:r>
              <w:t xml:space="preserve"> Round: </w:t>
            </w:r>
          </w:p>
          <w:p w14:paraId="231616BC" w14:textId="77777777" w:rsidR="0036416A" w:rsidRDefault="0036416A" w:rsidP="0036416A">
            <w:pPr>
              <w:pStyle w:val="NoSpacing"/>
            </w:pPr>
            <w:r>
              <w:t>December 2019</w:t>
            </w:r>
          </w:p>
          <w:p w14:paraId="2172FBBF" w14:textId="77777777" w:rsidR="0036416A" w:rsidRDefault="0036416A" w:rsidP="0036416A">
            <w:pPr>
              <w:pStyle w:val="NoSpacing"/>
            </w:pPr>
          </w:p>
          <w:p w14:paraId="533092DF" w14:textId="77777777" w:rsidR="0036416A" w:rsidRDefault="0036416A" w:rsidP="0036416A">
            <w:pPr>
              <w:pStyle w:val="NoSpacing"/>
            </w:pPr>
            <w:r>
              <w:t>2</w:t>
            </w:r>
            <w:r w:rsidRPr="00013ACB">
              <w:rPr>
                <w:vertAlign w:val="superscript"/>
              </w:rPr>
              <w:t>nd</w:t>
            </w:r>
            <w:r>
              <w:t xml:space="preserve"> Round: </w:t>
            </w:r>
          </w:p>
          <w:p w14:paraId="097F4F9B" w14:textId="77777777" w:rsidR="0036416A" w:rsidRDefault="0036416A" w:rsidP="0036416A">
            <w:pPr>
              <w:pStyle w:val="NoSpacing"/>
            </w:pPr>
            <w:r>
              <w:t>December 2022</w:t>
            </w:r>
          </w:p>
          <w:p w14:paraId="741D9192" w14:textId="77777777" w:rsidR="0036416A" w:rsidRDefault="0036416A" w:rsidP="0036416A">
            <w:pPr>
              <w:pStyle w:val="NoSpacing"/>
            </w:pPr>
          </w:p>
          <w:p w14:paraId="2D668AF2" w14:textId="77777777" w:rsidR="0036416A" w:rsidRDefault="0036416A" w:rsidP="0036416A">
            <w:pPr>
              <w:pStyle w:val="NoSpacing"/>
            </w:pPr>
            <w:r>
              <w:t>3</w:t>
            </w:r>
            <w:r w:rsidRPr="00013ACB">
              <w:rPr>
                <w:vertAlign w:val="superscript"/>
              </w:rPr>
              <w:t>rd</w:t>
            </w:r>
            <w:r>
              <w:t xml:space="preserve"> Round: </w:t>
            </w:r>
          </w:p>
          <w:p w14:paraId="51ED37F6" w14:textId="77777777" w:rsidR="0036416A" w:rsidRDefault="0036416A" w:rsidP="0036416A">
            <w:pPr>
              <w:pStyle w:val="NoSpacing"/>
            </w:pPr>
            <w:r>
              <w:t>December 2025</w:t>
            </w:r>
          </w:p>
          <w:p w14:paraId="1488AE3D" w14:textId="77777777" w:rsidR="0036416A" w:rsidRDefault="0036416A" w:rsidP="0036416A">
            <w:pPr>
              <w:pStyle w:val="NoSpacing"/>
            </w:pPr>
          </w:p>
          <w:p w14:paraId="5A9113C7" w14:textId="77777777" w:rsidR="0036416A" w:rsidRDefault="0036416A" w:rsidP="0036416A">
            <w:pPr>
              <w:pStyle w:val="NoSpacing"/>
            </w:pPr>
            <w:r>
              <w:t>4</w:t>
            </w:r>
            <w:r w:rsidRPr="00013ACB">
              <w:rPr>
                <w:vertAlign w:val="superscript"/>
              </w:rPr>
              <w:t>th</w:t>
            </w:r>
            <w:r>
              <w:t xml:space="preserve"> Round: </w:t>
            </w:r>
          </w:p>
          <w:p w14:paraId="0AB0AD49" w14:textId="77777777" w:rsidR="0036416A" w:rsidRDefault="0036416A" w:rsidP="0036416A">
            <w:pPr>
              <w:pStyle w:val="NoSpacing"/>
            </w:pPr>
            <w:r>
              <w:t>December 2028</w:t>
            </w:r>
          </w:p>
          <w:p w14:paraId="36F483E4" w14:textId="77777777" w:rsidR="0036416A" w:rsidRDefault="0036416A" w:rsidP="0036416A">
            <w:pPr>
              <w:pStyle w:val="NoSpacing"/>
            </w:pPr>
          </w:p>
          <w:p w14:paraId="5D748869" w14:textId="77777777" w:rsidR="0036416A" w:rsidRDefault="0036416A" w:rsidP="0036416A">
            <w:pPr>
              <w:pStyle w:val="NoSpacing"/>
            </w:pPr>
            <w:r>
              <w:t>5</w:t>
            </w:r>
            <w:r w:rsidRPr="00013ACB">
              <w:rPr>
                <w:vertAlign w:val="superscript"/>
              </w:rPr>
              <w:t>th</w:t>
            </w:r>
            <w:r>
              <w:t xml:space="preserve"> Round:</w:t>
            </w:r>
          </w:p>
          <w:p w14:paraId="5AB38D59" w14:textId="63300BFF" w:rsidR="0036416A" w:rsidRDefault="0036416A" w:rsidP="0036416A">
            <w:pPr>
              <w:pStyle w:val="NoSpacing"/>
              <w:rPr>
                <w:color w:val="0070C0"/>
                <w:sz w:val="30"/>
                <w:szCs w:val="30"/>
              </w:rPr>
            </w:pPr>
            <w:r>
              <w:t>December 2030</w:t>
            </w:r>
          </w:p>
        </w:tc>
        <w:tc>
          <w:tcPr>
            <w:tcW w:w="0" w:type="auto"/>
          </w:tcPr>
          <w:p w14:paraId="3542887E" w14:textId="77777777" w:rsidR="0036416A" w:rsidRDefault="0036416A" w:rsidP="0036416A">
            <w:pPr>
              <w:pStyle w:val="NoSpacing"/>
            </w:pPr>
            <w:r w:rsidRPr="00DE5DC2">
              <w:t>SMI is being conducted in May, 2019</w:t>
            </w:r>
          </w:p>
          <w:p w14:paraId="547B1899" w14:textId="77777777" w:rsidR="0036416A" w:rsidRDefault="0036416A" w:rsidP="0036416A">
            <w:pPr>
              <w:pStyle w:val="NoSpacing"/>
            </w:pPr>
          </w:p>
          <w:p w14:paraId="116B82B9" w14:textId="77777777" w:rsidR="0036416A" w:rsidRDefault="0036416A" w:rsidP="0036416A">
            <w:pPr>
              <w:pStyle w:val="NoSpacing"/>
            </w:pPr>
            <w:r>
              <w:t>Reviewed at 6th IAEG-SDG meeting (classified as Tier II)</w:t>
            </w:r>
          </w:p>
          <w:p w14:paraId="64829E37" w14:textId="77777777" w:rsidR="0036416A" w:rsidRDefault="0036416A" w:rsidP="0036416A">
            <w:pPr>
              <w:pStyle w:val="NoSpacing"/>
            </w:pPr>
          </w:p>
          <w:p w14:paraId="01FC87DD" w14:textId="45492F78" w:rsidR="0036416A" w:rsidRPr="002F2586" w:rsidRDefault="0036416A" w:rsidP="0036416A">
            <w:pPr>
              <w:pStyle w:val="NoSpacing"/>
            </w:pPr>
            <w:r>
              <w:t xml:space="preserve">Fast Track; Reviewed at 5th IAEG-SDG meeting: Request additional work on the definition of small-scale industries (classified as </w:t>
            </w:r>
            <w:r w:rsidR="006B621F">
              <w:t>TBD</w:t>
            </w:r>
            <w:r>
              <w:t>)</w:t>
            </w:r>
          </w:p>
        </w:tc>
      </w:tr>
      <w:tr w:rsidR="0036416A" w14:paraId="64AC3295" w14:textId="77777777" w:rsidTr="00DB32C0">
        <w:tc>
          <w:tcPr>
            <w:tcW w:w="0" w:type="auto"/>
          </w:tcPr>
          <w:p w14:paraId="0080CE1D" w14:textId="77777777" w:rsidR="0036416A" w:rsidRDefault="0036416A" w:rsidP="0036416A">
            <w:pPr>
              <w:pStyle w:val="NoSpacing"/>
            </w:pPr>
            <w:r w:rsidRPr="00292850">
              <w:lastRenderedPageBreak/>
              <w:t>9.3.2 Proportion of small-scale industries with a loan or line of credit</w:t>
            </w:r>
          </w:p>
        </w:tc>
        <w:tc>
          <w:tcPr>
            <w:tcW w:w="0" w:type="auto"/>
          </w:tcPr>
          <w:p w14:paraId="686FD2E0" w14:textId="77777777" w:rsidR="0036416A" w:rsidRDefault="0036416A" w:rsidP="0036416A">
            <w:pPr>
              <w:pStyle w:val="NoSpacing"/>
            </w:pPr>
            <w:r>
              <w:t>UNIDO,</w:t>
            </w:r>
          </w:p>
          <w:p w14:paraId="24F9B8E3" w14:textId="77777777" w:rsidR="0036416A" w:rsidRDefault="0036416A" w:rsidP="0036416A">
            <w:pPr>
              <w:pStyle w:val="NoSpacing"/>
            </w:pPr>
            <w:r>
              <w:t>World Bank</w:t>
            </w:r>
          </w:p>
          <w:p w14:paraId="1B36B5C8" w14:textId="77777777" w:rsidR="0036416A" w:rsidRDefault="0036416A" w:rsidP="0036416A">
            <w:pPr>
              <w:rPr>
                <w:b/>
                <w:bCs/>
                <w:szCs w:val="20"/>
              </w:rPr>
            </w:pPr>
            <w:r w:rsidRPr="007243FC">
              <w:rPr>
                <w:b/>
                <w:bCs/>
                <w:szCs w:val="20"/>
              </w:rPr>
              <w:t>Partner Agencies:</w:t>
            </w:r>
          </w:p>
          <w:p w14:paraId="1CE880EA" w14:textId="77777777" w:rsidR="0036416A" w:rsidRDefault="0036416A" w:rsidP="0036416A">
            <w:pPr>
              <w:pStyle w:val="NoSpacing"/>
            </w:pPr>
            <w:r w:rsidRPr="007A7507">
              <w:t>UNCDF</w:t>
            </w:r>
          </w:p>
        </w:tc>
        <w:tc>
          <w:tcPr>
            <w:tcW w:w="0" w:type="auto"/>
          </w:tcPr>
          <w:p w14:paraId="1EA660E2" w14:textId="77777777" w:rsidR="0036416A" w:rsidRDefault="0036416A" w:rsidP="0036416A">
            <w:pPr>
              <w:ind w:left="970" w:hanging="970"/>
              <w:jc w:val="both"/>
              <w:rPr>
                <w:color w:val="0070C0"/>
                <w:sz w:val="30"/>
                <w:szCs w:val="30"/>
              </w:rPr>
            </w:pPr>
            <w:r>
              <w:t>Tier I</w:t>
            </w:r>
          </w:p>
        </w:tc>
        <w:tc>
          <w:tcPr>
            <w:tcW w:w="0" w:type="auto"/>
          </w:tcPr>
          <w:p w14:paraId="6FDF89B4" w14:textId="77777777" w:rsidR="0036416A" w:rsidRDefault="0036416A" w:rsidP="0036416A">
            <w:pPr>
              <w:pStyle w:val="NoSpacing"/>
            </w:pPr>
            <w:r>
              <w:t>Definition:</w:t>
            </w:r>
          </w:p>
          <w:p w14:paraId="6DB2A2CB" w14:textId="77777777" w:rsidR="0036416A" w:rsidRDefault="0036416A" w:rsidP="0036416A">
            <w:pPr>
              <w:pStyle w:val="NoSpacing"/>
            </w:pPr>
          </w:p>
          <w:p w14:paraId="791C2EDE" w14:textId="77777777" w:rsidR="0036416A" w:rsidRDefault="0036416A" w:rsidP="0036416A">
            <w:pPr>
              <w:pStyle w:val="NoSpacing"/>
            </w:pPr>
            <w:r>
              <w:t>Small-scale industrial enterprises, in the SDG framework also called “small-scale industries”, defined here for the purpose of statistical data collection and compilation refer to statistical units, generally enterprises, engaged in production of goods and services for market below a designated size class.</w:t>
            </w:r>
          </w:p>
          <w:p w14:paraId="493EF4DB" w14:textId="77777777" w:rsidR="0036416A" w:rsidRDefault="0036416A" w:rsidP="0036416A">
            <w:pPr>
              <w:pStyle w:val="NoSpacing"/>
            </w:pPr>
          </w:p>
          <w:p w14:paraId="0F44594B" w14:textId="77777777" w:rsidR="0036416A" w:rsidRDefault="0036416A" w:rsidP="0036416A">
            <w:pPr>
              <w:pStyle w:val="NoSpacing"/>
            </w:pPr>
            <w:r>
              <w:t>This indicator shows the number of “small-scale industries” with an active line of credit or a loan from a financial institution in the reference year in percentage to the total number of such enterprises.</w:t>
            </w:r>
          </w:p>
          <w:p w14:paraId="4C223CA8" w14:textId="77777777" w:rsidR="0036416A" w:rsidRDefault="0036416A" w:rsidP="0036416A">
            <w:pPr>
              <w:pStyle w:val="NoSpacing"/>
            </w:pPr>
          </w:p>
          <w:p w14:paraId="587DCB87" w14:textId="77777777" w:rsidR="0036416A" w:rsidRDefault="0036416A" w:rsidP="0036416A">
            <w:pPr>
              <w:pStyle w:val="NoSpacing"/>
            </w:pPr>
            <w:r>
              <w:t>Concepts:</w:t>
            </w:r>
          </w:p>
          <w:p w14:paraId="6CF5D35B" w14:textId="77777777" w:rsidR="0036416A" w:rsidRDefault="0036416A" w:rsidP="0036416A">
            <w:pPr>
              <w:pStyle w:val="NoSpacing"/>
            </w:pPr>
          </w:p>
          <w:p w14:paraId="2DBA37AE" w14:textId="77777777" w:rsidR="0036416A" w:rsidRDefault="0036416A" w:rsidP="0036416A">
            <w:pPr>
              <w:pStyle w:val="NoSpacing"/>
            </w:pPr>
            <w:r>
              <w:t>International recommendations for industrial statistics 2008 (IRIS 2008) (United Nations, 2011) define an enterprise as the smallest legal unit that constitutes an organizational unit producing goods or services. The enterprise is the basic statistical unit at which all information relating to its production activities and transactions, including financial and balance-sheet accounts, are maintained. It is also used for institutional sector classification in the 2008 System of National Accounts.</w:t>
            </w:r>
          </w:p>
          <w:p w14:paraId="5BF6DE28" w14:textId="77777777" w:rsidR="0036416A" w:rsidRDefault="0036416A" w:rsidP="0036416A">
            <w:pPr>
              <w:pStyle w:val="NoSpacing"/>
            </w:pPr>
          </w:p>
          <w:p w14:paraId="28B59D78" w14:textId="77777777" w:rsidR="0036416A" w:rsidRDefault="0036416A" w:rsidP="0036416A">
            <w:pPr>
              <w:pStyle w:val="NoSpacing"/>
            </w:pPr>
            <w:r>
              <w:t xml:space="preserve">An establishment is defined as an enterprise or part of an enterprise that is situated in a single location and in which only a single productive activity is carried out or in which the principal productive activity accounts for most of the value added. An establishment can be defined ideally as an economic unit that engages, under single ownership or control, that is, under a single legal entity, in one, or predominantly one, kind of economic activity at a single physical location. Mines, factories and </w:t>
            </w:r>
            <w:r>
              <w:lastRenderedPageBreak/>
              <w:t>workshops are examples. This ideal concept of an establishment is applicable to many of the situations encountered in industrial inquiries, particularly in manufacturing.</w:t>
            </w:r>
          </w:p>
          <w:p w14:paraId="5A66BE83" w14:textId="77777777" w:rsidR="0036416A" w:rsidRDefault="0036416A" w:rsidP="0036416A">
            <w:pPr>
              <w:pStyle w:val="NoSpacing"/>
            </w:pPr>
          </w:p>
          <w:p w14:paraId="32A79117" w14:textId="77777777" w:rsidR="0036416A" w:rsidRDefault="0036416A" w:rsidP="0036416A">
            <w:pPr>
              <w:pStyle w:val="NoSpacing"/>
            </w:pPr>
            <w:r>
              <w:t>Although the definition of an establishment allows for the possibility that there may be one or more secondary activities carried out in it, their magnitude should be small compared with that of the principal activity. If a secondary activity within an establishment is as important, or nearly as important, as the principal activity, then the unit is more like a local unit. It should be subdivided so that the secondary activity is treated as taking place within an establishment separate from the establishment in which the principal activity takes place.</w:t>
            </w:r>
          </w:p>
          <w:p w14:paraId="6175EF9A" w14:textId="77777777" w:rsidR="0036416A" w:rsidRDefault="0036416A" w:rsidP="0036416A">
            <w:pPr>
              <w:pStyle w:val="NoSpacing"/>
            </w:pPr>
          </w:p>
          <w:p w14:paraId="0475D565" w14:textId="77777777" w:rsidR="0036416A" w:rsidRDefault="0036416A" w:rsidP="0036416A">
            <w:pPr>
              <w:pStyle w:val="NoSpacing"/>
            </w:pPr>
            <w:r>
              <w:t xml:space="preserve">In the case of most small-sized businesses, the enterprise and the establishment will be identical. Some enterprises are large and complex with different kinds of economic activities undertaken at different locations. Such enterprises should be broken down into one or more </w:t>
            </w:r>
            <w:proofErr w:type="gramStart"/>
            <w:r>
              <w:t>establishments,</w:t>
            </w:r>
            <w:proofErr w:type="gramEnd"/>
            <w:r>
              <w:t xml:space="preserve"> provided that smaller and more homogeneous production units can be identified for which production data may be meaningfully compiled. </w:t>
            </w:r>
          </w:p>
          <w:p w14:paraId="37882D21" w14:textId="77777777" w:rsidR="0036416A" w:rsidRDefault="0036416A" w:rsidP="0036416A">
            <w:pPr>
              <w:pStyle w:val="NoSpacing"/>
            </w:pPr>
          </w:p>
          <w:p w14:paraId="7E380F9E" w14:textId="77777777" w:rsidR="0036416A" w:rsidRDefault="0036416A" w:rsidP="0036416A">
            <w:pPr>
              <w:pStyle w:val="NoSpacing"/>
            </w:pPr>
            <w:r>
              <w:t>As introduced in IRIS 2008 (United Nations, 2011), an economic activity is understood as referring to a process, that is to say, to the combination of actions carried out by a certain entity that uses labor, capital, goods and services to produce specific products (goods and services). In general, industrial statistics reflect the characteristics and economic activities of units engaged in a class of industrial activities that are defined in terms of the International Standard Industrial Classification of All Economic Activities, Revision 4 (ISIC Rev.4) (United Nations, 2008) or International Standard Industrial Classification of All Economic Activities, Revision 3.1 (ISIC Rev. 3) (United Nations, 2002).</w:t>
            </w:r>
          </w:p>
          <w:p w14:paraId="47BC2F49" w14:textId="77777777" w:rsidR="0036416A" w:rsidRDefault="0036416A" w:rsidP="0036416A">
            <w:pPr>
              <w:pStyle w:val="NoSpacing"/>
            </w:pPr>
          </w:p>
          <w:p w14:paraId="196EEC59" w14:textId="77777777" w:rsidR="0036416A" w:rsidRDefault="0036416A" w:rsidP="0036416A">
            <w:pPr>
              <w:pStyle w:val="NoSpacing"/>
            </w:pPr>
            <w:r>
              <w:t>Total numbers of persons employed is defined as the total number of persons who work in or for the statistical unit, whether full-time or part-time, including:</w:t>
            </w:r>
          </w:p>
          <w:p w14:paraId="4F6DCA3A" w14:textId="77777777" w:rsidR="0036416A" w:rsidRDefault="0036416A" w:rsidP="0036416A">
            <w:pPr>
              <w:pStyle w:val="NoSpacing"/>
            </w:pPr>
            <w:r>
              <w:tab/>
              <w:t>Working proprietors</w:t>
            </w:r>
          </w:p>
          <w:p w14:paraId="41F4003E" w14:textId="77777777" w:rsidR="0036416A" w:rsidRDefault="0036416A" w:rsidP="0036416A">
            <w:pPr>
              <w:pStyle w:val="NoSpacing"/>
            </w:pPr>
            <w:r>
              <w:tab/>
              <w:t>Active business partners</w:t>
            </w:r>
          </w:p>
          <w:p w14:paraId="48BA16F3" w14:textId="77777777" w:rsidR="0036416A" w:rsidRDefault="0036416A" w:rsidP="0036416A">
            <w:pPr>
              <w:pStyle w:val="NoSpacing"/>
            </w:pPr>
            <w:r>
              <w:tab/>
              <w:t>Unpaid family workers</w:t>
            </w:r>
          </w:p>
          <w:p w14:paraId="260F4C9C" w14:textId="77777777" w:rsidR="0036416A" w:rsidRDefault="0036416A" w:rsidP="0036416A">
            <w:pPr>
              <w:pStyle w:val="NoSpacing"/>
            </w:pPr>
            <w:r>
              <w:tab/>
              <w:t>Paid employees (for more details see United Nations, 2011).</w:t>
            </w:r>
          </w:p>
          <w:p w14:paraId="33FAB877" w14:textId="77777777" w:rsidR="0036416A" w:rsidRDefault="0036416A" w:rsidP="0036416A">
            <w:pPr>
              <w:pStyle w:val="NoSpacing"/>
            </w:pPr>
          </w:p>
          <w:p w14:paraId="3483851F" w14:textId="77777777" w:rsidR="0036416A" w:rsidRDefault="0036416A" w:rsidP="0036416A">
            <w:pPr>
              <w:pStyle w:val="NoSpacing"/>
            </w:pPr>
            <w:r>
              <w:t xml:space="preserve">The size of a statistical unit based on employment should be defined primarily in terms of the average number of persons employed in that unit during the reference period. If the average number of persons employed is not available, the total number of persons employed in a single period may be used as the size criterion. The size classification should consist of the following classes of the average number of persons employed: 1-9, 10-19, 20-49, </w:t>
            </w:r>
            <w:proofErr w:type="gramStart"/>
            <w:r>
              <w:t>50</w:t>
            </w:r>
            <w:proofErr w:type="gramEnd"/>
            <w:r>
              <w:t>-249, 250 and more. This should be considered a minimum division of the overall range; more detailed classifications, where required, should be developed within this framework.</w:t>
            </w:r>
          </w:p>
          <w:p w14:paraId="3496D293" w14:textId="77777777" w:rsidR="0036416A" w:rsidRDefault="0036416A" w:rsidP="0036416A">
            <w:pPr>
              <w:pStyle w:val="NoSpacing"/>
            </w:pPr>
            <w:r>
              <w:lastRenderedPageBreak/>
              <w:t>A loan is a financial instrument that is created when a creditor lends funds directly to a debtor and receives a nonnegotiable document as evidence of the asset. This category includes overdrafts, mortgage loans, loans to finance trade credit and advances, repurchase agreements, financial assets and liabilities created by financial leases, and claims on or liabilities to the International Monetary Fund (IMF) in the form of loans. Trade credit and advances and similar accounts payable/receivable are not loans. Loans that have become marketable in secondary markets should be reclassified under debt securities. However, if only traded occasionally, the loan is not reclassified under debt securities (IMF, 2011).</w:t>
            </w:r>
          </w:p>
          <w:p w14:paraId="191922DA" w14:textId="77777777" w:rsidR="0036416A" w:rsidRDefault="0036416A" w:rsidP="0036416A">
            <w:pPr>
              <w:pStyle w:val="NoSpacing"/>
            </w:pPr>
          </w:p>
          <w:p w14:paraId="745AC9AD" w14:textId="77777777" w:rsidR="0036416A" w:rsidRDefault="0036416A" w:rsidP="0036416A">
            <w:pPr>
              <w:pStyle w:val="NoSpacing"/>
            </w:pPr>
            <w:r>
              <w:t>Lines of credit and loan commitments provide a guarantee that undrawn funds will be available in the future, but no financial liability/asset exists until such funds are actually provided. Undrawn lines of credit and undisbursed loan commitments are contingent liabilities of the issuing institutions— generally, banks (IMF, 2011). A loan or line of credit refers to regulated financial institutions only.</w:t>
            </w:r>
          </w:p>
          <w:p w14:paraId="59F7F2CC" w14:textId="77777777" w:rsidR="0036416A" w:rsidRDefault="0036416A" w:rsidP="0036416A">
            <w:pPr>
              <w:pStyle w:val="NoSpacing"/>
            </w:pPr>
          </w:p>
          <w:p w14:paraId="182A6D2E" w14:textId="77777777" w:rsidR="0036416A" w:rsidRDefault="0036416A" w:rsidP="0036416A">
            <w:pPr>
              <w:pStyle w:val="NoSpacing"/>
            </w:pPr>
            <w:r>
              <w:t>Comments and limitations:</w:t>
            </w:r>
          </w:p>
          <w:p w14:paraId="2EAB34DC" w14:textId="77777777" w:rsidR="0036416A" w:rsidRDefault="0036416A" w:rsidP="0036416A">
            <w:pPr>
              <w:pStyle w:val="NoSpacing"/>
            </w:pPr>
          </w:p>
          <w:p w14:paraId="7917A9C5" w14:textId="77777777" w:rsidR="0036416A" w:rsidRDefault="0036416A" w:rsidP="0036416A">
            <w:pPr>
              <w:pStyle w:val="NoSpacing"/>
            </w:pPr>
            <w:r>
              <w:t xml:space="preserve">The main limitation of existing national data is varying size classes by country indicating that data are obtained from different target populations. Data of one country are not comparable to another. </w:t>
            </w:r>
          </w:p>
          <w:p w14:paraId="1BD8E035" w14:textId="77777777" w:rsidR="0036416A" w:rsidRDefault="0036416A" w:rsidP="0036416A">
            <w:pPr>
              <w:pStyle w:val="NoSpacing"/>
            </w:pPr>
          </w:p>
          <w:p w14:paraId="6A1E0B9F" w14:textId="77777777" w:rsidR="0036416A" w:rsidRDefault="0036416A" w:rsidP="0036416A">
            <w:pPr>
              <w:pStyle w:val="NoSpacing"/>
            </w:pPr>
            <w:r>
              <w:t xml:space="preserve">The definition of size class in many countries is tied up with the legal and policy framework of the country. It has implications on registration procedure, taxation and different waivers aimed to promote “small-scale industries”. Therefore, countries may agree on a common size class for compilation purposes. In this context, UNIDO proposes that all countries compile the data by a size class of “small-scale industries” as with less than 20 persons employed. From such data, an internationally comparable data on the share of “small-scale industries” in total could be derived. </w:t>
            </w:r>
          </w:p>
          <w:p w14:paraId="1DB0BFB6" w14:textId="77777777" w:rsidR="0036416A" w:rsidRDefault="0036416A" w:rsidP="0036416A">
            <w:pPr>
              <w:pStyle w:val="NoSpacing"/>
            </w:pPr>
          </w:p>
          <w:p w14:paraId="20B760A4" w14:textId="77777777" w:rsidR="0036416A" w:rsidRDefault="0036416A" w:rsidP="0036416A">
            <w:pPr>
              <w:pStyle w:val="NoSpacing"/>
            </w:pPr>
            <w:r>
              <w:t>Computation Method:</w:t>
            </w:r>
          </w:p>
          <w:p w14:paraId="36033DE8" w14:textId="77777777" w:rsidR="0036416A" w:rsidRDefault="0036416A" w:rsidP="0036416A">
            <w:pPr>
              <w:pStyle w:val="NoSpacing"/>
            </w:pPr>
          </w:p>
          <w:p w14:paraId="356ACE50" w14:textId="77777777" w:rsidR="0036416A" w:rsidRDefault="0036416A" w:rsidP="0036416A">
            <w:pPr>
              <w:pStyle w:val="NoSpacing"/>
            </w:pPr>
            <w:r>
              <w:t>The proportion of “small-scale industries” with a loan or line of credit is calculated as the number of “small-scale industries” with an active line of credit or a loan from a financial institution in the reference year in percentage to the total number of such enterprises:</w:t>
            </w:r>
          </w:p>
          <w:p w14:paraId="5D79B584" w14:textId="77777777" w:rsidR="0036416A" w:rsidRDefault="004B4A24" w:rsidP="0036416A">
            <w:pPr>
              <w:pStyle w:val="NoSpacing"/>
            </w:pPr>
            <m:oMathPara>
              <m:oMath>
                <m:f>
                  <m:fPr>
                    <m:ctrlPr>
                      <w:rPr>
                        <w:rFonts w:ascii="Cambria Math" w:hAnsi="Cambria Math"/>
                        <w:i/>
                      </w:rPr>
                    </m:ctrlPr>
                  </m:fPr>
                  <m:num>
                    <m:r>
                      <w:rPr>
                        <w:rFonts w:ascii="Cambria Math" w:hAnsi="Cambria Math"/>
                      </w:rPr>
                      <m:t>the number of "small-scale industries" with loan or line of credit</m:t>
                    </m:r>
                  </m:num>
                  <m:den>
                    <m:r>
                      <w:rPr>
                        <w:rFonts w:ascii="Cambria Math" w:hAnsi="Cambria Math"/>
                      </w:rPr>
                      <m:t>Total number of "small-scale industries"</m:t>
                    </m:r>
                  </m:den>
                </m:f>
                <m:r>
                  <w:rPr>
                    <w:rFonts w:ascii="Cambria Math" w:hAnsi="Cambria Math"/>
                  </w:rPr>
                  <m:t>*100</m:t>
                </m:r>
              </m:oMath>
            </m:oMathPara>
          </w:p>
          <w:p w14:paraId="21357CB8" w14:textId="3E899F91" w:rsidR="0036416A" w:rsidRDefault="0036416A" w:rsidP="0036416A">
            <w:pPr>
              <w:pStyle w:val="NoSpacing"/>
            </w:pPr>
          </w:p>
        </w:tc>
        <w:tc>
          <w:tcPr>
            <w:tcW w:w="0" w:type="auto"/>
          </w:tcPr>
          <w:p w14:paraId="1BFE6AAC" w14:textId="77777777" w:rsidR="0036416A" w:rsidRPr="00D5144F" w:rsidRDefault="0036416A" w:rsidP="0036416A">
            <w:pPr>
              <w:pStyle w:val="NoSpacing"/>
            </w:pPr>
            <w:r w:rsidRPr="00D5144F">
              <w:lastRenderedPageBreak/>
              <w:t>World Bank Enterprise Surveys</w:t>
            </w:r>
          </w:p>
          <w:p w14:paraId="0A4F1B6F" w14:textId="77777777" w:rsidR="0036416A" w:rsidRDefault="0036416A" w:rsidP="0036416A">
            <w:pPr>
              <w:ind w:left="970" w:hanging="970"/>
              <w:jc w:val="both"/>
              <w:rPr>
                <w:color w:val="0070C0"/>
                <w:sz w:val="30"/>
                <w:szCs w:val="30"/>
              </w:rPr>
            </w:pPr>
          </w:p>
        </w:tc>
        <w:tc>
          <w:tcPr>
            <w:tcW w:w="0" w:type="auto"/>
          </w:tcPr>
          <w:p w14:paraId="17DC27BA" w14:textId="77777777" w:rsidR="0036416A" w:rsidRPr="00D5144F" w:rsidRDefault="0036416A" w:rsidP="0036416A">
            <w:pPr>
              <w:pStyle w:val="NoSpacing"/>
            </w:pPr>
            <w:r>
              <w:t xml:space="preserve">World Bank </w:t>
            </w:r>
          </w:p>
          <w:p w14:paraId="73ECB919" w14:textId="77777777" w:rsidR="0036416A" w:rsidRPr="005E24C0" w:rsidRDefault="0036416A" w:rsidP="0036416A">
            <w:pPr>
              <w:pStyle w:val="NoSpacing"/>
            </w:pPr>
          </w:p>
        </w:tc>
        <w:tc>
          <w:tcPr>
            <w:tcW w:w="0" w:type="auto"/>
          </w:tcPr>
          <w:p w14:paraId="3BD15383" w14:textId="6ADA79FF" w:rsidR="0036416A" w:rsidRDefault="0036416A" w:rsidP="0036416A">
            <w:pPr>
              <w:pStyle w:val="NoSpacing"/>
            </w:pPr>
          </w:p>
        </w:tc>
        <w:tc>
          <w:tcPr>
            <w:tcW w:w="0" w:type="auto"/>
          </w:tcPr>
          <w:p w14:paraId="687DA473" w14:textId="77777777" w:rsidR="0036416A" w:rsidRDefault="0036416A" w:rsidP="0036416A">
            <w:pPr>
              <w:pStyle w:val="NoSpacing"/>
            </w:pPr>
            <w:r>
              <w:t>BBS</w:t>
            </w:r>
          </w:p>
          <w:p w14:paraId="371AC424" w14:textId="77777777" w:rsidR="0036416A" w:rsidRDefault="0036416A" w:rsidP="0036416A">
            <w:pPr>
              <w:pStyle w:val="NoSpacing"/>
            </w:pPr>
            <w:r>
              <w:t>SMI</w:t>
            </w:r>
          </w:p>
        </w:tc>
        <w:tc>
          <w:tcPr>
            <w:tcW w:w="0" w:type="auto"/>
          </w:tcPr>
          <w:p w14:paraId="18E3764B" w14:textId="77777777" w:rsidR="0036416A" w:rsidRDefault="0036416A" w:rsidP="0036416A">
            <w:pPr>
              <w:ind w:left="970" w:hanging="970"/>
              <w:jc w:val="both"/>
              <w:rPr>
                <w:color w:val="0070C0"/>
                <w:sz w:val="30"/>
                <w:szCs w:val="30"/>
              </w:rPr>
            </w:pPr>
            <w:r>
              <w:rPr>
                <w:szCs w:val="22"/>
              </w:rPr>
              <w:t>Not Applicable</w:t>
            </w:r>
          </w:p>
        </w:tc>
        <w:tc>
          <w:tcPr>
            <w:tcW w:w="0" w:type="auto"/>
          </w:tcPr>
          <w:p w14:paraId="693DCD39" w14:textId="77777777" w:rsidR="0036416A" w:rsidRDefault="0036416A" w:rsidP="0036416A">
            <w:pPr>
              <w:ind w:left="970" w:hanging="970"/>
              <w:jc w:val="both"/>
              <w:rPr>
                <w:color w:val="0070C0"/>
                <w:sz w:val="30"/>
                <w:szCs w:val="30"/>
              </w:rPr>
            </w:pPr>
            <w:r w:rsidRPr="00BC6F10">
              <w:t>Triennial</w:t>
            </w:r>
          </w:p>
        </w:tc>
        <w:tc>
          <w:tcPr>
            <w:tcW w:w="0" w:type="auto"/>
          </w:tcPr>
          <w:p w14:paraId="02F6E378" w14:textId="77777777" w:rsidR="0036416A" w:rsidRDefault="0036416A" w:rsidP="0036416A">
            <w:pPr>
              <w:ind w:left="970" w:hanging="970"/>
              <w:jc w:val="both"/>
              <w:rPr>
                <w:color w:val="0070C0"/>
                <w:sz w:val="30"/>
                <w:szCs w:val="30"/>
              </w:rPr>
            </w:pPr>
            <w:r>
              <w:t>Group 2</w:t>
            </w:r>
          </w:p>
        </w:tc>
        <w:tc>
          <w:tcPr>
            <w:tcW w:w="0" w:type="auto"/>
          </w:tcPr>
          <w:p w14:paraId="456659D4" w14:textId="77777777" w:rsidR="0036416A" w:rsidRDefault="0036416A" w:rsidP="0036416A">
            <w:pPr>
              <w:pStyle w:val="NoSpacing"/>
            </w:pPr>
            <w:r>
              <w:t>1</w:t>
            </w:r>
            <w:r w:rsidRPr="00013ACB">
              <w:rPr>
                <w:vertAlign w:val="superscript"/>
              </w:rPr>
              <w:t>st</w:t>
            </w:r>
            <w:r>
              <w:t xml:space="preserve"> Round: </w:t>
            </w:r>
          </w:p>
          <w:p w14:paraId="0290FC7A" w14:textId="77777777" w:rsidR="0036416A" w:rsidRDefault="0036416A" w:rsidP="0036416A">
            <w:pPr>
              <w:pStyle w:val="NoSpacing"/>
            </w:pPr>
            <w:r>
              <w:t>December 2019</w:t>
            </w:r>
          </w:p>
          <w:p w14:paraId="0F327B5C" w14:textId="77777777" w:rsidR="0036416A" w:rsidRDefault="0036416A" w:rsidP="0036416A">
            <w:pPr>
              <w:pStyle w:val="NoSpacing"/>
            </w:pPr>
          </w:p>
          <w:p w14:paraId="1EB34441" w14:textId="77777777" w:rsidR="0036416A" w:rsidRDefault="0036416A" w:rsidP="0036416A">
            <w:pPr>
              <w:pStyle w:val="NoSpacing"/>
            </w:pPr>
            <w:r>
              <w:t>2</w:t>
            </w:r>
            <w:r w:rsidRPr="00013ACB">
              <w:rPr>
                <w:vertAlign w:val="superscript"/>
              </w:rPr>
              <w:t>nd</w:t>
            </w:r>
            <w:r>
              <w:t xml:space="preserve"> Round: </w:t>
            </w:r>
          </w:p>
          <w:p w14:paraId="5E4E3532" w14:textId="77777777" w:rsidR="0036416A" w:rsidRDefault="0036416A" w:rsidP="0036416A">
            <w:pPr>
              <w:pStyle w:val="NoSpacing"/>
            </w:pPr>
            <w:r>
              <w:t>December 2022</w:t>
            </w:r>
          </w:p>
          <w:p w14:paraId="795BB938" w14:textId="77777777" w:rsidR="0036416A" w:rsidRDefault="0036416A" w:rsidP="0036416A">
            <w:pPr>
              <w:pStyle w:val="NoSpacing"/>
            </w:pPr>
          </w:p>
          <w:p w14:paraId="4EDD956D" w14:textId="77777777" w:rsidR="0036416A" w:rsidRDefault="0036416A" w:rsidP="0036416A">
            <w:pPr>
              <w:pStyle w:val="NoSpacing"/>
            </w:pPr>
            <w:r>
              <w:t>3</w:t>
            </w:r>
            <w:r w:rsidRPr="00013ACB">
              <w:rPr>
                <w:vertAlign w:val="superscript"/>
              </w:rPr>
              <w:t>rd</w:t>
            </w:r>
            <w:r>
              <w:t xml:space="preserve"> Round: </w:t>
            </w:r>
          </w:p>
          <w:p w14:paraId="25BA48A5" w14:textId="77777777" w:rsidR="0036416A" w:rsidRDefault="0036416A" w:rsidP="0036416A">
            <w:pPr>
              <w:pStyle w:val="NoSpacing"/>
            </w:pPr>
            <w:r>
              <w:t>December 2025</w:t>
            </w:r>
          </w:p>
          <w:p w14:paraId="7681B7CE" w14:textId="77777777" w:rsidR="0036416A" w:rsidRDefault="0036416A" w:rsidP="0036416A">
            <w:pPr>
              <w:pStyle w:val="NoSpacing"/>
            </w:pPr>
          </w:p>
          <w:p w14:paraId="6975602E" w14:textId="77777777" w:rsidR="0036416A" w:rsidRDefault="0036416A" w:rsidP="0036416A">
            <w:pPr>
              <w:pStyle w:val="NoSpacing"/>
            </w:pPr>
            <w:r>
              <w:t>4</w:t>
            </w:r>
            <w:r w:rsidRPr="00013ACB">
              <w:rPr>
                <w:vertAlign w:val="superscript"/>
              </w:rPr>
              <w:t>th</w:t>
            </w:r>
            <w:r>
              <w:t xml:space="preserve"> Round: </w:t>
            </w:r>
          </w:p>
          <w:p w14:paraId="56F7B8C6" w14:textId="77777777" w:rsidR="0036416A" w:rsidRDefault="0036416A" w:rsidP="0036416A">
            <w:pPr>
              <w:pStyle w:val="NoSpacing"/>
            </w:pPr>
            <w:r>
              <w:t>December 2028</w:t>
            </w:r>
          </w:p>
          <w:p w14:paraId="78786BA1" w14:textId="77777777" w:rsidR="0036416A" w:rsidRDefault="0036416A" w:rsidP="0036416A">
            <w:pPr>
              <w:pStyle w:val="NoSpacing"/>
            </w:pPr>
          </w:p>
          <w:p w14:paraId="3EC5E850" w14:textId="77777777" w:rsidR="0036416A" w:rsidRDefault="0036416A" w:rsidP="0036416A">
            <w:pPr>
              <w:pStyle w:val="NoSpacing"/>
            </w:pPr>
            <w:r>
              <w:t>5</w:t>
            </w:r>
            <w:r w:rsidRPr="00013ACB">
              <w:rPr>
                <w:vertAlign w:val="superscript"/>
              </w:rPr>
              <w:t>th</w:t>
            </w:r>
            <w:r>
              <w:t xml:space="preserve"> Round: </w:t>
            </w:r>
          </w:p>
          <w:p w14:paraId="496E2366" w14:textId="77777777" w:rsidR="0036416A" w:rsidRDefault="0036416A" w:rsidP="0036416A">
            <w:pPr>
              <w:pStyle w:val="NoSpacing"/>
            </w:pPr>
            <w:r>
              <w:t>December 2030</w:t>
            </w:r>
          </w:p>
          <w:p w14:paraId="54812B50" w14:textId="5A872D1D" w:rsidR="0036416A" w:rsidRDefault="0036416A" w:rsidP="0036416A">
            <w:pPr>
              <w:pStyle w:val="NoSpacing"/>
            </w:pPr>
          </w:p>
        </w:tc>
        <w:tc>
          <w:tcPr>
            <w:tcW w:w="0" w:type="auto"/>
          </w:tcPr>
          <w:p w14:paraId="7A678928" w14:textId="77777777" w:rsidR="0036416A" w:rsidRDefault="0036416A" w:rsidP="0036416A">
            <w:pPr>
              <w:pStyle w:val="NoSpacing"/>
            </w:pPr>
            <w:r w:rsidRPr="00DE5DC2">
              <w:t>SMI is being conducted in May, 2019</w:t>
            </w:r>
          </w:p>
          <w:p w14:paraId="7105C65A" w14:textId="77777777" w:rsidR="0036416A" w:rsidRDefault="0036416A" w:rsidP="0036416A">
            <w:pPr>
              <w:pStyle w:val="NoSpacing"/>
            </w:pPr>
          </w:p>
          <w:p w14:paraId="05977099" w14:textId="77777777" w:rsidR="0036416A" w:rsidRPr="002F2586" w:rsidRDefault="0036416A" w:rsidP="0036416A">
            <w:pPr>
              <w:pStyle w:val="NoSpacing"/>
            </w:pPr>
            <w:r w:rsidRPr="002F2586">
              <w:t>Data availability reviewed in Oct. 2019</w:t>
            </w:r>
          </w:p>
          <w:p w14:paraId="1DC7417A" w14:textId="77777777" w:rsidR="0036416A" w:rsidRPr="002F2586" w:rsidRDefault="0036416A" w:rsidP="0036416A">
            <w:pPr>
              <w:pStyle w:val="NoSpacing"/>
            </w:pPr>
            <w:r w:rsidRPr="002F2586">
              <w:t>(classified as Tier I)</w:t>
            </w:r>
          </w:p>
          <w:p w14:paraId="00279906" w14:textId="77777777" w:rsidR="0036416A" w:rsidRPr="002F2586" w:rsidRDefault="0036416A" w:rsidP="0036416A">
            <w:pPr>
              <w:pStyle w:val="NoSpacing"/>
              <w:rPr>
                <w:color w:val="0070C0"/>
                <w:sz w:val="30"/>
                <w:szCs w:val="30"/>
              </w:rPr>
            </w:pPr>
          </w:p>
          <w:p w14:paraId="0A263B66" w14:textId="77777777" w:rsidR="0036416A" w:rsidRPr="002F2586" w:rsidRDefault="0036416A" w:rsidP="0036416A">
            <w:pPr>
              <w:pStyle w:val="NoSpacing"/>
            </w:pPr>
            <w:r w:rsidRPr="002F2586">
              <w:t>Reviewed at 6th IAEG-SDG meeting (classified as Tier II)</w:t>
            </w:r>
          </w:p>
          <w:p w14:paraId="77C15EB7" w14:textId="77777777" w:rsidR="0036416A" w:rsidRPr="002F2586" w:rsidRDefault="0036416A" w:rsidP="0036416A">
            <w:pPr>
              <w:pStyle w:val="NoSpacing"/>
              <w:rPr>
                <w:color w:val="0070C0"/>
                <w:sz w:val="30"/>
                <w:szCs w:val="30"/>
              </w:rPr>
            </w:pPr>
          </w:p>
          <w:p w14:paraId="505B9692" w14:textId="0EDA8695" w:rsidR="0036416A" w:rsidRPr="002F2586" w:rsidRDefault="0036416A" w:rsidP="0036416A">
            <w:pPr>
              <w:pStyle w:val="NoSpacing"/>
            </w:pPr>
            <w:r w:rsidRPr="002F2586">
              <w:t xml:space="preserve">Fast Track; Reviewed at 5th IAEG-SDG meeting: </w:t>
            </w:r>
            <w:r w:rsidRPr="002F2586">
              <w:lastRenderedPageBreak/>
              <w:t xml:space="preserve">Request additional work on the definition of small-scale industries (classified as </w:t>
            </w:r>
            <w:r w:rsidR="006B621F">
              <w:t>TBD</w:t>
            </w:r>
            <w:r w:rsidRPr="002F2586">
              <w:t>)</w:t>
            </w:r>
          </w:p>
        </w:tc>
      </w:tr>
      <w:tr w:rsidR="0025292C" w14:paraId="3262CEF7" w14:textId="77777777" w:rsidTr="00D52BCB">
        <w:tc>
          <w:tcPr>
            <w:tcW w:w="0" w:type="auto"/>
            <w:gridSpan w:val="13"/>
          </w:tcPr>
          <w:p w14:paraId="2CCF93B8" w14:textId="77777777" w:rsidR="0025292C" w:rsidRDefault="0025292C" w:rsidP="0036416A">
            <w:pPr>
              <w:rPr>
                <w:color w:val="FF0000"/>
                <w:sz w:val="32"/>
                <w:szCs w:val="32"/>
              </w:rPr>
            </w:pPr>
            <w:r>
              <w:rPr>
                <w:color w:val="0070C0"/>
                <w:sz w:val="30"/>
                <w:szCs w:val="30"/>
              </w:rPr>
              <w:lastRenderedPageBreak/>
              <w:t xml:space="preserve">Target </w:t>
            </w:r>
            <w:r w:rsidRPr="006429A5">
              <w:rPr>
                <w:color w:val="0070C0"/>
                <w:sz w:val="30"/>
                <w:szCs w:val="30"/>
              </w:rPr>
              <w:t>9.4 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r>
      <w:tr w:rsidR="0036416A" w14:paraId="092295C3" w14:textId="77777777" w:rsidTr="00DB32C0">
        <w:tc>
          <w:tcPr>
            <w:tcW w:w="0" w:type="auto"/>
          </w:tcPr>
          <w:p w14:paraId="13AA9A66" w14:textId="77777777" w:rsidR="0036416A" w:rsidRDefault="0036416A" w:rsidP="0036416A">
            <w:pPr>
              <w:pStyle w:val="NoSpacing"/>
            </w:pPr>
            <w:r w:rsidRPr="00292850">
              <w:lastRenderedPageBreak/>
              <w:t>9.4.1 CO2 emission per unit of value added</w:t>
            </w:r>
          </w:p>
        </w:tc>
        <w:tc>
          <w:tcPr>
            <w:tcW w:w="0" w:type="auto"/>
          </w:tcPr>
          <w:p w14:paraId="12F1E52B" w14:textId="77777777" w:rsidR="0036416A" w:rsidRDefault="0036416A" w:rsidP="0036416A">
            <w:pPr>
              <w:pStyle w:val="NoSpacing"/>
            </w:pPr>
            <w:r>
              <w:t xml:space="preserve">UNIDO, </w:t>
            </w:r>
          </w:p>
          <w:p w14:paraId="64F1593E" w14:textId="77777777" w:rsidR="0036416A" w:rsidRDefault="0036416A" w:rsidP="0036416A">
            <w:pPr>
              <w:pStyle w:val="NoSpacing"/>
            </w:pPr>
            <w:r>
              <w:t>IEA</w:t>
            </w:r>
          </w:p>
          <w:p w14:paraId="19F98953" w14:textId="77777777" w:rsidR="0036416A" w:rsidRDefault="0036416A" w:rsidP="0036416A">
            <w:pPr>
              <w:rPr>
                <w:b/>
                <w:bCs/>
                <w:szCs w:val="20"/>
              </w:rPr>
            </w:pPr>
            <w:r w:rsidRPr="007243FC">
              <w:rPr>
                <w:b/>
                <w:bCs/>
                <w:szCs w:val="20"/>
              </w:rPr>
              <w:t>Partner Agencies:</w:t>
            </w:r>
          </w:p>
          <w:p w14:paraId="1515FAEA" w14:textId="77777777" w:rsidR="0036416A" w:rsidRDefault="0036416A" w:rsidP="0036416A">
            <w:pPr>
              <w:pStyle w:val="NoSpacing"/>
            </w:pPr>
            <w:r w:rsidRPr="007A7507">
              <w:t>UNEP</w:t>
            </w:r>
          </w:p>
        </w:tc>
        <w:tc>
          <w:tcPr>
            <w:tcW w:w="0" w:type="auto"/>
          </w:tcPr>
          <w:p w14:paraId="07479A9C" w14:textId="77777777" w:rsidR="0036416A" w:rsidRDefault="0036416A" w:rsidP="0036416A">
            <w:pPr>
              <w:ind w:left="970" w:hanging="970"/>
              <w:jc w:val="both"/>
              <w:rPr>
                <w:color w:val="0070C0"/>
                <w:sz w:val="30"/>
                <w:szCs w:val="30"/>
              </w:rPr>
            </w:pPr>
            <w:r>
              <w:t>Tier I</w:t>
            </w:r>
          </w:p>
        </w:tc>
        <w:tc>
          <w:tcPr>
            <w:tcW w:w="0" w:type="auto"/>
          </w:tcPr>
          <w:p w14:paraId="6102FD9B" w14:textId="77777777" w:rsidR="0036416A" w:rsidRDefault="0036416A" w:rsidP="0036416A">
            <w:pPr>
              <w:pStyle w:val="NoSpacing"/>
            </w:pPr>
            <w:r>
              <w:t>Definition:</w:t>
            </w:r>
          </w:p>
          <w:p w14:paraId="4AC80038" w14:textId="77777777" w:rsidR="0036416A" w:rsidRDefault="0036416A" w:rsidP="0036416A">
            <w:pPr>
              <w:pStyle w:val="NoSpacing"/>
            </w:pPr>
            <w:r>
              <w:t xml:space="preserve">Carbon dioxide (here after, CO2) emissions per unit value added is an indicator computed as ratio between CO2 emissions from fuel combustion and the value added of associated economic activities. The indicator can be computed for the whole economy (total CO2 emissions/GDP) or for specific sectors, notably the manufacturing sector (CO2 emissions from manufacturing industries per manufacturing value added (MVA). </w:t>
            </w:r>
          </w:p>
          <w:p w14:paraId="75BD472C" w14:textId="77777777" w:rsidR="0036416A" w:rsidRDefault="0036416A" w:rsidP="0036416A">
            <w:pPr>
              <w:pStyle w:val="NoSpacing"/>
            </w:pPr>
          </w:p>
          <w:p w14:paraId="79605339" w14:textId="77777777" w:rsidR="0036416A" w:rsidRDefault="0036416A" w:rsidP="0036416A">
            <w:pPr>
              <w:pStyle w:val="NoSpacing"/>
            </w:pPr>
            <w:r>
              <w:t>CO2 emissions per unit of GDP are expressed in kilogrammes of CO2 per USD constant 2010 PPP GDP. CO2 emissions from manufacturing industries per unit of MVA are measured in kilogrammes of CO2 equivalent per unit of MVA in constant 2010 USD.</w:t>
            </w:r>
          </w:p>
          <w:p w14:paraId="7F65B5CD" w14:textId="77777777" w:rsidR="0036416A" w:rsidRDefault="0036416A" w:rsidP="0036416A">
            <w:pPr>
              <w:pStyle w:val="NoSpacing"/>
            </w:pPr>
          </w:p>
          <w:p w14:paraId="7BFC82AA" w14:textId="77777777" w:rsidR="0036416A" w:rsidRDefault="0036416A" w:rsidP="0036416A">
            <w:pPr>
              <w:pStyle w:val="NoSpacing"/>
            </w:pPr>
            <w:r>
              <w:t>Concepts:</w:t>
            </w:r>
          </w:p>
          <w:p w14:paraId="212DA414" w14:textId="77777777" w:rsidR="0036416A" w:rsidRDefault="0036416A" w:rsidP="0036416A">
            <w:pPr>
              <w:pStyle w:val="NoSpacing"/>
            </w:pPr>
            <w:r>
              <w:t>Total CO2 emissions for an economy are estimated based on energy consumption data for all sectors.</w:t>
            </w:r>
          </w:p>
          <w:p w14:paraId="6EFC5187" w14:textId="77777777" w:rsidR="0036416A" w:rsidRDefault="0036416A" w:rsidP="0036416A">
            <w:pPr>
              <w:pStyle w:val="NoSpacing"/>
            </w:pPr>
            <w:r>
              <w:t>CO2 emissions from manufacturing are based on energy data collected across the following subsectors (energy used for transport by industry is not included here but reported under transport):</w:t>
            </w:r>
          </w:p>
          <w:p w14:paraId="60D0A612" w14:textId="77777777" w:rsidR="0036416A" w:rsidRDefault="0036416A" w:rsidP="0036416A">
            <w:pPr>
              <w:pStyle w:val="NoSpacing"/>
            </w:pPr>
            <w:r>
              <w:tab/>
              <w:t>Iron and steel industry [ISIC Group 241 and Class 2431];</w:t>
            </w:r>
          </w:p>
          <w:p w14:paraId="3F7FEE76" w14:textId="77777777" w:rsidR="0036416A" w:rsidRDefault="0036416A" w:rsidP="0036416A">
            <w:pPr>
              <w:pStyle w:val="NoSpacing"/>
            </w:pPr>
            <w:r>
              <w:tab/>
              <w:t>Chemical and petrochemical industry [ISIC Divisions 20 and 21] excluding petrochemical feedstocks;</w:t>
            </w:r>
          </w:p>
          <w:p w14:paraId="29EBEA41" w14:textId="77777777" w:rsidR="0036416A" w:rsidRDefault="0036416A" w:rsidP="0036416A">
            <w:pPr>
              <w:pStyle w:val="NoSpacing"/>
            </w:pPr>
            <w:r>
              <w:tab/>
              <w:t>Non-ferrous metals basic industries [ISIC Group 242 and Class 2432];</w:t>
            </w:r>
          </w:p>
          <w:p w14:paraId="5A867ABB" w14:textId="77777777" w:rsidR="0036416A" w:rsidRDefault="0036416A" w:rsidP="0036416A">
            <w:pPr>
              <w:pStyle w:val="NoSpacing"/>
            </w:pPr>
            <w:r>
              <w:tab/>
              <w:t>Non-metallic minerals such as glass, ceramic, cement, etc. [ISIC Division 23];</w:t>
            </w:r>
          </w:p>
          <w:p w14:paraId="741F3DD5" w14:textId="77777777" w:rsidR="0036416A" w:rsidRDefault="0036416A" w:rsidP="0036416A">
            <w:pPr>
              <w:pStyle w:val="NoSpacing"/>
            </w:pPr>
            <w:r>
              <w:tab/>
              <w:t>Transport equipment [ISIC Divisions 29 and 30];</w:t>
            </w:r>
          </w:p>
          <w:p w14:paraId="6D9415C7" w14:textId="77777777" w:rsidR="0036416A" w:rsidRDefault="0036416A" w:rsidP="0036416A">
            <w:pPr>
              <w:pStyle w:val="NoSpacing"/>
            </w:pPr>
            <w:r>
              <w:tab/>
              <w:t>Machinery comprises fabricated metal products, machinery and equipment other than transport equipment [ISIC Divisions 25 to 28];</w:t>
            </w:r>
          </w:p>
          <w:p w14:paraId="651467CE" w14:textId="77777777" w:rsidR="0036416A" w:rsidRDefault="0036416A" w:rsidP="0036416A">
            <w:pPr>
              <w:pStyle w:val="NoSpacing"/>
            </w:pPr>
            <w:r>
              <w:tab/>
              <w:t>Food and tobacco [ISIC Divisions 10 to 12];</w:t>
            </w:r>
          </w:p>
          <w:p w14:paraId="5ADF350F" w14:textId="77777777" w:rsidR="0036416A" w:rsidRDefault="0036416A" w:rsidP="0036416A">
            <w:pPr>
              <w:pStyle w:val="NoSpacing"/>
            </w:pPr>
            <w:r>
              <w:tab/>
              <w:t>Paper, pulp and printing [ISIC Divisions 17 and 18];</w:t>
            </w:r>
          </w:p>
          <w:p w14:paraId="40035784" w14:textId="77777777" w:rsidR="0036416A" w:rsidRDefault="0036416A" w:rsidP="0036416A">
            <w:pPr>
              <w:pStyle w:val="NoSpacing"/>
            </w:pPr>
            <w:r>
              <w:tab/>
              <w:t>Wood and wood products (other than pulp and paper)  [ISIC Division 16];</w:t>
            </w:r>
          </w:p>
          <w:p w14:paraId="5B413F57" w14:textId="77777777" w:rsidR="0036416A" w:rsidRDefault="0036416A" w:rsidP="0036416A">
            <w:pPr>
              <w:pStyle w:val="NoSpacing"/>
            </w:pPr>
            <w:r>
              <w:tab/>
              <w:t>Textile and leather [ISIC Divisions 13 to 15];</w:t>
            </w:r>
          </w:p>
          <w:p w14:paraId="7127C505" w14:textId="77777777" w:rsidR="0036416A" w:rsidRDefault="0036416A" w:rsidP="0036416A">
            <w:pPr>
              <w:pStyle w:val="NoSpacing"/>
            </w:pPr>
            <w:r>
              <w:tab/>
              <w:t>Non-specified (any manufacturing industry not included above) [ISIC Divisions 22, 31 and 32].</w:t>
            </w:r>
          </w:p>
          <w:p w14:paraId="1DBE378C" w14:textId="77777777" w:rsidR="0036416A" w:rsidRDefault="0036416A" w:rsidP="0036416A">
            <w:pPr>
              <w:pStyle w:val="NoSpacing"/>
            </w:pPr>
          </w:p>
          <w:p w14:paraId="2565AA89" w14:textId="77777777" w:rsidR="0036416A" w:rsidRDefault="0036416A" w:rsidP="0036416A">
            <w:pPr>
              <w:pStyle w:val="NoSpacing"/>
            </w:pPr>
            <w:r>
              <w:t xml:space="preserve">Energy data are collected at a country level, based on internationally agreed standards (UN International Recommendations on Energy Statistics). CO2 emissions need to be estimated based on energy data and on internationally agreed methodologies (IPCC Guidelines for GHG inventories). </w:t>
            </w:r>
          </w:p>
          <w:p w14:paraId="484C17D8" w14:textId="77777777" w:rsidR="0036416A" w:rsidRDefault="0036416A" w:rsidP="0036416A">
            <w:pPr>
              <w:pStyle w:val="NoSpacing"/>
            </w:pPr>
            <w:r>
              <w:t>The IEA collects national energy data, according to internationally agreed energy statistics definitions and estimates CO2 emissions based on the IPCC Guidelines for GHG inventories Tier 1 methodology, producing internationally comparable CO2 emissions data for over 150 countries and regions.</w:t>
            </w:r>
          </w:p>
          <w:p w14:paraId="2A3B9DA6" w14:textId="77777777" w:rsidR="0036416A" w:rsidRDefault="0036416A" w:rsidP="0036416A">
            <w:pPr>
              <w:pStyle w:val="NoSpacing"/>
            </w:pPr>
            <w:r>
              <w:t xml:space="preserve">The gross value added is defined as output minus intermediate consumption and equals the sum of employee compensation, gross operating surplus of government and corporations, gross mixed income </w:t>
            </w:r>
            <w:r>
              <w:lastRenderedPageBreak/>
              <w:t>of unincorporated enterprises and taxes less subsidies on production and imports, except for net taxes on products (System of National Accounts 2008). Manufacturing refers to industries belonging to the sector C defined by ISIC Revision 4, or D defined by ISIC Revision 3.</w:t>
            </w:r>
          </w:p>
          <w:p w14:paraId="4C1BBD86" w14:textId="77777777" w:rsidR="0036416A" w:rsidRDefault="0036416A" w:rsidP="0036416A">
            <w:pPr>
              <w:pStyle w:val="NoSpacing"/>
            </w:pPr>
          </w:p>
          <w:p w14:paraId="5F429DD0" w14:textId="77777777" w:rsidR="0036416A" w:rsidRDefault="0036416A" w:rsidP="0036416A">
            <w:pPr>
              <w:pStyle w:val="NoSpacing"/>
            </w:pPr>
            <w:r>
              <w:t>Comments and limitations:</w:t>
            </w:r>
          </w:p>
          <w:p w14:paraId="19AD1021" w14:textId="77777777" w:rsidR="0036416A" w:rsidRDefault="0036416A" w:rsidP="0036416A">
            <w:pPr>
              <w:pStyle w:val="NoSpacing"/>
            </w:pPr>
            <w:r>
              <w:t>Estimation of CO2 emission data is not systematized in many countries, although is performed internationally based on harmonised energy data collected at national level. Energy data collection is generally well established, although in some cases national methodologies may differ from internationally agreed methodologies. National data sources include statistical offices, Energy Ministries, Environment agencies, among others. Energy consumption data and value added data are coming from different data sources which may raise some consistency issues.</w:t>
            </w:r>
          </w:p>
          <w:p w14:paraId="1F50741E" w14:textId="77777777" w:rsidR="0036416A" w:rsidRDefault="0036416A" w:rsidP="0036416A">
            <w:pPr>
              <w:pStyle w:val="NoSpacing"/>
            </w:pPr>
          </w:p>
          <w:p w14:paraId="6C836A3A" w14:textId="77777777" w:rsidR="0036416A" w:rsidRDefault="0036416A" w:rsidP="0036416A">
            <w:pPr>
              <w:pStyle w:val="NoSpacing"/>
            </w:pPr>
            <w:r>
              <w:t>Computation Method:</w:t>
            </w:r>
          </w:p>
          <w:p w14:paraId="088F3047" w14:textId="77777777" w:rsidR="0036416A" w:rsidRDefault="0036416A" w:rsidP="0036416A">
            <w:pPr>
              <w:pStyle w:val="NoSpacing"/>
            </w:pPr>
            <w:r>
              <w:t>CO2 emissions from fuel combustion are estimated based on energy consumption and on the IPCC Guidelines.</w:t>
            </w:r>
          </w:p>
          <w:p w14:paraId="783BDB59" w14:textId="77777777" w:rsidR="0036416A" w:rsidRDefault="0036416A" w:rsidP="0036416A">
            <w:pPr>
              <w:pStyle w:val="NoSpacing"/>
            </w:pPr>
          </w:p>
          <w:p w14:paraId="2B5AD115" w14:textId="77777777" w:rsidR="0036416A" w:rsidRDefault="0036416A" w:rsidP="0036416A">
            <w:pPr>
              <w:pStyle w:val="NoSpacing"/>
            </w:pPr>
            <w:r>
              <w:t>The total intensity of the economy is defined as the ratio of total CO2 emissions from fuel combustion and GDP.</w:t>
            </w:r>
          </w:p>
          <w:p w14:paraId="5613CDE5" w14:textId="77777777" w:rsidR="0036416A" w:rsidRDefault="0036416A" w:rsidP="0036416A">
            <w:pPr>
              <w:pStyle w:val="NoSpacing"/>
            </w:pPr>
          </w:p>
          <w:p w14:paraId="50CEBE08" w14:textId="77777777" w:rsidR="0036416A" w:rsidRDefault="0036416A" w:rsidP="0036416A">
            <w:pPr>
              <w:pStyle w:val="NoSpacing"/>
            </w:pPr>
            <w:r>
              <w:t>The sectoral intensity is defined as CO2 emission from manufacturing (in physical measurement unit such as tonnes) divided by manufacturing value added (MVA) in constant 2010 USD.</w:t>
            </w:r>
          </w:p>
          <w:p w14:paraId="265D0BB4" w14:textId="77777777" w:rsidR="0036416A" w:rsidRDefault="0036416A" w:rsidP="0036416A">
            <w:pPr>
              <w:pStyle w:val="NoSpacing"/>
            </w:pPr>
            <m:oMathPara>
              <m:oMath>
                <m:r>
                  <w:rPr>
                    <w:rFonts w:ascii="Cambria Math" w:eastAsia="Times New Roman" w:hAnsi="Cambria Math" w:cs="Times New Roman"/>
                    <w:color w:val="4A4A4A"/>
                    <w:sz w:val="21"/>
                    <w:szCs w:val="21"/>
                    <w:lang w:eastAsia="en-GB"/>
                  </w:rPr>
                  <m:t>CO2 emission pe</m:t>
                </m:r>
                <m:r>
                  <w:rPr>
                    <w:rFonts w:ascii="Cambria Math" w:eastAsia="Times New Roman" w:hAnsi="Cambria Math" w:cs="Times New Roman"/>
                    <w:color w:val="4A4A4A"/>
                    <w:sz w:val="21"/>
                    <w:szCs w:val="21"/>
                    <w:lang w:eastAsia="en-GB"/>
                  </w:rPr>
                  <m:t>r unit of value added=</m:t>
                </m:r>
                <m:f>
                  <m:fPr>
                    <m:ctrlPr>
                      <w:rPr>
                        <w:rFonts w:ascii="Cambria Math" w:eastAsia="Times New Roman" w:hAnsi="Cambria Math" w:cs="Times New Roman"/>
                        <w:i/>
                        <w:color w:val="4A4A4A"/>
                        <w:sz w:val="21"/>
                        <w:szCs w:val="21"/>
                        <w:lang w:eastAsia="en-GB"/>
                      </w:rPr>
                    </m:ctrlPr>
                  </m:fPr>
                  <m:num>
                    <m:r>
                      <w:rPr>
                        <w:rFonts w:ascii="Cambria Math" w:eastAsia="Times New Roman" w:hAnsi="Cambria Math" w:cs="Times New Roman"/>
                        <w:color w:val="4A4A4A"/>
                        <w:sz w:val="21"/>
                        <w:szCs w:val="21"/>
                        <w:lang w:eastAsia="en-GB"/>
                      </w:rPr>
                      <m:t>CO2 emission from manufacturing (in kg)</m:t>
                    </m:r>
                  </m:num>
                  <m:den>
                    <m:r>
                      <w:rPr>
                        <w:rFonts w:ascii="Cambria Math" w:eastAsia="Times New Roman" w:hAnsi="Cambria Math" w:cs="Times New Roman"/>
                        <w:color w:val="4A4A4A"/>
                        <w:sz w:val="21"/>
                        <w:szCs w:val="21"/>
                        <w:lang w:eastAsia="en-GB"/>
                      </w:rPr>
                      <m:t>MVA (constant USD)</m:t>
                    </m:r>
                  </m:den>
                </m:f>
              </m:oMath>
            </m:oMathPara>
          </w:p>
          <w:p w14:paraId="5A96C737" w14:textId="23576240" w:rsidR="0036416A" w:rsidRDefault="0036416A" w:rsidP="0036416A">
            <w:pPr>
              <w:pStyle w:val="NoSpacing"/>
            </w:pPr>
          </w:p>
        </w:tc>
        <w:tc>
          <w:tcPr>
            <w:tcW w:w="0" w:type="auto"/>
          </w:tcPr>
          <w:p w14:paraId="6565661D" w14:textId="77777777" w:rsidR="0036416A" w:rsidRDefault="0036416A" w:rsidP="0036416A">
            <w:pPr>
              <w:pStyle w:val="NoSpacing"/>
              <w:rPr>
                <w:lang w:val="en-GB"/>
              </w:rPr>
            </w:pPr>
            <w:r w:rsidRPr="00873FDE">
              <w:lastRenderedPageBreak/>
              <w:t xml:space="preserve">MVA proportion to </w:t>
            </w:r>
            <w:r w:rsidRPr="002E0A78">
              <w:rPr>
                <w:lang w:val="en-GB"/>
              </w:rPr>
              <w:t>The MVA and GDP country data are collected through a national accounts</w:t>
            </w:r>
            <w:r>
              <w:rPr>
                <w:lang w:val="en-GB"/>
              </w:rPr>
              <w:t xml:space="preserve"> questionnaire (NAQ) </w:t>
            </w:r>
            <w:r w:rsidRPr="002E0A78">
              <w:rPr>
                <w:lang w:val="en-GB"/>
              </w:rPr>
              <w:t xml:space="preserve">by UNSD. </w:t>
            </w:r>
          </w:p>
          <w:p w14:paraId="7E0B5E44" w14:textId="77777777" w:rsidR="0036416A" w:rsidRDefault="0036416A" w:rsidP="0036416A">
            <w:pPr>
              <w:pStyle w:val="NoSpacing"/>
              <w:rPr>
                <w:lang w:val="en-GB"/>
              </w:rPr>
            </w:pPr>
          </w:p>
          <w:p w14:paraId="152C60F3" w14:textId="77777777" w:rsidR="0036416A" w:rsidRPr="00873FDE" w:rsidRDefault="0036416A" w:rsidP="0036416A">
            <w:pPr>
              <w:pStyle w:val="NoSpacing"/>
            </w:pPr>
            <w:r w:rsidRPr="00873FDE">
              <w:t xml:space="preserve">GDP = MVA/GDP*100. </w:t>
            </w:r>
          </w:p>
          <w:p w14:paraId="629002B2" w14:textId="77777777" w:rsidR="0036416A" w:rsidRPr="00873FDE" w:rsidRDefault="0036416A" w:rsidP="0036416A">
            <w:pPr>
              <w:autoSpaceDE w:val="0"/>
              <w:autoSpaceDN w:val="0"/>
              <w:adjustRightInd w:val="0"/>
              <w:rPr>
                <w:szCs w:val="20"/>
              </w:rPr>
            </w:pPr>
          </w:p>
          <w:p w14:paraId="49C45E40" w14:textId="77777777" w:rsidR="0036416A" w:rsidRDefault="0036416A" w:rsidP="0036416A">
            <w:pPr>
              <w:pStyle w:val="NoSpacing"/>
            </w:pPr>
            <w:r w:rsidRPr="00873FDE">
              <w:rPr>
                <w:rFonts w:cstheme="minorBidi"/>
                <w:szCs w:val="20"/>
                <w:lang w:val="en-GB"/>
              </w:rPr>
              <w:t>MVA per capita = MVA/population</w:t>
            </w:r>
          </w:p>
        </w:tc>
        <w:tc>
          <w:tcPr>
            <w:tcW w:w="0" w:type="auto"/>
          </w:tcPr>
          <w:p w14:paraId="0D609332" w14:textId="77777777" w:rsidR="0036416A" w:rsidRPr="00417C29" w:rsidRDefault="0036416A" w:rsidP="0036416A">
            <w:pPr>
              <w:pStyle w:val="NoSpacing"/>
              <w:rPr>
                <w:lang w:val="en-GB"/>
              </w:rPr>
            </w:pPr>
            <w:r w:rsidRPr="00417C29">
              <w:rPr>
                <w:lang w:val="en-GB"/>
              </w:rPr>
              <w:t xml:space="preserve">NSOs and national energy data collecting agencies </w:t>
            </w:r>
          </w:p>
          <w:p w14:paraId="4CFBA5C0" w14:textId="77777777" w:rsidR="0036416A" w:rsidRDefault="0036416A" w:rsidP="0036416A">
            <w:pPr>
              <w:pStyle w:val="NoSpacing"/>
            </w:pPr>
          </w:p>
        </w:tc>
        <w:tc>
          <w:tcPr>
            <w:tcW w:w="0" w:type="auto"/>
          </w:tcPr>
          <w:p w14:paraId="7F8EDC80" w14:textId="22A0C054" w:rsidR="0036416A" w:rsidRDefault="0036416A" w:rsidP="0036416A">
            <w:pPr>
              <w:pStyle w:val="NoSpacing"/>
              <w:rPr>
                <w:color w:val="0070C0"/>
                <w:sz w:val="30"/>
                <w:szCs w:val="30"/>
              </w:rPr>
            </w:pPr>
          </w:p>
        </w:tc>
        <w:tc>
          <w:tcPr>
            <w:tcW w:w="0" w:type="auto"/>
          </w:tcPr>
          <w:p w14:paraId="26AE2A4A" w14:textId="77777777" w:rsidR="0036416A" w:rsidRPr="00A55639" w:rsidRDefault="0036416A" w:rsidP="0036416A">
            <w:pPr>
              <w:ind w:left="970" w:hanging="970"/>
              <w:jc w:val="both"/>
              <w:rPr>
                <w:color w:val="000000" w:themeColor="text1"/>
              </w:rPr>
            </w:pPr>
            <w:r w:rsidRPr="00A55639">
              <w:rPr>
                <w:color w:val="000000" w:themeColor="text1"/>
              </w:rPr>
              <w:t>DoE</w:t>
            </w:r>
          </w:p>
          <w:p w14:paraId="0299223E" w14:textId="77777777" w:rsidR="0036416A" w:rsidRDefault="0036416A" w:rsidP="0036416A">
            <w:pPr>
              <w:pStyle w:val="NoSpacing"/>
            </w:pPr>
            <w:r w:rsidRPr="00A55639">
              <w:t>Administrative Data</w:t>
            </w:r>
          </w:p>
          <w:p w14:paraId="47C35155" w14:textId="77777777" w:rsidR="0036416A" w:rsidRDefault="0036416A" w:rsidP="0036416A">
            <w:pPr>
              <w:pStyle w:val="NoSpacing"/>
            </w:pPr>
          </w:p>
          <w:p w14:paraId="2B13F530" w14:textId="77777777" w:rsidR="0036416A" w:rsidRDefault="0036416A" w:rsidP="0036416A">
            <w:pPr>
              <w:pStyle w:val="NoSpacing"/>
              <w:rPr>
                <w:color w:val="0070C0"/>
                <w:sz w:val="30"/>
                <w:szCs w:val="30"/>
              </w:rPr>
            </w:pPr>
            <w:r>
              <w:t>MoEFCC</w:t>
            </w:r>
          </w:p>
        </w:tc>
        <w:tc>
          <w:tcPr>
            <w:tcW w:w="0" w:type="auto"/>
          </w:tcPr>
          <w:p w14:paraId="37B1EB9C"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national totals</w:t>
            </w:r>
          </w:p>
          <w:p w14:paraId="3FA889DA"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economic sector: manufacturing, industrial</w:t>
            </w:r>
          </w:p>
          <w:p w14:paraId="3FBD434B" w14:textId="77777777" w:rsidR="0036416A" w:rsidRDefault="0036416A" w:rsidP="0036416A">
            <w:pPr>
              <w:ind w:left="970" w:hanging="970"/>
              <w:jc w:val="both"/>
              <w:rPr>
                <w:color w:val="0070C0"/>
                <w:sz w:val="30"/>
                <w:szCs w:val="30"/>
              </w:rPr>
            </w:pPr>
          </w:p>
        </w:tc>
        <w:tc>
          <w:tcPr>
            <w:tcW w:w="0" w:type="auto"/>
          </w:tcPr>
          <w:p w14:paraId="5ACB5894" w14:textId="77777777" w:rsidR="0036416A" w:rsidRPr="00BC6F10" w:rsidRDefault="0036416A" w:rsidP="0036416A">
            <w:pPr>
              <w:spacing w:line="276" w:lineRule="auto"/>
              <w:jc w:val="center"/>
            </w:pPr>
            <w:r w:rsidRPr="00BC6F10">
              <w:t>5-Year</w:t>
            </w:r>
          </w:p>
        </w:tc>
        <w:tc>
          <w:tcPr>
            <w:tcW w:w="0" w:type="auto"/>
          </w:tcPr>
          <w:p w14:paraId="461218C8" w14:textId="77777777" w:rsidR="0036416A" w:rsidRDefault="0036416A" w:rsidP="0036416A">
            <w:pPr>
              <w:ind w:left="970" w:hanging="970"/>
              <w:jc w:val="both"/>
              <w:rPr>
                <w:color w:val="0070C0"/>
                <w:sz w:val="30"/>
                <w:szCs w:val="30"/>
              </w:rPr>
            </w:pPr>
            <w:r>
              <w:t>Group 2</w:t>
            </w:r>
          </w:p>
        </w:tc>
        <w:tc>
          <w:tcPr>
            <w:tcW w:w="0" w:type="auto"/>
          </w:tcPr>
          <w:p w14:paraId="33F52CB0" w14:textId="6AD0E871" w:rsidR="0036416A" w:rsidRDefault="0036416A" w:rsidP="0036416A">
            <w:pPr>
              <w:pStyle w:val="NoSpacing"/>
            </w:pPr>
          </w:p>
          <w:p w14:paraId="5FC01A47" w14:textId="77777777" w:rsidR="0036416A" w:rsidRDefault="0036416A" w:rsidP="0036416A">
            <w:pPr>
              <w:pStyle w:val="NoSpacing"/>
            </w:pPr>
          </w:p>
          <w:p w14:paraId="67BCF46D" w14:textId="77777777" w:rsidR="0036416A" w:rsidRDefault="0036416A" w:rsidP="0036416A">
            <w:pPr>
              <w:pStyle w:val="NoSpacing"/>
            </w:pPr>
            <w:r>
              <w:t>1</w:t>
            </w:r>
            <w:r w:rsidRPr="00013ACB">
              <w:rPr>
                <w:vertAlign w:val="superscript"/>
              </w:rPr>
              <w:t>st</w:t>
            </w:r>
            <w:r>
              <w:t xml:space="preserve"> Round: </w:t>
            </w:r>
          </w:p>
          <w:p w14:paraId="56F9E33F" w14:textId="3B80716E" w:rsidR="0036416A" w:rsidRDefault="00564878" w:rsidP="0036416A">
            <w:pPr>
              <w:pStyle w:val="NoSpacing"/>
            </w:pPr>
            <w:r w:rsidRPr="00CA542A">
              <w:t>July 2019</w:t>
            </w:r>
          </w:p>
          <w:p w14:paraId="4B8FC612" w14:textId="77777777" w:rsidR="0036416A" w:rsidRDefault="0036416A" w:rsidP="0036416A">
            <w:pPr>
              <w:pStyle w:val="NoSpacing"/>
            </w:pPr>
            <w:r>
              <w:t>2</w:t>
            </w:r>
            <w:r w:rsidRPr="00013ACB">
              <w:rPr>
                <w:vertAlign w:val="superscript"/>
              </w:rPr>
              <w:t>nd</w:t>
            </w:r>
            <w:r>
              <w:t xml:space="preserve"> Round: </w:t>
            </w:r>
          </w:p>
          <w:p w14:paraId="38A484AF" w14:textId="2E560F7A" w:rsidR="00564878" w:rsidRDefault="00564878" w:rsidP="0036416A">
            <w:pPr>
              <w:pStyle w:val="NoSpacing"/>
            </w:pPr>
            <w:r w:rsidRPr="00CA542A">
              <w:t>July 20</w:t>
            </w:r>
            <w:r>
              <w:t>24</w:t>
            </w:r>
          </w:p>
          <w:p w14:paraId="7373F792" w14:textId="77777777" w:rsidR="0036416A" w:rsidRDefault="0036416A" w:rsidP="0036416A">
            <w:pPr>
              <w:pStyle w:val="NoSpacing"/>
            </w:pPr>
            <w:r>
              <w:t>3</w:t>
            </w:r>
            <w:r w:rsidRPr="00013ACB">
              <w:rPr>
                <w:vertAlign w:val="superscript"/>
              </w:rPr>
              <w:t>rd</w:t>
            </w:r>
            <w:r>
              <w:t xml:space="preserve"> Round: </w:t>
            </w:r>
          </w:p>
          <w:p w14:paraId="42ED7FFE" w14:textId="77777777" w:rsidR="0036416A" w:rsidRDefault="0036416A" w:rsidP="0036416A">
            <w:pPr>
              <w:pStyle w:val="NoSpacing"/>
            </w:pPr>
          </w:p>
          <w:p w14:paraId="2C54191A" w14:textId="77777777" w:rsidR="0036416A" w:rsidRDefault="0036416A" w:rsidP="0036416A">
            <w:pPr>
              <w:pStyle w:val="NoSpacing"/>
            </w:pPr>
            <w:r>
              <w:t>4</w:t>
            </w:r>
            <w:r w:rsidRPr="00013ACB">
              <w:rPr>
                <w:vertAlign w:val="superscript"/>
              </w:rPr>
              <w:t>th</w:t>
            </w:r>
            <w:r>
              <w:t xml:space="preserve"> Round: </w:t>
            </w:r>
          </w:p>
          <w:p w14:paraId="3153CE84" w14:textId="73D2BBEC" w:rsidR="0036416A" w:rsidRDefault="00564878" w:rsidP="0036416A">
            <w:pPr>
              <w:pStyle w:val="NoSpacing"/>
            </w:pPr>
            <w:r>
              <w:t>July 202</w:t>
            </w:r>
            <w:r w:rsidRPr="00CA542A">
              <w:t>9</w:t>
            </w:r>
          </w:p>
          <w:p w14:paraId="77267025" w14:textId="77777777" w:rsidR="0036416A" w:rsidRDefault="0036416A" w:rsidP="0036416A">
            <w:pPr>
              <w:pStyle w:val="NoSpacing"/>
            </w:pPr>
            <w:r>
              <w:t>5</w:t>
            </w:r>
            <w:r w:rsidRPr="00013ACB">
              <w:rPr>
                <w:vertAlign w:val="superscript"/>
              </w:rPr>
              <w:t>th</w:t>
            </w:r>
            <w:r>
              <w:t xml:space="preserve"> Round: </w:t>
            </w:r>
          </w:p>
          <w:p w14:paraId="3F4D8387" w14:textId="2FA8894B" w:rsidR="0036416A" w:rsidRDefault="00564878" w:rsidP="0036416A">
            <w:pPr>
              <w:pStyle w:val="NoSpacing"/>
            </w:pPr>
            <w:r w:rsidRPr="00CA542A">
              <w:t>July 20</w:t>
            </w:r>
            <w:r>
              <w:t>30</w:t>
            </w:r>
          </w:p>
        </w:tc>
        <w:tc>
          <w:tcPr>
            <w:tcW w:w="0" w:type="auto"/>
          </w:tcPr>
          <w:p w14:paraId="1BBBA7D7" w14:textId="77777777" w:rsidR="0036416A" w:rsidRDefault="0036416A" w:rsidP="0036416A">
            <w:pPr>
              <w:pStyle w:val="NoSpacing"/>
            </w:pPr>
            <w:r>
              <w:t>CO</w:t>
            </w:r>
            <w:r w:rsidRPr="0086300E">
              <w:rPr>
                <w:vertAlign w:val="subscript"/>
              </w:rPr>
              <w:t>2</w:t>
            </w:r>
            <w:r>
              <w:t xml:space="preserve"> emission data should be provided by DOE.</w:t>
            </w:r>
          </w:p>
        </w:tc>
      </w:tr>
      <w:tr w:rsidR="0025292C" w14:paraId="7E062247" w14:textId="77777777" w:rsidTr="00D52BCB">
        <w:tc>
          <w:tcPr>
            <w:tcW w:w="0" w:type="auto"/>
            <w:gridSpan w:val="13"/>
          </w:tcPr>
          <w:p w14:paraId="104D3C11" w14:textId="77777777" w:rsidR="0025292C" w:rsidRDefault="0025292C" w:rsidP="0036416A">
            <w:pPr>
              <w:rPr>
                <w:color w:val="FF0000"/>
                <w:sz w:val="32"/>
                <w:szCs w:val="32"/>
              </w:rPr>
            </w:pPr>
            <w:r>
              <w:rPr>
                <w:color w:val="0070C0"/>
                <w:sz w:val="30"/>
                <w:szCs w:val="30"/>
              </w:rPr>
              <w:lastRenderedPageBreak/>
              <w:t xml:space="preserve">Target </w:t>
            </w:r>
            <w:r w:rsidRPr="00C97C3C">
              <w:rPr>
                <w:color w:val="0070C0"/>
                <w:sz w:val="30"/>
                <w:szCs w:val="30"/>
              </w:rPr>
              <w:t>9.5 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tc>
      </w:tr>
      <w:tr w:rsidR="0036416A" w14:paraId="5CDDE68A" w14:textId="77777777" w:rsidTr="00DB32C0">
        <w:tc>
          <w:tcPr>
            <w:tcW w:w="0" w:type="auto"/>
          </w:tcPr>
          <w:p w14:paraId="4C5DF048" w14:textId="77777777" w:rsidR="0036416A" w:rsidRPr="00292850" w:rsidRDefault="0036416A" w:rsidP="0036416A">
            <w:pPr>
              <w:pStyle w:val="NoSpacing"/>
            </w:pPr>
            <w:r w:rsidRPr="000706B4">
              <w:t>9.5.1 Research and development expenditure as a proportion of GDP</w:t>
            </w:r>
          </w:p>
        </w:tc>
        <w:tc>
          <w:tcPr>
            <w:tcW w:w="0" w:type="auto"/>
          </w:tcPr>
          <w:p w14:paraId="4AD7E8FA" w14:textId="77777777" w:rsidR="0036416A" w:rsidRDefault="0036416A" w:rsidP="0036416A">
            <w:pPr>
              <w:pStyle w:val="NoSpacing"/>
            </w:pPr>
            <w:r w:rsidRPr="007A7507">
              <w:t>UNESCO-UIS</w:t>
            </w:r>
          </w:p>
        </w:tc>
        <w:tc>
          <w:tcPr>
            <w:tcW w:w="0" w:type="auto"/>
          </w:tcPr>
          <w:p w14:paraId="58118B19" w14:textId="77777777" w:rsidR="0036416A" w:rsidRDefault="0036416A" w:rsidP="0036416A">
            <w:pPr>
              <w:ind w:left="970" w:hanging="970"/>
              <w:jc w:val="both"/>
              <w:rPr>
                <w:color w:val="0070C0"/>
                <w:sz w:val="30"/>
                <w:szCs w:val="30"/>
              </w:rPr>
            </w:pPr>
            <w:r>
              <w:t>Tier I</w:t>
            </w:r>
          </w:p>
        </w:tc>
        <w:tc>
          <w:tcPr>
            <w:tcW w:w="0" w:type="auto"/>
          </w:tcPr>
          <w:p w14:paraId="3412147A" w14:textId="77777777" w:rsidR="0036416A" w:rsidRDefault="0036416A" w:rsidP="0036416A">
            <w:pPr>
              <w:pStyle w:val="NoSpacing"/>
            </w:pPr>
            <w:r>
              <w:t>Definition:</w:t>
            </w:r>
          </w:p>
          <w:p w14:paraId="34A8505B" w14:textId="77777777" w:rsidR="0036416A" w:rsidRDefault="0036416A" w:rsidP="0036416A">
            <w:pPr>
              <w:pStyle w:val="NoSpacing"/>
            </w:pPr>
          </w:p>
          <w:p w14:paraId="381F8A33" w14:textId="77777777" w:rsidR="0036416A" w:rsidRDefault="0036416A" w:rsidP="0036416A">
            <w:pPr>
              <w:pStyle w:val="NoSpacing"/>
            </w:pPr>
            <w:r>
              <w:t>Research and development (R&amp;D) expenditure as a proportion of Gross Domestic Product (GDP) is the amount of R&amp;D expenditure divided by the total output of the economy.</w:t>
            </w:r>
          </w:p>
          <w:p w14:paraId="2D05A9E2" w14:textId="77777777" w:rsidR="0036416A" w:rsidRDefault="0036416A" w:rsidP="0036416A">
            <w:pPr>
              <w:pStyle w:val="NoSpacing"/>
            </w:pPr>
          </w:p>
          <w:p w14:paraId="4D531765" w14:textId="77777777" w:rsidR="0036416A" w:rsidRDefault="0036416A" w:rsidP="0036416A">
            <w:pPr>
              <w:pStyle w:val="NoSpacing"/>
            </w:pPr>
            <w:r>
              <w:t>Concepts:</w:t>
            </w:r>
          </w:p>
          <w:p w14:paraId="07B564CC" w14:textId="77777777" w:rsidR="0036416A" w:rsidRDefault="0036416A" w:rsidP="0036416A">
            <w:pPr>
              <w:pStyle w:val="NoSpacing"/>
            </w:pPr>
          </w:p>
          <w:p w14:paraId="54E89730" w14:textId="77777777" w:rsidR="0036416A" w:rsidRDefault="0036416A" w:rsidP="0036416A">
            <w:pPr>
              <w:pStyle w:val="NoSpacing"/>
            </w:pPr>
            <w:r>
              <w:t xml:space="preserve">The OECD Frascati Manual (OECD, 2015) provides the relevant definitions for research and experimental development, gross domestic expenditure on R&amp;D and researchers. Although an OECD manual, the application is global. During the 6th revision of the Frascati Manual, developing country issues were </w:t>
            </w:r>
            <w:r>
              <w:lastRenderedPageBreak/>
              <w:t>mainstreamed in the core of the Manual. The 7th edition was released in October 2015.</w:t>
            </w:r>
          </w:p>
          <w:p w14:paraId="79FCE54D" w14:textId="77777777" w:rsidR="0036416A" w:rsidRDefault="0036416A" w:rsidP="0036416A">
            <w:pPr>
              <w:pStyle w:val="NoSpacing"/>
            </w:pPr>
          </w:p>
          <w:p w14:paraId="75F5A525" w14:textId="77777777" w:rsidR="0036416A" w:rsidRDefault="0036416A" w:rsidP="0036416A">
            <w:pPr>
              <w:pStyle w:val="NoSpacing"/>
            </w:pPr>
            <w:r>
              <w:t xml:space="preserve">The following definitions, taken from the 2015 edition of the Frascati Manual are relevant for computing the indicator. </w:t>
            </w:r>
          </w:p>
          <w:p w14:paraId="6BCD651D" w14:textId="77777777" w:rsidR="0036416A" w:rsidRDefault="0036416A" w:rsidP="0036416A">
            <w:pPr>
              <w:pStyle w:val="NoSpacing"/>
            </w:pPr>
          </w:p>
          <w:p w14:paraId="41AD004C" w14:textId="77777777" w:rsidR="0036416A" w:rsidRDefault="0036416A" w:rsidP="0036416A">
            <w:pPr>
              <w:pStyle w:val="NoSpacing"/>
            </w:pPr>
            <w:r>
              <w:t>Research and experimental development (R&amp;D) comprise creative and systematic work undertaken in order to increase the stock of knowledge – including knowledge of humankind, culture and society – and to devise new applications of available knowledge.</w:t>
            </w:r>
          </w:p>
          <w:p w14:paraId="24F139B4" w14:textId="77777777" w:rsidR="0036416A" w:rsidRDefault="0036416A" w:rsidP="0036416A">
            <w:pPr>
              <w:pStyle w:val="NoSpacing"/>
            </w:pPr>
          </w:p>
          <w:p w14:paraId="553F7CEA" w14:textId="77777777" w:rsidR="0036416A" w:rsidRDefault="0036416A" w:rsidP="0036416A">
            <w:pPr>
              <w:pStyle w:val="NoSpacing"/>
            </w:pPr>
            <w:r>
              <w:t>Expenditures on intramural R&amp;D represent the amount of money spent on R&amp;D that is performed within a reporting unit.</w:t>
            </w:r>
          </w:p>
          <w:p w14:paraId="7FA804A1" w14:textId="77777777" w:rsidR="0036416A" w:rsidRDefault="0036416A" w:rsidP="0036416A">
            <w:pPr>
              <w:pStyle w:val="NoSpacing"/>
            </w:pPr>
          </w:p>
          <w:p w14:paraId="6BC69CB5" w14:textId="77777777" w:rsidR="0036416A" w:rsidRDefault="0036416A" w:rsidP="0036416A">
            <w:pPr>
              <w:pStyle w:val="NoSpacing"/>
            </w:pPr>
            <w:r>
              <w:t>Comments and limitations:</w:t>
            </w:r>
          </w:p>
          <w:p w14:paraId="3D76AE49" w14:textId="77777777" w:rsidR="0036416A" w:rsidRDefault="0036416A" w:rsidP="0036416A">
            <w:pPr>
              <w:pStyle w:val="NoSpacing"/>
            </w:pPr>
          </w:p>
          <w:p w14:paraId="0D08FAF8" w14:textId="77777777" w:rsidR="0036416A" w:rsidRDefault="0036416A" w:rsidP="0036416A">
            <w:pPr>
              <w:pStyle w:val="NoSpacing"/>
            </w:pPr>
            <w:r>
              <w:t>Research and development (R&amp;D) data need to be collected through surveys, which are expensive, and are not done on a regular basis in many developing countries. Furthermore, (developing) countries do not always cover all sectors of performance. In particular the business sector is not always covered.</w:t>
            </w:r>
          </w:p>
          <w:p w14:paraId="2C90A468" w14:textId="77777777" w:rsidR="0036416A" w:rsidRDefault="0036416A" w:rsidP="0036416A">
            <w:pPr>
              <w:pStyle w:val="NoSpacing"/>
            </w:pPr>
          </w:p>
          <w:p w14:paraId="43FFF8FB" w14:textId="77777777" w:rsidR="0036416A" w:rsidRDefault="0036416A" w:rsidP="0036416A">
            <w:pPr>
              <w:pStyle w:val="NoSpacing"/>
            </w:pPr>
            <w:r>
              <w:t>Computation Method:</w:t>
            </w:r>
          </w:p>
          <w:p w14:paraId="4DFF8ECC" w14:textId="77777777" w:rsidR="0036416A" w:rsidRDefault="0036416A" w:rsidP="0036416A">
            <w:pPr>
              <w:pStyle w:val="NoSpacing"/>
            </w:pPr>
          </w:p>
          <w:p w14:paraId="60160B3D" w14:textId="77777777" w:rsidR="0036416A" w:rsidRDefault="0036416A" w:rsidP="0036416A">
            <w:pPr>
              <w:pStyle w:val="NoSpacing"/>
            </w:pPr>
            <w:r>
              <w:t>Computation of the indicator Research and development (R&amp;D) expenditure as a proportion of Gross Domestic Product (GDP) is self-explanatory, using readily available GDP data as denominator.</w:t>
            </w:r>
          </w:p>
        </w:tc>
        <w:tc>
          <w:tcPr>
            <w:tcW w:w="0" w:type="auto"/>
          </w:tcPr>
          <w:p w14:paraId="48BA08EA" w14:textId="77777777" w:rsidR="0036416A" w:rsidRDefault="0036416A" w:rsidP="0036416A">
            <w:pPr>
              <w:pStyle w:val="NoSpacing"/>
              <w:rPr>
                <w:color w:val="0070C0"/>
                <w:sz w:val="30"/>
                <w:szCs w:val="30"/>
              </w:rPr>
            </w:pPr>
            <w:r>
              <w:rPr>
                <w:lang w:eastAsia="en-GB"/>
              </w:rPr>
              <w:lastRenderedPageBreak/>
              <w:t>N</w:t>
            </w:r>
            <w:r w:rsidRPr="00EC6804">
              <w:rPr>
                <w:lang w:eastAsia="en-GB"/>
              </w:rPr>
              <w:t>ational Research and development (R&amp;D) surveys</w:t>
            </w:r>
          </w:p>
        </w:tc>
        <w:tc>
          <w:tcPr>
            <w:tcW w:w="0" w:type="auto"/>
          </w:tcPr>
          <w:p w14:paraId="23F4C61C" w14:textId="77777777" w:rsidR="0036416A" w:rsidRPr="002A24B9" w:rsidRDefault="0036416A" w:rsidP="0036416A">
            <w:pPr>
              <w:pStyle w:val="NoSpacing"/>
            </w:pPr>
            <w:r>
              <w:rPr>
                <w:lang w:eastAsia="en-GB"/>
              </w:rPr>
              <w:t xml:space="preserve">National statistical office </w:t>
            </w:r>
            <w:proofErr w:type="gramStart"/>
            <w:r>
              <w:rPr>
                <w:lang w:eastAsia="en-GB"/>
              </w:rPr>
              <w:t xml:space="preserve">or </w:t>
            </w:r>
            <w:r w:rsidRPr="00EC6804">
              <w:rPr>
                <w:lang w:eastAsia="en-GB"/>
              </w:rPr>
              <w:t xml:space="preserve"> line</w:t>
            </w:r>
            <w:proofErr w:type="gramEnd"/>
            <w:r w:rsidRPr="00EC6804">
              <w:rPr>
                <w:lang w:eastAsia="en-GB"/>
              </w:rPr>
              <w:t xml:space="preserve"> ministry</w:t>
            </w:r>
            <w:r>
              <w:rPr>
                <w:lang w:eastAsia="en-GB"/>
              </w:rPr>
              <w:t xml:space="preserve"> </w:t>
            </w:r>
            <w:r w:rsidRPr="00EC6804">
              <w:rPr>
                <w:lang w:eastAsia="en-GB"/>
              </w:rPr>
              <w:t>(such as the Ministry for Science and Technology).</w:t>
            </w:r>
          </w:p>
        </w:tc>
        <w:tc>
          <w:tcPr>
            <w:tcW w:w="0" w:type="auto"/>
          </w:tcPr>
          <w:p w14:paraId="0060F67E" w14:textId="77777777" w:rsidR="0036416A" w:rsidRDefault="0036416A" w:rsidP="0036416A">
            <w:pPr>
              <w:pStyle w:val="NoSpacing"/>
            </w:pPr>
            <w:r>
              <w:t>BBS</w:t>
            </w:r>
          </w:p>
          <w:p w14:paraId="22DCFCD8" w14:textId="77777777" w:rsidR="0036416A" w:rsidRDefault="0036416A" w:rsidP="0036416A">
            <w:pPr>
              <w:pStyle w:val="NoSpacing"/>
            </w:pPr>
            <w:r w:rsidRPr="00BC6F10">
              <w:t>NAW</w:t>
            </w:r>
          </w:p>
        </w:tc>
        <w:tc>
          <w:tcPr>
            <w:tcW w:w="0" w:type="auto"/>
          </w:tcPr>
          <w:p w14:paraId="12DC9F5F" w14:textId="77777777" w:rsidR="0036416A" w:rsidRDefault="0036416A" w:rsidP="0036416A">
            <w:pPr>
              <w:pStyle w:val="NoSpacing"/>
            </w:pPr>
            <w:r>
              <w:t>BBS</w:t>
            </w:r>
          </w:p>
          <w:p w14:paraId="34DACA84" w14:textId="77777777" w:rsidR="0036416A" w:rsidRDefault="0036416A" w:rsidP="0036416A">
            <w:pPr>
              <w:pStyle w:val="NoSpacing"/>
            </w:pPr>
            <w:r w:rsidRPr="00BC6F10">
              <w:t>NAW</w:t>
            </w:r>
          </w:p>
        </w:tc>
        <w:tc>
          <w:tcPr>
            <w:tcW w:w="0" w:type="auto"/>
          </w:tcPr>
          <w:p w14:paraId="4897FCF9"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sector of performance </w:t>
            </w:r>
          </w:p>
          <w:p w14:paraId="09D0C031"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source of funds</w:t>
            </w:r>
          </w:p>
          <w:p w14:paraId="2869C236"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field of science </w:t>
            </w:r>
          </w:p>
          <w:p w14:paraId="7C4C641C"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type of research </w:t>
            </w:r>
          </w:p>
          <w:p w14:paraId="19A985DA"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type of cost </w:t>
            </w:r>
          </w:p>
          <w:p w14:paraId="1780C374" w14:textId="77777777" w:rsidR="0036416A" w:rsidRDefault="0036416A" w:rsidP="0036416A">
            <w:pPr>
              <w:ind w:left="970" w:hanging="970"/>
              <w:jc w:val="both"/>
              <w:rPr>
                <w:color w:val="0070C0"/>
                <w:sz w:val="30"/>
                <w:szCs w:val="30"/>
              </w:rPr>
            </w:pPr>
          </w:p>
        </w:tc>
        <w:tc>
          <w:tcPr>
            <w:tcW w:w="0" w:type="auto"/>
          </w:tcPr>
          <w:p w14:paraId="41D70904" w14:textId="77777777" w:rsidR="0036416A" w:rsidRPr="00BC6F10" w:rsidRDefault="0036416A" w:rsidP="0036416A">
            <w:pPr>
              <w:spacing w:line="276" w:lineRule="auto"/>
              <w:jc w:val="center"/>
            </w:pPr>
            <w:r w:rsidRPr="00BC6F10">
              <w:lastRenderedPageBreak/>
              <w:t>Annual</w:t>
            </w:r>
          </w:p>
        </w:tc>
        <w:tc>
          <w:tcPr>
            <w:tcW w:w="0" w:type="auto"/>
          </w:tcPr>
          <w:p w14:paraId="7181AA0E" w14:textId="77777777" w:rsidR="0036416A" w:rsidRDefault="0036416A" w:rsidP="0036416A">
            <w:pPr>
              <w:ind w:left="970" w:hanging="970"/>
              <w:jc w:val="both"/>
              <w:rPr>
                <w:color w:val="0070C0"/>
                <w:sz w:val="30"/>
                <w:szCs w:val="30"/>
              </w:rPr>
            </w:pPr>
            <w:r>
              <w:t>Group 1</w:t>
            </w:r>
          </w:p>
        </w:tc>
        <w:tc>
          <w:tcPr>
            <w:tcW w:w="0" w:type="auto"/>
          </w:tcPr>
          <w:p w14:paraId="276D35E2" w14:textId="77777777" w:rsidR="0036416A" w:rsidRDefault="0036416A" w:rsidP="0036416A">
            <w:pPr>
              <w:pStyle w:val="NoSpacing"/>
            </w:pPr>
            <w:r>
              <w:t>1</w:t>
            </w:r>
            <w:r w:rsidRPr="00013ACB">
              <w:rPr>
                <w:vertAlign w:val="superscript"/>
              </w:rPr>
              <w:t>st</w:t>
            </w:r>
            <w:r>
              <w:t xml:space="preserve"> Round: </w:t>
            </w:r>
          </w:p>
          <w:p w14:paraId="23B8F8CB" w14:textId="77777777" w:rsidR="0036416A" w:rsidRDefault="0036416A" w:rsidP="0036416A">
            <w:pPr>
              <w:pStyle w:val="NoSpacing"/>
            </w:pPr>
            <w:r>
              <w:t>2015</w:t>
            </w:r>
          </w:p>
          <w:p w14:paraId="0A2D477C" w14:textId="77777777" w:rsidR="0036416A" w:rsidRDefault="0036416A" w:rsidP="0036416A">
            <w:pPr>
              <w:pStyle w:val="NoSpacing"/>
            </w:pPr>
            <w:r>
              <w:t>2</w:t>
            </w:r>
            <w:r w:rsidRPr="00013ACB">
              <w:rPr>
                <w:vertAlign w:val="superscript"/>
              </w:rPr>
              <w:t>nd</w:t>
            </w:r>
            <w:r>
              <w:t xml:space="preserve"> Round: </w:t>
            </w:r>
          </w:p>
          <w:p w14:paraId="061C1B52" w14:textId="77777777" w:rsidR="0036416A" w:rsidRDefault="0036416A" w:rsidP="0036416A">
            <w:pPr>
              <w:pStyle w:val="NoSpacing"/>
            </w:pPr>
            <w:r>
              <w:t>June 2020</w:t>
            </w:r>
          </w:p>
          <w:p w14:paraId="7F50BFE6" w14:textId="77777777" w:rsidR="0036416A" w:rsidRDefault="0036416A" w:rsidP="0036416A">
            <w:pPr>
              <w:pStyle w:val="NoSpacing"/>
            </w:pPr>
          </w:p>
          <w:p w14:paraId="57DED3B6" w14:textId="77777777" w:rsidR="0036416A" w:rsidRDefault="0036416A" w:rsidP="0036416A">
            <w:pPr>
              <w:pStyle w:val="NoSpacing"/>
            </w:pPr>
            <w:r>
              <w:t>3</w:t>
            </w:r>
            <w:r w:rsidRPr="00013ACB">
              <w:rPr>
                <w:vertAlign w:val="superscript"/>
              </w:rPr>
              <w:t>rd</w:t>
            </w:r>
            <w:r>
              <w:t xml:space="preserve"> Round: </w:t>
            </w:r>
          </w:p>
          <w:p w14:paraId="1A6CE262" w14:textId="77777777" w:rsidR="0036416A" w:rsidRDefault="0036416A" w:rsidP="0036416A">
            <w:pPr>
              <w:pStyle w:val="NoSpacing"/>
            </w:pPr>
            <w:r>
              <w:t>June 2021</w:t>
            </w:r>
          </w:p>
          <w:p w14:paraId="5E358757" w14:textId="77777777" w:rsidR="0036416A" w:rsidRDefault="0036416A" w:rsidP="0036416A">
            <w:pPr>
              <w:pStyle w:val="NoSpacing"/>
            </w:pPr>
          </w:p>
          <w:p w14:paraId="46960838" w14:textId="77777777" w:rsidR="0036416A" w:rsidRDefault="0036416A" w:rsidP="0036416A">
            <w:pPr>
              <w:pStyle w:val="NoSpacing"/>
            </w:pPr>
            <w:r>
              <w:t>4</w:t>
            </w:r>
            <w:r w:rsidRPr="00013ACB">
              <w:rPr>
                <w:vertAlign w:val="superscript"/>
              </w:rPr>
              <w:t>th</w:t>
            </w:r>
            <w:r>
              <w:t xml:space="preserve"> Round: </w:t>
            </w:r>
          </w:p>
          <w:p w14:paraId="04C6309A" w14:textId="77777777" w:rsidR="0036416A" w:rsidRDefault="0036416A" w:rsidP="0036416A">
            <w:pPr>
              <w:pStyle w:val="NoSpacing"/>
            </w:pPr>
            <w:r>
              <w:t>June 2022</w:t>
            </w:r>
          </w:p>
          <w:p w14:paraId="424338C5" w14:textId="77777777" w:rsidR="0036416A" w:rsidRDefault="0036416A" w:rsidP="0036416A">
            <w:pPr>
              <w:pStyle w:val="NoSpacing"/>
            </w:pPr>
          </w:p>
          <w:p w14:paraId="27E5B995" w14:textId="77777777" w:rsidR="0036416A" w:rsidRDefault="0036416A" w:rsidP="0036416A">
            <w:pPr>
              <w:pStyle w:val="NoSpacing"/>
            </w:pPr>
            <w:r>
              <w:t>5</w:t>
            </w:r>
            <w:r w:rsidRPr="00013ACB">
              <w:rPr>
                <w:vertAlign w:val="superscript"/>
              </w:rPr>
              <w:t>th</w:t>
            </w:r>
            <w:r>
              <w:t xml:space="preserve"> Round: </w:t>
            </w:r>
          </w:p>
          <w:p w14:paraId="330D3EB4" w14:textId="77777777" w:rsidR="0036416A" w:rsidRDefault="0036416A" w:rsidP="0036416A">
            <w:pPr>
              <w:pStyle w:val="NoSpacing"/>
            </w:pPr>
            <w:r>
              <w:t>June 2023</w:t>
            </w:r>
          </w:p>
          <w:p w14:paraId="1665BF7E" w14:textId="5764EAF0" w:rsidR="0036416A" w:rsidRDefault="0036416A" w:rsidP="0036416A">
            <w:pPr>
              <w:pStyle w:val="NoSpacing"/>
              <w:rPr>
                <w:color w:val="0070C0"/>
                <w:sz w:val="30"/>
                <w:szCs w:val="30"/>
              </w:rPr>
            </w:pPr>
          </w:p>
        </w:tc>
        <w:tc>
          <w:tcPr>
            <w:tcW w:w="0" w:type="auto"/>
          </w:tcPr>
          <w:p w14:paraId="58700789" w14:textId="77777777" w:rsidR="0036416A" w:rsidRDefault="0036416A" w:rsidP="0036416A">
            <w:pPr>
              <w:pStyle w:val="NoSpacing"/>
            </w:pPr>
            <w:r>
              <w:lastRenderedPageBreak/>
              <w:t>New survey on research sector should be conducted</w:t>
            </w:r>
          </w:p>
        </w:tc>
      </w:tr>
      <w:tr w:rsidR="0036416A" w14:paraId="2D76C3FF" w14:textId="77777777" w:rsidTr="00DB32C0">
        <w:tc>
          <w:tcPr>
            <w:tcW w:w="0" w:type="auto"/>
          </w:tcPr>
          <w:p w14:paraId="47E218D2" w14:textId="77777777" w:rsidR="0036416A" w:rsidRPr="000706B4" w:rsidRDefault="0036416A" w:rsidP="0036416A">
            <w:pPr>
              <w:pStyle w:val="NoSpacing"/>
            </w:pPr>
            <w:r w:rsidRPr="000706B4">
              <w:lastRenderedPageBreak/>
              <w:t>9.5.2 Researchers (in full-time equivalent) per million inhabitants</w:t>
            </w:r>
          </w:p>
        </w:tc>
        <w:tc>
          <w:tcPr>
            <w:tcW w:w="0" w:type="auto"/>
          </w:tcPr>
          <w:p w14:paraId="47DEFE37" w14:textId="77777777" w:rsidR="0036416A" w:rsidRDefault="0036416A" w:rsidP="0036416A">
            <w:pPr>
              <w:ind w:left="970" w:hanging="970"/>
              <w:jc w:val="both"/>
              <w:rPr>
                <w:color w:val="0070C0"/>
                <w:sz w:val="30"/>
                <w:szCs w:val="30"/>
              </w:rPr>
            </w:pPr>
          </w:p>
          <w:p w14:paraId="50CB5A39" w14:textId="77777777" w:rsidR="0036416A" w:rsidRDefault="0036416A" w:rsidP="0036416A">
            <w:pPr>
              <w:ind w:left="970" w:hanging="970"/>
              <w:jc w:val="both"/>
            </w:pPr>
            <w:r w:rsidRPr="007A7507">
              <w:t>UNESCO-</w:t>
            </w:r>
          </w:p>
          <w:p w14:paraId="2451192C" w14:textId="77777777" w:rsidR="0036416A" w:rsidRPr="007A7507" w:rsidRDefault="0036416A" w:rsidP="0036416A">
            <w:pPr>
              <w:ind w:left="970" w:hanging="970"/>
              <w:jc w:val="both"/>
            </w:pPr>
            <w:r w:rsidRPr="007A7507">
              <w:t>UIS</w:t>
            </w:r>
          </w:p>
        </w:tc>
        <w:tc>
          <w:tcPr>
            <w:tcW w:w="0" w:type="auto"/>
          </w:tcPr>
          <w:p w14:paraId="563F6601" w14:textId="77777777" w:rsidR="0036416A" w:rsidRDefault="0036416A" w:rsidP="0036416A">
            <w:pPr>
              <w:ind w:left="970" w:hanging="970"/>
              <w:jc w:val="both"/>
              <w:rPr>
                <w:color w:val="0070C0"/>
                <w:sz w:val="30"/>
                <w:szCs w:val="30"/>
              </w:rPr>
            </w:pPr>
            <w:r>
              <w:t>Tier I</w:t>
            </w:r>
          </w:p>
        </w:tc>
        <w:tc>
          <w:tcPr>
            <w:tcW w:w="0" w:type="auto"/>
          </w:tcPr>
          <w:p w14:paraId="593916F8" w14:textId="77777777" w:rsidR="0036416A" w:rsidRDefault="0036416A" w:rsidP="0036416A">
            <w:pPr>
              <w:pStyle w:val="NoSpacing"/>
            </w:pPr>
            <w:r>
              <w:t>Definition:</w:t>
            </w:r>
          </w:p>
          <w:p w14:paraId="7E33036E" w14:textId="77777777" w:rsidR="0036416A" w:rsidRDefault="0036416A" w:rsidP="0036416A">
            <w:pPr>
              <w:pStyle w:val="NoSpacing"/>
            </w:pPr>
          </w:p>
          <w:p w14:paraId="06177CEA" w14:textId="77777777" w:rsidR="0036416A" w:rsidRDefault="0036416A" w:rsidP="0036416A">
            <w:pPr>
              <w:pStyle w:val="NoSpacing"/>
            </w:pPr>
            <w:r>
              <w:t xml:space="preserve">The </w:t>
            </w:r>
            <w:proofErr w:type="gramStart"/>
            <w:r>
              <w:t>researchers (in full-time equivalent) per million inhabitants is</w:t>
            </w:r>
            <w:proofErr w:type="gramEnd"/>
            <w:r>
              <w:t xml:space="preserve"> a direct measure of the number of research and development workers per 1 million people.</w:t>
            </w:r>
          </w:p>
          <w:p w14:paraId="4E1FCA7D" w14:textId="77777777" w:rsidR="0036416A" w:rsidRDefault="0036416A" w:rsidP="0036416A">
            <w:pPr>
              <w:pStyle w:val="NoSpacing"/>
            </w:pPr>
          </w:p>
          <w:p w14:paraId="34A80111" w14:textId="77777777" w:rsidR="0036416A" w:rsidRDefault="0036416A" w:rsidP="0036416A">
            <w:pPr>
              <w:pStyle w:val="NoSpacing"/>
            </w:pPr>
            <w:r>
              <w:t>Concepts:</w:t>
            </w:r>
          </w:p>
          <w:p w14:paraId="2C3DB2FB" w14:textId="77777777" w:rsidR="0036416A" w:rsidRDefault="0036416A" w:rsidP="0036416A">
            <w:pPr>
              <w:pStyle w:val="NoSpacing"/>
            </w:pPr>
          </w:p>
          <w:p w14:paraId="56081DCD" w14:textId="77777777" w:rsidR="0036416A" w:rsidRDefault="0036416A" w:rsidP="0036416A">
            <w:pPr>
              <w:pStyle w:val="NoSpacing"/>
            </w:pPr>
            <w:r>
              <w:t>The OECD Frascati Manual (OECD, 2015) provides the relevant definitions for research and experimental development, gross domestic expenditure on R&amp;D and researchers. Although an OECD manual, the application is global. During the 6th revision of the Frascati Manual, developing country issues were mainstreamed in the core of the Manual. The 7th edition was released in October 2015.</w:t>
            </w:r>
          </w:p>
          <w:p w14:paraId="106C1A6A" w14:textId="77777777" w:rsidR="0036416A" w:rsidRDefault="0036416A" w:rsidP="0036416A">
            <w:pPr>
              <w:pStyle w:val="NoSpacing"/>
            </w:pPr>
          </w:p>
          <w:p w14:paraId="1E3E1F4A" w14:textId="77777777" w:rsidR="0036416A" w:rsidRDefault="0036416A" w:rsidP="0036416A">
            <w:pPr>
              <w:pStyle w:val="NoSpacing"/>
            </w:pPr>
            <w:r>
              <w:t xml:space="preserve">The following definitions, taken from the 2015 edition of the Frascati Manual are relevant for computing the indicator. </w:t>
            </w:r>
          </w:p>
          <w:p w14:paraId="504317FF" w14:textId="77777777" w:rsidR="0036416A" w:rsidRDefault="0036416A" w:rsidP="0036416A">
            <w:pPr>
              <w:pStyle w:val="NoSpacing"/>
            </w:pPr>
          </w:p>
          <w:p w14:paraId="38FC81BB" w14:textId="77777777" w:rsidR="0036416A" w:rsidRDefault="0036416A" w:rsidP="0036416A">
            <w:pPr>
              <w:pStyle w:val="NoSpacing"/>
            </w:pPr>
            <w:r>
              <w:t xml:space="preserve">Research and experimental development (R&amp;D) comprise creative and systematic work undertaken in </w:t>
            </w:r>
            <w:r>
              <w:lastRenderedPageBreak/>
              <w:t>order to increase the stock of knowledge – including knowledge of humankind, culture and society – and to devise new applications of available knowledge.</w:t>
            </w:r>
          </w:p>
          <w:p w14:paraId="4A09B295" w14:textId="77777777" w:rsidR="0036416A" w:rsidRDefault="0036416A" w:rsidP="0036416A">
            <w:pPr>
              <w:pStyle w:val="NoSpacing"/>
            </w:pPr>
          </w:p>
          <w:p w14:paraId="7114DB30" w14:textId="77777777" w:rsidR="0036416A" w:rsidRDefault="0036416A" w:rsidP="0036416A">
            <w:pPr>
              <w:pStyle w:val="NoSpacing"/>
            </w:pPr>
            <w:r>
              <w:t>Researchers are professionals engaged in the conception or creation of new knowledge. They conduct research and improve or develop concepts, theories, models, techniques instrumentation, software or operational methods.</w:t>
            </w:r>
          </w:p>
          <w:p w14:paraId="4829B134" w14:textId="77777777" w:rsidR="0036416A" w:rsidRDefault="0036416A" w:rsidP="0036416A">
            <w:pPr>
              <w:pStyle w:val="NoSpacing"/>
            </w:pPr>
          </w:p>
          <w:p w14:paraId="027FFFF8" w14:textId="77777777" w:rsidR="0036416A" w:rsidRDefault="0036416A" w:rsidP="0036416A">
            <w:pPr>
              <w:pStyle w:val="NoSpacing"/>
            </w:pPr>
            <w:r>
              <w:t>The Full-time equivalent (FTE) of R&amp;D personnel is defined as the ratio of working hours actually spent on R&amp;D during a specific reference period (usually a calendar year) divided by the total number of hours conventionally worked in the same period by an individual or by a group.</w:t>
            </w:r>
          </w:p>
          <w:p w14:paraId="038B8C0A" w14:textId="77777777" w:rsidR="0036416A" w:rsidRDefault="0036416A" w:rsidP="0036416A">
            <w:pPr>
              <w:pStyle w:val="NoSpacing"/>
            </w:pPr>
          </w:p>
          <w:p w14:paraId="1B87FEEE" w14:textId="77777777" w:rsidR="0036416A" w:rsidRDefault="0036416A" w:rsidP="0036416A">
            <w:pPr>
              <w:pStyle w:val="NoSpacing"/>
            </w:pPr>
            <w:r>
              <w:t>Comments and limitations:</w:t>
            </w:r>
          </w:p>
          <w:p w14:paraId="4B4BA9C5" w14:textId="77777777" w:rsidR="0036416A" w:rsidRDefault="0036416A" w:rsidP="0036416A">
            <w:pPr>
              <w:pStyle w:val="NoSpacing"/>
            </w:pPr>
          </w:p>
          <w:p w14:paraId="30BCD9CC" w14:textId="77777777" w:rsidR="0036416A" w:rsidRDefault="0036416A" w:rsidP="0036416A">
            <w:pPr>
              <w:pStyle w:val="NoSpacing"/>
            </w:pPr>
            <w:r>
              <w:t>R&amp;D data need to be collected through surveys, which are expensive, and are not done on a regular basis in many developing countries. Furthermore, (developing) countries do not always cover all sectors of performance. In particular the business sector is not always covered.</w:t>
            </w:r>
          </w:p>
          <w:p w14:paraId="57FC4691" w14:textId="77777777" w:rsidR="0036416A" w:rsidRDefault="0036416A" w:rsidP="0036416A">
            <w:pPr>
              <w:pStyle w:val="NoSpacing"/>
            </w:pPr>
          </w:p>
          <w:p w14:paraId="042C1241" w14:textId="77777777" w:rsidR="0036416A" w:rsidRDefault="0036416A" w:rsidP="0036416A">
            <w:pPr>
              <w:pStyle w:val="NoSpacing"/>
            </w:pPr>
            <w:r>
              <w:t>Computation Method:</w:t>
            </w:r>
          </w:p>
          <w:p w14:paraId="29C4F878" w14:textId="77777777" w:rsidR="0036416A" w:rsidRDefault="0036416A" w:rsidP="0036416A">
            <w:pPr>
              <w:pStyle w:val="NoSpacing"/>
            </w:pPr>
          </w:p>
          <w:p w14:paraId="047CD78F" w14:textId="77777777" w:rsidR="0036416A" w:rsidRDefault="0036416A" w:rsidP="0036416A">
            <w:pPr>
              <w:pStyle w:val="NoSpacing"/>
            </w:pPr>
            <w:r>
              <w:t xml:space="preserve">Computation of the indicator Researchers (in full-time equivalent) per million inhabitants </w:t>
            </w:r>
            <w:proofErr w:type="gramStart"/>
            <w:r>
              <w:t>uses  available</w:t>
            </w:r>
            <w:proofErr w:type="gramEnd"/>
            <w:r>
              <w:t xml:space="preserve"> population data as denominator.</w:t>
            </w:r>
          </w:p>
          <w:p w14:paraId="446632C2" w14:textId="77777777" w:rsidR="0036416A" w:rsidRDefault="0036416A" w:rsidP="0036416A">
            <w:pPr>
              <w:pStyle w:val="NoSpacing"/>
            </w:pPr>
          </w:p>
        </w:tc>
        <w:tc>
          <w:tcPr>
            <w:tcW w:w="0" w:type="auto"/>
          </w:tcPr>
          <w:p w14:paraId="1FB623F4" w14:textId="77777777" w:rsidR="0036416A" w:rsidRDefault="0036416A" w:rsidP="0036416A">
            <w:pPr>
              <w:pStyle w:val="NoSpacing"/>
              <w:rPr>
                <w:color w:val="0070C0"/>
                <w:sz w:val="30"/>
                <w:szCs w:val="30"/>
              </w:rPr>
            </w:pPr>
            <w:r>
              <w:rPr>
                <w:lang w:eastAsia="en-GB"/>
              </w:rPr>
              <w:lastRenderedPageBreak/>
              <w:t>N</w:t>
            </w:r>
            <w:r w:rsidRPr="00EC6804">
              <w:rPr>
                <w:lang w:eastAsia="en-GB"/>
              </w:rPr>
              <w:t>ational Research and development (R&amp;D) surveys</w:t>
            </w:r>
          </w:p>
        </w:tc>
        <w:tc>
          <w:tcPr>
            <w:tcW w:w="0" w:type="auto"/>
          </w:tcPr>
          <w:p w14:paraId="298E1B90" w14:textId="77777777" w:rsidR="0036416A" w:rsidRPr="002A24B9" w:rsidRDefault="0036416A" w:rsidP="0036416A">
            <w:pPr>
              <w:pStyle w:val="NoSpacing"/>
            </w:pPr>
            <w:r>
              <w:rPr>
                <w:lang w:eastAsia="en-GB"/>
              </w:rPr>
              <w:t xml:space="preserve">National statistical office </w:t>
            </w:r>
            <w:proofErr w:type="gramStart"/>
            <w:r>
              <w:rPr>
                <w:lang w:eastAsia="en-GB"/>
              </w:rPr>
              <w:t xml:space="preserve">or </w:t>
            </w:r>
            <w:r w:rsidRPr="00EC6804">
              <w:rPr>
                <w:lang w:eastAsia="en-GB"/>
              </w:rPr>
              <w:t xml:space="preserve"> line</w:t>
            </w:r>
            <w:proofErr w:type="gramEnd"/>
            <w:r w:rsidRPr="00EC6804">
              <w:rPr>
                <w:lang w:eastAsia="en-GB"/>
              </w:rPr>
              <w:t xml:space="preserve"> ministry</w:t>
            </w:r>
            <w:r>
              <w:rPr>
                <w:lang w:eastAsia="en-GB"/>
              </w:rPr>
              <w:t xml:space="preserve"> </w:t>
            </w:r>
            <w:r w:rsidRPr="00EC6804">
              <w:rPr>
                <w:lang w:eastAsia="en-GB"/>
              </w:rPr>
              <w:t>(such as the Ministry for Science and Technology).</w:t>
            </w:r>
          </w:p>
        </w:tc>
        <w:tc>
          <w:tcPr>
            <w:tcW w:w="0" w:type="auto"/>
          </w:tcPr>
          <w:p w14:paraId="65978492" w14:textId="77777777" w:rsidR="0036416A" w:rsidRDefault="0036416A" w:rsidP="0036416A">
            <w:pPr>
              <w:pStyle w:val="NoSpacing"/>
              <w:rPr>
                <w:color w:val="000000" w:themeColor="text1"/>
              </w:rPr>
            </w:pPr>
          </w:p>
          <w:p w14:paraId="00C5B0C1" w14:textId="10D92F91" w:rsidR="0036416A" w:rsidRDefault="0036416A" w:rsidP="0036416A">
            <w:pPr>
              <w:spacing w:line="276" w:lineRule="auto"/>
              <w:jc w:val="center"/>
            </w:pPr>
            <w:r w:rsidRPr="00BC6F10">
              <w:t>Population and Household Census</w:t>
            </w:r>
            <w:r>
              <w:t>,</w:t>
            </w:r>
          </w:p>
          <w:p w14:paraId="3B1A9C2D" w14:textId="77777777" w:rsidR="0036416A" w:rsidRDefault="0036416A" w:rsidP="0036416A">
            <w:pPr>
              <w:spacing w:line="276" w:lineRule="auto"/>
              <w:jc w:val="center"/>
            </w:pPr>
            <w:r>
              <w:t>BBS</w:t>
            </w:r>
          </w:p>
          <w:p w14:paraId="4C904E87" w14:textId="770279A8" w:rsidR="0036416A" w:rsidRPr="00A55639" w:rsidRDefault="0036416A" w:rsidP="0036416A">
            <w:pPr>
              <w:pStyle w:val="NoSpacing"/>
              <w:rPr>
                <w:color w:val="000000" w:themeColor="text1"/>
                <w:sz w:val="30"/>
                <w:szCs w:val="30"/>
              </w:rPr>
            </w:pPr>
          </w:p>
        </w:tc>
        <w:tc>
          <w:tcPr>
            <w:tcW w:w="0" w:type="auto"/>
          </w:tcPr>
          <w:p w14:paraId="38CBE93D" w14:textId="77777777" w:rsidR="0036416A" w:rsidRPr="00A55639" w:rsidRDefault="0036416A" w:rsidP="0036416A">
            <w:pPr>
              <w:spacing w:line="276" w:lineRule="auto"/>
              <w:jc w:val="center"/>
              <w:rPr>
                <w:color w:val="000000" w:themeColor="text1"/>
              </w:rPr>
            </w:pPr>
          </w:p>
          <w:p w14:paraId="01BF9F1B" w14:textId="77777777" w:rsidR="0036416A" w:rsidRPr="00A55639" w:rsidRDefault="0036416A" w:rsidP="0036416A">
            <w:pPr>
              <w:spacing w:line="276" w:lineRule="auto"/>
              <w:jc w:val="both"/>
              <w:rPr>
                <w:color w:val="000000" w:themeColor="text1"/>
              </w:rPr>
            </w:pPr>
            <w:r w:rsidRPr="00A55639">
              <w:rPr>
                <w:color w:val="000000" w:themeColor="text1"/>
              </w:rPr>
              <w:t>a) MoST</w:t>
            </w:r>
          </w:p>
          <w:p w14:paraId="2F478F66" w14:textId="77777777" w:rsidR="0036416A" w:rsidRPr="00A55639" w:rsidRDefault="0036416A" w:rsidP="0036416A">
            <w:pPr>
              <w:spacing w:line="276" w:lineRule="auto"/>
              <w:jc w:val="both"/>
              <w:rPr>
                <w:color w:val="000000" w:themeColor="text1"/>
              </w:rPr>
            </w:pPr>
            <w:r w:rsidRPr="00A55639">
              <w:rPr>
                <w:color w:val="000000" w:themeColor="text1"/>
              </w:rPr>
              <w:t>b) MoA</w:t>
            </w:r>
          </w:p>
          <w:p w14:paraId="6755058F" w14:textId="77777777" w:rsidR="0036416A" w:rsidRPr="00A55639" w:rsidRDefault="0036416A" w:rsidP="0036416A">
            <w:pPr>
              <w:spacing w:line="276" w:lineRule="auto"/>
              <w:jc w:val="both"/>
              <w:rPr>
                <w:color w:val="000000" w:themeColor="text1"/>
              </w:rPr>
            </w:pPr>
            <w:r w:rsidRPr="00A55639">
              <w:rPr>
                <w:color w:val="000000" w:themeColor="text1"/>
              </w:rPr>
              <w:t>c) UGC</w:t>
            </w:r>
          </w:p>
          <w:p w14:paraId="43C3370F" w14:textId="77777777" w:rsidR="0036416A" w:rsidRDefault="0036416A" w:rsidP="0036416A">
            <w:pPr>
              <w:pStyle w:val="NoSpacing"/>
              <w:rPr>
                <w:color w:val="000000" w:themeColor="text1"/>
              </w:rPr>
            </w:pPr>
            <w:r w:rsidRPr="00A55639">
              <w:rPr>
                <w:color w:val="000000" w:themeColor="text1"/>
              </w:rPr>
              <w:t>d) BIDS</w:t>
            </w:r>
          </w:p>
          <w:p w14:paraId="33241ACF" w14:textId="77777777" w:rsidR="0036416A" w:rsidRDefault="0036416A" w:rsidP="0036416A">
            <w:pPr>
              <w:pStyle w:val="NoSpacing"/>
              <w:rPr>
                <w:color w:val="000000" w:themeColor="text1"/>
              </w:rPr>
            </w:pPr>
            <w:r>
              <w:rPr>
                <w:color w:val="000000" w:themeColor="text1"/>
              </w:rPr>
              <w:t>e) BBS</w:t>
            </w:r>
          </w:p>
          <w:p w14:paraId="2F471977" w14:textId="77777777" w:rsidR="0036416A" w:rsidRDefault="0036416A" w:rsidP="0036416A">
            <w:pPr>
              <w:spacing w:line="276" w:lineRule="auto"/>
              <w:jc w:val="center"/>
            </w:pPr>
          </w:p>
          <w:p w14:paraId="55A8B2AF" w14:textId="77777777" w:rsidR="0036416A" w:rsidRDefault="0036416A" w:rsidP="0036416A">
            <w:pPr>
              <w:pStyle w:val="NoSpacing"/>
              <w:rPr>
                <w:color w:val="0070C0"/>
                <w:sz w:val="30"/>
                <w:szCs w:val="30"/>
              </w:rPr>
            </w:pPr>
            <w:r w:rsidRPr="00A55639">
              <w:t>Administrative Data</w:t>
            </w:r>
          </w:p>
        </w:tc>
        <w:tc>
          <w:tcPr>
            <w:tcW w:w="0" w:type="auto"/>
          </w:tcPr>
          <w:p w14:paraId="43DBD637"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sector of employment </w:t>
            </w:r>
          </w:p>
          <w:p w14:paraId="63B5D25F"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field of science</w:t>
            </w:r>
          </w:p>
          <w:p w14:paraId="515470E9"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 Female, Transgender</w:t>
            </w:r>
          </w:p>
          <w:p w14:paraId="2F7C71CA"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Age: 15-24 yrs, 25-64 yrs, 64+ yrs</w:t>
            </w:r>
          </w:p>
          <w:p w14:paraId="54260F60" w14:textId="77777777" w:rsidR="0036416A" w:rsidRDefault="0036416A" w:rsidP="0036416A">
            <w:pPr>
              <w:ind w:left="970" w:hanging="970"/>
              <w:jc w:val="both"/>
              <w:rPr>
                <w:color w:val="0070C0"/>
                <w:sz w:val="30"/>
                <w:szCs w:val="30"/>
              </w:rPr>
            </w:pPr>
          </w:p>
        </w:tc>
        <w:tc>
          <w:tcPr>
            <w:tcW w:w="0" w:type="auto"/>
          </w:tcPr>
          <w:p w14:paraId="5328AA2B" w14:textId="77777777" w:rsidR="0036416A" w:rsidRDefault="0036416A" w:rsidP="0036416A">
            <w:pPr>
              <w:spacing w:line="276" w:lineRule="auto"/>
              <w:jc w:val="center"/>
            </w:pPr>
            <w:r>
              <w:t>Triennial</w:t>
            </w:r>
          </w:p>
          <w:p w14:paraId="5A151AB9" w14:textId="77777777" w:rsidR="0036416A" w:rsidRDefault="0036416A" w:rsidP="0036416A">
            <w:pPr>
              <w:spacing w:line="276" w:lineRule="auto"/>
              <w:jc w:val="center"/>
            </w:pPr>
          </w:p>
          <w:p w14:paraId="76AF02A5" w14:textId="77777777" w:rsidR="0036416A" w:rsidRDefault="0036416A" w:rsidP="0036416A">
            <w:pPr>
              <w:spacing w:line="276" w:lineRule="auto"/>
              <w:jc w:val="center"/>
            </w:pPr>
          </w:p>
          <w:p w14:paraId="3305732C" w14:textId="77777777" w:rsidR="0036416A" w:rsidRDefault="0036416A" w:rsidP="0036416A">
            <w:pPr>
              <w:spacing w:line="276" w:lineRule="auto"/>
              <w:jc w:val="center"/>
            </w:pPr>
          </w:p>
          <w:p w14:paraId="732022F1" w14:textId="77777777" w:rsidR="0036416A" w:rsidRPr="00BC6F10" w:rsidRDefault="0036416A" w:rsidP="0036416A">
            <w:pPr>
              <w:spacing w:line="276" w:lineRule="auto"/>
              <w:jc w:val="center"/>
            </w:pPr>
          </w:p>
        </w:tc>
        <w:tc>
          <w:tcPr>
            <w:tcW w:w="0" w:type="auto"/>
          </w:tcPr>
          <w:p w14:paraId="32E96E17" w14:textId="77777777" w:rsidR="0036416A" w:rsidRDefault="0036416A" w:rsidP="0036416A">
            <w:pPr>
              <w:ind w:left="970" w:hanging="970"/>
              <w:jc w:val="both"/>
              <w:rPr>
                <w:color w:val="0070C0"/>
                <w:sz w:val="30"/>
                <w:szCs w:val="30"/>
              </w:rPr>
            </w:pPr>
            <w:r>
              <w:t>Group 1</w:t>
            </w:r>
          </w:p>
        </w:tc>
        <w:tc>
          <w:tcPr>
            <w:tcW w:w="0" w:type="auto"/>
          </w:tcPr>
          <w:p w14:paraId="7F502682" w14:textId="77777777" w:rsidR="0036416A" w:rsidRDefault="0036416A" w:rsidP="0036416A">
            <w:pPr>
              <w:pStyle w:val="NoSpacing"/>
            </w:pPr>
            <w:r>
              <w:t>1</w:t>
            </w:r>
            <w:r w:rsidRPr="00013ACB">
              <w:rPr>
                <w:vertAlign w:val="superscript"/>
              </w:rPr>
              <w:t>st</w:t>
            </w:r>
            <w:r>
              <w:t xml:space="preserve"> Round: </w:t>
            </w:r>
          </w:p>
          <w:p w14:paraId="40E2484E" w14:textId="77777777" w:rsidR="0036416A" w:rsidRDefault="0036416A" w:rsidP="0036416A">
            <w:pPr>
              <w:pStyle w:val="NoSpacing"/>
            </w:pPr>
            <w:r>
              <w:t>2015</w:t>
            </w:r>
          </w:p>
          <w:p w14:paraId="43FCB493" w14:textId="77777777" w:rsidR="0036416A" w:rsidRDefault="0036416A" w:rsidP="0036416A">
            <w:pPr>
              <w:pStyle w:val="NoSpacing"/>
            </w:pPr>
            <w:r>
              <w:t>2</w:t>
            </w:r>
            <w:r w:rsidRPr="00013ACB">
              <w:rPr>
                <w:vertAlign w:val="superscript"/>
              </w:rPr>
              <w:t>nd</w:t>
            </w:r>
            <w:r>
              <w:t xml:space="preserve"> Round: </w:t>
            </w:r>
          </w:p>
          <w:p w14:paraId="50A835E1" w14:textId="77777777" w:rsidR="0036416A" w:rsidRDefault="0036416A" w:rsidP="0036416A">
            <w:pPr>
              <w:pStyle w:val="NoSpacing"/>
            </w:pPr>
            <w:r>
              <w:t>June 2020</w:t>
            </w:r>
          </w:p>
          <w:p w14:paraId="6027E7B5" w14:textId="77777777" w:rsidR="0036416A" w:rsidRDefault="0036416A" w:rsidP="0036416A">
            <w:pPr>
              <w:pStyle w:val="NoSpacing"/>
            </w:pPr>
          </w:p>
          <w:p w14:paraId="75F0E4F7" w14:textId="77777777" w:rsidR="0036416A" w:rsidRDefault="0036416A" w:rsidP="0036416A">
            <w:pPr>
              <w:pStyle w:val="NoSpacing"/>
            </w:pPr>
            <w:r>
              <w:t>3</w:t>
            </w:r>
            <w:r w:rsidRPr="00013ACB">
              <w:rPr>
                <w:vertAlign w:val="superscript"/>
              </w:rPr>
              <w:t>rd</w:t>
            </w:r>
            <w:r>
              <w:t xml:space="preserve"> Round: </w:t>
            </w:r>
          </w:p>
          <w:p w14:paraId="358CCC3F" w14:textId="77777777" w:rsidR="0036416A" w:rsidRDefault="0036416A" w:rsidP="0036416A">
            <w:pPr>
              <w:pStyle w:val="NoSpacing"/>
            </w:pPr>
            <w:r>
              <w:t>June 2023</w:t>
            </w:r>
          </w:p>
          <w:p w14:paraId="758451BE" w14:textId="77777777" w:rsidR="0036416A" w:rsidRDefault="0036416A" w:rsidP="0036416A">
            <w:pPr>
              <w:pStyle w:val="NoSpacing"/>
            </w:pPr>
          </w:p>
          <w:p w14:paraId="7040E373" w14:textId="77777777" w:rsidR="0036416A" w:rsidRDefault="0036416A" w:rsidP="0036416A">
            <w:pPr>
              <w:pStyle w:val="NoSpacing"/>
            </w:pPr>
            <w:r>
              <w:t>4</w:t>
            </w:r>
            <w:r w:rsidRPr="00013ACB">
              <w:rPr>
                <w:vertAlign w:val="superscript"/>
              </w:rPr>
              <w:t>th</w:t>
            </w:r>
            <w:r>
              <w:t xml:space="preserve"> Round: </w:t>
            </w:r>
          </w:p>
          <w:p w14:paraId="0462B5AE" w14:textId="77777777" w:rsidR="0036416A" w:rsidRDefault="0036416A" w:rsidP="0036416A">
            <w:pPr>
              <w:pStyle w:val="NoSpacing"/>
            </w:pPr>
            <w:r>
              <w:t>June 2026</w:t>
            </w:r>
          </w:p>
          <w:p w14:paraId="59E09446" w14:textId="77777777" w:rsidR="0036416A" w:rsidRDefault="0036416A" w:rsidP="0036416A">
            <w:pPr>
              <w:pStyle w:val="NoSpacing"/>
            </w:pPr>
          </w:p>
          <w:p w14:paraId="17A526E3" w14:textId="77777777" w:rsidR="0036416A" w:rsidRDefault="0036416A" w:rsidP="0036416A">
            <w:pPr>
              <w:pStyle w:val="NoSpacing"/>
            </w:pPr>
            <w:r>
              <w:t>5</w:t>
            </w:r>
            <w:r w:rsidRPr="00013ACB">
              <w:rPr>
                <w:vertAlign w:val="superscript"/>
              </w:rPr>
              <w:t>th</w:t>
            </w:r>
            <w:r>
              <w:t xml:space="preserve"> Round: </w:t>
            </w:r>
          </w:p>
          <w:p w14:paraId="4031299E" w14:textId="716F236B" w:rsidR="0036416A" w:rsidRDefault="0036416A" w:rsidP="0036416A">
            <w:pPr>
              <w:pStyle w:val="NoSpacing"/>
              <w:rPr>
                <w:color w:val="0070C0"/>
                <w:sz w:val="30"/>
                <w:szCs w:val="30"/>
              </w:rPr>
            </w:pPr>
            <w:r>
              <w:t>June 2029</w:t>
            </w:r>
          </w:p>
        </w:tc>
        <w:tc>
          <w:tcPr>
            <w:tcW w:w="0" w:type="auto"/>
          </w:tcPr>
          <w:p w14:paraId="39167441" w14:textId="77777777" w:rsidR="0036416A" w:rsidRDefault="0036416A" w:rsidP="0036416A">
            <w:pPr>
              <w:pStyle w:val="NoSpacing"/>
            </w:pPr>
            <w:r>
              <w:t>Will be incorporated in PC-2021</w:t>
            </w:r>
          </w:p>
        </w:tc>
      </w:tr>
      <w:tr w:rsidR="0025292C" w14:paraId="64893BFB" w14:textId="77777777" w:rsidTr="00D52BCB">
        <w:tc>
          <w:tcPr>
            <w:tcW w:w="0" w:type="auto"/>
            <w:gridSpan w:val="13"/>
          </w:tcPr>
          <w:p w14:paraId="6B59867C" w14:textId="77777777" w:rsidR="0025292C" w:rsidRDefault="0025292C" w:rsidP="0036416A">
            <w:pPr>
              <w:rPr>
                <w:color w:val="FF0000"/>
                <w:sz w:val="32"/>
                <w:szCs w:val="32"/>
              </w:rPr>
            </w:pPr>
            <w:r>
              <w:rPr>
                <w:color w:val="0070C0"/>
                <w:sz w:val="30"/>
                <w:szCs w:val="30"/>
              </w:rPr>
              <w:lastRenderedPageBreak/>
              <w:t xml:space="preserve">Target  </w:t>
            </w:r>
            <w:r w:rsidRPr="00C97C3C">
              <w:rPr>
                <w:color w:val="0070C0"/>
                <w:sz w:val="30"/>
                <w:szCs w:val="30"/>
              </w:rPr>
              <w:t>9.a Facilitate sustainable and resilient infrastructure development in developing countries through enhanced financial, technological and technical support to African countries, least developed countries, landlocked developing countries and small island developing States</w:t>
            </w:r>
          </w:p>
        </w:tc>
      </w:tr>
      <w:tr w:rsidR="0036416A" w14:paraId="06A9FEED" w14:textId="77777777" w:rsidTr="00DB32C0">
        <w:tc>
          <w:tcPr>
            <w:tcW w:w="0" w:type="auto"/>
          </w:tcPr>
          <w:p w14:paraId="7FCEEC9D" w14:textId="77777777" w:rsidR="0036416A" w:rsidRPr="000706B4" w:rsidRDefault="0036416A" w:rsidP="0036416A">
            <w:pPr>
              <w:pStyle w:val="NoSpacing"/>
            </w:pPr>
            <w:r w:rsidRPr="000706B4">
              <w:t>9.a.1 Total official international support (official development assistance plus other official flows) to infrastructure</w:t>
            </w:r>
          </w:p>
        </w:tc>
        <w:tc>
          <w:tcPr>
            <w:tcW w:w="0" w:type="auto"/>
          </w:tcPr>
          <w:p w14:paraId="40583A79" w14:textId="77777777" w:rsidR="0036416A" w:rsidRDefault="0036416A" w:rsidP="0036416A">
            <w:pPr>
              <w:pStyle w:val="NoSpacing"/>
            </w:pPr>
            <w:r w:rsidRPr="007A7507">
              <w:t>OECD</w:t>
            </w:r>
          </w:p>
          <w:p w14:paraId="13C7FC1E" w14:textId="77777777" w:rsidR="0036416A" w:rsidRDefault="0036416A" w:rsidP="0036416A">
            <w:pPr>
              <w:rPr>
                <w:b/>
                <w:bCs/>
                <w:szCs w:val="20"/>
              </w:rPr>
            </w:pPr>
            <w:r w:rsidRPr="007243FC">
              <w:rPr>
                <w:b/>
                <w:bCs/>
                <w:szCs w:val="20"/>
              </w:rPr>
              <w:t>Partner Agencies:</w:t>
            </w:r>
          </w:p>
          <w:p w14:paraId="7A1FBB4D" w14:textId="77777777" w:rsidR="0036416A" w:rsidRDefault="0036416A" w:rsidP="0036416A">
            <w:pPr>
              <w:ind w:left="970" w:hanging="970"/>
              <w:jc w:val="both"/>
              <w:rPr>
                <w:color w:val="0070C0"/>
                <w:sz w:val="30"/>
                <w:szCs w:val="30"/>
              </w:rPr>
            </w:pPr>
          </w:p>
        </w:tc>
        <w:tc>
          <w:tcPr>
            <w:tcW w:w="0" w:type="auto"/>
          </w:tcPr>
          <w:p w14:paraId="2E615FDA" w14:textId="77777777" w:rsidR="0036416A" w:rsidRDefault="0036416A" w:rsidP="0036416A">
            <w:pPr>
              <w:ind w:left="970" w:hanging="970"/>
              <w:jc w:val="both"/>
              <w:rPr>
                <w:color w:val="0070C0"/>
                <w:sz w:val="30"/>
                <w:szCs w:val="30"/>
              </w:rPr>
            </w:pPr>
            <w:r>
              <w:t>Tier I</w:t>
            </w:r>
          </w:p>
        </w:tc>
        <w:tc>
          <w:tcPr>
            <w:tcW w:w="0" w:type="auto"/>
          </w:tcPr>
          <w:p w14:paraId="68A6F0CE" w14:textId="77777777" w:rsidR="0036416A" w:rsidRDefault="0036416A" w:rsidP="0036416A">
            <w:pPr>
              <w:pStyle w:val="NoSpacing"/>
            </w:pPr>
            <w:r>
              <w:t>Definition:</w:t>
            </w:r>
          </w:p>
          <w:p w14:paraId="6770FB08" w14:textId="77777777" w:rsidR="0036416A" w:rsidRDefault="0036416A" w:rsidP="0036416A">
            <w:pPr>
              <w:pStyle w:val="NoSpacing"/>
            </w:pPr>
          </w:p>
          <w:p w14:paraId="745B46D5" w14:textId="77777777" w:rsidR="0036416A" w:rsidRDefault="0036416A" w:rsidP="0036416A">
            <w:pPr>
              <w:pStyle w:val="NoSpacing"/>
            </w:pPr>
            <w:r>
              <w:t>Gross disbursements of total ODA and other official flows from all donors in support of infrastructure.</w:t>
            </w:r>
          </w:p>
          <w:p w14:paraId="6CB94CEA" w14:textId="77777777" w:rsidR="0036416A" w:rsidRDefault="0036416A" w:rsidP="0036416A">
            <w:pPr>
              <w:pStyle w:val="NoSpacing"/>
            </w:pPr>
          </w:p>
          <w:p w14:paraId="1BC8B0CF" w14:textId="77777777" w:rsidR="0036416A" w:rsidRDefault="0036416A" w:rsidP="0036416A">
            <w:pPr>
              <w:pStyle w:val="NoSpacing"/>
            </w:pPr>
            <w:r>
              <w:t>Concepts:</w:t>
            </w:r>
          </w:p>
          <w:p w14:paraId="7D33BC27" w14:textId="77777777" w:rsidR="0036416A" w:rsidRDefault="0036416A" w:rsidP="0036416A">
            <w:pPr>
              <w:pStyle w:val="NoSpacing"/>
            </w:pPr>
          </w:p>
          <w:p w14:paraId="44C624E5" w14:textId="77777777" w:rsidR="0036416A" w:rsidRDefault="0036416A" w:rsidP="0036416A">
            <w:pPr>
              <w:pStyle w:val="NoSpacing"/>
            </w:pPr>
            <w:r>
              <w:t xml:space="preserve">ODA: The DAC defines ODA as “those flows to countries and territories on the DAC List of ODA Recipients and to multilateral institutions which are </w:t>
            </w:r>
          </w:p>
          <w:p w14:paraId="0082416F" w14:textId="77777777" w:rsidR="0036416A" w:rsidRDefault="0036416A" w:rsidP="0036416A">
            <w:pPr>
              <w:pStyle w:val="NoSpacing"/>
            </w:pPr>
            <w:r>
              <w:t>i)</w:t>
            </w:r>
            <w:r>
              <w:tab/>
              <w:t xml:space="preserve">provided by official agencies, including state and local governments, or by their executive agencies; and </w:t>
            </w:r>
          </w:p>
          <w:p w14:paraId="2014E371" w14:textId="77777777" w:rsidR="0036416A" w:rsidRDefault="0036416A" w:rsidP="0036416A">
            <w:pPr>
              <w:pStyle w:val="NoSpacing"/>
            </w:pPr>
            <w:r>
              <w:t>ii)</w:t>
            </w:r>
            <w:r>
              <w:tab/>
              <w:t>each transaction   is administered with the promotion of the economic development and welfare of developing countries as its main objective; and</w:t>
            </w:r>
          </w:p>
          <w:p w14:paraId="5C662EA8" w14:textId="77777777" w:rsidR="0036416A" w:rsidRDefault="0036416A" w:rsidP="0036416A">
            <w:pPr>
              <w:pStyle w:val="NoSpacing"/>
            </w:pPr>
            <w:proofErr w:type="gramStart"/>
            <w:r>
              <w:t>is</w:t>
            </w:r>
            <w:proofErr w:type="gramEnd"/>
            <w:r>
              <w:t xml:space="preserve"> concessional in character and conveys a grant element of at least 25 per cent (calculated at a rate of </w:t>
            </w:r>
            <w:r>
              <w:lastRenderedPageBreak/>
              <w:t xml:space="preserve">discount of 10 per cent). </w:t>
            </w:r>
          </w:p>
          <w:p w14:paraId="5718C8BF" w14:textId="77777777" w:rsidR="0036416A" w:rsidRDefault="0036416A" w:rsidP="0036416A">
            <w:pPr>
              <w:pStyle w:val="NoSpacing"/>
            </w:pPr>
            <w:r>
              <w:t>(See http://www.oecd.org/dac/stats/officialdevelopmentassistancedefinitionandcoverage.htm)</w:t>
            </w:r>
          </w:p>
          <w:p w14:paraId="6CDA2425" w14:textId="77777777" w:rsidR="0036416A" w:rsidRDefault="0036416A" w:rsidP="0036416A">
            <w:pPr>
              <w:pStyle w:val="NoSpacing"/>
            </w:pPr>
          </w:p>
          <w:p w14:paraId="07A99AB4" w14:textId="77777777" w:rsidR="0036416A" w:rsidRDefault="0036416A" w:rsidP="0036416A">
            <w:pPr>
              <w:pStyle w:val="NoSpacing"/>
            </w:pPr>
            <w:r>
              <w:t>Other official flows (OOF): Other official flows (excluding officially supported export credits) are defined as transactions by the official sector which do not meet the conditions for eligibility as ODA, either because they are not primarily aimed at development, or because they are not sufficiently concessional.</w:t>
            </w:r>
          </w:p>
          <w:p w14:paraId="10A0973A" w14:textId="77777777" w:rsidR="0036416A" w:rsidRDefault="0036416A" w:rsidP="0036416A">
            <w:pPr>
              <w:pStyle w:val="NoSpacing"/>
            </w:pPr>
            <w:r>
              <w:t>(See http://www.oecd.org/dac/stats/documentupload/</w:t>
            </w:r>
            <w:proofErr w:type="gramStart"/>
            <w:r>
              <w:t>DCDDAC(</w:t>
            </w:r>
            <w:proofErr w:type="gramEnd"/>
            <w:r>
              <w:t>2016)3FINAL.pdf,  Para 24).</w:t>
            </w:r>
          </w:p>
          <w:p w14:paraId="7BD64982" w14:textId="77777777" w:rsidR="0036416A" w:rsidRDefault="0036416A" w:rsidP="0036416A">
            <w:pPr>
              <w:pStyle w:val="NoSpacing"/>
            </w:pPr>
          </w:p>
          <w:p w14:paraId="66CEFE54" w14:textId="77777777" w:rsidR="0036416A" w:rsidRDefault="0036416A" w:rsidP="0036416A">
            <w:pPr>
              <w:pStyle w:val="NoSpacing"/>
            </w:pPr>
            <w:r>
              <w:t>Support to infrastructure includes all CRS sector codes in the 200 series (see here: http://www.oecd.org/dac/stats/purposecodessectorclassification.htm)</w:t>
            </w:r>
          </w:p>
          <w:p w14:paraId="2DFFD155" w14:textId="77777777" w:rsidR="0036416A" w:rsidRDefault="0036416A" w:rsidP="0036416A">
            <w:pPr>
              <w:pStyle w:val="NoSpacing"/>
            </w:pPr>
            <w:r>
              <w:t>Comments and limitations:</w:t>
            </w:r>
          </w:p>
          <w:p w14:paraId="4A0E642C" w14:textId="77777777" w:rsidR="0036416A" w:rsidRDefault="0036416A" w:rsidP="0036416A">
            <w:pPr>
              <w:pStyle w:val="NoSpacing"/>
            </w:pPr>
          </w:p>
          <w:p w14:paraId="2525D1F7" w14:textId="77777777" w:rsidR="0036416A" w:rsidRDefault="0036416A" w:rsidP="0036416A">
            <w:pPr>
              <w:pStyle w:val="NoSpacing"/>
            </w:pPr>
            <w:r>
              <w:t>Data in the Creditor Reporting System are available from 1973.  However, the data coverage is considered complete since 1995 for commitments at an activity level and 2002 for disbursements.</w:t>
            </w:r>
          </w:p>
          <w:p w14:paraId="36F4AC60" w14:textId="77777777" w:rsidR="0036416A" w:rsidRDefault="0036416A" w:rsidP="0036416A">
            <w:pPr>
              <w:pStyle w:val="NoSpacing"/>
            </w:pPr>
          </w:p>
          <w:p w14:paraId="6385A8D4" w14:textId="77777777" w:rsidR="0036416A" w:rsidRDefault="0036416A" w:rsidP="0036416A">
            <w:pPr>
              <w:pStyle w:val="NoSpacing"/>
            </w:pPr>
            <w:r>
              <w:t>Computation Method:</w:t>
            </w:r>
          </w:p>
          <w:p w14:paraId="19AAB192" w14:textId="77777777" w:rsidR="0036416A" w:rsidRDefault="0036416A" w:rsidP="0036416A">
            <w:pPr>
              <w:pStyle w:val="NoSpacing"/>
            </w:pPr>
          </w:p>
          <w:p w14:paraId="446AFEBD" w14:textId="77777777" w:rsidR="0036416A" w:rsidRDefault="0036416A" w:rsidP="0036416A">
            <w:pPr>
              <w:pStyle w:val="NoSpacing"/>
            </w:pPr>
            <w:r>
              <w:t>The sum of ODA and OOF flows from all donors to developing countries for infrastructure.</w:t>
            </w:r>
          </w:p>
        </w:tc>
        <w:tc>
          <w:tcPr>
            <w:tcW w:w="0" w:type="auto"/>
          </w:tcPr>
          <w:p w14:paraId="57BB6430" w14:textId="77777777" w:rsidR="0036416A" w:rsidRPr="00760FBA" w:rsidRDefault="0036416A" w:rsidP="0036416A">
            <w:pPr>
              <w:pStyle w:val="NoSpacing"/>
            </w:pPr>
            <w:r w:rsidRPr="00873FDE">
              <w:rPr>
                <w:rFonts w:cstheme="minorBidi"/>
                <w:szCs w:val="20"/>
                <w:lang w:val="en-GB"/>
              </w:rPr>
              <w:lastRenderedPageBreak/>
              <w:t>The sum of ODA and OOF flows from all donors to developing countries for infrastructure.</w:t>
            </w:r>
          </w:p>
        </w:tc>
        <w:tc>
          <w:tcPr>
            <w:tcW w:w="0" w:type="auto"/>
          </w:tcPr>
          <w:p w14:paraId="4AFF62DF" w14:textId="77777777" w:rsidR="0036416A" w:rsidRPr="002F5320" w:rsidRDefault="0036416A" w:rsidP="0036416A">
            <w:pPr>
              <w:pStyle w:val="NoSpacing"/>
            </w:pPr>
            <w:r>
              <w:rPr>
                <w:lang w:eastAsia="en-GB"/>
              </w:rPr>
              <w:t>N</w:t>
            </w:r>
            <w:r w:rsidRPr="006E7107">
              <w:rPr>
                <w:lang w:eastAsia="en-GB"/>
              </w:rPr>
              <w:t>ational administrations (aid agencies, Ministries of Foreign Affairs or Finance, etc.</w:t>
            </w:r>
          </w:p>
        </w:tc>
        <w:tc>
          <w:tcPr>
            <w:tcW w:w="0" w:type="auto"/>
          </w:tcPr>
          <w:p w14:paraId="4280F242" w14:textId="77777777" w:rsidR="0036416A" w:rsidRDefault="0036416A" w:rsidP="0036416A">
            <w:pPr>
              <w:pStyle w:val="NoSpacing"/>
            </w:pPr>
            <w:r>
              <w:t>ERD</w:t>
            </w:r>
          </w:p>
          <w:p w14:paraId="67DAA15F" w14:textId="77777777" w:rsidR="0036416A" w:rsidRDefault="0036416A" w:rsidP="0036416A">
            <w:pPr>
              <w:pStyle w:val="NoSpacing"/>
            </w:pPr>
            <w:r>
              <w:t>Administrative Data</w:t>
            </w:r>
          </w:p>
        </w:tc>
        <w:tc>
          <w:tcPr>
            <w:tcW w:w="0" w:type="auto"/>
          </w:tcPr>
          <w:p w14:paraId="496D99B8" w14:textId="77777777" w:rsidR="0036416A" w:rsidRDefault="0036416A" w:rsidP="0036416A">
            <w:pPr>
              <w:pStyle w:val="NoSpacing"/>
            </w:pPr>
            <w:r>
              <w:t>ERD</w:t>
            </w:r>
          </w:p>
          <w:p w14:paraId="0CAF0A61" w14:textId="77777777" w:rsidR="0036416A" w:rsidRDefault="0036416A" w:rsidP="0036416A">
            <w:pPr>
              <w:pStyle w:val="NoSpacing"/>
            </w:pPr>
            <w:r>
              <w:t>Administrative Data</w:t>
            </w:r>
          </w:p>
        </w:tc>
        <w:tc>
          <w:tcPr>
            <w:tcW w:w="0" w:type="auto"/>
          </w:tcPr>
          <w:p w14:paraId="322DD93F"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type of official flow </w:t>
            </w:r>
          </w:p>
          <w:p w14:paraId="23F40D98"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flow: ODA, OOF</w:t>
            </w:r>
          </w:p>
          <w:p w14:paraId="64BA5389"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donor country</w:t>
            </w:r>
          </w:p>
          <w:p w14:paraId="5B23AE5F"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recipient country</w:t>
            </w:r>
          </w:p>
          <w:p w14:paraId="02E5592B"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type of finance </w:t>
            </w:r>
          </w:p>
          <w:p w14:paraId="339A7441"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aid</w:t>
            </w:r>
          </w:p>
          <w:p w14:paraId="476AACD8" w14:textId="77777777" w:rsidR="0036416A" w:rsidRPr="007E6DF7" w:rsidRDefault="0036416A" w:rsidP="0036416A">
            <w:pPr>
              <w:pStyle w:val="ListParagraph"/>
              <w:numPr>
                <w:ilvl w:val="0"/>
                <w:numId w:val="52"/>
              </w:numPr>
              <w:spacing w:after="160" w:line="256" w:lineRule="auto"/>
              <w:ind w:left="160" w:hanging="160"/>
              <w:jc w:val="both"/>
              <w:rPr>
                <w:rFonts w:eastAsia="Times New Roman"/>
                <w:sz w:val="18"/>
                <w:szCs w:val="18"/>
              </w:rPr>
            </w:pPr>
            <w:r>
              <w:rPr>
                <w:rFonts w:ascii="Tw Cen MT Condensed" w:hAnsi="Tw Cen MT Condensed"/>
                <w:sz w:val="20"/>
                <w:szCs w:val="20"/>
              </w:rPr>
              <w:lastRenderedPageBreak/>
              <w:t>sub-sector</w:t>
            </w:r>
          </w:p>
        </w:tc>
        <w:tc>
          <w:tcPr>
            <w:tcW w:w="0" w:type="auto"/>
          </w:tcPr>
          <w:p w14:paraId="6275B308" w14:textId="77777777" w:rsidR="0036416A" w:rsidRPr="00BD5DAE" w:rsidRDefault="0036416A" w:rsidP="0036416A">
            <w:pPr>
              <w:jc w:val="center"/>
              <w:rPr>
                <w:rFonts w:cs="Times New Roman"/>
                <w:szCs w:val="20"/>
              </w:rPr>
            </w:pPr>
            <w:r w:rsidRPr="00BC6F10">
              <w:lastRenderedPageBreak/>
              <w:t>Annual</w:t>
            </w:r>
          </w:p>
        </w:tc>
        <w:tc>
          <w:tcPr>
            <w:tcW w:w="0" w:type="auto"/>
          </w:tcPr>
          <w:p w14:paraId="58622E92" w14:textId="77777777" w:rsidR="0036416A" w:rsidRDefault="0036416A" w:rsidP="0036416A">
            <w:pPr>
              <w:ind w:left="970" w:hanging="970"/>
              <w:jc w:val="both"/>
              <w:rPr>
                <w:color w:val="0070C0"/>
                <w:sz w:val="30"/>
                <w:szCs w:val="30"/>
              </w:rPr>
            </w:pPr>
            <w:r>
              <w:t>Group 1</w:t>
            </w:r>
          </w:p>
        </w:tc>
        <w:tc>
          <w:tcPr>
            <w:tcW w:w="0" w:type="auto"/>
          </w:tcPr>
          <w:p w14:paraId="41B6041A" w14:textId="77777777" w:rsidR="0036416A" w:rsidRDefault="0036416A" w:rsidP="0036416A">
            <w:pPr>
              <w:pStyle w:val="NoSpacing"/>
            </w:pPr>
            <w:r>
              <w:t>1</w:t>
            </w:r>
            <w:r w:rsidRPr="00013ACB">
              <w:rPr>
                <w:vertAlign w:val="superscript"/>
              </w:rPr>
              <w:t>st</w:t>
            </w:r>
            <w:r>
              <w:t xml:space="preserve"> Round: </w:t>
            </w:r>
          </w:p>
          <w:p w14:paraId="7EC83B60" w14:textId="77777777" w:rsidR="0036416A" w:rsidRDefault="0036416A" w:rsidP="0036416A">
            <w:pPr>
              <w:pStyle w:val="NoSpacing"/>
            </w:pPr>
            <w:r>
              <w:t>2015</w:t>
            </w:r>
          </w:p>
          <w:p w14:paraId="629ABB39" w14:textId="77777777" w:rsidR="0036416A" w:rsidRDefault="0036416A" w:rsidP="0036416A">
            <w:pPr>
              <w:pStyle w:val="NoSpacing"/>
            </w:pPr>
          </w:p>
          <w:p w14:paraId="650D6288" w14:textId="77777777" w:rsidR="0036416A" w:rsidRDefault="0036416A" w:rsidP="0036416A">
            <w:pPr>
              <w:pStyle w:val="NoSpacing"/>
            </w:pPr>
            <w:r>
              <w:t>2</w:t>
            </w:r>
            <w:r w:rsidRPr="00013ACB">
              <w:rPr>
                <w:vertAlign w:val="superscript"/>
              </w:rPr>
              <w:t>nd</w:t>
            </w:r>
            <w:r>
              <w:t xml:space="preserve"> Round: </w:t>
            </w:r>
          </w:p>
          <w:p w14:paraId="4D89D9AA" w14:textId="77777777" w:rsidR="0036416A" w:rsidRDefault="0036416A" w:rsidP="0036416A">
            <w:pPr>
              <w:pStyle w:val="NoSpacing"/>
            </w:pPr>
            <w:r>
              <w:t xml:space="preserve">December, 2020 </w:t>
            </w:r>
          </w:p>
          <w:p w14:paraId="3C703BEE" w14:textId="77777777" w:rsidR="0036416A" w:rsidRDefault="0036416A" w:rsidP="0036416A">
            <w:pPr>
              <w:pStyle w:val="NoSpacing"/>
            </w:pPr>
          </w:p>
          <w:p w14:paraId="38B7E5E3" w14:textId="77777777" w:rsidR="0036416A" w:rsidRDefault="0036416A" w:rsidP="0036416A">
            <w:pPr>
              <w:pStyle w:val="NoSpacing"/>
            </w:pPr>
            <w:r>
              <w:t>3</w:t>
            </w:r>
            <w:r w:rsidRPr="00013ACB">
              <w:rPr>
                <w:vertAlign w:val="superscript"/>
              </w:rPr>
              <w:t>rd</w:t>
            </w:r>
            <w:r>
              <w:t xml:space="preserve"> Round: </w:t>
            </w:r>
          </w:p>
          <w:p w14:paraId="01FB19CC" w14:textId="77777777" w:rsidR="0036416A" w:rsidRDefault="0036416A" w:rsidP="0036416A">
            <w:pPr>
              <w:pStyle w:val="NoSpacing"/>
            </w:pPr>
            <w:r>
              <w:t>December, 2021</w:t>
            </w:r>
          </w:p>
          <w:p w14:paraId="191962E8" w14:textId="77777777" w:rsidR="0036416A" w:rsidRDefault="0036416A" w:rsidP="0036416A">
            <w:pPr>
              <w:pStyle w:val="NoSpacing"/>
            </w:pPr>
          </w:p>
          <w:p w14:paraId="7DF40FCF" w14:textId="77777777" w:rsidR="0036416A" w:rsidRDefault="0036416A" w:rsidP="0036416A">
            <w:pPr>
              <w:pStyle w:val="NoSpacing"/>
            </w:pPr>
            <w:r>
              <w:t>4</w:t>
            </w:r>
            <w:r w:rsidRPr="00013ACB">
              <w:rPr>
                <w:vertAlign w:val="superscript"/>
              </w:rPr>
              <w:t>th</w:t>
            </w:r>
            <w:r>
              <w:t xml:space="preserve"> Round: </w:t>
            </w:r>
          </w:p>
          <w:p w14:paraId="170F6B84" w14:textId="77777777" w:rsidR="0036416A" w:rsidRDefault="0036416A" w:rsidP="0036416A">
            <w:pPr>
              <w:pStyle w:val="NoSpacing"/>
            </w:pPr>
            <w:r>
              <w:t xml:space="preserve">December, </w:t>
            </w:r>
            <w:r>
              <w:lastRenderedPageBreak/>
              <w:t>2022</w:t>
            </w:r>
          </w:p>
          <w:p w14:paraId="459C6F69" w14:textId="77777777" w:rsidR="0036416A" w:rsidRDefault="0036416A" w:rsidP="0036416A">
            <w:pPr>
              <w:pStyle w:val="NoSpacing"/>
            </w:pPr>
          </w:p>
          <w:p w14:paraId="1D6ADB6D" w14:textId="77777777" w:rsidR="0036416A" w:rsidRDefault="0036416A" w:rsidP="0036416A">
            <w:pPr>
              <w:pStyle w:val="NoSpacing"/>
            </w:pPr>
            <w:r>
              <w:t>5</w:t>
            </w:r>
            <w:r w:rsidRPr="00013ACB">
              <w:rPr>
                <w:vertAlign w:val="superscript"/>
              </w:rPr>
              <w:t>th</w:t>
            </w:r>
            <w:r>
              <w:t xml:space="preserve"> Round: </w:t>
            </w:r>
          </w:p>
          <w:p w14:paraId="277094A1" w14:textId="77777777" w:rsidR="0036416A" w:rsidRDefault="0036416A" w:rsidP="0036416A">
            <w:pPr>
              <w:pStyle w:val="NoSpacing"/>
            </w:pPr>
            <w:r>
              <w:t>December, 2023</w:t>
            </w:r>
          </w:p>
          <w:p w14:paraId="49A169C2" w14:textId="77777777" w:rsidR="0036416A" w:rsidRDefault="0036416A" w:rsidP="0036416A">
            <w:pPr>
              <w:ind w:left="970" w:hanging="970"/>
              <w:jc w:val="both"/>
              <w:rPr>
                <w:color w:val="0070C0"/>
                <w:sz w:val="30"/>
                <w:szCs w:val="30"/>
              </w:rPr>
            </w:pPr>
          </w:p>
        </w:tc>
        <w:tc>
          <w:tcPr>
            <w:tcW w:w="0" w:type="auto"/>
          </w:tcPr>
          <w:p w14:paraId="506325B2" w14:textId="77777777" w:rsidR="0036416A" w:rsidRDefault="0036416A" w:rsidP="0036416A">
            <w:pPr>
              <w:ind w:left="970" w:hanging="970"/>
              <w:jc w:val="both"/>
              <w:rPr>
                <w:color w:val="0070C0"/>
                <w:sz w:val="30"/>
                <w:szCs w:val="30"/>
              </w:rPr>
            </w:pPr>
          </w:p>
        </w:tc>
      </w:tr>
      <w:tr w:rsidR="0025292C" w14:paraId="12B1DD32" w14:textId="77777777" w:rsidTr="00D52BCB">
        <w:tc>
          <w:tcPr>
            <w:tcW w:w="0" w:type="auto"/>
            <w:gridSpan w:val="13"/>
          </w:tcPr>
          <w:p w14:paraId="607C1155" w14:textId="77777777" w:rsidR="0025292C" w:rsidRDefault="0025292C" w:rsidP="0036416A">
            <w:pPr>
              <w:rPr>
                <w:color w:val="FF0000"/>
                <w:sz w:val="32"/>
                <w:szCs w:val="32"/>
              </w:rPr>
            </w:pPr>
            <w:r>
              <w:rPr>
                <w:color w:val="0070C0"/>
                <w:sz w:val="30"/>
                <w:szCs w:val="30"/>
              </w:rPr>
              <w:lastRenderedPageBreak/>
              <w:t xml:space="preserve">Target </w:t>
            </w:r>
            <w:r w:rsidRPr="00C97C3C">
              <w:rPr>
                <w:color w:val="0070C0"/>
                <w:sz w:val="30"/>
                <w:szCs w:val="30"/>
              </w:rPr>
              <w:t>9.b Support domestic technology development, research and innovation in developing countries, including by ensuring a conducive policy environment for, inter alia, industrial diversification and value addition to commodities</w:t>
            </w:r>
          </w:p>
        </w:tc>
      </w:tr>
      <w:tr w:rsidR="0036416A" w14:paraId="7AFDA1FB" w14:textId="77777777" w:rsidTr="00DB32C0">
        <w:tc>
          <w:tcPr>
            <w:tcW w:w="0" w:type="auto"/>
          </w:tcPr>
          <w:p w14:paraId="4C7F8F8B" w14:textId="77777777" w:rsidR="0036416A" w:rsidRPr="000706B4" w:rsidRDefault="0036416A" w:rsidP="0036416A">
            <w:pPr>
              <w:pStyle w:val="NoSpacing"/>
            </w:pPr>
            <w:r w:rsidRPr="000706B4">
              <w:t>9.b.1 Proportion of medium and high-tech industry value added in total value added</w:t>
            </w:r>
          </w:p>
        </w:tc>
        <w:tc>
          <w:tcPr>
            <w:tcW w:w="0" w:type="auto"/>
          </w:tcPr>
          <w:p w14:paraId="54B2B32B" w14:textId="77777777" w:rsidR="0036416A" w:rsidRDefault="0036416A" w:rsidP="0036416A">
            <w:pPr>
              <w:pStyle w:val="NoSpacing"/>
            </w:pPr>
            <w:r w:rsidRPr="007A7507">
              <w:t>UNIDO</w:t>
            </w:r>
          </w:p>
          <w:p w14:paraId="66905322" w14:textId="77777777" w:rsidR="0036416A" w:rsidRDefault="0036416A" w:rsidP="0036416A">
            <w:pPr>
              <w:rPr>
                <w:b/>
                <w:bCs/>
                <w:szCs w:val="20"/>
              </w:rPr>
            </w:pPr>
            <w:r w:rsidRPr="007243FC">
              <w:rPr>
                <w:b/>
                <w:bCs/>
                <w:szCs w:val="20"/>
              </w:rPr>
              <w:t>Partner Agencies:</w:t>
            </w:r>
          </w:p>
          <w:p w14:paraId="49D22960" w14:textId="77777777" w:rsidR="0036416A" w:rsidRDefault="0036416A" w:rsidP="0036416A">
            <w:pPr>
              <w:pStyle w:val="NoSpacing"/>
            </w:pPr>
            <w:r w:rsidRPr="007A7507">
              <w:t>OECD</w:t>
            </w:r>
          </w:p>
        </w:tc>
        <w:tc>
          <w:tcPr>
            <w:tcW w:w="0" w:type="auto"/>
          </w:tcPr>
          <w:p w14:paraId="1E8A228A" w14:textId="77777777" w:rsidR="0036416A" w:rsidRDefault="0036416A" w:rsidP="0036416A">
            <w:pPr>
              <w:ind w:left="970" w:hanging="970"/>
              <w:jc w:val="both"/>
              <w:rPr>
                <w:color w:val="0070C0"/>
                <w:sz w:val="30"/>
                <w:szCs w:val="30"/>
              </w:rPr>
            </w:pPr>
            <w:r>
              <w:t>Tier I</w:t>
            </w:r>
          </w:p>
        </w:tc>
        <w:tc>
          <w:tcPr>
            <w:tcW w:w="0" w:type="auto"/>
          </w:tcPr>
          <w:p w14:paraId="345BD9BB" w14:textId="77777777" w:rsidR="0036416A" w:rsidRDefault="0036416A" w:rsidP="0036416A">
            <w:pPr>
              <w:pStyle w:val="NoSpacing"/>
            </w:pPr>
            <w:r>
              <w:t>Definition:</w:t>
            </w:r>
          </w:p>
          <w:p w14:paraId="42BCAD5B" w14:textId="77777777" w:rsidR="0036416A" w:rsidRDefault="0036416A" w:rsidP="0036416A">
            <w:pPr>
              <w:pStyle w:val="NoSpacing"/>
            </w:pPr>
          </w:p>
          <w:p w14:paraId="5B534E67" w14:textId="77777777" w:rsidR="0036416A" w:rsidRDefault="0036416A" w:rsidP="0036416A">
            <w:pPr>
              <w:pStyle w:val="NoSpacing"/>
            </w:pPr>
            <w:r>
              <w:t xml:space="preserve">The proportion of medium and high-tech industry (MHT hereafter) value added in total value added of manufacturing (MVA hereafter) is a ratio value between the </w:t>
            </w:r>
            <w:proofErr w:type="gramStart"/>
            <w:r>
              <w:t>value</w:t>
            </w:r>
            <w:proofErr w:type="gramEnd"/>
            <w:r>
              <w:t xml:space="preserve"> added of MHT industry and MVA.</w:t>
            </w:r>
          </w:p>
          <w:p w14:paraId="25F3B729" w14:textId="77777777" w:rsidR="0036416A" w:rsidRDefault="0036416A" w:rsidP="0036416A">
            <w:pPr>
              <w:pStyle w:val="NoSpacing"/>
            </w:pPr>
          </w:p>
          <w:p w14:paraId="11C66F66" w14:textId="77777777" w:rsidR="0036416A" w:rsidRDefault="0036416A" w:rsidP="0036416A">
            <w:pPr>
              <w:pStyle w:val="NoSpacing"/>
            </w:pPr>
            <w:r>
              <w:t>Concepts:</w:t>
            </w:r>
          </w:p>
          <w:p w14:paraId="04AC44D2" w14:textId="77777777" w:rsidR="0036416A" w:rsidRDefault="0036416A" w:rsidP="0036416A">
            <w:pPr>
              <w:pStyle w:val="NoSpacing"/>
            </w:pPr>
          </w:p>
          <w:p w14:paraId="5FD8D892" w14:textId="77777777" w:rsidR="0036416A" w:rsidRDefault="0036416A" w:rsidP="0036416A">
            <w:pPr>
              <w:pStyle w:val="NoSpacing"/>
            </w:pPr>
            <w:r>
              <w:t>The value added of an industry (industry value added) is a survey concept that refers to the given industry’s net output derived from the difference of gross output and intermediate consumption. Manufacturing sector is defined according to the International Standard Industrial Classification of all Economic Activities (ISIC) revision 3 (1990) or revision 4 (2008). It refers to industries belonging to sector D in revision 3 or sector C in revision 4.</w:t>
            </w:r>
          </w:p>
          <w:p w14:paraId="1CF9404B" w14:textId="77777777" w:rsidR="0036416A" w:rsidRDefault="0036416A" w:rsidP="0036416A">
            <w:pPr>
              <w:pStyle w:val="NoSpacing"/>
            </w:pPr>
          </w:p>
          <w:p w14:paraId="21243C43" w14:textId="77777777" w:rsidR="0036416A" w:rsidRDefault="0036416A" w:rsidP="0036416A">
            <w:pPr>
              <w:pStyle w:val="NoSpacing"/>
            </w:pPr>
            <w:r>
              <w:t xml:space="preserve">Technology classification is based on research and development (R&amp;D) expenditure relative to value added otherwise referred as R&amp;D intensity.  Data for R&amp;D intensity are presented in a report (Galindo-Rueda and Verger, 2016) published by the OECD in 2016, which also proposes a taxonomy for industry </w:t>
            </w:r>
            <w:r>
              <w:lastRenderedPageBreak/>
              <w:t>groups with different ranges of R&amp;D expenditure relative to their gross value added. MHT industries have traditionally been defined exclusively to manufacturing industries. However, there have been recent efforts (Galindo-Rueda and Verger, 2016) to extend the definition to non-manufacturing industries as well. Nevertheless, medium-high and high technology sectors also in new paper are primarily represented by manufacturing industries.</w:t>
            </w:r>
          </w:p>
          <w:tbl>
            <w:tblPr>
              <w:tblStyle w:val="TableGrid"/>
              <w:tblW w:w="0" w:type="auto"/>
              <w:tblLook w:val="04A0" w:firstRow="1" w:lastRow="0" w:firstColumn="1" w:lastColumn="0" w:noHBand="0" w:noVBand="1"/>
            </w:tblPr>
            <w:tblGrid>
              <w:gridCol w:w="828"/>
              <w:gridCol w:w="1800"/>
              <w:gridCol w:w="720"/>
              <w:gridCol w:w="1710"/>
            </w:tblGrid>
            <w:tr w:rsidR="0036416A" w:rsidRPr="008B0913" w14:paraId="43E72BDE" w14:textId="77777777" w:rsidTr="00DB32C0">
              <w:tc>
                <w:tcPr>
                  <w:tcW w:w="828" w:type="dxa"/>
                  <w:vAlign w:val="center"/>
                </w:tcPr>
                <w:p w14:paraId="0628A6F7" w14:textId="77777777" w:rsidR="0036416A" w:rsidRPr="008B0913" w:rsidRDefault="0036416A" w:rsidP="000C4849">
                  <w:pPr>
                    <w:pStyle w:val="NoSpacing"/>
                  </w:pPr>
                  <w:r>
                    <w:t>ISIC Rev.4</w:t>
                  </w:r>
                </w:p>
              </w:tc>
              <w:tc>
                <w:tcPr>
                  <w:tcW w:w="1800" w:type="dxa"/>
                  <w:vAlign w:val="center"/>
                </w:tcPr>
                <w:p w14:paraId="609A164A" w14:textId="77777777" w:rsidR="0036416A" w:rsidRPr="008B0913" w:rsidRDefault="0036416A" w:rsidP="000C4849">
                  <w:pPr>
                    <w:pStyle w:val="NoSpacing"/>
                  </w:pPr>
                  <w:r w:rsidRPr="008B0913">
                    <w:t>Description</w:t>
                  </w:r>
                </w:p>
              </w:tc>
              <w:tc>
                <w:tcPr>
                  <w:tcW w:w="720" w:type="dxa"/>
                  <w:vAlign w:val="center"/>
                </w:tcPr>
                <w:p w14:paraId="1255F671" w14:textId="77777777" w:rsidR="0036416A" w:rsidRPr="008B0913" w:rsidRDefault="0036416A" w:rsidP="000C4849">
                  <w:pPr>
                    <w:pStyle w:val="NoSpacing"/>
                  </w:pPr>
                  <w:r w:rsidRPr="008B0913">
                    <w:t xml:space="preserve">ISIC Rev.3 </w:t>
                  </w:r>
                </w:p>
              </w:tc>
              <w:tc>
                <w:tcPr>
                  <w:tcW w:w="1710" w:type="dxa"/>
                  <w:vAlign w:val="center"/>
                </w:tcPr>
                <w:p w14:paraId="06DC1390" w14:textId="77777777" w:rsidR="0036416A" w:rsidRPr="008B0913" w:rsidRDefault="0036416A" w:rsidP="000C4849">
                  <w:pPr>
                    <w:pStyle w:val="NoSpacing"/>
                  </w:pPr>
                  <w:r w:rsidRPr="008B0913">
                    <w:t>Description</w:t>
                  </w:r>
                </w:p>
              </w:tc>
            </w:tr>
            <w:tr w:rsidR="0036416A" w:rsidRPr="008B0913" w14:paraId="10766CAA" w14:textId="77777777" w:rsidTr="00DB32C0">
              <w:tc>
                <w:tcPr>
                  <w:tcW w:w="828" w:type="dxa"/>
                  <w:vAlign w:val="center"/>
                </w:tcPr>
                <w:p w14:paraId="168AB21A" w14:textId="77777777" w:rsidR="0036416A" w:rsidRPr="008B0913" w:rsidRDefault="0036416A" w:rsidP="000C4849">
                  <w:pPr>
                    <w:pStyle w:val="NoSpacing"/>
                  </w:pPr>
                  <w:r w:rsidRPr="008B0913">
                    <w:t>20</w:t>
                  </w:r>
                </w:p>
              </w:tc>
              <w:tc>
                <w:tcPr>
                  <w:tcW w:w="1800" w:type="dxa"/>
                  <w:vAlign w:val="center"/>
                </w:tcPr>
                <w:p w14:paraId="61DF49BD" w14:textId="77777777" w:rsidR="0036416A" w:rsidRPr="008B0913" w:rsidRDefault="0036416A" w:rsidP="000C4849">
                  <w:pPr>
                    <w:pStyle w:val="NoSpacing"/>
                  </w:pPr>
                  <w:r w:rsidRPr="008B0913">
                    <w:t>Manufacture of chemicals and chemical products</w:t>
                  </w:r>
                </w:p>
              </w:tc>
              <w:tc>
                <w:tcPr>
                  <w:tcW w:w="720" w:type="dxa"/>
                  <w:vAlign w:val="center"/>
                </w:tcPr>
                <w:p w14:paraId="4E1CBDA3" w14:textId="77777777" w:rsidR="0036416A" w:rsidRPr="008B0913" w:rsidRDefault="0036416A" w:rsidP="000C4849">
                  <w:pPr>
                    <w:pStyle w:val="NoSpacing"/>
                  </w:pPr>
                  <w:r w:rsidRPr="008B0913">
                    <w:t>24</w:t>
                  </w:r>
                </w:p>
              </w:tc>
              <w:tc>
                <w:tcPr>
                  <w:tcW w:w="1710" w:type="dxa"/>
                  <w:vAlign w:val="center"/>
                </w:tcPr>
                <w:p w14:paraId="3FA3F839" w14:textId="77777777" w:rsidR="0036416A" w:rsidRPr="008B0913" w:rsidRDefault="0036416A" w:rsidP="000C4849">
                  <w:pPr>
                    <w:pStyle w:val="NoSpacing"/>
                  </w:pPr>
                  <w:r w:rsidRPr="000C4849">
                    <w:t>Manufacture of chemicals and chemical products</w:t>
                  </w:r>
                </w:p>
              </w:tc>
            </w:tr>
            <w:tr w:rsidR="0036416A" w:rsidRPr="008B0913" w14:paraId="5CFCAA72" w14:textId="77777777" w:rsidTr="00DB32C0">
              <w:tc>
                <w:tcPr>
                  <w:tcW w:w="828" w:type="dxa"/>
                  <w:vAlign w:val="center"/>
                </w:tcPr>
                <w:p w14:paraId="2A3373F3" w14:textId="77777777" w:rsidR="0036416A" w:rsidRPr="008B0913" w:rsidRDefault="0036416A" w:rsidP="000C4849">
                  <w:pPr>
                    <w:pStyle w:val="NoSpacing"/>
                  </w:pPr>
                  <w:r w:rsidRPr="008B0913">
                    <w:t>21</w:t>
                  </w:r>
                </w:p>
              </w:tc>
              <w:tc>
                <w:tcPr>
                  <w:tcW w:w="1800" w:type="dxa"/>
                  <w:vAlign w:val="center"/>
                </w:tcPr>
                <w:p w14:paraId="12F401FA" w14:textId="77777777" w:rsidR="0036416A" w:rsidRPr="008B0913" w:rsidRDefault="0036416A" w:rsidP="000C4849">
                  <w:pPr>
                    <w:pStyle w:val="NoSpacing"/>
                  </w:pPr>
                  <w:r w:rsidRPr="008B0913">
                    <w:t>Manufacture of basic pharmaceutical products and pharmaceutical preparations</w:t>
                  </w:r>
                </w:p>
              </w:tc>
              <w:tc>
                <w:tcPr>
                  <w:tcW w:w="720" w:type="dxa"/>
                  <w:vAlign w:val="center"/>
                </w:tcPr>
                <w:p w14:paraId="35FC9F59" w14:textId="77777777" w:rsidR="0036416A" w:rsidRPr="008B0913" w:rsidRDefault="0036416A" w:rsidP="000C4849">
                  <w:pPr>
                    <w:pStyle w:val="NoSpacing"/>
                  </w:pPr>
                  <w:r>
                    <w:t>29</w:t>
                  </w:r>
                </w:p>
              </w:tc>
              <w:tc>
                <w:tcPr>
                  <w:tcW w:w="1710" w:type="dxa"/>
                  <w:vAlign w:val="center"/>
                </w:tcPr>
                <w:p w14:paraId="3779F6C5" w14:textId="77777777" w:rsidR="0036416A" w:rsidRPr="008B0913" w:rsidRDefault="0036416A" w:rsidP="000C4849">
                  <w:pPr>
                    <w:pStyle w:val="NoSpacing"/>
                  </w:pPr>
                  <w:r w:rsidRPr="000C4849">
                    <w:t>Manufacture of machinery and equipment n.e.c.</w:t>
                  </w:r>
                </w:p>
              </w:tc>
            </w:tr>
            <w:tr w:rsidR="0036416A" w:rsidRPr="008B0913" w14:paraId="260F8EF5" w14:textId="77777777" w:rsidTr="00DB32C0">
              <w:tc>
                <w:tcPr>
                  <w:tcW w:w="828" w:type="dxa"/>
                  <w:vAlign w:val="center"/>
                </w:tcPr>
                <w:p w14:paraId="6423D12C" w14:textId="77777777" w:rsidR="0036416A" w:rsidRPr="008B0913" w:rsidRDefault="0036416A" w:rsidP="000C4849">
                  <w:pPr>
                    <w:pStyle w:val="NoSpacing"/>
                  </w:pPr>
                  <w:r>
                    <w:t>252</w:t>
                  </w:r>
                </w:p>
              </w:tc>
              <w:tc>
                <w:tcPr>
                  <w:tcW w:w="1800" w:type="dxa"/>
                  <w:vAlign w:val="center"/>
                </w:tcPr>
                <w:p w14:paraId="4D1C6531" w14:textId="77777777" w:rsidR="0036416A" w:rsidRPr="008B0913" w:rsidRDefault="0036416A" w:rsidP="000C4849">
                  <w:pPr>
                    <w:pStyle w:val="NoSpacing"/>
                  </w:pPr>
                  <w:r>
                    <w:t xml:space="preserve">Manufacture </w:t>
                  </w:r>
                  <w:r w:rsidRPr="00B94CC2">
                    <w:t>of weapons and ammunition</w:t>
                  </w:r>
                </w:p>
              </w:tc>
              <w:tc>
                <w:tcPr>
                  <w:tcW w:w="720" w:type="dxa"/>
                  <w:vAlign w:val="center"/>
                </w:tcPr>
                <w:p w14:paraId="5562EB55" w14:textId="77777777" w:rsidR="0036416A" w:rsidRPr="008B0913" w:rsidRDefault="0036416A" w:rsidP="000C4849">
                  <w:pPr>
                    <w:pStyle w:val="NoSpacing"/>
                  </w:pPr>
                  <w:r>
                    <w:t>30</w:t>
                  </w:r>
                </w:p>
              </w:tc>
              <w:tc>
                <w:tcPr>
                  <w:tcW w:w="1710" w:type="dxa"/>
                  <w:vAlign w:val="center"/>
                </w:tcPr>
                <w:p w14:paraId="4EEAF03F" w14:textId="77777777" w:rsidR="0036416A" w:rsidRPr="008B0913" w:rsidRDefault="0036416A" w:rsidP="000C4849">
                  <w:pPr>
                    <w:pStyle w:val="NoSpacing"/>
                  </w:pPr>
                  <w:r w:rsidRPr="000C4849">
                    <w:t>Manufacture of office, accounting and computing machinery</w:t>
                  </w:r>
                </w:p>
              </w:tc>
            </w:tr>
            <w:tr w:rsidR="0036416A" w:rsidRPr="008B0913" w14:paraId="7817BBF0" w14:textId="77777777" w:rsidTr="00DB32C0">
              <w:tc>
                <w:tcPr>
                  <w:tcW w:w="828" w:type="dxa"/>
                  <w:vAlign w:val="center"/>
                </w:tcPr>
                <w:p w14:paraId="3DEC2053" w14:textId="77777777" w:rsidR="0036416A" w:rsidRPr="008B0913" w:rsidRDefault="0036416A" w:rsidP="000C4849">
                  <w:pPr>
                    <w:pStyle w:val="NoSpacing"/>
                  </w:pPr>
                  <w:r w:rsidRPr="008B0913">
                    <w:t>26</w:t>
                  </w:r>
                </w:p>
              </w:tc>
              <w:tc>
                <w:tcPr>
                  <w:tcW w:w="1800" w:type="dxa"/>
                  <w:vAlign w:val="center"/>
                </w:tcPr>
                <w:p w14:paraId="26A0E965" w14:textId="77777777" w:rsidR="0036416A" w:rsidRPr="008B0913" w:rsidRDefault="0036416A" w:rsidP="000C4849">
                  <w:pPr>
                    <w:pStyle w:val="NoSpacing"/>
                  </w:pPr>
                  <w:r w:rsidRPr="008B0913">
                    <w:t>Manufacture of computer, electronic and optical products</w:t>
                  </w:r>
                </w:p>
              </w:tc>
              <w:tc>
                <w:tcPr>
                  <w:tcW w:w="720" w:type="dxa"/>
                  <w:vAlign w:val="center"/>
                </w:tcPr>
                <w:p w14:paraId="062687FC" w14:textId="77777777" w:rsidR="0036416A" w:rsidRPr="008B0913" w:rsidRDefault="0036416A" w:rsidP="000C4849">
                  <w:pPr>
                    <w:pStyle w:val="NoSpacing"/>
                  </w:pPr>
                  <w:r w:rsidRPr="008B0913">
                    <w:t>31</w:t>
                  </w:r>
                </w:p>
              </w:tc>
              <w:tc>
                <w:tcPr>
                  <w:tcW w:w="1710" w:type="dxa"/>
                  <w:vAlign w:val="center"/>
                </w:tcPr>
                <w:p w14:paraId="0F3B7C2E" w14:textId="77777777" w:rsidR="0036416A" w:rsidRPr="008B0913" w:rsidRDefault="0036416A" w:rsidP="000C4849">
                  <w:pPr>
                    <w:pStyle w:val="NoSpacing"/>
                  </w:pPr>
                  <w:r w:rsidRPr="000C4849">
                    <w:t>Manufacture of electrical machinery and apparatus n.e.c.</w:t>
                  </w:r>
                </w:p>
              </w:tc>
            </w:tr>
            <w:tr w:rsidR="0036416A" w:rsidRPr="004F4EE0" w14:paraId="5A5F5EFC" w14:textId="77777777" w:rsidTr="00DB32C0">
              <w:tc>
                <w:tcPr>
                  <w:tcW w:w="828" w:type="dxa"/>
                  <w:vAlign w:val="center"/>
                </w:tcPr>
                <w:p w14:paraId="4191CE1D" w14:textId="77777777" w:rsidR="0036416A" w:rsidRPr="008B0913" w:rsidRDefault="0036416A" w:rsidP="000C4849">
                  <w:pPr>
                    <w:pStyle w:val="NoSpacing"/>
                  </w:pPr>
                  <w:r w:rsidRPr="008B0913">
                    <w:t>27</w:t>
                  </w:r>
                </w:p>
              </w:tc>
              <w:tc>
                <w:tcPr>
                  <w:tcW w:w="1800" w:type="dxa"/>
                  <w:vAlign w:val="center"/>
                </w:tcPr>
                <w:p w14:paraId="119D05FB" w14:textId="77777777" w:rsidR="0036416A" w:rsidRPr="008B0913" w:rsidRDefault="0036416A" w:rsidP="000C4849">
                  <w:pPr>
                    <w:pStyle w:val="NoSpacing"/>
                  </w:pPr>
                  <w:r w:rsidRPr="005E2D04">
                    <w:t>Manufacture of electrical equipment</w:t>
                  </w:r>
                </w:p>
              </w:tc>
              <w:tc>
                <w:tcPr>
                  <w:tcW w:w="720" w:type="dxa"/>
                  <w:vAlign w:val="center"/>
                </w:tcPr>
                <w:p w14:paraId="4FFB20AF" w14:textId="77777777" w:rsidR="0036416A" w:rsidRPr="008B0913" w:rsidRDefault="0036416A" w:rsidP="000C4849">
                  <w:pPr>
                    <w:pStyle w:val="NoSpacing"/>
                  </w:pPr>
                  <w:r>
                    <w:t>32</w:t>
                  </w:r>
                </w:p>
              </w:tc>
              <w:tc>
                <w:tcPr>
                  <w:tcW w:w="1710" w:type="dxa"/>
                  <w:vAlign w:val="center"/>
                </w:tcPr>
                <w:p w14:paraId="7021C3BF" w14:textId="77777777" w:rsidR="0036416A" w:rsidRPr="000C4849" w:rsidRDefault="0036416A" w:rsidP="000C4849">
                  <w:pPr>
                    <w:pStyle w:val="NoSpacing"/>
                  </w:pPr>
                  <w:r w:rsidRPr="000C4849">
                    <w:t>Manufacture of radio, television and communication equipment and apparatus</w:t>
                  </w:r>
                </w:p>
              </w:tc>
            </w:tr>
            <w:tr w:rsidR="0036416A" w:rsidRPr="004F4EE0" w14:paraId="7EA16658" w14:textId="77777777" w:rsidTr="00DB32C0">
              <w:tc>
                <w:tcPr>
                  <w:tcW w:w="828" w:type="dxa"/>
                  <w:vAlign w:val="center"/>
                </w:tcPr>
                <w:p w14:paraId="17CBD945" w14:textId="77777777" w:rsidR="0036416A" w:rsidRPr="008B0913" w:rsidRDefault="0036416A" w:rsidP="000C4849">
                  <w:pPr>
                    <w:pStyle w:val="NoSpacing"/>
                  </w:pPr>
                  <w:r w:rsidRPr="008B0913">
                    <w:t>28</w:t>
                  </w:r>
                </w:p>
              </w:tc>
              <w:tc>
                <w:tcPr>
                  <w:tcW w:w="1800" w:type="dxa"/>
                  <w:vAlign w:val="center"/>
                </w:tcPr>
                <w:p w14:paraId="025AD8E1" w14:textId="77777777" w:rsidR="0036416A" w:rsidRPr="008B0913" w:rsidRDefault="0036416A" w:rsidP="000C4849">
                  <w:pPr>
                    <w:pStyle w:val="NoSpacing"/>
                  </w:pPr>
                  <w:r w:rsidRPr="005E2D04">
                    <w:t>Manufacture of machinery and equipment n.e.c.</w:t>
                  </w:r>
                </w:p>
              </w:tc>
              <w:tc>
                <w:tcPr>
                  <w:tcW w:w="720" w:type="dxa"/>
                  <w:vAlign w:val="center"/>
                </w:tcPr>
                <w:p w14:paraId="723ED4AD" w14:textId="77777777" w:rsidR="0036416A" w:rsidRPr="008B0913" w:rsidRDefault="0036416A" w:rsidP="000C4849">
                  <w:pPr>
                    <w:pStyle w:val="NoSpacing"/>
                  </w:pPr>
                  <w:r>
                    <w:t>33</w:t>
                  </w:r>
                </w:p>
              </w:tc>
              <w:tc>
                <w:tcPr>
                  <w:tcW w:w="1710" w:type="dxa"/>
                  <w:vAlign w:val="center"/>
                </w:tcPr>
                <w:p w14:paraId="6F71DFBE" w14:textId="77777777" w:rsidR="0036416A" w:rsidRPr="000C4849" w:rsidRDefault="0036416A" w:rsidP="000C4849">
                  <w:pPr>
                    <w:pStyle w:val="NoSpacing"/>
                  </w:pPr>
                  <w:r w:rsidRPr="000C4849">
                    <w:t>Manufacture of medical, precision and optical instruments, watches and clocks</w:t>
                  </w:r>
                </w:p>
              </w:tc>
            </w:tr>
            <w:tr w:rsidR="0036416A" w:rsidRPr="008B0913" w14:paraId="4ECB6597" w14:textId="77777777" w:rsidTr="00DB32C0">
              <w:tc>
                <w:tcPr>
                  <w:tcW w:w="828" w:type="dxa"/>
                  <w:vAlign w:val="center"/>
                </w:tcPr>
                <w:p w14:paraId="10E03495" w14:textId="77777777" w:rsidR="0036416A" w:rsidRPr="008B0913" w:rsidRDefault="0036416A" w:rsidP="000C4849">
                  <w:pPr>
                    <w:pStyle w:val="NoSpacing"/>
                  </w:pPr>
                  <w:r w:rsidRPr="008B0913">
                    <w:t>29</w:t>
                  </w:r>
                </w:p>
              </w:tc>
              <w:tc>
                <w:tcPr>
                  <w:tcW w:w="1800" w:type="dxa"/>
                  <w:vAlign w:val="center"/>
                </w:tcPr>
                <w:p w14:paraId="044E004A" w14:textId="77777777" w:rsidR="0036416A" w:rsidRPr="008B0913" w:rsidRDefault="0036416A" w:rsidP="000C4849">
                  <w:pPr>
                    <w:pStyle w:val="NoSpacing"/>
                  </w:pPr>
                  <w:r w:rsidRPr="005E2D04">
                    <w:t>Manufacture of motor vehicles, trailers and semi-trailers</w:t>
                  </w:r>
                </w:p>
              </w:tc>
              <w:tc>
                <w:tcPr>
                  <w:tcW w:w="720" w:type="dxa"/>
                  <w:vAlign w:val="center"/>
                </w:tcPr>
                <w:p w14:paraId="3F6DC749" w14:textId="77777777" w:rsidR="0036416A" w:rsidRPr="008B0913" w:rsidRDefault="0036416A" w:rsidP="000C4849">
                  <w:pPr>
                    <w:pStyle w:val="NoSpacing"/>
                  </w:pPr>
                  <w:r>
                    <w:t>34</w:t>
                  </w:r>
                </w:p>
              </w:tc>
              <w:tc>
                <w:tcPr>
                  <w:tcW w:w="1710" w:type="dxa"/>
                  <w:vAlign w:val="center"/>
                </w:tcPr>
                <w:p w14:paraId="71832265" w14:textId="77777777" w:rsidR="0036416A" w:rsidRPr="000C4849" w:rsidRDefault="0036416A" w:rsidP="000C4849">
                  <w:pPr>
                    <w:pStyle w:val="NoSpacing"/>
                  </w:pPr>
                  <w:r w:rsidRPr="005E2D04">
                    <w:t>Manufacture of motor vehicles, trailers and semi-trailers</w:t>
                  </w:r>
                </w:p>
              </w:tc>
            </w:tr>
            <w:tr w:rsidR="0036416A" w:rsidRPr="007B5CDA" w14:paraId="306E4CE3" w14:textId="77777777" w:rsidTr="00DB32C0">
              <w:tc>
                <w:tcPr>
                  <w:tcW w:w="828" w:type="dxa"/>
                  <w:vAlign w:val="center"/>
                </w:tcPr>
                <w:p w14:paraId="6C053715" w14:textId="77777777" w:rsidR="0036416A" w:rsidRPr="008B0913" w:rsidRDefault="0036416A" w:rsidP="000C4849">
                  <w:pPr>
                    <w:pStyle w:val="NoSpacing"/>
                  </w:pPr>
                  <w:r>
                    <w:t>30*</w:t>
                  </w:r>
                </w:p>
              </w:tc>
              <w:tc>
                <w:tcPr>
                  <w:tcW w:w="1800" w:type="dxa"/>
                  <w:vAlign w:val="center"/>
                </w:tcPr>
                <w:p w14:paraId="1F1F09AE" w14:textId="77777777" w:rsidR="0036416A" w:rsidRPr="008B0913" w:rsidRDefault="0036416A" w:rsidP="000C4849">
                  <w:pPr>
                    <w:pStyle w:val="NoSpacing"/>
                  </w:pPr>
                  <w:r w:rsidRPr="005E2D04">
                    <w:t>Manufacture of other transport equipment</w:t>
                  </w:r>
                  <w:r>
                    <w:tab/>
                  </w:r>
                </w:p>
              </w:tc>
              <w:tc>
                <w:tcPr>
                  <w:tcW w:w="720" w:type="dxa"/>
                  <w:vAlign w:val="center"/>
                </w:tcPr>
                <w:p w14:paraId="04C3252B" w14:textId="77777777" w:rsidR="0036416A" w:rsidRPr="008B0913" w:rsidRDefault="0036416A" w:rsidP="000C4849">
                  <w:pPr>
                    <w:pStyle w:val="NoSpacing"/>
                  </w:pPr>
                  <w:r w:rsidRPr="008B0913">
                    <w:t>35</w:t>
                  </w:r>
                  <w:r>
                    <w:t>**</w:t>
                  </w:r>
                </w:p>
              </w:tc>
              <w:tc>
                <w:tcPr>
                  <w:tcW w:w="1710" w:type="dxa"/>
                  <w:vAlign w:val="center"/>
                </w:tcPr>
                <w:p w14:paraId="4D7584A3" w14:textId="77777777" w:rsidR="0036416A" w:rsidRPr="000C4849" w:rsidRDefault="0036416A" w:rsidP="000C4849">
                  <w:pPr>
                    <w:pStyle w:val="NoSpacing"/>
                  </w:pPr>
                  <w:r w:rsidRPr="000C4849">
                    <w:t>Manufacture of other transport equipment</w:t>
                  </w:r>
                </w:p>
              </w:tc>
            </w:tr>
            <w:tr w:rsidR="0036416A" w:rsidRPr="008B0913" w14:paraId="275D1CB3" w14:textId="77777777" w:rsidTr="00DB32C0">
              <w:tc>
                <w:tcPr>
                  <w:tcW w:w="828" w:type="dxa"/>
                  <w:vAlign w:val="center"/>
                </w:tcPr>
                <w:p w14:paraId="12887AFB" w14:textId="77777777" w:rsidR="0036416A" w:rsidRDefault="0036416A" w:rsidP="000C4849">
                  <w:pPr>
                    <w:pStyle w:val="NoSpacing"/>
                  </w:pPr>
                  <w:r>
                    <w:t>325</w:t>
                  </w:r>
                </w:p>
              </w:tc>
              <w:tc>
                <w:tcPr>
                  <w:tcW w:w="1800" w:type="dxa"/>
                  <w:vAlign w:val="center"/>
                </w:tcPr>
                <w:p w14:paraId="18E2B2D9" w14:textId="77777777" w:rsidR="0036416A" w:rsidRPr="005E2D04" w:rsidRDefault="0036416A" w:rsidP="000C4849">
                  <w:pPr>
                    <w:pStyle w:val="NoSpacing"/>
                  </w:pPr>
                  <w:r w:rsidRPr="00042C00">
                    <w:t>Manufacture of medical and dental instruments and supplies</w:t>
                  </w:r>
                </w:p>
              </w:tc>
              <w:tc>
                <w:tcPr>
                  <w:tcW w:w="720" w:type="dxa"/>
                  <w:vAlign w:val="center"/>
                </w:tcPr>
                <w:p w14:paraId="4BF3E322" w14:textId="77777777" w:rsidR="0036416A" w:rsidRPr="008B0913" w:rsidRDefault="0036416A" w:rsidP="000C4849">
                  <w:pPr>
                    <w:pStyle w:val="NoSpacing"/>
                  </w:pPr>
                </w:p>
              </w:tc>
              <w:tc>
                <w:tcPr>
                  <w:tcW w:w="1710" w:type="dxa"/>
                  <w:vAlign w:val="center"/>
                </w:tcPr>
                <w:p w14:paraId="665D60F2" w14:textId="77777777" w:rsidR="0036416A" w:rsidRPr="000C4849" w:rsidRDefault="0036416A" w:rsidP="000C4849">
                  <w:pPr>
                    <w:pStyle w:val="NoSpacing"/>
                  </w:pPr>
                </w:p>
              </w:tc>
            </w:tr>
          </w:tbl>
          <w:p w14:paraId="3A22D160" w14:textId="77777777" w:rsidR="0036416A" w:rsidRDefault="0036416A" w:rsidP="0036416A">
            <w:pPr>
              <w:pStyle w:val="NoSpacing"/>
            </w:pPr>
          </w:p>
          <w:p w14:paraId="6E8A3346" w14:textId="00E5094D" w:rsidR="0036416A" w:rsidRDefault="0036416A" w:rsidP="0036416A">
            <w:pPr>
              <w:pStyle w:val="NoSpacing"/>
            </w:pPr>
            <w:r>
              <w:lastRenderedPageBreak/>
              <w:tab/>
            </w:r>
          </w:p>
          <w:p w14:paraId="46DE01B6" w14:textId="77777777" w:rsidR="0036416A" w:rsidRDefault="0036416A" w:rsidP="0036416A">
            <w:pPr>
              <w:pStyle w:val="NoSpacing"/>
            </w:pPr>
            <w:r>
              <w:t>* Excluding 301 (Building of ships and boats)</w:t>
            </w:r>
          </w:p>
          <w:p w14:paraId="4DF47191" w14:textId="77777777" w:rsidR="0036416A" w:rsidRDefault="0036416A" w:rsidP="0036416A">
            <w:pPr>
              <w:pStyle w:val="NoSpacing"/>
            </w:pPr>
            <w:r>
              <w:t>** Excluding 351 (Building and repairing of ships and boats)</w:t>
            </w:r>
          </w:p>
          <w:p w14:paraId="35B5A856" w14:textId="77777777" w:rsidR="0036416A" w:rsidRDefault="0036416A" w:rsidP="0036416A">
            <w:pPr>
              <w:pStyle w:val="NoSpacing"/>
            </w:pPr>
          </w:p>
          <w:p w14:paraId="1507AADC" w14:textId="77777777" w:rsidR="0036416A" w:rsidRDefault="0036416A" w:rsidP="0036416A">
            <w:pPr>
              <w:pStyle w:val="NoSpacing"/>
            </w:pPr>
            <w:r>
              <w:t xml:space="preserve">MVA is the value added of manufacturing industry, which is Section C of ISIC Rev.4, and Section D of ISIC Rev.3. </w:t>
            </w:r>
          </w:p>
          <w:p w14:paraId="62327590" w14:textId="77777777" w:rsidR="0036416A" w:rsidRDefault="0036416A" w:rsidP="0036416A">
            <w:pPr>
              <w:pStyle w:val="NoSpacing"/>
            </w:pPr>
          </w:p>
          <w:p w14:paraId="44D505A1" w14:textId="77777777" w:rsidR="0036416A" w:rsidRDefault="0036416A" w:rsidP="0036416A">
            <w:pPr>
              <w:pStyle w:val="NoSpacing"/>
            </w:pPr>
            <w:r>
              <w:t>Comments and limitations:</w:t>
            </w:r>
          </w:p>
          <w:p w14:paraId="3B45D60B" w14:textId="77777777" w:rsidR="0036416A" w:rsidRDefault="0036416A" w:rsidP="0036416A">
            <w:pPr>
              <w:pStyle w:val="NoSpacing"/>
            </w:pPr>
          </w:p>
          <w:p w14:paraId="013134B3" w14:textId="77777777" w:rsidR="0036416A" w:rsidRDefault="0036416A" w:rsidP="0036416A">
            <w:pPr>
              <w:pStyle w:val="NoSpacing"/>
            </w:pPr>
            <w:r>
              <w:t>Value added by economic activity should be reported at least at 3-digit ISIC for compiling MHT values.</w:t>
            </w:r>
          </w:p>
          <w:p w14:paraId="57BF5C31" w14:textId="77777777" w:rsidR="0036416A" w:rsidRDefault="0036416A" w:rsidP="0036416A">
            <w:pPr>
              <w:pStyle w:val="NoSpacing"/>
            </w:pPr>
          </w:p>
          <w:p w14:paraId="6340A13C" w14:textId="77777777" w:rsidR="0036416A" w:rsidRDefault="0036416A" w:rsidP="0036416A">
            <w:pPr>
              <w:pStyle w:val="NoSpacing"/>
            </w:pPr>
            <w:r>
              <w:t>Computation Method:</w:t>
            </w:r>
          </w:p>
          <w:p w14:paraId="41767382" w14:textId="77777777" w:rsidR="0036416A" w:rsidRDefault="0036416A" w:rsidP="0036416A">
            <w:pPr>
              <w:pStyle w:val="NoSpacing"/>
            </w:pPr>
          </w:p>
          <w:p w14:paraId="783A0D9A" w14:textId="77777777" w:rsidR="0036416A" w:rsidRDefault="0036416A" w:rsidP="0036416A">
            <w:pPr>
              <w:pStyle w:val="NoSpacing"/>
            </w:pPr>
            <w:r>
              <w:t>The indicator is calculated as the share of the sum of the value added from MHT economic activities to MVA.</w:t>
            </w:r>
          </w:p>
          <w:p w14:paraId="6628C2CE" w14:textId="77777777" w:rsidR="0036416A" w:rsidRDefault="004B4A24" w:rsidP="0036416A">
            <w:pPr>
              <w:pStyle w:val="NoSpacing"/>
            </w:pPr>
            <m:oMathPara>
              <m:oMath>
                <m:f>
                  <m:fPr>
                    <m:ctrlPr>
                      <w:rPr>
                        <w:rFonts w:ascii="Cambria Math" w:hAnsi="Cambria Math"/>
                      </w:rPr>
                    </m:ctrlPr>
                  </m:fPr>
                  <m:num>
                    <m:r>
                      <m:rPr>
                        <m:sty m:val="p"/>
                      </m:rPr>
                      <w:rPr>
                        <w:rFonts w:ascii="Cambria Math" w:hAnsi="Cambria Math"/>
                      </w:rPr>
                      <m:t>Sum of value added in MHT economic activities</m:t>
                    </m:r>
                  </m:num>
                  <m:den>
                    <m:r>
                      <m:rPr>
                        <m:sty m:val="p"/>
                      </m:rPr>
                      <w:rPr>
                        <w:rFonts w:ascii="Cambria Math" w:hAnsi="Cambria Math"/>
                      </w:rPr>
                      <m:t>MVA</m:t>
                    </m:r>
                  </m:den>
                </m:f>
                <m:r>
                  <m:rPr>
                    <m:sty m:val="p"/>
                  </m:rPr>
                  <w:rPr>
                    <w:rFonts w:ascii="Cambria Math" w:hAnsi="Cambria Math"/>
                  </w:rPr>
                  <m:t>*100</m:t>
                </m:r>
              </m:oMath>
            </m:oMathPara>
          </w:p>
          <w:p w14:paraId="44C64E66" w14:textId="6777FF85" w:rsidR="0036416A" w:rsidRDefault="0036416A" w:rsidP="0036416A">
            <w:pPr>
              <w:pStyle w:val="NoSpacing"/>
            </w:pPr>
          </w:p>
        </w:tc>
        <w:tc>
          <w:tcPr>
            <w:tcW w:w="0" w:type="auto"/>
          </w:tcPr>
          <w:p w14:paraId="06BA78AC" w14:textId="77777777" w:rsidR="0036416A" w:rsidRDefault="0036416A" w:rsidP="0036416A">
            <w:pPr>
              <w:pStyle w:val="NoSpacing"/>
            </w:pPr>
            <w:r w:rsidRPr="00873FDE">
              <w:rPr>
                <w:szCs w:val="20"/>
              </w:rPr>
              <w:lastRenderedPageBreak/>
              <w:t>The indicator is calculated as the share of the sum of the value added of MHT sectors to the total value added of manufacturing.</w:t>
            </w:r>
          </w:p>
        </w:tc>
        <w:tc>
          <w:tcPr>
            <w:tcW w:w="0" w:type="auto"/>
          </w:tcPr>
          <w:p w14:paraId="3AB41B40" w14:textId="77777777" w:rsidR="0036416A" w:rsidRPr="006E2391" w:rsidRDefault="0036416A" w:rsidP="0036416A">
            <w:pPr>
              <w:pStyle w:val="NoSpacing"/>
            </w:pPr>
            <w:r w:rsidRPr="006E2391">
              <w:t>National statistical offices</w:t>
            </w:r>
            <w:r>
              <w:t xml:space="preserve"> (NSOs) in non-OECD countries, and OECD countries by OECD</w:t>
            </w:r>
          </w:p>
          <w:p w14:paraId="2A864C01" w14:textId="77777777" w:rsidR="0036416A" w:rsidRPr="00FB0F6F" w:rsidRDefault="0036416A" w:rsidP="0036416A">
            <w:pPr>
              <w:pStyle w:val="NoSpacing"/>
            </w:pPr>
          </w:p>
        </w:tc>
        <w:tc>
          <w:tcPr>
            <w:tcW w:w="0" w:type="auto"/>
          </w:tcPr>
          <w:p w14:paraId="7D1E8F76" w14:textId="77777777" w:rsidR="0036416A" w:rsidRDefault="0036416A" w:rsidP="0036416A">
            <w:pPr>
              <w:pStyle w:val="NoSpacing"/>
            </w:pPr>
            <w:r>
              <w:t xml:space="preserve">BBS </w:t>
            </w:r>
          </w:p>
          <w:p w14:paraId="18729E8D" w14:textId="77777777" w:rsidR="0036416A" w:rsidRDefault="0036416A" w:rsidP="0036416A">
            <w:pPr>
              <w:pStyle w:val="NoSpacing"/>
            </w:pPr>
            <w:r>
              <w:t>NAW</w:t>
            </w:r>
          </w:p>
        </w:tc>
        <w:tc>
          <w:tcPr>
            <w:tcW w:w="0" w:type="auto"/>
          </w:tcPr>
          <w:p w14:paraId="0039444B" w14:textId="77777777" w:rsidR="0036416A" w:rsidRDefault="0036416A" w:rsidP="0036416A">
            <w:pPr>
              <w:pStyle w:val="NoSpacing"/>
            </w:pPr>
            <w:r>
              <w:t xml:space="preserve">BBS </w:t>
            </w:r>
          </w:p>
          <w:p w14:paraId="2FFDA626" w14:textId="77777777" w:rsidR="0036416A" w:rsidRDefault="0036416A" w:rsidP="0036416A">
            <w:pPr>
              <w:ind w:left="970" w:hanging="970"/>
              <w:jc w:val="both"/>
              <w:rPr>
                <w:color w:val="0070C0"/>
                <w:sz w:val="30"/>
                <w:szCs w:val="30"/>
              </w:rPr>
            </w:pPr>
            <w:r>
              <w:t>NAW</w:t>
            </w:r>
          </w:p>
        </w:tc>
        <w:tc>
          <w:tcPr>
            <w:tcW w:w="0" w:type="auto"/>
          </w:tcPr>
          <w:p w14:paraId="30DBBC6D" w14:textId="77777777" w:rsidR="0036416A" w:rsidRDefault="0036416A" w:rsidP="0036416A">
            <w:pPr>
              <w:ind w:left="970" w:hanging="970"/>
              <w:jc w:val="both"/>
              <w:rPr>
                <w:color w:val="0070C0"/>
                <w:sz w:val="30"/>
                <w:szCs w:val="30"/>
              </w:rPr>
            </w:pPr>
            <w:r>
              <w:rPr>
                <w:szCs w:val="22"/>
              </w:rPr>
              <w:t>Not Applicable</w:t>
            </w:r>
          </w:p>
        </w:tc>
        <w:tc>
          <w:tcPr>
            <w:tcW w:w="0" w:type="auto"/>
          </w:tcPr>
          <w:p w14:paraId="78D8616F" w14:textId="77777777" w:rsidR="0036416A" w:rsidRPr="00BD5DAE" w:rsidRDefault="0036416A" w:rsidP="0036416A">
            <w:pPr>
              <w:jc w:val="center"/>
              <w:rPr>
                <w:rFonts w:cs="Times New Roman"/>
                <w:szCs w:val="20"/>
              </w:rPr>
            </w:pPr>
            <w:r w:rsidRPr="00BC6F10">
              <w:t>Annual</w:t>
            </w:r>
          </w:p>
        </w:tc>
        <w:tc>
          <w:tcPr>
            <w:tcW w:w="0" w:type="auto"/>
          </w:tcPr>
          <w:p w14:paraId="201ED63D" w14:textId="77777777" w:rsidR="0036416A" w:rsidRDefault="0036416A" w:rsidP="0036416A">
            <w:pPr>
              <w:ind w:left="970" w:hanging="970"/>
              <w:jc w:val="both"/>
              <w:rPr>
                <w:color w:val="0070C0"/>
                <w:sz w:val="30"/>
                <w:szCs w:val="30"/>
              </w:rPr>
            </w:pPr>
            <w:r>
              <w:t>Group 1</w:t>
            </w:r>
          </w:p>
        </w:tc>
        <w:tc>
          <w:tcPr>
            <w:tcW w:w="0" w:type="auto"/>
          </w:tcPr>
          <w:p w14:paraId="7207F3D2" w14:textId="77777777" w:rsidR="0036416A" w:rsidRDefault="0036416A" w:rsidP="0036416A">
            <w:pPr>
              <w:pStyle w:val="NoSpacing"/>
            </w:pPr>
            <w:r>
              <w:t>1</w:t>
            </w:r>
            <w:r w:rsidRPr="00013ACB">
              <w:rPr>
                <w:vertAlign w:val="superscript"/>
              </w:rPr>
              <w:t>st</w:t>
            </w:r>
            <w:r>
              <w:t xml:space="preserve"> Round: </w:t>
            </w:r>
          </w:p>
          <w:p w14:paraId="3621A2A5" w14:textId="77777777" w:rsidR="0036416A" w:rsidRDefault="0036416A" w:rsidP="0036416A">
            <w:pPr>
              <w:pStyle w:val="NoSpacing"/>
            </w:pPr>
            <w:r w:rsidRPr="00CA542A">
              <w:t>December,</w:t>
            </w:r>
            <w:r w:rsidRPr="00CA542A">
              <w:br/>
              <w:t>2019</w:t>
            </w:r>
          </w:p>
          <w:p w14:paraId="43696863" w14:textId="77777777" w:rsidR="0036416A" w:rsidRDefault="0036416A" w:rsidP="0036416A">
            <w:pPr>
              <w:pStyle w:val="NoSpacing"/>
            </w:pPr>
          </w:p>
          <w:p w14:paraId="3DD66CA4" w14:textId="77777777" w:rsidR="0036416A" w:rsidRDefault="0036416A" w:rsidP="0036416A">
            <w:pPr>
              <w:pStyle w:val="NoSpacing"/>
            </w:pPr>
            <w:r>
              <w:t>2</w:t>
            </w:r>
            <w:r w:rsidRPr="00013ACB">
              <w:rPr>
                <w:vertAlign w:val="superscript"/>
              </w:rPr>
              <w:t>nd</w:t>
            </w:r>
            <w:r>
              <w:t xml:space="preserve"> Round: </w:t>
            </w:r>
          </w:p>
          <w:p w14:paraId="66129EC6" w14:textId="77777777" w:rsidR="0036416A" w:rsidRDefault="0036416A" w:rsidP="0036416A">
            <w:pPr>
              <w:pStyle w:val="NoSpacing"/>
            </w:pPr>
            <w:r>
              <w:t>December, 2020</w:t>
            </w:r>
          </w:p>
          <w:p w14:paraId="736211E8" w14:textId="77777777" w:rsidR="0036416A" w:rsidRDefault="0036416A" w:rsidP="0036416A">
            <w:pPr>
              <w:pStyle w:val="NoSpacing"/>
            </w:pPr>
          </w:p>
          <w:p w14:paraId="1455D46A" w14:textId="77777777" w:rsidR="0036416A" w:rsidRDefault="0036416A" w:rsidP="0036416A">
            <w:pPr>
              <w:pStyle w:val="NoSpacing"/>
            </w:pPr>
            <w:r>
              <w:t>3</w:t>
            </w:r>
            <w:r w:rsidRPr="00013ACB">
              <w:rPr>
                <w:vertAlign w:val="superscript"/>
              </w:rPr>
              <w:t>rd</w:t>
            </w:r>
            <w:r>
              <w:t xml:space="preserve"> Round: </w:t>
            </w:r>
          </w:p>
          <w:p w14:paraId="3BC2A5F9" w14:textId="77777777" w:rsidR="0036416A" w:rsidRDefault="0036416A" w:rsidP="0036416A">
            <w:pPr>
              <w:pStyle w:val="NoSpacing"/>
            </w:pPr>
            <w:r>
              <w:t>December, 2021</w:t>
            </w:r>
          </w:p>
          <w:p w14:paraId="35661587" w14:textId="77777777" w:rsidR="0036416A" w:rsidRDefault="0036416A" w:rsidP="0036416A">
            <w:pPr>
              <w:pStyle w:val="NoSpacing"/>
            </w:pPr>
          </w:p>
          <w:p w14:paraId="2854AE3E" w14:textId="77777777" w:rsidR="0036416A" w:rsidRDefault="0036416A" w:rsidP="0036416A">
            <w:pPr>
              <w:pStyle w:val="NoSpacing"/>
            </w:pPr>
            <w:r>
              <w:t>4</w:t>
            </w:r>
            <w:r w:rsidRPr="00013ACB">
              <w:rPr>
                <w:vertAlign w:val="superscript"/>
              </w:rPr>
              <w:t>th</w:t>
            </w:r>
            <w:r>
              <w:t xml:space="preserve"> Round: </w:t>
            </w:r>
          </w:p>
          <w:p w14:paraId="53AD3DF7" w14:textId="77777777" w:rsidR="0036416A" w:rsidRDefault="0036416A" w:rsidP="0036416A">
            <w:pPr>
              <w:pStyle w:val="NoSpacing"/>
            </w:pPr>
            <w:r>
              <w:t>December, 2022</w:t>
            </w:r>
          </w:p>
          <w:p w14:paraId="382F0479" w14:textId="77777777" w:rsidR="0036416A" w:rsidRDefault="0036416A" w:rsidP="0036416A">
            <w:pPr>
              <w:pStyle w:val="NoSpacing"/>
            </w:pPr>
          </w:p>
          <w:p w14:paraId="7ECB6454" w14:textId="77777777" w:rsidR="0036416A" w:rsidRDefault="0036416A" w:rsidP="0036416A">
            <w:pPr>
              <w:pStyle w:val="NoSpacing"/>
            </w:pPr>
            <w:r>
              <w:lastRenderedPageBreak/>
              <w:t>5</w:t>
            </w:r>
            <w:r w:rsidRPr="00013ACB">
              <w:rPr>
                <w:vertAlign w:val="superscript"/>
              </w:rPr>
              <w:t>th</w:t>
            </w:r>
            <w:r>
              <w:t xml:space="preserve"> Round: </w:t>
            </w:r>
          </w:p>
          <w:p w14:paraId="5BD4EA91" w14:textId="77777777" w:rsidR="0036416A" w:rsidRDefault="0036416A" w:rsidP="0036416A">
            <w:pPr>
              <w:pStyle w:val="NoSpacing"/>
            </w:pPr>
            <w:r>
              <w:t>December, 2023</w:t>
            </w:r>
          </w:p>
          <w:p w14:paraId="5A0D9FD3" w14:textId="01927DAB" w:rsidR="0036416A" w:rsidRDefault="0036416A" w:rsidP="0036416A">
            <w:pPr>
              <w:pStyle w:val="NoSpacing"/>
            </w:pPr>
          </w:p>
        </w:tc>
        <w:tc>
          <w:tcPr>
            <w:tcW w:w="0" w:type="auto"/>
          </w:tcPr>
          <w:p w14:paraId="57B94E4C" w14:textId="77777777" w:rsidR="0036416A" w:rsidRDefault="0036416A" w:rsidP="0036416A">
            <w:pPr>
              <w:pStyle w:val="NoSpacing"/>
            </w:pPr>
            <w:r w:rsidRPr="002F2586">
              <w:lastRenderedPageBreak/>
              <w:t>Data availability reviewed in Nov. 2017 (classified as Tier I)</w:t>
            </w:r>
          </w:p>
        </w:tc>
      </w:tr>
      <w:tr w:rsidR="0025292C" w14:paraId="43F0BC42" w14:textId="77777777" w:rsidTr="00D52BCB">
        <w:tc>
          <w:tcPr>
            <w:tcW w:w="0" w:type="auto"/>
            <w:gridSpan w:val="13"/>
          </w:tcPr>
          <w:p w14:paraId="6FF277F4" w14:textId="77777777" w:rsidR="0025292C" w:rsidRDefault="0025292C" w:rsidP="0036416A">
            <w:pPr>
              <w:rPr>
                <w:color w:val="FF0000"/>
                <w:sz w:val="32"/>
                <w:szCs w:val="32"/>
              </w:rPr>
            </w:pPr>
            <w:r>
              <w:rPr>
                <w:color w:val="0070C0"/>
                <w:sz w:val="30"/>
                <w:szCs w:val="30"/>
              </w:rPr>
              <w:lastRenderedPageBreak/>
              <w:t xml:space="preserve">Target </w:t>
            </w:r>
            <w:r w:rsidRPr="00C97C3C">
              <w:rPr>
                <w:color w:val="0070C0"/>
                <w:sz w:val="30"/>
                <w:szCs w:val="30"/>
              </w:rPr>
              <w:t>9.c Significantly increase access to information and communications technology and strive to provide universal and affordable access to the Internet in least developed countries by 2020</w:t>
            </w:r>
          </w:p>
        </w:tc>
      </w:tr>
      <w:tr w:rsidR="0036416A" w14:paraId="5C58644F" w14:textId="77777777" w:rsidTr="00DB32C0">
        <w:tc>
          <w:tcPr>
            <w:tcW w:w="0" w:type="auto"/>
          </w:tcPr>
          <w:p w14:paraId="05730A1F" w14:textId="77777777" w:rsidR="0036416A" w:rsidRPr="000706B4" w:rsidRDefault="0036416A" w:rsidP="0036416A">
            <w:pPr>
              <w:pStyle w:val="NoSpacing"/>
            </w:pPr>
            <w:r w:rsidRPr="000706B4">
              <w:t>9.c.1 Proportion of population covered by a mobile network, by technology</w:t>
            </w:r>
          </w:p>
        </w:tc>
        <w:tc>
          <w:tcPr>
            <w:tcW w:w="0" w:type="auto"/>
          </w:tcPr>
          <w:p w14:paraId="2957E815" w14:textId="77777777" w:rsidR="0036416A" w:rsidRDefault="0036416A" w:rsidP="0036416A">
            <w:pPr>
              <w:pStyle w:val="NoSpacing"/>
            </w:pPr>
            <w:r w:rsidRPr="007A7507">
              <w:t>ITU</w:t>
            </w:r>
          </w:p>
          <w:p w14:paraId="2C6F3689" w14:textId="77777777" w:rsidR="0036416A" w:rsidRDefault="0036416A" w:rsidP="0036416A">
            <w:pPr>
              <w:rPr>
                <w:color w:val="0070C0"/>
                <w:sz w:val="30"/>
                <w:szCs w:val="30"/>
              </w:rPr>
            </w:pPr>
          </w:p>
        </w:tc>
        <w:tc>
          <w:tcPr>
            <w:tcW w:w="0" w:type="auto"/>
          </w:tcPr>
          <w:p w14:paraId="418BF57E" w14:textId="77777777" w:rsidR="0036416A" w:rsidRDefault="0036416A" w:rsidP="0036416A">
            <w:pPr>
              <w:ind w:left="970" w:hanging="970"/>
              <w:jc w:val="both"/>
              <w:rPr>
                <w:color w:val="0070C0"/>
                <w:sz w:val="30"/>
                <w:szCs w:val="30"/>
              </w:rPr>
            </w:pPr>
            <w:r>
              <w:t>Tier I</w:t>
            </w:r>
          </w:p>
        </w:tc>
        <w:tc>
          <w:tcPr>
            <w:tcW w:w="0" w:type="auto"/>
          </w:tcPr>
          <w:p w14:paraId="3155C6CE" w14:textId="77777777" w:rsidR="0036416A" w:rsidRDefault="0036416A" w:rsidP="0036416A">
            <w:pPr>
              <w:pStyle w:val="NoSpacing"/>
            </w:pPr>
            <w:r>
              <w:t>Definition:</w:t>
            </w:r>
          </w:p>
          <w:p w14:paraId="42B8931E" w14:textId="77777777" w:rsidR="0036416A" w:rsidRDefault="0036416A" w:rsidP="0036416A">
            <w:pPr>
              <w:pStyle w:val="NoSpacing"/>
            </w:pPr>
          </w:p>
          <w:p w14:paraId="3DF0CE46" w14:textId="77777777" w:rsidR="0036416A" w:rsidRDefault="0036416A" w:rsidP="0036416A">
            <w:pPr>
              <w:pStyle w:val="NoSpacing"/>
            </w:pPr>
            <w:r>
              <w:t>Proportion of population covered by a mobile network, broken down by technology, refers to the percentage of inhabitants living within range of a mobile-cellular signal, irrespective of whether or not they are mobile phone subscribers or users. This is calculated by dividing the number of inhabitants within range of a mobile-cellular signal by the total population and multiplying by 100.</w:t>
            </w:r>
          </w:p>
          <w:p w14:paraId="5A262E3E" w14:textId="77777777" w:rsidR="0036416A" w:rsidRDefault="0036416A" w:rsidP="0036416A">
            <w:pPr>
              <w:pStyle w:val="NoSpacing"/>
            </w:pPr>
          </w:p>
          <w:p w14:paraId="05C8E010" w14:textId="77777777" w:rsidR="0036416A" w:rsidRDefault="0036416A" w:rsidP="0036416A">
            <w:pPr>
              <w:pStyle w:val="NoSpacing"/>
            </w:pPr>
            <w:r>
              <w:t>Concepts:</w:t>
            </w:r>
          </w:p>
          <w:p w14:paraId="064869A2" w14:textId="77777777" w:rsidR="0036416A" w:rsidRDefault="0036416A" w:rsidP="0036416A">
            <w:pPr>
              <w:pStyle w:val="NoSpacing"/>
            </w:pPr>
          </w:p>
          <w:p w14:paraId="23091896" w14:textId="77777777" w:rsidR="0036416A" w:rsidRDefault="0036416A" w:rsidP="0036416A">
            <w:pPr>
              <w:pStyle w:val="NoSpacing"/>
            </w:pPr>
            <w:r>
              <w:t>"The indicator is based on where the population lives, and not where they work or go to school, etc. When there are multiple operators offering the service, the maximum population number covered should be reported. Coverage should refer to LTE, broadband (3G) and narrowband (2G) mobile-cellular technologies and include:</w:t>
            </w:r>
          </w:p>
          <w:p w14:paraId="2F00F6D4" w14:textId="77777777" w:rsidR="0036416A" w:rsidRDefault="0036416A" w:rsidP="0036416A">
            <w:pPr>
              <w:pStyle w:val="NoSpacing"/>
            </w:pPr>
          </w:p>
          <w:p w14:paraId="5309EFAB" w14:textId="77777777" w:rsidR="0036416A" w:rsidRDefault="0036416A" w:rsidP="0036416A">
            <w:pPr>
              <w:pStyle w:val="NoSpacing"/>
            </w:pPr>
            <w:r>
              <w:t>- 2G mobile population coverage: Mobile networks with access to data communications (e.g. Internet) at downstream speeds below 256 Kbit/s. This includes mobile-cellular technologies such as GPRS, CDMA2000 1x and most EDGE implementations. The indicator refers to the theoretical ability of subscribers to use non-broadband speed mobile data services, rather than the number of active users of such services.</w:t>
            </w:r>
          </w:p>
          <w:p w14:paraId="3F3C45FE" w14:textId="77777777" w:rsidR="0036416A" w:rsidRDefault="0036416A" w:rsidP="0036416A">
            <w:pPr>
              <w:pStyle w:val="NoSpacing"/>
            </w:pPr>
          </w:p>
          <w:p w14:paraId="0655F712" w14:textId="77777777" w:rsidR="0036416A" w:rsidRDefault="0036416A" w:rsidP="0036416A">
            <w:pPr>
              <w:pStyle w:val="NoSpacing"/>
            </w:pPr>
            <w:r>
              <w:t>- 3G population coverage: refers to the percentage of inhabitants that are within range of at least a 3G mobile-cellular signal, irrespective of whether or not they are subscribers. This is calculated by dividing the number of inhabitants that are covered by at least a 3G mobile-cellular signal by the total population and multiplying by 100. It excludes people covered only by GPRS, EDGE or CDMA 1xRTT.</w:t>
            </w:r>
          </w:p>
          <w:p w14:paraId="2AF42031" w14:textId="77777777" w:rsidR="0036416A" w:rsidRDefault="0036416A" w:rsidP="0036416A">
            <w:pPr>
              <w:pStyle w:val="NoSpacing"/>
            </w:pPr>
          </w:p>
          <w:p w14:paraId="7283C98B" w14:textId="77777777" w:rsidR="0036416A" w:rsidRDefault="0036416A" w:rsidP="0036416A">
            <w:pPr>
              <w:pStyle w:val="NoSpacing"/>
            </w:pPr>
            <w:r>
              <w:t>- LTE population coverage: Refers to the percentage of inhabitants that live within range of LTE/LTE-Advanced, mobile WiMAX/WirelessMAN or other more advanced mobile-cellular networks, irrespective of whether or not they are subscribers. This is calculated by dividing the number of inhabitants that are covered by the previously mentioned mobile-cellular technologies by the total population and multiplying by 100. It excludes people covered only by HSPA, UMTS, EV-DO and previous 3G technologies, and also excludes fixed WiMAX coverage.</w:t>
            </w:r>
          </w:p>
          <w:p w14:paraId="44D7E038" w14:textId="77777777" w:rsidR="0036416A" w:rsidRDefault="0036416A" w:rsidP="0036416A">
            <w:pPr>
              <w:pStyle w:val="NoSpacing"/>
            </w:pPr>
          </w:p>
          <w:p w14:paraId="28C18E99" w14:textId="77777777" w:rsidR="0036416A" w:rsidRDefault="0036416A" w:rsidP="0036416A">
            <w:pPr>
              <w:pStyle w:val="NoSpacing"/>
            </w:pPr>
            <w:r>
              <w:t>As technologies evolve and as more and more countries will deploy and commercialize more advanced mobile-broadband networks (5G etc.), the indicator will include further breakdowns."</w:t>
            </w:r>
          </w:p>
          <w:p w14:paraId="24885DA6" w14:textId="77777777" w:rsidR="0036416A" w:rsidRDefault="0036416A" w:rsidP="0036416A">
            <w:pPr>
              <w:pStyle w:val="NoSpacing"/>
            </w:pPr>
          </w:p>
          <w:p w14:paraId="1E7D6985" w14:textId="77777777" w:rsidR="0036416A" w:rsidRDefault="0036416A" w:rsidP="0036416A">
            <w:pPr>
              <w:pStyle w:val="NoSpacing"/>
            </w:pPr>
            <w:r>
              <w:t>Comments and limitations:</w:t>
            </w:r>
          </w:p>
          <w:p w14:paraId="4C45E058" w14:textId="77777777" w:rsidR="0036416A" w:rsidRDefault="0036416A" w:rsidP="0036416A">
            <w:pPr>
              <w:pStyle w:val="NoSpacing"/>
            </w:pPr>
          </w:p>
          <w:p w14:paraId="2FBC5F52" w14:textId="77777777" w:rsidR="0036416A" w:rsidRDefault="0036416A" w:rsidP="0036416A">
            <w:pPr>
              <w:pStyle w:val="NoSpacing"/>
            </w:pPr>
            <w:r>
              <w:t>Some countries have difficulty calculating overall mobile-cellular population coverage. In some cases, data refer only to the operator with the largest coverage, and this may understate the true coverage.</w:t>
            </w:r>
          </w:p>
          <w:p w14:paraId="68A18DF9" w14:textId="77777777" w:rsidR="0036416A" w:rsidRDefault="0036416A" w:rsidP="0036416A">
            <w:pPr>
              <w:pStyle w:val="NoSpacing"/>
            </w:pPr>
          </w:p>
          <w:p w14:paraId="18D08AB6" w14:textId="77777777" w:rsidR="0036416A" w:rsidRDefault="0036416A" w:rsidP="0036416A">
            <w:pPr>
              <w:pStyle w:val="NoSpacing"/>
            </w:pPr>
            <w:r>
              <w:t>Computation Method:</w:t>
            </w:r>
          </w:p>
          <w:p w14:paraId="13662842" w14:textId="77777777" w:rsidR="0036416A" w:rsidRDefault="0036416A" w:rsidP="0036416A">
            <w:pPr>
              <w:pStyle w:val="NoSpacing"/>
            </w:pPr>
          </w:p>
          <w:p w14:paraId="51233209" w14:textId="77777777" w:rsidR="0036416A" w:rsidRDefault="0036416A" w:rsidP="0036416A">
            <w:pPr>
              <w:pStyle w:val="NoSpacing"/>
            </w:pPr>
            <w:r>
              <w:t>The indicator percentage of the population covered by a mobile network, broken down by technology, refers to the percentage of inhabitants living within range of a mobile-cellular signal, irrespective of whether or not they are mobile phone subscribers or users. This is calculated by dividing the number of inhabitants within range of a mobile-cellular signal by the total population and multiplying by 100.</w:t>
            </w:r>
          </w:p>
        </w:tc>
        <w:tc>
          <w:tcPr>
            <w:tcW w:w="0" w:type="auto"/>
          </w:tcPr>
          <w:p w14:paraId="4E4356BD" w14:textId="77777777" w:rsidR="0036416A" w:rsidRPr="00873FDE" w:rsidRDefault="0036416A" w:rsidP="0036416A">
            <w:pPr>
              <w:pStyle w:val="NoSpacing"/>
            </w:pPr>
            <w:r w:rsidRPr="00873FDE">
              <w:lastRenderedPageBreak/>
              <w:t xml:space="preserve">The indicator percentage of the population covered by a mobile network, broken down by technology, refers to the percentage of inhabitants living within range of a mobile-cellular signal, irrespective of whether or not they are mobile phone subscribers or users. This is </w:t>
            </w:r>
            <w:r w:rsidRPr="00873FDE">
              <w:lastRenderedPageBreak/>
              <w:t>calculated by dividing the number of inhabitants within range of a mobile-cellular signal by the total population and multiplying by 100.</w:t>
            </w:r>
          </w:p>
        </w:tc>
        <w:tc>
          <w:tcPr>
            <w:tcW w:w="0" w:type="auto"/>
          </w:tcPr>
          <w:p w14:paraId="086377D7" w14:textId="77777777" w:rsidR="0036416A" w:rsidRPr="00FB0F6F" w:rsidRDefault="0036416A" w:rsidP="0036416A">
            <w:pPr>
              <w:pStyle w:val="NoSpacing"/>
              <w:rPr>
                <w:lang w:val="en-GB"/>
              </w:rPr>
            </w:pPr>
            <w:r w:rsidRPr="00FB0F6F">
              <w:rPr>
                <w:lang w:val="en-GB"/>
              </w:rPr>
              <w:lastRenderedPageBreak/>
              <w:t xml:space="preserve">Telecommunication/ICT regulatory </w:t>
            </w:r>
            <w:proofErr w:type="gramStart"/>
            <w:r w:rsidRPr="00FB0F6F">
              <w:rPr>
                <w:lang w:val="en-GB"/>
              </w:rPr>
              <w:t>authority,</w:t>
            </w:r>
            <w:proofErr w:type="gramEnd"/>
            <w:r w:rsidRPr="00FB0F6F">
              <w:rPr>
                <w:lang w:val="en-GB"/>
              </w:rPr>
              <w:t xml:space="preserve"> or Ministry of ICTs.</w:t>
            </w:r>
          </w:p>
          <w:p w14:paraId="6AF92B26" w14:textId="77777777" w:rsidR="0036416A" w:rsidRPr="00FB0F6F" w:rsidRDefault="0036416A" w:rsidP="0036416A">
            <w:pPr>
              <w:pStyle w:val="NoSpacing"/>
            </w:pPr>
            <w:proofErr w:type="gramStart"/>
            <w:r w:rsidRPr="00873FDE">
              <w:t>service</w:t>
            </w:r>
            <w:proofErr w:type="gramEnd"/>
            <w:r w:rsidRPr="00873FDE">
              <w:t xml:space="preserve"> providers.</w:t>
            </w:r>
          </w:p>
        </w:tc>
        <w:tc>
          <w:tcPr>
            <w:tcW w:w="0" w:type="auto"/>
          </w:tcPr>
          <w:p w14:paraId="73F94BE9" w14:textId="77777777" w:rsidR="0036416A" w:rsidRDefault="0036416A" w:rsidP="0036416A">
            <w:pPr>
              <w:pStyle w:val="NoSpacing"/>
            </w:pPr>
            <w:r>
              <w:t>BTRC</w:t>
            </w:r>
          </w:p>
          <w:p w14:paraId="3DE21445" w14:textId="77777777" w:rsidR="0036416A" w:rsidRDefault="0036416A" w:rsidP="0036416A">
            <w:pPr>
              <w:pStyle w:val="NoSpacing"/>
            </w:pPr>
            <w:r>
              <w:t>Administrative Data</w:t>
            </w:r>
          </w:p>
        </w:tc>
        <w:tc>
          <w:tcPr>
            <w:tcW w:w="0" w:type="auto"/>
          </w:tcPr>
          <w:p w14:paraId="253060D4" w14:textId="77777777" w:rsidR="0036416A" w:rsidRDefault="0036416A" w:rsidP="0036416A">
            <w:pPr>
              <w:pStyle w:val="NoSpacing"/>
            </w:pPr>
            <w:r>
              <w:t>BTRC, PTD</w:t>
            </w:r>
          </w:p>
          <w:p w14:paraId="4BFF5C9D" w14:textId="77777777" w:rsidR="0036416A" w:rsidRDefault="0036416A" w:rsidP="0036416A">
            <w:pPr>
              <w:pStyle w:val="NoSpacing"/>
            </w:pPr>
            <w:r>
              <w:t>Administrative Data</w:t>
            </w:r>
          </w:p>
        </w:tc>
        <w:tc>
          <w:tcPr>
            <w:tcW w:w="0" w:type="auto"/>
          </w:tcPr>
          <w:p w14:paraId="1E90C456"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technology: at least 2G/3G/4G mobile network</w:t>
            </w:r>
          </w:p>
          <w:p w14:paraId="32C8CDCB"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geographical location: urban, rural</w:t>
            </w:r>
          </w:p>
          <w:p w14:paraId="5C8BA136" w14:textId="77777777" w:rsidR="0036416A" w:rsidRDefault="0036416A" w:rsidP="0036416A">
            <w:pPr>
              <w:ind w:left="970" w:hanging="970"/>
              <w:jc w:val="both"/>
              <w:rPr>
                <w:color w:val="0070C0"/>
                <w:sz w:val="30"/>
                <w:szCs w:val="30"/>
              </w:rPr>
            </w:pPr>
          </w:p>
        </w:tc>
        <w:tc>
          <w:tcPr>
            <w:tcW w:w="0" w:type="auto"/>
          </w:tcPr>
          <w:p w14:paraId="73B484DB" w14:textId="77777777" w:rsidR="0036416A" w:rsidRDefault="0036416A" w:rsidP="0036416A">
            <w:pPr>
              <w:ind w:left="970" w:hanging="970"/>
              <w:jc w:val="both"/>
              <w:rPr>
                <w:color w:val="0070C0"/>
                <w:sz w:val="30"/>
                <w:szCs w:val="30"/>
              </w:rPr>
            </w:pPr>
          </w:p>
        </w:tc>
        <w:tc>
          <w:tcPr>
            <w:tcW w:w="0" w:type="auto"/>
          </w:tcPr>
          <w:p w14:paraId="6F59C981" w14:textId="77777777" w:rsidR="0036416A" w:rsidRDefault="0036416A" w:rsidP="0036416A">
            <w:pPr>
              <w:ind w:left="970" w:hanging="970"/>
              <w:jc w:val="both"/>
              <w:rPr>
                <w:color w:val="0070C0"/>
                <w:sz w:val="30"/>
                <w:szCs w:val="30"/>
              </w:rPr>
            </w:pPr>
            <w:r>
              <w:t>Group 1</w:t>
            </w:r>
          </w:p>
        </w:tc>
        <w:tc>
          <w:tcPr>
            <w:tcW w:w="0" w:type="auto"/>
          </w:tcPr>
          <w:p w14:paraId="1237A6DA" w14:textId="77777777" w:rsidR="0036416A" w:rsidRDefault="0036416A" w:rsidP="0036416A">
            <w:pPr>
              <w:pStyle w:val="NoSpacing"/>
            </w:pPr>
            <w:r>
              <w:t>1</w:t>
            </w:r>
            <w:r w:rsidRPr="00013ACB">
              <w:rPr>
                <w:vertAlign w:val="superscript"/>
              </w:rPr>
              <w:t>st</w:t>
            </w:r>
            <w:r>
              <w:t xml:space="preserve"> Round: </w:t>
            </w:r>
          </w:p>
          <w:p w14:paraId="7C08BB6E" w14:textId="77777777" w:rsidR="0036416A" w:rsidRDefault="0036416A" w:rsidP="0036416A">
            <w:pPr>
              <w:pStyle w:val="NoSpacing"/>
            </w:pPr>
            <w:r>
              <w:t>2015</w:t>
            </w:r>
          </w:p>
          <w:p w14:paraId="760B5AAD" w14:textId="77777777" w:rsidR="0036416A" w:rsidRDefault="0036416A" w:rsidP="0036416A">
            <w:pPr>
              <w:pStyle w:val="NoSpacing"/>
            </w:pPr>
          </w:p>
          <w:p w14:paraId="2CA29875" w14:textId="77777777" w:rsidR="0036416A" w:rsidRDefault="0036416A" w:rsidP="0036416A">
            <w:pPr>
              <w:pStyle w:val="NoSpacing"/>
            </w:pPr>
            <w:r>
              <w:t>2</w:t>
            </w:r>
            <w:r w:rsidRPr="00013ACB">
              <w:rPr>
                <w:vertAlign w:val="superscript"/>
              </w:rPr>
              <w:t>nd</w:t>
            </w:r>
            <w:r>
              <w:t xml:space="preserve"> Round: </w:t>
            </w:r>
          </w:p>
          <w:p w14:paraId="74BF92D9" w14:textId="77777777" w:rsidR="0036416A" w:rsidRDefault="0036416A" w:rsidP="0036416A">
            <w:pPr>
              <w:pStyle w:val="NoSpacing"/>
            </w:pPr>
            <w:r>
              <w:t>June 2020</w:t>
            </w:r>
          </w:p>
          <w:p w14:paraId="74718092" w14:textId="77777777" w:rsidR="0036416A" w:rsidRDefault="0036416A" w:rsidP="0036416A">
            <w:pPr>
              <w:pStyle w:val="NoSpacing"/>
            </w:pPr>
          </w:p>
          <w:p w14:paraId="415E570D" w14:textId="77777777" w:rsidR="0036416A" w:rsidRDefault="0036416A" w:rsidP="0036416A">
            <w:pPr>
              <w:pStyle w:val="NoSpacing"/>
            </w:pPr>
            <w:r>
              <w:t>3</w:t>
            </w:r>
            <w:r w:rsidRPr="00013ACB">
              <w:rPr>
                <w:vertAlign w:val="superscript"/>
              </w:rPr>
              <w:t>rd</w:t>
            </w:r>
            <w:r>
              <w:t xml:space="preserve"> Round: </w:t>
            </w:r>
          </w:p>
          <w:p w14:paraId="5B3E6ADB" w14:textId="77777777" w:rsidR="0036416A" w:rsidRDefault="0036416A" w:rsidP="0036416A">
            <w:pPr>
              <w:pStyle w:val="NoSpacing"/>
            </w:pPr>
            <w:r>
              <w:t>June 2021</w:t>
            </w:r>
          </w:p>
          <w:p w14:paraId="04964B4C" w14:textId="77777777" w:rsidR="0036416A" w:rsidRDefault="0036416A" w:rsidP="0036416A">
            <w:pPr>
              <w:pStyle w:val="NoSpacing"/>
            </w:pPr>
          </w:p>
          <w:p w14:paraId="14D36021" w14:textId="77777777" w:rsidR="0036416A" w:rsidRDefault="0036416A" w:rsidP="0036416A">
            <w:pPr>
              <w:pStyle w:val="NoSpacing"/>
            </w:pPr>
            <w:r>
              <w:t>4</w:t>
            </w:r>
            <w:r w:rsidRPr="00013ACB">
              <w:rPr>
                <w:vertAlign w:val="superscript"/>
              </w:rPr>
              <w:t>th</w:t>
            </w:r>
            <w:r>
              <w:t xml:space="preserve"> Round: </w:t>
            </w:r>
          </w:p>
          <w:p w14:paraId="0C1B8A56" w14:textId="77777777" w:rsidR="0036416A" w:rsidRDefault="0036416A" w:rsidP="0036416A">
            <w:pPr>
              <w:pStyle w:val="NoSpacing"/>
            </w:pPr>
            <w:r>
              <w:t>June 2022</w:t>
            </w:r>
          </w:p>
          <w:p w14:paraId="1796CF80" w14:textId="77777777" w:rsidR="0036416A" w:rsidRDefault="0036416A" w:rsidP="0036416A">
            <w:pPr>
              <w:pStyle w:val="NoSpacing"/>
            </w:pPr>
          </w:p>
          <w:p w14:paraId="0FA31534" w14:textId="77777777" w:rsidR="0036416A" w:rsidRDefault="0036416A" w:rsidP="0036416A">
            <w:pPr>
              <w:pStyle w:val="NoSpacing"/>
            </w:pPr>
            <w:r>
              <w:t>5</w:t>
            </w:r>
            <w:r w:rsidRPr="00013ACB">
              <w:rPr>
                <w:vertAlign w:val="superscript"/>
              </w:rPr>
              <w:t>th</w:t>
            </w:r>
            <w:r>
              <w:t xml:space="preserve"> Round:</w:t>
            </w:r>
          </w:p>
          <w:p w14:paraId="6294551E" w14:textId="7E712C1A" w:rsidR="0036416A" w:rsidRDefault="0036416A" w:rsidP="0036416A">
            <w:pPr>
              <w:ind w:left="970" w:hanging="970"/>
              <w:jc w:val="both"/>
              <w:rPr>
                <w:color w:val="0070C0"/>
                <w:sz w:val="30"/>
                <w:szCs w:val="30"/>
              </w:rPr>
            </w:pPr>
            <w:r>
              <w:t>June 2023</w:t>
            </w:r>
          </w:p>
        </w:tc>
        <w:tc>
          <w:tcPr>
            <w:tcW w:w="0" w:type="auto"/>
          </w:tcPr>
          <w:p w14:paraId="6F925875" w14:textId="77777777" w:rsidR="0036416A" w:rsidRDefault="0036416A" w:rsidP="0036416A">
            <w:pPr>
              <w:ind w:left="970" w:hanging="970"/>
              <w:jc w:val="both"/>
              <w:rPr>
                <w:color w:val="0070C0"/>
                <w:sz w:val="30"/>
                <w:szCs w:val="30"/>
              </w:rPr>
            </w:pPr>
          </w:p>
        </w:tc>
      </w:tr>
    </w:tbl>
    <w:p w14:paraId="460D0271" w14:textId="77777777" w:rsidR="00AB1047" w:rsidRDefault="00AB1047">
      <w:pPr>
        <w:rPr>
          <w:color w:val="FF0000"/>
          <w:sz w:val="32"/>
          <w:szCs w:val="32"/>
        </w:rPr>
      </w:pPr>
    </w:p>
    <w:p w14:paraId="7C23776C" w14:textId="77777777" w:rsidR="00575C7C" w:rsidRDefault="00575C7C">
      <w:pPr>
        <w:rPr>
          <w:color w:val="FF0000"/>
          <w:sz w:val="32"/>
          <w:szCs w:val="32"/>
        </w:rPr>
      </w:pPr>
    </w:p>
    <w:p w14:paraId="77A96A49" w14:textId="77777777" w:rsidR="00575C7C" w:rsidRDefault="00575C7C">
      <w:pPr>
        <w:rPr>
          <w:color w:val="FF0000"/>
          <w:sz w:val="32"/>
          <w:szCs w:val="32"/>
        </w:rPr>
      </w:pPr>
    </w:p>
    <w:p w14:paraId="395F5CB2" w14:textId="77777777" w:rsidR="00575C7C" w:rsidRDefault="00575C7C">
      <w:pPr>
        <w:rPr>
          <w:color w:val="FF0000"/>
          <w:sz w:val="32"/>
          <w:szCs w:val="32"/>
        </w:rPr>
      </w:pPr>
    </w:p>
    <w:p w14:paraId="1A73DAFA" w14:textId="77777777" w:rsidR="00AB1047" w:rsidRDefault="00AB1047">
      <w:pPr>
        <w:rPr>
          <w:color w:val="FF0000"/>
          <w:sz w:val="32"/>
          <w:szCs w:val="32"/>
        </w:rPr>
      </w:pPr>
    </w:p>
    <w:p w14:paraId="69A47924" w14:textId="77777777" w:rsidR="00AB1047" w:rsidRDefault="00AB1047">
      <w:pPr>
        <w:rPr>
          <w:color w:val="FF0000"/>
          <w:sz w:val="32"/>
          <w:szCs w:val="32"/>
        </w:rPr>
      </w:pPr>
    </w:p>
    <w:p w14:paraId="65C84F7D" w14:textId="77777777" w:rsidR="00AB1047" w:rsidRDefault="00AB1047">
      <w:pPr>
        <w:rPr>
          <w:color w:val="FF0000"/>
          <w:sz w:val="32"/>
          <w:szCs w:val="32"/>
        </w:rPr>
      </w:pPr>
    </w:p>
    <w:p w14:paraId="509E6073" w14:textId="77777777" w:rsidR="00AB27CE" w:rsidRDefault="00AB27CE">
      <w:pPr>
        <w:rPr>
          <w:color w:val="FF0000"/>
          <w:sz w:val="32"/>
          <w:szCs w:val="32"/>
        </w:rPr>
      </w:pPr>
    </w:p>
    <w:p w14:paraId="66E70726" w14:textId="77777777" w:rsidR="00AB27CE" w:rsidRDefault="00AB27CE">
      <w:pPr>
        <w:rPr>
          <w:color w:val="FF0000"/>
          <w:sz w:val="32"/>
          <w:szCs w:val="32"/>
        </w:rPr>
      </w:pPr>
    </w:p>
    <w:p w14:paraId="480A21CF" w14:textId="77777777" w:rsidR="00AB27CE" w:rsidRDefault="00AB27CE">
      <w:pPr>
        <w:rPr>
          <w:color w:val="FF0000"/>
          <w:sz w:val="32"/>
          <w:szCs w:val="32"/>
        </w:rPr>
      </w:pPr>
    </w:p>
    <w:p w14:paraId="7A6A8862" w14:textId="077B1E11" w:rsidR="00AB27CE" w:rsidRPr="006C6341" w:rsidRDefault="00BB3B57" w:rsidP="00AB27CE">
      <w:pPr>
        <w:jc w:val="both"/>
        <w:rPr>
          <w:color w:val="0070C0"/>
          <w:sz w:val="48"/>
          <w:szCs w:val="48"/>
        </w:rPr>
      </w:pPr>
      <w:r>
        <w:rPr>
          <w:color w:val="0070C0"/>
          <w:sz w:val="48"/>
          <w:szCs w:val="48"/>
        </w:rPr>
        <w:t>Action Plan and Methodological Guidelines towards Data Generation and Disaggregation for Monitoring and Evaluation of SDGs</w:t>
      </w:r>
    </w:p>
    <w:tbl>
      <w:tblPr>
        <w:tblStyle w:val="TableGrid"/>
        <w:tblW w:w="18630" w:type="dxa"/>
        <w:tblInd w:w="-5" w:type="dxa"/>
        <w:tblLayout w:type="fixed"/>
        <w:tblLook w:val="04A0" w:firstRow="1" w:lastRow="0" w:firstColumn="1" w:lastColumn="0" w:noHBand="0" w:noVBand="1"/>
      </w:tblPr>
      <w:tblGrid>
        <w:gridCol w:w="1278"/>
        <w:gridCol w:w="17352"/>
      </w:tblGrid>
      <w:tr w:rsidR="00AB27CE" w14:paraId="4F63795A" w14:textId="77777777" w:rsidTr="0025292C">
        <w:tc>
          <w:tcPr>
            <w:tcW w:w="1278" w:type="dxa"/>
            <w:tcBorders>
              <w:left w:val="single" w:sz="4" w:space="0" w:color="C00000"/>
              <w:bottom w:val="single" w:sz="4" w:space="0" w:color="C00000"/>
            </w:tcBorders>
          </w:tcPr>
          <w:p w14:paraId="63FF08D1" w14:textId="04E24899" w:rsidR="00AB27CE" w:rsidRDefault="00A64F0D" w:rsidP="00AB27CE">
            <w:pPr>
              <w:jc w:val="center"/>
              <w:rPr>
                <w:color w:val="C00000"/>
                <w:sz w:val="48"/>
                <w:szCs w:val="48"/>
              </w:rPr>
            </w:pPr>
            <w:r>
              <w:rPr>
                <w:noProof/>
                <w:color w:val="C00000"/>
                <w:sz w:val="48"/>
                <w:szCs w:val="48"/>
                <w:lang w:bidi="bn-BD"/>
              </w:rPr>
              <w:drawing>
                <wp:inline distT="0" distB="0" distL="0" distR="0" wp14:anchorId="7807C89B" wp14:editId="28A71828">
                  <wp:extent cx="674370" cy="674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_SDG goals_icons-individual-cmyk-10.jpg"/>
                          <pic:cNvPicPr/>
                        </pic:nvPicPr>
                        <pic:blipFill>
                          <a:blip r:embed="rId84">
                            <a:extLst>
                              <a:ext uri="{28A0092B-C50C-407E-A947-70E740481C1C}">
                                <a14:useLocalDpi xmlns:a14="http://schemas.microsoft.com/office/drawing/2010/main" val="0"/>
                              </a:ext>
                            </a:extLst>
                          </a:blip>
                          <a:stretch>
                            <a:fillRect/>
                          </a:stretch>
                        </pic:blipFill>
                        <pic:spPr>
                          <a:xfrm>
                            <a:off x="0" y="0"/>
                            <a:ext cx="674370" cy="674370"/>
                          </a:xfrm>
                          <a:prstGeom prst="rect">
                            <a:avLst/>
                          </a:prstGeom>
                        </pic:spPr>
                      </pic:pic>
                    </a:graphicData>
                  </a:graphic>
                </wp:inline>
              </w:drawing>
            </w:r>
          </w:p>
        </w:tc>
        <w:tc>
          <w:tcPr>
            <w:tcW w:w="17352" w:type="dxa"/>
            <w:shd w:val="clear" w:color="auto" w:fill="D60093"/>
            <w:vAlign w:val="center"/>
          </w:tcPr>
          <w:p w14:paraId="4A022573" w14:textId="77777777" w:rsidR="00AB27CE" w:rsidRPr="00214C29" w:rsidRDefault="00AB27CE" w:rsidP="00AB27CE">
            <w:pPr>
              <w:jc w:val="both"/>
              <w:rPr>
                <w:color w:val="FFFFFF" w:themeColor="background1"/>
                <w:sz w:val="62"/>
                <w:szCs w:val="62"/>
              </w:rPr>
            </w:pPr>
            <w:r w:rsidRPr="00AB27CE">
              <w:rPr>
                <w:color w:val="FFFFFF" w:themeColor="background1"/>
                <w:sz w:val="62"/>
                <w:szCs w:val="62"/>
              </w:rPr>
              <w:t>Reduce inequality within and among countries</w:t>
            </w:r>
          </w:p>
        </w:tc>
      </w:tr>
    </w:tbl>
    <w:p w14:paraId="363363F6" w14:textId="77777777" w:rsidR="00AB1047" w:rsidRDefault="00AB1047">
      <w:pPr>
        <w:rPr>
          <w:color w:val="FF0000"/>
          <w:sz w:val="32"/>
          <w:szCs w:val="32"/>
        </w:rPr>
      </w:pPr>
    </w:p>
    <w:tbl>
      <w:tblPr>
        <w:tblStyle w:val="TableGrid"/>
        <w:tblW w:w="0" w:type="auto"/>
        <w:tblLook w:val="04A0" w:firstRow="1" w:lastRow="0" w:firstColumn="1" w:lastColumn="0" w:noHBand="0" w:noVBand="1"/>
      </w:tblPr>
      <w:tblGrid>
        <w:gridCol w:w="911"/>
        <w:gridCol w:w="756"/>
        <w:gridCol w:w="724"/>
        <w:gridCol w:w="7805"/>
        <w:gridCol w:w="1050"/>
        <w:gridCol w:w="1081"/>
        <w:gridCol w:w="941"/>
        <w:gridCol w:w="941"/>
        <w:gridCol w:w="1328"/>
        <w:gridCol w:w="781"/>
        <w:gridCol w:w="681"/>
        <w:gridCol w:w="977"/>
        <w:gridCol w:w="960"/>
      </w:tblGrid>
      <w:tr w:rsidR="007A5663" w14:paraId="43B5C30A" w14:textId="77777777" w:rsidTr="0025292C">
        <w:trPr>
          <w:tblHeader/>
        </w:trPr>
        <w:tc>
          <w:tcPr>
            <w:tcW w:w="0" w:type="auto"/>
            <w:shd w:val="clear" w:color="auto" w:fill="DDD9C3" w:themeFill="background2" w:themeFillShade="E6"/>
            <w:vAlign w:val="center"/>
          </w:tcPr>
          <w:p w14:paraId="6C8EAE47" w14:textId="77777777" w:rsidR="00575C7C" w:rsidRPr="00C766D7" w:rsidRDefault="00575C7C" w:rsidP="00575C7C">
            <w:pPr>
              <w:jc w:val="center"/>
              <w:rPr>
                <w:b/>
                <w:bCs/>
                <w:sz w:val="18"/>
                <w:szCs w:val="18"/>
              </w:rPr>
            </w:pPr>
            <w:r>
              <w:rPr>
                <w:b/>
                <w:bCs/>
                <w:sz w:val="18"/>
                <w:szCs w:val="18"/>
              </w:rPr>
              <w:t>T</w:t>
            </w:r>
            <w:r w:rsidRPr="00C766D7">
              <w:rPr>
                <w:b/>
                <w:bCs/>
                <w:sz w:val="18"/>
                <w:szCs w:val="18"/>
              </w:rPr>
              <w:t>argets and Indicators</w:t>
            </w:r>
          </w:p>
        </w:tc>
        <w:tc>
          <w:tcPr>
            <w:tcW w:w="0" w:type="auto"/>
            <w:shd w:val="clear" w:color="auto" w:fill="DDD9C3" w:themeFill="background2" w:themeFillShade="E6"/>
            <w:vAlign w:val="center"/>
          </w:tcPr>
          <w:p w14:paraId="38C0D8CC" w14:textId="77777777" w:rsidR="003C5825" w:rsidRDefault="00575C7C" w:rsidP="00575C7C">
            <w:pPr>
              <w:jc w:val="center"/>
              <w:rPr>
                <w:b/>
                <w:bCs/>
                <w:sz w:val="18"/>
                <w:szCs w:val="18"/>
              </w:rPr>
            </w:pPr>
            <w:r w:rsidRPr="00C766D7">
              <w:rPr>
                <w:b/>
                <w:bCs/>
                <w:sz w:val="18"/>
                <w:szCs w:val="18"/>
              </w:rPr>
              <w:t xml:space="preserve">Custodian </w:t>
            </w:r>
          </w:p>
          <w:p w14:paraId="5949DF74" w14:textId="77777777" w:rsidR="00575C7C" w:rsidRPr="00C766D7" w:rsidRDefault="00575C7C" w:rsidP="00575C7C">
            <w:pPr>
              <w:jc w:val="center"/>
              <w:rPr>
                <w:b/>
                <w:bCs/>
                <w:sz w:val="18"/>
                <w:szCs w:val="18"/>
              </w:rPr>
            </w:pPr>
            <w:r w:rsidRPr="00C766D7">
              <w:rPr>
                <w:b/>
                <w:bCs/>
                <w:sz w:val="18"/>
                <w:szCs w:val="18"/>
              </w:rPr>
              <w:t>Agency</w:t>
            </w:r>
            <w:r>
              <w:rPr>
                <w:b/>
                <w:bCs/>
                <w:sz w:val="18"/>
                <w:szCs w:val="18"/>
              </w:rPr>
              <w:t xml:space="preserve"> </w:t>
            </w:r>
            <w:r w:rsidRPr="00C766D7">
              <w:rPr>
                <w:b/>
                <w:bCs/>
                <w:sz w:val="18"/>
                <w:szCs w:val="18"/>
              </w:rPr>
              <w:t>(ies)</w:t>
            </w:r>
          </w:p>
        </w:tc>
        <w:tc>
          <w:tcPr>
            <w:tcW w:w="0" w:type="auto"/>
            <w:shd w:val="clear" w:color="auto" w:fill="DDD9C3" w:themeFill="background2" w:themeFillShade="E6"/>
            <w:vAlign w:val="center"/>
          </w:tcPr>
          <w:p w14:paraId="020E3AB6" w14:textId="77777777" w:rsidR="003C5825" w:rsidRDefault="00575C7C" w:rsidP="00575C7C">
            <w:pPr>
              <w:jc w:val="center"/>
              <w:rPr>
                <w:b/>
                <w:bCs/>
                <w:sz w:val="18"/>
                <w:szCs w:val="18"/>
              </w:rPr>
            </w:pPr>
            <w:r w:rsidRPr="00C766D7">
              <w:rPr>
                <w:b/>
                <w:bCs/>
                <w:sz w:val="18"/>
                <w:szCs w:val="18"/>
              </w:rPr>
              <w:t>Tier</w:t>
            </w:r>
          </w:p>
          <w:p w14:paraId="76EF1C39" w14:textId="77777777" w:rsidR="003C5825" w:rsidRDefault="00575C7C" w:rsidP="00575C7C">
            <w:pPr>
              <w:jc w:val="center"/>
              <w:rPr>
                <w:b/>
                <w:bCs/>
                <w:sz w:val="18"/>
                <w:szCs w:val="18"/>
              </w:rPr>
            </w:pPr>
            <w:r w:rsidRPr="00C766D7">
              <w:rPr>
                <w:b/>
                <w:bCs/>
                <w:sz w:val="18"/>
                <w:szCs w:val="18"/>
              </w:rPr>
              <w:t xml:space="preserve"> Classifi</w:t>
            </w:r>
            <w:r>
              <w:rPr>
                <w:b/>
                <w:bCs/>
                <w:sz w:val="18"/>
                <w:szCs w:val="18"/>
              </w:rPr>
              <w:t>-</w:t>
            </w:r>
          </w:p>
          <w:p w14:paraId="4E1ABB2F" w14:textId="77777777" w:rsidR="00575C7C" w:rsidRPr="00C766D7" w:rsidRDefault="00575C7C" w:rsidP="00575C7C">
            <w:pPr>
              <w:jc w:val="center"/>
              <w:rPr>
                <w:b/>
                <w:bCs/>
                <w:sz w:val="18"/>
                <w:szCs w:val="18"/>
              </w:rPr>
            </w:pPr>
            <w:r w:rsidRPr="00C766D7">
              <w:rPr>
                <w:b/>
                <w:bCs/>
                <w:sz w:val="18"/>
                <w:szCs w:val="18"/>
              </w:rPr>
              <w:t>cations</w:t>
            </w:r>
          </w:p>
        </w:tc>
        <w:tc>
          <w:tcPr>
            <w:tcW w:w="0" w:type="auto"/>
            <w:shd w:val="clear" w:color="auto" w:fill="DDD9C3" w:themeFill="background2" w:themeFillShade="E6"/>
            <w:vAlign w:val="center"/>
          </w:tcPr>
          <w:p w14:paraId="728BCA05" w14:textId="77777777" w:rsidR="00575C7C" w:rsidRPr="00C766D7" w:rsidRDefault="00575C7C" w:rsidP="00575C7C">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DDD9C3" w:themeFill="background2" w:themeFillShade="E6"/>
            <w:vAlign w:val="center"/>
          </w:tcPr>
          <w:p w14:paraId="77D21ABF" w14:textId="77777777" w:rsidR="00575C7C" w:rsidRPr="00C766D7" w:rsidRDefault="00575C7C" w:rsidP="00575C7C">
            <w:pPr>
              <w:jc w:val="center"/>
              <w:rPr>
                <w:b/>
                <w:bCs/>
                <w:sz w:val="18"/>
                <w:szCs w:val="18"/>
              </w:rPr>
            </w:pPr>
            <w:r w:rsidRPr="00C766D7">
              <w:rPr>
                <w:b/>
                <w:bCs/>
                <w:sz w:val="18"/>
                <w:szCs w:val="18"/>
              </w:rPr>
              <w:t>UN Suggested activities of data generation</w:t>
            </w:r>
          </w:p>
        </w:tc>
        <w:tc>
          <w:tcPr>
            <w:tcW w:w="0" w:type="auto"/>
            <w:shd w:val="clear" w:color="auto" w:fill="DDD9C3" w:themeFill="background2" w:themeFillShade="E6"/>
            <w:vAlign w:val="center"/>
          </w:tcPr>
          <w:p w14:paraId="5259182F" w14:textId="77777777" w:rsidR="00575C7C" w:rsidRPr="00C766D7" w:rsidRDefault="00575C7C" w:rsidP="00575C7C">
            <w:pPr>
              <w:jc w:val="center"/>
              <w:rPr>
                <w:b/>
                <w:bCs/>
                <w:sz w:val="18"/>
                <w:szCs w:val="18"/>
              </w:rPr>
            </w:pPr>
            <w:r w:rsidRPr="00C766D7">
              <w:rPr>
                <w:b/>
                <w:bCs/>
                <w:sz w:val="18"/>
                <w:szCs w:val="18"/>
              </w:rPr>
              <w:t>UN Suggested data provider</w:t>
            </w:r>
          </w:p>
        </w:tc>
        <w:tc>
          <w:tcPr>
            <w:tcW w:w="0" w:type="auto"/>
            <w:shd w:val="clear" w:color="auto" w:fill="DDD9C3" w:themeFill="background2" w:themeFillShade="E6"/>
            <w:vAlign w:val="center"/>
          </w:tcPr>
          <w:p w14:paraId="3F019439" w14:textId="77777777" w:rsidR="00575C7C" w:rsidRPr="00C766D7" w:rsidRDefault="00575C7C" w:rsidP="00575C7C">
            <w:pPr>
              <w:jc w:val="center"/>
              <w:rPr>
                <w:b/>
                <w:bCs/>
                <w:sz w:val="18"/>
                <w:szCs w:val="18"/>
              </w:rPr>
            </w:pPr>
            <w:r w:rsidRPr="00C766D7">
              <w:rPr>
                <w:b/>
                <w:bCs/>
                <w:sz w:val="18"/>
                <w:szCs w:val="18"/>
              </w:rPr>
              <w:t>Recent Available Data Sources</w:t>
            </w:r>
          </w:p>
        </w:tc>
        <w:tc>
          <w:tcPr>
            <w:tcW w:w="0" w:type="auto"/>
            <w:shd w:val="clear" w:color="auto" w:fill="DDD9C3" w:themeFill="background2" w:themeFillShade="E6"/>
            <w:vAlign w:val="center"/>
          </w:tcPr>
          <w:p w14:paraId="3AA01DAF" w14:textId="77777777" w:rsidR="00575C7C" w:rsidRPr="00C766D7" w:rsidRDefault="00575C7C" w:rsidP="00575C7C">
            <w:pPr>
              <w:jc w:val="center"/>
              <w:rPr>
                <w:b/>
                <w:bCs/>
                <w:sz w:val="18"/>
                <w:szCs w:val="18"/>
              </w:rPr>
            </w:pPr>
            <w:r w:rsidRPr="00C766D7">
              <w:rPr>
                <w:b/>
                <w:bCs/>
                <w:sz w:val="18"/>
                <w:szCs w:val="18"/>
              </w:rPr>
              <w:t>Possible future Sources</w:t>
            </w:r>
          </w:p>
        </w:tc>
        <w:tc>
          <w:tcPr>
            <w:tcW w:w="0" w:type="auto"/>
            <w:shd w:val="clear" w:color="auto" w:fill="DDD9C3" w:themeFill="background2" w:themeFillShade="E6"/>
            <w:vAlign w:val="center"/>
          </w:tcPr>
          <w:p w14:paraId="2B9F8749" w14:textId="77777777" w:rsidR="00575C7C" w:rsidRPr="00C766D7" w:rsidRDefault="00575C7C" w:rsidP="00575C7C">
            <w:pPr>
              <w:jc w:val="center"/>
              <w:rPr>
                <w:b/>
                <w:bCs/>
                <w:sz w:val="18"/>
                <w:szCs w:val="18"/>
              </w:rPr>
            </w:pPr>
            <w:r>
              <w:rPr>
                <w:b/>
                <w:bCs/>
                <w:sz w:val="18"/>
                <w:szCs w:val="18"/>
              </w:rPr>
              <w:t>Minimum Disaggregation Dimensions and Categories</w:t>
            </w:r>
          </w:p>
        </w:tc>
        <w:tc>
          <w:tcPr>
            <w:tcW w:w="0" w:type="auto"/>
            <w:shd w:val="clear" w:color="auto" w:fill="DDD9C3" w:themeFill="background2" w:themeFillShade="E6"/>
            <w:vAlign w:val="center"/>
          </w:tcPr>
          <w:p w14:paraId="2215C4A7" w14:textId="77777777" w:rsidR="00575C7C" w:rsidRPr="00C766D7" w:rsidRDefault="00575C7C" w:rsidP="00575C7C">
            <w:pPr>
              <w:jc w:val="center"/>
              <w:rPr>
                <w:b/>
                <w:bCs/>
                <w:sz w:val="18"/>
                <w:szCs w:val="18"/>
              </w:rPr>
            </w:pPr>
            <w:r w:rsidRPr="00C766D7">
              <w:rPr>
                <w:b/>
                <w:bCs/>
                <w:sz w:val="18"/>
                <w:szCs w:val="18"/>
              </w:rPr>
              <w:t>Frequency of data generation</w:t>
            </w:r>
          </w:p>
        </w:tc>
        <w:tc>
          <w:tcPr>
            <w:tcW w:w="0" w:type="auto"/>
            <w:shd w:val="clear" w:color="auto" w:fill="DDD9C3" w:themeFill="background2" w:themeFillShade="E6"/>
            <w:vAlign w:val="center"/>
          </w:tcPr>
          <w:p w14:paraId="3825F8EF" w14:textId="77777777" w:rsidR="007A5663" w:rsidRDefault="00575C7C" w:rsidP="00575C7C">
            <w:pPr>
              <w:jc w:val="center"/>
              <w:rPr>
                <w:b/>
                <w:bCs/>
                <w:sz w:val="18"/>
                <w:szCs w:val="18"/>
              </w:rPr>
            </w:pPr>
            <w:r w:rsidRPr="00C766D7">
              <w:rPr>
                <w:b/>
                <w:bCs/>
                <w:sz w:val="18"/>
                <w:szCs w:val="18"/>
              </w:rPr>
              <w:t xml:space="preserve">Local </w:t>
            </w:r>
          </w:p>
          <w:p w14:paraId="23CBC07E" w14:textId="77777777" w:rsidR="00575C7C" w:rsidRPr="00C766D7" w:rsidRDefault="00575C7C" w:rsidP="00575C7C">
            <w:pPr>
              <w:jc w:val="center"/>
              <w:rPr>
                <w:b/>
                <w:bCs/>
                <w:sz w:val="18"/>
                <w:szCs w:val="18"/>
              </w:rPr>
            </w:pPr>
            <w:r w:rsidRPr="00C766D7">
              <w:rPr>
                <w:b/>
                <w:bCs/>
                <w:sz w:val="18"/>
                <w:szCs w:val="18"/>
              </w:rPr>
              <w:t>Indicator Group</w:t>
            </w:r>
          </w:p>
        </w:tc>
        <w:tc>
          <w:tcPr>
            <w:tcW w:w="0" w:type="auto"/>
            <w:shd w:val="clear" w:color="auto" w:fill="DDD9C3" w:themeFill="background2" w:themeFillShade="E6"/>
          </w:tcPr>
          <w:p w14:paraId="5AA4692E" w14:textId="77777777" w:rsidR="00575C7C" w:rsidRDefault="00575C7C" w:rsidP="00575C7C">
            <w:pPr>
              <w:jc w:val="center"/>
              <w:rPr>
                <w:b/>
                <w:bCs/>
                <w:sz w:val="18"/>
                <w:szCs w:val="18"/>
              </w:rPr>
            </w:pPr>
            <w:r w:rsidRPr="00BE3A94">
              <w:rPr>
                <w:b/>
                <w:bCs/>
                <w:sz w:val="18"/>
                <w:szCs w:val="18"/>
              </w:rPr>
              <w:t>Deadline for Data providing</w:t>
            </w:r>
          </w:p>
        </w:tc>
        <w:tc>
          <w:tcPr>
            <w:tcW w:w="0" w:type="auto"/>
            <w:shd w:val="clear" w:color="auto" w:fill="DDD9C3" w:themeFill="background2" w:themeFillShade="E6"/>
            <w:vAlign w:val="center"/>
          </w:tcPr>
          <w:p w14:paraId="7063E785" w14:textId="77777777" w:rsidR="00575C7C" w:rsidRPr="00C766D7" w:rsidRDefault="00575C7C" w:rsidP="00575C7C">
            <w:pPr>
              <w:jc w:val="center"/>
              <w:rPr>
                <w:b/>
                <w:bCs/>
                <w:sz w:val="18"/>
                <w:szCs w:val="18"/>
              </w:rPr>
            </w:pPr>
            <w:r>
              <w:rPr>
                <w:b/>
                <w:bCs/>
                <w:sz w:val="18"/>
                <w:szCs w:val="18"/>
              </w:rPr>
              <w:t>Remarks</w:t>
            </w:r>
          </w:p>
        </w:tc>
      </w:tr>
      <w:tr w:rsidR="007A5663" w:rsidRPr="007E6DF7" w14:paraId="08DAA560" w14:textId="77777777" w:rsidTr="0025292C">
        <w:trPr>
          <w:tblHeader/>
        </w:trPr>
        <w:tc>
          <w:tcPr>
            <w:tcW w:w="0" w:type="auto"/>
            <w:shd w:val="clear" w:color="auto" w:fill="00B0F0"/>
          </w:tcPr>
          <w:p w14:paraId="2F083BDD" w14:textId="77777777" w:rsidR="00575C7C" w:rsidRPr="007E6DF7" w:rsidRDefault="00575C7C" w:rsidP="00575C7C">
            <w:pPr>
              <w:jc w:val="center"/>
              <w:rPr>
                <w:b/>
                <w:bCs/>
                <w:sz w:val="18"/>
                <w:szCs w:val="18"/>
              </w:rPr>
            </w:pPr>
            <w:r w:rsidRPr="007E6DF7">
              <w:rPr>
                <w:b/>
                <w:bCs/>
                <w:sz w:val="18"/>
                <w:szCs w:val="18"/>
              </w:rPr>
              <w:t>1</w:t>
            </w:r>
          </w:p>
        </w:tc>
        <w:tc>
          <w:tcPr>
            <w:tcW w:w="0" w:type="auto"/>
            <w:shd w:val="clear" w:color="auto" w:fill="00B0F0"/>
          </w:tcPr>
          <w:p w14:paraId="69ED4FF8" w14:textId="77777777" w:rsidR="00575C7C" w:rsidRPr="007E6DF7" w:rsidRDefault="00575C7C" w:rsidP="00575C7C">
            <w:pPr>
              <w:jc w:val="center"/>
              <w:rPr>
                <w:b/>
                <w:bCs/>
                <w:sz w:val="18"/>
                <w:szCs w:val="18"/>
              </w:rPr>
            </w:pPr>
            <w:r w:rsidRPr="007E6DF7">
              <w:rPr>
                <w:b/>
                <w:bCs/>
                <w:sz w:val="18"/>
                <w:szCs w:val="18"/>
              </w:rPr>
              <w:t>2</w:t>
            </w:r>
          </w:p>
        </w:tc>
        <w:tc>
          <w:tcPr>
            <w:tcW w:w="0" w:type="auto"/>
            <w:shd w:val="clear" w:color="auto" w:fill="00B0F0"/>
          </w:tcPr>
          <w:p w14:paraId="5021D042" w14:textId="77777777" w:rsidR="00575C7C" w:rsidRPr="007E6DF7" w:rsidRDefault="00575C7C" w:rsidP="00575C7C">
            <w:pPr>
              <w:jc w:val="center"/>
              <w:rPr>
                <w:b/>
                <w:bCs/>
                <w:sz w:val="18"/>
                <w:szCs w:val="18"/>
              </w:rPr>
            </w:pPr>
            <w:r w:rsidRPr="007E6DF7">
              <w:rPr>
                <w:b/>
                <w:bCs/>
                <w:sz w:val="18"/>
                <w:szCs w:val="18"/>
              </w:rPr>
              <w:t>3</w:t>
            </w:r>
          </w:p>
        </w:tc>
        <w:tc>
          <w:tcPr>
            <w:tcW w:w="0" w:type="auto"/>
            <w:shd w:val="clear" w:color="auto" w:fill="00B0F0"/>
          </w:tcPr>
          <w:p w14:paraId="3C3F54C9" w14:textId="77777777" w:rsidR="00575C7C" w:rsidRPr="007E6DF7" w:rsidRDefault="00575C7C" w:rsidP="00575C7C">
            <w:pPr>
              <w:jc w:val="center"/>
              <w:rPr>
                <w:b/>
                <w:bCs/>
                <w:sz w:val="18"/>
                <w:szCs w:val="18"/>
              </w:rPr>
            </w:pPr>
            <w:r w:rsidRPr="007E6DF7">
              <w:rPr>
                <w:b/>
                <w:bCs/>
                <w:sz w:val="18"/>
                <w:szCs w:val="18"/>
              </w:rPr>
              <w:t>4</w:t>
            </w:r>
          </w:p>
        </w:tc>
        <w:tc>
          <w:tcPr>
            <w:tcW w:w="0" w:type="auto"/>
            <w:shd w:val="clear" w:color="auto" w:fill="00B0F0"/>
          </w:tcPr>
          <w:p w14:paraId="64A47092" w14:textId="77777777" w:rsidR="00575C7C" w:rsidRPr="007E6DF7" w:rsidRDefault="00575C7C" w:rsidP="00575C7C">
            <w:pPr>
              <w:jc w:val="center"/>
              <w:rPr>
                <w:b/>
                <w:bCs/>
                <w:sz w:val="18"/>
                <w:szCs w:val="18"/>
              </w:rPr>
            </w:pPr>
            <w:r w:rsidRPr="007E6DF7">
              <w:rPr>
                <w:b/>
                <w:bCs/>
                <w:sz w:val="18"/>
                <w:szCs w:val="18"/>
              </w:rPr>
              <w:t>5</w:t>
            </w:r>
          </w:p>
        </w:tc>
        <w:tc>
          <w:tcPr>
            <w:tcW w:w="0" w:type="auto"/>
            <w:shd w:val="clear" w:color="auto" w:fill="00B0F0"/>
          </w:tcPr>
          <w:p w14:paraId="137F6ACE" w14:textId="77777777" w:rsidR="00575C7C" w:rsidRPr="007E6DF7" w:rsidRDefault="00575C7C" w:rsidP="00575C7C">
            <w:pPr>
              <w:jc w:val="center"/>
              <w:rPr>
                <w:b/>
                <w:bCs/>
                <w:sz w:val="18"/>
                <w:szCs w:val="18"/>
              </w:rPr>
            </w:pPr>
            <w:r w:rsidRPr="007E6DF7">
              <w:rPr>
                <w:b/>
                <w:bCs/>
                <w:sz w:val="18"/>
                <w:szCs w:val="18"/>
              </w:rPr>
              <w:t>6</w:t>
            </w:r>
          </w:p>
        </w:tc>
        <w:tc>
          <w:tcPr>
            <w:tcW w:w="0" w:type="auto"/>
            <w:shd w:val="clear" w:color="auto" w:fill="00B0F0"/>
          </w:tcPr>
          <w:p w14:paraId="1A312B8B" w14:textId="77777777" w:rsidR="00575C7C" w:rsidRPr="007E6DF7" w:rsidRDefault="00575C7C" w:rsidP="00575C7C">
            <w:pPr>
              <w:jc w:val="center"/>
              <w:rPr>
                <w:b/>
                <w:bCs/>
                <w:sz w:val="18"/>
                <w:szCs w:val="18"/>
              </w:rPr>
            </w:pPr>
            <w:r w:rsidRPr="007E6DF7">
              <w:rPr>
                <w:b/>
                <w:bCs/>
                <w:sz w:val="18"/>
                <w:szCs w:val="18"/>
              </w:rPr>
              <w:t>7</w:t>
            </w:r>
          </w:p>
        </w:tc>
        <w:tc>
          <w:tcPr>
            <w:tcW w:w="0" w:type="auto"/>
            <w:shd w:val="clear" w:color="auto" w:fill="00B0F0"/>
          </w:tcPr>
          <w:p w14:paraId="6B602AA4" w14:textId="77777777" w:rsidR="00575C7C" w:rsidRPr="007E6DF7" w:rsidRDefault="00575C7C" w:rsidP="00575C7C">
            <w:pPr>
              <w:jc w:val="center"/>
              <w:rPr>
                <w:b/>
                <w:bCs/>
                <w:sz w:val="18"/>
                <w:szCs w:val="18"/>
              </w:rPr>
            </w:pPr>
            <w:r w:rsidRPr="007E6DF7">
              <w:rPr>
                <w:b/>
                <w:bCs/>
                <w:sz w:val="18"/>
                <w:szCs w:val="18"/>
              </w:rPr>
              <w:t>8</w:t>
            </w:r>
          </w:p>
        </w:tc>
        <w:tc>
          <w:tcPr>
            <w:tcW w:w="0" w:type="auto"/>
            <w:shd w:val="clear" w:color="auto" w:fill="00B0F0"/>
          </w:tcPr>
          <w:p w14:paraId="6350C9CA" w14:textId="77777777" w:rsidR="00575C7C" w:rsidRPr="007E6DF7" w:rsidRDefault="00575C7C" w:rsidP="00575C7C">
            <w:pPr>
              <w:jc w:val="center"/>
              <w:rPr>
                <w:b/>
                <w:bCs/>
                <w:sz w:val="18"/>
                <w:szCs w:val="18"/>
              </w:rPr>
            </w:pPr>
            <w:r w:rsidRPr="007E6DF7">
              <w:rPr>
                <w:b/>
                <w:bCs/>
                <w:sz w:val="18"/>
                <w:szCs w:val="18"/>
              </w:rPr>
              <w:t>9</w:t>
            </w:r>
          </w:p>
        </w:tc>
        <w:tc>
          <w:tcPr>
            <w:tcW w:w="0" w:type="auto"/>
            <w:shd w:val="clear" w:color="auto" w:fill="00B0F0"/>
          </w:tcPr>
          <w:p w14:paraId="2D5A4019" w14:textId="77777777" w:rsidR="00575C7C" w:rsidRPr="007E6DF7" w:rsidRDefault="00575C7C" w:rsidP="00575C7C">
            <w:pPr>
              <w:jc w:val="center"/>
              <w:rPr>
                <w:b/>
                <w:bCs/>
                <w:sz w:val="18"/>
                <w:szCs w:val="18"/>
              </w:rPr>
            </w:pPr>
            <w:r w:rsidRPr="007E6DF7">
              <w:rPr>
                <w:b/>
                <w:bCs/>
                <w:sz w:val="18"/>
                <w:szCs w:val="18"/>
              </w:rPr>
              <w:t>10</w:t>
            </w:r>
          </w:p>
        </w:tc>
        <w:tc>
          <w:tcPr>
            <w:tcW w:w="0" w:type="auto"/>
            <w:shd w:val="clear" w:color="auto" w:fill="00B0F0"/>
          </w:tcPr>
          <w:p w14:paraId="7A59C044" w14:textId="77777777" w:rsidR="00575C7C" w:rsidRPr="007E6DF7" w:rsidRDefault="00575C7C" w:rsidP="00575C7C">
            <w:pPr>
              <w:jc w:val="center"/>
              <w:rPr>
                <w:b/>
                <w:bCs/>
                <w:sz w:val="18"/>
                <w:szCs w:val="18"/>
              </w:rPr>
            </w:pPr>
            <w:r w:rsidRPr="007E6DF7">
              <w:rPr>
                <w:b/>
                <w:bCs/>
                <w:sz w:val="18"/>
                <w:szCs w:val="18"/>
              </w:rPr>
              <w:t>11</w:t>
            </w:r>
          </w:p>
        </w:tc>
        <w:tc>
          <w:tcPr>
            <w:tcW w:w="0" w:type="auto"/>
            <w:shd w:val="clear" w:color="auto" w:fill="00B0F0"/>
          </w:tcPr>
          <w:p w14:paraId="6031F1F4" w14:textId="77777777" w:rsidR="00575C7C" w:rsidRPr="007E6DF7" w:rsidRDefault="00575C7C" w:rsidP="00575C7C">
            <w:pPr>
              <w:jc w:val="center"/>
              <w:rPr>
                <w:b/>
                <w:bCs/>
                <w:sz w:val="18"/>
                <w:szCs w:val="18"/>
                <w:lang w:bidi="bn-BD"/>
              </w:rPr>
            </w:pPr>
            <w:r w:rsidRPr="007E6DF7">
              <w:rPr>
                <w:rFonts w:hint="cs"/>
                <w:b/>
                <w:bCs/>
                <w:sz w:val="18"/>
                <w:szCs w:val="18"/>
                <w:cs/>
                <w:lang w:bidi="bn-BD"/>
              </w:rPr>
              <w:t>12</w:t>
            </w:r>
          </w:p>
        </w:tc>
        <w:tc>
          <w:tcPr>
            <w:tcW w:w="0" w:type="auto"/>
            <w:shd w:val="clear" w:color="auto" w:fill="00B0F0"/>
          </w:tcPr>
          <w:p w14:paraId="771C0437" w14:textId="77777777" w:rsidR="00575C7C" w:rsidRPr="007E6DF7" w:rsidRDefault="00575C7C" w:rsidP="00575C7C">
            <w:pPr>
              <w:jc w:val="center"/>
              <w:rPr>
                <w:b/>
                <w:bCs/>
                <w:sz w:val="18"/>
                <w:szCs w:val="18"/>
                <w:lang w:bidi="bn-BD"/>
              </w:rPr>
            </w:pPr>
            <w:r w:rsidRPr="007E6DF7">
              <w:rPr>
                <w:b/>
                <w:bCs/>
                <w:sz w:val="18"/>
                <w:szCs w:val="18"/>
              </w:rPr>
              <w:t>1</w:t>
            </w:r>
            <w:r w:rsidRPr="007E6DF7">
              <w:rPr>
                <w:rFonts w:hint="cs"/>
                <w:b/>
                <w:bCs/>
                <w:sz w:val="18"/>
                <w:szCs w:val="18"/>
                <w:cs/>
                <w:lang w:bidi="bn-BD"/>
              </w:rPr>
              <w:t>3</w:t>
            </w:r>
          </w:p>
        </w:tc>
      </w:tr>
      <w:tr w:rsidR="00575C7C" w14:paraId="3A6ADBD9" w14:textId="77777777" w:rsidTr="00A64F0D">
        <w:tc>
          <w:tcPr>
            <w:tcW w:w="0" w:type="auto"/>
          </w:tcPr>
          <w:p w14:paraId="4706FCDC" w14:textId="77777777" w:rsidR="00575C7C" w:rsidRDefault="00575C7C" w:rsidP="00575C7C">
            <w:pPr>
              <w:ind w:left="970" w:hanging="970"/>
              <w:jc w:val="both"/>
              <w:rPr>
                <w:color w:val="0070C0"/>
                <w:sz w:val="30"/>
                <w:szCs w:val="30"/>
              </w:rPr>
            </w:pPr>
          </w:p>
        </w:tc>
        <w:tc>
          <w:tcPr>
            <w:tcW w:w="0" w:type="auto"/>
            <w:gridSpan w:val="12"/>
          </w:tcPr>
          <w:p w14:paraId="721F6B78" w14:textId="77777777" w:rsidR="00575C7C" w:rsidRDefault="00575C7C" w:rsidP="00575C7C">
            <w:pPr>
              <w:jc w:val="both"/>
              <w:rPr>
                <w:color w:val="0070C0"/>
                <w:sz w:val="48"/>
                <w:szCs w:val="48"/>
              </w:rPr>
            </w:pPr>
            <w:r>
              <w:rPr>
                <w:color w:val="0070C0"/>
                <w:sz w:val="30"/>
                <w:szCs w:val="30"/>
              </w:rPr>
              <w:t xml:space="preserve">Target </w:t>
            </w:r>
            <w:r w:rsidRPr="00C97C3C">
              <w:rPr>
                <w:b/>
                <w:bCs/>
                <w:color w:val="0070C0"/>
                <w:sz w:val="30"/>
                <w:szCs w:val="30"/>
                <w:lang w:bidi="bn-BD"/>
              </w:rPr>
              <w:t>10.1 By 2030, progressively achieve and sustain income growth of the bottom 40 per cent of the population at a rate higher than the national average</w:t>
            </w:r>
          </w:p>
        </w:tc>
      </w:tr>
      <w:tr w:rsidR="0036416A" w14:paraId="0D963868" w14:textId="77777777" w:rsidTr="00A64F0D">
        <w:tc>
          <w:tcPr>
            <w:tcW w:w="0" w:type="auto"/>
          </w:tcPr>
          <w:p w14:paraId="3080D40C" w14:textId="77777777" w:rsidR="0036416A" w:rsidRDefault="0036416A" w:rsidP="0036416A">
            <w:pPr>
              <w:pStyle w:val="NoSpacing"/>
            </w:pPr>
            <w:r w:rsidRPr="003E7D26">
              <w:t>10.1.1 Growth rates of household expenditure or income per capita among the bottom 40 per cent of the population and the total population</w:t>
            </w:r>
          </w:p>
        </w:tc>
        <w:tc>
          <w:tcPr>
            <w:tcW w:w="0" w:type="auto"/>
          </w:tcPr>
          <w:p w14:paraId="59539D62" w14:textId="77777777" w:rsidR="0036416A" w:rsidRDefault="0036416A" w:rsidP="0036416A">
            <w:pPr>
              <w:ind w:left="970" w:hanging="970"/>
              <w:jc w:val="both"/>
              <w:rPr>
                <w:color w:val="0070C0"/>
                <w:sz w:val="30"/>
                <w:szCs w:val="30"/>
              </w:rPr>
            </w:pPr>
          </w:p>
          <w:p w14:paraId="77C9AE50" w14:textId="77777777" w:rsidR="0036416A" w:rsidRDefault="0036416A" w:rsidP="0036416A">
            <w:pPr>
              <w:pStyle w:val="NoSpacing"/>
            </w:pPr>
            <w:r w:rsidRPr="007A7507">
              <w:t>World Bank</w:t>
            </w:r>
          </w:p>
        </w:tc>
        <w:tc>
          <w:tcPr>
            <w:tcW w:w="0" w:type="auto"/>
          </w:tcPr>
          <w:p w14:paraId="0F311A9E" w14:textId="77777777" w:rsidR="0036416A" w:rsidRDefault="0036416A" w:rsidP="0036416A">
            <w:pPr>
              <w:ind w:left="970" w:hanging="970"/>
              <w:jc w:val="both"/>
              <w:rPr>
                <w:color w:val="0070C0"/>
                <w:sz w:val="30"/>
                <w:szCs w:val="30"/>
              </w:rPr>
            </w:pPr>
            <w:r w:rsidRPr="00253629">
              <w:t>Tier II</w:t>
            </w:r>
          </w:p>
        </w:tc>
        <w:tc>
          <w:tcPr>
            <w:tcW w:w="0" w:type="auto"/>
          </w:tcPr>
          <w:p w14:paraId="69D6D412" w14:textId="77777777" w:rsidR="0036416A" w:rsidRPr="003C5825" w:rsidRDefault="0036416A" w:rsidP="0036416A">
            <w:pPr>
              <w:pStyle w:val="NoSpacing"/>
              <w:rPr>
                <w:szCs w:val="20"/>
              </w:rPr>
            </w:pPr>
            <w:r w:rsidRPr="003C5825">
              <w:rPr>
                <w:rStyle w:val="Strong"/>
                <w:rFonts w:cs="Times New Roman"/>
                <w:color w:val="4A4A4A"/>
                <w:szCs w:val="20"/>
              </w:rPr>
              <w:t>Definition:</w:t>
            </w:r>
          </w:p>
          <w:p w14:paraId="7192AAFA" w14:textId="77777777" w:rsidR="0036416A" w:rsidRPr="003C5825" w:rsidRDefault="0036416A" w:rsidP="0036416A">
            <w:pPr>
              <w:pStyle w:val="NoSpacing"/>
              <w:rPr>
                <w:szCs w:val="20"/>
              </w:rPr>
            </w:pPr>
          </w:p>
          <w:p w14:paraId="22B61D00" w14:textId="77777777" w:rsidR="0036416A" w:rsidRPr="003C5825" w:rsidRDefault="0036416A" w:rsidP="0036416A">
            <w:pPr>
              <w:pStyle w:val="NoSpacing"/>
              <w:rPr>
                <w:szCs w:val="20"/>
              </w:rPr>
            </w:pPr>
            <w:r w:rsidRPr="003C5825">
              <w:rPr>
                <w:szCs w:val="20"/>
              </w:rPr>
              <w:t>The growth rate in the welfare aggregate of bottom 40% is computed as the annualized average growth rate in per capita real consumption or income of the bottom 40% of the income distribution in a country from household surveys over a roughly 5-year period. The national average growth rate in the welfare aggregate is computed as the annualized average growth rate in per capita real consumption or income of the total population in a country from household surveys over a roughly 5-year period.</w:t>
            </w:r>
          </w:p>
          <w:p w14:paraId="3F835D4B" w14:textId="77777777" w:rsidR="0036416A" w:rsidRPr="003C5825" w:rsidRDefault="0036416A" w:rsidP="0036416A">
            <w:pPr>
              <w:pStyle w:val="NoSpacing"/>
              <w:rPr>
                <w:szCs w:val="20"/>
              </w:rPr>
            </w:pPr>
          </w:p>
          <w:p w14:paraId="2D9EED59" w14:textId="77777777" w:rsidR="0036416A" w:rsidRPr="003C5825" w:rsidRDefault="0036416A" w:rsidP="0036416A">
            <w:pPr>
              <w:pStyle w:val="NoSpacing"/>
              <w:rPr>
                <w:szCs w:val="20"/>
              </w:rPr>
            </w:pPr>
            <w:r w:rsidRPr="003C5825">
              <w:rPr>
                <w:rStyle w:val="Strong"/>
                <w:rFonts w:cs="Times New Roman"/>
                <w:color w:val="4A4A4A"/>
                <w:szCs w:val="20"/>
              </w:rPr>
              <w:t>Concepts:</w:t>
            </w:r>
          </w:p>
          <w:p w14:paraId="450446C6" w14:textId="77777777" w:rsidR="0036416A" w:rsidRPr="003C5825" w:rsidRDefault="0036416A" w:rsidP="0036416A">
            <w:pPr>
              <w:pStyle w:val="NoSpacing"/>
              <w:rPr>
                <w:szCs w:val="20"/>
              </w:rPr>
            </w:pPr>
          </w:p>
          <w:p w14:paraId="501BF2CB" w14:textId="77777777" w:rsidR="0036416A" w:rsidRPr="003C5825" w:rsidRDefault="0036416A" w:rsidP="0036416A">
            <w:pPr>
              <w:pStyle w:val="NoSpacing"/>
              <w:rPr>
                <w:szCs w:val="20"/>
              </w:rPr>
            </w:pPr>
            <w:r w:rsidRPr="003C5825">
              <w:rPr>
                <w:szCs w:val="20"/>
              </w:rPr>
              <w:t>Promoting shared prosperity is defined as fostering income growth of the bottom 40 percent of the welfare distribution in every country and is measured by calculating the annualized growth of mean per capita real income or consumption of the bottom 40 percent. The choice of the bottom 40 percent as the target population is one of practical compromise. The bottom 40 percent differs across countries depending on the welfare distribution, and it can change over time within a country. Because boosting shared prosperity is a country-specific goal, there is no numerical target defined globally.</w:t>
            </w:r>
          </w:p>
          <w:p w14:paraId="5B3E3FEB" w14:textId="77777777" w:rsidR="0036416A" w:rsidRPr="003C5825" w:rsidRDefault="0036416A" w:rsidP="0036416A">
            <w:pPr>
              <w:pStyle w:val="NoSpacing"/>
              <w:rPr>
                <w:szCs w:val="20"/>
              </w:rPr>
            </w:pPr>
          </w:p>
          <w:p w14:paraId="7E2702F8" w14:textId="77777777" w:rsidR="0036416A" w:rsidRPr="003C5825" w:rsidRDefault="0036416A" w:rsidP="0036416A">
            <w:pPr>
              <w:pStyle w:val="NoSpacing"/>
              <w:rPr>
                <w:szCs w:val="20"/>
              </w:rPr>
            </w:pPr>
            <w:r w:rsidRPr="003C5825">
              <w:rPr>
                <w:rStyle w:val="Strong"/>
                <w:rFonts w:cs="Times New Roman"/>
                <w:color w:val="4A4A4A"/>
                <w:szCs w:val="20"/>
              </w:rPr>
              <w:t>Comments and limitations:</w:t>
            </w:r>
          </w:p>
          <w:p w14:paraId="39A9D3D0" w14:textId="77777777" w:rsidR="0036416A" w:rsidRPr="003C5825" w:rsidRDefault="0036416A" w:rsidP="0036416A">
            <w:pPr>
              <w:pStyle w:val="NoSpacing"/>
              <w:rPr>
                <w:szCs w:val="20"/>
              </w:rPr>
            </w:pPr>
          </w:p>
          <w:p w14:paraId="432FA5CF" w14:textId="77777777" w:rsidR="0036416A" w:rsidRPr="003C5825" w:rsidRDefault="0036416A" w:rsidP="0036416A">
            <w:pPr>
              <w:pStyle w:val="NoSpacing"/>
              <w:rPr>
                <w:szCs w:val="20"/>
              </w:rPr>
            </w:pPr>
            <w:r w:rsidRPr="003C5825">
              <w:rPr>
                <w:szCs w:val="20"/>
              </w:rPr>
              <w:t>There are mainly two limitations of shared prosperity indicators: data availability and data quality.</w:t>
            </w:r>
            <w:r w:rsidRPr="003C5825">
              <w:rPr>
                <w:rStyle w:val="apple-converted-space"/>
                <w:color w:val="4A4A4A"/>
                <w:szCs w:val="20"/>
              </w:rPr>
              <w:t xml:space="preserve"> </w:t>
            </w:r>
          </w:p>
          <w:p w14:paraId="15F8C879" w14:textId="77777777" w:rsidR="0036416A" w:rsidRPr="003C5825" w:rsidRDefault="0036416A" w:rsidP="0036416A">
            <w:pPr>
              <w:pStyle w:val="NoSpacing"/>
              <w:rPr>
                <w:szCs w:val="20"/>
              </w:rPr>
            </w:pPr>
          </w:p>
          <w:p w14:paraId="042F8E5F" w14:textId="77777777" w:rsidR="0036416A" w:rsidRPr="003C5825" w:rsidRDefault="0036416A" w:rsidP="0036416A">
            <w:pPr>
              <w:pStyle w:val="NoSpacing"/>
              <w:rPr>
                <w:szCs w:val="20"/>
              </w:rPr>
            </w:pPr>
            <w:r w:rsidRPr="003C5825">
              <w:rPr>
                <w:szCs w:val="20"/>
              </w:rPr>
              <w:t>Data availability</w:t>
            </w:r>
          </w:p>
          <w:p w14:paraId="2F757FC5" w14:textId="77777777" w:rsidR="0036416A" w:rsidRPr="003C5825" w:rsidRDefault="0036416A" w:rsidP="0036416A">
            <w:pPr>
              <w:pStyle w:val="NoSpacing"/>
              <w:rPr>
                <w:szCs w:val="20"/>
              </w:rPr>
            </w:pPr>
          </w:p>
          <w:p w14:paraId="49B37751" w14:textId="77777777" w:rsidR="0036416A" w:rsidRPr="003C5825" w:rsidRDefault="0036416A" w:rsidP="0036416A">
            <w:pPr>
              <w:pStyle w:val="NoSpacing"/>
              <w:rPr>
                <w:szCs w:val="20"/>
              </w:rPr>
            </w:pPr>
            <w:r w:rsidRPr="003C5825">
              <w:rPr>
                <w:szCs w:val="20"/>
              </w:rPr>
              <w:lastRenderedPageBreak/>
              <w:t>Lack of household survey data is even more problematic for monitoring shared prosperity than for monitoring poverty. To monitor shared prosperity, two surveys of a country have to be conducted within five years or so during a chosen period, namely circa 2007-12. They have to be reasonably comparable to each other in terms of both the survey design and the construction of the welfare aggregates. Thus, not every survey that can generate poverty estimates can generate shared prosperity estimates.</w:t>
            </w:r>
            <w:r w:rsidRPr="003C5825">
              <w:rPr>
                <w:rStyle w:val="apple-converted-space"/>
                <w:color w:val="4A4A4A"/>
                <w:szCs w:val="20"/>
              </w:rPr>
              <w:t xml:space="preserve"> </w:t>
            </w:r>
          </w:p>
          <w:p w14:paraId="04F53499" w14:textId="77777777" w:rsidR="0036416A" w:rsidRPr="003C5825" w:rsidRDefault="0036416A" w:rsidP="0036416A">
            <w:pPr>
              <w:pStyle w:val="NoSpacing"/>
              <w:rPr>
                <w:szCs w:val="20"/>
              </w:rPr>
            </w:pPr>
          </w:p>
          <w:p w14:paraId="4DEF80B6" w14:textId="77777777" w:rsidR="0036416A" w:rsidRPr="003C5825" w:rsidRDefault="0036416A" w:rsidP="0036416A">
            <w:pPr>
              <w:pStyle w:val="NoSpacing"/>
              <w:rPr>
                <w:szCs w:val="20"/>
              </w:rPr>
            </w:pPr>
            <w:r w:rsidRPr="003C5825">
              <w:rPr>
                <w:szCs w:val="20"/>
              </w:rPr>
              <w:t>The second consideration is the coverage of countries, with data that are as recent as possible. Since shared prosperity must be estimated and used at the country level, there are good reasons for obtaining a wide coverage of countries, regardless of the size of their population. Moreover, for policy purposes it is important to have indicators for the most recent period possible for each country. The selection of survey years and countries needs to be made consistently and transparently, achieving a balance between matching the time period as closely as possible across all countries, including the most recent data, and ensuring the widest possible coverage of countries, across regions and income levels. In practice, this means that time periods will not match perfectly across countries. This is a compromise: while it introduces a degree of incomparability, it also creates a database that includes a larger set of countries than would be otherwise possible</w:t>
            </w:r>
            <w:r w:rsidRPr="003C5825">
              <w:rPr>
                <w:rStyle w:val="apple-converted-space"/>
                <w:color w:val="4A4A4A"/>
                <w:szCs w:val="20"/>
              </w:rPr>
              <w:t xml:space="preserve"> </w:t>
            </w:r>
          </w:p>
          <w:p w14:paraId="7829A99E" w14:textId="77777777" w:rsidR="0036416A" w:rsidRPr="003C5825" w:rsidRDefault="0036416A" w:rsidP="0036416A">
            <w:pPr>
              <w:pStyle w:val="NoSpacing"/>
              <w:rPr>
                <w:szCs w:val="20"/>
              </w:rPr>
            </w:pPr>
          </w:p>
          <w:p w14:paraId="715D1AFD" w14:textId="77777777" w:rsidR="0036416A" w:rsidRPr="003C5825" w:rsidRDefault="0036416A" w:rsidP="0036416A">
            <w:pPr>
              <w:pStyle w:val="NoSpacing"/>
              <w:rPr>
                <w:szCs w:val="20"/>
              </w:rPr>
            </w:pPr>
            <w:r w:rsidRPr="003C5825">
              <w:rPr>
                <w:szCs w:val="20"/>
              </w:rPr>
              <w:t>Data quality</w:t>
            </w:r>
          </w:p>
          <w:p w14:paraId="1BE16136" w14:textId="77777777" w:rsidR="0036416A" w:rsidRPr="003C5825" w:rsidRDefault="0036416A" w:rsidP="0036416A">
            <w:pPr>
              <w:pStyle w:val="NoSpacing"/>
              <w:rPr>
                <w:szCs w:val="20"/>
              </w:rPr>
            </w:pPr>
          </w:p>
          <w:p w14:paraId="305B0D7D" w14:textId="77777777" w:rsidR="0036416A" w:rsidRPr="003C5825" w:rsidRDefault="0036416A" w:rsidP="0036416A">
            <w:pPr>
              <w:pStyle w:val="NoSpacing"/>
              <w:rPr>
                <w:szCs w:val="20"/>
              </w:rPr>
            </w:pPr>
            <w:r w:rsidRPr="003C5825">
              <w:rPr>
                <w:szCs w:val="20"/>
              </w:rPr>
              <w:t>Like for poverty rates, estimates of annualized growth of mean per capita real income or consumption are based on income or consumption data collected in household surveys. The same quality issues applying to poverty rates apply here. Specifically, measuring household living standards has its own complications. Surveys ask detailed questions on sources of income and how it was spent, which must be carefully recorded by trained personnel. Income is difficult to measure accurately, and consumption comes closer to the notion of living standards. Moreover, income can vary over time even if living standards do not. But consumption data are not always available: the latest estimates reported here use consumption for about two-thirds of countries.</w:t>
            </w:r>
          </w:p>
          <w:p w14:paraId="30214915" w14:textId="77777777" w:rsidR="0036416A" w:rsidRPr="003C5825" w:rsidRDefault="0036416A" w:rsidP="0036416A">
            <w:pPr>
              <w:pStyle w:val="NoSpacing"/>
              <w:rPr>
                <w:szCs w:val="20"/>
              </w:rPr>
            </w:pPr>
          </w:p>
          <w:p w14:paraId="07FD67D9" w14:textId="77777777" w:rsidR="0036416A" w:rsidRPr="003C5825" w:rsidRDefault="0036416A" w:rsidP="0036416A">
            <w:pPr>
              <w:pStyle w:val="NoSpacing"/>
              <w:rPr>
                <w:szCs w:val="20"/>
              </w:rPr>
            </w:pPr>
            <w:r w:rsidRPr="003C5825">
              <w:rPr>
                <w:szCs w:val="20"/>
              </w:rPr>
              <w:t>Similar surveys may not be strictly comparable because of differences in timing, sampling frames, or the quality and training of enumerators. Comparisons of countries at different levels of development also pose problems because of differences in the relative importance of the consumption of nonmarket goods. The local market value of all consumption in kind (including own production, particularly important in underdeveloped rural economies) should be included in total consumption expenditure, but in practice are often not. Most survey data now include valuations for consumption or income from own production, but valuation methods vary.</w:t>
            </w:r>
          </w:p>
          <w:p w14:paraId="1F85B2AC" w14:textId="77777777" w:rsidR="0036416A" w:rsidRPr="003C5825" w:rsidRDefault="0036416A" w:rsidP="0036416A">
            <w:pPr>
              <w:pStyle w:val="NoSpacing"/>
              <w:rPr>
                <w:szCs w:val="20"/>
              </w:rPr>
            </w:pPr>
          </w:p>
          <w:p w14:paraId="672424DB" w14:textId="77777777" w:rsidR="0036416A" w:rsidRPr="003C5825" w:rsidRDefault="0036416A" w:rsidP="0036416A">
            <w:pPr>
              <w:pStyle w:val="NoSpacing"/>
              <w:rPr>
                <w:szCs w:val="20"/>
              </w:rPr>
            </w:pPr>
            <w:r w:rsidRPr="003C5825">
              <w:rPr>
                <w:szCs w:val="20"/>
              </w:rPr>
              <w:t>The statistics reported here are based on consumption data or, when unavailable, on income data. Analysis of some 20 countries for which both consumption and income data were available from the same surveys found income to yield a higher mean than consumption but also higher inequality. When poverty measures based on consumption and income were compared, the two effects roughly cancelled each other out: there was no significant statistical difference.</w:t>
            </w:r>
            <w:r w:rsidRPr="003C5825">
              <w:rPr>
                <w:rStyle w:val="apple-converted-space"/>
                <w:color w:val="4A4A4A"/>
                <w:szCs w:val="20"/>
              </w:rPr>
              <w:t xml:space="preserve"> </w:t>
            </w:r>
          </w:p>
          <w:p w14:paraId="70A6E47C" w14:textId="77777777" w:rsidR="0036416A" w:rsidRPr="003C5825" w:rsidRDefault="0036416A" w:rsidP="0036416A">
            <w:pPr>
              <w:pStyle w:val="NoSpacing"/>
              <w:rPr>
                <w:szCs w:val="20"/>
              </w:rPr>
            </w:pPr>
          </w:p>
          <w:p w14:paraId="4D985DB6" w14:textId="77777777" w:rsidR="0036416A" w:rsidRDefault="0036416A" w:rsidP="0036416A">
            <w:pPr>
              <w:pStyle w:val="NoSpacing"/>
              <w:rPr>
                <w:szCs w:val="20"/>
              </w:rPr>
            </w:pPr>
            <w:r w:rsidRPr="003C5825">
              <w:rPr>
                <w:szCs w:val="20"/>
              </w:rPr>
              <w:t xml:space="preserve">Invariably some sampled households do not participate in surveys because they refuse to do so or because nobody is at home </w:t>
            </w:r>
            <w:r w:rsidRPr="003C5825">
              <w:rPr>
                <w:szCs w:val="20"/>
              </w:rPr>
              <w:lastRenderedPageBreak/>
              <w:t>during the interview visit. This is referred to as “unit nonresponse” and is distinct from “item nonresponse,” which occurs when some of the sampled respondents participate but refuse to answer certain questions, such as those pertaining to income or consumption. To the extent that survey nonresponse is random, there is no concern regarding biases in survey-based inferences; the sample will still be representative of the population. However, households with different incomes may not be equally likely to respond. Richer households may be less likely to participate because of the high opportunity cost of their time or because of privacy concerns. It is conceivable that the poorest can likewise be underrepresented; some are homeless or nomadic and hard to reach in standard household survey designs, and some may be physically or socially isolated and thus less likely to be interviewed. This can bias both poverty and inequality measurement if not corrected for.</w:t>
            </w:r>
          </w:p>
          <w:p w14:paraId="694FE1E9" w14:textId="77777777" w:rsidR="0036416A" w:rsidRPr="003C5825" w:rsidRDefault="0036416A" w:rsidP="0036416A">
            <w:pPr>
              <w:pStyle w:val="NoSpacing"/>
              <w:rPr>
                <w:rStyle w:val="Strong"/>
                <w:b w:val="0"/>
                <w:bCs w:val="0"/>
                <w:szCs w:val="20"/>
              </w:rPr>
            </w:pPr>
          </w:p>
          <w:p w14:paraId="389A9CD5" w14:textId="77777777" w:rsidR="0036416A" w:rsidRPr="003C5825" w:rsidRDefault="0036416A" w:rsidP="0036416A">
            <w:pPr>
              <w:pStyle w:val="NoSpacing"/>
              <w:rPr>
                <w:szCs w:val="20"/>
              </w:rPr>
            </w:pPr>
            <w:r w:rsidRPr="003C5825">
              <w:rPr>
                <w:rStyle w:val="Strong"/>
                <w:rFonts w:cs="Times New Roman"/>
                <w:color w:val="4A4A4A"/>
                <w:szCs w:val="20"/>
              </w:rPr>
              <w:t>Computation Method:</w:t>
            </w:r>
          </w:p>
          <w:p w14:paraId="1E7F7484" w14:textId="77777777" w:rsidR="0036416A" w:rsidRPr="003C5825" w:rsidRDefault="0036416A" w:rsidP="0036416A">
            <w:pPr>
              <w:pStyle w:val="NoSpacing"/>
              <w:rPr>
                <w:szCs w:val="20"/>
              </w:rPr>
            </w:pPr>
          </w:p>
          <w:p w14:paraId="1AA5BD54" w14:textId="77777777" w:rsidR="0036416A" w:rsidRPr="003C5825" w:rsidRDefault="0036416A" w:rsidP="0036416A">
            <w:pPr>
              <w:pStyle w:val="NoSpacing"/>
              <w:rPr>
                <w:szCs w:val="20"/>
              </w:rPr>
            </w:pPr>
            <w:r w:rsidRPr="003C5825">
              <w:rPr>
                <w:szCs w:val="20"/>
              </w:rPr>
              <w:t>Growth rates are calculated as annualized average growth rates over a roughly five-year period. Since many countries do not conduct surveys on a precise five-year schedule, the following rules guide selection of the survey years used to calculate the growth rates in the 2015 update: the final year of the growth period (T1) is the most recent year of a survey but no earlier than 2010, and the initial year (T0) is as close to T1 – 5 as possible, within a two-year band. Thus the gap between initial and final survey years ranges from three to seven years. If two surveys are equidistant from T1 – 5, other things being equal, the more recent survey year is selected as T0. The comparability of welfare aggregates (income or consumption) for the years chosen for T0 and T1 is assessed for every country. If comparability across the two surveys is a major concern, the selection criteria are re-applied to select the next best survey year.</w:t>
            </w:r>
          </w:p>
          <w:p w14:paraId="635CFD08" w14:textId="77777777" w:rsidR="0036416A" w:rsidRPr="003C5825" w:rsidRDefault="0036416A" w:rsidP="0036416A">
            <w:pPr>
              <w:pStyle w:val="NoSpacing"/>
              <w:rPr>
                <w:szCs w:val="20"/>
              </w:rPr>
            </w:pPr>
          </w:p>
          <w:p w14:paraId="0163FA9F" w14:textId="77777777" w:rsidR="0036416A" w:rsidRPr="003C5825" w:rsidRDefault="0036416A" w:rsidP="0036416A">
            <w:pPr>
              <w:pStyle w:val="NoSpacing"/>
              <w:rPr>
                <w:szCs w:val="20"/>
              </w:rPr>
            </w:pPr>
            <w:r w:rsidRPr="003C5825">
              <w:rPr>
                <w:szCs w:val="20"/>
              </w:rPr>
              <w:t>Once two surveys are selected for a country, the annualized growth of mean per capita real income or consumption is computed by first estimating the mean per capita real income or consumption of the bottom 40 percent of the welfare distribution in years T0 and T1 and then computing the annual average growth rate between those years using a compound growth formula, (Mean in T_1)</w:t>
            </w:r>
            <w:proofErr w:type="gramStart"/>
            <w:r w:rsidRPr="003C5825">
              <w:rPr>
                <w:szCs w:val="20"/>
              </w:rPr>
              <w:t>/(</w:t>
            </w:r>
            <w:proofErr w:type="gramEnd"/>
            <w:r w:rsidRPr="003C5825">
              <w:rPr>
                <w:szCs w:val="20"/>
              </w:rPr>
              <w:t>Mean in T_0 )?^(1/( T_1- T_0 ))-1. Growth of mean per capita real income or consumption of the total population is computed in the same way using data for the total population.</w:t>
            </w:r>
          </w:p>
          <w:p w14:paraId="739249A6" w14:textId="77777777" w:rsidR="0036416A" w:rsidRPr="003C5825" w:rsidRDefault="0036416A" w:rsidP="0036416A">
            <w:pPr>
              <w:pStyle w:val="NoSpacing"/>
              <w:rPr>
                <w:szCs w:val="20"/>
              </w:rPr>
            </w:pPr>
          </w:p>
        </w:tc>
        <w:tc>
          <w:tcPr>
            <w:tcW w:w="0" w:type="auto"/>
          </w:tcPr>
          <w:p w14:paraId="4E2065BB" w14:textId="77777777" w:rsidR="0036416A" w:rsidRPr="00873FDE" w:rsidRDefault="0036416A" w:rsidP="0036416A">
            <w:pPr>
              <w:pStyle w:val="ListParagraph"/>
              <w:ind w:left="165"/>
              <w:rPr>
                <w:rFonts w:ascii="Tw Cen MT Condensed" w:hAnsi="Tw Cen MT Condensed"/>
                <w:sz w:val="20"/>
                <w:szCs w:val="20"/>
              </w:rPr>
            </w:pPr>
            <w:r w:rsidRPr="00873FDE">
              <w:rPr>
                <w:rFonts w:ascii="Tw Cen MT Condensed" w:hAnsi="Tw Cen MT Condensed"/>
                <w:sz w:val="20"/>
                <w:szCs w:val="20"/>
              </w:rPr>
              <w:lastRenderedPageBreak/>
              <w:t>HIES,</w:t>
            </w:r>
          </w:p>
          <w:p w14:paraId="4BEBA90D" w14:textId="77777777" w:rsidR="0036416A" w:rsidRPr="00873FDE" w:rsidRDefault="0036416A" w:rsidP="0036416A">
            <w:pPr>
              <w:pStyle w:val="ListParagraph"/>
              <w:ind w:left="165"/>
              <w:rPr>
                <w:rFonts w:ascii="Tw Cen MT Condensed" w:hAnsi="Tw Cen MT Condensed"/>
                <w:sz w:val="20"/>
                <w:szCs w:val="20"/>
              </w:rPr>
            </w:pPr>
            <w:r w:rsidRPr="00873FDE">
              <w:rPr>
                <w:rFonts w:ascii="Tw Cen MT Condensed" w:hAnsi="Tw Cen MT Condensed"/>
                <w:sz w:val="20"/>
                <w:szCs w:val="20"/>
              </w:rPr>
              <w:t>Population Census</w:t>
            </w:r>
          </w:p>
          <w:p w14:paraId="2AC123B4" w14:textId="77777777" w:rsidR="0036416A" w:rsidRPr="00873FDE" w:rsidRDefault="0036416A" w:rsidP="0036416A">
            <w:pPr>
              <w:pStyle w:val="ListParagraph"/>
              <w:ind w:left="165"/>
              <w:rPr>
                <w:rFonts w:ascii="Tw Cen MT Condensed" w:hAnsi="Tw Cen MT Condensed"/>
                <w:sz w:val="20"/>
                <w:szCs w:val="20"/>
              </w:rPr>
            </w:pPr>
          </w:p>
        </w:tc>
        <w:tc>
          <w:tcPr>
            <w:tcW w:w="0" w:type="auto"/>
          </w:tcPr>
          <w:p w14:paraId="4E836AE9" w14:textId="77777777" w:rsidR="0036416A" w:rsidRPr="00873FDE" w:rsidRDefault="0036416A" w:rsidP="0036416A">
            <w:pPr>
              <w:rPr>
                <w:szCs w:val="20"/>
              </w:rPr>
            </w:pPr>
            <w:r w:rsidRPr="00873FDE">
              <w:rPr>
                <w:szCs w:val="20"/>
              </w:rPr>
              <w:t>BBS</w:t>
            </w:r>
          </w:p>
        </w:tc>
        <w:tc>
          <w:tcPr>
            <w:tcW w:w="0" w:type="auto"/>
          </w:tcPr>
          <w:p w14:paraId="22A9412A" w14:textId="77777777" w:rsidR="0036416A" w:rsidRDefault="0036416A" w:rsidP="0036416A">
            <w:pPr>
              <w:pStyle w:val="NoSpacing"/>
            </w:pPr>
            <w:r>
              <w:t>BBS</w:t>
            </w:r>
          </w:p>
          <w:p w14:paraId="5235BDE6" w14:textId="77777777" w:rsidR="0036416A" w:rsidRDefault="0036416A" w:rsidP="0036416A">
            <w:pPr>
              <w:pStyle w:val="NoSpacing"/>
            </w:pPr>
            <w:r>
              <w:t>HIES</w:t>
            </w:r>
          </w:p>
        </w:tc>
        <w:tc>
          <w:tcPr>
            <w:tcW w:w="0" w:type="auto"/>
          </w:tcPr>
          <w:p w14:paraId="72C311FE" w14:textId="77777777" w:rsidR="0036416A" w:rsidRDefault="0036416A" w:rsidP="0036416A">
            <w:pPr>
              <w:pStyle w:val="NoSpacing"/>
            </w:pPr>
            <w:r>
              <w:t>BBS</w:t>
            </w:r>
          </w:p>
          <w:p w14:paraId="40963DA0" w14:textId="77777777" w:rsidR="0036416A" w:rsidRDefault="0036416A" w:rsidP="0036416A">
            <w:pPr>
              <w:ind w:left="970" w:hanging="970"/>
              <w:jc w:val="both"/>
              <w:rPr>
                <w:color w:val="0070C0"/>
                <w:sz w:val="30"/>
                <w:szCs w:val="30"/>
              </w:rPr>
            </w:pPr>
            <w:r>
              <w:t>HIES</w:t>
            </w:r>
          </w:p>
        </w:tc>
        <w:tc>
          <w:tcPr>
            <w:tcW w:w="0" w:type="auto"/>
          </w:tcPr>
          <w:p w14:paraId="5EC702CF"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 Growth Rate of Income for Bottom 40% And Total</w:t>
            </w:r>
          </w:p>
          <w:p w14:paraId="13C39751" w14:textId="77777777" w:rsidR="0036416A" w:rsidRDefault="0036416A" w:rsidP="0036416A">
            <w:pPr>
              <w:ind w:left="970" w:hanging="970"/>
              <w:jc w:val="both"/>
              <w:rPr>
                <w:color w:val="0070C0"/>
                <w:sz w:val="30"/>
                <w:szCs w:val="30"/>
              </w:rPr>
            </w:pPr>
          </w:p>
        </w:tc>
        <w:tc>
          <w:tcPr>
            <w:tcW w:w="0" w:type="auto"/>
          </w:tcPr>
          <w:p w14:paraId="5190C947" w14:textId="77777777" w:rsidR="0036416A" w:rsidRDefault="0036416A" w:rsidP="0036416A">
            <w:pPr>
              <w:spacing w:line="276" w:lineRule="auto"/>
              <w:jc w:val="center"/>
            </w:pPr>
            <w:r>
              <w:t>Triennial</w:t>
            </w:r>
          </w:p>
          <w:p w14:paraId="3A86943E" w14:textId="77777777" w:rsidR="0036416A" w:rsidRDefault="0036416A" w:rsidP="0036416A">
            <w:pPr>
              <w:ind w:left="970" w:hanging="970"/>
              <w:jc w:val="both"/>
              <w:rPr>
                <w:color w:val="0070C0"/>
                <w:sz w:val="30"/>
                <w:szCs w:val="30"/>
              </w:rPr>
            </w:pPr>
          </w:p>
        </w:tc>
        <w:tc>
          <w:tcPr>
            <w:tcW w:w="0" w:type="auto"/>
          </w:tcPr>
          <w:p w14:paraId="57F1D421" w14:textId="77777777" w:rsidR="0036416A" w:rsidRDefault="0036416A" w:rsidP="0036416A">
            <w:pPr>
              <w:ind w:left="970" w:hanging="970"/>
              <w:jc w:val="both"/>
              <w:rPr>
                <w:color w:val="0070C0"/>
                <w:sz w:val="30"/>
                <w:szCs w:val="30"/>
              </w:rPr>
            </w:pPr>
            <w:r>
              <w:t>Group 1</w:t>
            </w:r>
          </w:p>
        </w:tc>
        <w:tc>
          <w:tcPr>
            <w:tcW w:w="0" w:type="auto"/>
          </w:tcPr>
          <w:p w14:paraId="7810860A" w14:textId="77777777" w:rsidR="0036416A" w:rsidRDefault="0036416A" w:rsidP="0036416A">
            <w:pPr>
              <w:pStyle w:val="NoSpacing"/>
            </w:pPr>
            <w:r>
              <w:t>1</w:t>
            </w:r>
            <w:r w:rsidRPr="00013ACB">
              <w:rPr>
                <w:vertAlign w:val="superscript"/>
              </w:rPr>
              <w:t>st</w:t>
            </w:r>
            <w:r>
              <w:t xml:space="preserve"> Round: 2016</w:t>
            </w:r>
          </w:p>
          <w:p w14:paraId="2CF31962" w14:textId="77777777" w:rsidR="0036416A" w:rsidRDefault="0036416A" w:rsidP="0036416A">
            <w:pPr>
              <w:pStyle w:val="NoSpacing"/>
            </w:pPr>
          </w:p>
          <w:p w14:paraId="05217FE0" w14:textId="77777777" w:rsidR="0036416A" w:rsidRDefault="0036416A" w:rsidP="0036416A">
            <w:pPr>
              <w:pStyle w:val="NoSpacing"/>
            </w:pPr>
            <w:r>
              <w:t>2</w:t>
            </w:r>
            <w:r w:rsidRPr="00013ACB">
              <w:rPr>
                <w:vertAlign w:val="superscript"/>
              </w:rPr>
              <w:t>nd</w:t>
            </w:r>
            <w:r>
              <w:t xml:space="preserve"> Round: </w:t>
            </w:r>
            <w:r w:rsidRPr="00CA542A">
              <w:t>July, 2020</w:t>
            </w:r>
          </w:p>
          <w:p w14:paraId="71335B7C" w14:textId="77777777" w:rsidR="0036416A" w:rsidRDefault="0036416A" w:rsidP="0036416A">
            <w:pPr>
              <w:pStyle w:val="NoSpacing"/>
            </w:pPr>
          </w:p>
          <w:p w14:paraId="5A499D34" w14:textId="77777777" w:rsidR="0036416A" w:rsidRDefault="0036416A" w:rsidP="0036416A">
            <w:pPr>
              <w:pStyle w:val="NoSpacing"/>
            </w:pPr>
            <w:r>
              <w:t>3</w:t>
            </w:r>
            <w:r w:rsidRPr="00013ACB">
              <w:rPr>
                <w:vertAlign w:val="superscript"/>
              </w:rPr>
              <w:t>rd</w:t>
            </w:r>
            <w:r>
              <w:t xml:space="preserve"> Round: July,2023</w:t>
            </w:r>
          </w:p>
          <w:p w14:paraId="5520C927" w14:textId="77777777" w:rsidR="0036416A" w:rsidRDefault="0036416A" w:rsidP="0036416A">
            <w:pPr>
              <w:pStyle w:val="NoSpacing"/>
            </w:pPr>
          </w:p>
          <w:p w14:paraId="65D1C145" w14:textId="77777777" w:rsidR="0036416A" w:rsidRDefault="0036416A" w:rsidP="0036416A">
            <w:pPr>
              <w:pStyle w:val="NoSpacing"/>
            </w:pPr>
            <w:r>
              <w:t>4</w:t>
            </w:r>
            <w:r w:rsidRPr="00013ACB">
              <w:rPr>
                <w:vertAlign w:val="superscript"/>
              </w:rPr>
              <w:t>th</w:t>
            </w:r>
            <w:r>
              <w:t xml:space="preserve"> Round: July, 2026</w:t>
            </w:r>
          </w:p>
          <w:p w14:paraId="3AF067AE" w14:textId="77777777" w:rsidR="0036416A" w:rsidRDefault="0036416A" w:rsidP="0036416A">
            <w:pPr>
              <w:pStyle w:val="NoSpacing"/>
            </w:pPr>
          </w:p>
          <w:p w14:paraId="7363EC5F" w14:textId="6BEBAF42" w:rsidR="0036416A" w:rsidRDefault="0036416A" w:rsidP="0036416A">
            <w:pPr>
              <w:pStyle w:val="NoSpacing"/>
            </w:pPr>
            <w:r>
              <w:t>5</w:t>
            </w:r>
            <w:r w:rsidRPr="00013ACB">
              <w:rPr>
                <w:vertAlign w:val="superscript"/>
              </w:rPr>
              <w:t>th</w:t>
            </w:r>
            <w:r>
              <w:t xml:space="preserve"> Round: July, 2029</w:t>
            </w:r>
          </w:p>
        </w:tc>
        <w:tc>
          <w:tcPr>
            <w:tcW w:w="0" w:type="auto"/>
          </w:tcPr>
          <w:p w14:paraId="5B6FF86A" w14:textId="77777777" w:rsidR="0036416A" w:rsidRDefault="0036416A" w:rsidP="0036416A">
            <w:pPr>
              <w:pStyle w:val="NoSpacing"/>
            </w:pPr>
            <w:r>
              <w:t>Estimates have been recalculated</w:t>
            </w:r>
            <w:r w:rsidRPr="00BC6F10">
              <w:t>.</w:t>
            </w:r>
          </w:p>
          <w:p w14:paraId="7199D6BE" w14:textId="77777777" w:rsidR="0036416A" w:rsidRDefault="0036416A" w:rsidP="0036416A">
            <w:pPr>
              <w:pStyle w:val="NoSpacing"/>
            </w:pPr>
          </w:p>
          <w:p w14:paraId="35D027DE" w14:textId="77777777" w:rsidR="0036416A" w:rsidRDefault="0036416A" w:rsidP="0036416A">
            <w:pPr>
              <w:pStyle w:val="NoSpacing"/>
            </w:pPr>
            <w:r w:rsidRPr="002F2586">
              <w:t>Data availability reviewed in Nov. 2017 (classified as Tier II)</w:t>
            </w:r>
          </w:p>
        </w:tc>
      </w:tr>
      <w:tr w:rsidR="0036416A" w14:paraId="0195E4D1" w14:textId="77777777" w:rsidTr="00A64F0D">
        <w:tc>
          <w:tcPr>
            <w:tcW w:w="0" w:type="auto"/>
          </w:tcPr>
          <w:p w14:paraId="56FEAF91" w14:textId="77777777" w:rsidR="0036416A" w:rsidRDefault="0036416A" w:rsidP="0036416A">
            <w:pPr>
              <w:ind w:left="970" w:hanging="970"/>
              <w:jc w:val="both"/>
              <w:rPr>
                <w:color w:val="0070C0"/>
                <w:sz w:val="30"/>
                <w:szCs w:val="30"/>
              </w:rPr>
            </w:pPr>
          </w:p>
        </w:tc>
        <w:tc>
          <w:tcPr>
            <w:tcW w:w="0" w:type="auto"/>
            <w:gridSpan w:val="12"/>
          </w:tcPr>
          <w:p w14:paraId="03A239F3" w14:textId="77777777" w:rsidR="0036416A" w:rsidRDefault="0036416A" w:rsidP="0036416A">
            <w:pPr>
              <w:jc w:val="both"/>
              <w:rPr>
                <w:color w:val="0070C0"/>
                <w:sz w:val="48"/>
                <w:szCs w:val="48"/>
              </w:rPr>
            </w:pPr>
            <w:r>
              <w:rPr>
                <w:color w:val="0070C0"/>
                <w:sz w:val="30"/>
                <w:szCs w:val="30"/>
              </w:rPr>
              <w:t xml:space="preserve">Target </w:t>
            </w:r>
            <w:r w:rsidRPr="00C97C3C">
              <w:rPr>
                <w:color w:val="0070C0"/>
                <w:sz w:val="30"/>
                <w:szCs w:val="30"/>
              </w:rPr>
              <w:t>10.2 By 2030, empower and promote the social, economic and political inclusion of all, irrespective of age, sex, disability, race, ethnicity, origin, religion or economic or other status</w:t>
            </w:r>
          </w:p>
        </w:tc>
      </w:tr>
      <w:tr w:rsidR="0036416A" w14:paraId="47F6C51C" w14:textId="77777777" w:rsidTr="00A64F0D">
        <w:tc>
          <w:tcPr>
            <w:tcW w:w="0" w:type="auto"/>
          </w:tcPr>
          <w:p w14:paraId="6E77C89D" w14:textId="77777777" w:rsidR="0036416A" w:rsidRDefault="0036416A" w:rsidP="0036416A">
            <w:pPr>
              <w:pStyle w:val="NoSpacing"/>
            </w:pPr>
            <w:r w:rsidRPr="003E7D26">
              <w:t xml:space="preserve">10.2.1 Proportion of people living below 50 per cent of median income, by sex, age and </w:t>
            </w:r>
            <w:r w:rsidRPr="003E7D26">
              <w:lastRenderedPageBreak/>
              <w:t>persons with disabilities</w:t>
            </w:r>
          </w:p>
        </w:tc>
        <w:tc>
          <w:tcPr>
            <w:tcW w:w="0" w:type="auto"/>
          </w:tcPr>
          <w:p w14:paraId="04583310" w14:textId="77777777" w:rsidR="0036416A" w:rsidRDefault="0036416A" w:rsidP="0036416A">
            <w:pPr>
              <w:pStyle w:val="NoSpacing"/>
            </w:pPr>
            <w:r w:rsidRPr="007A7507">
              <w:lastRenderedPageBreak/>
              <w:t>World Bank</w:t>
            </w:r>
          </w:p>
        </w:tc>
        <w:tc>
          <w:tcPr>
            <w:tcW w:w="0" w:type="auto"/>
          </w:tcPr>
          <w:p w14:paraId="46ABADC6" w14:textId="77777777" w:rsidR="0036416A" w:rsidRDefault="0036416A" w:rsidP="0036416A">
            <w:pPr>
              <w:ind w:left="970" w:hanging="970"/>
              <w:jc w:val="both"/>
              <w:rPr>
                <w:color w:val="0070C0"/>
                <w:sz w:val="30"/>
                <w:szCs w:val="30"/>
              </w:rPr>
            </w:pPr>
            <w:r w:rsidRPr="00253629">
              <w:t>Tier II</w:t>
            </w:r>
          </w:p>
        </w:tc>
        <w:tc>
          <w:tcPr>
            <w:tcW w:w="0" w:type="auto"/>
          </w:tcPr>
          <w:p w14:paraId="43367147" w14:textId="77777777" w:rsidR="0036416A" w:rsidRDefault="0036416A" w:rsidP="0036416A">
            <w:pPr>
              <w:pStyle w:val="NoSpacing"/>
            </w:pPr>
            <w:r>
              <w:t>Definition:</w:t>
            </w:r>
          </w:p>
          <w:p w14:paraId="1AA47D4C" w14:textId="77777777" w:rsidR="0036416A" w:rsidRDefault="0036416A" w:rsidP="0036416A">
            <w:pPr>
              <w:pStyle w:val="NoSpacing"/>
            </w:pPr>
            <w:r>
              <w:t xml:space="preserve">The proportion of people living below 50 percent of median income (or consumption) is the share (%) of a country’s population living on less than half of the consumption/income level of the median of the national income/consumption distribution. </w:t>
            </w:r>
          </w:p>
          <w:p w14:paraId="3367918B" w14:textId="77777777" w:rsidR="0036416A" w:rsidRDefault="0036416A" w:rsidP="0036416A">
            <w:pPr>
              <w:pStyle w:val="NoSpacing"/>
            </w:pPr>
          </w:p>
          <w:p w14:paraId="27475F88" w14:textId="77777777" w:rsidR="0036416A" w:rsidRDefault="0036416A" w:rsidP="0036416A">
            <w:pPr>
              <w:pStyle w:val="NoSpacing"/>
            </w:pPr>
            <w:r>
              <w:t>Concepts:</w:t>
            </w:r>
          </w:p>
          <w:p w14:paraId="7828BCAB" w14:textId="77777777" w:rsidR="0036416A" w:rsidRDefault="0036416A" w:rsidP="0036416A">
            <w:pPr>
              <w:pStyle w:val="NoSpacing"/>
            </w:pPr>
            <w:r>
              <w:t xml:space="preserve">The indicator is measured using per capita welfare measure of consumption or income. The indicator is calculated by estimating the share of the population in a country living on less than 50% of median of the national distribution of income or consumption, as estimated from survey data. </w:t>
            </w:r>
          </w:p>
          <w:p w14:paraId="4DDAEB46" w14:textId="77777777" w:rsidR="0036416A" w:rsidRDefault="0036416A" w:rsidP="0036416A">
            <w:pPr>
              <w:pStyle w:val="NoSpacing"/>
            </w:pPr>
          </w:p>
          <w:p w14:paraId="6280BFB5" w14:textId="77777777" w:rsidR="0036416A" w:rsidRDefault="0036416A" w:rsidP="0036416A">
            <w:pPr>
              <w:pStyle w:val="NoSpacing"/>
            </w:pPr>
            <w:r>
              <w:t xml:space="preserve">Per capita income or consumption is estimated using total household income or consumption divided by the total household </w:t>
            </w:r>
            <w:r>
              <w:lastRenderedPageBreak/>
              <w:t xml:space="preserve">size. Total disposable income or total consumption from both market and non-market sources is the desired welfare vector used. </w:t>
            </w:r>
          </w:p>
          <w:p w14:paraId="00477673" w14:textId="77777777" w:rsidR="0036416A" w:rsidRDefault="0036416A" w:rsidP="0036416A">
            <w:pPr>
              <w:pStyle w:val="NoSpacing"/>
            </w:pPr>
          </w:p>
          <w:p w14:paraId="5097B846" w14:textId="77777777" w:rsidR="0036416A" w:rsidRDefault="0036416A" w:rsidP="0036416A">
            <w:pPr>
              <w:pStyle w:val="NoSpacing"/>
            </w:pPr>
            <w:r>
              <w:t xml:space="preserve">The estimation relies on on the same harmonized welfare vectors (distributions) that are used for 10.1.1 and 1.1.1. Using the same data and closely related methodologies ensures internal consistency across these closely related indicators. The data is available through PovcalNet, the World Bank’s online tool for reporting global poverty and inequality numbers. For details on concepts and standards, refer to documentation available on the PovcalNet website. </w:t>
            </w:r>
          </w:p>
          <w:p w14:paraId="67852C7F" w14:textId="77777777" w:rsidR="0036416A" w:rsidRDefault="0036416A" w:rsidP="0036416A">
            <w:pPr>
              <w:pStyle w:val="NoSpacing"/>
            </w:pPr>
          </w:p>
          <w:p w14:paraId="7B08EEE8" w14:textId="77777777" w:rsidR="0036416A" w:rsidRDefault="0036416A" w:rsidP="0036416A">
            <w:pPr>
              <w:pStyle w:val="NoSpacing"/>
            </w:pPr>
            <w:r>
              <w:t>The methodology entails measuring the share of people living below 50% of national median. A threshold set at 50% of the median of the income or consumption is used to derive a headcount rate, similar to how monetary poverty is typically measured. The national median is readily available from the distributional data in PovcalNet. The measurement follows a two-step process of first estimating half of the national median income (or consumption) and then the share of people living below this relative threshold.</w:t>
            </w:r>
          </w:p>
          <w:p w14:paraId="20C23444" w14:textId="77777777" w:rsidR="0036416A" w:rsidRDefault="0036416A" w:rsidP="0036416A">
            <w:pPr>
              <w:pStyle w:val="NoSpacing"/>
            </w:pPr>
          </w:p>
          <w:p w14:paraId="555BE374" w14:textId="77777777" w:rsidR="0036416A" w:rsidRDefault="0036416A" w:rsidP="0036416A">
            <w:pPr>
              <w:pStyle w:val="NoSpacing"/>
            </w:pPr>
            <w:r>
              <w:t xml:space="preserve">The indicator uses the same data on household income and consumption that is used for monitoring SDG indicators 1.1.1 and 10.1.1, which have been classified as Tier 1 indicators. The methodology and data are similar to that used in measuring international poverty, which has been tested and vetted over many years, including for the purpose of monitoring MDG 1. It is also closely related to a large literature of relative poverty measurement. </w:t>
            </w:r>
          </w:p>
          <w:p w14:paraId="4131AF4F" w14:textId="77777777" w:rsidR="0036416A" w:rsidRDefault="0036416A" w:rsidP="0036416A">
            <w:pPr>
              <w:pStyle w:val="NoSpacing"/>
            </w:pPr>
          </w:p>
          <w:p w14:paraId="2A1F3F32" w14:textId="77777777" w:rsidR="0036416A" w:rsidRDefault="0036416A" w:rsidP="0036416A">
            <w:pPr>
              <w:pStyle w:val="NoSpacing"/>
            </w:pPr>
            <w:r>
              <w:t>Comments and limitations:</w:t>
            </w:r>
          </w:p>
          <w:p w14:paraId="0BC81E4F" w14:textId="77777777" w:rsidR="0036416A" w:rsidRDefault="0036416A" w:rsidP="0036416A">
            <w:pPr>
              <w:pStyle w:val="NoSpacing"/>
            </w:pPr>
            <w:r>
              <w:t>Like for poverty rates (SDG 1.1.1) and growth in household incomes across the distribution (SDG 10.1.1), estimates are based on income or consumption data collected in household surveys, led by NSOs. Many of the same data quality issues applying to those indicators apply here, some of which are summarized below:</w:t>
            </w:r>
          </w:p>
          <w:p w14:paraId="173F7892" w14:textId="77777777" w:rsidR="0036416A" w:rsidRDefault="0036416A" w:rsidP="0036416A">
            <w:pPr>
              <w:pStyle w:val="NoSpacing"/>
            </w:pPr>
          </w:p>
          <w:p w14:paraId="79013188" w14:textId="77777777" w:rsidR="0036416A" w:rsidRDefault="0036416A" w:rsidP="0036416A">
            <w:pPr>
              <w:pStyle w:val="NoSpacing"/>
            </w:pPr>
            <w:r>
              <w:t xml:space="preserve">Data is collected with great heterogeneity and ex-post harmonization will always face limitations. Similar surveys may not be strictly comparable because of differences in timing, sampling frames, or the quality and training of enumerators. Comparisons of countries at different levels of development also pose problems because of differences in the relative importance of the consumption of nonmarket goods. The local market value of all consumption in kind (including own production, particularly important in underdeveloped rural economies) should be included in total consumption expenditure, but in practice are often not. Most survey data now include valuations for consumption or income from own production, but valuation methods vary. </w:t>
            </w:r>
          </w:p>
          <w:p w14:paraId="3DD62CF6" w14:textId="77777777" w:rsidR="0036416A" w:rsidRDefault="0036416A" w:rsidP="0036416A">
            <w:pPr>
              <w:pStyle w:val="NoSpacing"/>
            </w:pPr>
          </w:p>
          <w:p w14:paraId="5C87AB43" w14:textId="77777777" w:rsidR="0036416A" w:rsidRDefault="0036416A" w:rsidP="0036416A">
            <w:pPr>
              <w:pStyle w:val="NoSpacing"/>
            </w:pPr>
            <w:r>
              <w:t xml:space="preserve">Estimating the share of people living below 50% of the national median is less sensitive to comparability limitations than estimates of international poverty. The relative nature of the threshold (a function of the distribution median) means that it is not sensitive price differences across time and countries. Appropriately adjusting for price differences is a major challenger in absolute poverty measurement. </w:t>
            </w:r>
          </w:p>
          <w:p w14:paraId="5BC217A2" w14:textId="77777777" w:rsidR="0036416A" w:rsidRDefault="0036416A" w:rsidP="0036416A">
            <w:pPr>
              <w:pStyle w:val="NoSpacing"/>
            </w:pPr>
          </w:p>
          <w:p w14:paraId="40118A14" w14:textId="77777777" w:rsidR="0036416A" w:rsidRDefault="0036416A" w:rsidP="0036416A">
            <w:pPr>
              <w:pStyle w:val="NoSpacing"/>
            </w:pPr>
            <w:r>
              <w:t>Computation Method:</w:t>
            </w:r>
          </w:p>
          <w:p w14:paraId="7BEAEE24" w14:textId="77777777" w:rsidR="0036416A" w:rsidRDefault="0036416A" w:rsidP="0036416A">
            <w:pPr>
              <w:pStyle w:val="NoSpacing"/>
            </w:pPr>
            <w:r>
              <w:t xml:space="preserve">The indicator is measured using the national distribution per capita measure of consumption or income, as derived from </w:t>
            </w:r>
            <w:r>
              <w:lastRenderedPageBreak/>
              <w:t xml:space="preserve">surveys. The indicator is calculated by estimating the share (in percent) of the population living on less than 50% of median of the national distribution of income or consumption. The median is estimate from the same distribution as the indicator is estimated from, thus the 50% of median threshold will vary over time.  </w:t>
            </w:r>
          </w:p>
          <w:p w14:paraId="7EBEC2DA" w14:textId="77777777" w:rsidR="0036416A" w:rsidRDefault="0036416A" w:rsidP="0036416A">
            <w:pPr>
              <w:pStyle w:val="NoSpacing"/>
            </w:pPr>
          </w:p>
          <w:p w14:paraId="7746150F" w14:textId="77777777" w:rsidR="0036416A" w:rsidRDefault="0036416A" w:rsidP="0036416A">
            <w:pPr>
              <w:pStyle w:val="NoSpacing"/>
            </w:pPr>
            <w:r>
              <w:t>Per capita income or consumption is estimated using total household income or consumption divided by the total household size.</w:t>
            </w:r>
          </w:p>
        </w:tc>
        <w:tc>
          <w:tcPr>
            <w:tcW w:w="0" w:type="auto"/>
          </w:tcPr>
          <w:p w14:paraId="56A2E7FE" w14:textId="77777777" w:rsidR="0036416A" w:rsidRDefault="0036416A" w:rsidP="0036416A">
            <w:pPr>
              <w:pStyle w:val="NoSpacing"/>
            </w:pPr>
            <w:r w:rsidRPr="004E15A6">
              <w:lastRenderedPageBreak/>
              <w:t>survey</w:t>
            </w:r>
          </w:p>
        </w:tc>
        <w:tc>
          <w:tcPr>
            <w:tcW w:w="0" w:type="auto"/>
          </w:tcPr>
          <w:p w14:paraId="42AAEBBE" w14:textId="77777777" w:rsidR="0036416A" w:rsidRPr="00B152EA" w:rsidRDefault="0036416A" w:rsidP="0036416A">
            <w:pPr>
              <w:pStyle w:val="NoSpacing"/>
            </w:pPr>
            <w:r w:rsidRPr="00B152EA">
              <w:t>National Statistical Offices (NSOs)</w:t>
            </w:r>
          </w:p>
        </w:tc>
        <w:tc>
          <w:tcPr>
            <w:tcW w:w="0" w:type="auto"/>
          </w:tcPr>
          <w:p w14:paraId="3222A427" w14:textId="77777777" w:rsidR="0036416A" w:rsidRDefault="0036416A" w:rsidP="0036416A">
            <w:pPr>
              <w:pStyle w:val="NoSpacing"/>
            </w:pPr>
            <w:r>
              <w:t>BBS</w:t>
            </w:r>
          </w:p>
          <w:p w14:paraId="7600349F" w14:textId="77777777" w:rsidR="0036416A" w:rsidRDefault="0036416A" w:rsidP="0036416A">
            <w:pPr>
              <w:ind w:left="970" w:hanging="970"/>
              <w:jc w:val="both"/>
              <w:rPr>
                <w:color w:val="0070C0"/>
                <w:sz w:val="30"/>
                <w:szCs w:val="30"/>
              </w:rPr>
            </w:pPr>
            <w:r>
              <w:t>HIES</w:t>
            </w:r>
          </w:p>
        </w:tc>
        <w:tc>
          <w:tcPr>
            <w:tcW w:w="0" w:type="auto"/>
          </w:tcPr>
          <w:p w14:paraId="00EFAA68" w14:textId="77777777" w:rsidR="0036416A" w:rsidRDefault="0036416A" w:rsidP="0036416A">
            <w:pPr>
              <w:pStyle w:val="NoSpacing"/>
            </w:pPr>
            <w:r>
              <w:t>BBS</w:t>
            </w:r>
          </w:p>
          <w:p w14:paraId="056907F7" w14:textId="77777777" w:rsidR="0036416A" w:rsidRPr="00A55639" w:rsidRDefault="0036416A" w:rsidP="0036416A">
            <w:pPr>
              <w:ind w:left="970" w:hanging="970"/>
              <w:jc w:val="both"/>
              <w:rPr>
                <w:b/>
                <w:bCs/>
                <w:color w:val="0070C0"/>
                <w:sz w:val="30"/>
                <w:szCs w:val="30"/>
              </w:rPr>
            </w:pPr>
            <w:r>
              <w:t>HIES</w:t>
            </w:r>
          </w:p>
        </w:tc>
        <w:tc>
          <w:tcPr>
            <w:tcW w:w="0" w:type="auto"/>
          </w:tcPr>
          <w:p w14:paraId="29633A57"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5EC1F600" w14:textId="21704934"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Age </w:t>
            </w:r>
            <w:r w:rsidR="00857920">
              <w:rPr>
                <w:rFonts w:ascii="Tw Cen MT Condensed" w:hAnsi="Tw Cen MT Condensed"/>
                <w:sz w:val="20"/>
                <w:szCs w:val="20"/>
              </w:rPr>
              <w:t>0-15, 15-24, 25-64, 64+</w:t>
            </w:r>
          </w:p>
          <w:p w14:paraId="5207491C" w14:textId="6BB5022A" w:rsidR="0036416A" w:rsidRDefault="0036416A" w:rsidP="0036416A">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Disabilities</w:t>
            </w:r>
            <w:r w:rsidR="00857920">
              <w:rPr>
                <w:rFonts w:ascii="Tw Cen MT Condensed" w:hAnsi="Tw Cen MT Condensed"/>
                <w:sz w:val="20"/>
                <w:szCs w:val="20"/>
              </w:rPr>
              <w:t>: Disable/ Non Disable</w:t>
            </w:r>
          </w:p>
          <w:p w14:paraId="7C8C96ED" w14:textId="77777777" w:rsidR="0036416A" w:rsidRDefault="0036416A" w:rsidP="0036416A">
            <w:pPr>
              <w:ind w:left="970" w:hanging="970"/>
              <w:jc w:val="both"/>
              <w:rPr>
                <w:color w:val="0070C0"/>
                <w:sz w:val="30"/>
                <w:szCs w:val="30"/>
              </w:rPr>
            </w:pPr>
          </w:p>
        </w:tc>
        <w:tc>
          <w:tcPr>
            <w:tcW w:w="0" w:type="auto"/>
          </w:tcPr>
          <w:p w14:paraId="3887078C" w14:textId="77777777" w:rsidR="0036416A" w:rsidRDefault="0036416A" w:rsidP="0036416A">
            <w:pPr>
              <w:spacing w:line="276" w:lineRule="auto"/>
              <w:jc w:val="center"/>
            </w:pPr>
            <w:r>
              <w:t>Triennial</w:t>
            </w:r>
          </w:p>
          <w:p w14:paraId="2F394CAB" w14:textId="77777777" w:rsidR="0036416A" w:rsidRDefault="0036416A" w:rsidP="0036416A">
            <w:pPr>
              <w:ind w:left="970" w:hanging="970"/>
              <w:jc w:val="both"/>
              <w:rPr>
                <w:color w:val="0070C0"/>
                <w:sz w:val="30"/>
                <w:szCs w:val="30"/>
              </w:rPr>
            </w:pPr>
          </w:p>
        </w:tc>
        <w:tc>
          <w:tcPr>
            <w:tcW w:w="0" w:type="auto"/>
          </w:tcPr>
          <w:p w14:paraId="443F088C" w14:textId="77777777" w:rsidR="0036416A" w:rsidRDefault="0036416A" w:rsidP="0036416A">
            <w:pPr>
              <w:ind w:left="970" w:hanging="970"/>
              <w:jc w:val="both"/>
              <w:rPr>
                <w:color w:val="0070C0"/>
                <w:sz w:val="30"/>
                <w:szCs w:val="30"/>
              </w:rPr>
            </w:pPr>
            <w:r>
              <w:t>Group 1</w:t>
            </w:r>
          </w:p>
        </w:tc>
        <w:tc>
          <w:tcPr>
            <w:tcW w:w="0" w:type="auto"/>
          </w:tcPr>
          <w:p w14:paraId="3E7FC6E2" w14:textId="77777777" w:rsidR="0036416A" w:rsidRDefault="0036416A" w:rsidP="0036416A">
            <w:pPr>
              <w:pStyle w:val="NoSpacing"/>
            </w:pPr>
            <w:r>
              <w:t>1</w:t>
            </w:r>
            <w:r w:rsidRPr="00013ACB">
              <w:rPr>
                <w:vertAlign w:val="superscript"/>
              </w:rPr>
              <w:t>st</w:t>
            </w:r>
            <w:r>
              <w:t xml:space="preserve"> Round: 2016</w:t>
            </w:r>
          </w:p>
          <w:p w14:paraId="46FDA80A" w14:textId="77777777" w:rsidR="0036416A" w:rsidRDefault="0036416A" w:rsidP="0036416A">
            <w:pPr>
              <w:pStyle w:val="NoSpacing"/>
            </w:pPr>
          </w:p>
          <w:p w14:paraId="0C245C9B" w14:textId="77777777" w:rsidR="0036416A" w:rsidRDefault="0036416A" w:rsidP="0036416A">
            <w:pPr>
              <w:pStyle w:val="NoSpacing"/>
            </w:pPr>
            <w:r>
              <w:t>2</w:t>
            </w:r>
            <w:r w:rsidRPr="00013ACB">
              <w:rPr>
                <w:vertAlign w:val="superscript"/>
              </w:rPr>
              <w:t>nd</w:t>
            </w:r>
            <w:r>
              <w:t xml:space="preserve"> Round: July, 2019</w:t>
            </w:r>
          </w:p>
          <w:p w14:paraId="6A015908" w14:textId="77777777" w:rsidR="0036416A" w:rsidRDefault="0036416A" w:rsidP="0036416A">
            <w:pPr>
              <w:pStyle w:val="NoSpacing"/>
            </w:pPr>
          </w:p>
          <w:p w14:paraId="50C186FC" w14:textId="77777777" w:rsidR="0036416A" w:rsidRDefault="0036416A" w:rsidP="0036416A">
            <w:pPr>
              <w:pStyle w:val="NoSpacing"/>
            </w:pPr>
            <w:r>
              <w:t>3</w:t>
            </w:r>
            <w:r w:rsidRPr="00013ACB">
              <w:rPr>
                <w:vertAlign w:val="superscript"/>
              </w:rPr>
              <w:t>rd</w:t>
            </w:r>
            <w:r>
              <w:t xml:space="preserve"> Round: July, 2022</w:t>
            </w:r>
          </w:p>
          <w:p w14:paraId="2B644DC9" w14:textId="77777777" w:rsidR="0036416A" w:rsidRDefault="0036416A" w:rsidP="0036416A">
            <w:pPr>
              <w:pStyle w:val="NoSpacing"/>
            </w:pPr>
          </w:p>
          <w:p w14:paraId="4208E280" w14:textId="77777777" w:rsidR="0036416A" w:rsidRDefault="0036416A" w:rsidP="0036416A">
            <w:pPr>
              <w:pStyle w:val="NoSpacing"/>
            </w:pPr>
            <w:r>
              <w:t>4</w:t>
            </w:r>
            <w:r w:rsidRPr="00013ACB">
              <w:rPr>
                <w:vertAlign w:val="superscript"/>
              </w:rPr>
              <w:t>th</w:t>
            </w:r>
            <w:r>
              <w:t xml:space="preserve"> Round: </w:t>
            </w:r>
            <w:r>
              <w:lastRenderedPageBreak/>
              <w:t>July, 2025</w:t>
            </w:r>
          </w:p>
          <w:p w14:paraId="69E6111A" w14:textId="77777777" w:rsidR="0036416A" w:rsidRDefault="0036416A" w:rsidP="0036416A">
            <w:pPr>
              <w:pStyle w:val="NoSpacing"/>
            </w:pPr>
          </w:p>
          <w:p w14:paraId="4137C730" w14:textId="4BAF6246" w:rsidR="0036416A" w:rsidRDefault="0036416A" w:rsidP="0036416A">
            <w:pPr>
              <w:pStyle w:val="NoSpacing"/>
            </w:pPr>
            <w:r>
              <w:t>5</w:t>
            </w:r>
            <w:r w:rsidRPr="00013ACB">
              <w:rPr>
                <w:vertAlign w:val="superscript"/>
              </w:rPr>
              <w:t>th</w:t>
            </w:r>
            <w:r>
              <w:t xml:space="preserve"> Round: July, 2028</w:t>
            </w:r>
          </w:p>
        </w:tc>
        <w:tc>
          <w:tcPr>
            <w:tcW w:w="0" w:type="auto"/>
          </w:tcPr>
          <w:p w14:paraId="13E15E99" w14:textId="77777777" w:rsidR="0036416A" w:rsidRDefault="0036416A" w:rsidP="0036416A">
            <w:pPr>
              <w:pStyle w:val="NoSpacing"/>
            </w:pPr>
            <w:r w:rsidRPr="002F2586">
              <w:lastRenderedPageBreak/>
              <w:t>Reviewed at 8th IAEG-SDG meeting (classified as Tier II)</w:t>
            </w:r>
          </w:p>
        </w:tc>
      </w:tr>
      <w:tr w:rsidR="0025292C" w14:paraId="791FB19E" w14:textId="77777777" w:rsidTr="00D52BCB">
        <w:tc>
          <w:tcPr>
            <w:tcW w:w="0" w:type="auto"/>
            <w:gridSpan w:val="13"/>
          </w:tcPr>
          <w:p w14:paraId="2397297F" w14:textId="77777777" w:rsidR="0025292C" w:rsidRDefault="0025292C" w:rsidP="0036416A">
            <w:pPr>
              <w:jc w:val="both"/>
              <w:rPr>
                <w:color w:val="0070C0"/>
                <w:sz w:val="48"/>
                <w:szCs w:val="48"/>
              </w:rPr>
            </w:pPr>
            <w:r>
              <w:rPr>
                <w:color w:val="0070C0"/>
                <w:sz w:val="30"/>
                <w:szCs w:val="30"/>
              </w:rPr>
              <w:lastRenderedPageBreak/>
              <w:t xml:space="preserve">Target </w:t>
            </w:r>
            <w:r w:rsidRPr="00C97C3C">
              <w:rPr>
                <w:color w:val="0070C0"/>
                <w:sz w:val="30"/>
                <w:szCs w:val="30"/>
              </w:rPr>
              <w:t>10.3 Ensure equal opportunity and reduce inequalities of outcome, including by eliminating discriminatory laws, policies and practices and promoting appropriate legislation, policies and action in this regard</w:t>
            </w:r>
          </w:p>
        </w:tc>
      </w:tr>
      <w:tr w:rsidR="0036416A" w14:paraId="4993B49A" w14:textId="77777777" w:rsidTr="00A64F0D">
        <w:tc>
          <w:tcPr>
            <w:tcW w:w="0" w:type="auto"/>
            <w:shd w:val="clear" w:color="auto" w:fill="auto"/>
          </w:tcPr>
          <w:p w14:paraId="4FEDFB59" w14:textId="77777777" w:rsidR="0036416A" w:rsidRDefault="0036416A" w:rsidP="0036416A">
            <w:pPr>
              <w:pStyle w:val="NoSpacing"/>
            </w:pPr>
            <w:r w:rsidRPr="003E7D26">
              <w:t xml:space="preserve">10.3.1 Proportion of population reporting having personally felt discriminated against or harassed in the previous 12 months on the basis of a ground of discrimination </w:t>
            </w:r>
            <w:r w:rsidRPr="003E7D26">
              <w:lastRenderedPageBreak/>
              <w:t>prohibited under international human rights law</w:t>
            </w:r>
          </w:p>
          <w:p w14:paraId="77D07665" w14:textId="77777777" w:rsidR="0036416A" w:rsidRDefault="0036416A" w:rsidP="0036416A">
            <w:pPr>
              <w:pStyle w:val="NoSpacing"/>
            </w:pPr>
          </w:p>
          <w:p w14:paraId="135B0491" w14:textId="77777777" w:rsidR="0036416A" w:rsidRDefault="0036416A" w:rsidP="0036416A">
            <w:pPr>
              <w:pStyle w:val="NoSpacing"/>
            </w:pPr>
          </w:p>
          <w:p w14:paraId="25CAFC87" w14:textId="77777777" w:rsidR="0036416A" w:rsidRDefault="0036416A" w:rsidP="0036416A">
            <w:pPr>
              <w:pStyle w:val="NoSpacing"/>
            </w:pPr>
          </w:p>
          <w:p w14:paraId="77469650" w14:textId="77777777" w:rsidR="0036416A" w:rsidRDefault="0036416A" w:rsidP="0036416A">
            <w:pPr>
              <w:pStyle w:val="NoSpacing"/>
            </w:pPr>
          </w:p>
          <w:p w14:paraId="6A018202" w14:textId="77777777" w:rsidR="0036416A" w:rsidRDefault="0036416A" w:rsidP="0036416A">
            <w:pPr>
              <w:pStyle w:val="NoSpacing"/>
            </w:pPr>
          </w:p>
          <w:p w14:paraId="56E565CF" w14:textId="77777777" w:rsidR="0036416A" w:rsidRDefault="0036416A" w:rsidP="0036416A">
            <w:pPr>
              <w:pStyle w:val="NoSpacing"/>
            </w:pPr>
          </w:p>
          <w:p w14:paraId="397FA34C" w14:textId="77777777" w:rsidR="0036416A" w:rsidRDefault="0036416A" w:rsidP="0036416A">
            <w:pPr>
              <w:pStyle w:val="NoSpacing"/>
            </w:pPr>
          </w:p>
          <w:p w14:paraId="70A86011" w14:textId="77777777" w:rsidR="0036416A" w:rsidRDefault="0036416A" w:rsidP="0036416A">
            <w:pPr>
              <w:pStyle w:val="NoSpacing"/>
            </w:pPr>
          </w:p>
          <w:p w14:paraId="067A54A1" w14:textId="77777777" w:rsidR="0036416A" w:rsidRDefault="0036416A" w:rsidP="0036416A">
            <w:pPr>
              <w:pStyle w:val="NoSpacing"/>
            </w:pPr>
          </w:p>
          <w:p w14:paraId="1E0D600F" w14:textId="77777777" w:rsidR="0036416A" w:rsidRDefault="0036416A" w:rsidP="0036416A">
            <w:pPr>
              <w:pStyle w:val="NoSpacing"/>
            </w:pPr>
          </w:p>
          <w:p w14:paraId="022AE270" w14:textId="77777777" w:rsidR="0036416A" w:rsidRDefault="0036416A" w:rsidP="0036416A">
            <w:pPr>
              <w:pStyle w:val="NoSpacing"/>
            </w:pPr>
          </w:p>
          <w:p w14:paraId="423DA500" w14:textId="77777777" w:rsidR="0036416A" w:rsidRDefault="0036416A" w:rsidP="0036416A">
            <w:pPr>
              <w:pStyle w:val="NoSpacing"/>
            </w:pPr>
          </w:p>
          <w:p w14:paraId="51EFC153" w14:textId="77777777" w:rsidR="0036416A" w:rsidRDefault="0036416A" w:rsidP="0036416A">
            <w:pPr>
              <w:pStyle w:val="NoSpacing"/>
            </w:pPr>
          </w:p>
          <w:p w14:paraId="75D87334" w14:textId="77777777" w:rsidR="0036416A" w:rsidRDefault="0036416A" w:rsidP="0036416A">
            <w:pPr>
              <w:pStyle w:val="NoSpacing"/>
            </w:pPr>
          </w:p>
          <w:p w14:paraId="0BC87ADE" w14:textId="77777777" w:rsidR="0036416A" w:rsidRDefault="0036416A" w:rsidP="0036416A">
            <w:pPr>
              <w:pStyle w:val="NoSpacing"/>
            </w:pPr>
          </w:p>
          <w:p w14:paraId="251E5C8F" w14:textId="77777777" w:rsidR="0036416A" w:rsidRDefault="0036416A" w:rsidP="0036416A">
            <w:pPr>
              <w:pStyle w:val="NoSpacing"/>
            </w:pPr>
          </w:p>
          <w:p w14:paraId="18D19F7C" w14:textId="77777777" w:rsidR="0036416A" w:rsidRDefault="0036416A" w:rsidP="0036416A">
            <w:pPr>
              <w:pStyle w:val="NoSpacing"/>
            </w:pPr>
          </w:p>
          <w:p w14:paraId="3CE0211A" w14:textId="77777777" w:rsidR="0036416A" w:rsidRDefault="0036416A" w:rsidP="0036416A">
            <w:pPr>
              <w:pStyle w:val="NoSpacing"/>
            </w:pPr>
          </w:p>
          <w:p w14:paraId="7D62C01A" w14:textId="77777777" w:rsidR="0036416A" w:rsidRDefault="0036416A" w:rsidP="0036416A">
            <w:pPr>
              <w:pStyle w:val="NoSpacing"/>
            </w:pPr>
          </w:p>
          <w:p w14:paraId="5070A798" w14:textId="77777777" w:rsidR="0036416A" w:rsidRDefault="0036416A" w:rsidP="0036416A">
            <w:pPr>
              <w:pStyle w:val="NoSpacing"/>
            </w:pPr>
          </w:p>
          <w:p w14:paraId="0CDA5FB1" w14:textId="77777777" w:rsidR="0036416A" w:rsidRDefault="0036416A" w:rsidP="0036416A">
            <w:pPr>
              <w:pStyle w:val="NoSpacing"/>
            </w:pPr>
          </w:p>
          <w:p w14:paraId="3095CB3D" w14:textId="77777777" w:rsidR="0036416A" w:rsidRDefault="0036416A" w:rsidP="0036416A">
            <w:pPr>
              <w:pStyle w:val="NoSpacing"/>
            </w:pPr>
          </w:p>
          <w:p w14:paraId="7DA2B700" w14:textId="77777777" w:rsidR="0036416A" w:rsidRDefault="0036416A" w:rsidP="0036416A">
            <w:pPr>
              <w:pStyle w:val="NoSpacing"/>
            </w:pPr>
          </w:p>
          <w:p w14:paraId="66538504" w14:textId="77777777" w:rsidR="0036416A" w:rsidRDefault="0036416A" w:rsidP="0036416A">
            <w:pPr>
              <w:pStyle w:val="NoSpacing"/>
            </w:pPr>
          </w:p>
          <w:p w14:paraId="2D22DAC6" w14:textId="77777777" w:rsidR="0036416A" w:rsidRDefault="0036416A" w:rsidP="0036416A">
            <w:pPr>
              <w:pStyle w:val="NoSpacing"/>
            </w:pPr>
          </w:p>
          <w:p w14:paraId="2D2F9C1F" w14:textId="77777777" w:rsidR="0036416A" w:rsidRDefault="0036416A" w:rsidP="0036416A">
            <w:pPr>
              <w:pStyle w:val="NoSpacing"/>
            </w:pPr>
          </w:p>
          <w:p w14:paraId="168521F6" w14:textId="77777777" w:rsidR="0036416A" w:rsidRDefault="0036416A" w:rsidP="0036416A">
            <w:pPr>
              <w:pStyle w:val="NoSpacing"/>
            </w:pPr>
          </w:p>
          <w:p w14:paraId="0C74A5E6" w14:textId="77777777" w:rsidR="0036416A" w:rsidRDefault="0036416A" w:rsidP="0036416A">
            <w:pPr>
              <w:pStyle w:val="NoSpacing"/>
            </w:pPr>
          </w:p>
          <w:p w14:paraId="720D1FA0" w14:textId="77777777" w:rsidR="0036416A" w:rsidRDefault="0036416A" w:rsidP="0036416A">
            <w:pPr>
              <w:pStyle w:val="NoSpacing"/>
            </w:pPr>
          </w:p>
          <w:p w14:paraId="7C832A5E" w14:textId="77777777" w:rsidR="0036416A" w:rsidRDefault="0036416A" w:rsidP="0036416A">
            <w:pPr>
              <w:pStyle w:val="NoSpacing"/>
            </w:pPr>
          </w:p>
          <w:p w14:paraId="4EFD520E" w14:textId="77777777" w:rsidR="0036416A" w:rsidRDefault="0036416A" w:rsidP="0036416A">
            <w:pPr>
              <w:pStyle w:val="NoSpacing"/>
            </w:pPr>
          </w:p>
          <w:p w14:paraId="6741D14E" w14:textId="77777777" w:rsidR="0036416A" w:rsidRDefault="0036416A" w:rsidP="0036416A">
            <w:pPr>
              <w:pStyle w:val="NoSpacing"/>
            </w:pPr>
          </w:p>
          <w:p w14:paraId="63077E97" w14:textId="77777777" w:rsidR="0036416A" w:rsidRDefault="0036416A" w:rsidP="0036416A">
            <w:pPr>
              <w:pStyle w:val="NoSpacing"/>
            </w:pPr>
          </w:p>
          <w:p w14:paraId="31905E38" w14:textId="77777777" w:rsidR="0036416A" w:rsidRDefault="0036416A" w:rsidP="0036416A">
            <w:pPr>
              <w:pStyle w:val="NoSpacing"/>
            </w:pPr>
          </w:p>
          <w:p w14:paraId="0A7B4B63" w14:textId="77777777" w:rsidR="0036416A" w:rsidRDefault="0036416A" w:rsidP="0036416A">
            <w:pPr>
              <w:pStyle w:val="NoSpacing"/>
            </w:pPr>
          </w:p>
          <w:p w14:paraId="3707BB8E" w14:textId="77777777" w:rsidR="0036416A" w:rsidRDefault="0036416A" w:rsidP="0036416A">
            <w:pPr>
              <w:pStyle w:val="NoSpacing"/>
            </w:pPr>
          </w:p>
          <w:p w14:paraId="3EB2FEF8" w14:textId="77777777" w:rsidR="0036416A" w:rsidRDefault="0036416A" w:rsidP="0036416A">
            <w:pPr>
              <w:pStyle w:val="NoSpacing"/>
            </w:pPr>
          </w:p>
          <w:p w14:paraId="73EC3566" w14:textId="77777777" w:rsidR="0036416A" w:rsidRDefault="0036416A" w:rsidP="0036416A">
            <w:pPr>
              <w:pStyle w:val="NoSpacing"/>
            </w:pPr>
          </w:p>
          <w:p w14:paraId="47C98AEE" w14:textId="77777777" w:rsidR="0036416A" w:rsidRDefault="0036416A" w:rsidP="0036416A">
            <w:pPr>
              <w:pStyle w:val="NoSpacing"/>
            </w:pPr>
          </w:p>
          <w:p w14:paraId="19E3B67D" w14:textId="77777777" w:rsidR="0036416A" w:rsidRDefault="0036416A" w:rsidP="0036416A">
            <w:pPr>
              <w:pStyle w:val="NoSpacing"/>
            </w:pPr>
          </w:p>
          <w:p w14:paraId="4FDC8DB6" w14:textId="77777777" w:rsidR="0036416A" w:rsidRDefault="0036416A" w:rsidP="0036416A">
            <w:pPr>
              <w:pStyle w:val="NoSpacing"/>
            </w:pPr>
          </w:p>
          <w:p w14:paraId="5B3550B6" w14:textId="77777777" w:rsidR="0036416A" w:rsidRDefault="0036416A" w:rsidP="0036416A">
            <w:pPr>
              <w:pStyle w:val="NoSpacing"/>
            </w:pPr>
          </w:p>
          <w:p w14:paraId="27664EE7" w14:textId="77777777" w:rsidR="0036416A" w:rsidRDefault="0036416A" w:rsidP="0036416A">
            <w:pPr>
              <w:pStyle w:val="NoSpacing"/>
            </w:pPr>
          </w:p>
          <w:p w14:paraId="1AEDC644" w14:textId="77777777" w:rsidR="0036416A" w:rsidRDefault="0036416A" w:rsidP="0036416A">
            <w:pPr>
              <w:pStyle w:val="NoSpacing"/>
            </w:pPr>
          </w:p>
          <w:p w14:paraId="2EDBEA15" w14:textId="77777777" w:rsidR="0036416A" w:rsidRDefault="0036416A" w:rsidP="0036416A">
            <w:pPr>
              <w:pStyle w:val="NoSpacing"/>
            </w:pPr>
          </w:p>
        </w:tc>
        <w:tc>
          <w:tcPr>
            <w:tcW w:w="0" w:type="auto"/>
          </w:tcPr>
          <w:p w14:paraId="45AFF721" w14:textId="77777777" w:rsidR="0036416A" w:rsidRDefault="0036416A" w:rsidP="0036416A">
            <w:pPr>
              <w:ind w:left="970" w:hanging="970"/>
              <w:jc w:val="both"/>
              <w:rPr>
                <w:color w:val="0070C0"/>
                <w:sz w:val="30"/>
                <w:szCs w:val="30"/>
              </w:rPr>
            </w:pPr>
          </w:p>
          <w:p w14:paraId="0AA87C1E" w14:textId="77777777" w:rsidR="0036416A" w:rsidRDefault="0036416A" w:rsidP="0036416A">
            <w:pPr>
              <w:pStyle w:val="NoSpacing"/>
            </w:pPr>
            <w:r w:rsidRPr="007A7507">
              <w:rPr>
                <w:b/>
                <w:bCs/>
                <w:szCs w:val="20"/>
              </w:rPr>
              <w:t>OHCHR</w:t>
            </w:r>
          </w:p>
        </w:tc>
        <w:tc>
          <w:tcPr>
            <w:tcW w:w="0" w:type="auto"/>
          </w:tcPr>
          <w:p w14:paraId="7CAE372D" w14:textId="77777777" w:rsidR="0036416A" w:rsidRDefault="0036416A" w:rsidP="0036416A">
            <w:pPr>
              <w:ind w:left="970" w:hanging="970"/>
              <w:jc w:val="both"/>
              <w:rPr>
                <w:color w:val="0070C0"/>
                <w:sz w:val="30"/>
                <w:szCs w:val="30"/>
              </w:rPr>
            </w:pPr>
            <w:r w:rsidRPr="00253629">
              <w:t>Tier II</w:t>
            </w:r>
          </w:p>
        </w:tc>
        <w:tc>
          <w:tcPr>
            <w:tcW w:w="0" w:type="auto"/>
          </w:tcPr>
          <w:p w14:paraId="4287C6F6" w14:textId="77777777" w:rsidR="0036416A" w:rsidRPr="00B20ADF" w:rsidRDefault="0036416A" w:rsidP="0036416A">
            <w:pPr>
              <w:pStyle w:val="NoSpacing"/>
              <w:rPr>
                <w:lang w:val="en-GB"/>
              </w:rPr>
            </w:pPr>
            <w:r w:rsidRPr="00B20ADF">
              <w:rPr>
                <w:b/>
                <w:bCs/>
                <w:lang w:val="en-GB"/>
              </w:rPr>
              <w:t>Definition:</w:t>
            </w:r>
          </w:p>
          <w:p w14:paraId="6DE8B0E4" w14:textId="77777777" w:rsidR="0036416A" w:rsidRPr="00B20ADF" w:rsidRDefault="0036416A" w:rsidP="0036416A">
            <w:pPr>
              <w:pStyle w:val="NoSpacing"/>
              <w:rPr>
                <w:lang w:val="en-GB"/>
              </w:rPr>
            </w:pPr>
            <w:r w:rsidRPr="00B20ADF">
              <w:rPr>
                <w:lang w:val="en-GB"/>
              </w:rPr>
              <w:t>This indicator is defined as the proportion of the population (adults) who self-report that they personally experienced discrimination or harassment during the last 12 months based on ground(s) prohibited by international human rights law. International human rights law refers to the body of international legal instruments aiming to promote and protect human rights, including the Universal Declaration of Human Rights and subsequent international human rights treaties adopted by the United Nations.</w:t>
            </w:r>
          </w:p>
          <w:p w14:paraId="12D71FC1" w14:textId="77777777" w:rsidR="0036416A" w:rsidRPr="00B20ADF" w:rsidRDefault="0036416A" w:rsidP="0036416A">
            <w:pPr>
              <w:pStyle w:val="NoSpacing"/>
              <w:rPr>
                <w:b/>
                <w:bCs/>
                <w:lang w:val="en-GB"/>
              </w:rPr>
            </w:pPr>
          </w:p>
          <w:p w14:paraId="61E9EB94" w14:textId="77777777" w:rsidR="0036416A" w:rsidRPr="00B20ADF" w:rsidRDefault="0036416A" w:rsidP="0036416A">
            <w:pPr>
              <w:pStyle w:val="NoSpacing"/>
              <w:rPr>
                <w:lang w:val="en-GB"/>
              </w:rPr>
            </w:pPr>
            <w:r w:rsidRPr="00B20ADF">
              <w:rPr>
                <w:b/>
                <w:bCs/>
                <w:lang w:val="en-GB"/>
              </w:rPr>
              <w:t>Concepts:</w:t>
            </w:r>
          </w:p>
          <w:p w14:paraId="65FF7D02" w14:textId="77777777" w:rsidR="0036416A" w:rsidRPr="00B20ADF" w:rsidRDefault="0036416A" w:rsidP="0036416A">
            <w:pPr>
              <w:pStyle w:val="NoSpacing"/>
              <w:rPr>
                <w:lang w:val="en-GB"/>
              </w:rPr>
            </w:pPr>
            <w:r w:rsidRPr="00B20ADF">
              <w:rPr>
                <w:lang w:val="en-GB"/>
              </w:rPr>
              <w:t>Discrimination is any distinction, exclusion, restriction or preference or other differential treatment that is directly or indirectly based on prohibited grounds of discrimination, and which has the intention or effect of nullifying or impairing the recognition, enjoyment or exercise, on an equal footing, of human rights and fundamental freedoms in the political, economic, social, cultural or any other field of public life.</w:t>
            </w:r>
            <w:r w:rsidRPr="00B20ADF">
              <w:rPr>
                <w:vertAlign w:val="superscript"/>
                <w:lang w:val="en-GB"/>
              </w:rPr>
              <w:footnoteReference w:id="7"/>
            </w:r>
            <w:r w:rsidRPr="00B20ADF">
              <w:rPr>
                <w:lang w:val="en-GB"/>
              </w:rPr>
              <w:t xml:space="preserve">  Harassment is a form of discrimination when it is also based on prohibited grounds of discrimination. Harassment may take the form of words, gestures or actions, which tend to annoy, alarm, abuse, demean, intimidate, belittle, humiliate or embarrass another or which create an intimidating, hostile or offensive environment. While generally involving a pattern of behaviours, harassment can take the form of a single incident.</w:t>
            </w:r>
            <w:r w:rsidRPr="00B20ADF">
              <w:rPr>
                <w:vertAlign w:val="superscript"/>
                <w:lang w:val="en-GB"/>
              </w:rPr>
              <w:footnoteReference w:id="8"/>
            </w:r>
          </w:p>
          <w:p w14:paraId="156B9351" w14:textId="77777777" w:rsidR="0036416A" w:rsidRPr="00B20ADF" w:rsidRDefault="0036416A" w:rsidP="0036416A">
            <w:pPr>
              <w:pStyle w:val="NoSpacing"/>
              <w:rPr>
                <w:lang w:val="en-GB"/>
              </w:rPr>
            </w:pPr>
          </w:p>
          <w:p w14:paraId="5AFF38E1" w14:textId="77777777" w:rsidR="0036416A" w:rsidRPr="00B20ADF" w:rsidRDefault="0036416A" w:rsidP="0036416A">
            <w:pPr>
              <w:pStyle w:val="NoSpacing"/>
              <w:rPr>
                <w:lang w:val="en-GB"/>
              </w:rPr>
            </w:pPr>
            <w:r w:rsidRPr="00B20ADF">
              <w:rPr>
                <w:lang w:val="en-GB"/>
              </w:rPr>
              <w:t xml:space="preserve">International human rights law provides lists of the prohibited grounds of discrimination. The </w:t>
            </w:r>
            <w:proofErr w:type="gramStart"/>
            <w:r w:rsidRPr="00B20ADF">
              <w:rPr>
                <w:lang w:val="en-GB"/>
              </w:rPr>
              <w:t>inclusion of “other status” in these lists indicate</w:t>
            </w:r>
            <w:proofErr w:type="gramEnd"/>
            <w:r w:rsidRPr="00B20ADF">
              <w:rPr>
                <w:lang w:val="en-GB"/>
              </w:rPr>
              <w:t xml:space="preserve"> that they are not exhaustive and that other grounds may be recognized by international human rights mechanisms. A review of the international human rights normative framework helps identify a list of grounds that includes race, colour, sex, language, religion, political or other opinion, national origin, social origin, property, birth status, disability, </w:t>
            </w:r>
            <w:r w:rsidRPr="00B20ADF">
              <w:rPr>
                <w:lang w:val="en-GB"/>
              </w:rPr>
              <w:lastRenderedPageBreak/>
              <w:t>age, nationality, marital and family status, sexual orientation, gender identity, health status, place of residence, economic and social situation, pregnancy, indigenous status, afro-descent and other status.</w:t>
            </w:r>
            <w:r w:rsidRPr="00B20ADF">
              <w:rPr>
                <w:vertAlign w:val="superscript"/>
                <w:lang w:val="en-GB"/>
              </w:rPr>
              <w:footnoteReference w:id="9"/>
            </w:r>
            <w:r w:rsidRPr="00B20ADF">
              <w:rPr>
                <w:lang w:val="en-GB"/>
              </w:rPr>
              <w:t xml:space="preserve"> In practice, it will be difficult to include all potentially relevant grounds of discrimination in household survey questions. For this reason, it is recommended that data collectors identify contextually relevant and feasible lists of grounds, drawing on the illustrative list and formulation of prohibited grounds of discrimination outlined in the methodology section below, and add an “other” category to reflect other grounds that may not have been listed explicitly.</w:t>
            </w:r>
          </w:p>
          <w:p w14:paraId="0C360142" w14:textId="77777777" w:rsidR="0036416A" w:rsidRPr="00B20ADF" w:rsidRDefault="0036416A" w:rsidP="0036416A">
            <w:pPr>
              <w:pStyle w:val="NoSpacing"/>
              <w:rPr>
                <w:lang w:val="en-GB"/>
              </w:rPr>
            </w:pPr>
          </w:p>
          <w:p w14:paraId="0EDAFB93" w14:textId="77777777" w:rsidR="0036416A" w:rsidRPr="00B20ADF" w:rsidRDefault="0036416A" w:rsidP="0036416A">
            <w:pPr>
              <w:pStyle w:val="NoSpacing"/>
              <w:rPr>
                <w:lang w:val="en-GB"/>
              </w:rPr>
            </w:pPr>
            <w:r w:rsidRPr="00B20ADF">
              <w:rPr>
                <w:b/>
                <w:bCs/>
                <w:lang w:val="en-GB"/>
              </w:rPr>
              <w:t>Comments and limitations:</w:t>
            </w:r>
          </w:p>
          <w:p w14:paraId="01F1EB88" w14:textId="77777777" w:rsidR="0036416A" w:rsidRPr="00B20ADF" w:rsidRDefault="0036416A" w:rsidP="0036416A">
            <w:pPr>
              <w:pStyle w:val="NoSpacing"/>
              <w:rPr>
                <w:lang w:val="en-GB"/>
              </w:rPr>
            </w:pPr>
            <w:r w:rsidRPr="00B20ADF">
              <w:rPr>
                <w:lang w:val="en-GB"/>
              </w:rPr>
              <w:t>The indicator measures an overall population prevalence of discrimination and harassment in the total population at the national level. The indicator will not necessarily inform on the prevalence of discrimination within specific population groups. This will depend on sample frames. For example, if disability is included within the selected grounds, the resulting data for discrimination on the ground of disability will represent only the proportion of the total population who feel that they had personally experienced discrimination against on the ground of disability. Unless the sample design provides adequate coverage of people with disability to allow disaggregation on this characteristic, the data cannot be understood as an indication of the prevalence of discrimination (on the ground of disability) within the population of people with a disability.</w:t>
            </w:r>
          </w:p>
          <w:p w14:paraId="38E56B91" w14:textId="77777777" w:rsidR="0036416A" w:rsidRPr="00B20ADF" w:rsidRDefault="0036416A" w:rsidP="0036416A">
            <w:pPr>
              <w:pStyle w:val="NoSpacing"/>
              <w:rPr>
                <w:lang w:val="en-GB"/>
              </w:rPr>
            </w:pPr>
          </w:p>
          <w:p w14:paraId="545C6521" w14:textId="77777777" w:rsidR="0036416A" w:rsidRPr="00B20ADF" w:rsidRDefault="0036416A" w:rsidP="0036416A">
            <w:pPr>
              <w:pStyle w:val="NoSpacing"/>
              <w:rPr>
                <w:lang w:val="en-GB"/>
              </w:rPr>
            </w:pPr>
            <w:r w:rsidRPr="00B20ADF">
              <w:rPr>
                <w:lang w:val="en-GB"/>
              </w:rPr>
              <w:t>The indicator is not measuring a general perception of respondents on the overall prevalence of discrimination in a country. It is based on personal experience self-reported by individual respondents. The indicator does not provide a legal determination of any alleged or proven cases of discrimination. The indicator will also not capture the cases of discrimination or harassment the respondents are not personally aware off or willing to disclose to data collectors. The indicator should be a starting point for further efforts to understand patterns of discrimination and harassment (e.g. location/context of incidents, relationship of the respondent to the person or entity responsible for discrimination or harassment, and frequency and severity of incidents). More survey questions will be needed for examining policy and legislative impact and responses.</w:t>
            </w:r>
          </w:p>
          <w:p w14:paraId="77A09075" w14:textId="77777777" w:rsidR="0036416A" w:rsidRPr="00B20ADF" w:rsidRDefault="0036416A" w:rsidP="0036416A">
            <w:pPr>
              <w:pStyle w:val="NoSpacing"/>
              <w:rPr>
                <w:lang w:val="en-GB"/>
              </w:rPr>
            </w:pPr>
          </w:p>
          <w:p w14:paraId="65D2C0CD" w14:textId="77777777" w:rsidR="0036416A" w:rsidRPr="00B20ADF" w:rsidRDefault="0036416A" w:rsidP="0036416A">
            <w:pPr>
              <w:pStyle w:val="NoSpacing"/>
              <w:rPr>
                <w:lang w:val="en-GB"/>
              </w:rPr>
            </w:pPr>
            <w:r w:rsidRPr="00B20ADF">
              <w:rPr>
                <w:lang w:val="en-GB"/>
              </w:rPr>
              <w:t xml:space="preserve">OHCHR advises that data collectors engage in participatory processes to identify contextually relevant grounds and formulations. The process should be guided by the principles outlined in OHCHR’s </w:t>
            </w:r>
            <w:hyperlink r:id="rId85" w:history="1">
              <w:r w:rsidRPr="00B20ADF">
                <w:rPr>
                  <w:rStyle w:val="Hyperlink"/>
                  <w:lang w:val="en-GB"/>
                </w:rPr>
                <w:t>Human Rights-Based Approaches to Data</w:t>
              </w:r>
            </w:hyperlink>
            <w:r w:rsidRPr="00B20ADF">
              <w:rPr>
                <w:lang w:val="en-GB"/>
              </w:rPr>
              <w:t xml:space="preserve"> (HRBAD), which stems from internationally agreed human rights and statistics standards. National Institutions with mandates related to human rights or non-discrimination and equality are ideal partners for these activities. Data collectors are also strongly encouraged to work with civil society organisations that are the representatives of or have better access to groups more are risk of being discriminated or left behind. </w:t>
            </w:r>
          </w:p>
          <w:p w14:paraId="613B72AE" w14:textId="77777777" w:rsidR="0036416A" w:rsidRPr="00B20ADF" w:rsidRDefault="0036416A" w:rsidP="0036416A">
            <w:pPr>
              <w:pStyle w:val="NoSpacing"/>
              <w:rPr>
                <w:lang w:val="en-GB"/>
              </w:rPr>
            </w:pPr>
          </w:p>
          <w:p w14:paraId="40AB60DE" w14:textId="77777777" w:rsidR="0036416A" w:rsidRPr="00B20ADF" w:rsidRDefault="0036416A" w:rsidP="0036416A">
            <w:pPr>
              <w:pStyle w:val="NoSpacing"/>
              <w:rPr>
                <w:lang w:val="en-GB"/>
              </w:rPr>
            </w:pPr>
            <w:r w:rsidRPr="00B20ADF">
              <w:rPr>
                <w:lang w:val="en-GB"/>
              </w:rPr>
              <w:t>Methodology</w:t>
            </w:r>
          </w:p>
          <w:p w14:paraId="09AFEE75" w14:textId="77777777" w:rsidR="0036416A" w:rsidRPr="00B20ADF" w:rsidRDefault="0036416A" w:rsidP="0036416A">
            <w:pPr>
              <w:pStyle w:val="NoSpacing"/>
              <w:rPr>
                <w:b/>
                <w:bCs/>
                <w:lang w:val="en-GB"/>
              </w:rPr>
            </w:pPr>
          </w:p>
          <w:p w14:paraId="3D5BAEC2" w14:textId="77777777" w:rsidR="0036416A" w:rsidRPr="00B20ADF" w:rsidRDefault="0036416A" w:rsidP="0036416A">
            <w:pPr>
              <w:pStyle w:val="NoSpacing"/>
              <w:rPr>
                <w:lang w:val="en-GB"/>
              </w:rPr>
            </w:pPr>
            <w:r w:rsidRPr="00B20ADF">
              <w:rPr>
                <w:b/>
                <w:bCs/>
                <w:lang w:val="en-GB"/>
              </w:rPr>
              <w:t>Computation Method:</w:t>
            </w:r>
          </w:p>
          <w:p w14:paraId="014C216C" w14:textId="77777777" w:rsidR="0036416A" w:rsidRPr="00B20ADF" w:rsidRDefault="0036416A" w:rsidP="0036416A">
            <w:pPr>
              <w:pStyle w:val="NoSpacing"/>
              <w:rPr>
                <w:lang w:val="en-GB"/>
              </w:rPr>
            </w:pPr>
            <w:r w:rsidRPr="00B20ADF">
              <w:rPr>
                <w:lang w:val="en-GB"/>
              </w:rPr>
              <w:t xml:space="preserve">Number of survey respondents who felt that they personally experienced discrimination or harassment on one or more </w:t>
            </w:r>
            <w:r w:rsidRPr="00B20ADF">
              <w:rPr>
                <w:lang w:val="en-GB"/>
              </w:rPr>
              <w:lastRenderedPageBreak/>
              <w:t>prohibited grounds of discrimination during the last 12 months, divided by the total number of survey respondents, multiplied by 100.</w:t>
            </w:r>
          </w:p>
          <w:p w14:paraId="60AAD0A6" w14:textId="77777777" w:rsidR="0036416A" w:rsidRPr="00B20ADF" w:rsidRDefault="0036416A" w:rsidP="0036416A">
            <w:pPr>
              <w:pStyle w:val="NoSpacing"/>
              <w:rPr>
                <w:lang w:val="en-GB"/>
              </w:rPr>
            </w:pPr>
          </w:p>
          <w:p w14:paraId="141354CA" w14:textId="77777777" w:rsidR="0036416A" w:rsidRPr="00B20ADF" w:rsidRDefault="0036416A" w:rsidP="0036416A">
            <w:pPr>
              <w:pStyle w:val="NoSpacing"/>
              <w:rPr>
                <w:lang w:val="en-GB"/>
              </w:rPr>
            </w:pPr>
            <w:r w:rsidRPr="00B20ADF">
              <w:rPr>
                <w:lang w:val="en-GB"/>
              </w:rPr>
              <w:t xml:space="preserve">To minimize the effect of </w:t>
            </w:r>
            <w:r w:rsidRPr="00B20ADF">
              <w:rPr>
                <w:i/>
                <w:lang w:val="en-GB"/>
              </w:rPr>
              <w:t>forward telescoping</w:t>
            </w:r>
            <w:r w:rsidRPr="00B20ADF">
              <w:rPr>
                <w:i/>
                <w:vertAlign w:val="superscript"/>
                <w:lang w:val="en-GB"/>
              </w:rPr>
              <w:footnoteReference w:id="10"/>
            </w:r>
            <w:r w:rsidRPr="00B20ADF">
              <w:rPr>
                <w:lang w:val="en-GB"/>
              </w:rPr>
              <w:t>, the module asks two questions: a first question about the respondent’s experience over the last 5 years, and a second question about the last 12 months:</w:t>
            </w:r>
          </w:p>
          <w:p w14:paraId="44A87837" w14:textId="77777777" w:rsidR="0036416A" w:rsidRPr="00B20ADF" w:rsidRDefault="0036416A" w:rsidP="0036416A">
            <w:pPr>
              <w:pStyle w:val="NoSpacing"/>
              <w:numPr>
                <w:ilvl w:val="0"/>
                <w:numId w:val="146"/>
              </w:numPr>
              <w:rPr>
                <w:lang w:val="en-GB"/>
              </w:rPr>
            </w:pPr>
            <w:r w:rsidRPr="00B20ADF">
              <w:rPr>
                <w:lang w:val="en-GB"/>
              </w:rPr>
              <w:t>Question 1: In [COUNTRY], do you feel that you personally experienced any form of discrimination or harassment during the last 5 years, namely since [YEAR OF INTERVIEW MINUS 5] (or since you have been in the country), on the following grounds?</w:t>
            </w:r>
          </w:p>
          <w:p w14:paraId="0E189D9E" w14:textId="77777777" w:rsidR="0036416A" w:rsidRPr="00B20ADF" w:rsidRDefault="0036416A" w:rsidP="0036416A">
            <w:pPr>
              <w:pStyle w:val="NoSpacing"/>
              <w:numPr>
                <w:ilvl w:val="0"/>
                <w:numId w:val="146"/>
              </w:numPr>
              <w:rPr>
                <w:lang w:val="en-GB"/>
              </w:rPr>
            </w:pPr>
            <w:r w:rsidRPr="00B20ADF">
              <w:rPr>
                <w:lang w:val="en-GB"/>
              </w:rPr>
              <w:t xml:space="preserve">Question 2: In [COUNTRY], do you feel that </w:t>
            </w:r>
            <w:proofErr w:type="gramStart"/>
            <w:r w:rsidRPr="00B20ADF">
              <w:rPr>
                <w:lang w:val="en-GB"/>
              </w:rPr>
              <w:t>you  personally</w:t>
            </w:r>
            <w:proofErr w:type="gramEnd"/>
            <w:r w:rsidRPr="00B20ADF">
              <w:rPr>
                <w:lang w:val="en-GB"/>
              </w:rPr>
              <w:t xml:space="preserve"> experienced any form of discrimination or harassment during the past 12 months, namely since [MONTH OF INTERVIEW] [YEAR OF INTERVIEW MINUS 1], on any of these grounds?</w:t>
            </w:r>
          </w:p>
          <w:p w14:paraId="61635C63" w14:textId="77777777" w:rsidR="0036416A" w:rsidRPr="00B20ADF" w:rsidRDefault="0036416A" w:rsidP="0036416A">
            <w:pPr>
              <w:pStyle w:val="NoSpacing"/>
              <w:rPr>
                <w:lang w:val="en-GB"/>
              </w:rPr>
            </w:pPr>
          </w:p>
          <w:p w14:paraId="3BDC1F53" w14:textId="77777777" w:rsidR="0036416A" w:rsidRPr="00B20ADF" w:rsidRDefault="0036416A" w:rsidP="0036416A">
            <w:pPr>
              <w:pStyle w:val="NoSpacing"/>
              <w:rPr>
                <w:lang w:val="en-GB"/>
              </w:rPr>
            </w:pPr>
            <w:r w:rsidRPr="00B20ADF">
              <w:rPr>
                <w:lang w:val="en-GB"/>
              </w:rPr>
              <w:t xml:space="preserve">The proposed survey module recommends that interviewer reads or the data collection mechanism provides a short definition of discrimination/harassment to the respondent before asking the questions. Providing respondents with a basic introduction to these notions helps improve their comprehension and recall of incidents. Following consultations with experts and complementary cognitive testing, the following introductory text is recommended: </w:t>
            </w:r>
          </w:p>
          <w:p w14:paraId="06AA996F" w14:textId="77777777" w:rsidR="0036416A" w:rsidRPr="00B20ADF" w:rsidRDefault="0036416A" w:rsidP="0036416A">
            <w:pPr>
              <w:pStyle w:val="NoSpacing"/>
              <w:rPr>
                <w:i/>
                <w:lang w:val="en-GB"/>
              </w:rPr>
            </w:pPr>
            <w:r w:rsidRPr="00B20ADF">
              <w:rPr>
                <w:i/>
                <w:lang w:val="en-GB"/>
              </w:rPr>
              <w:t>Discrimination happens when you are treated less favourably compared to others or harassed because of the way you look, where you come from, what you believe or for other reasons. You may be refused equal access to work, housing, healthcare, education, marriage or family life, the police or justice system, shops, restaurants, or any other services or opportunities. You may also encounter comments, gestures or other behaviours that make you feel offended, threatened or insulted, or have to stay away from places or activities to avoid such behaviours.</w:t>
            </w:r>
          </w:p>
          <w:p w14:paraId="59CCE87A" w14:textId="77777777" w:rsidR="0036416A" w:rsidRPr="00B20ADF" w:rsidRDefault="0036416A" w:rsidP="0036416A">
            <w:pPr>
              <w:pStyle w:val="NoSpacing"/>
              <w:rPr>
                <w:lang w:val="en-GB"/>
              </w:rPr>
            </w:pPr>
            <w:r w:rsidRPr="00B20ADF">
              <w:rPr>
                <w:lang w:val="en-GB"/>
              </w:rPr>
              <w:t>The proposed survey module also recommends that a list of grounds is provided to respondents to facilitate comprehension and recall of incidents. As a starting point, OHCHR recommends the use of the following list of grounds prohibited by international human rights law and adding an “any other ground” category to capture grounds that are not explicitly listed. The module recommends that the following illustrative list is reviewed and contextualised at national level through a participatory process (see HRBAD and accompanying guidance) to reflect specific population groups and data collection/disaggregation needs:</w:t>
            </w:r>
          </w:p>
          <w:p w14:paraId="24FF7028" w14:textId="77777777" w:rsidR="0036416A" w:rsidRPr="00B20ADF" w:rsidRDefault="0036416A" w:rsidP="0036416A">
            <w:pPr>
              <w:pStyle w:val="NoSpacing"/>
              <w:rPr>
                <w:lang w:val="en-GB"/>
              </w:rPr>
            </w:pPr>
          </w:p>
          <w:p w14:paraId="767E6E38" w14:textId="77777777" w:rsidR="0036416A" w:rsidRPr="00B20ADF" w:rsidRDefault="0036416A" w:rsidP="0036416A">
            <w:pPr>
              <w:pStyle w:val="NoSpacing"/>
              <w:rPr>
                <w:lang w:val="en-GB"/>
              </w:rPr>
            </w:pPr>
            <w:r w:rsidRPr="00B20ADF">
              <w:rPr>
                <w:lang w:val="en-GB"/>
              </w:rPr>
              <w:t>1. SEX: such as being a woman or a man</w:t>
            </w:r>
          </w:p>
          <w:p w14:paraId="6B574351" w14:textId="77777777" w:rsidR="0036416A" w:rsidRPr="00B20ADF" w:rsidRDefault="0036416A" w:rsidP="0036416A">
            <w:pPr>
              <w:pStyle w:val="NoSpacing"/>
              <w:rPr>
                <w:lang w:val="en-GB"/>
              </w:rPr>
            </w:pPr>
            <w:r w:rsidRPr="00B20ADF">
              <w:rPr>
                <w:lang w:val="en-GB"/>
              </w:rPr>
              <w:t>2. AGE: such as being perceived to be too young or too old</w:t>
            </w:r>
          </w:p>
          <w:p w14:paraId="0DBE66B3" w14:textId="77777777" w:rsidR="0036416A" w:rsidRPr="00B20ADF" w:rsidRDefault="0036416A" w:rsidP="0036416A">
            <w:pPr>
              <w:pStyle w:val="NoSpacing"/>
              <w:rPr>
                <w:lang w:val="en-GB"/>
              </w:rPr>
            </w:pPr>
            <w:r w:rsidRPr="00B20ADF">
              <w:rPr>
                <w:lang w:val="en-GB"/>
              </w:rPr>
              <w:t>3. DISABILITY OR HEALTH STATUS: such as having difficulty in seeing, hearing, walking or moving, concentrating or communicating, having a disease or other health conditions and no reasonable accommodation provided for it</w:t>
            </w:r>
          </w:p>
          <w:p w14:paraId="5C76A6A2" w14:textId="77777777" w:rsidR="0036416A" w:rsidRPr="00B20ADF" w:rsidRDefault="0036416A" w:rsidP="0036416A">
            <w:pPr>
              <w:pStyle w:val="NoSpacing"/>
              <w:rPr>
                <w:lang w:val="en-GB"/>
              </w:rPr>
            </w:pPr>
            <w:r w:rsidRPr="00B20ADF">
              <w:rPr>
                <w:lang w:val="en-GB"/>
              </w:rPr>
              <w:t xml:space="preserve">4. ETHNICITY, COLOUR OR LANGUAGE: such as skin colour or physical appearance, ethnic origin or way of dressing, culture, traditions, native language, indigenous status, or being of African descent </w:t>
            </w:r>
          </w:p>
          <w:p w14:paraId="4EE38B3D" w14:textId="77777777" w:rsidR="0036416A" w:rsidRPr="00B20ADF" w:rsidRDefault="0036416A" w:rsidP="0036416A">
            <w:pPr>
              <w:pStyle w:val="NoSpacing"/>
              <w:rPr>
                <w:lang w:val="en-GB"/>
              </w:rPr>
            </w:pPr>
            <w:r w:rsidRPr="00B20ADF">
              <w:rPr>
                <w:lang w:val="en-GB"/>
              </w:rPr>
              <w:t xml:space="preserve">5. MIGRATION STATUS: such as nationality or national origin, country of birth, refugees, asylum seekers, migrant status, </w:t>
            </w:r>
            <w:r w:rsidRPr="00B20ADF">
              <w:rPr>
                <w:lang w:val="en-GB"/>
              </w:rPr>
              <w:lastRenderedPageBreak/>
              <w:t>undocumented migrants or stateless persons</w:t>
            </w:r>
          </w:p>
          <w:p w14:paraId="0A617CB4" w14:textId="77777777" w:rsidR="0036416A" w:rsidRPr="00B20ADF" w:rsidRDefault="0036416A" w:rsidP="0036416A">
            <w:pPr>
              <w:pStyle w:val="NoSpacing"/>
              <w:rPr>
                <w:lang w:val="en-GB"/>
              </w:rPr>
            </w:pPr>
            <w:r w:rsidRPr="00B20ADF">
              <w:rPr>
                <w:lang w:val="en-GB"/>
              </w:rPr>
              <w:t xml:space="preserve">6. SOCIO-ECONOMIC STATUS: such as wealth or education level, being perceived to be from a lower or different social or economic group or class, land or home ownership or not </w:t>
            </w:r>
          </w:p>
          <w:p w14:paraId="58F9BB30" w14:textId="77777777" w:rsidR="0036416A" w:rsidRPr="00B20ADF" w:rsidRDefault="0036416A" w:rsidP="0036416A">
            <w:pPr>
              <w:pStyle w:val="NoSpacing"/>
              <w:rPr>
                <w:lang w:val="en-GB"/>
              </w:rPr>
            </w:pPr>
            <w:r w:rsidRPr="00B20ADF">
              <w:rPr>
                <w:lang w:val="en-GB"/>
              </w:rPr>
              <w:t>7. GEOGRAPHIC LOCATION OR PLACE OF RESIDENCE: such as living in urban or rural areas, formal or informal settlements</w:t>
            </w:r>
          </w:p>
          <w:p w14:paraId="7F8F0A4F" w14:textId="77777777" w:rsidR="0036416A" w:rsidRPr="00B20ADF" w:rsidRDefault="0036416A" w:rsidP="0036416A">
            <w:pPr>
              <w:pStyle w:val="NoSpacing"/>
              <w:rPr>
                <w:lang w:val="en-GB"/>
              </w:rPr>
            </w:pPr>
            <w:r w:rsidRPr="00B20ADF">
              <w:rPr>
                <w:lang w:val="en-GB"/>
              </w:rPr>
              <w:t>8. RELIGION: such as having or not a religion or religious beliefs</w:t>
            </w:r>
          </w:p>
          <w:p w14:paraId="2D8B6BCA" w14:textId="77777777" w:rsidR="0036416A" w:rsidRPr="00B20ADF" w:rsidRDefault="0036416A" w:rsidP="0036416A">
            <w:pPr>
              <w:pStyle w:val="NoSpacing"/>
              <w:rPr>
                <w:lang w:val="en-GB"/>
              </w:rPr>
            </w:pPr>
            <w:r w:rsidRPr="00B20ADF">
              <w:rPr>
                <w:lang w:val="en-GB"/>
              </w:rPr>
              <w:t>9. MARITAL AND FAMILY STATUS: such as being single, married, divorced, widowed, pregnant, with or without children, orphan or born from unmarried parents</w:t>
            </w:r>
          </w:p>
          <w:p w14:paraId="58B2FE38" w14:textId="77777777" w:rsidR="0036416A" w:rsidRPr="00B20ADF" w:rsidRDefault="0036416A" w:rsidP="0036416A">
            <w:pPr>
              <w:pStyle w:val="NoSpacing"/>
              <w:rPr>
                <w:lang w:val="en-GB"/>
              </w:rPr>
            </w:pPr>
            <w:r w:rsidRPr="00B20ADF">
              <w:rPr>
                <w:lang w:val="en-GB"/>
              </w:rPr>
              <w:t xml:space="preserve">10. SEXUAL ORIENTATION OR GENDER IDENTITY: such as being attracted to person of the same sex, self-identifying differently from sex assigned at birth or as being either sexually, bodily and/or gender diverse </w:t>
            </w:r>
          </w:p>
          <w:p w14:paraId="65CFA260" w14:textId="77777777" w:rsidR="0036416A" w:rsidRPr="00B20ADF" w:rsidRDefault="0036416A" w:rsidP="0036416A">
            <w:pPr>
              <w:pStyle w:val="NoSpacing"/>
              <w:rPr>
                <w:lang w:val="en-GB"/>
              </w:rPr>
            </w:pPr>
            <w:r w:rsidRPr="00B20ADF">
              <w:rPr>
                <w:lang w:val="en-GB"/>
              </w:rPr>
              <w:t>11. POLITICAL OPINION: such as expressing political views, defending the rights of others, being a member or not of a political party or trade union</w:t>
            </w:r>
          </w:p>
          <w:p w14:paraId="69953CA0" w14:textId="77777777" w:rsidR="0036416A" w:rsidRPr="00B20ADF" w:rsidRDefault="0036416A" w:rsidP="0036416A">
            <w:pPr>
              <w:pStyle w:val="NoSpacing"/>
              <w:rPr>
                <w:lang w:val="en-GB"/>
              </w:rPr>
            </w:pPr>
            <w:r w:rsidRPr="00B20ADF">
              <w:rPr>
                <w:lang w:val="en-GB"/>
              </w:rPr>
              <w:t>12. OTHER GROUNDS</w:t>
            </w:r>
          </w:p>
          <w:p w14:paraId="1D43BAB7" w14:textId="77777777" w:rsidR="0036416A" w:rsidRDefault="0036416A" w:rsidP="0036416A">
            <w:pPr>
              <w:pStyle w:val="NoSpacing"/>
            </w:pPr>
          </w:p>
        </w:tc>
        <w:tc>
          <w:tcPr>
            <w:tcW w:w="0" w:type="auto"/>
          </w:tcPr>
          <w:p w14:paraId="4A5ECA3C" w14:textId="77777777" w:rsidR="0036416A" w:rsidRPr="00B152EA" w:rsidRDefault="0036416A" w:rsidP="0036416A">
            <w:pPr>
              <w:pStyle w:val="NoSpacing"/>
            </w:pPr>
            <w:r w:rsidRPr="00B152EA">
              <w:lastRenderedPageBreak/>
              <w:t xml:space="preserve">Household surveys, such as MICS, </w:t>
            </w:r>
          </w:p>
          <w:p w14:paraId="31812BC6" w14:textId="77777777" w:rsidR="0036416A" w:rsidRPr="00B152EA" w:rsidRDefault="0036416A" w:rsidP="0036416A">
            <w:pPr>
              <w:pStyle w:val="NoSpacing"/>
            </w:pPr>
          </w:p>
          <w:p w14:paraId="43792BD0" w14:textId="77777777" w:rsidR="0036416A" w:rsidRPr="00B152EA" w:rsidRDefault="0036416A" w:rsidP="0036416A">
            <w:pPr>
              <w:pStyle w:val="NoSpacing"/>
            </w:pPr>
            <w:r w:rsidRPr="00B152EA">
              <w:t xml:space="preserve">victimisation surveys and </w:t>
            </w:r>
          </w:p>
          <w:p w14:paraId="1A929F16" w14:textId="77777777" w:rsidR="0036416A" w:rsidRPr="00B152EA" w:rsidRDefault="0036416A" w:rsidP="0036416A">
            <w:pPr>
              <w:pStyle w:val="NoSpacing"/>
            </w:pPr>
          </w:p>
          <w:p w14:paraId="05EDBE47" w14:textId="77777777" w:rsidR="0036416A" w:rsidRDefault="0036416A" w:rsidP="0036416A">
            <w:pPr>
              <w:pStyle w:val="NoSpacing"/>
            </w:pPr>
            <w:r w:rsidRPr="00B152EA">
              <w:t>other social surveys,</w:t>
            </w:r>
          </w:p>
        </w:tc>
        <w:tc>
          <w:tcPr>
            <w:tcW w:w="0" w:type="auto"/>
          </w:tcPr>
          <w:p w14:paraId="0CA94E83" w14:textId="77777777" w:rsidR="0036416A" w:rsidRDefault="0036416A" w:rsidP="0036416A">
            <w:pPr>
              <w:pStyle w:val="NoSpacing"/>
            </w:pPr>
            <w:r w:rsidRPr="00B152EA">
              <w:t>National Statistical Offices (NSOs)</w:t>
            </w:r>
          </w:p>
        </w:tc>
        <w:tc>
          <w:tcPr>
            <w:tcW w:w="0" w:type="auto"/>
          </w:tcPr>
          <w:p w14:paraId="5635AB37" w14:textId="77777777" w:rsidR="0036416A" w:rsidRDefault="0036416A" w:rsidP="0036416A">
            <w:pPr>
              <w:pStyle w:val="NoSpacing"/>
            </w:pPr>
            <w:r>
              <w:t>BBS</w:t>
            </w:r>
          </w:p>
          <w:p w14:paraId="63F63C96" w14:textId="77777777" w:rsidR="0036416A" w:rsidRDefault="0036416A" w:rsidP="0036416A">
            <w:pPr>
              <w:pStyle w:val="NoSpacing"/>
            </w:pPr>
            <w:r>
              <w:t>CPHS</w:t>
            </w:r>
          </w:p>
        </w:tc>
        <w:tc>
          <w:tcPr>
            <w:tcW w:w="0" w:type="auto"/>
          </w:tcPr>
          <w:p w14:paraId="787F3E00" w14:textId="77777777" w:rsidR="0036416A" w:rsidRDefault="0036416A" w:rsidP="0036416A">
            <w:pPr>
              <w:pStyle w:val="NoSpacing"/>
            </w:pPr>
            <w:r>
              <w:t>BBS</w:t>
            </w:r>
          </w:p>
          <w:p w14:paraId="447A7B56" w14:textId="77777777" w:rsidR="0036416A" w:rsidRDefault="0036416A" w:rsidP="0036416A">
            <w:pPr>
              <w:ind w:left="970" w:hanging="970"/>
              <w:jc w:val="both"/>
              <w:rPr>
                <w:color w:val="0070C0"/>
                <w:sz w:val="30"/>
                <w:szCs w:val="30"/>
              </w:rPr>
            </w:pPr>
            <w:r>
              <w:t>CPHS</w:t>
            </w:r>
          </w:p>
        </w:tc>
        <w:tc>
          <w:tcPr>
            <w:tcW w:w="0" w:type="auto"/>
          </w:tcPr>
          <w:p w14:paraId="29DA7D77" w14:textId="77777777" w:rsidR="0036416A" w:rsidRDefault="0036416A" w:rsidP="0036416A">
            <w:pPr>
              <w:pStyle w:val="ListParagraph"/>
              <w:spacing w:after="0" w:line="240" w:lineRule="auto"/>
              <w:ind w:left="360"/>
              <w:rPr>
                <w:rFonts w:ascii="Tw Cen MT Condensed" w:hAnsi="Tw Cen MT Condensed"/>
                <w:sz w:val="20"/>
                <w:szCs w:val="20"/>
              </w:rPr>
            </w:pPr>
          </w:p>
          <w:p w14:paraId="3E0C154C"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 xml:space="preserve"> SEX: woman, man</w:t>
            </w:r>
          </w:p>
          <w:p w14:paraId="7099E0FE"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2. AGE: too young, too old</w:t>
            </w:r>
          </w:p>
          <w:p w14:paraId="5A596F0D"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3. DISABILITY OR HEALTH STATUS: having difficulty in seeing, hearing, walking or moving, concentrating or communicati</w:t>
            </w:r>
            <w:r>
              <w:rPr>
                <w:rFonts w:ascii="Tw Cen MT Condensed" w:hAnsi="Tw Cen MT Condensed"/>
                <w:sz w:val="20"/>
                <w:szCs w:val="20"/>
              </w:rPr>
              <w:lastRenderedPageBreak/>
              <w:t>ng, having a disease or other health conditions and no reasonable accommodation provided for it</w:t>
            </w:r>
          </w:p>
          <w:p w14:paraId="34062C73"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ETHNICITY: ethnic origin or way of dressing, culture, traditions, indigenous status</w:t>
            </w:r>
          </w:p>
          <w:p w14:paraId="6BE412BD"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MIGRATION STATUS: nationality or national origin, country of birth, refugees, asylum seekers, migrant status, undocumented migrants or stateless persons</w:t>
            </w:r>
          </w:p>
          <w:p w14:paraId="27AFCA22"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 xml:space="preserve">SOCIO-ECONOMIC </w:t>
            </w:r>
            <w:r>
              <w:rPr>
                <w:rFonts w:ascii="Tw Cen MT Condensed" w:hAnsi="Tw Cen MT Condensed"/>
                <w:sz w:val="20"/>
                <w:szCs w:val="20"/>
              </w:rPr>
              <w:lastRenderedPageBreak/>
              <w:t xml:space="preserve">STATUS: wealth or education level, being perceived to be from a lower or different social or economic group or class, land or home ownership or not </w:t>
            </w:r>
          </w:p>
          <w:p w14:paraId="1DEA3C5E"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GEOGRAPHIC LOCATION OR PLACE OF RESIDENCE: urban or rural areas, formal or informal settlements</w:t>
            </w:r>
          </w:p>
          <w:p w14:paraId="3E1A9699"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RELIGION: religious beliefs</w:t>
            </w:r>
          </w:p>
          <w:p w14:paraId="1D104B1E"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 xml:space="preserve">MARITAL AND FAMILY STATUS: such as being single, married, </w:t>
            </w:r>
            <w:r>
              <w:rPr>
                <w:rFonts w:ascii="Tw Cen MT Condensed" w:hAnsi="Tw Cen MT Condensed"/>
                <w:sz w:val="20"/>
                <w:szCs w:val="20"/>
              </w:rPr>
              <w:lastRenderedPageBreak/>
              <w:t>divorced, widowed, pregnant, with or without children, orphan or born from unmarried parents</w:t>
            </w:r>
          </w:p>
          <w:p w14:paraId="151E8815" w14:textId="77777777" w:rsidR="0036416A" w:rsidRDefault="0036416A" w:rsidP="0036416A">
            <w:pPr>
              <w:pStyle w:val="ListParagraph"/>
              <w:numPr>
                <w:ilvl w:val="0"/>
                <w:numId w:val="52"/>
              </w:numPr>
              <w:spacing w:after="0" w:line="240" w:lineRule="auto"/>
              <w:rPr>
                <w:rFonts w:ascii="Tw Cen MT Condensed" w:hAnsi="Tw Cen MT Condensed"/>
                <w:sz w:val="20"/>
                <w:szCs w:val="20"/>
              </w:rPr>
            </w:pPr>
            <w:r>
              <w:rPr>
                <w:rFonts w:ascii="Tw Cen MT Condensed" w:hAnsi="Tw Cen MT Condensed"/>
                <w:sz w:val="20"/>
                <w:szCs w:val="20"/>
              </w:rPr>
              <w:t>POLITICAL OPINION: such as expressing political views, defending the rights of others, being a member or not of a political party or trade union</w:t>
            </w:r>
          </w:p>
          <w:p w14:paraId="4F573A5C" w14:textId="77777777" w:rsidR="0036416A" w:rsidRPr="00612CE7" w:rsidRDefault="0036416A" w:rsidP="0036416A">
            <w:pPr>
              <w:pStyle w:val="ListParagraph"/>
              <w:numPr>
                <w:ilvl w:val="0"/>
                <w:numId w:val="52"/>
              </w:numPr>
              <w:spacing w:after="160" w:line="256" w:lineRule="auto"/>
              <w:ind w:left="2862" w:hanging="432"/>
              <w:rPr>
                <w:rFonts w:ascii="Tw Cen MT Condensed" w:hAnsi="Tw Cen MT Condensed"/>
                <w:szCs w:val="20"/>
              </w:rPr>
            </w:pPr>
          </w:p>
        </w:tc>
        <w:tc>
          <w:tcPr>
            <w:tcW w:w="0" w:type="auto"/>
          </w:tcPr>
          <w:p w14:paraId="6066C61E" w14:textId="77777777" w:rsidR="0036416A" w:rsidRDefault="0036416A" w:rsidP="0036416A">
            <w:pPr>
              <w:spacing w:line="276" w:lineRule="auto"/>
              <w:jc w:val="center"/>
            </w:pPr>
            <w:r>
              <w:lastRenderedPageBreak/>
              <w:t>Triennial</w:t>
            </w:r>
          </w:p>
          <w:p w14:paraId="61CB5FE9" w14:textId="77777777" w:rsidR="0036416A" w:rsidRDefault="0036416A" w:rsidP="0036416A">
            <w:pPr>
              <w:ind w:left="970" w:hanging="970"/>
              <w:jc w:val="both"/>
              <w:rPr>
                <w:color w:val="0070C0"/>
                <w:sz w:val="30"/>
                <w:szCs w:val="30"/>
              </w:rPr>
            </w:pPr>
          </w:p>
        </w:tc>
        <w:tc>
          <w:tcPr>
            <w:tcW w:w="0" w:type="auto"/>
          </w:tcPr>
          <w:p w14:paraId="522B66E1" w14:textId="77777777" w:rsidR="0036416A" w:rsidRDefault="0036416A" w:rsidP="0036416A">
            <w:pPr>
              <w:ind w:left="970" w:hanging="970"/>
              <w:jc w:val="both"/>
              <w:rPr>
                <w:color w:val="0070C0"/>
                <w:sz w:val="30"/>
                <w:szCs w:val="30"/>
              </w:rPr>
            </w:pPr>
            <w:r>
              <w:t>Group 1</w:t>
            </w:r>
          </w:p>
        </w:tc>
        <w:tc>
          <w:tcPr>
            <w:tcW w:w="0" w:type="auto"/>
          </w:tcPr>
          <w:p w14:paraId="1DA4D0AA" w14:textId="77777777" w:rsidR="0036416A" w:rsidRDefault="0036416A" w:rsidP="0036416A">
            <w:pPr>
              <w:pStyle w:val="NoSpacing"/>
            </w:pPr>
            <w:r>
              <w:t>1</w:t>
            </w:r>
            <w:r w:rsidRPr="00013ACB">
              <w:rPr>
                <w:vertAlign w:val="superscript"/>
              </w:rPr>
              <w:t>st</w:t>
            </w:r>
            <w:r>
              <w:t xml:space="preserve"> Round: </w:t>
            </w:r>
          </w:p>
          <w:p w14:paraId="56E5D9DB" w14:textId="77777777" w:rsidR="0036416A" w:rsidRDefault="0036416A" w:rsidP="0036416A">
            <w:pPr>
              <w:pStyle w:val="NoSpacing"/>
            </w:pPr>
            <w:r>
              <w:t>2018</w:t>
            </w:r>
          </w:p>
          <w:p w14:paraId="4AE38711" w14:textId="77777777" w:rsidR="0036416A" w:rsidRDefault="0036416A" w:rsidP="0036416A">
            <w:pPr>
              <w:pStyle w:val="NoSpacing"/>
            </w:pPr>
            <w:r>
              <w:t>2</w:t>
            </w:r>
            <w:r w:rsidRPr="00013ACB">
              <w:rPr>
                <w:vertAlign w:val="superscript"/>
              </w:rPr>
              <w:t>nd</w:t>
            </w:r>
            <w:r>
              <w:t xml:space="preserve"> Round: </w:t>
            </w:r>
          </w:p>
          <w:p w14:paraId="15C16F38" w14:textId="77777777" w:rsidR="0036416A" w:rsidRDefault="0036416A" w:rsidP="0036416A">
            <w:pPr>
              <w:pStyle w:val="NoSpacing"/>
            </w:pPr>
            <w:r w:rsidRPr="00CA542A">
              <w:t>December</w:t>
            </w:r>
            <w:r w:rsidRPr="00CA542A">
              <w:br/>
              <w:t>2020</w:t>
            </w:r>
          </w:p>
          <w:p w14:paraId="38D47B3B" w14:textId="77777777" w:rsidR="0036416A" w:rsidRDefault="0036416A" w:rsidP="0036416A">
            <w:pPr>
              <w:pStyle w:val="NoSpacing"/>
            </w:pPr>
          </w:p>
          <w:p w14:paraId="4A884FA3" w14:textId="77777777" w:rsidR="0036416A" w:rsidRDefault="0036416A" w:rsidP="0036416A">
            <w:pPr>
              <w:pStyle w:val="NoSpacing"/>
            </w:pPr>
            <w:r>
              <w:t>3</w:t>
            </w:r>
            <w:r w:rsidRPr="00013ACB">
              <w:rPr>
                <w:vertAlign w:val="superscript"/>
              </w:rPr>
              <w:t>rd</w:t>
            </w:r>
            <w:r>
              <w:t xml:space="preserve"> Round: </w:t>
            </w:r>
          </w:p>
          <w:p w14:paraId="6A640BCF" w14:textId="77777777" w:rsidR="0036416A" w:rsidRDefault="0036416A" w:rsidP="0036416A">
            <w:pPr>
              <w:pStyle w:val="NoSpacing"/>
            </w:pPr>
            <w:r>
              <w:t>December</w:t>
            </w:r>
            <w:r>
              <w:br/>
              <w:t>2023</w:t>
            </w:r>
          </w:p>
          <w:p w14:paraId="1B25FE1C" w14:textId="77777777" w:rsidR="0036416A" w:rsidRDefault="0036416A" w:rsidP="0036416A">
            <w:pPr>
              <w:pStyle w:val="NoSpacing"/>
            </w:pPr>
          </w:p>
          <w:p w14:paraId="1B923FF5" w14:textId="77777777" w:rsidR="0036416A" w:rsidRDefault="0036416A" w:rsidP="0036416A">
            <w:pPr>
              <w:pStyle w:val="NoSpacing"/>
            </w:pPr>
            <w:r>
              <w:t>4</w:t>
            </w:r>
            <w:r w:rsidRPr="00013ACB">
              <w:rPr>
                <w:vertAlign w:val="superscript"/>
              </w:rPr>
              <w:t>th</w:t>
            </w:r>
            <w:r>
              <w:t xml:space="preserve"> Round: </w:t>
            </w:r>
          </w:p>
          <w:p w14:paraId="54AC4DEE" w14:textId="77777777" w:rsidR="0036416A" w:rsidRDefault="0036416A" w:rsidP="0036416A">
            <w:pPr>
              <w:pStyle w:val="NoSpacing"/>
            </w:pPr>
            <w:r>
              <w:t>December</w:t>
            </w:r>
            <w:r>
              <w:br/>
              <w:t>2026</w:t>
            </w:r>
          </w:p>
          <w:p w14:paraId="71367894" w14:textId="77777777" w:rsidR="0036416A" w:rsidRDefault="0036416A" w:rsidP="0036416A">
            <w:pPr>
              <w:pStyle w:val="NoSpacing"/>
            </w:pPr>
          </w:p>
          <w:p w14:paraId="51BCACCB" w14:textId="77777777" w:rsidR="0036416A" w:rsidRDefault="0036416A" w:rsidP="0036416A">
            <w:pPr>
              <w:pStyle w:val="NoSpacing"/>
            </w:pPr>
            <w:r>
              <w:t>5</w:t>
            </w:r>
            <w:r w:rsidRPr="00013ACB">
              <w:rPr>
                <w:vertAlign w:val="superscript"/>
              </w:rPr>
              <w:t>th</w:t>
            </w:r>
            <w:r>
              <w:t xml:space="preserve"> Round: </w:t>
            </w:r>
          </w:p>
          <w:p w14:paraId="66169B87" w14:textId="225A0101" w:rsidR="0036416A" w:rsidRPr="00CA542A" w:rsidRDefault="0036416A" w:rsidP="0036416A">
            <w:pPr>
              <w:pStyle w:val="NoSpacing"/>
            </w:pPr>
            <w:r>
              <w:t>December</w:t>
            </w:r>
            <w:r>
              <w:br/>
              <w:t>2029</w:t>
            </w:r>
          </w:p>
        </w:tc>
        <w:tc>
          <w:tcPr>
            <w:tcW w:w="0" w:type="auto"/>
          </w:tcPr>
          <w:p w14:paraId="0C59896D" w14:textId="77777777" w:rsidR="0036416A" w:rsidRPr="002F2586" w:rsidRDefault="0036416A" w:rsidP="0036416A">
            <w:pPr>
              <w:pStyle w:val="NoSpacing"/>
            </w:pPr>
            <w:r w:rsidRPr="002F2586">
              <w:t>Reviewed at 9th IAEG-SDG meeting (classified as Tier II)</w:t>
            </w:r>
          </w:p>
          <w:p w14:paraId="61F9C5FB" w14:textId="77777777" w:rsidR="0036416A" w:rsidRPr="002F2586" w:rsidRDefault="0036416A" w:rsidP="0036416A">
            <w:pPr>
              <w:pStyle w:val="NoSpacing"/>
            </w:pPr>
          </w:p>
          <w:p w14:paraId="462D0E8B" w14:textId="12E5A49B" w:rsidR="003E5AFB" w:rsidRDefault="003E5AFB">
            <w:pPr>
              <w:pStyle w:val="NoSpacing"/>
            </w:pPr>
            <w:r>
              <w:t xml:space="preserve">Repeated </w:t>
            </w:r>
            <w:r w:rsidR="0036416A" w:rsidRPr="002F2586">
              <w:t xml:space="preserve">16.b.1 </w:t>
            </w:r>
          </w:p>
        </w:tc>
      </w:tr>
      <w:tr w:rsidR="0025292C" w14:paraId="5DBB76B3" w14:textId="77777777" w:rsidTr="00D52BCB">
        <w:tc>
          <w:tcPr>
            <w:tcW w:w="0" w:type="auto"/>
            <w:gridSpan w:val="13"/>
          </w:tcPr>
          <w:p w14:paraId="6734555B" w14:textId="77777777" w:rsidR="0025292C" w:rsidRDefault="0025292C" w:rsidP="0036416A">
            <w:pPr>
              <w:jc w:val="both"/>
              <w:rPr>
                <w:color w:val="0070C0"/>
                <w:sz w:val="48"/>
                <w:szCs w:val="48"/>
              </w:rPr>
            </w:pPr>
            <w:r>
              <w:rPr>
                <w:color w:val="0070C0"/>
                <w:sz w:val="30"/>
                <w:szCs w:val="30"/>
              </w:rPr>
              <w:lastRenderedPageBreak/>
              <w:t xml:space="preserve">Target </w:t>
            </w:r>
            <w:r w:rsidRPr="00C97C3C">
              <w:rPr>
                <w:color w:val="0070C0"/>
                <w:sz w:val="30"/>
                <w:szCs w:val="30"/>
              </w:rPr>
              <w:t>10.4 Adopt policies, especially fiscal, wage and social protection policies, and progressively achieve greater equality</w:t>
            </w:r>
          </w:p>
        </w:tc>
      </w:tr>
      <w:tr w:rsidR="0036416A" w14:paraId="70B2D416" w14:textId="77777777" w:rsidTr="00A64F0D">
        <w:tc>
          <w:tcPr>
            <w:tcW w:w="0" w:type="auto"/>
          </w:tcPr>
          <w:p w14:paraId="7BC5876B" w14:textId="77777777" w:rsidR="0036416A" w:rsidRDefault="0036416A" w:rsidP="0036416A">
            <w:pPr>
              <w:pStyle w:val="NoSpacing"/>
            </w:pPr>
            <w:r w:rsidRPr="003E7D26">
              <w:t>10.4.1 Labour share of GDP, comprising wages and social protection transfers</w:t>
            </w:r>
          </w:p>
        </w:tc>
        <w:tc>
          <w:tcPr>
            <w:tcW w:w="0" w:type="auto"/>
          </w:tcPr>
          <w:p w14:paraId="63E8FE44" w14:textId="77777777" w:rsidR="0036416A" w:rsidRDefault="0036416A" w:rsidP="0036416A">
            <w:pPr>
              <w:pStyle w:val="NoSpacing"/>
            </w:pPr>
            <w:r w:rsidRPr="00221F5D">
              <w:t>ILO</w:t>
            </w:r>
          </w:p>
          <w:p w14:paraId="7C6F7434" w14:textId="77777777" w:rsidR="0036416A" w:rsidRDefault="0036416A" w:rsidP="0036416A">
            <w:pPr>
              <w:rPr>
                <w:b/>
                <w:bCs/>
                <w:szCs w:val="20"/>
                <w:lang w:bidi="bn-BD"/>
              </w:rPr>
            </w:pPr>
            <w:r w:rsidRPr="007243FC">
              <w:rPr>
                <w:b/>
                <w:bCs/>
                <w:szCs w:val="20"/>
              </w:rPr>
              <w:t>Partner Agencies:</w:t>
            </w:r>
            <w:r>
              <w:rPr>
                <w:rFonts w:hint="cs"/>
                <w:b/>
                <w:bCs/>
                <w:szCs w:val="20"/>
                <w:cs/>
                <w:lang w:bidi="bn-BD"/>
              </w:rPr>
              <w:t xml:space="preserve"> </w:t>
            </w:r>
            <w:r>
              <w:rPr>
                <w:b/>
                <w:bCs/>
                <w:szCs w:val="20"/>
                <w:lang w:bidi="bn-BD"/>
              </w:rPr>
              <w:t>IMF</w:t>
            </w:r>
          </w:p>
          <w:p w14:paraId="5AC9F89C" w14:textId="77777777" w:rsidR="0036416A" w:rsidRDefault="0036416A" w:rsidP="0036416A">
            <w:pPr>
              <w:ind w:left="970" w:hanging="970"/>
              <w:jc w:val="both"/>
              <w:rPr>
                <w:color w:val="0070C0"/>
                <w:sz w:val="30"/>
                <w:szCs w:val="30"/>
              </w:rPr>
            </w:pPr>
          </w:p>
        </w:tc>
        <w:tc>
          <w:tcPr>
            <w:tcW w:w="0" w:type="auto"/>
          </w:tcPr>
          <w:p w14:paraId="11534D1F" w14:textId="77777777" w:rsidR="0036416A" w:rsidRDefault="0036416A" w:rsidP="0036416A">
            <w:pPr>
              <w:ind w:left="970" w:hanging="970"/>
              <w:jc w:val="both"/>
              <w:rPr>
                <w:color w:val="0070C0"/>
                <w:sz w:val="30"/>
                <w:szCs w:val="30"/>
              </w:rPr>
            </w:pPr>
            <w:r w:rsidRPr="00253629">
              <w:t>Tier II</w:t>
            </w:r>
          </w:p>
        </w:tc>
        <w:tc>
          <w:tcPr>
            <w:tcW w:w="0" w:type="auto"/>
          </w:tcPr>
          <w:p w14:paraId="43C24693" w14:textId="77777777" w:rsidR="0036416A" w:rsidRDefault="0036416A" w:rsidP="0036416A">
            <w:pPr>
              <w:pStyle w:val="NoSpacing"/>
            </w:pPr>
            <w:r>
              <w:t>Definition:</w:t>
            </w:r>
          </w:p>
          <w:p w14:paraId="0F1A449B" w14:textId="77777777" w:rsidR="0036416A" w:rsidRDefault="0036416A" w:rsidP="0036416A">
            <w:pPr>
              <w:pStyle w:val="NoSpacing"/>
            </w:pPr>
          </w:p>
          <w:p w14:paraId="7DC6A18E" w14:textId="77777777" w:rsidR="0036416A" w:rsidRDefault="0036416A" w:rsidP="0036416A">
            <w:pPr>
              <w:pStyle w:val="NoSpacing"/>
            </w:pPr>
            <w:r>
              <w:t>Labour share of Gross Domestic Product (GDP) is the total compensation of employees given as a percent of GDP, which is a measure of total output. It provides information about the relative share of output which is paid as compensation to employees as compared with the share paid to capital in the production process for a given reference period.</w:t>
            </w:r>
          </w:p>
          <w:p w14:paraId="4830CE14" w14:textId="77777777" w:rsidR="0036416A" w:rsidRDefault="0036416A" w:rsidP="0036416A">
            <w:pPr>
              <w:pStyle w:val="NoSpacing"/>
            </w:pPr>
          </w:p>
          <w:p w14:paraId="135EBB19" w14:textId="77777777" w:rsidR="0036416A" w:rsidRDefault="0036416A" w:rsidP="0036416A">
            <w:pPr>
              <w:pStyle w:val="NoSpacing"/>
            </w:pPr>
            <w:r>
              <w:t>Concepts:</w:t>
            </w:r>
          </w:p>
          <w:p w14:paraId="343C5BCA" w14:textId="77777777" w:rsidR="0036416A" w:rsidRDefault="0036416A" w:rsidP="0036416A">
            <w:pPr>
              <w:pStyle w:val="NoSpacing"/>
            </w:pPr>
          </w:p>
          <w:p w14:paraId="0A9A2695" w14:textId="77777777" w:rsidR="0036416A" w:rsidRDefault="0036416A" w:rsidP="0036416A">
            <w:pPr>
              <w:pStyle w:val="NoSpacing"/>
            </w:pPr>
            <w:r>
              <w:t xml:space="preserve">Compensation of employees is the total in-cash or in-kind remuneration payable to the employee by the enterprise for the </w:t>
            </w:r>
            <w:r>
              <w:lastRenderedPageBreak/>
              <w:t>work performed by the employee during the accounting period. Compensation of employees includes: (i) wages and salaries (in cash or in kind) and (ii) social insurance contributions payable by employers. This concept views compensation of employees as a cost to employer, thus compensation equals zero for unpaid work undertaken voluntarily. Moreover, it does not include taxes payable by employers on the wage and salary bill, such as payroll tax.</w:t>
            </w:r>
          </w:p>
          <w:p w14:paraId="56C6DF92" w14:textId="77777777" w:rsidR="0036416A" w:rsidRDefault="0036416A" w:rsidP="0036416A">
            <w:pPr>
              <w:pStyle w:val="NoSpacing"/>
            </w:pPr>
          </w:p>
          <w:p w14:paraId="267BBBC8" w14:textId="77777777" w:rsidR="0036416A" w:rsidRDefault="0036416A" w:rsidP="0036416A">
            <w:pPr>
              <w:pStyle w:val="NoSpacing"/>
            </w:pPr>
            <w:r>
              <w:t>The indicator should be produced using data that cover all employees and all economic activities.</w:t>
            </w:r>
          </w:p>
          <w:p w14:paraId="73DFB607" w14:textId="77777777" w:rsidR="0036416A" w:rsidRDefault="0036416A" w:rsidP="0036416A">
            <w:pPr>
              <w:pStyle w:val="NoSpacing"/>
            </w:pPr>
          </w:p>
          <w:p w14:paraId="68572A98" w14:textId="77777777" w:rsidR="0036416A" w:rsidRDefault="0036416A" w:rsidP="0036416A">
            <w:pPr>
              <w:pStyle w:val="NoSpacing"/>
            </w:pPr>
            <w:r>
              <w:t xml:space="preserve">Gross domestic product (GDP) represents the market value of all final goods and services produced during a specific time period (for the purposes of this indicator, </w:t>
            </w:r>
            <w:proofErr w:type="gramStart"/>
            <w:r>
              <w:t>an</w:t>
            </w:r>
            <w:proofErr w:type="gramEnd"/>
            <w:r>
              <w:t xml:space="preserve"> year) in a country's territory.</w:t>
            </w:r>
          </w:p>
          <w:p w14:paraId="7309F364" w14:textId="77777777" w:rsidR="0036416A" w:rsidRDefault="0036416A" w:rsidP="0036416A">
            <w:pPr>
              <w:pStyle w:val="NoSpacing"/>
            </w:pPr>
          </w:p>
          <w:p w14:paraId="5FCB2BED" w14:textId="77777777" w:rsidR="0036416A" w:rsidRDefault="0036416A" w:rsidP="0036416A">
            <w:pPr>
              <w:pStyle w:val="NoSpacing"/>
            </w:pPr>
            <w:r>
              <w:t>Employees are all those workers who hold the type of job defined as paid employment jobs, that is, jobs where the incumbents hold explicit or implicit employment contracts giving them a basic remuneration not directly dependent on the revenue of the unit for which they work. Total employment is made up by employees and the self-employed.</w:t>
            </w:r>
          </w:p>
          <w:p w14:paraId="106112D2" w14:textId="77777777" w:rsidR="0036416A" w:rsidRDefault="0036416A" w:rsidP="0036416A">
            <w:pPr>
              <w:pStyle w:val="NoSpacing"/>
            </w:pPr>
          </w:p>
          <w:p w14:paraId="771BAF18" w14:textId="77777777" w:rsidR="0036416A" w:rsidRDefault="0036416A" w:rsidP="0036416A">
            <w:pPr>
              <w:pStyle w:val="NoSpacing"/>
            </w:pPr>
            <w:r>
              <w:t>Comments and limitations:</w:t>
            </w:r>
          </w:p>
          <w:p w14:paraId="7C191D62" w14:textId="77777777" w:rsidR="0036416A" w:rsidRDefault="0036416A" w:rsidP="0036416A">
            <w:pPr>
              <w:pStyle w:val="NoSpacing"/>
            </w:pPr>
          </w:p>
          <w:p w14:paraId="6A892791" w14:textId="77777777" w:rsidR="0036416A" w:rsidRDefault="0036416A" w:rsidP="0036416A">
            <w:pPr>
              <w:pStyle w:val="NoSpacing"/>
            </w:pPr>
            <w:r>
              <w:t>In general, labour share in GDP will underestimate the proportion of GDP accrued to total employment, as it covers only the compensation of employees and does not include the labour income of the self-employed. Thus the indicator may be less relevant in countries where a large proportion of employment is in self-employment. However, an adjusted labour share may be estimated to take into account the labour income of self-employed workers.</w:t>
            </w:r>
          </w:p>
          <w:p w14:paraId="2ABFE654" w14:textId="77777777" w:rsidR="0036416A" w:rsidRDefault="0036416A" w:rsidP="0036416A">
            <w:pPr>
              <w:pStyle w:val="NoSpacing"/>
            </w:pPr>
          </w:p>
          <w:p w14:paraId="1EF3F9A3" w14:textId="77777777" w:rsidR="0036416A" w:rsidRDefault="0036416A" w:rsidP="0036416A">
            <w:pPr>
              <w:pStyle w:val="NoSpacing"/>
            </w:pPr>
            <w:r>
              <w:t>GDP may exclude or underreport activities that are difficult to measure, such as transactions in the informal sector or in illegal markets, etc. thus understating the GDP. Moreover, GDP does not account for the social and environmental costs of production, and is therefore is not a good measure of the level of over-all wellbeing.</w:t>
            </w:r>
          </w:p>
          <w:p w14:paraId="10BCA2E2" w14:textId="77777777" w:rsidR="0036416A" w:rsidRDefault="0036416A" w:rsidP="0036416A">
            <w:pPr>
              <w:pStyle w:val="NoSpacing"/>
            </w:pPr>
          </w:p>
          <w:p w14:paraId="2FC16236" w14:textId="77777777" w:rsidR="0036416A" w:rsidRDefault="0036416A" w:rsidP="0036416A">
            <w:pPr>
              <w:pStyle w:val="NoSpacing"/>
            </w:pPr>
            <w:r>
              <w:t>Computation Method:</w:t>
            </w:r>
          </w:p>
          <w:p w14:paraId="28E18E9B" w14:textId="77777777" w:rsidR="0036416A" w:rsidRDefault="0036416A" w:rsidP="0036416A">
            <w:pPr>
              <w:pStyle w:val="NoSpacing"/>
            </w:pPr>
          </w:p>
          <w:p w14:paraId="702893BE" w14:textId="77777777" w:rsidR="0036416A" w:rsidRDefault="0036416A" w:rsidP="0036416A">
            <w:pPr>
              <w:pStyle w:val="NoSpacing"/>
            </w:pPr>
            <w:r>
              <w:t>Labour share of Gross Domestic Product = Total compensation of employees / Gross Domestic Product * 100</w:t>
            </w:r>
          </w:p>
        </w:tc>
        <w:tc>
          <w:tcPr>
            <w:tcW w:w="0" w:type="auto"/>
          </w:tcPr>
          <w:p w14:paraId="5FB8CC25" w14:textId="77777777" w:rsidR="0036416A" w:rsidRPr="00873FDE" w:rsidRDefault="0036416A" w:rsidP="0036416A">
            <w:pPr>
              <w:rPr>
                <w:szCs w:val="20"/>
              </w:rPr>
            </w:pPr>
            <w:r w:rsidRPr="00873FDE">
              <w:rPr>
                <w:szCs w:val="20"/>
              </w:rPr>
              <w:lastRenderedPageBreak/>
              <w:t xml:space="preserve"> Compilation of NA,</w:t>
            </w:r>
          </w:p>
          <w:p w14:paraId="4F7C857A" w14:textId="77777777" w:rsidR="0036416A" w:rsidRPr="00873FDE" w:rsidRDefault="0036416A" w:rsidP="0036416A">
            <w:pPr>
              <w:rPr>
                <w:szCs w:val="20"/>
              </w:rPr>
            </w:pPr>
            <w:r w:rsidRPr="00873FDE">
              <w:rPr>
                <w:szCs w:val="20"/>
              </w:rPr>
              <w:t xml:space="preserve"> LFS</w:t>
            </w:r>
          </w:p>
        </w:tc>
        <w:tc>
          <w:tcPr>
            <w:tcW w:w="0" w:type="auto"/>
          </w:tcPr>
          <w:p w14:paraId="77197195" w14:textId="77777777" w:rsidR="0036416A" w:rsidRPr="00873FDE" w:rsidRDefault="0036416A" w:rsidP="0036416A">
            <w:pPr>
              <w:rPr>
                <w:szCs w:val="20"/>
              </w:rPr>
            </w:pPr>
            <w:r w:rsidRPr="00873FDE">
              <w:rPr>
                <w:szCs w:val="20"/>
              </w:rPr>
              <w:t>NAW/LFS, BBS</w:t>
            </w:r>
          </w:p>
        </w:tc>
        <w:tc>
          <w:tcPr>
            <w:tcW w:w="0" w:type="auto"/>
          </w:tcPr>
          <w:p w14:paraId="4FA58D70" w14:textId="69CE989F" w:rsidR="0036416A" w:rsidRDefault="0036416A" w:rsidP="0036416A">
            <w:pPr>
              <w:pStyle w:val="NoSpacing"/>
            </w:pPr>
          </w:p>
        </w:tc>
        <w:tc>
          <w:tcPr>
            <w:tcW w:w="0" w:type="auto"/>
          </w:tcPr>
          <w:p w14:paraId="1D2FCF04" w14:textId="77777777" w:rsidR="0036416A" w:rsidRDefault="0036416A" w:rsidP="0036416A">
            <w:pPr>
              <w:pStyle w:val="NoSpacing"/>
            </w:pPr>
            <w:r>
              <w:t>BBS</w:t>
            </w:r>
          </w:p>
          <w:p w14:paraId="4E259150" w14:textId="77777777" w:rsidR="0036416A" w:rsidRDefault="0036416A" w:rsidP="0036416A">
            <w:pPr>
              <w:ind w:left="970" w:hanging="970"/>
              <w:jc w:val="both"/>
              <w:rPr>
                <w:color w:val="0070C0"/>
                <w:sz w:val="30"/>
                <w:szCs w:val="30"/>
              </w:rPr>
            </w:pPr>
            <w:r>
              <w:t>NAW</w:t>
            </w:r>
          </w:p>
        </w:tc>
        <w:tc>
          <w:tcPr>
            <w:tcW w:w="0" w:type="auto"/>
          </w:tcPr>
          <w:p w14:paraId="12448122" w14:textId="77777777" w:rsidR="0036416A" w:rsidRDefault="0036416A" w:rsidP="0036416A">
            <w:pPr>
              <w:ind w:left="970" w:hanging="970"/>
              <w:jc w:val="both"/>
              <w:rPr>
                <w:color w:val="0070C0"/>
                <w:sz w:val="30"/>
                <w:szCs w:val="30"/>
              </w:rPr>
            </w:pPr>
            <w:r>
              <w:rPr>
                <w:szCs w:val="22"/>
              </w:rPr>
              <w:t>Not Applicable</w:t>
            </w:r>
          </w:p>
        </w:tc>
        <w:tc>
          <w:tcPr>
            <w:tcW w:w="0" w:type="auto"/>
          </w:tcPr>
          <w:p w14:paraId="691AAB5F" w14:textId="77777777" w:rsidR="0036416A" w:rsidRDefault="0036416A" w:rsidP="0036416A">
            <w:pPr>
              <w:spacing w:line="276" w:lineRule="auto"/>
              <w:jc w:val="center"/>
            </w:pPr>
            <w:r>
              <w:t>Triennial</w:t>
            </w:r>
          </w:p>
          <w:p w14:paraId="3F2D5A4A" w14:textId="77777777" w:rsidR="0036416A" w:rsidRDefault="0036416A" w:rsidP="0036416A">
            <w:pPr>
              <w:ind w:left="970" w:hanging="970"/>
              <w:jc w:val="both"/>
              <w:rPr>
                <w:color w:val="0070C0"/>
                <w:sz w:val="30"/>
                <w:szCs w:val="30"/>
              </w:rPr>
            </w:pPr>
          </w:p>
        </w:tc>
        <w:tc>
          <w:tcPr>
            <w:tcW w:w="0" w:type="auto"/>
          </w:tcPr>
          <w:p w14:paraId="49EDAF9C" w14:textId="77777777" w:rsidR="0036416A" w:rsidRDefault="0036416A" w:rsidP="0036416A">
            <w:pPr>
              <w:ind w:left="970" w:hanging="970"/>
              <w:jc w:val="both"/>
              <w:rPr>
                <w:color w:val="0070C0"/>
                <w:sz w:val="30"/>
                <w:szCs w:val="30"/>
              </w:rPr>
            </w:pPr>
            <w:r>
              <w:t>Group 2</w:t>
            </w:r>
          </w:p>
        </w:tc>
        <w:tc>
          <w:tcPr>
            <w:tcW w:w="0" w:type="auto"/>
          </w:tcPr>
          <w:p w14:paraId="4F0BFF34" w14:textId="77777777" w:rsidR="0036416A" w:rsidRDefault="0036416A" w:rsidP="0036416A">
            <w:pPr>
              <w:pStyle w:val="NoSpacing"/>
            </w:pPr>
            <w:r>
              <w:t>1</w:t>
            </w:r>
            <w:r w:rsidRPr="00013ACB">
              <w:rPr>
                <w:vertAlign w:val="superscript"/>
              </w:rPr>
              <w:t>st</w:t>
            </w:r>
            <w:r>
              <w:t xml:space="preserve"> Round: </w:t>
            </w:r>
          </w:p>
          <w:p w14:paraId="1A4A5A64" w14:textId="77777777" w:rsidR="0036416A" w:rsidRDefault="0036416A" w:rsidP="0036416A">
            <w:pPr>
              <w:pStyle w:val="NoSpacing"/>
            </w:pPr>
            <w:r>
              <w:t>June 2021</w:t>
            </w:r>
          </w:p>
          <w:p w14:paraId="317A6268" w14:textId="77777777" w:rsidR="0036416A" w:rsidRDefault="0036416A" w:rsidP="0036416A">
            <w:pPr>
              <w:pStyle w:val="NoSpacing"/>
            </w:pPr>
          </w:p>
          <w:p w14:paraId="3F1DEC79" w14:textId="77777777" w:rsidR="0036416A" w:rsidRDefault="0036416A" w:rsidP="0036416A">
            <w:pPr>
              <w:pStyle w:val="NoSpacing"/>
            </w:pPr>
            <w:r>
              <w:t>2</w:t>
            </w:r>
            <w:r w:rsidRPr="00013ACB">
              <w:rPr>
                <w:vertAlign w:val="superscript"/>
              </w:rPr>
              <w:t>nd</w:t>
            </w:r>
            <w:r>
              <w:t xml:space="preserve"> Round: </w:t>
            </w:r>
          </w:p>
          <w:p w14:paraId="7A05BCBD" w14:textId="77777777" w:rsidR="0036416A" w:rsidRDefault="0036416A" w:rsidP="0036416A">
            <w:pPr>
              <w:pStyle w:val="NoSpacing"/>
            </w:pPr>
            <w:r>
              <w:t>June 2024</w:t>
            </w:r>
          </w:p>
          <w:p w14:paraId="4926963F" w14:textId="77777777" w:rsidR="0036416A" w:rsidRDefault="0036416A" w:rsidP="0036416A">
            <w:pPr>
              <w:pStyle w:val="NoSpacing"/>
            </w:pPr>
          </w:p>
          <w:p w14:paraId="685EC4D4" w14:textId="77777777" w:rsidR="0036416A" w:rsidRDefault="0036416A" w:rsidP="0036416A">
            <w:pPr>
              <w:pStyle w:val="NoSpacing"/>
            </w:pPr>
            <w:r>
              <w:t>3</w:t>
            </w:r>
            <w:r w:rsidRPr="00013ACB">
              <w:rPr>
                <w:vertAlign w:val="superscript"/>
              </w:rPr>
              <w:t>rd</w:t>
            </w:r>
            <w:r>
              <w:t xml:space="preserve"> Round: </w:t>
            </w:r>
          </w:p>
          <w:p w14:paraId="16B1DFF8" w14:textId="77777777" w:rsidR="0036416A" w:rsidRDefault="0036416A" w:rsidP="0036416A">
            <w:pPr>
              <w:pStyle w:val="NoSpacing"/>
            </w:pPr>
            <w:r>
              <w:t>June 2027</w:t>
            </w:r>
          </w:p>
          <w:p w14:paraId="40E9F699" w14:textId="77777777" w:rsidR="0036416A" w:rsidRDefault="0036416A" w:rsidP="0036416A">
            <w:pPr>
              <w:pStyle w:val="NoSpacing"/>
            </w:pPr>
          </w:p>
          <w:p w14:paraId="6AA62CB0" w14:textId="77777777" w:rsidR="0036416A" w:rsidRDefault="0036416A" w:rsidP="0036416A">
            <w:pPr>
              <w:pStyle w:val="NoSpacing"/>
            </w:pPr>
            <w:r>
              <w:lastRenderedPageBreak/>
              <w:t>4</w:t>
            </w:r>
            <w:r w:rsidRPr="00013ACB">
              <w:rPr>
                <w:vertAlign w:val="superscript"/>
              </w:rPr>
              <w:t>th</w:t>
            </w:r>
            <w:r>
              <w:t xml:space="preserve"> Round: </w:t>
            </w:r>
          </w:p>
          <w:p w14:paraId="040D455E" w14:textId="77777777" w:rsidR="0036416A" w:rsidRDefault="0036416A" w:rsidP="0036416A">
            <w:pPr>
              <w:pStyle w:val="NoSpacing"/>
            </w:pPr>
            <w:r>
              <w:t>Jun e 2030</w:t>
            </w:r>
          </w:p>
          <w:p w14:paraId="3E76CEA3" w14:textId="35C1F44A" w:rsidR="0036416A" w:rsidRDefault="0036416A" w:rsidP="0036416A">
            <w:pPr>
              <w:pStyle w:val="NoSpacing"/>
            </w:pPr>
          </w:p>
        </w:tc>
        <w:tc>
          <w:tcPr>
            <w:tcW w:w="0" w:type="auto"/>
          </w:tcPr>
          <w:p w14:paraId="6EE20A52" w14:textId="77777777" w:rsidR="0036416A" w:rsidRDefault="0036416A" w:rsidP="0036416A">
            <w:pPr>
              <w:pStyle w:val="NoSpacing"/>
            </w:pPr>
            <w:r w:rsidRPr="002F2586">
              <w:lastRenderedPageBreak/>
              <w:t>Data availability reviewed in Nov. 2017 (classified as Tier II)</w:t>
            </w:r>
          </w:p>
        </w:tc>
      </w:tr>
      <w:tr w:rsidR="0036416A" w14:paraId="1728CE25" w14:textId="77777777" w:rsidTr="00A64F0D">
        <w:tc>
          <w:tcPr>
            <w:tcW w:w="0" w:type="auto"/>
          </w:tcPr>
          <w:p w14:paraId="177F4A34" w14:textId="77777777" w:rsidR="0036416A" w:rsidRDefault="0036416A" w:rsidP="0036416A">
            <w:pPr>
              <w:pStyle w:val="NoSpacing"/>
            </w:pPr>
            <w:r w:rsidRPr="003E7D26">
              <w:lastRenderedPageBreak/>
              <w:t>10.4.2 Redistributive impact of fiscal policy</w:t>
            </w:r>
          </w:p>
        </w:tc>
        <w:tc>
          <w:tcPr>
            <w:tcW w:w="0" w:type="auto"/>
          </w:tcPr>
          <w:p w14:paraId="094E6A43" w14:textId="77777777" w:rsidR="0036416A" w:rsidRDefault="0036416A" w:rsidP="0036416A">
            <w:pPr>
              <w:ind w:left="970" w:hanging="970"/>
              <w:jc w:val="both"/>
              <w:rPr>
                <w:color w:val="0070C0"/>
                <w:sz w:val="30"/>
                <w:szCs w:val="30"/>
              </w:rPr>
            </w:pPr>
          </w:p>
          <w:p w14:paraId="204F36C0" w14:textId="77777777" w:rsidR="0036416A" w:rsidRDefault="0036416A" w:rsidP="0036416A">
            <w:pPr>
              <w:rPr>
                <w:color w:val="0070C0"/>
                <w:sz w:val="30"/>
                <w:szCs w:val="30"/>
              </w:rPr>
            </w:pPr>
          </w:p>
        </w:tc>
        <w:tc>
          <w:tcPr>
            <w:tcW w:w="0" w:type="auto"/>
          </w:tcPr>
          <w:p w14:paraId="19F43640" w14:textId="6CC57D44" w:rsidR="0036416A" w:rsidRDefault="00754676" w:rsidP="0036416A">
            <w:pPr>
              <w:pStyle w:val="NoSpacing"/>
            </w:pPr>
            <w:r>
              <w:t>TBD</w:t>
            </w:r>
          </w:p>
        </w:tc>
        <w:tc>
          <w:tcPr>
            <w:tcW w:w="0" w:type="auto"/>
          </w:tcPr>
          <w:p w14:paraId="48D1E833" w14:textId="77777777" w:rsidR="0036416A" w:rsidRDefault="0036416A" w:rsidP="0036416A">
            <w:pPr>
              <w:pStyle w:val="NoSpacing"/>
            </w:pPr>
            <w:r>
              <w:t xml:space="preserve">Definition: </w:t>
            </w:r>
          </w:p>
          <w:p w14:paraId="37C5DA26" w14:textId="77777777" w:rsidR="0036416A" w:rsidRDefault="0036416A" w:rsidP="0036416A">
            <w:pPr>
              <w:pStyle w:val="NoSpacing"/>
            </w:pPr>
            <w:r>
              <w:t xml:space="preserve"> </w:t>
            </w:r>
          </w:p>
          <w:p w14:paraId="3C4EB3AE" w14:textId="77777777" w:rsidR="0036416A" w:rsidRDefault="0036416A" w:rsidP="0036416A">
            <w:pPr>
              <w:pStyle w:val="NoSpacing"/>
            </w:pPr>
            <w:r>
              <w:t xml:space="preserve">The Redistributive Impact of Fiscal Policy indicator is defined as the Gini coefficient of prefiscal per capita (or equivalized) income less the Gini coefficient of postfiscal per capita (or equivalized) income. </w:t>
            </w:r>
          </w:p>
          <w:p w14:paraId="324FE5D1" w14:textId="77777777" w:rsidR="0036416A" w:rsidRDefault="0036416A" w:rsidP="0036416A">
            <w:pPr>
              <w:pStyle w:val="NoSpacing"/>
            </w:pPr>
            <w:r>
              <w:t xml:space="preserve"> </w:t>
            </w:r>
          </w:p>
          <w:p w14:paraId="3E3040F8" w14:textId="77777777" w:rsidR="0036416A" w:rsidRDefault="0036416A" w:rsidP="0036416A">
            <w:pPr>
              <w:pStyle w:val="NoSpacing"/>
            </w:pPr>
            <w:r>
              <w:t xml:space="preserve">Concepts: </w:t>
            </w:r>
          </w:p>
          <w:p w14:paraId="5C392CDA" w14:textId="77777777" w:rsidR="0036416A" w:rsidRDefault="0036416A" w:rsidP="0036416A">
            <w:pPr>
              <w:pStyle w:val="NoSpacing"/>
            </w:pPr>
            <w:r>
              <w:t xml:space="preserve"> </w:t>
            </w:r>
          </w:p>
          <w:p w14:paraId="187AA155" w14:textId="77777777" w:rsidR="0036416A" w:rsidRDefault="0036416A" w:rsidP="0036416A">
            <w:pPr>
              <w:pStyle w:val="NoSpacing"/>
            </w:pPr>
            <w:r>
              <w:t xml:space="preserve">-Redistributive Impact of Fiscal Policy: defined as the Gini coefficient of prefiscal per capita (or equivalized) income less the Gini coefficient of postfiscal per capita (or equivalized) income. The recommendation is to calculate the Redistributive Impact of </w:t>
            </w:r>
            <w:r>
              <w:lastRenderedPageBreak/>
              <w:t xml:space="preserve">Fiscal Policy indicator as the Gini coefficient of prefiscal per capita (or equivalized) income less the Gini coefficient of Consumable per capita (or equivalized) income. </w:t>
            </w:r>
          </w:p>
          <w:p w14:paraId="338BF034" w14:textId="77777777" w:rsidR="0036416A" w:rsidRDefault="0036416A" w:rsidP="0036416A">
            <w:pPr>
              <w:pStyle w:val="NoSpacing"/>
            </w:pPr>
            <w:r>
              <w:t xml:space="preserve"> </w:t>
            </w:r>
          </w:p>
          <w:p w14:paraId="1A8AC8D2" w14:textId="77777777" w:rsidR="0036416A" w:rsidRDefault="0036416A" w:rsidP="0036416A">
            <w:pPr>
              <w:pStyle w:val="NoSpacing"/>
            </w:pPr>
            <w:r>
              <w:t xml:space="preserve">There are two definitions of prefiscal income depending on assumptions regarding the nature of the public, contributory old-age pension system: 1) pensions as deferred income or 2) pensions as government transfers. Details are given below. </w:t>
            </w:r>
          </w:p>
          <w:p w14:paraId="5946D02B" w14:textId="77777777" w:rsidR="0036416A" w:rsidRDefault="0036416A" w:rsidP="0036416A">
            <w:pPr>
              <w:pStyle w:val="NoSpacing"/>
            </w:pPr>
            <w:r>
              <w:t xml:space="preserve"> </w:t>
            </w:r>
          </w:p>
          <w:p w14:paraId="0CACDE16" w14:textId="77777777" w:rsidR="0036416A" w:rsidRDefault="0036416A" w:rsidP="0036416A">
            <w:pPr>
              <w:pStyle w:val="NoSpacing"/>
            </w:pPr>
            <w:r>
              <w:t xml:space="preserve">-Gini coefficient: a commonly used measure of inequality capturing the statistical dispersion in the distribution of income or wealth over a population.  A Gini coefficient of zero expresses perfect equality: that is, every individual in the population has the same income. A Gini coefficient of 1 expresses maximum inequality: that is, all income accrues to a single individual, and all other individuals have zero income.   </w:t>
            </w:r>
          </w:p>
          <w:p w14:paraId="5ED0AB03" w14:textId="77777777" w:rsidR="0036416A" w:rsidRDefault="0036416A" w:rsidP="0036416A">
            <w:pPr>
              <w:pStyle w:val="NoSpacing"/>
            </w:pPr>
            <w:r>
              <w:t xml:space="preserve"> </w:t>
            </w:r>
          </w:p>
          <w:p w14:paraId="063D74B3" w14:textId="77777777" w:rsidR="0036416A" w:rsidRDefault="0036416A" w:rsidP="0036416A">
            <w:pPr>
              <w:pStyle w:val="NoSpacing"/>
            </w:pPr>
            <w:r>
              <w:t xml:space="preserve">References: Gini, Corrado. (1936). "On the Measure of Concentration with Special Reference to Income and Statistics", Colorado College Publication, General Series No. 208, 73–79. Duclos, Jean-Yves and Abdelkrim Araar. (2006). Poverty and Equity. New York: Springer. Part II. </w:t>
            </w:r>
          </w:p>
          <w:p w14:paraId="7EB2AC00" w14:textId="77777777" w:rsidR="0036416A" w:rsidRDefault="0036416A" w:rsidP="0036416A">
            <w:pPr>
              <w:pStyle w:val="NoSpacing"/>
            </w:pPr>
            <w:r>
              <w:t xml:space="preserve"> </w:t>
            </w:r>
          </w:p>
          <w:p w14:paraId="277D65F3" w14:textId="77777777" w:rsidR="0036416A" w:rsidRDefault="0036416A" w:rsidP="0036416A">
            <w:pPr>
              <w:pStyle w:val="NoSpacing"/>
            </w:pPr>
            <w:r>
              <w:t xml:space="preserve">-Per capita income: household income divided by the number of household members. </w:t>
            </w:r>
          </w:p>
          <w:p w14:paraId="10BCEF20" w14:textId="77777777" w:rsidR="0036416A" w:rsidRDefault="0036416A" w:rsidP="0036416A">
            <w:pPr>
              <w:pStyle w:val="NoSpacing"/>
            </w:pPr>
            <w:r>
              <w:t xml:space="preserve"> </w:t>
            </w:r>
          </w:p>
          <w:p w14:paraId="3B2E5BEB" w14:textId="77777777" w:rsidR="0036416A" w:rsidRDefault="0036416A" w:rsidP="0036416A">
            <w:pPr>
              <w:pStyle w:val="NoSpacing"/>
            </w:pPr>
            <w:r>
              <w:t xml:space="preserve">-Equivalized income: household income divided by the square root of the number of household members. If a different definition is used, it should be noted in the reporting document. </w:t>
            </w:r>
          </w:p>
          <w:p w14:paraId="7C89102C" w14:textId="77777777" w:rsidR="0036416A" w:rsidRDefault="0036416A" w:rsidP="0036416A">
            <w:pPr>
              <w:pStyle w:val="NoSpacing"/>
            </w:pPr>
            <w:r>
              <w:t xml:space="preserve"> </w:t>
            </w:r>
          </w:p>
          <w:p w14:paraId="313E64F7" w14:textId="77777777" w:rsidR="0036416A" w:rsidRDefault="0036416A" w:rsidP="0036416A">
            <w:pPr>
              <w:pStyle w:val="NoSpacing"/>
            </w:pPr>
            <w:r>
              <w:t xml:space="preserve">-Prefiscal income: the cumulative income accruing to an individual (or a household) from market and private sources only.  The Redistributive Impact of Fiscal Policy indicator can be estimated with reference to two different prefiscal income concepts depending on assumptions regarding the nature of the public, contributory old-age pension system:   </w:t>
            </w:r>
          </w:p>
          <w:p w14:paraId="41B430AC" w14:textId="77777777" w:rsidR="0036416A" w:rsidRDefault="0036416A" w:rsidP="0036416A">
            <w:pPr>
              <w:pStyle w:val="NoSpacing"/>
            </w:pPr>
            <w:r>
              <w:t xml:space="preserve"> </w:t>
            </w:r>
          </w:p>
          <w:p w14:paraId="38BC0143" w14:textId="77777777" w:rsidR="0036416A" w:rsidRDefault="0036416A" w:rsidP="0036416A">
            <w:pPr>
              <w:pStyle w:val="NoSpacing"/>
            </w:pPr>
            <w:r>
              <w:t>1)</w:t>
            </w:r>
            <w:r>
              <w:tab/>
              <w:t xml:space="preserve">Prefiscal income under the “pensions as deferred income” scenario: When incomes from public contributory old-age pension-system are counted as deferred market income and old-age pension-system contributions are counted as savings from current income (that is, the old-age pension system is treated as the equivalent of a mandatory savings program), prefiscal income is defined as an individual’s earned and unearned incomes from market and other private sources: wages, interest and dividend income; imputed income from owner-occupied housing and from consumption of own production; remittances; private transfers; old-age pension income from the public contributory pension system; and, less any contributions to the public old-age contributory pension system.  In this case, the prefiscal income concept is called Market income plus pensions. </w:t>
            </w:r>
          </w:p>
          <w:p w14:paraId="1F894BD2" w14:textId="77777777" w:rsidR="0036416A" w:rsidRDefault="0036416A" w:rsidP="0036416A">
            <w:pPr>
              <w:pStyle w:val="NoSpacing"/>
            </w:pPr>
            <w:r>
              <w:t xml:space="preserve"> </w:t>
            </w:r>
          </w:p>
          <w:p w14:paraId="712E8104" w14:textId="77777777" w:rsidR="0036416A" w:rsidRDefault="0036416A" w:rsidP="0036416A">
            <w:pPr>
              <w:pStyle w:val="NoSpacing"/>
            </w:pPr>
            <w:r>
              <w:t>2)</w:t>
            </w:r>
            <w:r>
              <w:tab/>
              <w:t xml:space="preserve">Prefiscal income under the “pensions as government transfer” scenario:  When incomes from current pension-system are counted as a government transfer and old age pension-system contributions are counted as a tax on current income, prefiscal income is defined as: wages, interest and dividend income; imputed income from owner-occupied housing and from consumption of own production; remittances; and private transfers only. In this case, the prefiscal income concept is called Market income. </w:t>
            </w:r>
          </w:p>
          <w:p w14:paraId="20186C78" w14:textId="77777777" w:rsidR="0036416A" w:rsidRDefault="0036416A" w:rsidP="0036416A">
            <w:pPr>
              <w:pStyle w:val="NoSpacing"/>
            </w:pPr>
            <w:r>
              <w:lastRenderedPageBreak/>
              <w:t xml:space="preserve"> </w:t>
            </w:r>
          </w:p>
          <w:p w14:paraId="6405EE5D" w14:textId="77777777" w:rsidR="0036416A" w:rsidRDefault="0036416A" w:rsidP="0036416A">
            <w:pPr>
              <w:pStyle w:val="NoSpacing"/>
            </w:pPr>
            <w:r>
              <w:t xml:space="preserve">Reference: Lustig, Nora (ed). 2018. CEQ Handbook: Estimating the Impact of Fiscal Policy on Inequality and Poverty, CEQ Institute at Tulane University and Brookings Institution Press, Chapters 1 and 6. (This publication is open source and can be downloaded free of charge). </w:t>
            </w:r>
          </w:p>
          <w:p w14:paraId="52965D85" w14:textId="77777777" w:rsidR="0036416A" w:rsidRDefault="0036416A" w:rsidP="0036416A">
            <w:pPr>
              <w:pStyle w:val="NoSpacing"/>
            </w:pPr>
            <w:r>
              <w:t xml:space="preserve"> </w:t>
            </w:r>
          </w:p>
          <w:p w14:paraId="6D8E9B32" w14:textId="77777777" w:rsidR="0036416A" w:rsidRDefault="0036416A" w:rsidP="0036416A">
            <w:pPr>
              <w:pStyle w:val="NoSpacing"/>
            </w:pPr>
            <w:r>
              <w:t xml:space="preserve">-Postfiscal income: prefiscal income minus direct and indirect taxes plus transfers and indirect subsidies. The Redistributive Impact of Fiscal Policy indicator can be estimated with reference to two different postfiscal income concepts, Disposable Income and Consumable Income:   </w:t>
            </w:r>
          </w:p>
          <w:p w14:paraId="12E4ABE0" w14:textId="77777777" w:rsidR="0036416A" w:rsidRDefault="0036416A" w:rsidP="0036416A">
            <w:pPr>
              <w:pStyle w:val="NoSpacing"/>
            </w:pPr>
            <w:r>
              <w:t xml:space="preserve"> </w:t>
            </w:r>
          </w:p>
          <w:p w14:paraId="69A27AA0" w14:textId="77777777" w:rsidR="0036416A" w:rsidRDefault="0036416A" w:rsidP="0036416A">
            <w:pPr>
              <w:pStyle w:val="NoSpacing"/>
            </w:pPr>
            <w:r>
              <w:t>1)</w:t>
            </w:r>
            <w:r>
              <w:tab/>
              <w:t xml:space="preserve">Postfiscal incomes under the “pensions as deferred income” scenario:  </w:t>
            </w:r>
          </w:p>
          <w:p w14:paraId="19474C8E" w14:textId="77777777" w:rsidR="0036416A" w:rsidRDefault="0036416A" w:rsidP="0036416A">
            <w:pPr>
              <w:pStyle w:val="NoSpacing"/>
            </w:pPr>
            <w:r>
              <w:t xml:space="preserve">Disposable Income: prefiscal income less direct taxes paid and less social insurance contributions made to the public fiscal authority plus the monetary value of benefits received from public expenditures on direct cash or near-cash transfers.  </w:t>
            </w:r>
          </w:p>
          <w:p w14:paraId="5F50A3CC" w14:textId="77777777" w:rsidR="0036416A" w:rsidRDefault="0036416A" w:rsidP="0036416A">
            <w:pPr>
              <w:pStyle w:val="NoSpacing"/>
            </w:pPr>
            <w:r>
              <w:t xml:space="preserve">Consumable Income: prefiscal income less direct and indirect taxes paid and less social insurance contributions other than for old-age pensions made to the public fiscal authority plus the monetary value of benefits received from public expenditures on direct cash or nearcash transfers and subsidies.  </w:t>
            </w:r>
          </w:p>
          <w:p w14:paraId="33A8BC80" w14:textId="77777777" w:rsidR="0036416A" w:rsidRDefault="0036416A" w:rsidP="0036416A">
            <w:pPr>
              <w:pStyle w:val="NoSpacing"/>
            </w:pPr>
            <w:r>
              <w:t xml:space="preserve"> </w:t>
            </w:r>
          </w:p>
          <w:p w14:paraId="6B5449D9" w14:textId="77777777" w:rsidR="0036416A" w:rsidRDefault="0036416A" w:rsidP="0036416A">
            <w:pPr>
              <w:pStyle w:val="NoSpacing"/>
            </w:pPr>
            <w:r>
              <w:t>2)</w:t>
            </w:r>
            <w:r>
              <w:tab/>
              <w:t xml:space="preserve">Postfiscal incomes under the “pensions as government transfer” scenario:  </w:t>
            </w:r>
          </w:p>
          <w:p w14:paraId="1BA1F163" w14:textId="77777777" w:rsidR="0036416A" w:rsidRDefault="0036416A" w:rsidP="0036416A">
            <w:pPr>
              <w:pStyle w:val="NoSpacing"/>
            </w:pPr>
            <w:r>
              <w:t xml:space="preserve">Disposable Income: prefiscal income less direct taxes paid and less social insurance contributions and less contributory old-age pension contributions made to the public fiscal authority plus the monetary value of benefits received from public expenditures on direct cash or near-cash transfers including contributory pension system transfers. </w:t>
            </w:r>
          </w:p>
          <w:p w14:paraId="2EB617A4" w14:textId="77777777" w:rsidR="0036416A" w:rsidRDefault="0036416A" w:rsidP="0036416A">
            <w:pPr>
              <w:pStyle w:val="NoSpacing"/>
            </w:pPr>
            <w:r>
              <w:t xml:space="preserve">Consumable Income: prefiscal income less direct and indirect taxes paid and less social insurance contributions and less contributory old-age pension contributions made to the public fiscal authority plus the monetary value of benefits received from public expenditures on direct cash or near-cash transfers including contributory old-age pension system transfers and subsidies.  </w:t>
            </w:r>
          </w:p>
          <w:p w14:paraId="1AB5BCA8" w14:textId="77777777" w:rsidR="0036416A" w:rsidRDefault="0036416A" w:rsidP="0036416A">
            <w:pPr>
              <w:pStyle w:val="NoSpacing"/>
            </w:pPr>
            <w:r>
              <w:t xml:space="preserve"> </w:t>
            </w:r>
          </w:p>
          <w:p w14:paraId="491336D9" w14:textId="77777777" w:rsidR="0036416A" w:rsidRDefault="0036416A" w:rsidP="0036416A">
            <w:pPr>
              <w:pStyle w:val="NoSpacing"/>
            </w:pPr>
            <w:r>
              <w:t xml:space="preserve">Reference: Lustig, Nora (ed). 2018. CEQ Handbook: Estimating the Impact of Fiscal Policy on Inequality and Poverty, CEQ Institute at Tulane University and Brookings Institution Press, Chapters 1 and 6. (This publication is open source and can be downloaded free of charge). </w:t>
            </w:r>
          </w:p>
          <w:p w14:paraId="012BF70E" w14:textId="77777777" w:rsidR="0036416A" w:rsidRDefault="0036416A" w:rsidP="0036416A">
            <w:pPr>
              <w:pStyle w:val="NoSpacing"/>
            </w:pPr>
            <w:r>
              <w:t xml:space="preserve"> </w:t>
            </w:r>
          </w:p>
          <w:p w14:paraId="0EB18DDC" w14:textId="77777777" w:rsidR="0036416A" w:rsidRDefault="0036416A" w:rsidP="0036416A">
            <w:pPr>
              <w:pStyle w:val="NoSpacing"/>
            </w:pPr>
            <w:r>
              <w:t xml:space="preserve">Comments and limitations: </w:t>
            </w:r>
          </w:p>
          <w:p w14:paraId="4C9BE61F" w14:textId="77777777" w:rsidR="0036416A" w:rsidRDefault="0036416A" w:rsidP="0036416A">
            <w:pPr>
              <w:pStyle w:val="NoSpacing"/>
            </w:pPr>
            <w:r>
              <w:t xml:space="preserve"> </w:t>
            </w:r>
          </w:p>
          <w:p w14:paraId="13D81742" w14:textId="77777777" w:rsidR="0036416A" w:rsidRDefault="0036416A" w:rsidP="0036416A">
            <w:pPr>
              <w:pStyle w:val="NoSpacing"/>
            </w:pPr>
            <w:r>
              <w:t xml:space="preserve">Reporting on assumptions: The choice of whether to report the Redistributive Impact of Fiscal Policy indicator under the pensions as deferred income or pensions as </w:t>
            </w:r>
            <w:proofErr w:type="gramStart"/>
            <w:r>
              <w:t>transfers</w:t>
            </w:r>
            <w:proofErr w:type="gramEnd"/>
            <w:r>
              <w:t xml:space="preserve"> scenario will be left to the country authority in charge of submitting this indicator, but the choice must be clearly indicated in the reporting document.  For countries for which the data exist, prefiscal and postfiscal inequality should be calculated for both pension scenarios. Some authorities may choose to use equivalized income instead of per capita income as the welfare indicator. This too should be clearly indicated in the reporting document. Once this decision is taken it should be maintained in subsequent years in order to assure comparability. </w:t>
            </w:r>
          </w:p>
          <w:p w14:paraId="6400EEA1" w14:textId="77777777" w:rsidR="0036416A" w:rsidRDefault="0036416A" w:rsidP="0036416A">
            <w:pPr>
              <w:pStyle w:val="NoSpacing"/>
            </w:pPr>
            <w:r>
              <w:t xml:space="preserve"> </w:t>
            </w:r>
          </w:p>
          <w:p w14:paraId="12CF8469" w14:textId="77777777" w:rsidR="0036416A" w:rsidRDefault="0036416A" w:rsidP="0036416A">
            <w:pPr>
              <w:pStyle w:val="NoSpacing"/>
            </w:pPr>
            <w:r>
              <w:lastRenderedPageBreak/>
              <w:t xml:space="preserve">Feasibility: The Redistributive Impact of Fiscal Policy indicator can be estimated for any country with a micro-data set detailing incomes or expenditures (or both) at the household or individual level and with a set of fiscal, administrative, or budgetary records detailing public expenditures at the program level and revenue collections at the revenue-collection instrument level. </w:t>
            </w:r>
          </w:p>
          <w:p w14:paraId="3E177587" w14:textId="77777777" w:rsidR="0036416A" w:rsidRDefault="0036416A" w:rsidP="0036416A">
            <w:pPr>
              <w:pStyle w:val="NoSpacing"/>
            </w:pPr>
            <w:r>
              <w:t xml:space="preserve"> </w:t>
            </w:r>
          </w:p>
          <w:p w14:paraId="25049D87" w14:textId="77777777" w:rsidR="0036416A" w:rsidRDefault="0036416A" w:rsidP="0036416A">
            <w:pPr>
              <w:pStyle w:val="NoSpacing"/>
            </w:pPr>
            <w:r>
              <w:t xml:space="preserve">Suitability/Relevance: The Redistributive Impact of Fiscal Policy indicator provides a direct estimate of the current impact of fiscal policy on redistribution (of incomes).  It therefore provides a direct estimate of progress on SDG Target 10.4: “Adopt policies, especially fiscal, wage and social protection policies, and progressively achieve greater equality.”  </w:t>
            </w:r>
          </w:p>
          <w:p w14:paraId="3D1C0395" w14:textId="77777777" w:rsidR="0036416A" w:rsidRDefault="0036416A" w:rsidP="0036416A">
            <w:pPr>
              <w:pStyle w:val="NoSpacing"/>
            </w:pPr>
            <w:r>
              <w:t xml:space="preserve"> </w:t>
            </w:r>
          </w:p>
          <w:p w14:paraId="76C2462A" w14:textId="77777777" w:rsidR="0036416A" w:rsidRDefault="0036416A" w:rsidP="0036416A">
            <w:pPr>
              <w:pStyle w:val="NoSpacing"/>
            </w:pPr>
            <w:r>
              <w:t xml:space="preserve">Limitations: The Redistributive Impact of Fiscal Policy indicator does not address wage policy.  It does not include the benefits of public provision of in-kind benefits, such as health, education, sanitation and housing services, which may have both present-day and longer-term impacts on present-day and future inequality.   </w:t>
            </w:r>
          </w:p>
          <w:p w14:paraId="160AADB3" w14:textId="77777777" w:rsidR="0036416A" w:rsidRDefault="0036416A" w:rsidP="0036416A">
            <w:pPr>
              <w:pStyle w:val="NoSpacing"/>
            </w:pPr>
            <w:r>
              <w:t xml:space="preserve"> </w:t>
            </w:r>
          </w:p>
          <w:p w14:paraId="32B669FF" w14:textId="77777777" w:rsidR="0036416A" w:rsidRDefault="0036416A" w:rsidP="0036416A">
            <w:pPr>
              <w:pStyle w:val="NoSpacing"/>
            </w:pPr>
            <w:r>
              <w:t xml:space="preserve">Computation Method: </w:t>
            </w:r>
          </w:p>
          <w:p w14:paraId="1B0D176F" w14:textId="77777777" w:rsidR="0036416A" w:rsidRDefault="0036416A" w:rsidP="0036416A">
            <w:pPr>
              <w:pStyle w:val="NoSpacing"/>
            </w:pPr>
            <w:r>
              <w:t xml:space="preserve"> </w:t>
            </w:r>
          </w:p>
          <w:p w14:paraId="6048AEDA" w14:textId="77777777" w:rsidR="0036416A" w:rsidRDefault="0036416A" w:rsidP="0036416A">
            <w:pPr>
              <w:pStyle w:val="NoSpacing"/>
            </w:pPr>
            <w:r>
              <w:t xml:space="preserve">Prefiscal income can be derived from a nationally-representative micro-data set (an Income and Expenditure Survey, for example). Postfiscal income is estimated via the allocation of the tax burdens and the expenditure-based benefits that stem from fiscal policy (direct and indirect taxes, social contributions, direct cash and near-cash transfers, subsidies, et cetera). Procedures for constructing prefiscal and postfiscal income concepts and estimating their distribution from an underlying microdata set are detailed comprehensively in the CEQ Handbook, Lustig, </w:t>
            </w:r>
            <w:proofErr w:type="gramStart"/>
            <w:r>
              <w:t>op</w:t>
            </w:r>
            <w:proofErr w:type="gramEnd"/>
            <w:r>
              <w:t xml:space="preserve">. cit.  </w:t>
            </w:r>
          </w:p>
          <w:p w14:paraId="5F68BD81" w14:textId="77777777" w:rsidR="0036416A" w:rsidRDefault="0036416A" w:rsidP="0036416A">
            <w:pPr>
              <w:pStyle w:val="NoSpacing"/>
            </w:pPr>
            <w:r>
              <w:t xml:space="preserve"> </w:t>
            </w:r>
          </w:p>
          <w:p w14:paraId="503AF5AC" w14:textId="77777777" w:rsidR="0036416A" w:rsidRDefault="0036416A" w:rsidP="0036416A">
            <w:pPr>
              <w:pStyle w:val="NoSpacing"/>
            </w:pPr>
            <w:r>
              <w:t xml:space="preserve">The Gini coefficient is calculated according to standard formulas for a (generalized) Gini coefficient (see, for example, Donaldson and Weymark (1980, 1983) or Yitzhaki (1983)): </w:t>
            </w:r>
          </w:p>
          <w:p w14:paraId="00EFB256" w14:textId="77777777" w:rsidR="0036416A" w:rsidRDefault="0036416A" w:rsidP="0036416A">
            <w:pPr>
              <w:pStyle w:val="NoSpacing"/>
            </w:pPr>
            <w:r>
              <w:t xml:space="preserve">  </w:t>
            </w:r>
            <w:r w:rsidRPr="000C4849">
              <w:rPr>
                <w:noProof/>
                <w:lang w:bidi="bn-BD"/>
              </w:rPr>
              <w:drawing>
                <wp:inline distT="0" distB="0" distL="0" distR="0" wp14:anchorId="14AB67B9" wp14:editId="2D567553">
                  <wp:extent cx="3036498" cy="485459"/>
                  <wp:effectExtent l="0" t="0" r="0" b="0"/>
                  <wp:docPr id="12773" name="Picture 1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038475" cy="485775"/>
                          </a:xfrm>
                          <a:prstGeom prst="rect">
                            <a:avLst/>
                          </a:prstGeom>
                        </pic:spPr>
                      </pic:pic>
                    </a:graphicData>
                  </a:graphic>
                </wp:inline>
              </w:drawing>
            </w:r>
          </w:p>
          <w:p w14:paraId="06994179" w14:textId="77777777" w:rsidR="0036416A" w:rsidRDefault="0036416A" w:rsidP="0036416A">
            <w:pPr>
              <w:pStyle w:val="NoSpacing"/>
            </w:pPr>
            <w:r>
              <w:t xml:space="preserve"> </w:t>
            </w:r>
          </w:p>
          <w:p w14:paraId="40716339" w14:textId="77777777" w:rsidR="0036416A" w:rsidRDefault="0036416A" w:rsidP="0036416A">
            <w:pPr>
              <w:pStyle w:val="NoSpacing"/>
            </w:pPr>
            <w:proofErr w:type="gramStart"/>
            <w:r>
              <w:t>where</w:t>
            </w:r>
            <w:proofErr w:type="gramEnd"/>
            <w:r>
              <w:t xml:space="preserve"> X is a random variable of interest with mean </w:t>
            </w:r>
            <w:r>
              <w:rPr>
                <w:rFonts w:ascii="Calibri" w:hAnsi="Calibri" w:cs="Calibri"/>
              </w:rPr>
              <w:t>μ</w:t>
            </w:r>
            <w:r>
              <w:t xml:space="preserve">(X), F(X) is its cumulative distribution function, </w:t>
            </w:r>
            <w:r>
              <w:rPr>
                <w:rFonts w:ascii="Calibri" w:hAnsi="Calibri" w:cs="Calibri"/>
              </w:rPr>
              <w:t>υ</w:t>
            </w:r>
            <w:r>
              <w:t xml:space="preserve"> is a parameter tuning the degree of </w:t>
            </w:r>
            <w:r>
              <w:rPr>
                <w:rFonts w:cs="Tw Cen MT Condensed"/>
              </w:rPr>
              <w:t>‘</w:t>
            </w:r>
            <w:r>
              <w:t>aversion to inequality</w:t>
            </w:r>
            <w:r>
              <w:rPr>
                <w:rFonts w:cs="Tw Cen MT Condensed"/>
              </w:rPr>
              <w:t>’</w:t>
            </w:r>
            <w:r>
              <w:t xml:space="preserve">. The standard Gini corresponds to </w:t>
            </w:r>
            <w:r>
              <w:rPr>
                <w:rFonts w:ascii="Calibri" w:hAnsi="Calibri" w:cs="Calibri"/>
              </w:rPr>
              <w:t>υ</w:t>
            </w:r>
            <w:r>
              <w:t xml:space="preserve"> = 2. Cov is a Covariance estimate.</w:t>
            </w:r>
          </w:p>
        </w:tc>
        <w:tc>
          <w:tcPr>
            <w:tcW w:w="0" w:type="auto"/>
          </w:tcPr>
          <w:p w14:paraId="58F863BF" w14:textId="77777777" w:rsidR="0036416A" w:rsidRDefault="0036416A" w:rsidP="0036416A">
            <w:r>
              <w:lastRenderedPageBreak/>
              <w:t xml:space="preserve">Source data collection follows the update cycle for country-specific micro-data sets as well as the audit </w:t>
            </w:r>
            <w:r>
              <w:lastRenderedPageBreak/>
              <w:t xml:space="preserve">cycle for fiscal year revenues and expenditures.  </w:t>
            </w:r>
          </w:p>
          <w:p w14:paraId="4C176F67" w14:textId="77777777" w:rsidR="0036416A" w:rsidRDefault="0036416A" w:rsidP="0036416A">
            <w:pPr>
              <w:pStyle w:val="NoSpacing"/>
            </w:pPr>
          </w:p>
        </w:tc>
        <w:tc>
          <w:tcPr>
            <w:tcW w:w="0" w:type="auto"/>
          </w:tcPr>
          <w:p w14:paraId="3A19942A" w14:textId="77777777" w:rsidR="0036416A" w:rsidRDefault="0036416A" w:rsidP="0036416A">
            <w:pPr>
              <w:pStyle w:val="NoSpacing"/>
            </w:pPr>
            <w:r>
              <w:lastRenderedPageBreak/>
              <w:t>National Statistics offices</w:t>
            </w:r>
          </w:p>
        </w:tc>
        <w:tc>
          <w:tcPr>
            <w:tcW w:w="0" w:type="auto"/>
          </w:tcPr>
          <w:p w14:paraId="0255EF9F" w14:textId="77777777" w:rsidR="0036416A" w:rsidRDefault="0036416A" w:rsidP="0036416A">
            <w:pPr>
              <w:ind w:left="970" w:hanging="970"/>
              <w:jc w:val="both"/>
              <w:rPr>
                <w:color w:val="0070C0"/>
                <w:sz w:val="30"/>
                <w:szCs w:val="30"/>
              </w:rPr>
            </w:pPr>
          </w:p>
        </w:tc>
        <w:tc>
          <w:tcPr>
            <w:tcW w:w="0" w:type="auto"/>
          </w:tcPr>
          <w:p w14:paraId="35D64A81" w14:textId="77777777" w:rsidR="0036416A" w:rsidRDefault="0036416A" w:rsidP="0036416A">
            <w:pPr>
              <w:ind w:left="970" w:hanging="970"/>
              <w:jc w:val="both"/>
              <w:rPr>
                <w:color w:val="0070C0"/>
                <w:szCs w:val="30"/>
              </w:rPr>
            </w:pPr>
            <w:r>
              <w:rPr>
                <w:color w:val="0070C0"/>
                <w:szCs w:val="30"/>
              </w:rPr>
              <w:t>a) FD</w:t>
            </w:r>
          </w:p>
          <w:p w14:paraId="78F502FD" w14:textId="77777777" w:rsidR="0036416A" w:rsidRDefault="0036416A" w:rsidP="0036416A">
            <w:pPr>
              <w:ind w:left="970" w:hanging="970"/>
              <w:jc w:val="both"/>
              <w:rPr>
                <w:color w:val="0070C0"/>
                <w:szCs w:val="30"/>
              </w:rPr>
            </w:pPr>
            <w:r>
              <w:rPr>
                <w:color w:val="0070C0"/>
                <w:szCs w:val="30"/>
              </w:rPr>
              <w:t>b) BBS</w:t>
            </w:r>
          </w:p>
          <w:p w14:paraId="6A80A9BB" w14:textId="77777777" w:rsidR="0036416A" w:rsidRDefault="0036416A" w:rsidP="0036416A">
            <w:pPr>
              <w:ind w:left="970" w:hanging="970"/>
              <w:jc w:val="both"/>
              <w:rPr>
                <w:color w:val="0070C0"/>
                <w:szCs w:val="30"/>
              </w:rPr>
            </w:pPr>
            <w:r>
              <w:rPr>
                <w:color w:val="0070C0"/>
                <w:szCs w:val="30"/>
              </w:rPr>
              <w:t>(HIES), SID</w:t>
            </w:r>
          </w:p>
          <w:p w14:paraId="64FC54A8" w14:textId="77777777" w:rsidR="0036416A" w:rsidRDefault="0036416A" w:rsidP="0036416A">
            <w:pPr>
              <w:ind w:left="970" w:hanging="970"/>
              <w:jc w:val="both"/>
              <w:rPr>
                <w:color w:val="FF0000"/>
              </w:rPr>
            </w:pPr>
            <w:r>
              <w:rPr>
                <w:color w:val="FF0000"/>
              </w:rPr>
              <w:t>Administr</w:t>
            </w:r>
          </w:p>
          <w:p w14:paraId="3F48962F" w14:textId="77777777" w:rsidR="0036416A" w:rsidRPr="000C4849" w:rsidRDefault="0036416A" w:rsidP="0036416A">
            <w:pPr>
              <w:ind w:left="970" w:hanging="970"/>
              <w:jc w:val="both"/>
              <w:rPr>
                <w:color w:val="0070C0"/>
                <w:szCs w:val="30"/>
              </w:rPr>
            </w:pPr>
            <w:r>
              <w:rPr>
                <w:color w:val="FF0000"/>
              </w:rPr>
              <w:t>ative Data</w:t>
            </w:r>
          </w:p>
        </w:tc>
        <w:tc>
          <w:tcPr>
            <w:tcW w:w="0" w:type="auto"/>
          </w:tcPr>
          <w:p w14:paraId="196EC0CE" w14:textId="416F41F0" w:rsidR="0036416A" w:rsidRDefault="00E1069B" w:rsidP="000C4849">
            <w:pPr>
              <w:pStyle w:val="ListParagraph"/>
              <w:numPr>
                <w:ilvl w:val="0"/>
                <w:numId w:val="194"/>
              </w:numPr>
              <w:jc w:val="both"/>
              <w:rPr>
                <w:color w:val="0070C0"/>
                <w:szCs w:val="20"/>
              </w:rPr>
            </w:pPr>
            <w:r w:rsidRPr="00E1069B">
              <w:rPr>
                <w:rFonts w:ascii="Tw Cen MT Condensed" w:hAnsi="Tw Cen MT Condensed"/>
                <w:color w:val="0070C0"/>
                <w:sz w:val="20"/>
                <w:szCs w:val="20"/>
              </w:rPr>
              <w:t>I</w:t>
            </w:r>
            <w:r w:rsidRPr="000C4849">
              <w:rPr>
                <w:rFonts w:ascii="Tw Cen MT Condensed" w:hAnsi="Tw Cen MT Condensed"/>
                <w:color w:val="0070C0"/>
                <w:sz w:val="20"/>
                <w:szCs w:val="20"/>
              </w:rPr>
              <w:t>ncome</w:t>
            </w:r>
            <w:r w:rsidR="00E00BE3">
              <w:rPr>
                <w:rFonts w:ascii="Tw Cen MT Condensed" w:hAnsi="Tw Cen MT Condensed"/>
                <w:color w:val="0070C0"/>
                <w:sz w:val="20"/>
                <w:szCs w:val="20"/>
              </w:rPr>
              <w:t>: High/Medium/Low</w:t>
            </w:r>
          </w:p>
          <w:p w14:paraId="1BEEB33C" w14:textId="3BCB03DD" w:rsidR="00E1069B" w:rsidRDefault="00E1069B" w:rsidP="000C4849">
            <w:pPr>
              <w:pStyle w:val="ListParagraph"/>
              <w:numPr>
                <w:ilvl w:val="0"/>
                <w:numId w:val="194"/>
              </w:numPr>
              <w:jc w:val="both"/>
              <w:rPr>
                <w:color w:val="0070C0"/>
                <w:szCs w:val="20"/>
              </w:rPr>
            </w:pPr>
            <w:r>
              <w:rPr>
                <w:rFonts w:ascii="Tw Cen MT Condensed" w:hAnsi="Tw Cen MT Condensed"/>
                <w:color w:val="0070C0"/>
                <w:sz w:val="20"/>
                <w:szCs w:val="20"/>
              </w:rPr>
              <w:t>By gender</w:t>
            </w:r>
            <w:r w:rsidR="00E00BE3">
              <w:rPr>
                <w:rFonts w:ascii="Tw Cen MT Condensed" w:hAnsi="Tw Cen MT Condensed"/>
                <w:color w:val="0070C0"/>
                <w:sz w:val="20"/>
                <w:szCs w:val="20"/>
              </w:rPr>
              <w:t>: Male,female, both</w:t>
            </w:r>
          </w:p>
          <w:p w14:paraId="5FF2A58C" w14:textId="76600E99" w:rsidR="00E1069B" w:rsidRDefault="00E1069B" w:rsidP="000C4849">
            <w:pPr>
              <w:pStyle w:val="ListParagraph"/>
              <w:numPr>
                <w:ilvl w:val="0"/>
                <w:numId w:val="194"/>
              </w:numPr>
              <w:jc w:val="both"/>
              <w:rPr>
                <w:color w:val="0070C0"/>
                <w:szCs w:val="20"/>
              </w:rPr>
            </w:pPr>
            <w:r>
              <w:rPr>
                <w:rFonts w:ascii="Tw Cen MT Condensed" w:hAnsi="Tw Cen MT Condensed"/>
                <w:color w:val="0070C0"/>
                <w:sz w:val="20"/>
                <w:szCs w:val="20"/>
              </w:rPr>
              <w:t>Age group</w:t>
            </w:r>
            <w:r w:rsidR="00E00BE3">
              <w:rPr>
                <w:rFonts w:ascii="Tw Cen MT Condensed" w:hAnsi="Tw Cen MT Condensed"/>
                <w:color w:val="0070C0"/>
                <w:sz w:val="20"/>
                <w:szCs w:val="20"/>
              </w:rPr>
              <w:t xml:space="preserve">: </w:t>
            </w:r>
            <w:r w:rsidR="00E00BE3">
              <w:rPr>
                <w:rFonts w:ascii="Tw Cen MT Condensed" w:hAnsi="Tw Cen MT Condensed"/>
                <w:color w:val="0070C0"/>
                <w:sz w:val="20"/>
                <w:szCs w:val="20"/>
              </w:rPr>
              <w:lastRenderedPageBreak/>
              <w:t>0-15 yrs, 15-24 yrs, 25-64 yrs, 64+yrs</w:t>
            </w:r>
          </w:p>
          <w:p w14:paraId="14434767" w14:textId="5E1CF133" w:rsidR="00E1069B" w:rsidRDefault="00E1069B" w:rsidP="000C4849">
            <w:pPr>
              <w:pStyle w:val="ListParagraph"/>
              <w:numPr>
                <w:ilvl w:val="0"/>
                <w:numId w:val="194"/>
              </w:numPr>
              <w:jc w:val="both"/>
              <w:rPr>
                <w:color w:val="0070C0"/>
                <w:szCs w:val="20"/>
              </w:rPr>
            </w:pPr>
            <w:r>
              <w:rPr>
                <w:rFonts w:ascii="Tw Cen MT Condensed" w:hAnsi="Tw Cen MT Condensed"/>
                <w:color w:val="0070C0"/>
                <w:sz w:val="20"/>
                <w:szCs w:val="20"/>
              </w:rPr>
              <w:t>Ethinicity</w:t>
            </w:r>
            <w:r w:rsidR="00E00BE3">
              <w:rPr>
                <w:rFonts w:ascii="Tw Cen MT Condensed" w:hAnsi="Tw Cen MT Condensed"/>
                <w:color w:val="0070C0"/>
                <w:sz w:val="20"/>
                <w:szCs w:val="20"/>
              </w:rPr>
              <w:t>: Ethnic/Non Ethnic</w:t>
            </w:r>
          </w:p>
          <w:p w14:paraId="7D5F7D9E" w14:textId="175E27D8" w:rsidR="00E1069B" w:rsidRDefault="00E1069B" w:rsidP="000C4849">
            <w:pPr>
              <w:pStyle w:val="ListParagraph"/>
              <w:numPr>
                <w:ilvl w:val="0"/>
                <w:numId w:val="194"/>
              </w:numPr>
              <w:jc w:val="both"/>
              <w:rPr>
                <w:color w:val="0070C0"/>
                <w:szCs w:val="20"/>
              </w:rPr>
            </w:pPr>
            <w:r>
              <w:rPr>
                <w:rFonts w:ascii="Tw Cen MT Condensed" w:hAnsi="Tw Cen MT Condensed"/>
                <w:color w:val="0070C0"/>
                <w:sz w:val="20"/>
                <w:szCs w:val="20"/>
              </w:rPr>
              <w:t>Geographic location</w:t>
            </w:r>
            <w:r w:rsidR="00E00BE3">
              <w:rPr>
                <w:rFonts w:ascii="Tw Cen MT Condensed" w:hAnsi="Tw Cen MT Condensed"/>
                <w:color w:val="0070C0"/>
                <w:sz w:val="20"/>
                <w:szCs w:val="20"/>
              </w:rPr>
              <w:t xml:space="preserve"> Urban/Rural</w:t>
            </w:r>
          </w:p>
          <w:p w14:paraId="68267251" w14:textId="122B35AE" w:rsidR="00E1069B" w:rsidRDefault="00E1069B" w:rsidP="000C4849">
            <w:pPr>
              <w:pStyle w:val="ListParagraph"/>
              <w:numPr>
                <w:ilvl w:val="0"/>
                <w:numId w:val="194"/>
              </w:numPr>
              <w:jc w:val="both"/>
              <w:rPr>
                <w:color w:val="0070C0"/>
                <w:szCs w:val="20"/>
              </w:rPr>
            </w:pPr>
            <w:r>
              <w:rPr>
                <w:rFonts w:ascii="Tw Cen MT Condensed" w:hAnsi="Tw Cen MT Condensed"/>
                <w:color w:val="0070C0"/>
                <w:sz w:val="20"/>
                <w:szCs w:val="20"/>
              </w:rPr>
              <w:t>Disability status</w:t>
            </w:r>
            <w:r w:rsidR="00E00BE3">
              <w:rPr>
                <w:rFonts w:ascii="Tw Cen MT Condensed" w:hAnsi="Tw Cen MT Condensed"/>
                <w:color w:val="0070C0"/>
                <w:sz w:val="20"/>
                <w:szCs w:val="20"/>
              </w:rPr>
              <w:t>: Disable/ Non Disable</w:t>
            </w:r>
          </w:p>
          <w:p w14:paraId="6FFCB06C" w14:textId="24CD62CA" w:rsidR="00E1069B" w:rsidRDefault="00E1069B" w:rsidP="000C4849">
            <w:pPr>
              <w:pStyle w:val="ListParagraph"/>
              <w:numPr>
                <w:ilvl w:val="0"/>
                <w:numId w:val="194"/>
              </w:numPr>
              <w:jc w:val="both"/>
              <w:rPr>
                <w:color w:val="0070C0"/>
                <w:szCs w:val="20"/>
              </w:rPr>
            </w:pPr>
            <w:r>
              <w:rPr>
                <w:rFonts w:ascii="Tw Cen MT Condensed" w:hAnsi="Tw Cen MT Condensed"/>
                <w:color w:val="0070C0"/>
                <w:sz w:val="20"/>
                <w:szCs w:val="20"/>
              </w:rPr>
              <w:t>Household size</w:t>
            </w:r>
            <w:r w:rsidR="00E00BE3">
              <w:rPr>
                <w:rFonts w:ascii="Tw Cen MT Condensed" w:hAnsi="Tw Cen MT Condensed"/>
                <w:color w:val="0070C0"/>
                <w:sz w:val="20"/>
                <w:szCs w:val="20"/>
              </w:rPr>
              <w:t>: 1-2, 3-5, 5+</w:t>
            </w:r>
          </w:p>
          <w:p w14:paraId="5EB66B27" w14:textId="39DF03AB" w:rsidR="00E1069B" w:rsidRPr="000C4849" w:rsidRDefault="00E1069B" w:rsidP="000C4849">
            <w:pPr>
              <w:pStyle w:val="ListParagraph"/>
              <w:numPr>
                <w:ilvl w:val="0"/>
                <w:numId w:val="194"/>
              </w:numPr>
              <w:jc w:val="both"/>
              <w:rPr>
                <w:color w:val="0070C0"/>
                <w:szCs w:val="20"/>
              </w:rPr>
            </w:pPr>
            <w:r>
              <w:rPr>
                <w:rFonts w:ascii="Tw Cen MT Condensed" w:hAnsi="Tw Cen MT Condensed"/>
                <w:color w:val="0070C0"/>
                <w:sz w:val="20"/>
                <w:szCs w:val="20"/>
              </w:rPr>
              <w:t>Household dependency ratio</w:t>
            </w:r>
          </w:p>
        </w:tc>
        <w:tc>
          <w:tcPr>
            <w:tcW w:w="0" w:type="auto"/>
          </w:tcPr>
          <w:p w14:paraId="1739AE75" w14:textId="77777777" w:rsidR="0036416A" w:rsidRDefault="0036416A" w:rsidP="0036416A">
            <w:pPr>
              <w:ind w:left="970" w:hanging="970"/>
              <w:jc w:val="both"/>
              <w:rPr>
                <w:color w:val="0070C0"/>
                <w:sz w:val="30"/>
                <w:szCs w:val="30"/>
              </w:rPr>
            </w:pPr>
          </w:p>
        </w:tc>
        <w:tc>
          <w:tcPr>
            <w:tcW w:w="0" w:type="auto"/>
          </w:tcPr>
          <w:p w14:paraId="1AE67893" w14:textId="77777777" w:rsidR="0036416A" w:rsidRDefault="0036416A" w:rsidP="0036416A">
            <w:pPr>
              <w:ind w:left="970" w:hanging="970"/>
              <w:jc w:val="both"/>
              <w:rPr>
                <w:color w:val="0070C0"/>
                <w:sz w:val="30"/>
                <w:szCs w:val="30"/>
              </w:rPr>
            </w:pPr>
          </w:p>
        </w:tc>
        <w:tc>
          <w:tcPr>
            <w:tcW w:w="0" w:type="auto"/>
          </w:tcPr>
          <w:p w14:paraId="0C2ACA12" w14:textId="77777777" w:rsidR="0036416A" w:rsidRDefault="0036416A" w:rsidP="0036416A">
            <w:pPr>
              <w:pStyle w:val="NoSpacing"/>
            </w:pPr>
            <w:r>
              <w:t>1</w:t>
            </w:r>
            <w:r w:rsidRPr="00013ACB">
              <w:rPr>
                <w:vertAlign w:val="superscript"/>
              </w:rPr>
              <w:t>st</w:t>
            </w:r>
            <w:r>
              <w:t xml:space="preserve"> Round: </w:t>
            </w:r>
          </w:p>
          <w:p w14:paraId="6096BA60" w14:textId="77777777" w:rsidR="0036416A" w:rsidRDefault="0036416A" w:rsidP="0036416A">
            <w:pPr>
              <w:pStyle w:val="NoSpacing"/>
            </w:pPr>
            <w:r>
              <w:t>June 2021</w:t>
            </w:r>
          </w:p>
          <w:p w14:paraId="1178EAAA" w14:textId="77777777" w:rsidR="0036416A" w:rsidRDefault="0036416A" w:rsidP="0036416A">
            <w:pPr>
              <w:pStyle w:val="NoSpacing"/>
            </w:pPr>
          </w:p>
          <w:p w14:paraId="66CF43E9" w14:textId="77777777" w:rsidR="0036416A" w:rsidRDefault="0036416A" w:rsidP="0036416A">
            <w:pPr>
              <w:pStyle w:val="NoSpacing"/>
            </w:pPr>
            <w:r>
              <w:t>2</w:t>
            </w:r>
            <w:r w:rsidRPr="00013ACB">
              <w:rPr>
                <w:vertAlign w:val="superscript"/>
              </w:rPr>
              <w:t>nd</w:t>
            </w:r>
            <w:r>
              <w:t xml:space="preserve"> Round: </w:t>
            </w:r>
          </w:p>
          <w:p w14:paraId="386D3EC7" w14:textId="77777777" w:rsidR="0036416A" w:rsidRDefault="0036416A" w:rsidP="0036416A">
            <w:pPr>
              <w:pStyle w:val="NoSpacing"/>
            </w:pPr>
            <w:r>
              <w:t>June 2022</w:t>
            </w:r>
          </w:p>
          <w:p w14:paraId="520E18CE" w14:textId="77777777" w:rsidR="0036416A" w:rsidRDefault="0036416A" w:rsidP="0036416A">
            <w:pPr>
              <w:pStyle w:val="NoSpacing"/>
            </w:pPr>
          </w:p>
          <w:p w14:paraId="01DA7FBD" w14:textId="77777777" w:rsidR="0036416A" w:rsidRDefault="0036416A" w:rsidP="0036416A">
            <w:pPr>
              <w:pStyle w:val="NoSpacing"/>
            </w:pPr>
            <w:r>
              <w:t>3</w:t>
            </w:r>
            <w:r w:rsidRPr="00013ACB">
              <w:rPr>
                <w:vertAlign w:val="superscript"/>
              </w:rPr>
              <w:t>rd</w:t>
            </w:r>
            <w:r>
              <w:t xml:space="preserve"> Round: </w:t>
            </w:r>
          </w:p>
          <w:p w14:paraId="36633487" w14:textId="77777777" w:rsidR="0036416A" w:rsidRDefault="0036416A" w:rsidP="0036416A">
            <w:pPr>
              <w:pStyle w:val="NoSpacing"/>
            </w:pPr>
            <w:r>
              <w:t>June 2023</w:t>
            </w:r>
          </w:p>
          <w:p w14:paraId="16E2E1BC" w14:textId="77777777" w:rsidR="0036416A" w:rsidRDefault="0036416A" w:rsidP="0036416A">
            <w:pPr>
              <w:pStyle w:val="NoSpacing"/>
            </w:pPr>
          </w:p>
          <w:p w14:paraId="18FAA6BE" w14:textId="77777777" w:rsidR="0036416A" w:rsidRDefault="0036416A" w:rsidP="0036416A">
            <w:pPr>
              <w:pStyle w:val="NoSpacing"/>
            </w:pPr>
            <w:r>
              <w:lastRenderedPageBreak/>
              <w:t>4</w:t>
            </w:r>
            <w:r w:rsidRPr="00013ACB">
              <w:rPr>
                <w:vertAlign w:val="superscript"/>
              </w:rPr>
              <w:t>th</w:t>
            </w:r>
            <w:r>
              <w:t xml:space="preserve"> Round: </w:t>
            </w:r>
          </w:p>
          <w:p w14:paraId="62DB7866" w14:textId="77777777" w:rsidR="0036416A" w:rsidRDefault="0036416A" w:rsidP="0036416A">
            <w:pPr>
              <w:pStyle w:val="NoSpacing"/>
            </w:pPr>
            <w:r>
              <w:t>June 2024</w:t>
            </w:r>
          </w:p>
          <w:p w14:paraId="18A6D5CC" w14:textId="77777777" w:rsidR="0036416A" w:rsidRDefault="0036416A" w:rsidP="0036416A">
            <w:pPr>
              <w:pStyle w:val="NoSpacing"/>
            </w:pPr>
          </w:p>
          <w:p w14:paraId="5364A66F" w14:textId="77777777" w:rsidR="0036416A" w:rsidRDefault="0036416A" w:rsidP="0036416A">
            <w:pPr>
              <w:pStyle w:val="NoSpacing"/>
            </w:pPr>
            <w:r>
              <w:t>5</w:t>
            </w:r>
            <w:r w:rsidRPr="00013ACB">
              <w:rPr>
                <w:vertAlign w:val="superscript"/>
              </w:rPr>
              <w:t>th</w:t>
            </w:r>
            <w:r>
              <w:t xml:space="preserve"> Round: </w:t>
            </w:r>
          </w:p>
          <w:p w14:paraId="5751DA6C" w14:textId="77777777" w:rsidR="0036416A" w:rsidRDefault="0036416A" w:rsidP="0036416A">
            <w:pPr>
              <w:pStyle w:val="NoSpacing"/>
            </w:pPr>
            <w:r>
              <w:t>June 2025</w:t>
            </w:r>
          </w:p>
          <w:p w14:paraId="16AC707A" w14:textId="77777777" w:rsidR="0036416A" w:rsidRDefault="0036416A" w:rsidP="0036416A">
            <w:pPr>
              <w:ind w:left="970" w:hanging="970"/>
              <w:jc w:val="both"/>
              <w:rPr>
                <w:color w:val="0070C0"/>
                <w:sz w:val="30"/>
                <w:szCs w:val="30"/>
              </w:rPr>
            </w:pPr>
          </w:p>
        </w:tc>
        <w:tc>
          <w:tcPr>
            <w:tcW w:w="0" w:type="auto"/>
          </w:tcPr>
          <w:p w14:paraId="7063C053" w14:textId="77777777" w:rsidR="0036416A" w:rsidRDefault="0036416A" w:rsidP="0036416A">
            <w:pPr>
              <w:pStyle w:val="NoSpacing"/>
            </w:pPr>
            <w:r>
              <w:lastRenderedPageBreak/>
              <w:t>UNSC 51 addition included in the 2020 comprehensive review</w:t>
            </w:r>
          </w:p>
          <w:p w14:paraId="3DD61F59" w14:textId="77777777" w:rsidR="0036416A" w:rsidRDefault="0036416A" w:rsidP="0036416A">
            <w:pPr>
              <w:pStyle w:val="NoSpacing"/>
            </w:pPr>
          </w:p>
          <w:p w14:paraId="5A7D6216" w14:textId="77777777" w:rsidR="0036416A" w:rsidRDefault="0036416A" w:rsidP="0036416A">
            <w:pPr>
              <w:pStyle w:val="NoSpacing"/>
            </w:pPr>
            <w:r>
              <w:t xml:space="preserve">The Gini Coefficient </w:t>
            </w:r>
            <w:r>
              <w:lastRenderedPageBreak/>
              <w:t>will be reported as a second series in the database, as it is a component of this indicator.</w:t>
            </w:r>
          </w:p>
        </w:tc>
      </w:tr>
      <w:tr w:rsidR="0036416A" w14:paraId="2E56397D" w14:textId="77777777" w:rsidTr="00A64F0D">
        <w:tc>
          <w:tcPr>
            <w:tcW w:w="0" w:type="auto"/>
          </w:tcPr>
          <w:p w14:paraId="1379275A" w14:textId="4C090489" w:rsidR="0036416A" w:rsidRDefault="0036416A" w:rsidP="0036416A">
            <w:pPr>
              <w:ind w:left="970" w:hanging="970"/>
              <w:jc w:val="both"/>
              <w:rPr>
                <w:color w:val="0070C0"/>
                <w:sz w:val="30"/>
                <w:szCs w:val="30"/>
              </w:rPr>
            </w:pPr>
          </w:p>
        </w:tc>
        <w:tc>
          <w:tcPr>
            <w:tcW w:w="0" w:type="auto"/>
            <w:gridSpan w:val="12"/>
          </w:tcPr>
          <w:p w14:paraId="29E76D3B" w14:textId="77777777" w:rsidR="0036416A" w:rsidRDefault="0036416A" w:rsidP="0036416A">
            <w:pPr>
              <w:jc w:val="both"/>
              <w:rPr>
                <w:color w:val="0070C0"/>
                <w:sz w:val="48"/>
                <w:szCs w:val="48"/>
              </w:rPr>
            </w:pPr>
            <w:r>
              <w:rPr>
                <w:color w:val="0070C0"/>
                <w:sz w:val="30"/>
                <w:szCs w:val="30"/>
              </w:rPr>
              <w:t xml:space="preserve">Target </w:t>
            </w:r>
            <w:r w:rsidRPr="00C97C3C">
              <w:rPr>
                <w:color w:val="0070C0"/>
                <w:sz w:val="30"/>
                <w:szCs w:val="30"/>
              </w:rPr>
              <w:t>10.5 Improve the regulation and monitoring of global financial markets and institutions and strengthen the implementation of such regulations</w:t>
            </w:r>
          </w:p>
        </w:tc>
      </w:tr>
      <w:tr w:rsidR="0036416A" w14:paraId="4E68BB84" w14:textId="77777777" w:rsidTr="00A64F0D">
        <w:tc>
          <w:tcPr>
            <w:tcW w:w="0" w:type="auto"/>
          </w:tcPr>
          <w:p w14:paraId="3CE84E12" w14:textId="77777777" w:rsidR="0036416A" w:rsidRDefault="0036416A" w:rsidP="0036416A">
            <w:pPr>
              <w:pStyle w:val="NoSpacing"/>
            </w:pPr>
            <w:r w:rsidRPr="003E7D26">
              <w:t>10.5.1 Financial Soundness Indicators</w:t>
            </w:r>
          </w:p>
        </w:tc>
        <w:tc>
          <w:tcPr>
            <w:tcW w:w="0" w:type="auto"/>
          </w:tcPr>
          <w:p w14:paraId="3707E454" w14:textId="77777777" w:rsidR="0036416A" w:rsidRDefault="0036416A" w:rsidP="0036416A">
            <w:pPr>
              <w:pStyle w:val="NoSpacing"/>
            </w:pPr>
            <w:r w:rsidRPr="00221F5D">
              <w:rPr>
                <w:b/>
                <w:bCs/>
                <w:szCs w:val="20"/>
              </w:rPr>
              <w:t>IMF</w:t>
            </w:r>
          </w:p>
        </w:tc>
        <w:tc>
          <w:tcPr>
            <w:tcW w:w="0" w:type="auto"/>
          </w:tcPr>
          <w:p w14:paraId="44CF318C" w14:textId="77777777" w:rsidR="0036416A" w:rsidRDefault="0036416A" w:rsidP="0036416A">
            <w:pPr>
              <w:ind w:left="970" w:hanging="970"/>
              <w:jc w:val="both"/>
              <w:rPr>
                <w:color w:val="0070C0"/>
                <w:sz w:val="30"/>
                <w:szCs w:val="30"/>
              </w:rPr>
            </w:pPr>
            <w:r>
              <w:t>Tier I</w:t>
            </w:r>
          </w:p>
        </w:tc>
        <w:tc>
          <w:tcPr>
            <w:tcW w:w="0" w:type="auto"/>
          </w:tcPr>
          <w:p w14:paraId="5BACA931" w14:textId="77777777" w:rsidR="0036416A" w:rsidRDefault="0036416A" w:rsidP="0036416A">
            <w:pPr>
              <w:pStyle w:val="NoSpacing"/>
            </w:pPr>
            <w:r>
              <w:t>Definition:</w:t>
            </w:r>
          </w:p>
          <w:p w14:paraId="09E394C5" w14:textId="77777777" w:rsidR="0036416A" w:rsidRDefault="0036416A" w:rsidP="0036416A">
            <w:pPr>
              <w:pStyle w:val="NoSpacing"/>
            </w:pPr>
          </w:p>
          <w:p w14:paraId="7ACF067B" w14:textId="77777777" w:rsidR="0036416A" w:rsidRDefault="0036416A" w:rsidP="0036416A">
            <w:pPr>
              <w:pStyle w:val="NoSpacing"/>
            </w:pPr>
            <w:r>
              <w:t>Seven FSIs are included as SDG indicators for 10.5.1 and expressed as percent.</w:t>
            </w:r>
          </w:p>
          <w:p w14:paraId="7338905F" w14:textId="77777777" w:rsidR="0036416A" w:rsidRDefault="0036416A" w:rsidP="0036416A">
            <w:pPr>
              <w:pStyle w:val="NoSpacing"/>
            </w:pPr>
          </w:p>
          <w:p w14:paraId="5C0777BC" w14:textId="77777777" w:rsidR="0036416A" w:rsidRDefault="0036416A" w:rsidP="0036416A">
            <w:pPr>
              <w:pStyle w:val="NoSpacing"/>
            </w:pPr>
            <w:r>
              <w:t>1</w:t>
            </w:r>
            <w:r>
              <w:tab/>
              <w:t xml:space="preserve">- Regulatory Tier 1 capital to assets </w:t>
            </w:r>
          </w:p>
          <w:p w14:paraId="25893E71" w14:textId="77777777" w:rsidR="0036416A" w:rsidRDefault="0036416A" w:rsidP="0036416A">
            <w:pPr>
              <w:pStyle w:val="NoSpacing"/>
            </w:pPr>
            <w:r>
              <w:t>2</w:t>
            </w:r>
            <w:r>
              <w:tab/>
              <w:t xml:space="preserve">- Regulatory Tier 1 capital to risk- weighted assets </w:t>
            </w:r>
          </w:p>
          <w:p w14:paraId="1D2D320B" w14:textId="77777777" w:rsidR="0036416A" w:rsidRDefault="0036416A" w:rsidP="0036416A">
            <w:pPr>
              <w:pStyle w:val="NoSpacing"/>
            </w:pPr>
            <w:r>
              <w:t>3</w:t>
            </w:r>
            <w:r>
              <w:tab/>
              <w:t xml:space="preserve">- Nonperforming loans net of provisions to capital </w:t>
            </w:r>
          </w:p>
          <w:p w14:paraId="69E5A44A" w14:textId="77777777" w:rsidR="0036416A" w:rsidRDefault="0036416A" w:rsidP="0036416A">
            <w:pPr>
              <w:pStyle w:val="NoSpacing"/>
            </w:pPr>
            <w:r>
              <w:lastRenderedPageBreak/>
              <w:t>4</w:t>
            </w:r>
            <w:r>
              <w:tab/>
              <w:t xml:space="preserve">- Nonperforming loans to total gross loans </w:t>
            </w:r>
          </w:p>
          <w:p w14:paraId="29DC91FC" w14:textId="77777777" w:rsidR="0036416A" w:rsidRDefault="0036416A" w:rsidP="0036416A">
            <w:pPr>
              <w:pStyle w:val="NoSpacing"/>
            </w:pPr>
            <w:r>
              <w:t>5</w:t>
            </w:r>
            <w:r>
              <w:tab/>
              <w:t xml:space="preserve">- Return on assets </w:t>
            </w:r>
          </w:p>
          <w:p w14:paraId="0DD947FE" w14:textId="77777777" w:rsidR="0036416A" w:rsidRDefault="0036416A" w:rsidP="0036416A">
            <w:pPr>
              <w:pStyle w:val="NoSpacing"/>
            </w:pPr>
            <w:r>
              <w:t>6</w:t>
            </w:r>
            <w:r>
              <w:tab/>
              <w:t xml:space="preserve">- Liquid assets to short-term liabilities </w:t>
            </w:r>
          </w:p>
          <w:p w14:paraId="63AB8DC6" w14:textId="77777777" w:rsidR="0036416A" w:rsidRDefault="0036416A" w:rsidP="0036416A">
            <w:pPr>
              <w:pStyle w:val="NoSpacing"/>
            </w:pPr>
            <w:r>
              <w:t>7</w:t>
            </w:r>
            <w:r>
              <w:tab/>
              <w:t xml:space="preserve">- Net open position in foreign exchange to capital </w:t>
            </w:r>
          </w:p>
          <w:p w14:paraId="476ACF1A" w14:textId="77777777" w:rsidR="0036416A" w:rsidRDefault="0036416A" w:rsidP="0036416A">
            <w:pPr>
              <w:pStyle w:val="NoSpacing"/>
            </w:pPr>
          </w:p>
          <w:p w14:paraId="6798010B" w14:textId="77777777" w:rsidR="0036416A" w:rsidRDefault="0036416A" w:rsidP="0036416A">
            <w:pPr>
              <w:pStyle w:val="NoSpacing"/>
            </w:pPr>
            <w:r>
              <w:t xml:space="preserve">Regulatory Tier 1 capital to assets: This is the ratio of the core capital (Tier 1) to total (balance sheet) assets.  </w:t>
            </w:r>
          </w:p>
          <w:p w14:paraId="4D6CF2B7" w14:textId="77777777" w:rsidR="0036416A" w:rsidRDefault="0036416A" w:rsidP="0036416A">
            <w:pPr>
              <w:pStyle w:val="NoSpacing"/>
            </w:pPr>
            <w:r>
              <w:t xml:space="preserve"> </w:t>
            </w:r>
          </w:p>
          <w:p w14:paraId="67A829A6" w14:textId="77777777" w:rsidR="0036416A" w:rsidRDefault="0036416A" w:rsidP="0036416A">
            <w:pPr>
              <w:pStyle w:val="NoSpacing"/>
            </w:pPr>
            <w:r>
              <w:t xml:space="preserve">Regulatory Tier 1 capital to risk- weighted assets: It is calculated using total regulatory Tier 1 capital as the numerator and risk-weighted assets as the denominator. The data for this FSI are compiled in accordance with the guidelines of </w:t>
            </w:r>
            <w:proofErr w:type="gramStart"/>
            <w:r>
              <w:t>either Basel</w:t>
            </w:r>
            <w:proofErr w:type="gramEnd"/>
            <w:r>
              <w:t xml:space="preserve"> I, Basel II, or Basel III. </w:t>
            </w:r>
          </w:p>
          <w:p w14:paraId="3952B6F9" w14:textId="77777777" w:rsidR="0036416A" w:rsidRDefault="0036416A" w:rsidP="0036416A">
            <w:pPr>
              <w:pStyle w:val="NoSpacing"/>
            </w:pPr>
            <w:r>
              <w:t xml:space="preserve"> </w:t>
            </w:r>
          </w:p>
          <w:p w14:paraId="354236FD" w14:textId="77777777" w:rsidR="0036416A" w:rsidRDefault="0036416A" w:rsidP="0036416A">
            <w:pPr>
              <w:pStyle w:val="NoSpacing"/>
            </w:pPr>
            <w:r>
              <w:t xml:space="preserve">Nonperforming loans net of provisions to capital: This FSI is calculated by taking the value of nonperforming loans (NPLs) less the value of specific loan loss provisions as the numerator and capital as the denominator. Capital is measured as total regulatory capital. </w:t>
            </w:r>
          </w:p>
          <w:p w14:paraId="48445B28" w14:textId="77777777" w:rsidR="0036416A" w:rsidRDefault="0036416A" w:rsidP="0036416A">
            <w:pPr>
              <w:pStyle w:val="NoSpacing"/>
            </w:pPr>
            <w:r>
              <w:t xml:space="preserve"> </w:t>
            </w:r>
          </w:p>
          <w:p w14:paraId="0169DFCF" w14:textId="77777777" w:rsidR="0036416A" w:rsidRDefault="0036416A" w:rsidP="0036416A">
            <w:pPr>
              <w:pStyle w:val="NoSpacing"/>
            </w:pPr>
            <w:r>
              <w:t xml:space="preserve">Nonperforming loans to total gross loans: This FSI is calculated by using the value of NPLs as the numerator and the total value of the loan portfolio (including NPLs, and before the deduction of specific loan- loss provisions) as the denominator. </w:t>
            </w:r>
          </w:p>
          <w:p w14:paraId="55BBA63F" w14:textId="77777777" w:rsidR="0036416A" w:rsidRDefault="0036416A" w:rsidP="0036416A">
            <w:pPr>
              <w:pStyle w:val="NoSpacing"/>
            </w:pPr>
            <w:r>
              <w:t xml:space="preserve"> </w:t>
            </w:r>
          </w:p>
          <w:p w14:paraId="1AE59283" w14:textId="77777777" w:rsidR="0036416A" w:rsidRDefault="0036416A" w:rsidP="0036416A">
            <w:pPr>
              <w:pStyle w:val="NoSpacing"/>
            </w:pPr>
            <w:r>
              <w:t xml:space="preserve">Return on assets: This FSI is calculated by dividing annualized net income before extraordinary items and taxes (as recommended in the FSI Guide) by the average value of total assets (financial and nonfinancial) over the same period. </w:t>
            </w:r>
          </w:p>
          <w:p w14:paraId="74325F70" w14:textId="77777777" w:rsidR="0036416A" w:rsidRDefault="0036416A" w:rsidP="0036416A">
            <w:pPr>
              <w:pStyle w:val="NoSpacing"/>
            </w:pPr>
            <w:r>
              <w:t xml:space="preserve"> </w:t>
            </w:r>
          </w:p>
          <w:p w14:paraId="4B844033" w14:textId="77777777" w:rsidR="0036416A" w:rsidRDefault="0036416A" w:rsidP="0036416A">
            <w:pPr>
              <w:pStyle w:val="NoSpacing"/>
            </w:pPr>
            <w:r>
              <w:t>Liquid assets to short-term liabilities: This FSI is calculated by using the core measure of liquid assets as the numerator and short-term liabilities as the denominator. The ratio can also be calculated by taking the broad measure of liquid assets as the numerator. For jurisdictions that have implemented Basel III, this indicator could be supplemented with the liquidity coverage ratio.</w:t>
            </w:r>
          </w:p>
          <w:p w14:paraId="2B9FCFC0" w14:textId="77777777" w:rsidR="0036416A" w:rsidRDefault="0036416A" w:rsidP="0036416A">
            <w:pPr>
              <w:pStyle w:val="NoSpacing"/>
            </w:pPr>
            <w:r>
              <w:t xml:space="preserve"> </w:t>
            </w:r>
          </w:p>
          <w:p w14:paraId="2CF1CFD1" w14:textId="77777777" w:rsidR="0036416A" w:rsidRDefault="0036416A" w:rsidP="0036416A">
            <w:pPr>
              <w:pStyle w:val="NoSpacing"/>
            </w:pPr>
            <w:r>
              <w:t xml:space="preserve">Net open position in foreign exchange to capital: The net open position in foreign exchange should be calculated based on the recommendation of the Basel Committee for Banking Supervision (BCBS). Capital should be total regulatory capital as net open position in foreign exchange is a supervisory concept.  </w:t>
            </w:r>
          </w:p>
          <w:p w14:paraId="53BE6150" w14:textId="77777777" w:rsidR="0036416A" w:rsidRDefault="0036416A" w:rsidP="0036416A">
            <w:pPr>
              <w:pStyle w:val="NoSpacing"/>
            </w:pPr>
          </w:p>
          <w:p w14:paraId="49A8127A" w14:textId="77777777" w:rsidR="0036416A" w:rsidRDefault="0036416A" w:rsidP="0036416A">
            <w:pPr>
              <w:pStyle w:val="NoSpacing"/>
            </w:pPr>
          </w:p>
          <w:p w14:paraId="4FD9B90C" w14:textId="77777777" w:rsidR="0036416A" w:rsidRDefault="0036416A" w:rsidP="0036416A">
            <w:pPr>
              <w:pStyle w:val="NoSpacing"/>
            </w:pPr>
            <w:r>
              <w:t>Concepts:</w:t>
            </w:r>
          </w:p>
          <w:p w14:paraId="6E9CDC52" w14:textId="77777777" w:rsidR="0036416A" w:rsidRDefault="0036416A" w:rsidP="0036416A">
            <w:pPr>
              <w:pStyle w:val="NoSpacing"/>
            </w:pPr>
          </w:p>
          <w:p w14:paraId="12BD2343" w14:textId="77777777" w:rsidR="0036416A" w:rsidRDefault="0036416A" w:rsidP="0036416A">
            <w:pPr>
              <w:pStyle w:val="NoSpacing"/>
            </w:pPr>
            <w:r>
              <w:t xml:space="preserve">Regulatory Tier 1 capital to assets: Regulatory Tier 1 capital is calculated based on Basel I, II, or III depending on countries’ supervisory practices. Denominator is total balance sheet (non-risk weighted) assets. </w:t>
            </w:r>
          </w:p>
          <w:p w14:paraId="7CFE8359" w14:textId="77777777" w:rsidR="0036416A" w:rsidRDefault="0036416A" w:rsidP="0036416A">
            <w:pPr>
              <w:pStyle w:val="NoSpacing"/>
            </w:pPr>
            <w:r>
              <w:t xml:space="preserve"> </w:t>
            </w:r>
          </w:p>
          <w:p w14:paraId="4B01EE82" w14:textId="77777777" w:rsidR="0036416A" w:rsidRDefault="0036416A" w:rsidP="0036416A">
            <w:pPr>
              <w:pStyle w:val="NoSpacing"/>
            </w:pPr>
            <w:r>
              <w:t xml:space="preserve">Regulatory Tier 1 capital to risk- weighted assets: Regulatory Tier 1 capital is calculated based on Basel I, II, or III depending on countries’ supervisory practices. Denominator is risk-weighted assets also calculated based on Basel standards. </w:t>
            </w:r>
          </w:p>
          <w:p w14:paraId="2427D0C3" w14:textId="77777777" w:rsidR="0036416A" w:rsidRDefault="0036416A" w:rsidP="0036416A">
            <w:pPr>
              <w:pStyle w:val="NoSpacing"/>
            </w:pPr>
            <w:r>
              <w:lastRenderedPageBreak/>
              <w:t xml:space="preserve"> </w:t>
            </w:r>
          </w:p>
          <w:p w14:paraId="26809305" w14:textId="77777777" w:rsidR="0036416A" w:rsidRDefault="0036416A" w:rsidP="0036416A">
            <w:pPr>
              <w:pStyle w:val="NoSpacing"/>
            </w:pPr>
            <w:r>
              <w:t>Nonperforming loans (NPLs) net of provisions to capital: A loan is classified as NPL when payment of principal or interest is past due by 90 days or more, or evidence exists that a full or partial amount of a loan is not going to be recovered. Only specific loan loss provisions are used in this calculation and they refer charges against the value of specific loans. Data exclude accrued interest in NPLs. Capital is measured as total regulatory capital calculated based on Basel I, II, or III depending on countries’ supervisory practices.</w:t>
            </w:r>
          </w:p>
          <w:p w14:paraId="2D94F9EA" w14:textId="77777777" w:rsidR="0036416A" w:rsidRDefault="0036416A" w:rsidP="0036416A">
            <w:pPr>
              <w:pStyle w:val="NoSpacing"/>
            </w:pPr>
            <w:r>
              <w:t xml:space="preserve"> </w:t>
            </w:r>
          </w:p>
          <w:p w14:paraId="47444A58" w14:textId="77777777" w:rsidR="0036416A" w:rsidRDefault="0036416A" w:rsidP="0036416A">
            <w:pPr>
              <w:pStyle w:val="NoSpacing"/>
            </w:pPr>
            <w:r>
              <w:t xml:space="preserve">Nonperforming loans to total gross loans: A loan is classified as NPL when payment of principal or interest is past due by 90 days or more, or evidence exists that a full or partial amount of a loan is not going to be recovered. The denominator is the total value of the loan portfolio (including NPLs, and before the deduction of specific loan- loss provisions). </w:t>
            </w:r>
          </w:p>
          <w:p w14:paraId="21E4DE9F" w14:textId="77777777" w:rsidR="0036416A" w:rsidRDefault="0036416A" w:rsidP="0036416A">
            <w:pPr>
              <w:pStyle w:val="NoSpacing"/>
            </w:pPr>
            <w:r>
              <w:t xml:space="preserve"> </w:t>
            </w:r>
          </w:p>
          <w:p w14:paraId="643D4CA1" w14:textId="77777777" w:rsidR="0036416A" w:rsidRDefault="0036416A" w:rsidP="0036416A">
            <w:pPr>
              <w:pStyle w:val="NoSpacing"/>
            </w:pPr>
            <w:r>
              <w:t xml:space="preserve">Return on assets: The numerator is annualized net income before extraordinary items and taxes. The denominator is the average value of total assets (financial and nonfinancial) over the same period. </w:t>
            </w:r>
          </w:p>
          <w:p w14:paraId="1EB1B8A6" w14:textId="77777777" w:rsidR="0036416A" w:rsidRDefault="0036416A" w:rsidP="0036416A">
            <w:pPr>
              <w:pStyle w:val="NoSpacing"/>
            </w:pPr>
            <w:r>
              <w:t xml:space="preserve"> </w:t>
            </w:r>
          </w:p>
          <w:p w14:paraId="23056AF5" w14:textId="77777777" w:rsidR="0036416A" w:rsidRDefault="0036416A" w:rsidP="0036416A">
            <w:pPr>
              <w:pStyle w:val="NoSpacing"/>
            </w:pPr>
            <w:r>
              <w:t>Liquid assets to short-term liabilities: Core measure of liquid assets includes currency and deposits and other financial assets available on demand or within three months. Broad measures equal core measure plus securities traded in liquid markets that can be converted into cash with minimal change in value. The denominator is short-term elements of debt liabilities plus net (short-term) market value of financial derivatives position. The latter is calculated as financial derivatives liability position minus financial derivative asset position. Short-term refers to three months and should be defined on a remaining maturity basis. If remaining maturity is not available, original maturity can be used as an alternative.</w:t>
            </w:r>
          </w:p>
          <w:p w14:paraId="21E50AC1" w14:textId="77777777" w:rsidR="0036416A" w:rsidRDefault="0036416A" w:rsidP="0036416A">
            <w:pPr>
              <w:pStyle w:val="NoSpacing"/>
            </w:pPr>
            <w:r>
              <w:t xml:space="preserve"> </w:t>
            </w:r>
          </w:p>
          <w:p w14:paraId="6ADA481B" w14:textId="77777777" w:rsidR="0036416A" w:rsidRDefault="0036416A" w:rsidP="0036416A">
            <w:pPr>
              <w:pStyle w:val="NoSpacing"/>
            </w:pPr>
            <w:r>
              <w:t xml:space="preserve">Net open position in foreign exchange to capital: The net open position in foreign exchange equals the foreign-currency and foreign-currency linked element of balance sheet assets and off-balance sheet exposures minus the foreign-currency and foreign-currency linked element of balance sheet liabilities and off-balance sheet exposures. Foreign-currency-linked instruments refer to accounts denominated in national currency, but their payments are linked to exchange rates, thus subject to foreign exchange risk. The denominator is total regulatory capital as defined above.  </w:t>
            </w:r>
          </w:p>
          <w:p w14:paraId="530D2446" w14:textId="77777777" w:rsidR="0036416A" w:rsidRDefault="0036416A" w:rsidP="0036416A">
            <w:pPr>
              <w:pStyle w:val="NoSpacing"/>
            </w:pPr>
            <w:r>
              <w:t xml:space="preserve">  </w:t>
            </w:r>
          </w:p>
          <w:p w14:paraId="3A3583FF" w14:textId="77777777" w:rsidR="0036416A" w:rsidRDefault="0036416A" w:rsidP="0036416A">
            <w:pPr>
              <w:pStyle w:val="NoSpacing"/>
            </w:pPr>
            <w:r>
              <w:t>Comments and limitations:</w:t>
            </w:r>
          </w:p>
          <w:p w14:paraId="32159D10" w14:textId="77777777" w:rsidR="0036416A" w:rsidRDefault="0036416A" w:rsidP="0036416A">
            <w:pPr>
              <w:pStyle w:val="NoSpacing"/>
            </w:pPr>
          </w:p>
          <w:p w14:paraId="023736F9" w14:textId="77777777" w:rsidR="0036416A" w:rsidRDefault="0036416A" w:rsidP="0036416A">
            <w:pPr>
              <w:pStyle w:val="NoSpacing"/>
            </w:pPr>
            <w:r>
              <w:t>Data for most countries are reported on a monthly or quarterly basis; a few countries report data on a semi-annual basis and with a lag of more than a quarter. As of end-December 2018, there were 138 FSI reporters. Some countries’ compilation practices deviate from the FSI Guide methodology in certain areas and are documented in the FSI metadata also posted on the IMF’s FSI website. Reporting countries provide all or most core FSIs and some encouraged FSIs that can be used to support the interpretation of these seven SDG indicators. FSI data and metadata reported by countries are available at http://data.imf.org/FSI.</w:t>
            </w:r>
          </w:p>
          <w:p w14:paraId="1B449EDD" w14:textId="77777777" w:rsidR="0036416A" w:rsidRDefault="0036416A" w:rsidP="0036416A">
            <w:pPr>
              <w:pStyle w:val="NoSpacing"/>
            </w:pPr>
          </w:p>
          <w:p w14:paraId="328F44CD" w14:textId="77777777" w:rsidR="0036416A" w:rsidRDefault="0036416A" w:rsidP="0036416A">
            <w:pPr>
              <w:pStyle w:val="NoSpacing"/>
            </w:pPr>
            <w:r>
              <w:t>Computation Method:</w:t>
            </w:r>
          </w:p>
          <w:p w14:paraId="3D4F4603" w14:textId="77777777" w:rsidR="0036416A" w:rsidRDefault="0036416A" w:rsidP="0036416A">
            <w:pPr>
              <w:pStyle w:val="NoSpacing"/>
            </w:pPr>
          </w:p>
          <w:p w14:paraId="253DBD41" w14:textId="77777777" w:rsidR="0036416A" w:rsidRDefault="0036416A" w:rsidP="0036416A">
            <w:pPr>
              <w:pStyle w:val="NoSpacing"/>
            </w:pPr>
            <w:r>
              <w:lastRenderedPageBreak/>
              <w:t xml:space="preserve">The calculation of the seven FSIs is detailed in section on “Definition” above. The common source data are data reported by banks to supervisory authorities, which are usually the FSI compilers.  </w:t>
            </w:r>
          </w:p>
        </w:tc>
        <w:tc>
          <w:tcPr>
            <w:tcW w:w="0" w:type="auto"/>
          </w:tcPr>
          <w:p w14:paraId="4C922A20" w14:textId="77777777" w:rsidR="0036416A" w:rsidRPr="00573631" w:rsidRDefault="0036416A" w:rsidP="0036416A">
            <w:pPr>
              <w:pStyle w:val="NoSpacing"/>
              <w:rPr>
                <w:lang w:eastAsia="en-GB"/>
              </w:rPr>
            </w:pPr>
            <w:r>
              <w:rPr>
                <w:lang w:eastAsia="en-GB"/>
              </w:rPr>
              <w:lastRenderedPageBreak/>
              <w:t xml:space="preserve">The national central banks or supervisory agencies collect these data for </w:t>
            </w:r>
            <w:r w:rsidRPr="001A4CE0">
              <w:rPr>
                <w:lang w:eastAsia="en-GB"/>
              </w:rPr>
              <w:lastRenderedPageBreak/>
              <w:t>supervisory purposes</w:t>
            </w:r>
            <w:r>
              <w:rPr>
                <w:lang w:eastAsia="en-GB"/>
              </w:rPr>
              <w:t>, and these data are used for FSI compilation.</w:t>
            </w:r>
          </w:p>
          <w:p w14:paraId="1E66DA5B" w14:textId="77777777" w:rsidR="0036416A" w:rsidRPr="00CE6F8E" w:rsidRDefault="0036416A" w:rsidP="0036416A">
            <w:pPr>
              <w:pStyle w:val="NoSpacing"/>
            </w:pPr>
          </w:p>
        </w:tc>
        <w:tc>
          <w:tcPr>
            <w:tcW w:w="0" w:type="auto"/>
          </w:tcPr>
          <w:p w14:paraId="6AD38888" w14:textId="77777777" w:rsidR="0036416A" w:rsidRDefault="0036416A" w:rsidP="0036416A">
            <w:pPr>
              <w:pStyle w:val="NoSpacing"/>
              <w:rPr>
                <w:lang w:eastAsia="en-GB"/>
              </w:rPr>
            </w:pPr>
            <w:r w:rsidRPr="001A4CE0">
              <w:rPr>
                <w:lang w:eastAsia="en-GB"/>
              </w:rPr>
              <w:lastRenderedPageBreak/>
              <w:t xml:space="preserve">The national central banks or </w:t>
            </w:r>
            <w:r>
              <w:rPr>
                <w:lang w:eastAsia="en-GB"/>
              </w:rPr>
              <w:t xml:space="preserve">bank </w:t>
            </w:r>
            <w:r w:rsidRPr="001A4CE0">
              <w:rPr>
                <w:lang w:eastAsia="en-GB"/>
              </w:rPr>
              <w:t>supervisory agencies</w:t>
            </w:r>
            <w:r>
              <w:rPr>
                <w:lang w:eastAsia="en-GB"/>
              </w:rPr>
              <w:t>.</w:t>
            </w:r>
          </w:p>
          <w:p w14:paraId="5029C171" w14:textId="77777777" w:rsidR="0036416A" w:rsidRPr="00CE6F8E" w:rsidRDefault="0036416A" w:rsidP="0036416A">
            <w:pPr>
              <w:pStyle w:val="NoSpacing"/>
            </w:pPr>
          </w:p>
        </w:tc>
        <w:tc>
          <w:tcPr>
            <w:tcW w:w="0" w:type="auto"/>
          </w:tcPr>
          <w:p w14:paraId="6CEEE596" w14:textId="77777777" w:rsidR="0036416A" w:rsidRDefault="0036416A" w:rsidP="0036416A">
            <w:pPr>
              <w:pStyle w:val="NoSpacing"/>
              <w:rPr>
                <w:lang w:bidi="bn-BD"/>
              </w:rPr>
            </w:pPr>
            <w:r>
              <w:rPr>
                <w:lang w:bidi="bn-BD"/>
              </w:rPr>
              <w:t>BB</w:t>
            </w:r>
          </w:p>
          <w:p w14:paraId="23EAAE05" w14:textId="77777777" w:rsidR="0036416A" w:rsidRDefault="0036416A" w:rsidP="0036416A">
            <w:pPr>
              <w:pStyle w:val="NoSpacing"/>
              <w:rPr>
                <w:lang w:bidi="bn-BD"/>
              </w:rPr>
            </w:pPr>
            <w:r>
              <w:t>Administrative Data</w:t>
            </w:r>
          </w:p>
        </w:tc>
        <w:tc>
          <w:tcPr>
            <w:tcW w:w="0" w:type="auto"/>
          </w:tcPr>
          <w:p w14:paraId="7D22B979" w14:textId="77777777" w:rsidR="0036416A" w:rsidRDefault="0036416A" w:rsidP="0036416A">
            <w:pPr>
              <w:pStyle w:val="NoSpacing"/>
            </w:pPr>
            <w:r>
              <w:t>BB, FID</w:t>
            </w:r>
          </w:p>
          <w:p w14:paraId="383257FC" w14:textId="77777777" w:rsidR="0036416A" w:rsidRDefault="0036416A" w:rsidP="0036416A">
            <w:pPr>
              <w:pStyle w:val="NoSpacing"/>
              <w:rPr>
                <w:color w:val="0070C0"/>
                <w:sz w:val="30"/>
                <w:szCs w:val="30"/>
              </w:rPr>
            </w:pPr>
            <w:r>
              <w:t>Administrative Data</w:t>
            </w:r>
          </w:p>
        </w:tc>
        <w:tc>
          <w:tcPr>
            <w:tcW w:w="0" w:type="auto"/>
          </w:tcPr>
          <w:p w14:paraId="7E66304A" w14:textId="77777777" w:rsidR="0036416A" w:rsidRDefault="0036416A" w:rsidP="0036416A">
            <w:pPr>
              <w:ind w:left="970" w:hanging="970"/>
              <w:jc w:val="both"/>
              <w:rPr>
                <w:color w:val="0070C0"/>
                <w:sz w:val="30"/>
                <w:szCs w:val="30"/>
              </w:rPr>
            </w:pPr>
            <w:r>
              <w:rPr>
                <w:szCs w:val="22"/>
              </w:rPr>
              <w:t>Not Applicable</w:t>
            </w:r>
          </w:p>
        </w:tc>
        <w:tc>
          <w:tcPr>
            <w:tcW w:w="0" w:type="auto"/>
          </w:tcPr>
          <w:p w14:paraId="31578D9B" w14:textId="77777777" w:rsidR="0036416A" w:rsidRDefault="0036416A" w:rsidP="0036416A">
            <w:pPr>
              <w:ind w:left="970" w:hanging="970"/>
              <w:jc w:val="both"/>
              <w:rPr>
                <w:color w:val="0070C0"/>
                <w:sz w:val="30"/>
                <w:szCs w:val="30"/>
              </w:rPr>
            </w:pPr>
            <w:r>
              <w:t>Annual</w:t>
            </w:r>
          </w:p>
        </w:tc>
        <w:tc>
          <w:tcPr>
            <w:tcW w:w="0" w:type="auto"/>
          </w:tcPr>
          <w:p w14:paraId="06E03D91" w14:textId="77777777" w:rsidR="0036416A" w:rsidRDefault="0036416A" w:rsidP="0036416A">
            <w:pPr>
              <w:ind w:left="970" w:hanging="970"/>
              <w:jc w:val="both"/>
              <w:rPr>
                <w:color w:val="0070C0"/>
                <w:sz w:val="30"/>
                <w:szCs w:val="30"/>
              </w:rPr>
            </w:pPr>
            <w:r>
              <w:t>Group 1</w:t>
            </w:r>
          </w:p>
        </w:tc>
        <w:tc>
          <w:tcPr>
            <w:tcW w:w="0" w:type="auto"/>
          </w:tcPr>
          <w:p w14:paraId="68530C1F" w14:textId="77777777" w:rsidR="0036416A" w:rsidRDefault="0036416A" w:rsidP="0036416A">
            <w:pPr>
              <w:pStyle w:val="NoSpacing"/>
            </w:pPr>
            <w:r>
              <w:t>1</w:t>
            </w:r>
            <w:r w:rsidRPr="00013ACB">
              <w:rPr>
                <w:vertAlign w:val="superscript"/>
              </w:rPr>
              <w:t>st</w:t>
            </w:r>
            <w:r>
              <w:t xml:space="preserve"> Round: </w:t>
            </w:r>
          </w:p>
          <w:p w14:paraId="5504FA92" w14:textId="77777777" w:rsidR="0036416A" w:rsidRDefault="0036416A" w:rsidP="0036416A">
            <w:pPr>
              <w:pStyle w:val="NoSpacing"/>
            </w:pPr>
            <w:r>
              <w:t>2015</w:t>
            </w:r>
          </w:p>
          <w:p w14:paraId="3B0D8FCD" w14:textId="77777777" w:rsidR="0036416A" w:rsidRDefault="0036416A" w:rsidP="0036416A">
            <w:pPr>
              <w:pStyle w:val="NoSpacing"/>
            </w:pPr>
            <w:r>
              <w:t>2</w:t>
            </w:r>
            <w:r w:rsidRPr="00013ACB">
              <w:rPr>
                <w:vertAlign w:val="superscript"/>
              </w:rPr>
              <w:t>nd</w:t>
            </w:r>
            <w:r>
              <w:t xml:space="preserve"> Round: </w:t>
            </w:r>
          </w:p>
          <w:p w14:paraId="1252805F" w14:textId="77777777" w:rsidR="0036416A" w:rsidRDefault="0036416A" w:rsidP="0036416A">
            <w:pPr>
              <w:pStyle w:val="NoSpacing"/>
            </w:pPr>
            <w:r w:rsidRPr="008A10A8">
              <w:t>July, 2019</w:t>
            </w:r>
          </w:p>
          <w:p w14:paraId="02136846" w14:textId="77777777" w:rsidR="0036416A" w:rsidRDefault="0036416A" w:rsidP="0036416A">
            <w:pPr>
              <w:pStyle w:val="NoSpacing"/>
            </w:pPr>
          </w:p>
          <w:p w14:paraId="3D93FBE7" w14:textId="77777777" w:rsidR="0036416A" w:rsidRDefault="0036416A" w:rsidP="0036416A">
            <w:pPr>
              <w:pStyle w:val="NoSpacing"/>
            </w:pPr>
            <w:r>
              <w:t>3</w:t>
            </w:r>
            <w:r w:rsidRPr="00013ACB">
              <w:rPr>
                <w:vertAlign w:val="superscript"/>
              </w:rPr>
              <w:t>rd</w:t>
            </w:r>
            <w:r>
              <w:t xml:space="preserve"> Round: </w:t>
            </w:r>
          </w:p>
          <w:p w14:paraId="7133A8C8" w14:textId="77777777" w:rsidR="0036416A" w:rsidRDefault="0036416A" w:rsidP="0036416A">
            <w:pPr>
              <w:pStyle w:val="NoSpacing"/>
            </w:pPr>
            <w:r>
              <w:t>July, 2020</w:t>
            </w:r>
          </w:p>
          <w:p w14:paraId="65DEE5A8" w14:textId="77777777" w:rsidR="0036416A" w:rsidRDefault="0036416A" w:rsidP="0036416A">
            <w:pPr>
              <w:pStyle w:val="NoSpacing"/>
            </w:pPr>
          </w:p>
          <w:p w14:paraId="331D588A" w14:textId="77777777" w:rsidR="0036416A" w:rsidRDefault="0036416A" w:rsidP="0036416A">
            <w:pPr>
              <w:pStyle w:val="NoSpacing"/>
            </w:pPr>
            <w:r>
              <w:t>4</w:t>
            </w:r>
            <w:r w:rsidRPr="00013ACB">
              <w:rPr>
                <w:vertAlign w:val="superscript"/>
              </w:rPr>
              <w:t>th</w:t>
            </w:r>
            <w:r>
              <w:t xml:space="preserve"> Round: </w:t>
            </w:r>
          </w:p>
          <w:p w14:paraId="07DA7F4D" w14:textId="77777777" w:rsidR="0036416A" w:rsidRDefault="0036416A" w:rsidP="0036416A">
            <w:pPr>
              <w:pStyle w:val="NoSpacing"/>
            </w:pPr>
            <w:r>
              <w:t>July, 2021</w:t>
            </w:r>
          </w:p>
          <w:p w14:paraId="6452664A" w14:textId="77777777" w:rsidR="0036416A" w:rsidRDefault="0036416A" w:rsidP="0036416A">
            <w:pPr>
              <w:pStyle w:val="NoSpacing"/>
            </w:pPr>
          </w:p>
          <w:p w14:paraId="482B235D" w14:textId="77777777" w:rsidR="0036416A" w:rsidRDefault="0036416A" w:rsidP="0036416A">
            <w:pPr>
              <w:pStyle w:val="NoSpacing"/>
            </w:pPr>
            <w:r>
              <w:t>5</w:t>
            </w:r>
            <w:r w:rsidRPr="00013ACB">
              <w:rPr>
                <w:vertAlign w:val="superscript"/>
              </w:rPr>
              <w:t>th</w:t>
            </w:r>
            <w:r>
              <w:t xml:space="preserve"> Round: </w:t>
            </w:r>
          </w:p>
          <w:p w14:paraId="39F871A4" w14:textId="77777777" w:rsidR="0036416A" w:rsidRDefault="0036416A" w:rsidP="0036416A">
            <w:pPr>
              <w:pStyle w:val="NoSpacing"/>
            </w:pPr>
            <w:r>
              <w:t>July, 2022</w:t>
            </w:r>
          </w:p>
          <w:p w14:paraId="63A69760" w14:textId="4D00B283" w:rsidR="0036416A" w:rsidRDefault="0036416A" w:rsidP="0036416A">
            <w:pPr>
              <w:pStyle w:val="NoSpacing"/>
            </w:pPr>
          </w:p>
        </w:tc>
        <w:tc>
          <w:tcPr>
            <w:tcW w:w="0" w:type="auto"/>
          </w:tcPr>
          <w:p w14:paraId="090A2475" w14:textId="77777777" w:rsidR="0036416A" w:rsidRDefault="0036416A" w:rsidP="0036416A">
            <w:pPr>
              <w:pStyle w:val="NoSpacing"/>
            </w:pPr>
            <w:r>
              <w:lastRenderedPageBreak/>
              <w:t>Data availability reviewed in Dec. 2018 (classified as Tier I)</w:t>
            </w:r>
          </w:p>
          <w:p w14:paraId="6525432A" w14:textId="77777777" w:rsidR="0036416A" w:rsidRDefault="0036416A" w:rsidP="0036416A">
            <w:pPr>
              <w:pStyle w:val="NoSpacing"/>
            </w:pPr>
          </w:p>
          <w:p w14:paraId="618E97F8" w14:textId="77777777" w:rsidR="0036416A" w:rsidRDefault="0036416A" w:rsidP="0036416A">
            <w:pPr>
              <w:pStyle w:val="NoSpacing"/>
            </w:pPr>
            <w:r>
              <w:lastRenderedPageBreak/>
              <w:t>Fast Track; Reviewed at 8th IAEG-SDG meeting (classified as Tier II)</w:t>
            </w:r>
          </w:p>
          <w:p w14:paraId="3668ECA5" w14:textId="77777777" w:rsidR="0036416A" w:rsidRDefault="0036416A" w:rsidP="0036416A">
            <w:pPr>
              <w:pStyle w:val="NoSpacing"/>
            </w:pPr>
          </w:p>
          <w:p w14:paraId="724B50D4" w14:textId="2ECD2761" w:rsidR="0036416A" w:rsidRDefault="0036416A" w:rsidP="0036416A">
            <w:pPr>
              <w:pStyle w:val="NoSpacing"/>
            </w:pPr>
            <w:r>
              <w:t xml:space="preserve">Fast Track; Reviewed at 5th IAEG-SDG meeting: Request additional work on aggregation method at regional and global levels (classified as </w:t>
            </w:r>
            <w:r w:rsidR="006B621F">
              <w:t>TBD</w:t>
            </w:r>
            <w:r>
              <w:t>)</w:t>
            </w:r>
          </w:p>
        </w:tc>
      </w:tr>
      <w:tr w:rsidR="0025292C" w14:paraId="36B5B025" w14:textId="77777777" w:rsidTr="00D52BCB">
        <w:tc>
          <w:tcPr>
            <w:tcW w:w="0" w:type="auto"/>
            <w:gridSpan w:val="13"/>
          </w:tcPr>
          <w:p w14:paraId="37FE6D59" w14:textId="77777777" w:rsidR="0025292C" w:rsidRDefault="0025292C" w:rsidP="0036416A">
            <w:pPr>
              <w:jc w:val="both"/>
              <w:rPr>
                <w:color w:val="0070C0"/>
                <w:sz w:val="48"/>
                <w:szCs w:val="48"/>
              </w:rPr>
            </w:pPr>
            <w:r>
              <w:rPr>
                <w:color w:val="0070C0"/>
                <w:sz w:val="30"/>
                <w:szCs w:val="30"/>
              </w:rPr>
              <w:lastRenderedPageBreak/>
              <w:t xml:space="preserve">Target </w:t>
            </w:r>
            <w:r w:rsidRPr="00C97C3C">
              <w:rPr>
                <w:color w:val="0070C0"/>
                <w:sz w:val="30"/>
                <w:szCs w:val="30"/>
              </w:rPr>
              <w:t>10.6 Ensure enhanced representation and voice for developing countries in decision-making in global international economic and financial institutions in order to deliver more effective, credible, accountable and legitimate institutions</w:t>
            </w:r>
          </w:p>
        </w:tc>
      </w:tr>
      <w:tr w:rsidR="0036416A" w14:paraId="51C7391F" w14:textId="77777777" w:rsidTr="00A64F0D">
        <w:tc>
          <w:tcPr>
            <w:tcW w:w="0" w:type="auto"/>
          </w:tcPr>
          <w:p w14:paraId="733359D9" w14:textId="77777777" w:rsidR="0036416A" w:rsidRDefault="0036416A" w:rsidP="0036416A">
            <w:pPr>
              <w:pStyle w:val="NoSpacing"/>
            </w:pPr>
            <w:r w:rsidRPr="003E7D26">
              <w:t>10.6.1 Proportion of members and voting rights of developing countries in international organizations</w:t>
            </w:r>
          </w:p>
        </w:tc>
        <w:tc>
          <w:tcPr>
            <w:tcW w:w="0" w:type="auto"/>
          </w:tcPr>
          <w:p w14:paraId="140AD4F1" w14:textId="77777777" w:rsidR="0036416A" w:rsidRDefault="0036416A" w:rsidP="0036416A">
            <w:pPr>
              <w:pStyle w:val="NoSpacing"/>
            </w:pPr>
            <w:r w:rsidRPr="00221F5D">
              <w:t>DESA/FFDO</w:t>
            </w:r>
          </w:p>
        </w:tc>
        <w:tc>
          <w:tcPr>
            <w:tcW w:w="0" w:type="auto"/>
          </w:tcPr>
          <w:p w14:paraId="7E97E5CF" w14:textId="77777777" w:rsidR="0036416A" w:rsidRDefault="0036416A" w:rsidP="0036416A">
            <w:pPr>
              <w:ind w:left="970" w:hanging="970"/>
              <w:jc w:val="both"/>
              <w:rPr>
                <w:color w:val="0070C0"/>
                <w:sz w:val="30"/>
                <w:szCs w:val="30"/>
              </w:rPr>
            </w:pPr>
            <w:r>
              <w:t>Tier I</w:t>
            </w:r>
          </w:p>
        </w:tc>
        <w:tc>
          <w:tcPr>
            <w:tcW w:w="0" w:type="auto"/>
          </w:tcPr>
          <w:p w14:paraId="2458223F" w14:textId="77777777" w:rsidR="0036416A" w:rsidRDefault="0036416A" w:rsidP="0036416A">
            <w:pPr>
              <w:pStyle w:val="NoSpacing"/>
            </w:pPr>
            <w:r>
              <w:t>Definition:</w:t>
            </w:r>
          </w:p>
          <w:p w14:paraId="6426A207" w14:textId="77777777" w:rsidR="0036416A" w:rsidRDefault="0036416A" w:rsidP="0036416A">
            <w:pPr>
              <w:pStyle w:val="NoSpacing"/>
            </w:pPr>
          </w:p>
          <w:p w14:paraId="3922C9E6" w14:textId="77777777" w:rsidR="0036416A" w:rsidRDefault="0036416A" w:rsidP="0036416A">
            <w:pPr>
              <w:pStyle w:val="NoSpacing"/>
            </w:pPr>
            <w:r>
              <w:t>The proportion of members and voting rights of developing countries in international organizations has two components, the developing country proportion of voting rights and the developing country proportion of membership in international organisations. In some institutions these two components are identical.</w:t>
            </w:r>
          </w:p>
          <w:p w14:paraId="06A850DA" w14:textId="77777777" w:rsidR="0036416A" w:rsidRDefault="0036416A" w:rsidP="0036416A">
            <w:pPr>
              <w:pStyle w:val="NoSpacing"/>
            </w:pPr>
            <w:r>
              <w:t>Concepts:</w:t>
            </w:r>
          </w:p>
          <w:p w14:paraId="02327BF0" w14:textId="77777777" w:rsidR="0036416A" w:rsidRDefault="0036416A" w:rsidP="0036416A">
            <w:pPr>
              <w:pStyle w:val="NoSpacing"/>
            </w:pPr>
            <w:r>
              <w:t>The indicator is calculated independently for eleven different international institutions: The United Nations General Assembly, the United Nations Security Council, the United Nations Economic and Social Council, the International Monetary Fund, the International Bank for Reconstruction and Development, the International Finance Corporation, the African Development Bank, the Asian Development Bank, the Inter-American Development Bank, the World Trade Organisation, and the Financial Stability Board.</w:t>
            </w:r>
          </w:p>
          <w:p w14:paraId="65C95743" w14:textId="77777777" w:rsidR="0036416A" w:rsidRDefault="0036416A" w:rsidP="0036416A">
            <w:pPr>
              <w:pStyle w:val="NoSpacing"/>
            </w:pPr>
          </w:p>
          <w:p w14:paraId="7825A491" w14:textId="77777777" w:rsidR="0036416A" w:rsidRDefault="0036416A" w:rsidP="0036416A">
            <w:pPr>
              <w:pStyle w:val="NoSpacing"/>
            </w:pPr>
            <w:r>
              <w:t>There is no established convention for the designation of "developed" and "developing" countries or areas in the United Nations system. In common practice, Japan in Asia, Canada and the United States in northern America, Australia and New Zealand in Oceania, and Europe are considered "developed" regions or areas. The aggregation across all institutions is currently done according to the United Nations M.49 statistical standard which includes designation of “developed regions” and “developing regions”, while an ongoing review seeks to reach agreement on how to define these terms for the purposes of SDG monitoring. The designations "developed" and developing" are intended for statistical convenience and do not necessarily express a judgement about the stage reached by a particular country or area in the development process.</w:t>
            </w:r>
          </w:p>
          <w:p w14:paraId="57274FDA" w14:textId="77777777" w:rsidR="0036416A" w:rsidRDefault="0036416A" w:rsidP="0036416A">
            <w:pPr>
              <w:pStyle w:val="NoSpacing"/>
            </w:pPr>
          </w:p>
          <w:p w14:paraId="1A2F3DBB" w14:textId="77777777" w:rsidR="0036416A" w:rsidRDefault="0036416A" w:rsidP="0036416A">
            <w:pPr>
              <w:pStyle w:val="NoSpacing"/>
            </w:pPr>
            <w:r>
              <w:t>Comments and limitations:</w:t>
            </w:r>
          </w:p>
          <w:p w14:paraId="215FF91D" w14:textId="77777777" w:rsidR="0036416A" w:rsidRDefault="0036416A" w:rsidP="0036416A">
            <w:pPr>
              <w:pStyle w:val="NoSpacing"/>
            </w:pPr>
          </w:p>
          <w:p w14:paraId="79E4A0A1" w14:textId="77777777" w:rsidR="0036416A" w:rsidRDefault="0036416A" w:rsidP="0036416A">
            <w:pPr>
              <w:pStyle w:val="NoSpacing"/>
            </w:pPr>
            <w:r>
              <w:t>Cross institutional comparisons needs to pay attention to the different membership of the institutions. Voting rights and membership in their institutions are agreed by the Member States themselves. As a structural indicator, there will be only small changes over time to reflect agreement on new States joining as Members, suspension of voting rights, membership withdrawal and negotiated voting rights changes.</w:t>
            </w:r>
          </w:p>
          <w:p w14:paraId="52F32B2F" w14:textId="77777777" w:rsidR="0036416A" w:rsidRDefault="0036416A" w:rsidP="0036416A">
            <w:pPr>
              <w:pStyle w:val="NoSpacing"/>
            </w:pPr>
          </w:p>
          <w:p w14:paraId="55CC9D17" w14:textId="77777777" w:rsidR="0036416A" w:rsidRDefault="0036416A" w:rsidP="0036416A">
            <w:pPr>
              <w:pStyle w:val="NoSpacing"/>
            </w:pPr>
            <w:r>
              <w:t>Computation Method:</w:t>
            </w:r>
          </w:p>
          <w:p w14:paraId="25B34E3A" w14:textId="77777777" w:rsidR="0036416A" w:rsidRDefault="0036416A" w:rsidP="0036416A">
            <w:pPr>
              <w:pStyle w:val="NoSpacing"/>
            </w:pPr>
          </w:p>
          <w:p w14:paraId="6ACCDCDC" w14:textId="77777777" w:rsidR="0036416A" w:rsidRPr="007F4B4F" w:rsidRDefault="0036416A" w:rsidP="0036416A">
            <w:pPr>
              <w:pStyle w:val="NoSpacing"/>
            </w:pPr>
            <w:r>
              <w:t xml:space="preserve">The computation uses each institutions’ own published membership and voting rights data from their respective annual reports. The proportion of voting rights is computed as the number of voting rights allocated to developing countries, divided by the total number of voting rights. The proportion of membership is calculated by taking the number of developing country </w:t>
            </w:r>
            <w:r>
              <w:lastRenderedPageBreak/>
              <w:t>members, divided by the total number of members.</w:t>
            </w:r>
          </w:p>
        </w:tc>
        <w:tc>
          <w:tcPr>
            <w:tcW w:w="0" w:type="auto"/>
          </w:tcPr>
          <w:p w14:paraId="5041E34D" w14:textId="77777777" w:rsidR="0036416A" w:rsidRPr="00873FDE" w:rsidRDefault="0036416A" w:rsidP="0036416A">
            <w:pPr>
              <w:rPr>
                <w:szCs w:val="20"/>
              </w:rPr>
            </w:pPr>
            <w:r w:rsidRPr="00873FDE">
              <w:rPr>
                <w:szCs w:val="20"/>
              </w:rPr>
              <w:lastRenderedPageBreak/>
              <w:t>Collects Annual reports.</w:t>
            </w:r>
          </w:p>
        </w:tc>
        <w:tc>
          <w:tcPr>
            <w:tcW w:w="0" w:type="auto"/>
          </w:tcPr>
          <w:p w14:paraId="0AB9D2B9" w14:textId="77777777" w:rsidR="0036416A" w:rsidRPr="00873FDE" w:rsidRDefault="0036416A" w:rsidP="0036416A">
            <w:pPr>
              <w:rPr>
                <w:szCs w:val="20"/>
              </w:rPr>
            </w:pPr>
            <w:r w:rsidRPr="00873FDE">
              <w:rPr>
                <w:szCs w:val="20"/>
              </w:rPr>
              <w:t>UNGA, UNSC, ECOSOC, IMF, IBRD, IFC, AfDB, ADB, IADB, WTO, FSB</w:t>
            </w:r>
          </w:p>
        </w:tc>
        <w:tc>
          <w:tcPr>
            <w:tcW w:w="0" w:type="auto"/>
          </w:tcPr>
          <w:p w14:paraId="15D5BD34" w14:textId="77777777" w:rsidR="0036416A" w:rsidRPr="005D5FA4" w:rsidRDefault="0036416A" w:rsidP="0036416A">
            <w:pPr>
              <w:spacing w:line="276" w:lineRule="auto"/>
              <w:rPr>
                <w:szCs w:val="20"/>
              </w:rPr>
            </w:pPr>
            <w:r w:rsidRPr="005D5FA4">
              <w:rPr>
                <w:szCs w:val="20"/>
              </w:rPr>
              <w:t>a) ERD</w:t>
            </w:r>
          </w:p>
          <w:p w14:paraId="73FF2BC3" w14:textId="77777777" w:rsidR="0036416A" w:rsidRDefault="0036416A" w:rsidP="0036416A">
            <w:pPr>
              <w:pStyle w:val="NoSpacing"/>
              <w:rPr>
                <w:szCs w:val="20"/>
              </w:rPr>
            </w:pPr>
          </w:p>
          <w:p w14:paraId="1F3EC6A9" w14:textId="77777777" w:rsidR="0036416A" w:rsidRDefault="0036416A" w:rsidP="0036416A">
            <w:pPr>
              <w:pStyle w:val="NoSpacing"/>
            </w:pPr>
            <w:r>
              <w:t>Administrative Data</w:t>
            </w:r>
          </w:p>
        </w:tc>
        <w:tc>
          <w:tcPr>
            <w:tcW w:w="0" w:type="auto"/>
          </w:tcPr>
          <w:p w14:paraId="46580DBF" w14:textId="77777777" w:rsidR="0036416A" w:rsidRPr="005D5FA4" w:rsidRDefault="0036416A" w:rsidP="0036416A">
            <w:pPr>
              <w:pStyle w:val="NoSpacing"/>
            </w:pPr>
            <w:r w:rsidRPr="005D5FA4">
              <w:t>a) ERD</w:t>
            </w:r>
          </w:p>
          <w:p w14:paraId="3B1435BF" w14:textId="77777777" w:rsidR="0036416A" w:rsidRDefault="0036416A" w:rsidP="0036416A">
            <w:pPr>
              <w:pStyle w:val="NoSpacing"/>
            </w:pPr>
            <w:r w:rsidRPr="005D5FA4">
              <w:t>b) MoFA</w:t>
            </w:r>
          </w:p>
          <w:p w14:paraId="115EC6AB" w14:textId="77777777" w:rsidR="0036416A" w:rsidRDefault="0036416A" w:rsidP="0036416A">
            <w:pPr>
              <w:pStyle w:val="NoSpacing"/>
            </w:pPr>
          </w:p>
          <w:p w14:paraId="7BF83F45" w14:textId="77777777" w:rsidR="0036416A" w:rsidRDefault="0036416A" w:rsidP="0036416A">
            <w:pPr>
              <w:pStyle w:val="NoSpacing"/>
            </w:pPr>
            <w:r>
              <w:t>Administrative Data</w:t>
            </w:r>
          </w:p>
        </w:tc>
        <w:tc>
          <w:tcPr>
            <w:tcW w:w="0" w:type="auto"/>
          </w:tcPr>
          <w:p w14:paraId="7DA04042" w14:textId="77777777" w:rsidR="0036416A" w:rsidRDefault="0036416A" w:rsidP="0036416A">
            <w:pPr>
              <w:pStyle w:val="NoSpacing"/>
              <w:rPr>
                <w:color w:val="0070C0"/>
                <w:sz w:val="30"/>
                <w:szCs w:val="30"/>
              </w:rPr>
            </w:pPr>
            <w:r>
              <w:t>International Organizations</w:t>
            </w:r>
          </w:p>
        </w:tc>
        <w:tc>
          <w:tcPr>
            <w:tcW w:w="0" w:type="auto"/>
          </w:tcPr>
          <w:p w14:paraId="07CE3079" w14:textId="77777777" w:rsidR="0036416A" w:rsidRPr="009105EA" w:rsidRDefault="0036416A" w:rsidP="0036416A">
            <w:pPr>
              <w:pStyle w:val="NoSpacing"/>
            </w:pPr>
            <w:r w:rsidRPr="009105EA">
              <w:t>a)  Annually (Tri-Annually)</w:t>
            </w:r>
          </w:p>
          <w:p w14:paraId="0C263540" w14:textId="77777777" w:rsidR="0036416A" w:rsidRPr="009105EA" w:rsidRDefault="0036416A" w:rsidP="0036416A">
            <w:pPr>
              <w:pStyle w:val="NoSpacing"/>
            </w:pPr>
            <w:r w:rsidRPr="009105EA">
              <w:t>b) Annually</w:t>
            </w:r>
          </w:p>
          <w:p w14:paraId="30D5A0EF" w14:textId="77777777" w:rsidR="0036416A" w:rsidRPr="009105EA" w:rsidRDefault="0036416A" w:rsidP="0036416A">
            <w:pPr>
              <w:pStyle w:val="NoSpacing"/>
            </w:pPr>
            <w:r w:rsidRPr="009105EA">
              <w:t>c) Annually</w:t>
            </w:r>
          </w:p>
          <w:p w14:paraId="0E8BABA5" w14:textId="77777777" w:rsidR="0036416A" w:rsidRPr="009105EA" w:rsidRDefault="0036416A" w:rsidP="0036416A">
            <w:pPr>
              <w:pStyle w:val="NoSpacing"/>
            </w:pPr>
            <w:r w:rsidRPr="009105EA">
              <w:t>d) (As per IDA-18) Tri-Annually</w:t>
            </w:r>
          </w:p>
          <w:p w14:paraId="1F44A2F9" w14:textId="77777777" w:rsidR="0036416A" w:rsidRPr="009105EA" w:rsidRDefault="0036416A" w:rsidP="0036416A">
            <w:pPr>
              <w:pStyle w:val="NoSpacing"/>
            </w:pPr>
            <w:r w:rsidRPr="009105EA">
              <w:t>f)  02 years</w:t>
            </w:r>
          </w:p>
        </w:tc>
        <w:tc>
          <w:tcPr>
            <w:tcW w:w="0" w:type="auto"/>
          </w:tcPr>
          <w:p w14:paraId="272CEF9E" w14:textId="77777777" w:rsidR="0036416A" w:rsidRDefault="0036416A" w:rsidP="0036416A">
            <w:pPr>
              <w:ind w:left="970" w:hanging="970"/>
              <w:jc w:val="both"/>
              <w:rPr>
                <w:color w:val="0070C0"/>
                <w:sz w:val="30"/>
                <w:szCs w:val="30"/>
              </w:rPr>
            </w:pPr>
            <w:r>
              <w:t>Group 1</w:t>
            </w:r>
          </w:p>
        </w:tc>
        <w:tc>
          <w:tcPr>
            <w:tcW w:w="0" w:type="auto"/>
          </w:tcPr>
          <w:p w14:paraId="4144F05E" w14:textId="77777777" w:rsidR="0036416A" w:rsidRDefault="0036416A" w:rsidP="0036416A">
            <w:pPr>
              <w:pStyle w:val="NoSpacing"/>
            </w:pPr>
            <w:r>
              <w:t>1</w:t>
            </w:r>
            <w:r w:rsidRPr="00013ACB">
              <w:rPr>
                <w:vertAlign w:val="superscript"/>
              </w:rPr>
              <w:t>st</w:t>
            </w:r>
            <w:r>
              <w:t xml:space="preserve"> Round: </w:t>
            </w:r>
          </w:p>
          <w:p w14:paraId="0CC6162D" w14:textId="77777777" w:rsidR="0036416A" w:rsidRDefault="0036416A" w:rsidP="0036416A">
            <w:pPr>
              <w:pStyle w:val="NoSpacing"/>
            </w:pPr>
            <w:r>
              <w:t>2018</w:t>
            </w:r>
          </w:p>
          <w:p w14:paraId="264D6F87" w14:textId="77777777" w:rsidR="0036416A" w:rsidRDefault="0036416A" w:rsidP="0036416A">
            <w:pPr>
              <w:pStyle w:val="NoSpacing"/>
            </w:pPr>
            <w:r>
              <w:t>2</w:t>
            </w:r>
            <w:r w:rsidRPr="00013ACB">
              <w:rPr>
                <w:vertAlign w:val="superscript"/>
              </w:rPr>
              <w:t>nd</w:t>
            </w:r>
            <w:r>
              <w:t xml:space="preserve"> Round: </w:t>
            </w:r>
          </w:p>
          <w:p w14:paraId="03BC43D8" w14:textId="77777777" w:rsidR="0036416A" w:rsidRDefault="0036416A" w:rsidP="0036416A">
            <w:pPr>
              <w:pStyle w:val="NoSpacing"/>
            </w:pPr>
            <w:r w:rsidRPr="008A10A8">
              <w:t>September,</w:t>
            </w:r>
            <w:r w:rsidRPr="008A10A8">
              <w:br/>
              <w:t>2019</w:t>
            </w:r>
          </w:p>
          <w:p w14:paraId="688378FA" w14:textId="77777777" w:rsidR="0036416A" w:rsidRDefault="0036416A" w:rsidP="0036416A">
            <w:pPr>
              <w:pStyle w:val="NoSpacing"/>
            </w:pPr>
          </w:p>
          <w:p w14:paraId="16C501EA" w14:textId="77777777" w:rsidR="0036416A" w:rsidRDefault="0036416A" w:rsidP="0036416A">
            <w:pPr>
              <w:pStyle w:val="NoSpacing"/>
            </w:pPr>
            <w:r>
              <w:t>3</w:t>
            </w:r>
            <w:r w:rsidRPr="00013ACB">
              <w:rPr>
                <w:vertAlign w:val="superscript"/>
              </w:rPr>
              <w:t>rd</w:t>
            </w:r>
            <w:r>
              <w:t xml:space="preserve"> Round: </w:t>
            </w:r>
          </w:p>
          <w:p w14:paraId="1EE7217C" w14:textId="77777777" w:rsidR="0036416A" w:rsidRDefault="0036416A" w:rsidP="0036416A">
            <w:pPr>
              <w:pStyle w:val="NoSpacing"/>
            </w:pPr>
            <w:r>
              <w:t>September,</w:t>
            </w:r>
            <w:r>
              <w:br/>
              <w:t>2020</w:t>
            </w:r>
          </w:p>
          <w:p w14:paraId="23FC63B9" w14:textId="77777777" w:rsidR="0036416A" w:rsidRDefault="0036416A" w:rsidP="0036416A">
            <w:pPr>
              <w:pStyle w:val="NoSpacing"/>
            </w:pPr>
          </w:p>
          <w:p w14:paraId="248A633C" w14:textId="77777777" w:rsidR="0036416A" w:rsidRDefault="0036416A" w:rsidP="0036416A">
            <w:pPr>
              <w:pStyle w:val="NoSpacing"/>
            </w:pPr>
            <w:r>
              <w:t>4</w:t>
            </w:r>
            <w:r w:rsidRPr="00013ACB">
              <w:rPr>
                <w:vertAlign w:val="superscript"/>
              </w:rPr>
              <w:t>th</w:t>
            </w:r>
            <w:r>
              <w:t xml:space="preserve"> Round: </w:t>
            </w:r>
          </w:p>
          <w:p w14:paraId="6C0DC305" w14:textId="77777777" w:rsidR="0036416A" w:rsidRDefault="0036416A" w:rsidP="0036416A">
            <w:pPr>
              <w:pStyle w:val="NoSpacing"/>
            </w:pPr>
            <w:r>
              <w:t>September,</w:t>
            </w:r>
            <w:r>
              <w:br/>
              <w:t>2021</w:t>
            </w:r>
          </w:p>
          <w:p w14:paraId="66FF88EE" w14:textId="77777777" w:rsidR="0036416A" w:rsidRDefault="0036416A" w:rsidP="0036416A">
            <w:pPr>
              <w:pStyle w:val="NoSpacing"/>
            </w:pPr>
          </w:p>
          <w:p w14:paraId="743504E0" w14:textId="77777777" w:rsidR="0036416A" w:rsidRDefault="0036416A" w:rsidP="0036416A">
            <w:pPr>
              <w:pStyle w:val="NoSpacing"/>
            </w:pPr>
            <w:r>
              <w:t>5</w:t>
            </w:r>
            <w:r w:rsidRPr="00013ACB">
              <w:rPr>
                <w:vertAlign w:val="superscript"/>
              </w:rPr>
              <w:t>th</w:t>
            </w:r>
            <w:r>
              <w:t xml:space="preserve"> Round: </w:t>
            </w:r>
          </w:p>
          <w:p w14:paraId="3108ED3A" w14:textId="77777777" w:rsidR="0036416A" w:rsidRDefault="0036416A" w:rsidP="0036416A">
            <w:pPr>
              <w:pStyle w:val="NoSpacing"/>
            </w:pPr>
            <w:r>
              <w:t>September,</w:t>
            </w:r>
            <w:r>
              <w:br/>
              <w:t>2022</w:t>
            </w:r>
          </w:p>
          <w:p w14:paraId="01F14CFB" w14:textId="4FC1E766" w:rsidR="0036416A" w:rsidRDefault="0036416A" w:rsidP="0036416A">
            <w:pPr>
              <w:pStyle w:val="NoSpacing"/>
            </w:pPr>
          </w:p>
        </w:tc>
        <w:tc>
          <w:tcPr>
            <w:tcW w:w="0" w:type="auto"/>
          </w:tcPr>
          <w:p w14:paraId="2122DEBA" w14:textId="40F4FF19" w:rsidR="0036416A" w:rsidRDefault="003E5AFB" w:rsidP="0036416A">
            <w:pPr>
              <w:pStyle w:val="NoSpacing"/>
            </w:pPr>
            <w:r>
              <w:t xml:space="preserve">Repeated </w:t>
            </w:r>
            <w:r w:rsidR="0036416A" w:rsidRPr="00B950AC">
              <w:t>16.8.1</w:t>
            </w:r>
          </w:p>
        </w:tc>
      </w:tr>
      <w:tr w:rsidR="0025292C" w14:paraId="6A440578" w14:textId="77777777" w:rsidTr="00D52BCB">
        <w:tc>
          <w:tcPr>
            <w:tcW w:w="0" w:type="auto"/>
            <w:gridSpan w:val="13"/>
          </w:tcPr>
          <w:p w14:paraId="5E0B157B" w14:textId="77777777" w:rsidR="0025292C" w:rsidRDefault="0025292C" w:rsidP="0036416A">
            <w:pPr>
              <w:jc w:val="both"/>
              <w:rPr>
                <w:color w:val="0070C0"/>
                <w:sz w:val="48"/>
                <w:szCs w:val="48"/>
              </w:rPr>
            </w:pPr>
            <w:r>
              <w:rPr>
                <w:color w:val="0070C0"/>
                <w:sz w:val="30"/>
                <w:szCs w:val="30"/>
              </w:rPr>
              <w:lastRenderedPageBreak/>
              <w:t xml:space="preserve">Target </w:t>
            </w:r>
            <w:r w:rsidRPr="00C97C3C">
              <w:rPr>
                <w:color w:val="0070C0"/>
                <w:sz w:val="30"/>
                <w:szCs w:val="30"/>
              </w:rPr>
              <w:t>10.7 Facilitate orderly, safe, regular and responsible migration and mobility of people, including through the implementation of planned and well-managed migration policies</w:t>
            </w:r>
          </w:p>
        </w:tc>
      </w:tr>
      <w:tr w:rsidR="0036416A" w14:paraId="6023088F" w14:textId="77777777" w:rsidTr="00A64F0D">
        <w:tc>
          <w:tcPr>
            <w:tcW w:w="0" w:type="auto"/>
          </w:tcPr>
          <w:p w14:paraId="4E92BB1D" w14:textId="77777777" w:rsidR="0036416A" w:rsidRPr="003E7D26" w:rsidRDefault="0036416A" w:rsidP="0036416A">
            <w:pPr>
              <w:pStyle w:val="NoSpacing"/>
            </w:pPr>
            <w:r w:rsidRPr="003E7D26">
              <w:t>10.7.1 Recruitment cost borne by employee as a proportion of monthly income earned in country of destination</w:t>
            </w:r>
          </w:p>
        </w:tc>
        <w:tc>
          <w:tcPr>
            <w:tcW w:w="0" w:type="auto"/>
          </w:tcPr>
          <w:p w14:paraId="6E211E4D" w14:textId="77777777" w:rsidR="0036416A" w:rsidRDefault="0036416A" w:rsidP="0036416A">
            <w:pPr>
              <w:ind w:left="970" w:hanging="970"/>
              <w:jc w:val="both"/>
              <w:rPr>
                <w:color w:val="0070C0"/>
                <w:sz w:val="30"/>
                <w:szCs w:val="30"/>
              </w:rPr>
            </w:pPr>
          </w:p>
          <w:p w14:paraId="079456DA" w14:textId="77777777" w:rsidR="0036416A" w:rsidRDefault="0036416A" w:rsidP="0036416A">
            <w:pPr>
              <w:pStyle w:val="NoSpacing"/>
            </w:pPr>
            <w:r>
              <w:t>ILO,</w:t>
            </w:r>
          </w:p>
          <w:p w14:paraId="60D4ABCE" w14:textId="77777777" w:rsidR="0036416A" w:rsidRDefault="0036416A" w:rsidP="0036416A">
            <w:pPr>
              <w:ind w:left="970" w:hanging="970"/>
              <w:jc w:val="both"/>
              <w:rPr>
                <w:color w:val="0070C0"/>
                <w:sz w:val="30"/>
                <w:szCs w:val="30"/>
              </w:rPr>
            </w:pPr>
            <w:r>
              <w:t>World Bank</w:t>
            </w:r>
          </w:p>
        </w:tc>
        <w:tc>
          <w:tcPr>
            <w:tcW w:w="0" w:type="auto"/>
          </w:tcPr>
          <w:p w14:paraId="59CFEA08" w14:textId="77777777" w:rsidR="0036416A" w:rsidRDefault="0036416A" w:rsidP="0036416A">
            <w:pPr>
              <w:ind w:left="970" w:hanging="970"/>
              <w:jc w:val="both"/>
              <w:rPr>
                <w:color w:val="0070C0"/>
                <w:sz w:val="30"/>
                <w:szCs w:val="30"/>
              </w:rPr>
            </w:pPr>
            <w:r w:rsidRPr="00253629">
              <w:t>Tier II</w:t>
            </w:r>
          </w:p>
        </w:tc>
        <w:tc>
          <w:tcPr>
            <w:tcW w:w="0" w:type="auto"/>
          </w:tcPr>
          <w:p w14:paraId="185219D6" w14:textId="77777777" w:rsidR="0036416A" w:rsidRDefault="0036416A" w:rsidP="0036416A">
            <w:pPr>
              <w:pStyle w:val="NoSpacing"/>
            </w:pPr>
            <w:r>
              <w:t>Definitions:</w:t>
            </w:r>
          </w:p>
          <w:p w14:paraId="20B5F3EC" w14:textId="77777777" w:rsidR="0036416A" w:rsidRDefault="0036416A" w:rsidP="0036416A">
            <w:pPr>
              <w:pStyle w:val="NoSpacing"/>
            </w:pPr>
            <w:r>
              <w:t>SDG indicator 10.7.1 is defined as: “Recruitment cost borne by employee as a proportion of monthly income earned in country of destination”, i.e. a ratio between a cost measure and an income measure. The statistics used for the numerators and denominators for indicator 10.7.1 should be based on costs and earnings observed for the same individual international migrant worker.</w:t>
            </w:r>
          </w:p>
          <w:p w14:paraId="7F5B5BA7" w14:textId="77777777" w:rsidR="0036416A" w:rsidRDefault="0036416A" w:rsidP="0036416A">
            <w:pPr>
              <w:pStyle w:val="NoSpacing"/>
            </w:pPr>
          </w:p>
          <w:p w14:paraId="6ED81B56" w14:textId="77777777" w:rsidR="0036416A" w:rsidRDefault="0036416A" w:rsidP="0036416A">
            <w:pPr>
              <w:pStyle w:val="NoSpacing"/>
            </w:pPr>
            <w:r>
              <w:t>Concepts:</w:t>
            </w:r>
          </w:p>
          <w:p w14:paraId="739DB43D" w14:textId="77777777" w:rsidR="0036416A" w:rsidRDefault="0036416A" w:rsidP="0036416A">
            <w:pPr>
              <w:pStyle w:val="NoSpacing"/>
            </w:pPr>
            <w:r>
              <w:t xml:space="preserve">Target population (international migrant, international migrant workers): the term ‘international migrant worker’ is to be understood to mean someone who leaves his/her country of usual residence with the documented intention to work in another country, as a wage/salary earner.  Thus, the term’s concept does not include those who leave their area of usual residence to work in another area in the same country, </w:t>
            </w:r>
            <w:proofErr w:type="gramStart"/>
            <w:r>
              <w:t>nor</w:t>
            </w:r>
            <w:proofErr w:type="gramEnd"/>
            <w:r>
              <w:t xml:space="preserve"> those who can commute for work across an international border, on a daily or weekly basis without changing the country of usual residence.  These draft Guidelines exclude consideration of other migrant workers whose usual residence may be hard to confirm, such as seafarers who work on a vessel registered to a country different from their country of origin. The concept should cover all international migrant workers who have changed their country of usual residence with the documented intention to work in another country, whether they are engaged through formal or through ‘informal’ recruitment processes.</w:t>
            </w:r>
          </w:p>
          <w:p w14:paraId="04188E10" w14:textId="77777777" w:rsidR="0036416A" w:rsidRDefault="0036416A" w:rsidP="0036416A">
            <w:pPr>
              <w:pStyle w:val="NoSpacing"/>
            </w:pPr>
          </w:p>
          <w:p w14:paraId="3D0E9FB4" w14:textId="77777777" w:rsidR="0036416A" w:rsidRDefault="0036416A" w:rsidP="0036416A">
            <w:pPr>
              <w:pStyle w:val="NoSpacing"/>
            </w:pPr>
            <w:r>
              <w:t>Reference period: the statistics/estimates on costs and earnings used to calculate 10.7.1 should refer to the first job obtained in the country of destination and the first year of employment abroad of the international migrant worker.</w:t>
            </w:r>
          </w:p>
          <w:p w14:paraId="75119674" w14:textId="77777777" w:rsidR="0036416A" w:rsidRDefault="0036416A" w:rsidP="0036416A">
            <w:pPr>
              <w:pStyle w:val="NoSpacing"/>
            </w:pPr>
          </w:p>
          <w:p w14:paraId="3EC5C6B8" w14:textId="77777777" w:rsidR="0036416A" w:rsidRDefault="0036416A" w:rsidP="0036416A">
            <w:pPr>
              <w:pStyle w:val="NoSpacing"/>
            </w:pPr>
            <w:r>
              <w:t>Costs: Recruitment costs refer to any fees or costs incurred in the recruitment process in order for workers to secure employment or placement, regardless of the manner, timing or location of their imposition or collection. These are equal to the total amount that migrant workers and/or their families paid to find, qualify for, and secure a concrete job offer from a foreign employer and to reach the place of employment for the first job abroad. Recommended costs items are indicated in Paragraphs 22 to 24 of the draft Guidelines on statistics for SDG indicator 10.7.1.</w:t>
            </w:r>
          </w:p>
          <w:p w14:paraId="44654DF2" w14:textId="77777777" w:rsidR="0036416A" w:rsidRDefault="0036416A" w:rsidP="0036416A">
            <w:pPr>
              <w:pStyle w:val="NoSpacing"/>
            </w:pPr>
          </w:p>
          <w:p w14:paraId="7D6C133A" w14:textId="77777777" w:rsidR="0036416A" w:rsidRDefault="0036416A" w:rsidP="0036416A">
            <w:pPr>
              <w:pStyle w:val="NoSpacing"/>
            </w:pPr>
            <w:r>
              <w:t>Earnings: statistics on earnings of migrant workers abroad should cover the actual income received for the last month in the first job in the destination country, including bonuses and other earnings (e.g. for over-time work). Adjustments should be made for any deductions for destination country taxes and social security contributions, as well as for any deductions in wages made to recover any recruitment costs initially paid by the employer.</w:t>
            </w:r>
          </w:p>
          <w:p w14:paraId="362AA1DD" w14:textId="77777777" w:rsidR="0036416A" w:rsidRDefault="0036416A" w:rsidP="0036416A">
            <w:pPr>
              <w:pStyle w:val="NoSpacing"/>
            </w:pPr>
          </w:p>
          <w:p w14:paraId="1C9076A0" w14:textId="77777777" w:rsidR="0036416A" w:rsidRDefault="0036416A" w:rsidP="0036416A">
            <w:pPr>
              <w:pStyle w:val="NoSpacing"/>
            </w:pPr>
            <w:r>
              <w:t>Comments and limitations:</w:t>
            </w:r>
          </w:p>
          <w:p w14:paraId="6D239BB5" w14:textId="77777777" w:rsidR="0036416A" w:rsidRDefault="0036416A" w:rsidP="0036416A">
            <w:pPr>
              <w:pStyle w:val="NoSpacing"/>
            </w:pPr>
            <w:r>
              <w:t xml:space="preserve">The proposed Guidelines have recommended using one month of earnings as the denominator, and to express the indicator as the proportion of monthly earnings paid by the migrant worker to obtain the job abroad. The Guidelines recommend using earnings of the last month of the first job abroad. However monthly earnings of migrant workers may vary considerably for </w:t>
            </w:r>
            <w:r>
              <w:lastRenderedPageBreak/>
              <w:t xml:space="preserve">each month worked, particularly if migrant workers often change their job during their first 12 months abroad. Accordingly, the Guidelines recommend using the first job abroad. </w:t>
            </w:r>
          </w:p>
          <w:p w14:paraId="0A1968D1" w14:textId="77777777" w:rsidR="0036416A" w:rsidRDefault="0036416A" w:rsidP="0036416A">
            <w:pPr>
              <w:pStyle w:val="NoSpacing"/>
            </w:pPr>
          </w:p>
          <w:p w14:paraId="0BD6C95C" w14:textId="2F44EEBA" w:rsidR="0036416A" w:rsidRDefault="0036416A" w:rsidP="0036416A">
            <w:pPr>
              <w:pStyle w:val="NoSpacing"/>
            </w:pPr>
            <w:r>
              <w:t xml:space="preserve">Recall may be an issue if the first job abroad was undertaken many years ago. The Guidelines suggests that when developing the data collection system, the focus should be on migrant workers whose first job abroad happened less than a given period, such as </w:t>
            </w:r>
            <w:r w:rsidR="005F24FB">
              <w:t>Triennial</w:t>
            </w:r>
            <w:r>
              <w:t xml:space="preserve"> prior or less.</w:t>
            </w:r>
          </w:p>
          <w:p w14:paraId="49F78113" w14:textId="77777777" w:rsidR="0036416A" w:rsidRDefault="0036416A" w:rsidP="0036416A">
            <w:pPr>
              <w:pStyle w:val="NoSpacing"/>
            </w:pPr>
          </w:p>
          <w:p w14:paraId="371F87A6" w14:textId="77777777" w:rsidR="0036416A" w:rsidRDefault="0036416A" w:rsidP="0036416A">
            <w:pPr>
              <w:pStyle w:val="NoSpacing"/>
            </w:pPr>
            <w:r>
              <w:t>Computation Method:</w:t>
            </w:r>
          </w:p>
          <w:p w14:paraId="4FA3CBA9" w14:textId="77777777" w:rsidR="0036416A" w:rsidRDefault="0036416A" w:rsidP="0036416A">
            <w:pPr>
              <w:pStyle w:val="NoSpacing"/>
            </w:pPr>
            <w:r>
              <w:t xml:space="preserve">RCI = Proportion of recruitment costs in the monthly employment earnings, is a ratio </w:t>
            </w:r>
          </w:p>
          <w:p w14:paraId="59C902DC" w14:textId="77777777" w:rsidR="0036416A" w:rsidRDefault="0036416A" w:rsidP="0036416A">
            <w:pPr>
              <w:pStyle w:val="NoSpacing"/>
            </w:pPr>
            <w:r>
              <w:t>Calculation:</w:t>
            </w:r>
          </w:p>
          <w:p w14:paraId="0F7FA46A" w14:textId="77777777" w:rsidR="0036416A" w:rsidRDefault="0036416A" w:rsidP="0036416A">
            <w:pPr>
              <w:pStyle w:val="NoSpacing"/>
            </w:pPr>
            <w:r>
              <w:t xml:space="preserve"> </w:t>
            </w:r>
            <w:r w:rsidRPr="000C4849">
              <w:rPr>
                <w:rFonts w:ascii="Cambria Math" w:hAnsi="Cambria Math" w:cs="Cambria Math"/>
                <w:noProof/>
                <w:lang w:bidi="bn-BD"/>
              </w:rPr>
              <w:drawing>
                <wp:inline distT="0" distB="0" distL="0" distR="0" wp14:anchorId="1688D13E" wp14:editId="68DFACDE">
                  <wp:extent cx="908050" cy="402468"/>
                  <wp:effectExtent l="0" t="0" r="6350" b="0"/>
                  <wp:docPr id="12774" name="Picture 1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42042" cy="417534"/>
                          </a:xfrm>
                          <a:prstGeom prst="rect">
                            <a:avLst/>
                          </a:prstGeom>
                          <a:noFill/>
                        </pic:spPr>
                      </pic:pic>
                    </a:graphicData>
                  </a:graphic>
                </wp:inline>
              </w:drawing>
            </w:r>
          </w:p>
          <w:p w14:paraId="2ED33EF7" w14:textId="77777777" w:rsidR="0036416A" w:rsidRDefault="0036416A" w:rsidP="0036416A">
            <w:pPr>
              <w:pStyle w:val="NoSpacing"/>
            </w:pPr>
            <w:r>
              <w:tab/>
              <w:t xml:space="preserve"> </w:t>
            </w:r>
          </w:p>
          <w:p w14:paraId="79235601" w14:textId="77777777" w:rsidR="0036416A" w:rsidRDefault="0036416A" w:rsidP="0036416A">
            <w:pPr>
              <w:pStyle w:val="NoSpacing"/>
            </w:pPr>
            <w:r>
              <w:t>Where</w:t>
            </w:r>
          </w:p>
          <w:p w14:paraId="5BA7611E" w14:textId="77777777" w:rsidR="0036416A" w:rsidRDefault="0036416A" w:rsidP="0036416A">
            <w:pPr>
              <w:pStyle w:val="NoSpacing"/>
            </w:pPr>
            <w:r>
              <w:tab/>
              <w:t>f may take on various functions’ forms, such as: mean, median and 4th quintile</w:t>
            </w:r>
          </w:p>
          <w:p w14:paraId="3F45A65F" w14:textId="77777777" w:rsidR="0036416A" w:rsidRDefault="0036416A" w:rsidP="0036416A">
            <w:pPr>
              <w:pStyle w:val="NoSpacing"/>
            </w:pPr>
            <w:r>
              <w:tab/>
              <w:t>Ck = is the recruitment costs paid by individual migrant worker k;</w:t>
            </w:r>
          </w:p>
          <w:p w14:paraId="6E0C689F" w14:textId="77777777" w:rsidR="0036416A" w:rsidRDefault="0036416A" w:rsidP="0036416A">
            <w:pPr>
              <w:pStyle w:val="NoSpacing"/>
            </w:pPr>
            <w:r>
              <w:tab/>
              <w:t>Ek = is the monthly earnings of the same migrant worker k.</w:t>
            </w:r>
          </w:p>
        </w:tc>
        <w:tc>
          <w:tcPr>
            <w:tcW w:w="0" w:type="auto"/>
          </w:tcPr>
          <w:p w14:paraId="6D167AFE" w14:textId="77777777" w:rsidR="0036416A" w:rsidRDefault="0036416A" w:rsidP="0036416A">
            <w:pPr>
              <w:pStyle w:val="NoSpacing"/>
            </w:pPr>
            <w:r>
              <w:lastRenderedPageBreak/>
              <w:t>Survey</w:t>
            </w:r>
          </w:p>
        </w:tc>
        <w:tc>
          <w:tcPr>
            <w:tcW w:w="0" w:type="auto"/>
          </w:tcPr>
          <w:p w14:paraId="12795D62" w14:textId="77777777" w:rsidR="0036416A" w:rsidRDefault="0036416A" w:rsidP="0036416A">
            <w:pPr>
              <w:pStyle w:val="NoSpacing"/>
            </w:pPr>
            <w:r>
              <w:t>National Statistical Offices (NSOs).</w:t>
            </w:r>
          </w:p>
          <w:p w14:paraId="55003CDC" w14:textId="77777777" w:rsidR="0036416A" w:rsidRPr="00B424AE" w:rsidRDefault="0036416A" w:rsidP="0036416A">
            <w:pPr>
              <w:pStyle w:val="NoSpacing"/>
            </w:pPr>
          </w:p>
        </w:tc>
        <w:tc>
          <w:tcPr>
            <w:tcW w:w="0" w:type="auto"/>
          </w:tcPr>
          <w:p w14:paraId="48DFE569" w14:textId="7E5A57D7" w:rsidR="0036416A" w:rsidRDefault="0036416A" w:rsidP="0036416A">
            <w:pPr>
              <w:pStyle w:val="NoSpacing"/>
            </w:pPr>
          </w:p>
          <w:p w14:paraId="5070C9AE" w14:textId="6B7238F9" w:rsidR="0036416A" w:rsidRDefault="0036416A" w:rsidP="0036416A">
            <w:pPr>
              <w:pStyle w:val="NoSpacing"/>
              <w:rPr>
                <w:color w:val="0070C0"/>
                <w:sz w:val="30"/>
                <w:szCs w:val="30"/>
              </w:rPr>
            </w:pPr>
          </w:p>
        </w:tc>
        <w:tc>
          <w:tcPr>
            <w:tcW w:w="0" w:type="auto"/>
          </w:tcPr>
          <w:p w14:paraId="11F5FE91" w14:textId="77777777" w:rsidR="0036416A" w:rsidRDefault="0036416A" w:rsidP="0036416A">
            <w:pPr>
              <w:pStyle w:val="NoSpacing"/>
            </w:pPr>
            <w:r>
              <w:t xml:space="preserve">CMS, </w:t>
            </w:r>
            <w:r w:rsidRPr="00A45EB6">
              <w:t>BBS</w:t>
            </w:r>
          </w:p>
          <w:p w14:paraId="2533B8CD" w14:textId="77777777" w:rsidR="0036416A" w:rsidRDefault="0036416A" w:rsidP="0036416A">
            <w:pPr>
              <w:pStyle w:val="NoSpacing"/>
            </w:pPr>
          </w:p>
          <w:p w14:paraId="4C4545D2" w14:textId="77777777" w:rsidR="0036416A" w:rsidRDefault="0036416A" w:rsidP="0036416A">
            <w:pPr>
              <w:pStyle w:val="NoSpacing"/>
              <w:rPr>
                <w:color w:val="0070C0"/>
                <w:sz w:val="30"/>
                <w:szCs w:val="30"/>
              </w:rPr>
            </w:pPr>
            <w:r w:rsidRPr="00A45EB6">
              <w:t>Cost of Migration Survey</w:t>
            </w:r>
          </w:p>
        </w:tc>
        <w:tc>
          <w:tcPr>
            <w:tcW w:w="0" w:type="auto"/>
          </w:tcPr>
          <w:p w14:paraId="18946FB8"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 Female</w:t>
            </w:r>
          </w:p>
          <w:p w14:paraId="118EA4F0"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Group: 15-24 yrs, 25-64 yrs, etc.</w:t>
            </w:r>
          </w:p>
          <w:p w14:paraId="285A3C6B"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Education Groups: General, Technical &amp; Vocational, Professional, etc.</w:t>
            </w:r>
          </w:p>
          <w:p w14:paraId="28CC9550"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Major Destination Countries: KSA, Malaysia, Kuet, Katar, </w:t>
            </w:r>
          </w:p>
          <w:p w14:paraId="4B88D9A1"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migration process: documented, undocumented migrant workers.</w:t>
            </w:r>
          </w:p>
          <w:p w14:paraId="5C11DED6"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Occupation/skill: high skilled/low skilled</w:t>
            </w:r>
          </w:p>
          <w:p w14:paraId="349EA06B"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Major occupational groups: High skilled occupations, low skilled </w:t>
            </w:r>
            <w:r>
              <w:rPr>
                <w:rFonts w:ascii="Tw Cen MT Condensed" w:hAnsi="Tw Cen MT Condensed"/>
                <w:sz w:val="20"/>
                <w:szCs w:val="20"/>
              </w:rPr>
              <w:lastRenderedPageBreak/>
              <w:t>occupations.</w:t>
            </w:r>
          </w:p>
          <w:p w14:paraId="447CF932"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Major industry: agriculture, construction, retail, and domestic work</w:t>
            </w:r>
          </w:p>
          <w:p w14:paraId="0970C238" w14:textId="77777777" w:rsidR="0036416A" w:rsidRDefault="0036416A" w:rsidP="0036416A">
            <w:pPr>
              <w:ind w:left="970" w:hanging="970"/>
              <w:jc w:val="both"/>
              <w:rPr>
                <w:color w:val="0070C0"/>
                <w:sz w:val="30"/>
                <w:szCs w:val="30"/>
              </w:rPr>
            </w:pPr>
          </w:p>
        </w:tc>
        <w:tc>
          <w:tcPr>
            <w:tcW w:w="0" w:type="auto"/>
          </w:tcPr>
          <w:p w14:paraId="45D783A8" w14:textId="77777777" w:rsidR="0036416A" w:rsidRDefault="0036416A" w:rsidP="0036416A">
            <w:pPr>
              <w:ind w:left="970" w:hanging="970"/>
              <w:jc w:val="both"/>
              <w:rPr>
                <w:color w:val="0070C0"/>
                <w:sz w:val="30"/>
                <w:szCs w:val="30"/>
              </w:rPr>
            </w:pPr>
            <w:r w:rsidRPr="00BC6F10">
              <w:lastRenderedPageBreak/>
              <w:t>Triennial</w:t>
            </w:r>
          </w:p>
        </w:tc>
        <w:tc>
          <w:tcPr>
            <w:tcW w:w="0" w:type="auto"/>
          </w:tcPr>
          <w:p w14:paraId="77E2AF67" w14:textId="77777777" w:rsidR="0036416A" w:rsidRDefault="0036416A" w:rsidP="0036416A">
            <w:pPr>
              <w:ind w:left="970" w:hanging="970"/>
              <w:jc w:val="both"/>
              <w:rPr>
                <w:color w:val="0070C0"/>
                <w:sz w:val="30"/>
                <w:szCs w:val="30"/>
              </w:rPr>
            </w:pPr>
            <w:r>
              <w:t>Group 2</w:t>
            </w:r>
          </w:p>
        </w:tc>
        <w:tc>
          <w:tcPr>
            <w:tcW w:w="0" w:type="auto"/>
          </w:tcPr>
          <w:p w14:paraId="0D15835B" w14:textId="77777777" w:rsidR="0036416A" w:rsidRDefault="0036416A" w:rsidP="0036416A">
            <w:pPr>
              <w:pStyle w:val="NoSpacing"/>
            </w:pPr>
            <w:r>
              <w:t>1</w:t>
            </w:r>
            <w:r w:rsidRPr="00013ACB">
              <w:rPr>
                <w:vertAlign w:val="superscript"/>
              </w:rPr>
              <w:t>st</w:t>
            </w:r>
            <w:r>
              <w:t xml:space="preserve"> Round: </w:t>
            </w:r>
          </w:p>
          <w:p w14:paraId="0D5CF960" w14:textId="77777777" w:rsidR="0036416A" w:rsidRDefault="0036416A" w:rsidP="0036416A">
            <w:pPr>
              <w:pStyle w:val="NoSpacing"/>
            </w:pPr>
            <w:r>
              <w:t>2016</w:t>
            </w:r>
          </w:p>
          <w:p w14:paraId="42D79E02" w14:textId="77777777" w:rsidR="0036416A" w:rsidRDefault="0036416A" w:rsidP="0036416A">
            <w:pPr>
              <w:pStyle w:val="NoSpacing"/>
            </w:pPr>
            <w:r>
              <w:t>2</w:t>
            </w:r>
            <w:r w:rsidRPr="00013ACB">
              <w:rPr>
                <w:vertAlign w:val="superscript"/>
              </w:rPr>
              <w:t>nd</w:t>
            </w:r>
            <w:r>
              <w:t xml:space="preserve"> Round: </w:t>
            </w:r>
          </w:p>
          <w:p w14:paraId="64D58D2A" w14:textId="77777777" w:rsidR="0036416A" w:rsidRDefault="0036416A" w:rsidP="0036416A">
            <w:pPr>
              <w:pStyle w:val="NoSpacing"/>
            </w:pPr>
            <w:r w:rsidRPr="008A10A8">
              <w:t>July, 2020</w:t>
            </w:r>
          </w:p>
          <w:p w14:paraId="6F95674F" w14:textId="77777777" w:rsidR="0036416A" w:rsidRDefault="0036416A" w:rsidP="0036416A">
            <w:pPr>
              <w:pStyle w:val="NoSpacing"/>
            </w:pPr>
          </w:p>
          <w:p w14:paraId="51A946D9" w14:textId="77777777" w:rsidR="0036416A" w:rsidRDefault="0036416A" w:rsidP="0036416A">
            <w:pPr>
              <w:pStyle w:val="NoSpacing"/>
            </w:pPr>
            <w:r>
              <w:t>3</w:t>
            </w:r>
            <w:r w:rsidRPr="00013ACB">
              <w:rPr>
                <w:vertAlign w:val="superscript"/>
              </w:rPr>
              <w:t>rd</w:t>
            </w:r>
            <w:r>
              <w:t xml:space="preserve"> Round: </w:t>
            </w:r>
          </w:p>
          <w:p w14:paraId="660FC421" w14:textId="77777777" w:rsidR="0036416A" w:rsidRDefault="0036416A" w:rsidP="0036416A">
            <w:pPr>
              <w:pStyle w:val="NoSpacing"/>
            </w:pPr>
            <w:r>
              <w:t>July, 2023</w:t>
            </w:r>
          </w:p>
          <w:p w14:paraId="05E402E7" w14:textId="77777777" w:rsidR="0036416A" w:rsidRDefault="0036416A" w:rsidP="0036416A">
            <w:pPr>
              <w:pStyle w:val="NoSpacing"/>
            </w:pPr>
          </w:p>
          <w:p w14:paraId="17501463" w14:textId="77777777" w:rsidR="0036416A" w:rsidRDefault="0036416A" w:rsidP="0036416A">
            <w:pPr>
              <w:pStyle w:val="NoSpacing"/>
            </w:pPr>
            <w:r>
              <w:t>4</w:t>
            </w:r>
            <w:r w:rsidRPr="00013ACB">
              <w:rPr>
                <w:vertAlign w:val="superscript"/>
              </w:rPr>
              <w:t>th</w:t>
            </w:r>
            <w:r>
              <w:t xml:space="preserve"> Round: </w:t>
            </w:r>
          </w:p>
          <w:p w14:paraId="762AE3D7" w14:textId="77777777" w:rsidR="0036416A" w:rsidRDefault="0036416A" w:rsidP="0036416A">
            <w:pPr>
              <w:pStyle w:val="NoSpacing"/>
            </w:pPr>
            <w:r>
              <w:t>July, 2026</w:t>
            </w:r>
          </w:p>
          <w:p w14:paraId="6673B30D" w14:textId="77777777" w:rsidR="0036416A" w:rsidRDefault="0036416A" w:rsidP="0036416A">
            <w:pPr>
              <w:pStyle w:val="NoSpacing"/>
            </w:pPr>
          </w:p>
          <w:p w14:paraId="7FA8F4FA" w14:textId="77777777" w:rsidR="0036416A" w:rsidRDefault="0036416A" w:rsidP="0036416A">
            <w:pPr>
              <w:pStyle w:val="NoSpacing"/>
            </w:pPr>
            <w:r>
              <w:t>5</w:t>
            </w:r>
            <w:r w:rsidRPr="00013ACB">
              <w:rPr>
                <w:vertAlign w:val="superscript"/>
              </w:rPr>
              <w:t>th</w:t>
            </w:r>
            <w:r>
              <w:t xml:space="preserve"> Round: </w:t>
            </w:r>
          </w:p>
          <w:p w14:paraId="0FCB134F" w14:textId="77777777" w:rsidR="0036416A" w:rsidRDefault="0036416A" w:rsidP="0036416A">
            <w:pPr>
              <w:pStyle w:val="NoSpacing"/>
            </w:pPr>
            <w:r>
              <w:t>July, 2029</w:t>
            </w:r>
          </w:p>
          <w:p w14:paraId="4E6FE76C" w14:textId="6AE8C691" w:rsidR="0036416A" w:rsidRDefault="0036416A" w:rsidP="0036416A">
            <w:pPr>
              <w:pStyle w:val="NoSpacing"/>
            </w:pPr>
          </w:p>
        </w:tc>
        <w:tc>
          <w:tcPr>
            <w:tcW w:w="0" w:type="auto"/>
          </w:tcPr>
          <w:p w14:paraId="360DEE61" w14:textId="77777777" w:rsidR="0036416A" w:rsidRDefault="0036416A" w:rsidP="0036416A">
            <w:pPr>
              <w:pStyle w:val="NoSpacing"/>
            </w:pPr>
            <w:r>
              <w:t>Data should be provided as per metadata</w:t>
            </w:r>
          </w:p>
          <w:p w14:paraId="4F7ED867" w14:textId="77777777" w:rsidR="0036416A" w:rsidRDefault="0036416A" w:rsidP="0036416A">
            <w:pPr>
              <w:pStyle w:val="NoSpacing"/>
            </w:pPr>
          </w:p>
          <w:p w14:paraId="5040C71A" w14:textId="77777777" w:rsidR="0036416A" w:rsidRPr="00B950AC" w:rsidRDefault="0036416A" w:rsidP="0036416A">
            <w:pPr>
              <w:pStyle w:val="NoSpacing"/>
            </w:pPr>
            <w:r w:rsidRPr="00B950AC">
              <w:t>UNSC 50 refinement; Reviewed at 8th IAEG-SDG meeting (classified as Tier II)</w:t>
            </w:r>
          </w:p>
        </w:tc>
      </w:tr>
      <w:tr w:rsidR="0036416A" w14:paraId="36BD7E2F" w14:textId="77777777" w:rsidTr="00A64F0D">
        <w:tc>
          <w:tcPr>
            <w:tcW w:w="0" w:type="auto"/>
          </w:tcPr>
          <w:p w14:paraId="3B0C472B" w14:textId="77777777" w:rsidR="0036416A" w:rsidRPr="003E7D26" w:rsidRDefault="0036416A" w:rsidP="0036416A">
            <w:pPr>
              <w:pStyle w:val="NoSpacing"/>
            </w:pPr>
            <w:r w:rsidRPr="003E7D26">
              <w:lastRenderedPageBreak/>
              <w:t>10.7.2 Number of countries with migration policies that facilitate orderly, safe, regular and responsible migration and mobility of people</w:t>
            </w:r>
          </w:p>
        </w:tc>
        <w:tc>
          <w:tcPr>
            <w:tcW w:w="0" w:type="auto"/>
          </w:tcPr>
          <w:p w14:paraId="611301B4" w14:textId="77777777" w:rsidR="0036416A" w:rsidRDefault="0036416A" w:rsidP="0036416A">
            <w:pPr>
              <w:pStyle w:val="NoSpacing"/>
            </w:pPr>
            <w:r>
              <w:t>DESA Population Division,</w:t>
            </w:r>
          </w:p>
          <w:p w14:paraId="3135425D" w14:textId="77777777" w:rsidR="0036416A" w:rsidRDefault="0036416A" w:rsidP="0036416A">
            <w:pPr>
              <w:pStyle w:val="NoSpacing"/>
            </w:pPr>
            <w:r>
              <w:t>IOM</w:t>
            </w:r>
          </w:p>
          <w:p w14:paraId="633FB9CF" w14:textId="77777777" w:rsidR="0036416A" w:rsidRDefault="0036416A" w:rsidP="0036416A">
            <w:pPr>
              <w:rPr>
                <w:b/>
                <w:bCs/>
                <w:szCs w:val="20"/>
              </w:rPr>
            </w:pPr>
            <w:r w:rsidRPr="007243FC">
              <w:rPr>
                <w:b/>
                <w:bCs/>
                <w:szCs w:val="20"/>
              </w:rPr>
              <w:t>Partner Agencies:</w:t>
            </w:r>
          </w:p>
          <w:p w14:paraId="1EC813BE" w14:textId="77777777" w:rsidR="0036416A" w:rsidRDefault="0036416A" w:rsidP="0036416A">
            <w:pPr>
              <w:pStyle w:val="NoSpacing"/>
            </w:pPr>
            <w:r>
              <w:t xml:space="preserve">World Bank, </w:t>
            </w:r>
          </w:p>
          <w:p w14:paraId="7CAA15D2" w14:textId="77777777" w:rsidR="0036416A" w:rsidRDefault="0036416A" w:rsidP="0036416A">
            <w:pPr>
              <w:pStyle w:val="NoSpacing"/>
            </w:pPr>
            <w:r>
              <w:t>Global Migration Group,</w:t>
            </w:r>
          </w:p>
          <w:p w14:paraId="2414032A" w14:textId="77777777" w:rsidR="0036416A" w:rsidRDefault="0036416A" w:rsidP="0036416A">
            <w:pPr>
              <w:pStyle w:val="NoSpacing"/>
            </w:pPr>
            <w:r>
              <w:t>UNHCR,</w:t>
            </w:r>
          </w:p>
          <w:p w14:paraId="2ECA2F10" w14:textId="77777777" w:rsidR="0036416A" w:rsidRDefault="0036416A" w:rsidP="0036416A">
            <w:pPr>
              <w:pStyle w:val="NoSpacing"/>
            </w:pPr>
            <w:r>
              <w:t>UNODC,</w:t>
            </w:r>
          </w:p>
          <w:p w14:paraId="1D7C3342" w14:textId="77777777" w:rsidR="0036416A" w:rsidRDefault="0036416A" w:rsidP="0036416A">
            <w:pPr>
              <w:pStyle w:val="NoSpacing"/>
            </w:pPr>
            <w:r>
              <w:t>OECD</w:t>
            </w:r>
          </w:p>
        </w:tc>
        <w:tc>
          <w:tcPr>
            <w:tcW w:w="0" w:type="auto"/>
          </w:tcPr>
          <w:p w14:paraId="40C73887" w14:textId="77777777" w:rsidR="0036416A" w:rsidRDefault="0036416A" w:rsidP="0036416A">
            <w:pPr>
              <w:ind w:left="970" w:hanging="970"/>
              <w:jc w:val="both"/>
              <w:rPr>
                <w:color w:val="0070C0"/>
                <w:sz w:val="30"/>
                <w:szCs w:val="30"/>
              </w:rPr>
            </w:pPr>
            <w:r w:rsidRPr="00253629">
              <w:t>Tier II</w:t>
            </w:r>
          </w:p>
        </w:tc>
        <w:tc>
          <w:tcPr>
            <w:tcW w:w="0" w:type="auto"/>
          </w:tcPr>
          <w:p w14:paraId="35D06CCF" w14:textId="77777777" w:rsidR="0036416A" w:rsidRPr="000D292B" w:rsidRDefault="0036416A" w:rsidP="0036416A">
            <w:pPr>
              <w:pStyle w:val="NoSpacing"/>
            </w:pPr>
            <w:r w:rsidRPr="000D292B">
              <w:t>Definition:</w:t>
            </w:r>
          </w:p>
          <w:p w14:paraId="17EB0BE8" w14:textId="77777777" w:rsidR="0036416A" w:rsidRPr="000D292B" w:rsidRDefault="0036416A" w:rsidP="0036416A">
            <w:pPr>
              <w:pStyle w:val="NoSpacing"/>
            </w:pPr>
            <w:bookmarkStart w:id="12" w:name="_Hlk524510552"/>
            <w:r w:rsidRPr="000D292B">
              <w:t xml:space="preserve">SDG Indicator 10.7.2 aims </w:t>
            </w:r>
            <w:r w:rsidRPr="00940CD4">
              <w:t xml:space="preserve">to </w:t>
            </w:r>
            <w:bookmarkStart w:id="13" w:name="_Hlk525904464"/>
            <w:r w:rsidRPr="00940CD4">
              <w:t>describe the state of national migration policies and how such policies change over time</w:t>
            </w:r>
            <w:bookmarkEnd w:id="13"/>
            <w:r w:rsidRPr="00940CD4">
              <w:t>. The informati</w:t>
            </w:r>
            <w:r w:rsidRPr="000D292B">
              <w:t xml:space="preserve">on collected seeks to identify both progress made and gaps, thus contributing to the evidence base for actionable recommendations for the implementation of SDG target 10.7. The indicator will also serve for the future thematic reviews at the High-level Political Forum on Sustainable Development (HLPF). </w:t>
            </w:r>
          </w:p>
          <w:p w14:paraId="2F347A6E" w14:textId="77777777" w:rsidR="0036416A" w:rsidRDefault="0036416A" w:rsidP="0036416A">
            <w:pPr>
              <w:pStyle w:val="NoSpacing"/>
            </w:pPr>
          </w:p>
          <w:p w14:paraId="0B499BD1" w14:textId="77777777" w:rsidR="0036416A" w:rsidRPr="000D292B" w:rsidRDefault="0036416A" w:rsidP="0036416A">
            <w:pPr>
              <w:pStyle w:val="NoSpacing"/>
            </w:pPr>
            <w:r w:rsidRPr="000D292B">
              <w:t xml:space="preserve">The conceptual framework for indicator 10.7.2 is IOM´s </w:t>
            </w:r>
            <w:bookmarkStart w:id="14" w:name="_Hlk524596382"/>
            <w:r w:rsidRPr="000D292B">
              <w:t>Migration Governance Framework (MiGOF)</w:t>
            </w:r>
            <w:bookmarkEnd w:id="14"/>
            <w:r w:rsidRPr="000D292B">
              <w:t xml:space="preserve">, which was welcomed by 157 countries (IOM Council Resolution C/106/RES/1310). </w:t>
            </w:r>
            <w:bookmarkEnd w:id="12"/>
            <w:r w:rsidRPr="000D292B">
              <w:t xml:space="preserve">The MiGOF has three principles and three objectives (figure 1). </w:t>
            </w:r>
          </w:p>
          <w:p w14:paraId="21EB49D7" w14:textId="77777777" w:rsidR="0036416A" w:rsidRDefault="0036416A" w:rsidP="0036416A">
            <w:pPr>
              <w:pStyle w:val="MSubHeader"/>
            </w:pPr>
          </w:p>
          <w:p w14:paraId="5A7C7753" w14:textId="77777777" w:rsidR="0036416A" w:rsidRDefault="0036416A" w:rsidP="0036416A">
            <w:pPr>
              <w:pStyle w:val="NoSpacing"/>
            </w:pPr>
            <w:r>
              <w:t>Figure</w:t>
            </w:r>
            <w:r w:rsidRPr="006928C7">
              <w:t xml:space="preserve"> 1. </w:t>
            </w:r>
            <w:r>
              <w:t>P</w:t>
            </w:r>
            <w:r w:rsidRPr="00C30A82">
              <w:t>rinciples</w:t>
            </w:r>
            <w:r w:rsidRPr="006928C7">
              <w:t xml:space="preserve"> </w:t>
            </w:r>
            <w:r w:rsidRPr="00C30A82">
              <w:t xml:space="preserve">and objectives </w:t>
            </w:r>
            <w:r>
              <w:t>of the</w:t>
            </w:r>
            <w:r w:rsidRPr="00C30A82">
              <w:t xml:space="preserve"> </w:t>
            </w:r>
            <w:r>
              <w:t>Migration Governance Framework</w:t>
            </w:r>
          </w:p>
          <w:p w14:paraId="73FA8A29" w14:textId="77777777" w:rsidR="0036416A" w:rsidRDefault="0036416A" w:rsidP="0036416A">
            <w:pPr>
              <w:shd w:val="clear" w:color="auto" w:fill="FFFFFF"/>
              <w:jc w:val="center"/>
              <w:rPr>
                <w:rFonts w:eastAsia="Times New Roman" w:cs="Times New Roman"/>
                <w:color w:val="4A4A4A"/>
                <w:sz w:val="21"/>
                <w:szCs w:val="21"/>
                <w:lang w:eastAsia="en-GB"/>
              </w:rPr>
            </w:pPr>
          </w:p>
          <w:p w14:paraId="6D932D05" w14:textId="77777777" w:rsidR="0036416A" w:rsidRDefault="0036416A" w:rsidP="0036416A">
            <w:pPr>
              <w:shd w:val="clear" w:color="auto" w:fill="FFFFFF"/>
              <w:rPr>
                <w:rFonts w:eastAsia="Times New Roman" w:cs="Times New Roman"/>
                <w:color w:val="4A4A4A"/>
                <w:sz w:val="21"/>
                <w:szCs w:val="21"/>
                <w:lang w:eastAsia="en-GB"/>
              </w:rPr>
            </w:pPr>
          </w:p>
          <w:p w14:paraId="423308D6" w14:textId="77777777" w:rsidR="0036416A" w:rsidRDefault="0036416A" w:rsidP="0036416A">
            <w:pPr>
              <w:shd w:val="clear" w:color="auto" w:fill="FFFFFF"/>
              <w:rPr>
                <w:rFonts w:eastAsia="Times New Roman" w:cs="Times New Roman"/>
                <w:color w:val="4A4A4A"/>
                <w:sz w:val="21"/>
                <w:szCs w:val="21"/>
                <w:lang w:eastAsia="en-GB"/>
              </w:rPr>
            </w:pPr>
          </w:p>
          <w:p w14:paraId="3AE6C280" w14:textId="77777777" w:rsidR="0036416A" w:rsidRDefault="0036416A" w:rsidP="0036416A">
            <w:pPr>
              <w:shd w:val="clear" w:color="auto" w:fill="FFFFFF"/>
              <w:rPr>
                <w:rFonts w:eastAsia="Times New Roman" w:cs="Times New Roman"/>
                <w:color w:val="4A4A4A"/>
                <w:sz w:val="21"/>
                <w:szCs w:val="21"/>
                <w:lang w:eastAsia="en-GB"/>
              </w:rPr>
            </w:pPr>
            <w:r>
              <w:rPr>
                <w:rFonts w:eastAsia="Times New Roman" w:cs="Times New Roman"/>
                <w:noProof/>
                <w:color w:val="4A4A4A"/>
                <w:sz w:val="21"/>
                <w:szCs w:val="21"/>
                <w:lang w:bidi="bn-BD"/>
              </w:rPr>
              <mc:AlternateContent>
                <mc:Choice Requires="wpg">
                  <w:drawing>
                    <wp:anchor distT="0" distB="0" distL="114300" distR="114300" simplePos="0" relativeHeight="251587072" behindDoc="0" locked="0" layoutInCell="1" allowOverlap="1" wp14:anchorId="592688C8" wp14:editId="76A12A08">
                      <wp:simplePos x="0" y="0"/>
                      <wp:positionH relativeFrom="margin">
                        <wp:posOffset>21231</wp:posOffset>
                      </wp:positionH>
                      <wp:positionV relativeFrom="paragraph">
                        <wp:posOffset>39536</wp:posOffset>
                      </wp:positionV>
                      <wp:extent cx="3927944" cy="1088720"/>
                      <wp:effectExtent l="0" t="0" r="0" b="0"/>
                      <wp:wrapNone/>
                      <wp:docPr id="12769" name="Group 127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27944" cy="1088720"/>
                                <a:chOff x="0" y="586899"/>
                                <a:chExt cx="5343812" cy="1480314"/>
                              </a:xfrm>
                            </wpg:grpSpPr>
                            <pic:pic xmlns:pic="http://schemas.openxmlformats.org/drawingml/2006/picture">
                              <pic:nvPicPr>
                                <pic:cNvPr id="12770" name="Picture 2"/>
                                <pic:cNvPicPr>
                                  <a:picLocks noChangeAspect="1"/>
                                </pic:cNvPicPr>
                              </pic:nvPicPr>
                              <pic:blipFill rotWithShape="1">
                                <a:blip r:embed="rId88" cstate="print">
                                  <a:duotone>
                                    <a:schemeClr val="accent1">
                                      <a:shade val="45000"/>
                                      <a:satMod val="135000"/>
                                    </a:schemeClr>
                                    <a:prstClr val="white"/>
                                  </a:duotone>
                                  <a:extLst>
                                    <a:ext uri="{28A0092B-C50C-407E-A947-70E740481C1C}">
                                      <a14:useLocalDpi xmlns:a14="http://schemas.microsoft.com/office/drawing/2010/main" val="0"/>
                                    </a:ext>
                                  </a:extLst>
                                </a:blip>
                                <a:srcRect l="-1" t="30438" r="50004" b="-2807"/>
                                <a:stretch/>
                              </pic:blipFill>
                              <pic:spPr bwMode="auto">
                                <a:xfrm>
                                  <a:off x="0" y="604194"/>
                                  <a:ext cx="2652222" cy="14630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771" name="Picture 2"/>
                                <pic:cNvPicPr>
                                  <a:picLocks noChangeAspect="1"/>
                                </pic:cNvPicPr>
                              </pic:nvPicPr>
                              <pic:blipFill rotWithShape="1">
                                <a:blip r:embed="rId89" cstate="print">
                                  <a:duotone>
                                    <a:schemeClr val="accent1">
                                      <a:shade val="45000"/>
                                      <a:satMod val="135000"/>
                                    </a:schemeClr>
                                    <a:prstClr val="white"/>
                                  </a:duotone>
                                  <a:extLst>
                                    <a:ext uri="{28A0092B-C50C-407E-A947-70E740481C1C}">
                                      <a14:useLocalDpi xmlns:a14="http://schemas.microsoft.com/office/drawing/2010/main" val="0"/>
                                    </a:ext>
                                  </a:extLst>
                                </a:blip>
                                <a:srcRect l="49996" t="29592" r="-833" b="-2825"/>
                                <a:stretch/>
                              </pic:blipFill>
                              <pic:spPr bwMode="auto">
                                <a:xfrm>
                                  <a:off x="2647778" y="586899"/>
                                  <a:ext cx="2696034" cy="1480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9F64FA" id="Group 12769" o:spid="_x0000_s1026" style="position:absolute;margin-left:1.65pt;margin-top:3.1pt;width:309.3pt;height:85.75pt;z-index:251587072;mso-position-horizontal-relative:margin;mso-width-relative:margin;mso-height-relative:margin" coordorigin=",5868" coordsize="53438,1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041;width:26522;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" fillcolor="#4f81bd [3204]" strokecolor="black [3213]">
                        <v:imagedata r:id="rId90" o:title="" croptop="19948f" cropbottom="-1840f" cropleft="-1f" cropright="32771f" recolortarget="#203957 [1444]"/>
                        <v:path arrowok="t"/>
                      </v:shape>
                      <v:shape id="Picture 2" o:spid="_x0000_s1028" type="#_x0000_t75" style="position:absolute;left:26477;top:5868;width:26961;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" fillcolor="#4f81bd [3204]" strokecolor="black [3213]">
                        <v:imagedata r:id="rId91" o:title="" croptop="19393f" cropbottom="-1851f" cropleft="32765f" cropright="-546f" recolortarget="#203957 [1444]"/>
                        <v:path arrowok="t"/>
                      </v:shape>
                      <w10:wrap anchorx="margin"/>
                    </v:group>
                  </w:pict>
                </mc:Fallback>
              </mc:AlternateContent>
            </w:r>
          </w:p>
          <w:p w14:paraId="41C06A4A" w14:textId="77777777" w:rsidR="0036416A" w:rsidRDefault="0036416A" w:rsidP="0036416A">
            <w:pPr>
              <w:shd w:val="clear" w:color="auto" w:fill="FFFFFF"/>
              <w:rPr>
                <w:rFonts w:eastAsia="Times New Roman" w:cs="Times New Roman"/>
                <w:color w:val="4A4A4A"/>
                <w:sz w:val="21"/>
                <w:szCs w:val="21"/>
                <w:lang w:eastAsia="en-GB"/>
              </w:rPr>
            </w:pPr>
          </w:p>
          <w:p w14:paraId="0DBA5ECB" w14:textId="77777777" w:rsidR="0036416A" w:rsidRDefault="0036416A" w:rsidP="0036416A">
            <w:pPr>
              <w:shd w:val="clear" w:color="auto" w:fill="FFFFFF"/>
              <w:rPr>
                <w:rFonts w:eastAsia="Times New Roman" w:cs="Times New Roman"/>
                <w:color w:val="4A4A4A"/>
                <w:sz w:val="21"/>
                <w:szCs w:val="21"/>
                <w:lang w:eastAsia="en-GB"/>
              </w:rPr>
            </w:pPr>
          </w:p>
          <w:p w14:paraId="41D35748" w14:textId="77777777" w:rsidR="0036416A" w:rsidRDefault="0036416A" w:rsidP="0036416A">
            <w:pPr>
              <w:shd w:val="clear" w:color="auto" w:fill="FFFFFF"/>
              <w:rPr>
                <w:rFonts w:eastAsia="Times New Roman" w:cs="Times New Roman"/>
                <w:color w:val="4A4A4A"/>
                <w:sz w:val="21"/>
                <w:szCs w:val="21"/>
                <w:lang w:eastAsia="en-GB"/>
              </w:rPr>
            </w:pPr>
          </w:p>
          <w:p w14:paraId="63C82E36" w14:textId="77777777" w:rsidR="0036416A" w:rsidRPr="000D292B" w:rsidRDefault="0036416A" w:rsidP="0036416A">
            <w:pPr>
              <w:pStyle w:val="MText"/>
            </w:pPr>
          </w:p>
          <w:p w14:paraId="11A1AB48" w14:textId="77777777" w:rsidR="0036416A" w:rsidRDefault="0036416A" w:rsidP="0036416A">
            <w:pPr>
              <w:pStyle w:val="NoSpacing"/>
            </w:pPr>
          </w:p>
          <w:p w14:paraId="02349E96" w14:textId="77777777" w:rsidR="0036416A" w:rsidRDefault="0036416A" w:rsidP="0036416A">
            <w:pPr>
              <w:pStyle w:val="NoSpacing"/>
            </w:pPr>
          </w:p>
          <w:p w14:paraId="37B48129" w14:textId="77777777" w:rsidR="0036416A" w:rsidRDefault="0036416A" w:rsidP="0036416A">
            <w:pPr>
              <w:pStyle w:val="NoSpacing"/>
            </w:pPr>
          </w:p>
          <w:p w14:paraId="22CBE33B" w14:textId="77777777" w:rsidR="0036416A" w:rsidRPr="000D292B" w:rsidRDefault="0036416A" w:rsidP="0036416A">
            <w:pPr>
              <w:pStyle w:val="NoSpacing"/>
            </w:pPr>
            <w:r w:rsidRPr="000D292B">
              <w:t xml:space="preserve">The three principles propose the necessary conditions for migration to be well-managed by creating a more effective environment for maximized results for migration to be beneficial to all. These represent the means through which a State will ensure that the systemic requirements for good migration governance are in place. </w:t>
            </w:r>
          </w:p>
          <w:p w14:paraId="02D9170B" w14:textId="77777777" w:rsidR="0036416A" w:rsidRPr="000D292B" w:rsidRDefault="0036416A" w:rsidP="0036416A">
            <w:pPr>
              <w:pStyle w:val="NoSpacing"/>
            </w:pPr>
          </w:p>
          <w:p w14:paraId="5D55B4D8" w14:textId="77777777" w:rsidR="0036416A" w:rsidRPr="000D292B" w:rsidRDefault="0036416A" w:rsidP="0036416A">
            <w:pPr>
              <w:pStyle w:val="NoSpacing"/>
            </w:pPr>
            <w:r w:rsidRPr="000D292B">
              <w:t xml:space="preserve">The three objectives are specific and do not require any further conventions, laws or practices than the ones that are already existing. Taken together, these objectives ensure that migration is governed in an integrated and holistic way, responding </w:t>
            </w:r>
            <w:r w:rsidRPr="00940CD4">
              <w:t>to the need to consider mobile</w:t>
            </w:r>
            <w:r>
              <w:t xml:space="preserve"> </w:t>
            </w:r>
            <w:r w:rsidRPr="00940CD4">
              <w:t xml:space="preserve">categories of people and </w:t>
            </w:r>
            <w:r w:rsidRPr="000D292B">
              <w:t>address their needs for assistance in the event of an emergency, building resilience of individuals and communities, as well as ensuring opportunities for the economic and social health of the State.</w:t>
            </w:r>
          </w:p>
          <w:p w14:paraId="3C07B6FC" w14:textId="77777777" w:rsidR="0036416A" w:rsidRPr="000D292B" w:rsidRDefault="0036416A" w:rsidP="0036416A">
            <w:pPr>
              <w:pStyle w:val="MText"/>
            </w:pPr>
          </w:p>
          <w:p w14:paraId="0F03BD56" w14:textId="77777777" w:rsidR="0036416A" w:rsidRDefault="0036416A" w:rsidP="0036416A">
            <w:pPr>
              <w:pStyle w:val="NoSpacing"/>
            </w:pPr>
            <w:r w:rsidRPr="000D292B">
              <w:t xml:space="preserve">In line with the MiGOF, the proposed methodology for SDG indicator 10.7.2 is comprised of six policy domains, with one proxy measure for each domain (table 1). </w:t>
            </w:r>
          </w:p>
          <w:p w14:paraId="1D835347" w14:textId="77777777" w:rsidR="0036416A" w:rsidRPr="000D292B" w:rsidRDefault="0036416A" w:rsidP="0036416A">
            <w:pPr>
              <w:pStyle w:val="NoSpacing"/>
            </w:pPr>
          </w:p>
          <w:p w14:paraId="521E85C3" w14:textId="77777777" w:rsidR="0036416A" w:rsidRPr="0076247A" w:rsidRDefault="0036416A" w:rsidP="0036416A">
            <w:r w:rsidRPr="006928C7">
              <w:t xml:space="preserve">Table 1. </w:t>
            </w:r>
            <w:r>
              <w:t>D</w:t>
            </w:r>
            <w:r w:rsidRPr="006928C7">
              <w:t>omains and proxy measures for SDG indicator 10.7.2</w:t>
            </w:r>
          </w:p>
          <w:tbl>
            <w:tblPr>
              <w:tblW w:w="9080" w:type="dxa"/>
              <w:tblCellMar>
                <w:left w:w="0" w:type="dxa"/>
                <w:right w:w="0" w:type="dxa"/>
              </w:tblCellMar>
              <w:tblLook w:val="0600" w:firstRow="0" w:lastRow="0" w:firstColumn="0" w:lastColumn="0" w:noHBand="1" w:noVBand="1"/>
            </w:tblPr>
            <w:tblGrid>
              <w:gridCol w:w="440"/>
              <w:gridCol w:w="1078"/>
              <w:gridCol w:w="7562"/>
            </w:tblGrid>
            <w:tr w:rsidR="0036416A" w:rsidRPr="00B97181" w14:paraId="69FE28DF" w14:textId="77777777" w:rsidTr="00A64F0D">
              <w:trPr>
                <w:trHeight w:val="16"/>
              </w:trPr>
              <w:tc>
                <w:tcPr>
                  <w:tcW w:w="440" w:type="dxa"/>
                  <w:tcBorders>
                    <w:top w:val="single" w:sz="8" w:space="0" w:color="FFFFFF"/>
                    <w:left w:val="single" w:sz="8" w:space="0" w:color="FFFFFF"/>
                    <w:bottom w:val="single" w:sz="24" w:space="0" w:color="FFFFFF"/>
                    <w:right w:val="single" w:sz="8" w:space="0" w:color="FFFFFF"/>
                  </w:tcBorders>
                  <w:shd w:val="clear" w:color="auto" w:fill="4478B6"/>
                </w:tcPr>
                <w:p w14:paraId="77FE61CD" w14:textId="77777777" w:rsidR="0036416A" w:rsidRPr="00B97181" w:rsidRDefault="0036416A" w:rsidP="0036416A">
                  <w:pPr>
                    <w:jc w:val="center"/>
                    <w:rPr>
                      <w:b/>
                      <w:bCs/>
                      <w:color w:val="FFFFFF" w:themeColor="background1"/>
                      <w:szCs w:val="20"/>
                    </w:rPr>
                  </w:pPr>
                </w:p>
              </w:tc>
              <w:tc>
                <w:tcPr>
                  <w:tcW w:w="1078" w:type="dxa"/>
                  <w:tcBorders>
                    <w:top w:val="single" w:sz="8" w:space="0" w:color="FFFFFF"/>
                    <w:left w:val="single" w:sz="8" w:space="0" w:color="FFFFFF"/>
                    <w:bottom w:val="single" w:sz="24" w:space="0" w:color="FFFFFF"/>
                    <w:right w:val="single" w:sz="8" w:space="0" w:color="FFFFFF"/>
                  </w:tcBorders>
                  <w:shd w:val="clear" w:color="auto" w:fill="4478B6"/>
                </w:tcPr>
                <w:p w14:paraId="74FAFF1D" w14:textId="77777777" w:rsidR="0036416A" w:rsidRPr="00B97181" w:rsidRDefault="0036416A" w:rsidP="0036416A">
                  <w:pPr>
                    <w:jc w:val="center"/>
                    <w:rPr>
                      <w:b/>
                      <w:bCs/>
                      <w:color w:val="FFFFFF" w:themeColor="background1"/>
                      <w:szCs w:val="20"/>
                    </w:rPr>
                  </w:pPr>
                  <w:r w:rsidRPr="00B97181">
                    <w:rPr>
                      <w:b/>
                      <w:bCs/>
                      <w:color w:val="FFFFFF" w:themeColor="background1"/>
                      <w:szCs w:val="20"/>
                    </w:rPr>
                    <w:t>Domain</w:t>
                  </w:r>
                </w:p>
              </w:tc>
              <w:tc>
                <w:tcPr>
                  <w:tcW w:w="7562" w:type="dxa"/>
                  <w:tcBorders>
                    <w:top w:val="single" w:sz="8" w:space="0" w:color="FFFFFF"/>
                    <w:left w:val="single" w:sz="8" w:space="0" w:color="FFFFFF"/>
                    <w:bottom w:val="single" w:sz="24" w:space="0" w:color="FFFFFF"/>
                    <w:right w:val="single" w:sz="8" w:space="0" w:color="FFFFFF"/>
                  </w:tcBorders>
                  <w:shd w:val="clear" w:color="auto" w:fill="4478B6"/>
                </w:tcPr>
                <w:p w14:paraId="5C19EF4C" w14:textId="77777777" w:rsidR="0036416A" w:rsidRPr="00B97181" w:rsidRDefault="0036416A" w:rsidP="0036416A">
                  <w:pPr>
                    <w:jc w:val="center"/>
                    <w:rPr>
                      <w:b/>
                      <w:bCs/>
                      <w:color w:val="FFFFFF" w:themeColor="background1"/>
                      <w:szCs w:val="20"/>
                    </w:rPr>
                  </w:pPr>
                  <w:r w:rsidRPr="00B97181">
                    <w:rPr>
                      <w:b/>
                      <w:bCs/>
                      <w:color w:val="FFFFFF" w:themeColor="background1"/>
                      <w:szCs w:val="20"/>
                    </w:rPr>
                    <w:t>Proxy measure</w:t>
                  </w:r>
                </w:p>
              </w:tc>
            </w:tr>
            <w:tr w:rsidR="0036416A" w:rsidRPr="006928C7" w14:paraId="621043E0" w14:textId="77777777" w:rsidTr="00A64F0D">
              <w:trPr>
                <w:trHeight w:val="20"/>
              </w:trPr>
              <w:tc>
                <w:tcPr>
                  <w:tcW w:w="440" w:type="dxa"/>
                  <w:tcBorders>
                    <w:top w:val="single" w:sz="24" w:space="0" w:color="FFFFFF"/>
                    <w:left w:val="single" w:sz="8" w:space="0" w:color="FFFFFF"/>
                    <w:bottom w:val="single" w:sz="8" w:space="0" w:color="FFFFFF"/>
                    <w:right w:val="single" w:sz="8" w:space="0" w:color="FFFFFF"/>
                  </w:tcBorders>
                  <w:shd w:val="clear" w:color="auto" w:fill="EAF6FC"/>
                </w:tcPr>
                <w:p w14:paraId="5672F34A" w14:textId="77777777" w:rsidR="0036416A" w:rsidRPr="006928C7" w:rsidRDefault="0036416A" w:rsidP="0036416A">
                  <w:pPr>
                    <w:rPr>
                      <w:szCs w:val="20"/>
                    </w:rPr>
                  </w:pPr>
                  <w:r w:rsidRPr="006928C7">
                    <w:rPr>
                      <w:szCs w:val="20"/>
                    </w:rPr>
                    <w:t>1.</w:t>
                  </w:r>
                </w:p>
              </w:tc>
              <w:tc>
                <w:tcPr>
                  <w:tcW w:w="1078" w:type="dxa"/>
                  <w:tcBorders>
                    <w:top w:val="single" w:sz="24" w:space="0" w:color="FFFFFF"/>
                    <w:left w:val="single" w:sz="8" w:space="0" w:color="FFFFFF"/>
                    <w:bottom w:val="single" w:sz="8" w:space="0" w:color="FFFFFF"/>
                    <w:right w:val="single" w:sz="8" w:space="0" w:color="FFFFFF"/>
                  </w:tcBorders>
                  <w:shd w:val="clear" w:color="auto" w:fill="EAF6FC"/>
                </w:tcPr>
                <w:p w14:paraId="12EC3687" w14:textId="77777777" w:rsidR="0036416A" w:rsidRPr="006928C7" w:rsidRDefault="0036416A" w:rsidP="0036416A">
                  <w:pPr>
                    <w:spacing w:after="120"/>
                    <w:rPr>
                      <w:szCs w:val="20"/>
                    </w:rPr>
                  </w:pPr>
                  <w:r w:rsidRPr="006928C7">
                    <w:rPr>
                      <w:szCs w:val="20"/>
                    </w:rPr>
                    <w:t>Migrant rights</w:t>
                  </w:r>
                </w:p>
              </w:tc>
              <w:tc>
                <w:tcPr>
                  <w:tcW w:w="7562" w:type="dxa"/>
                  <w:tcBorders>
                    <w:top w:val="single" w:sz="24" w:space="0" w:color="FFFFFF"/>
                    <w:left w:val="single" w:sz="8" w:space="0" w:color="FFFFFF"/>
                    <w:bottom w:val="single" w:sz="8" w:space="0" w:color="FFFFFF"/>
                    <w:right w:val="single" w:sz="8" w:space="0" w:color="FFFFFF"/>
                  </w:tcBorders>
                  <w:shd w:val="clear" w:color="auto" w:fill="EAF6FC"/>
                </w:tcPr>
                <w:p w14:paraId="0AF487F4" w14:textId="77777777" w:rsidR="0036416A" w:rsidRPr="006928C7" w:rsidRDefault="0036416A" w:rsidP="0036416A">
                  <w:pPr>
                    <w:spacing w:after="120"/>
                    <w:rPr>
                      <w:szCs w:val="20"/>
                    </w:rPr>
                  </w:pPr>
                  <w:r w:rsidRPr="008C1954">
                    <w:rPr>
                      <w:szCs w:val="20"/>
                    </w:rPr>
                    <w:t>Degree to which migrants have equity in access to services, including health care, education, decent work, social security and welfare benefits</w:t>
                  </w:r>
                </w:p>
              </w:tc>
            </w:tr>
            <w:tr w:rsidR="0036416A" w:rsidRPr="006928C7" w14:paraId="1FFBC6D8" w14:textId="77777777" w:rsidTr="00A64F0D">
              <w:trPr>
                <w:trHeight w:val="277"/>
              </w:trPr>
              <w:tc>
                <w:tcPr>
                  <w:tcW w:w="440" w:type="dxa"/>
                  <w:tcBorders>
                    <w:top w:val="single" w:sz="8" w:space="0" w:color="FFFFFF"/>
                    <w:left w:val="single" w:sz="8" w:space="0" w:color="FFFFFF"/>
                    <w:bottom w:val="single" w:sz="8" w:space="0" w:color="FFFFFF"/>
                    <w:right w:val="single" w:sz="8" w:space="0" w:color="FFFFFF"/>
                  </w:tcBorders>
                  <w:shd w:val="clear" w:color="auto" w:fill="DCE6F2"/>
                </w:tcPr>
                <w:p w14:paraId="2508D6F9" w14:textId="77777777" w:rsidR="0036416A" w:rsidRPr="006928C7" w:rsidRDefault="0036416A" w:rsidP="0036416A">
                  <w:pPr>
                    <w:rPr>
                      <w:szCs w:val="20"/>
                    </w:rPr>
                  </w:pPr>
                  <w:r w:rsidRPr="006928C7">
                    <w:rPr>
                      <w:szCs w:val="20"/>
                    </w:rPr>
                    <w:t>2.</w:t>
                  </w:r>
                </w:p>
              </w:tc>
              <w:tc>
                <w:tcPr>
                  <w:tcW w:w="1078" w:type="dxa"/>
                  <w:tcBorders>
                    <w:top w:val="single" w:sz="8" w:space="0" w:color="FFFFFF"/>
                    <w:left w:val="single" w:sz="8" w:space="0" w:color="FFFFFF"/>
                    <w:bottom w:val="single" w:sz="8" w:space="0" w:color="FFFFFF"/>
                    <w:right w:val="single" w:sz="8" w:space="0" w:color="FFFFFF"/>
                  </w:tcBorders>
                  <w:shd w:val="clear" w:color="auto" w:fill="DCE6F2"/>
                </w:tcPr>
                <w:p w14:paraId="5F2BC5D4" w14:textId="77777777" w:rsidR="0036416A" w:rsidRPr="006928C7" w:rsidRDefault="0036416A" w:rsidP="0036416A">
                  <w:pPr>
                    <w:spacing w:after="120"/>
                    <w:rPr>
                      <w:szCs w:val="20"/>
                    </w:rPr>
                  </w:pPr>
                  <w:r w:rsidRPr="006928C7">
                    <w:rPr>
                      <w:szCs w:val="20"/>
                    </w:rPr>
                    <w:t>Whole-of-government/ Evidence-based policies</w:t>
                  </w:r>
                </w:p>
              </w:tc>
              <w:tc>
                <w:tcPr>
                  <w:tcW w:w="7562" w:type="dxa"/>
                  <w:tcBorders>
                    <w:top w:val="single" w:sz="8" w:space="0" w:color="FFFFFF"/>
                    <w:left w:val="single" w:sz="8" w:space="0" w:color="FFFFFF"/>
                    <w:bottom w:val="single" w:sz="8" w:space="0" w:color="FFFFFF"/>
                    <w:right w:val="single" w:sz="8" w:space="0" w:color="FFFFFF"/>
                  </w:tcBorders>
                  <w:shd w:val="clear" w:color="auto" w:fill="DCE6F2"/>
                </w:tcPr>
                <w:p w14:paraId="2D5138C6" w14:textId="77777777" w:rsidR="0036416A" w:rsidRPr="006928C7" w:rsidRDefault="0036416A" w:rsidP="0036416A">
                  <w:pPr>
                    <w:spacing w:after="120"/>
                    <w:rPr>
                      <w:szCs w:val="20"/>
                    </w:rPr>
                  </w:pPr>
                  <w:r w:rsidRPr="00B97181">
                    <w:rPr>
                      <w:szCs w:val="20"/>
                    </w:rPr>
                    <w:t>Dedicated institutions, legal frameworks and policies or strategies to govern migration</w:t>
                  </w:r>
                </w:p>
              </w:tc>
            </w:tr>
            <w:tr w:rsidR="0036416A" w:rsidRPr="006928C7" w14:paraId="3A0D309E" w14:textId="77777777" w:rsidTr="00A64F0D">
              <w:trPr>
                <w:trHeight w:val="288"/>
              </w:trPr>
              <w:tc>
                <w:tcPr>
                  <w:tcW w:w="440" w:type="dxa"/>
                  <w:tcBorders>
                    <w:top w:val="single" w:sz="8" w:space="0" w:color="FFFFFF"/>
                    <w:left w:val="single" w:sz="8" w:space="0" w:color="FFFFFF"/>
                    <w:bottom w:val="single" w:sz="8" w:space="0" w:color="FFFFFF"/>
                    <w:right w:val="single" w:sz="8" w:space="0" w:color="FFFFFF"/>
                  </w:tcBorders>
                  <w:shd w:val="clear" w:color="auto" w:fill="EAF6FC"/>
                </w:tcPr>
                <w:p w14:paraId="190807D1" w14:textId="77777777" w:rsidR="0036416A" w:rsidRPr="006928C7" w:rsidRDefault="0036416A" w:rsidP="0036416A">
                  <w:pPr>
                    <w:rPr>
                      <w:szCs w:val="20"/>
                    </w:rPr>
                  </w:pPr>
                  <w:r w:rsidRPr="006928C7">
                    <w:rPr>
                      <w:szCs w:val="20"/>
                    </w:rPr>
                    <w:t>3.</w:t>
                  </w:r>
                </w:p>
              </w:tc>
              <w:tc>
                <w:tcPr>
                  <w:tcW w:w="1078" w:type="dxa"/>
                  <w:tcBorders>
                    <w:top w:val="single" w:sz="8" w:space="0" w:color="FFFFFF"/>
                    <w:left w:val="single" w:sz="8" w:space="0" w:color="FFFFFF"/>
                    <w:bottom w:val="single" w:sz="8" w:space="0" w:color="FFFFFF"/>
                    <w:right w:val="single" w:sz="8" w:space="0" w:color="FFFFFF"/>
                  </w:tcBorders>
                  <w:shd w:val="clear" w:color="auto" w:fill="EAF6FC"/>
                </w:tcPr>
                <w:p w14:paraId="64208B01" w14:textId="77777777" w:rsidR="0036416A" w:rsidRPr="006928C7" w:rsidRDefault="0036416A" w:rsidP="0036416A">
                  <w:pPr>
                    <w:spacing w:after="120"/>
                    <w:rPr>
                      <w:szCs w:val="20"/>
                    </w:rPr>
                  </w:pPr>
                  <w:r w:rsidRPr="006928C7">
                    <w:rPr>
                      <w:szCs w:val="20"/>
                    </w:rPr>
                    <w:t>Cooperation and partnerships</w:t>
                  </w:r>
                </w:p>
              </w:tc>
              <w:tc>
                <w:tcPr>
                  <w:tcW w:w="7562" w:type="dxa"/>
                  <w:tcBorders>
                    <w:top w:val="single" w:sz="8" w:space="0" w:color="FFFFFF"/>
                    <w:left w:val="single" w:sz="8" w:space="0" w:color="FFFFFF"/>
                    <w:bottom w:val="single" w:sz="8" w:space="0" w:color="FFFFFF"/>
                    <w:right w:val="single" w:sz="8" w:space="0" w:color="FFFFFF"/>
                  </w:tcBorders>
                  <w:shd w:val="clear" w:color="auto" w:fill="EAF6FC"/>
                </w:tcPr>
                <w:p w14:paraId="4F819A67" w14:textId="77777777" w:rsidR="0036416A" w:rsidRPr="006928C7" w:rsidRDefault="0036416A" w:rsidP="0036416A">
                  <w:pPr>
                    <w:spacing w:after="120"/>
                    <w:rPr>
                      <w:szCs w:val="20"/>
                    </w:rPr>
                  </w:pPr>
                  <w:r w:rsidRPr="008C1954">
                    <w:rPr>
                      <w:szCs w:val="20"/>
                    </w:rPr>
                    <w:t>Government measures to foster cooperation and encourage stakeholder inclusion and participation in migration policy</w:t>
                  </w:r>
                </w:p>
              </w:tc>
            </w:tr>
            <w:tr w:rsidR="0036416A" w:rsidRPr="006928C7" w14:paraId="6401C72E" w14:textId="77777777" w:rsidTr="00A64F0D">
              <w:trPr>
                <w:trHeight w:val="288"/>
              </w:trPr>
              <w:tc>
                <w:tcPr>
                  <w:tcW w:w="440" w:type="dxa"/>
                  <w:tcBorders>
                    <w:top w:val="single" w:sz="8" w:space="0" w:color="FFFFFF"/>
                    <w:left w:val="single" w:sz="8" w:space="0" w:color="FFFFFF"/>
                    <w:bottom w:val="single" w:sz="8" w:space="0" w:color="FFFFFF"/>
                    <w:right w:val="single" w:sz="8" w:space="0" w:color="FFFFFF"/>
                  </w:tcBorders>
                  <w:shd w:val="clear" w:color="auto" w:fill="DCE6F2"/>
                </w:tcPr>
                <w:p w14:paraId="270EF704" w14:textId="77777777" w:rsidR="0036416A" w:rsidRPr="006928C7" w:rsidRDefault="0036416A" w:rsidP="0036416A">
                  <w:pPr>
                    <w:rPr>
                      <w:szCs w:val="20"/>
                    </w:rPr>
                  </w:pPr>
                  <w:r w:rsidRPr="006928C7">
                    <w:rPr>
                      <w:szCs w:val="20"/>
                    </w:rPr>
                    <w:t>4.</w:t>
                  </w:r>
                </w:p>
              </w:tc>
              <w:tc>
                <w:tcPr>
                  <w:tcW w:w="1078" w:type="dxa"/>
                  <w:tcBorders>
                    <w:top w:val="single" w:sz="8" w:space="0" w:color="FFFFFF"/>
                    <w:left w:val="single" w:sz="8" w:space="0" w:color="FFFFFF"/>
                    <w:bottom w:val="single" w:sz="8" w:space="0" w:color="FFFFFF"/>
                    <w:right w:val="single" w:sz="8" w:space="0" w:color="FFFFFF"/>
                  </w:tcBorders>
                  <w:shd w:val="clear" w:color="auto" w:fill="DCE6F2"/>
                </w:tcPr>
                <w:p w14:paraId="04271139" w14:textId="77777777" w:rsidR="0036416A" w:rsidRPr="006928C7" w:rsidRDefault="0036416A" w:rsidP="0036416A">
                  <w:pPr>
                    <w:spacing w:after="120"/>
                    <w:rPr>
                      <w:szCs w:val="20"/>
                    </w:rPr>
                  </w:pPr>
                  <w:r w:rsidRPr="006928C7">
                    <w:rPr>
                      <w:szCs w:val="20"/>
                    </w:rPr>
                    <w:t>Socioeconomic well-being</w:t>
                  </w:r>
                </w:p>
              </w:tc>
              <w:tc>
                <w:tcPr>
                  <w:tcW w:w="7562" w:type="dxa"/>
                  <w:tcBorders>
                    <w:top w:val="single" w:sz="8" w:space="0" w:color="FFFFFF"/>
                    <w:left w:val="single" w:sz="8" w:space="0" w:color="FFFFFF"/>
                    <w:bottom w:val="single" w:sz="8" w:space="0" w:color="FFFFFF"/>
                    <w:right w:val="single" w:sz="8" w:space="0" w:color="FFFFFF"/>
                  </w:tcBorders>
                  <w:shd w:val="clear" w:color="auto" w:fill="DCE6F2"/>
                </w:tcPr>
                <w:p w14:paraId="69CC7718" w14:textId="77777777" w:rsidR="0036416A" w:rsidRPr="006928C7" w:rsidRDefault="0036416A" w:rsidP="0036416A">
                  <w:pPr>
                    <w:spacing w:after="120"/>
                    <w:rPr>
                      <w:szCs w:val="20"/>
                    </w:rPr>
                  </w:pPr>
                  <w:r w:rsidRPr="008C1954">
                    <w:rPr>
                      <w:szCs w:val="20"/>
                    </w:rPr>
                    <w:t>Government measures to maximize the positive development impact of migration and the socioeconomic well-being of migrants</w:t>
                  </w:r>
                </w:p>
              </w:tc>
            </w:tr>
            <w:tr w:rsidR="0036416A" w:rsidRPr="006928C7" w14:paraId="2EC741A4" w14:textId="77777777" w:rsidTr="00A64F0D">
              <w:trPr>
                <w:trHeight w:val="331"/>
              </w:trPr>
              <w:tc>
                <w:tcPr>
                  <w:tcW w:w="440" w:type="dxa"/>
                  <w:tcBorders>
                    <w:top w:val="single" w:sz="8" w:space="0" w:color="FFFFFF"/>
                    <w:left w:val="single" w:sz="8" w:space="0" w:color="FFFFFF"/>
                    <w:bottom w:val="single" w:sz="8" w:space="0" w:color="FFFFFF"/>
                    <w:right w:val="single" w:sz="8" w:space="0" w:color="FFFFFF"/>
                  </w:tcBorders>
                  <w:shd w:val="clear" w:color="auto" w:fill="EAF6FC"/>
                </w:tcPr>
                <w:p w14:paraId="33432C65" w14:textId="77777777" w:rsidR="0036416A" w:rsidRPr="006928C7" w:rsidRDefault="0036416A" w:rsidP="0036416A">
                  <w:pPr>
                    <w:rPr>
                      <w:szCs w:val="20"/>
                    </w:rPr>
                  </w:pPr>
                  <w:r w:rsidRPr="006928C7">
                    <w:rPr>
                      <w:szCs w:val="20"/>
                    </w:rPr>
                    <w:t>5.</w:t>
                  </w:r>
                </w:p>
              </w:tc>
              <w:tc>
                <w:tcPr>
                  <w:tcW w:w="1078" w:type="dxa"/>
                  <w:tcBorders>
                    <w:top w:val="single" w:sz="8" w:space="0" w:color="FFFFFF"/>
                    <w:left w:val="single" w:sz="8" w:space="0" w:color="FFFFFF"/>
                    <w:bottom w:val="single" w:sz="8" w:space="0" w:color="FFFFFF"/>
                    <w:right w:val="single" w:sz="8" w:space="0" w:color="FFFFFF"/>
                  </w:tcBorders>
                  <w:shd w:val="clear" w:color="auto" w:fill="EAF6FC"/>
                </w:tcPr>
                <w:p w14:paraId="330ADBC2" w14:textId="77777777" w:rsidR="0036416A" w:rsidRPr="006928C7" w:rsidRDefault="0036416A" w:rsidP="0036416A">
                  <w:pPr>
                    <w:spacing w:after="120"/>
                    <w:rPr>
                      <w:szCs w:val="20"/>
                    </w:rPr>
                  </w:pPr>
                  <w:r w:rsidRPr="006928C7">
                    <w:rPr>
                      <w:szCs w:val="20"/>
                    </w:rPr>
                    <w:t>Mobility dimensions of crises</w:t>
                  </w:r>
                </w:p>
              </w:tc>
              <w:tc>
                <w:tcPr>
                  <w:tcW w:w="7562" w:type="dxa"/>
                  <w:tcBorders>
                    <w:top w:val="single" w:sz="8" w:space="0" w:color="FFFFFF"/>
                    <w:left w:val="single" w:sz="8" w:space="0" w:color="FFFFFF"/>
                    <w:bottom w:val="single" w:sz="8" w:space="0" w:color="FFFFFF"/>
                    <w:right w:val="single" w:sz="8" w:space="0" w:color="FFFFFF"/>
                  </w:tcBorders>
                  <w:shd w:val="clear" w:color="auto" w:fill="EAF6FC"/>
                </w:tcPr>
                <w:p w14:paraId="429D7CBD" w14:textId="77777777" w:rsidR="0036416A" w:rsidRPr="006928C7" w:rsidRDefault="0036416A" w:rsidP="0036416A">
                  <w:pPr>
                    <w:spacing w:after="120"/>
                    <w:rPr>
                      <w:szCs w:val="20"/>
                    </w:rPr>
                  </w:pPr>
                  <w:r w:rsidRPr="008C1954">
                    <w:rPr>
                      <w:szCs w:val="20"/>
                    </w:rPr>
                    <w:t>Government measures to deliver comprehensive responses to refugees and other forcibly displaced persons</w:t>
                  </w:r>
                </w:p>
              </w:tc>
            </w:tr>
            <w:tr w:rsidR="0036416A" w:rsidRPr="006928C7" w14:paraId="715B9236" w14:textId="77777777" w:rsidTr="00A64F0D">
              <w:trPr>
                <w:trHeight w:val="277"/>
              </w:trPr>
              <w:tc>
                <w:tcPr>
                  <w:tcW w:w="440" w:type="dxa"/>
                  <w:tcBorders>
                    <w:top w:val="single" w:sz="8" w:space="0" w:color="FFFFFF"/>
                    <w:left w:val="single" w:sz="8" w:space="0" w:color="FFFFFF"/>
                    <w:bottom w:val="single" w:sz="8" w:space="0" w:color="FFFFFF"/>
                    <w:right w:val="single" w:sz="8" w:space="0" w:color="FFFFFF"/>
                  </w:tcBorders>
                  <w:shd w:val="clear" w:color="auto" w:fill="DCE6F2"/>
                </w:tcPr>
                <w:p w14:paraId="2D2E0865" w14:textId="77777777" w:rsidR="0036416A" w:rsidRPr="006928C7" w:rsidRDefault="0036416A" w:rsidP="0036416A">
                  <w:pPr>
                    <w:rPr>
                      <w:szCs w:val="20"/>
                    </w:rPr>
                  </w:pPr>
                  <w:r w:rsidRPr="006928C7">
                    <w:rPr>
                      <w:szCs w:val="20"/>
                    </w:rPr>
                    <w:t>6.</w:t>
                  </w:r>
                </w:p>
              </w:tc>
              <w:tc>
                <w:tcPr>
                  <w:tcW w:w="1078" w:type="dxa"/>
                  <w:tcBorders>
                    <w:top w:val="single" w:sz="8" w:space="0" w:color="FFFFFF"/>
                    <w:left w:val="single" w:sz="8" w:space="0" w:color="FFFFFF"/>
                    <w:bottom w:val="single" w:sz="8" w:space="0" w:color="FFFFFF"/>
                    <w:right w:val="single" w:sz="8" w:space="0" w:color="FFFFFF"/>
                  </w:tcBorders>
                  <w:shd w:val="clear" w:color="auto" w:fill="DCE6F2"/>
                </w:tcPr>
                <w:p w14:paraId="5A04E009" w14:textId="77777777" w:rsidR="0036416A" w:rsidRPr="006928C7" w:rsidRDefault="0036416A" w:rsidP="0036416A">
                  <w:pPr>
                    <w:spacing w:after="120"/>
                    <w:rPr>
                      <w:szCs w:val="20"/>
                    </w:rPr>
                  </w:pPr>
                  <w:r w:rsidRPr="006928C7">
                    <w:rPr>
                      <w:szCs w:val="20"/>
                    </w:rPr>
                    <w:t xml:space="preserve">Safe, orderly and regular migration </w:t>
                  </w:r>
                </w:p>
              </w:tc>
              <w:tc>
                <w:tcPr>
                  <w:tcW w:w="7562" w:type="dxa"/>
                  <w:tcBorders>
                    <w:top w:val="single" w:sz="8" w:space="0" w:color="FFFFFF"/>
                    <w:left w:val="single" w:sz="8" w:space="0" w:color="FFFFFF"/>
                    <w:bottom w:val="single" w:sz="8" w:space="0" w:color="FFFFFF"/>
                    <w:right w:val="single" w:sz="8" w:space="0" w:color="FFFFFF"/>
                  </w:tcBorders>
                  <w:shd w:val="clear" w:color="auto" w:fill="DCE6F2"/>
                </w:tcPr>
                <w:p w14:paraId="08138ED7" w14:textId="77777777" w:rsidR="0036416A" w:rsidRPr="006928C7" w:rsidRDefault="0036416A" w:rsidP="0036416A">
                  <w:pPr>
                    <w:spacing w:after="120"/>
                    <w:rPr>
                      <w:szCs w:val="20"/>
                    </w:rPr>
                  </w:pPr>
                  <w:r w:rsidRPr="008C1954">
                    <w:rPr>
                      <w:szCs w:val="20"/>
                    </w:rPr>
                    <w:t xml:space="preserve">Government measures to address regular or irregular </w:t>
                  </w:r>
                  <w:r>
                    <w:rPr>
                      <w:szCs w:val="20"/>
                    </w:rPr>
                    <w:t>im</w:t>
                  </w:r>
                  <w:r w:rsidRPr="008C1954">
                    <w:rPr>
                      <w:szCs w:val="20"/>
                    </w:rPr>
                    <w:t>migration</w:t>
                  </w:r>
                </w:p>
              </w:tc>
            </w:tr>
          </w:tbl>
          <w:p w14:paraId="61052617" w14:textId="77777777" w:rsidR="0036416A" w:rsidRDefault="0036416A" w:rsidP="0036416A">
            <w:pPr>
              <w:shd w:val="clear" w:color="auto" w:fill="FFFFFF"/>
              <w:rPr>
                <w:rFonts w:eastAsia="Times New Roman" w:cs="Times New Roman"/>
                <w:color w:val="4A4A4A"/>
                <w:sz w:val="21"/>
                <w:szCs w:val="21"/>
                <w:lang w:eastAsia="en-GB"/>
              </w:rPr>
            </w:pPr>
          </w:p>
          <w:p w14:paraId="1D931F97" w14:textId="77777777" w:rsidR="0036416A" w:rsidRDefault="0036416A" w:rsidP="0036416A">
            <w:pPr>
              <w:pStyle w:val="NoSpacing"/>
            </w:pPr>
            <w:r w:rsidRPr="007B10F8">
              <w:lastRenderedPageBreak/>
              <w:t>For each of the domains and corresponding proxy measures, one question was specified, each one of them informed by five subcategories or responses (table 2), to capture key aspects of the range of migration policies at the national level, while allowing the indicator to detect relevant variations across countries and over time.</w:t>
            </w:r>
          </w:p>
          <w:p w14:paraId="302FB887" w14:textId="77777777" w:rsidR="0036416A" w:rsidRPr="0076247A" w:rsidRDefault="0036416A" w:rsidP="0036416A">
            <w:pPr>
              <w:spacing w:before="360" w:after="120"/>
              <w:jc w:val="center"/>
              <w:rPr>
                <w:b/>
                <w:bCs/>
              </w:rPr>
            </w:pPr>
            <w:r w:rsidRPr="006928C7">
              <w:rPr>
                <w:b/>
                <w:bCs/>
              </w:rPr>
              <w:t xml:space="preserve">Table </w:t>
            </w:r>
            <w:r>
              <w:rPr>
                <w:b/>
                <w:bCs/>
              </w:rPr>
              <w:t>2</w:t>
            </w:r>
            <w:r w:rsidRPr="006928C7">
              <w:rPr>
                <w:b/>
                <w:bCs/>
              </w:rPr>
              <w:t xml:space="preserve">. </w:t>
            </w:r>
            <w:r>
              <w:rPr>
                <w:b/>
                <w:bCs/>
              </w:rPr>
              <w:t>Questions</w:t>
            </w:r>
            <w:r w:rsidRPr="006928C7">
              <w:rPr>
                <w:b/>
                <w:bCs/>
              </w:rPr>
              <w:t xml:space="preserve"> and </w:t>
            </w:r>
            <w:r w:rsidRPr="00B97181">
              <w:rPr>
                <w:b/>
                <w:bCs/>
              </w:rPr>
              <w:t xml:space="preserve">subcategories </w:t>
            </w:r>
            <w:r w:rsidRPr="006928C7">
              <w:rPr>
                <w:b/>
                <w:bCs/>
              </w:rPr>
              <w:t>for SDG indicator 10.7.2</w:t>
            </w:r>
          </w:p>
          <w:tbl>
            <w:tblPr>
              <w:tblW w:w="9080" w:type="dxa"/>
              <w:jc w:val="center"/>
              <w:tblCellMar>
                <w:left w:w="0" w:type="dxa"/>
                <w:right w:w="0" w:type="dxa"/>
              </w:tblCellMar>
              <w:tblLook w:val="0600" w:firstRow="0" w:lastRow="0" w:firstColumn="0" w:lastColumn="0" w:noHBand="1" w:noVBand="1"/>
            </w:tblPr>
            <w:tblGrid>
              <w:gridCol w:w="1070"/>
              <w:gridCol w:w="2610"/>
              <w:gridCol w:w="5400"/>
            </w:tblGrid>
            <w:tr w:rsidR="0036416A" w:rsidRPr="00B97181" w14:paraId="2286BE8F" w14:textId="77777777" w:rsidTr="00A64F0D">
              <w:trPr>
                <w:trHeight w:val="16"/>
                <w:tblHeader/>
                <w:jc w:val="center"/>
              </w:trPr>
              <w:tc>
                <w:tcPr>
                  <w:tcW w:w="1070" w:type="dxa"/>
                  <w:tcBorders>
                    <w:top w:val="single" w:sz="8" w:space="0" w:color="FFFFFF"/>
                    <w:left w:val="single" w:sz="8" w:space="0" w:color="FFFFFF"/>
                    <w:bottom w:val="single" w:sz="24" w:space="0" w:color="FFFFFF"/>
                    <w:right w:val="single" w:sz="8" w:space="0" w:color="FFFFFF"/>
                  </w:tcBorders>
                  <w:shd w:val="clear" w:color="auto" w:fill="4478B6"/>
                </w:tcPr>
                <w:p w14:paraId="31C6D043" w14:textId="77777777" w:rsidR="0036416A" w:rsidRPr="00B97181" w:rsidRDefault="0036416A" w:rsidP="0036416A">
                  <w:pPr>
                    <w:jc w:val="center"/>
                    <w:rPr>
                      <w:b/>
                      <w:bCs/>
                      <w:color w:val="FFFFFF" w:themeColor="background1"/>
                      <w:szCs w:val="20"/>
                    </w:rPr>
                  </w:pPr>
                </w:p>
              </w:tc>
              <w:tc>
                <w:tcPr>
                  <w:tcW w:w="2610" w:type="dxa"/>
                  <w:tcBorders>
                    <w:top w:val="single" w:sz="8" w:space="0" w:color="FFFFFF"/>
                    <w:left w:val="single" w:sz="8" w:space="0" w:color="FFFFFF"/>
                    <w:bottom w:val="single" w:sz="24" w:space="0" w:color="FFFFFF"/>
                    <w:right w:val="single" w:sz="8" w:space="0" w:color="FFFFFF"/>
                  </w:tcBorders>
                  <w:shd w:val="clear" w:color="auto" w:fill="4478B6"/>
                </w:tcPr>
                <w:p w14:paraId="33305D2D" w14:textId="77777777" w:rsidR="0036416A" w:rsidRPr="00B97181" w:rsidRDefault="0036416A" w:rsidP="0036416A">
                  <w:pPr>
                    <w:jc w:val="center"/>
                    <w:rPr>
                      <w:b/>
                      <w:bCs/>
                      <w:color w:val="FFFFFF" w:themeColor="background1"/>
                      <w:szCs w:val="20"/>
                    </w:rPr>
                  </w:pPr>
                  <w:r>
                    <w:rPr>
                      <w:b/>
                      <w:bCs/>
                      <w:color w:val="FFFFFF" w:themeColor="background1"/>
                      <w:szCs w:val="20"/>
                    </w:rPr>
                    <w:t>Question</w:t>
                  </w:r>
                </w:p>
              </w:tc>
              <w:tc>
                <w:tcPr>
                  <w:tcW w:w="5400" w:type="dxa"/>
                  <w:tcBorders>
                    <w:top w:val="single" w:sz="8" w:space="0" w:color="FFFFFF"/>
                    <w:left w:val="single" w:sz="8" w:space="0" w:color="FFFFFF"/>
                    <w:bottom w:val="single" w:sz="24" w:space="0" w:color="FFFFFF"/>
                    <w:right w:val="single" w:sz="8" w:space="0" w:color="FFFFFF"/>
                  </w:tcBorders>
                  <w:shd w:val="clear" w:color="auto" w:fill="4478B6"/>
                </w:tcPr>
                <w:p w14:paraId="61736216" w14:textId="77777777" w:rsidR="0036416A" w:rsidRPr="00B97181" w:rsidRDefault="0036416A" w:rsidP="0036416A">
                  <w:pPr>
                    <w:jc w:val="center"/>
                    <w:rPr>
                      <w:b/>
                      <w:bCs/>
                      <w:color w:val="FFFFFF" w:themeColor="background1"/>
                      <w:szCs w:val="20"/>
                    </w:rPr>
                  </w:pPr>
                  <w:r>
                    <w:rPr>
                      <w:b/>
                      <w:bCs/>
                      <w:color w:val="FFFFFF" w:themeColor="background1"/>
                      <w:szCs w:val="20"/>
                    </w:rPr>
                    <w:t>S</w:t>
                  </w:r>
                  <w:r w:rsidRPr="00B97181">
                    <w:rPr>
                      <w:b/>
                      <w:bCs/>
                      <w:color w:val="FFFFFF" w:themeColor="background1"/>
                      <w:szCs w:val="20"/>
                    </w:rPr>
                    <w:t>ubcategories</w:t>
                  </w:r>
                </w:p>
              </w:tc>
            </w:tr>
            <w:tr w:rsidR="0036416A" w:rsidRPr="006928C7" w14:paraId="22D02895" w14:textId="77777777" w:rsidTr="00A64F0D">
              <w:trPr>
                <w:trHeight w:val="20"/>
                <w:jc w:val="center"/>
              </w:trPr>
              <w:tc>
                <w:tcPr>
                  <w:tcW w:w="1070" w:type="dxa"/>
                  <w:tcBorders>
                    <w:top w:val="single" w:sz="24" w:space="0" w:color="FFFFFF"/>
                    <w:left w:val="single" w:sz="8" w:space="0" w:color="FFFFFF"/>
                    <w:bottom w:val="single" w:sz="8" w:space="0" w:color="FFFFFF"/>
                    <w:right w:val="single" w:sz="8" w:space="0" w:color="FFFFFF"/>
                  </w:tcBorders>
                  <w:shd w:val="clear" w:color="auto" w:fill="EAF6FC"/>
                </w:tcPr>
                <w:p w14:paraId="26494240" w14:textId="77777777" w:rsidR="0036416A" w:rsidRPr="006928C7" w:rsidRDefault="0036416A" w:rsidP="0036416A">
                  <w:pPr>
                    <w:spacing w:after="120"/>
                    <w:rPr>
                      <w:szCs w:val="20"/>
                    </w:rPr>
                  </w:pPr>
                  <w:r w:rsidRPr="008C1954">
                    <w:rPr>
                      <w:b/>
                      <w:bCs/>
                      <w:color w:val="4478B6"/>
                      <w:szCs w:val="20"/>
                    </w:rPr>
                    <w:t xml:space="preserve">Domain </w:t>
                  </w:r>
                  <w:r>
                    <w:rPr>
                      <w:b/>
                      <w:bCs/>
                      <w:color w:val="4478B6"/>
                      <w:szCs w:val="20"/>
                    </w:rPr>
                    <w:t>1</w:t>
                  </w:r>
                  <w:r w:rsidRPr="008C1954">
                    <w:rPr>
                      <w:b/>
                      <w:bCs/>
                      <w:color w:val="4478B6"/>
                      <w:szCs w:val="20"/>
                    </w:rPr>
                    <w:t>:</w:t>
                  </w:r>
                </w:p>
              </w:tc>
              <w:tc>
                <w:tcPr>
                  <w:tcW w:w="2610" w:type="dxa"/>
                  <w:tcBorders>
                    <w:top w:val="single" w:sz="24" w:space="0" w:color="FFFFFF"/>
                    <w:left w:val="single" w:sz="8" w:space="0" w:color="FFFFFF"/>
                    <w:bottom w:val="single" w:sz="8" w:space="0" w:color="FFFFFF"/>
                    <w:right w:val="single" w:sz="8" w:space="0" w:color="FFFFFF"/>
                  </w:tcBorders>
                  <w:shd w:val="clear" w:color="auto" w:fill="EAF6FC"/>
                </w:tcPr>
                <w:p w14:paraId="637F63F8" w14:textId="77777777" w:rsidR="0036416A" w:rsidRPr="006928C7" w:rsidRDefault="0036416A" w:rsidP="0036416A">
                  <w:pPr>
                    <w:spacing w:after="120"/>
                    <w:rPr>
                      <w:szCs w:val="20"/>
                    </w:rPr>
                  </w:pPr>
                  <w:r w:rsidRPr="008C1954">
                    <w:rPr>
                      <w:szCs w:val="20"/>
                    </w:rPr>
                    <w:t>Does the Government provide non-nationals equal access to the following services, welfare benefits and rights?</w:t>
                  </w:r>
                </w:p>
              </w:tc>
              <w:tc>
                <w:tcPr>
                  <w:tcW w:w="5400" w:type="dxa"/>
                  <w:tcBorders>
                    <w:top w:val="single" w:sz="24" w:space="0" w:color="FFFFFF"/>
                    <w:left w:val="single" w:sz="8" w:space="0" w:color="FFFFFF"/>
                    <w:bottom w:val="single" w:sz="8" w:space="0" w:color="FFFFFF"/>
                    <w:right w:val="single" w:sz="8" w:space="0" w:color="FFFFFF"/>
                  </w:tcBorders>
                  <w:shd w:val="clear" w:color="auto" w:fill="EAF6FC"/>
                </w:tcPr>
                <w:p w14:paraId="292B0F51" w14:textId="77777777" w:rsidR="0036416A" w:rsidRPr="008C1954" w:rsidRDefault="0036416A" w:rsidP="0036416A">
                  <w:pPr>
                    <w:spacing w:after="120"/>
                    <w:ind w:left="720" w:hanging="720"/>
                    <w:rPr>
                      <w:szCs w:val="20"/>
                    </w:rPr>
                  </w:pPr>
                  <w:r w:rsidRPr="008C1954">
                    <w:rPr>
                      <w:szCs w:val="20"/>
                    </w:rPr>
                    <w:t>a. Essential and/or emergency health care</w:t>
                  </w:r>
                </w:p>
                <w:p w14:paraId="73F75151" w14:textId="77777777" w:rsidR="0036416A" w:rsidRPr="008C1954" w:rsidRDefault="0036416A" w:rsidP="0036416A">
                  <w:pPr>
                    <w:spacing w:after="120"/>
                    <w:ind w:left="720" w:hanging="720"/>
                    <w:rPr>
                      <w:szCs w:val="20"/>
                    </w:rPr>
                  </w:pPr>
                  <w:r w:rsidRPr="008C1954">
                    <w:rPr>
                      <w:szCs w:val="20"/>
                    </w:rPr>
                    <w:t>b. Public education</w:t>
                  </w:r>
                </w:p>
                <w:p w14:paraId="71F787C9" w14:textId="77777777" w:rsidR="0036416A" w:rsidRPr="008C1954" w:rsidRDefault="0036416A" w:rsidP="0036416A">
                  <w:pPr>
                    <w:spacing w:after="120"/>
                    <w:ind w:left="720" w:hanging="720"/>
                    <w:rPr>
                      <w:szCs w:val="20"/>
                    </w:rPr>
                  </w:pPr>
                  <w:r w:rsidRPr="008C1954">
                    <w:rPr>
                      <w:szCs w:val="20"/>
                    </w:rPr>
                    <w:t xml:space="preserve">c. Equal pay for equal work </w:t>
                  </w:r>
                </w:p>
                <w:p w14:paraId="4021117F" w14:textId="77777777" w:rsidR="0036416A" w:rsidRPr="008C1954" w:rsidRDefault="0036416A" w:rsidP="0036416A">
                  <w:pPr>
                    <w:spacing w:after="120"/>
                    <w:ind w:left="720" w:hanging="720"/>
                    <w:rPr>
                      <w:szCs w:val="20"/>
                    </w:rPr>
                  </w:pPr>
                  <w:r w:rsidRPr="008C1954">
                    <w:rPr>
                      <w:szCs w:val="20"/>
                    </w:rPr>
                    <w:t>d. Social security</w:t>
                  </w:r>
                </w:p>
                <w:p w14:paraId="4FA90921" w14:textId="77777777" w:rsidR="0036416A" w:rsidRPr="006928C7" w:rsidRDefault="0036416A" w:rsidP="0036416A">
                  <w:pPr>
                    <w:spacing w:after="120"/>
                    <w:rPr>
                      <w:szCs w:val="20"/>
                    </w:rPr>
                  </w:pPr>
                  <w:r w:rsidRPr="008C1954">
                    <w:rPr>
                      <w:szCs w:val="20"/>
                    </w:rPr>
                    <w:t>e. Access to justice</w:t>
                  </w:r>
                </w:p>
              </w:tc>
            </w:tr>
            <w:tr w:rsidR="0036416A" w:rsidRPr="006928C7" w14:paraId="11D4C7AB" w14:textId="77777777" w:rsidTr="00A64F0D">
              <w:trPr>
                <w:cantSplit/>
                <w:trHeight w:val="277"/>
                <w:jc w:val="center"/>
              </w:trPr>
              <w:tc>
                <w:tcPr>
                  <w:tcW w:w="1070" w:type="dxa"/>
                  <w:tcBorders>
                    <w:top w:val="single" w:sz="8" w:space="0" w:color="FFFFFF"/>
                    <w:left w:val="single" w:sz="8" w:space="0" w:color="FFFFFF"/>
                    <w:bottom w:val="single" w:sz="8" w:space="0" w:color="FFFFFF"/>
                    <w:right w:val="single" w:sz="8" w:space="0" w:color="FFFFFF"/>
                  </w:tcBorders>
                  <w:shd w:val="clear" w:color="auto" w:fill="DCE6F2"/>
                </w:tcPr>
                <w:p w14:paraId="26B19DB1" w14:textId="77777777" w:rsidR="0036416A" w:rsidRPr="006928C7" w:rsidRDefault="0036416A" w:rsidP="0036416A">
                  <w:pPr>
                    <w:spacing w:after="120"/>
                    <w:rPr>
                      <w:szCs w:val="20"/>
                    </w:rPr>
                  </w:pPr>
                  <w:r w:rsidRPr="008C1954">
                    <w:rPr>
                      <w:b/>
                      <w:bCs/>
                      <w:color w:val="4478B6"/>
                      <w:szCs w:val="20"/>
                    </w:rPr>
                    <w:t>Domain 2:</w:t>
                  </w:r>
                </w:p>
              </w:tc>
              <w:tc>
                <w:tcPr>
                  <w:tcW w:w="2610" w:type="dxa"/>
                  <w:tcBorders>
                    <w:top w:val="single" w:sz="8" w:space="0" w:color="FFFFFF"/>
                    <w:left w:val="single" w:sz="8" w:space="0" w:color="FFFFFF"/>
                    <w:bottom w:val="single" w:sz="8" w:space="0" w:color="FFFFFF"/>
                    <w:right w:val="single" w:sz="8" w:space="0" w:color="FFFFFF"/>
                  </w:tcBorders>
                  <w:shd w:val="clear" w:color="auto" w:fill="DCE6F2"/>
                </w:tcPr>
                <w:p w14:paraId="06FB66AC" w14:textId="77777777" w:rsidR="0036416A" w:rsidRPr="006928C7" w:rsidRDefault="0036416A" w:rsidP="0036416A">
                  <w:pPr>
                    <w:spacing w:after="120"/>
                    <w:rPr>
                      <w:szCs w:val="20"/>
                    </w:rPr>
                  </w:pPr>
                  <w:r w:rsidRPr="008C1954">
                    <w:rPr>
                      <w:szCs w:val="20"/>
                    </w:rPr>
                    <w:t>Does the Government have any of the following institutions, policies or strategies to govern immigration or emigration?</w:t>
                  </w:r>
                </w:p>
              </w:tc>
              <w:tc>
                <w:tcPr>
                  <w:tcW w:w="5400" w:type="dxa"/>
                  <w:tcBorders>
                    <w:top w:val="single" w:sz="8" w:space="0" w:color="FFFFFF"/>
                    <w:left w:val="single" w:sz="8" w:space="0" w:color="FFFFFF"/>
                    <w:bottom w:val="single" w:sz="8" w:space="0" w:color="FFFFFF"/>
                    <w:right w:val="single" w:sz="8" w:space="0" w:color="FFFFFF"/>
                  </w:tcBorders>
                  <w:shd w:val="clear" w:color="auto" w:fill="DCE6F2"/>
                </w:tcPr>
                <w:p w14:paraId="759E8004" w14:textId="77777777" w:rsidR="0036416A" w:rsidRPr="008C1954" w:rsidRDefault="0036416A" w:rsidP="0036416A">
                  <w:pPr>
                    <w:spacing w:after="120"/>
                    <w:ind w:left="151" w:hanging="151"/>
                    <w:rPr>
                      <w:szCs w:val="20"/>
                    </w:rPr>
                  </w:pPr>
                  <w:r w:rsidRPr="008C1954">
                    <w:rPr>
                      <w:szCs w:val="20"/>
                    </w:rPr>
                    <w:t>a. A dedicated Government agency to implement national migration policy</w:t>
                  </w:r>
                </w:p>
                <w:p w14:paraId="5CA207BF" w14:textId="77777777" w:rsidR="0036416A" w:rsidRPr="008C1954" w:rsidRDefault="0036416A" w:rsidP="0036416A">
                  <w:pPr>
                    <w:spacing w:after="120"/>
                    <w:ind w:left="151" w:hanging="151"/>
                    <w:rPr>
                      <w:szCs w:val="20"/>
                    </w:rPr>
                  </w:pPr>
                  <w:r w:rsidRPr="008C1954">
                    <w:rPr>
                      <w:szCs w:val="20"/>
                    </w:rPr>
                    <w:t>b. A national policy or strategy for regular migration pathways, including labour migration</w:t>
                  </w:r>
                </w:p>
                <w:p w14:paraId="4F10129D" w14:textId="77777777" w:rsidR="0036416A" w:rsidRPr="008C1954" w:rsidRDefault="0036416A" w:rsidP="0036416A">
                  <w:pPr>
                    <w:spacing w:after="120"/>
                    <w:ind w:left="151" w:hanging="151"/>
                    <w:rPr>
                      <w:szCs w:val="20"/>
                    </w:rPr>
                  </w:pPr>
                  <w:r w:rsidRPr="008C1954">
                    <w:rPr>
                      <w:szCs w:val="20"/>
                    </w:rPr>
                    <w:t>c. A national policy or strategy to promote the inclusion or integration of immigrants</w:t>
                  </w:r>
                </w:p>
                <w:p w14:paraId="36A6DDEA" w14:textId="77777777" w:rsidR="0036416A" w:rsidRPr="008C1954" w:rsidRDefault="0036416A" w:rsidP="0036416A">
                  <w:pPr>
                    <w:spacing w:after="120"/>
                    <w:ind w:left="151" w:hanging="151"/>
                    <w:rPr>
                      <w:szCs w:val="20"/>
                    </w:rPr>
                  </w:pPr>
                  <w:r w:rsidRPr="008C1954">
                    <w:rPr>
                      <w:szCs w:val="20"/>
                    </w:rPr>
                    <w:t>d. Formal mechanisms to ensure that the migration policy is gender responsive</w:t>
                  </w:r>
                </w:p>
                <w:p w14:paraId="3A9C1B6C" w14:textId="77777777" w:rsidR="0036416A" w:rsidRPr="006928C7" w:rsidRDefault="0036416A" w:rsidP="0036416A">
                  <w:pPr>
                    <w:spacing w:after="120"/>
                    <w:ind w:left="151" w:hanging="151"/>
                    <w:rPr>
                      <w:szCs w:val="20"/>
                    </w:rPr>
                  </w:pPr>
                  <w:r w:rsidRPr="008C1954">
                    <w:rPr>
                      <w:szCs w:val="20"/>
                    </w:rPr>
                    <w:t>e. A mechanism to ensure that migration policy is informed by data, appropriately disaggregated</w:t>
                  </w:r>
                </w:p>
              </w:tc>
            </w:tr>
            <w:tr w:rsidR="0036416A" w:rsidRPr="006928C7" w14:paraId="3DA2647C" w14:textId="77777777" w:rsidTr="00A64F0D">
              <w:trPr>
                <w:cantSplit/>
                <w:trHeight w:val="288"/>
                <w:jc w:val="center"/>
              </w:trPr>
              <w:tc>
                <w:tcPr>
                  <w:tcW w:w="1070" w:type="dxa"/>
                  <w:tcBorders>
                    <w:top w:val="single" w:sz="8" w:space="0" w:color="FFFFFF"/>
                    <w:left w:val="single" w:sz="8" w:space="0" w:color="FFFFFF"/>
                    <w:bottom w:val="single" w:sz="8" w:space="0" w:color="FFFFFF"/>
                    <w:right w:val="single" w:sz="8" w:space="0" w:color="FFFFFF"/>
                  </w:tcBorders>
                  <w:shd w:val="clear" w:color="auto" w:fill="EAF6FC"/>
                </w:tcPr>
                <w:p w14:paraId="2AFC9EE6" w14:textId="77777777" w:rsidR="0036416A" w:rsidRPr="006928C7" w:rsidRDefault="0036416A" w:rsidP="0036416A">
                  <w:pPr>
                    <w:spacing w:after="120"/>
                    <w:rPr>
                      <w:szCs w:val="20"/>
                    </w:rPr>
                  </w:pPr>
                  <w:r w:rsidRPr="008C1954">
                    <w:rPr>
                      <w:b/>
                      <w:bCs/>
                      <w:color w:val="4F81BD" w:themeColor="accent1"/>
                      <w:szCs w:val="20"/>
                    </w:rPr>
                    <w:t>Domain 3</w:t>
                  </w:r>
                  <w:r>
                    <w:rPr>
                      <w:b/>
                      <w:bCs/>
                      <w:color w:val="4F81BD" w:themeColor="accent1"/>
                      <w:szCs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EAF6FC"/>
                </w:tcPr>
                <w:p w14:paraId="3868A4BD" w14:textId="77777777" w:rsidR="0036416A" w:rsidRPr="006928C7" w:rsidRDefault="0036416A" w:rsidP="0036416A">
                  <w:pPr>
                    <w:spacing w:after="120"/>
                    <w:rPr>
                      <w:szCs w:val="20"/>
                    </w:rPr>
                  </w:pPr>
                  <w:r w:rsidRPr="008C1954">
                    <w:rPr>
                      <w:szCs w:val="20"/>
                    </w:rPr>
                    <w:t>Does the Government take any of the following measures to foster cooperation among countries and encourage stakeholder inclusion and participation in migration policy?</w:t>
                  </w:r>
                </w:p>
              </w:tc>
              <w:tc>
                <w:tcPr>
                  <w:tcW w:w="5400" w:type="dxa"/>
                  <w:tcBorders>
                    <w:top w:val="single" w:sz="8" w:space="0" w:color="FFFFFF"/>
                    <w:left w:val="single" w:sz="8" w:space="0" w:color="FFFFFF"/>
                    <w:bottom w:val="single" w:sz="8" w:space="0" w:color="FFFFFF"/>
                    <w:right w:val="single" w:sz="8" w:space="0" w:color="FFFFFF"/>
                  </w:tcBorders>
                  <w:shd w:val="clear" w:color="auto" w:fill="EAF6FC"/>
                </w:tcPr>
                <w:p w14:paraId="2184AF91" w14:textId="77777777" w:rsidR="0036416A" w:rsidRPr="008C1954" w:rsidRDefault="0036416A" w:rsidP="0036416A">
                  <w:pPr>
                    <w:spacing w:after="120"/>
                    <w:ind w:left="151" w:hanging="151"/>
                    <w:rPr>
                      <w:szCs w:val="20"/>
                    </w:rPr>
                  </w:pPr>
                  <w:r w:rsidRPr="008C1954">
                    <w:rPr>
                      <w:szCs w:val="20"/>
                    </w:rPr>
                    <w:t>a. An inter</w:t>
                  </w:r>
                  <w:r>
                    <w:rPr>
                      <w:szCs w:val="20"/>
                    </w:rPr>
                    <w:t>-</w:t>
                  </w:r>
                  <w:r w:rsidRPr="008C1954">
                    <w:rPr>
                      <w:szCs w:val="20"/>
                    </w:rPr>
                    <w:t>ministerial coordination mechanism on migration</w:t>
                  </w:r>
                </w:p>
                <w:p w14:paraId="7A501D65" w14:textId="77777777" w:rsidR="0036416A" w:rsidRPr="008C1954" w:rsidRDefault="0036416A" w:rsidP="0036416A">
                  <w:pPr>
                    <w:spacing w:after="120"/>
                    <w:ind w:left="151" w:hanging="151"/>
                    <w:rPr>
                      <w:szCs w:val="20"/>
                    </w:rPr>
                  </w:pPr>
                  <w:r w:rsidRPr="008C1954">
                    <w:rPr>
                      <w:szCs w:val="20"/>
                    </w:rPr>
                    <w:t xml:space="preserve">b. Bilateral agreements on migration, including labour migration </w:t>
                  </w:r>
                </w:p>
                <w:p w14:paraId="6E84B615" w14:textId="77777777" w:rsidR="0036416A" w:rsidRPr="008C1954" w:rsidRDefault="0036416A" w:rsidP="0036416A">
                  <w:pPr>
                    <w:spacing w:after="120"/>
                    <w:ind w:left="151" w:hanging="151"/>
                    <w:rPr>
                      <w:szCs w:val="20"/>
                    </w:rPr>
                  </w:pPr>
                  <w:r w:rsidRPr="008C1954">
                    <w:rPr>
                      <w:szCs w:val="20"/>
                    </w:rPr>
                    <w:t>c. Regional agreements promoting mobility</w:t>
                  </w:r>
                </w:p>
                <w:p w14:paraId="744A3059" w14:textId="77777777" w:rsidR="0036416A" w:rsidRPr="008C1954" w:rsidRDefault="0036416A" w:rsidP="0036416A">
                  <w:pPr>
                    <w:spacing w:after="120"/>
                    <w:ind w:left="151" w:hanging="151"/>
                    <w:rPr>
                      <w:szCs w:val="20"/>
                    </w:rPr>
                  </w:pPr>
                  <w:r w:rsidRPr="008C1954">
                    <w:rPr>
                      <w:szCs w:val="20"/>
                    </w:rPr>
                    <w:t>d. Agreements for cooperation with other countries on return and readmission</w:t>
                  </w:r>
                </w:p>
                <w:p w14:paraId="5D2DB5C0" w14:textId="77777777" w:rsidR="0036416A" w:rsidRPr="006928C7" w:rsidRDefault="0036416A" w:rsidP="0036416A">
                  <w:pPr>
                    <w:spacing w:after="120"/>
                    <w:ind w:left="151" w:hanging="151"/>
                    <w:rPr>
                      <w:szCs w:val="20"/>
                    </w:rPr>
                  </w:pPr>
                  <w:r w:rsidRPr="008C1954">
                    <w:rPr>
                      <w:szCs w:val="20"/>
                    </w:rPr>
                    <w:t>e. Formal mechanisms to engage civil society and the private sector in the formulation and implementation of migration policy</w:t>
                  </w:r>
                </w:p>
              </w:tc>
            </w:tr>
            <w:tr w:rsidR="0036416A" w:rsidRPr="006928C7" w14:paraId="030698E1" w14:textId="77777777" w:rsidTr="00A64F0D">
              <w:trPr>
                <w:trHeight w:val="288"/>
                <w:jc w:val="center"/>
              </w:trPr>
              <w:tc>
                <w:tcPr>
                  <w:tcW w:w="1070" w:type="dxa"/>
                  <w:tcBorders>
                    <w:top w:val="single" w:sz="8" w:space="0" w:color="FFFFFF"/>
                    <w:left w:val="single" w:sz="8" w:space="0" w:color="FFFFFF"/>
                    <w:bottom w:val="single" w:sz="8" w:space="0" w:color="FFFFFF"/>
                    <w:right w:val="single" w:sz="8" w:space="0" w:color="FFFFFF"/>
                  </w:tcBorders>
                  <w:shd w:val="clear" w:color="auto" w:fill="DCE6F2"/>
                </w:tcPr>
                <w:p w14:paraId="19F5CBCE" w14:textId="77777777" w:rsidR="0036416A" w:rsidRPr="006928C7" w:rsidRDefault="0036416A" w:rsidP="0036416A">
                  <w:pPr>
                    <w:spacing w:after="120"/>
                    <w:rPr>
                      <w:szCs w:val="20"/>
                    </w:rPr>
                  </w:pPr>
                  <w:r w:rsidRPr="008C1954">
                    <w:rPr>
                      <w:b/>
                      <w:bCs/>
                      <w:color w:val="4F81BD" w:themeColor="accent1"/>
                      <w:szCs w:val="20"/>
                    </w:rPr>
                    <w:t>Domain 4:</w:t>
                  </w:r>
                </w:p>
              </w:tc>
              <w:tc>
                <w:tcPr>
                  <w:tcW w:w="2610" w:type="dxa"/>
                  <w:tcBorders>
                    <w:top w:val="single" w:sz="8" w:space="0" w:color="FFFFFF"/>
                    <w:left w:val="single" w:sz="8" w:space="0" w:color="FFFFFF"/>
                    <w:bottom w:val="single" w:sz="8" w:space="0" w:color="FFFFFF"/>
                    <w:right w:val="single" w:sz="8" w:space="0" w:color="FFFFFF"/>
                  </w:tcBorders>
                  <w:shd w:val="clear" w:color="auto" w:fill="DCE6F2"/>
                </w:tcPr>
                <w:p w14:paraId="059860C0" w14:textId="77777777" w:rsidR="0036416A" w:rsidRPr="006928C7" w:rsidRDefault="0036416A" w:rsidP="0036416A">
                  <w:pPr>
                    <w:spacing w:after="120"/>
                    <w:rPr>
                      <w:szCs w:val="20"/>
                    </w:rPr>
                  </w:pPr>
                  <w:r w:rsidRPr="008C1954">
                    <w:rPr>
                      <w:szCs w:val="20"/>
                    </w:rPr>
                    <w:t xml:space="preserve">Does the Government take any of the following measures to maximize the positive development impact of migration </w:t>
                  </w:r>
                  <w:r w:rsidRPr="008C1954">
                    <w:rPr>
                      <w:szCs w:val="20"/>
                    </w:rPr>
                    <w:lastRenderedPageBreak/>
                    <w:t>and the socioeconomic well-being of migrants?</w:t>
                  </w:r>
                </w:p>
              </w:tc>
              <w:tc>
                <w:tcPr>
                  <w:tcW w:w="5400" w:type="dxa"/>
                  <w:tcBorders>
                    <w:top w:val="single" w:sz="8" w:space="0" w:color="FFFFFF"/>
                    <w:left w:val="single" w:sz="8" w:space="0" w:color="FFFFFF"/>
                    <w:bottom w:val="single" w:sz="8" w:space="0" w:color="FFFFFF"/>
                    <w:right w:val="single" w:sz="8" w:space="0" w:color="FFFFFF"/>
                  </w:tcBorders>
                  <w:shd w:val="clear" w:color="auto" w:fill="DCE6F2"/>
                </w:tcPr>
                <w:p w14:paraId="41C46118" w14:textId="77777777" w:rsidR="0036416A" w:rsidRPr="008C1954" w:rsidRDefault="0036416A" w:rsidP="0036416A">
                  <w:pPr>
                    <w:spacing w:after="120"/>
                    <w:ind w:left="151" w:hanging="151"/>
                    <w:rPr>
                      <w:szCs w:val="20"/>
                    </w:rPr>
                  </w:pPr>
                  <w:r w:rsidRPr="008C1954">
                    <w:rPr>
                      <w:szCs w:val="20"/>
                    </w:rPr>
                    <w:lastRenderedPageBreak/>
                    <w:t>a. Align, through periodic assessments, labour migration policies with actual and projected labour market needs</w:t>
                  </w:r>
                </w:p>
                <w:p w14:paraId="25CDAA2A" w14:textId="77777777" w:rsidR="0036416A" w:rsidRPr="008C1954" w:rsidRDefault="0036416A" w:rsidP="0036416A">
                  <w:pPr>
                    <w:spacing w:after="120"/>
                    <w:ind w:left="151" w:hanging="151"/>
                    <w:rPr>
                      <w:szCs w:val="20"/>
                    </w:rPr>
                  </w:pPr>
                  <w:r w:rsidRPr="008C1954">
                    <w:rPr>
                      <w:szCs w:val="20"/>
                    </w:rPr>
                    <w:lastRenderedPageBreak/>
                    <w:t>b. Facilitate the portability of social security benefits</w:t>
                  </w:r>
                </w:p>
                <w:p w14:paraId="5E05DBEE" w14:textId="77777777" w:rsidR="0036416A" w:rsidRPr="008C1954" w:rsidRDefault="0036416A" w:rsidP="0036416A">
                  <w:pPr>
                    <w:spacing w:after="120"/>
                    <w:ind w:left="151" w:hanging="151"/>
                    <w:rPr>
                      <w:szCs w:val="20"/>
                    </w:rPr>
                  </w:pPr>
                  <w:r w:rsidRPr="008C1954">
                    <w:rPr>
                      <w:szCs w:val="20"/>
                    </w:rPr>
                    <w:t>c. Facilitate the recognition of skills and qualifications acquired abroad</w:t>
                  </w:r>
                </w:p>
                <w:p w14:paraId="21D32F07" w14:textId="77777777" w:rsidR="0036416A" w:rsidRPr="008C1954" w:rsidRDefault="0036416A" w:rsidP="0036416A">
                  <w:pPr>
                    <w:spacing w:after="120"/>
                    <w:ind w:left="151" w:hanging="151"/>
                    <w:rPr>
                      <w:szCs w:val="20"/>
                    </w:rPr>
                  </w:pPr>
                  <w:r w:rsidRPr="008C1954">
                    <w:rPr>
                      <w:szCs w:val="20"/>
                    </w:rPr>
                    <w:t>d. Facilitate or promote the flow of remittances</w:t>
                  </w:r>
                </w:p>
                <w:p w14:paraId="3DBFD2CB" w14:textId="77777777" w:rsidR="0036416A" w:rsidRPr="006928C7" w:rsidRDefault="0036416A" w:rsidP="0036416A">
                  <w:pPr>
                    <w:spacing w:after="120"/>
                    <w:ind w:left="151" w:hanging="151"/>
                    <w:rPr>
                      <w:szCs w:val="20"/>
                    </w:rPr>
                  </w:pPr>
                  <w:r w:rsidRPr="008C1954">
                    <w:rPr>
                      <w:szCs w:val="20"/>
                    </w:rPr>
                    <w:t>e. Promote fair and ethical recruitment of migrant workers</w:t>
                  </w:r>
                </w:p>
              </w:tc>
            </w:tr>
            <w:tr w:rsidR="0036416A" w:rsidRPr="006928C7" w14:paraId="19B78D31" w14:textId="77777777" w:rsidTr="00A64F0D">
              <w:trPr>
                <w:trHeight w:val="331"/>
                <w:jc w:val="center"/>
              </w:trPr>
              <w:tc>
                <w:tcPr>
                  <w:tcW w:w="1070" w:type="dxa"/>
                  <w:tcBorders>
                    <w:top w:val="single" w:sz="8" w:space="0" w:color="FFFFFF"/>
                    <w:left w:val="single" w:sz="8" w:space="0" w:color="FFFFFF"/>
                    <w:bottom w:val="single" w:sz="8" w:space="0" w:color="FFFFFF"/>
                    <w:right w:val="single" w:sz="8" w:space="0" w:color="FFFFFF"/>
                  </w:tcBorders>
                  <w:shd w:val="clear" w:color="auto" w:fill="EAF6FC"/>
                </w:tcPr>
                <w:p w14:paraId="2F23AF21" w14:textId="77777777" w:rsidR="0036416A" w:rsidRPr="006928C7" w:rsidRDefault="0036416A" w:rsidP="0036416A">
                  <w:pPr>
                    <w:spacing w:after="120"/>
                    <w:rPr>
                      <w:szCs w:val="20"/>
                    </w:rPr>
                  </w:pPr>
                  <w:r w:rsidRPr="008C1954">
                    <w:rPr>
                      <w:b/>
                      <w:bCs/>
                      <w:color w:val="4F81BD" w:themeColor="accent1"/>
                      <w:szCs w:val="20"/>
                    </w:rPr>
                    <w:lastRenderedPageBreak/>
                    <w:t xml:space="preserve">Domain </w:t>
                  </w:r>
                  <w:r>
                    <w:rPr>
                      <w:b/>
                      <w:bCs/>
                      <w:color w:val="4F81BD" w:themeColor="accent1"/>
                      <w:szCs w:val="20"/>
                    </w:rPr>
                    <w:t>5</w:t>
                  </w:r>
                  <w:r w:rsidRPr="008C1954">
                    <w:rPr>
                      <w:b/>
                      <w:bCs/>
                      <w:color w:val="4F81BD" w:themeColor="accent1"/>
                      <w:szCs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EAF6FC"/>
                </w:tcPr>
                <w:p w14:paraId="07025218" w14:textId="77777777" w:rsidR="0036416A" w:rsidRPr="006928C7" w:rsidRDefault="0036416A" w:rsidP="0036416A">
                  <w:pPr>
                    <w:spacing w:after="120"/>
                    <w:rPr>
                      <w:szCs w:val="20"/>
                    </w:rPr>
                  </w:pPr>
                  <w:r w:rsidRPr="008C1954">
                    <w:rPr>
                      <w:szCs w:val="20"/>
                    </w:rPr>
                    <w:t>Does the Government take any of the following measures to respond to refugees and other persons forcibly displaced across international borders?</w:t>
                  </w:r>
                </w:p>
              </w:tc>
              <w:tc>
                <w:tcPr>
                  <w:tcW w:w="5400" w:type="dxa"/>
                  <w:tcBorders>
                    <w:top w:val="single" w:sz="8" w:space="0" w:color="FFFFFF"/>
                    <w:left w:val="single" w:sz="8" w:space="0" w:color="FFFFFF"/>
                    <w:bottom w:val="single" w:sz="8" w:space="0" w:color="FFFFFF"/>
                    <w:right w:val="single" w:sz="8" w:space="0" w:color="FFFFFF"/>
                  </w:tcBorders>
                  <w:shd w:val="clear" w:color="auto" w:fill="EAF6FC"/>
                </w:tcPr>
                <w:p w14:paraId="7F1429AC" w14:textId="77777777" w:rsidR="0036416A" w:rsidRPr="008C1954" w:rsidRDefault="0036416A" w:rsidP="0036416A">
                  <w:pPr>
                    <w:spacing w:after="120"/>
                    <w:ind w:left="151" w:hanging="151"/>
                    <w:rPr>
                      <w:szCs w:val="20"/>
                    </w:rPr>
                  </w:pPr>
                  <w:r w:rsidRPr="008C1954">
                    <w:rPr>
                      <w:szCs w:val="20"/>
                    </w:rPr>
                    <w:t>a. System for receiving, processing and identifying those forced to flee across international borders</w:t>
                  </w:r>
                </w:p>
                <w:p w14:paraId="438FAC36" w14:textId="77777777" w:rsidR="0036416A" w:rsidRPr="008C1954" w:rsidRDefault="0036416A" w:rsidP="0036416A">
                  <w:pPr>
                    <w:spacing w:after="120"/>
                    <w:ind w:left="151" w:hanging="151"/>
                    <w:rPr>
                      <w:szCs w:val="20"/>
                    </w:rPr>
                  </w:pPr>
                  <w:r w:rsidRPr="008C1954">
                    <w:rPr>
                      <w:szCs w:val="20"/>
                    </w:rPr>
                    <w:t>b. Contingency planning for displaced populations in terms of basic needs such as food, sanitation, education and medical care</w:t>
                  </w:r>
                </w:p>
                <w:p w14:paraId="79CE6FDA" w14:textId="77777777" w:rsidR="0036416A" w:rsidRPr="008C1954" w:rsidRDefault="0036416A" w:rsidP="0036416A">
                  <w:pPr>
                    <w:spacing w:after="120"/>
                    <w:ind w:left="151" w:hanging="151"/>
                    <w:rPr>
                      <w:szCs w:val="20"/>
                    </w:rPr>
                  </w:pPr>
                  <w:r w:rsidRPr="008C1954">
                    <w:rPr>
                      <w:szCs w:val="20"/>
                    </w:rPr>
                    <w:t xml:space="preserve">c. Specific measures to provide assistance to citizens residing abroad in countries in crisis or post-crisis situations </w:t>
                  </w:r>
                </w:p>
                <w:p w14:paraId="7FA5EF09" w14:textId="77777777" w:rsidR="0036416A" w:rsidRPr="008C1954" w:rsidRDefault="0036416A" w:rsidP="0036416A">
                  <w:pPr>
                    <w:spacing w:after="120"/>
                    <w:ind w:left="151" w:hanging="151"/>
                    <w:rPr>
                      <w:szCs w:val="20"/>
                    </w:rPr>
                  </w:pPr>
                  <w:r w:rsidRPr="008C1954">
                    <w:rPr>
                      <w:szCs w:val="20"/>
                    </w:rPr>
                    <w:t>d. A national disaster risk reduction strategy with specific provisions for addressing the displacement impacts of disasters</w:t>
                  </w:r>
                </w:p>
                <w:p w14:paraId="1BD01B64" w14:textId="77777777" w:rsidR="0036416A" w:rsidRPr="006928C7" w:rsidRDefault="0036416A" w:rsidP="0036416A">
                  <w:pPr>
                    <w:spacing w:after="120"/>
                    <w:ind w:left="151" w:hanging="151"/>
                    <w:rPr>
                      <w:szCs w:val="20"/>
                    </w:rPr>
                  </w:pPr>
                  <w:r w:rsidRPr="008C1954">
                    <w:rPr>
                      <w:szCs w:val="20"/>
                    </w:rPr>
                    <w:t>e. Grant permission for temporary stay or temporary protection for those forcibly displaced across international borders and those unable to return</w:t>
                  </w:r>
                </w:p>
              </w:tc>
            </w:tr>
            <w:tr w:rsidR="0036416A" w:rsidRPr="006928C7" w14:paraId="174680F2" w14:textId="77777777" w:rsidTr="00A64F0D">
              <w:trPr>
                <w:trHeight w:val="277"/>
                <w:jc w:val="center"/>
              </w:trPr>
              <w:tc>
                <w:tcPr>
                  <w:tcW w:w="1070" w:type="dxa"/>
                  <w:tcBorders>
                    <w:top w:val="single" w:sz="8" w:space="0" w:color="FFFFFF"/>
                    <w:left w:val="single" w:sz="8" w:space="0" w:color="FFFFFF"/>
                    <w:bottom w:val="single" w:sz="8" w:space="0" w:color="FFFFFF"/>
                    <w:right w:val="single" w:sz="8" w:space="0" w:color="FFFFFF"/>
                  </w:tcBorders>
                  <w:shd w:val="clear" w:color="auto" w:fill="DCE6F2"/>
                </w:tcPr>
                <w:p w14:paraId="31B05DAE" w14:textId="77777777" w:rsidR="0036416A" w:rsidRPr="006928C7" w:rsidRDefault="0036416A" w:rsidP="0036416A">
                  <w:pPr>
                    <w:spacing w:after="120"/>
                    <w:rPr>
                      <w:szCs w:val="20"/>
                    </w:rPr>
                  </w:pPr>
                  <w:r w:rsidRPr="008C1954">
                    <w:rPr>
                      <w:b/>
                      <w:bCs/>
                      <w:color w:val="4F81BD" w:themeColor="accent1"/>
                      <w:szCs w:val="20"/>
                    </w:rPr>
                    <w:t xml:space="preserve">Domain </w:t>
                  </w:r>
                  <w:r>
                    <w:rPr>
                      <w:b/>
                      <w:bCs/>
                      <w:color w:val="4F81BD" w:themeColor="accent1"/>
                      <w:szCs w:val="20"/>
                    </w:rPr>
                    <w:t>6</w:t>
                  </w:r>
                  <w:r w:rsidRPr="008C1954">
                    <w:rPr>
                      <w:b/>
                      <w:bCs/>
                      <w:color w:val="4F81BD" w:themeColor="accent1"/>
                      <w:szCs w:val="20"/>
                    </w:rPr>
                    <w:t>:</w:t>
                  </w:r>
                </w:p>
              </w:tc>
              <w:tc>
                <w:tcPr>
                  <w:tcW w:w="2610" w:type="dxa"/>
                  <w:tcBorders>
                    <w:top w:val="single" w:sz="8" w:space="0" w:color="FFFFFF"/>
                    <w:left w:val="single" w:sz="8" w:space="0" w:color="FFFFFF"/>
                    <w:bottom w:val="single" w:sz="8" w:space="0" w:color="FFFFFF"/>
                    <w:right w:val="single" w:sz="8" w:space="0" w:color="FFFFFF"/>
                  </w:tcBorders>
                  <w:shd w:val="clear" w:color="auto" w:fill="DCE6F2"/>
                </w:tcPr>
                <w:p w14:paraId="56069D9F" w14:textId="77777777" w:rsidR="0036416A" w:rsidRPr="006928C7" w:rsidRDefault="0036416A" w:rsidP="0036416A">
                  <w:pPr>
                    <w:spacing w:after="120"/>
                    <w:rPr>
                      <w:szCs w:val="20"/>
                    </w:rPr>
                  </w:pPr>
                  <w:r w:rsidRPr="008C1954">
                    <w:rPr>
                      <w:szCs w:val="20"/>
                    </w:rPr>
                    <w:t xml:space="preserve">Does the Government address regular or </w:t>
                  </w:r>
                  <w:r w:rsidRPr="00335EB5">
                    <w:rPr>
                      <w:szCs w:val="20"/>
                    </w:rPr>
                    <w:t>irregular immigration through any of the following measures?</w:t>
                  </w:r>
                </w:p>
              </w:tc>
              <w:tc>
                <w:tcPr>
                  <w:tcW w:w="5400" w:type="dxa"/>
                  <w:tcBorders>
                    <w:top w:val="single" w:sz="8" w:space="0" w:color="FFFFFF"/>
                    <w:left w:val="single" w:sz="8" w:space="0" w:color="FFFFFF"/>
                    <w:bottom w:val="single" w:sz="8" w:space="0" w:color="FFFFFF"/>
                    <w:right w:val="single" w:sz="8" w:space="0" w:color="FFFFFF"/>
                  </w:tcBorders>
                  <w:shd w:val="clear" w:color="auto" w:fill="DCE6F2"/>
                </w:tcPr>
                <w:p w14:paraId="56D9CC8E" w14:textId="77777777" w:rsidR="0036416A" w:rsidRPr="008C1954" w:rsidRDefault="0036416A" w:rsidP="0036416A">
                  <w:pPr>
                    <w:spacing w:after="120"/>
                    <w:ind w:left="151" w:hanging="151"/>
                    <w:rPr>
                      <w:szCs w:val="20"/>
                    </w:rPr>
                  </w:pPr>
                  <w:r w:rsidRPr="008C1954">
                    <w:rPr>
                      <w:szCs w:val="20"/>
                    </w:rPr>
                    <w:t>a. System to monitor visa overstays</w:t>
                  </w:r>
                </w:p>
                <w:p w14:paraId="7C893DB9" w14:textId="77777777" w:rsidR="0036416A" w:rsidRPr="008C1954" w:rsidRDefault="0036416A" w:rsidP="0036416A">
                  <w:pPr>
                    <w:spacing w:after="120"/>
                    <w:ind w:left="151" w:hanging="151"/>
                    <w:rPr>
                      <w:szCs w:val="20"/>
                    </w:rPr>
                  </w:pPr>
                  <w:r w:rsidRPr="008C1954">
                    <w:rPr>
                      <w:szCs w:val="20"/>
                    </w:rPr>
                    <w:t>b. Pre-arrival authorization controls</w:t>
                  </w:r>
                </w:p>
                <w:p w14:paraId="3811CFC1" w14:textId="77777777" w:rsidR="0036416A" w:rsidRPr="008C1954" w:rsidRDefault="0036416A" w:rsidP="0036416A">
                  <w:pPr>
                    <w:spacing w:after="120"/>
                    <w:ind w:left="151" w:hanging="151"/>
                    <w:rPr>
                      <w:szCs w:val="20"/>
                    </w:rPr>
                  </w:pPr>
                  <w:r w:rsidRPr="008C1954">
                    <w:rPr>
                      <w:szCs w:val="20"/>
                    </w:rPr>
                    <w:t>c. Provisions for unaccompanied minors or separated children</w:t>
                  </w:r>
                </w:p>
                <w:p w14:paraId="1E5BE82C" w14:textId="77777777" w:rsidR="0036416A" w:rsidRPr="008C1954" w:rsidRDefault="0036416A" w:rsidP="0036416A">
                  <w:pPr>
                    <w:spacing w:after="120"/>
                    <w:ind w:left="151" w:hanging="151"/>
                    <w:rPr>
                      <w:szCs w:val="20"/>
                    </w:rPr>
                  </w:pPr>
                  <w:r w:rsidRPr="008C1954">
                    <w:rPr>
                      <w:szCs w:val="20"/>
                    </w:rPr>
                    <w:t>d. Migration information and awareness-raising campaigns</w:t>
                  </w:r>
                </w:p>
                <w:p w14:paraId="46E69748" w14:textId="77777777" w:rsidR="0036416A" w:rsidRPr="006928C7" w:rsidRDefault="0036416A" w:rsidP="0036416A">
                  <w:pPr>
                    <w:spacing w:after="120"/>
                    <w:ind w:left="151" w:hanging="151"/>
                    <w:rPr>
                      <w:szCs w:val="20"/>
                    </w:rPr>
                  </w:pPr>
                  <w:r w:rsidRPr="008C1954">
                    <w:rPr>
                      <w:szCs w:val="20"/>
                    </w:rPr>
                    <w:t>e. Formal strategies to address trafficking in persons and migrant smuggling</w:t>
                  </w:r>
                </w:p>
              </w:tc>
            </w:tr>
          </w:tbl>
          <w:p w14:paraId="06CD8AF3" w14:textId="77777777" w:rsidR="0036416A" w:rsidRDefault="0036416A" w:rsidP="0036416A">
            <w:pPr>
              <w:pStyle w:val="NoSpacing"/>
            </w:pPr>
          </w:p>
          <w:p w14:paraId="16584740" w14:textId="77777777" w:rsidR="0036416A" w:rsidRDefault="0036416A" w:rsidP="0036416A">
            <w:pPr>
              <w:pStyle w:val="NoSpacing"/>
            </w:pPr>
            <w:r>
              <w:t>Concepts:</w:t>
            </w:r>
          </w:p>
          <w:p w14:paraId="53B213DA" w14:textId="77777777" w:rsidR="0036416A" w:rsidRDefault="0036416A" w:rsidP="0036416A">
            <w:pPr>
              <w:pStyle w:val="NoSpacing"/>
            </w:pPr>
            <w:r>
              <w:t xml:space="preserve">SDG target 10.7 is broad in scope and many, but not all, of the terms are well defined. The IOM Glossary on </w:t>
            </w:r>
            <w:proofErr w:type="gramStart"/>
            <w:r>
              <w:t>Migration  provides</w:t>
            </w:r>
            <w:proofErr w:type="gramEnd"/>
            <w:r>
              <w:t xml:space="preserve"> a definition of key concepts such as orderly and regular migration, but not others such as safe and responsible migration. According to the Glossary, orderly migration refers to “the movement of a person from his/her usual place of residence, in keeping with the laws and regulations governing exit of the country of origin and travel, transit and entry into the host country”. Regular is defined as “migration that occurs through recognized, legal channels”. </w:t>
            </w:r>
          </w:p>
          <w:p w14:paraId="71B07579" w14:textId="77777777" w:rsidR="0036416A" w:rsidRDefault="0036416A" w:rsidP="0036416A">
            <w:pPr>
              <w:pStyle w:val="NoSpacing"/>
            </w:pPr>
          </w:p>
          <w:p w14:paraId="199796A6" w14:textId="77777777" w:rsidR="0036416A" w:rsidRDefault="0036416A" w:rsidP="0036416A">
            <w:pPr>
              <w:pStyle w:val="NoSpacing"/>
            </w:pPr>
            <w:r>
              <w:t xml:space="preserve">While the concept of “well-managed migration policies” is not explicitly defined, according to the IOM Glossary, it is included in references to migration management, migration governance and facilitated migration. Migration management refers to the </w:t>
            </w:r>
            <w:r>
              <w:lastRenderedPageBreak/>
              <w:t>planned approach to the development of policy, and legislative and administrative responses to key migration issues. Migration governance is defined as a system of institutions, legal frameworks, mechanisms and practices aimed at regulating migration and protecting migrants. Facilitated migration refers to fostering or encouraging regular migration, for example through streamlined visa application process.</w:t>
            </w:r>
          </w:p>
          <w:p w14:paraId="677B2329" w14:textId="77777777" w:rsidR="0036416A" w:rsidRDefault="0036416A" w:rsidP="0036416A">
            <w:pPr>
              <w:pStyle w:val="NoSpacing"/>
            </w:pPr>
          </w:p>
          <w:p w14:paraId="7A00D952" w14:textId="77777777" w:rsidR="0036416A" w:rsidRDefault="0036416A" w:rsidP="0036416A">
            <w:pPr>
              <w:pStyle w:val="NoSpacing"/>
            </w:pPr>
            <w:r>
              <w:t>Comments and limitations:</w:t>
            </w:r>
          </w:p>
          <w:p w14:paraId="0D9E218B" w14:textId="77777777" w:rsidR="0036416A" w:rsidRDefault="0036416A" w:rsidP="0036416A">
            <w:pPr>
              <w:pStyle w:val="NoSpacing"/>
            </w:pPr>
            <w:r>
              <w:t>Developing a synthetic, robust indicator with the breadth and scope of target 10.7 as formulated in the 2030 Agenda for Sustainable Development is challenging. As co-custodians of indicator 10.7.2, UN DESA and IOM recognize that the indicator is neither expected nor designed to be comprehensive (figure 2); hence the importance of other, complementary tools such as IOM’s Migration Governance Indicators (MGI) Project.1</w:t>
            </w:r>
          </w:p>
          <w:p w14:paraId="067983A1" w14:textId="77777777" w:rsidR="0036416A" w:rsidRDefault="0036416A" w:rsidP="0036416A">
            <w:pPr>
              <w:pStyle w:val="NoSpacing"/>
            </w:pPr>
            <w:r>
              <w:t>Computation Method:</w:t>
            </w:r>
          </w:p>
          <w:p w14:paraId="7EBB5874" w14:textId="77777777" w:rsidR="0036416A" w:rsidRDefault="0036416A" w:rsidP="0036416A">
            <w:pPr>
              <w:pStyle w:val="NoSpacing"/>
            </w:pPr>
            <w:r>
              <w:t xml:space="preserve">The indicator includes a total of 30 subcategories, </w:t>
            </w:r>
            <w:proofErr w:type="gramStart"/>
            <w:r>
              <w:t>under</w:t>
            </w:r>
            <w:proofErr w:type="gramEnd"/>
            <w:r>
              <w:t xml:space="preserve"> 6 questions/domains. All subcategories, except for those under domain 1, have dichotomous “Yes/No” answers, coded “1” for “Yes” and “0” for “No”. For the subcategories under domain 1, there are three possible answers: “Yes, regardless of immigration status”, coded “1”; “Yes, only for those with legal immigration status”, coded “0.5”; and “No” coded “0”.</w:t>
            </w:r>
          </w:p>
          <w:p w14:paraId="743D5758" w14:textId="77777777" w:rsidR="0036416A" w:rsidRDefault="0036416A" w:rsidP="0036416A">
            <w:pPr>
              <w:pStyle w:val="NoSpacing"/>
            </w:pPr>
          </w:p>
          <w:p w14:paraId="704CB8E3" w14:textId="77777777" w:rsidR="0036416A" w:rsidRDefault="0036416A" w:rsidP="0036416A">
            <w:pPr>
              <w:pStyle w:val="NoSpacing"/>
            </w:pPr>
            <w:r>
              <w:t>For each domain, the computational methodology is the unweighted average of the subcategories under each domain:</w:t>
            </w:r>
          </w:p>
          <w:p w14:paraId="4A5DC849" w14:textId="77777777" w:rsidR="0036416A" w:rsidRDefault="004B4A24" w:rsidP="0036416A">
            <w:pPr>
              <w:pStyle w:val="NoSpacing"/>
            </w:pPr>
            <m:oMath>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i</m:t>
                  </m:r>
                </m:sub>
              </m:sSub>
              <m:r>
                <m:rPr>
                  <m:sty m:val="p"/>
                </m:rPr>
                <w:rPr>
                  <w:rFonts w:ascii="Cambria Math" w:hAnsi="Cambria Math" w:cs="Cambria Math"/>
                </w:rPr>
                <m:t>=</m:t>
              </m:r>
              <m:f>
                <m:fPr>
                  <m:ctrlPr>
                    <w:rPr>
                      <w:rFonts w:ascii="Cambria Math" w:hAnsi="Cambria Math" w:cs="Cambria Math"/>
                    </w:rPr>
                  </m:ctrlPr>
                </m:fPr>
                <m:num>
                  <m:nary>
                    <m:naryPr>
                      <m:chr m:val="∑"/>
                      <m:limLoc m:val="undOvr"/>
                      <m:ctrlPr>
                        <w:rPr>
                          <w:rFonts w:ascii="Cambria Math" w:hAnsi="Cambria Math" w:cs="Cambria Math"/>
                          <w:i/>
                        </w:rPr>
                      </m:ctrlPr>
                    </m:naryPr>
                    <m:sub>
                      <m:r>
                        <w:rPr>
                          <w:rFonts w:ascii="Cambria Math" w:hAnsi="Cambria Math" w:cs="Cambria Math"/>
                        </w:rPr>
                        <m:t>j</m:t>
                      </m:r>
                    </m:sub>
                    <m:sup/>
                    <m:e>
                      <m:sSub>
                        <m:sSubPr>
                          <m:ctrlPr>
                            <w:rPr>
                              <w:rFonts w:ascii="Cambria Math" w:hAnsi="Cambria Math" w:cs="Cambria Math"/>
                              <w:i/>
                            </w:rPr>
                          </m:ctrlPr>
                        </m:sSubPr>
                        <m:e>
                          <m:r>
                            <w:rPr>
                              <w:rFonts w:ascii="Cambria Math" w:hAnsi="Cambria Math" w:cs="Cambria Math"/>
                            </w:rPr>
                            <m:t>s</m:t>
                          </m:r>
                        </m:e>
                        <m:sub>
                          <m:r>
                            <w:rPr>
                              <w:rFonts w:ascii="Cambria Math" w:hAnsi="Cambria Math" w:cs="Cambria Math"/>
                            </w:rPr>
                            <m:t>ji</m:t>
                          </m:r>
                        </m:sub>
                      </m:sSub>
                    </m:e>
                  </m:nary>
                </m:num>
                <m:den>
                  <m:r>
                    <m:rPr>
                      <m:sty m:val="p"/>
                    </m:rPr>
                    <w:rPr>
                      <w:rFonts w:ascii="Cambria Math" w:hAnsi="Cambria Math" w:cs="Cambria Math"/>
                    </w:rPr>
                    <m:t>n</m:t>
                  </m:r>
                </m:den>
              </m:f>
            </m:oMath>
            <w:r w:rsidR="0036416A">
              <w:rPr>
                <w:rFonts w:eastAsiaTheme="minorEastAsia"/>
              </w:rPr>
              <w:t>100</w:t>
            </w:r>
          </w:p>
          <w:p w14:paraId="55386BBF" w14:textId="77777777" w:rsidR="0036416A" w:rsidRDefault="0036416A" w:rsidP="0036416A">
            <w:pPr>
              <w:pStyle w:val="NoSpacing"/>
            </w:pPr>
          </w:p>
          <w:p w14:paraId="708A55AD" w14:textId="3871E964" w:rsidR="0036416A" w:rsidRDefault="0036416A" w:rsidP="0036416A">
            <w:pPr>
              <w:pStyle w:val="NoSpacing"/>
            </w:pPr>
            <w:r>
              <w:t xml:space="preserve">Where </w:t>
            </w:r>
            <m:oMath>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i</m:t>
                  </m:r>
                </m:sub>
              </m:sSub>
            </m:oMath>
            <w:r w:rsidRPr="000D292B">
              <w:rPr>
                <w:i/>
                <w:iCs/>
                <w:sz w:val="14"/>
                <w:szCs w:val="14"/>
              </w:rPr>
              <w:t xml:space="preserve"> </w:t>
            </w:r>
            <w:r w:rsidRPr="000D292B">
              <w:t>r</w:t>
            </w:r>
            <w:r w:rsidDel="005833E8">
              <w:t xml:space="preserve"> </w:t>
            </w:r>
            <w:r>
              <w:t xml:space="preserve">refers to domain i; </w:t>
            </w:r>
            <m:oMath>
              <m:nary>
                <m:naryPr>
                  <m:chr m:val="∑"/>
                  <m:limLoc m:val="undOvr"/>
                  <m:ctrlPr>
                    <w:rPr>
                      <w:rFonts w:ascii="Cambria Math" w:hAnsi="Cambria Math" w:cs="Cambria Math"/>
                      <w:i/>
                    </w:rPr>
                  </m:ctrlPr>
                </m:naryPr>
                <m:sub>
                  <m:r>
                    <w:rPr>
                      <w:rFonts w:ascii="Cambria Math" w:hAnsi="Cambria Math" w:cs="Cambria Math"/>
                    </w:rPr>
                    <m:t>j</m:t>
                  </m:r>
                </m:sub>
                <m:sup/>
                <m:e>
                  <m:sSub>
                    <m:sSubPr>
                      <m:ctrlPr>
                        <w:rPr>
                          <w:rFonts w:ascii="Cambria Math" w:hAnsi="Cambria Math" w:cs="Cambria Math"/>
                          <w:i/>
                        </w:rPr>
                      </m:ctrlPr>
                    </m:sSubPr>
                    <m:e>
                      <m:r>
                        <w:rPr>
                          <w:rFonts w:ascii="Cambria Math" w:hAnsi="Cambria Math" w:cs="Cambria Math"/>
                        </w:rPr>
                        <m:t>s</m:t>
                      </m:r>
                    </m:e>
                    <m:sub>
                      <m:r>
                        <w:rPr>
                          <w:rFonts w:ascii="Cambria Math" w:hAnsi="Cambria Math" w:cs="Cambria Math"/>
                        </w:rPr>
                        <m:t>ji</m:t>
                      </m:r>
                    </m:sub>
                  </m:sSub>
                </m:e>
              </m:nary>
            </m:oMath>
            <w:r>
              <w:t>_</w:t>
            </w:r>
            <w:proofErr w:type="gramStart"/>
            <w:r>
              <w:t>ji  refers</w:t>
            </w:r>
            <w:proofErr w:type="gramEnd"/>
            <w:r>
              <w:t xml:space="preserve"> to the sum of the subcategories j under domain i; and n refers to the total number of subcategories in each domain. Results are reported as percentages. For each domain, values range from a minimum of 0 to a maximum of 100 per cent.</w:t>
            </w:r>
          </w:p>
          <w:p w14:paraId="0605BF25" w14:textId="77777777" w:rsidR="0036416A" w:rsidRDefault="0036416A" w:rsidP="0036416A">
            <w:pPr>
              <w:pStyle w:val="NoSpacing"/>
            </w:pPr>
          </w:p>
          <w:p w14:paraId="25829422" w14:textId="77777777" w:rsidR="0036416A" w:rsidRDefault="0036416A" w:rsidP="0036416A">
            <w:pPr>
              <w:pStyle w:val="NoSpacing"/>
              <w:rPr>
                <w:lang w:bidi="bn-BD"/>
              </w:rPr>
            </w:pPr>
            <w:r>
              <w:t>The overall synthetic indicator 10.7.2 is obtained by computing the unweighted average of the values of the 30 subcategories under the six domains, with values ranging between 0 and 100 per cent</w:t>
            </w:r>
            <w:r>
              <w:rPr>
                <w:rFonts w:hint="cs"/>
                <w:cs/>
                <w:lang w:bidi="bn-BD"/>
              </w:rPr>
              <w:t>.</w:t>
            </w:r>
          </w:p>
          <w:p w14:paraId="1D799DD7" w14:textId="77777777" w:rsidR="0036416A" w:rsidRDefault="0036416A" w:rsidP="0036416A">
            <w:pPr>
              <w:pStyle w:val="NoSpacing"/>
              <w:rPr>
                <w:lang w:bidi="bn-BD"/>
              </w:rPr>
            </w:pPr>
            <w:r>
              <w:t>For ease of interpretation and to summarize results, the resulting averages are then recategorized as follows: values of less than 40 per cent are coded as “Requires further progress”; values of 40 per cent to less than 80 per cent are coded as “Partially meets”, and values of 80 per cent or more are coded as “Meets or fully meets”.</w:t>
            </w:r>
          </w:p>
        </w:tc>
        <w:tc>
          <w:tcPr>
            <w:tcW w:w="0" w:type="auto"/>
          </w:tcPr>
          <w:p w14:paraId="5DA91181" w14:textId="77777777" w:rsidR="0036416A" w:rsidRDefault="0036416A" w:rsidP="0036416A">
            <w:pPr>
              <w:pStyle w:val="NoSpacing"/>
            </w:pPr>
            <w:r w:rsidRPr="000D292B">
              <w:lastRenderedPageBreak/>
              <w:t>UN Inquiry among Governments on Population and Development</w:t>
            </w:r>
          </w:p>
        </w:tc>
        <w:tc>
          <w:tcPr>
            <w:tcW w:w="0" w:type="auto"/>
          </w:tcPr>
          <w:p w14:paraId="3A1157E2" w14:textId="77777777" w:rsidR="0036416A" w:rsidRPr="000D292B" w:rsidRDefault="0036416A" w:rsidP="0036416A">
            <w:pPr>
              <w:pStyle w:val="NoSpacing"/>
            </w:pPr>
            <w:r w:rsidRPr="000D292B">
              <w:t>Governments of 193 Member States, 2 observer States, and 2 non-member States.</w:t>
            </w:r>
          </w:p>
          <w:p w14:paraId="466540A8" w14:textId="77777777" w:rsidR="0036416A" w:rsidRDefault="0036416A" w:rsidP="0036416A">
            <w:pPr>
              <w:pStyle w:val="NoSpacing"/>
            </w:pPr>
          </w:p>
        </w:tc>
        <w:tc>
          <w:tcPr>
            <w:tcW w:w="0" w:type="auto"/>
          </w:tcPr>
          <w:p w14:paraId="62DAB0D5" w14:textId="5474F44E" w:rsidR="0036416A" w:rsidRDefault="0036416A" w:rsidP="0036416A">
            <w:pPr>
              <w:pStyle w:val="NoSpacing"/>
              <w:rPr>
                <w:color w:val="0070C0"/>
                <w:sz w:val="30"/>
                <w:szCs w:val="30"/>
              </w:rPr>
            </w:pPr>
          </w:p>
        </w:tc>
        <w:tc>
          <w:tcPr>
            <w:tcW w:w="0" w:type="auto"/>
          </w:tcPr>
          <w:p w14:paraId="3289CC3F" w14:textId="4CD2D61D" w:rsidR="0036416A" w:rsidRDefault="0036416A" w:rsidP="0036416A">
            <w:pPr>
              <w:pStyle w:val="NoSpacing"/>
              <w:rPr>
                <w:color w:val="0070C0"/>
                <w:sz w:val="30"/>
                <w:szCs w:val="30"/>
              </w:rPr>
            </w:pPr>
          </w:p>
        </w:tc>
        <w:tc>
          <w:tcPr>
            <w:tcW w:w="0" w:type="auto"/>
          </w:tcPr>
          <w:p w14:paraId="7DCCB86F" w14:textId="77777777" w:rsidR="006B435B" w:rsidRDefault="006B435B" w:rsidP="000C4849">
            <w:pPr>
              <w:jc w:val="both"/>
              <w:rPr>
                <w:color w:val="0070C0"/>
                <w:szCs w:val="20"/>
              </w:rPr>
            </w:pPr>
            <w:r>
              <w:rPr>
                <w:color w:val="0070C0"/>
                <w:szCs w:val="20"/>
              </w:rPr>
              <w:t>Six policy domains:</w:t>
            </w:r>
          </w:p>
          <w:p w14:paraId="77B80A2C" w14:textId="31CC6CBE" w:rsidR="006B435B" w:rsidRDefault="006B435B" w:rsidP="000C4849">
            <w:pPr>
              <w:jc w:val="both"/>
              <w:rPr>
                <w:color w:val="0070C0"/>
                <w:szCs w:val="20"/>
              </w:rPr>
            </w:pPr>
            <w:r w:rsidRPr="006B435B">
              <w:rPr>
                <w:color w:val="0070C0"/>
                <w:szCs w:val="20"/>
              </w:rPr>
              <w:t xml:space="preserve">(i) migrant rights; </w:t>
            </w:r>
          </w:p>
          <w:p w14:paraId="09A22C39" w14:textId="77777777" w:rsidR="006B435B" w:rsidRDefault="006B435B" w:rsidP="000C4849">
            <w:pPr>
              <w:jc w:val="both"/>
              <w:rPr>
                <w:color w:val="0070C0"/>
                <w:szCs w:val="20"/>
              </w:rPr>
            </w:pPr>
            <w:r>
              <w:rPr>
                <w:color w:val="0070C0"/>
                <w:szCs w:val="20"/>
              </w:rPr>
              <w:t xml:space="preserve">(ii) </w:t>
            </w:r>
            <w:r w:rsidRPr="006B435B">
              <w:rPr>
                <w:color w:val="0070C0"/>
                <w:szCs w:val="20"/>
              </w:rPr>
              <w:t xml:space="preserve">whole-of-government/evidence-based policies; </w:t>
            </w:r>
          </w:p>
          <w:p w14:paraId="39F7D5EB" w14:textId="77777777" w:rsidR="006B435B" w:rsidRDefault="006B435B" w:rsidP="000C4849">
            <w:pPr>
              <w:jc w:val="both"/>
              <w:rPr>
                <w:color w:val="0070C0"/>
                <w:szCs w:val="20"/>
              </w:rPr>
            </w:pPr>
            <w:r w:rsidRPr="006B435B">
              <w:rPr>
                <w:color w:val="0070C0"/>
                <w:szCs w:val="20"/>
              </w:rPr>
              <w:t xml:space="preserve">(iii) cooperation and partnerships; </w:t>
            </w:r>
          </w:p>
          <w:p w14:paraId="43E4438E" w14:textId="77777777" w:rsidR="006B435B" w:rsidRDefault="006B435B" w:rsidP="000C4849">
            <w:pPr>
              <w:jc w:val="both"/>
              <w:rPr>
                <w:color w:val="0070C0"/>
                <w:szCs w:val="20"/>
              </w:rPr>
            </w:pPr>
            <w:r w:rsidRPr="006B435B">
              <w:rPr>
                <w:color w:val="0070C0"/>
                <w:szCs w:val="20"/>
              </w:rPr>
              <w:t>(iv) socioeconomic well-being;</w:t>
            </w:r>
          </w:p>
          <w:p w14:paraId="56D6CDC1" w14:textId="77777777" w:rsidR="006B435B" w:rsidRDefault="006B435B" w:rsidP="000C4849">
            <w:pPr>
              <w:jc w:val="both"/>
              <w:rPr>
                <w:color w:val="0070C0"/>
                <w:szCs w:val="20"/>
              </w:rPr>
            </w:pPr>
            <w:r w:rsidRPr="006B435B">
              <w:rPr>
                <w:color w:val="0070C0"/>
                <w:szCs w:val="20"/>
              </w:rPr>
              <w:t xml:space="preserve"> (v) mobility dimensions of crises; and </w:t>
            </w:r>
          </w:p>
          <w:p w14:paraId="5A8A1E9A" w14:textId="09A03FB5" w:rsidR="0036416A" w:rsidRPr="000C4849" w:rsidRDefault="006B435B" w:rsidP="000C4849">
            <w:pPr>
              <w:jc w:val="both"/>
              <w:rPr>
                <w:color w:val="0070C0"/>
                <w:szCs w:val="20"/>
              </w:rPr>
            </w:pPr>
            <w:r w:rsidRPr="006B435B">
              <w:rPr>
                <w:color w:val="0070C0"/>
                <w:szCs w:val="20"/>
              </w:rPr>
              <w:t xml:space="preserve">(vi) </w:t>
            </w:r>
            <w:proofErr w:type="gramStart"/>
            <w:r w:rsidRPr="006B435B">
              <w:rPr>
                <w:color w:val="0070C0"/>
                <w:szCs w:val="20"/>
              </w:rPr>
              <w:t>safe</w:t>
            </w:r>
            <w:proofErr w:type="gramEnd"/>
            <w:r w:rsidRPr="006B435B">
              <w:rPr>
                <w:color w:val="0070C0"/>
                <w:szCs w:val="20"/>
              </w:rPr>
              <w:t>, orderly and regular migration.</w:t>
            </w:r>
          </w:p>
        </w:tc>
        <w:tc>
          <w:tcPr>
            <w:tcW w:w="0" w:type="auto"/>
          </w:tcPr>
          <w:p w14:paraId="7FC4E504" w14:textId="77777777" w:rsidR="0036416A" w:rsidRDefault="0036416A" w:rsidP="0036416A">
            <w:pPr>
              <w:ind w:left="970" w:hanging="970"/>
              <w:jc w:val="both"/>
              <w:rPr>
                <w:color w:val="0070C0"/>
                <w:sz w:val="30"/>
                <w:szCs w:val="30"/>
              </w:rPr>
            </w:pPr>
            <w:r w:rsidRPr="00BC6F10">
              <w:t>5-yearly</w:t>
            </w:r>
          </w:p>
        </w:tc>
        <w:tc>
          <w:tcPr>
            <w:tcW w:w="0" w:type="auto"/>
          </w:tcPr>
          <w:p w14:paraId="3F92B9F2" w14:textId="77777777" w:rsidR="0036416A" w:rsidRDefault="0036416A" w:rsidP="0036416A">
            <w:pPr>
              <w:ind w:left="970" w:hanging="970"/>
              <w:jc w:val="both"/>
              <w:rPr>
                <w:color w:val="0070C0"/>
                <w:sz w:val="30"/>
                <w:szCs w:val="30"/>
              </w:rPr>
            </w:pPr>
            <w:r>
              <w:t>Group 2</w:t>
            </w:r>
          </w:p>
        </w:tc>
        <w:tc>
          <w:tcPr>
            <w:tcW w:w="0" w:type="auto"/>
          </w:tcPr>
          <w:p w14:paraId="7CB0742B" w14:textId="77777777" w:rsidR="0036416A" w:rsidRDefault="0036416A" w:rsidP="0036416A">
            <w:pPr>
              <w:pStyle w:val="NoSpacing"/>
            </w:pPr>
            <w:r>
              <w:t>1</w:t>
            </w:r>
            <w:r w:rsidRPr="00013ACB">
              <w:rPr>
                <w:vertAlign w:val="superscript"/>
              </w:rPr>
              <w:t>st</w:t>
            </w:r>
            <w:r>
              <w:t xml:space="preserve"> Round: </w:t>
            </w:r>
          </w:p>
          <w:p w14:paraId="186597D9" w14:textId="77777777" w:rsidR="0036416A" w:rsidRDefault="0036416A" w:rsidP="0036416A">
            <w:pPr>
              <w:pStyle w:val="NoSpacing"/>
            </w:pPr>
            <w:r>
              <w:t>June 2020</w:t>
            </w:r>
          </w:p>
          <w:p w14:paraId="0C7F2DFC" w14:textId="77777777" w:rsidR="0036416A" w:rsidRDefault="0036416A" w:rsidP="0036416A">
            <w:pPr>
              <w:pStyle w:val="NoSpacing"/>
            </w:pPr>
          </w:p>
          <w:p w14:paraId="0613E156" w14:textId="77777777" w:rsidR="0036416A" w:rsidRDefault="0036416A" w:rsidP="0036416A">
            <w:pPr>
              <w:pStyle w:val="NoSpacing"/>
            </w:pPr>
            <w:r>
              <w:t>2</w:t>
            </w:r>
            <w:r w:rsidRPr="00013ACB">
              <w:rPr>
                <w:vertAlign w:val="superscript"/>
              </w:rPr>
              <w:t>nd</w:t>
            </w:r>
            <w:r>
              <w:t xml:space="preserve"> Round: </w:t>
            </w:r>
          </w:p>
          <w:p w14:paraId="43B849FA" w14:textId="77777777" w:rsidR="0036416A" w:rsidRDefault="0036416A" w:rsidP="0036416A">
            <w:pPr>
              <w:pStyle w:val="NoSpacing"/>
            </w:pPr>
            <w:r>
              <w:t>June 2025</w:t>
            </w:r>
          </w:p>
          <w:p w14:paraId="0FFADC55" w14:textId="77777777" w:rsidR="0036416A" w:rsidRDefault="0036416A" w:rsidP="0036416A">
            <w:pPr>
              <w:pStyle w:val="NoSpacing"/>
            </w:pPr>
          </w:p>
          <w:p w14:paraId="25E35A8F" w14:textId="77777777" w:rsidR="0036416A" w:rsidRDefault="0036416A" w:rsidP="0036416A">
            <w:pPr>
              <w:pStyle w:val="NoSpacing"/>
            </w:pPr>
            <w:r>
              <w:t>3</w:t>
            </w:r>
            <w:r w:rsidRPr="00013ACB">
              <w:rPr>
                <w:vertAlign w:val="superscript"/>
              </w:rPr>
              <w:t>rd</w:t>
            </w:r>
            <w:r>
              <w:t xml:space="preserve"> Round: </w:t>
            </w:r>
          </w:p>
          <w:p w14:paraId="7AF45D8A" w14:textId="1E15E3D6" w:rsidR="0036416A" w:rsidRDefault="0036416A" w:rsidP="0036416A">
            <w:pPr>
              <w:ind w:left="970" w:hanging="970"/>
              <w:jc w:val="both"/>
              <w:rPr>
                <w:color w:val="0070C0"/>
                <w:sz w:val="30"/>
                <w:szCs w:val="30"/>
              </w:rPr>
            </w:pPr>
            <w:r>
              <w:t>June 2030</w:t>
            </w:r>
          </w:p>
        </w:tc>
        <w:tc>
          <w:tcPr>
            <w:tcW w:w="0" w:type="auto"/>
          </w:tcPr>
          <w:p w14:paraId="0BB5752A" w14:textId="77777777" w:rsidR="0036416A" w:rsidRDefault="0036416A" w:rsidP="0036416A">
            <w:pPr>
              <w:pStyle w:val="NoSpacing"/>
            </w:pPr>
            <w:r>
              <w:t>Data should be provided as per metadata</w:t>
            </w:r>
          </w:p>
          <w:p w14:paraId="4B5C93D0" w14:textId="77777777" w:rsidR="0036416A" w:rsidRDefault="0036416A" w:rsidP="0036416A">
            <w:pPr>
              <w:pStyle w:val="NoSpacing"/>
            </w:pPr>
          </w:p>
          <w:p w14:paraId="399F7E4F" w14:textId="77777777" w:rsidR="0036416A" w:rsidRPr="00B950AC" w:rsidRDefault="0036416A" w:rsidP="0036416A">
            <w:pPr>
              <w:pStyle w:val="NoSpacing"/>
            </w:pPr>
            <w:r w:rsidRPr="00B950AC">
              <w:t>UNSC 50 refinement; Reviewed at 8th IAEG-SDG meeting (classified as Tier II)</w:t>
            </w:r>
          </w:p>
        </w:tc>
      </w:tr>
      <w:tr w:rsidR="0036416A" w14:paraId="256B0E6C" w14:textId="77777777" w:rsidTr="00A64F0D">
        <w:tc>
          <w:tcPr>
            <w:tcW w:w="0" w:type="auto"/>
          </w:tcPr>
          <w:p w14:paraId="1E9E909E" w14:textId="77777777" w:rsidR="0036416A" w:rsidRPr="003E7D26" w:rsidRDefault="0036416A" w:rsidP="0036416A">
            <w:pPr>
              <w:pStyle w:val="NoSpacing"/>
            </w:pPr>
            <w:r w:rsidRPr="003E7D26">
              <w:lastRenderedPageBreak/>
              <w:t xml:space="preserve">10.7.3 Number of people who died or disappeared in the process of migration </w:t>
            </w:r>
            <w:r w:rsidRPr="003E7D26">
              <w:lastRenderedPageBreak/>
              <w:t>towards an international destination</w:t>
            </w:r>
          </w:p>
        </w:tc>
        <w:tc>
          <w:tcPr>
            <w:tcW w:w="0" w:type="auto"/>
          </w:tcPr>
          <w:p w14:paraId="441EB213" w14:textId="006EAF79" w:rsidR="0036416A" w:rsidRPr="0025292C" w:rsidRDefault="0025292C" w:rsidP="0025292C">
            <w:pPr>
              <w:ind w:left="970" w:hanging="970"/>
              <w:jc w:val="center"/>
              <w:rPr>
                <w:color w:val="FF0000"/>
                <w:sz w:val="30"/>
                <w:szCs w:val="30"/>
              </w:rPr>
            </w:pPr>
            <w:r w:rsidRPr="0025292C">
              <w:rPr>
                <w:color w:val="FF0000"/>
                <w:sz w:val="30"/>
                <w:szCs w:val="30"/>
              </w:rPr>
              <w:lastRenderedPageBreak/>
              <w:t>??</w:t>
            </w:r>
          </w:p>
          <w:p w14:paraId="68A250FA" w14:textId="77777777" w:rsidR="0036416A" w:rsidRDefault="0036416A" w:rsidP="0036416A">
            <w:pPr>
              <w:rPr>
                <w:color w:val="0070C0"/>
                <w:sz w:val="30"/>
                <w:szCs w:val="30"/>
              </w:rPr>
            </w:pPr>
          </w:p>
        </w:tc>
        <w:tc>
          <w:tcPr>
            <w:tcW w:w="0" w:type="auto"/>
          </w:tcPr>
          <w:p w14:paraId="36096B00" w14:textId="2003D36C" w:rsidR="0036416A" w:rsidRDefault="00754676" w:rsidP="0036416A">
            <w:pPr>
              <w:pStyle w:val="NoSpacing"/>
            </w:pPr>
            <w:r>
              <w:t>TBD</w:t>
            </w:r>
          </w:p>
        </w:tc>
        <w:tc>
          <w:tcPr>
            <w:tcW w:w="0" w:type="auto"/>
          </w:tcPr>
          <w:p w14:paraId="225AB339" w14:textId="77777777" w:rsidR="0036416A" w:rsidRDefault="0036416A" w:rsidP="0036416A">
            <w:pPr>
              <w:pStyle w:val="NoSpacing"/>
            </w:pPr>
            <w:r>
              <w:t xml:space="preserve">Definition: </w:t>
            </w:r>
          </w:p>
          <w:p w14:paraId="0C9A4B7B" w14:textId="77777777" w:rsidR="0036416A" w:rsidRDefault="0036416A" w:rsidP="0036416A">
            <w:pPr>
              <w:pStyle w:val="NoSpacing"/>
            </w:pPr>
            <w:r>
              <w:t xml:space="preserve">The MMP data include migrants (regardless of legal status) who have died at the external borders of States or in the process of migration towards an international destination. This selection of data is based on the currently available sources and can provide some insight into the safety or otherwise of routes. Not included in the data collection is information about migrants who die, or go missing, in countries of destination or residence. Deaths in refugee housing, immigration detention centres or camps are excluded. The MMP data also exclude deaths that occur during deportation or after forced return to a migrant’s homeland or third country, as well as deaths more loosely connected with migrants’ precarious or irregular status, such as those resulting from labour exploitation or resulting from lack of access to health care.  </w:t>
            </w:r>
          </w:p>
          <w:p w14:paraId="164E62E3" w14:textId="77777777" w:rsidR="0036416A" w:rsidRDefault="0036416A" w:rsidP="0036416A">
            <w:pPr>
              <w:pStyle w:val="NoSpacing"/>
            </w:pPr>
            <w:r>
              <w:lastRenderedPageBreak/>
              <w:t xml:space="preserve">Rationale: </w:t>
            </w:r>
          </w:p>
          <w:p w14:paraId="58345097" w14:textId="77777777" w:rsidR="0036416A" w:rsidRDefault="0036416A" w:rsidP="0036416A">
            <w:pPr>
              <w:pStyle w:val="NoSpacing"/>
            </w:pPr>
            <w:r>
              <w:t xml:space="preserve">The research behind the MMP began with the October 2013 tragedies, when at least 368 individuals died in two shipwrecks near the Italian island of Lampedusa. The MMP data aims to bear witness to the global phenomenon of migrant deaths, and is the only global database on this topic. It is hoped that by counting and accounting for these deaths, almost all of which are linked to irregular migration, policymakers, academics, and the general public will be better informed about the risks linked to unsafe migration.  </w:t>
            </w:r>
          </w:p>
          <w:p w14:paraId="6A049E8C" w14:textId="77777777" w:rsidR="0036416A" w:rsidRDefault="0036416A" w:rsidP="0036416A">
            <w:pPr>
              <w:pStyle w:val="NoSpacing"/>
            </w:pPr>
            <w:r>
              <w:t xml:space="preserve">Given that there are few official sources of data on deaths during migration, these data are best understood as a minimum estimate of the true number of migrant deaths worldwide. The MMP collects data from a variety of sources, which change over time given the large geography covered and the politicization of irregular migration – notably the criminalization of search and rescue actors in the Mediterranean and USMexico border – which affect access to relevant information. With this in mind, these data are best understood as indicative of the global nature of migrant fatalities, and should not be used to identify trends over time outside of the US-Mexico border, where official data is more frequently available compared to other areas of the world.  </w:t>
            </w:r>
          </w:p>
          <w:p w14:paraId="4E435E10" w14:textId="77777777" w:rsidR="0036416A" w:rsidRDefault="0036416A" w:rsidP="0036416A">
            <w:pPr>
              <w:pStyle w:val="NoSpacing"/>
            </w:pPr>
            <w:r>
              <w:t xml:space="preserve">Concepts: </w:t>
            </w:r>
          </w:p>
          <w:p w14:paraId="097C79A9" w14:textId="77777777" w:rsidR="0036416A" w:rsidRDefault="0036416A" w:rsidP="0036416A">
            <w:pPr>
              <w:pStyle w:val="NoSpacing"/>
            </w:pPr>
            <w:r>
              <w:t xml:space="preserve">Migrant - An umbrella term, not defined under international law, reflecting the common lay understanding of a person who moves away from his or her place of usual residence, whether within a country or across an international border, temporarily or permanently, and for a variety of reasons. The term includes a number of well-defined legal categories of people, such as migrant workers; persons whose particular types of movements are legally-defined, such as smuggled migrants; as well as those whose status or means of movement are not specifically defined under international law, such as international students. </w:t>
            </w:r>
          </w:p>
          <w:p w14:paraId="075406D0" w14:textId="77777777" w:rsidR="0036416A" w:rsidRDefault="0036416A" w:rsidP="0036416A">
            <w:pPr>
              <w:pStyle w:val="NoSpacing"/>
            </w:pPr>
            <w:r>
              <w:t xml:space="preserve">Irregular migration - Movement of persons that takes place outside the laws, regulations, or international agreements governing the entry into or exit from the State of origin, transit or destination. </w:t>
            </w:r>
          </w:p>
          <w:p w14:paraId="3D9618CD" w14:textId="77777777" w:rsidR="0036416A" w:rsidRDefault="0036416A" w:rsidP="0036416A">
            <w:pPr>
              <w:pStyle w:val="NoSpacing"/>
            </w:pPr>
            <w:r>
              <w:t xml:space="preserve">Comments and limitations: </w:t>
            </w:r>
          </w:p>
          <w:p w14:paraId="42425600" w14:textId="77777777" w:rsidR="0036416A" w:rsidRDefault="0036416A" w:rsidP="0036416A">
            <w:pPr>
              <w:pStyle w:val="NoSpacing"/>
            </w:pPr>
            <w:r>
              <w:t xml:space="preserve">The MMP database provides a global overview of data on migrant fatalities, but it is primarily dependent on secondary sources of information. Information is gathered from diverse sources such as official records – including from coast guards and medical examiners – and other sources such as media reports, non-governmental organizations (NGOs), and surveys and interviews of migrants. The reliability and completeness of data vary greatly from region to region, from country to country and over time. Table 1, in the methodology section below, illustrates the wide variety of sources used in the MMP database, and gives some insight into the various advantages and disadvantages of each. For example, some of the data are collected directly from migrants, either from survivors or through an increasing number of surveys of migrants. However, data from surveys and/or eyewitness testimonies may not be representative, and there may be a risk of double-counting if migrants report the same incident when asked whether they are aware of a migrant death or disappearance. </w:t>
            </w:r>
          </w:p>
          <w:p w14:paraId="05EA1C90" w14:textId="77777777" w:rsidR="0036416A" w:rsidRDefault="0036416A" w:rsidP="0036416A">
            <w:pPr>
              <w:pStyle w:val="NoSpacing"/>
            </w:pPr>
          </w:p>
          <w:p w14:paraId="01567CA2" w14:textId="77777777" w:rsidR="0036416A" w:rsidRDefault="0036416A" w:rsidP="0036416A">
            <w:pPr>
              <w:pStyle w:val="NoSpacing"/>
            </w:pPr>
            <w:r>
              <w:t xml:space="preserve">Computation Method: </w:t>
            </w:r>
          </w:p>
          <w:p w14:paraId="6DF80ECB" w14:textId="77777777" w:rsidR="0036416A" w:rsidRDefault="0036416A" w:rsidP="0036416A">
            <w:pPr>
              <w:pStyle w:val="NoSpacing"/>
            </w:pPr>
            <w:r>
              <w:t xml:space="preserve">MMP is an incident-based database, meaning that each entry in the database represents a single occurrence in which an individual or group of individuals die during migration or at international borders in one particular place and time.  This approach is used instead of a body-based database due to the fact that many migrant bodies are never recovered, particularly in overseas routes such as the Mediterranean Sea, or remote terrains such as the Sahara Desert. </w:t>
            </w:r>
          </w:p>
          <w:p w14:paraId="605C6793" w14:textId="77777777" w:rsidR="0036416A" w:rsidRDefault="0036416A" w:rsidP="0036416A">
            <w:pPr>
              <w:pStyle w:val="NoSpacing"/>
            </w:pPr>
            <w:r>
              <w:t xml:space="preserve">The MMP database provides a global overview of data on migrant fatalities, but it is primarily dependent on secondary sources </w:t>
            </w:r>
            <w:r>
              <w:lastRenderedPageBreak/>
              <w:t xml:space="preserve">of information. Information is gathered from diverse sources such as official records – including from coast guards and medical examiners – and other sources such as media reports, nongovernmental organizations (NGOs), and surveys and interviews of migrants. The reliability and completeness of data vary greatly from region to region, from country to country and over time. Table 1, below, gives an overview of the data sources used and their various pros and cons. The MMP dataset cites the data source for each entry in its downloadable database, available from mmp.iom.int/downloads,  </w:t>
            </w:r>
          </w:p>
          <w:p w14:paraId="53FE5216" w14:textId="77777777" w:rsidR="0036416A" w:rsidRDefault="0036416A" w:rsidP="0036416A">
            <w:pPr>
              <w:pStyle w:val="NoSpacing"/>
            </w:pPr>
          </w:p>
          <w:p w14:paraId="5E9FEE1B" w14:textId="77777777" w:rsidR="0036416A" w:rsidRDefault="0036416A" w:rsidP="0036416A">
            <w:pPr>
              <w:ind w:left="-5" w:hanging="10"/>
            </w:pPr>
            <w:r>
              <w:rPr>
                <w:rFonts w:ascii="Cambria" w:eastAsia="Cambria" w:hAnsi="Cambria" w:cs="Cambria"/>
                <w:color w:val="365F91"/>
                <w:sz w:val="22"/>
              </w:rPr>
              <w:t xml:space="preserve">Table 1: Missing Migrants Project data sources and their strengths and weaknesses </w:t>
            </w:r>
          </w:p>
          <w:tbl>
            <w:tblPr>
              <w:tblStyle w:val="TableGrid0"/>
              <w:tblW w:w="0" w:type="auto"/>
              <w:tblInd w:w="0" w:type="dxa"/>
              <w:tblCellMar>
                <w:top w:w="21" w:type="dxa"/>
                <w:right w:w="71" w:type="dxa"/>
              </w:tblCellMar>
              <w:tblLook w:val="04A0" w:firstRow="1" w:lastRow="0" w:firstColumn="1" w:lastColumn="0" w:noHBand="0" w:noVBand="1"/>
            </w:tblPr>
            <w:tblGrid>
              <w:gridCol w:w="1169"/>
              <w:gridCol w:w="952"/>
              <w:gridCol w:w="1154"/>
              <w:gridCol w:w="142"/>
              <w:gridCol w:w="1256"/>
              <w:gridCol w:w="1115"/>
              <w:gridCol w:w="1032"/>
              <w:gridCol w:w="759"/>
            </w:tblGrid>
            <w:tr w:rsidR="0036416A" w14:paraId="231A4092" w14:textId="77777777" w:rsidTr="00A44C13">
              <w:trPr>
                <w:trHeight w:val="497"/>
              </w:trPr>
              <w:tc>
                <w:tcPr>
                  <w:tcW w:w="0" w:type="auto"/>
                  <w:tcBorders>
                    <w:top w:val="single" w:sz="4" w:space="0" w:color="000000"/>
                    <w:left w:val="single" w:sz="4" w:space="0" w:color="000000"/>
                    <w:bottom w:val="single" w:sz="4" w:space="0" w:color="000000"/>
                    <w:right w:val="single" w:sz="4" w:space="0" w:color="000000"/>
                  </w:tcBorders>
                </w:tcPr>
                <w:p w14:paraId="387E730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Data source </w:t>
                  </w:r>
                </w:p>
              </w:tc>
              <w:tc>
                <w:tcPr>
                  <w:tcW w:w="0" w:type="auto"/>
                  <w:tcBorders>
                    <w:top w:val="single" w:sz="4" w:space="0" w:color="000000"/>
                    <w:left w:val="single" w:sz="4" w:space="0" w:color="000000"/>
                    <w:bottom w:val="single" w:sz="4" w:space="0" w:color="000000"/>
                    <w:right w:val="single" w:sz="4" w:space="0" w:color="000000"/>
                  </w:tcBorders>
                </w:tcPr>
                <w:p w14:paraId="660F98A0"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Data format </w:t>
                  </w:r>
                </w:p>
              </w:tc>
              <w:tc>
                <w:tcPr>
                  <w:tcW w:w="0" w:type="auto"/>
                  <w:tcBorders>
                    <w:top w:val="single" w:sz="4" w:space="0" w:color="000000"/>
                    <w:left w:val="single" w:sz="4" w:space="0" w:color="000000"/>
                    <w:bottom w:val="single" w:sz="4" w:space="0" w:color="000000"/>
                    <w:right w:val="single" w:sz="4" w:space="0" w:color="000000"/>
                  </w:tcBorders>
                </w:tcPr>
                <w:p w14:paraId="7F5F1E18"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Where is this information available? </w:t>
                  </w:r>
                </w:p>
              </w:tc>
              <w:tc>
                <w:tcPr>
                  <w:tcW w:w="0" w:type="auto"/>
                  <w:gridSpan w:val="2"/>
                  <w:tcBorders>
                    <w:top w:val="single" w:sz="4" w:space="0" w:color="000000"/>
                    <w:left w:val="single" w:sz="4" w:space="0" w:color="000000"/>
                    <w:bottom w:val="single" w:sz="4" w:space="0" w:color="000000"/>
                    <w:right w:val="single" w:sz="4" w:space="0" w:color="000000"/>
                  </w:tcBorders>
                </w:tcPr>
                <w:p w14:paraId="7F12751A"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b/>
                      <w:sz w:val="20"/>
                      <w:szCs w:val="20"/>
                    </w:rPr>
                    <w:t xml:space="preserve">Strengths  </w:t>
                  </w:r>
                </w:p>
              </w:tc>
              <w:tc>
                <w:tcPr>
                  <w:tcW w:w="0" w:type="auto"/>
                  <w:gridSpan w:val="3"/>
                  <w:tcBorders>
                    <w:top w:val="single" w:sz="4" w:space="0" w:color="000000"/>
                    <w:left w:val="single" w:sz="4" w:space="0" w:color="000000"/>
                    <w:bottom w:val="single" w:sz="4" w:space="0" w:color="000000"/>
                    <w:right w:val="single" w:sz="4" w:space="0" w:color="000000"/>
                  </w:tcBorders>
                </w:tcPr>
                <w:p w14:paraId="0223665A" w14:textId="77777777" w:rsidR="0036416A" w:rsidRDefault="0036416A" w:rsidP="0036416A">
                  <w:r>
                    <w:rPr>
                      <w:rFonts w:ascii="Calibri" w:eastAsia="Calibri" w:hAnsi="Calibri" w:cs="Calibri"/>
                      <w:b/>
                      <w:sz w:val="20"/>
                    </w:rPr>
                    <w:t xml:space="preserve">Weaknesses </w:t>
                  </w:r>
                </w:p>
              </w:tc>
            </w:tr>
            <w:tr w:rsidR="0036416A" w14:paraId="3FE0B3D0" w14:textId="77777777" w:rsidTr="00A44C13">
              <w:trPr>
                <w:trHeight w:val="1548"/>
              </w:trPr>
              <w:tc>
                <w:tcPr>
                  <w:tcW w:w="0" w:type="auto"/>
                  <w:tcBorders>
                    <w:top w:val="single" w:sz="4" w:space="0" w:color="000000"/>
                    <w:left w:val="single" w:sz="4" w:space="0" w:color="000000"/>
                    <w:bottom w:val="single" w:sz="4" w:space="0" w:color="000000"/>
                    <w:right w:val="single" w:sz="4" w:space="0" w:color="000000"/>
                  </w:tcBorders>
                </w:tcPr>
                <w:p w14:paraId="412BEB85"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Government: Data on repatriations </w:t>
                  </w:r>
                </w:p>
              </w:tc>
              <w:tc>
                <w:tcPr>
                  <w:tcW w:w="0" w:type="auto"/>
                  <w:tcBorders>
                    <w:top w:val="single" w:sz="4" w:space="0" w:color="000000"/>
                    <w:left w:val="single" w:sz="4" w:space="0" w:color="000000"/>
                    <w:bottom w:val="single" w:sz="4" w:space="0" w:color="000000"/>
                    <w:right w:val="single" w:sz="4" w:space="0" w:color="000000"/>
                  </w:tcBorders>
                </w:tcPr>
                <w:p w14:paraId="4CF72CED"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Database (bodies) </w:t>
                  </w:r>
                </w:p>
              </w:tc>
              <w:tc>
                <w:tcPr>
                  <w:tcW w:w="0" w:type="auto"/>
                  <w:tcBorders>
                    <w:top w:val="single" w:sz="4" w:space="0" w:color="000000"/>
                    <w:left w:val="single" w:sz="4" w:space="0" w:color="000000"/>
                    <w:bottom w:val="single" w:sz="4" w:space="0" w:color="000000"/>
                    <w:right w:val="single" w:sz="4" w:space="0" w:color="000000"/>
                  </w:tcBorders>
                </w:tcPr>
                <w:p w14:paraId="4183513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Mexico, Honduras, </w:t>
                  </w:r>
                </w:p>
                <w:p w14:paraId="65D0ACD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Bangladesh, </w:t>
                  </w:r>
                </w:p>
                <w:p w14:paraId="11845EF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Guatemala, El Salvador </w:t>
                  </w:r>
                </w:p>
              </w:tc>
              <w:tc>
                <w:tcPr>
                  <w:tcW w:w="0" w:type="auto"/>
                  <w:gridSpan w:val="2"/>
                  <w:tcBorders>
                    <w:top w:val="single" w:sz="4" w:space="0" w:color="000000"/>
                    <w:left w:val="single" w:sz="4" w:space="0" w:color="000000"/>
                    <w:bottom w:val="single" w:sz="4" w:space="0" w:color="000000"/>
                    <w:right w:val="single" w:sz="4" w:space="0" w:color="000000"/>
                  </w:tcBorders>
                </w:tcPr>
                <w:p w14:paraId="1E3D25C5" w14:textId="77777777" w:rsidR="0036416A" w:rsidRDefault="0036416A" w:rsidP="0036416A">
                  <w:pPr>
                    <w:pStyle w:val="NoSpacing"/>
                    <w:rPr>
                      <w:rFonts w:ascii="Tw Cen MT Condensed" w:eastAsia="Calibri" w:hAnsi="Tw Cen MT Condensed" w:cs="Calibri"/>
                      <w:sz w:val="20"/>
                      <w:szCs w:val="20"/>
                    </w:rPr>
                  </w:pPr>
                  <w:r w:rsidRPr="00DD0E3A">
                    <w:rPr>
                      <w:rFonts w:ascii="Tw Cen MT Condensed" w:eastAsia="Segoe UI Symbol" w:hAnsi="Tw Cen MT Condensed" w:cs="Segoe UI Symbol"/>
                      <w:sz w:val="20"/>
                      <w:szCs w:val="20"/>
                    </w:rPr>
                    <w:t>•</w:t>
                  </w:r>
                  <w:r>
                    <w:rPr>
                      <w:rFonts w:ascii="Tw Cen MT Condensed" w:eastAsia="Arial" w:hAnsi="Tw Cen MT Condensed" w:cs="Arial"/>
                      <w:sz w:val="20"/>
                      <w:szCs w:val="20"/>
                    </w:rPr>
                    <w:t xml:space="preserve"> </w:t>
                  </w:r>
                  <w:r w:rsidRPr="00DD0E3A">
                    <w:rPr>
                      <w:rFonts w:ascii="Tw Cen MT Condensed" w:eastAsia="Calibri" w:hAnsi="Tw Cen MT Condensed" w:cs="Calibri"/>
                      <w:sz w:val="20"/>
                      <w:szCs w:val="20"/>
                    </w:rPr>
                    <w:t>Credible information, covers</w:t>
                  </w:r>
                </w:p>
                <w:p w14:paraId="2ADEB4D5"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 many cases (not just individual incidents) </w:t>
                  </w:r>
                </w:p>
              </w:tc>
              <w:tc>
                <w:tcPr>
                  <w:tcW w:w="0" w:type="auto"/>
                  <w:gridSpan w:val="3"/>
                  <w:tcBorders>
                    <w:top w:val="single" w:sz="4" w:space="0" w:color="000000"/>
                    <w:left w:val="single" w:sz="4" w:space="0" w:color="000000"/>
                    <w:bottom w:val="single" w:sz="4" w:space="0" w:color="000000"/>
                    <w:right w:val="single" w:sz="4" w:space="0" w:color="000000"/>
                  </w:tcBorders>
                </w:tcPr>
                <w:p w14:paraId="3CCC270C" w14:textId="77777777" w:rsidR="0036416A" w:rsidRDefault="0036416A" w:rsidP="0036416A">
                  <w:pPr>
                    <w:numPr>
                      <w:ilvl w:val="0"/>
                      <w:numId w:val="64"/>
                    </w:numPr>
                    <w:spacing w:after="39" w:line="242" w:lineRule="auto"/>
                    <w:ind w:hanging="360"/>
                  </w:pPr>
                  <w:r>
                    <w:rPr>
                      <w:rFonts w:ascii="Calibri" w:eastAsia="Calibri" w:hAnsi="Calibri" w:cs="Calibri"/>
                      <w:sz w:val="20"/>
                    </w:rPr>
                    <w:t xml:space="preserve">Available for very few countries </w:t>
                  </w:r>
                </w:p>
                <w:p w14:paraId="7F02BEC3" w14:textId="77777777" w:rsidR="0036416A" w:rsidRDefault="0036416A" w:rsidP="0036416A">
                  <w:pPr>
                    <w:numPr>
                      <w:ilvl w:val="0"/>
                      <w:numId w:val="64"/>
                    </w:numPr>
                    <w:spacing w:line="259" w:lineRule="auto"/>
                    <w:ind w:hanging="360"/>
                  </w:pPr>
                  <w:r>
                    <w:rPr>
                      <w:rFonts w:ascii="Calibri" w:eastAsia="Calibri" w:hAnsi="Calibri" w:cs="Calibri"/>
                      <w:sz w:val="20"/>
                    </w:rPr>
                    <w:t xml:space="preserve">Can be outdated </w:t>
                  </w:r>
                </w:p>
                <w:p w14:paraId="275D4304" w14:textId="77777777" w:rsidR="0036416A" w:rsidRDefault="0036416A" w:rsidP="0036416A">
                  <w:pPr>
                    <w:numPr>
                      <w:ilvl w:val="0"/>
                      <w:numId w:val="64"/>
                    </w:numPr>
                    <w:spacing w:line="259" w:lineRule="auto"/>
                    <w:ind w:hanging="360"/>
                  </w:pPr>
                  <w:r>
                    <w:rPr>
                      <w:rFonts w:ascii="Calibri" w:eastAsia="Calibri" w:hAnsi="Calibri" w:cs="Calibri"/>
                      <w:sz w:val="20"/>
                    </w:rPr>
                    <w:t xml:space="preserve">Includes only information on the recovered bodies and not on missing persons </w:t>
                  </w:r>
                </w:p>
              </w:tc>
            </w:tr>
            <w:tr w:rsidR="0036416A" w14:paraId="5D34906F" w14:textId="77777777" w:rsidTr="00A44C13">
              <w:trPr>
                <w:trHeight w:val="3277"/>
              </w:trPr>
              <w:tc>
                <w:tcPr>
                  <w:tcW w:w="0" w:type="auto"/>
                  <w:tcBorders>
                    <w:top w:val="single" w:sz="4" w:space="0" w:color="000000"/>
                    <w:left w:val="single" w:sz="4" w:space="0" w:color="000000"/>
                    <w:bottom w:val="single" w:sz="4" w:space="0" w:color="000000"/>
                    <w:right w:val="single" w:sz="4" w:space="0" w:color="000000"/>
                  </w:tcBorders>
                </w:tcPr>
                <w:p w14:paraId="2A5F17B8"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Government: Press releases, official </w:t>
                  </w:r>
                </w:p>
                <w:p w14:paraId="1D1DA990"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statements  </w:t>
                  </w:r>
                </w:p>
                <w:p w14:paraId="15FECA3D"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p w14:paraId="6AA1403A"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29E88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Incident reports </w:t>
                  </w:r>
                </w:p>
              </w:tc>
              <w:tc>
                <w:tcPr>
                  <w:tcW w:w="0" w:type="auto"/>
                  <w:tcBorders>
                    <w:top w:val="single" w:sz="4" w:space="0" w:color="000000"/>
                    <w:left w:val="single" w:sz="4" w:space="0" w:color="000000"/>
                    <w:bottom w:val="single" w:sz="4" w:space="0" w:color="000000"/>
                    <w:right w:val="single" w:sz="4" w:space="0" w:color="000000"/>
                  </w:tcBorders>
                </w:tcPr>
                <w:p w14:paraId="2DC98B3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Some countries in </w:t>
                  </w:r>
                </w:p>
                <w:p w14:paraId="27EF45A1"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Europe, South America </w:t>
                  </w:r>
                </w:p>
              </w:tc>
              <w:tc>
                <w:tcPr>
                  <w:tcW w:w="0" w:type="auto"/>
                  <w:gridSpan w:val="2"/>
                  <w:tcBorders>
                    <w:top w:val="single" w:sz="4" w:space="0" w:color="000000"/>
                    <w:left w:val="single" w:sz="4" w:space="0" w:color="000000"/>
                    <w:bottom w:val="single" w:sz="4" w:space="0" w:color="000000"/>
                    <w:right w:val="single" w:sz="4" w:space="0" w:color="000000"/>
                  </w:tcBorders>
                </w:tcPr>
                <w:p w14:paraId="214EFA3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r w:rsidRPr="00DD0E3A">
                    <w:rPr>
                      <w:rFonts w:ascii="Tw Cen MT Condensed" w:eastAsia="Arial" w:hAnsi="Tw Cen MT Condensed" w:cs="Arial"/>
                      <w:sz w:val="20"/>
                      <w:szCs w:val="20"/>
                    </w:rPr>
                    <w:tab/>
                  </w:r>
                  <w:r w:rsidRPr="00DD0E3A">
                    <w:rPr>
                      <w:rFonts w:ascii="Tw Cen MT Condensed" w:eastAsia="Calibri" w:hAnsi="Tw Cen MT Condensed" w:cs="Calibri"/>
                      <w:sz w:val="20"/>
                      <w:szCs w:val="20"/>
                    </w:rPr>
                    <w:t xml:space="preserve">Credible information about individual events </w:t>
                  </w:r>
                </w:p>
              </w:tc>
              <w:tc>
                <w:tcPr>
                  <w:tcW w:w="0" w:type="auto"/>
                  <w:gridSpan w:val="3"/>
                  <w:tcBorders>
                    <w:top w:val="single" w:sz="4" w:space="0" w:color="000000"/>
                    <w:left w:val="single" w:sz="4" w:space="0" w:color="000000"/>
                    <w:bottom w:val="single" w:sz="4" w:space="0" w:color="000000"/>
                    <w:right w:val="single" w:sz="4" w:space="0" w:color="000000"/>
                  </w:tcBorders>
                </w:tcPr>
                <w:p w14:paraId="6DE304AC" w14:textId="77777777" w:rsidR="0036416A" w:rsidRDefault="0036416A" w:rsidP="0036416A">
                  <w:pPr>
                    <w:numPr>
                      <w:ilvl w:val="0"/>
                      <w:numId w:val="65"/>
                    </w:numPr>
                    <w:spacing w:after="40" w:line="242" w:lineRule="auto"/>
                    <w:ind w:hanging="360"/>
                  </w:pPr>
                  <w:r>
                    <w:rPr>
                      <w:rFonts w:ascii="Calibri" w:eastAsia="Calibri" w:hAnsi="Calibri" w:cs="Calibri"/>
                      <w:sz w:val="20"/>
                    </w:rPr>
                    <w:t xml:space="preserve">Available for few, isolated events </w:t>
                  </w:r>
                </w:p>
                <w:p w14:paraId="393726C2" w14:textId="77777777" w:rsidR="0036416A" w:rsidRDefault="0036416A" w:rsidP="0036416A">
                  <w:pPr>
                    <w:numPr>
                      <w:ilvl w:val="0"/>
                      <w:numId w:val="65"/>
                    </w:numPr>
                    <w:spacing w:after="39" w:line="242" w:lineRule="auto"/>
                    <w:ind w:hanging="360"/>
                  </w:pPr>
                  <w:r>
                    <w:rPr>
                      <w:rFonts w:ascii="Calibri" w:eastAsia="Calibri" w:hAnsi="Calibri" w:cs="Calibri"/>
                      <w:sz w:val="20"/>
                    </w:rPr>
                    <w:t xml:space="preserve">Often need to request more detailed information </w:t>
                  </w:r>
                </w:p>
                <w:p w14:paraId="13D6A617" w14:textId="77777777" w:rsidR="0036416A" w:rsidRDefault="0036416A" w:rsidP="0036416A">
                  <w:pPr>
                    <w:numPr>
                      <w:ilvl w:val="0"/>
                      <w:numId w:val="65"/>
                    </w:numPr>
                    <w:spacing w:after="41" w:line="241" w:lineRule="auto"/>
                    <w:ind w:hanging="360"/>
                  </w:pPr>
                  <w:r>
                    <w:rPr>
                      <w:rFonts w:ascii="Calibri" w:eastAsia="Calibri" w:hAnsi="Calibri" w:cs="Calibri"/>
                      <w:sz w:val="20"/>
                    </w:rPr>
                    <w:t xml:space="preserve">Usually includes only information on bodies recovered and not missing persons </w:t>
                  </w:r>
                </w:p>
                <w:p w14:paraId="2CAE6A04" w14:textId="77777777" w:rsidR="0036416A" w:rsidRDefault="0036416A" w:rsidP="0036416A">
                  <w:pPr>
                    <w:numPr>
                      <w:ilvl w:val="0"/>
                      <w:numId w:val="65"/>
                    </w:numPr>
                    <w:spacing w:after="40" w:line="242" w:lineRule="auto"/>
                    <w:ind w:hanging="360"/>
                  </w:pPr>
                  <w:r>
                    <w:rPr>
                      <w:rFonts w:ascii="Calibri" w:eastAsia="Calibri" w:hAnsi="Calibri" w:cs="Calibri"/>
                      <w:sz w:val="20"/>
                    </w:rPr>
                    <w:t xml:space="preserve">Media may only report most sensational cases </w:t>
                  </w:r>
                </w:p>
                <w:p w14:paraId="3A25F4FE" w14:textId="77777777" w:rsidR="0036416A" w:rsidRDefault="0036416A" w:rsidP="0036416A">
                  <w:pPr>
                    <w:numPr>
                      <w:ilvl w:val="0"/>
                      <w:numId w:val="65"/>
                    </w:numPr>
                    <w:spacing w:line="259" w:lineRule="auto"/>
                    <w:ind w:hanging="360"/>
                  </w:pPr>
                  <w:r>
                    <w:rPr>
                      <w:rFonts w:ascii="Calibri" w:eastAsia="Calibri" w:hAnsi="Calibri" w:cs="Calibri"/>
                      <w:sz w:val="20"/>
                    </w:rPr>
                    <w:t xml:space="preserve">Different media may report same incident with risk of double counting </w:t>
                  </w:r>
                </w:p>
              </w:tc>
            </w:tr>
            <w:tr w:rsidR="0036416A" w14:paraId="42557065" w14:textId="77777777" w:rsidTr="00A44C13">
              <w:trPr>
                <w:trHeight w:val="1351"/>
              </w:trPr>
              <w:tc>
                <w:tcPr>
                  <w:tcW w:w="0" w:type="auto"/>
                  <w:tcBorders>
                    <w:top w:val="single" w:sz="4" w:space="0" w:color="000000"/>
                    <w:left w:val="single" w:sz="4" w:space="0" w:color="000000"/>
                    <w:bottom w:val="single" w:sz="4" w:space="0" w:color="000000"/>
                    <w:right w:val="single" w:sz="4" w:space="0" w:color="000000"/>
                  </w:tcBorders>
                </w:tcPr>
                <w:p w14:paraId="4495DC33"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lastRenderedPageBreak/>
                    <w:t xml:space="preserve">Government: Record of border deaths </w:t>
                  </w:r>
                </w:p>
                <w:p w14:paraId="442D5D41"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p w14:paraId="1B5F6074"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50413D0"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Database (bodies) </w:t>
                  </w:r>
                </w:p>
              </w:tc>
              <w:tc>
                <w:tcPr>
                  <w:tcW w:w="0" w:type="auto"/>
                  <w:tcBorders>
                    <w:top w:val="single" w:sz="4" w:space="0" w:color="000000"/>
                    <w:left w:val="single" w:sz="4" w:space="0" w:color="000000"/>
                    <w:bottom w:val="single" w:sz="4" w:space="0" w:color="000000"/>
                    <w:right w:val="single" w:sz="4" w:space="0" w:color="000000"/>
                  </w:tcBorders>
                </w:tcPr>
                <w:p w14:paraId="7878EBF3"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US counties bordering Mexico </w:t>
                  </w:r>
                </w:p>
              </w:tc>
              <w:tc>
                <w:tcPr>
                  <w:tcW w:w="0" w:type="auto"/>
                  <w:gridSpan w:val="2"/>
                  <w:tcBorders>
                    <w:top w:val="single" w:sz="4" w:space="0" w:color="000000"/>
                    <w:left w:val="single" w:sz="4" w:space="0" w:color="000000"/>
                    <w:bottom w:val="single" w:sz="4" w:space="0" w:color="000000"/>
                    <w:right w:val="single" w:sz="4" w:space="0" w:color="000000"/>
                  </w:tcBorders>
                </w:tcPr>
                <w:p w14:paraId="5200BDDD"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r w:rsidRPr="00DD0E3A">
                    <w:rPr>
                      <w:rFonts w:ascii="Tw Cen MT Condensed" w:eastAsia="Arial" w:hAnsi="Tw Cen MT Condensed" w:cs="Arial"/>
                      <w:sz w:val="20"/>
                      <w:szCs w:val="20"/>
                    </w:rPr>
                    <w:tab/>
                  </w:r>
                  <w:r w:rsidRPr="00DD0E3A">
                    <w:rPr>
                      <w:rFonts w:ascii="Tw Cen MT Condensed" w:eastAsia="Calibri" w:hAnsi="Tw Cen MT Condensed" w:cs="Calibri"/>
                      <w:sz w:val="20"/>
                      <w:szCs w:val="20"/>
                    </w:rPr>
                    <w:t xml:space="preserve">(Can) provide credible information </w:t>
                  </w:r>
                </w:p>
              </w:tc>
              <w:tc>
                <w:tcPr>
                  <w:tcW w:w="0" w:type="auto"/>
                  <w:gridSpan w:val="3"/>
                  <w:tcBorders>
                    <w:top w:val="single" w:sz="4" w:space="0" w:color="000000"/>
                    <w:left w:val="single" w:sz="4" w:space="0" w:color="000000"/>
                    <w:bottom w:val="single" w:sz="4" w:space="0" w:color="000000"/>
                    <w:right w:val="single" w:sz="4" w:space="0" w:color="000000"/>
                  </w:tcBorders>
                </w:tcPr>
                <w:p w14:paraId="0180B968" w14:textId="77777777" w:rsidR="0036416A" w:rsidRDefault="0036416A" w:rsidP="0036416A">
                  <w:pPr>
                    <w:ind w:left="360" w:right="15"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20"/>
                    </w:rPr>
                    <w:t xml:space="preserve">Coverage is unknown, as many deaths are unidentified as migrants or not reported to consulates </w:t>
                  </w:r>
                </w:p>
              </w:tc>
            </w:tr>
            <w:tr w:rsidR="0036416A" w14:paraId="3FD0795D" w14:textId="77777777" w:rsidTr="00A44C13">
              <w:trPr>
                <w:trHeight w:val="2768"/>
              </w:trPr>
              <w:tc>
                <w:tcPr>
                  <w:tcW w:w="0" w:type="auto"/>
                  <w:tcBorders>
                    <w:top w:val="single" w:sz="4" w:space="0" w:color="000000"/>
                    <w:left w:val="single" w:sz="4" w:space="0" w:color="000000"/>
                    <w:bottom w:val="single" w:sz="4" w:space="0" w:color="000000"/>
                    <w:right w:val="single" w:sz="4" w:space="0" w:color="000000"/>
                  </w:tcBorders>
                </w:tcPr>
                <w:p w14:paraId="62C5B393"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Forensic data (i.e. from medical examiners/ coroners) </w:t>
                  </w:r>
                </w:p>
                <w:p w14:paraId="5586EE6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p w14:paraId="3474199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5069696"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Database (bodies) or summary </w:t>
                  </w:r>
                </w:p>
                <w:p w14:paraId="48CBE570"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figures </w:t>
                  </w:r>
                </w:p>
              </w:tc>
              <w:tc>
                <w:tcPr>
                  <w:tcW w:w="0" w:type="auto"/>
                  <w:tcBorders>
                    <w:top w:val="single" w:sz="4" w:space="0" w:color="000000"/>
                    <w:left w:val="single" w:sz="4" w:space="0" w:color="000000"/>
                    <w:bottom w:val="single" w:sz="4" w:space="0" w:color="000000"/>
                    <w:right w:val="single" w:sz="4" w:space="0" w:color="000000"/>
                  </w:tcBorders>
                </w:tcPr>
                <w:p w14:paraId="512DD79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US counties on United </w:t>
                  </w:r>
                </w:p>
                <w:p w14:paraId="66B3ECB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States</w:t>
                  </w:r>
                  <w:r w:rsidRPr="00DD0E3A">
                    <w:rPr>
                      <w:rFonts w:ascii="Arial" w:eastAsia="Calibri" w:hAnsi="Arial" w:cs="Arial"/>
                      <w:sz w:val="20"/>
                      <w:szCs w:val="20"/>
                    </w:rPr>
                    <w:t>‒</w:t>
                  </w:r>
                  <w:r w:rsidRPr="00DD0E3A">
                    <w:rPr>
                      <w:rFonts w:ascii="Tw Cen MT Condensed" w:eastAsia="Calibri" w:hAnsi="Tw Cen MT Condensed"/>
                      <w:sz w:val="20"/>
                      <w:szCs w:val="20"/>
                    </w:rPr>
                    <w:t xml:space="preserve">Mexico border, </w:t>
                  </w:r>
                </w:p>
                <w:p w14:paraId="1F8DA2F8"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European countries </w:t>
                  </w:r>
                </w:p>
                <w:p w14:paraId="17B1C030"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(see e.g. Vrije </w:t>
                  </w:r>
                </w:p>
                <w:p w14:paraId="1926BED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Universiteit’s Deaths at the Borders Database) </w:t>
                  </w:r>
                </w:p>
              </w:tc>
              <w:tc>
                <w:tcPr>
                  <w:tcW w:w="0" w:type="auto"/>
                  <w:gridSpan w:val="2"/>
                  <w:tcBorders>
                    <w:top w:val="single" w:sz="4" w:space="0" w:color="000000"/>
                    <w:left w:val="single" w:sz="4" w:space="0" w:color="000000"/>
                    <w:bottom w:val="single" w:sz="4" w:space="0" w:color="000000"/>
                    <w:right w:val="single" w:sz="4" w:space="0" w:color="000000"/>
                  </w:tcBorders>
                </w:tcPr>
                <w:p w14:paraId="7E7409EE"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r w:rsidRPr="00DD0E3A">
                    <w:rPr>
                      <w:rFonts w:ascii="Tw Cen MT Condensed" w:eastAsia="Arial" w:hAnsi="Tw Cen MT Condensed" w:cs="Arial"/>
                      <w:sz w:val="20"/>
                      <w:szCs w:val="20"/>
                    </w:rPr>
                    <w:tab/>
                  </w:r>
                  <w:r w:rsidRPr="00DD0E3A">
                    <w:rPr>
                      <w:rFonts w:ascii="Tw Cen MT Condensed" w:eastAsia="Calibri" w:hAnsi="Tw Cen MT Condensed" w:cs="Calibri"/>
                      <w:sz w:val="20"/>
                      <w:szCs w:val="20"/>
                    </w:rPr>
                    <w:t xml:space="preserve">Credible and </w:t>
                  </w:r>
                </w:p>
                <w:p w14:paraId="44ADE8C5"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detailed information about </w:t>
                  </w:r>
                </w:p>
                <w:p w14:paraId="5EC7AA6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individual incidents </w:t>
                  </w:r>
                </w:p>
              </w:tc>
              <w:tc>
                <w:tcPr>
                  <w:tcW w:w="0" w:type="auto"/>
                  <w:gridSpan w:val="3"/>
                  <w:tcBorders>
                    <w:top w:val="single" w:sz="4" w:space="0" w:color="000000"/>
                    <w:left w:val="single" w:sz="4" w:space="0" w:color="000000"/>
                    <w:bottom w:val="single" w:sz="4" w:space="0" w:color="000000"/>
                    <w:right w:val="single" w:sz="4" w:space="0" w:color="000000"/>
                  </w:tcBorders>
                </w:tcPr>
                <w:p w14:paraId="2CE10D48" w14:textId="77777777" w:rsidR="0036416A" w:rsidRDefault="0036416A" w:rsidP="0036416A">
                  <w:pPr>
                    <w:numPr>
                      <w:ilvl w:val="0"/>
                      <w:numId w:val="66"/>
                    </w:numPr>
                    <w:spacing w:after="41" w:line="241" w:lineRule="auto"/>
                    <w:ind w:right="22" w:hanging="360"/>
                  </w:pPr>
                  <w:r>
                    <w:rPr>
                      <w:rFonts w:ascii="Calibri" w:eastAsia="Calibri" w:hAnsi="Calibri" w:cs="Calibri"/>
                      <w:sz w:val="20"/>
                    </w:rPr>
                    <w:t xml:space="preserve">Data disaggregated by migrant deaths are rarely available (only one example: Pima Country, Arizona) </w:t>
                  </w:r>
                </w:p>
                <w:p w14:paraId="50C75128" w14:textId="77777777" w:rsidR="0036416A" w:rsidRDefault="0036416A" w:rsidP="0036416A">
                  <w:pPr>
                    <w:numPr>
                      <w:ilvl w:val="0"/>
                      <w:numId w:val="66"/>
                    </w:numPr>
                    <w:spacing w:after="40" w:line="242" w:lineRule="auto"/>
                    <w:ind w:right="22" w:hanging="360"/>
                  </w:pPr>
                  <w:r>
                    <w:rPr>
                      <w:rFonts w:ascii="Calibri" w:eastAsia="Calibri" w:hAnsi="Calibri" w:cs="Calibri"/>
                      <w:sz w:val="20"/>
                    </w:rPr>
                    <w:t xml:space="preserve">Includes only information on bodies recovered and not missing persons </w:t>
                  </w:r>
                </w:p>
                <w:p w14:paraId="098148BF" w14:textId="77777777" w:rsidR="0036416A" w:rsidRDefault="0036416A" w:rsidP="0036416A">
                  <w:pPr>
                    <w:numPr>
                      <w:ilvl w:val="0"/>
                      <w:numId w:val="66"/>
                    </w:numPr>
                    <w:spacing w:line="259" w:lineRule="auto"/>
                    <w:ind w:right="22" w:hanging="360"/>
                  </w:pPr>
                  <w:r>
                    <w:rPr>
                      <w:rFonts w:ascii="Calibri" w:eastAsia="Calibri" w:hAnsi="Calibri" w:cs="Calibri"/>
                      <w:sz w:val="20"/>
                    </w:rPr>
                    <w:t xml:space="preserve">Extremely labour-intensive to request information and parse records; consequently often outdated </w:t>
                  </w:r>
                </w:p>
              </w:tc>
            </w:tr>
            <w:tr w:rsidR="0036416A" w14:paraId="1B2906C9" w14:textId="77777777" w:rsidTr="00A44C13">
              <w:trPr>
                <w:trHeight w:val="2084"/>
              </w:trPr>
              <w:tc>
                <w:tcPr>
                  <w:tcW w:w="0" w:type="auto"/>
                  <w:tcBorders>
                    <w:top w:val="single" w:sz="4" w:space="0" w:color="000000"/>
                    <w:left w:val="single" w:sz="4" w:space="0" w:color="000000"/>
                    <w:bottom w:val="single" w:sz="4" w:space="0" w:color="000000"/>
                    <w:right w:val="single" w:sz="4" w:space="0" w:color="000000"/>
                  </w:tcBorders>
                </w:tcPr>
                <w:p w14:paraId="3BCCC48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Coast guards/ police/ border patrol/ nongovernmental organizations </w:t>
                  </w:r>
                </w:p>
                <w:p w14:paraId="399CE795"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(NGOs) </w:t>
                  </w:r>
                </w:p>
                <w:p w14:paraId="536D05D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886B4B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Incident reports </w:t>
                  </w:r>
                </w:p>
              </w:tc>
              <w:tc>
                <w:tcPr>
                  <w:tcW w:w="0" w:type="auto"/>
                  <w:tcBorders>
                    <w:top w:val="single" w:sz="4" w:space="0" w:color="000000"/>
                    <w:left w:val="single" w:sz="4" w:space="0" w:color="000000"/>
                    <w:bottom w:val="single" w:sz="4" w:space="0" w:color="000000"/>
                    <w:right w:val="single" w:sz="4" w:space="0" w:color="000000"/>
                  </w:tcBorders>
                </w:tcPr>
                <w:p w14:paraId="02D0C57A"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Greece, Italy, Spain, </w:t>
                  </w:r>
                </w:p>
                <w:p w14:paraId="1E3494BE"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Turkey, Libya, United </w:t>
                  </w:r>
                </w:p>
                <w:p w14:paraId="623AF213"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States–Mexico border </w:t>
                  </w:r>
                </w:p>
                <w:p w14:paraId="0A65A476"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p w14:paraId="7863095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tcPr>
                <w:p w14:paraId="0A6B7EC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r w:rsidRPr="00DD0E3A">
                    <w:rPr>
                      <w:rFonts w:ascii="Tw Cen MT Condensed" w:eastAsia="Arial" w:hAnsi="Tw Cen MT Condensed" w:cs="Arial"/>
                      <w:sz w:val="20"/>
                      <w:szCs w:val="20"/>
                    </w:rPr>
                    <w:tab/>
                  </w:r>
                  <w:r w:rsidRPr="00DD0E3A">
                    <w:rPr>
                      <w:rFonts w:ascii="Tw Cen MT Condensed" w:eastAsia="Calibri" w:hAnsi="Tw Cen MT Condensed" w:cs="Calibri"/>
                      <w:sz w:val="20"/>
                      <w:szCs w:val="20"/>
                    </w:rPr>
                    <w:t xml:space="preserve">Credible </w:t>
                  </w:r>
                </w:p>
                <w:p w14:paraId="58EC003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information for individual cases  </w:t>
                  </w:r>
                </w:p>
              </w:tc>
              <w:tc>
                <w:tcPr>
                  <w:tcW w:w="0" w:type="auto"/>
                  <w:gridSpan w:val="3"/>
                  <w:tcBorders>
                    <w:top w:val="single" w:sz="4" w:space="0" w:color="000000"/>
                    <w:left w:val="single" w:sz="4" w:space="0" w:color="000000"/>
                    <w:bottom w:val="single" w:sz="4" w:space="0" w:color="000000"/>
                    <w:right w:val="single" w:sz="4" w:space="0" w:color="000000"/>
                  </w:tcBorders>
                </w:tcPr>
                <w:p w14:paraId="70D05ED2" w14:textId="77777777" w:rsidR="0036416A" w:rsidRDefault="0036416A" w:rsidP="0036416A">
                  <w:pPr>
                    <w:numPr>
                      <w:ilvl w:val="0"/>
                      <w:numId w:val="67"/>
                    </w:numPr>
                    <w:spacing w:after="39" w:line="242" w:lineRule="auto"/>
                    <w:ind w:hanging="360"/>
                  </w:pPr>
                  <w:r>
                    <w:rPr>
                      <w:rFonts w:ascii="Calibri" w:eastAsia="Calibri" w:hAnsi="Calibri" w:cs="Calibri"/>
                      <w:sz w:val="20"/>
                    </w:rPr>
                    <w:t xml:space="preserve">Completeness of coverage is unknown  </w:t>
                  </w:r>
                </w:p>
                <w:p w14:paraId="04D28445" w14:textId="77777777" w:rsidR="0036416A" w:rsidRDefault="0036416A" w:rsidP="0036416A">
                  <w:pPr>
                    <w:numPr>
                      <w:ilvl w:val="0"/>
                      <w:numId w:val="67"/>
                    </w:numPr>
                    <w:spacing w:line="259" w:lineRule="auto"/>
                    <w:ind w:hanging="360"/>
                  </w:pPr>
                  <w:r>
                    <w:rPr>
                      <w:rFonts w:ascii="Calibri" w:eastAsia="Calibri" w:hAnsi="Calibri" w:cs="Calibri"/>
                      <w:sz w:val="20"/>
                    </w:rPr>
                    <w:t xml:space="preserve">Often includes only information on bodies recovered and not missing persons (e.g. Spanish coast guard reports) </w:t>
                  </w:r>
                </w:p>
              </w:tc>
            </w:tr>
            <w:tr w:rsidR="0036416A" w14:paraId="3A73BB15" w14:textId="77777777" w:rsidTr="00A44C13">
              <w:trPr>
                <w:trHeight w:val="1800"/>
              </w:trPr>
              <w:tc>
                <w:tcPr>
                  <w:tcW w:w="0" w:type="auto"/>
                  <w:tcBorders>
                    <w:top w:val="single" w:sz="4" w:space="0" w:color="000000"/>
                    <w:left w:val="single" w:sz="4" w:space="0" w:color="000000"/>
                    <w:bottom w:val="single" w:sz="4" w:space="0" w:color="000000"/>
                    <w:right w:val="single" w:sz="4" w:space="0" w:color="000000"/>
                  </w:tcBorders>
                </w:tcPr>
                <w:p w14:paraId="0FF61DF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lastRenderedPageBreak/>
                    <w:t xml:space="preserve">Testimonies of shipwreck survivors </w:t>
                  </w:r>
                </w:p>
              </w:tc>
              <w:tc>
                <w:tcPr>
                  <w:tcW w:w="0" w:type="auto"/>
                  <w:tcBorders>
                    <w:top w:val="single" w:sz="4" w:space="0" w:color="000000"/>
                    <w:left w:val="single" w:sz="4" w:space="0" w:color="000000"/>
                    <w:bottom w:val="single" w:sz="4" w:space="0" w:color="000000"/>
                    <w:right w:val="single" w:sz="4" w:space="0" w:color="000000"/>
                  </w:tcBorders>
                </w:tcPr>
                <w:p w14:paraId="6FE786F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Incident reports </w:t>
                  </w:r>
                </w:p>
              </w:tc>
              <w:tc>
                <w:tcPr>
                  <w:tcW w:w="0" w:type="auto"/>
                  <w:tcBorders>
                    <w:top w:val="single" w:sz="4" w:space="0" w:color="000000"/>
                    <w:left w:val="single" w:sz="4" w:space="0" w:color="000000"/>
                    <w:bottom w:val="single" w:sz="4" w:space="0" w:color="000000"/>
                    <w:right w:val="single" w:sz="4" w:space="0" w:color="000000"/>
                  </w:tcBorders>
                </w:tcPr>
                <w:p w14:paraId="2032429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Mediterranean (IOM, </w:t>
                  </w:r>
                </w:p>
                <w:p w14:paraId="433295E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United Nations High </w:t>
                  </w:r>
                </w:p>
                <w:p w14:paraId="06AE2F24"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Commissioner for </w:t>
                  </w:r>
                </w:p>
                <w:p w14:paraId="6353389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Refugees (UNHCR)), </w:t>
                  </w:r>
                </w:p>
                <w:p w14:paraId="0AAEE1C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Bay of </w:t>
                  </w:r>
                </w:p>
                <w:p w14:paraId="72178E5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Bengal/Andaman Sea </w:t>
                  </w:r>
                </w:p>
                <w:p w14:paraId="0CBC88A9"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(UNHCR) </w:t>
                  </w:r>
                </w:p>
              </w:tc>
              <w:tc>
                <w:tcPr>
                  <w:tcW w:w="0" w:type="auto"/>
                  <w:gridSpan w:val="2"/>
                  <w:tcBorders>
                    <w:top w:val="single" w:sz="4" w:space="0" w:color="000000"/>
                    <w:left w:val="single" w:sz="4" w:space="0" w:color="000000"/>
                    <w:bottom w:val="single" w:sz="4" w:space="0" w:color="000000"/>
                    <w:right w:val="single" w:sz="4" w:space="0" w:color="000000"/>
                  </w:tcBorders>
                </w:tcPr>
                <w:p w14:paraId="37D361F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Indicative data where little other information exists </w:t>
                  </w:r>
                </w:p>
                <w:p w14:paraId="4362C8ED"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Useful to estimate number of missing persons at sea </w:t>
                  </w:r>
                </w:p>
              </w:tc>
              <w:tc>
                <w:tcPr>
                  <w:tcW w:w="0" w:type="auto"/>
                  <w:gridSpan w:val="3"/>
                  <w:tcBorders>
                    <w:top w:val="single" w:sz="4" w:space="0" w:color="000000"/>
                    <w:left w:val="single" w:sz="4" w:space="0" w:color="000000"/>
                    <w:bottom w:val="single" w:sz="4" w:space="0" w:color="000000"/>
                    <w:right w:val="single" w:sz="4" w:space="0" w:color="000000"/>
                  </w:tcBorders>
                </w:tcPr>
                <w:p w14:paraId="3FC317C5" w14:textId="77777777" w:rsidR="0036416A" w:rsidRDefault="0036416A" w:rsidP="0036416A">
                  <w:pPr>
                    <w:ind w:left="360" w:right="5"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20"/>
                    </w:rPr>
                    <w:t xml:space="preserve">Impossible to verify reports, survivors may provide range of estimates of missing persons (MMP always uses lowest estimate) </w:t>
                  </w:r>
                </w:p>
              </w:tc>
            </w:tr>
            <w:tr w:rsidR="0036416A" w14:paraId="6B09ED95" w14:textId="77777777" w:rsidTr="00A44C13">
              <w:trPr>
                <w:trHeight w:val="2463"/>
              </w:trPr>
              <w:tc>
                <w:tcPr>
                  <w:tcW w:w="0" w:type="auto"/>
                  <w:tcBorders>
                    <w:top w:val="single" w:sz="4" w:space="0" w:color="000000"/>
                    <w:left w:val="single" w:sz="4" w:space="0" w:color="000000"/>
                    <w:bottom w:val="single" w:sz="4" w:space="0" w:color="000000"/>
                    <w:right w:val="single" w:sz="4" w:space="0" w:color="000000"/>
                  </w:tcBorders>
                </w:tcPr>
                <w:p w14:paraId="04DCD84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Testimonies of migrants: Survey programmes </w:t>
                  </w:r>
                </w:p>
              </w:tc>
              <w:tc>
                <w:tcPr>
                  <w:tcW w:w="0" w:type="auto"/>
                  <w:tcBorders>
                    <w:top w:val="single" w:sz="4" w:space="0" w:color="000000"/>
                    <w:left w:val="single" w:sz="4" w:space="0" w:color="000000"/>
                    <w:bottom w:val="single" w:sz="4" w:space="0" w:color="000000"/>
                    <w:right w:val="single" w:sz="4" w:space="0" w:color="000000"/>
                  </w:tcBorders>
                </w:tcPr>
                <w:p w14:paraId="2762698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Summary figures. Incidentbased database often available on request </w:t>
                  </w:r>
                </w:p>
              </w:tc>
              <w:tc>
                <w:tcPr>
                  <w:tcW w:w="0" w:type="auto"/>
                  <w:tcBorders>
                    <w:top w:val="single" w:sz="4" w:space="0" w:color="000000"/>
                    <w:left w:val="single" w:sz="4" w:space="0" w:color="000000"/>
                    <w:bottom w:val="single" w:sz="4" w:space="0" w:color="000000"/>
                    <w:right w:val="single" w:sz="4" w:space="0" w:color="000000"/>
                  </w:tcBorders>
                </w:tcPr>
                <w:p w14:paraId="0577F176"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Mediterranean (IOM), North Africa (MHub and Mixed Migration Centre), sub-Saharan Africa </w:t>
                  </w:r>
                </w:p>
                <w:p w14:paraId="6576E7E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(Mixed Migration </w:t>
                  </w:r>
                </w:p>
                <w:p w14:paraId="1DAC417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Centre), </w:t>
                  </w:r>
                </w:p>
                <w:p w14:paraId="74577DCA"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Asia (Mixed Migration </w:t>
                  </w:r>
                </w:p>
                <w:p w14:paraId="5B81A43E"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Centre) </w:t>
                  </w:r>
                </w:p>
              </w:tc>
              <w:tc>
                <w:tcPr>
                  <w:tcW w:w="0" w:type="auto"/>
                  <w:tcBorders>
                    <w:top w:val="single" w:sz="4" w:space="0" w:color="000000"/>
                    <w:left w:val="single" w:sz="4" w:space="0" w:color="000000"/>
                    <w:bottom w:val="single" w:sz="4" w:space="0" w:color="000000"/>
                    <w:right w:val="nil"/>
                  </w:tcBorders>
                </w:tcPr>
                <w:p w14:paraId="1786D41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p>
              </w:tc>
              <w:tc>
                <w:tcPr>
                  <w:tcW w:w="0" w:type="auto"/>
                  <w:tcBorders>
                    <w:top w:val="single" w:sz="4" w:space="0" w:color="000000"/>
                    <w:left w:val="nil"/>
                    <w:bottom w:val="single" w:sz="4" w:space="0" w:color="000000"/>
                    <w:right w:val="single" w:sz="4" w:space="0" w:color="000000"/>
                  </w:tcBorders>
                </w:tcPr>
                <w:p w14:paraId="2A83299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Indicative data where no other data sources exist, interviewees may speak more honestly with interviewers who speak their native language and/or are also migrants </w:t>
                  </w:r>
                </w:p>
              </w:tc>
              <w:tc>
                <w:tcPr>
                  <w:tcW w:w="0" w:type="auto"/>
                  <w:tcBorders>
                    <w:top w:val="single" w:sz="4" w:space="0" w:color="000000"/>
                    <w:left w:val="single" w:sz="4" w:space="0" w:color="000000"/>
                    <w:bottom w:val="single" w:sz="4" w:space="0" w:color="000000"/>
                    <w:right w:val="nil"/>
                  </w:tcBorders>
                </w:tcPr>
                <w:p w14:paraId="04E00271" w14:textId="77777777" w:rsidR="0036416A" w:rsidRDefault="0036416A" w:rsidP="0036416A">
                  <w:pPr>
                    <w:spacing w:after="972"/>
                    <w:ind w:left="108"/>
                  </w:pPr>
                  <w:r>
                    <w:rPr>
                      <w:rFonts w:ascii="Segoe UI Symbol" w:eastAsia="Segoe UI Symbol" w:hAnsi="Segoe UI Symbol" w:cs="Segoe UI Symbol"/>
                      <w:sz w:val="20"/>
                    </w:rPr>
                    <w:t>•</w:t>
                  </w:r>
                  <w:r>
                    <w:rPr>
                      <w:rFonts w:ascii="Arial" w:eastAsia="Arial" w:hAnsi="Arial" w:cs="Arial"/>
                      <w:sz w:val="20"/>
                    </w:rPr>
                    <w:t xml:space="preserve"> </w:t>
                  </w:r>
                </w:p>
                <w:p w14:paraId="20CA6871" w14:textId="77777777" w:rsidR="0036416A" w:rsidRDefault="0036416A" w:rsidP="0036416A">
                  <w:pPr>
                    <w:spacing w:after="240"/>
                    <w:ind w:left="108"/>
                  </w:pPr>
                  <w:r>
                    <w:rPr>
                      <w:rFonts w:ascii="Segoe UI Symbol" w:eastAsia="Segoe UI Symbol" w:hAnsi="Segoe UI Symbol" w:cs="Segoe UI Symbol"/>
                      <w:sz w:val="20"/>
                    </w:rPr>
                    <w:t>•</w:t>
                  </w:r>
                  <w:r>
                    <w:rPr>
                      <w:rFonts w:ascii="Arial" w:eastAsia="Arial" w:hAnsi="Arial" w:cs="Arial"/>
                      <w:sz w:val="20"/>
                    </w:rPr>
                    <w:t xml:space="preserve"> </w:t>
                  </w:r>
                </w:p>
                <w:p w14:paraId="10158428" w14:textId="77777777" w:rsidR="0036416A" w:rsidRDefault="0036416A" w:rsidP="0036416A">
                  <w:pPr>
                    <w:ind w:left="108"/>
                  </w:pPr>
                  <w:r>
                    <w:rPr>
                      <w:rFonts w:ascii="Segoe UI Symbol" w:eastAsia="Segoe UI Symbol" w:hAnsi="Segoe UI Symbol" w:cs="Segoe UI Symbol"/>
                      <w:sz w:val="20"/>
                    </w:rPr>
                    <w:t>•</w:t>
                  </w:r>
                  <w:r>
                    <w:rPr>
                      <w:rFonts w:ascii="Arial" w:eastAsia="Arial" w:hAnsi="Arial" w:cs="Arial"/>
                      <w:sz w:val="20"/>
                    </w:rPr>
                    <w:t xml:space="preserve"> </w:t>
                  </w:r>
                </w:p>
              </w:tc>
              <w:tc>
                <w:tcPr>
                  <w:tcW w:w="0" w:type="auto"/>
                  <w:gridSpan w:val="2"/>
                  <w:tcBorders>
                    <w:top w:val="single" w:sz="4" w:space="0" w:color="000000"/>
                    <w:left w:val="nil"/>
                    <w:bottom w:val="single" w:sz="4" w:space="0" w:color="000000"/>
                    <w:right w:val="single" w:sz="4" w:space="0" w:color="000000"/>
                  </w:tcBorders>
                </w:tcPr>
                <w:p w14:paraId="247BA27D" w14:textId="77777777" w:rsidR="0036416A" w:rsidRDefault="0036416A" w:rsidP="0036416A">
                  <w:pPr>
                    <w:spacing w:after="10" w:line="241" w:lineRule="auto"/>
                    <w:ind w:right="2"/>
                  </w:pPr>
                  <w:r>
                    <w:rPr>
                      <w:rFonts w:ascii="Calibri" w:eastAsia="Calibri" w:hAnsi="Calibri" w:cs="Calibri"/>
                      <w:sz w:val="20"/>
                    </w:rPr>
                    <w:t xml:space="preserve">Impossible to verify reports for veracity or doublecounting, sample size is generally small and unrepresentative  </w:t>
                  </w:r>
                </w:p>
                <w:p w14:paraId="3615527A" w14:textId="77777777" w:rsidR="0036416A" w:rsidRDefault="0036416A" w:rsidP="0036416A">
                  <w:pPr>
                    <w:ind w:right="211"/>
                  </w:pPr>
                  <w:r>
                    <w:rPr>
                      <w:rFonts w:ascii="Calibri" w:eastAsia="Calibri" w:hAnsi="Calibri" w:cs="Calibri"/>
                      <w:sz w:val="20"/>
                    </w:rPr>
                    <w:t xml:space="preserve">Breaks between funding can inhibit comparison  Dates of deaths are often imprecise </w:t>
                  </w:r>
                </w:p>
              </w:tc>
            </w:tr>
            <w:tr w:rsidR="0036416A" w14:paraId="7B5BD03A" w14:textId="77777777" w:rsidTr="00A44C13">
              <w:trPr>
                <w:trHeight w:val="3682"/>
              </w:trPr>
              <w:tc>
                <w:tcPr>
                  <w:tcW w:w="0" w:type="auto"/>
                  <w:tcBorders>
                    <w:top w:val="single" w:sz="4" w:space="0" w:color="000000"/>
                    <w:left w:val="single" w:sz="4" w:space="0" w:color="000000"/>
                    <w:bottom w:val="single" w:sz="4" w:space="0" w:color="000000"/>
                    <w:right w:val="single" w:sz="4" w:space="0" w:color="000000"/>
                  </w:tcBorders>
                </w:tcPr>
                <w:p w14:paraId="76EC501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lastRenderedPageBreak/>
                    <w:t xml:space="preserve">NGO reports </w:t>
                  </w:r>
                </w:p>
              </w:tc>
              <w:tc>
                <w:tcPr>
                  <w:tcW w:w="0" w:type="auto"/>
                  <w:tcBorders>
                    <w:top w:val="single" w:sz="4" w:space="0" w:color="000000"/>
                    <w:left w:val="single" w:sz="4" w:space="0" w:color="000000"/>
                    <w:bottom w:val="single" w:sz="4" w:space="0" w:color="000000"/>
                    <w:right w:val="single" w:sz="4" w:space="0" w:color="000000"/>
                  </w:tcBorders>
                </w:tcPr>
                <w:p w14:paraId="62CA1A10"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Summary </w:t>
                  </w:r>
                </w:p>
                <w:p w14:paraId="7E56B43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figures, incidentbased database often available upon request </w:t>
                  </w:r>
                </w:p>
              </w:tc>
              <w:tc>
                <w:tcPr>
                  <w:tcW w:w="0" w:type="auto"/>
                  <w:tcBorders>
                    <w:top w:val="single" w:sz="4" w:space="0" w:color="000000"/>
                    <w:left w:val="single" w:sz="4" w:space="0" w:color="000000"/>
                    <w:bottom w:val="single" w:sz="4" w:space="0" w:color="000000"/>
                    <w:right w:val="single" w:sz="4" w:space="0" w:color="000000"/>
                  </w:tcBorders>
                </w:tcPr>
                <w:p w14:paraId="5F4BE0F1"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South-East Asia (Office of the United Nations High Commissioner for </w:t>
                  </w:r>
                </w:p>
                <w:p w14:paraId="7D016446"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Human Rights), </w:t>
                  </w:r>
                </w:p>
                <w:p w14:paraId="3970D2C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Middle East (several </w:t>
                  </w:r>
                </w:p>
                <w:p w14:paraId="385223B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NGOs), </w:t>
                  </w:r>
                </w:p>
                <w:p w14:paraId="4231B32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Western </w:t>
                  </w:r>
                </w:p>
                <w:p w14:paraId="07B36A9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Mediterranean </w:t>
                  </w:r>
                </w:p>
                <w:p w14:paraId="090CE0E6"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(Asociación Pro </w:t>
                  </w:r>
                </w:p>
                <w:p w14:paraId="4E1C9A51"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Derechos Humanos de </w:t>
                  </w:r>
                </w:p>
                <w:p w14:paraId="3A58E93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Andalucía ) </w:t>
                  </w:r>
                </w:p>
              </w:tc>
              <w:tc>
                <w:tcPr>
                  <w:tcW w:w="0" w:type="auto"/>
                  <w:tcBorders>
                    <w:top w:val="single" w:sz="4" w:space="0" w:color="000000"/>
                    <w:left w:val="single" w:sz="4" w:space="0" w:color="000000"/>
                    <w:bottom w:val="single" w:sz="4" w:space="0" w:color="000000"/>
                    <w:right w:val="nil"/>
                  </w:tcBorders>
                </w:tcPr>
                <w:p w14:paraId="7FF6FFD9"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p>
              </w:tc>
              <w:tc>
                <w:tcPr>
                  <w:tcW w:w="0" w:type="auto"/>
                  <w:tcBorders>
                    <w:top w:val="single" w:sz="4" w:space="0" w:color="000000"/>
                    <w:left w:val="nil"/>
                    <w:bottom w:val="single" w:sz="4" w:space="0" w:color="000000"/>
                    <w:right w:val="single" w:sz="4" w:space="0" w:color="000000"/>
                  </w:tcBorders>
                </w:tcPr>
                <w:p w14:paraId="41C21C1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(Can) provide credible information from local contexts, sometimes with specialized knowledge from NGO staff. Though usually these are summary figures released annually, NGOs are </w:t>
                  </w:r>
                </w:p>
                <w:p w14:paraId="4EBDA781"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generally willing to provide underlying data if asked </w:t>
                  </w:r>
                </w:p>
              </w:tc>
              <w:tc>
                <w:tcPr>
                  <w:tcW w:w="0" w:type="auto"/>
                  <w:tcBorders>
                    <w:top w:val="single" w:sz="4" w:space="0" w:color="000000"/>
                    <w:left w:val="single" w:sz="4" w:space="0" w:color="000000"/>
                    <w:bottom w:val="single" w:sz="4" w:space="0" w:color="000000"/>
                    <w:right w:val="nil"/>
                  </w:tcBorders>
                </w:tcPr>
                <w:p w14:paraId="5CCFDC53" w14:textId="77777777" w:rsidR="0036416A" w:rsidRDefault="0036416A" w:rsidP="0036416A">
                  <w:pPr>
                    <w:spacing w:after="240"/>
                    <w:ind w:left="108"/>
                  </w:pPr>
                  <w:r>
                    <w:rPr>
                      <w:rFonts w:ascii="Segoe UI Symbol" w:eastAsia="Segoe UI Symbol" w:hAnsi="Segoe UI Symbol" w:cs="Segoe UI Symbol"/>
                      <w:sz w:val="20"/>
                    </w:rPr>
                    <w:t>•</w:t>
                  </w:r>
                  <w:r>
                    <w:rPr>
                      <w:rFonts w:ascii="Arial" w:eastAsia="Arial" w:hAnsi="Arial" w:cs="Arial"/>
                      <w:sz w:val="20"/>
                    </w:rPr>
                    <w:t xml:space="preserve"> </w:t>
                  </w:r>
                </w:p>
                <w:p w14:paraId="2D443B8A" w14:textId="77777777" w:rsidR="0036416A" w:rsidRDefault="0036416A" w:rsidP="0036416A">
                  <w:pPr>
                    <w:spacing w:after="728"/>
                    <w:ind w:left="108"/>
                  </w:pPr>
                  <w:r>
                    <w:rPr>
                      <w:rFonts w:ascii="Segoe UI Symbol" w:eastAsia="Segoe UI Symbol" w:hAnsi="Segoe UI Symbol" w:cs="Segoe UI Symbol"/>
                      <w:sz w:val="20"/>
                    </w:rPr>
                    <w:t>•</w:t>
                  </w:r>
                  <w:r>
                    <w:rPr>
                      <w:rFonts w:ascii="Arial" w:eastAsia="Arial" w:hAnsi="Arial" w:cs="Arial"/>
                      <w:sz w:val="20"/>
                    </w:rPr>
                    <w:t xml:space="preserve"> </w:t>
                  </w:r>
                </w:p>
                <w:p w14:paraId="2DACD960" w14:textId="77777777" w:rsidR="0036416A" w:rsidRDefault="0036416A" w:rsidP="0036416A">
                  <w:pPr>
                    <w:ind w:left="108"/>
                  </w:pPr>
                  <w:r>
                    <w:rPr>
                      <w:rFonts w:ascii="Segoe UI Symbol" w:eastAsia="Segoe UI Symbol" w:hAnsi="Segoe UI Symbol" w:cs="Segoe UI Symbol"/>
                      <w:sz w:val="20"/>
                    </w:rPr>
                    <w:t>•</w:t>
                  </w:r>
                  <w:r>
                    <w:rPr>
                      <w:rFonts w:ascii="Arial" w:eastAsia="Arial" w:hAnsi="Arial" w:cs="Arial"/>
                      <w:sz w:val="20"/>
                    </w:rPr>
                    <w:t xml:space="preserve"> </w:t>
                  </w:r>
                </w:p>
              </w:tc>
              <w:tc>
                <w:tcPr>
                  <w:tcW w:w="0" w:type="auto"/>
                  <w:gridSpan w:val="2"/>
                  <w:tcBorders>
                    <w:top w:val="single" w:sz="4" w:space="0" w:color="000000"/>
                    <w:left w:val="nil"/>
                    <w:bottom w:val="single" w:sz="4" w:space="0" w:color="000000"/>
                    <w:right w:val="single" w:sz="4" w:space="0" w:color="000000"/>
                  </w:tcBorders>
                </w:tcPr>
                <w:p w14:paraId="5B1C1336" w14:textId="77777777" w:rsidR="0036416A" w:rsidRDefault="0036416A" w:rsidP="0036416A">
                  <w:r>
                    <w:rPr>
                      <w:rFonts w:ascii="Calibri" w:eastAsia="Calibri" w:hAnsi="Calibri" w:cs="Calibri"/>
                      <w:sz w:val="20"/>
                    </w:rPr>
                    <w:t xml:space="preserve">Cover only regional or </w:t>
                  </w:r>
                </w:p>
                <w:p w14:paraId="5F19E890" w14:textId="77777777" w:rsidR="0036416A" w:rsidRDefault="0036416A" w:rsidP="0036416A">
                  <w:r>
                    <w:rPr>
                      <w:rFonts w:ascii="Calibri" w:eastAsia="Calibri" w:hAnsi="Calibri" w:cs="Calibri"/>
                      <w:sz w:val="20"/>
                    </w:rPr>
                    <w:t xml:space="preserve">localized areas </w:t>
                  </w:r>
                </w:p>
                <w:p w14:paraId="7FFBD65E" w14:textId="77777777" w:rsidR="0036416A" w:rsidRDefault="0036416A" w:rsidP="0036416A">
                  <w:r>
                    <w:rPr>
                      <w:rFonts w:ascii="Calibri" w:eastAsia="Calibri" w:hAnsi="Calibri" w:cs="Calibri"/>
                      <w:sz w:val="20"/>
                    </w:rPr>
                    <w:t xml:space="preserve">Often release data annually as summary figure, which are impossible to check for veracity and double counting Definition of “migrant death” may vary </w:t>
                  </w:r>
                </w:p>
              </w:tc>
            </w:tr>
            <w:tr w:rsidR="0036416A" w14:paraId="47601B1F" w14:textId="77777777" w:rsidTr="00A44C13">
              <w:trPr>
                <w:trHeight w:val="2506"/>
              </w:trPr>
              <w:tc>
                <w:tcPr>
                  <w:tcW w:w="0" w:type="auto"/>
                  <w:tcBorders>
                    <w:top w:val="single" w:sz="4" w:space="0" w:color="000000"/>
                    <w:left w:val="single" w:sz="4" w:space="0" w:color="000000"/>
                    <w:bottom w:val="nil"/>
                    <w:right w:val="single" w:sz="4" w:space="0" w:color="000000"/>
                  </w:tcBorders>
                </w:tcPr>
                <w:p w14:paraId="0C50397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Media: </w:t>
                  </w:r>
                </w:p>
                <w:p w14:paraId="7CB9F99F"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Traditional media reporting </w:t>
                  </w:r>
                </w:p>
                <w:p w14:paraId="05AA5615"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p w14:paraId="72B506E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 </w:t>
                  </w:r>
                </w:p>
              </w:tc>
              <w:tc>
                <w:tcPr>
                  <w:tcW w:w="0" w:type="auto"/>
                  <w:tcBorders>
                    <w:top w:val="single" w:sz="4" w:space="0" w:color="000000"/>
                    <w:left w:val="single" w:sz="4" w:space="0" w:color="000000"/>
                    <w:bottom w:val="nil"/>
                    <w:right w:val="single" w:sz="4" w:space="0" w:color="000000"/>
                  </w:tcBorders>
                </w:tcPr>
                <w:p w14:paraId="25D7546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Incident reports </w:t>
                  </w:r>
                </w:p>
              </w:tc>
              <w:tc>
                <w:tcPr>
                  <w:tcW w:w="0" w:type="auto"/>
                  <w:tcBorders>
                    <w:top w:val="single" w:sz="4" w:space="0" w:color="000000"/>
                    <w:left w:val="single" w:sz="4" w:space="0" w:color="000000"/>
                    <w:bottom w:val="nil"/>
                    <w:right w:val="single" w:sz="4" w:space="0" w:color="000000"/>
                  </w:tcBorders>
                </w:tcPr>
                <w:p w14:paraId="50CE47D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Coverage in Central </w:t>
                  </w:r>
                </w:p>
                <w:p w14:paraId="14A6DB13"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America, United States </w:t>
                  </w:r>
                </w:p>
                <w:p w14:paraId="602F24D1"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–Mexico border, Europe; to a lesser degree in Asia and </w:t>
                  </w:r>
                </w:p>
                <w:p w14:paraId="0BA4599E"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Africa </w:t>
                  </w:r>
                </w:p>
              </w:tc>
              <w:tc>
                <w:tcPr>
                  <w:tcW w:w="0" w:type="auto"/>
                  <w:tcBorders>
                    <w:top w:val="single" w:sz="4" w:space="0" w:color="000000"/>
                    <w:left w:val="single" w:sz="4" w:space="0" w:color="000000"/>
                    <w:bottom w:val="nil"/>
                    <w:right w:val="nil"/>
                  </w:tcBorders>
                </w:tcPr>
                <w:p w14:paraId="3B0EC742"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p>
                <w:p w14:paraId="40FF060B"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p>
              </w:tc>
              <w:tc>
                <w:tcPr>
                  <w:tcW w:w="0" w:type="auto"/>
                  <w:tcBorders>
                    <w:top w:val="single" w:sz="4" w:space="0" w:color="000000"/>
                    <w:left w:val="nil"/>
                    <w:bottom w:val="nil"/>
                    <w:right w:val="single" w:sz="4" w:space="0" w:color="000000"/>
                  </w:tcBorders>
                </w:tcPr>
                <w:p w14:paraId="1297B063"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Provides current information on events that may not be reported otherwise  Contextual information may be included that doesn’t come across in data sets </w:t>
                  </w:r>
                </w:p>
              </w:tc>
              <w:tc>
                <w:tcPr>
                  <w:tcW w:w="0" w:type="auto"/>
                  <w:tcBorders>
                    <w:top w:val="single" w:sz="4" w:space="0" w:color="000000"/>
                    <w:left w:val="single" w:sz="4" w:space="0" w:color="000000"/>
                    <w:bottom w:val="nil"/>
                    <w:right w:val="nil"/>
                  </w:tcBorders>
                </w:tcPr>
                <w:p w14:paraId="60567804" w14:textId="77777777" w:rsidR="0036416A" w:rsidRDefault="0036416A" w:rsidP="0036416A">
                  <w:pPr>
                    <w:spacing w:after="482"/>
                    <w:ind w:left="108"/>
                  </w:pPr>
                  <w:r>
                    <w:rPr>
                      <w:rFonts w:ascii="Segoe UI Symbol" w:eastAsia="Segoe UI Symbol" w:hAnsi="Segoe UI Symbol" w:cs="Segoe UI Symbol"/>
                      <w:sz w:val="20"/>
                    </w:rPr>
                    <w:t>•</w:t>
                  </w:r>
                  <w:r>
                    <w:rPr>
                      <w:rFonts w:ascii="Arial" w:eastAsia="Arial" w:hAnsi="Arial" w:cs="Arial"/>
                      <w:sz w:val="20"/>
                    </w:rPr>
                    <w:t xml:space="preserve"> </w:t>
                  </w:r>
                </w:p>
                <w:p w14:paraId="7047182D" w14:textId="77777777" w:rsidR="0036416A" w:rsidRDefault="0036416A" w:rsidP="0036416A">
                  <w:pPr>
                    <w:spacing w:after="485"/>
                    <w:ind w:left="108"/>
                  </w:pPr>
                  <w:r>
                    <w:rPr>
                      <w:rFonts w:ascii="Segoe UI Symbol" w:eastAsia="Segoe UI Symbol" w:hAnsi="Segoe UI Symbol" w:cs="Segoe UI Symbol"/>
                      <w:sz w:val="20"/>
                    </w:rPr>
                    <w:t>•</w:t>
                  </w:r>
                  <w:r>
                    <w:rPr>
                      <w:rFonts w:ascii="Arial" w:eastAsia="Arial" w:hAnsi="Arial" w:cs="Arial"/>
                      <w:sz w:val="20"/>
                    </w:rPr>
                    <w:t xml:space="preserve"> </w:t>
                  </w:r>
                </w:p>
                <w:p w14:paraId="727777AC" w14:textId="77777777" w:rsidR="0036416A" w:rsidRDefault="0036416A" w:rsidP="0036416A">
                  <w:pPr>
                    <w:ind w:left="108"/>
                  </w:pPr>
                  <w:r>
                    <w:rPr>
                      <w:rFonts w:ascii="Segoe UI Symbol" w:eastAsia="Segoe UI Symbol" w:hAnsi="Segoe UI Symbol" w:cs="Segoe UI Symbol"/>
                      <w:sz w:val="20"/>
                    </w:rPr>
                    <w:t>•</w:t>
                  </w:r>
                  <w:r>
                    <w:rPr>
                      <w:rFonts w:ascii="Arial" w:eastAsia="Arial" w:hAnsi="Arial" w:cs="Arial"/>
                      <w:sz w:val="20"/>
                    </w:rPr>
                    <w:t xml:space="preserve"> </w:t>
                  </w:r>
                </w:p>
              </w:tc>
              <w:tc>
                <w:tcPr>
                  <w:tcW w:w="0" w:type="auto"/>
                  <w:gridSpan w:val="2"/>
                  <w:tcBorders>
                    <w:top w:val="single" w:sz="4" w:space="0" w:color="000000"/>
                    <w:left w:val="nil"/>
                    <w:bottom w:val="nil"/>
                    <w:right w:val="single" w:sz="4" w:space="0" w:color="000000"/>
                  </w:tcBorders>
                </w:tcPr>
                <w:p w14:paraId="6C36EF1A" w14:textId="77777777" w:rsidR="0036416A" w:rsidRDefault="0036416A" w:rsidP="0036416A">
                  <w:pPr>
                    <w:spacing w:after="8" w:line="243" w:lineRule="auto"/>
                  </w:pPr>
                  <w:r>
                    <w:rPr>
                      <w:rFonts w:ascii="Calibri" w:eastAsia="Calibri" w:hAnsi="Calibri" w:cs="Calibri"/>
                      <w:sz w:val="20"/>
                    </w:rPr>
                    <w:t xml:space="preserve">Quality varies significantly, and information can be incomplete or inaccurate Generally no follow-up reporting (e.g. the aftermath of a car crash) </w:t>
                  </w:r>
                </w:p>
                <w:p w14:paraId="127FAEC3" w14:textId="77777777" w:rsidR="0036416A" w:rsidRDefault="0036416A" w:rsidP="0036416A">
                  <w:r>
                    <w:rPr>
                      <w:rFonts w:ascii="Calibri" w:eastAsia="Calibri" w:hAnsi="Calibri" w:cs="Calibri"/>
                      <w:sz w:val="20"/>
                    </w:rPr>
                    <w:t xml:space="preserve">“Big” news is more likely to receive pickup – i.e. smaller incidents not part of a “crisis” may not be reported </w:t>
                  </w:r>
                </w:p>
              </w:tc>
            </w:tr>
            <w:tr w:rsidR="0036416A" w14:paraId="08C784C7" w14:textId="77777777" w:rsidTr="00A44C13">
              <w:trPr>
                <w:trHeight w:val="518"/>
              </w:trPr>
              <w:tc>
                <w:tcPr>
                  <w:tcW w:w="0" w:type="auto"/>
                  <w:tcBorders>
                    <w:top w:val="nil"/>
                    <w:left w:val="single" w:sz="4" w:space="0" w:color="000000"/>
                    <w:bottom w:val="single" w:sz="4" w:space="0" w:color="000000"/>
                    <w:right w:val="single" w:sz="4" w:space="0" w:color="000000"/>
                  </w:tcBorders>
                </w:tcPr>
                <w:p w14:paraId="4CFD5B83" w14:textId="77777777" w:rsidR="0036416A" w:rsidRPr="00DD0E3A" w:rsidRDefault="0036416A" w:rsidP="0036416A">
                  <w:pPr>
                    <w:pStyle w:val="NoSpacing"/>
                    <w:rPr>
                      <w:rFonts w:ascii="Tw Cen MT Condensed" w:hAnsi="Tw Cen MT Condensed"/>
                      <w:sz w:val="20"/>
                      <w:szCs w:val="20"/>
                    </w:rPr>
                  </w:pPr>
                </w:p>
              </w:tc>
              <w:tc>
                <w:tcPr>
                  <w:tcW w:w="0" w:type="auto"/>
                  <w:tcBorders>
                    <w:top w:val="nil"/>
                    <w:left w:val="single" w:sz="4" w:space="0" w:color="000000"/>
                    <w:bottom w:val="single" w:sz="4" w:space="0" w:color="000000"/>
                    <w:right w:val="single" w:sz="4" w:space="0" w:color="000000"/>
                  </w:tcBorders>
                </w:tcPr>
                <w:p w14:paraId="2EAC95F8" w14:textId="77777777" w:rsidR="0036416A" w:rsidRPr="00DD0E3A" w:rsidRDefault="0036416A" w:rsidP="0036416A">
                  <w:pPr>
                    <w:pStyle w:val="NoSpacing"/>
                    <w:rPr>
                      <w:rFonts w:ascii="Tw Cen MT Condensed" w:hAnsi="Tw Cen MT Condensed"/>
                      <w:sz w:val="20"/>
                      <w:szCs w:val="20"/>
                    </w:rPr>
                  </w:pPr>
                </w:p>
              </w:tc>
              <w:tc>
                <w:tcPr>
                  <w:tcW w:w="0" w:type="auto"/>
                  <w:tcBorders>
                    <w:top w:val="nil"/>
                    <w:left w:val="single" w:sz="4" w:space="0" w:color="000000"/>
                    <w:bottom w:val="single" w:sz="4" w:space="0" w:color="000000"/>
                    <w:right w:val="single" w:sz="4" w:space="0" w:color="000000"/>
                  </w:tcBorders>
                </w:tcPr>
                <w:p w14:paraId="2E021BB8" w14:textId="77777777" w:rsidR="0036416A" w:rsidRPr="00DD0E3A" w:rsidRDefault="0036416A" w:rsidP="0036416A">
                  <w:pPr>
                    <w:pStyle w:val="NoSpacing"/>
                    <w:rPr>
                      <w:rFonts w:ascii="Tw Cen MT Condensed" w:hAnsi="Tw Cen MT Condensed"/>
                      <w:sz w:val="20"/>
                      <w:szCs w:val="20"/>
                    </w:rPr>
                  </w:pPr>
                </w:p>
              </w:tc>
              <w:tc>
                <w:tcPr>
                  <w:tcW w:w="0" w:type="auto"/>
                  <w:tcBorders>
                    <w:top w:val="nil"/>
                    <w:left w:val="single" w:sz="4" w:space="0" w:color="000000"/>
                    <w:bottom w:val="single" w:sz="4" w:space="0" w:color="000000"/>
                    <w:right w:val="nil"/>
                  </w:tcBorders>
                </w:tcPr>
                <w:p w14:paraId="21EE2668" w14:textId="77777777" w:rsidR="0036416A" w:rsidRPr="00DD0E3A" w:rsidRDefault="0036416A" w:rsidP="0036416A">
                  <w:pPr>
                    <w:pStyle w:val="NoSpacing"/>
                    <w:rPr>
                      <w:rFonts w:ascii="Tw Cen MT Condensed" w:hAnsi="Tw Cen MT Condensed"/>
                      <w:sz w:val="20"/>
                      <w:szCs w:val="20"/>
                    </w:rPr>
                  </w:pPr>
                </w:p>
              </w:tc>
              <w:tc>
                <w:tcPr>
                  <w:tcW w:w="0" w:type="auto"/>
                  <w:tcBorders>
                    <w:top w:val="nil"/>
                    <w:left w:val="nil"/>
                    <w:bottom w:val="single" w:sz="4" w:space="0" w:color="000000"/>
                    <w:right w:val="single" w:sz="4" w:space="0" w:color="000000"/>
                  </w:tcBorders>
                </w:tcPr>
                <w:p w14:paraId="48441EF9" w14:textId="77777777" w:rsidR="0036416A" w:rsidRPr="00DD0E3A" w:rsidRDefault="0036416A" w:rsidP="0036416A">
                  <w:pPr>
                    <w:pStyle w:val="NoSpacing"/>
                    <w:rPr>
                      <w:rFonts w:ascii="Tw Cen MT Condensed" w:hAnsi="Tw Cen MT Condensed"/>
                      <w:sz w:val="20"/>
                      <w:szCs w:val="20"/>
                    </w:rPr>
                  </w:pPr>
                </w:p>
              </w:tc>
              <w:tc>
                <w:tcPr>
                  <w:tcW w:w="0" w:type="auto"/>
                  <w:tcBorders>
                    <w:top w:val="nil"/>
                    <w:left w:val="single" w:sz="4" w:space="0" w:color="000000"/>
                    <w:bottom w:val="single" w:sz="4" w:space="0" w:color="000000"/>
                    <w:right w:val="nil"/>
                  </w:tcBorders>
                </w:tcPr>
                <w:p w14:paraId="78652353" w14:textId="77777777" w:rsidR="0036416A" w:rsidRDefault="0036416A" w:rsidP="0036416A">
                  <w:pPr>
                    <w:ind w:left="108"/>
                  </w:pPr>
                  <w:r>
                    <w:rPr>
                      <w:rFonts w:ascii="Segoe UI Symbol" w:eastAsia="Segoe UI Symbol" w:hAnsi="Segoe UI Symbol" w:cs="Segoe UI Symbol"/>
                      <w:sz w:val="20"/>
                    </w:rPr>
                    <w:t>•</w:t>
                  </w:r>
                  <w:r>
                    <w:rPr>
                      <w:rFonts w:ascii="Arial" w:eastAsia="Arial" w:hAnsi="Arial" w:cs="Arial"/>
                      <w:sz w:val="20"/>
                    </w:rPr>
                    <w:t xml:space="preserve"> </w:t>
                  </w:r>
                </w:p>
              </w:tc>
              <w:tc>
                <w:tcPr>
                  <w:tcW w:w="0" w:type="auto"/>
                  <w:gridSpan w:val="2"/>
                  <w:tcBorders>
                    <w:top w:val="nil"/>
                    <w:left w:val="nil"/>
                    <w:bottom w:val="single" w:sz="4" w:space="0" w:color="000000"/>
                    <w:right w:val="single" w:sz="4" w:space="0" w:color="000000"/>
                  </w:tcBorders>
                </w:tcPr>
                <w:p w14:paraId="5B09246E" w14:textId="77777777" w:rsidR="0036416A" w:rsidRDefault="0036416A" w:rsidP="0036416A">
                  <w:r>
                    <w:rPr>
                      <w:rFonts w:ascii="Calibri" w:eastAsia="Calibri" w:hAnsi="Calibri" w:cs="Calibri"/>
                      <w:sz w:val="20"/>
                    </w:rPr>
                    <w:t xml:space="preserve">Requires frequent data </w:t>
                  </w:r>
                  <w:r>
                    <w:rPr>
                      <w:rFonts w:ascii="Calibri" w:eastAsia="Calibri" w:hAnsi="Calibri" w:cs="Calibri"/>
                      <w:sz w:val="20"/>
                    </w:rPr>
                    <w:lastRenderedPageBreak/>
                    <w:t xml:space="preserve">mining/searching of sources </w:t>
                  </w:r>
                </w:p>
              </w:tc>
            </w:tr>
            <w:tr w:rsidR="0036416A" w14:paraId="6A46A842" w14:textId="77777777" w:rsidTr="00A44C13">
              <w:trPr>
                <w:trHeight w:val="572"/>
              </w:trPr>
              <w:tc>
                <w:tcPr>
                  <w:tcW w:w="0" w:type="auto"/>
                  <w:tcBorders>
                    <w:top w:val="single" w:sz="4" w:space="0" w:color="000000"/>
                    <w:left w:val="single" w:sz="4" w:space="0" w:color="000000"/>
                    <w:bottom w:val="single" w:sz="4" w:space="0" w:color="000000"/>
                    <w:right w:val="single" w:sz="4" w:space="0" w:color="000000"/>
                  </w:tcBorders>
                </w:tcPr>
                <w:p w14:paraId="693D8096"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lastRenderedPageBreak/>
                    <w:t xml:space="preserve">Media: Social media </w:t>
                  </w:r>
                </w:p>
              </w:tc>
              <w:tc>
                <w:tcPr>
                  <w:tcW w:w="0" w:type="auto"/>
                  <w:tcBorders>
                    <w:top w:val="single" w:sz="4" w:space="0" w:color="000000"/>
                    <w:left w:val="single" w:sz="4" w:space="0" w:color="000000"/>
                    <w:bottom w:val="single" w:sz="4" w:space="0" w:color="000000"/>
                    <w:right w:val="single" w:sz="4" w:space="0" w:color="000000"/>
                  </w:tcBorders>
                </w:tcPr>
                <w:p w14:paraId="777AE07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Incident reports </w:t>
                  </w:r>
                </w:p>
              </w:tc>
              <w:tc>
                <w:tcPr>
                  <w:tcW w:w="0" w:type="auto"/>
                  <w:tcBorders>
                    <w:top w:val="single" w:sz="4" w:space="0" w:color="000000"/>
                    <w:left w:val="single" w:sz="4" w:space="0" w:color="000000"/>
                    <w:bottom w:val="single" w:sz="4" w:space="0" w:color="000000"/>
                    <w:right w:val="single" w:sz="4" w:space="0" w:color="000000"/>
                  </w:tcBorders>
                </w:tcPr>
                <w:p w14:paraId="40023D9A"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Middle East, Central </w:t>
                  </w:r>
                </w:p>
                <w:p w14:paraId="310206E7"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America, </w:t>
                  </w:r>
                </w:p>
                <w:p w14:paraId="35CF8A1C"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sz w:val="20"/>
                      <w:szCs w:val="20"/>
                    </w:rPr>
                    <w:t xml:space="preserve">Mediterranean </w:t>
                  </w:r>
                </w:p>
              </w:tc>
              <w:tc>
                <w:tcPr>
                  <w:tcW w:w="0" w:type="auto"/>
                  <w:tcBorders>
                    <w:top w:val="single" w:sz="4" w:space="0" w:color="000000"/>
                    <w:left w:val="single" w:sz="4" w:space="0" w:color="000000"/>
                    <w:bottom w:val="single" w:sz="4" w:space="0" w:color="000000"/>
                    <w:right w:val="nil"/>
                  </w:tcBorders>
                </w:tcPr>
                <w:p w14:paraId="75F224DE"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Segoe UI Symbol" w:hAnsi="Tw Cen MT Condensed" w:cs="Segoe UI Symbol"/>
                      <w:sz w:val="20"/>
                      <w:szCs w:val="20"/>
                    </w:rPr>
                    <w:t>•</w:t>
                  </w:r>
                  <w:r w:rsidRPr="00DD0E3A">
                    <w:rPr>
                      <w:rFonts w:ascii="Tw Cen MT Condensed" w:eastAsia="Arial" w:hAnsi="Tw Cen MT Condensed" w:cs="Arial"/>
                      <w:sz w:val="20"/>
                      <w:szCs w:val="20"/>
                    </w:rPr>
                    <w:t xml:space="preserve"> </w:t>
                  </w:r>
                </w:p>
              </w:tc>
              <w:tc>
                <w:tcPr>
                  <w:tcW w:w="0" w:type="auto"/>
                  <w:tcBorders>
                    <w:top w:val="single" w:sz="4" w:space="0" w:color="000000"/>
                    <w:left w:val="nil"/>
                    <w:bottom w:val="single" w:sz="4" w:space="0" w:color="000000"/>
                    <w:right w:val="single" w:sz="4" w:space="0" w:color="000000"/>
                  </w:tcBorders>
                </w:tcPr>
                <w:p w14:paraId="657D4A8A" w14:textId="77777777" w:rsidR="0036416A" w:rsidRPr="00DD0E3A" w:rsidRDefault="0036416A" w:rsidP="0036416A">
                  <w:pPr>
                    <w:pStyle w:val="NoSpacing"/>
                    <w:rPr>
                      <w:rFonts w:ascii="Tw Cen MT Condensed" w:hAnsi="Tw Cen MT Condensed"/>
                      <w:sz w:val="20"/>
                      <w:szCs w:val="20"/>
                    </w:rPr>
                  </w:pPr>
                  <w:r w:rsidRPr="00DD0E3A">
                    <w:rPr>
                      <w:rFonts w:ascii="Tw Cen MT Condensed" w:eastAsia="Calibri" w:hAnsi="Tw Cen MT Condensed" w:cs="Calibri"/>
                      <w:sz w:val="20"/>
                      <w:szCs w:val="20"/>
                    </w:rPr>
                    <w:t xml:space="preserve">(Can) provide the most current information about incidents, can foster connections between data sources (e.g. IOM with local NGOs), information about cases not reported in news (e.g. European Asylum Support Office weekly social media monitoring reports) </w:t>
                  </w:r>
                </w:p>
              </w:tc>
              <w:tc>
                <w:tcPr>
                  <w:tcW w:w="0" w:type="auto"/>
                  <w:tcBorders>
                    <w:top w:val="single" w:sz="4" w:space="0" w:color="000000"/>
                    <w:left w:val="single" w:sz="4" w:space="0" w:color="000000"/>
                    <w:bottom w:val="single" w:sz="4" w:space="0" w:color="000000"/>
                    <w:right w:val="nil"/>
                  </w:tcBorders>
                </w:tcPr>
                <w:p w14:paraId="12A16D92" w14:textId="77777777" w:rsidR="0036416A" w:rsidRDefault="0036416A" w:rsidP="0036416A">
                  <w:pPr>
                    <w:spacing w:after="482"/>
                    <w:ind w:left="108"/>
                  </w:pPr>
                  <w:r>
                    <w:rPr>
                      <w:rFonts w:ascii="Segoe UI Symbol" w:eastAsia="Segoe UI Symbol" w:hAnsi="Segoe UI Symbol" w:cs="Segoe UI Symbol"/>
                      <w:sz w:val="20"/>
                    </w:rPr>
                    <w:t>•</w:t>
                  </w:r>
                  <w:r>
                    <w:rPr>
                      <w:rFonts w:ascii="Arial" w:eastAsia="Arial" w:hAnsi="Arial" w:cs="Arial"/>
                      <w:sz w:val="20"/>
                    </w:rPr>
                    <w:t xml:space="preserve"> </w:t>
                  </w:r>
                </w:p>
                <w:p w14:paraId="55F540EC" w14:textId="77777777" w:rsidR="0036416A" w:rsidRDefault="0036416A" w:rsidP="0036416A">
                  <w:pPr>
                    <w:spacing w:after="485"/>
                    <w:ind w:left="108"/>
                  </w:pPr>
                  <w:r>
                    <w:rPr>
                      <w:rFonts w:ascii="Segoe UI Symbol" w:eastAsia="Segoe UI Symbol" w:hAnsi="Segoe UI Symbol" w:cs="Segoe UI Symbol"/>
                      <w:sz w:val="20"/>
                    </w:rPr>
                    <w:t>•</w:t>
                  </w:r>
                  <w:r>
                    <w:rPr>
                      <w:rFonts w:ascii="Arial" w:eastAsia="Arial" w:hAnsi="Arial" w:cs="Arial"/>
                      <w:sz w:val="20"/>
                    </w:rPr>
                    <w:t xml:space="preserve"> </w:t>
                  </w:r>
                </w:p>
                <w:p w14:paraId="3CC87121" w14:textId="77777777" w:rsidR="0036416A" w:rsidRDefault="0036416A" w:rsidP="0036416A">
                  <w:pPr>
                    <w:spacing w:after="241"/>
                    <w:ind w:left="108"/>
                  </w:pPr>
                  <w:r>
                    <w:rPr>
                      <w:rFonts w:ascii="Segoe UI Symbol" w:eastAsia="Segoe UI Symbol" w:hAnsi="Segoe UI Symbol" w:cs="Segoe UI Symbol"/>
                      <w:sz w:val="20"/>
                    </w:rPr>
                    <w:t>•</w:t>
                  </w:r>
                  <w:r>
                    <w:rPr>
                      <w:rFonts w:ascii="Arial" w:eastAsia="Arial" w:hAnsi="Arial" w:cs="Arial"/>
                      <w:sz w:val="20"/>
                    </w:rPr>
                    <w:t xml:space="preserve"> </w:t>
                  </w:r>
                </w:p>
                <w:p w14:paraId="70A8DF32" w14:textId="77777777" w:rsidR="0036416A" w:rsidRDefault="0036416A" w:rsidP="0036416A">
                  <w:pPr>
                    <w:ind w:left="108"/>
                  </w:pPr>
                  <w:r>
                    <w:rPr>
                      <w:rFonts w:ascii="Segoe UI Symbol" w:eastAsia="Segoe UI Symbol" w:hAnsi="Segoe UI Symbol" w:cs="Segoe UI Symbol"/>
                      <w:sz w:val="20"/>
                    </w:rPr>
                    <w:t>•</w:t>
                  </w:r>
                  <w:r>
                    <w:rPr>
                      <w:rFonts w:ascii="Arial" w:eastAsia="Arial" w:hAnsi="Arial" w:cs="Arial"/>
                      <w:sz w:val="20"/>
                    </w:rPr>
                    <w:t xml:space="preserve"> </w:t>
                  </w:r>
                </w:p>
              </w:tc>
              <w:tc>
                <w:tcPr>
                  <w:tcW w:w="0" w:type="auto"/>
                  <w:gridSpan w:val="2"/>
                  <w:tcBorders>
                    <w:top w:val="single" w:sz="4" w:space="0" w:color="000000"/>
                    <w:left w:val="nil"/>
                    <w:bottom w:val="single" w:sz="4" w:space="0" w:color="000000"/>
                    <w:right w:val="single" w:sz="4" w:space="0" w:color="000000"/>
                  </w:tcBorders>
                </w:tcPr>
                <w:p w14:paraId="198763B3" w14:textId="77777777" w:rsidR="0036416A" w:rsidRDefault="0036416A" w:rsidP="0036416A">
                  <w:pPr>
                    <w:spacing w:after="11"/>
                  </w:pPr>
                  <w:r>
                    <w:rPr>
                      <w:rFonts w:ascii="Calibri" w:eastAsia="Calibri" w:hAnsi="Calibri" w:cs="Calibri"/>
                      <w:sz w:val="20"/>
                    </w:rPr>
                    <w:t xml:space="preserve">Little information is provided that can be incomplete or inaccurate  </w:t>
                  </w:r>
                </w:p>
                <w:p w14:paraId="7A08781B" w14:textId="77777777" w:rsidR="0036416A" w:rsidRDefault="0036416A" w:rsidP="0036416A">
                  <w:pPr>
                    <w:spacing w:line="245" w:lineRule="auto"/>
                    <w:ind w:right="17"/>
                  </w:pPr>
                  <w:r>
                    <w:rPr>
                      <w:rFonts w:ascii="Calibri" w:eastAsia="Calibri" w:hAnsi="Calibri" w:cs="Calibri"/>
                      <w:sz w:val="20"/>
                    </w:rPr>
                    <w:t xml:space="preserve">It can be difficult/unfeasible to follow-up to get more information and/or verify False information can travel </w:t>
                  </w:r>
                </w:p>
                <w:p w14:paraId="31F498D9" w14:textId="77777777" w:rsidR="0036416A" w:rsidRDefault="0036416A" w:rsidP="0036416A">
                  <w:r>
                    <w:rPr>
                      <w:rFonts w:ascii="Calibri" w:eastAsia="Calibri" w:hAnsi="Calibri" w:cs="Calibri"/>
                      <w:sz w:val="20"/>
                    </w:rPr>
                    <w:t xml:space="preserve">quickly  </w:t>
                  </w:r>
                </w:p>
                <w:p w14:paraId="0F988C2F" w14:textId="77777777" w:rsidR="0036416A" w:rsidRDefault="0036416A" w:rsidP="0036416A">
                  <w:r>
                    <w:rPr>
                      <w:rFonts w:ascii="Calibri" w:eastAsia="Calibri" w:hAnsi="Calibri" w:cs="Calibri"/>
                      <w:sz w:val="20"/>
                    </w:rPr>
                    <w:t xml:space="preserve">Requires frequent data mining/searching of sources </w:t>
                  </w:r>
                </w:p>
              </w:tc>
            </w:tr>
            <w:tr w:rsidR="0036416A" w14:paraId="34286992" w14:textId="77777777" w:rsidTr="00A44C13">
              <w:trPr>
                <w:trHeight w:val="299"/>
              </w:trPr>
              <w:tc>
                <w:tcPr>
                  <w:tcW w:w="0" w:type="auto"/>
                  <w:gridSpan w:val="4"/>
                  <w:tcBorders>
                    <w:top w:val="single" w:sz="4" w:space="0" w:color="000000"/>
                    <w:left w:val="nil"/>
                    <w:bottom w:val="nil"/>
                    <w:right w:val="nil"/>
                  </w:tcBorders>
                  <w:shd w:val="clear" w:color="auto" w:fill="FFFFFF"/>
                </w:tcPr>
                <w:p w14:paraId="33B1ED3B" w14:textId="77777777" w:rsidR="0036416A" w:rsidRDefault="0036416A" w:rsidP="0036416A">
                  <w:pPr>
                    <w:ind w:left="11"/>
                  </w:pPr>
                  <w:r>
                    <w:rPr>
                      <w:rFonts w:ascii="Calibri" w:eastAsia="Calibri" w:hAnsi="Calibri" w:cs="Calibri"/>
                      <w:color w:val="4A4A4A"/>
                      <w:sz w:val="21"/>
                    </w:rPr>
                    <w:t xml:space="preserve"> </w:t>
                  </w:r>
                </w:p>
              </w:tc>
              <w:tc>
                <w:tcPr>
                  <w:tcW w:w="0" w:type="auto"/>
                  <w:gridSpan w:val="2"/>
                  <w:tcBorders>
                    <w:top w:val="single" w:sz="4" w:space="0" w:color="000000"/>
                    <w:left w:val="nil"/>
                    <w:bottom w:val="nil"/>
                    <w:right w:val="nil"/>
                  </w:tcBorders>
                  <w:shd w:val="clear" w:color="auto" w:fill="FFFFFF"/>
                </w:tcPr>
                <w:p w14:paraId="4BE6B092" w14:textId="77777777" w:rsidR="0036416A" w:rsidRDefault="0036416A" w:rsidP="0036416A"/>
              </w:tc>
              <w:tc>
                <w:tcPr>
                  <w:tcW w:w="0" w:type="auto"/>
                  <w:tcBorders>
                    <w:top w:val="single" w:sz="4" w:space="0" w:color="000000"/>
                    <w:left w:val="nil"/>
                    <w:bottom w:val="nil"/>
                    <w:right w:val="nil"/>
                  </w:tcBorders>
                  <w:shd w:val="clear" w:color="auto" w:fill="FFFFFF"/>
                </w:tcPr>
                <w:p w14:paraId="6C10BD75" w14:textId="77777777" w:rsidR="0036416A" w:rsidRDefault="0036416A" w:rsidP="0036416A"/>
              </w:tc>
              <w:tc>
                <w:tcPr>
                  <w:tcW w:w="0" w:type="auto"/>
                  <w:tcBorders>
                    <w:top w:val="single" w:sz="4" w:space="0" w:color="000000"/>
                    <w:left w:val="nil"/>
                    <w:bottom w:val="nil"/>
                    <w:right w:val="nil"/>
                  </w:tcBorders>
                </w:tcPr>
                <w:p w14:paraId="59412B56" w14:textId="77777777" w:rsidR="0036416A" w:rsidRDefault="0036416A" w:rsidP="0036416A"/>
              </w:tc>
            </w:tr>
          </w:tbl>
          <w:p w14:paraId="0D66CC07" w14:textId="77777777" w:rsidR="0036416A" w:rsidRDefault="0036416A" w:rsidP="0036416A">
            <w:pPr>
              <w:pStyle w:val="NoSpacing"/>
            </w:pPr>
          </w:p>
          <w:p w14:paraId="3BADCEAF" w14:textId="77777777" w:rsidR="0036416A" w:rsidRDefault="0036416A" w:rsidP="0036416A">
            <w:pPr>
              <w:pStyle w:val="NoSpacing"/>
            </w:pPr>
          </w:p>
          <w:p w14:paraId="15DED483" w14:textId="77777777" w:rsidR="0036416A" w:rsidRPr="00664A49" w:rsidRDefault="0036416A" w:rsidP="0036416A">
            <w:pPr>
              <w:pStyle w:val="NoSpacing"/>
            </w:pPr>
          </w:p>
        </w:tc>
        <w:tc>
          <w:tcPr>
            <w:tcW w:w="0" w:type="auto"/>
          </w:tcPr>
          <w:p w14:paraId="208B5D44" w14:textId="77777777" w:rsidR="0036416A" w:rsidRDefault="0036416A" w:rsidP="0036416A">
            <w:pPr>
              <w:pStyle w:val="NoSpacing"/>
            </w:pPr>
            <w:r>
              <w:lastRenderedPageBreak/>
              <w:t xml:space="preserve">Data is collected by IOM staff based at IOM’s Global Migration Data Analysis Centre and in </w:t>
            </w:r>
            <w:r>
              <w:lastRenderedPageBreak/>
              <w:t xml:space="preserve">its Regional </w:t>
            </w:r>
          </w:p>
          <w:p w14:paraId="1D85AB9C" w14:textId="77777777" w:rsidR="0036416A" w:rsidRPr="00BD7A48" w:rsidRDefault="0036416A" w:rsidP="0036416A">
            <w:pPr>
              <w:pStyle w:val="NoSpacing"/>
            </w:pPr>
            <w:r>
              <w:t>Offices</w:t>
            </w:r>
          </w:p>
        </w:tc>
        <w:tc>
          <w:tcPr>
            <w:tcW w:w="0" w:type="auto"/>
          </w:tcPr>
          <w:p w14:paraId="2C15321A" w14:textId="77777777" w:rsidR="0036416A" w:rsidRDefault="0036416A" w:rsidP="0036416A">
            <w:pPr>
              <w:pStyle w:val="NoSpacing"/>
            </w:pPr>
            <w:r>
              <w:lastRenderedPageBreak/>
              <w:t xml:space="preserve">Coast guards/ police/ border patrol/ nongovernmental organizations </w:t>
            </w:r>
          </w:p>
          <w:p w14:paraId="442FCC4A" w14:textId="77777777" w:rsidR="0036416A" w:rsidRDefault="0036416A" w:rsidP="0036416A">
            <w:pPr>
              <w:pStyle w:val="NoSpacing"/>
            </w:pPr>
            <w:r>
              <w:t xml:space="preserve">(NGOs) </w:t>
            </w:r>
          </w:p>
          <w:p w14:paraId="78BCF93D" w14:textId="77777777" w:rsidR="0036416A" w:rsidRDefault="0036416A" w:rsidP="0036416A">
            <w:pPr>
              <w:pStyle w:val="NoSpacing"/>
            </w:pPr>
            <w:r>
              <w:t xml:space="preserve">Testimonies </w:t>
            </w:r>
            <w:r>
              <w:lastRenderedPageBreak/>
              <w:t>of shipwreck survivors</w:t>
            </w:r>
          </w:p>
          <w:p w14:paraId="04B28882" w14:textId="77777777" w:rsidR="0036416A" w:rsidRDefault="0036416A" w:rsidP="0036416A">
            <w:pPr>
              <w:pStyle w:val="NoSpacing"/>
            </w:pPr>
          </w:p>
        </w:tc>
        <w:tc>
          <w:tcPr>
            <w:tcW w:w="0" w:type="auto"/>
          </w:tcPr>
          <w:p w14:paraId="502B93B4" w14:textId="77777777" w:rsidR="0036416A" w:rsidRDefault="0036416A" w:rsidP="0036416A">
            <w:pPr>
              <w:pStyle w:val="NoSpacing"/>
              <w:rPr>
                <w:color w:val="0070C0"/>
                <w:sz w:val="30"/>
                <w:szCs w:val="30"/>
              </w:rPr>
            </w:pPr>
            <w:r>
              <w:rPr>
                <w:bCs/>
                <w:szCs w:val="20"/>
              </w:rPr>
              <w:lastRenderedPageBreak/>
              <w:t>(MMP, IOM</w:t>
            </w:r>
            <w:r>
              <w:rPr>
                <w:rFonts w:eastAsia="Times New Roman" w:cs="Times New Roman"/>
                <w:color w:val="000000" w:themeColor="text1"/>
                <w:szCs w:val="20"/>
              </w:rPr>
              <w:t>)</w:t>
            </w:r>
          </w:p>
        </w:tc>
        <w:tc>
          <w:tcPr>
            <w:tcW w:w="0" w:type="auto"/>
          </w:tcPr>
          <w:p w14:paraId="32CE4E3D" w14:textId="77777777" w:rsidR="0036416A" w:rsidRDefault="0036416A" w:rsidP="0036416A">
            <w:pPr>
              <w:pStyle w:val="NoSpacing"/>
            </w:pPr>
            <w:r w:rsidRPr="00097149">
              <w:t>MMP, IOM</w:t>
            </w:r>
          </w:p>
          <w:p w14:paraId="2F9C3894" w14:textId="77777777" w:rsidR="0036416A" w:rsidRDefault="0036416A" w:rsidP="0036416A">
            <w:pPr>
              <w:pStyle w:val="NoSpacing"/>
              <w:rPr>
                <w:color w:val="0070C0"/>
                <w:sz w:val="30"/>
                <w:szCs w:val="30"/>
              </w:rPr>
            </w:pPr>
            <w:r>
              <w:t>Administrative Data</w:t>
            </w:r>
          </w:p>
        </w:tc>
        <w:tc>
          <w:tcPr>
            <w:tcW w:w="0" w:type="auto"/>
          </w:tcPr>
          <w:p w14:paraId="1A3EA454" w14:textId="77777777" w:rsidR="00E00BE3" w:rsidRDefault="006B435B" w:rsidP="0036416A">
            <w:pPr>
              <w:ind w:left="970" w:hanging="970"/>
              <w:jc w:val="both"/>
            </w:pPr>
            <w:r>
              <w:t xml:space="preserve">By Destination </w:t>
            </w:r>
          </w:p>
          <w:p w14:paraId="6B803A28" w14:textId="77777777" w:rsidR="0036416A" w:rsidRDefault="006B435B" w:rsidP="0036416A">
            <w:pPr>
              <w:ind w:left="970" w:hanging="970"/>
              <w:jc w:val="both"/>
            </w:pPr>
            <w:r>
              <w:t>Country</w:t>
            </w:r>
          </w:p>
          <w:p w14:paraId="17334502" w14:textId="31440712" w:rsidR="00E00BE3" w:rsidRDefault="00E00BE3" w:rsidP="0036416A">
            <w:pPr>
              <w:ind w:left="970" w:hanging="970"/>
              <w:jc w:val="both"/>
              <w:rPr>
                <w:color w:val="0070C0"/>
                <w:sz w:val="30"/>
                <w:szCs w:val="30"/>
              </w:rPr>
            </w:pPr>
            <w:r>
              <w:t>By Division</w:t>
            </w:r>
          </w:p>
        </w:tc>
        <w:tc>
          <w:tcPr>
            <w:tcW w:w="0" w:type="auto"/>
          </w:tcPr>
          <w:p w14:paraId="24EB1CE5" w14:textId="77777777" w:rsidR="0036416A" w:rsidRDefault="0036416A" w:rsidP="0036416A">
            <w:pPr>
              <w:ind w:left="970" w:hanging="970"/>
              <w:jc w:val="both"/>
              <w:rPr>
                <w:color w:val="0070C0"/>
                <w:sz w:val="30"/>
                <w:szCs w:val="30"/>
              </w:rPr>
            </w:pPr>
          </w:p>
        </w:tc>
        <w:tc>
          <w:tcPr>
            <w:tcW w:w="0" w:type="auto"/>
          </w:tcPr>
          <w:p w14:paraId="6AC03563" w14:textId="77777777" w:rsidR="0036416A" w:rsidRDefault="0036416A" w:rsidP="0036416A">
            <w:pPr>
              <w:ind w:left="970" w:hanging="970"/>
              <w:jc w:val="both"/>
              <w:rPr>
                <w:color w:val="0070C0"/>
                <w:sz w:val="30"/>
                <w:szCs w:val="30"/>
              </w:rPr>
            </w:pPr>
          </w:p>
        </w:tc>
        <w:tc>
          <w:tcPr>
            <w:tcW w:w="0" w:type="auto"/>
          </w:tcPr>
          <w:p w14:paraId="48D251F2" w14:textId="77777777" w:rsidR="0036416A" w:rsidRDefault="0036416A" w:rsidP="0036416A">
            <w:pPr>
              <w:pStyle w:val="NoSpacing"/>
            </w:pPr>
            <w:r>
              <w:t>1</w:t>
            </w:r>
            <w:r w:rsidRPr="00013ACB">
              <w:rPr>
                <w:vertAlign w:val="superscript"/>
              </w:rPr>
              <w:t>st</w:t>
            </w:r>
            <w:r>
              <w:t xml:space="preserve"> Round: </w:t>
            </w:r>
          </w:p>
          <w:p w14:paraId="479E9C83" w14:textId="77777777" w:rsidR="0036416A" w:rsidRDefault="0036416A" w:rsidP="0036416A">
            <w:pPr>
              <w:pStyle w:val="NoSpacing"/>
            </w:pPr>
            <w:r>
              <w:t>2019</w:t>
            </w:r>
          </w:p>
          <w:p w14:paraId="2AE72123" w14:textId="77777777" w:rsidR="0036416A" w:rsidRDefault="0036416A" w:rsidP="0036416A">
            <w:pPr>
              <w:pStyle w:val="NoSpacing"/>
            </w:pPr>
            <w:r>
              <w:t>2</w:t>
            </w:r>
            <w:r w:rsidRPr="00013ACB">
              <w:rPr>
                <w:vertAlign w:val="superscript"/>
              </w:rPr>
              <w:t>nd</w:t>
            </w:r>
            <w:r>
              <w:t xml:space="preserve"> Round: </w:t>
            </w:r>
          </w:p>
          <w:p w14:paraId="7FEF037E" w14:textId="77777777" w:rsidR="0036416A" w:rsidRDefault="0036416A" w:rsidP="0036416A">
            <w:pPr>
              <w:pStyle w:val="NoSpacing"/>
            </w:pPr>
            <w:r>
              <w:t>December,2020</w:t>
            </w:r>
          </w:p>
          <w:p w14:paraId="0F65F96E" w14:textId="77777777" w:rsidR="0036416A" w:rsidRDefault="0036416A" w:rsidP="0036416A">
            <w:pPr>
              <w:pStyle w:val="NoSpacing"/>
            </w:pPr>
            <w:r>
              <w:t>3</w:t>
            </w:r>
            <w:r w:rsidRPr="00013ACB">
              <w:rPr>
                <w:vertAlign w:val="superscript"/>
              </w:rPr>
              <w:t>rd</w:t>
            </w:r>
            <w:r>
              <w:t xml:space="preserve"> Round: </w:t>
            </w:r>
          </w:p>
          <w:p w14:paraId="561E9FCA" w14:textId="77777777" w:rsidR="0036416A" w:rsidRDefault="0036416A" w:rsidP="0036416A">
            <w:pPr>
              <w:pStyle w:val="NoSpacing"/>
            </w:pPr>
            <w:r>
              <w:t>December,2021</w:t>
            </w:r>
          </w:p>
          <w:p w14:paraId="6FE4F660" w14:textId="77777777" w:rsidR="0036416A" w:rsidRDefault="0036416A" w:rsidP="0036416A">
            <w:pPr>
              <w:pStyle w:val="NoSpacing"/>
            </w:pPr>
            <w:r>
              <w:lastRenderedPageBreak/>
              <w:t>4</w:t>
            </w:r>
            <w:r w:rsidRPr="00013ACB">
              <w:rPr>
                <w:vertAlign w:val="superscript"/>
              </w:rPr>
              <w:t>th</w:t>
            </w:r>
            <w:r>
              <w:t xml:space="preserve"> Round: </w:t>
            </w:r>
          </w:p>
          <w:p w14:paraId="3DCCB397" w14:textId="77777777" w:rsidR="0036416A" w:rsidRDefault="0036416A" w:rsidP="0036416A">
            <w:pPr>
              <w:pStyle w:val="NoSpacing"/>
            </w:pPr>
            <w:r>
              <w:t>December,2022</w:t>
            </w:r>
          </w:p>
          <w:p w14:paraId="7112854A" w14:textId="77777777" w:rsidR="0036416A" w:rsidRDefault="0036416A" w:rsidP="0036416A">
            <w:pPr>
              <w:pStyle w:val="NoSpacing"/>
            </w:pPr>
            <w:r>
              <w:t>5</w:t>
            </w:r>
            <w:r w:rsidRPr="00013ACB">
              <w:rPr>
                <w:vertAlign w:val="superscript"/>
              </w:rPr>
              <w:t>th</w:t>
            </w:r>
            <w:r>
              <w:t xml:space="preserve"> Round: </w:t>
            </w:r>
          </w:p>
          <w:p w14:paraId="6ACCF9A5" w14:textId="6E905520" w:rsidR="0036416A" w:rsidRDefault="0036416A" w:rsidP="0036416A">
            <w:pPr>
              <w:ind w:left="970" w:hanging="970"/>
              <w:jc w:val="both"/>
              <w:rPr>
                <w:color w:val="0070C0"/>
                <w:sz w:val="30"/>
                <w:szCs w:val="30"/>
              </w:rPr>
            </w:pPr>
            <w:r>
              <w:t>December,2023</w:t>
            </w:r>
          </w:p>
        </w:tc>
        <w:tc>
          <w:tcPr>
            <w:tcW w:w="0" w:type="auto"/>
          </w:tcPr>
          <w:p w14:paraId="5492113F" w14:textId="77777777" w:rsidR="0036416A" w:rsidRDefault="0036416A" w:rsidP="0036416A">
            <w:pPr>
              <w:pStyle w:val="NoSpacing"/>
            </w:pPr>
            <w:r>
              <w:lastRenderedPageBreak/>
              <w:t xml:space="preserve">Refinement of the indicator name approved by the Inter-agency and </w:t>
            </w:r>
            <w:r>
              <w:lastRenderedPageBreak/>
              <w:t>Expert Group on SDG Indicators (IAEG-SDGs) on 13 March and 2 April 2020. Final approval pending the 52nd session of the Statistical Commission in March 2021</w:t>
            </w:r>
          </w:p>
          <w:p w14:paraId="02AC83B8" w14:textId="77777777" w:rsidR="0036416A" w:rsidRDefault="0036416A" w:rsidP="0036416A">
            <w:pPr>
              <w:pStyle w:val="NoSpacing"/>
            </w:pPr>
          </w:p>
          <w:p w14:paraId="2F45D78D" w14:textId="77777777" w:rsidR="0036416A" w:rsidRDefault="0036416A" w:rsidP="0036416A">
            <w:pPr>
              <w:pStyle w:val="NoSpacing"/>
            </w:pPr>
            <w:r>
              <w:t>UNSC 51 addition included in the 2020 comprehensive review</w:t>
            </w:r>
          </w:p>
        </w:tc>
      </w:tr>
      <w:tr w:rsidR="0036416A" w14:paraId="0057BA49" w14:textId="77777777" w:rsidTr="00A64F0D">
        <w:tc>
          <w:tcPr>
            <w:tcW w:w="0" w:type="auto"/>
          </w:tcPr>
          <w:p w14:paraId="171519AE" w14:textId="242B70F0" w:rsidR="0036416A" w:rsidRPr="003E7D26" w:rsidRDefault="0036416A" w:rsidP="0036416A">
            <w:pPr>
              <w:pStyle w:val="NoSpacing"/>
            </w:pPr>
            <w:r w:rsidRPr="003E7D26">
              <w:lastRenderedPageBreak/>
              <w:t>10.7.4 Proportion of the population who are refugees, by country of origin</w:t>
            </w:r>
          </w:p>
        </w:tc>
        <w:tc>
          <w:tcPr>
            <w:tcW w:w="0" w:type="auto"/>
          </w:tcPr>
          <w:p w14:paraId="1F86F6E3" w14:textId="77777777" w:rsidR="0036416A" w:rsidRDefault="0036416A" w:rsidP="0036416A">
            <w:pPr>
              <w:ind w:left="970" w:hanging="970"/>
              <w:jc w:val="both"/>
              <w:rPr>
                <w:color w:val="0070C0"/>
                <w:sz w:val="30"/>
                <w:szCs w:val="30"/>
              </w:rPr>
            </w:pPr>
          </w:p>
          <w:p w14:paraId="17BA31AB" w14:textId="77777777" w:rsidR="0036416A" w:rsidRDefault="0036416A" w:rsidP="0036416A">
            <w:pPr>
              <w:rPr>
                <w:color w:val="0070C0"/>
                <w:sz w:val="30"/>
                <w:szCs w:val="30"/>
              </w:rPr>
            </w:pPr>
          </w:p>
        </w:tc>
        <w:tc>
          <w:tcPr>
            <w:tcW w:w="0" w:type="auto"/>
          </w:tcPr>
          <w:p w14:paraId="5D10205F" w14:textId="22F0E629" w:rsidR="0036416A" w:rsidRDefault="00754676" w:rsidP="0036416A">
            <w:pPr>
              <w:pStyle w:val="NoSpacing"/>
            </w:pPr>
            <w:r>
              <w:t>TBD</w:t>
            </w:r>
          </w:p>
        </w:tc>
        <w:tc>
          <w:tcPr>
            <w:tcW w:w="0" w:type="auto"/>
          </w:tcPr>
          <w:p w14:paraId="4EB6BFA4" w14:textId="77777777" w:rsidR="0036416A" w:rsidRPr="00DD0E3A" w:rsidRDefault="0036416A" w:rsidP="0036416A">
            <w:pPr>
              <w:pStyle w:val="NoSpacing"/>
              <w:rPr>
                <w:b/>
              </w:rPr>
            </w:pPr>
            <w:r w:rsidRPr="00DD0E3A">
              <w:rPr>
                <w:b/>
              </w:rPr>
              <w:t xml:space="preserve">Definition: </w:t>
            </w:r>
          </w:p>
          <w:p w14:paraId="53E2DC54" w14:textId="77777777" w:rsidR="0036416A" w:rsidRPr="008362D2" w:rsidRDefault="0036416A" w:rsidP="0036416A">
            <w:pPr>
              <w:pStyle w:val="NoSpacing"/>
            </w:pPr>
            <w:r w:rsidRPr="008362D2">
              <w:t xml:space="preserve">The indicator is defined as the total count of population who </w:t>
            </w:r>
            <w:proofErr w:type="gramStart"/>
            <w:r w:rsidRPr="008362D2">
              <w:t>have</w:t>
            </w:r>
            <w:proofErr w:type="gramEnd"/>
            <w:r w:rsidRPr="008362D2">
              <w:t xml:space="preserve"> been recognized as refugees divided by the total population of their country of origin, expressed per 100,000 population.  </w:t>
            </w:r>
          </w:p>
          <w:p w14:paraId="412B75FB" w14:textId="77777777" w:rsidR="0036416A" w:rsidRPr="008362D2" w:rsidRDefault="0036416A" w:rsidP="0036416A">
            <w:pPr>
              <w:pStyle w:val="NoSpacing"/>
            </w:pPr>
            <w:proofErr w:type="gramStart"/>
            <w:r w:rsidRPr="008362D2">
              <w:t>Refugees refers</w:t>
            </w:r>
            <w:proofErr w:type="gramEnd"/>
            <w:r w:rsidRPr="008362D2">
              <w:t xml:space="preserve"> to persons recognized by the Government and/or UNHCR, or those in a refugee-like situation.  </w:t>
            </w:r>
          </w:p>
          <w:p w14:paraId="3B59F480" w14:textId="77777777" w:rsidR="0036416A" w:rsidRDefault="0036416A" w:rsidP="0036416A">
            <w:pPr>
              <w:pStyle w:val="NoSpacing"/>
            </w:pPr>
            <w:r w:rsidRPr="008362D2">
              <w:t xml:space="preserve">Population refers to total resident population in a given country in a given year. </w:t>
            </w:r>
          </w:p>
          <w:p w14:paraId="0505B5EF" w14:textId="77777777" w:rsidR="0036416A" w:rsidRPr="008362D2" w:rsidRDefault="0036416A" w:rsidP="0036416A">
            <w:pPr>
              <w:pStyle w:val="NoSpacing"/>
            </w:pPr>
          </w:p>
          <w:p w14:paraId="472146B9" w14:textId="77777777" w:rsidR="0036416A" w:rsidRPr="00DD0E3A" w:rsidRDefault="0036416A" w:rsidP="0036416A">
            <w:pPr>
              <w:pStyle w:val="NoSpacing"/>
              <w:rPr>
                <w:b/>
              </w:rPr>
            </w:pPr>
            <w:r w:rsidRPr="00DD0E3A">
              <w:rPr>
                <w:b/>
              </w:rPr>
              <w:t xml:space="preserve">Concepts: </w:t>
            </w:r>
          </w:p>
          <w:p w14:paraId="62A30A2F" w14:textId="77777777" w:rsidR="0036416A" w:rsidRPr="008362D2" w:rsidRDefault="0036416A" w:rsidP="0036416A">
            <w:pPr>
              <w:pStyle w:val="NoSpacing"/>
            </w:pPr>
            <w:r w:rsidRPr="008362D2">
              <w:t xml:space="preserve">Refugees recognized by the Government and/or UNHCR include:  </w:t>
            </w:r>
          </w:p>
          <w:p w14:paraId="23CAAB41" w14:textId="77777777" w:rsidR="0036416A" w:rsidRPr="008362D2" w:rsidRDefault="0036416A" w:rsidP="0036416A">
            <w:pPr>
              <w:pStyle w:val="NoSpacing"/>
            </w:pPr>
            <w:r w:rsidRPr="008362D2">
              <w:t xml:space="preserve">persons recognized as refugees by Governments having ratified the 1951 </w:t>
            </w:r>
            <w:r w:rsidRPr="008362D2">
              <w:rPr>
                <w:i/>
              </w:rPr>
              <w:t xml:space="preserve">United Nations Convention </w:t>
            </w:r>
          </w:p>
          <w:p w14:paraId="3118B1F5" w14:textId="77777777" w:rsidR="0036416A" w:rsidRPr="008362D2" w:rsidRDefault="0036416A" w:rsidP="0036416A">
            <w:pPr>
              <w:pStyle w:val="NoSpacing"/>
            </w:pPr>
            <w:r w:rsidRPr="008362D2">
              <w:rPr>
                <w:i/>
              </w:rPr>
              <w:t>Relating to the Status of Refugees</w:t>
            </w:r>
            <w:r w:rsidRPr="008362D2">
              <w:t xml:space="preserve">, and/or its </w:t>
            </w:r>
            <w:r w:rsidRPr="008362D2">
              <w:rPr>
                <w:i/>
              </w:rPr>
              <w:t xml:space="preserve">1967 Protocol;  </w:t>
            </w:r>
          </w:p>
          <w:p w14:paraId="1B6FD993" w14:textId="77777777" w:rsidR="0036416A" w:rsidRPr="008362D2" w:rsidRDefault="0036416A" w:rsidP="0036416A">
            <w:pPr>
              <w:pStyle w:val="NoSpacing"/>
            </w:pPr>
            <w:r w:rsidRPr="008362D2">
              <w:t xml:space="preserve">persons recognized as refugees under the </w:t>
            </w:r>
            <w:r w:rsidRPr="008362D2">
              <w:rPr>
                <w:i/>
              </w:rPr>
              <w:t xml:space="preserve">1969 Organization of African Unity (OAU) Convention </w:t>
            </w:r>
          </w:p>
          <w:p w14:paraId="2CFAA083" w14:textId="77777777" w:rsidR="0036416A" w:rsidRPr="008362D2" w:rsidRDefault="0036416A" w:rsidP="0036416A">
            <w:pPr>
              <w:pStyle w:val="NoSpacing"/>
            </w:pPr>
            <w:r w:rsidRPr="008362D2">
              <w:rPr>
                <w:i/>
              </w:rPr>
              <w:t xml:space="preserve">Governing the Specific Aspects of Refugee Problems in Africa;  </w:t>
            </w:r>
          </w:p>
          <w:p w14:paraId="25EC9FB4" w14:textId="77777777" w:rsidR="0036416A" w:rsidRPr="008362D2" w:rsidRDefault="0036416A" w:rsidP="0036416A">
            <w:pPr>
              <w:pStyle w:val="NoSpacing"/>
            </w:pPr>
            <w:r w:rsidRPr="008362D2">
              <w:lastRenderedPageBreak/>
              <w:t xml:space="preserve">those recognized in accordance with the principles enshrined in the </w:t>
            </w:r>
            <w:r w:rsidRPr="008362D2">
              <w:rPr>
                <w:i/>
              </w:rPr>
              <w:t xml:space="preserve">Cartagena Declaration;  </w:t>
            </w:r>
          </w:p>
          <w:p w14:paraId="01B77544" w14:textId="77777777" w:rsidR="0036416A" w:rsidRPr="008362D2" w:rsidRDefault="0036416A" w:rsidP="0036416A">
            <w:pPr>
              <w:pStyle w:val="NoSpacing"/>
            </w:pPr>
            <w:r w:rsidRPr="008362D2">
              <w:t xml:space="preserve">persons recognized by UNHCR as refugees in accordance with its Statute (otherwise referred to as “mandate” refugees);  </w:t>
            </w:r>
          </w:p>
          <w:p w14:paraId="761A6001" w14:textId="77777777" w:rsidR="0036416A" w:rsidRPr="008362D2" w:rsidRDefault="0036416A" w:rsidP="0036416A">
            <w:pPr>
              <w:pStyle w:val="NoSpacing"/>
            </w:pPr>
            <w:r w:rsidRPr="008362D2">
              <w:t xml:space="preserve">those who have been granted a complementary form of protection (i.e. non-Convention);  </w:t>
            </w:r>
          </w:p>
          <w:p w14:paraId="6CE2104E" w14:textId="77777777" w:rsidR="0036416A" w:rsidRPr="008362D2" w:rsidRDefault="0036416A" w:rsidP="0036416A">
            <w:pPr>
              <w:pStyle w:val="NoSpacing"/>
            </w:pPr>
            <w:r w:rsidRPr="008362D2">
              <w:t xml:space="preserve">persons who have been granted temporary protection on a group basis;  </w:t>
            </w:r>
          </w:p>
          <w:p w14:paraId="3798808A" w14:textId="77777777" w:rsidR="0036416A" w:rsidRPr="008362D2" w:rsidRDefault="0036416A" w:rsidP="0036416A">
            <w:pPr>
              <w:pStyle w:val="NoSpacing"/>
            </w:pPr>
            <w:r w:rsidRPr="008362D2">
              <w:t xml:space="preserve">Persons in a </w:t>
            </w:r>
            <w:r w:rsidRPr="008362D2">
              <w:rPr>
                <w:i/>
              </w:rPr>
              <w:t>refugee-like situation</w:t>
            </w:r>
            <w:r w:rsidRPr="008362D2">
              <w:t xml:space="preserve"> refer to those outside their territory of origin who face protection risks similar to those of refugees, but who, for practical or other reasons, have not been formally recognized or issued documentation to that effect.  </w:t>
            </w:r>
          </w:p>
          <w:p w14:paraId="7087FFE0" w14:textId="77777777" w:rsidR="0036416A" w:rsidRPr="008362D2" w:rsidRDefault="0036416A" w:rsidP="0036416A">
            <w:pPr>
              <w:pStyle w:val="NoSpacing"/>
            </w:pPr>
            <w:r w:rsidRPr="008362D2">
              <w:t xml:space="preserve"> </w:t>
            </w:r>
          </w:p>
          <w:p w14:paraId="2C703B19" w14:textId="77777777" w:rsidR="0036416A" w:rsidRPr="00DD0E3A" w:rsidRDefault="0036416A" w:rsidP="0036416A">
            <w:pPr>
              <w:pStyle w:val="NoSpacing"/>
              <w:rPr>
                <w:b/>
              </w:rPr>
            </w:pPr>
            <w:r w:rsidRPr="00DD0E3A">
              <w:rPr>
                <w:b/>
              </w:rPr>
              <w:t xml:space="preserve">Comments and limitations: </w:t>
            </w:r>
          </w:p>
          <w:p w14:paraId="6897F855" w14:textId="77777777" w:rsidR="0036416A" w:rsidRPr="008362D2" w:rsidRDefault="0036416A" w:rsidP="0036416A">
            <w:pPr>
              <w:pStyle w:val="NoSpacing"/>
            </w:pPr>
            <w:r w:rsidRPr="008362D2">
              <w:t xml:space="preserve">The estimates of the refugee population by country of origin are collected on an annual basis by UNHCR during its annual statistical review. Data is therefore already available and would not impose an additional burden on national statistical systems </w:t>
            </w:r>
          </w:p>
          <w:p w14:paraId="291ED54F" w14:textId="77777777" w:rsidR="0036416A" w:rsidRPr="008362D2" w:rsidRDefault="0036416A" w:rsidP="0036416A">
            <w:pPr>
              <w:pStyle w:val="NoSpacing"/>
            </w:pPr>
            <w:r w:rsidRPr="008362D2">
              <w:rPr>
                <w:color w:val="1C75BC"/>
              </w:rPr>
              <w:t xml:space="preserve"> </w:t>
            </w:r>
          </w:p>
          <w:p w14:paraId="1EE9F7EA" w14:textId="77777777" w:rsidR="0036416A" w:rsidRPr="00DD0E3A" w:rsidRDefault="0036416A" w:rsidP="0036416A">
            <w:pPr>
              <w:pStyle w:val="NoSpacing"/>
              <w:rPr>
                <w:b/>
              </w:rPr>
            </w:pPr>
            <w:r w:rsidRPr="00DD0E3A">
              <w:rPr>
                <w:b/>
              </w:rPr>
              <w:t xml:space="preserve">Computation Method: </w:t>
            </w:r>
          </w:p>
          <w:p w14:paraId="10D8990A" w14:textId="77777777" w:rsidR="0036416A" w:rsidRPr="008362D2" w:rsidRDefault="0036416A" w:rsidP="0036416A">
            <w:pPr>
              <w:pStyle w:val="NoSpacing"/>
            </w:pPr>
            <w:r w:rsidRPr="008362D2">
              <w:t xml:space="preserve">[Number of refugees by country of origin at end-year/(End-year population in country of origin+ number of refugees by country of origin at end-year)]*100,000 </w:t>
            </w:r>
          </w:p>
          <w:p w14:paraId="6073BD9E" w14:textId="77777777" w:rsidR="0036416A" w:rsidRPr="008362D2" w:rsidRDefault="0036416A" w:rsidP="0036416A">
            <w:pPr>
              <w:pStyle w:val="NoSpacing"/>
            </w:pPr>
            <w:r w:rsidRPr="008362D2">
              <w:t xml:space="preserve"> </w:t>
            </w:r>
          </w:p>
          <w:p w14:paraId="533E3DF3" w14:textId="77777777" w:rsidR="0036416A" w:rsidRPr="008362D2" w:rsidRDefault="0036416A" w:rsidP="0036416A">
            <w:pPr>
              <w:pStyle w:val="NoSpacing"/>
            </w:pPr>
            <w:r w:rsidRPr="008362D2">
              <w:t xml:space="preserve">The indicator will be presented as the number of refugees per 100,000 </w:t>
            </w:r>
            <w:proofErr w:type="gramStart"/>
            <w:r w:rsidRPr="008362D2">
              <w:t>population</w:t>
            </w:r>
            <w:proofErr w:type="gramEnd"/>
            <w:r w:rsidRPr="008362D2">
              <w:t xml:space="preserve"> in country of origin.  </w:t>
            </w:r>
          </w:p>
          <w:p w14:paraId="15DB6E2B" w14:textId="77777777" w:rsidR="0036416A" w:rsidRPr="008362D2" w:rsidRDefault="0036416A" w:rsidP="0036416A">
            <w:pPr>
              <w:pStyle w:val="NoSpacing"/>
              <w:rPr>
                <w:szCs w:val="20"/>
              </w:rPr>
            </w:pPr>
          </w:p>
        </w:tc>
        <w:tc>
          <w:tcPr>
            <w:tcW w:w="0" w:type="auto"/>
          </w:tcPr>
          <w:p w14:paraId="1E1E27C3" w14:textId="77777777" w:rsidR="0036416A" w:rsidRDefault="0036416A" w:rsidP="0036416A">
            <w:pPr>
              <w:pStyle w:val="NoSpacing"/>
            </w:pPr>
            <w:r>
              <w:lastRenderedPageBreak/>
              <w:t xml:space="preserve">Biannual Population Statistic Review (PSR) data collection </w:t>
            </w:r>
          </w:p>
        </w:tc>
        <w:tc>
          <w:tcPr>
            <w:tcW w:w="0" w:type="auto"/>
          </w:tcPr>
          <w:p w14:paraId="05E829E7" w14:textId="77777777" w:rsidR="0036416A" w:rsidRPr="00A922ED" w:rsidRDefault="0036416A" w:rsidP="0036416A">
            <w:pPr>
              <w:pStyle w:val="NoSpacing"/>
            </w:pPr>
            <w:proofErr w:type="gramStart"/>
            <w:r w:rsidRPr="00A922ED">
              <w:t>national</w:t>
            </w:r>
            <w:proofErr w:type="gramEnd"/>
            <w:r w:rsidRPr="00A922ED">
              <w:t xml:space="preserve"> institutions responsible for data production in the area of refugee and asylum (National Statistical Offices, Ministry of </w:t>
            </w:r>
            <w:r w:rsidRPr="00A922ED">
              <w:lastRenderedPageBreak/>
              <w:t>Interior, Ministry of Justice, and Administrative Tribunals).</w:t>
            </w:r>
          </w:p>
        </w:tc>
        <w:tc>
          <w:tcPr>
            <w:tcW w:w="0" w:type="auto"/>
          </w:tcPr>
          <w:p w14:paraId="369C3007" w14:textId="77777777" w:rsidR="0036416A" w:rsidRPr="00BC6F10" w:rsidRDefault="0036416A" w:rsidP="0036416A">
            <w:pPr>
              <w:rPr>
                <w:rFonts w:eastAsia="Times New Roman" w:cs="Times New Roman"/>
                <w:color w:val="000000" w:themeColor="text1"/>
                <w:szCs w:val="20"/>
              </w:rPr>
            </w:pPr>
            <w:r w:rsidRPr="00690EE6">
              <w:rPr>
                <w:rFonts w:eastAsia="Times New Roman" w:cs="Times New Roman"/>
                <w:bCs/>
                <w:color w:val="000000" w:themeColor="text1"/>
                <w:szCs w:val="20"/>
              </w:rPr>
              <w:lastRenderedPageBreak/>
              <w:t>RRRC</w:t>
            </w:r>
          </w:p>
        </w:tc>
        <w:tc>
          <w:tcPr>
            <w:tcW w:w="0" w:type="auto"/>
          </w:tcPr>
          <w:p w14:paraId="20EB3D5C" w14:textId="77777777" w:rsidR="0036416A" w:rsidRDefault="0036416A" w:rsidP="0036416A">
            <w:pPr>
              <w:jc w:val="center"/>
              <w:rPr>
                <w:rFonts w:eastAsia="Times New Roman" w:cs="Times New Roman"/>
                <w:color w:val="FF0000"/>
                <w:szCs w:val="20"/>
              </w:rPr>
            </w:pPr>
            <w:r>
              <w:rPr>
                <w:rFonts w:eastAsia="Times New Roman" w:cs="Times New Roman"/>
                <w:color w:val="FF0000"/>
                <w:szCs w:val="20"/>
              </w:rPr>
              <w:t>a. RRRC, MoDMR</w:t>
            </w:r>
          </w:p>
          <w:p w14:paraId="7B9DAA77" w14:textId="77777777" w:rsidR="0036416A" w:rsidRDefault="0036416A" w:rsidP="0036416A">
            <w:pPr>
              <w:jc w:val="center"/>
              <w:rPr>
                <w:rFonts w:eastAsia="Times New Roman" w:cs="Times New Roman"/>
                <w:color w:val="FF0000"/>
                <w:szCs w:val="20"/>
              </w:rPr>
            </w:pPr>
          </w:p>
          <w:p w14:paraId="6AA19256" w14:textId="77777777" w:rsidR="0036416A" w:rsidRDefault="0036416A" w:rsidP="0036416A">
            <w:pPr>
              <w:rPr>
                <w:rFonts w:eastAsia="Times New Roman" w:cs="Times New Roman"/>
                <w:color w:val="FF0000"/>
                <w:szCs w:val="20"/>
              </w:rPr>
            </w:pPr>
            <w:r w:rsidRPr="00050529">
              <w:rPr>
                <w:rFonts w:eastAsia="Times New Roman" w:cs="Times New Roman"/>
                <w:color w:val="FF0000"/>
                <w:szCs w:val="20"/>
              </w:rPr>
              <w:t>b) UNHCR</w:t>
            </w:r>
          </w:p>
          <w:p w14:paraId="5377D7DD" w14:textId="77777777" w:rsidR="0036416A" w:rsidRPr="00BC6F10" w:rsidRDefault="0036416A" w:rsidP="0036416A">
            <w:pPr>
              <w:rPr>
                <w:rFonts w:eastAsia="Times New Roman" w:cs="Times New Roman"/>
                <w:color w:val="000000" w:themeColor="text1"/>
                <w:szCs w:val="20"/>
              </w:rPr>
            </w:pPr>
            <w:r>
              <w:rPr>
                <w:color w:val="FF0000"/>
              </w:rPr>
              <w:t>Administrative Data</w:t>
            </w:r>
          </w:p>
        </w:tc>
        <w:tc>
          <w:tcPr>
            <w:tcW w:w="0" w:type="auto"/>
          </w:tcPr>
          <w:p w14:paraId="5292E881" w14:textId="77777777" w:rsidR="006B435B" w:rsidRDefault="006B435B" w:rsidP="000C4849">
            <w:pPr>
              <w:ind w:left="970" w:hanging="970"/>
              <w:rPr>
                <w:color w:val="FF0000"/>
                <w:szCs w:val="20"/>
              </w:rPr>
            </w:pPr>
            <w:r>
              <w:rPr>
                <w:color w:val="FF0000"/>
                <w:szCs w:val="20"/>
              </w:rPr>
              <w:t xml:space="preserve">By Origin: </w:t>
            </w:r>
          </w:p>
          <w:p w14:paraId="37A12555" w14:textId="68EE865C" w:rsidR="0036416A" w:rsidRDefault="006B435B" w:rsidP="000C4849">
            <w:pPr>
              <w:ind w:left="970" w:hanging="970"/>
              <w:rPr>
                <w:color w:val="0070C0"/>
                <w:sz w:val="30"/>
                <w:szCs w:val="30"/>
              </w:rPr>
            </w:pPr>
            <w:r>
              <w:rPr>
                <w:color w:val="FF0000"/>
                <w:szCs w:val="20"/>
              </w:rPr>
              <w:t>yanmar/Other Country</w:t>
            </w:r>
          </w:p>
        </w:tc>
        <w:tc>
          <w:tcPr>
            <w:tcW w:w="0" w:type="auto"/>
          </w:tcPr>
          <w:p w14:paraId="3C2204DF" w14:textId="77777777" w:rsidR="0036416A" w:rsidRDefault="0036416A" w:rsidP="0036416A">
            <w:pPr>
              <w:ind w:left="970" w:hanging="970"/>
              <w:jc w:val="both"/>
              <w:rPr>
                <w:color w:val="0070C0"/>
                <w:sz w:val="30"/>
                <w:szCs w:val="30"/>
              </w:rPr>
            </w:pPr>
          </w:p>
        </w:tc>
        <w:tc>
          <w:tcPr>
            <w:tcW w:w="0" w:type="auto"/>
          </w:tcPr>
          <w:p w14:paraId="0021B46F" w14:textId="77777777" w:rsidR="0036416A" w:rsidRDefault="0036416A" w:rsidP="0036416A">
            <w:pPr>
              <w:ind w:left="970" w:hanging="970"/>
              <w:jc w:val="both"/>
              <w:rPr>
                <w:color w:val="0070C0"/>
                <w:sz w:val="30"/>
                <w:szCs w:val="30"/>
              </w:rPr>
            </w:pPr>
          </w:p>
        </w:tc>
        <w:tc>
          <w:tcPr>
            <w:tcW w:w="0" w:type="auto"/>
          </w:tcPr>
          <w:p w14:paraId="321EA689" w14:textId="77777777" w:rsidR="0036416A" w:rsidRDefault="0036416A" w:rsidP="0036416A">
            <w:pPr>
              <w:pStyle w:val="NoSpacing"/>
            </w:pPr>
            <w:r>
              <w:t>1</w:t>
            </w:r>
            <w:r w:rsidRPr="00013ACB">
              <w:rPr>
                <w:vertAlign w:val="superscript"/>
              </w:rPr>
              <w:t>st</w:t>
            </w:r>
            <w:r>
              <w:t xml:space="preserve"> Round: </w:t>
            </w:r>
          </w:p>
          <w:p w14:paraId="5CE79DA0" w14:textId="77777777" w:rsidR="0036416A" w:rsidRDefault="0036416A" w:rsidP="0036416A">
            <w:pPr>
              <w:pStyle w:val="NoSpacing"/>
            </w:pPr>
            <w:r>
              <w:t>2019</w:t>
            </w:r>
          </w:p>
          <w:p w14:paraId="3C96E462" w14:textId="77777777" w:rsidR="0036416A" w:rsidRDefault="0036416A" w:rsidP="0036416A">
            <w:pPr>
              <w:pStyle w:val="NoSpacing"/>
            </w:pPr>
            <w:r>
              <w:t>2</w:t>
            </w:r>
            <w:r w:rsidRPr="00013ACB">
              <w:rPr>
                <w:vertAlign w:val="superscript"/>
              </w:rPr>
              <w:t>nd</w:t>
            </w:r>
            <w:r>
              <w:t xml:space="preserve"> Round: </w:t>
            </w:r>
          </w:p>
          <w:p w14:paraId="03C4549A" w14:textId="77777777" w:rsidR="0036416A" w:rsidRDefault="0036416A" w:rsidP="0036416A">
            <w:pPr>
              <w:pStyle w:val="NoSpacing"/>
            </w:pPr>
            <w:r>
              <w:t>December, 2020</w:t>
            </w:r>
          </w:p>
          <w:p w14:paraId="1DEE58FC" w14:textId="77777777" w:rsidR="0036416A" w:rsidRDefault="0036416A" w:rsidP="0036416A">
            <w:pPr>
              <w:pStyle w:val="NoSpacing"/>
            </w:pPr>
            <w:r>
              <w:t>3</w:t>
            </w:r>
            <w:r w:rsidRPr="00013ACB">
              <w:rPr>
                <w:vertAlign w:val="superscript"/>
              </w:rPr>
              <w:t>rd</w:t>
            </w:r>
            <w:r>
              <w:t xml:space="preserve"> Round: </w:t>
            </w:r>
          </w:p>
          <w:p w14:paraId="5BD8887F" w14:textId="77777777" w:rsidR="0036416A" w:rsidRDefault="0036416A" w:rsidP="0036416A">
            <w:pPr>
              <w:pStyle w:val="NoSpacing"/>
            </w:pPr>
            <w:r>
              <w:t>December, 2021</w:t>
            </w:r>
          </w:p>
          <w:p w14:paraId="1CF95EE2" w14:textId="77777777" w:rsidR="0036416A" w:rsidRDefault="0036416A" w:rsidP="0036416A">
            <w:pPr>
              <w:pStyle w:val="NoSpacing"/>
            </w:pPr>
          </w:p>
          <w:p w14:paraId="25B9C96A" w14:textId="77777777" w:rsidR="0036416A" w:rsidRDefault="0036416A" w:rsidP="0036416A">
            <w:pPr>
              <w:pStyle w:val="NoSpacing"/>
            </w:pPr>
            <w:r>
              <w:t>4</w:t>
            </w:r>
            <w:r w:rsidRPr="00013ACB">
              <w:rPr>
                <w:vertAlign w:val="superscript"/>
              </w:rPr>
              <w:t>th</w:t>
            </w:r>
            <w:r>
              <w:t xml:space="preserve"> Round: </w:t>
            </w:r>
          </w:p>
          <w:p w14:paraId="63709BA8" w14:textId="77777777" w:rsidR="0036416A" w:rsidRDefault="0036416A" w:rsidP="0036416A">
            <w:pPr>
              <w:pStyle w:val="NoSpacing"/>
            </w:pPr>
            <w:r>
              <w:t>December, 2022</w:t>
            </w:r>
          </w:p>
          <w:p w14:paraId="7210660D" w14:textId="77777777" w:rsidR="0036416A" w:rsidRDefault="0036416A" w:rsidP="0036416A">
            <w:pPr>
              <w:pStyle w:val="NoSpacing"/>
            </w:pPr>
          </w:p>
          <w:p w14:paraId="7A2801BF" w14:textId="77777777" w:rsidR="0036416A" w:rsidRDefault="0036416A" w:rsidP="0036416A">
            <w:pPr>
              <w:pStyle w:val="NoSpacing"/>
            </w:pPr>
            <w:r>
              <w:t>5</w:t>
            </w:r>
            <w:r w:rsidRPr="00013ACB">
              <w:rPr>
                <w:vertAlign w:val="superscript"/>
              </w:rPr>
              <w:t>th</w:t>
            </w:r>
            <w:r>
              <w:t xml:space="preserve"> Round: </w:t>
            </w:r>
          </w:p>
          <w:p w14:paraId="6BD7F47F" w14:textId="77777777" w:rsidR="0036416A" w:rsidRDefault="0036416A" w:rsidP="0036416A">
            <w:pPr>
              <w:pStyle w:val="NoSpacing"/>
            </w:pPr>
            <w:r>
              <w:t>December, 2023</w:t>
            </w:r>
          </w:p>
          <w:p w14:paraId="56CB8C92" w14:textId="77777777" w:rsidR="0036416A" w:rsidRDefault="0036416A" w:rsidP="0036416A">
            <w:pPr>
              <w:ind w:left="970" w:hanging="970"/>
              <w:jc w:val="both"/>
              <w:rPr>
                <w:color w:val="0070C0"/>
                <w:sz w:val="30"/>
                <w:szCs w:val="30"/>
              </w:rPr>
            </w:pPr>
          </w:p>
          <w:p w14:paraId="2813BC80" w14:textId="77777777" w:rsidR="0036416A" w:rsidRDefault="0036416A" w:rsidP="0036416A">
            <w:pPr>
              <w:ind w:left="970" w:hanging="970"/>
              <w:jc w:val="both"/>
              <w:rPr>
                <w:color w:val="0070C0"/>
                <w:sz w:val="30"/>
                <w:szCs w:val="30"/>
              </w:rPr>
            </w:pPr>
          </w:p>
        </w:tc>
        <w:tc>
          <w:tcPr>
            <w:tcW w:w="0" w:type="auto"/>
          </w:tcPr>
          <w:p w14:paraId="18333A7E" w14:textId="77777777" w:rsidR="0036416A" w:rsidRDefault="0036416A" w:rsidP="0036416A">
            <w:pPr>
              <w:pStyle w:val="NoSpacing"/>
            </w:pPr>
            <w:r w:rsidRPr="00B950AC">
              <w:lastRenderedPageBreak/>
              <w:t>UNSC 51 addition included in the 2020 comprehensive review</w:t>
            </w:r>
          </w:p>
        </w:tc>
      </w:tr>
      <w:tr w:rsidR="0025292C" w14:paraId="720521BC" w14:textId="77777777" w:rsidTr="00D52BCB">
        <w:tc>
          <w:tcPr>
            <w:tcW w:w="0" w:type="auto"/>
            <w:gridSpan w:val="13"/>
          </w:tcPr>
          <w:p w14:paraId="43BE2E5B" w14:textId="77777777" w:rsidR="0025292C" w:rsidRDefault="0025292C" w:rsidP="0036416A">
            <w:pPr>
              <w:jc w:val="both"/>
              <w:rPr>
                <w:color w:val="0070C0"/>
                <w:sz w:val="48"/>
                <w:szCs w:val="48"/>
              </w:rPr>
            </w:pPr>
            <w:r>
              <w:rPr>
                <w:color w:val="0070C0"/>
                <w:sz w:val="30"/>
                <w:szCs w:val="30"/>
              </w:rPr>
              <w:lastRenderedPageBreak/>
              <w:t xml:space="preserve">Target  </w:t>
            </w:r>
            <w:r w:rsidRPr="00C97C3C">
              <w:rPr>
                <w:color w:val="0070C0"/>
                <w:sz w:val="30"/>
                <w:szCs w:val="30"/>
              </w:rPr>
              <w:t>10.a Implement the principle of special and differential treatment for developing countries, in particular least developed countries, in accordance with World Trade Organization agreements</w:t>
            </w:r>
          </w:p>
        </w:tc>
      </w:tr>
      <w:tr w:rsidR="0036416A" w14:paraId="5472585A" w14:textId="77777777" w:rsidTr="00A64F0D">
        <w:tc>
          <w:tcPr>
            <w:tcW w:w="0" w:type="auto"/>
          </w:tcPr>
          <w:p w14:paraId="49EC30D8" w14:textId="77777777" w:rsidR="0036416A" w:rsidRPr="003E7D26" w:rsidRDefault="0036416A" w:rsidP="0036416A">
            <w:pPr>
              <w:pStyle w:val="NoSpacing"/>
            </w:pPr>
            <w:r w:rsidRPr="003E7D26">
              <w:t>10.a.1 Proportion of tariff lines applied to imports from least developed countries and developing countries with zero-tariff</w:t>
            </w:r>
          </w:p>
        </w:tc>
        <w:tc>
          <w:tcPr>
            <w:tcW w:w="0" w:type="auto"/>
          </w:tcPr>
          <w:p w14:paraId="051A9894" w14:textId="77777777" w:rsidR="0036416A" w:rsidRDefault="0036416A" w:rsidP="0036416A">
            <w:pPr>
              <w:ind w:left="970" w:hanging="970"/>
              <w:jc w:val="both"/>
              <w:rPr>
                <w:color w:val="0070C0"/>
                <w:sz w:val="30"/>
                <w:szCs w:val="30"/>
              </w:rPr>
            </w:pPr>
          </w:p>
          <w:p w14:paraId="685C0B87" w14:textId="77777777" w:rsidR="0036416A" w:rsidRPr="00221F5D" w:rsidRDefault="0036416A" w:rsidP="0036416A">
            <w:pPr>
              <w:rPr>
                <w:szCs w:val="20"/>
              </w:rPr>
            </w:pPr>
            <w:r w:rsidRPr="00221F5D">
              <w:rPr>
                <w:szCs w:val="20"/>
              </w:rPr>
              <w:t>ITC,</w:t>
            </w:r>
          </w:p>
          <w:p w14:paraId="2E3328DD" w14:textId="77777777" w:rsidR="0036416A" w:rsidRPr="00221F5D" w:rsidRDefault="0036416A" w:rsidP="0036416A">
            <w:pPr>
              <w:rPr>
                <w:szCs w:val="20"/>
              </w:rPr>
            </w:pPr>
            <w:r w:rsidRPr="00221F5D">
              <w:rPr>
                <w:szCs w:val="20"/>
              </w:rPr>
              <w:t>UNCTAD,</w:t>
            </w:r>
          </w:p>
          <w:p w14:paraId="7BB3728F" w14:textId="77777777" w:rsidR="0036416A" w:rsidRDefault="0036416A" w:rsidP="0036416A">
            <w:pPr>
              <w:pStyle w:val="NoSpacing"/>
            </w:pPr>
            <w:r w:rsidRPr="00221F5D">
              <w:rPr>
                <w:szCs w:val="20"/>
              </w:rPr>
              <w:t>WTO</w:t>
            </w:r>
          </w:p>
        </w:tc>
        <w:tc>
          <w:tcPr>
            <w:tcW w:w="0" w:type="auto"/>
          </w:tcPr>
          <w:p w14:paraId="2E3ED4B5" w14:textId="77777777" w:rsidR="0036416A" w:rsidRDefault="0036416A" w:rsidP="0036416A">
            <w:pPr>
              <w:ind w:left="970" w:hanging="970"/>
              <w:jc w:val="both"/>
              <w:rPr>
                <w:color w:val="0070C0"/>
                <w:sz w:val="30"/>
                <w:szCs w:val="30"/>
              </w:rPr>
            </w:pPr>
            <w:r>
              <w:t>Tier I</w:t>
            </w:r>
          </w:p>
        </w:tc>
        <w:tc>
          <w:tcPr>
            <w:tcW w:w="0" w:type="auto"/>
          </w:tcPr>
          <w:p w14:paraId="3B72E7DD" w14:textId="77777777" w:rsidR="0036416A" w:rsidRDefault="0036416A" w:rsidP="0036416A">
            <w:pPr>
              <w:pStyle w:val="NoSpacing"/>
            </w:pPr>
            <w:r>
              <w:t>Definition:</w:t>
            </w:r>
          </w:p>
          <w:p w14:paraId="4235E765" w14:textId="77777777" w:rsidR="0036416A" w:rsidRDefault="0036416A" w:rsidP="0036416A">
            <w:pPr>
              <w:pStyle w:val="NoSpacing"/>
            </w:pPr>
          </w:p>
          <w:p w14:paraId="28FAECED" w14:textId="77777777" w:rsidR="0036416A" w:rsidRDefault="0036416A" w:rsidP="0036416A">
            <w:pPr>
              <w:pStyle w:val="NoSpacing"/>
            </w:pPr>
            <w:r>
              <w:t>Proportion of total number of tariff lines (in per cent) applied to products imported from least developed countries and developing countries corresponding to a 0% tariff rate in HS chapter 01-97.</w:t>
            </w:r>
          </w:p>
          <w:p w14:paraId="3D6014C4" w14:textId="77777777" w:rsidR="0036416A" w:rsidRDefault="0036416A" w:rsidP="0036416A">
            <w:pPr>
              <w:pStyle w:val="NoSpacing"/>
            </w:pPr>
          </w:p>
          <w:p w14:paraId="2A0986C9" w14:textId="77777777" w:rsidR="0036416A" w:rsidRDefault="0036416A" w:rsidP="0036416A">
            <w:pPr>
              <w:pStyle w:val="NoSpacing"/>
            </w:pPr>
            <w:r>
              <w:t>Concepts:</w:t>
            </w:r>
          </w:p>
          <w:p w14:paraId="4A848FDB" w14:textId="77777777" w:rsidR="0036416A" w:rsidRDefault="0036416A" w:rsidP="0036416A">
            <w:pPr>
              <w:pStyle w:val="NoSpacing"/>
            </w:pPr>
          </w:p>
          <w:p w14:paraId="5A8F9F4C" w14:textId="77777777" w:rsidR="0036416A" w:rsidRDefault="0036416A" w:rsidP="0036416A">
            <w:pPr>
              <w:pStyle w:val="NoSpacing"/>
            </w:pPr>
            <w:r>
              <w:t xml:space="preserve">Tariff line or National Tariff lines (NTL): National Tariff Line codes refer to the classification codes, applied to merchandise goods by individual </w:t>
            </w:r>
            <w:proofErr w:type="gramStart"/>
            <w:r>
              <w:t>countries, that</w:t>
            </w:r>
            <w:proofErr w:type="gramEnd"/>
            <w:r>
              <w:t xml:space="preserve"> are longer than the HS six digit level. Countries are free to introduce national distinctions for tariffs and many other purposes. The national tariff line codes are based on the HS system but are longer than six digits. For example, the six digit HS code 010120 refers to Asses, mules and hinnies, live, whereas the US National Tariff line code 010120.10 refers to live purebred breeding asses, 010120.20 refers to live asses other than purebred breeding asses and 010120.30 refers to mules and hinnies imported for immediate slaughter.</w:t>
            </w:r>
          </w:p>
          <w:p w14:paraId="52DEFF2C" w14:textId="77777777" w:rsidR="0036416A" w:rsidRDefault="0036416A" w:rsidP="0036416A">
            <w:pPr>
              <w:pStyle w:val="NoSpacing"/>
            </w:pPr>
          </w:p>
          <w:p w14:paraId="4FF02FA6" w14:textId="77777777" w:rsidR="0036416A" w:rsidRDefault="0036416A" w:rsidP="0036416A">
            <w:pPr>
              <w:pStyle w:val="NoSpacing"/>
            </w:pPr>
            <w:r>
              <w:t>Tariffs: Tariffs are customs duties on merchandise imports, levied either on an ad valorem basis (percentage of value) or on a specific basis (e.g. $7 per 100 kg). Tariffs can be used to create a price advantage for similar locally-produced goods and for raising government revenues. Trade remedy measures and taxes are not considered to be tariffs.</w:t>
            </w:r>
          </w:p>
          <w:p w14:paraId="4C60C606" w14:textId="77777777" w:rsidR="0036416A" w:rsidRDefault="0036416A" w:rsidP="0036416A">
            <w:pPr>
              <w:pStyle w:val="NoSpacing"/>
            </w:pPr>
          </w:p>
          <w:p w14:paraId="3799C266" w14:textId="77777777" w:rsidR="0036416A" w:rsidRDefault="0036416A" w:rsidP="0036416A">
            <w:pPr>
              <w:pStyle w:val="NoSpacing"/>
            </w:pPr>
            <w:r>
              <w:lastRenderedPageBreak/>
              <w:t>Comments and limitations:</w:t>
            </w:r>
          </w:p>
          <w:p w14:paraId="20C3A450" w14:textId="77777777" w:rsidR="0036416A" w:rsidRDefault="0036416A" w:rsidP="0036416A">
            <w:pPr>
              <w:pStyle w:val="NoSpacing"/>
            </w:pPr>
          </w:p>
          <w:p w14:paraId="0C836210" w14:textId="77777777" w:rsidR="0036416A" w:rsidRDefault="0036416A" w:rsidP="0036416A">
            <w:pPr>
              <w:pStyle w:val="NoSpacing"/>
            </w:pPr>
            <w:r>
              <w:t>"The following caveats should be taken in consideration while reviewing this indicator:</w:t>
            </w:r>
          </w:p>
          <w:p w14:paraId="2755C0DA" w14:textId="77777777" w:rsidR="0036416A" w:rsidRDefault="0036416A" w:rsidP="0036416A">
            <w:pPr>
              <w:pStyle w:val="NoSpacing"/>
            </w:pPr>
            <w:r>
              <w:t>Accurate estimates on special and differential treatment for developing countries do not exist, thus the calculations are limited to tariffs only. These are only part of the trade limitation factors, especially when looking at exports of developing or least developed countries under non-reciprocal preferential treatment that set criteria for eligibility.</w:t>
            </w:r>
          </w:p>
          <w:p w14:paraId="1FD43826" w14:textId="77777777" w:rsidR="0036416A" w:rsidRDefault="0036416A" w:rsidP="0036416A">
            <w:pPr>
              <w:pStyle w:val="NoSpacing"/>
            </w:pPr>
          </w:p>
          <w:p w14:paraId="2B7AD230" w14:textId="77777777" w:rsidR="0036416A" w:rsidRDefault="0036416A" w:rsidP="0036416A">
            <w:pPr>
              <w:pStyle w:val="NoSpacing"/>
            </w:pPr>
            <w:r>
              <w:t>A full coverage of preferential schemes of developed countries are used for the computation, but preferential treatment may not be fully used by developing countries' exporters for different reasons such as the inability of certain exporters to meet eligibility criteria (i.e., complying with rules of origin). As there is no accurate statistical information on the extent of the actual utilisation of each of these preferences, it is assumed that they are fully utilised.</w:t>
            </w:r>
          </w:p>
          <w:p w14:paraId="21DE40C0" w14:textId="77777777" w:rsidR="0036416A" w:rsidRDefault="0036416A" w:rsidP="0036416A">
            <w:pPr>
              <w:pStyle w:val="NoSpacing"/>
            </w:pPr>
          </w:p>
          <w:p w14:paraId="6666B9E6" w14:textId="77777777" w:rsidR="0036416A" w:rsidRDefault="0036416A" w:rsidP="0036416A">
            <w:pPr>
              <w:pStyle w:val="NoSpacing"/>
            </w:pPr>
            <w:r>
              <w:t>Duty free treatment is an indicator of market access, but is not always synonymous with preferential treatment for beneficiary countries, because a number of MFN tariffs are already at, or close to, zero, especially for fuels and minerals. International agreements on IT products also offer duty-free treatment for components and equipment used for production purpose"</w:t>
            </w:r>
          </w:p>
          <w:p w14:paraId="0DF69695" w14:textId="77777777" w:rsidR="0036416A" w:rsidRDefault="0036416A" w:rsidP="0036416A">
            <w:pPr>
              <w:pStyle w:val="NoSpacing"/>
            </w:pPr>
          </w:p>
          <w:p w14:paraId="47FB866E" w14:textId="77777777" w:rsidR="0036416A" w:rsidRDefault="0036416A" w:rsidP="0036416A">
            <w:pPr>
              <w:pStyle w:val="NoSpacing"/>
            </w:pPr>
            <w:r>
              <w:t>Computation Method:</w:t>
            </w:r>
          </w:p>
          <w:p w14:paraId="1760FB90" w14:textId="77777777" w:rsidR="0036416A" w:rsidRDefault="0036416A" w:rsidP="0036416A">
            <w:pPr>
              <w:pStyle w:val="NoSpacing"/>
            </w:pPr>
          </w:p>
          <w:p w14:paraId="7E9F6F5E" w14:textId="77777777" w:rsidR="0036416A" w:rsidRDefault="0036416A" w:rsidP="0036416A">
            <w:pPr>
              <w:pStyle w:val="NoSpacing"/>
            </w:pPr>
            <w:r>
              <w:t>The indicator is calculated as the average share of national tariff lines that are free of duty</w:t>
            </w:r>
          </w:p>
        </w:tc>
        <w:tc>
          <w:tcPr>
            <w:tcW w:w="0" w:type="auto"/>
          </w:tcPr>
          <w:p w14:paraId="458061DC" w14:textId="77777777" w:rsidR="0036416A" w:rsidRPr="00873FDE" w:rsidRDefault="0036416A" w:rsidP="0036416A">
            <w:pPr>
              <w:rPr>
                <w:szCs w:val="20"/>
              </w:rPr>
            </w:pPr>
            <w:r w:rsidRPr="00873FDE">
              <w:rPr>
                <w:szCs w:val="20"/>
              </w:rPr>
              <w:lastRenderedPageBreak/>
              <w:t xml:space="preserve">Retrieved by contacting directly National statistical offices, permanent country missions to the UN, regional organizations or focal points within the customs, ministries in charge of customs </w:t>
            </w:r>
            <w:r w:rsidRPr="00873FDE">
              <w:rPr>
                <w:szCs w:val="20"/>
              </w:rPr>
              <w:lastRenderedPageBreak/>
              <w:t>revenues (Ministry of economy/finance and related revenue authorities) or, alternatively, the Ministry of trade</w:t>
            </w:r>
          </w:p>
        </w:tc>
        <w:tc>
          <w:tcPr>
            <w:tcW w:w="0" w:type="auto"/>
          </w:tcPr>
          <w:p w14:paraId="6937005F" w14:textId="77777777" w:rsidR="0036416A" w:rsidRPr="00873FDE" w:rsidRDefault="0036416A" w:rsidP="0036416A">
            <w:pPr>
              <w:rPr>
                <w:szCs w:val="20"/>
              </w:rPr>
            </w:pPr>
            <w:r w:rsidRPr="00873FDE">
              <w:rPr>
                <w:szCs w:val="20"/>
              </w:rPr>
              <w:lastRenderedPageBreak/>
              <w:t>NA</w:t>
            </w:r>
          </w:p>
        </w:tc>
        <w:tc>
          <w:tcPr>
            <w:tcW w:w="0" w:type="auto"/>
          </w:tcPr>
          <w:p w14:paraId="35A2AFF9" w14:textId="210CEFA4" w:rsidR="0036416A" w:rsidRDefault="0036416A" w:rsidP="0036416A">
            <w:pPr>
              <w:pStyle w:val="NoSpacing"/>
              <w:rPr>
                <w:rFonts w:eastAsia="Times New Roman" w:cs="Times New Roman"/>
                <w:color w:val="000000" w:themeColor="text1"/>
                <w:szCs w:val="20"/>
              </w:rPr>
            </w:pPr>
            <w:r w:rsidRPr="00BC6F10">
              <w:rPr>
                <w:rFonts w:eastAsia="Times New Roman" w:cs="Times New Roman"/>
                <w:color w:val="000000" w:themeColor="text1"/>
                <w:szCs w:val="20"/>
              </w:rPr>
              <w:t>UNSC</w:t>
            </w:r>
          </w:p>
          <w:p w14:paraId="3D45B68E" w14:textId="77777777" w:rsidR="0036416A" w:rsidRDefault="0036416A" w:rsidP="0036416A">
            <w:pPr>
              <w:pStyle w:val="NoSpacing"/>
            </w:pPr>
          </w:p>
          <w:p w14:paraId="367929EC" w14:textId="77777777" w:rsidR="0036416A" w:rsidRDefault="0036416A" w:rsidP="0036416A">
            <w:pPr>
              <w:pStyle w:val="NoSpacing"/>
              <w:rPr>
                <w:color w:val="0070C0"/>
                <w:sz w:val="30"/>
                <w:szCs w:val="30"/>
              </w:rPr>
            </w:pPr>
            <w:r>
              <w:t>Administrative Data</w:t>
            </w:r>
          </w:p>
        </w:tc>
        <w:tc>
          <w:tcPr>
            <w:tcW w:w="0" w:type="auto"/>
          </w:tcPr>
          <w:p w14:paraId="614A0F62" w14:textId="77777777" w:rsidR="0036416A" w:rsidRPr="00BC6F10" w:rsidRDefault="0036416A" w:rsidP="0036416A">
            <w:pPr>
              <w:rPr>
                <w:rFonts w:eastAsia="Times New Roman" w:cs="Times New Roman"/>
                <w:color w:val="000000" w:themeColor="text1"/>
                <w:szCs w:val="20"/>
              </w:rPr>
            </w:pPr>
            <w:r w:rsidRPr="00BC6F10">
              <w:rPr>
                <w:rFonts w:eastAsia="Times New Roman" w:cs="Times New Roman"/>
                <w:color w:val="000000" w:themeColor="text1"/>
                <w:szCs w:val="20"/>
              </w:rPr>
              <w:t>a) WTO Cell, MoC</w:t>
            </w:r>
          </w:p>
          <w:p w14:paraId="713D1BD5" w14:textId="77777777" w:rsidR="0036416A" w:rsidRDefault="0036416A" w:rsidP="0036416A">
            <w:pPr>
              <w:ind w:left="970" w:hanging="970"/>
              <w:jc w:val="both"/>
              <w:rPr>
                <w:rFonts w:eastAsia="Times New Roman" w:cs="Times New Roman"/>
                <w:color w:val="000000" w:themeColor="text1"/>
                <w:szCs w:val="20"/>
              </w:rPr>
            </w:pPr>
            <w:r w:rsidRPr="00BC6F10">
              <w:rPr>
                <w:rFonts w:eastAsia="Times New Roman" w:cs="Times New Roman"/>
                <w:color w:val="000000" w:themeColor="text1"/>
                <w:szCs w:val="20"/>
              </w:rPr>
              <w:t>b) UNSC</w:t>
            </w:r>
          </w:p>
          <w:p w14:paraId="5061B689" w14:textId="77777777" w:rsidR="0036416A" w:rsidRDefault="0036416A" w:rsidP="0036416A">
            <w:pPr>
              <w:ind w:left="970" w:hanging="970"/>
              <w:jc w:val="both"/>
              <w:rPr>
                <w:color w:val="0070C0"/>
                <w:sz w:val="30"/>
                <w:szCs w:val="30"/>
              </w:rPr>
            </w:pPr>
          </w:p>
          <w:p w14:paraId="4FA47EDC" w14:textId="77777777" w:rsidR="0036416A" w:rsidRDefault="0036416A" w:rsidP="0036416A">
            <w:pPr>
              <w:pStyle w:val="NoSpacing"/>
              <w:rPr>
                <w:color w:val="0070C0"/>
                <w:sz w:val="30"/>
                <w:szCs w:val="30"/>
              </w:rPr>
            </w:pPr>
            <w:r>
              <w:t>Administrative Data</w:t>
            </w:r>
          </w:p>
        </w:tc>
        <w:tc>
          <w:tcPr>
            <w:tcW w:w="0" w:type="auto"/>
          </w:tcPr>
          <w:p w14:paraId="74A396A2"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product sector: agriculture, textile, environmental</w:t>
            </w:r>
          </w:p>
          <w:p w14:paraId="42D6C774"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geographical regions </w:t>
            </w:r>
          </w:p>
          <w:p w14:paraId="44AE77B2" w14:textId="77777777" w:rsidR="0036416A" w:rsidRDefault="0036416A" w:rsidP="0036416A">
            <w:pPr>
              <w:ind w:left="970" w:hanging="970"/>
              <w:jc w:val="both"/>
              <w:rPr>
                <w:color w:val="0070C0"/>
                <w:sz w:val="30"/>
                <w:szCs w:val="30"/>
              </w:rPr>
            </w:pPr>
          </w:p>
        </w:tc>
        <w:tc>
          <w:tcPr>
            <w:tcW w:w="0" w:type="auto"/>
          </w:tcPr>
          <w:p w14:paraId="7432B73C" w14:textId="77777777" w:rsidR="0036416A" w:rsidRDefault="0036416A" w:rsidP="0036416A">
            <w:pPr>
              <w:ind w:left="970" w:hanging="970"/>
              <w:jc w:val="both"/>
              <w:rPr>
                <w:color w:val="0070C0"/>
                <w:sz w:val="30"/>
                <w:szCs w:val="30"/>
              </w:rPr>
            </w:pPr>
            <w:r w:rsidRPr="00BC6F10">
              <w:t>Annual</w:t>
            </w:r>
          </w:p>
        </w:tc>
        <w:tc>
          <w:tcPr>
            <w:tcW w:w="0" w:type="auto"/>
          </w:tcPr>
          <w:p w14:paraId="58AC7540" w14:textId="77777777" w:rsidR="0036416A" w:rsidRDefault="0036416A" w:rsidP="0036416A">
            <w:pPr>
              <w:ind w:left="970" w:hanging="970"/>
              <w:jc w:val="both"/>
              <w:rPr>
                <w:color w:val="0070C0"/>
                <w:sz w:val="30"/>
                <w:szCs w:val="30"/>
              </w:rPr>
            </w:pPr>
            <w:r>
              <w:t>Group 1</w:t>
            </w:r>
          </w:p>
        </w:tc>
        <w:tc>
          <w:tcPr>
            <w:tcW w:w="0" w:type="auto"/>
          </w:tcPr>
          <w:p w14:paraId="7D479669" w14:textId="77777777" w:rsidR="0036416A" w:rsidRDefault="0036416A" w:rsidP="0036416A">
            <w:pPr>
              <w:pStyle w:val="NoSpacing"/>
            </w:pPr>
            <w:r>
              <w:t>1</w:t>
            </w:r>
            <w:r w:rsidRPr="00013ACB">
              <w:rPr>
                <w:vertAlign w:val="superscript"/>
              </w:rPr>
              <w:t>st</w:t>
            </w:r>
            <w:r>
              <w:t xml:space="preserve"> Round: </w:t>
            </w:r>
          </w:p>
          <w:p w14:paraId="3E622538" w14:textId="77777777" w:rsidR="0036416A" w:rsidRDefault="0036416A" w:rsidP="0036416A">
            <w:pPr>
              <w:pStyle w:val="NoSpacing"/>
            </w:pPr>
            <w:r>
              <w:t>2015</w:t>
            </w:r>
          </w:p>
          <w:p w14:paraId="563A9E8C" w14:textId="77777777" w:rsidR="0036416A" w:rsidRDefault="0036416A" w:rsidP="0036416A">
            <w:pPr>
              <w:pStyle w:val="NoSpacing"/>
            </w:pPr>
            <w:r>
              <w:t>2</w:t>
            </w:r>
            <w:r w:rsidRPr="00013ACB">
              <w:rPr>
                <w:vertAlign w:val="superscript"/>
              </w:rPr>
              <w:t>nd</w:t>
            </w:r>
            <w:r>
              <w:t xml:space="preserve"> Round: </w:t>
            </w:r>
          </w:p>
          <w:p w14:paraId="21E14C75" w14:textId="77777777" w:rsidR="0036416A" w:rsidRDefault="0036416A" w:rsidP="0036416A">
            <w:pPr>
              <w:pStyle w:val="NoSpacing"/>
            </w:pPr>
            <w:r>
              <w:t>January, 2019</w:t>
            </w:r>
          </w:p>
          <w:p w14:paraId="5B3EF80C" w14:textId="77777777" w:rsidR="0036416A" w:rsidRDefault="0036416A" w:rsidP="0036416A">
            <w:pPr>
              <w:pStyle w:val="NoSpacing"/>
            </w:pPr>
            <w:r>
              <w:t>3</w:t>
            </w:r>
            <w:r w:rsidRPr="00013ACB">
              <w:rPr>
                <w:vertAlign w:val="superscript"/>
              </w:rPr>
              <w:t>rd</w:t>
            </w:r>
            <w:r>
              <w:t xml:space="preserve"> Round: </w:t>
            </w:r>
          </w:p>
          <w:p w14:paraId="19BED282" w14:textId="77777777" w:rsidR="0036416A" w:rsidRDefault="0036416A" w:rsidP="0036416A">
            <w:pPr>
              <w:pStyle w:val="NoSpacing"/>
            </w:pPr>
            <w:r>
              <w:t>January, 2020</w:t>
            </w:r>
          </w:p>
          <w:p w14:paraId="489E7927" w14:textId="77777777" w:rsidR="0036416A" w:rsidRDefault="0036416A" w:rsidP="0036416A">
            <w:pPr>
              <w:pStyle w:val="NoSpacing"/>
            </w:pPr>
          </w:p>
          <w:p w14:paraId="029AA24A" w14:textId="77777777" w:rsidR="0036416A" w:rsidRDefault="0036416A" w:rsidP="0036416A">
            <w:pPr>
              <w:pStyle w:val="NoSpacing"/>
            </w:pPr>
            <w:r>
              <w:t>4</w:t>
            </w:r>
            <w:r w:rsidRPr="00013ACB">
              <w:rPr>
                <w:vertAlign w:val="superscript"/>
              </w:rPr>
              <w:t>th</w:t>
            </w:r>
            <w:r>
              <w:t xml:space="preserve"> Round: </w:t>
            </w:r>
          </w:p>
          <w:p w14:paraId="0150B18D" w14:textId="77777777" w:rsidR="0036416A" w:rsidRDefault="0036416A" w:rsidP="0036416A">
            <w:pPr>
              <w:pStyle w:val="NoSpacing"/>
            </w:pPr>
            <w:r>
              <w:t>January, 2021</w:t>
            </w:r>
          </w:p>
          <w:p w14:paraId="0FB81857" w14:textId="77777777" w:rsidR="0036416A" w:rsidRDefault="0036416A" w:rsidP="0036416A">
            <w:pPr>
              <w:pStyle w:val="NoSpacing"/>
            </w:pPr>
          </w:p>
          <w:p w14:paraId="248A68DD" w14:textId="77777777" w:rsidR="0036416A" w:rsidRDefault="0036416A" w:rsidP="0036416A">
            <w:pPr>
              <w:pStyle w:val="NoSpacing"/>
            </w:pPr>
            <w:r>
              <w:t>5</w:t>
            </w:r>
            <w:r w:rsidRPr="00013ACB">
              <w:rPr>
                <w:vertAlign w:val="superscript"/>
              </w:rPr>
              <w:t>th</w:t>
            </w:r>
            <w:r>
              <w:t xml:space="preserve"> Round: </w:t>
            </w:r>
          </w:p>
          <w:p w14:paraId="6CE5B3E4" w14:textId="77777777" w:rsidR="0036416A" w:rsidRDefault="0036416A" w:rsidP="0036416A">
            <w:pPr>
              <w:pStyle w:val="NoSpacing"/>
            </w:pPr>
            <w:r>
              <w:t>January, 2022</w:t>
            </w:r>
          </w:p>
          <w:p w14:paraId="6B1B0D36" w14:textId="08522FDD" w:rsidR="0036416A" w:rsidRDefault="0036416A" w:rsidP="0036416A">
            <w:pPr>
              <w:pStyle w:val="NoSpacing"/>
            </w:pPr>
          </w:p>
        </w:tc>
        <w:tc>
          <w:tcPr>
            <w:tcW w:w="0" w:type="auto"/>
          </w:tcPr>
          <w:p w14:paraId="07D6BF37" w14:textId="77777777" w:rsidR="0036416A" w:rsidRDefault="0036416A" w:rsidP="0036416A">
            <w:pPr>
              <w:ind w:left="970" w:hanging="970"/>
              <w:jc w:val="both"/>
              <w:rPr>
                <w:color w:val="0070C0"/>
                <w:sz w:val="30"/>
                <w:szCs w:val="30"/>
              </w:rPr>
            </w:pPr>
          </w:p>
        </w:tc>
      </w:tr>
      <w:tr w:rsidR="0025292C" w14:paraId="1253946F" w14:textId="77777777" w:rsidTr="00D52BCB">
        <w:tc>
          <w:tcPr>
            <w:tcW w:w="0" w:type="auto"/>
            <w:gridSpan w:val="13"/>
          </w:tcPr>
          <w:p w14:paraId="3E8BC00D" w14:textId="77777777" w:rsidR="0025292C" w:rsidRDefault="0025292C" w:rsidP="0036416A">
            <w:pPr>
              <w:jc w:val="both"/>
              <w:rPr>
                <w:color w:val="0070C0"/>
                <w:sz w:val="48"/>
                <w:szCs w:val="48"/>
              </w:rPr>
            </w:pPr>
            <w:r>
              <w:rPr>
                <w:color w:val="0070C0"/>
                <w:sz w:val="30"/>
                <w:szCs w:val="30"/>
              </w:rPr>
              <w:lastRenderedPageBreak/>
              <w:t xml:space="preserve">Target </w:t>
            </w:r>
            <w:r w:rsidRPr="00C97C3C">
              <w:rPr>
                <w:color w:val="0070C0"/>
                <w:sz w:val="30"/>
                <w:szCs w:val="30"/>
              </w:rPr>
              <w:t>10.b Encourage official development assistance and financial flows, including foreign direct investment, to States where the need is greatest, in particular least developed countries, African countries, small island developing States and landlocked developing countries, in accordance with their national plans and programmes</w:t>
            </w:r>
          </w:p>
        </w:tc>
      </w:tr>
      <w:tr w:rsidR="0036416A" w14:paraId="7155D83D" w14:textId="77777777" w:rsidTr="00A64F0D">
        <w:tc>
          <w:tcPr>
            <w:tcW w:w="0" w:type="auto"/>
          </w:tcPr>
          <w:p w14:paraId="2B721468" w14:textId="77777777" w:rsidR="0036416A" w:rsidRPr="003E7D26" w:rsidRDefault="0036416A" w:rsidP="0036416A">
            <w:pPr>
              <w:pStyle w:val="NoSpacing"/>
            </w:pPr>
            <w:r w:rsidRPr="003E7D26">
              <w:t xml:space="preserve">10.b.1 Total resource flows for development, by recipient and donor countries and type of flow (e.g. official development assistance, </w:t>
            </w:r>
            <w:r w:rsidRPr="003E7D26">
              <w:lastRenderedPageBreak/>
              <w:t>foreign direct investment and other flows)</w:t>
            </w:r>
          </w:p>
        </w:tc>
        <w:tc>
          <w:tcPr>
            <w:tcW w:w="0" w:type="auto"/>
          </w:tcPr>
          <w:p w14:paraId="5285A875" w14:textId="77777777" w:rsidR="0036416A" w:rsidRDefault="0036416A" w:rsidP="0036416A">
            <w:pPr>
              <w:pStyle w:val="NoSpacing"/>
            </w:pPr>
            <w:r w:rsidRPr="00221F5D">
              <w:lastRenderedPageBreak/>
              <w:t>OECD</w:t>
            </w:r>
          </w:p>
        </w:tc>
        <w:tc>
          <w:tcPr>
            <w:tcW w:w="0" w:type="auto"/>
          </w:tcPr>
          <w:p w14:paraId="6C9C5FB3" w14:textId="77777777" w:rsidR="0036416A" w:rsidRDefault="0036416A" w:rsidP="0036416A">
            <w:pPr>
              <w:pStyle w:val="NoSpacing"/>
            </w:pPr>
            <w:r w:rsidRPr="00666BAB">
              <w:t>Tier I (ODA)/Tier II (FDI)</w:t>
            </w:r>
          </w:p>
        </w:tc>
        <w:tc>
          <w:tcPr>
            <w:tcW w:w="0" w:type="auto"/>
          </w:tcPr>
          <w:p w14:paraId="46105601" w14:textId="77777777" w:rsidR="0036416A" w:rsidRDefault="0036416A" w:rsidP="0036416A">
            <w:pPr>
              <w:pStyle w:val="NoSpacing"/>
            </w:pPr>
            <w:r>
              <w:t>Definition:</w:t>
            </w:r>
          </w:p>
          <w:p w14:paraId="7BC0477D" w14:textId="77777777" w:rsidR="0036416A" w:rsidRDefault="0036416A" w:rsidP="0036416A">
            <w:pPr>
              <w:pStyle w:val="NoSpacing"/>
            </w:pPr>
          </w:p>
          <w:p w14:paraId="1A839287" w14:textId="77777777" w:rsidR="0036416A" w:rsidRDefault="0036416A" w:rsidP="0036416A">
            <w:pPr>
              <w:pStyle w:val="NoSpacing"/>
            </w:pPr>
            <w:r>
              <w:t>Total resource flows for development, by recipient and donor countries and type of flow comprises of Official Development Assistance (ODA), other official flows (OOF) and private flows.</w:t>
            </w:r>
          </w:p>
          <w:p w14:paraId="4499124B" w14:textId="77777777" w:rsidR="0036416A" w:rsidRDefault="0036416A" w:rsidP="0036416A">
            <w:pPr>
              <w:pStyle w:val="NoSpacing"/>
            </w:pPr>
            <w:r>
              <w:t>Concepts:</w:t>
            </w:r>
          </w:p>
          <w:p w14:paraId="3F5FAB80" w14:textId="77777777" w:rsidR="0036416A" w:rsidRDefault="0036416A" w:rsidP="0036416A">
            <w:pPr>
              <w:pStyle w:val="NoSpacing"/>
            </w:pPr>
          </w:p>
          <w:p w14:paraId="544328B0" w14:textId="77777777" w:rsidR="0036416A" w:rsidRDefault="0036416A" w:rsidP="0036416A">
            <w:pPr>
              <w:pStyle w:val="NoSpacing"/>
            </w:pPr>
            <w:r>
              <w:t>Official and private flows, both concessional and non-concessional to developing countries. For official flows the major distinction is between official development assistance (ODA) and other official flows</w:t>
            </w:r>
          </w:p>
          <w:p w14:paraId="2F7CC3F3" w14:textId="77777777" w:rsidR="0036416A" w:rsidRDefault="0036416A" w:rsidP="0036416A">
            <w:pPr>
              <w:pStyle w:val="NoSpacing"/>
            </w:pPr>
          </w:p>
          <w:p w14:paraId="60761D36" w14:textId="77777777" w:rsidR="0036416A" w:rsidRDefault="0036416A" w:rsidP="0036416A">
            <w:pPr>
              <w:pStyle w:val="NoSpacing"/>
            </w:pPr>
            <w:r>
              <w:t xml:space="preserve">OOF, while private flows are broken down into flows at market terms and charitable grants. Flows include contributions to multilateral development agencies, which are </w:t>
            </w:r>
            <w:proofErr w:type="gramStart"/>
            <w:r>
              <w:t>themselves</w:t>
            </w:r>
            <w:proofErr w:type="gramEnd"/>
            <w:r>
              <w:t xml:space="preserve"> official bodies.</w:t>
            </w:r>
          </w:p>
          <w:p w14:paraId="2E4B9BF3" w14:textId="77777777" w:rsidR="0036416A" w:rsidRDefault="0036416A" w:rsidP="0036416A">
            <w:pPr>
              <w:pStyle w:val="NoSpacing"/>
            </w:pPr>
            <w:r>
              <w:t>See http://www.oecd.org/dac/stats/officialdevelopmentassistancedefinitionandcoverage.htm)</w:t>
            </w:r>
          </w:p>
          <w:p w14:paraId="25AA925E" w14:textId="77777777" w:rsidR="0036416A" w:rsidRDefault="0036416A" w:rsidP="0036416A">
            <w:pPr>
              <w:pStyle w:val="NoSpacing"/>
            </w:pPr>
          </w:p>
          <w:p w14:paraId="1BBDF8DE" w14:textId="77777777" w:rsidR="0036416A" w:rsidRDefault="0036416A" w:rsidP="0036416A">
            <w:pPr>
              <w:pStyle w:val="NoSpacing"/>
            </w:pPr>
            <w:r>
              <w:t>Computation Method:</w:t>
            </w:r>
          </w:p>
          <w:p w14:paraId="62011285" w14:textId="77777777" w:rsidR="0036416A" w:rsidRDefault="0036416A" w:rsidP="0036416A">
            <w:pPr>
              <w:pStyle w:val="NoSpacing"/>
            </w:pPr>
          </w:p>
          <w:p w14:paraId="5E306928" w14:textId="77777777" w:rsidR="0036416A" w:rsidRDefault="0036416A" w:rsidP="0036416A">
            <w:pPr>
              <w:pStyle w:val="NoSpacing"/>
            </w:pPr>
            <w:r>
              <w:lastRenderedPageBreak/>
              <w:t>The sum of official and private flows from all donors to developing countries.</w:t>
            </w:r>
          </w:p>
        </w:tc>
        <w:tc>
          <w:tcPr>
            <w:tcW w:w="0" w:type="auto"/>
          </w:tcPr>
          <w:p w14:paraId="023F1281" w14:textId="77777777" w:rsidR="0036416A" w:rsidRPr="00873FDE" w:rsidRDefault="0036416A" w:rsidP="0036416A">
            <w:pPr>
              <w:rPr>
                <w:szCs w:val="20"/>
              </w:rPr>
            </w:pPr>
            <w:r w:rsidRPr="00873FDE">
              <w:rPr>
                <w:szCs w:val="20"/>
              </w:rPr>
              <w:lastRenderedPageBreak/>
              <w:t>A statistical reporter is responsible for the collection of DAC statistics in each providing country/agency</w:t>
            </w:r>
            <w:proofErr w:type="gramStart"/>
            <w:r w:rsidRPr="00873FDE">
              <w:rPr>
                <w:szCs w:val="20"/>
              </w:rPr>
              <w:t>.</w:t>
            </w:r>
            <w:r w:rsidRPr="00873FDE">
              <w:rPr>
                <w:rFonts w:cs="Calibri"/>
                <w:color w:val="4A4A4A"/>
                <w:szCs w:val="20"/>
              </w:rPr>
              <w:t>.</w:t>
            </w:r>
            <w:proofErr w:type="gramEnd"/>
          </w:p>
        </w:tc>
        <w:tc>
          <w:tcPr>
            <w:tcW w:w="0" w:type="auto"/>
          </w:tcPr>
          <w:p w14:paraId="48B592B7" w14:textId="77777777" w:rsidR="0036416A" w:rsidRPr="00873FDE" w:rsidRDefault="0036416A" w:rsidP="0036416A">
            <w:pPr>
              <w:rPr>
                <w:szCs w:val="20"/>
              </w:rPr>
            </w:pPr>
            <w:r w:rsidRPr="00873FDE">
              <w:rPr>
                <w:szCs w:val="20"/>
              </w:rPr>
              <w:t>Data are reported on an annual calendar year basis by statistical reporters in national administrations (aid agencies, Ministries of Foreign Affairs or Finance, etc.</w:t>
            </w:r>
          </w:p>
        </w:tc>
        <w:tc>
          <w:tcPr>
            <w:tcW w:w="0" w:type="auto"/>
          </w:tcPr>
          <w:p w14:paraId="78CA44A1" w14:textId="77777777" w:rsidR="0036416A" w:rsidRDefault="0036416A" w:rsidP="0036416A">
            <w:pPr>
              <w:pStyle w:val="NoSpacing"/>
            </w:pPr>
            <w:r w:rsidRPr="00BC6F10">
              <w:t xml:space="preserve">a) </w:t>
            </w:r>
            <w:r>
              <w:t>BB</w:t>
            </w:r>
          </w:p>
          <w:p w14:paraId="02B7D6A5" w14:textId="6C1F6F78" w:rsidR="0036416A" w:rsidRDefault="0036416A" w:rsidP="0036416A">
            <w:pPr>
              <w:pStyle w:val="NoSpacing"/>
            </w:pPr>
            <w:r>
              <w:t xml:space="preserve">b) </w:t>
            </w:r>
            <w:r w:rsidRPr="00BC6F10">
              <w:t>ERD</w:t>
            </w:r>
            <w:r w:rsidRPr="00BC6F10">
              <w:br/>
            </w:r>
          </w:p>
          <w:p w14:paraId="61B218AF" w14:textId="77777777" w:rsidR="0036416A" w:rsidRDefault="0036416A" w:rsidP="0036416A">
            <w:pPr>
              <w:pStyle w:val="NoSpacing"/>
            </w:pPr>
          </w:p>
          <w:p w14:paraId="0869D9E1" w14:textId="77777777" w:rsidR="0036416A" w:rsidRPr="00BC6F10" w:rsidRDefault="0036416A" w:rsidP="0036416A">
            <w:pPr>
              <w:pStyle w:val="NoSpacing"/>
            </w:pPr>
            <w:r>
              <w:t>Administrative Data</w:t>
            </w:r>
          </w:p>
        </w:tc>
        <w:tc>
          <w:tcPr>
            <w:tcW w:w="0" w:type="auto"/>
          </w:tcPr>
          <w:p w14:paraId="5FD85139" w14:textId="77777777" w:rsidR="0036416A" w:rsidRDefault="0036416A" w:rsidP="0036416A">
            <w:pPr>
              <w:pStyle w:val="NoSpacing"/>
            </w:pPr>
            <w:r w:rsidRPr="00BC6F10">
              <w:t>a) ERD</w:t>
            </w:r>
            <w:r w:rsidRPr="00BC6F10">
              <w:br/>
              <w:t>b) BIDA, PMO</w:t>
            </w:r>
          </w:p>
          <w:p w14:paraId="08B0D24D" w14:textId="77777777" w:rsidR="0036416A" w:rsidRDefault="0036416A" w:rsidP="0036416A">
            <w:pPr>
              <w:pStyle w:val="NoSpacing"/>
            </w:pPr>
            <w:r>
              <w:t>c)BB, FID</w:t>
            </w:r>
          </w:p>
          <w:p w14:paraId="0280783E" w14:textId="77777777" w:rsidR="0036416A" w:rsidRPr="00BC6F10" w:rsidRDefault="0036416A" w:rsidP="0036416A">
            <w:pPr>
              <w:pStyle w:val="NoSpacing"/>
            </w:pPr>
            <w:r>
              <w:t>Administrative Data</w:t>
            </w:r>
          </w:p>
        </w:tc>
        <w:tc>
          <w:tcPr>
            <w:tcW w:w="0" w:type="auto"/>
          </w:tcPr>
          <w:p w14:paraId="159192B5"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recipient country</w:t>
            </w:r>
          </w:p>
          <w:p w14:paraId="0CB5D55E"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 donor country</w:t>
            </w:r>
          </w:p>
          <w:p w14:paraId="36C736B0"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flow: ODA, OOF, private</w:t>
            </w:r>
          </w:p>
          <w:p w14:paraId="1389D8FA" w14:textId="77777777" w:rsidR="0036416A" w:rsidRDefault="0036416A" w:rsidP="0036416A">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finance</w:t>
            </w:r>
          </w:p>
          <w:p w14:paraId="2A55BCE6" w14:textId="77777777" w:rsidR="0036416A" w:rsidRDefault="0036416A" w:rsidP="0036416A">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type of aid</w:t>
            </w:r>
          </w:p>
          <w:p w14:paraId="363C815F" w14:textId="77777777" w:rsidR="0036416A" w:rsidRDefault="0036416A" w:rsidP="0036416A">
            <w:pPr>
              <w:ind w:left="970" w:hanging="970"/>
              <w:jc w:val="both"/>
              <w:rPr>
                <w:color w:val="0070C0"/>
                <w:sz w:val="30"/>
                <w:szCs w:val="30"/>
              </w:rPr>
            </w:pPr>
          </w:p>
        </w:tc>
        <w:tc>
          <w:tcPr>
            <w:tcW w:w="0" w:type="auto"/>
          </w:tcPr>
          <w:p w14:paraId="4A3BEDBB" w14:textId="77777777" w:rsidR="0036416A" w:rsidRDefault="0036416A" w:rsidP="0036416A">
            <w:pPr>
              <w:ind w:left="970" w:hanging="970"/>
              <w:jc w:val="both"/>
              <w:rPr>
                <w:color w:val="0070C0"/>
                <w:sz w:val="30"/>
                <w:szCs w:val="30"/>
              </w:rPr>
            </w:pPr>
            <w:r w:rsidRPr="00BC6F10">
              <w:t>Annual</w:t>
            </w:r>
          </w:p>
        </w:tc>
        <w:tc>
          <w:tcPr>
            <w:tcW w:w="0" w:type="auto"/>
          </w:tcPr>
          <w:p w14:paraId="781BFF10" w14:textId="77777777" w:rsidR="0036416A" w:rsidRDefault="0036416A" w:rsidP="0036416A">
            <w:pPr>
              <w:ind w:left="970" w:hanging="970"/>
              <w:jc w:val="both"/>
              <w:rPr>
                <w:color w:val="0070C0"/>
                <w:sz w:val="30"/>
                <w:szCs w:val="30"/>
              </w:rPr>
            </w:pPr>
            <w:r>
              <w:t>Group 1</w:t>
            </w:r>
          </w:p>
        </w:tc>
        <w:tc>
          <w:tcPr>
            <w:tcW w:w="0" w:type="auto"/>
          </w:tcPr>
          <w:p w14:paraId="32F4C5E3" w14:textId="77777777" w:rsidR="0036416A" w:rsidRDefault="0036416A" w:rsidP="0036416A">
            <w:pPr>
              <w:pStyle w:val="NoSpacing"/>
            </w:pPr>
            <w:r>
              <w:t>1</w:t>
            </w:r>
            <w:r w:rsidRPr="00013ACB">
              <w:rPr>
                <w:vertAlign w:val="superscript"/>
              </w:rPr>
              <w:t>st</w:t>
            </w:r>
            <w:r>
              <w:t xml:space="preserve"> Round: </w:t>
            </w:r>
          </w:p>
          <w:p w14:paraId="73585DFE" w14:textId="77777777" w:rsidR="0036416A" w:rsidRDefault="0036416A" w:rsidP="0036416A">
            <w:pPr>
              <w:pStyle w:val="NoSpacing"/>
            </w:pPr>
            <w:r>
              <w:t>2015</w:t>
            </w:r>
          </w:p>
          <w:p w14:paraId="201AD2E2" w14:textId="77777777" w:rsidR="0036416A" w:rsidRDefault="0036416A" w:rsidP="0036416A">
            <w:pPr>
              <w:pStyle w:val="NoSpacing"/>
            </w:pPr>
            <w:r>
              <w:t>2</w:t>
            </w:r>
            <w:r w:rsidRPr="00013ACB">
              <w:rPr>
                <w:vertAlign w:val="superscript"/>
              </w:rPr>
              <w:t>nd</w:t>
            </w:r>
            <w:r>
              <w:t xml:space="preserve"> Round: </w:t>
            </w:r>
          </w:p>
          <w:p w14:paraId="4018FA73" w14:textId="77777777" w:rsidR="0036416A" w:rsidRPr="00027F58" w:rsidRDefault="0036416A" w:rsidP="0036416A">
            <w:pPr>
              <w:pStyle w:val="NoSpacing"/>
              <w:rPr>
                <w:bCs/>
              </w:rPr>
            </w:pPr>
            <w:r w:rsidRPr="00027F58">
              <w:rPr>
                <w:bCs/>
              </w:rPr>
              <w:t>September</w:t>
            </w:r>
            <w:r w:rsidRPr="00027F58">
              <w:br/>
            </w:r>
            <w:r w:rsidRPr="00027F58">
              <w:rPr>
                <w:bCs/>
              </w:rPr>
              <w:t>2019</w:t>
            </w:r>
          </w:p>
          <w:p w14:paraId="194CD928" w14:textId="77777777" w:rsidR="0036416A" w:rsidRDefault="0036416A" w:rsidP="0036416A">
            <w:pPr>
              <w:pStyle w:val="NoSpacing"/>
            </w:pPr>
          </w:p>
          <w:p w14:paraId="3433A308" w14:textId="77777777" w:rsidR="0036416A" w:rsidRDefault="0036416A" w:rsidP="0036416A">
            <w:pPr>
              <w:pStyle w:val="NoSpacing"/>
            </w:pPr>
            <w:r>
              <w:t>3</w:t>
            </w:r>
            <w:r w:rsidRPr="00013ACB">
              <w:rPr>
                <w:vertAlign w:val="superscript"/>
              </w:rPr>
              <w:t>rd</w:t>
            </w:r>
            <w:r>
              <w:t xml:space="preserve"> Round: </w:t>
            </w:r>
          </w:p>
          <w:p w14:paraId="3C023908" w14:textId="77777777" w:rsidR="0036416A" w:rsidRPr="00027F58" w:rsidRDefault="0036416A" w:rsidP="0036416A">
            <w:pPr>
              <w:pStyle w:val="NoSpacing"/>
              <w:rPr>
                <w:bCs/>
              </w:rPr>
            </w:pPr>
            <w:r w:rsidRPr="00027F58">
              <w:rPr>
                <w:bCs/>
              </w:rPr>
              <w:t>September</w:t>
            </w:r>
            <w:r w:rsidRPr="00027F58">
              <w:br/>
            </w:r>
            <w:r>
              <w:rPr>
                <w:bCs/>
              </w:rPr>
              <w:t>2020</w:t>
            </w:r>
          </w:p>
          <w:p w14:paraId="3C52BA8D" w14:textId="77777777" w:rsidR="0036416A" w:rsidRDefault="0036416A" w:rsidP="0036416A">
            <w:pPr>
              <w:pStyle w:val="NoSpacing"/>
            </w:pPr>
          </w:p>
          <w:p w14:paraId="4CCB9A79" w14:textId="77777777" w:rsidR="0036416A" w:rsidRDefault="0036416A" w:rsidP="0036416A">
            <w:pPr>
              <w:pStyle w:val="NoSpacing"/>
            </w:pPr>
            <w:r>
              <w:t>4</w:t>
            </w:r>
            <w:r w:rsidRPr="00013ACB">
              <w:rPr>
                <w:vertAlign w:val="superscript"/>
              </w:rPr>
              <w:t>th</w:t>
            </w:r>
            <w:r>
              <w:t xml:space="preserve"> Round: </w:t>
            </w:r>
          </w:p>
          <w:p w14:paraId="39F1F956" w14:textId="77777777" w:rsidR="0036416A" w:rsidRPr="00027F58" w:rsidRDefault="0036416A" w:rsidP="0036416A">
            <w:pPr>
              <w:pStyle w:val="NoSpacing"/>
              <w:rPr>
                <w:bCs/>
              </w:rPr>
            </w:pPr>
            <w:r w:rsidRPr="00027F58">
              <w:rPr>
                <w:bCs/>
              </w:rPr>
              <w:t>September</w:t>
            </w:r>
            <w:r w:rsidRPr="00027F58">
              <w:br/>
            </w:r>
            <w:r>
              <w:rPr>
                <w:bCs/>
              </w:rPr>
              <w:t>2021</w:t>
            </w:r>
          </w:p>
          <w:p w14:paraId="12F728DE" w14:textId="77777777" w:rsidR="0036416A" w:rsidRDefault="0036416A" w:rsidP="0036416A">
            <w:pPr>
              <w:pStyle w:val="NoSpacing"/>
            </w:pPr>
          </w:p>
          <w:p w14:paraId="2EE79136" w14:textId="77777777" w:rsidR="0036416A" w:rsidRDefault="0036416A" w:rsidP="0036416A">
            <w:pPr>
              <w:pStyle w:val="NoSpacing"/>
            </w:pPr>
            <w:r>
              <w:t>5</w:t>
            </w:r>
            <w:r w:rsidRPr="00013ACB">
              <w:rPr>
                <w:vertAlign w:val="superscript"/>
              </w:rPr>
              <w:t>th</w:t>
            </w:r>
            <w:r>
              <w:t xml:space="preserve"> Round: </w:t>
            </w:r>
          </w:p>
          <w:p w14:paraId="04BA7FD1" w14:textId="77777777" w:rsidR="0036416A" w:rsidRPr="00027F58" w:rsidRDefault="0036416A" w:rsidP="0036416A">
            <w:pPr>
              <w:pStyle w:val="NoSpacing"/>
              <w:rPr>
                <w:bCs/>
              </w:rPr>
            </w:pPr>
            <w:r w:rsidRPr="00027F58">
              <w:rPr>
                <w:bCs/>
              </w:rPr>
              <w:lastRenderedPageBreak/>
              <w:t>September</w:t>
            </w:r>
            <w:r w:rsidRPr="00027F58">
              <w:br/>
            </w:r>
            <w:r>
              <w:rPr>
                <w:bCs/>
              </w:rPr>
              <w:t>2022</w:t>
            </w:r>
          </w:p>
          <w:p w14:paraId="65150ABC" w14:textId="156C0682" w:rsidR="0036416A" w:rsidRDefault="0036416A" w:rsidP="0036416A">
            <w:pPr>
              <w:pStyle w:val="NoSpacing"/>
            </w:pPr>
          </w:p>
        </w:tc>
        <w:tc>
          <w:tcPr>
            <w:tcW w:w="0" w:type="auto"/>
          </w:tcPr>
          <w:p w14:paraId="7349CD4C" w14:textId="77777777" w:rsidR="0036416A" w:rsidRDefault="0036416A" w:rsidP="0036416A">
            <w:pPr>
              <w:ind w:left="970" w:hanging="970"/>
              <w:jc w:val="both"/>
              <w:rPr>
                <w:color w:val="0070C0"/>
                <w:sz w:val="30"/>
                <w:szCs w:val="30"/>
              </w:rPr>
            </w:pPr>
          </w:p>
        </w:tc>
      </w:tr>
      <w:tr w:rsidR="0025292C" w14:paraId="742DA2F1" w14:textId="77777777" w:rsidTr="00D52BCB">
        <w:tc>
          <w:tcPr>
            <w:tcW w:w="0" w:type="auto"/>
            <w:gridSpan w:val="13"/>
          </w:tcPr>
          <w:p w14:paraId="3EB300AC" w14:textId="77777777" w:rsidR="0025292C" w:rsidRDefault="0025292C" w:rsidP="0036416A">
            <w:pPr>
              <w:jc w:val="both"/>
              <w:rPr>
                <w:color w:val="0070C0"/>
                <w:sz w:val="48"/>
                <w:szCs w:val="48"/>
              </w:rPr>
            </w:pPr>
            <w:r>
              <w:rPr>
                <w:color w:val="0070C0"/>
                <w:sz w:val="30"/>
                <w:szCs w:val="30"/>
              </w:rPr>
              <w:lastRenderedPageBreak/>
              <w:t xml:space="preserve">Target </w:t>
            </w:r>
            <w:r w:rsidRPr="00C97C3C">
              <w:rPr>
                <w:color w:val="0070C0"/>
                <w:sz w:val="30"/>
                <w:szCs w:val="30"/>
              </w:rPr>
              <w:t>10.c By 2030, reduce to less than 3 per cent the transaction costs of migrant remittances and eliminate remittance corridors with costs higher than 5 per cent</w:t>
            </w:r>
          </w:p>
        </w:tc>
      </w:tr>
      <w:tr w:rsidR="0036416A" w14:paraId="37BA05DA" w14:textId="77777777" w:rsidTr="00A64F0D">
        <w:tc>
          <w:tcPr>
            <w:tcW w:w="0" w:type="auto"/>
          </w:tcPr>
          <w:p w14:paraId="15D0FD4D" w14:textId="77777777" w:rsidR="0036416A" w:rsidRPr="003E7D26" w:rsidRDefault="0036416A" w:rsidP="0036416A">
            <w:pPr>
              <w:pStyle w:val="NoSpacing"/>
            </w:pPr>
            <w:r w:rsidRPr="003E7D26">
              <w:t>10.c.1 Remittance costs as a proportion of the amount remitted</w:t>
            </w:r>
          </w:p>
        </w:tc>
        <w:tc>
          <w:tcPr>
            <w:tcW w:w="0" w:type="auto"/>
          </w:tcPr>
          <w:p w14:paraId="0D922F4B" w14:textId="77777777" w:rsidR="0036416A" w:rsidRPr="00221F5D" w:rsidRDefault="0036416A" w:rsidP="0036416A">
            <w:pPr>
              <w:pStyle w:val="NoSpacing"/>
            </w:pPr>
            <w:r w:rsidRPr="00221F5D">
              <w:t>World Bank</w:t>
            </w:r>
          </w:p>
          <w:p w14:paraId="3C2D0C30" w14:textId="77777777" w:rsidR="0036416A" w:rsidRDefault="0036416A" w:rsidP="0036416A">
            <w:pPr>
              <w:ind w:left="970" w:hanging="970"/>
              <w:jc w:val="both"/>
              <w:rPr>
                <w:color w:val="0070C0"/>
                <w:sz w:val="30"/>
                <w:szCs w:val="30"/>
              </w:rPr>
            </w:pPr>
          </w:p>
        </w:tc>
        <w:tc>
          <w:tcPr>
            <w:tcW w:w="0" w:type="auto"/>
          </w:tcPr>
          <w:p w14:paraId="27397344" w14:textId="77777777" w:rsidR="0036416A" w:rsidRDefault="0036416A" w:rsidP="0036416A">
            <w:pPr>
              <w:ind w:left="970" w:hanging="970"/>
              <w:jc w:val="both"/>
              <w:rPr>
                <w:color w:val="0070C0"/>
                <w:sz w:val="30"/>
                <w:szCs w:val="30"/>
              </w:rPr>
            </w:pPr>
            <w:r>
              <w:t>Tier I</w:t>
            </w:r>
          </w:p>
        </w:tc>
        <w:tc>
          <w:tcPr>
            <w:tcW w:w="0" w:type="auto"/>
          </w:tcPr>
          <w:p w14:paraId="6207CBC5" w14:textId="77777777" w:rsidR="0036416A" w:rsidRDefault="0036416A" w:rsidP="0036416A">
            <w:pPr>
              <w:pStyle w:val="NoSpacing"/>
            </w:pPr>
            <w:r>
              <w:t>Definition:</w:t>
            </w:r>
          </w:p>
          <w:p w14:paraId="60213D20" w14:textId="77777777" w:rsidR="0036416A" w:rsidRDefault="0036416A" w:rsidP="0036416A">
            <w:pPr>
              <w:pStyle w:val="NoSpacing"/>
            </w:pPr>
            <w:r>
              <w:t>The target includes two components. The first component is that transaction costs for migrant remittances should be 3% or less by 2030. This transaction cost should be intended as “Global average total cost of sending $200 (or equivalent in local sending currency) and expressed as % of amount sent”. This indicator is readily available and published on a quarterly basis by the World Bank in the Remittance Prices Worldwide database, which covers 365 country corridors, from 48 sending to 105 receiving countries. The second component is to eliminate corridor where cost is 5% or higher. This should be intended in the sense that it should be possible for remittance senders to send money to the beneficiary for an average cost of 5% or less of the amount sent. For this purpose, it should suffice that in each corridor there are at least 3 services, meeting a defined set of service requirements (including service quality, reach etc.), for which the average is 5% or less.</w:t>
            </w:r>
          </w:p>
          <w:p w14:paraId="7632D86D" w14:textId="77777777" w:rsidR="0036416A" w:rsidRDefault="0036416A" w:rsidP="0036416A">
            <w:pPr>
              <w:pStyle w:val="NoSpacing"/>
            </w:pPr>
          </w:p>
          <w:p w14:paraId="17A5CBB4" w14:textId="77777777" w:rsidR="0036416A" w:rsidRDefault="0036416A" w:rsidP="0036416A">
            <w:pPr>
              <w:pStyle w:val="NoSpacing"/>
            </w:pPr>
            <w:r>
              <w:t>Concepts:</w:t>
            </w:r>
          </w:p>
          <w:p w14:paraId="4E8486D7" w14:textId="77777777" w:rsidR="0036416A" w:rsidRDefault="0036416A" w:rsidP="0036416A">
            <w:pPr>
              <w:pStyle w:val="NoSpacing"/>
            </w:pPr>
            <w:r>
              <w:t>International remittance transfer. A cross-border person-to-person payment of relatively low value. The transfers are typically recurrent payments by migrant workers (who send money to their families in their home country every month). In the report, the term “remittance transfer” is used for simplicity (ie it is assumed the transfer is international).</w:t>
            </w:r>
          </w:p>
          <w:p w14:paraId="4D35C6C3" w14:textId="77777777" w:rsidR="0036416A" w:rsidRDefault="0036416A" w:rsidP="0036416A">
            <w:pPr>
              <w:pStyle w:val="NoSpacing"/>
            </w:pPr>
          </w:p>
          <w:p w14:paraId="23170CD2" w14:textId="77777777" w:rsidR="0036416A" w:rsidRDefault="0036416A" w:rsidP="0036416A">
            <w:pPr>
              <w:pStyle w:val="NoSpacing"/>
            </w:pPr>
            <w:r>
              <w:t>Remittance service. A service that enables end users to send and/or receive remittance transfers.</w:t>
            </w:r>
          </w:p>
          <w:p w14:paraId="46538FEF" w14:textId="77777777" w:rsidR="0036416A" w:rsidRDefault="0036416A" w:rsidP="0036416A">
            <w:pPr>
              <w:pStyle w:val="NoSpacing"/>
            </w:pPr>
          </w:p>
          <w:p w14:paraId="0EC58DC8" w14:textId="77777777" w:rsidR="0036416A" w:rsidRDefault="0036416A" w:rsidP="0036416A">
            <w:pPr>
              <w:pStyle w:val="NoSpacing"/>
            </w:pPr>
            <w:r>
              <w:t>Remittance service provider (RSP). An entity, operating as a business, that provides a remittance service for a price to end users, either directly or through agents. These include both banks and money transfer operators, as defined below.</w:t>
            </w:r>
          </w:p>
          <w:p w14:paraId="4BDCEFD9" w14:textId="77777777" w:rsidR="0036416A" w:rsidRDefault="0036416A" w:rsidP="0036416A">
            <w:pPr>
              <w:pStyle w:val="NoSpacing"/>
            </w:pPr>
          </w:p>
          <w:p w14:paraId="75EA2887" w14:textId="77777777" w:rsidR="0036416A" w:rsidRDefault="0036416A" w:rsidP="0036416A">
            <w:pPr>
              <w:pStyle w:val="NoSpacing"/>
            </w:pPr>
            <w:r>
              <w:t>Money transfer operator (MTO). A non-deposit taking payment service provider where the service involves payment per transfer (or possibly payment for a set or series of transfers) by the sender to the payment service provider (for example, by cash or bank transfer) – i.e. as opposed to a situation where the payment service provider debits an account held by the sender at the payment service provider. MTOs may include both traditional players focusing on delivering funds in cash and innovative players which may adopt a variety of different business models for the delivery of the transactions.</w:t>
            </w:r>
          </w:p>
          <w:p w14:paraId="3321B4EF" w14:textId="77777777" w:rsidR="0036416A" w:rsidRDefault="0036416A" w:rsidP="0036416A">
            <w:pPr>
              <w:pStyle w:val="NoSpacing"/>
            </w:pPr>
            <w:r>
              <w:t>Price. The total cost to the end users of sending a remittance transfer (including the fees charged to the sender and the margin by which the exchange rate charged to the end users is above the current interbank exchange rate).</w:t>
            </w:r>
          </w:p>
          <w:p w14:paraId="2F271243" w14:textId="77777777" w:rsidR="0036416A" w:rsidRDefault="0036416A" w:rsidP="0036416A">
            <w:pPr>
              <w:pStyle w:val="NoSpacing"/>
            </w:pPr>
          </w:p>
          <w:p w14:paraId="08F45B3A" w14:textId="77777777" w:rsidR="0036416A" w:rsidRDefault="0036416A" w:rsidP="0036416A">
            <w:pPr>
              <w:pStyle w:val="NoSpacing"/>
            </w:pPr>
            <w:r>
              <w:t>Comments and limitations:</w:t>
            </w:r>
          </w:p>
          <w:p w14:paraId="215C6D1B" w14:textId="77777777" w:rsidR="0036416A" w:rsidRDefault="0036416A" w:rsidP="0036416A">
            <w:pPr>
              <w:pStyle w:val="NoSpacing"/>
            </w:pPr>
            <w:r>
              <w:t>NA</w:t>
            </w:r>
          </w:p>
          <w:p w14:paraId="71D25EA7" w14:textId="77777777" w:rsidR="0036416A" w:rsidRDefault="0036416A" w:rsidP="0036416A">
            <w:pPr>
              <w:pStyle w:val="NoSpacing"/>
            </w:pPr>
          </w:p>
          <w:p w14:paraId="2E860F33" w14:textId="77777777" w:rsidR="0036416A" w:rsidRDefault="0036416A" w:rsidP="0036416A">
            <w:pPr>
              <w:pStyle w:val="NoSpacing"/>
            </w:pPr>
            <w:r>
              <w:lastRenderedPageBreak/>
              <w:t>Computation Method:</w:t>
            </w:r>
          </w:p>
          <w:p w14:paraId="6801EBF8" w14:textId="77777777" w:rsidR="0036416A" w:rsidRDefault="0036416A" w:rsidP="0036416A">
            <w:pPr>
              <w:pStyle w:val="NoSpacing"/>
            </w:pPr>
            <w:r>
              <w:t>Data is collected through a mystery shopping exercise of remittance service providers (RSPs). A sample of RSPs including at least 80% of the market share in each corridor are included in the mystery shopping exercise. The average cost is calculated as the simple average of total costs (including both fee and exchange rate margin) quoted by each RSP operating in a corridor.</w:t>
            </w:r>
          </w:p>
          <w:p w14:paraId="2CC67E22" w14:textId="77777777" w:rsidR="0036416A" w:rsidRDefault="0036416A" w:rsidP="0036416A">
            <w:pPr>
              <w:pStyle w:val="NoSpacing"/>
            </w:pPr>
          </w:p>
          <w:p w14:paraId="55E1AD8D" w14:textId="77777777" w:rsidR="0036416A" w:rsidRDefault="0036416A" w:rsidP="0036416A">
            <w:pPr>
              <w:pStyle w:val="NoSpacing"/>
            </w:pPr>
            <w:r>
              <w:t xml:space="preserve">In 2016, introduced the Smart Remitter Target (SmarRT) to monitor remittance transactions at a more granular level. It aims to reflect the cost that a savvy consumer with access to sufficiently complete information would pay to transfer remittances in each corridor. SmaRT is calculated as the simple average as the three cheapest services for sending the equivalent of $200 in each corridor and is expressed in terms of the percentage of the total amount sent. In addition to transparency, services must meet additional criteria to be included in SmaRT, including transaction speed (5 days or less) and accessibility (determined by geographic proximity of branches for services that require physical presence, or access to any technology or device necessary to use the service, such as a bank account, mobile phone or the internet. </w:t>
            </w:r>
          </w:p>
          <w:p w14:paraId="4DCBD3D6" w14:textId="77777777" w:rsidR="0036416A" w:rsidRDefault="0036416A" w:rsidP="0036416A">
            <w:pPr>
              <w:pStyle w:val="NoSpacing"/>
            </w:pPr>
          </w:p>
          <w:p w14:paraId="1F8A9BE0" w14:textId="77777777" w:rsidR="0036416A" w:rsidRDefault="0036416A" w:rsidP="0036416A">
            <w:pPr>
              <w:pStyle w:val="NoSpacing"/>
            </w:pPr>
            <w:r>
              <w:t xml:space="preserve">For additional information on the methodology of SmaRT, please see: https://remittanceprices.worldbank.org/sites/default/files/smart_methodology.pdf </w:t>
            </w:r>
          </w:p>
          <w:p w14:paraId="238A9FC4" w14:textId="77777777" w:rsidR="0036416A" w:rsidRDefault="0036416A" w:rsidP="0036416A">
            <w:pPr>
              <w:pStyle w:val="NoSpacing"/>
            </w:pPr>
          </w:p>
          <w:p w14:paraId="181FEF4F" w14:textId="77777777" w:rsidR="0036416A" w:rsidRDefault="0036416A" w:rsidP="0036416A">
            <w:pPr>
              <w:pStyle w:val="NoSpacing"/>
            </w:pPr>
            <w:r>
              <w:t>Target 10.c.1 includes two components, which require two separate calculations:</w:t>
            </w:r>
          </w:p>
          <w:p w14:paraId="1C2C59A8" w14:textId="77777777" w:rsidR="0036416A" w:rsidRDefault="0036416A" w:rsidP="0036416A">
            <w:pPr>
              <w:pStyle w:val="NoSpacing"/>
            </w:pPr>
            <w:r>
              <w:t>1.</w:t>
            </w:r>
            <w:r>
              <w:tab/>
              <w:t>Global average of remittance costs to be reduced to less than 3 percent: this is calculated as the simple average of the total cost for all services included in the RPW database</w:t>
            </w:r>
          </w:p>
          <w:p w14:paraId="6C783F18" w14:textId="77777777" w:rsidR="0036416A" w:rsidRDefault="0036416A" w:rsidP="0036416A">
            <w:pPr>
              <w:pStyle w:val="NoSpacing"/>
            </w:pPr>
            <w:r>
              <w:t>2.</w:t>
            </w:r>
            <w:r>
              <w:tab/>
              <w:t>Enabling remittance senders in all corridors to send money to their receivers at a cost of 5 percent or less: this is calculated as the average cost of the three cheapest available services in each corridor which meet a defined set of minimum requirements, as described in the World Bank SmaRT methodology. The target is that the SmaRT average for all corridors should be 5 percent or lower.</w:t>
            </w:r>
          </w:p>
        </w:tc>
        <w:tc>
          <w:tcPr>
            <w:tcW w:w="0" w:type="auto"/>
          </w:tcPr>
          <w:p w14:paraId="5C197D58" w14:textId="77777777" w:rsidR="0036416A" w:rsidRPr="00573631" w:rsidRDefault="0036416A" w:rsidP="0036416A">
            <w:pPr>
              <w:pStyle w:val="NoSpacing"/>
              <w:rPr>
                <w:lang w:eastAsia="en-GB"/>
              </w:rPr>
            </w:pPr>
            <w:r>
              <w:rPr>
                <w:lang w:eastAsia="en-GB"/>
              </w:rPr>
              <w:lastRenderedPageBreak/>
              <w:t xml:space="preserve">Mystery shopping conducted quarterly. </w:t>
            </w:r>
          </w:p>
          <w:p w14:paraId="58EA7C19" w14:textId="77777777" w:rsidR="0036416A" w:rsidRDefault="0036416A" w:rsidP="0036416A">
            <w:pPr>
              <w:pStyle w:val="NoSpacing"/>
            </w:pPr>
          </w:p>
        </w:tc>
        <w:tc>
          <w:tcPr>
            <w:tcW w:w="0" w:type="auto"/>
          </w:tcPr>
          <w:p w14:paraId="36A7B0D6" w14:textId="77777777" w:rsidR="0036416A" w:rsidRDefault="0036416A" w:rsidP="0036416A">
            <w:pPr>
              <w:pStyle w:val="NoSpacing"/>
              <w:rPr>
                <w:lang w:eastAsia="en-GB"/>
              </w:rPr>
            </w:pPr>
            <w:r w:rsidRPr="00D22F17">
              <w:rPr>
                <w:lang w:eastAsia="en-GB"/>
              </w:rPr>
              <w:t>Data</w:t>
            </w:r>
            <w:r>
              <w:rPr>
                <w:lang w:eastAsia="en-GB"/>
              </w:rPr>
              <w:t xml:space="preserve"> are collected by mystery shopping from remittance service providers. </w:t>
            </w:r>
          </w:p>
          <w:p w14:paraId="5A37CED8" w14:textId="77777777" w:rsidR="0036416A" w:rsidRDefault="0036416A" w:rsidP="0036416A">
            <w:pPr>
              <w:pStyle w:val="NoSpacing"/>
            </w:pPr>
          </w:p>
        </w:tc>
        <w:tc>
          <w:tcPr>
            <w:tcW w:w="0" w:type="auto"/>
          </w:tcPr>
          <w:p w14:paraId="2A070ACA" w14:textId="77777777" w:rsidR="0036416A" w:rsidRDefault="0036416A" w:rsidP="0036416A">
            <w:pPr>
              <w:pStyle w:val="NoSpacing"/>
            </w:pPr>
            <w:r>
              <w:t>BB</w:t>
            </w:r>
          </w:p>
          <w:p w14:paraId="6B35A472" w14:textId="77777777" w:rsidR="0036416A" w:rsidRDefault="0036416A" w:rsidP="0036416A">
            <w:pPr>
              <w:pStyle w:val="NoSpacing"/>
            </w:pPr>
            <w:r>
              <w:t>Administrative Data</w:t>
            </w:r>
          </w:p>
        </w:tc>
        <w:tc>
          <w:tcPr>
            <w:tcW w:w="0" w:type="auto"/>
          </w:tcPr>
          <w:p w14:paraId="03F2AB0B" w14:textId="77777777" w:rsidR="0036416A" w:rsidRDefault="0036416A" w:rsidP="0036416A">
            <w:pPr>
              <w:pStyle w:val="NoSpacing"/>
            </w:pPr>
            <w:r>
              <w:t>BB, FID</w:t>
            </w:r>
          </w:p>
          <w:p w14:paraId="0F9881C4" w14:textId="77777777" w:rsidR="0036416A" w:rsidRDefault="0036416A" w:rsidP="0036416A">
            <w:pPr>
              <w:pStyle w:val="NoSpacing"/>
              <w:rPr>
                <w:color w:val="0070C0"/>
                <w:sz w:val="30"/>
                <w:szCs w:val="30"/>
              </w:rPr>
            </w:pPr>
            <w:r>
              <w:t>Administrative Data</w:t>
            </w:r>
          </w:p>
        </w:tc>
        <w:tc>
          <w:tcPr>
            <w:tcW w:w="0" w:type="auto"/>
          </w:tcPr>
          <w:p w14:paraId="68B6FB97" w14:textId="77777777" w:rsidR="0036416A" w:rsidRDefault="0036416A" w:rsidP="0036416A">
            <w:pPr>
              <w:pStyle w:val="ListParagraph"/>
              <w:numPr>
                <w:ilvl w:val="0"/>
                <w:numId w:val="52"/>
              </w:numPr>
              <w:spacing w:after="160" w:line="256" w:lineRule="auto"/>
              <w:ind w:left="160" w:hanging="160"/>
              <w:rPr>
                <w:rFonts w:ascii="Tw Cen MT Condensed" w:hAnsi="Tw Cen MT Condensed"/>
                <w:sz w:val="18"/>
                <w:szCs w:val="18"/>
              </w:rPr>
            </w:pPr>
            <w:r>
              <w:rPr>
                <w:rFonts w:ascii="Tw Cen MT Condensed" w:hAnsi="Tw Cen MT Condensed"/>
                <w:sz w:val="18"/>
                <w:szCs w:val="18"/>
              </w:rPr>
              <w:t>type of remittance service provider: commercial banks, money transfer operators, post offices, mobile operators</w:t>
            </w:r>
          </w:p>
          <w:p w14:paraId="4EDEC352" w14:textId="77777777" w:rsidR="0036416A" w:rsidRDefault="0036416A" w:rsidP="0036416A">
            <w:pPr>
              <w:pStyle w:val="ListParagraph"/>
              <w:numPr>
                <w:ilvl w:val="0"/>
                <w:numId w:val="52"/>
              </w:numPr>
              <w:spacing w:after="160" w:line="256" w:lineRule="auto"/>
              <w:ind w:left="160" w:hanging="160"/>
              <w:rPr>
                <w:rFonts w:ascii="Tw Cen MT Condensed" w:hAnsi="Tw Cen MT Condensed"/>
                <w:sz w:val="18"/>
                <w:szCs w:val="18"/>
              </w:rPr>
            </w:pPr>
            <w:r>
              <w:rPr>
                <w:rFonts w:ascii="Tw Cen MT Condensed" w:hAnsi="Tw Cen MT Condensed"/>
                <w:sz w:val="18"/>
                <w:szCs w:val="18"/>
              </w:rPr>
              <w:t>type of instrument to fund the transaction: cash, bank account, debit/credit card, mobile money</w:t>
            </w:r>
          </w:p>
          <w:p w14:paraId="52F7F71B" w14:textId="77777777" w:rsidR="0036416A" w:rsidRPr="00B758C0" w:rsidRDefault="0036416A" w:rsidP="0036416A">
            <w:pPr>
              <w:pStyle w:val="ListParagraph"/>
              <w:numPr>
                <w:ilvl w:val="0"/>
                <w:numId w:val="52"/>
              </w:numPr>
              <w:spacing w:after="160" w:line="256" w:lineRule="auto"/>
              <w:ind w:left="160" w:hanging="160"/>
              <w:rPr>
                <w:rFonts w:ascii="Tw Cen MT Condensed" w:hAnsi="Tw Cen MT Condensed"/>
                <w:sz w:val="18"/>
                <w:szCs w:val="18"/>
              </w:rPr>
            </w:pPr>
            <w:r w:rsidRPr="00B758C0">
              <w:rPr>
                <w:rFonts w:ascii="Tw Cen MT Condensed" w:hAnsi="Tw Cen MT Condensed"/>
                <w:sz w:val="18"/>
                <w:szCs w:val="18"/>
              </w:rPr>
              <w:t>type of instrument to disburse the funds: cash, bank account (same bank), bank account (different bank), mobile money</w:t>
            </w:r>
          </w:p>
          <w:p w14:paraId="0DCFAA3E" w14:textId="77777777" w:rsidR="0036416A" w:rsidRPr="00B758C0" w:rsidRDefault="0036416A" w:rsidP="0036416A"/>
        </w:tc>
        <w:tc>
          <w:tcPr>
            <w:tcW w:w="0" w:type="auto"/>
          </w:tcPr>
          <w:p w14:paraId="72C2C16C" w14:textId="77777777" w:rsidR="0036416A" w:rsidRDefault="0036416A" w:rsidP="0036416A">
            <w:pPr>
              <w:ind w:left="970" w:hanging="970"/>
              <w:jc w:val="both"/>
              <w:rPr>
                <w:color w:val="0070C0"/>
                <w:sz w:val="30"/>
                <w:szCs w:val="30"/>
              </w:rPr>
            </w:pPr>
            <w:r>
              <w:t>Bi-a</w:t>
            </w:r>
            <w:r w:rsidRPr="00BC6F10">
              <w:t>nnual</w:t>
            </w:r>
          </w:p>
        </w:tc>
        <w:tc>
          <w:tcPr>
            <w:tcW w:w="0" w:type="auto"/>
          </w:tcPr>
          <w:p w14:paraId="34832F37" w14:textId="77777777" w:rsidR="0036416A" w:rsidRDefault="0036416A" w:rsidP="0036416A">
            <w:pPr>
              <w:ind w:left="970" w:hanging="970"/>
              <w:jc w:val="both"/>
              <w:rPr>
                <w:color w:val="0070C0"/>
                <w:sz w:val="30"/>
                <w:szCs w:val="30"/>
              </w:rPr>
            </w:pPr>
            <w:r>
              <w:t>Group 1</w:t>
            </w:r>
          </w:p>
        </w:tc>
        <w:tc>
          <w:tcPr>
            <w:tcW w:w="0" w:type="auto"/>
          </w:tcPr>
          <w:p w14:paraId="0B2098F6" w14:textId="77777777" w:rsidR="0036416A" w:rsidRDefault="0036416A" w:rsidP="0036416A">
            <w:pPr>
              <w:pStyle w:val="NoSpacing"/>
            </w:pPr>
            <w:r>
              <w:t>1</w:t>
            </w:r>
            <w:r w:rsidRPr="00013ACB">
              <w:rPr>
                <w:vertAlign w:val="superscript"/>
              </w:rPr>
              <w:t>st</w:t>
            </w:r>
            <w:r>
              <w:t xml:space="preserve"> Round: 2015</w:t>
            </w:r>
          </w:p>
          <w:p w14:paraId="7C98C04C" w14:textId="77777777" w:rsidR="0036416A" w:rsidRDefault="0036416A" w:rsidP="0036416A">
            <w:pPr>
              <w:pStyle w:val="NoSpacing"/>
            </w:pPr>
          </w:p>
          <w:p w14:paraId="0B1626E3" w14:textId="77777777" w:rsidR="0036416A" w:rsidRDefault="0036416A" w:rsidP="0036416A">
            <w:pPr>
              <w:pStyle w:val="NoSpacing"/>
            </w:pPr>
            <w:r>
              <w:t>2</w:t>
            </w:r>
            <w:r w:rsidRPr="00013ACB">
              <w:rPr>
                <w:vertAlign w:val="superscript"/>
              </w:rPr>
              <w:t>nd</w:t>
            </w:r>
            <w:r>
              <w:t xml:space="preserve"> Round: </w:t>
            </w:r>
          </w:p>
          <w:p w14:paraId="6BDE8EEE" w14:textId="77777777" w:rsidR="0036416A" w:rsidRPr="00027F58" w:rsidRDefault="0036416A" w:rsidP="0036416A">
            <w:pPr>
              <w:pStyle w:val="NoSpacing"/>
              <w:rPr>
                <w:bCs/>
              </w:rPr>
            </w:pPr>
            <w:r w:rsidRPr="00027F58">
              <w:rPr>
                <w:bCs/>
              </w:rPr>
              <w:t>August, 2019</w:t>
            </w:r>
          </w:p>
          <w:p w14:paraId="541E30B4" w14:textId="77777777" w:rsidR="0036416A" w:rsidRDefault="0036416A" w:rsidP="0036416A">
            <w:pPr>
              <w:pStyle w:val="NoSpacing"/>
            </w:pPr>
          </w:p>
          <w:p w14:paraId="253F4721" w14:textId="77777777" w:rsidR="0036416A" w:rsidRDefault="0036416A" w:rsidP="0036416A">
            <w:pPr>
              <w:pStyle w:val="NoSpacing"/>
            </w:pPr>
            <w:r>
              <w:t>3</w:t>
            </w:r>
            <w:r w:rsidRPr="00013ACB">
              <w:rPr>
                <w:vertAlign w:val="superscript"/>
              </w:rPr>
              <w:t>rd</w:t>
            </w:r>
            <w:r>
              <w:t xml:space="preserve"> Round: </w:t>
            </w:r>
          </w:p>
          <w:p w14:paraId="07987962" w14:textId="77777777" w:rsidR="0036416A" w:rsidRPr="00027F58" w:rsidRDefault="0036416A" w:rsidP="0036416A">
            <w:pPr>
              <w:pStyle w:val="NoSpacing"/>
              <w:rPr>
                <w:bCs/>
              </w:rPr>
            </w:pPr>
            <w:r>
              <w:rPr>
                <w:bCs/>
              </w:rPr>
              <w:t>August, 2021</w:t>
            </w:r>
          </w:p>
          <w:p w14:paraId="7F756782" w14:textId="77777777" w:rsidR="0036416A" w:rsidRDefault="0036416A" w:rsidP="0036416A">
            <w:pPr>
              <w:pStyle w:val="NoSpacing"/>
            </w:pPr>
          </w:p>
          <w:p w14:paraId="5610EE4C" w14:textId="77777777" w:rsidR="0036416A" w:rsidRDefault="0036416A" w:rsidP="0036416A">
            <w:pPr>
              <w:pStyle w:val="NoSpacing"/>
            </w:pPr>
            <w:r>
              <w:t>4</w:t>
            </w:r>
            <w:r w:rsidRPr="00013ACB">
              <w:rPr>
                <w:vertAlign w:val="superscript"/>
              </w:rPr>
              <w:t>th</w:t>
            </w:r>
            <w:r>
              <w:t xml:space="preserve"> Round: </w:t>
            </w:r>
          </w:p>
          <w:p w14:paraId="6292AE0D" w14:textId="77777777" w:rsidR="0036416A" w:rsidRPr="00027F58" w:rsidRDefault="0036416A" w:rsidP="0036416A">
            <w:pPr>
              <w:pStyle w:val="NoSpacing"/>
              <w:rPr>
                <w:bCs/>
              </w:rPr>
            </w:pPr>
            <w:r>
              <w:rPr>
                <w:bCs/>
              </w:rPr>
              <w:t>August, 2023</w:t>
            </w:r>
          </w:p>
          <w:p w14:paraId="302C1DC3" w14:textId="77777777" w:rsidR="0036416A" w:rsidRDefault="0036416A" w:rsidP="0036416A">
            <w:pPr>
              <w:pStyle w:val="NoSpacing"/>
            </w:pPr>
          </w:p>
          <w:p w14:paraId="277E910A" w14:textId="77777777" w:rsidR="0036416A" w:rsidRDefault="0036416A" w:rsidP="0036416A">
            <w:pPr>
              <w:pStyle w:val="NoSpacing"/>
            </w:pPr>
            <w:r>
              <w:t>5</w:t>
            </w:r>
            <w:r w:rsidRPr="00013ACB">
              <w:rPr>
                <w:vertAlign w:val="superscript"/>
              </w:rPr>
              <w:t>th</w:t>
            </w:r>
            <w:r>
              <w:t xml:space="preserve"> Round: </w:t>
            </w:r>
          </w:p>
          <w:p w14:paraId="3D8F063F" w14:textId="77777777" w:rsidR="0036416A" w:rsidRPr="00027F58" w:rsidRDefault="0036416A" w:rsidP="0036416A">
            <w:pPr>
              <w:pStyle w:val="NoSpacing"/>
              <w:rPr>
                <w:bCs/>
              </w:rPr>
            </w:pPr>
            <w:r>
              <w:rPr>
                <w:bCs/>
              </w:rPr>
              <w:t>August, 2025</w:t>
            </w:r>
          </w:p>
          <w:p w14:paraId="27B728E0" w14:textId="4ADF608F" w:rsidR="0036416A" w:rsidRDefault="0036416A" w:rsidP="0036416A">
            <w:pPr>
              <w:pStyle w:val="NoSpacing"/>
            </w:pPr>
          </w:p>
        </w:tc>
        <w:tc>
          <w:tcPr>
            <w:tcW w:w="0" w:type="auto"/>
          </w:tcPr>
          <w:p w14:paraId="38A7CF53" w14:textId="77777777" w:rsidR="0036416A" w:rsidRDefault="0036416A" w:rsidP="0036416A">
            <w:pPr>
              <w:pStyle w:val="NoSpacing"/>
            </w:pPr>
            <w:r>
              <w:t>Data availability reviewed in Oct. 2019</w:t>
            </w:r>
          </w:p>
          <w:p w14:paraId="18C9749A" w14:textId="77777777" w:rsidR="0036416A" w:rsidRDefault="0036416A" w:rsidP="0036416A">
            <w:pPr>
              <w:pStyle w:val="NoSpacing"/>
            </w:pPr>
            <w:r>
              <w:t>(classified as Tier I)</w:t>
            </w:r>
          </w:p>
          <w:p w14:paraId="038AFC6F" w14:textId="77777777" w:rsidR="0036416A" w:rsidRDefault="0036416A" w:rsidP="0036416A">
            <w:pPr>
              <w:pStyle w:val="NoSpacing"/>
            </w:pPr>
          </w:p>
          <w:p w14:paraId="0602E28E" w14:textId="77777777" w:rsidR="0036416A" w:rsidRDefault="0036416A" w:rsidP="0036416A">
            <w:pPr>
              <w:pStyle w:val="NoSpacing"/>
            </w:pPr>
            <w:r>
              <w:t>Reviewed at 6th IAEG-SDG meeting (classified as Tier II)</w:t>
            </w:r>
          </w:p>
        </w:tc>
      </w:tr>
    </w:tbl>
    <w:p w14:paraId="767F52BC" w14:textId="77777777" w:rsidR="0095033B" w:rsidRDefault="0095033B" w:rsidP="001C5F7A">
      <w:pPr>
        <w:jc w:val="both"/>
        <w:rPr>
          <w:color w:val="0070C0"/>
          <w:sz w:val="48"/>
          <w:szCs w:val="48"/>
        </w:rPr>
      </w:pPr>
    </w:p>
    <w:p w14:paraId="0D95EEA3" w14:textId="77777777" w:rsidR="0095033B" w:rsidRPr="002436FF" w:rsidRDefault="0095033B" w:rsidP="001C5F7A">
      <w:pPr>
        <w:jc w:val="both"/>
        <w:rPr>
          <w:b/>
          <w:bCs/>
          <w:color w:val="0070C0"/>
          <w:sz w:val="48"/>
          <w:szCs w:val="48"/>
        </w:rPr>
      </w:pPr>
    </w:p>
    <w:p w14:paraId="4BF08BE7" w14:textId="77777777" w:rsidR="0095033B" w:rsidRDefault="0095033B" w:rsidP="001C5F7A">
      <w:pPr>
        <w:jc w:val="both"/>
        <w:rPr>
          <w:color w:val="0070C0"/>
          <w:sz w:val="48"/>
          <w:szCs w:val="48"/>
        </w:rPr>
      </w:pPr>
    </w:p>
    <w:p w14:paraId="6633E898" w14:textId="77777777" w:rsidR="0095033B" w:rsidRDefault="0095033B" w:rsidP="001C5F7A">
      <w:pPr>
        <w:jc w:val="both"/>
        <w:rPr>
          <w:color w:val="0070C0"/>
          <w:sz w:val="48"/>
          <w:szCs w:val="48"/>
        </w:rPr>
      </w:pPr>
    </w:p>
    <w:p w14:paraId="706EFA97" w14:textId="77777777" w:rsidR="0095033B" w:rsidRDefault="0095033B" w:rsidP="001C5F7A">
      <w:pPr>
        <w:jc w:val="both"/>
        <w:rPr>
          <w:color w:val="0070C0"/>
          <w:sz w:val="48"/>
          <w:szCs w:val="48"/>
        </w:rPr>
      </w:pPr>
    </w:p>
    <w:p w14:paraId="4FFC8E1B" w14:textId="59B7CAE4" w:rsidR="00AB27CE" w:rsidRPr="006C6341" w:rsidRDefault="00BB3B57" w:rsidP="00AB27CE">
      <w:pPr>
        <w:jc w:val="both"/>
        <w:rPr>
          <w:color w:val="0070C0"/>
          <w:sz w:val="48"/>
          <w:szCs w:val="48"/>
        </w:rPr>
      </w:pPr>
      <w:r>
        <w:rPr>
          <w:color w:val="0070C0"/>
          <w:sz w:val="48"/>
          <w:szCs w:val="48"/>
        </w:rPr>
        <w:t>Action Plan and Methodological Guidelines towards Data Generation and Disaggregation for Monitoring and Evaluation of SDGs</w:t>
      </w:r>
    </w:p>
    <w:tbl>
      <w:tblPr>
        <w:tblStyle w:val="TableGrid"/>
        <w:tblW w:w="18720" w:type="dxa"/>
        <w:tblInd w:w="-5" w:type="dxa"/>
        <w:tblLayout w:type="fixed"/>
        <w:tblLook w:val="04A0" w:firstRow="1" w:lastRow="0" w:firstColumn="1" w:lastColumn="0" w:noHBand="0" w:noVBand="1"/>
      </w:tblPr>
      <w:tblGrid>
        <w:gridCol w:w="1278"/>
        <w:gridCol w:w="17442"/>
      </w:tblGrid>
      <w:tr w:rsidR="00AB27CE" w14:paraId="3EBC2A69" w14:textId="77777777" w:rsidTr="0025292C">
        <w:tc>
          <w:tcPr>
            <w:tcW w:w="1278" w:type="dxa"/>
            <w:tcBorders>
              <w:left w:val="single" w:sz="4" w:space="0" w:color="C00000"/>
              <w:bottom w:val="single" w:sz="4" w:space="0" w:color="C00000"/>
            </w:tcBorders>
          </w:tcPr>
          <w:p w14:paraId="26E47608" w14:textId="6245B38A" w:rsidR="00AB27CE" w:rsidRDefault="00A64F0D" w:rsidP="00AB27CE">
            <w:pPr>
              <w:jc w:val="center"/>
              <w:rPr>
                <w:color w:val="C00000"/>
                <w:sz w:val="48"/>
                <w:szCs w:val="48"/>
              </w:rPr>
            </w:pPr>
            <w:r>
              <w:rPr>
                <w:noProof/>
                <w:color w:val="C00000"/>
                <w:sz w:val="48"/>
                <w:szCs w:val="48"/>
                <w:lang w:bidi="bn-BD"/>
              </w:rPr>
              <w:lastRenderedPageBreak/>
              <w:drawing>
                <wp:inline distT="0" distB="0" distL="0" distR="0" wp14:anchorId="27059472" wp14:editId="25582C42">
                  <wp:extent cx="701749" cy="701749"/>
                  <wp:effectExtent l="0" t="0" r="3175" b="3175"/>
                  <wp:docPr id="53" name="Picture 5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oal11_menu_icon.jpg"/>
                          <pic:cNvPicPr/>
                        </pic:nvPicPr>
                        <pic:blipFill>
                          <a:blip r:embed="rId92">
                            <a:extLst>
                              <a:ext uri="{28A0092B-C50C-407E-A947-70E740481C1C}">
                                <a14:useLocalDpi xmlns:a14="http://schemas.microsoft.com/office/drawing/2010/main" val="0"/>
                              </a:ext>
                            </a:extLst>
                          </a:blip>
                          <a:stretch>
                            <a:fillRect/>
                          </a:stretch>
                        </pic:blipFill>
                        <pic:spPr>
                          <a:xfrm>
                            <a:off x="0" y="0"/>
                            <a:ext cx="705058" cy="705058"/>
                          </a:xfrm>
                          <a:prstGeom prst="rect">
                            <a:avLst/>
                          </a:prstGeom>
                        </pic:spPr>
                      </pic:pic>
                    </a:graphicData>
                  </a:graphic>
                </wp:inline>
              </w:drawing>
            </w:r>
          </w:p>
        </w:tc>
        <w:tc>
          <w:tcPr>
            <w:tcW w:w="17442" w:type="dxa"/>
            <w:shd w:val="clear" w:color="auto" w:fill="D27D00"/>
            <w:vAlign w:val="center"/>
          </w:tcPr>
          <w:p w14:paraId="2590CAAE" w14:textId="77777777" w:rsidR="00AB27CE" w:rsidRPr="00214C29" w:rsidRDefault="00AB27CE" w:rsidP="00AB27CE">
            <w:pPr>
              <w:jc w:val="both"/>
              <w:rPr>
                <w:color w:val="FFFFFF" w:themeColor="background1"/>
                <w:sz w:val="62"/>
                <w:szCs w:val="62"/>
              </w:rPr>
            </w:pPr>
            <w:r w:rsidRPr="00AB27CE">
              <w:rPr>
                <w:color w:val="FFFFFF" w:themeColor="background1"/>
                <w:sz w:val="62"/>
                <w:szCs w:val="62"/>
              </w:rPr>
              <w:t>Make cities and human settlements inclusive, safe, resilient and sustainable</w:t>
            </w:r>
          </w:p>
        </w:tc>
      </w:tr>
    </w:tbl>
    <w:p w14:paraId="53B3D6A2" w14:textId="77777777" w:rsidR="00AB27CE" w:rsidRPr="00AB27CE" w:rsidRDefault="00AB27CE" w:rsidP="001C5F7A">
      <w:pPr>
        <w:jc w:val="both"/>
        <w:rPr>
          <w:color w:val="0070C0"/>
          <w:sz w:val="8"/>
          <w:szCs w:val="8"/>
        </w:rPr>
      </w:pPr>
    </w:p>
    <w:tbl>
      <w:tblPr>
        <w:tblStyle w:val="TableGrid"/>
        <w:tblW w:w="0" w:type="auto"/>
        <w:tblLook w:val="04A0" w:firstRow="1" w:lastRow="0" w:firstColumn="1" w:lastColumn="0" w:noHBand="0" w:noVBand="1"/>
      </w:tblPr>
      <w:tblGrid>
        <w:gridCol w:w="1331"/>
        <w:gridCol w:w="711"/>
        <w:gridCol w:w="592"/>
        <w:gridCol w:w="7460"/>
        <w:gridCol w:w="1282"/>
        <w:gridCol w:w="885"/>
        <w:gridCol w:w="879"/>
        <w:gridCol w:w="1478"/>
        <w:gridCol w:w="1356"/>
        <w:gridCol w:w="733"/>
        <w:gridCol w:w="641"/>
        <w:gridCol w:w="692"/>
        <w:gridCol w:w="896"/>
      </w:tblGrid>
      <w:tr w:rsidR="00AA3356" w14:paraId="30068426" w14:textId="77777777" w:rsidTr="0025292C">
        <w:trPr>
          <w:tblHeader/>
        </w:trPr>
        <w:tc>
          <w:tcPr>
            <w:tcW w:w="1218" w:type="dxa"/>
            <w:shd w:val="clear" w:color="auto" w:fill="DDD9C3" w:themeFill="background2" w:themeFillShade="E6"/>
            <w:vAlign w:val="center"/>
          </w:tcPr>
          <w:p w14:paraId="353DF28C" w14:textId="77777777" w:rsidR="00AB27CE" w:rsidRPr="00C766D7" w:rsidRDefault="00AB27CE" w:rsidP="00AB27CE">
            <w:pPr>
              <w:jc w:val="center"/>
              <w:rPr>
                <w:b/>
                <w:bCs/>
                <w:sz w:val="18"/>
                <w:szCs w:val="18"/>
              </w:rPr>
            </w:pPr>
            <w:r>
              <w:rPr>
                <w:b/>
                <w:bCs/>
                <w:sz w:val="18"/>
                <w:szCs w:val="18"/>
              </w:rPr>
              <w:t>T</w:t>
            </w:r>
            <w:r w:rsidRPr="00C766D7">
              <w:rPr>
                <w:b/>
                <w:bCs/>
                <w:sz w:val="18"/>
                <w:szCs w:val="18"/>
              </w:rPr>
              <w:t>argets and Indicators</w:t>
            </w:r>
          </w:p>
        </w:tc>
        <w:tc>
          <w:tcPr>
            <w:tcW w:w="661" w:type="dxa"/>
            <w:shd w:val="clear" w:color="auto" w:fill="DDD9C3" w:themeFill="background2" w:themeFillShade="E6"/>
            <w:vAlign w:val="center"/>
          </w:tcPr>
          <w:p w14:paraId="248EBBB4" w14:textId="77777777" w:rsidR="00AB27CE" w:rsidRPr="00C766D7" w:rsidRDefault="00AB27CE" w:rsidP="00AB27CE">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935" w:type="dxa"/>
            <w:shd w:val="clear" w:color="auto" w:fill="DDD9C3" w:themeFill="background2" w:themeFillShade="E6"/>
            <w:vAlign w:val="center"/>
          </w:tcPr>
          <w:p w14:paraId="12C3AFE0" w14:textId="77777777" w:rsidR="00AB27CE" w:rsidRPr="00C766D7" w:rsidRDefault="00AB27CE" w:rsidP="00AB27CE">
            <w:pPr>
              <w:jc w:val="center"/>
              <w:rPr>
                <w:b/>
                <w:bCs/>
                <w:sz w:val="18"/>
                <w:szCs w:val="18"/>
              </w:rPr>
            </w:pPr>
            <w:r w:rsidRPr="00C766D7">
              <w:rPr>
                <w:b/>
                <w:bCs/>
                <w:sz w:val="18"/>
                <w:szCs w:val="18"/>
              </w:rPr>
              <w:t>Tier Classifi</w:t>
            </w:r>
            <w:r>
              <w:rPr>
                <w:b/>
                <w:bCs/>
                <w:sz w:val="18"/>
                <w:szCs w:val="18"/>
              </w:rPr>
              <w:t>-</w:t>
            </w:r>
            <w:r w:rsidRPr="00C766D7">
              <w:rPr>
                <w:b/>
                <w:bCs/>
                <w:sz w:val="18"/>
                <w:szCs w:val="18"/>
              </w:rPr>
              <w:t>cations</w:t>
            </w:r>
          </w:p>
        </w:tc>
        <w:tc>
          <w:tcPr>
            <w:tcW w:w="6853" w:type="dxa"/>
            <w:shd w:val="clear" w:color="auto" w:fill="DDD9C3" w:themeFill="background2" w:themeFillShade="E6"/>
            <w:vAlign w:val="center"/>
          </w:tcPr>
          <w:p w14:paraId="783EE2CA" w14:textId="77777777" w:rsidR="00AB27CE" w:rsidRPr="00C766D7" w:rsidRDefault="00AB27CE" w:rsidP="00AB27CE">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1174" w:type="dxa"/>
            <w:shd w:val="clear" w:color="auto" w:fill="DDD9C3" w:themeFill="background2" w:themeFillShade="E6"/>
            <w:vAlign w:val="center"/>
          </w:tcPr>
          <w:p w14:paraId="1F8F44FD" w14:textId="77777777" w:rsidR="00AB27CE" w:rsidRPr="00C766D7" w:rsidRDefault="00AB27CE" w:rsidP="00AB27CE">
            <w:pPr>
              <w:jc w:val="center"/>
              <w:rPr>
                <w:b/>
                <w:bCs/>
                <w:sz w:val="18"/>
                <w:szCs w:val="18"/>
              </w:rPr>
            </w:pPr>
            <w:r w:rsidRPr="00C766D7">
              <w:rPr>
                <w:b/>
                <w:bCs/>
                <w:sz w:val="18"/>
                <w:szCs w:val="18"/>
              </w:rPr>
              <w:t>UN Suggested activities of data generation</w:t>
            </w:r>
          </w:p>
        </w:tc>
        <w:tc>
          <w:tcPr>
            <w:tcW w:w="818" w:type="dxa"/>
            <w:shd w:val="clear" w:color="auto" w:fill="DDD9C3" w:themeFill="background2" w:themeFillShade="E6"/>
            <w:vAlign w:val="center"/>
          </w:tcPr>
          <w:p w14:paraId="56565D13" w14:textId="77777777" w:rsidR="00AB27CE" w:rsidRPr="00C766D7" w:rsidRDefault="00AB27CE" w:rsidP="00AB27CE">
            <w:pPr>
              <w:jc w:val="center"/>
              <w:rPr>
                <w:b/>
                <w:bCs/>
                <w:sz w:val="18"/>
                <w:szCs w:val="18"/>
              </w:rPr>
            </w:pPr>
            <w:r w:rsidRPr="00C766D7">
              <w:rPr>
                <w:b/>
                <w:bCs/>
                <w:sz w:val="18"/>
                <w:szCs w:val="18"/>
              </w:rPr>
              <w:t>UN Suggested data provider</w:t>
            </w:r>
          </w:p>
        </w:tc>
        <w:tc>
          <w:tcPr>
            <w:tcW w:w="812" w:type="dxa"/>
            <w:shd w:val="clear" w:color="auto" w:fill="DDD9C3" w:themeFill="background2" w:themeFillShade="E6"/>
            <w:vAlign w:val="center"/>
          </w:tcPr>
          <w:p w14:paraId="4A3D8076" w14:textId="77777777" w:rsidR="00AB27CE" w:rsidRPr="00C766D7" w:rsidRDefault="00AB27CE" w:rsidP="00AB27CE">
            <w:pPr>
              <w:jc w:val="center"/>
              <w:rPr>
                <w:b/>
                <w:bCs/>
                <w:sz w:val="18"/>
                <w:szCs w:val="18"/>
              </w:rPr>
            </w:pPr>
            <w:r w:rsidRPr="00C766D7">
              <w:rPr>
                <w:b/>
                <w:bCs/>
                <w:sz w:val="18"/>
                <w:szCs w:val="18"/>
              </w:rPr>
              <w:t>Recent Available Data Sources</w:t>
            </w:r>
          </w:p>
        </w:tc>
        <w:tc>
          <w:tcPr>
            <w:tcW w:w="1351" w:type="dxa"/>
            <w:shd w:val="clear" w:color="auto" w:fill="DDD9C3" w:themeFill="background2" w:themeFillShade="E6"/>
            <w:vAlign w:val="center"/>
          </w:tcPr>
          <w:p w14:paraId="3476118C" w14:textId="77777777" w:rsidR="00AB27CE" w:rsidRPr="00C766D7" w:rsidRDefault="00AB27CE" w:rsidP="00AB27CE">
            <w:pPr>
              <w:jc w:val="center"/>
              <w:rPr>
                <w:b/>
                <w:bCs/>
                <w:sz w:val="18"/>
                <w:szCs w:val="18"/>
              </w:rPr>
            </w:pPr>
            <w:r w:rsidRPr="00C766D7">
              <w:rPr>
                <w:b/>
                <w:bCs/>
                <w:sz w:val="18"/>
                <w:szCs w:val="18"/>
              </w:rPr>
              <w:t>Possible future Sources</w:t>
            </w:r>
          </w:p>
        </w:tc>
        <w:tc>
          <w:tcPr>
            <w:tcW w:w="1349" w:type="dxa"/>
            <w:shd w:val="clear" w:color="auto" w:fill="DDD9C3" w:themeFill="background2" w:themeFillShade="E6"/>
            <w:vAlign w:val="center"/>
          </w:tcPr>
          <w:p w14:paraId="308C0A2B" w14:textId="77777777" w:rsidR="00AB27CE" w:rsidRPr="00C766D7" w:rsidRDefault="00AB27CE" w:rsidP="00AB27CE">
            <w:pPr>
              <w:jc w:val="center"/>
              <w:rPr>
                <w:b/>
                <w:bCs/>
                <w:sz w:val="18"/>
                <w:szCs w:val="18"/>
              </w:rPr>
            </w:pPr>
            <w:r>
              <w:rPr>
                <w:b/>
                <w:bCs/>
                <w:sz w:val="18"/>
                <w:szCs w:val="18"/>
              </w:rPr>
              <w:t>Minimum Disaggregation Dimensions and Categories</w:t>
            </w:r>
          </w:p>
        </w:tc>
        <w:tc>
          <w:tcPr>
            <w:tcW w:w="1145" w:type="dxa"/>
            <w:shd w:val="clear" w:color="auto" w:fill="DDD9C3" w:themeFill="background2" w:themeFillShade="E6"/>
            <w:vAlign w:val="center"/>
          </w:tcPr>
          <w:p w14:paraId="076ED317" w14:textId="77777777" w:rsidR="00AB27CE" w:rsidRPr="00C766D7" w:rsidRDefault="00AB27CE" w:rsidP="00AB27CE">
            <w:pPr>
              <w:jc w:val="center"/>
              <w:rPr>
                <w:b/>
                <w:bCs/>
                <w:sz w:val="18"/>
                <w:szCs w:val="18"/>
              </w:rPr>
            </w:pPr>
            <w:r w:rsidRPr="00C766D7">
              <w:rPr>
                <w:b/>
                <w:bCs/>
                <w:sz w:val="18"/>
                <w:szCs w:val="18"/>
              </w:rPr>
              <w:t>Frequency of data generation</w:t>
            </w:r>
          </w:p>
        </w:tc>
        <w:tc>
          <w:tcPr>
            <w:tcW w:w="922" w:type="dxa"/>
            <w:shd w:val="clear" w:color="auto" w:fill="DDD9C3" w:themeFill="background2" w:themeFillShade="E6"/>
            <w:vAlign w:val="center"/>
          </w:tcPr>
          <w:p w14:paraId="41A4C710" w14:textId="77777777" w:rsidR="00AB27CE" w:rsidRPr="00C766D7" w:rsidRDefault="00AB27CE" w:rsidP="00AB27CE">
            <w:pPr>
              <w:jc w:val="center"/>
              <w:rPr>
                <w:b/>
                <w:bCs/>
                <w:sz w:val="18"/>
                <w:szCs w:val="18"/>
              </w:rPr>
            </w:pPr>
            <w:r w:rsidRPr="00C766D7">
              <w:rPr>
                <w:b/>
                <w:bCs/>
                <w:sz w:val="18"/>
                <w:szCs w:val="18"/>
              </w:rPr>
              <w:t>Local Indicator Group</w:t>
            </w:r>
          </w:p>
        </w:tc>
        <w:tc>
          <w:tcPr>
            <w:tcW w:w="644" w:type="dxa"/>
            <w:shd w:val="clear" w:color="auto" w:fill="DDD9C3" w:themeFill="background2" w:themeFillShade="E6"/>
          </w:tcPr>
          <w:p w14:paraId="69758302" w14:textId="77777777" w:rsidR="00AB27CE" w:rsidRDefault="00AB27CE" w:rsidP="00AB27CE">
            <w:pPr>
              <w:jc w:val="center"/>
              <w:rPr>
                <w:b/>
                <w:bCs/>
                <w:sz w:val="18"/>
                <w:szCs w:val="18"/>
              </w:rPr>
            </w:pPr>
            <w:r w:rsidRPr="00BE3A94">
              <w:rPr>
                <w:b/>
                <w:bCs/>
                <w:sz w:val="18"/>
                <w:szCs w:val="18"/>
              </w:rPr>
              <w:t>Deadline for Data providing</w:t>
            </w:r>
          </w:p>
        </w:tc>
        <w:tc>
          <w:tcPr>
            <w:tcW w:w="828" w:type="dxa"/>
            <w:shd w:val="clear" w:color="auto" w:fill="DDD9C3" w:themeFill="background2" w:themeFillShade="E6"/>
            <w:vAlign w:val="center"/>
          </w:tcPr>
          <w:p w14:paraId="5C2FC788" w14:textId="77777777" w:rsidR="00AB27CE" w:rsidRPr="00C766D7" w:rsidRDefault="00AB27CE" w:rsidP="00AB27CE">
            <w:pPr>
              <w:jc w:val="center"/>
              <w:rPr>
                <w:b/>
                <w:bCs/>
                <w:sz w:val="18"/>
                <w:szCs w:val="18"/>
              </w:rPr>
            </w:pPr>
            <w:r>
              <w:rPr>
                <w:b/>
                <w:bCs/>
                <w:sz w:val="18"/>
                <w:szCs w:val="18"/>
              </w:rPr>
              <w:t>Remarks</w:t>
            </w:r>
          </w:p>
        </w:tc>
      </w:tr>
      <w:tr w:rsidR="00AA3356" w:rsidRPr="007E6DF7" w14:paraId="101BCAA1" w14:textId="77777777" w:rsidTr="0025292C">
        <w:trPr>
          <w:tblHeader/>
        </w:trPr>
        <w:tc>
          <w:tcPr>
            <w:tcW w:w="1218" w:type="dxa"/>
            <w:shd w:val="clear" w:color="auto" w:fill="00B0F0"/>
          </w:tcPr>
          <w:p w14:paraId="0508742F" w14:textId="77777777" w:rsidR="00AB27CE" w:rsidRPr="007E6DF7" w:rsidRDefault="00AB27CE" w:rsidP="00AB27CE">
            <w:pPr>
              <w:jc w:val="center"/>
              <w:rPr>
                <w:b/>
                <w:bCs/>
                <w:sz w:val="18"/>
                <w:szCs w:val="18"/>
              </w:rPr>
            </w:pPr>
            <w:r w:rsidRPr="007E6DF7">
              <w:rPr>
                <w:b/>
                <w:bCs/>
                <w:sz w:val="18"/>
                <w:szCs w:val="18"/>
              </w:rPr>
              <w:t>1</w:t>
            </w:r>
          </w:p>
        </w:tc>
        <w:tc>
          <w:tcPr>
            <w:tcW w:w="661" w:type="dxa"/>
            <w:shd w:val="clear" w:color="auto" w:fill="00B0F0"/>
          </w:tcPr>
          <w:p w14:paraId="305DE267" w14:textId="77777777" w:rsidR="00AB27CE" w:rsidRPr="007E6DF7" w:rsidRDefault="00AB27CE" w:rsidP="00AB27CE">
            <w:pPr>
              <w:jc w:val="center"/>
              <w:rPr>
                <w:b/>
                <w:bCs/>
                <w:sz w:val="18"/>
                <w:szCs w:val="18"/>
              </w:rPr>
            </w:pPr>
            <w:r w:rsidRPr="007E6DF7">
              <w:rPr>
                <w:b/>
                <w:bCs/>
                <w:sz w:val="18"/>
                <w:szCs w:val="18"/>
              </w:rPr>
              <w:t>2</w:t>
            </w:r>
          </w:p>
        </w:tc>
        <w:tc>
          <w:tcPr>
            <w:tcW w:w="935" w:type="dxa"/>
            <w:shd w:val="clear" w:color="auto" w:fill="00B0F0"/>
          </w:tcPr>
          <w:p w14:paraId="1CC34D28" w14:textId="77777777" w:rsidR="00AB27CE" w:rsidRPr="007E6DF7" w:rsidRDefault="00AB27CE" w:rsidP="00AB27CE">
            <w:pPr>
              <w:jc w:val="center"/>
              <w:rPr>
                <w:b/>
                <w:bCs/>
                <w:sz w:val="18"/>
                <w:szCs w:val="18"/>
              </w:rPr>
            </w:pPr>
            <w:r w:rsidRPr="007E6DF7">
              <w:rPr>
                <w:b/>
                <w:bCs/>
                <w:sz w:val="18"/>
                <w:szCs w:val="18"/>
              </w:rPr>
              <w:t>3</w:t>
            </w:r>
          </w:p>
        </w:tc>
        <w:tc>
          <w:tcPr>
            <w:tcW w:w="6853" w:type="dxa"/>
            <w:shd w:val="clear" w:color="auto" w:fill="00B0F0"/>
          </w:tcPr>
          <w:p w14:paraId="0B73B2CE" w14:textId="77777777" w:rsidR="00AB27CE" w:rsidRPr="007E6DF7" w:rsidRDefault="00AB27CE" w:rsidP="00AB27CE">
            <w:pPr>
              <w:jc w:val="center"/>
              <w:rPr>
                <w:b/>
                <w:bCs/>
                <w:sz w:val="18"/>
                <w:szCs w:val="18"/>
              </w:rPr>
            </w:pPr>
            <w:r w:rsidRPr="007E6DF7">
              <w:rPr>
                <w:b/>
                <w:bCs/>
                <w:sz w:val="18"/>
                <w:szCs w:val="18"/>
              </w:rPr>
              <w:t>4</w:t>
            </w:r>
          </w:p>
        </w:tc>
        <w:tc>
          <w:tcPr>
            <w:tcW w:w="1174" w:type="dxa"/>
            <w:shd w:val="clear" w:color="auto" w:fill="00B0F0"/>
          </w:tcPr>
          <w:p w14:paraId="709F2FF2" w14:textId="77777777" w:rsidR="00AB27CE" w:rsidRPr="007E6DF7" w:rsidRDefault="00AB27CE" w:rsidP="00AB27CE">
            <w:pPr>
              <w:jc w:val="center"/>
              <w:rPr>
                <w:b/>
                <w:bCs/>
                <w:sz w:val="18"/>
                <w:szCs w:val="18"/>
              </w:rPr>
            </w:pPr>
            <w:r w:rsidRPr="007E6DF7">
              <w:rPr>
                <w:b/>
                <w:bCs/>
                <w:sz w:val="18"/>
                <w:szCs w:val="18"/>
              </w:rPr>
              <w:t>5</w:t>
            </w:r>
          </w:p>
        </w:tc>
        <w:tc>
          <w:tcPr>
            <w:tcW w:w="818" w:type="dxa"/>
            <w:shd w:val="clear" w:color="auto" w:fill="00B0F0"/>
          </w:tcPr>
          <w:p w14:paraId="25FF5013" w14:textId="77777777" w:rsidR="00AB27CE" w:rsidRPr="007E6DF7" w:rsidRDefault="00AB27CE" w:rsidP="00AB27CE">
            <w:pPr>
              <w:jc w:val="center"/>
              <w:rPr>
                <w:b/>
                <w:bCs/>
                <w:sz w:val="18"/>
                <w:szCs w:val="18"/>
              </w:rPr>
            </w:pPr>
            <w:r w:rsidRPr="007E6DF7">
              <w:rPr>
                <w:b/>
                <w:bCs/>
                <w:sz w:val="18"/>
                <w:szCs w:val="18"/>
              </w:rPr>
              <w:t>6</w:t>
            </w:r>
          </w:p>
        </w:tc>
        <w:tc>
          <w:tcPr>
            <w:tcW w:w="812" w:type="dxa"/>
            <w:shd w:val="clear" w:color="auto" w:fill="00B0F0"/>
          </w:tcPr>
          <w:p w14:paraId="4EAFB7CD" w14:textId="77777777" w:rsidR="00AB27CE" w:rsidRPr="007E6DF7" w:rsidRDefault="00AB27CE" w:rsidP="00AB27CE">
            <w:pPr>
              <w:jc w:val="center"/>
              <w:rPr>
                <w:b/>
                <w:bCs/>
                <w:sz w:val="18"/>
                <w:szCs w:val="18"/>
              </w:rPr>
            </w:pPr>
            <w:r w:rsidRPr="007E6DF7">
              <w:rPr>
                <w:b/>
                <w:bCs/>
                <w:sz w:val="18"/>
                <w:szCs w:val="18"/>
              </w:rPr>
              <w:t>7</w:t>
            </w:r>
          </w:p>
        </w:tc>
        <w:tc>
          <w:tcPr>
            <w:tcW w:w="1351" w:type="dxa"/>
            <w:shd w:val="clear" w:color="auto" w:fill="00B0F0"/>
          </w:tcPr>
          <w:p w14:paraId="462B1794" w14:textId="77777777" w:rsidR="00AB27CE" w:rsidRPr="007E6DF7" w:rsidRDefault="00AB27CE" w:rsidP="00AB27CE">
            <w:pPr>
              <w:jc w:val="center"/>
              <w:rPr>
                <w:b/>
                <w:bCs/>
                <w:sz w:val="18"/>
                <w:szCs w:val="18"/>
              </w:rPr>
            </w:pPr>
            <w:r w:rsidRPr="007E6DF7">
              <w:rPr>
                <w:b/>
                <w:bCs/>
                <w:sz w:val="18"/>
                <w:szCs w:val="18"/>
              </w:rPr>
              <w:t>8</w:t>
            </w:r>
          </w:p>
        </w:tc>
        <w:tc>
          <w:tcPr>
            <w:tcW w:w="1349" w:type="dxa"/>
            <w:shd w:val="clear" w:color="auto" w:fill="00B0F0"/>
          </w:tcPr>
          <w:p w14:paraId="7E345603" w14:textId="77777777" w:rsidR="00AB27CE" w:rsidRPr="007E6DF7" w:rsidRDefault="00AB27CE" w:rsidP="00AB27CE">
            <w:pPr>
              <w:jc w:val="center"/>
              <w:rPr>
                <w:b/>
                <w:bCs/>
                <w:sz w:val="18"/>
                <w:szCs w:val="18"/>
              </w:rPr>
            </w:pPr>
            <w:r w:rsidRPr="007E6DF7">
              <w:rPr>
                <w:b/>
                <w:bCs/>
                <w:sz w:val="18"/>
                <w:szCs w:val="18"/>
              </w:rPr>
              <w:t>9</w:t>
            </w:r>
          </w:p>
        </w:tc>
        <w:tc>
          <w:tcPr>
            <w:tcW w:w="1145" w:type="dxa"/>
            <w:shd w:val="clear" w:color="auto" w:fill="00B0F0"/>
          </w:tcPr>
          <w:p w14:paraId="38D4BBB5" w14:textId="77777777" w:rsidR="00AB27CE" w:rsidRPr="007E6DF7" w:rsidRDefault="00AB27CE" w:rsidP="00AB27CE">
            <w:pPr>
              <w:jc w:val="center"/>
              <w:rPr>
                <w:b/>
                <w:bCs/>
                <w:sz w:val="18"/>
                <w:szCs w:val="18"/>
              </w:rPr>
            </w:pPr>
            <w:r w:rsidRPr="007E6DF7">
              <w:rPr>
                <w:b/>
                <w:bCs/>
                <w:sz w:val="18"/>
                <w:szCs w:val="18"/>
              </w:rPr>
              <w:t>10</w:t>
            </w:r>
          </w:p>
        </w:tc>
        <w:tc>
          <w:tcPr>
            <w:tcW w:w="922" w:type="dxa"/>
            <w:shd w:val="clear" w:color="auto" w:fill="00B0F0"/>
          </w:tcPr>
          <w:p w14:paraId="5431EA17" w14:textId="77777777" w:rsidR="00AB27CE" w:rsidRPr="007E6DF7" w:rsidRDefault="00AB27CE" w:rsidP="00AB27CE">
            <w:pPr>
              <w:jc w:val="center"/>
              <w:rPr>
                <w:b/>
                <w:bCs/>
                <w:sz w:val="18"/>
                <w:szCs w:val="18"/>
              </w:rPr>
            </w:pPr>
            <w:r w:rsidRPr="007E6DF7">
              <w:rPr>
                <w:b/>
                <w:bCs/>
                <w:sz w:val="18"/>
                <w:szCs w:val="18"/>
              </w:rPr>
              <w:t>11</w:t>
            </w:r>
          </w:p>
        </w:tc>
        <w:tc>
          <w:tcPr>
            <w:tcW w:w="644" w:type="dxa"/>
            <w:shd w:val="clear" w:color="auto" w:fill="00B0F0"/>
          </w:tcPr>
          <w:p w14:paraId="19EE5E4F" w14:textId="77777777" w:rsidR="00AB27CE" w:rsidRPr="007E6DF7" w:rsidRDefault="00AB27CE" w:rsidP="00AB27CE">
            <w:pPr>
              <w:jc w:val="center"/>
              <w:rPr>
                <w:b/>
                <w:bCs/>
                <w:sz w:val="18"/>
                <w:szCs w:val="18"/>
                <w:lang w:bidi="bn-BD"/>
              </w:rPr>
            </w:pPr>
            <w:r w:rsidRPr="007E6DF7">
              <w:rPr>
                <w:rFonts w:hint="cs"/>
                <w:b/>
                <w:bCs/>
                <w:sz w:val="18"/>
                <w:szCs w:val="18"/>
                <w:cs/>
                <w:lang w:bidi="bn-BD"/>
              </w:rPr>
              <w:t>12</w:t>
            </w:r>
          </w:p>
        </w:tc>
        <w:tc>
          <w:tcPr>
            <w:tcW w:w="828" w:type="dxa"/>
            <w:shd w:val="clear" w:color="auto" w:fill="00B0F0"/>
          </w:tcPr>
          <w:p w14:paraId="68A4AA07" w14:textId="77777777" w:rsidR="00AB27CE" w:rsidRPr="007E6DF7" w:rsidRDefault="00AB27CE" w:rsidP="00AB27CE">
            <w:pPr>
              <w:jc w:val="center"/>
              <w:rPr>
                <w:b/>
                <w:bCs/>
                <w:sz w:val="18"/>
                <w:szCs w:val="18"/>
                <w:lang w:bidi="bn-BD"/>
              </w:rPr>
            </w:pPr>
            <w:r w:rsidRPr="007E6DF7">
              <w:rPr>
                <w:b/>
                <w:bCs/>
                <w:sz w:val="18"/>
                <w:szCs w:val="18"/>
              </w:rPr>
              <w:t>1</w:t>
            </w:r>
            <w:r w:rsidRPr="007E6DF7">
              <w:rPr>
                <w:rFonts w:hint="cs"/>
                <w:b/>
                <w:bCs/>
                <w:sz w:val="18"/>
                <w:szCs w:val="18"/>
                <w:cs/>
                <w:lang w:bidi="bn-BD"/>
              </w:rPr>
              <w:t>3</w:t>
            </w:r>
          </w:p>
        </w:tc>
      </w:tr>
      <w:tr w:rsidR="0025292C" w14:paraId="0645422F" w14:textId="77777777" w:rsidTr="00D52BCB">
        <w:tc>
          <w:tcPr>
            <w:tcW w:w="18710" w:type="dxa"/>
            <w:gridSpan w:val="13"/>
          </w:tcPr>
          <w:p w14:paraId="4DAD23DA" w14:textId="77777777" w:rsidR="0025292C" w:rsidRDefault="0025292C" w:rsidP="00AB27CE">
            <w:pPr>
              <w:jc w:val="both"/>
              <w:rPr>
                <w:color w:val="0070C0"/>
                <w:sz w:val="48"/>
                <w:szCs w:val="48"/>
              </w:rPr>
            </w:pPr>
            <w:r>
              <w:rPr>
                <w:color w:val="0070C0"/>
                <w:sz w:val="30"/>
                <w:szCs w:val="30"/>
              </w:rPr>
              <w:t xml:space="preserve">Target </w:t>
            </w:r>
            <w:r w:rsidRPr="00C97C3C">
              <w:rPr>
                <w:b/>
                <w:bCs/>
                <w:color w:val="0070C0"/>
                <w:sz w:val="30"/>
                <w:szCs w:val="30"/>
                <w:lang w:bidi="bn-BD"/>
              </w:rPr>
              <w:t>11.1 By 2030, ensure access for all to adequate, safe and affordable housing and basic services and upgrade slums</w:t>
            </w:r>
          </w:p>
        </w:tc>
      </w:tr>
      <w:tr w:rsidR="00EF295B" w14:paraId="049D1842" w14:textId="77777777" w:rsidTr="0025292C">
        <w:tc>
          <w:tcPr>
            <w:tcW w:w="1218" w:type="dxa"/>
          </w:tcPr>
          <w:p w14:paraId="2A08AC57" w14:textId="77777777" w:rsidR="00EF295B" w:rsidRDefault="00EF295B" w:rsidP="00EF295B">
            <w:pPr>
              <w:pStyle w:val="NoSpacing"/>
            </w:pPr>
            <w:r w:rsidRPr="00627F96">
              <w:t>11.1.1 Proportion of urban population living in slums, informal settlements or inadequate housing</w:t>
            </w:r>
          </w:p>
        </w:tc>
        <w:tc>
          <w:tcPr>
            <w:tcW w:w="661" w:type="dxa"/>
          </w:tcPr>
          <w:p w14:paraId="29C83FFA" w14:textId="77777777" w:rsidR="00EF295B" w:rsidRDefault="00EF295B" w:rsidP="00EF295B">
            <w:pPr>
              <w:pStyle w:val="NoSpacing"/>
            </w:pPr>
            <w:r w:rsidRPr="00221F5D">
              <w:t>UN-Habitat</w:t>
            </w:r>
          </w:p>
          <w:p w14:paraId="024B2068" w14:textId="77777777" w:rsidR="00EF295B" w:rsidRDefault="00EF295B" w:rsidP="00EF295B">
            <w:pPr>
              <w:rPr>
                <w:b/>
                <w:bCs/>
                <w:szCs w:val="20"/>
              </w:rPr>
            </w:pPr>
            <w:r w:rsidRPr="007243FC">
              <w:rPr>
                <w:b/>
                <w:bCs/>
                <w:szCs w:val="20"/>
              </w:rPr>
              <w:t>Partner Agencies:</w:t>
            </w:r>
          </w:p>
          <w:p w14:paraId="1726ED4E" w14:textId="77777777" w:rsidR="00EF295B" w:rsidRDefault="00EF295B" w:rsidP="00EF295B">
            <w:pPr>
              <w:pStyle w:val="NoSpacing"/>
            </w:pPr>
            <w:r w:rsidRPr="00221F5D">
              <w:t>UNEP</w:t>
            </w:r>
          </w:p>
        </w:tc>
        <w:tc>
          <w:tcPr>
            <w:tcW w:w="935" w:type="dxa"/>
          </w:tcPr>
          <w:p w14:paraId="4B6A93AB" w14:textId="77777777" w:rsidR="00EF295B" w:rsidRDefault="00EF295B" w:rsidP="00EF295B">
            <w:pPr>
              <w:ind w:left="970" w:hanging="970"/>
              <w:jc w:val="both"/>
              <w:rPr>
                <w:color w:val="0070C0"/>
                <w:sz w:val="30"/>
                <w:szCs w:val="30"/>
              </w:rPr>
            </w:pPr>
            <w:r>
              <w:t>Tier I</w:t>
            </w:r>
          </w:p>
        </w:tc>
        <w:tc>
          <w:tcPr>
            <w:tcW w:w="6853" w:type="dxa"/>
          </w:tcPr>
          <w:p w14:paraId="52AFD8CB" w14:textId="77777777" w:rsidR="00EF295B" w:rsidRPr="00CF34F5" w:rsidRDefault="00EF295B" w:rsidP="00EF295B">
            <w:pPr>
              <w:pStyle w:val="NoSpacing"/>
            </w:pPr>
            <w:r w:rsidRPr="00CF34F5">
              <w:t xml:space="preserve">Definition and concept: </w:t>
            </w:r>
          </w:p>
          <w:p w14:paraId="3F1CBD23" w14:textId="77777777" w:rsidR="00EF295B" w:rsidRPr="00CF34F5" w:rsidRDefault="00EF295B" w:rsidP="00EF295B">
            <w:pPr>
              <w:pStyle w:val="NoSpacing"/>
            </w:pPr>
            <w:r w:rsidRPr="00CF34F5">
              <w:t xml:space="preserve">As per the 2030 Agenda, to guide the development of the appropriate policies and programmes for ensuring access for all to adequate housing and the upgrading of slums, it is necessary to identify and quantify the proportion of the population that live in </w:t>
            </w:r>
            <w:r w:rsidRPr="00CF34F5">
              <w:rPr>
                <w:b/>
              </w:rPr>
              <w:t>slums</w:t>
            </w:r>
            <w:r w:rsidRPr="00CF34F5">
              <w:t xml:space="preserve">, </w:t>
            </w:r>
            <w:r w:rsidRPr="00CF34F5">
              <w:rPr>
                <w:b/>
              </w:rPr>
              <w:t>informal settlements</w:t>
            </w:r>
            <w:r w:rsidRPr="00CF34F5">
              <w:t xml:space="preserve"> and those living in </w:t>
            </w:r>
            <w:r w:rsidRPr="00CF34F5">
              <w:rPr>
                <w:b/>
              </w:rPr>
              <w:t>inadequate housing</w:t>
            </w:r>
            <w:r w:rsidRPr="00CF34F5">
              <w:t>.</w:t>
            </w:r>
          </w:p>
          <w:p w14:paraId="4C90B5F1" w14:textId="77777777" w:rsidR="00EF295B" w:rsidRPr="00CF34F5" w:rsidRDefault="00EF295B" w:rsidP="00EF295B">
            <w:pPr>
              <w:pStyle w:val="NoSpacing"/>
            </w:pPr>
            <w:r w:rsidRPr="00CF34F5">
              <w:t xml:space="preserve"> </w:t>
            </w:r>
          </w:p>
          <w:p w14:paraId="66A0AA4D" w14:textId="77777777" w:rsidR="00EF295B" w:rsidRPr="00CF34F5" w:rsidRDefault="00EF295B" w:rsidP="00EF295B">
            <w:pPr>
              <w:pStyle w:val="NoSpacing"/>
            </w:pPr>
            <w:r w:rsidRPr="00CF34F5">
              <w:rPr>
                <w:b/>
              </w:rPr>
              <w:t xml:space="preserve">a. Slums </w:t>
            </w:r>
            <w:r w:rsidRPr="00CF34F5">
              <w:t xml:space="preserve">– An expert group meeting was convened in 2002 by UN-Habitat, the United Nations Statistics Division and the Cities Alliance to agree on an operational definition for slums to be used for measuring the indicator of MDG 7 Target 7.D. The agreed definition classified a </w:t>
            </w:r>
            <w:r w:rsidRPr="00CF34F5">
              <w:rPr>
                <w:i/>
              </w:rPr>
              <w:t>‘slum household’</w:t>
            </w:r>
            <w:r w:rsidRPr="00CF34F5">
              <w:t xml:space="preserve"> as one in which the inhabitants suffer </w:t>
            </w:r>
            <w:r w:rsidRPr="00CF34F5">
              <w:rPr>
                <w:u w:val="single"/>
              </w:rPr>
              <w:t>one or more</w:t>
            </w:r>
            <w:r w:rsidRPr="00CF34F5">
              <w:t xml:space="preserve"> of the following </w:t>
            </w:r>
            <w:r w:rsidRPr="00CF34F5">
              <w:rPr>
                <w:i/>
              </w:rPr>
              <w:t>‘household deprivations’</w:t>
            </w:r>
            <w:r w:rsidRPr="00CF34F5">
              <w:t>:</w:t>
            </w:r>
          </w:p>
          <w:p w14:paraId="3CB23E50" w14:textId="77777777" w:rsidR="00EF295B" w:rsidRPr="00CF34F5" w:rsidRDefault="00EF295B" w:rsidP="00EF295B">
            <w:pPr>
              <w:pStyle w:val="NoSpacing"/>
            </w:pPr>
            <w:r w:rsidRPr="00CF34F5">
              <w:t>Lack of access to improved water source,</w:t>
            </w:r>
          </w:p>
          <w:p w14:paraId="1D0D63F2" w14:textId="77777777" w:rsidR="00EF295B" w:rsidRPr="00CF34F5" w:rsidRDefault="00EF295B" w:rsidP="00EF295B">
            <w:pPr>
              <w:pStyle w:val="NoSpacing"/>
            </w:pPr>
            <w:r w:rsidRPr="00CF34F5">
              <w:t xml:space="preserve">Lack of access to improved sanitation facilities, </w:t>
            </w:r>
          </w:p>
          <w:p w14:paraId="25C00F6F" w14:textId="77777777" w:rsidR="00EF295B" w:rsidRPr="00CF34F5" w:rsidRDefault="00EF295B" w:rsidP="00EF295B">
            <w:pPr>
              <w:pStyle w:val="NoSpacing"/>
            </w:pPr>
            <w:r w:rsidRPr="00CF34F5">
              <w:t xml:space="preserve">Lack of sufficient living area, </w:t>
            </w:r>
          </w:p>
          <w:p w14:paraId="541CEAF7" w14:textId="77777777" w:rsidR="00EF295B" w:rsidRPr="00CF34F5" w:rsidRDefault="00EF295B" w:rsidP="00EF295B">
            <w:pPr>
              <w:pStyle w:val="NoSpacing"/>
            </w:pPr>
            <w:r w:rsidRPr="00CF34F5">
              <w:t>Lack of housing durability and,</w:t>
            </w:r>
          </w:p>
          <w:p w14:paraId="746EF72B" w14:textId="77777777" w:rsidR="00EF295B" w:rsidRPr="00CF34F5" w:rsidRDefault="00EF295B" w:rsidP="00EF295B">
            <w:pPr>
              <w:pStyle w:val="NoSpacing"/>
            </w:pPr>
            <w:r w:rsidRPr="00CF34F5">
              <w:t xml:space="preserve">Lack of security of tenure. By extension, the term </w:t>
            </w:r>
            <w:r w:rsidRPr="00CF34F5">
              <w:rPr>
                <w:i/>
              </w:rPr>
              <w:t>‘slum dweller’</w:t>
            </w:r>
            <w:r w:rsidRPr="00CF34F5">
              <w:t xml:space="preserve"> refers to a person living in a household that lacks any of the above attributes.</w:t>
            </w:r>
            <w:r w:rsidRPr="00CF34F5">
              <w:rPr>
                <w:rStyle w:val="FootnoteReference"/>
                <w:rFonts w:ascii="Times New Roman" w:hAnsi="Times New Roman"/>
                <w:iCs/>
                <w:sz w:val="24"/>
              </w:rPr>
              <w:footnoteReference w:id="11"/>
            </w:r>
          </w:p>
          <w:p w14:paraId="600D2CF9" w14:textId="77777777" w:rsidR="00EF295B" w:rsidRPr="00CF34F5" w:rsidRDefault="00EF295B" w:rsidP="00EF295B">
            <w:pPr>
              <w:pStyle w:val="NoSpacing"/>
            </w:pPr>
          </w:p>
          <w:p w14:paraId="74832C23" w14:textId="77777777" w:rsidR="00EF295B" w:rsidRPr="00CF34F5" w:rsidRDefault="00EF295B" w:rsidP="00EF295B">
            <w:pPr>
              <w:pStyle w:val="NoSpacing"/>
            </w:pPr>
            <w:r w:rsidRPr="00CF34F5">
              <w:t>These five components –all derived from the adequate housing’s definition have been used ever since for reporting and tracking of the MDGs, as the primary or secondary data measured to determine the number of slum dwellers living in developing countries. They were also the basis to establish the successful achievement of MDG Target 7.D. For each component, the experts agreed with the following sub-definitions:</w:t>
            </w:r>
            <w:r w:rsidRPr="00CF34F5">
              <w:rPr>
                <w:rStyle w:val="FootnoteReference"/>
                <w:rFonts w:ascii="Times New Roman" w:hAnsi="Times New Roman"/>
                <w:sz w:val="24"/>
              </w:rPr>
              <w:footnoteReference w:id="12"/>
            </w:r>
          </w:p>
          <w:p w14:paraId="67413931" w14:textId="77777777" w:rsidR="00EF295B" w:rsidRPr="00CF34F5" w:rsidRDefault="00EF295B" w:rsidP="00EF295B">
            <w:pPr>
              <w:pStyle w:val="NoSpacing"/>
            </w:pPr>
          </w:p>
          <w:p w14:paraId="4C3BFE04" w14:textId="77777777" w:rsidR="00EF295B" w:rsidRPr="00CF34F5" w:rsidRDefault="00EF295B" w:rsidP="00EF295B">
            <w:pPr>
              <w:pStyle w:val="NoSpacing"/>
            </w:pPr>
            <w:r w:rsidRPr="00CF34F5">
              <w:t xml:space="preserve">1) </w:t>
            </w:r>
            <w:r w:rsidRPr="00CF34F5">
              <w:rPr>
                <w:u w:val="single"/>
              </w:rPr>
              <w:t>Access to improved water</w:t>
            </w:r>
            <w:r w:rsidRPr="00CF34F5">
              <w:t xml:space="preserve"> – A household is considered to have access to improved drinking water if it has sufficient amount of water (20 litres/person/day) for family use, at an affordable price (less than 10% of the total household income) and available to household members without being subject to extreme effort (less than one hour a day for the minimum sufficient quantity), especially to women and children. An improved drinking water source is a facility that is protected from outside contamination, in particular from faecal matters’ contamination. Improved drinking water sources include: piped water into dwelling, plot or yard; public tap/stand pipe serving no more than 5 households; protected </w:t>
            </w:r>
            <w:r w:rsidRPr="00CF34F5">
              <w:lastRenderedPageBreak/>
              <w:t>spring; rainwater collection; bottled water (if secondary source is also improved); bore hole/tube well; and, protected dug well.</w:t>
            </w:r>
          </w:p>
          <w:p w14:paraId="348CCAE7" w14:textId="77777777" w:rsidR="00EF295B" w:rsidRPr="00CF34F5" w:rsidRDefault="00EF295B" w:rsidP="00EF295B">
            <w:pPr>
              <w:pStyle w:val="NoSpacing"/>
            </w:pPr>
          </w:p>
          <w:p w14:paraId="1850C587" w14:textId="77777777" w:rsidR="00EF295B" w:rsidRPr="00CF34F5" w:rsidRDefault="00EF295B" w:rsidP="00EF295B">
            <w:pPr>
              <w:pStyle w:val="NoSpacing"/>
            </w:pPr>
            <w:r w:rsidRPr="00CF34F5">
              <w:t xml:space="preserve">2) </w:t>
            </w:r>
            <w:r w:rsidRPr="00CF34F5">
              <w:rPr>
                <w:u w:val="single"/>
              </w:rPr>
              <w:t>Access to improved sanitation</w:t>
            </w:r>
            <w:r w:rsidRPr="00CF34F5">
              <w:t xml:space="preserve"> – A household is considered to have access to improved sanitation if an excreta disposal system, either in the form of a private toilet or a public toilet shared with a reasonable number of people, is available to household members. Such improved sanitation facilities, therefore, hygienically separates human waste from human contact. Improved facilities include: flush/pour-flush toilets or latrines connected to a sewer, septic tank or pit; ventilated improved pit latrine; pit latrine with a slab or platform, which covers the pit entirely; and, composting toilets/latrines.</w:t>
            </w:r>
          </w:p>
          <w:p w14:paraId="6DB69C10" w14:textId="77777777" w:rsidR="00EF295B" w:rsidRPr="00CF34F5" w:rsidRDefault="00EF295B" w:rsidP="00EF295B">
            <w:pPr>
              <w:pStyle w:val="NoSpacing"/>
            </w:pPr>
          </w:p>
          <w:p w14:paraId="118E11B8" w14:textId="77777777" w:rsidR="00EF295B" w:rsidRPr="00CF34F5" w:rsidRDefault="00EF295B" w:rsidP="00EF295B">
            <w:pPr>
              <w:pStyle w:val="NoSpacing"/>
            </w:pPr>
            <w:r w:rsidRPr="00CF34F5">
              <w:t xml:space="preserve">3) </w:t>
            </w:r>
            <w:r w:rsidRPr="00CF34F5">
              <w:rPr>
                <w:u w:val="single"/>
              </w:rPr>
              <w:t>Sufficient living area</w:t>
            </w:r>
            <w:r w:rsidRPr="00CF34F5">
              <w:t xml:space="preserve"> /overcrowding– A dwelling unit provides sufficient living area for the household members if not more than three people share the same habitable room.</w:t>
            </w:r>
            <w:r w:rsidRPr="00CF34F5">
              <w:rPr>
                <w:rStyle w:val="FootnoteReference"/>
                <w:rFonts w:ascii="Times New Roman" w:hAnsi="Times New Roman"/>
                <w:iCs/>
                <w:sz w:val="24"/>
              </w:rPr>
              <w:footnoteReference w:id="13"/>
            </w:r>
            <w:r w:rsidRPr="00CF34F5">
              <w:t xml:space="preserve"> Additional indicators of overcrowding have been proposed: area-level indicators such as average in-house living area per person or the number of households per area. Additionally, housing-unit level indicators such as the number of persons per bed or the number of children under five per room may also be viable. However, the number of persons per room has been shown to correlate with adverse health risks and is more commonly collected through household survey.</w:t>
            </w:r>
            <w:r w:rsidRPr="00CF34F5">
              <w:rPr>
                <w:rStyle w:val="FootnoteReference"/>
                <w:rFonts w:ascii="Times New Roman" w:hAnsi="Times New Roman"/>
                <w:iCs/>
                <w:sz w:val="24"/>
              </w:rPr>
              <w:footnoteReference w:id="14"/>
            </w:r>
            <w:r w:rsidRPr="00CF34F5">
              <w:t xml:space="preserve">. UN-Habitat believes that the definition as it stands does not reflect the practical experience of overcrowding and as noted below, is proposing an alternative. </w:t>
            </w:r>
          </w:p>
          <w:p w14:paraId="124A75B8" w14:textId="77777777" w:rsidR="00EF295B" w:rsidRPr="00CF34F5" w:rsidRDefault="00EF295B" w:rsidP="00EF295B">
            <w:pPr>
              <w:pStyle w:val="MText"/>
            </w:pPr>
          </w:p>
          <w:p w14:paraId="4D92DE52" w14:textId="77777777" w:rsidR="00EF295B" w:rsidRPr="00CF34F5" w:rsidRDefault="00EF295B" w:rsidP="00EF295B">
            <w:pPr>
              <w:tabs>
                <w:tab w:val="left" w:pos="3060"/>
              </w:tabs>
              <w:autoSpaceDE w:val="0"/>
              <w:autoSpaceDN w:val="0"/>
              <w:adjustRightInd w:val="0"/>
              <w:jc w:val="center"/>
              <w:rPr>
                <w:lang w:val="en-GB"/>
              </w:rPr>
            </w:pPr>
            <w:r w:rsidRPr="00CF34F5">
              <w:rPr>
                <w:noProof/>
                <w:lang w:bidi="bn-BD"/>
              </w:rPr>
              <w:lastRenderedPageBreak/>
              <w:drawing>
                <wp:inline distT="0" distB="0" distL="0" distR="0" wp14:anchorId="4103EEF8" wp14:editId="38480C62">
                  <wp:extent cx="4134678" cy="3159866"/>
                  <wp:effectExtent l="0" t="0" r="0" b="2540"/>
                  <wp:docPr id="12772" name="Picture 12772" descr="D:\08.SDGs\Metadata\Diagrams\IND11.1 Diagram Overcrow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8.SDGs\Metadata\Diagrams\IND11.1 Diagram Overcrowding.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52123" cy="3173198"/>
                          </a:xfrm>
                          <a:prstGeom prst="rect">
                            <a:avLst/>
                          </a:prstGeom>
                          <a:noFill/>
                          <a:ln>
                            <a:noFill/>
                          </a:ln>
                        </pic:spPr>
                      </pic:pic>
                    </a:graphicData>
                  </a:graphic>
                </wp:inline>
              </w:drawing>
            </w:r>
          </w:p>
          <w:p w14:paraId="1667DEC3" w14:textId="77777777" w:rsidR="00EF295B" w:rsidRPr="00CF34F5" w:rsidRDefault="00EF295B" w:rsidP="00EF295B">
            <w:pPr>
              <w:pStyle w:val="MText"/>
              <w:jc w:val="center"/>
            </w:pPr>
            <w:r w:rsidRPr="00CF34F5">
              <w:t>Figure 1- Example of Overcrowding</w:t>
            </w:r>
          </w:p>
          <w:p w14:paraId="29D992B1" w14:textId="77777777" w:rsidR="00EF295B" w:rsidRPr="00CF34F5" w:rsidRDefault="00EF295B" w:rsidP="00EF295B">
            <w:pPr>
              <w:pStyle w:val="MText"/>
              <w:jc w:val="center"/>
            </w:pPr>
          </w:p>
          <w:p w14:paraId="1ADD5E74" w14:textId="77777777" w:rsidR="00EF295B" w:rsidRPr="00CF34F5" w:rsidRDefault="00EF295B" w:rsidP="00EF295B">
            <w:pPr>
              <w:pStyle w:val="NoSpacing"/>
            </w:pPr>
            <w:r w:rsidRPr="00CF34F5">
              <w:t xml:space="preserve">4) </w:t>
            </w:r>
            <w:r w:rsidRPr="00CF34F5">
              <w:rPr>
                <w:u w:val="single"/>
              </w:rPr>
              <w:t>Structural quality/durability of dwellings</w:t>
            </w:r>
            <w:r w:rsidRPr="00CF34F5">
              <w:t xml:space="preserve"> – A house is considered as ‘durable’ if it is built on a non-hazardous location and has a permanent and adequate structure able to protect its inhabitants from the extremes of climatic conditions such as rain, heat, cold, and humidity. The following criteria are used to determine the structural quality/durability of dwellings: permanency of structure (permanent building material for the walls, roof and floor; compliance with building codes; the dwelling is not in a dilapidated state; the dwelling is not in need of major repair); and location of house (hazardous location; the dwelling is not located on or near toxic waste; the dwelling is not located in a flood plain; the dwelling is not located on a steep slope; the dwelling is not located in a dangerous right of way: rail, highway, airport, power lines).</w:t>
            </w:r>
          </w:p>
          <w:p w14:paraId="397D4CED" w14:textId="77777777" w:rsidR="00EF295B" w:rsidRPr="00CF34F5" w:rsidRDefault="00EF295B" w:rsidP="00EF295B">
            <w:pPr>
              <w:pStyle w:val="NoSpacing"/>
            </w:pPr>
          </w:p>
          <w:p w14:paraId="16FCF033" w14:textId="77777777" w:rsidR="00EF295B" w:rsidRPr="00CF34F5" w:rsidRDefault="00EF295B" w:rsidP="00EF295B">
            <w:pPr>
              <w:pStyle w:val="NoSpacing"/>
            </w:pPr>
            <w:r w:rsidRPr="00CF34F5">
              <w:t xml:space="preserve">5) </w:t>
            </w:r>
            <w:r w:rsidRPr="00CF34F5">
              <w:rPr>
                <w:u w:val="single"/>
              </w:rPr>
              <w:t>Security of tenure</w:t>
            </w:r>
            <w:r w:rsidRPr="00CF34F5">
              <w:t xml:space="preserve"> – Secure tenure is the right of all individuals and groups to effective protection by the State against forced evictions. Security of tenure is understood as a set of relationships with respect to housing and land, established </w:t>
            </w:r>
            <w:r w:rsidRPr="00CF34F5">
              <w:lastRenderedPageBreak/>
              <w:t>through statutory or customary law or informal or hybrid arrangements, that enables one to live in one’s home with security, peace and dignity (A/HRC/25/54). Regardless of the type of tenure, all persons with security of tenure have a legal status against arbitrary unlawful eviction, harassment and other threats. People have secure tenure when: there is evidence of documentation that can be used as proof of secure tenure status; and, there is either de facto or perceived protection from forced evictions. Important progress has been made to integrate the measurement of this component into the computation of the people living in slums.</w:t>
            </w:r>
          </w:p>
          <w:p w14:paraId="00978EAD" w14:textId="77777777" w:rsidR="00EF295B" w:rsidRPr="00CF34F5" w:rsidRDefault="00EF295B" w:rsidP="00EF295B">
            <w:pPr>
              <w:pStyle w:val="NoSpacing"/>
            </w:pPr>
          </w:p>
          <w:p w14:paraId="51493486" w14:textId="77777777" w:rsidR="00EF295B" w:rsidRPr="00CF34F5" w:rsidRDefault="00EF295B" w:rsidP="00EF295B">
            <w:pPr>
              <w:pStyle w:val="NoSpacing"/>
            </w:pPr>
            <w:r w:rsidRPr="00CF34F5">
              <w:t xml:space="preserve">Informal Settlements </w:t>
            </w:r>
          </w:p>
          <w:p w14:paraId="0070E2EF" w14:textId="77777777" w:rsidR="00EF295B" w:rsidRPr="00CF34F5" w:rsidRDefault="00EF295B" w:rsidP="00EF295B">
            <w:pPr>
              <w:pStyle w:val="NoSpacing"/>
            </w:pPr>
            <w:proofErr w:type="gramStart"/>
            <w:r w:rsidRPr="00CF34F5">
              <w:rPr>
                <w:b/>
              </w:rPr>
              <w:t>b</w:t>
            </w:r>
            <w:proofErr w:type="gramEnd"/>
            <w:r w:rsidRPr="00CF34F5">
              <w:rPr>
                <w:b/>
              </w:rPr>
              <w:t xml:space="preserve">. Informal Settlements </w:t>
            </w:r>
            <w:r w:rsidRPr="00CF34F5">
              <w:t>– Informal settlements are usually seen as synonymous of slums, with a particular focus on the formal status of land, structure and services. They are defined by three main criteria, according to Habitat III Issue Paper #22</w:t>
            </w:r>
            <w:r w:rsidRPr="00CF34F5">
              <w:rPr>
                <w:rStyle w:val="FootnoteReference"/>
                <w:rFonts w:ascii="Times New Roman" w:hAnsi="Times New Roman"/>
                <w:iCs/>
                <w:sz w:val="24"/>
              </w:rPr>
              <w:footnoteReference w:id="15"/>
            </w:r>
            <w:r w:rsidRPr="00CF34F5">
              <w:t xml:space="preserve">, which are already covered in the definition of slums. These are: </w:t>
            </w:r>
          </w:p>
          <w:p w14:paraId="05BE9922" w14:textId="77777777" w:rsidR="00EF295B" w:rsidRPr="00CF34F5" w:rsidRDefault="00EF295B" w:rsidP="00EF295B">
            <w:pPr>
              <w:pStyle w:val="NoSpacing"/>
            </w:pPr>
            <w:r w:rsidRPr="00CF34F5">
              <w:rPr>
                <w:u w:val="single"/>
              </w:rPr>
              <w:t>Inhabitants have no security of tenure</w:t>
            </w:r>
            <w:r w:rsidRPr="00CF34F5">
              <w:t xml:space="preserve"> vis-à-vis the land or dwellings they inhabit, with modalities ranging from squatting to informal rental housing, </w:t>
            </w:r>
          </w:p>
          <w:p w14:paraId="7C056A91" w14:textId="77777777" w:rsidR="00EF295B" w:rsidRPr="00CF34F5" w:rsidRDefault="00EF295B" w:rsidP="00EF295B">
            <w:pPr>
              <w:pStyle w:val="NoSpacing"/>
            </w:pPr>
            <w:r w:rsidRPr="00CF34F5">
              <w:t xml:space="preserve">The neighbourhoods usually lack, or are cut off from, formal basic services and city infrastructure, and </w:t>
            </w:r>
          </w:p>
          <w:p w14:paraId="76D6315E" w14:textId="77777777" w:rsidR="00EF295B" w:rsidRPr="00CF34F5" w:rsidRDefault="00EF295B" w:rsidP="00EF295B">
            <w:pPr>
              <w:pStyle w:val="NoSpacing"/>
            </w:pPr>
            <w:r w:rsidRPr="00CF34F5">
              <w:t xml:space="preserve">The housing may not comply with current planning and building regulations, is often situated in geographically and environmentally hazardous areas, and may lack a municipal permit. </w:t>
            </w:r>
          </w:p>
          <w:p w14:paraId="1230EB4C" w14:textId="77777777" w:rsidR="00EF295B" w:rsidRPr="00CF34F5" w:rsidRDefault="00EF295B" w:rsidP="00EF295B">
            <w:pPr>
              <w:pStyle w:val="NoSpacing"/>
            </w:pPr>
          </w:p>
          <w:p w14:paraId="79BF77BB" w14:textId="77777777" w:rsidR="00EF295B" w:rsidRPr="00CF34F5" w:rsidRDefault="00EF295B" w:rsidP="00EF295B">
            <w:pPr>
              <w:pStyle w:val="NoSpacing"/>
            </w:pPr>
            <w:r w:rsidRPr="00CF34F5">
              <w:t xml:space="preserve">Informal settlements can be occupied by all income levels of urban residents, affluent and poor.   </w:t>
            </w:r>
          </w:p>
          <w:p w14:paraId="416138D2" w14:textId="77777777" w:rsidR="00EF295B" w:rsidRDefault="00EF295B" w:rsidP="00EF295B">
            <w:pPr>
              <w:pStyle w:val="NoSpacing"/>
            </w:pPr>
          </w:p>
          <w:p w14:paraId="49CD9BBE" w14:textId="77777777" w:rsidR="00EF295B" w:rsidRDefault="00EF295B" w:rsidP="00EF295B">
            <w:pPr>
              <w:pStyle w:val="NoSpacing"/>
            </w:pPr>
            <w:r>
              <w:t>Inadequate Housing</w:t>
            </w:r>
          </w:p>
          <w:p w14:paraId="6FDC9E7D" w14:textId="77777777" w:rsidR="00EF295B" w:rsidRDefault="00EF295B" w:rsidP="00EF295B">
            <w:pPr>
              <w:pStyle w:val="NoSpacing"/>
            </w:pPr>
          </w:p>
          <w:p w14:paraId="7DB912C6" w14:textId="77777777" w:rsidR="00EF295B" w:rsidRDefault="00EF295B" w:rsidP="00EF295B">
            <w:pPr>
              <w:pStyle w:val="NoSpacing"/>
            </w:pPr>
            <w:r>
              <w:t xml:space="preserve">c. Inadequate Housing – Article 25 of the Universal Declaration of Human Rights includes housing as one of the components of the right to adequate standards of living for all.  The United Nations Committee on Economic, Social and Cultural Rights’ general comments No.4 (1991) on the right to adequate housing and No.7 (1997) on forced evictions have underlined that the right to adequate housing should be seen as the right to live somewhere in security, peace and dignity. For housing to be adequate, it must provide more than four walls and a roof, and at a minimum, meet the following criteria: </w:t>
            </w:r>
          </w:p>
          <w:p w14:paraId="40122F64" w14:textId="77777777" w:rsidR="00EF295B" w:rsidRDefault="00EF295B" w:rsidP="00EF295B">
            <w:pPr>
              <w:pStyle w:val="NoSpacing"/>
            </w:pPr>
          </w:p>
          <w:p w14:paraId="14B0D3BE" w14:textId="77777777" w:rsidR="00EF295B" w:rsidRDefault="00EF295B" w:rsidP="00EF295B">
            <w:pPr>
              <w:pStyle w:val="NoSpacing"/>
            </w:pPr>
            <w:r>
              <w:t>1.</w:t>
            </w:r>
            <w:r>
              <w:rPr>
                <w:rFonts w:hint="cs"/>
                <w:cs/>
                <w:lang w:bidi="bn-BD"/>
              </w:rPr>
              <w:t xml:space="preserve"> </w:t>
            </w:r>
            <w:r>
              <w:t xml:space="preserve">Legal security of tenure, which guarantees legal protection against forced evictions, harassment and other threats; </w:t>
            </w:r>
          </w:p>
          <w:p w14:paraId="5EB7CD47" w14:textId="77777777" w:rsidR="00EF295B" w:rsidRDefault="00EF295B" w:rsidP="00EF295B">
            <w:pPr>
              <w:pStyle w:val="NoSpacing"/>
            </w:pPr>
            <w:r>
              <w:t>2.</w:t>
            </w:r>
            <w:r>
              <w:rPr>
                <w:rFonts w:hint="cs"/>
                <w:cs/>
                <w:lang w:bidi="bn-BD"/>
              </w:rPr>
              <w:t xml:space="preserve"> </w:t>
            </w:r>
            <w:r>
              <w:t>Availability of services, materials, facilities and infrastructure, including safe drinking water, adequate sanitation, energy for cooking, heating, lighting, food storage or refuse disposal;</w:t>
            </w:r>
          </w:p>
          <w:p w14:paraId="4C4B11E8" w14:textId="77777777" w:rsidR="00EF295B" w:rsidRDefault="00EF295B" w:rsidP="00EF295B">
            <w:pPr>
              <w:pStyle w:val="NoSpacing"/>
            </w:pPr>
            <w:r>
              <w:t>3.</w:t>
            </w:r>
            <w:r>
              <w:rPr>
                <w:rFonts w:hint="cs"/>
                <w:cs/>
                <w:lang w:bidi="bn-BD"/>
              </w:rPr>
              <w:t xml:space="preserve"> </w:t>
            </w:r>
            <w:r>
              <w:t xml:space="preserve">Affordability, as housing is not adequate if its cost threatens or compromises the occupants’ enjoyment of other human rights; </w:t>
            </w:r>
          </w:p>
          <w:p w14:paraId="76FAC772" w14:textId="77777777" w:rsidR="00EF295B" w:rsidRDefault="00EF295B" w:rsidP="00EF295B">
            <w:pPr>
              <w:pStyle w:val="NoSpacing"/>
            </w:pPr>
            <w:r>
              <w:t>4.</w:t>
            </w:r>
            <w:r>
              <w:rPr>
                <w:rFonts w:hint="cs"/>
                <w:cs/>
                <w:lang w:bidi="bn-BD"/>
              </w:rPr>
              <w:t xml:space="preserve"> </w:t>
            </w:r>
            <w:r>
              <w:t xml:space="preserve">Habitability, as housing is not adequate if it does not guarantee physical safety or provide adequate space, as well as protection against the cold, damp, heat, rain, wind, other threats to health and structural hazards; </w:t>
            </w:r>
          </w:p>
          <w:p w14:paraId="0DC25C46" w14:textId="77777777" w:rsidR="00EF295B" w:rsidRDefault="00EF295B" w:rsidP="00EF295B">
            <w:pPr>
              <w:pStyle w:val="NoSpacing"/>
            </w:pPr>
            <w:r>
              <w:lastRenderedPageBreak/>
              <w:t>5.</w:t>
            </w:r>
            <w:r>
              <w:rPr>
                <w:rFonts w:hint="cs"/>
                <w:cs/>
                <w:lang w:bidi="bn-BD"/>
              </w:rPr>
              <w:t xml:space="preserve"> </w:t>
            </w:r>
            <w:r>
              <w:t xml:space="preserve">Accessibility, as housing is not adequate if the specific needs of disadvantaged and marginalized groups are not taken into account (such as the poor, people facing discrimination; persons with disabilities, victims of natural disasters); </w:t>
            </w:r>
          </w:p>
          <w:p w14:paraId="745AA6A5" w14:textId="77777777" w:rsidR="00EF295B" w:rsidRDefault="00EF295B" w:rsidP="00EF295B">
            <w:pPr>
              <w:pStyle w:val="NoSpacing"/>
            </w:pPr>
            <w:r>
              <w:t>6.</w:t>
            </w:r>
            <w:r>
              <w:rPr>
                <w:rFonts w:hint="cs"/>
                <w:cs/>
                <w:lang w:bidi="bn-BD"/>
              </w:rPr>
              <w:t xml:space="preserve"> </w:t>
            </w:r>
            <w:r>
              <w:t>Location, as housing is not adequate if it is cut off from employment opportunities, health-care services, schools, childcare centres and other social facilities, or if located in dangerous or polluted sites or in immediate proximity to pollution sources; and</w:t>
            </w:r>
          </w:p>
          <w:p w14:paraId="54B7F124" w14:textId="77777777" w:rsidR="00EF295B" w:rsidRDefault="00EF295B" w:rsidP="00EF295B">
            <w:pPr>
              <w:pStyle w:val="NoSpacing"/>
            </w:pPr>
            <w:r>
              <w:t>7.</w:t>
            </w:r>
            <w:r>
              <w:rPr>
                <w:rFonts w:hint="cs"/>
                <w:cs/>
                <w:lang w:bidi="bn-BD"/>
              </w:rPr>
              <w:t xml:space="preserve"> </w:t>
            </w:r>
            <w:r>
              <w:t>Cultural adequacy, as housing is not adequate if it does not respect and take into account the expression of cultural identity and ways of life.</w:t>
            </w:r>
          </w:p>
          <w:p w14:paraId="2FAACCD1" w14:textId="77777777" w:rsidR="00EF295B" w:rsidRDefault="00EF295B" w:rsidP="00EF295B">
            <w:pPr>
              <w:pStyle w:val="MText"/>
            </w:pPr>
          </w:p>
          <w:tbl>
            <w:tblPr>
              <w:tblStyle w:val="TableGrid"/>
              <w:tblW w:w="0" w:type="auto"/>
              <w:tblInd w:w="360" w:type="dxa"/>
              <w:tblLook w:val="04A0" w:firstRow="1" w:lastRow="0" w:firstColumn="1" w:lastColumn="0" w:noHBand="0" w:noVBand="1"/>
            </w:tblPr>
            <w:tblGrid>
              <w:gridCol w:w="2094"/>
              <w:gridCol w:w="1318"/>
              <w:gridCol w:w="1623"/>
              <w:gridCol w:w="1839"/>
            </w:tblGrid>
            <w:tr w:rsidR="00EF295B" w:rsidRPr="00CF34F5" w14:paraId="421D1E13" w14:textId="77777777" w:rsidTr="00CB1D07">
              <w:tc>
                <w:tcPr>
                  <w:tcW w:w="8028" w:type="dxa"/>
                  <w:gridSpan w:val="4"/>
                </w:tcPr>
                <w:p w14:paraId="4680467E" w14:textId="77777777" w:rsidR="00EF295B" w:rsidRPr="00CF34F5" w:rsidRDefault="00EF295B" w:rsidP="00EF295B">
                  <w:pPr>
                    <w:pStyle w:val="NoSpacing"/>
                  </w:pPr>
                  <w:r w:rsidRPr="00CF34F5">
                    <w:t>Table 1. Criteria defining slums, informal settlements and inadequate housing</w:t>
                  </w:r>
                </w:p>
              </w:tc>
            </w:tr>
            <w:tr w:rsidR="00EF295B" w:rsidRPr="00CF34F5" w14:paraId="0362F1A8" w14:textId="77777777" w:rsidTr="00CB1D07">
              <w:tc>
                <w:tcPr>
                  <w:tcW w:w="2448" w:type="dxa"/>
                </w:tcPr>
                <w:p w14:paraId="7217919F" w14:textId="77777777" w:rsidR="00EF295B" w:rsidRPr="00CF34F5" w:rsidRDefault="00EF295B" w:rsidP="00EF295B">
                  <w:pPr>
                    <w:pStyle w:val="NoSpacing"/>
                  </w:pPr>
                </w:p>
              </w:tc>
              <w:tc>
                <w:tcPr>
                  <w:tcW w:w="1569" w:type="dxa"/>
                </w:tcPr>
                <w:p w14:paraId="0D3A6EFC" w14:textId="77777777" w:rsidR="00EF295B" w:rsidRPr="00CF34F5" w:rsidRDefault="00EF295B" w:rsidP="00EF295B">
                  <w:pPr>
                    <w:pStyle w:val="NoSpacing"/>
                  </w:pPr>
                  <w:r w:rsidRPr="00CF34F5">
                    <w:t xml:space="preserve">Slums </w:t>
                  </w:r>
                </w:p>
              </w:tc>
              <w:tc>
                <w:tcPr>
                  <w:tcW w:w="1857" w:type="dxa"/>
                </w:tcPr>
                <w:p w14:paraId="15C07485" w14:textId="77777777" w:rsidR="00EF295B" w:rsidRPr="00CF34F5" w:rsidRDefault="00EF295B" w:rsidP="00EF295B">
                  <w:pPr>
                    <w:pStyle w:val="NoSpacing"/>
                  </w:pPr>
                  <w:r w:rsidRPr="00CF34F5">
                    <w:t>Informal Settlements</w:t>
                  </w:r>
                </w:p>
              </w:tc>
              <w:tc>
                <w:tcPr>
                  <w:tcW w:w="2154" w:type="dxa"/>
                </w:tcPr>
                <w:p w14:paraId="1342C3EC" w14:textId="77777777" w:rsidR="00EF295B" w:rsidRPr="00CF34F5" w:rsidRDefault="00EF295B" w:rsidP="00EF295B">
                  <w:pPr>
                    <w:pStyle w:val="NoSpacing"/>
                  </w:pPr>
                  <w:r w:rsidRPr="00CF34F5">
                    <w:t>Inadequate Housing</w:t>
                  </w:r>
                </w:p>
              </w:tc>
            </w:tr>
            <w:tr w:rsidR="00EF295B" w:rsidRPr="00CF34F5" w14:paraId="4F7D8535" w14:textId="77777777" w:rsidTr="00CB1D07">
              <w:tc>
                <w:tcPr>
                  <w:tcW w:w="2448" w:type="dxa"/>
                </w:tcPr>
                <w:p w14:paraId="05DD60FF" w14:textId="77777777" w:rsidR="00EF295B" w:rsidRPr="00CF34F5" w:rsidRDefault="00EF295B" w:rsidP="00EF295B">
                  <w:pPr>
                    <w:pStyle w:val="NoSpacing"/>
                  </w:pPr>
                  <w:r w:rsidRPr="00CF34F5">
                    <w:t>access to water</w:t>
                  </w:r>
                </w:p>
              </w:tc>
              <w:tc>
                <w:tcPr>
                  <w:tcW w:w="1569" w:type="dxa"/>
                </w:tcPr>
                <w:p w14:paraId="18DEDB80" w14:textId="77777777" w:rsidR="00EF295B" w:rsidRPr="00CF34F5" w:rsidRDefault="00EF295B" w:rsidP="00EF295B">
                  <w:pPr>
                    <w:pStyle w:val="MText"/>
                  </w:pPr>
                  <w:r w:rsidRPr="00CF34F5">
                    <w:t>X</w:t>
                  </w:r>
                </w:p>
              </w:tc>
              <w:tc>
                <w:tcPr>
                  <w:tcW w:w="1857" w:type="dxa"/>
                </w:tcPr>
                <w:p w14:paraId="38976E34" w14:textId="77777777" w:rsidR="00EF295B" w:rsidRPr="00CF34F5" w:rsidRDefault="00EF295B" w:rsidP="00EF295B">
                  <w:pPr>
                    <w:pStyle w:val="MText"/>
                  </w:pPr>
                  <w:r w:rsidRPr="00CF34F5">
                    <w:t>X</w:t>
                  </w:r>
                </w:p>
              </w:tc>
              <w:tc>
                <w:tcPr>
                  <w:tcW w:w="2154" w:type="dxa"/>
                </w:tcPr>
                <w:p w14:paraId="246B9D47" w14:textId="77777777" w:rsidR="00EF295B" w:rsidRPr="00CF34F5" w:rsidRDefault="00EF295B" w:rsidP="00EF295B">
                  <w:pPr>
                    <w:pStyle w:val="MText"/>
                  </w:pPr>
                  <w:r w:rsidRPr="00CF34F5">
                    <w:t>X</w:t>
                  </w:r>
                </w:p>
              </w:tc>
            </w:tr>
            <w:tr w:rsidR="00EF295B" w:rsidRPr="00CF34F5" w14:paraId="67F599C2" w14:textId="77777777" w:rsidTr="00CB1D07">
              <w:tc>
                <w:tcPr>
                  <w:tcW w:w="2448" w:type="dxa"/>
                </w:tcPr>
                <w:p w14:paraId="1D6C28FC" w14:textId="77777777" w:rsidR="00EF295B" w:rsidRPr="00CF34F5" w:rsidRDefault="00EF295B" w:rsidP="00EF295B">
                  <w:pPr>
                    <w:pStyle w:val="NoSpacing"/>
                  </w:pPr>
                  <w:r w:rsidRPr="00CF34F5">
                    <w:t>access to sanitation</w:t>
                  </w:r>
                </w:p>
              </w:tc>
              <w:tc>
                <w:tcPr>
                  <w:tcW w:w="1569" w:type="dxa"/>
                </w:tcPr>
                <w:p w14:paraId="596D0025" w14:textId="77777777" w:rsidR="00EF295B" w:rsidRPr="00CF34F5" w:rsidRDefault="00EF295B" w:rsidP="00EF295B">
                  <w:pPr>
                    <w:pStyle w:val="MText"/>
                  </w:pPr>
                  <w:r w:rsidRPr="00CF34F5">
                    <w:t>X</w:t>
                  </w:r>
                </w:p>
              </w:tc>
              <w:tc>
                <w:tcPr>
                  <w:tcW w:w="1857" w:type="dxa"/>
                </w:tcPr>
                <w:p w14:paraId="45AB78E9" w14:textId="77777777" w:rsidR="00EF295B" w:rsidRPr="00CF34F5" w:rsidRDefault="00EF295B" w:rsidP="00EF295B">
                  <w:pPr>
                    <w:pStyle w:val="MText"/>
                  </w:pPr>
                  <w:r w:rsidRPr="00CF34F5">
                    <w:t>X</w:t>
                  </w:r>
                </w:p>
              </w:tc>
              <w:tc>
                <w:tcPr>
                  <w:tcW w:w="2154" w:type="dxa"/>
                </w:tcPr>
                <w:p w14:paraId="5E4A6AF1" w14:textId="77777777" w:rsidR="00EF295B" w:rsidRPr="00CF34F5" w:rsidRDefault="00EF295B" w:rsidP="00EF295B">
                  <w:pPr>
                    <w:pStyle w:val="MText"/>
                  </w:pPr>
                  <w:r w:rsidRPr="00CF34F5">
                    <w:t>X</w:t>
                  </w:r>
                </w:p>
              </w:tc>
            </w:tr>
            <w:tr w:rsidR="00EF295B" w:rsidRPr="00CF34F5" w14:paraId="734BAE3D" w14:textId="77777777" w:rsidTr="00CB1D07">
              <w:tc>
                <w:tcPr>
                  <w:tcW w:w="2448" w:type="dxa"/>
                </w:tcPr>
                <w:p w14:paraId="54188B21" w14:textId="77777777" w:rsidR="00EF295B" w:rsidRPr="00CF34F5" w:rsidRDefault="00EF295B" w:rsidP="00EF295B">
                  <w:pPr>
                    <w:pStyle w:val="NoSpacing"/>
                  </w:pPr>
                  <w:r w:rsidRPr="00CF34F5">
                    <w:t>sufficient living area, overcrowding</w:t>
                  </w:r>
                </w:p>
              </w:tc>
              <w:tc>
                <w:tcPr>
                  <w:tcW w:w="1569" w:type="dxa"/>
                </w:tcPr>
                <w:p w14:paraId="4C9E6128" w14:textId="77777777" w:rsidR="00EF295B" w:rsidRPr="00CF34F5" w:rsidRDefault="00EF295B" w:rsidP="00EF295B">
                  <w:pPr>
                    <w:pStyle w:val="MText"/>
                  </w:pPr>
                  <w:r w:rsidRPr="00CF34F5">
                    <w:t>X</w:t>
                  </w:r>
                </w:p>
              </w:tc>
              <w:tc>
                <w:tcPr>
                  <w:tcW w:w="1857" w:type="dxa"/>
                </w:tcPr>
                <w:p w14:paraId="73021225" w14:textId="77777777" w:rsidR="00EF295B" w:rsidRPr="00CF34F5" w:rsidRDefault="00EF295B" w:rsidP="00EF295B">
                  <w:pPr>
                    <w:pStyle w:val="MText"/>
                  </w:pPr>
                </w:p>
              </w:tc>
              <w:tc>
                <w:tcPr>
                  <w:tcW w:w="2154" w:type="dxa"/>
                </w:tcPr>
                <w:p w14:paraId="317F14BF" w14:textId="77777777" w:rsidR="00EF295B" w:rsidRPr="00CF34F5" w:rsidRDefault="00EF295B" w:rsidP="00EF295B">
                  <w:pPr>
                    <w:pStyle w:val="MText"/>
                  </w:pPr>
                  <w:r w:rsidRPr="00CF34F5">
                    <w:t>X</w:t>
                  </w:r>
                </w:p>
              </w:tc>
            </w:tr>
            <w:tr w:rsidR="00EF295B" w:rsidRPr="00CF34F5" w14:paraId="0796D690" w14:textId="77777777" w:rsidTr="00CB1D07">
              <w:tc>
                <w:tcPr>
                  <w:tcW w:w="2448" w:type="dxa"/>
                </w:tcPr>
                <w:p w14:paraId="3968459C" w14:textId="77777777" w:rsidR="00EF295B" w:rsidRPr="00CF34F5" w:rsidRDefault="00EF295B" w:rsidP="00EF295B">
                  <w:pPr>
                    <w:pStyle w:val="NoSpacing"/>
                  </w:pPr>
                  <w:r w:rsidRPr="00CF34F5">
                    <w:t>structural quality, durability and location</w:t>
                  </w:r>
                </w:p>
              </w:tc>
              <w:tc>
                <w:tcPr>
                  <w:tcW w:w="1569" w:type="dxa"/>
                </w:tcPr>
                <w:p w14:paraId="7043376D" w14:textId="77777777" w:rsidR="00EF295B" w:rsidRPr="00CF34F5" w:rsidRDefault="00EF295B" w:rsidP="00EF295B">
                  <w:pPr>
                    <w:pStyle w:val="MText"/>
                  </w:pPr>
                  <w:r w:rsidRPr="00CF34F5">
                    <w:t>X</w:t>
                  </w:r>
                </w:p>
              </w:tc>
              <w:tc>
                <w:tcPr>
                  <w:tcW w:w="1857" w:type="dxa"/>
                </w:tcPr>
                <w:p w14:paraId="5DB254EB" w14:textId="77777777" w:rsidR="00EF295B" w:rsidRPr="00CF34F5" w:rsidRDefault="00EF295B" w:rsidP="00EF295B">
                  <w:pPr>
                    <w:pStyle w:val="MText"/>
                  </w:pPr>
                  <w:r w:rsidRPr="00CF34F5">
                    <w:t>X</w:t>
                  </w:r>
                </w:p>
              </w:tc>
              <w:tc>
                <w:tcPr>
                  <w:tcW w:w="2154" w:type="dxa"/>
                </w:tcPr>
                <w:p w14:paraId="1D70B32F" w14:textId="77777777" w:rsidR="00EF295B" w:rsidRPr="00CF34F5" w:rsidRDefault="00EF295B" w:rsidP="00EF295B">
                  <w:pPr>
                    <w:pStyle w:val="MText"/>
                  </w:pPr>
                  <w:r w:rsidRPr="00CF34F5">
                    <w:t>X</w:t>
                  </w:r>
                </w:p>
              </w:tc>
            </w:tr>
            <w:tr w:rsidR="00EF295B" w:rsidRPr="00CF34F5" w14:paraId="6287B84D" w14:textId="77777777" w:rsidTr="00CB1D07">
              <w:tc>
                <w:tcPr>
                  <w:tcW w:w="2448" w:type="dxa"/>
                </w:tcPr>
                <w:p w14:paraId="40B2068A" w14:textId="77777777" w:rsidR="00EF295B" w:rsidRPr="00CF34F5" w:rsidRDefault="00EF295B" w:rsidP="00EF295B">
                  <w:pPr>
                    <w:pStyle w:val="NoSpacing"/>
                  </w:pPr>
                  <w:r w:rsidRPr="00CF34F5">
                    <w:t>security of tenure</w:t>
                  </w:r>
                </w:p>
              </w:tc>
              <w:tc>
                <w:tcPr>
                  <w:tcW w:w="1569" w:type="dxa"/>
                </w:tcPr>
                <w:p w14:paraId="08B1A6C4" w14:textId="77777777" w:rsidR="00EF295B" w:rsidRPr="00CF34F5" w:rsidRDefault="00EF295B" w:rsidP="00EF295B">
                  <w:pPr>
                    <w:pStyle w:val="MText"/>
                  </w:pPr>
                  <w:r w:rsidRPr="00CF34F5">
                    <w:t>X</w:t>
                  </w:r>
                </w:p>
              </w:tc>
              <w:tc>
                <w:tcPr>
                  <w:tcW w:w="1857" w:type="dxa"/>
                </w:tcPr>
                <w:p w14:paraId="22575D62" w14:textId="77777777" w:rsidR="00EF295B" w:rsidRPr="00CF34F5" w:rsidRDefault="00EF295B" w:rsidP="00EF295B">
                  <w:pPr>
                    <w:pStyle w:val="MText"/>
                  </w:pPr>
                  <w:r w:rsidRPr="00CF34F5">
                    <w:t>X</w:t>
                  </w:r>
                </w:p>
              </w:tc>
              <w:tc>
                <w:tcPr>
                  <w:tcW w:w="2154" w:type="dxa"/>
                </w:tcPr>
                <w:p w14:paraId="0CA64A94" w14:textId="77777777" w:rsidR="00EF295B" w:rsidRPr="00CF34F5" w:rsidRDefault="00EF295B" w:rsidP="00EF295B">
                  <w:pPr>
                    <w:pStyle w:val="MText"/>
                  </w:pPr>
                  <w:r w:rsidRPr="00CF34F5">
                    <w:t>X</w:t>
                  </w:r>
                </w:p>
              </w:tc>
            </w:tr>
            <w:tr w:rsidR="00EF295B" w:rsidRPr="00CF34F5" w14:paraId="703F150F" w14:textId="77777777" w:rsidTr="00CB1D07">
              <w:tc>
                <w:tcPr>
                  <w:tcW w:w="2448" w:type="dxa"/>
                </w:tcPr>
                <w:p w14:paraId="0BB64615" w14:textId="77777777" w:rsidR="00EF295B" w:rsidRPr="00CF34F5" w:rsidRDefault="00EF295B" w:rsidP="00EF295B">
                  <w:pPr>
                    <w:pStyle w:val="NoSpacing"/>
                  </w:pPr>
                  <w:r w:rsidRPr="00CF34F5">
                    <w:t>affordability</w:t>
                  </w:r>
                </w:p>
              </w:tc>
              <w:tc>
                <w:tcPr>
                  <w:tcW w:w="1569" w:type="dxa"/>
                </w:tcPr>
                <w:p w14:paraId="6AAB3A84" w14:textId="77777777" w:rsidR="00EF295B" w:rsidRPr="00CF34F5" w:rsidRDefault="00EF295B" w:rsidP="00EF295B">
                  <w:pPr>
                    <w:pStyle w:val="MText"/>
                  </w:pPr>
                </w:p>
              </w:tc>
              <w:tc>
                <w:tcPr>
                  <w:tcW w:w="1857" w:type="dxa"/>
                </w:tcPr>
                <w:p w14:paraId="45F0BE35" w14:textId="77777777" w:rsidR="00EF295B" w:rsidRPr="00CF34F5" w:rsidRDefault="00EF295B" w:rsidP="00EF295B">
                  <w:pPr>
                    <w:pStyle w:val="MText"/>
                  </w:pPr>
                </w:p>
              </w:tc>
              <w:tc>
                <w:tcPr>
                  <w:tcW w:w="2154" w:type="dxa"/>
                </w:tcPr>
                <w:p w14:paraId="3FBDD271" w14:textId="77777777" w:rsidR="00EF295B" w:rsidRPr="00CF34F5" w:rsidRDefault="00EF295B" w:rsidP="00EF295B">
                  <w:pPr>
                    <w:pStyle w:val="MText"/>
                  </w:pPr>
                  <w:r w:rsidRPr="00CF34F5">
                    <w:t>X</w:t>
                  </w:r>
                </w:p>
              </w:tc>
            </w:tr>
            <w:tr w:rsidR="00EF295B" w:rsidRPr="00CF34F5" w14:paraId="0B79C6A7" w14:textId="77777777" w:rsidTr="00CB1D07">
              <w:tc>
                <w:tcPr>
                  <w:tcW w:w="2448" w:type="dxa"/>
                </w:tcPr>
                <w:p w14:paraId="3F17E2C0" w14:textId="77777777" w:rsidR="00EF295B" w:rsidRPr="00CF34F5" w:rsidRDefault="00EF295B" w:rsidP="00EF295B">
                  <w:pPr>
                    <w:pStyle w:val="NoSpacing"/>
                  </w:pPr>
                  <w:r w:rsidRPr="00CF34F5">
                    <w:t>accessibility</w:t>
                  </w:r>
                </w:p>
              </w:tc>
              <w:tc>
                <w:tcPr>
                  <w:tcW w:w="1569" w:type="dxa"/>
                </w:tcPr>
                <w:p w14:paraId="1262B4CC" w14:textId="77777777" w:rsidR="00EF295B" w:rsidRPr="00CF34F5" w:rsidRDefault="00EF295B" w:rsidP="00EF295B">
                  <w:pPr>
                    <w:pStyle w:val="MText"/>
                  </w:pPr>
                </w:p>
              </w:tc>
              <w:tc>
                <w:tcPr>
                  <w:tcW w:w="1857" w:type="dxa"/>
                </w:tcPr>
                <w:p w14:paraId="6FBEAFCD" w14:textId="77777777" w:rsidR="00EF295B" w:rsidRPr="00CF34F5" w:rsidRDefault="00EF295B" w:rsidP="00EF295B">
                  <w:pPr>
                    <w:pStyle w:val="MText"/>
                  </w:pPr>
                </w:p>
              </w:tc>
              <w:tc>
                <w:tcPr>
                  <w:tcW w:w="2154" w:type="dxa"/>
                </w:tcPr>
                <w:p w14:paraId="016B466F" w14:textId="77777777" w:rsidR="00EF295B" w:rsidRPr="00CF34F5" w:rsidRDefault="00EF295B" w:rsidP="00EF295B">
                  <w:pPr>
                    <w:pStyle w:val="MText"/>
                  </w:pPr>
                  <w:r w:rsidRPr="00CF34F5">
                    <w:t>X</w:t>
                  </w:r>
                </w:p>
              </w:tc>
            </w:tr>
            <w:tr w:rsidR="00EF295B" w:rsidRPr="00CF34F5" w14:paraId="3BCA004E" w14:textId="77777777" w:rsidTr="00CB1D07">
              <w:tc>
                <w:tcPr>
                  <w:tcW w:w="2448" w:type="dxa"/>
                </w:tcPr>
                <w:p w14:paraId="59C69C3B" w14:textId="77777777" w:rsidR="00EF295B" w:rsidRPr="00CF34F5" w:rsidRDefault="00EF295B" w:rsidP="00EF295B">
                  <w:pPr>
                    <w:pStyle w:val="NoSpacing"/>
                  </w:pPr>
                  <w:r w:rsidRPr="00CF34F5">
                    <w:t>cultural adequacy</w:t>
                  </w:r>
                </w:p>
              </w:tc>
              <w:tc>
                <w:tcPr>
                  <w:tcW w:w="1569" w:type="dxa"/>
                </w:tcPr>
                <w:p w14:paraId="3364652E" w14:textId="77777777" w:rsidR="00EF295B" w:rsidRPr="00CF34F5" w:rsidRDefault="00EF295B" w:rsidP="00EF295B">
                  <w:pPr>
                    <w:pStyle w:val="MText"/>
                  </w:pPr>
                </w:p>
              </w:tc>
              <w:tc>
                <w:tcPr>
                  <w:tcW w:w="1857" w:type="dxa"/>
                </w:tcPr>
                <w:p w14:paraId="2D8A5A7F" w14:textId="77777777" w:rsidR="00EF295B" w:rsidRPr="00CF34F5" w:rsidRDefault="00EF295B" w:rsidP="00EF295B">
                  <w:pPr>
                    <w:pStyle w:val="MText"/>
                  </w:pPr>
                </w:p>
              </w:tc>
              <w:tc>
                <w:tcPr>
                  <w:tcW w:w="2154" w:type="dxa"/>
                </w:tcPr>
                <w:p w14:paraId="2FBE8A3D" w14:textId="77777777" w:rsidR="00EF295B" w:rsidRPr="00CF34F5" w:rsidRDefault="00EF295B" w:rsidP="00EF295B">
                  <w:pPr>
                    <w:pStyle w:val="MText"/>
                  </w:pPr>
                  <w:r w:rsidRPr="00CF34F5">
                    <w:t>X</w:t>
                  </w:r>
                </w:p>
              </w:tc>
            </w:tr>
          </w:tbl>
          <w:p w14:paraId="4F7A8860" w14:textId="77777777" w:rsidR="00EF295B" w:rsidRDefault="00EF295B" w:rsidP="00EF295B">
            <w:pPr>
              <w:pStyle w:val="MText"/>
            </w:pPr>
          </w:p>
          <w:p w14:paraId="2ACEB520" w14:textId="77777777" w:rsidR="00EF295B" w:rsidRPr="00CF34F5" w:rsidRDefault="00EF295B" w:rsidP="00EF295B">
            <w:pPr>
              <w:pStyle w:val="NoSpacing"/>
            </w:pPr>
            <w:r w:rsidRPr="00CF34F5">
              <w:t>Comments and limitations:</w:t>
            </w:r>
          </w:p>
          <w:p w14:paraId="570755D4" w14:textId="77777777" w:rsidR="00EF295B" w:rsidRPr="00CF34F5" w:rsidRDefault="00EF295B" w:rsidP="00EF295B">
            <w:pPr>
              <w:pStyle w:val="NoSpacing"/>
            </w:pPr>
            <w:r w:rsidRPr="00CF34F5">
              <w:t>As with all indicators, there are a number of potential challenges and limitations. Some of these are outlined below.</w:t>
            </w:r>
          </w:p>
          <w:p w14:paraId="4F74919D" w14:textId="77777777" w:rsidR="00EF295B" w:rsidRPr="00CF34F5" w:rsidRDefault="00EF295B" w:rsidP="00EF295B">
            <w:pPr>
              <w:pStyle w:val="NoSpacing"/>
            </w:pPr>
            <w:r w:rsidRPr="00CF34F5">
              <w:t>Difficulties to agree universally on some definitions and characteristics when referring to deteriorated housing conditions, often due to political or economic considerations.</w:t>
            </w:r>
          </w:p>
          <w:p w14:paraId="46030795" w14:textId="77777777" w:rsidR="00EF295B" w:rsidRPr="00CF34F5" w:rsidRDefault="00EF295B" w:rsidP="00EF295B">
            <w:pPr>
              <w:pStyle w:val="NoSpacing"/>
            </w:pPr>
            <w:r w:rsidRPr="00CF34F5">
              <w:t>Lack of appropriate tools at national and city levels to measure all components required by Indicator 11.1.1, sometimes resulting in the underestimation of deteriorated housing units.</w:t>
            </w:r>
          </w:p>
          <w:p w14:paraId="7D46A6E8" w14:textId="77777777" w:rsidR="00EF295B" w:rsidRPr="00CF34F5" w:rsidRDefault="00EF295B" w:rsidP="00EF295B">
            <w:pPr>
              <w:pStyle w:val="NoSpacing"/>
            </w:pPr>
            <w:r w:rsidRPr="00CF34F5">
              <w:t xml:space="preserve">The complicated relation between security of tenure with land and property makes it a difficult, but vital, aspect to include in the different surveys, and thus, to measure and monitor. </w:t>
            </w:r>
          </w:p>
          <w:p w14:paraId="1A7E12F0" w14:textId="77777777" w:rsidR="00EF295B" w:rsidRPr="00CF34F5" w:rsidRDefault="00EF295B" w:rsidP="00EF295B">
            <w:pPr>
              <w:pStyle w:val="NoSpacing"/>
            </w:pPr>
            <w:r w:rsidRPr="00CF34F5">
              <w:t>Indicator 11.1.1 does not capture homelessness.</w:t>
            </w:r>
          </w:p>
          <w:p w14:paraId="71A93004" w14:textId="77777777" w:rsidR="00EF295B" w:rsidRPr="00CF34F5" w:rsidRDefault="00EF295B" w:rsidP="00EF295B">
            <w:pPr>
              <w:pStyle w:val="NoSpacing"/>
              <w:rPr>
                <w:b/>
              </w:rPr>
            </w:pPr>
            <w:r w:rsidRPr="00CF34F5">
              <w:t xml:space="preserve">Many countries still have limited capacities for data collection, management and analysis, their update and monitoring. These are </w:t>
            </w:r>
            <w:proofErr w:type="gramStart"/>
            <w:r w:rsidRPr="00CF34F5">
              <w:t>key</w:t>
            </w:r>
            <w:proofErr w:type="gramEnd"/>
            <w:r w:rsidRPr="00CF34F5">
              <w:t xml:space="preserve"> to ensure national and global data consistency.</w:t>
            </w:r>
          </w:p>
          <w:p w14:paraId="02A3F774" w14:textId="77777777" w:rsidR="00EF295B" w:rsidRPr="00CF34F5" w:rsidRDefault="00EF295B" w:rsidP="00EF295B">
            <w:pPr>
              <w:pStyle w:val="NoSpacing"/>
              <w:rPr>
                <w:color w:val="494949"/>
                <w:sz w:val="21"/>
                <w:szCs w:val="21"/>
                <w:lang w:val="en-GB"/>
              </w:rPr>
            </w:pPr>
          </w:p>
          <w:p w14:paraId="6758C321" w14:textId="77777777" w:rsidR="00EF295B" w:rsidRPr="00CF34F5" w:rsidRDefault="00EF295B" w:rsidP="00EF295B">
            <w:pPr>
              <w:pStyle w:val="NoSpacing"/>
            </w:pPr>
            <w:r w:rsidRPr="00CF34F5">
              <w:t>Computation Method:</w:t>
            </w:r>
          </w:p>
          <w:p w14:paraId="5342A65A" w14:textId="77777777" w:rsidR="00EF295B" w:rsidRPr="00CF34F5" w:rsidRDefault="00EF295B" w:rsidP="00EF295B">
            <w:pPr>
              <w:pStyle w:val="NoSpacing"/>
            </w:pPr>
            <w:r w:rsidRPr="00CF34F5">
              <w:lastRenderedPageBreak/>
              <w:t>The indicator considers two components to be computed as follows:</w:t>
            </w:r>
          </w:p>
          <w:p w14:paraId="3EF4A19D" w14:textId="77777777" w:rsidR="00EF295B" w:rsidRDefault="00EF295B" w:rsidP="00EF295B">
            <w:pPr>
              <w:pStyle w:val="NoSpacing"/>
              <w:rPr>
                <w:bCs/>
                <w:iCs/>
              </w:rPr>
            </w:pPr>
          </w:p>
          <w:p w14:paraId="49E8D27C" w14:textId="77777777" w:rsidR="00EF295B" w:rsidRPr="00CF34F5" w:rsidRDefault="00EF295B" w:rsidP="000C4849">
            <w:pPr>
              <w:pStyle w:val="NoSpacing"/>
              <w:numPr>
                <w:ilvl w:val="0"/>
                <w:numId w:val="176"/>
              </w:numPr>
              <w:rPr>
                <w:bCs/>
                <w:iCs/>
              </w:rPr>
            </w:pPr>
            <w:r w:rsidRPr="00CF34F5">
              <w:rPr>
                <w:bCs/>
                <w:iCs/>
              </w:rPr>
              <w:t xml:space="preserve">Slum/Informal Settlements households (SISH): </w:t>
            </w:r>
            <w:r w:rsidRPr="00CF34F5">
              <w:rPr>
                <w:bCs/>
                <w:iCs/>
              </w:rPr>
              <w:tab/>
            </w:r>
            <w:r w:rsidRPr="00CF34F5">
              <w:rPr>
                <w:bCs/>
                <w:iCs/>
              </w:rPr>
              <w:tab/>
            </w:r>
          </w:p>
          <w:p w14:paraId="03DFBFB5" w14:textId="77777777" w:rsidR="00EF295B" w:rsidRPr="00CF34F5" w:rsidRDefault="00EF295B" w:rsidP="00EF295B">
            <w:pPr>
              <w:pStyle w:val="NoSpacing"/>
              <w:rPr>
                <w:bCs/>
                <w:iCs/>
              </w:rPr>
            </w:pPr>
            <w:r w:rsidRPr="00CF34F5">
              <w:rPr>
                <w:bCs/>
                <w:iCs/>
              </w:rPr>
              <w:t xml:space="preserve">   </w:t>
            </w:r>
          </w:p>
          <w:p w14:paraId="39CA425E" w14:textId="77777777" w:rsidR="00EF295B" w:rsidRPr="00362CF3" w:rsidRDefault="00EF295B" w:rsidP="00EF295B">
            <w:pPr>
              <w:pStyle w:val="NoSpacing"/>
            </w:pPr>
            <m:oMathPara>
              <m:oMath>
                <m:r>
                  <m:rPr>
                    <m:sty m:val="p"/>
                  </m:rPr>
                  <w:rPr>
                    <w:rFonts w:ascii="Cambria Math" w:hAnsi="Cambria Math"/>
                  </w:rPr>
                  <m:t>= 100</m:t>
                </m:r>
                <m:d>
                  <m:dPr>
                    <m:begChr m:val="["/>
                    <m:endChr m:val="]"/>
                    <m:ctrlPr>
                      <w:rPr>
                        <w:rFonts w:ascii="Cambria Math" w:hAnsi="Cambria Math"/>
                      </w:rPr>
                    </m:ctrlPr>
                  </m:dPr>
                  <m:e>
                    <m:f>
                      <m:fPr>
                        <m:ctrlPr>
                          <w:rPr>
                            <w:rFonts w:ascii="Cambria Math" w:hAnsi="Cambria Math"/>
                          </w:rPr>
                        </m:ctrlPr>
                      </m:fPr>
                      <m:num>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people</m:t>
                        </m:r>
                        <m:r>
                          <m:rPr>
                            <m:sty m:val="p"/>
                          </m:rPr>
                          <w:rPr>
                            <w:rFonts w:ascii="Cambria Math" w:hAnsi="Cambria Math"/>
                          </w:rPr>
                          <m:t xml:space="preserve"> </m:t>
                        </m:r>
                        <m:r>
                          <w:rPr>
                            <w:rFonts w:ascii="Cambria Math" w:hAnsi="Cambria Math"/>
                          </w:rPr>
                          <m:t>living</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SISH</m:t>
                        </m:r>
                        <m:r>
                          <m:rPr>
                            <m:sty m:val="p"/>
                          </m:rPr>
                          <w:rPr>
                            <w:rFonts w:ascii="Cambria Math" w:hAnsi="Cambria Math"/>
                          </w:rPr>
                          <m:t xml:space="preserve"> </m:t>
                        </m:r>
                        <m:r>
                          <w:rPr>
                            <w:rFonts w:ascii="Cambria Math" w:hAnsi="Cambria Math"/>
                          </w:rPr>
                          <m:t>households</m:t>
                        </m:r>
                      </m:num>
                      <m:den>
                        <m:r>
                          <w:rPr>
                            <w:rFonts w:ascii="Cambria Math" w:hAnsi="Cambria Math"/>
                          </w:rPr>
                          <m:t>City</m:t>
                        </m:r>
                        <m:r>
                          <m:rPr>
                            <m:sty m:val="p"/>
                          </m:rPr>
                          <w:rPr>
                            <w:rFonts w:ascii="Cambria Math" w:hAnsi="Cambria Math"/>
                          </w:rPr>
                          <m:t xml:space="preserve"> </m:t>
                        </m:r>
                        <m:r>
                          <w:rPr>
                            <w:rFonts w:ascii="Cambria Math" w:hAnsi="Cambria Math"/>
                          </w:rPr>
                          <m:t>population</m:t>
                        </m:r>
                      </m:den>
                    </m:f>
                  </m:e>
                </m:d>
              </m:oMath>
            </m:oMathPara>
          </w:p>
          <w:p w14:paraId="1F60F228" w14:textId="77777777" w:rsidR="00EF295B" w:rsidRPr="00CF34F5" w:rsidRDefault="00EF295B" w:rsidP="00EF295B">
            <w:pPr>
              <w:pStyle w:val="NoSpacing"/>
            </w:pPr>
          </w:p>
          <w:p w14:paraId="6536B27C" w14:textId="77777777" w:rsidR="00EF295B" w:rsidRDefault="00EF295B" w:rsidP="00EF295B">
            <w:pPr>
              <w:pStyle w:val="NoSpacing"/>
            </w:pPr>
          </w:p>
          <w:p w14:paraId="7E6A2399" w14:textId="77777777" w:rsidR="00EF295B" w:rsidRDefault="00EF295B" w:rsidP="00EF295B">
            <w:pPr>
              <w:pStyle w:val="NoSpacing"/>
            </w:pPr>
          </w:p>
          <w:p w14:paraId="48E49BA5" w14:textId="77777777" w:rsidR="00EF295B" w:rsidRPr="00CF34F5" w:rsidRDefault="00EF295B" w:rsidP="00EF295B">
            <w:pPr>
              <w:pStyle w:val="NoSpacing"/>
            </w:pPr>
          </w:p>
          <w:p w14:paraId="0533D48C" w14:textId="77777777" w:rsidR="00EF295B" w:rsidRPr="00CF34F5" w:rsidRDefault="00EF295B" w:rsidP="000C4849">
            <w:pPr>
              <w:pStyle w:val="NoSpacing"/>
              <w:numPr>
                <w:ilvl w:val="0"/>
                <w:numId w:val="176"/>
              </w:numPr>
              <w:rPr>
                <w:bCs/>
                <w:iCs/>
              </w:rPr>
            </w:pPr>
            <w:r w:rsidRPr="00CF34F5">
              <w:rPr>
                <w:bCs/>
                <w:iCs/>
              </w:rPr>
              <w:t>Inadequate housing households (IHH):</w:t>
            </w:r>
          </w:p>
          <w:p w14:paraId="306DBCE7" w14:textId="77777777" w:rsidR="00EF295B" w:rsidRPr="00CF34F5" w:rsidRDefault="00EF295B" w:rsidP="00EF295B">
            <w:pPr>
              <w:pStyle w:val="NoSpacing"/>
            </w:pPr>
            <m:oMathPara>
              <m:oMath>
                <m:r>
                  <w:rPr>
                    <w:rFonts w:ascii="Cambria Math" w:hAnsi="Cambria Math" w:cs="Latha"/>
                  </w:rPr>
                  <m:t>= 100</m:t>
                </m:r>
                <m:d>
                  <m:dPr>
                    <m:begChr m:val="["/>
                    <m:endChr m:val="]"/>
                    <m:ctrlPr>
                      <w:rPr>
                        <w:rFonts w:ascii="Cambria Math" w:hAnsi="Cambria Math" w:cs="Latha"/>
                        <w:i/>
                      </w:rPr>
                    </m:ctrlPr>
                  </m:dPr>
                  <m:e>
                    <m:f>
                      <m:fPr>
                        <m:ctrlPr>
                          <w:rPr>
                            <w:rFonts w:ascii="Cambria Math" w:hAnsi="Cambria Math" w:cs="Latha"/>
                            <w:i/>
                          </w:rPr>
                        </m:ctrlPr>
                      </m:fPr>
                      <m:num>
                        <m:r>
                          <w:rPr>
                            <w:rFonts w:ascii="Cambria Math" w:hAnsi="Cambria Math" w:cs="Latha"/>
                          </w:rPr>
                          <m:t>Number of people living in IHH</m:t>
                        </m:r>
                      </m:num>
                      <m:den>
                        <m:r>
                          <w:rPr>
                            <w:rFonts w:ascii="Cambria Math" w:hAnsi="Cambria Math" w:cs="Latha"/>
                          </w:rPr>
                          <m:t>City population</m:t>
                        </m:r>
                      </m:den>
                    </m:f>
                  </m:e>
                </m:d>
              </m:oMath>
            </m:oMathPara>
          </w:p>
          <w:p w14:paraId="7CF4ACAD" w14:textId="77777777" w:rsidR="00EF295B" w:rsidRPr="00CF34F5" w:rsidRDefault="00EF295B" w:rsidP="00EF295B">
            <w:pPr>
              <w:pStyle w:val="NoSpacing"/>
            </w:pPr>
          </w:p>
          <w:p w14:paraId="519162FB" w14:textId="77777777" w:rsidR="00EF295B" w:rsidRPr="00CF34F5" w:rsidRDefault="00EF295B" w:rsidP="00EF295B">
            <w:pPr>
              <w:pStyle w:val="NoSpacing"/>
            </w:pPr>
            <w:r w:rsidRPr="00CF34F5">
              <w:t>The unit of measurements for all these indicators will be %. Currently, the data for this indicator is already being reported in nearly all developing countries on what refers to slums and informal settlements, and in some countries for what refers to expenditure on housing. The SDG indicator 11.1.1 will therefore contribute to report on a broader spectrum of inadequate housing conditions affecting households in all countries.</w:t>
            </w:r>
          </w:p>
          <w:p w14:paraId="518F1405" w14:textId="77777777" w:rsidR="00EF295B" w:rsidRDefault="00EF295B" w:rsidP="00EF295B">
            <w:pPr>
              <w:pStyle w:val="NoSpacing"/>
            </w:pPr>
          </w:p>
          <w:p w14:paraId="78FFDFAD" w14:textId="77777777" w:rsidR="00EF295B" w:rsidRDefault="00EF295B" w:rsidP="00EF295B">
            <w:pPr>
              <w:pStyle w:val="NoSpacing"/>
            </w:pPr>
          </w:p>
        </w:tc>
        <w:tc>
          <w:tcPr>
            <w:tcW w:w="1174" w:type="dxa"/>
          </w:tcPr>
          <w:p w14:paraId="0B34E437" w14:textId="77777777" w:rsidR="00EF295B" w:rsidRPr="00873FDE" w:rsidRDefault="00EF295B" w:rsidP="00EF295B">
            <w:pPr>
              <w:autoSpaceDE w:val="0"/>
              <w:autoSpaceDN w:val="0"/>
              <w:adjustRightInd w:val="0"/>
              <w:rPr>
                <w:bCs/>
                <w:szCs w:val="20"/>
              </w:rPr>
            </w:pPr>
            <w:r w:rsidRPr="00873FDE">
              <w:rPr>
                <w:bCs/>
                <w:szCs w:val="20"/>
              </w:rPr>
              <w:lastRenderedPageBreak/>
              <w:t>Data for the slum and informal settlement components of the indicator can be computed from Census and</w:t>
            </w:r>
          </w:p>
          <w:p w14:paraId="0723C8E8" w14:textId="77777777" w:rsidR="00EF295B" w:rsidRPr="00873FDE" w:rsidRDefault="00EF295B" w:rsidP="00EF295B">
            <w:pPr>
              <w:rPr>
                <w:bCs/>
                <w:szCs w:val="20"/>
              </w:rPr>
            </w:pPr>
            <w:r w:rsidRPr="00873FDE">
              <w:rPr>
                <w:bCs/>
                <w:szCs w:val="20"/>
              </w:rPr>
              <w:t>national household surveys, including DHS and MICS</w:t>
            </w:r>
          </w:p>
        </w:tc>
        <w:tc>
          <w:tcPr>
            <w:tcW w:w="818" w:type="dxa"/>
          </w:tcPr>
          <w:p w14:paraId="02DF253B" w14:textId="77777777" w:rsidR="00EF295B" w:rsidRDefault="00EF295B" w:rsidP="00EF295B">
            <w:pPr>
              <w:rPr>
                <w:bCs/>
                <w:szCs w:val="20"/>
              </w:rPr>
            </w:pPr>
            <w:r w:rsidRPr="00873FDE">
              <w:rPr>
                <w:bCs/>
                <w:szCs w:val="20"/>
              </w:rPr>
              <w:t xml:space="preserve">UN- Habitat, UNEP, Cities </w:t>
            </w:r>
          </w:p>
          <w:p w14:paraId="45A3FDB5" w14:textId="77777777" w:rsidR="00EF295B" w:rsidRDefault="00EF295B" w:rsidP="00EF295B">
            <w:pPr>
              <w:rPr>
                <w:bCs/>
                <w:szCs w:val="20"/>
              </w:rPr>
            </w:pPr>
            <w:r w:rsidRPr="00873FDE">
              <w:rPr>
                <w:bCs/>
                <w:szCs w:val="20"/>
              </w:rPr>
              <w:t>Alliance, Slum dwellers</w:t>
            </w:r>
          </w:p>
          <w:p w14:paraId="3F48E837" w14:textId="77777777" w:rsidR="00EF295B" w:rsidRPr="00873FDE" w:rsidRDefault="00EF295B" w:rsidP="00EF295B">
            <w:pPr>
              <w:rPr>
                <w:bCs/>
                <w:szCs w:val="20"/>
              </w:rPr>
            </w:pPr>
            <w:r w:rsidRPr="00873FDE">
              <w:rPr>
                <w:bCs/>
                <w:szCs w:val="20"/>
              </w:rPr>
              <w:t xml:space="preserve"> International, and World Bank</w:t>
            </w:r>
          </w:p>
        </w:tc>
        <w:tc>
          <w:tcPr>
            <w:tcW w:w="812" w:type="dxa"/>
          </w:tcPr>
          <w:p w14:paraId="6B016031" w14:textId="77777777" w:rsidR="00EF295B" w:rsidRDefault="00EF295B" w:rsidP="00EF295B">
            <w:pPr>
              <w:spacing w:line="276" w:lineRule="auto"/>
              <w:jc w:val="center"/>
            </w:pPr>
            <w:r w:rsidRPr="00BC6F10">
              <w:t>BBS</w:t>
            </w:r>
          </w:p>
          <w:p w14:paraId="2ED42C51" w14:textId="77777777" w:rsidR="00EF295B" w:rsidRDefault="00EF295B" w:rsidP="00EF295B">
            <w:pPr>
              <w:spacing w:line="276" w:lineRule="auto"/>
              <w:jc w:val="center"/>
            </w:pPr>
          </w:p>
          <w:p w14:paraId="62A69B96" w14:textId="07A0CC03" w:rsidR="00EF295B" w:rsidRPr="00BC6F10" w:rsidRDefault="00EF295B" w:rsidP="00EF295B">
            <w:pPr>
              <w:spacing w:line="276" w:lineRule="auto"/>
              <w:jc w:val="center"/>
            </w:pPr>
          </w:p>
        </w:tc>
        <w:tc>
          <w:tcPr>
            <w:tcW w:w="1351" w:type="dxa"/>
          </w:tcPr>
          <w:p w14:paraId="2CABA5E1" w14:textId="77777777" w:rsidR="00EF295B" w:rsidRDefault="00EF295B" w:rsidP="00EF295B">
            <w:pPr>
              <w:pStyle w:val="NoSpacing"/>
            </w:pPr>
            <w:r>
              <w:t>a) BBS</w:t>
            </w:r>
          </w:p>
          <w:p w14:paraId="50078127" w14:textId="77777777" w:rsidR="00EF295B" w:rsidRDefault="00EF295B" w:rsidP="00EF295B">
            <w:pPr>
              <w:pStyle w:val="NoSpacing"/>
            </w:pPr>
            <w:r w:rsidRPr="00CF6637">
              <w:t>b) UN-Habitat</w:t>
            </w:r>
          </w:p>
          <w:p w14:paraId="4AF29BE5" w14:textId="77777777" w:rsidR="00EF295B" w:rsidRDefault="00EF295B" w:rsidP="00EF295B">
            <w:pPr>
              <w:pStyle w:val="NoSpacing"/>
            </w:pPr>
          </w:p>
          <w:p w14:paraId="58537B27" w14:textId="77777777" w:rsidR="00EF295B" w:rsidRDefault="00EF295B" w:rsidP="00EF295B">
            <w:pPr>
              <w:pStyle w:val="NoSpacing"/>
            </w:pPr>
            <w:r w:rsidRPr="00D2687E">
              <w:t>Population and Housing Census</w:t>
            </w:r>
            <w:r>
              <w:t>/</w:t>
            </w:r>
          </w:p>
          <w:p w14:paraId="15A874A4" w14:textId="77777777" w:rsidR="00EF295B" w:rsidRDefault="00EF295B" w:rsidP="00EF295B">
            <w:pPr>
              <w:spacing w:line="276" w:lineRule="auto"/>
              <w:jc w:val="center"/>
            </w:pPr>
            <w:r w:rsidRPr="00BC6F10">
              <w:t>Census of Slum Areas and Floating Population</w:t>
            </w:r>
          </w:p>
          <w:p w14:paraId="7A8F7983" w14:textId="77777777" w:rsidR="00EF295B" w:rsidRPr="00BC6F10" w:rsidRDefault="00EF295B" w:rsidP="00EF295B">
            <w:pPr>
              <w:spacing w:line="276" w:lineRule="auto"/>
              <w:jc w:val="center"/>
            </w:pPr>
          </w:p>
        </w:tc>
        <w:tc>
          <w:tcPr>
            <w:tcW w:w="1349" w:type="dxa"/>
          </w:tcPr>
          <w:p w14:paraId="3B00C5D7" w14:textId="0E14651C" w:rsidR="00EF295B" w:rsidRDefault="00EF295B" w:rsidP="00EF295B">
            <w:pPr>
              <w:pStyle w:val="ListParagraph"/>
              <w:numPr>
                <w:ilvl w:val="0"/>
                <w:numId w:val="52"/>
              </w:numPr>
              <w:spacing w:after="0" w:line="240" w:lineRule="auto"/>
              <w:ind w:left="160" w:hanging="160"/>
              <w:rPr>
                <w:rFonts w:ascii="Tw Cen MT Condensed" w:hAnsi="Tw Cen MT Condensed"/>
                <w:color w:val="000000"/>
              </w:rPr>
            </w:pPr>
            <w:r>
              <w:rPr>
                <w:rFonts w:ascii="Tw Cen MT Condensed" w:hAnsi="Tw Cen MT Condensed"/>
                <w:sz w:val="20"/>
                <w:szCs w:val="20"/>
              </w:rPr>
              <w:t>income group</w:t>
            </w:r>
            <w:r w:rsidR="00A47C3B">
              <w:rPr>
                <w:rFonts w:ascii="Tw Cen MT Condensed" w:hAnsi="Tw Cen MT Condensed"/>
                <w:sz w:val="20"/>
                <w:szCs w:val="20"/>
              </w:rPr>
              <w:t>: High/Medium/Low</w:t>
            </w:r>
          </w:p>
          <w:p w14:paraId="27B299F4" w14:textId="77777777" w:rsidR="00EF295B" w:rsidRDefault="00EF295B" w:rsidP="00EF295B">
            <w:pPr>
              <w:pStyle w:val="ListParagraph"/>
              <w:numPr>
                <w:ilvl w:val="0"/>
                <w:numId w:val="52"/>
              </w:numPr>
              <w:spacing w:after="0" w:line="240" w:lineRule="auto"/>
              <w:ind w:left="160" w:hanging="160"/>
              <w:rPr>
                <w:rFonts w:ascii="Tw Cen MT Condensed" w:hAnsi="Tw Cen MT Condensed"/>
                <w:color w:val="000000"/>
              </w:rPr>
            </w:pPr>
            <w:r>
              <w:rPr>
                <w:rFonts w:ascii="Tw Cen MT Condensed" w:hAnsi="Tw Cen MT Condensed"/>
                <w:sz w:val="20"/>
                <w:szCs w:val="20"/>
              </w:rPr>
              <w:t>Sex: Male, Female, Transgender</w:t>
            </w:r>
          </w:p>
          <w:p w14:paraId="09C8FF1C" w14:textId="77777777" w:rsidR="00EF295B" w:rsidRDefault="00EF295B" w:rsidP="00EF295B">
            <w:pPr>
              <w:pStyle w:val="ListParagraph"/>
              <w:numPr>
                <w:ilvl w:val="0"/>
                <w:numId w:val="52"/>
              </w:numPr>
              <w:spacing w:after="0" w:line="240" w:lineRule="auto"/>
              <w:ind w:left="160" w:hanging="160"/>
              <w:rPr>
                <w:rFonts w:ascii="Tw Cen MT Condensed" w:hAnsi="Tw Cen MT Condensed"/>
                <w:color w:val="000000"/>
              </w:rPr>
            </w:pPr>
            <w:r>
              <w:rPr>
                <w:rFonts w:ascii="Tw Cen MT Condensed" w:hAnsi="Tw Cen MT Condensed"/>
                <w:sz w:val="20"/>
                <w:szCs w:val="20"/>
              </w:rPr>
              <w:t>race</w:t>
            </w:r>
          </w:p>
          <w:p w14:paraId="7EEF8400" w14:textId="77777777" w:rsidR="00EF295B" w:rsidRDefault="00EF295B" w:rsidP="00EF295B">
            <w:pPr>
              <w:pStyle w:val="ListParagraph"/>
              <w:numPr>
                <w:ilvl w:val="0"/>
                <w:numId w:val="52"/>
              </w:numPr>
              <w:spacing w:after="0" w:line="240" w:lineRule="auto"/>
              <w:ind w:left="160" w:hanging="160"/>
              <w:rPr>
                <w:rFonts w:ascii="Tw Cen MT Condensed" w:hAnsi="Tw Cen MT Condensed"/>
                <w:color w:val="000000"/>
              </w:rPr>
            </w:pPr>
            <w:r>
              <w:rPr>
                <w:rFonts w:ascii="Tw Cen MT Condensed" w:hAnsi="Tw Cen MT Condensed"/>
                <w:sz w:val="20"/>
                <w:szCs w:val="20"/>
              </w:rPr>
              <w:t>ethnicity</w:t>
            </w:r>
          </w:p>
          <w:p w14:paraId="45A7E1FF" w14:textId="6D9F7E17" w:rsidR="00EF295B" w:rsidRDefault="00EF295B" w:rsidP="00EF295B">
            <w:pPr>
              <w:pStyle w:val="ListParagraph"/>
              <w:numPr>
                <w:ilvl w:val="0"/>
                <w:numId w:val="52"/>
              </w:numPr>
              <w:spacing w:after="0" w:line="240" w:lineRule="auto"/>
              <w:ind w:left="160" w:hanging="160"/>
              <w:rPr>
                <w:rFonts w:ascii="Tw Cen MT Condensed" w:hAnsi="Tw Cen MT Condensed"/>
                <w:color w:val="000000"/>
              </w:rPr>
            </w:pPr>
            <w:r>
              <w:rPr>
                <w:rFonts w:ascii="Tw Cen MT Condensed" w:hAnsi="Tw Cen MT Condensed"/>
                <w:sz w:val="20"/>
                <w:szCs w:val="20"/>
              </w:rPr>
              <w:t>religion</w:t>
            </w:r>
            <w:r w:rsidR="00A47C3B">
              <w:rPr>
                <w:rFonts w:ascii="Tw Cen MT Condensed" w:hAnsi="Tw Cen MT Condensed"/>
                <w:sz w:val="20"/>
                <w:szCs w:val="20"/>
              </w:rPr>
              <w:t>: Islam, Hindu/ Christian/ Others</w:t>
            </w:r>
          </w:p>
          <w:p w14:paraId="5495BFFD" w14:textId="1104FF79" w:rsidR="00EF295B" w:rsidRDefault="00EF295B" w:rsidP="00EF295B">
            <w:pPr>
              <w:pStyle w:val="ListParagraph"/>
              <w:numPr>
                <w:ilvl w:val="0"/>
                <w:numId w:val="52"/>
              </w:numPr>
              <w:spacing w:after="0" w:line="240" w:lineRule="auto"/>
              <w:ind w:left="160" w:hanging="160"/>
              <w:rPr>
                <w:rFonts w:ascii="Tw Cen MT Condensed" w:hAnsi="Tw Cen MT Condensed"/>
                <w:color w:val="000000"/>
              </w:rPr>
            </w:pPr>
            <w:r>
              <w:rPr>
                <w:rFonts w:ascii="Tw Cen MT Condensed" w:hAnsi="Tw Cen MT Condensed"/>
                <w:sz w:val="20"/>
                <w:szCs w:val="20"/>
              </w:rPr>
              <w:t>migration status (head of household)</w:t>
            </w:r>
            <w:r w:rsidR="00A47C3B">
              <w:rPr>
                <w:rFonts w:ascii="Tw Cen MT Condensed" w:hAnsi="Tw Cen MT Condensed"/>
                <w:sz w:val="20"/>
                <w:szCs w:val="20"/>
              </w:rPr>
              <w:t>: Migrant/Non Migrant</w:t>
            </w:r>
          </w:p>
          <w:p w14:paraId="0FF32A46" w14:textId="75D33821" w:rsidR="00EF295B" w:rsidRDefault="00EF295B" w:rsidP="00EF295B">
            <w:pPr>
              <w:pStyle w:val="ListParagraph"/>
              <w:numPr>
                <w:ilvl w:val="0"/>
                <w:numId w:val="52"/>
              </w:numPr>
              <w:spacing w:after="0" w:line="240" w:lineRule="auto"/>
              <w:ind w:left="160" w:hanging="160"/>
              <w:rPr>
                <w:rFonts w:ascii="Tw Cen MT Condensed" w:hAnsi="Tw Cen MT Condensed"/>
                <w:color w:val="000000"/>
              </w:rPr>
            </w:pPr>
            <w:r>
              <w:rPr>
                <w:rFonts w:ascii="Tw Cen MT Condensed" w:hAnsi="Tw Cen MT Condensed"/>
                <w:sz w:val="20"/>
                <w:szCs w:val="20"/>
              </w:rPr>
              <w:t>age (household members)</w:t>
            </w:r>
          </w:p>
          <w:p w14:paraId="7EA97F57" w14:textId="431D49F7" w:rsidR="00EF295B" w:rsidRPr="00B758C0" w:rsidRDefault="00EF295B" w:rsidP="00EF295B">
            <w:pPr>
              <w:pStyle w:val="ListParagraph"/>
              <w:numPr>
                <w:ilvl w:val="0"/>
                <w:numId w:val="52"/>
              </w:numPr>
              <w:spacing w:after="160" w:line="256" w:lineRule="auto"/>
              <w:ind w:left="160" w:hanging="160"/>
              <w:rPr>
                <w:rFonts w:ascii="Tw Cen MT Condensed" w:hAnsi="Tw Cen MT Condensed"/>
              </w:rPr>
            </w:pPr>
            <w:r>
              <w:rPr>
                <w:rFonts w:ascii="Tw Cen MT Condensed" w:hAnsi="Tw Cen MT Condensed"/>
                <w:sz w:val="20"/>
                <w:szCs w:val="20"/>
              </w:rPr>
              <w:t xml:space="preserve"> disability (household members)</w:t>
            </w:r>
            <w:r w:rsidR="00A47C3B">
              <w:rPr>
                <w:rFonts w:ascii="Tw Cen MT Condensed" w:hAnsi="Tw Cen MT Condensed"/>
                <w:sz w:val="20"/>
                <w:szCs w:val="20"/>
              </w:rPr>
              <w:t>: Disable/Non Disable</w:t>
            </w:r>
          </w:p>
        </w:tc>
        <w:tc>
          <w:tcPr>
            <w:tcW w:w="1145" w:type="dxa"/>
          </w:tcPr>
          <w:p w14:paraId="47872A7C" w14:textId="77777777" w:rsidR="00EF295B" w:rsidRDefault="00EF295B" w:rsidP="00EF295B">
            <w:pPr>
              <w:ind w:left="970" w:hanging="970"/>
              <w:jc w:val="both"/>
              <w:rPr>
                <w:color w:val="0070C0"/>
                <w:sz w:val="30"/>
                <w:szCs w:val="30"/>
              </w:rPr>
            </w:pPr>
            <w:r w:rsidRPr="00BC6F10">
              <w:t>5-years</w:t>
            </w:r>
          </w:p>
        </w:tc>
        <w:tc>
          <w:tcPr>
            <w:tcW w:w="922" w:type="dxa"/>
          </w:tcPr>
          <w:p w14:paraId="2775B6E2" w14:textId="77777777" w:rsidR="00EF295B" w:rsidRDefault="00EF295B" w:rsidP="00EF295B">
            <w:pPr>
              <w:ind w:left="970" w:hanging="970"/>
              <w:jc w:val="both"/>
              <w:rPr>
                <w:color w:val="0070C0"/>
                <w:sz w:val="30"/>
                <w:szCs w:val="30"/>
              </w:rPr>
            </w:pPr>
            <w:r>
              <w:t>Group 1</w:t>
            </w:r>
          </w:p>
        </w:tc>
        <w:tc>
          <w:tcPr>
            <w:tcW w:w="644" w:type="dxa"/>
          </w:tcPr>
          <w:p w14:paraId="13D0650D" w14:textId="77777777" w:rsidR="00EF295B" w:rsidRDefault="00EF295B" w:rsidP="00EF295B">
            <w:pPr>
              <w:pStyle w:val="NoSpacing"/>
            </w:pPr>
            <w:r>
              <w:t>1</w:t>
            </w:r>
            <w:r w:rsidRPr="00013ACB">
              <w:rPr>
                <w:vertAlign w:val="superscript"/>
              </w:rPr>
              <w:t>st</w:t>
            </w:r>
            <w:r>
              <w:t xml:space="preserve"> Round: </w:t>
            </w:r>
          </w:p>
          <w:p w14:paraId="3CC16416" w14:textId="77777777" w:rsidR="00EF295B" w:rsidRDefault="00EF295B" w:rsidP="00EF295B">
            <w:pPr>
              <w:pStyle w:val="NoSpacing"/>
            </w:pPr>
            <w:r>
              <w:t>2014</w:t>
            </w:r>
          </w:p>
          <w:p w14:paraId="62297AF4" w14:textId="77777777" w:rsidR="00EF295B" w:rsidRDefault="00EF295B" w:rsidP="00EF295B">
            <w:pPr>
              <w:pStyle w:val="NoSpacing"/>
            </w:pPr>
            <w:r>
              <w:t>2</w:t>
            </w:r>
            <w:r w:rsidRPr="00013ACB">
              <w:rPr>
                <w:vertAlign w:val="superscript"/>
              </w:rPr>
              <w:t>nd</w:t>
            </w:r>
            <w:r>
              <w:t xml:space="preserve"> Round: </w:t>
            </w:r>
          </w:p>
          <w:p w14:paraId="6C5ED01C" w14:textId="77777777" w:rsidR="00EF295B" w:rsidRDefault="00EF295B" w:rsidP="00EF295B">
            <w:pPr>
              <w:pStyle w:val="NoSpacing"/>
            </w:pPr>
            <w:r>
              <w:t>June, 2022</w:t>
            </w:r>
          </w:p>
          <w:p w14:paraId="0C62AA7A" w14:textId="77777777" w:rsidR="00EF295B" w:rsidRDefault="00EF295B" w:rsidP="00EF295B">
            <w:pPr>
              <w:pStyle w:val="NoSpacing"/>
            </w:pPr>
          </w:p>
          <w:p w14:paraId="4032B7CD" w14:textId="77777777" w:rsidR="00EF295B" w:rsidRDefault="00EF295B" w:rsidP="00EF295B">
            <w:pPr>
              <w:pStyle w:val="NoSpacing"/>
            </w:pPr>
            <w:r>
              <w:t>3</w:t>
            </w:r>
            <w:r w:rsidRPr="00013ACB">
              <w:rPr>
                <w:vertAlign w:val="superscript"/>
              </w:rPr>
              <w:t>rd</w:t>
            </w:r>
            <w:r>
              <w:t xml:space="preserve"> Round: </w:t>
            </w:r>
          </w:p>
          <w:p w14:paraId="74C21720" w14:textId="64CD5514" w:rsidR="00EF295B" w:rsidRDefault="00EF295B" w:rsidP="00EF295B">
            <w:pPr>
              <w:pStyle w:val="NoSpacing"/>
            </w:pPr>
            <w:r>
              <w:t>June, 2027</w:t>
            </w:r>
          </w:p>
          <w:p w14:paraId="54FE16CB" w14:textId="77777777" w:rsidR="00EF295B" w:rsidRDefault="00EF295B" w:rsidP="00EF295B">
            <w:pPr>
              <w:pStyle w:val="NoSpacing"/>
            </w:pPr>
          </w:p>
          <w:p w14:paraId="32BD4070" w14:textId="77777777" w:rsidR="00EF295B" w:rsidRDefault="00EF295B" w:rsidP="00EF295B">
            <w:pPr>
              <w:pStyle w:val="NoSpacing"/>
            </w:pPr>
            <w:r>
              <w:t>4</w:t>
            </w:r>
            <w:r w:rsidRPr="00013ACB">
              <w:rPr>
                <w:vertAlign w:val="superscript"/>
              </w:rPr>
              <w:t>th</w:t>
            </w:r>
            <w:r>
              <w:t xml:space="preserve"> Round: </w:t>
            </w:r>
          </w:p>
          <w:p w14:paraId="215DE899" w14:textId="3D2BB364" w:rsidR="00EF295B" w:rsidRDefault="00EF295B" w:rsidP="00EF295B">
            <w:pPr>
              <w:pStyle w:val="NoSpacing"/>
            </w:pPr>
            <w:r>
              <w:t>June, 2030</w:t>
            </w:r>
          </w:p>
          <w:p w14:paraId="69F5BBCA" w14:textId="47CBC47B" w:rsidR="00EF295B" w:rsidRPr="00217818" w:rsidRDefault="00EF295B" w:rsidP="00EF295B">
            <w:pPr>
              <w:pStyle w:val="NoSpacing"/>
            </w:pPr>
          </w:p>
        </w:tc>
        <w:tc>
          <w:tcPr>
            <w:tcW w:w="828" w:type="dxa"/>
          </w:tcPr>
          <w:p w14:paraId="13321D5C" w14:textId="77777777" w:rsidR="00EF295B" w:rsidRDefault="00EF295B" w:rsidP="00EF295B">
            <w:pPr>
              <w:ind w:left="970" w:hanging="970"/>
              <w:jc w:val="both"/>
              <w:rPr>
                <w:color w:val="0070C0"/>
                <w:sz w:val="30"/>
                <w:szCs w:val="30"/>
              </w:rPr>
            </w:pPr>
          </w:p>
        </w:tc>
      </w:tr>
      <w:tr w:rsidR="0025292C" w14:paraId="6674CAC5" w14:textId="77777777" w:rsidTr="00D52BCB">
        <w:tc>
          <w:tcPr>
            <w:tcW w:w="18710" w:type="dxa"/>
            <w:gridSpan w:val="13"/>
          </w:tcPr>
          <w:p w14:paraId="507653AC" w14:textId="77777777" w:rsidR="0025292C" w:rsidRDefault="0025292C" w:rsidP="00EF295B">
            <w:pPr>
              <w:jc w:val="both"/>
              <w:rPr>
                <w:color w:val="0070C0"/>
                <w:sz w:val="48"/>
                <w:szCs w:val="48"/>
              </w:rPr>
            </w:pPr>
            <w:r w:rsidRPr="00221F5D">
              <w:rPr>
                <w:b/>
                <w:bCs/>
                <w:color w:val="0070C0"/>
                <w:sz w:val="30"/>
                <w:szCs w:val="30"/>
              </w:rPr>
              <w:lastRenderedPageBreak/>
              <w:t>Target 11.2 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r>
      <w:tr w:rsidR="00EF295B" w14:paraId="03F495C9" w14:textId="77777777" w:rsidTr="0025292C">
        <w:tc>
          <w:tcPr>
            <w:tcW w:w="1218" w:type="dxa"/>
          </w:tcPr>
          <w:p w14:paraId="2993C6E0" w14:textId="77777777" w:rsidR="00EF295B" w:rsidRDefault="00EF295B" w:rsidP="00EF295B">
            <w:pPr>
              <w:pStyle w:val="NoSpacing"/>
            </w:pPr>
            <w:r w:rsidRPr="00627F96">
              <w:t>11.2.1 Proportion of population that has convenient access to public transport, by sex, age and persons with disabilities</w:t>
            </w:r>
          </w:p>
        </w:tc>
        <w:tc>
          <w:tcPr>
            <w:tcW w:w="661" w:type="dxa"/>
          </w:tcPr>
          <w:p w14:paraId="25415B04" w14:textId="77777777" w:rsidR="00EF295B" w:rsidRDefault="00EF295B" w:rsidP="00EF295B">
            <w:pPr>
              <w:pStyle w:val="NoSpacing"/>
            </w:pPr>
            <w:r w:rsidRPr="00221F5D">
              <w:t>UN-Habitat</w:t>
            </w:r>
          </w:p>
          <w:p w14:paraId="574D618C" w14:textId="77777777" w:rsidR="00EF295B" w:rsidRDefault="00EF295B" w:rsidP="00EF295B">
            <w:pPr>
              <w:rPr>
                <w:b/>
                <w:bCs/>
                <w:szCs w:val="20"/>
              </w:rPr>
            </w:pPr>
            <w:r w:rsidRPr="007243FC">
              <w:rPr>
                <w:b/>
                <w:bCs/>
                <w:szCs w:val="20"/>
              </w:rPr>
              <w:t>Partner Agencies:</w:t>
            </w:r>
          </w:p>
          <w:p w14:paraId="4EA4216F" w14:textId="77777777" w:rsidR="00EF295B" w:rsidRDefault="00EF295B" w:rsidP="00EF295B">
            <w:pPr>
              <w:pStyle w:val="NoSpacing"/>
            </w:pPr>
            <w:r>
              <w:t>UNEP,</w:t>
            </w:r>
          </w:p>
          <w:p w14:paraId="09A3768B" w14:textId="77777777" w:rsidR="00EF295B" w:rsidRDefault="00EF295B" w:rsidP="00EF295B">
            <w:pPr>
              <w:pStyle w:val="NoSpacing"/>
            </w:pPr>
            <w:r>
              <w:t>UNECE</w:t>
            </w:r>
          </w:p>
        </w:tc>
        <w:tc>
          <w:tcPr>
            <w:tcW w:w="935" w:type="dxa"/>
          </w:tcPr>
          <w:p w14:paraId="5F077674" w14:textId="77777777" w:rsidR="00EF295B" w:rsidRDefault="00EF295B" w:rsidP="00EF295B">
            <w:pPr>
              <w:pStyle w:val="NoSpacing"/>
            </w:pPr>
            <w:r w:rsidRPr="00666BAB">
              <w:t>Tier II</w:t>
            </w:r>
          </w:p>
        </w:tc>
        <w:tc>
          <w:tcPr>
            <w:tcW w:w="6853" w:type="dxa"/>
          </w:tcPr>
          <w:p w14:paraId="3C5836AD" w14:textId="77777777" w:rsidR="00EF295B" w:rsidRDefault="00EF295B" w:rsidP="00EF295B">
            <w:pPr>
              <w:pStyle w:val="NoSpacing"/>
            </w:pPr>
            <w:r>
              <w:t>Definition:</w:t>
            </w:r>
          </w:p>
          <w:p w14:paraId="1F367253" w14:textId="77777777" w:rsidR="00EF295B" w:rsidRDefault="00EF295B" w:rsidP="00EF295B">
            <w:pPr>
              <w:pStyle w:val="NoSpacing"/>
            </w:pPr>
          </w:p>
          <w:p w14:paraId="06CCAE13" w14:textId="77777777" w:rsidR="00EF295B" w:rsidRDefault="00EF295B" w:rsidP="00EF295B">
            <w:pPr>
              <w:pStyle w:val="NoSpacing"/>
            </w:pPr>
            <w:r>
              <w:t>This indicator will be monitored by the proportion of the population that has convenient access to public transport. The access to public transport is considered convenient when an officially recognized stop is accessible within a distance of 0.5 km from a reference point such as a home, school, work place, market, etc. Additional criteria for defining public transport that is convenient include:</w:t>
            </w:r>
          </w:p>
          <w:p w14:paraId="753ED329" w14:textId="77777777" w:rsidR="00EF295B" w:rsidRDefault="00EF295B" w:rsidP="00EF295B">
            <w:pPr>
              <w:pStyle w:val="NoSpacing"/>
            </w:pPr>
            <w:r>
              <w:t>a. Public transport accessible to all special-needs customers, including those who are physically, visually, and/or hearing-impaired, as well as those with temporary disabilities, the elderly, children and other people in vulnerable situations.</w:t>
            </w:r>
          </w:p>
          <w:p w14:paraId="0637B7F2" w14:textId="77777777" w:rsidR="00EF295B" w:rsidRDefault="00EF295B" w:rsidP="00EF295B">
            <w:pPr>
              <w:pStyle w:val="NoSpacing"/>
            </w:pPr>
            <w:r>
              <w:t>b. Public transport with frequent service during peak travel times</w:t>
            </w:r>
          </w:p>
          <w:p w14:paraId="22986FB2" w14:textId="77777777" w:rsidR="00EF295B" w:rsidRDefault="00EF295B" w:rsidP="00EF295B">
            <w:pPr>
              <w:pStyle w:val="NoSpacing"/>
            </w:pPr>
            <w:r>
              <w:t>c. Stops present a safe and comfortable station environment</w:t>
            </w:r>
          </w:p>
          <w:p w14:paraId="4D01BCA8" w14:textId="77777777" w:rsidR="00EF295B" w:rsidRDefault="00EF295B" w:rsidP="00EF295B">
            <w:pPr>
              <w:pStyle w:val="NoSpacing"/>
            </w:pPr>
          </w:p>
          <w:p w14:paraId="56AF4D53" w14:textId="77777777" w:rsidR="00EF295B" w:rsidRDefault="00EF295B" w:rsidP="00EF295B">
            <w:pPr>
              <w:pStyle w:val="NoSpacing"/>
            </w:pPr>
            <w:r>
              <w:t>Concepts:</w:t>
            </w:r>
          </w:p>
          <w:p w14:paraId="1E365042" w14:textId="77777777" w:rsidR="00EF295B" w:rsidRDefault="00EF295B" w:rsidP="00EF295B">
            <w:pPr>
              <w:pStyle w:val="NoSpacing"/>
            </w:pPr>
          </w:p>
          <w:p w14:paraId="24B1A50E" w14:textId="77777777" w:rsidR="00EF295B" w:rsidRDefault="00EF295B" w:rsidP="00EF295B">
            <w:pPr>
              <w:pStyle w:val="NoSpacing"/>
            </w:pPr>
            <w:r>
              <w:t xml:space="preserve">This indicator will be monitored by the proportion of the population that has convenient access to public transport. </w:t>
            </w:r>
            <w:r>
              <w:lastRenderedPageBreak/>
              <w:t>Because most public transport users walk from their trip origins to public transport stops and from public transport stops to their trip destination, local spatial availability and accessibility is sometimes evaluated in terms of pedestrian (walk) access, as opposed to park and ride or transfers.</w:t>
            </w:r>
          </w:p>
          <w:p w14:paraId="4E15E2F3" w14:textId="77777777" w:rsidR="00EF295B" w:rsidRDefault="00EF295B" w:rsidP="00EF295B">
            <w:pPr>
              <w:pStyle w:val="NoSpacing"/>
            </w:pPr>
          </w:p>
          <w:p w14:paraId="38B06E74" w14:textId="77777777" w:rsidR="00EF295B" w:rsidRDefault="00EF295B" w:rsidP="00EF295B">
            <w:pPr>
              <w:pStyle w:val="NoSpacing"/>
            </w:pPr>
            <w:r>
              <w:t>Hence, the access to public transport is considered convenient when an officially recognized stop is accessible within a distance of 0.5 km from a reference point such as a home, school, work place, market, etc. Additional criteria for defining public transport that is convenient include:</w:t>
            </w:r>
          </w:p>
          <w:p w14:paraId="638A1A60" w14:textId="77777777" w:rsidR="00EF295B" w:rsidRDefault="00EF295B" w:rsidP="00EF295B">
            <w:pPr>
              <w:pStyle w:val="NoSpacing"/>
            </w:pPr>
            <w:r>
              <w:t>a. Public transport accessible to all special-needs customers, including those who are physically, visually, and/or hearing-impaired, as well as those with temporary disabilities, the elderly, children and other people in vulnerable situations.</w:t>
            </w:r>
          </w:p>
          <w:p w14:paraId="4422C498" w14:textId="77777777" w:rsidR="00EF295B" w:rsidRDefault="00EF295B" w:rsidP="00EF295B">
            <w:pPr>
              <w:pStyle w:val="NoSpacing"/>
            </w:pPr>
            <w:r>
              <w:t>b. Public transport with frequent service during peak travel times</w:t>
            </w:r>
          </w:p>
          <w:p w14:paraId="04DCCE65" w14:textId="77777777" w:rsidR="00EF295B" w:rsidRDefault="00EF295B" w:rsidP="00EF295B">
            <w:pPr>
              <w:pStyle w:val="NoSpacing"/>
            </w:pPr>
            <w:r>
              <w:t>c. Stops present a safe and comfortable station environment</w:t>
            </w:r>
          </w:p>
          <w:p w14:paraId="25E69DA2" w14:textId="77777777" w:rsidR="00EF295B" w:rsidRDefault="00EF295B" w:rsidP="00EF295B">
            <w:pPr>
              <w:pStyle w:val="NoSpacing"/>
            </w:pPr>
          </w:p>
          <w:p w14:paraId="1B3A1862" w14:textId="77777777" w:rsidR="00EF295B" w:rsidRDefault="00EF295B" w:rsidP="00EF295B">
            <w:pPr>
              <w:pStyle w:val="NoSpacing"/>
            </w:pPr>
            <w:r>
              <w:t>Public transport is defined as a shared passenger transport service that is available to the general public. It includes cars, buses, trolleys, trams, trains, subways, and ferries that are shared by strangers without prior arrangement. However, it excludes taxis, car pools, and hired buses, which are not shared by strangers without prior arrangement. It also excludes informal, unregulated modes of transport (para-transit), motorcycle taxis, three-wheelers, etc.</w:t>
            </w:r>
          </w:p>
          <w:p w14:paraId="1EC63AD9" w14:textId="77777777" w:rsidR="00EF295B" w:rsidRDefault="00EF295B" w:rsidP="00EF295B">
            <w:pPr>
              <w:pStyle w:val="NoSpacing"/>
            </w:pPr>
          </w:p>
          <w:p w14:paraId="35CC691B" w14:textId="77777777" w:rsidR="00EF295B" w:rsidRDefault="00EF295B" w:rsidP="00EF295B">
            <w:pPr>
              <w:pStyle w:val="NoSpacing"/>
            </w:pPr>
            <w:r>
              <w:t>Public transport refers to a public service that is considered as a public good that has well designed ‘stops’ for passengers to embark and disembark in a safe manner and demarcated ‘routes’ that are both officially and/or formally recognized.</w:t>
            </w:r>
          </w:p>
          <w:p w14:paraId="7DE8F537" w14:textId="77777777" w:rsidR="00EF295B" w:rsidRDefault="00EF295B" w:rsidP="00EF295B">
            <w:pPr>
              <w:pStyle w:val="NoSpacing"/>
            </w:pPr>
          </w:p>
          <w:p w14:paraId="6D1438F6" w14:textId="77777777" w:rsidR="00EF295B" w:rsidRDefault="00EF295B" w:rsidP="00EF295B">
            <w:pPr>
              <w:pStyle w:val="NoSpacing"/>
            </w:pPr>
            <w:r>
              <w:t>Additional methodological comments:</w:t>
            </w:r>
          </w:p>
          <w:p w14:paraId="3BDA2A7B" w14:textId="77777777" w:rsidR="00EF295B" w:rsidRDefault="00EF295B" w:rsidP="00EF295B">
            <w:pPr>
              <w:pStyle w:val="NoSpacing"/>
            </w:pPr>
          </w:p>
          <w:p w14:paraId="3B9C86ED" w14:textId="77777777" w:rsidR="00EF295B" w:rsidRDefault="00EF295B" w:rsidP="00EF295B">
            <w:pPr>
              <w:pStyle w:val="NoSpacing"/>
            </w:pPr>
            <w:r>
              <w:t xml:space="preserve">The method to estimate the proportion of the population that has convenient access to public transport is based on four steps: </w:t>
            </w:r>
          </w:p>
          <w:p w14:paraId="7EF10E8E" w14:textId="77777777" w:rsidR="00EF295B" w:rsidRDefault="00EF295B" w:rsidP="00EF295B">
            <w:pPr>
              <w:pStyle w:val="NoSpacing"/>
            </w:pPr>
            <w:r>
              <w:t xml:space="preserve">a) Spatial analysis to delimit the built-up area of the urban agglomeration: </w:t>
            </w:r>
          </w:p>
          <w:p w14:paraId="00C86356" w14:textId="77777777" w:rsidR="00EF295B" w:rsidRDefault="00EF295B" w:rsidP="00EF295B">
            <w:pPr>
              <w:pStyle w:val="NoSpacing"/>
            </w:pPr>
          </w:p>
          <w:p w14:paraId="22979690" w14:textId="77777777" w:rsidR="00EF295B" w:rsidRDefault="00EF295B" w:rsidP="00EF295B">
            <w:pPr>
              <w:pStyle w:val="NoSpacing"/>
            </w:pPr>
            <w:r>
              <w:t>Delimit the built-up area of the urban agglomeration and calculate the total area (square kilometres). Area of delimitation should be aligned with census enumeration areas to match with demographic data.</w:t>
            </w:r>
          </w:p>
          <w:p w14:paraId="2C77CE42" w14:textId="77777777" w:rsidR="00EF295B" w:rsidRDefault="00EF295B" w:rsidP="00EF295B">
            <w:pPr>
              <w:pStyle w:val="NoSpacing"/>
            </w:pPr>
          </w:p>
          <w:p w14:paraId="0B3084F2" w14:textId="77777777" w:rsidR="00EF295B" w:rsidRDefault="00EF295B" w:rsidP="00EF295B">
            <w:pPr>
              <w:pStyle w:val="NoSpacing"/>
            </w:pPr>
            <w:r>
              <w:t xml:space="preserve">b) Inventory of the public transport stops in the city or the service area: </w:t>
            </w:r>
          </w:p>
          <w:p w14:paraId="5F68F444" w14:textId="77777777" w:rsidR="00EF295B" w:rsidRDefault="00EF295B" w:rsidP="00EF295B">
            <w:pPr>
              <w:pStyle w:val="NoSpacing"/>
            </w:pPr>
          </w:p>
          <w:p w14:paraId="586FCDAC" w14:textId="77777777" w:rsidR="00EF295B" w:rsidRDefault="00EF295B" w:rsidP="00EF295B">
            <w:pPr>
              <w:pStyle w:val="NoSpacing"/>
            </w:pPr>
            <w:r>
              <w:t>Information can be obtained from city administration or service providers. In some cases where this information is lacking, incomplete or outdated, open sources and community-based maps, which are increasingly recognized as a valid source of information, can be a viable alternative.</w:t>
            </w:r>
          </w:p>
          <w:p w14:paraId="54323678" w14:textId="77777777" w:rsidR="00EF295B" w:rsidRDefault="00EF295B" w:rsidP="00EF295B">
            <w:pPr>
              <w:pStyle w:val="NoSpacing"/>
            </w:pPr>
          </w:p>
          <w:p w14:paraId="25608485" w14:textId="77777777" w:rsidR="00EF295B" w:rsidRDefault="00EF295B" w:rsidP="00EF295B">
            <w:pPr>
              <w:pStyle w:val="NoSpacing"/>
            </w:pPr>
            <w:r>
              <w:t xml:space="preserve">When information is available, characteristics of the quality, universal accessibility for people with disabilities, safety, and frequency of the service can be ‘assigned‘ to the public transport stops’ inventory for detailed analysis and further </w:t>
            </w:r>
            <w:r>
              <w:lastRenderedPageBreak/>
              <w:t xml:space="preserve">disaggregation according to the statistical capacities of countries and cities. </w:t>
            </w:r>
          </w:p>
          <w:p w14:paraId="02C89D84" w14:textId="77777777" w:rsidR="00EF295B" w:rsidRDefault="00EF295B" w:rsidP="00EF295B">
            <w:pPr>
              <w:pStyle w:val="NoSpacing"/>
            </w:pPr>
          </w:p>
          <w:p w14:paraId="654F7118" w14:textId="77777777" w:rsidR="00EF295B" w:rsidRDefault="00EF295B" w:rsidP="00EF295B">
            <w:pPr>
              <w:pStyle w:val="NoSpacing"/>
            </w:pPr>
            <w:r>
              <w:t>c) Estimation of urban area with access to public transport:</w:t>
            </w:r>
          </w:p>
          <w:p w14:paraId="33B2A301" w14:textId="77777777" w:rsidR="00EF295B" w:rsidRDefault="00EF295B" w:rsidP="00EF295B">
            <w:pPr>
              <w:pStyle w:val="NoSpacing"/>
            </w:pPr>
          </w:p>
          <w:p w14:paraId="67241C73" w14:textId="77777777" w:rsidR="00EF295B" w:rsidRDefault="00EF295B" w:rsidP="00EF295B">
            <w:pPr>
              <w:pStyle w:val="NoSpacing"/>
            </w:pPr>
            <w:r>
              <w:t>To calculate the indicator it is necessary to use a map with the inventory of officially-recognized public transport stops and create a buffer area of 500m radius for each stop. Merge and clip with boundary of the boundary built-up area of the urban agglomeration.</w:t>
            </w:r>
          </w:p>
          <w:p w14:paraId="6F6465BB" w14:textId="77777777" w:rsidR="00EF295B" w:rsidRDefault="00EF295B" w:rsidP="00EF295B">
            <w:pPr>
              <w:pStyle w:val="NoSpacing"/>
            </w:pPr>
          </w:p>
          <w:p w14:paraId="799F9DBB" w14:textId="77777777" w:rsidR="00EF295B" w:rsidRDefault="00EF295B" w:rsidP="00EF295B">
            <w:pPr>
              <w:pStyle w:val="NoSpacing"/>
            </w:pPr>
            <w:r>
              <w:t>d) Estimation of the proportion of the population with convenient access out of the total population of the city:</w:t>
            </w:r>
          </w:p>
          <w:p w14:paraId="7B73173A" w14:textId="77777777" w:rsidR="00EF295B" w:rsidRDefault="00EF295B" w:rsidP="00EF295B">
            <w:pPr>
              <w:pStyle w:val="NoSpacing"/>
            </w:pPr>
          </w:p>
          <w:p w14:paraId="094EF580" w14:textId="77777777" w:rsidR="00EF295B" w:rsidRDefault="00EF295B" w:rsidP="00EF295B">
            <w:pPr>
              <w:pStyle w:val="NoSpacing"/>
            </w:pPr>
            <w:r>
              <w:t>Overlay GIS demographic data on the number of dwellings within the area with access to public transport stop. Calculate the population within those dwellings. Estimate the proportion of population out of the total population of the city.</w:t>
            </w:r>
          </w:p>
          <w:p w14:paraId="352CD27E" w14:textId="77777777" w:rsidR="00EF295B" w:rsidRDefault="00EF295B" w:rsidP="00EF295B">
            <w:pPr>
              <w:pStyle w:val="NoSpacing"/>
            </w:pPr>
          </w:p>
          <w:p w14:paraId="1393FEF2" w14:textId="77777777" w:rsidR="00EF295B" w:rsidRDefault="00EF295B" w:rsidP="00EF295B">
            <w:pPr>
              <w:pStyle w:val="NoSpacing"/>
            </w:pPr>
            <w:r>
              <w:t>Complementary to the above, other parameters of tracking the transport target include the following:</w:t>
            </w:r>
          </w:p>
          <w:p w14:paraId="2FA85538" w14:textId="77777777" w:rsidR="00EF295B" w:rsidRDefault="00EF295B" w:rsidP="00EF295B">
            <w:pPr>
              <w:pStyle w:val="NoSpacing"/>
            </w:pPr>
          </w:p>
          <w:p w14:paraId="67DA0DDF" w14:textId="77777777" w:rsidR="00EF295B" w:rsidRDefault="00EF295B" w:rsidP="00EF295B">
            <w:pPr>
              <w:pStyle w:val="NoSpacing"/>
            </w:pPr>
            <w:r>
              <w:t xml:space="preserve">a) Accessibility related to urban planning: this parameter can be measured using density (people/sq.km) from census surveys, Percentage of street space in cities and Number of Intersections / Sq.Km from analysis of earth observations and/or city maps. Density is an important determinant for the efficiency of public transport systems. The adequacy of streets and crossings determine urban accessibility to a great extent. </w:t>
            </w:r>
          </w:p>
          <w:p w14:paraId="33531D9F" w14:textId="77777777" w:rsidR="00EF295B" w:rsidRDefault="00EF295B" w:rsidP="00EF295B">
            <w:pPr>
              <w:pStyle w:val="NoSpacing"/>
            </w:pPr>
          </w:p>
          <w:p w14:paraId="16A42F09" w14:textId="77777777" w:rsidR="00EF295B" w:rsidRDefault="00EF295B" w:rsidP="00EF295B">
            <w:pPr>
              <w:pStyle w:val="NoSpacing"/>
            </w:pPr>
            <w:r>
              <w:t>b) Accessibility related to transport planning: this parameter can be measured using Percentage of population within 500m of mass transit stop from City maps and sample survey data.</w:t>
            </w:r>
          </w:p>
          <w:p w14:paraId="33AD30AE" w14:textId="77777777" w:rsidR="00EF295B" w:rsidRDefault="00EF295B" w:rsidP="00EF295B">
            <w:pPr>
              <w:pStyle w:val="NoSpacing"/>
            </w:pPr>
          </w:p>
          <w:p w14:paraId="163156D5" w14:textId="77777777" w:rsidR="00EF295B" w:rsidRDefault="00EF295B" w:rsidP="00EF295B">
            <w:pPr>
              <w:pStyle w:val="NoSpacing"/>
            </w:pPr>
            <w:r>
              <w:t>c) Affordability: this can be obtained from Percentage of household income of lowest quintile of population spent on transport from Sample surveys and WTP surveys. Poorest quintile should not spend more than 5% (TBD) on transport.</w:t>
            </w:r>
          </w:p>
          <w:p w14:paraId="7DDCF820" w14:textId="77777777" w:rsidR="00EF295B" w:rsidRDefault="00EF295B" w:rsidP="00EF295B">
            <w:pPr>
              <w:pStyle w:val="NoSpacing"/>
            </w:pPr>
          </w:p>
          <w:p w14:paraId="2127E028" w14:textId="77777777" w:rsidR="00EF295B" w:rsidRDefault="00EF295B" w:rsidP="00EF295B">
            <w:pPr>
              <w:pStyle w:val="NoSpacing"/>
            </w:pPr>
            <w:r>
              <w:t xml:space="preserve">d) Quality: this parameter can be measured using travel time, universal access, safety, security, </w:t>
            </w:r>
            <w:proofErr w:type="gramStart"/>
            <w:r>
              <w:t>comfort</w:t>
            </w:r>
            <w:proofErr w:type="gramEnd"/>
            <w:r>
              <w:t xml:space="preserve"> and user information from sample surveys.</w:t>
            </w:r>
          </w:p>
          <w:p w14:paraId="11CF342D" w14:textId="77777777" w:rsidR="00EF295B" w:rsidRDefault="00EF295B" w:rsidP="00EF295B">
            <w:pPr>
              <w:pStyle w:val="NoSpacing"/>
            </w:pPr>
          </w:p>
          <w:p w14:paraId="55116D6D" w14:textId="77777777" w:rsidR="00EF295B" w:rsidRDefault="00EF295B" w:rsidP="00EF295B">
            <w:pPr>
              <w:pStyle w:val="NoSpacing"/>
            </w:pPr>
            <w:r>
              <w:t>e) Modal shift to sustainable transport: this is also expressed in Modal share (cars, NMT, PT), Passenger KM travelled on EV as percentage of total passenger KM travelled in urban areas from City mobility surveys. This parameter is also important due to transport’s contribution to carbon emissions and air quality issues in cities.</w:t>
            </w:r>
          </w:p>
          <w:p w14:paraId="189FC897" w14:textId="77777777" w:rsidR="00EF295B" w:rsidRDefault="00EF295B" w:rsidP="00EF295B">
            <w:pPr>
              <w:pStyle w:val="NoSpacing"/>
            </w:pPr>
          </w:p>
          <w:p w14:paraId="44DF021A" w14:textId="77777777" w:rsidR="00EF295B" w:rsidRDefault="00EF295B" w:rsidP="00EF295B">
            <w:pPr>
              <w:pStyle w:val="NoSpacing"/>
            </w:pPr>
            <w:r>
              <w:t>Comments and limitations:</w:t>
            </w:r>
          </w:p>
          <w:p w14:paraId="3A607098" w14:textId="77777777" w:rsidR="00EF295B" w:rsidRDefault="00EF295B" w:rsidP="00EF295B">
            <w:pPr>
              <w:pStyle w:val="NoSpacing"/>
            </w:pPr>
          </w:p>
          <w:p w14:paraId="20CC4632" w14:textId="77777777" w:rsidR="00EF295B" w:rsidRDefault="00EF295B" w:rsidP="00EF295B">
            <w:pPr>
              <w:pStyle w:val="NoSpacing"/>
            </w:pPr>
            <w:r>
              <w:t xml:space="preserve">As the Outcome Document 2nd Meeting of the Urban SDGs Campaign in Bangalore (12-14 February 2015) recognizes </w:t>
            </w:r>
            <w:proofErr w:type="gramStart"/>
            <w:r>
              <w:t>that  no</w:t>
            </w:r>
            <w:proofErr w:type="gramEnd"/>
            <w:r>
              <w:t xml:space="preserve"> internationally agreed methodology exists for measuring convenience and service quality of public transport. Harmonized global/local data on urban transport systems do not exist, nor are they comparable at the world level.</w:t>
            </w:r>
          </w:p>
          <w:p w14:paraId="57ADB0DF" w14:textId="77777777" w:rsidR="00EF295B" w:rsidRDefault="00EF295B" w:rsidP="00EF295B">
            <w:pPr>
              <w:pStyle w:val="NoSpacing"/>
            </w:pPr>
          </w:p>
          <w:p w14:paraId="3D674A81" w14:textId="77777777" w:rsidR="00EF295B" w:rsidRDefault="00EF295B" w:rsidP="00EF295B">
            <w:pPr>
              <w:pStyle w:val="NoSpacing"/>
            </w:pPr>
            <w:r>
              <w:t>It is recognized that convenience measured as distance does not categorize the quality of the public transport which will vary from country to country. Nevertheless, the proposed indicator is a comparable and objective measurement that can be assessed in cities across regions.</w:t>
            </w:r>
          </w:p>
          <w:p w14:paraId="3EA21B7E" w14:textId="77777777" w:rsidR="00EF295B" w:rsidRDefault="00EF295B" w:rsidP="00EF295B">
            <w:pPr>
              <w:pStyle w:val="NoSpacing"/>
            </w:pPr>
          </w:p>
          <w:p w14:paraId="6C058870" w14:textId="77777777" w:rsidR="00EF295B" w:rsidRDefault="00EF295B" w:rsidP="00EF295B">
            <w:pPr>
              <w:pStyle w:val="NoSpacing"/>
            </w:pPr>
            <w:r>
              <w:t>Other factors of this indicator such as affordability, safety, and universal accessibility may influence the usage of public means of mobility beyond proximity to the transport stop. Yet, the provision of widely accessible public transport is a precondition for its usage.</w:t>
            </w:r>
          </w:p>
          <w:p w14:paraId="2B501E76" w14:textId="77777777" w:rsidR="00EF295B" w:rsidRDefault="00EF295B" w:rsidP="00EF295B">
            <w:pPr>
              <w:pStyle w:val="NoSpacing"/>
            </w:pPr>
          </w:p>
          <w:p w14:paraId="3BAD4C64" w14:textId="77777777" w:rsidR="00EF295B" w:rsidRDefault="00EF295B" w:rsidP="00EF295B">
            <w:pPr>
              <w:pStyle w:val="NoSpacing"/>
            </w:pPr>
            <w:r>
              <w:t>Finally, high capacity public transport, such as trains allows for a larger capture area, beyond the 0.5km of the proposed indicator.</w:t>
            </w:r>
          </w:p>
          <w:p w14:paraId="025862A9" w14:textId="77777777" w:rsidR="00EF295B" w:rsidRDefault="00EF295B" w:rsidP="00EF295B">
            <w:pPr>
              <w:pStyle w:val="NoSpacing"/>
            </w:pPr>
          </w:p>
          <w:p w14:paraId="13CDA811" w14:textId="77777777" w:rsidR="00EF295B" w:rsidRDefault="00EF295B" w:rsidP="00EF295B">
            <w:pPr>
              <w:pStyle w:val="NoSpacing"/>
            </w:pPr>
            <w:r>
              <w:t>It is also recognized that there are various forms of public transport in the member countries that are not fully defined or captured in this methodology. In particular, many developing countries have access to public transport that is available anywhere on the streets and not necessarily at designated public transport stops. The creation of designated stops is a precondition of measurement in these countries.</w:t>
            </w:r>
          </w:p>
          <w:p w14:paraId="53B55045" w14:textId="77777777" w:rsidR="00EF295B" w:rsidRDefault="00EF295B" w:rsidP="00EF295B">
            <w:pPr>
              <w:pStyle w:val="NoSpacing"/>
            </w:pPr>
          </w:p>
          <w:p w14:paraId="6DD54B78" w14:textId="77777777" w:rsidR="00EF295B" w:rsidRDefault="00EF295B" w:rsidP="00EF295B">
            <w:pPr>
              <w:pStyle w:val="NoSpacing"/>
            </w:pPr>
            <w:r>
              <w:t>Computation Method:</w:t>
            </w:r>
          </w:p>
          <w:p w14:paraId="2ABD23B8" w14:textId="77777777" w:rsidR="00EF295B" w:rsidRDefault="00EF295B" w:rsidP="00EF295B">
            <w:pPr>
              <w:pStyle w:val="NoSpacing"/>
            </w:pPr>
          </w:p>
          <w:p w14:paraId="35101DB1" w14:textId="77777777" w:rsidR="00EF295B" w:rsidRDefault="00EF295B" w:rsidP="00EF295B">
            <w:pPr>
              <w:pStyle w:val="NoSpacing"/>
            </w:pPr>
            <w:r>
              <w:t>Method of Computation</w:t>
            </w:r>
          </w:p>
          <w:p w14:paraId="464FCC98" w14:textId="77777777" w:rsidR="00EF295B" w:rsidRDefault="00EF295B" w:rsidP="00EF295B">
            <w:pPr>
              <w:pStyle w:val="NoSpacing"/>
            </w:pPr>
          </w:p>
          <w:p w14:paraId="7E68AD05" w14:textId="77777777" w:rsidR="00EF295B" w:rsidRDefault="00EF295B" w:rsidP="00EF295B">
            <w:pPr>
              <w:pStyle w:val="NoSpacing"/>
            </w:pPr>
            <w:r>
              <w:t>This indicator is computed based on the following criteria:</w:t>
            </w:r>
          </w:p>
          <w:p w14:paraId="10C295CD" w14:textId="77777777" w:rsidR="00EF295B" w:rsidRDefault="00EF295B" w:rsidP="00EF295B">
            <w:pPr>
              <w:pStyle w:val="NoSpacing"/>
            </w:pPr>
          </w:p>
          <w:p w14:paraId="13F98C0D" w14:textId="77777777" w:rsidR="00EF295B" w:rsidRDefault="00EF295B" w:rsidP="00EF295B">
            <w:pPr>
              <w:pStyle w:val="NoSpacing"/>
            </w:pPr>
            <w:r>
              <w:t xml:space="preserve">The identification of service areas is typically achieved using the buffering operation (using GIS) by constructing lines of equal proximity around each public transport stop or each public transport route. The buffering operation clearly involves at least two decisions. The first decision is whether routes or stops should be used as the reference of measurement. The two approaches may lead to very different values of spatial availability. But generally, public transport stops offer a more appropriate basis than routes for estimating service area coverage because stops are the actual locations where public transport users access the system. The other decision involved in the buffering operation is the buffer size. A common practice in public transport planning is to assume that people are served by public transport if they are within 0.5km (or 500m) of either a public transport route or stop. Once a distance threshold is defined, buffers are created around the public transport features. Some studies measure the distance based on air, or Euclidean, distance, while others use network distance (that is, the walk distance computed using the street network to reach a public transport feature. Since the network distance between two locations in space is greater than, or equal to, the corresponding air distance, the size of a coverage area defined by the network distance will be smaller than, or equal to, that defined by air distance. Network distance measures are likely to be more realistic because they reflect the configuration of the street network and recognize the presence of any man-made barriers preventing direct access to public transport features. In addition to using the above mentioned distance measures, others have suggested the use of </w:t>
            </w:r>
            <w:r>
              <w:lastRenderedPageBreak/>
              <w:t xml:space="preserve">travel time to public transport features as a measure of proximity. Using travel time is preferable to distance as a measure of proximity because travel time measures account for such pedestrian-unfriendly factors such as steep terrains. However, because of the additional data requirements and the amount of processing effort involved, travel time measures are rarely used in practice. For this </w:t>
            </w:r>
            <w:proofErr w:type="gramStart"/>
            <w:r>
              <w:t>indicator  the</w:t>
            </w:r>
            <w:proofErr w:type="gramEnd"/>
            <w:r>
              <w:t xml:space="preserve"> public transport stop will be used as the point of service.</w:t>
            </w:r>
          </w:p>
          <w:p w14:paraId="677E9980" w14:textId="77777777" w:rsidR="00EF295B" w:rsidRDefault="00EF295B" w:rsidP="00EF295B">
            <w:pPr>
              <w:pStyle w:val="NoSpacing"/>
            </w:pPr>
          </w:p>
          <w:p w14:paraId="7ED3A7FA" w14:textId="77777777" w:rsidR="00EF295B" w:rsidRDefault="00EF295B" w:rsidP="00EF295B">
            <w:pPr>
              <w:pStyle w:val="NoSpacing"/>
            </w:pPr>
            <w:r>
              <w:t>The identification of the population served</w:t>
            </w:r>
          </w:p>
          <w:p w14:paraId="18E011EA" w14:textId="77777777" w:rsidR="00EF295B" w:rsidRDefault="00EF295B" w:rsidP="00EF295B">
            <w:pPr>
              <w:pStyle w:val="NoSpacing"/>
            </w:pPr>
          </w:p>
          <w:p w14:paraId="671C0DA8" w14:textId="77777777" w:rsidR="00EF295B" w:rsidRDefault="00EF295B" w:rsidP="00EF295B">
            <w:pPr>
              <w:pStyle w:val="NoSpacing"/>
            </w:pPr>
            <w:r>
              <w:t xml:space="preserve">Once a service buffer is constructed, the next step is to overlay the buffer onto other polygons, such as census tracts, for which socio-demographic data (such as population figures, disabled persons, type of residence area, etc. is available. These polygons are referred to as the analysis zones. Typically, a service buffer (denoted as i) intersects, either fully or partially, with more than one analysis zone j </w:t>
            </w:r>
            <w:proofErr w:type="gramStart"/>
            <w:r>
              <w:t>( j</w:t>
            </w:r>
            <w:proofErr w:type="gramEnd"/>
            <w:r>
              <w:t xml:space="preserve">=1…..J). The population served by the public transport service in buffer i, Pi, is thus equal to the sum of the population in each of the intersecting areas, </w:t>
            </w:r>
            <w:proofErr w:type="gramStart"/>
            <w:r>
              <w:t>Pij .</w:t>
            </w:r>
            <w:proofErr w:type="gramEnd"/>
            <w:r>
              <w:t xml:space="preserve"> Hence</w:t>
            </w:r>
          </w:p>
          <w:p w14:paraId="3A44C318" w14:textId="77777777" w:rsidR="00EF295B" w:rsidRDefault="00EF295B" w:rsidP="00EF295B">
            <w:pPr>
              <w:pStyle w:val="NoSpacing"/>
            </w:pPr>
          </w:p>
          <w:p w14:paraId="7AFD3A1F" w14:textId="77777777" w:rsidR="00EF295B" w:rsidRDefault="00EF295B" w:rsidP="00EF295B">
            <w:pPr>
              <w:pStyle w:val="NoSpacing"/>
            </w:pPr>
            <w:r>
              <w:t>Pi=?_(j=1)^J¦Pij</w:t>
            </w:r>
          </w:p>
          <w:p w14:paraId="5FAB9F43" w14:textId="77777777" w:rsidR="00EF295B" w:rsidRDefault="00EF295B" w:rsidP="00EF295B">
            <w:pPr>
              <w:pStyle w:val="NoSpacing"/>
            </w:pPr>
          </w:p>
          <w:p w14:paraId="5609ABAC" w14:textId="77777777" w:rsidR="00EF295B" w:rsidRDefault="00EF295B" w:rsidP="00EF295B">
            <w:pPr>
              <w:pStyle w:val="NoSpacing"/>
            </w:pPr>
            <w:r>
              <w:t>Where, Pij is estimated based on the amount of interaction between service buffer i and analysis zone j.</w:t>
            </w:r>
          </w:p>
          <w:p w14:paraId="4C0BD99F" w14:textId="77777777" w:rsidR="00EF295B" w:rsidRDefault="00EF295B" w:rsidP="00EF295B">
            <w:pPr>
              <w:pStyle w:val="NoSpacing"/>
            </w:pPr>
          </w:p>
          <w:p w14:paraId="7DA8976D" w14:textId="77777777" w:rsidR="00EF295B" w:rsidRDefault="00EF295B" w:rsidP="00EF295B">
            <w:pPr>
              <w:pStyle w:val="NoSpacing"/>
            </w:pPr>
            <w:r>
              <w:t>In estimating Pij it is assumed that the population is uniformly distributed within the analysis zones.</w:t>
            </w:r>
          </w:p>
          <w:p w14:paraId="47C63BAA" w14:textId="77777777" w:rsidR="00EF295B" w:rsidRDefault="00EF295B" w:rsidP="00EF295B">
            <w:pPr>
              <w:pStyle w:val="NoSpacing"/>
            </w:pPr>
          </w:p>
          <w:p w14:paraId="1AEBC765" w14:textId="77777777" w:rsidR="00EF295B" w:rsidRDefault="00EF295B" w:rsidP="00EF295B">
            <w:pPr>
              <w:pStyle w:val="NoSpacing"/>
            </w:pPr>
            <w:r>
              <w:t>Integrating local temporal availability.</w:t>
            </w:r>
          </w:p>
          <w:p w14:paraId="624D30FA" w14:textId="77777777" w:rsidR="00EF295B" w:rsidRDefault="00EF295B" w:rsidP="00EF295B">
            <w:pPr>
              <w:pStyle w:val="NoSpacing"/>
            </w:pPr>
          </w:p>
          <w:p w14:paraId="465CC501" w14:textId="77777777" w:rsidR="00EF295B" w:rsidRDefault="00EF295B" w:rsidP="00EF295B">
            <w:pPr>
              <w:pStyle w:val="NoSpacing"/>
            </w:pPr>
            <w:r>
              <w:t>The methodology described above covers public transport service solely based on spatial access to stops or routes and does not address the temporal dimension associated with the availability of public transport. We note that temporal aspect of public transport availability is important because a service within walking distance is not necessarily considered as available if waiting times go beyond a certain threshold level that is required. This wait time for public transport is related to the frequency of the service as well as the threshold for tolerable waits for potential public transport users. We will leave out completely the temporal measurement for global comparison, but countries that can additionally capture this component are encouraged to collect and report this information as part of the disaggregation.</w:t>
            </w:r>
          </w:p>
          <w:p w14:paraId="6FFE9D90" w14:textId="77777777" w:rsidR="00EF295B" w:rsidRDefault="00EF295B" w:rsidP="00EF295B">
            <w:pPr>
              <w:pStyle w:val="NoSpacing"/>
            </w:pPr>
          </w:p>
          <w:p w14:paraId="15EF943A" w14:textId="77777777" w:rsidR="00EF295B" w:rsidRDefault="00EF295B" w:rsidP="00EF295B">
            <w:pPr>
              <w:pStyle w:val="NoSpacing"/>
            </w:pPr>
            <w:r>
              <w:t>Finally, the population with access to public transport out of the entire city population will be computed as;</w:t>
            </w:r>
          </w:p>
          <w:p w14:paraId="231632BD" w14:textId="77777777" w:rsidR="00EF295B" w:rsidRDefault="00EF295B" w:rsidP="00EF295B">
            <w:pPr>
              <w:pStyle w:val="NoSpacing"/>
            </w:pPr>
          </w:p>
          <w:p w14:paraId="25A542F2" w14:textId="77777777" w:rsidR="00EF295B" w:rsidRDefault="00EF295B" w:rsidP="00EF295B">
            <w:pPr>
              <w:pStyle w:val="NoSpacing"/>
            </w:pPr>
            <w:r>
              <w:t xml:space="preserve"> Percentage with access to Public transport =100x (population with convenient access to Public transport)/(City Population)</w:t>
            </w:r>
          </w:p>
        </w:tc>
        <w:tc>
          <w:tcPr>
            <w:tcW w:w="1174" w:type="dxa"/>
          </w:tcPr>
          <w:p w14:paraId="5005FFED" w14:textId="77777777" w:rsidR="00EF295B" w:rsidRPr="00873FDE" w:rsidRDefault="00EF295B" w:rsidP="00EF295B">
            <w:pPr>
              <w:rPr>
                <w:bCs/>
                <w:szCs w:val="20"/>
              </w:rPr>
            </w:pPr>
            <w:r w:rsidRPr="00873FDE">
              <w:rPr>
                <w:bCs/>
                <w:szCs w:val="20"/>
              </w:rPr>
              <w:lastRenderedPageBreak/>
              <w:t>At the Global level, all this data will be assembled and compiled for international consumption and comparison by the UN-Habitat and other partners</w:t>
            </w:r>
          </w:p>
        </w:tc>
        <w:tc>
          <w:tcPr>
            <w:tcW w:w="818" w:type="dxa"/>
          </w:tcPr>
          <w:p w14:paraId="113801EA" w14:textId="77777777" w:rsidR="00EF295B" w:rsidRPr="00873FDE" w:rsidRDefault="00EF295B" w:rsidP="00EF295B">
            <w:pPr>
              <w:rPr>
                <w:bCs/>
                <w:szCs w:val="20"/>
              </w:rPr>
            </w:pPr>
            <w:r w:rsidRPr="00873FDE">
              <w:rPr>
                <w:bCs/>
                <w:szCs w:val="20"/>
              </w:rPr>
              <w:t xml:space="preserve">National Focal points as designated by respective Governments underpins the governance framework for </w:t>
            </w:r>
            <w:r w:rsidRPr="00873FDE">
              <w:rPr>
                <w:bCs/>
                <w:szCs w:val="20"/>
              </w:rPr>
              <w:lastRenderedPageBreak/>
              <w:t>monitoring the Transport Target.</w:t>
            </w:r>
          </w:p>
        </w:tc>
        <w:tc>
          <w:tcPr>
            <w:tcW w:w="812" w:type="dxa"/>
          </w:tcPr>
          <w:p w14:paraId="233586BC" w14:textId="77777777" w:rsidR="00EF295B" w:rsidRPr="005A3D12" w:rsidRDefault="00EF295B" w:rsidP="00EF295B">
            <w:pPr>
              <w:pStyle w:val="NoSpacing"/>
            </w:pPr>
          </w:p>
        </w:tc>
        <w:tc>
          <w:tcPr>
            <w:tcW w:w="1351" w:type="dxa"/>
          </w:tcPr>
          <w:p w14:paraId="577EAC0B" w14:textId="77777777" w:rsidR="00EF295B" w:rsidRPr="005A3D12" w:rsidRDefault="00EF295B" w:rsidP="00EF295B">
            <w:pPr>
              <w:pStyle w:val="NoSpacing"/>
            </w:pPr>
            <w:r w:rsidRPr="005A3D12">
              <w:t>a) BBS</w:t>
            </w:r>
          </w:p>
          <w:p w14:paraId="31983383" w14:textId="77777777" w:rsidR="00EF295B" w:rsidRDefault="00EF295B" w:rsidP="00EF295B">
            <w:pPr>
              <w:pStyle w:val="NoSpacing"/>
            </w:pPr>
          </w:p>
          <w:p w14:paraId="36FCFEFC" w14:textId="77777777" w:rsidR="00EF295B" w:rsidRDefault="00EF295B" w:rsidP="00EF295B">
            <w:pPr>
              <w:pStyle w:val="NoSpacing"/>
            </w:pPr>
          </w:p>
          <w:p w14:paraId="22CECD95" w14:textId="77777777" w:rsidR="00EF295B" w:rsidRDefault="00EF295B" w:rsidP="00EF295B">
            <w:pPr>
              <w:pStyle w:val="NoSpacing"/>
            </w:pPr>
          </w:p>
          <w:p w14:paraId="72B1A445" w14:textId="0333B335" w:rsidR="00EF295B" w:rsidRDefault="00EF295B" w:rsidP="00EF295B">
            <w:pPr>
              <w:pStyle w:val="NoSpacing"/>
            </w:pPr>
          </w:p>
          <w:p w14:paraId="23F7CE6C" w14:textId="77777777" w:rsidR="00EF295B" w:rsidRDefault="00EF295B" w:rsidP="00EF295B">
            <w:pPr>
              <w:pStyle w:val="NoSpacing"/>
            </w:pPr>
          </w:p>
          <w:p w14:paraId="74B6D9AD" w14:textId="77777777" w:rsidR="00EF295B" w:rsidRDefault="00EF295B" w:rsidP="00EF295B">
            <w:pPr>
              <w:spacing w:line="276" w:lineRule="auto"/>
              <w:jc w:val="center"/>
            </w:pPr>
            <w:r w:rsidRPr="00BC6F10">
              <w:t>A</w:t>
            </w:r>
            <w:r>
              <w:t>R</w:t>
            </w:r>
            <w:r w:rsidRPr="00BC6F10">
              <w:t>PTS</w:t>
            </w:r>
            <w:r>
              <w:t>//PHC/</w:t>
            </w:r>
          </w:p>
          <w:p w14:paraId="25C9B6E3" w14:textId="77777777" w:rsidR="00EF295B" w:rsidRPr="00BC6F10" w:rsidRDefault="00EF295B" w:rsidP="00EF295B">
            <w:pPr>
              <w:pStyle w:val="NoSpacing"/>
            </w:pPr>
            <w:r>
              <w:t>Big Data</w:t>
            </w:r>
          </w:p>
        </w:tc>
        <w:tc>
          <w:tcPr>
            <w:tcW w:w="1349" w:type="dxa"/>
          </w:tcPr>
          <w:p w14:paraId="4679F1D0"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0-14 yrs, 15-24 yrs, 25-59 yrs, 60+ yrs</w:t>
            </w:r>
          </w:p>
          <w:p w14:paraId="4F3EA01D"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Sex: Male/Female </w:t>
            </w:r>
          </w:p>
          <w:p w14:paraId="3091536D" w14:textId="55AB6BDC" w:rsidR="00EF295B" w:rsidRDefault="00EF295B" w:rsidP="00EF295B">
            <w:pPr>
              <w:pStyle w:val="ListParagraph"/>
              <w:numPr>
                <w:ilvl w:val="0"/>
                <w:numId w:val="52"/>
              </w:numPr>
              <w:spacing w:after="160" w:line="256" w:lineRule="auto"/>
              <w:ind w:left="160" w:hanging="160"/>
              <w:jc w:val="both"/>
              <w:rPr>
                <w:rFonts w:ascii="Tw Cen MT Condensed" w:hAnsi="Tw Cen MT Condensed"/>
                <w:b/>
                <w:bCs/>
                <w:i/>
                <w:iCs/>
                <w:sz w:val="18"/>
                <w:szCs w:val="18"/>
              </w:rPr>
            </w:pPr>
            <w:r>
              <w:rPr>
                <w:rFonts w:ascii="Tw Cen MT Condensed" w:hAnsi="Tw Cen MT Condensed"/>
                <w:sz w:val="20"/>
                <w:szCs w:val="20"/>
              </w:rPr>
              <w:t>Disability</w:t>
            </w:r>
            <w:r w:rsidR="00A47C3B">
              <w:rPr>
                <w:rFonts w:ascii="Tw Cen MT Condensed" w:hAnsi="Tw Cen MT Condensed"/>
                <w:sz w:val="20"/>
                <w:szCs w:val="20"/>
              </w:rPr>
              <w:t>: Disable/Non Disable</w:t>
            </w:r>
          </w:p>
          <w:p w14:paraId="523A3CBC" w14:textId="77777777" w:rsidR="00EF295B" w:rsidRPr="00B758C0" w:rsidRDefault="00EF295B" w:rsidP="00EF295B">
            <w:pPr>
              <w:ind w:left="970" w:hanging="970"/>
              <w:jc w:val="both"/>
              <w:rPr>
                <w:b/>
                <w:bCs/>
                <w:color w:val="0070C0"/>
                <w:sz w:val="30"/>
                <w:szCs w:val="30"/>
              </w:rPr>
            </w:pPr>
          </w:p>
        </w:tc>
        <w:tc>
          <w:tcPr>
            <w:tcW w:w="1145" w:type="dxa"/>
          </w:tcPr>
          <w:p w14:paraId="1F38E4B8" w14:textId="77777777" w:rsidR="00EF295B" w:rsidRDefault="00EF295B" w:rsidP="00EF295B">
            <w:pPr>
              <w:ind w:left="970" w:hanging="970"/>
              <w:jc w:val="both"/>
              <w:rPr>
                <w:color w:val="0070C0"/>
                <w:sz w:val="30"/>
                <w:szCs w:val="30"/>
              </w:rPr>
            </w:pPr>
            <w:r w:rsidRPr="00BC6F10">
              <w:t>Triennial</w:t>
            </w:r>
          </w:p>
        </w:tc>
        <w:tc>
          <w:tcPr>
            <w:tcW w:w="922" w:type="dxa"/>
          </w:tcPr>
          <w:p w14:paraId="64AB3A50" w14:textId="77777777" w:rsidR="00EF295B" w:rsidRDefault="00EF295B" w:rsidP="00EF295B">
            <w:pPr>
              <w:ind w:left="970" w:hanging="970"/>
              <w:jc w:val="both"/>
              <w:rPr>
                <w:color w:val="0070C0"/>
                <w:sz w:val="30"/>
                <w:szCs w:val="30"/>
              </w:rPr>
            </w:pPr>
            <w:r>
              <w:t>Group 2</w:t>
            </w:r>
          </w:p>
        </w:tc>
        <w:tc>
          <w:tcPr>
            <w:tcW w:w="644" w:type="dxa"/>
          </w:tcPr>
          <w:p w14:paraId="62C99503" w14:textId="77777777" w:rsidR="00EF295B" w:rsidRDefault="00EF295B" w:rsidP="00EF295B">
            <w:pPr>
              <w:pStyle w:val="NoSpacing"/>
            </w:pPr>
            <w:r>
              <w:t xml:space="preserve">  -</w:t>
            </w:r>
          </w:p>
          <w:p w14:paraId="6A6680A9" w14:textId="77777777" w:rsidR="00EF295B" w:rsidRDefault="00EF295B" w:rsidP="00EF295B">
            <w:pPr>
              <w:pStyle w:val="NoSpacing"/>
            </w:pPr>
          </w:p>
          <w:p w14:paraId="7962B4CC" w14:textId="77777777" w:rsidR="00EF295B" w:rsidRDefault="00EF295B" w:rsidP="00EF295B">
            <w:pPr>
              <w:pStyle w:val="NoSpacing"/>
            </w:pPr>
            <w:r>
              <w:t>1</w:t>
            </w:r>
            <w:r w:rsidRPr="00013ACB">
              <w:rPr>
                <w:vertAlign w:val="superscript"/>
              </w:rPr>
              <w:t>st</w:t>
            </w:r>
            <w:r>
              <w:t xml:space="preserve"> Round:</w:t>
            </w:r>
          </w:p>
          <w:p w14:paraId="5ABEFB68" w14:textId="77777777" w:rsidR="00EF295B" w:rsidRDefault="00EF295B" w:rsidP="00EF295B">
            <w:pPr>
              <w:pStyle w:val="NoSpacing"/>
            </w:pPr>
            <w:r w:rsidRPr="00217818">
              <w:t>December, 2020</w:t>
            </w:r>
          </w:p>
          <w:p w14:paraId="6BBFA403" w14:textId="77777777" w:rsidR="00EF295B" w:rsidRDefault="00EF295B" w:rsidP="00EF295B">
            <w:pPr>
              <w:pStyle w:val="NoSpacing"/>
            </w:pPr>
          </w:p>
          <w:p w14:paraId="32040220" w14:textId="77777777" w:rsidR="00EF295B" w:rsidRDefault="00EF295B" w:rsidP="00EF295B">
            <w:pPr>
              <w:pStyle w:val="NoSpacing"/>
            </w:pPr>
            <w:r>
              <w:t>2</w:t>
            </w:r>
            <w:r w:rsidRPr="00013ACB">
              <w:rPr>
                <w:vertAlign w:val="superscript"/>
              </w:rPr>
              <w:t>nd</w:t>
            </w:r>
            <w:r>
              <w:t xml:space="preserve"> Round: </w:t>
            </w:r>
          </w:p>
          <w:p w14:paraId="5ED242FD" w14:textId="77777777" w:rsidR="00EF295B" w:rsidRDefault="00EF295B" w:rsidP="00EF295B">
            <w:pPr>
              <w:pStyle w:val="NoSpacing"/>
            </w:pPr>
            <w:r>
              <w:t>December, 2023</w:t>
            </w:r>
          </w:p>
          <w:p w14:paraId="4360DB0C" w14:textId="77777777" w:rsidR="00EF295B" w:rsidRDefault="00EF295B" w:rsidP="00EF295B">
            <w:pPr>
              <w:pStyle w:val="NoSpacing"/>
            </w:pPr>
          </w:p>
          <w:p w14:paraId="75C02DDA" w14:textId="77777777" w:rsidR="00EF295B" w:rsidRDefault="00EF295B" w:rsidP="00EF295B">
            <w:pPr>
              <w:pStyle w:val="NoSpacing"/>
            </w:pPr>
            <w:r>
              <w:lastRenderedPageBreak/>
              <w:t>3</w:t>
            </w:r>
            <w:r w:rsidRPr="00013ACB">
              <w:rPr>
                <w:vertAlign w:val="superscript"/>
              </w:rPr>
              <w:t>rd</w:t>
            </w:r>
            <w:r>
              <w:t xml:space="preserve"> Round: </w:t>
            </w:r>
          </w:p>
          <w:p w14:paraId="68AC03DF" w14:textId="77777777" w:rsidR="00EF295B" w:rsidRDefault="00EF295B" w:rsidP="00EF295B">
            <w:pPr>
              <w:pStyle w:val="NoSpacing"/>
            </w:pPr>
            <w:r>
              <w:t>December, 2026</w:t>
            </w:r>
          </w:p>
          <w:p w14:paraId="2A1D6FA2" w14:textId="77777777" w:rsidR="00EF295B" w:rsidRDefault="00EF295B" w:rsidP="00EF295B">
            <w:pPr>
              <w:pStyle w:val="NoSpacing"/>
            </w:pPr>
          </w:p>
          <w:p w14:paraId="465069BA" w14:textId="77777777" w:rsidR="00EF295B" w:rsidRDefault="00EF295B" w:rsidP="00EF295B">
            <w:pPr>
              <w:pStyle w:val="NoSpacing"/>
            </w:pPr>
            <w:r>
              <w:t>4</w:t>
            </w:r>
            <w:r w:rsidRPr="00013ACB">
              <w:rPr>
                <w:vertAlign w:val="superscript"/>
              </w:rPr>
              <w:t>th</w:t>
            </w:r>
            <w:r>
              <w:t xml:space="preserve"> Round: </w:t>
            </w:r>
          </w:p>
          <w:p w14:paraId="15F4D02D" w14:textId="77777777" w:rsidR="00EF295B" w:rsidRDefault="00EF295B" w:rsidP="00EF295B">
            <w:pPr>
              <w:pStyle w:val="NoSpacing"/>
            </w:pPr>
            <w:r>
              <w:t>December, 2029</w:t>
            </w:r>
          </w:p>
          <w:p w14:paraId="6BE30C63" w14:textId="77777777" w:rsidR="00EF295B" w:rsidRDefault="00EF295B" w:rsidP="00EF295B">
            <w:pPr>
              <w:pStyle w:val="NoSpacing"/>
            </w:pPr>
          </w:p>
          <w:p w14:paraId="005F1B18" w14:textId="77777777" w:rsidR="00EF295B" w:rsidRDefault="00EF295B" w:rsidP="00EF295B">
            <w:pPr>
              <w:pStyle w:val="NoSpacing"/>
            </w:pPr>
            <w:r>
              <w:t>5</w:t>
            </w:r>
            <w:r w:rsidRPr="00013ACB">
              <w:rPr>
                <w:vertAlign w:val="superscript"/>
              </w:rPr>
              <w:t>th</w:t>
            </w:r>
            <w:r>
              <w:t xml:space="preserve"> Round: </w:t>
            </w:r>
          </w:p>
          <w:p w14:paraId="5B9F1533" w14:textId="77777777" w:rsidR="00EF295B" w:rsidRDefault="00EF295B" w:rsidP="00EF295B">
            <w:pPr>
              <w:pStyle w:val="NoSpacing"/>
            </w:pPr>
            <w:r>
              <w:t>December, 203</w:t>
            </w:r>
            <w:r w:rsidRPr="00217818">
              <w:t>0</w:t>
            </w:r>
          </w:p>
          <w:p w14:paraId="17E8F63E" w14:textId="716E9DB7" w:rsidR="00EF295B" w:rsidRDefault="00EF295B" w:rsidP="00EF295B">
            <w:pPr>
              <w:pStyle w:val="NoSpacing"/>
            </w:pPr>
          </w:p>
        </w:tc>
        <w:tc>
          <w:tcPr>
            <w:tcW w:w="828" w:type="dxa"/>
          </w:tcPr>
          <w:p w14:paraId="5F3B6091" w14:textId="77777777" w:rsidR="00EF295B" w:rsidRDefault="00EF295B" w:rsidP="00EF295B">
            <w:pPr>
              <w:ind w:left="970" w:hanging="970"/>
              <w:jc w:val="both"/>
              <w:rPr>
                <w:color w:val="0070C0"/>
                <w:sz w:val="30"/>
                <w:szCs w:val="30"/>
              </w:rPr>
            </w:pPr>
          </w:p>
        </w:tc>
      </w:tr>
      <w:tr w:rsidR="0025292C" w14:paraId="5621BC35" w14:textId="77777777" w:rsidTr="00D52BCB">
        <w:tc>
          <w:tcPr>
            <w:tcW w:w="18710" w:type="dxa"/>
            <w:gridSpan w:val="13"/>
          </w:tcPr>
          <w:p w14:paraId="2F6523F8" w14:textId="77777777" w:rsidR="0025292C" w:rsidRDefault="0025292C" w:rsidP="00EF295B">
            <w:pPr>
              <w:jc w:val="both"/>
              <w:rPr>
                <w:color w:val="0070C0"/>
                <w:sz w:val="48"/>
                <w:szCs w:val="48"/>
              </w:rPr>
            </w:pPr>
            <w:r>
              <w:rPr>
                <w:color w:val="0070C0"/>
                <w:sz w:val="30"/>
                <w:szCs w:val="30"/>
              </w:rPr>
              <w:lastRenderedPageBreak/>
              <w:t xml:space="preserve">Target </w:t>
            </w:r>
            <w:r w:rsidRPr="00C97C3C">
              <w:rPr>
                <w:color w:val="0070C0"/>
                <w:sz w:val="30"/>
                <w:szCs w:val="30"/>
              </w:rPr>
              <w:t>11.3 By 2030, enhance inclusive and sustainable urbanization and capacity for participatory, integrated and sustainable human settlement planning and management in all countries</w:t>
            </w:r>
          </w:p>
        </w:tc>
      </w:tr>
      <w:tr w:rsidR="00EF295B" w14:paraId="3AB451EE" w14:textId="77777777" w:rsidTr="0025292C">
        <w:tc>
          <w:tcPr>
            <w:tcW w:w="1218" w:type="dxa"/>
          </w:tcPr>
          <w:p w14:paraId="673E124C" w14:textId="77777777" w:rsidR="00EF295B" w:rsidRDefault="00EF295B" w:rsidP="00EF295B">
            <w:pPr>
              <w:pStyle w:val="NoSpacing"/>
            </w:pPr>
            <w:r w:rsidRPr="00627F96">
              <w:t xml:space="preserve">11.3.1 Ratio of land consumption </w:t>
            </w:r>
            <w:r w:rsidRPr="00627F96">
              <w:lastRenderedPageBreak/>
              <w:t>rate to population growth rate</w:t>
            </w:r>
          </w:p>
        </w:tc>
        <w:tc>
          <w:tcPr>
            <w:tcW w:w="661" w:type="dxa"/>
          </w:tcPr>
          <w:p w14:paraId="5350CDAB" w14:textId="77777777" w:rsidR="00EF295B" w:rsidRDefault="00EF295B" w:rsidP="00EF295B">
            <w:pPr>
              <w:pStyle w:val="NoSpacing"/>
            </w:pPr>
            <w:r w:rsidRPr="00221F5D">
              <w:lastRenderedPageBreak/>
              <w:t>UN-Habitat</w:t>
            </w:r>
          </w:p>
          <w:p w14:paraId="5DEEEDB7" w14:textId="77777777" w:rsidR="00EF295B" w:rsidRDefault="00EF295B" w:rsidP="00EF295B">
            <w:pPr>
              <w:rPr>
                <w:b/>
                <w:bCs/>
                <w:szCs w:val="20"/>
              </w:rPr>
            </w:pPr>
            <w:r w:rsidRPr="007243FC">
              <w:rPr>
                <w:b/>
                <w:bCs/>
                <w:szCs w:val="20"/>
              </w:rPr>
              <w:lastRenderedPageBreak/>
              <w:t>Partner Agencies:</w:t>
            </w:r>
          </w:p>
          <w:p w14:paraId="32226218" w14:textId="77777777" w:rsidR="00EF295B" w:rsidRDefault="00EF295B" w:rsidP="00EF295B">
            <w:pPr>
              <w:pStyle w:val="NoSpacing"/>
            </w:pPr>
            <w:r w:rsidRPr="00221F5D">
              <w:t>UNEP</w:t>
            </w:r>
          </w:p>
        </w:tc>
        <w:tc>
          <w:tcPr>
            <w:tcW w:w="935" w:type="dxa"/>
          </w:tcPr>
          <w:p w14:paraId="6C19F9AC" w14:textId="77777777" w:rsidR="00EF295B" w:rsidRDefault="00EF295B" w:rsidP="00EF295B">
            <w:pPr>
              <w:ind w:left="970" w:hanging="970"/>
              <w:jc w:val="both"/>
              <w:rPr>
                <w:color w:val="0070C0"/>
                <w:sz w:val="30"/>
                <w:szCs w:val="30"/>
              </w:rPr>
            </w:pPr>
            <w:r w:rsidRPr="00666BAB">
              <w:lastRenderedPageBreak/>
              <w:t>Tier II</w:t>
            </w:r>
          </w:p>
        </w:tc>
        <w:tc>
          <w:tcPr>
            <w:tcW w:w="6853" w:type="dxa"/>
          </w:tcPr>
          <w:p w14:paraId="3B8C3C36" w14:textId="77777777" w:rsidR="00EF295B" w:rsidRDefault="00EF295B" w:rsidP="00EF295B">
            <w:pPr>
              <w:pStyle w:val="NoSpacing"/>
            </w:pPr>
            <w:r>
              <w:t>Definition:</w:t>
            </w:r>
          </w:p>
          <w:p w14:paraId="0DEEBFDB" w14:textId="77777777" w:rsidR="00EF295B" w:rsidRDefault="00EF295B" w:rsidP="00EF295B">
            <w:pPr>
              <w:pStyle w:val="NoSpacing"/>
            </w:pPr>
          </w:p>
          <w:p w14:paraId="1B42FF0A" w14:textId="77777777" w:rsidR="00EF295B" w:rsidRDefault="00EF295B" w:rsidP="00EF295B">
            <w:pPr>
              <w:pStyle w:val="NoSpacing"/>
            </w:pPr>
            <w:r>
              <w:lastRenderedPageBreak/>
              <w:t>The indicator is defined as the ratio of land consumption rate to population growth rate.</w:t>
            </w:r>
          </w:p>
          <w:p w14:paraId="743EEB3C" w14:textId="77777777" w:rsidR="00EF295B" w:rsidRDefault="00EF295B" w:rsidP="00EF295B">
            <w:pPr>
              <w:pStyle w:val="NoSpacing"/>
            </w:pPr>
          </w:p>
          <w:p w14:paraId="2CD35D60" w14:textId="77777777" w:rsidR="00EF295B" w:rsidRDefault="00EF295B" w:rsidP="00EF295B">
            <w:pPr>
              <w:pStyle w:val="NoSpacing"/>
            </w:pPr>
            <w:r>
              <w:t>This indicator requires defining the two components of population growth and land consumption rate. Computing the population growth rate is more straightforward and more readily available, while land consumption rate is slightly challenging, and requires the use of new techniques. In estimating the land consumption rate, one needs to define what constitutes “consumption” of land since this may cover aspects of “consumed” or “preserved” or available for “development” for cases such as land occupied by wetlands. Secondly, there is not one unequivocal measure of whether land that is being developed is truly “newly-developed” (or vacant) land, or if it is at least partially “redeveloped”. As a result, the percentage of current total urban land that was newly developed (consumed) will be used as a measure of the land consumption rate. The fully developed area is also sometimes referred to as built up area.</w:t>
            </w:r>
          </w:p>
          <w:p w14:paraId="43B1FA06" w14:textId="77777777" w:rsidR="00EF295B" w:rsidRDefault="00EF295B" w:rsidP="00EF295B">
            <w:pPr>
              <w:pStyle w:val="NoSpacing"/>
            </w:pPr>
          </w:p>
          <w:p w14:paraId="1DD1A354" w14:textId="77777777" w:rsidR="00EF295B" w:rsidRDefault="00EF295B" w:rsidP="00EF295B">
            <w:pPr>
              <w:pStyle w:val="NoSpacing"/>
            </w:pPr>
            <w:r>
              <w:t>Concepts:</w:t>
            </w:r>
          </w:p>
          <w:p w14:paraId="0E739D9E" w14:textId="77777777" w:rsidR="00EF295B" w:rsidRDefault="00EF295B" w:rsidP="00EF295B">
            <w:pPr>
              <w:pStyle w:val="NoSpacing"/>
            </w:pPr>
          </w:p>
          <w:p w14:paraId="0472708C" w14:textId="77777777" w:rsidR="00EF295B" w:rsidRDefault="00EF295B" w:rsidP="00EF295B">
            <w:pPr>
              <w:pStyle w:val="NoSpacing"/>
            </w:pPr>
            <w:r>
              <w:t>Population growth rate (PGR) is the increase of a population in a country during a period, usually one year, expressed as a percentage of the population at the start of that period. It reflects the number of births and deaths during a period and the number of people migrating to and from a country.</w:t>
            </w:r>
          </w:p>
          <w:p w14:paraId="35545C8A" w14:textId="77777777" w:rsidR="00EF295B" w:rsidRDefault="00EF295B" w:rsidP="00EF295B">
            <w:pPr>
              <w:pStyle w:val="NoSpacing"/>
            </w:pPr>
          </w:p>
          <w:p w14:paraId="006EDE06" w14:textId="77777777" w:rsidR="00EF295B" w:rsidRDefault="00EF295B" w:rsidP="00EF295B">
            <w:pPr>
              <w:pStyle w:val="NoSpacing"/>
            </w:pPr>
            <w:r>
              <w:t>Land consumption includes: (a) The expansion of built-up area which can be directly measured; (b) the absolute extent of land that is subject to exploitation by agriculture, forestry or other economic activities; and (c) the over-intensive exploitation of land that is used for agriculture and forestry.</w:t>
            </w:r>
          </w:p>
          <w:p w14:paraId="38482F06" w14:textId="77777777" w:rsidR="00EF295B" w:rsidRDefault="00EF295B" w:rsidP="00EF295B">
            <w:pPr>
              <w:pStyle w:val="NoSpacing"/>
            </w:pPr>
          </w:p>
          <w:p w14:paraId="4440BE6A" w14:textId="77777777" w:rsidR="00EF295B" w:rsidRDefault="00EF295B" w:rsidP="00EF295B">
            <w:pPr>
              <w:pStyle w:val="NoSpacing"/>
            </w:pPr>
            <w:r>
              <w:t>Comments and limitations:</w:t>
            </w:r>
          </w:p>
          <w:p w14:paraId="02D5C785" w14:textId="77777777" w:rsidR="00EF295B" w:rsidRDefault="00EF295B" w:rsidP="00EF295B">
            <w:pPr>
              <w:pStyle w:val="NoSpacing"/>
            </w:pPr>
          </w:p>
          <w:p w14:paraId="5E53F914" w14:textId="77777777" w:rsidR="00EF295B" w:rsidRDefault="00EF295B" w:rsidP="00EF295B">
            <w:pPr>
              <w:pStyle w:val="NoSpacing"/>
            </w:pPr>
            <w:r>
              <w:t>In some cases, it is difficult to measure the urban expansion by conurbations of two or more urban areas that are in close proximity; to whom to attribute the urban growth and how to include it as one metric usually becomes a challenge. At the same time, data would not always coincide to administrative levels, boundaries and built-up areas. However, the European Commission highlights some possible drawbacks of this indicator that can be technically addressed. Efforts to use the area of reference at the level of the built-up area of the urban agglomeration should be taken into consideration. The delimitation of city boundaries may be another methodological problem that a clear agreed definition can solve.</w:t>
            </w:r>
          </w:p>
          <w:p w14:paraId="56876436" w14:textId="77777777" w:rsidR="00EF295B" w:rsidRDefault="00EF295B" w:rsidP="00EF295B">
            <w:pPr>
              <w:pStyle w:val="NoSpacing"/>
            </w:pPr>
          </w:p>
          <w:p w14:paraId="231C4456" w14:textId="77777777" w:rsidR="00EF295B" w:rsidRDefault="00EF295B" w:rsidP="00EF295B">
            <w:pPr>
              <w:pStyle w:val="NoSpacing"/>
            </w:pPr>
            <w:r>
              <w:t>The indicator may experience difficulties in capturing cities with negative or zero population growth; or cities that due to severe disaster have lost part of their territories. To face this challenge, the baseline/benchmark of population density and its change over time must be taken into consideration. Reducing densities below sustainable levels have impacts on the cities’ sustainability.</w:t>
            </w:r>
          </w:p>
          <w:p w14:paraId="0E764D1E" w14:textId="77777777" w:rsidR="00EF295B" w:rsidRDefault="00EF295B" w:rsidP="00EF295B">
            <w:pPr>
              <w:pStyle w:val="NoSpacing"/>
            </w:pPr>
          </w:p>
          <w:p w14:paraId="6B794260" w14:textId="77777777" w:rsidR="00EF295B" w:rsidRDefault="00EF295B" w:rsidP="00EF295B">
            <w:pPr>
              <w:pStyle w:val="NoSpacing"/>
            </w:pPr>
            <w:r>
              <w:t xml:space="preserve">In the absence of the GIS layers, this indicator may not be computed as defined. As a result more alternative measures for land that is developed or consumed per year can be adequately used. Alternatively, one can monitor the efficient use of urban land by measuring how well we are achieving the densities in residential zones that any city plans or </w:t>
            </w:r>
            <w:r>
              <w:lastRenderedPageBreak/>
              <w:t>international guidance call for. Comparing achieved to planned densities is very useful at the city level. However, planned densities vary greatly from country to country, and at times from city to city. At the sub-regional or city levels, it is more appropriate to compare average densities achieved currently to those achieved in the recent past. While building more densely does use land more efficiently, high density neighborhoods, especially in and around urban centers, have a number of other advantages. They support more frequent public transportation, and more local stores and shops; they encourage pedestrian activity to and from local establishments; and they create lively (and sometimes safer) street life.</w:t>
            </w:r>
          </w:p>
          <w:p w14:paraId="25F44BD9" w14:textId="77777777" w:rsidR="00EF295B" w:rsidRDefault="00EF295B" w:rsidP="00EF295B">
            <w:pPr>
              <w:pStyle w:val="NoSpacing"/>
            </w:pPr>
          </w:p>
          <w:p w14:paraId="280E77C2" w14:textId="77777777" w:rsidR="00EF295B" w:rsidRDefault="00EF295B" w:rsidP="00EF295B">
            <w:pPr>
              <w:pStyle w:val="NoSpacing"/>
            </w:pPr>
            <w:r>
              <w:t>Computation Method:</w:t>
            </w:r>
          </w:p>
          <w:p w14:paraId="4E152298" w14:textId="77777777" w:rsidR="00EF295B" w:rsidRDefault="00EF295B" w:rsidP="00EF295B">
            <w:pPr>
              <w:pStyle w:val="NoSpacing"/>
            </w:pPr>
          </w:p>
          <w:p w14:paraId="1BDD083F" w14:textId="77777777" w:rsidR="00EF295B" w:rsidRDefault="00EF295B" w:rsidP="00EF295B">
            <w:pPr>
              <w:pStyle w:val="NoSpacing"/>
            </w:pPr>
            <w:r>
              <w:t>The formula to estimate the land use efficiency will be provided with two stages.</w:t>
            </w:r>
          </w:p>
          <w:p w14:paraId="0992295D" w14:textId="77777777" w:rsidR="00EF295B" w:rsidRDefault="00EF295B" w:rsidP="00EF295B">
            <w:pPr>
              <w:pStyle w:val="NoSpacing"/>
            </w:pPr>
          </w:p>
          <w:p w14:paraId="47498B68" w14:textId="77777777" w:rsidR="00EF295B" w:rsidRDefault="00EF295B" w:rsidP="00EF295B">
            <w:pPr>
              <w:pStyle w:val="NoSpacing"/>
            </w:pPr>
            <w:r>
              <w:t xml:space="preserve">Stage 1: Estimate the population growth rate. </w:t>
            </w:r>
          </w:p>
          <w:p w14:paraId="6B75FE94" w14:textId="77777777" w:rsidR="00EF295B" w:rsidRDefault="00EF295B" w:rsidP="00EF295B">
            <w:pPr>
              <w:pStyle w:val="NoSpacing"/>
            </w:pPr>
          </w:p>
          <w:p w14:paraId="28B45FE4" w14:textId="77777777" w:rsidR="00EF295B" w:rsidRDefault="00EF295B" w:rsidP="00EF295B">
            <w:pPr>
              <w:pStyle w:val="NoSpacing"/>
            </w:pPr>
            <w:r>
              <w:t>Population Growth rate i.e. PGR=LN(Popt_(t+n)/?Popt_t )/((y))</w:t>
            </w:r>
          </w:p>
          <w:p w14:paraId="2ACF6580" w14:textId="77777777" w:rsidR="00EF295B" w:rsidRDefault="00EF295B" w:rsidP="00EF295B">
            <w:pPr>
              <w:pStyle w:val="NoSpacing"/>
            </w:pPr>
          </w:p>
          <w:p w14:paraId="7175B7C3" w14:textId="77777777" w:rsidR="00EF295B" w:rsidRDefault="00EF295B" w:rsidP="00EF295B">
            <w:pPr>
              <w:pStyle w:val="NoSpacing"/>
            </w:pPr>
            <w:r>
              <w:t xml:space="preserve">Where </w:t>
            </w:r>
          </w:p>
          <w:p w14:paraId="4C17B2FE" w14:textId="77777777" w:rsidR="00EF295B" w:rsidRDefault="00EF295B" w:rsidP="00EF295B">
            <w:pPr>
              <w:pStyle w:val="NoSpacing"/>
            </w:pPr>
            <w:r>
              <w:t>Popt Total population within the city in the past/initial year</w:t>
            </w:r>
          </w:p>
          <w:p w14:paraId="443A9D8E" w14:textId="77777777" w:rsidR="00EF295B" w:rsidRDefault="00EF295B" w:rsidP="00EF295B">
            <w:pPr>
              <w:pStyle w:val="NoSpacing"/>
            </w:pPr>
            <w:r>
              <w:t>Popt+n Total population within the city in the current/final year</w:t>
            </w:r>
          </w:p>
          <w:p w14:paraId="17BB1DEA" w14:textId="77777777" w:rsidR="00EF295B" w:rsidRDefault="00EF295B" w:rsidP="00EF295B">
            <w:pPr>
              <w:pStyle w:val="NoSpacing"/>
            </w:pPr>
            <w:r>
              <w:t>y The number of years between the two measurement periods</w:t>
            </w:r>
          </w:p>
          <w:p w14:paraId="00775EDF" w14:textId="77777777" w:rsidR="00EF295B" w:rsidRDefault="00EF295B" w:rsidP="00EF295B">
            <w:pPr>
              <w:pStyle w:val="NoSpacing"/>
            </w:pPr>
          </w:p>
          <w:p w14:paraId="7E7F41B6" w14:textId="77777777" w:rsidR="00EF295B" w:rsidRDefault="00EF295B" w:rsidP="00EF295B">
            <w:pPr>
              <w:pStyle w:val="NoSpacing"/>
            </w:pPr>
            <w:r>
              <w:t>Stage 2: Estimating the land consumption rate</w:t>
            </w:r>
          </w:p>
          <w:p w14:paraId="7308E5DE" w14:textId="77777777" w:rsidR="00EF295B" w:rsidRDefault="00EF295B" w:rsidP="00EF295B">
            <w:pPr>
              <w:pStyle w:val="NoSpacing"/>
            </w:pPr>
          </w:p>
          <w:p w14:paraId="376759AE" w14:textId="77777777" w:rsidR="00EF295B" w:rsidRDefault="00EF295B" w:rsidP="00EF295B">
            <w:pPr>
              <w:pStyle w:val="NoSpacing"/>
            </w:pPr>
            <w:r>
              <w:t xml:space="preserve">This rate gives us a measure of compactness which indicates a progressive spatial expansion of a city. </w:t>
            </w:r>
          </w:p>
          <w:p w14:paraId="12E82E92" w14:textId="77777777" w:rsidR="00EF295B" w:rsidRDefault="00EF295B" w:rsidP="00EF295B">
            <w:pPr>
              <w:pStyle w:val="NoSpacing"/>
            </w:pPr>
          </w:p>
          <w:p w14:paraId="704F6004" w14:textId="77777777" w:rsidR="00EF295B" w:rsidRDefault="00EF295B" w:rsidP="00EF295B">
            <w:pPr>
              <w:pStyle w:val="NoSpacing"/>
            </w:pPr>
            <w:r>
              <w:t>Land consumption rate i.e LCR=LN(Urb_(t+n)/Urb_t )/((y))</w:t>
            </w:r>
          </w:p>
          <w:p w14:paraId="30237682" w14:textId="77777777" w:rsidR="00EF295B" w:rsidRDefault="00EF295B" w:rsidP="00EF295B">
            <w:pPr>
              <w:pStyle w:val="NoSpacing"/>
            </w:pPr>
          </w:p>
          <w:p w14:paraId="5B863935" w14:textId="77777777" w:rsidR="00EF295B" w:rsidRDefault="00EF295B" w:rsidP="00EF295B">
            <w:pPr>
              <w:pStyle w:val="NoSpacing"/>
            </w:pPr>
            <w:r>
              <w:t>Where</w:t>
            </w:r>
          </w:p>
          <w:p w14:paraId="474D9A3E" w14:textId="77777777" w:rsidR="00EF295B" w:rsidRDefault="00EF295B" w:rsidP="00EF295B">
            <w:pPr>
              <w:pStyle w:val="NoSpacing"/>
            </w:pPr>
            <w:r>
              <w:t xml:space="preserve">Urb_t Total areal extent of the urban agglomeration in km2 for past/initial year </w:t>
            </w:r>
          </w:p>
          <w:p w14:paraId="07231D42" w14:textId="77777777" w:rsidR="00EF295B" w:rsidRDefault="00EF295B" w:rsidP="00EF295B">
            <w:pPr>
              <w:pStyle w:val="NoSpacing"/>
            </w:pPr>
            <w:r>
              <w:t xml:space="preserve">Urb_(t+n) Total areal extent of the urban agglomeration in km2 for current year </w:t>
            </w:r>
          </w:p>
          <w:p w14:paraId="6926338F" w14:textId="77777777" w:rsidR="00EF295B" w:rsidRDefault="00EF295B" w:rsidP="00EF295B">
            <w:pPr>
              <w:pStyle w:val="NoSpacing"/>
            </w:pPr>
            <w:r>
              <w:t>y The number of years between the two measurement periods</w:t>
            </w:r>
          </w:p>
          <w:p w14:paraId="7994D2D5" w14:textId="77777777" w:rsidR="00EF295B" w:rsidRDefault="00EF295B" w:rsidP="00EF295B">
            <w:pPr>
              <w:pStyle w:val="NoSpacing"/>
            </w:pPr>
          </w:p>
          <w:p w14:paraId="5D692612" w14:textId="77777777" w:rsidR="00EF295B" w:rsidRDefault="00EF295B" w:rsidP="00EF295B">
            <w:pPr>
              <w:pStyle w:val="NoSpacing"/>
            </w:pPr>
            <w:r>
              <w:t>The formula to estimate the ratio of land consumption rate to population growth rate (LCRPGR) is provided as follows:</w:t>
            </w:r>
          </w:p>
          <w:p w14:paraId="25E66193" w14:textId="77777777" w:rsidR="00EF295B" w:rsidRDefault="00EF295B" w:rsidP="00EF295B">
            <w:pPr>
              <w:pStyle w:val="NoSpacing"/>
            </w:pPr>
          </w:p>
          <w:p w14:paraId="123A007F" w14:textId="77777777" w:rsidR="00EF295B" w:rsidRDefault="00EF295B" w:rsidP="00EF295B">
            <w:pPr>
              <w:pStyle w:val="NoSpacing"/>
            </w:pPr>
            <w:r>
              <w:t>LCRPGR= (+ ( Land Consumption rate)/(Annual Population growth rate)¦)</w:t>
            </w:r>
          </w:p>
          <w:p w14:paraId="5631D589" w14:textId="77777777" w:rsidR="00EF295B" w:rsidRDefault="00EF295B" w:rsidP="00EF295B">
            <w:pPr>
              <w:pStyle w:val="NoSpacing"/>
            </w:pPr>
          </w:p>
          <w:p w14:paraId="50D9DAF6" w14:textId="77777777" w:rsidR="00EF295B" w:rsidRDefault="00EF295B" w:rsidP="00EF295B">
            <w:pPr>
              <w:pStyle w:val="NoSpacing"/>
            </w:pPr>
            <w:r>
              <w:t>And the overall formula can be summarized as:</w:t>
            </w:r>
          </w:p>
          <w:p w14:paraId="50B1E250" w14:textId="77777777" w:rsidR="00EF295B" w:rsidRDefault="00EF295B" w:rsidP="00EF295B">
            <w:pPr>
              <w:pStyle w:val="NoSpacing"/>
            </w:pPr>
            <w:r>
              <w:t xml:space="preserve">LCRPGR=(((LN(Urb_(t+n)/Urb_t ))/y))/((LN(Pop_(t+n)/Pop_t )/y) ) </w:t>
            </w:r>
          </w:p>
          <w:p w14:paraId="5343F3D3" w14:textId="77777777" w:rsidR="00EF295B" w:rsidRDefault="00EF295B" w:rsidP="00EF295B">
            <w:pPr>
              <w:pStyle w:val="NoSpacing"/>
            </w:pPr>
          </w:p>
          <w:p w14:paraId="70EDBA8B" w14:textId="77777777" w:rsidR="00EF295B" w:rsidRDefault="00EF295B" w:rsidP="00EF295B">
            <w:pPr>
              <w:pStyle w:val="NoSpacing"/>
            </w:pPr>
            <w:r>
              <w:lastRenderedPageBreak/>
              <w:t>The periods for both- urban expansion and population growth rates should be at comparable scale.</w:t>
            </w:r>
          </w:p>
        </w:tc>
        <w:tc>
          <w:tcPr>
            <w:tcW w:w="1174" w:type="dxa"/>
          </w:tcPr>
          <w:p w14:paraId="6B1A5EFA" w14:textId="77777777" w:rsidR="00EF295B" w:rsidRPr="00873FDE" w:rsidRDefault="00EF295B" w:rsidP="00EF295B">
            <w:pPr>
              <w:rPr>
                <w:bCs/>
                <w:szCs w:val="20"/>
              </w:rPr>
            </w:pPr>
            <w:r w:rsidRPr="00873FDE">
              <w:rPr>
                <w:bCs/>
                <w:szCs w:val="20"/>
              </w:rPr>
              <w:lastRenderedPageBreak/>
              <w:t xml:space="preserve">Data for this indicator is </w:t>
            </w:r>
            <w:r w:rsidRPr="00873FDE">
              <w:rPr>
                <w:bCs/>
                <w:szCs w:val="20"/>
              </w:rPr>
              <w:lastRenderedPageBreak/>
              <w:t>available for all cities and countries (UN DESA population data) and satellite images from open sources. Several sources of information are required for this computation</w:t>
            </w:r>
          </w:p>
        </w:tc>
        <w:tc>
          <w:tcPr>
            <w:tcW w:w="818" w:type="dxa"/>
          </w:tcPr>
          <w:p w14:paraId="6DBAA004" w14:textId="77777777" w:rsidR="00EF295B" w:rsidRPr="00873FDE" w:rsidRDefault="00EF295B" w:rsidP="00EF295B">
            <w:pPr>
              <w:rPr>
                <w:bCs/>
                <w:szCs w:val="20"/>
              </w:rPr>
            </w:pPr>
            <w:r w:rsidRPr="00873FDE">
              <w:rPr>
                <w:bCs/>
                <w:szCs w:val="20"/>
              </w:rPr>
              <w:lastRenderedPageBreak/>
              <w:t xml:space="preserve">UN-Habitat and other </w:t>
            </w:r>
            <w:r w:rsidRPr="00873FDE">
              <w:rPr>
                <w:bCs/>
                <w:szCs w:val="20"/>
              </w:rPr>
              <w:lastRenderedPageBreak/>
              <w:t>partners such as the Global Human Settlement Layer (GHSL) team and ESRI will support various components for reporting on this indicator.</w:t>
            </w:r>
          </w:p>
        </w:tc>
        <w:tc>
          <w:tcPr>
            <w:tcW w:w="812" w:type="dxa"/>
          </w:tcPr>
          <w:p w14:paraId="69073E3B" w14:textId="0BF84E72" w:rsidR="00EF295B" w:rsidRPr="00BC6F10" w:rsidRDefault="00EF295B" w:rsidP="00EF295B">
            <w:pPr>
              <w:pStyle w:val="NoSpacing"/>
            </w:pPr>
          </w:p>
        </w:tc>
        <w:tc>
          <w:tcPr>
            <w:tcW w:w="1351" w:type="dxa"/>
          </w:tcPr>
          <w:p w14:paraId="55EB3AA5" w14:textId="77777777" w:rsidR="00EF295B" w:rsidRPr="000F075D" w:rsidRDefault="00EF295B" w:rsidP="00EF295B">
            <w:pPr>
              <w:spacing w:line="276" w:lineRule="auto"/>
            </w:pPr>
            <w:r w:rsidRPr="000F075D">
              <w:t xml:space="preserve">a) </w:t>
            </w:r>
            <w:r w:rsidRPr="006B6E76">
              <w:t xml:space="preserve">Development Authorities, i.e. </w:t>
            </w:r>
            <w:r w:rsidRPr="006B6E76">
              <w:lastRenderedPageBreak/>
              <w:t>RAJUK, CDA, KDA, etc.</w:t>
            </w:r>
            <w:r w:rsidRPr="000F075D">
              <w:t>, MoHPW</w:t>
            </w:r>
          </w:p>
          <w:p w14:paraId="3C35A448" w14:textId="77777777" w:rsidR="00EF295B" w:rsidRPr="000F075D" w:rsidRDefault="00EF295B" w:rsidP="00EF295B">
            <w:pPr>
              <w:spacing w:line="276" w:lineRule="auto"/>
            </w:pPr>
            <w:r w:rsidRPr="000F075D">
              <w:t>b) UDD, MoHPW</w:t>
            </w:r>
          </w:p>
          <w:p w14:paraId="70EC3DE9" w14:textId="77777777" w:rsidR="00EF295B" w:rsidRDefault="00EF295B" w:rsidP="00EF295B">
            <w:pPr>
              <w:spacing w:line="276" w:lineRule="auto"/>
            </w:pPr>
            <w:r w:rsidRPr="000F075D">
              <w:t>c) UN-Habitat</w:t>
            </w:r>
          </w:p>
          <w:p w14:paraId="2E9F7487" w14:textId="77777777" w:rsidR="00EF295B" w:rsidRDefault="00EF295B" w:rsidP="00EF295B">
            <w:pPr>
              <w:spacing w:line="276" w:lineRule="auto"/>
            </w:pPr>
          </w:p>
          <w:p w14:paraId="36462B79" w14:textId="77777777" w:rsidR="00EF295B" w:rsidRPr="00153F1E" w:rsidRDefault="00EF295B" w:rsidP="00EF295B">
            <w:pPr>
              <w:pStyle w:val="NoSpacing"/>
            </w:pPr>
            <w:r w:rsidRPr="00153F1E">
              <w:t>Big Data</w:t>
            </w:r>
          </w:p>
        </w:tc>
        <w:tc>
          <w:tcPr>
            <w:tcW w:w="1349" w:type="dxa"/>
          </w:tcPr>
          <w:p w14:paraId="3CFE7EEC"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Location (intra-urban)</w:t>
            </w:r>
          </w:p>
          <w:p w14:paraId="0A5805E5"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Income level: Upper/Middle/Lower</w:t>
            </w:r>
          </w:p>
          <w:p w14:paraId="6DE6D3B7"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Urban typology: City Corporation/Paurashava/ Upazilla headquarters</w:t>
            </w:r>
          </w:p>
          <w:p w14:paraId="4B551628" w14:textId="77777777" w:rsidR="00EF295B" w:rsidRDefault="00EF295B" w:rsidP="00EF295B">
            <w:pPr>
              <w:ind w:left="970" w:hanging="970"/>
              <w:jc w:val="both"/>
              <w:rPr>
                <w:color w:val="0070C0"/>
                <w:sz w:val="30"/>
                <w:szCs w:val="30"/>
              </w:rPr>
            </w:pPr>
          </w:p>
        </w:tc>
        <w:tc>
          <w:tcPr>
            <w:tcW w:w="1145" w:type="dxa"/>
          </w:tcPr>
          <w:p w14:paraId="1A3FCDFB" w14:textId="77777777" w:rsidR="00EF295B" w:rsidRDefault="00EF295B" w:rsidP="00EF295B">
            <w:pPr>
              <w:ind w:left="970" w:hanging="970"/>
              <w:jc w:val="both"/>
              <w:rPr>
                <w:color w:val="0070C0"/>
                <w:sz w:val="30"/>
                <w:szCs w:val="30"/>
              </w:rPr>
            </w:pPr>
            <w:r w:rsidRPr="00BC6F10">
              <w:lastRenderedPageBreak/>
              <w:t>Triennial</w:t>
            </w:r>
          </w:p>
        </w:tc>
        <w:tc>
          <w:tcPr>
            <w:tcW w:w="922" w:type="dxa"/>
          </w:tcPr>
          <w:p w14:paraId="1CCDDAAC" w14:textId="77777777" w:rsidR="00EF295B" w:rsidRDefault="00EF295B" w:rsidP="00EF295B">
            <w:pPr>
              <w:ind w:left="970" w:hanging="970"/>
              <w:jc w:val="both"/>
              <w:rPr>
                <w:color w:val="0070C0"/>
                <w:sz w:val="30"/>
                <w:szCs w:val="30"/>
              </w:rPr>
            </w:pPr>
            <w:r>
              <w:t>Group 2</w:t>
            </w:r>
          </w:p>
        </w:tc>
        <w:tc>
          <w:tcPr>
            <w:tcW w:w="644" w:type="dxa"/>
          </w:tcPr>
          <w:p w14:paraId="0B21C845" w14:textId="77777777" w:rsidR="00EF295B" w:rsidRDefault="00EF295B" w:rsidP="00EF295B">
            <w:pPr>
              <w:pStyle w:val="NoSpacing"/>
            </w:pPr>
            <w:r>
              <w:t>-</w:t>
            </w:r>
          </w:p>
          <w:p w14:paraId="2A0CAA87" w14:textId="77777777" w:rsidR="00EF295B" w:rsidRDefault="00EF295B" w:rsidP="00EF295B">
            <w:pPr>
              <w:pStyle w:val="NoSpacing"/>
            </w:pPr>
          </w:p>
          <w:p w14:paraId="109D54DC" w14:textId="77777777" w:rsidR="00EF295B" w:rsidRDefault="00EF295B" w:rsidP="00EF295B">
            <w:pPr>
              <w:pStyle w:val="NoSpacing"/>
            </w:pPr>
          </w:p>
          <w:p w14:paraId="0AC0F06A" w14:textId="26D3BAD2" w:rsidR="007069B5" w:rsidRDefault="00EF295B" w:rsidP="007069B5">
            <w:pPr>
              <w:pStyle w:val="NoSpacing"/>
            </w:pPr>
            <w:r>
              <w:t>1</w:t>
            </w:r>
            <w:r w:rsidRPr="00013ACB">
              <w:rPr>
                <w:vertAlign w:val="superscript"/>
              </w:rPr>
              <w:t>st</w:t>
            </w:r>
            <w:r>
              <w:t xml:space="preserve"> Round:</w:t>
            </w:r>
            <w:r w:rsidR="007069B5" w:rsidRPr="00217818">
              <w:t xml:space="preserve"> December, 2019</w:t>
            </w:r>
          </w:p>
          <w:p w14:paraId="7ECD48CB" w14:textId="77777777" w:rsidR="00EF295B" w:rsidRDefault="00EF295B" w:rsidP="00EF295B">
            <w:pPr>
              <w:pStyle w:val="NoSpacing"/>
            </w:pPr>
          </w:p>
          <w:p w14:paraId="246EA1E3" w14:textId="77777777" w:rsidR="00EF295B" w:rsidRDefault="00EF295B" w:rsidP="00EF295B">
            <w:pPr>
              <w:pStyle w:val="NoSpacing"/>
            </w:pPr>
          </w:p>
          <w:p w14:paraId="23B2D97E" w14:textId="103646D8" w:rsidR="007069B5" w:rsidRDefault="00EF295B" w:rsidP="007069B5">
            <w:pPr>
              <w:pStyle w:val="NoSpacing"/>
            </w:pPr>
            <w:r>
              <w:t>2</w:t>
            </w:r>
            <w:r w:rsidRPr="00013ACB">
              <w:rPr>
                <w:vertAlign w:val="superscript"/>
              </w:rPr>
              <w:t>nd</w:t>
            </w:r>
            <w:r>
              <w:t xml:space="preserve"> Round: </w:t>
            </w:r>
            <w:r w:rsidR="007069B5" w:rsidRPr="00217818">
              <w:t>December, 20</w:t>
            </w:r>
            <w:r w:rsidR="007069B5">
              <w:t>22</w:t>
            </w:r>
          </w:p>
          <w:p w14:paraId="43454AF8" w14:textId="77777777" w:rsidR="00EF295B" w:rsidRDefault="00EF295B" w:rsidP="00EF295B">
            <w:pPr>
              <w:pStyle w:val="NoSpacing"/>
            </w:pPr>
          </w:p>
          <w:p w14:paraId="5459ED33" w14:textId="77777777" w:rsidR="00EF295B" w:rsidRDefault="00EF295B" w:rsidP="00EF295B">
            <w:pPr>
              <w:pStyle w:val="NoSpacing"/>
            </w:pPr>
          </w:p>
          <w:p w14:paraId="18EDA6F4" w14:textId="77777777" w:rsidR="00EF295B" w:rsidRDefault="00EF295B" w:rsidP="00EF295B">
            <w:pPr>
              <w:pStyle w:val="NoSpacing"/>
            </w:pPr>
            <w:r>
              <w:t>3</w:t>
            </w:r>
            <w:r w:rsidRPr="00013ACB">
              <w:rPr>
                <w:vertAlign w:val="superscript"/>
              </w:rPr>
              <w:t>rd</w:t>
            </w:r>
            <w:r>
              <w:t xml:space="preserve"> Round: </w:t>
            </w:r>
          </w:p>
          <w:p w14:paraId="1F4E6A07" w14:textId="32D12809" w:rsidR="007069B5" w:rsidRDefault="007069B5" w:rsidP="007069B5">
            <w:pPr>
              <w:pStyle w:val="NoSpacing"/>
            </w:pPr>
            <w:r w:rsidRPr="00217818">
              <w:t>December, 20</w:t>
            </w:r>
            <w:r>
              <w:t>25</w:t>
            </w:r>
          </w:p>
          <w:p w14:paraId="702AA7EB" w14:textId="77777777" w:rsidR="00EF295B" w:rsidRDefault="00EF295B" w:rsidP="00EF295B">
            <w:pPr>
              <w:pStyle w:val="NoSpacing"/>
            </w:pPr>
          </w:p>
          <w:p w14:paraId="2F78D4F0" w14:textId="77777777" w:rsidR="00EF295B" w:rsidRDefault="00EF295B" w:rsidP="00EF295B">
            <w:pPr>
              <w:pStyle w:val="NoSpacing"/>
            </w:pPr>
            <w:r>
              <w:t>4</w:t>
            </w:r>
            <w:r w:rsidRPr="00013ACB">
              <w:rPr>
                <w:vertAlign w:val="superscript"/>
              </w:rPr>
              <w:t>th</w:t>
            </w:r>
            <w:r>
              <w:t xml:space="preserve"> Round: </w:t>
            </w:r>
          </w:p>
          <w:p w14:paraId="1E464B50" w14:textId="2F2AE548" w:rsidR="007069B5" w:rsidRDefault="007069B5" w:rsidP="007069B5">
            <w:pPr>
              <w:pStyle w:val="NoSpacing"/>
            </w:pPr>
            <w:r w:rsidRPr="00217818">
              <w:t>December, 20</w:t>
            </w:r>
            <w:r>
              <w:t>28</w:t>
            </w:r>
          </w:p>
          <w:p w14:paraId="498DCAB0" w14:textId="77777777" w:rsidR="00EF295B" w:rsidRDefault="00EF295B" w:rsidP="00EF295B">
            <w:pPr>
              <w:pStyle w:val="NoSpacing"/>
            </w:pPr>
          </w:p>
          <w:p w14:paraId="5FA5910F" w14:textId="77777777" w:rsidR="00EF295B" w:rsidRDefault="00EF295B" w:rsidP="00EF295B">
            <w:pPr>
              <w:pStyle w:val="NoSpacing"/>
            </w:pPr>
            <w:r>
              <w:t>5</w:t>
            </w:r>
            <w:r w:rsidRPr="00013ACB">
              <w:rPr>
                <w:vertAlign w:val="superscript"/>
              </w:rPr>
              <w:t>th</w:t>
            </w:r>
            <w:r>
              <w:t xml:space="preserve"> Round: </w:t>
            </w:r>
          </w:p>
          <w:p w14:paraId="09C3FB75" w14:textId="030D9412" w:rsidR="007069B5" w:rsidRDefault="007069B5" w:rsidP="007069B5">
            <w:pPr>
              <w:pStyle w:val="NoSpacing"/>
            </w:pPr>
            <w:r w:rsidRPr="00217818">
              <w:t>December, 20</w:t>
            </w:r>
            <w:r>
              <w:t>30</w:t>
            </w:r>
          </w:p>
          <w:p w14:paraId="204AACB6" w14:textId="4CD6C47F" w:rsidR="00EF295B" w:rsidRDefault="00EF295B" w:rsidP="00EF295B">
            <w:pPr>
              <w:pStyle w:val="NoSpacing"/>
            </w:pPr>
          </w:p>
        </w:tc>
        <w:tc>
          <w:tcPr>
            <w:tcW w:w="828" w:type="dxa"/>
          </w:tcPr>
          <w:p w14:paraId="6BD08CBE" w14:textId="77777777" w:rsidR="00EF295B" w:rsidRDefault="00EF295B" w:rsidP="00EF295B">
            <w:pPr>
              <w:ind w:left="970" w:hanging="970"/>
              <w:jc w:val="both"/>
              <w:rPr>
                <w:color w:val="0070C0"/>
                <w:sz w:val="30"/>
                <w:szCs w:val="30"/>
              </w:rPr>
            </w:pPr>
          </w:p>
        </w:tc>
      </w:tr>
      <w:tr w:rsidR="00EF295B" w14:paraId="5A990EBC" w14:textId="77777777" w:rsidTr="0025292C">
        <w:tc>
          <w:tcPr>
            <w:tcW w:w="1218" w:type="dxa"/>
          </w:tcPr>
          <w:p w14:paraId="32B7E982" w14:textId="77777777" w:rsidR="00EF295B" w:rsidRDefault="00EF295B" w:rsidP="00EF295B">
            <w:pPr>
              <w:pStyle w:val="NoSpacing"/>
            </w:pPr>
            <w:r w:rsidRPr="00627F96">
              <w:lastRenderedPageBreak/>
              <w:t>11.3.2 Proportion of cities with a direct participation structure of civil society in urban planning and management that operate regularly and democratically</w:t>
            </w:r>
          </w:p>
        </w:tc>
        <w:tc>
          <w:tcPr>
            <w:tcW w:w="661" w:type="dxa"/>
          </w:tcPr>
          <w:p w14:paraId="5485F618" w14:textId="77777777" w:rsidR="00EF295B" w:rsidRDefault="00EF295B" w:rsidP="00EF295B">
            <w:pPr>
              <w:pStyle w:val="NoSpacing"/>
            </w:pPr>
            <w:r w:rsidRPr="00221F5D">
              <w:t>UN-Habitat</w:t>
            </w:r>
          </w:p>
          <w:p w14:paraId="323ED6B4" w14:textId="77777777" w:rsidR="00EF295B" w:rsidRDefault="00EF295B" w:rsidP="00EF295B">
            <w:pPr>
              <w:rPr>
                <w:color w:val="0070C0"/>
                <w:sz w:val="30"/>
                <w:szCs w:val="30"/>
              </w:rPr>
            </w:pPr>
          </w:p>
        </w:tc>
        <w:tc>
          <w:tcPr>
            <w:tcW w:w="935" w:type="dxa"/>
          </w:tcPr>
          <w:p w14:paraId="2FBF8505" w14:textId="77777777" w:rsidR="00EF295B" w:rsidRDefault="00EF295B" w:rsidP="00EF295B">
            <w:pPr>
              <w:ind w:left="970" w:hanging="970"/>
              <w:jc w:val="both"/>
              <w:rPr>
                <w:color w:val="0070C0"/>
                <w:sz w:val="30"/>
                <w:szCs w:val="30"/>
              </w:rPr>
            </w:pPr>
            <w:r w:rsidRPr="00666BAB">
              <w:t>Tier II</w:t>
            </w:r>
          </w:p>
        </w:tc>
        <w:tc>
          <w:tcPr>
            <w:tcW w:w="6853" w:type="dxa"/>
          </w:tcPr>
          <w:p w14:paraId="615ECB2F" w14:textId="77777777" w:rsidR="00EF295B" w:rsidRPr="00573631" w:rsidRDefault="00EF295B" w:rsidP="00EF295B">
            <w:pPr>
              <w:pStyle w:val="NoSpacing"/>
              <w:rPr>
                <w:lang w:eastAsia="en-GB"/>
              </w:rPr>
            </w:pPr>
            <w:r w:rsidRPr="00573631">
              <w:rPr>
                <w:lang w:eastAsia="en-GB"/>
              </w:rPr>
              <w:t>Definition:</w:t>
            </w:r>
          </w:p>
          <w:p w14:paraId="0CA5B706" w14:textId="77777777" w:rsidR="00EF295B" w:rsidRDefault="00EF295B" w:rsidP="00EF295B">
            <w:pPr>
              <w:pStyle w:val="NoSpacing"/>
              <w:rPr>
                <w:lang w:eastAsia="en-GB"/>
              </w:rPr>
            </w:pPr>
            <w:r w:rsidRPr="002704F9">
              <w:rPr>
                <w:lang w:eastAsia="en-GB"/>
              </w:rPr>
              <w:t>Civil society organizations (CSOs) make a difference in international development. They provide development services and humanitarian relief, innovate in service delivery, build local capacity and advocate with and for the poor. Acting alone, however, their impact is limited in scope, scale and sustainability. CSOs need to engage in government policy processes more effectively. The development of sustainable human settlements calls for the active engagement of all key stakeholders with particular attention to project/programme beneficiaries and vulnerable groups.  Therefore local and national governments should strive to: a) facilitate and protect people’s participation and civic engagement through independent civil society organizations that can be from diverse backgrounds - local, national, and international; b) promote civic and human rights education and training programmes to make urban residents aware of their rights and the changing roles of diverse women, men, and young women and men in urban settings; c) remove the barriers that block participation of socially marginalized groups and promote non-discrimination and the full and equal participation of women, young men and women and marginalized groups. To monitor this indicator fully, it is important to define cities as unique entities and define what constitutes direct participation structures of civil society. Urban planning and management are more clear concepts that UN-Habitat has worked on developing for the last few decades and these are well articulated in the urban agenda documents. Experts who have worked on the methodological developments of this indicator have there put forth the below definitions to help guide the work on this indicator.</w:t>
            </w:r>
          </w:p>
          <w:p w14:paraId="4C6B18B3" w14:textId="77777777" w:rsidR="00EF295B" w:rsidRPr="00573631" w:rsidRDefault="00EF295B" w:rsidP="00EF295B">
            <w:pPr>
              <w:pStyle w:val="NoSpacing"/>
              <w:rPr>
                <w:lang w:eastAsia="en-GB"/>
              </w:rPr>
            </w:pPr>
          </w:p>
          <w:p w14:paraId="439F7BB8" w14:textId="77777777" w:rsidR="00EF295B" w:rsidRPr="00573631" w:rsidRDefault="00EF295B" w:rsidP="00EF295B">
            <w:pPr>
              <w:pStyle w:val="NoSpacing"/>
              <w:rPr>
                <w:lang w:eastAsia="en-GB"/>
              </w:rPr>
            </w:pPr>
            <w:r w:rsidRPr="00573631">
              <w:rPr>
                <w:lang w:eastAsia="en-GB"/>
              </w:rPr>
              <w:t>Concepts:</w:t>
            </w:r>
          </w:p>
          <w:p w14:paraId="585A22E0" w14:textId="77777777" w:rsidR="00EF295B" w:rsidRDefault="00EF295B" w:rsidP="00EF295B">
            <w:pPr>
              <w:pStyle w:val="NoSpacing"/>
              <w:rPr>
                <w:lang w:eastAsia="en-GB"/>
              </w:rPr>
            </w:pPr>
            <w:r w:rsidRPr="002704F9">
              <w:rPr>
                <w:lang w:eastAsia="en-GB"/>
              </w:rPr>
              <w:t xml:space="preserve">Many urban related SDGs require global monitoring with the ‘city’ as the unit of analysis. In order to monitor the urban SDGs in particular, it is necessary to agree on a global/common definition of what constitutes a ‘city’. A standard city definition will assist in the monitoring of the SDGs by ensuring that the study areas for the spatial urban SDGs are standardized and easily reproducible, and will add clarity to the methodologies and approaches to the collection of data to support the land and rural related indicators. UN-Habitat in collaboration with New York University and European Commission’s Joint Research Centre has adopted two definitions of cities. </w:t>
            </w:r>
          </w:p>
          <w:p w14:paraId="14F8CDD5" w14:textId="77777777" w:rsidR="00EF295B" w:rsidRPr="002704F9" w:rsidRDefault="00EF295B" w:rsidP="00EF295B">
            <w:pPr>
              <w:pStyle w:val="NoSpacing"/>
              <w:rPr>
                <w:lang w:eastAsia="en-GB"/>
              </w:rPr>
            </w:pPr>
          </w:p>
          <w:p w14:paraId="27FD31C8" w14:textId="77777777" w:rsidR="00EF295B" w:rsidRPr="002704F9" w:rsidRDefault="00EF295B" w:rsidP="00EF295B">
            <w:pPr>
              <w:pStyle w:val="NoSpacing"/>
              <w:rPr>
                <w:lang w:eastAsia="en-GB"/>
              </w:rPr>
            </w:pPr>
            <w:r w:rsidRPr="002704F9">
              <w:rPr>
                <w:lang w:eastAsia="en-GB"/>
              </w:rPr>
              <w:t>City as defined by its Urban extent (built-up and urbanized open space) - New York University</w:t>
            </w:r>
          </w:p>
          <w:p w14:paraId="376B917C" w14:textId="77777777" w:rsidR="00EF295B" w:rsidRPr="002704F9" w:rsidRDefault="00EF295B" w:rsidP="00EF295B">
            <w:pPr>
              <w:pStyle w:val="NoSpacing"/>
              <w:rPr>
                <w:lang w:eastAsia="en-GB"/>
              </w:rPr>
            </w:pPr>
            <w:r w:rsidRPr="002704F9">
              <w:rPr>
                <w:lang w:eastAsia="en-GB"/>
              </w:rPr>
              <w:t>Urban extent is defined as the total area occupied by the built-up area and the urbanized open space. The built-up area is defined as the contiguous area occupied by buildings and other impervious surfaces, but excluding urbanized open space, both public and private, as well as vacant lands.</w:t>
            </w:r>
          </w:p>
          <w:p w14:paraId="34B914FE" w14:textId="77777777" w:rsidR="00EF295B" w:rsidRDefault="00EF295B" w:rsidP="00EF295B">
            <w:pPr>
              <w:pStyle w:val="NoSpacing"/>
              <w:rPr>
                <w:lang w:eastAsia="en-GB"/>
              </w:rPr>
            </w:pPr>
          </w:p>
          <w:p w14:paraId="3B673109" w14:textId="77777777" w:rsidR="00EF295B" w:rsidRPr="002704F9" w:rsidRDefault="00EF295B" w:rsidP="00EF295B">
            <w:pPr>
              <w:pStyle w:val="NoSpacing"/>
              <w:rPr>
                <w:lang w:eastAsia="en-GB"/>
              </w:rPr>
            </w:pPr>
            <w:r>
              <w:rPr>
                <w:lang w:eastAsia="en-GB"/>
              </w:rPr>
              <w:t>Landsat imagery</w:t>
            </w:r>
            <w:r>
              <w:rPr>
                <w:rStyle w:val="FootnoteReference"/>
                <w:rFonts w:eastAsia="Times New Roman" w:cs="Times New Roman"/>
                <w:color w:val="4A4A4A"/>
                <w:sz w:val="21"/>
                <w:szCs w:val="21"/>
                <w:lang w:eastAsia="en-GB"/>
              </w:rPr>
              <w:footnoteReference w:id="16"/>
            </w:r>
            <w:r>
              <w:rPr>
                <w:lang w:eastAsia="en-GB"/>
              </w:rPr>
              <w:t xml:space="preserve"> </w:t>
            </w:r>
            <w:r w:rsidRPr="002704F9">
              <w:rPr>
                <w:lang w:eastAsia="en-GB"/>
              </w:rPr>
              <w:t>is used to identify and classify the built-up pixels into 3 types depending on the share of built-up density (urbanness) in a 1-km2 circle of a given building:</w:t>
            </w:r>
          </w:p>
          <w:p w14:paraId="00D0FB2B" w14:textId="77777777" w:rsidR="00EF295B" w:rsidRPr="002704F9" w:rsidRDefault="00EF295B" w:rsidP="00EF295B">
            <w:pPr>
              <w:pStyle w:val="NoSpacing"/>
              <w:rPr>
                <w:lang w:eastAsia="en-GB"/>
              </w:rPr>
            </w:pPr>
            <w:r w:rsidRPr="002704F9">
              <w:rPr>
                <w:lang w:eastAsia="en-GB"/>
              </w:rPr>
              <w:t>Urban built-up area: built-up pixels where the walking distance circle has a built</w:t>
            </w:r>
            <w:r>
              <w:rPr>
                <w:lang w:eastAsia="en-GB"/>
              </w:rPr>
              <w:t>-</w:t>
            </w:r>
            <w:r w:rsidRPr="002704F9">
              <w:rPr>
                <w:lang w:eastAsia="en-GB"/>
              </w:rPr>
              <w:t xml:space="preserve">up density greater than 50%. </w:t>
            </w:r>
          </w:p>
          <w:p w14:paraId="6C404C60" w14:textId="77777777" w:rsidR="00EF295B" w:rsidRPr="002704F9" w:rsidRDefault="00EF295B" w:rsidP="00EF295B">
            <w:pPr>
              <w:pStyle w:val="NoSpacing"/>
              <w:rPr>
                <w:lang w:eastAsia="en-GB"/>
              </w:rPr>
            </w:pPr>
            <w:r w:rsidRPr="002704F9">
              <w:rPr>
                <w:lang w:eastAsia="en-GB"/>
              </w:rPr>
              <w:t>Suburban built-up area: built-up pixels where the walking distance circle has a built</w:t>
            </w:r>
            <w:r>
              <w:rPr>
                <w:lang w:eastAsia="en-GB"/>
              </w:rPr>
              <w:t>-</w:t>
            </w:r>
            <w:r w:rsidRPr="002704F9">
              <w:rPr>
                <w:lang w:eastAsia="en-GB"/>
              </w:rPr>
              <w:t xml:space="preserve">up density between 25%-50%. It </w:t>
            </w:r>
            <w:r w:rsidRPr="002704F9">
              <w:rPr>
                <w:lang w:eastAsia="en-GB"/>
              </w:rPr>
              <w:lastRenderedPageBreak/>
              <w:t>also includes subdivided land, whether it is wholly unbuilt or not.</w:t>
            </w:r>
          </w:p>
          <w:p w14:paraId="79BF0213" w14:textId="77777777" w:rsidR="00EF295B" w:rsidRPr="002704F9" w:rsidRDefault="00EF295B" w:rsidP="00EF295B">
            <w:pPr>
              <w:pStyle w:val="NoSpacing"/>
              <w:rPr>
                <w:lang w:eastAsia="en-GB"/>
              </w:rPr>
            </w:pPr>
            <w:r w:rsidRPr="002704F9">
              <w:rPr>
                <w:lang w:eastAsia="en-GB"/>
              </w:rPr>
              <w:t xml:space="preserve">Rural built-up area: built-up pixels where walking distance circle has a built-up density of less than 25% and that are not on subdivided land. </w:t>
            </w:r>
          </w:p>
          <w:p w14:paraId="2FBF7A61" w14:textId="77777777" w:rsidR="00EF295B" w:rsidRPr="002704F9" w:rsidRDefault="00EF295B" w:rsidP="00EF295B">
            <w:pPr>
              <w:pStyle w:val="NoSpacing"/>
              <w:rPr>
                <w:lang w:eastAsia="en-GB"/>
              </w:rPr>
            </w:pPr>
            <w:r w:rsidRPr="002704F9">
              <w:rPr>
                <w:lang w:eastAsia="en-GB"/>
              </w:rPr>
              <w:t>The urbanized open space (mainly refers to unbuilt areas including open countryside, forests, crop fields, parks, unbuilt urban areas, cleared land) is classified into 3 types:</w:t>
            </w:r>
          </w:p>
          <w:p w14:paraId="5FC6AF3B" w14:textId="77777777" w:rsidR="00EF295B" w:rsidRPr="002704F9" w:rsidRDefault="00EF295B" w:rsidP="00EF295B">
            <w:pPr>
              <w:pStyle w:val="NoSpacing"/>
              <w:rPr>
                <w:lang w:eastAsia="en-GB"/>
              </w:rPr>
            </w:pPr>
            <w:r w:rsidRPr="002704F9">
              <w:rPr>
                <w:lang w:eastAsia="en-GB"/>
              </w:rPr>
              <w:t>Fringe open space consists of all open space pixels within 100 meters of urban or suburban pixels;</w:t>
            </w:r>
          </w:p>
          <w:p w14:paraId="643D5C06" w14:textId="77777777" w:rsidR="00EF295B" w:rsidRPr="002704F9" w:rsidRDefault="00EF295B" w:rsidP="00EF295B">
            <w:pPr>
              <w:pStyle w:val="NoSpacing"/>
              <w:rPr>
                <w:lang w:eastAsia="en-GB"/>
              </w:rPr>
            </w:pPr>
            <w:r w:rsidRPr="002704F9">
              <w:rPr>
                <w:lang w:eastAsia="en-GB"/>
              </w:rPr>
              <w:t>Captured open space consists of all open space clusters that are fully surrounded by urban and suburban built-up pixels and the fringe open space pixels around them, and that are less than 200 hectares in area; and</w:t>
            </w:r>
          </w:p>
          <w:p w14:paraId="21003A1C" w14:textId="77777777" w:rsidR="00EF295B" w:rsidRPr="002704F9" w:rsidRDefault="00EF295B" w:rsidP="00EF295B">
            <w:pPr>
              <w:pStyle w:val="NoSpacing"/>
              <w:rPr>
                <w:lang w:eastAsia="en-GB"/>
              </w:rPr>
            </w:pPr>
            <w:r w:rsidRPr="002704F9">
              <w:rPr>
                <w:lang w:eastAsia="en-GB"/>
              </w:rPr>
              <w:t>Rural open space consists of all open spaces that are not fringe or captured open spaces.</w:t>
            </w:r>
          </w:p>
          <w:p w14:paraId="20C1F52D" w14:textId="77777777" w:rsidR="00EF295B" w:rsidRDefault="00EF295B" w:rsidP="00EF295B">
            <w:pPr>
              <w:pStyle w:val="NoSpacing"/>
              <w:rPr>
                <w:lang w:eastAsia="en-GB"/>
              </w:rPr>
            </w:pPr>
          </w:p>
          <w:p w14:paraId="4BE7913E" w14:textId="77777777" w:rsidR="00EF295B" w:rsidRDefault="00EF295B" w:rsidP="00EF295B">
            <w:pPr>
              <w:pStyle w:val="NoSpacing"/>
              <w:rPr>
                <w:lang w:eastAsia="en-GB"/>
              </w:rPr>
            </w:pPr>
            <w:r w:rsidRPr="002704F9">
              <w:rPr>
                <w:lang w:eastAsia="en-GB"/>
              </w:rPr>
              <w:t>The fringe open space and captured open space together, make up the urbanized open space in a given study area. In other words, the urban extent consists of all the buildings and the small open space areas (&lt;200 ha) that are surrounded by buildings and the open space fringe that is within 100 meters of urban and suburban areas.</w:t>
            </w:r>
          </w:p>
          <w:p w14:paraId="0DBBE5D2" w14:textId="77777777" w:rsidR="00EF295B" w:rsidRPr="002704F9" w:rsidRDefault="00EF295B" w:rsidP="00EF295B">
            <w:pPr>
              <w:pStyle w:val="NoSpacing"/>
              <w:rPr>
                <w:lang w:eastAsia="en-GB"/>
              </w:rPr>
            </w:pPr>
          </w:p>
          <w:p w14:paraId="7C6C6B26" w14:textId="77777777" w:rsidR="00EF295B" w:rsidRPr="002704F9" w:rsidRDefault="00EF295B" w:rsidP="00EF295B">
            <w:pPr>
              <w:pStyle w:val="NoSpacing"/>
              <w:rPr>
                <w:lang w:eastAsia="en-GB"/>
              </w:rPr>
            </w:pPr>
            <w:r w:rsidRPr="002704F9">
              <w:rPr>
                <w:lang w:eastAsia="en-GB"/>
              </w:rPr>
              <w:t>City as defined by its Degree of Urbanisation (DEGURBA) - European Commission</w:t>
            </w:r>
          </w:p>
          <w:p w14:paraId="6657840B" w14:textId="77777777" w:rsidR="00EF295B" w:rsidRPr="002704F9" w:rsidRDefault="00EF295B" w:rsidP="00EF295B">
            <w:pPr>
              <w:pStyle w:val="NoSpacing"/>
              <w:rPr>
                <w:lang w:eastAsia="en-GB"/>
              </w:rPr>
            </w:pPr>
            <w:r w:rsidRPr="002704F9">
              <w:rPr>
                <w:lang w:eastAsia="en-GB"/>
              </w:rPr>
              <w:t xml:space="preserve">The Degree of urbanisation (DEGURBA) is a classification that indicates the character of an area. Based on the share of the local population living in 3 different types of clusters, local administrative units (LAUs) are classified into three types of area: thinly populated area (rural area); intermediate density area (towns and suburbs/small urban area), and densely populated area (cities/large urban area) following a 2-step procedure. </w:t>
            </w:r>
          </w:p>
          <w:p w14:paraId="467181EC" w14:textId="77777777" w:rsidR="00EF295B" w:rsidRDefault="00EF295B" w:rsidP="00EF295B">
            <w:pPr>
              <w:pStyle w:val="NoSpacing"/>
              <w:rPr>
                <w:lang w:eastAsia="en-GB"/>
              </w:rPr>
            </w:pPr>
          </w:p>
          <w:p w14:paraId="0B92121B" w14:textId="77777777" w:rsidR="00EF295B" w:rsidRPr="002704F9" w:rsidRDefault="00EF295B" w:rsidP="00EF295B">
            <w:pPr>
              <w:pStyle w:val="NoSpacing"/>
              <w:rPr>
                <w:lang w:eastAsia="en-GB"/>
              </w:rPr>
            </w:pPr>
            <w:r w:rsidRPr="002704F9">
              <w:rPr>
                <w:lang w:eastAsia="en-GB"/>
              </w:rPr>
              <w:t>In a first step, grid cells of 1 km2 are classified into one of the three following clusters, according to their population size and density:</w:t>
            </w:r>
          </w:p>
          <w:p w14:paraId="7DCD4157" w14:textId="77777777" w:rsidR="00EF295B" w:rsidRPr="002704F9" w:rsidRDefault="00EF295B" w:rsidP="00EF295B">
            <w:pPr>
              <w:pStyle w:val="NoSpacing"/>
              <w:rPr>
                <w:lang w:eastAsia="en-GB"/>
              </w:rPr>
            </w:pPr>
            <w:r w:rsidRPr="002704F9">
              <w:rPr>
                <w:lang w:eastAsia="en-GB"/>
              </w:rPr>
              <w:t>High-density cluster/urban centre: contiguous grid cells of 1 km2 with a density of at least 1 500 inhabitants per km2 and a minimum population of 50 000;</w:t>
            </w:r>
          </w:p>
          <w:p w14:paraId="465094E6" w14:textId="77777777" w:rsidR="00EF295B" w:rsidRPr="002704F9" w:rsidRDefault="00EF295B" w:rsidP="00EF295B">
            <w:pPr>
              <w:pStyle w:val="NoSpacing"/>
              <w:rPr>
                <w:lang w:eastAsia="en-GB"/>
              </w:rPr>
            </w:pPr>
            <w:r w:rsidRPr="002704F9">
              <w:rPr>
                <w:lang w:eastAsia="en-GB"/>
              </w:rPr>
              <w:t>Urban cluster: cluster of contiguous grid cells of 1 km2 with a density of at least 300 inhabitants per km2 and a minimum population of 5 000;</w:t>
            </w:r>
          </w:p>
          <w:p w14:paraId="1C6D23C8" w14:textId="77777777" w:rsidR="00EF295B" w:rsidRPr="002704F9" w:rsidRDefault="00EF295B" w:rsidP="00EF295B">
            <w:pPr>
              <w:pStyle w:val="NoSpacing"/>
              <w:rPr>
                <w:lang w:eastAsia="en-GB"/>
              </w:rPr>
            </w:pPr>
            <w:r w:rsidRPr="002704F9">
              <w:rPr>
                <w:lang w:eastAsia="en-GB"/>
              </w:rPr>
              <w:t>Rural grid cell: grid cell outside high-density clusters and urban clusters.</w:t>
            </w:r>
          </w:p>
          <w:p w14:paraId="22027C89" w14:textId="77777777" w:rsidR="00EF295B" w:rsidRDefault="00EF295B" w:rsidP="00EF295B">
            <w:pPr>
              <w:pStyle w:val="NoSpacing"/>
              <w:rPr>
                <w:lang w:eastAsia="en-GB"/>
              </w:rPr>
            </w:pPr>
          </w:p>
          <w:p w14:paraId="5470552E" w14:textId="77777777" w:rsidR="00EF295B" w:rsidRPr="002704F9" w:rsidRDefault="00EF295B" w:rsidP="00EF295B">
            <w:pPr>
              <w:pStyle w:val="NoSpacing"/>
              <w:rPr>
                <w:lang w:eastAsia="en-GB"/>
              </w:rPr>
            </w:pPr>
            <w:r w:rsidRPr="002704F9">
              <w:rPr>
                <w:lang w:eastAsia="en-GB"/>
              </w:rPr>
              <w:t>In a second step, local administrative units are then classified into one of three types of areas:</w:t>
            </w:r>
          </w:p>
          <w:p w14:paraId="7480B580" w14:textId="77777777" w:rsidR="00EF295B" w:rsidRPr="002704F9" w:rsidRDefault="00EF295B" w:rsidP="00EF295B">
            <w:pPr>
              <w:pStyle w:val="NoSpacing"/>
              <w:rPr>
                <w:lang w:eastAsia="en-GB"/>
              </w:rPr>
            </w:pPr>
            <w:r w:rsidRPr="002704F9">
              <w:rPr>
                <w:lang w:eastAsia="en-GB"/>
              </w:rPr>
              <w:t>Densely populated area (alternative names: cities or large urban area): at least 50 % live in high-density clusters; in addition, each high-density cluster should have at least 75 % of its population in densely-populated LAUs; this also ensures that all high-density clusters are represented by at least one densely-populated LAU, even when this cluster represents less than 50 % of the population of that LAU;</w:t>
            </w:r>
          </w:p>
          <w:p w14:paraId="08BFF001" w14:textId="77777777" w:rsidR="00EF295B" w:rsidRPr="002704F9" w:rsidRDefault="00EF295B" w:rsidP="00EF295B">
            <w:pPr>
              <w:pStyle w:val="NoSpacing"/>
              <w:rPr>
                <w:lang w:eastAsia="en-GB"/>
              </w:rPr>
            </w:pPr>
            <w:r w:rsidRPr="002704F9">
              <w:rPr>
                <w:lang w:eastAsia="en-GB"/>
              </w:rPr>
              <w:t>Intermediate density area (alternative name: towns and suburbs or small urban area): less than 50 % of the population lives in rural grid cells and less than 50 % live in high-density clusters;Thinly populated area (alternative name: rural area): more than 50 % of the population lives in rural grid cells.</w:t>
            </w:r>
          </w:p>
          <w:p w14:paraId="46671D9F" w14:textId="77777777" w:rsidR="00EF295B" w:rsidRDefault="00EF295B" w:rsidP="00EF295B">
            <w:pPr>
              <w:pStyle w:val="NoSpacing"/>
              <w:rPr>
                <w:lang w:eastAsia="en-GB"/>
              </w:rPr>
            </w:pPr>
          </w:p>
          <w:p w14:paraId="7CE82CA2" w14:textId="77777777" w:rsidR="00EF295B" w:rsidRPr="002704F9" w:rsidRDefault="00EF295B" w:rsidP="00EF295B">
            <w:pPr>
              <w:pStyle w:val="NoSpacing"/>
              <w:rPr>
                <w:lang w:eastAsia="en-GB"/>
              </w:rPr>
            </w:pPr>
            <w:r w:rsidRPr="002704F9">
              <w:rPr>
                <w:lang w:eastAsia="en-GB"/>
              </w:rPr>
              <w:t>Other concepts</w:t>
            </w:r>
          </w:p>
          <w:p w14:paraId="720534D1" w14:textId="77777777" w:rsidR="00EF295B" w:rsidRPr="002704F9" w:rsidRDefault="00EF295B" w:rsidP="00EF295B">
            <w:pPr>
              <w:pStyle w:val="NoSpacing"/>
              <w:rPr>
                <w:lang w:eastAsia="en-GB"/>
              </w:rPr>
            </w:pPr>
            <w:r w:rsidRPr="002704F9">
              <w:rPr>
                <w:lang w:eastAsia="en-GB"/>
              </w:rPr>
              <w:lastRenderedPageBreak/>
              <w:t xml:space="preserve">Democratic participation: Structures allow and encourage participation of civil society representing a cross-section of society that allows for equal representation of all members of the community with equal rights for participation and voting. </w:t>
            </w:r>
          </w:p>
          <w:p w14:paraId="4CC81A67" w14:textId="77777777" w:rsidR="00EF295B" w:rsidRDefault="00EF295B" w:rsidP="00EF295B">
            <w:pPr>
              <w:pStyle w:val="NoSpacing"/>
              <w:rPr>
                <w:lang w:eastAsia="en-GB"/>
              </w:rPr>
            </w:pPr>
          </w:p>
          <w:p w14:paraId="33A9D196" w14:textId="77777777" w:rsidR="00EF295B" w:rsidRPr="002704F9" w:rsidRDefault="00EF295B" w:rsidP="00EF295B">
            <w:pPr>
              <w:pStyle w:val="NoSpacing"/>
              <w:rPr>
                <w:lang w:eastAsia="en-GB"/>
              </w:rPr>
            </w:pPr>
            <w:r w:rsidRPr="002704F9">
              <w:rPr>
                <w:lang w:eastAsia="en-GB"/>
              </w:rPr>
              <w:t>Direct participation: Structures allow and encourage civil society accessing and actively engaging in decision-making, without intermediaries, at every stage of the urban planning and management process.</w:t>
            </w:r>
          </w:p>
          <w:p w14:paraId="14DA3E1D" w14:textId="77777777" w:rsidR="00EF295B" w:rsidRDefault="00EF295B" w:rsidP="00EF295B">
            <w:pPr>
              <w:pStyle w:val="NoSpacing"/>
              <w:rPr>
                <w:lang w:eastAsia="en-GB"/>
              </w:rPr>
            </w:pPr>
          </w:p>
          <w:p w14:paraId="138D911D" w14:textId="77777777" w:rsidR="00EF295B" w:rsidRPr="002704F9" w:rsidRDefault="00EF295B" w:rsidP="00EF295B">
            <w:pPr>
              <w:pStyle w:val="NoSpacing"/>
              <w:rPr>
                <w:lang w:eastAsia="en-GB"/>
              </w:rPr>
            </w:pPr>
            <w:r w:rsidRPr="002704F9">
              <w:rPr>
                <w:lang w:eastAsia="en-GB"/>
              </w:rPr>
              <w:t>Regular participation: Structures allow and encourage civil society participation in urban planning and management processes at every stage, and at least every six months.</w:t>
            </w:r>
          </w:p>
          <w:p w14:paraId="3904D050" w14:textId="77777777" w:rsidR="00EF295B" w:rsidRDefault="00EF295B" w:rsidP="00EF295B">
            <w:pPr>
              <w:pStyle w:val="NoSpacing"/>
              <w:rPr>
                <w:lang w:eastAsia="en-GB"/>
              </w:rPr>
            </w:pPr>
          </w:p>
          <w:p w14:paraId="08B8718C" w14:textId="77777777" w:rsidR="00EF295B" w:rsidRPr="002704F9" w:rsidRDefault="00EF295B" w:rsidP="00EF295B">
            <w:pPr>
              <w:pStyle w:val="NoSpacing"/>
              <w:rPr>
                <w:lang w:eastAsia="en-GB"/>
              </w:rPr>
            </w:pPr>
            <w:r w:rsidRPr="002704F9">
              <w:rPr>
                <w:lang w:eastAsia="en-GB"/>
              </w:rPr>
              <w:t xml:space="preserve">Marginalized groups: Groups of people that are not traditionally given equal voice in governance processes. These include, but are not limited to, women, young men and women, low-income communities, ethnic minorities, religious minorities, people with disabilities, the </w:t>
            </w:r>
            <w:proofErr w:type="gramStart"/>
            <w:r w:rsidRPr="002704F9">
              <w:rPr>
                <w:lang w:eastAsia="en-GB"/>
              </w:rPr>
              <w:t>elderly,</w:t>
            </w:r>
            <w:proofErr w:type="gramEnd"/>
            <w:r w:rsidRPr="002704F9">
              <w:rPr>
                <w:lang w:eastAsia="en-GB"/>
              </w:rPr>
              <w:t xml:space="preserve"> and sexual and gender identity minorities and migrants.</w:t>
            </w:r>
          </w:p>
          <w:p w14:paraId="26E8AB3A" w14:textId="77777777" w:rsidR="00EF295B" w:rsidRDefault="00EF295B" w:rsidP="00EF295B">
            <w:pPr>
              <w:pStyle w:val="NoSpacing"/>
              <w:rPr>
                <w:lang w:eastAsia="en-GB"/>
              </w:rPr>
            </w:pPr>
          </w:p>
          <w:p w14:paraId="46FD9FB8" w14:textId="77777777" w:rsidR="00EF295B" w:rsidRPr="002704F9" w:rsidRDefault="00EF295B" w:rsidP="00EF295B">
            <w:pPr>
              <w:pStyle w:val="NoSpacing"/>
              <w:rPr>
                <w:lang w:eastAsia="en-GB"/>
              </w:rPr>
            </w:pPr>
            <w:r w:rsidRPr="002704F9">
              <w:rPr>
                <w:lang w:eastAsia="en-GB"/>
              </w:rPr>
              <w:t xml:space="preserve">Structures: Any formal structure that allows for participation of civil society. This can include, but is not limited to national or local legislation, policy, town council meetings, websites, elections, suggestion boxes, appeals processes, notice period for planning proposals etc. </w:t>
            </w:r>
          </w:p>
          <w:p w14:paraId="0AE532E9" w14:textId="77777777" w:rsidR="00EF295B" w:rsidRDefault="00EF295B" w:rsidP="00EF295B">
            <w:pPr>
              <w:pStyle w:val="NoSpacing"/>
              <w:rPr>
                <w:lang w:eastAsia="en-GB"/>
              </w:rPr>
            </w:pPr>
          </w:p>
          <w:p w14:paraId="15DEB8B0" w14:textId="77777777" w:rsidR="00EF295B" w:rsidRPr="002704F9" w:rsidRDefault="00EF295B" w:rsidP="00EF295B">
            <w:pPr>
              <w:pStyle w:val="NoSpacing"/>
              <w:rPr>
                <w:lang w:eastAsia="en-GB"/>
              </w:rPr>
            </w:pPr>
            <w:r w:rsidRPr="002704F9">
              <w:rPr>
                <w:lang w:eastAsia="en-GB"/>
              </w:rPr>
              <w:t xml:space="preserve">Civil Society: The combination of non-governmental organizations, community groups, community-based organizations, regional representative groups, unions, research institutes, think tanks, professional bodies, non-profit sports and cultural groups, and any other groups that represent the interests and wills of the members and wider community. </w:t>
            </w:r>
          </w:p>
          <w:p w14:paraId="1C5FF994" w14:textId="77777777" w:rsidR="00EF295B" w:rsidRDefault="00EF295B" w:rsidP="00EF295B">
            <w:pPr>
              <w:pStyle w:val="NoSpacing"/>
              <w:rPr>
                <w:lang w:eastAsia="en-GB"/>
              </w:rPr>
            </w:pPr>
          </w:p>
          <w:p w14:paraId="28F65ABD" w14:textId="77777777" w:rsidR="00EF295B" w:rsidRPr="002704F9" w:rsidRDefault="00EF295B" w:rsidP="00EF295B">
            <w:pPr>
              <w:pStyle w:val="NoSpacing"/>
              <w:rPr>
                <w:lang w:eastAsia="en-GB"/>
              </w:rPr>
            </w:pPr>
            <w:r w:rsidRPr="002704F9">
              <w:rPr>
                <w:lang w:eastAsia="en-GB"/>
              </w:rPr>
              <w:t>Urban Management: The officials, including elected officials and public servants, that are responsible for city-management, across all sectors, such as roads, water, sanitation, energy, public space, land title etc.</w:t>
            </w:r>
          </w:p>
          <w:p w14:paraId="0E03D270" w14:textId="77777777" w:rsidR="00EF295B" w:rsidRPr="002704F9" w:rsidRDefault="00EF295B" w:rsidP="00EF295B">
            <w:pPr>
              <w:pStyle w:val="NoSpacing"/>
              <w:rPr>
                <w:lang w:eastAsia="en-GB"/>
              </w:rPr>
            </w:pPr>
            <w:r w:rsidRPr="002704F9">
              <w:rPr>
                <w:lang w:eastAsia="en-GB"/>
              </w:rPr>
              <w:t>Urban Budget decision making: The process by which money is allocated to various sectors of urban management, including roads, roads, water, sanitation, energy, public space, land title etc.</w:t>
            </w:r>
          </w:p>
          <w:p w14:paraId="43ACDAFE" w14:textId="77777777" w:rsidR="00EF295B" w:rsidRDefault="00EF295B" w:rsidP="00EF295B">
            <w:pPr>
              <w:pStyle w:val="NoSpacing"/>
              <w:rPr>
                <w:lang w:eastAsia="en-GB"/>
              </w:rPr>
            </w:pPr>
          </w:p>
          <w:p w14:paraId="595A26FA" w14:textId="77777777" w:rsidR="00EF295B" w:rsidRDefault="00EF295B" w:rsidP="00EF295B">
            <w:pPr>
              <w:pStyle w:val="NoSpacing"/>
              <w:rPr>
                <w:lang w:eastAsia="en-GB"/>
              </w:rPr>
            </w:pPr>
            <w:r w:rsidRPr="002704F9">
              <w:rPr>
                <w:lang w:eastAsia="en-GB"/>
              </w:rPr>
              <w:t>Urban Planning, including Design and Agreements: The technical and political process that concerns the development and use of land, how the natural environment is used etc. Design includes over-arching and specific design of public space, as well as zoning and land use definitions. Agreements refer to specific contract/arrangements made with various groups in regard to their land, e.g. Indigenous groups, protected natural environments etc.</w:t>
            </w:r>
          </w:p>
          <w:p w14:paraId="72962374" w14:textId="77777777" w:rsidR="00EF295B" w:rsidRDefault="00EF295B" w:rsidP="00EF295B">
            <w:pPr>
              <w:pStyle w:val="NoSpacing"/>
              <w:rPr>
                <w:lang w:eastAsia="en-GB"/>
              </w:rPr>
            </w:pPr>
          </w:p>
          <w:p w14:paraId="04DB02CB" w14:textId="77777777" w:rsidR="00EF295B" w:rsidRPr="00573631" w:rsidRDefault="00EF295B" w:rsidP="00EF295B">
            <w:pPr>
              <w:pStyle w:val="NoSpacing"/>
              <w:rPr>
                <w:lang w:eastAsia="en-GB"/>
              </w:rPr>
            </w:pPr>
            <w:r>
              <w:rPr>
                <w:lang w:eastAsia="en-GB"/>
              </w:rPr>
              <w:t>Comments and limitations:</w:t>
            </w:r>
          </w:p>
          <w:p w14:paraId="6106DDB7" w14:textId="77777777" w:rsidR="00EF295B" w:rsidRPr="007F3A6B" w:rsidRDefault="00EF295B" w:rsidP="00EF295B">
            <w:pPr>
              <w:pStyle w:val="NoSpacing"/>
              <w:rPr>
                <w:lang w:eastAsia="en-GB"/>
              </w:rPr>
            </w:pPr>
            <w:r w:rsidRPr="007F3A6B">
              <w:rPr>
                <w:lang w:eastAsia="en-GB"/>
              </w:rPr>
              <w:t xml:space="preserve">The indicator measures the availability of structures for civil society participation in urban planning and management, which is a reflection of structures for citizen voices/participation. The fact that informed evaluators conduct the evaluation can introduce biases. These biases and discrepancies have been examined in the pilot phases and so far the </w:t>
            </w:r>
            <w:proofErr w:type="gramStart"/>
            <w:r w:rsidRPr="007F3A6B">
              <w:rPr>
                <w:lang w:eastAsia="en-GB"/>
              </w:rPr>
              <w:t>experiences is</w:t>
            </w:r>
            <w:proofErr w:type="gramEnd"/>
            <w:r w:rsidRPr="007F3A6B">
              <w:rPr>
                <w:lang w:eastAsia="en-GB"/>
              </w:rPr>
              <w:t xml:space="preserve"> that the marginal differences are not as large as we were expecting.  Overall, the evaluators’ assessments sometimes do not reflect a full analysis of the effectiveness or accessibility of these structures in its </w:t>
            </w:r>
            <w:r w:rsidRPr="007F3A6B">
              <w:rPr>
                <w:lang w:eastAsia="en-GB"/>
              </w:rPr>
              <w:lastRenderedPageBreak/>
              <w:t xml:space="preserve">totality, but gives a local idea of how these evaluators view the inclusiveness and openness on these structures to accommodate the participation of citizens and civil society. Changes in data will be examined for intra-city differences and within country differences over time to understand more sources for variations and internal consistencies. </w:t>
            </w:r>
          </w:p>
          <w:p w14:paraId="5F74A99E" w14:textId="77777777" w:rsidR="00EF295B" w:rsidRDefault="00EF295B" w:rsidP="00EF295B">
            <w:pPr>
              <w:pStyle w:val="NoSpacing"/>
              <w:rPr>
                <w:lang w:eastAsia="en-GB"/>
              </w:rPr>
            </w:pPr>
            <w:r w:rsidRPr="007F3A6B">
              <w:rPr>
                <w:lang w:eastAsia="en-GB"/>
              </w:rPr>
              <w:t xml:space="preserve">Within the civic society landscape, there are many types of players including civil societies led by individuals, community groups, advocates, corporations and foundations.  Similarly, there are many different views about the relevance and importance of civil society participation particularly, perhaps, among different groups as listed above and for these different structures at the urban level maybe available for involvement or not. </w:t>
            </w:r>
          </w:p>
          <w:p w14:paraId="199C0112" w14:textId="77777777" w:rsidR="00EF295B" w:rsidRPr="007F3A6B" w:rsidRDefault="00EF295B" w:rsidP="00EF295B">
            <w:pPr>
              <w:pStyle w:val="NoSpacing"/>
              <w:rPr>
                <w:lang w:eastAsia="en-GB"/>
              </w:rPr>
            </w:pPr>
          </w:p>
          <w:p w14:paraId="10E1CDE2" w14:textId="77777777" w:rsidR="00EF295B" w:rsidRDefault="00EF295B" w:rsidP="00EF295B">
            <w:pPr>
              <w:pStyle w:val="NoSpacing"/>
              <w:rPr>
                <w:lang w:eastAsia="en-GB"/>
              </w:rPr>
            </w:pPr>
            <w:r w:rsidRPr="007F3A6B">
              <w:rPr>
                <w:lang w:eastAsia="en-GB"/>
              </w:rPr>
              <w:t>Finally, civic society engagement in urban planning and management involves overlapping pathways, and goals as well as a mix of planned and unpredicted elements.   Advancing toward a measurement frame is intended to help sort out theories and pathways – not to set hard boundary lines, but rather to help both urban managers and communities better understand what they are trying to achieve, and how they are getting there.</w:t>
            </w:r>
          </w:p>
          <w:p w14:paraId="41A40F5F" w14:textId="77777777" w:rsidR="00EF295B" w:rsidRPr="00573631" w:rsidRDefault="00EF295B" w:rsidP="00EF295B">
            <w:pPr>
              <w:pStyle w:val="NoSpacing"/>
              <w:rPr>
                <w:lang w:eastAsia="en-GB"/>
              </w:rPr>
            </w:pPr>
          </w:p>
          <w:p w14:paraId="4DEE9929" w14:textId="77777777" w:rsidR="00EF295B" w:rsidRPr="00573631" w:rsidRDefault="00EF295B" w:rsidP="00EF295B">
            <w:pPr>
              <w:pStyle w:val="NoSpacing"/>
              <w:rPr>
                <w:lang w:eastAsia="en-GB"/>
              </w:rPr>
            </w:pPr>
            <w:r w:rsidRPr="00573631">
              <w:rPr>
                <w:lang w:eastAsia="en-GB"/>
              </w:rPr>
              <w:t>Computation Method:</w:t>
            </w:r>
          </w:p>
          <w:p w14:paraId="55769814" w14:textId="77777777" w:rsidR="00EF295B" w:rsidRPr="002704F9" w:rsidRDefault="00EF295B" w:rsidP="00EF295B">
            <w:pPr>
              <w:pStyle w:val="NoSpacing"/>
              <w:rPr>
                <w:lang w:eastAsia="en-GB"/>
              </w:rPr>
            </w:pPr>
            <w:r w:rsidRPr="002704F9">
              <w:rPr>
                <w:lang w:eastAsia="en-GB"/>
              </w:rPr>
              <w:t>To measure existence of direct participation structures of civil society in urban planning and management at the city level, a scorecard approach will be used to evaluate the available structures for civil society participation in urban planning and management, as evaluated by five (5) local experts from government, academia, civil society and international organizations. The identifications and selection of these 5 local evaluators/experts will be guided by local urban observatories teams that are available in many cities. In the pilot exercises, these urban observatories as local custodians of urban data at the city level are able to coordinate the assessments, and check for consistencies and relevant local references that guide the decisions and scores of the evaluators.</w:t>
            </w:r>
          </w:p>
          <w:p w14:paraId="41B51D78" w14:textId="77777777" w:rsidR="00EF295B" w:rsidRDefault="00EF295B" w:rsidP="00EF295B">
            <w:pPr>
              <w:pStyle w:val="NoSpacing"/>
              <w:rPr>
                <w:lang w:eastAsia="en-GB"/>
              </w:rPr>
            </w:pPr>
          </w:p>
          <w:p w14:paraId="5C385524" w14:textId="77777777" w:rsidR="00EF295B" w:rsidRPr="002704F9" w:rsidRDefault="00EF295B" w:rsidP="00EF295B">
            <w:pPr>
              <w:pStyle w:val="NoSpacing"/>
              <w:rPr>
                <w:lang w:eastAsia="en-GB"/>
              </w:rPr>
            </w:pPr>
            <w:proofErr w:type="gramStart"/>
            <w:r w:rsidRPr="002704F9">
              <w:rPr>
                <w:lang w:eastAsia="en-GB"/>
              </w:rPr>
              <w:t>A questionnaire with a 4-point Likert scale (strongly disagree</w:t>
            </w:r>
            <w:proofErr w:type="gramEnd"/>
            <w:r w:rsidRPr="002704F9">
              <w:rPr>
                <w:lang w:eastAsia="en-GB"/>
              </w:rPr>
              <w:t>, disagree, agree, and strongly agree) will be used to measure and test the existence of structures for civil society participation in urban governance and management. As experts, we agreed that these structures are examined through four core elements and these were assessed in the completed pilot exercises as follows:</w:t>
            </w:r>
          </w:p>
          <w:p w14:paraId="78272A08" w14:textId="77777777" w:rsidR="00EF295B" w:rsidRPr="002704F9" w:rsidRDefault="00EF295B" w:rsidP="00EF295B">
            <w:pPr>
              <w:pStyle w:val="NoSpacing"/>
              <w:rPr>
                <w:lang w:eastAsia="en-GB"/>
              </w:rPr>
            </w:pPr>
            <w:r w:rsidRPr="002704F9">
              <w:rPr>
                <w:lang w:eastAsia="en-GB"/>
              </w:rPr>
              <w:t xml:space="preserve">Are there structures for civil society participation in urban planning, including design and </w:t>
            </w:r>
            <w:proofErr w:type="gramStart"/>
            <w:r w:rsidRPr="002704F9">
              <w:rPr>
                <w:lang w:eastAsia="en-GB"/>
              </w:rPr>
              <w:t>agreements, that</w:t>
            </w:r>
            <w:proofErr w:type="gramEnd"/>
            <w:r w:rsidRPr="002704F9">
              <w:rPr>
                <w:lang w:eastAsia="en-GB"/>
              </w:rPr>
              <w:t xml:space="preserve"> are direct, regular and democratic?</w:t>
            </w:r>
          </w:p>
          <w:p w14:paraId="11845A96" w14:textId="77777777" w:rsidR="00EF295B" w:rsidRPr="002704F9" w:rsidRDefault="00EF295B" w:rsidP="00EF295B">
            <w:pPr>
              <w:pStyle w:val="NoSpacing"/>
              <w:rPr>
                <w:lang w:eastAsia="en-GB"/>
              </w:rPr>
            </w:pPr>
            <w:r w:rsidRPr="002704F9">
              <w:rPr>
                <w:lang w:eastAsia="en-GB"/>
              </w:rPr>
              <w:t>Are there structures for civil society participation in local urban budget decision-making, that are direct, regular and democratic?</w:t>
            </w:r>
          </w:p>
          <w:p w14:paraId="1D93F2B4" w14:textId="77777777" w:rsidR="00EF295B" w:rsidRPr="002704F9" w:rsidRDefault="00EF295B" w:rsidP="00EF295B">
            <w:pPr>
              <w:pStyle w:val="NoSpacing"/>
              <w:rPr>
                <w:lang w:eastAsia="en-GB"/>
              </w:rPr>
            </w:pPr>
            <w:r w:rsidRPr="002704F9">
              <w:rPr>
                <w:lang w:eastAsia="en-GB"/>
              </w:rPr>
              <w:t xml:space="preserve">Are there structures for civil society evaluation and feedback on the performance of urban </w:t>
            </w:r>
            <w:proofErr w:type="gramStart"/>
            <w:r w:rsidRPr="002704F9">
              <w:rPr>
                <w:lang w:eastAsia="en-GB"/>
              </w:rPr>
              <w:t>management, that</w:t>
            </w:r>
            <w:proofErr w:type="gramEnd"/>
            <w:r w:rsidRPr="002704F9">
              <w:rPr>
                <w:lang w:eastAsia="en-GB"/>
              </w:rPr>
              <w:t xml:space="preserve"> are direct, regular and democratic?</w:t>
            </w:r>
          </w:p>
          <w:p w14:paraId="4FD29E6F" w14:textId="77777777" w:rsidR="00EF295B" w:rsidRPr="002704F9" w:rsidRDefault="00EF295B" w:rsidP="00EF295B">
            <w:pPr>
              <w:pStyle w:val="NoSpacing"/>
              <w:rPr>
                <w:lang w:eastAsia="en-GB"/>
              </w:rPr>
            </w:pPr>
            <w:r w:rsidRPr="002704F9">
              <w:rPr>
                <w:lang w:eastAsia="en-GB"/>
              </w:rPr>
              <w:t>Do these structures promote the participation of women, young men and women, and/or other marginalized groups?</w:t>
            </w:r>
          </w:p>
          <w:p w14:paraId="5E14E742" w14:textId="77777777" w:rsidR="00EF295B" w:rsidRDefault="00EF295B" w:rsidP="00EF295B">
            <w:pPr>
              <w:pStyle w:val="NoSpacing"/>
              <w:rPr>
                <w:lang w:eastAsia="en-GB"/>
              </w:rPr>
            </w:pPr>
          </w:p>
          <w:p w14:paraId="62F8AE22" w14:textId="77777777" w:rsidR="00EF295B" w:rsidRPr="002704F9" w:rsidRDefault="00EF295B" w:rsidP="00EF295B">
            <w:pPr>
              <w:pStyle w:val="NoSpacing"/>
              <w:rPr>
                <w:lang w:eastAsia="en-GB"/>
              </w:rPr>
            </w:pPr>
            <w:r w:rsidRPr="002704F9">
              <w:rPr>
                <w:lang w:eastAsia="en-GB"/>
              </w:rPr>
              <w:t xml:space="preserve">The evaluators score each of the questions on the Likert Scale, as below: </w:t>
            </w:r>
          </w:p>
          <w:p w14:paraId="793D426A" w14:textId="77777777" w:rsidR="00EF295B" w:rsidRDefault="00EF295B" w:rsidP="00EF295B">
            <w:pPr>
              <w:pStyle w:val="NoSpacing"/>
              <w:rPr>
                <w:lang w:eastAsia="en-GB"/>
              </w:rPr>
            </w:pPr>
            <w:r w:rsidRPr="002704F9">
              <w:rPr>
                <w:lang w:eastAsia="en-GB"/>
              </w:rPr>
              <w:t>1 - Strongly disagree, 2 - Disagree, 3 - Agree, 4 - Strongly agree</w:t>
            </w:r>
          </w:p>
          <w:p w14:paraId="3E29C436" w14:textId="77777777" w:rsidR="00EF295B" w:rsidRDefault="00EF295B" w:rsidP="00EF295B">
            <w:pPr>
              <w:pStyle w:val="NoSpacing"/>
              <w:rPr>
                <w:lang w:eastAsia="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773"/>
              <w:gridCol w:w="1094"/>
              <w:gridCol w:w="786"/>
              <w:gridCol w:w="786"/>
              <w:gridCol w:w="785"/>
            </w:tblGrid>
            <w:tr w:rsidR="00EF295B" w:rsidRPr="008307F7" w14:paraId="2BC8E28E" w14:textId="77777777" w:rsidTr="00A97151">
              <w:trPr>
                <w:trHeight w:val="20"/>
              </w:trPr>
              <w:tc>
                <w:tcPr>
                  <w:tcW w:w="26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90E14" w14:textId="77777777" w:rsidR="00EF295B" w:rsidRPr="008307F7" w:rsidRDefault="00EF295B" w:rsidP="00EF295B">
                  <w:pPr>
                    <w:pStyle w:val="NoSpacing"/>
                  </w:pPr>
                  <w:r w:rsidRPr="008307F7">
                    <w:lastRenderedPageBreak/>
                    <w:t>Questions</w:t>
                  </w:r>
                </w:p>
              </w:tc>
              <w:tc>
                <w:tcPr>
                  <w:tcW w:w="757"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A7DF386" w14:textId="77777777" w:rsidR="00EF295B" w:rsidRPr="008307F7" w:rsidRDefault="00EF295B" w:rsidP="00EF295B">
                  <w:pPr>
                    <w:pStyle w:val="NoSpacing"/>
                  </w:pPr>
                  <w:r w:rsidRPr="008307F7">
                    <w:t>Strongly Disagree</w:t>
                  </w:r>
                </w:p>
                <w:p w14:paraId="7CF448D9" w14:textId="77777777" w:rsidR="00EF295B" w:rsidRPr="008307F7" w:rsidRDefault="00EF295B" w:rsidP="00EF295B">
                  <w:pPr>
                    <w:pStyle w:val="NoSpacing"/>
                  </w:pPr>
                  <w:r w:rsidRPr="008307F7">
                    <w:t>(1)</w:t>
                  </w:r>
                </w:p>
              </w:tc>
              <w:tc>
                <w:tcPr>
                  <w:tcW w:w="54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29B9F9F" w14:textId="77777777" w:rsidR="00EF295B" w:rsidRPr="008307F7" w:rsidRDefault="00EF295B" w:rsidP="00EF295B">
                  <w:pPr>
                    <w:pStyle w:val="NoSpacing"/>
                  </w:pPr>
                  <w:r w:rsidRPr="008307F7">
                    <w:t>Disagree</w:t>
                  </w:r>
                </w:p>
                <w:p w14:paraId="67477B17" w14:textId="77777777" w:rsidR="00EF295B" w:rsidRPr="008307F7" w:rsidRDefault="00EF295B" w:rsidP="00EF295B">
                  <w:pPr>
                    <w:pStyle w:val="NoSpacing"/>
                  </w:pPr>
                  <w:r w:rsidRPr="008307F7">
                    <w:t>(2)</w:t>
                  </w:r>
                </w:p>
              </w:tc>
              <w:tc>
                <w:tcPr>
                  <w:tcW w:w="54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C4A0383" w14:textId="77777777" w:rsidR="00EF295B" w:rsidRPr="008307F7" w:rsidRDefault="00EF295B" w:rsidP="00EF295B">
                  <w:pPr>
                    <w:pStyle w:val="NoSpacing"/>
                  </w:pPr>
                  <w:r w:rsidRPr="008307F7">
                    <w:t>Agree</w:t>
                  </w:r>
                </w:p>
                <w:p w14:paraId="7E75907A" w14:textId="77777777" w:rsidR="00EF295B" w:rsidRPr="008307F7" w:rsidRDefault="00EF295B" w:rsidP="00EF295B">
                  <w:pPr>
                    <w:pStyle w:val="NoSpacing"/>
                  </w:pPr>
                  <w:r w:rsidRPr="008307F7">
                    <w:t>(3)</w:t>
                  </w:r>
                </w:p>
              </w:tc>
              <w:tc>
                <w:tcPr>
                  <w:tcW w:w="54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F349AFE" w14:textId="77777777" w:rsidR="00EF295B" w:rsidRPr="008307F7" w:rsidRDefault="00EF295B" w:rsidP="00EF295B">
                  <w:pPr>
                    <w:pStyle w:val="NoSpacing"/>
                  </w:pPr>
                  <w:r w:rsidRPr="008307F7">
                    <w:t>Strongly Agree</w:t>
                  </w:r>
                </w:p>
                <w:p w14:paraId="202AFA16" w14:textId="77777777" w:rsidR="00EF295B" w:rsidRPr="008307F7" w:rsidRDefault="00EF295B" w:rsidP="00EF295B">
                  <w:pPr>
                    <w:pStyle w:val="NoSpacing"/>
                  </w:pPr>
                  <w:r w:rsidRPr="008307F7">
                    <w:t>(4)</w:t>
                  </w:r>
                </w:p>
              </w:tc>
            </w:tr>
            <w:tr w:rsidR="00EF295B" w:rsidRPr="008307F7" w14:paraId="2E74202F" w14:textId="77777777" w:rsidTr="00A97151">
              <w:trPr>
                <w:trHeight w:val="20"/>
              </w:trPr>
              <w:tc>
                <w:tcPr>
                  <w:tcW w:w="261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4A81CC7" w14:textId="77777777" w:rsidR="00EF295B" w:rsidRPr="008307F7" w:rsidRDefault="00EF295B" w:rsidP="00EF295B">
                  <w:pPr>
                    <w:pStyle w:val="NoSpacing"/>
                  </w:pPr>
                  <w:r w:rsidRPr="008307F7">
                    <w:t>Are there structures for civil society participation in urban planning, including design and agreements that are direct, regular and democratic?</w:t>
                  </w:r>
                </w:p>
              </w:tc>
              <w:tc>
                <w:tcPr>
                  <w:tcW w:w="757" w:type="pct"/>
                  <w:tcBorders>
                    <w:bottom w:val="single" w:sz="8" w:space="0" w:color="000000"/>
                    <w:right w:val="single" w:sz="8" w:space="0" w:color="000000"/>
                  </w:tcBorders>
                  <w:tcMar>
                    <w:top w:w="100" w:type="dxa"/>
                    <w:left w:w="100" w:type="dxa"/>
                    <w:bottom w:w="100" w:type="dxa"/>
                    <w:right w:w="100" w:type="dxa"/>
                  </w:tcMar>
                </w:tcPr>
                <w:p w14:paraId="5064EB2A"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4A9E812D"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3DCE69CC"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32BD97C5" w14:textId="77777777" w:rsidR="00EF295B" w:rsidRPr="008307F7" w:rsidRDefault="00EF295B" w:rsidP="00EF295B">
                  <w:pPr>
                    <w:pStyle w:val="NoSpacing"/>
                  </w:pPr>
                  <w:r w:rsidRPr="008307F7">
                    <w:t xml:space="preserve"> </w:t>
                  </w:r>
                </w:p>
              </w:tc>
            </w:tr>
            <w:tr w:rsidR="00EF295B" w:rsidRPr="008307F7" w14:paraId="72D75A1F" w14:textId="77777777" w:rsidTr="00A97151">
              <w:trPr>
                <w:trHeight w:val="20"/>
              </w:trPr>
              <w:tc>
                <w:tcPr>
                  <w:tcW w:w="261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80366B8" w14:textId="77777777" w:rsidR="00EF295B" w:rsidRPr="008307F7" w:rsidRDefault="00EF295B" w:rsidP="00EF295B">
                  <w:pPr>
                    <w:pStyle w:val="NoSpacing"/>
                  </w:pPr>
                  <w:r w:rsidRPr="008307F7">
                    <w:t>Are there structures for civil society participation in urban budget decision making that are direct, regular and democratic?</w:t>
                  </w:r>
                </w:p>
              </w:tc>
              <w:tc>
                <w:tcPr>
                  <w:tcW w:w="757" w:type="pct"/>
                  <w:tcBorders>
                    <w:bottom w:val="single" w:sz="8" w:space="0" w:color="000000"/>
                    <w:right w:val="single" w:sz="8" w:space="0" w:color="000000"/>
                  </w:tcBorders>
                  <w:tcMar>
                    <w:top w:w="100" w:type="dxa"/>
                    <w:left w:w="100" w:type="dxa"/>
                    <w:bottom w:w="100" w:type="dxa"/>
                    <w:right w:w="100" w:type="dxa"/>
                  </w:tcMar>
                </w:tcPr>
                <w:p w14:paraId="75886ACC"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0D75F8AB"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01D1629C"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58C0ADC6" w14:textId="77777777" w:rsidR="00EF295B" w:rsidRPr="008307F7" w:rsidRDefault="00EF295B" w:rsidP="00EF295B">
                  <w:pPr>
                    <w:pStyle w:val="NoSpacing"/>
                  </w:pPr>
                  <w:r w:rsidRPr="008307F7">
                    <w:t xml:space="preserve"> </w:t>
                  </w:r>
                </w:p>
              </w:tc>
            </w:tr>
            <w:tr w:rsidR="00EF295B" w:rsidRPr="008307F7" w14:paraId="2270E38E" w14:textId="77777777" w:rsidTr="00A97151">
              <w:trPr>
                <w:trHeight w:val="20"/>
              </w:trPr>
              <w:tc>
                <w:tcPr>
                  <w:tcW w:w="261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AA95C42" w14:textId="77777777" w:rsidR="00EF295B" w:rsidRPr="008307F7" w:rsidRDefault="00EF295B" w:rsidP="00EF295B">
                  <w:pPr>
                    <w:pStyle w:val="NoSpacing"/>
                  </w:pPr>
                  <w:r w:rsidRPr="008307F7">
                    <w:t>Are there structures for civil society evaluation and feedback on the performance of urban management, which are direct, regular and democratic?</w:t>
                  </w:r>
                </w:p>
              </w:tc>
              <w:tc>
                <w:tcPr>
                  <w:tcW w:w="757" w:type="pct"/>
                  <w:tcBorders>
                    <w:bottom w:val="single" w:sz="8" w:space="0" w:color="000000"/>
                    <w:right w:val="single" w:sz="8" w:space="0" w:color="000000"/>
                  </w:tcBorders>
                  <w:tcMar>
                    <w:top w:w="100" w:type="dxa"/>
                    <w:left w:w="100" w:type="dxa"/>
                    <w:bottom w:w="100" w:type="dxa"/>
                    <w:right w:w="100" w:type="dxa"/>
                  </w:tcMar>
                </w:tcPr>
                <w:p w14:paraId="5E4539B3"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20C36D2F"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04405FCC"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34A7BFAB" w14:textId="77777777" w:rsidR="00EF295B" w:rsidRPr="008307F7" w:rsidRDefault="00EF295B" w:rsidP="00EF295B">
                  <w:pPr>
                    <w:pStyle w:val="NoSpacing"/>
                  </w:pPr>
                  <w:r w:rsidRPr="008307F7">
                    <w:t xml:space="preserve"> </w:t>
                  </w:r>
                </w:p>
              </w:tc>
            </w:tr>
            <w:tr w:rsidR="00EF295B" w:rsidRPr="008307F7" w14:paraId="5F5369BB" w14:textId="77777777" w:rsidTr="00A97151">
              <w:trPr>
                <w:trHeight w:val="20"/>
              </w:trPr>
              <w:tc>
                <w:tcPr>
                  <w:tcW w:w="261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FD68FA8" w14:textId="77777777" w:rsidR="00EF295B" w:rsidRPr="008307F7" w:rsidRDefault="00EF295B" w:rsidP="00EF295B">
                  <w:pPr>
                    <w:pStyle w:val="NoSpacing"/>
                  </w:pPr>
                  <w:r w:rsidRPr="008307F7">
                    <w:t>Do the structures promote the participation of women, young men and women, and/or other marginalized groups?</w:t>
                  </w:r>
                </w:p>
              </w:tc>
              <w:tc>
                <w:tcPr>
                  <w:tcW w:w="757" w:type="pct"/>
                  <w:tcBorders>
                    <w:bottom w:val="single" w:sz="8" w:space="0" w:color="000000"/>
                    <w:right w:val="single" w:sz="8" w:space="0" w:color="000000"/>
                  </w:tcBorders>
                  <w:tcMar>
                    <w:top w:w="100" w:type="dxa"/>
                    <w:left w:w="100" w:type="dxa"/>
                    <w:bottom w:w="100" w:type="dxa"/>
                    <w:right w:w="100" w:type="dxa"/>
                  </w:tcMar>
                </w:tcPr>
                <w:p w14:paraId="45520E67"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77FF4E3F"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1869B602" w14:textId="77777777" w:rsidR="00EF295B" w:rsidRPr="008307F7" w:rsidRDefault="00EF295B" w:rsidP="00EF295B">
                  <w:pPr>
                    <w:pStyle w:val="NoSpacing"/>
                  </w:pPr>
                  <w:r w:rsidRPr="008307F7">
                    <w:t xml:space="preserve"> </w:t>
                  </w:r>
                </w:p>
              </w:tc>
              <w:tc>
                <w:tcPr>
                  <w:tcW w:w="544" w:type="pct"/>
                  <w:tcBorders>
                    <w:bottom w:val="single" w:sz="8" w:space="0" w:color="000000"/>
                    <w:right w:val="single" w:sz="8" w:space="0" w:color="000000"/>
                  </w:tcBorders>
                  <w:tcMar>
                    <w:top w:w="100" w:type="dxa"/>
                    <w:left w:w="100" w:type="dxa"/>
                    <w:bottom w:w="100" w:type="dxa"/>
                    <w:right w:w="100" w:type="dxa"/>
                  </w:tcMar>
                </w:tcPr>
                <w:p w14:paraId="2A782C97" w14:textId="77777777" w:rsidR="00EF295B" w:rsidRPr="008307F7" w:rsidRDefault="00EF295B" w:rsidP="00EF295B">
                  <w:pPr>
                    <w:pStyle w:val="NoSpacing"/>
                  </w:pPr>
                  <w:r w:rsidRPr="008307F7">
                    <w:t xml:space="preserve"> </w:t>
                  </w:r>
                </w:p>
              </w:tc>
            </w:tr>
          </w:tbl>
          <w:p w14:paraId="1E0C12B6" w14:textId="77777777" w:rsidR="00EF295B" w:rsidRDefault="00EF295B" w:rsidP="00EF295B">
            <w:pPr>
              <w:pStyle w:val="NoSpacing"/>
              <w:rPr>
                <w:lang w:eastAsia="en-GB"/>
              </w:rPr>
            </w:pPr>
          </w:p>
          <w:p w14:paraId="5036998C" w14:textId="77777777" w:rsidR="00EF295B" w:rsidRDefault="00EF295B" w:rsidP="00EF295B">
            <w:pPr>
              <w:shd w:val="clear" w:color="auto" w:fill="FFFFFF"/>
              <w:rPr>
                <w:rFonts w:eastAsia="Times New Roman" w:cs="Times New Roman"/>
                <w:color w:val="4A4A4A"/>
                <w:sz w:val="21"/>
                <w:szCs w:val="21"/>
                <w:lang w:eastAsia="en-GB"/>
              </w:rPr>
            </w:pPr>
            <w:r w:rsidRPr="002704F9">
              <w:rPr>
                <w:rFonts w:eastAsia="Times New Roman" w:cs="Times New Roman"/>
                <w:color w:val="4A4A4A"/>
                <w:sz w:val="21"/>
                <w:szCs w:val="21"/>
                <w:lang w:eastAsia="en-GB"/>
              </w:rPr>
              <w:t xml:space="preserve">The Likert Scale use the following guidance for grading: </w:t>
            </w:r>
          </w:p>
          <w:p w14:paraId="59AD69FF" w14:textId="77777777" w:rsidR="00EF295B" w:rsidRPr="002704F9" w:rsidRDefault="00EF295B" w:rsidP="00EF295B">
            <w:pPr>
              <w:shd w:val="clear" w:color="auto" w:fill="FFFFFF"/>
              <w:rPr>
                <w:rFonts w:eastAsia="Times New Roman" w:cs="Times New Roman"/>
                <w:color w:val="4A4A4A"/>
                <w:sz w:val="21"/>
                <w:szCs w:val="21"/>
                <w:lang w:eastAsia="en-GB"/>
              </w:rPr>
            </w:pPr>
          </w:p>
          <w:p w14:paraId="6CC8492E" w14:textId="77777777" w:rsidR="00EF295B" w:rsidRPr="002704F9" w:rsidRDefault="00EF295B" w:rsidP="00EF295B">
            <w:pPr>
              <w:shd w:val="clear" w:color="auto" w:fill="FFFFFF"/>
              <w:ind w:left="720"/>
              <w:rPr>
                <w:rFonts w:eastAsia="Times New Roman" w:cs="Times New Roman"/>
                <w:color w:val="4A4A4A"/>
                <w:sz w:val="21"/>
                <w:szCs w:val="21"/>
                <w:lang w:eastAsia="en-GB"/>
              </w:rPr>
            </w:pPr>
            <w:r w:rsidRPr="002704F9">
              <w:rPr>
                <w:rFonts w:eastAsia="Times New Roman" w:cs="Times New Roman"/>
                <w:b/>
                <w:bCs/>
                <w:color w:val="4A4A4A"/>
                <w:sz w:val="21"/>
                <w:szCs w:val="21"/>
                <w:lang w:eastAsia="en-GB"/>
              </w:rPr>
              <w:t>Strongly Disagree:</w:t>
            </w:r>
            <w:r w:rsidRPr="002704F9">
              <w:rPr>
                <w:rFonts w:eastAsia="Times New Roman" w:cs="Times New Roman"/>
                <w:color w:val="4A4A4A"/>
                <w:sz w:val="21"/>
                <w:szCs w:val="21"/>
                <w:lang w:eastAsia="en-GB"/>
              </w:rPr>
              <w:t xml:space="preserve"> There are no structures in place or available structures do not allow civil society participation that is direct, regular or democratic.</w:t>
            </w:r>
          </w:p>
          <w:p w14:paraId="5AAC58FA" w14:textId="77777777" w:rsidR="00EF295B" w:rsidRPr="002704F9" w:rsidRDefault="00EF295B" w:rsidP="00EF295B">
            <w:pPr>
              <w:shd w:val="clear" w:color="auto" w:fill="FFFFFF"/>
              <w:ind w:left="720"/>
              <w:rPr>
                <w:rFonts w:eastAsia="Times New Roman" w:cs="Times New Roman"/>
                <w:color w:val="4A4A4A"/>
                <w:sz w:val="21"/>
                <w:szCs w:val="21"/>
                <w:lang w:eastAsia="en-GB"/>
              </w:rPr>
            </w:pPr>
            <w:r w:rsidRPr="002704F9">
              <w:rPr>
                <w:rFonts w:eastAsia="Times New Roman" w:cs="Times New Roman"/>
                <w:b/>
                <w:bCs/>
                <w:color w:val="4A4A4A"/>
                <w:sz w:val="21"/>
                <w:szCs w:val="21"/>
                <w:lang w:eastAsia="en-GB"/>
              </w:rPr>
              <w:t>Disagree:</w:t>
            </w:r>
            <w:r w:rsidRPr="002704F9">
              <w:rPr>
                <w:rFonts w:eastAsia="Times New Roman" w:cs="Times New Roman"/>
                <w:color w:val="4A4A4A"/>
                <w:sz w:val="21"/>
                <w:szCs w:val="21"/>
                <w:lang w:eastAsia="en-GB"/>
              </w:rPr>
              <w:t xml:space="preserve"> Structures exist that allow civil society participation, but they are only partially direct, regular and democratic; or they are only one of direct, regular or democratic.</w:t>
            </w:r>
          </w:p>
          <w:p w14:paraId="20DE64FC" w14:textId="77777777" w:rsidR="00EF295B" w:rsidRPr="002704F9" w:rsidRDefault="00EF295B" w:rsidP="00EF295B">
            <w:pPr>
              <w:shd w:val="clear" w:color="auto" w:fill="FFFFFF"/>
              <w:ind w:left="720"/>
              <w:rPr>
                <w:rFonts w:eastAsia="Times New Roman" w:cs="Times New Roman"/>
                <w:color w:val="4A4A4A"/>
                <w:sz w:val="21"/>
                <w:szCs w:val="21"/>
                <w:lang w:eastAsia="en-GB"/>
              </w:rPr>
            </w:pPr>
            <w:r w:rsidRPr="002704F9">
              <w:rPr>
                <w:rFonts w:eastAsia="Times New Roman" w:cs="Times New Roman"/>
                <w:b/>
                <w:bCs/>
                <w:color w:val="4A4A4A"/>
                <w:sz w:val="21"/>
                <w:szCs w:val="21"/>
                <w:lang w:eastAsia="en-GB"/>
              </w:rPr>
              <w:t>Agree:</w:t>
            </w:r>
            <w:r w:rsidRPr="002704F9">
              <w:rPr>
                <w:rFonts w:eastAsia="Times New Roman" w:cs="Times New Roman"/>
                <w:color w:val="4A4A4A"/>
                <w:sz w:val="21"/>
                <w:szCs w:val="21"/>
                <w:lang w:eastAsia="en-GB"/>
              </w:rPr>
              <w:t xml:space="preserve"> Structures exist that allow and encourage civil society participation that is direct and/or regular and/or democratic, but not all three. </w:t>
            </w:r>
          </w:p>
          <w:p w14:paraId="0ED4DC2F" w14:textId="77777777" w:rsidR="00EF295B" w:rsidRPr="002704F9" w:rsidRDefault="00EF295B" w:rsidP="00EF295B">
            <w:pPr>
              <w:shd w:val="clear" w:color="auto" w:fill="FFFFFF"/>
              <w:ind w:left="720"/>
              <w:rPr>
                <w:rFonts w:eastAsia="Times New Roman" w:cs="Times New Roman"/>
                <w:color w:val="4A4A4A"/>
                <w:sz w:val="21"/>
                <w:szCs w:val="21"/>
                <w:lang w:eastAsia="en-GB"/>
              </w:rPr>
            </w:pPr>
            <w:r w:rsidRPr="002704F9">
              <w:rPr>
                <w:rFonts w:eastAsia="Times New Roman" w:cs="Times New Roman"/>
                <w:b/>
                <w:bCs/>
                <w:color w:val="4A4A4A"/>
                <w:sz w:val="21"/>
                <w:szCs w:val="21"/>
                <w:lang w:eastAsia="en-GB"/>
              </w:rPr>
              <w:t>Strongly Agree</w:t>
            </w:r>
            <w:r w:rsidRPr="002704F9">
              <w:rPr>
                <w:rFonts w:eastAsia="Times New Roman" w:cs="Times New Roman"/>
                <w:color w:val="4A4A4A"/>
                <w:sz w:val="21"/>
                <w:szCs w:val="21"/>
                <w:lang w:eastAsia="en-GB"/>
              </w:rPr>
              <w:t>: Structures exist that allow and encourage civil society participation that is fully direct, regular and democratic.</w:t>
            </w:r>
          </w:p>
          <w:p w14:paraId="170FB93D" w14:textId="77777777" w:rsidR="00EF295B" w:rsidRDefault="00EF295B" w:rsidP="00EF295B">
            <w:pPr>
              <w:shd w:val="clear" w:color="auto" w:fill="FFFFFF"/>
              <w:rPr>
                <w:rFonts w:eastAsia="Times New Roman" w:cs="Times New Roman"/>
                <w:color w:val="4A4A4A"/>
                <w:sz w:val="21"/>
                <w:szCs w:val="21"/>
                <w:lang w:eastAsia="en-GB"/>
              </w:rPr>
            </w:pPr>
          </w:p>
          <w:p w14:paraId="51421B8C" w14:textId="77777777" w:rsidR="00EF295B" w:rsidRDefault="00EF295B" w:rsidP="00EF295B">
            <w:pPr>
              <w:pStyle w:val="NoSpacing"/>
              <w:rPr>
                <w:lang w:eastAsia="en-GB"/>
              </w:rPr>
            </w:pPr>
            <w:r w:rsidRPr="002704F9">
              <w:rPr>
                <w:lang w:eastAsia="en-GB"/>
              </w:rPr>
              <w:t xml:space="preserve">Once each of the five (5) categories is evaluated as shown in the table above by a single evaluator, the total average score of the single evaluator is computed. The various scores of the evaluators are then </w:t>
            </w:r>
            <w:r w:rsidRPr="001B5FD7">
              <w:rPr>
                <w:b/>
                <w:bCs/>
                <w:lang w:eastAsia="en-GB"/>
              </w:rPr>
              <w:t>averaged</w:t>
            </w:r>
            <w:r w:rsidRPr="002704F9">
              <w:rPr>
                <w:lang w:eastAsia="en-GB"/>
              </w:rPr>
              <w:t xml:space="preserve"> to compute the final score for every city.</w:t>
            </w:r>
          </w:p>
          <w:p w14:paraId="7027A126" w14:textId="77777777" w:rsidR="00EF295B" w:rsidRPr="002704F9" w:rsidRDefault="00EF295B" w:rsidP="00EF295B">
            <w:pPr>
              <w:shd w:val="clear" w:color="auto" w:fill="FFFFFF"/>
              <w:rPr>
                <w:rFonts w:eastAsia="Times New Roman" w:cs="Times New Roman"/>
                <w:color w:val="4A4A4A"/>
                <w:sz w:val="21"/>
                <w:szCs w:val="21"/>
                <w:lang w:eastAsia="en-GB"/>
              </w:rPr>
            </w:pPr>
          </w:p>
          <w:p w14:paraId="3B5E2019" w14:textId="77777777" w:rsidR="00EF295B" w:rsidRPr="002704F9" w:rsidRDefault="00EF295B" w:rsidP="00EF295B">
            <w:pPr>
              <w:shd w:val="clear" w:color="auto" w:fill="FFFFFF"/>
              <w:rPr>
                <w:rFonts w:eastAsia="Times New Roman" w:cs="Times New Roman"/>
                <w:color w:val="4A4A4A"/>
                <w:sz w:val="21"/>
                <w:szCs w:val="21"/>
                <w:lang w:eastAsia="en-GB"/>
              </w:rPr>
            </w:pPr>
            <w:r w:rsidRPr="002704F9">
              <w:rPr>
                <w:rFonts w:eastAsia="Times New Roman" w:cs="Times New Roman"/>
                <w:color w:val="4A4A4A"/>
                <w:sz w:val="21"/>
                <w:szCs w:val="21"/>
                <w:lang w:eastAsia="en-GB"/>
              </w:rPr>
              <w:t xml:space="preserve">To determine the proportion of cities with a direct participation structure of civil society in urban planning and management that operates regularly and democratically, a midpoint on the Likert scale of 2.5 will be used. The </w:t>
            </w:r>
            <w:r w:rsidRPr="002704F9">
              <w:rPr>
                <w:rFonts w:eastAsia="Times New Roman" w:cs="Times New Roman"/>
                <w:color w:val="4A4A4A"/>
                <w:sz w:val="21"/>
                <w:szCs w:val="21"/>
                <w:lang w:eastAsia="en-GB"/>
              </w:rPr>
              <w:lastRenderedPageBreak/>
              <w:t xml:space="preserve">value of the indicator is the proportion of cities with overall score that is greater than the mid-point. </w:t>
            </w:r>
          </w:p>
          <w:p w14:paraId="25022B23" w14:textId="77777777" w:rsidR="00EF295B" w:rsidRDefault="00EF295B" w:rsidP="00EF295B">
            <w:pPr>
              <w:shd w:val="clear" w:color="auto" w:fill="FFFFFF"/>
              <w:rPr>
                <w:rFonts w:eastAsia="Times New Roman" w:cs="Times New Roman"/>
                <w:color w:val="4A4A4A"/>
                <w:sz w:val="21"/>
                <w:szCs w:val="21"/>
                <w:lang w:eastAsia="en-GB"/>
              </w:rPr>
            </w:pPr>
          </w:p>
          <w:p w14:paraId="5F3D9F33" w14:textId="77777777" w:rsidR="00EF295B" w:rsidRDefault="00EF295B" w:rsidP="00EF295B">
            <w:pPr>
              <w:shd w:val="clear" w:color="auto" w:fill="FFFFFF"/>
              <w:rPr>
                <w:rFonts w:eastAsia="Times New Roman" w:cs="Times New Roman"/>
                <w:color w:val="4A4A4A"/>
                <w:sz w:val="21"/>
                <w:szCs w:val="21"/>
                <w:lang w:eastAsia="en-GB"/>
              </w:rPr>
            </w:pPr>
            <w:r w:rsidRPr="002704F9">
              <w:rPr>
                <w:rFonts w:eastAsia="Times New Roman" w:cs="Times New Roman"/>
                <w:color w:val="4A4A4A"/>
                <w:sz w:val="21"/>
                <w:szCs w:val="21"/>
                <w:lang w:eastAsia="en-GB"/>
              </w:rPr>
              <w:t>As a result, if we have N cities selected for the evaluation in a given country, and n is the number of cities with scores that are higher than the mid-point, the value of the indicator will be calculated as:</w:t>
            </w:r>
          </w:p>
          <w:p w14:paraId="5A115E4A" w14:textId="77777777" w:rsidR="00EF295B" w:rsidRDefault="00EF295B" w:rsidP="00EF295B">
            <w:pPr>
              <w:shd w:val="clear" w:color="auto" w:fill="FFFFFF"/>
              <w:rPr>
                <w:rFonts w:eastAsia="Times New Roman" w:cs="Times New Roman"/>
                <w:color w:val="4A4A4A"/>
                <w:sz w:val="21"/>
                <w:szCs w:val="21"/>
                <w:lang w:eastAsia="en-GB"/>
              </w:rPr>
            </w:pPr>
          </w:p>
          <w:p w14:paraId="675B12E6" w14:textId="77777777" w:rsidR="00EF295B" w:rsidRDefault="00EF295B" w:rsidP="00EF295B">
            <w:pPr>
              <w:pStyle w:val="NoSpacing"/>
              <w:rPr>
                <w:rFonts w:asciiTheme="majorHAnsi" w:hAnsiTheme="majorHAnsi"/>
              </w:rPr>
            </w:pPr>
            <m:oMath>
              <m:r>
                <m:rPr>
                  <m:sty m:val="b"/>
                </m:rPr>
                <w:rPr>
                  <w:rFonts w:ascii="Cambria Math" w:hAnsi="Cambria Math"/>
                </w:rPr>
                <m:t>Value</m:t>
              </m:r>
              <m:r>
                <m:rPr>
                  <m:sty m:val="p"/>
                </m:rPr>
                <w:rPr>
                  <w:rFonts w:ascii="Cambria Math" w:hAnsi="Cambria Math"/>
                </w:rPr>
                <m:t xml:space="preserve"> </m:t>
              </m:r>
              <m:r>
                <m:rPr>
                  <m:sty m:val="b"/>
                </m:rPr>
                <w:rPr>
                  <w:rFonts w:ascii="Cambria Math" w:hAnsi="Cambria Math"/>
                </w:rPr>
                <m:t>of</m:t>
              </m:r>
              <m:r>
                <m:rPr>
                  <m:sty m:val="p"/>
                </m:rPr>
                <w:rPr>
                  <w:rFonts w:ascii="Cambria Math" w:hAnsi="Cambria Math"/>
                </w:rPr>
                <m:t xml:space="preserve"> </m:t>
              </m:r>
              <m:r>
                <m:rPr>
                  <m:sty m:val="b"/>
                </m:rPr>
                <w:rPr>
                  <w:rFonts w:ascii="Cambria Math" w:hAnsi="Cambria Math"/>
                </w:rPr>
                <m:t>Indicator</m:t>
              </m:r>
              <m:r>
                <m:rPr>
                  <m:sty m:val="p"/>
                </m:rPr>
                <w:rPr>
                  <w:rFonts w:ascii="Cambria Math" w:hAnsi="Cambria Math"/>
                </w:rPr>
                <m:t>=</m:t>
              </m:r>
              <m:f>
                <m:fPr>
                  <m:ctrlPr>
                    <w:rPr>
                      <w:rFonts w:ascii="Cambria Math" w:hAnsi="Cambria Math"/>
                    </w:rPr>
                  </m:ctrlPr>
                </m:fPr>
                <m:num>
                  <m:r>
                    <m:rPr>
                      <m:sty m:val="b"/>
                    </m:rPr>
                    <w:rPr>
                      <w:rFonts w:ascii="Cambria Math" w:hAnsi="Cambria Math"/>
                    </w:rPr>
                    <m:t>n</m:t>
                  </m:r>
                </m:num>
                <m:den>
                  <m:r>
                    <m:rPr>
                      <m:sty m:val="b"/>
                    </m:rPr>
                    <w:rPr>
                      <w:rFonts w:ascii="Cambria Math" w:hAnsi="Cambria Math"/>
                    </w:rPr>
                    <m:t>N</m:t>
                  </m:r>
                </m:den>
              </m:f>
            </m:oMath>
            <w:r w:rsidRPr="00B55EC3">
              <w:rPr>
                <w:rFonts w:asciiTheme="majorHAnsi" w:hAnsiTheme="majorHAnsi"/>
              </w:rPr>
              <w:t xml:space="preserve"> (to be expressed in percentage)</w:t>
            </w:r>
          </w:p>
          <w:p w14:paraId="2BF0EF7A" w14:textId="77777777" w:rsidR="00EF295B" w:rsidRPr="00B55EC3" w:rsidRDefault="00EF295B" w:rsidP="00EF295B">
            <w:pPr>
              <w:pStyle w:val="NoSpacing"/>
              <w:rPr>
                <w:rFonts w:asciiTheme="majorHAnsi" w:hAnsiTheme="majorHAnsi"/>
              </w:rPr>
            </w:pPr>
          </w:p>
          <w:p w14:paraId="551FE0B4" w14:textId="77777777" w:rsidR="00EF295B" w:rsidRPr="00286AE1" w:rsidRDefault="00EF295B" w:rsidP="00EF295B">
            <w:pPr>
              <w:pStyle w:val="NoSpacing"/>
            </w:pPr>
            <w:r w:rsidRPr="00286AE1">
              <w:t>To note, the number of cities in which the evaluation will be conducted may be determined using the National Sample of Cities approach. The approach will help draw a sample of cities using sound statistical and scientific methodologies based on several relevant city-specific criteria/characteristics that capture the specific contexts of countries, ensuring that the sample is representative of a given country’s territory, geography, size, history, etc.</w:t>
            </w:r>
          </w:p>
          <w:p w14:paraId="42FC3ADF" w14:textId="77777777" w:rsidR="00EF295B" w:rsidRDefault="00EF295B" w:rsidP="00EF295B">
            <w:pPr>
              <w:pStyle w:val="NoSpacing"/>
              <w:rPr>
                <w:lang w:eastAsia="en-GB"/>
              </w:rPr>
            </w:pPr>
          </w:p>
          <w:p w14:paraId="616B62EA" w14:textId="77777777" w:rsidR="00EF295B" w:rsidRDefault="00EF295B" w:rsidP="00EF295B">
            <w:pPr>
              <w:pStyle w:val="NoSpacing"/>
            </w:pPr>
          </w:p>
        </w:tc>
        <w:tc>
          <w:tcPr>
            <w:tcW w:w="1174" w:type="dxa"/>
          </w:tcPr>
          <w:p w14:paraId="6FBE860B" w14:textId="77777777" w:rsidR="00EF295B" w:rsidRDefault="00EF295B" w:rsidP="00EF295B">
            <w:pPr>
              <w:pStyle w:val="NoSpacing"/>
              <w:rPr>
                <w:lang w:eastAsia="en-GB"/>
              </w:rPr>
            </w:pPr>
            <w:r w:rsidRPr="001B5FD7">
              <w:rPr>
                <w:lang w:eastAsia="en-GB"/>
              </w:rPr>
              <w:lastRenderedPageBreak/>
              <w:t>Evaluators will examine structures at the city level, with data aggregated from city levels for national averages through local national statistical systems constituted and chaired by the national Statistical agencies.</w:t>
            </w:r>
          </w:p>
          <w:p w14:paraId="7B29486E" w14:textId="77777777" w:rsidR="00EF295B" w:rsidRDefault="00EF295B" w:rsidP="00EF295B">
            <w:pPr>
              <w:pStyle w:val="NoSpacing"/>
            </w:pPr>
          </w:p>
        </w:tc>
        <w:tc>
          <w:tcPr>
            <w:tcW w:w="818" w:type="dxa"/>
          </w:tcPr>
          <w:p w14:paraId="79CCAEA6" w14:textId="77777777" w:rsidR="00EF295B" w:rsidRDefault="00EF295B" w:rsidP="00EF295B">
            <w:pPr>
              <w:pStyle w:val="NoSpacing"/>
              <w:rPr>
                <w:lang w:eastAsia="en-GB"/>
              </w:rPr>
            </w:pPr>
            <w:r>
              <w:rPr>
                <w:lang w:eastAsia="en-GB"/>
              </w:rPr>
              <w:t>National statistical organisations.</w:t>
            </w:r>
          </w:p>
          <w:p w14:paraId="3C551EE6" w14:textId="77777777" w:rsidR="00EF295B" w:rsidRDefault="00EF295B" w:rsidP="00EF295B">
            <w:pPr>
              <w:pStyle w:val="NoSpacing"/>
            </w:pPr>
          </w:p>
        </w:tc>
        <w:tc>
          <w:tcPr>
            <w:tcW w:w="812" w:type="dxa"/>
          </w:tcPr>
          <w:p w14:paraId="023BBCBE" w14:textId="50E2A518" w:rsidR="00EF295B" w:rsidRPr="00BC6F10" w:rsidRDefault="00EF295B" w:rsidP="00EF295B">
            <w:pPr>
              <w:spacing w:line="276" w:lineRule="auto"/>
              <w:jc w:val="center"/>
            </w:pPr>
          </w:p>
        </w:tc>
        <w:tc>
          <w:tcPr>
            <w:tcW w:w="1351" w:type="dxa"/>
          </w:tcPr>
          <w:p w14:paraId="48C4865C" w14:textId="77777777" w:rsidR="00EF295B" w:rsidRDefault="00EF295B" w:rsidP="00EF295B">
            <w:pPr>
              <w:spacing w:line="276" w:lineRule="auto"/>
              <w:jc w:val="center"/>
            </w:pPr>
            <w:r w:rsidRPr="00BC6F10">
              <w:t>LGD</w:t>
            </w:r>
          </w:p>
          <w:p w14:paraId="36636040" w14:textId="77777777" w:rsidR="00EF295B" w:rsidRDefault="00EF295B" w:rsidP="00EF295B">
            <w:pPr>
              <w:spacing w:line="276" w:lineRule="auto"/>
              <w:jc w:val="center"/>
            </w:pPr>
          </w:p>
          <w:p w14:paraId="1D704627" w14:textId="77777777" w:rsidR="00EF295B" w:rsidRPr="00BC6F10" w:rsidRDefault="00EF295B" w:rsidP="00EF295B">
            <w:pPr>
              <w:spacing w:line="276" w:lineRule="auto"/>
              <w:jc w:val="center"/>
            </w:pPr>
            <w:r>
              <w:t>Administrative Data</w:t>
            </w:r>
          </w:p>
        </w:tc>
        <w:tc>
          <w:tcPr>
            <w:tcW w:w="1349" w:type="dxa"/>
          </w:tcPr>
          <w:p w14:paraId="774003E8" w14:textId="2C55BCAD" w:rsidR="00EF295B" w:rsidRDefault="00EF295B" w:rsidP="00EF295B">
            <w:pPr>
              <w:pStyle w:val="ListParagraph"/>
              <w:numPr>
                <w:ilvl w:val="0"/>
                <w:numId w:val="52"/>
              </w:numPr>
              <w:spacing w:after="0" w:line="240" w:lineRule="auto"/>
              <w:ind w:left="151" w:hanging="151"/>
              <w:jc w:val="both"/>
              <w:rPr>
                <w:rFonts w:ascii="Tw Cen MT Condensed" w:hAnsi="Tw Cen MT Condensed"/>
                <w:sz w:val="20"/>
                <w:szCs w:val="20"/>
              </w:rPr>
            </w:pPr>
            <w:r>
              <w:rPr>
                <w:rFonts w:ascii="Tw Cen MT Condensed" w:hAnsi="Tw Cen MT Condensed"/>
                <w:sz w:val="20"/>
                <w:szCs w:val="20"/>
              </w:rPr>
              <w:t>by city characteristics</w:t>
            </w:r>
            <w:r w:rsidR="00A47C3B">
              <w:rPr>
                <w:rFonts w:ascii="Tw Cen MT Condensed" w:hAnsi="Tw Cen MT Condensed"/>
                <w:sz w:val="20"/>
                <w:szCs w:val="20"/>
              </w:rPr>
              <w:t>: Metro/Urban</w:t>
            </w:r>
          </w:p>
          <w:p w14:paraId="6DE2CEE5" w14:textId="77777777" w:rsidR="00EF295B" w:rsidRDefault="00EF295B" w:rsidP="00EF295B">
            <w:pPr>
              <w:pStyle w:val="ListParagraph"/>
              <w:numPr>
                <w:ilvl w:val="0"/>
                <w:numId w:val="52"/>
              </w:numPr>
              <w:spacing w:after="0" w:line="240" w:lineRule="auto"/>
              <w:ind w:left="151" w:hanging="151"/>
              <w:jc w:val="both"/>
              <w:rPr>
                <w:rFonts w:ascii="Tw Cen MT Condensed" w:hAnsi="Tw Cen MT Condensed"/>
                <w:sz w:val="20"/>
                <w:szCs w:val="20"/>
              </w:rPr>
            </w:pPr>
            <w:r>
              <w:rPr>
                <w:rFonts w:ascii="Tw Cen MT Condensed" w:hAnsi="Tw Cen MT Condensed"/>
                <w:sz w:val="20"/>
                <w:szCs w:val="20"/>
              </w:rPr>
              <w:t>By regularity of participation</w:t>
            </w:r>
          </w:p>
          <w:p w14:paraId="31280B86" w14:textId="77777777" w:rsidR="00EF295B" w:rsidRDefault="00EF295B" w:rsidP="00EF295B">
            <w:pPr>
              <w:pStyle w:val="ListParagraph"/>
              <w:numPr>
                <w:ilvl w:val="0"/>
                <w:numId w:val="52"/>
              </w:numPr>
              <w:spacing w:after="160" w:line="256" w:lineRule="auto"/>
              <w:ind w:left="151" w:hanging="151"/>
              <w:jc w:val="both"/>
              <w:rPr>
                <w:rFonts w:ascii="Tw Cen MT Condensed" w:hAnsi="Tw Cen MT Condensed"/>
                <w:szCs w:val="20"/>
              </w:rPr>
            </w:pPr>
            <w:r>
              <w:rPr>
                <w:rFonts w:ascii="Tw Cen MT Condensed" w:hAnsi="Tw Cen MT Condensed"/>
                <w:sz w:val="20"/>
                <w:szCs w:val="20"/>
              </w:rPr>
              <w:t>By nature, and typology of existing structures</w:t>
            </w:r>
          </w:p>
          <w:p w14:paraId="684ECF8C" w14:textId="77777777" w:rsidR="00EF295B" w:rsidRDefault="00EF295B" w:rsidP="00EF295B">
            <w:pPr>
              <w:ind w:left="970" w:hanging="970"/>
              <w:jc w:val="both"/>
              <w:rPr>
                <w:color w:val="0070C0"/>
                <w:sz w:val="30"/>
                <w:szCs w:val="30"/>
              </w:rPr>
            </w:pPr>
          </w:p>
        </w:tc>
        <w:tc>
          <w:tcPr>
            <w:tcW w:w="1145" w:type="dxa"/>
          </w:tcPr>
          <w:p w14:paraId="327D0CB8" w14:textId="77777777" w:rsidR="00EF295B" w:rsidRDefault="00EF295B" w:rsidP="00EF295B">
            <w:pPr>
              <w:ind w:left="970" w:hanging="970"/>
              <w:jc w:val="both"/>
              <w:rPr>
                <w:color w:val="0070C0"/>
                <w:sz w:val="30"/>
                <w:szCs w:val="30"/>
              </w:rPr>
            </w:pPr>
            <w:r w:rsidRPr="00BC6F10">
              <w:t>Bi-annual</w:t>
            </w:r>
          </w:p>
        </w:tc>
        <w:tc>
          <w:tcPr>
            <w:tcW w:w="922" w:type="dxa"/>
          </w:tcPr>
          <w:p w14:paraId="025DC70A" w14:textId="77777777" w:rsidR="00EF295B" w:rsidRDefault="00EF295B" w:rsidP="00EF295B">
            <w:pPr>
              <w:ind w:left="970" w:hanging="970"/>
              <w:jc w:val="both"/>
              <w:rPr>
                <w:color w:val="0070C0"/>
                <w:sz w:val="30"/>
                <w:szCs w:val="30"/>
              </w:rPr>
            </w:pPr>
            <w:r>
              <w:t>Group 2</w:t>
            </w:r>
          </w:p>
        </w:tc>
        <w:tc>
          <w:tcPr>
            <w:tcW w:w="644" w:type="dxa"/>
          </w:tcPr>
          <w:p w14:paraId="6DBAE575" w14:textId="77777777" w:rsidR="00EF295B" w:rsidRDefault="00EF295B" w:rsidP="00EF295B">
            <w:pPr>
              <w:pStyle w:val="NoSpacing"/>
            </w:pPr>
            <w:r>
              <w:t>1</w:t>
            </w:r>
            <w:r w:rsidRPr="00013ACB">
              <w:rPr>
                <w:vertAlign w:val="superscript"/>
              </w:rPr>
              <w:t>st</w:t>
            </w:r>
            <w:r>
              <w:t xml:space="preserve"> Round:</w:t>
            </w:r>
          </w:p>
          <w:p w14:paraId="3601A0C2" w14:textId="77777777" w:rsidR="00EF295B" w:rsidRDefault="00EF295B" w:rsidP="00EF295B">
            <w:pPr>
              <w:pStyle w:val="NoSpacing"/>
            </w:pPr>
            <w:r>
              <w:t>June 2020</w:t>
            </w:r>
          </w:p>
          <w:p w14:paraId="7780F1A3" w14:textId="77777777" w:rsidR="00EF295B" w:rsidRDefault="00EF295B" w:rsidP="00EF295B">
            <w:pPr>
              <w:pStyle w:val="NoSpacing"/>
            </w:pPr>
          </w:p>
          <w:p w14:paraId="28C2FF24" w14:textId="77777777" w:rsidR="00EF295B" w:rsidRDefault="00EF295B" w:rsidP="00EF295B">
            <w:pPr>
              <w:pStyle w:val="NoSpacing"/>
            </w:pPr>
            <w:r>
              <w:t>2</w:t>
            </w:r>
            <w:r w:rsidRPr="00013ACB">
              <w:rPr>
                <w:vertAlign w:val="superscript"/>
              </w:rPr>
              <w:t>nd</w:t>
            </w:r>
            <w:r>
              <w:t xml:space="preserve"> Round: </w:t>
            </w:r>
          </w:p>
          <w:p w14:paraId="5BC2C48B" w14:textId="77777777" w:rsidR="00EF295B" w:rsidRDefault="00EF295B" w:rsidP="00EF295B">
            <w:pPr>
              <w:pStyle w:val="NoSpacing"/>
            </w:pPr>
            <w:r>
              <w:t>June 2022</w:t>
            </w:r>
          </w:p>
          <w:p w14:paraId="59FAF8BD" w14:textId="77777777" w:rsidR="00EF295B" w:rsidRDefault="00EF295B" w:rsidP="00EF295B">
            <w:pPr>
              <w:pStyle w:val="NoSpacing"/>
            </w:pPr>
          </w:p>
          <w:p w14:paraId="0C254840" w14:textId="77777777" w:rsidR="00EF295B" w:rsidRDefault="00EF295B" w:rsidP="00EF295B">
            <w:pPr>
              <w:pStyle w:val="NoSpacing"/>
            </w:pPr>
            <w:r>
              <w:t>3</w:t>
            </w:r>
            <w:r w:rsidRPr="00013ACB">
              <w:rPr>
                <w:vertAlign w:val="superscript"/>
              </w:rPr>
              <w:t>rd</w:t>
            </w:r>
            <w:r>
              <w:t xml:space="preserve"> Round: </w:t>
            </w:r>
          </w:p>
          <w:p w14:paraId="0D516DB5" w14:textId="77777777" w:rsidR="00EF295B" w:rsidRDefault="00EF295B" w:rsidP="00EF295B">
            <w:pPr>
              <w:pStyle w:val="NoSpacing"/>
            </w:pPr>
            <w:r>
              <w:t>June 2024</w:t>
            </w:r>
          </w:p>
          <w:p w14:paraId="07EA83E9" w14:textId="77777777" w:rsidR="00EF295B" w:rsidRDefault="00EF295B" w:rsidP="00EF295B">
            <w:pPr>
              <w:pStyle w:val="NoSpacing"/>
            </w:pPr>
          </w:p>
          <w:p w14:paraId="4AD33C3D" w14:textId="77777777" w:rsidR="00EF295B" w:rsidRDefault="00EF295B" w:rsidP="00EF295B">
            <w:pPr>
              <w:pStyle w:val="NoSpacing"/>
            </w:pPr>
            <w:r>
              <w:t>4</w:t>
            </w:r>
            <w:r w:rsidRPr="00013ACB">
              <w:rPr>
                <w:vertAlign w:val="superscript"/>
              </w:rPr>
              <w:t>th</w:t>
            </w:r>
            <w:r>
              <w:t xml:space="preserve"> Round: </w:t>
            </w:r>
          </w:p>
          <w:p w14:paraId="24BACBA6" w14:textId="77777777" w:rsidR="00EF295B" w:rsidRDefault="00EF295B" w:rsidP="00EF295B">
            <w:pPr>
              <w:pStyle w:val="NoSpacing"/>
            </w:pPr>
            <w:r>
              <w:t>June 2026</w:t>
            </w:r>
          </w:p>
          <w:p w14:paraId="2D2370D4" w14:textId="77777777" w:rsidR="00EF295B" w:rsidRDefault="00EF295B" w:rsidP="00EF295B">
            <w:pPr>
              <w:pStyle w:val="NoSpacing"/>
            </w:pPr>
          </w:p>
          <w:p w14:paraId="43AC4078" w14:textId="77777777" w:rsidR="00EF295B" w:rsidRDefault="00EF295B" w:rsidP="00EF295B">
            <w:pPr>
              <w:pStyle w:val="NoSpacing"/>
            </w:pPr>
            <w:r>
              <w:t>5</w:t>
            </w:r>
            <w:r w:rsidRPr="00013ACB">
              <w:rPr>
                <w:vertAlign w:val="superscript"/>
              </w:rPr>
              <w:t>th</w:t>
            </w:r>
            <w:r>
              <w:t xml:space="preserve"> Round: </w:t>
            </w:r>
          </w:p>
          <w:p w14:paraId="42321210" w14:textId="77777777" w:rsidR="00EF295B" w:rsidRDefault="00EF295B" w:rsidP="00EF295B">
            <w:pPr>
              <w:pStyle w:val="NoSpacing"/>
            </w:pPr>
            <w:r>
              <w:t>June 2028</w:t>
            </w:r>
          </w:p>
          <w:p w14:paraId="62A97617" w14:textId="77777777" w:rsidR="00EF295B" w:rsidRDefault="00EF295B" w:rsidP="00EF295B">
            <w:pPr>
              <w:ind w:left="970" w:hanging="970"/>
              <w:jc w:val="both"/>
              <w:rPr>
                <w:color w:val="0070C0"/>
                <w:sz w:val="30"/>
                <w:szCs w:val="30"/>
              </w:rPr>
            </w:pPr>
          </w:p>
        </w:tc>
        <w:tc>
          <w:tcPr>
            <w:tcW w:w="828" w:type="dxa"/>
          </w:tcPr>
          <w:p w14:paraId="1A2437B0" w14:textId="77777777" w:rsidR="00EF295B" w:rsidRDefault="00EF295B" w:rsidP="00EF295B">
            <w:pPr>
              <w:pStyle w:val="NoSpacing"/>
            </w:pPr>
            <w:r>
              <w:t>Reviewed at 8th IAEG-SDG meeting (classified as Tier II)</w:t>
            </w:r>
          </w:p>
          <w:p w14:paraId="7A79118F" w14:textId="77777777" w:rsidR="00EF295B" w:rsidRDefault="00EF295B" w:rsidP="00EF295B">
            <w:pPr>
              <w:pStyle w:val="NoSpacing"/>
            </w:pPr>
          </w:p>
          <w:p w14:paraId="11A384C0" w14:textId="77777777" w:rsidR="00EF295B" w:rsidRDefault="00EF295B" w:rsidP="00EF295B">
            <w:pPr>
              <w:pStyle w:val="NoSpacing"/>
            </w:pPr>
            <w:r>
              <w:t>Reviewed at Webex meeting in Nov. 2017 following 6th IAEG-SDG meeting: Request additional work on definition of cities and methodology as well as additional pilot studies</w:t>
            </w:r>
          </w:p>
          <w:p w14:paraId="49287F82" w14:textId="77777777" w:rsidR="00EF295B" w:rsidRDefault="00EF295B" w:rsidP="00EF295B">
            <w:pPr>
              <w:pStyle w:val="NoSpacing"/>
            </w:pPr>
          </w:p>
          <w:p w14:paraId="31B07C30" w14:textId="21E47073" w:rsidR="00EF295B" w:rsidRDefault="00EF295B" w:rsidP="00EF295B">
            <w:pPr>
              <w:pStyle w:val="NoSpacing"/>
            </w:pPr>
            <w:r>
              <w:t xml:space="preserve">Fast Track; Reviewed at 5th IAEG-SDG meeting: Request </w:t>
            </w:r>
            <w:r>
              <w:lastRenderedPageBreak/>
              <w:t xml:space="preserve">finalized metadata and results of pilot studies (classified as </w:t>
            </w:r>
            <w:r w:rsidR="006B621F">
              <w:t>TBD</w:t>
            </w:r>
            <w:r>
              <w:t>)</w:t>
            </w:r>
          </w:p>
        </w:tc>
      </w:tr>
      <w:tr w:rsidR="0025292C" w14:paraId="40E370DF" w14:textId="77777777" w:rsidTr="00D52BCB">
        <w:tc>
          <w:tcPr>
            <w:tcW w:w="18710" w:type="dxa"/>
            <w:gridSpan w:val="13"/>
          </w:tcPr>
          <w:p w14:paraId="23D51716" w14:textId="77777777" w:rsidR="0025292C" w:rsidRDefault="0025292C" w:rsidP="00EF295B">
            <w:pPr>
              <w:jc w:val="both"/>
              <w:rPr>
                <w:color w:val="0070C0"/>
                <w:sz w:val="48"/>
                <w:szCs w:val="48"/>
              </w:rPr>
            </w:pPr>
            <w:r>
              <w:rPr>
                <w:color w:val="0070C0"/>
                <w:sz w:val="30"/>
                <w:szCs w:val="30"/>
              </w:rPr>
              <w:lastRenderedPageBreak/>
              <w:t xml:space="preserve">Target </w:t>
            </w:r>
            <w:r w:rsidRPr="00C97C3C">
              <w:rPr>
                <w:color w:val="0070C0"/>
                <w:sz w:val="30"/>
                <w:szCs w:val="30"/>
              </w:rPr>
              <w:t>11.4 Strengthen efforts to protect and safeguard the world’s cultural and natural heritage</w:t>
            </w:r>
          </w:p>
        </w:tc>
      </w:tr>
      <w:tr w:rsidR="00EF295B" w14:paraId="5C81DA34" w14:textId="77777777" w:rsidTr="0025292C">
        <w:tc>
          <w:tcPr>
            <w:tcW w:w="1218" w:type="dxa"/>
            <w:shd w:val="clear" w:color="auto" w:fill="auto"/>
          </w:tcPr>
          <w:p w14:paraId="706DF898" w14:textId="77777777" w:rsidR="00EF295B" w:rsidRDefault="00EF295B" w:rsidP="00EF295B">
            <w:pPr>
              <w:pStyle w:val="NoSpacing"/>
            </w:pPr>
            <w:r w:rsidRPr="00627F96">
              <w:t xml:space="preserve">11.4.1 Total expenditure (public and private) per capita spent on the preservation, protection and conservation of all cultural and natural heritage, by type of heritage (cultural, natural, mixed and World Heritage Centre designation), level of government (national, regional and local/municipal), type of expenditure </w:t>
            </w:r>
            <w:r w:rsidRPr="00627F96">
              <w:lastRenderedPageBreak/>
              <w:t>(operating expenditure/investment) and type of private funding (donations in kind, private non-profit sector and sponsorship)</w:t>
            </w:r>
          </w:p>
        </w:tc>
        <w:tc>
          <w:tcPr>
            <w:tcW w:w="661" w:type="dxa"/>
          </w:tcPr>
          <w:p w14:paraId="45E6DA67" w14:textId="77777777" w:rsidR="00EF295B" w:rsidRDefault="00EF295B" w:rsidP="00EF295B">
            <w:pPr>
              <w:pStyle w:val="NoSpacing"/>
            </w:pPr>
            <w:r w:rsidRPr="00221F5D">
              <w:lastRenderedPageBreak/>
              <w:t>UNESCO-UIS</w:t>
            </w:r>
          </w:p>
          <w:p w14:paraId="44556C92" w14:textId="77777777" w:rsidR="00EF295B" w:rsidRDefault="00EF295B" w:rsidP="00EF295B">
            <w:pPr>
              <w:rPr>
                <w:b/>
                <w:bCs/>
                <w:szCs w:val="20"/>
              </w:rPr>
            </w:pPr>
            <w:r w:rsidRPr="007243FC">
              <w:rPr>
                <w:b/>
                <w:bCs/>
                <w:szCs w:val="20"/>
              </w:rPr>
              <w:t>Partner Agencies:</w:t>
            </w:r>
          </w:p>
          <w:p w14:paraId="1C32FE00" w14:textId="77777777" w:rsidR="00EF295B" w:rsidRDefault="00EF295B" w:rsidP="00EF295B">
            <w:pPr>
              <w:pStyle w:val="NoSpacing"/>
            </w:pPr>
            <w:r w:rsidRPr="00221F5D">
              <w:t>IUCN</w:t>
            </w:r>
          </w:p>
        </w:tc>
        <w:tc>
          <w:tcPr>
            <w:tcW w:w="935" w:type="dxa"/>
          </w:tcPr>
          <w:p w14:paraId="6B46FB1F" w14:textId="77777777" w:rsidR="00EF295B" w:rsidRDefault="00EF295B" w:rsidP="00EF295B">
            <w:pPr>
              <w:ind w:left="970" w:hanging="970"/>
              <w:jc w:val="both"/>
              <w:rPr>
                <w:color w:val="0070C0"/>
                <w:sz w:val="30"/>
                <w:szCs w:val="30"/>
              </w:rPr>
            </w:pPr>
            <w:r w:rsidRPr="00666BAB">
              <w:t>Tier II</w:t>
            </w:r>
          </w:p>
        </w:tc>
        <w:tc>
          <w:tcPr>
            <w:tcW w:w="6853" w:type="dxa"/>
          </w:tcPr>
          <w:p w14:paraId="1D1CCC26" w14:textId="77777777" w:rsidR="00EF295B" w:rsidRPr="00456578" w:rsidRDefault="00EF295B" w:rsidP="00EF295B">
            <w:pPr>
              <w:pStyle w:val="NoSpacing"/>
              <w:rPr>
                <w:lang w:val="en-GB"/>
              </w:rPr>
            </w:pPr>
            <w:r w:rsidRPr="00456578">
              <w:rPr>
                <w:b/>
                <w:bCs/>
                <w:lang w:val="en-GB"/>
              </w:rPr>
              <w:t>Definition</w:t>
            </w:r>
            <w:proofErr w:type="gramStart"/>
            <w:r w:rsidRPr="00456578">
              <w:rPr>
                <w:lang w:val="en-GB"/>
              </w:rPr>
              <w:t>:</w:t>
            </w:r>
            <w:proofErr w:type="gramEnd"/>
            <w:r w:rsidRPr="00456578">
              <w:rPr>
                <w:lang w:val="en-GB"/>
              </w:rPr>
              <w:br/>
              <w:t xml:space="preserve">Total funding from government (central, regional, local), private sources (household, corporate &amp; sponsorship and international sources) in the preservation, protection and conservation of cultural and/or natural heritage for a given year per capita. The results should be express in Purchasing Power Parities (PPP) in constant $. </w:t>
            </w:r>
          </w:p>
          <w:p w14:paraId="74D09941" w14:textId="77777777" w:rsidR="00EF295B" w:rsidRPr="00456578" w:rsidRDefault="00EF295B" w:rsidP="00EF295B">
            <w:pPr>
              <w:pStyle w:val="NoSpacing"/>
              <w:rPr>
                <w:lang w:val="en-GB"/>
              </w:rPr>
            </w:pPr>
            <w:r w:rsidRPr="00456578">
              <w:rPr>
                <w:b/>
                <w:bCs/>
                <w:lang w:val="en-GB"/>
              </w:rPr>
              <w:t xml:space="preserve">Rationale (purpose): </w:t>
            </w:r>
            <w:r w:rsidRPr="00456578">
              <w:rPr>
                <w:b/>
                <w:bCs/>
                <w:lang w:val="en-GB"/>
              </w:rPr>
              <w:br/>
            </w:r>
            <w:r w:rsidRPr="00456578">
              <w:rPr>
                <w:lang w:val="en-GB"/>
              </w:rPr>
              <w:t>This indicator measures the per capita expenditure (public and private) in the preservation, protection and conservation of cultural and/or natural heritage over time. To monitor change over time of national efforts for the protection and safeguard of cultural and/or natural heritage.</w:t>
            </w:r>
          </w:p>
          <w:p w14:paraId="01944F73" w14:textId="77777777" w:rsidR="00EF295B" w:rsidRPr="00456578" w:rsidRDefault="00EF295B" w:rsidP="00EF295B">
            <w:pPr>
              <w:pStyle w:val="NoSpacing"/>
              <w:rPr>
                <w:lang w:val="en-GB"/>
              </w:rPr>
            </w:pPr>
            <w:r w:rsidRPr="00456578">
              <w:rPr>
                <w:lang w:val="en-GB"/>
              </w:rPr>
              <w:t>This indicator illustrates how financial efforts/actions made by public authorities, both at the local, national and international levels, alone or in partnership with civil society organizations (CSO) and the private sector, to protect and safeguard the world’s cultural and natural heritage has a direct impact in making cities and human settlements more sustainable. This means that cultural resources and assets are safeguarded to keep attracting/to attract people (inhabitants, workers, tourists, etc.) and financial investments, to ultimately enhance the total amount of expenditure. This indicator is a proxy to measure the target. </w:t>
            </w:r>
          </w:p>
          <w:p w14:paraId="31B89391" w14:textId="77777777" w:rsidR="00EF295B" w:rsidRPr="00456578" w:rsidRDefault="00EF295B" w:rsidP="00EF295B">
            <w:pPr>
              <w:pStyle w:val="NoSpacing"/>
              <w:rPr>
                <w:lang w:val="en-GB"/>
              </w:rPr>
            </w:pPr>
          </w:p>
          <w:p w14:paraId="110202A3" w14:textId="77777777" w:rsidR="00EF295B" w:rsidRPr="00456578" w:rsidRDefault="00EF295B" w:rsidP="00EF295B">
            <w:pPr>
              <w:pStyle w:val="NoSpacing"/>
              <w:rPr>
                <w:lang w:val="en-GB"/>
              </w:rPr>
            </w:pPr>
            <w:r w:rsidRPr="00456578">
              <w:rPr>
                <w:lang w:val="en-GB"/>
              </w:rPr>
              <w:t>This indicator would allow insight into whether or not countries are strengthening their efforts into safeguarding their cultural and natural heritage. It will help to identify areas that require more attention for policy purposes.</w:t>
            </w:r>
          </w:p>
          <w:p w14:paraId="152BE7D8" w14:textId="77777777" w:rsidR="00EF295B" w:rsidRPr="00456578" w:rsidRDefault="00EF295B" w:rsidP="00EF295B">
            <w:pPr>
              <w:pStyle w:val="NoSpacing"/>
              <w:rPr>
                <w:b/>
                <w:lang w:val="en-GB"/>
              </w:rPr>
            </w:pPr>
          </w:p>
          <w:p w14:paraId="506A0346" w14:textId="77777777" w:rsidR="00EF295B" w:rsidRPr="00456578" w:rsidRDefault="00EF295B" w:rsidP="00EF295B">
            <w:pPr>
              <w:pStyle w:val="NoSpacing"/>
              <w:rPr>
                <w:lang w:val="en-GB"/>
              </w:rPr>
            </w:pPr>
            <w:r w:rsidRPr="00456578">
              <w:rPr>
                <w:lang w:val="en-GB"/>
              </w:rPr>
              <w:t>Expressing the indicator in PPP$ allows for comparison between countries and using constant values when looking at time-series is necessary to evaluate how real (eliminating the effects of inflation) resources are evolving over time.</w:t>
            </w:r>
          </w:p>
          <w:p w14:paraId="0E0C86A9" w14:textId="77777777" w:rsidR="00EF295B" w:rsidRPr="00456578" w:rsidRDefault="00EF295B" w:rsidP="00EF295B">
            <w:pPr>
              <w:pStyle w:val="NoSpacing"/>
              <w:rPr>
                <w:b/>
                <w:bCs/>
                <w:lang w:val="en-GB"/>
              </w:rPr>
            </w:pPr>
            <w:r w:rsidRPr="00456578">
              <w:rPr>
                <w:b/>
                <w:bCs/>
                <w:lang w:val="en-GB"/>
              </w:rPr>
              <w:t>Concepts</w:t>
            </w:r>
          </w:p>
          <w:p w14:paraId="1196C4AF" w14:textId="77777777" w:rsidR="00EF295B" w:rsidRPr="00456578" w:rsidRDefault="00EF295B" w:rsidP="00EF295B">
            <w:pPr>
              <w:pStyle w:val="NoSpacing"/>
              <w:rPr>
                <w:lang w:val="en-GB"/>
              </w:rPr>
            </w:pPr>
            <w:r w:rsidRPr="00456578">
              <w:rPr>
                <w:b/>
                <w:bCs/>
                <w:lang w:val="en-GB"/>
              </w:rPr>
              <w:t>Cultural heritage:</w:t>
            </w:r>
            <w:r w:rsidRPr="00456578">
              <w:rPr>
                <w:lang w:val="en-GB"/>
              </w:rPr>
              <w:t xml:space="preserve"> includes artefacts, monuments, a group of buildings and sites, museums that have a diversity of </w:t>
            </w:r>
            <w:r w:rsidRPr="00456578">
              <w:rPr>
                <w:lang w:val="en-GB"/>
              </w:rPr>
              <w:lastRenderedPageBreak/>
              <w:t>values including symbolic, historic, artistic, aesthetic, ethnological or anthropological, scientific and social significance. It includes tangible heritage (movable, immobile and underwater), intangible heritage (ICH) embedded into cultural, and natural heritage artefacts, sites or monuments. The definition excludes ICH related to other cultural domains such as festivals, celebration etc. It covers industrial heritage and cave paintings.</w:t>
            </w:r>
          </w:p>
          <w:p w14:paraId="60042565" w14:textId="77777777" w:rsidR="00EF295B" w:rsidRPr="00456578" w:rsidRDefault="00EF295B" w:rsidP="00EF295B">
            <w:pPr>
              <w:pStyle w:val="NoSpacing"/>
              <w:rPr>
                <w:lang w:val="en-GB"/>
              </w:rPr>
            </w:pPr>
            <w:r w:rsidRPr="00456578">
              <w:rPr>
                <w:b/>
                <w:bCs/>
                <w:lang w:val="en-GB"/>
              </w:rPr>
              <w:t>Natural heritage</w:t>
            </w:r>
            <w:r w:rsidRPr="00456578">
              <w:rPr>
                <w:lang w:val="en-GB"/>
              </w:rPr>
              <w:t>: refers to natural features, geological and physiographical formations and delineated areas that constitute the habitat of threatened species of animals and plants and natural sites of value from the point of view of science, conservation or natural beauty. It includes private and publically protected natural areas, zoos, aquaria and botanical gardens, natural habitat, marine ecosystems, sanctuaries, reservoirs etc.</w:t>
            </w:r>
          </w:p>
          <w:p w14:paraId="1A1B79E5" w14:textId="77777777" w:rsidR="00EF295B" w:rsidRPr="00456578" w:rsidRDefault="00EF295B" w:rsidP="00EF295B">
            <w:pPr>
              <w:pStyle w:val="NoSpacing"/>
              <w:rPr>
                <w:bCs/>
                <w:lang w:val="en-GB"/>
              </w:rPr>
            </w:pPr>
            <w:r w:rsidRPr="00456578">
              <w:rPr>
                <w:b/>
                <w:bCs/>
                <w:lang w:val="en-GB"/>
              </w:rPr>
              <w:t xml:space="preserve">World Heritage Centre designation </w:t>
            </w:r>
            <w:r w:rsidRPr="00456578">
              <w:rPr>
                <w:bCs/>
                <w:lang w:val="en-GB"/>
              </w:rPr>
              <w:t xml:space="preserve">refers to properties on the UNESCO World Heritage List. It encompasses the sites or properties inscribed in the list of UNESCO world heritage sites recognizing the universal values of these sites.  </w:t>
            </w:r>
            <w:hyperlink r:id="rId94" w:history="1">
              <w:r w:rsidRPr="00456578">
                <w:rPr>
                  <w:rStyle w:val="Hyperlink"/>
                  <w:bCs/>
                  <w:lang w:val="en-GB"/>
                </w:rPr>
                <w:t>http://whc.unesco.org/en/list/</w:t>
              </w:r>
            </w:hyperlink>
            <w:r w:rsidRPr="00456578">
              <w:rPr>
                <w:bCs/>
                <w:lang w:val="en-GB"/>
              </w:rPr>
              <w:t xml:space="preserve"> </w:t>
            </w:r>
          </w:p>
          <w:p w14:paraId="2B2016BE" w14:textId="77777777" w:rsidR="00EF295B" w:rsidRPr="00456578" w:rsidRDefault="00EF295B" w:rsidP="00EF295B">
            <w:pPr>
              <w:pStyle w:val="NoSpacing"/>
              <w:rPr>
                <w:b/>
                <w:bCs/>
                <w:lang w:val="en-GB"/>
              </w:rPr>
            </w:pPr>
            <w:r w:rsidRPr="00456578">
              <w:rPr>
                <w:b/>
                <w:bCs/>
                <w:lang w:val="en-GB"/>
              </w:rPr>
              <w:t xml:space="preserve">Mixed heritage:  </w:t>
            </w:r>
            <w:r w:rsidRPr="00456578">
              <w:rPr>
                <w:bCs/>
                <w:lang w:val="en-GB"/>
              </w:rPr>
              <w:t>sites contain elements of both natural and cultural significance.</w:t>
            </w:r>
          </w:p>
          <w:p w14:paraId="0915349E" w14:textId="77777777" w:rsidR="00EF295B" w:rsidRPr="00456578" w:rsidRDefault="00EF295B" w:rsidP="00EF295B">
            <w:pPr>
              <w:pStyle w:val="NoSpacing"/>
              <w:rPr>
                <w:lang w:val="en-GB"/>
              </w:rPr>
            </w:pPr>
            <w:r w:rsidRPr="00456578">
              <w:rPr>
                <w:b/>
                <w:bCs/>
                <w:lang w:val="en-GB"/>
              </w:rPr>
              <w:t>Conservation</w:t>
            </w:r>
            <w:r w:rsidRPr="00456578">
              <w:rPr>
                <w:lang w:val="en-GB"/>
              </w:rPr>
              <w:t xml:space="preserve"> </w:t>
            </w:r>
            <w:r w:rsidRPr="00456578">
              <w:rPr>
                <w:b/>
                <w:lang w:val="en-GB"/>
              </w:rPr>
              <w:t>of cultural heritage</w:t>
            </w:r>
            <w:r w:rsidRPr="00456578">
              <w:rPr>
                <w:lang w:val="en-GB"/>
              </w:rPr>
              <w:t xml:space="preserve"> refers to the measures taken to extend the life of cultural heritage while strengthening transmission of its significant heritage messages and values. In the domain of cultural property, the aim of conservation is to maintain the physical and cultural characteristics of the object to ensure that its value is not diminished and that it will outlive our limited time span.</w:t>
            </w:r>
          </w:p>
          <w:p w14:paraId="0D9050B7" w14:textId="77777777" w:rsidR="00EF295B" w:rsidRPr="00456578" w:rsidRDefault="00EF295B" w:rsidP="00EF295B">
            <w:pPr>
              <w:pStyle w:val="NoSpacing"/>
              <w:rPr>
                <w:lang w:val="en-GB"/>
              </w:rPr>
            </w:pPr>
            <w:r w:rsidRPr="00456578">
              <w:rPr>
                <w:b/>
                <w:lang w:val="en-GB"/>
              </w:rPr>
              <w:t>Conservation of natural heritage</w:t>
            </w:r>
            <w:r w:rsidRPr="00456578">
              <w:rPr>
                <w:lang w:val="en-GB"/>
              </w:rPr>
              <w:t xml:space="preserve"> refers to the protection, care, management and maintenance of ecosystems, habitats, wildlife species and populations, within or outside of their natural environments, in order to safeguard the natural conditions for their long-term permanence.</w:t>
            </w:r>
          </w:p>
          <w:p w14:paraId="7475429C" w14:textId="77777777" w:rsidR="00EF295B" w:rsidRPr="00456578" w:rsidRDefault="00EF295B" w:rsidP="00EF295B">
            <w:pPr>
              <w:pStyle w:val="NoSpacing"/>
              <w:rPr>
                <w:lang w:val="en-GB"/>
              </w:rPr>
            </w:pPr>
            <w:r w:rsidRPr="00456578">
              <w:rPr>
                <w:bCs/>
                <w:lang w:val="en-GB"/>
              </w:rPr>
              <w:t>The aim of</w:t>
            </w:r>
            <w:r w:rsidRPr="00456578">
              <w:rPr>
                <w:b/>
                <w:bCs/>
                <w:lang w:val="en-GB"/>
              </w:rPr>
              <w:t xml:space="preserve"> Preservation </w:t>
            </w:r>
            <w:r w:rsidRPr="00456578">
              <w:rPr>
                <w:bCs/>
                <w:lang w:val="en-GB"/>
              </w:rPr>
              <w:t>is to obviate damage liable to be caused by environmental or accidental factors, which pose a threat in the immediate surroundings of the object to be conserved. Accordingly, preventive methods and measures are not usually applied directly but are designed to control the microclimatic conditions of the environment with the aim of eradicating harmful agents or elements, which may have a temporary or permanent influence on the deterioration of the object</w:t>
            </w:r>
            <w:r w:rsidRPr="00456578">
              <w:rPr>
                <w:lang w:val="en-GB"/>
              </w:rPr>
              <w:t>.</w:t>
            </w:r>
          </w:p>
          <w:p w14:paraId="51895B79" w14:textId="77777777" w:rsidR="00EF295B" w:rsidRPr="00456578" w:rsidRDefault="00EF295B" w:rsidP="00EF295B">
            <w:pPr>
              <w:pStyle w:val="NoSpacing"/>
              <w:rPr>
                <w:lang w:val="en-GB"/>
              </w:rPr>
            </w:pPr>
            <w:r w:rsidRPr="00456578">
              <w:rPr>
                <w:b/>
                <w:bCs/>
                <w:lang w:val="en-GB"/>
              </w:rPr>
              <w:t>Protection</w:t>
            </w:r>
            <w:r w:rsidRPr="00456578">
              <w:rPr>
                <w:lang w:val="en-GB"/>
              </w:rPr>
              <w:t>: is the act or process of applying measures designed to affect the physical condition of a property by defending or guarding it from deterioration, loss or attack, or to cover or shield the property from danger or injury. In the case of buildings and structures, such treatment is generally of a temporary nature and anticipates future historic preservation treatment; in the case of archaeological sites, the protective measure may be temporary or permanent.</w:t>
            </w:r>
          </w:p>
          <w:p w14:paraId="1D871417" w14:textId="77777777" w:rsidR="00EF295B" w:rsidRPr="00456578" w:rsidRDefault="00EF295B" w:rsidP="00EF295B">
            <w:pPr>
              <w:pStyle w:val="NoSpacing"/>
              <w:rPr>
                <w:lang w:val="en-GB"/>
              </w:rPr>
            </w:pPr>
            <w:r w:rsidRPr="00456578">
              <w:rPr>
                <w:b/>
                <w:bCs/>
                <w:lang w:val="en-GB"/>
              </w:rPr>
              <w:t>Public expenditure</w:t>
            </w:r>
            <w:r w:rsidRPr="00456578">
              <w:rPr>
                <w:lang w:val="en-GB"/>
              </w:rPr>
              <w:t xml:space="preserve"> refers to spending on heritage incurred by public funds.  Public funds are state, regional and local government bodies (Adapted from OECD glossary). Expenditure that is not directly related to cultural and natural heritage is, in principle, not included. Public expenditure in the preservation, protection and conservation of national cultural and/or natural heritage covers direct expenditure (including subsides), transfers and indirect public expenditures including tax incentives.</w:t>
            </w:r>
          </w:p>
          <w:p w14:paraId="621A75BE" w14:textId="77777777" w:rsidR="00EF295B" w:rsidRPr="00456578" w:rsidRDefault="00EF295B" w:rsidP="00EF295B">
            <w:pPr>
              <w:pStyle w:val="NoSpacing"/>
              <w:rPr>
                <w:bCs/>
                <w:lang w:val="en-GB"/>
              </w:rPr>
            </w:pPr>
            <w:r w:rsidRPr="00456578">
              <w:rPr>
                <w:b/>
                <w:bCs/>
                <w:lang w:val="en-GB"/>
              </w:rPr>
              <w:t>Direct public expenditure</w:t>
            </w:r>
            <w:r w:rsidRPr="00456578">
              <w:rPr>
                <w:bCs/>
                <w:lang w:val="en-GB"/>
              </w:rPr>
              <w:t xml:space="preserve"> includes subsidies, grants and awards. Direct expenditure comprises generally spent on personnel, goods and services, capital investment and other heritage activities. Direct public expenditure can be in the form of operating expenditure and capital expenditure. See section below for definition.</w:t>
            </w:r>
          </w:p>
          <w:p w14:paraId="2C23ED7D" w14:textId="77777777" w:rsidR="00EF295B" w:rsidRPr="00456578" w:rsidRDefault="00EF295B" w:rsidP="00EF295B">
            <w:pPr>
              <w:pStyle w:val="NoSpacing"/>
              <w:rPr>
                <w:bCs/>
                <w:lang w:val="en-GB"/>
              </w:rPr>
            </w:pPr>
          </w:p>
          <w:p w14:paraId="795AAAB9" w14:textId="77777777" w:rsidR="00EF295B" w:rsidRPr="00456578" w:rsidRDefault="00EF295B" w:rsidP="00EF295B">
            <w:pPr>
              <w:pStyle w:val="NoSpacing"/>
              <w:rPr>
                <w:bCs/>
                <w:lang w:val="en-GB"/>
              </w:rPr>
            </w:pPr>
            <w:r w:rsidRPr="00456578">
              <w:rPr>
                <w:b/>
                <w:bCs/>
                <w:lang w:val="en-GB"/>
              </w:rPr>
              <w:t xml:space="preserve">A Transfer </w:t>
            </w:r>
            <w:r w:rsidRPr="00456578">
              <w:rPr>
                <w:bCs/>
                <w:lang w:val="en-GB"/>
              </w:rPr>
              <w:t xml:space="preserve">is a transaction in which one institutional unit provides a good, service, or asset to another unit without </w:t>
            </w:r>
            <w:r w:rsidRPr="00456578">
              <w:rPr>
                <w:bCs/>
                <w:lang w:val="en-GB"/>
              </w:rPr>
              <w:lastRenderedPageBreak/>
              <w:t xml:space="preserve">receiving from the latter any good, service, or asset in return as a direct counterpart (IMF, 2014). </w:t>
            </w:r>
          </w:p>
          <w:p w14:paraId="26548501" w14:textId="77777777" w:rsidR="00EF295B" w:rsidRPr="00456578" w:rsidRDefault="00EF295B" w:rsidP="00EF295B">
            <w:pPr>
              <w:pStyle w:val="NoSpacing"/>
              <w:rPr>
                <w:bCs/>
                <w:lang w:val="en-GB"/>
              </w:rPr>
            </w:pPr>
          </w:p>
          <w:p w14:paraId="137F2C57" w14:textId="77777777" w:rsidR="00EF295B" w:rsidRPr="00456578" w:rsidRDefault="00EF295B" w:rsidP="00EF295B">
            <w:pPr>
              <w:pStyle w:val="NoSpacing"/>
              <w:rPr>
                <w:bCs/>
                <w:lang w:val="en-GB"/>
              </w:rPr>
            </w:pPr>
            <w:r w:rsidRPr="00456578">
              <w:rPr>
                <w:b/>
                <w:bCs/>
                <w:lang w:val="en-GB"/>
              </w:rPr>
              <w:t xml:space="preserve">Net Intergovernmental transfers </w:t>
            </w:r>
            <w:r w:rsidRPr="00456578">
              <w:rPr>
                <w:bCs/>
                <w:lang w:val="en-GB"/>
              </w:rPr>
              <w:t>are net transfers of funds designated for heritage activities from one level of government to another.</w:t>
            </w:r>
          </w:p>
          <w:p w14:paraId="10D4C932" w14:textId="77777777" w:rsidR="00EF295B" w:rsidRPr="00456578" w:rsidRDefault="00EF295B" w:rsidP="00EF295B">
            <w:pPr>
              <w:pStyle w:val="NoSpacing"/>
              <w:rPr>
                <w:b/>
                <w:bCs/>
                <w:lang w:val="en-GB"/>
              </w:rPr>
            </w:pPr>
          </w:p>
          <w:p w14:paraId="4E37307F" w14:textId="77777777" w:rsidR="00EF295B" w:rsidRPr="00456578" w:rsidRDefault="00EF295B" w:rsidP="00EF295B">
            <w:pPr>
              <w:pStyle w:val="NoSpacing"/>
              <w:rPr>
                <w:b/>
                <w:bCs/>
                <w:lang w:val="en-GB"/>
              </w:rPr>
            </w:pPr>
            <w:r w:rsidRPr="00456578">
              <w:rPr>
                <w:b/>
                <w:bCs/>
                <w:lang w:val="en-GB"/>
              </w:rPr>
              <w:t>Indirect public expenditures</w:t>
            </w:r>
            <w:r w:rsidRPr="00456578">
              <w:rPr>
                <w:bCs/>
                <w:lang w:val="en-GB"/>
              </w:rPr>
              <w:t xml:space="preserve"> include tax incentives– reduction of taxable income that arises due to several of heritage expenses incurred by a taxpayer</w:t>
            </w:r>
            <w:r w:rsidRPr="00456578">
              <w:rPr>
                <w:b/>
                <w:bCs/>
                <w:lang w:val="en-GB"/>
              </w:rPr>
              <w:t>.</w:t>
            </w:r>
          </w:p>
          <w:p w14:paraId="364C4DDB" w14:textId="77777777" w:rsidR="00EF295B" w:rsidRPr="00456578" w:rsidRDefault="00EF295B" w:rsidP="00EF295B">
            <w:pPr>
              <w:pStyle w:val="NoSpacing"/>
              <w:rPr>
                <w:b/>
                <w:bCs/>
                <w:lang w:val="en-GB"/>
              </w:rPr>
            </w:pPr>
          </w:p>
          <w:p w14:paraId="28539C9B" w14:textId="77777777" w:rsidR="00EF295B" w:rsidRPr="00456578" w:rsidRDefault="00EF295B" w:rsidP="00EF295B">
            <w:pPr>
              <w:pStyle w:val="NoSpacing"/>
              <w:rPr>
                <w:bCs/>
                <w:lang w:val="en-GB"/>
              </w:rPr>
            </w:pPr>
            <w:r w:rsidRPr="00456578">
              <w:rPr>
                <w:b/>
                <w:bCs/>
                <w:lang w:val="en-GB"/>
              </w:rPr>
              <w:t xml:space="preserve">National/Federal level </w:t>
            </w:r>
            <w:r w:rsidRPr="00456578">
              <w:rPr>
                <w:bCs/>
                <w:lang w:val="en-GB"/>
              </w:rPr>
              <w:t>consists of the institutional units of central government and non-market institutions controlled by central government. Central government expends their authority over the entire territory of country. It is responsible for providing heritage services for the benefit of the community as a whole, but also it may make transfers to other institutional units, as well levels of government.</w:t>
            </w:r>
          </w:p>
          <w:p w14:paraId="2AABBC2E" w14:textId="77777777" w:rsidR="00EF295B" w:rsidRPr="00456578" w:rsidRDefault="00EF295B" w:rsidP="00EF295B">
            <w:pPr>
              <w:pStyle w:val="NoSpacing"/>
              <w:rPr>
                <w:b/>
                <w:bCs/>
                <w:lang w:val="en-GB"/>
              </w:rPr>
            </w:pPr>
          </w:p>
          <w:p w14:paraId="195EEA55" w14:textId="77777777" w:rsidR="00EF295B" w:rsidRPr="00456578" w:rsidRDefault="00EF295B" w:rsidP="00EF295B">
            <w:pPr>
              <w:pStyle w:val="NoSpacing"/>
              <w:rPr>
                <w:bCs/>
                <w:lang w:val="en-GB"/>
              </w:rPr>
            </w:pPr>
            <w:r w:rsidRPr="00456578">
              <w:rPr>
                <w:b/>
                <w:bCs/>
                <w:lang w:val="en-GB"/>
              </w:rPr>
              <w:t xml:space="preserve">Regional/State/Provincial level </w:t>
            </w:r>
            <w:r w:rsidRPr="00456578">
              <w:rPr>
                <w:bCs/>
                <w:lang w:val="en-GB"/>
              </w:rPr>
              <w:t>is a subdivision of government, which shares political, fiscal and economic power with central government. In federal government, regional level is represented by state government. In unitary states, regional government is known as a provincial government. This level of government consists of institutional units, which have some of the functions of government at a level below of that of central government and above the local level. A regional government usually has the fiscal authority to raise taxes within its territory and has the ability to spend at least some of its income according to its own policies, and appoint or elect its own officers.</w:t>
            </w:r>
          </w:p>
          <w:p w14:paraId="69508C81" w14:textId="77777777" w:rsidR="00EF295B" w:rsidRPr="00456578" w:rsidRDefault="00EF295B" w:rsidP="00EF295B">
            <w:pPr>
              <w:pStyle w:val="NoSpacing"/>
              <w:rPr>
                <w:bCs/>
                <w:lang w:val="en-GB"/>
              </w:rPr>
            </w:pPr>
          </w:p>
          <w:p w14:paraId="522B1198" w14:textId="77777777" w:rsidR="00EF295B" w:rsidRPr="00456578" w:rsidRDefault="00EF295B" w:rsidP="00EF295B">
            <w:pPr>
              <w:pStyle w:val="NoSpacing"/>
              <w:rPr>
                <w:bCs/>
                <w:lang w:val="en-GB"/>
              </w:rPr>
            </w:pPr>
            <w:r w:rsidRPr="00456578">
              <w:rPr>
                <w:bCs/>
                <w:lang w:val="en-GB"/>
              </w:rPr>
              <w:t>If a regional unit is fully dependent on funds from the central government and a central government determines those funds, expenditures on regional level should be treated as a part of central government for statistical purposes.</w:t>
            </w:r>
          </w:p>
          <w:p w14:paraId="594EE12A" w14:textId="77777777" w:rsidR="00EF295B" w:rsidRPr="00456578" w:rsidRDefault="00EF295B" w:rsidP="00EF295B">
            <w:pPr>
              <w:pStyle w:val="NoSpacing"/>
              <w:rPr>
                <w:b/>
                <w:bCs/>
                <w:lang w:val="en-GB"/>
              </w:rPr>
            </w:pPr>
          </w:p>
          <w:p w14:paraId="4220E625" w14:textId="77777777" w:rsidR="00EF295B" w:rsidRPr="00456578" w:rsidRDefault="00EF295B" w:rsidP="00EF295B">
            <w:pPr>
              <w:pStyle w:val="NoSpacing"/>
              <w:rPr>
                <w:b/>
                <w:bCs/>
                <w:lang w:val="en-GB"/>
              </w:rPr>
            </w:pPr>
            <w:r w:rsidRPr="00456578">
              <w:rPr>
                <w:b/>
                <w:bCs/>
                <w:lang w:val="en-GB"/>
              </w:rPr>
              <w:t xml:space="preserve">Local/municipal level </w:t>
            </w:r>
            <w:r w:rsidRPr="00456578">
              <w:rPr>
                <w:bCs/>
                <w:lang w:val="en-GB"/>
              </w:rPr>
              <w:t>is a public administration that exists at the lowest administration level within government state such as municipality of district. Local level refers to local government units, which consist of local government institutional units and nonmarket institutions controlled by local level. A local government often has the fiscal authority to raise taxes within its territory and should have the ability to spend at least some of its income according to its own policies, and appoint or elect its own officers.</w:t>
            </w:r>
          </w:p>
          <w:p w14:paraId="0329E3C6" w14:textId="77777777" w:rsidR="00EF295B" w:rsidRPr="00456578" w:rsidRDefault="00EF295B" w:rsidP="00EF295B">
            <w:pPr>
              <w:pStyle w:val="NoSpacing"/>
              <w:rPr>
                <w:b/>
                <w:bCs/>
                <w:lang w:val="en-GB"/>
              </w:rPr>
            </w:pPr>
          </w:p>
          <w:p w14:paraId="7913DD98" w14:textId="77777777" w:rsidR="00EF295B" w:rsidRPr="00456578" w:rsidRDefault="00EF295B" w:rsidP="00EF295B">
            <w:pPr>
              <w:pStyle w:val="NoSpacing"/>
              <w:rPr>
                <w:bCs/>
                <w:lang w:val="en-GB"/>
              </w:rPr>
            </w:pPr>
            <w:r w:rsidRPr="00456578">
              <w:rPr>
                <w:b/>
                <w:bCs/>
                <w:lang w:val="en-GB"/>
              </w:rPr>
              <w:t xml:space="preserve">Total Public expenditure on heritage </w:t>
            </w:r>
            <w:r w:rsidRPr="00456578">
              <w:rPr>
                <w:bCs/>
                <w:lang w:val="en-GB"/>
              </w:rPr>
              <w:t xml:space="preserve">is consolidated expenditure on heritage made by national/federal, regional/States/Provincial and local governments. </w:t>
            </w:r>
          </w:p>
          <w:p w14:paraId="0A29190B" w14:textId="77777777" w:rsidR="00EF295B" w:rsidRPr="00456578" w:rsidRDefault="00EF295B" w:rsidP="00EF295B">
            <w:pPr>
              <w:pStyle w:val="NoSpacing"/>
              <w:rPr>
                <w:b/>
                <w:bCs/>
                <w:lang w:val="en-GB"/>
              </w:rPr>
            </w:pPr>
          </w:p>
          <w:p w14:paraId="65B2791C" w14:textId="77777777" w:rsidR="00EF295B" w:rsidRPr="00456578" w:rsidRDefault="00EF295B" w:rsidP="00EF295B">
            <w:pPr>
              <w:pStyle w:val="NoSpacing"/>
              <w:rPr>
                <w:lang w:val="en-GB"/>
              </w:rPr>
            </w:pPr>
            <w:r w:rsidRPr="00456578">
              <w:rPr>
                <w:b/>
                <w:bCs/>
                <w:lang w:val="en-GB"/>
              </w:rPr>
              <w:t xml:space="preserve">Private heritage expenditure </w:t>
            </w:r>
            <w:r w:rsidRPr="00456578">
              <w:rPr>
                <w:bCs/>
                <w:lang w:val="en-GB"/>
              </w:rPr>
              <w:t>refers to privately funded preservation, protection and conservation of national cultural and/or natural heritage and includes, but is not limited to: donations in kind, private non-profit sector and sponsorship. Private funding includes donations by individual and legal entities, donations by bilateral and multilateral funds such as Official Development Aid (ODA), income from admissions/selling services and goods to individual and legal entities and corporate sponsorship.</w:t>
            </w:r>
          </w:p>
          <w:p w14:paraId="0ADD1745" w14:textId="77777777" w:rsidR="00EF295B" w:rsidRPr="00456578" w:rsidRDefault="00EF295B" w:rsidP="00EF295B">
            <w:pPr>
              <w:pStyle w:val="NoSpacing"/>
              <w:rPr>
                <w:b/>
                <w:lang w:val="en-GB"/>
              </w:rPr>
            </w:pPr>
          </w:p>
          <w:p w14:paraId="5ED25B5A" w14:textId="77777777" w:rsidR="00EF295B" w:rsidRPr="00456578" w:rsidRDefault="00EF295B" w:rsidP="00EF295B">
            <w:pPr>
              <w:pStyle w:val="NoSpacing"/>
              <w:rPr>
                <w:lang w:val="en-GB"/>
              </w:rPr>
            </w:pPr>
            <w:r w:rsidRPr="00456578">
              <w:rPr>
                <w:b/>
                <w:lang w:val="en-GB"/>
              </w:rPr>
              <w:lastRenderedPageBreak/>
              <w:t>Donation</w:t>
            </w:r>
            <w:r w:rsidRPr="00456578">
              <w:rPr>
                <w:lang w:val="en-GB"/>
              </w:rPr>
              <w:t xml:space="preserve"> refers to cash and gifts-in-kind given by a physical or legal entity. Donations can be in the form of cash and in kind donations. Cash donations refer to the gift in money, payment checks or other monetary equivalents. Gifts-in-kind donations refer to donations in goods, services or other things such as supplies. Donations can be conditional or unconditional. Conditional </w:t>
            </w:r>
            <w:proofErr w:type="gramStart"/>
            <w:r w:rsidRPr="00456578">
              <w:rPr>
                <w:lang w:val="en-GB"/>
              </w:rPr>
              <w:t>donations  are</w:t>
            </w:r>
            <w:proofErr w:type="gramEnd"/>
            <w:r w:rsidRPr="00456578">
              <w:rPr>
                <w:lang w:val="en-GB"/>
              </w:rPr>
              <w:t xml:space="preserve"> limited by the conditions imposed by the donor. Unconditional donations refer to the gift, which </w:t>
            </w:r>
            <w:proofErr w:type="gramStart"/>
            <w:r w:rsidRPr="00456578">
              <w:rPr>
                <w:lang w:val="en-GB"/>
              </w:rPr>
              <w:t>has  no</w:t>
            </w:r>
            <w:proofErr w:type="gramEnd"/>
            <w:r w:rsidRPr="00456578">
              <w:rPr>
                <w:lang w:val="en-GB"/>
              </w:rPr>
              <w:t xml:space="preserve"> concrete purpose, given to organization/institution in order to help them in realization of their mission.</w:t>
            </w:r>
          </w:p>
          <w:p w14:paraId="470768C2" w14:textId="77777777" w:rsidR="00EF295B" w:rsidRPr="00456578" w:rsidRDefault="00EF295B" w:rsidP="00EF295B">
            <w:pPr>
              <w:pStyle w:val="NoSpacing"/>
              <w:rPr>
                <w:b/>
                <w:lang w:val="en-GB"/>
              </w:rPr>
            </w:pPr>
          </w:p>
          <w:p w14:paraId="024AA4E2" w14:textId="77777777" w:rsidR="00EF295B" w:rsidRPr="00456578" w:rsidRDefault="00EF295B" w:rsidP="00EF295B">
            <w:pPr>
              <w:pStyle w:val="NoSpacing"/>
              <w:rPr>
                <w:lang w:val="en-GB"/>
              </w:rPr>
            </w:pPr>
            <w:r w:rsidRPr="00456578">
              <w:rPr>
                <w:b/>
                <w:lang w:val="en-GB"/>
              </w:rPr>
              <w:t>Donations by individuals</w:t>
            </w:r>
            <w:r w:rsidRPr="00456578">
              <w:rPr>
                <w:lang w:val="en-GB"/>
              </w:rPr>
              <w:t xml:space="preserve"> refer to cash and in kind donation given by individual or physical person. </w:t>
            </w:r>
          </w:p>
          <w:p w14:paraId="04A433BE" w14:textId="77777777" w:rsidR="00EF295B" w:rsidRPr="00456578" w:rsidRDefault="00EF295B" w:rsidP="00EF295B">
            <w:pPr>
              <w:pStyle w:val="NoSpacing"/>
              <w:rPr>
                <w:lang w:val="en-GB"/>
              </w:rPr>
            </w:pPr>
          </w:p>
          <w:p w14:paraId="2A61B800" w14:textId="77777777" w:rsidR="00EF295B" w:rsidRPr="00456578" w:rsidRDefault="00EF295B" w:rsidP="00EF295B">
            <w:pPr>
              <w:pStyle w:val="NoSpacing"/>
              <w:rPr>
                <w:lang w:val="en-GB"/>
              </w:rPr>
            </w:pPr>
            <w:r w:rsidRPr="00456578">
              <w:rPr>
                <w:b/>
                <w:lang w:val="en-GB"/>
              </w:rPr>
              <w:t xml:space="preserve">Donations by legal entity </w:t>
            </w:r>
            <w:r w:rsidRPr="00456578">
              <w:rPr>
                <w:lang w:val="en-GB"/>
              </w:rPr>
              <w:t xml:space="preserve">(corporation, enterprises) refer to any cash or in kind contributions given as a gift by legal entity – corporation, enterprises etc. This kind of donation is also known as a corporate philanthropy charitable giving to any organization/institution. </w:t>
            </w:r>
          </w:p>
          <w:p w14:paraId="01DC9669" w14:textId="77777777" w:rsidR="00EF295B" w:rsidRPr="00456578" w:rsidRDefault="00EF295B" w:rsidP="00EF295B">
            <w:pPr>
              <w:pStyle w:val="NoSpacing"/>
              <w:rPr>
                <w:lang w:val="en-GB"/>
              </w:rPr>
            </w:pPr>
          </w:p>
          <w:p w14:paraId="0682EA24" w14:textId="77777777" w:rsidR="00EF295B" w:rsidRPr="00456578" w:rsidRDefault="00EF295B" w:rsidP="00EF295B">
            <w:pPr>
              <w:pStyle w:val="NoSpacing"/>
              <w:rPr>
                <w:lang w:val="en-GB"/>
              </w:rPr>
            </w:pPr>
            <w:r w:rsidRPr="00456578">
              <w:rPr>
                <w:b/>
                <w:lang w:val="en-GB"/>
              </w:rPr>
              <w:t>Corporate sponsorships</w:t>
            </w:r>
            <w:r w:rsidRPr="00456578">
              <w:rPr>
                <w:lang w:val="en-GB"/>
              </w:rPr>
              <w:t xml:space="preserve"> refer to financial or in kind contribution by business sector in exchange for benefits in the form of advertising, reputation, promotion etc. Corporate sponsorships represent some kind of marketing in which corporation pays to programme/project/event in exchange for some marketing benefits. </w:t>
            </w:r>
          </w:p>
          <w:p w14:paraId="675D1473" w14:textId="77777777" w:rsidR="00EF295B" w:rsidRPr="00456578" w:rsidRDefault="00EF295B" w:rsidP="00EF295B">
            <w:pPr>
              <w:pStyle w:val="NoSpacing"/>
              <w:rPr>
                <w:b/>
                <w:lang w:val="en-GB"/>
              </w:rPr>
            </w:pPr>
          </w:p>
          <w:p w14:paraId="78E65CCA" w14:textId="77777777" w:rsidR="00EF295B" w:rsidRPr="00456578" w:rsidRDefault="00EF295B" w:rsidP="00EF295B">
            <w:pPr>
              <w:pStyle w:val="NoSpacing"/>
              <w:rPr>
                <w:lang w:val="en-GB"/>
              </w:rPr>
            </w:pPr>
            <w:r w:rsidRPr="00456578">
              <w:rPr>
                <w:b/>
                <w:lang w:val="en-GB"/>
              </w:rPr>
              <w:t xml:space="preserve">Income from admissions/membership fees/ selling services and goods </w:t>
            </w:r>
            <w:r w:rsidRPr="00456578">
              <w:rPr>
                <w:lang w:val="en-GB"/>
              </w:rPr>
              <w:t xml:space="preserve">refers to amount of money received by entree sales to households / membership fees or selling services and goods to households or legal entities. </w:t>
            </w:r>
          </w:p>
          <w:p w14:paraId="3882A29A" w14:textId="77777777" w:rsidR="00EF295B" w:rsidRPr="00456578" w:rsidRDefault="00EF295B" w:rsidP="00EF295B">
            <w:pPr>
              <w:pStyle w:val="NoSpacing"/>
              <w:rPr>
                <w:lang w:val="en-GB"/>
              </w:rPr>
            </w:pPr>
          </w:p>
          <w:p w14:paraId="06A4B31C" w14:textId="77777777" w:rsidR="00EF295B" w:rsidRPr="00456578" w:rsidRDefault="00EF295B" w:rsidP="00EF295B">
            <w:pPr>
              <w:pStyle w:val="NoSpacing"/>
              <w:rPr>
                <w:lang w:val="en-GB"/>
              </w:rPr>
            </w:pPr>
            <w:r w:rsidRPr="00456578">
              <w:rPr>
                <w:b/>
                <w:lang w:val="en-GB"/>
              </w:rPr>
              <w:t>Official Development Aid:</w:t>
            </w:r>
            <w:r w:rsidRPr="00456578">
              <w:rPr>
                <w:lang w:val="en-GB"/>
              </w:rPr>
              <w:t xml:space="preserve"> Flows of official financing administered with the promotion of the economic development and welfare of developing countries as the main objective, and which are concessional in character with a grant element of at least 25 percent (using a fixed 10 percent rate of discount). By convention, ODA flows comprise contributions of donor government agencies, at all levels, to developing countries (“bilateral ODA”) and to multilateral institutions. ODA receipts comprise disbursements by bilateral donors and multilateral institutions. Lending by export credit agencies—with the pure purpose of export promotion is excluded. (OECD).</w:t>
            </w:r>
          </w:p>
          <w:p w14:paraId="7777DF62" w14:textId="77777777" w:rsidR="00EF295B" w:rsidRPr="00456578" w:rsidRDefault="00EF295B" w:rsidP="00EF295B">
            <w:pPr>
              <w:pStyle w:val="NoSpacing"/>
              <w:rPr>
                <w:b/>
                <w:lang w:val="en-GB"/>
              </w:rPr>
            </w:pPr>
          </w:p>
          <w:p w14:paraId="4CC1A4DE" w14:textId="77777777" w:rsidR="00EF295B" w:rsidRPr="00456578" w:rsidRDefault="00EF295B" w:rsidP="00EF295B">
            <w:pPr>
              <w:pStyle w:val="NoSpacing"/>
              <w:rPr>
                <w:lang w:val="en-GB"/>
              </w:rPr>
            </w:pPr>
            <w:r w:rsidRPr="00456578">
              <w:rPr>
                <w:b/>
                <w:lang w:val="en-GB"/>
              </w:rPr>
              <w:t>Donations by bilateral and multilateral</w:t>
            </w:r>
            <w:r w:rsidRPr="00456578">
              <w:rPr>
                <w:lang w:val="en-GB"/>
              </w:rPr>
              <w:t xml:space="preserve"> sources refer to any cash and in kind contribution given to another organization as a gift by bilateral party (foreign states) or multilateral party (international body, organization, etc.). It can be in the form of development assistance or official development assistance or private international/foreign donation. Private bilateral/multilateral donation is financial aid given by private foundation from one foreign country or private foundations from several foreign countries. </w:t>
            </w:r>
          </w:p>
          <w:p w14:paraId="3BDEB2A3" w14:textId="77777777" w:rsidR="00EF295B" w:rsidRPr="00456578" w:rsidRDefault="00EF295B" w:rsidP="00EF295B">
            <w:pPr>
              <w:pStyle w:val="NoSpacing"/>
              <w:rPr>
                <w:b/>
                <w:lang w:val="en-GB"/>
              </w:rPr>
            </w:pPr>
          </w:p>
          <w:p w14:paraId="6977F6D2" w14:textId="77777777" w:rsidR="00EF295B" w:rsidRPr="00456578" w:rsidRDefault="00EF295B" w:rsidP="00EF295B">
            <w:pPr>
              <w:pStyle w:val="NoSpacing"/>
              <w:rPr>
                <w:b/>
                <w:lang w:val="en-GB"/>
              </w:rPr>
            </w:pPr>
            <w:r w:rsidRPr="00456578">
              <w:rPr>
                <w:b/>
                <w:lang w:val="en-GB"/>
              </w:rPr>
              <w:t xml:space="preserve">Total heritage expenditure </w:t>
            </w:r>
            <w:r w:rsidRPr="00456578">
              <w:rPr>
                <w:lang w:val="en-GB"/>
              </w:rPr>
              <w:t>refers to private and public spending on conservation, protection and preservation of heritage. Total expenditure comprises public and private expenditure for natural and cultural heritage. Using the ISIC Rev. 4 classification, total heritage expenditure covers expenditures (public and private) for library and archives activities, museum activities and operation of historical sites and buildings as well resources invested in botanical and zoological gardens and nature reserve activities.</w:t>
            </w:r>
            <w:r w:rsidRPr="00456578">
              <w:rPr>
                <w:b/>
                <w:lang w:val="en-GB"/>
              </w:rPr>
              <w:t xml:space="preserve">  </w:t>
            </w:r>
          </w:p>
          <w:p w14:paraId="3A44CDCD" w14:textId="77777777" w:rsidR="00EF295B" w:rsidRPr="00456578" w:rsidRDefault="00EF295B" w:rsidP="00EF295B">
            <w:pPr>
              <w:pStyle w:val="NoSpacing"/>
              <w:rPr>
                <w:b/>
                <w:lang w:val="en-GB"/>
              </w:rPr>
            </w:pPr>
          </w:p>
          <w:p w14:paraId="7C980072" w14:textId="77777777" w:rsidR="00EF295B" w:rsidRPr="00456578" w:rsidRDefault="00EF295B" w:rsidP="00EF295B">
            <w:pPr>
              <w:pStyle w:val="NoSpacing"/>
              <w:rPr>
                <w:lang w:val="en-GB"/>
              </w:rPr>
            </w:pPr>
            <w:r w:rsidRPr="00456578">
              <w:rPr>
                <w:b/>
                <w:lang w:val="en-GB"/>
              </w:rPr>
              <w:t xml:space="preserve">Operating expenditure </w:t>
            </w:r>
            <w:r w:rsidRPr="00456578">
              <w:rPr>
                <w:lang w:val="en-GB"/>
              </w:rPr>
              <w:t xml:space="preserve">refers to expenditure incurred in realization of day-to-day activities. Operating expenditure includes following expenditures: salaries, wages and benefits (gross amount), professional and business services fees, subcontract expenses, cost of goods sold, office supplies, rental and leasing, repair and maintenance, travel expenses, insurance, advertising, marketing and promotion, insurance, utilities and telecommunication expenses, property and business taxes, royalties, postage and courier services, financial services fees and other business expenses. Operating expenses exclude write-offs, capital losses, extraordinary losses, </w:t>
            </w:r>
            <w:proofErr w:type="gramStart"/>
            <w:r w:rsidRPr="00456578">
              <w:rPr>
                <w:lang w:val="en-GB"/>
              </w:rPr>
              <w:t>interest</w:t>
            </w:r>
            <w:proofErr w:type="gramEnd"/>
            <w:r w:rsidRPr="00456578">
              <w:rPr>
                <w:lang w:val="en-GB"/>
              </w:rPr>
              <w:t xml:space="preserve"> on borrowing, amortization and other non-recurring items. Operating expenses can be calculated indirectly as a total current expenditure of heritage institutions minus write-offs, capital losses, extraordinary losses, interest on borrowing, and other non-recurring items.</w:t>
            </w:r>
          </w:p>
          <w:p w14:paraId="6E56007C" w14:textId="77777777" w:rsidR="00EF295B" w:rsidRPr="00456578" w:rsidRDefault="00EF295B" w:rsidP="00EF295B">
            <w:pPr>
              <w:pStyle w:val="NoSpacing"/>
              <w:rPr>
                <w:b/>
                <w:lang w:val="en-GB"/>
              </w:rPr>
            </w:pPr>
          </w:p>
          <w:p w14:paraId="745D849D" w14:textId="77777777" w:rsidR="00EF295B" w:rsidRPr="00456578" w:rsidRDefault="00EF295B" w:rsidP="00EF295B">
            <w:pPr>
              <w:pStyle w:val="NoSpacing"/>
              <w:rPr>
                <w:lang w:val="en-GB"/>
              </w:rPr>
            </w:pPr>
            <w:r w:rsidRPr="00456578">
              <w:rPr>
                <w:b/>
                <w:lang w:val="en-GB"/>
              </w:rPr>
              <w:t xml:space="preserve">Capital expenditure </w:t>
            </w:r>
            <w:r w:rsidRPr="00456578">
              <w:rPr>
                <w:lang w:val="en-GB"/>
              </w:rPr>
              <w:t>measures the value of purchases of fixed assets, i.e. those assets that are used repeatedly in production processes for more than a year. The value is at full cost price (OECD, 2004). It refers to the investment of money in physical assets such us property, building and equipment. Capital expenditure can be in the form of gross capital investment and net capital investment. Gross capital investment refers to net investment at the end of year + depreciation at the end of year. Net capital investment refers to net money invested in physical assets at end of year.</w:t>
            </w:r>
          </w:p>
          <w:p w14:paraId="42B566B5" w14:textId="77777777" w:rsidR="00EF295B" w:rsidRPr="00456578" w:rsidRDefault="00EF295B" w:rsidP="00EF295B">
            <w:pPr>
              <w:pStyle w:val="NoSpacing"/>
              <w:rPr>
                <w:b/>
                <w:lang w:val="en-GB"/>
              </w:rPr>
            </w:pPr>
          </w:p>
          <w:p w14:paraId="44320858" w14:textId="77777777" w:rsidR="00EF295B" w:rsidRPr="00456578" w:rsidRDefault="00EF295B" w:rsidP="00EF295B">
            <w:pPr>
              <w:pStyle w:val="NoSpacing"/>
              <w:rPr>
                <w:b/>
                <w:lang w:val="en-GB"/>
              </w:rPr>
            </w:pPr>
            <w:r w:rsidRPr="00456578">
              <w:rPr>
                <w:b/>
                <w:bCs/>
                <w:lang w:val="en-GB"/>
              </w:rPr>
              <w:t>Comments and limitations</w:t>
            </w:r>
          </w:p>
          <w:p w14:paraId="4E76E299" w14:textId="77777777" w:rsidR="00EF295B" w:rsidRPr="00456578" w:rsidRDefault="00EF295B" w:rsidP="00EF295B">
            <w:pPr>
              <w:pStyle w:val="NoSpacing"/>
              <w:rPr>
                <w:lang w:val="en-GB"/>
              </w:rPr>
            </w:pPr>
            <w:r w:rsidRPr="00456578">
              <w:rPr>
                <w:lang w:val="en-GB"/>
              </w:rPr>
              <w:t xml:space="preserve">1) </w:t>
            </w:r>
            <w:r w:rsidRPr="00456578">
              <w:rPr>
                <w:lang w:val="en-GB"/>
              </w:rPr>
              <w:tab/>
              <w:t>In general, the availability of public expenditure data for heritage varies between countries.</w:t>
            </w:r>
          </w:p>
          <w:p w14:paraId="41DFDE20" w14:textId="77777777" w:rsidR="00EF295B" w:rsidRPr="00456578" w:rsidRDefault="00EF295B" w:rsidP="00EF295B">
            <w:pPr>
              <w:pStyle w:val="NoSpacing"/>
              <w:rPr>
                <w:lang w:val="en-GB"/>
              </w:rPr>
            </w:pPr>
          </w:p>
          <w:p w14:paraId="44594399" w14:textId="77777777" w:rsidR="00EF295B" w:rsidRPr="00456578" w:rsidRDefault="00EF295B" w:rsidP="00EF295B">
            <w:pPr>
              <w:pStyle w:val="NoSpacing"/>
              <w:rPr>
                <w:lang w:val="en-GB"/>
              </w:rPr>
            </w:pPr>
            <w:r w:rsidRPr="00456578">
              <w:rPr>
                <w:lang w:val="en-GB"/>
              </w:rPr>
              <w:t xml:space="preserve">2) </w:t>
            </w:r>
            <w:r w:rsidRPr="00456578">
              <w:rPr>
                <w:lang w:val="en-GB"/>
              </w:rPr>
              <w:tab/>
              <w:t xml:space="preserve">In general, the availability of private expenditure data for heritage is significantly lower so that it will take several years, capacity building, and financial investment in order to increase coverage to an acceptable level. </w:t>
            </w:r>
          </w:p>
          <w:p w14:paraId="2F83137C" w14:textId="77777777" w:rsidR="00EF295B" w:rsidRPr="00456578" w:rsidRDefault="00EF295B" w:rsidP="00EF295B">
            <w:pPr>
              <w:pStyle w:val="NoSpacing"/>
              <w:rPr>
                <w:lang w:val="en-GB"/>
              </w:rPr>
            </w:pPr>
            <w:r w:rsidRPr="00456578">
              <w:rPr>
                <w:lang w:val="en-GB"/>
              </w:rPr>
              <w:t>This indicator comprises public and private monetary investments in heritage. It does not measure non-monetary factors such as national regulations or national/local policies for the preservation, protection and conservation of national cultural and/or natural heritage including World Heritage. These policies could take the form of fiscal incentives such as tax benefits for donations or sponsorships.</w:t>
            </w:r>
          </w:p>
          <w:p w14:paraId="528F39C9" w14:textId="77777777" w:rsidR="00EF295B" w:rsidRPr="00456578" w:rsidRDefault="00EF295B" w:rsidP="00EF295B">
            <w:pPr>
              <w:pStyle w:val="NoSpacing"/>
              <w:rPr>
                <w:lang w:val="en-GB"/>
              </w:rPr>
            </w:pPr>
          </w:p>
          <w:p w14:paraId="5BA8C7A2" w14:textId="77777777" w:rsidR="00EF295B" w:rsidRPr="00456578" w:rsidRDefault="00EF295B" w:rsidP="00EF295B">
            <w:pPr>
              <w:pStyle w:val="NoSpacing"/>
              <w:rPr>
                <w:lang w:val="en-GB"/>
              </w:rPr>
            </w:pPr>
            <w:r w:rsidRPr="00456578">
              <w:rPr>
                <w:lang w:val="en-GB"/>
              </w:rPr>
              <w:t>International definitions and concepts that will support the harmonization of the data and indicators for cultural and natural heritage will be defined according to the 2009 UNESCO Framework for cultural statistics.</w:t>
            </w:r>
          </w:p>
          <w:p w14:paraId="74FF761A" w14:textId="77777777" w:rsidR="00EF295B" w:rsidRPr="00456578" w:rsidRDefault="00EF295B" w:rsidP="00EF295B">
            <w:pPr>
              <w:pStyle w:val="NoSpacing"/>
              <w:rPr>
                <w:lang w:val="en-GB"/>
              </w:rPr>
            </w:pPr>
          </w:p>
          <w:p w14:paraId="0762C500" w14:textId="77777777" w:rsidR="00EF295B" w:rsidRPr="00456578" w:rsidRDefault="00EF295B" w:rsidP="00EF295B">
            <w:pPr>
              <w:pStyle w:val="NoSpacing"/>
              <w:rPr>
                <w:lang w:val="en-GB"/>
              </w:rPr>
            </w:pPr>
            <w:r w:rsidRPr="00456578">
              <w:rPr>
                <w:lang w:val="en-GB"/>
              </w:rPr>
              <w:t xml:space="preserve">The use of existing international classifications such as the Classification of the Function of the Government (COFOG) could be used. </w:t>
            </w:r>
          </w:p>
          <w:p w14:paraId="732C46B9" w14:textId="77777777" w:rsidR="00EF295B" w:rsidRPr="00456578" w:rsidRDefault="00EF295B" w:rsidP="00EF295B">
            <w:pPr>
              <w:pStyle w:val="NoSpacing"/>
              <w:rPr>
                <w:b/>
                <w:lang w:val="en-GB"/>
              </w:rPr>
            </w:pPr>
          </w:p>
          <w:p w14:paraId="04A20A1E" w14:textId="77777777" w:rsidR="00EF295B" w:rsidRPr="00456578" w:rsidRDefault="00EF295B" w:rsidP="00EF295B">
            <w:pPr>
              <w:pStyle w:val="NoSpacing"/>
              <w:rPr>
                <w:lang w:val="en-GB"/>
              </w:rPr>
            </w:pPr>
            <w:r w:rsidRPr="00456578">
              <w:rPr>
                <w:lang w:val="en-GB"/>
              </w:rPr>
              <w:t>Methodology</w:t>
            </w:r>
          </w:p>
          <w:p w14:paraId="576ACB62" w14:textId="77777777" w:rsidR="00EF295B" w:rsidRPr="00456578" w:rsidRDefault="00EF295B" w:rsidP="00EF295B">
            <w:pPr>
              <w:pStyle w:val="NoSpacing"/>
              <w:rPr>
                <w:lang w:val="en-GB"/>
              </w:rPr>
            </w:pPr>
            <w:r w:rsidRPr="00456578">
              <w:rPr>
                <w:lang w:val="en-GB"/>
              </w:rPr>
              <w:t xml:space="preserve"> </w:t>
            </w:r>
          </w:p>
          <w:p w14:paraId="37094811" w14:textId="77777777" w:rsidR="00EF295B" w:rsidRPr="00456578" w:rsidRDefault="00EF295B" w:rsidP="00EF295B">
            <w:pPr>
              <w:pStyle w:val="NoSpacing"/>
              <w:rPr>
                <w:b/>
                <w:bCs/>
                <w:lang w:val="en-GB"/>
              </w:rPr>
            </w:pPr>
            <w:r w:rsidRPr="00456578">
              <w:rPr>
                <w:b/>
                <w:bCs/>
                <w:lang w:val="en-GB"/>
              </w:rPr>
              <w:t>Computation method</w:t>
            </w:r>
          </w:p>
          <w:p w14:paraId="7A1E895E" w14:textId="77777777" w:rsidR="00EF295B" w:rsidRPr="00456578" w:rsidRDefault="00EF295B" w:rsidP="00EF295B">
            <w:pPr>
              <w:pStyle w:val="NoSpacing"/>
              <w:rPr>
                <w:lang w:val="en-GB"/>
              </w:rPr>
            </w:pPr>
            <w:r w:rsidRPr="00456578">
              <w:rPr>
                <w:lang w:val="en-GB"/>
              </w:rPr>
              <w:t xml:space="preserve">The indicator is calculated by dividing total public funding in heritage (i.e. including transfers paid but excluding transfers received) from government (central, regional, local) and the total of private funding from households, other private sources such as donations, sponsorships or international sources in a given year by the number of inhabitants and by the </w:t>
            </w:r>
            <w:r w:rsidRPr="00456578">
              <w:rPr>
                <w:lang w:val="en-GB"/>
              </w:rPr>
              <w:lastRenderedPageBreak/>
              <w:t>PPP$ conversion factor.</w:t>
            </w:r>
          </w:p>
          <w:p w14:paraId="0088C926" w14:textId="77777777" w:rsidR="00EF295B" w:rsidRPr="00456578" w:rsidRDefault="00EF295B" w:rsidP="00EF295B">
            <w:pPr>
              <w:pStyle w:val="NoSpacing"/>
              <w:rPr>
                <w:lang w:val="en-GB"/>
              </w:rPr>
            </w:pPr>
          </w:p>
          <w:p w14:paraId="1A995CCC" w14:textId="77777777" w:rsidR="00EF295B" w:rsidRPr="00456578" w:rsidRDefault="00EF295B" w:rsidP="00EF295B">
            <w:pPr>
              <w:pStyle w:val="NoSpacing"/>
              <w:rPr>
                <w:lang w:val="en-GB"/>
              </w:rPr>
            </w:pPr>
            <w:r w:rsidRPr="00456578">
              <w:rPr>
                <w:lang w:val="en-GB"/>
              </w:rPr>
              <w:t xml:space="preserve">HCExp per capita   </w:t>
            </w:r>
            <m:oMath>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w:rPr>
                              <w:rFonts w:ascii="Cambria Math" w:hAnsi="Cambria Math"/>
                              <w:lang w:val="en-GB"/>
                            </w:rPr>
                            <m:t>Exp</m:t>
                          </m:r>
                        </m:e>
                        <m:sub>
                          <m:r>
                            <w:rPr>
                              <w:rFonts w:ascii="Cambria Math" w:hAnsi="Cambria Math"/>
                              <w:lang w:val="en-GB"/>
                            </w:rPr>
                            <m:t>pu</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Exp</m:t>
                          </m:r>
                        </m:e>
                        <m:sub>
                          <m:r>
                            <w:rPr>
                              <w:rFonts w:ascii="Cambria Math" w:hAnsi="Cambria Math"/>
                              <w:lang w:val="en-GB"/>
                            </w:rPr>
                            <m:t>pr</m:t>
                          </m:r>
                        </m:sub>
                      </m:sSub>
                    </m:e>
                  </m:nary>
                </m:num>
                <m:den>
                  <m:r>
                    <w:rPr>
                      <w:rFonts w:ascii="Cambria Math" w:hAnsi="Cambria Math"/>
                      <w:lang w:val="en-GB"/>
                    </w:rPr>
                    <m:t>Population</m:t>
                  </m:r>
                </m:den>
              </m:f>
              <m:r>
                <w:rPr>
                  <w:rFonts w:ascii="Cambria Math" w:hAnsi="Cambria Math"/>
                  <w:lang w:val="en-GB"/>
                </w:rPr>
                <m:t>*PPPf</m:t>
              </m:r>
            </m:oMath>
            <w:r w:rsidRPr="00456578">
              <w:rPr>
                <w:lang w:val="en-GB"/>
              </w:rPr>
              <w:t xml:space="preserve"> </w:t>
            </w:r>
          </w:p>
          <w:p w14:paraId="0889B51D" w14:textId="77777777" w:rsidR="00EF295B" w:rsidRPr="00456578" w:rsidRDefault="00EF295B" w:rsidP="00EF295B">
            <w:pPr>
              <w:pStyle w:val="NoSpacing"/>
              <w:rPr>
                <w:lang w:val="en-GB"/>
              </w:rPr>
            </w:pPr>
          </w:p>
          <w:p w14:paraId="25F5BE97" w14:textId="77777777" w:rsidR="00EF295B" w:rsidRPr="00456578" w:rsidRDefault="00EF295B" w:rsidP="00EF295B">
            <w:pPr>
              <w:pStyle w:val="NoSpacing"/>
              <w:rPr>
                <w:lang w:val="en-GB"/>
              </w:rPr>
            </w:pPr>
            <w:r w:rsidRPr="00456578">
              <w:rPr>
                <w:lang w:val="en-GB"/>
              </w:rPr>
              <w:t>HCExp per capita   = Expenditure per inhabitant in heritage in constant PPP$</w:t>
            </w:r>
          </w:p>
          <w:p w14:paraId="5F9D66A8" w14:textId="77777777" w:rsidR="00EF295B" w:rsidRPr="00456578" w:rsidRDefault="00EF295B" w:rsidP="00EF295B">
            <w:pPr>
              <w:pStyle w:val="NoSpacing"/>
              <w:rPr>
                <w:lang w:val="en-GB"/>
              </w:rPr>
            </w:pPr>
            <w:r w:rsidRPr="00456578">
              <w:rPr>
                <w:lang w:val="en-GB"/>
              </w:rPr>
              <w:t>HC Exp = Expenditure on Preservation, Protection and Conservation of all cultural and/or natural heritage</w:t>
            </w:r>
          </w:p>
          <w:p w14:paraId="34781B47" w14:textId="77777777" w:rsidR="00EF295B" w:rsidRPr="00456578" w:rsidRDefault="00EF295B" w:rsidP="00EF295B">
            <w:pPr>
              <w:pStyle w:val="NoSpacing"/>
              <w:rPr>
                <w:lang w:val="en-GB"/>
              </w:rPr>
            </w:pPr>
            <w:r w:rsidRPr="00456578">
              <w:rPr>
                <w:i/>
                <w:lang w:val="en-GB"/>
              </w:rPr>
              <w:t>Exp</w:t>
            </w:r>
            <w:r w:rsidRPr="00456578">
              <w:rPr>
                <w:i/>
                <w:vertAlign w:val="subscript"/>
                <w:lang w:val="en-GB"/>
              </w:rPr>
              <w:t>pu</w:t>
            </w:r>
            <w:r w:rsidRPr="00456578">
              <w:rPr>
                <w:lang w:val="en-GB"/>
              </w:rPr>
              <w:t>= Sum of public expenditure by all levels of government on the preservation, protection and conservation of cultural and/or natural heritage</w:t>
            </w:r>
          </w:p>
          <w:p w14:paraId="7EBB45A9" w14:textId="77777777" w:rsidR="00EF295B" w:rsidRPr="00456578" w:rsidRDefault="00EF295B" w:rsidP="00EF295B">
            <w:pPr>
              <w:pStyle w:val="NoSpacing"/>
              <w:rPr>
                <w:lang w:val="en-GB"/>
              </w:rPr>
            </w:pPr>
            <w:r w:rsidRPr="00456578">
              <w:rPr>
                <w:i/>
                <w:lang w:val="en-GB"/>
              </w:rPr>
              <w:t>Exp</w:t>
            </w:r>
            <w:r w:rsidRPr="00456578">
              <w:rPr>
                <w:i/>
                <w:vertAlign w:val="subscript"/>
                <w:lang w:val="en-GB"/>
              </w:rPr>
              <w:t>pr</w:t>
            </w:r>
            <w:r w:rsidRPr="00456578">
              <w:rPr>
                <w:lang w:val="en-GB"/>
              </w:rPr>
              <w:t xml:space="preserve"> =  Sum of all types of private expenditure on the preservation, protection and conservation of cultural and/or natural heritage</w:t>
            </w:r>
          </w:p>
          <w:p w14:paraId="716C608C" w14:textId="77777777" w:rsidR="00EF295B" w:rsidRPr="00456578" w:rsidRDefault="00EF295B" w:rsidP="00EF295B">
            <w:pPr>
              <w:pStyle w:val="NoSpacing"/>
              <w:rPr>
                <w:lang w:val="en-GB"/>
              </w:rPr>
            </w:pPr>
          </w:p>
          <w:p w14:paraId="65C0DA4F" w14:textId="77777777" w:rsidR="00EF295B" w:rsidRPr="00456578" w:rsidRDefault="00EF295B" w:rsidP="00EF295B">
            <w:pPr>
              <w:pStyle w:val="NoSpacing"/>
              <w:rPr>
                <w:lang w:val="en-GB"/>
              </w:rPr>
            </w:pPr>
            <w:r w:rsidRPr="00456578">
              <w:rPr>
                <w:lang w:val="en-GB"/>
              </w:rPr>
              <w:t xml:space="preserve">PPPf: Purchase Power Parity=  PPP Constant $ conversion factor </w:t>
            </w:r>
          </w:p>
          <w:p w14:paraId="328407DB" w14:textId="77777777" w:rsidR="00EF295B" w:rsidRDefault="00EF295B" w:rsidP="00EF295B">
            <w:pPr>
              <w:pStyle w:val="NoSpacing"/>
            </w:pPr>
          </w:p>
        </w:tc>
        <w:tc>
          <w:tcPr>
            <w:tcW w:w="1174" w:type="dxa"/>
          </w:tcPr>
          <w:p w14:paraId="0E2E1967" w14:textId="77777777" w:rsidR="00EF295B" w:rsidRPr="00210934" w:rsidRDefault="00EF295B" w:rsidP="00EF295B">
            <w:pPr>
              <w:autoSpaceDE w:val="0"/>
              <w:autoSpaceDN w:val="0"/>
              <w:adjustRightInd w:val="0"/>
              <w:rPr>
                <w:rFonts w:cstheme="minorHAnsi"/>
                <w:sz w:val="21"/>
                <w:szCs w:val="21"/>
                <w:lang w:val="en-GB"/>
              </w:rPr>
            </w:pPr>
            <w:r w:rsidRPr="00210934">
              <w:rPr>
                <w:rFonts w:cstheme="minorHAnsi"/>
                <w:sz w:val="21"/>
                <w:szCs w:val="21"/>
                <w:lang w:val="en-GB"/>
              </w:rPr>
              <w:lastRenderedPageBreak/>
              <w:t>Global data collection has not taken place yet.  The first global data collection will be launched in May 2019 and thereafter on an annual basis.</w:t>
            </w:r>
          </w:p>
          <w:p w14:paraId="19914AC7" w14:textId="77777777" w:rsidR="00EF295B" w:rsidRPr="00286AE1" w:rsidRDefault="00EF295B" w:rsidP="00EF295B">
            <w:pPr>
              <w:pStyle w:val="NoSpacing"/>
            </w:pPr>
          </w:p>
        </w:tc>
        <w:tc>
          <w:tcPr>
            <w:tcW w:w="818" w:type="dxa"/>
          </w:tcPr>
          <w:p w14:paraId="75EE7D45" w14:textId="77777777" w:rsidR="00EF295B" w:rsidRPr="00286AE1" w:rsidRDefault="00EF295B" w:rsidP="00EF295B">
            <w:pPr>
              <w:pStyle w:val="NoSpacing"/>
            </w:pPr>
            <w:r w:rsidRPr="00E70602">
              <w:rPr>
                <w:lang w:val="en-GB" w:eastAsia="en-GB"/>
              </w:rPr>
              <w:t>National Statistical Offices: Focal point</w:t>
            </w:r>
          </w:p>
        </w:tc>
        <w:tc>
          <w:tcPr>
            <w:tcW w:w="812" w:type="dxa"/>
          </w:tcPr>
          <w:p w14:paraId="036F2654" w14:textId="77777777" w:rsidR="00EF295B" w:rsidRDefault="00EF295B" w:rsidP="00EF295B">
            <w:pPr>
              <w:spacing w:line="276" w:lineRule="auto"/>
              <w:rPr>
                <w:rFonts w:eastAsia="Times New Roman" w:cs="Times New Roman"/>
                <w:color w:val="000000" w:themeColor="text1"/>
                <w:szCs w:val="20"/>
              </w:rPr>
            </w:pPr>
            <w:r w:rsidRPr="00C93607">
              <w:rPr>
                <w:color w:val="FF0000"/>
              </w:rPr>
              <w:t>MoCA</w:t>
            </w:r>
          </w:p>
          <w:p w14:paraId="5A1E04BC" w14:textId="77777777" w:rsidR="00EF295B" w:rsidRDefault="00EF295B" w:rsidP="00EF295B">
            <w:pPr>
              <w:spacing w:line="276" w:lineRule="auto"/>
              <w:rPr>
                <w:rFonts w:eastAsia="Times New Roman" w:cs="Times New Roman"/>
                <w:color w:val="000000" w:themeColor="text1"/>
                <w:szCs w:val="20"/>
              </w:rPr>
            </w:pPr>
          </w:p>
          <w:p w14:paraId="4CA87E2E" w14:textId="77777777" w:rsidR="00EF295B" w:rsidRPr="00BC6F10" w:rsidRDefault="00EF295B" w:rsidP="00EF295B">
            <w:pPr>
              <w:spacing w:line="276" w:lineRule="auto"/>
            </w:pPr>
            <w:r>
              <w:t>Administrative Data</w:t>
            </w:r>
          </w:p>
        </w:tc>
        <w:tc>
          <w:tcPr>
            <w:tcW w:w="1351" w:type="dxa"/>
          </w:tcPr>
          <w:p w14:paraId="76FD9B66" w14:textId="77777777" w:rsidR="00EF295B" w:rsidRPr="00BC6F10" w:rsidRDefault="00EF295B" w:rsidP="00EF295B">
            <w:pPr>
              <w:rPr>
                <w:rFonts w:eastAsia="Times New Roman" w:cs="Times New Roman"/>
                <w:color w:val="000000" w:themeColor="text1"/>
                <w:szCs w:val="20"/>
              </w:rPr>
            </w:pPr>
            <w:r w:rsidRPr="00BC6F10">
              <w:rPr>
                <w:rFonts w:eastAsia="Times New Roman" w:cs="Times New Roman"/>
                <w:color w:val="000000" w:themeColor="text1"/>
                <w:szCs w:val="20"/>
              </w:rPr>
              <w:t>a) FD</w:t>
            </w:r>
          </w:p>
          <w:p w14:paraId="7A3F9F72" w14:textId="77777777" w:rsidR="00EF295B" w:rsidRPr="00BC6F10" w:rsidRDefault="00EF295B" w:rsidP="00EF295B">
            <w:pPr>
              <w:rPr>
                <w:rFonts w:eastAsia="Times New Roman" w:cs="Times New Roman"/>
                <w:color w:val="000000" w:themeColor="text1"/>
                <w:szCs w:val="20"/>
              </w:rPr>
            </w:pPr>
            <w:r w:rsidRPr="00BC6F10">
              <w:rPr>
                <w:rFonts w:eastAsia="Times New Roman" w:cs="Times New Roman"/>
                <w:color w:val="000000" w:themeColor="text1"/>
                <w:szCs w:val="20"/>
              </w:rPr>
              <w:t>b) MoCA</w:t>
            </w:r>
          </w:p>
          <w:p w14:paraId="75D4E14E" w14:textId="77777777" w:rsidR="00EF295B" w:rsidRDefault="00EF295B" w:rsidP="00EF295B">
            <w:pPr>
              <w:spacing w:line="276" w:lineRule="auto"/>
              <w:rPr>
                <w:rFonts w:eastAsia="Times New Roman" w:cs="Times New Roman"/>
                <w:color w:val="000000" w:themeColor="text1"/>
                <w:szCs w:val="20"/>
              </w:rPr>
            </w:pPr>
            <w:r w:rsidRPr="00BC6F10">
              <w:rPr>
                <w:rFonts w:eastAsia="Times New Roman" w:cs="Times New Roman"/>
                <w:color w:val="000000" w:themeColor="text1"/>
                <w:szCs w:val="20"/>
              </w:rPr>
              <w:t xml:space="preserve">c) </w:t>
            </w:r>
            <w:r>
              <w:rPr>
                <w:rFonts w:eastAsia="Times New Roman" w:cs="Times New Roman"/>
                <w:color w:val="000000" w:themeColor="text1"/>
                <w:szCs w:val="20"/>
              </w:rPr>
              <w:t>MoEFCC</w:t>
            </w:r>
          </w:p>
          <w:p w14:paraId="02D46826" w14:textId="77777777" w:rsidR="00EF295B" w:rsidRDefault="00EF295B" w:rsidP="00EF295B">
            <w:pPr>
              <w:spacing w:line="276" w:lineRule="auto"/>
              <w:jc w:val="center"/>
            </w:pPr>
          </w:p>
          <w:p w14:paraId="29AC2231" w14:textId="77777777" w:rsidR="00EF295B" w:rsidRPr="00BC6F10" w:rsidRDefault="00EF295B" w:rsidP="00EF295B">
            <w:pPr>
              <w:spacing w:line="276" w:lineRule="auto"/>
              <w:jc w:val="center"/>
            </w:pPr>
            <w:r>
              <w:t>Administrative Data</w:t>
            </w:r>
          </w:p>
        </w:tc>
        <w:tc>
          <w:tcPr>
            <w:tcW w:w="1349" w:type="dxa"/>
          </w:tcPr>
          <w:p w14:paraId="4BA887F8"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Heritage</w:t>
            </w:r>
          </w:p>
          <w:p w14:paraId="1B752198"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Level of Government</w:t>
            </w:r>
          </w:p>
          <w:p w14:paraId="7796784A"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Expenditure</w:t>
            </w:r>
          </w:p>
          <w:p w14:paraId="6291B84D"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Type of Private Funding</w:t>
            </w:r>
          </w:p>
          <w:p w14:paraId="0B5840E9" w14:textId="77777777" w:rsidR="00EF295B" w:rsidRDefault="00EF295B" w:rsidP="00EF295B">
            <w:pPr>
              <w:ind w:left="970" w:hanging="970"/>
              <w:jc w:val="both"/>
              <w:rPr>
                <w:color w:val="0070C0"/>
                <w:sz w:val="30"/>
                <w:szCs w:val="30"/>
              </w:rPr>
            </w:pPr>
          </w:p>
        </w:tc>
        <w:tc>
          <w:tcPr>
            <w:tcW w:w="1145" w:type="dxa"/>
          </w:tcPr>
          <w:p w14:paraId="53BEE370" w14:textId="77777777" w:rsidR="00EF295B" w:rsidRDefault="00EF295B" w:rsidP="00EF295B">
            <w:pPr>
              <w:ind w:left="970" w:hanging="970"/>
              <w:jc w:val="both"/>
              <w:rPr>
                <w:color w:val="0070C0"/>
                <w:sz w:val="30"/>
                <w:szCs w:val="30"/>
              </w:rPr>
            </w:pPr>
            <w:r w:rsidRPr="00BC6F10">
              <w:t>Annual</w:t>
            </w:r>
          </w:p>
        </w:tc>
        <w:tc>
          <w:tcPr>
            <w:tcW w:w="922" w:type="dxa"/>
          </w:tcPr>
          <w:p w14:paraId="5D2833C0" w14:textId="77777777" w:rsidR="00EF295B" w:rsidRDefault="00EF295B" w:rsidP="00EF295B">
            <w:pPr>
              <w:ind w:left="970" w:hanging="970"/>
              <w:jc w:val="both"/>
              <w:rPr>
                <w:color w:val="0070C0"/>
                <w:sz w:val="30"/>
                <w:szCs w:val="30"/>
              </w:rPr>
            </w:pPr>
            <w:r>
              <w:t>Group 1</w:t>
            </w:r>
          </w:p>
        </w:tc>
        <w:tc>
          <w:tcPr>
            <w:tcW w:w="644" w:type="dxa"/>
          </w:tcPr>
          <w:p w14:paraId="0F6AB6F3" w14:textId="77777777" w:rsidR="00EF295B" w:rsidRDefault="00EF295B" w:rsidP="00EF295B">
            <w:pPr>
              <w:pStyle w:val="NoSpacing"/>
            </w:pPr>
            <w:r>
              <w:t>1</w:t>
            </w:r>
            <w:r w:rsidRPr="00013ACB">
              <w:rPr>
                <w:vertAlign w:val="superscript"/>
              </w:rPr>
              <w:t>st</w:t>
            </w:r>
            <w:r>
              <w:t xml:space="preserve"> Round:</w:t>
            </w:r>
          </w:p>
          <w:p w14:paraId="0BF945A6" w14:textId="77777777" w:rsidR="00EF295B" w:rsidRDefault="00EF295B" w:rsidP="00EF295B">
            <w:pPr>
              <w:pStyle w:val="NoSpacing"/>
            </w:pPr>
            <w:r>
              <w:t>2016</w:t>
            </w:r>
          </w:p>
          <w:p w14:paraId="74F19BB6" w14:textId="77777777" w:rsidR="00EF295B" w:rsidRDefault="00EF295B" w:rsidP="00EF295B">
            <w:pPr>
              <w:pStyle w:val="NoSpacing"/>
            </w:pPr>
            <w:r>
              <w:t>2</w:t>
            </w:r>
            <w:r w:rsidRPr="00013ACB">
              <w:rPr>
                <w:vertAlign w:val="superscript"/>
              </w:rPr>
              <w:t>nd</w:t>
            </w:r>
            <w:r>
              <w:t xml:space="preserve"> Round: </w:t>
            </w:r>
          </w:p>
          <w:p w14:paraId="73EF8DF9" w14:textId="77777777" w:rsidR="00EF295B" w:rsidRDefault="00EF295B" w:rsidP="00EF295B">
            <w:pPr>
              <w:pStyle w:val="NoSpacing"/>
            </w:pPr>
            <w:r w:rsidRPr="00217818">
              <w:t>December 2020</w:t>
            </w:r>
          </w:p>
          <w:p w14:paraId="48268936" w14:textId="77777777" w:rsidR="00EF295B" w:rsidRDefault="00EF295B" w:rsidP="00EF295B">
            <w:pPr>
              <w:pStyle w:val="NoSpacing"/>
            </w:pPr>
            <w:r>
              <w:t>3</w:t>
            </w:r>
            <w:r w:rsidRPr="00013ACB">
              <w:rPr>
                <w:vertAlign w:val="superscript"/>
              </w:rPr>
              <w:t>rd</w:t>
            </w:r>
            <w:r>
              <w:t xml:space="preserve"> Round: </w:t>
            </w:r>
          </w:p>
          <w:p w14:paraId="096AAAEC" w14:textId="77777777" w:rsidR="00EF295B" w:rsidRDefault="00EF295B" w:rsidP="00EF295B">
            <w:pPr>
              <w:pStyle w:val="NoSpacing"/>
            </w:pPr>
            <w:r>
              <w:t>December 2021</w:t>
            </w:r>
          </w:p>
          <w:p w14:paraId="5C2BCC17" w14:textId="77777777" w:rsidR="00EF295B" w:rsidRDefault="00EF295B" w:rsidP="00EF295B">
            <w:pPr>
              <w:pStyle w:val="NoSpacing"/>
            </w:pPr>
          </w:p>
          <w:p w14:paraId="17417C94" w14:textId="77777777" w:rsidR="00EF295B" w:rsidRDefault="00EF295B" w:rsidP="00EF295B">
            <w:pPr>
              <w:pStyle w:val="NoSpacing"/>
            </w:pPr>
            <w:r>
              <w:t>4</w:t>
            </w:r>
            <w:r w:rsidRPr="00013ACB">
              <w:rPr>
                <w:vertAlign w:val="superscript"/>
              </w:rPr>
              <w:t>th</w:t>
            </w:r>
            <w:r>
              <w:t xml:space="preserve"> Round: </w:t>
            </w:r>
          </w:p>
          <w:p w14:paraId="4654F4A9" w14:textId="77777777" w:rsidR="00EF295B" w:rsidRDefault="00EF295B" w:rsidP="00EF295B">
            <w:pPr>
              <w:pStyle w:val="NoSpacing"/>
            </w:pPr>
            <w:r>
              <w:t>December 2022</w:t>
            </w:r>
          </w:p>
          <w:p w14:paraId="443AC864" w14:textId="77777777" w:rsidR="00EF295B" w:rsidRDefault="00EF295B" w:rsidP="00EF295B">
            <w:pPr>
              <w:pStyle w:val="NoSpacing"/>
            </w:pPr>
          </w:p>
          <w:p w14:paraId="1E268BBB" w14:textId="77777777" w:rsidR="00EF295B" w:rsidRDefault="00EF295B" w:rsidP="00EF295B">
            <w:pPr>
              <w:pStyle w:val="NoSpacing"/>
            </w:pPr>
            <w:r>
              <w:t>5</w:t>
            </w:r>
            <w:r w:rsidRPr="00013ACB">
              <w:rPr>
                <w:vertAlign w:val="superscript"/>
              </w:rPr>
              <w:t>th</w:t>
            </w:r>
            <w:r>
              <w:t xml:space="preserve"> Round: </w:t>
            </w:r>
          </w:p>
          <w:p w14:paraId="47CB51E3" w14:textId="77777777" w:rsidR="00EF295B" w:rsidRDefault="00EF295B" w:rsidP="00EF295B">
            <w:pPr>
              <w:pStyle w:val="NoSpacing"/>
            </w:pPr>
            <w:r>
              <w:t>December 2023</w:t>
            </w:r>
          </w:p>
          <w:p w14:paraId="6A563473" w14:textId="15D0184D" w:rsidR="00EF295B" w:rsidRDefault="00EF295B" w:rsidP="00EF295B">
            <w:pPr>
              <w:pStyle w:val="NoSpacing"/>
            </w:pPr>
          </w:p>
        </w:tc>
        <w:tc>
          <w:tcPr>
            <w:tcW w:w="828" w:type="dxa"/>
          </w:tcPr>
          <w:p w14:paraId="0827089B" w14:textId="77777777" w:rsidR="00EF295B" w:rsidRDefault="00EF295B" w:rsidP="00EF295B">
            <w:pPr>
              <w:pStyle w:val="NoSpacing"/>
            </w:pPr>
            <w:r w:rsidRPr="00B950AC">
              <w:t>Reviewed at Nov./Dec. 2019 WebEx meeting (classified as Tier II)</w:t>
            </w:r>
          </w:p>
        </w:tc>
      </w:tr>
      <w:tr w:rsidR="0025292C" w14:paraId="76FCEC7C" w14:textId="77777777" w:rsidTr="00D52BCB">
        <w:tc>
          <w:tcPr>
            <w:tcW w:w="18710" w:type="dxa"/>
            <w:gridSpan w:val="13"/>
          </w:tcPr>
          <w:p w14:paraId="2ACC343E" w14:textId="77777777" w:rsidR="0025292C" w:rsidRDefault="0025292C" w:rsidP="00EF295B">
            <w:pPr>
              <w:jc w:val="both"/>
              <w:rPr>
                <w:color w:val="0070C0"/>
                <w:sz w:val="48"/>
                <w:szCs w:val="48"/>
              </w:rPr>
            </w:pPr>
            <w:r>
              <w:rPr>
                <w:color w:val="0070C0"/>
                <w:sz w:val="30"/>
                <w:szCs w:val="30"/>
              </w:rPr>
              <w:lastRenderedPageBreak/>
              <w:t xml:space="preserve">Target </w:t>
            </w:r>
            <w:r w:rsidRPr="00C97C3C">
              <w:rPr>
                <w:color w:val="0070C0"/>
                <w:sz w:val="30"/>
                <w:szCs w:val="30"/>
              </w:rPr>
              <w:t>11.5 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EF295B" w14:paraId="73CA37D3" w14:textId="77777777" w:rsidTr="0025292C">
        <w:tc>
          <w:tcPr>
            <w:tcW w:w="1218" w:type="dxa"/>
          </w:tcPr>
          <w:p w14:paraId="60095991" w14:textId="77777777" w:rsidR="00EF295B" w:rsidRDefault="00EF295B" w:rsidP="00EF295B">
            <w:pPr>
              <w:pStyle w:val="NoSpacing"/>
            </w:pPr>
            <w:r w:rsidRPr="00627F96">
              <w:t>11.5.1 Number of deaths, missing persons and directly affected persons attributed to disasters per 100,000 population</w:t>
            </w:r>
          </w:p>
        </w:tc>
        <w:tc>
          <w:tcPr>
            <w:tcW w:w="661" w:type="dxa"/>
          </w:tcPr>
          <w:p w14:paraId="61BDE7B7" w14:textId="77777777" w:rsidR="00EF295B" w:rsidRDefault="00EF295B" w:rsidP="00EF295B">
            <w:pPr>
              <w:pStyle w:val="NoSpacing"/>
            </w:pPr>
            <w:r w:rsidRPr="00221F5D">
              <w:t>UNDRR</w:t>
            </w:r>
          </w:p>
          <w:p w14:paraId="4D6F41BA" w14:textId="77777777" w:rsidR="00EF295B" w:rsidRDefault="00EF295B" w:rsidP="00EF295B">
            <w:pPr>
              <w:rPr>
                <w:b/>
                <w:bCs/>
                <w:szCs w:val="20"/>
              </w:rPr>
            </w:pPr>
            <w:r w:rsidRPr="007243FC">
              <w:rPr>
                <w:b/>
                <w:bCs/>
                <w:szCs w:val="20"/>
              </w:rPr>
              <w:t>Partner Agencies:</w:t>
            </w:r>
          </w:p>
          <w:p w14:paraId="40396C24" w14:textId="77777777" w:rsidR="00EF295B" w:rsidRDefault="00EF295B" w:rsidP="00EF295B">
            <w:pPr>
              <w:pStyle w:val="NoSpacing"/>
            </w:pPr>
            <w:r>
              <w:t xml:space="preserve">UN-Habitat, </w:t>
            </w:r>
          </w:p>
          <w:p w14:paraId="75F6664F" w14:textId="77777777" w:rsidR="00EF295B" w:rsidRDefault="00EF295B" w:rsidP="00EF295B">
            <w:pPr>
              <w:pStyle w:val="NoSpacing"/>
            </w:pPr>
            <w:r>
              <w:t>UNEP</w:t>
            </w:r>
          </w:p>
        </w:tc>
        <w:tc>
          <w:tcPr>
            <w:tcW w:w="935" w:type="dxa"/>
          </w:tcPr>
          <w:p w14:paraId="08BFDE9C" w14:textId="77777777" w:rsidR="00EF295B" w:rsidRDefault="00EF295B" w:rsidP="00EF295B">
            <w:pPr>
              <w:ind w:left="970" w:hanging="970"/>
              <w:jc w:val="both"/>
              <w:rPr>
                <w:color w:val="0070C0"/>
                <w:sz w:val="30"/>
                <w:szCs w:val="30"/>
              </w:rPr>
            </w:pPr>
            <w:r w:rsidRPr="00666BAB">
              <w:t>Tier II</w:t>
            </w:r>
          </w:p>
        </w:tc>
        <w:tc>
          <w:tcPr>
            <w:tcW w:w="6853" w:type="dxa"/>
          </w:tcPr>
          <w:p w14:paraId="43CBCE87" w14:textId="77777777" w:rsidR="00EF295B" w:rsidRDefault="00EF295B" w:rsidP="00EF295B">
            <w:pPr>
              <w:pStyle w:val="NoSpacing"/>
              <w:rPr>
                <w:lang w:eastAsia="en-GB"/>
              </w:rPr>
            </w:pPr>
            <w:r w:rsidRPr="00050DAF">
              <w:rPr>
                <w:lang w:eastAsia="en-GB"/>
              </w:rPr>
              <w:t>Definition:</w:t>
            </w:r>
          </w:p>
          <w:p w14:paraId="7CBEF24C" w14:textId="77777777" w:rsidR="00EF295B" w:rsidRDefault="00EF295B" w:rsidP="00EF295B">
            <w:pPr>
              <w:pStyle w:val="NoSpacing"/>
              <w:rPr>
                <w:lang w:eastAsia="en-GB"/>
              </w:rPr>
            </w:pPr>
            <w:r w:rsidRPr="002E124C">
              <w:rPr>
                <w:lang w:eastAsia="en-GB"/>
              </w:rPr>
              <w:t>This indicator measures</w:t>
            </w:r>
            <w:r>
              <w:rPr>
                <w:lang w:eastAsia="en-GB"/>
              </w:rPr>
              <w:t xml:space="preserve"> the number of people who died, went missing or were directly affected by</w:t>
            </w:r>
            <w:r w:rsidRPr="00AE42C9">
              <w:rPr>
                <w:lang w:eastAsia="en-GB"/>
              </w:rPr>
              <w:t xml:space="preserve"> disasters per 100,000 </w:t>
            </w:r>
            <w:proofErr w:type="gramStart"/>
            <w:r w:rsidRPr="00AE42C9">
              <w:rPr>
                <w:lang w:eastAsia="en-GB"/>
              </w:rPr>
              <w:t>population</w:t>
            </w:r>
            <w:proofErr w:type="gramEnd"/>
            <w:r>
              <w:rPr>
                <w:lang w:eastAsia="en-GB"/>
              </w:rPr>
              <w:t xml:space="preserve">. </w:t>
            </w:r>
          </w:p>
          <w:p w14:paraId="446244F8" w14:textId="77777777" w:rsidR="00EF295B" w:rsidRDefault="00EF295B" w:rsidP="00EF295B">
            <w:pPr>
              <w:pStyle w:val="NoSpacing"/>
              <w:rPr>
                <w:lang w:eastAsia="en-GB"/>
              </w:rPr>
            </w:pPr>
          </w:p>
          <w:p w14:paraId="08FCC593" w14:textId="77777777" w:rsidR="00EF295B" w:rsidRDefault="00EF295B" w:rsidP="00EF295B">
            <w:pPr>
              <w:pStyle w:val="NoSpacing"/>
              <w:rPr>
                <w:lang w:eastAsia="en-GB"/>
              </w:rPr>
            </w:pPr>
            <w:r w:rsidRPr="00050DAF">
              <w:rPr>
                <w:lang w:eastAsia="en-GB"/>
              </w:rPr>
              <w:t>Concepts:</w:t>
            </w:r>
          </w:p>
          <w:p w14:paraId="643445F5" w14:textId="77777777" w:rsidR="00EF295B" w:rsidRDefault="00EF295B" w:rsidP="00EF295B">
            <w:pPr>
              <w:pStyle w:val="NoSpacing"/>
            </w:pPr>
            <w:r w:rsidRPr="00360B95">
              <w:t>Death: The number of people who died during the disaster, or directly after, as a direct result of the hazardous event</w:t>
            </w:r>
            <w:r>
              <w:t>.</w:t>
            </w:r>
          </w:p>
          <w:p w14:paraId="446CB2A0" w14:textId="77777777" w:rsidR="00EF295B" w:rsidRPr="00360B95" w:rsidRDefault="00EF295B" w:rsidP="00EF295B">
            <w:pPr>
              <w:pStyle w:val="NoSpacing"/>
              <w:rPr>
                <w:b/>
              </w:rPr>
            </w:pPr>
            <w:r w:rsidRPr="00360B95">
              <w:rPr>
                <w:b/>
              </w:rPr>
              <w:t xml:space="preserve">Missing: </w:t>
            </w:r>
            <w:r w:rsidRPr="00360B95">
              <w:t>The number of people whose whereabouts is unknown since the hazardous event. It</w:t>
            </w:r>
            <w:r w:rsidRPr="00360B95">
              <w:rPr>
                <w:b/>
                <w:bCs/>
              </w:rPr>
              <w:t xml:space="preserve"> </w:t>
            </w:r>
            <w:r w:rsidRPr="00360B95">
              <w:t>includes people who are presumed dead, for whom there is no physical evidence such as a body, and for which an official/legal report has been filed with competent authorities.</w:t>
            </w:r>
          </w:p>
          <w:p w14:paraId="190D902D" w14:textId="77777777" w:rsidR="00EF295B" w:rsidRPr="001D69F5" w:rsidRDefault="00EF295B" w:rsidP="00EF295B">
            <w:pPr>
              <w:pStyle w:val="NoSpacing"/>
              <w:rPr>
                <w:lang w:eastAsia="en-GB"/>
              </w:rPr>
            </w:pPr>
            <w:r w:rsidRPr="00464F42">
              <w:rPr>
                <w:b/>
                <w:bCs/>
                <w:lang w:eastAsia="en-GB"/>
              </w:rPr>
              <w:t>Directly affected</w:t>
            </w:r>
            <w:r>
              <w:rPr>
                <w:b/>
                <w:bCs/>
                <w:lang w:eastAsia="en-GB"/>
              </w:rPr>
              <w:t xml:space="preserve">: </w:t>
            </w:r>
            <w:r w:rsidRPr="00464F42">
              <w:rPr>
                <w:b/>
                <w:bCs/>
                <w:lang w:eastAsia="en-GB"/>
              </w:rPr>
              <w:t xml:space="preserve"> </w:t>
            </w:r>
            <w:r w:rsidRPr="00360B95">
              <w:t xml:space="preserve">The number of people </w:t>
            </w:r>
            <w:r w:rsidRPr="00464F42">
              <w:rPr>
                <w:lang w:eastAsia="en-GB"/>
              </w:rPr>
              <w:t>who have suffered injury, illness or other health effects; who were evacuated, displaced, relocated or have suffered direct damage to their livelihoods, economic, physical, social, cultural and environmental assets. Indirectly affected are people who have suffered consequences, other than or in addition to direct effects, over time, due to disruption or changes in economy, critical infrastructure, basic services, commerce or work, or social, health and psychological consequences.</w:t>
            </w:r>
          </w:p>
          <w:p w14:paraId="3860BEFA" w14:textId="77777777" w:rsidR="00EF295B" w:rsidRDefault="00EF295B" w:rsidP="00EF295B">
            <w:pPr>
              <w:pStyle w:val="NoSpacing"/>
              <w:rPr>
                <w:noProof/>
                <w:lang w:eastAsia="en-GB"/>
              </w:rPr>
            </w:pPr>
          </w:p>
          <w:p w14:paraId="728B523C" w14:textId="77777777" w:rsidR="00EF295B" w:rsidRDefault="00EF295B" w:rsidP="00EF295B">
            <w:pPr>
              <w:pStyle w:val="NoSpacing"/>
              <w:rPr>
                <w:b/>
                <w:bCs/>
                <w:lang w:eastAsia="en-GB"/>
              </w:rPr>
            </w:pPr>
            <w:r w:rsidRPr="00050DAF">
              <w:rPr>
                <w:b/>
                <w:bCs/>
                <w:lang w:eastAsia="en-GB"/>
              </w:rPr>
              <w:t>Computation Method:</w:t>
            </w:r>
          </w:p>
          <w:p w14:paraId="65DECAB2" w14:textId="77777777" w:rsidR="00EF295B" w:rsidRDefault="00EF295B" w:rsidP="00EF295B">
            <w:pPr>
              <w:pStyle w:val="NoSpacing"/>
              <w:rPr>
                <w:noProof/>
                <w:lang w:eastAsia="en-GB"/>
              </w:rPr>
            </w:pPr>
            <w:r>
              <w:rPr>
                <w:noProof/>
                <w:lang w:eastAsia="en-GB"/>
              </w:rPr>
              <w:t xml:space="preserve">This indicator, </w:t>
            </w:r>
            <w:r>
              <w:rPr>
                <w:i/>
                <w:noProof/>
                <w:lang w:eastAsia="en-GB"/>
              </w:rPr>
              <w:t>X</w:t>
            </w:r>
            <w:r>
              <w:rPr>
                <w:noProof/>
                <w:lang w:eastAsia="en-GB"/>
              </w:rPr>
              <w:t xml:space="preserve">, is calculated as a simple summation of related indicators (death, missing people, and affected people) from national disaster loss databases divided by the global population data (from national censuses, World Bank or UN Statistical Commission information). </w:t>
            </w:r>
          </w:p>
          <w:p w14:paraId="2F12F518" w14:textId="77777777" w:rsidR="00EF295B" w:rsidRDefault="00EF295B" w:rsidP="00EF295B">
            <w:pPr>
              <w:shd w:val="clear" w:color="auto" w:fill="FFFFFF"/>
              <w:rPr>
                <w:rFonts w:eastAsia="Times New Roman" w:cs="Times New Roman"/>
                <w:noProof/>
                <w:color w:val="4A4A4A"/>
                <w:sz w:val="21"/>
                <w:szCs w:val="21"/>
                <w:lang w:eastAsia="en-GB"/>
              </w:rPr>
            </w:pPr>
          </w:p>
          <w:p w14:paraId="055158D0" w14:textId="77777777" w:rsidR="00EF295B" w:rsidRDefault="004B4A24" w:rsidP="00EF295B">
            <w:pPr>
              <w:pStyle w:val="NoSpacing"/>
              <w:rPr>
                <w:noProof/>
                <w:lang w:eastAsia="en-GB"/>
              </w:rPr>
            </w:pPr>
            <m:oMathPara>
              <m:oMath>
                <m:sSub>
                  <m:sSubPr>
                    <m:ctrlPr>
                      <w:rPr>
                        <w:rFonts w:ascii="Cambria Math" w:hAnsi="Cambria Math"/>
                        <w:noProof/>
                        <w:lang w:eastAsia="en-GB"/>
                      </w:rPr>
                    </m:ctrlPr>
                  </m:sSubPr>
                  <m:e>
                    <m:r>
                      <w:rPr>
                        <w:rFonts w:ascii="Cambria Math" w:hAnsi="Cambria Math"/>
                        <w:noProof/>
                        <w:lang w:eastAsia="en-GB"/>
                      </w:rPr>
                      <m:t>X</m:t>
                    </m:r>
                  </m:e>
                  <m:sub/>
                </m:sSub>
                <m:r>
                  <m:rPr>
                    <m:sty m:val="p"/>
                  </m:rPr>
                  <w:rPr>
                    <w:rFonts w:ascii="Cambria Math" w:hAnsi="Cambria Math"/>
                    <w:noProof/>
                    <w:lang w:eastAsia="en-GB"/>
                  </w:rPr>
                  <m:t>=</m:t>
                </m:r>
                <m:f>
                  <m:fPr>
                    <m:ctrlPr>
                      <w:rPr>
                        <w:rFonts w:ascii="Cambria Math" w:hAnsi="Cambria Math"/>
                        <w:noProof/>
                        <w:lang w:eastAsia="en-GB"/>
                      </w:rPr>
                    </m:ctrlPr>
                  </m:fPr>
                  <m:num>
                    <m:r>
                      <m:rPr>
                        <m:sty m:val="p"/>
                      </m:rPr>
                      <w:rPr>
                        <w:rFonts w:ascii="Cambria Math" w:hAnsi="Cambria Math"/>
                        <w:noProof/>
                        <w:lang w:eastAsia="en-GB"/>
                      </w:rPr>
                      <m:t>(</m:t>
                    </m:r>
                    <m:sSub>
                      <m:sSubPr>
                        <m:ctrlPr>
                          <w:rPr>
                            <w:rFonts w:ascii="Cambria Math" w:hAnsi="Cambria Math"/>
                            <w:noProof/>
                            <w:lang w:eastAsia="en-GB"/>
                          </w:rPr>
                        </m:ctrlPr>
                      </m:sSubPr>
                      <m:e>
                        <m:r>
                          <w:rPr>
                            <w:rFonts w:ascii="Cambria Math" w:hAnsi="Cambria Math"/>
                            <w:noProof/>
                            <w:lang w:eastAsia="en-GB"/>
                          </w:rPr>
                          <m:t>A</m:t>
                        </m:r>
                      </m:e>
                      <m:sub>
                        <m:r>
                          <m:rPr>
                            <m:sty m:val="p"/>
                          </m:rPr>
                          <w:rPr>
                            <w:rFonts w:ascii="Cambria Math" w:hAnsi="Cambria Math"/>
                            <w:noProof/>
                            <w:lang w:eastAsia="en-GB"/>
                          </w:rPr>
                          <m:t>2</m:t>
                        </m:r>
                      </m:sub>
                    </m:sSub>
                    <m:r>
                      <m:rPr>
                        <m:sty m:val="p"/>
                      </m:rPr>
                      <w:rPr>
                        <w:rFonts w:ascii="Cambria Math" w:hAnsi="Cambria Math"/>
                        <w:noProof/>
                        <w:lang w:eastAsia="en-GB"/>
                      </w:rPr>
                      <m:t>+</m:t>
                    </m:r>
                    <m:sSub>
                      <m:sSubPr>
                        <m:ctrlPr>
                          <w:rPr>
                            <w:rFonts w:ascii="Cambria Math" w:hAnsi="Cambria Math"/>
                            <w:noProof/>
                            <w:lang w:eastAsia="en-GB"/>
                          </w:rPr>
                        </m:ctrlPr>
                      </m:sSubPr>
                      <m:e>
                        <m:r>
                          <w:rPr>
                            <w:rFonts w:ascii="Cambria Math" w:hAnsi="Cambria Math"/>
                            <w:noProof/>
                            <w:lang w:eastAsia="en-GB"/>
                          </w:rPr>
                          <m:t>A</m:t>
                        </m:r>
                      </m:e>
                      <m:sub>
                        <m:r>
                          <m:rPr>
                            <m:sty m:val="p"/>
                          </m:rPr>
                          <w:rPr>
                            <w:rFonts w:ascii="Cambria Math" w:hAnsi="Cambria Math"/>
                            <w:noProof/>
                            <w:lang w:eastAsia="en-GB"/>
                          </w:rPr>
                          <m:t>3</m:t>
                        </m:r>
                      </m:sub>
                    </m:sSub>
                    <m:r>
                      <m:rPr>
                        <m:sty m:val="p"/>
                      </m:rPr>
                      <w:rPr>
                        <w:rFonts w:ascii="Cambria Math" w:hAnsi="Cambria Math"/>
                        <w:noProof/>
                        <w:lang w:eastAsia="en-GB"/>
                      </w:rPr>
                      <m:t>+</m:t>
                    </m:r>
                    <m:sSub>
                      <m:sSubPr>
                        <m:ctrlPr>
                          <w:rPr>
                            <w:rFonts w:ascii="Cambria Math" w:hAnsi="Cambria Math"/>
                            <w:noProof/>
                            <w:lang w:eastAsia="en-GB"/>
                          </w:rPr>
                        </m:ctrlPr>
                      </m:sSubPr>
                      <m:e>
                        <m:r>
                          <w:rPr>
                            <w:rFonts w:ascii="Cambria Math" w:hAnsi="Cambria Math"/>
                            <w:noProof/>
                            <w:lang w:eastAsia="en-GB"/>
                          </w:rPr>
                          <m:t>B</m:t>
                        </m:r>
                      </m:e>
                      <m:sub>
                        <m:r>
                          <m:rPr>
                            <m:sty m:val="p"/>
                          </m:rPr>
                          <w:rPr>
                            <w:rFonts w:ascii="Cambria Math" w:hAnsi="Cambria Math"/>
                            <w:noProof/>
                            <w:lang w:eastAsia="en-GB"/>
                          </w:rPr>
                          <m:t>1</m:t>
                        </m:r>
                      </m:sub>
                    </m:sSub>
                    <m:r>
                      <m:rPr>
                        <m:sty m:val="p"/>
                      </m:rPr>
                      <w:rPr>
                        <w:rFonts w:ascii="Cambria Math" w:hAnsi="Cambria Math"/>
                        <w:noProof/>
                        <w:lang w:eastAsia="en-GB"/>
                      </w:rPr>
                      <m:t>)</m:t>
                    </m:r>
                  </m:num>
                  <m:den>
                    <m:r>
                      <w:rPr>
                        <w:rFonts w:ascii="Cambria Math" w:hAnsi="Cambria Math"/>
                        <w:noProof/>
                        <w:lang w:eastAsia="en-GB"/>
                      </w:rPr>
                      <m:t>Global</m:t>
                    </m:r>
                    <m:r>
                      <m:rPr>
                        <m:sty m:val="p"/>
                      </m:rPr>
                      <w:rPr>
                        <w:rFonts w:ascii="Cambria Math" w:hAnsi="Cambria Math"/>
                        <w:noProof/>
                        <w:lang w:eastAsia="en-GB"/>
                      </w:rPr>
                      <m:t xml:space="preserve"> </m:t>
                    </m:r>
                    <m:r>
                      <w:rPr>
                        <w:rFonts w:ascii="Cambria Math" w:hAnsi="Cambria Math"/>
                        <w:noProof/>
                        <w:lang w:eastAsia="en-GB"/>
                      </w:rPr>
                      <m:t>Population</m:t>
                    </m:r>
                  </m:den>
                </m:f>
                <m:r>
                  <m:rPr>
                    <m:sty m:val="p"/>
                  </m:rPr>
                  <w:rPr>
                    <w:rFonts w:ascii="Cambria Math" w:hAnsi="Cambria Math"/>
                    <w:noProof/>
                    <w:lang w:eastAsia="en-GB"/>
                  </w:rPr>
                  <m:t xml:space="preserve"> ×100,000</m:t>
                </m:r>
              </m:oMath>
            </m:oMathPara>
          </w:p>
          <w:p w14:paraId="1CC8D4CB" w14:textId="77777777" w:rsidR="00EF295B" w:rsidRDefault="00EF295B" w:rsidP="00EF295B">
            <w:pPr>
              <w:pStyle w:val="NoSpacing"/>
              <w:rPr>
                <w:noProof/>
                <w:lang w:eastAsia="en-GB"/>
              </w:rPr>
            </w:pPr>
            <w:r>
              <w:rPr>
                <w:noProof/>
                <w:lang w:eastAsia="en-GB"/>
              </w:rPr>
              <w:t>Where:</w:t>
            </w:r>
          </w:p>
          <w:p w14:paraId="5F98302F" w14:textId="77777777" w:rsidR="00EF295B" w:rsidRDefault="00EF295B" w:rsidP="00EF295B">
            <w:pPr>
              <w:pStyle w:val="NoSpacing"/>
              <w:rPr>
                <w:noProof/>
                <w:lang w:eastAsia="en-GB"/>
              </w:rPr>
            </w:pPr>
            <w:r>
              <w:rPr>
                <w:noProof/>
                <w:lang w:eastAsia="en-GB"/>
              </w:rPr>
              <w:t>A</w:t>
            </w:r>
            <w:r>
              <w:rPr>
                <w:noProof/>
                <w:vertAlign w:val="subscript"/>
                <w:lang w:eastAsia="en-GB"/>
              </w:rPr>
              <w:t xml:space="preserve">2 </w:t>
            </w:r>
            <w:r>
              <w:rPr>
                <w:noProof/>
                <w:lang w:eastAsia="en-GB"/>
              </w:rPr>
              <w:t xml:space="preserve"> </w:t>
            </w:r>
            <w:r w:rsidRPr="008A6261">
              <w:rPr>
                <w:noProof/>
                <w:lang w:eastAsia="en-GB"/>
              </w:rPr>
              <w:t>Number of deaths attributed to disasters</w:t>
            </w:r>
            <w:r>
              <w:rPr>
                <w:noProof/>
                <w:lang w:eastAsia="en-GB"/>
              </w:rPr>
              <w:t xml:space="preserve">; </w:t>
            </w:r>
          </w:p>
          <w:p w14:paraId="6C7D5D01" w14:textId="77777777" w:rsidR="00EF295B" w:rsidRDefault="00EF295B" w:rsidP="00EF295B">
            <w:pPr>
              <w:pStyle w:val="NoSpacing"/>
              <w:rPr>
                <w:noProof/>
                <w:lang w:eastAsia="en-GB"/>
              </w:rPr>
            </w:pPr>
            <w:r>
              <w:rPr>
                <w:noProof/>
                <w:lang w:eastAsia="en-GB"/>
              </w:rPr>
              <w:t>A</w:t>
            </w:r>
            <w:r>
              <w:rPr>
                <w:noProof/>
                <w:vertAlign w:val="subscript"/>
                <w:lang w:eastAsia="en-GB"/>
              </w:rPr>
              <w:t>3</w:t>
            </w:r>
            <w:r>
              <w:rPr>
                <w:noProof/>
                <w:lang w:eastAsia="en-GB"/>
              </w:rPr>
              <w:t xml:space="preserve"> </w:t>
            </w:r>
            <w:r w:rsidRPr="008A6261">
              <w:rPr>
                <w:noProof/>
                <w:lang w:eastAsia="en-GB"/>
              </w:rPr>
              <w:t>Number of missing persons attributed to disasters</w:t>
            </w:r>
            <w:r>
              <w:rPr>
                <w:noProof/>
                <w:lang w:eastAsia="en-GB"/>
              </w:rPr>
              <w:t xml:space="preserve">; and </w:t>
            </w:r>
          </w:p>
          <w:p w14:paraId="2065D8B7" w14:textId="77777777" w:rsidR="00EF295B" w:rsidRDefault="00EF295B" w:rsidP="00EF295B">
            <w:pPr>
              <w:pStyle w:val="NoSpacing"/>
              <w:rPr>
                <w:noProof/>
                <w:lang w:eastAsia="en-GB"/>
              </w:rPr>
            </w:pPr>
            <w:r>
              <w:rPr>
                <w:noProof/>
                <w:lang w:eastAsia="en-GB"/>
              </w:rPr>
              <w:t>B</w:t>
            </w:r>
            <w:r>
              <w:rPr>
                <w:noProof/>
                <w:vertAlign w:val="subscript"/>
                <w:lang w:eastAsia="en-GB"/>
              </w:rPr>
              <w:t>1</w:t>
            </w:r>
            <w:r>
              <w:rPr>
                <w:noProof/>
                <w:lang w:eastAsia="en-GB"/>
              </w:rPr>
              <w:t xml:space="preserve"> </w:t>
            </w:r>
            <w:r w:rsidRPr="00A75316">
              <w:rPr>
                <w:noProof/>
                <w:lang w:eastAsia="en-GB"/>
              </w:rPr>
              <w:t>Number of directly affected people attributed to disasters</w:t>
            </w:r>
            <w:r>
              <w:rPr>
                <w:noProof/>
                <w:lang w:eastAsia="en-GB"/>
              </w:rPr>
              <w:t xml:space="preserve">. </w:t>
            </w:r>
          </w:p>
          <w:p w14:paraId="7E37A6F0" w14:textId="77777777" w:rsidR="00EF295B" w:rsidRDefault="00EF295B" w:rsidP="00EF295B">
            <w:pPr>
              <w:pStyle w:val="NoSpacing"/>
              <w:rPr>
                <w:noProof/>
                <w:lang w:eastAsia="en-GB"/>
              </w:rPr>
            </w:pPr>
            <w:r>
              <w:rPr>
                <w:noProof/>
                <w:lang w:eastAsia="en-GB"/>
              </w:rPr>
              <w:t xml:space="preserve">* </w:t>
            </w:r>
            <w:r w:rsidRPr="004E444D">
              <w:rPr>
                <w:noProof/>
                <w:lang w:eastAsia="en-GB"/>
              </w:rPr>
              <w:t>Detailed methodologies can be found in the Technical Guidance (</w:t>
            </w:r>
            <w:r>
              <w:rPr>
                <w:noProof/>
                <w:lang w:eastAsia="en-GB"/>
              </w:rPr>
              <w:t>see below the Reference section</w:t>
            </w:r>
            <w:r w:rsidRPr="004E444D">
              <w:rPr>
                <w:noProof/>
                <w:lang w:eastAsia="en-GB"/>
              </w:rPr>
              <w:t>)</w:t>
            </w:r>
          </w:p>
          <w:p w14:paraId="380C49D0" w14:textId="77777777" w:rsidR="00EF295B" w:rsidRDefault="00EF295B" w:rsidP="00EF295B">
            <w:pPr>
              <w:pStyle w:val="NoSpacing"/>
              <w:rPr>
                <w:noProof/>
                <w:lang w:eastAsia="en-GB"/>
              </w:rPr>
            </w:pPr>
          </w:p>
          <w:p w14:paraId="4A787785" w14:textId="77777777" w:rsidR="00EF295B" w:rsidRDefault="00EF295B" w:rsidP="00EF295B">
            <w:pPr>
              <w:pStyle w:val="NoSpacing"/>
              <w:rPr>
                <w:b/>
                <w:bCs/>
                <w:lang w:eastAsia="en-GB"/>
              </w:rPr>
            </w:pPr>
            <w:r w:rsidRPr="00050DAF">
              <w:rPr>
                <w:b/>
                <w:bCs/>
                <w:lang w:eastAsia="en-GB"/>
              </w:rPr>
              <w:t>Comments and limitations:</w:t>
            </w:r>
          </w:p>
          <w:p w14:paraId="0A8E03AF" w14:textId="77777777" w:rsidR="00EF295B" w:rsidRPr="006A44DE" w:rsidRDefault="00EF295B" w:rsidP="00EF295B">
            <w:pPr>
              <w:pStyle w:val="NoSpacing"/>
              <w:rPr>
                <w:bCs/>
                <w:lang w:eastAsia="en-GB"/>
              </w:rPr>
            </w:pPr>
            <w:r>
              <w:rPr>
                <w:bCs/>
                <w:lang w:eastAsia="en-GB"/>
              </w:rPr>
              <w:t xml:space="preserve">The Sendai Framework Monitoring System has been developed to measure the progress in the implementation of the Sendai Framework by UNGA endorsed indicators. Member States </w:t>
            </w:r>
            <w:r w:rsidRPr="006A44DE">
              <w:rPr>
                <w:bCs/>
                <w:lang w:eastAsia="en-GB"/>
              </w:rPr>
              <w:t xml:space="preserve">will </w:t>
            </w:r>
            <w:r>
              <w:rPr>
                <w:bCs/>
                <w:lang w:eastAsia="en-GB"/>
              </w:rPr>
              <w:t>be able to report through the System from March 2018. The data for SDG indicators will be compiled and reported by UNISDR</w:t>
            </w:r>
            <w:r w:rsidRPr="00DA6272">
              <w:rPr>
                <w:bCs/>
                <w:lang w:eastAsia="en-GB"/>
              </w:rPr>
              <w:t>.</w:t>
            </w:r>
          </w:p>
          <w:p w14:paraId="0530064D" w14:textId="77777777" w:rsidR="00EF295B" w:rsidRDefault="00EF295B" w:rsidP="00EF295B">
            <w:pPr>
              <w:ind w:left="970" w:hanging="970"/>
              <w:jc w:val="both"/>
              <w:rPr>
                <w:color w:val="0070C0"/>
                <w:sz w:val="30"/>
                <w:szCs w:val="30"/>
              </w:rPr>
            </w:pPr>
          </w:p>
        </w:tc>
        <w:tc>
          <w:tcPr>
            <w:tcW w:w="1174" w:type="dxa"/>
          </w:tcPr>
          <w:p w14:paraId="1E6E7484" w14:textId="77777777" w:rsidR="00EF295B" w:rsidRPr="000114CA" w:rsidRDefault="00EF295B" w:rsidP="00EF295B">
            <w:pPr>
              <w:pStyle w:val="NoSpacing"/>
            </w:pPr>
            <w:r w:rsidRPr="000114CA">
              <w:lastRenderedPageBreak/>
              <w:t>Data provider at national level is appointed Sendai Framework Focal Points</w:t>
            </w:r>
            <w:r>
              <w:t>.</w:t>
            </w:r>
          </w:p>
          <w:p w14:paraId="0E78BCCE" w14:textId="77777777" w:rsidR="00EF295B" w:rsidRPr="000114CA" w:rsidRDefault="00EF295B" w:rsidP="00EF295B">
            <w:pPr>
              <w:pStyle w:val="NoSpacing"/>
            </w:pPr>
            <w:r w:rsidRPr="000114CA">
              <w:t>The Sendai Framework Focal Points in each country are responsible of data reporting through the Sendai Framework Monitoring System.</w:t>
            </w:r>
          </w:p>
        </w:tc>
        <w:tc>
          <w:tcPr>
            <w:tcW w:w="818" w:type="dxa"/>
          </w:tcPr>
          <w:p w14:paraId="48EFDDF0" w14:textId="77777777" w:rsidR="00EF295B" w:rsidRPr="00286AE1" w:rsidRDefault="00EF295B" w:rsidP="00EF295B">
            <w:pPr>
              <w:pStyle w:val="NoSpacing"/>
            </w:pPr>
            <w:r>
              <w:rPr>
                <w:lang w:eastAsia="en-GB"/>
              </w:rPr>
              <w:t>N</w:t>
            </w:r>
            <w:r w:rsidRPr="00511CD1">
              <w:rPr>
                <w:lang w:eastAsia="en-GB"/>
              </w:rPr>
              <w:t>ational disaster management agencies, civil protection agencies, and meteorological agencies.</w:t>
            </w:r>
          </w:p>
        </w:tc>
        <w:tc>
          <w:tcPr>
            <w:tcW w:w="812" w:type="dxa"/>
          </w:tcPr>
          <w:p w14:paraId="13FD8227" w14:textId="396DA7E9" w:rsidR="00EF295B" w:rsidRDefault="00EF295B" w:rsidP="00EF295B">
            <w:pPr>
              <w:pStyle w:val="NoSpacing"/>
            </w:pPr>
          </w:p>
          <w:p w14:paraId="7F76C93D" w14:textId="77777777" w:rsidR="00EF295B" w:rsidRDefault="00EF295B" w:rsidP="00EF295B">
            <w:pPr>
              <w:pStyle w:val="NoSpacing"/>
            </w:pPr>
          </w:p>
          <w:p w14:paraId="0B131669" w14:textId="77777777" w:rsidR="00EF295B" w:rsidRDefault="00EF295B" w:rsidP="00EF295B">
            <w:pPr>
              <w:pStyle w:val="NoSpacing"/>
            </w:pPr>
            <w:r>
              <w:t>BDRHS</w:t>
            </w:r>
          </w:p>
          <w:p w14:paraId="764F6753" w14:textId="77777777" w:rsidR="00EF295B" w:rsidRDefault="00EF295B" w:rsidP="00EF295B">
            <w:pPr>
              <w:pStyle w:val="NoSpacing"/>
            </w:pPr>
          </w:p>
          <w:p w14:paraId="5F3BC94C" w14:textId="77777777" w:rsidR="00EF295B" w:rsidRPr="00BC6F10" w:rsidRDefault="00EF295B" w:rsidP="00EF295B">
            <w:pPr>
              <w:pStyle w:val="NoSpacing"/>
            </w:pPr>
            <w:r>
              <w:t>Administrative Record</w:t>
            </w:r>
          </w:p>
        </w:tc>
        <w:tc>
          <w:tcPr>
            <w:tcW w:w="1351" w:type="dxa"/>
          </w:tcPr>
          <w:p w14:paraId="13A6430D" w14:textId="77777777" w:rsidR="00EF295B" w:rsidRDefault="00EF295B" w:rsidP="00EF295B">
            <w:pPr>
              <w:pStyle w:val="NoSpacing"/>
            </w:pPr>
            <w:r w:rsidRPr="00BC6F10">
              <w:t>BBS</w:t>
            </w:r>
            <w:r>
              <w:t>, BDRHS, SID</w:t>
            </w:r>
          </w:p>
          <w:p w14:paraId="6C67066A" w14:textId="77777777" w:rsidR="00EF295B" w:rsidRDefault="00EF295B" w:rsidP="00EF295B">
            <w:pPr>
              <w:pStyle w:val="NoSpacing"/>
            </w:pPr>
          </w:p>
          <w:p w14:paraId="476DEF4B" w14:textId="77777777" w:rsidR="00EF295B" w:rsidRDefault="00EF295B" w:rsidP="00EF295B">
            <w:pPr>
              <w:pStyle w:val="NoSpacing"/>
            </w:pPr>
          </w:p>
          <w:p w14:paraId="5F81E18B" w14:textId="77777777" w:rsidR="00EF295B" w:rsidRDefault="00EF295B" w:rsidP="00EF295B">
            <w:pPr>
              <w:pStyle w:val="NoSpacing"/>
            </w:pPr>
            <w:r>
              <w:t>DDM, MoDMR</w:t>
            </w:r>
          </w:p>
          <w:p w14:paraId="14B66E69" w14:textId="77777777" w:rsidR="00EF295B" w:rsidRDefault="00EF295B" w:rsidP="00EF295B">
            <w:pPr>
              <w:pStyle w:val="NoSpacing"/>
            </w:pPr>
          </w:p>
          <w:p w14:paraId="35B66E9D" w14:textId="77777777" w:rsidR="00EF295B" w:rsidRDefault="00EF295B" w:rsidP="00EF295B">
            <w:pPr>
              <w:pStyle w:val="NoSpacing"/>
            </w:pPr>
          </w:p>
          <w:p w14:paraId="48B35C98" w14:textId="77777777" w:rsidR="00EF295B" w:rsidRDefault="00EF295B" w:rsidP="00EF295B">
            <w:pPr>
              <w:pStyle w:val="NoSpacing"/>
            </w:pPr>
          </w:p>
          <w:p w14:paraId="23F4080A" w14:textId="77777777" w:rsidR="00EF295B" w:rsidRPr="00BC6F10" w:rsidRDefault="00EF295B" w:rsidP="00EF295B">
            <w:pPr>
              <w:pStyle w:val="NoSpacing"/>
            </w:pPr>
            <w:r>
              <w:t>Administrative Record</w:t>
            </w:r>
          </w:p>
        </w:tc>
        <w:tc>
          <w:tcPr>
            <w:tcW w:w="1349" w:type="dxa"/>
          </w:tcPr>
          <w:p w14:paraId="63E532C9" w14:textId="703405F2"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w:t>
            </w:r>
            <w:r w:rsidR="00A47C3B">
              <w:rPr>
                <w:rFonts w:ascii="Tw Cen MT Condensed" w:hAnsi="Tw Cen MT Condensed"/>
                <w:sz w:val="20"/>
                <w:szCs w:val="20"/>
              </w:rPr>
              <w:t>: High/Medium/Low</w:t>
            </w:r>
          </w:p>
          <w:p w14:paraId="6ADA29F9" w14:textId="2C2DD692"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Event</w:t>
            </w:r>
            <w:r w:rsidR="00A47C3B">
              <w:rPr>
                <w:rFonts w:ascii="Tw Cen MT Condensed" w:hAnsi="Tw Cen MT Condensed"/>
                <w:sz w:val="20"/>
                <w:szCs w:val="20"/>
              </w:rPr>
              <w:t xml:space="preserve"> (as occurred)</w:t>
            </w:r>
          </w:p>
          <w:p w14:paraId="4E89374F" w14:textId="758D5BA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Hazard Type</w:t>
            </w:r>
            <w:r w:rsidR="00A47C3B">
              <w:rPr>
                <w:rFonts w:ascii="Tw Cen MT Condensed" w:hAnsi="Tw Cen MT Condensed"/>
                <w:sz w:val="20"/>
                <w:szCs w:val="20"/>
              </w:rPr>
              <w:t xml:space="preserve"> </w:t>
            </w:r>
          </w:p>
          <w:p w14:paraId="011BA34D"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Hazard Family: Climatological, Hydrological, Meteorological, Geophysical, Biological, Extra-Terrestrial</w:t>
            </w:r>
          </w:p>
          <w:p w14:paraId="1C546D08"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Disaster-Related Victims: Dead, Missed, Directly Affected</w:t>
            </w:r>
          </w:p>
          <w:p w14:paraId="6DE79E40"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Location Of </w:t>
            </w:r>
            <w:r>
              <w:rPr>
                <w:rFonts w:ascii="Tw Cen MT Condensed" w:hAnsi="Tw Cen MT Condensed"/>
                <w:sz w:val="20"/>
                <w:szCs w:val="20"/>
              </w:rPr>
              <w:lastRenderedPageBreak/>
              <w:t>Residence</w:t>
            </w:r>
          </w:p>
          <w:p w14:paraId="69AEFA7E"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Age: </w:t>
            </w:r>
          </w:p>
          <w:p w14:paraId="78CC91F5"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Sex: Male/Female</w:t>
            </w:r>
          </w:p>
          <w:p w14:paraId="5B084A34" w14:textId="77777777" w:rsidR="00EF295B" w:rsidRDefault="00EF295B" w:rsidP="00EF295B">
            <w:pPr>
              <w:ind w:left="970" w:hanging="970"/>
              <w:jc w:val="both"/>
              <w:rPr>
                <w:color w:val="0070C0"/>
                <w:sz w:val="30"/>
                <w:szCs w:val="30"/>
              </w:rPr>
            </w:pPr>
          </w:p>
        </w:tc>
        <w:tc>
          <w:tcPr>
            <w:tcW w:w="1145" w:type="dxa"/>
          </w:tcPr>
          <w:p w14:paraId="6813A3CD" w14:textId="77777777" w:rsidR="00EF295B" w:rsidRDefault="00EF295B" w:rsidP="00EF295B">
            <w:pPr>
              <w:pStyle w:val="NoSpacing"/>
            </w:pPr>
            <w:r>
              <w:lastRenderedPageBreak/>
              <w:t>5-Yearly</w:t>
            </w:r>
          </w:p>
          <w:p w14:paraId="547FD36D" w14:textId="77777777" w:rsidR="00EF295B" w:rsidRDefault="00EF295B" w:rsidP="00EF295B">
            <w:pPr>
              <w:spacing w:line="276" w:lineRule="auto"/>
              <w:jc w:val="center"/>
            </w:pPr>
          </w:p>
          <w:p w14:paraId="46DEE246" w14:textId="77777777" w:rsidR="00EF295B" w:rsidRDefault="00EF295B" w:rsidP="00EF295B">
            <w:pPr>
              <w:pStyle w:val="NoSpacing"/>
              <w:rPr>
                <w:color w:val="0070C0"/>
                <w:sz w:val="30"/>
                <w:szCs w:val="30"/>
              </w:rPr>
            </w:pPr>
            <w:r>
              <w:t>Annual</w:t>
            </w:r>
          </w:p>
        </w:tc>
        <w:tc>
          <w:tcPr>
            <w:tcW w:w="922" w:type="dxa"/>
          </w:tcPr>
          <w:p w14:paraId="6F9B83EC" w14:textId="77777777" w:rsidR="00EF295B" w:rsidRDefault="00EF295B" w:rsidP="00EF295B">
            <w:pPr>
              <w:ind w:left="970" w:hanging="970"/>
              <w:jc w:val="both"/>
              <w:rPr>
                <w:color w:val="0070C0"/>
                <w:sz w:val="30"/>
                <w:szCs w:val="30"/>
              </w:rPr>
            </w:pPr>
            <w:r>
              <w:t>Group 1</w:t>
            </w:r>
          </w:p>
        </w:tc>
        <w:tc>
          <w:tcPr>
            <w:tcW w:w="644" w:type="dxa"/>
          </w:tcPr>
          <w:p w14:paraId="55E4FF24" w14:textId="77777777" w:rsidR="00EF295B" w:rsidRDefault="00EF295B" w:rsidP="00EF295B">
            <w:pPr>
              <w:pStyle w:val="NoSpacing"/>
            </w:pPr>
            <w:r>
              <w:t>1</w:t>
            </w:r>
            <w:r w:rsidRPr="00013ACB">
              <w:rPr>
                <w:vertAlign w:val="superscript"/>
              </w:rPr>
              <w:t>st</w:t>
            </w:r>
            <w:r>
              <w:t xml:space="preserve"> Round:</w:t>
            </w:r>
          </w:p>
          <w:p w14:paraId="4D1CE297" w14:textId="77777777" w:rsidR="00EF295B" w:rsidRDefault="00EF295B" w:rsidP="00EF295B">
            <w:pPr>
              <w:pStyle w:val="NoSpacing"/>
            </w:pPr>
            <w:r>
              <w:t>2014</w:t>
            </w:r>
          </w:p>
          <w:p w14:paraId="682DA4E0" w14:textId="77777777" w:rsidR="00EF295B" w:rsidRDefault="00EF295B" w:rsidP="00EF295B">
            <w:pPr>
              <w:pStyle w:val="NoSpacing"/>
            </w:pPr>
            <w:r>
              <w:t>2</w:t>
            </w:r>
            <w:r w:rsidRPr="00013ACB">
              <w:rPr>
                <w:vertAlign w:val="superscript"/>
              </w:rPr>
              <w:t>nd</w:t>
            </w:r>
            <w:r>
              <w:t xml:space="preserve"> Round: </w:t>
            </w:r>
          </w:p>
          <w:p w14:paraId="3A1B2667" w14:textId="77777777" w:rsidR="00EF295B" w:rsidRDefault="00EF295B" w:rsidP="00EF295B">
            <w:pPr>
              <w:pStyle w:val="NoSpacing"/>
            </w:pPr>
            <w:r w:rsidRPr="00456578">
              <w:t>December 2020</w:t>
            </w:r>
          </w:p>
          <w:p w14:paraId="3E9D0F04" w14:textId="77777777" w:rsidR="00EF295B" w:rsidRDefault="00EF295B" w:rsidP="00EF295B">
            <w:pPr>
              <w:pStyle w:val="NoSpacing"/>
            </w:pPr>
          </w:p>
          <w:p w14:paraId="2A55DEE0" w14:textId="77777777" w:rsidR="00EF295B" w:rsidRDefault="00EF295B" w:rsidP="00EF295B">
            <w:pPr>
              <w:pStyle w:val="NoSpacing"/>
            </w:pPr>
            <w:r>
              <w:t>3</w:t>
            </w:r>
            <w:r w:rsidRPr="00013ACB">
              <w:rPr>
                <w:vertAlign w:val="superscript"/>
              </w:rPr>
              <w:t>rd</w:t>
            </w:r>
            <w:r>
              <w:t xml:space="preserve"> Round: </w:t>
            </w:r>
          </w:p>
          <w:p w14:paraId="3B5409B9" w14:textId="77777777" w:rsidR="00EF295B" w:rsidRDefault="00EF295B" w:rsidP="00EF295B">
            <w:pPr>
              <w:pStyle w:val="NoSpacing"/>
            </w:pPr>
            <w:r>
              <w:t>December 2025</w:t>
            </w:r>
          </w:p>
          <w:p w14:paraId="2205C996" w14:textId="77777777" w:rsidR="00EF295B" w:rsidRDefault="00EF295B" w:rsidP="00EF295B">
            <w:pPr>
              <w:pStyle w:val="NoSpacing"/>
            </w:pPr>
          </w:p>
          <w:p w14:paraId="53134EFE" w14:textId="77777777" w:rsidR="00EF295B" w:rsidRDefault="00EF295B" w:rsidP="00EF295B">
            <w:pPr>
              <w:pStyle w:val="NoSpacing"/>
            </w:pPr>
            <w:r>
              <w:t>4</w:t>
            </w:r>
            <w:r w:rsidRPr="00013ACB">
              <w:rPr>
                <w:vertAlign w:val="superscript"/>
              </w:rPr>
              <w:t>th</w:t>
            </w:r>
            <w:r>
              <w:t xml:space="preserve"> Round: </w:t>
            </w:r>
          </w:p>
          <w:p w14:paraId="3C20F589" w14:textId="36D23B46" w:rsidR="00EF295B" w:rsidRDefault="00EF295B" w:rsidP="00EF295B">
            <w:pPr>
              <w:pStyle w:val="NoSpacing"/>
            </w:pPr>
            <w:r>
              <w:t>December 2030</w:t>
            </w:r>
          </w:p>
        </w:tc>
        <w:tc>
          <w:tcPr>
            <w:tcW w:w="828" w:type="dxa"/>
          </w:tcPr>
          <w:p w14:paraId="57786BE6" w14:textId="77777777" w:rsidR="00EF295B" w:rsidRDefault="00EF295B" w:rsidP="00EF295B">
            <w:pPr>
              <w:pStyle w:val="NoSpacing"/>
            </w:pPr>
            <w:r w:rsidRPr="00B61BB0">
              <w:t>Survey will be conducted in 2020</w:t>
            </w:r>
          </w:p>
          <w:p w14:paraId="41D03C4F" w14:textId="77777777" w:rsidR="00EF295B" w:rsidRDefault="00EF295B" w:rsidP="00EF295B">
            <w:pPr>
              <w:pStyle w:val="NoSpacing"/>
            </w:pPr>
          </w:p>
          <w:p w14:paraId="6CA66FCC" w14:textId="77777777" w:rsidR="00EF295B" w:rsidRDefault="00EF295B" w:rsidP="00EF295B">
            <w:pPr>
              <w:pStyle w:val="NoSpacing"/>
            </w:pPr>
            <w:r>
              <w:t>Sendai modification; Reviewed at 5th IAEG-SDG meeting (classified as Tier II)</w:t>
            </w:r>
          </w:p>
          <w:p w14:paraId="481BE1CA" w14:textId="77777777" w:rsidR="00EF295B" w:rsidRDefault="00EF295B" w:rsidP="00EF295B">
            <w:pPr>
              <w:pStyle w:val="NoSpacing"/>
            </w:pPr>
          </w:p>
          <w:p w14:paraId="70B1E5CF" w14:textId="2AF38697" w:rsidR="00EF295B" w:rsidRPr="00B950AC" w:rsidRDefault="00EF295B">
            <w:pPr>
              <w:pStyle w:val="NoSpacing"/>
            </w:pPr>
            <w:r>
              <w:t xml:space="preserve">1.5.1/13.1.1 are </w:t>
            </w:r>
            <w:r w:rsidR="009A2A44">
              <w:t>repeated</w:t>
            </w:r>
          </w:p>
        </w:tc>
      </w:tr>
      <w:tr w:rsidR="00EF295B" w14:paraId="716902B6" w14:textId="77777777" w:rsidTr="0025292C">
        <w:tc>
          <w:tcPr>
            <w:tcW w:w="1218" w:type="dxa"/>
          </w:tcPr>
          <w:p w14:paraId="2FCC7CC9" w14:textId="77777777" w:rsidR="00EF295B" w:rsidRDefault="00EF295B" w:rsidP="00EF295B">
            <w:pPr>
              <w:pStyle w:val="NoSpacing"/>
            </w:pPr>
            <w:r w:rsidRPr="00627F96">
              <w:lastRenderedPageBreak/>
              <w:t>11.5.2 Direct economic loss in relation to global GDP, damage to critical infrastructure and number of disruptions to basic services, attributed to disasters</w:t>
            </w:r>
          </w:p>
        </w:tc>
        <w:tc>
          <w:tcPr>
            <w:tcW w:w="661" w:type="dxa"/>
          </w:tcPr>
          <w:p w14:paraId="52DBEA7C" w14:textId="77777777" w:rsidR="00EF295B" w:rsidRDefault="00EF295B" w:rsidP="00EF295B">
            <w:pPr>
              <w:pStyle w:val="NoSpacing"/>
            </w:pPr>
            <w:r w:rsidRPr="00221F5D">
              <w:t>UNDRR</w:t>
            </w:r>
          </w:p>
          <w:p w14:paraId="59BF6B1D" w14:textId="77777777" w:rsidR="00EF295B" w:rsidRDefault="00EF295B" w:rsidP="00EF295B">
            <w:pPr>
              <w:rPr>
                <w:b/>
                <w:bCs/>
                <w:szCs w:val="20"/>
              </w:rPr>
            </w:pPr>
            <w:r w:rsidRPr="007243FC">
              <w:rPr>
                <w:b/>
                <w:bCs/>
                <w:szCs w:val="20"/>
              </w:rPr>
              <w:t>Partner Agencies:</w:t>
            </w:r>
          </w:p>
          <w:p w14:paraId="1F7D3019" w14:textId="77777777" w:rsidR="00EF295B" w:rsidRDefault="00EF295B" w:rsidP="00EF295B">
            <w:pPr>
              <w:pStyle w:val="NoSpacing"/>
            </w:pPr>
            <w:r w:rsidRPr="00221F5D">
              <w:t>UNEP</w:t>
            </w:r>
          </w:p>
        </w:tc>
        <w:tc>
          <w:tcPr>
            <w:tcW w:w="935" w:type="dxa"/>
          </w:tcPr>
          <w:p w14:paraId="20AAEC87" w14:textId="77777777" w:rsidR="00EF295B" w:rsidRDefault="00EF295B" w:rsidP="00EF295B">
            <w:pPr>
              <w:ind w:left="970" w:hanging="970"/>
              <w:jc w:val="both"/>
              <w:rPr>
                <w:color w:val="0070C0"/>
                <w:sz w:val="30"/>
                <w:szCs w:val="30"/>
              </w:rPr>
            </w:pPr>
            <w:r w:rsidRPr="00666BAB">
              <w:t>Tier II</w:t>
            </w:r>
          </w:p>
        </w:tc>
        <w:tc>
          <w:tcPr>
            <w:tcW w:w="6853" w:type="dxa"/>
          </w:tcPr>
          <w:p w14:paraId="5840A86B" w14:textId="77777777" w:rsidR="00EF295B" w:rsidRPr="00227573" w:rsidRDefault="00EF295B" w:rsidP="00EF295B">
            <w:pPr>
              <w:pStyle w:val="NoSpacing"/>
              <w:rPr>
                <w:lang w:eastAsia="en-GB"/>
              </w:rPr>
            </w:pPr>
            <w:r w:rsidRPr="00227573">
              <w:rPr>
                <w:lang w:eastAsia="en-GB"/>
              </w:rPr>
              <w:t>Definition:</w:t>
            </w:r>
          </w:p>
          <w:p w14:paraId="438A059C" w14:textId="77777777" w:rsidR="00EF295B" w:rsidRPr="00227573" w:rsidRDefault="00EF295B" w:rsidP="00EF295B">
            <w:pPr>
              <w:pStyle w:val="NoSpacing"/>
              <w:rPr>
                <w:lang w:eastAsia="en-GB"/>
              </w:rPr>
            </w:pPr>
          </w:p>
          <w:p w14:paraId="21060B5D" w14:textId="77777777" w:rsidR="00EF295B" w:rsidRPr="00227573" w:rsidRDefault="00EF295B" w:rsidP="00EF295B">
            <w:pPr>
              <w:pStyle w:val="NoSpacing"/>
              <w:rPr>
                <w:lang w:eastAsia="en-GB"/>
              </w:rPr>
            </w:pPr>
            <w:r w:rsidRPr="00227573">
              <w:rPr>
                <w:lang w:eastAsia="en-GB"/>
              </w:rPr>
              <w:t>Direct economic loss: the monetary value of total or partial destruction of physical assets existing in the affected area. Direct economic loss is nearly equivalent to physical damage.</w:t>
            </w:r>
          </w:p>
          <w:p w14:paraId="7FEEB284" w14:textId="77777777" w:rsidR="00EF295B" w:rsidRDefault="00EF295B" w:rsidP="00EF295B">
            <w:pPr>
              <w:pStyle w:val="NoSpacing"/>
              <w:rPr>
                <w:lang w:eastAsia="en-GB"/>
              </w:rPr>
            </w:pPr>
          </w:p>
          <w:p w14:paraId="034379F4" w14:textId="77777777" w:rsidR="00EF295B" w:rsidRPr="005E4E11" w:rsidRDefault="00EF295B" w:rsidP="00EF295B">
            <w:pPr>
              <w:pStyle w:val="NoSpacing"/>
              <w:rPr>
                <w:lang w:eastAsia="en-GB"/>
              </w:rPr>
            </w:pPr>
            <w:r>
              <w:rPr>
                <w:lang w:eastAsia="en-GB"/>
              </w:rPr>
              <w:t xml:space="preserve">[a] </w:t>
            </w:r>
            <w:r w:rsidRPr="005E4E11">
              <w:rPr>
                <w:lang w:eastAsia="en-GB"/>
              </w:rPr>
              <w:t>An open-ended intergovernmental expert working group on indicators and terminology relating to disaster risk reduction established by the General Assembly (resolution 69/284) is developing a set of indicators to measure global progress in the implementation of the Sendai Framework. These indicators will eventually reflect the agreements on the Sendai Framework indicators.</w:t>
            </w:r>
          </w:p>
          <w:p w14:paraId="4EAA2CD4" w14:textId="77777777" w:rsidR="00EF295B" w:rsidRPr="00227573" w:rsidRDefault="00EF295B" w:rsidP="00EF295B">
            <w:pPr>
              <w:pStyle w:val="NoSpacing"/>
              <w:rPr>
                <w:lang w:eastAsia="en-GB"/>
              </w:rPr>
            </w:pPr>
          </w:p>
          <w:p w14:paraId="71869AC8" w14:textId="77777777" w:rsidR="00EF295B" w:rsidRPr="00227573" w:rsidRDefault="00EF295B" w:rsidP="00EF295B">
            <w:pPr>
              <w:pStyle w:val="NoSpacing"/>
              <w:rPr>
                <w:lang w:eastAsia="en-GB"/>
              </w:rPr>
            </w:pPr>
            <w:r w:rsidRPr="00227573">
              <w:rPr>
                <w:lang w:eastAsia="en-GB"/>
              </w:rPr>
              <w:t>Comments and limitations:</w:t>
            </w:r>
          </w:p>
          <w:p w14:paraId="53ECCC5D" w14:textId="77777777" w:rsidR="00EF295B" w:rsidRPr="00227573" w:rsidRDefault="00EF295B" w:rsidP="00EF295B">
            <w:pPr>
              <w:pStyle w:val="NoSpacing"/>
              <w:rPr>
                <w:lang w:eastAsia="en-GB"/>
              </w:rPr>
            </w:pPr>
          </w:p>
          <w:p w14:paraId="3E68E03B" w14:textId="77777777" w:rsidR="00EF295B" w:rsidRPr="00227573" w:rsidRDefault="00EF295B" w:rsidP="00EF295B">
            <w:pPr>
              <w:pStyle w:val="NoSpacing"/>
              <w:rPr>
                <w:lang w:eastAsia="en-GB"/>
              </w:rPr>
            </w:pPr>
            <w:r w:rsidRPr="00227573">
              <w:rPr>
                <w:lang w:eastAsia="en-GB"/>
              </w:rPr>
              <w:t>Not every country has a comparable national disaster loss database that is consistent with these guidelines (although current coverage exceeds 89 countries). Therefore, by 2020, it is expected that all countries will build/adjust national disaster loss databases according to the recommendations and guidelines by the OEIWG.</w:t>
            </w:r>
          </w:p>
          <w:p w14:paraId="586F061B" w14:textId="77777777" w:rsidR="00EF295B" w:rsidRDefault="00EF295B" w:rsidP="00EF295B">
            <w:pPr>
              <w:pStyle w:val="NoSpacing"/>
              <w:rPr>
                <w:lang w:eastAsia="en-GB"/>
              </w:rPr>
            </w:pPr>
          </w:p>
          <w:p w14:paraId="364A2F5F" w14:textId="77777777" w:rsidR="00EF295B" w:rsidRPr="00227573" w:rsidRDefault="00EF295B" w:rsidP="00EF295B">
            <w:pPr>
              <w:pStyle w:val="NoSpacing"/>
              <w:rPr>
                <w:lang w:eastAsia="en-GB"/>
              </w:rPr>
            </w:pPr>
            <w:r w:rsidRPr="00227573">
              <w:rPr>
                <w:lang w:eastAsia="en-GB"/>
              </w:rPr>
              <w:t>Computation Method:</w:t>
            </w:r>
          </w:p>
          <w:p w14:paraId="57082920" w14:textId="77777777" w:rsidR="00EF295B" w:rsidRPr="00227573" w:rsidRDefault="00EF295B" w:rsidP="00EF295B">
            <w:pPr>
              <w:pStyle w:val="NoSpacing"/>
              <w:rPr>
                <w:lang w:eastAsia="en-GB"/>
              </w:rPr>
            </w:pPr>
          </w:p>
          <w:p w14:paraId="6F1E93C1" w14:textId="77777777" w:rsidR="00EF295B" w:rsidRPr="00227573" w:rsidRDefault="00EF295B" w:rsidP="00EF295B">
            <w:pPr>
              <w:pStyle w:val="NoSpacing"/>
              <w:rPr>
                <w:lang w:eastAsia="en-GB"/>
              </w:rPr>
            </w:pPr>
            <w:r w:rsidRPr="00227573">
              <w:rPr>
                <w:lang w:eastAsia="en-GB"/>
              </w:rPr>
              <w:t>Note: Computation methodology for several indicators is very comprehensive, very long (about 180 pages) and probably out of the scope of this Metadata. UNISDR prefers to refer to the outcome of the Open Ended Intergovernmental Working Group, which provides a full detailed methodology for each indicator and sub-indicator.</w:t>
            </w:r>
          </w:p>
          <w:p w14:paraId="031738DF" w14:textId="77777777" w:rsidR="00EF295B" w:rsidRPr="00227573" w:rsidRDefault="00EF295B" w:rsidP="00EF295B">
            <w:pPr>
              <w:pStyle w:val="NoSpacing"/>
              <w:rPr>
                <w:lang w:eastAsia="en-GB"/>
              </w:rPr>
            </w:pPr>
          </w:p>
          <w:p w14:paraId="2CED69E7" w14:textId="77777777" w:rsidR="00EF295B" w:rsidRPr="00227573" w:rsidRDefault="00EF295B" w:rsidP="00EF295B">
            <w:pPr>
              <w:pStyle w:val="NoSpacing"/>
              <w:rPr>
                <w:lang w:eastAsia="en-GB"/>
              </w:rPr>
            </w:pPr>
            <w:r w:rsidRPr="00227573">
              <w:rPr>
                <w:lang w:eastAsia="en-GB"/>
              </w:rPr>
              <w:t>The latest version of these methodologies can be obtained at:</w:t>
            </w:r>
          </w:p>
          <w:p w14:paraId="2B0480D0" w14:textId="77777777" w:rsidR="00EF295B" w:rsidRPr="00227573" w:rsidRDefault="00EF295B" w:rsidP="00EF295B">
            <w:pPr>
              <w:pStyle w:val="NoSpacing"/>
              <w:rPr>
                <w:lang w:eastAsia="en-GB"/>
              </w:rPr>
            </w:pPr>
          </w:p>
          <w:p w14:paraId="66CE7763" w14:textId="77777777" w:rsidR="00EF295B" w:rsidRPr="00227573" w:rsidRDefault="00EF295B" w:rsidP="00EF295B">
            <w:pPr>
              <w:pStyle w:val="NoSpacing"/>
              <w:rPr>
                <w:lang w:eastAsia="en-GB"/>
              </w:rPr>
            </w:pPr>
            <w:r w:rsidRPr="00227573">
              <w:rPr>
                <w:lang w:eastAsia="en-GB"/>
              </w:rPr>
              <w:lastRenderedPageBreak/>
              <w:t>http://www.preventionweb.net/documents/oiewg/Technical%20Collection%20of%20Concept%20Notes%20on%20Indicators.pdf</w:t>
            </w:r>
          </w:p>
          <w:p w14:paraId="19C70A47" w14:textId="77777777" w:rsidR="00EF295B" w:rsidRPr="00227573" w:rsidRDefault="00EF295B" w:rsidP="00EF295B">
            <w:pPr>
              <w:pStyle w:val="NoSpacing"/>
              <w:rPr>
                <w:lang w:eastAsia="en-GB"/>
              </w:rPr>
            </w:pPr>
          </w:p>
          <w:p w14:paraId="03E1FC32" w14:textId="77777777" w:rsidR="00EF295B" w:rsidRPr="00227573" w:rsidRDefault="00EF295B" w:rsidP="00EF295B">
            <w:pPr>
              <w:pStyle w:val="NoSpacing"/>
              <w:rPr>
                <w:lang w:eastAsia="en-GB"/>
              </w:rPr>
            </w:pPr>
            <w:r w:rsidRPr="00227573">
              <w:rPr>
                <w:lang w:eastAsia="en-GB"/>
              </w:rPr>
              <w:t>A short summary:</w:t>
            </w:r>
          </w:p>
          <w:p w14:paraId="0F94B8B3" w14:textId="77777777" w:rsidR="00EF295B" w:rsidRPr="00227573" w:rsidRDefault="00EF295B" w:rsidP="00EF295B">
            <w:pPr>
              <w:pStyle w:val="NoSpacing"/>
              <w:rPr>
                <w:lang w:eastAsia="en-GB"/>
              </w:rPr>
            </w:pPr>
          </w:p>
          <w:p w14:paraId="577E56C9" w14:textId="77777777" w:rsidR="00EF295B" w:rsidRPr="00227573" w:rsidRDefault="00EF295B" w:rsidP="00EF295B">
            <w:pPr>
              <w:pStyle w:val="NoSpacing"/>
              <w:rPr>
                <w:lang w:eastAsia="en-GB"/>
              </w:rPr>
            </w:pPr>
            <w:r w:rsidRPr="00227573">
              <w:rPr>
                <w:lang w:eastAsia="en-GB"/>
              </w:rPr>
              <w:t>The original national disaster loss databases usually register physical damage value (housing unit loss, infrastructure loss etc.), which needs conversion to monetary value according to the UNISDR methodology*. The converted global value is divided by global GDP (inflation adjusted, constant USD) calculated from the World Bank Development Indicators.</w:t>
            </w:r>
          </w:p>
          <w:p w14:paraId="24D439DC" w14:textId="77777777" w:rsidR="00EF295B" w:rsidRDefault="00EF295B" w:rsidP="00EF295B">
            <w:pPr>
              <w:pStyle w:val="NoSpacing"/>
            </w:pPr>
          </w:p>
        </w:tc>
        <w:tc>
          <w:tcPr>
            <w:tcW w:w="1174" w:type="dxa"/>
          </w:tcPr>
          <w:p w14:paraId="7CBC626B" w14:textId="77777777" w:rsidR="00EF295B" w:rsidRPr="000114CA" w:rsidRDefault="00EF295B" w:rsidP="00EF295B">
            <w:pPr>
              <w:pStyle w:val="NoSpacing"/>
            </w:pPr>
            <w:r w:rsidRPr="000114CA">
              <w:lastRenderedPageBreak/>
              <w:t>The official counterpart(s) at the country level will build/adjust national disaster loss databases according to the recommendations and guidelines by the OEIWG.</w:t>
            </w:r>
          </w:p>
        </w:tc>
        <w:tc>
          <w:tcPr>
            <w:tcW w:w="818" w:type="dxa"/>
          </w:tcPr>
          <w:p w14:paraId="6218973C" w14:textId="77777777" w:rsidR="00EF295B" w:rsidRPr="000114CA" w:rsidRDefault="00EF295B" w:rsidP="00EF295B">
            <w:pPr>
              <w:pStyle w:val="NoSpacing"/>
            </w:pPr>
            <w:r w:rsidRPr="000114CA">
              <w:t>In most countries national disaster loss databases are established and managed by special purpose agencies including national disaster management agencies, civil protection agencies, and meteorolo</w:t>
            </w:r>
            <w:r w:rsidRPr="000114CA">
              <w:lastRenderedPageBreak/>
              <w:t>gical agencies, and disaster data collected by line ministries. Some exceptions include Academic institutions conducting long term research programs, NGO's engaged in DRR and DRM, and insurance databases or data sources when market penetration is very high.</w:t>
            </w:r>
          </w:p>
        </w:tc>
        <w:tc>
          <w:tcPr>
            <w:tcW w:w="812" w:type="dxa"/>
          </w:tcPr>
          <w:p w14:paraId="646EB615" w14:textId="77777777" w:rsidR="00EF295B" w:rsidRDefault="00EF295B" w:rsidP="00EF295B">
            <w:pPr>
              <w:spacing w:line="276" w:lineRule="auto"/>
              <w:jc w:val="center"/>
            </w:pPr>
            <w:r w:rsidRPr="00BC6F10">
              <w:lastRenderedPageBreak/>
              <w:t>BBS</w:t>
            </w:r>
          </w:p>
          <w:p w14:paraId="064C22F1" w14:textId="77777777" w:rsidR="00EF295B" w:rsidRDefault="00EF295B" w:rsidP="00EF295B">
            <w:pPr>
              <w:spacing w:line="276" w:lineRule="auto"/>
              <w:jc w:val="center"/>
            </w:pPr>
          </w:p>
          <w:p w14:paraId="31E52CD3" w14:textId="77777777" w:rsidR="00EF295B" w:rsidRPr="00BC6F10" w:rsidRDefault="00EF295B" w:rsidP="00EF295B">
            <w:pPr>
              <w:spacing w:line="276" w:lineRule="auto"/>
              <w:jc w:val="center"/>
            </w:pPr>
            <w:r>
              <w:t>BDRHS</w:t>
            </w:r>
          </w:p>
        </w:tc>
        <w:tc>
          <w:tcPr>
            <w:tcW w:w="1351" w:type="dxa"/>
          </w:tcPr>
          <w:p w14:paraId="3FF57A1C" w14:textId="77777777" w:rsidR="00EF295B" w:rsidRDefault="00EF295B" w:rsidP="00EF295B">
            <w:pPr>
              <w:pStyle w:val="NoSpacing"/>
            </w:pPr>
            <w:r>
              <w:t>a.BBS</w:t>
            </w:r>
          </w:p>
          <w:p w14:paraId="475A6DBF" w14:textId="77777777" w:rsidR="00EF295B" w:rsidRDefault="00EF295B" w:rsidP="00EF295B">
            <w:pPr>
              <w:pStyle w:val="NoSpacing"/>
            </w:pPr>
          </w:p>
          <w:p w14:paraId="73310F9A" w14:textId="77777777" w:rsidR="00EF295B" w:rsidRDefault="00EF295B" w:rsidP="00EF295B">
            <w:pPr>
              <w:pStyle w:val="NoSpacing"/>
            </w:pPr>
            <w:r>
              <w:t>BDRHS</w:t>
            </w:r>
          </w:p>
          <w:p w14:paraId="3C307145" w14:textId="77777777" w:rsidR="00EF295B" w:rsidRDefault="00EF295B" w:rsidP="00EF295B">
            <w:pPr>
              <w:pStyle w:val="NoSpacing"/>
            </w:pPr>
            <w:r>
              <w:t>b.DDM, MoDMR</w:t>
            </w:r>
          </w:p>
          <w:p w14:paraId="29763451" w14:textId="77777777" w:rsidR="00EF295B" w:rsidRPr="00BC6F10" w:rsidRDefault="00EF295B" w:rsidP="00EF295B">
            <w:pPr>
              <w:pStyle w:val="NoSpacing"/>
            </w:pPr>
          </w:p>
        </w:tc>
        <w:tc>
          <w:tcPr>
            <w:tcW w:w="1349" w:type="dxa"/>
          </w:tcPr>
          <w:p w14:paraId="36C1CF82" w14:textId="3022E9FB" w:rsidR="00EF295B" w:rsidRDefault="00A47C3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w:t>
            </w:r>
            <w:r w:rsidR="00EF295B">
              <w:rPr>
                <w:rFonts w:ascii="Tw Cen MT Condensed" w:hAnsi="Tw Cen MT Condensed"/>
                <w:sz w:val="20"/>
                <w:szCs w:val="20"/>
              </w:rPr>
              <w:t>vent</w:t>
            </w:r>
            <w:r>
              <w:rPr>
                <w:rFonts w:ascii="Tw Cen MT Condensed" w:hAnsi="Tw Cen MT Condensed"/>
                <w:sz w:val="20"/>
                <w:szCs w:val="20"/>
              </w:rPr>
              <w:t xml:space="preserve"> (as occurred)</w:t>
            </w:r>
          </w:p>
          <w:p w14:paraId="44427E06"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hazard type: climatological, hydrological, meteorological, geophysical, biological, extra-terrestrial</w:t>
            </w:r>
          </w:p>
          <w:p w14:paraId="45E9972D"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asset loss category: health, education, road</w:t>
            </w:r>
          </w:p>
          <w:p w14:paraId="2D5981E0"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transportation mode</w:t>
            </w:r>
          </w:p>
          <w:p w14:paraId="5DD830C3"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service sector</w:t>
            </w:r>
          </w:p>
          <w:p w14:paraId="49D38022" w14:textId="77777777" w:rsidR="00EF295B" w:rsidRDefault="00EF295B" w:rsidP="00EF295B">
            <w:pPr>
              <w:ind w:left="970" w:hanging="970"/>
              <w:jc w:val="both"/>
              <w:rPr>
                <w:color w:val="0070C0"/>
                <w:sz w:val="30"/>
                <w:szCs w:val="30"/>
              </w:rPr>
            </w:pPr>
          </w:p>
        </w:tc>
        <w:tc>
          <w:tcPr>
            <w:tcW w:w="1145" w:type="dxa"/>
          </w:tcPr>
          <w:p w14:paraId="51E76347" w14:textId="77777777" w:rsidR="00EF295B" w:rsidRDefault="00EF295B" w:rsidP="00EF295B">
            <w:pPr>
              <w:ind w:left="970" w:hanging="970"/>
              <w:jc w:val="both"/>
              <w:rPr>
                <w:color w:val="0070C0"/>
                <w:sz w:val="30"/>
                <w:szCs w:val="30"/>
              </w:rPr>
            </w:pPr>
            <w:r w:rsidRPr="00BC6F10">
              <w:t>5-yearly</w:t>
            </w:r>
          </w:p>
        </w:tc>
        <w:tc>
          <w:tcPr>
            <w:tcW w:w="922" w:type="dxa"/>
          </w:tcPr>
          <w:p w14:paraId="34D88D36" w14:textId="77777777" w:rsidR="00EF295B" w:rsidRDefault="00EF295B" w:rsidP="00EF295B">
            <w:pPr>
              <w:ind w:left="970" w:hanging="970"/>
              <w:jc w:val="both"/>
              <w:rPr>
                <w:color w:val="0070C0"/>
                <w:sz w:val="30"/>
                <w:szCs w:val="30"/>
              </w:rPr>
            </w:pPr>
            <w:r>
              <w:t>Group 1</w:t>
            </w:r>
          </w:p>
        </w:tc>
        <w:tc>
          <w:tcPr>
            <w:tcW w:w="644" w:type="dxa"/>
          </w:tcPr>
          <w:p w14:paraId="69442647" w14:textId="77777777" w:rsidR="00EF295B" w:rsidRDefault="00EF295B" w:rsidP="00EF295B">
            <w:pPr>
              <w:pStyle w:val="NoSpacing"/>
            </w:pPr>
            <w:r>
              <w:t>1</w:t>
            </w:r>
            <w:r w:rsidRPr="00013ACB">
              <w:rPr>
                <w:vertAlign w:val="superscript"/>
              </w:rPr>
              <w:t>st</w:t>
            </w:r>
            <w:r>
              <w:t xml:space="preserve"> Round:</w:t>
            </w:r>
          </w:p>
          <w:p w14:paraId="767D572B" w14:textId="77777777" w:rsidR="00EF295B" w:rsidRDefault="00EF295B" w:rsidP="00EF295B">
            <w:pPr>
              <w:pStyle w:val="NoSpacing"/>
            </w:pPr>
            <w:r>
              <w:t>2015</w:t>
            </w:r>
          </w:p>
          <w:p w14:paraId="4186039C" w14:textId="77777777" w:rsidR="00EF295B" w:rsidRDefault="00EF295B" w:rsidP="00EF295B">
            <w:pPr>
              <w:pStyle w:val="NoSpacing"/>
            </w:pPr>
          </w:p>
          <w:p w14:paraId="4D453C3B" w14:textId="77777777" w:rsidR="00EF295B" w:rsidRDefault="00EF295B" w:rsidP="00EF295B">
            <w:pPr>
              <w:pStyle w:val="NoSpacing"/>
            </w:pPr>
            <w:r>
              <w:t>2</w:t>
            </w:r>
            <w:r w:rsidRPr="00013ACB">
              <w:rPr>
                <w:vertAlign w:val="superscript"/>
              </w:rPr>
              <w:t>nd</w:t>
            </w:r>
            <w:r>
              <w:t xml:space="preserve"> Round: </w:t>
            </w:r>
          </w:p>
          <w:p w14:paraId="742484FD" w14:textId="77777777" w:rsidR="00EF295B" w:rsidRDefault="00EF295B" w:rsidP="00EF295B">
            <w:pPr>
              <w:pStyle w:val="NoSpacing"/>
            </w:pPr>
            <w:r w:rsidRPr="00456578">
              <w:t>December 2020</w:t>
            </w:r>
          </w:p>
          <w:p w14:paraId="380ECAC8" w14:textId="77777777" w:rsidR="00EF295B" w:rsidRDefault="00EF295B" w:rsidP="00EF295B">
            <w:pPr>
              <w:pStyle w:val="NoSpacing"/>
            </w:pPr>
          </w:p>
          <w:p w14:paraId="2A8631A6" w14:textId="77777777" w:rsidR="00EF295B" w:rsidRDefault="00EF295B" w:rsidP="00EF295B">
            <w:pPr>
              <w:pStyle w:val="NoSpacing"/>
            </w:pPr>
            <w:r>
              <w:t>3</w:t>
            </w:r>
            <w:r w:rsidRPr="00013ACB">
              <w:rPr>
                <w:vertAlign w:val="superscript"/>
              </w:rPr>
              <w:t>rd</w:t>
            </w:r>
            <w:r>
              <w:t xml:space="preserve"> Round: </w:t>
            </w:r>
          </w:p>
          <w:p w14:paraId="792B82B8" w14:textId="77777777" w:rsidR="00EF295B" w:rsidRDefault="00EF295B" w:rsidP="00EF295B">
            <w:pPr>
              <w:pStyle w:val="NoSpacing"/>
            </w:pPr>
            <w:r>
              <w:t>December 2025</w:t>
            </w:r>
          </w:p>
          <w:p w14:paraId="1542CFBF" w14:textId="77777777" w:rsidR="00EF295B" w:rsidRDefault="00EF295B" w:rsidP="00EF295B">
            <w:pPr>
              <w:pStyle w:val="NoSpacing"/>
            </w:pPr>
          </w:p>
          <w:p w14:paraId="3F289273" w14:textId="77777777" w:rsidR="00EF295B" w:rsidRDefault="00EF295B" w:rsidP="00EF295B">
            <w:pPr>
              <w:pStyle w:val="NoSpacing"/>
            </w:pPr>
            <w:r>
              <w:t>4</w:t>
            </w:r>
            <w:r w:rsidRPr="00013ACB">
              <w:rPr>
                <w:vertAlign w:val="superscript"/>
              </w:rPr>
              <w:t>th</w:t>
            </w:r>
            <w:r>
              <w:t xml:space="preserve"> Round: </w:t>
            </w:r>
          </w:p>
          <w:p w14:paraId="72AE121A" w14:textId="5B7F1E81" w:rsidR="00EF295B" w:rsidRDefault="00EF295B" w:rsidP="00EF295B">
            <w:pPr>
              <w:pStyle w:val="NoSpacing"/>
            </w:pPr>
            <w:r>
              <w:t>December 2030</w:t>
            </w:r>
          </w:p>
        </w:tc>
        <w:tc>
          <w:tcPr>
            <w:tcW w:w="828" w:type="dxa"/>
          </w:tcPr>
          <w:p w14:paraId="1AF96636" w14:textId="77777777" w:rsidR="00EF295B" w:rsidRDefault="00EF295B" w:rsidP="00EF295B">
            <w:pPr>
              <w:pStyle w:val="NoSpacing"/>
            </w:pPr>
            <w:r>
              <w:t>Data availability reviewed in Nov. 2018  (classified as Tier II)</w:t>
            </w:r>
          </w:p>
          <w:p w14:paraId="6CD2D558" w14:textId="77777777" w:rsidR="00EF295B" w:rsidRDefault="00EF295B" w:rsidP="00EF295B">
            <w:pPr>
              <w:pStyle w:val="NoSpacing"/>
            </w:pPr>
          </w:p>
          <w:p w14:paraId="6F4F85DB" w14:textId="77777777" w:rsidR="00EF295B" w:rsidRDefault="00EF295B" w:rsidP="00EF295B">
            <w:pPr>
              <w:pStyle w:val="NoSpacing"/>
            </w:pPr>
            <w:r>
              <w:t>Data availability reviewed in Nov. 2017 (classified as Tier I)</w:t>
            </w:r>
          </w:p>
          <w:p w14:paraId="58CF0A2F" w14:textId="77777777" w:rsidR="00EF295B" w:rsidRDefault="00EF295B" w:rsidP="00EF295B">
            <w:pPr>
              <w:pStyle w:val="NoSpacing"/>
            </w:pPr>
          </w:p>
          <w:p w14:paraId="19C68F02" w14:textId="77777777" w:rsidR="00EF295B" w:rsidRDefault="00EF295B" w:rsidP="00EF295B">
            <w:pPr>
              <w:pStyle w:val="NoSpacing"/>
            </w:pPr>
            <w:r>
              <w:t xml:space="preserve">Sendai modification; Reviewed at 5th IAEG-SDG meeting (classified </w:t>
            </w:r>
            <w:r>
              <w:lastRenderedPageBreak/>
              <w:t>as Tier II)</w:t>
            </w:r>
          </w:p>
        </w:tc>
      </w:tr>
      <w:tr w:rsidR="0025292C" w14:paraId="19CE5576" w14:textId="77777777" w:rsidTr="00D52BCB">
        <w:tc>
          <w:tcPr>
            <w:tcW w:w="18710" w:type="dxa"/>
            <w:gridSpan w:val="13"/>
          </w:tcPr>
          <w:p w14:paraId="7F848424" w14:textId="77777777" w:rsidR="0025292C" w:rsidRDefault="0025292C" w:rsidP="00EF295B">
            <w:pPr>
              <w:jc w:val="both"/>
              <w:rPr>
                <w:color w:val="0070C0"/>
                <w:sz w:val="48"/>
                <w:szCs w:val="48"/>
              </w:rPr>
            </w:pPr>
            <w:r>
              <w:rPr>
                <w:color w:val="0070C0"/>
                <w:sz w:val="30"/>
                <w:szCs w:val="30"/>
              </w:rPr>
              <w:lastRenderedPageBreak/>
              <w:t xml:space="preserve">Target </w:t>
            </w:r>
            <w:r w:rsidRPr="00C97C3C">
              <w:rPr>
                <w:color w:val="0070C0"/>
                <w:sz w:val="30"/>
                <w:szCs w:val="30"/>
              </w:rPr>
              <w:t>11.6 By 2030, reduce the adverse per capita environmental impact of cities, including by paying special attention to air quality and municipal and other waste management</w:t>
            </w:r>
          </w:p>
        </w:tc>
      </w:tr>
      <w:tr w:rsidR="00EF295B" w14:paraId="63AA2A49" w14:textId="77777777" w:rsidTr="0025292C">
        <w:tc>
          <w:tcPr>
            <w:tcW w:w="1218" w:type="dxa"/>
          </w:tcPr>
          <w:p w14:paraId="1BB1576D" w14:textId="77777777" w:rsidR="00EF295B" w:rsidRDefault="00EF295B" w:rsidP="00EF295B">
            <w:pPr>
              <w:pStyle w:val="NoSpacing"/>
            </w:pPr>
            <w:r w:rsidRPr="00627F96">
              <w:t xml:space="preserve">11.6.1 Proportion of municipal solid waste collected and managed in controlled facilities out of </w:t>
            </w:r>
            <w:r w:rsidRPr="00627F96">
              <w:lastRenderedPageBreak/>
              <w:t>total municipal waste generated, by cities</w:t>
            </w:r>
          </w:p>
        </w:tc>
        <w:tc>
          <w:tcPr>
            <w:tcW w:w="661" w:type="dxa"/>
          </w:tcPr>
          <w:p w14:paraId="7D73B5FA" w14:textId="77777777" w:rsidR="00EF295B" w:rsidRDefault="00EF295B" w:rsidP="00EF295B">
            <w:pPr>
              <w:pStyle w:val="NoSpacing"/>
            </w:pPr>
            <w:r>
              <w:lastRenderedPageBreak/>
              <w:t>UN-Habitat,</w:t>
            </w:r>
          </w:p>
          <w:p w14:paraId="5B193FAA" w14:textId="77777777" w:rsidR="00EF295B" w:rsidRDefault="00EF295B" w:rsidP="00EF295B">
            <w:pPr>
              <w:pStyle w:val="NoSpacing"/>
            </w:pPr>
            <w:r>
              <w:t>UNSD</w:t>
            </w:r>
          </w:p>
          <w:p w14:paraId="72AC42BC" w14:textId="77777777" w:rsidR="00EF295B" w:rsidRDefault="00EF295B" w:rsidP="00EF295B">
            <w:pPr>
              <w:rPr>
                <w:b/>
                <w:bCs/>
                <w:szCs w:val="20"/>
              </w:rPr>
            </w:pPr>
            <w:r w:rsidRPr="007243FC">
              <w:rPr>
                <w:b/>
                <w:bCs/>
                <w:szCs w:val="20"/>
              </w:rPr>
              <w:t>Partner Agenci</w:t>
            </w:r>
            <w:r w:rsidRPr="007243FC">
              <w:rPr>
                <w:b/>
                <w:bCs/>
                <w:szCs w:val="20"/>
              </w:rPr>
              <w:lastRenderedPageBreak/>
              <w:t>es:</w:t>
            </w:r>
          </w:p>
          <w:p w14:paraId="5589084D" w14:textId="77777777" w:rsidR="00EF295B" w:rsidRDefault="00EF295B" w:rsidP="00EF295B">
            <w:pPr>
              <w:pStyle w:val="NoSpacing"/>
            </w:pPr>
            <w:r w:rsidRPr="00221F5D">
              <w:t>UNEP</w:t>
            </w:r>
          </w:p>
        </w:tc>
        <w:tc>
          <w:tcPr>
            <w:tcW w:w="935" w:type="dxa"/>
          </w:tcPr>
          <w:p w14:paraId="0510624B" w14:textId="77777777" w:rsidR="00EF295B" w:rsidRDefault="00EF295B" w:rsidP="00EF295B">
            <w:pPr>
              <w:ind w:left="970" w:hanging="970"/>
              <w:jc w:val="both"/>
              <w:rPr>
                <w:color w:val="0070C0"/>
                <w:sz w:val="30"/>
                <w:szCs w:val="30"/>
              </w:rPr>
            </w:pPr>
            <w:r w:rsidRPr="00666BAB">
              <w:lastRenderedPageBreak/>
              <w:t>Tier II</w:t>
            </w:r>
          </w:p>
        </w:tc>
        <w:tc>
          <w:tcPr>
            <w:tcW w:w="6853" w:type="dxa"/>
          </w:tcPr>
          <w:p w14:paraId="6097956F" w14:textId="77777777" w:rsidR="00EF295B" w:rsidRPr="00172FB1" w:rsidRDefault="00EF295B" w:rsidP="00EF295B">
            <w:pPr>
              <w:pStyle w:val="NoSpacing"/>
            </w:pPr>
            <w:r w:rsidRPr="00172FB1">
              <w:t>Definition:</w:t>
            </w:r>
          </w:p>
          <w:p w14:paraId="324CBA63" w14:textId="77777777" w:rsidR="00EF295B" w:rsidRPr="00C66CCB" w:rsidRDefault="00EF295B" w:rsidP="00EF295B">
            <w:pPr>
              <w:pStyle w:val="NoSpacing"/>
            </w:pPr>
            <w:r w:rsidRPr="00C66CCB">
              <w:t>Proportion of municipal solid waste regularly collected and with adequate treatment and disposal out of total municipal solid waste generated.</w:t>
            </w:r>
          </w:p>
          <w:p w14:paraId="4497337E" w14:textId="77777777" w:rsidR="00EF295B" w:rsidRPr="00C66CCB" w:rsidRDefault="00EF295B" w:rsidP="00EF295B">
            <w:pPr>
              <w:pStyle w:val="NoSpacing"/>
            </w:pPr>
            <w:r w:rsidRPr="00C66CCB">
              <w:t xml:space="preserve"> </w:t>
            </w:r>
          </w:p>
          <w:p w14:paraId="779F4635" w14:textId="77777777" w:rsidR="00EF295B" w:rsidRPr="00C66CCB" w:rsidRDefault="00EF295B" w:rsidP="00EF295B">
            <w:pPr>
              <w:pStyle w:val="NoSpacing"/>
            </w:pPr>
            <w:r w:rsidRPr="00C66CCB">
              <w:t xml:space="preserve">The goal of this indicator aims to generate the proportion of municipal solid waste regularly collected and that is adequately treated and disposed out of all the total municipal waste generated by the city. </w:t>
            </w:r>
          </w:p>
          <w:p w14:paraId="34554C80" w14:textId="77777777" w:rsidR="00EF295B" w:rsidRPr="00172FB1" w:rsidRDefault="00EF295B" w:rsidP="00EF295B">
            <w:pPr>
              <w:pStyle w:val="NoSpacing"/>
              <w:rPr>
                <w:rFonts w:eastAsia="Times New Roman" w:cs="Times New Roman"/>
                <w:color w:val="4A4A4A"/>
                <w:sz w:val="21"/>
                <w:szCs w:val="21"/>
                <w:lang w:eastAsia="en-GB"/>
              </w:rPr>
            </w:pPr>
          </w:p>
          <w:p w14:paraId="47649E0B" w14:textId="77777777" w:rsidR="00EF295B" w:rsidRPr="00172FB1" w:rsidRDefault="00EF295B" w:rsidP="00EF295B">
            <w:pPr>
              <w:pStyle w:val="NoSpacing"/>
            </w:pPr>
            <w:r w:rsidRPr="00172FB1">
              <w:t>Concepts:</w:t>
            </w:r>
          </w:p>
          <w:p w14:paraId="7A0FFA23" w14:textId="77777777" w:rsidR="00EF295B" w:rsidRPr="00C807F0" w:rsidRDefault="00EF295B" w:rsidP="00EF295B">
            <w:pPr>
              <w:pStyle w:val="NoSpacing"/>
            </w:pPr>
            <w:r w:rsidRPr="00C807F0">
              <w:t xml:space="preserve">It will be necessary to define the following components to compute the proportion of municipal solid waste regularly collected with adequate treatment and disposal out of all the total municipal solid waste generated by the city. </w:t>
            </w:r>
          </w:p>
          <w:p w14:paraId="51FC115E" w14:textId="77777777" w:rsidR="00EF295B" w:rsidRPr="00087F0E" w:rsidRDefault="00EF295B" w:rsidP="00EF295B">
            <w:pPr>
              <w:pStyle w:val="NoSpacing"/>
              <w:rPr>
                <w:bCs/>
              </w:rPr>
            </w:pPr>
          </w:p>
          <w:p w14:paraId="4E331857" w14:textId="77777777" w:rsidR="00EF295B" w:rsidRPr="00087F0E" w:rsidRDefault="00EF295B" w:rsidP="00EF295B">
            <w:pPr>
              <w:pStyle w:val="NoSpacing"/>
              <w:rPr>
                <w:bCs/>
              </w:rPr>
            </w:pPr>
            <w:r w:rsidRPr="00087F0E">
              <w:rPr>
                <w:bCs/>
              </w:rPr>
              <w:t xml:space="preserve">Municipal Solid Waste is waste generated by households, and waste of a similar nature generated by commercial and business establishments, industrial and agricultural premises, institutions such as schools and hospitals, public spaces such as parks and streets and construction sites. Generally, it is non-hazardous wastes composed of food waste, garden waste, paper and cardboard, wood, textiles, nappies (disposable diapers), rubber and leather, plastics, metal, glass, and refuse such as ash, dirt and dust. Sewage sludge and faecal sludge is also included in the category of municipal solid waste but it excludes wastewater.  This will be the monitoring scope of the indicator. </w:t>
            </w:r>
          </w:p>
          <w:p w14:paraId="1939AF9A" w14:textId="77777777" w:rsidR="00EF295B" w:rsidRPr="00087F0E" w:rsidRDefault="00EF295B" w:rsidP="00EF295B">
            <w:pPr>
              <w:pStyle w:val="NoSpacing"/>
              <w:rPr>
                <w:bCs/>
              </w:rPr>
            </w:pPr>
          </w:p>
          <w:p w14:paraId="5512734C" w14:textId="77777777" w:rsidR="00EF295B" w:rsidRPr="00087F0E" w:rsidRDefault="00EF295B" w:rsidP="00EF295B">
            <w:pPr>
              <w:pStyle w:val="NoSpacing"/>
              <w:rPr>
                <w:bCs/>
              </w:rPr>
            </w:pPr>
            <w:r w:rsidRPr="00087F0E">
              <w:rPr>
                <w:bCs/>
              </w:rPr>
              <w:t xml:space="preserve">Regularly Collected Municipal Solid Waste refers to municipal solid waste that is routinely collected from specific addresses or designated collection points. Waste collection is conducted directly by municipal authorities or private contractors licensed/commissioned by municipal authorities with a regular schedule of the day of the week and time of collection. In some cases, private waste collection companies have contracts with clients individually and provide collection services. </w:t>
            </w:r>
          </w:p>
          <w:p w14:paraId="3FDE07F8" w14:textId="77777777" w:rsidR="00EF295B" w:rsidRPr="00087F0E" w:rsidRDefault="00EF295B" w:rsidP="00EF295B">
            <w:pPr>
              <w:pStyle w:val="NoSpacing"/>
              <w:rPr>
                <w:bCs/>
              </w:rPr>
            </w:pPr>
          </w:p>
          <w:p w14:paraId="43E49B5F" w14:textId="77777777" w:rsidR="00EF295B" w:rsidRPr="00087F0E" w:rsidRDefault="00EF295B" w:rsidP="00EF295B">
            <w:pPr>
              <w:pStyle w:val="NoSpacing"/>
              <w:rPr>
                <w:bCs/>
              </w:rPr>
            </w:pPr>
            <w:r w:rsidRPr="00087F0E">
              <w:rPr>
                <w:bCs/>
              </w:rPr>
              <w:t xml:space="preserve">Uncollected Municipal Solid Waste refers to waste generated in a city but uncollected due to the lack of collection services. In many cities informal settlements areas do not have access to this basic service. The amount of uncollected waste can be estimated by waste generation per capita in the city multiplied by the population who does not have access to the solid waste collection service. </w:t>
            </w:r>
          </w:p>
          <w:p w14:paraId="34296307" w14:textId="77777777" w:rsidR="00EF295B" w:rsidRPr="00087F0E" w:rsidRDefault="00EF295B" w:rsidP="00EF295B">
            <w:pPr>
              <w:pStyle w:val="NoSpacing"/>
              <w:rPr>
                <w:bCs/>
              </w:rPr>
            </w:pPr>
          </w:p>
          <w:p w14:paraId="32C8E361" w14:textId="77777777" w:rsidR="00EF295B" w:rsidRPr="00087F0E" w:rsidRDefault="00EF295B" w:rsidP="00EF295B">
            <w:pPr>
              <w:pStyle w:val="NoSpacing"/>
              <w:rPr>
                <w:bCs/>
              </w:rPr>
            </w:pPr>
            <w:r w:rsidRPr="00087F0E">
              <w:rPr>
                <w:bCs/>
              </w:rPr>
              <w:t xml:space="preserve">Total Municipal Solid Waste Generated by the City is sum of municipal solid waste, or the sum of regularly collected municipal solid waste and uncollected municipal solid waste. </w:t>
            </w:r>
          </w:p>
          <w:p w14:paraId="5FC7BFED" w14:textId="77777777" w:rsidR="00EF295B" w:rsidRDefault="00EF295B" w:rsidP="00EF295B">
            <w:pPr>
              <w:pStyle w:val="NoSpacing"/>
              <w:rPr>
                <w:b/>
              </w:rPr>
            </w:pPr>
          </w:p>
          <w:p w14:paraId="0D1AD013" w14:textId="77777777" w:rsidR="00EF295B" w:rsidRDefault="00EF295B" w:rsidP="00EF295B">
            <w:pPr>
              <w:pStyle w:val="NoSpacing"/>
            </w:pPr>
            <w:r w:rsidRPr="00087F0E">
              <w:rPr>
                <w:bCs/>
              </w:rPr>
              <w:t>Municipal Solid Waste with Adequate Final Treatment and Disposal refers</w:t>
            </w:r>
            <w:r w:rsidRPr="00C807F0">
              <w:t xml:space="preserve"> to the total municipal solid waste destined for treatment or disposal facilities that at least reached an intermediate level of control. The level of adequacy for a particular facility can be assessed using the qualitative criteria including 1) degree of control over waste reception and general site management; 2) degree of control over waste treatment and disposal and 3) degree of monitoring and verification of environmental control. A score of at least 10 on each criterion is the threshold required to be considered as ‘adequate final treatment and disposal’.</w:t>
            </w:r>
          </w:p>
          <w:p w14:paraId="58AD2EBC" w14:textId="77777777" w:rsidR="00EF295B" w:rsidRPr="00172FB1" w:rsidRDefault="00EF295B" w:rsidP="00EF295B">
            <w:pPr>
              <w:pStyle w:val="NoSpacing"/>
            </w:pPr>
          </w:p>
          <w:p w14:paraId="06E6C73B" w14:textId="77777777" w:rsidR="00EF295B" w:rsidRPr="00172FB1" w:rsidRDefault="00EF295B" w:rsidP="00EF295B">
            <w:pPr>
              <w:pStyle w:val="NoSpacing"/>
            </w:pPr>
            <w:r w:rsidRPr="00172FB1">
              <w:t>Comments and limitations:</w:t>
            </w:r>
          </w:p>
          <w:p w14:paraId="5E75C93F" w14:textId="77777777" w:rsidR="00EF295B" w:rsidRDefault="00EF295B" w:rsidP="00EF295B">
            <w:pPr>
              <w:pStyle w:val="NoSpacing"/>
            </w:pPr>
            <w:r w:rsidRPr="00C807F0">
              <w:t xml:space="preserve">Collection of data for the indicator is not infeasible but it will require training and capacity development. The data on total municipal solid waste generation is globally available although the precision of data is disputable. In general, developed countries have solid waste data collection systems but most of the middle and low income countries do not </w:t>
            </w:r>
            <w:r w:rsidRPr="00C807F0">
              <w:lastRenderedPageBreak/>
              <w:t xml:space="preserve">have data. In these countries and cities, household survey and other complimentary surveys can be conducted for the estimation of municipal waste generation per capita. However, one of the key challenges of data precision in the middle to low income countries is the lack of accurate population data in their jurisdiction, particularly regarding slums, where usually no waste collection service is taking place. Also the collection of the data, such as the amount of waste adequately treated and disposed, will be a challenge for many of national and local governments. The judgement on the adequacy of treatment and disposal of all the waste management facilities, including composting, recycling, incineration facilities in a city, requires high level of technical capacity and large investment in human resources. </w:t>
            </w:r>
          </w:p>
          <w:p w14:paraId="67B6532C" w14:textId="77777777" w:rsidR="00EF295B" w:rsidRDefault="00EF295B" w:rsidP="00EF295B">
            <w:pPr>
              <w:pStyle w:val="NoSpacing"/>
            </w:pPr>
            <w:r w:rsidRPr="00C807F0">
              <w:t xml:space="preserve">Considering the various situations on waste data availability in different countries, it would be better to have different methods to collect data from countries. For OECD or developed countries that already have data, distributing and collecting questionnaire to national officials from responsible ministries such as ministry of environment or urban development would be sufficient to collect legitimate data. For middle to low income countries without legitimate data, baseline survey by waste management professionals together with monitoring capacity development will be necessary. </w:t>
            </w:r>
          </w:p>
          <w:p w14:paraId="58A19E4B" w14:textId="77777777" w:rsidR="00EF295B" w:rsidRPr="00172FB1" w:rsidRDefault="00EF295B" w:rsidP="00EF295B">
            <w:pPr>
              <w:pStyle w:val="NoSpacing"/>
              <w:rPr>
                <w:rFonts w:eastAsia="Times New Roman" w:cs="Times New Roman"/>
                <w:b/>
                <w:bCs/>
                <w:color w:val="4A4A4A"/>
                <w:sz w:val="21"/>
                <w:szCs w:val="21"/>
                <w:lang w:eastAsia="en-GB"/>
              </w:rPr>
            </w:pPr>
          </w:p>
          <w:p w14:paraId="4B427EE2" w14:textId="77777777" w:rsidR="00EF295B" w:rsidRPr="00172FB1" w:rsidRDefault="00EF295B" w:rsidP="00EF295B">
            <w:pPr>
              <w:pStyle w:val="NoSpacing"/>
            </w:pPr>
            <w:r w:rsidRPr="00172FB1">
              <w:t>Computation Method:</w:t>
            </w:r>
          </w:p>
          <w:p w14:paraId="510A838F" w14:textId="77777777" w:rsidR="00EF295B" w:rsidRDefault="00EF295B" w:rsidP="00EF295B">
            <w:pPr>
              <w:pStyle w:val="NoSpacing"/>
            </w:pPr>
            <w:r w:rsidRPr="00C807F0">
              <w:t xml:space="preserve">The numerator of this indicator is ‘municipal solid waste regularly collected with adequate final treatment and disposal’ and the denominator is ‘total municipal solid waste generated by the city’. </w:t>
            </w:r>
          </w:p>
          <w:p w14:paraId="1B65EE87" w14:textId="77777777" w:rsidR="00EF295B" w:rsidRPr="00C807F0" w:rsidRDefault="00EF295B" w:rsidP="00EF295B">
            <w:pPr>
              <w:pStyle w:val="NoSpacing"/>
            </w:pPr>
          </w:p>
          <w:p w14:paraId="307C61E6" w14:textId="77777777" w:rsidR="00EF295B" w:rsidRPr="00C807F0" w:rsidRDefault="00EF295B" w:rsidP="00EF295B">
            <w:pPr>
              <w:pStyle w:val="NoSpacing"/>
            </w:pPr>
            <m:oMathPara>
              <m:oMath>
                <m:r>
                  <w:rPr>
                    <w:rFonts w:ascii="Cambria Math" w:hAnsi="Cambria Math"/>
                    <w:sz w:val="16"/>
                    <w:szCs w:val="16"/>
                  </w:rPr>
                  <m:t>x</m:t>
                </m:r>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municipal solid waste regularly collected with adequate final treatment and disposal</m:t>
                    </m:r>
                  </m:num>
                  <m:den>
                    <m:r>
                      <m:rPr>
                        <m:sty m:val="p"/>
                      </m:rPr>
                      <w:rPr>
                        <w:rFonts w:ascii="Cambria Math" w:hAnsi="Cambria Math"/>
                        <w:sz w:val="16"/>
                        <w:szCs w:val="16"/>
                      </w:rPr>
                      <m:t>Total municipal solid waste generated by the city</m:t>
                    </m:r>
                  </m:den>
                </m:f>
                <m:r>
                  <w:rPr>
                    <w:rFonts w:ascii="Cambria Math" w:hAnsi="Cambria Math"/>
                    <w:sz w:val="16"/>
                    <w:szCs w:val="16"/>
                  </w:rPr>
                  <m:t>×100 (%)</m:t>
                </m:r>
              </m:oMath>
            </m:oMathPara>
          </w:p>
          <w:p w14:paraId="2EC47884" w14:textId="77777777" w:rsidR="00EF295B" w:rsidRDefault="00EF295B" w:rsidP="00EF295B">
            <w:pPr>
              <w:pStyle w:val="NoSpacing"/>
            </w:pPr>
          </w:p>
          <w:p w14:paraId="42503020" w14:textId="77777777" w:rsidR="00EF295B" w:rsidRPr="00C807F0" w:rsidRDefault="00EF295B" w:rsidP="00EF295B">
            <w:pPr>
              <w:pStyle w:val="NoSpacing"/>
            </w:pPr>
            <w:r w:rsidRPr="00C807F0">
              <w:t>Multiplication of the municipal solid waste generation per capita and population of the city can estimate total municipal solid waste generated by the city. When the municipal solid waste generation per capita is not available, household survey for a daily waste generation in household and other premises (e.g. restaurants, hotels, hospitals, schools, etc.) should be conducted. Since the waste generation can differ according to the seasons, the survey should be conducted at least two times a year to estimate the municipal solid waste generation per capita.</w:t>
            </w:r>
          </w:p>
          <w:p w14:paraId="1953231B" w14:textId="77777777" w:rsidR="00EF295B" w:rsidRDefault="00EF295B" w:rsidP="00EF295B">
            <w:pPr>
              <w:pStyle w:val="NoSpacing"/>
            </w:pPr>
          </w:p>
          <w:p w14:paraId="2576705E" w14:textId="77777777" w:rsidR="00EF295B" w:rsidRDefault="00EF295B" w:rsidP="00EF295B">
            <w:pPr>
              <w:pStyle w:val="NoSpacing"/>
            </w:pPr>
            <w:r w:rsidRPr="00C807F0">
              <w:t>Municipal solid waste regularly collected with adequate final treatment and disposal is estimated through qualitative judgement of the degree of environmental control of facilities where the city’s municipal waste is collected and transported. The judgement of environmental control can be conducted in line with the criteria below. Another important thing is to deduct residue amount from treatment facilities to avoid double count.</w:t>
            </w:r>
          </w:p>
          <w:tbl>
            <w:tblPr>
              <w:tblStyle w:val="TableGrid"/>
              <w:tblW w:w="0" w:type="auto"/>
              <w:tblLook w:val="04A0" w:firstRow="1" w:lastRow="0" w:firstColumn="1" w:lastColumn="0" w:noHBand="0" w:noVBand="1"/>
            </w:tblPr>
            <w:tblGrid>
              <w:gridCol w:w="2298"/>
              <w:gridCol w:w="2747"/>
              <w:gridCol w:w="21"/>
              <w:gridCol w:w="2168"/>
            </w:tblGrid>
            <w:tr w:rsidR="00EF295B" w:rsidRPr="00087F0E" w14:paraId="7E00A24A" w14:textId="77777777" w:rsidTr="00A97151">
              <w:trPr>
                <w:trHeight w:val="6511"/>
              </w:trPr>
              <w:tc>
                <w:tcPr>
                  <w:tcW w:w="2898" w:type="dxa"/>
                  <w:vMerge w:val="restart"/>
                </w:tcPr>
                <w:p w14:paraId="4BC18A68"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lastRenderedPageBreak/>
                    <w:t>(1) Degree of control over waste reception and handling at each site. This criterion should be applied to all treatment and disposal sites, whatever the specific process being used.</w:t>
                  </w:r>
                </w:p>
              </w:tc>
              <w:tc>
                <w:tcPr>
                  <w:tcW w:w="6678" w:type="dxa"/>
                  <w:gridSpan w:val="3"/>
                </w:tcPr>
                <w:p w14:paraId="5AE7A3D4"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Factors affecting the assessment include:</w:t>
                  </w:r>
                </w:p>
                <w:p w14:paraId="0384D303"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Vehicular access to the site (high level of control: hard surfaced access roads of adequate width and load-bearing capacity, kept clean and free of mud)</w:t>
                  </w:r>
                </w:p>
                <w:p w14:paraId="199FC926"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 xml:space="preserve"> Traffic management (high level of control: any queues for site access kept short in time and contained within the site; little impact of traffic on neighbours).</w:t>
                  </w:r>
                </w:p>
                <w:p w14:paraId="21F46CFB"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Site security (high level of control: site fenced; no unauthorised site access; gates locked when site closed).</w:t>
                  </w:r>
                </w:p>
                <w:p w14:paraId="3905992C"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 xml:space="preserve">Waste reception and record keeping (high level of control: reception office; staffed during all opening hours; all vehicles logged and loads checked; weighbridge installed and all weights logged). Note that the procedures for monitoring the records thus collected are assessed under (3). </w:t>
                  </w:r>
                </w:p>
                <w:p w14:paraId="26D20B79"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Waste unloading (high level of control: waste directed to a designated area; unloading supervised by site staff).</w:t>
                  </w:r>
                </w:p>
                <w:p w14:paraId="630ED64E"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 xml:space="preserve">Control over nuisance (high level of control: successful control of windblown litter, flies, vermin, birds and of ‘mud’ leaving the site on vehicle tyres) </w:t>
                  </w:r>
                </w:p>
                <w:p w14:paraId="4B4054C3"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Control of fires (high level of control: no routine burning of wastes; no ‘wild’ fires; active fire prevention and emergency response systems in place in case of accidental fire)</w:t>
                  </w:r>
                </w:p>
              </w:tc>
            </w:tr>
            <w:tr w:rsidR="00EF295B" w:rsidRPr="00087F0E" w14:paraId="7C0BE2DC" w14:textId="77777777" w:rsidTr="00A97151">
              <w:trPr>
                <w:trHeight w:val="1052"/>
              </w:trPr>
              <w:tc>
                <w:tcPr>
                  <w:tcW w:w="2898" w:type="dxa"/>
                  <w:vMerge/>
                </w:tcPr>
                <w:p w14:paraId="795EEED6" w14:textId="77777777" w:rsidR="00EF295B" w:rsidRPr="00087F0E" w:rsidRDefault="00EF295B" w:rsidP="00EF295B">
                  <w:pPr>
                    <w:pStyle w:val="MText"/>
                    <w:rPr>
                      <w:rFonts w:ascii="Tw Cen MT Condensed" w:hAnsi="Tw Cen MT Condensed"/>
                      <w:sz w:val="20"/>
                      <w:szCs w:val="20"/>
                    </w:rPr>
                  </w:pPr>
                </w:p>
              </w:tc>
              <w:tc>
                <w:tcPr>
                  <w:tcW w:w="3690" w:type="dxa"/>
                  <w:gridSpan w:val="2"/>
                </w:tcPr>
                <w:p w14:paraId="49FD6E9E"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 xml:space="preserve">a. No control                                     </w:t>
                  </w:r>
                </w:p>
                <w:p w14:paraId="1A898C60"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b. Low level of control</w:t>
                  </w:r>
                </w:p>
                <w:p w14:paraId="29DB04B6"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c. Medium level of control</w:t>
                  </w:r>
                </w:p>
                <w:p w14:paraId="525078AE"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d. Medium/High level of control</w:t>
                  </w:r>
                </w:p>
                <w:p w14:paraId="74329EB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e. High level of control</w:t>
                  </w:r>
                </w:p>
              </w:tc>
              <w:tc>
                <w:tcPr>
                  <w:tcW w:w="2988" w:type="dxa"/>
                </w:tcPr>
                <w:p w14:paraId="55010909"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0 is scored</w:t>
                  </w:r>
                </w:p>
                <w:p w14:paraId="23C47DA8"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5</w:t>
                  </w:r>
                </w:p>
                <w:p w14:paraId="44155246"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10</w:t>
                  </w:r>
                </w:p>
                <w:p w14:paraId="010222C5"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15</w:t>
                  </w:r>
                </w:p>
                <w:p w14:paraId="49FCA327"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20</w:t>
                  </w:r>
                </w:p>
              </w:tc>
            </w:tr>
            <w:tr w:rsidR="00EF295B" w:rsidRPr="00087F0E" w14:paraId="5A3A76C8" w14:textId="77777777" w:rsidTr="00A97151">
              <w:tc>
                <w:tcPr>
                  <w:tcW w:w="2898" w:type="dxa"/>
                </w:tcPr>
                <w:p w14:paraId="6F0B1977"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 xml:space="preserve">(2) Degree of control over both the </w:t>
                  </w:r>
                  <w:r w:rsidRPr="00087F0E">
                    <w:rPr>
                      <w:rFonts w:ascii="Tw Cen MT Condensed" w:hAnsi="Tw Cen MT Condensed"/>
                      <w:sz w:val="20"/>
                      <w:szCs w:val="20"/>
                    </w:rPr>
                    <w:lastRenderedPageBreak/>
                    <w:t>waste treatment and disposal process in use at each site and over any potential emissions.</w:t>
                  </w:r>
                </w:p>
                <w:p w14:paraId="17DCDAB3"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This criterion covers both the presence of the necessary technologies, and the operating procedures for their proper use.</w:t>
                  </w:r>
                </w:p>
              </w:tc>
              <w:tc>
                <w:tcPr>
                  <w:tcW w:w="6678" w:type="dxa"/>
                  <w:gridSpan w:val="3"/>
                </w:tcPr>
                <w:p w14:paraId="0EBED13C"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lastRenderedPageBreak/>
                    <w:t xml:space="preserve">The nature of controls required will depend on both the process employed and </w:t>
                  </w:r>
                  <w:r w:rsidRPr="00087F0E">
                    <w:rPr>
                      <w:rFonts w:ascii="Tw Cen MT Condensed" w:hAnsi="Tw Cen MT Condensed"/>
                      <w:sz w:val="20"/>
                      <w:szCs w:val="20"/>
                    </w:rPr>
                    <w:lastRenderedPageBreak/>
                    <w:t>on the potential emissions. As an example, the table below provides guidance on how the general principles can be applied to land disposal and thermal treatment (using the specific example of mass-burn incineration).</w:t>
                  </w:r>
                </w:p>
                <w:p w14:paraId="496D93DB"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For biological treatment, the detail will vary with the type of process (e.g. windrow composting, in-vessel composting, anaerobic digestion). However, in all cases a ‘high level’ of control would imply a high degree of control over: the incoming waste (to avoid hazardous waste or contrary materials); processing temperature to ensure pathogen destruction; retention time in the process; mixing in the process (including turning of windrows); atmospheric emissions including odours and bio aerosols; and leachate collection and treatment.</w:t>
                  </w:r>
                </w:p>
                <w:p w14:paraId="0BCE2715"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Similar principles can be applied to other facilities, including mechanical-biological treatment (MBT) plants, advanced thermal treatment and new technologies for valorisation of organic waste in developing countries. In each case, the user may use the following scoring tables as a ‘best judgment’ guideline for scoring.</w:t>
                  </w:r>
                </w:p>
                <w:p w14:paraId="7EBE0107"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Where a fuel is being made from waste to be burnt elsewhere, then the assessment should include the process and emission controls at the user facilities.</w:t>
                  </w:r>
                </w:p>
              </w:tc>
            </w:tr>
            <w:tr w:rsidR="00EF295B" w:rsidRPr="00087F0E" w14:paraId="6C2342B8" w14:textId="77777777" w:rsidTr="00A97151">
              <w:trPr>
                <w:trHeight w:val="6947"/>
              </w:trPr>
              <w:tc>
                <w:tcPr>
                  <w:tcW w:w="2898" w:type="dxa"/>
                  <w:vMerge w:val="restart"/>
                </w:tcPr>
                <w:p w14:paraId="0FEBBFA2"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lastRenderedPageBreak/>
                    <w:t>(3) Degree of monitoring and verification of environmental controls (Includes the existence and regular implementation of: robust environmental permitting/ licensing procedures; regular record keeping, monitoring and verification carried out by the facility itself; AND monitoring, inspection and verification by an independent regulatory body)</w:t>
                  </w:r>
                </w:p>
              </w:tc>
              <w:tc>
                <w:tcPr>
                  <w:tcW w:w="6678" w:type="dxa"/>
                  <w:gridSpan w:val="3"/>
                </w:tcPr>
                <w:p w14:paraId="62236FA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The environmental monitoring programme and process control record keeping required will be specific to the type of facility.</w:t>
                  </w:r>
                </w:p>
                <w:p w14:paraId="04807182"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All sites must comply with the federal/national/local environmental legislation, have conducted an Environmental Impact Assessment (EIA) where necessary, have obtained the most recent permit/license and kept it up-to-date.</w:t>
                  </w:r>
                </w:p>
                <w:p w14:paraId="4E8F2F0A"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Permitting processes should be supportive of initiatives that improve environmental performance of the system. A lower score should be assigned if permitting processes for improved facilities have been unduly long and complex, while existing facilities continued to operate with much lower levels of (or no) environmental control.</w:t>
                  </w:r>
                </w:p>
                <w:p w14:paraId="660C6FEB"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For all sites it should include incoming waste volumes, weights and categories; at least occasional monitoring of waste composition and relevant properties; control of ‘nuisance’ (including windblown litter, flies, vermin, birds and ‘mud’ leaving the site on vehicle tyres); and control of odour, site fires, and emission of potential greenhouse gases (particularly methane and nitrous oxides, as well as carbon dioxide).</w:t>
                  </w:r>
                </w:p>
                <w:p w14:paraId="062E69A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 xml:space="preserve">For all land </w:t>
                  </w:r>
                  <w:proofErr w:type="gramStart"/>
                  <w:r w:rsidRPr="00087F0E">
                    <w:rPr>
                      <w:rFonts w:ascii="Tw Cen MT Condensed" w:hAnsi="Tw Cen MT Condensed"/>
                      <w:sz w:val="20"/>
                      <w:szCs w:val="20"/>
                    </w:rPr>
                    <w:t>disposal</w:t>
                  </w:r>
                  <w:proofErr w:type="gramEnd"/>
                  <w:r w:rsidRPr="00087F0E">
                    <w:rPr>
                      <w:rFonts w:ascii="Tw Cen MT Condensed" w:hAnsi="Tw Cen MT Condensed"/>
                      <w:sz w:val="20"/>
                      <w:szCs w:val="20"/>
                    </w:rPr>
                    <w:t>: ground and surface water.</w:t>
                  </w:r>
                </w:p>
                <w:p w14:paraId="3D9913D9"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For engineered and sanitary landfills: leachate and landfill gas management.</w:t>
                  </w:r>
                </w:p>
                <w:p w14:paraId="349B4B4B"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For thermal treatment: moisture content and calorific value of incoming wastes; temperature, residence time, emissions to air (including those of nitrogen oxides (NO), sulphur dioxide (SO2), hydrogen chloride (HCl), heavy metals and dioxins), effluent treatment and disposal, and the quantities and management methods of both fly ash and bottom ash.</w:t>
                  </w:r>
                </w:p>
                <w:p w14:paraId="44A43F75"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For biological treatment: input waste controls (to protect both the process and the product quality); process control (temperature, residence time, mixing); product quality control; emissions controls; and greenhouse gas controls (particularly methane and nitrous oxides).</w:t>
                  </w:r>
                </w:p>
              </w:tc>
            </w:tr>
            <w:tr w:rsidR="00EF295B" w:rsidRPr="00087F0E" w14:paraId="3E9D355B" w14:textId="77777777" w:rsidTr="00A97151">
              <w:trPr>
                <w:trHeight w:val="890"/>
              </w:trPr>
              <w:tc>
                <w:tcPr>
                  <w:tcW w:w="2898" w:type="dxa"/>
                  <w:vMerge/>
                </w:tcPr>
                <w:p w14:paraId="1FC3772B" w14:textId="77777777" w:rsidR="00EF295B" w:rsidRPr="00087F0E" w:rsidRDefault="00EF295B" w:rsidP="00EF295B">
                  <w:pPr>
                    <w:pStyle w:val="MText"/>
                    <w:rPr>
                      <w:rFonts w:ascii="Tw Cen MT Condensed" w:hAnsi="Tw Cen MT Condensed"/>
                      <w:sz w:val="20"/>
                      <w:szCs w:val="20"/>
                    </w:rPr>
                  </w:pPr>
                </w:p>
              </w:tc>
              <w:tc>
                <w:tcPr>
                  <w:tcW w:w="3660" w:type="dxa"/>
                </w:tcPr>
                <w:p w14:paraId="28BF7CD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No compliance</w:t>
                  </w:r>
                </w:p>
                <w:p w14:paraId="55263F17"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Low compliance</w:t>
                  </w:r>
                </w:p>
                <w:p w14:paraId="374F4B85"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Medium Compliance</w:t>
                  </w:r>
                </w:p>
                <w:p w14:paraId="7810F1F3"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Medium/High compliance</w:t>
                  </w:r>
                </w:p>
                <w:p w14:paraId="3D1EDFCE"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lastRenderedPageBreak/>
                    <w:t>High compliance</w:t>
                  </w:r>
                </w:p>
              </w:tc>
              <w:tc>
                <w:tcPr>
                  <w:tcW w:w="3018" w:type="dxa"/>
                  <w:gridSpan w:val="2"/>
                </w:tcPr>
                <w:p w14:paraId="647CA44C"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lastRenderedPageBreak/>
                    <w:t>0 is scored</w:t>
                  </w:r>
                </w:p>
                <w:p w14:paraId="1CB7D5D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5</w:t>
                  </w:r>
                </w:p>
                <w:p w14:paraId="539492D1"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10</w:t>
                  </w:r>
                </w:p>
                <w:p w14:paraId="05D14EB8"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15</w:t>
                  </w:r>
                </w:p>
                <w:p w14:paraId="49C5A6C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lastRenderedPageBreak/>
                    <w:t>20</w:t>
                  </w:r>
                </w:p>
              </w:tc>
            </w:tr>
          </w:tbl>
          <w:p w14:paraId="3014BBF3" w14:textId="77777777" w:rsidR="00EF295B" w:rsidRPr="00087F0E" w:rsidRDefault="00EF295B" w:rsidP="00EF295B">
            <w:pPr>
              <w:pStyle w:val="MText"/>
              <w:rPr>
                <w:rFonts w:ascii="Tw Cen MT Condensed" w:hAnsi="Tw Cen MT Condensed"/>
                <w:sz w:val="20"/>
                <w:szCs w:val="20"/>
              </w:rPr>
            </w:pPr>
          </w:p>
          <w:p w14:paraId="267B3597" w14:textId="77777777" w:rsidR="00EF295B" w:rsidRPr="00087F0E" w:rsidRDefault="00EF295B" w:rsidP="00EF295B">
            <w:pPr>
              <w:pStyle w:val="MText"/>
              <w:rPr>
                <w:rFonts w:ascii="Tw Cen MT Condensed" w:hAnsi="Tw Cen MT Condensed"/>
                <w:sz w:val="20"/>
                <w:szCs w:val="20"/>
              </w:rPr>
            </w:pPr>
          </w:p>
          <w:tbl>
            <w:tblPr>
              <w:tblStyle w:val="TableGrid"/>
              <w:tblW w:w="0" w:type="auto"/>
              <w:tblLook w:val="04A0" w:firstRow="1" w:lastRow="0" w:firstColumn="1" w:lastColumn="0" w:noHBand="0" w:noVBand="1"/>
            </w:tblPr>
            <w:tblGrid>
              <w:gridCol w:w="357"/>
              <w:gridCol w:w="1470"/>
              <w:gridCol w:w="663"/>
              <w:gridCol w:w="2365"/>
              <w:gridCol w:w="2379"/>
            </w:tblGrid>
            <w:tr w:rsidR="00EF295B" w:rsidRPr="00087F0E" w14:paraId="49EC952A" w14:textId="77777777" w:rsidTr="00A97151">
              <w:tc>
                <w:tcPr>
                  <w:tcW w:w="378" w:type="dxa"/>
                </w:tcPr>
                <w:p w14:paraId="5FC3B34D" w14:textId="77777777" w:rsidR="00EF295B" w:rsidRPr="00087F0E" w:rsidRDefault="00EF295B" w:rsidP="00EF295B">
                  <w:pPr>
                    <w:pStyle w:val="MText"/>
                    <w:rPr>
                      <w:rFonts w:ascii="Tw Cen MT Condensed" w:hAnsi="Tw Cen MT Condensed"/>
                      <w:sz w:val="20"/>
                      <w:szCs w:val="20"/>
                    </w:rPr>
                  </w:pPr>
                </w:p>
              </w:tc>
              <w:tc>
                <w:tcPr>
                  <w:tcW w:w="1800" w:type="dxa"/>
                </w:tcPr>
                <w:p w14:paraId="71C27BD1" w14:textId="77777777" w:rsidR="00EF295B" w:rsidRPr="00087F0E" w:rsidRDefault="00EF295B" w:rsidP="00EF295B">
                  <w:pPr>
                    <w:pStyle w:val="MText"/>
                    <w:rPr>
                      <w:rFonts w:ascii="Tw Cen MT Condensed" w:hAnsi="Tw Cen MT Condensed"/>
                      <w:b/>
                      <w:bCs/>
                      <w:sz w:val="20"/>
                      <w:szCs w:val="20"/>
                    </w:rPr>
                  </w:pPr>
                  <w:r w:rsidRPr="00087F0E">
                    <w:rPr>
                      <w:rFonts w:ascii="Tw Cen MT Condensed" w:hAnsi="Tw Cen MT Condensed"/>
                      <w:b/>
                      <w:bCs/>
                      <w:sz w:val="20"/>
                      <w:szCs w:val="20"/>
                    </w:rPr>
                    <w:t>Level of Control</w:t>
                  </w:r>
                </w:p>
              </w:tc>
              <w:tc>
                <w:tcPr>
                  <w:tcW w:w="720" w:type="dxa"/>
                </w:tcPr>
                <w:p w14:paraId="4D1501E0" w14:textId="77777777" w:rsidR="00EF295B" w:rsidRPr="00087F0E" w:rsidRDefault="00EF295B" w:rsidP="00EF295B">
                  <w:pPr>
                    <w:pStyle w:val="MText"/>
                    <w:rPr>
                      <w:rFonts w:ascii="Tw Cen MT Condensed" w:hAnsi="Tw Cen MT Condensed"/>
                      <w:b/>
                      <w:bCs/>
                      <w:sz w:val="20"/>
                      <w:szCs w:val="20"/>
                    </w:rPr>
                  </w:pPr>
                  <w:r w:rsidRPr="00087F0E">
                    <w:rPr>
                      <w:rFonts w:ascii="Tw Cen MT Condensed" w:hAnsi="Tw Cen MT Condensed"/>
                      <w:b/>
                      <w:bCs/>
                      <w:sz w:val="20"/>
                      <w:szCs w:val="20"/>
                    </w:rPr>
                    <w:t>Score</w:t>
                  </w:r>
                </w:p>
              </w:tc>
              <w:tc>
                <w:tcPr>
                  <w:tcW w:w="3339" w:type="dxa"/>
                </w:tcPr>
                <w:p w14:paraId="39F5DF71" w14:textId="77777777" w:rsidR="00EF295B" w:rsidRPr="00087F0E" w:rsidRDefault="00EF295B" w:rsidP="00EF295B">
                  <w:pPr>
                    <w:pStyle w:val="MText"/>
                    <w:rPr>
                      <w:rFonts w:ascii="Tw Cen MT Condensed" w:hAnsi="Tw Cen MT Condensed"/>
                      <w:b/>
                      <w:bCs/>
                      <w:sz w:val="20"/>
                      <w:szCs w:val="20"/>
                    </w:rPr>
                  </w:pPr>
                  <w:r w:rsidRPr="00087F0E">
                    <w:rPr>
                      <w:rFonts w:ascii="Tw Cen MT Condensed" w:hAnsi="Tw Cen MT Condensed"/>
                      <w:b/>
                      <w:bCs/>
                      <w:sz w:val="20"/>
                      <w:szCs w:val="20"/>
                    </w:rPr>
                    <w:t>Land disposal</w:t>
                  </w:r>
                </w:p>
              </w:tc>
              <w:tc>
                <w:tcPr>
                  <w:tcW w:w="3339" w:type="dxa"/>
                </w:tcPr>
                <w:p w14:paraId="2889CF90" w14:textId="77777777" w:rsidR="00EF295B" w:rsidRPr="00087F0E" w:rsidRDefault="00EF295B" w:rsidP="00EF295B">
                  <w:pPr>
                    <w:pStyle w:val="MText"/>
                    <w:rPr>
                      <w:rFonts w:ascii="Tw Cen MT Condensed" w:hAnsi="Tw Cen MT Condensed"/>
                      <w:b/>
                      <w:bCs/>
                      <w:sz w:val="20"/>
                      <w:szCs w:val="20"/>
                    </w:rPr>
                  </w:pPr>
                  <w:r w:rsidRPr="00087F0E">
                    <w:rPr>
                      <w:rFonts w:ascii="Tw Cen MT Condensed" w:hAnsi="Tw Cen MT Condensed"/>
                      <w:b/>
                      <w:bCs/>
                      <w:sz w:val="20"/>
                      <w:szCs w:val="20"/>
                    </w:rPr>
                    <w:t>Thermal treatment</w:t>
                  </w:r>
                </w:p>
              </w:tc>
            </w:tr>
            <w:tr w:rsidR="00EF295B" w:rsidRPr="00087F0E" w14:paraId="07295C7F" w14:textId="77777777" w:rsidTr="00A97151">
              <w:tc>
                <w:tcPr>
                  <w:tcW w:w="378" w:type="dxa"/>
                </w:tcPr>
                <w:p w14:paraId="14233B89"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a.</w:t>
                  </w:r>
                </w:p>
              </w:tc>
              <w:tc>
                <w:tcPr>
                  <w:tcW w:w="1800" w:type="dxa"/>
                </w:tcPr>
                <w:p w14:paraId="26AFB0FE"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None</w:t>
                  </w:r>
                </w:p>
              </w:tc>
              <w:tc>
                <w:tcPr>
                  <w:tcW w:w="720" w:type="dxa"/>
                </w:tcPr>
                <w:p w14:paraId="3D25B8EB"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0</w:t>
                  </w:r>
                </w:p>
              </w:tc>
              <w:tc>
                <w:tcPr>
                  <w:tcW w:w="3339" w:type="dxa"/>
                </w:tcPr>
                <w:p w14:paraId="6B33F57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Uncontrolled dumping–no controls</w:t>
                  </w:r>
                </w:p>
              </w:tc>
              <w:tc>
                <w:tcPr>
                  <w:tcW w:w="3339" w:type="dxa"/>
                </w:tcPr>
                <w:p w14:paraId="435DF914"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Uncontrolled burning lacking most ‘control’ functions</w:t>
                  </w:r>
                </w:p>
              </w:tc>
            </w:tr>
            <w:tr w:rsidR="00EF295B" w:rsidRPr="00087F0E" w14:paraId="55E8B689" w14:textId="77777777" w:rsidTr="00A97151">
              <w:tc>
                <w:tcPr>
                  <w:tcW w:w="378" w:type="dxa"/>
                </w:tcPr>
                <w:p w14:paraId="58CE1AA6"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b.</w:t>
                  </w:r>
                </w:p>
              </w:tc>
              <w:tc>
                <w:tcPr>
                  <w:tcW w:w="1800" w:type="dxa"/>
                </w:tcPr>
                <w:p w14:paraId="75E13A14"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Low (Semi-controlled facility)</w:t>
                  </w:r>
                </w:p>
              </w:tc>
              <w:tc>
                <w:tcPr>
                  <w:tcW w:w="720" w:type="dxa"/>
                </w:tcPr>
                <w:p w14:paraId="5C7E010F"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5</w:t>
                  </w:r>
                </w:p>
              </w:tc>
              <w:tc>
                <w:tcPr>
                  <w:tcW w:w="3339" w:type="dxa"/>
                </w:tcPr>
                <w:p w14:paraId="68FB7696"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Site staffed; waste placed in designated area; some site equipment</w:t>
                  </w:r>
                </w:p>
              </w:tc>
              <w:tc>
                <w:tcPr>
                  <w:tcW w:w="3339" w:type="dxa"/>
                </w:tcPr>
                <w:p w14:paraId="1201460A"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Site staffed; some containment and management of combustion process; basic operating procedures to control nuisance</w:t>
                  </w:r>
                </w:p>
              </w:tc>
            </w:tr>
            <w:tr w:rsidR="00EF295B" w:rsidRPr="00087F0E" w14:paraId="73B903EF" w14:textId="77777777" w:rsidTr="00A97151">
              <w:tc>
                <w:tcPr>
                  <w:tcW w:w="378" w:type="dxa"/>
                </w:tcPr>
                <w:p w14:paraId="5BAF9BDB"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c.</w:t>
                  </w:r>
                </w:p>
              </w:tc>
              <w:tc>
                <w:tcPr>
                  <w:tcW w:w="1800" w:type="dxa"/>
                </w:tcPr>
                <w:p w14:paraId="7AFB0496"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Medium (Controlled facility)</w:t>
                  </w:r>
                </w:p>
              </w:tc>
              <w:tc>
                <w:tcPr>
                  <w:tcW w:w="720" w:type="dxa"/>
                </w:tcPr>
                <w:p w14:paraId="0AEBDB24"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10</w:t>
                  </w:r>
                </w:p>
              </w:tc>
              <w:tc>
                <w:tcPr>
                  <w:tcW w:w="3339" w:type="dxa"/>
                </w:tcPr>
                <w:p w14:paraId="1542B63E"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Waste compacted using site equipment; waste covered (at least irregularly)</w:t>
                  </w:r>
                </w:p>
              </w:tc>
              <w:tc>
                <w:tcPr>
                  <w:tcW w:w="3339" w:type="dxa"/>
                </w:tcPr>
                <w:p w14:paraId="3B562AE9"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Emission controls to capture particulates; trained staff follow set operating procedures; equipment properly maintained; ash properly managed</w:t>
                  </w:r>
                </w:p>
              </w:tc>
            </w:tr>
            <w:tr w:rsidR="00EF295B" w:rsidRPr="00087F0E" w14:paraId="23D3E51B" w14:textId="77777777" w:rsidTr="00A97151">
              <w:tc>
                <w:tcPr>
                  <w:tcW w:w="378" w:type="dxa"/>
                </w:tcPr>
                <w:p w14:paraId="1BD8D91E"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d.</w:t>
                  </w:r>
                </w:p>
              </w:tc>
              <w:tc>
                <w:tcPr>
                  <w:tcW w:w="1800" w:type="dxa"/>
                </w:tcPr>
                <w:p w14:paraId="690E1FF3"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Medium/high (Engineered facility)</w:t>
                  </w:r>
                </w:p>
              </w:tc>
              <w:tc>
                <w:tcPr>
                  <w:tcW w:w="720" w:type="dxa"/>
                </w:tcPr>
                <w:p w14:paraId="5DEC9520"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15</w:t>
                  </w:r>
                </w:p>
              </w:tc>
              <w:tc>
                <w:tcPr>
                  <w:tcW w:w="3339" w:type="dxa"/>
                </w:tcPr>
                <w:p w14:paraId="5821E363"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Engineered landfill site: use daily cover material; some level of leachate containment and treatment; collection of landfill gas</w:t>
                  </w:r>
                </w:p>
              </w:tc>
              <w:tc>
                <w:tcPr>
                  <w:tcW w:w="3339" w:type="dxa"/>
                </w:tcPr>
                <w:p w14:paraId="271D22FC"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High levels of engineering and process control over residence time, turbulence and temperature; emission controls to capture acid gases and capture dioxins; active management of fly ash.</w:t>
                  </w:r>
                </w:p>
              </w:tc>
            </w:tr>
            <w:tr w:rsidR="00EF295B" w:rsidRPr="00087F0E" w14:paraId="7F2E7B39" w14:textId="77777777" w:rsidTr="00A97151">
              <w:tc>
                <w:tcPr>
                  <w:tcW w:w="378" w:type="dxa"/>
                </w:tcPr>
                <w:p w14:paraId="13090232"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e.</w:t>
                  </w:r>
                </w:p>
              </w:tc>
              <w:tc>
                <w:tcPr>
                  <w:tcW w:w="1800" w:type="dxa"/>
                </w:tcPr>
                <w:p w14:paraId="5BA5F348"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High (State-of-the-art facility)</w:t>
                  </w:r>
                </w:p>
              </w:tc>
              <w:tc>
                <w:tcPr>
                  <w:tcW w:w="720" w:type="dxa"/>
                </w:tcPr>
                <w:p w14:paraId="0872F710"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20</w:t>
                  </w:r>
                </w:p>
              </w:tc>
              <w:tc>
                <w:tcPr>
                  <w:tcW w:w="3339" w:type="dxa"/>
                </w:tcPr>
                <w:p w14:paraId="3D7CD57D"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Fully functional sanitary landfill site: properly sited and designed; leachate containment (naturally consolidated clay on the site or constructed liner); leachate &amp; gas collection; gas flaring and/or utilization; final cover; post closure plan</w:t>
                  </w:r>
                </w:p>
              </w:tc>
              <w:tc>
                <w:tcPr>
                  <w:tcW w:w="3339" w:type="dxa"/>
                </w:tcPr>
                <w:p w14:paraId="7916EA7B"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t>Built to and operating in compliance with international best practice including e.g. EU or other similarly stringent stack and GHG emission criteria Fly ash managed as a hazardous waste using best appropriate technology.</w:t>
                  </w:r>
                </w:p>
              </w:tc>
            </w:tr>
          </w:tbl>
          <w:p w14:paraId="353A345E" w14:textId="77777777" w:rsidR="00EF295B" w:rsidRDefault="00EF295B" w:rsidP="00EF295B">
            <w:pPr>
              <w:pStyle w:val="NoSpacing"/>
            </w:pPr>
          </w:p>
          <w:p w14:paraId="14F7BAF7" w14:textId="77777777" w:rsidR="00EF295B" w:rsidRPr="00087F0E" w:rsidRDefault="00EF295B" w:rsidP="00EF295B">
            <w:pPr>
              <w:pStyle w:val="MText"/>
              <w:rPr>
                <w:rFonts w:ascii="Tw Cen MT Condensed" w:hAnsi="Tw Cen MT Condensed"/>
                <w:sz w:val="20"/>
                <w:szCs w:val="20"/>
              </w:rPr>
            </w:pPr>
            <w:r w:rsidRPr="00087F0E">
              <w:rPr>
                <w:rFonts w:ascii="Tw Cen MT Condensed" w:hAnsi="Tw Cen MT Condensed"/>
                <w:sz w:val="20"/>
                <w:szCs w:val="20"/>
              </w:rPr>
              <w:lastRenderedPageBreak/>
              <w:t>All the treatment and disposal facilities that receive municipal solid waste of the city are checked against the criteria above and scored. Facilities that are scored above 10 for all the criteria are accounted as facilities that can deliver ‘adequate treatment and disposal’.  Therefore, the amount of municipal solid waste received by the facilities that has capacity of delivering ‘adequate treatment and disposal’ is accounted as the amount of Municipal solid waste regularly collected with adequate final treatment and disposal.</w:t>
            </w:r>
          </w:p>
          <w:p w14:paraId="7ECC4DC6" w14:textId="77777777" w:rsidR="00EF295B" w:rsidRPr="00C807F0" w:rsidRDefault="00EF295B" w:rsidP="00EF295B">
            <w:pPr>
              <w:pStyle w:val="NoSpacing"/>
            </w:pPr>
          </w:p>
          <w:p w14:paraId="7ED0A009" w14:textId="77777777" w:rsidR="00EF295B" w:rsidRDefault="00EF295B" w:rsidP="00EF295B">
            <w:pPr>
              <w:pStyle w:val="NoSpacing"/>
            </w:pPr>
          </w:p>
        </w:tc>
        <w:tc>
          <w:tcPr>
            <w:tcW w:w="1174" w:type="dxa"/>
          </w:tcPr>
          <w:p w14:paraId="249863E5" w14:textId="77777777" w:rsidR="00EF295B" w:rsidRPr="00873FDE" w:rsidRDefault="00EF295B" w:rsidP="00EF295B">
            <w:pPr>
              <w:autoSpaceDE w:val="0"/>
              <w:autoSpaceDN w:val="0"/>
              <w:adjustRightInd w:val="0"/>
              <w:rPr>
                <w:bCs/>
                <w:szCs w:val="20"/>
              </w:rPr>
            </w:pPr>
            <w:r w:rsidRPr="00873FDE">
              <w:rPr>
                <w:bCs/>
                <w:szCs w:val="20"/>
              </w:rPr>
              <w:lastRenderedPageBreak/>
              <w:t>National level estimates and reporting will be done by the national governments/sta</w:t>
            </w:r>
            <w:r w:rsidRPr="00873FDE">
              <w:rPr>
                <w:bCs/>
                <w:szCs w:val="20"/>
              </w:rPr>
              <w:lastRenderedPageBreak/>
              <w:t>tistical agencies. UN-Habitat and other partners will lead the reporting at the regional and global levels.</w:t>
            </w:r>
          </w:p>
        </w:tc>
        <w:tc>
          <w:tcPr>
            <w:tcW w:w="818" w:type="dxa"/>
          </w:tcPr>
          <w:p w14:paraId="053D0DF4" w14:textId="77777777" w:rsidR="00EF295B" w:rsidRPr="00873FDE" w:rsidRDefault="00EF295B" w:rsidP="00EF295B">
            <w:pPr>
              <w:autoSpaceDE w:val="0"/>
              <w:autoSpaceDN w:val="0"/>
              <w:adjustRightInd w:val="0"/>
              <w:rPr>
                <w:bCs/>
                <w:szCs w:val="20"/>
              </w:rPr>
            </w:pPr>
            <w:r w:rsidRPr="00873FDE">
              <w:rPr>
                <w:bCs/>
                <w:szCs w:val="20"/>
              </w:rPr>
              <w:lastRenderedPageBreak/>
              <w:t>UN-Habitat</w:t>
            </w:r>
          </w:p>
        </w:tc>
        <w:tc>
          <w:tcPr>
            <w:tcW w:w="812" w:type="dxa"/>
          </w:tcPr>
          <w:p w14:paraId="2BA92F6B" w14:textId="4F1CA980" w:rsidR="00EF295B" w:rsidRPr="00C31458" w:rsidRDefault="00EF295B" w:rsidP="00EF295B">
            <w:pPr>
              <w:pStyle w:val="NoSpacing"/>
            </w:pPr>
          </w:p>
        </w:tc>
        <w:tc>
          <w:tcPr>
            <w:tcW w:w="1351" w:type="dxa"/>
          </w:tcPr>
          <w:p w14:paraId="148CD857" w14:textId="77777777" w:rsidR="00EF295B" w:rsidRDefault="00EF295B" w:rsidP="00EF295B">
            <w:pPr>
              <w:spacing w:line="276" w:lineRule="auto"/>
              <w:jc w:val="center"/>
              <w:rPr>
                <w:rFonts w:cs="Times New Roman"/>
                <w:szCs w:val="20"/>
              </w:rPr>
            </w:pPr>
            <w:r w:rsidRPr="00C31458">
              <w:rPr>
                <w:rFonts w:cs="Times New Roman"/>
                <w:szCs w:val="20"/>
              </w:rPr>
              <w:t>LGD (City Corporations</w:t>
            </w:r>
            <w:r w:rsidRPr="00A05260">
              <w:rPr>
                <w:rFonts w:cs="Times New Roman"/>
                <w:szCs w:val="20"/>
              </w:rPr>
              <w:t>/</w:t>
            </w:r>
            <w:r w:rsidRPr="00A05260">
              <w:rPr>
                <w:rFonts w:cs="Times New Roman"/>
                <w:color w:val="FF0000"/>
                <w:szCs w:val="20"/>
              </w:rPr>
              <w:t>Municipalities</w:t>
            </w:r>
            <w:r w:rsidRPr="00C31458">
              <w:rPr>
                <w:rFonts w:cs="Times New Roman"/>
                <w:szCs w:val="20"/>
              </w:rPr>
              <w:t>)</w:t>
            </w:r>
          </w:p>
          <w:p w14:paraId="7A544B7B" w14:textId="77777777" w:rsidR="00EF295B" w:rsidRDefault="00EF295B" w:rsidP="00EF295B">
            <w:pPr>
              <w:spacing w:line="276" w:lineRule="auto"/>
              <w:jc w:val="center"/>
              <w:rPr>
                <w:rFonts w:cs="Times New Roman"/>
                <w:szCs w:val="20"/>
              </w:rPr>
            </w:pPr>
          </w:p>
          <w:p w14:paraId="0EE0B1A3" w14:textId="77777777" w:rsidR="00EF295B" w:rsidRPr="00C31458" w:rsidRDefault="00EF295B" w:rsidP="00EF295B">
            <w:pPr>
              <w:spacing w:line="276" w:lineRule="auto"/>
              <w:jc w:val="center"/>
              <w:rPr>
                <w:rFonts w:cs="Times New Roman"/>
                <w:szCs w:val="20"/>
              </w:rPr>
            </w:pPr>
            <w:r w:rsidRPr="00C31458">
              <w:rPr>
                <w:rFonts w:cs="Times New Roman"/>
                <w:szCs w:val="20"/>
              </w:rPr>
              <w:t>Administrative Data</w:t>
            </w:r>
          </w:p>
        </w:tc>
        <w:tc>
          <w:tcPr>
            <w:tcW w:w="1349" w:type="dxa"/>
          </w:tcPr>
          <w:p w14:paraId="5D0B68BE"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type of final treatment and disposal </w:t>
            </w:r>
          </w:p>
          <w:p w14:paraId="19BE3983"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source of waste generation: residential, </w:t>
            </w:r>
            <w:r>
              <w:rPr>
                <w:rFonts w:ascii="Tw Cen MT Condensed" w:hAnsi="Tw Cen MT Condensed"/>
                <w:sz w:val="20"/>
                <w:szCs w:val="20"/>
              </w:rPr>
              <w:lastRenderedPageBreak/>
              <w:t>industrial, office</w:t>
            </w:r>
          </w:p>
          <w:p w14:paraId="31B10D10"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location: cities, towns (intra-urban)</w:t>
            </w:r>
          </w:p>
          <w:p w14:paraId="704EFAAC" w14:textId="77777777" w:rsidR="00EF295B" w:rsidRDefault="00EF295B" w:rsidP="00EF295B">
            <w:pPr>
              <w:ind w:left="970" w:hanging="970"/>
              <w:jc w:val="both"/>
              <w:rPr>
                <w:color w:val="0070C0"/>
                <w:sz w:val="30"/>
                <w:szCs w:val="30"/>
              </w:rPr>
            </w:pPr>
          </w:p>
        </w:tc>
        <w:tc>
          <w:tcPr>
            <w:tcW w:w="1145" w:type="dxa"/>
          </w:tcPr>
          <w:p w14:paraId="20F38CDA" w14:textId="77777777" w:rsidR="00EF295B" w:rsidRDefault="00EF295B" w:rsidP="00EF295B">
            <w:pPr>
              <w:ind w:left="970" w:hanging="970"/>
              <w:jc w:val="both"/>
              <w:rPr>
                <w:color w:val="0070C0"/>
                <w:sz w:val="30"/>
                <w:szCs w:val="30"/>
              </w:rPr>
            </w:pPr>
            <w:r w:rsidRPr="00C31458">
              <w:rPr>
                <w:rFonts w:cs="Times New Roman"/>
                <w:szCs w:val="20"/>
              </w:rPr>
              <w:lastRenderedPageBreak/>
              <w:t>Annual</w:t>
            </w:r>
          </w:p>
        </w:tc>
        <w:tc>
          <w:tcPr>
            <w:tcW w:w="922" w:type="dxa"/>
          </w:tcPr>
          <w:p w14:paraId="3A6F3E1E" w14:textId="77777777" w:rsidR="00EF295B" w:rsidRDefault="00EF295B" w:rsidP="00EF295B">
            <w:pPr>
              <w:ind w:left="970" w:hanging="970"/>
              <w:jc w:val="both"/>
              <w:rPr>
                <w:color w:val="0070C0"/>
                <w:sz w:val="30"/>
                <w:szCs w:val="30"/>
              </w:rPr>
            </w:pPr>
            <w:r>
              <w:t>Group 1</w:t>
            </w:r>
          </w:p>
        </w:tc>
        <w:tc>
          <w:tcPr>
            <w:tcW w:w="644" w:type="dxa"/>
          </w:tcPr>
          <w:p w14:paraId="15C822FC" w14:textId="77777777" w:rsidR="00EF295B" w:rsidRDefault="00EF295B" w:rsidP="00EF295B">
            <w:pPr>
              <w:pStyle w:val="NoSpacing"/>
            </w:pPr>
            <w:r>
              <w:t>1</w:t>
            </w:r>
            <w:r w:rsidRPr="00013ACB">
              <w:rPr>
                <w:vertAlign w:val="superscript"/>
              </w:rPr>
              <w:t>st</w:t>
            </w:r>
            <w:r>
              <w:t xml:space="preserve"> Round:</w:t>
            </w:r>
          </w:p>
          <w:p w14:paraId="39F2D91E" w14:textId="77777777" w:rsidR="00EF295B" w:rsidRDefault="00EF295B" w:rsidP="00EF295B">
            <w:pPr>
              <w:pStyle w:val="NoSpacing"/>
            </w:pPr>
            <w:r w:rsidRPr="00456578">
              <w:t>January 2019</w:t>
            </w:r>
          </w:p>
          <w:p w14:paraId="348016E3" w14:textId="77777777" w:rsidR="00EF295B" w:rsidRDefault="00EF295B" w:rsidP="00EF295B">
            <w:pPr>
              <w:pStyle w:val="NoSpacing"/>
            </w:pPr>
          </w:p>
          <w:p w14:paraId="30FAC4C7" w14:textId="77777777" w:rsidR="00EF295B" w:rsidRDefault="00EF295B" w:rsidP="00EF295B">
            <w:pPr>
              <w:pStyle w:val="NoSpacing"/>
            </w:pPr>
            <w:r>
              <w:t>2</w:t>
            </w:r>
            <w:r w:rsidRPr="00013ACB">
              <w:rPr>
                <w:vertAlign w:val="superscript"/>
              </w:rPr>
              <w:t>nd</w:t>
            </w:r>
            <w:r>
              <w:t xml:space="preserve"> </w:t>
            </w:r>
            <w:r>
              <w:lastRenderedPageBreak/>
              <w:t xml:space="preserve">Round: </w:t>
            </w:r>
          </w:p>
          <w:p w14:paraId="1F5BD69E" w14:textId="77777777" w:rsidR="00EF295B" w:rsidRDefault="00EF295B" w:rsidP="00EF295B">
            <w:pPr>
              <w:pStyle w:val="NoSpacing"/>
            </w:pPr>
            <w:r>
              <w:t>Dcember 2020</w:t>
            </w:r>
          </w:p>
          <w:p w14:paraId="21453A73" w14:textId="77777777" w:rsidR="00EF295B" w:rsidRDefault="00EF295B" w:rsidP="00EF295B">
            <w:pPr>
              <w:pStyle w:val="NoSpacing"/>
            </w:pPr>
          </w:p>
          <w:p w14:paraId="77E01974" w14:textId="77777777" w:rsidR="00EF295B" w:rsidRDefault="00EF295B" w:rsidP="00EF295B">
            <w:pPr>
              <w:pStyle w:val="NoSpacing"/>
            </w:pPr>
            <w:r>
              <w:t>3</w:t>
            </w:r>
            <w:r w:rsidRPr="00013ACB">
              <w:rPr>
                <w:vertAlign w:val="superscript"/>
              </w:rPr>
              <w:t>rd</w:t>
            </w:r>
            <w:r>
              <w:t xml:space="preserve"> Round: </w:t>
            </w:r>
          </w:p>
          <w:p w14:paraId="6B3D6283" w14:textId="77777777" w:rsidR="00EF295B" w:rsidRDefault="00EF295B" w:rsidP="00EF295B">
            <w:pPr>
              <w:pStyle w:val="NoSpacing"/>
            </w:pPr>
            <w:r>
              <w:t>Dcember 2021</w:t>
            </w:r>
          </w:p>
          <w:p w14:paraId="2CF920AB" w14:textId="77777777" w:rsidR="00EF295B" w:rsidRDefault="00EF295B" w:rsidP="00EF295B">
            <w:pPr>
              <w:pStyle w:val="NoSpacing"/>
            </w:pPr>
          </w:p>
          <w:p w14:paraId="6C671B4E" w14:textId="77777777" w:rsidR="00EF295B" w:rsidRDefault="00EF295B" w:rsidP="00EF295B">
            <w:pPr>
              <w:pStyle w:val="NoSpacing"/>
            </w:pPr>
            <w:r>
              <w:t>4</w:t>
            </w:r>
            <w:r w:rsidRPr="00013ACB">
              <w:rPr>
                <w:vertAlign w:val="superscript"/>
              </w:rPr>
              <w:t>th</w:t>
            </w:r>
            <w:r>
              <w:t xml:space="preserve"> Round: </w:t>
            </w:r>
          </w:p>
          <w:p w14:paraId="4A8F81B6" w14:textId="77777777" w:rsidR="00EF295B" w:rsidRDefault="00EF295B" w:rsidP="00EF295B">
            <w:pPr>
              <w:pStyle w:val="NoSpacing"/>
            </w:pPr>
            <w:r>
              <w:t>Dcember 2022</w:t>
            </w:r>
          </w:p>
          <w:p w14:paraId="7E6FFF0D" w14:textId="77777777" w:rsidR="00EF295B" w:rsidRDefault="00EF295B" w:rsidP="00EF295B">
            <w:pPr>
              <w:pStyle w:val="NoSpacing"/>
            </w:pPr>
          </w:p>
          <w:p w14:paraId="2998910E" w14:textId="77777777" w:rsidR="00EF295B" w:rsidRDefault="00EF295B" w:rsidP="00EF295B">
            <w:pPr>
              <w:pStyle w:val="NoSpacing"/>
            </w:pPr>
            <w:r>
              <w:t>5</w:t>
            </w:r>
            <w:r w:rsidRPr="00013ACB">
              <w:rPr>
                <w:vertAlign w:val="superscript"/>
              </w:rPr>
              <w:t>th</w:t>
            </w:r>
            <w:r>
              <w:t xml:space="preserve"> Round: </w:t>
            </w:r>
          </w:p>
          <w:p w14:paraId="5D019F53" w14:textId="77777777" w:rsidR="00EF295B" w:rsidRDefault="00EF295B" w:rsidP="00EF295B">
            <w:pPr>
              <w:pStyle w:val="NoSpacing"/>
            </w:pPr>
            <w:r>
              <w:t>Dcember 2023</w:t>
            </w:r>
          </w:p>
          <w:p w14:paraId="58AEE435" w14:textId="199F7B81" w:rsidR="00EF295B" w:rsidRDefault="00EF295B" w:rsidP="00EF295B">
            <w:pPr>
              <w:pStyle w:val="NoSpacing"/>
            </w:pPr>
          </w:p>
        </w:tc>
        <w:tc>
          <w:tcPr>
            <w:tcW w:w="828" w:type="dxa"/>
          </w:tcPr>
          <w:p w14:paraId="4875A0E4" w14:textId="77777777" w:rsidR="00EF295B" w:rsidRDefault="00EF295B" w:rsidP="00EF295B">
            <w:pPr>
              <w:pStyle w:val="NoSpacing"/>
            </w:pPr>
            <w:r w:rsidRPr="00B950AC">
              <w:lastRenderedPageBreak/>
              <w:t xml:space="preserve">UNSC 51 revision included in the 2020 comprehensive </w:t>
            </w:r>
            <w:r w:rsidRPr="00B950AC">
              <w:lastRenderedPageBreak/>
              <w:t>review</w:t>
            </w:r>
          </w:p>
        </w:tc>
      </w:tr>
      <w:tr w:rsidR="00EF295B" w14:paraId="7F42A314" w14:textId="77777777" w:rsidTr="0025292C">
        <w:tc>
          <w:tcPr>
            <w:tcW w:w="1218" w:type="dxa"/>
          </w:tcPr>
          <w:p w14:paraId="12251C19" w14:textId="77777777" w:rsidR="00EF295B" w:rsidRDefault="00EF295B" w:rsidP="00EF295B">
            <w:pPr>
              <w:pStyle w:val="NoSpacing"/>
            </w:pPr>
            <w:r w:rsidRPr="00627F96">
              <w:lastRenderedPageBreak/>
              <w:t>11.6.2 Annual mean levels of fine particulate matter (e.g. PM2.5 and PM10) in cities (population weighted)</w:t>
            </w:r>
          </w:p>
        </w:tc>
        <w:tc>
          <w:tcPr>
            <w:tcW w:w="661" w:type="dxa"/>
          </w:tcPr>
          <w:p w14:paraId="34B39BF0" w14:textId="77777777" w:rsidR="00EF295B" w:rsidRDefault="00EF295B" w:rsidP="00EF295B">
            <w:pPr>
              <w:pStyle w:val="NoSpacing"/>
            </w:pPr>
            <w:r w:rsidRPr="00221F5D">
              <w:t>WHO</w:t>
            </w:r>
          </w:p>
          <w:p w14:paraId="69720A25" w14:textId="77777777" w:rsidR="00EF295B" w:rsidRDefault="00EF295B" w:rsidP="00EF295B">
            <w:pPr>
              <w:rPr>
                <w:b/>
                <w:bCs/>
                <w:szCs w:val="20"/>
              </w:rPr>
            </w:pPr>
            <w:r w:rsidRPr="007243FC">
              <w:rPr>
                <w:b/>
                <w:bCs/>
                <w:szCs w:val="20"/>
              </w:rPr>
              <w:t>Partner Agencies:</w:t>
            </w:r>
          </w:p>
          <w:p w14:paraId="56FC23FA" w14:textId="77777777" w:rsidR="00EF295B" w:rsidRDefault="00EF295B" w:rsidP="00EF295B">
            <w:pPr>
              <w:pStyle w:val="NoSpacing"/>
            </w:pPr>
            <w:r>
              <w:t>UN-Habitat,</w:t>
            </w:r>
          </w:p>
          <w:p w14:paraId="21FD154C" w14:textId="77777777" w:rsidR="00EF295B" w:rsidRDefault="00EF295B" w:rsidP="00EF295B">
            <w:pPr>
              <w:pStyle w:val="NoSpacing"/>
            </w:pPr>
            <w:r>
              <w:t xml:space="preserve">UNEP, </w:t>
            </w:r>
          </w:p>
          <w:p w14:paraId="0526D888" w14:textId="77777777" w:rsidR="00EF295B" w:rsidRDefault="00EF295B" w:rsidP="00EF295B">
            <w:pPr>
              <w:pStyle w:val="NoSpacing"/>
            </w:pPr>
            <w:r>
              <w:t>OECD</w:t>
            </w:r>
          </w:p>
        </w:tc>
        <w:tc>
          <w:tcPr>
            <w:tcW w:w="935" w:type="dxa"/>
          </w:tcPr>
          <w:p w14:paraId="3E4D9DAB" w14:textId="77777777" w:rsidR="00EF295B" w:rsidRDefault="00EF295B" w:rsidP="00EF295B">
            <w:pPr>
              <w:ind w:left="970" w:hanging="970"/>
              <w:jc w:val="both"/>
              <w:rPr>
                <w:color w:val="0070C0"/>
                <w:sz w:val="30"/>
                <w:szCs w:val="30"/>
              </w:rPr>
            </w:pPr>
            <w:r>
              <w:t>Tier I</w:t>
            </w:r>
          </w:p>
        </w:tc>
        <w:tc>
          <w:tcPr>
            <w:tcW w:w="6853" w:type="dxa"/>
          </w:tcPr>
          <w:p w14:paraId="42A66ECE" w14:textId="77777777" w:rsidR="00EF295B" w:rsidRDefault="00EF295B" w:rsidP="00EF295B">
            <w:pPr>
              <w:pStyle w:val="NoSpacing"/>
            </w:pPr>
            <w:r>
              <w:t>Definition:</w:t>
            </w:r>
          </w:p>
          <w:p w14:paraId="05F5ABD5" w14:textId="77777777" w:rsidR="00EF295B" w:rsidRDefault="00EF295B" w:rsidP="00EF295B">
            <w:pPr>
              <w:pStyle w:val="NoSpacing"/>
            </w:pPr>
            <w:r>
              <w:t>The mean annual concentration of fine suspended particles of less than 2.5 microns in diameters (PM2.5) is a common measure of air pollution. The mean is a population-weighted average for urban population in a country, and is expressed in micrograms per cubic meter [</w:t>
            </w:r>
            <w:r>
              <w:t>g/m3].</w:t>
            </w:r>
          </w:p>
          <w:p w14:paraId="3CCDB96F" w14:textId="77777777" w:rsidR="00EF295B" w:rsidRDefault="00EF295B" w:rsidP="00EF295B">
            <w:pPr>
              <w:pStyle w:val="NoSpacing"/>
            </w:pPr>
          </w:p>
          <w:p w14:paraId="3B4FB3DC" w14:textId="77777777" w:rsidR="00EF295B" w:rsidRDefault="00EF295B" w:rsidP="00EF295B">
            <w:pPr>
              <w:pStyle w:val="NoSpacing"/>
            </w:pPr>
          </w:p>
          <w:p w14:paraId="7BB3E545" w14:textId="77777777" w:rsidR="00EF295B" w:rsidRDefault="00EF295B" w:rsidP="00EF295B">
            <w:pPr>
              <w:pStyle w:val="NoSpacing"/>
            </w:pPr>
          </w:p>
          <w:p w14:paraId="3F6F8CEA" w14:textId="77777777" w:rsidR="00EF295B" w:rsidRDefault="00EF295B" w:rsidP="00EF295B">
            <w:pPr>
              <w:pStyle w:val="NoSpacing"/>
            </w:pPr>
            <w:r>
              <w:t>Comments and limitations:</w:t>
            </w:r>
          </w:p>
          <w:p w14:paraId="357DC8CC" w14:textId="77777777" w:rsidR="00EF295B" w:rsidRDefault="00EF295B" w:rsidP="00EF295B">
            <w:pPr>
              <w:pStyle w:val="NoSpacing"/>
            </w:pPr>
            <w:r>
              <w:t>Urban/rural data: while the data quality available for urban/rural population is generally good for high-income countries, it can be relatively poor for some low- and middle income areas. Furthermore, the definition of urban/rural may greatly vary by country.</w:t>
            </w:r>
          </w:p>
          <w:p w14:paraId="358D0124" w14:textId="77777777" w:rsidR="00EF295B" w:rsidRDefault="00EF295B" w:rsidP="00EF295B">
            <w:pPr>
              <w:pStyle w:val="NoSpacing"/>
            </w:pPr>
          </w:p>
          <w:p w14:paraId="7D71A368" w14:textId="77777777" w:rsidR="00EF295B" w:rsidRDefault="00EF295B" w:rsidP="00EF295B">
            <w:pPr>
              <w:pStyle w:val="NoSpacing"/>
            </w:pPr>
            <w:r>
              <w:t>Computation Method:</w:t>
            </w:r>
          </w:p>
          <w:p w14:paraId="0B96CB1D" w14:textId="77777777" w:rsidR="00EF295B" w:rsidRDefault="00EF295B" w:rsidP="00EF295B">
            <w:pPr>
              <w:pStyle w:val="NoSpacing"/>
            </w:pPr>
            <w:r>
              <w:t>The annual urban mean concentration of PM2.5 is estimated with improved modelling using data integration from satellite remote sensing, population estimates, topography and ground measurements (WHO, 2016a; Shaddick et al, 2016)</w:t>
            </w:r>
          </w:p>
        </w:tc>
        <w:tc>
          <w:tcPr>
            <w:tcW w:w="1174" w:type="dxa"/>
          </w:tcPr>
          <w:p w14:paraId="32FAD49A" w14:textId="77777777" w:rsidR="00EF295B" w:rsidRPr="00CA4BDA" w:rsidRDefault="00EF295B" w:rsidP="00EF295B">
            <w:pPr>
              <w:pStyle w:val="NoSpacing"/>
              <w:rPr>
                <w:lang w:eastAsia="en-GB"/>
              </w:rPr>
            </w:pPr>
            <w:r w:rsidRPr="00CA4BDA">
              <w:rPr>
                <w:lang w:eastAsia="en-GB"/>
              </w:rPr>
              <w:t>Sources of data include ground measurements from monitoring networks</w:t>
            </w:r>
            <w:r>
              <w:rPr>
                <w:lang w:eastAsia="en-GB"/>
              </w:rPr>
              <w:t>,</w:t>
            </w:r>
            <w:r w:rsidRPr="00CA4BDA">
              <w:rPr>
                <w:lang w:eastAsia="en-GB"/>
              </w:rPr>
              <w:t xml:space="preserve"> collected for 3,000 cities and localities (WHO 2016) around the world, satellite remote sensing, population estimates, topography, information on local monitoring networks and measures of specifi</w:t>
            </w:r>
            <w:r>
              <w:rPr>
                <w:lang w:eastAsia="en-GB"/>
              </w:rPr>
              <w:t>c contributors of air pollution (WHO, 2016b)</w:t>
            </w:r>
          </w:p>
          <w:p w14:paraId="5BBAF335" w14:textId="77777777" w:rsidR="00EF295B" w:rsidRPr="00515468" w:rsidRDefault="00EF295B" w:rsidP="00EF295B">
            <w:pPr>
              <w:pStyle w:val="NoSpacing"/>
            </w:pPr>
          </w:p>
        </w:tc>
        <w:tc>
          <w:tcPr>
            <w:tcW w:w="818" w:type="dxa"/>
          </w:tcPr>
          <w:p w14:paraId="2E111B3C" w14:textId="77777777" w:rsidR="00EF295B" w:rsidRDefault="00EF295B" w:rsidP="00EF295B">
            <w:pPr>
              <w:pStyle w:val="NoSpacing"/>
            </w:pPr>
            <w:r w:rsidRPr="00873FDE">
              <w:rPr>
                <w:bCs/>
                <w:szCs w:val="20"/>
              </w:rPr>
              <w:t>Ministry of Health, Ministry of the Environment</w:t>
            </w:r>
          </w:p>
        </w:tc>
        <w:tc>
          <w:tcPr>
            <w:tcW w:w="812" w:type="dxa"/>
          </w:tcPr>
          <w:p w14:paraId="210DF061" w14:textId="77777777" w:rsidR="00EF295B" w:rsidRDefault="00EF295B" w:rsidP="00EF295B">
            <w:pPr>
              <w:spacing w:line="276" w:lineRule="auto"/>
              <w:jc w:val="center"/>
              <w:rPr>
                <w:rFonts w:eastAsia="Times New Roman" w:cs="Times New Roman"/>
                <w:szCs w:val="20"/>
              </w:rPr>
            </w:pPr>
            <w:r>
              <w:rPr>
                <w:rFonts w:eastAsia="Times New Roman" w:cs="Times New Roman"/>
                <w:szCs w:val="20"/>
              </w:rPr>
              <w:t>WHO</w:t>
            </w:r>
          </w:p>
          <w:p w14:paraId="2ECB8ECF" w14:textId="05E177DE" w:rsidR="00EF295B" w:rsidRPr="00261A09" w:rsidRDefault="00EF295B" w:rsidP="00EF295B">
            <w:pPr>
              <w:spacing w:line="276" w:lineRule="auto"/>
            </w:pPr>
          </w:p>
        </w:tc>
        <w:tc>
          <w:tcPr>
            <w:tcW w:w="1351" w:type="dxa"/>
          </w:tcPr>
          <w:p w14:paraId="52325F4F" w14:textId="77777777" w:rsidR="00EF295B" w:rsidRDefault="00EF295B" w:rsidP="00EF295B">
            <w:pPr>
              <w:spacing w:line="276" w:lineRule="auto"/>
              <w:jc w:val="center"/>
              <w:rPr>
                <w:rFonts w:eastAsia="Times New Roman" w:cs="Times New Roman"/>
                <w:szCs w:val="20"/>
              </w:rPr>
            </w:pPr>
            <w:r>
              <w:rPr>
                <w:rFonts w:eastAsia="Times New Roman" w:cs="Times New Roman"/>
                <w:szCs w:val="20"/>
              </w:rPr>
              <w:t>a.</w:t>
            </w:r>
            <w:r w:rsidRPr="00887F75">
              <w:rPr>
                <w:rFonts w:eastAsia="Times New Roman" w:cs="Times New Roman"/>
                <w:szCs w:val="20"/>
              </w:rPr>
              <w:t>DoE,</w:t>
            </w:r>
            <w:r w:rsidRPr="00261A09">
              <w:rPr>
                <w:rFonts w:eastAsia="Times New Roman" w:cs="Times New Roman"/>
                <w:szCs w:val="20"/>
              </w:rPr>
              <w:t xml:space="preserve"> </w:t>
            </w:r>
            <w:r>
              <w:rPr>
                <w:rFonts w:eastAsia="Times New Roman" w:cs="Times New Roman"/>
                <w:szCs w:val="20"/>
              </w:rPr>
              <w:t>MoEFCC</w:t>
            </w:r>
          </w:p>
          <w:p w14:paraId="717F37CE" w14:textId="77777777" w:rsidR="00EF295B" w:rsidRDefault="00EF295B" w:rsidP="00EF295B">
            <w:pPr>
              <w:spacing w:line="276" w:lineRule="auto"/>
              <w:jc w:val="center"/>
            </w:pPr>
            <w:r>
              <w:t>b. WHO</w:t>
            </w:r>
          </w:p>
          <w:p w14:paraId="388CDF6F" w14:textId="77777777" w:rsidR="00EF295B" w:rsidRPr="00261A09" w:rsidRDefault="00EF295B" w:rsidP="00EF295B">
            <w:pPr>
              <w:spacing w:line="276" w:lineRule="auto"/>
              <w:jc w:val="center"/>
            </w:pPr>
            <w:r>
              <w:t>Administrative Data/Survey</w:t>
            </w:r>
          </w:p>
        </w:tc>
        <w:tc>
          <w:tcPr>
            <w:tcW w:w="1349" w:type="dxa"/>
          </w:tcPr>
          <w:p w14:paraId="0F647A12"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grid size: 0.1° x 0.1°</w:t>
            </w:r>
          </w:p>
          <w:p w14:paraId="1CABC8BA"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level of fine particulate matter: PM2.5</w:t>
            </w:r>
          </w:p>
          <w:p w14:paraId="0540464A" w14:textId="77777777" w:rsidR="00EF295B" w:rsidRDefault="00EF295B" w:rsidP="00EF295B">
            <w:pPr>
              <w:ind w:left="970" w:hanging="970"/>
              <w:jc w:val="both"/>
              <w:rPr>
                <w:color w:val="0070C0"/>
                <w:sz w:val="30"/>
                <w:szCs w:val="30"/>
              </w:rPr>
            </w:pPr>
          </w:p>
        </w:tc>
        <w:tc>
          <w:tcPr>
            <w:tcW w:w="1145" w:type="dxa"/>
          </w:tcPr>
          <w:p w14:paraId="0DD539A3" w14:textId="77777777" w:rsidR="00EF295B" w:rsidRDefault="00EF295B" w:rsidP="00EF295B">
            <w:pPr>
              <w:ind w:left="970" w:hanging="970"/>
              <w:jc w:val="both"/>
              <w:rPr>
                <w:color w:val="0070C0"/>
                <w:sz w:val="30"/>
                <w:szCs w:val="30"/>
              </w:rPr>
            </w:pPr>
            <w:r w:rsidRPr="00C31458">
              <w:rPr>
                <w:rFonts w:cs="Times New Roman"/>
                <w:szCs w:val="20"/>
              </w:rPr>
              <w:t>Annual</w:t>
            </w:r>
          </w:p>
        </w:tc>
        <w:tc>
          <w:tcPr>
            <w:tcW w:w="922" w:type="dxa"/>
          </w:tcPr>
          <w:p w14:paraId="4810D0E5" w14:textId="77777777" w:rsidR="00EF295B" w:rsidRDefault="00EF295B" w:rsidP="00EF295B">
            <w:pPr>
              <w:ind w:left="970" w:hanging="970"/>
              <w:jc w:val="both"/>
              <w:rPr>
                <w:color w:val="0070C0"/>
                <w:sz w:val="30"/>
                <w:szCs w:val="30"/>
              </w:rPr>
            </w:pPr>
            <w:r>
              <w:t>Group 1</w:t>
            </w:r>
          </w:p>
        </w:tc>
        <w:tc>
          <w:tcPr>
            <w:tcW w:w="644" w:type="dxa"/>
          </w:tcPr>
          <w:p w14:paraId="0FCCC7D5" w14:textId="77777777" w:rsidR="00EF295B" w:rsidRDefault="00EF295B" w:rsidP="00EF295B">
            <w:pPr>
              <w:pStyle w:val="NoSpacing"/>
            </w:pPr>
            <w:r>
              <w:t>1</w:t>
            </w:r>
            <w:r w:rsidRPr="00013ACB">
              <w:rPr>
                <w:vertAlign w:val="superscript"/>
              </w:rPr>
              <w:t>st</w:t>
            </w:r>
            <w:r>
              <w:t xml:space="preserve"> Round:</w:t>
            </w:r>
          </w:p>
          <w:p w14:paraId="3E1B019B" w14:textId="77777777" w:rsidR="00EF295B" w:rsidRDefault="00EF295B" w:rsidP="00EF295B">
            <w:pPr>
              <w:pStyle w:val="NoSpacing"/>
            </w:pPr>
            <w:r>
              <w:t>2016</w:t>
            </w:r>
          </w:p>
          <w:p w14:paraId="2D197F3C" w14:textId="77777777" w:rsidR="00EF295B" w:rsidRDefault="00EF295B" w:rsidP="00EF295B">
            <w:pPr>
              <w:pStyle w:val="NoSpacing"/>
            </w:pPr>
          </w:p>
          <w:p w14:paraId="4632F82A" w14:textId="77777777" w:rsidR="00EF295B" w:rsidRDefault="00EF295B" w:rsidP="00EF295B">
            <w:pPr>
              <w:pStyle w:val="NoSpacing"/>
            </w:pPr>
            <w:r>
              <w:t>2</w:t>
            </w:r>
            <w:r w:rsidRPr="00013ACB">
              <w:rPr>
                <w:vertAlign w:val="superscript"/>
              </w:rPr>
              <w:t>nd</w:t>
            </w:r>
            <w:r>
              <w:t xml:space="preserve"> Round: </w:t>
            </w:r>
          </w:p>
          <w:p w14:paraId="2C673528" w14:textId="77777777" w:rsidR="00EF295B" w:rsidRDefault="00EF295B" w:rsidP="00EF295B">
            <w:pPr>
              <w:pStyle w:val="NoSpacing"/>
            </w:pPr>
            <w:r w:rsidRPr="00456578">
              <w:t>June, 2020</w:t>
            </w:r>
          </w:p>
          <w:p w14:paraId="0E6F0777" w14:textId="77777777" w:rsidR="00EF295B" w:rsidRDefault="00EF295B" w:rsidP="00EF295B">
            <w:pPr>
              <w:pStyle w:val="NoSpacing"/>
            </w:pPr>
          </w:p>
          <w:p w14:paraId="547E2217" w14:textId="77777777" w:rsidR="00EF295B" w:rsidRDefault="00EF295B" w:rsidP="00EF295B">
            <w:pPr>
              <w:pStyle w:val="NoSpacing"/>
            </w:pPr>
            <w:r>
              <w:t>3</w:t>
            </w:r>
            <w:r w:rsidRPr="00013ACB">
              <w:rPr>
                <w:vertAlign w:val="superscript"/>
              </w:rPr>
              <w:t>rd</w:t>
            </w:r>
            <w:r>
              <w:t xml:space="preserve"> Round: </w:t>
            </w:r>
          </w:p>
          <w:p w14:paraId="05EEBF99" w14:textId="77777777" w:rsidR="00EF295B" w:rsidRDefault="00EF295B" w:rsidP="00EF295B">
            <w:pPr>
              <w:pStyle w:val="NoSpacing"/>
            </w:pPr>
            <w:r>
              <w:t>June, 2021</w:t>
            </w:r>
          </w:p>
          <w:p w14:paraId="333911FF" w14:textId="77777777" w:rsidR="00EF295B" w:rsidRDefault="00EF295B" w:rsidP="00EF295B">
            <w:pPr>
              <w:pStyle w:val="NoSpacing"/>
            </w:pPr>
          </w:p>
          <w:p w14:paraId="2F742D11" w14:textId="77777777" w:rsidR="00EF295B" w:rsidRDefault="00EF295B" w:rsidP="00EF295B">
            <w:pPr>
              <w:pStyle w:val="NoSpacing"/>
            </w:pPr>
            <w:r>
              <w:t>4</w:t>
            </w:r>
            <w:r w:rsidRPr="00013ACB">
              <w:rPr>
                <w:vertAlign w:val="superscript"/>
              </w:rPr>
              <w:t>th</w:t>
            </w:r>
            <w:r>
              <w:t xml:space="preserve"> Round: </w:t>
            </w:r>
          </w:p>
          <w:p w14:paraId="16F1BF51" w14:textId="77777777" w:rsidR="00EF295B" w:rsidRDefault="00EF295B" w:rsidP="00EF295B">
            <w:pPr>
              <w:pStyle w:val="NoSpacing"/>
            </w:pPr>
            <w:r>
              <w:t>June, 2022</w:t>
            </w:r>
          </w:p>
          <w:p w14:paraId="53454D9B" w14:textId="77777777" w:rsidR="00EF295B" w:rsidRDefault="00EF295B" w:rsidP="00EF295B">
            <w:pPr>
              <w:pStyle w:val="NoSpacing"/>
            </w:pPr>
          </w:p>
          <w:p w14:paraId="24BF2294" w14:textId="77777777" w:rsidR="00EF295B" w:rsidRDefault="00EF295B" w:rsidP="00EF295B">
            <w:pPr>
              <w:pStyle w:val="NoSpacing"/>
            </w:pPr>
            <w:r>
              <w:t>5</w:t>
            </w:r>
            <w:r w:rsidRPr="00013ACB">
              <w:rPr>
                <w:vertAlign w:val="superscript"/>
              </w:rPr>
              <w:t>th</w:t>
            </w:r>
            <w:r>
              <w:t xml:space="preserve"> Round: </w:t>
            </w:r>
          </w:p>
          <w:p w14:paraId="539E577D" w14:textId="77777777" w:rsidR="00EF295B" w:rsidRDefault="00EF295B" w:rsidP="00EF295B">
            <w:pPr>
              <w:pStyle w:val="NoSpacing"/>
            </w:pPr>
            <w:r>
              <w:t>June, 2023</w:t>
            </w:r>
          </w:p>
          <w:p w14:paraId="482AC140" w14:textId="35C042EF" w:rsidR="00EF295B" w:rsidRDefault="00EF295B" w:rsidP="00EF295B">
            <w:pPr>
              <w:pStyle w:val="NoSpacing"/>
            </w:pPr>
          </w:p>
        </w:tc>
        <w:tc>
          <w:tcPr>
            <w:tcW w:w="828" w:type="dxa"/>
          </w:tcPr>
          <w:p w14:paraId="2B4488D8" w14:textId="77777777" w:rsidR="00EF295B" w:rsidRDefault="00EF295B" w:rsidP="00EF295B">
            <w:pPr>
              <w:ind w:left="970" w:hanging="970"/>
              <w:jc w:val="both"/>
              <w:rPr>
                <w:color w:val="0070C0"/>
                <w:sz w:val="30"/>
                <w:szCs w:val="30"/>
              </w:rPr>
            </w:pPr>
          </w:p>
        </w:tc>
      </w:tr>
      <w:tr w:rsidR="00EF295B" w14:paraId="511E82BD" w14:textId="77777777" w:rsidTr="0025292C">
        <w:tc>
          <w:tcPr>
            <w:tcW w:w="1218" w:type="dxa"/>
          </w:tcPr>
          <w:p w14:paraId="3A772396" w14:textId="77777777" w:rsidR="00EF295B" w:rsidRDefault="00EF295B" w:rsidP="00EF295B">
            <w:pPr>
              <w:ind w:left="970" w:hanging="970"/>
              <w:jc w:val="both"/>
              <w:rPr>
                <w:color w:val="0070C0"/>
                <w:sz w:val="30"/>
                <w:szCs w:val="30"/>
              </w:rPr>
            </w:pPr>
          </w:p>
        </w:tc>
        <w:tc>
          <w:tcPr>
            <w:tcW w:w="16020" w:type="dxa"/>
            <w:gridSpan w:val="10"/>
          </w:tcPr>
          <w:p w14:paraId="079D0BEF" w14:textId="77777777" w:rsidR="00EF295B" w:rsidRDefault="00EF295B" w:rsidP="00EF295B">
            <w:pPr>
              <w:jc w:val="both"/>
              <w:rPr>
                <w:color w:val="0070C0"/>
                <w:sz w:val="48"/>
                <w:szCs w:val="48"/>
              </w:rPr>
            </w:pPr>
            <w:r>
              <w:rPr>
                <w:color w:val="0070C0"/>
                <w:sz w:val="30"/>
                <w:szCs w:val="30"/>
              </w:rPr>
              <w:t xml:space="preserve">Target </w:t>
            </w:r>
            <w:r w:rsidRPr="00C97C3C">
              <w:rPr>
                <w:color w:val="0070C0"/>
                <w:sz w:val="30"/>
                <w:szCs w:val="30"/>
              </w:rPr>
              <w:t>11.7 By 2030, provide universal access to safe, inclusive and accessible, green and public spaces, in particular for women and children, older persons and persons with disabilities</w:t>
            </w:r>
          </w:p>
        </w:tc>
        <w:tc>
          <w:tcPr>
            <w:tcW w:w="1472" w:type="dxa"/>
            <w:gridSpan w:val="2"/>
          </w:tcPr>
          <w:p w14:paraId="2EDF8C84" w14:textId="77777777" w:rsidR="00EF295B" w:rsidRDefault="00EF295B" w:rsidP="00EF295B">
            <w:pPr>
              <w:jc w:val="both"/>
              <w:rPr>
                <w:color w:val="0070C0"/>
                <w:sz w:val="48"/>
                <w:szCs w:val="48"/>
              </w:rPr>
            </w:pPr>
          </w:p>
        </w:tc>
      </w:tr>
      <w:tr w:rsidR="00EF295B" w14:paraId="36CE95AA" w14:textId="77777777" w:rsidTr="0025292C">
        <w:tc>
          <w:tcPr>
            <w:tcW w:w="1218" w:type="dxa"/>
          </w:tcPr>
          <w:p w14:paraId="1A8A5DE3" w14:textId="77777777" w:rsidR="00EF295B" w:rsidRPr="00627F96" w:rsidRDefault="00EF295B" w:rsidP="00EF295B">
            <w:pPr>
              <w:pStyle w:val="NoSpacing"/>
            </w:pPr>
            <w:r w:rsidRPr="00627F96">
              <w:t xml:space="preserve">11.7.1 Average share of the built-up area of cities </w:t>
            </w:r>
            <w:r w:rsidRPr="00627F96">
              <w:lastRenderedPageBreak/>
              <w:t>that is open space for public use for all, by sex, age and persons with disabilities</w:t>
            </w:r>
          </w:p>
        </w:tc>
        <w:tc>
          <w:tcPr>
            <w:tcW w:w="661" w:type="dxa"/>
          </w:tcPr>
          <w:p w14:paraId="49407D0B" w14:textId="77777777" w:rsidR="00EF295B" w:rsidRDefault="00EF295B" w:rsidP="00EF295B">
            <w:pPr>
              <w:ind w:left="970" w:hanging="970"/>
              <w:jc w:val="both"/>
              <w:rPr>
                <w:color w:val="0070C0"/>
                <w:sz w:val="30"/>
                <w:szCs w:val="30"/>
              </w:rPr>
            </w:pPr>
          </w:p>
          <w:p w14:paraId="4A09F5F3" w14:textId="77777777" w:rsidR="00EF295B" w:rsidRDefault="00EF295B" w:rsidP="00EF295B">
            <w:pPr>
              <w:pStyle w:val="NoSpacing"/>
            </w:pPr>
            <w:r w:rsidRPr="004559CB">
              <w:t>UN-</w:t>
            </w:r>
            <w:r w:rsidRPr="004559CB">
              <w:lastRenderedPageBreak/>
              <w:t>Habitat</w:t>
            </w:r>
          </w:p>
        </w:tc>
        <w:tc>
          <w:tcPr>
            <w:tcW w:w="935" w:type="dxa"/>
          </w:tcPr>
          <w:p w14:paraId="7B2D34C7" w14:textId="77777777" w:rsidR="00EF295B" w:rsidRDefault="00EF295B" w:rsidP="00EF295B">
            <w:pPr>
              <w:ind w:left="970" w:hanging="970"/>
              <w:jc w:val="both"/>
              <w:rPr>
                <w:color w:val="0070C0"/>
                <w:sz w:val="30"/>
                <w:szCs w:val="30"/>
              </w:rPr>
            </w:pPr>
            <w:r w:rsidRPr="00666BAB">
              <w:lastRenderedPageBreak/>
              <w:t>Tier II</w:t>
            </w:r>
          </w:p>
        </w:tc>
        <w:tc>
          <w:tcPr>
            <w:tcW w:w="6853" w:type="dxa"/>
          </w:tcPr>
          <w:p w14:paraId="104EBDC4" w14:textId="77777777" w:rsidR="00EF295B" w:rsidRPr="001E62E8" w:rsidRDefault="00EF295B" w:rsidP="00EF295B">
            <w:pPr>
              <w:pStyle w:val="NoSpacing"/>
              <w:rPr>
                <w:b/>
                <w:bCs/>
                <w:lang w:eastAsia="en-GB"/>
              </w:rPr>
            </w:pPr>
            <w:r w:rsidRPr="001E62E8">
              <w:rPr>
                <w:b/>
                <w:bCs/>
                <w:lang w:eastAsia="en-GB"/>
              </w:rPr>
              <w:t>Definition and concepts:</w:t>
            </w:r>
          </w:p>
          <w:p w14:paraId="37D2CB44" w14:textId="77777777" w:rsidR="00EF295B" w:rsidRDefault="00EF295B" w:rsidP="00EF295B">
            <w:pPr>
              <w:pStyle w:val="NoSpacing"/>
              <w:rPr>
                <w:lang w:eastAsia="en-GB"/>
              </w:rPr>
            </w:pPr>
            <w:r w:rsidRPr="00E505E4">
              <w:rPr>
                <w:lang w:eastAsia="en-GB"/>
              </w:rPr>
              <w:t xml:space="preserve">Indicator 11.7.1 has several interesting concepts that required global consultations and consensus. These include; built-up </w:t>
            </w:r>
            <w:proofErr w:type="gramStart"/>
            <w:r w:rsidRPr="00E505E4">
              <w:rPr>
                <w:lang w:eastAsia="en-GB"/>
              </w:rPr>
              <w:t>area, cities, open</w:t>
            </w:r>
            <w:proofErr w:type="gramEnd"/>
            <w:r w:rsidRPr="00E505E4">
              <w:rPr>
                <w:lang w:eastAsia="en-GB"/>
              </w:rPr>
              <w:t xml:space="preserve"> spaces for public use, etc. As a custodian agency, UN-Habitat has worked on these concepts along </w:t>
            </w:r>
            <w:r w:rsidRPr="00E505E4">
              <w:rPr>
                <w:lang w:eastAsia="en-GB"/>
              </w:rPr>
              <w:lastRenderedPageBreak/>
              <w:t>with several other partners.</w:t>
            </w:r>
          </w:p>
          <w:p w14:paraId="2CCCB8FC" w14:textId="77777777" w:rsidR="00EF295B" w:rsidRPr="00E505E4" w:rsidRDefault="00EF295B" w:rsidP="00EF295B">
            <w:pPr>
              <w:pStyle w:val="NoSpacing"/>
              <w:rPr>
                <w:lang w:eastAsia="en-GB"/>
              </w:rPr>
            </w:pPr>
          </w:p>
          <w:p w14:paraId="44E167C0" w14:textId="77777777" w:rsidR="00EF295B" w:rsidRPr="00DD2A3A" w:rsidRDefault="00EF295B" w:rsidP="00EF295B">
            <w:pPr>
              <w:pStyle w:val="NoSpacing"/>
              <w:rPr>
                <w:szCs w:val="20"/>
                <w:lang w:eastAsia="en-GB"/>
              </w:rPr>
            </w:pPr>
            <w:r w:rsidRPr="00DD2A3A">
              <w:rPr>
                <w:szCs w:val="20"/>
                <w:lang w:eastAsia="en-GB"/>
              </w:rPr>
              <w:t>City: A range of accepted definitions of the “city” exist, from those based on population data and extent of the built-up area to those that are based solely on administrative boundaries. These definitions vary within and between nations, complicating the task of international reporting for the SDGs. As partners, UN-Habitat organized global consultations and discussions to narrow down the set of meaningful definitions that would be helpful for the global monitoring and reporting process. The global consultations narrowed down to two city definitions, both emanating from joint work conducted by teams from New York University and European Commission-Joint Research Centre. These are available elsewhere with full documentation of the pros and cons for each. For this indicator, partners resolved to work with the City as defined by its Urban extent (built-up and urbanized open space).</w:t>
            </w:r>
          </w:p>
          <w:p w14:paraId="1656002D" w14:textId="77777777" w:rsidR="00EF295B" w:rsidRPr="00DD2A3A" w:rsidRDefault="00EF295B" w:rsidP="00EF295B">
            <w:pPr>
              <w:pStyle w:val="NoSpacing"/>
              <w:rPr>
                <w:szCs w:val="20"/>
                <w:lang w:eastAsia="en-GB"/>
              </w:rPr>
            </w:pPr>
          </w:p>
          <w:p w14:paraId="7C518680" w14:textId="77777777" w:rsidR="00EF295B" w:rsidRPr="00DD2A3A" w:rsidRDefault="00EF295B" w:rsidP="00EF295B">
            <w:pPr>
              <w:pStyle w:val="NoSpacing"/>
              <w:rPr>
                <w:szCs w:val="20"/>
                <w:lang w:eastAsia="en-GB"/>
              </w:rPr>
            </w:pPr>
            <w:r w:rsidRPr="00DD2A3A">
              <w:rPr>
                <w:szCs w:val="20"/>
                <w:lang w:eastAsia="en-GB"/>
              </w:rPr>
              <w:t xml:space="preserve">City as defined by its Urban extent (built-up and urbanized open space) </w:t>
            </w:r>
          </w:p>
          <w:p w14:paraId="5EA1D9A1" w14:textId="77777777" w:rsidR="00EF295B" w:rsidRDefault="00EF295B" w:rsidP="00EF295B">
            <w:pPr>
              <w:pStyle w:val="NoSpacing"/>
              <w:rPr>
                <w:lang w:eastAsia="en-GB"/>
              </w:rPr>
            </w:pPr>
            <w:r w:rsidRPr="00E505E4">
              <w:rPr>
                <w:lang w:eastAsia="en-GB"/>
              </w:rPr>
              <w:t>The definition of urban extent described in this note was developed to facilitate the study of a global sample of 200 cities in the production of the Atlas of Urban Expansion: 2016 Edition. It relies on the analysis of satellite imagery to define the boundary of the city morphologically – based on the density of structures, not on the density of population, which we know to be highly variable in different contexts. It supposes that non-residential zones should be thought of as part of the city, along with open spaces such as parks and small amounts of undeveloped land, in addition to residential areas that report populations for the census.</w:t>
            </w:r>
          </w:p>
          <w:p w14:paraId="0226DC85" w14:textId="77777777" w:rsidR="00EF295B" w:rsidRDefault="00EF295B" w:rsidP="00EF295B">
            <w:pPr>
              <w:pStyle w:val="NoSpacing"/>
              <w:rPr>
                <w:lang w:eastAsia="en-GB"/>
              </w:rPr>
            </w:pPr>
          </w:p>
          <w:p w14:paraId="27E6846E" w14:textId="77777777" w:rsidR="00EF295B" w:rsidRPr="00DD2A3A" w:rsidRDefault="00EF295B" w:rsidP="00EF295B">
            <w:pPr>
              <w:pStyle w:val="NoSpacing"/>
              <w:rPr>
                <w:szCs w:val="20"/>
                <w:lang w:eastAsia="en-GB"/>
              </w:rPr>
            </w:pPr>
            <w:r w:rsidRPr="00DD2A3A">
              <w:rPr>
                <w:szCs w:val="20"/>
                <w:lang w:eastAsia="en-GB"/>
              </w:rPr>
              <w:t xml:space="preserve">Urban extent is defined as the total area occupied by the built-up area and the urbanized open space. The built-up area is defined as the contiguous area occupied by buildings and other impervious surfaces. </w:t>
            </w:r>
          </w:p>
          <w:p w14:paraId="51732696" w14:textId="77777777" w:rsidR="00EF295B" w:rsidRPr="00E505E4" w:rsidRDefault="00EF295B" w:rsidP="00EF295B">
            <w:pPr>
              <w:pStyle w:val="NoSpacing"/>
              <w:rPr>
                <w:lang w:eastAsia="en-GB"/>
              </w:rPr>
            </w:pPr>
            <w:r>
              <w:rPr>
                <w:lang w:eastAsia="en-GB"/>
              </w:rPr>
              <w:t>Landsat imagery</w:t>
            </w:r>
            <w:r>
              <w:rPr>
                <w:rStyle w:val="FootnoteReference"/>
                <w:rFonts w:eastAsia="Times New Roman" w:cs="Times New Roman"/>
                <w:color w:val="4A4A4A"/>
                <w:sz w:val="21"/>
                <w:szCs w:val="21"/>
                <w:lang w:eastAsia="en-GB"/>
              </w:rPr>
              <w:footnoteReference w:id="17"/>
            </w:r>
            <w:r w:rsidRPr="00E505E4">
              <w:rPr>
                <w:lang w:eastAsia="en-GB"/>
              </w:rPr>
              <w:t xml:space="preserve"> is used to identify and classify the built-up pixels into 3 types depending on the share of built-up density (urban-ness) in a 1-km2 circle of a given building (walking distance radius of about 564 meters around a given building):</w:t>
            </w:r>
          </w:p>
          <w:p w14:paraId="499C22EE" w14:textId="77777777" w:rsidR="00EF295B" w:rsidRPr="00DD2A3A" w:rsidRDefault="00EF295B" w:rsidP="00EF295B">
            <w:pPr>
              <w:pStyle w:val="NoSpacing"/>
              <w:rPr>
                <w:szCs w:val="20"/>
                <w:lang w:eastAsia="en-GB"/>
              </w:rPr>
            </w:pPr>
            <w:r w:rsidRPr="00DD2A3A">
              <w:rPr>
                <w:szCs w:val="20"/>
                <w:lang w:eastAsia="en-GB"/>
              </w:rPr>
              <w:t xml:space="preserve">Urban built-up area: pixels where the walking distance circle has a built-up density greater than 50%. </w:t>
            </w:r>
          </w:p>
          <w:p w14:paraId="05F4E785" w14:textId="77777777" w:rsidR="00EF295B" w:rsidRPr="00DD2A3A" w:rsidRDefault="00EF295B" w:rsidP="00EF295B">
            <w:pPr>
              <w:pStyle w:val="NoSpacing"/>
              <w:rPr>
                <w:szCs w:val="20"/>
                <w:lang w:eastAsia="en-GB"/>
              </w:rPr>
            </w:pPr>
            <w:r w:rsidRPr="00DD2A3A">
              <w:rPr>
                <w:szCs w:val="20"/>
                <w:lang w:eastAsia="en-GB"/>
              </w:rPr>
              <w:t>Suburban built-up area: pixels where the walking distance circle has a built-up density between 25%-50%. It also includes subdivided land, whether it is wholly unbuilt or not.</w:t>
            </w:r>
          </w:p>
          <w:p w14:paraId="1F6291BD" w14:textId="77777777" w:rsidR="00EF295B" w:rsidRPr="00DD2A3A" w:rsidRDefault="00EF295B" w:rsidP="00EF295B">
            <w:pPr>
              <w:pStyle w:val="NoSpacing"/>
              <w:rPr>
                <w:szCs w:val="20"/>
                <w:lang w:eastAsia="en-GB"/>
              </w:rPr>
            </w:pPr>
            <w:r w:rsidRPr="00DD2A3A">
              <w:rPr>
                <w:szCs w:val="20"/>
                <w:lang w:eastAsia="en-GB"/>
              </w:rPr>
              <w:t>Rural built-up area: pixels where the walking distance circle has a built-up density of less than 25% and that are not on subdivided land.</w:t>
            </w:r>
          </w:p>
          <w:p w14:paraId="237DD0E2" w14:textId="77777777" w:rsidR="00EF295B" w:rsidRDefault="00EF295B" w:rsidP="00EF295B">
            <w:pPr>
              <w:pStyle w:val="NoSpacing"/>
              <w:rPr>
                <w:lang w:eastAsia="en-GB"/>
              </w:rPr>
            </w:pPr>
          </w:p>
          <w:p w14:paraId="2CC3440C" w14:textId="77777777" w:rsidR="00EF295B" w:rsidRDefault="00EF295B" w:rsidP="00EF295B">
            <w:pPr>
              <w:pStyle w:val="NoSpacing"/>
              <w:rPr>
                <w:lang w:eastAsia="en-GB"/>
              </w:rPr>
            </w:pPr>
            <w:r w:rsidRPr="00E505E4">
              <w:rPr>
                <w:lang w:eastAsia="en-GB"/>
              </w:rPr>
              <w:t>The urbanized open space (mainly refers to unbuilt areas including open countryside, forests, crop fields, parks, unbuilt urban areas, cleared land) is classified into 3 types:</w:t>
            </w:r>
          </w:p>
          <w:p w14:paraId="5A1640F2" w14:textId="77777777" w:rsidR="00EF295B" w:rsidRPr="00E505E4" w:rsidRDefault="00EF295B" w:rsidP="00EF295B">
            <w:pPr>
              <w:pStyle w:val="NoSpacing"/>
              <w:rPr>
                <w:lang w:eastAsia="en-GB"/>
              </w:rPr>
            </w:pPr>
          </w:p>
          <w:p w14:paraId="22C673C9" w14:textId="77777777" w:rsidR="00EF295B" w:rsidRPr="00DD2A3A" w:rsidRDefault="00EF295B" w:rsidP="00EF295B">
            <w:pPr>
              <w:pStyle w:val="NoSpacing"/>
              <w:rPr>
                <w:szCs w:val="20"/>
                <w:lang w:eastAsia="en-GB"/>
              </w:rPr>
            </w:pPr>
            <w:r w:rsidRPr="00DD2A3A">
              <w:rPr>
                <w:szCs w:val="20"/>
                <w:lang w:eastAsia="en-GB"/>
              </w:rPr>
              <w:t>Fringe open space consists of all open space pixels within 100 meters of urban or suburban pixels;</w:t>
            </w:r>
          </w:p>
          <w:p w14:paraId="3254A0C4" w14:textId="77777777" w:rsidR="00EF295B" w:rsidRPr="00DD2A3A" w:rsidRDefault="00EF295B" w:rsidP="00EF295B">
            <w:pPr>
              <w:pStyle w:val="NoSpacing"/>
              <w:rPr>
                <w:szCs w:val="20"/>
                <w:lang w:eastAsia="en-GB"/>
              </w:rPr>
            </w:pPr>
            <w:r w:rsidRPr="00DD2A3A">
              <w:rPr>
                <w:szCs w:val="20"/>
                <w:lang w:eastAsia="en-GB"/>
              </w:rPr>
              <w:lastRenderedPageBreak/>
              <w:t>Captured open space consists of all open space clusters that are fully surrounded by urban and suburban built-up pixels and the fringe open space pixels around them, and that are less than 200 hectares in area; and</w:t>
            </w:r>
          </w:p>
          <w:p w14:paraId="73A84243" w14:textId="77777777" w:rsidR="00EF295B" w:rsidRPr="00DD2A3A" w:rsidRDefault="00EF295B" w:rsidP="00EF295B">
            <w:pPr>
              <w:pStyle w:val="NoSpacing"/>
              <w:rPr>
                <w:szCs w:val="20"/>
                <w:lang w:eastAsia="en-GB"/>
              </w:rPr>
            </w:pPr>
            <w:r w:rsidRPr="00DD2A3A">
              <w:rPr>
                <w:szCs w:val="20"/>
                <w:lang w:eastAsia="en-GB"/>
              </w:rPr>
              <w:t>Rural open space consists of all open spaces that are not fringe or captured open spaces.</w:t>
            </w:r>
          </w:p>
          <w:p w14:paraId="1902F3FC" w14:textId="77777777" w:rsidR="00EF295B" w:rsidRPr="00E505E4" w:rsidRDefault="00EF295B" w:rsidP="00EF295B">
            <w:pPr>
              <w:pStyle w:val="NoSpacing"/>
              <w:rPr>
                <w:lang w:eastAsia="en-GB"/>
              </w:rPr>
            </w:pPr>
          </w:p>
          <w:p w14:paraId="2156D6E7" w14:textId="77777777" w:rsidR="00EF295B" w:rsidRDefault="00EF295B" w:rsidP="00EF295B">
            <w:pPr>
              <w:pStyle w:val="NoSpacing"/>
              <w:rPr>
                <w:lang w:eastAsia="en-GB"/>
              </w:rPr>
            </w:pPr>
            <w:r w:rsidRPr="00E505E4">
              <w:rPr>
                <w:lang w:eastAsia="en-GB"/>
              </w:rPr>
              <w:t>The fringe open space and captured open space together make up the urbanized open space in a given study area. In other words, the urban extent consists of all the buildings and the small open space areas (&lt;200 ha) that are surrounded by buildings and the open space fringe that is within 100 meters of urban and suburban areas (i.e. where built up area is more than 25%).</w:t>
            </w:r>
          </w:p>
          <w:p w14:paraId="1B7F12EB" w14:textId="77777777" w:rsidR="00EF295B" w:rsidRDefault="00EF295B" w:rsidP="00EF295B">
            <w:pPr>
              <w:pStyle w:val="NoSpacing"/>
              <w:rPr>
                <w:lang w:eastAsia="en-GB"/>
              </w:rPr>
            </w:pPr>
          </w:p>
          <w:p w14:paraId="75058148" w14:textId="77777777" w:rsidR="00EF295B" w:rsidRPr="00DD2A3A" w:rsidRDefault="00EF295B" w:rsidP="00EF295B">
            <w:pPr>
              <w:pStyle w:val="NoSpacing"/>
              <w:rPr>
                <w:szCs w:val="20"/>
                <w:lang w:eastAsia="en-GB"/>
              </w:rPr>
            </w:pPr>
            <w:r w:rsidRPr="00DD2A3A">
              <w:rPr>
                <w:szCs w:val="20"/>
                <w:lang w:eastAsia="en-GB"/>
              </w:rPr>
              <w:t xml:space="preserve">Public space: The Global Public Space toolkit defines Public Space as all places that are publicly owned or of public use, accessible and enjoyable by all, free and without a profit motive, categorized into streets, open spaces and public facilities. </w:t>
            </w:r>
          </w:p>
          <w:p w14:paraId="6F3DA509" w14:textId="77777777" w:rsidR="00EF295B" w:rsidRPr="00E505E4" w:rsidRDefault="00EF295B" w:rsidP="00EF295B">
            <w:pPr>
              <w:pStyle w:val="NoSpacing"/>
              <w:rPr>
                <w:lang w:eastAsia="en-GB"/>
              </w:rPr>
            </w:pPr>
            <w:r w:rsidRPr="00E505E4">
              <w:rPr>
                <w:lang w:eastAsia="en-GB"/>
              </w:rPr>
              <w:t xml:space="preserve">For the purpose of monitoring and reporting on indicator 11.7.1, public space is defined as all places of public use, accessible by all, and comprises open public space and streets. Public space in general is defined as the meeting or gathering places that exist outside the home and workplace that are generally accessible by members of the public, and which foster resident interaction and opportunities for contact and proximity. This definition implies a higher level of community interaction and places a focus on public involvement rather than public ownership or stewardship. For measurement of indicator 11.7.1, the elements which can be considered as open public space include: </w:t>
            </w:r>
          </w:p>
          <w:p w14:paraId="2AF12A1B" w14:textId="77777777" w:rsidR="00EF295B" w:rsidRPr="00DD2A3A" w:rsidRDefault="00EF295B" w:rsidP="00EF295B">
            <w:pPr>
              <w:pStyle w:val="NoSpacing"/>
              <w:rPr>
                <w:szCs w:val="20"/>
                <w:lang w:eastAsia="en-GB"/>
              </w:rPr>
            </w:pPr>
            <w:r w:rsidRPr="00DD2A3A">
              <w:rPr>
                <w:szCs w:val="20"/>
                <w:lang w:eastAsia="en-GB"/>
              </w:rPr>
              <w:t>Parks: Open space inside an urban territory that provide free air recreation and contact with nature. Their principal characteristic is the significant proportion of green area.</w:t>
            </w:r>
          </w:p>
          <w:p w14:paraId="00E90D94" w14:textId="77777777" w:rsidR="00EF295B" w:rsidRPr="00DD2A3A" w:rsidRDefault="00EF295B" w:rsidP="00EF295B">
            <w:pPr>
              <w:pStyle w:val="NoSpacing"/>
              <w:rPr>
                <w:szCs w:val="20"/>
                <w:lang w:eastAsia="en-GB"/>
              </w:rPr>
            </w:pPr>
            <w:r w:rsidRPr="00DD2A3A">
              <w:rPr>
                <w:szCs w:val="20"/>
                <w:lang w:eastAsia="en-GB"/>
              </w:rPr>
              <w:t xml:space="preserve">Recreational areas: public areas that contribute to environmental preservation. Their main functions can be both ornamental and passive recreation.  These include areas such as playgrounds, riverfronts, waterfronts, public beaches, etc. </w:t>
            </w:r>
          </w:p>
          <w:p w14:paraId="07BA89FC" w14:textId="77777777" w:rsidR="00EF295B" w:rsidRPr="00DD2A3A" w:rsidRDefault="00EF295B" w:rsidP="00EF295B">
            <w:pPr>
              <w:pStyle w:val="NoSpacing"/>
              <w:rPr>
                <w:szCs w:val="20"/>
                <w:lang w:eastAsia="en-GB"/>
              </w:rPr>
            </w:pPr>
            <w:r w:rsidRPr="00DD2A3A">
              <w:rPr>
                <w:szCs w:val="20"/>
                <w:lang w:eastAsia="en-GB"/>
              </w:rPr>
              <w:t>Civic parks: Open space created because of building agglomeration around an open area, which was later transformed into a representative civic area. They are characterized by considerable nature, specifically gardens and a good place for cultural events and passive recreation.</w:t>
            </w:r>
          </w:p>
          <w:p w14:paraId="1A4C4A43" w14:textId="77777777" w:rsidR="00EF295B" w:rsidRPr="00DD2A3A" w:rsidRDefault="00EF295B" w:rsidP="00EF295B">
            <w:pPr>
              <w:pStyle w:val="NoSpacing"/>
              <w:rPr>
                <w:szCs w:val="20"/>
                <w:lang w:eastAsia="en-GB"/>
              </w:rPr>
            </w:pPr>
            <w:r w:rsidRPr="00DD2A3A">
              <w:rPr>
                <w:szCs w:val="20"/>
                <w:lang w:eastAsia="en-GB"/>
              </w:rPr>
              <w:t>Squares and Plazas: Open spaces created because of building agglomeration around an open area. Its main characteristics are the significant architectonic elements and interaction between buildings and the open area. Squares are usually public spaces relevant to the city due to their location, territorial development, or cultural importance.</w:t>
            </w:r>
          </w:p>
          <w:p w14:paraId="7BC9B6C7" w14:textId="77777777" w:rsidR="00EF295B" w:rsidRDefault="00EF295B" w:rsidP="00EF295B">
            <w:pPr>
              <w:pStyle w:val="NoSpacing"/>
              <w:rPr>
                <w:lang w:eastAsia="en-GB"/>
              </w:rPr>
            </w:pPr>
          </w:p>
          <w:p w14:paraId="0475EEF7" w14:textId="77777777" w:rsidR="00EF295B" w:rsidRPr="00DD2A3A" w:rsidRDefault="00EF295B" w:rsidP="00EF295B">
            <w:pPr>
              <w:pStyle w:val="NoSpacing"/>
              <w:rPr>
                <w:szCs w:val="20"/>
                <w:lang w:eastAsia="en-GB"/>
              </w:rPr>
            </w:pPr>
            <w:r w:rsidRPr="00DD2A3A">
              <w:rPr>
                <w:szCs w:val="20"/>
                <w:lang w:eastAsia="en-GB"/>
              </w:rPr>
              <w:t>Streets are defined thoroughfares that are based inside towns, cities and neighbourhoods most commonly lined with houses or buildings used by pedestrians or vehicles in order to go from one place to another in the city, interact and to earn a livelihood. The main purpose of a street is facilitating movement and enabling public interaction. The following elements are considered as streets space: Streets, avenues and boulevards, pavements, passages and galleries, Bicycle paths, sidewalks, traffic island, tramways and roundabouts. Elements excluded from street space include plots (either built-up), open space blocks, railways, paved space within parking lots and airports and individual industries.</w:t>
            </w:r>
          </w:p>
          <w:p w14:paraId="3B5D1C93" w14:textId="77777777" w:rsidR="00EF295B" w:rsidRPr="00E505E4" w:rsidRDefault="00EF295B" w:rsidP="00EF295B">
            <w:pPr>
              <w:pStyle w:val="NoSpacing"/>
              <w:rPr>
                <w:lang w:eastAsia="en-GB"/>
              </w:rPr>
            </w:pPr>
          </w:p>
          <w:p w14:paraId="7E1DF8A2" w14:textId="77777777" w:rsidR="00EF295B" w:rsidRPr="00DD2A3A" w:rsidRDefault="00EF295B" w:rsidP="00EF295B">
            <w:pPr>
              <w:pStyle w:val="NoSpacing"/>
              <w:rPr>
                <w:szCs w:val="20"/>
                <w:lang w:eastAsia="en-GB"/>
              </w:rPr>
            </w:pPr>
            <w:r w:rsidRPr="00DD2A3A">
              <w:rPr>
                <w:szCs w:val="20"/>
                <w:lang w:eastAsia="en-GB"/>
              </w:rPr>
              <w:t xml:space="preserve">Land allocated to streets: refers to the total area of urban surface that is occupied by all forms of streets (as defined </w:t>
            </w:r>
            <w:r w:rsidRPr="00DD2A3A">
              <w:rPr>
                <w:szCs w:val="20"/>
                <w:lang w:eastAsia="en-GB"/>
              </w:rPr>
              <w:lastRenderedPageBreak/>
              <w:t>above). This indicator only includes streets available at the time of data collection and excludes proposed networks.</w:t>
            </w:r>
          </w:p>
          <w:p w14:paraId="5ED858C2" w14:textId="77777777" w:rsidR="00EF295B" w:rsidRDefault="00EF295B" w:rsidP="00EF295B">
            <w:pPr>
              <w:pStyle w:val="NoSpacing"/>
            </w:pPr>
          </w:p>
          <w:p w14:paraId="2CD1F8B3" w14:textId="77777777" w:rsidR="00EF295B" w:rsidRDefault="00EF295B" w:rsidP="00EF295B">
            <w:pPr>
              <w:pStyle w:val="NoSpacing"/>
            </w:pPr>
          </w:p>
          <w:p w14:paraId="0E3EA5ED" w14:textId="77777777" w:rsidR="00EF295B" w:rsidRPr="001E62E8" w:rsidRDefault="00EF295B" w:rsidP="00EF295B">
            <w:pPr>
              <w:pStyle w:val="NoSpacing"/>
              <w:rPr>
                <w:b/>
                <w:bCs/>
                <w:lang w:eastAsia="en-GB"/>
              </w:rPr>
            </w:pPr>
            <w:r w:rsidRPr="001E62E8">
              <w:rPr>
                <w:b/>
                <w:bCs/>
                <w:lang w:eastAsia="en-GB"/>
              </w:rPr>
              <w:t>Comments and limitations:</w:t>
            </w:r>
          </w:p>
          <w:p w14:paraId="14701FBC" w14:textId="77777777" w:rsidR="00EF295B" w:rsidRDefault="00EF295B" w:rsidP="00EF295B">
            <w:pPr>
              <w:pStyle w:val="NoSpacing"/>
              <w:rPr>
                <w:lang w:eastAsia="en-GB"/>
              </w:rPr>
            </w:pPr>
            <w:r w:rsidRPr="009F3CE6">
              <w:rPr>
                <w:lang w:eastAsia="en-GB"/>
              </w:rPr>
              <w:t xml:space="preserve">A major challenge for local monitoring of this indicator is the maintenance and the application/consistency of use of universal definition, which broadly does not consider existing operational/functional administrative demarcations. While urbanization has over the past decade resulted in big urbanized patches/regions which extend beyond existing urban area boundaries, the local operationalization and management of urban systems remain within defined authorities. These authorities are often in charge of governing the urban systems, ensuring effective and efficient functioning through such actions as provision of basic services, development control among others. While some countries have adopted dynamic administrative structures for their urban areas (which shift with expansions in built-up areas), others have maintained confined boundaries. Some of the most common types of boundaries include city, municipality, local authority, metropolitan, mega and meta region demarcations; all of which are set and defined based on prevailing operational dynamics (e.g. governance and service delivery structures). </w:t>
            </w:r>
          </w:p>
          <w:p w14:paraId="2C7E3056" w14:textId="77777777" w:rsidR="00EF295B" w:rsidRPr="009F3CE6" w:rsidRDefault="00EF295B" w:rsidP="00EF295B">
            <w:pPr>
              <w:pStyle w:val="NoSpacing"/>
              <w:rPr>
                <w:lang w:eastAsia="en-GB"/>
              </w:rPr>
            </w:pPr>
          </w:p>
          <w:p w14:paraId="00112033" w14:textId="77777777" w:rsidR="00EF295B" w:rsidRPr="009F3CE6" w:rsidRDefault="00EF295B" w:rsidP="00EF295B">
            <w:pPr>
              <w:pStyle w:val="NoSpacing"/>
              <w:rPr>
                <w:lang w:eastAsia="en-GB"/>
              </w:rPr>
            </w:pPr>
            <w:r w:rsidRPr="009F3CE6">
              <w:rPr>
                <w:lang w:eastAsia="en-GB"/>
              </w:rPr>
              <w:t xml:space="preserve">UN-Habitat has developed tools, programmes and guidelines to assist cities in measuring, and accounting for the available public space in cities. Some cities in the developing world lack formally recognized public </w:t>
            </w:r>
            <w:proofErr w:type="gramStart"/>
            <w:r w:rsidRPr="009F3CE6">
              <w:rPr>
                <w:lang w:eastAsia="en-GB"/>
              </w:rPr>
              <w:t>spaces, that</w:t>
            </w:r>
            <w:proofErr w:type="gramEnd"/>
            <w:r w:rsidRPr="009F3CE6">
              <w:rPr>
                <w:lang w:eastAsia="en-GB"/>
              </w:rPr>
              <w:t xml:space="preserve"> are publicly maintained. Understanding of the prevailing local contexts and primary data collection in collaboration with city authorities and local communities contribute significantly to collecting accurate and relevant data in these contexts.  </w:t>
            </w:r>
          </w:p>
          <w:p w14:paraId="2C0CE68C" w14:textId="77777777" w:rsidR="00EF295B" w:rsidRDefault="00EF295B" w:rsidP="00EF295B">
            <w:pPr>
              <w:pStyle w:val="NoSpacing"/>
              <w:rPr>
                <w:lang w:eastAsia="en-GB"/>
              </w:rPr>
            </w:pPr>
          </w:p>
          <w:p w14:paraId="05F54E2C" w14:textId="77777777" w:rsidR="00EF295B" w:rsidRDefault="00EF295B" w:rsidP="00EF295B">
            <w:pPr>
              <w:pStyle w:val="NoSpacing"/>
              <w:rPr>
                <w:lang w:eastAsia="en-GB"/>
              </w:rPr>
            </w:pPr>
            <w:r w:rsidRPr="009F3CE6">
              <w:rPr>
                <w:lang w:eastAsia="en-GB"/>
              </w:rPr>
              <w:t xml:space="preserve">Similarly, the types of open public space vary across cities.  The types of spaces listed in this indicator are however the most common and accepted variations of the open public space. Data collection processes using the methodology described in this metadata, which has been conducted by UN-Habitat in partnership with cities, as well as by other partners has revealed that there are no major overlaps or omissions in the described broad categories of open public spaces. </w:t>
            </w:r>
          </w:p>
          <w:p w14:paraId="2EC4AFC6" w14:textId="77777777" w:rsidR="00EF295B" w:rsidRPr="009F3CE6" w:rsidRDefault="00EF295B" w:rsidP="00EF295B">
            <w:pPr>
              <w:pStyle w:val="NoSpacing"/>
              <w:rPr>
                <w:lang w:eastAsia="en-GB"/>
              </w:rPr>
            </w:pPr>
          </w:p>
          <w:p w14:paraId="4A9804D6" w14:textId="77777777" w:rsidR="00EF295B" w:rsidRDefault="00EF295B" w:rsidP="00EF295B">
            <w:pPr>
              <w:pStyle w:val="NoSpacing"/>
              <w:rPr>
                <w:lang w:eastAsia="en-GB"/>
              </w:rPr>
            </w:pPr>
            <w:r w:rsidRPr="009F3CE6">
              <w:rPr>
                <w:lang w:eastAsia="en-GB"/>
              </w:rPr>
              <w:t>Beyond quantifying the amount of open space in public use in cities, this indicator also attempts in minimal ways to capture the quality of the space that may impede its proper use. The qualitative data collected on this indicator strengthens the evidence that an open space exists, and that its public use is guaranteed, to allow city authorities and other stakeholders to further improve its quality and increase its use.</w:t>
            </w:r>
          </w:p>
          <w:p w14:paraId="44FE71A4" w14:textId="77777777" w:rsidR="00EF295B" w:rsidRDefault="00EF295B" w:rsidP="00EF295B">
            <w:pPr>
              <w:pStyle w:val="NoSpacing"/>
              <w:rPr>
                <w:lang w:eastAsia="en-GB"/>
              </w:rPr>
            </w:pPr>
          </w:p>
          <w:p w14:paraId="705A69A1" w14:textId="77777777" w:rsidR="00EF295B" w:rsidRPr="001E62E8" w:rsidRDefault="00EF295B" w:rsidP="00EF295B">
            <w:pPr>
              <w:pStyle w:val="NoSpacing"/>
              <w:rPr>
                <w:lang w:eastAsia="en-GB"/>
              </w:rPr>
            </w:pPr>
          </w:p>
          <w:p w14:paraId="57934983" w14:textId="77777777" w:rsidR="00EF295B" w:rsidRPr="001E62E8" w:rsidRDefault="00EF295B" w:rsidP="00EF295B">
            <w:pPr>
              <w:pStyle w:val="NoSpacing"/>
              <w:rPr>
                <w:b/>
                <w:bCs/>
                <w:lang w:eastAsia="en-GB"/>
              </w:rPr>
            </w:pPr>
            <w:r w:rsidRPr="001E62E8">
              <w:rPr>
                <w:b/>
                <w:bCs/>
                <w:lang w:eastAsia="en-GB"/>
              </w:rPr>
              <w:t>Computation Method:</w:t>
            </w:r>
          </w:p>
          <w:p w14:paraId="48780287" w14:textId="77777777" w:rsidR="00EF295B" w:rsidRPr="00E505E4" w:rsidRDefault="00EF295B" w:rsidP="00EF295B">
            <w:pPr>
              <w:pStyle w:val="NoSpacing"/>
              <w:rPr>
                <w:lang w:eastAsia="en-GB"/>
              </w:rPr>
            </w:pPr>
            <w:r w:rsidRPr="00E505E4">
              <w:rPr>
                <w:lang w:eastAsia="en-GB"/>
              </w:rPr>
              <w:t xml:space="preserve">The method to estimate the area of public space has been globally piloted in over 250 cities and this follows a series of methodological developments that go back to the last 7 years. The finalized methodology is a three-step process: </w:t>
            </w:r>
          </w:p>
          <w:p w14:paraId="3F05CA03" w14:textId="77777777" w:rsidR="00EF295B" w:rsidRPr="00E505E4" w:rsidRDefault="00EF295B" w:rsidP="00EF295B">
            <w:pPr>
              <w:pStyle w:val="NoSpacing"/>
              <w:rPr>
                <w:lang w:eastAsia="en-GB"/>
              </w:rPr>
            </w:pPr>
            <w:r w:rsidRPr="00E505E4">
              <w:rPr>
                <w:lang w:eastAsia="en-GB"/>
              </w:rPr>
              <w:t xml:space="preserve">Spatial analysis to delimit the built-up area of the city; </w:t>
            </w:r>
          </w:p>
          <w:p w14:paraId="5C23AE2E" w14:textId="77777777" w:rsidR="00EF295B" w:rsidRPr="00E505E4" w:rsidRDefault="00EF295B" w:rsidP="00EF295B">
            <w:pPr>
              <w:pStyle w:val="NoSpacing"/>
              <w:rPr>
                <w:lang w:eastAsia="en-GB"/>
              </w:rPr>
            </w:pPr>
            <w:r w:rsidRPr="00E505E4">
              <w:rPr>
                <w:lang w:eastAsia="en-GB"/>
              </w:rPr>
              <w:t xml:space="preserve">Spatial analysis to identify potential open public spaces, field work to validate data and access the quality of spaces and calculation of the total area occupied by the verified open public spaces; </w:t>
            </w:r>
          </w:p>
          <w:p w14:paraId="5FDDF36D" w14:textId="77777777" w:rsidR="00EF295B" w:rsidRDefault="00EF295B" w:rsidP="00EF295B">
            <w:pPr>
              <w:pStyle w:val="NoSpacing"/>
              <w:rPr>
                <w:lang w:eastAsia="en-GB"/>
              </w:rPr>
            </w:pPr>
            <w:r w:rsidRPr="00E505E4">
              <w:rPr>
                <w:lang w:eastAsia="en-GB"/>
              </w:rPr>
              <w:lastRenderedPageBreak/>
              <w:t>Estimation of the total area allocated to streets;</w:t>
            </w:r>
          </w:p>
          <w:p w14:paraId="60D078D5" w14:textId="77777777" w:rsidR="00EF295B" w:rsidRDefault="00EF295B" w:rsidP="00EF295B">
            <w:pPr>
              <w:pStyle w:val="NoSpacing"/>
              <w:rPr>
                <w:lang w:eastAsia="en-GB"/>
              </w:rPr>
            </w:pPr>
          </w:p>
          <w:p w14:paraId="38B87439" w14:textId="77777777" w:rsidR="00EF295B" w:rsidRPr="00E505E4" w:rsidRDefault="00EF295B" w:rsidP="00EF295B">
            <w:pPr>
              <w:pStyle w:val="NoSpacing"/>
              <w:rPr>
                <w:lang w:eastAsia="en-GB"/>
              </w:rPr>
            </w:pPr>
            <w:r w:rsidRPr="00E505E4">
              <w:rPr>
                <w:lang w:eastAsia="en-GB"/>
              </w:rPr>
              <w:t xml:space="preserve">Spatial analysis to delimit the built-up area </w:t>
            </w:r>
          </w:p>
          <w:p w14:paraId="174F7751" w14:textId="77777777" w:rsidR="00EF295B" w:rsidRPr="00E505E4" w:rsidRDefault="00EF295B" w:rsidP="00EF295B">
            <w:pPr>
              <w:pStyle w:val="NoSpacing"/>
              <w:rPr>
                <w:lang w:eastAsia="en-GB"/>
              </w:rPr>
            </w:pPr>
            <w:r w:rsidRPr="00E505E4">
              <w:rPr>
                <w:lang w:eastAsia="en-GB"/>
              </w:rPr>
              <w:t>Built-up areas are a true reflection of multiple (urban) activities, and the presence of populations; with higher built-up density often reflecting higher activity/population concentrations. To monitor and report on indicator 11.7.1, the main focus is on the built-up area defined as the contiguous area occupied by buildings and other impervious surfaces. To delimit the area of analysis for the indicator, follow these steps:</w:t>
            </w:r>
          </w:p>
          <w:p w14:paraId="5EA11246" w14:textId="77777777" w:rsidR="00EF295B" w:rsidRPr="00E505E4" w:rsidRDefault="00EF295B" w:rsidP="00EF295B">
            <w:pPr>
              <w:pStyle w:val="NoSpacing"/>
              <w:rPr>
                <w:lang w:eastAsia="en-GB"/>
              </w:rPr>
            </w:pPr>
            <w:r w:rsidRPr="00E505E4">
              <w:rPr>
                <w:lang w:eastAsia="en-GB"/>
              </w:rPr>
              <w:t xml:space="preserve">Identify the study area – this can be all cities in a country or a representative sample of cities  </w:t>
            </w:r>
          </w:p>
          <w:p w14:paraId="6446FBF1" w14:textId="77777777" w:rsidR="00EF295B" w:rsidRPr="00E505E4" w:rsidRDefault="00EF295B" w:rsidP="00EF295B">
            <w:pPr>
              <w:pStyle w:val="NoSpacing"/>
              <w:rPr>
                <w:lang w:eastAsia="en-GB"/>
              </w:rPr>
            </w:pPr>
            <w:r w:rsidRPr="00E505E4">
              <w:rPr>
                <w:lang w:eastAsia="en-GB"/>
              </w:rPr>
              <w:t>Download freely available LANDSAT imagery for the analysis year. Aim for imagery with low cloud cover. Alternative high resolution imagery from other sources can also be used.</w:t>
            </w:r>
          </w:p>
          <w:p w14:paraId="123C37B4" w14:textId="77777777" w:rsidR="00EF295B" w:rsidRPr="00E505E4" w:rsidRDefault="00EF295B" w:rsidP="00EF295B">
            <w:pPr>
              <w:pStyle w:val="NoSpacing"/>
              <w:rPr>
                <w:lang w:eastAsia="en-GB"/>
              </w:rPr>
            </w:pPr>
            <w:r w:rsidRPr="00E505E4">
              <w:rPr>
                <w:lang w:eastAsia="en-GB"/>
              </w:rPr>
              <w:t>Classify LANDSAT imagery into built-up, non-built-up, and water using a GIS or image processing software.</w:t>
            </w:r>
          </w:p>
          <w:p w14:paraId="2B319E21" w14:textId="77777777" w:rsidR="00EF295B" w:rsidRPr="00E505E4" w:rsidRDefault="00EF295B" w:rsidP="00EF295B">
            <w:pPr>
              <w:pStyle w:val="NoSpacing"/>
              <w:rPr>
                <w:lang w:eastAsia="en-GB"/>
              </w:rPr>
            </w:pPr>
            <w:r w:rsidRPr="00E505E4">
              <w:rPr>
                <w:lang w:eastAsia="en-GB"/>
              </w:rPr>
              <w:t xml:space="preserve">Assess the level of urban-ness for each of the resultant built-up pixels - This can be achieved through spatial statistics in GIS and/or image processing software. Place a 1-km2 circle around each built-up pixel and calculate the share of pixels in the circle that are also built-up. If &gt;=50% of the pixels in the circle are built-up, the pixel is classified as Urban. If &gt;=25% and &lt;50% of the pixels in the circle are built-up, the pixel is classified as Suburban. If &lt;25% of the pixels in the circle are built-up, the pixel is classified as Rural. </w:t>
            </w:r>
          </w:p>
          <w:p w14:paraId="298C1222" w14:textId="77777777" w:rsidR="00EF295B" w:rsidRDefault="00EF295B" w:rsidP="00EF295B">
            <w:pPr>
              <w:pStyle w:val="NoSpacing"/>
              <w:rPr>
                <w:lang w:eastAsia="en-GB"/>
              </w:rPr>
            </w:pPr>
            <w:r w:rsidRPr="00E505E4">
              <w:rPr>
                <w:lang w:eastAsia="en-GB"/>
              </w:rPr>
              <w:t>Combine contiguous urban and suburban pixels to form an urban cluster of the built-up area.</w:t>
            </w:r>
          </w:p>
          <w:p w14:paraId="7DA07A64" w14:textId="77777777" w:rsidR="00EF295B" w:rsidRDefault="00EF295B" w:rsidP="00EF295B">
            <w:pPr>
              <w:pStyle w:val="NoSpacing"/>
              <w:rPr>
                <w:lang w:eastAsia="en-GB"/>
              </w:rPr>
            </w:pPr>
          </w:p>
          <w:p w14:paraId="10843894" w14:textId="77777777" w:rsidR="00EF295B" w:rsidRPr="00E505E4" w:rsidRDefault="00EF295B" w:rsidP="00EF295B">
            <w:pPr>
              <w:pStyle w:val="NoSpacing"/>
              <w:rPr>
                <w:lang w:eastAsia="en-GB"/>
              </w:rPr>
            </w:pPr>
            <w:r w:rsidRPr="00E505E4">
              <w:rPr>
                <w:lang w:eastAsia="en-GB"/>
              </w:rPr>
              <w:t>Spatial analysis to identify potential open public spaces, ground verification and estimate their total area</w:t>
            </w:r>
          </w:p>
          <w:p w14:paraId="3B7B4F1F" w14:textId="77777777" w:rsidR="00EF295B" w:rsidRPr="00E505E4" w:rsidRDefault="00EF295B" w:rsidP="00EF295B">
            <w:pPr>
              <w:pStyle w:val="NoSpacing"/>
              <w:rPr>
                <w:lang w:eastAsia="en-GB"/>
              </w:rPr>
            </w:pPr>
            <w:r w:rsidRPr="00E505E4">
              <w:rPr>
                <w:lang w:eastAsia="en-GB"/>
              </w:rPr>
              <w:t>This step involves mapping of potential open public spaces within the urban boundaries defined in step one above and estimation of their area. Identification of potential open public spaces is based on the spatial character of each space, and is also informed by existing country/ city land use maps and open space inventories. To compute this component of the indicator, follow these steps:</w:t>
            </w:r>
          </w:p>
          <w:p w14:paraId="04972B70" w14:textId="77777777" w:rsidR="00EF295B" w:rsidRPr="00E505E4" w:rsidRDefault="00EF295B" w:rsidP="00EF295B">
            <w:pPr>
              <w:pStyle w:val="NoSpacing"/>
              <w:rPr>
                <w:lang w:eastAsia="en-GB"/>
              </w:rPr>
            </w:pPr>
            <w:r w:rsidRPr="00E505E4">
              <w:rPr>
                <w:lang w:eastAsia="en-GB"/>
              </w:rPr>
              <w:t>An inventory of Open Public Spaces should be the initial source of information. Additional legal documents, land use plans and other official sources of information can be used to complement the data from the inventory.</w:t>
            </w:r>
          </w:p>
          <w:p w14:paraId="366A0CA1" w14:textId="77777777" w:rsidR="00EF295B" w:rsidRPr="00E505E4" w:rsidRDefault="00EF295B" w:rsidP="00EF295B">
            <w:pPr>
              <w:pStyle w:val="NoSpacing"/>
              <w:rPr>
                <w:lang w:eastAsia="en-GB"/>
              </w:rPr>
            </w:pPr>
            <w:r w:rsidRPr="00E505E4">
              <w:rPr>
                <w:lang w:eastAsia="en-GB"/>
              </w:rPr>
              <w:t>Since many cities and countries do not have an open public spaces inventory, satellite imagery can be used to identify potential open public spaces. The identification of such spaces from imagery should be based on careful evaluation of the character of each space against the known forms of open public spaces within that city / country</w:t>
            </w:r>
          </w:p>
          <w:p w14:paraId="1D734505" w14:textId="77777777" w:rsidR="00EF295B" w:rsidRPr="00E505E4" w:rsidRDefault="00EF295B" w:rsidP="00EF295B">
            <w:pPr>
              <w:pStyle w:val="NoSpacing"/>
              <w:rPr>
                <w:lang w:eastAsia="en-GB"/>
              </w:rPr>
            </w:pPr>
            <w:r w:rsidRPr="00E505E4">
              <w:rPr>
                <w:lang w:eastAsia="en-GB"/>
              </w:rPr>
              <w:t>Digitize the identified potential open public spaces.</w:t>
            </w:r>
          </w:p>
          <w:p w14:paraId="6A2BA40F" w14:textId="77777777" w:rsidR="00EF295B" w:rsidRPr="00E505E4" w:rsidRDefault="00EF295B" w:rsidP="00EF295B">
            <w:pPr>
              <w:pStyle w:val="NoSpacing"/>
              <w:rPr>
                <w:lang w:eastAsia="en-GB"/>
              </w:rPr>
            </w:pPr>
            <w:r w:rsidRPr="00E505E4">
              <w:rPr>
                <w:lang w:eastAsia="en-GB"/>
              </w:rPr>
              <w:t xml:space="preserve">Undertake field work to verify the identified spaces and assess their quality. UN-Habitat, in consultation with partners, experts and data producers </w:t>
            </w:r>
            <w:proofErr w:type="gramStart"/>
            <w:r w:rsidRPr="00E505E4">
              <w:rPr>
                <w:lang w:eastAsia="en-GB"/>
              </w:rPr>
              <w:t>have</w:t>
            </w:r>
            <w:proofErr w:type="gramEnd"/>
            <w:r w:rsidRPr="00E505E4">
              <w:rPr>
                <w:lang w:eastAsia="en-GB"/>
              </w:rPr>
              <w:t xml:space="preserve"> developed a detailed tool to facilitate the verification of each space and collection of additional data on the space quality and accessibility. This tool is freely available and allows for on-site definition/ editing of the space’s boundaries. It also contains standard and extended questions which collect data relevant to the indicator, including location of the spaces, their ownership and management, safety, inclusivity and accessibility. This data provides basic information about each space, as well as information relevant for disaggregation - such as access issues linked to age, gender and disabilities, as requested for by the indicator. The tool is dynamic and allows cities to include extra questions which generate information that is useful for their decision making (Tool is available at https://ee.kobotoolbox.org/x/#IGFf6ubq). </w:t>
            </w:r>
          </w:p>
          <w:p w14:paraId="2741CC16" w14:textId="77777777" w:rsidR="00EF295B" w:rsidRPr="00E505E4" w:rsidRDefault="00EF295B" w:rsidP="00EF295B">
            <w:pPr>
              <w:pStyle w:val="NoSpacing"/>
              <w:rPr>
                <w:lang w:eastAsia="en-GB"/>
              </w:rPr>
            </w:pPr>
            <w:r w:rsidRPr="00E505E4">
              <w:rPr>
                <w:lang w:eastAsia="en-GB"/>
              </w:rPr>
              <w:lastRenderedPageBreak/>
              <w:t>Calculate the total area covered by the verified open public spaces.</w:t>
            </w:r>
          </w:p>
          <w:p w14:paraId="223F2C67" w14:textId="77777777" w:rsidR="00EF295B" w:rsidRPr="00E505E4" w:rsidRDefault="00EF295B" w:rsidP="00EF295B">
            <w:pPr>
              <w:pStyle w:val="NoSpacing"/>
              <w:rPr>
                <w:lang w:eastAsia="en-GB"/>
              </w:rPr>
            </w:pPr>
          </w:p>
          <w:p w14:paraId="6C973F09" w14:textId="77777777" w:rsidR="00EF295B" w:rsidRPr="00E505E4" w:rsidRDefault="00EF295B" w:rsidP="00EF295B">
            <w:pPr>
              <w:pStyle w:val="NoSpacing"/>
              <w:rPr>
                <w:lang w:eastAsia="en-GB"/>
              </w:rPr>
            </w:pPr>
            <w:r w:rsidRPr="00E505E4">
              <w:rPr>
                <w:lang w:eastAsia="en-GB"/>
              </w:rPr>
              <w:t xml:space="preserve">Computation of land allocated to streets (LAS) </w:t>
            </w:r>
          </w:p>
          <w:p w14:paraId="015A3163" w14:textId="77777777" w:rsidR="00EF295B" w:rsidRPr="00E505E4" w:rsidRDefault="00EF295B" w:rsidP="00EF295B">
            <w:pPr>
              <w:pStyle w:val="NoSpacing"/>
              <w:rPr>
                <w:lang w:eastAsia="en-GB"/>
              </w:rPr>
            </w:pPr>
            <w:r w:rsidRPr="00E505E4">
              <w:rPr>
                <w:lang w:eastAsia="en-GB"/>
              </w:rPr>
              <w:t>Where street data by width and length fields is available/specified, the following methodology could be used:</w:t>
            </w:r>
          </w:p>
          <w:p w14:paraId="7C2552D7" w14:textId="77777777" w:rsidR="00EF295B" w:rsidRPr="00E505E4" w:rsidRDefault="00EF295B" w:rsidP="00EF295B">
            <w:pPr>
              <w:pStyle w:val="NoSpacing"/>
              <w:rPr>
                <w:lang w:eastAsia="en-GB"/>
              </w:rPr>
            </w:pPr>
            <w:r w:rsidRPr="00E505E4">
              <w:rPr>
                <w:lang w:eastAsia="en-GB"/>
              </w:rPr>
              <w:t>Select only the streets included in the urban extent (or clip streets to the working city boundary)</w:t>
            </w:r>
          </w:p>
          <w:p w14:paraId="3EE804EF" w14:textId="77777777" w:rsidR="00EF295B" w:rsidRDefault="00EF295B" w:rsidP="00EF295B">
            <w:pPr>
              <w:pStyle w:val="NoSpacing"/>
              <w:rPr>
                <w:lang w:eastAsia="en-GB"/>
              </w:rPr>
            </w:pPr>
            <w:r w:rsidRPr="00E505E4">
              <w:rPr>
                <w:lang w:eastAsia="en-GB"/>
              </w:rPr>
              <w:t xml:space="preserve">From GIS (or alternative software), calculate the total area occupied </w:t>
            </w:r>
            <w:proofErr w:type="gramStart"/>
            <w:r w:rsidRPr="00E505E4">
              <w:rPr>
                <w:lang w:eastAsia="en-GB"/>
              </w:rPr>
              <w:t>by  each</w:t>
            </w:r>
            <w:proofErr w:type="gramEnd"/>
            <w:r w:rsidRPr="00E505E4">
              <w:rPr>
                <w:lang w:eastAsia="en-GB"/>
              </w:rPr>
              <w:t xml:space="preserve"> street by multiplying its length with width. Add up all individual street areas to attain the total amount of land occupied all streets within the defined urban area.</w:t>
            </w:r>
          </w:p>
          <w:p w14:paraId="66120962" w14:textId="77777777" w:rsidR="00EF295B" w:rsidRPr="00E505E4" w:rsidRDefault="00EF295B" w:rsidP="00EF295B">
            <w:pPr>
              <w:pStyle w:val="NoSpacing"/>
              <w:rPr>
                <w:lang w:eastAsia="en-GB"/>
              </w:rPr>
            </w:pPr>
          </w:p>
          <w:p w14:paraId="5CFED628" w14:textId="77777777" w:rsidR="00EF295B" w:rsidRDefault="00EF295B" w:rsidP="00EF295B">
            <w:pPr>
              <w:pStyle w:val="NoSpacing"/>
              <w:rPr>
                <w:lang w:eastAsia="en-GB"/>
              </w:rPr>
            </w:pPr>
            <w:r w:rsidRPr="00E505E4">
              <w:rPr>
                <w:lang w:eastAsia="en-GB"/>
              </w:rPr>
              <w:t xml:space="preserve">An alternative technique for computing land allocated to the streets is one that adopts sampling principles.  An approach that uses the Halton sampling sequence is recommended, specifically because the sequence generates equidistant points, increasing the degree of sample representativeness. To compute LAS using this method, follow the following steps:   </w:t>
            </w:r>
          </w:p>
          <w:p w14:paraId="376AA967" w14:textId="77777777" w:rsidR="00EF295B" w:rsidRPr="00E505E4" w:rsidRDefault="00EF295B" w:rsidP="00EF295B">
            <w:pPr>
              <w:pStyle w:val="NoSpacing"/>
              <w:rPr>
                <w:lang w:eastAsia="en-GB"/>
              </w:rPr>
            </w:pPr>
          </w:p>
          <w:p w14:paraId="11F1AB57" w14:textId="77777777" w:rsidR="00EF295B" w:rsidRPr="00E505E4" w:rsidRDefault="00EF295B" w:rsidP="00EF295B">
            <w:pPr>
              <w:pStyle w:val="NoSpacing"/>
              <w:rPr>
                <w:lang w:eastAsia="en-GB"/>
              </w:rPr>
            </w:pPr>
            <w:r w:rsidRPr="00E505E4">
              <w:rPr>
                <w:lang w:eastAsia="en-GB"/>
              </w:rPr>
              <w:t xml:space="preserve">Using the urban extent boundary identified earlier, generate a Halton sequence of sample points (Halton sequence refers to quasi-random sequence used to generate points in space that are ex-post evenly spread i.e. Equidistant). The number of points used for each city varies based on its area.  In large study areas of more than 20 km2, a density of one circle per hectare is used while in small study areas of less than 20 km2 a density of 0.5 </w:t>
            </w:r>
            <w:proofErr w:type="gramStart"/>
            <w:r w:rsidRPr="00E505E4">
              <w:rPr>
                <w:lang w:eastAsia="en-GB"/>
              </w:rPr>
              <w:t>circle</w:t>
            </w:r>
            <w:proofErr w:type="gramEnd"/>
            <w:r w:rsidRPr="00E505E4">
              <w:rPr>
                <w:lang w:eastAsia="en-GB"/>
              </w:rPr>
              <w:t xml:space="preserve"> per hectare is used.</w:t>
            </w:r>
          </w:p>
          <w:p w14:paraId="7F46D0B0" w14:textId="77777777" w:rsidR="00EF295B" w:rsidRPr="00E505E4" w:rsidRDefault="00EF295B" w:rsidP="00EF295B">
            <w:pPr>
              <w:pStyle w:val="NoSpacing"/>
              <w:rPr>
                <w:lang w:eastAsia="en-GB"/>
              </w:rPr>
            </w:pPr>
            <w:r w:rsidRPr="00E505E4">
              <w:rPr>
                <w:lang w:eastAsia="en-GB"/>
              </w:rPr>
              <w:t xml:space="preserve">Buffer the points to get sample areas with an area of 10 hectares each. </w:t>
            </w:r>
          </w:p>
          <w:p w14:paraId="5AC0F6F5" w14:textId="77777777" w:rsidR="00EF295B" w:rsidRPr="00E505E4" w:rsidRDefault="00EF295B" w:rsidP="00EF295B">
            <w:pPr>
              <w:pStyle w:val="NoSpacing"/>
              <w:rPr>
                <w:lang w:eastAsia="en-GB"/>
              </w:rPr>
            </w:pPr>
            <w:r w:rsidRPr="00E505E4">
              <w:rPr>
                <w:lang w:eastAsia="en-GB"/>
              </w:rPr>
              <w:t xml:space="preserve">Within each 10 hectare sample area, digitize all streets in GIS software and compute the total amount of land they occupy.  </w:t>
            </w:r>
          </w:p>
          <w:p w14:paraId="37CEFB22" w14:textId="77777777" w:rsidR="00EF295B" w:rsidRPr="00E505E4" w:rsidRDefault="00EF295B" w:rsidP="00EF295B">
            <w:pPr>
              <w:pStyle w:val="NoSpacing"/>
              <w:rPr>
                <w:lang w:eastAsia="en-GB"/>
              </w:rPr>
            </w:pPr>
            <w:r w:rsidRPr="00E505E4">
              <w:rPr>
                <w:lang w:eastAsia="en-GB"/>
              </w:rPr>
              <w:t>Calculate the average land allocated to streets for all sample areas using the following formula:</w:t>
            </w:r>
          </w:p>
          <w:p w14:paraId="1A8510EF" w14:textId="77777777" w:rsidR="00EF295B" w:rsidRDefault="00EF295B" w:rsidP="00EF295B">
            <w:pPr>
              <w:pStyle w:val="NoSpacing"/>
              <w:rPr>
                <w:lang w:eastAsia="en-GB"/>
              </w:rPr>
            </w:pPr>
          </w:p>
          <w:p w14:paraId="7DE76288" w14:textId="77777777" w:rsidR="00EF295B" w:rsidRPr="00DD0E3A" w:rsidRDefault="00EF295B" w:rsidP="00EF295B">
            <w:pPr>
              <w:pStyle w:val="NoSpacing"/>
            </w:pPr>
            <w:r w:rsidRPr="00DD0E3A">
              <w:t xml:space="preserve">The land allocated to streets = </w:t>
            </w:r>
            <m:oMath>
              <m:f>
                <m:fPr>
                  <m:ctrlPr>
                    <w:rPr>
                      <w:rFonts w:ascii="Cambria Math" w:hAnsi="Cambria Math"/>
                    </w:rPr>
                  </m:ctrlPr>
                </m:fPr>
                <m:num>
                  <m:r>
                    <m:rPr>
                      <m:sty m:val="p"/>
                    </m:rPr>
                    <w:rPr>
                      <w:rFonts w:ascii="Cambria Math" w:hAnsi="Cambria Math"/>
                    </w:rPr>
                    <m:t>Sum of LAS  from all sampling points</m:t>
                  </m:r>
                </m:num>
                <m:den>
                  <m:r>
                    <m:rPr>
                      <m:sty m:val="p"/>
                    </m:rPr>
                    <w:rPr>
                      <w:rFonts w:ascii="Cambria Math" w:hAnsi="Cambria Math"/>
                    </w:rPr>
                    <m:t>Number of sampling points</m:t>
                  </m:r>
                </m:den>
              </m:f>
            </m:oMath>
          </w:p>
          <w:p w14:paraId="30BC0713" w14:textId="77777777" w:rsidR="00EF295B" w:rsidRPr="00DD0E3A" w:rsidRDefault="00EF295B" w:rsidP="00EF295B">
            <w:pPr>
              <w:pStyle w:val="NoSpacing"/>
            </w:pPr>
          </w:p>
          <w:p w14:paraId="38682D8F" w14:textId="77777777" w:rsidR="00EF295B" w:rsidRPr="00DD0E3A" w:rsidRDefault="00EF295B" w:rsidP="00EF295B">
            <w:pPr>
              <w:pStyle w:val="NoSpacing"/>
            </w:pPr>
            <w:r w:rsidRPr="00DD0E3A">
              <w:t>The final computation of the indicator is done using the formula:</w:t>
            </w:r>
          </w:p>
          <w:p w14:paraId="0FA88FA2" w14:textId="77777777" w:rsidR="00EF295B" w:rsidRPr="00DD0E3A" w:rsidRDefault="00EF295B" w:rsidP="00EF295B">
            <w:pPr>
              <w:pStyle w:val="NoSpacing"/>
            </w:pPr>
            <m:oMathPara>
              <m:oMath>
                <m:r>
                  <m:rPr>
                    <m:sty m:val="b"/>
                  </m:rPr>
                  <w:rPr>
                    <w:rFonts w:ascii="Cambria Math" w:hAnsi="Cambria Math"/>
                  </w:rPr>
                  <m:t>Share</m:t>
                </m:r>
                <m:r>
                  <m:rPr>
                    <m:sty m:val="p"/>
                  </m:rPr>
                  <w:rPr>
                    <w:rFonts w:ascii="Cambria Math" w:hAnsi="Cambria Math"/>
                  </w:rPr>
                  <m:t xml:space="preserve"> </m:t>
                </m:r>
                <m:r>
                  <m:rPr>
                    <m:sty m:val="b"/>
                  </m:rPr>
                  <w:rPr>
                    <w:rFonts w:ascii="Cambria Math" w:hAnsi="Cambria Math"/>
                  </w:rPr>
                  <m:t>of</m:t>
                </m:r>
                <m:r>
                  <m:rPr>
                    <m:sty m:val="p"/>
                  </m:rPr>
                  <w:rPr>
                    <w:rFonts w:ascii="Cambria Math" w:hAnsi="Cambria Math"/>
                  </w:rPr>
                  <m:t xml:space="preserve"> </m:t>
                </m:r>
                <m:r>
                  <m:rPr>
                    <m:sty m:val="b"/>
                  </m:rPr>
                  <w:rPr>
                    <w:rFonts w:ascii="Cambria Math" w:hAnsi="Cambria Math"/>
                  </w:rPr>
                  <m:t>the</m:t>
                </m:r>
                <m:r>
                  <m:rPr>
                    <m:sty m:val="p"/>
                  </m:rPr>
                  <w:rPr>
                    <w:rFonts w:ascii="Cambria Math" w:hAnsi="Cambria Math"/>
                  </w:rPr>
                  <m:t xml:space="preserve"> </m:t>
                </m:r>
                <m:r>
                  <m:rPr>
                    <m:sty m:val="b"/>
                  </m:rPr>
                  <w:rPr>
                    <w:rFonts w:ascii="Cambria Math" w:hAnsi="Cambria Math"/>
                  </w:rPr>
                  <m:t>built</m:t>
                </m:r>
                <m:r>
                  <m:rPr>
                    <m:sty m:val="p"/>
                  </m:rPr>
                  <w:rPr>
                    <w:rFonts w:ascii="Cambria Math" w:hAnsi="Cambria Math"/>
                  </w:rPr>
                  <m:t>-</m:t>
                </m:r>
                <m:r>
                  <m:rPr>
                    <m:sty m:val="b"/>
                  </m:rPr>
                  <w:rPr>
                    <w:rFonts w:ascii="Cambria Math" w:hAnsi="Cambria Math"/>
                  </w:rPr>
                  <m:t>up</m:t>
                </m:r>
                <m:r>
                  <m:rPr>
                    <m:sty m:val="p"/>
                  </m:rPr>
                  <w:rPr>
                    <w:rFonts w:ascii="Cambria Math" w:hAnsi="Cambria Math"/>
                  </w:rPr>
                  <m:t xml:space="preserve"> </m:t>
                </m:r>
                <m:r>
                  <m:rPr>
                    <m:sty m:val="b"/>
                  </m:rPr>
                  <w:rPr>
                    <w:rFonts w:ascii="Cambria Math" w:hAnsi="Cambria Math"/>
                  </w:rPr>
                  <m:t>area</m:t>
                </m:r>
                <m:r>
                  <m:rPr>
                    <m:sty m:val="p"/>
                  </m:rPr>
                  <w:rPr>
                    <w:rFonts w:ascii="Cambria Math" w:hAnsi="Cambria Math"/>
                  </w:rPr>
                  <m:t xml:space="preserve"> </m:t>
                </m:r>
                <m:r>
                  <m:rPr>
                    <m:sty m:val="b"/>
                  </m:rPr>
                  <w:rPr>
                    <w:rFonts w:ascii="Cambria Math" w:hAnsi="Cambria Math"/>
                  </w:rPr>
                  <m:t>of</m:t>
                </m:r>
                <m:r>
                  <m:rPr>
                    <m:sty m:val="p"/>
                  </m:rPr>
                  <w:rPr>
                    <w:rFonts w:ascii="Cambria Math" w:hAnsi="Cambria Math"/>
                  </w:rPr>
                  <m:t xml:space="preserve"> </m:t>
                </m:r>
                <m:r>
                  <m:rPr>
                    <m:sty m:val="b"/>
                  </m:rPr>
                  <w:rPr>
                    <w:rFonts w:ascii="Cambria Math" w:hAnsi="Cambria Math"/>
                  </w:rPr>
                  <m:t>the</m:t>
                </m:r>
                <m:r>
                  <m:rPr>
                    <m:sty m:val="p"/>
                  </m:rPr>
                  <w:rPr>
                    <w:rFonts w:ascii="Cambria Math" w:hAnsi="Cambria Math"/>
                  </w:rPr>
                  <m:t xml:space="preserve"> </m:t>
                </m:r>
                <m:r>
                  <m:rPr>
                    <m:sty m:val="b"/>
                  </m:rPr>
                  <w:rPr>
                    <w:rFonts w:ascii="Cambria Math" w:hAnsi="Cambria Math"/>
                  </w:rPr>
                  <m:t>city</m:t>
                </m:r>
                <m:r>
                  <m:rPr>
                    <m:sty m:val="p"/>
                  </m:rPr>
                  <w:rPr>
                    <w:rFonts w:ascii="Cambria Math" w:hAnsi="Cambria Math"/>
                  </w:rPr>
                  <m:t xml:space="preserve"> </m:t>
                </m:r>
                <m:r>
                  <m:rPr>
                    <m:sty m:val="b"/>
                  </m:rPr>
                  <w:rPr>
                    <w:rFonts w:ascii="Cambria Math" w:hAnsi="Cambria Math"/>
                  </w:rPr>
                  <m:t>that</m:t>
                </m:r>
                <m:r>
                  <m:rPr>
                    <m:sty m:val="p"/>
                  </m:rPr>
                  <w:rPr>
                    <w:rFonts w:ascii="Cambria Math" w:hAnsi="Cambria Math"/>
                  </w:rPr>
                  <m:t xml:space="preserve"> </m:t>
                </m:r>
                <m:r>
                  <m:rPr>
                    <m:sty m:val="b"/>
                  </m:rPr>
                  <w:rPr>
                    <w:rFonts w:ascii="Cambria Math" w:hAnsi="Cambria Math"/>
                  </w:rPr>
                  <m:t>is</m:t>
                </m:r>
                <m:r>
                  <m:rPr>
                    <m:sty m:val="p"/>
                  </m:rPr>
                  <w:rPr>
                    <w:rFonts w:ascii="Cambria Math" w:hAnsi="Cambria Math"/>
                  </w:rPr>
                  <m:t xml:space="preserve"> </m:t>
                </m:r>
                <m:r>
                  <m:rPr>
                    <m:sty m:val="b"/>
                  </m:rPr>
                  <w:rPr>
                    <w:rFonts w:ascii="Cambria Math" w:hAnsi="Cambria Math"/>
                  </w:rPr>
                  <m:t>open</m:t>
                </m:r>
                <m:r>
                  <m:rPr>
                    <m:sty m:val="p"/>
                  </m:rPr>
                  <w:rPr>
                    <w:rFonts w:ascii="Cambria Math" w:hAnsi="Cambria Math"/>
                  </w:rPr>
                  <m:t xml:space="preserve"> </m:t>
                </m:r>
                <m:r>
                  <m:rPr>
                    <m:sty m:val="b"/>
                  </m:rPr>
                  <w:rPr>
                    <w:rFonts w:ascii="Cambria Math" w:hAnsi="Cambria Math"/>
                  </w:rPr>
                  <m:t>space</m:t>
                </m:r>
                <m:r>
                  <m:rPr>
                    <m:sty m:val="p"/>
                  </m:rPr>
                  <w:rPr>
                    <w:rFonts w:ascii="Cambria Math" w:hAnsi="Cambria Math"/>
                  </w:rPr>
                  <m:t xml:space="preserve"> </m:t>
                </m:r>
                <m:r>
                  <m:rPr>
                    <m:sty m:val="b"/>
                  </m:rPr>
                  <w:rPr>
                    <w:rFonts w:ascii="Cambria Math" w:hAnsi="Cambria Math"/>
                  </w:rPr>
                  <m:t>in</m:t>
                </m:r>
                <m:r>
                  <m:rPr>
                    <m:sty m:val="p"/>
                  </m:rPr>
                  <w:rPr>
                    <w:rFonts w:ascii="Cambria Math" w:hAnsi="Cambria Math"/>
                  </w:rPr>
                  <m:t xml:space="preserve"> </m:t>
                </m:r>
                <m:r>
                  <m:rPr>
                    <m:sty m:val="b"/>
                  </m:rPr>
                  <w:rPr>
                    <w:rFonts w:ascii="Cambria Math" w:hAnsi="Cambria Math"/>
                  </w:rPr>
                  <m:t>public</m:t>
                </m:r>
                <m:r>
                  <m:rPr>
                    <m:sty m:val="p"/>
                  </m:rPr>
                  <w:rPr>
                    <w:rFonts w:ascii="Cambria Math" w:hAnsi="Cambria Math"/>
                  </w:rPr>
                  <m:t xml:space="preserve"> </m:t>
                </m:r>
                <m:r>
                  <m:rPr>
                    <m:sty m:val="b"/>
                  </m:rPr>
                  <w:rPr>
                    <w:rFonts w:ascii="Cambria Math" w:hAnsi="Cambria Math"/>
                  </w:rPr>
                  <m:t>use</m:t>
                </m:r>
                <m:d>
                  <m:dPr>
                    <m:ctrlPr>
                      <w:rPr>
                        <w:rFonts w:ascii="Cambria Math" w:hAnsi="Cambria Math"/>
                      </w:rPr>
                    </m:ctrlPr>
                  </m:dPr>
                  <m:e>
                    <m:r>
                      <m:rPr>
                        <m:sty m:val="p"/>
                      </m:rPr>
                      <w:rPr>
                        <w:rFonts w:ascii="Cambria Math" w:hAnsi="Cambria Math"/>
                      </w:rPr>
                      <m:t>%</m:t>
                    </m:r>
                  </m:e>
                </m:d>
              </m:oMath>
            </m:oMathPara>
          </w:p>
          <w:p w14:paraId="509AF4AB" w14:textId="77777777" w:rsidR="00EF295B" w:rsidRPr="00DD0E3A" w:rsidRDefault="00EF295B" w:rsidP="00EF295B">
            <w:pPr>
              <w:pStyle w:val="NoSpacing"/>
            </w:pPr>
          </w:p>
          <w:p w14:paraId="63A93483" w14:textId="77777777" w:rsidR="00EF295B" w:rsidRPr="00DD0E3A" w:rsidRDefault="00EF295B" w:rsidP="00EF295B">
            <w:pPr>
              <w:pStyle w:val="NoSpacing"/>
              <w:rPr>
                <w:rFonts w:eastAsiaTheme="minorEastAsia"/>
              </w:rPr>
            </w:pPr>
            <m:oMathPara>
              <m:oMath>
                <m:r>
                  <m:rPr>
                    <m:sty m:val="p"/>
                  </m:rPr>
                  <w:rPr>
                    <w:rFonts w:ascii="Cambria Math" w:hAnsi="Cambria Math"/>
                  </w:rPr>
                  <m:t>=</m:t>
                </m:r>
                <m:f>
                  <m:fPr>
                    <m:ctrlPr>
                      <w:rPr>
                        <w:rFonts w:ascii="Cambria Math" w:hAnsi="Cambria Math"/>
                      </w:rPr>
                    </m:ctrlPr>
                  </m:fPr>
                  <m:num>
                    <m:r>
                      <m:rPr>
                        <m:sty m:val="b"/>
                      </m:rPr>
                      <w:rPr>
                        <w:rFonts w:ascii="Cambria Math" w:hAnsi="Cambria Math"/>
                      </w:rPr>
                      <m:t>Total</m:t>
                    </m:r>
                    <m:r>
                      <m:rPr>
                        <m:sty m:val="p"/>
                      </m:rPr>
                      <w:rPr>
                        <w:rFonts w:ascii="Cambria Math" w:hAnsi="Cambria Math"/>
                      </w:rPr>
                      <m:t xml:space="preserve"> </m:t>
                    </m:r>
                    <m:r>
                      <m:rPr>
                        <m:sty m:val="b"/>
                      </m:rPr>
                      <w:rPr>
                        <w:rFonts w:ascii="Cambria Math" w:hAnsi="Cambria Math"/>
                      </w:rPr>
                      <m:t>surface</m:t>
                    </m:r>
                    <m:r>
                      <m:rPr>
                        <m:sty m:val="p"/>
                      </m:rPr>
                      <w:rPr>
                        <w:rFonts w:ascii="Cambria Math" w:hAnsi="Cambria Math"/>
                      </w:rPr>
                      <m:t xml:space="preserve"> </m:t>
                    </m:r>
                    <m:r>
                      <m:rPr>
                        <m:sty m:val="b"/>
                      </m:rPr>
                      <w:rPr>
                        <w:rFonts w:ascii="Cambria Math" w:hAnsi="Cambria Math"/>
                      </w:rPr>
                      <m:t>of</m:t>
                    </m:r>
                    <m:r>
                      <m:rPr>
                        <m:sty m:val="p"/>
                      </m:rPr>
                      <w:rPr>
                        <w:rFonts w:ascii="Cambria Math" w:hAnsi="Cambria Math"/>
                      </w:rPr>
                      <m:t xml:space="preserve"> </m:t>
                    </m:r>
                    <m:r>
                      <m:rPr>
                        <m:sty m:val="b"/>
                      </m:rPr>
                      <w:rPr>
                        <w:rFonts w:ascii="Cambria Math" w:hAnsi="Cambria Math"/>
                      </w:rPr>
                      <m:t>open</m:t>
                    </m:r>
                    <m:r>
                      <m:rPr>
                        <m:sty m:val="p"/>
                      </m:rPr>
                      <w:rPr>
                        <w:rFonts w:ascii="Cambria Math" w:hAnsi="Cambria Math"/>
                      </w:rPr>
                      <m:t xml:space="preserve"> </m:t>
                    </m:r>
                    <m:r>
                      <m:rPr>
                        <m:sty m:val="b"/>
                      </m:rPr>
                      <w:rPr>
                        <w:rFonts w:ascii="Cambria Math" w:hAnsi="Cambria Math"/>
                      </w:rPr>
                      <m:t>public</m:t>
                    </m:r>
                    <m:r>
                      <m:rPr>
                        <m:sty m:val="p"/>
                      </m:rPr>
                      <w:rPr>
                        <w:rFonts w:ascii="Cambria Math" w:hAnsi="Cambria Math"/>
                      </w:rPr>
                      <m:t xml:space="preserve"> </m:t>
                    </m:r>
                    <m:r>
                      <m:rPr>
                        <m:sty m:val="b"/>
                      </m:rPr>
                      <w:rPr>
                        <w:rFonts w:ascii="Cambria Math" w:hAnsi="Cambria Math"/>
                      </w:rPr>
                      <m:t>space</m:t>
                    </m:r>
                    <m:r>
                      <m:rPr>
                        <m:sty m:val="p"/>
                      </m:rPr>
                      <w:rPr>
                        <w:rFonts w:ascii="Cambria Math" w:hAnsi="Cambria Math"/>
                      </w:rPr>
                      <m:t>+</m:t>
                    </m:r>
                    <m:r>
                      <m:rPr>
                        <m:sty m:val="b"/>
                      </m:rPr>
                      <w:rPr>
                        <w:rFonts w:ascii="Cambria Math" w:hAnsi="Cambria Math"/>
                      </w:rPr>
                      <m:t>Total</m:t>
                    </m:r>
                    <m:r>
                      <m:rPr>
                        <m:sty m:val="p"/>
                      </m:rPr>
                      <w:rPr>
                        <w:rFonts w:ascii="Cambria Math" w:hAnsi="Cambria Math"/>
                      </w:rPr>
                      <m:t xml:space="preserve"> </m:t>
                    </m:r>
                    <m:r>
                      <m:rPr>
                        <m:sty m:val="b"/>
                      </m:rPr>
                      <w:rPr>
                        <w:rFonts w:ascii="Cambria Math" w:hAnsi="Cambria Math"/>
                      </w:rPr>
                      <m:t>surface</m:t>
                    </m:r>
                    <m:r>
                      <m:rPr>
                        <m:sty m:val="p"/>
                      </m:rPr>
                      <w:rPr>
                        <w:rFonts w:ascii="Cambria Math" w:hAnsi="Cambria Math"/>
                      </w:rPr>
                      <m:t xml:space="preserve"> </m:t>
                    </m:r>
                    <m:r>
                      <m:rPr>
                        <m:sty m:val="b"/>
                      </m:rPr>
                      <w:rPr>
                        <w:rFonts w:ascii="Cambria Math" w:hAnsi="Cambria Math"/>
                      </w:rPr>
                      <m:t>of</m:t>
                    </m:r>
                    <m:r>
                      <m:rPr>
                        <m:sty m:val="p"/>
                      </m:rPr>
                      <w:rPr>
                        <w:rFonts w:ascii="Cambria Math" w:hAnsi="Cambria Math"/>
                      </w:rPr>
                      <m:t xml:space="preserve"> </m:t>
                    </m:r>
                    <m:r>
                      <m:rPr>
                        <m:sty m:val="b"/>
                      </m:rPr>
                      <w:rPr>
                        <w:rFonts w:ascii="Cambria Math" w:hAnsi="Cambria Math"/>
                      </w:rPr>
                      <m:t>land</m:t>
                    </m:r>
                    <m:r>
                      <m:rPr>
                        <m:sty m:val="p"/>
                      </m:rPr>
                      <w:rPr>
                        <w:rFonts w:ascii="Cambria Math" w:hAnsi="Cambria Math"/>
                      </w:rPr>
                      <m:t xml:space="preserve"> </m:t>
                    </m:r>
                    <m:r>
                      <m:rPr>
                        <m:sty m:val="b"/>
                      </m:rPr>
                      <w:rPr>
                        <w:rFonts w:ascii="Cambria Math" w:hAnsi="Cambria Math"/>
                      </w:rPr>
                      <m:t>allocated</m:t>
                    </m:r>
                    <m:r>
                      <m:rPr>
                        <m:sty m:val="p"/>
                      </m:rPr>
                      <w:rPr>
                        <w:rFonts w:ascii="Cambria Math" w:hAnsi="Cambria Math"/>
                      </w:rPr>
                      <m:t xml:space="preserve"> </m:t>
                    </m:r>
                    <m:r>
                      <m:rPr>
                        <m:sty m:val="b"/>
                      </m:rPr>
                      <w:rPr>
                        <w:rFonts w:ascii="Cambria Math" w:hAnsi="Cambria Math"/>
                      </w:rPr>
                      <m:t>to</m:t>
                    </m:r>
                    <m:r>
                      <m:rPr>
                        <m:sty m:val="p"/>
                      </m:rPr>
                      <w:rPr>
                        <w:rFonts w:ascii="Cambria Math" w:hAnsi="Cambria Math"/>
                      </w:rPr>
                      <m:t xml:space="preserve"> </m:t>
                    </m:r>
                    <m:r>
                      <m:rPr>
                        <m:sty m:val="b"/>
                      </m:rPr>
                      <w:rPr>
                        <w:rFonts w:ascii="Cambria Math" w:hAnsi="Cambria Math"/>
                      </w:rPr>
                      <m:t>sreets</m:t>
                    </m:r>
                  </m:num>
                  <m:den>
                    <m:eqArr>
                      <m:eqArrPr>
                        <m:ctrlPr>
                          <w:rPr>
                            <w:rFonts w:ascii="Cambria Math" w:hAnsi="Cambria Math"/>
                          </w:rPr>
                        </m:ctrlPr>
                      </m:eqArrPr>
                      <m:e>
                        <m:r>
                          <m:rPr>
                            <m:sty m:val="b"/>
                          </m:rPr>
                          <w:rPr>
                            <w:rFonts w:ascii="Cambria Math" w:hAnsi="Cambria Math"/>
                          </w:rPr>
                          <m:t>Total</m:t>
                        </m:r>
                        <m:r>
                          <m:rPr>
                            <m:sty m:val="p"/>
                          </m:rPr>
                          <w:rPr>
                            <w:rFonts w:ascii="Cambria Math" w:hAnsi="Cambria Math"/>
                          </w:rPr>
                          <m:t xml:space="preserve"> </m:t>
                        </m:r>
                        <m:r>
                          <m:rPr>
                            <m:sty m:val="b"/>
                          </m:rPr>
                          <w:rPr>
                            <w:rFonts w:ascii="Cambria Math" w:hAnsi="Cambria Math"/>
                          </w:rPr>
                          <m:t>surface</m:t>
                        </m:r>
                        <m:r>
                          <m:rPr>
                            <m:sty m:val="p"/>
                          </m:rPr>
                          <w:rPr>
                            <w:rFonts w:ascii="Cambria Math" w:hAnsi="Cambria Math"/>
                          </w:rPr>
                          <m:t xml:space="preserve"> </m:t>
                        </m:r>
                        <m:r>
                          <m:rPr>
                            <m:sty m:val="b"/>
                          </m:rPr>
                          <w:rPr>
                            <w:rFonts w:ascii="Cambria Math" w:hAnsi="Cambria Math"/>
                          </w:rPr>
                          <m:t>of</m:t>
                        </m:r>
                        <m:r>
                          <m:rPr>
                            <m:sty m:val="p"/>
                          </m:rPr>
                          <w:rPr>
                            <w:rFonts w:ascii="Cambria Math" w:hAnsi="Cambria Math"/>
                          </w:rPr>
                          <m:t xml:space="preserve"> </m:t>
                        </m:r>
                        <m:r>
                          <m:rPr>
                            <m:sty m:val="b"/>
                          </m:rPr>
                          <w:rPr>
                            <w:rFonts w:ascii="Cambria Math" w:hAnsi="Cambria Math"/>
                          </w:rPr>
                          <m:t>built</m:t>
                        </m:r>
                        <m:r>
                          <m:rPr>
                            <m:sty m:val="p"/>
                          </m:rPr>
                          <w:rPr>
                            <w:rFonts w:ascii="Cambria Math" w:hAnsi="Cambria Math"/>
                          </w:rPr>
                          <m:t xml:space="preserve"> </m:t>
                        </m:r>
                        <m:r>
                          <m:rPr>
                            <m:sty m:val="b"/>
                          </m:rPr>
                          <w:rPr>
                            <w:rFonts w:ascii="Cambria Math" w:hAnsi="Cambria Math"/>
                          </w:rPr>
                          <m:t>up</m:t>
                        </m:r>
                        <m:r>
                          <m:rPr>
                            <m:sty m:val="p"/>
                          </m:rPr>
                          <w:rPr>
                            <w:rFonts w:ascii="Cambria Math" w:hAnsi="Cambria Math"/>
                          </w:rPr>
                          <m:t xml:space="preserve"> </m:t>
                        </m:r>
                        <m:r>
                          <m:rPr>
                            <m:sty m:val="b"/>
                          </m:rPr>
                          <w:rPr>
                            <w:rFonts w:ascii="Cambria Math" w:hAnsi="Cambria Math"/>
                          </w:rPr>
                          <m:t>area</m:t>
                        </m:r>
                        <m:r>
                          <m:rPr>
                            <m:sty m:val="p"/>
                          </m:rPr>
                          <w:rPr>
                            <w:rFonts w:ascii="Cambria Math" w:hAnsi="Cambria Math"/>
                          </w:rPr>
                          <m:t xml:space="preserve"> </m:t>
                        </m:r>
                        <m:r>
                          <m:rPr>
                            <m:sty m:val="b"/>
                          </m:rPr>
                          <w:rPr>
                            <w:rFonts w:ascii="Cambria Math" w:hAnsi="Cambria Math"/>
                          </w:rPr>
                          <m:t>of</m:t>
                        </m:r>
                        <m:r>
                          <m:rPr>
                            <m:sty m:val="p"/>
                          </m:rPr>
                          <w:rPr>
                            <w:rFonts w:ascii="Cambria Math" w:hAnsi="Cambria Math"/>
                          </w:rPr>
                          <m:t xml:space="preserve"> </m:t>
                        </m:r>
                        <m:r>
                          <m:rPr>
                            <m:sty m:val="b"/>
                          </m:rPr>
                          <w:rPr>
                            <w:rFonts w:ascii="Cambria Math" w:hAnsi="Cambria Math"/>
                          </w:rPr>
                          <m:t>the</m:t>
                        </m:r>
                      </m:e>
                      <m:e>
                        <m:r>
                          <m:rPr>
                            <m:sty m:val="b"/>
                          </m:rPr>
                          <w:rPr>
                            <w:rFonts w:ascii="Cambria Math" w:hAnsi="Cambria Math"/>
                          </w:rPr>
                          <m:t>urban</m:t>
                        </m:r>
                        <m:r>
                          <m:rPr>
                            <m:sty m:val="p"/>
                          </m:rPr>
                          <w:rPr>
                            <w:rFonts w:ascii="Cambria Math" w:hAnsi="Cambria Math"/>
                          </w:rPr>
                          <m:t xml:space="preserve"> </m:t>
                        </m:r>
                        <m:r>
                          <m:rPr>
                            <m:sty m:val="b"/>
                          </m:rPr>
                          <w:rPr>
                            <w:rFonts w:ascii="Cambria Math" w:hAnsi="Cambria Math"/>
                          </w:rPr>
                          <m:t>agglomeration</m:t>
                        </m:r>
                        <m:r>
                          <m:rPr>
                            <m:sty m:val="p"/>
                          </m:rPr>
                          <w:rPr>
                            <w:rFonts w:ascii="Cambria Math" w:hAnsi="Cambria Math"/>
                          </w:rPr>
                          <m:t xml:space="preserve"> </m:t>
                        </m:r>
                      </m:e>
                    </m:eqArr>
                  </m:den>
                </m:f>
              </m:oMath>
            </m:oMathPara>
          </w:p>
          <w:p w14:paraId="6D50711C" w14:textId="77777777" w:rsidR="00EF295B" w:rsidRDefault="00EF295B" w:rsidP="00EF295B">
            <w:pPr>
              <w:pStyle w:val="NoSpacing"/>
            </w:pPr>
          </w:p>
        </w:tc>
        <w:tc>
          <w:tcPr>
            <w:tcW w:w="1174" w:type="dxa"/>
          </w:tcPr>
          <w:p w14:paraId="4210321D" w14:textId="77777777" w:rsidR="00EF295B" w:rsidRPr="00515468" w:rsidRDefault="00EF295B" w:rsidP="00EF295B">
            <w:pPr>
              <w:pStyle w:val="NoSpacing"/>
            </w:pPr>
            <w:r w:rsidRPr="009F3CE6">
              <w:rPr>
                <w:lang w:eastAsia="en-GB"/>
              </w:rPr>
              <w:lastRenderedPageBreak/>
              <w:t xml:space="preserve">Satellite imagery (open sources), documentation </w:t>
            </w:r>
            <w:r w:rsidRPr="009F3CE6">
              <w:rPr>
                <w:lang w:eastAsia="en-GB"/>
              </w:rPr>
              <w:lastRenderedPageBreak/>
              <w:t>out</w:t>
            </w:r>
            <w:r>
              <w:rPr>
                <w:lang w:eastAsia="en-GB"/>
              </w:rPr>
              <w:t xml:space="preserve">lining publicly owned land and </w:t>
            </w:r>
            <w:r w:rsidRPr="009F3CE6">
              <w:rPr>
                <w:lang w:eastAsia="en-GB"/>
              </w:rPr>
              <w:t>community-based maps</w:t>
            </w:r>
          </w:p>
        </w:tc>
        <w:tc>
          <w:tcPr>
            <w:tcW w:w="818" w:type="dxa"/>
          </w:tcPr>
          <w:p w14:paraId="025F4E97" w14:textId="77777777" w:rsidR="00EF295B" w:rsidRDefault="00EF295B" w:rsidP="00EF295B">
            <w:pPr>
              <w:pStyle w:val="NoSpacing"/>
            </w:pPr>
            <w:r w:rsidRPr="00873FDE">
              <w:rPr>
                <w:rFonts w:cstheme="minorBidi"/>
                <w:bCs/>
                <w:color w:val="auto"/>
                <w:szCs w:val="20"/>
              </w:rPr>
              <w:lastRenderedPageBreak/>
              <w:t>UN-Habitat</w:t>
            </w:r>
          </w:p>
        </w:tc>
        <w:tc>
          <w:tcPr>
            <w:tcW w:w="812" w:type="dxa"/>
          </w:tcPr>
          <w:p w14:paraId="6A310579" w14:textId="21BF52E5" w:rsidR="00EF295B" w:rsidRDefault="00EF295B" w:rsidP="00EF295B">
            <w:pPr>
              <w:pStyle w:val="NoSpacing"/>
            </w:pPr>
          </w:p>
        </w:tc>
        <w:tc>
          <w:tcPr>
            <w:tcW w:w="1351" w:type="dxa"/>
          </w:tcPr>
          <w:p w14:paraId="75ABDF86" w14:textId="77777777" w:rsidR="00EF295B" w:rsidRDefault="00EF295B" w:rsidP="00EF295B">
            <w:pPr>
              <w:spacing w:line="276" w:lineRule="auto"/>
              <w:rPr>
                <w:rFonts w:eastAsia="Times New Roman" w:cs="Times New Roman"/>
                <w:color w:val="000000" w:themeColor="text1"/>
                <w:szCs w:val="20"/>
              </w:rPr>
            </w:pPr>
            <w:r>
              <w:rPr>
                <w:rFonts w:eastAsia="Times New Roman" w:cs="Times New Roman"/>
                <w:color w:val="000000" w:themeColor="text1"/>
                <w:szCs w:val="20"/>
              </w:rPr>
              <w:t>a</w:t>
            </w:r>
            <w:r w:rsidRPr="00BC6F10">
              <w:rPr>
                <w:rFonts w:eastAsia="Times New Roman" w:cs="Times New Roman"/>
                <w:color w:val="000000" w:themeColor="text1"/>
                <w:szCs w:val="20"/>
              </w:rPr>
              <w:t>) UDD</w:t>
            </w:r>
            <w:r>
              <w:rPr>
                <w:rFonts w:eastAsia="Times New Roman" w:cs="Times New Roman"/>
                <w:color w:val="000000" w:themeColor="text1"/>
                <w:szCs w:val="20"/>
              </w:rPr>
              <w:t>,</w:t>
            </w:r>
            <w:r w:rsidRPr="00BC6F10">
              <w:rPr>
                <w:rFonts w:eastAsia="Times New Roman" w:cs="Times New Roman"/>
                <w:color w:val="000000" w:themeColor="text1"/>
                <w:szCs w:val="20"/>
              </w:rPr>
              <w:t xml:space="preserve"> MoHPW </w:t>
            </w:r>
          </w:p>
          <w:p w14:paraId="5DAB1F73" w14:textId="77777777" w:rsidR="00EF295B" w:rsidRDefault="00EF295B" w:rsidP="00EF295B">
            <w:pPr>
              <w:pStyle w:val="NoSpacing"/>
              <w:rPr>
                <w:rFonts w:eastAsia="Times New Roman" w:cs="Times New Roman"/>
                <w:color w:val="000000" w:themeColor="text1"/>
                <w:szCs w:val="20"/>
              </w:rPr>
            </w:pPr>
            <w:r>
              <w:rPr>
                <w:rFonts w:eastAsia="Times New Roman" w:cs="Times New Roman"/>
                <w:color w:val="000000" w:themeColor="text1"/>
                <w:szCs w:val="20"/>
              </w:rPr>
              <w:t xml:space="preserve">b) </w:t>
            </w:r>
            <w:r w:rsidRPr="00BC6F10">
              <w:rPr>
                <w:rFonts w:eastAsia="Times New Roman" w:cs="Times New Roman"/>
                <w:color w:val="000000" w:themeColor="text1"/>
                <w:szCs w:val="20"/>
              </w:rPr>
              <w:t xml:space="preserve">Development </w:t>
            </w:r>
            <w:r w:rsidRPr="00BC6F10">
              <w:rPr>
                <w:rFonts w:eastAsia="Times New Roman" w:cs="Times New Roman"/>
                <w:color w:val="000000" w:themeColor="text1"/>
                <w:szCs w:val="20"/>
              </w:rPr>
              <w:lastRenderedPageBreak/>
              <w:t>Authorities, i.e. RAJUK, CDA, KDA, etc</w:t>
            </w:r>
          </w:p>
          <w:p w14:paraId="08E25DB7" w14:textId="77777777" w:rsidR="00EF295B" w:rsidRDefault="00EF295B" w:rsidP="00EF295B">
            <w:pPr>
              <w:pStyle w:val="NoSpacing"/>
              <w:rPr>
                <w:rFonts w:eastAsia="Times New Roman" w:cs="Times New Roman"/>
                <w:color w:val="000000" w:themeColor="text1"/>
                <w:szCs w:val="20"/>
              </w:rPr>
            </w:pPr>
          </w:p>
          <w:p w14:paraId="6F31EE46" w14:textId="77777777" w:rsidR="00EF295B" w:rsidRDefault="00EF295B" w:rsidP="00EF295B">
            <w:pPr>
              <w:pStyle w:val="NoSpacing"/>
            </w:pPr>
            <w:r>
              <w:t>Administrative Data</w:t>
            </w:r>
          </w:p>
        </w:tc>
        <w:tc>
          <w:tcPr>
            <w:tcW w:w="1349" w:type="dxa"/>
          </w:tcPr>
          <w:p w14:paraId="698EE77E"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sex: male/female</w:t>
            </w:r>
          </w:p>
          <w:p w14:paraId="2A53B48D" w14:textId="467716DA"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age</w:t>
            </w:r>
            <w:r w:rsidR="00A47C3B">
              <w:rPr>
                <w:rFonts w:ascii="Tw Cen MT Condensed" w:hAnsi="Tw Cen MT Condensed"/>
                <w:sz w:val="20"/>
                <w:szCs w:val="20"/>
              </w:rPr>
              <w:t xml:space="preserve"> : 0-15, 15-24, 25-64, 65 and above yrs</w:t>
            </w:r>
          </w:p>
          <w:p w14:paraId="68424EA6" w14:textId="61B48CC6" w:rsidR="00EF295B" w:rsidRDefault="00EF295B" w:rsidP="00EF295B">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disability</w:t>
            </w:r>
            <w:r w:rsidR="00A47C3B">
              <w:rPr>
                <w:rFonts w:ascii="Tw Cen MT Condensed" w:hAnsi="Tw Cen MT Condensed"/>
                <w:sz w:val="20"/>
                <w:szCs w:val="20"/>
              </w:rPr>
              <w:t>: Disable/ Non Disable</w:t>
            </w:r>
          </w:p>
          <w:p w14:paraId="52D036CE" w14:textId="77777777" w:rsidR="00EF295B" w:rsidRDefault="00EF295B" w:rsidP="00EF295B">
            <w:pPr>
              <w:ind w:left="970" w:hanging="970"/>
              <w:jc w:val="both"/>
              <w:rPr>
                <w:color w:val="0070C0"/>
                <w:sz w:val="30"/>
                <w:szCs w:val="30"/>
              </w:rPr>
            </w:pPr>
          </w:p>
        </w:tc>
        <w:tc>
          <w:tcPr>
            <w:tcW w:w="1145" w:type="dxa"/>
          </w:tcPr>
          <w:p w14:paraId="18D36A62" w14:textId="77777777" w:rsidR="00EF295B" w:rsidRDefault="00EF295B" w:rsidP="00EF295B">
            <w:pPr>
              <w:ind w:left="970" w:hanging="970"/>
              <w:jc w:val="both"/>
              <w:rPr>
                <w:color w:val="0070C0"/>
                <w:sz w:val="30"/>
                <w:szCs w:val="30"/>
              </w:rPr>
            </w:pPr>
            <w:r w:rsidRPr="00C31458">
              <w:rPr>
                <w:rFonts w:cs="Times New Roman"/>
                <w:szCs w:val="20"/>
              </w:rPr>
              <w:lastRenderedPageBreak/>
              <w:t>Annual</w:t>
            </w:r>
          </w:p>
        </w:tc>
        <w:tc>
          <w:tcPr>
            <w:tcW w:w="922" w:type="dxa"/>
          </w:tcPr>
          <w:p w14:paraId="01A4FA83" w14:textId="77777777" w:rsidR="00EF295B" w:rsidRDefault="00EF295B" w:rsidP="00EF295B">
            <w:pPr>
              <w:ind w:left="970" w:hanging="970"/>
              <w:jc w:val="both"/>
              <w:rPr>
                <w:color w:val="0070C0"/>
                <w:sz w:val="30"/>
                <w:szCs w:val="30"/>
              </w:rPr>
            </w:pPr>
            <w:r>
              <w:t>Group 2</w:t>
            </w:r>
          </w:p>
        </w:tc>
        <w:tc>
          <w:tcPr>
            <w:tcW w:w="644" w:type="dxa"/>
          </w:tcPr>
          <w:p w14:paraId="1DC1C756" w14:textId="77777777" w:rsidR="00EF295B" w:rsidRDefault="00EF295B" w:rsidP="00EF295B">
            <w:pPr>
              <w:pStyle w:val="NoSpacing"/>
            </w:pPr>
            <w:r>
              <w:t>1</w:t>
            </w:r>
            <w:r w:rsidRPr="00013ACB">
              <w:rPr>
                <w:vertAlign w:val="superscript"/>
              </w:rPr>
              <w:t>st</w:t>
            </w:r>
            <w:r>
              <w:t xml:space="preserve"> Round:</w:t>
            </w:r>
          </w:p>
          <w:p w14:paraId="2E08F068" w14:textId="77777777" w:rsidR="00EF295B" w:rsidRDefault="00EF295B" w:rsidP="00EF295B">
            <w:pPr>
              <w:pStyle w:val="NoSpacing"/>
            </w:pPr>
            <w:r w:rsidRPr="00456578">
              <w:t>Decemb</w:t>
            </w:r>
            <w:r w:rsidRPr="00456578">
              <w:lastRenderedPageBreak/>
              <w:t>er 2020</w:t>
            </w:r>
          </w:p>
          <w:p w14:paraId="27FB882B" w14:textId="77777777" w:rsidR="00EF295B" w:rsidRDefault="00EF295B" w:rsidP="00EF295B">
            <w:pPr>
              <w:pStyle w:val="NoSpacing"/>
            </w:pPr>
          </w:p>
          <w:p w14:paraId="77A3B0E9" w14:textId="77777777" w:rsidR="00EF295B" w:rsidRDefault="00EF295B" w:rsidP="00EF295B">
            <w:pPr>
              <w:pStyle w:val="NoSpacing"/>
            </w:pPr>
            <w:r>
              <w:t>2</w:t>
            </w:r>
            <w:r w:rsidRPr="00013ACB">
              <w:rPr>
                <w:vertAlign w:val="superscript"/>
              </w:rPr>
              <w:t>nd</w:t>
            </w:r>
            <w:r>
              <w:t xml:space="preserve"> Round: </w:t>
            </w:r>
          </w:p>
          <w:p w14:paraId="5DC6CBEF" w14:textId="77777777" w:rsidR="00EF295B" w:rsidRDefault="00EF295B" w:rsidP="00EF295B">
            <w:pPr>
              <w:pStyle w:val="NoSpacing"/>
            </w:pPr>
            <w:r>
              <w:t>December 2021</w:t>
            </w:r>
          </w:p>
          <w:p w14:paraId="2E8A823E" w14:textId="77777777" w:rsidR="00EF295B" w:rsidRDefault="00EF295B" w:rsidP="00EF295B">
            <w:pPr>
              <w:pStyle w:val="NoSpacing"/>
            </w:pPr>
          </w:p>
          <w:p w14:paraId="12B34604" w14:textId="77777777" w:rsidR="00EF295B" w:rsidRDefault="00EF295B" w:rsidP="00EF295B">
            <w:pPr>
              <w:pStyle w:val="NoSpacing"/>
            </w:pPr>
            <w:r>
              <w:t>3</w:t>
            </w:r>
            <w:r w:rsidRPr="00013ACB">
              <w:rPr>
                <w:vertAlign w:val="superscript"/>
              </w:rPr>
              <w:t>rd</w:t>
            </w:r>
            <w:r>
              <w:t xml:space="preserve"> Round: </w:t>
            </w:r>
          </w:p>
          <w:p w14:paraId="0291B17E" w14:textId="77777777" w:rsidR="00EF295B" w:rsidRDefault="00EF295B" w:rsidP="00EF295B">
            <w:pPr>
              <w:pStyle w:val="NoSpacing"/>
            </w:pPr>
            <w:r>
              <w:t>December 2022</w:t>
            </w:r>
          </w:p>
          <w:p w14:paraId="2A52DE6E" w14:textId="77777777" w:rsidR="00EF295B" w:rsidRDefault="00EF295B" w:rsidP="00EF295B">
            <w:pPr>
              <w:pStyle w:val="NoSpacing"/>
            </w:pPr>
          </w:p>
          <w:p w14:paraId="482BE985" w14:textId="77777777" w:rsidR="00EF295B" w:rsidRDefault="00EF295B" w:rsidP="00EF295B">
            <w:pPr>
              <w:pStyle w:val="NoSpacing"/>
            </w:pPr>
            <w:r>
              <w:t>4</w:t>
            </w:r>
            <w:r w:rsidRPr="00013ACB">
              <w:rPr>
                <w:vertAlign w:val="superscript"/>
              </w:rPr>
              <w:t>th</w:t>
            </w:r>
            <w:r>
              <w:t xml:space="preserve"> Round: </w:t>
            </w:r>
          </w:p>
          <w:p w14:paraId="57AA6FB4" w14:textId="77777777" w:rsidR="00EF295B" w:rsidRDefault="00EF295B" w:rsidP="00EF295B">
            <w:pPr>
              <w:pStyle w:val="NoSpacing"/>
            </w:pPr>
            <w:r>
              <w:t>December 2023</w:t>
            </w:r>
          </w:p>
          <w:p w14:paraId="408C24CE" w14:textId="77777777" w:rsidR="00EF295B" w:rsidRDefault="00EF295B" w:rsidP="00EF295B">
            <w:pPr>
              <w:pStyle w:val="NoSpacing"/>
            </w:pPr>
          </w:p>
          <w:p w14:paraId="5B6CD990" w14:textId="77777777" w:rsidR="00EF295B" w:rsidRDefault="00EF295B" w:rsidP="00EF295B">
            <w:pPr>
              <w:pStyle w:val="NoSpacing"/>
            </w:pPr>
            <w:r>
              <w:t>5</w:t>
            </w:r>
            <w:r w:rsidRPr="00013ACB">
              <w:rPr>
                <w:vertAlign w:val="superscript"/>
              </w:rPr>
              <w:t>th</w:t>
            </w:r>
            <w:r>
              <w:t xml:space="preserve"> Round: </w:t>
            </w:r>
          </w:p>
          <w:p w14:paraId="79E34446" w14:textId="77777777" w:rsidR="00EF295B" w:rsidRDefault="00EF295B" w:rsidP="00EF295B">
            <w:pPr>
              <w:pStyle w:val="NoSpacing"/>
            </w:pPr>
            <w:r>
              <w:t>December 2024</w:t>
            </w:r>
          </w:p>
          <w:p w14:paraId="312B1CF4" w14:textId="43DBD39D" w:rsidR="00EF295B" w:rsidRDefault="00EF295B" w:rsidP="00EF295B">
            <w:pPr>
              <w:pStyle w:val="NoSpacing"/>
            </w:pPr>
          </w:p>
        </w:tc>
        <w:tc>
          <w:tcPr>
            <w:tcW w:w="828" w:type="dxa"/>
          </w:tcPr>
          <w:p w14:paraId="5E027A4E" w14:textId="77777777" w:rsidR="00EF295B" w:rsidRDefault="00EF295B" w:rsidP="00EF295B">
            <w:pPr>
              <w:pStyle w:val="NoSpacing"/>
            </w:pPr>
            <w:r>
              <w:lastRenderedPageBreak/>
              <w:t xml:space="preserve">Reviewed at 8th IAEG-SDG </w:t>
            </w:r>
            <w:r>
              <w:lastRenderedPageBreak/>
              <w:t>meeting (classified as Tier II)</w:t>
            </w:r>
          </w:p>
          <w:p w14:paraId="201AFA7C" w14:textId="77777777" w:rsidR="00EF295B" w:rsidRDefault="00EF295B" w:rsidP="00EF295B">
            <w:pPr>
              <w:pStyle w:val="NoSpacing"/>
            </w:pPr>
          </w:p>
          <w:p w14:paraId="460837AB" w14:textId="77777777" w:rsidR="00EF295B" w:rsidRDefault="00EF295B" w:rsidP="00EF295B">
            <w:pPr>
              <w:pStyle w:val="NoSpacing"/>
            </w:pPr>
            <w:r>
              <w:t>Reviewed at Webex meeting in Nov. 2017 following 6th IAEG-SDG meeting: Request additional work on definition of cities and methodology as well as additional pilot studies</w:t>
            </w:r>
          </w:p>
          <w:p w14:paraId="444C860B" w14:textId="77777777" w:rsidR="00EF295B" w:rsidRDefault="00EF295B" w:rsidP="00EF295B">
            <w:pPr>
              <w:pStyle w:val="NoSpacing"/>
            </w:pPr>
          </w:p>
          <w:p w14:paraId="46BF358D" w14:textId="77777777" w:rsidR="00EF295B" w:rsidRDefault="00EF295B" w:rsidP="00EF295B">
            <w:pPr>
              <w:pStyle w:val="NoSpacing"/>
            </w:pPr>
            <w:r>
              <w:t xml:space="preserve">Fast Track; Reviewed at 5th IAEG-SDG meeting: Request finalised methodology </w:t>
            </w:r>
            <w:r>
              <w:lastRenderedPageBreak/>
              <w:t>development and results of pilot studies</w:t>
            </w:r>
          </w:p>
          <w:p w14:paraId="30764F18" w14:textId="77777777" w:rsidR="00EF295B" w:rsidRDefault="00EF295B" w:rsidP="00EF295B">
            <w:pPr>
              <w:pStyle w:val="NoSpacing"/>
            </w:pPr>
          </w:p>
          <w:p w14:paraId="45C522A3" w14:textId="6351FF41" w:rsidR="00EF295B" w:rsidRDefault="00EF295B" w:rsidP="00EF295B">
            <w:pPr>
              <w:pStyle w:val="NoSpacing"/>
            </w:pPr>
            <w:r>
              <w:t xml:space="preserve">IAEG-SDG 3rd meeting: There is no established methodology for the indicator (classified as </w:t>
            </w:r>
            <w:r w:rsidR="006B621F">
              <w:t>TBD</w:t>
            </w:r>
            <w:r>
              <w:t>)</w:t>
            </w:r>
          </w:p>
        </w:tc>
      </w:tr>
      <w:tr w:rsidR="00EF295B" w14:paraId="7F99B1BE" w14:textId="77777777" w:rsidTr="0025292C">
        <w:tc>
          <w:tcPr>
            <w:tcW w:w="1218" w:type="dxa"/>
            <w:shd w:val="clear" w:color="auto" w:fill="auto"/>
          </w:tcPr>
          <w:p w14:paraId="2E507B6B" w14:textId="77777777" w:rsidR="00EF295B" w:rsidRPr="00627F96" w:rsidRDefault="00EF295B" w:rsidP="00EF295B">
            <w:pPr>
              <w:pStyle w:val="NoSpacing"/>
            </w:pPr>
            <w:r w:rsidRPr="00627F96">
              <w:lastRenderedPageBreak/>
              <w:t xml:space="preserve">11.7.2 Proportion of persons victim of physical or sexual harassment, by sex, age, </w:t>
            </w:r>
            <w:r w:rsidRPr="00627F96">
              <w:lastRenderedPageBreak/>
              <w:t>disability status and place of occurrence, in the previous 12 months</w:t>
            </w:r>
          </w:p>
        </w:tc>
        <w:tc>
          <w:tcPr>
            <w:tcW w:w="661" w:type="dxa"/>
          </w:tcPr>
          <w:p w14:paraId="609B777C" w14:textId="77777777" w:rsidR="00EF295B" w:rsidRDefault="00EF295B" w:rsidP="00EF295B">
            <w:pPr>
              <w:pStyle w:val="NoSpacing"/>
            </w:pPr>
            <w:r w:rsidRPr="004559CB">
              <w:lastRenderedPageBreak/>
              <w:t>UNODC</w:t>
            </w:r>
          </w:p>
          <w:p w14:paraId="4743B20E" w14:textId="77777777" w:rsidR="00EF295B" w:rsidRDefault="00EF295B" w:rsidP="00EF295B">
            <w:pPr>
              <w:rPr>
                <w:b/>
                <w:bCs/>
                <w:szCs w:val="20"/>
              </w:rPr>
            </w:pPr>
            <w:r w:rsidRPr="007243FC">
              <w:rPr>
                <w:b/>
                <w:bCs/>
                <w:szCs w:val="20"/>
              </w:rPr>
              <w:t>Partner Agencies:</w:t>
            </w:r>
          </w:p>
          <w:p w14:paraId="0B128D0B" w14:textId="77777777" w:rsidR="00EF295B" w:rsidRDefault="00EF295B" w:rsidP="00EF295B">
            <w:pPr>
              <w:pStyle w:val="NoSpacing"/>
            </w:pPr>
            <w:r>
              <w:t xml:space="preserve">UN </w:t>
            </w:r>
            <w:r>
              <w:lastRenderedPageBreak/>
              <w:t xml:space="preserve">Women, </w:t>
            </w:r>
          </w:p>
          <w:p w14:paraId="61B99D2F" w14:textId="77777777" w:rsidR="00EF295B" w:rsidRDefault="00EF295B" w:rsidP="00EF295B">
            <w:pPr>
              <w:pStyle w:val="NoSpacing"/>
            </w:pPr>
            <w:r>
              <w:t>UN-Habitat</w:t>
            </w:r>
          </w:p>
        </w:tc>
        <w:tc>
          <w:tcPr>
            <w:tcW w:w="935" w:type="dxa"/>
          </w:tcPr>
          <w:p w14:paraId="28D00B23" w14:textId="77777777" w:rsidR="00EF295B" w:rsidRDefault="00EF295B" w:rsidP="00EF295B">
            <w:pPr>
              <w:ind w:left="970" w:hanging="970"/>
              <w:jc w:val="both"/>
              <w:rPr>
                <w:color w:val="0070C0"/>
                <w:sz w:val="30"/>
                <w:szCs w:val="30"/>
              </w:rPr>
            </w:pPr>
            <w:r w:rsidRPr="00666BAB">
              <w:lastRenderedPageBreak/>
              <w:t>Tier II</w:t>
            </w:r>
          </w:p>
        </w:tc>
        <w:tc>
          <w:tcPr>
            <w:tcW w:w="6853" w:type="dxa"/>
          </w:tcPr>
          <w:p w14:paraId="5048093E" w14:textId="77777777" w:rsidR="00EF295B" w:rsidRPr="009217DB" w:rsidRDefault="00EF295B" w:rsidP="00EF295B">
            <w:pPr>
              <w:pStyle w:val="NoSpacing"/>
              <w:rPr>
                <w:lang w:val="en-GB"/>
              </w:rPr>
            </w:pPr>
            <w:r w:rsidRPr="009217DB">
              <w:rPr>
                <w:b/>
                <w:bCs/>
                <w:lang w:val="en-GB"/>
              </w:rPr>
              <w:t>Definition:</w:t>
            </w:r>
          </w:p>
          <w:p w14:paraId="76976CF5" w14:textId="77777777" w:rsidR="00EF295B" w:rsidRPr="009217DB" w:rsidRDefault="00EF295B" w:rsidP="00EF295B">
            <w:pPr>
              <w:pStyle w:val="NoSpacing"/>
              <w:rPr>
                <w:lang w:val="en-GB"/>
              </w:rPr>
            </w:pPr>
            <w:r w:rsidRPr="009217DB">
              <w:rPr>
                <w:lang w:val="en-GB"/>
              </w:rPr>
              <w:t xml:space="preserve">Number of persons who have been victims of physical harassment and/or sexual harassment, as a percentage of the total population of the relevant area. </w:t>
            </w:r>
          </w:p>
          <w:p w14:paraId="2A3BE040" w14:textId="77777777" w:rsidR="00EF295B" w:rsidRPr="009217DB" w:rsidRDefault="00EF295B" w:rsidP="00EF295B">
            <w:pPr>
              <w:pStyle w:val="NoSpacing"/>
              <w:rPr>
                <w:lang w:val="en-GB"/>
              </w:rPr>
            </w:pPr>
          </w:p>
          <w:p w14:paraId="5616CACB" w14:textId="77777777" w:rsidR="00EF295B" w:rsidRPr="009217DB" w:rsidRDefault="00EF295B" w:rsidP="00EF295B">
            <w:pPr>
              <w:pStyle w:val="NoSpacing"/>
              <w:rPr>
                <w:lang w:val="en-GB"/>
              </w:rPr>
            </w:pPr>
            <w:r w:rsidRPr="009217DB">
              <w:rPr>
                <w:b/>
                <w:bCs/>
                <w:lang w:val="en-GB"/>
              </w:rPr>
              <w:t>Concepts:</w:t>
            </w:r>
          </w:p>
          <w:p w14:paraId="436EBBE4" w14:textId="77777777" w:rsidR="00EF295B" w:rsidRPr="009217DB" w:rsidRDefault="00EF295B" w:rsidP="00EF295B">
            <w:pPr>
              <w:pStyle w:val="NoSpacing"/>
              <w:rPr>
                <w:lang w:val="en-GB"/>
              </w:rPr>
            </w:pPr>
            <w:r w:rsidRPr="009217DB">
              <w:rPr>
                <w:lang w:val="en-GB"/>
              </w:rPr>
              <w:t xml:space="preserve">On the basis of the International Classification of Crime for Statistical Purposes (ICCS), an operational definition of </w:t>
            </w:r>
            <w:r w:rsidRPr="009217DB">
              <w:rPr>
                <w:lang w:val="en-GB"/>
              </w:rPr>
              <w:lastRenderedPageBreak/>
              <w:t>physical and sexual harassment was developed.  While sexual harassment refers to behaviour with a sexual connotation that is suitable to intimidate their victims, physical harassment refers to all other harassing behaviours that can cause fear for physical integrity and/or emotional distress. For use in a survey, it is necessary to further operationalize the concept and to identify more precisely the set of behaviours and their circumstances to be considered as harassment. On the basis of past surveys, expert discussions and with the inputs from the network of UN-CTS National Focal Points</w:t>
            </w:r>
            <w:r w:rsidRPr="009217DB">
              <w:rPr>
                <w:vertAlign w:val="superscript"/>
                <w:lang w:val="en-GB"/>
              </w:rPr>
              <w:footnoteReference w:id="18"/>
            </w:r>
            <w:r w:rsidRPr="009217DB">
              <w:rPr>
                <w:lang w:val="en-GB"/>
              </w:rPr>
              <w:t>, a set of pertinent behaviours was identified and formulated for testing in a pilot survey module. The first tests of the survey module were carried out in 2019 in Nigeria and Saint Lucia and the revised survey module was included in a large representative household survey in Nigeria (sample 33,000 interviews) in June 2019, conducted by the National Bureau of Statistics of Nigeria. The module will also be included in a 2019 pilot survey conducted by the National Statistical Office of Mexico (INEGI) and in a full household survey in Saint Lucia in 2019.</w:t>
            </w:r>
          </w:p>
          <w:p w14:paraId="0A2AF41F" w14:textId="77777777" w:rsidR="00EF295B" w:rsidRPr="009217DB" w:rsidRDefault="00EF295B" w:rsidP="00EF295B">
            <w:pPr>
              <w:pStyle w:val="NoSpacing"/>
              <w:rPr>
                <w:lang w:val="en-GB"/>
              </w:rPr>
            </w:pPr>
          </w:p>
          <w:p w14:paraId="2CE3F805" w14:textId="77777777" w:rsidR="00EF295B" w:rsidRPr="009217DB" w:rsidRDefault="00EF295B" w:rsidP="00EF295B">
            <w:pPr>
              <w:pStyle w:val="NoSpacing"/>
              <w:rPr>
                <w:lang w:val="en-GB"/>
              </w:rPr>
            </w:pPr>
            <w:r w:rsidRPr="009217DB">
              <w:rPr>
                <w:lang w:val="en-GB"/>
              </w:rPr>
              <w:t xml:space="preserve">While the precise formulation and wording of the pertinent survey questions may need national customization, a core set of behaviours have been identified as forms of harassment exercised towards a person (see Annex A of the Methodology Development Narrative).  </w:t>
            </w:r>
          </w:p>
          <w:p w14:paraId="40AE987B" w14:textId="77777777" w:rsidR="00EF295B" w:rsidRPr="009217DB" w:rsidRDefault="00EF295B" w:rsidP="00EF295B">
            <w:pPr>
              <w:pStyle w:val="NoSpacing"/>
              <w:rPr>
                <w:lang w:val="en-GB"/>
              </w:rPr>
            </w:pPr>
          </w:p>
          <w:p w14:paraId="051C7729" w14:textId="77777777" w:rsidR="00EF295B" w:rsidRPr="009217DB" w:rsidRDefault="00EF295B" w:rsidP="00EF295B">
            <w:pPr>
              <w:pStyle w:val="NoSpacing"/>
              <w:rPr>
                <w:lang w:val="en-GB"/>
              </w:rPr>
            </w:pPr>
            <w:r w:rsidRPr="009217DB">
              <w:rPr>
                <w:b/>
                <w:bCs/>
                <w:lang w:val="en-GB"/>
              </w:rPr>
              <w:t>Comments and limitations:</w:t>
            </w:r>
          </w:p>
          <w:p w14:paraId="30141685" w14:textId="77777777" w:rsidR="00EF295B" w:rsidRPr="009217DB" w:rsidRDefault="00EF295B" w:rsidP="00EF295B">
            <w:pPr>
              <w:pStyle w:val="NoSpacing"/>
              <w:rPr>
                <w:lang w:val="en-GB"/>
              </w:rPr>
            </w:pPr>
            <w:r w:rsidRPr="009217DB">
              <w:rPr>
                <w:lang w:val="en-GB"/>
              </w:rPr>
              <w:t xml:space="preserve">Like other experience-based indicators on victimization, the indicator reflects the experience from the perspective of the victim. As such, the response provided by the victims reflects their experience as well as their subjective feeling of victimization, irrespective of whether actual harm was intended or not. The subjective feeling of victimization is an important component of safety and security across space and time (for example, in cities or in the domestic sphere) and a higher prevalence of experienced physical or sexual harassment indicates a negative environment that warrants appropriate responses and interventions. </w:t>
            </w:r>
          </w:p>
          <w:p w14:paraId="0DB0AFC1" w14:textId="77777777" w:rsidR="00EF295B" w:rsidRPr="009217DB" w:rsidRDefault="00EF295B" w:rsidP="00EF295B">
            <w:pPr>
              <w:pStyle w:val="NoSpacing"/>
              <w:rPr>
                <w:lang w:val="en-GB"/>
              </w:rPr>
            </w:pPr>
            <w:r w:rsidRPr="009217DB">
              <w:rPr>
                <w:lang w:val="en-GB"/>
              </w:rPr>
              <w:t>Like other survey-based indicators, the scope of the indicator also relies on the design and sampling strategy of the survey. For example, most surveys set a low age-limit for practical and ethical reasons (e.g. 18 years and older), which means that data are representative for youth under 18 years.</w:t>
            </w:r>
            <w:r w:rsidRPr="009217DB">
              <w:rPr>
                <w:vertAlign w:val="superscript"/>
                <w:lang w:val="en-GB"/>
              </w:rPr>
              <w:footnoteReference w:id="19"/>
            </w:r>
            <w:r w:rsidRPr="009217DB">
              <w:rPr>
                <w:lang w:val="en-GB"/>
              </w:rPr>
              <w:t xml:space="preserve"> Harassment specifically linked to disability requires relatively large sample sizes in order to obtain a sufficiently large number of disabled persons in the sample.</w:t>
            </w:r>
          </w:p>
          <w:p w14:paraId="4E5344DF" w14:textId="77777777" w:rsidR="00EF295B" w:rsidRPr="009217DB" w:rsidRDefault="00EF295B" w:rsidP="00EF295B">
            <w:pPr>
              <w:pStyle w:val="NoSpacing"/>
              <w:rPr>
                <w:lang w:val="en-GB"/>
              </w:rPr>
            </w:pPr>
          </w:p>
          <w:p w14:paraId="6B85FCF8" w14:textId="77777777" w:rsidR="00EF295B" w:rsidRPr="009217DB" w:rsidRDefault="00EF295B" w:rsidP="00EF295B">
            <w:pPr>
              <w:pStyle w:val="NoSpacing"/>
              <w:rPr>
                <w:lang w:val="en-GB"/>
              </w:rPr>
            </w:pPr>
            <w:r w:rsidRPr="009217DB">
              <w:rPr>
                <w:lang w:val="en-GB"/>
              </w:rPr>
              <w:t xml:space="preserve">The same behaviour can have different meanings and therefore have a different impact across cultural contexts and population groups. For this reason, the selection of ‘harassment’ behaviours has been made also with the view of identifying situations of harassment that can be perceived as such across different social and cultural contexts. </w:t>
            </w:r>
          </w:p>
          <w:p w14:paraId="0E46ADC2" w14:textId="77777777" w:rsidR="00EF295B" w:rsidRPr="009217DB" w:rsidRDefault="00EF295B" w:rsidP="00EF295B">
            <w:pPr>
              <w:pStyle w:val="NoSpacing"/>
              <w:rPr>
                <w:b/>
                <w:bCs/>
                <w:lang w:val="en-GB"/>
              </w:rPr>
            </w:pPr>
          </w:p>
          <w:p w14:paraId="4884A219" w14:textId="77777777" w:rsidR="00EF295B" w:rsidRPr="009217DB" w:rsidRDefault="00EF295B" w:rsidP="00EF295B">
            <w:pPr>
              <w:pStyle w:val="NoSpacing"/>
              <w:rPr>
                <w:lang w:val="en-GB"/>
              </w:rPr>
            </w:pPr>
            <w:r w:rsidRPr="009217DB">
              <w:rPr>
                <w:b/>
                <w:bCs/>
                <w:lang w:val="en-GB"/>
              </w:rPr>
              <w:t>Computation Method:</w:t>
            </w:r>
          </w:p>
          <w:p w14:paraId="234B82E2" w14:textId="77777777" w:rsidR="00EF295B" w:rsidRPr="009217DB" w:rsidRDefault="00EF295B" w:rsidP="00EF295B">
            <w:pPr>
              <w:pStyle w:val="NoSpacing"/>
              <w:rPr>
                <w:lang w:val="en-GB"/>
              </w:rPr>
            </w:pPr>
            <w:r w:rsidRPr="009217DB">
              <w:rPr>
                <w:lang w:val="en-GB"/>
              </w:rPr>
              <w:t>Number of persons who experienced a form of physical harassment and/or sexual harassment, divided by the total population. The result would be multiplied by 100.</w:t>
            </w:r>
          </w:p>
          <w:p w14:paraId="22E8DDDD" w14:textId="77777777" w:rsidR="00EF295B" w:rsidRPr="009217DB" w:rsidRDefault="00EF295B" w:rsidP="00EF295B">
            <w:pPr>
              <w:pStyle w:val="NoSpacing"/>
              <w:rPr>
                <w:lang w:val="en-GB"/>
              </w:rPr>
            </w:pPr>
          </w:p>
          <w:p w14:paraId="5A941EE1" w14:textId="77777777" w:rsidR="00EF295B" w:rsidRPr="009217DB" w:rsidRDefault="00EF295B" w:rsidP="00EF295B">
            <w:pPr>
              <w:pStyle w:val="NoSpacing"/>
              <w:rPr>
                <w:lang w:val="en-GB"/>
              </w:rPr>
            </w:pPr>
            <w:r w:rsidRPr="009217DB">
              <w:rPr>
                <w:lang w:val="en-GB"/>
              </w:rPr>
              <w:t>This is a survey-based indicator that measures the experience of any of a set of behaviours that are collectively referred to as physical harassment and sexual harassment. Questions on physical and sexual harassment are to be measured separately. The results can then be combined. Both numerator and denominator are measured through sample surveys of the general population.</w:t>
            </w:r>
          </w:p>
          <w:p w14:paraId="7F719565" w14:textId="77777777" w:rsidR="00EF295B" w:rsidRPr="009217DB" w:rsidRDefault="00EF295B" w:rsidP="00EF295B">
            <w:pPr>
              <w:pStyle w:val="NoSpacing"/>
              <w:rPr>
                <w:lang w:val="en-GB"/>
              </w:rPr>
            </w:pPr>
            <w:r w:rsidRPr="009217DB">
              <w:rPr>
                <w:lang w:val="en-GB"/>
              </w:rPr>
              <w:t>The computation of this indicator requires the inclusion of a short module of eight questions in a representative population survey. The following table illustrates the content of the questions needed to compute the indicator.</w:t>
            </w:r>
          </w:p>
          <w:p w14:paraId="437D46F7" w14:textId="77777777" w:rsidR="00EF295B" w:rsidRPr="009217DB" w:rsidRDefault="00EF295B" w:rsidP="00EF295B">
            <w:pPr>
              <w:pStyle w:val="NoSpacing"/>
              <w:rPr>
                <w:lang w:val="en-GB"/>
              </w:rPr>
            </w:pPr>
          </w:p>
          <w:tbl>
            <w:tblPr>
              <w:tblStyle w:val="TableGrid"/>
              <w:tblW w:w="9209" w:type="dxa"/>
              <w:tblLook w:val="04A0" w:firstRow="1" w:lastRow="0" w:firstColumn="1" w:lastColumn="0" w:noHBand="0" w:noVBand="1"/>
            </w:tblPr>
            <w:tblGrid>
              <w:gridCol w:w="5353"/>
              <w:gridCol w:w="3856"/>
            </w:tblGrid>
            <w:tr w:rsidR="00EF295B" w:rsidRPr="009217DB" w14:paraId="3DA24F63" w14:textId="77777777" w:rsidTr="00921DAB">
              <w:tc>
                <w:tcPr>
                  <w:tcW w:w="5353" w:type="dxa"/>
                  <w:tcBorders>
                    <w:top w:val="single" w:sz="4" w:space="0" w:color="000000"/>
                    <w:left w:val="single" w:sz="4" w:space="0" w:color="000000"/>
                    <w:bottom w:val="single" w:sz="4" w:space="0" w:color="000000"/>
                    <w:right w:val="single" w:sz="4" w:space="0" w:color="000000"/>
                  </w:tcBorders>
                  <w:shd w:val="pct25" w:color="auto" w:fill="auto"/>
                  <w:hideMark/>
                </w:tcPr>
                <w:p w14:paraId="38185490" w14:textId="77777777" w:rsidR="00EF295B" w:rsidRPr="009217DB" w:rsidRDefault="00EF295B" w:rsidP="00EF295B">
                  <w:pPr>
                    <w:pStyle w:val="NoSpacing"/>
                    <w:rPr>
                      <w:b/>
                      <w:bCs/>
                      <w:lang w:val="en-GB"/>
                    </w:rPr>
                  </w:pPr>
                  <w:r w:rsidRPr="009217DB">
                    <w:rPr>
                      <w:b/>
                      <w:bCs/>
                      <w:lang w:val="en-GB"/>
                    </w:rPr>
                    <w:t>Content of question</w:t>
                  </w:r>
                </w:p>
              </w:tc>
              <w:tc>
                <w:tcPr>
                  <w:tcW w:w="3856" w:type="dxa"/>
                  <w:tcBorders>
                    <w:top w:val="single" w:sz="4" w:space="0" w:color="000000"/>
                    <w:left w:val="single" w:sz="4" w:space="0" w:color="000000"/>
                    <w:bottom w:val="single" w:sz="4" w:space="0" w:color="000000"/>
                    <w:right w:val="single" w:sz="4" w:space="0" w:color="000000"/>
                  </w:tcBorders>
                  <w:shd w:val="pct25" w:color="auto" w:fill="auto"/>
                  <w:hideMark/>
                </w:tcPr>
                <w:p w14:paraId="1870E232" w14:textId="77777777" w:rsidR="00EF295B" w:rsidRPr="009217DB" w:rsidRDefault="00EF295B" w:rsidP="00EF295B">
                  <w:pPr>
                    <w:pStyle w:val="NoSpacing"/>
                    <w:rPr>
                      <w:b/>
                      <w:bCs/>
                      <w:lang w:val="en-GB"/>
                    </w:rPr>
                  </w:pPr>
                  <w:r w:rsidRPr="009217DB">
                    <w:rPr>
                      <w:b/>
                      <w:bCs/>
                      <w:lang w:val="en-GB"/>
                    </w:rPr>
                    <w:t>Instruction</w:t>
                  </w:r>
                </w:p>
              </w:tc>
            </w:tr>
            <w:tr w:rsidR="00EF295B" w:rsidRPr="009217DB" w14:paraId="02847FF2"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hideMark/>
                </w:tcPr>
                <w:p w14:paraId="16CC5DC9" w14:textId="77777777" w:rsidR="00EF295B" w:rsidRPr="009217DB" w:rsidRDefault="00EF295B" w:rsidP="00EF295B">
                  <w:pPr>
                    <w:pStyle w:val="NoSpacing"/>
                    <w:numPr>
                      <w:ilvl w:val="0"/>
                      <w:numId w:val="90"/>
                    </w:numPr>
                    <w:rPr>
                      <w:lang w:val="en-GB"/>
                    </w:rPr>
                  </w:pPr>
                  <w:r w:rsidRPr="009217DB">
                    <w:rPr>
                      <w:lang w:val="en-GB"/>
                    </w:rPr>
                    <w:t>Experience of sexual harassment in the past three years, by type of harassment</w:t>
                  </w:r>
                </w:p>
              </w:tc>
              <w:tc>
                <w:tcPr>
                  <w:tcW w:w="3856" w:type="dxa"/>
                  <w:tcBorders>
                    <w:top w:val="single" w:sz="4" w:space="0" w:color="000000"/>
                    <w:left w:val="single" w:sz="4" w:space="0" w:color="000000"/>
                    <w:bottom w:val="single" w:sz="4" w:space="0" w:color="000000"/>
                    <w:right w:val="single" w:sz="4" w:space="0" w:color="000000"/>
                  </w:tcBorders>
                  <w:shd w:val="pct10" w:color="auto" w:fill="auto"/>
                  <w:hideMark/>
                </w:tcPr>
                <w:p w14:paraId="3936B32C" w14:textId="77777777" w:rsidR="00EF295B" w:rsidRPr="009217DB" w:rsidRDefault="00EF295B" w:rsidP="00EF295B">
                  <w:pPr>
                    <w:pStyle w:val="NoSpacing"/>
                    <w:rPr>
                      <w:lang w:val="en-GB"/>
                    </w:rPr>
                  </w:pPr>
                  <w:r w:rsidRPr="009217DB">
                    <w:rPr>
                      <w:lang w:val="en-GB"/>
                    </w:rPr>
                    <w:t>If no sexual harassment was experienced, skip to 5, otherwise go to 2.</w:t>
                  </w:r>
                </w:p>
              </w:tc>
            </w:tr>
            <w:tr w:rsidR="00EF295B" w:rsidRPr="009217DB" w14:paraId="146349FD"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hideMark/>
                </w:tcPr>
                <w:p w14:paraId="302D1C0A" w14:textId="77777777" w:rsidR="00EF295B" w:rsidRPr="009217DB" w:rsidRDefault="00EF295B" w:rsidP="00EF295B">
                  <w:pPr>
                    <w:pStyle w:val="NoSpacing"/>
                    <w:numPr>
                      <w:ilvl w:val="0"/>
                      <w:numId w:val="90"/>
                    </w:numPr>
                    <w:rPr>
                      <w:lang w:val="en-GB"/>
                    </w:rPr>
                  </w:pPr>
                  <w:r w:rsidRPr="009217DB">
                    <w:rPr>
                      <w:lang w:val="en-GB"/>
                    </w:rPr>
                    <w:t>Most recent type of harassment experienced</w:t>
                  </w:r>
                </w:p>
              </w:tc>
              <w:tc>
                <w:tcPr>
                  <w:tcW w:w="3856" w:type="dxa"/>
                  <w:tcBorders>
                    <w:top w:val="single" w:sz="4" w:space="0" w:color="000000"/>
                    <w:left w:val="single" w:sz="4" w:space="0" w:color="000000"/>
                    <w:bottom w:val="single" w:sz="4" w:space="0" w:color="000000"/>
                    <w:right w:val="single" w:sz="4" w:space="0" w:color="000000"/>
                  </w:tcBorders>
                  <w:shd w:val="pct10" w:color="auto" w:fill="auto"/>
                  <w:hideMark/>
                </w:tcPr>
                <w:p w14:paraId="4D997D28" w14:textId="77777777" w:rsidR="00EF295B" w:rsidRPr="009217DB" w:rsidRDefault="00EF295B" w:rsidP="00EF295B">
                  <w:pPr>
                    <w:pStyle w:val="NoSpacing"/>
                    <w:rPr>
                      <w:lang w:val="en-GB"/>
                    </w:rPr>
                  </w:pPr>
                  <w:r w:rsidRPr="009217DB">
                    <w:rPr>
                      <w:lang w:val="en-GB"/>
                    </w:rPr>
                    <w:t>Continue with 3.</w:t>
                  </w:r>
                </w:p>
              </w:tc>
            </w:tr>
            <w:tr w:rsidR="00EF295B" w:rsidRPr="009217DB" w14:paraId="17C4C1C7"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hideMark/>
                </w:tcPr>
                <w:p w14:paraId="401A3C50" w14:textId="77777777" w:rsidR="00EF295B" w:rsidRPr="009217DB" w:rsidRDefault="00EF295B" w:rsidP="00EF295B">
                  <w:pPr>
                    <w:pStyle w:val="NoSpacing"/>
                    <w:numPr>
                      <w:ilvl w:val="0"/>
                      <w:numId w:val="90"/>
                    </w:numPr>
                    <w:rPr>
                      <w:lang w:val="en-GB"/>
                    </w:rPr>
                  </w:pPr>
                  <w:r w:rsidRPr="009217DB">
                    <w:rPr>
                      <w:lang w:val="en-GB"/>
                    </w:rPr>
                    <w:t>Time period of last harassment</w:t>
                  </w:r>
                </w:p>
              </w:tc>
              <w:tc>
                <w:tcPr>
                  <w:tcW w:w="3856" w:type="dxa"/>
                  <w:tcBorders>
                    <w:top w:val="single" w:sz="4" w:space="0" w:color="000000"/>
                    <w:left w:val="single" w:sz="4" w:space="0" w:color="000000"/>
                    <w:bottom w:val="single" w:sz="4" w:space="0" w:color="000000"/>
                    <w:right w:val="single" w:sz="4" w:space="0" w:color="000000"/>
                  </w:tcBorders>
                  <w:shd w:val="pct10" w:color="auto" w:fill="auto"/>
                  <w:hideMark/>
                </w:tcPr>
                <w:p w14:paraId="498894E4" w14:textId="77777777" w:rsidR="00EF295B" w:rsidRPr="009217DB" w:rsidRDefault="00EF295B" w:rsidP="00EF295B">
                  <w:pPr>
                    <w:pStyle w:val="NoSpacing"/>
                    <w:rPr>
                      <w:lang w:val="en-GB"/>
                    </w:rPr>
                  </w:pPr>
                  <w:r w:rsidRPr="009217DB">
                    <w:rPr>
                      <w:lang w:val="en-GB"/>
                    </w:rPr>
                    <w:t>Continue with 4.</w:t>
                  </w:r>
                </w:p>
              </w:tc>
            </w:tr>
            <w:tr w:rsidR="00EF295B" w:rsidRPr="009217DB" w14:paraId="434EEC5C"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hideMark/>
                </w:tcPr>
                <w:p w14:paraId="724AA5B0" w14:textId="77777777" w:rsidR="00EF295B" w:rsidRPr="009217DB" w:rsidRDefault="00EF295B" w:rsidP="00EF295B">
                  <w:pPr>
                    <w:pStyle w:val="NoSpacing"/>
                    <w:numPr>
                      <w:ilvl w:val="0"/>
                      <w:numId w:val="90"/>
                    </w:numPr>
                    <w:rPr>
                      <w:lang w:val="en-GB"/>
                    </w:rPr>
                  </w:pPr>
                  <w:r w:rsidRPr="009217DB">
                    <w:rPr>
                      <w:lang w:val="en-GB"/>
                    </w:rPr>
                    <w:t>Place of last harassment, by type of location</w:t>
                  </w:r>
                </w:p>
              </w:tc>
              <w:tc>
                <w:tcPr>
                  <w:tcW w:w="3856" w:type="dxa"/>
                  <w:tcBorders>
                    <w:top w:val="single" w:sz="4" w:space="0" w:color="000000"/>
                    <w:left w:val="single" w:sz="4" w:space="0" w:color="000000"/>
                    <w:bottom w:val="single" w:sz="4" w:space="0" w:color="000000"/>
                    <w:right w:val="single" w:sz="4" w:space="0" w:color="000000"/>
                  </w:tcBorders>
                  <w:shd w:val="pct10" w:color="auto" w:fill="auto"/>
                  <w:hideMark/>
                </w:tcPr>
                <w:p w14:paraId="34C34C32" w14:textId="77777777" w:rsidR="00EF295B" w:rsidRPr="009217DB" w:rsidRDefault="00EF295B" w:rsidP="00EF295B">
                  <w:pPr>
                    <w:pStyle w:val="NoSpacing"/>
                    <w:rPr>
                      <w:lang w:val="en-GB"/>
                    </w:rPr>
                  </w:pPr>
                  <w:r w:rsidRPr="009217DB">
                    <w:rPr>
                      <w:lang w:val="en-GB"/>
                    </w:rPr>
                    <w:t>Go to 5.</w:t>
                  </w:r>
                </w:p>
              </w:tc>
            </w:tr>
            <w:tr w:rsidR="00EF295B" w:rsidRPr="009217DB" w14:paraId="2DC3D2F0"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tcPr>
                <w:p w14:paraId="45CE693A" w14:textId="77777777" w:rsidR="00EF295B" w:rsidRPr="009217DB" w:rsidRDefault="00EF295B" w:rsidP="00EF295B">
                  <w:pPr>
                    <w:pStyle w:val="NoSpacing"/>
                    <w:numPr>
                      <w:ilvl w:val="0"/>
                      <w:numId w:val="90"/>
                    </w:numPr>
                    <w:rPr>
                      <w:lang w:val="en-GB"/>
                    </w:rPr>
                  </w:pPr>
                  <w:r w:rsidRPr="009217DB">
                    <w:rPr>
                      <w:lang w:val="en-GB"/>
                    </w:rPr>
                    <w:t>Experience of physical harassment in the past three years, by type of harassment</w:t>
                  </w:r>
                </w:p>
              </w:tc>
              <w:tc>
                <w:tcPr>
                  <w:tcW w:w="3856" w:type="dxa"/>
                  <w:tcBorders>
                    <w:top w:val="single" w:sz="4" w:space="0" w:color="000000"/>
                    <w:left w:val="single" w:sz="4" w:space="0" w:color="000000"/>
                    <w:bottom w:val="single" w:sz="4" w:space="0" w:color="000000"/>
                    <w:right w:val="single" w:sz="4" w:space="0" w:color="000000"/>
                  </w:tcBorders>
                  <w:shd w:val="pct10" w:color="auto" w:fill="auto"/>
                </w:tcPr>
                <w:p w14:paraId="1AA7ADD0" w14:textId="77777777" w:rsidR="00EF295B" w:rsidRPr="009217DB" w:rsidRDefault="00EF295B" w:rsidP="00EF295B">
                  <w:pPr>
                    <w:pStyle w:val="NoSpacing"/>
                    <w:rPr>
                      <w:lang w:val="en-GB"/>
                    </w:rPr>
                  </w:pPr>
                  <w:r w:rsidRPr="009217DB">
                    <w:rPr>
                      <w:lang w:val="en-GB"/>
                    </w:rPr>
                    <w:t>If no physical harassment was experienced, skip to END, otherwise go to 6.</w:t>
                  </w:r>
                </w:p>
              </w:tc>
            </w:tr>
            <w:tr w:rsidR="00EF295B" w:rsidRPr="009217DB" w14:paraId="6B0A1C96"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tcPr>
                <w:p w14:paraId="4C801AE0" w14:textId="77777777" w:rsidR="00EF295B" w:rsidRPr="009217DB" w:rsidRDefault="00EF295B" w:rsidP="00EF295B">
                  <w:pPr>
                    <w:pStyle w:val="NoSpacing"/>
                    <w:numPr>
                      <w:ilvl w:val="0"/>
                      <w:numId w:val="90"/>
                    </w:numPr>
                    <w:rPr>
                      <w:lang w:val="en-GB"/>
                    </w:rPr>
                  </w:pPr>
                  <w:r w:rsidRPr="009217DB">
                    <w:rPr>
                      <w:lang w:val="en-GB"/>
                    </w:rPr>
                    <w:t>Most recent type of harassment experienced</w:t>
                  </w:r>
                </w:p>
              </w:tc>
              <w:tc>
                <w:tcPr>
                  <w:tcW w:w="3856" w:type="dxa"/>
                  <w:tcBorders>
                    <w:top w:val="single" w:sz="4" w:space="0" w:color="000000"/>
                    <w:left w:val="single" w:sz="4" w:space="0" w:color="000000"/>
                    <w:bottom w:val="single" w:sz="4" w:space="0" w:color="000000"/>
                    <w:right w:val="single" w:sz="4" w:space="0" w:color="000000"/>
                  </w:tcBorders>
                  <w:shd w:val="pct10" w:color="auto" w:fill="auto"/>
                </w:tcPr>
                <w:p w14:paraId="6993ED79" w14:textId="77777777" w:rsidR="00EF295B" w:rsidRPr="009217DB" w:rsidRDefault="00EF295B" w:rsidP="00EF295B">
                  <w:pPr>
                    <w:pStyle w:val="NoSpacing"/>
                    <w:rPr>
                      <w:lang w:val="en-GB"/>
                    </w:rPr>
                  </w:pPr>
                  <w:r w:rsidRPr="009217DB">
                    <w:rPr>
                      <w:lang w:val="en-GB"/>
                    </w:rPr>
                    <w:t>Continue with 7.</w:t>
                  </w:r>
                </w:p>
              </w:tc>
            </w:tr>
            <w:tr w:rsidR="00EF295B" w:rsidRPr="009217DB" w14:paraId="58C9587D"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tcPr>
                <w:p w14:paraId="7DF79A54" w14:textId="77777777" w:rsidR="00EF295B" w:rsidRPr="009217DB" w:rsidRDefault="00EF295B" w:rsidP="00EF295B">
                  <w:pPr>
                    <w:pStyle w:val="NoSpacing"/>
                    <w:numPr>
                      <w:ilvl w:val="0"/>
                      <w:numId w:val="90"/>
                    </w:numPr>
                    <w:rPr>
                      <w:lang w:val="en-GB"/>
                    </w:rPr>
                  </w:pPr>
                  <w:r w:rsidRPr="009217DB">
                    <w:rPr>
                      <w:lang w:val="en-GB"/>
                    </w:rPr>
                    <w:t>Time period of last harassment</w:t>
                  </w:r>
                </w:p>
              </w:tc>
              <w:tc>
                <w:tcPr>
                  <w:tcW w:w="3856" w:type="dxa"/>
                  <w:tcBorders>
                    <w:top w:val="single" w:sz="4" w:space="0" w:color="000000"/>
                    <w:left w:val="single" w:sz="4" w:space="0" w:color="000000"/>
                    <w:bottom w:val="single" w:sz="4" w:space="0" w:color="000000"/>
                    <w:right w:val="single" w:sz="4" w:space="0" w:color="000000"/>
                  </w:tcBorders>
                  <w:shd w:val="pct10" w:color="auto" w:fill="auto"/>
                </w:tcPr>
                <w:p w14:paraId="1EE881D4" w14:textId="77777777" w:rsidR="00EF295B" w:rsidRPr="009217DB" w:rsidRDefault="00EF295B" w:rsidP="00EF295B">
                  <w:pPr>
                    <w:pStyle w:val="NoSpacing"/>
                    <w:rPr>
                      <w:lang w:val="en-GB"/>
                    </w:rPr>
                  </w:pPr>
                  <w:r w:rsidRPr="009217DB">
                    <w:rPr>
                      <w:lang w:val="en-GB"/>
                    </w:rPr>
                    <w:t>Continue with 8.</w:t>
                  </w:r>
                </w:p>
              </w:tc>
            </w:tr>
            <w:tr w:rsidR="00EF295B" w:rsidRPr="009217DB" w14:paraId="3FACDF2C" w14:textId="77777777" w:rsidTr="00921DAB">
              <w:tc>
                <w:tcPr>
                  <w:tcW w:w="5353" w:type="dxa"/>
                  <w:tcBorders>
                    <w:top w:val="single" w:sz="4" w:space="0" w:color="000000"/>
                    <w:left w:val="single" w:sz="4" w:space="0" w:color="000000"/>
                    <w:bottom w:val="single" w:sz="4" w:space="0" w:color="000000"/>
                    <w:right w:val="single" w:sz="4" w:space="0" w:color="000000"/>
                  </w:tcBorders>
                  <w:shd w:val="pct10" w:color="auto" w:fill="auto"/>
                </w:tcPr>
                <w:p w14:paraId="3F548F46" w14:textId="77777777" w:rsidR="00EF295B" w:rsidRPr="009217DB" w:rsidRDefault="00EF295B" w:rsidP="00EF295B">
                  <w:pPr>
                    <w:pStyle w:val="NoSpacing"/>
                    <w:numPr>
                      <w:ilvl w:val="0"/>
                      <w:numId w:val="90"/>
                    </w:numPr>
                    <w:rPr>
                      <w:lang w:val="en-GB"/>
                    </w:rPr>
                  </w:pPr>
                  <w:r w:rsidRPr="009217DB">
                    <w:rPr>
                      <w:lang w:val="en-GB"/>
                    </w:rPr>
                    <w:t>Place of last harassment, by type of location</w:t>
                  </w:r>
                </w:p>
              </w:tc>
              <w:tc>
                <w:tcPr>
                  <w:tcW w:w="3856" w:type="dxa"/>
                  <w:tcBorders>
                    <w:top w:val="single" w:sz="4" w:space="0" w:color="000000"/>
                    <w:left w:val="single" w:sz="4" w:space="0" w:color="000000"/>
                    <w:bottom w:val="single" w:sz="4" w:space="0" w:color="000000"/>
                    <w:right w:val="single" w:sz="4" w:space="0" w:color="000000"/>
                  </w:tcBorders>
                  <w:shd w:val="pct10" w:color="auto" w:fill="auto"/>
                </w:tcPr>
                <w:p w14:paraId="2A093E6F" w14:textId="77777777" w:rsidR="00EF295B" w:rsidRPr="009217DB" w:rsidRDefault="00EF295B" w:rsidP="00EF295B">
                  <w:pPr>
                    <w:pStyle w:val="NoSpacing"/>
                    <w:rPr>
                      <w:lang w:val="en-GB"/>
                    </w:rPr>
                  </w:pPr>
                  <w:r w:rsidRPr="009217DB">
                    <w:rPr>
                      <w:lang w:val="en-GB"/>
                    </w:rPr>
                    <w:t>Go to END.</w:t>
                  </w:r>
                </w:p>
              </w:tc>
            </w:tr>
          </w:tbl>
          <w:p w14:paraId="65FA7353" w14:textId="77777777" w:rsidR="00EF295B" w:rsidRPr="009217DB" w:rsidRDefault="00EF295B" w:rsidP="00EF295B">
            <w:pPr>
              <w:pStyle w:val="NoSpacing"/>
              <w:rPr>
                <w:lang w:val="en-GB"/>
              </w:rPr>
            </w:pPr>
          </w:p>
          <w:p w14:paraId="542716E9" w14:textId="77777777" w:rsidR="00EF295B" w:rsidRPr="009217DB" w:rsidRDefault="00EF295B" w:rsidP="00EF295B">
            <w:pPr>
              <w:pStyle w:val="NoSpacing"/>
              <w:rPr>
                <w:lang w:val="en-GB"/>
              </w:rPr>
            </w:pPr>
            <w:r w:rsidRPr="009217DB">
              <w:rPr>
                <w:lang w:val="en-GB"/>
              </w:rPr>
              <w:t>Based on the responses to questions, the following indicators can be computed:</w:t>
            </w:r>
          </w:p>
          <w:p w14:paraId="7AA6C7BA" w14:textId="77777777" w:rsidR="00EF295B" w:rsidRPr="009217DB" w:rsidRDefault="00EF295B" w:rsidP="00EF295B">
            <w:pPr>
              <w:pStyle w:val="NoSpacing"/>
              <w:rPr>
                <w:lang w:val="en-GB"/>
              </w:rPr>
            </w:pPr>
          </w:p>
          <w:p w14:paraId="6B4917AA" w14:textId="77777777" w:rsidR="00EF295B" w:rsidRPr="009217DB" w:rsidRDefault="00EF295B" w:rsidP="00EF295B">
            <w:pPr>
              <w:pStyle w:val="NoSpacing"/>
              <w:rPr>
                <w:lang w:val="en-GB"/>
              </w:rPr>
            </w:pPr>
            <w:r w:rsidRPr="009217DB">
              <w:rPr>
                <w:u w:val="single"/>
                <w:lang w:val="en-GB"/>
              </w:rPr>
              <w:t>Prevalence rate of sexual harassment</w:t>
            </w:r>
            <w:r w:rsidRPr="009217DB">
              <w:rPr>
                <w:lang w:val="en-GB"/>
              </w:rPr>
              <w:t>: Number of persons who experienced at least one form of sexual harassment, divided by the total population. The result would be multiplied by 100.</w:t>
            </w:r>
          </w:p>
          <w:p w14:paraId="6E1DC094" w14:textId="77777777" w:rsidR="00EF295B" w:rsidRPr="009217DB" w:rsidRDefault="00EF295B" w:rsidP="00EF295B">
            <w:pPr>
              <w:pStyle w:val="NoSpacing"/>
              <w:rPr>
                <w:lang w:val="en-GB"/>
              </w:rPr>
            </w:pPr>
            <w:r w:rsidRPr="009217DB">
              <w:rPr>
                <w:u w:val="single"/>
                <w:lang w:val="en-GB"/>
              </w:rPr>
              <w:t>Prevalence rate of physical harassment:</w:t>
            </w:r>
            <w:r w:rsidRPr="009217DB">
              <w:rPr>
                <w:lang w:val="en-GB"/>
              </w:rPr>
              <w:t xml:space="preserve"> Number of persons who experienced at least </w:t>
            </w:r>
            <w:proofErr w:type="gramStart"/>
            <w:r w:rsidRPr="009217DB">
              <w:rPr>
                <w:lang w:val="en-GB"/>
              </w:rPr>
              <w:t>one  form</w:t>
            </w:r>
            <w:proofErr w:type="gramEnd"/>
            <w:r w:rsidRPr="009217DB">
              <w:rPr>
                <w:lang w:val="en-GB"/>
              </w:rPr>
              <w:t xml:space="preserve"> of physical harassment, divided by the total population. The result would be multiplied by 100.</w:t>
            </w:r>
          </w:p>
          <w:p w14:paraId="0671D64B" w14:textId="77777777" w:rsidR="00EF295B" w:rsidRPr="009217DB" w:rsidRDefault="00EF295B" w:rsidP="00EF295B">
            <w:pPr>
              <w:pStyle w:val="NoSpacing"/>
              <w:rPr>
                <w:lang w:val="en-GB"/>
              </w:rPr>
            </w:pPr>
            <w:r w:rsidRPr="009217DB">
              <w:rPr>
                <w:u w:val="single"/>
                <w:lang w:val="en-GB"/>
              </w:rPr>
              <w:t>Prevalence rate of physical or sexual harassment (SDG indicator 11.7.2):</w:t>
            </w:r>
            <w:r w:rsidRPr="009217DB">
              <w:rPr>
                <w:lang w:val="en-GB"/>
              </w:rPr>
              <w:t xml:space="preserve"> Number of persons who experienced either a form of sexual harassment or a form of physical harassment, divided by the total population. The result would be multiplied by 100.</w:t>
            </w:r>
          </w:p>
          <w:p w14:paraId="5836BDB5" w14:textId="77777777" w:rsidR="00EF295B" w:rsidRPr="009217DB" w:rsidRDefault="00EF295B" w:rsidP="00EF295B">
            <w:pPr>
              <w:pStyle w:val="NoSpacing"/>
            </w:pPr>
          </w:p>
        </w:tc>
        <w:tc>
          <w:tcPr>
            <w:tcW w:w="1174" w:type="dxa"/>
          </w:tcPr>
          <w:p w14:paraId="4718A703" w14:textId="77777777" w:rsidR="00EF295B" w:rsidRPr="00AA3356" w:rsidRDefault="00EF295B" w:rsidP="00EF295B">
            <w:pPr>
              <w:pStyle w:val="NoSpacing"/>
            </w:pPr>
            <w:r>
              <w:rPr>
                <w:lang w:eastAsia="en-GB"/>
              </w:rPr>
              <w:lastRenderedPageBreak/>
              <w:t>H</w:t>
            </w:r>
            <w:r w:rsidRPr="00DF3D34">
              <w:rPr>
                <w:lang w:eastAsia="en-GB"/>
              </w:rPr>
              <w:t>ousehold survey</w:t>
            </w:r>
          </w:p>
        </w:tc>
        <w:tc>
          <w:tcPr>
            <w:tcW w:w="818" w:type="dxa"/>
          </w:tcPr>
          <w:p w14:paraId="17CC0B43" w14:textId="77777777" w:rsidR="00EF295B" w:rsidRPr="00AA3356" w:rsidRDefault="00EF295B" w:rsidP="00EF295B">
            <w:pPr>
              <w:pStyle w:val="NoSpacing"/>
            </w:pPr>
            <w:r w:rsidRPr="0026459E">
              <w:rPr>
                <w:lang w:eastAsia="en-GB"/>
              </w:rPr>
              <w:t>National Statistical Offices (NSOs</w:t>
            </w:r>
          </w:p>
        </w:tc>
        <w:tc>
          <w:tcPr>
            <w:tcW w:w="812" w:type="dxa"/>
          </w:tcPr>
          <w:p w14:paraId="5E8DA488" w14:textId="5F465BA8" w:rsidR="00EF295B" w:rsidRPr="00BC6F10" w:rsidRDefault="00EF295B" w:rsidP="00EF295B">
            <w:pPr>
              <w:spacing w:line="276" w:lineRule="auto"/>
              <w:jc w:val="center"/>
            </w:pPr>
            <w:r w:rsidRPr="00BC6F10">
              <w:t>VAWS, BBS</w:t>
            </w:r>
          </w:p>
        </w:tc>
        <w:tc>
          <w:tcPr>
            <w:tcW w:w="1351" w:type="dxa"/>
          </w:tcPr>
          <w:p w14:paraId="7AEDD78F" w14:textId="77777777" w:rsidR="00EF295B" w:rsidRDefault="00EF295B" w:rsidP="00EF295B">
            <w:pPr>
              <w:spacing w:line="276" w:lineRule="auto"/>
              <w:jc w:val="center"/>
            </w:pPr>
            <w:r>
              <w:t>BBS</w:t>
            </w:r>
          </w:p>
          <w:p w14:paraId="11738735" w14:textId="77777777" w:rsidR="00EF295B" w:rsidRPr="00BC6F10" w:rsidRDefault="00EF295B" w:rsidP="00EF295B">
            <w:pPr>
              <w:spacing w:line="276" w:lineRule="auto"/>
              <w:jc w:val="center"/>
            </w:pPr>
            <w:r>
              <w:t>GBVS</w:t>
            </w:r>
          </w:p>
        </w:tc>
        <w:tc>
          <w:tcPr>
            <w:tcW w:w="1349" w:type="dxa"/>
          </w:tcPr>
          <w:p w14:paraId="1816B248"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39C22636" w14:textId="66897121"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Age: </w:t>
            </w:r>
            <w:r w:rsidR="00A47C3B">
              <w:rPr>
                <w:rFonts w:ascii="Tw Cen MT Condensed" w:hAnsi="Tw Cen MT Condensed"/>
                <w:sz w:val="20"/>
                <w:szCs w:val="20"/>
              </w:rPr>
              <w:t>0-15, 15-24, 25-64, 65 and above years</w:t>
            </w:r>
          </w:p>
          <w:p w14:paraId="6840A5FA" w14:textId="77777777" w:rsidR="00EF295B" w:rsidRDefault="00EF295B" w:rsidP="00EF295B">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 xml:space="preserve">Place of occurrence    </w:t>
            </w:r>
          </w:p>
          <w:p w14:paraId="132C6926" w14:textId="41C5D9BA" w:rsidR="00EF295B" w:rsidRDefault="00EF295B" w:rsidP="00EF295B">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Disability</w:t>
            </w:r>
            <w:r w:rsidR="00A47C3B">
              <w:rPr>
                <w:rFonts w:ascii="Tw Cen MT Condensed" w:hAnsi="Tw Cen MT Condensed"/>
                <w:sz w:val="20"/>
                <w:szCs w:val="20"/>
              </w:rPr>
              <w:t>: Disable/ Non Disable</w:t>
            </w:r>
          </w:p>
          <w:p w14:paraId="29CA9DEA" w14:textId="77777777" w:rsidR="00EF295B" w:rsidRDefault="00EF295B" w:rsidP="00EF295B">
            <w:pPr>
              <w:ind w:left="970" w:hanging="970"/>
              <w:jc w:val="both"/>
              <w:rPr>
                <w:color w:val="0070C0"/>
                <w:sz w:val="30"/>
                <w:szCs w:val="30"/>
              </w:rPr>
            </w:pPr>
          </w:p>
        </w:tc>
        <w:tc>
          <w:tcPr>
            <w:tcW w:w="1145" w:type="dxa"/>
          </w:tcPr>
          <w:p w14:paraId="5D18DBF1" w14:textId="77777777" w:rsidR="00EF295B" w:rsidRDefault="00EF295B" w:rsidP="00EF295B">
            <w:pPr>
              <w:ind w:left="970" w:hanging="970"/>
              <w:jc w:val="both"/>
              <w:rPr>
                <w:color w:val="0070C0"/>
                <w:sz w:val="30"/>
                <w:szCs w:val="30"/>
              </w:rPr>
            </w:pPr>
            <w:r w:rsidRPr="00BC6F10">
              <w:lastRenderedPageBreak/>
              <w:t>Triennial</w:t>
            </w:r>
          </w:p>
        </w:tc>
        <w:tc>
          <w:tcPr>
            <w:tcW w:w="922" w:type="dxa"/>
          </w:tcPr>
          <w:p w14:paraId="1DBAA6C3" w14:textId="77777777" w:rsidR="00EF295B" w:rsidRDefault="00EF295B" w:rsidP="00EF295B">
            <w:pPr>
              <w:ind w:left="970" w:hanging="970"/>
              <w:jc w:val="both"/>
              <w:rPr>
                <w:color w:val="0070C0"/>
                <w:sz w:val="30"/>
                <w:szCs w:val="30"/>
              </w:rPr>
            </w:pPr>
            <w:r>
              <w:t>Group 1</w:t>
            </w:r>
          </w:p>
        </w:tc>
        <w:tc>
          <w:tcPr>
            <w:tcW w:w="644" w:type="dxa"/>
          </w:tcPr>
          <w:p w14:paraId="251145EF" w14:textId="77777777" w:rsidR="00EF295B" w:rsidRDefault="00EF295B" w:rsidP="00EF295B">
            <w:pPr>
              <w:pStyle w:val="NoSpacing"/>
            </w:pPr>
            <w:r>
              <w:t>-</w:t>
            </w:r>
          </w:p>
          <w:p w14:paraId="22B49647" w14:textId="77777777" w:rsidR="00EF295B" w:rsidRDefault="00EF295B" w:rsidP="00EF295B">
            <w:pPr>
              <w:pStyle w:val="NoSpacing"/>
            </w:pPr>
          </w:p>
          <w:p w14:paraId="04F5DAF8" w14:textId="77777777" w:rsidR="00EF295B" w:rsidRDefault="00EF295B" w:rsidP="00EF295B">
            <w:pPr>
              <w:pStyle w:val="NoSpacing"/>
            </w:pPr>
            <w:r>
              <w:t>1</w:t>
            </w:r>
            <w:r w:rsidRPr="00013ACB">
              <w:rPr>
                <w:vertAlign w:val="superscript"/>
              </w:rPr>
              <w:t>st</w:t>
            </w:r>
            <w:r>
              <w:t xml:space="preserve"> Round:</w:t>
            </w:r>
          </w:p>
          <w:p w14:paraId="66DDFFE8" w14:textId="77777777" w:rsidR="00EF295B" w:rsidRDefault="00EF295B" w:rsidP="00EF295B">
            <w:pPr>
              <w:pStyle w:val="NoSpacing"/>
            </w:pPr>
            <w:r w:rsidRPr="00456578">
              <w:t>June, 2021</w:t>
            </w:r>
          </w:p>
          <w:p w14:paraId="6DAF60BD" w14:textId="77777777" w:rsidR="00EF295B" w:rsidRDefault="00EF295B" w:rsidP="00EF295B">
            <w:pPr>
              <w:pStyle w:val="NoSpacing"/>
            </w:pPr>
          </w:p>
          <w:p w14:paraId="7C1F1D5B" w14:textId="77777777" w:rsidR="00EF295B" w:rsidRDefault="00EF295B" w:rsidP="00EF295B">
            <w:pPr>
              <w:pStyle w:val="NoSpacing"/>
            </w:pPr>
            <w:r>
              <w:t>2</w:t>
            </w:r>
            <w:r w:rsidRPr="00013ACB">
              <w:rPr>
                <w:vertAlign w:val="superscript"/>
              </w:rPr>
              <w:t>nd</w:t>
            </w:r>
            <w:r>
              <w:t xml:space="preserve"> Round: </w:t>
            </w:r>
          </w:p>
          <w:p w14:paraId="50B61F13" w14:textId="77777777" w:rsidR="00EF295B" w:rsidRDefault="00EF295B" w:rsidP="00EF295B">
            <w:pPr>
              <w:pStyle w:val="NoSpacing"/>
            </w:pPr>
            <w:r>
              <w:t>June, 2024</w:t>
            </w:r>
          </w:p>
          <w:p w14:paraId="75D2EED8" w14:textId="77777777" w:rsidR="00EF295B" w:rsidRDefault="00EF295B" w:rsidP="00EF295B">
            <w:pPr>
              <w:pStyle w:val="NoSpacing"/>
            </w:pPr>
          </w:p>
          <w:p w14:paraId="3821D798" w14:textId="77777777" w:rsidR="00EF295B" w:rsidRDefault="00EF295B" w:rsidP="00EF295B">
            <w:pPr>
              <w:pStyle w:val="NoSpacing"/>
            </w:pPr>
            <w:r>
              <w:t>3</w:t>
            </w:r>
            <w:r w:rsidRPr="00013ACB">
              <w:rPr>
                <w:vertAlign w:val="superscript"/>
              </w:rPr>
              <w:t>rd</w:t>
            </w:r>
            <w:r>
              <w:t xml:space="preserve"> Round: </w:t>
            </w:r>
          </w:p>
          <w:p w14:paraId="0558B744" w14:textId="77777777" w:rsidR="00EF295B" w:rsidRDefault="00EF295B" w:rsidP="00EF295B">
            <w:pPr>
              <w:pStyle w:val="NoSpacing"/>
            </w:pPr>
            <w:r>
              <w:t>June, 2027</w:t>
            </w:r>
          </w:p>
          <w:p w14:paraId="377B6566" w14:textId="77777777" w:rsidR="00EF295B" w:rsidRDefault="00EF295B" w:rsidP="00EF295B">
            <w:pPr>
              <w:pStyle w:val="NoSpacing"/>
            </w:pPr>
          </w:p>
          <w:p w14:paraId="13EDCEA7" w14:textId="77777777" w:rsidR="00EF295B" w:rsidRDefault="00EF295B" w:rsidP="00EF295B">
            <w:pPr>
              <w:pStyle w:val="NoSpacing"/>
            </w:pPr>
            <w:r>
              <w:t>4</w:t>
            </w:r>
            <w:r w:rsidRPr="00013ACB">
              <w:rPr>
                <w:vertAlign w:val="superscript"/>
              </w:rPr>
              <w:t>th</w:t>
            </w:r>
            <w:r>
              <w:t xml:space="preserve"> Round: </w:t>
            </w:r>
          </w:p>
          <w:p w14:paraId="251D92EB" w14:textId="77777777" w:rsidR="00EF295B" w:rsidRDefault="00EF295B" w:rsidP="00EF295B">
            <w:pPr>
              <w:pStyle w:val="NoSpacing"/>
            </w:pPr>
            <w:r>
              <w:t>June, 2030</w:t>
            </w:r>
          </w:p>
          <w:p w14:paraId="1C9C4422" w14:textId="29371D24" w:rsidR="00EF295B" w:rsidRDefault="00EF295B" w:rsidP="00EF295B">
            <w:pPr>
              <w:pStyle w:val="NoSpacing"/>
            </w:pPr>
          </w:p>
        </w:tc>
        <w:tc>
          <w:tcPr>
            <w:tcW w:w="828" w:type="dxa"/>
          </w:tcPr>
          <w:p w14:paraId="31EE9628" w14:textId="77777777" w:rsidR="00EF295B" w:rsidRDefault="00EF295B" w:rsidP="00EF295B">
            <w:pPr>
              <w:pStyle w:val="NoSpacing"/>
            </w:pPr>
            <w:r>
              <w:lastRenderedPageBreak/>
              <w:t>Reviewed at 10th IAEG-SDG meeting</w:t>
            </w:r>
          </w:p>
          <w:p w14:paraId="29035326" w14:textId="77777777" w:rsidR="00EF295B" w:rsidRDefault="00EF295B" w:rsidP="00EF295B">
            <w:pPr>
              <w:pStyle w:val="NoSpacing"/>
            </w:pPr>
            <w:r>
              <w:t>(classified as Tier II)</w:t>
            </w:r>
          </w:p>
        </w:tc>
      </w:tr>
      <w:tr w:rsidR="00EF295B" w14:paraId="3A2F9E22" w14:textId="77777777" w:rsidTr="0025292C">
        <w:tc>
          <w:tcPr>
            <w:tcW w:w="1218" w:type="dxa"/>
          </w:tcPr>
          <w:p w14:paraId="4644B72A" w14:textId="77777777" w:rsidR="00EF295B" w:rsidRDefault="00EF295B" w:rsidP="00EF295B">
            <w:pPr>
              <w:ind w:left="970" w:hanging="970"/>
              <w:jc w:val="both"/>
              <w:rPr>
                <w:color w:val="0070C0"/>
                <w:sz w:val="30"/>
                <w:szCs w:val="30"/>
              </w:rPr>
            </w:pPr>
          </w:p>
        </w:tc>
        <w:tc>
          <w:tcPr>
            <w:tcW w:w="17492" w:type="dxa"/>
            <w:gridSpan w:val="12"/>
          </w:tcPr>
          <w:p w14:paraId="5533AAE3" w14:textId="77777777" w:rsidR="00EF295B" w:rsidRDefault="00EF295B" w:rsidP="00EF295B">
            <w:pPr>
              <w:jc w:val="both"/>
              <w:rPr>
                <w:color w:val="0070C0"/>
                <w:sz w:val="48"/>
                <w:szCs w:val="48"/>
              </w:rPr>
            </w:pPr>
            <w:r>
              <w:rPr>
                <w:color w:val="0070C0"/>
                <w:sz w:val="30"/>
                <w:szCs w:val="30"/>
              </w:rPr>
              <w:t xml:space="preserve">Target </w:t>
            </w:r>
            <w:r w:rsidRPr="00C97C3C">
              <w:rPr>
                <w:color w:val="0070C0"/>
                <w:sz w:val="30"/>
                <w:szCs w:val="30"/>
              </w:rPr>
              <w:t>11.a Support positive economic, social and environmental links between urban, peri-urban and rural areas by strengthening national and regional development planning</w:t>
            </w:r>
          </w:p>
        </w:tc>
      </w:tr>
      <w:tr w:rsidR="00EF295B" w14:paraId="3D42B05B" w14:textId="77777777" w:rsidTr="0025292C">
        <w:tc>
          <w:tcPr>
            <w:tcW w:w="1218" w:type="dxa"/>
          </w:tcPr>
          <w:p w14:paraId="4FD245C2" w14:textId="77777777" w:rsidR="00EF295B" w:rsidRPr="00627F96" w:rsidRDefault="00EF295B" w:rsidP="00EF295B">
            <w:pPr>
              <w:pStyle w:val="NoSpacing"/>
            </w:pPr>
            <w:r w:rsidRPr="00627F96">
              <w:t xml:space="preserve">11.a.1 Number of countries that have national urban policies or regional </w:t>
            </w:r>
            <w:r w:rsidRPr="00627F96">
              <w:lastRenderedPageBreak/>
              <w:t>development plans that (a) respond to population dynamics; (b) ensure balanced territorial development; and (c) increase local fiscal space</w:t>
            </w:r>
          </w:p>
        </w:tc>
        <w:tc>
          <w:tcPr>
            <w:tcW w:w="661" w:type="dxa"/>
          </w:tcPr>
          <w:p w14:paraId="50CB0149" w14:textId="77777777" w:rsidR="00EF295B" w:rsidRDefault="00EF295B" w:rsidP="00EF295B">
            <w:pPr>
              <w:pStyle w:val="NoSpacing"/>
            </w:pPr>
            <w:r w:rsidRPr="004559CB">
              <w:lastRenderedPageBreak/>
              <w:t>UN-Habitat</w:t>
            </w:r>
          </w:p>
          <w:p w14:paraId="16FD373F" w14:textId="77777777" w:rsidR="00EF295B" w:rsidRDefault="00EF295B" w:rsidP="00EF295B">
            <w:pPr>
              <w:rPr>
                <w:b/>
                <w:bCs/>
                <w:szCs w:val="20"/>
              </w:rPr>
            </w:pPr>
            <w:r w:rsidRPr="007243FC">
              <w:rPr>
                <w:b/>
                <w:bCs/>
                <w:szCs w:val="20"/>
              </w:rPr>
              <w:t>Partner Agenci</w:t>
            </w:r>
            <w:r w:rsidRPr="007243FC">
              <w:rPr>
                <w:b/>
                <w:bCs/>
                <w:szCs w:val="20"/>
              </w:rPr>
              <w:lastRenderedPageBreak/>
              <w:t>es:</w:t>
            </w:r>
          </w:p>
          <w:p w14:paraId="0B3D2AAE" w14:textId="77777777" w:rsidR="00EF295B" w:rsidRDefault="00EF295B" w:rsidP="00EF295B">
            <w:pPr>
              <w:pStyle w:val="NoSpacing"/>
            </w:pPr>
            <w:r w:rsidRPr="004559CB">
              <w:t>UNFPA</w:t>
            </w:r>
          </w:p>
        </w:tc>
        <w:tc>
          <w:tcPr>
            <w:tcW w:w="935" w:type="dxa"/>
          </w:tcPr>
          <w:p w14:paraId="449B10EE" w14:textId="4265B124" w:rsidR="00EF295B" w:rsidRDefault="00754676" w:rsidP="00EF295B">
            <w:pPr>
              <w:pStyle w:val="NoSpacing"/>
            </w:pPr>
            <w:r>
              <w:lastRenderedPageBreak/>
              <w:t>TBD</w:t>
            </w:r>
          </w:p>
        </w:tc>
        <w:tc>
          <w:tcPr>
            <w:tcW w:w="6853" w:type="dxa"/>
          </w:tcPr>
          <w:p w14:paraId="0BE54B63" w14:textId="77777777" w:rsidR="00EF295B" w:rsidRDefault="00EF295B" w:rsidP="00EF295B">
            <w:pPr>
              <w:pStyle w:val="NoSpacing"/>
            </w:pPr>
            <w:r>
              <w:t xml:space="preserve">Definition and concepts:  </w:t>
            </w:r>
          </w:p>
          <w:p w14:paraId="7689CF08" w14:textId="77777777" w:rsidR="00EF295B" w:rsidRDefault="00EF295B" w:rsidP="00EF295B">
            <w:pPr>
              <w:spacing w:after="66"/>
              <w:ind w:right="-15"/>
            </w:pPr>
            <w:r>
              <w:rPr>
                <w:rFonts w:ascii="Calibri" w:eastAsia="Calibri" w:hAnsi="Calibri" w:cs="Calibri"/>
                <w:b/>
                <w:i/>
              </w:rPr>
              <w:t xml:space="preserve">National Urban Policies and regional development plans:  </w:t>
            </w:r>
          </w:p>
          <w:p w14:paraId="1FD85D58" w14:textId="77777777" w:rsidR="00EF295B" w:rsidRDefault="00EF295B" w:rsidP="00EF295B">
            <w:r>
              <w:t xml:space="preserve">A National Urban Policy (NUP) is defined by UN-Habitat as a coherent set of decisions derived through a deliberate government led process of coordinating and rallying various actors for a common vision and goal that will promote more transformative, productive, inclusive, and resilient urban development for the long term.  </w:t>
            </w:r>
          </w:p>
          <w:p w14:paraId="4A81C120" w14:textId="77777777" w:rsidR="00EF295B" w:rsidRDefault="00EF295B" w:rsidP="00EF295B">
            <w:r>
              <w:lastRenderedPageBreak/>
              <w:t xml:space="preserve">This standard definition will be extended and adapted to country contexts and may include, where applicable terms such as National Urban </w:t>
            </w:r>
            <w:r>
              <w:rPr>
                <w:rFonts w:ascii="Calibri" w:eastAsia="Calibri" w:hAnsi="Calibri" w:cs="Calibri"/>
                <w:i/>
              </w:rPr>
              <w:t>Plan</w:t>
            </w:r>
            <w:r>
              <w:t xml:space="preserve">, </w:t>
            </w:r>
            <w:r>
              <w:rPr>
                <w:rFonts w:ascii="Calibri" w:eastAsia="Calibri" w:hAnsi="Calibri" w:cs="Calibri"/>
                <w:i/>
              </w:rPr>
              <w:t>Framework</w:t>
            </w:r>
            <w:r>
              <w:t xml:space="preserve">, or </w:t>
            </w:r>
            <w:r>
              <w:rPr>
                <w:rFonts w:ascii="Calibri" w:eastAsia="Calibri" w:hAnsi="Calibri" w:cs="Calibri"/>
                <w:i/>
              </w:rPr>
              <w:t>Strategy</w:t>
            </w:r>
            <w:r>
              <w:rPr>
                <w:rFonts w:ascii="Calibri" w:eastAsia="Calibri" w:hAnsi="Calibri" w:cs="Calibri"/>
              </w:rPr>
              <w:t xml:space="preserve">… as long as they are aligned with the above </w:t>
            </w:r>
            <w:r>
              <w:t xml:space="preserve">qualifiers.  Similarly, regional development plans follow the same definition, only applied at the subnational level.  </w:t>
            </w:r>
          </w:p>
          <w:p w14:paraId="6EDABF64" w14:textId="77777777" w:rsidR="00EF295B" w:rsidRDefault="00EF295B" w:rsidP="00EF295B">
            <w:pPr>
              <w:spacing w:after="66"/>
            </w:pPr>
            <w:r>
              <w:t xml:space="preserve"> </w:t>
            </w:r>
          </w:p>
          <w:p w14:paraId="58ED4634" w14:textId="77777777" w:rsidR="00EF295B" w:rsidRDefault="00EF295B" w:rsidP="00EF295B">
            <w:pPr>
              <w:spacing w:after="66"/>
              <w:ind w:right="-15"/>
            </w:pPr>
            <w:r>
              <w:rPr>
                <w:rFonts w:ascii="Calibri" w:eastAsia="Calibri" w:hAnsi="Calibri" w:cs="Calibri"/>
                <w:b/>
                <w:i/>
              </w:rPr>
              <w:t xml:space="preserve">NUP that responds to population dynamics:  </w:t>
            </w:r>
            <w:r>
              <w:rPr>
                <w:rFonts w:ascii="Calibri" w:eastAsia="Calibri" w:hAnsi="Calibri" w:cs="Calibri"/>
                <w:i/>
              </w:rPr>
              <w:t xml:space="preserve"> </w:t>
            </w:r>
          </w:p>
          <w:p w14:paraId="21AB21DE" w14:textId="77777777" w:rsidR="00EF295B" w:rsidRDefault="00EF295B" w:rsidP="00EF295B">
            <w:r>
              <w:t xml:space="preserve">This first qualifier examines to what extent the NUP addresses issues to do with population composition, trends and projections in achieving development goals and targets.  </w:t>
            </w:r>
          </w:p>
          <w:p w14:paraId="3D3F077B" w14:textId="77777777" w:rsidR="00EF295B" w:rsidRDefault="00EF295B" w:rsidP="00EF295B">
            <w:pPr>
              <w:numPr>
                <w:ilvl w:val="0"/>
                <w:numId w:val="68"/>
              </w:numPr>
              <w:spacing w:after="70" w:line="283" w:lineRule="auto"/>
              <w:ind w:hanging="360"/>
            </w:pPr>
            <w:r>
              <w:rPr>
                <w:rFonts w:ascii="Calibri" w:eastAsia="Calibri" w:hAnsi="Calibri" w:cs="Calibri"/>
                <w:i/>
              </w:rPr>
              <w:t xml:space="preserve">Population composition </w:t>
            </w:r>
            <w:r>
              <w:t xml:space="preserve">includes size, geographic distribution and density, household size and composition, mobility and migration, age and sex distribution and disaggregation, as specified in SDG target 17.18  </w:t>
            </w:r>
          </w:p>
          <w:p w14:paraId="360EDE9D" w14:textId="77777777" w:rsidR="00EF295B" w:rsidRDefault="00EF295B" w:rsidP="00EF295B">
            <w:pPr>
              <w:numPr>
                <w:ilvl w:val="0"/>
                <w:numId w:val="68"/>
              </w:numPr>
              <w:spacing w:line="283" w:lineRule="auto"/>
              <w:ind w:hanging="360"/>
            </w:pPr>
            <w:r>
              <w:rPr>
                <w:rFonts w:ascii="Calibri" w:eastAsia="Calibri" w:hAnsi="Calibri" w:cs="Calibri"/>
                <w:i/>
              </w:rPr>
              <w:t xml:space="preserve">Trends </w:t>
            </w:r>
            <w:r>
              <w:t xml:space="preserve">are changes in composition of the population from over time  </w:t>
            </w:r>
          </w:p>
          <w:p w14:paraId="737EFA35" w14:textId="77777777" w:rsidR="00EF295B" w:rsidRDefault="00EF295B" w:rsidP="00EF295B">
            <w:pPr>
              <w:numPr>
                <w:ilvl w:val="0"/>
                <w:numId w:val="68"/>
              </w:numPr>
              <w:spacing w:after="70" w:line="283" w:lineRule="auto"/>
              <w:ind w:hanging="360"/>
            </w:pPr>
            <w:r>
              <w:rPr>
                <w:rFonts w:ascii="Calibri" w:eastAsia="Calibri" w:hAnsi="Calibri" w:cs="Calibri"/>
                <w:i/>
              </w:rPr>
              <w:t xml:space="preserve">Projections </w:t>
            </w:r>
            <w:r>
              <w:t xml:space="preserve">are expected changes over time that the NUP needs to ensure that they are well addressed. </w:t>
            </w:r>
          </w:p>
          <w:p w14:paraId="6951C6E7" w14:textId="77777777" w:rsidR="00EF295B" w:rsidRDefault="00EF295B" w:rsidP="00EF295B">
            <w:pPr>
              <w:spacing w:after="66"/>
            </w:pPr>
            <w:r>
              <w:t xml:space="preserve"> </w:t>
            </w:r>
          </w:p>
          <w:p w14:paraId="01486B4E" w14:textId="77777777" w:rsidR="00EF295B" w:rsidRDefault="00EF295B" w:rsidP="00EF295B">
            <w:r>
              <w:t xml:space="preserve">Key questions for the assessment:  </w:t>
            </w:r>
          </w:p>
          <w:p w14:paraId="52494B94" w14:textId="77777777" w:rsidR="00EF295B" w:rsidRDefault="00EF295B" w:rsidP="00EF295B">
            <w:pPr>
              <w:numPr>
                <w:ilvl w:val="0"/>
                <w:numId w:val="68"/>
              </w:numPr>
              <w:spacing w:after="70" w:line="283" w:lineRule="auto"/>
              <w:ind w:hanging="360"/>
            </w:pPr>
            <w:r>
              <w:t xml:space="preserve">To what extent are quality and timely data on urban and rural population composition, trends and projections available for use in the development, implementation and monitoring of NUPs or RDPs?  </w:t>
            </w:r>
          </w:p>
          <w:p w14:paraId="60E5481A" w14:textId="77777777" w:rsidR="00EF295B" w:rsidRDefault="00EF295B" w:rsidP="00EF295B">
            <w:pPr>
              <w:numPr>
                <w:ilvl w:val="0"/>
                <w:numId w:val="68"/>
              </w:numPr>
              <w:spacing w:after="70" w:line="283" w:lineRule="auto"/>
              <w:ind w:hanging="360"/>
            </w:pPr>
            <w:r>
              <w:t xml:space="preserve">To what extent do the NUP and/or RDPs use or refer to population composition, trends and projections to set goals and targets over the timeframe of the plan?  </w:t>
            </w:r>
          </w:p>
          <w:p w14:paraId="570C02DB" w14:textId="77777777" w:rsidR="00EF295B" w:rsidRDefault="00EF295B" w:rsidP="00EF295B">
            <w:pPr>
              <w:spacing w:after="66"/>
              <w:ind w:left="360"/>
            </w:pPr>
            <w:r>
              <w:t xml:space="preserve"> </w:t>
            </w:r>
          </w:p>
          <w:p w14:paraId="02D67D9A" w14:textId="77777777" w:rsidR="00EF295B" w:rsidRDefault="00EF295B" w:rsidP="00EF295B">
            <w:pPr>
              <w:spacing w:after="66"/>
              <w:ind w:right="-15"/>
            </w:pPr>
            <w:r>
              <w:rPr>
                <w:rFonts w:ascii="Calibri" w:eastAsia="Calibri" w:hAnsi="Calibri" w:cs="Calibri"/>
                <w:b/>
                <w:i/>
              </w:rPr>
              <w:t xml:space="preserve">Ensure balanced territorial development:   </w:t>
            </w:r>
          </w:p>
          <w:p w14:paraId="799D41F3" w14:textId="77777777" w:rsidR="00EF295B" w:rsidRDefault="00EF295B" w:rsidP="00EF295B">
            <w:r>
              <w:t xml:space="preserve">This second qualifier entails the promotion of a spatially coherent territory that includes a balanced system of human settlements including cities and towns and including urban corridors; that addresses social, economic, environmental and spatial disparities particularly considering the urban-rural continuum.  </w:t>
            </w:r>
          </w:p>
          <w:p w14:paraId="20F812A6" w14:textId="77777777" w:rsidR="00EF295B" w:rsidRDefault="00EF295B" w:rsidP="00EF295B">
            <w:pPr>
              <w:spacing w:after="67"/>
            </w:pPr>
            <w:r>
              <w:t xml:space="preserve"> </w:t>
            </w:r>
          </w:p>
          <w:p w14:paraId="67F02F29" w14:textId="77777777" w:rsidR="00EF295B" w:rsidRDefault="00EF295B" w:rsidP="00EF295B">
            <w:r>
              <w:t xml:space="preserve">Key questions for the assessment:  </w:t>
            </w:r>
          </w:p>
          <w:p w14:paraId="044E3554" w14:textId="77777777" w:rsidR="00EF295B" w:rsidRDefault="00EF295B" w:rsidP="00EF295B">
            <w:pPr>
              <w:numPr>
                <w:ilvl w:val="0"/>
                <w:numId w:val="68"/>
              </w:numPr>
              <w:spacing w:after="70" w:line="283" w:lineRule="auto"/>
              <w:ind w:hanging="360"/>
            </w:pPr>
            <w:r>
              <w:t xml:space="preserve">To what extent does the national urban policy take into account the need for balanced development of the territory as a whole including the equal development of all types of settlements including villages, cities and towns, including urban corridors?  </w:t>
            </w:r>
          </w:p>
          <w:p w14:paraId="47608D8A" w14:textId="77777777" w:rsidR="00EF295B" w:rsidRDefault="00EF295B" w:rsidP="00EF295B">
            <w:pPr>
              <w:numPr>
                <w:ilvl w:val="0"/>
                <w:numId w:val="68"/>
              </w:numPr>
              <w:spacing w:after="70" w:line="283" w:lineRule="auto"/>
              <w:ind w:hanging="360"/>
            </w:pPr>
            <w:r>
              <w:t xml:space="preserve">To what extent are the linkages </w:t>
            </w:r>
            <w:r>
              <w:rPr>
                <w:rFonts w:ascii="Calibri" w:eastAsia="Calibri" w:hAnsi="Calibri" w:cs="Calibri"/>
              </w:rPr>
              <w:t>–</w:t>
            </w:r>
            <w:r>
              <w:t xml:space="preserve"> social, economic, environmental and spatial </w:t>
            </w:r>
            <w:r>
              <w:rPr>
                <w:rFonts w:ascii="Calibri" w:eastAsia="Calibri" w:hAnsi="Calibri" w:cs="Calibri"/>
              </w:rPr>
              <w:t>–</w:t>
            </w:r>
            <w:r>
              <w:t xml:space="preserve"> between urban, peri-urban and rural areas take into account with the ultimate goal of strengthening the urban-rural continuum?  </w:t>
            </w:r>
          </w:p>
          <w:p w14:paraId="5E22BF8C" w14:textId="77777777" w:rsidR="00EF295B" w:rsidRDefault="00EF295B" w:rsidP="00EF295B">
            <w:pPr>
              <w:spacing w:after="66"/>
              <w:ind w:left="360"/>
            </w:pPr>
            <w:r>
              <w:t xml:space="preserve"> </w:t>
            </w:r>
          </w:p>
          <w:p w14:paraId="761B4495" w14:textId="77777777" w:rsidR="00EF295B" w:rsidRDefault="00EF295B" w:rsidP="00EF295B">
            <w:pPr>
              <w:spacing w:after="66"/>
              <w:ind w:right="-15"/>
            </w:pPr>
            <w:r>
              <w:rPr>
                <w:rFonts w:ascii="Calibri" w:eastAsia="Calibri" w:hAnsi="Calibri" w:cs="Calibri"/>
                <w:b/>
                <w:i/>
              </w:rPr>
              <w:lastRenderedPageBreak/>
              <w:t xml:space="preserve">Increase local fiscal space:  </w:t>
            </w:r>
          </w:p>
          <w:p w14:paraId="0F230975" w14:textId="77777777" w:rsidR="00EF295B" w:rsidRDefault="00EF295B" w:rsidP="00EF295B">
            <w:r>
              <w:t>Local fiscal space is understood as the sum of financial resources available for improved delivery of basic social and economic services at the local level as a result of the budget and related decisions by governments at all levels without any prejudice to the sustainabil</w:t>
            </w:r>
            <w:r>
              <w:rPr>
                <w:rFonts w:ascii="Calibri" w:eastAsia="Calibri" w:hAnsi="Calibri" w:cs="Calibri"/>
              </w:rPr>
              <w:t xml:space="preserve">ity of a government’s financial position. </w:t>
            </w:r>
            <w:r>
              <w:t xml:space="preserve"> </w:t>
            </w:r>
          </w:p>
          <w:p w14:paraId="4E2E94C3" w14:textId="77777777" w:rsidR="00EF295B" w:rsidRDefault="00EF295B" w:rsidP="00EF295B">
            <w:pPr>
              <w:spacing w:after="66"/>
            </w:pPr>
            <w:r>
              <w:t xml:space="preserve"> </w:t>
            </w:r>
          </w:p>
          <w:p w14:paraId="6C0DCCB6" w14:textId="77777777" w:rsidR="00EF295B" w:rsidRDefault="00EF295B" w:rsidP="00EF295B">
            <w:r>
              <w:t xml:space="preserve">Key questions for the assessment:  </w:t>
            </w:r>
          </w:p>
          <w:p w14:paraId="68735415" w14:textId="77777777" w:rsidR="00EF295B" w:rsidRDefault="00EF295B" w:rsidP="00EF295B">
            <w:pPr>
              <w:numPr>
                <w:ilvl w:val="0"/>
                <w:numId w:val="68"/>
              </w:numPr>
              <w:spacing w:after="70" w:line="283" w:lineRule="auto"/>
              <w:ind w:hanging="360"/>
            </w:pPr>
            <w:r>
              <w:t xml:space="preserve">To what extent has the policy made allowance for the provision of local financial resources to provide for the implementation of the policy and for the delivery of essential basic social and economic services  </w:t>
            </w:r>
          </w:p>
          <w:p w14:paraId="2B6D8E1C" w14:textId="77777777" w:rsidR="00EF295B" w:rsidRDefault="00EF295B" w:rsidP="00EF295B">
            <w:pPr>
              <w:numPr>
                <w:ilvl w:val="0"/>
                <w:numId w:val="68"/>
              </w:numPr>
              <w:spacing w:after="70" w:line="283" w:lineRule="auto"/>
              <w:ind w:hanging="360"/>
            </w:pPr>
            <w:r>
              <w:t xml:space="preserve">To what extent has the policy assessed the status of human capacities required to effectively use financial resources for the implementation of the policy and the delivery of essential basic social and economic services?  </w:t>
            </w:r>
          </w:p>
          <w:p w14:paraId="24F191E7" w14:textId="77777777" w:rsidR="00EF295B" w:rsidRDefault="00EF295B" w:rsidP="00EF295B">
            <w:pPr>
              <w:spacing w:after="64"/>
              <w:ind w:left="360"/>
            </w:pPr>
            <w:r>
              <w:t xml:space="preserve"> </w:t>
            </w:r>
          </w:p>
          <w:p w14:paraId="62771A91" w14:textId="77777777" w:rsidR="00EF295B" w:rsidRDefault="00EF295B" w:rsidP="00EF295B">
            <w:pPr>
              <w:spacing w:after="66"/>
              <w:ind w:right="-15"/>
            </w:pPr>
            <w:r>
              <w:rPr>
                <w:rFonts w:ascii="Calibri" w:eastAsia="Calibri" w:hAnsi="Calibri" w:cs="Calibri"/>
                <w:b/>
                <w:i/>
              </w:rPr>
              <w:t xml:space="preserve">Developing:  </w:t>
            </w:r>
          </w:p>
          <w:p w14:paraId="0E4309BD" w14:textId="77777777" w:rsidR="00EF295B" w:rsidRDefault="00EF295B" w:rsidP="00EF295B">
            <w:r>
              <w:t xml:space="preserve">Developing refers to the policy development phases that consider the feasibility, diagnosis of policy problems and opportunities, the formulation/drafting of the policy until the approval of the policy  </w:t>
            </w:r>
          </w:p>
          <w:p w14:paraId="3CD96211" w14:textId="77777777" w:rsidR="00EF295B" w:rsidRDefault="00EF295B" w:rsidP="00EF295B">
            <w:pPr>
              <w:spacing w:after="67"/>
              <w:ind w:left="720"/>
            </w:pPr>
            <w:r>
              <w:t xml:space="preserve"> </w:t>
            </w:r>
          </w:p>
          <w:p w14:paraId="7A93E7CF" w14:textId="77777777" w:rsidR="00EF295B" w:rsidRDefault="00EF295B" w:rsidP="00EF295B">
            <w:pPr>
              <w:spacing w:after="66"/>
              <w:ind w:right="-15"/>
            </w:pPr>
            <w:r>
              <w:rPr>
                <w:rFonts w:ascii="Calibri" w:eastAsia="Calibri" w:hAnsi="Calibri" w:cs="Calibri"/>
                <w:b/>
                <w:i/>
              </w:rPr>
              <w:t xml:space="preserve">Implementing:  </w:t>
            </w:r>
          </w:p>
          <w:p w14:paraId="1730F4E6" w14:textId="77777777" w:rsidR="00EF295B" w:rsidRDefault="00EF295B" w:rsidP="00EF295B">
            <w:r>
              <w:t xml:space="preserve">Implementation refers to the realization of the policy proposal through legislative or financial action/commitments, including the continued monitoring and evaluation of that policy  </w:t>
            </w:r>
          </w:p>
          <w:p w14:paraId="4C2FE968" w14:textId="77777777" w:rsidR="00EF295B" w:rsidRDefault="00EF295B" w:rsidP="00EF295B">
            <w:pPr>
              <w:spacing w:after="265"/>
            </w:pPr>
            <w:r>
              <w:t xml:space="preserve"> </w:t>
            </w:r>
          </w:p>
          <w:p w14:paraId="651A0A0E" w14:textId="77777777" w:rsidR="00EF295B" w:rsidRDefault="00EF295B" w:rsidP="00EF295B">
            <w:pPr>
              <w:pStyle w:val="NoSpacing"/>
            </w:pPr>
            <w:r>
              <w:t xml:space="preserve">Method of computation:  </w:t>
            </w:r>
          </w:p>
          <w:p w14:paraId="33009BAB" w14:textId="77777777" w:rsidR="00EF295B" w:rsidRDefault="00EF295B" w:rsidP="00EF295B">
            <w:r>
              <w:t xml:space="preserve">The methodology uses a policy evaluation framework that assesses and tracks progress on the extent to which country level national urban policy or regional development plans are being developed or implemented to cover or satisfy the following criteria:  </w:t>
            </w:r>
          </w:p>
          <w:p w14:paraId="3960CE22" w14:textId="77777777" w:rsidR="00EF295B" w:rsidRDefault="00EF295B" w:rsidP="00EF295B">
            <w:pPr>
              <w:numPr>
                <w:ilvl w:val="1"/>
                <w:numId w:val="68"/>
              </w:numPr>
              <w:spacing w:line="283" w:lineRule="auto"/>
              <w:ind w:hanging="360"/>
            </w:pPr>
            <w:r>
              <w:t xml:space="preserve">Responds to population dynamics  </w:t>
            </w:r>
          </w:p>
          <w:p w14:paraId="51D0AE1D" w14:textId="77777777" w:rsidR="00EF295B" w:rsidRDefault="00EF295B" w:rsidP="00EF295B">
            <w:pPr>
              <w:numPr>
                <w:ilvl w:val="1"/>
                <w:numId w:val="68"/>
              </w:numPr>
              <w:spacing w:after="70" w:line="283" w:lineRule="auto"/>
              <w:ind w:hanging="360"/>
            </w:pPr>
            <w:r>
              <w:t xml:space="preserve">Ensures balanced regional and territorial development  </w:t>
            </w:r>
          </w:p>
          <w:p w14:paraId="4DB47E7A" w14:textId="77777777" w:rsidR="00EF295B" w:rsidRDefault="00EF295B" w:rsidP="00EF295B">
            <w:pPr>
              <w:numPr>
                <w:ilvl w:val="1"/>
                <w:numId w:val="68"/>
              </w:numPr>
              <w:spacing w:after="70" w:line="283" w:lineRule="auto"/>
              <w:ind w:hanging="360"/>
            </w:pPr>
            <w:r>
              <w:t xml:space="preserve">Increases local fiscal space   </w:t>
            </w:r>
          </w:p>
          <w:p w14:paraId="2064F666" w14:textId="77777777" w:rsidR="00EF295B" w:rsidRDefault="00EF295B" w:rsidP="00EF295B">
            <w:pPr>
              <w:spacing w:after="66"/>
            </w:pPr>
            <w:r>
              <w:t xml:space="preserve"> </w:t>
            </w:r>
          </w:p>
          <w:p w14:paraId="5C4D65FE" w14:textId="77777777" w:rsidR="00EF295B" w:rsidRDefault="00EF295B" w:rsidP="00EF295B">
            <w:r>
              <w:t xml:space="preserve">Essentially, countries that already have NUP and regional development plans, the NUPs are examined for their consistency in covering the 3 above qualifiers. While for countries that do not have NUP or are currently developing NUP, these are noted and documented as steps towards developing a NUP. Such countries are counted with zero scores to </w:t>
            </w:r>
            <w:r>
              <w:lastRenderedPageBreak/>
              <w:t xml:space="preserve">ensure a full coverage of status on all countries.  </w:t>
            </w:r>
          </w:p>
          <w:p w14:paraId="204EB14B" w14:textId="77777777" w:rsidR="00EF295B" w:rsidRDefault="00EF295B" w:rsidP="00EF295B">
            <w:pPr>
              <w:spacing w:after="64" w:line="286" w:lineRule="auto"/>
              <w:jc w:val="both"/>
            </w:pPr>
            <w:r>
              <w:t xml:space="preserve">To maintain the objectivity and comparability in the policy analysis, five categories of assessment are used for each qualifier. These categories correspond to a progressive evaluation of the extent to which national and regional policies in plans integrate elements that contribute to the realization of each qualifier:  </w:t>
            </w:r>
          </w:p>
          <w:p w14:paraId="05F452EE" w14:textId="77777777" w:rsidR="00EF295B" w:rsidRDefault="00EF295B" w:rsidP="00EF295B">
            <w:pPr>
              <w:spacing w:after="75"/>
              <w:ind w:left="1440"/>
            </w:pPr>
            <w:r>
              <w:t xml:space="preserve"> </w:t>
            </w:r>
          </w:p>
          <w:p w14:paraId="091E2F49" w14:textId="77777777" w:rsidR="00EF295B" w:rsidRDefault="00EF295B" w:rsidP="00EF295B">
            <w:pPr>
              <w:numPr>
                <w:ilvl w:val="1"/>
                <w:numId w:val="69"/>
              </w:numPr>
              <w:spacing w:after="70" w:line="283" w:lineRule="auto"/>
              <w:ind w:hanging="360"/>
            </w:pPr>
            <w:r>
              <w:t xml:space="preserve">Category 1: policy document does not make any reference to the qualifier or the country is not developing or implementing a policy (no national urban policy exists)  </w:t>
            </w:r>
          </w:p>
          <w:p w14:paraId="6608A72F" w14:textId="77777777" w:rsidR="00EF295B" w:rsidRDefault="00EF295B" w:rsidP="00EF295B">
            <w:pPr>
              <w:numPr>
                <w:ilvl w:val="1"/>
                <w:numId w:val="69"/>
              </w:numPr>
              <w:spacing w:after="70" w:line="283" w:lineRule="auto"/>
              <w:ind w:hanging="360"/>
            </w:pPr>
            <w:r>
              <w:t xml:space="preserve">Category 2: policy document make some reference to the specific qualifier, but this qualifier is not integrated in the diagnosis and recommendations of the policy  </w:t>
            </w:r>
          </w:p>
          <w:p w14:paraId="7502A198" w14:textId="77777777" w:rsidR="00EF295B" w:rsidRDefault="00EF295B" w:rsidP="00EF295B">
            <w:pPr>
              <w:numPr>
                <w:ilvl w:val="1"/>
                <w:numId w:val="69"/>
              </w:numPr>
              <w:spacing w:after="70" w:line="283" w:lineRule="auto"/>
              <w:ind w:hanging="360"/>
            </w:pPr>
            <w:r>
              <w:t xml:space="preserve">Category 3: policy document integrates the specific qualifier, but this qualifier is poorly understood or misinterpreted  </w:t>
            </w:r>
          </w:p>
          <w:p w14:paraId="00FE372A" w14:textId="77777777" w:rsidR="00EF295B" w:rsidRDefault="00EF295B" w:rsidP="00EF295B">
            <w:pPr>
              <w:numPr>
                <w:ilvl w:val="1"/>
                <w:numId w:val="69"/>
              </w:numPr>
              <w:spacing w:after="70" w:line="283" w:lineRule="auto"/>
              <w:ind w:hanging="360"/>
            </w:pPr>
            <w:r>
              <w:t xml:space="preserve">Category 4: policy document integrates in a cross-cutting perspective the specific qualifier without clear policy recommendations  </w:t>
            </w:r>
          </w:p>
          <w:p w14:paraId="3396EBF3" w14:textId="77777777" w:rsidR="00EF295B" w:rsidRDefault="00EF295B" w:rsidP="00EF295B">
            <w:pPr>
              <w:numPr>
                <w:ilvl w:val="1"/>
                <w:numId w:val="69"/>
              </w:numPr>
              <w:spacing w:after="70" w:line="283" w:lineRule="auto"/>
              <w:ind w:hanging="360"/>
            </w:pPr>
            <w:r>
              <w:t xml:space="preserve">Category 5: policy document integrates and mainstreams the specific qualifier with clear policy recommendations derived from the qualifier  </w:t>
            </w:r>
          </w:p>
          <w:p w14:paraId="3FE68AC4" w14:textId="77777777" w:rsidR="00EF295B" w:rsidRDefault="00EF295B" w:rsidP="00EF295B">
            <w:pPr>
              <w:spacing w:after="66"/>
            </w:pPr>
            <w:r>
              <w:t xml:space="preserve"> </w:t>
            </w:r>
          </w:p>
          <w:p w14:paraId="0A665D1B" w14:textId="77777777" w:rsidR="00EF295B" w:rsidRDefault="00EF295B" w:rsidP="00EF295B">
            <w:r>
              <w:t xml:space="preserve">Each category is assigned a percentage bracket, as follows:  </w:t>
            </w:r>
          </w:p>
          <w:p w14:paraId="140E9327" w14:textId="77777777" w:rsidR="00EF295B" w:rsidRDefault="00EF295B" w:rsidP="00EF295B">
            <w:pPr>
              <w:spacing w:after="76"/>
            </w:pPr>
            <w:r>
              <w:t xml:space="preserve"> </w:t>
            </w:r>
          </w:p>
          <w:p w14:paraId="0E2FF771" w14:textId="77777777" w:rsidR="00EF295B" w:rsidRDefault="00EF295B" w:rsidP="00EF295B">
            <w:pPr>
              <w:numPr>
                <w:ilvl w:val="1"/>
                <w:numId w:val="69"/>
              </w:numPr>
              <w:spacing w:after="70" w:line="283" w:lineRule="auto"/>
              <w:ind w:hanging="360"/>
            </w:pPr>
            <w:r>
              <w:t xml:space="preserve">Category 1: 0 per cent  </w:t>
            </w:r>
          </w:p>
          <w:p w14:paraId="61346D56" w14:textId="77777777" w:rsidR="00EF295B" w:rsidRDefault="00EF295B" w:rsidP="00EF295B">
            <w:pPr>
              <w:numPr>
                <w:ilvl w:val="1"/>
                <w:numId w:val="69"/>
              </w:numPr>
              <w:spacing w:after="70" w:line="283" w:lineRule="auto"/>
              <w:ind w:hanging="360"/>
            </w:pPr>
            <w:r>
              <w:t xml:space="preserve">Category 2: 1-25 per cent  </w:t>
            </w:r>
          </w:p>
          <w:p w14:paraId="33535A6E" w14:textId="77777777" w:rsidR="00EF295B" w:rsidRDefault="00EF295B" w:rsidP="00EF295B">
            <w:pPr>
              <w:numPr>
                <w:ilvl w:val="1"/>
                <w:numId w:val="69"/>
              </w:numPr>
              <w:spacing w:after="70" w:line="283" w:lineRule="auto"/>
              <w:ind w:hanging="360"/>
            </w:pPr>
            <w:r>
              <w:t xml:space="preserve">Category 3: 26-50 per cent  </w:t>
            </w:r>
          </w:p>
          <w:p w14:paraId="1FC0EDCD" w14:textId="77777777" w:rsidR="00EF295B" w:rsidRDefault="00EF295B" w:rsidP="00EF295B">
            <w:pPr>
              <w:numPr>
                <w:ilvl w:val="1"/>
                <w:numId w:val="69"/>
              </w:numPr>
              <w:spacing w:after="70" w:line="283" w:lineRule="auto"/>
              <w:ind w:hanging="360"/>
            </w:pPr>
            <w:r>
              <w:t xml:space="preserve">Category 4: 51-75 per cent  </w:t>
            </w:r>
          </w:p>
          <w:p w14:paraId="476FA205" w14:textId="77777777" w:rsidR="00EF295B" w:rsidRDefault="00EF295B" w:rsidP="00EF295B">
            <w:pPr>
              <w:numPr>
                <w:ilvl w:val="1"/>
                <w:numId w:val="69"/>
              </w:numPr>
              <w:spacing w:after="70" w:line="283" w:lineRule="auto"/>
              <w:ind w:hanging="360"/>
            </w:pPr>
            <w:r>
              <w:t xml:space="preserve">Category 5: 76-100 per cent  </w:t>
            </w:r>
          </w:p>
        </w:tc>
        <w:tc>
          <w:tcPr>
            <w:tcW w:w="1174" w:type="dxa"/>
          </w:tcPr>
          <w:p w14:paraId="20A77DC6" w14:textId="77777777" w:rsidR="00EF295B" w:rsidRDefault="00EF295B" w:rsidP="00EF295B">
            <w:pPr>
              <w:pStyle w:val="NoSpacing"/>
            </w:pPr>
            <w:r>
              <w:lastRenderedPageBreak/>
              <w:t xml:space="preserve">   -</w:t>
            </w:r>
          </w:p>
        </w:tc>
        <w:tc>
          <w:tcPr>
            <w:tcW w:w="818" w:type="dxa"/>
          </w:tcPr>
          <w:p w14:paraId="5490D43E" w14:textId="77777777" w:rsidR="00EF295B" w:rsidRDefault="00EF295B" w:rsidP="00EF295B">
            <w:pPr>
              <w:pStyle w:val="NoSpacing"/>
            </w:pPr>
            <w:r>
              <w:t xml:space="preserve">  -</w:t>
            </w:r>
          </w:p>
        </w:tc>
        <w:tc>
          <w:tcPr>
            <w:tcW w:w="812" w:type="dxa"/>
            <w:vAlign w:val="center"/>
          </w:tcPr>
          <w:p w14:paraId="036EAFE9" w14:textId="52A54F3D" w:rsidR="00EF295B" w:rsidRPr="00BC6F10" w:rsidRDefault="00EF295B" w:rsidP="00EF295B">
            <w:pPr>
              <w:spacing w:line="276" w:lineRule="auto"/>
            </w:pPr>
          </w:p>
        </w:tc>
        <w:tc>
          <w:tcPr>
            <w:tcW w:w="1351" w:type="dxa"/>
          </w:tcPr>
          <w:p w14:paraId="485F2881" w14:textId="77777777" w:rsidR="00EF295B" w:rsidRPr="00BC6F10" w:rsidRDefault="00EF295B" w:rsidP="00EF295B">
            <w:pPr>
              <w:rPr>
                <w:rFonts w:eastAsia="Times New Roman" w:cs="Times New Roman"/>
                <w:color w:val="000000" w:themeColor="text1"/>
                <w:szCs w:val="20"/>
              </w:rPr>
            </w:pPr>
            <w:r w:rsidRPr="00BC6F10">
              <w:rPr>
                <w:rFonts w:eastAsia="Times New Roman" w:cs="Times New Roman"/>
                <w:color w:val="000000" w:themeColor="text1"/>
                <w:szCs w:val="20"/>
              </w:rPr>
              <w:t>a) LGD (City Corporations)</w:t>
            </w:r>
          </w:p>
          <w:p w14:paraId="05A1B2CF" w14:textId="77777777" w:rsidR="00EF295B" w:rsidRDefault="00EF295B" w:rsidP="00EF295B">
            <w:pPr>
              <w:spacing w:line="276" w:lineRule="auto"/>
              <w:rPr>
                <w:rFonts w:eastAsia="Times New Roman" w:cs="Times New Roman"/>
                <w:color w:val="000000" w:themeColor="text1"/>
                <w:szCs w:val="20"/>
              </w:rPr>
            </w:pPr>
            <w:r w:rsidRPr="00BC6F10">
              <w:rPr>
                <w:rFonts w:eastAsia="Times New Roman" w:cs="Times New Roman"/>
                <w:color w:val="000000" w:themeColor="text1"/>
                <w:szCs w:val="20"/>
              </w:rPr>
              <w:t xml:space="preserve">b) Development Authorities, i.e. RAJUK, CDA, KDA, </w:t>
            </w:r>
            <w:r w:rsidRPr="00BC6F10">
              <w:rPr>
                <w:rFonts w:eastAsia="Times New Roman" w:cs="Times New Roman"/>
                <w:color w:val="000000" w:themeColor="text1"/>
                <w:szCs w:val="20"/>
              </w:rPr>
              <w:lastRenderedPageBreak/>
              <w:t>etc.</w:t>
            </w:r>
            <w:r>
              <w:rPr>
                <w:rFonts w:eastAsia="Times New Roman" w:cs="Times New Roman"/>
                <w:color w:val="000000" w:themeColor="text1"/>
                <w:szCs w:val="20"/>
              </w:rPr>
              <w:t xml:space="preserve">, </w:t>
            </w:r>
            <w:r w:rsidRPr="00BC6F10">
              <w:rPr>
                <w:rFonts w:eastAsia="Times New Roman" w:cs="Times New Roman"/>
                <w:color w:val="000000" w:themeColor="text1"/>
                <w:szCs w:val="20"/>
              </w:rPr>
              <w:t>MoHPW</w:t>
            </w:r>
          </w:p>
          <w:p w14:paraId="27556FCA" w14:textId="77777777" w:rsidR="00EF295B" w:rsidRDefault="00EF295B" w:rsidP="00EF295B">
            <w:pPr>
              <w:spacing w:line="276" w:lineRule="auto"/>
              <w:rPr>
                <w:rFonts w:eastAsia="Times New Roman" w:cs="Times New Roman"/>
                <w:color w:val="000000" w:themeColor="text1"/>
                <w:szCs w:val="20"/>
              </w:rPr>
            </w:pPr>
          </w:p>
          <w:p w14:paraId="13AE61E4" w14:textId="77777777" w:rsidR="00EF295B" w:rsidRPr="00BC6F10" w:rsidRDefault="00EF295B" w:rsidP="00EF295B">
            <w:pPr>
              <w:spacing w:line="276" w:lineRule="auto"/>
              <w:jc w:val="center"/>
            </w:pPr>
            <w:r>
              <w:t>Administrative Data</w:t>
            </w:r>
          </w:p>
        </w:tc>
        <w:tc>
          <w:tcPr>
            <w:tcW w:w="1349" w:type="dxa"/>
          </w:tcPr>
          <w:p w14:paraId="23EE2293"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lastRenderedPageBreak/>
              <w:t>size of city</w:t>
            </w:r>
          </w:p>
          <w:p w14:paraId="01B12478" w14:textId="77777777" w:rsidR="00EF295B" w:rsidRDefault="00EF295B" w:rsidP="00EF295B">
            <w:pPr>
              <w:ind w:left="970" w:hanging="970"/>
              <w:jc w:val="both"/>
              <w:rPr>
                <w:color w:val="0070C0"/>
                <w:sz w:val="30"/>
                <w:szCs w:val="30"/>
              </w:rPr>
            </w:pPr>
          </w:p>
        </w:tc>
        <w:tc>
          <w:tcPr>
            <w:tcW w:w="1145" w:type="dxa"/>
          </w:tcPr>
          <w:p w14:paraId="03D0B284" w14:textId="77777777" w:rsidR="00EF295B" w:rsidRDefault="00EF295B" w:rsidP="00EF295B">
            <w:pPr>
              <w:ind w:left="970" w:hanging="970"/>
              <w:jc w:val="both"/>
              <w:rPr>
                <w:color w:val="0070C0"/>
                <w:sz w:val="30"/>
                <w:szCs w:val="30"/>
              </w:rPr>
            </w:pPr>
            <w:r w:rsidRPr="00BC6F10">
              <w:t>Annual</w:t>
            </w:r>
          </w:p>
        </w:tc>
        <w:tc>
          <w:tcPr>
            <w:tcW w:w="922" w:type="dxa"/>
          </w:tcPr>
          <w:p w14:paraId="785D17CB" w14:textId="77777777" w:rsidR="00EF295B" w:rsidRDefault="00EF295B" w:rsidP="00EF295B">
            <w:pPr>
              <w:ind w:left="970" w:hanging="970"/>
              <w:jc w:val="both"/>
              <w:rPr>
                <w:color w:val="0070C0"/>
                <w:sz w:val="30"/>
                <w:szCs w:val="30"/>
              </w:rPr>
            </w:pPr>
          </w:p>
        </w:tc>
        <w:tc>
          <w:tcPr>
            <w:tcW w:w="644" w:type="dxa"/>
          </w:tcPr>
          <w:p w14:paraId="023E58E2" w14:textId="77777777" w:rsidR="00EF295B" w:rsidRDefault="00EF295B" w:rsidP="00EF295B">
            <w:pPr>
              <w:pStyle w:val="NoSpacing"/>
            </w:pPr>
            <w:r>
              <w:t>1</w:t>
            </w:r>
            <w:r w:rsidRPr="00013ACB">
              <w:rPr>
                <w:vertAlign w:val="superscript"/>
              </w:rPr>
              <w:t>st</w:t>
            </w:r>
            <w:r>
              <w:t xml:space="preserve"> Round:</w:t>
            </w:r>
          </w:p>
          <w:p w14:paraId="2CE48BFA" w14:textId="77777777" w:rsidR="00EF295B" w:rsidRDefault="00EF295B" w:rsidP="00EF295B">
            <w:pPr>
              <w:pStyle w:val="NoSpacing"/>
            </w:pPr>
            <w:r w:rsidRPr="00456578">
              <w:t>December, 2020</w:t>
            </w:r>
          </w:p>
          <w:p w14:paraId="56DAC04D" w14:textId="77777777" w:rsidR="00EF295B" w:rsidRDefault="00EF295B" w:rsidP="00EF295B">
            <w:pPr>
              <w:pStyle w:val="NoSpacing"/>
            </w:pPr>
          </w:p>
          <w:p w14:paraId="21102995" w14:textId="77777777" w:rsidR="00EF295B" w:rsidRDefault="00EF295B" w:rsidP="00EF295B">
            <w:pPr>
              <w:pStyle w:val="NoSpacing"/>
            </w:pPr>
            <w:r>
              <w:t>2</w:t>
            </w:r>
            <w:r w:rsidRPr="00013ACB">
              <w:rPr>
                <w:vertAlign w:val="superscript"/>
              </w:rPr>
              <w:t>nd</w:t>
            </w:r>
            <w:r>
              <w:t xml:space="preserve"> Round: </w:t>
            </w:r>
          </w:p>
          <w:p w14:paraId="04180A48" w14:textId="77777777" w:rsidR="00EF295B" w:rsidRDefault="00EF295B" w:rsidP="00EF295B">
            <w:pPr>
              <w:pStyle w:val="NoSpacing"/>
            </w:pPr>
            <w:r>
              <w:t>December, 2021</w:t>
            </w:r>
          </w:p>
          <w:p w14:paraId="294F14C5" w14:textId="77777777" w:rsidR="00EF295B" w:rsidRDefault="00EF295B" w:rsidP="00EF295B">
            <w:pPr>
              <w:pStyle w:val="NoSpacing"/>
            </w:pPr>
          </w:p>
          <w:p w14:paraId="59DC8E46" w14:textId="77777777" w:rsidR="00EF295B" w:rsidRDefault="00EF295B" w:rsidP="00EF295B">
            <w:pPr>
              <w:pStyle w:val="NoSpacing"/>
            </w:pPr>
            <w:r>
              <w:t>3</w:t>
            </w:r>
            <w:r w:rsidRPr="00013ACB">
              <w:rPr>
                <w:vertAlign w:val="superscript"/>
              </w:rPr>
              <w:t>rd</w:t>
            </w:r>
            <w:r>
              <w:t xml:space="preserve"> Round: </w:t>
            </w:r>
          </w:p>
          <w:p w14:paraId="7D4B02EB" w14:textId="77777777" w:rsidR="00EF295B" w:rsidRDefault="00EF295B" w:rsidP="00EF295B">
            <w:pPr>
              <w:pStyle w:val="NoSpacing"/>
            </w:pPr>
            <w:r>
              <w:t>December, 2022</w:t>
            </w:r>
          </w:p>
          <w:p w14:paraId="41BBFC5D" w14:textId="77777777" w:rsidR="00EF295B" w:rsidRDefault="00EF295B" w:rsidP="00EF295B">
            <w:pPr>
              <w:pStyle w:val="NoSpacing"/>
            </w:pPr>
          </w:p>
          <w:p w14:paraId="63CD5386" w14:textId="77777777" w:rsidR="00EF295B" w:rsidRDefault="00EF295B" w:rsidP="00EF295B">
            <w:pPr>
              <w:pStyle w:val="NoSpacing"/>
            </w:pPr>
            <w:r>
              <w:t>4</w:t>
            </w:r>
            <w:r w:rsidRPr="00013ACB">
              <w:rPr>
                <w:vertAlign w:val="superscript"/>
              </w:rPr>
              <w:t>th</w:t>
            </w:r>
            <w:r>
              <w:t xml:space="preserve"> Round: </w:t>
            </w:r>
          </w:p>
          <w:p w14:paraId="570A306B" w14:textId="77777777" w:rsidR="00EF295B" w:rsidRDefault="00EF295B" w:rsidP="00EF295B">
            <w:pPr>
              <w:pStyle w:val="NoSpacing"/>
            </w:pPr>
            <w:r>
              <w:t>December, 2023</w:t>
            </w:r>
          </w:p>
          <w:p w14:paraId="3CF05290" w14:textId="77777777" w:rsidR="00EF295B" w:rsidRDefault="00EF295B" w:rsidP="00EF295B">
            <w:pPr>
              <w:pStyle w:val="NoSpacing"/>
            </w:pPr>
          </w:p>
          <w:p w14:paraId="6A9C220C" w14:textId="77777777" w:rsidR="00EF295B" w:rsidRDefault="00EF295B" w:rsidP="00EF295B">
            <w:pPr>
              <w:pStyle w:val="NoSpacing"/>
            </w:pPr>
            <w:r>
              <w:t>5</w:t>
            </w:r>
            <w:r w:rsidRPr="00013ACB">
              <w:rPr>
                <w:vertAlign w:val="superscript"/>
              </w:rPr>
              <w:t>th</w:t>
            </w:r>
            <w:r>
              <w:t xml:space="preserve"> Round: </w:t>
            </w:r>
          </w:p>
          <w:p w14:paraId="02D307FF" w14:textId="77777777" w:rsidR="00EF295B" w:rsidRDefault="00EF295B" w:rsidP="00EF295B">
            <w:pPr>
              <w:pStyle w:val="NoSpacing"/>
            </w:pPr>
            <w:r>
              <w:t>December, 2024</w:t>
            </w:r>
          </w:p>
          <w:p w14:paraId="2666AD2A" w14:textId="2ADDC010" w:rsidR="00EF295B" w:rsidRDefault="00EF295B" w:rsidP="00EF295B">
            <w:pPr>
              <w:pStyle w:val="NoSpacing"/>
            </w:pPr>
          </w:p>
        </w:tc>
        <w:tc>
          <w:tcPr>
            <w:tcW w:w="828" w:type="dxa"/>
          </w:tcPr>
          <w:p w14:paraId="4C0DFA80" w14:textId="77777777" w:rsidR="00EF295B" w:rsidRDefault="00EF295B" w:rsidP="00EF295B">
            <w:pPr>
              <w:pStyle w:val="NoSpacing"/>
            </w:pPr>
            <w:r>
              <w:lastRenderedPageBreak/>
              <w:t>UNSC 51 replacement included in the 2020 comprehen</w:t>
            </w:r>
            <w:r>
              <w:lastRenderedPageBreak/>
              <w:t>sive review</w:t>
            </w:r>
          </w:p>
          <w:p w14:paraId="4F4FDCF6" w14:textId="77777777" w:rsidR="00EF295B" w:rsidRDefault="00EF295B" w:rsidP="00EF295B">
            <w:pPr>
              <w:pStyle w:val="NoSpacing"/>
            </w:pPr>
          </w:p>
          <w:p w14:paraId="45DCA8C0" w14:textId="77777777" w:rsidR="00EF295B" w:rsidRDefault="00EF295B" w:rsidP="00EF295B">
            <w:pPr>
              <w:pStyle w:val="NoSpacing"/>
            </w:pPr>
            <w:r>
              <w:t>Reviewed at Webex meeting in Nov. 2017 following 6th IAEG-SDG meeting: Request additional work on definition of cities and methodology as well as additional pilot studies</w:t>
            </w:r>
          </w:p>
        </w:tc>
      </w:tr>
      <w:tr w:rsidR="00EF295B" w14:paraId="52BE2146" w14:textId="77777777" w:rsidTr="0025292C">
        <w:tc>
          <w:tcPr>
            <w:tcW w:w="1218" w:type="dxa"/>
          </w:tcPr>
          <w:p w14:paraId="42746E65" w14:textId="77777777" w:rsidR="00EF295B" w:rsidRDefault="00EF295B" w:rsidP="00EF295B">
            <w:pPr>
              <w:ind w:left="970" w:hanging="970"/>
              <w:jc w:val="both"/>
              <w:rPr>
                <w:color w:val="0070C0"/>
                <w:sz w:val="30"/>
                <w:szCs w:val="30"/>
              </w:rPr>
            </w:pPr>
          </w:p>
        </w:tc>
        <w:tc>
          <w:tcPr>
            <w:tcW w:w="17492" w:type="dxa"/>
            <w:gridSpan w:val="12"/>
          </w:tcPr>
          <w:p w14:paraId="07BC02A5" w14:textId="77777777" w:rsidR="00EF295B" w:rsidRDefault="00EF295B" w:rsidP="00EF295B">
            <w:pPr>
              <w:jc w:val="both"/>
              <w:rPr>
                <w:color w:val="0070C0"/>
                <w:sz w:val="48"/>
                <w:szCs w:val="48"/>
              </w:rPr>
            </w:pPr>
            <w:r>
              <w:rPr>
                <w:color w:val="0070C0"/>
                <w:sz w:val="30"/>
                <w:szCs w:val="30"/>
              </w:rPr>
              <w:t xml:space="preserve">Target </w:t>
            </w:r>
            <w:r w:rsidRPr="00C97C3C">
              <w:rPr>
                <w:color w:val="0070C0"/>
                <w:sz w:val="30"/>
                <w:szCs w:val="30"/>
              </w:rPr>
              <w:t>11.b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w:t>
            </w:r>
          </w:p>
        </w:tc>
      </w:tr>
      <w:tr w:rsidR="00EF295B" w14:paraId="4751165F" w14:textId="77777777" w:rsidTr="0025292C">
        <w:tc>
          <w:tcPr>
            <w:tcW w:w="1218" w:type="dxa"/>
          </w:tcPr>
          <w:p w14:paraId="630F5025" w14:textId="77777777" w:rsidR="00EF295B" w:rsidRPr="00627F96" w:rsidRDefault="00EF295B" w:rsidP="00EF295B">
            <w:pPr>
              <w:pStyle w:val="NoSpacing"/>
            </w:pPr>
            <w:r w:rsidRPr="00627F96">
              <w:lastRenderedPageBreak/>
              <w:t>11.b.1 Number of countries that adopt and implement national disaster risk reduction strategies in line with the Sendai Framework for Disaster Risk Reduction 2015–2030</w:t>
            </w:r>
          </w:p>
        </w:tc>
        <w:tc>
          <w:tcPr>
            <w:tcW w:w="661" w:type="dxa"/>
          </w:tcPr>
          <w:p w14:paraId="5D8293DA" w14:textId="77777777" w:rsidR="00EF295B" w:rsidRDefault="00EF295B" w:rsidP="00EF295B">
            <w:pPr>
              <w:pStyle w:val="NoSpacing"/>
            </w:pPr>
            <w:r w:rsidRPr="004559CB">
              <w:t>UNDRR</w:t>
            </w:r>
          </w:p>
          <w:p w14:paraId="756EE80F" w14:textId="77777777" w:rsidR="00EF295B" w:rsidRDefault="00EF295B" w:rsidP="00EF295B">
            <w:pPr>
              <w:rPr>
                <w:b/>
                <w:bCs/>
                <w:szCs w:val="20"/>
              </w:rPr>
            </w:pPr>
            <w:r w:rsidRPr="007243FC">
              <w:rPr>
                <w:b/>
                <w:bCs/>
                <w:szCs w:val="20"/>
              </w:rPr>
              <w:t>Partner Agencies:</w:t>
            </w:r>
          </w:p>
          <w:p w14:paraId="3AC98DCC" w14:textId="77777777" w:rsidR="00EF295B" w:rsidRDefault="00EF295B" w:rsidP="00EF295B">
            <w:pPr>
              <w:pStyle w:val="NoSpacing"/>
            </w:pPr>
            <w:r>
              <w:t xml:space="preserve">UN-Habitat, </w:t>
            </w:r>
          </w:p>
          <w:p w14:paraId="615198CF" w14:textId="77777777" w:rsidR="00EF295B" w:rsidRDefault="00EF295B" w:rsidP="00EF295B">
            <w:pPr>
              <w:pStyle w:val="NoSpacing"/>
            </w:pPr>
            <w:r>
              <w:t>UNEP</w:t>
            </w:r>
          </w:p>
        </w:tc>
        <w:tc>
          <w:tcPr>
            <w:tcW w:w="935" w:type="dxa"/>
          </w:tcPr>
          <w:p w14:paraId="126024E7" w14:textId="77777777" w:rsidR="00EF295B" w:rsidRDefault="00EF295B" w:rsidP="00EF295B">
            <w:pPr>
              <w:ind w:left="970" w:hanging="970"/>
              <w:jc w:val="both"/>
              <w:rPr>
                <w:color w:val="0070C0"/>
                <w:sz w:val="30"/>
                <w:szCs w:val="30"/>
              </w:rPr>
            </w:pPr>
            <w:r w:rsidRPr="00666BAB">
              <w:t>Tier II</w:t>
            </w:r>
          </w:p>
        </w:tc>
        <w:tc>
          <w:tcPr>
            <w:tcW w:w="6853" w:type="dxa"/>
          </w:tcPr>
          <w:p w14:paraId="0D747462" w14:textId="77777777" w:rsidR="00EF295B" w:rsidRPr="00227573" w:rsidRDefault="00EF295B" w:rsidP="00EF295B">
            <w:pPr>
              <w:pStyle w:val="NoSpacing"/>
              <w:rPr>
                <w:lang w:eastAsia="en-GB"/>
              </w:rPr>
            </w:pPr>
            <w:r w:rsidRPr="00227573">
              <w:rPr>
                <w:lang w:eastAsia="en-GB"/>
              </w:rPr>
              <w:t>Definition:</w:t>
            </w:r>
          </w:p>
          <w:p w14:paraId="47A18B7F" w14:textId="77777777" w:rsidR="00EF295B" w:rsidRPr="00227573" w:rsidRDefault="00EF295B" w:rsidP="00EF295B">
            <w:pPr>
              <w:pStyle w:val="NoSpacing"/>
              <w:rPr>
                <w:lang w:eastAsia="en-GB"/>
              </w:rPr>
            </w:pPr>
          </w:p>
          <w:p w14:paraId="1B71744F" w14:textId="77777777" w:rsidR="00EF295B" w:rsidRPr="00227573" w:rsidRDefault="00EF295B" w:rsidP="00EF295B">
            <w:pPr>
              <w:pStyle w:val="NoSpacing"/>
              <w:rPr>
                <w:lang w:eastAsia="en-GB"/>
              </w:rPr>
            </w:pPr>
            <w:r w:rsidRPr="00227573">
              <w:rPr>
                <w:lang w:eastAsia="en-GB"/>
              </w:rPr>
              <w:t>NA</w:t>
            </w:r>
          </w:p>
          <w:p w14:paraId="6A87C720" w14:textId="77777777" w:rsidR="00EF295B" w:rsidRDefault="00EF295B" w:rsidP="00EF295B">
            <w:pPr>
              <w:pStyle w:val="NoSpacing"/>
              <w:rPr>
                <w:lang w:eastAsia="en-GB"/>
              </w:rPr>
            </w:pPr>
          </w:p>
          <w:p w14:paraId="75EEFAF3" w14:textId="77777777" w:rsidR="00EF295B" w:rsidRDefault="00EF295B" w:rsidP="00EF295B">
            <w:pPr>
              <w:pStyle w:val="NoSpacing"/>
              <w:rPr>
                <w:lang w:eastAsia="en-GB"/>
              </w:rPr>
            </w:pPr>
            <w:r>
              <w:rPr>
                <w:lang w:eastAsia="en-GB"/>
              </w:rPr>
              <w:t xml:space="preserve">[a] </w:t>
            </w:r>
            <w:r w:rsidRPr="005E4E11">
              <w:rPr>
                <w:lang w:eastAsia="en-GB"/>
              </w:rPr>
              <w:t>An open-ended intergovernmental expert working group on indicators and terminology relating to disaster risk reduction established by the General Assembly (resolution 69/284) is developing a set of indicators to measure global progress in the implementation of the Sendai Framework. These indicators will eventually reflect the agreements on the Sendai Framework indicators.</w:t>
            </w:r>
          </w:p>
          <w:p w14:paraId="6C1E44CB" w14:textId="77777777" w:rsidR="00EF295B" w:rsidRPr="00227573" w:rsidRDefault="00EF295B" w:rsidP="00EF295B">
            <w:pPr>
              <w:pStyle w:val="NoSpacing"/>
              <w:rPr>
                <w:lang w:eastAsia="en-GB"/>
              </w:rPr>
            </w:pPr>
          </w:p>
          <w:p w14:paraId="60421E26" w14:textId="77777777" w:rsidR="00EF295B" w:rsidRPr="00227573" w:rsidRDefault="00EF295B" w:rsidP="00EF295B">
            <w:pPr>
              <w:pStyle w:val="NoSpacing"/>
              <w:rPr>
                <w:lang w:eastAsia="en-GB"/>
              </w:rPr>
            </w:pPr>
            <w:r w:rsidRPr="00227573">
              <w:rPr>
                <w:lang w:eastAsia="en-GB"/>
              </w:rPr>
              <w:t>Comments and limitations:</w:t>
            </w:r>
          </w:p>
          <w:p w14:paraId="638B8220" w14:textId="77777777" w:rsidR="00EF295B" w:rsidRPr="00227573" w:rsidRDefault="00EF295B" w:rsidP="00EF295B">
            <w:pPr>
              <w:pStyle w:val="NoSpacing"/>
              <w:rPr>
                <w:lang w:eastAsia="en-GB"/>
              </w:rPr>
            </w:pPr>
          </w:p>
          <w:p w14:paraId="7A0BFC29" w14:textId="77777777" w:rsidR="00EF295B" w:rsidRPr="00227573" w:rsidRDefault="00EF295B" w:rsidP="00EF295B">
            <w:pPr>
              <w:pStyle w:val="NoSpacing"/>
              <w:rPr>
                <w:lang w:eastAsia="en-GB"/>
              </w:rPr>
            </w:pPr>
            <w:r w:rsidRPr="00227573">
              <w:rPr>
                <w:lang w:eastAsia="en-GB"/>
              </w:rPr>
              <w:t>The HFA Monitor started in 2007 and over time, the number of countries reporting to UNISDR increased from 60 in 2007 to 140+ countries now undertaking voluntary self-assessment of progress in implementing the HFA. During the four reporting cycles to 2015 the HFA Monitor has generated the world’s largest repository of information on national DRR policy inter alia. Its successor, provisionally named the Sendai Monitor, is under development and will be informed by the recommendations of the OEIWG. A baseline as of 2015 is expected to be created in 2016-2017 that will facilitate reporting on progress in achieving the relevant targets of both the Sendai Framework and the SDGs.</w:t>
            </w:r>
          </w:p>
          <w:p w14:paraId="38D5985F" w14:textId="77777777" w:rsidR="00EF295B" w:rsidRPr="00227573" w:rsidRDefault="00EF295B" w:rsidP="00EF295B">
            <w:pPr>
              <w:pStyle w:val="NoSpacing"/>
              <w:rPr>
                <w:lang w:eastAsia="en-GB"/>
              </w:rPr>
            </w:pPr>
          </w:p>
          <w:p w14:paraId="75434881" w14:textId="77777777" w:rsidR="00EF295B" w:rsidRPr="00E637EF" w:rsidRDefault="00EF295B" w:rsidP="00EF295B">
            <w:pPr>
              <w:pStyle w:val="NoSpacing"/>
              <w:rPr>
                <w:lang w:eastAsia="en-GB"/>
              </w:rPr>
            </w:pPr>
            <w:r w:rsidRPr="00227573">
              <w:rPr>
                <w:lang w:eastAsia="en-GB"/>
              </w:rPr>
              <w:t>Members of both the OEIWG and the IAEG-SDGs have addressed that indicators that simply count the number of countries are not recommended, instead that, indicators to measure progress over time have been promoted. Further to the deliberations of the OEIWG as well as the IAEG, UNISDR has proposed computation methodologies that allow the monitoring of improvement in national and local DRR strategies over time. These methodologies range from a simple quantitative assessment of the number of these strategies to a qualitative measure of alignment with the Sendai Framework, as well as population coverage for local strategies.</w:t>
            </w:r>
          </w:p>
          <w:p w14:paraId="31416E75" w14:textId="77777777" w:rsidR="00EF295B" w:rsidRPr="000C4849" w:rsidRDefault="00EF295B" w:rsidP="00EF295B">
            <w:pPr>
              <w:pStyle w:val="NoSpacing"/>
              <w:rPr>
                <w:b/>
                <w:lang w:eastAsia="en-GB"/>
              </w:rPr>
            </w:pPr>
            <w:r w:rsidRPr="000C4849">
              <w:rPr>
                <w:b/>
                <w:lang w:eastAsia="en-GB"/>
              </w:rPr>
              <w:t>Computation Method:</w:t>
            </w:r>
          </w:p>
          <w:p w14:paraId="36374011" w14:textId="77777777" w:rsidR="00EF295B" w:rsidRPr="00227573" w:rsidRDefault="00EF295B" w:rsidP="00EF295B">
            <w:pPr>
              <w:pStyle w:val="NoSpacing"/>
              <w:rPr>
                <w:lang w:eastAsia="en-GB"/>
              </w:rPr>
            </w:pPr>
          </w:p>
          <w:p w14:paraId="00A1A38C" w14:textId="77777777" w:rsidR="00EF295B" w:rsidRPr="00227573" w:rsidRDefault="00EF295B" w:rsidP="00EF295B">
            <w:pPr>
              <w:pStyle w:val="NoSpacing"/>
              <w:rPr>
                <w:lang w:eastAsia="en-GB"/>
              </w:rPr>
            </w:pPr>
            <w:r w:rsidRPr="00227573">
              <w:rPr>
                <w:lang w:eastAsia="en-GB"/>
              </w:rPr>
              <w:t>Note: Computation methodology for several indicators is very comprehensive, very long (about 180 pages) and probably out of the scope of this Metadata. UNISDR prefers to refer to the outcome of the Open Ended Intergovernmental Working Group, which provides a full detailed methodology for each indicator and sub-indicator.</w:t>
            </w:r>
          </w:p>
          <w:p w14:paraId="540BDD64" w14:textId="77777777" w:rsidR="00EF295B" w:rsidRDefault="00EF295B" w:rsidP="00EF295B">
            <w:pPr>
              <w:pStyle w:val="NoSpacing"/>
            </w:pPr>
          </w:p>
        </w:tc>
        <w:tc>
          <w:tcPr>
            <w:tcW w:w="1174" w:type="dxa"/>
          </w:tcPr>
          <w:p w14:paraId="6639339F" w14:textId="77777777" w:rsidR="00EF295B" w:rsidRPr="00227573" w:rsidRDefault="00EF295B" w:rsidP="00EF295B">
            <w:pPr>
              <w:pStyle w:val="NoSpacing"/>
              <w:rPr>
                <w:lang w:eastAsia="en-GB"/>
              </w:rPr>
            </w:pPr>
            <w:r w:rsidRPr="00227573">
              <w:rPr>
                <w:lang w:eastAsia="en-GB"/>
              </w:rPr>
              <w:t>The official counterpart(s) at the country level will provide National Progress Report of the Sendai Monitor.</w:t>
            </w:r>
          </w:p>
          <w:p w14:paraId="3B7E4E74" w14:textId="77777777" w:rsidR="00EF295B" w:rsidRDefault="00EF295B" w:rsidP="00EF295B">
            <w:pPr>
              <w:pStyle w:val="NoSpacing"/>
            </w:pPr>
          </w:p>
        </w:tc>
        <w:tc>
          <w:tcPr>
            <w:tcW w:w="818" w:type="dxa"/>
          </w:tcPr>
          <w:p w14:paraId="77947CFF" w14:textId="77777777" w:rsidR="00EF295B" w:rsidRPr="00227573" w:rsidRDefault="00EF295B" w:rsidP="00EF295B">
            <w:pPr>
              <w:pStyle w:val="NoSpacing"/>
              <w:rPr>
                <w:lang w:eastAsia="en-GB"/>
              </w:rPr>
            </w:pPr>
            <w:r w:rsidRPr="00227573">
              <w:rPr>
                <w:lang w:eastAsia="en-GB"/>
              </w:rPr>
              <w:t>The coordinating lead institution chairing the National DRR platform which is comprised of special purpose agencies including national disaster agencies, civil protection agencies, and meteorological agencies.</w:t>
            </w:r>
          </w:p>
          <w:p w14:paraId="168C4012" w14:textId="77777777" w:rsidR="00EF295B" w:rsidRPr="00AA3356" w:rsidRDefault="00EF295B" w:rsidP="00EF295B">
            <w:pPr>
              <w:pStyle w:val="NoSpacing"/>
            </w:pPr>
          </w:p>
        </w:tc>
        <w:tc>
          <w:tcPr>
            <w:tcW w:w="812" w:type="dxa"/>
          </w:tcPr>
          <w:p w14:paraId="68DCBE13" w14:textId="4DDAA9E6" w:rsidR="00EF295B" w:rsidRPr="00C31458" w:rsidRDefault="00EF295B" w:rsidP="00EF295B">
            <w:pPr>
              <w:spacing w:line="276" w:lineRule="auto"/>
              <w:jc w:val="center"/>
              <w:rPr>
                <w:rFonts w:cs="Times New Roman"/>
                <w:szCs w:val="20"/>
              </w:rPr>
            </w:pPr>
          </w:p>
        </w:tc>
        <w:tc>
          <w:tcPr>
            <w:tcW w:w="1351" w:type="dxa"/>
          </w:tcPr>
          <w:p w14:paraId="7774E0FA" w14:textId="77777777" w:rsidR="00EF295B" w:rsidRDefault="00EF295B" w:rsidP="00EF295B">
            <w:pPr>
              <w:spacing w:line="276" w:lineRule="auto"/>
              <w:jc w:val="center"/>
              <w:rPr>
                <w:rFonts w:cs="Times New Roman"/>
                <w:szCs w:val="20"/>
              </w:rPr>
            </w:pPr>
            <w:r w:rsidRPr="00C31458">
              <w:rPr>
                <w:rFonts w:cs="Times New Roman"/>
                <w:szCs w:val="20"/>
              </w:rPr>
              <w:t xml:space="preserve">MoDMR </w:t>
            </w:r>
          </w:p>
          <w:p w14:paraId="59E7BD3F" w14:textId="77777777" w:rsidR="00EF295B" w:rsidRDefault="00EF295B" w:rsidP="00EF295B">
            <w:pPr>
              <w:spacing w:line="276" w:lineRule="auto"/>
              <w:jc w:val="center"/>
              <w:rPr>
                <w:rFonts w:cs="Times New Roman"/>
                <w:szCs w:val="20"/>
              </w:rPr>
            </w:pPr>
          </w:p>
          <w:p w14:paraId="2A53FF6B" w14:textId="77777777" w:rsidR="00EF295B" w:rsidRPr="00C31458" w:rsidRDefault="00EF295B" w:rsidP="00EF295B">
            <w:pPr>
              <w:spacing w:line="276" w:lineRule="auto"/>
              <w:jc w:val="center"/>
              <w:rPr>
                <w:rFonts w:cs="Times New Roman"/>
                <w:szCs w:val="20"/>
              </w:rPr>
            </w:pPr>
            <w:r w:rsidRPr="00C31458">
              <w:rPr>
                <w:rFonts w:cs="Times New Roman"/>
                <w:szCs w:val="20"/>
              </w:rPr>
              <w:t>Administrative Data</w:t>
            </w:r>
          </w:p>
        </w:tc>
        <w:tc>
          <w:tcPr>
            <w:tcW w:w="1349" w:type="dxa"/>
          </w:tcPr>
          <w:p w14:paraId="737A6411" w14:textId="77777777" w:rsidR="00EF295B" w:rsidRDefault="00EF295B" w:rsidP="00EF295B">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location: city</w:t>
            </w:r>
          </w:p>
          <w:p w14:paraId="395DC2DB" w14:textId="77777777" w:rsidR="00EF295B" w:rsidRDefault="00EF295B" w:rsidP="00EF295B">
            <w:pPr>
              <w:ind w:left="970" w:hanging="970"/>
              <w:jc w:val="both"/>
              <w:rPr>
                <w:color w:val="0070C0"/>
                <w:sz w:val="30"/>
                <w:szCs w:val="30"/>
              </w:rPr>
            </w:pPr>
          </w:p>
        </w:tc>
        <w:tc>
          <w:tcPr>
            <w:tcW w:w="1145" w:type="dxa"/>
          </w:tcPr>
          <w:p w14:paraId="5D092DF0" w14:textId="77777777" w:rsidR="00EF295B" w:rsidRDefault="00EF295B" w:rsidP="00EF295B">
            <w:pPr>
              <w:ind w:left="970" w:hanging="970"/>
              <w:jc w:val="both"/>
              <w:rPr>
                <w:color w:val="0070C0"/>
                <w:sz w:val="30"/>
                <w:szCs w:val="30"/>
              </w:rPr>
            </w:pPr>
            <w:r w:rsidRPr="00BC6F10">
              <w:t>Triennial</w:t>
            </w:r>
          </w:p>
        </w:tc>
        <w:tc>
          <w:tcPr>
            <w:tcW w:w="922" w:type="dxa"/>
          </w:tcPr>
          <w:p w14:paraId="44343CFC" w14:textId="77777777" w:rsidR="00EF295B" w:rsidRDefault="00EF295B" w:rsidP="00EF295B">
            <w:pPr>
              <w:ind w:left="970" w:hanging="970"/>
              <w:jc w:val="both"/>
              <w:rPr>
                <w:color w:val="0070C0"/>
                <w:sz w:val="30"/>
                <w:szCs w:val="30"/>
              </w:rPr>
            </w:pPr>
            <w:r>
              <w:t>Group 2</w:t>
            </w:r>
          </w:p>
        </w:tc>
        <w:tc>
          <w:tcPr>
            <w:tcW w:w="644" w:type="dxa"/>
          </w:tcPr>
          <w:p w14:paraId="74E668BF" w14:textId="77777777" w:rsidR="00EF295B" w:rsidRDefault="00EF295B" w:rsidP="00EF295B">
            <w:pPr>
              <w:pStyle w:val="NoSpacing"/>
            </w:pPr>
            <w:r>
              <w:t>1</w:t>
            </w:r>
            <w:r w:rsidRPr="00013ACB">
              <w:rPr>
                <w:vertAlign w:val="superscript"/>
              </w:rPr>
              <w:t>st</w:t>
            </w:r>
            <w:r>
              <w:t xml:space="preserve"> Round:</w:t>
            </w:r>
          </w:p>
          <w:p w14:paraId="464D608C" w14:textId="77777777" w:rsidR="00EF295B" w:rsidRDefault="00EF295B" w:rsidP="00EF295B">
            <w:pPr>
              <w:pStyle w:val="NoSpacing"/>
            </w:pPr>
            <w:r>
              <w:t>June 2020</w:t>
            </w:r>
          </w:p>
          <w:p w14:paraId="217DC0B0" w14:textId="77777777" w:rsidR="00EF295B" w:rsidRDefault="00EF295B" w:rsidP="00EF295B">
            <w:pPr>
              <w:pStyle w:val="NoSpacing"/>
            </w:pPr>
          </w:p>
          <w:p w14:paraId="7055F401" w14:textId="77777777" w:rsidR="00EF295B" w:rsidRDefault="00EF295B" w:rsidP="00EF295B">
            <w:pPr>
              <w:pStyle w:val="NoSpacing"/>
            </w:pPr>
            <w:r>
              <w:t>2</w:t>
            </w:r>
            <w:r w:rsidRPr="00013ACB">
              <w:rPr>
                <w:vertAlign w:val="superscript"/>
              </w:rPr>
              <w:t>nd</w:t>
            </w:r>
            <w:r>
              <w:t xml:space="preserve"> Round: </w:t>
            </w:r>
          </w:p>
          <w:p w14:paraId="2C7EC2ED" w14:textId="77777777" w:rsidR="00EF295B" w:rsidRDefault="00EF295B" w:rsidP="00EF295B">
            <w:pPr>
              <w:pStyle w:val="NoSpacing"/>
            </w:pPr>
            <w:r>
              <w:t>June 2023</w:t>
            </w:r>
          </w:p>
          <w:p w14:paraId="1608BB9E" w14:textId="77777777" w:rsidR="00EF295B" w:rsidRDefault="00EF295B" w:rsidP="00EF295B">
            <w:pPr>
              <w:pStyle w:val="NoSpacing"/>
            </w:pPr>
          </w:p>
          <w:p w14:paraId="681254BE" w14:textId="77777777" w:rsidR="00EF295B" w:rsidRDefault="00EF295B" w:rsidP="00EF295B">
            <w:pPr>
              <w:pStyle w:val="NoSpacing"/>
            </w:pPr>
            <w:r>
              <w:t>3</w:t>
            </w:r>
            <w:r w:rsidRPr="00013ACB">
              <w:rPr>
                <w:vertAlign w:val="superscript"/>
              </w:rPr>
              <w:t>rd</w:t>
            </w:r>
            <w:r>
              <w:t xml:space="preserve"> Round: </w:t>
            </w:r>
          </w:p>
          <w:p w14:paraId="2249EDA5" w14:textId="77777777" w:rsidR="00EF295B" w:rsidRDefault="00EF295B" w:rsidP="00EF295B">
            <w:pPr>
              <w:pStyle w:val="NoSpacing"/>
            </w:pPr>
            <w:r>
              <w:t>June 2026</w:t>
            </w:r>
          </w:p>
          <w:p w14:paraId="092E86A5" w14:textId="77777777" w:rsidR="00EF295B" w:rsidRDefault="00EF295B" w:rsidP="00EF295B">
            <w:pPr>
              <w:pStyle w:val="NoSpacing"/>
            </w:pPr>
          </w:p>
          <w:p w14:paraId="58F02827" w14:textId="77777777" w:rsidR="00EF295B" w:rsidRDefault="00EF295B" w:rsidP="00EF295B">
            <w:pPr>
              <w:pStyle w:val="NoSpacing"/>
            </w:pPr>
            <w:r>
              <w:t>4</w:t>
            </w:r>
            <w:r w:rsidRPr="00013ACB">
              <w:rPr>
                <w:vertAlign w:val="superscript"/>
              </w:rPr>
              <w:t>th</w:t>
            </w:r>
            <w:r>
              <w:t xml:space="preserve"> Round: </w:t>
            </w:r>
          </w:p>
          <w:p w14:paraId="10415390" w14:textId="77777777" w:rsidR="00EF295B" w:rsidRDefault="00EF295B" w:rsidP="00EF295B">
            <w:pPr>
              <w:pStyle w:val="NoSpacing"/>
            </w:pPr>
            <w:r>
              <w:t>June 2029</w:t>
            </w:r>
          </w:p>
          <w:p w14:paraId="352F644D" w14:textId="77777777" w:rsidR="00EF295B" w:rsidRDefault="00EF295B" w:rsidP="00EF295B">
            <w:pPr>
              <w:pStyle w:val="NoSpacing"/>
            </w:pPr>
          </w:p>
          <w:p w14:paraId="76279F28" w14:textId="77777777" w:rsidR="00EF295B" w:rsidRDefault="00EF295B" w:rsidP="00EF295B">
            <w:pPr>
              <w:pStyle w:val="NoSpacing"/>
            </w:pPr>
            <w:r>
              <w:t>5</w:t>
            </w:r>
            <w:r w:rsidRPr="00013ACB">
              <w:rPr>
                <w:vertAlign w:val="superscript"/>
              </w:rPr>
              <w:t>th</w:t>
            </w:r>
            <w:r>
              <w:t xml:space="preserve"> Round: </w:t>
            </w:r>
          </w:p>
          <w:p w14:paraId="23145F7F" w14:textId="6911C2C8" w:rsidR="00EF295B" w:rsidRDefault="00EF295B" w:rsidP="00EF295B">
            <w:pPr>
              <w:pStyle w:val="NoSpacing"/>
            </w:pPr>
            <w:r>
              <w:t>June 2030</w:t>
            </w:r>
          </w:p>
        </w:tc>
        <w:tc>
          <w:tcPr>
            <w:tcW w:w="828" w:type="dxa"/>
          </w:tcPr>
          <w:p w14:paraId="5FA05DB5" w14:textId="77777777" w:rsidR="00EF295B" w:rsidRDefault="00EF295B" w:rsidP="00EF295B">
            <w:pPr>
              <w:pStyle w:val="NoSpacing"/>
            </w:pPr>
            <w:r>
              <w:t>Data availability reviewed in Oct. 2019 (classified as Tier II)</w:t>
            </w:r>
          </w:p>
          <w:p w14:paraId="2637C90A" w14:textId="77777777" w:rsidR="00EF295B" w:rsidRDefault="00EF295B" w:rsidP="00EF295B">
            <w:pPr>
              <w:pStyle w:val="NoSpacing"/>
            </w:pPr>
          </w:p>
          <w:p w14:paraId="452847C5" w14:textId="77777777" w:rsidR="00EF295B" w:rsidRDefault="00EF295B" w:rsidP="00EF295B">
            <w:pPr>
              <w:pStyle w:val="NoSpacing"/>
            </w:pPr>
            <w:r>
              <w:t>Data availability reviewed in Nov. 2017 (classified as Tier I)</w:t>
            </w:r>
          </w:p>
          <w:p w14:paraId="355620D1" w14:textId="77777777" w:rsidR="00EF295B" w:rsidRDefault="00EF295B" w:rsidP="00EF295B">
            <w:pPr>
              <w:pStyle w:val="NoSpacing"/>
            </w:pPr>
          </w:p>
          <w:p w14:paraId="091998DA" w14:textId="58B4A95B" w:rsidR="009A2A44" w:rsidRDefault="00EF295B" w:rsidP="00EF295B">
            <w:pPr>
              <w:pStyle w:val="NoSpacing"/>
            </w:pPr>
            <w:r>
              <w:t>Sendai modification; Reviewed at 5th IAEG-SDG meeting (classified as Tier II)</w:t>
            </w:r>
          </w:p>
          <w:p w14:paraId="36098630" w14:textId="77777777" w:rsidR="009A2A44" w:rsidRDefault="009A2A44" w:rsidP="00EF295B">
            <w:pPr>
              <w:pStyle w:val="NoSpacing"/>
            </w:pPr>
          </w:p>
          <w:p w14:paraId="24AB013B" w14:textId="77777777" w:rsidR="009A2A44" w:rsidRDefault="009A2A44" w:rsidP="00EF295B">
            <w:pPr>
              <w:pStyle w:val="NoSpacing"/>
            </w:pPr>
          </w:p>
          <w:p w14:paraId="5F8D35AD" w14:textId="1ABF8E4B" w:rsidR="00EF295B" w:rsidRDefault="009A2A44" w:rsidP="00EF295B">
            <w:pPr>
              <w:pStyle w:val="NoSpacing"/>
            </w:pPr>
            <w:r>
              <w:t xml:space="preserve">1.5.3  &amp; </w:t>
            </w:r>
            <w:r w:rsidR="00EF295B">
              <w:t>13.1.2 are repeat</w:t>
            </w:r>
            <w:r>
              <w:t>ed</w:t>
            </w:r>
          </w:p>
        </w:tc>
      </w:tr>
      <w:tr w:rsidR="00EF295B" w14:paraId="18B691A9" w14:textId="77777777" w:rsidTr="0025292C">
        <w:tc>
          <w:tcPr>
            <w:tcW w:w="1218" w:type="dxa"/>
          </w:tcPr>
          <w:p w14:paraId="0CD42344" w14:textId="77777777" w:rsidR="00EF295B" w:rsidRPr="00627F96" w:rsidRDefault="00EF295B" w:rsidP="00EF295B">
            <w:pPr>
              <w:pStyle w:val="NoSpacing"/>
            </w:pPr>
            <w:r w:rsidRPr="00627F96">
              <w:t xml:space="preserve">11.b.2 Proportion of local governments that adopt and implement local disaster risk reduction </w:t>
            </w:r>
            <w:r w:rsidRPr="00627F96">
              <w:lastRenderedPageBreak/>
              <w:t>strategies in line with national disaster risk reduction strategies</w:t>
            </w:r>
          </w:p>
        </w:tc>
        <w:tc>
          <w:tcPr>
            <w:tcW w:w="661" w:type="dxa"/>
          </w:tcPr>
          <w:p w14:paraId="415998A2" w14:textId="77777777" w:rsidR="00EF295B" w:rsidRDefault="00EF295B" w:rsidP="00EF295B">
            <w:pPr>
              <w:pStyle w:val="NoSpacing"/>
            </w:pPr>
            <w:r w:rsidRPr="004559CB">
              <w:lastRenderedPageBreak/>
              <w:t>UNDRR</w:t>
            </w:r>
          </w:p>
          <w:p w14:paraId="254149C8" w14:textId="77777777" w:rsidR="00EF295B" w:rsidRDefault="00EF295B" w:rsidP="00EF295B">
            <w:pPr>
              <w:rPr>
                <w:b/>
                <w:bCs/>
                <w:szCs w:val="20"/>
              </w:rPr>
            </w:pPr>
            <w:r w:rsidRPr="007243FC">
              <w:rPr>
                <w:b/>
                <w:bCs/>
                <w:szCs w:val="20"/>
              </w:rPr>
              <w:t>Partner Agencies:</w:t>
            </w:r>
          </w:p>
          <w:p w14:paraId="54B849B5" w14:textId="77777777" w:rsidR="00EF295B" w:rsidRDefault="00EF295B" w:rsidP="00EF295B">
            <w:pPr>
              <w:pStyle w:val="NoSpacing"/>
            </w:pPr>
            <w:r>
              <w:t xml:space="preserve">UNEP, </w:t>
            </w:r>
          </w:p>
          <w:p w14:paraId="3CF08C9B" w14:textId="77777777" w:rsidR="00EF295B" w:rsidRDefault="00EF295B" w:rsidP="00EF295B">
            <w:pPr>
              <w:pStyle w:val="NoSpacing"/>
            </w:pPr>
            <w:r>
              <w:t>UN-</w:t>
            </w:r>
            <w:r>
              <w:lastRenderedPageBreak/>
              <w:t>Habitat</w:t>
            </w:r>
          </w:p>
        </w:tc>
        <w:tc>
          <w:tcPr>
            <w:tcW w:w="935" w:type="dxa"/>
          </w:tcPr>
          <w:p w14:paraId="734EE6B4" w14:textId="77777777" w:rsidR="00EF295B" w:rsidRDefault="00EF295B" w:rsidP="00EF295B">
            <w:pPr>
              <w:ind w:left="970" w:hanging="970"/>
              <w:jc w:val="both"/>
              <w:rPr>
                <w:color w:val="0070C0"/>
                <w:sz w:val="30"/>
                <w:szCs w:val="30"/>
              </w:rPr>
            </w:pPr>
            <w:r w:rsidRPr="00666BAB">
              <w:lastRenderedPageBreak/>
              <w:t>Tier II</w:t>
            </w:r>
          </w:p>
        </w:tc>
        <w:tc>
          <w:tcPr>
            <w:tcW w:w="6853" w:type="dxa"/>
          </w:tcPr>
          <w:p w14:paraId="34F583C6" w14:textId="77777777" w:rsidR="00EF295B" w:rsidRPr="00D67FF1" w:rsidRDefault="00EF295B" w:rsidP="00EF295B">
            <w:pPr>
              <w:shd w:val="clear" w:color="auto" w:fill="FFFFFF"/>
              <w:spacing w:line="336" w:lineRule="atLeast"/>
              <w:rPr>
                <w:rFonts w:eastAsia="Times New Roman" w:cs="Arial"/>
                <w:color w:val="4A4A4A"/>
                <w:szCs w:val="20"/>
                <w:lang w:eastAsia="en-GB"/>
              </w:rPr>
            </w:pPr>
            <w:r w:rsidRPr="00D67FF1">
              <w:rPr>
                <w:rFonts w:eastAsia="Times New Roman" w:cs="Arial"/>
                <w:b/>
                <w:bCs/>
                <w:color w:val="4A4A4A"/>
                <w:szCs w:val="20"/>
                <w:lang w:eastAsia="en-GB"/>
              </w:rPr>
              <w:t>Definition:</w:t>
            </w:r>
          </w:p>
          <w:p w14:paraId="49CD0A7C" w14:textId="77777777" w:rsidR="00EF295B" w:rsidRPr="00D67FF1" w:rsidRDefault="00EF295B" w:rsidP="00EF295B">
            <w:pPr>
              <w:shd w:val="clear" w:color="auto" w:fill="FFFFFF"/>
              <w:rPr>
                <w:rFonts w:eastAsia="Times New Roman" w:cs="Times New Roman"/>
                <w:color w:val="4A4A4A"/>
                <w:szCs w:val="20"/>
                <w:lang w:eastAsia="en-GB"/>
              </w:rPr>
            </w:pPr>
            <w:r w:rsidRPr="00D67FF1">
              <w:rPr>
                <w:rFonts w:eastAsia="Times New Roman" w:cs="Times New Roman"/>
                <w:color w:val="4A4A4A"/>
                <w:szCs w:val="20"/>
                <w:lang w:eastAsia="en-GB"/>
              </w:rPr>
              <w:t>The Sendai Framework for Disaster Risk Reduction 2015-2030 was adopted by UN Member States in March 2015 as a global policy of disaster risk reduction. One of the targets is: “Substantially increase the number of countries with national and local disaster risk reduction strategies by 2020”.</w:t>
            </w:r>
          </w:p>
          <w:p w14:paraId="5A1822CB" w14:textId="77777777" w:rsidR="00EF295B" w:rsidRDefault="00EF295B" w:rsidP="00EF295B">
            <w:pPr>
              <w:shd w:val="clear" w:color="auto" w:fill="FFFFFF"/>
              <w:rPr>
                <w:rFonts w:eastAsia="Times New Roman" w:cs="Times New Roman"/>
                <w:color w:val="4A4A4A"/>
                <w:szCs w:val="20"/>
                <w:lang w:eastAsia="en-GB"/>
              </w:rPr>
            </w:pPr>
            <w:r w:rsidRPr="00D67FF1">
              <w:rPr>
                <w:rFonts w:eastAsia="Times New Roman" w:cs="Times New Roman"/>
                <w:color w:val="4A4A4A"/>
                <w:szCs w:val="20"/>
                <w:lang w:eastAsia="en-GB"/>
              </w:rPr>
              <w:t>In line with the Sendai Framework for Disaster Risk Reduction 2015-2030, disaster risk reduction strategies and policies should mainstream and integrate disaster risk reduction within and across all sectors, across different timescales and with targe</w:t>
            </w:r>
            <w:r>
              <w:rPr>
                <w:rFonts w:eastAsia="Times New Roman" w:cs="Times New Roman"/>
                <w:color w:val="4A4A4A"/>
                <w:szCs w:val="20"/>
                <w:lang w:eastAsia="en-GB"/>
              </w:rPr>
              <w:t>ts, indicators and time frames.</w:t>
            </w:r>
          </w:p>
          <w:p w14:paraId="6AFBA73A" w14:textId="77777777" w:rsidR="00EF295B" w:rsidRPr="00D67FF1" w:rsidRDefault="00EF295B" w:rsidP="00EF295B">
            <w:pPr>
              <w:shd w:val="clear" w:color="auto" w:fill="FFFFFF"/>
              <w:rPr>
                <w:rFonts w:eastAsia="Times New Roman" w:cs="Times New Roman"/>
                <w:color w:val="4A4A4A"/>
                <w:szCs w:val="20"/>
                <w:lang w:eastAsia="en-GB"/>
              </w:rPr>
            </w:pPr>
            <w:r w:rsidRPr="00D67FF1">
              <w:rPr>
                <w:rFonts w:eastAsia="Times New Roman" w:cs="Times New Roman"/>
                <w:color w:val="4A4A4A"/>
                <w:szCs w:val="20"/>
                <w:lang w:eastAsia="en-GB"/>
              </w:rPr>
              <w:lastRenderedPageBreak/>
              <w:t>These strategies should be aimed at preventing the creation of disaster risk, the reduction of existing risk and the strengthening of economic, social, health and environmental resilience.</w:t>
            </w:r>
          </w:p>
          <w:p w14:paraId="534B41F9" w14:textId="77777777" w:rsidR="00EF295B" w:rsidRPr="00D67FF1" w:rsidRDefault="00EF295B" w:rsidP="00EF295B">
            <w:pPr>
              <w:shd w:val="clear" w:color="auto" w:fill="FFFFFF"/>
              <w:rPr>
                <w:rFonts w:eastAsia="Times New Roman" w:cs="Times New Roman"/>
                <w:color w:val="4A4A4A"/>
                <w:szCs w:val="20"/>
                <w:lang w:eastAsia="en-GB"/>
              </w:rPr>
            </w:pPr>
          </w:p>
          <w:p w14:paraId="092EC880" w14:textId="77777777" w:rsidR="00EF295B" w:rsidRPr="00D67FF1" w:rsidRDefault="00EF295B" w:rsidP="00EF295B">
            <w:pPr>
              <w:shd w:val="clear" w:color="auto" w:fill="FFFFFF"/>
              <w:rPr>
                <w:rFonts w:eastAsia="Times New Roman" w:cs="Arial"/>
                <w:color w:val="4A4A4A"/>
                <w:szCs w:val="20"/>
                <w:lang w:eastAsia="en-GB"/>
              </w:rPr>
            </w:pPr>
            <w:r w:rsidRPr="00D67FF1">
              <w:rPr>
                <w:rFonts w:eastAsia="Times New Roman" w:cs="Arial"/>
                <w:color w:val="4A4A4A"/>
                <w:szCs w:val="20"/>
                <w:lang w:eastAsia="en-GB"/>
              </w:rPr>
              <w:t xml:space="preserve">The open-ended intergovernmental expert working group on indicators and terminology relating to disaster risk reduction (OIEWG) established by the General Assembly (resolution 69/284) has developed a set of indicators to measure global progress in the implementation of the Sendai Framework, which was endorsed by the UNGA (OIEWG </w:t>
            </w:r>
            <w:hyperlink r:id="rId95" w:history="1">
              <w:r w:rsidRPr="00D67FF1">
                <w:rPr>
                  <w:rFonts w:eastAsia="Times New Roman" w:cs="Arial"/>
                  <w:color w:val="4A4A4A"/>
                  <w:szCs w:val="20"/>
                  <w:lang w:eastAsia="en-GB"/>
                </w:rPr>
                <w:t>report A/71/644</w:t>
              </w:r>
            </w:hyperlink>
            <w:r w:rsidRPr="00D67FF1">
              <w:rPr>
                <w:rFonts w:eastAsia="Times New Roman" w:cs="Arial"/>
                <w:color w:val="4A4A4A"/>
                <w:szCs w:val="20"/>
                <w:lang w:eastAsia="en-GB"/>
              </w:rPr>
              <w:t>). The relevant SDG indicators reflect the Sendai Framework indicators.</w:t>
            </w:r>
          </w:p>
          <w:p w14:paraId="62CE7E36" w14:textId="77777777" w:rsidR="00EF295B" w:rsidRDefault="00EF295B" w:rsidP="00EF295B">
            <w:pPr>
              <w:shd w:val="clear" w:color="auto" w:fill="FFFFFF"/>
              <w:spacing w:line="336" w:lineRule="atLeast"/>
              <w:rPr>
                <w:rFonts w:eastAsia="Times New Roman" w:cs="Arial"/>
                <w:color w:val="4A4A4A"/>
                <w:szCs w:val="20"/>
                <w:lang w:eastAsia="en-GB"/>
              </w:rPr>
            </w:pPr>
            <w:r w:rsidRPr="00D67FF1">
              <w:rPr>
                <w:rFonts w:eastAsia="Times New Roman" w:cs="Arial"/>
                <w:b/>
                <w:bCs/>
                <w:color w:val="4A4A4A"/>
                <w:szCs w:val="20"/>
                <w:lang w:eastAsia="en-GB"/>
              </w:rPr>
              <w:t>Comments and limitations:</w:t>
            </w:r>
          </w:p>
          <w:p w14:paraId="26CCC1CC" w14:textId="77777777" w:rsidR="00EF295B" w:rsidRPr="00D67FF1" w:rsidRDefault="00EF295B" w:rsidP="00EF295B">
            <w:pPr>
              <w:shd w:val="clear" w:color="auto" w:fill="FFFFFF"/>
              <w:spacing w:line="336" w:lineRule="atLeast"/>
              <w:rPr>
                <w:rFonts w:eastAsia="Times New Roman" w:cs="Arial"/>
                <w:color w:val="4A4A4A"/>
                <w:sz w:val="12"/>
                <w:szCs w:val="20"/>
                <w:lang w:eastAsia="en-GB"/>
              </w:rPr>
            </w:pPr>
          </w:p>
          <w:p w14:paraId="18338355" w14:textId="77777777" w:rsidR="00EF295B" w:rsidRPr="00D67FF1" w:rsidRDefault="00EF295B" w:rsidP="00EF295B">
            <w:pPr>
              <w:shd w:val="clear" w:color="auto" w:fill="FFFFFF"/>
              <w:rPr>
                <w:rFonts w:eastAsia="Times New Roman" w:cs="Arial"/>
                <w:color w:val="4A4A4A"/>
                <w:szCs w:val="20"/>
                <w:lang w:eastAsia="en-GB"/>
              </w:rPr>
            </w:pPr>
            <w:r w:rsidRPr="00D67FF1">
              <w:rPr>
                <w:rFonts w:eastAsia="Times New Roman" w:cs="Arial"/>
                <w:color w:val="4A4A4A"/>
                <w:szCs w:val="20"/>
                <w:lang w:eastAsia="en-GB"/>
              </w:rPr>
              <w:t xml:space="preserve">The </w:t>
            </w:r>
            <w:r w:rsidRPr="00D67FF1">
              <w:rPr>
                <w:rFonts w:eastAsia="Times New Roman" w:cs="Times New Roman"/>
                <w:color w:val="4A4A4A"/>
                <w:szCs w:val="20"/>
                <w:lang w:eastAsia="en-GB"/>
              </w:rPr>
              <w:t>Hyogo Framework for Action Monitor (</w:t>
            </w:r>
            <w:r w:rsidRPr="00D67FF1">
              <w:rPr>
                <w:rFonts w:eastAsia="Times New Roman" w:cs="Arial"/>
                <w:color w:val="4A4A4A"/>
                <w:szCs w:val="20"/>
                <w:lang w:eastAsia="en-GB"/>
              </w:rPr>
              <w:t xml:space="preserve">HFA Monitor) started in 2007 and over time, the number of countries reporting to UNISDR increased from 60 in 2007 to approximately 100 countries in 2015 undertaking voluntary self-assessment of progress in implementing the HFA. During the four reporting cycles the HFA Monitor has generated the world’s largest repository of information on national disaster risk reduction policy inter alia. </w:t>
            </w:r>
            <w:r w:rsidRPr="00D67FF1">
              <w:rPr>
                <w:rFonts w:eastAsia="Times New Roman" w:cs="Times New Roman"/>
                <w:color w:val="4A4A4A"/>
                <w:szCs w:val="20"/>
                <w:lang w:eastAsia="en-GB"/>
              </w:rPr>
              <w:t xml:space="preserve">In 2018 the Sendai Framework Monitor system will launch and all Member States are expected to report data of the previous year(s). </w:t>
            </w:r>
          </w:p>
          <w:p w14:paraId="0B420DA7" w14:textId="77777777" w:rsidR="00EF295B" w:rsidRPr="00D67FF1" w:rsidRDefault="00EF295B" w:rsidP="00EF295B">
            <w:pPr>
              <w:shd w:val="clear" w:color="auto" w:fill="FFFFFF"/>
              <w:spacing w:line="336" w:lineRule="atLeast"/>
              <w:rPr>
                <w:rFonts w:eastAsia="Times New Roman" w:cs="Arial"/>
                <w:color w:val="4A4A4A"/>
                <w:szCs w:val="20"/>
                <w:lang w:eastAsia="en-GB"/>
              </w:rPr>
            </w:pPr>
            <w:r w:rsidRPr="00D67FF1">
              <w:rPr>
                <w:rFonts w:eastAsia="Times New Roman" w:cs="Arial"/>
                <w:b/>
                <w:bCs/>
                <w:color w:val="4A4A4A"/>
                <w:szCs w:val="20"/>
                <w:lang w:eastAsia="en-GB"/>
              </w:rPr>
              <w:t>Computation Method:</w:t>
            </w:r>
          </w:p>
          <w:p w14:paraId="001274DF" w14:textId="77777777" w:rsidR="00EF295B" w:rsidRPr="00D67FF1" w:rsidRDefault="00EF295B" w:rsidP="00EF295B">
            <w:pPr>
              <w:shd w:val="clear" w:color="auto" w:fill="FFFFFF"/>
              <w:rPr>
                <w:rFonts w:eastAsia="Times New Roman" w:cs="Arial"/>
                <w:color w:val="4A4A4A"/>
                <w:szCs w:val="20"/>
                <w:lang w:eastAsia="en-GB"/>
              </w:rPr>
            </w:pPr>
            <w:r w:rsidRPr="00D67FF1">
              <w:rPr>
                <w:rFonts w:eastAsia="Times New Roman" w:cs="Arial"/>
                <w:color w:val="4A4A4A"/>
                <w:szCs w:val="20"/>
                <w:lang w:eastAsia="en-GB"/>
              </w:rPr>
              <w:t>Member States count the number of local governments that adopt and implement local DRR strategies in line with the national strategy and express it as a percentage of the total number of local governments in the country.</w:t>
            </w:r>
          </w:p>
          <w:p w14:paraId="5F1A4123" w14:textId="77777777" w:rsidR="00EF295B" w:rsidRPr="00D67FF1" w:rsidRDefault="00EF295B" w:rsidP="00EF295B">
            <w:pPr>
              <w:shd w:val="clear" w:color="auto" w:fill="FFFFFF"/>
              <w:rPr>
                <w:rFonts w:eastAsia="Times New Roman" w:cs="Arial"/>
                <w:color w:val="4A4A4A"/>
                <w:szCs w:val="20"/>
                <w:lang w:eastAsia="en-GB"/>
              </w:rPr>
            </w:pPr>
          </w:p>
          <w:p w14:paraId="0D41C96A" w14:textId="77777777" w:rsidR="00EF295B" w:rsidRPr="00D67FF1" w:rsidRDefault="00EF295B" w:rsidP="00EF295B">
            <w:pPr>
              <w:shd w:val="clear" w:color="auto" w:fill="FFFFFF"/>
              <w:rPr>
                <w:rFonts w:eastAsia="Times New Roman" w:cs="Arial"/>
                <w:color w:val="4A4A4A"/>
                <w:szCs w:val="20"/>
                <w:lang w:eastAsia="en-GB"/>
              </w:rPr>
            </w:pPr>
            <w:r w:rsidRPr="00D67FF1">
              <w:rPr>
                <w:rFonts w:eastAsia="Times New Roman" w:cs="Arial"/>
                <w:color w:val="4A4A4A"/>
                <w:szCs w:val="20"/>
                <w:lang w:eastAsia="en-GB"/>
              </w:rPr>
              <w:t>Local governments are determined by the reporting country for this indicator, considering sub-national public administrations with responsibility to develop local disaster risk reduction strategies. It is recommended that countries report on progress made by the lowest level of government accorded the mandate for disaster risk reduction, as the Sendai Framework promotes the adoption and implementation of local disaster risk reduction strategies in every local authority.</w:t>
            </w:r>
          </w:p>
          <w:p w14:paraId="2FD8A5A0" w14:textId="77777777" w:rsidR="00EF295B" w:rsidRPr="00D67FF1" w:rsidRDefault="00EF295B" w:rsidP="00EF295B">
            <w:pPr>
              <w:shd w:val="clear" w:color="auto" w:fill="FFFFFF"/>
              <w:rPr>
                <w:rFonts w:eastAsia="Times New Roman" w:cs="Arial"/>
                <w:color w:val="4A4A4A"/>
                <w:szCs w:val="20"/>
                <w:lang w:eastAsia="en-GB"/>
              </w:rPr>
            </w:pPr>
          </w:p>
          <w:p w14:paraId="2556B4DB" w14:textId="77777777" w:rsidR="00EF295B" w:rsidRPr="00D67FF1" w:rsidRDefault="00EF295B" w:rsidP="00EF295B">
            <w:pPr>
              <w:shd w:val="clear" w:color="auto" w:fill="FFFFFF"/>
              <w:rPr>
                <w:rFonts w:eastAsia="Times New Roman" w:cs="Arial"/>
                <w:color w:val="4A4A4A"/>
                <w:szCs w:val="20"/>
                <w:lang w:eastAsia="en-GB"/>
              </w:rPr>
            </w:pPr>
            <w:r w:rsidRPr="00D67FF1">
              <w:rPr>
                <w:rFonts w:eastAsia="Times New Roman" w:cs="Arial"/>
                <w:color w:val="4A4A4A"/>
                <w:szCs w:val="20"/>
                <w:lang w:eastAsia="en-GB"/>
              </w:rPr>
              <w:t>Each Member State will calculate the ratio of the number of local governments with local DRR strategies in line with national strategies and the total number of local governments.</w:t>
            </w:r>
          </w:p>
          <w:p w14:paraId="0A650536" w14:textId="77777777" w:rsidR="00EF295B" w:rsidRPr="00D67FF1" w:rsidRDefault="00EF295B" w:rsidP="00EF295B">
            <w:pPr>
              <w:shd w:val="clear" w:color="auto" w:fill="FFFFFF"/>
              <w:rPr>
                <w:rFonts w:eastAsia="Times New Roman" w:cs="Arial"/>
                <w:color w:val="4A4A4A"/>
                <w:szCs w:val="20"/>
                <w:lang w:eastAsia="en-GB"/>
              </w:rPr>
            </w:pPr>
          </w:p>
          <w:p w14:paraId="60859F50" w14:textId="77777777" w:rsidR="00EF295B" w:rsidRPr="00D67FF1" w:rsidRDefault="00EF295B" w:rsidP="00EF295B">
            <w:pPr>
              <w:shd w:val="clear" w:color="auto" w:fill="FFFFFF"/>
              <w:rPr>
                <w:rFonts w:eastAsia="Times New Roman" w:cs="Arial"/>
                <w:color w:val="4A4A4A"/>
                <w:szCs w:val="20"/>
                <w:lang w:eastAsia="en-GB"/>
              </w:rPr>
            </w:pPr>
            <w:r w:rsidRPr="00D67FF1">
              <w:rPr>
                <w:rFonts w:eastAsia="Times New Roman" w:cs="Arial"/>
                <w:color w:val="4A4A4A"/>
                <w:szCs w:val="20"/>
                <w:lang w:eastAsia="en-GB"/>
              </w:rPr>
              <w:t>Global Average will then be calculated as below through arithmetic average of the data from each Member State.</w:t>
            </w:r>
          </w:p>
          <w:p w14:paraId="013DB0D5" w14:textId="77777777" w:rsidR="00EF295B" w:rsidRPr="00D67FF1" w:rsidRDefault="00EF295B" w:rsidP="00EF295B">
            <w:pPr>
              <w:shd w:val="clear" w:color="auto" w:fill="FFFFFF"/>
              <w:rPr>
                <w:rFonts w:eastAsia="Times New Roman" w:cs="Arial"/>
                <w:color w:val="4A4A4A"/>
                <w:szCs w:val="20"/>
                <w:lang w:eastAsia="en-GB"/>
              </w:rPr>
            </w:pPr>
          </w:p>
          <w:p w14:paraId="36B59D04" w14:textId="77777777" w:rsidR="00EF295B" w:rsidRPr="00D67FF1" w:rsidRDefault="00EF295B" w:rsidP="00EF295B">
            <w:pPr>
              <w:shd w:val="clear" w:color="auto" w:fill="FFFFFF"/>
              <w:rPr>
                <w:rFonts w:eastAsia="Times New Roman" w:cs="Arial"/>
                <w:color w:val="4A4A4A"/>
                <w:szCs w:val="20"/>
                <w:lang w:eastAsia="en-GB"/>
              </w:rPr>
            </w:pPr>
            <w:r w:rsidRPr="00D67FF1">
              <w:rPr>
                <w:rFonts w:eastAsia="Times New Roman" w:cs="Arial"/>
                <w:color w:val="4A4A4A"/>
                <w:szCs w:val="20"/>
                <w:lang w:eastAsia="en-GB"/>
              </w:rPr>
              <w:t xml:space="preserve"> Further information of the methodology can be obtained in the Technical Guidance (see reference).</w:t>
            </w:r>
          </w:p>
          <w:p w14:paraId="705580C9" w14:textId="77777777" w:rsidR="00EF295B" w:rsidRDefault="00EF295B" w:rsidP="00EF295B">
            <w:pPr>
              <w:pStyle w:val="NoSpacing"/>
            </w:pPr>
          </w:p>
        </w:tc>
        <w:tc>
          <w:tcPr>
            <w:tcW w:w="1174" w:type="dxa"/>
          </w:tcPr>
          <w:p w14:paraId="1B3A9EA0" w14:textId="77777777" w:rsidR="00EF295B" w:rsidRPr="001B68BF" w:rsidRDefault="00EF295B" w:rsidP="00EF295B">
            <w:pPr>
              <w:pStyle w:val="NoSpacing"/>
              <w:rPr>
                <w:lang w:eastAsia="en-GB"/>
              </w:rPr>
            </w:pPr>
            <w:r w:rsidRPr="001B68BF">
              <w:rPr>
                <w:lang w:eastAsia="en-GB"/>
              </w:rPr>
              <w:lastRenderedPageBreak/>
              <w:t xml:space="preserve">The national Sendai Framework Focal Points will compile all inputs from their line ministries, NSO, </w:t>
            </w:r>
            <w:r w:rsidRPr="001B68BF">
              <w:rPr>
                <w:lang w:eastAsia="en-GB"/>
              </w:rPr>
              <w:lastRenderedPageBreak/>
              <w:t>and other entities, if appropriate, and report through the Sendai Framework Monitoring System.</w:t>
            </w:r>
          </w:p>
          <w:p w14:paraId="32E4207D" w14:textId="77777777" w:rsidR="00EF295B" w:rsidRDefault="00EF295B" w:rsidP="00EF295B">
            <w:pPr>
              <w:pStyle w:val="NoSpacing"/>
            </w:pPr>
          </w:p>
        </w:tc>
        <w:tc>
          <w:tcPr>
            <w:tcW w:w="818" w:type="dxa"/>
          </w:tcPr>
          <w:p w14:paraId="74BF365F" w14:textId="77777777" w:rsidR="00EF295B" w:rsidRPr="001B68BF" w:rsidRDefault="00EF295B" w:rsidP="00EF295B">
            <w:pPr>
              <w:pStyle w:val="NoSpacing"/>
              <w:rPr>
                <w:lang w:eastAsia="en-GB"/>
              </w:rPr>
            </w:pPr>
            <w:r w:rsidRPr="001B68BF">
              <w:rPr>
                <w:lang w:eastAsia="en-GB"/>
              </w:rPr>
              <w:lastRenderedPageBreak/>
              <w:t xml:space="preserve">National Sendai Framework Focal Points usually represent </w:t>
            </w:r>
            <w:r w:rsidRPr="001B68BF">
              <w:rPr>
                <w:lang w:eastAsia="en-GB"/>
              </w:rPr>
              <w:lastRenderedPageBreak/>
              <w:t>the coordinating lead institution chairing the National DRR platform which is comprised of special purpose agencies including national disaster agencies, civil protection agencies, and meteorological agencies.</w:t>
            </w:r>
          </w:p>
          <w:p w14:paraId="6695C7FB" w14:textId="77777777" w:rsidR="00EF295B" w:rsidRPr="00BA6818" w:rsidRDefault="00EF295B" w:rsidP="00EF295B">
            <w:pPr>
              <w:pStyle w:val="NoSpacing"/>
            </w:pPr>
          </w:p>
        </w:tc>
        <w:tc>
          <w:tcPr>
            <w:tcW w:w="812" w:type="dxa"/>
          </w:tcPr>
          <w:p w14:paraId="1B25D090" w14:textId="77777777" w:rsidR="00EF295B" w:rsidRDefault="00EF295B" w:rsidP="00EF295B">
            <w:pPr>
              <w:pStyle w:val="NoSpacing"/>
            </w:pPr>
            <w:r>
              <w:lastRenderedPageBreak/>
              <w:t xml:space="preserve">DDM, </w:t>
            </w:r>
            <w:r w:rsidRPr="00BC6F10">
              <w:t>MoDMR</w:t>
            </w:r>
          </w:p>
          <w:p w14:paraId="14BED8C4" w14:textId="77777777" w:rsidR="00EF295B" w:rsidRDefault="00EF295B" w:rsidP="00EF295B">
            <w:pPr>
              <w:pStyle w:val="NoSpacing"/>
            </w:pPr>
          </w:p>
          <w:p w14:paraId="788E905F" w14:textId="77777777" w:rsidR="00EF295B" w:rsidRPr="00887F75" w:rsidRDefault="00EF295B" w:rsidP="00EF295B">
            <w:pPr>
              <w:pStyle w:val="NoSpacing"/>
            </w:pPr>
            <w:r w:rsidRPr="00C31458">
              <w:rPr>
                <w:rFonts w:cs="Times New Roman"/>
                <w:szCs w:val="20"/>
              </w:rPr>
              <w:t>Administrative Data</w:t>
            </w:r>
          </w:p>
        </w:tc>
        <w:tc>
          <w:tcPr>
            <w:tcW w:w="1351" w:type="dxa"/>
          </w:tcPr>
          <w:p w14:paraId="10457D0F" w14:textId="77777777" w:rsidR="00EF295B" w:rsidRDefault="00EF295B" w:rsidP="00EF295B">
            <w:pPr>
              <w:pStyle w:val="NoSpacing"/>
            </w:pPr>
            <w:r>
              <w:t xml:space="preserve">DDM, </w:t>
            </w:r>
            <w:r w:rsidRPr="00BC6F10">
              <w:t>MoDMR</w:t>
            </w:r>
          </w:p>
          <w:p w14:paraId="54DB5555" w14:textId="77777777" w:rsidR="00EF295B" w:rsidRDefault="00EF295B" w:rsidP="00EF295B">
            <w:pPr>
              <w:pStyle w:val="NoSpacing"/>
            </w:pPr>
          </w:p>
          <w:p w14:paraId="7D657026" w14:textId="77777777" w:rsidR="00EF295B" w:rsidRPr="00887F75" w:rsidRDefault="00EF295B" w:rsidP="00EF295B">
            <w:pPr>
              <w:pStyle w:val="NoSpacing"/>
            </w:pPr>
            <w:r w:rsidRPr="00C31458">
              <w:rPr>
                <w:rFonts w:cs="Times New Roman"/>
                <w:szCs w:val="20"/>
              </w:rPr>
              <w:t>Administrative Data</w:t>
            </w:r>
          </w:p>
        </w:tc>
        <w:tc>
          <w:tcPr>
            <w:tcW w:w="1349" w:type="dxa"/>
          </w:tcPr>
          <w:p w14:paraId="29D5FDF6" w14:textId="41DA890D" w:rsidR="00570F86" w:rsidRDefault="00570F86" w:rsidP="00EF295B">
            <w:pPr>
              <w:ind w:left="970" w:hanging="970"/>
              <w:jc w:val="both"/>
              <w:rPr>
                <w:color w:val="0070C0"/>
                <w:szCs w:val="20"/>
              </w:rPr>
            </w:pPr>
            <w:r>
              <w:rPr>
                <w:color w:val="0070C0"/>
                <w:szCs w:val="20"/>
              </w:rPr>
              <w:t>By  local</w:t>
            </w:r>
          </w:p>
          <w:p w14:paraId="378C4C94" w14:textId="117C7F9E" w:rsidR="00EF295B" w:rsidRPr="000C4849" w:rsidRDefault="00570F86" w:rsidP="00EF295B">
            <w:pPr>
              <w:ind w:left="970" w:hanging="970"/>
              <w:jc w:val="both"/>
              <w:rPr>
                <w:color w:val="0070C0"/>
                <w:szCs w:val="20"/>
              </w:rPr>
            </w:pPr>
            <w:r>
              <w:rPr>
                <w:color w:val="0070C0"/>
                <w:szCs w:val="20"/>
              </w:rPr>
              <w:t xml:space="preserve">government </w:t>
            </w:r>
          </w:p>
        </w:tc>
        <w:tc>
          <w:tcPr>
            <w:tcW w:w="1145" w:type="dxa"/>
          </w:tcPr>
          <w:p w14:paraId="1C629D77" w14:textId="77777777" w:rsidR="00EF295B" w:rsidRDefault="00EF295B" w:rsidP="00EF295B">
            <w:pPr>
              <w:ind w:left="970" w:hanging="970"/>
              <w:jc w:val="both"/>
              <w:rPr>
                <w:color w:val="0070C0"/>
                <w:sz w:val="30"/>
                <w:szCs w:val="30"/>
              </w:rPr>
            </w:pPr>
            <w:r w:rsidRPr="00BC6F10">
              <w:t>Annual</w:t>
            </w:r>
          </w:p>
        </w:tc>
        <w:tc>
          <w:tcPr>
            <w:tcW w:w="922" w:type="dxa"/>
          </w:tcPr>
          <w:p w14:paraId="0E3F8D97" w14:textId="77777777" w:rsidR="00EF295B" w:rsidRDefault="00EF295B" w:rsidP="00EF295B">
            <w:pPr>
              <w:ind w:left="970" w:hanging="970"/>
              <w:jc w:val="both"/>
              <w:rPr>
                <w:color w:val="0070C0"/>
                <w:sz w:val="30"/>
                <w:szCs w:val="30"/>
              </w:rPr>
            </w:pPr>
            <w:r>
              <w:t>Group 1</w:t>
            </w:r>
          </w:p>
        </w:tc>
        <w:tc>
          <w:tcPr>
            <w:tcW w:w="644" w:type="dxa"/>
          </w:tcPr>
          <w:p w14:paraId="2FEE1FD3" w14:textId="77777777" w:rsidR="00EF295B" w:rsidRDefault="00EF295B" w:rsidP="00EF295B">
            <w:pPr>
              <w:pStyle w:val="NoSpacing"/>
            </w:pPr>
            <w:r>
              <w:t>1</w:t>
            </w:r>
            <w:r w:rsidRPr="00013ACB">
              <w:rPr>
                <w:vertAlign w:val="superscript"/>
              </w:rPr>
              <w:t>st</w:t>
            </w:r>
            <w:r>
              <w:t xml:space="preserve"> Round:</w:t>
            </w:r>
          </w:p>
          <w:p w14:paraId="5D47B100" w14:textId="77777777" w:rsidR="00EF295B" w:rsidRDefault="00EF295B" w:rsidP="00EF295B">
            <w:pPr>
              <w:pStyle w:val="NoSpacing"/>
            </w:pPr>
            <w:r>
              <w:t>2019</w:t>
            </w:r>
          </w:p>
          <w:p w14:paraId="225E348E" w14:textId="77777777" w:rsidR="00EF295B" w:rsidRDefault="00EF295B" w:rsidP="00EF295B">
            <w:pPr>
              <w:pStyle w:val="NoSpacing"/>
            </w:pPr>
          </w:p>
          <w:p w14:paraId="1312E01D" w14:textId="77777777" w:rsidR="00EF295B" w:rsidRDefault="00EF295B" w:rsidP="00EF295B">
            <w:pPr>
              <w:pStyle w:val="NoSpacing"/>
            </w:pPr>
            <w:r>
              <w:t>2</w:t>
            </w:r>
            <w:r w:rsidRPr="00013ACB">
              <w:rPr>
                <w:vertAlign w:val="superscript"/>
              </w:rPr>
              <w:t>nd</w:t>
            </w:r>
            <w:r>
              <w:t xml:space="preserve"> Round: </w:t>
            </w:r>
          </w:p>
          <w:p w14:paraId="562C78AC" w14:textId="1751C6E0" w:rsidR="00EF295B" w:rsidRDefault="00EF295B" w:rsidP="00EF295B">
            <w:pPr>
              <w:pStyle w:val="NoSpacing"/>
            </w:pPr>
            <w:r>
              <w:t xml:space="preserve">July, </w:t>
            </w:r>
            <w:r>
              <w:lastRenderedPageBreak/>
              <w:t>2020</w:t>
            </w:r>
          </w:p>
          <w:p w14:paraId="031E4AE9" w14:textId="77777777" w:rsidR="00EF295B" w:rsidRDefault="00EF295B" w:rsidP="00EF295B">
            <w:pPr>
              <w:pStyle w:val="NoSpacing"/>
            </w:pPr>
          </w:p>
          <w:p w14:paraId="3C2C79C0" w14:textId="77777777" w:rsidR="00EF295B" w:rsidRDefault="00EF295B" w:rsidP="00EF295B">
            <w:pPr>
              <w:pStyle w:val="NoSpacing"/>
            </w:pPr>
            <w:r>
              <w:t>3</w:t>
            </w:r>
            <w:r w:rsidRPr="00013ACB">
              <w:rPr>
                <w:vertAlign w:val="superscript"/>
              </w:rPr>
              <w:t>rd</w:t>
            </w:r>
            <w:r>
              <w:t xml:space="preserve"> Round: </w:t>
            </w:r>
          </w:p>
          <w:p w14:paraId="1147A1EF" w14:textId="404314B5" w:rsidR="00EF295B" w:rsidRDefault="00EF295B" w:rsidP="00EF295B">
            <w:pPr>
              <w:pStyle w:val="NoSpacing"/>
            </w:pPr>
            <w:r>
              <w:t>July, 2021</w:t>
            </w:r>
          </w:p>
          <w:p w14:paraId="041BF684" w14:textId="77777777" w:rsidR="00EF295B" w:rsidRDefault="00EF295B" w:rsidP="00EF295B">
            <w:pPr>
              <w:pStyle w:val="NoSpacing"/>
            </w:pPr>
          </w:p>
          <w:p w14:paraId="3FCCCB45" w14:textId="77777777" w:rsidR="00EF295B" w:rsidRDefault="00EF295B" w:rsidP="00EF295B">
            <w:pPr>
              <w:pStyle w:val="NoSpacing"/>
            </w:pPr>
            <w:r>
              <w:t>4</w:t>
            </w:r>
            <w:r w:rsidRPr="00013ACB">
              <w:rPr>
                <w:vertAlign w:val="superscript"/>
              </w:rPr>
              <w:t>th</w:t>
            </w:r>
            <w:r>
              <w:t xml:space="preserve"> Round: </w:t>
            </w:r>
          </w:p>
          <w:p w14:paraId="1F474CE8" w14:textId="4B140429" w:rsidR="00EF295B" w:rsidRDefault="00EF295B" w:rsidP="00EF295B">
            <w:pPr>
              <w:pStyle w:val="NoSpacing"/>
            </w:pPr>
            <w:r>
              <w:t>July, 2022</w:t>
            </w:r>
          </w:p>
          <w:p w14:paraId="59F08431" w14:textId="77777777" w:rsidR="00EF295B" w:rsidRDefault="00EF295B" w:rsidP="00EF295B">
            <w:pPr>
              <w:pStyle w:val="NoSpacing"/>
            </w:pPr>
          </w:p>
          <w:p w14:paraId="0D5E346E" w14:textId="77777777" w:rsidR="00EF295B" w:rsidRDefault="00EF295B" w:rsidP="00EF295B">
            <w:pPr>
              <w:pStyle w:val="NoSpacing"/>
            </w:pPr>
            <w:r>
              <w:t>5</w:t>
            </w:r>
            <w:r w:rsidRPr="00013ACB">
              <w:rPr>
                <w:vertAlign w:val="superscript"/>
              </w:rPr>
              <w:t>th</w:t>
            </w:r>
            <w:r>
              <w:t xml:space="preserve"> Round: </w:t>
            </w:r>
          </w:p>
          <w:p w14:paraId="720E12C2" w14:textId="52EB58AA" w:rsidR="00EF295B" w:rsidRDefault="00EF295B" w:rsidP="00EF295B">
            <w:pPr>
              <w:pStyle w:val="NoSpacing"/>
            </w:pPr>
            <w:r>
              <w:t>July, 2023</w:t>
            </w:r>
          </w:p>
          <w:p w14:paraId="3727858A" w14:textId="41C28958" w:rsidR="00EF295B" w:rsidRDefault="00EF295B" w:rsidP="00EF295B">
            <w:pPr>
              <w:pStyle w:val="NoSpacing"/>
            </w:pPr>
          </w:p>
        </w:tc>
        <w:tc>
          <w:tcPr>
            <w:tcW w:w="828" w:type="dxa"/>
          </w:tcPr>
          <w:p w14:paraId="023AD501" w14:textId="77777777" w:rsidR="00EF295B" w:rsidRDefault="00EF295B" w:rsidP="00EF295B">
            <w:pPr>
              <w:pStyle w:val="NoSpacing"/>
            </w:pPr>
            <w:r>
              <w:lastRenderedPageBreak/>
              <w:t>Reviewed at 6th IAEG-SDG meeting (classified as Tier II)</w:t>
            </w:r>
          </w:p>
          <w:p w14:paraId="260A40FC" w14:textId="77777777" w:rsidR="00EF295B" w:rsidRDefault="00EF295B" w:rsidP="00EF295B">
            <w:pPr>
              <w:pStyle w:val="NoSpacing"/>
            </w:pPr>
          </w:p>
          <w:p w14:paraId="726BD12C" w14:textId="5F1BD45A" w:rsidR="00EF295B" w:rsidRDefault="00EF295B" w:rsidP="00EF295B">
            <w:pPr>
              <w:pStyle w:val="NoSpacing"/>
            </w:pPr>
            <w:r>
              <w:lastRenderedPageBreak/>
              <w:t xml:space="preserve">Sendai modification; Reviewed at 5th IAEG-SDG meeting (classified as </w:t>
            </w:r>
            <w:r w:rsidR="006B621F">
              <w:t>TBD</w:t>
            </w:r>
            <w:r>
              <w:t>)</w:t>
            </w:r>
          </w:p>
          <w:p w14:paraId="2D447CB9" w14:textId="77777777" w:rsidR="00EF295B" w:rsidRDefault="00EF295B" w:rsidP="00EF295B">
            <w:pPr>
              <w:pStyle w:val="NoSpacing"/>
            </w:pPr>
          </w:p>
          <w:p w14:paraId="377182E0" w14:textId="42245C4F" w:rsidR="00EF295B" w:rsidRDefault="00EF295B" w:rsidP="00EF295B">
            <w:pPr>
              <w:pStyle w:val="NoSpacing"/>
            </w:pPr>
            <w:r>
              <w:t>1.5</w:t>
            </w:r>
            <w:r w:rsidR="003353E6">
              <w:t xml:space="preserve">.4 &amp; </w:t>
            </w:r>
            <w:r>
              <w:t>13.1.3 are repeat</w:t>
            </w:r>
            <w:r w:rsidR="003353E6">
              <w:t>ed</w:t>
            </w:r>
          </w:p>
        </w:tc>
      </w:tr>
    </w:tbl>
    <w:p w14:paraId="24BE76EF" w14:textId="4EDAAD6E" w:rsidR="00A92C4E" w:rsidRPr="006C6341" w:rsidRDefault="00BB3B57" w:rsidP="00A92C4E">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18720" w:type="dxa"/>
        <w:tblInd w:w="-5" w:type="dxa"/>
        <w:tblLayout w:type="fixed"/>
        <w:tblLook w:val="04A0" w:firstRow="1" w:lastRow="0" w:firstColumn="1" w:lastColumn="0" w:noHBand="0" w:noVBand="1"/>
      </w:tblPr>
      <w:tblGrid>
        <w:gridCol w:w="1278"/>
        <w:gridCol w:w="17442"/>
      </w:tblGrid>
      <w:tr w:rsidR="00A92C4E" w14:paraId="5904F3AF" w14:textId="77777777" w:rsidTr="000618B2">
        <w:tc>
          <w:tcPr>
            <w:tcW w:w="1278" w:type="dxa"/>
            <w:tcBorders>
              <w:left w:val="single" w:sz="4" w:space="0" w:color="C00000"/>
              <w:bottom w:val="single" w:sz="4" w:space="0" w:color="C00000"/>
            </w:tcBorders>
          </w:tcPr>
          <w:p w14:paraId="39E575EF" w14:textId="03F2F5A4" w:rsidR="00A92C4E" w:rsidRDefault="00A64F0D" w:rsidP="00A92C4E">
            <w:pPr>
              <w:jc w:val="center"/>
              <w:rPr>
                <w:color w:val="C00000"/>
                <w:sz w:val="48"/>
                <w:szCs w:val="48"/>
              </w:rPr>
            </w:pPr>
            <w:r>
              <w:rPr>
                <w:noProof/>
                <w:color w:val="C00000"/>
                <w:sz w:val="48"/>
                <w:szCs w:val="48"/>
                <w:lang w:bidi="bn-BD"/>
              </w:rPr>
              <w:lastRenderedPageBreak/>
              <w:drawing>
                <wp:inline distT="0" distB="0" distL="0" distR="0" wp14:anchorId="1AC645E2" wp14:editId="0FE307BB">
                  <wp:extent cx="674370" cy="674370"/>
                  <wp:effectExtent l="0" t="0" r="0" b="0"/>
                  <wp:docPr id="56" name="Picture 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oal12_menu_icon.jpg"/>
                          <pic:cNvPicPr/>
                        </pic:nvPicPr>
                        <pic:blipFill>
                          <a:blip r:embed="rId96">
                            <a:extLst>
                              <a:ext uri="{28A0092B-C50C-407E-A947-70E740481C1C}">
                                <a14:useLocalDpi xmlns:a14="http://schemas.microsoft.com/office/drawing/2010/main" val="0"/>
                              </a:ext>
                            </a:extLst>
                          </a:blip>
                          <a:stretch>
                            <a:fillRect/>
                          </a:stretch>
                        </pic:blipFill>
                        <pic:spPr>
                          <a:xfrm>
                            <a:off x="0" y="0"/>
                            <a:ext cx="674370" cy="674370"/>
                          </a:xfrm>
                          <a:prstGeom prst="rect">
                            <a:avLst/>
                          </a:prstGeom>
                        </pic:spPr>
                      </pic:pic>
                    </a:graphicData>
                  </a:graphic>
                </wp:inline>
              </w:drawing>
            </w:r>
          </w:p>
        </w:tc>
        <w:tc>
          <w:tcPr>
            <w:tcW w:w="17442" w:type="dxa"/>
            <w:shd w:val="clear" w:color="auto" w:fill="996633"/>
            <w:vAlign w:val="center"/>
          </w:tcPr>
          <w:p w14:paraId="32EA13C3" w14:textId="77777777" w:rsidR="00A92C4E" w:rsidRPr="00214C29" w:rsidRDefault="00A92C4E" w:rsidP="00A92C4E">
            <w:pPr>
              <w:jc w:val="both"/>
              <w:rPr>
                <w:color w:val="FFFFFF" w:themeColor="background1"/>
                <w:sz w:val="62"/>
                <w:szCs w:val="62"/>
              </w:rPr>
            </w:pPr>
            <w:r w:rsidRPr="00A92C4E">
              <w:rPr>
                <w:color w:val="FFFFFF" w:themeColor="background1"/>
                <w:sz w:val="62"/>
                <w:szCs w:val="62"/>
              </w:rPr>
              <w:t>Ensure sustainable consumption and production patterns</w:t>
            </w:r>
          </w:p>
        </w:tc>
      </w:tr>
    </w:tbl>
    <w:p w14:paraId="2E05643B" w14:textId="77777777" w:rsidR="00A92C4E" w:rsidRPr="00A92C4E" w:rsidRDefault="00A92C4E" w:rsidP="001C5F7A">
      <w:pPr>
        <w:jc w:val="both"/>
        <w:rPr>
          <w:color w:val="0070C0"/>
          <w:sz w:val="8"/>
          <w:szCs w:val="8"/>
        </w:rPr>
      </w:pPr>
    </w:p>
    <w:tbl>
      <w:tblPr>
        <w:tblStyle w:val="TableGrid"/>
        <w:tblW w:w="0" w:type="auto"/>
        <w:tblLook w:val="04A0" w:firstRow="1" w:lastRow="0" w:firstColumn="1" w:lastColumn="0" w:noHBand="0" w:noVBand="1"/>
      </w:tblPr>
      <w:tblGrid>
        <w:gridCol w:w="976"/>
        <w:gridCol w:w="743"/>
        <w:gridCol w:w="617"/>
        <w:gridCol w:w="8009"/>
        <w:gridCol w:w="968"/>
        <w:gridCol w:w="1004"/>
        <w:gridCol w:w="923"/>
        <w:gridCol w:w="923"/>
        <w:gridCol w:w="1667"/>
        <w:gridCol w:w="768"/>
        <w:gridCol w:w="670"/>
        <w:gridCol w:w="723"/>
        <w:gridCol w:w="945"/>
      </w:tblGrid>
      <w:tr w:rsidR="00A92C4E" w14:paraId="34A23912" w14:textId="77777777" w:rsidTr="000618B2">
        <w:trPr>
          <w:tblHeader/>
        </w:trPr>
        <w:tc>
          <w:tcPr>
            <w:tcW w:w="0" w:type="auto"/>
            <w:shd w:val="clear" w:color="auto" w:fill="DDD9C3" w:themeFill="background2" w:themeFillShade="E6"/>
            <w:vAlign w:val="center"/>
          </w:tcPr>
          <w:p w14:paraId="1FE2F53E" w14:textId="77777777" w:rsidR="00A92C4E" w:rsidRPr="00C766D7" w:rsidRDefault="00A92C4E" w:rsidP="00A92C4E">
            <w:pPr>
              <w:jc w:val="center"/>
              <w:rPr>
                <w:b/>
                <w:bCs/>
                <w:sz w:val="18"/>
                <w:szCs w:val="18"/>
              </w:rPr>
            </w:pPr>
            <w:r>
              <w:rPr>
                <w:b/>
                <w:bCs/>
                <w:sz w:val="18"/>
                <w:szCs w:val="18"/>
              </w:rPr>
              <w:t>T</w:t>
            </w:r>
            <w:r w:rsidRPr="00C766D7">
              <w:rPr>
                <w:b/>
                <w:bCs/>
                <w:sz w:val="18"/>
                <w:szCs w:val="18"/>
              </w:rPr>
              <w:t>argets and Indicators</w:t>
            </w:r>
          </w:p>
        </w:tc>
        <w:tc>
          <w:tcPr>
            <w:tcW w:w="0" w:type="auto"/>
            <w:shd w:val="clear" w:color="auto" w:fill="DDD9C3" w:themeFill="background2" w:themeFillShade="E6"/>
            <w:vAlign w:val="center"/>
          </w:tcPr>
          <w:p w14:paraId="60E6FBC7" w14:textId="77777777" w:rsidR="00A92C4E" w:rsidRPr="00C766D7" w:rsidRDefault="00A92C4E" w:rsidP="00A92C4E">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DDD9C3" w:themeFill="background2" w:themeFillShade="E6"/>
            <w:vAlign w:val="center"/>
          </w:tcPr>
          <w:p w14:paraId="1855DA3C" w14:textId="77777777" w:rsidR="002464A2" w:rsidRDefault="00A92C4E" w:rsidP="00A92C4E">
            <w:pPr>
              <w:jc w:val="center"/>
              <w:rPr>
                <w:b/>
                <w:bCs/>
                <w:sz w:val="18"/>
                <w:szCs w:val="18"/>
              </w:rPr>
            </w:pPr>
            <w:r w:rsidRPr="00C766D7">
              <w:rPr>
                <w:b/>
                <w:bCs/>
                <w:sz w:val="18"/>
                <w:szCs w:val="18"/>
              </w:rPr>
              <w:t xml:space="preserve">Tier </w:t>
            </w:r>
          </w:p>
          <w:p w14:paraId="30A1FA94" w14:textId="77777777" w:rsidR="002464A2" w:rsidRDefault="00A92C4E" w:rsidP="00A92C4E">
            <w:pPr>
              <w:jc w:val="center"/>
              <w:rPr>
                <w:b/>
                <w:bCs/>
                <w:sz w:val="18"/>
                <w:szCs w:val="18"/>
              </w:rPr>
            </w:pPr>
            <w:r w:rsidRPr="00C766D7">
              <w:rPr>
                <w:b/>
                <w:bCs/>
                <w:sz w:val="18"/>
                <w:szCs w:val="18"/>
              </w:rPr>
              <w:t>Classifi</w:t>
            </w:r>
            <w:r>
              <w:rPr>
                <w:b/>
                <w:bCs/>
                <w:sz w:val="18"/>
                <w:szCs w:val="18"/>
              </w:rPr>
              <w:t>-</w:t>
            </w:r>
          </w:p>
          <w:p w14:paraId="5116BDE1" w14:textId="77777777" w:rsidR="00A92C4E" w:rsidRPr="00C766D7" w:rsidRDefault="00A92C4E" w:rsidP="00A92C4E">
            <w:pPr>
              <w:jc w:val="center"/>
              <w:rPr>
                <w:b/>
                <w:bCs/>
                <w:sz w:val="18"/>
                <w:szCs w:val="18"/>
              </w:rPr>
            </w:pPr>
            <w:r w:rsidRPr="00C766D7">
              <w:rPr>
                <w:b/>
                <w:bCs/>
                <w:sz w:val="18"/>
                <w:szCs w:val="18"/>
              </w:rPr>
              <w:t>cations</w:t>
            </w:r>
          </w:p>
        </w:tc>
        <w:tc>
          <w:tcPr>
            <w:tcW w:w="0" w:type="auto"/>
            <w:shd w:val="clear" w:color="auto" w:fill="DDD9C3" w:themeFill="background2" w:themeFillShade="E6"/>
            <w:vAlign w:val="center"/>
          </w:tcPr>
          <w:p w14:paraId="707F50D4" w14:textId="77777777" w:rsidR="00A92C4E" w:rsidRPr="00C766D7" w:rsidRDefault="00A92C4E" w:rsidP="00A92C4E">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DDD9C3" w:themeFill="background2" w:themeFillShade="E6"/>
            <w:vAlign w:val="center"/>
          </w:tcPr>
          <w:p w14:paraId="5F4CCB07" w14:textId="77777777" w:rsidR="00A92C4E" w:rsidRPr="00C766D7" w:rsidRDefault="00A92C4E" w:rsidP="00A92C4E">
            <w:pPr>
              <w:jc w:val="center"/>
              <w:rPr>
                <w:b/>
                <w:bCs/>
                <w:sz w:val="18"/>
                <w:szCs w:val="18"/>
              </w:rPr>
            </w:pPr>
            <w:r w:rsidRPr="00C766D7">
              <w:rPr>
                <w:b/>
                <w:bCs/>
                <w:sz w:val="18"/>
                <w:szCs w:val="18"/>
              </w:rPr>
              <w:t>UN Suggested activities of data generation</w:t>
            </w:r>
          </w:p>
        </w:tc>
        <w:tc>
          <w:tcPr>
            <w:tcW w:w="0" w:type="auto"/>
            <w:shd w:val="clear" w:color="auto" w:fill="DDD9C3" w:themeFill="background2" w:themeFillShade="E6"/>
            <w:vAlign w:val="center"/>
          </w:tcPr>
          <w:p w14:paraId="2015A8AE" w14:textId="77777777" w:rsidR="00A92C4E" w:rsidRPr="00C766D7" w:rsidRDefault="00A92C4E" w:rsidP="00A92C4E">
            <w:pPr>
              <w:jc w:val="center"/>
              <w:rPr>
                <w:b/>
                <w:bCs/>
                <w:sz w:val="18"/>
                <w:szCs w:val="18"/>
              </w:rPr>
            </w:pPr>
            <w:r w:rsidRPr="00C766D7">
              <w:rPr>
                <w:b/>
                <w:bCs/>
                <w:sz w:val="18"/>
                <w:szCs w:val="18"/>
              </w:rPr>
              <w:t>UN Suggested data provider</w:t>
            </w:r>
          </w:p>
        </w:tc>
        <w:tc>
          <w:tcPr>
            <w:tcW w:w="0" w:type="auto"/>
            <w:shd w:val="clear" w:color="auto" w:fill="DDD9C3" w:themeFill="background2" w:themeFillShade="E6"/>
            <w:vAlign w:val="center"/>
          </w:tcPr>
          <w:p w14:paraId="79F4EC94" w14:textId="77777777" w:rsidR="00A92C4E" w:rsidRPr="00C766D7" w:rsidRDefault="00A92C4E" w:rsidP="00A92C4E">
            <w:pPr>
              <w:jc w:val="center"/>
              <w:rPr>
                <w:b/>
                <w:bCs/>
                <w:sz w:val="18"/>
                <w:szCs w:val="18"/>
              </w:rPr>
            </w:pPr>
            <w:r w:rsidRPr="00C766D7">
              <w:rPr>
                <w:b/>
                <w:bCs/>
                <w:sz w:val="18"/>
                <w:szCs w:val="18"/>
              </w:rPr>
              <w:t>Recent Available Data Sources</w:t>
            </w:r>
          </w:p>
        </w:tc>
        <w:tc>
          <w:tcPr>
            <w:tcW w:w="0" w:type="auto"/>
            <w:shd w:val="clear" w:color="auto" w:fill="DDD9C3" w:themeFill="background2" w:themeFillShade="E6"/>
            <w:vAlign w:val="center"/>
          </w:tcPr>
          <w:p w14:paraId="4424F402" w14:textId="77777777" w:rsidR="00A92C4E" w:rsidRPr="00C766D7" w:rsidRDefault="00A92C4E" w:rsidP="00A92C4E">
            <w:pPr>
              <w:jc w:val="center"/>
              <w:rPr>
                <w:b/>
                <w:bCs/>
                <w:sz w:val="18"/>
                <w:szCs w:val="18"/>
              </w:rPr>
            </w:pPr>
            <w:r w:rsidRPr="00C766D7">
              <w:rPr>
                <w:b/>
                <w:bCs/>
                <w:sz w:val="18"/>
                <w:szCs w:val="18"/>
              </w:rPr>
              <w:t>Possible future Sources</w:t>
            </w:r>
          </w:p>
        </w:tc>
        <w:tc>
          <w:tcPr>
            <w:tcW w:w="0" w:type="auto"/>
            <w:shd w:val="clear" w:color="auto" w:fill="DDD9C3" w:themeFill="background2" w:themeFillShade="E6"/>
            <w:vAlign w:val="center"/>
          </w:tcPr>
          <w:p w14:paraId="58B1CF82" w14:textId="77777777" w:rsidR="00A92C4E" w:rsidRPr="00C766D7" w:rsidRDefault="00A92C4E" w:rsidP="00A92C4E">
            <w:pPr>
              <w:jc w:val="center"/>
              <w:rPr>
                <w:b/>
                <w:bCs/>
                <w:sz w:val="18"/>
                <w:szCs w:val="18"/>
              </w:rPr>
            </w:pPr>
            <w:r>
              <w:rPr>
                <w:b/>
                <w:bCs/>
                <w:sz w:val="18"/>
                <w:szCs w:val="18"/>
              </w:rPr>
              <w:t>Minimum Disaggregation Dimensions and Categories</w:t>
            </w:r>
          </w:p>
        </w:tc>
        <w:tc>
          <w:tcPr>
            <w:tcW w:w="0" w:type="auto"/>
            <w:shd w:val="clear" w:color="auto" w:fill="DDD9C3" w:themeFill="background2" w:themeFillShade="E6"/>
            <w:vAlign w:val="center"/>
          </w:tcPr>
          <w:p w14:paraId="3872A5D0" w14:textId="77777777" w:rsidR="00A92C4E" w:rsidRPr="00C766D7" w:rsidRDefault="00A92C4E" w:rsidP="00A92C4E">
            <w:pPr>
              <w:jc w:val="center"/>
              <w:rPr>
                <w:b/>
                <w:bCs/>
                <w:sz w:val="18"/>
                <w:szCs w:val="18"/>
              </w:rPr>
            </w:pPr>
            <w:r w:rsidRPr="00C766D7">
              <w:rPr>
                <w:b/>
                <w:bCs/>
                <w:sz w:val="18"/>
                <w:szCs w:val="18"/>
              </w:rPr>
              <w:t>Frequency of data generation</w:t>
            </w:r>
          </w:p>
        </w:tc>
        <w:tc>
          <w:tcPr>
            <w:tcW w:w="0" w:type="auto"/>
            <w:shd w:val="clear" w:color="auto" w:fill="DDD9C3" w:themeFill="background2" w:themeFillShade="E6"/>
            <w:vAlign w:val="center"/>
          </w:tcPr>
          <w:p w14:paraId="214FF282" w14:textId="77777777" w:rsidR="00A92C4E" w:rsidRPr="00C766D7" w:rsidRDefault="00A92C4E" w:rsidP="00A92C4E">
            <w:pPr>
              <w:jc w:val="center"/>
              <w:rPr>
                <w:b/>
                <w:bCs/>
                <w:sz w:val="18"/>
                <w:szCs w:val="18"/>
              </w:rPr>
            </w:pPr>
            <w:r w:rsidRPr="00C766D7">
              <w:rPr>
                <w:b/>
                <w:bCs/>
                <w:sz w:val="18"/>
                <w:szCs w:val="18"/>
              </w:rPr>
              <w:t>Local Indicator Group</w:t>
            </w:r>
          </w:p>
        </w:tc>
        <w:tc>
          <w:tcPr>
            <w:tcW w:w="0" w:type="auto"/>
            <w:shd w:val="clear" w:color="auto" w:fill="DDD9C3" w:themeFill="background2" w:themeFillShade="E6"/>
          </w:tcPr>
          <w:p w14:paraId="131725D1" w14:textId="77777777" w:rsidR="00A92C4E" w:rsidRDefault="00A92C4E" w:rsidP="00A92C4E">
            <w:pPr>
              <w:jc w:val="center"/>
              <w:rPr>
                <w:b/>
                <w:bCs/>
                <w:sz w:val="18"/>
                <w:szCs w:val="18"/>
              </w:rPr>
            </w:pPr>
            <w:r w:rsidRPr="00BE3A94">
              <w:rPr>
                <w:b/>
                <w:bCs/>
                <w:sz w:val="18"/>
                <w:szCs w:val="18"/>
              </w:rPr>
              <w:t>Deadline for Data providing</w:t>
            </w:r>
          </w:p>
        </w:tc>
        <w:tc>
          <w:tcPr>
            <w:tcW w:w="0" w:type="auto"/>
            <w:shd w:val="clear" w:color="auto" w:fill="DDD9C3" w:themeFill="background2" w:themeFillShade="E6"/>
            <w:vAlign w:val="center"/>
          </w:tcPr>
          <w:p w14:paraId="7A128C6D" w14:textId="77777777" w:rsidR="00A92C4E" w:rsidRPr="00C766D7" w:rsidRDefault="00A92C4E" w:rsidP="00A92C4E">
            <w:pPr>
              <w:jc w:val="center"/>
              <w:rPr>
                <w:b/>
                <w:bCs/>
                <w:sz w:val="18"/>
                <w:szCs w:val="18"/>
              </w:rPr>
            </w:pPr>
            <w:r>
              <w:rPr>
                <w:b/>
                <w:bCs/>
                <w:sz w:val="18"/>
                <w:szCs w:val="18"/>
              </w:rPr>
              <w:t>Remarks</w:t>
            </w:r>
          </w:p>
        </w:tc>
      </w:tr>
      <w:tr w:rsidR="00A92C4E" w:rsidRPr="007E6DF7" w14:paraId="4D58D871" w14:textId="77777777" w:rsidTr="000618B2">
        <w:trPr>
          <w:tblHeader/>
        </w:trPr>
        <w:tc>
          <w:tcPr>
            <w:tcW w:w="0" w:type="auto"/>
            <w:shd w:val="clear" w:color="auto" w:fill="00B0F0"/>
          </w:tcPr>
          <w:p w14:paraId="4E742A99" w14:textId="77777777" w:rsidR="00A92C4E" w:rsidRPr="007E6DF7" w:rsidRDefault="00A92C4E" w:rsidP="00A92C4E">
            <w:pPr>
              <w:jc w:val="center"/>
              <w:rPr>
                <w:b/>
                <w:bCs/>
                <w:sz w:val="18"/>
                <w:szCs w:val="18"/>
              </w:rPr>
            </w:pPr>
            <w:r w:rsidRPr="007E6DF7">
              <w:rPr>
                <w:b/>
                <w:bCs/>
                <w:sz w:val="18"/>
                <w:szCs w:val="18"/>
              </w:rPr>
              <w:t>1</w:t>
            </w:r>
          </w:p>
        </w:tc>
        <w:tc>
          <w:tcPr>
            <w:tcW w:w="0" w:type="auto"/>
            <w:shd w:val="clear" w:color="auto" w:fill="00B0F0"/>
          </w:tcPr>
          <w:p w14:paraId="59931F39" w14:textId="77777777" w:rsidR="00A92C4E" w:rsidRPr="007E6DF7" w:rsidRDefault="00A92C4E" w:rsidP="00A92C4E">
            <w:pPr>
              <w:jc w:val="center"/>
              <w:rPr>
                <w:b/>
                <w:bCs/>
                <w:sz w:val="18"/>
                <w:szCs w:val="18"/>
              </w:rPr>
            </w:pPr>
            <w:r w:rsidRPr="007E6DF7">
              <w:rPr>
                <w:b/>
                <w:bCs/>
                <w:sz w:val="18"/>
                <w:szCs w:val="18"/>
              </w:rPr>
              <w:t>2</w:t>
            </w:r>
          </w:p>
        </w:tc>
        <w:tc>
          <w:tcPr>
            <w:tcW w:w="0" w:type="auto"/>
            <w:shd w:val="clear" w:color="auto" w:fill="00B0F0"/>
          </w:tcPr>
          <w:p w14:paraId="7C21C045" w14:textId="77777777" w:rsidR="00A92C4E" w:rsidRPr="007E6DF7" w:rsidRDefault="00A92C4E" w:rsidP="00A92C4E">
            <w:pPr>
              <w:jc w:val="center"/>
              <w:rPr>
                <w:b/>
                <w:bCs/>
                <w:sz w:val="18"/>
                <w:szCs w:val="18"/>
              </w:rPr>
            </w:pPr>
            <w:r w:rsidRPr="007E6DF7">
              <w:rPr>
                <w:b/>
                <w:bCs/>
                <w:sz w:val="18"/>
                <w:szCs w:val="18"/>
              </w:rPr>
              <w:t>3</w:t>
            </w:r>
          </w:p>
        </w:tc>
        <w:tc>
          <w:tcPr>
            <w:tcW w:w="0" w:type="auto"/>
            <w:shd w:val="clear" w:color="auto" w:fill="00B0F0"/>
          </w:tcPr>
          <w:p w14:paraId="35DA0CDB" w14:textId="77777777" w:rsidR="00A92C4E" w:rsidRPr="007E6DF7" w:rsidRDefault="00A92C4E" w:rsidP="00A92C4E">
            <w:pPr>
              <w:jc w:val="center"/>
              <w:rPr>
                <w:b/>
                <w:bCs/>
                <w:sz w:val="18"/>
                <w:szCs w:val="18"/>
              </w:rPr>
            </w:pPr>
            <w:r w:rsidRPr="007E6DF7">
              <w:rPr>
                <w:b/>
                <w:bCs/>
                <w:sz w:val="18"/>
                <w:szCs w:val="18"/>
              </w:rPr>
              <w:t>4</w:t>
            </w:r>
          </w:p>
        </w:tc>
        <w:tc>
          <w:tcPr>
            <w:tcW w:w="0" w:type="auto"/>
            <w:shd w:val="clear" w:color="auto" w:fill="00B0F0"/>
          </w:tcPr>
          <w:p w14:paraId="092BF5B8" w14:textId="77777777" w:rsidR="00A92C4E" w:rsidRPr="007E6DF7" w:rsidRDefault="00A92C4E" w:rsidP="00A92C4E">
            <w:pPr>
              <w:jc w:val="center"/>
              <w:rPr>
                <w:b/>
                <w:bCs/>
                <w:sz w:val="18"/>
                <w:szCs w:val="18"/>
              </w:rPr>
            </w:pPr>
            <w:r w:rsidRPr="007E6DF7">
              <w:rPr>
                <w:b/>
                <w:bCs/>
                <w:sz w:val="18"/>
                <w:szCs w:val="18"/>
              </w:rPr>
              <w:t>5</w:t>
            </w:r>
          </w:p>
        </w:tc>
        <w:tc>
          <w:tcPr>
            <w:tcW w:w="0" w:type="auto"/>
            <w:shd w:val="clear" w:color="auto" w:fill="00B0F0"/>
          </w:tcPr>
          <w:p w14:paraId="767E443F" w14:textId="77777777" w:rsidR="00A92C4E" w:rsidRPr="007E6DF7" w:rsidRDefault="00A92C4E" w:rsidP="00A92C4E">
            <w:pPr>
              <w:jc w:val="center"/>
              <w:rPr>
                <w:b/>
                <w:bCs/>
                <w:sz w:val="18"/>
                <w:szCs w:val="18"/>
              </w:rPr>
            </w:pPr>
            <w:r w:rsidRPr="007E6DF7">
              <w:rPr>
                <w:b/>
                <w:bCs/>
                <w:sz w:val="18"/>
                <w:szCs w:val="18"/>
              </w:rPr>
              <w:t>6</w:t>
            </w:r>
          </w:p>
        </w:tc>
        <w:tc>
          <w:tcPr>
            <w:tcW w:w="0" w:type="auto"/>
            <w:shd w:val="clear" w:color="auto" w:fill="00B0F0"/>
          </w:tcPr>
          <w:p w14:paraId="650D0BC3" w14:textId="77777777" w:rsidR="00A92C4E" w:rsidRPr="007E6DF7" w:rsidRDefault="00A92C4E" w:rsidP="00A92C4E">
            <w:pPr>
              <w:jc w:val="center"/>
              <w:rPr>
                <w:b/>
                <w:bCs/>
                <w:sz w:val="18"/>
                <w:szCs w:val="18"/>
              </w:rPr>
            </w:pPr>
            <w:r w:rsidRPr="007E6DF7">
              <w:rPr>
                <w:b/>
                <w:bCs/>
                <w:sz w:val="18"/>
                <w:szCs w:val="18"/>
              </w:rPr>
              <w:t>7</w:t>
            </w:r>
          </w:p>
        </w:tc>
        <w:tc>
          <w:tcPr>
            <w:tcW w:w="0" w:type="auto"/>
            <w:shd w:val="clear" w:color="auto" w:fill="00B0F0"/>
          </w:tcPr>
          <w:p w14:paraId="408920D1" w14:textId="77777777" w:rsidR="00A92C4E" w:rsidRPr="007E6DF7" w:rsidRDefault="00A92C4E" w:rsidP="00A92C4E">
            <w:pPr>
              <w:jc w:val="center"/>
              <w:rPr>
                <w:b/>
                <w:bCs/>
                <w:sz w:val="18"/>
                <w:szCs w:val="18"/>
              </w:rPr>
            </w:pPr>
            <w:r w:rsidRPr="007E6DF7">
              <w:rPr>
                <w:b/>
                <w:bCs/>
                <w:sz w:val="18"/>
                <w:szCs w:val="18"/>
              </w:rPr>
              <w:t>8</w:t>
            </w:r>
          </w:p>
        </w:tc>
        <w:tc>
          <w:tcPr>
            <w:tcW w:w="0" w:type="auto"/>
            <w:shd w:val="clear" w:color="auto" w:fill="00B0F0"/>
          </w:tcPr>
          <w:p w14:paraId="67BCB7C2" w14:textId="77777777" w:rsidR="00A92C4E" w:rsidRPr="007E6DF7" w:rsidRDefault="00A92C4E" w:rsidP="00A92C4E">
            <w:pPr>
              <w:jc w:val="center"/>
              <w:rPr>
                <w:b/>
                <w:bCs/>
                <w:sz w:val="18"/>
                <w:szCs w:val="18"/>
              </w:rPr>
            </w:pPr>
            <w:r w:rsidRPr="007E6DF7">
              <w:rPr>
                <w:b/>
                <w:bCs/>
                <w:sz w:val="18"/>
                <w:szCs w:val="18"/>
              </w:rPr>
              <w:t>9</w:t>
            </w:r>
          </w:p>
        </w:tc>
        <w:tc>
          <w:tcPr>
            <w:tcW w:w="0" w:type="auto"/>
            <w:shd w:val="clear" w:color="auto" w:fill="00B0F0"/>
          </w:tcPr>
          <w:p w14:paraId="4DE27268" w14:textId="77777777" w:rsidR="00A92C4E" w:rsidRPr="007E6DF7" w:rsidRDefault="00A92C4E" w:rsidP="00A92C4E">
            <w:pPr>
              <w:jc w:val="center"/>
              <w:rPr>
                <w:b/>
                <w:bCs/>
                <w:sz w:val="18"/>
                <w:szCs w:val="18"/>
              </w:rPr>
            </w:pPr>
            <w:r w:rsidRPr="007E6DF7">
              <w:rPr>
                <w:b/>
                <w:bCs/>
                <w:sz w:val="18"/>
                <w:szCs w:val="18"/>
              </w:rPr>
              <w:t>10</w:t>
            </w:r>
          </w:p>
        </w:tc>
        <w:tc>
          <w:tcPr>
            <w:tcW w:w="0" w:type="auto"/>
            <w:shd w:val="clear" w:color="auto" w:fill="00B0F0"/>
          </w:tcPr>
          <w:p w14:paraId="034BCCF6" w14:textId="77777777" w:rsidR="00A92C4E" w:rsidRPr="007E6DF7" w:rsidRDefault="00A92C4E" w:rsidP="00A92C4E">
            <w:pPr>
              <w:jc w:val="center"/>
              <w:rPr>
                <w:b/>
                <w:bCs/>
                <w:sz w:val="18"/>
                <w:szCs w:val="18"/>
              </w:rPr>
            </w:pPr>
            <w:r w:rsidRPr="007E6DF7">
              <w:rPr>
                <w:b/>
                <w:bCs/>
                <w:sz w:val="18"/>
                <w:szCs w:val="18"/>
              </w:rPr>
              <w:t>11</w:t>
            </w:r>
          </w:p>
        </w:tc>
        <w:tc>
          <w:tcPr>
            <w:tcW w:w="0" w:type="auto"/>
            <w:shd w:val="clear" w:color="auto" w:fill="00B0F0"/>
          </w:tcPr>
          <w:p w14:paraId="0E02B04B" w14:textId="77777777" w:rsidR="00A92C4E" w:rsidRPr="007E6DF7" w:rsidRDefault="00A92C4E" w:rsidP="00A92C4E">
            <w:pPr>
              <w:jc w:val="center"/>
              <w:rPr>
                <w:b/>
                <w:bCs/>
                <w:sz w:val="18"/>
                <w:szCs w:val="18"/>
                <w:lang w:bidi="bn-BD"/>
              </w:rPr>
            </w:pPr>
            <w:r w:rsidRPr="007E6DF7">
              <w:rPr>
                <w:rFonts w:hint="cs"/>
                <w:b/>
                <w:bCs/>
                <w:sz w:val="18"/>
                <w:szCs w:val="18"/>
                <w:cs/>
                <w:lang w:bidi="bn-BD"/>
              </w:rPr>
              <w:t>12</w:t>
            </w:r>
          </w:p>
        </w:tc>
        <w:tc>
          <w:tcPr>
            <w:tcW w:w="0" w:type="auto"/>
            <w:shd w:val="clear" w:color="auto" w:fill="00B0F0"/>
          </w:tcPr>
          <w:p w14:paraId="1831E632" w14:textId="77777777" w:rsidR="00A92C4E" w:rsidRPr="007E6DF7" w:rsidRDefault="00A92C4E" w:rsidP="00A92C4E">
            <w:pPr>
              <w:jc w:val="center"/>
              <w:rPr>
                <w:b/>
                <w:bCs/>
                <w:sz w:val="18"/>
                <w:szCs w:val="18"/>
                <w:lang w:bidi="bn-BD"/>
              </w:rPr>
            </w:pPr>
            <w:r w:rsidRPr="007E6DF7">
              <w:rPr>
                <w:b/>
                <w:bCs/>
                <w:sz w:val="18"/>
                <w:szCs w:val="18"/>
              </w:rPr>
              <w:t>1</w:t>
            </w:r>
            <w:r w:rsidRPr="007E6DF7">
              <w:rPr>
                <w:rFonts w:hint="cs"/>
                <w:b/>
                <w:bCs/>
                <w:sz w:val="18"/>
                <w:szCs w:val="18"/>
                <w:cs/>
                <w:lang w:bidi="bn-BD"/>
              </w:rPr>
              <w:t>3</w:t>
            </w:r>
          </w:p>
        </w:tc>
      </w:tr>
      <w:tr w:rsidR="001820B2" w14:paraId="1678CCEC" w14:textId="77777777" w:rsidTr="00A64F0D">
        <w:tc>
          <w:tcPr>
            <w:tcW w:w="0" w:type="auto"/>
          </w:tcPr>
          <w:p w14:paraId="64743D71" w14:textId="77777777" w:rsidR="001820B2" w:rsidRDefault="001820B2" w:rsidP="00A92C4E">
            <w:pPr>
              <w:ind w:left="970" w:hanging="970"/>
              <w:jc w:val="both"/>
              <w:rPr>
                <w:color w:val="0070C0"/>
                <w:sz w:val="30"/>
                <w:szCs w:val="30"/>
              </w:rPr>
            </w:pPr>
          </w:p>
        </w:tc>
        <w:tc>
          <w:tcPr>
            <w:tcW w:w="0" w:type="auto"/>
            <w:gridSpan w:val="12"/>
          </w:tcPr>
          <w:p w14:paraId="5A660273" w14:textId="77777777" w:rsidR="001820B2" w:rsidRDefault="001820B2" w:rsidP="002464A2">
            <w:pPr>
              <w:pStyle w:val="NoSpacing"/>
              <w:rPr>
                <w:sz w:val="48"/>
                <w:szCs w:val="48"/>
              </w:rPr>
            </w:pPr>
            <w:r>
              <w:t xml:space="preserve">Target </w:t>
            </w:r>
            <w:r w:rsidRPr="00C97C3C">
              <w:rPr>
                <w:lang w:bidi="bn-BD"/>
              </w:rPr>
              <w:t>12.1 Implement the 10-Year Framework of Programmes on Sustainable Consumption and Production Patterns, all countries taking action, with developed countries taking the lead, taking into account the development and capabilities of developing countries</w:t>
            </w:r>
          </w:p>
        </w:tc>
      </w:tr>
      <w:tr w:rsidR="008C6A6C" w14:paraId="384394E5" w14:textId="77777777" w:rsidTr="00A64F0D">
        <w:tc>
          <w:tcPr>
            <w:tcW w:w="0" w:type="auto"/>
          </w:tcPr>
          <w:p w14:paraId="335A36BA" w14:textId="77777777" w:rsidR="008C6A6C" w:rsidRDefault="008C6A6C" w:rsidP="008C6A6C">
            <w:pPr>
              <w:pStyle w:val="NoSpacing"/>
            </w:pPr>
            <w:r w:rsidRPr="00360230">
              <w:t>12.1.1 Number of countries with sustainable consumption and production (SCP) national action plans or SCP mainstreamed as a priority or a target into national policies</w:t>
            </w:r>
          </w:p>
        </w:tc>
        <w:tc>
          <w:tcPr>
            <w:tcW w:w="0" w:type="auto"/>
          </w:tcPr>
          <w:p w14:paraId="26F251DE" w14:textId="77777777" w:rsidR="008C6A6C" w:rsidRDefault="008C6A6C" w:rsidP="008C6A6C">
            <w:pPr>
              <w:ind w:left="970" w:hanging="970"/>
              <w:jc w:val="both"/>
              <w:rPr>
                <w:color w:val="0070C0"/>
                <w:sz w:val="30"/>
                <w:szCs w:val="30"/>
              </w:rPr>
            </w:pPr>
          </w:p>
          <w:p w14:paraId="393B7263" w14:textId="77777777" w:rsidR="008C6A6C" w:rsidRDefault="008C6A6C" w:rsidP="008C6A6C">
            <w:pPr>
              <w:pStyle w:val="NoSpacing"/>
            </w:pPr>
            <w:r w:rsidRPr="004559CB">
              <w:t>UNEP</w:t>
            </w:r>
          </w:p>
          <w:p w14:paraId="38A01768" w14:textId="77777777" w:rsidR="008C6A6C" w:rsidRPr="004559CB" w:rsidRDefault="008C6A6C" w:rsidP="008C6A6C">
            <w:pPr>
              <w:pStyle w:val="NoSpacing"/>
            </w:pPr>
          </w:p>
        </w:tc>
        <w:tc>
          <w:tcPr>
            <w:tcW w:w="0" w:type="auto"/>
          </w:tcPr>
          <w:p w14:paraId="70AEC9A5" w14:textId="77777777" w:rsidR="008C6A6C" w:rsidRDefault="008C6A6C" w:rsidP="008C6A6C">
            <w:pPr>
              <w:ind w:left="970" w:hanging="970"/>
              <w:jc w:val="both"/>
            </w:pPr>
            <w:r w:rsidRPr="00666BAB">
              <w:t>Tier II</w:t>
            </w:r>
          </w:p>
          <w:p w14:paraId="7C7AA91D" w14:textId="77777777" w:rsidR="008C6A6C" w:rsidRDefault="008C6A6C" w:rsidP="008C6A6C">
            <w:pPr>
              <w:ind w:left="970" w:hanging="970"/>
              <w:jc w:val="both"/>
              <w:rPr>
                <w:color w:val="0070C0"/>
                <w:sz w:val="30"/>
                <w:szCs w:val="30"/>
              </w:rPr>
            </w:pPr>
          </w:p>
        </w:tc>
        <w:tc>
          <w:tcPr>
            <w:tcW w:w="0" w:type="auto"/>
          </w:tcPr>
          <w:p w14:paraId="08B6A637" w14:textId="77777777" w:rsidR="008C6A6C" w:rsidRPr="002750A9" w:rsidRDefault="008C6A6C" w:rsidP="008C6A6C">
            <w:pPr>
              <w:pStyle w:val="NoSpacing"/>
              <w:rPr>
                <w:rFonts w:eastAsia="Times New Roman" w:cs="Times New Roman"/>
                <w:b/>
                <w:szCs w:val="20"/>
                <w:lang w:eastAsia="en-GB"/>
              </w:rPr>
            </w:pPr>
            <w:r w:rsidRPr="002750A9">
              <w:rPr>
                <w:rFonts w:eastAsia="Times New Roman" w:cs="Times New Roman"/>
                <w:b/>
                <w:szCs w:val="20"/>
                <w:lang w:eastAsia="en-GB"/>
              </w:rPr>
              <w:t>Definition:</w:t>
            </w:r>
          </w:p>
          <w:p w14:paraId="62133603" w14:textId="77777777" w:rsidR="008C6A6C"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This indicator allows for the quantification (#) and monitoring of countries making progress along the policy cycle of binding and non-binding policy instruments aimed at supporting Sustainable Consumption and Production. </w:t>
            </w:r>
          </w:p>
          <w:p w14:paraId="160C0D79" w14:textId="77777777" w:rsidR="008C6A6C" w:rsidRPr="002464A2" w:rsidRDefault="008C6A6C" w:rsidP="008C6A6C">
            <w:pPr>
              <w:pStyle w:val="NoSpacing"/>
              <w:rPr>
                <w:rFonts w:eastAsia="Times New Roman" w:cs="Times New Roman"/>
                <w:color w:val="4A4A4A"/>
                <w:szCs w:val="20"/>
                <w:lang w:eastAsia="en-GB"/>
              </w:rPr>
            </w:pPr>
          </w:p>
          <w:p w14:paraId="676DA283" w14:textId="77777777" w:rsidR="008C6A6C" w:rsidRDefault="008C6A6C" w:rsidP="008C6A6C">
            <w:pPr>
              <w:pStyle w:val="NoSpacing"/>
              <w:rPr>
                <w:rFonts w:eastAsia="Times New Roman" w:cs="Times New Roman"/>
                <w:color w:val="4A4A4A"/>
                <w:szCs w:val="20"/>
                <w:lang w:val="en-GB" w:eastAsia="en-GB"/>
              </w:rPr>
            </w:pPr>
            <w:r w:rsidRPr="002464A2">
              <w:rPr>
                <w:rFonts w:eastAsia="Times New Roman" w:cs="Times New Roman"/>
                <w:color w:val="4A4A4A"/>
                <w:szCs w:val="20"/>
                <w:lang w:val="en-GB" w:eastAsia="en-GB"/>
              </w:rPr>
              <w:t>Sustainable Consumption and Production:</w:t>
            </w:r>
            <w:r w:rsidRPr="002464A2">
              <w:rPr>
                <w:color w:val="auto"/>
                <w:szCs w:val="20"/>
                <w:lang w:val="en-GB"/>
              </w:rPr>
              <w:t xml:space="preserve"> </w:t>
            </w:r>
            <w:r w:rsidRPr="002464A2">
              <w:rPr>
                <w:rFonts w:eastAsia="Times New Roman" w:cs="Times New Roman"/>
                <w:color w:val="4A4A4A"/>
                <w:szCs w:val="20"/>
                <w:lang w:val="en-GB" w:eastAsia="en-GB"/>
              </w:rPr>
              <w:t>the working definition of Sustainable Consumption and Production (SCP) used in the context of this framework is: “The use of services and related products, which respond to basic needs and bring a better quality of life while minimising the use of natural resources and toxic materials as well as the emissions of waste and pollutants over the life cycle of the service or product so as not to jeopardise the needs of future generation.”</w:t>
            </w:r>
            <w:r w:rsidRPr="002464A2">
              <w:rPr>
                <w:rFonts w:eastAsia="Times New Roman" w:cs="Times New Roman"/>
                <w:color w:val="4A4A4A"/>
                <w:szCs w:val="20"/>
                <w:lang w:eastAsia="en-GB"/>
              </w:rPr>
              <w:footnoteReference w:id="20"/>
            </w:r>
          </w:p>
          <w:p w14:paraId="74006755" w14:textId="77777777" w:rsidR="008C6A6C" w:rsidRPr="002464A2" w:rsidRDefault="008C6A6C" w:rsidP="008C6A6C">
            <w:pPr>
              <w:pStyle w:val="NoSpacing"/>
              <w:rPr>
                <w:color w:val="auto"/>
                <w:szCs w:val="20"/>
                <w:lang w:val="en-GB"/>
              </w:rPr>
            </w:pPr>
          </w:p>
          <w:p w14:paraId="4E892FB9" w14:textId="77777777" w:rsidR="008C6A6C" w:rsidRPr="002464A2" w:rsidRDefault="008C6A6C" w:rsidP="008C6A6C">
            <w:pPr>
              <w:pStyle w:val="NoSpacing"/>
              <w:rPr>
                <w:rFonts w:eastAsia="Times New Roman" w:cs="Times New Roman"/>
                <w:szCs w:val="20"/>
                <w:lang w:eastAsia="en-GB"/>
              </w:rPr>
            </w:pPr>
            <w:r w:rsidRPr="002464A2">
              <w:rPr>
                <w:rFonts w:eastAsia="Times New Roman" w:cs="Times New Roman"/>
                <w:szCs w:val="20"/>
                <w:lang w:eastAsia="en-GB"/>
              </w:rPr>
              <w:t xml:space="preserve"> </w:t>
            </w:r>
            <w:r w:rsidRPr="002464A2">
              <w:rPr>
                <w:rFonts w:eastAsia="Times New Roman" w:cs="Times New Roman"/>
                <w:color w:val="4A4A4A"/>
                <w:szCs w:val="20"/>
                <w:lang w:eastAsia="en-GB"/>
              </w:rPr>
              <w:t>Policy:</w:t>
            </w:r>
            <w:r w:rsidRPr="002464A2">
              <w:rPr>
                <w:rFonts w:eastAsia="Times New Roman" w:cs="Times New Roman"/>
                <w:szCs w:val="20"/>
                <w:lang w:eastAsia="en-GB"/>
              </w:rPr>
              <w:t xml:space="preserve"> </w:t>
            </w:r>
            <w:r w:rsidRPr="002464A2">
              <w:rPr>
                <w:rFonts w:eastAsia="Times New Roman" w:cs="Times New Roman"/>
                <w:color w:val="4A4A4A"/>
                <w:szCs w:val="20"/>
                <w:lang w:eastAsia="en-GB"/>
              </w:rPr>
              <w:t>although quite flexible and contexts specific, a policy is usually defined as a course of action that has been officially agreed by an entity or an organization (governmental or non-governmental) and is effectively implemented to achieve specific objectives.</w:t>
            </w:r>
          </w:p>
          <w:p w14:paraId="7FF8B22E"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Policy instruments for sustainable consumption and production: policy instruments refer to the means – methodologies, measures or interventions – that are used to achieve those objectives. In the case of SCP, such instruments are designed and implemented to reduce the environmental impacts of consumption and production patterns, with a view of generating economic and/or social benefits. </w:t>
            </w:r>
          </w:p>
          <w:p w14:paraId="02D89716"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Making progress along the policy cycle refers to the development, adoption, implementation or evaluation of such policy instruments.  </w:t>
            </w:r>
          </w:p>
          <w:p w14:paraId="4A28CA95" w14:textId="77777777" w:rsidR="008C6A6C" w:rsidRPr="002464A2" w:rsidRDefault="008C6A6C" w:rsidP="008C6A6C">
            <w:pPr>
              <w:pStyle w:val="NoSpacing"/>
              <w:rPr>
                <w:rFonts w:eastAsia="Times New Roman" w:cs="Times New Roman"/>
                <w:color w:val="4A4A4A"/>
                <w:szCs w:val="20"/>
                <w:lang w:eastAsia="en-GB"/>
              </w:rPr>
            </w:pPr>
          </w:p>
          <w:p w14:paraId="19F09AB0" w14:textId="77777777" w:rsidR="008C6A6C" w:rsidRPr="002750A9" w:rsidRDefault="008C6A6C" w:rsidP="008C6A6C">
            <w:pPr>
              <w:pStyle w:val="NoSpacing"/>
              <w:rPr>
                <w:rFonts w:eastAsia="Times New Roman" w:cs="Times New Roman"/>
                <w:b/>
                <w:color w:val="4A4A4A"/>
                <w:szCs w:val="20"/>
                <w:lang w:eastAsia="en-GB"/>
              </w:rPr>
            </w:pPr>
            <w:r w:rsidRPr="002750A9">
              <w:rPr>
                <w:rFonts w:eastAsia="Times New Roman" w:cs="Times New Roman"/>
                <w:b/>
                <w:color w:val="4A4A4A"/>
                <w:szCs w:val="20"/>
                <w:lang w:eastAsia="en-GB"/>
              </w:rPr>
              <w:t>Concepts:</w:t>
            </w:r>
          </w:p>
          <w:p w14:paraId="3E6B1347"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As mentioned above, policy instruments are distinguished in legally binding policies and non-legally binding ones.Legally binding: a legally binding policy instrument refers to a system of rules, procedures and/or principles which are prescribed and enforced by a governing authority with the aim of requiring or preventing specific actions or providing incentives that lead to change in actions or preferences. It includes: laws, regulations, standards, by-laws, codes, etc. They can relate to different types of jurisdictions such as a ministry, state, municipality, or group of states. </w:t>
            </w:r>
          </w:p>
          <w:p w14:paraId="2CCF4D42"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Non-binding: a non-binding policy instrument refers to a coherent set of decisions associated to a common vision, objective and/or direction, and to a proposed course of action to achieve these. It includes, for instance: action plans, policies, strategies, programmes, and projects. They can have different scopes of application (international, national, local, etc.).</w:t>
            </w:r>
          </w:p>
          <w:p w14:paraId="27D394E0"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lastRenderedPageBreak/>
              <w:t xml:space="preserve">At another level, different categories of policy instruments can be distinguished:  </w:t>
            </w:r>
          </w:p>
          <w:p w14:paraId="7B031C2E"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Macro policies (e.g. national strategies/action plans, new institutions/entities)</w:t>
            </w:r>
          </w:p>
          <w:p w14:paraId="415D0380"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Regulatory and legal instruments (e.g. laws, standards, enforcement measures)</w:t>
            </w:r>
          </w:p>
          <w:p w14:paraId="285C29D5"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Economic and fiscal instruments (taxes and tax incentives, grants, preferential loans, etc.) </w:t>
            </w:r>
          </w:p>
          <w:p w14:paraId="72BD8C2B"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Voluntary and self-regulation schemes (e.g. sectoral partnerships, codes of conduct, CSR initiatives)</w:t>
            </w:r>
          </w:p>
          <w:p w14:paraId="6CB74BDF" w14:textId="77777777" w:rsidR="008C6A6C" w:rsidRPr="002464A2" w:rsidRDefault="008C6A6C" w:rsidP="008C6A6C">
            <w:pPr>
              <w:pStyle w:val="NoSpacing"/>
              <w:rPr>
                <w:rFonts w:eastAsia="Times New Roman" w:cs="Times New Roman"/>
                <w:color w:val="4A4A4A"/>
                <w:szCs w:val="20"/>
                <w:lang w:eastAsia="en-GB"/>
              </w:rPr>
            </w:pPr>
          </w:p>
          <w:p w14:paraId="4EE6ACC3"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It is important to note that, except for regulatory / legal instruments and voluntary / self-regulation schemes, the options above are not mutually exclusive: for instance, an economic instrument can be legally binding. </w:t>
            </w:r>
          </w:p>
          <w:p w14:paraId="027E8D56" w14:textId="77777777" w:rsidR="008C6A6C" w:rsidRPr="002464A2" w:rsidRDefault="008C6A6C" w:rsidP="008C6A6C">
            <w:pPr>
              <w:pStyle w:val="NoSpacing"/>
              <w:rPr>
                <w:rFonts w:eastAsia="Times New Roman" w:cs="Times New Roman"/>
                <w:color w:val="4A4A4A"/>
                <w:szCs w:val="20"/>
                <w:lang w:eastAsia="en-GB"/>
              </w:rPr>
            </w:pPr>
          </w:p>
          <w:p w14:paraId="4C00BD36"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“Policy cycle”: this political science concept is widely used to analyse and inform public policy-making processes, but can be transposed to any recurrent pattern leading to the implementation of a policy or policy instrument. The following approach with regards to the various stages of the policy cycle is adopted: </w:t>
            </w:r>
          </w:p>
          <w:p w14:paraId="53679776"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Policy development, including Agenda setting (e.g. the problem identified is high enough on the public agenda that action becomes likely) and Policy design (e.g. setting objectives, identifying costs-benefits of potential policy instruments and selecting); </w:t>
            </w:r>
          </w:p>
          <w:p w14:paraId="482A685A"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Policy adopted or officially launched (e.g. adopting or authorizing the preferred policy options through the legislative process and refined through the bureaucratic process); </w:t>
            </w:r>
          </w:p>
          <w:p w14:paraId="1DF22069"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Policy under implementation through specific actions (e.g. translating policy into concrete action and policy instruments); results and impacts are being monitored;</w:t>
            </w:r>
          </w:p>
          <w:p w14:paraId="6CD21C35"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Policy and related action plan has reached its end date and has been evaluated.</w:t>
            </w:r>
          </w:p>
          <w:p w14:paraId="539102B5" w14:textId="77777777" w:rsidR="008C6A6C" w:rsidRPr="002464A2" w:rsidRDefault="008C6A6C" w:rsidP="008C6A6C">
            <w:pPr>
              <w:pStyle w:val="NoSpacing"/>
              <w:rPr>
                <w:rFonts w:eastAsia="Times New Roman" w:cs="Times New Roman"/>
                <w:b/>
                <w:color w:val="4A4A4A"/>
                <w:szCs w:val="20"/>
                <w:lang w:eastAsia="en-GB"/>
              </w:rPr>
            </w:pPr>
            <w:r w:rsidRPr="002464A2">
              <w:rPr>
                <w:rFonts w:eastAsia="Times New Roman" w:cs="Times New Roman"/>
                <w:b/>
                <w:color w:val="4A4A4A"/>
                <w:szCs w:val="20"/>
                <w:lang w:eastAsia="en-GB"/>
              </w:rPr>
              <w:t>Comments and limitations:</w:t>
            </w:r>
          </w:p>
          <w:p w14:paraId="7D21B17E"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Whereas the indicator quantifies and monitors countries’ progress along the policy cycle of binding and non-binding policy instruments aimed at supporting Sustainable Consumption and Production; it does not provide any qualitative information and whether policies were well-designed or if a proper background analysis had been conducted, the quality of implementation, level of enforcement, and its effects. These aspects will have to be looked at through narrative reports / qualitative analysis. </w:t>
            </w:r>
          </w:p>
          <w:p w14:paraId="10A32384" w14:textId="77777777" w:rsidR="008C6A6C" w:rsidRPr="002464A2" w:rsidRDefault="008C6A6C" w:rsidP="008C6A6C">
            <w:pPr>
              <w:pStyle w:val="NoSpacing"/>
              <w:rPr>
                <w:rFonts w:eastAsia="Times New Roman" w:cs="Times New Roman"/>
                <w:color w:val="4A4A4A"/>
                <w:szCs w:val="20"/>
                <w:lang w:eastAsia="en-GB"/>
              </w:rPr>
            </w:pPr>
          </w:p>
          <w:p w14:paraId="5D96326D"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The indicator encompasses policy instruments supporting the shift to SCP, including: policies which identify SCP as a key priority, policies focused on SCP and sectoral policies with SCP objectives. It is acknowledged that sectoral policies are also being reported under other SDG indicators and in particular 12.7.1 (# of countries implementing sustainable public procurement policies and action plans) and 12.b.1 (# of sustainable tourism strategies or policies and implemented action plans with agreed monitoring and evaluation tools).</w:t>
            </w:r>
          </w:p>
          <w:p w14:paraId="661977A1" w14:textId="77777777" w:rsidR="008C6A6C" w:rsidRPr="002464A2" w:rsidRDefault="008C6A6C" w:rsidP="008C6A6C">
            <w:pPr>
              <w:pStyle w:val="NoSpacing"/>
              <w:rPr>
                <w:rFonts w:eastAsia="Times New Roman" w:cs="Times New Roman"/>
                <w:color w:val="4A4A4A"/>
                <w:szCs w:val="20"/>
                <w:lang w:eastAsia="en-GB"/>
              </w:rPr>
            </w:pPr>
          </w:p>
          <w:p w14:paraId="7A0F5B3D"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Establishing baselines and targets can be time and resource intensive and depends on the willingness of 10YFP National Focal Points to communicate necessary information. </w:t>
            </w:r>
          </w:p>
          <w:p w14:paraId="3A2C27C0" w14:textId="77777777" w:rsidR="008C6A6C"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Main aspects regarding precision, reliability, attribution and double counting are addressed above. If you come across additional issues, please inform the 10YFP Secretariat.</w:t>
            </w:r>
          </w:p>
          <w:p w14:paraId="4AFDBC81" w14:textId="77777777" w:rsidR="008C6A6C" w:rsidRPr="002464A2" w:rsidRDefault="008C6A6C" w:rsidP="008C6A6C">
            <w:pPr>
              <w:pStyle w:val="NoSpacing"/>
              <w:rPr>
                <w:rFonts w:eastAsia="Times New Roman" w:cs="Times New Roman"/>
                <w:color w:val="4A4A4A"/>
                <w:szCs w:val="20"/>
                <w:lang w:eastAsia="en-GB"/>
              </w:rPr>
            </w:pPr>
          </w:p>
          <w:p w14:paraId="03356CD8"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Computation Method:</w:t>
            </w:r>
          </w:p>
          <w:p w14:paraId="339D54FD"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 xml:space="preserve">To be reported under this indicator, a government should have moved through one or more new stage(s) of the “Policy cycle” on </w:t>
            </w:r>
            <w:r w:rsidRPr="002464A2">
              <w:rPr>
                <w:rFonts w:eastAsia="Times New Roman" w:cs="Times New Roman"/>
                <w:color w:val="4A4A4A"/>
                <w:szCs w:val="20"/>
                <w:lang w:eastAsia="en-GB"/>
              </w:rPr>
              <w:lastRenderedPageBreak/>
              <w:t>one or more policy instrument(s) during the reporting period.</w:t>
            </w:r>
          </w:p>
          <w:p w14:paraId="35D2426F" w14:textId="77777777" w:rsidR="008C6A6C" w:rsidRPr="002464A2" w:rsidRDefault="008C6A6C" w:rsidP="008C6A6C">
            <w:pPr>
              <w:pStyle w:val="NoSpacing"/>
              <w:rPr>
                <w:rFonts w:eastAsia="Times New Roman" w:cs="Times New Roman"/>
                <w:color w:val="4A4A4A"/>
                <w:szCs w:val="20"/>
                <w:lang w:eastAsia="en-GB"/>
              </w:rPr>
            </w:pPr>
            <w:r w:rsidRPr="002464A2">
              <w:rPr>
                <w:rFonts w:eastAsia="Times New Roman" w:cs="Times New Roman"/>
                <w:color w:val="4A4A4A"/>
                <w:szCs w:val="20"/>
                <w:lang w:eastAsia="en-GB"/>
              </w:rPr>
              <w:t>This indicator is calculated at relevant aggregation levels based on the information collected from the National Focal Points and other government officials; users of the data should be mindful of double counting one same policy, when aggregating data across reporting years.</w:t>
            </w:r>
          </w:p>
        </w:tc>
        <w:tc>
          <w:tcPr>
            <w:tcW w:w="0" w:type="auto"/>
          </w:tcPr>
          <w:p w14:paraId="5E4B629B" w14:textId="77777777" w:rsidR="008C6A6C" w:rsidRPr="00BA6818" w:rsidRDefault="008C6A6C" w:rsidP="008C6A6C">
            <w:pPr>
              <w:pStyle w:val="NoSpacing"/>
            </w:pPr>
            <w:r>
              <w:lastRenderedPageBreak/>
              <w:t>O</w:t>
            </w:r>
            <w:r w:rsidRPr="00BA6818">
              <w:t>nline survey</w:t>
            </w:r>
          </w:p>
        </w:tc>
        <w:tc>
          <w:tcPr>
            <w:tcW w:w="0" w:type="auto"/>
          </w:tcPr>
          <w:p w14:paraId="0D12BCB0" w14:textId="77777777" w:rsidR="008C6A6C" w:rsidRDefault="008C6A6C" w:rsidP="008C6A6C">
            <w:pPr>
              <w:pStyle w:val="NoSpacing"/>
              <w:rPr>
                <w:lang w:eastAsia="en-GB"/>
              </w:rPr>
            </w:pPr>
            <w:r w:rsidRPr="002B37F0">
              <w:rPr>
                <w:lang w:eastAsia="en-GB"/>
              </w:rPr>
              <w:t xml:space="preserve">National data provider: 10YFP National Focal Points – the full list of National Focal Points is available here. In countries there is no nominated 10YFP national focal point, the survey will be sent to the UN Environment Focal Point. </w:t>
            </w:r>
          </w:p>
          <w:p w14:paraId="22DD6064" w14:textId="77777777" w:rsidR="008C6A6C" w:rsidRPr="00BA6818" w:rsidRDefault="008C6A6C" w:rsidP="008C6A6C">
            <w:pPr>
              <w:pStyle w:val="NoSpacing"/>
            </w:pPr>
          </w:p>
        </w:tc>
        <w:tc>
          <w:tcPr>
            <w:tcW w:w="0" w:type="auto"/>
          </w:tcPr>
          <w:p w14:paraId="3E48FB4F" w14:textId="0A1BB001" w:rsidR="008C6A6C" w:rsidRPr="00BC6F10" w:rsidRDefault="008C6A6C" w:rsidP="008C6A6C">
            <w:pPr>
              <w:pStyle w:val="NoSpacing"/>
            </w:pPr>
          </w:p>
        </w:tc>
        <w:tc>
          <w:tcPr>
            <w:tcW w:w="0" w:type="auto"/>
          </w:tcPr>
          <w:p w14:paraId="10DDCA0A" w14:textId="77777777" w:rsidR="008C6A6C" w:rsidRDefault="008C6A6C" w:rsidP="008C6A6C">
            <w:pPr>
              <w:spacing w:line="276" w:lineRule="auto"/>
              <w:jc w:val="center"/>
              <w:rPr>
                <w:rFonts w:eastAsia="Times New Roman" w:cs="Times New Roman"/>
                <w:color w:val="000000" w:themeColor="text1"/>
                <w:szCs w:val="20"/>
              </w:rPr>
            </w:pPr>
            <w:r>
              <w:rPr>
                <w:rFonts w:eastAsia="Times New Roman" w:cs="Times New Roman"/>
                <w:color w:val="000000" w:themeColor="text1"/>
                <w:szCs w:val="20"/>
              </w:rPr>
              <w:t>MoEFCC</w:t>
            </w:r>
          </w:p>
          <w:p w14:paraId="279C9363" w14:textId="77777777" w:rsidR="008C6A6C" w:rsidRDefault="008C6A6C" w:rsidP="008C6A6C">
            <w:pPr>
              <w:spacing w:line="276" w:lineRule="auto"/>
              <w:jc w:val="center"/>
              <w:rPr>
                <w:szCs w:val="26"/>
              </w:rPr>
            </w:pPr>
          </w:p>
          <w:p w14:paraId="3CCF07D2" w14:textId="77777777" w:rsidR="008C6A6C" w:rsidRPr="000C36C6" w:rsidRDefault="008C6A6C" w:rsidP="008C6A6C">
            <w:pPr>
              <w:spacing w:line="276" w:lineRule="auto"/>
              <w:jc w:val="center"/>
              <w:rPr>
                <w:szCs w:val="26"/>
              </w:rPr>
            </w:pPr>
            <w:r w:rsidRPr="000C36C6">
              <w:rPr>
                <w:szCs w:val="26"/>
              </w:rPr>
              <w:t>Administrative Data</w:t>
            </w:r>
          </w:p>
        </w:tc>
        <w:tc>
          <w:tcPr>
            <w:tcW w:w="0" w:type="auto"/>
          </w:tcPr>
          <w:p w14:paraId="6D6BC85F"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ministry</w:t>
            </w:r>
          </w:p>
          <w:p w14:paraId="5AF2D07B"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proofErr w:type="gramStart"/>
            <w:r>
              <w:rPr>
                <w:rFonts w:ascii="Tw Cen MT Condensed" w:hAnsi="Tw Cen MT Condensed"/>
                <w:sz w:val="20"/>
                <w:szCs w:val="20"/>
              </w:rPr>
              <w:t>policy</w:t>
            </w:r>
            <w:proofErr w:type="gramEnd"/>
            <w:r>
              <w:rPr>
                <w:rFonts w:ascii="Tw Cen MT Condensed" w:hAnsi="Tw Cen MT Condensed"/>
                <w:sz w:val="20"/>
                <w:szCs w:val="20"/>
              </w:rPr>
              <w:t>: macro-policy; policy instrument.</w:t>
            </w:r>
          </w:p>
          <w:p w14:paraId="3034F526"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macro-policy: macro-policy specifically focused on SCP; macro-policy with SCP as a key priority/objective; sectoral macro-policy with SCP objectives</w:t>
            </w:r>
          </w:p>
          <w:p w14:paraId="7AAD6CF2"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instrument: regulatory/legal; economic/financial; voluntary/self-regulatory</w:t>
            </w:r>
          </w:p>
          <w:p w14:paraId="6A397E51"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Policy cycle stage: Under development (initial stage); just adopted; under implementation through specific actions; has reached its end date and has been evaluated</w:t>
            </w:r>
          </w:p>
          <w:p w14:paraId="3AAFD3C0"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Year of adoption: 2002-2022</w:t>
            </w:r>
          </w:p>
          <w:p w14:paraId="065B3CED"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Legal status: binding/non-binding</w:t>
            </w:r>
          </w:p>
          <w:p w14:paraId="753D1135"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Sectors: Agriculture and fishery; Buildings and construction; Consumer goods; Culture and recreation; Financial sector; Education; Energy, Food &amp; Beverage; Forestry; Environmental protection; Environmental services; Government and Civil Society; Housing; Industrial sector (Including SMEs); Scientific Research, Development and Innovation; Tourism; Transport; Waste (including Chemicals); Water</w:t>
            </w:r>
          </w:p>
          <w:p w14:paraId="42CA1889"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Actors involved: national ministries or other specialized national agencies; local authorities; civil society organizations; scientific and technical organizations; United Nations/inter-governmental </w:t>
            </w:r>
            <w:r>
              <w:rPr>
                <w:rFonts w:ascii="Tw Cen MT Condensed" w:hAnsi="Tw Cen MT Condensed"/>
                <w:sz w:val="20"/>
                <w:szCs w:val="20"/>
              </w:rPr>
              <w:lastRenderedPageBreak/>
              <w:t>organizations; business sector</w:t>
            </w:r>
          </w:p>
          <w:p w14:paraId="5E1C2A64"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Support received from non – national partner::</w:t>
            </w:r>
            <w:r>
              <w:rPr>
                <w:rFonts w:ascii="Calibri" w:eastAsia="Times New Roman" w:hAnsi="Calibri" w:cs="Calibri"/>
                <w:color w:val="000000"/>
                <w:sz w:val="18"/>
                <w:szCs w:val="18"/>
              </w:rPr>
              <w:t xml:space="preserve"> </w:t>
            </w:r>
            <w:r>
              <w:rPr>
                <w:rFonts w:ascii="Tw Cen MT Condensed" w:hAnsi="Tw Cen MT Condensed"/>
                <w:sz w:val="20"/>
                <w:szCs w:val="20"/>
              </w:rPr>
              <w:t>United Nations/inter-governmental organizations; multilateral financial institutions; bilateral organizations; international non-governmental organizations</w:t>
            </w:r>
          </w:p>
          <w:p w14:paraId="79932A5F"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Support received from 10YFP: encouraged the development/implementation; technical support; financial support; capacity-building activities; experience and knowledge-sharing tools; no connection to 10YFP</w:t>
            </w:r>
          </w:p>
          <w:p w14:paraId="6F15C924" w14:textId="4872D900" w:rsidR="008C6A6C" w:rsidRDefault="008C6A6C" w:rsidP="000618B2">
            <w:pPr>
              <w:pStyle w:val="ListParagraph"/>
              <w:numPr>
                <w:ilvl w:val="0"/>
                <w:numId w:val="52"/>
              </w:numPr>
              <w:spacing w:after="160" w:line="256" w:lineRule="auto"/>
              <w:ind w:left="160" w:hanging="160"/>
              <w:jc w:val="both"/>
              <w:rPr>
                <w:color w:val="0070C0"/>
                <w:sz w:val="30"/>
                <w:szCs w:val="30"/>
              </w:rPr>
            </w:pPr>
            <w:r>
              <w:rPr>
                <w:rFonts w:ascii="Tw Cen MT Condensed" w:hAnsi="Tw Cen MT Condensed"/>
                <w:sz w:val="20"/>
                <w:szCs w:val="20"/>
              </w:rPr>
              <w:t xml:space="preserve">Support received from 10YFP programmes: sustainable public procurement; sustainable tourism; consumer information for SCP; sustainable food systems; sustainable </w:t>
            </w:r>
            <w:r>
              <w:rPr>
                <w:rFonts w:ascii="Tw Cen MT Condensed" w:hAnsi="Tw Cen MT Condensed"/>
                <w:sz w:val="20"/>
                <w:szCs w:val="20"/>
              </w:rPr>
              <w:lastRenderedPageBreak/>
              <w:t>lifestyles and education; sustainable buildings and construction; none of the above</w:t>
            </w:r>
          </w:p>
        </w:tc>
        <w:tc>
          <w:tcPr>
            <w:tcW w:w="0" w:type="auto"/>
          </w:tcPr>
          <w:p w14:paraId="31D24D96" w14:textId="77777777" w:rsidR="008C6A6C" w:rsidRDefault="008C6A6C" w:rsidP="008C6A6C">
            <w:pPr>
              <w:ind w:left="970" w:hanging="970"/>
              <w:jc w:val="both"/>
              <w:rPr>
                <w:color w:val="0070C0"/>
                <w:sz w:val="30"/>
                <w:szCs w:val="30"/>
              </w:rPr>
            </w:pPr>
            <w:r w:rsidRPr="000C36C6">
              <w:rPr>
                <w:szCs w:val="26"/>
              </w:rPr>
              <w:lastRenderedPageBreak/>
              <w:t>Triennial</w:t>
            </w:r>
          </w:p>
        </w:tc>
        <w:tc>
          <w:tcPr>
            <w:tcW w:w="0" w:type="auto"/>
          </w:tcPr>
          <w:p w14:paraId="6BF72F5C" w14:textId="77777777" w:rsidR="008C6A6C" w:rsidRDefault="008C6A6C" w:rsidP="008C6A6C">
            <w:pPr>
              <w:ind w:left="970" w:hanging="970"/>
              <w:jc w:val="both"/>
              <w:rPr>
                <w:color w:val="0070C0"/>
                <w:sz w:val="30"/>
                <w:szCs w:val="30"/>
              </w:rPr>
            </w:pPr>
            <w:r>
              <w:t>Group 2</w:t>
            </w:r>
          </w:p>
        </w:tc>
        <w:tc>
          <w:tcPr>
            <w:tcW w:w="0" w:type="auto"/>
          </w:tcPr>
          <w:p w14:paraId="67B80DE1" w14:textId="77777777" w:rsidR="008C6A6C" w:rsidRDefault="008C6A6C" w:rsidP="008C6A6C">
            <w:pPr>
              <w:pStyle w:val="NoSpacing"/>
            </w:pPr>
            <w:r>
              <w:t>1</w:t>
            </w:r>
            <w:r w:rsidRPr="00013ACB">
              <w:rPr>
                <w:vertAlign w:val="superscript"/>
              </w:rPr>
              <w:t>st</w:t>
            </w:r>
            <w:r>
              <w:t xml:space="preserve"> Round:</w:t>
            </w:r>
          </w:p>
          <w:p w14:paraId="1AF964F4" w14:textId="77777777" w:rsidR="008C6A6C" w:rsidRDefault="008C6A6C" w:rsidP="008C6A6C">
            <w:pPr>
              <w:pStyle w:val="NoSpacing"/>
            </w:pPr>
            <w:r w:rsidRPr="004C18F9">
              <w:t>June 2019</w:t>
            </w:r>
          </w:p>
          <w:p w14:paraId="6CA2B3EA" w14:textId="77777777" w:rsidR="008C6A6C" w:rsidRDefault="008C6A6C" w:rsidP="008C6A6C">
            <w:pPr>
              <w:pStyle w:val="NoSpacing"/>
            </w:pPr>
          </w:p>
          <w:p w14:paraId="38DCF897" w14:textId="77777777" w:rsidR="008C6A6C" w:rsidRDefault="008C6A6C" w:rsidP="008C6A6C">
            <w:pPr>
              <w:pStyle w:val="NoSpacing"/>
            </w:pPr>
            <w:r>
              <w:t>2</w:t>
            </w:r>
            <w:r w:rsidRPr="00013ACB">
              <w:rPr>
                <w:vertAlign w:val="superscript"/>
              </w:rPr>
              <w:t>nd</w:t>
            </w:r>
            <w:r>
              <w:t xml:space="preserve"> Round:</w:t>
            </w:r>
          </w:p>
          <w:p w14:paraId="103997F1" w14:textId="77777777" w:rsidR="008C6A6C" w:rsidRDefault="008C6A6C" w:rsidP="008C6A6C">
            <w:pPr>
              <w:pStyle w:val="NoSpacing"/>
            </w:pPr>
            <w:r>
              <w:t xml:space="preserve"> June 2022</w:t>
            </w:r>
          </w:p>
          <w:p w14:paraId="0C86BF49" w14:textId="77777777" w:rsidR="008C6A6C" w:rsidRDefault="008C6A6C" w:rsidP="008C6A6C">
            <w:pPr>
              <w:pStyle w:val="NoSpacing"/>
            </w:pPr>
          </w:p>
          <w:p w14:paraId="286518FB" w14:textId="77777777" w:rsidR="008C6A6C" w:rsidRDefault="008C6A6C" w:rsidP="008C6A6C">
            <w:pPr>
              <w:pStyle w:val="NoSpacing"/>
            </w:pPr>
            <w:r>
              <w:t>3</w:t>
            </w:r>
            <w:r w:rsidRPr="00013ACB">
              <w:rPr>
                <w:vertAlign w:val="superscript"/>
              </w:rPr>
              <w:t>rd</w:t>
            </w:r>
            <w:r>
              <w:t xml:space="preserve"> Round: </w:t>
            </w:r>
          </w:p>
          <w:p w14:paraId="497C1745" w14:textId="77777777" w:rsidR="008C6A6C" w:rsidRDefault="008C6A6C" w:rsidP="008C6A6C">
            <w:pPr>
              <w:pStyle w:val="NoSpacing"/>
            </w:pPr>
            <w:r>
              <w:t>June 2025</w:t>
            </w:r>
          </w:p>
          <w:p w14:paraId="389593D9" w14:textId="77777777" w:rsidR="008C6A6C" w:rsidRDefault="008C6A6C" w:rsidP="008C6A6C">
            <w:pPr>
              <w:pStyle w:val="NoSpacing"/>
            </w:pPr>
          </w:p>
          <w:p w14:paraId="5D55C73E" w14:textId="77777777" w:rsidR="008C6A6C" w:rsidRDefault="008C6A6C" w:rsidP="008C6A6C">
            <w:pPr>
              <w:pStyle w:val="NoSpacing"/>
            </w:pPr>
            <w:r>
              <w:t>4</w:t>
            </w:r>
            <w:r w:rsidRPr="00013ACB">
              <w:rPr>
                <w:vertAlign w:val="superscript"/>
              </w:rPr>
              <w:t>th</w:t>
            </w:r>
            <w:r>
              <w:t xml:space="preserve"> Round: </w:t>
            </w:r>
          </w:p>
          <w:p w14:paraId="3EC98671" w14:textId="77777777" w:rsidR="008C6A6C" w:rsidRDefault="008C6A6C" w:rsidP="008C6A6C">
            <w:pPr>
              <w:pStyle w:val="NoSpacing"/>
            </w:pPr>
            <w:r>
              <w:t>June 2028</w:t>
            </w:r>
          </w:p>
          <w:p w14:paraId="54376CA0" w14:textId="77777777" w:rsidR="008C6A6C" w:rsidRDefault="008C6A6C" w:rsidP="008C6A6C">
            <w:pPr>
              <w:pStyle w:val="NoSpacing"/>
            </w:pPr>
          </w:p>
          <w:p w14:paraId="6D4F0C37" w14:textId="77777777" w:rsidR="008C6A6C" w:rsidRDefault="008C6A6C" w:rsidP="008C6A6C">
            <w:pPr>
              <w:pStyle w:val="NoSpacing"/>
            </w:pPr>
            <w:r>
              <w:t>5</w:t>
            </w:r>
            <w:r w:rsidRPr="00013ACB">
              <w:rPr>
                <w:vertAlign w:val="superscript"/>
              </w:rPr>
              <w:t>th</w:t>
            </w:r>
            <w:r>
              <w:t xml:space="preserve"> Round: </w:t>
            </w:r>
          </w:p>
          <w:p w14:paraId="04E0BB49" w14:textId="633BC5B7" w:rsidR="008C6A6C" w:rsidRDefault="008C6A6C" w:rsidP="008C6A6C">
            <w:pPr>
              <w:pStyle w:val="NoSpacing"/>
            </w:pPr>
            <w:r>
              <w:t>June 2030</w:t>
            </w:r>
          </w:p>
        </w:tc>
        <w:tc>
          <w:tcPr>
            <w:tcW w:w="0" w:type="auto"/>
          </w:tcPr>
          <w:p w14:paraId="3C7D917F" w14:textId="77777777" w:rsidR="008C6A6C" w:rsidRPr="005D28FF" w:rsidRDefault="008C6A6C" w:rsidP="008C6A6C">
            <w:pPr>
              <w:pStyle w:val="NoSpacing"/>
            </w:pPr>
            <w:r w:rsidRPr="005D28FF">
              <w:t>Reviewed at 6th IAEG-SDG meeting (classified as Tier II)</w:t>
            </w:r>
          </w:p>
        </w:tc>
      </w:tr>
      <w:tr w:rsidR="000618B2" w14:paraId="4BCD1680" w14:textId="77777777" w:rsidTr="00D52BCB">
        <w:tc>
          <w:tcPr>
            <w:tcW w:w="0" w:type="auto"/>
            <w:gridSpan w:val="13"/>
          </w:tcPr>
          <w:p w14:paraId="79AF0E86" w14:textId="77777777" w:rsidR="000618B2" w:rsidRDefault="000618B2" w:rsidP="008C6A6C">
            <w:pPr>
              <w:jc w:val="both"/>
              <w:rPr>
                <w:color w:val="0070C0"/>
                <w:sz w:val="48"/>
                <w:szCs w:val="48"/>
              </w:rPr>
            </w:pPr>
            <w:r>
              <w:rPr>
                <w:color w:val="0070C0"/>
                <w:sz w:val="30"/>
                <w:szCs w:val="30"/>
              </w:rPr>
              <w:lastRenderedPageBreak/>
              <w:t xml:space="preserve">Target </w:t>
            </w:r>
            <w:r w:rsidRPr="00C97C3C">
              <w:rPr>
                <w:color w:val="0070C0"/>
                <w:sz w:val="30"/>
                <w:szCs w:val="30"/>
              </w:rPr>
              <w:t>12.2 By 2030, achieve the sustainable management and efficient use of natural resources</w:t>
            </w:r>
          </w:p>
        </w:tc>
      </w:tr>
      <w:tr w:rsidR="008C6A6C" w14:paraId="7E6563C1" w14:textId="77777777" w:rsidTr="00A64F0D">
        <w:tc>
          <w:tcPr>
            <w:tcW w:w="0" w:type="auto"/>
          </w:tcPr>
          <w:p w14:paraId="15E51507" w14:textId="77777777" w:rsidR="008C6A6C" w:rsidRDefault="008C6A6C" w:rsidP="008C6A6C">
            <w:pPr>
              <w:pStyle w:val="NoSpacing"/>
            </w:pPr>
            <w:r w:rsidRPr="00360230">
              <w:t>12.2.1 Material footprint, material footprint per capita, and material footprint per GDP</w:t>
            </w:r>
          </w:p>
        </w:tc>
        <w:tc>
          <w:tcPr>
            <w:tcW w:w="0" w:type="auto"/>
          </w:tcPr>
          <w:p w14:paraId="10646FEF" w14:textId="77777777" w:rsidR="008C6A6C" w:rsidRDefault="008C6A6C" w:rsidP="008C6A6C">
            <w:pPr>
              <w:pStyle w:val="NoSpacing"/>
            </w:pPr>
            <w:r w:rsidRPr="004559CB">
              <w:t>UNEP</w:t>
            </w:r>
          </w:p>
          <w:p w14:paraId="7826D4C0" w14:textId="77777777" w:rsidR="008C6A6C" w:rsidRDefault="008C6A6C" w:rsidP="008C6A6C">
            <w:pPr>
              <w:rPr>
                <w:b/>
                <w:bCs/>
                <w:szCs w:val="20"/>
              </w:rPr>
            </w:pPr>
            <w:r w:rsidRPr="007243FC">
              <w:rPr>
                <w:b/>
                <w:bCs/>
                <w:szCs w:val="20"/>
              </w:rPr>
              <w:t>Partner Agencies:</w:t>
            </w:r>
          </w:p>
          <w:p w14:paraId="04BCBB0C" w14:textId="77777777" w:rsidR="008C6A6C" w:rsidRDefault="008C6A6C" w:rsidP="008C6A6C">
            <w:pPr>
              <w:pStyle w:val="NoSpacing"/>
            </w:pPr>
            <w:r w:rsidRPr="004559CB">
              <w:t>OECD</w:t>
            </w:r>
          </w:p>
        </w:tc>
        <w:tc>
          <w:tcPr>
            <w:tcW w:w="0" w:type="auto"/>
          </w:tcPr>
          <w:p w14:paraId="5760610C" w14:textId="77777777" w:rsidR="008C6A6C" w:rsidRDefault="008C6A6C" w:rsidP="008C6A6C">
            <w:pPr>
              <w:ind w:left="970" w:hanging="970"/>
              <w:jc w:val="both"/>
              <w:rPr>
                <w:color w:val="0070C0"/>
                <w:sz w:val="30"/>
                <w:szCs w:val="30"/>
              </w:rPr>
            </w:pPr>
            <w:r w:rsidRPr="00666BAB">
              <w:t>Tier II</w:t>
            </w:r>
          </w:p>
        </w:tc>
        <w:tc>
          <w:tcPr>
            <w:tcW w:w="0" w:type="auto"/>
          </w:tcPr>
          <w:p w14:paraId="2777F136" w14:textId="77777777" w:rsidR="008C6A6C" w:rsidRPr="004935F7" w:rsidRDefault="008C6A6C" w:rsidP="008C6A6C">
            <w:pPr>
              <w:shd w:val="clear" w:color="auto" w:fill="FFFFFF"/>
              <w:rPr>
                <w:rFonts w:eastAsia="Times New Roman" w:cs="Times New Roman"/>
                <w:color w:val="4A4A4A"/>
                <w:szCs w:val="21"/>
                <w:lang w:eastAsia="en-GB"/>
              </w:rPr>
            </w:pPr>
            <w:r w:rsidRPr="004935F7">
              <w:rPr>
                <w:rFonts w:eastAsia="Times New Roman" w:cs="Times New Roman"/>
                <w:b/>
                <w:bCs/>
                <w:color w:val="4A4A4A"/>
                <w:szCs w:val="21"/>
                <w:lang w:eastAsia="en-GB"/>
              </w:rPr>
              <w:t>Definition:</w:t>
            </w:r>
          </w:p>
          <w:p w14:paraId="3F6D7504" w14:textId="77777777" w:rsidR="008C6A6C" w:rsidRPr="004935F7" w:rsidRDefault="008C6A6C" w:rsidP="008C6A6C">
            <w:pPr>
              <w:shd w:val="clear" w:color="auto" w:fill="FFFFFF"/>
              <w:rPr>
                <w:rFonts w:eastAsia="Times New Roman" w:cs="Times New Roman"/>
                <w:color w:val="4A4A4A"/>
                <w:szCs w:val="21"/>
                <w:lang w:eastAsia="en-GB"/>
              </w:rPr>
            </w:pPr>
            <w:r w:rsidRPr="004935F7">
              <w:rPr>
                <w:rFonts w:eastAsia="Times New Roman" w:cs="Times New Roman"/>
                <w:color w:val="4A4A4A"/>
                <w:szCs w:val="21"/>
                <w:lang w:eastAsia="en-GB"/>
              </w:rPr>
              <w:t>Material Footprint (MF) is the attribution of global material extraction to domestic final demand of a country. The total material footprint is the sum of the material footprint for biomass, fossil fuels, metal ores and non-metal ores.</w:t>
            </w:r>
            <w:r w:rsidRPr="004935F7">
              <w:rPr>
                <w:rFonts w:eastAsia="Times New Roman" w:cs="Times New Roman"/>
                <w:color w:val="4A4A4A"/>
                <w:szCs w:val="21"/>
                <w:highlight w:val="yellow"/>
                <w:lang w:eastAsia="en-GB"/>
              </w:rPr>
              <w:t xml:space="preserve"> </w:t>
            </w:r>
          </w:p>
          <w:p w14:paraId="652EF078" w14:textId="77777777" w:rsidR="008C6A6C" w:rsidRPr="004935F7" w:rsidRDefault="008C6A6C" w:rsidP="008C6A6C">
            <w:pPr>
              <w:shd w:val="clear" w:color="auto" w:fill="FFFFFF"/>
              <w:rPr>
                <w:rFonts w:eastAsia="Times New Roman" w:cs="Times New Roman"/>
                <w:color w:val="4A4A4A"/>
                <w:szCs w:val="21"/>
                <w:lang w:eastAsia="en-GB"/>
              </w:rPr>
            </w:pPr>
          </w:p>
          <w:p w14:paraId="54CC1983" w14:textId="77777777" w:rsidR="008C6A6C" w:rsidRPr="004935F7" w:rsidRDefault="008C6A6C" w:rsidP="008C6A6C">
            <w:pPr>
              <w:shd w:val="clear" w:color="auto" w:fill="FFFFFF"/>
              <w:rPr>
                <w:rFonts w:eastAsia="Times New Roman" w:cs="Times New Roman"/>
                <w:color w:val="4A4A4A"/>
                <w:szCs w:val="21"/>
                <w:lang w:eastAsia="en-GB"/>
              </w:rPr>
            </w:pPr>
            <w:r w:rsidRPr="004935F7">
              <w:rPr>
                <w:rFonts w:eastAsia="Times New Roman" w:cs="Times New Roman"/>
                <w:b/>
                <w:bCs/>
                <w:color w:val="4A4A4A"/>
                <w:szCs w:val="21"/>
                <w:lang w:eastAsia="en-GB"/>
              </w:rPr>
              <w:t>Concepts:</w:t>
            </w:r>
          </w:p>
          <w:p w14:paraId="34FBA256" w14:textId="77777777" w:rsidR="008C6A6C" w:rsidRPr="004935F7" w:rsidRDefault="008C6A6C" w:rsidP="008C6A6C">
            <w:pPr>
              <w:shd w:val="clear" w:color="auto" w:fill="FFFFFF"/>
              <w:rPr>
                <w:rFonts w:eastAsia="Times New Roman" w:cs="Times New Roman"/>
                <w:color w:val="4A4A4A"/>
                <w:szCs w:val="21"/>
                <w:lang w:eastAsia="en-GB"/>
              </w:rPr>
            </w:pPr>
            <w:r w:rsidRPr="004935F7">
              <w:rPr>
                <w:rFonts w:eastAsia="Times New Roman" w:cs="Times New Roman"/>
                <w:color w:val="4A4A4A"/>
                <w:szCs w:val="21"/>
                <w:lang w:eastAsia="en-GB"/>
              </w:rPr>
              <w:t xml:space="preserve">Domestic Material Consumption (DMC) and MF need to be looked at in combination as they cover the two aspects of the economy, production and consumption. The DMC reports the actual amount of material in an economy, MF the virtual amount required across the whole supply chain to service final demand. A country can, for instance have a very high DMC because it has a large primary production sector for export or a very low DMC because it has outsourced most of the material intensive industrial process to other countries. The material footprint corrects for both phenomena. </w:t>
            </w:r>
          </w:p>
          <w:p w14:paraId="348F9EBA" w14:textId="77777777" w:rsidR="008C6A6C" w:rsidRPr="004935F7" w:rsidRDefault="008C6A6C" w:rsidP="008C6A6C">
            <w:pPr>
              <w:shd w:val="clear" w:color="auto" w:fill="FFFFFF"/>
              <w:rPr>
                <w:rFonts w:eastAsia="Times New Roman" w:cs="Times New Roman"/>
                <w:color w:val="4A4A4A"/>
                <w:szCs w:val="21"/>
                <w:lang w:eastAsia="en-GB"/>
              </w:rPr>
            </w:pPr>
          </w:p>
          <w:p w14:paraId="04C9051D" w14:textId="77777777" w:rsidR="008C6A6C" w:rsidRPr="004935F7" w:rsidRDefault="008C6A6C" w:rsidP="008C6A6C">
            <w:pPr>
              <w:shd w:val="clear" w:color="auto" w:fill="FFFFFF"/>
              <w:rPr>
                <w:rFonts w:eastAsia="Times New Roman" w:cs="Times New Roman"/>
                <w:color w:val="4A4A4A"/>
                <w:szCs w:val="21"/>
                <w:lang w:eastAsia="en-GB"/>
              </w:rPr>
            </w:pPr>
            <w:r w:rsidRPr="004935F7">
              <w:rPr>
                <w:rFonts w:eastAsia="Times New Roman" w:cs="Times New Roman"/>
                <w:b/>
                <w:bCs/>
                <w:color w:val="4A4A4A"/>
                <w:szCs w:val="21"/>
                <w:lang w:eastAsia="en-GB"/>
              </w:rPr>
              <w:t>Comments and limitations:</w:t>
            </w:r>
          </w:p>
          <w:p w14:paraId="2ED5DE36" w14:textId="77777777" w:rsidR="008C6A6C" w:rsidRPr="004935F7" w:rsidRDefault="008C6A6C" w:rsidP="008C6A6C">
            <w:pPr>
              <w:shd w:val="clear" w:color="auto" w:fill="FFFFFF"/>
              <w:rPr>
                <w:rFonts w:eastAsia="Times New Roman" w:cs="Times New Roman"/>
                <w:color w:val="4A4A4A"/>
                <w:szCs w:val="21"/>
                <w:lang w:eastAsia="en-GB"/>
              </w:rPr>
            </w:pPr>
            <w:r w:rsidRPr="004935F7">
              <w:rPr>
                <w:rFonts w:eastAsia="Times New Roman" w:cs="Times New Roman"/>
                <w:color w:val="4A4A4A"/>
                <w:szCs w:val="21"/>
                <w:lang w:eastAsia="en-GB"/>
              </w:rPr>
              <w:t xml:space="preserve">The global material flows database is based on country material flow accounts from the European Union and Japan and estimated data for the rest of the world. </w:t>
            </w:r>
          </w:p>
          <w:p w14:paraId="5DBA8BB1" w14:textId="77777777" w:rsidR="008C6A6C" w:rsidRPr="004935F7" w:rsidRDefault="008C6A6C" w:rsidP="008C6A6C">
            <w:pPr>
              <w:shd w:val="clear" w:color="auto" w:fill="FFFFFF"/>
              <w:rPr>
                <w:rFonts w:eastAsia="Times New Roman" w:cs="Times New Roman"/>
                <w:b/>
                <w:bCs/>
                <w:color w:val="4A4A4A"/>
                <w:szCs w:val="21"/>
                <w:lang w:eastAsia="en-GB"/>
              </w:rPr>
            </w:pPr>
          </w:p>
          <w:p w14:paraId="588DE97B" w14:textId="77777777" w:rsidR="008C6A6C" w:rsidRPr="004935F7" w:rsidRDefault="008C6A6C" w:rsidP="008C6A6C">
            <w:pPr>
              <w:shd w:val="clear" w:color="auto" w:fill="FFFFFF"/>
              <w:rPr>
                <w:rFonts w:eastAsia="Times New Roman" w:cs="Times New Roman"/>
                <w:color w:val="4A4A4A"/>
                <w:szCs w:val="21"/>
                <w:lang w:eastAsia="en-GB"/>
              </w:rPr>
            </w:pPr>
            <w:r w:rsidRPr="004935F7">
              <w:rPr>
                <w:rFonts w:eastAsia="Times New Roman" w:cs="Times New Roman"/>
                <w:b/>
                <w:bCs/>
                <w:color w:val="4A4A4A"/>
                <w:szCs w:val="21"/>
                <w:lang w:eastAsia="en-GB"/>
              </w:rPr>
              <w:t>Computation Method:</w:t>
            </w:r>
          </w:p>
          <w:p w14:paraId="5742E7E7" w14:textId="77777777" w:rsidR="008C6A6C" w:rsidRPr="004935F7" w:rsidRDefault="008C6A6C" w:rsidP="008C6A6C">
            <w:pPr>
              <w:shd w:val="clear" w:color="auto" w:fill="FFFFFF"/>
              <w:rPr>
                <w:rFonts w:eastAsia="Times New Roman" w:cs="Times New Roman"/>
                <w:color w:val="4A4A4A"/>
                <w:sz w:val="21"/>
                <w:szCs w:val="21"/>
                <w:lang w:eastAsia="en-GB"/>
              </w:rPr>
            </w:pPr>
            <w:r w:rsidRPr="004935F7">
              <w:rPr>
                <w:rFonts w:eastAsia="Times New Roman" w:cs="Times New Roman"/>
                <w:color w:val="4A4A4A"/>
                <w:szCs w:val="21"/>
                <w:lang w:eastAsia="en-GB"/>
              </w:rPr>
              <w:t>It is calculated as raw material equivalent of imports (RME</w:t>
            </w:r>
            <w:r w:rsidRPr="004935F7">
              <w:rPr>
                <w:rFonts w:eastAsia="Times New Roman" w:cs="Times New Roman"/>
                <w:color w:val="4A4A4A"/>
                <w:szCs w:val="21"/>
                <w:vertAlign w:val="subscript"/>
                <w:lang w:eastAsia="en-GB"/>
              </w:rPr>
              <w:t>IM</w:t>
            </w:r>
            <w:r w:rsidRPr="004935F7">
              <w:rPr>
                <w:rFonts w:eastAsia="Times New Roman" w:cs="Times New Roman"/>
                <w:color w:val="4A4A4A"/>
                <w:szCs w:val="21"/>
                <w:lang w:eastAsia="en-GB"/>
              </w:rPr>
              <w:t>) plus domestic extraction (DE) minus raw material equivalents of exports (RME</w:t>
            </w:r>
            <w:r w:rsidRPr="004935F7">
              <w:rPr>
                <w:rFonts w:eastAsia="Times New Roman" w:cs="Times New Roman"/>
                <w:color w:val="4A4A4A"/>
                <w:szCs w:val="21"/>
                <w:vertAlign w:val="subscript"/>
                <w:lang w:eastAsia="en-GB"/>
              </w:rPr>
              <w:t>EX</w:t>
            </w:r>
            <w:r w:rsidRPr="004935F7">
              <w:rPr>
                <w:rFonts w:eastAsia="Times New Roman" w:cs="Times New Roman"/>
                <w:color w:val="4A4A4A"/>
                <w:szCs w:val="21"/>
                <w:lang w:eastAsia="en-GB"/>
              </w:rPr>
              <w:t>). For the attribution of the primary material needs of final demand a global, multi-regional input-output (MRIO) framework is employed. The attribution method based on I-O analytical tools is described in detail in Wiedmann et al. 2015. It is based on the EORA MRIO framework developed by the University of Sydney, Australia (Lenzen et al. 2013) which is an internationally well-established and the most detailed and reliable MRIO framework available to date.</w:t>
            </w:r>
          </w:p>
        </w:tc>
        <w:tc>
          <w:tcPr>
            <w:tcW w:w="0" w:type="auto"/>
          </w:tcPr>
          <w:p w14:paraId="3CC7690D" w14:textId="77777777" w:rsidR="008C6A6C" w:rsidRPr="00873FDE" w:rsidRDefault="008C6A6C" w:rsidP="008C6A6C">
            <w:pPr>
              <w:autoSpaceDE w:val="0"/>
              <w:autoSpaceDN w:val="0"/>
              <w:adjustRightInd w:val="0"/>
              <w:rPr>
                <w:szCs w:val="20"/>
              </w:rPr>
            </w:pPr>
            <w:r w:rsidRPr="00873FDE">
              <w:rPr>
                <w:szCs w:val="20"/>
              </w:rPr>
              <w:t>The IRP Global Material Flows and Resource Productivity working group compiles the data from countries</w:t>
            </w:r>
          </w:p>
          <w:p w14:paraId="4915F349" w14:textId="77777777" w:rsidR="008C6A6C" w:rsidRPr="00873FDE" w:rsidRDefault="008C6A6C" w:rsidP="008C6A6C">
            <w:pPr>
              <w:rPr>
                <w:szCs w:val="20"/>
              </w:rPr>
            </w:pPr>
            <w:proofErr w:type="gramStart"/>
            <w:r w:rsidRPr="00873FDE">
              <w:rPr>
                <w:szCs w:val="20"/>
              </w:rPr>
              <w:t>and</w:t>
            </w:r>
            <w:proofErr w:type="gramEnd"/>
            <w:r w:rsidRPr="00873FDE">
              <w:rPr>
                <w:szCs w:val="20"/>
              </w:rPr>
              <w:t xml:space="preserve"> from other sources.</w:t>
            </w:r>
          </w:p>
        </w:tc>
        <w:tc>
          <w:tcPr>
            <w:tcW w:w="0" w:type="auto"/>
          </w:tcPr>
          <w:p w14:paraId="6A231002" w14:textId="77777777" w:rsidR="008C6A6C" w:rsidRPr="00873FDE" w:rsidRDefault="008C6A6C" w:rsidP="008C6A6C">
            <w:pPr>
              <w:rPr>
                <w:szCs w:val="20"/>
              </w:rPr>
            </w:pPr>
            <w:r w:rsidRPr="00873FDE">
              <w:rPr>
                <w:szCs w:val="20"/>
              </w:rPr>
              <w:t>BBS</w:t>
            </w:r>
          </w:p>
        </w:tc>
        <w:tc>
          <w:tcPr>
            <w:tcW w:w="0" w:type="auto"/>
          </w:tcPr>
          <w:p w14:paraId="0DDEA814" w14:textId="7D1201B1" w:rsidR="008C6A6C" w:rsidRPr="00BC6F10" w:rsidRDefault="008C6A6C" w:rsidP="008C6A6C">
            <w:pPr>
              <w:spacing w:line="276" w:lineRule="auto"/>
              <w:jc w:val="center"/>
            </w:pPr>
          </w:p>
        </w:tc>
        <w:tc>
          <w:tcPr>
            <w:tcW w:w="0" w:type="auto"/>
          </w:tcPr>
          <w:p w14:paraId="31E2CEC0" w14:textId="77777777" w:rsidR="008C6A6C" w:rsidRDefault="008C6A6C" w:rsidP="008C6A6C">
            <w:pPr>
              <w:spacing w:line="276" w:lineRule="auto"/>
              <w:jc w:val="center"/>
            </w:pPr>
            <w:r>
              <w:t>BBS</w:t>
            </w:r>
          </w:p>
          <w:p w14:paraId="65225A2A" w14:textId="77777777" w:rsidR="008C6A6C" w:rsidRPr="00BC6F10" w:rsidRDefault="008C6A6C" w:rsidP="008C6A6C">
            <w:pPr>
              <w:spacing w:line="276" w:lineRule="auto"/>
              <w:jc w:val="center"/>
            </w:pPr>
            <w:r>
              <w:t>NAW</w:t>
            </w:r>
          </w:p>
        </w:tc>
        <w:tc>
          <w:tcPr>
            <w:tcW w:w="0" w:type="auto"/>
          </w:tcPr>
          <w:p w14:paraId="71E9E2DC"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material category</w:t>
            </w:r>
          </w:p>
          <w:p w14:paraId="34B0F773"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domestic final demand sector: household consumption, government consumption and capital investment</w:t>
            </w:r>
          </w:p>
          <w:p w14:paraId="0411D56A"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foreign final demand</w:t>
            </w:r>
          </w:p>
          <w:p w14:paraId="3B3506CB" w14:textId="77777777" w:rsidR="008C6A6C" w:rsidRDefault="008C6A6C" w:rsidP="008C6A6C">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economic sector</w:t>
            </w:r>
          </w:p>
          <w:p w14:paraId="7C5277ED" w14:textId="77777777" w:rsidR="008C6A6C" w:rsidRDefault="008C6A6C" w:rsidP="008C6A6C">
            <w:pPr>
              <w:ind w:left="970" w:hanging="970"/>
              <w:jc w:val="both"/>
              <w:rPr>
                <w:color w:val="0070C0"/>
                <w:sz w:val="30"/>
                <w:szCs w:val="30"/>
              </w:rPr>
            </w:pPr>
          </w:p>
        </w:tc>
        <w:tc>
          <w:tcPr>
            <w:tcW w:w="0" w:type="auto"/>
          </w:tcPr>
          <w:p w14:paraId="02CFCBAB" w14:textId="77777777" w:rsidR="008C6A6C" w:rsidRDefault="008C6A6C" w:rsidP="008C6A6C">
            <w:pPr>
              <w:ind w:left="970" w:hanging="970"/>
              <w:jc w:val="both"/>
              <w:rPr>
                <w:color w:val="0070C0"/>
                <w:sz w:val="30"/>
                <w:szCs w:val="30"/>
              </w:rPr>
            </w:pPr>
            <w:r w:rsidRPr="00BC6F10">
              <w:t>Annual</w:t>
            </w:r>
          </w:p>
        </w:tc>
        <w:tc>
          <w:tcPr>
            <w:tcW w:w="0" w:type="auto"/>
          </w:tcPr>
          <w:p w14:paraId="78C5094D" w14:textId="77777777" w:rsidR="008C6A6C" w:rsidRDefault="008C6A6C" w:rsidP="008C6A6C">
            <w:pPr>
              <w:ind w:left="970" w:hanging="970"/>
              <w:jc w:val="both"/>
              <w:rPr>
                <w:color w:val="0070C0"/>
                <w:sz w:val="30"/>
                <w:szCs w:val="30"/>
              </w:rPr>
            </w:pPr>
            <w:r>
              <w:t>Group 2</w:t>
            </w:r>
          </w:p>
        </w:tc>
        <w:tc>
          <w:tcPr>
            <w:tcW w:w="0" w:type="auto"/>
          </w:tcPr>
          <w:p w14:paraId="54DED949" w14:textId="77777777" w:rsidR="008C6A6C" w:rsidRDefault="008C6A6C" w:rsidP="008C6A6C">
            <w:pPr>
              <w:pStyle w:val="NoSpacing"/>
            </w:pPr>
            <w:r>
              <w:t>-</w:t>
            </w:r>
          </w:p>
          <w:p w14:paraId="0442A7E8" w14:textId="77777777" w:rsidR="008C6A6C" w:rsidRDefault="008C6A6C" w:rsidP="008C6A6C">
            <w:pPr>
              <w:pStyle w:val="NoSpacing"/>
            </w:pPr>
          </w:p>
          <w:p w14:paraId="0C300F5B" w14:textId="0D225885" w:rsidR="008C6A6C" w:rsidRDefault="008C6A6C" w:rsidP="008C6A6C">
            <w:pPr>
              <w:pStyle w:val="NoSpacing"/>
            </w:pPr>
          </w:p>
          <w:p w14:paraId="2AC9BFA5" w14:textId="77777777" w:rsidR="008C6A6C" w:rsidRDefault="008C6A6C" w:rsidP="008C6A6C">
            <w:pPr>
              <w:pStyle w:val="NoSpacing"/>
            </w:pPr>
          </w:p>
          <w:p w14:paraId="18C9EF84" w14:textId="067EBB61" w:rsidR="008C6A6C" w:rsidRDefault="008C6A6C" w:rsidP="008C6A6C">
            <w:pPr>
              <w:pStyle w:val="NoSpacing"/>
            </w:pPr>
            <w:r>
              <w:t>1</w:t>
            </w:r>
            <w:r w:rsidRPr="00013ACB">
              <w:rPr>
                <w:vertAlign w:val="superscript"/>
              </w:rPr>
              <w:t>st</w:t>
            </w:r>
            <w:r>
              <w:t xml:space="preserve"> Round:</w:t>
            </w:r>
            <w:r w:rsidR="004D44EB" w:rsidRPr="004C18F9">
              <w:t xml:space="preserve"> June 2021</w:t>
            </w:r>
          </w:p>
          <w:p w14:paraId="15F654E0" w14:textId="77777777" w:rsidR="008C6A6C" w:rsidRDefault="008C6A6C" w:rsidP="008C6A6C">
            <w:pPr>
              <w:pStyle w:val="NoSpacing"/>
            </w:pPr>
          </w:p>
          <w:p w14:paraId="2622D883" w14:textId="081548F3" w:rsidR="008C6A6C" w:rsidRDefault="008C6A6C" w:rsidP="008C6A6C">
            <w:pPr>
              <w:pStyle w:val="NoSpacing"/>
            </w:pPr>
            <w:r>
              <w:t>2</w:t>
            </w:r>
            <w:r w:rsidRPr="00013ACB">
              <w:rPr>
                <w:vertAlign w:val="superscript"/>
              </w:rPr>
              <w:t>nd</w:t>
            </w:r>
            <w:r>
              <w:t xml:space="preserve"> Round:</w:t>
            </w:r>
            <w:r w:rsidR="004D44EB" w:rsidRPr="004C18F9">
              <w:t xml:space="preserve"> June 202</w:t>
            </w:r>
            <w:r w:rsidR="004D44EB">
              <w:t>2</w:t>
            </w:r>
          </w:p>
          <w:p w14:paraId="21D8E9D7" w14:textId="77777777" w:rsidR="008C6A6C" w:rsidRDefault="008C6A6C" w:rsidP="008C6A6C">
            <w:pPr>
              <w:pStyle w:val="NoSpacing"/>
            </w:pPr>
            <w:r>
              <w:t xml:space="preserve"> </w:t>
            </w:r>
          </w:p>
          <w:p w14:paraId="198FA530" w14:textId="093E0775" w:rsidR="008C6A6C" w:rsidRDefault="008C6A6C" w:rsidP="008C6A6C">
            <w:pPr>
              <w:pStyle w:val="NoSpacing"/>
            </w:pPr>
            <w:r>
              <w:t>3</w:t>
            </w:r>
            <w:r w:rsidRPr="00013ACB">
              <w:rPr>
                <w:vertAlign w:val="superscript"/>
              </w:rPr>
              <w:t>rd</w:t>
            </w:r>
            <w:r>
              <w:t xml:space="preserve"> Round: </w:t>
            </w:r>
            <w:r w:rsidR="004D44EB" w:rsidRPr="004C18F9">
              <w:t>June 202</w:t>
            </w:r>
            <w:r w:rsidR="004D44EB">
              <w:t>3</w:t>
            </w:r>
          </w:p>
          <w:p w14:paraId="36C0F23D" w14:textId="77777777" w:rsidR="008C6A6C" w:rsidRDefault="008C6A6C" w:rsidP="008C6A6C">
            <w:pPr>
              <w:pStyle w:val="NoSpacing"/>
            </w:pPr>
          </w:p>
          <w:p w14:paraId="2319D2CC" w14:textId="4217DF21" w:rsidR="008C6A6C" w:rsidRDefault="008C6A6C" w:rsidP="008C6A6C">
            <w:pPr>
              <w:pStyle w:val="NoSpacing"/>
            </w:pPr>
            <w:r>
              <w:t>4</w:t>
            </w:r>
            <w:r w:rsidRPr="00013ACB">
              <w:rPr>
                <w:vertAlign w:val="superscript"/>
              </w:rPr>
              <w:t>th</w:t>
            </w:r>
            <w:r>
              <w:t xml:space="preserve"> Round: </w:t>
            </w:r>
            <w:r w:rsidR="004D44EB" w:rsidRPr="004C18F9">
              <w:t>June 202</w:t>
            </w:r>
            <w:r w:rsidR="004D44EB">
              <w:t>4</w:t>
            </w:r>
          </w:p>
          <w:p w14:paraId="30B89E46" w14:textId="77777777" w:rsidR="008C6A6C" w:rsidRDefault="008C6A6C" w:rsidP="008C6A6C">
            <w:pPr>
              <w:pStyle w:val="NoSpacing"/>
            </w:pPr>
          </w:p>
          <w:p w14:paraId="359CA5D1" w14:textId="409FD139" w:rsidR="008C6A6C" w:rsidRDefault="008C6A6C" w:rsidP="008C6A6C">
            <w:pPr>
              <w:pStyle w:val="NoSpacing"/>
            </w:pPr>
            <w:r>
              <w:t>5</w:t>
            </w:r>
            <w:r w:rsidRPr="00013ACB">
              <w:rPr>
                <w:vertAlign w:val="superscript"/>
              </w:rPr>
              <w:t>th</w:t>
            </w:r>
            <w:r>
              <w:t xml:space="preserve"> Round: </w:t>
            </w:r>
            <w:r w:rsidR="004D44EB" w:rsidRPr="004C18F9">
              <w:t>June 202</w:t>
            </w:r>
            <w:r w:rsidR="004D44EB">
              <w:t>5</w:t>
            </w:r>
          </w:p>
          <w:p w14:paraId="3A02D94B" w14:textId="36D7E9A6" w:rsidR="008C6A6C" w:rsidRDefault="008C6A6C" w:rsidP="008C6A6C">
            <w:pPr>
              <w:pStyle w:val="NoSpacing"/>
            </w:pPr>
          </w:p>
        </w:tc>
        <w:tc>
          <w:tcPr>
            <w:tcW w:w="0" w:type="auto"/>
          </w:tcPr>
          <w:p w14:paraId="1A56E8A4" w14:textId="50ED8EAF" w:rsidR="008C6A6C" w:rsidRDefault="001C664A" w:rsidP="008C6A6C">
            <w:pPr>
              <w:pStyle w:val="NoSpacing"/>
            </w:pPr>
            <w:r>
              <w:t xml:space="preserve">[ </w:t>
            </w:r>
            <w:r w:rsidR="008C6A6C">
              <w:t>Repeated 8.4.1</w:t>
            </w:r>
            <w:r>
              <w:t xml:space="preserve"> ]</w:t>
            </w:r>
          </w:p>
          <w:p w14:paraId="13279F9E" w14:textId="77777777" w:rsidR="008C6A6C" w:rsidRDefault="008C6A6C" w:rsidP="008C6A6C">
            <w:pPr>
              <w:pStyle w:val="NoSpacing"/>
            </w:pPr>
          </w:p>
          <w:p w14:paraId="7223212D" w14:textId="77777777" w:rsidR="008C6A6C" w:rsidRDefault="008C6A6C" w:rsidP="008C6A6C">
            <w:pPr>
              <w:pStyle w:val="NoSpacing"/>
            </w:pPr>
            <w:r>
              <w:t>Reviewed at 9th IAEG-SDG meeting. Agreed methodology only at global level. Not for country level monitoring (classified as Tier II)</w:t>
            </w:r>
          </w:p>
          <w:p w14:paraId="48BC9EB4" w14:textId="77777777" w:rsidR="008C6A6C" w:rsidRDefault="008C6A6C" w:rsidP="008C6A6C">
            <w:pPr>
              <w:pStyle w:val="NoSpacing"/>
            </w:pPr>
          </w:p>
          <w:p w14:paraId="072133D7" w14:textId="77777777" w:rsidR="008C6A6C" w:rsidRDefault="008C6A6C" w:rsidP="008C6A6C">
            <w:pPr>
              <w:pStyle w:val="NoSpacing"/>
            </w:pPr>
            <w:r>
              <w:t>Reviewed at Jan. 2019 WebEx meeting: request UNEP to do additional methodological work and await approval as internation</w:t>
            </w:r>
            <w:r>
              <w:lastRenderedPageBreak/>
              <w:t>al standard before indicator</w:t>
            </w:r>
          </w:p>
          <w:p w14:paraId="1FCE676B" w14:textId="142B5302" w:rsidR="008C6A6C" w:rsidRDefault="008C6A6C" w:rsidP="008C6A6C">
            <w:pPr>
              <w:pStyle w:val="NoSpacing"/>
            </w:pPr>
            <w:proofErr w:type="gramStart"/>
            <w:r>
              <w:t>reclassified</w:t>
            </w:r>
            <w:proofErr w:type="gramEnd"/>
            <w:r>
              <w:t xml:space="preserve">. (classified as </w:t>
            </w:r>
            <w:r w:rsidR="006B621F">
              <w:t>TBD</w:t>
            </w:r>
            <w:r>
              <w:t>)</w:t>
            </w:r>
          </w:p>
          <w:p w14:paraId="4C624312" w14:textId="77777777" w:rsidR="008C6A6C" w:rsidRDefault="008C6A6C" w:rsidP="008C6A6C">
            <w:pPr>
              <w:pStyle w:val="NoSpacing"/>
            </w:pPr>
          </w:p>
          <w:p w14:paraId="617C736F" w14:textId="5682E245" w:rsidR="008C6A6C" w:rsidRPr="005D28FF" w:rsidRDefault="008C6A6C" w:rsidP="000618B2">
            <w:pPr>
              <w:pStyle w:val="NoSpacing"/>
            </w:pPr>
            <w:r>
              <w:t xml:space="preserve">IAEG-SDG 3rd meeting: There is no established methodology for the indicator (classified as </w:t>
            </w:r>
            <w:r w:rsidR="006B621F">
              <w:t>TBD</w:t>
            </w:r>
            <w:r>
              <w:t>)</w:t>
            </w:r>
          </w:p>
        </w:tc>
      </w:tr>
      <w:tr w:rsidR="008C6A6C" w14:paraId="01C5875B" w14:textId="77777777" w:rsidTr="00A64F0D">
        <w:tc>
          <w:tcPr>
            <w:tcW w:w="0" w:type="auto"/>
          </w:tcPr>
          <w:p w14:paraId="12B0DBAD" w14:textId="77777777" w:rsidR="008C6A6C" w:rsidRDefault="008C6A6C" w:rsidP="008C6A6C">
            <w:pPr>
              <w:pStyle w:val="NoSpacing"/>
            </w:pPr>
            <w:r w:rsidRPr="00360230">
              <w:lastRenderedPageBreak/>
              <w:t>12.2.2 Domestic material consumption, domestic material consumption per capita, and domestic material consumption per GDP</w:t>
            </w:r>
          </w:p>
        </w:tc>
        <w:tc>
          <w:tcPr>
            <w:tcW w:w="0" w:type="auto"/>
          </w:tcPr>
          <w:p w14:paraId="25E8395E" w14:textId="77777777" w:rsidR="008C6A6C" w:rsidRDefault="008C6A6C" w:rsidP="008C6A6C">
            <w:pPr>
              <w:pStyle w:val="NoSpacing"/>
            </w:pPr>
            <w:r w:rsidRPr="004559CB">
              <w:t>UNEP</w:t>
            </w:r>
          </w:p>
          <w:p w14:paraId="58ED837E" w14:textId="77777777" w:rsidR="008C6A6C" w:rsidRDefault="008C6A6C" w:rsidP="008C6A6C">
            <w:pPr>
              <w:rPr>
                <w:b/>
                <w:bCs/>
                <w:szCs w:val="20"/>
              </w:rPr>
            </w:pPr>
            <w:r w:rsidRPr="007243FC">
              <w:rPr>
                <w:b/>
                <w:bCs/>
                <w:szCs w:val="20"/>
              </w:rPr>
              <w:t>Partner Agencies:</w:t>
            </w:r>
          </w:p>
          <w:p w14:paraId="2ADA6964" w14:textId="77777777" w:rsidR="008C6A6C" w:rsidRDefault="008C6A6C" w:rsidP="008C6A6C">
            <w:pPr>
              <w:pStyle w:val="NoSpacing"/>
            </w:pPr>
            <w:r w:rsidRPr="004559CB">
              <w:t>OECD</w:t>
            </w:r>
          </w:p>
        </w:tc>
        <w:tc>
          <w:tcPr>
            <w:tcW w:w="0" w:type="auto"/>
          </w:tcPr>
          <w:p w14:paraId="1809FB65" w14:textId="77777777" w:rsidR="008C6A6C" w:rsidRDefault="008C6A6C" w:rsidP="008C6A6C">
            <w:pPr>
              <w:ind w:left="970" w:hanging="970"/>
              <w:jc w:val="both"/>
              <w:rPr>
                <w:color w:val="0070C0"/>
                <w:sz w:val="30"/>
                <w:szCs w:val="30"/>
              </w:rPr>
            </w:pPr>
            <w:r>
              <w:t xml:space="preserve">Tier </w:t>
            </w:r>
            <w:r w:rsidRPr="00666BAB">
              <w:t>I</w:t>
            </w:r>
          </w:p>
        </w:tc>
        <w:tc>
          <w:tcPr>
            <w:tcW w:w="0" w:type="auto"/>
          </w:tcPr>
          <w:p w14:paraId="51FE11E7"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b/>
                <w:bCs/>
                <w:color w:val="4A4A4A"/>
                <w:szCs w:val="20"/>
                <w:lang w:eastAsia="en-GB"/>
              </w:rPr>
              <w:t>Definition:</w:t>
            </w:r>
          </w:p>
          <w:p w14:paraId="1B01BE4F"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color w:val="4A4A4A"/>
                <w:szCs w:val="20"/>
                <w:lang w:eastAsia="en-GB"/>
              </w:rPr>
              <w:t>Domestic Material Consumption (DMC) is a standard material flow accounting (MFA) indicator and reports the apparent consumption of materials in a national economy.</w:t>
            </w:r>
            <w:r w:rsidRPr="00890D9D">
              <w:rPr>
                <w:rFonts w:eastAsia="Times New Roman" w:cs="Times New Roman"/>
                <w:color w:val="4A4A4A"/>
                <w:szCs w:val="20"/>
                <w:highlight w:val="yellow"/>
                <w:lang w:eastAsia="en-GB"/>
              </w:rPr>
              <w:t xml:space="preserve"> </w:t>
            </w:r>
          </w:p>
          <w:p w14:paraId="2CEEAC0D" w14:textId="77777777" w:rsidR="008C6A6C" w:rsidRPr="00890D9D" w:rsidRDefault="008C6A6C" w:rsidP="008C6A6C">
            <w:pPr>
              <w:shd w:val="clear" w:color="auto" w:fill="FFFFFF"/>
              <w:rPr>
                <w:rFonts w:eastAsia="Times New Roman" w:cs="Times New Roman"/>
                <w:color w:val="4A4A4A"/>
                <w:szCs w:val="20"/>
                <w:lang w:eastAsia="en-GB"/>
              </w:rPr>
            </w:pPr>
          </w:p>
          <w:p w14:paraId="5B4B2FE9"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b/>
                <w:bCs/>
                <w:color w:val="4A4A4A"/>
                <w:szCs w:val="20"/>
                <w:lang w:eastAsia="en-GB"/>
              </w:rPr>
              <w:t>Concepts:</w:t>
            </w:r>
          </w:p>
          <w:p w14:paraId="6E79D888"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color w:val="4A4A4A"/>
                <w:szCs w:val="20"/>
                <w:lang w:eastAsia="en-GB"/>
              </w:rPr>
              <w:t xml:space="preserve">Domestic Material Consumption (DMC) and MF need to be looked at in combination as they cover the two aspects of the economy, production and consumption. The DMC reports the actual amount of material in an economy, MF the virtual amount required across the whole supply chain to service final demand. A country can, for instance have a very high DMC because it has a large primary production sector for export or a very low DMC because it has outsourced most of the material intensive industrial process to other countries. The material footprint corrects for both phenomena. </w:t>
            </w:r>
          </w:p>
          <w:p w14:paraId="5374BFE8" w14:textId="77777777" w:rsidR="008C6A6C" w:rsidRPr="00890D9D" w:rsidRDefault="008C6A6C" w:rsidP="008C6A6C">
            <w:pPr>
              <w:shd w:val="clear" w:color="auto" w:fill="FFFFFF"/>
              <w:rPr>
                <w:rFonts w:eastAsia="Times New Roman" w:cs="Times New Roman"/>
                <w:color w:val="4A4A4A"/>
                <w:szCs w:val="20"/>
                <w:lang w:eastAsia="en-GB"/>
              </w:rPr>
            </w:pPr>
          </w:p>
          <w:p w14:paraId="40F313B4"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b/>
                <w:bCs/>
                <w:color w:val="4A4A4A"/>
                <w:szCs w:val="20"/>
                <w:lang w:eastAsia="en-GB"/>
              </w:rPr>
              <w:t>Comments and limitations:</w:t>
            </w:r>
          </w:p>
          <w:p w14:paraId="4847B3DC"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color w:val="4A4A4A"/>
                <w:szCs w:val="20"/>
                <w:lang w:eastAsia="en-GB"/>
              </w:rPr>
              <w:t xml:space="preserve">DMC cannot be disaggregated to economic sectors which limits its potential to become a satellite account to the System of National Accounts (SNA). </w:t>
            </w:r>
          </w:p>
          <w:p w14:paraId="01CBE61A" w14:textId="77777777" w:rsidR="008C6A6C" w:rsidRPr="00890D9D" w:rsidRDefault="008C6A6C" w:rsidP="008C6A6C">
            <w:pPr>
              <w:shd w:val="clear" w:color="auto" w:fill="FFFFFF"/>
              <w:rPr>
                <w:rFonts w:eastAsia="Times New Roman" w:cs="Times New Roman"/>
                <w:b/>
                <w:bCs/>
                <w:color w:val="4A4A4A"/>
                <w:szCs w:val="20"/>
                <w:lang w:eastAsia="en-GB"/>
              </w:rPr>
            </w:pPr>
          </w:p>
          <w:p w14:paraId="06472B7F"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b/>
                <w:bCs/>
                <w:color w:val="4A4A4A"/>
                <w:szCs w:val="20"/>
                <w:lang w:eastAsia="en-GB"/>
              </w:rPr>
              <w:t>Computation Method:</w:t>
            </w:r>
          </w:p>
          <w:p w14:paraId="735C5584" w14:textId="77777777" w:rsidR="008C6A6C" w:rsidRPr="00890D9D" w:rsidRDefault="008C6A6C" w:rsidP="008C6A6C">
            <w:pPr>
              <w:shd w:val="clear" w:color="auto" w:fill="FFFFFF"/>
              <w:rPr>
                <w:rFonts w:eastAsia="Times New Roman" w:cs="Times New Roman"/>
                <w:color w:val="4A4A4A"/>
                <w:szCs w:val="20"/>
                <w:lang w:eastAsia="en-GB"/>
              </w:rPr>
            </w:pPr>
            <w:r w:rsidRPr="00890D9D">
              <w:rPr>
                <w:rFonts w:eastAsia="Times New Roman" w:cs="Times New Roman"/>
                <w:color w:val="4A4A4A"/>
                <w:szCs w:val="20"/>
                <w:lang w:eastAsia="en-GB"/>
              </w:rPr>
              <w:t xml:space="preserve">It is calculated as direct imports (IM) of material plus domestic extraction (DE) of materials minus direct exports (EX) of materials measured in metric tonnes. DMC measure the amount of materials that are used in economic processes. It does not include materials that are mobilized the process of domestic extraction but do not enter the economic process. DMC is based on official economic statistics and it requires some modelling to adapt the source data to the methodological requirements of the MFA. The </w:t>
            </w:r>
            <w:r w:rsidRPr="00890D9D">
              <w:rPr>
                <w:rFonts w:eastAsia="Times New Roman" w:cs="Times New Roman"/>
                <w:color w:val="4A4A4A"/>
                <w:szCs w:val="20"/>
                <w:lang w:eastAsia="en-GB"/>
              </w:rPr>
              <w:lastRenderedPageBreak/>
              <w:t xml:space="preserve">accounting standard and accounting methods are set out in the EUROSTAT guidebooks for MFA accounts in the latest edition of 2013. MFA accounting is also part of the central framework of the </w:t>
            </w:r>
            <w:proofErr w:type="gramStart"/>
            <w:r w:rsidRPr="00890D9D">
              <w:rPr>
                <w:rFonts w:eastAsia="Times New Roman" w:cs="Times New Roman"/>
                <w:color w:val="4A4A4A"/>
                <w:szCs w:val="20"/>
                <w:lang w:eastAsia="en-GB"/>
              </w:rPr>
              <w:t>System  of</w:t>
            </w:r>
            <w:proofErr w:type="gramEnd"/>
            <w:r w:rsidRPr="00890D9D">
              <w:rPr>
                <w:rFonts w:eastAsia="Times New Roman" w:cs="Times New Roman"/>
                <w:color w:val="4A4A4A"/>
                <w:szCs w:val="20"/>
                <w:lang w:eastAsia="en-GB"/>
              </w:rPr>
              <w:t xml:space="preserve"> integrated Environmental-Economic Accounts (SEEA). </w:t>
            </w:r>
          </w:p>
          <w:p w14:paraId="3849AA7F" w14:textId="77777777" w:rsidR="008C6A6C" w:rsidRDefault="008C6A6C" w:rsidP="008C6A6C">
            <w:pPr>
              <w:pStyle w:val="NoSpacing"/>
            </w:pPr>
          </w:p>
        </w:tc>
        <w:tc>
          <w:tcPr>
            <w:tcW w:w="0" w:type="auto"/>
          </w:tcPr>
          <w:p w14:paraId="7D1E96EF" w14:textId="77777777" w:rsidR="008C6A6C" w:rsidRPr="00873FDE" w:rsidRDefault="008C6A6C" w:rsidP="008C6A6C">
            <w:pPr>
              <w:autoSpaceDE w:val="0"/>
              <w:autoSpaceDN w:val="0"/>
              <w:adjustRightInd w:val="0"/>
              <w:rPr>
                <w:szCs w:val="20"/>
              </w:rPr>
            </w:pPr>
            <w:r w:rsidRPr="00873FDE">
              <w:rPr>
                <w:szCs w:val="20"/>
              </w:rPr>
              <w:lastRenderedPageBreak/>
              <w:t xml:space="preserve"> The IRP Global Material Flows and Resource Productivity working group compiles the data from countries</w:t>
            </w:r>
          </w:p>
          <w:p w14:paraId="199155FF" w14:textId="77777777" w:rsidR="008C6A6C" w:rsidRPr="00873FDE" w:rsidRDefault="008C6A6C" w:rsidP="008C6A6C">
            <w:pPr>
              <w:rPr>
                <w:szCs w:val="20"/>
              </w:rPr>
            </w:pPr>
            <w:proofErr w:type="gramStart"/>
            <w:r w:rsidRPr="00873FDE">
              <w:rPr>
                <w:szCs w:val="20"/>
              </w:rPr>
              <w:t>and</w:t>
            </w:r>
            <w:proofErr w:type="gramEnd"/>
            <w:r w:rsidRPr="00873FDE">
              <w:rPr>
                <w:szCs w:val="20"/>
              </w:rPr>
              <w:t xml:space="preserve"> from other sources.</w:t>
            </w:r>
          </w:p>
        </w:tc>
        <w:tc>
          <w:tcPr>
            <w:tcW w:w="0" w:type="auto"/>
          </w:tcPr>
          <w:p w14:paraId="779CE52F" w14:textId="77777777" w:rsidR="008C6A6C" w:rsidRPr="00873FDE" w:rsidRDefault="008C6A6C" w:rsidP="008C6A6C">
            <w:pPr>
              <w:rPr>
                <w:szCs w:val="20"/>
              </w:rPr>
            </w:pPr>
            <w:r w:rsidRPr="00873FDE">
              <w:rPr>
                <w:szCs w:val="20"/>
              </w:rPr>
              <w:t xml:space="preserve"> BBS</w:t>
            </w:r>
          </w:p>
        </w:tc>
        <w:tc>
          <w:tcPr>
            <w:tcW w:w="0" w:type="auto"/>
          </w:tcPr>
          <w:p w14:paraId="053F61BF" w14:textId="485C9521" w:rsidR="008C6A6C" w:rsidRPr="00BC6F10" w:rsidRDefault="008C6A6C" w:rsidP="008C6A6C">
            <w:pPr>
              <w:spacing w:line="276" w:lineRule="auto"/>
              <w:jc w:val="center"/>
            </w:pPr>
          </w:p>
        </w:tc>
        <w:tc>
          <w:tcPr>
            <w:tcW w:w="0" w:type="auto"/>
          </w:tcPr>
          <w:p w14:paraId="6B95A178" w14:textId="77777777" w:rsidR="008C6A6C" w:rsidRDefault="008C6A6C" w:rsidP="008C6A6C">
            <w:pPr>
              <w:spacing w:line="276" w:lineRule="auto"/>
              <w:jc w:val="center"/>
            </w:pPr>
            <w:r>
              <w:t>BBS</w:t>
            </w:r>
          </w:p>
          <w:p w14:paraId="66606490" w14:textId="77777777" w:rsidR="008C6A6C" w:rsidRPr="00BC6F10" w:rsidRDefault="008C6A6C" w:rsidP="008C6A6C">
            <w:pPr>
              <w:spacing w:line="276" w:lineRule="auto"/>
              <w:jc w:val="center"/>
            </w:pPr>
            <w:r>
              <w:t>NAW</w:t>
            </w:r>
          </w:p>
        </w:tc>
        <w:tc>
          <w:tcPr>
            <w:tcW w:w="0" w:type="auto"/>
          </w:tcPr>
          <w:p w14:paraId="1AFEDEC7"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material follow categories: biomass, fossil fuels, metal ores, non-metallic minerals at highest disaggregation level; DMC: 11 categories; DE: 44 categories</w:t>
            </w:r>
          </w:p>
          <w:p w14:paraId="3EB53270" w14:textId="77777777" w:rsidR="008C6A6C" w:rsidRDefault="008C6A6C" w:rsidP="008C6A6C">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foreign final demand: export</w:t>
            </w:r>
          </w:p>
          <w:p w14:paraId="485CCABA" w14:textId="77777777" w:rsidR="008C6A6C" w:rsidRDefault="008C6A6C" w:rsidP="008C6A6C">
            <w:pPr>
              <w:ind w:left="970" w:hanging="970"/>
              <w:jc w:val="both"/>
              <w:rPr>
                <w:color w:val="0070C0"/>
                <w:sz w:val="30"/>
                <w:szCs w:val="30"/>
              </w:rPr>
            </w:pPr>
          </w:p>
        </w:tc>
        <w:tc>
          <w:tcPr>
            <w:tcW w:w="0" w:type="auto"/>
          </w:tcPr>
          <w:p w14:paraId="2ADA2BD2" w14:textId="77777777" w:rsidR="008C6A6C" w:rsidRDefault="008C6A6C" w:rsidP="008C6A6C">
            <w:pPr>
              <w:ind w:left="970" w:hanging="970"/>
              <w:jc w:val="both"/>
              <w:rPr>
                <w:color w:val="0070C0"/>
                <w:sz w:val="30"/>
                <w:szCs w:val="30"/>
              </w:rPr>
            </w:pPr>
            <w:r w:rsidRPr="00BC6F10">
              <w:t>Annual</w:t>
            </w:r>
          </w:p>
        </w:tc>
        <w:tc>
          <w:tcPr>
            <w:tcW w:w="0" w:type="auto"/>
          </w:tcPr>
          <w:p w14:paraId="0ECFE07F" w14:textId="77777777" w:rsidR="008C6A6C" w:rsidRDefault="008C6A6C" w:rsidP="008C6A6C">
            <w:pPr>
              <w:ind w:left="970" w:hanging="970"/>
              <w:jc w:val="both"/>
              <w:rPr>
                <w:color w:val="0070C0"/>
                <w:sz w:val="30"/>
                <w:szCs w:val="30"/>
              </w:rPr>
            </w:pPr>
            <w:r>
              <w:t>Group 2</w:t>
            </w:r>
          </w:p>
        </w:tc>
        <w:tc>
          <w:tcPr>
            <w:tcW w:w="0" w:type="auto"/>
          </w:tcPr>
          <w:p w14:paraId="6104A145" w14:textId="77777777" w:rsidR="008C6A6C" w:rsidRDefault="008C6A6C" w:rsidP="008C6A6C">
            <w:pPr>
              <w:pStyle w:val="NoSpacing"/>
            </w:pPr>
            <w:r>
              <w:t>-</w:t>
            </w:r>
          </w:p>
          <w:p w14:paraId="09ABC67C" w14:textId="77777777" w:rsidR="008C6A6C" w:rsidRDefault="008C6A6C" w:rsidP="008C6A6C">
            <w:pPr>
              <w:pStyle w:val="NoSpacing"/>
            </w:pPr>
          </w:p>
          <w:p w14:paraId="1DEA4489" w14:textId="79AA90DF" w:rsidR="008C6A6C" w:rsidRDefault="008C6A6C" w:rsidP="008C6A6C">
            <w:pPr>
              <w:pStyle w:val="NoSpacing"/>
            </w:pPr>
          </w:p>
          <w:p w14:paraId="3F540C2B" w14:textId="77777777" w:rsidR="008C6A6C" w:rsidRDefault="008C6A6C" w:rsidP="008C6A6C">
            <w:pPr>
              <w:pStyle w:val="NoSpacing"/>
            </w:pPr>
          </w:p>
          <w:p w14:paraId="1663A3A4" w14:textId="0693E88B" w:rsidR="008C6A6C" w:rsidRDefault="008C6A6C" w:rsidP="008C6A6C">
            <w:pPr>
              <w:pStyle w:val="NoSpacing"/>
            </w:pPr>
            <w:r>
              <w:t>1</w:t>
            </w:r>
            <w:r w:rsidRPr="00013ACB">
              <w:rPr>
                <w:vertAlign w:val="superscript"/>
              </w:rPr>
              <w:t>st</w:t>
            </w:r>
            <w:r>
              <w:t xml:space="preserve"> Round:</w:t>
            </w:r>
            <w:r w:rsidR="00DA3997" w:rsidRPr="004C18F9">
              <w:t xml:space="preserve"> December 2020</w:t>
            </w:r>
          </w:p>
          <w:p w14:paraId="07899223" w14:textId="77777777" w:rsidR="008C6A6C" w:rsidRDefault="008C6A6C" w:rsidP="008C6A6C">
            <w:pPr>
              <w:pStyle w:val="NoSpacing"/>
            </w:pPr>
          </w:p>
          <w:p w14:paraId="43B80E19" w14:textId="0204C112" w:rsidR="008C6A6C" w:rsidRDefault="008C6A6C" w:rsidP="008C6A6C">
            <w:pPr>
              <w:pStyle w:val="NoSpacing"/>
            </w:pPr>
            <w:r>
              <w:t>2</w:t>
            </w:r>
            <w:r w:rsidRPr="00013ACB">
              <w:rPr>
                <w:vertAlign w:val="superscript"/>
              </w:rPr>
              <w:t>nd</w:t>
            </w:r>
            <w:r>
              <w:t xml:space="preserve"> Round:</w:t>
            </w:r>
            <w:r w:rsidR="00DA3997" w:rsidRPr="004C18F9">
              <w:t xml:space="preserve"> December 202</w:t>
            </w:r>
            <w:r w:rsidR="00DA3997">
              <w:t>1</w:t>
            </w:r>
          </w:p>
          <w:p w14:paraId="0701B691" w14:textId="77777777" w:rsidR="008C6A6C" w:rsidRDefault="008C6A6C" w:rsidP="008C6A6C">
            <w:pPr>
              <w:pStyle w:val="NoSpacing"/>
            </w:pPr>
            <w:r>
              <w:t xml:space="preserve"> </w:t>
            </w:r>
          </w:p>
          <w:p w14:paraId="67C59836" w14:textId="1598BBD3" w:rsidR="008C6A6C" w:rsidRDefault="008C6A6C" w:rsidP="008C6A6C">
            <w:pPr>
              <w:pStyle w:val="NoSpacing"/>
            </w:pPr>
            <w:r>
              <w:t>3</w:t>
            </w:r>
            <w:r w:rsidRPr="00013ACB">
              <w:rPr>
                <w:vertAlign w:val="superscript"/>
              </w:rPr>
              <w:t>rd</w:t>
            </w:r>
            <w:r>
              <w:t xml:space="preserve"> Round: </w:t>
            </w:r>
            <w:r w:rsidR="00DA3997" w:rsidRPr="004C18F9">
              <w:t>December 202</w:t>
            </w:r>
            <w:r w:rsidR="00DA3997">
              <w:t>2</w:t>
            </w:r>
          </w:p>
          <w:p w14:paraId="226D5105" w14:textId="77777777" w:rsidR="008C6A6C" w:rsidRDefault="008C6A6C" w:rsidP="008C6A6C">
            <w:pPr>
              <w:pStyle w:val="NoSpacing"/>
            </w:pPr>
          </w:p>
          <w:p w14:paraId="56C9FAE4" w14:textId="0B44A65B" w:rsidR="008C6A6C" w:rsidRDefault="008C6A6C" w:rsidP="008C6A6C">
            <w:pPr>
              <w:pStyle w:val="NoSpacing"/>
            </w:pPr>
            <w:r>
              <w:t>4</w:t>
            </w:r>
            <w:r w:rsidRPr="00013ACB">
              <w:rPr>
                <w:vertAlign w:val="superscript"/>
              </w:rPr>
              <w:t>th</w:t>
            </w:r>
            <w:r>
              <w:t xml:space="preserve"> </w:t>
            </w:r>
            <w:r>
              <w:lastRenderedPageBreak/>
              <w:t xml:space="preserve">Round: </w:t>
            </w:r>
            <w:r w:rsidR="00DA3997" w:rsidRPr="004C18F9">
              <w:t>December 202</w:t>
            </w:r>
            <w:r w:rsidR="00DA3997">
              <w:t>3</w:t>
            </w:r>
          </w:p>
          <w:p w14:paraId="1DAAE102" w14:textId="77777777" w:rsidR="008C6A6C" w:rsidRDefault="008C6A6C" w:rsidP="008C6A6C">
            <w:pPr>
              <w:pStyle w:val="NoSpacing"/>
            </w:pPr>
          </w:p>
          <w:p w14:paraId="3F86DDF2" w14:textId="74B6FC34" w:rsidR="008C6A6C" w:rsidRDefault="008C6A6C" w:rsidP="008C6A6C">
            <w:pPr>
              <w:pStyle w:val="NoSpacing"/>
            </w:pPr>
            <w:r>
              <w:t>5</w:t>
            </w:r>
            <w:r w:rsidRPr="00013ACB">
              <w:rPr>
                <w:vertAlign w:val="superscript"/>
              </w:rPr>
              <w:t>th</w:t>
            </w:r>
            <w:r>
              <w:t xml:space="preserve"> Round: </w:t>
            </w:r>
            <w:r w:rsidR="00DA3997" w:rsidRPr="004C18F9">
              <w:t>December 202</w:t>
            </w:r>
            <w:r w:rsidR="00DA3997">
              <w:t>4</w:t>
            </w:r>
          </w:p>
          <w:p w14:paraId="57E42D5F" w14:textId="22D1DF6B" w:rsidR="008C6A6C" w:rsidRDefault="008C6A6C" w:rsidP="008C6A6C">
            <w:pPr>
              <w:pStyle w:val="NoSpacing"/>
            </w:pPr>
          </w:p>
        </w:tc>
        <w:tc>
          <w:tcPr>
            <w:tcW w:w="0" w:type="auto"/>
          </w:tcPr>
          <w:p w14:paraId="67AD690E" w14:textId="6874C9D6" w:rsidR="008C6A6C" w:rsidRPr="00235520" w:rsidRDefault="008C6A6C" w:rsidP="008C6A6C">
            <w:pPr>
              <w:pStyle w:val="NoSpacing"/>
              <w:rPr>
                <w:rFonts w:cs="Arial Unicode MS"/>
                <w:lang w:bidi="bn-BD"/>
              </w:rPr>
            </w:pPr>
            <w:r>
              <w:lastRenderedPageBreak/>
              <w:t>Repeated 8.4.</w:t>
            </w:r>
            <w:r w:rsidR="003E5AFB">
              <w:rPr>
                <w:rFonts w:cs="Arial Unicode MS" w:hint="cs"/>
                <w:cs/>
                <w:lang w:bidi="bn-BD"/>
              </w:rPr>
              <w:t>2</w:t>
            </w:r>
          </w:p>
          <w:p w14:paraId="02A42C3C" w14:textId="77777777" w:rsidR="008C6A6C" w:rsidRDefault="008C6A6C" w:rsidP="008C6A6C">
            <w:pPr>
              <w:pStyle w:val="NoSpacing"/>
              <w:rPr>
                <w:lang w:bidi="bn-BD"/>
              </w:rPr>
            </w:pPr>
          </w:p>
          <w:p w14:paraId="6F41ADB8" w14:textId="77777777" w:rsidR="008C6A6C" w:rsidRDefault="008C6A6C" w:rsidP="008C6A6C">
            <w:pPr>
              <w:pStyle w:val="NoSpacing"/>
              <w:rPr>
                <w:lang w:bidi="bn-BD"/>
              </w:rPr>
            </w:pPr>
            <w:r>
              <w:rPr>
                <w:lang w:bidi="bn-BD"/>
              </w:rPr>
              <w:t xml:space="preserve">Data availability reviewed in Nov. </w:t>
            </w:r>
            <w:r>
              <w:rPr>
                <w:cs/>
                <w:lang w:bidi="bn-BD"/>
              </w:rPr>
              <w:t>2017 (</w:t>
            </w:r>
            <w:r>
              <w:rPr>
                <w:lang w:bidi="bn-BD"/>
              </w:rPr>
              <w:t>classified as Tier I)</w:t>
            </w:r>
          </w:p>
          <w:p w14:paraId="6832D941" w14:textId="59AC6772" w:rsidR="008C6A6C" w:rsidRDefault="008C6A6C">
            <w:pPr>
              <w:pStyle w:val="NoSpacing"/>
              <w:rPr>
                <w:lang w:bidi="bn-BD"/>
              </w:rPr>
            </w:pPr>
          </w:p>
        </w:tc>
      </w:tr>
      <w:tr w:rsidR="008C6A6C" w14:paraId="0F6389AA" w14:textId="77777777" w:rsidTr="00A64F0D">
        <w:tc>
          <w:tcPr>
            <w:tcW w:w="0" w:type="auto"/>
          </w:tcPr>
          <w:p w14:paraId="11E66163" w14:textId="77777777" w:rsidR="008C6A6C" w:rsidRDefault="008C6A6C" w:rsidP="008C6A6C">
            <w:pPr>
              <w:ind w:left="970" w:hanging="970"/>
              <w:jc w:val="both"/>
              <w:rPr>
                <w:color w:val="0070C0"/>
                <w:sz w:val="30"/>
                <w:szCs w:val="30"/>
              </w:rPr>
            </w:pPr>
          </w:p>
        </w:tc>
        <w:tc>
          <w:tcPr>
            <w:tcW w:w="0" w:type="auto"/>
            <w:gridSpan w:val="12"/>
          </w:tcPr>
          <w:p w14:paraId="4E32D6B4" w14:textId="77777777" w:rsidR="008C6A6C" w:rsidRDefault="008C6A6C" w:rsidP="008C6A6C">
            <w:pPr>
              <w:jc w:val="both"/>
              <w:rPr>
                <w:color w:val="0070C0"/>
                <w:sz w:val="48"/>
                <w:szCs w:val="48"/>
              </w:rPr>
            </w:pPr>
            <w:r>
              <w:rPr>
                <w:color w:val="0070C0"/>
                <w:sz w:val="30"/>
                <w:szCs w:val="30"/>
              </w:rPr>
              <w:t xml:space="preserve">Target </w:t>
            </w:r>
            <w:r w:rsidRPr="00C97C3C">
              <w:rPr>
                <w:color w:val="0070C0"/>
                <w:sz w:val="30"/>
                <w:szCs w:val="30"/>
              </w:rPr>
              <w:t>12.3 By 2030, halve per capita global food waste at the retail and consumer levels and reduce food losses along production and supply chains, including post-harvest losses</w:t>
            </w:r>
          </w:p>
        </w:tc>
      </w:tr>
      <w:tr w:rsidR="008C6A6C" w14:paraId="5430B2DF" w14:textId="77777777" w:rsidTr="00A64F0D">
        <w:tc>
          <w:tcPr>
            <w:tcW w:w="0" w:type="auto"/>
          </w:tcPr>
          <w:p w14:paraId="78A5032A" w14:textId="77777777" w:rsidR="008C6A6C" w:rsidRDefault="008C6A6C" w:rsidP="008C6A6C">
            <w:pPr>
              <w:pStyle w:val="NoSpacing"/>
            </w:pPr>
            <w:r w:rsidRPr="00360230">
              <w:t>12.3.1 (a) Food loss index and (b) food waste index</w:t>
            </w:r>
          </w:p>
        </w:tc>
        <w:tc>
          <w:tcPr>
            <w:tcW w:w="0" w:type="auto"/>
          </w:tcPr>
          <w:p w14:paraId="6D775C3D" w14:textId="77777777" w:rsidR="008C6A6C" w:rsidRDefault="008C6A6C" w:rsidP="008C6A6C">
            <w:pPr>
              <w:ind w:left="970" w:hanging="970"/>
              <w:jc w:val="both"/>
              <w:rPr>
                <w:color w:val="0070C0"/>
                <w:sz w:val="30"/>
                <w:szCs w:val="30"/>
              </w:rPr>
            </w:pPr>
          </w:p>
          <w:p w14:paraId="171A8547" w14:textId="77777777" w:rsidR="008C6A6C" w:rsidRDefault="008C6A6C" w:rsidP="008C6A6C">
            <w:pPr>
              <w:pStyle w:val="NoSpacing"/>
            </w:pPr>
            <w:r>
              <w:t xml:space="preserve">FAO, </w:t>
            </w:r>
          </w:p>
          <w:p w14:paraId="6F77A4AB" w14:textId="77777777" w:rsidR="008C6A6C" w:rsidRDefault="008C6A6C" w:rsidP="008C6A6C">
            <w:pPr>
              <w:pStyle w:val="NoSpacing"/>
            </w:pPr>
            <w:r>
              <w:t>UNEP</w:t>
            </w:r>
          </w:p>
        </w:tc>
        <w:tc>
          <w:tcPr>
            <w:tcW w:w="0" w:type="auto"/>
          </w:tcPr>
          <w:p w14:paraId="5BF536F2" w14:textId="77777777" w:rsidR="008C6A6C" w:rsidRDefault="008C6A6C" w:rsidP="008C6A6C">
            <w:pPr>
              <w:ind w:left="970" w:hanging="970"/>
              <w:jc w:val="both"/>
              <w:rPr>
                <w:color w:val="0070C0"/>
                <w:sz w:val="30"/>
                <w:szCs w:val="30"/>
              </w:rPr>
            </w:pPr>
            <w:r w:rsidRPr="00666BAB">
              <w:t>Tier II</w:t>
            </w:r>
          </w:p>
        </w:tc>
        <w:tc>
          <w:tcPr>
            <w:tcW w:w="0" w:type="auto"/>
          </w:tcPr>
          <w:p w14:paraId="6949C172" w14:textId="77777777" w:rsidR="008C6A6C" w:rsidRDefault="008C6A6C" w:rsidP="008C6A6C">
            <w:pPr>
              <w:pStyle w:val="NoSpacing"/>
              <w:rPr>
                <w:b/>
                <w:bCs/>
                <w:lang w:val="en-GB"/>
              </w:rPr>
            </w:pPr>
            <w:r>
              <w:rPr>
                <w:b/>
                <w:bCs/>
                <w:lang w:val="en-GB"/>
              </w:rPr>
              <w:t>For part (a)</w:t>
            </w:r>
          </w:p>
          <w:p w14:paraId="4D8F22F5" w14:textId="77777777" w:rsidR="008C6A6C" w:rsidRDefault="008C6A6C" w:rsidP="008C6A6C">
            <w:pPr>
              <w:pStyle w:val="NoSpacing"/>
              <w:rPr>
                <w:b/>
                <w:bCs/>
                <w:lang w:val="en-GB"/>
              </w:rPr>
            </w:pPr>
          </w:p>
          <w:p w14:paraId="073CE41A" w14:textId="77777777" w:rsidR="008C6A6C" w:rsidRPr="00D932A2" w:rsidRDefault="008C6A6C" w:rsidP="008C6A6C">
            <w:pPr>
              <w:pStyle w:val="NoSpacing"/>
              <w:rPr>
                <w:lang w:val="en-GB"/>
              </w:rPr>
            </w:pPr>
            <w:r w:rsidRPr="00D932A2">
              <w:rPr>
                <w:b/>
                <w:bCs/>
                <w:lang w:val="en-GB"/>
              </w:rPr>
              <w:t>Definition:</w:t>
            </w:r>
          </w:p>
          <w:p w14:paraId="46077DC8" w14:textId="77777777" w:rsidR="008C6A6C" w:rsidRPr="00D932A2" w:rsidRDefault="008C6A6C" w:rsidP="008C6A6C">
            <w:pPr>
              <w:pStyle w:val="NoSpacing"/>
              <w:rPr>
                <w:lang w:val="en-GB"/>
              </w:rPr>
            </w:pPr>
            <w:r w:rsidRPr="00D932A2">
              <w:rPr>
                <w:lang w:val="en-GB"/>
              </w:rPr>
              <w:t>Index of the changes in the food losses percentages along the supply chain of key commodities over time.</w:t>
            </w:r>
          </w:p>
          <w:p w14:paraId="28712E4F" w14:textId="77777777" w:rsidR="008C6A6C" w:rsidRPr="00D932A2" w:rsidRDefault="008C6A6C" w:rsidP="008C6A6C">
            <w:pPr>
              <w:pStyle w:val="NoSpacing"/>
              <w:rPr>
                <w:lang w:val="en-GB"/>
              </w:rPr>
            </w:pPr>
          </w:p>
          <w:p w14:paraId="190A5F93" w14:textId="77777777" w:rsidR="008C6A6C" w:rsidRPr="00D932A2" w:rsidRDefault="008C6A6C" w:rsidP="008C6A6C">
            <w:pPr>
              <w:pStyle w:val="NoSpacing"/>
              <w:rPr>
                <w:lang w:val="en-GB"/>
              </w:rPr>
            </w:pPr>
            <w:r w:rsidRPr="00D932A2">
              <w:rPr>
                <w:lang w:val="en-GB"/>
              </w:rPr>
              <w:t xml:space="preserve">The indicator is computed as a ratio of Food Loss Percentages in the current year and the Food Loss Percentages in the base year according to a standard fixed-base index formula. </w:t>
            </w:r>
          </w:p>
          <w:p w14:paraId="3E0139D5" w14:textId="77777777" w:rsidR="008C6A6C" w:rsidRPr="00D932A2" w:rsidRDefault="008C6A6C" w:rsidP="008C6A6C">
            <w:pPr>
              <w:pStyle w:val="NoSpacing"/>
              <w:rPr>
                <w:lang w:val="en-GB"/>
              </w:rPr>
            </w:pPr>
          </w:p>
          <w:p w14:paraId="50147965" w14:textId="77777777" w:rsidR="008C6A6C" w:rsidRPr="00D932A2" w:rsidRDefault="008C6A6C" w:rsidP="008C6A6C">
            <w:pPr>
              <w:pStyle w:val="NoSpacing"/>
              <w:rPr>
                <w:lang w:val="en-GB"/>
              </w:rPr>
            </w:pPr>
            <w:r w:rsidRPr="00D932A2">
              <w:rPr>
                <w:lang w:val="en-GB"/>
              </w:rPr>
              <w:t xml:space="preserve">FAO proposes to define food losses to be measured in the framework of SDG indicator 12.3.1 (a) as: </w:t>
            </w:r>
          </w:p>
          <w:p w14:paraId="3C81E970" w14:textId="77777777" w:rsidR="008C6A6C" w:rsidRPr="00D932A2" w:rsidRDefault="008C6A6C" w:rsidP="008C6A6C">
            <w:pPr>
              <w:pStyle w:val="NoSpacing"/>
              <w:numPr>
                <w:ilvl w:val="0"/>
                <w:numId w:val="137"/>
              </w:numPr>
              <w:rPr>
                <w:lang w:val="en-GB"/>
              </w:rPr>
            </w:pPr>
            <w:r w:rsidRPr="00D932A2">
              <w:rPr>
                <w:lang w:val="en-GB"/>
              </w:rPr>
              <w:t>Food losses are all the crop and livestock human-edible commodity quantities that, directly or indirectly, completely exit the post-harvest/slaughter production/supply chain by being discarded, incinerated or otherwise, and do not re-enter in any other utilization (such as animal feed, industrial use, etc.), up to, and excluding, the retail level. Losses that occur during storage, transportation and processing, also of imported quantities, are therefore all included. Losses include the commodity as a whole with its non-edible parts.</w:t>
            </w:r>
          </w:p>
          <w:p w14:paraId="5EE54E0B" w14:textId="77777777" w:rsidR="008C6A6C" w:rsidRPr="00D932A2" w:rsidRDefault="008C6A6C" w:rsidP="008C6A6C">
            <w:pPr>
              <w:pStyle w:val="NoSpacing"/>
              <w:rPr>
                <w:lang w:val="en-GB"/>
              </w:rPr>
            </w:pPr>
          </w:p>
          <w:p w14:paraId="1DEFEC77" w14:textId="77777777" w:rsidR="008C6A6C" w:rsidRPr="00D932A2" w:rsidRDefault="008C6A6C" w:rsidP="008C6A6C">
            <w:pPr>
              <w:pStyle w:val="NoSpacing"/>
              <w:rPr>
                <w:lang w:val="en-GB"/>
              </w:rPr>
            </w:pPr>
            <w:r w:rsidRPr="00D932A2">
              <w:rPr>
                <w:lang w:val="en-GB"/>
              </w:rPr>
              <w:t>The Food Loss Index scope within food chains is described as follows:</w:t>
            </w:r>
          </w:p>
          <w:p w14:paraId="184F5D5C" w14:textId="77777777" w:rsidR="008C6A6C" w:rsidRPr="00D932A2" w:rsidRDefault="008C6A6C" w:rsidP="008C6A6C">
            <w:pPr>
              <w:pStyle w:val="NoSpacing"/>
              <w:numPr>
                <w:ilvl w:val="0"/>
                <w:numId w:val="136"/>
              </w:numPr>
              <w:rPr>
                <w:lang w:val="en-GB"/>
              </w:rPr>
            </w:pPr>
            <w:r w:rsidRPr="00D932A2">
              <w:rPr>
                <w:lang w:val="en-GB"/>
              </w:rPr>
              <w:t>The Food Loss Index for SDG monitoring and reporting purposes will be aligned with the Food Balance Sheets framework, starting with postharvest operations on the farm up to but not including the retail level,</w:t>
            </w:r>
          </w:p>
          <w:p w14:paraId="37BD5AE1" w14:textId="77777777" w:rsidR="008C6A6C" w:rsidRPr="00D932A2" w:rsidRDefault="008C6A6C" w:rsidP="008C6A6C">
            <w:pPr>
              <w:pStyle w:val="NoSpacing"/>
              <w:numPr>
                <w:ilvl w:val="0"/>
                <w:numId w:val="136"/>
              </w:numPr>
              <w:rPr>
                <w:lang w:val="en-GB"/>
              </w:rPr>
            </w:pPr>
            <w:r w:rsidRPr="00D932A2">
              <w:rPr>
                <w:lang w:val="en-GB"/>
              </w:rPr>
              <w:t xml:space="preserve">The scope of the index at the national level narrows down to 10 key commodities set by the countries in five headings for comparability. </w:t>
            </w:r>
          </w:p>
          <w:p w14:paraId="76543603" w14:textId="77777777" w:rsidR="008C6A6C" w:rsidRPr="00D932A2" w:rsidRDefault="008C6A6C" w:rsidP="008C6A6C">
            <w:pPr>
              <w:pStyle w:val="NoSpacing"/>
              <w:numPr>
                <w:ilvl w:val="0"/>
                <w:numId w:val="136"/>
              </w:numPr>
              <w:rPr>
                <w:lang w:val="en-GB"/>
              </w:rPr>
            </w:pPr>
            <w:r w:rsidRPr="00D932A2">
              <w:rPr>
                <w:lang w:val="en-GB"/>
              </w:rPr>
              <w:t xml:space="preserve">At country level, countries can include harvest losses in the scope of the index through ad hoc surveys and by adjusting the concept of production. </w:t>
            </w:r>
          </w:p>
          <w:p w14:paraId="17A90DD9" w14:textId="77777777" w:rsidR="008C6A6C" w:rsidRPr="00D932A2" w:rsidRDefault="008C6A6C" w:rsidP="008C6A6C">
            <w:pPr>
              <w:pStyle w:val="NoSpacing"/>
              <w:numPr>
                <w:ilvl w:val="0"/>
                <w:numId w:val="136"/>
              </w:numPr>
              <w:rPr>
                <w:lang w:val="en-GB"/>
              </w:rPr>
            </w:pPr>
            <w:r w:rsidRPr="00D932A2">
              <w:rPr>
                <w:lang w:val="en-GB"/>
              </w:rPr>
              <w:t>Pre-harvest losses are covered by Target 1.5. Moreover, pre-harvest losses refer to the concept of potential production that cannot be used for the indicator.</w:t>
            </w:r>
          </w:p>
          <w:p w14:paraId="4B8501F1" w14:textId="77777777" w:rsidR="008C6A6C" w:rsidRPr="00D932A2" w:rsidRDefault="008C6A6C" w:rsidP="008C6A6C">
            <w:pPr>
              <w:pStyle w:val="NoSpacing"/>
              <w:numPr>
                <w:ilvl w:val="0"/>
                <w:numId w:val="136"/>
              </w:numPr>
              <w:rPr>
                <w:lang w:val="en-GB"/>
              </w:rPr>
            </w:pPr>
            <w:r w:rsidRPr="00D932A2">
              <w:rPr>
                <w:lang w:val="en-GB"/>
              </w:rPr>
              <w:t>A separate Food Waste Index is being developed to cover food waste at the retail and consumption level.</w:t>
            </w:r>
          </w:p>
          <w:p w14:paraId="48A858A9" w14:textId="77777777" w:rsidR="008C6A6C" w:rsidRPr="00D932A2" w:rsidRDefault="008C6A6C" w:rsidP="008C6A6C">
            <w:pPr>
              <w:pStyle w:val="NoSpacing"/>
              <w:rPr>
                <w:lang w:val="en-GB"/>
              </w:rPr>
            </w:pPr>
            <w:r w:rsidRPr="00D932A2">
              <w:rPr>
                <w:noProof/>
                <w:lang w:bidi="bn-BD"/>
              </w:rPr>
              <w:lastRenderedPageBreak/>
              <w:drawing>
                <wp:inline distT="0" distB="0" distL="0" distR="0" wp14:anchorId="6DCA754C" wp14:editId="5FD6FF05">
                  <wp:extent cx="3641697" cy="2603500"/>
                  <wp:effectExtent l="0" t="0" r="0" b="0"/>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48315" cy="2608231"/>
                          </a:xfrm>
                          <a:prstGeom prst="rect">
                            <a:avLst/>
                          </a:prstGeom>
                          <a:noFill/>
                        </pic:spPr>
                      </pic:pic>
                    </a:graphicData>
                  </a:graphic>
                </wp:inline>
              </w:drawing>
            </w:r>
          </w:p>
          <w:p w14:paraId="7D5E2AA0" w14:textId="77777777" w:rsidR="008C6A6C" w:rsidRPr="00D932A2" w:rsidRDefault="008C6A6C" w:rsidP="008C6A6C">
            <w:pPr>
              <w:pStyle w:val="NoSpacing"/>
              <w:rPr>
                <w:lang w:val="en-GB"/>
              </w:rPr>
            </w:pPr>
            <w:r w:rsidRPr="00D932A2">
              <w:rPr>
                <w:b/>
                <w:bCs/>
                <w:lang w:val="en-GB"/>
              </w:rPr>
              <w:t>Concepts:</w:t>
            </w:r>
          </w:p>
          <w:p w14:paraId="20963729" w14:textId="77777777" w:rsidR="008C6A6C" w:rsidRPr="00D932A2" w:rsidRDefault="008C6A6C" w:rsidP="008C6A6C">
            <w:pPr>
              <w:pStyle w:val="NoSpacing"/>
              <w:rPr>
                <w:lang w:val="en-GB"/>
              </w:rPr>
            </w:pPr>
            <w:r w:rsidRPr="00D932A2">
              <w:rPr>
                <w:lang w:val="en-GB"/>
              </w:rPr>
              <w:t>The following concepts are adopted for the calculation of indicator 12.3.1:</w:t>
            </w:r>
          </w:p>
          <w:p w14:paraId="3DCEDD43" w14:textId="77777777" w:rsidR="008C6A6C" w:rsidRPr="00D932A2" w:rsidRDefault="008C6A6C" w:rsidP="008C6A6C">
            <w:pPr>
              <w:pStyle w:val="NoSpacing"/>
              <w:numPr>
                <w:ilvl w:val="0"/>
                <w:numId w:val="135"/>
              </w:numPr>
              <w:rPr>
                <w:lang w:val="en-GB"/>
              </w:rPr>
            </w:pPr>
            <w:r w:rsidRPr="00D932A2">
              <w:rPr>
                <w:b/>
                <w:bCs/>
                <w:lang w:val="en-GB"/>
              </w:rPr>
              <w:t>Quantitative food loss and waste</w:t>
            </w:r>
            <w:r w:rsidRPr="00D932A2">
              <w:rPr>
                <w:lang w:val="en-GB"/>
              </w:rPr>
              <w:t xml:space="preserve"> – is the decrease in mass of food (FAO’s Conceptual Framework for Food Losses and Waste).</w:t>
            </w:r>
          </w:p>
          <w:p w14:paraId="440B241D" w14:textId="77777777" w:rsidR="008C6A6C" w:rsidRPr="00D932A2" w:rsidRDefault="008C6A6C" w:rsidP="008C6A6C">
            <w:pPr>
              <w:pStyle w:val="NoSpacing"/>
              <w:numPr>
                <w:ilvl w:val="0"/>
                <w:numId w:val="135"/>
              </w:numPr>
              <w:rPr>
                <w:lang w:val="en-GB"/>
              </w:rPr>
            </w:pPr>
            <w:r w:rsidRPr="00D932A2">
              <w:rPr>
                <w:b/>
                <w:bCs/>
                <w:lang w:val="en-GB"/>
              </w:rPr>
              <w:t>Loss</w:t>
            </w:r>
            <w:r w:rsidRPr="00D932A2">
              <w:rPr>
                <w:lang w:val="en-GB"/>
              </w:rPr>
              <w:t xml:space="preserve"> takes place from the point of maturity up to but excluding the retail stage (the meaning of ‘maturity’ for livestock and fish must be defined). For the indicator and the data collected loss is measured in percentage terms (id).</w:t>
            </w:r>
          </w:p>
          <w:p w14:paraId="7A753F07" w14:textId="77777777" w:rsidR="008C6A6C" w:rsidRPr="00D932A2" w:rsidRDefault="008C6A6C" w:rsidP="008C6A6C">
            <w:pPr>
              <w:pStyle w:val="NoSpacing"/>
              <w:numPr>
                <w:ilvl w:val="0"/>
                <w:numId w:val="135"/>
              </w:numPr>
              <w:rPr>
                <w:lang w:val="en-GB"/>
              </w:rPr>
            </w:pPr>
            <w:r w:rsidRPr="00D932A2">
              <w:rPr>
                <w:b/>
                <w:bCs/>
                <w:lang w:val="en-GB"/>
              </w:rPr>
              <w:t>Agriculture production</w:t>
            </w:r>
            <w:r w:rsidRPr="00D932A2">
              <w:rPr>
                <w:lang w:val="en-GB"/>
              </w:rPr>
              <w:t xml:space="preserve"> data for crops refer to the actual harvested production from the field orchard or garden, excluding harvesting and threshing losses and that part of crop not harvested for any reason.</w:t>
            </w:r>
          </w:p>
          <w:p w14:paraId="7EFFEF38" w14:textId="77777777" w:rsidR="008C6A6C" w:rsidRPr="00D932A2" w:rsidRDefault="008C6A6C" w:rsidP="008C6A6C">
            <w:pPr>
              <w:pStyle w:val="NoSpacing"/>
              <w:numPr>
                <w:ilvl w:val="0"/>
                <w:numId w:val="135"/>
              </w:numPr>
              <w:rPr>
                <w:lang w:val="en-GB"/>
              </w:rPr>
            </w:pPr>
            <w:r w:rsidRPr="00D932A2">
              <w:rPr>
                <w:lang w:val="en-GB"/>
              </w:rPr>
              <w:t xml:space="preserve">The </w:t>
            </w:r>
            <w:r w:rsidRPr="00D932A2">
              <w:rPr>
                <w:b/>
                <w:bCs/>
                <w:lang w:val="en-GB"/>
              </w:rPr>
              <w:t>value of production</w:t>
            </w:r>
            <w:r w:rsidRPr="00D932A2">
              <w:rPr>
                <w:lang w:val="en-GB"/>
              </w:rPr>
              <w:t xml:space="preserve"> which serves as weights is equal to production quantities multiplied by a reference price. The reference prices used in the GFLI are international dollar prices calculated using the Geary Khamis equation method and based on FAOSTAT production and produce price data. Value of production is also the default selection criteria for the ten key commodities by country.</w:t>
            </w:r>
          </w:p>
          <w:p w14:paraId="3B8924F7" w14:textId="77777777" w:rsidR="008C6A6C" w:rsidRPr="00D932A2" w:rsidRDefault="008C6A6C" w:rsidP="008C6A6C">
            <w:pPr>
              <w:pStyle w:val="NoSpacing"/>
              <w:numPr>
                <w:ilvl w:val="0"/>
                <w:numId w:val="135"/>
              </w:numPr>
              <w:rPr>
                <w:lang w:val="en-GB"/>
              </w:rPr>
            </w:pPr>
            <w:r w:rsidRPr="00D932A2">
              <w:rPr>
                <w:lang w:val="en-GB"/>
              </w:rPr>
              <w:t xml:space="preserve">The FLI is based on the international </w:t>
            </w:r>
            <w:r w:rsidRPr="00D932A2">
              <w:rPr>
                <w:b/>
                <w:bCs/>
                <w:lang w:val="en-GB"/>
              </w:rPr>
              <w:t>Central Product Classification</w:t>
            </w:r>
            <w:r w:rsidRPr="00D932A2">
              <w:rPr>
                <w:lang w:val="en-GB"/>
              </w:rPr>
              <w:t xml:space="preserve"> version 2.1 expanded. Commodities are then grouped according to FAO’s Food Groups used in the Supply Utilization Accounts and Food Balance Sheets and further grouped into fine main categories.</w:t>
            </w:r>
          </w:p>
          <w:p w14:paraId="175BE7AF" w14:textId="77777777" w:rsidR="008C6A6C" w:rsidRPr="00D932A2" w:rsidRDefault="008C6A6C" w:rsidP="008C6A6C">
            <w:pPr>
              <w:pStyle w:val="NoSpacing"/>
              <w:rPr>
                <w:lang w:val="en-GB"/>
              </w:rPr>
            </w:pPr>
          </w:p>
          <w:p w14:paraId="3BD3D0C8" w14:textId="77777777" w:rsidR="008C6A6C" w:rsidRPr="00D932A2" w:rsidRDefault="008C6A6C" w:rsidP="008C6A6C">
            <w:pPr>
              <w:pStyle w:val="NoSpacing"/>
              <w:rPr>
                <w:lang w:val="en-GB"/>
              </w:rPr>
            </w:pPr>
            <w:r w:rsidRPr="00D932A2">
              <w:rPr>
                <w:b/>
                <w:bCs/>
                <w:lang w:val="en-GB"/>
              </w:rPr>
              <w:t>Comments and limitations:</w:t>
            </w:r>
          </w:p>
          <w:p w14:paraId="47FD68F0" w14:textId="77777777" w:rsidR="008C6A6C" w:rsidRPr="00D932A2" w:rsidRDefault="008C6A6C" w:rsidP="008C6A6C">
            <w:pPr>
              <w:pStyle w:val="NoSpacing"/>
              <w:rPr>
                <w:lang w:val="en-GB"/>
              </w:rPr>
            </w:pPr>
            <w:r w:rsidRPr="00D932A2">
              <w:rPr>
                <w:lang w:val="en-GB"/>
              </w:rPr>
              <w:t>Food losses are an extremely complex phenomenon to measure because they are multi-dimensional and data collection is costly.</w:t>
            </w:r>
          </w:p>
          <w:p w14:paraId="5FAFA8AF" w14:textId="77777777" w:rsidR="008C6A6C" w:rsidRPr="00D932A2" w:rsidRDefault="008C6A6C" w:rsidP="008C6A6C">
            <w:pPr>
              <w:pStyle w:val="NoSpacing"/>
              <w:rPr>
                <w:lang w:val="en-GB"/>
              </w:rPr>
            </w:pPr>
          </w:p>
          <w:p w14:paraId="70E7382F" w14:textId="77777777" w:rsidR="008C6A6C" w:rsidRPr="00D932A2" w:rsidRDefault="008C6A6C" w:rsidP="008C6A6C">
            <w:pPr>
              <w:pStyle w:val="NoSpacing"/>
              <w:rPr>
                <w:lang w:val="en-GB"/>
              </w:rPr>
            </w:pPr>
            <w:r w:rsidRPr="00D932A2">
              <w:rPr>
                <w:lang w:val="en-GB"/>
              </w:rPr>
              <w:t>A major limitation is data availability. The reported data accounts for a small percentage or the data needs: only 23 countries out of 185 reported on losses in 2016 for one commodity or more and only 4.4% of loss factors in the SUA/FBS database are officially reported, all others being estimated</w:t>
            </w:r>
          </w:p>
          <w:p w14:paraId="71635184" w14:textId="77777777" w:rsidR="008C6A6C" w:rsidRPr="00D932A2" w:rsidRDefault="008C6A6C" w:rsidP="008C6A6C">
            <w:pPr>
              <w:pStyle w:val="NoSpacing"/>
              <w:rPr>
                <w:lang w:val="en-GB"/>
              </w:rPr>
            </w:pPr>
          </w:p>
          <w:p w14:paraId="0A3B2B45" w14:textId="77777777" w:rsidR="008C6A6C" w:rsidRPr="00D932A2" w:rsidRDefault="008C6A6C" w:rsidP="008C6A6C">
            <w:pPr>
              <w:pStyle w:val="NoSpacing"/>
              <w:rPr>
                <w:lang w:val="en-GB"/>
              </w:rPr>
            </w:pPr>
            <w:r w:rsidRPr="00D932A2">
              <w:rPr>
                <w:lang w:val="en-GB"/>
              </w:rPr>
              <w:t>The index is limited in scope as harvest losses cannot be included in the international indicator for comparability reasons. Moreover, the index covers ten key commodities in each country, because requesting regular loss data for a larger number of crops would be a difficult and unsustainable exercise for most countries.</w:t>
            </w:r>
          </w:p>
          <w:p w14:paraId="1AF7A25A" w14:textId="77777777" w:rsidR="008C6A6C" w:rsidRPr="00D932A2" w:rsidRDefault="008C6A6C" w:rsidP="008C6A6C">
            <w:pPr>
              <w:pStyle w:val="NoSpacing"/>
              <w:rPr>
                <w:lang w:val="en-GB"/>
              </w:rPr>
            </w:pPr>
          </w:p>
          <w:p w14:paraId="291C1796" w14:textId="77777777" w:rsidR="008C6A6C" w:rsidRPr="00D932A2" w:rsidRDefault="008C6A6C" w:rsidP="008C6A6C">
            <w:pPr>
              <w:pStyle w:val="NoSpacing"/>
              <w:rPr>
                <w:lang w:val="en-GB"/>
              </w:rPr>
            </w:pPr>
            <w:r w:rsidRPr="00D932A2">
              <w:rPr>
                <w:lang w:val="en-GB"/>
              </w:rPr>
              <w:t>The index covers quantitative losses only, that challenging enough to measure. Qualitative and economic losses are also very relevant but less consistent out of the scope of the indicator.</w:t>
            </w:r>
          </w:p>
          <w:p w14:paraId="35C19482" w14:textId="77777777" w:rsidR="008C6A6C" w:rsidRPr="00D932A2" w:rsidRDefault="008C6A6C" w:rsidP="008C6A6C">
            <w:pPr>
              <w:pStyle w:val="NoSpacing"/>
              <w:rPr>
                <w:lang w:val="en-GB"/>
              </w:rPr>
            </w:pPr>
          </w:p>
          <w:p w14:paraId="5E6B0FD9" w14:textId="77777777" w:rsidR="008C6A6C" w:rsidRPr="00D932A2" w:rsidRDefault="008C6A6C" w:rsidP="008C6A6C">
            <w:pPr>
              <w:pStyle w:val="NoSpacing"/>
              <w:rPr>
                <w:lang w:val="en-GB"/>
              </w:rPr>
            </w:pPr>
            <w:r w:rsidRPr="00D932A2">
              <w:rPr>
                <w:lang w:val="en-GB"/>
              </w:rPr>
              <w:t>This indicator is particularly challenging for countries because it requires several surveys to collect all the necessary information along the supply chain. The most appropriate data sources would be an ensemble of surveys however, most countries lack the capacity and resources to carry out this exercise. A suite of statistical and modelling tools, combined where possible with administrative records will have to be used.</w:t>
            </w:r>
          </w:p>
          <w:p w14:paraId="4C4BE2C1" w14:textId="77777777" w:rsidR="008C6A6C" w:rsidRPr="00D932A2" w:rsidRDefault="008C6A6C" w:rsidP="008C6A6C">
            <w:pPr>
              <w:pStyle w:val="NoSpacing"/>
              <w:rPr>
                <w:b/>
                <w:bCs/>
                <w:lang w:val="en-GB"/>
              </w:rPr>
            </w:pPr>
          </w:p>
          <w:p w14:paraId="1646E7AC" w14:textId="77777777" w:rsidR="008C6A6C" w:rsidRPr="00D932A2" w:rsidRDefault="008C6A6C" w:rsidP="008C6A6C">
            <w:pPr>
              <w:pStyle w:val="NoSpacing"/>
              <w:rPr>
                <w:lang w:val="en-GB"/>
              </w:rPr>
            </w:pPr>
            <w:r w:rsidRPr="00D932A2">
              <w:rPr>
                <w:b/>
                <w:bCs/>
                <w:lang w:val="en-GB"/>
              </w:rPr>
              <w:t>Computation Method:</w:t>
            </w:r>
          </w:p>
          <w:p w14:paraId="393277FE" w14:textId="77777777" w:rsidR="008C6A6C" w:rsidRPr="00D932A2" w:rsidRDefault="008C6A6C" w:rsidP="008C6A6C">
            <w:pPr>
              <w:pStyle w:val="NoSpacing"/>
              <w:rPr>
                <w:lang w:val="en-GB"/>
              </w:rPr>
            </w:pPr>
            <w:r w:rsidRPr="00D932A2">
              <w:rPr>
                <w:lang w:val="en-GB"/>
              </w:rPr>
              <w:t>SDG 12.3 for a single country, called Food Loss Index (FLI), is a fixed-based index as follows:</w:t>
            </w:r>
          </w:p>
          <w:p w14:paraId="60322230" w14:textId="77777777" w:rsidR="008C6A6C" w:rsidRPr="00D932A2" w:rsidRDefault="008C6A6C" w:rsidP="008C6A6C">
            <w:pPr>
              <w:pStyle w:val="NoSpacing"/>
              <w:rPr>
                <w:lang w:val="en-GB"/>
              </w:rPr>
            </w:pPr>
          </w:p>
          <w:p w14:paraId="7E56803F" w14:textId="77777777" w:rsidR="008C6A6C" w:rsidRPr="00D932A2" w:rsidRDefault="008C6A6C" w:rsidP="008C6A6C">
            <w:pPr>
              <w:pStyle w:val="NoSpacing"/>
              <w:rPr>
                <w:lang w:val="en-GB"/>
              </w:rPr>
            </w:pPr>
            <m:oMathPara>
              <m:oMath>
                <m:r>
                  <w:rPr>
                    <w:rFonts w:ascii="Cambria Math" w:hAnsi="Cambria Math"/>
                    <w:lang w:val="en-GB"/>
                  </w:rPr>
                  <m:t>FL</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it</m:t>
                    </m:r>
                  </m:sub>
                </m:sSub>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FLP</m:t>
                        </m:r>
                      </m:e>
                      <m:sub>
                        <m:r>
                          <w:rPr>
                            <w:rFonts w:ascii="Cambria Math" w:hAnsi="Cambria Math"/>
                            <w:lang w:val="en-GB"/>
                          </w:rPr>
                          <m:t>it</m:t>
                        </m:r>
                      </m:sub>
                    </m:sSub>
                  </m:num>
                  <m:den>
                    <m:sSub>
                      <m:sSubPr>
                        <m:ctrlPr>
                          <w:rPr>
                            <w:rFonts w:ascii="Cambria Math" w:hAnsi="Cambria Math"/>
                            <w:lang w:val="en-GB"/>
                          </w:rPr>
                        </m:ctrlPr>
                      </m:sSubPr>
                      <m:e>
                        <m:r>
                          <w:rPr>
                            <w:rFonts w:ascii="Cambria Math" w:hAnsi="Cambria Math"/>
                            <w:lang w:val="en-GB"/>
                          </w:rPr>
                          <m:t>FLP</m:t>
                        </m:r>
                      </m:e>
                      <m:sub>
                        <m:r>
                          <w:rPr>
                            <w:rFonts w:ascii="Cambria Math" w:hAnsi="Cambria Math"/>
                            <w:lang w:val="en-GB"/>
                          </w:rPr>
                          <m:t>i</m:t>
                        </m:r>
                        <m:r>
                          <m:rPr>
                            <m:sty m:val="p"/>
                          </m:rPr>
                          <w:rPr>
                            <w:rFonts w:ascii="Cambria Math" w:hAnsi="Cambria Math"/>
                            <w:lang w:val="en-GB"/>
                          </w:rPr>
                          <m:t>0</m:t>
                        </m:r>
                      </m:sub>
                    </m:sSub>
                  </m:den>
                </m:f>
                <m:r>
                  <m:rPr>
                    <m:sty m:val="p"/>
                  </m:rPr>
                  <w:rPr>
                    <w:rFonts w:ascii="Cambria Math" w:hAnsi="Cambria Math"/>
                    <w:lang w:val="en-GB"/>
                  </w:rPr>
                  <m:t xml:space="preserve">= </m:t>
                </m:r>
                <m:f>
                  <m:fPr>
                    <m:ctrlPr>
                      <w:rPr>
                        <w:rFonts w:ascii="Cambria Math" w:hAnsi="Cambria Math"/>
                        <w:lang w:val="en-GB"/>
                      </w:rPr>
                    </m:ctrlPr>
                  </m:fPr>
                  <m:num>
                    <m:nary>
                      <m:naryPr>
                        <m:chr m:val="∑"/>
                        <m:supHide m:val="1"/>
                        <m:ctrlPr>
                          <w:rPr>
                            <w:rFonts w:ascii="Cambria Math" w:hAnsi="Cambria Math"/>
                            <w:lang w:val="en-GB"/>
                          </w:rPr>
                        </m:ctrlPr>
                      </m:naryPr>
                      <m:sub>
                        <m:r>
                          <w:rPr>
                            <w:rFonts w:ascii="Cambria Math" w:hAnsi="Cambria Math"/>
                            <w:lang w:val="en-GB"/>
                          </w:rPr>
                          <m:t>j</m:t>
                        </m:r>
                      </m:sub>
                      <m:sup/>
                      <m:e>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ijt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ij</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j</m:t>
                            </m:r>
                            <m:r>
                              <m:rPr>
                                <m:sty m:val="p"/>
                              </m:rPr>
                              <w:rPr>
                                <w:rFonts w:ascii="Cambria Math" w:hAnsi="Cambria Math"/>
                                <w:lang w:val="en-GB"/>
                              </w:rPr>
                              <m:t>0</m:t>
                            </m:r>
                          </m:sub>
                        </m:sSub>
                        <m:r>
                          <m:rPr>
                            <m:sty m:val="p"/>
                          </m:rPr>
                          <w:rPr>
                            <w:rFonts w:ascii="Cambria Math" w:hAnsi="Cambria Math"/>
                            <w:lang w:val="en-GB"/>
                          </w:rPr>
                          <m:t xml:space="preserve"> </m:t>
                        </m:r>
                      </m:e>
                    </m:nary>
                  </m:num>
                  <m:den>
                    <m:nary>
                      <m:naryPr>
                        <m:chr m:val="∑"/>
                        <m:supHide m:val="1"/>
                        <m:ctrlPr>
                          <w:rPr>
                            <w:rFonts w:ascii="Cambria Math" w:hAnsi="Cambria Math"/>
                            <w:lang w:val="en-GB"/>
                          </w:rPr>
                        </m:ctrlPr>
                      </m:naryPr>
                      <m:sub>
                        <m:r>
                          <w:rPr>
                            <w:rFonts w:ascii="Cambria Math" w:hAnsi="Cambria Math"/>
                            <w:lang w:val="en-GB"/>
                          </w:rPr>
                          <m:t>j</m:t>
                        </m:r>
                      </m:sub>
                      <m:sup/>
                      <m:e>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ij</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ij</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j</m:t>
                            </m:r>
                            <m:r>
                              <m:rPr>
                                <m:sty m:val="p"/>
                              </m:rPr>
                              <w:rPr>
                                <w:rFonts w:ascii="Cambria Math" w:hAnsi="Cambria Math"/>
                                <w:lang w:val="en-GB"/>
                              </w:rPr>
                              <m:t>0</m:t>
                            </m:r>
                          </m:sub>
                        </m:sSub>
                        <m:r>
                          <m:rPr>
                            <m:sty m:val="p"/>
                          </m:rPr>
                          <w:rPr>
                            <w:rFonts w:ascii="Cambria Math" w:hAnsi="Cambria Math"/>
                            <w:lang w:val="en-GB"/>
                          </w:rPr>
                          <m:t xml:space="preserve"> </m:t>
                        </m:r>
                      </m:e>
                    </m:nary>
                  </m:den>
                </m:f>
                <m:r>
                  <m:rPr>
                    <m:sty m:val="p"/>
                  </m:rPr>
                  <w:rPr>
                    <w:rFonts w:ascii="Cambria Math" w:hAnsi="Cambria Math"/>
                    <w:lang w:val="en-GB"/>
                  </w:rPr>
                  <m:t>*100</m:t>
                </m:r>
              </m:oMath>
            </m:oMathPara>
          </w:p>
          <w:p w14:paraId="5782F7E8" w14:textId="77777777" w:rsidR="008C6A6C" w:rsidRPr="00D932A2" w:rsidRDefault="008C6A6C" w:rsidP="008C6A6C">
            <w:pPr>
              <w:pStyle w:val="NoSpacing"/>
              <w:rPr>
                <w:lang w:val="en-GB"/>
              </w:rPr>
            </w:pPr>
            <w:r w:rsidRPr="00D932A2">
              <w:rPr>
                <w:lang w:val="en-GB"/>
              </w:rPr>
              <w:t>Where:</w:t>
            </w:r>
            <w:r w:rsidRPr="00D932A2">
              <w:rPr>
                <w:lang w:val="en-GB"/>
              </w:rPr>
              <w:tab/>
            </w:r>
          </w:p>
          <w:p w14:paraId="566D6568" w14:textId="77777777" w:rsidR="008C6A6C" w:rsidRPr="00D932A2" w:rsidRDefault="004B4A24" w:rsidP="008C6A6C">
            <w:pPr>
              <w:pStyle w:val="NoSpacing"/>
              <w:numPr>
                <w:ilvl w:val="0"/>
                <w:numId w:val="134"/>
              </w:numPr>
              <w:rPr>
                <w:lang w:val="en-GB"/>
              </w:rPr>
            </w:pPr>
            <m:oMath>
              <m:sSub>
                <m:sSubPr>
                  <m:ctrlPr>
                    <w:rPr>
                      <w:rFonts w:ascii="Cambria Math" w:hAnsi="Cambria Math"/>
                      <w:lang w:val="en-GB"/>
                    </w:rPr>
                  </m:ctrlPr>
                </m:sSubPr>
                <m:e>
                  <m:r>
                    <w:rPr>
                      <w:rFonts w:ascii="Cambria Math" w:hAnsi="Cambria Math"/>
                      <w:lang w:val="en-GB"/>
                    </w:rPr>
                    <m:t>FLP</m:t>
                  </m:r>
                </m:e>
                <m:sub>
                  <m:r>
                    <w:rPr>
                      <w:rFonts w:ascii="Cambria Math" w:hAnsi="Cambria Math"/>
                      <w:lang w:val="en-GB"/>
                    </w:rPr>
                    <m:t>it</m:t>
                  </m:r>
                </m:sub>
              </m:sSub>
            </m:oMath>
            <w:r w:rsidR="008C6A6C" w:rsidRPr="00D932A2">
              <w:rPr>
                <w:lang w:val="en-GB"/>
              </w:rPr>
              <w:t xml:space="preserve"> is the average food loss percentage of the country in the current year</w:t>
            </w:r>
          </w:p>
          <w:p w14:paraId="3DD836B9" w14:textId="77777777" w:rsidR="008C6A6C" w:rsidRPr="00D932A2" w:rsidRDefault="004B4A24" w:rsidP="008C6A6C">
            <w:pPr>
              <w:pStyle w:val="NoSpacing"/>
              <w:numPr>
                <w:ilvl w:val="0"/>
                <w:numId w:val="134"/>
              </w:numPr>
              <w:rPr>
                <w:lang w:val="en-GB"/>
              </w:rPr>
            </w:pPr>
            <m:oMath>
              <m:sSub>
                <m:sSubPr>
                  <m:ctrlPr>
                    <w:rPr>
                      <w:rFonts w:ascii="Cambria Math" w:hAnsi="Cambria Math"/>
                      <w:lang w:val="en-GB"/>
                    </w:rPr>
                  </m:ctrlPr>
                </m:sSubPr>
                <m:e>
                  <m:r>
                    <w:rPr>
                      <w:rFonts w:ascii="Cambria Math" w:hAnsi="Cambria Math"/>
                      <w:lang w:val="en-GB"/>
                    </w:rPr>
                    <m:t>FLP</m:t>
                  </m:r>
                </m:e>
                <m:sub>
                  <m:r>
                    <w:rPr>
                      <w:rFonts w:ascii="Cambria Math" w:hAnsi="Cambria Math"/>
                      <w:lang w:val="en-GB"/>
                    </w:rPr>
                    <m:t>i</m:t>
                  </m:r>
                  <m:r>
                    <m:rPr>
                      <m:sty m:val="p"/>
                    </m:rPr>
                    <w:rPr>
                      <w:rFonts w:ascii="Cambria Math" w:hAnsi="Cambria Math"/>
                      <w:lang w:val="en-GB"/>
                    </w:rPr>
                    <m:t>0</m:t>
                  </m:r>
                </m:sub>
              </m:sSub>
            </m:oMath>
            <w:r w:rsidR="008C6A6C" w:rsidRPr="00D932A2">
              <w:rPr>
                <w:lang w:val="en-GB"/>
              </w:rPr>
              <w:t xml:space="preserve"> is the average food loss percentage of the country in the base year</w:t>
            </w:r>
          </w:p>
          <w:p w14:paraId="2AB83F49" w14:textId="77777777" w:rsidR="008C6A6C" w:rsidRPr="00D932A2" w:rsidRDefault="008C6A6C" w:rsidP="008C6A6C">
            <w:pPr>
              <w:pStyle w:val="NoSpacing"/>
              <w:numPr>
                <w:ilvl w:val="0"/>
                <w:numId w:val="134"/>
              </w:numPr>
              <w:rPr>
                <w:lang w:val="en-GB"/>
              </w:rPr>
            </w:pPr>
            <w:r w:rsidRPr="00D932A2">
              <w:rPr>
                <w:lang w:val="en-GB"/>
              </w:rPr>
              <w:t xml:space="preserve">i = country, </w:t>
            </w:r>
          </w:p>
          <w:p w14:paraId="79609275" w14:textId="77777777" w:rsidR="008C6A6C" w:rsidRPr="00D932A2" w:rsidRDefault="008C6A6C" w:rsidP="008C6A6C">
            <w:pPr>
              <w:pStyle w:val="NoSpacing"/>
              <w:numPr>
                <w:ilvl w:val="0"/>
                <w:numId w:val="134"/>
              </w:numPr>
              <w:rPr>
                <w:lang w:val="en-GB"/>
              </w:rPr>
            </w:pPr>
            <w:r w:rsidRPr="00D932A2">
              <w:rPr>
                <w:lang w:val="en-GB"/>
              </w:rPr>
              <w:t>j = commodity, the GFLI will cover the top 10 commodities in five main categories</w:t>
            </w:r>
          </w:p>
          <w:p w14:paraId="08DF8287" w14:textId="77777777" w:rsidR="008C6A6C" w:rsidRPr="00D932A2" w:rsidRDefault="008C6A6C" w:rsidP="008C6A6C">
            <w:pPr>
              <w:pStyle w:val="NoSpacing"/>
              <w:numPr>
                <w:ilvl w:val="0"/>
                <w:numId w:val="134"/>
              </w:numPr>
              <w:rPr>
                <w:lang w:val="en-GB"/>
              </w:rPr>
            </w:pPr>
            <w:r w:rsidRPr="00D932A2">
              <w:rPr>
                <w:lang w:val="en-GB"/>
              </w:rPr>
              <w:t>t = year, 0 is the base year</w:t>
            </w:r>
          </w:p>
          <w:p w14:paraId="019F1770" w14:textId="77777777" w:rsidR="008C6A6C" w:rsidRPr="00D932A2" w:rsidRDefault="004B4A24" w:rsidP="008C6A6C">
            <w:pPr>
              <w:pStyle w:val="NoSpacing"/>
              <w:numPr>
                <w:ilvl w:val="0"/>
                <w:numId w:val="134"/>
              </w:numPr>
              <w:rPr>
                <w:lang w:val="en-GB"/>
              </w:rPr>
            </w:pP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ijt</m:t>
                  </m:r>
                </m:sub>
              </m:sSub>
            </m:oMath>
            <w:r w:rsidR="008C6A6C" w:rsidRPr="00D932A2">
              <w:rPr>
                <w:lang w:val="en-GB"/>
              </w:rPr>
              <w:t xml:space="preserve"> is the loss percentage (estimated or observed) of commodity j in country i year t </w:t>
            </w:r>
          </w:p>
          <w:p w14:paraId="4F52E579" w14:textId="77777777" w:rsidR="008C6A6C" w:rsidRPr="00D932A2" w:rsidRDefault="004B4A24" w:rsidP="008C6A6C">
            <w:pPr>
              <w:pStyle w:val="NoSpacing"/>
              <w:numPr>
                <w:ilvl w:val="0"/>
                <w:numId w:val="134"/>
              </w:numPr>
              <w:rPr>
                <w:lang w:val="en-GB"/>
              </w:rPr>
            </w:pPr>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ij</m:t>
                  </m:r>
                  <m:r>
                    <m:rPr>
                      <m:sty m:val="p"/>
                    </m:rPr>
                    <w:rPr>
                      <w:rFonts w:ascii="Cambria Math" w:hAnsi="Cambria Math"/>
                      <w:lang w:val="en-GB"/>
                    </w:rPr>
                    <m:t>0</m:t>
                  </m:r>
                </m:sub>
              </m:sSub>
            </m:oMath>
            <w:r w:rsidR="008C6A6C" w:rsidRPr="00D932A2">
              <w:rPr>
                <w:lang w:val="en-GB"/>
              </w:rPr>
              <w:t xml:space="preserve"> is the production quantities by country, commodity in the base period</w:t>
            </w:r>
          </w:p>
          <w:p w14:paraId="3A3A3F3B" w14:textId="77777777" w:rsidR="008C6A6C" w:rsidRPr="00D932A2" w:rsidRDefault="004B4A24" w:rsidP="008C6A6C">
            <w:pPr>
              <w:pStyle w:val="NoSpacing"/>
              <w:numPr>
                <w:ilvl w:val="0"/>
                <w:numId w:val="134"/>
              </w:numPr>
              <w:rPr>
                <w:lang w:val="en-GB"/>
              </w:rPr>
            </w:p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j</m:t>
                  </m:r>
                  <m:r>
                    <m:rPr>
                      <m:sty m:val="p"/>
                    </m:rPr>
                    <w:rPr>
                      <w:rFonts w:ascii="Cambria Math" w:hAnsi="Cambria Math"/>
                      <w:lang w:val="en-GB"/>
                    </w:rPr>
                    <m:t>0</m:t>
                  </m:r>
                </m:sub>
              </m:sSub>
            </m:oMath>
            <w:r w:rsidR="008C6A6C" w:rsidRPr="00D932A2">
              <w:rPr>
                <w:lang w:val="en-GB"/>
              </w:rPr>
              <w:t xml:space="preserve"> is the average 2004-2006 international price by commodity (at international $) </w:t>
            </w:r>
          </w:p>
          <w:p w14:paraId="67988B6E" w14:textId="77777777" w:rsidR="008C6A6C" w:rsidRPr="00D932A2" w:rsidRDefault="008C6A6C" w:rsidP="008C6A6C">
            <w:pPr>
              <w:pStyle w:val="NoSpacing"/>
              <w:rPr>
                <w:lang w:val="en-GB"/>
              </w:rPr>
            </w:pPr>
          </w:p>
          <w:p w14:paraId="6229E25C" w14:textId="77777777" w:rsidR="008C6A6C" w:rsidRPr="00D932A2" w:rsidRDefault="008C6A6C" w:rsidP="008C6A6C">
            <w:pPr>
              <w:pStyle w:val="NoSpacing"/>
              <w:rPr>
                <w:lang w:val="en-GB"/>
              </w:rPr>
            </w:pPr>
          </w:p>
          <w:p w14:paraId="7BDDD6BC" w14:textId="77777777" w:rsidR="008C6A6C" w:rsidRPr="00D932A2" w:rsidRDefault="008C6A6C" w:rsidP="008C6A6C">
            <w:pPr>
              <w:pStyle w:val="NoSpacing"/>
              <w:rPr>
                <w:lang w:val="en-GB"/>
              </w:rPr>
            </w:pPr>
          </w:p>
          <w:p w14:paraId="0883D90B" w14:textId="77777777" w:rsidR="008C6A6C" w:rsidRPr="00D932A2" w:rsidRDefault="008C6A6C" w:rsidP="008C6A6C">
            <w:pPr>
              <w:pStyle w:val="NoSpacing"/>
              <w:rPr>
                <w:lang w:val="en-GB"/>
              </w:rPr>
            </w:pPr>
            <w:r w:rsidRPr="00D932A2">
              <w:rPr>
                <w:lang w:val="en-GB"/>
              </w:rPr>
              <w:t xml:space="preserve">The weights for the GFLI reflect the economic importance of the country’s agricultural value of production at international dollar </w:t>
            </w:r>
            <w:r w:rsidRPr="00D932A2">
              <w:rPr>
                <w:lang w:val="en-GB"/>
              </w:rPr>
              <w:lastRenderedPageBreak/>
              <w:t>prices relative to the rest of the world</w:t>
            </w:r>
            <w:r w:rsidRPr="00D932A2">
              <w:rPr>
                <w:vertAlign w:val="superscript"/>
                <w:lang w:val="en-GB"/>
              </w:rPr>
              <w:footnoteReference w:id="21"/>
            </w:r>
            <w:r w:rsidRPr="00D932A2">
              <w:rPr>
                <w:lang w:val="en-GB"/>
              </w:rPr>
              <w:t xml:space="preserve">. For the FLI and FLP, the weights are the value of the focus commodities at international dollar prices. The weight is fixed in the reference year. The weighting pattern was chosen based on the efficiency of markets operating in economic terms, rather than based on contribution to diets (caloric or protein value), environmental factors or other non-market valued opportunity costs. </w:t>
            </w:r>
          </w:p>
          <w:p w14:paraId="452A4074" w14:textId="77777777" w:rsidR="008C6A6C" w:rsidRPr="00D932A2" w:rsidRDefault="008C6A6C" w:rsidP="008C6A6C">
            <w:pPr>
              <w:pStyle w:val="NoSpacing"/>
              <w:rPr>
                <w:lang w:val="en-GB"/>
              </w:rPr>
            </w:pPr>
          </w:p>
          <w:p w14:paraId="00F78A98" w14:textId="77777777" w:rsidR="008C6A6C" w:rsidRPr="00D932A2" w:rsidRDefault="008C6A6C" w:rsidP="008C6A6C">
            <w:pPr>
              <w:pStyle w:val="NoSpacing"/>
              <w:rPr>
                <w:u w:val="single"/>
                <w:lang w:val="en-GB"/>
              </w:rPr>
            </w:pPr>
            <w:r w:rsidRPr="00D932A2">
              <w:rPr>
                <w:u w:val="single"/>
                <w:lang w:val="en-GB"/>
              </w:rPr>
              <w:t>Commodity Coverage</w:t>
            </w:r>
          </w:p>
          <w:p w14:paraId="338CA4A3" w14:textId="77777777" w:rsidR="008C6A6C" w:rsidRPr="00D932A2" w:rsidRDefault="008C6A6C" w:rsidP="008C6A6C">
            <w:pPr>
              <w:pStyle w:val="NoSpacing"/>
              <w:rPr>
                <w:lang w:val="en-GB"/>
              </w:rPr>
            </w:pPr>
            <w:r w:rsidRPr="00D932A2">
              <w:rPr>
                <w:lang w:val="en-GB"/>
              </w:rPr>
              <w:t>One of the challenges in effectively measuring the progress of the FLI is the coverage of commodities. Countries will not be able to measure losses of all commodities in their production system and the key commodities can differ across countries, while international comparability is needed. The proposal for the index to cover ten commodities by country in five groups ensures the index relevance to the countries while providing some degree of international comparability.</w:t>
            </w:r>
          </w:p>
          <w:p w14:paraId="3594DCA1" w14:textId="77777777" w:rsidR="008C6A6C" w:rsidRPr="00D932A2" w:rsidRDefault="008C6A6C" w:rsidP="008C6A6C">
            <w:pPr>
              <w:pStyle w:val="NoSpacing"/>
              <w:rPr>
                <w:lang w:val="en-GB"/>
              </w:rPr>
            </w:pPr>
          </w:p>
          <w:p w14:paraId="2AE0E28C" w14:textId="77777777" w:rsidR="008C6A6C" w:rsidRPr="00D932A2" w:rsidRDefault="008C6A6C" w:rsidP="008C6A6C">
            <w:pPr>
              <w:pStyle w:val="NoSpacing"/>
              <w:rPr>
                <w:lang w:val="en-GB"/>
              </w:rPr>
            </w:pPr>
            <w:r w:rsidRPr="00D932A2">
              <w:rPr>
                <w:lang w:val="en-GB"/>
              </w:rPr>
              <w:t>The default selection criterion for the priority commodities and the related FLI is to rank commodities by value of production in within each country and commodity group. The default process is to:</w:t>
            </w:r>
          </w:p>
          <w:p w14:paraId="105FCCC2" w14:textId="77777777" w:rsidR="008C6A6C" w:rsidRPr="00D932A2" w:rsidRDefault="008C6A6C" w:rsidP="008C6A6C">
            <w:pPr>
              <w:pStyle w:val="NoSpacing"/>
              <w:rPr>
                <w:lang w:val="en-GB"/>
              </w:rPr>
            </w:pPr>
            <w:r w:rsidRPr="00D932A2">
              <w:rPr>
                <w:lang w:val="en-GB"/>
              </w:rPr>
              <w:t>•</w:t>
            </w:r>
            <w:r w:rsidRPr="00D932A2">
              <w:rPr>
                <w:lang w:val="en-GB"/>
              </w:rPr>
              <w:tab/>
              <w:t>Compile value of production for every commodity</w:t>
            </w:r>
          </w:p>
          <w:p w14:paraId="463EF549" w14:textId="77777777" w:rsidR="008C6A6C" w:rsidRPr="00D932A2" w:rsidRDefault="008C6A6C" w:rsidP="008C6A6C">
            <w:pPr>
              <w:pStyle w:val="NoSpacing"/>
              <w:rPr>
                <w:lang w:val="en-GB"/>
              </w:rPr>
            </w:pPr>
            <w:r w:rsidRPr="00D932A2">
              <w:rPr>
                <w:lang w:val="en-GB"/>
              </w:rPr>
              <w:t>•</w:t>
            </w:r>
            <w:r w:rsidRPr="00D932A2">
              <w:rPr>
                <w:lang w:val="en-GB"/>
              </w:rPr>
              <w:tab/>
              <w:t>Group commodities by category and rank them</w:t>
            </w:r>
          </w:p>
          <w:p w14:paraId="7854BDF1" w14:textId="77777777" w:rsidR="008C6A6C" w:rsidRPr="00D932A2" w:rsidRDefault="008C6A6C" w:rsidP="008C6A6C">
            <w:pPr>
              <w:pStyle w:val="NoSpacing"/>
              <w:rPr>
                <w:lang w:val="en-GB"/>
              </w:rPr>
            </w:pPr>
            <w:r w:rsidRPr="00D932A2">
              <w:rPr>
                <w:lang w:val="en-GB"/>
              </w:rPr>
              <w:t>•</w:t>
            </w:r>
            <w:r w:rsidRPr="00D932A2">
              <w:rPr>
                <w:lang w:val="en-GB"/>
              </w:rPr>
              <w:tab/>
              <w:t>Select the top 2 in each group</w:t>
            </w:r>
          </w:p>
          <w:p w14:paraId="6607D13E" w14:textId="77777777" w:rsidR="008C6A6C" w:rsidRPr="00D932A2" w:rsidRDefault="008C6A6C" w:rsidP="008C6A6C">
            <w:pPr>
              <w:pStyle w:val="NoSpacing"/>
              <w:rPr>
                <w:lang w:val="en-GB"/>
              </w:rPr>
            </w:pPr>
          </w:p>
          <w:p w14:paraId="54F319C1" w14:textId="77777777" w:rsidR="008C6A6C" w:rsidRPr="00D932A2" w:rsidRDefault="008C6A6C" w:rsidP="008C6A6C">
            <w:pPr>
              <w:pStyle w:val="NoSpacing"/>
              <w:rPr>
                <w:lang w:val="en-GB"/>
              </w:rPr>
            </w:pPr>
            <w:r w:rsidRPr="00D932A2">
              <w:rPr>
                <w:lang w:val="en-GB"/>
              </w:rPr>
              <w:t xml:space="preserve">The default selection process is based on value of the commodity in international dollar prices in the base year. At national level, countries can use their own set of values, quantities or prices, or use different policy based criteria, as long as the main headings are covered. </w:t>
            </w:r>
          </w:p>
          <w:p w14:paraId="0D2FDFFA" w14:textId="77777777" w:rsidR="008C6A6C" w:rsidRPr="00D932A2" w:rsidRDefault="008C6A6C" w:rsidP="008C6A6C">
            <w:pPr>
              <w:pStyle w:val="NoSpacing"/>
              <w:rPr>
                <w:lang w:val="en-GB"/>
              </w:rPr>
            </w:pPr>
          </w:p>
          <w:p w14:paraId="00B02BA7" w14:textId="77777777" w:rsidR="008C6A6C" w:rsidRPr="00D932A2" w:rsidRDefault="008C6A6C" w:rsidP="008C6A6C">
            <w:pPr>
              <w:pStyle w:val="NoSpacing"/>
              <w:rPr>
                <w:lang w:val="en-GB"/>
              </w:rPr>
            </w:pPr>
            <w:r w:rsidRPr="00D932A2">
              <w:rPr>
                <w:lang w:val="en-GB"/>
              </w:rPr>
              <w:t xml:space="preserve">The five main headings, with two commodities per heading are: </w:t>
            </w:r>
          </w:p>
          <w:p w14:paraId="01875121" w14:textId="77777777" w:rsidR="008C6A6C" w:rsidRPr="00D932A2" w:rsidRDefault="008C6A6C" w:rsidP="008C6A6C">
            <w:pPr>
              <w:pStyle w:val="NoSpacing"/>
              <w:rPr>
                <w:lang w:val="en-GB"/>
              </w:rPr>
            </w:pPr>
            <w:r w:rsidRPr="00D932A2">
              <w:rPr>
                <w:lang w:val="en-GB"/>
              </w:rPr>
              <w:t>1. Cereals &amp; Pulses</w:t>
            </w:r>
          </w:p>
          <w:p w14:paraId="3F401FF4" w14:textId="77777777" w:rsidR="008C6A6C" w:rsidRPr="00D932A2" w:rsidRDefault="008C6A6C" w:rsidP="008C6A6C">
            <w:pPr>
              <w:pStyle w:val="NoSpacing"/>
              <w:rPr>
                <w:lang w:val="en-GB"/>
              </w:rPr>
            </w:pPr>
            <w:r w:rsidRPr="00D932A2">
              <w:rPr>
                <w:lang w:val="en-GB"/>
              </w:rPr>
              <w:t>2. Fruits &amp; Vegetables</w:t>
            </w:r>
          </w:p>
          <w:p w14:paraId="1A16A520" w14:textId="77777777" w:rsidR="008C6A6C" w:rsidRPr="00D932A2" w:rsidRDefault="008C6A6C" w:rsidP="008C6A6C">
            <w:pPr>
              <w:pStyle w:val="NoSpacing"/>
              <w:rPr>
                <w:lang w:val="en-GB"/>
              </w:rPr>
            </w:pPr>
            <w:r w:rsidRPr="00D932A2">
              <w:rPr>
                <w:lang w:val="en-GB"/>
              </w:rPr>
              <w:t>3. Roots &amp; Tubers and Oil-Bearing crops</w:t>
            </w:r>
          </w:p>
          <w:p w14:paraId="71C980CF" w14:textId="77777777" w:rsidR="008C6A6C" w:rsidRPr="00D932A2" w:rsidRDefault="008C6A6C" w:rsidP="008C6A6C">
            <w:pPr>
              <w:pStyle w:val="NoSpacing"/>
              <w:rPr>
                <w:lang w:val="en-GB"/>
              </w:rPr>
            </w:pPr>
            <w:r w:rsidRPr="00D932A2">
              <w:rPr>
                <w:lang w:val="en-GB"/>
              </w:rPr>
              <w:t>4. Animals Products</w:t>
            </w:r>
          </w:p>
          <w:p w14:paraId="5A5F6A47" w14:textId="77777777" w:rsidR="008C6A6C" w:rsidRPr="00D932A2" w:rsidRDefault="008C6A6C" w:rsidP="008C6A6C">
            <w:pPr>
              <w:pStyle w:val="NoSpacing"/>
              <w:rPr>
                <w:lang w:val="en-GB"/>
              </w:rPr>
            </w:pPr>
            <w:r w:rsidRPr="00D932A2">
              <w:rPr>
                <w:lang w:val="en-GB"/>
              </w:rPr>
              <w:t>5. Fish and Fish Products.</w:t>
            </w:r>
          </w:p>
          <w:p w14:paraId="197D00FC" w14:textId="77777777" w:rsidR="008C6A6C" w:rsidRPr="00D932A2" w:rsidRDefault="008C6A6C" w:rsidP="008C6A6C">
            <w:pPr>
              <w:pStyle w:val="NoSpacing"/>
              <w:rPr>
                <w:lang w:val="en-GB"/>
              </w:rPr>
            </w:pPr>
          </w:p>
          <w:p w14:paraId="6B9B7931" w14:textId="77777777" w:rsidR="008C6A6C" w:rsidRPr="00D932A2" w:rsidRDefault="008C6A6C" w:rsidP="008C6A6C">
            <w:pPr>
              <w:pStyle w:val="NoSpacing"/>
              <w:rPr>
                <w:u w:val="single"/>
                <w:lang w:val="en-GB"/>
              </w:rPr>
            </w:pPr>
            <w:r w:rsidRPr="00D932A2">
              <w:rPr>
                <w:u w:val="single"/>
                <w:lang w:val="en-GB"/>
              </w:rPr>
              <w:t xml:space="preserve">Aggregating the loss percentages along the value chain for each commodity, country and year </w:t>
            </w:r>
          </w:p>
          <w:p w14:paraId="46854F1A" w14:textId="77777777" w:rsidR="008C6A6C" w:rsidRPr="00D932A2" w:rsidRDefault="008C6A6C" w:rsidP="008C6A6C">
            <w:pPr>
              <w:pStyle w:val="NoSpacing"/>
              <w:rPr>
                <w:lang w:val="en-GB"/>
              </w:rPr>
            </w:pPr>
          </w:p>
          <w:p w14:paraId="03386D7E" w14:textId="77777777" w:rsidR="008C6A6C" w:rsidRPr="00D932A2" w:rsidRDefault="008C6A6C" w:rsidP="008C6A6C">
            <w:pPr>
              <w:pStyle w:val="NoSpacing"/>
              <w:rPr>
                <w:i/>
                <w:lang w:val="en-GB"/>
              </w:rPr>
            </w:pPr>
            <w:r w:rsidRPr="00D932A2">
              <w:rPr>
                <w:lang w:val="en-GB"/>
              </w:rPr>
              <w:t xml:space="preserve">The objective of the FLI is to estimate losses at the national level from production to the retail level in line with the Food Balance Sheet conceptual framework. Using the index notation, these percentage losses are the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ijt</m:t>
                  </m:r>
                </m:sub>
              </m:sSub>
            </m:oMath>
            <w:r w:rsidRPr="00D932A2">
              <w:rPr>
                <w:lang w:val="en-GB"/>
              </w:rPr>
              <w:t xml:space="preserve"> where:</w:t>
            </w:r>
          </w:p>
          <w:p w14:paraId="26CD3478" w14:textId="77777777" w:rsidR="008C6A6C" w:rsidRPr="00D932A2" w:rsidRDefault="008C6A6C" w:rsidP="008C6A6C">
            <w:pPr>
              <w:pStyle w:val="NoSpacing"/>
              <w:rPr>
                <w:lang w:val="en-GB"/>
              </w:rPr>
            </w:pPr>
          </w:p>
          <w:p w14:paraId="2962B431" w14:textId="77777777" w:rsidR="008C6A6C" w:rsidRPr="00D932A2" w:rsidRDefault="004B4A24" w:rsidP="008C6A6C">
            <w:pPr>
              <w:pStyle w:val="NoSpacing"/>
              <w:rPr>
                <w:lang w:val="en-GB"/>
              </w:rPr>
            </w:pP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ijt</m:t>
                  </m:r>
                </m:sub>
              </m:sSub>
            </m:oMath>
            <w:r w:rsidR="008C6A6C" w:rsidRPr="00D932A2">
              <w:rPr>
                <w:lang w:val="en-GB"/>
              </w:rPr>
              <w:t xml:space="preserve"> is the loss percentage (estimated or observed) of commodity j in country i year t </w:t>
            </w:r>
          </w:p>
          <w:p w14:paraId="4AA7890D" w14:textId="77777777" w:rsidR="008C6A6C" w:rsidRPr="00D932A2" w:rsidRDefault="008C6A6C" w:rsidP="008C6A6C">
            <w:pPr>
              <w:pStyle w:val="NoSpacing"/>
              <w:rPr>
                <w:lang w:val="en-GB"/>
              </w:rPr>
            </w:pPr>
          </w:p>
          <w:p w14:paraId="18419BFB" w14:textId="77777777" w:rsidR="008C6A6C" w:rsidRPr="00D932A2" w:rsidRDefault="008C6A6C" w:rsidP="008C6A6C">
            <w:pPr>
              <w:pStyle w:val="NoSpacing"/>
              <w:rPr>
                <w:lang w:val="en-GB"/>
              </w:rPr>
            </w:pPr>
            <w:r w:rsidRPr="00D932A2">
              <w:rPr>
                <w:lang w:val="en-GB"/>
              </w:rPr>
              <w:lastRenderedPageBreak/>
              <w:t>When losses are not estimated for the entire tract of the supply chain, they can be broken by stage of the value chain. It is expected that the losses at each stage of the value chain are nationally representative, but that there are underlying distributions of different actors at each stage. The best method for estimating losses and ensuring comparability across stages and time is a sample survey using objective measurement.</w:t>
            </w:r>
          </w:p>
          <w:p w14:paraId="2809A103" w14:textId="77777777" w:rsidR="008C6A6C" w:rsidRPr="00D932A2" w:rsidRDefault="008C6A6C" w:rsidP="008C6A6C">
            <w:pPr>
              <w:pStyle w:val="NoSpacing"/>
              <w:rPr>
                <w:lang w:val="en-GB"/>
              </w:rPr>
            </w:pPr>
          </w:p>
          <w:p w14:paraId="1472A5BE" w14:textId="77777777" w:rsidR="008C6A6C" w:rsidRPr="00D932A2" w:rsidRDefault="008C6A6C" w:rsidP="008C6A6C">
            <w:pPr>
              <w:pStyle w:val="NoSpacing"/>
              <w:rPr>
                <w:lang w:val="en-GB"/>
              </w:rPr>
            </w:pPr>
            <w:r w:rsidRPr="00D932A2">
              <w:rPr>
                <w:noProof/>
                <w:lang w:bidi="bn-BD"/>
              </w:rPr>
              <w:drawing>
                <wp:inline distT="0" distB="0" distL="0" distR="0" wp14:anchorId="043FA8DE" wp14:editId="55FC7CF5">
                  <wp:extent cx="2914650" cy="657225"/>
                  <wp:effectExtent l="19050" t="0" r="38100" b="0"/>
                  <wp:docPr id="1276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D4D1F9A" w14:textId="77777777" w:rsidR="008C6A6C" w:rsidRPr="00D932A2" w:rsidRDefault="008C6A6C" w:rsidP="008C6A6C">
            <w:pPr>
              <w:pStyle w:val="NoSpacing"/>
              <w:rPr>
                <w:lang w:val="en-GB"/>
              </w:rPr>
            </w:pPr>
            <w:r w:rsidRPr="00D932A2">
              <w:rPr>
                <w:lang w:val="en-GB"/>
              </w:rPr>
              <w:t xml:space="preserve">A simplified process is proposed to standardize losses and aggregate losses along the supply chain to obtain the overall percentage of production that does not reach the retail stage. The process assumes that </w:t>
            </w:r>
            <w:r w:rsidRPr="00D932A2">
              <w:rPr>
                <w:i/>
                <w:lang w:val="en-GB"/>
              </w:rPr>
              <w:t xml:space="preserve">measured </w:t>
            </w:r>
            <w:r w:rsidRPr="00D932A2">
              <w:rPr>
                <w:lang w:val="en-GB"/>
              </w:rPr>
              <w:t>losses at each point are independent of each other and works in the following way:</w:t>
            </w:r>
          </w:p>
          <w:p w14:paraId="62C2058D" w14:textId="77777777" w:rsidR="008C6A6C" w:rsidRPr="00D932A2" w:rsidRDefault="008C6A6C" w:rsidP="008C6A6C">
            <w:pPr>
              <w:pStyle w:val="NoSpacing"/>
              <w:numPr>
                <w:ilvl w:val="0"/>
                <w:numId w:val="138"/>
              </w:numPr>
              <w:rPr>
                <w:lang w:val="en-GB"/>
              </w:rPr>
            </w:pPr>
            <w:r w:rsidRPr="00D932A2">
              <w:rPr>
                <w:lang w:val="en-GB"/>
              </w:rPr>
              <w:t>The percentage along the stages in the supply chain are applied to a reference quantity and subtracted from the remainder of the previous stage’s amount. This enables to take into account imports at the various stages of the supply chain (primary products at wholesale level, semi-processed products for further processing, etc.).</w:t>
            </w:r>
          </w:p>
          <w:p w14:paraId="485BCB50" w14:textId="77777777" w:rsidR="008C6A6C" w:rsidRPr="00D932A2" w:rsidRDefault="008C6A6C" w:rsidP="008C6A6C">
            <w:pPr>
              <w:pStyle w:val="NoSpacing"/>
              <w:numPr>
                <w:ilvl w:val="0"/>
                <w:numId w:val="138"/>
              </w:numPr>
              <w:rPr>
                <w:lang w:val="en-GB"/>
              </w:rPr>
            </w:pPr>
            <w:r w:rsidRPr="00D932A2">
              <w:rPr>
                <w:lang w:val="en-GB"/>
              </w:rPr>
              <w:t xml:space="preserve">At the end of the supply chain the remainder is then divided by the original reference quantity to convert back to a percentage. </w:t>
            </w:r>
          </w:p>
          <w:p w14:paraId="049394C8" w14:textId="77777777" w:rsidR="008C6A6C" w:rsidRPr="00D932A2" w:rsidRDefault="008C6A6C" w:rsidP="008C6A6C">
            <w:pPr>
              <w:pStyle w:val="NoSpacing"/>
              <w:rPr>
                <w:lang w:val="en-GB"/>
              </w:rPr>
            </w:pPr>
          </w:p>
          <w:p w14:paraId="2CBF7288" w14:textId="77777777" w:rsidR="008C6A6C" w:rsidRPr="00D932A2" w:rsidRDefault="008C6A6C" w:rsidP="008C6A6C">
            <w:pPr>
              <w:pStyle w:val="NoSpacing"/>
              <w:rPr>
                <w:lang w:val="en-GB"/>
              </w:rPr>
            </w:pPr>
            <w:r w:rsidRPr="00D932A2">
              <w:rPr>
                <w:lang w:val="en-GB"/>
              </w:rPr>
              <w:t xml:space="preserve"> </w:t>
            </w:r>
          </w:p>
          <w:tbl>
            <w:tblPr>
              <w:tblW w:w="7101" w:type="dxa"/>
              <w:tblLook w:val="04A0" w:firstRow="1" w:lastRow="0" w:firstColumn="1" w:lastColumn="0" w:noHBand="0" w:noVBand="1"/>
            </w:tblPr>
            <w:tblGrid>
              <w:gridCol w:w="1708"/>
              <w:gridCol w:w="917"/>
              <w:gridCol w:w="1118"/>
              <w:gridCol w:w="977"/>
              <w:gridCol w:w="1172"/>
              <w:gridCol w:w="1209"/>
            </w:tblGrid>
            <w:tr w:rsidR="008C6A6C" w:rsidRPr="00D932A2" w14:paraId="48177443" w14:textId="77777777" w:rsidTr="000618B2">
              <w:trPr>
                <w:trHeight w:val="292"/>
              </w:trPr>
              <w:tc>
                <w:tcPr>
                  <w:tcW w:w="1708" w:type="dxa"/>
                  <w:tcBorders>
                    <w:top w:val="single" w:sz="4" w:space="0" w:color="auto"/>
                    <w:left w:val="single" w:sz="4" w:space="0" w:color="auto"/>
                    <w:bottom w:val="single" w:sz="4" w:space="0" w:color="auto"/>
                    <w:right w:val="single" w:sz="4" w:space="0" w:color="auto"/>
                  </w:tcBorders>
                  <w:noWrap/>
                  <w:vAlign w:val="center"/>
                  <w:hideMark/>
                </w:tcPr>
                <w:p w14:paraId="479995E3" w14:textId="77777777" w:rsidR="008C6A6C" w:rsidRPr="00D932A2" w:rsidRDefault="008C6A6C" w:rsidP="008C6A6C">
                  <w:pPr>
                    <w:pStyle w:val="NoSpacing"/>
                    <w:rPr>
                      <w:lang w:val="en-GB"/>
                    </w:rPr>
                  </w:pPr>
                  <w:r w:rsidRPr="00D932A2">
                    <w:rPr>
                      <w:lang w:val="en-GB"/>
                    </w:rPr>
                    <w:t>Starting Amount - Agriculture production</w:t>
                  </w:r>
                </w:p>
              </w:tc>
              <w:tc>
                <w:tcPr>
                  <w:tcW w:w="2035" w:type="dxa"/>
                  <w:gridSpan w:val="2"/>
                  <w:tcBorders>
                    <w:top w:val="single" w:sz="4" w:space="0" w:color="auto"/>
                    <w:left w:val="nil"/>
                    <w:bottom w:val="single" w:sz="4" w:space="0" w:color="auto"/>
                    <w:right w:val="single" w:sz="4" w:space="0" w:color="auto"/>
                  </w:tcBorders>
                  <w:noWrap/>
                  <w:vAlign w:val="center"/>
                  <w:hideMark/>
                </w:tcPr>
                <w:p w14:paraId="6A17EE11" w14:textId="77777777" w:rsidR="008C6A6C" w:rsidRPr="00D932A2" w:rsidRDefault="008C6A6C" w:rsidP="008C6A6C">
                  <w:pPr>
                    <w:pStyle w:val="NoSpacing"/>
                    <w:rPr>
                      <w:lang w:val="en-GB"/>
                    </w:rPr>
                  </w:pPr>
                  <w:r w:rsidRPr="00D932A2">
                    <w:rPr>
                      <w:lang w:val="en-GB"/>
                    </w:rPr>
                    <w:t>1000</w:t>
                  </w:r>
                </w:p>
              </w:tc>
              <w:tc>
                <w:tcPr>
                  <w:tcW w:w="3357" w:type="dxa"/>
                  <w:gridSpan w:val="3"/>
                  <w:tcBorders>
                    <w:top w:val="single" w:sz="4" w:space="0" w:color="auto"/>
                    <w:left w:val="nil"/>
                    <w:bottom w:val="single" w:sz="4" w:space="0" w:color="auto"/>
                    <w:right w:val="single" w:sz="4" w:space="0" w:color="auto"/>
                  </w:tcBorders>
                  <w:noWrap/>
                  <w:vAlign w:val="center"/>
                  <w:hideMark/>
                </w:tcPr>
                <w:p w14:paraId="331502C1" w14:textId="77777777" w:rsidR="008C6A6C" w:rsidRPr="00D932A2" w:rsidRDefault="008C6A6C" w:rsidP="008C6A6C">
                  <w:pPr>
                    <w:pStyle w:val="NoSpacing"/>
                    <w:rPr>
                      <w:lang w:val="en-GB"/>
                    </w:rPr>
                  </w:pPr>
                  <w:r w:rsidRPr="00D932A2">
                    <w:rPr>
                      <w:lang w:val="en-GB"/>
                    </w:rPr>
                    <w:t> </w:t>
                  </w:r>
                </w:p>
              </w:tc>
            </w:tr>
            <w:tr w:rsidR="008C6A6C" w:rsidRPr="00D932A2" w14:paraId="4B4C649E" w14:textId="77777777" w:rsidTr="000618B2">
              <w:trPr>
                <w:trHeight w:val="292"/>
              </w:trPr>
              <w:tc>
                <w:tcPr>
                  <w:tcW w:w="1708" w:type="dxa"/>
                  <w:vMerge w:val="restart"/>
                  <w:tcBorders>
                    <w:top w:val="nil"/>
                    <w:left w:val="single" w:sz="4" w:space="0" w:color="auto"/>
                    <w:bottom w:val="single" w:sz="4" w:space="0" w:color="auto"/>
                    <w:right w:val="single" w:sz="4" w:space="0" w:color="auto"/>
                  </w:tcBorders>
                  <w:noWrap/>
                  <w:vAlign w:val="center"/>
                </w:tcPr>
                <w:p w14:paraId="46D4197D" w14:textId="77777777" w:rsidR="008C6A6C" w:rsidRPr="00D932A2" w:rsidRDefault="008C6A6C" w:rsidP="008C6A6C">
                  <w:pPr>
                    <w:pStyle w:val="NoSpacing"/>
                    <w:rPr>
                      <w:lang w:val="en-GB"/>
                    </w:rPr>
                  </w:pPr>
                </w:p>
                <w:p w14:paraId="51E2A082" w14:textId="77777777" w:rsidR="008C6A6C" w:rsidRPr="00D932A2" w:rsidRDefault="008C6A6C" w:rsidP="008C6A6C">
                  <w:pPr>
                    <w:pStyle w:val="NoSpacing"/>
                    <w:rPr>
                      <w:lang w:val="en-GB"/>
                    </w:rPr>
                  </w:pPr>
                  <w:r w:rsidRPr="00D932A2">
                    <w:rPr>
                      <w:lang w:val="en-GB"/>
                    </w:rPr>
                    <w:t>Average Losses (%)</w:t>
                  </w:r>
                </w:p>
              </w:tc>
              <w:tc>
                <w:tcPr>
                  <w:tcW w:w="917" w:type="dxa"/>
                  <w:tcBorders>
                    <w:top w:val="nil"/>
                    <w:left w:val="nil"/>
                    <w:bottom w:val="single" w:sz="4" w:space="0" w:color="auto"/>
                    <w:right w:val="single" w:sz="4" w:space="0" w:color="auto"/>
                  </w:tcBorders>
                  <w:noWrap/>
                  <w:vAlign w:val="center"/>
                  <w:hideMark/>
                </w:tcPr>
                <w:p w14:paraId="7E347BBB" w14:textId="77777777" w:rsidR="008C6A6C" w:rsidRPr="00D932A2" w:rsidRDefault="008C6A6C" w:rsidP="008C6A6C">
                  <w:pPr>
                    <w:pStyle w:val="NoSpacing"/>
                    <w:rPr>
                      <w:lang w:val="en-GB"/>
                    </w:rPr>
                  </w:pPr>
                  <w:r w:rsidRPr="00D932A2">
                    <w:rPr>
                      <w:lang w:val="en-GB"/>
                    </w:rPr>
                    <w:t>Farm</w:t>
                  </w:r>
                </w:p>
              </w:tc>
              <w:tc>
                <w:tcPr>
                  <w:tcW w:w="1117" w:type="dxa"/>
                  <w:tcBorders>
                    <w:top w:val="nil"/>
                    <w:left w:val="nil"/>
                    <w:bottom w:val="single" w:sz="4" w:space="0" w:color="auto"/>
                    <w:right w:val="single" w:sz="4" w:space="0" w:color="auto"/>
                  </w:tcBorders>
                  <w:noWrap/>
                  <w:vAlign w:val="center"/>
                  <w:hideMark/>
                </w:tcPr>
                <w:p w14:paraId="3E7BB357" w14:textId="77777777" w:rsidR="008C6A6C" w:rsidRPr="00D932A2" w:rsidRDefault="008C6A6C" w:rsidP="008C6A6C">
                  <w:pPr>
                    <w:pStyle w:val="NoSpacing"/>
                    <w:rPr>
                      <w:lang w:val="en-GB"/>
                    </w:rPr>
                  </w:pPr>
                  <w:r w:rsidRPr="00D932A2">
                    <w:rPr>
                      <w:lang w:val="en-GB"/>
                    </w:rPr>
                    <w:t>Transport</w:t>
                  </w:r>
                </w:p>
              </w:tc>
              <w:tc>
                <w:tcPr>
                  <w:tcW w:w="977" w:type="dxa"/>
                  <w:tcBorders>
                    <w:top w:val="nil"/>
                    <w:left w:val="nil"/>
                    <w:bottom w:val="single" w:sz="4" w:space="0" w:color="auto"/>
                    <w:right w:val="single" w:sz="4" w:space="0" w:color="auto"/>
                  </w:tcBorders>
                  <w:noWrap/>
                  <w:vAlign w:val="center"/>
                  <w:hideMark/>
                </w:tcPr>
                <w:p w14:paraId="2A9BD491" w14:textId="77777777" w:rsidR="008C6A6C" w:rsidRPr="00D932A2" w:rsidRDefault="008C6A6C" w:rsidP="008C6A6C">
                  <w:pPr>
                    <w:pStyle w:val="NoSpacing"/>
                    <w:rPr>
                      <w:lang w:val="en-GB"/>
                    </w:rPr>
                  </w:pPr>
                  <w:r w:rsidRPr="00D932A2">
                    <w:rPr>
                      <w:lang w:val="en-GB"/>
                    </w:rPr>
                    <w:t>Storage</w:t>
                  </w:r>
                </w:p>
              </w:tc>
              <w:tc>
                <w:tcPr>
                  <w:tcW w:w="1172" w:type="dxa"/>
                  <w:tcBorders>
                    <w:top w:val="nil"/>
                    <w:left w:val="nil"/>
                    <w:bottom w:val="single" w:sz="4" w:space="0" w:color="auto"/>
                    <w:right w:val="single" w:sz="4" w:space="0" w:color="auto"/>
                  </w:tcBorders>
                  <w:noWrap/>
                  <w:vAlign w:val="center"/>
                  <w:hideMark/>
                </w:tcPr>
                <w:p w14:paraId="37368EDA" w14:textId="77777777" w:rsidR="008C6A6C" w:rsidRPr="00D932A2" w:rsidRDefault="008C6A6C" w:rsidP="008C6A6C">
                  <w:pPr>
                    <w:pStyle w:val="NoSpacing"/>
                    <w:rPr>
                      <w:lang w:val="en-GB"/>
                    </w:rPr>
                  </w:pPr>
                  <w:r w:rsidRPr="00D932A2">
                    <w:rPr>
                      <w:lang w:val="en-GB"/>
                    </w:rPr>
                    <w:t>Wholesale</w:t>
                  </w:r>
                </w:p>
              </w:tc>
              <w:tc>
                <w:tcPr>
                  <w:tcW w:w="1206" w:type="dxa"/>
                  <w:tcBorders>
                    <w:top w:val="nil"/>
                    <w:left w:val="nil"/>
                    <w:bottom w:val="single" w:sz="4" w:space="0" w:color="auto"/>
                    <w:right w:val="single" w:sz="4" w:space="0" w:color="auto"/>
                  </w:tcBorders>
                  <w:noWrap/>
                  <w:vAlign w:val="center"/>
                  <w:hideMark/>
                </w:tcPr>
                <w:p w14:paraId="4313024F" w14:textId="3988F304" w:rsidR="008C6A6C" w:rsidRPr="00D932A2" w:rsidRDefault="00D509E5" w:rsidP="008C6A6C">
                  <w:pPr>
                    <w:pStyle w:val="NoSpacing"/>
                    <w:rPr>
                      <w:lang w:val="en-GB"/>
                    </w:rPr>
                  </w:pPr>
                  <w:r w:rsidRPr="00D932A2">
                    <w:rPr>
                      <w:noProof/>
                      <w:lang w:bidi="bn-BD"/>
                    </w:rPr>
                    <mc:AlternateContent>
                      <mc:Choice Requires="wps">
                        <w:drawing>
                          <wp:anchor distT="0" distB="0" distL="114300" distR="114300" simplePos="0" relativeHeight="251605504" behindDoc="1" locked="0" layoutInCell="1" allowOverlap="1" wp14:anchorId="474E8251" wp14:editId="5252AB27">
                            <wp:simplePos x="0" y="0"/>
                            <wp:positionH relativeFrom="column">
                              <wp:posOffset>10795</wp:posOffset>
                            </wp:positionH>
                            <wp:positionV relativeFrom="paragraph">
                              <wp:posOffset>79375</wp:posOffset>
                            </wp:positionV>
                            <wp:extent cx="471170" cy="412750"/>
                            <wp:effectExtent l="19050" t="0" r="43180" b="25400"/>
                            <wp:wrapNone/>
                            <wp:docPr id="4958" name="Chevron 4958"/>
                            <wp:cNvGraphicFramePr/>
                            <a:graphic xmlns:a="http://schemas.openxmlformats.org/drawingml/2006/main">
                              <a:graphicData uri="http://schemas.microsoft.com/office/word/2010/wordprocessingShape">
                                <wps:wsp>
                                  <wps:cNvSpPr/>
                                  <wps:spPr>
                                    <a:xfrm>
                                      <a:off x="0" y="0"/>
                                      <a:ext cx="471170" cy="412750"/>
                                    </a:xfrm>
                                    <a:prstGeom prst="chevron">
                                      <a:avLst>
                                        <a:gd name="adj" fmla="val 4000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1AF76B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958" o:spid="_x0000_s1026" type="#_x0000_t55" style="position:absolute;margin-left:.85pt;margin-top:6.25pt;width:37.1pt;height: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" adj="14031" fillcolor="#4f81bd [3204]" strokecolor="white [3201]" strokeweight="2pt"/>
                        </w:pict>
                      </mc:Fallback>
                    </mc:AlternateContent>
                  </w:r>
                  <w:r w:rsidR="008C6A6C" w:rsidRPr="00D932A2">
                    <w:rPr>
                      <w:lang w:val="en-GB"/>
                    </w:rPr>
                    <w:t>Processing</w:t>
                  </w:r>
                </w:p>
              </w:tc>
            </w:tr>
            <w:tr w:rsidR="008C6A6C" w:rsidRPr="00D932A2" w14:paraId="513F23CD" w14:textId="77777777" w:rsidTr="000618B2">
              <w:trPr>
                <w:trHeight w:val="292"/>
              </w:trPr>
              <w:tc>
                <w:tcPr>
                  <w:tcW w:w="1708" w:type="dxa"/>
                  <w:vMerge/>
                  <w:tcBorders>
                    <w:top w:val="nil"/>
                    <w:left w:val="single" w:sz="4" w:space="0" w:color="auto"/>
                    <w:bottom w:val="single" w:sz="4" w:space="0" w:color="auto"/>
                    <w:right w:val="single" w:sz="4" w:space="0" w:color="auto"/>
                  </w:tcBorders>
                  <w:vAlign w:val="center"/>
                  <w:hideMark/>
                </w:tcPr>
                <w:p w14:paraId="4CBCEC05" w14:textId="77777777" w:rsidR="008C6A6C" w:rsidRPr="00D932A2" w:rsidRDefault="008C6A6C" w:rsidP="008C6A6C">
                  <w:pPr>
                    <w:pStyle w:val="NoSpacing"/>
                    <w:rPr>
                      <w:lang w:val="en-GB"/>
                    </w:rPr>
                  </w:pPr>
                </w:p>
              </w:tc>
              <w:tc>
                <w:tcPr>
                  <w:tcW w:w="917" w:type="dxa"/>
                  <w:tcBorders>
                    <w:top w:val="nil"/>
                    <w:left w:val="nil"/>
                    <w:bottom w:val="single" w:sz="4" w:space="0" w:color="auto"/>
                    <w:right w:val="single" w:sz="4" w:space="0" w:color="auto"/>
                  </w:tcBorders>
                  <w:noWrap/>
                  <w:vAlign w:val="center"/>
                  <w:hideMark/>
                </w:tcPr>
                <w:p w14:paraId="06B767DE" w14:textId="77777777" w:rsidR="008C6A6C" w:rsidRPr="00D932A2" w:rsidRDefault="008C6A6C" w:rsidP="008C6A6C">
                  <w:pPr>
                    <w:pStyle w:val="NoSpacing"/>
                    <w:rPr>
                      <w:lang w:val="en-GB"/>
                    </w:rPr>
                  </w:pPr>
                  <w:r w:rsidRPr="00D932A2">
                    <w:rPr>
                      <w:noProof/>
                      <w:lang w:bidi="bn-BD"/>
                    </w:rPr>
                    <mc:AlternateContent>
                      <mc:Choice Requires="wps">
                        <w:drawing>
                          <wp:anchor distT="0" distB="0" distL="114300" distR="114300" simplePos="0" relativeHeight="251596288" behindDoc="1" locked="0" layoutInCell="1" allowOverlap="1" wp14:anchorId="7D18A074" wp14:editId="487CE370">
                            <wp:simplePos x="0" y="0"/>
                            <wp:positionH relativeFrom="column">
                              <wp:posOffset>-76835</wp:posOffset>
                            </wp:positionH>
                            <wp:positionV relativeFrom="paragraph">
                              <wp:posOffset>-200660</wp:posOffset>
                            </wp:positionV>
                            <wp:extent cx="842645" cy="412750"/>
                            <wp:effectExtent l="19050" t="0" r="33655" b="25400"/>
                            <wp:wrapNone/>
                            <wp:docPr id="4954" name="Chevron 4954"/>
                            <wp:cNvGraphicFramePr/>
                            <a:graphic xmlns:a="http://schemas.openxmlformats.org/drawingml/2006/main">
                              <a:graphicData uri="http://schemas.microsoft.com/office/word/2010/wordprocessingShape">
                                <wps:wsp>
                                  <wps:cNvSpPr/>
                                  <wps:spPr>
                                    <a:xfrm>
                                      <a:off x="0" y="0"/>
                                      <a:ext cx="842645" cy="412750"/>
                                    </a:xfrm>
                                    <a:prstGeom prst="chevron">
                                      <a:avLst>
                                        <a:gd name="adj" fmla="val 4000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82D54F" id="Chevron 4954" o:spid="_x0000_s1026" type="#_x0000_t55" style="position:absolute;margin-left:-6.05pt;margin-top:-15.8pt;width:66.35pt;height:3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" adj="17368" fillcolor="#4f81bd [3204]" strokecolor="white [3201]" strokeweight="2pt"/>
                        </w:pict>
                      </mc:Fallback>
                    </mc:AlternateContent>
                  </w:r>
                  <w:r w:rsidRPr="00D932A2">
                    <w:rPr>
                      <w:lang w:val="en-GB"/>
                    </w:rPr>
                    <w:t>7.3</w:t>
                  </w:r>
                </w:p>
              </w:tc>
              <w:tc>
                <w:tcPr>
                  <w:tcW w:w="1117" w:type="dxa"/>
                  <w:tcBorders>
                    <w:top w:val="nil"/>
                    <w:left w:val="nil"/>
                    <w:bottom w:val="single" w:sz="4" w:space="0" w:color="auto"/>
                    <w:right w:val="single" w:sz="4" w:space="0" w:color="auto"/>
                  </w:tcBorders>
                  <w:noWrap/>
                  <w:vAlign w:val="center"/>
                  <w:hideMark/>
                </w:tcPr>
                <w:p w14:paraId="45186047" w14:textId="77777777" w:rsidR="008C6A6C" w:rsidRPr="00D932A2" w:rsidRDefault="008C6A6C" w:rsidP="008C6A6C">
                  <w:pPr>
                    <w:pStyle w:val="NoSpacing"/>
                    <w:rPr>
                      <w:lang w:val="en-GB"/>
                    </w:rPr>
                  </w:pPr>
                  <w:r w:rsidRPr="00D932A2">
                    <w:rPr>
                      <w:noProof/>
                      <w:lang w:bidi="bn-BD"/>
                    </w:rPr>
                    <mc:AlternateContent>
                      <mc:Choice Requires="wps">
                        <w:drawing>
                          <wp:anchor distT="0" distB="0" distL="114300" distR="114300" simplePos="0" relativeHeight="251593216" behindDoc="1" locked="0" layoutInCell="1" allowOverlap="1" wp14:anchorId="3E561971" wp14:editId="7A2E2B95">
                            <wp:simplePos x="0" y="0"/>
                            <wp:positionH relativeFrom="column">
                              <wp:posOffset>-67945</wp:posOffset>
                            </wp:positionH>
                            <wp:positionV relativeFrom="paragraph">
                              <wp:posOffset>-194310</wp:posOffset>
                            </wp:positionV>
                            <wp:extent cx="842645" cy="412750"/>
                            <wp:effectExtent l="19050" t="0" r="33655" b="25400"/>
                            <wp:wrapNone/>
                            <wp:docPr id="4955" name="Chevron 4955"/>
                            <wp:cNvGraphicFramePr/>
                            <a:graphic xmlns:a="http://schemas.openxmlformats.org/drawingml/2006/main">
                              <a:graphicData uri="http://schemas.microsoft.com/office/word/2010/wordprocessingShape">
                                <wps:wsp>
                                  <wps:cNvSpPr/>
                                  <wps:spPr>
                                    <a:xfrm>
                                      <a:off x="0" y="0"/>
                                      <a:ext cx="842645" cy="412750"/>
                                    </a:xfrm>
                                    <a:prstGeom prst="chevron">
                                      <a:avLst>
                                        <a:gd name="adj" fmla="val 4000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071897" id="Chevron 4955" o:spid="_x0000_s1026" type="#_x0000_t55" style="position:absolute;margin-left:-5.35pt;margin-top:-15.3pt;width:66.35pt;height:3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" adj="17368" fillcolor="#4f81bd [3204]" strokecolor="white [3201]" strokeweight="2pt"/>
                        </w:pict>
                      </mc:Fallback>
                    </mc:AlternateContent>
                  </w:r>
                  <w:r w:rsidRPr="00D932A2">
                    <w:rPr>
                      <w:lang w:val="en-GB"/>
                    </w:rPr>
                    <w:t>1.5</w:t>
                  </w:r>
                </w:p>
              </w:tc>
              <w:tc>
                <w:tcPr>
                  <w:tcW w:w="977" w:type="dxa"/>
                  <w:tcBorders>
                    <w:top w:val="nil"/>
                    <w:left w:val="nil"/>
                    <w:bottom w:val="single" w:sz="4" w:space="0" w:color="auto"/>
                    <w:right w:val="single" w:sz="4" w:space="0" w:color="auto"/>
                  </w:tcBorders>
                  <w:noWrap/>
                  <w:vAlign w:val="center"/>
                  <w:hideMark/>
                </w:tcPr>
                <w:p w14:paraId="53325936" w14:textId="77777777" w:rsidR="008C6A6C" w:rsidRPr="00D932A2" w:rsidRDefault="008C6A6C" w:rsidP="008C6A6C">
                  <w:pPr>
                    <w:pStyle w:val="NoSpacing"/>
                    <w:rPr>
                      <w:lang w:val="en-GB"/>
                    </w:rPr>
                  </w:pPr>
                  <w:r w:rsidRPr="00D932A2">
                    <w:rPr>
                      <w:noProof/>
                      <w:lang w:bidi="bn-BD"/>
                    </w:rPr>
                    <mc:AlternateContent>
                      <mc:Choice Requires="wps">
                        <w:drawing>
                          <wp:anchor distT="0" distB="0" distL="114300" distR="114300" simplePos="0" relativeHeight="251599360" behindDoc="1" locked="0" layoutInCell="1" allowOverlap="1" wp14:anchorId="0AADDAC5" wp14:editId="584AE28C">
                            <wp:simplePos x="0" y="0"/>
                            <wp:positionH relativeFrom="column">
                              <wp:posOffset>-73025</wp:posOffset>
                            </wp:positionH>
                            <wp:positionV relativeFrom="paragraph">
                              <wp:posOffset>-216535</wp:posOffset>
                            </wp:positionV>
                            <wp:extent cx="842645" cy="412750"/>
                            <wp:effectExtent l="19050" t="0" r="33655" b="25400"/>
                            <wp:wrapNone/>
                            <wp:docPr id="4956" name="Chevron 4956"/>
                            <wp:cNvGraphicFramePr/>
                            <a:graphic xmlns:a="http://schemas.openxmlformats.org/drawingml/2006/main">
                              <a:graphicData uri="http://schemas.microsoft.com/office/word/2010/wordprocessingShape">
                                <wps:wsp>
                                  <wps:cNvSpPr/>
                                  <wps:spPr>
                                    <a:xfrm>
                                      <a:off x="0" y="0"/>
                                      <a:ext cx="842645" cy="412750"/>
                                    </a:xfrm>
                                    <a:prstGeom prst="chevron">
                                      <a:avLst>
                                        <a:gd name="adj" fmla="val 4000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8A9A68" id="Chevron 4956" o:spid="_x0000_s1026" type="#_x0000_t55" style="position:absolute;margin-left:-5.75pt;margin-top:-17.05pt;width:66.35pt;height: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" adj="17368" fillcolor="#4f81bd [3204]" strokecolor="white [3201]" strokeweight="2pt"/>
                        </w:pict>
                      </mc:Fallback>
                    </mc:AlternateContent>
                  </w:r>
                  <w:r w:rsidRPr="00D932A2">
                    <w:rPr>
                      <w:lang w:val="en-GB"/>
                    </w:rPr>
                    <w:t>7.7</w:t>
                  </w:r>
                </w:p>
              </w:tc>
              <w:tc>
                <w:tcPr>
                  <w:tcW w:w="1172" w:type="dxa"/>
                  <w:tcBorders>
                    <w:top w:val="nil"/>
                    <w:left w:val="nil"/>
                    <w:bottom w:val="single" w:sz="4" w:space="0" w:color="auto"/>
                    <w:right w:val="single" w:sz="4" w:space="0" w:color="auto"/>
                  </w:tcBorders>
                  <w:noWrap/>
                  <w:vAlign w:val="center"/>
                  <w:hideMark/>
                </w:tcPr>
                <w:p w14:paraId="4D954927" w14:textId="77777777" w:rsidR="008C6A6C" w:rsidRPr="00D932A2" w:rsidRDefault="008C6A6C" w:rsidP="008C6A6C">
                  <w:pPr>
                    <w:pStyle w:val="NoSpacing"/>
                    <w:rPr>
                      <w:lang w:val="en-GB"/>
                    </w:rPr>
                  </w:pPr>
                  <w:r w:rsidRPr="00D932A2">
                    <w:rPr>
                      <w:noProof/>
                      <w:lang w:bidi="bn-BD"/>
                    </w:rPr>
                    <mc:AlternateContent>
                      <mc:Choice Requires="wps">
                        <w:drawing>
                          <wp:anchor distT="0" distB="0" distL="114300" distR="114300" simplePos="0" relativeHeight="251602432" behindDoc="1" locked="0" layoutInCell="1" allowOverlap="1" wp14:anchorId="20B7B1E3" wp14:editId="4BE1F298">
                            <wp:simplePos x="0" y="0"/>
                            <wp:positionH relativeFrom="column">
                              <wp:posOffset>-21590</wp:posOffset>
                            </wp:positionH>
                            <wp:positionV relativeFrom="paragraph">
                              <wp:posOffset>-185420</wp:posOffset>
                            </wp:positionV>
                            <wp:extent cx="842645" cy="412750"/>
                            <wp:effectExtent l="19050" t="0" r="33655" b="25400"/>
                            <wp:wrapNone/>
                            <wp:docPr id="4957" name="Chevron 4957"/>
                            <wp:cNvGraphicFramePr/>
                            <a:graphic xmlns:a="http://schemas.openxmlformats.org/drawingml/2006/main">
                              <a:graphicData uri="http://schemas.microsoft.com/office/word/2010/wordprocessingShape">
                                <wps:wsp>
                                  <wps:cNvSpPr/>
                                  <wps:spPr>
                                    <a:xfrm>
                                      <a:off x="0" y="0"/>
                                      <a:ext cx="842645" cy="412750"/>
                                    </a:xfrm>
                                    <a:prstGeom prst="chevron">
                                      <a:avLst>
                                        <a:gd name="adj" fmla="val 40000"/>
                                      </a:avLst>
                                    </a:prstGeom>
                                    <a:ln>
                                      <a:solidFill>
                                        <a:schemeClr val="accent1">
                                          <a:lumMod val="40000"/>
                                          <a:lumOff val="60000"/>
                                        </a:schemeClr>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3BA77B" id="Chevron 4957" o:spid="_x0000_s1026" type="#_x0000_t55" style="position:absolute;margin-left:-1.7pt;margin-top:-14.6pt;width:66.35pt;height:3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" adj="17368" fillcolor="#4f81bd [3204]" strokecolor="#b8cce4 [1300]" strokeweight="2pt"/>
                        </w:pict>
                      </mc:Fallback>
                    </mc:AlternateContent>
                  </w:r>
                  <w:r w:rsidRPr="00D932A2">
                    <w:rPr>
                      <w:lang w:val="en-GB"/>
                    </w:rPr>
                    <w:t>0</w:t>
                  </w:r>
                </w:p>
              </w:tc>
              <w:tc>
                <w:tcPr>
                  <w:tcW w:w="1206" w:type="dxa"/>
                  <w:tcBorders>
                    <w:top w:val="nil"/>
                    <w:left w:val="nil"/>
                    <w:bottom w:val="single" w:sz="4" w:space="0" w:color="auto"/>
                    <w:right w:val="single" w:sz="4" w:space="0" w:color="auto"/>
                  </w:tcBorders>
                  <w:noWrap/>
                  <w:vAlign w:val="center"/>
                  <w:hideMark/>
                </w:tcPr>
                <w:p w14:paraId="73244384" w14:textId="6E010E27" w:rsidR="008C6A6C" w:rsidRPr="00D932A2" w:rsidRDefault="008C6A6C" w:rsidP="008C6A6C">
                  <w:pPr>
                    <w:pStyle w:val="NoSpacing"/>
                    <w:rPr>
                      <w:lang w:val="en-GB"/>
                    </w:rPr>
                  </w:pPr>
                  <w:r w:rsidRPr="00D932A2">
                    <w:rPr>
                      <w:lang w:val="en-GB"/>
                    </w:rPr>
                    <w:t>3.5</w:t>
                  </w:r>
                </w:p>
              </w:tc>
            </w:tr>
            <w:tr w:rsidR="008C6A6C" w:rsidRPr="00D932A2" w14:paraId="26E80547" w14:textId="77777777" w:rsidTr="000618B2">
              <w:trPr>
                <w:trHeight w:val="292"/>
              </w:trPr>
              <w:tc>
                <w:tcPr>
                  <w:tcW w:w="1708" w:type="dxa"/>
                  <w:tcBorders>
                    <w:top w:val="nil"/>
                    <w:left w:val="single" w:sz="4" w:space="0" w:color="auto"/>
                    <w:bottom w:val="single" w:sz="4" w:space="0" w:color="auto"/>
                    <w:right w:val="single" w:sz="4" w:space="0" w:color="auto"/>
                  </w:tcBorders>
                  <w:noWrap/>
                  <w:vAlign w:val="center"/>
                  <w:hideMark/>
                </w:tcPr>
                <w:p w14:paraId="7E4D4B42" w14:textId="77777777" w:rsidR="008C6A6C" w:rsidRPr="00D932A2" w:rsidRDefault="008C6A6C" w:rsidP="008C6A6C">
                  <w:pPr>
                    <w:pStyle w:val="NoSpacing"/>
                    <w:rPr>
                      <w:lang w:val="en-GB"/>
                    </w:rPr>
                  </w:pPr>
                  <w:r w:rsidRPr="00D932A2">
                    <w:rPr>
                      <w:lang w:val="en-GB"/>
                    </w:rPr>
                    <w:t>Amount Lost</w:t>
                  </w:r>
                </w:p>
              </w:tc>
              <w:tc>
                <w:tcPr>
                  <w:tcW w:w="917" w:type="dxa"/>
                  <w:tcBorders>
                    <w:top w:val="nil"/>
                    <w:left w:val="nil"/>
                    <w:bottom w:val="single" w:sz="4" w:space="0" w:color="auto"/>
                    <w:right w:val="single" w:sz="4" w:space="0" w:color="auto"/>
                  </w:tcBorders>
                  <w:noWrap/>
                  <w:vAlign w:val="center"/>
                  <w:hideMark/>
                </w:tcPr>
                <w:p w14:paraId="764D105E" w14:textId="77777777" w:rsidR="008C6A6C" w:rsidRPr="00D932A2" w:rsidRDefault="008C6A6C" w:rsidP="008C6A6C">
                  <w:pPr>
                    <w:pStyle w:val="NoSpacing"/>
                    <w:rPr>
                      <w:lang w:val="en-GB"/>
                    </w:rPr>
                  </w:pPr>
                  <w:r w:rsidRPr="00D932A2">
                    <w:rPr>
                      <w:lang w:val="en-GB"/>
                    </w:rPr>
                    <w:t>73</w:t>
                  </w:r>
                </w:p>
              </w:tc>
              <w:tc>
                <w:tcPr>
                  <w:tcW w:w="1117" w:type="dxa"/>
                  <w:tcBorders>
                    <w:top w:val="nil"/>
                    <w:left w:val="nil"/>
                    <w:bottom w:val="single" w:sz="4" w:space="0" w:color="auto"/>
                    <w:right w:val="single" w:sz="4" w:space="0" w:color="auto"/>
                  </w:tcBorders>
                  <w:noWrap/>
                  <w:vAlign w:val="center"/>
                  <w:hideMark/>
                </w:tcPr>
                <w:p w14:paraId="0579EDD9" w14:textId="77777777" w:rsidR="008C6A6C" w:rsidRPr="00D932A2" w:rsidRDefault="008C6A6C" w:rsidP="008C6A6C">
                  <w:pPr>
                    <w:pStyle w:val="NoSpacing"/>
                    <w:rPr>
                      <w:lang w:val="en-GB"/>
                    </w:rPr>
                  </w:pPr>
                  <w:r w:rsidRPr="00D932A2">
                    <w:rPr>
                      <w:lang w:val="en-GB"/>
                    </w:rPr>
                    <w:t>13.905</w:t>
                  </w:r>
                </w:p>
              </w:tc>
              <w:tc>
                <w:tcPr>
                  <w:tcW w:w="977" w:type="dxa"/>
                  <w:tcBorders>
                    <w:top w:val="nil"/>
                    <w:left w:val="nil"/>
                    <w:bottom w:val="single" w:sz="4" w:space="0" w:color="auto"/>
                    <w:right w:val="single" w:sz="4" w:space="0" w:color="auto"/>
                  </w:tcBorders>
                  <w:noWrap/>
                  <w:vAlign w:val="center"/>
                  <w:hideMark/>
                </w:tcPr>
                <w:p w14:paraId="31A64F83" w14:textId="77777777" w:rsidR="008C6A6C" w:rsidRPr="00D932A2" w:rsidRDefault="008C6A6C" w:rsidP="008C6A6C">
                  <w:pPr>
                    <w:pStyle w:val="NoSpacing"/>
                    <w:rPr>
                      <w:lang w:val="en-GB"/>
                    </w:rPr>
                  </w:pPr>
                  <w:r w:rsidRPr="00D932A2">
                    <w:rPr>
                      <w:lang w:val="en-GB"/>
                    </w:rPr>
                    <w:t>70.308</w:t>
                  </w:r>
                </w:p>
              </w:tc>
              <w:tc>
                <w:tcPr>
                  <w:tcW w:w="1172" w:type="dxa"/>
                  <w:tcBorders>
                    <w:top w:val="nil"/>
                    <w:left w:val="nil"/>
                    <w:bottom w:val="single" w:sz="4" w:space="0" w:color="auto"/>
                    <w:right w:val="single" w:sz="4" w:space="0" w:color="auto"/>
                  </w:tcBorders>
                  <w:noWrap/>
                  <w:vAlign w:val="center"/>
                  <w:hideMark/>
                </w:tcPr>
                <w:p w14:paraId="54451879" w14:textId="77777777" w:rsidR="008C6A6C" w:rsidRPr="00D932A2" w:rsidRDefault="008C6A6C" w:rsidP="008C6A6C">
                  <w:pPr>
                    <w:pStyle w:val="NoSpacing"/>
                    <w:rPr>
                      <w:lang w:val="en-GB"/>
                    </w:rPr>
                  </w:pPr>
                  <w:r w:rsidRPr="00D932A2">
                    <w:rPr>
                      <w:lang w:val="en-GB"/>
                    </w:rPr>
                    <w:t>0</w:t>
                  </w:r>
                </w:p>
              </w:tc>
              <w:tc>
                <w:tcPr>
                  <w:tcW w:w="1206" w:type="dxa"/>
                  <w:tcBorders>
                    <w:top w:val="nil"/>
                    <w:left w:val="nil"/>
                    <w:bottom w:val="single" w:sz="4" w:space="0" w:color="auto"/>
                    <w:right w:val="single" w:sz="4" w:space="0" w:color="auto"/>
                  </w:tcBorders>
                  <w:noWrap/>
                  <w:vAlign w:val="center"/>
                  <w:hideMark/>
                </w:tcPr>
                <w:p w14:paraId="79C8C986" w14:textId="77777777" w:rsidR="008C6A6C" w:rsidRPr="00D932A2" w:rsidRDefault="008C6A6C" w:rsidP="008C6A6C">
                  <w:pPr>
                    <w:pStyle w:val="NoSpacing"/>
                    <w:rPr>
                      <w:lang w:val="en-GB"/>
                    </w:rPr>
                  </w:pPr>
                  <w:r w:rsidRPr="00D932A2">
                    <w:rPr>
                      <w:lang w:val="en-GB"/>
                    </w:rPr>
                    <w:t>29.497</w:t>
                  </w:r>
                </w:p>
              </w:tc>
            </w:tr>
            <w:tr w:rsidR="008C6A6C" w:rsidRPr="00D932A2" w14:paraId="1435925E" w14:textId="77777777" w:rsidTr="000618B2">
              <w:trPr>
                <w:trHeight w:val="292"/>
              </w:trPr>
              <w:tc>
                <w:tcPr>
                  <w:tcW w:w="1708" w:type="dxa"/>
                  <w:tcBorders>
                    <w:top w:val="nil"/>
                    <w:left w:val="single" w:sz="4" w:space="0" w:color="auto"/>
                    <w:bottom w:val="single" w:sz="4" w:space="0" w:color="auto"/>
                    <w:right w:val="single" w:sz="4" w:space="0" w:color="auto"/>
                  </w:tcBorders>
                  <w:noWrap/>
                  <w:vAlign w:val="center"/>
                  <w:hideMark/>
                </w:tcPr>
                <w:p w14:paraId="2E1F4857" w14:textId="77777777" w:rsidR="008C6A6C" w:rsidRPr="00D932A2" w:rsidRDefault="008C6A6C" w:rsidP="008C6A6C">
                  <w:pPr>
                    <w:pStyle w:val="NoSpacing"/>
                    <w:rPr>
                      <w:lang w:val="en-GB"/>
                    </w:rPr>
                  </w:pPr>
                  <w:r w:rsidRPr="00D932A2">
                    <w:rPr>
                      <w:lang w:val="en-GB"/>
                    </w:rPr>
                    <w:t>Amount Remaining</w:t>
                  </w:r>
                </w:p>
              </w:tc>
              <w:tc>
                <w:tcPr>
                  <w:tcW w:w="917" w:type="dxa"/>
                  <w:tcBorders>
                    <w:top w:val="nil"/>
                    <w:left w:val="nil"/>
                    <w:bottom w:val="single" w:sz="4" w:space="0" w:color="auto"/>
                    <w:right w:val="single" w:sz="4" w:space="0" w:color="auto"/>
                  </w:tcBorders>
                  <w:noWrap/>
                  <w:vAlign w:val="center"/>
                  <w:hideMark/>
                </w:tcPr>
                <w:p w14:paraId="0126F964" w14:textId="77777777" w:rsidR="008C6A6C" w:rsidRPr="00D932A2" w:rsidRDefault="008C6A6C" w:rsidP="008C6A6C">
                  <w:pPr>
                    <w:pStyle w:val="NoSpacing"/>
                    <w:rPr>
                      <w:lang w:val="en-GB"/>
                    </w:rPr>
                  </w:pPr>
                  <w:r w:rsidRPr="00D932A2">
                    <w:rPr>
                      <w:lang w:val="en-GB"/>
                    </w:rPr>
                    <w:t>927</w:t>
                  </w:r>
                </w:p>
              </w:tc>
              <w:tc>
                <w:tcPr>
                  <w:tcW w:w="1117" w:type="dxa"/>
                  <w:tcBorders>
                    <w:top w:val="nil"/>
                    <w:left w:val="nil"/>
                    <w:bottom w:val="single" w:sz="4" w:space="0" w:color="auto"/>
                    <w:right w:val="single" w:sz="4" w:space="0" w:color="auto"/>
                  </w:tcBorders>
                  <w:noWrap/>
                  <w:vAlign w:val="center"/>
                  <w:hideMark/>
                </w:tcPr>
                <w:p w14:paraId="4F3A2541" w14:textId="77777777" w:rsidR="008C6A6C" w:rsidRPr="00D932A2" w:rsidRDefault="008C6A6C" w:rsidP="008C6A6C">
                  <w:pPr>
                    <w:pStyle w:val="NoSpacing"/>
                    <w:rPr>
                      <w:lang w:val="en-GB"/>
                    </w:rPr>
                  </w:pPr>
                  <w:r w:rsidRPr="00D932A2">
                    <w:rPr>
                      <w:lang w:val="en-GB"/>
                    </w:rPr>
                    <w:t>913.095</w:t>
                  </w:r>
                </w:p>
              </w:tc>
              <w:tc>
                <w:tcPr>
                  <w:tcW w:w="977" w:type="dxa"/>
                  <w:tcBorders>
                    <w:top w:val="nil"/>
                    <w:left w:val="nil"/>
                    <w:bottom w:val="single" w:sz="4" w:space="0" w:color="auto"/>
                    <w:right w:val="single" w:sz="4" w:space="0" w:color="auto"/>
                  </w:tcBorders>
                  <w:noWrap/>
                  <w:vAlign w:val="center"/>
                  <w:hideMark/>
                </w:tcPr>
                <w:p w14:paraId="04B403BD" w14:textId="77777777" w:rsidR="008C6A6C" w:rsidRPr="00D932A2" w:rsidRDefault="008C6A6C" w:rsidP="008C6A6C">
                  <w:pPr>
                    <w:pStyle w:val="NoSpacing"/>
                    <w:rPr>
                      <w:lang w:val="en-GB"/>
                    </w:rPr>
                  </w:pPr>
                  <w:r w:rsidRPr="00D932A2">
                    <w:rPr>
                      <w:lang w:val="en-GB"/>
                    </w:rPr>
                    <w:t>842.787</w:t>
                  </w:r>
                </w:p>
              </w:tc>
              <w:tc>
                <w:tcPr>
                  <w:tcW w:w="1172" w:type="dxa"/>
                  <w:tcBorders>
                    <w:top w:val="nil"/>
                    <w:left w:val="nil"/>
                    <w:bottom w:val="single" w:sz="4" w:space="0" w:color="auto"/>
                    <w:right w:val="single" w:sz="4" w:space="0" w:color="auto"/>
                  </w:tcBorders>
                  <w:noWrap/>
                  <w:vAlign w:val="center"/>
                  <w:hideMark/>
                </w:tcPr>
                <w:p w14:paraId="09000F6D" w14:textId="77777777" w:rsidR="008C6A6C" w:rsidRPr="00D932A2" w:rsidRDefault="008C6A6C" w:rsidP="008C6A6C">
                  <w:pPr>
                    <w:pStyle w:val="NoSpacing"/>
                    <w:rPr>
                      <w:lang w:val="en-GB"/>
                    </w:rPr>
                  </w:pPr>
                  <w:r w:rsidRPr="00D932A2">
                    <w:rPr>
                      <w:lang w:val="en-GB"/>
                    </w:rPr>
                    <w:t>842.787</w:t>
                  </w:r>
                </w:p>
              </w:tc>
              <w:tc>
                <w:tcPr>
                  <w:tcW w:w="1206" w:type="dxa"/>
                  <w:tcBorders>
                    <w:top w:val="nil"/>
                    <w:left w:val="nil"/>
                    <w:bottom w:val="single" w:sz="4" w:space="0" w:color="auto"/>
                    <w:right w:val="single" w:sz="4" w:space="0" w:color="auto"/>
                  </w:tcBorders>
                  <w:noWrap/>
                  <w:vAlign w:val="center"/>
                  <w:hideMark/>
                </w:tcPr>
                <w:p w14:paraId="625C910D" w14:textId="77777777" w:rsidR="008C6A6C" w:rsidRPr="00D932A2" w:rsidRDefault="008C6A6C" w:rsidP="008C6A6C">
                  <w:pPr>
                    <w:pStyle w:val="NoSpacing"/>
                    <w:rPr>
                      <w:lang w:val="en-GB"/>
                    </w:rPr>
                  </w:pPr>
                  <w:r w:rsidRPr="00D932A2">
                    <w:rPr>
                      <w:lang w:val="en-GB"/>
                    </w:rPr>
                    <w:t>813.289</w:t>
                  </w:r>
                </w:p>
              </w:tc>
            </w:tr>
            <w:tr w:rsidR="008C6A6C" w:rsidRPr="00D932A2" w14:paraId="460B38BF" w14:textId="77777777" w:rsidTr="000618B2">
              <w:trPr>
                <w:trHeight w:val="76"/>
              </w:trPr>
              <w:tc>
                <w:tcPr>
                  <w:tcW w:w="7101" w:type="dxa"/>
                  <w:gridSpan w:val="6"/>
                  <w:tcBorders>
                    <w:top w:val="nil"/>
                    <w:left w:val="single" w:sz="4" w:space="0" w:color="auto"/>
                    <w:bottom w:val="single" w:sz="4" w:space="0" w:color="auto"/>
                    <w:right w:val="single" w:sz="4" w:space="0" w:color="auto"/>
                  </w:tcBorders>
                  <w:noWrap/>
                  <w:vAlign w:val="center"/>
                  <w:hideMark/>
                </w:tcPr>
                <w:p w14:paraId="663CD02D" w14:textId="77777777" w:rsidR="008C6A6C" w:rsidRPr="00D932A2" w:rsidRDefault="008C6A6C" w:rsidP="008C6A6C">
                  <w:pPr>
                    <w:pStyle w:val="NoSpacing"/>
                    <w:rPr>
                      <w:lang w:val="en-GB"/>
                    </w:rPr>
                  </w:pPr>
                  <w:r w:rsidRPr="00D932A2">
                    <w:rPr>
                      <w:lang w:val="en-GB"/>
                    </w:rPr>
                    <w:t> </w:t>
                  </w:r>
                </w:p>
              </w:tc>
            </w:tr>
            <w:tr w:rsidR="008C6A6C" w:rsidRPr="00D932A2" w14:paraId="243BC15A" w14:textId="77777777" w:rsidTr="000618B2">
              <w:trPr>
                <w:trHeight w:val="292"/>
              </w:trPr>
              <w:tc>
                <w:tcPr>
                  <w:tcW w:w="1708" w:type="dxa"/>
                  <w:tcBorders>
                    <w:top w:val="nil"/>
                    <w:left w:val="single" w:sz="4" w:space="0" w:color="auto"/>
                    <w:bottom w:val="single" w:sz="4" w:space="0" w:color="auto"/>
                    <w:right w:val="single" w:sz="4" w:space="0" w:color="auto"/>
                  </w:tcBorders>
                  <w:noWrap/>
                  <w:vAlign w:val="center"/>
                  <w:hideMark/>
                </w:tcPr>
                <w:p w14:paraId="378CCE87" w14:textId="77777777" w:rsidR="008C6A6C" w:rsidRPr="00D932A2" w:rsidRDefault="008C6A6C" w:rsidP="008C6A6C">
                  <w:pPr>
                    <w:pStyle w:val="NoSpacing"/>
                    <w:rPr>
                      <w:lang w:val="en-GB"/>
                    </w:rPr>
                  </w:pPr>
                  <w:r w:rsidRPr="00D932A2">
                    <w:rPr>
                      <w:lang w:val="en-GB"/>
                    </w:rPr>
                    <w:t>% of total supply still in the market</w:t>
                  </w:r>
                </w:p>
              </w:tc>
              <w:tc>
                <w:tcPr>
                  <w:tcW w:w="5392" w:type="dxa"/>
                  <w:gridSpan w:val="5"/>
                  <w:tcBorders>
                    <w:top w:val="nil"/>
                    <w:left w:val="nil"/>
                    <w:bottom w:val="single" w:sz="4" w:space="0" w:color="auto"/>
                    <w:right w:val="single" w:sz="4" w:space="0" w:color="auto"/>
                  </w:tcBorders>
                  <w:noWrap/>
                  <w:vAlign w:val="center"/>
                  <w:hideMark/>
                </w:tcPr>
                <w:p w14:paraId="2FDBF466" w14:textId="77777777" w:rsidR="008C6A6C" w:rsidRPr="00D932A2" w:rsidRDefault="008C6A6C" w:rsidP="008C6A6C">
                  <w:pPr>
                    <w:pStyle w:val="NoSpacing"/>
                    <w:rPr>
                      <w:lang w:val="en-GB"/>
                    </w:rPr>
                  </w:pPr>
                  <w:r w:rsidRPr="00D932A2">
                    <w:rPr>
                      <w:lang w:val="en-GB"/>
                    </w:rPr>
                    <w:t>81.3% = (813.289/1000) *100 </w:t>
                  </w:r>
                </w:p>
              </w:tc>
            </w:tr>
            <w:tr w:rsidR="008C6A6C" w:rsidRPr="00D932A2" w14:paraId="756AD711" w14:textId="77777777" w:rsidTr="000618B2">
              <w:trPr>
                <w:trHeight w:val="373"/>
              </w:trPr>
              <w:tc>
                <w:tcPr>
                  <w:tcW w:w="1708" w:type="dxa"/>
                  <w:tcBorders>
                    <w:top w:val="nil"/>
                    <w:left w:val="single" w:sz="4" w:space="0" w:color="auto"/>
                    <w:bottom w:val="single" w:sz="4" w:space="0" w:color="auto"/>
                    <w:right w:val="single" w:sz="4" w:space="0" w:color="auto"/>
                  </w:tcBorders>
                  <w:noWrap/>
                  <w:vAlign w:val="center"/>
                  <w:hideMark/>
                </w:tcPr>
                <w:p w14:paraId="23755A6F" w14:textId="77777777" w:rsidR="008C6A6C" w:rsidRPr="00D932A2" w:rsidRDefault="008C6A6C" w:rsidP="008C6A6C">
                  <w:pPr>
                    <w:pStyle w:val="NoSpacing"/>
                    <w:rPr>
                      <w:lang w:val="en-GB"/>
                    </w:rPr>
                  </w:pPr>
                  <w:r w:rsidRPr="00D932A2">
                    <w:rPr>
                      <w:lang w:val="en-GB"/>
                    </w:rPr>
                    <w:t>% lost from farm to (but not including) retail</w:t>
                  </w:r>
                </w:p>
              </w:tc>
              <w:tc>
                <w:tcPr>
                  <w:tcW w:w="5392" w:type="dxa"/>
                  <w:gridSpan w:val="5"/>
                  <w:tcBorders>
                    <w:top w:val="nil"/>
                    <w:left w:val="nil"/>
                    <w:bottom w:val="single" w:sz="4" w:space="0" w:color="auto"/>
                    <w:right w:val="single" w:sz="4" w:space="0" w:color="auto"/>
                  </w:tcBorders>
                  <w:noWrap/>
                  <w:vAlign w:val="center"/>
                  <w:hideMark/>
                </w:tcPr>
                <w:p w14:paraId="681B2BC3" w14:textId="77777777" w:rsidR="008C6A6C" w:rsidRPr="00D932A2" w:rsidRDefault="008C6A6C" w:rsidP="008C6A6C">
                  <w:pPr>
                    <w:pStyle w:val="NoSpacing"/>
                    <w:rPr>
                      <w:lang w:val="en-GB"/>
                    </w:rPr>
                  </w:pPr>
                  <w:r w:rsidRPr="00D932A2">
                    <w:rPr>
                      <w:lang w:val="en-GB"/>
                    </w:rPr>
                    <w:t>18.7% = (1-0.813)*100</w:t>
                  </w:r>
                </w:p>
              </w:tc>
            </w:tr>
          </w:tbl>
          <w:p w14:paraId="1EC9915A" w14:textId="2AFE4C0D" w:rsidR="008C6A6C" w:rsidRPr="00D932A2" w:rsidRDefault="008C6A6C" w:rsidP="008C6A6C">
            <w:pPr>
              <w:pStyle w:val="NoSpacing"/>
              <w:rPr>
                <w:lang w:val="en-GB"/>
              </w:rPr>
            </w:pPr>
            <w:bookmarkStart w:id="15" w:name="_Toc529955917"/>
            <w:r w:rsidRPr="00D932A2">
              <w:rPr>
                <w:lang w:val="en-GB"/>
              </w:rPr>
              <w:t xml:space="preserve">Table </w:t>
            </w:r>
            <w:r w:rsidRPr="00D932A2">
              <w:rPr>
                <w:lang w:val="en-GB"/>
              </w:rPr>
              <w:fldChar w:fldCharType="begin"/>
            </w:r>
            <w:r w:rsidRPr="00D932A2">
              <w:rPr>
                <w:lang w:val="en-GB"/>
              </w:rPr>
              <w:instrText xml:space="preserve"> SEQ Table \* ARABIC </w:instrText>
            </w:r>
            <w:r w:rsidRPr="00D932A2">
              <w:rPr>
                <w:lang w:val="en-GB"/>
              </w:rPr>
              <w:fldChar w:fldCharType="separate"/>
            </w:r>
            <w:r w:rsidR="000E7E17">
              <w:rPr>
                <w:noProof/>
                <w:lang w:val="en-GB"/>
              </w:rPr>
              <w:t>1</w:t>
            </w:r>
            <w:r w:rsidRPr="00D932A2">
              <w:fldChar w:fldCharType="end"/>
            </w:r>
            <w:r w:rsidRPr="00D932A2">
              <w:rPr>
                <w:lang w:val="en-GB"/>
              </w:rPr>
              <w:t>. Aggregation of Maize Loss percentages along the supply chain</w:t>
            </w:r>
            <w:bookmarkEnd w:id="15"/>
          </w:p>
          <w:p w14:paraId="35D9EC02" w14:textId="77777777" w:rsidR="008C6A6C" w:rsidRDefault="008C6A6C" w:rsidP="008C6A6C">
            <w:pPr>
              <w:pStyle w:val="NoSpacing"/>
              <w:rPr>
                <w:lang w:val="en-GB"/>
              </w:rPr>
            </w:pPr>
            <w:r w:rsidRPr="00D932A2">
              <w:rPr>
                <w:lang w:val="en-GB"/>
              </w:rPr>
              <w:t>The 18.7% in the table would then be the reported quantity for that supply chain, for the country in the given year. This percentage would be applied to the production to calculate the quantity of losses to be reported in the Food Balance Sheets. The loss percentage would also be used in the Food Loss Index for the country, an applied to the base weights and then can be compared to the loss percentages times the weights in the base year to analyze the trends over time.</w:t>
            </w:r>
          </w:p>
          <w:p w14:paraId="043FD90E" w14:textId="77777777" w:rsidR="008C6A6C" w:rsidRDefault="008C6A6C" w:rsidP="008C6A6C">
            <w:pPr>
              <w:pStyle w:val="NoSpacing"/>
              <w:rPr>
                <w:lang w:val="en-GB"/>
              </w:rPr>
            </w:pPr>
          </w:p>
          <w:p w14:paraId="207696C6" w14:textId="77777777" w:rsidR="008C6A6C" w:rsidRDefault="008C6A6C" w:rsidP="008C6A6C">
            <w:pPr>
              <w:pStyle w:val="NoSpacing"/>
              <w:rPr>
                <w:lang w:val="en-GB"/>
              </w:rPr>
            </w:pPr>
            <w:r>
              <w:rPr>
                <w:lang w:val="en-GB"/>
              </w:rPr>
              <w:t>For part (b)</w:t>
            </w:r>
          </w:p>
          <w:p w14:paraId="0082F59D" w14:textId="77777777" w:rsidR="008C6A6C" w:rsidRPr="00D932A2" w:rsidRDefault="008C6A6C" w:rsidP="008C6A6C">
            <w:pPr>
              <w:pStyle w:val="NoSpacing"/>
              <w:rPr>
                <w:lang w:val="en-GB"/>
              </w:rPr>
            </w:pPr>
            <w:r w:rsidRPr="00D932A2">
              <w:rPr>
                <w:b/>
                <w:bCs/>
                <w:lang w:val="en-GB"/>
              </w:rPr>
              <w:t>Definition:</w:t>
            </w:r>
            <w:r w:rsidRPr="00D932A2">
              <w:rPr>
                <w:lang w:val="en-GB"/>
              </w:rPr>
              <w:t xml:space="preserve"> </w:t>
            </w:r>
          </w:p>
          <w:p w14:paraId="3B1526AE" w14:textId="77777777" w:rsidR="008C6A6C" w:rsidRPr="00D932A2" w:rsidRDefault="008C6A6C" w:rsidP="008C6A6C">
            <w:pPr>
              <w:pStyle w:val="NoSpacing"/>
              <w:rPr>
                <w:lang w:val="en-GB"/>
              </w:rPr>
            </w:pPr>
            <w:r w:rsidRPr="00D932A2">
              <w:rPr>
                <w:lang w:val="en-GB"/>
              </w:rPr>
              <w:t xml:space="preserve">The indicator aims to measure the total amount of food that is wasted in tonnes. It complements SDG 12.3.1(a) on Food Loss (which is under the custodianship of FAO). Both indicators look to divide the food value chain and measure the efficiency of the food system. </w:t>
            </w:r>
          </w:p>
          <w:p w14:paraId="3579C637" w14:textId="77777777" w:rsidR="008C6A6C" w:rsidRPr="00D932A2" w:rsidRDefault="008C6A6C" w:rsidP="008C6A6C">
            <w:pPr>
              <w:pStyle w:val="NoSpacing"/>
              <w:rPr>
                <w:lang w:val="en-GB"/>
              </w:rPr>
            </w:pPr>
          </w:p>
          <w:tbl>
            <w:tblPr>
              <w:tblStyle w:val="TableGrid"/>
              <w:tblW w:w="9326" w:type="dxa"/>
              <w:jc w:val="center"/>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single" w:sz="8" w:space="0" w:color="2D75B6"/>
                <w:insideV w:val="single" w:sz="6" w:space="0" w:color="4F81BD" w:themeColor="accent1"/>
              </w:tblBorders>
              <w:tblLook w:val="04A0" w:firstRow="1" w:lastRow="0" w:firstColumn="1" w:lastColumn="0" w:noHBand="0" w:noVBand="1"/>
            </w:tblPr>
            <w:tblGrid>
              <w:gridCol w:w="4014"/>
              <w:gridCol w:w="5312"/>
            </w:tblGrid>
            <w:tr w:rsidR="008C6A6C" w:rsidRPr="00D932A2" w14:paraId="31E77101" w14:textId="77777777" w:rsidTr="00A64F0D">
              <w:trPr>
                <w:jc w:val="center"/>
              </w:trPr>
              <w:tc>
                <w:tcPr>
                  <w:tcW w:w="9326" w:type="dxa"/>
                  <w:gridSpan w:val="2"/>
                  <w:tcBorders>
                    <w:bottom w:val="single" w:sz="8" w:space="0" w:color="2D75B6"/>
                  </w:tcBorders>
                  <w:shd w:val="clear" w:color="auto" w:fill="95B3D7" w:themeFill="accent1" w:themeFillTint="99"/>
                </w:tcPr>
                <w:p w14:paraId="1BB60B97" w14:textId="77777777" w:rsidR="008C6A6C" w:rsidRPr="00D932A2" w:rsidRDefault="008C6A6C" w:rsidP="008C6A6C">
                  <w:pPr>
                    <w:pStyle w:val="NoSpacing"/>
                    <w:rPr>
                      <w:b/>
                      <w:lang w:val="en-GB"/>
                    </w:rPr>
                  </w:pPr>
                  <w:r w:rsidRPr="00D932A2">
                    <w:rPr>
                      <w:b/>
                      <w:lang w:val="en-GB"/>
                    </w:rPr>
                    <w:t xml:space="preserve">Level I indicators </w:t>
                  </w:r>
                </w:p>
              </w:tc>
            </w:tr>
            <w:tr w:rsidR="008C6A6C" w:rsidRPr="00D932A2" w14:paraId="4DE7548E" w14:textId="77777777" w:rsidTr="00A64F0D">
              <w:trPr>
                <w:jc w:val="center"/>
              </w:trPr>
              <w:tc>
                <w:tcPr>
                  <w:tcW w:w="4014" w:type="dxa"/>
                  <w:tcBorders>
                    <w:top w:val="single" w:sz="8" w:space="0" w:color="2D75B6"/>
                    <w:bottom w:val="single" w:sz="8" w:space="0" w:color="2D75B6"/>
                    <w:right w:val="single" w:sz="8" w:space="0" w:color="2D75B6"/>
                  </w:tcBorders>
                </w:tcPr>
                <w:p w14:paraId="16E70257" w14:textId="77777777" w:rsidR="008C6A6C" w:rsidRPr="00D932A2" w:rsidRDefault="008C6A6C" w:rsidP="008C6A6C">
                  <w:pPr>
                    <w:pStyle w:val="NoSpacing"/>
                    <w:rPr>
                      <w:i/>
                      <w:lang w:val="en-GB"/>
                    </w:rPr>
                  </w:pPr>
                  <w:r w:rsidRPr="00D932A2">
                    <w:rPr>
                      <w:i/>
                      <w:lang w:val="en-GB"/>
                    </w:rPr>
                    <w:t>Food waste in the waste stream</w:t>
                  </w:r>
                </w:p>
              </w:tc>
              <w:tc>
                <w:tcPr>
                  <w:tcW w:w="5312" w:type="dxa"/>
                  <w:tcBorders>
                    <w:top w:val="single" w:sz="8" w:space="0" w:color="2D75B6"/>
                    <w:left w:val="single" w:sz="8" w:space="0" w:color="2D75B6"/>
                    <w:bottom w:val="single" w:sz="8" w:space="0" w:color="2D75B6"/>
                  </w:tcBorders>
                </w:tcPr>
                <w:p w14:paraId="37518851" w14:textId="77777777" w:rsidR="008C6A6C" w:rsidRPr="00D932A2" w:rsidRDefault="008C6A6C" w:rsidP="008C6A6C">
                  <w:pPr>
                    <w:pStyle w:val="NoSpacing"/>
                    <w:rPr>
                      <w:lang w:val="en-GB"/>
                    </w:rPr>
                  </w:pPr>
                  <w:r w:rsidRPr="00D932A2">
                    <w:rPr>
                      <w:lang w:val="en-GB"/>
                    </w:rPr>
                    <w:t>Estimated from a global model, based on regional coefficients for food waste in the total waste stream.</w:t>
                  </w:r>
                </w:p>
              </w:tc>
            </w:tr>
            <w:tr w:rsidR="008C6A6C" w:rsidRPr="00D932A2" w14:paraId="28AC05A6" w14:textId="77777777" w:rsidTr="00A64F0D">
              <w:trPr>
                <w:jc w:val="center"/>
              </w:trPr>
              <w:tc>
                <w:tcPr>
                  <w:tcW w:w="9326" w:type="dxa"/>
                  <w:gridSpan w:val="2"/>
                  <w:tcBorders>
                    <w:bottom w:val="single" w:sz="8" w:space="0" w:color="2D75B6"/>
                  </w:tcBorders>
                  <w:shd w:val="clear" w:color="auto" w:fill="95B3D7" w:themeFill="accent1" w:themeFillTint="99"/>
                </w:tcPr>
                <w:p w14:paraId="3EA3B037" w14:textId="77777777" w:rsidR="008C6A6C" w:rsidRPr="00D932A2" w:rsidRDefault="008C6A6C" w:rsidP="008C6A6C">
                  <w:pPr>
                    <w:pStyle w:val="NoSpacing"/>
                    <w:rPr>
                      <w:b/>
                      <w:lang w:val="en-GB"/>
                    </w:rPr>
                  </w:pPr>
                  <w:r w:rsidRPr="00D932A2">
                    <w:rPr>
                      <w:b/>
                      <w:lang w:val="en-GB"/>
                    </w:rPr>
                    <w:t xml:space="preserve">Level II indicators </w:t>
                  </w:r>
                </w:p>
              </w:tc>
            </w:tr>
            <w:tr w:rsidR="008C6A6C" w:rsidRPr="00D932A2" w14:paraId="72165CD2" w14:textId="77777777" w:rsidTr="00A64F0D">
              <w:trPr>
                <w:jc w:val="center"/>
              </w:trPr>
              <w:tc>
                <w:tcPr>
                  <w:tcW w:w="4014" w:type="dxa"/>
                  <w:tcBorders>
                    <w:top w:val="single" w:sz="8" w:space="0" w:color="2D75B6"/>
                    <w:bottom w:val="single" w:sz="8" w:space="0" w:color="2D75B6"/>
                    <w:right w:val="single" w:sz="8" w:space="0" w:color="2D75B6"/>
                  </w:tcBorders>
                </w:tcPr>
                <w:p w14:paraId="6A6178B6" w14:textId="77777777" w:rsidR="008C6A6C" w:rsidRPr="00D932A2" w:rsidRDefault="008C6A6C" w:rsidP="008C6A6C">
                  <w:pPr>
                    <w:pStyle w:val="NoSpacing"/>
                    <w:rPr>
                      <w:i/>
                      <w:lang w:val="en-GB"/>
                    </w:rPr>
                  </w:pPr>
                  <w:r w:rsidRPr="00D932A2">
                    <w:rPr>
                      <w:i/>
                      <w:lang w:val="en-GB"/>
                    </w:rPr>
                    <w:t>Food waste generation by supply chain stage</w:t>
                  </w:r>
                </w:p>
              </w:tc>
              <w:tc>
                <w:tcPr>
                  <w:tcW w:w="5312" w:type="dxa"/>
                  <w:tcBorders>
                    <w:top w:val="single" w:sz="8" w:space="0" w:color="2D75B6"/>
                    <w:left w:val="single" w:sz="8" w:space="0" w:color="2D75B6"/>
                    <w:bottom w:val="single" w:sz="8" w:space="0" w:color="2D75B6"/>
                  </w:tcBorders>
                </w:tcPr>
                <w:p w14:paraId="3860BBEE" w14:textId="77777777" w:rsidR="008C6A6C" w:rsidRPr="00D932A2" w:rsidRDefault="008C6A6C" w:rsidP="008C6A6C">
                  <w:pPr>
                    <w:pStyle w:val="NoSpacing"/>
                    <w:rPr>
                      <w:lang w:val="en-GB"/>
                    </w:rPr>
                  </w:pPr>
                  <w:r w:rsidRPr="00D932A2">
                    <w:rPr>
                      <w:lang w:val="en-GB"/>
                    </w:rPr>
                    <w:t>Collect data on food waste generation from supply chain stages based on national priorities</w:t>
                  </w:r>
                </w:p>
              </w:tc>
            </w:tr>
          </w:tbl>
          <w:p w14:paraId="5EF3C971" w14:textId="77777777" w:rsidR="008C6A6C" w:rsidRPr="00D932A2" w:rsidRDefault="008C6A6C" w:rsidP="008C6A6C">
            <w:pPr>
              <w:pStyle w:val="NoSpacing"/>
              <w:rPr>
                <w:lang w:val="en-GB"/>
              </w:rPr>
            </w:pPr>
          </w:p>
          <w:p w14:paraId="4983D648" w14:textId="77777777" w:rsidR="008C6A6C" w:rsidRPr="00D932A2" w:rsidRDefault="008C6A6C" w:rsidP="008C6A6C">
            <w:pPr>
              <w:pStyle w:val="NoSpacing"/>
              <w:rPr>
                <w:lang w:val="en-GB"/>
              </w:rPr>
            </w:pPr>
            <w:r w:rsidRPr="00D932A2">
              <w:rPr>
                <w:lang w:val="en-GB"/>
              </w:rPr>
              <w:t>A full methodology for this indicator is available in the document entitled, “Measuring Waste in the Context of the SDGs”.</w:t>
            </w:r>
          </w:p>
          <w:p w14:paraId="61C06704" w14:textId="77777777" w:rsidR="008C6A6C" w:rsidRPr="00D932A2" w:rsidRDefault="008C6A6C" w:rsidP="008C6A6C">
            <w:pPr>
              <w:pStyle w:val="NoSpacing"/>
              <w:rPr>
                <w:bCs/>
                <w:lang w:val="en-GB"/>
              </w:rPr>
            </w:pPr>
            <w:bookmarkStart w:id="16" w:name="_Hlk24725324"/>
          </w:p>
          <w:p w14:paraId="2D3CDCA5" w14:textId="77777777" w:rsidR="008C6A6C" w:rsidRPr="00D932A2" w:rsidRDefault="008C6A6C" w:rsidP="008C6A6C">
            <w:pPr>
              <w:pStyle w:val="NoSpacing"/>
              <w:rPr>
                <w:b/>
                <w:bCs/>
                <w:lang w:val="en-GB"/>
              </w:rPr>
            </w:pPr>
            <w:r w:rsidRPr="00D932A2">
              <w:rPr>
                <w:b/>
                <w:bCs/>
                <w:lang w:val="en-GB"/>
              </w:rPr>
              <w:t>Concepts:</w:t>
            </w:r>
          </w:p>
          <w:bookmarkEnd w:id="16"/>
          <w:p w14:paraId="12E977C4" w14:textId="77777777" w:rsidR="008C6A6C" w:rsidRPr="00D932A2" w:rsidRDefault="008C6A6C" w:rsidP="008C6A6C">
            <w:pPr>
              <w:pStyle w:val="NoSpacing"/>
              <w:rPr>
                <w:i/>
                <w:iCs/>
                <w:lang w:val="en-GB"/>
              </w:rPr>
            </w:pPr>
            <w:r w:rsidRPr="00D932A2">
              <w:rPr>
                <w:i/>
                <w:iCs/>
                <w:lang w:val="en-GB"/>
              </w:rPr>
              <w:t xml:space="preserve">Food: </w:t>
            </w:r>
            <w:r w:rsidRPr="00D932A2">
              <w:rPr>
                <w:lang w:val="en-GB"/>
              </w:rPr>
              <w:t>Any substance—whether processed, semi-processed, or raw—that is intended for human consumption. “Food” includes drink and any substance that has been used in the manufacture, preparation, or treatment of food. “Food” also includes material that has spoiled and is therefore no longer fit for human consumption. It does not include cosmetics, tobacco, or substances used only as drugs. It does not include processing agents used along the food supply chain, for example, water to clean or cook raw materials in factories or at home.</w:t>
            </w:r>
          </w:p>
          <w:p w14:paraId="21A45B2B" w14:textId="77777777" w:rsidR="008C6A6C" w:rsidRPr="00D932A2" w:rsidRDefault="008C6A6C" w:rsidP="008C6A6C">
            <w:pPr>
              <w:pStyle w:val="NoSpacing"/>
              <w:rPr>
                <w:i/>
                <w:iCs/>
                <w:lang w:val="en-GB"/>
              </w:rPr>
            </w:pPr>
          </w:p>
          <w:p w14:paraId="394A469B" w14:textId="77777777" w:rsidR="008C6A6C" w:rsidRPr="00D932A2" w:rsidRDefault="008C6A6C" w:rsidP="008C6A6C">
            <w:pPr>
              <w:pStyle w:val="NoSpacing"/>
              <w:rPr>
                <w:i/>
                <w:iCs/>
                <w:lang w:val="en-GB"/>
              </w:rPr>
            </w:pPr>
            <w:r w:rsidRPr="00D932A2">
              <w:rPr>
                <w:i/>
                <w:iCs/>
                <w:lang w:val="en-GB"/>
              </w:rPr>
              <w:t xml:space="preserve">Inedible (or non-edible) parts: </w:t>
            </w:r>
            <w:r w:rsidRPr="00D932A2">
              <w:rPr>
                <w:lang w:val="en-GB"/>
              </w:rPr>
              <w:t>Components associated with a food that, in a particular food supply chain, are not intended to be consumed by humans. Examples of inedible parts associated with food could include bones, rinds, and pits/stones. “Inedible parts” do not include packaging. What is considered inedible varies among users (e.g., chicken feet are consumed in some food supply chains but not others), changes over time, and is influenced by a range of variables including culture, socio-economic factors, availability, price, technological advances, international trade, and geography.</w:t>
            </w:r>
            <w:r w:rsidRPr="00D932A2">
              <w:rPr>
                <w:i/>
                <w:iCs/>
                <w:lang w:val="en-GB"/>
              </w:rPr>
              <w:t xml:space="preserve"> </w:t>
            </w:r>
          </w:p>
          <w:p w14:paraId="718374CF" w14:textId="77777777" w:rsidR="008C6A6C" w:rsidRPr="00D932A2" w:rsidRDefault="008C6A6C" w:rsidP="008C6A6C">
            <w:pPr>
              <w:pStyle w:val="NoSpacing"/>
              <w:rPr>
                <w:i/>
                <w:iCs/>
                <w:lang w:val="en-GB"/>
              </w:rPr>
            </w:pPr>
          </w:p>
          <w:p w14:paraId="5B25147F" w14:textId="77777777" w:rsidR="008C6A6C" w:rsidRPr="00D932A2" w:rsidRDefault="008C6A6C" w:rsidP="008C6A6C">
            <w:pPr>
              <w:pStyle w:val="NoSpacing"/>
              <w:rPr>
                <w:lang w:val="en-GB"/>
              </w:rPr>
            </w:pPr>
            <w:r w:rsidRPr="00D932A2">
              <w:rPr>
                <w:i/>
                <w:iCs/>
                <w:lang w:val="en-GB"/>
              </w:rPr>
              <w:t>Municipal Solid Waste (MSW)</w:t>
            </w:r>
            <w:r w:rsidRPr="00D932A2">
              <w:rPr>
                <w:lang w:val="en-GB"/>
              </w:rPr>
              <w:t xml:space="preserve"> includes waste originating from households, commerce, and trade, small businesses, office buildings and institutions (schools, hospitals, government buildings). It also includes bulky waste (e.g., old furniture, mattresses) and waste from selected municipal services, e.g., waste from park and garden maintenance, waste from street cleaning services (street sweepings, the content of litter containers, market cleansing waste), if managed as waste. Further information on municipal solid waste is defined in the SDG indicator methodology for 11.6.1.</w:t>
            </w:r>
          </w:p>
          <w:p w14:paraId="38902A2C" w14:textId="77777777" w:rsidR="008C6A6C" w:rsidRPr="00D932A2" w:rsidRDefault="008C6A6C" w:rsidP="008C6A6C">
            <w:pPr>
              <w:pStyle w:val="NoSpacing"/>
              <w:rPr>
                <w:lang w:val="en-IE"/>
              </w:rPr>
            </w:pPr>
          </w:p>
          <w:p w14:paraId="0DAEB241" w14:textId="77777777" w:rsidR="008C6A6C" w:rsidRPr="00D932A2" w:rsidRDefault="008C6A6C" w:rsidP="008C6A6C">
            <w:pPr>
              <w:pStyle w:val="NoSpacing"/>
              <w:rPr>
                <w:b/>
                <w:bCs/>
                <w:lang w:val="en-GB"/>
              </w:rPr>
            </w:pPr>
            <w:bookmarkStart w:id="17" w:name="_Hlk24725441"/>
            <w:r w:rsidRPr="00D932A2">
              <w:rPr>
                <w:b/>
                <w:bCs/>
                <w:lang w:val="en-GB"/>
              </w:rPr>
              <w:t xml:space="preserve">Comments and limitations: </w:t>
            </w:r>
          </w:p>
          <w:bookmarkEnd w:id="17"/>
          <w:p w14:paraId="01F91A0B" w14:textId="77777777" w:rsidR="008C6A6C" w:rsidRPr="00D932A2" w:rsidRDefault="008C6A6C" w:rsidP="008C6A6C">
            <w:pPr>
              <w:pStyle w:val="NoSpacing"/>
              <w:rPr>
                <w:lang w:val="en-GB"/>
              </w:rPr>
            </w:pPr>
            <w:r w:rsidRPr="00D932A2">
              <w:rPr>
                <w:lang w:val="en-GB"/>
              </w:rPr>
              <w:t xml:space="preserve">The challenge resulting from the flexible three-level approach to presenting a methodology is one of consistency and </w:t>
            </w:r>
            <w:r w:rsidRPr="00D932A2">
              <w:rPr>
                <w:lang w:val="en-GB"/>
              </w:rPr>
              <w:lastRenderedPageBreak/>
              <w:t>comparability. Can one compare between levels or across methods? Not directly and not without caveats. It is possible to compare at regional levels where the random error is relatively high (e.g. around 25%) for each country but it would not be appropriate to compare countries against each other unless there was a much greater difference in their estimates than the combined amount of error. The approach to consistency is one of transparency against a framework.</w:t>
            </w:r>
          </w:p>
          <w:p w14:paraId="4C68D4D6" w14:textId="77777777" w:rsidR="008C6A6C" w:rsidRPr="00D932A2" w:rsidRDefault="008C6A6C" w:rsidP="008C6A6C">
            <w:pPr>
              <w:pStyle w:val="NoSpacing"/>
              <w:rPr>
                <w:lang w:val="en-GB"/>
              </w:rPr>
            </w:pPr>
          </w:p>
          <w:p w14:paraId="6CBA0277" w14:textId="77777777" w:rsidR="008C6A6C" w:rsidRPr="00D932A2" w:rsidRDefault="008C6A6C" w:rsidP="008C6A6C">
            <w:pPr>
              <w:pStyle w:val="NoSpacing"/>
              <w:rPr>
                <w:lang w:val="en-GB"/>
              </w:rPr>
            </w:pPr>
            <w:r w:rsidRPr="00D932A2">
              <w:rPr>
                <w:lang w:val="en-GB"/>
              </w:rPr>
              <w:t>Different methods of quantification can also be used for other relevant and related purposes (for example, “where are the greatest opportunities within the waste that is produced to reduce it?”). Taking in-home consumption as an example, it is difficult to obtain reasons for discarding food (and therefore the opportunities for influencing citizen behaviour) without the use of diaries or ethnography. However, direct weighing of waste volumes could give a significantly more accurate quantity.</w:t>
            </w:r>
          </w:p>
          <w:p w14:paraId="36FD6F37" w14:textId="77777777" w:rsidR="008C6A6C" w:rsidRPr="00D932A2" w:rsidRDefault="008C6A6C" w:rsidP="008C6A6C">
            <w:pPr>
              <w:pStyle w:val="NoSpacing"/>
              <w:rPr>
                <w:lang w:val="en-GB"/>
              </w:rPr>
            </w:pPr>
          </w:p>
          <w:p w14:paraId="33A05EAF" w14:textId="77777777" w:rsidR="008C6A6C" w:rsidRPr="00D932A2" w:rsidRDefault="008C6A6C" w:rsidP="008C6A6C">
            <w:pPr>
              <w:pStyle w:val="NoSpacing"/>
              <w:rPr>
                <w:b/>
                <w:bCs/>
                <w:lang w:val="en-GB"/>
              </w:rPr>
            </w:pPr>
            <w:r w:rsidRPr="00D932A2">
              <w:rPr>
                <w:b/>
                <w:bCs/>
                <w:lang w:val="en-GB"/>
              </w:rPr>
              <w:t xml:space="preserve">Computation Method </w:t>
            </w:r>
          </w:p>
          <w:p w14:paraId="2A5D20EA" w14:textId="77777777" w:rsidR="008C6A6C" w:rsidRPr="00D932A2" w:rsidRDefault="008C6A6C" w:rsidP="008C6A6C">
            <w:pPr>
              <w:pStyle w:val="NoSpacing"/>
              <w:rPr>
                <w:lang w:val="en-GB"/>
              </w:rPr>
            </w:pPr>
            <w:r w:rsidRPr="00D932A2">
              <w:rPr>
                <w:lang w:val="en-GB"/>
              </w:rPr>
              <w:t>A full methodology for this indicator is available in the document entitled, “Measuring Waste in the Context of the SDGs”.</w:t>
            </w:r>
          </w:p>
          <w:p w14:paraId="51C47378" w14:textId="77777777" w:rsidR="008C6A6C" w:rsidRPr="00D932A2" w:rsidRDefault="008C6A6C" w:rsidP="008C6A6C">
            <w:pPr>
              <w:pStyle w:val="NoSpacing"/>
              <w:rPr>
                <w:lang w:val="en-GB"/>
              </w:rPr>
            </w:pPr>
            <w:r w:rsidRPr="00D932A2">
              <w:rPr>
                <w:lang w:val="en-GB"/>
              </w:rPr>
              <w:t>For the purpose of this indicator, the methodology aims to estimate the amount of food in total waste stream.</w:t>
            </w:r>
          </w:p>
          <w:p w14:paraId="788EA0DA" w14:textId="77777777" w:rsidR="008C6A6C" w:rsidRPr="00D932A2" w:rsidRDefault="008C6A6C" w:rsidP="008C6A6C">
            <w:pPr>
              <w:pStyle w:val="NoSpacing"/>
              <w:rPr>
                <w:lang w:val="en-GB"/>
              </w:rPr>
            </w:pPr>
          </w:p>
          <w:p w14:paraId="12BDB85E" w14:textId="77777777" w:rsidR="008C6A6C" w:rsidRPr="00D932A2" w:rsidRDefault="008C6A6C" w:rsidP="008C6A6C">
            <w:pPr>
              <w:pStyle w:val="NoSpacing"/>
              <w:rPr>
                <w:lang w:val="en-GB"/>
              </w:rPr>
            </w:pPr>
            <w:r w:rsidRPr="00D932A2">
              <w:rPr>
                <w:lang w:val="en-GB"/>
              </w:rPr>
              <w:t xml:space="preserve">For level 1, the global modeling approach will estimate a proportion of food in the total waste stream data (e.g. municipal solid waste, MSW) and apply the proportion to the total. The work on this model will utilize the existing efforts to compile information for SDG 11.6.1 on municipal solid waste management and will utilize existing information on global waste, including World Bank publication “What a Waste 2.0, A Global Snapshot of Solid Waste Management to 2050”. Some countries publish data on the ratio of food waste to the total MSW. The existing data will be used to create a regional coefficient for each SDG sub-region. These regional coefficients will then be applied to the data for 11.6.1 and What a Waste data to fill data gaps. (Not that when a country reports data then no global estimation will be done, the country data will be used directly.)  </w:t>
            </w:r>
          </w:p>
          <w:p w14:paraId="1356BAA7" w14:textId="77777777" w:rsidR="008C6A6C" w:rsidRPr="00D932A2" w:rsidRDefault="008C6A6C" w:rsidP="008C6A6C">
            <w:pPr>
              <w:pStyle w:val="NoSpacing"/>
              <w:rPr>
                <w:lang w:val="en-GB"/>
              </w:rPr>
            </w:pPr>
          </w:p>
          <w:p w14:paraId="01435D9B" w14:textId="77777777" w:rsidR="008C6A6C" w:rsidRPr="00D932A2" w:rsidRDefault="008C6A6C" w:rsidP="008C6A6C">
            <w:pPr>
              <w:pStyle w:val="NoSpacing"/>
              <w:rPr>
                <w:lang w:val="en-GB"/>
              </w:rPr>
            </w:pPr>
            <w:r w:rsidRPr="00D932A2">
              <w:rPr>
                <w:lang w:val="en-GB"/>
              </w:rPr>
              <w:t>For level 2, countries should identify the scope of which stages of the supply chain can be covered and estimate the total amount of food wasted for each supply chain stream.  The amount of food waste within a stage of the food supply chain shall be established by measuring food waste generated by a sample of food business operators or households in accordance with any of the following methods or a combination of those methods or any other method equivalent in terms of relevance, representativeness and reliability.</w:t>
            </w:r>
          </w:p>
          <w:p w14:paraId="106ABAFC" w14:textId="77777777" w:rsidR="008C6A6C" w:rsidRPr="00D932A2" w:rsidRDefault="008C6A6C" w:rsidP="008C6A6C">
            <w:pPr>
              <w:pStyle w:val="NoSpacing"/>
              <w:rPr>
                <w:lang w:val="en-GB"/>
              </w:rPr>
            </w:pPr>
          </w:p>
          <w:tbl>
            <w:tblPr>
              <w:tblStyle w:val="TableGrid"/>
              <w:tblW w:w="0" w:type="auto"/>
              <w:tblLook w:val="04A0" w:firstRow="1" w:lastRow="0" w:firstColumn="1" w:lastColumn="0" w:noHBand="0" w:noVBand="1"/>
            </w:tblPr>
            <w:tblGrid>
              <w:gridCol w:w="1583"/>
              <w:gridCol w:w="1293"/>
              <w:gridCol w:w="1152"/>
              <w:gridCol w:w="1138"/>
              <w:gridCol w:w="1479"/>
              <w:gridCol w:w="1138"/>
            </w:tblGrid>
            <w:tr w:rsidR="008C6A6C" w:rsidRPr="00D932A2" w14:paraId="55259D11" w14:textId="77777777" w:rsidTr="00A64F0D">
              <w:tc>
                <w:tcPr>
                  <w:tcW w:w="1885" w:type="dxa"/>
                </w:tcPr>
                <w:p w14:paraId="69940773" w14:textId="77777777" w:rsidR="008C6A6C" w:rsidRPr="00D932A2" w:rsidRDefault="008C6A6C" w:rsidP="008C6A6C">
                  <w:pPr>
                    <w:pStyle w:val="NoSpacing"/>
                    <w:rPr>
                      <w:b/>
                      <w:bCs/>
                      <w:lang w:val="en-GB"/>
                    </w:rPr>
                  </w:pPr>
                  <w:r w:rsidRPr="00D932A2">
                    <w:rPr>
                      <w:b/>
                      <w:bCs/>
                      <w:lang w:val="en-GB"/>
                    </w:rPr>
                    <w:t>Stages of the food supply chain</w:t>
                  </w:r>
                </w:p>
              </w:tc>
              <w:tc>
                <w:tcPr>
                  <w:tcW w:w="7465" w:type="dxa"/>
                  <w:gridSpan w:val="5"/>
                  <w:vAlign w:val="center"/>
                </w:tcPr>
                <w:p w14:paraId="6EEEAB11" w14:textId="77777777" w:rsidR="008C6A6C" w:rsidRPr="00D932A2" w:rsidRDefault="008C6A6C" w:rsidP="008C6A6C">
                  <w:pPr>
                    <w:pStyle w:val="NoSpacing"/>
                    <w:rPr>
                      <w:b/>
                      <w:bCs/>
                      <w:lang w:val="en-GB"/>
                    </w:rPr>
                  </w:pPr>
                  <w:r w:rsidRPr="00D932A2">
                    <w:rPr>
                      <w:b/>
                      <w:bCs/>
                      <w:lang w:val="en-GB"/>
                    </w:rPr>
                    <w:t>Methods of measurement</w:t>
                  </w:r>
                </w:p>
              </w:tc>
            </w:tr>
            <w:tr w:rsidR="008C6A6C" w:rsidRPr="00D932A2" w14:paraId="7062A848" w14:textId="77777777" w:rsidTr="00A64F0D">
              <w:tc>
                <w:tcPr>
                  <w:tcW w:w="1885" w:type="dxa"/>
                </w:tcPr>
                <w:p w14:paraId="1F07729D" w14:textId="77777777" w:rsidR="008C6A6C" w:rsidRPr="00D932A2" w:rsidRDefault="008C6A6C" w:rsidP="008C6A6C">
                  <w:pPr>
                    <w:pStyle w:val="NoSpacing"/>
                    <w:rPr>
                      <w:lang w:val="en-GB"/>
                    </w:rPr>
                  </w:pPr>
                  <w:r w:rsidRPr="00D932A2">
                    <w:rPr>
                      <w:lang w:val="en-GB"/>
                    </w:rPr>
                    <w:t>Primary production</w:t>
                  </w:r>
                </w:p>
              </w:tc>
              <w:tc>
                <w:tcPr>
                  <w:tcW w:w="1444" w:type="dxa"/>
                  <w:vMerge w:val="restart"/>
                </w:tcPr>
                <w:p w14:paraId="7BC4B7EA" w14:textId="77777777" w:rsidR="008C6A6C" w:rsidRPr="00D932A2" w:rsidRDefault="008C6A6C" w:rsidP="008C6A6C">
                  <w:pPr>
                    <w:pStyle w:val="NoSpacing"/>
                    <w:rPr>
                      <w:lang w:val="en-GB"/>
                    </w:rPr>
                  </w:pPr>
                  <w:r w:rsidRPr="00D932A2">
                    <w:rPr>
                      <w:lang w:val="en-GB"/>
                    </w:rPr>
                    <w:t>- Direct measurement</w:t>
                  </w:r>
                </w:p>
              </w:tc>
              <w:tc>
                <w:tcPr>
                  <w:tcW w:w="1436" w:type="dxa"/>
                  <w:vMerge w:val="restart"/>
                </w:tcPr>
                <w:p w14:paraId="44D085C4" w14:textId="77777777" w:rsidR="008C6A6C" w:rsidRPr="00D932A2" w:rsidRDefault="008C6A6C" w:rsidP="008C6A6C">
                  <w:pPr>
                    <w:pStyle w:val="NoSpacing"/>
                    <w:rPr>
                      <w:lang w:val="en-GB"/>
                    </w:rPr>
                  </w:pPr>
                  <w:r w:rsidRPr="00D932A2">
                    <w:rPr>
                      <w:lang w:val="en-GB"/>
                    </w:rPr>
                    <w:t>-Mass balance</w:t>
                  </w:r>
                </w:p>
              </w:tc>
              <w:tc>
                <w:tcPr>
                  <w:tcW w:w="1262" w:type="dxa"/>
                  <w:vMerge w:val="restart"/>
                  <w:shd w:val="clear" w:color="auto" w:fill="BFBFBF" w:themeFill="background1" w:themeFillShade="BF"/>
                </w:tcPr>
                <w:p w14:paraId="0EA8907D" w14:textId="77777777" w:rsidR="008C6A6C" w:rsidRPr="00D932A2" w:rsidRDefault="008C6A6C" w:rsidP="008C6A6C">
                  <w:pPr>
                    <w:pStyle w:val="NoSpacing"/>
                    <w:rPr>
                      <w:lang w:val="en-GB"/>
                    </w:rPr>
                  </w:pPr>
                </w:p>
              </w:tc>
              <w:tc>
                <w:tcPr>
                  <w:tcW w:w="3315" w:type="dxa"/>
                  <w:gridSpan w:val="2"/>
                  <w:vMerge w:val="restart"/>
                </w:tcPr>
                <w:p w14:paraId="73BBCE8B" w14:textId="77777777" w:rsidR="008C6A6C" w:rsidRPr="00D932A2" w:rsidRDefault="008C6A6C" w:rsidP="008C6A6C">
                  <w:pPr>
                    <w:pStyle w:val="NoSpacing"/>
                    <w:rPr>
                      <w:lang w:val="en-GB"/>
                    </w:rPr>
                  </w:pPr>
                  <w:r w:rsidRPr="00D932A2">
                    <w:rPr>
                      <w:lang w:val="en-GB"/>
                    </w:rPr>
                    <w:t>-Questionnaires and interviews</w:t>
                  </w:r>
                </w:p>
                <w:p w14:paraId="06EFA11D" w14:textId="77777777" w:rsidR="008C6A6C" w:rsidRPr="00D932A2" w:rsidRDefault="008C6A6C" w:rsidP="008C6A6C">
                  <w:pPr>
                    <w:pStyle w:val="NoSpacing"/>
                    <w:rPr>
                      <w:lang w:val="en-GB"/>
                    </w:rPr>
                  </w:pPr>
                  <w:r w:rsidRPr="00D932A2">
                    <w:rPr>
                      <w:lang w:val="en-GB"/>
                    </w:rPr>
                    <w:t>-Coefficients and production statistics</w:t>
                  </w:r>
                </w:p>
                <w:p w14:paraId="32047754" w14:textId="77777777" w:rsidR="008C6A6C" w:rsidRPr="00D932A2" w:rsidRDefault="008C6A6C" w:rsidP="008C6A6C">
                  <w:pPr>
                    <w:pStyle w:val="NoSpacing"/>
                    <w:rPr>
                      <w:lang w:val="en-GB"/>
                    </w:rPr>
                  </w:pPr>
                  <w:r w:rsidRPr="00D932A2">
                    <w:rPr>
                      <w:lang w:val="en-GB"/>
                    </w:rPr>
                    <w:t>-Waste composition analysis</w:t>
                  </w:r>
                </w:p>
              </w:tc>
            </w:tr>
            <w:tr w:rsidR="008C6A6C" w:rsidRPr="00D932A2" w14:paraId="2B44C52C" w14:textId="77777777" w:rsidTr="00A64F0D">
              <w:tc>
                <w:tcPr>
                  <w:tcW w:w="1885" w:type="dxa"/>
                </w:tcPr>
                <w:p w14:paraId="13DEB909" w14:textId="77777777" w:rsidR="008C6A6C" w:rsidRPr="00D932A2" w:rsidRDefault="008C6A6C" w:rsidP="008C6A6C">
                  <w:pPr>
                    <w:pStyle w:val="NoSpacing"/>
                    <w:rPr>
                      <w:lang w:val="en-GB"/>
                    </w:rPr>
                  </w:pPr>
                  <w:r w:rsidRPr="00D932A2">
                    <w:rPr>
                      <w:lang w:val="en-GB"/>
                    </w:rPr>
                    <w:t>Processing and manufacturing</w:t>
                  </w:r>
                </w:p>
              </w:tc>
              <w:tc>
                <w:tcPr>
                  <w:tcW w:w="1444" w:type="dxa"/>
                  <w:vMerge/>
                </w:tcPr>
                <w:p w14:paraId="626D50E1" w14:textId="77777777" w:rsidR="008C6A6C" w:rsidRPr="00D932A2" w:rsidRDefault="008C6A6C" w:rsidP="008C6A6C">
                  <w:pPr>
                    <w:pStyle w:val="NoSpacing"/>
                    <w:rPr>
                      <w:lang w:val="en-GB"/>
                    </w:rPr>
                  </w:pPr>
                </w:p>
              </w:tc>
              <w:tc>
                <w:tcPr>
                  <w:tcW w:w="1436" w:type="dxa"/>
                  <w:vMerge/>
                </w:tcPr>
                <w:p w14:paraId="16C4B3F0" w14:textId="77777777" w:rsidR="008C6A6C" w:rsidRPr="00D932A2" w:rsidRDefault="008C6A6C" w:rsidP="008C6A6C">
                  <w:pPr>
                    <w:pStyle w:val="NoSpacing"/>
                    <w:rPr>
                      <w:lang w:val="en-GB"/>
                    </w:rPr>
                  </w:pPr>
                </w:p>
              </w:tc>
              <w:tc>
                <w:tcPr>
                  <w:tcW w:w="1262" w:type="dxa"/>
                  <w:vMerge/>
                  <w:shd w:val="clear" w:color="auto" w:fill="BFBFBF" w:themeFill="background1" w:themeFillShade="BF"/>
                </w:tcPr>
                <w:p w14:paraId="1337BCC1" w14:textId="77777777" w:rsidR="008C6A6C" w:rsidRPr="00D932A2" w:rsidRDefault="008C6A6C" w:rsidP="008C6A6C">
                  <w:pPr>
                    <w:pStyle w:val="NoSpacing"/>
                    <w:rPr>
                      <w:lang w:val="en-GB"/>
                    </w:rPr>
                  </w:pPr>
                </w:p>
              </w:tc>
              <w:tc>
                <w:tcPr>
                  <w:tcW w:w="3315" w:type="dxa"/>
                  <w:gridSpan w:val="2"/>
                  <w:vMerge/>
                </w:tcPr>
                <w:p w14:paraId="5C51054A" w14:textId="77777777" w:rsidR="008C6A6C" w:rsidRPr="00D932A2" w:rsidRDefault="008C6A6C" w:rsidP="008C6A6C">
                  <w:pPr>
                    <w:pStyle w:val="NoSpacing"/>
                    <w:rPr>
                      <w:lang w:val="en-GB"/>
                    </w:rPr>
                  </w:pPr>
                </w:p>
              </w:tc>
            </w:tr>
            <w:tr w:rsidR="008C6A6C" w:rsidRPr="00D932A2" w14:paraId="18AD3B0C" w14:textId="77777777" w:rsidTr="00A64F0D">
              <w:tc>
                <w:tcPr>
                  <w:tcW w:w="1885" w:type="dxa"/>
                </w:tcPr>
                <w:p w14:paraId="084CE1EF" w14:textId="77777777" w:rsidR="008C6A6C" w:rsidRPr="00D932A2" w:rsidRDefault="008C6A6C" w:rsidP="008C6A6C">
                  <w:pPr>
                    <w:pStyle w:val="NoSpacing"/>
                    <w:rPr>
                      <w:lang w:val="en-GB"/>
                    </w:rPr>
                  </w:pPr>
                  <w:r w:rsidRPr="00D932A2">
                    <w:rPr>
                      <w:lang w:val="en-GB"/>
                    </w:rPr>
                    <w:t>Retail and other distribution of food</w:t>
                  </w:r>
                </w:p>
              </w:tc>
              <w:tc>
                <w:tcPr>
                  <w:tcW w:w="1444" w:type="dxa"/>
                  <w:vMerge/>
                </w:tcPr>
                <w:p w14:paraId="0884431A" w14:textId="77777777" w:rsidR="008C6A6C" w:rsidRPr="00D932A2" w:rsidRDefault="008C6A6C" w:rsidP="008C6A6C">
                  <w:pPr>
                    <w:pStyle w:val="NoSpacing"/>
                    <w:rPr>
                      <w:lang w:val="en-GB"/>
                    </w:rPr>
                  </w:pPr>
                </w:p>
              </w:tc>
              <w:tc>
                <w:tcPr>
                  <w:tcW w:w="1436" w:type="dxa"/>
                  <w:vMerge/>
                </w:tcPr>
                <w:p w14:paraId="550EF58A" w14:textId="77777777" w:rsidR="008C6A6C" w:rsidRPr="00D932A2" w:rsidRDefault="008C6A6C" w:rsidP="008C6A6C">
                  <w:pPr>
                    <w:pStyle w:val="NoSpacing"/>
                    <w:rPr>
                      <w:lang w:val="en-GB"/>
                    </w:rPr>
                  </w:pPr>
                </w:p>
              </w:tc>
              <w:tc>
                <w:tcPr>
                  <w:tcW w:w="1262" w:type="dxa"/>
                  <w:vMerge w:val="restart"/>
                </w:tcPr>
                <w:p w14:paraId="39EE98B5" w14:textId="77777777" w:rsidR="008C6A6C" w:rsidRPr="00D932A2" w:rsidRDefault="008C6A6C" w:rsidP="008C6A6C">
                  <w:pPr>
                    <w:pStyle w:val="NoSpacing"/>
                    <w:rPr>
                      <w:lang w:val="en-GB"/>
                    </w:rPr>
                  </w:pPr>
                  <w:r w:rsidRPr="00D932A2">
                    <w:rPr>
                      <w:lang w:val="en-GB"/>
                    </w:rPr>
                    <w:t>-Waste composition analysis</w:t>
                  </w:r>
                </w:p>
              </w:tc>
              <w:tc>
                <w:tcPr>
                  <w:tcW w:w="1888" w:type="dxa"/>
                  <w:vMerge w:val="restart"/>
                </w:tcPr>
                <w:p w14:paraId="11652EF9" w14:textId="77777777" w:rsidR="008C6A6C" w:rsidRPr="00D932A2" w:rsidRDefault="008C6A6C" w:rsidP="008C6A6C">
                  <w:pPr>
                    <w:pStyle w:val="NoSpacing"/>
                    <w:rPr>
                      <w:lang w:val="en-GB"/>
                    </w:rPr>
                  </w:pPr>
                  <w:r w:rsidRPr="00D932A2">
                    <w:rPr>
                      <w:lang w:val="en-GB"/>
                    </w:rPr>
                    <w:t>-Counting/ scanning</w:t>
                  </w:r>
                </w:p>
              </w:tc>
              <w:tc>
                <w:tcPr>
                  <w:tcW w:w="1427" w:type="dxa"/>
                  <w:shd w:val="clear" w:color="auto" w:fill="BFBFBF" w:themeFill="background1" w:themeFillShade="BF"/>
                </w:tcPr>
                <w:p w14:paraId="71C7CA6A" w14:textId="77777777" w:rsidR="008C6A6C" w:rsidRPr="00D932A2" w:rsidRDefault="008C6A6C" w:rsidP="008C6A6C">
                  <w:pPr>
                    <w:pStyle w:val="NoSpacing"/>
                    <w:rPr>
                      <w:lang w:val="en-GB"/>
                    </w:rPr>
                  </w:pPr>
                </w:p>
              </w:tc>
            </w:tr>
            <w:tr w:rsidR="008C6A6C" w:rsidRPr="00D932A2" w14:paraId="7C9E57B6" w14:textId="77777777" w:rsidTr="00A64F0D">
              <w:tc>
                <w:tcPr>
                  <w:tcW w:w="1885" w:type="dxa"/>
                </w:tcPr>
                <w:p w14:paraId="48BEFC9F" w14:textId="77777777" w:rsidR="008C6A6C" w:rsidRPr="00D932A2" w:rsidRDefault="008C6A6C" w:rsidP="008C6A6C">
                  <w:pPr>
                    <w:pStyle w:val="NoSpacing"/>
                    <w:rPr>
                      <w:lang w:val="en-GB"/>
                    </w:rPr>
                  </w:pPr>
                  <w:r w:rsidRPr="00D932A2">
                    <w:rPr>
                      <w:lang w:val="en-GB"/>
                    </w:rPr>
                    <w:t>Restaurants and food services</w:t>
                  </w:r>
                </w:p>
              </w:tc>
              <w:tc>
                <w:tcPr>
                  <w:tcW w:w="1444" w:type="dxa"/>
                  <w:vMerge/>
                </w:tcPr>
                <w:p w14:paraId="61EE419E" w14:textId="77777777" w:rsidR="008C6A6C" w:rsidRPr="00D932A2" w:rsidRDefault="008C6A6C" w:rsidP="008C6A6C">
                  <w:pPr>
                    <w:pStyle w:val="NoSpacing"/>
                    <w:rPr>
                      <w:lang w:val="en-GB"/>
                    </w:rPr>
                  </w:pPr>
                </w:p>
              </w:tc>
              <w:tc>
                <w:tcPr>
                  <w:tcW w:w="1436" w:type="dxa"/>
                  <w:vMerge w:val="restart"/>
                  <w:shd w:val="clear" w:color="auto" w:fill="BFBFBF" w:themeFill="background1" w:themeFillShade="BF"/>
                </w:tcPr>
                <w:p w14:paraId="0C582CC8" w14:textId="77777777" w:rsidR="008C6A6C" w:rsidRPr="00D932A2" w:rsidRDefault="008C6A6C" w:rsidP="008C6A6C">
                  <w:pPr>
                    <w:pStyle w:val="NoSpacing"/>
                    <w:rPr>
                      <w:lang w:val="en-GB"/>
                    </w:rPr>
                  </w:pPr>
                </w:p>
              </w:tc>
              <w:tc>
                <w:tcPr>
                  <w:tcW w:w="1262" w:type="dxa"/>
                  <w:vMerge/>
                </w:tcPr>
                <w:p w14:paraId="2DBABB17" w14:textId="77777777" w:rsidR="008C6A6C" w:rsidRPr="00D932A2" w:rsidRDefault="008C6A6C" w:rsidP="008C6A6C">
                  <w:pPr>
                    <w:pStyle w:val="NoSpacing"/>
                    <w:rPr>
                      <w:lang w:val="en-GB"/>
                    </w:rPr>
                  </w:pPr>
                </w:p>
              </w:tc>
              <w:tc>
                <w:tcPr>
                  <w:tcW w:w="1888" w:type="dxa"/>
                  <w:vMerge/>
                </w:tcPr>
                <w:p w14:paraId="6FA8314D" w14:textId="77777777" w:rsidR="008C6A6C" w:rsidRPr="00D932A2" w:rsidRDefault="008C6A6C" w:rsidP="008C6A6C">
                  <w:pPr>
                    <w:pStyle w:val="NoSpacing"/>
                    <w:rPr>
                      <w:lang w:val="en-GB"/>
                    </w:rPr>
                  </w:pPr>
                </w:p>
              </w:tc>
              <w:tc>
                <w:tcPr>
                  <w:tcW w:w="1427" w:type="dxa"/>
                  <w:vMerge w:val="restart"/>
                </w:tcPr>
                <w:p w14:paraId="22784FE9" w14:textId="77777777" w:rsidR="008C6A6C" w:rsidRPr="00D932A2" w:rsidRDefault="008C6A6C" w:rsidP="008C6A6C">
                  <w:pPr>
                    <w:pStyle w:val="NoSpacing"/>
                    <w:rPr>
                      <w:lang w:val="en-GB"/>
                    </w:rPr>
                  </w:pPr>
                  <w:r w:rsidRPr="00D932A2">
                    <w:rPr>
                      <w:lang w:val="en-GB"/>
                    </w:rPr>
                    <w:t>-Diaries</w:t>
                  </w:r>
                </w:p>
              </w:tc>
            </w:tr>
            <w:tr w:rsidR="008C6A6C" w:rsidRPr="00D932A2" w14:paraId="52A55D12" w14:textId="77777777" w:rsidTr="00A64F0D">
              <w:tc>
                <w:tcPr>
                  <w:tcW w:w="1885" w:type="dxa"/>
                </w:tcPr>
                <w:p w14:paraId="6197D88D" w14:textId="77777777" w:rsidR="008C6A6C" w:rsidRPr="00D932A2" w:rsidRDefault="008C6A6C" w:rsidP="008C6A6C">
                  <w:pPr>
                    <w:pStyle w:val="NoSpacing"/>
                    <w:rPr>
                      <w:lang w:val="en-GB"/>
                    </w:rPr>
                  </w:pPr>
                  <w:r w:rsidRPr="00D932A2">
                    <w:rPr>
                      <w:lang w:val="en-GB"/>
                    </w:rPr>
                    <w:lastRenderedPageBreak/>
                    <w:t>Households</w:t>
                  </w:r>
                </w:p>
              </w:tc>
              <w:tc>
                <w:tcPr>
                  <w:tcW w:w="1444" w:type="dxa"/>
                  <w:vMerge/>
                </w:tcPr>
                <w:p w14:paraId="195B87BF" w14:textId="77777777" w:rsidR="008C6A6C" w:rsidRPr="00D932A2" w:rsidRDefault="008C6A6C" w:rsidP="008C6A6C">
                  <w:pPr>
                    <w:pStyle w:val="NoSpacing"/>
                    <w:rPr>
                      <w:lang w:val="en-GB"/>
                    </w:rPr>
                  </w:pPr>
                </w:p>
              </w:tc>
              <w:tc>
                <w:tcPr>
                  <w:tcW w:w="1436" w:type="dxa"/>
                  <w:vMerge/>
                  <w:shd w:val="clear" w:color="auto" w:fill="BFBFBF" w:themeFill="background1" w:themeFillShade="BF"/>
                </w:tcPr>
                <w:p w14:paraId="67735ACA" w14:textId="77777777" w:rsidR="008C6A6C" w:rsidRPr="00D932A2" w:rsidRDefault="008C6A6C" w:rsidP="008C6A6C">
                  <w:pPr>
                    <w:pStyle w:val="NoSpacing"/>
                    <w:rPr>
                      <w:lang w:val="en-GB"/>
                    </w:rPr>
                  </w:pPr>
                </w:p>
              </w:tc>
              <w:tc>
                <w:tcPr>
                  <w:tcW w:w="1262" w:type="dxa"/>
                  <w:vMerge/>
                </w:tcPr>
                <w:p w14:paraId="4F6EDE42" w14:textId="77777777" w:rsidR="008C6A6C" w:rsidRPr="00D932A2" w:rsidRDefault="008C6A6C" w:rsidP="008C6A6C">
                  <w:pPr>
                    <w:pStyle w:val="NoSpacing"/>
                    <w:rPr>
                      <w:lang w:val="en-GB"/>
                    </w:rPr>
                  </w:pPr>
                </w:p>
              </w:tc>
              <w:tc>
                <w:tcPr>
                  <w:tcW w:w="1888" w:type="dxa"/>
                  <w:shd w:val="clear" w:color="auto" w:fill="BFBFBF" w:themeFill="background1" w:themeFillShade="BF"/>
                </w:tcPr>
                <w:p w14:paraId="6B5172E0" w14:textId="77777777" w:rsidR="008C6A6C" w:rsidRPr="00D932A2" w:rsidRDefault="008C6A6C" w:rsidP="008C6A6C">
                  <w:pPr>
                    <w:pStyle w:val="NoSpacing"/>
                    <w:rPr>
                      <w:lang w:val="en-GB"/>
                    </w:rPr>
                  </w:pPr>
                </w:p>
              </w:tc>
              <w:tc>
                <w:tcPr>
                  <w:tcW w:w="1427" w:type="dxa"/>
                  <w:vMerge/>
                </w:tcPr>
                <w:p w14:paraId="2EB0E09B" w14:textId="77777777" w:rsidR="008C6A6C" w:rsidRPr="00D932A2" w:rsidRDefault="008C6A6C" w:rsidP="008C6A6C">
                  <w:pPr>
                    <w:pStyle w:val="NoSpacing"/>
                    <w:rPr>
                      <w:lang w:val="en-GB"/>
                    </w:rPr>
                  </w:pPr>
                </w:p>
              </w:tc>
            </w:tr>
          </w:tbl>
          <w:p w14:paraId="2CF04F4F" w14:textId="77777777" w:rsidR="008C6A6C" w:rsidRPr="00D932A2" w:rsidRDefault="008C6A6C" w:rsidP="008C6A6C">
            <w:pPr>
              <w:pStyle w:val="NoSpacing"/>
              <w:rPr>
                <w:lang w:val="en-GB"/>
              </w:rPr>
            </w:pPr>
          </w:p>
          <w:p w14:paraId="1A1F6663" w14:textId="77777777" w:rsidR="008C6A6C" w:rsidRDefault="008C6A6C" w:rsidP="008C6A6C">
            <w:pPr>
              <w:pStyle w:val="NoSpacing"/>
            </w:pPr>
          </w:p>
        </w:tc>
        <w:tc>
          <w:tcPr>
            <w:tcW w:w="0" w:type="auto"/>
          </w:tcPr>
          <w:p w14:paraId="41A7B1E4" w14:textId="77777777" w:rsidR="008C6A6C" w:rsidRDefault="008C6A6C" w:rsidP="008C6A6C">
            <w:pPr>
              <w:pStyle w:val="NoSpacing"/>
              <w:rPr>
                <w:lang w:eastAsia="en-GB"/>
              </w:rPr>
            </w:pPr>
            <w:r w:rsidRPr="001A7CBF">
              <w:rPr>
                <w:lang w:eastAsia="en-GB"/>
              </w:rPr>
              <w:lastRenderedPageBreak/>
              <w:t xml:space="preserve">Loss data collection is already taking place though FAO’s annual Agriculture Production Questionnaire in April every year. </w:t>
            </w:r>
          </w:p>
          <w:p w14:paraId="59604E12" w14:textId="77777777" w:rsidR="008C6A6C" w:rsidRPr="005828F5" w:rsidRDefault="008C6A6C" w:rsidP="008C6A6C">
            <w:pPr>
              <w:pStyle w:val="NoSpacing"/>
            </w:pPr>
          </w:p>
        </w:tc>
        <w:tc>
          <w:tcPr>
            <w:tcW w:w="0" w:type="auto"/>
          </w:tcPr>
          <w:p w14:paraId="5E9FE500" w14:textId="77777777" w:rsidR="008C6A6C" w:rsidRDefault="008C6A6C" w:rsidP="008C6A6C">
            <w:pPr>
              <w:pStyle w:val="NoSpacing"/>
              <w:rPr>
                <w:rFonts w:eastAsia="Times New Roman" w:cs="Times New Roman"/>
                <w:color w:val="4A4A4A"/>
                <w:lang w:eastAsia="en-GB"/>
              </w:rPr>
            </w:pPr>
            <w:r w:rsidRPr="00FC17F8">
              <w:t>Given the various data sources, national data providers vary. Official information on food commodity production</w:t>
            </w:r>
            <w:r>
              <w:t xml:space="preserve"> </w:t>
            </w:r>
            <w:r w:rsidRPr="00FC17F8">
              <w:t>and utilization used by FAO to compile Food Balance Sheets is provided mainly by Statistical Units of the Ministry of Agriculture</w:t>
            </w:r>
            <w:r>
              <w:t xml:space="preserve"> or the </w:t>
            </w:r>
            <w:r w:rsidRPr="001A7CBF">
              <w:rPr>
                <w:rFonts w:eastAsia="Times New Roman" w:cs="Times New Roman"/>
                <w:color w:val="4A4A4A"/>
                <w:lang w:eastAsia="en-GB"/>
              </w:rPr>
              <w:t>National Statistical Offices</w:t>
            </w:r>
            <w:r>
              <w:rPr>
                <w:rFonts w:eastAsia="Times New Roman" w:cs="Times New Roman"/>
                <w:color w:val="4A4A4A"/>
                <w:lang w:eastAsia="en-GB"/>
              </w:rPr>
              <w:t>.</w:t>
            </w:r>
          </w:p>
          <w:p w14:paraId="37211062" w14:textId="77777777" w:rsidR="008C6A6C" w:rsidRPr="00BA6818" w:rsidRDefault="008C6A6C" w:rsidP="008C6A6C">
            <w:pPr>
              <w:pStyle w:val="NoSpacing"/>
            </w:pPr>
          </w:p>
        </w:tc>
        <w:tc>
          <w:tcPr>
            <w:tcW w:w="0" w:type="auto"/>
          </w:tcPr>
          <w:p w14:paraId="0A7E6236" w14:textId="77777777" w:rsidR="008C6A6C" w:rsidRDefault="008C6A6C" w:rsidP="008C6A6C">
            <w:pPr>
              <w:spacing w:line="276" w:lineRule="auto"/>
              <w:jc w:val="center"/>
            </w:pPr>
            <w:r w:rsidRPr="00BC6F10">
              <w:t>BBS</w:t>
            </w:r>
          </w:p>
          <w:p w14:paraId="2D8A6698" w14:textId="77777777" w:rsidR="008C6A6C" w:rsidRDefault="008C6A6C" w:rsidP="000C4849">
            <w:pPr>
              <w:spacing w:line="276" w:lineRule="auto"/>
            </w:pPr>
          </w:p>
          <w:p w14:paraId="318E98CE" w14:textId="77777777" w:rsidR="008C6A6C" w:rsidRDefault="008C6A6C" w:rsidP="008C6A6C">
            <w:pPr>
              <w:spacing w:line="276" w:lineRule="auto"/>
              <w:jc w:val="center"/>
            </w:pPr>
            <w:r>
              <w:t>Survey</w:t>
            </w:r>
          </w:p>
          <w:p w14:paraId="4688EA88" w14:textId="77777777" w:rsidR="008C6A6C" w:rsidRPr="00BC6F10" w:rsidRDefault="008C6A6C" w:rsidP="008C6A6C">
            <w:pPr>
              <w:spacing w:line="276" w:lineRule="auto"/>
              <w:jc w:val="center"/>
            </w:pPr>
          </w:p>
        </w:tc>
        <w:tc>
          <w:tcPr>
            <w:tcW w:w="0" w:type="auto"/>
          </w:tcPr>
          <w:p w14:paraId="0D9A3921" w14:textId="77777777" w:rsidR="008C6A6C" w:rsidRDefault="008C6A6C" w:rsidP="008C6A6C">
            <w:pPr>
              <w:spacing w:line="276" w:lineRule="auto"/>
              <w:jc w:val="center"/>
            </w:pPr>
            <w:r>
              <w:t>a) BBS</w:t>
            </w:r>
          </w:p>
          <w:p w14:paraId="708E52AB" w14:textId="77777777" w:rsidR="008C6A6C" w:rsidRDefault="008C6A6C" w:rsidP="008C6A6C">
            <w:pPr>
              <w:spacing w:line="276" w:lineRule="auto"/>
              <w:jc w:val="center"/>
            </w:pPr>
            <w:r>
              <w:t>Survey</w:t>
            </w:r>
          </w:p>
          <w:p w14:paraId="1F06665B" w14:textId="77777777" w:rsidR="008C6A6C" w:rsidRPr="00BC6F10" w:rsidRDefault="008C6A6C" w:rsidP="008C6A6C">
            <w:pPr>
              <w:spacing w:line="276" w:lineRule="auto"/>
              <w:jc w:val="center"/>
            </w:pPr>
            <w:r>
              <w:t>b) FPMU, MoF</w:t>
            </w:r>
          </w:p>
        </w:tc>
        <w:tc>
          <w:tcPr>
            <w:tcW w:w="0" w:type="auto"/>
          </w:tcPr>
          <w:p w14:paraId="07385181" w14:textId="019AF7CF" w:rsidR="000F34D9" w:rsidRPr="000C4849" w:rsidRDefault="000F34D9" w:rsidP="000C4849">
            <w:pPr>
              <w:pStyle w:val="ListParagraph"/>
              <w:numPr>
                <w:ilvl w:val="0"/>
                <w:numId w:val="52"/>
              </w:numPr>
              <w:spacing w:after="0" w:line="240" w:lineRule="auto"/>
              <w:ind w:left="160" w:hanging="160"/>
              <w:jc w:val="both"/>
              <w:rPr>
                <w:color w:val="0070C0"/>
                <w:sz w:val="30"/>
                <w:szCs w:val="30"/>
              </w:rPr>
            </w:pPr>
            <w:r w:rsidRPr="000F34D9">
              <w:rPr>
                <w:rFonts w:ascii="Tw Cen MT Condensed" w:eastAsia="Times New Roman" w:hAnsi="Tw Cen MT Condensed" w:cs="Times New Roman"/>
                <w:color w:val="4A4A4A"/>
                <w:sz w:val="21"/>
                <w:szCs w:val="21"/>
                <w:lang w:eastAsia="en-GB"/>
              </w:rPr>
              <w:t>by geographic area or agro-ecological zone</w:t>
            </w:r>
          </w:p>
          <w:p w14:paraId="31216644" w14:textId="36355820" w:rsidR="000F34D9" w:rsidRDefault="000F34D9" w:rsidP="000C4849">
            <w:pPr>
              <w:pStyle w:val="ListParagraph"/>
              <w:numPr>
                <w:ilvl w:val="0"/>
                <w:numId w:val="52"/>
              </w:numPr>
              <w:spacing w:after="0" w:line="240" w:lineRule="auto"/>
              <w:jc w:val="both"/>
              <w:rPr>
                <w:color w:val="0070C0"/>
                <w:szCs w:val="20"/>
              </w:rPr>
            </w:pPr>
            <w:r w:rsidRPr="000C4849">
              <w:rPr>
                <w:rFonts w:ascii="Tw Cen MT Condensed" w:hAnsi="Tw Cen MT Condensed"/>
                <w:color w:val="0070C0"/>
                <w:sz w:val="20"/>
                <w:szCs w:val="20"/>
              </w:rPr>
              <w:t>points of the value chain (farm, transport, markets, processers)</w:t>
            </w:r>
          </w:p>
          <w:p w14:paraId="37828470" w14:textId="0AA405CD" w:rsidR="000F34D9" w:rsidRPr="000C4849" w:rsidRDefault="000F34D9" w:rsidP="000C4849">
            <w:pPr>
              <w:pStyle w:val="ListParagraph"/>
              <w:numPr>
                <w:ilvl w:val="0"/>
                <w:numId w:val="52"/>
              </w:numPr>
              <w:spacing w:after="0" w:line="240" w:lineRule="auto"/>
              <w:jc w:val="both"/>
              <w:rPr>
                <w:color w:val="0070C0"/>
                <w:sz w:val="20"/>
                <w:szCs w:val="20"/>
              </w:rPr>
            </w:pPr>
            <w:r w:rsidRPr="000F34D9">
              <w:rPr>
                <w:rFonts w:ascii="Tw Cen MT Condensed" w:hAnsi="Tw Cen MT Condensed"/>
                <w:color w:val="0070C0"/>
                <w:sz w:val="20"/>
                <w:szCs w:val="20"/>
              </w:rPr>
              <w:t>economic sectors (small-holders or traditional sector versus large and commercial farms/firms)</w:t>
            </w:r>
          </w:p>
          <w:p w14:paraId="53916AD4" w14:textId="7B33A470" w:rsidR="008C6A6C" w:rsidRDefault="008C6A6C" w:rsidP="000F34D9">
            <w:pPr>
              <w:ind w:left="970" w:hanging="970"/>
              <w:jc w:val="both"/>
              <w:rPr>
                <w:color w:val="0070C0"/>
                <w:sz w:val="30"/>
                <w:szCs w:val="30"/>
              </w:rPr>
            </w:pPr>
          </w:p>
        </w:tc>
        <w:tc>
          <w:tcPr>
            <w:tcW w:w="0" w:type="auto"/>
          </w:tcPr>
          <w:p w14:paraId="0CBC2295" w14:textId="77777777" w:rsidR="008C6A6C" w:rsidRDefault="008C6A6C" w:rsidP="008C6A6C">
            <w:pPr>
              <w:ind w:left="970" w:hanging="970"/>
              <w:jc w:val="both"/>
              <w:rPr>
                <w:color w:val="0070C0"/>
                <w:sz w:val="30"/>
                <w:szCs w:val="30"/>
              </w:rPr>
            </w:pPr>
            <w:r w:rsidRPr="00BC6F10">
              <w:t>Annual</w:t>
            </w:r>
          </w:p>
        </w:tc>
        <w:tc>
          <w:tcPr>
            <w:tcW w:w="0" w:type="auto"/>
          </w:tcPr>
          <w:p w14:paraId="28876042" w14:textId="77777777" w:rsidR="008C6A6C" w:rsidRDefault="008C6A6C" w:rsidP="008C6A6C">
            <w:pPr>
              <w:ind w:left="970" w:hanging="970"/>
              <w:jc w:val="both"/>
              <w:rPr>
                <w:color w:val="0070C0"/>
                <w:sz w:val="30"/>
                <w:szCs w:val="30"/>
              </w:rPr>
            </w:pPr>
            <w:r>
              <w:t>Group 2</w:t>
            </w:r>
          </w:p>
        </w:tc>
        <w:tc>
          <w:tcPr>
            <w:tcW w:w="0" w:type="auto"/>
          </w:tcPr>
          <w:p w14:paraId="1C4D40ED" w14:textId="1F84C1CF" w:rsidR="008C6A6C" w:rsidRDefault="008C6A6C" w:rsidP="008C6A6C">
            <w:pPr>
              <w:pStyle w:val="NoSpacing"/>
            </w:pPr>
          </w:p>
          <w:p w14:paraId="5AC07639" w14:textId="77777777" w:rsidR="008C6A6C" w:rsidRDefault="008C6A6C" w:rsidP="008C6A6C">
            <w:pPr>
              <w:pStyle w:val="NoSpacing"/>
            </w:pPr>
          </w:p>
          <w:p w14:paraId="24845667" w14:textId="561C5B83" w:rsidR="008C6A6C" w:rsidRDefault="008C6A6C" w:rsidP="008C6A6C">
            <w:pPr>
              <w:pStyle w:val="NoSpacing"/>
            </w:pPr>
            <w:r>
              <w:t>1</w:t>
            </w:r>
            <w:r w:rsidRPr="00013ACB">
              <w:rPr>
                <w:vertAlign w:val="superscript"/>
              </w:rPr>
              <w:t>st</w:t>
            </w:r>
            <w:r>
              <w:t xml:space="preserve"> Round:</w:t>
            </w:r>
            <w:r w:rsidR="000D7AAB" w:rsidRPr="004C18F9">
              <w:t xml:space="preserve"> December, 2020</w:t>
            </w:r>
          </w:p>
          <w:p w14:paraId="03F38444" w14:textId="77777777" w:rsidR="008C6A6C" w:rsidRDefault="008C6A6C" w:rsidP="008C6A6C">
            <w:pPr>
              <w:pStyle w:val="NoSpacing"/>
            </w:pPr>
          </w:p>
          <w:p w14:paraId="3025C5D3" w14:textId="42FB78D6" w:rsidR="008C6A6C" w:rsidRDefault="008C6A6C" w:rsidP="008C6A6C">
            <w:pPr>
              <w:pStyle w:val="NoSpacing"/>
            </w:pPr>
            <w:r>
              <w:t>2</w:t>
            </w:r>
            <w:r w:rsidRPr="00013ACB">
              <w:rPr>
                <w:vertAlign w:val="superscript"/>
              </w:rPr>
              <w:t>nd</w:t>
            </w:r>
            <w:r>
              <w:t xml:space="preserve"> Round:</w:t>
            </w:r>
            <w:r w:rsidR="000D7AAB" w:rsidRPr="004C18F9">
              <w:t xml:space="preserve"> December, 202</w:t>
            </w:r>
            <w:r w:rsidR="000D7AAB">
              <w:t>1</w:t>
            </w:r>
          </w:p>
          <w:p w14:paraId="3422EE12" w14:textId="77777777" w:rsidR="008C6A6C" w:rsidRDefault="008C6A6C" w:rsidP="008C6A6C">
            <w:pPr>
              <w:pStyle w:val="NoSpacing"/>
            </w:pPr>
            <w:r>
              <w:t xml:space="preserve"> </w:t>
            </w:r>
          </w:p>
          <w:p w14:paraId="3B13E7C7" w14:textId="7AAE1B88" w:rsidR="008C6A6C" w:rsidRDefault="008C6A6C" w:rsidP="008C6A6C">
            <w:pPr>
              <w:pStyle w:val="NoSpacing"/>
            </w:pPr>
            <w:r>
              <w:t>3</w:t>
            </w:r>
            <w:r w:rsidRPr="00013ACB">
              <w:rPr>
                <w:vertAlign w:val="superscript"/>
              </w:rPr>
              <w:t>rd</w:t>
            </w:r>
            <w:r>
              <w:t xml:space="preserve"> Round: </w:t>
            </w:r>
            <w:r w:rsidR="000D7AAB" w:rsidRPr="004C18F9">
              <w:t>December, 202</w:t>
            </w:r>
            <w:r w:rsidR="000D7AAB">
              <w:t>2</w:t>
            </w:r>
          </w:p>
          <w:p w14:paraId="05AFA2D3" w14:textId="77777777" w:rsidR="008C6A6C" w:rsidRDefault="008C6A6C" w:rsidP="008C6A6C">
            <w:pPr>
              <w:pStyle w:val="NoSpacing"/>
            </w:pPr>
          </w:p>
          <w:p w14:paraId="3E0630D9" w14:textId="047DDA8A" w:rsidR="008C6A6C" w:rsidRDefault="008C6A6C" w:rsidP="008C6A6C">
            <w:pPr>
              <w:pStyle w:val="NoSpacing"/>
            </w:pPr>
            <w:r>
              <w:t>4</w:t>
            </w:r>
            <w:r w:rsidRPr="00013ACB">
              <w:rPr>
                <w:vertAlign w:val="superscript"/>
              </w:rPr>
              <w:t>th</w:t>
            </w:r>
            <w:r>
              <w:t xml:space="preserve"> Round: </w:t>
            </w:r>
            <w:r w:rsidR="000D7AAB" w:rsidRPr="004C18F9">
              <w:t>December, 202</w:t>
            </w:r>
            <w:r w:rsidR="000D7AAB">
              <w:t>3</w:t>
            </w:r>
          </w:p>
          <w:p w14:paraId="0E8CD784" w14:textId="77777777" w:rsidR="008C6A6C" w:rsidRDefault="008C6A6C" w:rsidP="008C6A6C">
            <w:pPr>
              <w:pStyle w:val="NoSpacing"/>
            </w:pPr>
          </w:p>
          <w:p w14:paraId="4C349EE5" w14:textId="599EC5E4" w:rsidR="008C6A6C" w:rsidRDefault="008C6A6C" w:rsidP="008C6A6C">
            <w:pPr>
              <w:pStyle w:val="NoSpacing"/>
            </w:pPr>
            <w:r>
              <w:t>5</w:t>
            </w:r>
            <w:r w:rsidRPr="00013ACB">
              <w:rPr>
                <w:vertAlign w:val="superscript"/>
              </w:rPr>
              <w:t>th</w:t>
            </w:r>
            <w:r>
              <w:t xml:space="preserve"> Round: </w:t>
            </w:r>
            <w:r w:rsidR="000D7AAB" w:rsidRPr="004C18F9">
              <w:t>December, 202</w:t>
            </w:r>
            <w:r w:rsidR="000D7AAB">
              <w:t>4</w:t>
            </w:r>
          </w:p>
          <w:p w14:paraId="6C848B4E" w14:textId="656597BD" w:rsidR="008C6A6C" w:rsidRDefault="008C6A6C" w:rsidP="008C6A6C">
            <w:pPr>
              <w:pStyle w:val="NoSpacing"/>
            </w:pPr>
          </w:p>
        </w:tc>
        <w:tc>
          <w:tcPr>
            <w:tcW w:w="0" w:type="auto"/>
          </w:tcPr>
          <w:p w14:paraId="33E12C8B" w14:textId="77777777" w:rsidR="008C6A6C" w:rsidRDefault="008C6A6C" w:rsidP="008C6A6C">
            <w:pPr>
              <w:pStyle w:val="NoSpacing"/>
            </w:pPr>
            <w:r>
              <w:t>Part (b) reviewed at Nov./Dec. 2019 WebEx (classified as Tier II)</w:t>
            </w:r>
          </w:p>
          <w:p w14:paraId="6076980D" w14:textId="77777777" w:rsidR="008C6A6C" w:rsidRDefault="008C6A6C" w:rsidP="008C6A6C">
            <w:pPr>
              <w:pStyle w:val="NoSpacing"/>
            </w:pPr>
          </w:p>
          <w:p w14:paraId="40B41678" w14:textId="77777777" w:rsidR="008C6A6C" w:rsidRDefault="008C6A6C" w:rsidP="008C6A6C">
            <w:pPr>
              <w:pStyle w:val="NoSpacing"/>
            </w:pPr>
            <w:r>
              <w:t>UNSC 50 refinement; Part (a) reviewed at 8th IAEG-SDG meeting (classified as Tier II)</w:t>
            </w:r>
          </w:p>
          <w:p w14:paraId="57CEDB13" w14:textId="77777777" w:rsidR="008C6A6C" w:rsidRDefault="008C6A6C" w:rsidP="008C6A6C">
            <w:pPr>
              <w:pStyle w:val="NoSpacing"/>
            </w:pPr>
          </w:p>
          <w:p w14:paraId="35B74DCE" w14:textId="77777777" w:rsidR="008C6A6C" w:rsidRDefault="008C6A6C" w:rsidP="008C6A6C">
            <w:pPr>
              <w:pStyle w:val="NoSpacing"/>
            </w:pPr>
            <w:r>
              <w:t xml:space="preserve">Reviewed at Webex meeting in Nov. 2017 following 6th IAEG-SDG meeting: Request more </w:t>
            </w:r>
            <w:r>
              <w:lastRenderedPageBreak/>
              <w:t>clarification on methodology and metadata as well as results of pilot studies</w:t>
            </w:r>
          </w:p>
        </w:tc>
      </w:tr>
      <w:tr w:rsidR="000618B2" w14:paraId="484BDF4C" w14:textId="77777777" w:rsidTr="00D52BCB">
        <w:tc>
          <w:tcPr>
            <w:tcW w:w="0" w:type="auto"/>
            <w:gridSpan w:val="13"/>
          </w:tcPr>
          <w:p w14:paraId="38B664F5" w14:textId="77777777" w:rsidR="000618B2" w:rsidRDefault="000618B2" w:rsidP="008C6A6C">
            <w:pPr>
              <w:jc w:val="both"/>
              <w:rPr>
                <w:color w:val="0070C0"/>
                <w:sz w:val="48"/>
                <w:szCs w:val="48"/>
              </w:rPr>
            </w:pPr>
            <w:r>
              <w:rPr>
                <w:color w:val="0070C0"/>
                <w:sz w:val="30"/>
                <w:szCs w:val="30"/>
              </w:rPr>
              <w:lastRenderedPageBreak/>
              <w:t xml:space="preserve">Target </w:t>
            </w:r>
            <w:r w:rsidRPr="00C97C3C">
              <w:rPr>
                <w:color w:val="0070C0"/>
                <w:sz w:val="30"/>
                <w:szCs w:val="30"/>
              </w:rPr>
              <w:t>12.4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tc>
      </w:tr>
      <w:tr w:rsidR="008C6A6C" w14:paraId="2878B3C6" w14:textId="77777777" w:rsidTr="00A64F0D">
        <w:tc>
          <w:tcPr>
            <w:tcW w:w="0" w:type="auto"/>
          </w:tcPr>
          <w:p w14:paraId="21C24DB6" w14:textId="77777777" w:rsidR="008C6A6C" w:rsidRDefault="008C6A6C" w:rsidP="008C6A6C">
            <w:pPr>
              <w:pStyle w:val="NoSpacing"/>
            </w:pPr>
            <w:r w:rsidRPr="00360230">
              <w:t>12.4.1 Number of parties to international multilateral environmental agreements on hazardous waste, and other chemicals that meet their commitments and obligations in transmitting information as required by each relevant agreement</w:t>
            </w:r>
          </w:p>
        </w:tc>
        <w:tc>
          <w:tcPr>
            <w:tcW w:w="0" w:type="auto"/>
          </w:tcPr>
          <w:p w14:paraId="362C168F" w14:textId="77777777" w:rsidR="008C6A6C" w:rsidRDefault="008C6A6C" w:rsidP="008C6A6C">
            <w:pPr>
              <w:ind w:left="970" w:hanging="970"/>
              <w:jc w:val="both"/>
              <w:rPr>
                <w:color w:val="0070C0"/>
                <w:sz w:val="30"/>
                <w:szCs w:val="30"/>
              </w:rPr>
            </w:pPr>
          </w:p>
          <w:p w14:paraId="546A44D0" w14:textId="77777777" w:rsidR="008C6A6C" w:rsidRDefault="008C6A6C" w:rsidP="008C6A6C">
            <w:pPr>
              <w:pStyle w:val="NoSpacing"/>
            </w:pPr>
            <w:r w:rsidRPr="004559CB">
              <w:t>UNEP</w:t>
            </w:r>
          </w:p>
        </w:tc>
        <w:tc>
          <w:tcPr>
            <w:tcW w:w="0" w:type="auto"/>
          </w:tcPr>
          <w:p w14:paraId="0BDEC9BD" w14:textId="77777777" w:rsidR="008C6A6C" w:rsidRDefault="008C6A6C" w:rsidP="008C6A6C">
            <w:pPr>
              <w:ind w:left="970" w:hanging="970"/>
              <w:jc w:val="both"/>
              <w:rPr>
                <w:color w:val="0070C0"/>
                <w:sz w:val="30"/>
                <w:szCs w:val="30"/>
              </w:rPr>
            </w:pPr>
            <w:r>
              <w:t>Tier I</w:t>
            </w:r>
          </w:p>
        </w:tc>
        <w:tc>
          <w:tcPr>
            <w:tcW w:w="0" w:type="auto"/>
          </w:tcPr>
          <w:p w14:paraId="7CEE19E5" w14:textId="77777777" w:rsidR="008C6A6C" w:rsidRPr="00276C55" w:rsidRDefault="008C6A6C" w:rsidP="008C6A6C">
            <w:pPr>
              <w:pStyle w:val="NoSpacing"/>
              <w:rPr>
                <w:szCs w:val="20"/>
                <w:lang w:eastAsia="en-GB"/>
              </w:rPr>
            </w:pPr>
            <w:r w:rsidRPr="00276C55">
              <w:rPr>
                <w:szCs w:val="20"/>
                <w:lang w:eastAsia="en-GB"/>
              </w:rPr>
              <w:t>Definition:</w:t>
            </w:r>
          </w:p>
          <w:p w14:paraId="556455E9" w14:textId="77777777" w:rsidR="008C6A6C" w:rsidRPr="00276C55" w:rsidRDefault="008C6A6C" w:rsidP="008C6A6C">
            <w:pPr>
              <w:pStyle w:val="NoSpacing"/>
              <w:rPr>
                <w:szCs w:val="20"/>
                <w:lang w:eastAsia="en-GB"/>
              </w:rPr>
            </w:pPr>
            <w:r w:rsidRPr="00276C55">
              <w:rPr>
                <w:szCs w:val="20"/>
                <w:lang w:eastAsia="en-GB"/>
              </w:rPr>
              <w:t>The indicator refers to the number of parties (=countries that have ratified, accepted, approved or accessed), to the following Multilateral Environmental Agreements (MEAs):</w:t>
            </w:r>
          </w:p>
          <w:p w14:paraId="05409EE5" w14:textId="77777777" w:rsidR="008C6A6C" w:rsidRPr="00276C55" w:rsidRDefault="008C6A6C" w:rsidP="008C6A6C">
            <w:pPr>
              <w:pStyle w:val="NoSpacing"/>
              <w:rPr>
                <w:szCs w:val="20"/>
                <w:lang w:eastAsia="en-GB"/>
              </w:rPr>
            </w:pPr>
          </w:p>
          <w:p w14:paraId="1B1C631A" w14:textId="77777777" w:rsidR="008C6A6C" w:rsidRPr="00276C55" w:rsidRDefault="008C6A6C" w:rsidP="008C6A6C">
            <w:pPr>
              <w:pStyle w:val="NoSpacing"/>
              <w:rPr>
                <w:szCs w:val="20"/>
                <w:lang w:eastAsia="en-GB"/>
              </w:rPr>
            </w:pPr>
            <w:r w:rsidRPr="00276C55">
              <w:rPr>
                <w:szCs w:val="20"/>
                <w:lang w:eastAsia="en-GB"/>
              </w:rPr>
              <w:t xml:space="preserve">The Basel Convention on the Control of Transboundary Movements of Hazardous Wastes and their Disposal (Basel Convention); </w:t>
            </w:r>
          </w:p>
          <w:p w14:paraId="2B12A0DB" w14:textId="77777777" w:rsidR="008C6A6C" w:rsidRPr="00276C55" w:rsidRDefault="008C6A6C" w:rsidP="008C6A6C">
            <w:pPr>
              <w:pStyle w:val="NoSpacing"/>
              <w:rPr>
                <w:szCs w:val="20"/>
                <w:lang w:eastAsia="en-GB"/>
              </w:rPr>
            </w:pPr>
            <w:r w:rsidRPr="00276C55">
              <w:rPr>
                <w:szCs w:val="20"/>
                <w:lang w:eastAsia="en-GB"/>
              </w:rPr>
              <w:t>The Rotterdam Convention on the prior informed consent procedure for certain hazardous chemicals and pesticides in international trade (Rotterdam Convention);</w:t>
            </w:r>
          </w:p>
          <w:p w14:paraId="04B1C52F" w14:textId="77777777" w:rsidR="008C6A6C" w:rsidRPr="00276C55" w:rsidRDefault="008C6A6C" w:rsidP="008C6A6C">
            <w:pPr>
              <w:pStyle w:val="NoSpacing"/>
              <w:rPr>
                <w:szCs w:val="20"/>
                <w:lang w:eastAsia="en-GB"/>
              </w:rPr>
            </w:pPr>
            <w:r w:rsidRPr="00276C55">
              <w:rPr>
                <w:szCs w:val="20"/>
                <w:lang w:eastAsia="en-GB"/>
              </w:rPr>
              <w:t>The Stockholm Convention on Persistent Organic Pollutants (Stockholm Convention);</w:t>
            </w:r>
          </w:p>
          <w:p w14:paraId="32E64476" w14:textId="77777777" w:rsidR="008C6A6C" w:rsidRPr="00276C55" w:rsidRDefault="008C6A6C" w:rsidP="008C6A6C">
            <w:pPr>
              <w:pStyle w:val="NoSpacing"/>
              <w:rPr>
                <w:szCs w:val="20"/>
                <w:lang w:eastAsia="en-GB"/>
              </w:rPr>
            </w:pPr>
            <w:r w:rsidRPr="00276C55">
              <w:rPr>
                <w:szCs w:val="20"/>
                <w:lang w:eastAsia="en-GB"/>
              </w:rPr>
              <w:t>The Montreal Protocol on Substances that Deplete the Ozone Layer (Montreal Protocol);</w:t>
            </w:r>
          </w:p>
          <w:p w14:paraId="46DD3909" w14:textId="77777777" w:rsidR="008C6A6C" w:rsidRPr="00276C55" w:rsidRDefault="008C6A6C" w:rsidP="008C6A6C">
            <w:pPr>
              <w:pStyle w:val="NoSpacing"/>
              <w:rPr>
                <w:szCs w:val="20"/>
                <w:lang w:eastAsia="en-GB"/>
              </w:rPr>
            </w:pPr>
            <w:r w:rsidRPr="00276C55">
              <w:rPr>
                <w:szCs w:val="20"/>
                <w:lang w:eastAsia="en-GB"/>
              </w:rPr>
              <w:t>Minamata Convention on Mercury (Minamata Convention),</w:t>
            </w:r>
          </w:p>
          <w:p w14:paraId="2FE1E3C4" w14:textId="77777777" w:rsidR="008C6A6C" w:rsidRPr="00276C55" w:rsidRDefault="008C6A6C" w:rsidP="008C6A6C">
            <w:pPr>
              <w:pStyle w:val="NoSpacing"/>
              <w:rPr>
                <w:szCs w:val="20"/>
                <w:lang w:eastAsia="en-GB"/>
              </w:rPr>
            </w:pPr>
          </w:p>
          <w:p w14:paraId="07EB9359" w14:textId="77777777" w:rsidR="008C6A6C" w:rsidRPr="00276C55" w:rsidRDefault="008C6A6C" w:rsidP="008C6A6C">
            <w:pPr>
              <w:pStyle w:val="NoSpacing"/>
              <w:rPr>
                <w:szCs w:val="20"/>
                <w:lang w:eastAsia="en-GB"/>
              </w:rPr>
            </w:pPr>
            <w:r w:rsidRPr="00276C55">
              <w:rPr>
                <w:szCs w:val="20"/>
                <w:lang w:eastAsia="en-GB"/>
              </w:rPr>
              <w:t xml:space="preserve">Which have submitted the information to the Secretariat of each MEA, as required by each of the </w:t>
            </w:r>
            <w:proofErr w:type="gramStart"/>
            <w:r w:rsidRPr="00276C55">
              <w:rPr>
                <w:szCs w:val="20"/>
                <w:lang w:eastAsia="en-GB"/>
              </w:rPr>
              <w:t>agreements.</w:t>
            </w:r>
            <w:proofErr w:type="gramEnd"/>
            <w:r w:rsidRPr="00276C55">
              <w:rPr>
                <w:szCs w:val="20"/>
                <w:lang w:eastAsia="en-GB"/>
              </w:rPr>
              <w:t xml:space="preserve"> </w:t>
            </w:r>
          </w:p>
          <w:p w14:paraId="73807932" w14:textId="77777777" w:rsidR="008C6A6C" w:rsidRPr="00276C55" w:rsidRDefault="008C6A6C" w:rsidP="008C6A6C">
            <w:pPr>
              <w:pStyle w:val="NoSpacing"/>
              <w:rPr>
                <w:szCs w:val="20"/>
                <w:lang w:eastAsia="en-GB"/>
              </w:rPr>
            </w:pPr>
          </w:p>
          <w:p w14:paraId="22B67864" w14:textId="77777777" w:rsidR="008C6A6C" w:rsidRPr="00276C55" w:rsidRDefault="008C6A6C" w:rsidP="008C6A6C">
            <w:pPr>
              <w:pStyle w:val="NoSpacing"/>
              <w:rPr>
                <w:szCs w:val="20"/>
                <w:lang w:eastAsia="en-GB"/>
              </w:rPr>
            </w:pPr>
            <w:r w:rsidRPr="00276C55">
              <w:rPr>
                <w:szCs w:val="20"/>
                <w:lang w:eastAsia="en-GB"/>
              </w:rPr>
              <w:t>The information required is as follows:</w:t>
            </w:r>
          </w:p>
          <w:p w14:paraId="4D35464E" w14:textId="77777777" w:rsidR="008C6A6C" w:rsidRPr="00276C55" w:rsidRDefault="008C6A6C" w:rsidP="008C6A6C">
            <w:pPr>
              <w:pStyle w:val="NoSpacing"/>
              <w:rPr>
                <w:szCs w:val="20"/>
                <w:lang w:eastAsia="en-GB"/>
              </w:rPr>
            </w:pPr>
          </w:p>
          <w:p w14:paraId="0FD6FE19" w14:textId="77777777" w:rsidR="008C6A6C" w:rsidRPr="00276C55" w:rsidRDefault="008C6A6C" w:rsidP="008C6A6C">
            <w:pPr>
              <w:pStyle w:val="NoSpacing"/>
              <w:rPr>
                <w:szCs w:val="20"/>
                <w:u w:val="single"/>
                <w:lang w:eastAsia="en-GB"/>
              </w:rPr>
            </w:pPr>
            <w:r w:rsidRPr="00276C55">
              <w:rPr>
                <w:szCs w:val="20"/>
                <w:u w:val="single"/>
                <w:lang w:eastAsia="en-GB"/>
              </w:rPr>
              <w:t>Basel Convention</w:t>
            </w:r>
            <w:r w:rsidRPr="00276C55">
              <w:rPr>
                <w:rStyle w:val="FootnoteReference"/>
                <w:rFonts w:eastAsia="Times New Roman" w:cs="Times New Roman"/>
                <w:b/>
                <w:color w:val="4A4A4A"/>
                <w:szCs w:val="20"/>
                <w:u w:val="single"/>
                <w:lang w:eastAsia="en-GB"/>
              </w:rPr>
              <w:footnoteReference w:id="22"/>
            </w:r>
            <w:r w:rsidRPr="00276C55">
              <w:rPr>
                <w:szCs w:val="20"/>
                <w:u w:val="single"/>
                <w:lang w:eastAsia="en-GB"/>
              </w:rPr>
              <w:t>:</w:t>
            </w:r>
          </w:p>
          <w:p w14:paraId="45DEBDCD" w14:textId="77777777" w:rsidR="008C6A6C" w:rsidRPr="00276C55" w:rsidRDefault="008C6A6C" w:rsidP="008C6A6C">
            <w:pPr>
              <w:pStyle w:val="NoSpacing"/>
              <w:rPr>
                <w:szCs w:val="20"/>
                <w:lang w:eastAsia="en-GB"/>
              </w:rPr>
            </w:pPr>
            <w:r w:rsidRPr="00276C55">
              <w:rPr>
                <w:szCs w:val="20"/>
                <w:lang w:eastAsia="en-GB"/>
              </w:rPr>
              <w:t>Designation of the Focal Point and one or more Competent Authorities;</w:t>
            </w:r>
          </w:p>
          <w:p w14:paraId="0D244E92" w14:textId="77777777" w:rsidR="008C6A6C" w:rsidRPr="00276C55" w:rsidRDefault="008C6A6C" w:rsidP="008C6A6C">
            <w:pPr>
              <w:pStyle w:val="NoSpacing"/>
              <w:rPr>
                <w:szCs w:val="20"/>
                <w:lang w:eastAsia="en-GB"/>
              </w:rPr>
            </w:pPr>
            <w:r w:rsidRPr="00276C55">
              <w:rPr>
                <w:szCs w:val="20"/>
                <w:lang w:eastAsia="en-GB"/>
              </w:rPr>
              <w:t>Submission of the annual national reports.</w:t>
            </w:r>
          </w:p>
          <w:p w14:paraId="44E6FC7F" w14:textId="77777777" w:rsidR="008C6A6C" w:rsidRPr="00276C55" w:rsidRDefault="008C6A6C" w:rsidP="008C6A6C">
            <w:pPr>
              <w:pStyle w:val="NoSpacing"/>
              <w:rPr>
                <w:szCs w:val="20"/>
                <w:lang w:eastAsia="en-GB"/>
              </w:rPr>
            </w:pPr>
          </w:p>
          <w:p w14:paraId="6C717C96" w14:textId="77777777" w:rsidR="008C6A6C" w:rsidRPr="00276C55" w:rsidRDefault="008C6A6C" w:rsidP="008C6A6C">
            <w:pPr>
              <w:pStyle w:val="NoSpacing"/>
              <w:rPr>
                <w:szCs w:val="20"/>
                <w:u w:val="single"/>
                <w:lang w:eastAsia="en-GB"/>
              </w:rPr>
            </w:pPr>
            <w:r w:rsidRPr="00276C55">
              <w:rPr>
                <w:szCs w:val="20"/>
                <w:u w:val="single"/>
                <w:lang w:eastAsia="en-GB"/>
              </w:rPr>
              <w:t>Rotterdam Convention:</w:t>
            </w:r>
          </w:p>
          <w:p w14:paraId="58C56846" w14:textId="77777777" w:rsidR="008C6A6C" w:rsidRPr="00276C55" w:rsidRDefault="008C6A6C" w:rsidP="008C6A6C">
            <w:pPr>
              <w:pStyle w:val="NoSpacing"/>
              <w:rPr>
                <w:szCs w:val="20"/>
                <w:lang w:eastAsia="en-GB"/>
              </w:rPr>
            </w:pPr>
            <w:r w:rsidRPr="00276C55">
              <w:rPr>
                <w:szCs w:val="20"/>
                <w:lang w:eastAsia="en-GB"/>
              </w:rPr>
              <w:t>Designation of the Designated National Authority(-ies) and Official contact points;</w:t>
            </w:r>
          </w:p>
          <w:p w14:paraId="283E20EB" w14:textId="77777777" w:rsidR="008C6A6C" w:rsidRPr="00276C55" w:rsidRDefault="008C6A6C" w:rsidP="008C6A6C">
            <w:pPr>
              <w:pStyle w:val="NoSpacing"/>
              <w:rPr>
                <w:szCs w:val="20"/>
                <w:lang w:eastAsia="en-GB"/>
              </w:rPr>
            </w:pPr>
            <w:r w:rsidRPr="00276C55">
              <w:rPr>
                <w:szCs w:val="20"/>
                <w:lang w:eastAsia="en-GB"/>
              </w:rPr>
              <w:t xml:space="preserve">Submission of the import responses. </w:t>
            </w:r>
          </w:p>
          <w:p w14:paraId="7281A8E4" w14:textId="77777777" w:rsidR="008C6A6C" w:rsidRPr="00276C55" w:rsidRDefault="008C6A6C" w:rsidP="008C6A6C">
            <w:pPr>
              <w:pStyle w:val="NoSpacing"/>
              <w:rPr>
                <w:szCs w:val="20"/>
                <w:lang w:eastAsia="en-GB"/>
              </w:rPr>
            </w:pPr>
          </w:p>
          <w:p w14:paraId="733924A4" w14:textId="77777777" w:rsidR="008C6A6C" w:rsidRPr="00276C55" w:rsidRDefault="008C6A6C" w:rsidP="008C6A6C">
            <w:pPr>
              <w:pStyle w:val="NoSpacing"/>
              <w:rPr>
                <w:szCs w:val="20"/>
                <w:u w:val="single"/>
                <w:lang w:eastAsia="en-GB"/>
              </w:rPr>
            </w:pPr>
            <w:r w:rsidRPr="00276C55">
              <w:rPr>
                <w:szCs w:val="20"/>
                <w:u w:val="single"/>
                <w:lang w:eastAsia="en-GB"/>
              </w:rPr>
              <w:t>Stockholm Convention:</w:t>
            </w:r>
          </w:p>
          <w:p w14:paraId="723FA47B" w14:textId="77777777" w:rsidR="008C6A6C" w:rsidRPr="00276C55" w:rsidRDefault="008C6A6C" w:rsidP="008C6A6C">
            <w:pPr>
              <w:pStyle w:val="NoSpacing"/>
              <w:rPr>
                <w:szCs w:val="20"/>
                <w:lang w:eastAsia="en-GB"/>
              </w:rPr>
            </w:pPr>
            <w:r w:rsidRPr="00276C55">
              <w:rPr>
                <w:szCs w:val="20"/>
                <w:lang w:eastAsia="en-GB"/>
              </w:rPr>
              <w:t>Designation</w:t>
            </w:r>
            <w:r w:rsidRPr="00276C55" w:rsidDel="00E66FD8">
              <w:rPr>
                <w:szCs w:val="20"/>
                <w:lang w:eastAsia="en-GB"/>
              </w:rPr>
              <w:t xml:space="preserve"> </w:t>
            </w:r>
            <w:r w:rsidRPr="00276C55">
              <w:rPr>
                <w:szCs w:val="20"/>
                <w:lang w:eastAsia="en-GB"/>
              </w:rPr>
              <w:t>of the Stockholm Convention official contact points and national focal points;</w:t>
            </w:r>
          </w:p>
          <w:p w14:paraId="0E95FB19" w14:textId="77777777" w:rsidR="008C6A6C" w:rsidRPr="00276C55" w:rsidRDefault="008C6A6C" w:rsidP="008C6A6C">
            <w:pPr>
              <w:pStyle w:val="NoSpacing"/>
              <w:rPr>
                <w:szCs w:val="20"/>
                <w:lang w:eastAsia="en-GB"/>
              </w:rPr>
            </w:pPr>
            <w:r w:rsidRPr="00276C55">
              <w:rPr>
                <w:szCs w:val="20"/>
                <w:lang w:eastAsia="en-GB"/>
              </w:rPr>
              <w:t xml:space="preserve">Submission of the national implementation plans; </w:t>
            </w:r>
          </w:p>
          <w:p w14:paraId="2ACE9DAA" w14:textId="77777777" w:rsidR="008C6A6C" w:rsidRPr="00276C55" w:rsidRDefault="008C6A6C" w:rsidP="008C6A6C">
            <w:pPr>
              <w:pStyle w:val="NoSpacing"/>
              <w:rPr>
                <w:szCs w:val="20"/>
                <w:lang w:eastAsia="en-GB"/>
              </w:rPr>
            </w:pPr>
            <w:r w:rsidRPr="00276C55">
              <w:rPr>
                <w:szCs w:val="20"/>
                <w:lang w:eastAsia="en-GB"/>
              </w:rPr>
              <w:t xml:space="preserve">Submission of the revised national implementation plan addressing amendments; </w:t>
            </w:r>
          </w:p>
          <w:p w14:paraId="53834358" w14:textId="77777777" w:rsidR="008C6A6C" w:rsidRPr="00276C55" w:rsidRDefault="008C6A6C" w:rsidP="008C6A6C">
            <w:pPr>
              <w:pStyle w:val="NoSpacing"/>
              <w:rPr>
                <w:szCs w:val="20"/>
                <w:lang w:eastAsia="en-GB"/>
              </w:rPr>
            </w:pPr>
            <w:r w:rsidRPr="00276C55">
              <w:rPr>
                <w:szCs w:val="20"/>
                <w:lang w:eastAsia="en-GB"/>
              </w:rPr>
              <w:t>Submission of the national reports.</w:t>
            </w:r>
          </w:p>
          <w:p w14:paraId="6DBB76D6" w14:textId="77777777" w:rsidR="008C6A6C" w:rsidRPr="00276C55" w:rsidRDefault="008C6A6C" w:rsidP="008C6A6C">
            <w:pPr>
              <w:pStyle w:val="NoSpacing"/>
              <w:rPr>
                <w:szCs w:val="20"/>
                <w:lang w:eastAsia="en-GB"/>
              </w:rPr>
            </w:pPr>
          </w:p>
          <w:p w14:paraId="4BCAD0D9" w14:textId="77777777" w:rsidR="008C6A6C" w:rsidRPr="00276C55" w:rsidRDefault="008C6A6C" w:rsidP="008C6A6C">
            <w:pPr>
              <w:pStyle w:val="NoSpacing"/>
              <w:rPr>
                <w:szCs w:val="20"/>
                <w:u w:val="single"/>
                <w:lang w:eastAsia="en-GB"/>
              </w:rPr>
            </w:pPr>
            <w:r w:rsidRPr="00276C55">
              <w:rPr>
                <w:szCs w:val="20"/>
                <w:u w:val="single"/>
                <w:lang w:eastAsia="en-GB"/>
              </w:rPr>
              <w:lastRenderedPageBreak/>
              <w:t>Montreal Protocol:</w:t>
            </w:r>
          </w:p>
          <w:p w14:paraId="3EBAFE42" w14:textId="77777777" w:rsidR="008C6A6C" w:rsidRPr="00276C55" w:rsidRDefault="008C6A6C" w:rsidP="008C6A6C">
            <w:pPr>
              <w:pStyle w:val="NoSpacing"/>
              <w:rPr>
                <w:szCs w:val="20"/>
                <w:lang w:eastAsia="en-GB"/>
              </w:rPr>
            </w:pPr>
            <w:r w:rsidRPr="00276C55">
              <w:rPr>
                <w:szCs w:val="20"/>
                <w:lang w:eastAsia="en-GB"/>
              </w:rPr>
              <w:t>Compliance with reporting requirements for production and consumption of ozone-depleting substances under (Article 7 of) the Montreal Protocol;</w:t>
            </w:r>
          </w:p>
          <w:p w14:paraId="26B8F342" w14:textId="77777777" w:rsidR="008C6A6C" w:rsidRPr="00276C55" w:rsidRDefault="008C6A6C" w:rsidP="008C6A6C">
            <w:pPr>
              <w:pStyle w:val="NoSpacing"/>
              <w:rPr>
                <w:szCs w:val="20"/>
                <w:lang w:eastAsia="en-GB"/>
              </w:rPr>
            </w:pPr>
            <w:r w:rsidRPr="00276C55">
              <w:rPr>
                <w:szCs w:val="20"/>
                <w:lang w:eastAsia="en-GB"/>
              </w:rPr>
              <w:t>Submission of information on Licensing systems under (Article 4B of) the Montreal Protocol.</w:t>
            </w:r>
          </w:p>
          <w:p w14:paraId="2058F72E" w14:textId="77777777" w:rsidR="008C6A6C" w:rsidRPr="00276C55" w:rsidRDefault="008C6A6C" w:rsidP="008C6A6C">
            <w:pPr>
              <w:pStyle w:val="NoSpacing"/>
              <w:rPr>
                <w:szCs w:val="20"/>
                <w:lang w:eastAsia="en-GB"/>
              </w:rPr>
            </w:pPr>
          </w:p>
          <w:p w14:paraId="100F6F23" w14:textId="77777777" w:rsidR="008C6A6C" w:rsidRPr="00276C55" w:rsidRDefault="008C6A6C" w:rsidP="008C6A6C">
            <w:pPr>
              <w:pStyle w:val="NoSpacing"/>
              <w:rPr>
                <w:szCs w:val="20"/>
                <w:u w:val="single"/>
                <w:lang w:eastAsia="en-GB"/>
              </w:rPr>
            </w:pPr>
            <w:r w:rsidRPr="00276C55">
              <w:rPr>
                <w:szCs w:val="20"/>
                <w:u w:val="single"/>
                <w:lang w:eastAsia="en-GB"/>
              </w:rPr>
              <w:t>Minamata Convention:</w:t>
            </w:r>
          </w:p>
          <w:p w14:paraId="3B2759DF" w14:textId="77777777" w:rsidR="008C6A6C" w:rsidRPr="00276C55" w:rsidRDefault="008C6A6C" w:rsidP="008C6A6C">
            <w:pPr>
              <w:pStyle w:val="NoSpacing"/>
              <w:rPr>
                <w:szCs w:val="20"/>
                <w:lang w:eastAsia="en-GB"/>
              </w:rPr>
            </w:pPr>
            <w:r w:rsidRPr="00276C55">
              <w:rPr>
                <w:szCs w:val="20"/>
                <w:lang w:eastAsia="en-GB"/>
              </w:rPr>
              <w:t>Designation of a national focal point for exchange of information under Article 17 of the Convention;</w:t>
            </w:r>
          </w:p>
          <w:p w14:paraId="6FAF96C7" w14:textId="77777777" w:rsidR="008C6A6C" w:rsidRPr="00276C55" w:rsidRDefault="008C6A6C" w:rsidP="008C6A6C">
            <w:pPr>
              <w:pStyle w:val="NoSpacing"/>
              <w:rPr>
                <w:szCs w:val="20"/>
                <w:lang w:eastAsia="en-GB"/>
              </w:rPr>
            </w:pPr>
            <w:r w:rsidRPr="00276C55">
              <w:rPr>
                <w:szCs w:val="20"/>
                <w:lang w:eastAsia="en-GB"/>
              </w:rPr>
              <w:t>Submission of national reports as required under Article 21 of the Minamata Convention.</w:t>
            </w:r>
          </w:p>
          <w:p w14:paraId="3E38372C" w14:textId="77777777" w:rsidR="008C6A6C" w:rsidRPr="00276C55" w:rsidRDefault="008C6A6C" w:rsidP="008C6A6C">
            <w:pPr>
              <w:pStyle w:val="NoSpacing"/>
              <w:rPr>
                <w:szCs w:val="20"/>
                <w:lang w:eastAsia="en-GB"/>
              </w:rPr>
            </w:pPr>
          </w:p>
          <w:p w14:paraId="0DA95599" w14:textId="77777777" w:rsidR="008C6A6C" w:rsidRPr="00276C55" w:rsidRDefault="008C6A6C" w:rsidP="008C6A6C">
            <w:pPr>
              <w:pStyle w:val="NoSpacing"/>
              <w:rPr>
                <w:szCs w:val="20"/>
                <w:lang w:eastAsia="en-GB"/>
              </w:rPr>
            </w:pPr>
            <w:r w:rsidRPr="00276C55">
              <w:rPr>
                <w:szCs w:val="20"/>
                <w:lang w:eastAsia="en-GB"/>
              </w:rPr>
              <w:t>Concepts:</w:t>
            </w:r>
          </w:p>
          <w:p w14:paraId="3445946B" w14:textId="77777777" w:rsidR="008C6A6C" w:rsidRPr="00276C55" w:rsidRDefault="008C6A6C" w:rsidP="008C6A6C">
            <w:pPr>
              <w:pStyle w:val="NoSpacing"/>
              <w:rPr>
                <w:szCs w:val="20"/>
                <w:lang w:eastAsia="en-GB"/>
              </w:rPr>
            </w:pPr>
            <w:r w:rsidRPr="00276C55">
              <w:rPr>
                <w:szCs w:val="20"/>
                <w:lang w:eastAsia="en-GB"/>
              </w:rPr>
              <w:t>Parties: countries that have ratified, accepted, approved or accessed a convention.</w:t>
            </w:r>
          </w:p>
          <w:p w14:paraId="6C5B8B6F" w14:textId="77777777" w:rsidR="008C6A6C" w:rsidRPr="00276C55" w:rsidRDefault="008C6A6C" w:rsidP="008C6A6C">
            <w:pPr>
              <w:pStyle w:val="NoSpacing"/>
              <w:rPr>
                <w:szCs w:val="20"/>
                <w:lang w:eastAsia="en-GB"/>
              </w:rPr>
            </w:pPr>
            <w:r w:rsidRPr="00276C55">
              <w:rPr>
                <w:szCs w:val="20"/>
                <w:lang w:eastAsia="en-GB"/>
              </w:rPr>
              <w:t>Information:</w:t>
            </w:r>
            <w:r w:rsidRPr="00276C55">
              <w:rPr>
                <w:color w:val="FF0000"/>
                <w:szCs w:val="20"/>
                <w:lang w:eastAsia="en-GB"/>
              </w:rPr>
              <w:t xml:space="preserve"> </w:t>
            </w:r>
            <w:r w:rsidRPr="00276C55">
              <w:rPr>
                <w:szCs w:val="20"/>
                <w:lang w:eastAsia="en-GB"/>
              </w:rPr>
              <w:t>Parties to the Basel Convention have an obligation to present an annual national report as provided for by Article 13, paragraph 3 in order to enable monitoring of the implementation of the Basel Convention by its Parties.  The reports are to contain, inter alia, Information regarding transboundary movements of hazardous wastes or other wastes in which Parties have been involved, including the amount of hazardous wastes and other wastes exported, their category, characteristics, destination, any transit country and disposal method as stated on the response to notification, the amount of hazardous wastes and other wastes imported their category, characteristics, origin, and disposal methods; information on accidents occurring during the transboundary movement and disposal of hazardous wastes and other wastes and on the measures undertaken to deal with them; information on disposal options operated within the area of their national jurisdiction; and other information as per reporting format.</w:t>
            </w:r>
          </w:p>
          <w:p w14:paraId="0F0114DE" w14:textId="77777777" w:rsidR="008C6A6C" w:rsidRPr="00276C55" w:rsidRDefault="008C6A6C" w:rsidP="008C6A6C">
            <w:pPr>
              <w:pStyle w:val="NoSpacing"/>
              <w:rPr>
                <w:szCs w:val="20"/>
                <w:lang w:eastAsia="en-GB"/>
              </w:rPr>
            </w:pPr>
            <w:r w:rsidRPr="00276C55">
              <w:rPr>
                <w:szCs w:val="20"/>
                <w:lang w:eastAsia="en-GB"/>
              </w:rPr>
              <w:t>Import responses under the Rotterdam Convention are the decisions provided by Parties indicating whether or not they will consent to import the chemicals listed in Annex III of the Convention and subject to the prior informed consent (PIC) procedure. Article 10 of the Rotterdam Convention sets out the obligations of Parties with respect to the future import of chemicals listed in Annex III.</w:t>
            </w:r>
          </w:p>
          <w:p w14:paraId="378A3FB9" w14:textId="77777777" w:rsidR="008C6A6C" w:rsidRPr="00276C55" w:rsidRDefault="008C6A6C" w:rsidP="008C6A6C">
            <w:pPr>
              <w:pStyle w:val="NoSpacing"/>
              <w:rPr>
                <w:szCs w:val="20"/>
                <w:lang w:eastAsia="en-GB"/>
              </w:rPr>
            </w:pPr>
          </w:p>
          <w:p w14:paraId="4DBB6317" w14:textId="77777777" w:rsidR="008C6A6C" w:rsidRPr="00276C55" w:rsidRDefault="008C6A6C" w:rsidP="008C6A6C">
            <w:pPr>
              <w:pStyle w:val="NoSpacing"/>
              <w:rPr>
                <w:szCs w:val="20"/>
                <w:lang w:eastAsia="en-GB"/>
              </w:rPr>
            </w:pPr>
            <w:r w:rsidRPr="00276C55">
              <w:rPr>
                <w:szCs w:val="20"/>
                <w:lang w:eastAsia="en-GB"/>
              </w:rPr>
              <w:t>Under the Stockholm Convention a Party has an obligation to report on the measures it has taken to implement the provisions of the Convention and on the effectiveness of such measures in meeting the objectives of the Convention. The national reports include statistical data on the total quantities of production, import and export of each of the chemicals listed in Annex A and Annex B or a reasonable estimate of such data; and to the extent practicable, a list of the States from which it has imported each such substance and the States to which it has exported each such substance. A National Implementation Plan under the Stockholm Convention is a plan explaining how a Party is going to implement the obligations under the Convention and make efforts to put such a plan into operation (</w:t>
            </w:r>
            <w:hyperlink r:id="rId103" w:anchor="Article%207" w:history="1">
              <w:r w:rsidRPr="00276C55">
                <w:rPr>
                  <w:szCs w:val="20"/>
                  <w:lang w:eastAsia="en-GB"/>
                </w:rPr>
                <w:t>Article 7</w:t>
              </w:r>
            </w:hyperlink>
            <w:r w:rsidRPr="00276C55">
              <w:rPr>
                <w:szCs w:val="20"/>
                <w:lang w:eastAsia="en-GB"/>
              </w:rPr>
              <w:t>). Changes in the obligations arising from amendments to the Convention or its annexes</w:t>
            </w:r>
            <w:r w:rsidRPr="00276C55">
              <w:rPr>
                <w:rFonts w:cs="Arial"/>
                <w:color w:val="3C3C3C"/>
                <w:szCs w:val="20"/>
              </w:rPr>
              <w:t>,</w:t>
            </w:r>
            <w:r w:rsidRPr="00276C55">
              <w:rPr>
                <w:szCs w:val="20"/>
                <w:lang w:eastAsia="en-GB"/>
              </w:rPr>
              <w:t xml:space="preserve"> for example when a new chemical is listed into the annexes of the Convention, a Party will review and update its implementation plan, and transmit the updated plan to the Conference of the Parties within two years of the entry into force of the amendment for it, consistent with paragraph 1 (b) of the Convention (according to paragraph 7 of the annex to decision SC-1/12).</w:t>
            </w:r>
            <w:r w:rsidRPr="00276C55" w:rsidDel="005566F7">
              <w:rPr>
                <w:szCs w:val="20"/>
                <w:lang w:eastAsia="en-GB"/>
              </w:rPr>
              <w:t xml:space="preserve"> </w:t>
            </w:r>
          </w:p>
          <w:p w14:paraId="28D53CC1" w14:textId="77777777" w:rsidR="008C6A6C" w:rsidRPr="00276C55" w:rsidRDefault="008C6A6C" w:rsidP="008C6A6C">
            <w:pPr>
              <w:pStyle w:val="NoSpacing"/>
              <w:rPr>
                <w:szCs w:val="20"/>
                <w:lang w:eastAsia="en-GB"/>
              </w:rPr>
            </w:pPr>
          </w:p>
          <w:p w14:paraId="178871F6" w14:textId="77777777" w:rsidR="008C6A6C" w:rsidRPr="00200B14" w:rsidRDefault="008C6A6C" w:rsidP="008C6A6C">
            <w:pPr>
              <w:pStyle w:val="NoSpacing"/>
              <w:rPr>
                <w:b/>
                <w:szCs w:val="20"/>
                <w:lang w:eastAsia="en-GB"/>
              </w:rPr>
            </w:pPr>
            <w:r w:rsidRPr="00200B14">
              <w:rPr>
                <w:b/>
                <w:szCs w:val="20"/>
                <w:lang w:eastAsia="en-GB"/>
              </w:rPr>
              <w:t>Comments and limitations:</w:t>
            </w:r>
          </w:p>
          <w:p w14:paraId="6888A688" w14:textId="77777777" w:rsidR="008C6A6C" w:rsidRPr="00276C55" w:rsidRDefault="008C6A6C" w:rsidP="008C6A6C">
            <w:pPr>
              <w:pStyle w:val="NoSpacing"/>
              <w:rPr>
                <w:szCs w:val="20"/>
                <w:lang w:eastAsia="en-GB"/>
              </w:rPr>
            </w:pPr>
            <w:r w:rsidRPr="00276C55">
              <w:rPr>
                <w:szCs w:val="20"/>
                <w:lang w:eastAsia="en-GB"/>
              </w:rPr>
              <w:t>The transmission of information as required by the five Conventions</w:t>
            </w:r>
            <w:r w:rsidRPr="00276C55">
              <w:rPr>
                <w:color w:val="1C75BC"/>
                <w:szCs w:val="20"/>
                <w:lang w:eastAsia="en-GB"/>
              </w:rPr>
              <w:t xml:space="preserve"> </w:t>
            </w:r>
            <w:r w:rsidRPr="00276C55">
              <w:rPr>
                <w:szCs w:val="20"/>
                <w:lang w:eastAsia="en-GB"/>
              </w:rPr>
              <w:t xml:space="preserve">follows a different timing. This is the reason why the </w:t>
            </w:r>
            <w:r w:rsidRPr="00276C55">
              <w:rPr>
                <w:szCs w:val="20"/>
                <w:lang w:eastAsia="en-GB"/>
              </w:rPr>
              <w:lastRenderedPageBreak/>
              <w:t>reporting to this indicator has been scheduled for 5-year cycles, which would allow capturing the compliance of Parties with the transmission of information of all the Conventions.</w:t>
            </w:r>
          </w:p>
          <w:p w14:paraId="5D69AA23" w14:textId="77777777" w:rsidR="008C6A6C" w:rsidRPr="00276C55" w:rsidRDefault="008C6A6C" w:rsidP="008C6A6C">
            <w:pPr>
              <w:pStyle w:val="NoSpacing"/>
              <w:rPr>
                <w:szCs w:val="20"/>
                <w:lang w:eastAsia="en-GB"/>
              </w:rPr>
            </w:pPr>
          </w:p>
          <w:p w14:paraId="39B0EEC9" w14:textId="77777777" w:rsidR="008C6A6C" w:rsidRPr="00276C55" w:rsidRDefault="008C6A6C" w:rsidP="008C6A6C">
            <w:pPr>
              <w:pStyle w:val="NoSpacing"/>
              <w:rPr>
                <w:szCs w:val="20"/>
                <w:lang w:eastAsia="en-GB"/>
              </w:rPr>
            </w:pPr>
            <w:r w:rsidRPr="00276C55">
              <w:rPr>
                <w:szCs w:val="20"/>
                <w:lang w:eastAsia="en-GB"/>
              </w:rPr>
              <w:t xml:space="preserve">Please also note that the timing for submission of reporting for the Minamata Convention has not yet been agreed on. It is not clear whether any reporting </w:t>
            </w:r>
            <w:proofErr w:type="gramStart"/>
            <w:r w:rsidRPr="00276C55">
              <w:rPr>
                <w:szCs w:val="20"/>
                <w:lang w:eastAsia="en-GB"/>
              </w:rPr>
              <w:t>will be</w:t>
            </w:r>
            <w:proofErr w:type="gramEnd"/>
            <w:r w:rsidRPr="00276C55">
              <w:rPr>
                <w:szCs w:val="20"/>
                <w:lang w:eastAsia="en-GB"/>
              </w:rPr>
              <w:t xml:space="preserve"> required prior to 2020, nor it is clear how many times reporting would be required prior to 2030. Thus, the Minamata Convention is included here, but the reporting is subject to further decisions on this.</w:t>
            </w:r>
          </w:p>
          <w:p w14:paraId="53C56857" w14:textId="77777777" w:rsidR="008C6A6C" w:rsidRPr="00276C55" w:rsidRDefault="008C6A6C" w:rsidP="008C6A6C">
            <w:pPr>
              <w:pStyle w:val="NoSpacing"/>
              <w:rPr>
                <w:szCs w:val="20"/>
                <w:lang w:eastAsia="en-GB"/>
              </w:rPr>
            </w:pPr>
          </w:p>
          <w:p w14:paraId="5740AAD8" w14:textId="77777777" w:rsidR="008C6A6C" w:rsidRPr="0009709F" w:rsidRDefault="008C6A6C" w:rsidP="008C6A6C">
            <w:pPr>
              <w:pStyle w:val="NoSpacing"/>
              <w:rPr>
                <w:b/>
                <w:szCs w:val="20"/>
                <w:lang w:eastAsia="en-GB"/>
              </w:rPr>
            </w:pPr>
            <w:r w:rsidRPr="0009709F">
              <w:rPr>
                <w:b/>
                <w:szCs w:val="20"/>
                <w:lang w:eastAsia="en-GB"/>
              </w:rPr>
              <w:t>Computation Method:</w:t>
            </w:r>
          </w:p>
          <w:p w14:paraId="66E7071E" w14:textId="77777777" w:rsidR="008C6A6C" w:rsidRPr="00276C55" w:rsidRDefault="008C6A6C" w:rsidP="008C6A6C">
            <w:pPr>
              <w:pStyle w:val="NoSpacing"/>
              <w:rPr>
                <w:szCs w:val="20"/>
                <w:lang w:eastAsia="en-GB"/>
              </w:rPr>
            </w:pPr>
            <w:r w:rsidRPr="00276C55">
              <w:rPr>
                <w:szCs w:val="20"/>
                <w:lang w:eastAsia="en-GB"/>
              </w:rPr>
              <w:t xml:space="preserve">In the following methodology, reporting is to take place in 2017 for the period 2010-2014, in 2020 for the period 2015-2019, in 2025 for the period 2020-2024 and in 2030 for the period 2025-2029. Reporting parameters include the following:   </w:t>
            </w:r>
          </w:p>
          <w:p w14:paraId="48090442" w14:textId="77777777" w:rsidR="008C6A6C" w:rsidRPr="00276C55" w:rsidRDefault="008C6A6C" w:rsidP="008C6A6C">
            <w:pPr>
              <w:pStyle w:val="NoSpacing"/>
              <w:rPr>
                <w:szCs w:val="20"/>
                <w:lang w:eastAsia="en-GB"/>
              </w:rPr>
            </w:pPr>
          </w:p>
          <w:p w14:paraId="1CF52335" w14:textId="77777777" w:rsidR="008C6A6C" w:rsidRPr="00276C55" w:rsidRDefault="008C6A6C" w:rsidP="008C6A6C">
            <w:pPr>
              <w:pStyle w:val="NoSpacing"/>
              <w:rPr>
                <w:szCs w:val="20"/>
                <w:lang w:eastAsia="en-GB"/>
              </w:rPr>
            </w:pPr>
            <w:r w:rsidRPr="00276C55">
              <w:rPr>
                <w:szCs w:val="20"/>
                <w:lang w:eastAsia="en-GB"/>
              </w:rPr>
              <w:t>The Country Score depends on the amount of information that is sent to the Conventions’ Secretariat, and is calculated as follows (and communicated by the Secretariats):</w:t>
            </w:r>
          </w:p>
          <w:p w14:paraId="035469D2" w14:textId="77777777" w:rsidR="008C6A6C" w:rsidRPr="00276C55" w:rsidRDefault="008C6A6C" w:rsidP="008C6A6C">
            <w:pPr>
              <w:pStyle w:val="NoSpacing"/>
              <w:rPr>
                <w:szCs w:val="20"/>
                <w:lang w:eastAsia="en-GB"/>
              </w:rPr>
            </w:pPr>
          </w:p>
          <w:p w14:paraId="586C4E4A" w14:textId="77777777" w:rsidR="008C6A6C" w:rsidRPr="00276C55" w:rsidRDefault="008C6A6C" w:rsidP="008C6A6C">
            <w:pPr>
              <w:pStyle w:val="NoSpacing"/>
              <w:rPr>
                <w:szCs w:val="20"/>
                <w:u w:val="single"/>
                <w:lang w:eastAsia="en-GB"/>
              </w:rPr>
            </w:pPr>
            <w:r w:rsidRPr="00276C55">
              <w:rPr>
                <w:szCs w:val="20"/>
                <w:u w:val="single"/>
                <w:lang w:eastAsia="en-GB"/>
              </w:rPr>
              <w:t>Basel Convention:</w:t>
            </w:r>
          </w:p>
          <w:p w14:paraId="4E046525" w14:textId="77777777" w:rsidR="008C6A6C" w:rsidRPr="00276C55" w:rsidRDefault="008C6A6C" w:rsidP="008C6A6C">
            <w:pPr>
              <w:pStyle w:val="NoSpacing"/>
              <w:rPr>
                <w:szCs w:val="20"/>
                <w:lang w:eastAsia="en-GB"/>
              </w:rPr>
            </w:pPr>
            <w:r w:rsidRPr="00276C55">
              <w:rPr>
                <w:szCs w:val="20"/>
                <w:lang w:eastAsia="en-GB"/>
              </w:rPr>
              <w:t>Designation of the Focal Point and one or more Competent Authorities (1 point);</w:t>
            </w:r>
          </w:p>
          <w:p w14:paraId="19A91B61" w14:textId="77777777" w:rsidR="008C6A6C" w:rsidRPr="00276C55" w:rsidRDefault="008C6A6C" w:rsidP="008C6A6C">
            <w:pPr>
              <w:pStyle w:val="NoSpacing"/>
              <w:rPr>
                <w:szCs w:val="20"/>
                <w:lang w:eastAsia="en-GB"/>
              </w:rPr>
            </w:pPr>
            <w:r w:rsidRPr="00276C55">
              <w:rPr>
                <w:szCs w:val="20"/>
                <w:lang w:eastAsia="en-GB"/>
              </w:rPr>
              <w:t>Submission of the annual national reports during the reporting period (1 point per report).</w:t>
            </w:r>
          </w:p>
          <w:p w14:paraId="078C110A" w14:textId="77777777" w:rsidR="008C6A6C" w:rsidRPr="00276C55" w:rsidRDefault="008C6A6C" w:rsidP="008C6A6C">
            <w:pPr>
              <w:pStyle w:val="NoSpacing"/>
              <w:rPr>
                <w:szCs w:val="20"/>
                <w:lang w:eastAsia="en-GB"/>
              </w:rPr>
            </w:pPr>
          </w:p>
          <w:p w14:paraId="237653F9" w14:textId="77777777" w:rsidR="008C6A6C" w:rsidRPr="00276C55" w:rsidRDefault="008C6A6C" w:rsidP="008C6A6C">
            <w:pPr>
              <w:pStyle w:val="NoSpacing"/>
              <w:rPr>
                <w:szCs w:val="20"/>
                <w:u w:val="single"/>
                <w:lang w:eastAsia="en-GB"/>
              </w:rPr>
            </w:pPr>
            <w:r w:rsidRPr="00276C55">
              <w:rPr>
                <w:szCs w:val="20"/>
                <w:u w:val="single"/>
                <w:lang w:eastAsia="en-GB"/>
              </w:rPr>
              <w:t>Rotterdam Convention:</w:t>
            </w:r>
          </w:p>
          <w:p w14:paraId="0D8038CC" w14:textId="77777777" w:rsidR="008C6A6C" w:rsidRPr="00276C55" w:rsidRDefault="008C6A6C" w:rsidP="008C6A6C">
            <w:pPr>
              <w:pStyle w:val="NoSpacing"/>
              <w:rPr>
                <w:szCs w:val="20"/>
                <w:lang w:eastAsia="en-GB"/>
              </w:rPr>
            </w:pPr>
            <w:r w:rsidRPr="00276C55">
              <w:rPr>
                <w:szCs w:val="20"/>
                <w:lang w:eastAsia="en-GB"/>
              </w:rPr>
              <w:t>Designation of the Designated National Authority(-ies) and Official contact point (1 point);</w:t>
            </w:r>
          </w:p>
          <w:p w14:paraId="0B0FAC93" w14:textId="77777777" w:rsidR="008C6A6C" w:rsidRPr="00276C55" w:rsidRDefault="008C6A6C" w:rsidP="008C6A6C">
            <w:pPr>
              <w:pStyle w:val="NoSpacing"/>
              <w:rPr>
                <w:szCs w:val="20"/>
                <w:lang w:eastAsia="en-GB"/>
              </w:rPr>
            </w:pPr>
            <w:r w:rsidRPr="00276C55">
              <w:rPr>
                <w:szCs w:val="20"/>
                <w:lang w:eastAsia="en-GB"/>
              </w:rPr>
              <w:t>Submission of the import responses during the reporting period (0</w:t>
            </w:r>
            <w:proofErr w:type="gramStart"/>
            <w:r w:rsidRPr="00276C55">
              <w:rPr>
                <w:szCs w:val="20"/>
                <w:lang w:eastAsia="en-GB"/>
              </w:rPr>
              <w:t>,2</w:t>
            </w:r>
            <w:proofErr w:type="gramEnd"/>
            <w:r w:rsidRPr="00276C55">
              <w:rPr>
                <w:szCs w:val="20"/>
                <w:lang w:eastAsia="en-GB"/>
              </w:rPr>
              <w:t xml:space="preserve"> point per import response).</w:t>
            </w:r>
          </w:p>
          <w:p w14:paraId="735C3B4C" w14:textId="77777777" w:rsidR="008C6A6C" w:rsidRPr="00276C55" w:rsidRDefault="008C6A6C" w:rsidP="008C6A6C">
            <w:pPr>
              <w:pStyle w:val="NoSpacing"/>
              <w:rPr>
                <w:szCs w:val="20"/>
                <w:lang w:eastAsia="en-GB"/>
              </w:rPr>
            </w:pPr>
          </w:p>
          <w:p w14:paraId="345BBFC8" w14:textId="77777777" w:rsidR="008C6A6C" w:rsidRPr="00276C55" w:rsidRDefault="008C6A6C" w:rsidP="008C6A6C">
            <w:pPr>
              <w:pStyle w:val="NoSpacing"/>
              <w:rPr>
                <w:szCs w:val="20"/>
                <w:u w:val="single"/>
                <w:lang w:eastAsia="en-GB"/>
              </w:rPr>
            </w:pPr>
            <w:r w:rsidRPr="00276C55">
              <w:rPr>
                <w:szCs w:val="20"/>
                <w:u w:val="single"/>
                <w:lang w:eastAsia="en-GB"/>
              </w:rPr>
              <w:t>Stockholm Convention:</w:t>
            </w:r>
          </w:p>
          <w:p w14:paraId="3ED92829" w14:textId="77777777" w:rsidR="008C6A6C" w:rsidRPr="00276C55" w:rsidRDefault="008C6A6C" w:rsidP="008C6A6C">
            <w:pPr>
              <w:pStyle w:val="NoSpacing"/>
              <w:rPr>
                <w:szCs w:val="20"/>
                <w:lang w:eastAsia="en-GB"/>
              </w:rPr>
            </w:pPr>
            <w:r w:rsidRPr="00276C55">
              <w:rPr>
                <w:szCs w:val="20"/>
                <w:lang w:eastAsia="en-GB"/>
              </w:rPr>
              <w:t>Designation</w:t>
            </w:r>
            <w:r w:rsidRPr="00276C55" w:rsidDel="00E66FD8">
              <w:rPr>
                <w:szCs w:val="20"/>
                <w:lang w:eastAsia="en-GB"/>
              </w:rPr>
              <w:t xml:space="preserve"> </w:t>
            </w:r>
            <w:r w:rsidRPr="00276C55">
              <w:rPr>
                <w:szCs w:val="20"/>
                <w:lang w:eastAsia="en-GB"/>
              </w:rPr>
              <w:t>of the Stockholm Convention official contact point and national focal point (1 points);</w:t>
            </w:r>
          </w:p>
          <w:p w14:paraId="2BE671D5" w14:textId="77777777" w:rsidR="008C6A6C" w:rsidRPr="00276C55" w:rsidRDefault="008C6A6C" w:rsidP="008C6A6C">
            <w:pPr>
              <w:pStyle w:val="NoSpacing"/>
              <w:rPr>
                <w:szCs w:val="20"/>
                <w:lang w:eastAsia="en-GB"/>
              </w:rPr>
            </w:pPr>
            <w:r w:rsidRPr="00276C55">
              <w:rPr>
                <w:szCs w:val="20"/>
                <w:lang w:eastAsia="en-GB"/>
              </w:rPr>
              <w:t>Submission of the national implementation plan (1 points);</w:t>
            </w:r>
          </w:p>
          <w:p w14:paraId="42A9B00D" w14:textId="77777777" w:rsidR="008C6A6C" w:rsidRDefault="008C6A6C" w:rsidP="008C6A6C">
            <w:pPr>
              <w:pStyle w:val="NoSpacing"/>
              <w:rPr>
                <w:szCs w:val="20"/>
                <w:lang w:eastAsia="en-GB"/>
              </w:rPr>
            </w:pPr>
            <w:r w:rsidRPr="00276C55">
              <w:rPr>
                <w:szCs w:val="20"/>
                <w:lang w:eastAsia="en-GB"/>
              </w:rPr>
              <w:t>Submission of the revised national implementation plan(s) addressing the amendments adopted by the Conference of the Parties within the reporting period (1 point per revised and updated plan)</w:t>
            </w:r>
            <w:r w:rsidRPr="00276C55">
              <w:rPr>
                <w:szCs w:val="20"/>
                <w:vertAlign w:val="superscript"/>
              </w:rPr>
              <w:footnoteReference w:id="23"/>
            </w:r>
            <w:r w:rsidRPr="00276C55">
              <w:rPr>
                <w:szCs w:val="20"/>
                <w:lang w:eastAsia="en-GB"/>
              </w:rPr>
              <w:t>;</w:t>
            </w:r>
          </w:p>
          <w:p w14:paraId="02D3BAFE" w14:textId="77777777" w:rsidR="008C6A6C" w:rsidRPr="008816A5" w:rsidRDefault="008C6A6C" w:rsidP="008C6A6C">
            <w:pPr>
              <w:pStyle w:val="NoSpacing"/>
              <w:rPr>
                <w:szCs w:val="20"/>
                <w:lang w:eastAsia="en-GB"/>
              </w:rPr>
            </w:pPr>
            <w:r w:rsidRPr="008816A5">
              <w:rPr>
                <w:szCs w:val="20"/>
                <w:lang w:eastAsia="en-GB"/>
              </w:rPr>
              <w:t>Montreal Protocol:</w:t>
            </w:r>
          </w:p>
          <w:p w14:paraId="0FB954B4" w14:textId="77777777" w:rsidR="008C6A6C" w:rsidRPr="008816A5" w:rsidRDefault="008C6A6C" w:rsidP="008C6A6C">
            <w:pPr>
              <w:pStyle w:val="NoSpacing"/>
              <w:rPr>
                <w:szCs w:val="20"/>
                <w:lang w:eastAsia="en-GB"/>
              </w:rPr>
            </w:pPr>
            <w:r>
              <w:rPr>
                <w:szCs w:val="20"/>
                <w:lang w:eastAsia="en-GB"/>
              </w:rPr>
              <w:t xml:space="preserve">1. </w:t>
            </w:r>
            <w:r w:rsidRPr="008816A5">
              <w:rPr>
                <w:szCs w:val="20"/>
                <w:lang w:eastAsia="en-GB"/>
              </w:rPr>
              <w:t>Compliance with reporting requirements for production and consumption of ozone-depleting substances under (Article 7 of) the Montreal Protocol (15 points);</w:t>
            </w:r>
          </w:p>
          <w:p w14:paraId="53F33A3C" w14:textId="77777777" w:rsidR="008C6A6C" w:rsidRPr="008816A5" w:rsidRDefault="008C6A6C" w:rsidP="008C6A6C">
            <w:pPr>
              <w:pStyle w:val="NoSpacing"/>
              <w:rPr>
                <w:szCs w:val="20"/>
                <w:lang w:eastAsia="en-GB"/>
              </w:rPr>
            </w:pPr>
            <w:r>
              <w:rPr>
                <w:szCs w:val="20"/>
                <w:lang w:eastAsia="en-GB"/>
              </w:rPr>
              <w:t xml:space="preserve">2. </w:t>
            </w:r>
            <w:r w:rsidRPr="008816A5">
              <w:rPr>
                <w:szCs w:val="20"/>
                <w:lang w:eastAsia="en-GB"/>
              </w:rPr>
              <w:t>Submission of information on Licensing systems under (Article 4B of) the Montreal Protocol (5 points).</w:t>
            </w:r>
          </w:p>
          <w:p w14:paraId="350DED29" w14:textId="77777777" w:rsidR="008C6A6C" w:rsidRPr="008816A5" w:rsidRDefault="008C6A6C" w:rsidP="008C6A6C">
            <w:pPr>
              <w:pStyle w:val="NoSpacing"/>
              <w:rPr>
                <w:szCs w:val="20"/>
                <w:lang w:eastAsia="en-GB"/>
              </w:rPr>
            </w:pPr>
          </w:p>
          <w:p w14:paraId="724FFDCE" w14:textId="77777777" w:rsidR="008C6A6C" w:rsidRPr="008816A5" w:rsidRDefault="008C6A6C" w:rsidP="008C6A6C">
            <w:pPr>
              <w:pStyle w:val="NoSpacing"/>
              <w:rPr>
                <w:szCs w:val="20"/>
                <w:lang w:eastAsia="en-GB"/>
              </w:rPr>
            </w:pPr>
            <w:r w:rsidRPr="008816A5">
              <w:rPr>
                <w:szCs w:val="20"/>
                <w:lang w:eastAsia="en-GB"/>
              </w:rPr>
              <w:t>Minamata Convention :</w:t>
            </w:r>
          </w:p>
          <w:p w14:paraId="01C8C5B8" w14:textId="77777777" w:rsidR="008C6A6C" w:rsidRPr="008816A5" w:rsidRDefault="008C6A6C" w:rsidP="008C6A6C">
            <w:pPr>
              <w:pStyle w:val="NoSpacing"/>
              <w:rPr>
                <w:szCs w:val="20"/>
                <w:lang w:eastAsia="en-GB"/>
              </w:rPr>
            </w:pPr>
            <w:r>
              <w:rPr>
                <w:szCs w:val="20"/>
                <w:lang w:eastAsia="en-GB"/>
              </w:rPr>
              <w:t xml:space="preserve">1. </w:t>
            </w:r>
            <w:r w:rsidRPr="008816A5">
              <w:rPr>
                <w:szCs w:val="20"/>
                <w:lang w:eastAsia="en-GB"/>
              </w:rPr>
              <w:t>Designation of a national focal point (Article 17) (5 points);</w:t>
            </w:r>
          </w:p>
          <w:p w14:paraId="0E55DD51" w14:textId="77777777" w:rsidR="008C6A6C" w:rsidRDefault="008C6A6C" w:rsidP="008C6A6C">
            <w:pPr>
              <w:pStyle w:val="NoSpacing"/>
              <w:rPr>
                <w:szCs w:val="20"/>
                <w:lang w:eastAsia="en-GB"/>
              </w:rPr>
            </w:pPr>
            <w:r>
              <w:rPr>
                <w:szCs w:val="20"/>
                <w:lang w:eastAsia="en-GB"/>
              </w:rPr>
              <w:t xml:space="preserve">2. </w:t>
            </w:r>
            <w:r w:rsidRPr="008816A5">
              <w:rPr>
                <w:szCs w:val="20"/>
                <w:lang w:eastAsia="en-GB"/>
              </w:rPr>
              <w:t>Submission of national report (Article 21) (15 points).</w:t>
            </w:r>
          </w:p>
          <w:p w14:paraId="0F182C1F" w14:textId="0C06A71C" w:rsidR="008C6A6C" w:rsidRPr="00276C55" w:rsidRDefault="000618B2" w:rsidP="008C6A6C">
            <w:pPr>
              <w:pStyle w:val="NoSpacing"/>
              <w:rPr>
                <w:szCs w:val="20"/>
                <w:lang w:eastAsia="en-GB"/>
              </w:rPr>
            </w:pPr>
            <w:r w:rsidRPr="00D24251">
              <w:rPr>
                <w:rFonts w:eastAsia="Times New Roman" w:cs="Times New Roman"/>
                <w:color w:val="4A4A4A"/>
                <w:sz w:val="21"/>
                <w:szCs w:val="21"/>
                <w:lang w:eastAsia="en-GB"/>
              </w:rPr>
              <w:object w:dxaOrig="7910" w:dyaOrig="2279" w14:anchorId="1AB2C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2pt;height:113.9pt" o:ole="">
                  <v:imagedata r:id="rId104" o:title=""/>
                </v:shape>
                <o:OLEObject Type="Embed" ProgID="Excel.Sheet.12" ShapeID="_x0000_i1025" DrawAspect="Content" ObjectID="_1655202043" r:id="rId105"/>
              </w:object>
            </w:r>
            <m:oMath>
              <m:r>
                <m:rPr>
                  <m:sty m:val="p"/>
                </m:rPr>
                <w:rPr>
                  <w:rFonts w:ascii="Cambria Math" w:eastAsia="Times New Roman" w:hAnsi="Cambria Math" w:cs="Times New Roman"/>
                  <w:color w:val="4A4A4A"/>
                  <w:sz w:val="21"/>
                  <w:szCs w:val="21"/>
                  <w:lang w:eastAsia="en-GB"/>
                </w:rPr>
                <w:br/>
              </m:r>
            </m:oMath>
            <m:oMathPara>
              <m:oMath>
                <m:r>
                  <w:rPr>
                    <w:rFonts w:ascii="Cambria Math" w:eastAsia="Times New Roman" w:hAnsi="Cambria Math" w:cs="Times New Roman"/>
                    <w:color w:val="4A4A4A"/>
                    <w:sz w:val="16"/>
                    <w:szCs w:val="16"/>
                    <w:lang w:eastAsia="en-GB"/>
                  </w:rPr>
                  <m:t>Transmission Rate=</m:t>
                </m:r>
                <m:f>
                  <m:fPr>
                    <m:ctrlPr>
                      <w:rPr>
                        <w:rFonts w:ascii="Cambria Math" w:eastAsia="Times New Roman" w:hAnsi="Cambria Math" w:cs="Times New Roman"/>
                        <w:i/>
                        <w:color w:val="4A4A4A"/>
                        <w:sz w:val="16"/>
                        <w:szCs w:val="16"/>
                        <w:lang w:eastAsia="en-GB"/>
                      </w:rPr>
                    </m:ctrlPr>
                  </m:fPr>
                  <m:num>
                    <m:d>
                      <m:dPr>
                        <m:ctrlPr>
                          <w:rPr>
                            <w:rFonts w:ascii="Cambria Math" w:eastAsia="Times New Roman" w:hAnsi="Cambria Math" w:cs="Times New Roman"/>
                            <w:i/>
                            <w:color w:val="4A4A4A"/>
                            <w:sz w:val="16"/>
                            <w:szCs w:val="16"/>
                            <w:lang w:eastAsia="en-GB"/>
                          </w:rPr>
                        </m:ctrlPr>
                      </m:dPr>
                      <m:e>
                        <m:sSub>
                          <m:sSubPr>
                            <m:ctrlPr>
                              <w:rPr>
                                <w:rFonts w:ascii="Cambria Math" w:eastAsia="Times New Roman" w:hAnsi="Cambria Math" w:cs="Times New Roman"/>
                                <w:i/>
                                <w:color w:val="4A4A4A"/>
                                <w:sz w:val="16"/>
                                <w:szCs w:val="16"/>
                                <w:lang w:eastAsia="en-GB"/>
                              </w:rPr>
                            </m:ctrlPr>
                          </m:sSubPr>
                          <m:e>
                            <m:r>
                              <w:rPr>
                                <w:rFonts w:ascii="Cambria Math" w:eastAsia="Times New Roman" w:hAnsi="Cambria Math" w:cs="Times New Roman"/>
                                <w:color w:val="4A4A4A"/>
                                <w:sz w:val="16"/>
                                <w:szCs w:val="16"/>
                                <w:lang w:eastAsia="en-GB"/>
                              </w:rPr>
                              <m:t>a</m:t>
                            </m:r>
                          </m:e>
                          <m:sub>
                            <m:r>
                              <w:rPr>
                                <w:rFonts w:ascii="Cambria Math" w:eastAsia="Times New Roman" w:hAnsi="Cambria Math" w:cs="Times New Roman"/>
                                <w:color w:val="4A4A4A"/>
                                <w:sz w:val="16"/>
                                <w:szCs w:val="16"/>
                                <w:lang w:eastAsia="en-GB"/>
                              </w:rPr>
                              <m:t>cs</m:t>
                            </m:r>
                          </m:sub>
                        </m:sSub>
                        <m:r>
                          <w:rPr>
                            <w:rFonts w:ascii="Cambria Math" w:eastAsia="Times New Roman" w:hAnsi="Cambria Math" w:cs="Times New Roman"/>
                            <w:color w:val="4A4A4A"/>
                            <w:sz w:val="16"/>
                            <w:szCs w:val="16"/>
                            <w:lang w:eastAsia="en-GB"/>
                          </w:rPr>
                          <m:t>+</m:t>
                        </m:r>
                        <m:sSub>
                          <m:sSubPr>
                            <m:ctrlPr>
                              <w:rPr>
                                <w:rFonts w:ascii="Cambria Math" w:eastAsia="Times New Roman" w:hAnsi="Cambria Math" w:cs="Times New Roman"/>
                                <w:i/>
                                <w:color w:val="4A4A4A"/>
                                <w:sz w:val="16"/>
                                <w:szCs w:val="16"/>
                                <w:lang w:eastAsia="en-GB"/>
                              </w:rPr>
                            </m:ctrlPr>
                          </m:sSubPr>
                          <m:e>
                            <m:r>
                              <w:rPr>
                                <w:rFonts w:ascii="Cambria Math" w:eastAsia="Times New Roman" w:hAnsi="Cambria Math" w:cs="Times New Roman"/>
                                <w:color w:val="4A4A4A"/>
                                <w:sz w:val="16"/>
                                <w:szCs w:val="16"/>
                                <w:lang w:eastAsia="en-GB"/>
                              </w:rPr>
                              <m:t>b</m:t>
                            </m:r>
                          </m:e>
                          <m:sub>
                            <m:r>
                              <w:rPr>
                                <w:rFonts w:ascii="Cambria Math" w:eastAsia="Times New Roman" w:hAnsi="Cambria Math" w:cs="Times New Roman"/>
                                <w:color w:val="4A4A4A"/>
                                <w:sz w:val="16"/>
                                <w:szCs w:val="16"/>
                                <w:lang w:eastAsia="en-GB"/>
                              </w:rPr>
                              <m:t>cs</m:t>
                            </m:r>
                          </m:sub>
                        </m:sSub>
                        <m:r>
                          <w:rPr>
                            <w:rFonts w:ascii="Cambria Math" w:eastAsia="Times New Roman" w:hAnsi="Cambria Math" w:cs="Times New Roman"/>
                            <w:color w:val="4A4A4A"/>
                            <w:sz w:val="16"/>
                            <w:szCs w:val="16"/>
                            <w:lang w:eastAsia="en-GB"/>
                          </w:rPr>
                          <m:t>+</m:t>
                        </m:r>
                        <m:sSub>
                          <m:sSubPr>
                            <m:ctrlPr>
                              <w:rPr>
                                <w:rFonts w:ascii="Cambria Math" w:eastAsia="Times New Roman" w:hAnsi="Cambria Math" w:cs="Times New Roman"/>
                                <w:i/>
                                <w:color w:val="4A4A4A"/>
                                <w:sz w:val="16"/>
                                <w:szCs w:val="16"/>
                                <w:lang w:eastAsia="en-GB"/>
                              </w:rPr>
                            </m:ctrlPr>
                          </m:sSubPr>
                          <m:e>
                            <m:r>
                              <w:rPr>
                                <w:rFonts w:ascii="Cambria Math" w:eastAsia="Times New Roman" w:hAnsi="Cambria Math" w:cs="Times New Roman"/>
                                <w:color w:val="4A4A4A"/>
                                <w:sz w:val="16"/>
                                <w:szCs w:val="16"/>
                                <w:lang w:eastAsia="en-GB"/>
                              </w:rPr>
                              <m:t>c</m:t>
                            </m:r>
                          </m:e>
                          <m:sub>
                            <m:r>
                              <w:rPr>
                                <w:rFonts w:ascii="Cambria Math" w:eastAsia="Times New Roman" w:hAnsi="Cambria Math" w:cs="Times New Roman"/>
                                <w:color w:val="4A4A4A"/>
                                <w:sz w:val="16"/>
                                <w:szCs w:val="16"/>
                                <w:lang w:eastAsia="en-GB"/>
                              </w:rPr>
                              <m:t>cs</m:t>
                            </m:r>
                          </m:sub>
                        </m:sSub>
                        <m:r>
                          <w:rPr>
                            <w:rFonts w:ascii="Cambria Math" w:eastAsia="Times New Roman" w:hAnsi="Cambria Math" w:cs="Times New Roman"/>
                            <w:color w:val="4A4A4A"/>
                            <w:sz w:val="16"/>
                            <w:szCs w:val="16"/>
                            <w:lang w:eastAsia="en-GB"/>
                          </w:rPr>
                          <m:t>+</m:t>
                        </m:r>
                        <m:sSub>
                          <m:sSubPr>
                            <m:ctrlPr>
                              <w:rPr>
                                <w:rFonts w:ascii="Cambria Math" w:eastAsia="Times New Roman" w:hAnsi="Cambria Math" w:cs="Times New Roman"/>
                                <w:i/>
                                <w:color w:val="4A4A4A"/>
                                <w:sz w:val="16"/>
                                <w:szCs w:val="16"/>
                                <w:lang w:eastAsia="en-GB"/>
                              </w:rPr>
                            </m:ctrlPr>
                          </m:sSubPr>
                          <m:e>
                            <m:r>
                              <w:rPr>
                                <w:rFonts w:ascii="Cambria Math" w:eastAsia="Times New Roman" w:hAnsi="Cambria Math" w:cs="Times New Roman"/>
                                <w:color w:val="4A4A4A"/>
                                <w:sz w:val="16"/>
                                <w:szCs w:val="16"/>
                                <w:lang w:eastAsia="en-GB"/>
                              </w:rPr>
                              <m:t>d</m:t>
                            </m:r>
                          </m:e>
                          <m:sub>
                            <m:r>
                              <w:rPr>
                                <w:rFonts w:ascii="Cambria Math" w:eastAsia="Times New Roman" w:hAnsi="Cambria Math" w:cs="Times New Roman"/>
                                <w:color w:val="4A4A4A"/>
                                <w:sz w:val="16"/>
                                <w:szCs w:val="16"/>
                                <w:lang w:eastAsia="en-GB"/>
                              </w:rPr>
                              <m:t>cs</m:t>
                            </m:r>
                          </m:sub>
                        </m:sSub>
                        <m:r>
                          <w:rPr>
                            <w:rFonts w:ascii="Cambria Math" w:eastAsia="Times New Roman" w:hAnsi="Cambria Math" w:cs="Times New Roman"/>
                            <w:color w:val="4A4A4A"/>
                            <w:sz w:val="16"/>
                            <w:szCs w:val="16"/>
                            <w:lang w:eastAsia="en-GB"/>
                          </w:rPr>
                          <m:t>+</m:t>
                        </m:r>
                        <m:sSub>
                          <m:sSubPr>
                            <m:ctrlPr>
                              <w:rPr>
                                <w:rFonts w:ascii="Cambria Math" w:eastAsia="Times New Roman" w:hAnsi="Cambria Math" w:cs="Times New Roman"/>
                                <w:i/>
                                <w:color w:val="4A4A4A"/>
                                <w:sz w:val="16"/>
                                <w:szCs w:val="16"/>
                                <w:lang w:eastAsia="en-GB"/>
                              </w:rPr>
                            </m:ctrlPr>
                          </m:sSubPr>
                          <m:e>
                            <m:r>
                              <w:rPr>
                                <w:rFonts w:ascii="Cambria Math" w:eastAsia="Times New Roman" w:hAnsi="Cambria Math" w:cs="Times New Roman"/>
                                <w:color w:val="4A4A4A"/>
                                <w:sz w:val="16"/>
                                <w:szCs w:val="16"/>
                                <w:lang w:eastAsia="en-GB"/>
                              </w:rPr>
                              <m:t>e</m:t>
                            </m:r>
                          </m:e>
                          <m:sub>
                            <m:r>
                              <w:rPr>
                                <w:rFonts w:ascii="Cambria Math" w:eastAsia="Times New Roman" w:hAnsi="Cambria Math" w:cs="Times New Roman"/>
                                <w:color w:val="4A4A4A"/>
                                <w:sz w:val="16"/>
                                <w:szCs w:val="16"/>
                                <w:lang w:eastAsia="en-GB"/>
                              </w:rPr>
                              <m:t>cs</m:t>
                            </m:r>
                          </m:sub>
                        </m:sSub>
                      </m:e>
                    </m:d>
                  </m:num>
                  <m:den>
                    <m:r>
                      <w:rPr>
                        <w:rFonts w:ascii="Cambria Math" w:eastAsia="Times New Roman" w:hAnsi="Cambria Math" w:cs="Times New Roman"/>
                        <w:color w:val="4A4A4A"/>
                        <w:sz w:val="16"/>
                        <w:szCs w:val="16"/>
                        <w:lang w:eastAsia="en-GB"/>
                      </w:rPr>
                      <m:t>N. of Conventions</m:t>
                    </m:r>
                  </m:den>
                </m:f>
                <m:r>
                  <w:rPr>
                    <w:rFonts w:ascii="Cambria Math" w:eastAsia="Times New Roman" w:hAnsi="Cambria Math" w:cs="Times New Roman"/>
                    <w:color w:val="4A4A4A"/>
                    <w:sz w:val="16"/>
                    <w:szCs w:val="16"/>
                    <w:lang w:eastAsia="en-GB"/>
                  </w:rPr>
                  <m:t>*100</m:t>
                </m:r>
              </m:oMath>
            </m:oMathPara>
          </w:p>
          <w:p w14:paraId="2D615484" w14:textId="77777777" w:rsidR="008C6A6C" w:rsidRDefault="008C6A6C" w:rsidP="008C6A6C">
            <w:pPr>
              <w:pStyle w:val="NoSpacing"/>
            </w:pPr>
          </w:p>
          <w:p w14:paraId="09F408B9" w14:textId="77777777" w:rsidR="008C6A6C" w:rsidRDefault="008C6A6C" w:rsidP="008C6A6C">
            <w:pPr>
              <w:pStyle w:val="NoSpacing"/>
            </w:pPr>
            <w:r w:rsidRPr="008816A5">
              <w:t>The final indicator will be a number expressed as percent, where 100% is the maximum degree of compliance with the reporting obligations of the MEAs to which a Country is a Party, and 0% the least degree of compliance with those obligations.</w:t>
            </w:r>
          </w:p>
          <w:p w14:paraId="71FF6098" w14:textId="77777777" w:rsidR="008C6A6C" w:rsidRDefault="008C6A6C" w:rsidP="008C6A6C">
            <w:pPr>
              <w:pStyle w:val="NoSpacing"/>
            </w:pPr>
          </w:p>
        </w:tc>
        <w:tc>
          <w:tcPr>
            <w:tcW w:w="0" w:type="auto"/>
          </w:tcPr>
          <w:p w14:paraId="6D299AAE" w14:textId="77777777" w:rsidR="008C6A6C" w:rsidRPr="004A3DB4" w:rsidRDefault="008C6A6C" w:rsidP="008C6A6C">
            <w:pPr>
              <w:pStyle w:val="NoSpacing"/>
            </w:pPr>
            <w:r w:rsidRPr="004A3DB4">
              <w:rPr>
                <w:lang w:val="en-GB"/>
              </w:rPr>
              <w:lastRenderedPageBreak/>
              <w:t xml:space="preserve">Data is collected by the Secretariat of the Basel, Rotterdam and Stockholm Conventions from Focal Points for </w:t>
            </w:r>
            <w:r w:rsidRPr="004A3DB4">
              <w:t xml:space="preserve">the Basel Conventions, Official contact points for the Rotterdam Convention, official contact points for the Stockholm Convention, by the Ozone Secretariat from </w:t>
            </w:r>
            <w:r w:rsidRPr="004A3DB4">
              <w:lastRenderedPageBreak/>
              <w:t xml:space="preserve">national focal points for the Montreal Protocol, and by the </w:t>
            </w:r>
            <w:r w:rsidRPr="004A3DB4">
              <w:rPr>
                <w:lang w:val="en-GB"/>
              </w:rPr>
              <w:t>Secretariat of the Minamata Convention</w:t>
            </w:r>
            <w:r w:rsidRPr="004A3DB4">
              <w:t xml:space="preserve"> from national focal points for the Minamata Convention.  </w:t>
            </w:r>
          </w:p>
          <w:p w14:paraId="702001F7" w14:textId="77777777" w:rsidR="008C6A6C" w:rsidRDefault="008C6A6C" w:rsidP="008C6A6C">
            <w:pPr>
              <w:pStyle w:val="NoSpacing"/>
            </w:pPr>
          </w:p>
        </w:tc>
        <w:tc>
          <w:tcPr>
            <w:tcW w:w="0" w:type="auto"/>
          </w:tcPr>
          <w:p w14:paraId="16F84B35" w14:textId="77777777" w:rsidR="008C6A6C" w:rsidRPr="00016654" w:rsidRDefault="008C6A6C" w:rsidP="008C6A6C">
            <w:pPr>
              <w:pStyle w:val="NoSpacing"/>
              <w:rPr>
                <w:lang w:eastAsia="en-GB"/>
              </w:rPr>
            </w:pPr>
            <w:r w:rsidRPr="00016654">
              <w:rPr>
                <w:lang w:eastAsia="en-GB"/>
              </w:rPr>
              <w:lastRenderedPageBreak/>
              <w:t>Focal Points and Competent Authorities for the Basel Conventions (185 Parties);</w:t>
            </w:r>
          </w:p>
          <w:p w14:paraId="4E69E813" w14:textId="77777777" w:rsidR="008C6A6C" w:rsidRPr="00016654" w:rsidRDefault="008C6A6C" w:rsidP="008C6A6C">
            <w:pPr>
              <w:pStyle w:val="NoSpacing"/>
              <w:rPr>
                <w:lang w:eastAsia="en-GB"/>
              </w:rPr>
            </w:pPr>
            <w:r w:rsidRPr="00016654">
              <w:rPr>
                <w:lang w:eastAsia="en-GB"/>
              </w:rPr>
              <w:t>Designated National Authorities and Official contact points for the Rotterdam Convention (180 Parties);</w:t>
            </w:r>
          </w:p>
          <w:p w14:paraId="4FF9071B" w14:textId="77777777" w:rsidR="008C6A6C" w:rsidRPr="00016654" w:rsidRDefault="008C6A6C" w:rsidP="008C6A6C">
            <w:pPr>
              <w:pStyle w:val="NoSpacing"/>
              <w:rPr>
                <w:lang w:eastAsia="en-GB"/>
              </w:rPr>
            </w:pPr>
            <w:r w:rsidRPr="00016654">
              <w:rPr>
                <w:lang w:eastAsia="en-GB"/>
              </w:rPr>
              <w:t>Official contact points and national focal points for Stockholm Convention (156 Parties);</w:t>
            </w:r>
          </w:p>
          <w:p w14:paraId="1F92675C" w14:textId="77777777" w:rsidR="008C6A6C" w:rsidRPr="00016654" w:rsidRDefault="008C6A6C" w:rsidP="008C6A6C">
            <w:pPr>
              <w:pStyle w:val="NoSpacing"/>
              <w:rPr>
                <w:lang w:eastAsia="en-GB"/>
              </w:rPr>
            </w:pPr>
            <w:r w:rsidRPr="00016654">
              <w:rPr>
                <w:lang w:eastAsia="en-GB"/>
              </w:rPr>
              <w:lastRenderedPageBreak/>
              <w:t>Focal points for Montreal Protocol (197 Parties);</w:t>
            </w:r>
          </w:p>
          <w:p w14:paraId="4E93F203" w14:textId="77777777" w:rsidR="008C6A6C" w:rsidRPr="00016654" w:rsidRDefault="008C6A6C" w:rsidP="008C6A6C">
            <w:pPr>
              <w:pStyle w:val="NoSpacing"/>
              <w:rPr>
                <w:lang w:eastAsia="en-GB"/>
              </w:rPr>
            </w:pPr>
            <w:r w:rsidRPr="00016654">
              <w:rPr>
                <w:lang w:eastAsia="en-GB"/>
              </w:rPr>
              <w:t>Focal points for information exchange and national focal points for the Minamata Convention (currently 35 Parties).</w:t>
            </w:r>
          </w:p>
          <w:p w14:paraId="1CB842C5" w14:textId="77777777" w:rsidR="008C6A6C" w:rsidRPr="004A3DB4" w:rsidRDefault="008C6A6C" w:rsidP="008C6A6C">
            <w:pPr>
              <w:pStyle w:val="NoSpacing"/>
            </w:pPr>
          </w:p>
        </w:tc>
        <w:tc>
          <w:tcPr>
            <w:tcW w:w="0" w:type="auto"/>
          </w:tcPr>
          <w:p w14:paraId="47F3BE49" w14:textId="6FEFC1D2" w:rsidR="008C6A6C" w:rsidRPr="00261A09" w:rsidRDefault="008C6A6C" w:rsidP="008C6A6C">
            <w:pPr>
              <w:pStyle w:val="NoSpacing"/>
            </w:pPr>
          </w:p>
        </w:tc>
        <w:tc>
          <w:tcPr>
            <w:tcW w:w="0" w:type="auto"/>
          </w:tcPr>
          <w:p w14:paraId="6CD7D54D" w14:textId="77777777" w:rsidR="008C6A6C" w:rsidRDefault="008C6A6C" w:rsidP="008C6A6C">
            <w:pPr>
              <w:spacing w:line="276" w:lineRule="auto"/>
              <w:jc w:val="center"/>
              <w:rPr>
                <w:rFonts w:eastAsia="Times New Roman" w:cs="Times New Roman"/>
                <w:szCs w:val="20"/>
              </w:rPr>
            </w:pPr>
            <w:r w:rsidRPr="00D32461">
              <w:rPr>
                <w:rFonts w:eastAsia="Times New Roman" w:cs="Times New Roman"/>
                <w:szCs w:val="20"/>
              </w:rPr>
              <w:t>DoE,</w:t>
            </w:r>
            <w:r w:rsidRPr="00261A09">
              <w:rPr>
                <w:rFonts w:eastAsia="Times New Roman" w:cs="Times New Roman"/>
                <w:szCs w:val="20"/>
              </w:rPr>
              <w:t xml:space="preserve"> </w:t>
            </w:r>
            <w:r>
              <w:rPr>
                <w:rFonts w:eastAsia="Times New Roman" w:cs="Times New Roman"/>
                <w:szCs w:val="20"/>
              </w:rPr>
              <w:t>MoEFCC</w:t>
            </w:r>
          </w:p>
          <w:p w14:paraId="2F1EE28F" w14:textId="77777777" w:rsidR="008C6A6C" w:rsidRDefault="008C6A6C" w:rsidP="008C6A6C">
            <w:pPr>
              <w:spacing w:line="276" w:lineRule="auto"/>
              <w:jc w:val="center"/>
              <w:rPr>
                <w:szCs w:val="26"/>
              </w:rPr>
            </w:pPr>
          </w:p>
          <w:p w14:paraId="4EE65DE4" w14:textId="77777777" w:rsidR="008C6A6C" w:rsidRDefault="008C6A6C" w:rsidP="008C6A6C">
            <w:pPr>
              <w:spacing w:line="276" w:lineRule="auto"/>
              <w:jc w:val="center"/>
              <w:rPr>
                <w:szCs w:val="26"/>
              </w:rPr>
            </w:pPr>
          </w:p>
          <w:p w14:paraId="76ACDAC7" w14:textId="77777777" w:rsidR="008C6A6C" w:rsidRPr="00261A09" w:rsidRDefault="008C6A6C" w:rsidP="008C6A6C">
            <w:pPr>
              <w:spacing w:line="276" w:lineRule="auto"/>
            </w:pPr>
            <w:r w:rsidRPr="000C36C6">
              <w:rPr>
                <w:szCs w:val="26"/>
              </w:rPr>
              <w:t>Administrative Data</w:t>
            </w:r>
          </w:p>
        </w:tc>
        <w:tc>
          <w:tcPr>
            <w:tcW w:w="0" w:type="auto"/>
          </w:tcPr>
          <w:p w14:paraId="6051F429" w14:textId="77777777" w:rsidR="008C6A6C" w:rsidRDefault="008C6A6C" w:rsidP="008C6A6C">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rPr>
              <w:t>agreement/convention: Stockholm/ Rotterdam/ Basel Convention on hazardous waste and other chemicals-Montreal Protocol on hazardous waste and other chemical</w:t>
            </w:r>
          </w:p>
          <w:p w14:paraId="4310AA14" w14:textId="77777777" w:rsidR="008C6A6C" w:rsidRDefault="008C6A6C" w:rsidP="008C6A6C">
            <w:pPr>
              <w:ind w:left="970" w:hanging="970"/>
              <w:jc w:val="both"/>
              <w:rPr>
                <w:color w:val="0070C0"/>
                <w:sz w:val="30"/>
                <w:szCs w:val="30"/>
              </w:rPr>
            </w:pPr>
          </w:p>
        </w:tc>
        <w:tc>
          <w:tcPr>
            <w:tcW w:w="0" w:type="auto"/>
          </w:tcPr>
          <w:p w14:paraId="71598B4B" w14:textId="77777777" w:rsidR="008C6A6C" w:rsidRDefault="008C6A6C" w:rsidP="008C6A6C">
            <w:pPr>
              <w:ind w:left="970" w:hanging="970"/>
              <w:jc w:val="both"/>
              <w:rPr>
                <w:color w:val="0070C0"/>
                <w:sz w:val="30"/>
                <w:szCs w:val="30"/>
              </w:rPr>
            </w:pPr>
            <w:r w:rsidRPr="00BC6F10">
              <w:t>Annual</w:t>
            </w:r>
          </w:p>
        </w:tc>
        <w:tc>
          <w:tcPr>
            <w:tcW w:w="0" w:type="auto"/>
          </w:tcPr>
          <w:p w14:paraId="1341A7C5" w14:textId="77777777" w:rsidR="008C6A6C" w:rsidRDefault="008C6A6C" w:rsidP="008C6A6C">
            <w:pPr>
              <w:ind w:left="970" w:hanging="970"/>
              <w:jc w:val="both"/>
              <w:rPr>
                <w:color w:val="0070C0"/>
                <w:sz w:val="30"/>
                <w:szCs w:val="30"/>
              </w:rPr>
            </w:pPr>
            <w:r>
              <w:t>Group 2</w:t>
            </w:r>
          </w:p>
        </w:tc>
        <w:tc>
          <w:tcPr>
            <w:tcW w:w="0" w:type="auto"/>
          </w:tcPr>
          <w:p w14:paraId="0D549CE4" w14:textId="430BF359" w:rsidR="008C6A6C" w:rsidRDefault="008C6A6C" w:rsidP="008C6A6C">
            <w:pPr>
              <w:pStyle w:val="NoSpacing"/>
            </w:pPr>
          </w:p>
          <w:p w14:paraId="021382AA" w14:textId="77777777" w:rsidR="008C6A6C" w:rsidRDefault="008C6A6C" w:rsidP="008C6A6C">
            <w:pPr>
              <w:pStyle w:val="NoSpacing"/>
            </w:pPr>
          </w:p>
          <w:p w14:paraId="41887133" w14:textId="59619CAF" w:rsidR="008C6A6C" w:rsidRDefault="008C6A6C" w:rsidP="008C6A6C">
            <w:pPr>
              <w:pStyle w:val="NoSpacing"/>
            </w:pPr>
            <w:r>
              <w:t>1</w:t>
            </w:r>
            <w:r w:rsidRPr="00013ACB">
              <w:rPr>
                <w:vertAlign w:val="superscript"/>
              </w:rPr>
              <w:t>st</w:t>
            </w:r>
            <w:r>
              <w:t xml:space="preserve"> Round:</w:t>
            </w:r>
            <w:r w:rsidR="000D7AAB">
              <w:t xml:space="preserve"> December, 2019</w:t>
            </w:r>
          </w:p>
          <w:p w14:paraId="2A6B8946" w14:textId="77777777" w:rsidR="008C6A6C" w:rsidRDefault="008C6A6C" w:rsidP="008C6A6C">
            <w:pPr>
              <w:pStyle w:val="NoSpacing"/>
            </w:pPr>
          </w:p>
          <w:p w14:paraId="7A7E0171" w14:textId="6D47FE66" w:rsidR="008C6A6C" w:rsidRDefault="008C6A6C" w:rsidP="008C6A6C">
            <w:pPr>
              <w:pStyle w:val="NoSpacing"/>
            </w:pPr>
            <w:r>
              <w:t>2</w:t>
            </w:r>
            <w:r w:rsidRPr="00013ACB">
              <w:rPr>
                <w:vertAlign w:val="superscript"/>
              </w:rPr>
              <w:t>nd</w:t>
            </w:r>
            <w:r>
              <w:t xml:space="preserve"> Round:</w:t>
            </w:r>
            <w:r w:rsidR="000D7AAB">
              <w:t xml:space="preserve"> December, 2020</w:t>
            </w:r>
          </w:p>
          <w:p w14:paraId="4F0A4309" w14:textId="77777777" w:rsidR="008C6A6C" w:rsidRDefault="008C6A6C" w:rsidP="008C6A6C">
            <w:pPr>
              <w:pStyle w:val="NoSpacing"/>
            </w:pPr>
            <w:r>
              <w:t xml:space="preserve"> </w:t>
            </w:r>
          </w:p>
          <w:p w14:paraId="57BA9B31" w14:textId="6AD7B43B" w:rsidR="008C6A6C" w:rsidRDefault="008C6A6C" w:rsidP="008C6A6C">
            <w:pPr>
              <w:pStyle w:val="NoSpacing"/>
            </w:pPr>
            <w:r>
              <w:t>3</w:t>
            </w:r>
            <w:r w:rsidRPr="00013ACB">
              <w:rPr>
                <w:vertAlign w:val="superscript"/>
              </w:rPr>
              <w:t>rd</w:t>
            </w:r>
            <w:r>
              <w:t xml:space="preserve"> Round: </w:t>
            </w:r>
            <w:r w:rsidR="000D7AAB">
              <w:t>December, 2021</w:t>
            </w:r>
          </w:p>
          <w:p w14:paraId="2CE0885C" w14:textId="77777777" w:rsidR="008C6A6C" w:rsidRDefault="008C6A6C" w:rsidP="008C6A6C">
            <w:pPr>
              <w:pStyle w:val="NoSpacing"/>
            </w:pPr>
          </w:p>
          <w:p w14:paraId="3CDBF7EE" w14:textId="4B8149DE" w:rsidR="008C6A6C" w:rsidRDefault="008C6A6C" w:rsidP="008C6A6C">
            <w:pPr>
              <w:pStyle w:val="NoSpacing"/>
            </w:pPr>
            <w:r>
              <w:t>4</w:t>
            </w:r>
            <w:r w:rsidRPr="00013ACB">
              <w:rPr>
                <w:vertAlign w:val="superscript"/>
              </w:rPr>
              <w:t>th</w:t>
            </w:r>
            <w:r>
              <w:t xml:space="preserve"> Round: </w:t>
            </w:r>
            <w:r w:rsidR="000D7AAB">
              <w:t>December, 2022</w:t>
            </w:r>
          </w:p>
          <w:p w14:paraId="5DC33C60" w14:textId="77777777" w:rsidR="008C6A6C" w:rsidRDefault="008C6A6C" w:rsidP="008C6A6C">
            <w:pPr>
              <w:pStyle w:val="NoSpacing"/>
            </w:pPr>
          </w:p>
          <w:p w14:paraId="25F023B1" w14:textId="4F7F4F5D" w:rsidR="008C6A6C" w:rsidRDefault="008C6A6C" w:rsidP="008C6A6C">
            <w:pPr>
              <w:pStyle w:val="NoSpacing"/>
            </w:pPr>
            <w:r>
              <w:t>5</w:t>
            </w:r>
            <w:r w:rsidRPr="00013ACB">
              <w:rPr>
                <w:vertAlign w:val="superscript"/>
              </w:rPr>
              <w:t>th</w:t>
            </w:r>
            <w:r>
              <w:t xml:space="preserve"> Round: </w:t>
            </w:r>
            <w:r w:rsidR="000D7AAB">
              <w:t>December, 2023</w:t>
            </w:r>
          </w:p>
          <w:p w14:paraId="58CDFD38" w14:textId="5BEB97BD" w:rsidR="008C6A6C" w:rsidRDefault="008C6A6C" w:rsidP="008C6A6C">
            <w:pPr>
              <w:pStyle w:val="NoSpacing"/>
              <w:rPr>
                <w:color w:val="0070C0"/>
                <w:sz w:val="30"/>
                <w:szCs w:val="30"/>
              </w:rPr>
            </w:pPr>
          </w:p>
        </w:tc>
        <w:tc>
          <w:tcPr>
            <w:tcW w:w="0" w:type="auto"/>
          </w:tcPr>
          <w:p w14:paraId="71782036" w14:textId="77777777" w:rsidR="008C6A6C" w:rsidRDefault="008C6A6C" w:rsidP="008C6A6C">
            <w:pPr>
              <w:ind w:left="970" w:hanging="970"/>
              <w:jc w:val="both"/>
              <w:rPr>
                <w:color w:val="0070C0"/>
                <w:sz w:val="30"/>
                <w:szCs w:val="30"/>
              </w:rPr>
            </w:pPr>
          </w:p>
        </w:tc>
      </w:tr>
      <w:tr w:rsidR="008C6A6C" w14:paraId="7B447199" w14:textId="77777777" w:rsidTr="00A64F0D">
        <w:tc>
          <w:tcPr>
            <w:tcW w:w="0" w:type="auto"/>
          </w:tcPr>
          <w:p w14:paraId="39958C05" w14:textId="77777777" w:rsidR="008C6A6C" w:rsidRDefault="008C6A6C" w:rsidP="008C6A6C">
            <w:pPr>
              <w:pStyle w:val="NoSpacing"/>
            </w:pPr>
            <w:r w:rsidRPr="00360230">
              <w:lastRenderedPageBreak/>
              <w:t>12.4.2 Hazardous waste generated per capita and proportion of hazardous waste treated, by type of treatment</w:t>
            </w:r>
          </w:p>
        </w:tc>
        <w:tc>
          <w:tcPr>
            <w:tcW w:w="0" w:type="auto"/>
          </w:tcPr>
          <w:p w14:paraId="39297488" w14:textId="77777777" w:rsidR="008C6A6C" w:rsidRDefault="008C6A6C" w:rsidP="008C6A6C">
            <w:pPr>
              <w:pStyle w:val="NoSpacing"/>
            </w:pPr>
            <w:r>
              <w:t xml:space="preserve">UNSD, </w:t>
            </w:r>
          </w:p>
          <w:p w14:paraId="066861A6" w14:textId="77777777" w:rsidR="008C6A6C" w:rsidRDefault="008C6A6C" w:rsidP="008C6A6C">
            <w:pPr>
              <w:pStyle w:val="NoSpacing"/>
            </w:pPr>
            <w:r>
              <w:t>UNEP</w:t>
            </w:r>
          </w:p>
          <w:p w14:paraId="6D76C16B" w14:textId="77777777" w:rsidR="008C6A6C" w:rsidRDefault="008C6A6C" w:rsidP="008C6A6C">
            <w:pPr>
              <w:rPr>
                <w:b/>
                <w:bCs/>
                <w:szCs w:val="20"/>
              </w:rPr>
            </w:pPr>
            <w:r w:rsidRPr="007243FC">
              <w:rPr>
                <w:b/>
                <w:bCs/>
                <w:szCs w:val="20"/>
              </w:rPr>
              <w:t>Partner Agencies:</w:t>
            </w:r>
          </w:p>
          <w:p w14:paraId="7FE714D6" w14:textId="77777777" w:rsidR="008C6A6C" w:rsidRDefault="008C6A6C" w:rsidP="008C6A6C">
            <w:pPr>
              <w:pStyle w:val="NoSpacing"/>
            </w:pPr>
            <w:r>
              <w:t>OECD,</w:t>
            </w:r>
          </w:p>
          <w:p w14:paraId="5F175664" w14:textId="77777777" w:rsidR="008C6A6C" w:rsidRDefault="008C6A6C" w:rsidP="008C6A6C">
            <w:pPr>
              <w:pStyle w:val="NoSpacing"/>
            </w:pPr>
            <w:r>
              <w:t>Eurostat,</w:t>
            </w:r>
          </w:p>
          <w:p w14:paraId="1D5A35E3" w14:textId="77777777" w:rsidR="008C6A6C" w:rsidRDefault="008C6A6C" w:rsidP="008C6A6C">
            <w:pPr>
              <w:pStyle w:val="NoSpacing"/>
            </w:pPr>
            <w:r>
              <w:t>UNU</w:t>
            </w:r>
          </w:p>
        </w:tc>
        <w:tc>
          <w:tcPr>
            <w:tcW w:w="0" w:type="auto"/>
          </w:tcPr>
          <w:p w14:paraId="28D20D19" w14:textId="77777777" w:rsidR="008C6A6C" w:rsidRDefault="008C6A6C" w:rsidP="008C6A6C">
            <w:pPr>
              <w:ind w:left="970" w:hanging="970"/>
              <w:jc w:val="both"/>
              <w:rPr>
                <w:color w:val="0070C0"/>
                <w:sz w:val="30"/>
                <w:szCs w:val="30"/>
              </w:rPr>
            </w:pPr>
            <w:r w:rsidRPr="00666BAB">
              <w:t>Tier II</w:t>
            </w:r>
          </w:p>
        </w:tc>
        <w:tc>
          <w:tcPr>
            <w:tcW w:w="0" w:type="auto"/>
          </w:tcPr>
          <w:p w14:paraId="1D4D4470" w14:textId="77777777" w:rsidR="008C6A6C" w:rsidRPr="00D932A2" w:rsidRDefault="008C6A6C" w:rsidP="008C6A6C">
            <w:pPr>
              <w:pStyle w:val="NoSpacing"/>
              <w:rPr>
                <w:lang w:val="en-GB"/>
              </w:rPr>
            </w:pPr>
            <w:r w:rsidRPr="00D932A2">
              <w:rPr>
                <w:b/>
                <w:bCs/>
                <w:lang w:val="en-GB"/>
              </w:rPr>
              <w:t>Definition:</w:t>
            </w:r>
            <w:r w:rsidRPr="00D932A2">
              <w:rPr>
                <w:lang w:val="en-GB"/>
              </w:rPr>
              <w:t xml:space="preserve"> </w:t>
            </w:r>
          </w:p>
          <w:p w14:paraId="384733B0" w14:textId="77777777" w:rsidR="008C6A6C" w:rsidRPr="00D932A2" w:rsidRDefault="008C6A6C" w:rsidP="008C6A6C">
            <w:pPr>
              <w:pStyle w:val="NoSpacing"/>
              <w:rPr>
                <w:lang w:val="en-GB"/>
              </w:rPr>
            </w:pPr>
            <w:r w:rsidRPr="00D932A2">
              <w:rPr>
                <w:lang w:val="en-GB"/>
              </w:rPr>
              <w:t>The indicator includes hazardous generated, hazardous waste generated by type (including e-waste as a sub-indicator) and the proportion of hazardous waste treated. For the e-waste sub-category, United Nations University is a co-custodian.</w:t>
            </w:r>
          </w:p>
          <w:p w14:paraId="1E96A6DB" w14:textId="77777777" w:rsidR="008C6A6C" w:rsidRPr="00D932A2" w:rsidRDefault="008C6A6C" w:rsidP="008C6A6C">
            <w:pPr>
              <w:pStyle w:val="NoSpacing"/>
              <w:rPr>
                <w:lang w:val="en-GB"/>
              </w:rPr>
            </w:pPr>
          </w:p>
          <w:p w14:paraId="148BD0B7" w14:textId="77777777" w:rsidR="008C6A6C" w:rsidRPr="00D932A2" w:rsidRDefault="008C6A6C" w:rsidP="008C6A6C">
            <w:pPr>
              <w:pStyle w:val="NoSpacing"/>
              <w:rPr>
                <w:lang w:val="en-GB"/>
              </w:rPr>
            </w:pPr>
            <w:r w:rsidRPr="00D932A2">
              <w:rPr>
                <w:b/>
                <w:bCs/>
                <w:lang w:val="en-GB"/>
              </w:rPr>
              <w:t>Hazardous waste generated (in tonnes, per km sq of land area and per capita)</w:t>
            </w:r>
            <w:r w:rsidRPr="00D932A2">
              <w:rPr>
                <w:lang w:val="en-GB"/>
              </w:rPr>
              <w:t>: Hazardous waste collected + Hazardous waste given by generator to treatment or disposal facilities + Estimation of Unaccounted for hazardous waste</w:t>
            </w:r>
          </w:p>
          <w:p w14:paraId="52D2B5F3" w14:textId="77777777" w:rsidR="008C6A6C" w:rsidRPr="00D932A2" w:rsidRDefault="008C6A6C" w:rsidP="008C6A6C">
            <w:pPr>
              <w:pStyle w:val="NoSpacing"/>
              <w:rPr>
                <w:lang w:val="en-GB"/>
              </w:rPr>
            </w:pPr>
          </w:p>
          <w:p w14:paraId="789B1154" w14:textId="77777777" w:rsidR="008C6A6C" w:rsidRPr="00D932A2" w:rsidRDefault="008C6A6C" w:rsidP="008C6A6C">
            <w:pPr>
              <w:pStyle w:val="NoSpacing"/>
              <w:rPr>
                <w:lang w:val="en-GB"/>
              </w:rPr>
            </w:pPr>
            <w:r w:rsidRPr="00D932A2">
              <w:rPr>
                <w:b/>
                <w:bCs/>
                <w:lang w:val="en-GB"/>
              </w:rPr>
              <w:t>Hazardous waste generated by type, including e-waste</w:t>
            </w:r>
            <w:r w:rsidRPr="00D932A2">
              <w:rPr>
                <w:lang w:val="en-GB"/>
              </w:rPr>
              <w:t>: A breakdown of hazardous waste generated by key type of waste, including e-waste</w:t>
            </w:r>
          </w:p>
          <w:p w14:paraId="6FF4AC7D" w14:textId="77777777" w:rsidR="008C6A6C" w:rsidRPr="00D932A2" w:rsidRDefault="008C6A6C" w:rsidP="008C6A6C">
            <w:pPr>
              <w:pStyle w:val="NoSpacing"/>
              <w:rPr>
                <w:lang w:val="en-GB"/>
              </w:rPr>
            </w:pPr>
          </w:p>
          <w:p w14:paraId="188A23AF" w14:textId="77777777" w:rsidR="008C6A6C" w:rsidRPr="00D932A2" w:rsidRDefault="008C6A6C" w:rsidP="008C6A6C">
            <w:pPr>
              <w:pStyle w:val="NoSpacing"/>
              <w:rPr>
                <w:lang w:val="en-GB"/>
              </w:rPr>
            </w:pPr>
            <w:r w:rsidRPr="00D932A2">
              <w:rPr>
                <w:b/>
                <w:bCs/>
                <w:lang w:val="en-GB"/>
              </w:rPr>
              <w:t>Proportion of hazardous waste treated</w:t>
            </w:r>
            <w:r w:rsidRPr="00D932A2">
              <w:rPr>
                <w:lang w:val="en-GB"/>
              </w:rPr>
              <w:t>: Quantity of hazardous waste treated during reporting year/quantity of hazardous waste generated x 100</w:t>
            </w:r>
          </w:p>
          <w:p w14:paraId="0687B630" w14:textId="77777777" w:rsidR="008C6A6C" w:rsidRPr="00D932A2" w:rsidRDefault="008C6A6C" w:rsidP="008C6A6C">
            <w:pPr>
              <w:pStyle w:val="NoSpacing"/>
              <w:rPr>
                <w:lang w:val="en-GB"/>
              </w:rPr>
            </w:pPr>
          </w:p>
          <w:p w14:paraId="1F64F91A" w14:textId="77777777" w:rsidR="008C6A6C" w:rsidRPr="00D932A2" w:rsidRDefault="008C6A6C" w:rsidP="008C6A6C">
            <w:pPr>
              <w:pStyle w:val="NoSpacing"/>
              <w:rPr>
                <w:lang w:val="en-GB"/>
              </w:rPr>
            </w:pPr>
            <w:r w:rsidRPr="00D932A2">
              <w:rPr>
                <w:lang w:val="en-GB"/>
              </w:rPr>
              <w:t>A full methodology for this indicator is available in the document entitled, “Measuring Waste in the Context of the SDGs (UNEP, forthcoming)”.</w:t>
            </w:r>
          </w:p>
          <w:p w14:paraId="7FB50D9E" w14:textId="77777777" w:rsidR="008C6A6C" w:rsidRPr="00D932A2" w:rsidRDefault="008C6A6C" w:rsidP="008C6A6C">
            <w:pPr>
              <w:pStyle w:val="NoSpacing"/>
              <w:rPr>
                <w:bCs/>
                <w:lang w:val="en-GB"/>
              </w:rPr>
            </w:pPr>
          </w:p>
          <w:p w14:paraId="5FD868EC" w14:textId="77777777" w:rsidR="008C6A6C" w:rsidRPr="00D932A2" w:rsidRDefault="008C6A6C" w:rsidP="008C6A6C">
            <w:pPr>
              <w:pStyle w:val="NoSpacing"/>
              <w:rPr>
                <w:b/>
                <w:bCs/>
                <w:lang w:val="en-GB"/>
              </w:rPr>
            </w:pPr>
            <w:r w:rsidRPr="00D932A2">
              <w:rPr>
                <w:b/>
                <w:bCs/>
                <w:lang w:val="en-GB"/>
              </w:rPr>
              <w:t>Concepts:</w:t>
            </w:r>
          </w:p>
          <w:p w14:paraId="0C3E0FC3" w14:textId="77777777" w:rsidR="008C6A6C" w:rsidRPr="00D932A2" w:rsidRDefault="008C6A6C" w:rsidP="008C6A6C">
            <w:pPr>
              <w:pStyle w:val="NoSpacing"/>
              <w:rPr>
                <w:lang w:val="en-GB"/>
              </w:rPr>
            </w:pPr>
            <w:r w:rsidRPr="00D932A2">
              <w:rPr>
                <w:i/>
                <w:iCs/>
                <w:lang w:val="en-GB"/>
              </w:rPr>
              <w:t>Hazardous waste</w:t>
            </w:r>
            <w:r w:rsidRPr="00D932A2">
              <w:rPr>
                <w:lang w:val="en-GB"/>
              </w:rPr>
              <w:t xml:space="preserve"> is waste with properties that make it hazardous or capable of having a harmful effect on human health or the environment. Hazardous waste is generated from many sources, ranging from industrial manufacturing process waste to domestic items such as batteries and may come in many forms, including liquids, solids, gases and sludge. They can be discarded as commercial products, like cleaning fluids or pesticides or the by-products of manufacturing processes, from Basel Convention </w:t>
            </w:r>
            <w:r w:rsidRPr="00D932A2">
              <w:rPr>
                <w:lang w:val="en-GB"/>
              </w:rPr>
              <w:lastRenderedPageBreak/>
              <w:t>(Article 1, paragraph 1(a)). Waste listed in Annex VIII of the Basel Convention is presumed to be hazardous, while waste listed in Annex IX is presumed not to be hazardous. For the purpose of this indicator, due to comparability reasons, additional waste considered hazardous as per national definitions, as provided by the Basel Convention under Article 1, paragraph 1 (b), are excluded.</w:t>
            </w:r>
          </w:p>
          <w:p w14:paraId="43EF6024" w14:textId="77777777" w:rsidR="008C6A6C" w:rsidRPr="00D932A2" w:rsidRDefault="008C6A6C" w:rsidP="008C6A6C">
            <w:pPr>
              <w:pStyle w:val="NoSpacing"/>
              <w:rPr>
                <w:i/>
                <w:iCs/>
                <w:lang w:val="en-GB"/>
              </w:rPr>
            </w:pPr>
          </w:p>
          <w:p w14:paraId="514816AD" w14:textId="77777777" w:rsidR="008C6A6C" w:rsidRPr="00D932A2" w:rsidRDefault="008C6A6C" w:rsidP="008C6A6C">
            <w:pPr>
              <w:pStyle w:val="NoSpacing"/>
              <w:rPr>
                <w:lang w:val="en-GB"/>
              </w:rPr>
            </w:pPr>
            <w:r w:rsidRPr="00D932A2">
              <w:rPr>
                <w:i/>
                <w:iCs/>
                <w:lang w:val="en-GB"/>
              </w:rPr>
              <w:t>Hazardous waste generated</w:t>
            </w:r>
            <w:r w:rsidRPr="00D932A2">
              <w:rPr>
                <w:lang w:val="en-GB"/>
              </w:rPr>
              <w:t xml:space="preserve"> refers to the quantity of hazardous waste (as per the definition above) that is generated within the country during the reported year, prior to any activity such as collection, preparation for reuse, treatment, recovery, including recycling, or export, no matter the destination of this waste. In case waste that are not covered under the above definition, but are defined as, or are considered to be hazardous waste by national definitions are included in the “hazardous waste generated” amount, a specific note should be added specifying the additional types/streams of hazardous waste included as well as their quantities. </w:t>
            </w:r>
          </w:p>
          <w:p w14:paraId="559ABD45" w14:textId="77777777" w:rsidR="008C6A6C" w:rsidRPr="00D932A2" w:rsidRDefault="008C6A6C" w:rsidP="008C6A6C">
            <w:pPr>
              <w:pStyle w:val="NoSpacing"/>
              <w:rPr>
                <w:lang w:val="en-GB"/>
              </w:rPr>
            </w:pPr>
            <w:r w:rsidRPr="00D932A2">
              <w:rPr>
                <w:lang w:val="en-GB"/>
              </w:rPr>
              <w:t>The hazardous waste generated should be reported as a total amount generated during the year, as well as by its distribution among wide categories of economic activities and by households. The economic included in the scope of hazardous waste:</w:t>
            </w:r>
          </w:p>
          <w:p w14:paraId="2C5BD26A" w14:textId="77777777" w:rsidR="008C6A6C" w:rsidRPr="00D932A2" w:rsidRDefault="008C6A6C" w:rsidP="008C6A6C">
            <w:pPr>
              <w:pStyle w:val="NoSpacing"/>
              <w:rPr>
                <w:lang w:val="en-GB"/>
              </w:rPr>
            </w:pPr>
            <w:r w:rsidRPr="00D932A2">
              <w:rPr>
                <w:lang w:val="en-GB"/>
              </w:rPr>
              <w:t>•</w:t>
            </w:r>
            <w:r w:rsidRPr="00D932A2">
              <w:rPr>
                <w:lang w:val="en-GB"/>
              </w:rPr>
              <w:tab/>
              <w:t>Agriculture, forestry and fishing (ISIC 01-03)</w:t>
            </w:r>
          </w:p>
          <w:p w14:paraId="59A3F7E2" w14:textId="77777777" w:rsidR="008C6A6C" w:rsidRPr="00D932A2" w:rsidRDefault="008C6A6C" w:rsidP="008C6A6C">
            <w:pPr>
              <w:pStyle w:val="NoSpacing"/>
              <w:rPr>
                <w:lang w:val="en-GB"/>
              </w:rPr>
            </w:pPr>
            <w:r w:rsidRPr="00D932A2">
              <w:rPr>
                <w:lang w:val="en-GB"/>
              </w:rPr>
              <w:t>•</w:t>
            </w:r>
            <w:r w:rsidRPr="00D932A2">
              <w:rPr>
                <w:lang w:val="en-GB"/>
              </w:rPr>
              <w:tab/>
              <w:t>Mining and quarrying (ISIC 05-09)</w:t>
            </w:r>
          </w:p>
          <w:p w14:paraId="02698EF8" w14:textId="77777777" w:rsidR="008C6A6C" w:rsidRPr="00D932A2" w:rsidRDefault="008C6A6C" w:rsidP="008C6A6C">
            <w:pPr>
              <w:pStyle w:val="NoSpacing"/>
              <w:rPr>
                <w:lang w:val="en-GB"/>
              </w:rPr>
            </w:pPr>
            <w:r w:rsidRPr="00D932A2">
              <w:rPr>
                <w:lang w:val="en-GB"/>
              </w:rPr>
              <w:t>•</w:t>
            </w:r>
            <w:r w:rsidRPr="00D932A2">
              <w:rPr>
                <w:lang w:val="en-GB"/>
              </w:rPr>
              <w:tab/>
              <w:t>Manufacturing (ISIC 10-33)</w:t>
            </w:r>
          </w:p>
          <w:p w14:paraId="269E68DB" w14:textId="77777777" w:rsidR="008C6A6C" w:rsidRPr="00D932A2" w:rsidRDefault="008C6A6C" w:rsidP="008C6A6C">
            <w:pPr>
              <w:pStyle w:val="NoSpacing"/>
              <w:rPr>
                <w:lang w:val="en-GB"/>
              </w:rPr>
            </w:pPr>
            <w:r w:rsidRPr="00D932A2">
              <w:rPr>
                <w:lang w:val="en-GB"/>
              </w:rPr>
              <w:t>•</w:t>
            </w:r>
            <w:r w:rsidRPr="00D932A2">
              <w:rPr>
                <w:lang w:val="en-GB"/>
              </w:rPr>
              <w:tab/>
              <w:t>Electricity, gas, steam and air conditioning supply (ISIC 35)</w:t>
            </w:r>
          </w:p>
          <w:p w14:paraId="26296C35" w14:textId="77777777" w:rsidR="008C6A6C" w:rsidRPr="00D932A2" w:rsidRDefault="008C6A6C" w:rsidP="008C6A6C">
            <w:pPr>
              <w:pStyle w:val="NoSpacing"/>
              <w:rPr>
                <w:lang w:val="en-GB"/>
              </w:rPr>
            </w:pPr>
            <w:r w:rsidRPr="00D932A2">
              <w:rPr>
                <w:lang w:val="en-GB"/>
              </w:rPr>
              <w:t>•</w:t>
            </w:r>
            <w:r w:rsidRPr="00D932A2">
              <w:rPr>
                <w:lang w:val="en-GB"/>
              </w:rPr>
              <w:tab/>
              <w:t>Construction (ISIC 41-43)</w:t>
            </w:r>
          </w:p>
          <w:p w14:paraId="1E290526" w14:textId="77777777" w:rsidR="008C6A6C" w:rsidRPr="00D932A2" w:rsidRDefault="008C6A6C" w:rsidP="008C6A6C">
            <w:pPr>
              <w:pStyle w:val="NoSpacing"/>
              <w:rPr>
                <w:lang w:val="en-GB"/>
              </w:rPr>
            </w:pPr>
            <w:r w:rsidRPr="00D932A2">
              <w:rPr>
                <w:lang w:val="en-GB"/>
              </w:rPr>
              <w:t>•</w:t>
            </w:r>
            <w:r w:rsidRPr="00D932A2">
              <w:rPr>
                <w:lang w:val="en-GB"/>
              </w:rPr>
              <w:tab/>
              <w:t>Other economic activities excluding ISIC 38</w:t>
            </w:r>
          </w:p>
          <w:p w14:paraId="26B738C1" w14:textId="77777777" w:rsidR="008C6A6C" w:rsidRPr="00D932A2" w:rsidRDefault="008C6A6C" w:rsidP="008C6A6C">
            <w:pPr>
              <w:pStyle w:val="NoSpacing"/>
              <w:rPr>
                <w:lang w:val="en-GB"/>
              </w:rPr>
            </w:pPr>
          </w:p>
          <w:p w14:paraId="5E09158F" w14:textId="77777777" w:rsidR="008C6A6C" w:rsidRPr="00D932A2" w:rsidRDefault="008C6A6C" w:rsidP="008C6A6C">
            <w:pPr>
              <w:pStyle w:val="NoSpacing"/>
              <w:rPr>
                <w:lang w:val="en-GB"/>
              </w:rPr>
            </w:pPr>
            <w:r w:rsidRPr="00D932A2">
              <w:rPr>
                <w:lang w:val="en-GB"/>
              </w:rPr>
              <w:t>As not all hazardous waste generated is immediately treated or disposed of, the stock of hazardous waste should also be reported, as per the categories and indications in Table R2 of the UNSD/UNEP Questionnaire (waste section).</w:t>
            </w:r>
          </w:p>
          <w:p w14:paraId="1D8CF9CD" w14:textId="77777777" w:rsidR="008C6A6C" w:rsidRPr="00D932A2" w:rsidRDefault="008C6A6C" w:rsidP="008C6A6C">
            <w:pPr>
              <w:pStyle w:val="NoSpacing"/>
              <w:rPr>
                <w:lang w:val="en-GB"/>
              </w:rPr>
            </w:pPr>
          </w:p>
          <w:p w14:paraId="4457E1B3" w14:textId="77777777" w:rsidR="008C6A6C" w:rsidRPr="00D932A2" w:rsidRDefault="008C6A6C" w:rsidP="008C6A6C">
            <w:pPr>
              <w:pStyle w:val="NoSpacing"/>
              <w:rPr>
                <w:lang w:val="en-GB"/>
              </w:rPr>
            </w:pPr>
            <w:r w:rsidRPr="00D932A2">
              <w:rPr>
                <w:lang w:val="en-GB"/>
              </w:rPr>
              <w:t>Related questionnaire statistics</w:t>
            </w:r>
          </w:p>
          <w:p w14:paraId="7A7A5AA7" w14:textId="77777777" w:rsidR="008C6A6C" w:rsidRPr="00D932A2" w:rsidRDefault="008C6A6C" w:rsidP="008C6A6C">
            <w:pPr>
              <w:pStyle w:val="NoSpacing"/>
              <w:numPr>
                <w:ilvl w:val="0"/>
                <w:numId w:val="139"/>
              </w:numPr>
              <w:rPr>
                <w:lang w:val="en-GB"/>
              </w:rPr>
            </w:pPr>
            <w:r w:rsidRPr="00D932A2">
              <w:rPr>
                <w:lang w:val="en-GB"/>
              </w:rPr>
              <w:t xml:space="preserve">R2.2 Hazardous waste generated </w:t>
            </w:r>
          </w:p>
          <w:p w14:paraId="42F4B593" w14:textId="77777777" w:rsidR="008C6A6C" w:rsidRPr="00D932A2" w:rsidRDefault="008C6A6C" w:rsidP="008C6A6C">
            <w:pPr>
              <w:pStyle w:val="NoSpacing"/>
              <w:numPr>
                <w:ilvl w:val="0"/>
                <w:numId w:val="139"/>
              </w:numPr>
              <w:rPr>
                <w:lang w:val="en-GB"/>
              </w:rPr>
            </w:pPr>
            <w:r w:rsidRPr="00D932A2">
              <w:rPr>
                <w:lang w:val="en-GB"/>
              </w:rPr>
              <w:t>R2.5 Hazardous waste treated or disposed of during the year (R2.2 + Imports – Exports)</w:t>
            </w:r>
          </w:p>
          <w:p w14:paraId="40E69A73" w14:textId="77777777" w:rsidR="008C6A6C" w:rsidRPr="00D932A2" w:rsidRDefault="008C6A6C" w:rsidP="008C6A6C">
            <w:pPr>
              <w:pStyle w:val="NoSpacing"/>
              <w:numPr>
                <w:ilvl w:val="0"/>
                <w:numId w:val="139"/>
              </w:numPr>
              <w:rPr>
                <w:lang w:val="en-GB"/>
              </w:rPr>
            </w:pPr>
            <w:r w:rsidRPr="00D932A2">
              <w:rPr>
                <w:lang w:val="en-GB"/>
              </w:rPr>
              <w:t>R2.6-10 Amounts going to the different types of treatment:</w:t>
            </w:r>
          </w:p>
          <w:p w14:paraId="69C003A5" w14:textId="77777777" w:rsidR="008C6A6C" w:rsidRPr="00D932A2" w:rsidRDefault="008C6A6C" w:rsidP="008C6A6C">
            <w:pPr>
              <w:pStyle w:val="NoSpacing"/>
              <w:numPr>
                <w:ilvl w:val="1"/>
                <w:numId w:val="139"/>
              </w:numPr>
              <w:rPr>
                <w:lang w:val="en-GB"/>
              </w:rPr>
            </w:pPr>
            <w:r w:rsidRPr="00D932A2">
              <w:rPr>
                <w:lang w:val="en-GB"/>
              </w:rPr>
              <w:t xml:space="preserve">Recycling </w:t>
            </w:r>
          </w:p>
          <w:p w14:paraId="0658B0EE" w14:textId="77777777" w:rsidR="008C6A6C" w:rsidRPr="00D932A2" w:rsidRDefault="008C6A6C" w:rsidP="008C6A6C">
            <w:pPr>
              <w:pStyle w:val="NoSpacing"/>
              <w:numPr>
                <w:ilvl w:val="1"/>
                <w:numId w:val="139"/>
              </w:numPr>
              <w:rPr>
                <w:lang w:val="en-GB"/>
              </w:rPr>
            </w:pPr>
            <w:r w:rsidRPr="00D932A2">
              <w:rPr>
                <w:lang w:val="en-GB"/>
              </w:rPr>
              <w:t xml:space="preserve">Incineration </w:t>
            </w:r>
          </w:p>
          <w:p w14:paraId="138841BA" w14:textId="77777777" w:rsidR="008C6A6C" w:rsidRPr="00D932A2" w:rsidRDefault="008C6A6C" w:rsidP="008C6A6C">
            <w:pPr>
              <w:pStyle w:val="NoSpacing"/>
              <w:numPr>
                <w:ilvl w:val="2"/>
                <w:numId w:val="139"/>
              </w:numPr>
              <w:rPr>
                <w:lang w:val="en-GB"/>
              </w:rPr>
            </w:pPr>
            <w:r w:rsidRPr="00D932A2">
              <w:rPr>
                <w:lang w:val="en-GB"/>
              </w:rPr>
              <w:t>Incineration with energy recovery</w:t>
            </w:r>
          </w:p>
          <w:p w14:paraId="6D4E36F0" w14:textId="77777777" w:rsidR="008C6A6C" w:rsidRPr="00D932A2" w:rsidRDefault="008C6A6C" w:rsidP="008C6A6C">
            <w:pPr>
              <w:pStyle w:val="NoSpacing"/>
              <w:numPr>
                <w:ilvl w:val="1"/>
                <w:numId w:val="139"/>
              </w:numPr>
              <w:rPr>
                <w:lang w:val="en-GB"/>
              </w:rPr>
            </w:pPr>
            <w:r w:rsidRPr="00D932A2">
              <w:rPr>
                <w:lang w:val="en-GB"/>
              </w:rPr>
              <w:t xml:space="preserve">Landfilling </w:t>
            </w:r>
          </w:p>
          <w:p w14:paraId="6C9E8221" w14:textId="77777777" w:rsidR="008C6A6C" w:rsidRPr="00D932A2" w:rsidRDefault="008C6A6C" w:rsidP="008C6A6C">
            <w:pPr>
              <w:pStyle w:val="NoSpacing"/>
              <w:numPr>
                <w:ilvl w:val="1"/>
                <w:numId w:val="139"/>
              </w:numPr>
              <w:rPr>
                <w:lang w:val="en-GB"/>
              </w:rPr>
            </w:pPr>
            <w:r w:rsidRPr="00D932A2">
              <w:rPr>
                <w:lang w:val="en-GB"/>
              </w:rPr>
              <w:t xml:space="preserve">Other </w:t>
            </w:r>
          </w:p>
          <w:p w14:paraId="17F33064" w14:textId="77777777" w:rsidR="008C6A6C" w:rsidRPr="00D932A2" w:rsidRDefault="008C6A6C" w:rsidP="008C6A6C">
            <w:pPr>
              <w:pStyle w:val="NoSpacing"/>
              <w:rPr>
                <w:lang w:val="en-IE"/>
              </w:rPr>
            </w:pPr>
          </w:p>
          <w:p w14:paraId="67941E4E" w14:textId="77777777" w:rsidR="008C6A6C" w:rsidRPr="00D932A2" w:rsidRDefault="008C6A6C" w:rsidP="008C6A6C">
            <w:pPr>
              <w:pStyle w:val="NoSpacing"/>
              <w:rPr>
                <w:b/>
                <w:bCs/>
                <w:lang w:val="en-GB"/>
              </w:rPr>
            </w:pPr>
            <w:r w:rsidRPr="00D932A2">
              <w:rPr>
                <w:b/>
                <w:bCs/>
                <w:lang w:val="en-GB"/>
              </w:rPr>
              <w:t xml:space="preserve">Comments and limitations: </w:t>
            </w:r>
          </w:p>
          <w:p w14:paraId="385B7618" w14:textId="77777777" w:rsidR="008C6A6C" w:rsidRPr="00D932A2" w:rsidRDefault="008C6A6C" w:rsidP="008C6A6C">
            <w:pPr>
              <w:pStyle w:val="NoSpacing"/>
              <w:rPr>
                <w:lang w:val="en-GB"/>
              </w:rPr>
            </w:pPr>
            <w:r w:rsidRPr="00D932A2">
              <w:rPr>
                <w:lang w:val="en-GB"/>
              </w:rPr>
              <w:t xml:space="preserve">Data on hazardous waste generation and treatment may be scarce in some countries, due to a series of factors, such as lack of, or insufficient, policies and regulations on management and/or reporting; limited human, financial and technical resources within </w:t>
            </w:r>
            <w:r w:rsidRPr="00D932A2">
              <w:rPr>
                <w:lang w:val="en-GB"/>
              </w:rPr>
              <w:lastRenderedPageBreak/>
              <w:t xml:space="preserve">government agencies, lack of clear disclosure and reporting rules and requirements, and unwillingness of generators and public officials in certain countries to disclose the quantities of hazardous waste generated. Some countries may have the data and monitoring systems needed to report, while for others there is a need for training and capacity development to enhance data collection, validation and reporting capacity. </w:t>
            </w:r>
          </w:p>
          <w:p w14:paraId="27CE55CE" w14:textId="77777777" w:rsidR="008C6A6C" w:rsidRPr="00D932A2" w:rsidRDefault="008C6A6C" w:rsidP="008C6A6C">
            <w:pPr>
              <w:pStyle w:val="NoSpacing"/>
              <w:rPr>
                <w:lang w:val="en-GB"/>
              </w:rPr>
            </w:pPr>
          </w:p>
          <w:p w14:paraId="31BE8692" w14:textId="77777777" w:rsidR="008C6A6C" w:rsidRPr="00D932A2" w:rsidRDefault="008C6A6C" w:rsidP="008C6A6C">
            <w:pPr>
              <w:pStyle w:val="NoSpacing"/>
              <w:rPr>
                <w:lang w:val="en-GB"/>
              </w:rPr>
            </w:pPr>
            <w:r w:rsidRPr="00D932A2">
              <w:rPr>
                <w:lang w:val="en-GB"/>
              </w:rPr>
              <w:t>Limitations in terms of usable data for calculating the indicator(s) may arise due to differences in the way of understanding the terminology used in the indicator or differences between these definitions and the definitions included in national legislation. This can lead to differences in reported values and difficulties in cross-checking of reported data. For example, by national legislation, countries may define additional types of waste to be considered as hazardous beyond the waste streams defined in the Basel Convention.</w:t>
            </w:r>
          </w:p>
          <w:p w14:paraId="753D547F" w14:textId="77777777" w:rsidR="008C6A6C" w:rsidRDefault="008C6A6C" w:rsidP="008C6A6C">
            <w:pPr>
              <w:pStyle w:val="NoSpacing"/>
              <w:rPr>
                <w:lang w:val="en-GB"/>
              </w:rPr>
            </w:pPr>
          </w:p>
          <w:p w14:paraId="4CDF7496" w14:textId="77777777" w:rsidR="008C6A6C" w:rsidRPr="00D932A2" w:rsidRDefault="008C6A6C" w:rsidP="008C6A6C">
            <w:pPr>
              <w:pStyle w:val="NoSpacing"/>
              <w:rPr>
                <w:b/>
                <w:bCs/>
                <w:lang w:val="en-GB"/>
              </w:rPr>
            </w:pPr>
            <w:r w:rsidRPr="00D932A2">
              <w:rPr>
                <w:b/>
                <w:bCs/>
                <w:lang w:val="en-GB"/>
              </w:rPr>
              <w:t xml:space="preserve">Computation Method </w:t>
            </w:r>
          </w:p>
          <w:p w14:paraId="3388806D" w14:textId="77777777" w:rsidR="008C6A6C" w:rsidRPr="00D932A2" w:rsidRDefault="008C6A6C" w:rsidP="008C6A6C">
            <w:pPr>
              <w:pStyle w:val="NoSpacing"/>
              <w:rPr>
                <w:lang w:val="en-GB"/>
              </w:rPr>
            </w:pPr>
            <w:r w:rsidRPr="00D932A2">
              <w:rPr>
                <w:lang w:val="en-GB"/>
              </w:rPr>
              <w:t>A full methodology for this indicator is available in the document entitled, “Measuring Waste in the Context of the SDGs” (UNEP forthcoming).</w:t>
            </w:r>
          </w:p>
          <w:p w14:paraId="16B39896" w14:textId="77777777" w:rsidR="008C6A6C" w:rsidRPr="00D932A2" w:rsidRDefault="008C6A6C" w:rsidP="008C6A6C">
            <w:pPr>
              <w:pStyle w:val="NoSpacing"/>
              <w:rPr>
                <w:lang w:val="en-GB"/>
              </w:rPr>
            </w:pPr>
            <w:r w:rsidRPr="00D932A2">
              <w:rPr>
                <w:lang w:val="en-GB"/>
              </w:rPr>
              <w:t xml:space="preserve">For the purpose of this indicator, </w:t>
            </w:r>
          </w:p>
          <w:p w14:paraId="02F174CF" w14:textId="77777777" w:rsidR="008C6A6C" w:rsidRPr="00D932A2" w:rsidRDefault="008C6A6C" w:rsidP="008C6A6C">
            <w:pPr>
              <w:pStyle w:val="NoSpacing"/>
              <w:rPr>
                <w:lang w:val="en-GB"/>
              </w:rPr>
            </w:pPr>
          </w:p>
          <w:p w14:paraId="041AD32A" w14:textId="77777777" w:rsidR="008C6A6C" w:rsidRPr="00D932A2" w:rsidRDefault="008C6A6C" w:rsidP="008C6A6C">
            <w:pPr>
              <w:pStyle w:val="NoSpacing"/>
              <w:rPr>
                <w:lang w:val="en-GB"/>
              </w:rPr>
            </w:pPr>
            <w:r w:rsidRPr="00D932A2">
              <w:rPr>
                <w:lang w:val="en-GB"/>
              </w:rPr>
              <w:t>Hazardous waste generated should include collected hazardous waste (either by specialized companies or by municipal services), hazardous waste which is given by the generator directly to the treatment or disposal facility, as well as an estimation of the hazardous waste which is unaccounted for. Generated hazardous waste includes exported hazardous waste and excludes imports of hazardous waste.</w:t>
            </w:r>
          </w:p>
          <w:p w14:paraId="14239AF3" w14:textId="77777777" w:rsidR="008C6A6C" w:rsidRPr="00D932A2" w:rsidRDefault="008C6A6C" w:rsidP="008C6A6C">
            <w:pPr>
              <w:pStyle w:val="NoSpacing"/>
              <w:rPr>
                <w:b/>
                <w:lang w:val="en-GB"/>
              </w:rPr>
            </w:pPr>
            <w:r w:rsidRPr="00D932A2">
              <w:rPr>
                <w:noProof/>
                <w:lang w:bidi="bn-BD"/>
              </w:rPr>
              <mc:AlternateContent>
                <mc:Choice Requires="wps">
                  <w:drawing>
                    <wp:anchor distT="0" distB="0" distL="114300" distR="114300" simplePos="0" relativeHeight="251607552" behindDoc="0" locked="0" layoutInCell="1" allowOverlap="1" wp14:anchorId="588B3209" wp14:editId="362493FA">
                      <wp:simplePos x="0" y="0"/>
                      <wp:positionH relativeFrom="margin">
                        <wp:align>left</wp:align>
                      </wp:positionH>
                      <wp:positionV relativeFrom="paragraph">
                        <wp:posOffset>0</wp:posOffset>
                      </wp:positionV>
                      <wp:extent cx="3683479" cy="681487"/>
                      <wp:effectExtent l="0" t="0" r="0" b="0"/>
                      <wp:wrapNone/>
                      <wp:docPr id="388" name="テキスト ボックス 39"/>
                      <wp:cNvGraphicFramePr/>
                      <a:graphic xmlns:a="http://schemas.openxmlformats.org/drawingml/2006/main">
                        <a:graphicData uri="http://schemas.microsoft.com/office/word/2010/wordprocessingShape">
                          <wps:wsp>
                            <wps:cNvSpPr txBox="1"/>
                            <wps:spPr>
                              <a:xfrm>
                                <a:off x="0" y="0"/>
                                <a:ext cx="3683479" cy="681487"/>
                              </a:xfrm>
                              <a:prstGeom prst="rect">
                                <a:avLst/>
                              </a:prstGeom>
                              <a:noFill/>
                            </wps:spPr>
                            <wps:txbx>
                              <w:txbxContent>
                                <w:p w14:paraId="78DBCAD1" w14:textId="77777777" w:rsidR="00D20077" w:rsidRPr="000C4849" w:rsidRDefault="00D20077" w:rsidP="00D932A2">
                                  <w:pPr>
                                    <w:rPr>
                                      <w:color w:val="000000" w:themeColor="text1"/>
                                      <w:kern w:val="24"/>
                                      <w:sz w:val="16"/>
                                      <w:szCs w:val="16"/>
                                    </w:rPr>
                                  </w:pPr>
                                  <m:oMath>
                                    <m:r>
                                      <w:rPr>
                                        <w:rFonts w:ascii="Cambria Math" w:hAnsi="Cambria Math"/>
                                        <w:color w:val="000000" w:themeColor="text1"/>
                                        <w:kern w:val="24"/>
                                        <w:sz w:val="16"/>
                                        <w:szCs w:val="16"/>
                                      </w:rPr>
                                      <m:t>Hazardous waste generated</m:t>
                                    </m:r>
                                  </m:oMath>
                                  <w:r w:rsidRPr="000C4849">
                                    <w:rPr>
                                      <w:iCs/>
                                      <w:color w:val="000000" w:themeColor="text1"/>
                                      <w:kern w:val="24"/>
                                      <w:sz w:val="16"/>
                                      <w:szCs w:val="16"/>
                                    </w:rPr>
                                    <w:t>=</w:t>
                                  </w:r>
                                  <w:r>
                                    <w:rPr>
                                      <w:iCs/>
                                      <w:color w:val="000000" w:themeColor="text1"/>
                                      <w:kern w:val="24"/>
                                      <w:sz w:val="32"/>
                                      <w:szCs w:val="32"/>
                                    </w:rPr>
                                    <w:t xml:space="preserve"> </w:t>
                                  </w:r>
                                  <m:oMath>
                                    <m:r>
                                      <w:rPr>
                                        <w:rFonts w:ascii="Cambria Math" w:eastAsia="Cambria Math" w:hAnsi="Cambria Math"/>
                                        <w:color w:val="000000" w:themeColor="text1"/>
                                        <w:kern w:val="24"/>
                                        <w:sz w:val="16"/>
                                        <w:szCs w:val="16"/>
                                      </w:rPr>
                                      <m:t>hazardous waste collected through municipal services or private companies +hazardous waste given by generator to treatment or disposal faci</m:t>
                                    </m:r>
                                    <m:r>
                                      <w:rPr>
                                        <w:rFonts w:ascii="Cambria Math" w:eastAsia="Cambria Math" w:hAnsi="Cambria Math"/>
                                        <w:color w:val="000000" w:themeColor="text1"/>
                                        <w:kern w:val="24"/>
                                        <w:sz w:val="16"/>
                                        <w:szCs w:val="16"/>
                                      </w:rPr>
                                      <m:t>lities+estimation ofhazardous waste unaccounted for</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88B3209" id="_x0000_t202" coordsize="21600,21600" o:spt="202" path="m,l,21600r21600,l21600,xe">
                      <v:stroke joinstyle="miter"/>
                      <v:path gradientshapeok="t" o:connecttype="rect"/>
                    </v:shapetype>
                    <v:shape id="テキスト ボックス 39" o:spid="_x0000_s1028" type="#_x0000_t202" style="position:absolute;margin-left:0;margin-top:0;width:290.05pt;height:53.65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" filled="f" stroked="f">
                      <v:textbox inset="0,0,0,0">
                        <w:txbxContent>
                          <w:p w14:paraId="78DBCAD1" w14:textId="77777777" w:rsidR="00D20077" w:rsidRPr="000C4849" w:rsidRDefault="00D20077" w:rsidP="00D932A2">
                            <w:pPr>
                              <w:rPr>
                                <w:color w:val="000000" w:themeColor="text1"/>
                                <w:kern w:val="24"/>
                                <w:sz w:val="16"/>
                                <w:szCs w:val="16"/>
                              </w:rPr>
                            </w:pPr>
                            <m:oMath>
                              <m:r>
                                <w:rPr>
                                  <w:rFonts w:ascii="Cambria Math" w:hAnsi="Cambria Math"/>
                                  <w:color w:val="000000" w:themeColor="text1"/>
                                  <w:kern w:val="24"/>
                                  <w:sz w:val="16"/>
                                  <w:szCs w:val="16"/>
                                </w:rPr>
                                <m:t>Hazardous waste generated</m:t>
                              </m:r>
                            </m:oMath>
                            <w:r w:rsidRPr="000C4849">
                              <w:rPr>
                                <w:iCs/>
                                <w:color w:val="000000" w:themeColor="text1"/>
                                <w:kern w:val="24"/>
                                <w:sz w:val="16"/>
                                <w:szCs w:val="16"/>
                              </w:rPr>
                              <w:t>=</w:t>
                            </w:r>
                            <w:r>
                              <w:rPr>
                                <w:iCs/>
                                <w:color w:val="000000" w:themeColor="text1"/>
                                <w:kern w:val="24"/>
                                <w:sz w:val="32"/>
                                <w:szCs w:val="32"/>
                              </w:rPr>
                              <w:t xml:space="preserve"> </w:t>
                            </w:r>
                            <m:oMath>
                              <m:r>
                                <w:rPr>
                                  <w:rFonts w:ascii="Cambria Math" w:eastAsia="Cambria Math" w:hAnsi="Cambria Math"/>
                                  <w:color w:val="000000" w:themeColor="text1"/>
                                  <w:kern w:val="24"/>
                                  <w:sz w:val="16"/>
                                  <w:szCs w:val="16"/>
                                </w:rPr>
                                <m:t>hazardous waste collected through municipal services or private companies +hazardous waste given by generator to treatment or disposal facilities+estimation ofhazardous waste unaccounted for</m:t>
                              </m:r>
                            </m:oMath>
                          </w:p>
                        </w:txbxContent>
                      </v:textbox>
                      <w10:wrap anchorx="margin"/>
                    </v:shape>
                  </w:pict>
                </mc:Fallback>
              </mc:AlternateContent>
            </w:r>
          </w:p>
          <w:p w14:paraId="34FC1896" w14:textId="77777777" w:rsidR="008C6A6C" w:rsidRPr="00D932A2" w:rsidRDefault="008C6A6C" w:rsidP="008C6A6C">
            <w:pPr>
              <w:pStyle w:val="NoSpacing"/>
              <w:rPr>
                <w:b/>
                <w:lang w:val="en-GB"/>
              </w:rPr>
            </w:pPr>
          </w:p>
          <w:p w14:paraId="4648058D" w14:textId="77777777" w:rsidR="008C6A6C" w:rsidRPr="00D932A2" w:rsidRDefault="008C6A6C" w:rsidP="008C6A6C">
            <w:pPr>
              <w:pStyle w:val="NoSpacing"/>
              <w:rPr>
                <w:lang w:val="en-GB"/>
              </w:rPr>
            </w:pPr>
          </w:p>
          <w:p w14:paraId="5409C641" w14:textId="77777777" w:rsidR="008C6A6C" w:rsidRPr="00D932A2" w:rsidRDefault="008C6A6C" w:rsidP="008C6A6C">
            <w:pPr>
              <w:pStyle w:val="NoSpacing"/>
              <w:rPr>
                <w:b/>
                <w:bCs/>
                <w:lang w:val="en-GB"/>
              </w:rPr>
            </w:pPr>
          </w:p>
          <w:p w14:paraId="16078D79" w14:textId="77777777" w:rsidR="008C6A6C" w:rsidRPr="00D932A2" w:rsidRDefault="008C6A6C" w:rsidP="008C6A6C">
            <w:pPr>
              <w:pStyle w:val="NoSpacing"/>
              <w:rPr>
                <w:lang w:val="en-GB"/>
              </w:rPr>
            </w:pPr>
            <w:bookmarkStart w:id="18" w:name="_Hlk532393564"/>
          </w:p>
          <w:bookmarkEnd w:id="18"/>
          <w:p w14:paraId="3ACB16FA" w14:textId="77777777" w:rsidR="008C6A6C" w:rsidRPr="00D932A2" w:rsidRDefault="008C6A6C" w:rsidP="008C6A6C">
            <w:pPr>
              <w:pStyle w:val="NoSpacing"/>
              <w:rPr>
                <w:b/>
                <w:bCs/>
                <w:lang w:val="en-GB"/>
              </w:rPr>
            </w:pPr>
          </w:p>
          <w:p w14:paraId="1C3D3B41" w14:textId="77777777" w:rsidR="008C6A6C" w:rsidRPr="00D932A2" w:rsidRDefault="008C6A6C" w:rsidP="008C6A6C">
            <w:pPr>
              <w:pStyle w:val="NoSpacing"/>
              <w:rPr>
                <w:lang w:val="en-GB"/>
              </w:rPr>
            </w:pPr>
            <w:r w:rsidRPr="00D932A2">
              <w:rPr>
                <w:lang w:val="en-GB"/>
              </w:rPr>
              <w:t>The estimation of hazardous waste unaccounted for is the most difficult aspect of this methodology as it requires local-level knowledge and estimation. This aspect of the indicator is particularly important as hazardous waste that is unaccounted for is typically also untreated and has a high potential to impact the environment.</w:t>
            </w:r>
          </w:p>
          <w:p w14:paraId="7416FC8F" w14:textId="77777777" w:rsidR="008C6A6C" w:rsidRPr="00D932A2" w:rsidRDefault="008C6A6C" w:rsidP="008C6A6C">
            <w:pPr>
              <w:pStyle w:val="NoSpacing"/>
              <w:rPr>
                <w:lang w:val="en-GB"/>
              </w:rPr>
            </w:pPr>
          </w:p>
          <w:p w14:paraId="30E3F2E2" w14:textId="77777777" w:rsidR="008C6A6C" w:rsidRPr="00D932A2" w:rsidRDefault="008C6A6C" w:rsidP="008C6A6C">
            <w:pPr>
              <w:pStyle w:val="NoSpacing"/>
              <w:rPr>
                <w:lang w:val="en-GB"/>
              </w:rPr>
            </w:pPr>
            <w:r w:rsidRPr="00D932A2">
              <w:rPr>
                <w:lang w:val="en-GB"/>
              </w:rPr>
              <w:t>The proportion of hazardous waste treated is presented below. Note that the total quantity of hazardous waste treated during the reported year in the reporting country is calculated by adding quantities of hazardous waste treated, per each type of treatment (recycling, incineration with/without energy recovery, landfilling or other), including exports and excluding imports. This matches with the definition of recycling in 12.5.1.</w:t>
            </w:r>
          </w:p>
          <w:p w14:paraId="33E9A889" w14:textId="77777777" w:rsidR="008C6A6C" w:rsidRPr="00D932A2" w:rsidRDefault="008C6A6C" w:rsidP="008C6A6C">
            <w:pPr>
              <w:pStyle w:val="NoSpacing"/>
              <w:rPr>
                <w:lang w:val="en-GB"/>
              </w:rPr>
            </w:pPr>
          </w:p>
          <w:p w14:paraId="25F360D8" w14:textId="77777777" w:rsidR="008C6A6C" w:rsidRPr="00D932A2" w:rsidRDefault="008C6A6C" w:rsidP="008C6A6C">
            <w:pPr>
              <w:pStyle w:val="NoSpacing"/>
              <w:rPr>
                <w:iCs/>
                <w:lang w:val="en-GB"/>
              </w:rPr>
            </w:pPr>
            <m:oMathPara>
              <m:oMathParaPr>
                <m:jc m:val="centerGroup"/>
              </m:oMathParaPr>
              <m:oMath>
                <m:r>
                  <m:rPr>
                    <m:sty m:val="p"/>
                  </m:rPr>
                  <w:rPr>
                    <w:rFonts w:ascii="Cambria Math" w:hAnsi="Cambria Math"/>
                    <w:lang w:val="en-GB"/>
                  </w:rPr>
                  <m:t>Proportion of hazardous waste treated </m:t>
                </m:r>
                <m:d>
                  <m:dPr>
                    <m:ctrlPr>
                      <w:rPr>
                        <w:rFonts w:ascii="Cambria Math" w:hAnsi="Cambria Math"/>
                        <w:i/>
                        <w:iCs/>
                        <w:lang w:val="en-GB"/>
                      </w:rPr>
                    </m:ctrlPr>
                  </m:dPr>
                  <m:e>
                    <m:r>
                      <m:rPr>
                        <m:sty m:val="p"/>
                      </m:rPr>
                      <w:rPr>
                        <w:rFonts w:ascii="Cambria Math" w:hAnsi="Cambria Math"/>
                        <w:lang w:val="en-GB"/>
                      </w:rPr>
                      <m:t>%</m:t>
                    </m:r>
                  </m:e>
                </m:d>
              </m:oMath>
            </m:oMathPara>
          </w:p>
          <w:p w14:paraId="04D7067B" w14:textId="77777777" w:rsidR="008C6A6C" w:rsidRPr="00D932A2" w:rsidRDefault="008C6A6C" w:rsidP="008C6A6C">
            <w:pPr>
              <w:pStyle w:val="NoSpacing"/>
              <w:rPr>
                <w:iCs/>
                <w:lang w:val="en-GB"/>
              </w:rPr>
            </w:pPr>
            <m:oMathPara>
              <m:oMath>
                <m:r>
                  <m:rPr>
                    <m:sty m:val="p"/>
                  </m:rPr>
                  <w:rPr>
                    <w:rFonts w:ascii="Cambria Math" w:hAnsi="Cambria Math"/>
                    <w:lang w:val="en-GB"/>
                  </w:rPr>
                  <w:lastRenderedPageBreak/>
                  <m:t>= </m:t>
                </m:r>
                <m:f>
                  <m:fPr>
                    <m:ctrlPr>
                      <w:rPr>
                        <w:rFonts w:ascii="Cambria Math" w:hAnsi="Cambria Math"/>
                        <w:i/>
                        <w:iCs/>
                        <w:lang w:val="en-GB"/>
                      </w:rPr>
                    </m:ctrlPr>
                  </m:fPr>
                  <m:num>
                    <m:eqArr>
                      <m:eqArrPr>
                        <m:ctrlPr>
                          <w:rPr>
                            <w:rFonts w:ascii="Cambria Math" w:hAnsi="Cambria Math"/>
                            <w:i/>
                            <w:iCs/>
                            <w:lang w:val="en-GB"/>
                          </w:rPr>
                        </m:ctrlPr>
                      </m:eqArrPr>
                      <m:e>
                        <m:r>
                          <m:rPr>
                            <m:sty m:val="p"/>
                          </m:rPr>
                          <w:rPr>
                            <w:rFonts w:ascii="Cambria Math" w:hAnsi="Cambria Math"/>
                            <w:lang w:val="en-GB"/>
                          </w:rPr>
                          <m:t>&amp;</m:t>
                        </m:r>
                        <m:r>
                          <w:rPr>
                            <w:rFonts w:ascii="Cambria Math" w:hAnsi="Cambria Math"/>
                            <w:lang w:val="en-GB"/>
                          </w:rPr>
                          <m:t>Quantity</m:t>
                        </m:r>
                        <m:r>
                          <m:rPr>
                            <m:sty m:val="p"/>
                          </m:rPr>
                          <w:rPr>
                            <w:rFonts w:ascii="Cambria Math" w:hAnsi="Cambria Math"/>
                            <w:lang w:val="en-GB"/>
                          </w:rPr>
                          <m:t> </m:t>
                        </m:r>
                        <m:r>
                          <w:rPr>
                            <w:rFonts w:ascii="Cambria Math" w:hAnsi="Cambria Math"/>
                            <w:lang w:val="en-GB"/>
                          </w:rPr>
                          <m:t>of</m:t>
                        </m:r>
                        <m:r>
                          <m:rPr>
                            <m:sty m:val="p"/>
                          </m:rPr>
                          <w:rPr>
                            <w:rFonts w:ascii="Cambria Math" w:hAnsi="Cambria Math"/>
                            <w:lang w:val="en-GB"/>
                          </w:rPr>
                          <m:t> </m:t>
                        </m:r>
                        <m:r>
                          <w:rPr>
                            <w:rFonts w:ascii="Cambria Math" w:hAnsi="Cambria Math"/>
                            <w:lang w:val="en-GB"/>
                          </w:rPr>
                          <m:t>hazardous</m:t>
                        </m:r>
                        <m:r>
                          <m:rPr>
                            <m:sty m:val="p"/>
                          </m:rPr>
                          <w:rPr>
                            <w:rFonts w:ascii="Cambria Math" w:hAnsi="Cambria Math"/>
                            <w:lang w:val="en-GB"/>
                          </w:rPr>
                          <m:t> </m:t>
                        </m:r>
                        <m:r>
                          <w:rPr>
                            <w:rFonts w:ascii="Cambria Math" w:hAnsi="Cambria Math"/>
                            <w:lang w:val="en-GB"/>
                          </w:rPr>
                          <m:t>waste</m:t>
                        </m:r>
                        <m:r>
                          <m:rPr>
                            <m:sty m:val="p"/>
                          </m:rPr>
                          <w:rPr>
                            <w:rFonts w:ascii="Cambria Math" w:hAnsi="Cambria Math"/>
                            <w:lang w:val="en-GB"/>
                          </w:rPr>
                          <m:t> </m:t>
                        </m:r>
                        <m:r>
                          <w:rPr>
                            <w:rFonts w:ascii="Cambria Math" w:hAnsi="Cambria Math"/>
                            <w:lang w:val="en-GB"/>
                          </w:rPr>
                          <m:t>treated</m:t>
                        </m:r>
                        <m:r>
                          <m:rPr>
                            <m:sty m:val="p"/>
                          </m:rPr>
                          <w:rPr>
                            <w:rFonts w:ascii="Cambria Math" w:hAnsi="Cambria Math"/>
                            <w:lang w:val="en-GB"/>
                          </w:rPr>
                          <m:t> </m:t>
                        </m:r>
                      </m:e>
                      <m:e>
                        <m:r>
                          <m:rPr>
                            <m:sty m:val="p"/>
                          </m:rPr>
                          <w:rPr>
                            <w:rFonts w:ascii="Cambria Math" w:hAnsi="Cambria Math"/>
                            <w:lang w:val="en-GB"/>
                          </w:rPr>
                          <m:t>&amp;</m:t>
                        </m:r>
                        <m:r>
                          <w:rPr>
                            <w:rFonts w:ascii="Cambria Math" w:hAnsi="Cambria Math"/>
                            <w:lang w:val="en-GB"/>
                          </w:rPr>
                          <m:t>during</m:t>
                        </m:r>
                        <m:r>
                          <m:rPr>
                            <m:sty m:val="p"/>
                          </m:rPr>
                          <w:rPr>
                            <w:rFonts w:ascii="Cambria Math" w:hAnsi="Cambria Math"/>
                            <w:lang w:val="en-GB"/>
                          </w:rPr>
                          <m:t> </m:t>
                        </m:r>
                        <m:r>
                          <w:rPr>
                            <w:rFonts w:ascii="Cambria Math" w:hAnsi="Cambria Math"/>
                            <w:lang w:val="en-GB"/>
                          </w:rPr>
                          <m:t>the</m:t>
                        </m:r>
                        <m:r>
                          <m:rPr>
                            <m:sty m:val="p"/>
                          </m:rPr>
                          <w:rPr>
                            <w:rFonts w:ascii="Cambria Math" w:hAnsi="Cambria Math"/>
                            <w:lang w:val="en-GB"/>
                          </w:rPr>
                          <m:t> </m:t>
                        </m:r>
                        <m:r>
                          <w:rPr>
                            <w:rFonts w:ascii="Cambria Math" w:hAnsi="Cambria Math"/>
                            <w:lang w:val="en-GB"/>
                          </w:rPr>
                          <m:t>reporting</m:t>
                        </m:r>
                        <m:r>
                          <m:rPr>
                            <m:sty m:val="p"/>
                          </m:rPr>
                          <w:rPr>
                            <w:rFonts w:ascii="Cambria Math" w:hAnsi="Cambria Math"/>
                            <w:lang w:val="en-GB"/>
                          </w:rPr>
                          <m:t> </m:t>
                        </m:r>
                        <m:r>
                          <w:rPr>
                            <w:rFonts w:ascii="Cambria Math" w:hAnsi="Cambria Math"/>
                            <w:lang w:val="en-GB"/>
                          </w:rPr>
                          <m:t>year*</m:t>
                        </m:r>
                      </m:e>
                    </m:eqArr>
                    <m:r>
                      <m:rPr>
                        <m:sty m:val="p"/>
                      </m:rPr>
                      <w:rPr>
                        <w:rFonts w:ascii="Cambria Math" w:hAnsi="Cambria Math"/>
                        <w:lang w:val="en-GB"/>
                      </w:rPr>
                      <m:t> </m:t>
                    </m:r>
                    <m:r>
                      <w:rPr>
                        <w:rFonts w:ascii="Cambria Math" w:hAnsi="Cambria Math"/>
                        <w:lang w:val="en-GB"/>
                      </w:rPr>
                      <m:t>×</m:t>
                    </m:r>
                    <m:r>
                      <m:rPr>
                        <m:sty m:val="p"/>
                      </m:rPr>
                      <w:rPr>
                        <w:rFonts w:ascii="Cambria Math" w:hAnsi="Cambria Math"/>
                        <w:lang w:val="en-GB"/>
                      </w:rPr>
                      <m:t> 100</m:t>
                    </m:r>
                  </m:num>
                  <m:den>
                    <m:eqArr>
                      <m:eqArrPr>
                        <m:ctrlPr>
                          <w:rPr>
                            <w:rFonts w:ascii="Cambria Math" w:hAnsi="Cambria Math"/>
                            <w:i/>
                            <w:iCs/>
                            <w:lang w:val="en-GB"/>
                          </w:rPr>
                        </m:ctrlPr>
                      </m:eqArrPr>
                      <m:e>
                        <m:r>
                          <m:rPr>
                            <m:sty m:val="p"/>
                          </m:rPr>
                          <w:rPr>
                            <w:rFonts w:ascii="Cambria Math" w:hAnsi="Cambria Math"/>
                            <w:lang w:val="en-GB"/>
                          </w:rPr>
                          <m:t>&amp;</m:t>
                        </m:r>
                        <m:r>
                          <w:rPr>
                            <w:rFonts w:ascii="Cambria Math" w:hAnsi="Cambria Math"/>
                            <w:lang w:val="en-GB"/>
                          </w:rPr>
                          <m:t>Total</m:t>
                        </m:r>
                        <m:r>
                          <m:rPr>
                            <m:sty m:val="p"/>
                          </m:rPr>
                          <w:rPr>
                            <w:rFonts w:ascii="Cambria Math" w:hAnsi="Cambria Math"/>
                            <w:lang w:val="en-GB"/>
                          </w:rPr>
                          <m:t> </m:t>
                        </m:r>
                        <m:r>
                          <w:rPr>
                            <w:rFonts w:ascii="Cambria Math" w:hAnsi="Cambria Math"/>
                            <w:lang w:val="en-GB"/>
                          </w:rPr>
                          <m:t>quantity</m:t>
                        </m:r>
                        <m:r>
                          <m:rPr>
                            <m:sty m:val="p"/>
                          </m:rPr>
                          <w:rPr>
                            <w:rFonts w:ascii="Cambria Math" w:hAnsi="Cambria Math"/>
                            <w:lang w:val="en-GB"/>
                          </w:rPr>
                          <m:t> </m:t>
                        </m:r>
                        <m:r>
                          <w:rPr>
                            <w:rFonts w:ascii="Cambria Math" w:hAnsi="Cambria Math"/>
                            <w:lang w:val="en-GB"/>
                          </w:rPr>
                          <m:t>of</m:t>
                        </m:r>
                        <m:r>
                          <m:rPr>
                            <m:sty m:val="p"/>
                          </m:rPr>
                          <w:rPr>
                            <w:rFonts w:ascii="Cambria Math" w:hAnsi="Cambria Math"/>
                            <w:lang w:val="en-GB"/>
                          </w:rPr>
                          <m:t> </m:t>
                        </m:r>
                        <m:r>
                          <w:rPr>
                            <w:rFonts w:ascii="Cambria Math" w:hAnsi="Cambria Math"/>
                            <w:lang w:val="en-GB"/>
                          </w:rPr>
                          <m:t>hazardous</m:t>
                        </m:r>
                        <m:r>
                          <m:rPr>
                            <m:sty m:val="p"/>
                          </m:rPr>
                          <w:rPr>
                            <w:rFonts w:ascii="Cambria Math" w:hAnsi="Cambria Math"/>
                            <w:lang w:val="en-GB"/>
                          </w:rPr>
                          <m:t> </m:t>
                        </m:r>
                        <m:r>
                          <w:rPr>
                            <w:rFonts w:ascii="Cambria Math" w:hAnsi="Cambria Math"/>
                            <w:lang w:val="en-GB"/>
                          </w:rPr>
                          <m:t>waste</m:t>
                        </m:r>
                        <m:r>
                          <m:rPr>
                            <m:sty m:val="p"/>
                          </m:rPr>
                          <w:rPr>
                            <w:rFonts w:ascii="Cambria Math" w:hAnsi="Cambria Math"/>
                            <w:lang w:val="en-GB"/>
                          </w:rPr>
                          <m:t> </m:t>
                        </m:r>
                        <m:r>
                          <w:rPr>
                            <w:rFonts w:ascii="Cambria Math" w:hAnsi="Cambria Math"/>
                            <w:lang w:val="en-GB"/>
                          </w:rPr>
                          <m:t>generated</m:t>
                        </m:r>
                        <m:r>
                          <m:rPr>
                            <m:sty m:val="p"/>
                          </m:rPr>
                          <w:rPr>
                            <w:rFonts w:ascii="Cambria Math" w:hAnsi="Cambria Math"/>
                            <w:lang w:val="en-GB"/>
                          </w:rPr>
                          <m:t> </m:t>
                        </m:r>
                      </m:e>
                      <m:e>
                        <m:r>
                          <m:rPr>
                            <m:sty m:val="p"/>
                          </m:rPr>
                          <w:rPr>
                            <w:rFonts w:ascii="Cambria Math" w:hAnsi="Cambria Math"/>
                            <w:lang w:val="en-GB"/>
                          </w:rPr>
                          <m:t>&amp;</m:t>
                        </m:r>
                        <m:r>
                          <w:rPr>
                            <w:rFonts w:ascii="Cambria Math" w:hAnsi="Cambria Math"/>
                            <w:lang w:val="en-GB"/>
                          </w:rPr>
                          <m:t>during</m:t>
                        </m:r>
                        <m:r>
                          <m:rPr>
                            <m:sty m:val="p"/>
                          </m:rPr>
                          <w:rPr>
                            <w:rFonts w:ascii="Cambria Math" w:hAnsi="Cambria Math"/>
                            <w:lang w:val="en-GB"/>
                          </w:rPr>
                          <m:t> </m:t>
                        </m:r>
                        <m:r>
                          <w:rPr>
                            <w:rFonts w:ascii="Cambria Math" w:hAnsi="Cambria Math"/>
                            <w:lang w:val="en-GB"/>
                          </w:rPr>
                          <m:t>the</m:t>
                        </m:r>
                        <m:r>
                          <m:rPr>
                            <m:sty m:val="p"/>
                          </m:rPr>
                          <w:rPr>
                            <w:rFonts w:ascii="Cambria Math" w:hAnsi="Cambria Math"/>
                            <w:lang w:val="en-GB"/>
                          </w:rPr>
                          <m:t> </m:t>
                        </m:r>
                        <m:r>
                          <w:rPr>
                            <w:rFonts w:ascii="Cambria Math" w:hAnsi="Cambria Math"/>
                            <w:lang w:val="en-GB"/>
                          </w:rPr>
                          <m:t>reporting</m:t>
                        </m:r>
                        <m:r>
                          <m:rPr>
                            <m:sty m:val="p"/>
                          </m:rPr>
                          <w:rPr>
                            <w:rFonts w:ascii="Cambria Math" w:hAnsi="Cambria Math"/>
                            <w:lang w:val="en-GB"/>
                          </w:rPr>
                          <m:t> </m:t>
                        </m:r>
                        <m:r>
                          <w:rPr>
                            <w:rFonts w:ascii="Cambria Math" w:hAnsi="Cambria Math"/>
                            <w:lang w:val="en-GB"/>
                          </w:rPr>
                          <m:t>year</m:t>
                        </m:r>
                      </m:e>
                    </m:eqArr>
                  </m:den>
                </m:f>
              </m:oMath>
            </m:oMathPara>
          </w:p>
          <w:p w14:paraId="48203F27" w14:textId="77777777" w:rsidR="008C6A6C" w:rsidRPr="00D932A2" w:rsidRDefault="008C6A6C" w:rsidP="008C6A6C">
            <w:pPr>
              <w:pStyle w:val="NoSpacing"/>
              <w:rPr>
                <w:lang w:val="en-GB"/>
              </w:rPr>
            </w:pPr>
            <w:r w:rsidRPr="00D932A2">
              <w:rPr>
                <w:lang w:val="en-GB"/>
              </w:rPr>
              <w:t xml:space="preserve">* Hazardous waste treated in the country plus materials exported for treatment minus the materials imported for treatment. </w:t>
            </w:r>
          </w:p>
          <w:p w14:paraId="182383ED" w14:textId="77777777" w:rsidR="008C6A6C" w:rsidRDefault="008C6A6C" w:rsidP="008C6A6C">
            <w:pPr>
              <w:pStyle w:val="NoSpacing"/>
            </w:pPr>
          </w:p>
        </w:tc>
        <w:tc>
          <w:tcPr>
            <w:tcW w:w="0" w:type="auto"/>
          </w:tcPr>
          <w:p w14:paraId="2588DCE3" w14:textId="77777777" w:rsidR="008C6A6C" w:rsidRDefault="008C6A6C" w:rsidP="008C6A6C">
            <w:pPr>
              <w:pStyle w:val="NoSpacing"/>
            </w:pPr>
            <w:r w:rsidRPr="00606257">
              <w:rPr>
                <w:lang w:val="en-GB"/>
              </w:rPr>
              <w:lastRenderedPageBreak/>
              <w:t>The custodian agencies collect national data through the UNSD/UNEP Questionnaire on Environment Statistics (waste section).</w:t>
            </w:r>
          </w:p>
        </w:tc>
        <w:tc>
          <w:tcPr>
            <w:tcW w:w="0" w:type="auto"/>
          </w:tcPr>
          <w:p w14:paraId="0E8EB660" w14:textId="77777777" w:rsidR="008C6A6C" w:rsidRDefault="008C6A6C" w:rsidP="008C6A6C">
            <w:pPr>
              <w:pStyle w:val="NoSpacing"/>
              <w:rPr>
                <w:lang w:eastAsia="en-GB"/>
              </w:rPr>
            </w:pPr>
            <w:r>
              <w:rPr>
                <w:lang w:eastAsia="en-GB"/>
              </w:rPr>
              <w:t xml:space="preserve">National Statistical Systems </w:t>
            </w:r>
          </w:p>
          <w:p w14:paraId="13F74669" w14:textId="77777777" w:rsidR="008C6A6C" w:rsidRDefault="008C6A6C" w:rsidP="008C6A6C">
            <w:pPr>
              <w:pStyle w:val="NoSpacing"/>
            </w:pPr>
          </w:p>
        </w:tc>
        <w:tc>
          <w:tcPr>
            <w:tcW w:w="0" w:type="auto"/>
          </w:tcPr>
          <w:p w14:paraId="42CB2A42" w14:textId="77777777" w:rsidR="008C6A6C" w:rsidRDefault="008C6A6C" w:rsidP="008C6A6C">
            <w:pPr>
              <w:pStyle w:val="NoSpacing"/>
            </w:pPr>
          </w:p>
        </w:tc>
        <w:tc>
          <w:tcPr>
            <w:tcW w:w="0" w:type="auto"/>
          </w:tcPr>
          <w:p w14:paraId="07210969" w14:textId="77777777" w:rsidR="008C6A6C" w:rsidRPr="000C36C6" w:rsidRDefault="008C6A6C" w:rsidP="008C6A6C">
            <w:pPr>
              <w:spacing w:line="276" w:lineRule="auto"/>
              <w:jc w:val="center"/>
            </w:pPr>
            <w:r w:rsidRPr="000C36C6">
              <w:t>a) LGD</w:t>
            </w:r>
          </w:p>
          <w:p w14:paraId="1972B60C" w14:textId="77777777" w:rsidR="008C6A6C" w:rsidRPr="000C36C6" w:rsidRDefault="008C6A6C" w:rsidP="008C6A6C">
            <w:pPr>
              <w:spacing w:line="276" w:lineRule="auto"/>
              <w:jc w:val="center"/>
            </w:pPr>
            <w:r w:rsidRPr="000C36C6">
              <w:t>b) DoE</w:t>
            </w:r>
            <w:r>
              <w:t>, MoEFCC</w:t>
            </w:r>
          </w:p>
          <w:p w14:paraId="60BEA6FA" w14:textId="77777777" w:rsidR="008C6A6C" w:rsidRDefault="008C6A6C" w:rsidP="008C6A6C">
            <w:pPr>
              <w:spacing w:line="276" w:lineRule="auto"/>
              <w:jc w:val="center"/>
            </w:pPr>
            <w:r w:rsidRPr="000C36C6">
              <w:t>c) MoST</w:t>
            </w:r>
          </w:p>
          <w:p w14:paraId="0D189CA4" w14:textId="77777777" w:rsidR="008C6A6C" w:rsidRDefault="008C6A6C" w:rsidP="008C6A6C">
            <w:pPr>
              <w:spacing w:line="276" w:lineRule="auto"/>
              <w:jc w:val="center"/>
            </w:pPr>
          </w:p>
          <w:p w14:paraId="043DEE90" w14:textId="77777777" w:rsidR="008C6A6C" w:rsidRPr="000C36C6" w:rsidRDefault="008C6A6C" w:rsidP="008C6A6C">
            <w:pPr>
              <w:pStyle w:val="NoSpacing"/>
            </w:pPr>
            <w:r w:rsidRPr="000C36C6">
              <w:t>Administrative Data</w:t>
            </w:r>
          </w:p>
          <w:p w14:paraId="56F5B984" w14:textId="77777777" w:rsidR="008C6A6C" w:rsidRDefault="008C6A6C" w:rsidP="008C6A6C">
            <w:pPr>
              <w:pStyle w:val="NoSpacing"/>
            </w:pPr>
          </w:p>
        </w:tc>
        <w:tc>
          <w:tcPr>
            <w:tcW w:w="0" w:type="auto"/>
          </w:tcPr>
          <w:p w14:paraId="130399D5" w14:textId="77777777" w:rsidR="008C6A6C" w:rsidRPr="000C4849" w:rsidRDefault="000F34D9" w:rsidP="000C4849">
            <w:pPr>
              <w:pStyle w:val="ListParagraph"/>
              <w:numPr>
                <w:ilvl w:val="0"/>
                <w:numId w:val="48"/>
              </w:numPr>
              <w:spacing w:after="0" w:line="240" w:lineRule="auto"/>
              <w:ind w:left="160" w:hanging="160"/>
              <w:jc w:val="both"/>
              <w:rPr>
                <w:sz w:val="20"/>
                <w:szCs w:val="20"/>
              </w:rPr>
            </w:pPr>
            <w:r w:rsidRPr="000C4849">
              <w:rPr>
                <w:rFonts w:ascii="Tw Cen MT Condensed" w:eastAsia="MS PGothic" w:hAnsi="Tw Cen MT Condensed" w:cs="Times New Roman"/>
                <w:bCs/>
                <w:color w:val="595959" w:themeColor="text1" w:themeTint="A6"/>
                <w:sz w:val="21"/>
                <w:szCs w:val="24"/>
                <w:lang w:eastAsia="en-US"/>
              </w:rPr>
              <w:t>by ISIC codes</w:t>
            </w:r>
          </w:p>
          <w:p w14:paraId="6FD564A5" w14:textId="77777777" w:rsidR="000F34D9" w:rsidRPr="000C4849" w:rsidRDefault="000F34D9" w:rsidP="000C4849">
            <w:pPr>
              <w:pStyle w:val="ListParagraph"/>
              <w:numPr>
                <w:ilvl w:val="0"/>
                <w:numId w:val="48"/>
              </w:numPr>
              <w:spacing w:after="0" w:line="240" w:lineRule="auto"/>
              <w:ind w:left="160" w:hanging="160"/>
              <w:jc w:val="both"/>
              <w:rPr>
                <w:rFonts w:ascii="Tw Cen MT Condensed" w:hAnsi="Tw Cen MT Condensed"/>
                <w:sz w:val="20"/>
                <w:szCs w:val="20"/>
              </w:rPr>
            </w:pPr>
            <w:r w:rsidRPr="000C4849">
              <w:rPr>
                <w:rFonts w:ascii="Tw Cen MT Condensed" w:eastAsia="MS PGothic" w:hAnsi="Tw Cen MT Condensed" w:cs="Times New Roman"/>
                <w:bCs/>
                <w:color w:val="595959" w:themeColor="text1" w:themeTint="A6"/>
                <w:sz w:val="21"/>
                <w:szCs w:val="24"/>
                <w:lang w:eastAsia="en-US"/>
              </w:rPr>
              <w:t>by type of landfilling</w:t>
            </w:r>
          </w:p>
          <w:p w14:paraId="15C19484" w14:textId="77777777" w:rsidR="000F34D9" w:rsidRPr="000C4849" w:rsidRDefault="000F34D9" w:rsidP="000C4849">
            <w:pPr>
              <w:pStyle w:val="ListParagraph"/>
              <w:numPr>
                <w:ilvl w:val="0"/>
                <w:numId w:val="48"/>
              </w:numPr>
              <w:spacing w:after="0" w:line="240" w:lineRule="auto"/>
              <w:ind w:left="160" w:hanging="160"/>
              <w:jc w:val="both"/>
              <w:rPr>
                <w:rFonts w:ascii="Tw Cen MT Condensed" w:hAnsi="Tw Cen MT Condensed"/>
                <w:sz w:val="20"/>
                <w:szCs w:val="20"/>
              </w:rPr>
            </w:pPr>
            <w:r w:rsidRPr="000C4849">
              <w:rPr>
                <w:rFonts w:ascii="Tw Cen MT Condensed" w:eastAsia="MS PGothic" w:hAnsi="Tw Cen MT Condensed" w:cs="Times New Roman"/>
                <w:bCs/>
                <w:color w:val="595959" w:themeColor="text1" w:themeTint="A6"/>
                <w:sz w:val="21"/>
                <w:szCs w:val="24"/>
                <w:lang w:eastAsia="en-US"/>
              </w:rPr>
              <w:t>by type of treatment per each generating sector</w:t>
            </w:r>
          </w:p>
          <w:p w14:paraId="6BEF67F1" w14:textId="77777777" w:rsidR="000F34D9" w:rsidRPr="000C4849" w:rsidRDefault="000F34D9" w:rsidP="000C4849">
            <w:pPr>
              <w:pStyle w:val="ListParagraph"/>
              <w:numPr>
                <w:ilvl w:val="0"/>
                <w:numId w:val="48"/>
              </w:numPr>
              <w:spacing w:after="0" w:line="240" w:lineRule="auto"/>
              <w:ind w:left="160" w:hanging="160"/>
              <w:jc w:val="both"/>
              <w:rPr>
                <w:rFonts w:ascii="Tw Cen MT Condensed" w:hAnsi="Tw Cen MT Condensed"/>
                <w:sz w:val="20"/>
                <w:szCs w:val="20"/>
              </w:rPr>
            </w:pPr>
            <w:r w:rsidRPr="000C4849">
              <w:rPr>
                <w:rFonts w:ascii="Tw Cen MT Condensed" w:eastAsia="MS PGothic" w:hAnsi="Tw Cen MT Condensed" w:cs="Times New Roman"/>
                <w:bCs/>
                <w:color w:val="595959" w:themeColor="text1" w:themeTint="A6"/>
                <w:sz w:val="21"/>
                <w:szCs w:val="24"/>
                <w:lang w:eastAsia="en-US"/>
              </w:rPr>
              <w:t>by type of recycling operation</w:t>
            </w:r>
          </w:p>
          <w:p w14:paraId="2BDAE76E" w14:textId="4DDF3346" w:rsidR="000F34D9" w:rsidRPr="000C4849" w:rsidRDefault="000F34D9" w:rsidP="000C4849">
            <w:pPr>
              <w:pStyle w:val="ListParagraph"/>
              <w:numPr>
                <w:ilvl w:val="0"/>
                <w:numId w:val="48"/>
              </w:numPr>
              <w:spacing w:after="0" w:line="240" w:lineRule="auto"/>
              <w:ind w:left="160" w:hanging="160"/>
              <w:jc w:val="both"/>
              <w:rPr>
                <w:sz w:val="20"/>
                <w:szCs w:val="20"/>
              </w:rPr>
            </w:pPr>
            <w:r w:rsidRPr="000C4849">
              <w:rPr>
                <w:rFonts w:ascii="Tw Cen MT Condensed" w:eastAsia="MS PGothic" w:hAnsi="Tw Cen MT Condensed" w:cs="Times New Roman"/>
                <w:bCs/>
                <w:color w:val="595959" w:themeColor="text1" w:themeTint="A6"/>
                <w:sz w:val="21"/>
                <w:szCs w:val="24"/>
                <w:lang w:eastAsia="en-US"/>
              </w:rPr>
              <w:t>by territorial division</w:t>
            </w:r>
          </w:p>
        </w:tc>
        <w:tc>
          <w:tcPr>
            <w:tcW w:w="0" w:type="auto"/>
          </w:tcPr>
          <w:p w14:paraId="07ED1EB6" w14:textId="77777777" w:rsidR="008C6A6C" w:rsidRDefault="008C6A6C" w:rsidP="008C6A6C">
            <w:pPr>
              <w:ind w:left="970" w:hanging="970"/>
              <w:jc w:val="both"/>
              <w:rPr>
                <w:color w:val="0070C0"/>
                <w:sz w:val="30"/>
                <w:szCs w:val="30"/>
              </w:rPr>
            </w:pPr>
            <w:r w:rsidRPr="00BC6F10">
              <w:t>Annual</w:t>
            </w:r>
          </w:p>
        </w:tc>
        <w:tc>
          <w:tcPr>
            <w:tcW w:w="0" w:type="auto"/>
          </w:tcPr>
          <w:p w14:paraId="2EBFE4FD" w14:textId="77777777" w:rsidR="008C6A6C" w:rsidRDefault="008C6A6C" w:rsidP="008C6A6C">
            <w:pPr>
              <w:ind w:left="970" w:hanging="970"/>
              <w:jc w:val="both"/>
              <w:rPr>
                <w:color w:val="0070C0"/>
                <w:sz w:val="30"/>
                <w:szCs w:val="30"/>
              </w:rPr>
            </w:pPr>
            <w:r>
              <w:t>Group 2</w:t>
            </w:r>
          </w:p>
        </w:tc>
        <w:tc>
          <w:tcPr>
            <w:tcW w:w="0" w:type="auto"/>
          </w:tcPr>
          <w:p w14:paraId="7C486831" w14:textId="77777777" w:rsidR="008C6A6C" w:rsidRDefault="008C6A6C" w:rsidP="008C6A6C">
            <w:pPr>
              <w:pStyle w:val="NoSpacing"/>
            </w:pPr>
            <w:r>
              <w:t>-</w:t>
            </w:r>
          </w:p>
          <w:p w14:paraId="00D2282D" w14:textId="18DED769" w:rsidR="008C6A6C" w:rsidRDefault="008C6A6C" w:rsidP="008C6A6C">
            <w:pPr>
              <w:pStyle w:val="NoSpacing"/>
            </w:pPr>
          </w:p>
          <w:p w14:paraId="195BE9F1" w14:textId="77777777" w:rsidR="008C6A6C" w:rsidRDefault="008C6A6C" w:rsidP="008C6A6C">
            <w:pPr>
              <w:pStyle w:val="NoSpacing"/>
            </w:pPr>
          </w:p>
          <w:p w14:paraId="762A80BD" w14:textId="424F5034" w:rsidR="008C6A6C" w:rsidRDefault="008C6A6C" w:rsidP="008C6A6C">
            <w:pPr>
              <w:pStyle w:val="NoSpacing"/>
            </w:pPr>
            <w:r>
              <w:t>1</w:t>
            </w:r>
            <w:r w:rsidRPr="00013ACB">
              <w:rPr>
                <w:vertAlign w:val="superscript"/>
              </w:rPr>
              <w:t>st</w:t>
            </w:r>
            <w:r>
              <w:t xml:space="preserve"> Round:</w:t>
            </w:r>
            <w:r w:rsidR="00AF67BF">
              <w:t xml:space="preserve"> December, 2020</w:t>
            </w:r>
          </w:p>
          <w:p w14:paraId="5799D539" w14:textId="77777777" w:rsidR="008C6A6C" w:rsidRDefault="008C6A6C" w:rsidP="008C6A6C">
            <w:pPr>
              <w:pStyle w:val="NoSpacing"/>
            </w:pPr>
          </w:p>
          <w:p w14:paraId="4395C5FF" w14:textId="36BEA5C3" w:rsidR="008C6A6C" w:rsidRDefault="008C6A6C" w:rsidP="008C6A6C">
            <w:pPr>
              <w:pStyle w:val="NoSpacing"/>
            </w:pPr>
            <w:r>
              <w:t>2</w:t>
            </w:r>
            <w:r w:rsidRPr="00013ACB">
              <w:rPr>
                <w:vertAlign w:val="superscript"/>
              </w:rPr>
              <w:t>nd</w:t>
            </w:r>
            <w:r>
              <w:t xml:space="preserve"> Round:</w:t>
            </w:r>
            <w:r w:rsidR="00AF67BF">
              <w:t xml:space="preserve"> December, 2021</w:t>
            </w:r>
          </w:p>
          <w:p w14:paraId="63D99CC1" w14:textId="77777777" w:rsidR="008C6A6C" w:rsidRDefault="008C6A6C" w:rsidP="008C6A6C">
            <w:pPr>
              <w:pStyle w:val="NoSpacing"/>
            </w:pPr>
            <w:r>
              <w:t xml:space="preserve"> </w:t>
            </w:r>
          </w:p>
          <w:p w14:paraId="2E5F7F24" w14:textId="23700E23" w:rsidR="008C6A6C" w:rsidRDefault="008C6A6C" w:rsidP="008C6A6C">
            <w:pPr>
              <w:pStyle w:val="NoSpacing"/>
            </w:pPr>
            <w:r>
              <w:t>3</w:t>
            </w:r>
            <w:r w:rsidRPr="00013ACB">
              <w:rPr>
                <w:vertAlign w:val="superscript"/>
              </w:rPr>
              <w:t>rd</w:t>
            </w:r>
            <w:r>
              <w:t xml:space="preserve"> Round: </w:t>
            </w:r>
            <w:r w:rsidR="00AF67BF">
              <w:t>December, 2022</w:t>
            </w:r>
          </w:p>
          <w:p w14:paraId="209D588E" w14:textId="77777777" w:rsidR="008C6A6C" w:rsidRDefault="008C6A6C" w:rsidP="008C6A6C">
            <w:pPr>
              <w:pStyle w:val="NoSpacing"/>
            </w:pPr>
          </w:p>
          <w:p w14:paraId="4F5AF635" w14:textId="0EBFF198" w:rsidR="008C6A6C" w:rsidRDefault="008C6A6C" w:rsidP="008C6A6C">
            <w:pPr>
              <w:pStyle w:val="NoSpacing"/>
            </w:pPr>
            <w:r>
              <w:t>4</w:t>
            </w:r>
            <w:r w:rsidRPr="00013ACB">
              <w:rPr>
                <w:vertAlign w:val="superscript"/>
              </w:rPr>
              <w:t>th</w:t>
            </w:r>
            <w:r>
              <w:t xml:space="preserve"> Round: </w:t>
            </w:r>
            <w:r w:rsidR="00AF67BF">
              <w:t>Decemb</w:t>
            </w:r>
            <w:r w:rsidR="00AF67BF">
              <w:lastRenderedPageBreak/>
              <w:t>er, 2023</w:t>
            </w:r>
          </w:p>
          <w:p w14:paraId="6FA4390D" w14:textId="77777777" w:rsidR="008C6A6C" w:rsidRDefault="008C6A6C" w:rsidP="008C6A6C">
            <w:pPr>
              <w:pStyle w:val="NoSpacing"/>
            </w:pPr>
          </w:p>
          <w:p w14:paraId="0A2D93D9" w14:textId="518342C3" w:rsidR="008C6A6C" w:rsidRDefault="008C6A6C" w:rsidP="008C6A6C">
            <w:pPr>
              <w:pStyle w:val="NoSpacing"/>
            </w:pPr>
            <w:r>
              <w:t>5</w:t>
            </w:r>
            <w:r w:rsidRPr="00013ACB">
              <w:rPr>
                <w:vertAlign w:val="superscript"/>
              </w:rPr>
              <w:t>th</w:t>
            </w:r>
            <w:r>
              <w:t xml:space="preserve"> Round: </w:t>
            </w:r>
            <w:r w:rsidR="00AF67BF">
              <w:t>December, 2024</w:t>
            </w:r>
          </w:p>
          <w:p w14:paraId="12C09295" w14:textId="5695C92A" w:rsidR="008C6A6C" w:rsidRDefault="008C6A6C" w:rsidP="008C6A6C">
            <w:pPr>
              <w:pStyle w:val="NoSpacing"/>
              <w:rPr>
                <w:color w:val="0070C0"/>
                <w:sz w:val="30"/>
                <w:szCs w:val="30"/>
              </w:rPr>
            </w:pPr>
          </w:p>
        </w:tc>
        <w:tc>
          <w:tcPr>
            <w:tcW w:w="0" w:type="auto"/>
          </w:tcPr>
          <w:p w14:paraId="00C41B59" w14:textId="77777777" w:rsidR="008C6A6C" w:rsidRDefault="008C6A6C" w:rsidP="008C6A6C">
            <w:pPr>
              <w:pStyle w:val="NoSpacing"/>
            </w:pPr>
            <w:r>
              <w:lastRenderedPageBreak/>
              <w:t>Reviewed at Nov./Dec. 2019 WebEx meeting (classified as Tier II)</w:t>
            </w:r>
          </w:p>
          <w:p w14:paraId="7E59E82A" w14:textId="77777777" w:rsidR="008C6A6C" w:rsidRDefault="008C6A6C" w:rsidP="008C6A6C">
            <w:pPr>
              <w:pStyle w:val="NoSpacing"/>
            </w:pPr>
          </w:p>
          <w:p w14:paraId="5A2C945C" w14:textId="4B533676" w:rsidR="008C6A6C" w:rsidRDefault="008C6A6C" w:rsidP="008C6A6C">
            <w:pPr>
              <w:pStyle w:val="NoSpacing"/>
            </w:pPr>
            <w:r>
              <w:t xml:space="preserve">IAEG-SDG 3rd meeting: There is no established methodology for the indicator (classified as </w:t>
            </w:r>
            <w:r w:rsidR="006B621F">
              <w:t>TBD</w:t>
            </w:r>
            <w:r>
              <w:t>)</w:t>
            </w:r>
          </w:p>
        </w:tc>
      </w:tr>
      <w:tr w:rsidR="008C6A6C" w14:paraId="368BD3E4" w14:textId="77777777" w:rsidTr="00A64F0D">
        <w:tc>
          <w:tcPr>
            <w:tcW w:w="0" w:type="auto"/>
          </w:tcPr>
          <w:p w14:paraId="0BC6F52B" w14:textId="77777777" w:rsidR="008C6A6C" w:rsidRDefault="008C6A6C" w:rsidP="008C6A6C">
            <w:pPr>
              <w:ind w:left="970" w:hanging="970"/>
              <w:jc w:val="both"/>
              <w:rPr>
                <w:color w:val="0070C0"/>
                <w:sz w:val="30"/>
                <w:szCs w:val="30"/>
              </w:rPr>
            </w:pPr>
          </w:p>
        </w:tc>
        <w:tc>
          <w:tcPr>
            <w:tcW w:w="0" w:type="auto"/>
            <w:gridSpan w:val="12"/>
          </w:tcPr>
          <w:p w14:paraId="6AB82C63" w14:textId="77777777" w:rsidR="008C6A6C" w:rsidRDefault="008C6A6C" w:rsidP="008C6A6C">
            <w:pPr>
              <w:jc w:val="both"/>
              <w:rPr>
                <w:color w:val="0070C0"/>
                <w:sz w:val="48"/>
                <w:szCs w:val="48"/>
              </w:rPr>
            </w:pPr>
            <w:r>
              <w:rPr>
                <w:color w:val="0070C0"/>
                <w:sz w:val="30"/>
                <w:szCs w:val="30"/>
              </w:rPr>
              <w:t xml:space="preserve">Target </w:t>
            </w:r>
            <w:r w:rsidRPr="00C97C3C">
              <w:rPr>
                <w:color w:val="0070C0"/>
                <w:sz w:val="30"/>
                <w:szCs w:val="30"/>
              </w:rPr>
              <w:t>12.5 By 2030, substantially reduce waste generation through prevention, reduction, recycling and reuse</w:t>
            </w:r>
          </w:p>
        </w:tc>
      </w:tr>
      <w:tr w:rsidR="008C6A6C" w14:paraId="03147D18" w14:textId="77777777" w:rsidTr="00A64F0D">
        <w:tc>
          <w:tcPr>
            <w:tcW w:w="0" w:type="auto"/>
          </w:tcPr>
          <w:p w14:paraId="2D4CAA52" w14:textId="77777777" w:rsidR="008C6A6C" w:rsidRDefault="008C6A6C" w:rsidP="008C6A6C">
            <w:pPr>
              <w:pStyle w:val="NoSpacing"/>
            </w:pPr>
            <w:r w:rsidRPr="00360230">
              <w:t>12.5.1 National recycling rate, tons of material recycled</w:t>
            </w:r>
          </w:p>
        </w:tc>
        <w:tc>
          <w:tcPr>
            <w:tcW w:w="0" w:type="auto"/>
          </w:tcPr>
          <w:p w14:paraId="712ED31E" w14:textId="77777777" w:rsidR="008C6A6C" w:rsidRDefault="008C6A6C" w:rsidP="008C6A6C">
            <w:pPr>
              <w:pStyle w:val="NoSpacing"/>
            </w:pPr>
            <w:r>
              <w:t>UNSD,</w:t>
            </w:r>
          </w:p>
          <w:p w14:paraId="2C66231B" w14:textId="77777777" w:rsidR="008C6A6C" w:rsidRDefault="008C6A6C" w:rsidP="008C6A6C">
            <w:pPr>
              <w:pStyle w:val="NoSpacing"/>
            </w:pPr>
            <w:r>
              <w:t>UNEP</w:t>
            </w:r>
          </w:p>
          <w:p w14:paraId="655D8A5D" w14:textId="77777777" w:rsidR="008C6A6C" w:rsidRDefault="008C6A6C" w:rsidP="008C6A6C">
            <w:pPr>
              <w:rPr>
                <w:b/>
                <w:bCs/>
                <w:szCs w:val="20"/>
              </w:rPr>
            </w:pPr>
            <w:r w:rsidRPr="007243FC">
              <w:rPr>
                <w:b/>
                <w:bCs/>
                <w:szCs w:val="20"/>
              </w:rPr>
              <w:t>Partner Agencies:</w:t>
            </w:r>
          </w:p>
          <w:p w14:paraId="5091FD88" w14:textId="77777777" w:rsidR="008C6A6C" w:rsidRDefault="008C6A6C" w:rsidP="008C6A6C">
            <w:pPr>
              <w:pStyle w:val="NoSpacing"/>
            </w:pPr>
            <w:r>
              <w:t>OECD,</w:t>
            </w:r>
          </w:p>
          <w:p w14:paraId="0BB82BE4" w14:textId="77777777" w:rsidR="008C6A6C" w:rsidRDefault="008C6A6C" w:rsidP="008C6A6C">
            <w:pPr>
              <w:pStyle w:val="NoSpacing"/>
            </w:pPr>
            <w:r>
              <w:t>Eurostat,</w:t>
            </w:r>
          </w:p>
          <w:p w14:paraId="3378895E" w14:textId="77777777" w:rsidR="008C6A6C" w:rsidRDefault="008C6A6C" w:rsidP="008C6A6C">
            <w:pPr>
              <w:pStyle w:val="NoSpacing"/>
            </w:pPr>
            <w:r>
              <w:t>UNU</w:t>
            </w:r>
          </w:p>
        </w:tc>
        <w:tc>
          <w:tcPr>
            <w:tcW w:w="0" w:type="auto"/>
          </w:tcPr>
          <w:p w14:paraId="323AB630" w14:textId="77777777" w:rsidR="008C6A6C" w:rsidRDefault="008C6A6C" w:rsidP="008C6A6C">
            <w:pPr>
              <w:ind w:left="970" w:hanging="970"/>
              <w:jc w:val="both"/>
              <w:rPr>
                <w:color w:val="0070C0"/>
                <w:sz w:val="30"/>
                <w:szCs w:val="30"/>
              </w:rPr>
            </w:pPr>
            <w:r w:rsidRPr="00666BAB">
              <w:t>Tier II</w:t>
            </w:r>
          </w:p>
        </w:tc>
        <w:tc>
          <w:tcPr>
            <w:tcW w:w="0" w:type="auto"/>
          </w:tcPr>
          <w:p w14:paraId="116C1D84" w14:textId="77777777" w:rsidR="008C6A6C" w:rsidRPr="00812988" w:rsidRDefault="008C6A6C" w:rsidP="008C6A6C">
            <w:pPr>
              <w:shd w:val="clear" w:color="auto" w:fill="FFFFFF"/>
              <w:ind w:left="-75"/>
              <w:rPr>
                <w:rFonts w:ascii="Arial" w:eastAsia="Times New Roman" w:hAnsi="Arial" w:cs="Arial"/>
                <w:color w:val="4A4A4A"/>
                <w:sz w:val="21"/>
                <w:szCs w:val="21"/>
              </w:rPr>
            </w:pPr>
            <w:r>
              <w:t>-</w:t>
            </w:r>
            <w:r>
              <w:rPr>
                <w:rFonts w:ascii="Arial" w:hAnsi="Arial" w:cs="Arial"/>
                <w:color w:val="4A4A4A"/>
                <w:sz w:val="18"/>
                <w:szCs w:val="18"/>
              </w:rPr>
              <w:t xml:space="preserve"> </w:t>
            </w:r>
            <w:r w:rsidRPr="00812988">
              <w:rPr>
                <w:rFonts w:ascii="Arial" w:eastAsia="Times New Roman" w:hAnsi="Arial" w:cs="Arial"/>
                <w:i/>
                <w:iCs/>
                <w:color w:val="4A4A4A"/>
                <w:sz w:val="18"/>
                <w:szCs w:val="18"/>
              </w:rPr>
              <w:t>No data for this indicator is currently available and its methodology is still under development</w:t>
            </w:r>
          </w:p>
          <w:p w14:paraId="7BB50EC4" w14:textId="77777777" w:rsidR="008C6A6C" w:rsidRDefault="008C6A6C" w:rsidP="008C6A6C">
            <w:pPr>
              <w:pStyle w:val="NoSpacing"/>
            </w:pPr>
          </w:p>
        </w:tc>
        <w:tc>
          <w:tcPr>
            <w:tcW w:w="0" w:type="auto"/>
          </w:tcPr>
          <w:p w14:paraId="6C046FC9" w14:textId="77777777" w:rsidR="008C6A6C" w:rsidRPr="00606257" w:rsidRDefault="008C6A6C" w:rsidP="008C6A6C">
            <w:pPr>
              <w:pStyle w:val="NoSpacing"/>
            </w:pPr>
            <w:r>
              <w:t>-</w:t>
            </w:r>
          </w:p>
        </w:tc>
        <w:tc>
          <w:tcPr>
            <w:tcW w:w="0" w:type="auto"/>
          </w:tcPr>
          <w:p w14:paraId="01415228" w14:textId="77777777" w:rsidR="008C6A6C" w:rsidRDefault="008C6A6C" w:rsidP="008C6A6C">
            <w:pPr>
              <w:pStyle w:val="NoSpacing"/>
            </w:pPr>
            <w:r>
              <w:t>-</w:t>
            </w:r>
          </w:p>
        </w:tc>
        <w:tc>
          <w:tcPr>
            <w:tcW w:w="0" w:type="auto"/>
          </w:tcPr>
          <w:p w14:paraId="1B5C274C" w14:textId="593E4F76" w:rsidR="008C6A6C" w:rsidRDefault="008C6A6C" w:rsidP="008C6A6C">
            <w:pPr>
              <w:pStyle w:val="NoSpacing"/>
            </w:pPr>
          </w:p>
        </w:tc>
        <w:tc>
          <w:tcPr>
            <w:tcW w:w="0" w:type="auto"/>
          </w:tcPr>
          <w:p w14:paraId="395C5D49" w14:textId="77777777" w:rsidR="008C6A6C" w:rsidRDefault="008C6A6C" w:rsidP="008C6A6C">
            <w:pPr>
              <w:pStyle w:val="NoSpacing"/>
            </w:pPr>
            <w:r>
              <w:t>DoE</w:t>
            </w:r>
          </w:p>
          <w:p w14:paraId="277388B8" w14:textId="77777777" w:rsidR="008C6A6C" w:rsidRDefault="008C6A6C" w:rsidP="008C6A6C">
            <w:pPr>
              <w:pStyle w:val="NoSpacing"/>
              <w:rPr>
                <w:color w:val="0070C0"/>
                <w:sz w:val="30"/>
                <w:szCs w:val="30"/>
              </w:rPr>
            </w:pPr>
            <w:r w:rsidRPr="000C36C6">
              <w:t>Administrative Data</w:t>
            </w:r>
          </w:p>
        </w:tc>
        <w:tc>
          <w:tcPr>
            <w:tcW w:w="0" w:type="auto"/>
          </w:tcPr>
          <w:p w14:paraId="1650D476" w14:textId="77777777" w:rsidR="008C6A6C" w:rsidRDefault="008C6A6C" w:rsidP="008C6A6C">
            <w:pPr>
              <w:pStyle w:val="NoSpacing"/>
            </w:pPr>
            <w:r>
              <w:t>-</w:t>
            </w:r>
          </w:p>
        </w:tc>
        <w:tc>
          <w:tcPr>
            <w:tcW w:w="0" w:type="auto"/>
          </w:tcPr>
          <w:p w14:paraId="35F36FA3" w14:textId="77777777" w:rsidR="008C6A6C" w:rsidRDefault="008C6A6C" w:rsidP="008C6A6C">
            <w:pPr>
              <w:ind w:left="970" w:hanging="970"/>
              <w:jc w:val="both"/>
              <w:rPr>
                <w:color w:val="0070C0"/>
                <w:sz w:val="30"/>
                <w:szCs w:val="30"/>
              </w:rPr>
            </w:pPr>
            <w:r w:rsidRPr="00BC6F10">
              <w:t>Annual</w:t>
            </w:r>
          </w:p>
        </w:tc>
        <w:tc>
          <w:tcPr>
            <w:tcW w:w="0" w:type="auto"/>
          </w:tcPr>
          <w:p w14:paraId="570E7F9A" w14:textId="77777777" w:rsidR="008C6A6C" w:rsidRDefault="008C6A6C" w:rsidP="008C6A6C">
            <w:pPr>
              <w:ind w:left="970" w:hanging="970"/>
              <w:jc w:val="both"/>
              <w:rPr>
                <w:color w:val="0070C0"/>
                <w:sz w:val="30"/>
                <w:szCs w:val="30"/>
              </w:rPr>
            </w:pPr>
            <w:r>
              <w:t>Group 2</w:t>
            </w:r>
          </w:p>
        </w:tc>
        <w:tc>
          <w:tcPr>
            <w:tcW w:w="0" w:type="auto"/>
          </w:tcPr>
          <w:p w14:paraId="01C66422" w14:textId="77777777" w:rsidR="008C6A6C" w:rsidRDefault="008C6A6C" w:rsidP="008C6A6C">
            <w:pPr>
              <w:pStyle w:val="NoSpacing"/>
            </w:pPr>
            <w:r>
              <w:t>-</w:t>
            </w:r>
          </w:p>
          <w:p w14:paraId="0D359B81" w14:textId="77777777" w:rsidR="008C6A6C" w:rsidRDefault="008C6A6C" w:rsidP="008C6A6C">
            <w:pPr>
              <w:pStyle w:val="NoSpacing"/>
            </w:pPr>
          </w:p>
          <w:p w14:paraId="1F033233" w14:textId="58A9A093" w:rsidR="00CB281D" w:rsidRDefault="008C6A6C" w:rsidP="00CB281D">
            <w:pPr>
              <w:pStyle w:val="NoSpacing"/>
            </w:pPr>
            <w:r>
              <w:t>1</w:t>
            </w:r>
            <w:r w:rsidRPr="00013ACB">
              <w:rPr>
                <w:vertAlign w:val="superscript"/>
              </w:rPr>
              <w:t>st</w:t>
            </w:r>
            <w:r>
              <w:t xml:space="preserve"> Round:</w:t>
            </w:r>
            <w:r w:rsidR="00CB281D">
              <w:t xml:space="preserve"> December, 2020</w:t>
            </w:r>
          </w:p>
          <w:p w14:paraId="5C9B5ADC" w14:textId="77777777" w:rsidR="008C6A6C" w:rsidRDefault="008C6A6C" w:rsidP="008C6A6C">
            <w:pPr>
              <w:pStyle w:val="NoSpacing"/>
            </w:pPr>
          </w:p>
          <w:p w14:paraId="4EF99033" w14:textId="77777777" w:rsidR="008C6A6C" w:rsidRDefault="008C6A6C" w:rsidP="008C6A6C">
            <w:pPr>
              <w:pStyle w:val="NoSpacing"/>
            </w:pPr>
          </w:p>
          <w:p w14:paraId="571DCC0B" w14:textId="5CB117A6" w:rsidR="008C6A6C" w:rsidRDefault="008C6A6C" w:rsidP="008C6A6C">
            <w:pPr>
              <w:pStyle w:val="NoSpacing"/>
            </w:pPr>
            <w:r>
              <w:t>2</w:t>
            </w:r>
            <w:r w:rsidRPr="00013ACB">
              <w:rPr>
                <w:vertAlign w:val="superscript"/>
              </w:rPr>
              <w:t>nd</w:t>
            </w:r>
            <w:r>
              <w:t xml:space="preserve"> Round:</w:t>
            </w:r>
            <w:r w:rsidR="00CB281D">
              <w:t xml:space="preserve"> December, 2021</w:t>
            </w:r>
          </w:p>
          <w:p w14:paraId="2D29A1D5" w14:textId="77777777" w:rsidR="008C6A6C" w:rsidRDefault="008C6A6C" w:rsidP="008C6A6C">
            <w:pPr>
              <w:pStyle w:val="NoSpacing"/>
            </w:pPr>
            <w:r>
              <w:t xml:space="preserve"> </w:t>
            </w:r>
          </w:p>
          <w:p w14:paraId="31322812" w14:textId="3786BFCB" w:rsidR="008C6A6C" w:rsidRDefault="008C6A6C" w:rsidP="008C6A6C">
            <w:pPr>
              <w:pStyle w:val="NoSpacing"/>
            </w:pPr>
            <w:r>
              <w:t>3</w:t>
            </w:r>
            <w:r w:rsidRPr="00013ACB">
              <w:rPr>
                <w:vertAlign w:val="superscript"/>
              </w:rPr>
              <w:t>rd</w:t>
            </w:r>
            <w:r>
              <w:t xml:space="preserve"> Round: </w:t>
            </w:r>
            <w:r w:rsidR="00CB281D">
              <w:t>December, 2022</w:t>
            </w:r>
          </w:p>
          <w:p w14:paraId="6C37FD26" w14:textId="77777777" w:rsidR="008C6A6C" w:rsidRDefault="008C6A6C" w:rsidP="008C6A6C">
            <w:pPr>
              <w:pStyle w:val="NoSpacing"/>
            </w:pPr>
          </w:p>
          <w:p w14:paraId="3AF78700" w14:textId="78A0CE6A" w:rsidR="008C6A6C" w:rsidRDefault="008C6A6C" w:rsidP="008C6A6C">
            <w:pPr>
              <w:pStyle w:val="NoSpacing"/>
            </w:pPr>
            <w:r>
              <w:t>4</w:t>
            </w:r>
            <w:r w:rsidRPr="00013ACB">
              <w:rPr>
                <w:vertAlign w:val="superscript"/>
              </w:rPr>
              <w:t>th</w:t>
            </w:r>
            <w:r>
              <w:t xml:space="preserve"> Round: </w:t>
            </w:r>
            <w:r w:rsidR="00CB281D">
              <w:t>December, 2023</w:t>
            </w:r>
          </w:p>
          <w:p w14:paraId="4502EFEE" w14:textId="77777777" w:rsidR="008C6A6C" w:rsidRDefault="008C6A6C" w:rsidP="008C6A6C">
            <w:pPr>
              <w:pStyle w:val="NoSpacing"/>
            </w:pPr>
          </w:p>
          <w:p w14:paraId="1CBB4AA4" w14:textId="5D5C1D5E" w:rsidR="008C6A6C" w:rsidRDefault="008C6A6C" w:rsidP="008C6A6C">
            <w:pPr>
              <w:pStyle w:val="NoSpacing"/>
            </w:pPr>
            <w:r>
              <w:t>5</w:t>
            </w:r>
            <w:r w:rsidRPr="00013ACB">
              <w:rPr>
                <w:vertAlign w:val="superscript"/>
              </w:rPr>
              <w:t>th</w:t>
            </w:r>
            <w:r>
              <w:t xml:space="preserve"> Round: </w:t>
            </w:r>
            <w:r w:rsidR="00CB281D">
              <w:t>December, 2024</w:t>
            </w:r>
          </w:p>
          <w:p w14:paraId="62422A68" w14:textId="02748BFF" w:rsidR="008C6A6C" w:rsidRDefault="008C6A6C" w:rsidP="008C6A6C">
            <w:pPr>
              <w:pStyle w:val="NoSpacing"/>
            </w:pPr>
          </w:p>
        </w:tc>
        <w:tc>
          <w:tcPr>
            <w:tcW w:w="0" w:type="auto"/>
          </w:tcPr>
          <w:p w14:paraId="1F61D477" w14:textId="77777777" w:rsidR="008C6A6C" w:rsidRDefault="008C6A6C" w:rsidP="008C6A6C">
            <w:pPr>
              <w:pStyle w:val="NoSpacing"/>
            </w:pPr>
            <w:r>
              <w:t>Reviewed at Feb. 2020 WebEx meeting</w:t>
            </w:r>
          </w:p>
          <w:p w14:paraId="0720964D" w14:textId="77777777" w:rsidR="008C6A6C" w:rsidRDefault="008C6A6C" w:rsidP="008C6A6C">
            <w:pPr>
              <w:pStyle w:val="NoSpacing"/>
            </w:pPr>
            <w:r>
              <w:t>(classified as Tier II)</w:t>
            </w:r>
          </w:p>
          <w:p w14:paraId="0832BCE0" w14:textId="77777777" w:rsidR="008C6A6C" w:rsidRDefault="008C6A6C" w:rsidP="008C6A6C">
            <w:pPr>
              <w:pStyle w:val="NoSpacing"/>
            </w:pPr>
          </w:p>
          <w:p w14:paraId="1D8499FF" w14:textId="4C2B69B6" w:rsidR="008C6A6C" w:rsidRDefault="008C6A6C" w:rsidP="008C6A6C">
            <w:pPr>
              <w:pStyle w:val="NoSpacing"/>
            </w:pPr>
            <w:r>
              <w:t xml:space="preserve">Reviewed at Nov./Dec. 2019 WebEx meeting: IAEG to review full methodology and provide comments to UNEP (classified as </w:t>
            </w:r>
            <w:r w:rsidR="006B621F">
              <w:t>TBD</w:t>
            </w:r>
            <w:r>
              <w:t>)</w:t>
            </w:r>
          </w:p>
        </w:tc>
      </w:tr>
      <w:tr w:rsidR="008C6A6C" w14:paraId="30BD00B2" w14:textId="77777777" w:rsidTr="00A64F0D">
        <w:tc>
          <w:tcPr>
            <w:tcW w:w="0" w:type="auto"/>
          </w:tcPr>
          <w:p w14:paraId="440FB0B3" w14:textId="77777777" w:rsidR="008C6A6C" w:rsidRDefault="008C6A6C" w:rsidP="008C6A6C">
            <w:pPr>
              <w:ind w:left="970" w:hanging="970"/>
              <w:jc w:val="both"/>
              <w:rPr>
                <w:color w:val="0070C0"/>
                <w:sz w:val="30"/>
                <w:szCs w:val="30"/>
              </w:rPr>
            </w:pPr>
          </w:p>
        </w:tc>
        <w:tc>
          <w:tcPr>
            <w:tcW w:w="0" w:type="auto"/>
            <w:gridSpan w:val="12"/>
          </w:tcPr>
          <w:p w14:paraId="28FA9899" w14:textId="77777777" w:rsidR="008C6A6C" w:rsidRDefault="008C6A6C" w:rsidP="008C6A6C">
            <w:pPr>
              <w:jc w:val="both"/>
              <w:rPr>
                <w:color w:val="0070C0"/>
                <w:sz w:val="48"/>
                <w:szCs w:val="48"/>
              </w:rPr>
            </w:pPr>
            <w:r>
              <w:rPr>
                <w:color w:val="0070C0"/>
                <w:sz w:val="30"/>
                <w:szCs w:val="30"/>
              </w:rPr>
              <w:t xml:space="preserve">Target  </w:t>
            </w:r>
            <w:r w:rsidRPr="00C97C3C">
              <w:rPr>
                <w:color w:val="0070C0"/>
                <w:sz w:val="30"/>
                <w:szCs w:val="30"/>
              </w:rPr>
              <w:t>12.6 Encourage companies, especially large and transnational companies, to adopt sustainable practices and to integrate sustainability information into their reporting cycle</w:t>
            </w:r>
          </w:p>
        </w:tc>
      </w:tr>
      <w:tr w:rsidR="008C6A6C" w14:paraId="6A70D327" w14:textId="77777777" w:rsidTr="00A64F0D">
        <w:tc>
          <w:tcPr>
            <w:tcW w:w="0" w:type="auto"/>
          </w:tcPr>
          <w:p w14:paraId="5DD081B5" w14:textId="77777777" w:rsidR="008C6A6C" w:rsidRDefault="008C6A6C" w:rsidP="008C6A6C">
            <w:pPr>
              <w:pStyle w:val="NoSpacing"/>
            </w:pPr>
            <w:r w:rsidRPr="00360230">
              <w:lastRenderedPageBreak/>
              <w:t>12.6.1 Number of companies publishing sustainability reports</w:t>
            </w:r>
          </w:p>
        </w:tc>
        <w:tc>
          <w:tcPr>
            <w:tcW w:w="0" w:type="auto"/>
          </w:tcPr>
          <w:p w14:paraId="230CDCD0" w14:textId="77777777" w:rsidR="008C6A6C" w:rsidRDefault="008C6A6C" w:rsidP="008C6A6C">
            <w:pPr>
              <w:pStyle w:val="NoSpacing"/>
            </w:pPr>
            <w:r>
              <w:t xml:space="preserve">UNEP,  </w:t>
            </w:r>
          </w:p>
          <w:p w14:paraId="3F7FEC28" w14:textId="77777777" w:rsidR="008C6A6C" w:rsidRPr="004559CB" w:rsidRDefault="008C6A6C" w:rsidP="008C6A6C">
            <w:pPr>
              <w:pStyle w:val="NoSpacing"/>
            </w:pPr>
            <w:r>
              <w:t>UNCTAD</w:t>
            </w:r>
          </w:p>
        </w:tc>
        <w:tc>
          <w:tcPr>
            <w:tcW w:w="0" w:type="auto"/>
          </w:tcPr>
          <w:p w14:paraId="29939725" w14:textId="77777777" w:rsidR="008C6A6C" w:rsidRDefault="008C6A6C" w:rsidP="008C6A6C">
            <w:pPr>
              <w:ind w:left="970" w:hanging="970"/>
              <w:jc w:val="both"/>
              <w:rPr>
                <w:color w:val="0070C0"/>
                <w:sz w:val="30"/>
                <w:szCs w:val="30"/>
              </w:rPr>
            </w:pPr>
            <w:r w:rsidRPr="00666BAB">
              <w:t>Tier II</w:t>
            </w:r>
          </w:p>
        </w:tc>
        <w:tc>
          <w:tcPr>
            <w:tcW w:w="0" w:type="auto"/>
          </w:tcPr>
          <w:p w14:paraId="1E1A2D67" w14:textId="77777777" w:rsidR="008C6A6C" w:rsidRPr="00606257" w:rsidRDefault="008C6A6C" w:rsidP="008C6A6C">
            <w:pPr>
              <w:pStyle w:val="NoSpacing"/>
              <w:rPr>
                <w:lang w:val="en-GB"/>
              </w:rPr>
            </w:pPr>
            <w:r w:rsidRPr="00606257">
              <w:rPr>
                <w:b/>
                <w:bCs/>
                <w:lang w:val="en-GB"/>
              </w:rPr>
              <w:t>Definition:</w:t>
            </w:r>
            <w:r w:rsidRPr="00606257">
              <w:rPr>
                <w:lang w:val="en-GB"/>
              </w:rPr>
              <w:t xml:space="preserve"> </w:t>
            </w:r>
          </w:p>
          <w:p w14:paraId="6D4C7C6A" w14:textId="77777777" w:rsidR="008C6A6C" w:rsidRPr="00606257" w:rsidRDefault="008C6A6C" w:rsidP="008C6A6C">
            <w:pPr>
              <w:pStyle w:val="NoSpacing"/>
              <w:rPr>
                <w:bCs/>
                <w:lang w:val="en-GB"/>
              </w:rPr>
            </w:pPr>
            <w:r w:rsidRPr="00606257">
              <w:rPr>
                <w:bCs/>
                <w:u w:val="single"/>
                <w:lang w:val="en-GB"/>
              </w:rPr>
              <w:t>Sustainability Reports</w:t>
            </w:r>
            <w:r w:rsidRPr="00606257">
              <w:rPr>
                <w:bCs/>
                <w:lang w:val="en-GB"/>
              </w:rPr>
              <w:t xml:space="preserve">: </w:t>
            </w:r>
          </w:p>
          <w:p w14:paraId="2A4DF0F6" w14:textId="77777777" w:rsidR="008C6A6C" w:rsidRPr="00606257" w:rsidRDefault="008C6A6C" w:rsidP="008C6A6C">
            <w:pPr>
              <w:pStyle w:val="NoSpacing"/>
              <w:rPr>
                <w:bCs/>
                <w:u w:val="single"/>
                <w:lang w:val="en-GB"/>
              </w:rPr>
            </w:pPr>
            <w:r w:rsidRPr="00606257">
              <w:rPr>
                <w:bCs/>
                <w:lang w:val="en-GB"/>
              </w:rPr>
              <w:t xml:space="preserve">For the purposes of this indicator, ‘sustainability reports’ will not be limited to stand-alone sustainability reports produced by companies, but will be considered as ‘reporting sustainability information’ and expanded to other forms of reporting sustainability information, such as publishing sustainability information as part of the company’s annual reports or reporting sustainability information to the national government. This is to ensure that the focus of the indicator is on tracking the publishing of sustainability information, rather than on the practice of publishing stand-alone sustainability reports. It also ensures that the indicator interpretation is aligned with the wording of Target 12.6 which refers to promoting “the integration of sustainability information into the annual reporting cycle of companies”. </w:t>
            </w:r>
          </w:p>
          <w:p w14:paraId="0B21C9FD" w14:textId="77777777" w:rsidR="008C6A6C" w:rsidRPr="00606257" w:rsidRDefault="008C6A6C" w:rsidP="008C6A6C">
            <w:pPr>
              <w:pStyle w:val="NoSpacing"/>
              <w:rPr>
                <w:bCs/>
                <w:lang w:val="en-GB"/>
              </w:rPr>
            </w:pPr>
          </w:p>
          <w:p w14:paraId="2A4EA05D" w14:textId="77777777" w:rsidR="008C6A6C" w:rsidRPr="00606257" w:rsidRDefault="008C6A6C" w:rsidP="008C6A6C">
            <w:pPr>
              <w:pStyle w:val="NoSpacing"/>
              <w:rPr>
                <w:bCs/>
                <w:lang w:val="en-GB"/>
              </w:rPr>
            </w:pPr>
            <w:r w:rsidRPr="00606257">
              <w:rPr>
                <w:bCs/>
                <w:lang w:val="en-GB"/>
              </w:rPr>
              <w:t>Not every report called ‘Sustainability Report’ will be counted towards the indicator. In order to be counted, they will have to comply with a ‘minimum requirement’ in terms of sustainability disclosures reported on (see below).</w:t>
            </w:r>
          </w:p>
          <w:p w14:paraId="256AE521" w14:textId="77777777" w:rsidR="008C6A6C" w:rsidRPr="00606257" w:rsidRDefault="008C6A6C" w:rsidP="008C6A6C">
            <w:pPr>
              <w:pStyle w:val="NoSpacing"/>
              <w:rPr>
                <w:bCs/>
                <w:lang w:val="en-GB"/>
              </w:rPr>
            </w:pPr>
          </w:p>
          <w:p w14:paraId="10E4F88F" w14:textId="77777777" w:rsidR="008C6A6C" w:rsidRPr="00606257" w:rsidRDefault="008C6A6C" w:rsidP="008C6A6C">
            <w:pPr>
              <w:pStyle w:val="NoSpacing"/>
              <w:rPr>
                <w:bCs/>
                <w:u w:val="single"/>
                <w:lang w:val="en-GB"/>
              </w:rPr>
            </w:pPr>
            <w:r w:rsidRPr="00606257">
              <w:rPr>
                <w:bCs/>
                <w:u w:val="single"/>
                <w:lang w:val="en-GB"/>
              </w:rPr>
              <w:t>Company:</w:t>
            </w:r>
          </w:p>
          <w:p w14:paraId="3B204A0F" w14:textId="77777777" w:rsidR="008C6A6C" w:rsidRPr="00606257" w:rsidRDefault="008C6A6C" w:rsidP="008C6A6C">
            <w:pPr>
              <w:pStyle w:val="NoSpacing"/>
              <w:rPr>
                <w:bCs/>
                <w:lang w:val="en-GB"/>
              </w:rPr>
            </w:pPr>
            <w:r w:rsidRPr="00606257">
              <w:rPr>
                <w:bCs/>
                <w:lang w:val="en-GB"/>
              </w:rPr>
              <w:t>While many companies report at the group level, many of their impacts will be local, and some subsidiaries or franchises produce separate sustainability reports. As a practice that should be encouraged, and one that is useful to monitor, is therefore proposed to count both the group and subsidiary/franchise level separately, as separate entities.  “Company” can therefore apply to either the parent company, or a franchise or subsidiary, depending on their reporting practices.</w:t>
            </w:r>
          </w:p>
          <w:p w14:paraId="60C5FF8F" w14:textId="77777777" w:rsidR="008C6A6C" w:rsidRPr="00606257" w:rsidRDefault="008C6A6C" w:rsidP="008C6A6C">
            <w:pPr>
              <w:pStyle w:val="NoSpacing"/>
              <w:rPr>
                <w:lang w:val="en-GB"/>
              </w:rPr>
            </w:pPr>
          </w:p>
          <w:p w14:paraId="26E9F02F" w14:textId="77777777" w:rsidR="008C6A6C" w:rsidRPr="00606257" w:rsidRDefault="008C6A6C" w:rsidP="008C6A6C">
            <w:pPr>
              <w:pStyle w:val="NoSpacing"/>
              <w:rPr>
                <w:b/>
                <w:bCs/>
                <w:lang w:val="en-GB"/>
              </w:rPr>
            </w:pPr>
            <w:r w:rsidRPr="00606257">
              <w:rPr>
                <w:b/>
                <w:bCs/>
                <w:lang w:val="en-GB"/>
              </w:rPr>
              <w:t>Concepts:</w:t>
            </w:r>
          </w:p>
          <w:p w14:paraId="77B00FBD" w14:textId="77777777" w:rsidR="008C6A6C" w:rsidRPr="00606257" w:rsidRDefault="008C6A6C" w:rsidP="008C6A6C">
            <w:pPr>
              <w:pStyle w:val="NoSpacing"/>
              <w:rPr>
                <w:bCs/>
                <w:lang w:val="en-GB"/>
              </w:rPr>
            </w:pPr>
            <w:r w:rsidRPr="00606257">
              <w:rPr>
                <w:bCs/>
                <w:lang w:val="en-GB"/>
              </w:rPr>
              <w:t>It is proposed that, to be counted towards the indicator, companies must publish information that meets a “Minimum requirement” of disclosure. A core set of economic, environmental, social and governance disclosures of sustainability information is therefore identified. In defining these disclosure elements, the custodian agencies attempted to align with the disclosures that appear in existing related reporting frameworks, including the IIRC reporting framework, the Global Reporting Initiative Standard (GRI), the Sustainability Accounting Standards Board (SASB) (see Annex I for a comparison of the various sustainability disclosures contained under each.</w:t>
            </w:r>
          </w:p>
          <w:p w14:paraId="3858CF9B" w14:textId="77777777" w:rsidR="008C6A6C" w:rsidRPr="00606257" w:rsidRDefault="008C6A6C" w:rsidP="008C6A6C">
            <w:pPr>
              <w:pStyle w:val="NoSpacing"/>
              <w:rPr>
                <w:bCs/>
                <w:lang w:val="en-GB"/>
              </w:rPr>
            </w:pPr>
          </w:p>
          <w:p w14:paraId="42213038" w14:textId="77777777" w:rsidR="008C6A6C" w:rsidRPr="00606257" w:rsidRDefault="008C6A6C" w:rsidP="008C6A6C">
            <w:pPr>
              <w:pStyle w:val="NoSpacing"/>
              <w:rPr>
                <w:bCs/>
                <w:lang w:val="en-GB"/>
              </w:rPr>
            </w:pPr>
            <w:r w:rsidRPr="00606257">
              <w:rPr>
                <w:bCs/>
                <w:lang w:val="en-GB"/>
              </w:rPr>
              <w:t>It also attempts to align with the UNCTAD Core Indicators for company reporting on the contribution towards the attainment of the Sustainable Development Goals. UNCTAD has prepared Guidance on Core indicators for entity reporting on the contribution towards the attainment of the Sustainable Development Goals (SDGs) to support entities in the provision of information under indicator 12.6.1 and governments in assessing the private sector contribution to the SDGs. The Guidance reflects the Agreed Conclusions of the thirty-fourth session of the Intergovernmental Working Group of Experts on International Standards of Accounting and Reporting (ISAR), which in 2017 requested UNCTAD to develop the guiding document. The UNCTAD Guidance includes detailed definitions and data sources for the core indicators in the company accounts to assist the entities in the reporting.</w:t>
            </w:r>
          </w:p>
          <w:p w14:paraId="0E43B60E" w14:textId="77777777" w:rsidR="008C6A6C" w:rsidRPr="00606257" w:rsidRDefault="008C6A6C" w:rsidP="008C6A6C">
            <w:pPr>
              <w:pStyle w:val="NoSpacing"/>
              <w:rPr>
                <w:bCs/>
                <w:lang w:val="en-GB"/>
              </w:rPr>
            </w:pPr>
          </w:p>
          <w:p w14:paraId="56ABE52A" w14:textId="77777777" w:rsidR="008C6A6C" w:rsidRPr="00606257" w:rsidRDefault="008C6A6C" w:rsidP="008C6A6C">
            <w:pPr>
              <w:pStyle w:val="NoSpacing"/>
              <w:rPr>
                <w:bCs/>
                <w:lang w:val="en-GB"/>
              </w:rPr>
            </w:pPr>
            <w:r w:rsidRPr="00606257">
              <w:rPr>
                <w:bCs/>
                <w:lang w:val="en-GB"/>
              </w:rPr>
              <w:t xml:space="preserve">The purpose is not to create a new reporting standard or framework, but to ensure that the minimum requirement for Indicator 12.6.1 is aligned with existing global frameworks currently used by companies, so that they may continue to use these </w:t>
            </w:r>
            <w:r w:rsidRPr="00606257">
              <w:rPr>
                <w:bCs/>
                <w:lang w:val="en-GB"/>
              </w:rPr>
              <w:lastRenderedPageBreak/>
              <w:t>frameworks and be counted towards the indicator.</w:t>
            </w:r>
          </w:p>
          <w:p w14:paraId="1B83714C" w14:textId="77777777" w:rsidR="008C6A6C" w:rsidRPr="00606257" w:rsidRDefault="008C6A6C" w:rsidP="008C6A6C">
            <w:pPr>
              <w:pStyle w:val="NoSpacing"/>
              <w:rPr>
                <w:bCs/>
                <w:lang w:val="en-GB"/>
              </w:rPr>
            </w:pPr>
            <w:r w:rsidRPr="00606257">
              <w:rPr>
                <w:bCs/>
                <w:lang w:val="en-GB"/>
              </w:rPr>
              <w:t xml:space="preserve">While establishing a minimum requirement in terms of reporting ensures that only companies disclosing meaningful information on all aspects of sustainability are counted towards the indicator, it could be perceived as giving the message that the minimum suffices and that companies do not need to go beyond it. </w:t>
            </w:r>
          </w:p>
          <w:p w14:paraId="1C9E3FD0" w14:textId="77777777" w:rsidR="008C6A6C" w:rsidRPr="00606257" w:rsidRDefault="008C6A6C" w:rsidP="008C6A6C">
            <w:pPr>
              <w:pStyle w:val="NoSpacing"/>
              <w:rPr>
                <w:bCs/>
                <w:lang w:val="en-GB"/>
              </w:rPr>
            </w:pPr>
          </w:p>
          <w:p w14:paraId="7E02C1CF" w14:textId="77777777" w:rsidR="008C6A6C" w:rsidRPr="00606257" w:rsidRDefault="008C6A6C" w:rsidP="008C6A6C">
            <w:pPr>
              <w:pStyle w:val="NoSpacing"/>
              <w:rPr>
                <w:bCs/>
                <w:lang w:val="en-GB"/>
              </w:rPr>
            </w:pPr>
            <w:r w:rsidRPr="00606257">
              <w:rPr>
                <w:bCs/>
                <w:lang w:val="en-GB"/>
              </w:rPr>
              <w:t>Therefore, it is proposed that the methodology include an advanced level, with a further set of disclosure elements which would further provide impetus for examining and reporting on the sustainability practices and impacts of the company. These include: 1) stakeholder engagement, 2) assessing impacts beyond the company boundaries and along the supply chain; 3) supplier and consumer engagement on sustainability issues; 4) procurement and sourcing practices; and 5) environmental performance information in the form of intensity values to be monitored over time, such as consumption of energy, water or materials per unit of production or per unit of profit.</w:t>
            </w:r>
          </w:p>
          <w:p w14:paraId="4AD22BB1" w14:textId="77777777" w:rsidR="008C6A6C" w:rsidRPr="00606257" w:rsidRDefault="008C6A6C" w:rsidP="008C6A6C">
            <w:pPr>
              <w:pStyle w:val="NoSpacing"/>
              <w:rPr>
                <w:bCs/>
                <w:lang w:val="en-GB"/>
              </w:rPr>
            </w:pPr>
          </w:p>
          <w:p w14:paraId="7BE30B20" w14:textId="77777777" w:rsidR="008C6A6C" w:rsidRPr="00606257" w:rsidRDefault="008C6A6C" w:rsidP="008C6A6C">
            <w:pPr>
              <w:pStyle w:val="NoSpacing"/>
              <w:rPr>
                <w:bCs/>
                <w:lang w:val="en-GB"/>
              </w:rPr>
            </w:pPr>
            <w:r w:rsidRPr="00606257">
              <w:rPr>
                <w:bCs/>
                <w:lang w:val="en-GB"/>
              </w:rPr>
              <w:t>Having different levels will also allow for information to be collected on the degree of reporting of different companies, including whether the same companies produce more ambitious reports, and go further in their sustainability practices with time, such as through supplier engagement. It would allow for companies who are beginning to produce sustainability reports to be counted towards the indicator once they achieve the minimum level, but provide incentive, through their inclusion in the indicator count, for them to work towards more ambitious reporting and demonstrate their progress over time.</w:t>
            </w:r>
          </w:p>
          <w:p w14:paraId="502EC50F" w14:textId="77777777" w:rsidR="008C6A6C" w:rsidRPr="00606257" w:rsidRDefault="008C6A6C" w:rsidP="008C6A6C">
            <w:pPr>
              <w:pStyle w:val="NoSpacing"/>
              <w:rPr>
                <w:lang w:val="en-GB"/>
              </w:rPr>
            </w:pPr>
          </w:p>
          <w:p w14:paraId="2D4AA2CC" w14:textId="77777777" w:rsidR="008C6A6C" w:rsidRPr="00606257" w:rsidRDefault="008C6A6C" w:rsidP="008C6A6C">
            <w:pPr>
              <w:pStyle w:val="NoSpacing"/>
              <w:rPr>
                <w:lang w:val="en-GB"/>
              </w:rPr>
            </w:pPr>
            <w:r w:rsidRPr="00606257">
              <w:rPr>
                <w:b/>
                <w:bCs/>
                <w:lang w:val="en-GB"/>
              </w:rPr>
              <w:t>Comments and limitations: N/A</w:t>
            </w:r>
          </w:p>
          <w:p w14:paraId="2354377D" w14:textId="77777777" w:rsidR="008C6A6C" w:rsidRPr="00606257" w:rsidRDefault="008C6A6C" w:rsidP="008C6A6C">
            <w:pPr>
              <w:pStyle w:val="NoSpacing"/>
              <w:rPr>
                <w:b/>
                <w:bCs/>
                <w:lang w:val="en-GB"/>
              </w:rPr>
            </w:pPr>
            <w:r w:rsidRPr="00606257">
              <w:rPr>
                <w:b/>
                <w:bCs/>
                <w:lang w:val="en-GB"/>
              </w:rPr>
              <w:t>Computation Method:</w:t>
            </w:r>
          </w:p>
          <w:p w14:paraId="70E185E8" w14:textId="77777777" w:rsidR="008C6A6C" w:rsidRPr="00606257" w:rsidRDefault="008C6A6C" w:rsidP="008C6A6C">
            <w:pPr>
              <w:pStyle w:val="NoSpacing"/>
              <w:rPr>
                <w:bCs/>
                <w:lang w:val="en-GB"/>
              </w:rPr>
            </w:pPr>
            <w:r w:rsidRPr="00606257">
              <w:rPr>
                <w:bCs/>
                <w:lang w:val="en-GB"/>
              </w:rPr>
              <w:t>Companies will be counted towards the indicator if they publish sustainability information covering the following sustainability disclosures:</w:t>
            </w:r>
          </w:p>
          <w:p w14:paraId="16DB0AC6" w14:textId="77777777" w:rsidR="008C6A6C" w:rsidRPr="00606257" w:rsidRDefault="008C6A6C" w:rsidP="008C6A6C">
            <w:pPr>
              <w:pStyle w:val="NoSpacing"/>
              <w:rPr>
                <w:b/>
                <w:bCs/>
                <w:lang w:val="en-GB"/>
              </w:rPr>
            </w:pPr>
          </w:p>
          <w:p w14:paraId="6C38FA36" w14:textId="77777777" w:rsidR="008C6A6C" w:rsidRPr="00606257" w:rsidRDefault="008C6A6C" w:rsidP="008C6A6C">
            <w:pPr>
              <w:pStyle w:val="NoSpacing"/>
              <w:rPr>
                <w:b/>
                <w:lang w:val="en-GB"/>
              </w:rPr>
            </w:pPr>
            <w:r w:rsidRPr="00606257">
              <w:rPr>
                <w:b/>
                <w:lang w:val="en-GB"/>
              </w:rPr>
              <w:t>Minimum Requirement:</w:t>
            </w:r>
          </w:p>
          <w:p w14:paraId="60E3D0DE" w14:textId="77777777" w:rsidR="008C6A6C" w:rsidRPr="00606257" w:rsidRDefault="008C6A6C" w:rsidP="008C6A6C">
            <w:pPr>
              <w:pStyle w:val="NoSpacing"/>
              <w:rPr>
                <w:b/>
                <w:lang w:val="en-GB"/>
              </w:rPr>
            </w:pPr>
            <w:bookmarkStart w:id="19" w:name="_Hlk532393523"/>
            <w:r w:rsidRPr="00606257">
              <w:rPr>
                <w:b/>
                <w:lang w:val="en-GB"/>
              </w:rPr>
              <w:t xml:space="preserve">Institutional and governance: </w:t>
            </w:r>
          </w:p>
          <w:p w14:paraId="1ED0BA2E" w14:textId="77777777" w:rsidR="008C6A6C" w:rsidRPr="00606257" w:rsidRDefault="008C6A6C" w:rsidP="008C6A6C">
            <w:pPr>
              <w:pStyle w:val="NoSpacing"/>
              <w:numPr>
                <w:ilvl w:val="0"/>
                <w:numId w:val="140"/>
              </w:numPr>
              <w:rPr>
                <w:lang w:val="en-GB"/>
              </w:rPr>
            </w:pPr>
            <w:r w:rsidRPr="00606257">
              <w:rPr>
                <w:lang w:val="en-GB"/>
              </w:rPr>
              <w:t xml:space="preserve">Materiality assessment* </w:t>
            </w:r>
          </w:p>
          <w:p w14:paraId="48832EE8" w14:textId="77777777" w:rsidR="008C6A6C" w:rsidRPr="00606257" w:rsidRDefault="008C6A6C" w:rsidP="008C6A6C">
            <w:pPr>
              <w:pStyle w:val="NoSpacing"/>
              <w:numPr>
                <w:ilvl w:val="0"/>
                <w:numId w:val="140"/>
              </w:numPr>
              <w:rPr>
                <w:lang w:val="en-GB"/>
              </w:rPr>
            </w:pPr>
            <w:r w:rsidRPr="00606257">
              <w:rPr>
                <w:lang w:val="en-GB"/>
              </w:rPr>
              <w:t>Sustainability strategy and/or principles related to sustainability</w:t>
            </w:r>
          </w:p>
          <w:p w14:paraId="6BAB5CF6" w14:textId="77777777" w:rsidR="008C6A6C" w:rsidRPr="00606257" w:rsidRDefault="008C6A6C" w:rsidP="008C6A6C">
            <w:pPr>
              <w:pStyle w:val="NoSpacing"/>
              <w:numPr>
                <w:ilvl w:val="0"/>
                <w:numId w:val="140"/>
              </w:numPr>
              <w:rPr>
                <w:lang w:val="en-GB"/>
              </w:rPr>
            </w:pPr>
            <w:r w:rsidRPr="00606257">
              <w:rPr>
                <w:lang w:val="en-GB"/>
              </w:rPr>
              <w:t>Management approach to address materiality topics</w:t>
            </w:r>
          </w:p>
          <w:p w14:paraId="281A2BAD" w14:textId="77777777" w:rsidR="008C6A6C" w:rsidRPr="00606257" w:rsidRDefault="008C6A6C" w:rsidP="008C6A6C">
            <w:pPr>
              <w:pStyle w:val="NoSpacing"/>
              <w:numPr>
                <w:ilvl w:val="0"/>
                <w:numId w:val="140"/>
              </w:numPr>
              <w:rPr>
                <w:lang w:val="en-GB"/>
              </w:rPr>
            </w:pPr>
            <w:r w:rsidRPr="00606257">
              <w:rPr>
                <w:lang w:val="en-GB"/>
              </w:rPr>
              <w:t>Governance structure, including for economic, environmental and social issues</w:t>
            </w:r>
          </w:p>
          <w:p w14:paraId="0F0A4B51" w14:textId="77777777" w:rsidR="008C6A6C" w:rsidRPr="00606257" w:rsidRDefault="008C6A6C" w:rsidP="008C6A6C">
            <w:pPr>
              <w:pStyle w:val="NoSpacing"/>
              <w:numPr>
                <w:ilvl w:val="0"/>
                <w:numId w:val="140"/>
              </w:numPr>
              <w:rPr>
                <w:lang w:val="en-GB"/>
              </w:rPr>
            </w:pPr>
            <w:r w:rsidRPr="00606257">
              <w:rPr>
                <w:lang w:val="en-GB"/>
              </w:rPr>
              <w:t xml:space="preserve">Key impacts, risks, opportunities </w:t>
            </w:r>
          </w:p>
          <w:p w14:paraId="18F81022" w14:textId="77777777" w:rsidR="008C6A6C" w:rsidRPr="00606257" w:rsidRDefault="008C6A6C" w:rsidP="008C6A6C">
            <w:pPr>
              <w:pStyle w:val="NoSpacing"/>
              <w:numPr>
                <w:ilvl w:val="0"/>
                <w:numId w:val="140"/>
              </w:numPr>
              <w:rPr>
                <w:lang w:val="en-GB"/>
              </w:rPr>
            </w:pPr>
            <w:r w:rsidRPr="00606257">
              <w:rPr>
                <w:lang w:val="en-GB"/>
              </w:rPr>
              <w:t>Anti-fraud, anti-corruption and anti-competitive behaviour practices</w:t>
            </w:r>
          </w:p>
          <w:p w14:paraId="7F8FBA8B" w14:textId="77777777" w:rsidR="008C6A6C" w:rsidRPr="00606257" w:rsidRDefault="008C6A6C" w:rsidP="008C6A6C">
            <w:pPr>
              <w:pStyle w:val="NoSpacing"/>
              <w:rPr>
                <w:b/>
                <w:lang w:val="en-GB"/>
              </w:rPr>
            </w:pPr>
          </w:p>
          <w:p w14:paraId="47F470AA" w14:textId="77777777" w:rsidR="008C6A6C" w:rsidRPr="00606257" w:rsidRDefault="008C6A6C" w:rsidP="008C6A6C">
            <w:pPr>
              <w:pStyle w:val="NoSpacing"/>
              <w:rPr>
                <w:b/>
                <w:lang w:val="en-GB"/>
              </w:rPr>
            </w:pPr>
            <w:r w:rsidRPr="00606257">
              <w:rPr>
                <w:b/>
                <w:lang w:val="en-GB"/>
              </w:rPr>
              <w:t>Economic:</w:t>
            </w:r>
          </w:p>
          <w:p w14:paraId="07930181" w14:textId="77777777" w:rsidR="008C6A6C" w:rsidRPr="00606257" w:rsidRDefault="008C6A6C" w:rsidP="008C6A6C">
            <w:pPr>
              <w:pStyle w:val="NoSpacing"/>
              <w:numPr>
                <w:ilvl w:val="0"/>
                <w:numId w:val="140"/>
              </w:numPr>
              <w:rPr>
                <w:lang w:val="en-GB"/>
              </w:rPr>
            </w:pPr>
            <w:r w:rsidRPr="00606257">
              <w:rPr>
                <w:lang w:val="en-GB"/>
              </w:rPr>
              <w:t>Direct measure of economic performance (revenue, net profit, value added, payouts to shareholders)</w:t>
            </w:r>
          </w:p>
          <w:p w14:paraId="2DAD59E0" w14:textId="77777777" w:rsidR="008C6A6C" w:rsidRPr="00606257" w:rsidRDefault="008C6A6C" w:rsidP="008C6A6C">
            <w:pPr>
              <w:pStyle w:val="NoSpacing"/>
              <w:numPr>
                <w:ilvl w:val="0"/>
                <w:numId w:val="140"/>
              </w:numPr>
              <w:rPr>
                <w:lang w:val="en-GB"/>
              </w:rPr>
            </w:pPr>
            <w:r w:rsidRPr="00606257">
              <w:rPr>
                <w:lang w:val="en-GB"/>
              </w:rPr>
              <w:t>Indirect measure of economic performance (community investment, investment in infrastructure or other significant local economic impact)</w:t>
            </w:r>
          </w:p>
          <w:p w14:paraId="6E5DC010" w14:textId="77777777" w:rsidR="008C6A6C" w:rsidRPr="00606257" w:rsidRDefault="008C6A6C" w:rsidP="008C6A6C">
            <w:pPr>
              <w:pStyle w:val="NoSpacing"/>
              <w:rPr>
                <w:b/>
                <w:lang w:val="en-GB"/>
              </w:rPr>
            </w:pPr>
          </w:p>
          <w:p w14:paraId="1D9E0FEA" w14:textId="77777777" w:rsidR="008C6A6C" w:rsidRPr="00606257" w:rsidRDefault="008C6A6C" w:rsidP="008C6A6C">
            <w:pPr>
              <w:pStyle w:val="NoSpacing"/>
              <w:rPr>
                <w:b/>
                <w:lang w:val="en-GB"/>
              </w:rPr>
            </w:pPr>
            <w:r w:rsidRPr="00606257">
              <w:rPr>
                <w:b/>
                <w:lang w:val="en-GB"/>
              </w:rPr>
              <w:t>Environmental:</w:t>
            </w:r>
          </w:p>
          <w:p w14:paraId="53D53F46" w14:textId="77777777" w:rsidR="008C6A6C" w:rsidRPr="00606257" w:rsidRDefault="008C6A6C" w:rsidP="008C6A6C">
            <w:pPr>
              <w:pStyle w:val="NoSpacing"/>
              <w:numPr>
                <w:ilvl w:val="0"/>
                <w:numId w:val="140"/>
              </w:numPr>
              <w:rPr>
                <w:lang w:val="en-GB"/>
              </w:rPr>
            </w:pPr>
            <w:r w:rsidRPr="00606257">
              <w:rPr>
                <w:lang w:val="en-GB"/>
              </w:rPr>
              <w:t>Energy consumption and energy efficiency</w:t>
            </w:r>
          </w:p>
          <w:p w14:paraId="36E95445" w14:textId="77777777" w:rsidR="008C6A6C" w:rsidRPr="00606257" w:rsidRDefault="008C6A6C" w:rsidP="008C6A6C">
            <w:pPr>
              <w:pStyle w:val="NoSpacing"/>
              <w:numPr>
                <w:ilvl w:val="0"/>
                <w:numId w:val="140"/>
              </w:numPr>
              <w:rPr>
                <w:lang w:val="en-GB"/>
              </w:rPr>
            </w:pPr>
            <w:r w:rsidRPr="00606257">
              <w:rPr>
                <w:lang w:val="en-GB"/>
              </w:rPr>
              <w:t>Water consumption, wastewater generation, integrated water resource management practices, or water recycling/re-use and efficiency</w:t>
            </w:r>
          </w:p>
          <w:p w14:paraId="3052ADDD" w14:textId="77777777" w:rsidR="008C6A6C" w:rsidRPr="00606257" w:rsidRDefault="008C6A6C" w:rsidP="008C6A6C">
            <w:pPr>
              <w:pStyle w:val="NoSpacing"/>
              <w:numPr>
                <w:ilvl w:val="0"/>
                <w:numId w:val="140"/>
              </w:numPr>
              <w:rPr>
                <w:lang w:val="en-GB"/>
              </w:rPr>
            </w:pPr>
            <w:r w:rsidRPr="00606257">
              <w:rPr>
                <w:lang w:val="en-GB"/>
              </w:rPr>
              <w:t>Greenhouse gas emissions</w:t>
            </w:r>
          </w:p>
          <w:p w14:paraId="6EE4C61B" w14:textId="77777777" w:rsidR="008C6A6C" w:rsidRPr="00606257" w:rsidRDefault="008C6A6C" w:rsidP="008C6A6C">
            <w:pPr>
              <w:pStyle w:val="NoSpacing"/>
              <w:numPr>
                <w:ilvl w:val="0"/>
                <w:numId w:val="140"/>
              </w:numPr>
              <w:rPr>
                <w:lang w:val="en-GB"/>
              </w:rPr>
            </w:pPr>
            <w:r w:rsidRPr="00606257">
              <w:rPr>
                <w:lang w:val="en-GB"/>
              </w:rPr>
              <w:t>Other emissions and effluents, including Ozone-depleting substances, Nitrogen Oxides (NOX), Sulphur Oxides (SOX), and chemicals</w:t>
            </w:r>
          </w:p>
          <w:p w14:paraId="5990FD4E" w14:textId="77777777" w:rsidR="008C6A6C" w:rsidRPr="00606257" w:rsidRDefault="008C6A6C" w:rsidP="008C6A6C">
            <w:pPr>
              <w:pStyle w:val="NoSpacing"/>
              <w:numPr>
                <w:ilvl w:val="0"/>
                <w:numId w:val="140"/>
              </w:numPr>
              <w:rPr>
                <w:lang w:val="en-GB"/>
              </w:rPr>
            </w:pPr>
            <w:r w:rsidRPr="00606257">
              <w:rPr>
                <w:lang w:val="en-GB"/>
              </w:rPr>
              <w:t>Waste generation, including hazardous wastes</w:t>
            </w:r>
          </w:p>
          <w:p w14:paraId="2A529126" w14:textId="77777777" w:rsidR="008C6A6C" w:rsidRPr="00606257" w:rsidRDefault="008C6A6C" w:rsidP="008C6A6C">
            <w:pPr>
              <w:pStyle w:val="NoSpacing"/>
              <w:numPr>
                <w:ilvl w:val="0"/>
                <w:numId w:val="140"/>
              </w:numPr>
              <w:rPr>
                <w:lang w:val="en-GB"/>
              </w:rPr>
            </w:pPr>
            <w:r w:rsidRPr="00606257">
              <w:rPr>
                <w:lang w:val="en-GB"/>
              </w:rPr>
              <w:t>Waste minimisation and recycling practices</w:t>
            </w:r>
          </w:p>
          <w:p w14:paraId="3C97234A" w14:textId="77777777" w:rsidR="008C6A6C" w:rsidRPr="00606257" w:rsidRDefault="008C6A6C" w:rsidP="008C6A6C">
            <w:pPr>
              <w:pStyle w:val="NoSpacing"/>
              <w:numPr>
                <w:ilvl w:val="0"/>
                <w:numId w:val="140"/>
              </w:numPr>
              <w:rPr>
                <w:lang w:val="en-GB"/>
              </w:rPr>
            </w:pPr>
            <w:r w:rsidRPr="00606257">
              <w:rPr>
                <w:lang w:val="en-GB"/>
              </w:rPr>
              <w:t>Use and/or production of hazardous chemicals and substances</w:t>
            </w:r>
          </w:p>
          <w:p w14:paraId="0D31A879" w14:textId="77777777" w:rsidR="008C6A6C" w:rsidRPr="00606257" w:rsidRDefault="008C6A6C" w:rsidP="008C6A6C">
            <w:pPr>
              <w:pStyle w:val="NoSpacing"/>
              <w:rPr>
                <w:b/>
                <w:lang w:val="en-GB"/>
              </w:rPr>
            </w:pPr>
          </w:p>
          <w:p w14:paraId="4518F496" w14:textId="77777777" w:rsidR="008C6A6C" w:rsidRPr="00606257" w:rsidRDefault="008C6A6C" w:rsidP="008C6A6C">
            <w:pPr>
              <w:pStyle w:val="NoSpacing"/>
              <w:rPr>
                <w:b/>
                <w:lang w:val="en-GB"/>
              </w:rPr>
            </w:pPr>
            <w:r w:rsidRPr="00606257">
              <w:rPr>
                <w:b/>
                <w:lang w:val="en-GB"/>
              </w:rPr>
              <w:t>Social:</w:t>
            </w:r>
          </w:p>
          <w:p w14:paraId="696BF508" w14:textId="77777777" w:rsidR="008C6A6C" w:rsidRPr="00606257" w:rsidRDefault="008C6A6C" w:rsidP="008C6A6C">
            <w:pPr>
              <w:pStyle w:val="NoSpacing"/>
              <w:numPr>
                <w:ilvl w:val="0"/>
                <w:numId w:val="140"/>
              </w:numPr>
              <w:rPr>
                <w:lang w:val="en-GB"/>
              </w:rPr>
            </w:pPr>
            <w:r w:rsidRPr="00606257">
              <w:rPr>
                <w:lang w:val="en-GB"/>
              </w:rPr>
              <w:t>Occupational health and safety</w:t>
            </w:r>
          </w:p>
          <w:p w14:paraId="6DA42C3D" w14:textId="77777777" w:rsidR="008C6A6C" w:rsidRPr="00606257" w:rsidRDefault="008C6A6C" w:rsidP="008C6A6C">
            <w:pPr>
              <w:pStyle w:val="NoSpacing"/>
              <w:numPr>
                <w:ilvl w:val="0"/>
                <w:numId w:val="140"/>
              </w:numPr>
              <w:rPr>
                <w:lang w:val="en-GB"/>
              </w:rPr>
            </w:pPr>
            <w:r w:rsidRPr="00606257">
              <w:rPr>
                <w:lang w:val="en-GB"/>
              </w:rPr>
              <w:t>Total number of employees, by contract type and gender</w:t>
            </w:r>
          </w:p>
          <w:p w14:paraId="4E42156C" w14:textId="77777777" w:rsidR="008C6A6C" w:rsidRPr="00606257" w:rsidRDefault="008C6A6C" w:rsidP="008C6A6C">
            <w:pPr>
              <w:pStyle w:val="NoSpacing"/>
              <w:numPr>
                <w:ilvl w:val="0"/>
                <w:numId w:val="140"/>
              </w:numPr>
              <w:rPr>
                <w:lang w:val="en-GB"/>
              </w:rPr>
            </w:pPr>
            <w:r w:rsidRPr="00606257">
              <w:rPr>
                <w:lang w:val="en-GB"/>
              </w:rPr>
              <w:t xml:space="preserve">Employee training </w:t>
            </w:r>
          </w:p>
          <w:p w14:paraId="583CB46A" w14:textId="77777777" w:rsidR="008C6A6C" w:rsidRPr="00606257" w:rsidRDefault="008C6A6C" w:rsidP="008C6A6C">
            <w:pPr>
              <w:pStyle w:val="NoSpacing"/>
              <w:numPr>
                <w:ilvl w:val="0"/>
                <w:numId w:val="140"/>
              </w:numPr>
              <w:rPr>
                <w:lang w:val="en-GB"/>
              </w:rPr>
            </w:pPr>
            <w:r w:rsidRPr="00606257">
              <w:rPr>
                <w:lang w:val="en-GB"/>
              </w:rPr>
              <w:t>Unfair and illegal labour practices and other human rights considerations</w:t>
            </w:r>
          </w:p>
          <w:p w14:paraId="2BE21ABB" w14:textId="77777777" w:rsidR="008C6A6C" w:rsidRPr="00606257" w:rsidRDefault="008C6A6C" w:rsidP="008C6A6C">
            <w:pPr>
              <w:pStyle w:val="NoSpacing"/>
              <w:numPr>
                <w:ilvl w:val="0"/>
                <w:numId w:val="140"/>
              </w:numPr>
              <w:rPr>
                <w:lang w:val="en-GB"/>
              </w:rPr>
            </w:pPr>
            <w:r w:rsidRPr="00606257">
              <w:rPr>
                <w:lang w:val="en-GB"/>
              </w:rPr>
              <w:t>Diversity, equal opportunity and discrimination in governance bodies and among employees</w:t>
            </w:r>
          </w:p>
          <w:p w14:paraId="1C2831B5" w14:textId="77777777" w:rsidR="008C6A6C" w:rsidRPr="00606257" w:rsidRDefault="008C6A6C" w:rsidP="008C6A6C">
            <w:pPr>
              <w:pStyle w:val="NoSpacing"/>
              <w:numPr>
                <w:ilvl w:val="0"/>
                <w:numId w:val="140"/>
              </w:numPr>
              <w:rPr>
                <w:lang w:val="en-GB"/>
              </w:rPr>
            </w:pPr>
            <w:r w:rsidRPr="00606257">
              <w:rPr>
                <w:lang w:val="en-GB"/>
              </w:rPr>
              <w:t>Worker rights and collective agreements</w:t>
            </w:r>
          </w:p>
          <w:bookmarkEnd w:id="19"/>
          <w:p w14:paraId="4D07A1F4" w14:textId="77777777" w:rsidR="008C6A6C" w:rsidRPr="00606257" w:rsidRDefault="008C6A6C" w:rsidP="008C6A6C">
            <w:pPr>
              <w:pStyle w:val="NoSpacing"/>
              <w:rPr>
                <w:lang w:val="en-GB"/>
              </w:rPr>
            </w:pPr>
          </w:p>
          <w:p w14:paraId="38DCE622" w14:textId="26729EF1" w:rsidR="008C6A6C" w:rsidRPr="00606257" w:rsidRDefault="008C6A6C" w:rsidP="008C6A6C">
            <w:pPr>
              <w:pStyle w:val="NoSpacing"/>
              <w:rPr>
                <w:lang w:val="en-GB"/>
              </w:rPr>
            </w:pPr>
            <w:r w:rsidRPr="00606257">
              <w:rPr>
                <w:lang w:val="en-GB"/>
              </w:rPr>
              <w:t xml:space="preserve">The methodology will make allowance for application of the </w:t>
            </w:r>
            <w:r w:rsidRPr="00606257">
              <w:rPr>
                <w:b/>
                <w:u w:val="single"/>
                <w:lang w:val="en-GB"/>
              </w:rPr>
              <w:t>‘comply or explain’ principle for the minimum standard</w:t>
            </w:r>
            <w:r w:rsidRPr="00606257">
              <w:rPr>
                <w:lang w:val="en-GB"/>
              </w:rPr>
              <w:t>, which allows reporting entities to highlight why certain disclosures are not relevant for their specific company and make it more accessible to small companies. However, this would not apply to issues that have been identified as material to the company, on which they are expected to report.</w:t>
            </w:r>
          </w:p>
          <w:p w14:paraId="0D756DB0" w14:textId="164842A5" w:rsidR="008C6A6C" w:rsidRPr="005D3EC9" w:rsidRDefault="00106BE7" w:rsidP="008C6A6C">
            <w:pPr>
              <w:pStyle w:val="NoSpacing"/>
            </w:pPr>
            <w:r w:rsidRPr="00606257">
              <w:rPr>
                <w:noProof/>
                <w:lang w:bidi="bn-BD"/>
              </w:rPr>
              <w:lastRenderedPageBreak/>
              <mc:AlternateContent>
                <mc:Choice Requires="wps">
                  <w:drawing>
                    <wp:anchor distT="0" distB="0" distL="114300" distR="114300" simplePos="0" relativeHeight="251609600" behindDoc="0" locked="0" layoutInCell="1" allowOverlap="1" wp14:anchorId="214D94DD" wp14:editId="769AFA4C">
                      <wp:simplePos x="0" y="0"/>
                      <wp:positionH relativeFrom="margin">
                        <wp:posOffset>-65405</wp:posOffset>
                      </wp:positionH>
                      <wp:positionV relativeFrom="paragraph">
                        <wp:posOffset>197485</wp:posOffset>
                      </wp:positionV>
                      <wp:extent cx="4507865" cy="4104005"/>
                      <wp:effectExtent l="0" t="0" r="26035" b="10795"/>
                      <wp:wrapSquare wrapText="bothSides"/>
                      <wp:docPr id="4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4104005"/>
                              </a:xfrm>
                              <a:prstGeom prst="rect">
                                <a:avLst/>
                              </a:prstGeom>
                              <a:solidFill>
                                <a:srgbClr val="FFFFFF"/>
                              </a:solidFill>
                              <a:ln w="9525">
                                <a:solidFill>
                                  <a:srgbClr val="000000"/>
                                </a:solidFill>
                                <a:miter lim="800000"/>
                                <a:headEnd/>
                                <a:tailEnd/>
                              </a:ln>
                            </wps:spPr>
                            <wps:txbx>
                              <w:txbxContent>
                                <w:p w14:paraId="6A7BC538" w14:textId="77777777" w:rsidR="00D20077" w:rsidRPr="00606257" w:rsidRDefault="00D20077" w:rsidP="00606257">
                                  <w:pPr>
                                    <w:pStyle w:val="Caption"/>
                                    <w:keepNext/>
                                    <w:spacing w:after="0"/>
                                    <w:rPr>
                                      <w:caps/>
                                      <w:color w:val="595959" w:themeColor="text1" w:themeTint="A6"/>
                                      <w:sz w:val="20"/>
                                    </w:rPr>
                                  </w:pPr>
                                  <w:r w:rsidRPr="00606257">
                                    <w:rPr>
                                      <w:color w:val="595959" w:themeColor="text1" w:themeTint="A6"/>
                                      <w:sz w:val="20"/>
                                    </w:rPr>
                                    <w:t>Advanced level requirement:</w:t>
                                  </w:r>
                                </w:p>
                                <w:p w14:paraId="2949E896" w14:textId="77777777" w:rsidR="00D20077" w:rsidRPr="00606257" w:rsidRDefault="00D20077" w:rsidP="00606257">
                                  <w:pPr>
                                    <w:rPr>
                                      <w:color w:val="595959" w:themeColor="text1" w:themeTint="A6"/>
                                    </w:rPr>
                                  </w:pPr>
                                  <w:r w:rsidRPr="00606257">
                                    <w:rPr>
                                      <w:color w:val="595959" w:themeColor="text1" w:themeTint="A6"/>
                                    </w:rPr>
                                    <w:t xml:space="preserve">As for minimum requirement, with the following additional disclosures and/or indicators: </w:t>
                                  </w:r>
                                </w:p>
                                <w:p w14:paraId="136C83E8" w14:textId="77777777" w:rsidR="00D20077" w:rsidRPr="00606257" w:rsidRDefault="00D20077" w:rsidP="00606257">
                                  <w:pPr>
                                    <w:ind w:left="108"/>
                                    <w:rPr>
                                      <w:b/>
                                      <w:color w:val="595959" w:themeColor="text1" w:themeTint="A6"/>
                                    </w:rPr>
                                  </w:pPr>
                                </w:p>
                                <w:p w14:paraId="450D24B6" w14:textId="77777777" w:rsidR="00D20077" w:rsidRPr="00606257" w:rsidRDefault="00D20077" w:rsidP="00606257">
                                  <w:pPr>
                                    <w:ind w:left="162"/>
                                    <w:rPr>
                                      <w:b/>
                                      <w:color w:val="595959" w:themeColor="text1" w:themeTint="A6"/>
                                    </w:rPr>
                                  </w:pPr>
                                  <w:r w:rsidRPr="00606257">
                                    <w:rPr>
                                      <w:b/>
                                      <w:color w:val="595959" w:themeColor="text1" w:themeTint="A6"/>
                                    </w:rPr>
                                    <w:t xml:space="preserve">Institutional and governance: </w:t>
                                  </w:r>
                                </w:p>
                                <w:p w14:paraId="24463442"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Details of supply chain</w:t>
                                  </w:r>
                                </w:p>
                                <w:p w14:paraId="344F8F29"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Details of stakeholder engagement surrounding sustainability performance</w:t>
                                  </w:r>
                                </w:p>
                                <w:p w14:paraId="6B33E0CC"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Details of remuneration</w:t>
                                  </w:r>
                                </w:p>
                                <w:p w14:paraId="4043E832" w14:textId="77777777" w:rsidR="00D20077" w:rsidRPr="00606257" w:rsidRDefault="00D20077" w:rsidP="00606257">
                                  <w:pPr>
                                    <w:ind w:left="216"/>
                                    <w:rPr>
                                      <w:b/>
                                      <w:color w:val="595959" w:themeColor="text1" w:themeTint="A6"/>
                                    </w:rPr>
                                  </w:pPr>
                                </w:p>
                                <w:p w14:paraId="082FAA32" w14:textId="77777777" w:rsidR="00D20077" w:rsidRPr="00606257" w:rsidRDefault="00D20077" w:rsidP="00606257">
                                  <w:pPr>
                                    <w:ind w:left="216"/>
                                    <w:rPr>
                                      <w:b/>
                                      <w:color w:val="595959" w:themeColor="text1" w:themeTint="A6"/>
                                    </w:rPr>
                                  </w:pPr>
                                  <w:r w:rsidRPr="00606257">
                                    <w:rPr>
                                      <w:b/>
                                      <w:color w:val="595959" w:themeColor="text1" w:themeTint="A6"/>
                                    </w:rPr>
                                    <w:t>Economic</w:t>
                                  </w:r>
                                </w:p>
                                <w:p w14:paraId="27A10673"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Sustainable public procurement policies and practices</w:t>
                                  </w:r>
                                </w:p>
                                <w:p w14:paraId="67812BC9"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Percentage or proportion of local suppliers/procurement</w:t>
                                  </w:r>
                                </w:p>
                                <w:p w14:paraId="6179BF32"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Charitable donations</w:t>
                                  </w:r>
                                </w:p>
                                <w:p w14:paraId="16A8C0B3" w14:textId="77777777" w:rsidR="00D20077" w:rsidRPr="00606257" w:rsidRDefault="00D20077" w:rsidP="00606257">
                                  <w:pPr>
                                    <w:ind w:left="216"/>
                                    <w:rPr>
                                      <w:b/>
                                      <w:color w:val="595959" w:themeColor="text1" w:themeTint="A6"/>
                                    </w:rPr>
                                  </w:pPr>
                                </w:p>
                                <w:p w14:paraId="62F55D34" w14:textId="77777777" w:rsidR="00D20077" w:rsidRPr="00606257" w:rsidRDefault="00D20077" w:rsidP="00606257">
                                  <w:pPr>
                                    <w:ind w:left="216"/>
                                    <w:rPr>
                                      <w:b/>
                                      <w:color w:val="595959" w:themeColor="text1" w:themeTint="A6"/>
                                    </w:rPr>
                                  </w:pPr>
                                  <w:r w:rsidRPr="00606257">
                                    <w:rPr>
                                      <w:b/>
                                      <w:color w:val="595959" w:themeColor="text1" w:themeTint="A6"/>
                                    </w:rPr>
                                    <w:t>Environmental</w:t>
                                  </w:r>
                                </w:p>
                                <w:p w14:paraId="7A058D59"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environmental assessment</w:t>
                                  </w:r>
                                </w:p>
                                <w:p w14:paraId="420C7A08"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Material consumption, sourcing of materials and reclaimed or recycled materials used</w:t>
                                  </w:r>
                                </w:p>
                                <w:p w14:paraId="73B2518E"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Energy intensity and renewable energy sources</w:t>
                                  </w:r>
                                </w:p>
                                <w:p w14:paraId="1AEFADD3"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Water intensity and Integrated water resource management</w:t>
                                  </w:r>
                                </w:p>
                                <w:p w14:paraId="77EC273B"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GHG intensity</w:t>
                                  </w:r>
                                </w:p>
                                <w:p w14:paraId="39A9E963"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Waste intensity</w:t>
                                  </w:r>
                                </w:p>
                                <w:p w14:paraId="466B449F"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Biodiversity impacts</w:t>
                                  </w:r>
                                </w:p>
                                <w:p w14:paraId="1C345072"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and consumer/customer engagement on environmental issues</w:t>
                                  </w:r>
                                </w:p>
                                <w:p w14:paraId="1DFEE03C" w14:textId="77777777" w:rsidR="00D20077" w:rsidRPr="00606257" w:rsidRDefault="00D20077" w:rsidP="00606257">
                                  <w:pPr>
                                    <w:ind w:left="216"/>
                                    <w:rPr>
                                      <w:b/>
                                      <w:color w:val="595959" w:themeColor="text1" w:themeTint="A6"/>
                                    </w:rPr>
                                  </w:pPr>
                                </w:p>
                                <w:p w14:paraId="55ED27D3" w14:textId="77777777" w:rsidR="00D20077" w:rsidRPr="00606257" w:rsidRDefault="00D20077" w:rsidP="00606257">
                                  <w:pPr>
                                    <w:ind w:left="216"/>
                                    <w:rPr>
                                      <w:b/>
                                      <w:color w:val="595959" w:themeColor="text1" w:themeTint="A6"/>
                                    </w:rPr>
                                  </w:pPr>
                                  <w:r w:rsidRPr="00606257">
                                    <w:rPr>
                                      <w:b/>
                                      <w:color w:val="595959" w:themeColor="text1" w:themeTint="A6"/>
                                    </w:rPr>
                                    <w:t>Social</w:t>
                                  </w:r>
                                </w:p>
                                <w:p w14:paraId="061DB52E"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social assessment</w:t>
                                  </w:r>
                                </w:p>
                                <w:p w14:paraId="3CBC4BED"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Local community impacts</w:t>
                                  </w:r>
                                </w:p>
                                <w:p w14:paraId="1EB98F01"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and consumer engagement on sustainability issues</w:t>
                                  </w:r>
                                </w:p>
                                <w:p w14:paraId="4FAFCCEA" w14:textId="77777777" w:rsidR="00D20077" w:rsidRPr="00606257" w:rsidRDefault="00D20077" w:rsidP="00606257">
                                  <w:pPr>
                                    <w:jc w:val="both"/>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4D94DD" id="Text Box 2" o:spid="_x0000_s1029" type="#_x0000_t202" style="position:absolute;margin-left:-5.15pt;margin-top:15.55pt;width:354.95pt;height:323.1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">
                      <v:textbox>
                        <w:txbxContent>
                          <w:p w14:paraId="6A7BC538" w14:textId="77777777" w:rsidR="00D20077" w:rsidRPr="00606257" w:rsidRDefault="00D20077" w:rsidP="00606257">
                            <w:pPr>
                              <w:pStyle w:val="Caption"/>
                              <w:keepNext/>
                              <w:spacing w:after="0"/>
                              <w:rPr>
                                <w:caps/>
                                <w:color w:val="595959" w:themeColor="text1" w:themeTint="A6"/>
                                <w:sz w:val="20"/>
                              </w:rPr>
                            </w:pPr>
                            <w:r w:rsidRPr="00606257">
                              <w:rPr>
                                <w:color w:val="595959" w:themeColor="text1" w:themeTint="A6"/>
                                <w:sz w:val="20"/>
                              </w:rPr>
                              <w:t>Advanced level requirement:</w:t>
                            </w:r>
                          </w:p>
                          <w:p w14:paraId="2949E896" w14:textId="77777777" w:rsidR="00D20077" w:rsidRPr="00606257" w:rsidRDefault="00D20077" w:rsidP="00606257">
                            <w:pPr>
                              <w:rPr>
                                <w:color w:val="595959" w:themeColor="text1" w:themeTint="A6"/>
                              </w:rPr>
                            </w:pPr>
                            <w:r w:rsidRPr="00606257">
                              <w:rPr>
                                <w:color w:val="595959" w:themeColor="text1" w:themeTint="A6"/>
                              </w:rPr>
                              <w:t xml:space="preserve">As for minimum requirement, with the following additional disclosures and/or indicators: </w:t>
                            </w:r>
                          </w:p>
                          <w:p w14:paraId="136C83E8" w14:textId="77777777" w:rsidR="00D20077" w:rsidRPr="00606257" w:rsidRDefault="00D20077" w:rsidP="00606257">
                            <w:pPr>
                              <w:ind w:left="108"/>
                              <w:rPr>
                                <w:b/>
                                <w:color w:val="595959" w:themeColor="text1" w:themeTint="A6"/>
                              </w:rPr>
                            </w:pPr>
                          </w:p>
                          <w:p w14:paraId="450D24B6" w14:textId="77777777" w:rsidR="00D20077" w:rsidRPr="00606257" w:rsidRDefault="00D20077" w:rsidP="00606257">
                            <w:pPr>
                              <w:ind w:left="162"/>
                              <w:rPr>
                                <w:b/>
                                <w:color w:val="595959" w:themeColor="text1" w:themeTint="A6"/>
                              </w:rPr>
                            </w:pPr>
                            <w:r w:rsidRPr="00606257">
                              <w:rPr>
                                <w:b/>
                                <w:color w:val="595959" w:themeColor="text1" w:themeTint="A6"/>
                              </w:rPr>
                              <w:t xml:space="preserve">Institutional and governance: </w:t>
                            </w:r>
                          </w:p>
                          <w:p w14:paraId="24463442"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Details of supply chain</w:t>
                            </w:r>
                          </w:p>
                          <w:p w14:paraId="344F8F29"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Details of stakeholder engagement surrounding sustainability performance</w:t>
                            </w:r>
                          </w:p>
                          <w:p w14:paraId="6B33E0CC"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Details of remuneration</w:t>
                            </w:r>
                          </w:p>
                          <w:p w14:paraId="4043E832" w14:textId="77777777" w:rsidR="00D20077" w:rsidRPr="00606257" w:rsidRDefault="00D20077" w:rsidP="00606257">
                            <w:pPr>
                              <w:ind w:left="216"/>
                              <w:rPr>
                                <w:b/>
                                <w:color w:val="595959" w:themeColor="text1" w:themeTint="A6"/>
                              </w:rPr>
                            </w:pPr>
                          </w:p>
                          <w:p w14:paraId="082FAA32" w14:textId="77777777" w:rsidR="00D20077" w:rsidRPr="00606257" w:rsidRDefault="00D20077" w:rsidP="00606257">
                            <w:pPr>
                              <w:ind w:left="216"/>
                              <w:rPr>
                                <w:b/>
                                <w:color w:val="595959" w:themeColor="text1" w:themeTint="A6"/>
                              </w:rPr>
                            </w:pPr>
                            <w:r w:rsidRPr="00606257">
                              <w:rPr>
                                <w:b/>
                                <w:color w:val="595959" w:themeColor="text1" w:themeTint="A6"/>
                              </w:rPr>
                              <w:t>Economic</w:t>
                            </w:r>
                          </w:p>
                          <w:p w14:paraId="27A10673"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Sustainable public procurement policies and practices</w:t>
                            </w:r>
                          </w:p>
                          <w:p w14:paraId="67812BC9"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Percentage or proportion of local suppliers/procurement</w:t>
                            </w:r>
                          </w:p>
                          <w:p w14:paraId="6179BF32"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Charitable donations</w:t>
                            </w:r>
                          </w:p>
                          <w:p w14:paraId="16A8C0B3" w14:textId="77777777" w:rsidR="00D20077" w:rsidRPr="00606257" w:rsidRDefault="00D20077" w:rsidP="00606257">
                            <w:pPr>
                              <w:ind w:left="216"/>
                              <w:rPr>
                                <w:b/>
                                <w:color w:val="595959" w:themeColor="text1" w:themeTint="A6"/>
                              </w:rPr>
                            </w:pPr>
                          </w:p>
                          <w:p w14:paraId="62F55D34" w14:textId="77777777" w:rsidR="00D20077" w:rsidRPr="00606257" w:rsidRDefault="00D20077" w:rsidP="00606257">
                            <w:pPr>
                              <w:ind w:left="216"/>
                              <w:rPr>
                                <w:b/>
                                <w:color w:val="595959" w:themeColor="text1" w:themeTint="A6"/>
                              </w:rPr>
                            </w:pPr>
                            <w:r w:rsidRPr="00606257">
                              <w:rPr>
                                <w:b/>
                                <w:color w:val="595959" w:themeColor="text1" w:themeTint="A6"/>
                              </w:rPr>
                              <w:t>Environmental</w:t>
                            </w:r>
                          </w:p>
                          <w:p w14:paraId="7A058D59"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environmental assessment</w:t>
                            </w:r>
                          </w:p>
                          <w:p w14:paraId="420C7A08"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Material consumption, sourcing of materials and reclaimed or recycled materials used</w:t>
                            </w:r>
                          </w:p>
                          <w:p w14:paraId="73B2518E"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Energy intensity and renewable energy sources</w:t>
                            </w:r>
                          </w:p>
                          <w:p w14:paraId="1AEFADD3"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Water intensity and Integrated water resource management</w:t>
                            </w:r>
                          </w:p>
                          <w:p w14:paraId="77EC273B"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GHG intensity</w:t>
                            </w:r>
                          </w:p>
                          <w:p w14:paraId="39A9E963"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Waste intensity</w:t>
                            </w:r>
                          </w:p>
                          <w:p w14:paraId="466B449F"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Biodiversity impacts</w:t>
                            </w:r>
                          </w:p>
                          <w:p w14:paraId="1C345072"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and consumer/customer engagement on environmental issues</w:t>
                            </w:r>
                          </w:p>
                          <w:p w14:paraId="1DFEE03C" w14:textId="77777777" w:rsidR="00D20077" w:rsidRPr="00606257" w:rsidRDefault="00D20077" w:rsidP="00606257">
                            <w:pPr>
                              <w:ind w:left="216"/>
                              <w:rPr>
                                <w:b/>
                                <w:color w:val="595959" w:themeColor="text1" w:themeTint="A6"/>
                              </w:rPr>
                            </w:pPr>
                          </w:p>
                          <w:p w14:paraId="55ED27D3" w14:textId="77777777" w:rsidR="00D20077" w:rsidRPr="00606257" w:rsidRDefault="00D20077" w:rsidP="00606257">
                            <w:pPr>
                              <w:ind w:left="216"/>
                              <w:rPr>
                                <w:b/>
                                <w:color w:val="595959" w:themeColor="text1" w:themeTint="A6"/>
                              </w:rPr>
                            </w:pPr>
                            <w:r w:rsidRPr="00606257">
                              <w:rPr>
                                <w:b/>
                                <w:color w:val="595959" w:themeColor="text1" w:themeTint="A6"/>
                              </w:rPr>
                              <w:t>Social</w:t>
                            </w:r>
                          </w:p>
                          <w:p w14:paraId="061DB52E"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social assessment</w:t>
                            </w:r>
                          </w:p>
                          <w:p w14:paraId="3CBC4BED"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Local community impacts</w:t>
                            </w:r>
                          </w:p>
                          <w:p w14:paraId="1EB98F01" w14:textId="77777777" w:rsidR="00D20077" w:rsidRPr="00606257" w:rsidRDefault="00D20077" w:rsidP="00606257">
                            <w:pPr>
                              <w:numPr>
                                <w:ilvl w:val="0"/>
                                <w:numId w:val="141"/>
                              </w:numPr>
                              <w:ind w:left="576"/>
                              <w:jc w:val="both"/>
                              <w:rPr>
                                <w:color w:val="595959" w:themeColor="text1" w:themeTint="A6"/>
                              </w:rPr>
                            </w:pPr>
                            <w:r w:rsidRPr="00606257">
                              <w:rPr>
                                <w:color w:val="595959" w:themeColor="text1" w:themeTint="A6"/>
                              </w:rPr>
                              <w:t>Supplier and consumer engagement on sustainability issues</w:t>
                            </w:r>
                          </w:p>
                          <w:p w14:paraId="4FAFCCEA" w14:textId="77777777" w:rsidR="00D20077" w:rsidRPr="00606257" w:rsidRDefault="00D20077" w:rsidP="00606257">
                            <w:pPr>
                              <w:jc w:val="both"/>
                            </w:pPr>
                          </w:p>
                        </w:txbxContent>
                      </v:textbox>
                      <w10:wrap type="square" anchorx="margin"/>
                    </v:shape>
                  </w:pict>
                </mc:Fallback>
              </mc:AlternateContent>
            </w:r>
          </w:p>
        </w:tc>
        <w:tc>
          <w:tcPr>
            <w:tcW w:w="0" w:type="auto"/>
          </w:tcPr>
          <w:p w14:paraId="6CFDA96A" w14:textId="77777777" w:rsidR="008C6A6C" w:rsidRDefault="008C6A6C" w:rsidP="008C6A6C">
            <w:pPr>
              <w:pStyle w:val="NoSpacing"/>
              <w:rPr>
                <w:lang w:val="en-GB"/>
              </w:rPr>
            </w:pPr>
            <w:r w:rsidRPr="00606257">
              <w:rPr>
                <w:lang w:val="en-GB"/>
              </w:rPr>
              <w:lastRenderedPageBreak/>
              <w:t>The custodian agencies propose to establish a global platform or database which would:</w:t>
            </w:r>
          </w:p>
          <w:p w14:paraId="5A59355A" w14:textId="77777777" w:rsidR="008C6A6C" w:rsidRPr="00606257" w:rsidRDefault="008C6A6C" w:rsidP="008C6A6C">
            <w:pPr>
              <w:pStyle w:val="NoSpacing"/>
              <w:rPr>
                <w:lang w:val="en-GB"/>
              </w:rPr>
            </w:pPr>
            <w:r w:rsidRPr="00606257">
              <w:rPr>
                <w:lang w:val="en-GB"/>
              </w:rPr>
              <w:t xml:space="preserve"> </w:t>
            </w:r>
          </w:p>
          <w:p w14:paraId="2B60A2A0" w14:textId="77777777" w:rsidR="008C6A6C" w:rsidRDefault="008C6A6C" w:rsidP="008C6A6C">
            <w:pPr>
              <w:pStyle w:val="NoSpacing"/>
              <w:rPr>
                <w:lang w:val="en-GB"/>
              </w:rPr>
            </w:pPr>
            <w:r w:rsidRPr="00606257">
              <w:t>Collate</w:t>
            </w:r>
            <w:r w:rsidRPr="00606257">
              <w:rPr>
                <w:lang w:val="en-GB"/>
              </w:rPr>
              <w:t xml:space="preserve"> and analyse sustainability reports through advanced analytics to determine coherence with the minimum requirement and advanced level</w:t>
            </w:r>
          </w:p>
          <w:p w14:paraId="354BA14D" w14:textId="77777777" w:rsidR="008C6A6C" w:rsidRPr="00606257" w:rsidRDefault="008C6A6C" w:rsidP="008C6A6C">
            <w:pPr>
              <w:pStyle w:val="NoSpacing"/>
              <w:rPr>
                <w:lang w:val="en-GB"/>
              </w:rPr>
            </w:pPr>
          </w:p>
          <w:p w14:paraId="3177E442" w14:textId="77777777" w:rsidR="008C6A6C" w:rsidRDefault="008C6A6C" w:rsidP="008C6A6C">
            <w:pPr>
              <w:pStyle w:val="NoSpacing"/>
              <w:rPr>
                <w:lang w:val="en-GB"/>
              </w:rPr>
            </w:pPr>
            <w:r w:rsidRPr="00606257">
              <w:rPr>
                <w:lang w:val="en-GB"/>
              </w:rPr>
              <w:t xml:space="preserve">Provide country specific information </w:t>
            </w:r>
          </w:p>
          <w:p w14:paraId="5F7C9749" w14:textId="77777777" w:rsidR="008C6A6C" w:rsidRPr="00606257" w:rsidRDefault="008C6A6C" w:rsidP="008C6A6C">
            <w:pPr>
              <w:pStyle w:val="NoSpacing"/>
              <w:rPr>
                <w:lang w:val="en-GB"/>
              </w:rPr>
            </w:pPr>
          </w:p>
          <w:p w14:paraId="49C4A728" w14:textId="77777777" w:rsidR="008C6A6C" w:rsidRDefault="008C6A6C" w:rsidP="008C6A6C">
            <w:pPr>
              <w:pStyle w:val="NoSpacing"/>
              <w:rPr>
                <w:lang w:val="en-GB"/>
              </w:rPr>
            </w:pPr>
            <w:r w:rsidRPr="00606257">
              <w:rPr>
                <w:lang w:val="en-GB"/>
              </w:rPr>
              <w:t xml:space="preserve">Aggregate data at sub-regional, regional and global levels </w:t>
            </w:r>
            <w:r w:rsidRPr="00606257">
              <w:rPr>
                <w:lang w:val="en-GB"/>
              </w:rPr>
              <w:lastRenderedPageBreak/>
              <w:t>(avoiding double-counting of the same companies)</w:t>
            </w:r>
          </w:p>
          <w:p w14:paraId="184D88FE" w14:textId="77777777" w:rsidR="008C6A6C" w:rsidRPr="00606257" w:rsidRDefault="008C6A6C" w:rsidP="008C6A6C">
            <w:pPr>
              <w:pStyle w:val="NoSpacing"/>
              <w:rPr>
                <w:lang w:val="en-GB"/>
              </w:rPr>
            </w:pPr>
          </w:p>
          <w:p w14:paraId="718D3B7B" w14:textId="77777777" w:rsidR="008C6A6C" w:rsidRPr="00606257" w:rsidRDefault="008C6A6C" w:rsidP="008C6A6C">
            <w:pPr>
              <w:pStyle w:val="NoSpacing"/>
              <w:rPr>
                <w:lang w:val="en-GB"/>
              </w:rPr>
            </w:pPr>
            <w:r w:rsidRPr="00606257">
              <w:rPr>
                <w:lang w:val="en-GB"/>
              </w:rPr>
              <w:t>Disaggregate data (company size, per industry)</w:t>
            </w:r>
          </w:p>
          <w:p w14:paraId="522FDB43" w14:textId="77777777" w:rsidR="008C6A6C" w:rsidRDefault="008C6A6C" w:rsidP="008C6A6C">
            <w:pPr>
              <w:pStyle w:val="NoSpacing"/>
            </w:pPr>
          </w:p>
        </w:tc>
        <w:tc>
          <w:tcPr>
            <w:tcW w:w="0" w:type="auto"/>
          </w:tcPr>
          <w:p w14:paraId="10FB83AB" w14:textId="77777777" w:rsidR="008C6A6C" w:rsidRDefault="008C6A6C" w:rsidP="008C6A6C">
            <w:pPr>
              <w:pStyle w:val="NoSpacing"/>
            </w:pPr>
            <w:r>
              <w:lastRenderedPageBreak/>
              <w:t>National statistics offices</w:t>
            </w:r>
          </w:p>
        </w:tc>
        <w:tc>
          <w:tcPr>
            <w:tcW w:w="0" w:type="auto"/>
          </w:tcPr>
          <w:p w14:paraId="0991581C" w14:textId="24A781C3" w:rsidR="008C6A6C" w:rsidRPr="00261A09" w:rsidRDefault="008C6A6C" w:rsidP="008C6A6C">
            <w:pPr>
              <w:pStyle w:val="NoSpacing"/>
            </w:pPr>
          </w:p>
        </w:tc>
        <w:tc>
          <w:tcPr>
            <w:tcW w:w="0" w:type="auto"/>
          </w:tcPr>
          <w:p w14:paraId="27EDEE6F" w14:textId="77777777" w:rsidR="008C6A6C" w:rsidRDefault="008C6A6C" w:rsidP="008C6A6C">
            <w:pPr>
              <w:spacing w:line="276" w:lineRule="auto"/>
              <w:jc w:val="center"/>
              <w:rPr>
                <w:rFonts w:eastAsia="Times New Roman" w:cs="Times New Roman"/>
                <w:szCs w:val="20"/>
              </w:rPr>
            </w:pPr>
            <w:r w:rsidRPr="00D32461">
              <w:rPr>
                <w:rFonts w:eastAsia="Times New Roman" w:cs="Times New Roman"/>
                <w:szCs w:val="20"/>
              </w:rPr>
              <w:t>DoE,</w:t>
            </w:r>
            <w:r w:rsidRPr="00261A09">
              <w:rPr>
                <w:rFonts w:eastAsia="Times New Roman" w:cs="Times New Roman"/>
                <w:szCs w:val="20"/>
              </w:rPr>
              <w:t xml:space="preserve"> </w:t>
            </w:r>
            <w:r>
              <w:rPr>
                <w:rFonts w:eastAsia="Times New Roman" w:cs="Times New Roman"/>
                <w:szCs w:val="20"/>
              </w:rPr>
              <w:t>MoEFCC</w:t>
            </w:r>
          </w:p>
          <w:p w14:paraId="6DE0DE01" w14:textId="77777777" w:rsidR="008C6A6C" w:rsidRDefault="008C6A6C" w:rsidP="008C6A6C">
            <w:pPr>
              <w:spacing w:line="276" w:lineRule="auto"/>
              <w:jc w:val="center"/>
              <w:rPr>
                <w:szCs w:val="26"/>
              </w:rPr>
            </w:pPr>
          </w:p>
          <w:p w14:paraId="66B1C9B7" w14:textId="77777777" w:rsidR="008C6A6C" w:rsidRDefault="008C6A6C" w:rsidP="008C6A6C">
            <w:pPr>
              <w:spacing w:line="276" w:lineRule="auto"/>
              <w:jc w:val="center"/>
              <w:rPr>
                <w:szCs w:val="26"/>
              </w:rPr>
            </w:pPr>
          </w:p>
          <w:p w14:paraId="4D946D56" w14:textId="77777777" w:rsidR="008C6A6C" w:rsidRPr="00261A09" w:rsidRDefault="008C6A6C" w:rsidP="008C6A6C">
            <w:pPr>
              <w:spacing w:line="276" w:lineRule="auto"/>
            </w:pPr>
            <w:r w:rsidRPr="000C36C6">
              <w:rPr>
                <w:szCs w:val="26"/>
              </w:rPr>
              <w:t>Administrative Data</w:t>
            </w:r>
          </w:p>
        </w:tc>
        <w:tc>
          <w:tcPr>
            <w:tcW w:w="0" w:type="auto"/>
          </w:tcPr>
          <w:p w14:paraId="52335FBF"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Reporting eligibility: Meet the minimum requirements, Meet the advanced level requirement</w:t>
            </w:r>
          </w:p>
          <w:p w14:paraId="17ED049F"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Company size</w:t>
            </w:r>
          </w:p>
          <w:p w14:paraId="7AD70041" w14:textId="77777777" w:rsidR="008C6A6C" w:rsidRDefault="008C6A6C" w:rsidP="008C6A6C">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Company sector: ISCIC</w:t>
            </w:r>
          </w:p>
          <w:p w14:paraId="2531BC2B" w14:textId="77777777" w:rsidR="008C6A6C" w:rsidRDefault="008C6A6C" w:rsidP="008C6A6C">
            <w:pPr>
              <w:ind w:left="970" w:hanging="970"/>
              <w:jc w:val="both"/>
              <w:rPr>
                <w:color w:val="0070C0"/>
                <w:sz w:val="30"/>
                <w:szCs w:val="30"/>
              </w:rPr>
            </w:pPr>
          </w:p>
        </w:tc>
        <w:tc>
          <w:tcPr>
            <w:tcW w:w="0" w:type="auto"/>
          </w:tcPr>
          <w:p w14:paraId="000C8F86" w14:textId="77777777" w:rsidR="008C6A6C" w:rsidRDefault="008C6A6C" w:rsidP="008C6A6C">
            <w:pPr>
              <w:ind w:left="970" w:hanging="970"/>
              <w:jc w:val="both"/>
              <w:rPr>
                <w:color w:val="0070C0"/>
                <w:sz w:val="30"/>
                <w:szCs w:val="30"/>
              </w:rPr>
            </w:pPr>
            <w:r w:rsidRPr="00BC6F10">
              <w:t>Annual</w:t>
            </w:r>
          </w:p>
        </w:tc>
        <w:tc>
          <w:tcPr>
            <w:tcW w:w="0" w:type="auto"/>
          </w:tcPr>
          <w:p w14:paraId="7CEAA93F" w14:textId="77777777" w:rsidR="008C6A6C" w:rsidRDefault="008C6A6C" w:rsidP="008C6A6C">
            <w:pPr>
              <w:ind w:left="970" w:hanging="970"/>
              <w:jc w:val="both"/>
              <w:rPr>
                <w:color w:val="0070C0"/>
                <w:sz w:val="30"/>
                <w:szCs w:val="30"/>
              </w:rPr>
            </w:pPr>
            <w:r>
              <w:t>Group 2</w:t>
            </w:r>
          </w:p>
        </w:tc>
        <w:tc>
          <w:tcPr>
            <w:tcW w:w="0" w:type="auto"/>
          </w:tcPr>
          <w:p w14:paraId="0B5709D0" w14:textId="77777777" w:rsidR="008C6A6C" w:rsidRDefault="008C6A6C" w:rsidP="008C6A6C">
            <w:pPr>
              <w:pStyle w:val="NoSpacing"/>
            </w:pPr>
            <w:r>
              <w:t>-</w:t>
            </w:r>
          </w:p>
          <w:p w14:paraId="5D586233" w14:textId="77777777" w:rsidR="008C6A6C" w:rsidRDefault="008C6A6C" w:rsidP="008C6A6C">
            <w:pPr>
              <w:pStyle w:val="NoSpacing"/>
            </w:pPr>
          </w:p>
          <w:p w14:paraId="73F5A884" w14:textId="324ED7CD" w:rsidR="0058075D" w:rsidRDefault="008C6A6C" w:rsidP="0058075D">
            <w:pPr>
              <w:pStyle w:val="NoSpacing"/>
            </w:pPr>
            <w:r>
              <w:t>1</w:t>
            </w:r>
            <w:r w:rsidRPr="00013ACB">
              <w:rPr>
                <w:vertAlign w:val="superscript"/>
              </w:rPr>
              <w:t>st</w:t>
            </w:r>
            <w:r>
              <w:t xml:space="preserve"> Round:</w:t>
            </w:r>
            <w:r w:rsidR="0058075D">
              <w:t xml:space="preserve"> December, 2020</w:t>
            </w:r>
          </w:p>
          <w:p w14:paraId="22BC281A" w14:textId="77777777" w:rsidR="008C6A6C" w:rsidRDefault="008C6A6C" w:rsidP="008C6A6C">
            <w:pPr>
              <w:pStyle w:val="NoSpacing"/>
            </w:pPr>
          </w:p>
          <w:p w14:paraId="275B44AA" w14:textId="77777777" w:rsidR="008C6A6C" w:rsidRDefault="008C6A6C" w:rsidP="008C6A6C">
            <w:pPr>
              <w:pStyle w:val="NoSpacing"/>
            </w:pPr>
          </w:p>
          <w:p w14:paraId="7365F1B7" w14:textId="53BF89DC" w:rsidR="008C6A6C" w:rsidRDefault="008C6A6C" w:rsidP="008C6A6C">
            <w:pPr>
              <w:pStyle w:val="NoSpacing"/>
            </w:pPr>
            <w:r>
              <w:t>2</w:t>
            </w:r>
            <w:r w:rsidRPr="00013ACB">
              <w:rPr>
                <w:vertAlign w:val="superscript"/>
              </w:rPr>
              <w:t>nd</w:t>
            </w:r>
            <w:r>
              <w:t xml:space="preserve"> Round:</w:t>
            </w:r>
            <w:r w:rsidR="0058075D">
              <w:t xml:space="preserve"> December, 2021</w:t>
            </w:r>
          </w:p>
          <w:p w14:paraId="28F6F005" w14:textId="77777777" w:rsidR="008C6A6C" w:rsidRDefault="008C6A6C" w:rsidP="008C6A6C">
            <w:pPr>
              <w:pStyle w:val="NoSpacing"/>
            </w:pPr>
            <w:r>
              <w:t xml:space="preserve"> </w:t>
            </w:r>
          </w:p>
          <w:p w14:paraId="2462B115" w14:textId="63DCF65E" w:rsidR="008C6A6C" w:rsidRDefault="008C6A6C" w:rsidP="008C6A6C">
            <w:pPr>
              <w:pStyle w:val="NoSpacing"/>
            </w:pPr>
            <w:r>
              <w:t>3</w:t>
            </w:r>
            <w:r w:rsidRPr="00013ACB">
              <w:rPr>
                <w:vertAlign w:val="superscript"/>
              </w:rPr>
              <w:t>rd</w:t>
            </w:r>
            <w:r>
              <w:t xml:space="preserve"> Round: </w:t>
            </w:r>
            <w:r w:rsidR="0058075D">
              <w:t>December, 2022</w:t>
            </w:r>
          </w:p>
          <w:p w14:paraId="79302E1E" w14:textId="77777777" w:rsidR="008C6A6C" w:rsidRDefault="008C6A6C" w:rsidP="008C6A6C">
            <w:pPr>
              <w:pStyle w:val="NoSpacing"/>
            </w:pPr>
          </w:p>
          <w:p w14:paraId="48663DA4" w14:textId="2408CFA0" w:rsidR="008C6A6C" w:rsidRDefault="008C6A6C" w:rsidP="008C6A6C">
            <w:pPr>
              <w:pStyle w:val="NoSpacing"/>
            </w:pPr>
            <w:r>
              <w:t>4</w:t>
            </w:r>
            <w:r w:rsidRPr="00013ACB">
              <w:rPr>
                <w:vertAlign w:val="superscript"/>
              </w:rPr>
              <w:t>th</w:t>
            </w:r>
            <w:r>
              <w:t xml:space="preserve"> Round: </w:t>
            </w:r>
            <w:r w:rsidR="0058075D">
              <w:t>December, 2023</w:t>
            </w:r>
          </w:p>
          <w:p w14:paraId="1557A974" w14:textId="77777777" w:rsidR="008C6A6C" w:rsidRDefault="008C6A6C" w:rsidP="008C6A6C">
            <w:pPr>
              <w:pStyle w:val="NoSpacing"/>
            </w:pPr>
          </w:p>
          <w:p w14:paraId="5F0C77B1" w14:textId="7611F55A" w:rsidR="008C6A6C" w:rsidRDefault="008C6A6C" w:rsidP="008C6A6C">
            <w:pPr>
              <w:pStyle w:val="NoSpacing"/>
            </w:pPr>
            <w:r>
              <w:t>5</w:t>
            </w:r>
            <w:r w:rsidRPr="00013ACB">
              <w:rPr>
                <w:vertAlign w:val="superscript"/>
              </w:rPr>
              <w:t>th</w:t>
            </w:r>
            <w:r>
              <w:t xml:space="preserve"> Round: </w:t>
            </w:r>
            <w:r w:rsidR="0058075D">
              <w:t>December, 2024</w:t>
            </w:r>
          </w:p>
          <w:p w14:paraId="516BBE1D" w14:textId="4929D65A" w:rsidR="008C6A6C" w:rsidRDefault="008C6A6C" w:rsidP="008C6A6C">
            <w:pPr>
              <w:pStyle w:val="NoSpacing"/>
            </w:pPr>
          </w:p>
        </w:tc>
        <w:tc>
          <w:tcPr>
            <w:tcW w:w="0" w:type="auto"/>
          </w:tcPr>
          <w:p w14:paraId="2D693920" w14:textId="77777777" w:rsidR="008C6A6C" w:rsidRDefault="008C6A6C" w:rsidP="008C6A6C">
            <w:pPr>
              <w:pStyle w:val="NoSpacing"/>
            </w:pPr>
            <w:r>
              <w:t>Reviewed at Sep. 2019 WebEx meeting</w:t>
            </w:r>
          </w:p>
          <w:p w14:paraId="38C14B41" w14:textId="77777777" w:rsidR="008C6A6C" w:rsidRDefault="008C6A6C" w:rsidP="008C6A6C">
            <w:pPr>
              <w:pStyle w:val="NoSpacing"/>
            </w:pPr>
            <w:r>
              <w:t>(classified as Tier II)</w:t>
            </w:r>
          </w:p>
        </w:tc>
      </w:tr>
      <w:tr w:rsidR="008C6A6C" w14:paraId="326A42F2" w14:textId="77777777" w:rsidTr="00A64F0D">
        <w:tc>
          <w:tcPr>
            <w:tcW w:w="0" w:type="auto"/>
          </w:tcPr>
          <w:p w14:paraId="05617782" w14:textId="77777777" w:rsidR="008C6A6C" w:rsidRDefault="008C6A6C" w:rsidP="008C6A6C">
            <w:pPr>
              <w:ind w:left="970" w:hanging="970"/>
              <w:jc w:val="both"/>
              <w:rPr>
                <w:color w:val="0070C0"/>
                <w:sz w:val="30"/>
                <w:szCs w:val="30"/>
              </w:rPr>
            </w:pPr>
          </w:p>
        </w:tc>
        <w:tc>
          <w:tcPr>
            <w:tcW w:w="0" w:type="auto"/>
            <w:gridSpan w:val="12"/>
          </w:tcPr>
          <w:p w14:paraId="07325EC4" w14:textId="77777777" w:rsidR="008C6A6C" w:rsidRDefault="008C6A6C" w:rsidP="008C6A6C">
            <w:pPr>
              <w:jc w:val="both"/>
              <w:rPr>
                <w:color w:val="0070C0"/>
                <w:sz w:val="48"/>
                <w:szCs w:val="48"/>
              </w:rPr>
            </w:pPr>
            <w:r>
              <w:rPr>
                <w:color w:val="0070C0"/>
                <w:sz w:val="30"/>
                <w:szCs w:val="30"/>
              </w:rPr>
              <w:t xml:space="preserve">Target </w:t>
            </w:r>
            <w:r w:rsidRPr="00C97C3C">
              <w:rPr>
                <w:color w:val="0070C0"/>
                <w:sz w:val="30"/>
                <w:szCs w:val="30"/>
              </w:rPr>
              <w:t>12.7 Promote public procurement practices that are sustainable, in accordance with national policies and priorities</w:t>
            </w:r>
          </w:p>
        </w:tc>
      </w:tr>
      <w:tr w:rsidR="008C6A6C" w14:paraId="1AD0FCA1" w14:textId="77777777" w:rsidTr="00A64F0D">
        <w:tc>
          <w:tcPr>
            <w:tcW w:w="0" w:type="auto"/>
          </w:tcPr>
          <w:p w14:paraId="31970B2B" w14:textId="77777777" w:rsidR="008C6A6C" w:rsidRDefault="008C6A6C" w:rsidP="008C6A6C">
            <w:pPr>
              <w:pStyle w:val="NoSpacing"/>
            </w:pPr>
            <w:r w:rsidRPr="00360230">
              <w:t>12.7.1 Number of countries implementin</w:t>
            </w:r>
            <w:r w:rsidRPr="00360230">
              <w:lastRenderedPageBreak/>
              <w:t>g sustainable public procurement policies and action plans</w:t>
            </w:r>
          </w:p>
        </w:tc>
        <w:tc>
          <w:tcPr>
            <w:tcW w:w="0" w:type="auto"/>
          </w:tcPr>
          <w:p w14:paraId="0A942E84" w14:textId="77777777" w:rsidR="008C6A6C" w:rsidRDefault="008C6A6C" w:rsidP="008C6A6C">
            <w:pPr>
              <w:rPr>
                <w:b/>
                <w:bCs/>
                <w:szCs w:val="20"/>
              </w:rPr>
            </w:pPr>
            <w:r w:rsidRPr="004559CB">
              <w:rPr>
                <w:b/>
                <w:bCs/>
                <w:szCs w:val="20"/>
              </w:rPr>
              <w:lastRenderedPageBreak/>
              <w:t>UNEP</w:t>
            </w:r>
          </w:p>
          <w:p w14:paraId="71C932C6" w14:textId="77777777" w:rsidR="008C6A6C" w:rsidRDefault="008C6A6C" w:rsidP="008C6A6C">
            <w:pPr>
              <w:ind w:left="970" w:hanging="970"/>
              <w:jc w:val="both"/>
              <w:rPr>
                <w:color w:val="0070C0"/>
                <w:sz w:val="30"/>
                <w:szCs w:val="30"/>
              </w:rPr>
            </w:pPr>
          </w:p>
        </w:tc>
        <w:tc>
          <w:tcPr>
            <w:tcW w:w="0" w:type="auto"/>
          </w:tcPr>
          <w:p w14:paraId="4EADD84E" w14:textId="77777777" w:rsidR="008C6A6C" w:rsidRDefault="008C6A6C" w:rsidP="008C6A6C">
            <w:pPr>
              <w:ind w:left="970" w:hanging="970"/>
              <w:jc w:val="both"/>
              <w:rPr>
                <w:color w:val="0070C0"/>
                <w:sz w:val="30"/>
                <w:szCs w:val="30"/>
              </w:rPr>
            </w:pPr>
            <w:r w:rsidRPr="00666BAB">
              <w:t>Tier II</w:t>
            </w:r>
          </w:p>
        </w:tc>
        <w:tc>
          <w:tcPr>
            <w:tcW w:w="0" w:type="auto"/>
          </w:tcPr>
          <w:p w14:paraId="7E500445" w14:textId="77777777" w:rsidR="008C6A6C" w:rsidRPr="0028094D" w:rsidRDefault="008C6A6C" w:rsidP="008C6A6C">
            <w:pPr>
              <w:shd w:val="clear" w:color="auto" w:fill="FFFFFF"/>
              <w:ind w:left="-75"/>
              <w:rPr>
                <w:rFonts w:ascii="Arial" w:eastAsia="Times New Roman" w:hAnsi="Arial" w:cs="Arial"/>
                <w:color w:val="4A4A4A"/>
                <w:sz w:val="21"/>
                <w:szCs w:val="21"/>
              </w:rPr>
            </w:pPr>
            <w:r>
              <w:t>-</w:t>
            </w:r>
            <w:r>
              <w:rPr>
                <w:rFonts w:ascii="Arial" w:hAnsi="Arial" w:cs="Arial"/>
                <w:color w:val="4A4A4A"/>
                <w:sz w:val="18"/>
                <w:szCs w:val="18"/>
              </w:rPr>
              <w:t xml:space="preserve"> </w:t>
            </w:r>
            <w:r w:rsidRPr="0028094D">
              <w:rPr>
                <w:rFonts w:ascii="Arial" w:eastAsia="Times New Roman" w:hAnsi="Arial" w:cs="Arial"/>
                <w:i/>
                <w:iCs/>
                <w:color w:val="4A4A4A"/>
                <w:sz w:val="18"/>
                <w:szCs w:val="18"/>
              </w:rPr>
              <w:t>No data for this indicator is currently available and its methodology is still under development</w:t>
            </w:r>
          </w:p>
          <w:p w14:paraId="5EC0C666" w14:textId="77777777" w:rsidR="008C6A6C" w:rsidRPr="0075221B" w:rsidRDefault="008C6A6C" w:rsidP="008C6A6C">
            <w:pPr>
              <w:pStyle w:val="NoSpacing"/>
            </w:pPr>
          </w:p>
        </w:tc>
        <w:tc>
          <w:tcPr>
            <w:tcW w:w="0" w:type="auto"/>
          </w:tcPr>
          <w:p w14:paraId="2488104C" w14:textId="77777777" w:rsidR="008C6A6C" w:rsidRDefault="008C6A6C" w:rsidP="008C6A6C">
            <w:pPr>
              <w:pStyle w:val="NoSpacing"/>
            </w:pPr>
            <w:r>
              <w:t>-</w:t>
            </w:r>
          </w:p>
        </w:tc>
        <w:tc>
          <w:tcPr>
            <w:tcW w:w="0" w:type="auto"/>
          </w:tcPr>
          <w:p w14:paraId="12E5F3E7" w14:textId="77777777" w:rsidR="008C6A6C" w:rsidRDefault="008C6A6C" w:rsidP="008C6A6C">
            <w:pPr>
              <w:pStyle w:val="NoSpacing"/>
            </w:pPr>
            <w:r>
              <w:t>-</w:t>
            </w:r>
          </w:p>
        </w:tc>
        <w:tc>
          <w:tcPr>
            <w:tcW w:w="0" w:type="auto"/>
          </w:tcPr>
          <w:p w14:paraId="044F81B5" w14:textId="60E6F576" w:rsidR="008C6A6C" w:rsidRPr="00BC6F10" w:rsidRDefault="008C6A6C" w:rsidP="008C6A6C">
            <w:pPr>
              <w:spacing w:line="276" w:lineRule="auto"/>
              <w:jc w:val="center"/>
            </w:pPr>
          </w:p>
        </w:tc>
        <w:tc>
          <w:tcPr>
            <w:tcW w:w="0" w:type="auto"/>
          </w:tcPr>
          <w:p w14:paraId="792FADC1" w14:textId="77777777" w:rsidR="008C6A6C" w:rsidRDefault="008C6A6C" w:rsidP="008C6A6C">
            <w:pPr>
              <w:spacing w:line="276" w:lineRule="auto"/>
              <w:jc w:val="center"/>
              <w:rPr>
                <w:rFonts w:eastAsia="Times New Roman" w:cs="Times New Roman"/>
                <w:color w:val="000000" w:themeColor="text1"/>
                <w:szCs w:val="20"/>
              </w:rPr>
            </w:pPr>
            <w:r w:rsidRPr="00BC6F10">
              <w:rPr>
                <w:rFonts w:eastAsia="Times New Roman" w:cs="Times New Roman"/>
                <w:color w:val="000000" w:themeColor="text1"/>
                <w:szCs w:val="20"/>
              </w:rPr>
              <w:t>CPTU, IMED</w:t>
            </w:r>
          </w:p>
          <w:p w14:paraId="3529BD60" w14:textId="77777777" w:rsidR="008C6A6C" w:rsidRDefault="008C6A6C" w:rsidP="008C6A6C">
            <w:pPr>
              <w:spacing w:line="276" w:lineRule="auto"/>
              <w:jc w:val="center"/>
              <w:rPr>
                <w:szCs w:val="26"/>
              </w:rPr>
            </w:pPr>
          </w:p>
          <w:p w14:paraId="1D52D3E2" w14:textId="77777777" w:rsidR="008C6A6C" w:rsidRPr="00BC6F10" w:rsidRDefault="008C6A6C" w:rsidP="008C6A6C">
            <w:pPr>
              <w:spacing w:line="276" w:lineRule="auto"/>
              <w:jc w:val="center"/>
            </w:pPr>
            <w:r w:rsidRPr="000C36C6">
              <w:rPr>
                <w:szCs w:val="26"/>
              </w:rPr>
              <w:t>Administrative Data</w:t>
            </w:r>
          </w:p>
        </w:tc>
        <w:tc>
          <w:tcPr>
            <w:tcW w:w="0" w:type="auto"/>
          </w:tcPr>
          <w:p w14:paraId="0D974DEF" w14:textId="77777777" w:rsidR="008C6A6C" w:rsidRDefault="008C6A6C" w:rsidP="008C6A6C">
            <w:pPr>
              <w:pStyle w:val="NoSpacing"/>
            </w:pPr>
            <w:r>
              <w:t>-</w:t>
            </w:r>
          </w:p>
        </w:tc>
        <w:tc>
          <w:tcPr>
            <w:tcW w:w="0" w:type="auto"/>
          </w:tcPr>
          <w:p w14:paraId="00959295" w14:textId="77777777" w:rsidR="008C6A6C" w:rsidRDefault="008C6A6C" w:rsidP="008C6A6C">
            <w:pPr>
              <w:ind w:left="970" w:hanging="970"/>
              <w:jc w:val="both"/>
              <w:rPr>
                <w:color w:val="0070C0"/>
                <w:sz w:val="30"/>
                <w:szCs w:val="30"/>
              </w:rPr>
            </w:pPr>
            <w:r w:rsidRPr="00BC6F10">
              <w:t>Annual</w:t>
            </w:r>
          </w:p>
        </w:tc>
        <w:tc>
          <w:tcPr>
            <w:tcW w:w="0" w:type="auto"/>
          </w:tcPr>
          <w:p w14:paraId="05251FEB" w14:textId="77777777" w:rsidR="008C6A6C" w:rsidRDefault="008C6A6C" w:rsidP="008C6A6C">
            <w:pPr>
              <w:ind w:left="970" w:hanging="970"/>
              <w:jc w:val="both"/>
              <w:rPr>
                <w:color w:val="0070C0"/>
                <w:sz w:val="30"/>
                <w:szCs w:val="30"/>
              </w:rPr>
            </w:pPr>
            <w:r>
              <w:t>Group 2</w:t>
            </w:r>
          </w:p>
        </w:tc>
        <w:tc>
          <w:tcPr>
            <w:tcW w:w="0" w:type="auto"/>
          </w:tcPr>
          <w:p w14:paraId="724F5731" w14:textId="4701511D" w:rsidR="008C6A6C" w:rsidRDefault="008C6A6C" w:rsidP="008C6A6C">
            <w:pPr>
              <w:pStyle w:val="NoSpacing"/>
            </w:pPr>
            <w:r>
              <w:t>-</w:t>
            </w:r>
            <w:r>
              <w:br/>
            </w:r>
          </w:p>
          <w:p w14:paraId="68D0D8ED" w14:textId="77777777" w:rsidR="008C6A6C" w:rsidRDefault="008C6A6C" w:rsidP="008C6A6C">
            <w:pPr>
              <w:pStyle w:val="NoSpacing"/>
            </w:pPr>
          </w:p>
          <w:p w14:paraId="2F1EEC1E" w14:textId="0EC79D9E" w:rsidR="008C6A6C" w:rsidRDefault="008C6A6C" w:rsidP="008C6A6C">
            <w:pPr>
              <w:pStyle w:val="NoSpacing"/>
            </w:pPr>
            <w:r>
              <w:t>1</w:t>
            </w:r>
            <w:r w:rsidRPr="00013ACB">
              <w:rPr>
                <w:vertAlign w:val="superscript"/>
              </w:rPr>
              <w:t>st</w:t>
            </w:r>
            <w:r>
              <w:t xml:space="preserve"> </w:t>
            </w:r>
            <w:r>
              <w:lastRenderedPageBreak/>
              <w:t>Round:</w:t>
            </w:r>
            <w:r w:rsidR="00512471">
              <w:t xml:space="preserve"> December, 2020</w:t>
            </w:r>
          </w:p>
          <w:p w14:paraId="50550394" w14:textId="77777777" w:rsidR="008C6A6C" w:rsidRDefault="008C6A6C" w:rsidP="008C6A6C">
            <w:pPr>
              <w:pStyle w:val="NoSpacing"/>
            </w:pPr>
          </w:p>
          <w:p w14:paraId="687725F2" w14:textId="52EC585E" w:rsidR="008C6A6C" w:rsidRDefault="008C6A6C" w:rsidP="008C6A6C">
            <w:pPr>
              <w:pStyle w:val="NoSpacing"/>
            </w:pPr>
            <w:r>
              <w:t>2</w:t>
            </w:r>
            <w:r w:rsidRPr="00013ACB">
              <w:rPr>
                <w:vertAlign w:val="superscript"/>
              </w:rPr>
              <w:t>nd</w:t>
            </w:r>
            <w:r>
              <w:t xml:space="preserve"> Round:</w:t>
            </w:r>
            <w:r w:rsidR="00512471">
              <w:t xml:space="preserve"> December, 2021</w:t>
            </w:r>
          </w:p>
          <w:p w14:paraId="3DF7A54F" w14:textId="77777777" w:rsidR="008C6A6C" w:rsidRDefault="008C6A6C" w:rsidP="008C6A6C">
            <w:pPr>
              <w:pStyle w:val="NoSpacing"/>
            </w:pPr>
            <w:r>
              <w:t xml:space="preserve"> </w:t>
            </w:r>
          </w:p>
          <w:p w14:paraId="608D8CDB" w14:textId="7E511F91" w:rsidR="008C6A6C" w:rsidRDefault="008C6A6C" w:rsidP="008C6A6C">
            <w:pPr>
              <w:pStyle w:val="NoSpacing"/>
            </w:pPr>
            <w:r>
              <w:t>3</w:t>
            </w:r>
            <w:r w:rsidRPr="00013ACB">
              <w:rPr>
                <w:vertAlign w:val="superscript"/>
              </w:rPr>
              <w:t>rd</w:t>
            </w:r>
            <w:r>
              <w:t xml:space="preserve"> Round: </w:t>
            </w:r>
            <w:r w:rsidR="00512471">
              <w:t>December, 2022</w:t>
            </w:r>
          </w:p>
          <w:p w14:paraId="3161A080" w14:textId="77777777" w:rsidR="008C6A6C" w:rsidRDefault="008C6A6C" w:rsidP="008C6A6C">
            <w:pPr>
              <w:pStyle w:val="NoSpacing"/>
            </w:pPr>
          </w:p>
          <w:p w14:paraId="09571A68" w14:textId="2D712E96" w:rsidR="008C6A6C" w:rsidRDefault="008C6A6C" w:rsidP="008C6A6C">
            <w:pPr>
              <w:pStyle w:val="NoSpacing"/>
            </w:pPr>
            <w:r>
              <w:t>4</w:t>
            </w:r>
            <w:r w:rsidRPr="00013ACB">
              <w:rPr>
                <w:vertAlign w:val="superscript"/>
              </w:rPr>
              <w:t>th</w:t>
            </w:r>
            <w:r>
              <w:t xml:space="preserve"> Round: </w:t>
            </w:r>
            <w:r w:rsidR="00512471">
              <w:t>December, 2023</w:t>
            </w:r>
          </w:p>
          <w:p w14:paraId="6D9CBB54" w14:textId="77777777" w:rsidR="008C6A6C" w:rsidRDefault="008C6A6C" w:rsidP="008C6A6C">
            <w:pPr>
              <w:pStyle w:val="NoSpacing"/>
            </w:pPr>
          </w:p>
          <w:p w14:paraId="30CB8485" w14:textId="0FBBA983" w:rsidR="008C6A6C" w:rsidRDefault="008C6A6C" w:rsidP="008C6A6C">
            <w:pPr>
              <w:pStyle w:val="NoSpacing"/>
            </w:pPr>
            <w:r>
              <w:t>5</w:t>
            </w:r>
            <w:r w:rsidRPr="00013ACB">
              <w:rPr>
                <w:vertAlign w:val="superscript"/>
              </w:rPr>
              <w:t>th</w:t>
            </w:r>
            <w:r>
              <w:t xml:space="preserve"> Round: </w:t>
            </w:r>
            <w:r w:rsidR="00512471">
              <w:t>December, 2024</w:t>
            </w:r>
          </w:p>
          <w:p w14:paraId="7C464047" w14:textId="1763A309" w:rsidR="008C6A6C" w:rsidRDefault="008C6A6C" w:rsidP="008C6A6C">
            <w:pPr>
              <w:pStyle w:val="NoSpacing"/>
            </w:pPr>
          </w:p>
        </w:tc>
        <w:tc>
          <w:tcPr>
            <w:tcW w:w="0" w:type="auto"/>
          </w:tcPr>
          <w:p w14:paraId="2E1CDB30" w14:textId="77777777" w:rsidR="008C6A6C" w:rsidRDefault="008C6A6C" w:rsidP="008C6A6C">
            <w:pPr>
              <w:pStyle w:val="NoSpacing"/>
            </w:pPr>
            <w:r>
              <w:lastRenderedPageBreak/>
              <w:t>Reviewed at Feb. 2020 WebEx meeting</w:t>
            </w:r>
          </w:p>
          <w:p w14:paraId="2411908A" w14:textId="77777777" w:rsidR="008C6A6C" w:rsidRDefault="008C6A6C" w:rsidP="008C6A6C">
            <w:pPr>
              <w:pStyle w:val="NoSpacing"/>
            </w:pPr>
            <w:r>
              <w:lastRenderedPageBreak/>
              <w:t>(classified as Tier II with a revised list of sub-indicators)</w:t>
            </w:r>
          </w:p>
          <w:p w14:paraId="50E2B847" w14:textId="77777777" w:rsidR="008C6A6C" w:rsidRDefault="008C6A6C" w:rsidP="008C6A6C">
            <w:pPr>
              <w:pStyle w:val="NoSpacing"/>
            </w:pPr>
          </w:p>
          <w:p w14:paraId="24C453D6" w14:textId="64724AB6" w:rsidR="008C6A6C" w:rsidRDefault="008C6A6C" w:rsidP="008C6A6C">
            <w:pPr>
              <w:pStyle w:val="NoSpacing"/>
            </w:pPr>
            <w:r>
              <w:t xml:space="preserve">Reviewed at Nov./Dec. 2019 WebEx meeting: IAEG to work with UNEP on suggestions for simplifying methodology (classified as </w:t>
            </w:r>
            <w:r w:rsidR="006B621F">
              <w:t>TBD</w:t>
            </w:r>
            <w:r>
              <w:t>)</w:t>
            </w:r>
          </w:p>
        </w:tc>
      </w:tr>
      <w:tr w:rsidR="008C6A6C" w14:paraId="393E351A" w14:textId="77777777" w:rsidTr="00A64F0D">
        <w:tc>
          <w:tcPr>
            <w:tcW w:w="0" w:type="auto"/>
          </w:tcPr>
          <w:p w14:paraId="5E7875B1" w14:textId="77777777" w:rsidR="008C6A6C" w:rsidRDefault="008C6A6C" w:rsidP="008C6A6C">
            <w:pPr>
              <w:ind w:left="970" w:hanging="970"/>
              <w:jc w:val="both"/>
              <w:rPr>
                <w:color w:val="0070C0"/>
                <w:sz w:val="30"/>
                <w:szCs w:val="30"/>
              </w:rPr>
            </w:pPr>
          </w:p>
        </w:tc>
        <w:tc>
          <w:tcPr>
            <w:tcW w:w="0" w:type="auto"/>
            <w:gridSpan w:val="12"/>
          </w:tcPr>
          <w:p w14:paraId="4E47F2E6" w14:textId="77777777" w:rsidR="008C6A6C" w:rsidRDefault="008C6A6C" w:rsidP="008C6A6C">
            <w:pPr>
              <w:jc w:val="both"/>
              <w:rPr>
                <w:color w:val="0070C0"/>
                <w:sz w:val="48"/>
                <w:szCs w:val="48"/>
              </w:rPr>
            </w:pPr>
            <w:r>
              <w:rPr>
                <w:color w:val="0070C0"/>
                <w:sz w:val="30"/>
                <w:szCs w:val="30"/>
              </w:rPr>
              <w:t xml:space="preserve">Target </w:t>
            </w:r>
            <w:r w:rsidRPr="00C97C3C">
              <w:rPr>
                <w:color w:val="0070C0"/>
                <w:sz w:val="30"/>
                <w:szCs w:val="30"/>
              </w:rPr>
              <w:t>12.8 By 2030, ensure that people everywhere have the relevant information and awareness for sustainable development and lifestyles in harmony with nature</w:t>
            </w:r>
          </w:p>
        </w:tc>
      </w:tr>
      <w:tr w:rsidR="008C6A6C" w14:paraId="388B16C2" w14:textId="77777777" w:rsidTr="00A64F0D">
        <w:tc>
          <w:tcPr>
            <w:tcW w:w="0" w:type="auto"/>
          </w:tcPr>
          <w:p w14:paraId="2287EE3B" w14:textId="77777777" w:rsidR="008C6A6C" w:rsidRDefault="008C6A6C" w:rsidP="008C6A6C">
            <w:pPr>
              <w:pStyle w:val="NoSpacing"/>
            </w:pPr>
            <w:r w:rsidRPr="00360230">
              <w:t xml:space="preserve">12.8.1 Extent to which (i) global citizenship education and (ii) education for sustainable development are </w:t>
            </w:r>
            <w:r w:rsidRPr="00360230">
              <w:lastRenderedPageBreak/>
              <w:t>mainstreamed in (a) national education policies; (b) curricula; (c) teacher education; and (d) student assessment</w:t>
            </w:r>
          </w:p>
        </w:tc>
        <w:tc>
          <w:tcPr>
            <w:tcW w:w="0" w:type="auto"/>
          </w:tcPr>
          <w:p w14:paraId="53CB015C" w14:textId="77777777" w:rsidR="008C6A6C" w:rsidRPr="004559CB" w:rsidRDefault="008C6A6C" w:rsidP="008C6A6C">
            <w:pPr>
              <w:pStyle w:val="NoSpacing"/>
            </w:pPr>
            <w:r w:rsidRPr="004559CB">
              <w:lastRenderedPageBreak/>
              <w:t>UNESCO-UIS</w:t>
            </w:r>
          </w:p>
          <w:p w14:paraId="2DFFFB8B" w14:textId="77777777" w:rsidR="008C6A6C" w:rsidRDefault="008C6A6C" w:rsidP="008C6A6C">
            <w:pPr>
              <w:rPr>
                <w:b/>
                <w:bCs/>
                <w:szCs w:val="20"/>
              </w:rPr>
            </w:pPr>
            <w:r w:rsidRPr="007243FC">
              <w:rPr>
                <w:b/>
                <w:bCs/>
                <w:szCs w:val="20"/>
              </w:rPr>
              <w:t>Partner Agencies:</w:t>
            </w:r>
          </w:p>
          <w:p w14:paraId="5061C429" w14:textId="77777777" w:rsidR="008C6A6C" w:rsidRDefault="008C6A6C" w:rsidP="008C6A6C">
            <w:pPr>
              <w:pStyle w:val="NoSpacing"/>
            </w:pPr>
            <w:r>
              <w:t>UNEP</w:t>
            </w:r>
          </w:p>
        </w:tc>
        <w:tc>
          <w:tcPr>
            <w:tcW w:w="0" w:type="auto"/>
          </w:tcPr>
          <w:p w14:paraId="51AF295E" w14:textId="77777777" w:rsidR="008C6A6C" w:rsidRDefault="008C6A6C" w:rsidP="008C6A6C">
            <w:pPr>
              <w:ind w:left="970" w:hanging="970"/>
              <w:jc w:val="both"/>
              <w:rPr>
                <w:color w:val="0070C0"/>
                <w:sz w:val="30"/>
                <w:szCs w:val="30"/>
              </w:rPr>
            </w:pPr>
            <w:r w:rsidRPr="00666BAB">
              <w:t>Tier II</w:t>
            </w:r>
          </w:p>
        </w:tc>
        <w:tc>
          <w:tcPr>
            <w:tcW w:w="0" w:type="auto"/>
          </w:tcPr>
          <w:p w14:paraId="47D2D822" w14:textId="77777777" w:rsidR="008C6A6C" w:rsidRPr="00914808" w:rsidRDefault="008C6A6C" w:rsidP="008C6A6C">
            <w:pPr>
              <w:spacing w:after="34" w:line="243" w:lineRule="auto"/>
              <w:ind w:left="-5" w:right="-15"/>
            </w:pPr>
            <w:r w:rsidRPr="00914808">
              <w:rPr>
                <w:rFonts w:eastAsia="Calibri" w:cs="Calibri"/>
              </w:rPr>
              <w:t>Definition:</w:t>
            </w:r>
            <w:r w:rsidRPr="00914808">
              <w:t xml:space="preserve"> </w:t>
            </w:r>
          </w:p>
          <w:p w14:paraId="7EBA7A26" w14:textId="77777777" w:rsidR="008C6A6C" w:rsidRPr="00914808" w:rsidRDefault="008C6A6C" w:rsidP="008C6A6C">
            <w:pPr>
              <w:ind w:left="10"/>
            </w:pPr>
            <w:r w:rsidRPr="00914808">
              <w:t xml:space="preserve">Indicator 4.7.1/12.8.1/13.3.1 measures the extent to which countries mainstream Global Citizenship Education (GCED) and Education for Sustainable Development (ESD) in their education systems. This is an indicator of characteristics of different aspects of education systems:  education policies, curricula, teacher training and student assessment as reported by government officials, ideally following consultation with other government ministries, national human rights institutes, the education sector and civil society organizations. It measures what governments intend and not what is implemented in practice in schools and classrooms.  </w:t>
            </w:r>
          </w:p>
          <w:p w14:paraId="52ECEFED" w14:textId="77777777" w:rsidR="008C6A6C" w:rsidRPr="00914808" w:rsidRDefault="008C6A6C" w:rsidP="008C6A6C">
            <w:pPr>
              <w:spacing w:after="34"/>
            </w:pPr>
            <w:r w:rsidRPr="00914808">
              <w:t xml:space="preserve"> </w:t>
            </w:r>
          </w:p>
          <w:p w14:paraId="66BD3521" w14:textId="77777777" w:rsidR="008C6A6C" w:rsidRPr="00914808" w:rsidRDefault="008C6A6C" w:rsidP="008C6A6C">
            <w:pPr>
              <w:ind w:left="10"/>
            </w:pPr>
            <w:r w:rsidRPr="00914808">
              <w:t xml:space="preserve">For each of the four components of the indicator (policies, curricula, teacher education, and student assessment), a number of criteria are measured, which are then combined to give a single score between zero and one for each component. (See methodology section for full details.) </w:t>
            </w:r>
          </w:p>
          <w:p w14:paraId="03AC319F" w14:textId="77777777" w:rsidR="008C6A6C" w:rsidRPr="00914808" w:rsidRDefault="008C6A6C" w:rsidP="008C6A6C">
            <w:pPr>
              <w:spacing w:after="37"/>
            </w:pPr>
            <w:r w:rsidRPr="00914808">
              <w:t xml:space="preserve"> </w:t>
            </w:r>
          </w:p>
          <w:p w14:paraId="7FF8532F" w14:textId="77777777" w:rsidR="008C6A6C" w:rsidRPr="00914808" w:rsidRDefault="008C6A6C" w:rsidP="008C6A6C">
            <w:pPr>
              <w:ind w:left="10"/>
            </w:pPr>
            <w:r w:rsidRPr="00914808">
              <w:lastRenderedPageBreak/>
              <w:t xml:space="preserve">The indicator and its methodology have been reviewed and endorsed by UNESCO’s </w:t>
            </w:r>
            <w:r w:rsidRPr="00914808">
              <w:rPr>
                <w:u w:val="single" w:color="000000"/>
              </w:rPr>
              <w:t>Technical Cooperation</w:t>
            </w:r>
            <w:r w:rsidRPr="00914808">
              <w:t xml:space="preserve"> </w:t>
            </w:r>
            <w:r w:rsidRPr="00914808">
              <w:rPr>
                <w:u w:val="single" w:color="000000"/>
              </w:rPr>
              <w:t>Group on the Indicators for SDG 4-Education 2030</w:t>
            </w:r>
            <w:r w:rsidRPr="00914808">
              <w:t xml:space="preserve"> (TCG), which is responsible for the development and maintenance of the thematic indicator framework for the follow-up and review of SDG 4. The TCG also has an interest in education-related indicators in other SDGs, including global indicators 12.8.1 and 13.3.1. The TCG is composed of 38 regionally representative experts from UNESCO Member States (nominated by the respective geographic groups of UNESCO), as well as international partners, civil society, and the Co-Chair of the</w:t>
            </w:r>
            <w:r w:rsidRPr="00914808">
              <w:rPr>
                <w:color w:val="FF0000"/>
              </w:rPr>
              <w:t xml:space="preserve"> </w:t>
            </w:r>
            <w:r w:rsidRPr="00914808">
              <w:rPr>
                <w:color w:val="0000FF"/>
                <w:u w:val="single" w:color="0000FF"/>
              </w:rPr>
              <w:t>Education 2030 Steering Committee</w:t>
            </w:r>
            <w:r w:rsidRPr="00914808">
              <w:t xml:space="preserve">. The </w:t>
            </w:r>
            <w:r w:rsidRPr="00914808">
              <w:rPr>
                <w:color w:val="0000FF"/>
                <w:u w:val="single" w:color="0000FF"/>
              </w:rPr>
              <w:t>UNESCO Institute for Statistics</w:t>
            </w:r>
            <w:r w:rsidRPr="00914808">
              <w:t xml:space="preserve"> acts as the Secretariat. </w:t>
            </w:r>
          </w:p>
          <w:p w14:paraId="749C3BA4" w14:textId="77777777" w:rsidR="008C6A6C" w:rsidRPr="00914808" w:rsidRDefault="008C6A6C" w:rsidP="008C6A6C">
            <w:pPr>
              <w:ind w:left="970" w:hanging="970"/>
              <w:jc w:val="both"/>
              <w:rPr>
                <w:color w:val="0070C0"/>
                <w:szCs w:val="30"/>
              </w:rPr>
            </w:pPr>
          </w:p>
          <w:p w14:paraId="28A8EF4D" w14:textId="77777777" w:rsidR="008C6A6C" w:rsidRDefault="008C6A6C" w:rsidP="008C6A6C">
            <w:pPr>
              <w:spacing w:after="34" w:line="243" w:lineRule="auto"/>
              <w:ind w:left="-5" w:right="-15"/>
              <w:rPr>
                <w:rFonts w:eastAsia="Calibri" w:cs="Calibri"/>
              </w:rPr>
            </w:pPr>
            <w:r w:rsidRPr="00914808">
              <w:rPr>
                <w:rFonts w:eastAsia="Calibri" w:cs="Calibri"/>
              </w:rPr>
              <w:t xml:space="preserve">Concepts: </w:t>
            </w:r>
          </w:p>
          <w:p w14:paraId="73F12606" w14:textId="77777777" w:rsidR="008C6A6C" w:rsidRDefault="008C6A6C" w:rsidP="008C6A6C">
            <w:pPr>
              <w:spacing w:after="34" w:line="243" w:lineRule="auto"/>
              <w:ind w:left="-5" w:right="-15"/>
            </w:pPr>
            <w:r w:rsidRPr="0028094D">
              <w:t>Education for Sustainable Development (ESD): empowers learners to take informed decisions and responsible actions for environmental integrity, economic viability and a just society for present and future generations, while respecting cultural diversity. It can be summarised as ‘learning to live sustainably’. It covers sustainable lifestyles and ways of life, climate change, biodiversity, environmental sustainability, the greening of the economy and sustainable consumption, caring for the planet, and disaster risk reduction.</w:t>
            </w:r>
          </w:p>
          <w:p w14:paraId="054CB835" w14:textId="77777777" w:rsidR="008C6A6C" w:rsidRPr="00914808" w:rsidRDefault="008C6A6C" w:rsidP="008C6A6C">
            <w:pPr>
              <w:spacing w:after="34" w:line="243" w:lineRule="auto"/>
              <w:ind w:left="-5" w:right="-15"/>
            </w:pPr>
          </w:p>
          <w:p w14:paraId="6B437ED3" w14:textId="77777777" w:rsidR="008C6A6C" w:rsidRPr="00914808" w:rsidRDefault="008C6A6C" w:rsidP="008C6A6C">
            <w:pPr>
              <w:spacing w:after="219"/>
              <w:ind w:left="10"/>
            </w:pPr>
            <w:r w:rsidRPr="00914808">
              <w:rPr>
                <w:rFonts w:eastAsia="Calibri" w:cs="Calibri"/>
              </w:rPr>
              <w:t xml:space="preserve">Global Citizenship Education (GCED) </w:t>
            </w:r>
            <w:r w:rsidRPr="00914808">
              <w:t>and</w:t>
            </w:r>
            <w:r w:rsidRPr="00914808">
              <w:rPr>
                <w:rFonts w:eastAsia="Calibri" w:cs="Calibri"/>
              </w:rPr>
              <w:t xml:space="preserve"> Education for Sustainable Development (ESD)</w:t>
            </w:r>
            <w:r w:rsidRPr="00914808">
              <w:t xml:space="preserve"> nurture respect for all, build a sense of belonging to a common humanity, foster responsibility for a shared planet, and help learners become responsible and active global citizens and proactive contributors to a more peaceful, tolerant, inclusive, secure and sustainable world. They aim to empower learners of all ages to face and resolve local and global challenges and to take informed decisions and actions for environmental integrity, economic viability and a just society for present and future generations, while respecting cultural diversity. </w:t>
            </w:r>
          </w:p>
          <w:p w14:paraId="17655FFD" w14:textId="77777777" w:rsidR="008C6A6C" w:rsidRPr="00914808" w:rsidRDefault="008C6A6C" w:rsidP="008C6A6C">
            <w:pPr>
              <w:spacing w:after="34" w:line="243" w:lineRule="auto"/>
              <w:ind w:left="-5" w:right="-15"/>
              <w:rPr>
                <w:szCs w:val="20"/>
              </w:rPr>
            </w:pPr>
            <w:r w:rsidRPr="00914808">
              <w:rPr>
                <w:rFonts w:eastAsia="Calibri" w:cs="Calibri"/>
                <w:szCs w:val="20"/>
              </w:rPr>
              <w:t xml:space="preserve">Comments and limitations: </w:t>
            </w:r>
          </w:p>
          <w:p w14:paraId="27201FCA" w14:textId="77777777" w:rsidR="008C6A6C" w:rsidRPr="00914808" w:rsidRDefault="008C6A6C" w:rsidP="008C6A6C">
            <w:pPr>
              <w:ind w:left="10"/>
              <w:rPr>
                <w:szCs w:val="20"/>
              </w:rPr>
            </w:pPr>
            <w:r w:rsidRPr="00914808">
              <w:rPr>
                <w:szCs w:val="20"/>
              </w:rPr>
              <w:t xml:space="preserve">The indicator is based on self-reporting by government officials. However, countries will be asked to provide supporting evidence in the form of documents or links (e.g. education policies or laws, curricula, etc.) to back up their responses. In addition, UNESCO will compare responses with available information from alternative sources and, if appropriate, raise queries with national respondents. At the end of the reporting cycle, country responses and the supporting documents will be made publicly available. </w:t>
            </w:r>
          </w:p>
          <w:p w14:paraId="167048AD" w14:textId="77777777" w:rsidR="008C6A6C" w:rsidRPr="00914808" w:rsidRDefault="008C6A6C" w:rsidP="008C6A6C">
            <w:pPr>
              <w:ind w:left="970" w:hanging="970"/>
              <w:jc w:val="both"/>
              <w:rPr>
                <w:color w:val="0070C0"/>
                <w:szCs w:val="20"/>
              </w:rPr>
            </w:pPr>
          </w:p>
          <w:p w14:paraId="6CA0C27A" w14:textId="77777777" w:rsidR="008C6A6C" w:rsidRPr="00914808" w:rsidRDefault="008C6A6C" w:rsidP="008C6A6C">
            <w:pPr>
              <w:spacing w:after="34" w:line="243" w:lineRule="auto"/>
              <w:ind w:left="-5" w:right="-15"/>
              <w:rPr>
                <w:szCs w:val="20"/>
              </w:rPr>
            </w:pPr>
            <w:r w:rsidRPr="00914808">
              <w:rPr>
                <w:rFonts w:eastAsia="Calibri" w:cs="Calibri"/>
                <w:szCs w:val="20"/>
              </w:rPr>
              <w:t>Computation Method:</w:t>
            </w:r>
            <w:r w:rsidRPr="00914808">
              <w:rPr>
                <w:szCs w:val="20"/>
              </w:rPr>
              <w:t xml:space="preserve"> </w:t>
            </w:r>
          </w:p>
          <w:p w14:paraId="6E51B3E9" w14:textId="77777777" w:rsidR="008C6A6C" w:rsidRPr="00914808" w:rsidRDefault="008C6A6C" w:rsidP="008C6A6C">
            <w:pPr>
              <w:spacing w:after="65"/>
              <w:rPr>
                <w:szCs w:val="20"/>
              </w:rPr>
            </w:pPr>
            <w:r w:rsidRPr="00914808">
              <w:rPr>
                <w:szCs w:val="20"/>
              </w:rPr>
              <w:t xml:space="preserve"> </w:t>
            </w:r>
          </w:p>
          <w:p w14:paraId="4F6FD992" w14:textId="77777777" w:rsidR="008C6A6C" w:rsidRPr="00914808" w:rsidRDefault="008C6A6C" w:rsidP="008C6A6C">
            <w:pPr>
              <w:ind w:left="10"/>
              <w:rPr>
                <w:szCs w:val="20"/>
              </w:rPr>
            </w:pPr>
            <w:r w:rsidRPr="00914808">
              <w:rPr>
                <w:szCs w:val="20"/>
              </w:rPr>
              <w:t xml:space="preserve">Information collected with the questionnaire for monitoring the implementation by UNESCO Member States of the 1974 </w:t>
            </w:r>
            <w:r w:rsidRPr="00914808">
              <w:rPr>
                <w:rFonts w:eastAsia="Calibri" w:cs="Calibri"/>
                <w:i/>
                <w:szCs w:val="20"/>
              </w:rPr>
              <w:t>Recommendation concerning Education for International Understanding, Co-operation and Peace and Education relating to Human Rights and Fundamental Freedoms</w:t>
            </w:r>
            <w:r w:rsidRPr="00914808">
              <w:rPr>
                <w:szCs w:val="20"/>
              </w:rPr>
              <w:t xml:space="preserve"> will be used for the construction of the global indicator. For each of the four components of the indicator (policies, curricula, teacher education, and student assessment), a number of criteria are measured, which are then combined to give a single score between zero and one for each component. Only information for primary and secondary education will be used for calculation of indicator 4.7.1/12.8.1/13.3.1. </w:t>
            </w:r>
          </w:p>
          <w:p w14:paraId="10FA8D7C" w14:textId="77777777" w:rsidR="008C6A6C" w:rsidRPr="00914808" w:rsidRDefault="008C6A6C" w:rsidP="008C6A6C">
            <w:pPr>
              <w:spacing w:after="28"/>
              <w:rPr>
                <w:szCs w:val="20"/>
              </w:rPr>
            </w:pPr>
            <w:r w:rsidRPr="00914808">
              <w:rPr>
                <w:szCs w:val="20"/>
              </w:rPr>
              <w:t xml:space="preserve"> </w:t>
            </w:r>
          </w:p>
          <w:p w14:paraId="7712808C" w14:textId="77777777" w:rsidR="008C6A6C" w:rsidRPr="00914808" w:rsidRDefault="008C6A6C" w:rsidP="008C6A6C">
            <w:pPr>
              <w:spacing w:after="31"/>
              <w:ind w:left="333" w:right="-15"/>
              <w:rPr>
                <w:szCs w:val="20"/>
              </w:rPr>
            </w:pPr>
            <w:r w:rsidRPr="00914808">
              <w:rPr>
                <w:szCs w:val="20"/>
              </w:rPr>
              <w:lastRenderedPageBreak/>
              <w:t>(a)</w:t>
            </w:r>
            <w:r w:rsidRPr="00914808">
              <w:rPr>
                <w:rFonts w:eastAsia="Arial" w:cs="Arial"/>
                <w:szCs w:val="20"/>
              </w:rPr>
              <w:t xml:space="preserve"> </w:t>
            </w:r>
            <w:r w:rsidRPr="00914808">
              <w:rPr>
                <w:szCs w:val="20"/>
                <w:u w:val="single" w:color="000000"/>
              </w:rPr>
              <w:t>Laws and policies</w:t>
            </w:r>
            <w:r w:rsidRPr="00914808">
              <w:rPr>
                <w:szCs w:val="20"/>
              </w:rPr>
              <w:t xml:space="preserve"> </w:t>
            </w:r>
          </w:p>
          <w:p w14:paraId="1BDA6509" w14:textId="77777777" w:rsidR="008C6A6C" w:rsidRPr="00914808" w:rsidRDefault="008C6A6C" w:rsidP="008C6A6C">
            <w:pPr>
              <w:spacing w:after="29"/>
              <w:rPr>
                <w:szCs w:val="20"/>
              </w:rPr>
            </w:pPr>
            <w:r w:rsidRPr="00914808">
              <w:rPr>
                <w:szCs w:val="20"/>
              </w:rPr>
              <w:t xml:space="preserve"> </w:t>
            </w:r>
          </w:p>
          <w:p w14:paraId="2462CC95" w14:textId="77777777" w:rsidR="008C6A6C" w:rsidRPr="00914808" w:rsidRDefault="008C6A6C" w:rsidP="008C6A6C">
            <w:pPr>
              <w:ind w:left="10"/>
              <w:rPr>
                <w:szCs w:val="20"/>
              </w:rPr>
            </w:pPr>
            <w:r w:rsidRPr="00914808">
              <w:rPr>
                <w:szCs w:val="20"/>
              </w:rPr>
              <w:t xml:space="preserve">The following questions are used to calculate the policies component of the indicator: </w:t>
            </w:r>
          </w:p>
          <w:p w14:paraId="7D4F4073" w14:textId="77777777" w:rsidR="008C6A6C" w:rsidRPr="00914808" w:rsidRDefault="008C6A6C" w:rsidP="008C6A6C">
            <w:pPr>
              <w:spacing w:after="29"/>
              <w:rPr>
                <w:szCs w:val="20"/>
              </w:rPr>
            </w:pPr>
            <w:r w:rsidRPr="00914808">
              <w:rPr>
                <w:szCs w:val="20"/>
              </w:rPr>
              <w:t xml:space="preserve"> </w:t>
            </w:r>
          </w:p>
          <w:p w14:paraId="64687130" w14:textId="77777777" w:rsidR="008C6A6C" w:rsidRPr="00914808" w:rsidRDefault="008C6A6C" w:rsidP="008C6A6C">
            <w:pPr>
              <w:spacing w:after="29" w:line="243" w:lineRule="auto"/>
              <w:ind w:left="-5"/>
              <w:rPr>
                <w:szCs w:val="20"/>
              </w:rPr>
            </w:pPr>
            <w:r w:rsidRPr="00914808">
              <w:rPr>
                <w:rFonts w:eastAsia="Calibri" w:cs="Calibri"/>
                <w:i/>
                <w:szCs w:val="20"/>
              </w:rPr>
              <w:t xml:space="preserve">A2: Please indicate which GCED and ESD themes are covered in national or sub-national </w:t>
            </w:r>
            <w:r w:rsidRPr="00914808">
              <w:rPr>
                <w:rFonts w:eastAsia="Calibri" w:cs="Calibri"/>
                <w:i/>
                <w:szCs w:val="20"/>
                <w:u w:val="single" w:color="000000"/>
              </w:rPr>
              <w:t>laws, legislation or</w:t>
            </w:r>
            <w:r w:rsidRPr="00914808">
              <w:rPr>
                <w:rFonts w:eastAsia="Calibri" w:cs="Calibri"/>
                <w:i/>
                <w:szCs w:val="20"/>
              </w:rPr>
              <w:t xml:space="preserve"> </w:t>
            </w:r>
            <w:r w:rsidRPr="00914808">
              <w:rPr>
                <w:rFonts w:eastAsia="Calibri" w:cs="Calibri"/>
                <w:i/>
                <w:szCs w:val="20"/>
                <w:u w:val="single" w:color="000000"/>
              </w:rPr>
              <w:t>legal frameworks</w:t>
            </w:r>
            <w:r w:rsidRPr="00914808">
              <w:rPr>
                <w:rFonts w:eastAsia="Calibri" w:cs="Calibri"/>
                <w:i/>
                <w:szCs w:val="20"/>
              </w:rPr>
              <w:t xml:space="preserve"> on education. </w:t>
            </w:r>
            <w:r w:rsidRPr="00914808">
              <w:rPr>
                <w:szCs w:val="20"/>
              </w:rPr>
              <w:t xml:space="preserve"> </w:t>
            </w:r>
          </w:p>
          <w:p w14:paraId="15CB308E"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and two levels of government (national and sub-national) = 16 responses. </w:t>
            </w:r>
          </w:p>
          <w:p w14:paraId="2F128391"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744E0C31"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7136AEAE"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59D84537" w14:textId="77777777" w:rsidR="008C6A6C" w:rsidRPr="00914808" w:rsidRDefault="008C6A6C" w:rsidP="008C6A6C">
            <w:pPr>
              <w:spacing w:after="29"/>
              <w:rPr>
                <w:szCs w:val="20"/>
              </w:rPr>
            </w:pPr>
            <w:r w:rsidRPr="00914808">
              <w:rPr>
                <w:szCs w:val="20"/>
              </w:rPr>
              <w:t xml:space="preserve"> </w:t>
            </w:r>
          </w:p>
          <w:p w14:paraId="58E4407F" w14:textId="77777777" w:rsidR="008C6A6C" w:rsidRPr="00914808" w:rsidRDefault="008C6A6C" w:rsidP="008C6A6C">
            <w:pPr>
              <w:ind w:left="1364"/>
              <w:rPr>
                <w:szCs w:val="20"/>
              </w:rPr>
            </w:pPr>
            <w:r w:rsidRPr="00914808">
              <w:rPr>
                <w:szCs w:val="20"/>
              </w:rPr>
              <w:t xml:space="preserve">Question score = simple mean of the 0 and 1 scores, </w:t>
            </w:r>
            <w:r w:rsidRPr="00914808">
              <w:rPr>
                <w:szCs w:val="20"/>
                <w:u w:val="single" w:color="000000"/>
              </w:rPr>
              <w:t xml:space="preserve">excluding not applicables </w:t>
            </w:r>
            <w:r w:rsidRPr="00914808">
              <w:rPr>
                <w:szCs w:val="20"/>
              </w:rPr>
              <w:t xml:space="preserve">(i.e., if eight of the 16 responses are ‘not applicable’, the sum of the 0 and 1 scores is divided by 8 to get the mean and not by 16). </w:t>
            </w:r>
          </w:p>
          <w:p w14:paraId="478B2918" w14:textId="77777777" w:rsidR="008C6A6C" w:rsidRPr="00914808" w:rsidRDefault="008C6A6C" w:rsidP="008C6A6C">
            <w:pPr>
              <w:spacing w:after="29" w:line="243" w:lineRule="auto"/>
              <w:ind w:left="-5"/>
              <w:rPr>
                <w:szCs w:val="20"/>
              </w:rPr>
            </w:pPr>
            <w:r w:rsidRPr="00914808">
              <w:rPr>
                <w:rFonts w:eastAsia="Calibri" w:cs="Calibri"/>
                <w:szCs w:val="20"/>
              </w:rPr>
              <w:t xml:space="preserve">A4. Please indicate which GCED and ESD themes are covered in national or sub-national </w:t>
            </w:r>
            <w:r w:rsidRPr="00914808">
              <w:rPr>
                <w:rFonts w:eastAsia="Calibri" w:cs="Calibri"/>
                <w:szCs w:val="20"/>
                <w:u w:val="single" w:color="000000"/>
              </w:rPr>
              <w:t>education policies,</w:t>
            </w:r>
            <w:r w:rsidRPr="00914808">
              <w:rPr>
                <w:rFonts w:eastAsia="Calibri" w:cs="Calibri"/>
                <w:szCs w:val="20"/>
              </w:rPr>
              <w:t xml:space="preserve"> </w:t>
            </w:r>
            <w:r w:rsidRPr="00914808">
              <w:rPr>
                <w:rFonts w:eastAsia="Calibri" w:cs="Calibri"/>
                <w:szCs w:val="20"/>
                <w:u w:val="single" w:color="000000"/>
              </w:rPr>
              <w:t>frameworks or strategic objectives</w:t>
            </w:r>
            <w:r w:rsidRPr="00914808">
              <w:rPr>
                <w:rFonts w:eastAsia="Calibri" w:cs="Calibri"/>
                <w:szCs w:val="20"/>
              </w:rPr>
              <w:t>.</w:t>
            </w:r>
            <w:r w:rsidRPr="00914808">
              <w:rPr>
                <w:szCs w:val="20"/>
              </w:rPr>
              <w:t xml:space="preserve">  </w:t>
            </w:r>
          </w:p>
          <w:p w14:paraId="40B45935" w14:textId="77777777" w:rsidR="008C6A6C" w:rsidRPr="00914808" w:rsidRDefault="008C6A6C" w:rsidP="008C6A6C">
            <w:pPr>
              <w:ind w:left="970" w:hanging="970"/>
              <w:jc w:val="both"/>
              <w:rPr>
                <w:color w:val="0070C0"/>
                <w:szCs w:val="20"/>
              </w:rPr>
            </w:pPr>
          </w:p>
          <w:p w14:paraId="61CF17C6"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 8 responses.  </w:t>
            </w:r>
          </w:p>
          <w:p w14:paraId="60CFF8BE" w14:textId="77777777" w:rsidR="008C6A6C" w:rsidRPr="00914808" w:rsidRDefault="008C6A6C" w:rsidP="008C6A6C">
            <w:pPr>
              <w:rPr>
                <w:szCs w:val="20"/>
              </w:rPr>
            </w:pPr>
            <w:r w:rsidRPr="00914808">
              <w:rPr>
                <w:szCs w:val="20"/>
              </w:rPr>
              <w:t xml:space="preserve">Response categories are no = 0, yes = 1, unknown (treated as zero), and not applicable, which is ignored. Blanks are also treated as zeros.  </w:t>
            </w:r>
          </w:p>
          <w:p w14:paraId="25868DDB"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35FCD590" w14:textId="77777777" w:rsidR="008C6A6C" w:rsidRPr="00914808" w:rsidRDefault="008C6A6C" w:rsidP="008C6A6C">
            <w:pPr>
              <w:spacing w:after="29"/>
              <w:ind w:left="677"/>
              <w:rPr>
                <w:szCs w:val="20"/>
              </w:rPr>
            </w:pPr>
            <w:r w:rsidRPr="00914808">
              <w:rPr>
                <w:szCs w:val="20"/>
              </w:rPr>
              <w:t xml:space="preserve"> </w:t>
            </w:r>
          </w:p>
          <w:p w14:paraId="3F99C855" w14:textId="77777777" w:rsidR="008C6A6C" w:rsidRPr="00914808" w:rsidRDefault="008C6A6C" w:rsidP="008C6A6C">
            <w:pPr>
              <w:ind w:left="1364"/>
              <w:rPr>
                <w:szCs w:val="20"/>
              </w:rPr>
            </w:pPr>
            <w:r w:rsidRPr="00914808">
              <w:rPr>
                <w:szCs w:val="20"/>
              </w:rPr>
              <w:t xml:space="preserve">Question score = simple mean of the 0 and 1 scores. </w:t>
            </w:r>
          </w:p>
          <w:p w14:paraId="09A7489D" w14:textId="77777777" w:rsidR="008C6A6C" w:rsidRPr="00914808" w:rsidRDefault="008C6A6C" w:rsidP="008C6A6C">
            <w:pPr>
              <w:spacing w:after="29" w:line="243" w:lineRule="auto"/>
              <w:ind w:left="-5"/>
              <w:rPr>
                <w:szCs w:val="20"/>
              </w:rPr>
            </w:pPr>
            <w:r w:rsidRPr="00914808">
              <w:rPr>
                <w:rFonts w:eastAsia="Calibri" w:cs="Calibri"/>
                <w:i/>
                <w:szCs w:val="20"/>
              </w:rPr>
              <w:t xml:space="preserve">A5. Please indicate whether national or sub-national </w:t>
            </w:r>
            <w:r w:rsidRPr="00914808">
              <w:rPr>
                <w:rFonts w:eastAsia="Calibri" w:cs="Calibri"/>
                <w:i/>
                <w:szCs w:val="20"/>
                <w:u w:val="single" w:color="000000"/>
              </w:rPr>
              <w:t>education policies, frameworks or strategic objectives</w:t>
            </w:r>
            <w:r w:rsidRPr="00914808">
              <w:rPr>
                <w:rFonts w:eastAsia="Calibri" w:cs="Calibri"/>
                <w:i/>
                <w:szCs w:val="20"/>
              </w:rPr>
              <w:t xml:space="preserve"> on education provide a mandate to integrate GCED and ESD. </w:t>
            </w:r>
            <w:r w:rsidRPr="00914808">
              <w:rPr>
                <w:szCs w:val="20"/>
              </w:rPr>
              <w:t xml:space="preserve"> </w:t>
            </w:r>
          </w:p>
          <w:p w14:paraId="71995971" w14:textId="77777777" w:rsidR="008C6A6C" w:rsidRPr="00914808" w:rsidRDefault="008C6A6C" w:rsidP="008C6A6C">
            <w:pPr>
              <w:spacing w:after="29"/>
              <w:rPr>
                <w:szCs w:val="20"/>
              </w:rPr>
            </w:pPr>
            <w:r w:rsidRPr="00914808">
              <w:rPr>
                <w:szCs w:val="20"/>
              </w:rPr>
              <w:t xml:space="preserve"> </w:t>
            </w:r>
          </w:p>
          <w:p w14:paraId="23093CEA" w14:textId="77777777" w:rsidR="008C6A6C" w:rsidRPr="00914808" w:rsidRDefault="008C6A6C" w:rsidP="008C6A6C">
            <w:pPr>
              <w:rPr>
                <w:szCs w:val="20"/>
              </w:rPr>
            </w:pPr>
            <w:r w:rsidRPr="00914808">
              <w:rPr>
                <w:szCs w:val="20"/>
              </w:rPr>
              <w:t xml:space="preserve">There are two levels of government (national, sub-national) and five areas of integration (curricula, learning objectives, textbooks, teacher education, and student assessment) = 10 responses.  Response categories are no = 0, yes = 1, unknown (treated as zero), and not applicable, which is ignored. Blanks are also treated as zeros.  </w:t>
            </w:r>
          </w:p>
          <w:p w14:paraId="34729009"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2A0C777F"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3B510EE4" w14:textId="77777777" w:rsidR="008C6A6C" w:rsidRPr="00914808" w:rsidRDefault="008C6A6C" w:rsidP="008C6A6C">
            <w:pPr>
              <w:spacing w:after="27"/>
              <w:ind w:left="677"/>
              <w:rPr>
                <w:szCs w:val="20"/>
              </w:rPr>
            </w:pPr>
            <w:r w:rsidRPr="00914808">
              <w:rPr>
                <w:szCs w:val="20"/>
              </w:rPr>
              <w:t xml:space="preserve"> </w:t>
            </w:r>
          </w:p>
          <w:p w14:paraId="2FB50CCF" w14:textId="77777777" w:rsidR="008C6A6C" w:rsidRPr="00914808" w:rsidRDefault="008C6A6C" w:rsidP="008C6A6C">
            <w:pPr>
              <w:ind w:left="1364"/>
              <w:rPr>
                <w:szCs w:val="20"/>
              </w:rPr>
            </w:pPr>
            <w:r w:rsidRPr="00914808">
              <w:rPr>
                <w:szCs w:val="20"/>
              </w:rPr>
              <w:t xml:space="preserve">Question score = simple mean of the 0 and 1 scores, </w:t>
            </w:r>
            <w:r w:rsidRPr="00914808">
              <w:rPr>
                <w:szCs w:val="20"/>
                <w:u w:val="single" w:color="000000"/>
              </w:rPr>
              <w:t xml:space="preserve">excluding not applicables </w:t>
            </w:r>
            <w:r w:rsidRPr="00914808">
              <w:rPr>
                <w:szCs w:val="20"/>
              </w:rPr>
              <w:t xml:space="preserve">(i.e., if five of the 10 </w:t>
            </w:r>
            <w:r w:rsidRPr="00914808">
              <w:rPr>
                <w:szCs w:val="20"/>
              </w:rPr>
              <w:lastRenderedPageBreak/>
              <w:t xml:space="preserve">responses are ‘not applicable’, the sum of the 0 and 1 scores is divided by 5 to get the mean and not by 10). </w:t>
            </w:r>
          </w:p>
          <w:p w14:paraId="4FB91BB8" w14:textId="77777777" w:rsidR="008C6A6C" w:rsidRPr="00914808" w:rsidRDefault="008C6A6C" w:rsidP="008C6A6C">
            <w:pPr>
              <w:rPr>
                <w:szCs w:val="20"/>
              </w:rPr>
            </w:pPr>
            <w:r w:rsidRPr="00914808">
              <w:rPr>
                <w:rFonts w:eastAsia="Calibri" w:cs="Calibri"/>
                <w:i/>
                <w:szCs w:val="20"/>
              </w:rPr>
              <w:t xml:space="preserve"> </w:t>
            </w:r>
          </w:p>
          <w:p w14:paraId="0B69365E"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(laws and policies) please indicate to what extent global citizenship education (GCED) and education for sustainable development (ESD) are mainstreamed</w:t>
            </w:r>
            <w:r w:rsidRPr="00914808">
              <w:rPr>
                <w:rFonts w:eastAsia="Calibri" w:cs="Calibri"/>
                <w:i/>
                <w:szCs w:val="20"/>
                <w:vertAlign w:val="superscript"/>
              </w:rPr>
              <w:t>1</w:t>
            </w:r>
            <w:r w:rsidRPr="00914808">
              <w:rPr>
                <w:rFonts w:eastAsia="Calibri" w:cs="Calibri"/>
                <w:i/>
                <w:szCs w:val="20"/>
              </w:rPr>
              <w:t xml:space="preserve"> in education laws and policies in your country.</w:t>
            </w:r>
            <w:r w:rsidRPr="00914808">
              <w:rPr>
                <w:szCs w:val="20"/>
              </w:rPr>
              <w:t xml:space="preserve">  </w:t>
            </w:r>
          </w:p>
          <w:p w14:paraId="5E57636D" w14:textId="77777777" w:rsidR="008C6A6C" w:rsidRPr="00914808" w:rsidRDefault="008C6A6C" w:rsidP="008C6A6C">
            <w:pPr>
              <w:rPr>
                <w:szCs w:val="20"/>
              </w:rPr>
            </w:pPr>
            <w:r w:rsidRPr="00914808">
              <w:rPr>
                <w:szCs w:val="20"/>
              </w:rPr>
              <w:t xml:space="preserve"> </w:t>
            </w:r>
          </w:p>
          <w:p w14:paraId="598E3E0A" w14:textId="77777777" w:rsidR="008C6A6C" w:rsidRPr="00914808" w:rsidRDefault="008C6A6C" w:rsidP="008C6A6C">
            <w:pPr>
              <w:rPr>
                <w:szCs w:val="20"/>
              </w:rPr>
            </w:pPr>
            <w:r w:rsidRPr="00914808">
              <w:rPr>
                <w:szCs w:val="20"/>
              </w:rPr>
              <w:t xml:space="preserve">There are two levels of government (national, sub-national) = 2 responses.  </w:t>
            </w:r>
          </w:p>
          <w:p w14:paraId="40EEDF9F"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2705B65F"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21322BA9"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1CC1C15F" w14:textId="77777777" w:rsidR="008C6A6C" w:rsidRPr="00914808" w:rsidRDefault="008C6A6C" w:rsidP="008C6A6C">
            <w:pPr>
              <w:rPr>
                <w:szCs w:val="20"/>
              </w:rPr>
            </w:pPr>
            <w:r w:rsidRPr="00914808">
              <w:rPr>
                <w:szCs w:val="20"/>
              </w:rPr>
              <w:t xml:space="preserve"> </w:t>
            </w:r>
          </w:p>
          <w:p w14:paraId="50241E38"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one of the two responses is ‘not applicable’, the sum of the 0, 1 and 2 scores is divided by 2 to get half the mean and not by 4). The score is half the mean in order to ensure it </w:t>
            </w:r>
            <w:proofErr w:type="gramStart"/>
            <w:r w:rsidRPr="00914808">
              <w:rPr>
                <w:szCs w:val="20"/>
              </w:rPr>
              <w:t>lies</w:t>
            </w:r>
            <w:proofErr w:type="gramEnd"/>
            <w:r w:rsidRPr="00914808">
              <w:rPr>
                <w:szCs w:val="20"/>
              </w:rPr>
              <w:t xml:space="preserve"> between 0 and 1 as do the scores for the other three questions in this section. </w:t>
            </w:r>
          </w:p>
          <w:p w14:paraId="14A839D7" w14:textId="77777777" w:rsidR="008C6A6C" w:rsidRPr="00914808" w:rsidRDefault="008C6A6C" w:rsidP="008C6A6C">
            <w:pPr>
              <w:ind w:left="677"/>
              <w:rPr>
                <w:szCs w:val="20"/>
              </w:rPr>
            </w:pPr>
            <w:r w:rsidRPr="00914808">
              <w:rPr>
                <w:szCs w:val="20"/>
              </w:rPr>
              <w:t xml:space="preserve"> </w:t>
            </w:r>
          </w:p>
          <w:p w14:paraId="14BFAB60" w14:textId="77777777" w:rsidR="008C6A6C" w:rsidRPr="00914808" w:rsidRDefault="008C6A6C" w:rsidP="008C6A6C">
            <w:pPr>
              <w:ind w:left="10"/>
              <w:rPr>
                <w:szCs w:val="20"/>
              </w:rPr>
            </w:pPr>
            <w:r w:rsidRPr="00914808">
              <w:rPr>
                <w:szCs w:val="20"/>
              </w:rPr>
              <w:t xml:space="preserve">Policy component score = simple mean of the scores for questions A2, A4, A5 and E1 (except where the component score should not be calculated because too many responses were unknown or blank). </w:t>
            </w:r>
          </w:p>
          <w:p w14:paraId="181E332E" w14:textId="77777777" w:rsidR="008C6A6C" w:rsidRPr="00914808" w:rsidRDefault="008C6A6C" w:rsidP="008C6A6C">
            <w:pPr>
              <w:spacing w:after="30"/>
              <w:ind w:left="677"/>
              <w:rPr>
                <w:szCs w:val="20"/>
              </w:rPr>
            </w:pPr>
            <w:r w:rsidRPr="00914808">
              <w:rPr>
                <w:szCs w:val="20"/>
              </w:rPr>
              <w:t xml:space="preserve"> </w:t>
            </w:r>
          </w:p>
          <w:p w14:paraId="599E331E" w14:textId="77777777" w:rsidR="008C6A6C" w:rsidRPr="00914808" w:rsidRDefault="008C6A6C" w:rsidP="008C6A6C">
            <w:pPr>
              <w:spacing w:after="31"/>
              <w:ind w:left="333" w:right="-15"/>
              <w:rPr>
                <w:szCs w:val="20"/>
              </w:rPr>
            </w:pPr>
            <w:r w:rsidRPr="00914808">
              <w:rPr>
                <w:szCs w:val="20"/>
              </w:rPr>
              <w:t>(b)</w:t>
            </w:r>
            <w:r w:rsidRPr="00914808">
              <w:rPr>
                <w:rFonts w:eastAsia="Arial" w:cs="Arial"/>
                <w:szCs w:val="20"/>
              </w:rPr>
              <w:t xml:space="preserve"> </w:t>
            </w:r>
            <w:r w:rsidRPr="00914808">
              <w:rPr>
                <w:szCs w:val="20"/>
                <w:u w:val="single" w:color="000000"/>
              </w:rPr>
              <w:t>Curricula</w:t>
            </w:r>
            <w:r w:rsidRPr="00914808">
              <w:rPr>
                <w:szCs w:val="20"/>
              </w:rPr>
              <w:t xml:space="preserve"> </w:t>
            </w:r>
          </w:p>
          <w:p w14:paraId="251BE3B6" w14:textId="77777777" w:rsidR="008C6A6C" w:rsidRPr="00914808" w:rsidRDefault="008C6A6C" w:rsidP="008C6A6C">
            <w:pPr>
              <w:rPr>
                <w:szCs w:val="20"/>
              </w:rPr>
            </w:pPr>
            <w:r w:rsidRPr="00914808">
              <w:rPr>
                <w:szCs w:val="20"/>
              </w:rPr>
              <w:t xml:space="preserve"> </w:t>
            </w:r>
          </w:p>
          <w:p w14:paraId="39FB807A" w14:textId="77777777" w:rsidR="008C6A6C" w:rsidRPr="00914808" w:rsidRDefault="008C6A6C" w:rsidP="008C6A6C">
            <w:pPr>
              <w:ind w:left="10"/>
              <w:rPr>
                <w:szCs w:val="20"/>
              </w:rPr>
            </w:pPr>
            <w:r w:rsidRPr="00914808">
              <w:rPr>
                <w:szCs w:val="20"/>
              </w:rPr>
              <w:t xml:space="preserve">The following questions are used to calculate the curricula component of the indicator: </w:t>
            </w:r>
          </w:p>
          <w:p w14:paraId="007CAD7A" w14:textId="77777777" w:rsidR="008C6A6C" w:rsidRPr="00914808" w:rsidRDefault="008C6A6C" w:rsidP="008C6A6C">
            <w:pPr>
              <w:spacing w:after="27"/>
              <w:rPr>
                <w:szCs w:val="20"/>
              </w:rPr>
            </w:pPr>
            <w:r w:rsidRPr="00914808">
              <w:rPr>
                <w:szCs w:val="20"/>
              </w:rPr>
              <w:t xml:space="preserve"> </w:t>
            </w:r>
          </w:p>
          <w:p w14:paraId="4A17DD0A" w14:textId="77777777" w:rsidR="008C6A6C" w:rsidRPr="00914808" w:rsidRDefault="008C6A6C" w:rsidP="008C6A6C">
            <w:pPr>
              <w:spacing w:after="29" w:line="243" w:lineRule="auto"/>
              <w:ind w:left="-5"/>
              <w:rPr>
                <w:szCs w:val="20"/>
              </w:rPr>
            </w:pPr>
            <w:r w:rsidRPr="00914808">
              <w:rPr>
                <w:rFonts w:eastAsia="Calibri" w:cs="Calibri"/>
                <w:i/>
                <w:szCs w:val="20"/>
              </w:rPr>
              <w:t>B2: Please indicate which GCED and ESD themes are taught as part of the curriculum.</w:t>
            </w:r>
            <w:r w:rsidRPr="00914808">
              <w:rPr>
                <w:szCs w:val="20"/>
              </w:rPr>
              <w:t xml:space="preserve">  </w:t>
            </w:r>
          </w:p>
          <w:p w14:paraId="1087998F" w14:textId="77777777" w:rsidR="008C6A6C" w:rsidRPr="00914808" w:rsidRDefault="008C6A6C" w:rsidP="008C6A6C">
            <w:pPr>
              <w:spacing w:after="29"/>
              <w:rPr>
                <w:szCs w:val="20"/>
              </w:rPr>
            </w:pPr>
            <w:r w:rsidRPr="00914808">
              <w:rPr>
                <w:szCs w:val="20"/>
              </w:rPr>
              <w:t xml:space="preserve"> </w:t>
            </w:r>
          </w:p>
          <w:p w14:paraId="3D1AC87C"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 8responses. </w:t>
            </w:r>
          </w:p>
          <w:p w14:paraId="478A061A"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1518F11C" w14:textId="77777777" w:rsidR="008C6A6C" w:rsidRPr="00914808" w:rsidRDefault="008C6A6C" w:rsidP="008C6A6C">
            <w:pPr>
              <w:spacing w:after="28" w:line="247" w:lineRule="auto"/>
              <w:ind w:left="687"/>
              <w:rPr>
                <w:szCs w:val="20"/>
              </w:rPr>
            </w:pPr>
            <w:r w:rsidRPr="00914808">
              <w:rPr>
                <w:szCs w:val="20"/>
              </w:rPr>
              <w:t xml:space="preserve">If more than half of responses are unknown or blank, the component score is not calculated.  Note that responses to ‘other </w:t>
            </w:r>
            <w:proofErr w:type="gramStart"/>
            <w:r w:rsidRPr="00914808">
              <w:rPr>
                <w:szCs w:val="20"/>
              </w:rPr>
              <w:t>subjects,</w:t>
            </w:r>
            <w:proofErr w:type="gramEnd"/>
            <w:r w:rsidRPr="00914808">
              <w:rPr>
                <w:szCs w:val="20"/>
              </w:rPr>
              <w:t xml:space="preserve"> please specify’ in the question are ignored. If appropriate, during quality assurance answers in this category may be recoded to one of the other 12 subjects. </w:t>
            </w:r>
          </w:p>
          <w:p w14:paraId="78E67498" w14:textId="77777777" w:rsidR="008C6A6C" w:rsidRPr="00914808" w:rsidRDefault="008C6A6C" w:rsidP="008C6A6C">
            <w:pPr>
              <w:ind w:left="677"/>
              <w:rPr>
                <w:szCs w:val="20"/>
              </w:rPr>
            </w:pPr>
            <w:r w:rsidRPr="00914808">
              <w:rPr>
                <w:szCs w:val="20"/>
              </w:rPr>
              <w:t xml:space="preserve"> </w:t>
            </w:r>
          </w:p>
          <w:p w14:paraId="3C13D89D" w14:textId="77777777" w:rsidR="008C6A6C" w:rsidRPr="00914808" w:rsidRDefault="008C6A6C" w:rsidP="008C6A6C">
            <w:pPr>
              <w:ind w:left="1364"/>
              <w:rPr>
                <w:szCs w:val="20"/>
              </w:rPr>
            </w:pPr>
            <w:r w:rsidRPr="00914808">
              <w:rPr>
                <w:szCs w:val="20"/>
              </w:rPr>
              <w:t xml:space="preserve">Question score = simple mean of the 0 and 1 scores. </w:t>
            </w:r>
          </w:p>
          <w:p w14:paraId="6069E05E" w14:textId="77777777" w:rsidR="008C6A6C" w:rsidRPr="00914808" w:rsidRDefault="008C6A6C" w:rsidP="008C6A6C">
            <w:pPr>
              <w:spacing w:after="29" w:line="243" w:lineRule="auto"/>
              <w:ind w:left="-5"/>
              <w:rPr>
                <w:szCs w:val="20"/>
              </w:rPr>
            </w:pPr>
            <w:r w:rsidRPr="00914808">
              <w:rPr>
                <w:rFonts w:eastAsia="Calibri" w:cs="Calibri"/>
                <w:i/>
                <w:szCs w:val="20"/>
              </w:rPr>
              <w:t>B4. Please indicate the approaches used to teach GCED and ESD in primary and secondary education.</w:t>
            </w:r>
            <w:r w:rsidRPr="00914808">
              <w:rPr>
                <w:szCs w:val="20"/>
              </w:rPr>
              <w:t xml:space="preserve">  </w:t>
            </w:r>
          </w:p>
          <w:p w14:paraId="58D14E1D" w14:textId="77777777" w:rsidR="008C6A6C" w:rsidRPr="00914808" w:rsidRDefault="008C6A6C" w:rsidP="008C6A6C">
            <w:pPr>
              <w:rPr>
                <w:szCs w:val="20"/>
              </w:rPr>
            </w:pPr>
            <w:r w:rsidRPr="00914808">
              <w:rPr>
                <w:szCs w:val="20"/>
              </w:rPr>
              <w:t xml:space="preserve"> </w:t>
            </w:r>
          </w:p>
          <w:p w14:paraId="70AE91D0" w14:textId="77777777" w:rsidR="008C6A6C" w:rsidRPr="00914808" w:rsidRDefault="008C6A6C" w:rsidP="008C6A6C">
            <w:pPr>
              <w:rPr>
                <w:szCs w:val="20"/>
              </w:rPr>
            </w:pPr>
            <w:r w:rsidRPr="00914808">
              <w:rPr>
                <w:szCs w:val="20"/>
              </w:rPr>
              <w:lastRenderedPageBreak/>
              <w:t xml:space="preserve">There are four teaching approaches (GCED/ESD as separate subjects, cross-curricular, integrated, whole school) = 4 responses.  </w:t>
            </w:r>
          </w:p>
          <w:p w14:paraId="741CCC40"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0FD49E7A" w14:textId="77777777" w:rsidR="008C6A6C" w:rsidRPr="00914808" w:rsidRDefault="008C6A6C" w:rsidP="008C6A6C">
            <w:pPr>
              <w:spacing w:after="363"/>
              <w:rPr>
                <w:szCs w:val="20"/>
              </w:rPr>
            </w:pPr>
            <w:r w:rsidRPr="00914808">
              <w:rPr>
                <w:szCs w:val="20"/>
              </w:rPr>
              <w:t xml:space="preserve">If more than half of responses are unknown or blank the component score is not calculated. </w:t>
            </w:r>
          </w:p>
          <w:p w14:paraId="6AD05F19" w14:textId="77777777" w:rsidR="008C6A6C" w:rsidRPr="00914808" w:rsidRDefault="008C6A6C" w:rsidP="008C6A6C">
            <w:pPr>
              <w:spacing w:after="356"/>
              <w:ind w:left="-5" w:right="-15"/>
              <w:rPr>
                <w:szCs w:val="20"/>
              </w:rPr>
            </w:pPr>
            <w:r w:rsidRPr="00914808">
              <w:rPr>
                <w:szCs w:val="20"/>
              </w:rPr>
              <w:t>1</w:t>
            </w:r>
          </w:p>
          <w:p w14:paraId="56DD2570" w14:textId="77777777" w:rsidR="008C6A6C" w:rsidRPr="00914808" w:rsidRDefault="008C6A6C" w:rsidP="008C6A6C">
            <w:pPr>
              <w:spacing w:after="15"/>
              <w:ind w:left="10" w:right="-7"/>
              <w:jc w:val="right"/>
              <w:rPr>
                <w:szCs w:val="20"/>
              </w:rPr>
            </w:pPr>
            <w:r w:rsidRPr="00914808">
              <w:rPr>
                <w:szCs w:val="20"/>
              </w:rPr>
              <w:t xml:space="preserve">ities), </w:t>
            </w:r>
          </w:p>
          <w:p w14:paraId="7CF20E21" w14:textId="77777777" w:rsidR="008C6A6C" w:rsidRPr="00914808" w:rsidRDefault="008C6A6C" w:rsidP="008C6A6C">
            <w:pPr>
              <w:ind w:left="677"/>
              <w:rPr>
                <w:szCs w:val="20"/>
              </w:rPr>
            </w:pPr>
            <w:r w:rsidRPr="00914808">
              <w:rPr>
                <w:szCs w:val="20"/>
              </w:rPr>
              <w:t xml:space="preserve"> </w:t>
            </w:r>
          </w:p>
          <w:p w14:paraId="6D14FD06" w14:textId="77777777" w:rsidR="008C6A6C" w:rsidRPr="00914808" w:rsidRDefault="008C6A6C" w:rsidP="008C6A6C">
            <w:pPr>
              <w:ind w:left="1364"/>
              <w:rPr>
                <w:szCs w:val="20"/>
              </w:rPr>
            </w:pPr>
            <w:r w:rsidRPr="00914808">
              <w:rPr>
                <w:szCs w:val="20"/>
              </w:rPr>
              <w:t xml:space="preserve">Question score = simple mean of the 0 and 1 scores. </w:t>
            </w:r>
          </w:p>
          <w:p w14:paraId="593BC4E4" w14:textId="77777777" w:rsidR="008C6A6C" w:rsidRPr="00914808" w:rsidRDefault="008C6A6C" w:rsidP="008C6A6C">
            <w:pPr>
              <w:ind w:left="677"/>
              <w:rPr>
                <w:szCs w:val="20"/>
              </w:rPr>
            </w:pPr>
            <w:r w:rsidRPr="00914808">
              <w:rPr>
                <w:szCs w:val="20"/>
              </w:rPr>
              <w:t xml:space="preserve"> </w:t>
            </w:r>
          </w:p>
          <w:p w14:paraId="64FD4674"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(curricula) please indicate to what extent global citizenship education (GCED) and education for sustainable development (ESD) are mainstreamed</w:t>
            </w:r>
            <w:r w:rsidRPr="00914808">
              <w:rPr>
                <w:rFonts w:eastAsia="Calibri" w:cs="Calibri"/>
                <w:i/>
                <w:szCs w:val="20"/>
                <w:vertAlign w:val="superscript"/>
              </w:rPr>
              <w:t>2</w:t>
            </w:r>
            <w:r w:rsidRPr="00914808">
              <w:rPr>
                <w:rFonts w:eastAsia="Calibri" w:cs="Calibri"/>
                <w:i/>
                <w:szCs w:val="20"/>
              </w:rPr>
              <w:t xml:space="preserve"> in curricula in your country.</w:t>
            </w:r>
            <w:r w:rsidRPr="00914808">
              <w:rPr>
                <w:szCs w:val="20"/>
              </w:rPr>
              <w:t xml:space="preserve">  </w:t>
            </w:r>
          </w:p>
          <w:p w14:paraId="6384B1FF" w14:textId="77777777" w:rsidR="008C6A6C" w:rsidRPr="00914808" w:rsidRDefault="008C6A6C" w:rsidP="008C6A6C">
            <w:pPr>
              <w:spacing w:after="27"/>
              <w:rPr>
                <w:szCs w:val="20"/>
              </w:rPr>
            </w:pPr>
            <w:r w:rsidRPr="00914808">
              <w:rPr>
                <w:szCs w:val="20"/>
              </w:rPr>
              <w:t xml:space="preserve"> </w:t>
            </w:r>
          </w:p>
          <w:p w14:paraId="74AD6604" w14:textId="77777777" w:rsidR="008C6A6C" w:rsidRPr="00914808" w:rsidRDefault="008C6A6C" w:rsidP="008C6A6C">
            <w:pPr>
              <w:rPr>
                <w:szCs w:val="20"/>
              </w:rPr>
            </w:pPr>
            <w:r w:rsidRPr="00914808">
              <w:rPr>
                <w:szCs w:val="20"/>
              </w:rPr>
              <w:t xml:space="preserve">There are two levels of government (national, sub-national) = 2 responses. </w:t>
            </w:r>
          </w:p>
          <w:p w14:paraId="3B2F9440"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2B572B33"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4A211619"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72599D5D" w14:textId="77777777" w:rsidR="008C6A6C" w:rsidRPr="00914808" w:rsidRDefault="008C6A6C" w:rsidP="008C6A6C">
            <w:pPr>
              <w:spacing w:after="29"/>
              <w:ind w:left="677"/>
              <w:rPr>
                <w:szCs w:val="20"/>
              </w:rPr>
            </w:pPr>
            <w:r w:rsidRPr="00914808">
              <w:rPr>
                <w:szCs w:val="20"/>
              </w:rPr>
              <w:t xml:space="preserve"> </w:t>
            </w:r>
          </w:p>
          <w:p w14:paraId="72F6E248"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one of the two responses is ‘not applicable’, the sum of the 0, 1 and 2 scores is divided by 2 to get half the mean and not by 4). The score is half the mean in order to ensure it lies between 0 and 1, as do the scores for the other three questions in this section. </w:t>
            </w:r>
          </w:p>
          <w:p w14:paraId="0453DAC6" w14:textId="77777777" w:rsidR="008C6A6C" w:rsidRPr="00914808" w:rsidRDefault="008C6A6C" w:rsidP="008C6A6C">
            <w:pPr>
              <w:spacing w:after="29"/>
              <w:ind w:left="677"/>
              <w:rPr>
                <w:szCs w:val="20"/>
              </w:rPr>
            </w:pPr>
            <w:r w:rsidRPr="00914808">
              <w:rPr>
                <w:szCs w:val="20"/>
              </w:rPr>
              <w:t xml:space="preserve"> </w:t>
            </w:r>
          </w:p>
          <w:p w14:paraId="1FFC7FBA" w14:textId="77777777" w:rsidR="008C6A6C" w:rsidRPr="00914808" w:rsidRDefault="008C6A6C" w:rsidP="008C6A6C">
            <w:pPr>
              <w:ind w:left="10"/>
              <w:rPr>
                <w:szCs w:val="20"/>
              </w:rPr>
            </w:pPr>
            <w:r w:rsidRPr="00914808">
              <w:rPr>
                <w:szCs w:val="20"/>
              </w:rPr>
              <w:t xml:space="preserve">Curricula component score = simple mean of the scores for questions B2, B3, B4 and E1 (except where the component score should not be calculated because too many responses were unknown or blank). </w:t>
            </w:r>
          </w:p>
          <w:p w14:paraId="34BCB2FA" w14:textId="77777777" w:rsidR="008C6A6C" w:rsidRPr="00914808" w:rsidRDefault="008C6A6C" w:rsidP="008C6A6C">
            <w:pPr>
              <w:spacing w:after="31"/>
              <w:ind w:left="677"/>
              <w:rPr>
                <w:szCs w:val="20"/>
              </w:rPr>
            </w:pPr>
            <w:r w:rsidRPr="00914808">
              <w:rPr>
                <w:szCs w:val="20"/>
              </w:rPr>
              <w:t xml:space="preserve"> </w:t>
            </w:r>
          </w:p>
          <w:p w14:paraId="462AE155" w14:textId="77777777" w:rsidR="008C6A6C" w:rsidRPr="00914808" w:rsidRDefault="008C6A6C" w:rsidP="008C6A6C">
            <w:pPr>
              <w:spacing w:after="31"/>
              <w:ind w:left="333" w:right="-15"/>
              <w:rPr>
                <w:szCs w:val="20"/>
              </w:rPr>
            </w:pPr>
            <w:r w:rsidRPr="00914808">
              <w:rPr>
                <w:szCs w:val="20"/>
              </w:rPr>
              <w:t>(c)</w:t>
            </w:r>
            <w:r w:rsidRPr="00914808">
              <w:rPr>
                <w:rFonts w:eastAsia="Arial" w:cs="Arial"/>
                <w:szCs w:val="20"/>
              </w:rPr>
              <w:t xml:space="preserve"> </w:t>
            </w:r>
            <w:r w:rsidRPr="00914808">
              <w:rPr>
                <w:szCs w:val="20"/>
                <w:u w:val="single" w:color="000000"/>
              </w:rPr>
              <w:t>Teacher education</w:t>
            </w:r>
            <w:r w:rsidRPr="00914808">
              <w:rPr>
                <w:szCs w:val="20"/>
              </w:rPr>
              <w:t xml:space="preserve"> </w:t>
            </w:r>
          </w:p>
          <w:p w14:paraId="761362C7" w14:textId="77777777" w:rsidR="008C6A6C" w:rsidRPr="00914808" w:rsidRDefault="008C6A6C" w:rsidP="008C6A6C">
            <w:pPr>
              <w:spacing w:after="29"/>
              <w:rPr>
                <w:szCs w:val="20"/>
              </w:rPr>
            </w:pPr>
            <w:r w:rsidRPr="00914808">
              <w:rPr>
                <w:szCs w:val="20"/>
              </w:rPr>
              <w:t xml:space="preserve"> </w:t>
            </w:r>
          </w:p>
          <w:p w14:paraId="60C15185" w14:textId="77777777" w:rsidR="008C6A6C" w:rsidRPr="00914808" w:rsidRDefault="008C6A6C" w:rsidP="008C6A6C">
            <w:pPr>
              <w:ind w:left="10"/>
              <w:rPr>
                <w:szCs w:val="20"/>
              </w:rPr>
            </w:pPr>
            <w:r w:rsidRPr="00914808">
              <w:rPr>
                <w:szCs w:val="20"/>
              </w:rPr>
              <w:t xml:space="preserve">The following questions are used to calculate the teacher education component of the indicator: </w:t>
            </w:r>
          </w:p>
          <w:p w14:paraId="73614470" w14:textId="77777777" w:rsidR="008C6A6C" w:rsidRPr="00914808" w:rsidRDefault="008C6A6C" w:rsidP="008C6A6C">
            <w:pPr>
              <w:spacing w:after="29"/>
              <w:rPr>
                <w:szCs w:val="20"/>
              </w:rPr>
            </w:pPr>
            <w:r w:rsidRPr="00914808">
              <w:rPr>
                <w:szCs w:val="20"/>
              </w:rPr>
              <w:t xml:space="preserve"> </w:t>
            </w:r>
          </w:p>
          <w:p w14:paraId="758B76D1" w14:textId="77777777" w:rsidR="008C6A6C" w:rsidRPr="00914808" w:rsidRDefault="008C6A6C" w:rsidP="008C6A6C">
            <w:pPr>
              <w:spacing w:after="29" w:line="243" w:lineRule="auto"/>
              <w:ind w:left="-5"/>
              <w:rPr>
                <w:szCs w:val="20"/>
              </w:rPr>
            </w:pPr>
            <w:r w:rsidRPr="00914808">
              <w:rPr>
                <w:rFonts w:eastAsia="Calibri" w:cs="Calibri"/>
                <w:i/>
                <w:szCs w:val="20"/>
              </w:rPr>
              <w:t>C2: Please indicate whether teachers, trainers and educators are trained to teach GCED and ESD during initial or pre-service training and/or through continuing professional development.</w:t>
            </w:r>
            <w:r w:rsidRPr="00914808">
              <w:rPr>
                <w:szCs w:val="20"/>
              </w:rPr>
              <w:t xml:space="preserve">  </w:t>
            </w:r>
          </w:p>
          <w:p w14:paraId="025A3321" w14:textId="77777777" w:rsidR="008C6A6C" w:rsidRPr="00914808" w:rsidRDefault="008C6A6C" w:rsidP="008C6A6C">
            <w:pPr>
              <w:rPr>
                <w:szCs w:val="20"/>
              </w:rPr>
            </w:pPr>
            <w:r w:rsidRPr="00914808">
              <w:rPr>
                <w:szCs w:val="20"/>
              </w:rPr>
              <w:t xml:space="preserve">There are two types of training (initial/pre-service and continuing professional development) and two types of teachers (of selected subjects in which ESD/GCED are typically taught, and of other subjects) = 4 responses.  </w:t>
            </w:r>
          </w:p>
          <w:p w14:paraId="59682E90" w14:textId="77777777" w:rsidR="008C6A6C" w:rsidRPr="00914808" w:rsidRDefault="008C6A6C" w:rsidP="008C6A6C">
            <w:pPr>
              <w:rPr>
                <w:szCs w:val="20"/>
              </w:rPr>
            </w:pPr>
            <w:r w:rsidRPr="00914808">
              <w:rPr>
                <w:szCs w:val="20"/>
              </w:rPr>
              <w:lastRenderedPageBreak/>
              <w:t xml:space="preserve">Response categories are no = 0, yes = 1, and unknown, which is treated as zero. Blanks are also treated as zeros.  </w:t>
            </w:r>
          </w:p>
          <w:p w14:paraId="0CCF1F49"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00EFFD41" w14:textId="77777777" w:rsidR="008C6A6C" w:rsidRPr="00914808" w:rsidRDefault="008C6A6C" w:rsidP="008C6A6C">
            <w:pPr>
              <w:spacing w:after="29"/>
              <w:ind w:left="677"/>
              <w:rPr>
                <w:szCs w:val="20"/>
              </w:rPr>
            </w:pPr>
            <w:r w:rsidRPr="00914808">
              <w:rPr>
                <w:szCs w:val="20"/>
              </w:rPr>
              <w:t xml:space="preserve"> </w:t>
            </w:r>
          </w:p>
          <w:p w14:paraId="11D34FE7" w14:textId="77777777" w:rsidR="008C6A6C" w:rsidRPr="00914808" w:rsidRDefault="008C6A6C" w:rsidP="008C6A6C">
            <w:pPr>
              <w:ind w:left="1364"/>
              <w:rPr>
                <w:szCs w:val="20"/>
              </w:rPr>
            </w:pPr>
            <w:r w:rsidRPr="00914808">
              <w:rPr>
                <w:szCs w:val="20"/>
              </w:rPr>
              <w:t xml:space="preserve">Question score = simple mean of the 0 and 1 scores. </w:t>
            </w:r>
          </w:p>
          <w:p w14:paraId="72AD079D" w14:textId="77777777" w:rsidR="008C6A6C" w:rsidRPr="00914808" w:rsidRDefault="008C6A6C" w:rsidP="008C6A6C">
            <w:pPr>
              <w:spacing w:after="29"/>
              <w:rPr>
                <w:szCs w:val="20"/>
              </w:rPr>
            </w:pPr>
            <w:r w:rsidRPr="00914808">
              <w:rPr>
                <w:szCs w:val="20"/>
              </w:rPr>
              <w:t xml:space="preserve"> </w:t>
            </w:r>
          </w:p>
          <w:p w14:paraId="730A0E4D" w14:textId="77777777" w:rsidR="008C6A6C" w:rsidRPr="00914808" w:rsidRDefault="008C6A6C" w:rsidP="008C6A6C">
            <w:pPr>
              <w:spacing w:after="29" w:line="243" w:lineRule="auto"/>
              <w:ind w:left="-5"/>
              <w:rPr>
                <w:szCs w:val="20"/>
              </w:rPr>
            </w:pPr>
            <w:r w:rsidRPr="00914808">
              <w:rPr>
                <w:rFonts w:eastAsia="Calibri" w:cs="Calibri"/>
                <w:i/>
                <w:szCs w:val="20"/>
              </w:rPr>
              <w:t>C3. Please indicate on which GCED and ESD themes pre-service or in-service training is available for teachers, trainers and educators.</w:t>
            </w:r>
            <w:r w:rsidRPr="00914808">
              <w:rPr>
                <w:szCs w:val="20"/>
              </w:rPr>
              <w:t xml:space="preserve">  </w:t>
            </w:r>
          </w:p>
          <w:p w14:paraId="63D396BB" w14:textId="77777777" w:rsidR="008C6A6C" w:rsidRPr="00914808" w:rsidRDefault="008C6A6C" w:rsidP="008C6A6C">
            <w:pPr>
              <w:spacing w:after="29"/>
              <w:rPr>
                <w:szCs w:val="20"/>
              </w:rPr>
            </w:pPr>
            <w:r w:rsidRPr="00914808">
              <w:rPr>
                <w:szCs w:val="20"/>
              </w:rPr>
              <w:t xml:space="preserve"> </w:t>
            </w:r>
          </w:p>
          <w:p w14:paraId="474A8064"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 8 responses. </w:t>
            </w:r>
          </w:p>
          <w:p w14:paraId="102C4ADB"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0E4074D3"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59CE7E25" w14:textId="77777777" w:rsidR="008C6A6C" w:rsidRPr="00914808" w:rsidRDefault="008C6A6C" w:rsidP="008C6A6C">
            <w:pPr>
              <w:spacing w:after="29"/>
              <w:ind w:left="677"/>
              <w:rPr>
                <w:szCs w:val="20"/>
              </w:rPr>
            </w:pPr>
            <w:r w:rsidRPr="00914808">
              <w:rPr>
                <w:szCs w:val="20"/>
              </w:rPr>
              <w:t xml:space="preserve"> </w:t>
            </w:r>
          </w:p>
          <w:p w14:paraId="61CA33D2" w14:textId="77777777" w:rsidR="008C6A6C" w:rsidRPr="00914808" w:rsidRDefault="008C6A6C" w:rsidP="008C6A6C">
            <w:pPr>
              <w:spacing w:after="363"/>
              <w:ind w:left="1364"/>
              <w:rPr>
                <w:szCs w:val="20"/>
              </w:rPr>
            </w:pPr>
            <w:r w:rsidRPr="00914808">
              <w:rPr>
                <w:szCs w:val="20"/>
              </w:rPr>
              <w:t xml:space="preserve">Question score = simple mean of the 0 and 1 scores. </w:t>
            </w:r>
          </w:p>
          <w:p w14:paraId="2532EC16" w14:textId="77777777" w:rsidR="008C6A6C" w:rsidRPr="00914808" w:rsidRDefault="008C6A6C" w:rsidP="008C6A6C">
            <w:pPr>
              <w:spacing w:after="356"/>
              <w:ind w:left="-5" w:right="-15"/>
              <w:rPr>
                <w:szCs w:val="20"/>
              </w:rPr>
            </w:pPr>
            <w:r w:rsidRPr="00914808">
              <w:rPr>
                <w:szCs w:val="20"/>
              </w:rPr>
              <w:t>2</w:t>
            </w:r>
          </w:p>
          <w:p w14:paraId="2D97D7F1" w14:textId="77777777" w:rsidR="008C6A6C" w:rsidRPr="00914808" w:rsidRDefault="008C6A6C" w:rsidP="008C6A6C">
            <w:pPr>
              <w:spacing w:after="15"/>
              <w:ind w:left="10" w:right="-7"/>
              <w:jc w:val="right"/>
              <w:rPr>
                <w:szCs w:val="20"/>
              </w:rPr>
            </w:pPr>
            <w:r w:rsidRPr="00914808">
              <w:rPr>
                <w:szCs w:val="20"/>
              </w:rPr>
              <w:t xml:space="preserve">ities), </w:t>
            </w:r>
          </w:p>
          <w:p w14:paraId="35440B1F" w14:textId="77777777" w:rsidR="008C6A6C" w:rsidRPr="00914808" w:rsidRDefault="008C6A6C" w:rsidP="008C6A6C">
            <w:pPr>
              <w:ind w:left="677"/>
              <w:rPr>
                <w:szCs w:val="20"/>
              </w:rPr>
            </w:pPr>
            <w:r w:rsidRPr="00914808">
              <w:rPr>
                <w:szCs w:val="20"/>
              </w:rPr>
              <w:t xml:space="preserve"> </w:t>
            </w:r>
          </w:p>
          <w:p w14:paraId="0E6B848C" w14:textId="77777777" w:rsidR="008C6A6C" w:rsidRPr="00914808" w:rsidRDefault="008C6A6C" w:rsidP="008C6A6C">
            <w:pPr>
              <w:spacing w:after="29" w:line="243" w:lineRule="auto"/>
              <w:ind w:left="-5"/>
              <w:rPr>
                <w:szCs w:val="20"/>
              </w:rPr>
            </w:pPr>
            <w:r w:rsidRPr="00914808">
              <w:rPr>
                <w:rFonts w:eastAsia="Calibri" w:cs="Calibri"/>
                <w:i/>
                <w:szCs w:val="20"/>
              </w:rPr>
              <w:t>C4. Please indicate whether teachers, trainers and educators are trained to teach the following dimensions of learning in GCED and ESD.</w:t>
            </w:r>
            <w:r w:rsidRPr="00914808">
              <w:rPr>
                <w:szCs w:val="20"/>
              </w:rPr>
              <w:t xml:space="preserve">  </w:t>
            </w:r>
          </w:p>
          <w:p w14:paraId="4DC8B1FF" w14:textId="77777777" w:rsidR="008C6A6C" w:rsidRPr="00914808" w:rsidRDefault="008C6A6C" w:rsidP="008C6A6C">
            <w:pPr>
              <w:spacing w:after="29"/>
              <w:rPr>
                <w:szCs w:val="20"/>
              </w:rPr>
            </w:pPr>
            <w:r w:rsidRPr="00914808">
              <w:rPr>
                <w:szCs w:val="20"/>
              </w:rPr>
              <w:t xml:space="preserve"> </w:t>
            </w:r>
          </w:p>
          <w:p w14:paraId="276153E3" w14:textId="77777777" w:rsidR="008C6A6C" w:rsidRPr="00914808" w:rsidRDefault="008C6A6C" w:rsidP="008C6A6C">
            <w:pPr>
              <w:rPr>
                <w:szCs w:val="20"/>
              </w:rPr>
            </w:pPr>
            <w:r w:rsidRPr="00914808">
              <w:rPr>
                <w:szCs w:val="20"/>
              </w:rPr>
              <w:t xml:space="preserve">There are four learning dimensions (knowledge, skills, values, and attitudes/behaviours) = 4 responses.  </w:t>
            </w:r>
          </w:p>
          <w:p w14:paraId="5BDBF38B"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201B11A9"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49814507" w14:textId="77777777" w:rsidR="008C6A6C" w:rsidRPr="00914808" w:rsidRDefault="008C6A6C" w:rsidP="008C6A6C">
            <w:pPr>
              <w:ind w:left="677"/>
              <w:rPr>
                <w:szCs w:val="20"/>
              </w:rPr>
            </w:pPr>
            <w:r w:rsidRPr="00914808">
              <w:rPr>
                <w:szCs w:val="20"/>
              </w:rPr>
              <w:t xml:space="preserve"> </w:t>
            </w:r>
          </w:p>
          <w:p w14:paraId="7F420610" w14:textId="77777777" w:rsidR="008C6A6C" w:rsidRPr="00914808" w:rsidRDefault="008C6A6C" w:rsidP="008C6A6C">
            <w:pPr>
              <w:ind w:left="1364"/>
              <w:rPr>
                <w:szCs w:val="20"/>
              </w:rPr>
            </w:pPr>
            <w:r w:rsidRPr="00914808">
              <w:rPr>
                <w:szCs w:val="20"/>
              </w:rPr>
              <w:t xml:space="preserve">Question score = simple mean of the 0 and 1 scores. </w:t>
            </w:r>
          </w:p>
          <w:p w14:paraId="22EFA2ED" w14:textId="77777777" w:rsidR="008C6A6C" w:rsidRPr="00914808" w:rsidRDefault="008C6A6C" w:rsidP="008C6A6C">
            <w:pPr>
              <w:ind w:left="677"/>
              <w:rPr>
                <w:szCs w:val="20"/>
              </w:rPr>
            </w:pPr>
            <w:r w:rsidRPr="00914808">
              <w:rPr>
                <w:szCs w:val="20"/>
              </w:rPr>
              <w:t xml:space="preserve"> </w:t>
            </w:r>
          </w:p>
          <w:p w14:paraId="5E4A358A" w14:textId="77777777" w:rsidR="008C6A6C" w:rsidRPr="00914808" w:rsidRDefault="008C6A6C" w:rsidP="008C6A6C">
            <w:pPr>
              <w:spacing w:after="29" w:line="243" w:lineRule="auto"/>
              <w:ind w:left="-5"/>
              <w:rPr>
                <w:szCs w:val="20"/>
              </w:rPr>
            </w:pPr>
            <w:r w:rsidRPr="00914808">
              <w:rPr>
                <w:rFonts w:eastAsia="Calibri" w:cs="Calibri"/>
                <w:i/>
                <w:szCs w:val="20"/>
              </w:rPr>
              <w:t>C5. Please indicate whether teachers, trainers and educators are trained to use the following approaches to teach GCED and ESD in primary and secondary education</w:t>
            </w:r>
            <w:r w:rsidRPr="00914808">
              <w:rPr>
                <w:szCs w:val="20"/>
              </w:rPr>
              <w:t xml:space="preserve">.  </w:t>
            </w:r>
          </w:p>
          <w:p w14:paraId="5FF4C7FF" w14:textId="77777777" w:rsidR="008C6A6C" w:rsidRPr="00914808" w:rsidRDefault="008C6A6C" w:rsidP="008C6A6C">
            <w:pPr>
              <w:rPr>
                <w:szCs w:val="20"/>
              </w:rPr>
            </w:pPr>
            <w:r w:rsidRPr="00914808">
              <w:rPr>
                <w:szCs w:val="20"/>
              </w:rPr>
              <w:t xml:space="preserve"> </w:t>
            </w:r>
          </w:p>
          <w:p w14:paraId="4CA96BCF" w14:textId="77777777" w:rsidR="008C6A6C" w:rsidRPr="00914808" w:rsidRDefault="008C6A6C" w:rsidP="008C6A6C">
            <w:pPr>
              <w:rPr>
                <w:szCs w:val="20"/>
              </w:rPr>
            </w:pPr>
            <w:r w:rsidRPr="00914808">
              <w:rPr>
                <w:szCs w:val="20"/>
              </w:rPr>
              <w:t xml:space="preserve">There are four teaching approaches (GCED/ESD as separate subjects, cross-curricular, integrated, whole school) = 4 responses.  </w:t>
            </w:r>
          </w:p>
          <w:p w14:paraId="1A99CCCD"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19529DD5" w14:textId="77777777" w:rsidR="008C6A6C" w:rsidRPr="00914808" w:rsidRDefault="008C6A6C" w:rsidP="008C6A6C">
            <w:pPr>
              <w:ind w:left="970" w:hanging="970"/>
              <w:jc w:val="both"/>
              <w:rPr>
                <w:color w:val="0070C0"/>
                <w:szCs w:val="20"/>
              </w:rPr>
            </w:pPr>
          </w:p>
          <w:p w14:paraId="117DA130" w14:textId="77777777" w:rsidR="008C6A6C" w:rsidRPr="00914808" w:rsidRDefault="008C6A6C" w:rsidP="008C6A6C">
            <w:pPr>
              <w:rPr>
                <w:szCs w:val="20"/>
              </w:rPr>
            </w:pPr>
            <w:r w:rsidRPr="00914808">
              <w:rPr>
                <w:szCs w:val="20"/>
              </w:rPr>
              <w:lastRenderedPageBreak/>
              <w:t xml:space="preserve">If more than half of responses are unknown or blank, the component score is not calculated. </w:t>
            </w:r>
          </w:p>
          <w:p w14:paraId="1B9D79BE" w14:textId="77777777" w:rsidR="008C6A6C" w:rsidRPr="00914808" w:rsidRDefault="008C6A6C" w:rsidP="008C6A6C">
            <w:pPr>
              <w:spacing w:after="29"/>
              <w:ind w:left="677"/>
              <w:rPr>
                <w:szCs w:val="20"/>
              </w:rPr>
            </w:pPr>
            <w:r w:rsidRPr="00914808">
              <w:rPr>
                <w:szCs w:val="20"/>
              </w:rPr>
              <w:t xml:space="preserve"> </w:t>
            </w:r>
          </w:p>
          <w:p w14:paraId="0354368F" w14:textId="77777777" w:rsidR="008C6A6C" w:rsidRPr="00914808" w:rsidRDefault="008C6A6C" w:rsidP="008C6A6C">
            <w:pPr>
              <w:ind w:left="1364"/>
              <w:rPr>
                <w:szCs w:val="20"/>
              </w:rPr>
            </w:pPr>
            <w:r w:rsidRPr="00914808">
              <w:rPr>
                <w:szCs w:val="20"/>
              </w:rPr>
              <w:t xml:space="preserve">Question score = simple mean of the 0 and 1 scores. </w:t>
            </w:r>
          </w:p>
          <w:p w14:paraId="50BDB8D5" w14:textId="77777777" w:rsidR="008C6A6C" w:rsidRPr="00914808" w:rsidRDefault="008C6A6C" w:rsidP="008C6A6C">
            <w:pPr>
              <w:spacing w:after="29"/>
              <w:rPr>
                <w:szCs w:val="20"/>
              </w:rPr>
            </w:pPr>
            <w:r w:rsidRPr="00914808">
              <w:rPr>
                <w:szCs w:val="20"/>
              </w:rPr>
              <w:t xml:space="preserve"> </w:t>
            </w:r>
          </w:p>
          <w:p w14:paraId="196895A8"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(teacher education), please indicate to what extent global citizenship education (GCED) and education for sustainable development (ESD) are mainstreamed</w:t>
            </w:r>
            <w:r w:rsidRPr="00914808">
              <w:rPr>
                <w:rFonts w:eastAsia="Calibri" w:cs="Calibri"/>
                <w:i/>
                <w:szCs w:val="20"/>
                <w:vertAlign w:val="superscript"/>
              </w:rPr>
              <w:t>3</w:t>
            </w:r>
            <w:r w:rsidRPr="00914808">
              <w:rPr>
                <w:rFonts w:eastAsia="Calibri" w:cs="Calibri"/>
                <w:i/>
                <w:szCs w:val="20"/>
              </w:rPr>
              <w:t xml:space="preserve"> in teacher education in your country.</w:t>
            </w:r>
            <w:r w:rsidRPr="00914808">
              <w:rPr>
                <w:szCs w:val="20"/>
              </w:rPr>
              <w:t xml:space="preserve">  </w:t>
            </w:r>
          </w:p>
          <w:p w14:paraId="5C420314" w14:textId="77777777" w:rsidR="008C6A6C" w:rsidRPr="00914808" w:rsidRDefault="008C6A6C" w:rsidP="008C6A6C">
            <w:pPr>
              <w:rPr>
                <w:szCs w:val="20"/>
              </w:rPr>
            </w:pPr>
            <w:r w:rsidRPr="00914808">
              <w:rPr>
                <w:szCs w:val="20"/>
              </w:rPr>
              <w:t xml:space="preserve"> </w:t>
            </w:r>
          </w:p>
          <w:p w14:paraId="6B7D072E" w14:textId="77777777" w:rsidR="008C6A6C" w:rsidRPr="00914808" w:rsidRDefault="008C6A6C" w:rsidP="008C6A6C">
            <w:pPr>
              <w:rPr>
                <w:szCs w:val="20"/>
              </w:rPr>
            </w:pPr>
            <w:r w:rsidRPr="00914808">
              <w:rPr>
                <w:szCs w:val="20"/>
              </w:rPr>
              <w:t xml:space="preserve">There are two levels of government (national, sub-national) = 2 responses.  </w:t>
            </w:r>
          </w:p>
          <w:p w14:paraId="368965A6"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500D678C"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2D4A4253"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14DF232D" w14:textId="77777777" w:rsidR="008C6A6C" w:rsidRPr="00914808" w:rsidRDefault="008C6A6C" w:rsidP="008C6A6C">
            <w:pPr>
              <w:spacing w:after="29"/>
              <w:ind w:left="677"/>
              <w:rPr>
                <w:szCs w:val="20"/>
              </w:rPr>
            </w:pPr>
            <w:r w:rsidRPr="00914808">
              <w:rPr>
                <w:szCs w:val="20"/>
              </w:rPr>
              <w:t xml:space="preserve"> </w:t>
            </w:r>
          </w:p>
          <w:p w14:paraId="4F553197"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one of the two responses is ‘not applicable’, the sum of the 0, 1 and 2 scores is divided by 2 to get half the mean and not by 4). The score is half the mean in order to ensure it lies between 0 and 1, as do the scores for the other three questions in this section. </w:t>
            </w:r>
          </w:p>
          <w:p w14:paraId="125C4932" w14:textId="77777777" w:rsidR="008C6A6C" w:rsidRPr="00914808" w:rsidRDefault="008C6A6C" w:rsidP="008C6A6C">
            <w:pPr>
              <w:spacing w:after="29"/>
              <w:ind w:left="677"/>
              <w:rPr>
                <w:szCs w:val="20"/>
              </w:rPr>
            </w:pPr>
            <w:r w:rsidRPr="00914808">
              <w:rPr>
                <w:szCs w:val="20"/>
              </w:rPr>
              <w:t xml:space="preserve"> </w:t>
            </w:r>
          </w:p>
          <w:p w14:paraId="7970C6BF" w14:textId="77777777" w:rsidR="008C6A6C" w:rsidRPr="00914808" w:rsidRDefault="008C6A6C" w:rsidP="008C6A6C">
            <w:pPr>
              <w:ind w:left="10"/>
              <w:rPr>
                <w:szCs w:val="20"/>
              </w:rPr>
            </w:pPr>
            <w:r w:rsidRPr="00914808">
              <w:rPr>
                <w:szCs w:val="20"/>
              </w:rPr>
              <w:t xml:space="preserve">Teacher education component score = simple mean of the scores for questions C2, C3, C4, C5 and E1 (except where the component score should not be calculated because too many responses were unknown or blank). </w:t>
            </w:r>
          </w:p>
          <w:p w14:paraId="76858771" w14:textId="77777777" w:rsidR="008C6A6C" w:rsidRPr="00914808" w:rsidRDefault="008C6A6C" w:rsidP="008C6A6C">
            <w:pPr>
              <w:spacing w:after="29"/>
              <w:ind w:left="677"/>
              <w:rPr>
                <w:szCs w:val="20"/>
              </w:rPr>
            </w:pPr>
            <w:r w:rsidRPr="00914808">
              <w:rPr>
                <w:szCs w:val="20"/>
              </w:rPr>
              <w:t xml:space="preserve"> </w:t>
            </w:r>
          </w:p>
          <w:p w14:paraId="7BA9F634" w14:textId="77777777" w:rsidR="008C6A6C" w:rsidRPr="00914808" w:rsidRDefault="008C6A6C" w:rsidP="008C6A6C">
            <w:pPr>
              <w:spacing w:after="31"/>
              <w:ind w:left="333" w:right="-15"/>
              <w:rPr>
                <w:szCs w:val="20"/>
              </w:rPr>
            </w:pPr>
            <w:r w:rsidRPr="00914808">
              <w:rPr>
                <w:szCs w:val="20"/>
              </w:rPr>
              <w:t>(d)</w:t>
            </w:r>
            <w:r w:rsidRPr="00914808">
              <w:rPr>
                <w:rFonts w:eastAsia="Arial" w:cs="Arial"/>
                <w:szCs w:val="20"/>
              </w:rPr>
              <w:t xml:space="preserve"> </w:t>
            </w:r>
            <w:r w:rsidRPr="00914808">
              <w:rPr>
                <w:szCs w:val="20"/>
                <w:u w:val="single" w:color="000000"/>
              </w:rPr>
              <w:t>Student assessment</w:t>
            </w:r>
            <w:r w:rsidRPr="00914808">
              <w:rPr>
                <w:szCs w:val="20"/>
              </w:rPr>
              <w:t xml:space="preserve"> </w:t>
            </w:r>
          </w:p>
          <w:p w14:paraId="42572858" w14:textId="77777777" w:rsidR="008C6A6C" w:rsidRPr="00914808" w:rsidRDefault="008C6A6C" w:rsidP="008C6A6C">
            <w:pPr>
              <w:spacing w:after="29"/>
              <w:rPr>
                <w:szCs w:val="20"/>
              </w:rPr>
            </w:pPr>
            <w:r w:rsidRPr="00914808">
              <w:rPr>
                <w:szCs w:val="20"/>
              </w:rPr>
              <w:t xml:space="preserve"> </w:t>
            </w:r>
          </w:p>
          <w:p w14:paraId="24B390C3" w14:textId="77777777" w:rsidR="008C6A6C" w:rsidRPr="00914808" w:rsidRDefault="008C6A6C" w:rsidP="008C6A6C">
            <w:pPr>
              <w:ind w:left="10"/>
              <w:rPr>
                <w:szCs w:val="20"/>
              </w:rPr>
            </w:pPr>
            <w:r w:rsidRPr="00914808">
              <w:rPr>
                <w:szCs w:val="20"/>
              </w:rPr>
              <w:t xml:space="preserve">The following questions are used to calculate the student assessment component of the indicator: </w:t>
            </w:r>
          </w:p>
          <w:p w14:paraId="17C545AF" w14:textId="77777777" w:rsidR="008C6A6C" w:rsidRPr="00914808" w:rsidRDefault="008C6A6C" w:rsidP="008C6A6C">
            <w:pPr>
              <w:ind w:left="970" w:hanging="970"/>
              <w:jc w:val="both"/>
              <w:rPr>
                <w:color w:val="0070C0"/>
                <w:szCs w:val="20"/>
              </w:rPr>
            </w:pPr>
          </w:p>
          <w:p w14:paraId="060F10F0" w14:textId="77777777" w:rsidR="008C6A6C" w:rsidRPr="00914808" w:rsidRDefault="008C6A6C" w:rsidP="008C6A6C">
            <w:pPr>
              <w:spacing w:after="29" w:line="243" w:lineRule="auto"/>
              <w:ind w:left="-5"/>
              <w:rPr>
                <w:szCs w:val="20"/>
              </w:rPr>
            </w:pPr>
            <w:r w:rsidRPr="00914808">
              <w:rPr>
                <w:rFonts w:eastAsia="Calibri" w:cs="Calibri"/>
                <w:i/>
                <w:szCs w:val="20"/>
              </w:rPr>
              <w:t xml:space="preserve">D2: Please indicate whether the GCED and ESD themes below are generally included in </w:t>
            </w:r>
            <w:r w:rsidRPr="00914808">
              <w:rPr>
                <w:rFonts w:eastAsia="Calibri" w:cs="Calibri"/>
                <w:i/>
                <w:szCs w:val="20"/>
                <w:u w:val="single" w:color="000000"/>
              </w:rPr>
              <w:t>student assessments</w:t>
            </w:r>
            <w:r w:rsidRPr="00914808">
              <w:rPr>
                <w:rFonts w:eastAsia="Calibri" w:cs="Calibri"/>
                <w:i/>
                <w:szCs w:val="20"/>
              </w:rPr>
              <w:t xml:space="preserve"> </w:t>
            </w:r>
            <w:r w:rsidRPr="00914808">
              <w:rPr>
                <w:rFonts w:eastAsia="Calibri" w:cs="Calibri"/>
                <w:i/>
                <w:szCs w:val="20"/>
                <w:u w:val="single" w:color="000000"/>
              </w:rPr>
              <w:t>or examinations</w:t>
            </w:r>
            <w:r w:rsidRPr="00914808">
              <w:rPr>
                <w:rFonts w:eastAsia="Calibri" w:cs="Calibri"/>
                <w:i/>
                <w:szCs w:val="20"/>
              </w:rPr>
              <w:t>.</w:t>
            </w:r>
            <w:r w:rsidRPr="00914808">
              <w:rPr>
                <w:szCs w:val="20"/>
              </w:rPr>
              <w:t xml:space="preserve">  </w:t>
            </w:r>
          </w:p>
          <w:p w14:paraId="0B0969CF" w14:textId="77777777" w:rsidR="008C6A6C" w:rsidRPr="00914808" w:rsidRDefault="008C6A6C" w:rsidP="008C6A6C">
            <w:pPr>
              <w:rPr>
                <w:szCs w:val="20"/>
              </w:rPr>
            </w:pPr>
            <w:r w:rsidRPr="00914808">
              <w:rPr>
                <w:szCs w:val="20"/>
              </w:rPr>
              <w:t xml:space="preserve"> </w:t>
            </w:r>
          </w:p>
          <w:p w14:paraId="032CDA88"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 8 responses.  </w:t>
            </w:r>
          </w:p>
          <w:p w14:paraId="6AC84CF3"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213CF34D"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3A4EA677" w14:textId="77777777" w:rsidR="008C6A6C" w:rsidRPr="00914808" w:rsidRDefault="008C6A6C" w:rsidP="008C6A6C">
            <w:pPr>
              <w:ind w:left="677"/>
              <w:rPr>
                <w:szCs w:val="20"/>
              </w:rPr>
            </w:pPr>
            <w:r w:rsidRPr="00914808">
              <w:rPr>
                <w:szCs w:val="20"/>
              </w:rPr>
              <w:t xml:space="preserve"> </w:t>
            </w:r>
          </w:p>
          <w:p w14:paraId="765506BB" w14:textId="77777777" w:rsidR="008C6A6C" w:rsidRPr="00914808" w:rsidRDefault="008C6A6C" w:rsidP="008C6A6C">
            <w:pPr>
              <w:ind w:left="1364"/>
              <w:rPr>
                <w:szCs w:val="20"/>
              </w:rPr>
            </w:pPr>
            <w:r w:rsidRPr="00914808">
              <w:rPr>
                <w:szCs w:val="20"/>
              </w:rPr>
              <w:t xml:space="preserve">Question score = simple mean of the 0 and 1 scores. </w:t>
            </w:r>
          </w:p>
          <w:p w14:paraId="36F03C87" w14:textId="77777777" w:rsidR="008C6A6C" w:rsidRPr="00914808" w:rsidRDefault="008C6A6C" w:rsidP="008C6A6C">
            <w:pPr>
              <w:rPr>
                <w:szCs w:val="20"/>
              </w:rPr>
            </w:pPr>
            <w:r w:rsidRPr="00914808">
              <w:rPr>
                <w:szCs w:val="20"/>
              </w:rPr>
              <w:t xml:space="preserve"> </w:t>
            </w:r>
          </w:p>
          <w:p w14:paraId="394EE5FA" w14:textId="77777777" w:rsidR="008C6A6C" w:rsidRPr="00914808" w:rsidRDefault="008C6A6C" w:rsidP="008C6A6C">
            <w:pPr>
              <w:spacing w:after="29" w:line="243" w:lineRule="auto"/>
              <w:ind w:left="-5"/>
              <w:rPr>
                <w:szCs w:val="20"/>
              </w:rPr>
            </w:pPr>
            <w:r w:rsidRPr="00914808">
              <w:rPr>
                <w:rFonts w:eastAsia="Calibri" w:cs="Calibri"/>
                <w:i/>
                <w:szCs w:val="20"/>
              </w:rPr>
              <w:lastRenderedPageBreak/>
              <w:t xml:space="preserve">D3. Please indicate which of the dimensions of learning in GCED and ESD below are generally included in </w:t>
            </w:r>
            <w:r w:rsidRPr="00914808">
              <w:rPr>
                <w:rFonts w:eastAsia="Calibri" w:cs="Calibri"/>
                <w:i/>
                <w:szCs w:val="20"/>
                <w:u w:val="single" w:color="000000"/>
              </w:rPr>
              <w:t>student assessments or examinations</w:t>
            </w:r>
            <w:r w:rsidRPr="00914808">
              <w:rPr>
                <w:rFonts w:eastAsia="Calibri" w:cs="Calibri"/>
                <w:i/>
                <w:szCs w:val="20"/>
              </w:rPr>
              <w:t>.</w:t>
            </w:r>
            <w:r w:rsidRPr="00914808">
              <w:rPr>
                <w:szCs w:val="20"/>
              </w:rPr>
              <w:t xml:space="preserve">  </w:t>
            </w:r>
          </w:p>
          <w:p w14:paraId="22D986FB" w14:textId="77777777" w:rsidR="008C6A6C" w:rsidRPr="00914808" w:rsidRDefault="008C6A6C" w:rsidP="008C6A6C">
            <w:pPr>
              <w:rPr>
                <w:szCs w:val="20"/>
              </w:rPr>
            </w:pPr>
            <w:r w:rsidRPr="00914808">
              <w:rPr>
                <w:szCs w:val="20"/>
              </w:rPr>
              <w:t xml:space="preserve"> </w:t>
            </w:r>
          </w:p>
          <w:p w14:paraId="0E1C18E3" w14:textId="77777777" w:rsidR="008C6A6C" w:rsidRPr="00914808" w:rsidRDefault="008C6A6C" w:rsidP="008C6A6C">
            <w:pPr>
              <w:rPr>
                <w:szCs w:val="20"/>
              </w:rPr>
            </w:pPr>
            <w:r w:rsidRPr="00914808">
              <w:rPr>
                <w:szCs w:val="20"/>
              </w:rPr>
              <w:t>There are four learning dimensions (knowledge, skills, values, and attitudes/behaviours) = 4 responses</w:t>
            </w:r>
            <w:proofErr w:type="gramStart"/>
            <w:r w:rsidRPr="00914808">
              <w:rPr>
                <w:szCs w:val="20"/>
              </w:rPr>
              <w:t>..</w:t>
            </w:r>
            <w:proofErr w:type="gramEnd"/>
            <w:r w:rsidRPr="00914808">
              <w:rPr>
                <w:szCs w:val="20"/>
              </w:rPr>
              <w:t xml:space="preserve"> </w:t>
            </w:r>
          </w:p>
          <w:p w14:paraId="66F37DCD"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262E0A4D"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4F4DE3DE" w14:textId="77777777" w:rsidR="008C6A6C" w:rsidRPr="00914808" w:rsidRDefault="008C6A6C" w:rsidP="008C6A6C">
            <w:pPr>
              <w:spacing w:after="29"/>
              <w:ind w:left="677"/>
              <w:rPr>
                <w:szCs w:val="20"/>
              </w:rPr>
            </w:pPr>
            <w:r w:rsidRPr="00914808">
              <w:rPr>
                <w:szCs w:val="20"/>
              </w:rPr>
              <w:t xml:space="preserve"> </w:t>
            </w:r>
          </w:p>
          <w:p w14:paraId="7A2BA8D1" w14:textId="77777777" w:rsidR="008C6A6C" w:rsidRPr="00914808" w:rsidRDefault="008C6A6C" w:rsidP="008C6A6C">
            <w:pPr>
              <w:ind w:left="1364"/>
              <w:rPr>
                <w:szCs w:val="20"/>
              </w:rPr>
            </w:pPr>
            <w:r w:rsidRPr="00914808">
              <w:rPr>
                <w:szCs w:val="20"/>
              </w:rPr>
              <w:t xml:space="preserve">Question score = simple mean of the 0 and 1 scores. </w:t>
            </w:r>
          </w:p>
          <w:p w14:paraId="77F84CB6" w14:textId="77777777" w:rsidR="008C6A6C" w:rsidRPr="00914808" w:rsidRDefault="008C6A6C" w:rsidP="008C6A6C">
            <w:pPr>
              <w:spacing w:after="29"/>
              <w:ind w:left="677"/>
              <w:rPr>
                <w:szCs w:val="20"/>
              </w:rPr>
            </w:pPr>
            <w:r w:rsidRPr="00914808">
              <w:rPr>
                <w:szCs w:val="20"/>
              </w:rPr>
              <w:t xml:space="preserve"> </w:t>
            </w:r>
          </w:p>
          <w:p w14:paraId="0BA3ECD0"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(student assessment), please indicate to what extent global citizenship education (GCED) and education for sustainable development (ESD) are mainstreamed</w:t>
            </w:r>
            <w:r w:rsidRPr="00914808">
              <w:rPr>
                <w:rFonts w:eastAsia="Calibri" w:cs="Calibri"/>
                <w:i/>
                <w:szCs w:val="20"/>
                <w:vertAlign w:val="superscript"/>
              </w:rPr>
              <w:t>4</w:t>
            </w:r>
            <w:r w:rsidRPr="00914808">
              <w:rPr>
                <w:rFonts w:eastAsia="Calibri" w:cs="Calibri"/>
                <w:i/>
                <w:szCs w:val="20"/>
              </w:rPr>
              <w:t xml:space="preserve"> in student assessment in your country.</w:t>
            </w:r>
            <w:r w:rsidRPr="00914808">
              <w:rPr>
                <w:szCs w:val="20"/>
              </w:rPr>
              <w:t xml:space="preserve">  </w:t>
            </w:r>
          </w:p>
          <w:p w14:paraId="2AC0A36F" w14:textId="77777777" w:rsidR="008C6A6C" w:rsidRPr="00914808" w:rsidRDefault="008C6A6C" w:rsidP="008C6A6C">
            <w:pPr>
              <w:rPr>
                <w:szCs w:val="20"/>
              </w:rPr>
            </w:pPr>
            <w:r w:rsidRPr="00914808">
              <w:rPr>
                <w:szCs w:val="20"/>
              </w:rPr>
              <w:t xml:space="preserve"> </w:t>
            </w:r>
          </w:p>
          <w:p w14:paraId="3B4A91D2" w14:textId="77777777" w:rsidR="008C6A6C" w:rsidRPr="00914808" w:rsidRDefault="008C6A6C" w:rsidP="008C6A6C">
            <w:pPr>
              <w:rPr>
                <w:szCs w:val="20"/>
              </w:rPr>
            </w:pPr>
            <w:r w:rsidRPr="00914808">
              <w:rPr>
                <w:szCs w:val="20"/>
              </w:rPr>
              <w:t xml:space="preserve">There are two levels of government (national, sub-national) = 2 responses.  </w:t>
            </w:r>
          </w:p>
          <w:p w14:paraId="36C8FD7B"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57B12981"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42922131"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7B101AC8" w14:textId="77777777" w:rsidR="008C6A6C" w:rsidRPr="00914808" w:rsidRDefault="008C6A6C" w:rsidP="008C6A6C">
            <w:pPr>
              <w:spacing w:after="29"/>
              <w:ind w:left="677"/>
              <w:rPr>
                <w:szCs w:val="20"/>
              </w:rPr>
            </w:pPr>
            <w:r w:rsidRPr="00914808">
              <w:rPr>
                <w:szCs w:val="20"/>
              </w:rPr>
              <w:t xml:space="preserve"> </w:t>
            </w:r>
          </w:p>
          <w:p w14:paraId="33E05D86"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one of the two responses is ‘not applicable’, the sum of the 0, 1 and 2 scores is divided by 2 to get half the mean and not by 4). The score is half the mean in order to ensure it lies between 0 and 1, as do the scores for the other three questions in this section. </w:t>
            </w:r>
          </w:p>
          <w:p w14:paraId="4170A2B0" w14:textId="77777777" w:rsidR="008C6A6C" w:rsidRPr="00914808" w:rsidRDefault="008C6A6C" w:rsidP="008C6A6C">
            <w:pPr>
              <w:spacing w:after="29"/>
              <w:ind w:left="677"/>
              <w:rPr>
                <w:szCs w:val="20"/>
              </w:rPr>
            </w:pPr>
            <w:r w:rsidRPr="00914808">
              <w:rPr>
                <w:szCs w:val="20"/>
              </w:rPr>
              <w:t xml:space="preserve"> </w:t>
            </w:r>
          </w:p>
          <w:p w14:paraId="191E1EF2" w14:textId="77777777" w:rsidR="008C6A6C" w:rsidRPr="00914808" w:rsidRDefault="008C6A6C" w:rsidP="008C6A6C">
            <w:pPr>
              <w:ind w:left="10"/>
              <w:rPr>
                <w:szCs w:val="20"/>
              </w:rPr>
            </w:pPr>
            <w:r w:rsidRPr="00914808">
              <w:rPr>
                <w:szCs w:val="20"/>
              </w:rPr>
              <w:t xml:space="preserve">Student assessment component score = simple mean of the scores for questions D2, D3 and E1 (except where the component score should not be calculated because too many responses were unknown or blank). </w:t>
            </w:r>
          </w:p>
          <w:p w14:paraId="3395D7B2" w14:textId="77777777" w:rsidR="008C6A6C" w:rsidRPr="00914808" w:rsidRDefault="008C6A6C" w:rsidP="008C6A6C">
            <w:pPr>
              <w:rPr>
                <w:szCs w:val="20"/>
              </w:rPr>
            </w:pPr>
            <w:r w:rsidRPr="00914808">
              <w:rPr>
                <w:szCs w:val="20"/>
              </w:rPr>
              <w:t xml:space="preserve"> </w:t>
            </w:r>
          </w:p>
          <w:p w14:paraId="1680A0D5" w14:textId="77777777" w:rsidR="008C6A6C" w:rsidRPr="00914808" w:rsidRDefault="008C6A6C" w:rsidP="008C6A6C">
            <w:pPr>
              <w:ind w:left="10"/>
              <w:rPr>
                <w:szCs w:val="20"/>
              </w:rPr>
            </w:pPr>
            <w:r w:rsidRPr="00914808">
              <w:rPr>
                <w:szCs w:val="20"/>
              </w:rPr>
              <w:t xml:space="preserve">The component scores all lie between zero and one and are presented as a dashboard of four scores. They are not combined to create a single overall score for the indicator. The higher the score, the more GCED and ESD are mainstreamed in the given component. In this way, users can make a simple assessment in which component area more efforts may be needed.  </w:t>
            </w:r>
          </w:p>
          <w:p w14:paraId="5FA6C4B3" w14:textId="77777777" w:rsidR="008C6A6C" w:rsidRPr="00914808" w:rsidRDefault="008C6A6C" w:rsidP="008C6A6C">
            <w:pPr>
              <w:ind w:left="970" w:hanging="970"/>
              <w:jc w:val="both"/>
              <w:rPr>
                <w:color w:val="0070C0"/>
                <w:szCs w:val="30"/>
              </w:rPr>
            </w:pPr>
          </w:p>
        </w:tc>
        <w:tc>
          <w:tcPr>
            <w:tcW w:w="0" w:type="auto"/>
          </w:tcPr>
          <w:p w14:paraId="1BD4DF25" w14:textId="77777777" w:rsidR="008C6A6C" w:rsidRPr="0082186E" w:rsidRDefault="008C6A6C" w:rsidP="008C6A6C">
            <w:pPr>
              <w:pStyle w:val="NoSpacing"/>
            </w:pPr>
            <w:r w:rsidRPr="00AA6E66">
              <w:lastRenderedPageBreak/>
              <w:t xml:space="preserve">Responses are submitted by national governments, typically by officials in Ministries of Education. Respondents are asked </w:t>
            </w:r>
            <w:r w:rsidRPr="00AA6E66">
              <w:lastRenderedPageBreak/>
              <w:t>to consult widely across other government ministries, with national human rights institutes, the education sector and civil society organizations in compiling their responses.</w:t>
            </w:r>
          </w:p>
        </w:tc>
        <w:tc>
          <w:tcPr>
            <w:tcW w:w="0" w:type="auto"/>
          </w:tcPr>
          <w:p w14:paraId="5081594B" w14:textId="77777777" w:rsidR="008C6A6C" w:rsidRPr="0082186E" w:rsidRDefault="008C6A6C" w:rsidP="008C6A6C">
            <w:pPr>
              <w:pStyle w:val="NoSpacing"/>
            </w:pPr>
            <w:r w:rsidRPr="0082186E">
              <w:lastRenderedPageBreak/>
              <w:t>National data providers and national statistical offices</w:t>
            </w:r>
          </w:p>
        </w:tc>
        <w:tc>
          <w:tcPr>
            <w:tcW w:w="0" w:type="auto"/>
          </w:tcPr>
          <w:p w14:paraId="06CA1A60" w14:textId="1CDD3F21" w:rsidR="008C6A6C" w:rsidRDefault="008C6A6C" w:rsidP="008C6A6C">
            <w:pPr>
              <w:pStyle w:val="NoSpacing"/>
              <w:rPr>
                <w:color w:val="0070C0"/>
                <w:sz w:val="30"/>
                <w:szCs w:val="30"/>
              </w:rPr>
            </w:pPr>
          </w:p>
        </w:tc>
        <w:tc>
          <w:tcPr>
            <w:tcW w:w="0" w:type="auto"/>
          </w:tcPr>
          <w:p w14:paraId="12629863" w14:textId="77777777" w:rsidR="008C6A6C" w:rsidRPr="00702DF3" w:rsidRDefault="008C6A6C" w:rsidP="008C6A6C">
            <w:pPr>
              <w:pStyle w:val="NoSpacing"/>
            </w:pPr>
            <w:r w:rsidRPr="00702DF3">
              <w:t>a) SHED</w:t>
            </w:r>
            <w:r>
              <w:t>, MoE</w:t>
            </w:r>
          </w:p>
          <w:p w14:paraId="6B7CDAB0" w14:textId="77777777" w:rsidR="008C6A6C" w:rsidRPr="00702DF3" w:rsidRDefault="008C6A6C" w:rsidP="008C6A6C">
            <w:pPr>
              <w:pStyle w:val="NoSpacing"/>
            </w:pPr>
            <w:r w:rsidRPr="00702DF3">
              <w:t>b) TMED</w:t>
            </w:r>
            <w:r>
              <w:t>, MoE</w:t>
            </w:r>
          </w:p>
          <w:p w14:paraId="2FDE9224" w14:textId="77777777" w:rsidR="008C6A6C" w:rsidRDefault="008C6A6C" w:rsidP="008C6A6C">
            <w:pPr>
              <w:pStyle w:val="NoSpacing"/>
            </w:pPr>
            <w:r>
              <w:t xml:space="preserve">c) </w:t>
            </w:r>
            <w:r w:rsidRPr="00702DF3">
              <w:t>MoPME</w:t>
            </w:r>
          </w:p>
          <w:p w14:paraId="089940D4" w14:textId="77777777" w:rsidR="008C6A6C" w:rsidRDefault="008C6A6C" w:rsidP="008C6A6C">
            <w:pPr>
              <w:pStyle w:val="NoSpacing"/>
            </w:pPr>
          </w:p>
          <w:p w14:paraId="7A58BF02" w14:textId="77777777" w:rsidR="008C6A6C" w:rsidRPr="000B6315" w:rsidRDefault="008C6A6C" w:rsidP="008C6A6C">
            <w:pPr>
              <w:pStyle w:val="NoSpacing"/>
            </w:pPr>
            <w:r w:rsidRPr="000C36C6">
              <w:t>Administrative Data</w:t>
            </w:r>
          </w:p>
        </w:tc>
        <w:tc>
          <w:tcPr>
            <w:tcW w:w="0" w:type="auto"/>
          </w:tcPr>
          <w:p w14:paraId="39A4A032"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education policy: national education policies/ curricula/ teacher education/ students’ assessment</w:t>
            </w:r>
          </w:p>
          <w:p w14:paraId="7BA26A5D" w14:textId="77777777" w:rsidR="008C6A6C" w:rsidRDefault="008C6A6C" w:rsidP="008C6A6C">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global citizenship education/ education for sustainable development</w:t>
            </w:r>
          </w:p>
          <w:p w14:paraId="20D76793" w14:textId="77777777" w:rsidR="008C6A6C" w:rsidRDefault="008C6A6C" w:rsidP="008C6A6C">
            <w:pPr>
              <w:ind w:left="970" w:hanging="970"/>
              <w:jc w:val="both"/>
              <w:rPr>
                <w:color w:val="0070C0"/>
                <w:sz w:val="30"/>
                <w:szCs w:val="30"/>
              </w:rPr>
            </w:pPr>
          </w:p>
        </w:tc>
        <w:tc>
          <w:tcPr>
            <w:tcW w:w="0" w:type="auto"/>
          </w:tcPr>
          <w:p w14:paraId="02AD3A90" w14:textId="77777777" w:rsidR="008C6A6C" w:rsidRDefault="008C6A6C" w:rsidP="008C6A6C">
            <w:pPr>
              <w:ind w:left="970" w:hanging="970"/>
              <w:jc w:val="both"/>
              <w:rPr>
                <w:color w:val="0070C0"/>
                <w:sz w:val="30"/>
                <w:szCs w:val="30"/>
              </w:rPr>
            </w:pPr>
            <w:r w:rsidRPr="00BC6F10">
              <w:t>Triennial</w:t>
            </w:r>
          </w:p>
        </w:tc>
        <w:tc>
          <w:tcPr>
            <w:tcW w:w="0" w:type="auto"/>
          </w:tcPr>
          <w:p w14:paraId="4AAC56B7" w14:textId="77777777" w:rsidR="008C6A6C" w:rsidRDefault="008C6A6C" w:rsidP="008C6A6C">
            <w:pPr>
              <w:ind w:left="970" w:hanging="970"/>
              <w:jc w:val="both"/>
              <w:rPr>
                <w:color w:val="0070C0"/>
                <w:sz w:val="30"/>
                <w:szCs w:val="30"/>
              </w:rPr>
            </w:pPr>
            <w:r>
              <w:t>Group 2</w:t>
            </w:r>
          </w:p>
        </w:tc>
        <w:tc>
          <w:tcPr>
            <w:tcW w:w="0" w:type="auto"/>
          </w:tcPr>
          <w:p w14:paraId="5AC7FED7" w14:textId="77777777" w:rsidR="008C6A6C" w:rsidRDefault="008C6A6C" w:rsidP="008C6A6C">
            <w:pPr>
              <w:pStyle w:val="NoSpacing"/>
            </w:pPr>
            <w:r>
              <w:t>-</w:t>
            </w:r>
          </w:p>
          <w:p w14:paraId="45885C37" w14:textId="1891B34F" w:rsidR="008C6A6C" w:rsidRDefault="008C6A6C" w:rsidP="008C6A6C">
            <w:pPr>
              <w:pStyle w:val="NoSpacing"/>
            </w:pPr>
          </w:p>
          <w:p w14:paraId="1B468938" w14:textId="77777777" w:rsidR="008C6A6C" w:rsidRDefault="008C6A6C" w:rsidP="008C6A6C">
            <w:pPr>
              <w:pStyle w:val="NoSpacing"/>
            </w:pPr>
          </w:p>
          <w:p w14:paraId="7C0AD7A5" w14:textId="324A164C" w:rsidR="008C6A6C" w:rsidRDefault="008C6A6C" w:rsidP="008C6A6C">
            <w:pPr>
              <w:pStyle w:val="NoSpacing"/>
            </w:pPr>
            <w:r>
              <w:t>1</w:t>
            </w:r>
            <w:r w:rsidRPr="00013ACB">
              <w:rPr>
                <w:vertAlign w:val="superscript"/>
              </w:rPr>
              <w:t>st</w:t>
            </w:r>
            <w:r>
              <w:t xml:space="preserve"> Round:</w:t>
            </w:r>
            <w:r w:rsidR="00512471">
              <w:t xml:space="preserve"> December, 2020</w:t>
            </w:r>
          </w:p>
          <w:p w14:paraId="46FFDEE2" w14:textId="77777777" w:rsidR="008C6A6C" w:rsidRDefault="008C6A6C" w:rsidP="008C6A6C">
            <w:pPr>
              <w:pStyle w:val="NoSpacing"/>
            </w:pPr>
          </w:p>
          <w:p w14:paraId="61166D60" w14:textId="63D4AC96" w:rsidR="008C6A6C" w:rsidRDefault="008C6A6C" w:rsidP="008C6A6C">
            <w:pPr>
              <w:pStyle w:val="NoSpacing"/>
            </w:pPr>
            <w:r>
              <w:t>2</w:t>
            </w:r>
            <w:r w:rsidRPr="00013ACB">
              <w:rPr>
                <w:vertAlign w:val="superscript"/>
              </w:rPr>
              <w:t>nd</w:t>
            </w:r>
            <w:r>
              <w:t xml:space="preserve"> Round:</w:t>
            </w:r>
            <w:r w:rsidR="00512471">
              <w:t xml:space="preserve"> December, 2021</w:t>
            </w:r>
          </w:p>
          <w:p w14:paraId="346EDD95" w14:textId="77777777" w:rsidR="008C6A6C" w:rsidRDefault="008C6A6C" w:rsidP="008C6A6C">
            <w:pPr>
              <w:pStyle w:val="NoSpacing"/>
            </w:pPr>
            <w:r>
              <w:lastRenderedPageBreak/>
              <w:t xml:space="preserve"> </w:t>
            </w:r>
          </w:p>
          <w:p w14:paraId="1C377193" w14:textId="2370A1B8" w:rsidR="008C6A6C" w:rsidRDefault="008C6A6C" w:rsidP="008C6A6C">
            <w:pPr>
              <w:pStyle w:val="NoSpacing"/>
            </w:pPr>
            <w:r>
              <w:t>3</w:t>
            </w:r>
            <w:r w:rsidRPr="00013ACB">
              <w:rPr>
                <w:vertAlign w:val="superscript"/>
              </w:rPr>
              <w:t>rd</w:t>
            </w:r>
            <w:r>
              <w:t xml:space="preserve"> Round: </w:t>
            </w:r>
            <w:r w:rsidR="00512471">
              <w:t>December, 2022</w:t>
            </w:r>
          </w:p>
          <w:p w14:paraId="160CE314" w14:textId="77777777" w:rsidR="008C6A6C" w:rsidRDefault="008C6A6C" w:rsidP="008C6A6C">
            <w:pPr>
              <w:pStyle w:val="NoSpacing"/>
            </w:pPr>
          </w:p>
          <w:p w14:paraId="07704578" w14:textId="3DD4F492" w:rsidR="008C6A6C" w:rsidRDefault="008C6A6C" w:rsidP="008C6A6C">
            <w:pPr>
              <w:pStyle w:val="NoSpacing"/>
            </w:pPr>
            <w:r>
              <w:t>4</w:t>
            </w:r>
            <w:r w:rsidRPr="00013ACB">
              <w:rPr>
                <w:vertAlign w:val="superscript"/>
              </w:rPr>
              <w:t>th</w:t>
            </w:r>
            <w:r>
              <w:t xml:space="preserve"> Round: </w:t>
            </w:r>
            <w:r w:rsidR="00512471">
              <w:t>December, 2023</w:t>
            </w:r>
          </w:p>
          <w:p w14:paraId="7925BFD7" w14:textId="77777777" w:rsidR="008C6A6C" w:rsidRDefault="008C6A6C" w:rsidP="008C6A6C">
            <w:pPr>
              <w:pStyle w:val="NoSpacing"/>
            </w:pPr>
          </w:p>
          <w:p w14:paraId="383DA49A" w14:textId="059A970F" w:rsidR="008C6A6C" w:rsidRDefault="008C6A6C" w:rsidP="008C6A6C">
            <w:pPr>
              <w:pStyle w:val="NoSpacing"/>
            </w:pPr>
            <w:r>
              <w:t>5</w:t>
            </w:r>
            <w:r w:rsidRPr="00013ACB">
              <w:rPr>
                <w:vertAlign w:val="superscript"/>
              </w:rPr>
              <w:t>th</w:t>
            </w:r>
            <w:r>
              <w:t xml:space="preserve"> Round: </w:t>
            </w:r>
            <w:r w:rsidR="00512471">
              <w:t>December, 2024</w:t>
            </w:r>
          </w:p>
          <w:p w14:paraId="5087915C" w14:textId="6ECBA443" w:rsidR="008C6A6C" w:rsidRDefault="008C6A6C" w:rsidP="008C6A6C">
            <w:pPr>
              <w:pStyle w:val="NoSpacing"/>
            </w:pPr>
          </w:p>
        </w:tc>
        <w:tc>
          <w:tcPr>
            <w:tcW w:w="0" w:type="auto"/>
          </w:tcPr>
          <w:p w14:paraId="7BE04FF5" w14:textId="77777777" w:rsidR="008C6A6C" w:rsidRDefault="008C6A6C" w:rsidP="008C6A6C">
            <w:pPr>
              <w:pStyle w:val="NoSpacing"/>
            </w:pPr>
            <w:r>
              <w:lastRenderedPageBreak/>
              <w:t>UNSC 51 refinement</w:t>
            </w:r>
          </w:p>
          <w:p w14:paraId="67686C87" w14:textId="77777777" w:rsidR="008C6A6C" w:rsidRDefault="008C6A6C" w:rsidP="008C6A6C">
            <w:pPr>
              <w:pStyle w:val="NoSpacing"/>
            </w:pPr>
          </w:p>
          <w:p w14:paraId="2C186111" w14:textId="0B3702D2" w:rsidR="008C6A6C" w:rsidRDefault="008C6A6C" w:rsidP="008C6A6C">
            <w:pPr>
              <w:pStyle w:val="NoSpacing"/>
            </w:pPr>
            <w:r>
              <w:t>4.7.1</w:t>
            </w:r>
            <w:r w:rsidR="003353E6">
              <w:t xml:space="preserve"> &amp; </w:t>
            </w:r>
            <w:r>
              <w:t>13.3.1 are repeat</w:t>
            </w:r>
            <w:r w:rsidR="003353E6">
              <w:t>ed</w:t>
            </w:r>
          </w:p>
          <w:p w14:paraId="3E50A3D7" w14:textId="77777777" w:rsidR="008C6A6C" w:rsidRDefault="008C6A6C" w:rsidP="008C6A6C">
            <w:pPr>
              <w:pStyle w:val="NoSpacing"/>
            </w:pPr>
          </w:p>
          <w:p w14:paraId="36AA40B4" w14:textId="77777777" w:rsidR="008C6A6C" w:rsidRDefault="008C6A6C" w:rsidP="008C6A6C">
            <w:pPr>
              <w:pStyle w:val="NoSpacing"/>
            </w:pPr>
            <w:r>
              <w:t xml:space="preserve">Reviewed at Nov./Dec. 2019 WebEx meeting (classified </w:t>
            </w:r>
            <w:r>
              <w:lastRenderedPageBreak/>
              <w:t>as Tier II)</w:t>
            </w:r>
          </w:p>
          <w:p w14:paraId="3C810BD0" w14:textId="77777777" w:rsidR="008C6A6C" w:rsidRDefault="008C6A6C" w:rsidP="008C6A6C">
            <w:pPr>
              <w:pStyle w:val="NoSpacing"/>
            </w:pPr>
          </w:p>
          <w:p w14:paraId="3DAEFCE9" w14:textId="77777777" w:rsidR="008C6A6C" w:rsidRDefault="008C6A6C" w:rsidP="008C6A6C">
            <w:pPr>
              <w:pStyle w:val="NoSpacing"/>
            </w:pPr>
            <w:r>
              <w:t>Reviewed at Dec. 2018. WebEx meeting:</w:t>
            </w:r>
          </w:p>
          <w:p w14:paraId="7D294205" w14:textId="5873F905" w:rsidR="008C6A6C" w:rsidRDefault="008C6A6C" w:rsidP="008C6A6C">
            <w:pPr>
              <w:pStyle w:val="NoSpacing"/>
            </w:pPr>
            <w:r>
              <w:t xml:space="preserve">request additional work on questionnaire methodology (classified as </w:t>
            </w:r>
            <w:r w:rsidR="006B621F">
              <w:t>TBD</w:t>
            </w:r>
            <w:r>
              <w:t>)</w:t>
            </w:r>
          </w:p>
          <w:p w14:paraId="32D6AFAE" w14:textId="77777777" w:rsidR="008C6A6C" w:rsidRDefault="008C6A6C" w:rsidP="008C6A6C">
            <w:pPr>
              <w:pStyle w:val="NoSpacing"/>
            </w:pPr>
          </w:p>
          <w:p w14:paraId="711E7568" w14:textId="77777777" w:rsidR="008C6A6C" w:rsidRDefault="008C6A6C" w:rsidP="008C6A6C">
            <w:pPr>
              <w:pStyle w:val="NoSpacing"/>
            </w:pPr>
            <w:r>
              <w:t>Reviewed at 8th IAEG-SDG meeting: request additional work on methodology</w:t>
            </w:r>
          </w:p>
        </w:tc>
      </w:tr>
      <w:tr w:rsidR="008C6A6C" w14:paraId="52A89DEA" w14:textId="77777777" w:rsidTr="00A64F0D">
        <w:tc>
          <w:tcPr>
            <w:tcW w:w="0" w:type="auto"/>
          </w:tcPr>
          <w:p w14:paraId="4AF4F39B" w14:textId="77777777" w:rsidR="008C6A6C" w:rsidRDefault="008C6A6C" w:rsidP="008C6A6C">
            <w:pPr>
              <w:ind w:left="970" w:hanging="970"/>
              <w:jc w:val="both"/>
              <w:rPr>
                <w:color w:val="0070C0"/>
                <w:sz w:val="30"/>
                <w:szCs w:val="30"/>
              </w:rPr>
            </w:pPr>
          </w:p>
        </w:tc>
        <w:tc>
          <w:tcPr>
            <w:tcW w:w="0" w:type="auto"/>
            <w:gridSpan w:val="12"/>
          </w:tcPr>
          <w:p w14:paraId="32326710" w14:textId="77777777" w:rsidR="008C6A6C" w:rsidRDefault="008C6A6C" w:rsidP="008C6A6C">
            <w:pPr>
              <w:jc w:val="both"/>
              <w:rPr>
                <w:color w:val="0070C0"/>
                <w:sz w:val="48"/>
                <w:szCs w:val="48"/>
              </w:rPr>
            </w:pPr>
            <w:r>
              <w:rPr>
                <w:color w:val="0070C0"/>
                <w:sz w:val="30"/>
                <w:szCs w:val="30"/>
              </w:rPr>
              <w:t xml:space="preserve">Target </w:t>
            </w:r>
            <w:r w:rsidRPr="00C97C3C">
              <w:rPr>
                <w:color w:val="0070C0"/>
                <w:sz w:val="30"/>
                <w:szCs w:val="30"/>
              </w:rPr>
              <w:t>12.a Support developing countries to strengthen their scientific and technological capacity to move towards more sustainable patterns of consumption and production</w:t>
            </w:r>
          </w:p>
        </w:tc>
      </w:tr>
      <w:tr w:rsidR="008C6A6C" w14:paraId="258759BB" w14:textId="77777777" w:rsidTr="00A64F0D">
        <w:tc>
          <w:tcPr>
            <w:tcW w:w="0" w:type="auto"/>
          </w:tcPr>
          <w:p w14:paraId="29BEF054" w14:textId="77777777" w:rsidR="008C6A6C" w:rsidRDefault="008C6A6C" w:rsidP="008C6A6C">
            <w:pPr>
              <w:pStyle w:val="NoSpacing"/>
            </w:pPr>
            <w:r w:rsidRPr="00360230">
              <w:t>12.a.1 Installed renewable energy-</w:t>
            </w:r>
            <w:r w:rsidRPr="00360230">
              <w:lastRenderedPageBreak/>
              <w:t>generating capacity in developing countries (in watts per capita)</w:t>
            </w:r>
          </w:p>
        </w:tc>
        <w:tc>
          <w:tcPr>
            <w:tcW w:w="0" w:type="auto"/>
          </w:tcPr>
          <w:p w14:paraId="1D168396" w14:textId="77777777" w:rsidR="008C6A6C" w:rsidRDefault="008C6A6C" w:rsidP="008C6A6C">
            <w:pPr>
              <w:rPr>
                <w:color w:val="0070C0"/>
                <w:sz w:val="30"/>
                <w:szCs w:val="30"/>
              </w:rPr>
            </w:pPr>
          </w:p>
        </w:tc>
        <w:tc>
          <w:tcPr>
            <w:tcW w:w="0" w:type="auto"/>
          </w:tcPr>
          <w:p w14:paraId="03C2C665" w14:textId="742520A3" w:rsidR="008C6A6C" w:rsidRDefault="00754676" w:rsidP="008C6A6C">
            <w:pPr>
              <w:pStyle w:val="NoSpacing"/>
            </w:pPr>
            <w:r>
              <w:t>TBD</w:t>
            </w:r>
          </w:p>
        </w:tc>
        <w:tc>
          <w:tcPr>
            <w:tcW w:w="0" w:type="auto"/>
          </w:tcPr>
          <w:p w14:paraId="6241CD4E" w14:textId="77777777" w:rsidR="008C6A6C" w:rsidRPr="0028094D" w:rsidRDefault="008C6A6C" w:rsidP="008C6A6C">
            <w:pPr>
              <w:shd w:val="clear" w:color="auto" w:fill="FFFFFF"/>
              <w:ind w:left="-75"/>
              <w:rPr>
                <w:rFonts w:ascii="Arial" w:eastAsia="Times New Roman" w:hAnsi="Arial" w:cs="Arial"/>
                <w:color w:val="4A4A4A"/>
                <w:sz w:val="21"/>
                <w:szCs w:val="21"/>
              </w:rPr>
            </w:pPr>
            <w:r>
              <w:t>-</w:t>
            </w:r>
            <w:r>
              <w:rPr>
                <w:rFonts w:ascii="Arial" w:hAnsi="Arial" w:cs="Arial"/>
                <w:color w:val="4A4A4A"/>
                <w:sz w:val="18"/>
                <w:szCs w:val="18"/>
              </w:rPr>
              <w:t xml:space="preserve"> </w:t>
            </w:r>
            <w:r w:rsidRPr="0028094D">
              <w:rPr>
                <w:rFonts w:ascii="Arial" w:eastAsia="Times New Roman" w:hAnsi="Arial" w:cs="Arial"/>
                <w:i/>
                <w:iCs/>
                <w:color w:val="4A4A4A"/>
                <w:sz w:val="18"/>
                <w:szCs w:val="18"/>
              </w:rPr>
              <w:t>No data for this indicator is currently available and its methodology is still under development</w:t>
            </w:r>
          </w:p>
          <w:p w14:paraId="116E2785" w14:textId="77777777" w:rsidR="008C6A6C" w:rsidRDefault="008C6A6C" w:rsidP="008C6A6C">
            <w:pPr>
              <w:pStyle w:val="NoSpacing"/>
            </w:pPr>
          </w:p>
        </w:tc>
        <w:tc>
          <w:tcPr>
            <w:tcW w:w="0" w:type="auto"/>
          </w:tcPr>
          <w:p w14:paraId="49EEC84C" w14:textId="77777777" w:rsidR="008C6A6C" w:rsidRPr="004F329E" w:rsidRDefault="008C6A6C" w:rsidP="008C6A6C">
            <w:pPr>
              <w:pStyle w:val="NoSpacing"/>
            </w:pPr>
            <w:r>
              <w:t>-</w:t>
            </w:r>
          </w:p>
        </w:tc>
        <w:tc>
          <w:tcPr>
            <w:tcW w:w="0" w:type="auto"/>
          </w:tcPr>
          <w:p w14:paraId="6886E12D" w14:textId="77777777" w:rsidR="008C6A6C" w:rsidRDefault="008C6A6C" w:rsidP="008C6A6C">
            <w:pPr>
              <w:pStyle w:val="NoSpacing"/>
            </w:pPr>
            <w:r>
              <w:t>-</w:t>
            </w:r>
          </w:p>
        </w:tc>
        <w:tc>
          <w:tcPr>
            <w:tcW w:w="0" w:type="auto"/>
          </w:tcPr>
          <w:p w14:paraId="09DCB34B" w14:textId="7C1A5CB0" w:rsidR="008C6A6C" w:rsidRPr="00BC6F10" w:rsidRDefault="008C6A6C" w:rsidP="008C6A6C">
            <w:pPr>
              <w:spacing w:line="276" w:lineRule="auto"/>
              <w:jc w:val="center"/>
            </w:pPr>
          </w:p>
        </w:tc>
        <w:tc>
          <w:tcPr>
            <w:tcW w:w="0" w:type="auto"/>
          </w:tcPr>
          <w:p w14:paraId="3B23EECE" w14:textId="77777777" w:rsidR="008C6A6C" w:rsidRDefault="008C6A6C" w:rsidP="008C6A6C">
            <w:pPr>
              <w:spacing w:line="276" w:lineRule="auto"/>
              <w:jc w:val="center"/>
              <w:rPr>
                <w:szCs w:val="26"/>
              </w:rPr>
            </w:pPr>
          </w:p>
          <w:p w14:paraId="6C8D17BF" w14:textId="77777777" w:rsidR="008C6A6C" w:rsidRDefault="008C6A6C" w:rsidP="008C6A6C">
            <w:pPr>
              <w:spacing w:line="276" w:lineRule="auto"/>
              <w:jc w:val="center"/>
            </w:pPr>
            <w:r w:rsidRPr="007E4AEE">
              <w:t>SREDA, PD</w:t>
            </w:r>
          </w:p>
          <w:p w14:paraId="7BD4DC17" w14:textId="77777777" w:rsidR="008C6A6C" w:rsidRDefault="008C6A6C" w:rsidP="008C6A6C">
            <w:pPr>
              <w:spacing w:line="276" w:lineRule="auto"/>
              <w:jc w:val="center"/>
              <w:rPr>
                <w:szCs w:val="26"/>
              </w:rPr>
            </w:pPr>
          </w:p>
          <w:p w14:paraId="300C592A" w14:textId="77777777" w:rsidR="008C6A6C" w:rsidRDefault="008C6A6C" w:rsidP="008C6A6C">
            <w:pPr>
              <w:pStyle w:val="NoSpacing"/>
              <w:rPr>
                <w:color w:val="0070C0"/>
                <w:sz w:val="30"/>
                <w:szCs w:val="30"/>
              </w:rPr>
            </w:pPr>
            <w:r w:rsidRPr="000C36C6">
              <w:t>Administrat</w:t>
            </w:r>
            <w:r w:rsidRPr="000C36C6">
              <w:lastRenderedPageBreak/>
              <w:t>ive Data</w:t>
            </w:r>
          </w:p>
        </w:tc>
        <w:tc>
          <w:tcPr>
            <w:tcW w:w="0" w:type="auto"/>
          </w:tcPr>
          <w:p w14:paraId="64C56F01" w14:textId="77777777" w:rsidR="008C6A6C" w:rsidRDefault="008C6A6C" w:rsidP="008C6A6C">
            <w:pPr>
              <w:ind w:left="970" w:hanging="970"/>
              <w:jc w:val="both"/>
              <w:rPr>
                <w:color w:val="0070C0"/>
                <w:sz w:val="30"/>
                <w:szCs w:val="30"/>
              </w:rPr>
            </w:pPr>
          </w:p>
        </w:tc>
        <w:tc>
          <w:tcPr>
            <w:tcW w:w="0" w:type="auto"/>
          </w:tcPr>
          <w:p w14:paraId="054075E6" w14:textId="77777777" w:rsidR="008C6A6C" w:rsidRDefault="008C6A6C" w:rsidP="008C6A6C">
            <w:pPr>
              <w:ind w:left="970" w:hanging="970"/>
              <w:jc w:val="both"/>
              <w:rPr>
                <w:color w:val="0070C0"/>
                <w:sz w:val="30"/>
                <w:szCs w:val="30"/>
              </w:rPr>
            </w:pPr>
            <w:r w:rsidRPr="00BC6F10">
              <w:t>Annual</w:t>
            </w:r>
          </w:p>
        </w:tc>
        <w:tc>
          <w:tcPr>
            <w:tcW w:w="0" w:type="auto"/>
          </w:tcPr>
          <w:p w14:paraId="14F7A7B0" w14:textId="77777777" w:rsidR="008C6A6C" w:rsidRDefault="008C6A6C" w:rsidP="008C6A6C">
            <w:pPr>
              <w:ind w:left="970" w:hanging="970"/>
              <w:jc w:val="both"/>
              <w:rPr>
                <w:color w:val="0070C0"/>
                <w:sz w:val="30"/>
                <w:szCs w:val="30"/>
              </w:rPr>
            </w:pPr>
          </w:p>
        </w:tc>
        <w:tc>
          <w:tcPr>
            <w:tcW w:w="0" w:type="auto"/>
          </w:tcPr>
          <w:p w14:paraId="4EEBFB37" w14:textId="77777777" w:rsidR="008C6A6C" w:rsidRPr="00106BE7" w:rsidRDefault="008C6A6C" w:rsidP="008C6A6C">
            <w:pPr>
              <w:pStyle w:val="NoSpacing"/>
              <w:rPr>
                <w:w w:val="80"/>
                <w:sz w:val="18"/>
                <w:szCs w:val="22"/>
              </w:rPr>
            </w:pPr>
            <w:r w:rsidRPr="00106BE7">
              <w:rPr>
                <w:w w:val="80"/>
                <w:sz w:val="18"/>
                <w:szCs w:val="22"/>
              </w:rPr>
              <w:t>-</w:t>
            </w:r>
          </w:p>
          <w:p w14:paraId="4E113F2D" w14:textId="77777777" w:rsidR="008C6A6C" w:rsidRPr="00106BE7" w:rsidRDefault="008C6A6C" w:rsidP="008C6A6C">
            <w:pPr>
              <w:pStyle w:val="NoSpacing"/>
              <w:rPr>
                <w:w w:val="80"/>
                <w:sz w:val="18"/>
                <w:szCs w:val="22"/>
              </w:rPr>
            </w:pPr>
            <w:r w:rsidRPr="00106BE7">
              <w:rPr>
                <w:w w:val="80"/>
                <w:sz w:val="18"/>
                <w:szCs w:val="22"/>
              </w:rPr>
              <w:t>July, 2018</w:t>
            </w:r>
          </w:p>
          <w:p w14:paraId="06B18528" w14:textId="77777777" w:rsidR="008C6A6C" w:rsidRPr="00106BE7" w:rsidRDefault="008C6A6C" w:rsidP="008C6A6C">
            <w:pPr>
              <w:pStyle w:val="NoSpacing"/>
              <w:rPr>
                <w:w w:val="80"/>
                <w:sz w:val="18"/>
                <w:szCs w:val="22"/>
              </w:rPr>
            </w:pPr>
          </w:p>
          <w:p w14:paraId="634E00E8" w14:textId="3239EC70" w:rsidR="008C6A6C" w:rsidRPr="00106BE7" w:rsidRDefault="008C6A6C" w:rsidP="008C6A6C">
            <w:pPr>
              <w:pStyle w:val="NoSpacing"/>
              <w:rPr>
                <w:w w:val="80"/>
                <w:sz w:val="18"/>
                <w:szCs w:val="22"/>
              </w:rPr>
            </w:pPr>
            <w:r w:rsidRPr="00106BE7">
              <w:rPr>
                <w:w w:val="80"/>
                <w:sz w:val="18"/>
                <w:szCs w:val="22"/>
              </w:rPr>
              <w:t>1</w:t>
            </w:r>
            <w:r w:rsidRPr="00106BE7">
              <w:rPr>
                <w:w w:val="80"/>
                <w:sz w:val="18"/>
                <w:szCs w:val="22"/>
                <w:vertAlign w:val="superscript"/>
              </w:rPr>
              <w:t>st</w:t>
            </w:r>
            <w:r w:rsidRPr="00106BE7">
              <w:rPr>
                <w:w w:val="80"/>
                <w:sz w:val="18"/>
                <w:szCs w:val="22"/>
              </w:rPr>
              <w:t xml:space="preserve"> Round:</w:t>
            </w:r>
            <w:r w:rsidR="00512471" w:rsidRPr="00106BE7">
              <w:rPr>
                <w:w w:val="80"/>
                <w:sz w:val="18"/>
                <w:szCs w:val="22"/>
              </w:rPr>
              <w:t xml:space="preserve"> July, 2018</w:t>
            </w:r>
          </w:p>
          <w:p w14:paraId="4285B905" w14:textId="77777777" w:rsidR="008C6A6C" w:rsidRPr="00106BE7" w:rsidRDefault="008C6A6C" w:rsidP="008C6A6C">
            <w:pPr>
              <w:pStyle w:val="NoSpacing"/>
              <w:rPr>
                <w:w w:val="80"/>
                <w:sz w:val="18"/>
                <w:szCs w:val="22"/>
              </w:rPr>
            </w:pPr>
          </w:p>
          <w:p w14:paraId="1F17CE82" w14:textId="709684A4" w:rsidR="008C6A6C" w:rsidRPr="00106BE7" w:rsidRDefault="008C6A6C" w:rsidP="008C6A6C">
            <w:pPr>
              <w:pStyle w:val="NoSpacing"/>
              <w:rPr>
                <w:w w:val="80"/>
                <w:sz w:val="18"/>
                <w:szCs w:val="22"/>
              </w:rPr>
            </w:pPr>
            <w:r w:rsidRPr="00106BE7">
              <w:rPr>
                <w:w w:val="80"/>
                <w:sz w:val="18"/>
                <w:szCs w:val="22"/>
              </w:rPr>
              <w:t>2</w:t>
            </w:r>
            <w:r w:rsidRPr="00106BE7">
              <w:rPr>
                <w:w w:val="80"/>
                <w:sz w:val="18"/>
                <w:szCs w:val="22"/>
                <w:vertAlign w:val="superscript"/>
              </w:rPr>
              <w:t>nd</w:t>
            </w:r>
            <w:r w:rsidRPr="00106BE7">
              <w:rPr>
                <w:w w:val="80"/>
                <w:sz w:val="18"/>
                <w:szCs w:val="22"/>
              </w:rPr>
              <w:t xml:space="preserve"> Round:</w:t>
            </w:r>
            <w:r w:rsidR="00512471" w:rsidRPr="00106BE7">
              <w:rPr>
                <w:w w:val="80"/>
                <w:sz w:val="18"/>
                <w:szCs w:val="22"/>
              </w:rPr>
              <w:t xml:space="preserve"> July, 2019</w:t>
            </w:r>
          </w:p>
          <w:p w14:paraId="6F5A14F6" w14:textId="77777777" w:rsidR="008C6A6C" w:rsidRPr="00106BE7" w:rsidRDefault="008C6A6C" w:rsidP="008C6A6C">
            <w:pPr>
              <w:pStyle w:val="NoSpacing"/>
              <w:rPr>
                <w:w w:val="80"/>
                <w:sz w:val="18"/>
                <w:szCs w:val="22"/>
              </w:rPr>
            </w:pPr>
            <w:r w:rsidRPr="00106BE7">
              <w:rPr>
                <w:w w:val="80"/>
                <w:sz w:val="18"/>
                <w:szCs w:val="22"/>
              </w:rPr>
              <w:t xml:space="preserve"> </w:t>
            </w:r>
          </w:p>
          <w:p w14:paraId="6DE302FF" w14:textId="185EE230" w:rsidR="008C6A6C" w:rsidRPr="00106BE7" w:rsidRDefault="008C6A6C" w:rsidP="008C6A6C">
            <w:pPr>
              <w:pStyle w:val="NoSpacing"/>
              <w:rPr>
                <w:w w:val="80"/>
                <w:sz w:val="18"/>
                <w:szCs w:val="22"/>
              </w:rPr>
            </w:pPr>
            <w:r w:rsidRPr="00106BE7">
              <w:rPr>
                <w:w w:val="80"/>
                <w:sz w:val="18"/>
                <w:szCs w:val="22"/>
              </w:rPr>
              <w:t>3</w:t>
            </w:r>
            <w:r w:rsidRPr="00106BE7">
              <w:rPr>
                <w:w w:val="80"/>
                <w:sz w:val="18"/>
                <w:szCs w:val="22"/>
                <w:vertAlign w:val="superscript"/>
              </w:rPr>
              <w:t>rd</w:t>
            </w:r>
            <w:r w:rsidRPr="00106BE7">
              <w:rPr>
                <w:w w:val="80"/>
                <w:sz w:val="18"/>
                <w:szCs w:val="22"/>
              </w:rPr>
              <w:t xml:space="preserve"> Round: </w:t>
            </w:r>
            <w:r w:rsidR="00512471" w:rsidRPr="00106BE7">
              <w:rPr>
                <w:w w:val="80"/>
                <w:sz w:val="18"/>
                <w:szCs w:val="22"/>
              </w:rPr>
              <w:t>July, 2020</w:t>
            </w:r>
          </w:p>
          <w:p w14:paraId="38F6E48D" w14:textId="77777777" w:rsidR="008C6A6C" w:rsidRPr="00106BE7" w:rsidRDefault="008C6A6C" w:rsidP="008C6A6C">
            <w:pPr>
              <w:pStyle w:val="NoSpacing"/>
              <w:rPr>
                <w:w w:val="80"/>
                <w:sz w:val="18"/>
                <w:szCs w:val="22"/>
              </w:rPr>
            </w:pPr>
          </w:p>
          <w:p w14:paraId="72AACF0F" w14:textId="78A0DF4F" w:rsidR="008C6A6C" w:rsidRPr="00106BE7" w:rsidRDefault="008C6A6C" w:rsidP="008C6A6C">
            <w:pPr>
              <w:pStyle w:val="NoSpacing"/>
              <w:rPr>
                <w:w w:val="80"/>
                <w:sz w:val="18"/>
                <w:szCs w:val="22"/>
              </w:rPr>
            </w:pPr>
            <w:r w:rsidRPr="00106BE7">
              <w:rPr>
                <w:w w:val="80"/>
                <w:sz w:val="18"/>
                <w:szCs w:val="22"/>
              </w:rPr>
              <w:t>4</w:t>
            </w:r>
            <w:r w:rsidRPr="00106BE7">
              <w:rPr>
                <w:w w:val="80"/>
                <w:sz w:val="18"/>
                <w:szCs w:val="22"/>
                <w:vertAlign w:val="superscript"/>
              </w:rPr>
              <w:t>th</w:t>
            </w:r>
            <w:r w:rsidRPr="00106BE7">
              <w:rPr>
                <w:w w:val="80"/>
                <w:sz w:val="18"/>
                <w:szCs w:val="22"/>
              </w:rPr>
              <w:t xml:space="preserve"> Round: </w:t>
            </w:r>
            <w:r w:rsidR="00512471" w:rsidRPr="00106BE7">
              <w:rPr>
                <w:w w:val="80"/>
                <w:sz w:val="18"/>
                <w:szCs w:val="22"/>
              </w:rPr>
              <w:t>July, 2021</w:t>
            </w:r>
          </w:p>
          <w:p w14:paraId="1DD66A7D" w14:textId="77777777" w:rsidR="008C6A6C" w:rsidRPr="00106BE7" w:rsidRDefault="008C6A6C" w:rsidP="008C6A6C">
            <w:pPr>
              <w:pStyle w:val="NoSpacing"/>
              <w:rPr>
                <w:w w:val="80"/>
                <w:sz w:val="18"/>
                <w:szCs w:val="22"/>
              </w:rPr>
            </w:pPr>
          </w:p>
          <w:p w14:paraId="45BFF096" w14:textId="637078F5" w:rsidR="008C6A6C" w:rsidRPr="00106BE7" w:rsidRDefault="008C6A6C" w:rsidP="008C6A6C">
            <w:pPr>
              <w:pStyle w:val="NoSpacing"/>
              <w:rPr>
                <w:w w:val="80"/>
                <w:sz w:val="18"/>
                <w:szCs w:val="22"/>
              </w:rPr>
            </w:pPr>
            <w:r w:rsidRPr="00106BE7">
              <w:rPr>
                <w:w w:val="80"/>
                <w:sz w:val="18"/>
                <w:szCs w:val="22"/>
              </w:rPr>
              <w:t>5</w:t>
            </w:r>
            <w:r w:rsidRPr="00106BE7">
              <w:rPr>
                <w:w w:val="80"/>
                <w:sz w:val="18"/>
                <w:szCs w:val="22"/>
                <w:vertAlign w:val="superscript"/>
              </w:rPr>
              <w:t>th</w:t>
            </w:r>
            <w:r w:rsidRPr="00106BE7">
              <w:rPr>
                <w:w w:val="80"/>
                <w:sz w:val="18"/>
                <w:szCs w:val="22"/>
              </w:rPr>
              <w:t xml:space="preserve"> Round: </w:t>
            </w:r>
            <w:r w:rsidR="00512471" w:rsidRPr="00106BE7">
              <w:rPr>
                <w:w w:val="80"/>
                <w:sz w:val="18"/>
                <w:szCs w:val="22"/>
              </w:rPr>
              <w:t>July, 2022</w:t>
            </w:r>
          </w:p>
          <w:p w14:paraId="7BE8C813" w14:textId="57D19A58" w:rsidR="008C6A6C" w:rsidRPr="00106BE7" w:rsidRDefault="008C6A6C" w:rsidP="008C6A6C">
            <w:pPr>
              <w:pStyle w:val="NoSpacing"/>
              <w:rPr>
                <w:w w:val="80"/>
                <w:sz w:val="18"/>
                <w:szCs w:val="22"/>
              </w:rPr>
            </w:pPr>
          </w:p>
        </w:tc>
        <w:tc>
          <w:tcPr>
            <w:tcW w:w="0" w:type="auto"/>
          </w:tcPr>
          <w:p w14:paraId="2C508980" w14:textId="77777777" w:rsidR="008C6A6C" w:rsidRDefault="008C6A6C" w:rsidP="008C6A6C">
            <w:pPr>
              <w:pStyle w:val="NoSpacing"/>
            </w:pPr>
            <w:r>
              <w:lastRenderedPageBreak/>
              <w:t xml:space="preserve">UNSC 51 replacement included in the 2020 </w:t>
            </w:r>
            <w:r>
              <w:lastRenderedPageBreak/>
              <w:t>comprehensive review</w:t>
            </w:r>
          </w:p>
          <w:p w14:paraId="28B7AC13" w14:textId="77777777" w:rsidR="008C6A6C" w:rsidRDefault="008C6A6C" w:rsidP="008C6A6C">
            <w:pPr>
              <w:pStyle w:val="NoSpacing"/>
            </w:pPr>
          </w:p>
          <w:p w14:paraId="29510DB3" w14:textId="69E49E3D" w:rsidR="008C6A6C" w:rsidRDefault="001C664A" w:rsidP="008C6A6C">
            <w:pPr>
              <w:pStyle w:val="NoSpacing"/>
            </w:pPr>
            <w:r>
              <w:t>[ Repeated 7.b.1]</w:t>
            </w:r>
          </w:p>
        </w:tc>
      </w:tr>
      <w:tr w:rsidR="008C6A6C" w14:paraId="2116E817" w14:textId="77777777" w:rsidTr="00A64F0D">
        <w:tc>
          <w:tcPr>
            <w:tcW w:w="0" w:type="auto"/>
          </w:tcPr>
          <w:p w14:paraId="548A1C45" w14:textId="77777777" w:rsidR="008C6A6C" w:rsidRDefault="008C6A6C" w:rsidP="008C6A6C">
            <w:pPr>
              <w:ind w:left="970" w:hanging="970"/>
              <w:jc w:val="both"/>
              <w:rPr>
                <w:color w:val="0070C0"/>
                <w:sz w:val="30"/>
                <w:szCs w:val="30"/>
              </w:rPr>
            </w:pPr>
          </w:p>
        </w:tc>
        <w:tc>
          <w:tcPr>
            <w:tcW w:w="0" w:type="auto"/>
            <w:gridSpan w:val="12"/>
          </w:tcPr>
          <w:p w14:paraId="516B6BE4" w14:textId="77777777" w:rsidR="008C6A6C" w:rsidRDefault="008C6A6C" w:rsidP="008C6A6C">
            <w:pPr>
              <w:jc w:val="both"/>
              <w:rPr>
                <w:color w:val="0070C0"/>
                <w:sz w:val="48"/>
                <w:szCs w:val="48"/>
              </w:rPr>
            </w:pPr>
            <w:r>
              <w:rPr>
                <w:color w:val="0070C0"/>
                <w:sz w:val="30"/>
                <w:szCs w:val="30"/>
              </w:rPr>
              <w:t xml:space="preserve">Target </w:t>
            </w:r>
            <w:r w:rsidRPr="00C97C3C">
              <w:rPr>
                <w:color w:val="0070C0"/>
                <w:sz w:val="30"/>
                <w:szCs w:val="30"/>
              </w:rPr>
              <w:t>12.b Develop and implement tools to monitor sustainable development impacts for sustainable tourism that creates jobs and promotes local culture and products</w:t>
            </w:r>
          </w:p>
        </w:tc>
      </w:tr>
      <w:tr w:rsidR="008C6A6C" w14:paraId="0730FEDD" w14:textId="77777777" w:rsidTr="00A64F0D">
        <w:tc>
          <w:tcPr>
            <w:tcW w:w="0" w:type="auto"/>
          </w:tcPr>
          <w:p w14:paraId="06D2812B" w14:textId="77777777" w:rsidR="008C6A6C" w:rsidRPr="00360230" w:rsidRDefault="008C6A6C" w:rsidP="008C6A6C">
            <w:pPr>
              <w:pStyle w:val="NoSpacing"/>
            </w:pPr>
            <w:r w:rsidRPr="00360230">
              <w:t>12.b.1 Implementation of standard accounting tools to monitor the economic and environmental aspects of tourism sustainability</w:t>
            </w:r>
          </w:p>
        </w:tc>
        <w:tc>
          <w:tcPr>
            <w:tcW w:w="0" w:type="auto"/>
          </w:tcPr>
          <w:p w14:paraId="54B1F4AF" w14:textId="77777777" w:rsidR="008C6A6C" w:rsidRDefault="008C6A6C" w:rsidP="008C6A6C">
            <w:pPr>
              <w:rPr>
                <w:color w:val="0070C0"/>
                <w:sz w:val="30"/>
                <w:szCs w:val="30"/>
              </w:rPr>
            </w:pPr>
          </w:p>
        </w:tc>
        <w:tc>
          <w:tcPr>
            <w:tcW w:w="0" w:type="auto"/>
          </w:tcPr>
          <w:p w14:paraId="4A04C1E7" w14:textId="02977CF4" w:rsidR="008C6A6C" w:rsidRDefault="00754676" w:rsidP="008C6A6C">
            <w:pPr>
              <w:pStyle w:val="NoSpacing"/>
            </w:pPr>
            <w:r>
              <w:t>TBD</w:t>
            </w:r>
          </w:p>
        </w:tc>
        <w:tc>
          <w:tcPr>
            <w:tcW w:w="0" w:type="auto"/>
          </w:tcPr>
          <w:p w14:paraId="338F9D13" w14:textId="77777777" w:rsidR="008C6A6C" w:rsidRPr="000F15D4" w:rsidRDefault="008C6A6C" w:rsidP="008C6A6C">
            <w:pPr>
              <w:pStyle w:val="NoSpacing"/>
            </w:pPr>
            <w:r w:rsidRPr="000F15D4">
              <w:rPr>
                <w:b/>
              </w:rPr>
              <w:t>Definition:</w:t>
            </w:r>
            <w:r w:rsidRPr="000F15D4">
              <w:t xml:space="preserve"> </w:t>
            </w:r>
          </w:p>
          <w:p w14:paraId="2789B9CC" w14:textId="77777777" w:rsidR="008C6A6C" w:rsidRPr="000F15D4" w:rsidRDefault="008C6A6C" w:rsidP="008C6A6C">
            <w:pPr>
              <w:pStyle w:val="NoSpacing"/>
            </w:pPr>
            <w:r w:rsidRPr="000F15D4">
              <w:t xml:space="preserve">The indicator “Implementation of standard accounting tools to monitor the economic and environmental aspects of tourism sustainability” relates to the stage of implementation of two accounting standards: the Tourism Satellite Account: Recommended Methodological Framework 2008 and the System of Economic-Environmental Accounting 2012.  </w:t>
            </w:r>
          </w:p>
          <w:p w14:paraId="69A97D0E" w14:textId="77777777" w:rsidR="008C6A6C" w:rsidRPr="000F15D4" w:rsidRDefault="008C6A6C" w:rsidP="008C6A6C">
            <w:pPr>
              <w:pStyle w:val="NoSpacing"/>
            </w:pPr>
            <w:r w:rsidRPr="000F15D4">
              <w:rPr>
                <w:b/>
              </w:rPr>
              <w:t xml:space="preserve"> Concepts:</w:t>
            </w:r>
            <w:r w:rsidRPr="000F15D4">
              <w:t xml:space="preserve"> </w:t>
            </w:r>
          </w:p>
          <w:p w14:paraId="262F79E6" w14:textId="77777777" w:rsidR="008C6A6C" w:rsidRPr="000F15D4" w:rsidRDefault="008C6A6C" w:rsidP="008C6A6C">
            <w:pPr>
              <w:pStyle w:val="NoSpacing"/>
            </w:pPr>
            <w:r w:rsidRPr="000F15D4">
              <w:t xml:space="preserve"> </w:t>
            </w:r>
          </w:p>
          <w:p w14:paraId="0664310B" w14:textId="77777777" w:rsidR="008C6A6C" w:rsidRPr="000F15D4" w:rsidRDefault="008C6A6C" w:rsidP="008C6A6C">
            <w:pPr>
              <w:pStyle w:val="NoSpacing"/>
            </w:pPr>
            <w:r w:rsidRPr="000F15D4">
              <w:t xml:space="preserve">All the concepts related to tourism statistics can be found in the </w:t>
            </w:r>
            <w:r w:rsidRPr="000F15D4">
              <w:rPr>
                <w:u w:val="single"/>
              </w:rPr>
              <w:t>International Recommendations fo</w:t>
            </w:r>
            <w:hyperlink r:id="rId106">
              <w:r w:rsidRPr="000F15D4">
                <w:rPr>
                  <w:rStyle w:val="Hyperlink"/>
                </w:rPr>
                <w:t>r</w:t>
              </w:r>
            </w:hyperlink>
            <w:hyperlink r:id="rId107">
              <w:r w:rsidRPr="000F15D4">
                <w:rPr>
                  <w:rStyle w:val="Hyperlink"/>
                </w:rPr>
                <w:t xml:space="preserve"> </w:t>
              </w:r>
            </w:hyperlink>
            <w:hyperlink r:id="rId108">
              <w:r w:rsidRPr="000F15D4">
                <w:rPr>
                  <w:rStyle w:val="Hyperlink"/>
                </w:rPr>
                <w:t>Tourism Statistics 2008</w:t>
              </w:r>
            </w:hyperlink>
            <w:hyperlink r:id="rId109">
              <w:r w:rsidRPr="000F15D4">
                <w:rPr>
                  <w:rStyle w:val="Hyperlink"/>
                </w:rPr>
                <w:t>:</w:t>
              </w:r>
            </w:hyperlink>
            <w:r w:rsidRPr="000F15D4">
              <w:t xml:space="preserve"> </w:t>
            </w:r>
          </w:p>
          <w:p w14:paraId="4CBA2738" w14:textId="77777777" w:rsidR="008C6A6C" w:rsidRPr="000F15D4" w:rsidRDefault="008C6A6C" w:rsidP="008C6A6C">
            <w:pPr>
              <w:pStyle w:val="NoSpacing"/>
            </w:pPr>
            <w:r w:rsidRPr="000F15D4">
              <w:rPr>
                <w:b/>
              </w:rPr>
              <w:t xml:space="preserve"> </w:t>
            </w:r>
          </w:p>
          <w:p w14:paraId="1C7F8057" w14:textId="77777777" w:rsidR="008C6A6C" w:rsidRPr="000F15D4" w:rsidRDefault="008C6A6C" w:rsidP="008C6A6C">
            <w:pPr>
              <w:pStyle w:val="NoSpacing"/>
            </w:pPr>
            <w:r w:rsidRPr="000F15D4">
              <w:t>The</w:t>
            </w:r>
            <w:hyperlink r:id="rId110">
              <w:r w:rsidRPr="000F15D4">
                <w:rPr>
                  <w:rStyle w:val="Hyperlink"/>
                </w:rPr>
                <w:t xml:space="preserve"> </w:t>
              </w:r>
            </w:hyperlink>
            <w:hyperlink r:id="rId111">
              <w:r w:rsidRPr="000F15D4">
                <w:rPr>
                  <w:rStyle w:val="Hyperlink"/>
                </w:rPr>
                <w:t>SEEA</w:t>
              </w:r>
            </w:hyperlink>
            <w:hyperlink r:id="rId112">
              <w:r w:rsidRPr="000F15D4">
                <w:rPr>
                  <w:rStyle w:val="Hyperlink"/>
                </w:rPr>
                <w:t xml:space="preserve"> </w:t>
              </w:r>
            </w:hyperlink>
            <w:r w:rsidRPr="000F15D4">
              <w:t xml:space="preserve">brings together economic and environmental information in an internationally agreed set of standard concepts, definitions, classifications, accounting rules and tables to produce internationally comparable statistics. </w:t>
            </w:r>
          </w:p>
          <w:p w14:paraId="626B39C8" w14:textId="77777777" w:rsidR="008C6A6C" w:rsidRPr="000F15D4" w:rsidRDefault="008C6A6C" w:rsidP="008C6A6C">
            <w:pPr>
              <w:pStyle w:val="NoSpacing"/>
            </w:pPr>
            <w:r w:rsidRPr="000F15D4">
              <w:rPr>
                <w:b/>
              </w:rPr>
              <w:t xml:space="preserve"> </w:t>
            </w:r>
          </w:p>
          <w:p w14:paraId="4694A5FE" w14:textId="77777777" w:rsidR="008C6A6C" w:rsidRPr="000F15D4" w:rsidRDefault="008C6A6C" w:rsidP="008C6A6C">
            <w:pPr>
              <w:pStyle w:val="NoSpacing"/>
            </w:pPr>
            <w:r w:rsidRPr="000F15D4">
              <w:t xml:space="preserve"> </w:t>
            </w:r>
          </w:p>
          <w:p w14:paraId="4FB0D02C" w14:textId="77777777" w:rsidR="008C6A6C" w:rsidRPr="000F15D4" w:rsidRDefault="008C6A6C" w:rsidP="008C6A6C">
            <w:pPr>
              <w:pStyle w:val="NoSpacing"/>
            </w:pPr>
            <w:r w:rsidRPr="000F15D4">
              <w:rPr>
                <w:b/>
              </w:rPr>
              <w:t>Computation Method:</w:t>
            </w:r>
            <w:r w:rsidRPr="000F15D4">
              <w:t xml:space="preserve"> </w:t>
            </w:r>
          </w:p>
          <w:p w14:paraId="4D2F0C17" w14:textId="77777777" w:rsidR="008C6A6C" w:rsidRPr="000F15D4" w:rsidRDefault="008C6A6C" w:rsidP="008C6A6C">
            <w:pPr>
              <w:pStyle w:val="NoSpacing"/>
            </w:pPr>
            <w:r w:rsidRPr="000F15D4">
              <w:t xml:space="preserve"> </w:t>
            </w:r>
          </w:p>
          <w:p w14:paraId="20EF9B9C" w14:textId="77777777" w:rsidR="008C6A6C" w:rsidRPr="000F15D4" w:rsidRDefault="008C6A6C" w:rsidP="008C6A6C">
            <w:pPr>
              <w:pStyle w:val="NoSpacing"/>
            </w:pPr>
            <w:r w:rsidRPr="000F15D4">
              <w:t xml:space="preserve">Sum of the tables produced in both the TSA and the SEEA: </w:t>
            </w:r>
          </w:p>
          <w:p w14:paraId="23316D91" w14:textId="77777777" w:rsidR="008C6A6C" w:rsidRPr="000F15D4" w:rsidRDefault="008C6A6C" w:rsidP="008C6A6C">
            <w:pPr>
              <w:pStyle w:val="NoSpacing"/>
              <w:numPr>
                <w:ilvl w:val="0"/>
                <w:numId w:val="142"/>
              </w:numPr>
            </w:pPr>
            <w:r w:rsidRPr="000F15D4">
              <w:t xml:space="preserve">TSA core tables (from table 1 to table 6) </w:t>
            </w:r>
          </w:p>
          <w:p w14:paraId="3A450880" w14:textId="77777777" w:rsidR="008C6A6C" w:rsidRPr="000F15D4" w:rsidRDefault="008C6A6C" w:rsidP="008C6A6C">
            <w:pPr>
              <w:pStyle w:val="NoSpacing"/>
              <w:numPr>
                <w:ilvl w:val="0"/>
                <w:numId w:val="142"/>
              </w:numPr>
            </w:pPr>
            <w:r w:rsidRPr="000F15D4">
              <w:t xml:space="preserve">SEEA tables relevant to tourism: water flows, energy flows, GHG emissions and solid waste </w:t>
            </w:r>
          </w:p>
          <w:p w14:paraId="0563F284" w14:textId="77777777" w:rsidR="008C6A6C" w:rsidRDefault="008C6A6C" w:rsidP="008C6A6C">
            <w:pPr>
              <w:pStyle w:val="NoSpacing"/>
            </w:pPr>
          </w:p>
        </w:tc>
        <w:tc>
          <w:tcPr>
            <w:tcW w:w="0" w:type="auto"/>
          </w:tcPr>
          <w:p w14:paraId="665B6786" w14:textId="77777777" w:rsidR="008C6A6C" w:rsidRDefault="008C6A6C" w:rsidP="008C6A6C">
            <w:pPr>
              <w:pStyle w:val="NoSpacing"/>
            </w:pPr>
            <w:r>
              <w:t xml:space="preserve">UNWTO collects the data on SEEA implementation through a questionnaire directly from UNSD.   </w:t>
            </w:r>
          </w:p>
        </w:tc>
        <w:tc>
          <w:tcPr>
            <w:tcW w:w="0" w:type="auto"/>
          </w:tcPr>
          <w:p w14:paraId="5B9F7B03" w14:textId="77777777" w:rsidR="008C6A6C" w:rsidRDefault="008C6A6C" w:rsidP="008C6A6C">
            <w:r>
              <w:t xml:space="preserve">For the TSA: National Statistics Offices and/or National Tourism Administrations.  </w:t>
            </w:r>
          </w:p>
          <w:p w14:paraId="103EFB2F" w14:textId="77777777" w:rsidR="008C6A6C" w:rsidRDefault="008C6A6C" w:rsidP="008C6A6C"/>
          <w:p w14:paraId="5B36EC6D" w14:textId="77777777" w:rsidR="008C6A6C" w:rsidRDefault="008C6A6C" w:rsidP="008C6A6C">
            <w:r>
              <w:t>For the SEEA: National Statistics Offices and/or environment or planning offices</w:t>
            </w:r>
            <w:r>
              <w:rPr>
                <w:color w:val="494949"/>
              </w:rPr>
              <w:t xml:space="preserve">. </w:t>
            </w:r>
            <w:r>
              <w:rPr>
                <w:color w:val="4A4A4A"/>
              </w:rPr>
              <w:t xml:space="preserve"> </w:t>
            </w:r>
          </w:p>
          <w:p w14:paraId="6518EDD5" w14:textId="77777777" w:rsidR="008C6A6C" w:rsidRPr="004F329E" w:rsidRDefault="008C6A6C" w:rsidP="008C6A6C">
            <w:pPr>
              <w:pStyle w:val="NoSpacing"/>
            </w:pPr>
          </w:p>
        </w:tc>
        <w:tc>
          <w:tcPr>
            <w:tcW w:w="0" w:type="auto"/>
          </w:tcPr>
          <w:p w14:paraId="453C88C6" w14:textId="2DBBC135" w:rsidR="008C6A6C" w:rsidRPr="000C36C6" w:rsidRDefault="008C6A6C" w:rsidP="008C6A6C">
            <w:pPr>
              <w:pStyle w:val="NoSpacing"/>
            </w:pPr>
          </w:p>
        </w:tc>
        <w:tc>
          <w:tcPr>
            <w:tcW w:w="0" w:type="auto"/>
          </w:tcPr>
          <w:p w14:paraId="04A88EE2" w14:textId="49F1DABF" w:rsidR="008C6A6C" w:rsidRDefault="008C6A6C" w:rsidP="008C6A6C">
            <w:pPr>
              <w:pStyle w:val="NoSpacing"/>
            </w:pPr>
          </w:p>
          <w:p w14:paraId="517E2BEC" w14:textId="77777777" w:rsidR="008C6A6C" w:rsidRPr="00BC6F10" w:rsidRDefault="008C6A6C" w:rsidP="008C6A6C">
            <w:pPr>
              <w:pStyle w:val="NoSpacing"/>
            </w:pPr>
            <w:r>
              <w:t>NAW, BBS</w:t>
            </w:r>
          </w:p>
        </w:tc>
        <w:tc>
          <w:tcPr>
            <w:tcW w:w="0" w:type="auto"/>
          </w:tcPr>
          <w:p w14:paraId="7067E2EF" w14:textId="165603B8" w:rsidR="008C6A6C" w:rsidRDefault="000F34D9" w:rsidP="008C6A6C">
            <w:pPr>
              <w:ind w:left="970" w:hanging="970"/>
              <w:jc w:val="both"/>
              <w:rPr>
                <w:color w:val="0070C0"/>
                <w:sz w:val="30"/>
                <w:szCs w:val="30"/>
              </w:rPr>
            </w:pPr>
            <w:r>
              <w:rPr>
                <w:sz w:val="21"/>
                <w:szCs w:val="21"/>
              </w:rPr>
              <w:t>Not applicable</w:t>
            </w:r>
          </w:p>
        </w:tc>
        <w:tc>
          <w:tcPr>
            <w:tcW w:w="0" w:type="auto"/>
          </w:tcPr>
          <w:p w14:paraId="5C79E1BC" w14:textId="77777777" w:rsidR="008C6A6C" w:rsidRDefault="008C6A6C" w:rsidP="008C6A6C">
            <w:pPr>
              <w:ind w:left="970" w:hanging="970"/>
              <w:jc w:val="both"/>
              <w:rPr>
                <w:color w:val="0070C0"/>
                <w:sz w:val="30"/>
                <w:szCs w:val="30"/>
              </w:rPr>
            </w:pPr>
            <w:r w:rsidRPr="00BC6F10">
              <w:t>Triennial</w:t>
            </w:r>
          </w:p>
        </w:tc>
        <w:tc>
          <w:tcPr>
            <w:tcW w:w="0" w:type="auto"/>
          </w:tcPr>
          <w:p w14:paraId="4AD5CD53" w14:textId="77777777" w:rsidR="008C6A6C" w:rsidRDefault="008C6A6C" w:rsidP="008C6A6C">
            <w:pPr>
              <w:ind w:left="970" w:hanging="970"/>
              <w:jc w:val="both"/>
              <w:rPr>
                <w:color w:val="0070C0"/>
                <w:sz w:val="30"/>
                <w:szCs w:val="30"/>
              </w:rPr>
            </w:pPr>
          </w:p>
        </w:tc>
        <w:tc>
          <w:tcPr>
            <w:tcW w:w="0" w:type="auto"/>
          </w:tcPr>
          <w:p w14:paraId="3DA39E8B" w14:textId="77777777" w:rsidR="008C6A6C" w:rsidRDefault="008C6A6C" w:rsidP="008C6A6C">
            <w:pPr>
              <w:pStyle w:val="NoSpacing"/>
            </w:pPr>
            <w:r>
              <w:t>-</w:t>
            </w:r>
          </w:p>
          <w:p w14:paraId="4906074C" w14:textId="28989526" w:rsidR="008C6A6C" w:rsidRDefault="008C6A6C" w:rsidP="008C6A6C">
            <w:pPr>
              <w:pStyle w:val="NoSpacing"/>
            </w:pPr>
          </w:p>
          <w:p w14:paraId="0752CF6C" w14:textId="77777777" w:rsidR="008C6A6C" w:rsidRDefault="008C6A6C" w:rsidP="008C6A6C">
            <w:pPr>
              <w:pStyle w:val="NoSpacing"/>
            </w:pPr>
          </w:p>
          <w:p w14:paraId="0EEC096D" w14:textId="3DAE1A5B" w:rsidR="008C6A6C" w:rsidRDefault="008C6A6C" w:rsidP="008C6A6C">
            <w:pPr>
              <w:pStyle w:val="NoSpacing"/>
            </w:pPr>
            <w:r>
              <w:t>1</w:t>
            </w:r>
            <w:r w:rsidRPr="00013ACB">
              <w:rPr>
                <w:vertAlign w:val="superscript"/>
              </w:rPr>
              <w:t>st</w:t>
            </w:r>
            <w:r>
              <w:t xml:space="preserve"> Round:</w:t>
            </w:r>
            <w:r w:rsidR="00512471" w:rsidRPr="004C18F9">
              <w:t xml:space="preserve"> December, 2020</w:t>
            </w:r>
          </w:p>
          <w:p w14:paraId="10324E00" w14:textId="77777777" w:rsidR="008C6A6C" w:rsidRDefault="008C6A6C" w:rsidP="008C6A6C">
            <w:pPr>
              <w:pStyle w:val="NoSpacing"/>
            </w:pPr>
          </w:p>
          <w:p w14:paraId="74E720B3" w14:textId="27E1B1A2" w:rsidR="008C6A6C" w:rsidRDefault="008C6A6C" w:rsidP="008C6A6C">
            <w:pPr>
              <w:pStyle w:val="NoSpacing"/>
            </w:pPr>
            <w:r>
              <w:t>2</w:t>
            </w:r>
            <w:r w:rsidRPr="00013ACB">
              <w:rPr>
                <w:vertAlign w:val="superscript"/>
              </w:rPr>
              <w:t>nd</w:t>
            </w:r>
            <w:r>
              <w:t xml:space="preserve"> Round:</w:t>
            </w:r>
            <w:r w:rsidR="00512471" w:rsidRPr="004C18F9">
              <w:t xml:space="preserve"> December, 202</w:t>
            </w:r>
            <w:r w:rsidR="00512471">
              <w:t>1</w:t>
            </w:r>
          </w:p>
          <w:p w14:paraId="61DE76E6" w14:textId="77777777" w:rsidR="008C6A6C" w:rsidRDefault="008C6A6C" w:rsidP="008C6A6C">
            <w:pPr>
              <w:pStyle w:val="NoSpacing"/>
            </w:pPr>
            <w:r>
              <w:t xml:space="preserve"> </w:t>
            </w:r>
          </w:p>
          <w:p w14:paraId="2E8449C5" w14:textId="37E7B94F" w:rsidR="008C6A6C" w:rsidRDefault="008C6A6C" w:rsidP="008C6A6C">
            <w:pPr>
              <w:pStyle w:val="NoSpacing"/>
            </w:pPr>
            <w:r>
              <w:t>3</w:t>
            </w:r>
            <w:r w:rsidRPr="00013ACB">
              <w:rPr>
                <w:vertAlign w:val="superscript"/>
              </w:rPr>
              <w:t>rd</w:t>
            </w:r>
            <w:r>
              <w:t xml:space="preserve"> Round: </w:t>
            </w:r>
            <w:r w:rsidR="00512471" w:rsidRPr="004C18F9">
              <w:t>December, 202</w:t>
            </w:r>
            <w:r w:rsidR="00512471">
              <w:t>2</w:t>
            </w:r>
          </w:p>
          <w:p w14:paraId="240ED9D8" w14:textId="77777777" w:rsidR="008C6A6C" w:rsidRDefault="008C6A6C" w:rsidP="008C6A6C">
            <w:pPr>
              <w:pStyle w:val="NoSpacing"/>
            </w:pPr>
          </w:p>
          <w:p w14:paraId="68C7EDB0" w14:textId="3D11626A" w:rsidR="008C6A6C" w:rsidRDefault="008C6A6C" w:rsidP="008C6A6C">
            <w:pPr>
              <w:pStyle w:val="NoSpacing"/>
            </w:pPr>
            <w:r>
              <w:t>4</w:t>
            </w:r>
            <w:r w:rsidRPr="00013ACB">
              <w:rPr>
                <w:vertAlign w:val="superscript"/>
              </w:rPr>
              <w:t>th</w:t>
            </w:r>
            <w:r>
              <w:t xml:space="preserve"> Round: </w:t>
            </w:r>
            <w:r w:rsidR="00512471" w:rsidRPr="004C18F9">
              <w:t>December, 202</w:t>
            </w:r>
            <w:r w:rsidR="00512471">
              <w:t>3</w:t>
            </w:r>
          </w:p>
          <w:p w14:paraId="58F657F2" w14:textId="77777777" w:rsidR="008C6A6C" w:rsidRDefault="008C6A6C" w:rsidP="008C6A6C">
            <w:pPr>
              <w:pStyle w:val="NoSpacing"/>
            </w:pPr>
          </w:p>
          <w:p w14:paraId="7D98C50A" w14:textId="4D9C93A2" w:rsidR="008C6A6C" w:rsidRDefault="008C6A6C" w:rsidP="008C6A6C">
            <w:pPr>
              <w:pStyle w:val="NoSpacing"/>
            </w:pPr>
            <w:r>
              <w:t>5</w:t>
            </w:r>
            <w:r w:rsidRPr="00013ACB">
              <w:rPr>
                <w:vertAlign w:val="superscript"/>
              </w:rPr>
              <w:t>th</w:t>
            </w:r>
            <w:r>
              <w:t xml:space="preserve"> </w:t>
            </w:r>
            <w:r>
              <w:lastRenderedPageBreak/>
              <w:t xml:space="preserve">Round: </w:t>
            </w:r>
            <w:r w:rsidR="00512471" w:rsidRPr="004C18F9">
              <w:t>December, 202</w:t>
            </w:r>
            <w:r w:rsidR="00512471">
              <w:t>4</w:t>
            </w:r>
          </w:p>
          <w:p w14:paraId="0732D5CD" w14:textId="5E61BCC2" w:rsidR="008C6A6C" w:rsidRDefault="008C6A6C" w:rsidP="008C6A6C">
            <w:pPr>
              <w:pStyle w:val="NoSpacing"/>
            </w:pPr>
          </w:p>
        </w:tc>
        <w:tc>
          <w:tcPr>
            <w:tcW w:w="0" w:type="auto"/>
          </w:tcPr>
          <w:p w14:paraId="4440DB7C" w14:textId="77777777" w:rsidR="008C6A6C" w:rsidRDefault="008C6A6C" w:rsidP="008C6A6C">
            <w:pPr>
              <w:pStyle w:val="NoSpacing"/>
            </w:pPr>
            <w:r w:rsidRPr="005D28FF">
              <w:lastRenderedPageBreak/>
              <w:t>UNSC 51 replacement included in the 2020 comprehensive review</w:t>
            </w:r>
          </w:p>
        </w:tc>
      </w:tr>
      <w:tr w:rsidR="000618B2" w14:paraId="51749BD2" w14:textId="77777777" w:rsidTr="00D52BCB">
        <w:tc>
          <w:tcPr>
            <w:tcW w:w="0" w:type="auto"/>
            <w:gridSpan w:val="13"/>
          </w:tcPr>
          <w:p w14:paraId="1BACDBAF" w14:textId="77777777" w:rsidR="000618B2" w:rsidRDefault="000618B2" w:rsidP="008C6A6C">
            <w:pPr>
              <w:jc w:val="both"/>
              <w:rPr>
                <w:color w:val="0070C0"/>
                <w:sz w:val="48"/>
                <w:szCs w:val="48"/>
              </w:rPr>
            </w:pPr>
            <w:r>
              <w:rPr>
                <w:color w:val="0070C0"/>
                <w:sz w:val="30"/>
                <w:szCs w:val="30"/>
              </w:rPr>
              <w:lastRenderedPageBreak/>
              <w:t xml:space="preserve">Target </w:t>
            </w:r>
            <w:r w:rsidRPr="00C97C3C">
              <w:rPr>
                <w:color w:val="0070C0"/>
                <w:sz w:val="30"/>
                <w:szCs w:val="30"/>
              </w:rPr>
              <w:t>12.c 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tc>
      </w:tr>
      <w:tr w:rsidR="008C6A6C" w14:paraId="4158774F" w14:textId="77777777" w:rsidTr="00A64F0D">
        <w:tc>
          <w:tcPr>
            <w:tcW w:w="0" w:type="auto"/>
          </w:tcPr>
          <w:p w14:paraId="018A9991" w14:textId="77777777" w:rsidR="008C6A6C" w:rsidRPr="00360230" w:rsidRDefault="008C6A6C" w:rsidP="008C6A6C">
            <w:pPr>
              <w:pStyle w:val="NoSpacing"/>
            </w:pPr>
            <w:r w:rsidRPr="00360230">
              <w:t>12.c.1 Amount of fossil-fuel subsidies per unit of GDP (production and consumption)</w:t>
            </w:r>
          </w:p>
        </w:tc>
        <w:tc>
          <w:tcPr>
            <w:tcW w:w="0" w:type="auto"/>
          </w:tcPr>
          <w:p w14:paraId="3D31EDB9" w14:textId="77777777" w:rsidR="008C6A6C" w:rsidRDefault="008C6A6C" w:rsidP="008C6A6C">
            <w:pPr>
              <w:pStyle w:val="NoSpacing"/>
            </w:pPr>
            <w:r>
              <w:t>UNEP</w:t>
            </w:r>
          </w:p>
          <w:p w14:paraId="3F79A5D4" w14:textId="77777777" w:rsidR="008C6A6C" w:rsidRDefault="008C6A6C" w:rsidP="008C6A6C">
            <w:pPr>
              <w:ind w:left="970" w:hanging="970"/>
              <w:jc w:val="both"/>
              <w:rPr>
                <w:color w:val="0070C0"/>
                <w:sz w:val="30"/>
                <w:szCs w:val="30"/>
              </w:rPr>
            </w:pPr>
          </w:p>
        </w:tc>
        <w:tc>
          <w:tcPr>
            <w:tcW w:w="0" w:type="auto"/>
          </w:tcPr>
          <w:p w14:paraId="38DB903B" w14:textId="77777777" w:rsidR="008C6A6C" w:rsidRDefault="008C6A6C" w:rsidP="008C6A6C">
            <w:pPr>
              <w:ind w:left="970" w:hanging="970"/>
              <w:jc w:val="both"/>
              <w:rPr>
                <w:color w:val="0070C0"/>
                <w:sz w:val="30"/>
                <w:szCs w:val="30"/>
              </w:rPr>
            </w:pPr>
            <w:r>
              <w:t>Tier I</w:t>
            </w:r>
          </w:p>
        </w:tc>
        <w:tc>
          <w:tcPr>
            <w:tcW w:w="0" w:type="auto"/>
          </w:tcPr>
          <w:p w14:paraId="5A38F595" w14:textId="77777777" w:rsidR="008C6A6C" w:rsidRPr="000F15D4" w:rsidRDefault="008C6A6C" w:rsidP="008C6A6C">
            <w:pPr>
              <w:pStyle w:val="NoSpacing"/>
              <w:rPr>
                <w:color w:val="auto"/>
                <w:lang w:eastAsia="en-GB"/>
              </w:rPr>
            </w:pPr>
            <w:r w:rsidRPr="000F15D4">
              <w:rPr>
                <w:color w:val="auto"/>
                <w:lang w:eastAsia="en-GB"/>
              </w:rPr>
              <w:t>Definition:</w:t>
            </w:r>
          </w:p>
          <w:p w14:paraId="56324046" w14:textId="77777777" w:rsidR="008C6A6C" w:rsidRPr="000F15D4" w:rsidRDefault="008C6A6C" w:rsidP="008C6A6C">
            <w:pPr>
              <w:pStyle w:val="NoSpacing"/>
              <w:rPr>
                <w:color w:val="auto"/>
              </w:rPr>
            </w:pPr>
            <w:r w:rsidRPr="000F15D4">
              <w:rPr>
                <w:color w:val="auto"/>
              </w:rPr>
              <w:t>In order to measure fossil fuel subsidies at the national, regional and global level, three sub-indicators are recommended for reporting on this indicator: 1) direct transfer of government funds; 2) induced transfers (price support); and as an optional sub-indicator 3) tax expenditure, other revenue foregone, and under-pricing of goods and services. The definitions of the IEA Statistical Manual (IEA, 2005) and the Agreement on Subsidies and Countervailing Measures (ASCM) under the World Trade Organization (WTO) (WTO, 1994) are used to define fossil fuel subsidies. Standardised descriptions from the United Nations Statistical Office’s Central Product Classification should be used to classify individual energy products. It is proposed to drop the wording “as a proportion of total national expenditure on fossil fuels” and thus this indicator is effectively "Amount of fossil fuel subsidies per unit of GDP (production and consumption)".</w:t>
            </w:r>
          </w:p>
          <w:p w14:paraId="60D8B3E4" w14:textId="77777777" w:rsidR="008C6A6C" w:rsidRPr="000F15D4" w:rsidRDefault="008C6A6C" w:rsidP="008C6A6C">
            <w:pPr>
              <w:pStyle w:val="MText"/>
              <w:rPr>
                <w:color w:val="auto"/>
              </w:rPr>
            </w:pPr>
            <w:r w:rsidRPr="000F15D4">
              <w:rPr>
                <w:color w:val="auto"/>
              </w:rPr>
              <w:t xml:space="preserve"> </w:t>
            </w:r>
          </w:p>
          <w:p w14:paraId="747A1255" w14:textId="77777777" w:rsidR="008C6A6C" w:rsidRPr="000F15D4" w:rsidRDefault="008C6A6C" w:rsidP="008C6A6C">
            <w:pPr>
              <w:shd w:val="clear" w:color="auto" w:fill="FFFFFF"/>
              <w:rPr>
                <w:rFonts w:eastAsia="Times New Roman" w:cs="Times New Roman"/>
                <w:color w:val="auto"/>
                <w:sz w:val="21"/>
                <w:szCs w:val="21"/>
                <w:lang w:eastAsia="en-GB"/>
              </w:rPr>
            </w:pPr>
            <w:r w:rsidRPr="000F15D4">
              <w:rPr>
                <w:rFonts w:eastAsia="Times New Roman" w:cs="Times New Roman"/>
                <w:b/>
                <w:bCs/>
                <w:color w:val="auto"/>
                <w:sz w:val="21"/>
                <w:szCs w:val="21"/>
                <w:lang w:eastAsia="en-GB"/>
              </w:rPr>
              <w:t>Concepts:</w:t>
            </w:r>
          </w:p>
          <w:p w14:paraId="0A1E4549" w14:textId="77777777" w:rsidR="008C6A6C" w:rsidRPr="000F15D4" w:rsidRDefault="008C6A6C" w:rsidP="008C6A6C">
            <w:pPr>
              <w:shd w:val="clear" w:color="auto" w:fill="FFFFFF"/>
              <w:jc w:val="both"/>
              <w:rPr>
                <w:rFonts w:eastAsia="Times New Roman" w:cs="Times New Roman"/>
                <w:color w:val="auto"/>
                <w:sz w:val="21"/>
                <w:szCs w:val="21"/>
                <w:lang w:eastAsia="en-GB"/>
              </w:rPr>
            </w:pPr>
            <w:r w:rsidRPr="000F15D4">
              <w:rPr>
                <w:rFonts w:eastAsia="Times New Roman" w:cs="Times New Roman"/>
                <w:color w:val="auto"/>
                <w:sz w:val="21"/>
                <w:szCs w:val="21"/>
                <w:lang w:eastAsia="en-GB"/>
              </w:rPr>
              <w:t>The concepts and definitions used in the methodology have been based on existing international frameworks and glossaries.</w:t>
            </w:r>
          </w:p>
          <w:p w14:paraId="4654C57B" w14:textId="77777777" w:rsidR="008C6A6C" w:rsidRPr="000F15D4" w:rsidRDefault="008C6A6C" w:rsidP="008C6A6C">
            <w:pPr>
              <w:pStyle w:val="ListParagraph"/>
              <w:numPr>
                <w:ilvl w:val="0"/>
                <w:numId w:val="70"/>
              </w:numPr>
              <w:shd w:val="clear" w:color="auto" w:fill="FFFFFF"/>
              <w:spacing w:after="0"/>
              <w:jc w:val="both"/>
              <w:rPr>
                <w:rFonts w:ascii="Tw Cen MT Condensed" w:eastAsia="Times New Roman" w:hAnsi="Tw Cen MT Condensed" w:cs="Times New Roman"/>
                <w:sz w:val="20"/>
                <w:szCs w:val="21"/>
                <w:lang w:eastAsia="en-GB"/>
              </w:rPr>
            </w:pPr>
            <w:r w:rsidRPr="000F15D4">
              <w:rPr>
                <w:rFonts w:ascii="Tw Cen MT Condensed" w:eastAsia="Times New Roman" w:hAnsi="Tw Cen MT Condensed" w:cs="Times New Roman"/>
                <w:sz w:val="20"/>
                <w:szCs w:val="21"/>
                <w:lang w:eastAsia="en-GB"/>
              </w:rPr>
              <w:t>Use definition of fossil fuels from IEA Statistics Manual, “Fossil fuels are taken from natural resources which were formed from biomass in the geological past. By extension, the term fossil is also applied to any secondary fuel manufactured from a fossil fuel.”</w:t>
            </w:r>
          </w:p>
          <w:p w14:paraId="3D28CFDB" w14:textId="77777777" w:rsidR="008C6A6C" w:rsidRPr="000F15D4" w:rsidRDefault="008C6A6C" w:rsidP="008C6A6C">
            <w:pPr>
              <w:pStyle w:val="ListParagraph"/>
              <w:numPr>
                <w:ilvl w:val="0"/>
                <w:numId w:val="70"/>
              </w:numPr>
              <w:shd w:val="clear" w:color="auto" w:fill="FFFFFF"/>
              <w:spacing w:after="0"/>
              <w:jc w:val="both"/>
              <w:rPr>
                <w:rFonts w:ascii="Tw Cen MT Condensed" w:eastAsia="Times New Roman" w:hAnsi="Tw Cen MT Condensed" w:cs="Times New Roman"/>
                <w:sz w:val="20"/>
                <w:szCs w:val="21"/>
                <w:lang w:eastAsia="en-GB"/>
              </w:rPr>
            </w:pPr>
            <w:r w:rsidRPr="000F15D4">
              <w:rPr>
                <w:rFonts w:ascii="Tw Cen MT Condensed" w:eastAsia="Times New Roman" w:hAnsi="Tw Cen MT Condensed" w:cs="Times New Roman"/>
                <w:sz w:val="20"/>
                <w:szCs w:val="21"/>
                <w:lang w:eastAsia="en-GB"/>
              </w:rPr>
              <w:t>Use the terms set out in CPC Rev. 2.1 for the statistical classification of the individual products. No other commonly accepted definition identified</w:t>
            </w:r>
          </w:p>
          <w:p w14:paraId="61BAEC08" w14:textId="77777777" w:rsidR="008C6A6C" w:rsidRPr="000F15D4" w:rsidRDefault="008C6A6C" w:rsidP="008C6A6C">
            <w:pPr>
              <w:pStyle w:val="ListParagraph"/>
              <w:numPr>
                <w:ilvl w:val="0"/>
                <w:numId w:val="70"/>
              </w:numPr>
              <w:shd w:val="clear" w:color="auto" w:fill="FFFFFF"/>
              <w:spacing w:after="0"/>
              <w:jc w:val="both"/>
              <w:rPr>
                <w:rFonts w:ascii="Tw Cen MT Condensed" w:eastAsia="Times New Roman" w:hAnsi="Tw Cen MT Condensed" w:cs="Times New Roman"/>
                <w:sz w:val="20"/>
                <w:szCs w:val="21"/>
                <w:lang w:eastAsia="en-GB"/>
              </w:rPr>
            </w:pPr>
            <w:r w:rsidRPr="000F15D4">
              <w:rPr>
                <w:rFonts w:ascii="Tw Cen MT Condensed" w:eastAsia="Times New Roman" w:hAnsi="Tw Cen MT Condensed" w:cs="Times New Roman"/>
                <w:sz w:val="20"/>
                <w:szCs w:val="21"/>
                <w:lang w:eastAsia="en-GB"/>
              </w:rPr>
              <w:t xml:space="preserve">Include electricity and heat generated from fossil fuels in the scope of fossil fuels. </w:t>
            </w:r>
          </w:p>
          <w:p w14:paraId="5AFDE930" w14:textId="77777777" w:rsidR="008C6A6C" w:rsidRPr="000F15D4" w:rsidRDefault="008C6A6C" w:rsidP="008C6A6C">
            <w:pPr>
              <w:pStyle w:val="ListParagraph"/>
              <w:numPr>
                <w:ilvl w:val="0"/>
                <w:numId w:val="70"/>
              </w:numPr>
              <w:shd w:val="clear" w:color="auto" w:fill="FFFFFF"/>
              <w:spacing w:after="0"/>
              <w:jc w:val="both"/>
              <w:rPr>
                <w:rFonts w:ascii="Tw Cen MT Condensed" w:eastAsia="Times New Roman" w:hAnsi="Tw Cen MT Condensed" w:cs="Times New Roman"/>
                <w:sz w:val="20"/>
                <w:szCs w:val="21"/>
                <w:lang w:eastAsia="en-GB"/>
              </w:rPr>
            </w:pPr>
            <w:r w:rsidRPr="000F15D4">
              <w:rPr>
                <w:rFonts w:ascii="Tw Cen MT Condensed" w:eastAsia="Times New Roman" w:hAnsi="Tw Cen MT Condensed" w:cs="Times New Roman"/>
                <w:sz w:val="20"/>
                <w:szCs w:val="21"/>
                <w:lang w:eastAsia="en-GB"/>
              </w:rPr>
              <w:t>Include non-energy uses with monitoring optional for the measuring of this indicator.</w:t>
            </w:r>
          </w:p>
          <w:p w14:paraId="59E7C10F" w14:textId="77777777" w:rsidR="008C6A6C" w:rsidRPr="000F15D4" w:rsidRDefault="008C6A6C" w:rsidP="008C6A6C">
            <w:pPr>
              <w:pStyle w:val="ListParagraph"/>
              <w:numPr>
                <w:ilvl w:val="0"/>
                <w:numId w:val="70"/>
              </w:numPr>
              <w:shd w:val="clear" w:color="auto" w:fill="FFFFFF"/>
              <w:spacing w:after="0"/>
              <w:jc w:val="both"/>
              <w:rPr>
                <w:rFonts w:ascii="Tw Cen MT Condensed" w:eastAsia="Times New Roman" w:hAnsi="Tw Cen MT Condensed" w:cs="Times New Roman"/>
                <w:sz w:val="20"/>
                <w:szCs w:val="21"/>
                <w:lang w:eastAsia="en-GB"/>
              </w:rPr>
            </w:pPr>
            <w:r w:rsidRPr="000F15D4">
              <w:rPr>
                <w:rFonts w:ascii="Tw Cen MT Condensed" w:eastAsia="Times New Roman" w:hAnsi="Tw Cen MT Condensed" w:cs="Times New Roman"/>
                <w:sz w:val="20"/>
                <w:szCs w:val="21"/>
                <w:lang w:eastAsia="en-GB"/>
              </w:rPr>
              <w:t>Additional details are provided in the methodological document entitled, Measuring Fossil Fuel Subsidies in the Context of the Sustainable Development Goals.</w:t>
            </w:r>
          </w:p>
          <w:p w14:paraId="2AE6487F" w14:textId="77777777" w:rsidR="008C6A6C" w:rsidRPr="000F15D4" w:rsidRDefault="008C6A6C" w:rsidP="008C6A6C">
            <w:pPr>
              <w:shd w:val="clear" w:color="auto" w:fill="FFFFFF"/>
              <w:jc w:val="both"/>
              <w:rPr>
                <w:rFonts w:eastAsia="Times New Roman" w:cs="Times New Roman"/>
                <w:color w:val="auto"/>
                <w:sz w:val="21"/>
                <w:szCs w:val="21"/>
                <w:lang w:eastAsia="en-GB"/>
              </w:rPr>
            </w:pPr>
          </w:p>
          <w:p w14:paraId="5F780720" w14:textId="77777777" w:rsidR="008C6A6C" w:rsidRPr="000F15D4" w:rsidRDefault="008C6A6C" w:rsidP="008C6A6C">
            <w:pPr>
              <w:shd w:val="clear" w:color="auto" w:fill="FFFFFF"/>
              <w:rPr>
                <w:rFonts w:eastAsia="Times New Roman" w:cs="Times New Roman"/>
                <w:color w:val="auto"/>
                <w:szCs w:val="21"/>
                <w:lang w:eastAsia="en-GB"/>
              </w:rPr>
            </w:pPr>
            <w:r w:rsidRPr="000F15D4">
              <w:rPr>
                <w:rFonts w:eastAsia="Times New Roman" w:cs="Times New Roman"/>
                <w:b/>
                <w:bCs/>
                <w:color w:val="auto"/>
                <w:szCs w:val="21"/>
                <w:lang w:eastAsia="en-GB"/>
              </w:rPr>
              <w:t>Comments and limitations:</w:t>
            </w:r>
          </w:p>
          <w:p w14:paraId="1AB65269" w14:textId="77777777" w:rsidR="008C6A6C" w:rsidRPr="000F15D4" w:rsidRDefault="008C6A6C" w:rsidP="008C6A6C">
            <w:pPr>
              <w:shd w:val="clear" w:color="auto" w:fill="FFFFFF"/>
              <w:rPr>
                <w:rFonts w:eastAsia="Times New Roman" w:cs="Times New Roman"/>
                <w:color w:val="auto"/>
                <w:szCs w:val="21"/>
                <w:lang w:eastAsia="en-GB"/>
              </w:rPr>
            </w:pPr>
            <w:r w:rsidRPr="000F15D4">
              <w:rPr>
                <w:rFonts w:eastAsia="Times New Roman" w:cs="Times New Roman"/>
                <w:color w:val="auto"/>
                <w:szCs w:val="21"/>
                <w:lang w:eastAsia="en-GB"/>
              </w:rPr>
              <w:t xml:space="preserve">The monitoring and reporting of SDG Indicator 12.c.1 requires capacity within national statistical systems to evaluate direct and indirect transfers of government funds. Data collection by the statistical agencies from the sectoral ministries and state-owned </w:t>
            </w:r>
            <w:r w:rsidRPr="000F15D4">
              <w:rPr>
                <w:rFonts w:eastAsia="Times New Roman" w:cs="Times New Roman"/>
                <w:color w:val="auto"/>
                <w:szCs w:val="21"/>
                <w:lang w:eastAsia="en-GB"/>
              </w:rPr>
              <w:lastRenderedPageBreak/>
              <w:t>enterprises, including at the sub-national level, which depends on their capacity. There is a need for additional training materials and sharing of experiences on the indicator.</w:t>
            </w:r>
          </w:p>
          <w:p w14:paraId="5F843C51" w14:textId="77777777" w:rsidR="008C6A6C" w:rsidRPr="000F15D4" w:rsidRDefault="008C6A6C" w:rsidP="008C6A6C">
            <w:pPr>
              <w:shd w:val="clear" w:color="auto" w:fill="FFFFFF"/>
              <w:rPr>
                <w:rFonts w:eastAsia="Times New Roman" w:cs="Times New Roman"/>
                <w:color w:val="auto"/>
                <w:szCs w:val="21"/>
                <w:lang w:eastAsia="en-GB"/>
              </w:rPr>
            </w:pPr>
          </w:p>
          <w:p w14:paraId="6F0AD5C6" w14:textId="77777777" w:rsidR="008C6A6C" w:rsidRPr="000F15D4" w:rsidRDefault="008C6A6C" w:rsidP="008C6A6C">
            <w:pPr>
              <w:shd w:val="clear" w:color="auto" w:fill="FFFFFF"/>
              <w:rPr>
                <w:rFonts w:eastAsia="Times New Roman" w:cs="Times New Roman"/>
                <w:color w:val="auto"/>
                <w:szCs w:val="21"/>
                <w:lang w:eastAsia="en-GB"/>
              </w:rPr>
            </w:pPr>
            <w:r w:rsidRPr="000F15D4">
              <w:rPr>
                <w:rFonts w:eastAsia="Times New Roman" w:cs="Times New Roman"/>
                <w:color w:val="auto"/>
                <w:szCs w:val="21"/>
                <w:lang w:eastAsia="en-GB"/>
              </w:rPr>
              <w:t>The indicator methodology utilizes a phased monitoring to allow for countries with different capacities to engage in monitoring 12.c.1. The two phases include global monitoring based on price gap estimates plus national monitoring of direct and indirect transfers with optional monitoring of tax expenditure foregone.</w:t>
            </w:r>
          </w:p>
          <w:p w14:paraId="0DB811C8" w14:textId="77777777" w:rsidR="008C6A6C" w:rsidRPr="000F15D4" w:rsidRDefault="008C6A6C" w:rsidP="008C6A6C">
            <w:pPr>
              <w:shd w:val="clear" w:color="auto" w:fill="FFFFFF"/>
              <w:rPr>
                <w:rFonts w:eastAsia="Times New Roman" w:cs="Times New Roman"/>
                <w:color w:val="auto"/>
                <w:sz w:val="21"/>
                <w:szCs w:val="21"/>
                <w:lang w:eastAsia="en-GB"/>
              </w:rPr>
            </w:pPr>
          </w:p>
          <w:p w14:paraId="698EDB14" w14:textId="77777777" w:rsidR="008C6A6C" w:rsidRPr="000F15D4" w:rsidRDefault="008C6A6C" w:rsidP="008C6A6C">
            <w:pPr>
              <w:shd w:val="clear" w:color="auto" w:fill="FFFFFF"/>
              <w:rPr>
                <w:rFonts w:eastAsia="Times New Roman" w:cs="Times New Roman"/>
                <w:b/>
                <w:bCs/>
                <w:color w:val="auto"/>
                <w:szCs w:val="21"/>
                <w:lang w:eastAsia="en-GB"/>
              </w:rPr>
            </w:pPr>
            <w:r w:rsidRPr="000F15D4">
              <w:rPr>
                <w:rFonts w:eastAsia="Times New Roman" w:cs="Times New Roman"/>
                <w:b/>
                <w:bCs/>
                <w:color w:val="auto"/>
                <w:szCs w:val="21"/>
                <w:lang w:eastAsia="en-GB"/>
              </w:rPr>
              <w:t>Computation Method:</w:t>
            </w:r>
          </w:p>
          <w:p w14:paraId="28777BAA"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It is proposed that countries report on the subsidy categories listed below as sub-indicators.</w:t>
            </w:r>
          </w:p>
          <w:p w14:paraId="0ACFE3BB"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w:t>
            </w:r>
            <w:r w:rsidRPr="000F15D4">
              <w:rPr>
                <w:rFonts w:ascii="Tw Cen MT Condensed" w:hAnsi="Tw Cen MT Condensed"/>
                <w:color w:val="auto"/>
                <w:sz w:val="20"/>
                <w:lang w:val="en-IE"/>
              </w:rPr>
              <w:tab/>
              <w:t xml:space="preserve">Direct transfers; </w:t>
            </w:r>
          </w:p>
          <w:p w14:paraId="64602E89"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w:t>
            </w:r>
            <w:r w:rsidRPr="000F15D4">
              <w:rPr>
                <w:rFonts w:ascii="Tw Cen MT Condensed" w:hAnsi="Tw Cen MT Condensed"/>
                <w:color w:val="auto"/>
                <w:sz w:val="20"/>
                <w:lang w:val="en-IE"/>
              </w:rPr>
              <w:tab/>
              <w:t>Induced transfers (reporting on regulated prices and calculation of the total amount);</w:t>
            </w:r>
          </w:p>
          <w:p w14:paraId="58E6210C"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w:t>
            </w:r>
            <w:r w:rsidRPr="000F15D4">
              <w:rPr>
                <w:rFonts w:ascii="Tw Cen MT Condensed" w:hAnsi="Tw Cen MT Condensed"/>
                <w:color w:val="auto"/>
                <w:sz w:val="20"/>
                <w:lang w:val="en-IE"/>
              </w:rPr>
              <w:tab/>
              <w:t xml:space="preserve">Tax expenditure, other government revenue foregone and under-pricing of goods and services, including risk (optional). </w:t>
            </w:r>
          </w:p>
          <w:p w14:paraId="0F8EBD0D" w14:textId="77777777" w:rsidR="008C6A6C" w:rsidRPr="000F15D4" w:rsidRDefault="008C6A6C" w:rsidP="008C6A6C">
            <w:pPr>
              <w:shd w:val="clear" w:color="auto" w:fill="FFFFFF"/>
              <w:rPr>
                <w:color w:val="auto"/>
                <w:szCs w:val="21"/>
                <w:lang w:val="en-IE"/>
              </w:rPr>
            </w:pPr>
          </w:p>
          <w:p w14:paraId="71F76094"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 xml:space="preserve">The last category should be included as an optional sub-indicator. Each sub-indicator should be expressed in national currency or United States dollars in current prices. UN Environment will use market exchange rates to calculate between national currency and United States dollar. </w:t>
            </w:r>
          </w:p>
          <w:p w14:paraId="3A410B32" w14:textId="77777777" w:rsidR="008C6A6C" w:rsidRPr="000F15D4" w:rsidRDefault="008C6A6C" w:rsidP="008C6A6C">
            <w:pPr>
              <w:pStyle w:val="MText"/>
              <w:rPr>
                <w:rFonts w:ascii="Tw Cen MT Condensed" w:hAnsi="Tw Cen MT Condensed"/>
                <w:color w:val="auto"/>
                <w:sz w:val="20"/>
                <w:lang w:val="en-IE"/>
              </w:rPr>
            </w:pPr>
          </w:p>
          <w:p w14:paraId="6C5759B3"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 xml:space="preserve">Care should be given if a country chooses to aggregate across the three sub-indicators in order to avoid double counting and all three sub-indicators should be publicly available to ensure transparency.  Care needs to be taken when aggregating estimates of induced transfers with data on direct transfers and some measures in under-pricing of goods and services. </w:t>
            </w:r>
          </w:p>
          <w:p w14:paraId="6E190E60" w14:textId="77777777" w:rsidR="008C6A6C" w:rsidRPr="000F15D4" w:rsidRDefault="008C6A6C" w:rsidP="008C6A6C">
            <w:pPr>
              <w:pStyle w:val="MText"/>
              <w:rPr>
                <w:rFonts w:ascii="Tw Cen MT Condensed" w:hAnsi="Tw Cen MT Condensed"/>
                <w:color w:val="auto"/>
                <w:sz w:val="20"/>
                <w:lang w:val="en-IE"/>
              </w:rPr>
            </w:pPr>
          </w:p>
          <w:p w14:paraId="52497DDF"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 xml:space="preserve">Estimates of subsidies to </w:t>
            </w:r>
            <w:proofErr w:type="gramStart"/>
            <w:r w:rsidRPr="000F15D4">
              <w:rPr>
                <w:rFonts w:ascii="Tw Cen MT Condensed" w:hAnsi="Tw Cen MT Condensed"/>
                <w:color w:val="auto"/>
                <w:sz w:val="20"/>
                <w:lang w:val="en-IE"/>
              </w:rPr>
              <w:t>consumers</w:t>
            </w:r>
            <w:proofErr w:type="gramEnd"/>
            <w:r w:rsidRPr="000F15D4">
              <w:rPr>
                <w:rFonts w:ascii="Tw Cen MT Condensed" w:hAnsi="Tw Cen MT Condensed"/>
                <w:color w:val="auto"/>
                <w:sz w:val="20"/>
                <w:lang w:val="en-IE"/>
              </w:rPr>
              <w:t xml:space="preserve"> observable through price-gaps (i.e., consumer price support) have been calculated by several international organizations (IADB, IEA, and IMF), covering different geographic regions and time-periods. The three organisations that produce these estimates use roughly the same approach, which can be summed up by the following equation:</w:t>
            </w:r>
          </w:p>
          <w:p w14:paraId="686EBDBC" w14:textId="77777777" w:rsidR="008C6A6C" w:rsidRPr="000F15D4" w:rsidRDefault="008C6A6C" w:rsidP="008C6A6C">
            <w:pPr>
              <w:shd w:val="clear" w:color="auto" w:fill="FFFFFF"/>
              <w:rPr>
                <w:color w:val="auto"/>
                <w:szCs w:val="21"/>
                <w:lang w:val="en-IE"/>
              </w:rPr>
            </w:pPr>
          </w:p>
          <w:p w14:paraId="7B71BA72"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Consumer price support = (adjusted net-of-tax reference unit price – local net-of-tax unit price) x units subsidized</w:t>
            </w:r>
          </w:p>
          <w:p w14:paraId="550AAFDC" w14:textId="77777777" w:rsidR="008C6A6C" w:rsidRPr="000F15D4" w:rsidRDefault="008C6A6C" w:rsidP="008C6A6C">
            <w:pPr>
              <w:pStyle w:val="MText"/>
              <w:rPr>
                <w:rFonts w:ascii="Tw Cen MT Condensed" w:hAnsi="Tw Cen MT Condensed"/>
                <w:color w:val="auto"/>
                <w:sz w:val="20"/>
                <w:lang w:val="en-IE"/>
              </w:rPr>
            </w:pPr>
          </w:p>
          <w:p w14:paraId="16095BEC" w14:textId="77777777" w:rsidR="008C6A6C" w:rsidRPr="000F15D4" w:rsidRDefault="008C6A6C" w:rsidP="008C6A6C">
            <w:pPr>
              <w:pStyle w:val="MText"/>
              <w:rPr>
                <w:rFonts w:ascii="Tw Cen MT Condensed" w:hAnsi="Tw Cen MT Condensed"/>
                <w:color w:val="auto"/>
                <w:sz w:val="20"/>
                <w:lang w:val="en-IE"/>
              </w:rPr>
            </w:pPr>
            <w:r w:rsidRPr="000F15D4">
              <w:rPr>
                <w:rFonts w:ascii="Tw Cen MT Condensed" w:hAnsi="Tw Cen MT Condensed"/>
                <w:color w:val="auto"/>
                <w:sz w:val="20"/>
                <w:lang w:val="en-IE"/>
              </w:rPr>
              <w:t>Estimates are based on reference prices on import (or export) parity prices using the price of a product at the nearest international hub, adjusted for quality differences if necessary, plus (or minus) the cost of freight and insurance to the net importer (or back to the net exporter), plus the cost of internal distribution and marketing and any value-added tax (VAT). For tradable commodities (mainly coal, crude oil, and petroleum products), the reference prices are based on the spot price at the nearest international hub – e.g., the United States, Northwest Europe, or Singapore.</w:t>
            </w:r>
          </w:p>
          <w:p w14:paraId="00182DC7" w14:textId="77777777" w:rsidR="008C6A6C" w:rsidRPr="00414D7A" w:rsidRDefault="008C6A6C" w:rsidP="008C6A6C">
            <w:pPr>
              <w:pStyle w:val="NoSpacing"/>
            </w:pPr>
          </w:p>
        </w:tc>
        <w:tc>
          <w:tcPr>
            <w:tcW w:w="0" w:type="auto"/>
          </w:tcPr>
          <w:p w14:paraId="3AA0D1E2" w14:textId="77777777" w:rsidR="008C6A6C" w:rsidRDefault="008C6A6C" w:rsidP="008C6A6C">
            <w:pPr>
              <w:pStyle w:val="NoSpacing"/>
              <w:rPr>
                <w:lang w:eastAsia="en-GB"/>
              </w:rPr>
            </w:pPr>
            <w:r>
              <w:rPr>
                <w:lang w:eastAsia="en-GB"/>
              </w:rPr>
              <w:lastRenderedPageBreak/>
              <w:t xml:space="preserve">The data will be collected by UN Environment through electronic reporting being developed by UN Environment. </w:t>
            </w:r>
          </w:p>
          <w:p w14:paraId="46A0937C" w14:textId="77777777" w:rsidR="008C6A6C" w:rsidRDefault="008C6A6C" w:rsidP="008C6A6C">
            <w:pPr>
              <w:pStyle w:val="NoSpacing"/>
            </w:pPr>
          </w:p>
        </w:tc>
        <w:tc>
          <w:tcPr>
            <w:tcW w:w="0" w:type="auto"/>
          </w:tcPr>
          <w:p w14:paraId="1946CEFF" w14:textId="77777777" w:rsidR="008C6A6C" w:rsidRDefault="008C6A6C" w:rsidP="008C6A6C">
            <w:pPr>
              <w:pStyle w:val="NoSpacing"/>
              <w:rPr>
                <w:lang w:eastAsia="en-GB"/>
              </w:rPr>
            </w:pPr>
            <w:r w:rsidRPr="00AB7DE6">
              <w:rPr>
                <w:lang w:eastAsia="en-GB"/>
              </w:rPr>
              <w:t>National Focal Points</w:t>
            </w:r>
            <w:r>
              <w:rPr>
                <w:lang w:eastAsia="en-GB"/>
              </w:rPr>
              <w:t xml:space="preserve"> from National Statistical Systems.</w:t>
            </w:r>
          </w:p>
          <w:p w14:paraId="4C7FC309" w14:textId="77777777" w:rsidR="008C6A6C" w:rsidRDefault="008C6A6C" w:rsidP="008C6A6C">
            <w:pPr>
              <w:pStyle w:val="NoSpacing"/>
              <w:rPr>
                <w:lang w:eastAsia="en-GB"/>
              </w:rPr>
            </w:pPr>
          </w:p>
          <w:p w14:paraId="5C6A0529" w14:textId="77777777" w:rsidR="008C6A6C" w:rsidRDefault="008C6A6C" w:rsidP="008C6A6C">
            <w:pPr>
              <w:pStyle w:val="NoSpacing"/>
              <w:rPr>
                <w:lang w:eastAsia="en-GB"/>
              </w:rPr>
            </w:pPr>
            <w:r>
              <w:rPr>
                <w:lang w:eastAsia="en-GB"/>
              </w:rPr>
              <w:t>OECD</w:t>
            </w:r>
          </w:p>
          <w:p w14:paraId="6A54EE61" w14:textId="77777777" w:rsidR="008C6A6C" w:rsidRDefault="008C6A6C" w:rsidP="008C6A6C">
            <w:pPr>
              <w:pStyle w:val="NoSpacing"/>
              <w:rPr>
                <w:lang w:eastAsia="en-GB"/>
              </w:rPr>
            </w:pPr>
          </w:p>
          <w:p w14:paraId="5749DC13" w14:textId="77777777" w:rsidR="008C6A6C" w:rsidRDefault="008C6A6C" w:rsidP="008C6A6C">
            <w:pPr>
              <w:pStyle w:val="NoSpacing"/>
              <w:rPr>
                <w:lang w:eastAsia="en-GB"/>
              </w:rPr>
            </w:pPr>
            <w:r>
              <w:rPr>
                <w:lang w:eastAsia="en-GB"/>
              </w:rPr>
              <w:t>IMF and IEA</w:t>
            </w:r>
          </w:p>
          <w:p w14:paraId="478CA0C4" w14:textId="77777777" w:rsidR="008C6A6C" w:rsidRPr="004F329E" w:rsidRDefault="008C6A6C" w:rsidP="008C6A6C">
            <w:pPr>
              <w:pStyle w:val="NoSpacing"/>
            </w:pPr>
          </w:p>
        </w:tc>
        <w:tc>
          <w:tcPr>
            <w:tcW w:w="0" w:type="auto"/>
          </w:tcPr>
          <w:p w14:paraId="79004D33" w14:textId="6693437A" w:rsidR="008C6A6C" w:rsidRPr="000C36C6" w:rsidRDefault="008C6A6C" w:rsidP="008C6A6C">
            <w:pPr>
              <w:spacing w:line="276" w:lineRule="auto"/>
              <w:rPr>
                <w:szCs w:val="26"/>
              </w:rPr>
            </w:pPr>
            <w:r w:rsidRPr="000C36C6">
              <w:rPr>
                <w:szCs w:val="26"/>
              </w:rPr>
              <w:t xml:space="preserve"> FD</w:t>
            </w:r>
          </w:p>
          <w:p w14:paraId="2F973AC9" w14:textId="77777777" w:rsidR="008C6A6C" w:rsidRDefault="008C6A6C" w:rsidP="008C6A6C">
            <w:pPr>
              <w:spacing w:line="276" w:lineRule="auto"/>
              <w:rPr>
                <w:szCs w:val="26"/>
              </w:rPr>
            </w:pPr>
          </w:p>
          <w:p w14:paraId="57B710C7" w14:textId="77777777" w:rsidR="008C6A6C" w:rsidRPr="000C36C6" w:rsidRDefault="008C6A6C" w:rsidP="008C6A6C">
            <w:pPr>
              <w:spacing w:line="276" w:lineRule="auto"/>
              <w:rPr>
                <w:szCs w:val="26"/>
              </w:rPr>
            </w:pPr>
            <w:r w:rsidRPr="000C36C6">
              <w:rPr>
                <w:szCs w:val="26"/>
              </w:rPr>
              <w:t>Administrative Data</w:t>
            </w:r>
          </w:p>
        </w:tc>
        <w:tc>
          <w:tcPr>
            <w:tcW w:w="0" w:type="auto"/>
          </w:tcPr>
          <w:p w14:paraId="250B8161" w14:textId="77777777" w:rsidR="008C6A6C" w:rsidRPr="000C36C6" w:rsidRDefault="008C6A6C" w:rsidP="008C6A6C">
            <w:pPr>
              <w:spacing w:line="276" w:lineRule="auto"/>
              <w:rPr>
                <w:szCs w:val="26"/>
              </w:rPr>
            </w:pPr>
            <w:r w:rsidRPr="000C36C6">
              <w:rPr>
                <w:szCs w:val="26"/>
              </w:rPr>
              <w:t>a) FD</w:t>
            </w:r>
          </w:p>
          <w:p w14:paraId="456F2CF8" w14:textId="77777777" w:rsidR="008C6A6C" w:rsidRDefault="008C6A6C" w:rsidP="008C6A6C">
            <w:pPr>
              <w:spacing w:line="276" w:lineRule="auto"/>
              <w:rPr>
                <w:szCs w:val="26"/>
              </w:rPr>
            </w:pPr>
            <w:r w:rsidRPr="000C36C6">
              <w:rPr>
                <w:szCs w:val="26"/>
              </w:rPr>
              <w:t>b) EMRD</w:t>
            </w:r>
          </w:p>
          <w:p w14:paraId="551D11EA" w14:textId="77777777" w:rsidR="008C6A6C" w:rsidRDefault="008C6A6C" w:rsidP="008C6A6C">
            <w:pPr>
              <w:spacing w:line="276" w:lineRule="auto"/>
              <w:jc w:val="center"/>
              <w:rPr>
                <w:szCs w:val="26"/>
              </w:rPr>
            </w:pPr>
          </w:p>
          <w:p w14:paraId="57452675" w14:textId="77777777" w:rsidR="008C6A6C" w:rsidRPr="00BC6F10" w:rsidRDefault="008C6A6C" w:rsidP="008C6A6C">
            <w:pPr>
              <w:spacing w:line="276" w:lineRule="auto"/>
            </w:pPr>
            <w:r w:rsidRPr="000C36C6">
              <w:rPr>
                <w:szCs w:val="26"/>
              </w:rPr>
              <w:t>Administrative Data</w:t>
            </w:r>
          </w:p>
        </w:tc>
        <w:tc>
          <w:tcPr>
            <w:tcW w:w="0" w:type="auto"/>
          </w:tcPr>
          <w:p w14:paraId="70B7BF95" w14:textId="586A332E" w:rsidR="008C6A6C" w:rsidRDefault="008C6A6C" w:rsidP="008C6A6C">
            <w:pPr>
              <w:ind w:left="970" w:hanging="970"/>
              <w:jc w:val="both"/>
            </w:pPr>
          </w:p>
          <w:p w14:paraId="12E1384A" w14:textId="6B582D72" w:rsidR="00521802" w:rsidRDefault="00521802" w:rsidP="008C6A6C">
            <w:pPr>
              <w:ind w:left="970" w:hanging="970"/>
              <w:jc w:val="both"/>
              <w:rPr>
                <w:color w:val="0070C0"/>
                <w:sz w:val="30"/>
                <w:szCs w:val="30"/>
              </w:rPr>
            </w:pPr>
            <w:r>
              <w:rPr>
                <w:lang w:val="en-IE"/>
              </w:rPr>
              <w:t>by category of subsidies</w:t>
            </w:r>
          </w:p>
        </w:tc>
        <w:tc>
          <w:tcPr>
            <w:tcW w:w="0" w:type="auto"/>
          </w:tcPr>
          <w:p w14:paraId="653923EE" w14:textId="77777777" w:rsidR="008C6A6C" w:rsidRDefault="008C6A6C" w:rsidP="008C6A6C">
            <w:pPr>
              <w:ind w:left="970" w:hanging="970"/>
              <w:jc w:val="both"/>
              <w:rPr>
                <w:color w:val="0070C0"/>
                <w:sz w:val="30"/>
                <w:szCs w:val="30"/>
              </w:rPr>
            </w:pPr>
            <w:r w:rsidRPr="00BC6F10">
              <w:t>Annual</w:t>
            </w:r>
          </w:p>
        </w:tc>
        <w:tc>
          <w:tcPr>
            <w:tcW w:w="0" w:type="auto"/>
          </w:tcPr>
          <w:p w14:paraId="5C245260" w14:textId="77777777" w:rsidR="008C6A6C" w:rsidRDefault="008C6A6C" w:rsidP="008C6A6C">
            <w:pPr>
              <w:ind w:left="970" w:hanging="970"/>
              <w:jc w:val="both"/>
              <w:rPr>
                <w:color w:val="0070C0"/>
                <w:sz w:val="30"/>
                <w:szCs w:val="30"/>
              </w:rPr>
            </w:pPr>
            <w:r>
              <w:t>Group 1</w:t>
            </w:r>
          </w:p>
        </w:tc>
        <w:tc>
          <w:tcPr>
            <w:tcW w:w="0" w:type="auto"/>
          </w:tcPr>
          <w:p w14:paraId="753EEFA0" w14:textId="77777777" w:rsidR="008C6A6C" w:rsidRDefault="008C6A6C" w:rsidP="008C6A6C">
            <w:pPr>
              <w:pStyle w:val="NoSpacing"/>
            </w:pPr>
            <w:r>
              <w:t>1</w:t>
            </w:r>
            <w:r w:rsidRPr="00013ACB">
              <w:rPr>
                <w:vertAlign w:val="superscript"/>
              </w:rPr>
              <w:t>st</w:t>
            </w:r>
            <w:r>
              <w:t xml:space="preserve"> Round:</w:t>
            </w:r>
          </w:p>
          <w:p w14:paraId="0A7BC05E" w14:textId="77777777" w:rsidR="008C6A6C" w:rsidRDefault="008C6A6C" w:rsidP="008C6A6C">
            <w:pPr>
              <w:pStyle w:val="NoSpacing"/>
            </w:pPr>
            <w:r>
              <w:t>2015</w:t>
            </w:r>
          </w:p>
          <w:p w14:paraId="488F97B6" w14:textId="77777777" w:rsidR="008C6A6C" w:rsidRDefault="008C6A6C" w:rsidP="008C6A6C">
            <w:pPr>
              <w:pStyle w:val="NoSpacing"/>
            </w:pPr>
          </w:p>
          <w:p w14:paraId="47BBF87C" w14:textId="77777777" w:rsidR="008C6A6C" w:rsidRDefault="008C6A6C" w:rsidP="008C6A6C">
            <w:pPr>
              <w:pStyle w:val="NoSpacing"/>
            </w:pPr>
            <w:r>
              <w:t>2</w:t>
            </w:r>
            <w:r w:rsidRPr="00013ACB">
              <w:rPr>
                <w:vertAlign w:val="superscript"/>
              </w:rPr>
              <w:t>nd</w:t>
            </w:r>
            <w:r>
              <w:t xml:space="preserve"> Round:</w:t>
            </w:r>
          </w:p>
          <w:p w14:paraId="11387EF2" w14:textId="77777777" w:rsidR="008C6A6C" w:rsidRDefault="008C6A6C" w:rsidP="008C6A6C">
            <w:pPr>
              <w:pStyle w:val="NoSpacing"/>
            </w:pPr>
            <w:r>
              <w:t xml:space="preserve"> </w:t>
            </w:r>
            <w:r w:rsidRPr="004C18F9">
              <w:t>December, 2020</w:t>
            </w:r>
          </w:p>
          <w:p w14:paraId="3F6AD1D8" w14:textId="77777777" w:rsidR="008C6A6C" w:rsidRDefault="008C6A6C" w:rsidP="008C6A6C">
            <w:pPr>
              <w:pStyle w:val="NoSpacing"/>
            </w:pPr>
          </w:p>
          <w:p w14:paraId="000133B3" w14:textId="77777777" w:rsidR="008C6A6C" w:rsidRDefault="008C6A6C" w:rsidP="008C6A6C">
            <w:pPr>
              <w:pStyle w:val="NoSpacing"/>
            </w:pPr>
            <w:r>
              <w:t>3</w:t>
            </w:r>
            <w:r w:rsidRPr="00013ACB">
              <w:rPr>
                <w:vertAlign w:val="superscript"/>
              </w:rPr>
              <w:t>rd</w:t>
            </w:r>
            <w:r>
              <w:t xml:space="preserve"> Round: </w:t>
            </w:r>
          </w:p>
          <w:p w14:paraId="4929008A" w14:textId="77777777" w:rsidR="008C6A6C" w:rsidRDefault="008C6A6C" w:rsidP="008C6A6C">
            <w:pPr>
              <w:pStyle w:val="NoSpacing"/>
            </w:pPr>
            <w:r>
              <w:t>December, 2021</w:t>
            </w:r>
          </w:p>
          <w:p w14:paraId="450695E9" w14:textId="77777777" w:rsidR="008C6A6C" w:rsidRDefault="008C6A6C" w:rsidP="008C6A6C">
            <w:pPr>
              <w:pStyle w:val="NoSpacing"/>
            </w:pPr>
          </w:p>
          <w:p w14:paraId="28B1E2F0" w14:textId="77777777" w:rsidR="008C6A6C" w:rsidRDefault="008C6A6C" w:rsidP="008C6A6C">
            <w:pPr>
              <w:pStyle w:val="NoSpacing"/>
            </w:pPr>
            <w:r>
              <w:t>4</w:t>
            </w:r>
            <w:r w:rsidRPr="00013ACB">
              <w:rPr>
                <w:vertAlign w:val="superscript"/>
              </w:rPr>
              <w:t>th</w:t>
            </w:r>
            <w:r>
              <w:t xml:space="preserve"> Round: </w:t>
            </w:r>
          </w:p>
          <w:p w14:paraId="4B5BDC1E" w14:textId="77777777" w:rsidR="008C6A6C" w:rsidRDefault="008C6A6C" w:rsidP="008C6A6C">
            <w:pPr>
              <w:pStyle w:val="NoSpacing"/>
            </w:pPr>
            <w:r>
              <w:t>December, 2022</w:t>
            </w:r>
          </w:p>
          <w:p w14:paraId="1E1836F4" w14:textId="77777777" w:rsidR="008C6A6C" w:rsidRDefault="008C6A6C" w:rsidP="008C6A6C">
            <w:pPr>
              <w:pStyle w:val="NoSpacing"/>
            </w:pPr>
          </w:p>
          <w:p w14:paraId="2200F021" w14:textId="77777777" w:rsidR="008C6A6C" w:rsidRDefault="008C6A6C" w:rsidP="008C6A6C">
            <w:pPr>
              <w:pStyle w:val="NoSpacing"/>
            </w:pPr>
            <w:r>
              <w:t>5</w:t>
            </w:r>
            <w:r w:rsidRPr="00013ACB">
              <w:rPr>
                <w:vertAlign w:val="superscript"/>
              </w:rPr>
              <w:t>th</w:t>
            </w:r>
            <w:r>
              <w:t xml:space="preserve"> Round: </w:t>
            </w:r>
          </w:p>
          <w:p w14:paraId="1908F264" w14:textId="77777777" w:rsidR="008C6A6C" w:rsidRDefault="008C6A6C" w:rsidP="008C6A6C">
            <w:pPr>
              <w:pStyle w:val="NoSpacing"/>
            </w:pPr>
            <w:r>
              <w:t>December, 2023</w:t>
            </w:r>
          </w:p>
          <w:p w14:paraId="787922CF" w14:textId="7D3A4B64" w:rsidR="008C6A6C" w:rsidRDefault="008C6A6C" w:rsidP="008C6A6C">
            <w:pPr>
              <w:pStyle w:val="NoSpacing"/>
            </w:pPr>
          </w:p>
        </w:tc>
        <w:tc>
          <w:tcPr>
            <w:tcW w:w="0" w:type="auto"/>
          </w:tcPr>
          <w:p w14:paraId="5A395BA7" w14:textId="77777777" w:rsidR="008C6A6C" w:rsidRDefault="008C6A6C" w:rsidP="008C6A6C">
            <w:pPr>
              <w:pStyle w:val="NoSpacing"/>
            </w:pPr>
            <w:r>
              <w:t>Refinement of the indicator name approved by the Inter-agency and Expert Group on SDG Indicators (IAEG-SDGs) on 13 March and 2 April 2020. Final approval pending the 52nd session of the Statistical Commission in March 2021</w:t>
            </w:r>
          </w:p>
          <w:p w14:paraId="657E0AA1" w14:textId="77777777" w:rsidR="008C6A6C" w:rsidRDefault="008C6A6C" w:rsidP="008C6A6C">
            <w:pPr>
              <w:pStyle w:val="NoSpacing"/>
            </w:pPr>
          </w:p>
          <w:p w14:paraId="2F6AB115" w14:textId="77777777" w:rsidR="008C6A6C" w:rsidRDefault="008C6A6C" w:rsidP="008C6A6C">
            <w:pPr>
              <w:pStyle w:val="NoSpacing"/>
            </w:pPr>
            <w:r>
              <w:t>UNSC 51 refinement</w:t>
            </w:r>
          </w:p>
          <w:p w14:paraId="2B18505E" w14:textId="77777777" w:rsidR="008C6A6C" w:rsidRDefault="008C6A6C" w:rsidP="008C6A6C">
            <w:pPr>
              <w:pStyle w:val="NoSpacing"/>
            </w:pPr>
          </w:p>
          <w:p w14:paraId="5ECFE28A" w14:textId="77777777" w:rsidR="008C6A6C" w:rsidRDefault="008C6A6C" w:rsidP="008C6A6C">
            <w:pPr>
              <w:pStyle w:val="NoSpacing"/>
            </w:pPr>
            <w:r>
              <w:lastRenderedPageBreak/>
              <w:t>Data availability reviewed in Oct. 2019</w:t>
            </w:r>
          </w:p>
          <w:p w14:paraId="6832B168" w14:textId="77777777" w:rsidR="008C6A6C" w:rsidRDefault="008C6A6C" w:rsidP="008C6A6C">
            <w:pPr>
              <w:pStyle w:val="NoSpacing"/>
            </w:pPr>
            <w:r>
              <w:t>(classified as Tier I)</w:t>
            </w:r>
          </w:p>
          <w:p w14:paraId="7BCCC47C" w14:textId="77777777" w:rsidR="008C6A6C" w:rsidRDefault="008C6A6C" w:rsidP="008C6A6C">
            <w:pPr>
              <w:pStyle w:val="NoSpacing"/>
            </w:pPr>
            <w:r>
              <w:t>Reviewed at Sept 2018 WebEx meeting</w:t>
            </w:r>
          </w:p>
          <w:p w14:paraId="799AC3DA" w14:textId="77777777" w:rsidR="008C6A6C" w:rsidRDefault="008C6A6C" w:rsidP="008C6A6C">
            <w:pPr>
              <w:pStyle w:val="NoSpacing"/>
            </w:pPr>
            <w:r>
              <w:t>(classified as Tier II)</w:t>
            </w:r>
          </w:p>
        </w:tc>
      </w:tr>
    </w:tbl>
    <w:p w14:paraId="79E5E7F0" w14:textId="77777777" w:rsidR="00A92C4E" w:rsidRDefault="00A92C4E" w:rsidP="001C5F7A">
      <w:pPr>
        <w:jc w:val="both"/>
        <w:rPr>
          <w:color w:val="0070C0"/>
          <w:sz w:val="48"/>
          <w:szCs w:val="48"/>
        </w:rPr>
      </w:pPr>
    </w:p>
    <w:p w14:paraId="03FFE504" w14:textId="77777777" w:rsidR="0095033B" w:rsidRDefault="0095033B" w:rsidP="001C5F7A">
      <w:pPr>
        <w:jc w:val="both"/>
        <w:rPr>
          <w:color w:val="0070C0"/>
          <w:sz w:val="48"/>
          <w:szCs w:val="48"/>
        </w:rPr>
      </w:pPr>
    </w:p>
    <w:p w14:paraId="0B0183A1" w14:textId="77777777" w:rsidR="0095033B" w:rsidRDefault="0095033B" w:rsidP="001C5F7A">
      <w:pPr>
        <w:jc w:val="both"/>
        <w:rPr>
          <w:color w:val="0070C0"/>
          <w:sz w:val="48"/>
          <w:szCs w:val="48"/>
        </w:rPr>
      </w:pPr>
    </w:p>
    <w:p w14:paraId="54235B4E" w14:textId="77777777" w:rsidR="0095033B" w:rsidRDefault="0095033B" w:rsidP="001C5F7A">
      <w:pPr>
        <w:jc w:val="both"/>
        <w:rPr>
          <w:color w:val="0070C0"/>
          <w:sz w:val="48"/>
          <w:szCs w:val="48"/>
        </w:rPr>
      </w:pPr>
    </w:p>
    <w:p w14:paraId="2A653A6F" w14:textId="3C5551BC" w:rsidR="00A92C4E" w:rsidRPr="006C6341" w:rsidRDefault="00BB3B57" w:rsidP="00A92C4E">
      <w:pPr>
        <w:jc w:val="both"/>
        <w:rPr>
          <w:color w:val="0070C0"/>
          <w:sz w:val="48"/>
          <w:szCs w:val="48"/>
        </w:rPr>
      </w:pPr>
      <w:r>
        <w:rPr>
          <w:color w:val="0070C0"/>
          <w:sz w:val="48"/>
          <w:szCs w:val="48"/>
        </w:rPr>
        <w:t>Action Plan and Methodological Guidelines towards Data Generation and Disaggregation for Monitoring and Evaluation of SDGs</w:t>
      </w:r>
    </w:p>
    <w:tbl>
      <w:tblPr>
        <w:tblStyle w:val="TableGrid"/>
        <w:tblW w:w="18720" w:type="dxa"/>
        <w:tblInd w:w="-5" w:type="dxa"/>
        <w:tblLayout w:type="fixed"/>
        <w:tblLook w:val="04A0" w:firstRow="1" w:lastRow="0" w:firstColumn="1" w:lastColumn="0" w:noHBand="0" w:noVBand="1"/>
      </w:tblPr>
      <w:tblGrid>
        <w:gridCol w:w="1278"/>
        <w:gridCol w:w="17442"/>
      </w:tblGrid>
      <w:tr w:rsidR="00A92C4E" w14:paraId="725B7866" w14:textId="77777777" w:rsidTr="000618B2">
        <w:tc>
          <w:tcPr>
            <w:tcW w:w="1278" w:type="dxa"/>
            <w:tcBorders>
              <w:left w:val="single" w:sz="4" w:space="0" w:color="C00000"/>
              <w:bottom w:val="single" w:sz="4" w:space="0" w:color="C00000"/>
            </w:tcBorders>
          </w:tcPr>
          <w:p w14:paraId="087F767D" w14:textId="5D36A590" w:rsidR="00A92C4E" w:rsidRDefault="00A64F0D" w:rsidP="00A92C4E">
            <w:pPr>
              <w:jc w:val="center"/>
              <w:rPr>
                <w:color w:val="C00000"/>
                <w:sz w:val="48"/>
                <w:szCs w:val="48"/>
              </w:rPr>
            </w:pPr>
            <w:r>
              <w:rPr>
                <w:noProof/>
                <w:color w:val="C00000"/>
                <w:sz w:val="48"/>
                <w:szCs w:val="48"/>
                <w:lang w:bidi="bn-BD"/>
              </w:rPr>
              <w:drawing>
                <wp:inline distT="0" distB="0" distL="0" distR="0" wp14:anchorId="147A7D80" wp14:editId="211C07A4">
                  <wp:extent cx="674370" cy="674370"/>
                  <wp:effectExtent l="0" t="0" r="0" b="0"/>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oal13_menu_icon.jpg"/>
                          <pic:cNvPicPr/>
                        </pic:nvPicPr>
                        <pic:blipFill>
                          <a:blip r:embed="rId113">
                            <a:extLst>
                              <a:ext uri="{28A0092B-C50C-407E-A947-70E740481C1C}">
                                <a14:useLocalDpi xmlns:a14="http://schemas.microsoft.com/office/drawing/2010/main" val="0"/>
                              </a:ext>
                            </a:extLst>
                          </a:blip>
                          <a:stretch>
                            <a:fillRect/>
                          </a:stretch>
                        </pic:blipFill>
                        <pic:spPr>
                          <a:xfrm>
                            <a:off x="0" y="0"/>
                            <a:ext cx="674370" cy="674370"/>
                          </a:xfrm>
                          <a:prstGeom prst="rect">
                            <a:avLst/>
                          </a:prstGeom>
                        </pic:spPr>
                      </pic:pic>
                    </a:graphicData>
                  </a:graphic>
                </wp:inline>
              </w:drawing>
            </w:r>
          </w:p>
        </w:tc>
        <w:tc>
          <w:tcPr>
            <w:tcW w:w="17442" w:type="dxa"/>
            <w:shd w:val="clear" w:color="auto" w:fill="0070C0"/>
            <w:vAlign w:val="center"/>
          </w:tcPr>
          <w:p w14:paraId="1CF15BCD" w14:textId="16147F90" w:rsidR="00A92C4E" w:rsidRPr="00214C29" w:rsidRDefault="003D2111" w:rsidP="00A92C4E">
            <w:pPr>
              <w:jc w:val="both"/>
              <w:rPr>
                <w:color w:val="FFFFFF" w:themeColor="background1"/>
                <w:sz w:val="62"/>
                <w:szCs w:val="62"/>
              </w:rPr>
            </w:pPr>
            <w:r w:rsidRPr="003D2111">
              <w:rPr>
                <w:color w:val="FFFFFF" w:themeColor="background1"/>
                <w:sz w:val="62"/>
                <w:szCs w:val="62"/>
              </w:rPr>
              <w:t>Take urgent action to combat climate change and its impacts</w:t>
            </w:r>
          </w:p>
        </w:tc>
      </w:tr>
    </w:tbl>
    <w:p w14:paraId="3A26D259" w14:textId="77777777" w:rsidR="0095033B" w:rsidRPr="00A92C4E" w:rsidRDefault="0095033B" w:rsidP="001C5F7A">
      <w:pPr>
        <w:jc w:val="both"/>
        <w:rPr>
          <w:color w:val="0070C0"/>
          <w:sz w:val="14"/>
          <w:szCs w:val="14"/>
        </w:rPr>
      </w:pPr>
    </w:p>
    <w:tbl>
      <w:tblPr>
        <w:tblStyle w:val="TableGrid"/>
        <w:tblW w:w="0" w:type="auto"/>
        <w:tblLook w:val="04A0" w:firstRow="1" w:lastRow="0" w:firstColumn="1" w:lastColumn="0" w:noHBand="0" w:noVBand="1"/>
      </w:tblPr>
      <w:tblGrid>
        <w:gridCol w:w="1095"/>
        <w:gridCol w:w="822"/>
        <w:gridCol w:w="676"/>
        <w:gridCol w:w="7344"/>
        <w:gridCol w:w="1036"/>
        <w:gridCol w:w="1036"/>
        <w:gridCol w:w="1029"/>
        <w:gridCol w:w="1029"/>
        <w:gridCol w:w="1217"/>
        <w:gridCol w:w="850"/>
        <w:gridCol w:w="737"/>
        <w:gridCol w:w="799"/>
        <w:gridCol w:w="1266"/>
      </w:tblGrid>
      <w:tr w:rsidR="00A92C4E" w14:paraId="4D2E9892" w14:textId="77777777" w:rsidTr="00A64F0D">
        <w:trPr>
          <w:tblHeader/>
        </w:trPr>
        <w:tc>
          <w:tcPr>
            <w:tcW w:w="0" w:type="auto"/>
            <w:shd w:val="clear" w:color="auto" w:fill="B8CCE4" w:themeFill="accent1" w:themeFillTint="66"/>
            <w:vAlign w:val="center"/>
          </w:tcPr>
          <w:p w14:paraId="7E606C61" w14:textId="77777777" w:rsidR="00A92C4E" w:rsidRPr="00C766D7" w:rsidRDefault="00A92C4E" w:rsidP="00A92C4E">
            <w:pPr>
              <w:jc w:val="center"/>
              <w:rPr>
                <w:b/>
                <w:bCs/>
                <w:sz w:val="18"/>
                <w:szCs w:val="18"/>
              </w:rPr>
            </w:pPr>
            <w:r>
              <w:rPr>
                <w:b/>
                <w:bCs/>
                <w:sz w:val="18"/>
                <w:szCs w:val="18"/>
              </w:rPr>
              <w:t>T</w:t>
            </w:r>
            <w:r w:rsidRPr="00C766D7">
              <w:rPr>
                <w:b/>
                <w:bCs/>
                <w:sz w:val="18"/>
                <w:szCs w:val="18"/>
              </w:rPr>
              <w:t>argets and Indicators</w:t>
            </w:r>
          </w:p>
        </w:tc>
        <w:tc>
          <w:tcPr>
            <w:tcW w:w="0" w:type="auto"/>
            <w:shd w:val="clear" w:color="auto" w:fill="B8CCE4" w:themeFill="accent1" w:themeFillTint="66"/>
            <w:vAlign w:val="center"/>
          </w:tcPr>
          <w:p w14:paraId="542AD374" w14:textId="77777777" w:rsidR="00AD2520" w:rsidRDefault="00A92C4E" w:rsidP="00A92C4E">
            <w:pPr>
              <w:jc w:val="center"/>
              <w:rPr>
                <w:b/>
                <w:bCs/>
                <w:sz w:val="18"/>
                <w:szCs w:val="18"/>
              </w:rPr>
            </w:pPr>
            <w:r w:rsidRPr="00C766D7">
              <w:rPr>
                <w:b/>
                <w:bCs/>
                <w:sz w:val="18"/>
                <w:szCs w:val="18"/>
              </w:rPr>
              <w:t xml:space="preserve">Custodian </w:t>
            </w:r>
          </w:p>
          <w:p w14:paraId="09FED9B1" w14:textId="77777777" w:rsidR="00A92C4E" w:rsidRPr="00C766D7" w:rsidRDefault="00A92C4E" w:rsidP="00A92C4E">
            <w:pPr>
              <w:jc w:val="center"/>
              <w:rPr>
                <w:b/>
                <w:bCs/>
                <w:sz w:val="18"/>
                <w:szCs w:val="18"/>
              </w:rPr>
            </w:pPr>
            <w:r w:rsidRPr="00C766D7">
              <w:rPr>
                <w:b/>
                <w:bCs/>
                <w:sz w:val="18"/>
                <w:szCs w:val="18"/>
              </w:rPr>
              <w:t>Agency</w:t>
            </w:r>
            <w:r>
              <w:rPr>
                <w:b/>
                <w:bCs/>
                <w:sz w:val="18"/>
                <w:szCs w:val="18"/>
              </w:rPr>
              <w:t xml:space="preserve"> </w:t>
            </w:r>
            <w:r w:rsidRPr="00C766D7">
              <w:rPr>
                <w:b/>
                <w:bCs/>
                <w:sz w:val="18"/>
                <w:szCs w:val="18"/>
              </w:rPr>
              <w:t>(ies)</w:t>
            </w:r>
          </w:p>
        </w:tc>
        <w:tc>
          <w:tcPr>
            <w:tcW w:w="0" w:type="auto"/>
            <w:shd w:val="clear" w:color="auto" w:fill="B8CCE4" w:themeFill="accent1" w:themeFillTint="66"/>
            <w:vAlign w:val="center"/>
          </w:tcPr>
          <w:p w14:paraId="10F218E5" w14:textId="77777777" w:rsidR="00AD2520" w:rsidRDefault="00A92C4E" w:rsidP="00A92C4E">
            <w:pPr>
              <w:jc w:val="center"/>
              <w:rPr>
                <w:b/>
                <w:bCs/>
                <w:sz w:val="18"/>
                <w:szCs w:val="18"/>
              </w:rPr>
            </w:pPr>
            <w:r w:rsidRPr="00C766D7">
              <w:rPr>
                <w:b/>
                <w:bCs/>
                <w:sz w:val="18"/>
                <w:szCs w:val="18"/>
              </w:rPr>
              <w:t>Tier</w:t>
            </w:r>
          </w:p>
          <w:p w14:paraId="32B1C882" w14:textId="77777777" w:rsidR="00AD2520" w:rsidRDefault="00A92C4E" w:rsidP="00A92C4E">
            <w:pPr>
              <w:jc w:val="center"/>
              <w:rPr>
                <w:b/>
                <w:bCs/>
                <w:sz w:val="18"/>
                <w:szCs w:val="18"/>
              </w:rPr>
            </w:pPr>
            <w:r w:rsidRPr="00C766D7">
              <w:rPr>
                <w:b/>
                <w:bCs/>
                <w:sz w:val="18"/>
                <w:szCs w:val="18"/>
              </w:rPr>
              <w:t xml:space="preserve"> Classifi</w:t>
            </w:r>
            <w:r>
              <w:rPr>
                <w:b/>
                <w:bCs/>
                <w:sz w:val="18"/>
                <w:szCs w:val="18"/>
              </w:rPr>
              <w:t>-</w:t>
            </w:r>
          </w:p>
          <w:p w14:paraId="6965E95B" w14:textId="77777777" w:rsidR="00A92C4E" w:rsidRPr="00C766D7" w:rsidRDefault="00A92C4E" w:rsidP="00A92C4E">
            <w:pPr>
              <w:jc w:val="center"/>
              <w:rPr>
                <w:b/>
                <w:bCs/>
                <w:sz w:val="18"/>
                <w:szCs w:val="18"/>
              </w:rPr>
            </w:pPr>
            <w:r w:rsidRPr="00C766D7">
              <w:rPr>
                <w:b/>
                <w:bCs/>
                <w:sz w:val="18"/>
                <w:szCs w:val="18"/>
              </w:rPr>
              <w:t>cations</w:t>
            </w:r>
          </w:p>
        </w:tc>
        <w:tc>
          <w:tcPr>
            <w:tcW w:w="0" w:type="auto"/>
            <w:shd w:val="clear" w:color="auto" w:fill="B8CCE4" w:themeFill="accent1" w:themeFillTint="66"/>
            <w:vAlign w:val="center"/>
          </w:tcPr>
          <w:p w14:paraId="05B648DD" w14:textId="77777777" w:rsidR="00A92C4E" w:rsidRPr="00C766D7" w:rsidRDefault="00A92C4E" w:rsidP="00A92C4E">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B8CCE4" w:themeFill="accent1" w:themeFillTint="66"/>
            <w:vAlign w:val="center"/>
          </w:tcPr>
          <w:p w14:paraId="3D1602FA" w14:textId="77777777" w:rsidR="00AD2520" w:rsidRDefault="00A92C4E" w:rsidP="00A92C4E">
            <w:pPr>
              <w:jc w:val="center"/>
              <w:rPr>
                <w:b/>
                <w:bCs/>
                <w:sz w:val="18"/>
                <w:szCs w:val="18"/>
              </w:rPr>
            </w:pPr>
            <w:r w:rsidRPr="00C766D7">
              <w:rPr>
                <w:b/>
                <w:bCs/>
                <w:sz w:val="18"/>
                <w:szCs w:val="18"/>
              </w:rPr>
              <w:t xml:space="preserve">UN Suggested activities </w:t>
            </w:r>
          </w:p>
          <w:p w14:paraId="107D0F9C" w14:textId="77777777" w:rsidR="00A92C4E" w:rsidRPr="00C766D7" w:rsidRDefault="00A92C4E" w:rsidP="00A92C4E">
            <w:pPr>
              <w:jc w:val="center"/>
              <w:rPr>
                <w:b/>
                <w:bCs/>
                <w:sz w:val="18"/>
                <w:szCs w:val="18"/>
              </w:rPr>
            </w:pPr>
            <w:r w:rsidRPr="00C766D7">
              <w:rPr>
                <w:b/>
                <w:bCs/>
                <w:sz w:val="18"/>
                <w:szCs w:val="18"/>
              </w:rPr>
              <w:t>of data generation</w:t>
            </w:r>
          </w:p>
        </w:tc>
        <w:tc>
          <w:tcPr>
            <w:tcW w:w="0" w:type="auto"/>
            <w:shd w:val="clear" w:color="auto" w:fill="B8CCE4" w:themeFill="accent1" w:themeFillTint="66"/>
            <w:vAlign w:val="center"/>
          </w:tcPr>
          <w:p w14:paraId="28CC7E88" w14:textId="77777777" w:rsidR="00A92C4E" w:rsidRPr="00C766D7" w:rsidRDefault="00A92C4E" w:rsidP="00A92C4E">
            <w:pPr>
              <w:jc w:val="center"/>
              <w:rPr>
                <w:b/>
                <w:bCs/>
                <w:sz w:val="18"/>
                <w:szCs w:val="18"/>
              </w:rPr>
            </w:pPr>
            <w:r w:rsidRPr="00C766D7">
              <w:rPr>
                <w:b/>
                <w:bCs/>
                <w:sz w:val="18"/>
                <w:szCs w:val="18"/>
              </w:rPr>
              <w:t>UN Suggested data provider</w:t>
            </w:r>
          </w:p>
        </w:tc>
        <w:tc>
          <w:tcPr>
            <w:tcW w:w="0" w:type="auto"/>
            <w:shd w:val="clear" w:color="auto" w:fill="B8CCE4" w:themeFill="accent1" w:themeFillTint="66"/>
            <w:vAlign w:val="center"/>
          </w:tcPr>
          <w:p w14:paraId="481EFD59" w14:textId="77777777" w:rsidR="00A92C4E" w:rsidRPr="00C766D7" w:rsidRDefault="00A92C4E" w:rsidP="00A92C4E">
            <w:pPr>
              <w:jc w:val="center"/>
              <w:rPr>
                <w:b/>
                <w:bCs/>
                <w:sz w:val="18"/>
                <w:szCs w:val="18"/>
              </w:rPr>
            </w:pPr>
            <w:r w:rsidRPr="00C766D7">
              <w:rPr>
                <w:b/>
                <w:bCs/>
                <w:sz w:val="18"/>
                <w:szCs w:val="18"/>
              </w:rPr>
              <w:t>Recent Available Data Sources</w:t>
            </w:r>
          </w:p>
        </w:tc>
        <w:tc>
          <w:tcPr>
            <w:tcW w:w="0" w:type="auto"/>
            <w:shd w:val="clear" w:color="auto" w:fill="B8CCE4" w:themeFill="accent1" w:themeFillTint="66"/>
            <w:vAlign w:val="center"/>
          </w:tcPr>
          <w:p w14:paraId="67EA2648" w14:textId="77777777" w:rsidR="00A92C4E" w:rsidRPr="00C766D7" w:rsidRDefault="00A92C4E" w:rsidP="00A92C4E">
            <w:pPr>
              <w:jc w:val="center"/>
              <w:rPr>
                <w:b/>
                <w:bCs/>
                <w:sz w:val="18"/>
                <w:szCs w:val="18"/>
              </w:rPr>
            </w:pPr>
            <w:r w:rsidRPr="00C766D7">
              <w:rPr>
                <w:b/>
                <w:bCs/>
                <w:sz w:val="18"/>
                <w:szCs w:val="18"/>
              </w:rPr>
              <w:t>Possible future Sources</w:t>
            </w:r>
          </w:p>
        </w:tc>
        <w:tc>
          <w:tcPr>
            <w:tcW w:w="0" w:type="auto"/>
            <w:shd w:val="clear" w:color="auto" w:fill="B8CCE4" w:themeFill="accent1" w:themeFillTint="66"/>
            <w:vAlign w:val="center"/>
          </w:tcPr>
          <w:p w14:paraId="1CCB8807" w14:textId="77777777" w:rsidR="00A92C4E" w:rsidRPr="00C766D7" w:rsidRDefault="00A92C4E" w:rsidP="00A92C4E">
            <w:pPr>
              <w:jc w:val="center"/>
              <w:rPr>
                <w:b/>
                <w:bCs/>
                <w:sz w:val="18"/>
                <w:szCs w:val="18"/>
              </w:rPr>
            </w:pPr>
            <w:r>
              <w:rPr>
                <w:b/>
                <w:bCs/>
                <w:sz w:val="18"/>
                <w:szCs w:val="18"/>
              </w:rPr>
              <w:t>Minimum Disaggregation Dimensions and Categories</w:t>
            </w:r>
          </w:p>
        </w:tc>
        <w:tc>
          <w:tcPr>
            <w:tcW w:w="0" w:type="auto"/>
            <w:shd w:val="clear" w:color="auto" w:fill="B8CCE4" w:themeFill="accent1" w:themeFillTint="66"/>
            <w:vAlign w:val="center"/>
          </w:tcPr>
          <w:p w14:paraId="472E2F49" w14:textId="77777777" w:rsidR="00A92C4E" w:rsidRPr="00C766D7" w:rsidRDefault="00A92C4E" w:rsidP="00A92C4E">
            <w:pPr>
              <w:jc w:val="center"/>
              <w:rPr>
                <w:b/>
                <w:bCs/>
                <w:sz w:val="18"/>
                <w:szCs w:val="18"/>
              </w:rPr>
            </w:pPr>
            <w:r w:rsidRPr="00C766D7">
              <w:rPr>
                <w:b/>
                <w:bCs/>
                <w:sz w:val="18"/>
                <w:szCs w:val="18"/>
              </w:rPr>
              <w:t>Frequency of data generation</w:t>
            </w:r>
          </w:p>
        </w:tc>
        <w:tc>
          <w:tcPr>
            <w:tcW w:w="0" w:type="auto"/>
            <w:shd w:val="clear" w:color="auto" w:fill="B8CCE4" w:themeFill="accent1" w:themeFillTint="66"/>
            <w:vAlign w:val="center"/>
          </w:tcPr>
          <w:p w14:paraId="51D8ECF1" w14:textId="77777777" w:rsidR="00A92C4E" w:rsidRPr="00C766D7" w:rsidRDefault="00A92C4E" w:rsidP="00A92C4E">
            <w:pPr>
              <w:jc w:val="center"/>
              <w:rPr>
                <w:b/>
                <w:bCs/>
                <w:sz w:val="18"/>
                <w:szCs w:val="18"/>
              </w:rPr>
            </w:pPr>
            <w:r w:rsidRPr="00C766D7">
              <w:rPr>
                <w:b/>
                <w:bCs/>
                <w:sz w:val="18"/>
                <w:szCs w:val="18"/>
              </w:rPr>
              <w:t>Local Indicator Group</w:t>
            </w:r>
          </w:p>
        </w:tc>
        <w:tc>
          <w:tcPr>
            <w:tcW w:w="0" w:type="auto"/>
            <w:shd w:val="clear" w:color="auto" w:fill="B8CCE4" w:themeFill="accent1" w:themeFillTint="66"/>
          </w:tcPr>
          <w:p w14:paraId="0A06C933" w14:textId="77777777" w:rsidR="00A92C4E" w:rsidRDefault="00A92C4E" w:rsidP="00A92C4E">
            <w:pPr>
              <w:jc w:val="center"/>
              <w:rPr>
                <w:b/>
                <w:bCs/>
                <w:sz w:val="18"/>
                <w:szCs w:val="18"/>
              </w:rPr>
            </w:pPr>
            <w:r w:rsidRPr="00BE3A94">
              <w:rPr>
                <w:b/>
                <w:bCs/>
                <w:sz w:val="18"/>
                <w:szCs w:val="18"/>
              </w:rPr>
              <w:t>Deadline for Data providing</w:t>
            </w:r>
          </w:p>
        </w:tc>
        <w:tc>
          <w:tcPr>
            <w:tcW w:w="0" w:type="auto"/>
            <w:shd w:val="clear" w:color="auto" w:fill="B8CCE4" w:themeFill="accent1" w:themeFillTint="66"/>
            <w:vAlign w:val="center"/>
          </w:tcPr>
          <w:p w14:paraId="41614F5E" w14:textId="77777777" w:rsidR="00A92C4E" w:rsidRPr="00C766D7" w:rsidRDefault="00A92C4E" w:rsidP="00A92C4E">
            <w:pPr>
              <w:jc w:val="center"/>
              <w:rPr>
                <w:b/>
                <w:bCs/>
                <w:sz w:val="18"/>
                <w:szCs w:val="18"/>
              </w:rPr>
            </w:pPr>
            <w:r>
              <w:rPr>
                <w:b/>
                <w:bCs/>
                <w:sz w:val="18"/>
                <w:szCs w:val="18"/>
              </w:rPr>
              <w:t>Remarks</w:t>
            </w:r>
          </w:p>
        </w:tc>
      </w:tr>
      <w:tr w:rsidR="00A92C4E" w:rsidRPr="007E6DF7" w14:paraId="0D841769" w14:textId="77777777" w:rsidTr="00A64F0D">
        <w:trPr>
          <w:tblHeader/>
        </w:trPr>
        <w:tc>
          <w:tcPr>
            <w:tcW w:w="0" w:type="auto"/>
            <w:shd w:val="clear" w:color="auto" w:fill="548DD4" w:themeFill="text2" w:themeFillTint="99"/>
          </w:tcPr>
          <w:p w14:paraId="0FA00790" w14:textId="77777777" w:rsidR="00A92C4E" w:rsidRPr="007E6DF7" w:rsidRDefault="00A92C4E" w:rsidP="00A92C4E">
            <w:pPr>
              <w:jc w:val="center"/>
              <w:rPr>
                <w:b/>
                <w:bCs/>
                <w:sz w:val="18"/>
                <w:szCs w:val="18"/>
              </w:rPr>
            </w:pPr>
            <w:r w:rsidRPr="007E6DF7">
              <w:rPr>
                <w:b/>
                <w:bCs/>
                <w:sz w:val="18"/>
                <w:szCs w:val="18"/>
              </w:rPr>
              <w:t>1</w:t>
            </w:r>
          </w:p>
        </w:tc>
        <w:tc>
          <w:tcPr>
            <w:tcW w:w="0" w:type="auto"/>
            <w:shd w:val="clear" w:color="auto" w:fill="548DD4" w:themeFill="text2" w:themeFillTint="99"/>
          </w:tcPr>
          <w:p w14:paraId="094ECFB8" w14:textId="77777777" w:rsidR="00A92C4E" w:rsidRPr="007E6DF7" w:rsidRDefault="00A92C4E" w:rsidP="00A92C4E">
            <w:pPr>
              <w:jc w:val="center"/>
              <w:rPr>
                <w:b/>
                <w:bCs/>
                <w:sz w:val="18"/>
                <w:szCs w:val="18"/>
              </w:rPr>
            </w:pPr>
            <w:r w:rsidRPr="007E6DF7">
              <w:rPr>
                <w:b/>
                <w:bCs/>
                <w:sz w:val="18"/>
                <w:szCs w:val="18"/>
              </w:rPr>
              <w:t>2</w:t>
            </w:r>
          </w:p>
        </w:tc>
        <w:tc>
          <w:tcPr>
            <w:tcW w:w="0" w:type="auto"/>
            <w:shd w:val="clear" w:color="auto" w:fill="548DD4" w:themeFill="text2" w:themeFillTint="99"/>
          </w:tcPr>
          <w:p w14:paraId="2F83865C" w14:textId="77777777" w:rsidR="00A92C4E" w:rsidRPr="007E6DF7" w:rsidRDefault="00A92C4E" w:rsidP="00A92C4E">
            <w:pPr>
              <w:jc w:val="center"/>
              <w:rPr>
                <w:b/>
                <w:bCs/>
                <w:sz w:val="18"/>
                <w:szCs w:val="18"/>
              </w:rPr>
            </w:pPr>
            <w:r w:rsidRPr="007E6DF7">
              <w:rPr>
                <w:b/>
                <w:bCs/>
                <w:sz w:val="18"/>
                <w:szCs w:val="18"/>
              </w:rPr>
              <w:t>3</w:t>
            </w:r>
          </w:p>
        </w:tc>
        <w:tc>
          <w:tcPr>
            <w:tcW w:w="0" w:type="auto"/>
            <w:shd w:val="clear" w:color="auto" w:fill="548DD4" w:themeFill="text2" w:themeFillTint="99"/>
          </w:tcPr>
          <w:p w14:paraId="63C639F5" w14:textId="77777777" w:rsidR="00A92C4E" w:rsidRPr="007E6DF7" w:rsidRDefault="00A92C4E" w:rsidP="00A92C4E">
            <w:pPr>
              <w:jc w:val="center"/>
              <w:rPr>
                <w:b/>
                <w:bCs/>
                <w:sz w:val="18"/>
                <w:szCs w:val="18"/>
              </w:rPr>
            </w:pPr>
            <w:r w:rsidRPr="007E6DF7">
              <w:rPr>
                <w:b/>
                <w:bCs/>
                <w:sz w:val="18"/>
                <w:szCs w:val="18"/>
              </w:rPr>
              <w:t>4</w:t>
            </w:r>
          </w:p>
        </w:tc>
        <w:tc>
          <w:tcPr>
            <w:tcW w:w="0" w:type="auto"/>
            <w:shd w:val="clear" w:color="auto" w:fill="548DD4" w:themeFill="text2" w:themeFillTint="99"/>
          </w:tcPr>
          <w:p w14:paraId="46AA513B" w14:textId="77777777" w:rsidR="00A92C4E" w:rsidRPr="007E6DF7" w:rsidRDefault="00A92C4E" w:rsidP="00A92C4E">
            <w:pPr>
              <w:jc w:val="center"/>
              <w:rPr>
                <w:b/>
                <w:bCs/>
                <w:sz w:val="18"/>
                <w:szCs w:val="18"/>
              </w:rPr>
            </w:pPr>
            <w:r w:rsidRPr="007E6DF7">
              <w:rPr>
                <w:b/>
                <w:bCs/>
                <w:sz w:val="18"/>
                <w:szCs w:val="18"/>
              </w:rPr>
              <w:t>5</w:t>
            </w:r>
          </w:p>
        </w:tc>
        <w:tc>
          <w:tcPr>
            <w:tcW w:w="0" w:type="auto"/>
            <w:shd w:val="clear" w:color="auto" w:fill="548DD4" w:themeFill="text2" w:themeFillTint="99"/>
          </w:tcPr>
          <w:p w14:paraId="0EFB2D7D" w14:textId="77777777" w:rsidR="00A92C4E" w:rsidRPr="007E6DF7" w:rsidRDefault="00A92C4E" w:rsidP="00A92C4E">
            <w:pPr>
              <w:jc w:val="center"/>
              <w:rPr>
                <w:b/>
                <w:bCs/>
                <w:sz w:val="18"/>
                <w:szCs w:val="18"/>
              </w:rPr>
            </w:pPr>
            <w:r w:rsidRPr="007E6DF7">
              <w:rPr>
                <w:b/>
                <w:bCs/>
                <w:sz w:val="18"/>
                <w:szCs w:val="18"/>
              </w:rPr>
              <w:t>6</w:t>
            </w:r>
          </w:p>
        </w:tc>
        <w:tc>
          <w:tcPr>
            <w:tcW w:w="0" w:type="auto"/>
            <w:shd w:val="clear" w:color="auto" w:fill="548DD4" w:themeFill="text2" w:themeFillTint="99"/>
          </w:tcPr>
          <w:p w14:paraId="550CBAD9" w14:textId="77777777" w:rsidR="00A92C4E" w:rsidRPr="007E6DF7" w:rsidRDefault="00A92C4E" w:rsidP="00A92C4E">
            <w:pPr>
              <w:jc w:val="center"/>
              <w:rPr>
                <w:b/>
                <w:bCs/>
                <w:sz w:val="18"/>
                <w:szCs w:val="18"/>
              </w:rPr>
            </w:pPr>
            <w:r w:rsidRPr="007E6DF7">
              <w:rPr>
                <w:b/>
                <w:bCs/>
                <w:sz w:val="18"/>
                <w:szCs w:val="18"/>
              </w:rPr>
              <w:t>7</w:t>
            </w:r>
          </w:p>
        </w:tc>
        <w:tc>
          <w:tcPr>
            <w:tcW w:w="0" w:type="auto"/>
            <w:shd w:val="clear" w:color="auto" w:fill="548DD4" w:themeFill="text2" w:themeFillTint="99"/>
          </w:tcPr>
          <w:p w14:paraId="6468F7A3" w14:textId="77777777" w:rsidR="00A92C4E" w:rsidRPr="007E6DF7" w:rsidRDefault="00A92C4E" w:rsidP="00A92C4E">
            <w:pPr>
              <w:jc w:val="center"/>
              <w:rPr>
                <w:b/>
                <w:bCs/>
                <w:sz w:val="18"/>
                <w:szCs w:val="18"/>
              </w:rPr>
            </w:pPr>
            <w:r w:rsidRPr="007E6DF7">
              <w:rPr>
                <w:b/>
                <w:bCs/>
                <w:sz w:val="18"/>
                <w:szCs w:val="18"/>
              </w:rPr>
              <w:t>8</w:t>
            </w:r>
          </w:p>
        </w:tc>
        <w:tc>
          <w:tcPr>
            <w:tcW w:w="0" w:type="auto"/>
            <w:shd w:val="clear" w:color="auto" w:fill="548DD4" w:themeFill="text2" w:themeFillTint="99"/>
          </w:tcPr>
          <w:p w14:paraId="29F11C21" w14:textId="77777777" w:rsidR="00A92C4E" w:rsidRPr="007E6DF7" w:rsidRDefault="00A92C4E" w:rsidP="00A92C4E">
            <w:pPr>
              <w:jc w:val="center"/>
              <w:rPr>
                <w:b/>
                <w:bCs/>
                <w:sz w:val="18"/>
                <w:szCs w:val="18"/>
              </w:rPr>
            </w:pPr>
            <w:r w:rsidRPr="007E6DF7">
              <w:rPr>
                <w:b/>
                <w:bCs/>
                <w:sz w:val="18"/>
                <w:szCs w:val="18"/>
              </w:rPr>
              <w:t>9</w:t>
            </w:r>
          </w:p>
        </w:tc>
        <w:tc>
          <w:tcPr>
            <w:tcW w:w="0" w:type="auto"/>
            <w:shd w:val="clear" w:color="auto" w:fill="548DD4" w:themeFill="text2" w:themeFillTint="99"/>
          </w:tcPr>
          <w:p w14:paraId="21D0F7C1" w14:textId="77777777" w:rsidR="00A92C4E" w:rsidRPr="007E6DF7" w:rsidRDefault="00A92C4E" w:rsidP="00A92C4E">
            <w:pPr>
              <w:jc w:val="center"/>
              <w:rPr>
                <w:b/>
                <w:bCs/>
                <w:sz w:val="18"/>
                <w:szCs w:val="18"/>
              </w:rPr>
            </w:pPr>
            <w:r w:rsidRPr="007E6DF7">
              <w:rPr>
                <w:b/>
                <w:bCs/>
                <w:sz w:val="18"/>
                <w:szCs w:val="18"/>
              </w:rPr>
              <w:t>10</w:t>
            </w:r>
          </w:p>
        </w:tc>
        <w:tc>
          <w:tcPr>
            <w:tcW w:w="0" w:type="auto"/>
            <w:shd w:val="clear" w:color="auto" w:fill="548DD4" w:themeFill="text2" w:themeFillTint="99"/>
          </w:tcPr>
          <w:p w14:paraId="68BD71D1" w14:textId="77777777" w:rsidR="00A92C4E" w:rsidRPr="007E6DF7" w:rsidRDefault="00A92C4E" w:rsidP="00A92C4E">
            <w:pPr>
              <w:jc w:val="center"/>
              <w:rPr>
                <w:b/>
                <w:bCs/>
                <w:sz w:val="18"/>
                <w:szCs w:val="18"/>
              </w:rPr>
            </w:pPr>
            <w:r w:rsidRPr="007E6DF7">
              <w:rPr>
                <w:b/>
                <w:bCs/>
                <w:sz w:val="18"/>
                <w:szCs w:val="18"/>
              </w:rPr>
              <w:t>11</w:t>
            </w:r>
          </w:p>
        </w:tc>
        <w:tc>
          <w:tcPr>
            <w:tcW w:w="0" w:type="auto"/>
            <w:shd w:val="clear" w:color="auto" w:fill="548DD4" w:themeFill="text2" w:themeFillTint="99"/>
          </w:tcPr>
          <w:p w14:paraId="46C43C70" w14:textId="77777777" w:rsidR="00A92C4E" w:rsidRPr="007E6DF7" w:rsidRDefault="00A92C4E" w:rsidP="00A92C4E">
            <w:pPr>
              <w:jc w:val="center"/>
              <w:rPr>
                <w:b/>
                <w:bCs/>
                <w:sz w:val="18"/>
                <w:szCs w:val="18"/>
                <w:lang w:bidi="bn-BD"/>
              </w:rPr>
            </w:pPr>
            <w:r w:rsidRPr="007E6DF7">
              <w:rPr>
                <w:rFonts w:hint="cs"/>
                <w:b/>
                <w:bCs/>
                <w:sz w:val="18"/>
                <w:szCs w:val="18"/>
                <w:cs/>
                <w:lang w:bidi="bn-BD"/>
              </w:rPr>
              <w:t>12</w:t>
            </w:r>
          </w:p>
        </w:tc>
        <w:tc>
          <w:tcPr>
            <w:tcW w:w="0" w:type="auto"/>
            <w:shd w:val="clear" w:color="auto" w:fill="548DD4" w:themeFill="text2" w:themeFillTint="99"/>
          </w:tcPr>
          <w:p w14:paraId="714F6289" w14:textId="77777777" w:rsidR="00A92C4E" w:rsidRPr="007E6DF7" w:rsidRDefault="00A92C4E" w:rsidP="00A92C4E">
            <w:pPr>
              <w:jc w:val="center"/>
              <w:rPr>
                <w:b/>
                <w:bCs/>
                <w:sz w:val="18"/>
                <w:szCs w:val="18"/>
                <w:lang w:bidi="bn-BD"/>
              </w:rPr>
            </w:pPr>
            <w:r w:rsidRPr="007E6DF7">
              <w:rPr>
                <w:b/>
                <w:bCs/>
                <w:sz w:val="18"/>
                <w:szCs w:val="18"/>
              </w:rPr>
              <w:t>1</w:t>
            </w:r>
            <w:r w:rsidRPr="007E6DF7">
              <w:rPr>
                <w:rFonts w:hint="cs"/>
                <w:b/>
                <w:bCs/>
                <w:sz w:val="18"/>
                <w:szCs w:val="18"/>
                <w:cs/>
                <w:lang w:bidi="bn-BD"/>
              </w:rPr>
              <w:t>3</w:t>
            </w:r>
          </w:p>
        </w:tc>
      </w:tr>
      <w:tr w:rsidR="001820B2" w14:paraId="0C0C14A8" w14:textId="77777777" w:rsidTr="00A64F0D">
        <w:tc>
          <w:tcPr>
            <w:tcW w:w="0" w:type="auto"/>
          </w:tcPr>
          <w:p w14:paraId="1F82D184" w14:textId="77777777" w:rsidR="001820B2" w:rsidRDefault="001820B2" w:rsidP="00A92C4E">
            <w:pPr>
              <w:ind w:left="970" w:hanging="970"/>
              <w:jc w:val="both"/>
              <w:rPr>
                <w:color w:val="0070C0"/>
                <w:sz w:val="30"/>
                <w:szCs w:val="30"/>
              </w:rPr>
            </w:pPr>
          </w:p>
        </w:tc>
        <w:tc>
          <w:tcPr>
            <w:tcW w:w="0" w:type="auto"/>
            <w:gridSpan w:val="12"/>
          </w:tcPr>
          <w:p w14:paraId="78AC7B88" w14:textId="77777777" w:rsidR="001820B2" w:rsidRDefault="001820B2" w:rsidP="00A92C4E">
            <w:pPr>
              <w:jc w:val="both"/>
              <w:rPr>
                <w:color w:val="0070C0"/>
                <w:sz w:val="48"/>
                <w:szCs w:val="48"/>
              </w:rPr>
            </w:pPr>
            <w:r>
              <w:rPr>
                <w:color w:val="0070C0"/>
                <w:sz w:val="30"/>
                <w:szCs w:val="30"/>
              </w:rPr>
              <w:t xml:space="preserve">Target </w:t>
            </w:r>
            <w:r w:rsidRPr="00F00A89">
              <w:rPr>
                <w:color w:val="0070C0"/>
                <w:sz w:val="30"/>
                <w:szCs w:val="30"/>
              </w:rPr>
              <w:t>13.1 Strengthen resilience and adaptive capacity to climate-related hazards and natural disasters in all countries</w:t>
            </w:r>
          </w:p>
        </w:tc>
      </w:tr>
      <w:tr w:rsidR="008C6A6C" w14:paraId="21E5967A" w14:textId="77777777" w:rsidTr="00A64F0D">
        <w:tc>
          <w:tcPr>
            <w:tcW w:w="0" w:type="auto"/>
          </w:tcPr>
          <w:p w14:paraId="46813B6F" w14:textId="77777777" w:rsidR="008C6A6C" w:rsidRDefault="008C6A6C" w:rsidP="008C6A6C">
            <w:pPr>
              <w:pStyle w:val="NoSpacing"/>
            </w:pPr>
            <w:r w:rsidRPr="0055666E">
              <w:t>13.1.1 Number of deaths, missing persons and directly affected persons attributed to disasters per 100,000 population</w:t>
            </w:r>
          </w:p>
        </w:tc>
        <w:tc>
          <w:tcPr>
            <w:tcW w:w="0" w:type="auto"/>
          </w:tcPr>
          <w:p w14:paraId="66D1F953" w14:textId="77777777" w:rsidR="008C6A6C" w:rsidRDefault="008C6A6C" w:rsidP="008C6A6C">
            <w:pPr>
              <w:pStyle w:val="NoSpacing"/>
            </w:pPr>
            <w:r w:rsidRPr="004559CB">
              <w:t>UNDRR</w:t>
            </w:r>
          </w:p>
          <w:p w14:paraId="2056C37D" w14:textId="77777777" w:rsidR="008C6A6C" w:rsidRDefault="008C6A6C" w:rsidP="008C6A6C">
            <w:pPr>
              <w:rPr>
                <w:b/>
                <w:bCs/>
                <w:szCs w:val="20"/>
              </w:rPr>
            </w:pPr>
            <w:r w:rsidRPr="007243FC">
              <w:rPr>
                <w:b/>
                <w:bCs/>
                <w:szCs w:val="20"/>
              </w:rPr>
              <w:t>Partner Agencies:</w:t>
            </w:r>
          </w:p>
          <w:p w14:paraId="3B966030" w14:textId="77777777" w:rsidR="008C6A6C" w:rsidRDefault="008C6A6C" w:rsidP="008C6A6C">
            <w:pPr>
              <w:pStyle w:val="NoSpacing"/>
            </w:pPr>
            <w:r>
              <w:t xml:space="preserve">WMO, </w:t>
            </w:r>
          </w:p>
          <w:p w14:paraId="12F4D9BF" w14:textId="77777777" w:rsidR="008C6A6C" w:rsidRDefault="008C6A6C" w:rsidP="008C6A6C">
            <w:pPr>
              <w:pStyle w:val="NoSpacing"/>
            </w:pPr>
            <w:r>
              <w:t xml:space="preserve">UNFCCC, </w:t>
            </w:r>
          </w:p>
          <w:p w14:paraId="565232BA" w14:textId="77777777" w:rsidR="008C6A6C" w:rsidRDefault="008C6A6C" w:rsidP="008C6A6C">
            <w:pPr>
              <w:pStyle w:val="NoSpacing"/>
            </w:pPr>
            <w:r>
              <w:t>UNEP</w:t>
            </w:r>
          </w:p>
        </w:tc>
        <w:tc>
          <w:tcPr>
            <w:tcW w:w="0" w:type="auto"/>
          </w:tcPr>
          <w:p w14:paraId="2A70E835" w14:textId="77777777" w:rsidR="008C6A6C" w:rsidRDefault="008C6A6C" w:rsidP="008C6A6C">
            <w:pPr>
              <w:ind w:left="970" w:hanging="970"/>
              <w:jc w:val="both"/>
              <w:rPr>
                <w:color w:val="0070C0"/>
                <w:sz w:val="30"/>
                <w:szCs w:val="30"/>
              </w:rPr>
            </w:pPr>
            <w:r w:rsidRPr="00666BAB">
              <w:t>Tier II</w:t>
            </w:r>
          </w:p>
        </w:tc>
        <w:tc>
          <w:tcPr>
            <w:tcW w:w="0" w:type="auto"/>
          </w:tcPr>
          <w:p w14:paraId="4888FC8A" w14:textId="77777777" w:rsidR="008C6A6C" w:rsidRPr="00D83A76" w:rsidRDefault="008C6A6C" w:rsidP="008C6A6C">
            <w:pPr>
              <w:shd w:val="clear" w:color="auto" w:fill="FFFFFF"/>
              <w:jc w:val="both"/>
              <w:rPr>
                <w:rFonts w:eastAsia="Times New Roman" w:cs="Times New Roman"/>
                <w:b/>
                <w:bCs/>
                <w:color w:val="4A4A4A"/>
                <w:szCs w:val="20"/>
                <w:lang w:eastAsia="en-GB"/>
              </w:rPr>
            </w:pPr>
            <w:r w:rsidRPr="00D83A76">
              <w:rPr>
                <w:rFonts w:eastAsia="Times New Roman" w:cs="Times New Roman"/>
                <w:b/>
                <w:bCs/>
                <w:color w:val="4A4A4A"/>
                <w:szCs w:val="20"/>
                <w:lang w:eastAsia="en-GB"/>
              </w:rPr>
              <w:t>Definition:</w:t>
            </w:r>
          </w:p>
          <w:p w14:paraId="4A4D1851" w14:textId="77777777" w:rsidR="008C6A6C" w:rsidRPr="00D83A76" w:rsidRDefault="008C6A6C" w:rsidP="008C6A6C">
            <w:pPr>
              <w:shd w:val="clear" w:color="auto" w:fill="FFFFFF"/>
              <w:jc w:val="both"/>
              <w:rPr>
                <w:rFonts w:eastAsia="Times New Roman" w:cs="Times New Roman"/>
                <w:color w:val="4A4A4A"/>
                <w:szCs w:val="20"/>
                <w:lang w:eastAsia="en-GB"/>
              </w:rPr>
            </w:pPr>
            <w:r w:rsidRPr="00D83A76">
              <w:rPr>
                <w:rFonts w:eastAsia="Times New Roman" w:cs="Times New Roman"/>
                <w:color w:val="4A4A4A"/>
                <w:szCs w:val="20"/>
                <w:lang w:eastAsia="en-GB"/>
              </w:rPr>
              <w:t xml:space="preserve">This indicator measures the number of people who died, went missing or were directly affected by disasters per 100,000 </w:t>
            </w:r>
            <w:proofErr w:type="gramStart"/>
            <w:r w:rsidRPr="00D83A76">
              <w:rPr>
                <w:rFonts w:eastAsia="Times New Roman" w:cs="Times New Roman"/>
                <w:color w:val="4A4A4A"/>
                <w:szCs w:val="20"/>
                <w:lang w:eastAsia="en-GB"/>
              </w:rPr>
              <w:t>population</w:t>
            </w:r>
            <w:proofErr w:type="gramEnd"/>
            <w:r w:rsidRPr="00D83A76">
              <w:rPr>
                <w:rFonts w:eastAsia="Times New Roman" w:cs="Times New Roman"/>
                <w:color w:val="4A4A4A"/>
                <w:szCs w:val="20"/>
                <w:lang w:eastAsia="en-GB"/>
              </w:rPr>
              <w:t xml:space="preserve">. </w:t>
            </w:r>
          </w:p>
          <w:p w14:paraId="0AAAC1A2" w14:textId="77777777" w:rsidR="008C6A6C" w:rsidRPr="00D83A76" w:rsidRDefault="008C6A6C" w:rsidP="008C6A6C">
            <w:pPr>
              <w:shd w:val="clear" w:color="auto" w:fill="FFFFFF"/>
              <w:jc w:val="both"/>
              <w:rPr>
                <w:rFonts w:eastAsia="Times New Roman" w:cs="Times New Roman"/>
                <w:b/>
                <w:bCs/>
                <w:color w:val="4A4A4A"/>
                <w:szCs w:val="20"/>
                <w:lang w:eastAsia="en-GB"/>
              </w:rPr>
            </w:pPr>
          </w:p>
          <w:p w14:paraId="53D30E09" w14:textId="77777777" w:rsidR="008C6A6C" w:rsidRPr="00D83A76" w:rsidRDefault="008C6A6C" w:rsidP="008C6A6C">
            <w:pPr>
              <w:shd w:val="clear" w:color="auto" w:fill="FFFFFF"/>
              <w:jc w:val="both"/>
              <w:rPr>
                <w:rFonts w:eastAsia="Times New Roman" w:cs="Times New Roman"/>
                <w:b/>
                <w:bCs/>
                <w:color w:val="4A4A4A"/>
                <w:szCs w:val="20"/>
                <w:lang w:eastAsia="en-GB"/>
              </w:rPr>
            </w:pPr>
            <w:r w:rsidRPr="00D83A76">
              <w:rPr>
                <w:rFonts w:eastAsia="Times New Roman" w:cs="Times New Roman"/>
                <w:b/>
                <w:bCs/>
                <w:color w:val="4A4A4A"/>
                <w:szCs w:val="20"/>
                <w:lang w:eastAsia="en-GB"/>
              </w:rPr>
              <w:t>Concepts:</w:t>
            </w:r>
          </w:p>
          <w:p w14:paraId="62CE5339" w14:textId="77777777" w:rsidR="008C6A6C" w:rsidRPr="00D83A76" w:rsidRDefault="008C6A6C" w:rsidP="008C6A6C">
            <w:pPr>
              <w:spacing w:before="120" w:after="240"/>
              <w:rPr>
                <w:b/>
                <w:szCs w:val="20"/>
              </w:rPr>
            </w:pPr>
            <w:r w:rsidRPr="00D83A76">
              <w:rPr>
                <w:b/>
                <w:szCs w:val="20"/>
              </w:rPr>
              <w:t xml:space="preserve">Death: </w:t>
            </w:r>
            <w:r w:rsidRPr="00D83A76">
              <w:rPr>
                <w:bCs/>
                <w:szCs w:val="20"/>
              </w:rPr>
              <w:t>The number of people who died during the disaster, or directly after, as a direct result of the hazardous event.</w:t>
            </w:r>
          </w:p>
          <w:p w14:paraId="205B9763" w14:textId="77777777" w:rsidR="008C6A6C" w:rsidRPr="00D83A76" w:rsidRDefault="008C6A6C" w:rsidP="008C6A6C">
            <w:pPr>
              <w:spacing w:before="120" w:after="240"/>
              <w:rPr>
                <w:b/>
                <w:szCs w:val="20"/>
              </w:rPr>
            </w:pPr>
            <w:r w:rsidRPr="00D83A76">
              <w:rPr>
                <w:b/>
                <w:szCs w:val="20"/>
              </w:rPr>
              <w:t xml:space="preserve">Missing: </w:t>
            </w:r>
            <w:r w:rsidRPr="00D83A76">
              <w:rPr>
                <w:szCs w:val="20"/>
              </w:rPr>
              <w:t>The number of people whose whereabouts is unknown since the hazardous event. It</w:t>
            </w:r>
            <w:r w:rsidRPr="00D83A76">
              <w:rPr>
                <w:b/>
                <w:bCs/>
                <w:szCs w:val="20"/>
              </w:rPr>
              <w:t xml:space="preserve"> </w:t>
            </w:r>
            <w:r w:rsidRPr="00D83A76">
              <w:rPr>
                <w:szCs w:val="20"/>
              </w:rPr>
              <w:t>includes people who are presumed dead, for whom there is no physical evidence such as a body, and for which an official/legal report has been filed with competent authorities.</w:t>
            </w:r>
          </w:p>
          <w:p w14:paraId="74CB7718" w14:textId="77777777" w:rsidR="008C6A6C" w:rsidRPr="00D83A76" w:rsidRDefault="008C6A6C" w:rsidP="008C6A6C">
            <w:pPr>
              <w:shd w:val="clear" w:color="auto" w:fill="FFFFFF"/>
              <w:jc w:val="both"/>
              <w:rPr>
                <w:rFonts w:eastAsia="Times New Roman" w:cs="Times New Roman"/>
                <w:color w:val="4A4A4A"/>
                <w:szCs w:val="20"/>
                <w:lang w:eastAsia="en-GB"/>
              </w:rPr>
            </w:pPr>
            <w:r w:rsidRPr="00D83A76">
              <w:rPr>
                <w:rFonts w:eastAsia="Times New Roman" w:cs="Times New Roman"/>
                <w:b/>
                <w:bCs/>
                <w:color w:val="4A4A4A"/>
                <w:szCs w:val="20"/>
                <w:lang w:eastAsia="en-GB"/>
              </w:rPr>
              <w:t xml:space="preserve">Directly affected:  </w:t>
            </w:r>
            <w:r w:rsidRPr="00D83A76">
              <w:rPr>
                <w:szCs w:val="20"/>
              </w:rPr>
              <w:t xml:space="preserve">The number of people </w:t>
            </w:r>
            <w:r w:rsidRPr="00D83A76">
              <w:rPr>
                <w:rFonts w:eastAsia="Times New Roman" w:cs="Times New Roman"/>
                <w:color w:val="4A4A4A"/>
                <w:szCs w:val="20"/>
                <w:lang w:eastAsia="en-GB"/>
              </w:rPr>
              <w:t>who have suffered injury, illness or other health effects; who were evacuated, displaced, relocated or have suffered direct damage to their livelihoods, economic, physical, social, cultural and environmental assets. Indirectly affected are people who have suffered consequences, other than or in addition to direct effects, over time, due to disruption or changes in economy, critical infrastructure, basic services, commerce or work, or social, health and psychological consequences.</w:t>
            </w:r>
          </w:p>
          <w:p w14:paraId="3CA4D485" w14:textId="77777777" w:rsidR="008C6A6C" w:rsidRPr="00D83A76" w:rsidRDefault="008C6A6C" w:rsidP="008C6A6C">
            <w:pPr>
              <w:shd w:val="clear" w:color="auto" w:fill="FFFFFF"/>
              <w:jc w:val="both"/>
              <w:rPr>
                <w:rFonts w:eastAsia="Times New Roman" w:cs="Times New Roman"/>
                <w:noProof/>
                <w:color w:val="4A4A4A"/>
                <w:szCs w:val="20"/>
                <w:lang w:eastAsia="en-GB"/>
              </w:rPr>
            </w:pPr>
          </w:p>
          <w:p w14:paraId="1A79D573" w14:textId="77777777" w:rsidR="008C6A6C" w:rsidRPr="00D83A76" w:rsidRDefault="008C6A6C" w:rsidP="008C6A6C">
            <w:pPr>
              <w:shd w:val="clear" w:color="auto" w:fill="FFFFFF"/>
              <w:jc w:val="both"/>
              <w:rPr>
                <w:rFonts w:eastAsia="Times New Roman" w:cs="Times New Roman"/>
                <w:b/>
                <w:bCs/>
                <w:color w:val="4A4A4A"/>
                <w:szCs w:val="20"/>
                <w:lang w:eastAsia="en-GB"/>
              </w:rPr>
            </w:pPr>
            <w:r w:rsidRPr="00D83A76">
              <w:rPr>
                <w:rFonts w:eastAsia="Times New Roman" w:cs="Times New Roman"/>
                <w:b/>
                <w:bCs/>
                <w:color w:val="4A4A4A"/>
                <w:szCs w:val="20"/>
                <w:lang w:eastAsia="en-GB"/>
              </w:rPr>
              <w:lastRenderedPageBreak/>
              <w:t>Computation Method:</w:t>
            </w:r>
          </w:p>
          <w:p w14:paraId="4EFE5C2B" w14:textId="77777777" w:rsidR="008C6A6C" w:rsidRPr="00D83A76" w:rsidRDefault="008C6A6C" w:rsidP="008C6A6C">
            <w:pPr>
              <w:shd w:val="clear" w:color="auto" w:fill="FFFFFF"/>
              <w:rPr>
                <w:rFonts w:eastAsia="Times New Roman" w:cs="Times New Roman"/>
                <w:noProof/>
                <w:color w:val="4A4A4A"/>
                <w:szCs w:val="20"/>
                <w:lang w:eastAsia="en-GB"/>
              </w:rPr>
            </w:pPr>
            <w:r w:rsidRPr="00D83A76">
              <w:rPr>
                <w:rFonts w:eastAsia="Times New Roman" w:cs="Times New Roman"/>
                <w:noProof/>
                <w:color w:val="4A4A4A"/>
                <w:szCs w:val="20"/>
                <w:lang w:eastAsia="en-GB"/>
              </w:rPr>
              <w:t xml:space="preserve">This indicator, </w:t>
            </w:r>
            <w:r w:rsidRPr="00D83A76">
              <w:rPr>
                <w:rFonts w:eastAsia="Times New Roman" w:cs="Times New Roman"/>
                <w:i/>
                <w:noProof/>
                <w:color w:val="4A4A4A"/>
                <w:szCs w:val="20"/>
                <w:lang w:eastAsia="en-GB"/>
              </w:rPr>
              <w:t>X</w:t>
            </w:r>
            <w:r w:rsidRPr="00D83A76">
              <w:rPr>
                <w:rFonts w:eastAsia="Times New Roman" w:cs="Times New Roman"/>
                <w:noProof/>
                <w:color w:val="4A4A4A"/>
                <w:szCs w:val="20"/>
                <w:lang w:eastAsia="en-GB"/>
              </w:rPr>
              <w:t xml:space="preserve">, is calculated as a simple summation of related indicators (death, missing people, and affected people) from national disaster loss databases divided by the global population data (from national censuses, World Bank or UN Statistical Commission information). </w:t>
            </w:r>
          </w:p>
          <w:p w14:paraId="0F22AABA" w14:textId="77777777" w:rsidR="008C6A6C" w:rsidRDefault="008C6A6C" w:rsidP="008C6A6C">
            <w:pPr>
              <w:shd w:val="clear" w:color="auto" w:fill="FFFFFF"/>
              <w:rPr>
                <w:rFonts w:eastAsia="Times New Roman" w:cs="Times New Roman"/>
                <w:noProof/>
                <w:color w:val="4A4A4A"/>
                <w:sz w:val="21"/>
                <w:szCs w:val="21"/>
                <w:lang w:eastAsia="en-GB"/>
              </w:rPr>
            </w:pPr>
          </w:p>
          <w:p w14:paraId="3FFC5186" w14:textId="77777777" w:rsidR="008C6A6C" w:rsidRPr="00D83A76" w:rsidRDefault="004B4A24" w:rsidP="008C6A6C">
            <w:pPr>
              <w:shd w:val="clear" w:color="auto" w:fill="FFFFFF"/>
              <w:rPr>
                <w:rFonts w:eastAsia="Times New Roman" w:cs="Times New Roman"/>
                <w:noProof/>
                <w:color w:val="4A4A4A"/>
                <w:szCs w:val="21"/>
                <w:lang w:eastAsia="en-GB"/>
              </w:rPr>
            </w:pPr>
            <m:oMathPara>
              <m:oMath>
                <m:sSub>
                  <m:sSubPr>
                    <m:ctrlPr>
                      <w:rPr>
                        <w:rFonts w:ascii="Cambria Math" w:eastAsia="Times New Roman" w:hAnsi="Cambria Math" w:cs="Times New Roman"/>
                        <w:i/>
                        <w:noProof/>
                        <w:color w:val="4A4A4A"/>
                        <w:szCs w:val="21"/>
                        <w:lang w:eastAsia="en-GB"/>
                      </w:rPr>
                    </m:ctrlPr>
                  </m:sSubPr>
                  <m:e>
                    <m:r>
                      <w:rPr>
                        <w:rFonts w:ascii="Cambria Math" w:eastAsia="Times New Roman" w:hAnsi="Cambria Math" w:cs="Times New Roman"/>
                        <w:noProof/>
                        <w:color w:val="4A4A4A"/>
                        <w:szCs w:val="21"/>
                        <w:lang w:eastAsia="en-GB"/>
                      </w:rPr>
                      <m:t>X</m:t>
                    </m:r>
                  </m:e>
                  <m:sub/>
                </m:sSub>
                <m:r>
                  <w:rPr>
                    <w:rFonts w:ascii="Cambria Math" w:eastAsia="Times New Roman" w:hAnsi="Cambria Math" w:cs="Times New Roman"/>
                    <w:noProof/>
                    <w:color w:val="4A4A4A"/>
                    <w:szCs w:val="21"/>
                    <w:lang w:eastAsia="en-GB"/>
                  </w:rPr>
                  <m:t>=</m:t>
                </m:r>
                <m:f>
                  <m:fPr>
                    <m:ctrlPr>
                      <w:rPr>
                        <w:rFonts w:ascii="Cambria Math" w:eastAsia="Times New Roman" w:hAnsi="Cambria Math" w:cs="Times New Roman"/>
                        <w:i/>
                        <w:noProof/>
                        <w:color w:val="4A4A4A"/>
                        <w:szCs w:val="21"/>
                        <w:lang w:eastAsia="en-GB"/>
                      </w:rPr>
                    </m:ctrlPr>
                  </m:fPr>
                  <m:num>
                    <m:r>
                      <w:rPr>
                        <w:rFonts w:ascii="Cambria Math" w:eastAsia="Times New Roman" w:hAnsi="Cambria Math" w:cs="Times New Roman"/>
                        <w:noProof/>
                        <w:color w:val="4A4A4A"/>
                        <w:szCs w:val="21"/>
                        <w:lang w:eastAsia="en-GB"/>
                      </w:rPr>
                      <m:t>(</m:t>
                    </m:r>
                    <m:sSub>
                      <m:sSubPr>
                        <m:ctrlPr>
                          <w:rPr>
                            <w:rFonts w:ascii="Cambria Math" w:eastAsia="Times New Roman" w:hAnsi="Cambria Math" w:cs="Times New Roman"/>
                            <w:i/>
                            <w:noProof/>
                            <w:color w:val="4A4A4A"/>
                            <w:szCs w:val="21"/>
                            <w:lang w:eastAsia="en-GB"/>
                          </w:rPr>
                        </m:ctrlPr>
                      </m:sSubPr>
                      <m:e>
                        <m:r>
                          <w:rPr>
                            <w:rFonts w:ascii="Cambria Math" w:eastAsia="Times New Roman" w:hAnsi="Cambria Math" w:cs="Times New Roman"/>
                            <w:noProof/>
                            <w:color w:val="4A4A4A"/>
                            <w:szCs w:val="21"/>
                            <w:lang w:eastAsia="en-GB"/>
                          </w:rPr>
                          <m:t>A</m:t>
                        </m:r>
                      </m:e>
                      <m:sub>
                        <m:r>
                          <w:rPr>
                            <w:rFonts w:ascii="Cambria Math" w:eastAsia="Times New Roman" w:hAnsi="Cambria Math" w:cs="Times New Roman"/>
                            <w:noProof/>
                            <w:color w:val="4A4A4A"/>
                            <w:szCs w:val="21"/>
                            <w:lang w:eastAsia="en-GB"/>
                          </w:rPr>
                          <m:t>2</m:t>
                        </m:r>
                      </m:sub>
                    </m:sSub>
                    <m:r>
                      <w:rPr>
                        <w:rFonts w:ascii="Cambria Math" w:eastAsia="Times New Roman" w:hAnsi="Cambria Math" w:cs="Times New Roman"/>
                        <w:noProof/>
                        <w:color w:val="4A4A4A"/>
                        <w:szCs w:val="21"/>
                        <w:lang w:eastAsia="en-GB"/>
                      </w:rPr>
                      <m:t>+</m:t>
                    </m:r>
                    <m:sSub>
                      <m:sSubPr>
                        <m:ctrlPr>
                          <w:rPr>
                            <w:rFonts w:ascii="Cambria Math" w:eastAsia="Times New Roman" w:hAnsi="Cambria Math" w:cs="Times New Roman"/>
                            <w:i/>
                            <w:noProof/>
                            <w:color w:val="4A4A4A"/>
                            <w:szCs w:val="21"/>
                            <w:lang w:eastAsia="en-GB"/>
                          </w:rPr>
                        </m:ctrlPr>
                      </m:sSubPr>
                      <m:e>
                        <m:r>
                          <w:rPr>
                            <w:rFonts w:ascii="Cambria Math" w:eastAsia="Times New Roman" w:hAnsi="Cambria Math" w:cs="Times New Roman"/>
                            <w:noProof/>
                            <w:color w:val="4A4A4A"/>
                            <w:szCs w:val="21"/>
                            <w:lang w:eastAsia="en-GB"/>
                          </w:rPr>
                          <m:t>A</m:t>
                        </m:r>
                      </m:e>
                      <m:sub>
                        <m:r>
                          <w:rPr>
                            <w:rFonts w:ascii="Cambria Math" w:eastAsia="Times New Roman" w:hAnsi="Cambria Math" w:cs="Times New Roman"/>
                            <w:noProof/>
                            <w:color w:val="4A4A4A"/>
                            <w:szCs w:val="21"/>
                            <w:lang w:eastAsia="en-GB"/>
                          </w:rPr>
                          <m:t>3</m:t>
                        </m:r>
                      </m:sub>
                    </m:sSub>
                    <m:r>
                      <w:rPr>
                        <w:rFonts w:ascii="Cambria Math" w:eastAsia="Times New Roman" w:hAnsi="Cambria Math" w:cs="Times New Roman"/>
                        <w:noProof/>
                        <w:color w:val="4A4A4A"/>
                        <w:szCs w:val="21"/>
                        <w:lang w:eastAsia="en-GB"/>
                      </w:rPr>
                      <m:t>+</m:t>
                    </m:r>
                    <m:sSub>
                      <m:sSubPr>
                        <m:ctrlPr>
                          <w:rPr>
                            <w:rFonts w:ascii="Cambria Math" w:eastAsia="Times New Roman" w:hAnsi="Cambria Math" w:cs="Times New Roman"/>
                            <w:i/>
                            <w:noProof/>
                            <w:color w:val="4A4A4A"/>
                            <w:szCs w:val="21"/>
                            <w:lang w:eastAsia="en-GB"/>
                          </w:rPr>
                        </m:ctrlPr>
                      </m:sSubPr>
                      <m:e>
                        <m:r>
                          <w:rPr>
                            <w:rFonts w:ascii="Cambria Math" w:eastAsia="Times New Roman" w:hAnsi="Cambria Math" w:cs="Times New Roman"/>
                            <w:noProof/>
                            <w:color w:val="4A4A4A"/>
                            <w:szCs w:val="21"/>
                            <w:lang w:eastAsia="en-GB"/>
                          </w:rPr>
                          <m:t>B</m:t>
                        </m:r>
                      </m:e>
                      <m:sub>
                        <m:r>
                          <w:rPr>
                            <w:rFonts w:ascii="Cambria Math" w:eastAsia="Times New Roman" w:hAnsi="Cambria Math" w:cs="Times New Roman"/>
                            <w:noProof/>
                            <w:color w:val="4A4A4A"/>
                            <w:szCs w:val="21"/>
                            <w:lang w:eastAsia="en-GB"/>
                          </w:rPr>
                          <m:t>1</m:t>
                        </m:r>
                      </m:sub>
                    </m:sSub>
                    <m:r>
                      <w:rPr>
                        <w:rFonts w:ascii="Cambria Math" w:eastAsia="Times New Roman" w:hAnsi="Cambria Math" w:cs="Times New Roman"/>
                        <w:noProof/>
                        <w:color w:val="4A4A4A"/>
                        <w:szCs w:val="21"/>
                        <w:lang w:eastAsia="en-GB"/>
                      </w:rPr>
                      <m:t>)</m:t>
                    </m:r>
                  </m:num>
                  <m:den>
                    <m:r>
                      <w:rPr>
                        <w:rFonts w:ascii="Cambria Math" w:eastAsia="Times New Roman" w:hAnsi="Cambria Math" w:cs="Times New Roman"/>
                        <w:noProof/>
                        <w:color w:val="4A4A4A"/>
                        <w:szCs w:val="21"/>
                        <w:lang w:eastAsia="en-GB"/>
                      </w:rPr>
                      <m:t>Global Population</m:t>
                    </m:r>
                  </m:den>
                </m:f>
                <m:r>
                  <w:rPr>
                    <w:rFonts w:ascii="Cambria Math" w:eastAsia="Times New Roman" w:hAnsi="Cambria Math" w:cs="Times New Roman"/>
                    <w:noProof/>
                    <w:color w:val="4A4A4A"/>
                    <w:szCs w:val="21"/>
                    <w:lang w:eastAsia="en-GB"/>
                  </w:rPr>
                  <m:t xml:space="preserve"> ×100,000</m:t>
                </m:r>
              </m:oMath>
            </m:oMathPara>
          </w:p>
          <w:p w14:paraId="4DD0651C" w14:textId="77777777" w:rsidR="008C6A6C" w:rsidRDefault="008C6A6C" w:rsidP="008C6A6C">
            <w:pPr>
              <w:shd w:val="clear" w:color="auto" w:fill="FFFFFF"/>
              <w:rPr>
                <w:rFonts w:eastAsia="Times New Roman" w:cs="Times New Roman"/>
                <w:noProof/>
                <w:color w:val="4A4A4A"/>
                <w:sz w:val="21"/>
                <w:szCs w:val="21"/>
                <w:lang w:eastAsia="en-GB"/>
              </w:rPr>
            </w:pPr>
          </w:p>
          <w:p w14:paraId="4EC3BE6F" w14:textId="77777777" w:rsidR="008C6A6C" w:rsidRPr="00D83A76" w:rsidRDefault="008C6A6C" w:rsidP="008C6A6C">
            <w:pPr>
              <w:shd w:val="clear" w:color="auto" w:fill="FFFFFF"/>
              <w:rPr>
                <w:rFonts w:eastAsia="Times New Roman" w:cs="Times New Roman"/>
                <w:noProof/>
                <w:color w:val="4A4A4A"/>
                <w:szCs w:val="21"/>
                <w:lang w:eastAsia="en-GB"/>
              </w:rPr>
            </w:pPr>
            <w:r w:rsidRPr="00D83A76">
              <w:rPr>
                <w:rFonts w:eastAsia="Times New Roman" w:cs="Times New Roman"/>
                <w:noProof/>
                <w:color w:val="4A4A4A"/>
                <w:szCs w:val="21"/>
                <w:lang w:eastAsia="en-GB"/>
              </w:rPr>
              <w:t>Where:</w:t>
            </w:r>
          </w:p>
          <w:p w14:paraId="466D8B4E" w14:textId="77777777" w:rsidR="008C6A6C" w:rsidRPr="00D83A76" w:rsidRDefault="008C6A6C" w:rsidP="008C6A6C">
            <w:pPr>
              <w:shd w:val="clear" w:color="auto" w:fill="FFFFFF"/>
              <w:rPr>
                <w:rFonts w:eastAsia="Times New Roman" w:cs="Times New Roman"/>
                <w:noProof/>
                <w:color w:val="4A4A4A"/>
                <w:szCs w:val="21"/>
                <w:lang w:eastAsia="en-GB"/>
              </w:rPr>
            </w:pPr>
            <w:r w:rsidRPr="00D83A76">
              <w:rPr>
                <w:rFonts w:eastAsia="Times New Roman" w:cs="Times New Roman"/>
                <w:noProof/>
                <w:color w:val="4A4A4A"/>
                <w:szCs w:val="21"/>
                <w:lang w:eastAsia="en-GB"/>
              </w:rPr>
              <w:t>A</w:t>
            </w:r>
            <w:r w:rsidRPr="00D83A76">
              <w:rPr>
                <w:rFonts w:eastAsia="Times New Roman" w:cs="Times New Roman"/>
                <w:noProof/>
                <w:color w:val="4A4A4A"/>
                <w:szCs w:val="21"/>
                <w:vertAlign w:val="subscript"/>
                <w:lang w:eastAsia="en-GB"/>
              </w:rPr>
              <w:t xml:space="preserve">2 </w:t>
            </w:r>
            <w:r w:rsidRPr="00D83A76">
              <w:rPr>
                <w:rFonts w:eastAsia="Times New Roman" w:cs="Times New Roman"/>
                <w:noProof/>
                <w:color w:val="4A4A4A"/>
                <w:szCs w:val="21"/>
                <w:lang w:eastAsia="en-GB"/>
              </w:rPr>
              <w:t xml:space="preserve"> Number of deaths attributed to disasters; </w:t>
            </w:r>
          </w:p>
          <w:p w14:paraId="73860726" w14:textId="77777777" w:rsidR="008C6A6C" w:rsidRPr="00D83A76" w:rsidRDefault="008C6A6C" w:rsidP="008C6A6C">
            <w:pPr>
              <w:shd w:val="clear" w:color="auto" w:fill="FFFFFF"/>
              <w:rPr>
                <w:rFonts w:eastAsia="Times New Roman" w:cs="Times New Roman"/>
                <w:noProof/>
                <w:color w:val="4A4A4A"/>
                <w:szCs w:val="21"/>
                <w:lang w:eastAsia="en-GB"/>
              </w:rPr>
            </w:pPr>
            <w:r w:rsidRPr="00D83A76">
              <w:rPr>
                <w:rFonts w:eastAsia="Times New Roman" w:cs="Times New Roman"/>
                <w:noProof/>
                <w:color w:val="4A4A4A"/>
                <w:szCs w:val="21"/>
                <w:lang w:eastAsia="en-GB"/>
              </w:rPr>
              <w:t>A</w:t>
            </w:r>
            <w:r w:rsidRPr="00D83A76">
              <w:rPr>
                <w:rFonts w:eastAsia="Times New Roman" w:cs="Times New Roman"/>
                <w:noProof/>
                <w:color w:val="4A4A4A"/>
                <w:szCs w:val="21"/>
                <w:vertAlign w:val="subscript"/>
                <w:lang w:eastAsia="en-GB"/>
              </w:rPr>
              <w:t>3</w:t>
            </w:r>
            <w:r w:rsidRPr="00D83A76">
              <w:rPr>
                <w:rFonts w:eastAsia="Times New Roman" w:cs="Times New Roman"/>
                <w:noProof/>
                <w:color w:val="4A4A4A"/>
                <w:szCs w:val="21"/>
                <w:lang w:eastAsia="en-GB"/>
              </w:rPr>
              <w:t xml:space="preserve"> Number of missing persons attributed to disasters; and </w:t>
            </w:r>
          </w:p>
          <w:p w14:paraId="77CD3882" w14:textId="77777777" w:rsidR="008C6A6C" w:rsidRPr="00D83A76" w:rsidRDefault="008C6A6C" w:rsidP="008C6A6C">
            <w:pPr>
              <w:shd w:val="clear" w:color="auto" w:fill="FFFFFF"/>
              <w:rPr>
                <w:rFonts w:eastAsia="Times New Roman" w:cs="Times New Roman"/>
                <w:noProof/>
                <w:color w:val="4A4A4A"/>
                <w:szCs w:val="21"/>
                <w:lang w:eastAsia="en-GB"/>
              </w:rPr>
            </w:pPr>
            <w:r w:rsidRPr="00D83A76">
              <w:rPr>
                <w:rFonts w:eastAsia="Times New Roman" w:cs="Times New Roman"/>
                <w:noProof/>
                <w:color w:val="4A4A4A"/>
                <w:szCs w:val="21"/>
                <w:lang w:eastAsia="en-GB"/>
              </w:rPr>
              <w:t>B</w:t>
            </w:r>
            <w:r w:rsidRPr="00D83A76">
              <w:rPr>
                <w:rFonts w:eastAsia="Times New Roman" w:cs="Times New Roman"/>
                <w:noProof/>
                <w:color w:val="4A4A4A"/>
                <w:szCs w:val="21"/>
                <w:vertAlign w:val="subscript"/>
                <w:lang w:eastAsia="en-GB"/>
              </w:rPr>
              <w:t>1</w:t>
            </w:r>
            <w:r w:rsidRPr="00D83A76">
              <w:rPr>
                <w:rFonts w:eastAsia="Times New Roman" w:cs="Times New Roman"/>
                <w:noProof/>
                <w:color w:val="4A4A4A"/>
                <w:szCs w:val="21"/>
                <w:lang w:eastAsia="en-GB"/>
              </w:rPr>
              <w:t xml:space="preserve"> Number of directly affected people attributed to disasters. </w:t>
            </w:r>
          </w:p>
          <w:p w14:paraId="16FDCF3C" w14:textId="77777777" w:rsidR="008C6A6C" w:rsidRPr="00D83A76" w:rsidRDefault="008C6A6C" w:rsidP="008C6A6C">
            <w:pPr>
              <w:shd w:val="clear" w:color="auto" w:fill="FFFFFF"/>
              <w:rPr>
                <w:rFonts w:eastAsia="Times New Roman" w:cs="Times New Roman"/>
                <w:noProof/>
                <w:color w:val="4A4A4A"/>
                <w:szCs w:val="21"/>
                <w:lang w:eastAsia="en-GB"/>
              </w:rPr>
            </w:pPr>
            <w:r w:rsidRPr="00D83A76">
              <w:rPr>
                <w:rFonts w:eastAsia="Times New Roman" w:cs="Times New Roman"/>
                <w:noProof/>
                <w:color w:val="4A4A4A"/>
                <w:szCs w:val="21"/>
                <w:lang w:eastAsia="en-GB"/>
              </w:rPr>
              <w:t>* Detailed methodologies can be found in the Technical Guidance (see below the Reference section)</w:t>
            </w:r>
          </w:p>
          <w:p w14:paraId="2203FBF4" w14:textId="77777777" w:rsidR="008C6A6C" w:rsidRDefault="008C6A6C" w:rsidP="008C6A6C">
            <w:pPr>
              <w:shd w:val="clear" w:color="auto" w:fill="FFFFFF"/>
              <w:rPr>
                <w:rFonts w:eastAsia="Times New Roman" w:cs="Times New Roman"/>
                <w:noProof/>
                <w:color w:val="4A4A4A"/>
                <w:sz w:val="21"/>
                <w:szCs w:val="21"/>
                <w:lang w:eastAsia="en-GB"/>
              </w:rPr>
            </w:pPr>
          </w:p>
          <w:p w14:paraId="0DE57A3D" w14:textId="77777777" w:rsidR="008C6A6C" w:rsidRPr="00D83A76" w:rsidRDefault="008C6A6C" w:rsidP="008C6A6C">
            <w:pPr>
              <w:shd w:val="clear" w:color="auto" w:fill="FFFFFF"/>
              <w:jc w:val="both"/>
              <w:rPr>
                <w:rFonts w:eastAsia="Times New Roman" w:cs="Times New Roman"/>
                <w:b/>
                <w:bCs/>
                <w:color w:val="4A4A4A"/>
                <w:szCs w:val="21"/>
                <w:lang w:eastAsia="en-GB"/>
              </w:rPr>
            </w:pPr>
            <w:r w:rsidRPr="00D83A76">
              <w:rPr>
                <w:rFonts w:eastAsia="Times New Roman" w:cs="Times New Roman"/>
                <w:b/>
                <w:bCs/>
                <w:color w:val="4A4A4A"/>
                <w:szCs w:val="21"/>
                <w:lang w:eastAsia="en-GB"/>
              </w:rPr>
              <w:t>Comments and limitations:</w:t>
            </w:r>
          </w:p>
          <w:p w14:paraId="378F2B49" w14:textId="77777777" w:rsidR="008C6A6C" w:rsidRPr="00D83A76" w:rsidRDefault="008C6A6C" w:rsidP="008C6A6C">
            <w:pPr>
              <w:shd w:val="clear" w:color="auto" w:fill="FFFFFF"/>
              <w:jc w:val="both"/>
              <w:rPr>
                <w:rFonts w:eastAsia="Times New Roman" w:cs="Times New Roman"/>
                <w:bCs/>
                <w:color w:val="4A4A4A"/>
                <w:szCs w:val="21"/>
                <w:lang w:eastAsia="en-GB"/>
              </w:rPr>
            </w:pPr>
            <w:r w:rsidRPr="00D83A76">
              <w:rPr>
                <w:rFonts w:eastAsia="Times New Roman" w:cs="Times New Roman"/>
                <w:bCs/>
                <w:color w:val="4A4A4A"/>
                <w:szCs w:val="21"/>
                <w:lang w:eastAsia="en-GB"/>
              </w:rPr>
              <w:t>The Sendai Framework Monitoring System has been developed to measure the progress in the implementation of the Sendai Framework by UNGA endorsed indicators. Member States will be able to report through the System from March 2018. The data for SDG indicators will be compiled and reported by UNISDR.</w:t>
            </w:r>
          </w:p>
          <w:p w14:paraId="0A7C610C" w14:textId="77777777" w:rsidR="008C6A6C" w:rsidRPr="00D83A76" w:rsidRDefault="008C6A6C" w:rsidP="008C6A6C">
            <w:pPr>
              <w:jc w:val="both"/>
              <w:rPr>
                <w:color w:val="0070C0"/>
                <w:szCs w:val="30"/>
              </w:rPr>
            </w:pPr>
          </w:p>
        </w:tc>
        <w:tc>
          <w:tcPr>
            <w:tcW w:w="0" w:type="auto"/>
          </w:tcPr>
          <w:p w14:paraId="60A3AE72" w14:textId="77777777" w:rsidR="008C6A6C" w:rsidRPr="0003673A" w:rsidRDefault="008C6A6C" w:rsidP="008C6A6C">
            <w:pPr>
              <w:pStyle w:val="NoSpacing"/>
            </w:pPr>
            <w:r w:rsidRPr="00511CD1">
              <w:rPr>
                <w:lang w:eastAsia="en-GB"/>
              </w:rPr>
              <w:lastRenderedPageBreak/>
              <w:t xml:space="preserve">In most countries disaster data </w:t>
            </w:r>
            <w:r>
              <w:rPr>
                <w:lang w:eastAsia="en-GB"/>
              </w:rPr>
              <w:t xml:space="preserve">are </w:t>
            </w:r>
            <w:r w:rsidRPr="00511CD1">
              <w:rPr>
                <w:lang w:eastAsia="en-GB"/>
              </w:rPr>
              <w:t>collected by line ministries</w:t>
            </w:r>
            <w:r>
              <w:rPr>
                <w:lang w:eastAsia="en-GB"/>
              </w:rPr>
              <w:t xml:space="preserve"> and</w:t>
            </w:r>
            <w:r w:rsidRPr="00511CD1">
              <w:rPr>
                <w:lang w:eastAsia="en-GB"/>
              </w:rPr>
              <w:t xml:space="preserve"> national disaster loss databases are established and managed by special purpose agencies including national disaster </w:t>
            </w:r>
            <w:r w:rsidRPr="00511CD1">
              <w:rPr>
                <w:lang w:eastAsia="en-GB"/>
              </w:rPr>
              <w:lastRenderedPageBreak/>
              <w:t xml:space="preserve">management agencies, civil protection agencies, and meteorological agencies. </w:t>
            </w:r>
            <w:r>
              <w:rPr>
                <w:lang w:eastAsia="en-GB"/>
              </w:rPr>
              <w:t>The Sendai Framework Focal P</w:t>
            </w:r>
            <w:r w:rsidRPr="00511CD1">
              <w:rPr>
                <w:lang w:eastAsia="en-GB"/>
              </w:rPr>
              <w:t>oint</w:t>
            </w:r>
            <w:r>
              <w:rPr>
                <w:lang w:eastAsia="en-GB"/>
              </w:rPr>
              <w:t xml:space="preserve">s in each country are responsible of data reporting through the </w:t>
            </w:r>
            <w:r>
              <w:rPr>
                <w:bCs/>
                <w:lang w:eastAsia="en-GB"/>
              </w:rPr>
              <w:t>Sendai Framework Monitoring System.</w:t>
            </w:r>
          </w:p>
        </w:tc>
        <w:tc>
          <w:tcPr>
            <w:tcW w:w="0" w:type="auto"/>
          </w:tcPr>
          <w:p w14:paraId="02684840" w14:textId="77777777" w:rsidR="008C6A6C" w:rsidRDefault="008C6A6C" w:rsidP="008C6A6C">
            <w:pPr>
              <w:pStyle w:val="NoSpacing"/>
            </w:pPr>
            <w:r>
              <w:lastRenderedPageBreak/>
              <w:t>National statistics offices</w:t>
            </w:r>
          </w:p>
        </w:tc>
        <w:tc>
          <w:tcPr>
            <w:tcW w:w="0" w:type="auto"/>
          </w:tcPr>
          <w:p w14:paraId="75A863E3" w14:textId="77777777" w:rsidR="008C6A6C" w:rsidRDefault="008C6A6C" w:rsidP="008C6A6C">
            <w:pPr>
              <w:spacing w:line="276" w:lineRule="auto"/>
              <w:jc w:val="center"/>
            </w:pPr>
            <w:r w:rsidRPr="00BC6F10">
              <w:t>BBS</w:t>
            </w:r>
          </w:p>
          <w:p w14:paraId="580CF4DA" w14:textId="406B39CF" w:rsidR="008C6A6C" w:rsidRDefault="008C6A6C" w:rsidP="008C6A6C">
            <w:pPr>
              <w:spacing w:line="276" w:lineRule="auto"/>
              <w:jc w:val="center"/>
            </w:pPr>
          </w:p>
          <w:p w14:paraId="041A23A5" w14:textId="77777777" w:rsidR="008C6A6C" w:rsidRDefault="008C6A6C" w:rsidP="008C6A6C">
            <w:pPr>
              <w:spacing w:line="276" w:lineRule="auto"/>
              <w:jc w:val="center"/>
            </w:pPr>
          </w:p>
          <w:p w14:paraId="79D61940" w14:textId="77777777" w:rsidR="008C6A6C" w:rsidRDefault="008C6A6C" w:rsidP="008C6A6C">
            <w:pPr>
              <w:spacing w:line="276" w:lineRule="auto"/>
              <w:jc w:val="center"/>
            </w:pPr>
            <w:r>
              <w:t>BDRHS</w:t>
            </w:r>
          </w:p>
          <w:p w14:paraId="2593A1D0" w14:textId="6C95850D" w:rsidR="008C6A6C" w:rsidRPr="00BC6F10" w:rsidRDefault="008C6A6C" w:rsidP="008C6A6C">
            <w:pPr>
              <w:spacing w:line="276" w:lineRule="auto"/>
              <w:jc w:val="center"/>
            </w:pPr>
          </w:p>
        </w:tc>
        <w:tc>
          <w:tcPr>
            <w:tcW w:w="0" w:type="auto"/>
          </w:tcPr>
          <w:p w14:paraId="2BB38241" w14:textId="77777777" w:rsidR="008C6A6C" w:rsidRDefault="008C6A6C" w:rsidP="008C6A6C">
            <w:pPr>
              <w:spacing w:line="276" w:lineRule="auto"/>
              <w:jc w:val="center"/>
            </w:pPr>
            <w:r>
              <w:t>BDRHS</w:t>
            </w:r>
            <w:r w:rsidRPr="00BC6F10">
              <w:t xml:space="preserve"> </w:t>
            </w:r>
            <w:r>
              <w:t>,</w:t>
            </w:r>
            <w:r w:rsidRPr="00BC6F10">
              <w:t>BBS</w:t>
            </w:r>
          </w:p>
          <w:p w14:paraId="2098BB5A" w14:textId="77777777" w:rsidR="008C6A6C" w:rsidRDefault="008C6A6C" w:rsidP="008C6A6C">
            <w:pPr>
              <w:spacing w:line="276" w:lineRule="auto"/>
              <w:jc w:val="center"/>
            </w:pPr>
            <w:r>
              <w:t>DDM, MoDMR</w:t>
            </w:r>
          </w:p>
          <w:p w14:paraId="1E5826F7" w14:textId="77777777" w:rsidR="008C6A6C" w:rsidRDefault="008C6A6C" w:rsidP="008C6A6C">
            <w:pPr>
              <w:spacing w:line="276" w:lineRule="auto"/>
              <w:jc w:val="center"/>
            </w:pPr>
          </w:p>
          <w:p w14:paraId="36DB9F35" w14:textId="3F1E2F2C" w:rsidR="008C6A6C" w:rsidRDefault="008C6A6C" w:rsidP="008C6A6C">
            <w:pPr>
              <w:spacing w:line="276" w:lineRule="auto"/>
              <w:jc w:val="center"/>
            </w:pPr>
          </w:p>
          <w:p w14:paraId="2277870D" w14:textId="77777777" w:rsidR="008C6A6C" w:rsidRPr="00BC6F10" w:rsidRDefault="008C6A6C" w:rsidP="008C6A6C">
            <w:pPr>
              <w:spacing w:line="276" w:lineRule="auto"/>
              <w:jc w:val="center"/>
            </w:pPr>
            <w:r>
              <w:t>Administrative Record</w:t>
            </w:r>
          </w:p>
        </w:tc>
        <w:tc>
          <w:tcPr>
            <w:tcW w:w="0" w:type="auto"/>
          </w:tcPr>
          <w:p w14:paraId="5E84CC8C" w14:textId="446DD850"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w:t>
            </w:r>
            <w:r w:rsidR="0041338E">
              <w:rPr>
                <w:rFonts w:ascii="Tw Cen MT Condensed" w:hAnsi="Tw Cen MT Condensed"/>
                <w:sz w:val="20"/>
                <w:szCs w:val="20"/>
              </w:rPr>
              <w:t>: High/Medium/Low</w:t>
            </w:r>
          </w:p>
          <w:p w14:paraId="27A7F3FF" w14:textId="778D6039"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Event</w:t>
            </w:r>
            <w:r w:rsidR="0041338E">
              <w:rPr>
                <w:rFonts w:ascii="Tw Cen MT Condensed" w:hAnsi="Tw Cen MT Condensed"/>
                <w:sz w:val="20"/>
                <w:szCs w:val="20"/>
              </w:rPr>
              <w:t xml:space="preserve"> (as occurred)</w:t>
            </w:r>
          </w:p>
          <w:p w14:paraId="71484F02"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Hazard Type</w:t>
            </w:r>
          </w:p>
          <w:p w14:paraId="7E0BE39A"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Hazard Family: Climatological, Hydrological, Meteorological, Geophysical, Biological, Extra-Terrestrial</w:t>
            </w:r>
          </w:p>
          <w:p w14:paraId="29279018"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Disaster-Related Victims: Dead/Missed</w:t>
            </w:r>
          </w:p>
          <w:p w14:paraId="6DCFBA03" w14:textId="77777777" w:rsidR="008C6A6C" w:rsidRDefault="008C6A6C" w:rsidP="008C6A6C">
            <w:pPr>
              <w:pStyle w:val="ListParagraph"/>
              <w:spacing w:after="0" w:line="240" w:lineRule="auto"/>
              <w:ind w:left="160"/>
              <w:jc w:val="both"/>
              <w:rPr>
                <w:rFonts w:ascii="Tw Cen MT Condensed" w:hAnsi="Tw Cen MT Condensed"/>
                <w:sz w:val="20"/>
                <w:szCs w:val="20"/>
              </w:rPr>
            </w:pPr>
            <w:r>
              <w:rPr>
                <w:rFonts w:ascii="Tw Cen MT Condensed" w:hAnsi="Tw Cen MT Condensed"/>
                <w:sz w:val="20"/>
                <w:szCs w:val="20"/>
              </w:rPr>
              <w:t>/Directly Affected</w:t>
            </w:r>
          </w:p>
          <w:p w14:paraId="5520085D" w14:textId="05B15256"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Location Of Residence</w:t>
            </w:r>
            <w:r w:rsidR="0041338E">
              <w:rPr>
                <w:rFonts w:ascii="Tw Cen MT Condensed" w:hAnsi="Tw Cen MT Condensed"/>
                <w:sz w:val="20"/>
                <w:szCs w:val="20"/>
              </w:rPr>
              <w:t>: Urban/Rural</w:t>
            </w:r>
          </w:p>
          <w:p w14:paraId="48EDBA9E" w14:textId="7EB068CF"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Age: </w:t>
            </w:r>
            <w:r w:rsidR="0041338E">
              <w:rPr>
                <w:rFonts w:ascii="Tw Cen MT Condensed" w:hAnsi="Tw Cen MT Condensed"/>
                <w:sz w:val="20"/>
                <w:szCs w:val="20"/>
              </w:rPr>
              <w:t>0-15 yrs/ 16-24 yrs/ 25-64 yrs/ 64+ yrs</w:t>
            </w:r>
          </w:p>
          <w:p w14:paraId="631D0947" w14:textId="77777777" w:rsidR="008C6A6C" w:rsidRDefault="008C6A6C" w:rsidP="008C6A6C">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Sex: Male/Female</w:t>
            </w:r>
          </w:p>
          <w:p w14:paraId="6BF9C660" w14:textId="77777777" w:rsidR="008C6A6C" w:rsidRDefault="008C6A6C" w:rsidP="008C6A6C">
            <w:pPr>
              <w:ind w:left="970" w:hanging="970"/>
              <w:jc w:val="both"/>
              <w:rPr>
                <w:color w:val="0070C0"/>
                <w:sz w:val="30"/>
                <w:szCs w:val="30"/>
              </w:rPr>
            </w:pPr>
          </w:p>
        </w:tc>
        <w:tc>
          <w:tcPr>
            <w:tcW w:w="0" w:type="auto"/>
          </w:tcPr>
          <w:p w14:paraId="683C4C0E" w14:textId="77777777" w:rsidR="008C6A6C" w:rsidRDefault="008C6A6C" w:rsidP="008C6A6C">
            <w:pPr>
              <w:spacing w:line="276" w:lineRule="auto"/>
              <w:jc w:val="center"/>
            </w:pPr>
            <w:r>
              <w:lastRenderedPageBreak/>
              <w:t>5-Yearly</w:t>
            </w:r>
          </w:p>
          <w:p w14:paraId="6C3EA69A" w14:textId="77777777" w:rsidR="008C6A6C" w:rsidRDefault="008C6A6C" w:rsidP="008C6A6C">
            <w:pPr>
              <w:spacing w:line="276" w:lineRule="auto"/>
              <w:jc w:val="center"/>
            </w:pPr>
          </w:p>
          <w:p w14:paraId="3A8A42E7" w14:textId="77777777" w:rsidR="008C6A6C" w:rsidRDefault="008C6A6C" w:rsidP="008C6A6C">
            <w:pPr>
              <w:pStyle w:val="NoSpacing"/>
              <w:rPr>
                <w:color w:val="0070C0"/>
                <w:sz w:val="30"/>
                <w:szCs w:val="30"/>
              </w:rPr>
            </w:pPr>
            <w:r>
              <w:t>Annual</w:t>
            </w:r>
          </w:p>
        </w:tc>
        <w:tc>
          <w:tcPr>
            <w:tcW w:w="0" w:type="auto"/>
          </w:tcPr>
          <w:p w14:paraId="6535738E" w14:textId="77777777" w:rsidR="008C6A6C" w:rsidRDefault="008C6A6C" w:rsidP="008C6A6C">
            <w:pPr>
              <w:ind w:left="970" w:hanging="970"/>
              <w:jc w:val="both"/>
              <w:rPr>
                <w:color w:val="0070C0"/>
                <w:sz w:val="30"/>
                <w:szCs w:val="30"/>
              </w:rPr>
            </w:pPr>
            <w:r>
              <w:t>Group 1</w:t>
            </w:r>
          </w:p>
        </w:tc>
        <w:tc>
          <w:tcPr>
            <w:tcW w:w="0" w:type="auto"/>
          </w:tcPr>
          <w:p w14:paraId="5549024A" w14:textId="77777777" w:rsidR="008C6A6C" w:rsidRDefault="008C6A6C" w:rsidP="008C6A6C">
            <w:pPr>
              <w:pStyle w:val="NoSpacing"/>
            </w:pPr>
            <w:r>
              <w:t>1</w:t>
            </w:r>
            <w:r w:rsidRPr="00013ACB">
              <w:rPr>
                <w:vertAlign w:val="superscript"/>
              </w:rPr>
              <w:t>st</w:t>
            </w:r>
            <w:r>
              <w:t xml:space="preserve"> Round:</w:t>
            </w:r>
          </w:p>
          <w:p w14:paraId="6CE9BDFA" w14:textId="77777777" w:rsidR="008C6A6C" w:rsidRDefault="008C6A6C" w:rsidP="008C6A6C">
            <w:pPr>
              <w:pStyle w:val="NoSpacing"/>
            </w:pPr>
            <w:r>
              <w:t>2014</w:t>
            </w:r>
          </w:p>
          <w:p w14:paraId="5E2A0BA4" w14:textId="77777777" w:rsidR="008C6A6C" w:rsidRDefault="008C6A6C" w:rsidP="008C6A6C">
            <w:pPr>
              <w:pStyle w:val="NoSpacing"/>
            </w:pPr>
          </w:p>
          <w:p w14:paraId="0E0D7B1B" w14:textId="77777777" w:rsidR="008C6A6C" w:rsidRDefault="008C6A6C" w:rsidP="008C6A6C">
            <w:pPr>
              <w:pStyle w:val="NoSpacing"/>
            </w:pPr>
            <w:r>
              <w:t>2</w:t>
            </w:r>
            <w:r w:rsidRPr="00013ACB">
              <w:rPr>
                <w:vertAlign w:val="superscript"/>
              </w:rPr>
              <w:t>nd</w:t>
            </w:r>
            <w:r>
              <w:t xml:space="preserve"> Round:</w:t>
            </w:r>
          </w:p>
          <w:p w14:paraId="36387D32" w14:textId="77777777" w:rsidR="008C6A6C" w:rsidRDefault="008C6A6C" w:rsidP="008C6A6C">
            <w:pPr>
              <w:pStyle w:val="NoSpacing"/>
            </w:pPr>
            <w:r w:rsidRPr="004C18F9">
              <w:t>December, 2020</w:t>
            </w:r>
          </w:p>
          <w:p w14:paraId="3027BE75" w14:textId="77777777" w:rsidR="008C6A6C" w:rsidRDefault="008C6A6C" w:rsidP="008C6A6C">
            <w:pPr>
              <w:pStyle w:val="NoSpacing"/>
            </w:pPr>
          </w:p>
          <w:p w14:paraId="7FC2596E" w14:textId="77777777" w:rsidR="008C6A6C" w:rsidRDefault="008C6A6C" w:rsidP="008C6A6C">
            <w:pPr>
              <w:pStyle w:val="NoSpacing"/>
            </w:pPr>
            <w:r>
              <w:t>3</w:t>
            </w:r>
            <w:r w:rsidRPr="00013ACB">
              <w:rPr>
                <w:vertAlign w:val="superscript"/>
              </w:rPr>
              <w:t>rd</w:t>
            </w:r>
            <w:r>
              <w:t xml:space="preserve"> Round: </w:t>
            </w:r>
          </w:p>
          <w:p w14:paraId="5DEDC360" w14:textId="77777777" w:rsidR="008C6A6C" w:rsidRDefault="008C6A6C" w:rsidP="008C6A6C">
            <w:pPr>
              <w:pStyle w:val="NoSpacing"/>
            </w:pPr>
            <w:r>
              <w:t>December, 2021</w:t>
            </w:r>
          </w:p>
          <w:p w14:paraId="056D21CE" w14:textId="77777777" w:rsidR="008C6A6C" w:rsidRDefault="008C6A6C" w:rsidP="008C6A6C">
            <w:pPr>
              <w:pStyle w:val="NoSpacing"/>
            </w:pPr>
          </w:p>
          <w:p w14:paraId="46B68CD7" w14:textId="77777777" w:rsidR="008C6A6C" w:rsidRDefault="008C6A6C" w:rsidP="008C6A6C">
            <w:pPr>
              <w:pStyle w:val="NoSpacing"/>
            </w:pPr>
            <w:r>
              <w:t>4</w:t>
            </w:r>
            <w:r w:rsidRPr="00013ACB">
              <w:rPr>
                <w:vertAlign w:val="superscript"/>
              </w:rPr>
              <w:t>th</w:t>
            </w:r>
            <w:r>
              <w:t xml:space="preserve"> Round: </w:t>
            </w:r>
          </w:p>
          <w:p w14:paraId="6445E600" w14:textId="77777777" w:rsidR="008C6A6C" w:rsidRDefault="008C6A6C" w:rsidP="008C6A6C">
            <w:pPr>
              <w:pStyle w:val="NoSpacing"/>
            </w:pPr>
            <w:r>
              <w:t>December, 2022</w:t>
            </w:r>
          </w:p>
          <w:p w14:paraId="68957C4B" w14:textId="77777777" w:rsidR="008C6A6C" w:rsidRDefault="008C6A6C" w:rsidP="008C6A6C">
            <w:pPr>
              <w:pStyle w:val="NoSpacing"/>
            </w:pPr>
          </w:p>
          <w:p w14:paraId="49CE3179" w14:textId="77777777" w:rsidR="008C6A6C" w:rsidRDefault="008C6A6C" w:rsidP="008C6A6C">
            <w:pPr>
              <w:pStyle w:val="NoSpacing"/>
            </w:pPr>
            <w:r>
              <w:t>5</w:t>
            </w:r>
            <w:r w:rsidRPr="00013ACB">
              <w:rPr>
                <w:vertAlign w:val="superscript"/>
              </w:rPr>
              <w:t>th</w:t>
            </w:r>
            <w:r>
              <w:t xml:space="preserve"> Round: </w:t>
            </w:r>
          </w:p>
          <w:p w14:paraId="064CBBD6" w14:textId="77777777" w:rsidR="008C6A6C" w:rsidRDefault="008C6A6C" w:rsidP="008C6A6C">
            <w:pPr>
              <w:pStyle w:val="NoSpacing"/>
            </w:pPr>
            <w:r>
              <w:t>December, 2023</w:t>
            </w:r>
          </w:p>
          <w:p w14:paraId="4E9EEE0B" w14:textId="040470BF" w:rsidR="008C6A6C" w:rsidRDefault="008C6A6C" w:rsidP="008C6A6C">
            <w:pPr>
              <w:pStyle w:val="NoSpacing"/>
              <w:rPr>
                <w:color w:val="0070C0"/>
                <w:sz w:val="30"/>
                <w:szCs w:val="30"/>
              </w:rPr>
            </w:pPr>
          </w:p>
        </w:tc>
        <w:tc>
          <w:tcPr>
            <w:tcW w:w="0" w:type="auto"/>
          </w:tcPr>
          <w:p w14:paraId="421F0592" w14:textId="77777777" w:rsidR="008C6A6C" w:rsidRDefault="008C6A6C" w:rsidP="008C6A6C">
            <w:pPr>
              <w:pStyle w:val="NoSpacing"/>
            </w:pPr>
            <w:r>
              <w:lastRenderedPageBreak/>
              <w:t>Need to modify the D-form by DDM</w:t>
            </w:r>
          </w:p>
          <w:p w14:paraId="3B258942" w14:textId="77777777" w:rsidR="008C6A6C" w:rsidRDefault="008C6A6C" w:rsidP="008C6A6C">
            <w:pPr>
              <w:pStyle w:val="NoSpacing"/>
            </w:pPr>
          </w:p>
          <w:p w14:paraId="2A0F6CF0" w14:textId="77777777" w:rsidR="008C6A6C" w:rsidRDefault="008C6A6C" w:rsidP="008C6A6C">
            <w:pPr>
              <w:pStyle w:val="NoSpacing"/>
            </w:pPr>
            <w:r>
              <w:t>Sendai modification; Reviewed at 5th IAEG-SDG meeting (classified as Tier II)</w:t>
            </w:r>
          </w:p>
          <w:p w14:paraId="2CD3035D" w14:textId="77777777" w:rsidR="008C6A6C" w:rsidRDefault="008C6A6C" w:rsidP="008C6A6C">
            <w:pPr>
              <w:pStyle w:val="NoSpacing"/>
            </w:pPr>
          </w:p>
          <w:p w14:paraId="3634C7E6" w14:textId="77777777" w:rsidR="008C6A6C" w:rsidRDefault="008C6A6C" w:rsidP="008C6A6C">
            <w:pPr>
              <w:pStyle w:val="NoSpacing"/>
            </w:pPr>
            <w:r>
              <w:t>1.5.1/11.5.1/13.1.1 are repeats</w:t>
            </w:r>
          </w:p>
        </w:tc>
      </w:tr>
      <w:tr w:rsidR="008C6A6C" w14:paraId="1A9202F8" w14:textId="77777777" w:rsidTr="00A64F0D">
        <w:tc>
          <w:tcPr>
            <w:tcW w:w="0" w:type="auto"/>
          </w:tcPr>
          <w:p w14:paraId="7FCA8A94" w14:textId="77777777" w:rsidR="008C6A6C" w:rsidRDefault="008C6A6C" w:rsidP="008C6A6C">
            <w:pPr>
              <w:pStyle w:val="NoSpacing"/>
            </w:pPr>
            <w:r w:rsidRPr="0055666E">
              <w:lastRenderedPageBreak/>
              <w:t>13.1.2 Number of countries that adopt and implement national disaster risk reduction strategies in line with the Sendai Framework for Disaster Risk Reduction 2015–2030</w:t>
            </w:r>
          </w:p>
        </w:tc>
        <w:tc>
          <w:tcPr>
            <w:tcW w:w="0" w:type="auto"/>
          </w:tcPr>
          <w:p w14:paraId="18333BD1" w14:textId="77777777" w:rsidR="008C6A6C" w:rsidRDefault="008C6A6C" w:rsidP="008C6A6C">
            <w:pPr>
              <w:pStyle w:val="NoSpacing"/>
            </w:pPr>
            <w:r w:rsidRPr="004559CB">
              <w:t>UNDRR</w:t>
            </w:r>
          </w:p>
          <w:p w14:paraId="008A71B5" w14:textId="77777777" w:rsidR="008C6A6C" w:rsidRDefault="008C6A6C" w:rsidP="008C6A6C">
            <w:pPr>
              <w:rPr>
                <w:b/>
                <w:bCs/>
                <w:szCs w:val="20"/>
              </w:rPr>
            </w:pPr>
            <w:r w:rsidRPr="007243FC">
              <w:rPr>
                <w:b/>
                <w:bCs/>
                <w:szCs w:val="20"/>
              </w:rPr>
              <w:t>Partner Agencies:</w:t>
            </w:r>
          </w:p>
          <w:p w14:paraId="5A38E9BF" w14:textId="77777777" w:rsidR="008C6A6C" w:rsidRDefault="008C6A6C" w:rsidP="008C6A6C">
            <w:pPr>
              <w:pStyle w:val="NoSpacing"/>
            </w:pPr>
            <w:r>
              <w:t>UN-Habitat,</w:t>
            </w:r>
          </w:p>
          <w:p w14:paraId="546C18AE" w14:textId="77777777" w:rsidR="008C6A6C" w:rsidRPr="004559CB" w:rsidRDefault="008C6A6C" w:rsidP="008C6A6C">
            <w:pPr>
              <w:pStyle w:val="NoSpacing"/>
            </w:pPr>
            <w:r>
              <w:t>UNEP</w:t>
            </w:r>
          </w:p>
        </w:tc>
        <w:tc>
          <w:tcPr>
            <w:tcW w:w="0" w:type="auto"/>
          </w:tcPr>
          <w:p w14:paraId="51FBBDC7" w14:textId="77777777" w:rsidR="008C6A6C" w:rsidRDefault="008C6A6C" w:rsidP="008C6A6C">
            <w:pPr>
              <w:ind w:left="970" w:hanging="970"/>
              <w:jc w:val="both"/>
              <w:rPr>
                <w:color w:val="0070C0"/>
                <w:sz w:val="30"/>
                <w:szCs w:val="30"/>
              </w:rPr>
            </w:pPr>
            <w:r w:rsidRPr="00666BAB">
              <w:t>Tier II</w:t>
            </w:r>
          </w:p>
        </w:tc>
        <w:tc>
          <w:tcPr>
            <w:tcW w:w="0" w:type="auto"/>
          </w:tcPr>
          <w:p w14:paraId="41AC4AB8" w14:textId="77777777" w:rsidR="008C6A6C" w:rsidRPr="00306910" w:rsidRDefault="008C6A6C" w:rsidP="008C6A6C">
            <w:pPr>
              <w:pStyle w:val="NoSpacing"/>
              <w:rPr>
                <w:lang w:eastAsia="en-GB"/>
              </w:rPr>
            </w:pPr>
            <w:r w:rsidRPr="00306910">
              <w:rPr>
                <w:lang w:eastAsia="en-GB"/>
              </w:rPr>
              <w:t>Definition:</w:t>
            </w:r>
          </w:p>
          <w:p w14:paraId="09BB3D01" w14:textId="77777777" w:rsidR="008C6A6C" w:rsidRPr="00306910" w:rsidRDefault="008C6A6C" w:rsidP="008C6A6C">
            <w:pPr>
              <w:pStyle w:val="NoSpacing"/>
              <w:rPr>
                <w:lang w:eastAsia="en-GB"/>
              </w:rPr>
            </w:pPr>
          </w:p>
          <w:p w14:paraId="6F1FFFC4" w14:textId="77777777" w:rsidR="008C6A6C" w:rsidRPr="00306910" w:rsidRDefault="008C6A6C" w:rsidP="008C6A6C">
            <w:pPr>
              <w:pStyle w:val="NoSpacing"/>
              <w:rPr>
                <w:lang w:eastAsia="en-GB"/>
              </w:rPr>
            </w:pPr>
            <w:r w:rsidRPr="00306910">
              <w:rPr>
                <w:lang w:eastAsia="en-GB"/>
              </w:rPr>
              <w:t>NA</w:t>
            </w:r>
          </w:p>
          <w:p w14:paraId="39A3E915" w14:textId="77777777" w:rsidR="008C6A6C" w:rsidRPr="00306910" w:rsidRDefault="008C6A6C" w:rsidP="008C6A6C">
            <w:pPr>
              <w:pStyle w:val="NoSpacing"/>
              <w:rPr>
                <w:lang w:eastAsia="en-GB"/>
              </w:rPr>
            </w:pPr>
          </w:p>
          <w:p w14:paraId="60318D3D" w14:textId="77777777" w:rsidR="008C6A6C" w:rsidRPr="00306910" w:rsidRDefault="008C6A6C" w:rsidP="008C6A6C">
            <w:pPr>
              <w:pStyle w:val="NoSpacing"/>
              <w:rPr>
                <w:lang w:eastAsia="en-GB"/>
              </w:rPr>
            </w:pPr>
            <w:r w:rsidRPr="00306910">
              <w:rPr>
                <w:lang w:eastAsia="en-GB"/>
              </w:rPr>
              <w:t>[a] An open-ended intergovernmental expert working group on indicators and terminology relating to disaster risk reduction established by the General Assembly (resolution 69/284) is developing a set of indicators to measure global progress in the implementation of the Sendai Framework. These indicators will eventually reflect the agreements on the Sendai Framework indicators.</w:t>
            </w:r>
          </w:p>
          <w:p w14:paraId="6804495B" w14:textId="77777777" w:rsidR="008C6A6C" w:rsidRPr="00306910" w:rsidRDefault="008C6A6C" w:rsidP="008C6A6C">
            <w:pPr>
              <w:shd w:val="clear" w:color="auto" w:fill="FFFFFF"/>
              <w:spacing w:line="336" w:lineRule="atLeast"/>
              <w:rPr>
                <w:rFonts w:eastAsia="Times New Roman" w:cs="Arial"/>
                <w:color w:val="4A4A4A"/>
                <w:sz w:val="16"/>
                <w:szCs w:val="21"/>
                <w:lang w:eastAsia="en-GB"/>
              </w:rPr>
            </w:pPr>
          </w:p>
          <w:p w14:paraId="077F0CFE" w14:textId="77777777" w:rsidR="008C6A6C" w:rsidRPr="004D37F1" w:rsidRDefault="008C6A6C" w:rsidP="008C6A6C">
            <w:pPr>
              <w:pStyle w:val="NoSpacing"/>
              <w:rPr>
                <w:lang w:eastAsia="en-GB"/>
              </w:rPr>
            </w:pPr>
            <w:r w:rsidRPr="004D37F1">
              <w:rPr>
                <w:lang w:eastAsia="en-GB"/>
              </w:rPr>
              <w:t>Comments and limitations:</w:t>
            </w:r>
          </w:p>
          <w:p w14:paraId="30221316" w14:textId="77777777" w:rsidR="008C6A6C" w:rsidRPr="004D37F1" w:rsidRDefault="008C6A6C" w:rsidP="008C6A6C">
            <w:pPr>
              <w:pStyle w:val="NoSpacing"/>
              <w:rPr>
                <w:lang w:eastAsia="en-GB"/>
              </w:rPr>
            </w:pPr>
          </w:p>
          <w:p w14:paraId="26431048" w14:textId="77777777" w:rsidR="008C6A6C" w:rsidRPr="004D37F1" w:rsidRDefault="008C6A6C" w:rsidP="008C6A6C">
            <w:pPr>
              <w:pStyle w:val="NoSpacing"/>
              <w:rPr>
                <w:lang w:eastAsia="en-GB"/>
              </w:rPr>
            </w:pPr>
            <w:r w:rsidRPr="004D37F1">
              <w:rPr>
                <w:lang w:eastAsia="en-GB"/>
              </w:rPr>
              <w:t>The HFA Monitor started in 2007 and over time, the number of countries reporting to UNISDR increased from 60 in 2007 to 140+ countries now undertaking voluntary self-assessment of progress in implementing the HFA. During the four reporting cycles to 2015 the HFA Monitor has generated the world’s largest repository of information on national DRR policy inter alia. Its successor, provisionally named the Sendai Monitor, is under development and will be informed by the recommendations of the OEIWG. A baseline as of 2015 is expected to be created in 2016-2017 that will facilitate reporting on progress in achieving the relevant targets of both the Sendai Framework and the SDGs.</w:t>
            </w:r>
          </w:p>
          <w:p w14:paraId="75D45319" w14:textId="77777777" w:rsidR="008C6A6C" w:rsidRPr="004D37F1" w:rsidRDefault="008C6A6C" w:rsidP="008C6A6C">
            <w:pPr>
              <w:pStyle w:val="NoSpacing"/>
              <w:rPr>
                <w:lang w:eastAsia="en-GB"/>
              </w:rPr>
            </w:pPr>
          </w:p>
          <w:p w14:paraId="6D84E815" w14:textId="77777777" w:rsidR="008C6A6C" w:rsidRPr="004D37F1" w:rsidRDefault="008C6A6C" w:rsidP="008C6A6C">
            <w:pPr>
              <w:pStyle w:val="NoSpacing"/>
              <w:rPr>
                <w:lang w:eastAsia="en-GB"/>
              </w:rPr>
            </w:pPr>
            <w:r w:rsidRPr="004D37F1">
              <w:rPr>
                <w:lang w:eastAsia="en-GB"/>
              </w:rPr>
              <w:t>Members of both the OEIWG and the IAEG-SDGs have addressed that indicators that simply count the number of countries are not recommended, instead that, indicators to measure progress over time have been promoted. Further to the deliberations of the OEIWG as well as the IAEG, UNISDR has proposed computation methodologies that allow the monitoring of improvement in national and local DRR strategies over time. These methodologies range from a simple quantitative assessment of the number of these strategies to a qualitative measure of alignment with the Sendai Framework, as well as population coverage for local strategies.</w:t>
            </w:r>
          </w:p>
          <w:p w14:paraId="1EC84D2A" w14:textId="77777777" w:rsidR="008C6A6C" w:rsidRPr="004D37F1" w:rsidRDefault="008C6A6C" w:rsidP="008C6A6C">
            <w:pPr>
              <w:shd w:val="clear" w:color="auto" w:fill="FFFFFF"/>
              <w:spacing w:line="336" w:lineRule="atLeast"/>
              <w:rPr>
                <w:rFonts w:eastAsia="Times New Roman" w:cs="Arial"/>
                <w:color w:val="4A4A4A"/>
                <w:sz w:val="21"/>
                <w:szCs w:val="21"/>
                <w:lang w:eastAsia="en-GB"/>
              </w:rPr>
            </w:pPr>
            <w:r w:rsidRPr="00227573">
              <w:rPr>
                <w:rFonts w:eastAsia="Times New Roman" w:cs="Arial"/>
                <w:b/>
                <w:bCs/>
                <w:color w:val="4A4A4A"/>
                <w:sz w:val="21"/>
                <w:szCs w:val="21"/>
                <w:lang w:eastAsia="en-GB"/>
              </w:rPr>
              <w:t>Computation Method:</w:t>
            </w:r>
          </w:p>
          <w:p w14:paraId="05450E84" w14:textId="77777777" w:rsidR="008C6A6C" w:rsidRPr="00227573" w:rsidRDefault="008C6A6C" w:rsidP="008C6A6C">
            <w:pPr>
              <w:pStyle w:val="NoSpacing"/>
              <w:rPr>
                <w:lang w:eastAsia="en-GB"/>
              </w:rPr>
            </w:pPr>
            <w:r w:rsidRPr="00227573">
              <w:rPr>
                <w:lang w:eastAsia="en-GB"/>
              </w:rPr>
              <w:t>Note: Computation methodology for several indicators is very comprehensive, very long (about 180 pages) and probably out of the scope of this Metadata. UNISDR prefers to refer to the outcome of the Open Ended Intergovernmental Working Group, which provides a full detailed methodology for each indicator and sub-indicator.</w:t>
            </w:r>
          </w:p>
          <w:p w14:paraId="454A91A7" w14:textId="77777777" w:rsidR="008C6A6C" w:rsidRPr="00227573" w:rsidRDefault="008C6A6C" w:rsidP="008C6A6C">
            <w:pPr>
              <w:pStyle w:val="NoSpacing"/>
              <w:rPr>
                <w:lang w:eastAsia="en-GB"/>
              </w:rPr>
            </w:pPr>
            <w:r w:rsidRPr="00227573">
              <w:rPr>
                <w:lang w:eastAsia="en-GB"/>
              </w:rPr>
              <w:t>The latest version of these methodologies can be obtained at:</w:t>
            </w:r>
          </w:p>
          <w:p w14:paraId="58C29A3E" w14:textId="77777777" w:rsidR="008C6A6C" w:rsidRPr="00227573" w:rsidRDefault="008C6A6C" w:rsidP="008C6A6C">
            <w:pPr>
              <w:pStyle w:val="NoSpacing"/>
              <w:rPr>
                <w:lang w:eastAsia="en-GB"/>
              </w:rPr>
            </w:pPr>
            <w:r w:rsidRPr="00227573">
              <w:rPr>
                <w:lang w:eastAsia="en-GB"/>
              </w:rPr>
              <w:t>http://www.preventionweb.net/documents/oiewg/Technical%20Collection%20of%20Concept%20Notes%20on%20Indicators.pdf</w:t>
            </w:r>
          </w:p>
          <w:p w14:paraId="3CA42FEA" w14:textId="77777777" w:rsidR="008C6A6C" w:rsidRPr="00227573" w:rsidRDefault="008C6A6C" w:rsidP="008C6A6C">
            <w:pPr>
              <w:pStyle w:val="NoSpacing"/>
              <w:rPr>
                <w:lang w:eastAsia="en-GB"/>
              </w:rPr>
            </w:pPr>
            <w:r w:rsidRPr="00227573">
              <w:rPr>
                <w:lang w:eastAsia="en-GB"/>
              </w:rPr>
              <w:t>A short summary:</w:t>
            </w:r>
          </w:p>
          <w:p w14:paraId="01CEF35C" w14:textId="77777777" w:rsidR="008C6A6C" w:rsidRPr="004D37F1" w:rsidRDefault="008C6A6C" w:rsidP="008C6A6C">
            <w:pPr>
              <w:pStyle w:val="NoSpacing"/>
              <w:rPr>
                <w:lang w:eastAsia="en-GB"/>
              </w:rPr>
            </w:pPr>
            <w:r w:rsidRPr="00227573">
              <w:rPr>
                <w:lang w:eastAsia="en-GB"/>
              </w:rPr>
              <w:t>Summation of data from National Progress Reports of the Sendai Monitor</w:t>
            </w:r>
          </w:p>
        </w:tc>
        <w:tc>
          <w:tcPr>
            <w:tcW w:w="0" w:type="auto"/>
          </w:tcPr>
          <w:p w14:paraId="7B5AD19B" w14:textId="77777777" w:rsidR="008C6A6C" w:rsidRPr="00227573" w:rsidRDefault="008C6A6C" w:rsidP="008C6A6C">
            <w:pPr>
              <w:pStyle w:val="NoSpacing"/>
              <w:rPr>
                <w:lang w:eastAsia="en-GB"/>
              </w:rPr>
            </w:pPr>
            <w:r w:rsidRPr="00227573">
              <w:rPr>
                <w:lang w:eastAsia="en-GB"/>
              </w:rPr>
              <w:lastRenderedPageBreak/>
              <w:t>The official counterpart(s) at the country level will provide National Progress Report of the Sendai Monitor.</w:t>
            </w:r>
          </w:p>
          <w:p w14:paraId="6628288F" w14:textId="77777777" w:rsidR="008C6A6C" w:rsidRPr="0003673A" w:rsidRDefault="008C6A6C" w:rsidP="008C6A6C">
            <w:pPr>
              <w:pStyle w:val="NoSpacing"/>
            </w:pPr>
          </w:p>
        </w:tc>
        <w:tc>
          <w:tcPr>
            <w:tcW w:w="0" w:type="auto"/>
          </w:tcPr>
          <w:p w14:paraId="2DA8F375" w14:textId="77777777" w:rsidR="008C6A6C" w:rsidRPr="00227573" w:rsidRDefault="008C6A6C" w:rsidP="008C6A6C">
            <w:pPr>
              <w:pStyle w:val="NoSpacing"/>
              <w:rPr>
                <w:lang w:eastAsia="en-GB"/>
              </w:rPr>
            </w:pPr>
            <w:r w:rsidRPr="00227573">
              <w:rPr>
                <w:lang w:eastAsia="en-GB"/>
              </w:rPr>
              <w:t xml:space="preserve">The coordinating lead institution chairing the National DRR platform which is comprised of special purpose agencies including national disaster agencies, civil </w:t>
            </w:r>
            <w:r w:rsidRPr="00227573">
              <w:rPr>
                <w:lang w:eastAsia="en-GB"/>
              </w:rPr>
              <w:lastRenderedPageBreak/>
              <w:t>protection agencies, and meteorological agencies.</w:t>
            </w:r>
          </w:p>
          <w:p w14:paraId="45908C7F" w14:textId="77777777" w:rsidR="008C6A6C" w:rsidRPr="0003673A" w:rsidRDefault="008C6A6C" w:rsidP="008C6A6C">
            <w:pPr>
              <w:pStyle w:val="NoSpacing"/>
            </w:pPr>
          </w:p>
        </w:tc>
        <w:tc>
          <w:tcPr>
            <w:tcW w:w="0" w:type="auto"/>
          </w:tcPr>
          <w:p w14:paraId="7A323B0F" w14:textId="77777777" w:rsidR="008C6A6C" w:rsidRDefault="008C6A6C" w:rsidP="008C6A6C">
            <w:pPr>
              <w:spacing w:line="276" w:lineRule="auto"/>
              <w:rPr>
                <w:rFonts w:eastAsia="Times New Roman" w:cs="Times New Roman"/>
                <w:color w:val="000000" w:themeColor="text1"/>
                <w:szCs w:val="20"/>
              </w:rPr>
            </w:pPr>
          </w:p>
          <w:p w14:paraId="7410AC40" w14:textId="1A26C2D9" w:rsidR="008C6A6C" w:rsidRPr="00BC6F10" w:rsidRDefault="008C6A6C" w:rsidP="008C6A6C">
            <w:pPr>
              <w:spacing w:line="276" w:lineRule="auto"/>
            </w:pPr>
          </w:p>
        </w:tc>
        <w:tc>
          <w:tcPr>
            <w:tcW w:w="0" w:type="auto"/>
          </w:tcPr>
          <w:p w14:paraId="3EAD128E" w14:textId="77777777" w:rsidR="008C6A6C" w:rsidRDefault="008C6A6C" w:rsidP="008C6A6C">
            <w:pPr>
              <w:jc w:val="center"/>
              <w:rPr>
                <w:szCs w:val="26"/>
              </w:rPr>
            </w:pPr>
            <w:r w:rsidRPr="00BC6F10">
              <w:rPr>
                <w:rFonts w:eastAsia="Times New Roman" w:cs="Times New Roman"/>
                <w:color w:val="000000" w:themeColor="text1"/>
                <w:szCs w:val="20"/>
              </w:rPr>
              <w:t>MoDMR</w:t>
            </w:r>
            <w:r w:rsidRPr="00D53B8A">
              <w:rPr>
                <w:szCs w:val="26"/>
              </w:rPr>
              <w:t xml:space="preserve"> </w:t>
            </w:r>
          </w:p>
          <w:p w14:paraId="10AD9C71" w14:textId="77777777" w:rsidR="008C6A6C" w:rsidRDefault="008C6A6C" w:rsidP="008C6A6C">
            <w:pPr>
              <w:jc w:val="center"/>
              <w:rPr>
                <w:szCs w:val="26"/>
              </w:rPr>
            </w:pPr>
          </w:p>
          <w:p w14:paraId="6F576022" w14:textId="77777777" w:rsidR="008C6A6C" w:rsidRPr="00D53B8A" w:rsidRDefault="008C6A6C" w:rsidP="008C6A6C">
            <w:pPr>
              <w:jc w:val="center"/>
              <w:rPr>
                <w:szCs w:val="26"/>
              </w:rPr>
            </w:pPr>
            <w:r w:rsidRPr="00D53B8A">
              <w:rPr>
                <w:szCs w:val="26"/>
              </w:rPr>
              <w:t>Administrative Data</w:t>
            </w:r>
          </w:p>
        </w:tc>
        <w:tc>
          <w:tcPr>
            <w:tcW w:w="0" w:type="auto"/>
          </w:tcPr>
          <w:p w14:paraId="060FE454" w14:textId="77777777" w:rsidR="008C6A6C" w:rsidRPr="00A44C13" w:rsidRDefault="008C6A6C" w:rsidP="008C6A6C">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location: city</w:t>
            </w:r>
          </w:p>
          <w:p w14:paraId="50B1B68C" w14:textId="4CB50189" w:rsidR="0041338E" w:rsidRDefault="0041338E" w:rsidP="008C6A6C">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By Division</w:t>
            </w:r>
          </w:p>
          <w:p w14:paraId="2AB71441" w14:textId="77777777" w:rsidR="008C6A6C" w:rsidRDefault="008C6A6C" w:rsidP="008C6A6C">
            <w:pPr>
              <w:ind w:left="970" w:hanging="970"/>
              <w:jc w:val="both"/>
              <w:rPr>
                <w:color w:val="0070C0"/>
                <w:sz w:val="30"/>
                <w:szCs w:val="30"/>
              </w:rPr>
            </w:pPr>
          </w:p>
        </w:tc>
        <w:tc>
          <w:tcPr>
            <w:tcW w:w="0" w:type="auto"/>
          </w:tcPr>
          <w:p w14:paraId="4C90BBC2" w14:textId="77777777" w:rsidR="008C6A6C" w:rsidRDefault="008C6A6C" w:rsidP="008C6A6C">
            <w:pPr>
              <w:ind w:left="970" w:hanging="970"/>
              <w:jc w:val="both"/>
              <w:rPr>
                <w:color w:val="0070C0"/>
                <w:sz w:val="30"/>
                <w:szCs w:val="30"/>
              </w:rPr>
            </w:pPr>
            <w:r w:rsidRPr="00BC6F10">
              <w:t>Triennial</w:t>
            </w:r>
          </w:p>
        </w:tc>
        <w:tc>
          <w:tcPr>
            <w:tcW w:w="0" w:type="auto"/>
          </w:tcPr>
          <w:p w14:paraId="677FD984" w14:textId="77777777" w:rsidR="008C6A6C" w:rsidRDefault="008C6A6C" w:rsidP="008C6A6C">
            <w:pPr>
              <w:ind w:left="970" w:hanging="970"/>
              <w:jc w:val="both"/>
              <w:rPr>
                <w:color w:val="0070C0"/>
                <w:sz w:val="30"/>
                <w:szCs w:val="30"/>
              </w:rPr>
            </w:pPr>
            <w:r>
              <w:t>Group 2</w:t>
            </w:r>
          </w:p>
        </w:tc>
        <w:tc>
          <w:tcPr>
            <w:tcW w:w="0" w:type="auto"/>
          </w:tcPr>
          <w:p w14:paraId="3EFB41F6" w14:textId="77777777" w:rsidR="008C6A6C" w:rsidRDefault="008C6A6C" w:rsidP="008C6A6C">
            <w:pPr>
              <w:pStyle w:val="NoSpacing"/>
            </w:pPr>
            <w:r>
              <w:t>1</w:t>
            </w:r>
            <w:r w:rsidRPr="00013ACB">
              <w:rPr>
                <w:vertAlign w:val="superscript"/>
              </w:rPr>
              <w:t>st</w:t>
            </w:r>
            <w:r>
              <w:t xml:space="preserve"> Round:</w:t>
            </w:r>
          </w:p>
          <w:p w14:paraId="481E5481" w14:textId="77777777" w:rsidR="008C6A6C" w:rsidRDefault="008C6A6C" w:rsidP="008C6A6C">
            <w:pPr>
              <w:pStyle w:val="NoSpacing"/>
            </w:pPr>
            <w:r>
              <w:t>December, 2021</w:t>
            </w:r>
          </w:p>
          <w:p w14:paraId="4E9CC668" w14:textId="77777777" w:rsidR="008C6A6C" w:rsidRDefault="008C6A6C" w:rsidP="008C6A6C">
            <w:pPr>
              <w:pStyle w:val="NoSpacing"/>
            </w:pPr>
          </w:p>
          <w:p w14:paraId="6F74730C" w14:textId="77777777" w:rsidR="008C6A6C" w:rsidRDefault="008C6A6C" w:rsidP="008C6A6C">
            <w:pPr>
              <w:pStyle w:val="NoSpacing"/>
            </w:pPr>
            <w:r>
              <w:t>2</w:t>
            </w:r>
            <w:r w:rsidRPr="00013ACB">
              <w:rPr>
                <w:vertAlign w:val="superscript"/>
              </w:rPr>
              <w:t>nd</w:t>
            </w:r>
            <w:r>
              <w:t xml:space="preserve"> Round:</w:t>
            </w:r>
          </w:p>
          <w:p w14:paraId="616E8972" w14:textId="77777777" w:rsidR="008C6A6C" w:rsidRDefault="008C6A6C" w:rsidP="008C6A6C">
            <w:pPr>
              <w:pStyle w:val="NoSpacing"/>
            </w:pPr>
            <w:r>
              <w:t xml:space="preserve"> December, 2024</w:t>
            </w:r>
          </w:p>
          <w:p w14:paraId="689BBE71" w14:textId="77777777" w:rsidR="008C6A6C" w:rsidRDefault="008C6A6C" w:rsidP="008C6A6C">
            <w:pPr>
              <w:pStyle w:val="NoSpacing"/>
            </w:pPr>
          </w:p>
          <w:p w14:paraId="39E5E1B3" w14:textId="77777777" w:rsidR="008C6A6C" w:rsidRDefault="008C6A6C" w:rsidP="008C6A6C">
            <w:pPr>
              <w:pStyle w:val="NoSpacing"/>
            </w:pPr>
            <w:r>
              <w:t>3</w:t>
            </w:r>
            <w:r w:rsidRPr="00013ACB">
              <w:rPr>
                <w:vertAlign w:val="superscript"/>
              </w:rPr>
              <w:t>rd</w:t>
            </w:r>
            <w:r>
              <w:t xml:space="preserve"> Round: </w:t>
            </w:r>
          </w:p>
          <w:p w14:paraId="4310520A" w14:textId="77777777" w:rsidR="008C6A6C" w:rsidRDefault="008C6A6C" w:rsidP="008C6A6C">
            <w:pPr>
              <w:pStyle w:val="NoSpacing"/>
            </w:pPr>
            <w:r>
              <w:t>December, 2027</w:t>
            </w:r>
          </w:p>
          <w:p w14:paraId="64282472" w14:textId="77777777" w:rsidR="008C6A6C" w:rsidRDefault="008C6A6C" w:rsidP="008C6A6C">
            <w:pPr>
              <w:pStyle w:val="NoSpacing"/>
            </w:pPr>
          </w:p>
          <w:p w14:paraId="730B08F2" w14:textId="77777777" w:rsidR="008C6A6C" w:rsidRDefault="008C6A6C" w:rsidP="008C6A6C">
            <w:pPr>
              <w:pStyle w:val="NoSpacing"/>
            </w:pPr>
            <w:r>
              <w:t>4</w:t>
            </w:r>
            <w:r w:rsidRPr="00013ACB">
              <w:rPr>
                <w:vertAlign w:val="superscript"/>
              </w:rPr>
              <w:t>th</w:t>
            </w:r>
            <w:r>
              <w:t xml:space="preserve"> </w:t>
            </w:r>
            <w:r>
              <w:lastRenderedPageBreak/>
              <w:t xml:space="preserve">Round: </w:t>
            </w:r>
          </w:p>
          <w:p w14:paraId="2EC88734" w14:textId="5C0DB561" w:rsidR="008C6A6C" w:rsidRDefault="008C6A6C" w:rsidP="008C6A6C">
            <w:pPr>
              <w:pStyle w:val="NoSpacing"/>
              <w:rPr>
                <w:color w:val="0070C0"/>
                <w:sz w:val="30"/>
                <w:szCs w:val="30"/>
              </w:rPr>
            </w:pPr>
            <w:r>
              <w:t>December, 2030</w:t>
            </w:r>
          </w:p>
        </w:tc>
        <w:tc>
          <w:tcPr>
            <w:tcW w:w="0" w:type="auto"/>
          </w:tcPr>
          <w:p w14:paraId="5DF79F18" w14:textId="77777777" w:rsidR="008C6A6C" w:rsidRDefault="008C6A6C" w:rsidP="008C6A6C">
            <w:pPr>
              <w:pStyle w:val="NoSpacing"/>
            </w:pPr>
            <w:r>
              <w:lastRenderedPageBreak/>
              <w:t>Data availability reviewed in Oct. 2019 (classified as Tier II)</w:t>
            </w:r>
          </w:p>
          <w:p w14:paraId="7F9F4750" w14:textId="77777777" w:rsidR="008C6A6C" w:rsidRDefault="008C6A6C" w:rsidP="008C6A6C">
            <w:pPr>
              <w:pStyle w:val="NoSpacing"/>
            </w:pPr>
          </w:p>
          <w:p w14:paraId="1C7FC1F9" w14:textId="77777777" w:rsidR="008C6A6C" w:rsidRDefault="008C6A6C" w:rsidP="008C6A6C">
            <w:pPr>
              <w:pStyle w:val="NoSpacing"/>
            </w:pPr>
            <w:r>
              <w:t>Data availability reviewed in Nov. 2017 (classified as Tier I)</w:t>
            </w:r>
          </w:p>
          <w:p w14:paraId="6C413550" w14:textId="77777777" w:rsidR="008C6A6C" w:rsidRDefault="008C6A6C" w:rsidP="008C6A6C">
            <w:pPr>
              <w:pStyle w:val="NoSpacing"/>
            </w:pPr>
          </w:p>
          <w:p w14:paraId="1CA71F52" w14:textId="77777777" w:rsidR="008C6A6C" w:rsidRDefault="008C6A6C" w:rsidP="008C6A6C">
            <w:pPr>
              <w:pStyle w:val="NoSpacing"/>
            </w:pPr>
            <w:r>
              <w:t>Sendai modification; Reviewed at 5th IAEG-SDG meeting (classified as Tier II)</w:t>
            </w:r>
          </w:p>
          <w:p w14:paraId="52695DF0" w14:textId="77777777" w:rsidR="008C6A6C" w:rsidRDefault="008C6A6C" w:rsidP="008C6A6C">
            <w:pPr>
              <w:pStyle w:val="NoSpacing"/>
            </w:pPr>
          </w:p>
          <w:p w14:paraId="2F458F2A" w14:textId="7671D56A" w:rsidR="008C6A6C" w:rsidRDefault="008C6A6C" w:rsidP="008C6A6C">
            <w:pPr>
              <w:pStyle w:val="NoSpacing"/>
            </w:pPr>
            <w:r>
              <w:t>1.5.3/11.b.</w:t>
            </w:r>
            <w:r w:rsidR="009A2A44">
              <w:t xml:space="preserve">1 </w:t>
            </w:r>
            <w:r>
              <w:t xml:space="preserve"> are repeat</w:t>
            </w:r>
            <w:r w:rsidR="009A2A44">
              <w:t>ed</w:t>
            </w:r>
          </w:p>
        </w:tc>
      </w:tr>
      <w:tr w:rsidR="008C6A6C" w14:paraId="0C5929E6" w14:textId="77777777" w:rsidTr="00A64F0D">
        <w:tc>
          <w:tcPr>
            <w:tcW w:w="0" w:type="auto"/>
          </w:tcPr>
          <w:p w14:paraId="6E88AD39" w14:textId="77777777" w:rsidR="008C6A6C" w:rsidRDefault="008C6A6C" w:rsidP="008C6A6C">
            <w:pPr>
              <w:pStyle w:val="NoSpacing"/>
            </w:pPr>
            <w:r w:rsidRPr="0055666E">
              <w:lastRenderedPageBreak/>
              <w:t>13.1.3 Proportion of local governments that adopt and implement local disaster risk reduction strategies in line with national disaster risk reduction strategies</w:t>
            </w:r>
          </w:p>
        </w:tc>
        <w:tc>
          <w:tcPr>
            <w:tcW w:w="0" w:type="auto"/>
          </w:tcPr>
          <w:p w14:paraId="0C6A4857" w14:textId="77777777" w:rsidR="008C6A6C" w:rsidRDefault="008C6A6C" w:rsidP="008C6A6C">
            <w:pPr>
              <w:ind w:left="970" w:hanging="970"/>
              <w:jc w:val="both"/>
              <w:rPr>
                <w:color w:val="0070C0"/>
                <w:sz w:val="30"/>
                <w:szCs w:val="30"/>
              </w:rPr>
            </w:pPr>
          </w:p>
          <w:p w14:paraId="6465E2FB" w14:textId="77777777" w:rsidR="008C6A6C" w:rsidRDefault="008C6A6C" w:rsidP="008C6A6C">
            <w:pPr>
              <w:pStyle w:val="NoSpacing"/>
            </w:pPr>
            <w:r w:rsidRPr="004559CB">
              <w:t>UNDRR</w:t>
            </w:r>
          </w:p>
        </w:tc>
        <w:tc>
          <w:tcPr>
            <w:tcW w:w="0" w:type="auto"/>
          </w:tcPr>
          <w:p w14:paraId="33C1ABEC" w14:textId="77777777" w:rsidR="008C6A6C" w:rsidRDefault="008C6A6C" w:rsidP="008C6A6C">
            <w:pPr>
              <w:ind w:left="970" w:hanging="970"/>
              <w:jc w:val="both"/>
              <w:rPr>
                <w:color w:val="0070C0"/>
                <w:sz w:val="30"/>
                <w:szCs w:val="30"/>
              </w:rPr>
            </w:pPr>
            <w:r w:rsidRPr="00666BAB">
              <w:t>Tier II</w:t>
            </w:r>
          </w:p>
        </w:tc>
        <w:tc>
          <w:tcPr>
            <w:tcW w:w="0" w:type="auto"/>
          </w:tcPr>
          <w:p w14:paraId="27ED566D" w14:textId="77777777" w:rsidR="008C6A6C" w:rsidRPr="00C83725" w:rsidRDefault="008C6A6C" w:rsidP="008C6A6C">
            <w:pPr>
              <w:shd w:val="clear" w:color="auto" w:fill="FFFFFF"/>
              <w:spacing w:line="336" w:lineRule="atLeast"/>
              <w:rPr>
                <w:rFonts w:eastAsia="Times New Roman" w:cs="Arial"/>
                <w:color w:val="4A4A4A"/>
                <w:szCs w:val="20"/>
                <w:lang w:eastAsia="en-GB"/>
              </w:rPr>
            </w:pPr>
            <w:r w:rsidRPr="00C83725">
              <w:rPr>
                <w:rFonts w:eastAsia="Times New Roman" w:cs="Arial"/>
                <w:b/>
                <w:bCs/>
                <w:color w:val="4A4A4A"/>
                <w:szCs w:val="20"/>
                <w:lang w:eastAsia="en-GB"/>
              </w:rPr>
              <w:t>Definition:</w:t>
            </w:r>
          </w:p>
          <w:p w14:paraId="57195755" w14:textId="77777777" w:rsidR="008C6A6C" w:rsidRPr="00C83725" w:rsidRDefault="008C6A6C" w:rsidP="008C6A6C">
            <w:pPr>
              <w:shd w:val="clear" w:color="auto" w:fill="FFFFFF"/>
              <w:rPr>
                <w:rFonts w:eastAsia="Times New Roman" w:cs="Times New Roman"/>
                <w:color w:val="4A4A4A"/>
                <w:szCs w:val="20"/>
                <w:lang w:eastAsia="en-GB"/>
              </w:rPr>
            </w:pPr>
            <w:r w:rsidRPr="00C83725">
              <w:rPr>
                <w:rFonts w:eastAsia="Times New Roman" w:cs="Times New Roman"/>
                <w:color w:val="4A4A4A"/>
                <w:szCs w:val="20"/>
                <w:lang w:eastAsia="en-GB"/>
              </w:rPr>
              <w:t>The Sendai Framework for Disaster Risk Reduction 2015-2030 was adopted by UN Member States in March 2015 as a global policy of disaster risk reduction. One of the targets is: “Substantially increase the number of countries with national and local disaster risk reduction strategies by 2020”.</w:t>
            </w:r>
          </w:p>
          <w:p w14:paraId="02383984" w14:textId="77777777" w:rsidR="008C6A6C" w:rsidRPr="00C83725" w:rsidRDefault="008C6A6C" w:rsidP="008C6A6C">
            <w:pPr>
              <w:shd w:val="clear" w:color="auto" w:fill="FFFFFF"/>
              <w:rPr>
                <w:rFonts w:eastAsia="Times New Roman" w:cs="Times New Roman"/>
                <w:color w:val="4A4A4A"/>
                <w:szCs w:val="20"/>
                <w:lang w:eastAsia="en-GB"/>
              </w:rPr>
            </w:pPr>
            <w:r w:rsidRPr="00C83725">
              <w:rPr>
                <w:rFonts w:eastAsia="Times New Roman" w:cs="Times New Roman"/>
                <w:color w:val="4A4A4A"/>
                <w:szCs w:val="20"/>
                <w:lang w:eastAsia="en-GB"/>
              </w:rPr>
              <w:t>In line with the Sendai Framework for Disaster Risk Reduction 2015-2030, disaster risk reduction strategies and policies should mainstream and integrate disaster risk reduction within and across all sectors, across different timescales and with targets, indicators and time frames. These strategies should be aimed at preventing the creation of disaster risk, the reduction of existing risk and the strengthening of economic, social, health and environmental resilience.</w:t>
            </w:r>
          </w:p>
          <w:p w14:paraId="42032411" w14:textId="77777777" w:rsidR="008C6A6C" w:rsidRPr="00C83725" w:rsidRDefault="008C6A6C" w:rsidP="008C6A6C">
            <w:pPr>
              <w:shd w:val="clear" w:color="auto" w:fill="FFFFFF"/>
              <w:rPr>
                <w:rFonts w:eastAsia="Times New Roman" w:cs="Times New Roman"/>
                <w:color w:val="4A4A4A"/>
                <w:szCs w:val="20"/>
                <w:lang w:eastAsia="en-GB"/>
              </w:rPr>
            </w:pPr>
          </w:p>
          <w:p w14:paraId="0D8B72FA" w14:textId="77777777" w:rsidR="008C6A6C" w:rsidRPr="00C83725" w:rsidRDefault="008C6A6C" w:rsidP="008C6A6C">
            <w:pPr>
              <w:shd w:val="clear" w:color="auto" w:fill="FFFFFF"/>
              <w:rPr>
                <w:rFonts w:eastAsia="Times New Roman" w:cs="Arial"/>
                <w:color w:val="4A4A4A"/>
                <w:szCs w:val="20"/>
                <w:lang w:eastAsia="en-GB"/>
              </w:rPr>
            </w:pPr>
            <w:r w:rsidRPr="00C83725">
              <w:rPr>
                <w:rFonts w:eastAsia="Times New Roman" w:cs="Arial"/>
                <w:color w:val="4A4A4A"/>
                <w:szCs w:val="20"/>
                <w:lang w:eastAsia="en-GB"/>
              </w:rPr>
              <w:t xml:space="preserve">The open-ended intergovernmental expert working group on indicators and terminology relating to disaster risk reduction (OIEWG) established by the General Assembly (resolution 69/284) has developed a set of indicators to measure global progress in the implementation of the Sendai Framework, which was endorsed by the UNGA (OIEWG </w:t>
            </w:r>
            <w:hyperlink r:id="rId114" w:history="1">
              <w:r w:rsidRPr="00C83725">
                <w:rPr>
                  <w:rFonts w:eastAsia="Times New Roman" w:cs="Arial"/>
                  <w:color w:val="4A4A4A"/>
                  <w:szCs w:val="20"/>
                  <w:lang w:eastAsia="en-GB"/>
                </w:rPr>
                <w:t>report A/71/644</w:t>
              </w:r>
            </w:hyperlink>
            <w:r w:rsidRPr="00C83725">
              <w:rPr>
                <w:rFonts w:eastAsia="Times New Roman" w:cs="Arial"/>
                <w:color w:val="4A4A4A"/>
                <w:szCs w:val="20"/>
                <w:lang w:eastAsia="en-GB"/>
              </w:rPr>
              <w:t>). The relevant SDG indicators reflect the Sendai Framework indicators.</w:t>
            </w:r>
          </w:p>
          <w:p w14:paraId="39C6A049" w14:textId="77777777" w:rsidR="008C6A6C" w:rsidRPr="00C83725" w:rsidRDefault="008C6A6C" w:rsidP="008C6A6C">
            <w:pPr>
              <w:shd w:val="clear" w:color="auto" w:fill="FFFFFF"/>
              <w:spacing w:line="336" w:lineRule="atLeast"/>
              <w:rPr>
                <w:rFonts w:eastAsia="Times New Roman" w:cs="Arial"/>
                <w:color w:val="4A4A4A"/>
                <w:szCs w:val="20"/>
                <w:lang w:eastAsia="en-GB"/>
              </w:rPr>
            </w:pPr>
          </w:p>
          <w:p w14:paraId="13FFE498" w14:textId="77777777" w:rsidR="008C6A6C" w:rsidRPr="00C83725" w:rsidRDefault="008C6A6C" w:rsidP="008C6A6C">
            <w:pPr>
              <w:shd w:val="clear" w:color="auto" w:fill="FFFFFF"/>
              <w:spacing w:line="336" w:lineRule="atLeast"/>
              <w:rPr>
                <w:rFonts w:eastAsia="Times New Roman" w:cs="Arial"/>
                <w:color w:val="4A4A4A"/>
                <w:szCs w:val="20"/>
                <w:lang w:eastAsia="en-GB"/>
              </w:rPr>
            </w:pPr>
            <w:r w:rsidRPr="00C83725">
              <w:rPr>
                <w:rFonts w:eastAsia="Times New Roman" w:cs="Arial"/>
                <w:b/>
                <w:bCs/>
                <w:color w:val="4A4A4A"/>
                <w:szCs w:val="20"/>
                <w:lang w:eastAsia="en-GB"/>
              </w:rPr>
              <w:t>Comments and limitations:</w:t>
            </w:r>
          </w:p>
          <w:p w14:paraId="5AF1470D" w14:textId="77777777" w:rsidR="008C6A6C" w:rsidRPr="00C83725" w:rsidRDefault="008C6A6C" w:rsidP="008C6A6C">
            <w:pPr>
              <w:shd w:val="clear" w:color="auto" w:fill="FFFFFF"/>
              <w:spacing w:line="336" w:lineRule="atLeast"/>
              <w:rPr>
                <w:rFonts w:eastAsia="Times New Roman" w:cs="Arial"/>
                <w:color w:val="4A4A4A"/>
                <w:szCs w:val="20"/>
                <w:lang w:eastAsia="en-GB"/>
              </w:rPr>
            </w:pPr>
          </w:p>
          <w:p w14:paraId="753FA186" w14:textId="77777777" w:rsidR="008C6A6C" w:rsidRPr="00C83725" w:rsidRDefault="008C6A6C" w:rsidP="008C6A6C">
            <w:pPr>
              <w:shd w:val="clear" w:color="auto" w:fill="FFFFFF"/>
              <w:rPr>
                <w:rFonts w:eastAsia="Times New Roman" w:cs="Arial"/>
                <w:color w:val="4A4A4A"/>
                <w:szCs w:val="20"/>
                <w:lang w:eastAsia="en-GB"/>
              </w:rPr>
            </w:pPr>
            <w:r w:rsidRPr="00C83725">
              <w:rPr>
                <w:rFonts w:eastAsia="Times New Roman" w:cs="Arial"/>
                <w:color w:val="4A4A4A"/>
                <w:szCs w:val="20"/>
                <w:lang w:eastAsia="en-GB"/>
              </w:rPr>
              <w:t xml:space="preserve">The </w:t>
            </w:r>
            <w:r w:rsidRPr="00C83725">
              <w:rPr>
                <w:rFonts w:eastAsia="Times New Roman" w:cs="Times New Roman"/>
                <w:color w:val="4A4A4A"/>
                <w:szCs w:val="20"/>
                <w:lang w:eastAsia="en-GB"/>
              </w:rPr>
              <w:t>Hyogo Framework for Action Monitor (</w:t>
            </w:r>
            <w:r w:rsidRPr="00C83725">
              <w:rPr>
                <w:rFonts w:eastAsia="Times New Roman" w:cs="Arial"/>
                <w:color w:val="4A4A4A"/>
                <w:szCs w:val="20"/>
                <w:lang w:eastAsia="en-GB"/>
              </w:rPr>
              <w:t>HFA Monitor) started in 2007 and over time, the number of countries reporting to UNISDR increased from 60 in 2007 to approximately 100 countries in 2015 undertaking voluntary self-</w:t>
            </w:r>
            <w:r w:rsidRPr="00C83725">
              <w:rPr>
                <w:rFonts w:eastAsia="Times New Roman" w:cs="Arial"/>
                <w:color w:val="4A4A4A"/>
                <w:szCs w:val="20"/>
                <w:lang w:eastAsia="en-GB"/>
              </w:rPr>
              <w:lastRenderedPageBreak/>
              <w:t xml:space="preserve">assessment of progress in implementing the HFA. During the four reporting cycles the HFA Monitor has generated the world’s largest repository of information on national disaster risk reduction policy inter alia. </w:t>
            </w:r>
            <w:r w:rsidRPr="00C83725">
              <w:rPr>
                <w:rFonts w:eastAsia="Times New Roman" w:cs="Times New Roman"/>
                <w:color w:val="4A4A4A"/>
                <w:szCs w:val="20"/>
                <w:lang w:eastAsia="en-GB"/>
              </w:rPr>
              <w:t xml:space="preserve">In 2018 the Sendai Framework Monitor system will launch and all Member States are expected to report data of the previous year(s). </w:t>
            </w:r>
          </w:p>
          <w:p w14:paraId="25248FC9" w14:textId="77777777" w:rsidR="008C6A6C" w:rsidRPr="00C83725" w:rsidRDefault="008C6A6C" w:rsidP="008C6A6C">
            <w:pPr>
              <w:shd w:val="clear" w:color="auto" w:fill="FFFFFF"/>
              <w:spacing w:line="336" w:lineRule="atLeast"/>
              <w:rPr>
                <w:rFonts w:eastAsia="Times New Roman" w:cs="Arial"/>
                <w:color w:val="4A4A4A"/>
                <w:szCs w:val="20"/>
                <w:lang w:eastAsia="en-GB"/>
              </w:rPr>
            </w:pPr>
            <w:r w:rsidRPr="00C83725">
              <w:rPr>
                <w:rFonts w:eastAsia="Times New Roman" w:cs="Arial"/>
                <w:b/>
                <w:bCs/>
                <w:color w:val="4A4A4A"/>
                <w:szCs w:val="20"/>
                <w:lang w:eastAsia="en-GB"/>
              </w:rPr>
              <w:t>Computation Method:</w:t>
            </w:r>
          </w:p>
          <w:p w14:paraId="06ACE079" w14:textId="77777777" w:rsidR="008C6A6C" w:rsidRPr="00C83725" w:rsidRDefault="008C6A6C" w:rsidP="008C6A6C">
            <w:pPr>
              <w:shd w:val="clear" w:color="auto" w:fill="FFFFFF"/>
              <w:rPr>
                <w:rFonts w:eastAsia="Times New Roman" w:cs="Arial"/>
                <w:color w:val="4A4A4A"/>
                <w:szCs w:val="20"/>
                <w:lang w:eastAsia="en-GB"/>
              </w:rPr>
            </w:pPr>
            <w:r w:rsidRPr="00C83725">
              <w:rPr>
                <w:rFonts w:eastAsia="Times New Roman" w:cs="Arial"/>
                <w:color w:val="4A4A4A"/>
                <w:szCs w:val="20"/>
                <w:lang w:eastAsia="en-GB"/>
              </w:rPr>
              <w:t>Member States count the number of local governments that adopt and implement local DRR strategies in line with the national strategy and express it as a percentage of the total number of local governments in the country.</w:t>
            </w:r>
          </w:p>
          <w:p w14:paraId="312C3C41" w14:textId="77777777" w:rsidR="008C6A6C" w:rsidRPr="00C83725" w:rsidRDefault="008C6A6C" w:rsidP="008C6A6C">
            <w:pPr>
              <w:shd w:val="clear" w:color="auto" w:fill="FFFFFF"/>
              <w:rPr>
                <w:rFonts w:eastAsia="Times New Roman" w:cs="Arial"/>
                <w:color w:val="4A4A4A"/>
                <w:szCs w:val="20"/>
                <w:lang w:eastAsia="en-GB"/>
              </w:rPr>
            </w:pPr>
          </w:p>
          <w:p w14:paraId="0910493B" w14:textId="77777777" w:rsidR="008C6A6C" w:rsidRPr="00C83725" w:rsidRDefault="008C6A6C" w:rsidP="008C6A6C">
            <w:pPr>
              <w:shd w:val="clear" w:color="auto" w:fill="FFFFFF"/>
              <w:rPr>
                <w:rFonts w:eastAsia="Times New Roman" w:cs="Arial"/>
                <w:color w:val="4A4A4A"/>
                <w:szCs w:val="20"/>
                <w:lang w:eastAsia="en-GB"/>
              </w:rPr>
            </w:pPr>
            <w:r w:rsidRPr="00C83725">
              <w:rPr>
                <w:rFonts w:eastAsia="Times New Roman" w:cs="Arial"/>
                <w:color w:val="4A4A4A"/>
                <w:szCs w:val="20"/>
                <w:lang w:eastAsia="en-GB"/>
              </w:rPr>
              <w:t>Local governments are determined by the reporting country for this indicator, considering sub-national public administrations with responsibility to develop local disaster risk reduction strategies. It is recommended that countries report on progress made by the lowest level of government accorded the mandate for disaster risk reduction, as the Sendai Framework promotes the adoption and implementation of local disaster risk reduction strategies in every local authority.</w:t>
            </w:r>
          </w:p>
          <w:p w14:paraId="50D61813" w14:textId="77777777" w:rsidR="008C6A6C" w:rsidRPr="00C83725" w:rsidRDefault="008C6A6C" w:rsidP="008C6A6C">
            <w:pPr>
              <w:shd w:val="clear" w:color="auto" w:fill="FFFFFF"/>
              <w:rPr>
                <w:rFonts w:eastAsia="Times New Roman" w:cs="Arial"/>
                <w:color w:val="4A4A4A"/>
                <w:szCs w:val="20"/>
                <w:lang w:eastAsia="en-GB"/>
              </w:rPr>
            </w:pPr>
          </w:p>
          <w:p w14:paraId="40668138" w14:textId="77777777" w:rsidR="008C6A6C" w:rsidRPr="00C83725" w:rsidRDefault="008C6A6C" w:rsidP="008C6A6C">
            <w:pPr>
              <w:shd w:val="clear" w:color="auto" w:fill="FFFFFF"/>
              <w:rPr>
                <w:rFonts w:eastAsia="Times New Roman" w:cs="Arial"/>
                <w:color w:val="4A4A4A"/>
                <w:szCs w:val="20"/>
                <w:lang w:eastAsia="en-GB"/>
              </w:rPr>
            </w:pPr>
            <w:r w:rsidRPr="00C83725">
              <w:rPr>
                <w:rFonts w:eastAsia="Times New Roman" w:cs="Arial"/>
                <w:color w:val="4A4A4A"/>
                <w:szCs w:val="20"/>
                <w:lang w:eastAsia="en-GB"/>
              </w:rPr>
              <w:t>Each Member State will calculate the ratio of the number of local governments with local DRR strategies in line with national strategies and the total number of local governments.</w:t>
            </w:r>
          </w:p>
          <w:p w14:paraId="377825E6" w14:textId="77777777" w:rsidR="008C6A6C" w:rsidRPr="00C83725" w:rsidRDefault="008C6A6C" w:rsidP="008C6A6C">
            <w:pPr>
              <w:shd w:val="clear" w:color="auto" w:fill="FFFFFF"/>
              <w:rPr>
                <w:rFonts w:eastAsia="Times New Roman" w:cs="Arial"/>
                <w:color w:val="4A4A4A"/>
                <w:szCs w:val="20"/>
                <w:lang w:eastAsia="en-GB"/>
              </w:rPr>
            </w:pPr>
          </w:p>
          <w:p w14:paraId="1752B941" w14:textId="77777777" w:rsidR="008C6A6C" w:rsidRPr="00C83725" w:rsidRDefault="008C6A6C" w:rsidP="008C6A6C">
            <w:pPr>
              <w:shd w:val="clear" w:color="auto" w:fill="FFFFFF"/>
              <w:rPr>
                <w:rFonts w:eastAsia="Times New Roman" w:cs="Arial"/>
                <w:color w:val="4A4A4A"/>
                <w:szCs w:val="20"/>
                <w:lang w:eastAsia="en-GB"/>
              </w:rPr>
            </w:pPr>
            <w:r w:rsidRPr="00C83725">
              <w:rPr>
                <w:rFonts w:eastAsia="Times New Roman" w:cs="Arial"/>
                <w:color w:val="4A4A4A"/>
                <w:szCs w:val="20"/>
                <w:lang w:eastAsia="en-GB"/>
              </w:rPr>
              <w:t>Global Average will then be calculated as below through arithmetic average of the data from each Member State.</w:t>
            </w:r>
          </w:p>
          <w:p w14:paraId="5B99BE24" w14:textId="77777777" w:rsidR="008C6A6C" w:rsidRPr="00C83725" w:rsidRDefault="008C6A6C" w:rsidP="008C6A6C">
            <w:pPr>
              <w:shd w:val="clear" w:color="auto" w:fill="FFFFFF"/>
              <w:rPr>
                <w:rFonts w:eastAsia="Times New Roman" w:cs="Arial"/>
                <w:color w:val="4A4A4A"/>
                <w:szCs w:val="20"/>
                <w:lang w:eastAsia="en-GB"/>
              </w:rPr>
            </w:pPr>
          </w:p>
          <w:p w14:paraId="34204884" w14:textId="77777777" w:rsidR="008C6A6C" w:rsidRPr="00C83725" w:rsidRDefault="008C6A6C" w:rsidP="008C6A6C">
            <w:pPr>
              <w:shd w:val="clear" w:color="auto" w:fill="FFFFFF"/>
              <w:rPr>
                <w:rFonts w:eastAsia="Times New Roman" w:cs="Arial"/>
                <w:color w:val="4A4A4A"/>
                <w:szCs w:val="20"/>
                <w:lang w:eastAsia="en-GB"/>
              </w:rPr>
            </w:pPr>
            <w:r w:rsidRPr="00C83725">
              <w:rPr>
                <w:rFonts w:eastAsia="Times New Roman" w:cs="Arial"/>
                <w:color w:val="4A4A4A"/>
                <w:szCs w:val="20"/>
                <w:lang w:eastAsia="en-GB"/>
              </w:rPr>
              <w:t xml:space="preserve"> Further information of the methodology can be obtained in the Technical Guidance (see reference).</w:t>
            </w:r>
          </w:p>
          <w:p w14:paraId="558AB6D6" w14:textId="77777777" w:rsidR="008C6A6C" w:rsidRDefault="008C6A6C" w:rsidP="008C6A6C">
            <w:pPr>
              <w:pStyle w:val="NoSpacing"/>
            </w:pPr>
          </w:p>
        </w:tc>
        <w:tc>
          <w:tcPr>
            <w:tcW w:w="0" w:type="auto"/>
          </w:tcPr>
          <w:p w14:paraId="45950323" w14:textId="77777777" w:rsidR="008C6A6C" w:rsidRPr="001B68BF" w:rsidRDefault="008C6A6C" w:rsidP="008C6A6C">
            <w:pPr>
              <w:pStyle w:val="NoSpacing"/>
              <w:rPr>
                <w:lang w:eastAsia="en-GB"/>
              </w:rPr>
            </w:pPr>
            <w:r w:rsidRPr="001B68BF">
              <w:rPr>
                <w:lang w:eastAsia="en-GB"/>
              </w:rPr>
              <w:lastRenderedPageBreak/>
              <w:t xml:space="preserve">UNISDR conducted the </w:t>
            </w:r>
            <w:r w:rsidRPr="001B68BF">
              <w:rPr>
                <w:i/>
                <w:iCs/>
                <w:lang w:eastAsia="en-GB"/>
              </w:rPr>
              <w:t>Sendai Framework Data Readiness Review</w:t>
            </w:r>
            <w:r w:rsidRPr="001B68BF">
              <w:rPr>
                <w:lang w:eastAsia="en-GB"/>
              </w:rPr>
              <w:t xml:space="preserve"> which 87 Member States responded between February and April in 2017. </w:t>
            </w:r>
          </w:p>
          <w:p w14:paraId="00A635ED" w14:textId="77777777" w:rsidR="008C6A6C" w:rsidRPr="0003673A" w:rsidRDefault="008C6A6C" w:rsidP="008C6A6C">
            <w:pPr>
              <w:pStyle w:val="NoSpacing"/>
            </w:pPr>
          </w:p>
        </w:tc>
        <w:tc>
          <w:tcPr>
            <w:tcW w:w="0" w:type="auto"/>
          </w:tcPr>
          <w:p w14:paraId="036F8145" w14:textId="77777777" w:rsidR="008C6A6C" w:rsidRPr="001B68BF" w:rsidRDefault="008C6A6C" w:rsidP="008C6A6C">
            <w:pPr>
              <w:pStyle w:val="NoSpacing"/>
              <w:rPr>
                <w:lang w:eastAsia="en-GB"/>
              </w:rPr>
            </w:pPr>
            <w:r w:rsidRPr="001B68BF">
              <w:rPr>
                <w:lang w:eastAsia="en-GB"/>
              </w:rPr>
              <w:t xml:space="preserve">National Sendai Framework Focal Points usually represent the coordinating lead institution chairing the National DRR platform which is comprised of special purpose agencies including national disaster agencies, </w:t>
            </w:r>
            <w:r w:rsidRPr="001B68BF">
              <w:rPr>
                <w:lang w:eastAsia="en-GB"/>
              </w:rPr>
              <w:lastRenderedPageBreak/>
              <w:t>civil protection agencies, and meteorological agencies.</w:t>
            </w:r>
          </w:p>
          <w:p w14:paraId="67BEE212" w14:textId="77777777" w:rsidR="008C6A6C" w:rsidRPr="0003673A" w:rsidRDefault="008C6A6C" w:rsidP="008C6A6C">
            <w:pPr>
              <w:pStyle w:val="NoSpacing"/>
            </w:pPr>
          </w:p>
        </w:tc>
        <w:tc>
          <w:tcPr>
            <w:tcW w:w="0" w:type="auto"/>
          </w:tcPr>
          <w:p w14:paraId="4303D42C" w14:textId="33632866" w:rsidR="008C6A6C" w:rsidRDefault="008C6A6C" w:rsidP="008C6A6C">
            <w:pPr>
              <w:spacing w:line="276" w:lineRule="auto"/>
              <w:jc w:val="both"/>
              <w:rPr>
                <w:rFonts w:eastAsia="Times New Roman" w:cs="Times New Roman"/>
                <w:color w:val="000000" w:themeColor="text1"/>
                <w:szCs w:val="20"/>
              </w:rPr>
            </w:pPr>
            <w:r w:rsidRPr="00BC6F10" w:rsidDel="00181979">
              <w:rPr>
                <w:rFonts w:eastAsia="Times New Roman" w:cs="Times New Roman"/>
                <w:color w:val="000000" w:themeColor="text1"/>
                <w:szCs w:val="20"/>
              </w:rPr>
              <w:lastRenderedPageBreak/>
              <w:t xml:space="preserve"> </w:t>
            </w:r>
            <w:r w:rsidRPr="00BC6F10">
              <w:rPr>
                <w:rFonts w:eastAsia="Times New Roman" w:cs="Times New Roman"/>
                <w:color w:val="000000" w:themeColor="text1"/>
                <w:szCs w:val="20"/>
              </w:rPr>
              <w:t xml:space="preserve">(b) </w:t>
            </w:r>
            <w:r>
              <w:rPr>
                <w:rFonts w:eastAsia="Times New Roman" w:cs="Times New Roman"/>
                <w:color w:val="000000" w:themeColor="text1"/>
                <w:szCs w:val="20"/>
              </w:rPr>
              <w:t xml:space="preserve">DDM, </w:t>
            </w:r>
            <w:r w:rsidRPr="00BC6F10">
              <w:rPr>
                <w:rFonts w:eastAsia="Times New Roman" w:cs="Times New Roman"/>
                <w:color w:val="000000" w:themeColor="text1"/>
                <w:szCs w:val="20"/>
              </w:rPr>
              <w:t>MoDMR</w:t>
            </w:r>
          </w:p>
          <w:p w14:paraId="04EF7813" w14:textId="77777777" w:rsidR="008C6A6C" w:rsidRDefault="008C6A6C" w:rsidP="008C6A6C">
            <w:pPr>
              <w:spacing w:line="276" w:lineRule="auto"/>
              <w:jc w:val="both"/>
              <w:rPr>
                <w:rFonts w:eastAsia="Times New Roman" w:cs="Times New Roman"/>
                <w:color w:val="000000" w:themeColor="text1"/>
                <w:szCs w:val="20"/>
              </w:rPr>
            </w:pPr>
          </w:p>
          <w:p w14:paraId="71DE2D71" w14:textId="77777777" w:rsidR="008C6A6C" w:rsidRPr="00BC6F10" w:rsidRDefault="008C6A6C" w:rsidP="008C6A6C">
            <w:pPr>
              <w:spacing w:line="276" w:lineRule="auto"/>
              <w:jc w:val="both"/>
            </w:pPr>
            <w:r w:rsidRPr="00D53B8A">
              <w:rPr>
                <w:szCs w:val="26"/>
              </w:rPr>
              <w:t>Administrative Data</w:t>
            </w:r>
          </w:p>
        </w:tc>
        <w:tc>
          <w:tcPr>
            <w:tcW w:w="0" w:type="auto"/>
          </w:tcPr>
          <w:p w14:paraId="66C1C6E1" w14:textId="05ADD230" w:rsidR="008C6A6C" w:rsidRDefault="008C6A6C" w:rsidP="008C6A6C">
            <w:pPr>
              <w:spacing w:line="276" w:lineRule="auto"/>
              <w:jc w:val="both"/>
              <w:rPr>
                <w:rFonts w:eastAsia="Times New Roman" w:cs="Times New Roman"/>
                <w:color w:val="000000" w:themeColor="text1"/>
                <w:szCs w:val="20"/>
              </w:rPr>
            </w:pPr>
            <w:r w:rsidRPr="00BC6F10" w:rsidDel="00181979">
              <w:rPr>
                <w:rFonts w:eastAsia="Times New Roman" w:cs="Times New Roman"/>
                <w:color w:val="000000" w:themeColor="text1"/>
                <w:szCs w:val="20"/>
              </w:rPr>
              <w:t xml:space="preserve"> </w:t>
            </w:r>
            <w:r w:rsidRPr="00BC6F10">
              <w:rPr>
                <w:rFonts w:eastAsia="Times New Roman" w:cs="Times New Roman"/>
                <w:color w:val="000000" w:themeColor="text1"/>
                <w:szCs w:val="20"/>
              </w:rPr>
              <w:t xml:space="preserve">(b) </w:t>
            </w:r>
            <w:r>
              <w:rPr>
                <w:rFonts w:eastAsia="Times New Roman" w:cs="Times New Roman"/>
                <w:color w:val="000000" w:themeColor="text1"/>
                <w:szCs w:val="20"/>
              </w:rPr>
              <w:t xml:space="preserve">DDM, </w:t>
            </w:r>
            <w:r w:rsidRPr="00BC6F10">
              <w:rPr>
                <w:rFonts w:eastAsia="Times New Roman" w:cs="Times New Roman"/>
                <w:color w:val="000000" w:themeColor="text1"/>
                <w:szCs w:val="20"/>
              </w:rPr>
              <w:t>MoDMR</w:t>
            </w:r>
          </w:p>
          <w:p w14:paraId="32F781FA" w14:textId="77777777" w:rsidR="008C6A6C" w:rsidRDefault="008C6A6C" w:rsidP="008C6A6C">
            <w:pPr>
              <w:spacing w:line="276" w:lineRule="auto"/>
              <w:jc w:val="both"/>
              <w:rPr>
                <w:rFonts w:eastAsia="Times New Roman" w:cs="Times New Roman"/>
                <w:color w:val="000000" w:themeColor="text1"/>
                <w:szCs w:val="20"/>
              </w:rPr>
            </w:pPr>
          </w:p>
          <w:p w14:paraId="5C421E4C" w14:textId="77777777" w:rsidR="008C6A6C" w:rsidRPr="00BC6F10" w:rsidRDefault="008C6A6C" w:rsidP="008C6A6C">
            <w:pPr>
              <w:spacing w:line="276" w:lineRule="auto"/>
              <w:jc w:val="both"/>
            </w:pPr>
            <w:r w:rsidRPr="00D53B8A">
              <w:rPr>
                <w:szCs w:val="26"/>
              </w:rPr>
              <w:t>Administrative Data</w:t>
            </w:r>
          </w:p>
        </w:tc>
        <w:tc>
          <w:tcPr>
            <w:tcW w:w="0" w:type="auto"/>
          </w:tcPr>
          <w:p w14:paraId="6DABAD53" w14:textId="78653102" w:rsidR="0051306D" w:rsidRDefault="0051306D" w:rsidP="008C6A6C">
            <w:pPr>
              <w:ind w:left="970" w:hanging="970"/>
              <w:jc w:val="both"/>
            </w:pPr>
          </w:p>
          <w:p w14:paraId="6F913893" w14:textId="6E25441B" w:rsidR="0051306D" w:rsidRPr="000C4849" w:rsidRDefault="0051306D" w:rsidP="008C6A6C">
            <w:pPr>
              <w:ind w:left="970" w:hanging="970"/>
              <w:jc w:val="both"/>
              <w:rPr>
                <w:color w:val="0070C0"/>
                <w:szCs w:val="20"/>
              </w:rPr>
            </w:pPr>
            <w:r w:rsidRPr="000C4849">
              <w:rPr>
                <w:color w:val="0070C0"/>
                <w:szCs w:val="20"/>
              </w:rPr>
              <w:t>By</w:t>
            </w:r>
            <w:r>
              <w:rPr>
                <w:color w:val="0070C0"/>
                <w:szCs w:val="20"/>
              </w:rPr>
              <w:t xml:space="preserve"> </w:t>
            </w:r>
            <w:r w:rsidRPr="000C4849">
              <w:rPr>
                <w:color w:val="0070C0"/>
                <w:szCs w:val="20"/>
              </w:rPr>
              <w:t>local government</w:t>
            </w:r>
          </w:p>
        </w:tc>
        <w:tc>
          <w:tcPr>
            <w:tcW w:w="0" w:type="auto"/>
          </w:tcPr>
          <w:p w14:paraId="31345FFB" w14:textId="77777777" w:rsidR="008C6A6C" w:rsidRDefault="008C6A6C" w:rsidP="008C6A6C">
            <w:pPr>
              <w:ind w:left="970" w:hanging="970"/>
              <w:jc w:val="both"/>
              <w:rPr>
                <w:color w:val="0070C0"/>
                <w:sz w:val="30"/>
                <w:szCs w:val="30"/>
              </w:rPr>
            </w:pPr>
            <w:r>
              <w:t>Annual</w:t>
            </w:r>
          </w:p>
        </w:tc>
        <w:tc>
          <w:tcPr>
            <w:tcW w:w="0" w:type="auto"/>
          </w:tcPr>
          <w:p w14:paraId="4152EE56" w14:textId="77777777" w:rsidR="008C6A6C" w:rsidRDefault="008C6A6C" w:rsidP="008C6A6C">
            <w:pPr>
              <w:ind w:left="970" w:hanging="970"/>
              <w:jc w:val="both"/>
              <w:rPr>
                <w:color w:val="0070C0"/>
                <w:sz w:val="30"/>
                <w:szCs w:val="30"/>
              </w:rPr>
            </w:pPr>
            <w:r>
              <w:t>Group 1</w:t>
            </w:r>
          </w:p>
        </w:tc>
        <w:tc>
          <w:tcPr>
            <w:tcW w:w="0" w:type="auto"/>
          </w:tcPr>
          <w:p w14:paraId="652FA305" w14:textId="77777777" w:rsidR="008C6A6C" w:rsidRDefault="008C6A6C" w:rsidP="008C6A6C">
            <w:pPr>
              <w:pStyle w:val="NoSpacing"/>
            </w:pPr>
            <w:r>
              <w:t>1</w:t>
            </w:r>
            <w:r w:rsidRPr="00013ACB">
              <w:rPr>
                <w:vertAlign w:val="superscript"/>
              </w:rPr>
              <w:t>st</w:t>
            </w:r>
            <w:r>
              <w:t xml:space="preserve"> Round:</w:t>
            </w:r>
          </w:p>
          <w:p w14:paraId="6F8DE196" w14:textId="77777777" w:rsidR="008C6A6C" w:rsidRDefault="008C6A6C" w:rsidP="008C6A6C">
            <w:pPr>
              <w:pStyle w:val="NoSpacing"/>
            </w:pPr>
            <w:r>
              <w:t>2019</w:t>
            </w:r>
          </w:p>
          <w:p w14:paraId="3114317A" w14:textId="77777777" w:rsidR="008C6A6C" w:rsidRDefault="008C6A6C" w:rsidP="008C6A6C">
            <w:pPr>
              <w:pStyle w:val="NoSpacing"/>
            </w:pPr>
          </w:p>
          <w:p w14:paraId="6EBAE411" w14:textId="77777777" w:rsidR="008C6A6C" w:rsidRDefault="008C6A6C" w:rsidP="008C6A6C">
            <w:pPr>
              <w:pStyle w:val="NoSpacing"/>
            </w:pPr>
            <w:r>
              <w:t>2</w:t>
            </w:r>
            <w:r w:rsidRPr="00013ACB">
              <w:rPr>
                <w:vertAlign w:val="superscript"/>
              </w:rPr>
              <w:t>nd</w:t>
            </w:r>
            <w:r>
              <w:t xml:space="preserve"> Round:</w:t>
            </w:r>
          </w:p>
          <w:p w14:paraId="12CC5CB6" w14:textId="77777777" w:rsidR="008C6A6C" w:rsidRDefault="008C6A6C" w:rsidP="008C6A6C">
            <w:pPr>
              <w:pStyle w:val="NoSpacing"/>
            </w:pPr>
            <w:r>
              <w:t xml:space="preserve"> </w:t>
            </w:r>
            <w:r w:rsidRPr="004C18F9">
              <w:t>December, 2020</w:t>
            </w:r>
          </w:p>
          <w:p w14:paraId="450D6166" w14:textId="77777777" w:rsidR="008C6A6C" w:rsidRDefault="008C6A6C" w:rsidP="008C6A6C">
            <w:pPr>
              <w:pStyle w:val="NoSpacing"/>
            </w:pPr>
          </w:p>
          <w:p w14:paraId="2D5E5122" w14:textId="77777777" w:rsidR="008C6A6C" w:rsidRDefault="008C6A6C" w:rsidP="008C6A6C">
            <w:pPr>
              <w:pStyle w:val="NoSpacing"/>
            </w:pPr>
            <w:r>
              <w:t>3</w:t>
            </w:r>
            <w:r w:rsidRPr="00013ACB">
              <w:rPr>
                <w:vertAlign w:val="superscript"/>
              </w:rPr>
              <w:t>rd</w:t>
            </w:r>
            <w:r>
              <w:t xml:space="preserve"> Round: </w:t>
            </w:r>
          </w:p>
          <w:p w14:paraId="165B5F58" w14:textId="77777777" w:rsidR="008C6A6C" w:rsidRDefault="008C6A6C" w:rsidP="008C6A6C">
            <w:pPr>
              <w:pStyle w:val="NoSpacing"/>
            </w:pPr>
            <w:r>
              <w:t>December, 2021</w:t>
            </w:r>
          </w:p>
          <w:p w14:paraId="4A656C37" w14:textId="77777777" w:rsidR="008C6A6C" w:rsidRDefault="008C6A6C" w:rsidP="008C6A6C">
            <w:pPr>
              <w:pStyle w:val="NoSpacing"/>
            </w:pPr>
          </w:p>
          <w:p w14:paraId="2FF54B21" w14:textId="77777777" w:rsidR="008C6A6C" w:rsidRDefault="008C6A6C" w:rsidP="008C6A6C">
            <w:pPr>
              <w:pStyle w:val="NoSpacing"/>
            </w:pPr>
            <w:r>
              <w:t>4</w:t>
            </w:r>
            <w:r w:rsidRPr="00013ACB">
              <w:rPr>
                <w:vertAlign w:val="superscript"/>
              </w:rPr>
              <w:t>th</w:t>
            </w:r>
            <w:r>
              <w:t xml:space="preserve"> Round: </w:t>
            </w:r>
          </w:p>
          <w:p w14:paraId="704FFFF6" w14:textId="77777777" w:rsidR="008C6A6C" w:rsidRDefault="008C6A6C" w:rsidP="008C6A6C">
            <w:pPr>
              <w:pStyle w:val="NoSpacing"/>
            </w:pPr>
            <w:r>
              <w:t>December, 2022</w:t>
            </w:r>
          </w:p>
          <w:p w14:paraId="481B6B71" w14:textId="77777777" w:rsidR="008C6A6C" w:rsidRDefault="008C6A6C" w:rsidP="008C6A6C">
            <w:pPr>
              <w:pStyle w:val="NoSpacing"/>
            </w:pPr>
          </w:p>
          <w:p w14:paraId="5EF59741" w14:textId="77777777" w:rsidR="008C6A6C" w:rsidRDefault="008C6A6C" w:rsidP="008C6A6C">
            <w:pPr>
              <w:pStyle w:val="NoSpacing"/>
            </w:pPr>
            <w:r>
              <w:t>5</w:t>
            </w:r>
            <w:r w:rsidRPr="00013ACB">
              <w:rPr>
                <w:vertAlign w:val="superscript"/>
              </w:rPr>
              <w:t>th</w:t>
            </w:r>
            <w:r>
              <w:t xml:space="preserve"> </w:t>
            </w:r>
            <w:r>
              <w:lastRenderedPageBreak/>
              <w:t xml:space="preserve">Round: </w:t>
            </w:r>
          </w:p>
          <w:p w14:paraId="0EB88437" w14:textId="77777777" w:rsidR="008C6A6C" w:rsidRDefault="008C6A6C" w:rsidP="008C6A6C">
            <w:pPr>
              <w:pStyle w:val="NoSpacing"/>
            </w:pPr>
            <w:r>
              <w:t>December, 2023</w:t>
            </w:r>
          </w:p>
          <w:p w14:paraId="258E1E07" w14:textId="5D16150F" w:rsidR="008C6A6C" w:rsidRDefault="008C6A6C" w:rsidP="008C6A6C">
            <w:pPr>
              <w:pStyle w:val="NoSpacing"/>
            </w:pPr>
          </w:p>
        </w:tc>
        <w:tc>
          <w:tcPr>
            <w:tcW w:w="0" w:type="auto"/>
          </w:tcPr>
          <w:p w14:paraId="5822C2A4" w14:textId="77777777" w:rsidR="008C6A6C" w:rsidRDefault="008C6A6C" w:rsidP="008C6A6C">
            <w:pPr>
              <w:pStyle w:val="NoSpacing"/>
            </w:pPr>
            <w:r>
              <w:lastRenderedPageBreak/>
              <w:t>Reviewed at 6th IAEG-SDG meeting (classified as Tier II)</w:t>
            </w:r>
          </w:p>
          <w:p w14:paraId="4891EE16" w14:textId="77777777" w:rsidR="008C6A6C" w:rsidRDefault="008C6A6C" w:rsidP="008C6A6C">
            <w:pPr>
              <w:pStyle w:val="NoSpacing"/>
            </w:pPr>
          </w:p>
          <w:p w14:paraId="21679A09" w14:textId="3332B9B1" w:rsidR="008C6A6C" w:rsidRDefault="008C6A6C" w:rsidP="008C6A6C">
            <w:pPr>
              <w:pStyle w:val="NoSpacing"/>
            </w:pPr>
            <w:r>
              <w:t xml:space="preserve">Sendai modification; Reviewed at 5th IAEG-SDG meeting (classified as </w:t>
            </w:r>
            <w:r w:rsidR="006B621F">
              <w:t>TBD</w:t>
            </w:r>
            <w:r>
              <w:t>)</w:t>
            </w:r>
          </w:p>
          <w:p w14:paraId="1E8D0F28" w14:textId="77777777" w:rsidR="008C6A6C" w:rsidRDefault="008C6A6C" w:rsidP="008C6A6C">
            <w:pPr>
              <w:pStyle w:val="NoSpacing"/>
            </w:pPr>
          </w:p>
          <w:p w14:paraId="248B3ABD" w14:textId="60502D6C" w:rsidR="008C6A6C" w:rsidRDefault="008C6A6C">
            <w:pPr>
              <w:pStyle w:val="NoSpacing"/>
            </w:pPr>
            <w:r>
              <w:t>1.5.4</w:t>
            </w:r>
            <w:r w:rsidR="003353E6">
              <w:t xml:space="preserve"> &amp; </w:t>
            </w:r>
            <w:r>
              <w:t>11.b.2</w:t>
            </w:r>
            <w:r w:rsidR="003353E6">
              <w:t xml:space="preserve"> </w:t>
            </w:r>
            <w:r>
              <w:t>are repeat</w:t>
            </w:r>
            <w:r w:rsidR="003353E6">
              <w:t>ed</w:t>
            </w:r>
          </w:p>
        </w:tc>
      </w:tr>
      <w:tr w:rsidR="000618B2" w14:paraId="45454C57" w14:textId="77777777" w:rsidTr="00D52BCB">
        <w:tc>
          <w:tcPr>
            <w:tcW w:w="0" w:type="auto"/>
            <w:gridSpan w:val="13"/>
          </w:tcPr>
          <w:p w14:paraId="16E75F72" w14:textId="77777777" w:rsidR="000618B2" w:rsidRDefault="000618B2" w:rsidP="008C6A6C">
            <w:pPr>
              <w:jc w:val="both"/>
              <w:rPr>
                <w:color w:val="0070C0"/>
                <w:sz w:val="48"/>
                <w:szCs w:val="48"/>
              </w:rPr>
            </w:pPr>
            <w:r>
              <w:rPr>
                <w:color w:val="0070C0"/>
                <w:sz w:val="30"/>
                <w:szCs w:val="30"/>
              </w:rPr>
              <w:lastRenderedPageBreak/>
              <w:t xml:space="preserve">Target </w:t>
            </w:r>
            <w:r w:rsidRPr="00F00A89">
              <w:rPr>
                <w:color w:val="0070C0"/>
                <w:sz w:val="30"/>
                <w:szCs w:val="30"/>
              </w:rPr>
              <w:t>13.2 Integrate climate change measures into national policies, strategies and planning</w:t>
            </w:r>
          </w:p>
        </w:tc>
      </w:tr>
      <w:tr w:rsidR="008C6A6C" w14:paraId="1718F4EF" w14:textId="77777777" w:rsidTr="00A64F0D">
        <w:tc>
          <w:tcPr>
            <w:tcW w:w="0" w:type="auto"/>
          </w:tcPr>
          <w:p w14:paraId="0E8E7ABA" w14:textId="77777777" w:rsidR="008C6A6C" w:rsidRDefault="008C6A6C" w:rsidP="008C6A6C">
            <w:pPr>
              <w:pStyle w:val="NoSpacing"/>
            </w:pPr>
            <w:r w:rsidRPr="0055666E">
              <w:t>13.2.1 Number of countries with nationally determined contributions, long-term strategies, national adaptation plans, strategies as reported in adaptation communicatio</w:t>
            </w:r>
            <w:r w:rsidRPr="0055666E">
              <w:lastRenderedPageBreak/>
              <w:t>ns and national communications</w:t>
            </w:r>
          </w:p>
        </w:tc>
        <w:tc>
          <w:tcPr>
            <w:tcW w:w="0" w:type="auto"/>
          </w:tcPr>
          <w:p w14:paraId="0B06F23D" w14:textId="77777777" w:rsidR="008C6A6C" w:rsidRDefault="008C6A6C" w:rsidP="008C6A6C">
            <w:pPr>
              <w:ind w:left="970" w:hanging="970"/>
              <w:jc w:val="both"/>
              <w:rPr>
                <w:color w:val="0070C0"/>
                <w:sz w:val="30"/>
                <w:szCs w:val="30"/>
              </w:rPr>
            </w:pPr>
          </w:p>
          <w:p w14:paraId="2487B846" w14:textId="77777777" w:rsidR="008C6A6C" w:rsidRDefault="008C6A6C" w:rsidP="008C6A6C">
            <w:pPr>
              <w:rPr>
                <w:color w:val="0070C0"/>
                <w:sz w:val="30"/>
                <w:szCs w:val="30"/>
              </w:rPr>
            </w:pPr>
          </w:p>
        </w:tc>
        <w:tc>
          <w:tcPr>
            <w:tcW w:w="0" w:type="auto"/>
          </w:tcPr>
          <w:p w14:paraId="05B50C0E" w14:textId="7EEB7028" w:rsidR="008C6A6C" w:rsidRDefault="00754676" w:rsidP="008C6A6C">
            <w:pPr>
              <w:pStyle w:val="NoSpacing"/>
            </w:pPr>
            <w:r>
              <w:t>TBD</w:t>
            </w:r>
          </w:p>
        </w:tc>
        <w:tc>
          <w:tcPr>
            <w:tcW w:w="0" w:type="auto"/>
          </w:tcPr>
          <w:p w14:paraId="0D9C3886" w14:textId="77777777" w:rsidR="008C6A6C" w:rsidRPr="00796D26" w:rsidRDefault="008C6A6C" w:rsidP="008C6A6C">
            <w:pPr>
              <w:spacing w:after="66"/>
              <w:ind w:right="-15"/>
              <w:rPr>
                <w:szCs w:val="20"/>
              </w:rPr>
            </w:pPr>
            <w:r w:rsidRPr="00796D26">
              <w:rPr>
                <w:rFonts w:eastAsia="Calibri" w:cs="Calibri"/>
                <w:b/>
                <w:color w:val="4A4A4A"/>
                <w:szCs w:val="20"/>
              </w:rPr>
              <w:t>Definitions:</w:t>
            </w:r>
            <w:r w:rsidRPr="00796D26">
              <w:rPr>
                <w:color w:val="4A4A4A"/>
                <w:szCs w:val="20"/>
              </w:rPr>
              <w:t xml:space="preserve"> </w:t>
            </w:r>
          </w:p>
          <w:p w14:paraId="3D313270" w14:textId="77777777" w:rsidR="008C6A6C" w:rsidRPr="00796D26" w:rsidRDefault="008C6A6C" w:rsidP="008C6A6C">
            <w:pPr>
              <w:spacing w:after="66"/>
              <w:ind w:right="-15"/>
              <w:rPr>
                <w:szCs w:val="20"/>
              </w:rPr>
            </w:pPr>
            <w:r w:rsidRPr="00796D26">
              <w:rPr>
                <w:rFonts w:eastAsia="Calibri" w:cs="Calibri"/>
                <w:b/>
                <w:color w:val="4A4A4A"/>
                <w:szCs w:val="20"/>
              </w:rPr>
              <w:t xml:space="preserve">NDCs </w:t>
            </w:r>
          </w:p>
          <w:p w14:paraId="2368D0A6" w14:textId="77777777" w:rsidR="008C6A6C" w:rsidRPr="00796D26" w:rsidRDefault="008C6A6C" w:rsidP="008C6A6C">
            <w:pPr>
              <w:rPr>
                <w:szCs w:val="20"/>
              </w:rPr>
            </w:pPr>
            <w:r w:rsidRPr="00796D26">
              <w:rPr>
                <w:szCs w:val="20"/>
              </w:rPr>
              <w:t xml:space="preserve">The Paris Agreement requires each Party to prepare, communicate and maintain successive </w:t>
            </w:r>
            <w:r w:rsidRPr="00796D26">
              <w:rPr>
                <w:rFonts w:eastAsia="Calibri" w:cs="Calibri"/>
                <w:i/>
                <w:szCs w:val="20"/>
              </w:rPr>
              <w:t>nationally determined contributions (NDCs)</w:t>
            </w:r>
            <w:r w:rsidRPr="00796D26">
              <w:rPr>
                <w:szCs w:val="20"/>
              </w:rPr>
              <w:t xml:space="preserve"> including mitigation, adaptation and support measures.  </w:t>
            </w:r>
          </w:p>
          <w:p w14:paraId="0719419B" w14:textId="77777777" w:rsidR="008C6A6C" w:rsidRPr="00796D26" w:rsidRDefault="008C6A6C" w:rsidP="008C6A6C">
            <w:pPr>
              <w:rPr>
                <w:szCs w:val="20"/>
              </w:rPr>
            </w:pPr>
            <w:r w:rsidRPr="00796D26">
              <w:rPr>
                <w:szCs w:val="20"/>
              </w:rPr>
              <w:t xml:space="preserve">The </w:t>
            </w:r>
            <w:r w:rsidRPr="00796D26">
              <w:rPr>
                <w:color w:val="0000FF"/>
                <w:szCs w:val="20"/>
                <w:u w:val="single" w:color="0000FF"/>
              </w:rPr>
              <w:t>Paris Agreement</w:t>
            </w:r>
            <w:r w:rsidRPr="00796D26">
              <w:rPr>
                <w:szCs w:val="20"/>
              </w:rPr>
              <w:t xml:space="preserve"> (Article 4, paragraph 2) requires each Party to prepare, communicate and maintain successive nationally determined contributions (NDCs) that it intends to achieve. Parties shall pursue domestic mitigation measures, with the aim of achieving the objectives of such contributions. </w:t>
            </w:r>
          </w:p>
          <w:p w14:paraId="6EF68DDB" w14:textId="77777777" w:rsidR="008C6A6C" w:rsidRPr="00796D26" w:rsidRDefault="008C6A6C" w:rsidP="008C6A6C">
            <w:pPr>
              <w:spacing w:after="100"/>
              <w:rPr>
                <w:szCs w:val="20"/>
              </w:rPr>
            </w:pPr>
            <w:r w:rsidRPr="00796D26">
              <w:rPr>
                <w:szCs w:val="20"/>
              </w:rPr>
              <w:t xml:space="preserve">Starting in 2023 and then every five years, governments will take stock of the implementation of the Agreement to assess the collective progress towards achieving the purpose of the Agreement and its long-term goals. The outcome of the global stocktake (GST) will inform the preparation of subsequent NDCs, in order to allow for increased ambition and climate action to achieve the </w:t>
            </w:r>
          </w:p>
          <w:p w14:paraId="03ACED65" w14:textId="77777777" w:rsidR="008C6A6C" w:rsidRPr="00796D26" w:rsidRDefault="008C6A6C" w:rsidP="008C6A6C">
            <w:pPr>
              <w:spacing w:after="31"/>
              <w:rPr>
                <w:szCs w:val="20"/>
              </w:rPr>
            </w:pPr>
            <w:r w:rsidRPr="00796D26">
              <w:rPr>
                <w:noProof/>
                <w:szCs w:val="20"/>
                <w:lang w:bidi="bn-BD"/>
              </w:rPr>
              <mc:AlternateContent>
                <mc:Choice Requires="wpg">
                  <w:drawing>
                    <wp:inline distT="0" distB="0" distL="0" distR="0" wp14:anchorId="23BC8094" wp14:editId="4B5DF306">
                      <wp:extent cx="1719072" cy="9144"/>
                      <wp:effectExtent l="0" t="0" r="0" b="0"/>
                      <wp:docPr id="4937" name="Group 4937"/>
                      <wp:cNvGraphicFramePr/>
                      <a:graphic xmlns:a="http://schemas.openxmlformats.org/drawingml/2006/main">
                        <a:graphicData uri="http://schemas.microsoft.com/office/word/2010/wordprocessingGroup">
                          <wpg:wgp>
                            <wpg:cNvGrpSpPr/>
                            <wpg:grpSpPr>
                              <a:xfrm>
                                <a:off x="0" y="0"/>
                                <a:ext cx="1719072" cy="9144"/>
                                <a:chOff x="0" y="0"/>
                                <a:chExt cx="1719072" cy="9144"/>
                              </a:xfrm>
                            </wpg:grpSpPr>
                            <wps:wsp>
                              <wps:cNvPr id="6784" name="Shape 6784"/>
                              <wps:cNvSpPr/>
                              <wps:spPr>
                                <a:xfrm>
                                  <a:off x="0" y="0"/>
                                  <a:ext cx="1719072" cy="9144"/>
                                </a:xfrm>
                                <a:custGeom>
                                  <a:avLst/>
                                  <a:gdLst/>
                                  <a:ahLst/>
                                  <a:cxnLst/>
                                  <a:rect l="0" t="0" r="0" b="0"/>
                                  <a:pathLst>
                                    <a:path w="1719072" h="9144">
                                      <a:moveTo>
                                        <a:pt x="0" y="0"/>
                                      </a:moveTo>
                                      <a:lnTo>
                                        <a:pt x="1719072" y="0"/>
                                      </a:lnTo>
                                      <a:lnTo>
                                        <a:pt x="1719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840303" id="Group 4937" o:spid="_x0000_s1026" style="width:135.35pt;height:.7pt;mso-position-horizontal-relative:char;mso-position-vertical-relative:line" coordsize="171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">
                      <v:shape id="Shape 6784" o:spid="_x0000_s1027" style="position:absolute;width:17190;height:91;visibility:visible;mso-wrap-style:square;v-text-anchor:top" coordsize="1719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XcMA&#10;AADdAAAADwAAAGRycy9kb3ducmV2LnhtbESPT4vCMBTE7wv7HcITvK2pIlq6RikFQcGLf/D8aN62&#10;pc1LSbK1fnuzsOBxmJnfMJvdaDoxkPONZQXzWQKCuLS64UrB7br/SkH4gKyxs0wKnuRht/382GCm&#10;7YPPNFxCJSKEfYYK6hD6TEpf1mTQz2xPHL0f6wyGKF0ltcNHhJtOLpJkJQ02HBdq7KmoqWwvv0aB&#10;ex5ly+1dl6fboRhS3eT5sVBqOhnzbxCBxvAO/7cPWsFqnS7h701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VXcMAAADdAAAADwAAAAAAAAAAAAAAAACYAgAAZHJzL2Rv&#10;d25yZXYueG1sUEsFBgAAAAAEAAQA9QAAAIgDAAAAAA==&#10;" path="m,l1719072,r,9144l,9144,,e" fillcolor="black" stroked="f" strokeweight="0">
                        <v:stroke miterlimit="83231f" joinstyle="miter"/>
                        <v:path arrowok="t" textboxrect="0,0,1719072,9144"/>
                      </v:shape>
                      <w10:anchorlock/>
                    </v:group>
                  </w:pict>
                </mc:Fallback>
              </mc:AlternateContent>
            </w:r>
            <w:r w:rsidRPr="00796D26">
              <w:rPr>
                <w:szCs w:val="20"/>
              </w:rPr>
              <w:t xml:space="preserve"> </w:t>
            </w:r>
          </w:p>
          <w:p w14:paraId="1C1BDF49" w14:textId="77777777" w:rsidR="008C6A6C" w:rsidRPr="00796D26" w:rsidRDefault="008C6A6C" w:rsidP="008C6A6C">
            <w:pPr>
              <w:spacing w:line="258" w:lineRule="auto"/>
              <w:rPr>
                <w:szCs w:val="20"/>
              </w:rPr>
            </w:pPr>
            <w:r w:rsidRPr="00796D26">
              <w:rPr>
                <w:szCs w:val="20"/>
                <w:vertAlign w:val="superscript"/>
              </w:rPr>
              <w:t>1</w:t>
            </w:r>
            <w:r w:rsidRPr="00796D26">
              <w:rPr>
                <w:szCs w:val="20"/>
              </w:rPr>
              <w:t xml:space="preserve"> Suggest re-formulation of this indicator, as explained in my intervention at the last IAEG-SDGs meeting – ‘Number of countries with nationally determined contributions (NDCs), national adaptation plans (NAPs), longterm strategies, and </w:t>
            </w:r>
            <w:r w:rsidRPr="00796D26">
              <w:rPr>
                <w:szCs w:val="20"/>
              </w:rPr>
              <w:lastRenderedPageBreak/>
              <w:t xml:space="preserve">adaptation communications, as reported to the UNFCCC secretariat’. </w:t>
            </w:r>
          </w:p>
          <w:p w14:paraId="7451B1B5" w14:textId="77777777" w:rsidR="008C6A6C" w:rsidRPr="00796D26" w:rsidRDefault="008C6A6C" w:rsidP="008C6A6C">
            <w:pPr>
              <w:ind w:right="-15"/>
              <w:rPr>
                <w:szCs w:val="20"/>
              </w:rPr>
            </w:pPr>
            <w:proofErr w:type="gramStart"/>
            <w:r w:rsidRPr="00796D26">
              <w:rPr>
                <w:szCs w:val="20"/>
              </w:rPr>
              <w:t>purpose</w:t>
            </w:r>
            <w:proofErr w:type="gramEnd"/>
            <w:r w:rsidRPr="00796D26">
              <w:rPr>
                <w:szCs w:val="20"/>
              </w:rPr>
              <w:t xml:space="preserve"> of the Paris Agreement and its long-term goals. </w:t>
            </w:r>
            <w:r w:rsidRPr="00796D26">
              <w:rPr>
                <w:color w:val="0000FF"/>
                <w:szCs w:val="20"/>
                <w:u w:val="single" w:color="0000FF"/>
              </w:rPr>
              <w:t>https://unfccc.int/process-andmeetings/the-paris-agreement/nationally-determined-contributions-ndcs</w:t>
            </w:r>
            <w:r w:rsidRPr="00796D26">
              <w:rPr>
                <w:szCs w:val="20"/>
              </w:rPr>
              <w:t xml:space="preserve"> </w:t>
            </w:r>
          </w:p>
          <w:p w14:paraId="7D1B63D0" w14:textId="77777777" w:rsidR="008C6A6C" w:rsidRPr="00796D26" w:rsidRDefault="008C6A6C" w:rsidP="008C6A6C">
            <w:pPr>
              <w:ind w:right="-15"/>
              <w:rPr>
                <w:szCs w:val="20"/>
              </w:rPr>
            </w:pPr>
            <w:r w:rsidRPr="00796D26">
              <w:rPr>
                <w:szCs w:val="20"/>
              </w:rPr>
              <w:t xml:space="preserve">NDC interim registry </w:t>
            </w:r>
            <w:r w:rsidRPr="00796D26">
              <w:rPr>
                <w:color w:val="0000FF"/>
                <w:szCs w:val="20"/>
                <w:u w:val="single" w:color="0000FF"/>
              </w:rPr>
              <w:t>https://www4.unfccc.int/sites/ndcstaging/Pages/Home.aspx</w:t>
            </w:r>
            <w:r w:rsidRPr="00796D26">
              <w:rPr>
                <w:szCs w:val="20"/>
              </w:rPr>
              <w:t xml:space="preserve">  </w:t>
            </w:r>
          </w:p>
          <w:p w14:paraId="1ED11488" w14:textId="77777777" w:rsidR="008C6A6C" w:rsidRPr="00796D26" w:rsidRDefault="008C6A6C" w:rsidP="008C6A6C">
            <w:pPr>
              <w:spacing w:after="65"/>
              <w:rPr>
                <w:szCs w:val="20"/>
              </w:rPr>
            </w:pPr>
            <w:r w:rsidRPr="00796D26">
              <w:rPr>
                <w:color w:val="4A4A4A"/>
                <w:szCs w:val="20"/>
              </w:rPr>
              <w:t xml:space="preserve"> </w:t>
            </w:r>
          </w:p>
          <w:p w14:paraId="560D6385" w14:textId="77777777" w:rsidR="008C6A6C" w:rsidRPr="00796D26" w:rsidRDefault="008C6A6C" w:rsidP="008C6A6C">
            <w:pPr>
              <w:spacing w:after="66"/>
              <w:ind w:right="-15"/>
              <w:rPr>
                <w:szCs w:val="20"/>
              </w:rPr>
            </w:pPr>
            <w:r w:rsidRPr="00796D26">
              <w:rPr>
                <w:rFonts w:eastAsia="Calibri" w:cs="Calibri"/>
                <w:b/>
                <w:color w:val="4A4A4A"/>
                <w:szCs w:val="20"/>
              </w:rPr>
              <w:t xml:space="preserve">NAPs </w:t>
            </w:r>
          </w:p>
          <w:p w14:paraId="5AAFD568" w14:textId="77777777" w:rsidR="008C6A6C" w:rsidRPr="00796D26" w:rsidRDefault="008C6A6C" w:rsidP="008C6A6C">
            <w:pPr>
              <w:spacing w:after="71"/>
              <w:rPr>
                <w:szCs w:val="20"/>
              </w:rPr>
            </w:pPr>
            <w:r w:rsidRPr="00796D26">
              <w:rPr>
                <w:szCs w:val="20"/>
              </w:rPr>
              <w:t xml:space="preserve">The </w:t>
            </w:r>
            <w:r w:rsidRPr="00796D26">
              <w:rPr>
                <w:rFonts w:eastAsia="Calibri" w:cs="Calibri"/>
                <w:i/>
                <w:szCs w:val="20"/>
              </w:rPr>
              <w:t>national adaptation plan (NAP)</w:t>
            </w:r>
            <w:r w:rsidRPr="00796D26">
              <w:rPr>
                <w:szCs w:val="20"/>
              </w:rPr>
              <w:t xml:space="preserve"> process was established under the </w:t>
            </w:r>
            <w:r w:rsidRPr="00796D26">
              <w:rPr>
                <w:color w:val="0000FF"/>
                <w:szCs w:val="20"/>
                <w:u w:val="single" w:color="0000FF"/>
              </w:rPr>
              <w:t>Cancun Adaptation</w:t>
            </w:r>
            <w:r w:rsidRPr="00796D26">
              <w:rPr>
                <w:color w:val="0000FF"/>
                <w:szCs w:val="20"/>
              </w:rPr>
              <w:t xml:space="preserve"> </w:t>
            </w:r>
            <w:r w:rsidRPr="00796D26">
              <w:rPr>
                <w:color w:val="0000FF"/>
                <w:szCs w:val="20"/>
                <w:u w:val="single" w:color="0000FF"/>
              </w:rPr>
              <w:t>Framework</w:t>
            </w:r>
            <w:r w:rsidRPr="00796D26">
              <w:rPr>
                <w:szCs w:val="20"/>
              </w:rPr>
              <w:t xml:space="preserve"> (CAF). It enables Parties to formulate and implement </w:t>
            </w:r>
            <w:r w:rsidRPr="00796D26">
              <w:rPr>
                <w:rFonts w:eastAsia="Calibri" w:cs="Calibri"/>
                <w:i/>
                <w:szCs w:val="20"/>
              </w:rPr>
              <w:t>national adaptation plans (NAPs)</w:t>
            </w:r>
            <w:r w:rsidRPr="00796D26">
              <w:rPr>
                <w:szCs w:val="20"/>
              </w:rPr>
              <w:t xml:space="preserve"> as a means of identifying medium- and long-term adaptation needs and developing and implementing strategies and programmes to address those needs. It is a continuous, progressive and iterative process which follows a country-driven, gender-sensitive, participatory and fully transparent approach supported by technical guidelines and up to USD 3 million per developing country through the Green Climate Fund Readiness and Preparatory Support Programme, intended to support the formulation of NAPs. Technical guidelines for the NAP process are available at &lt;</w:t>
            </w:r>
            <w:r w:rsidRPr="00796D26">
              <w:rPr>
                <w:color w:val="0000FF"/>
                <w:szCs w:val="20"/>
                <w:u w:val="single" w:color="0000FF"/>
              </w:rPr>
              <w:t>unfccc.int</w:t>
            </w:r>
            <w:r w:rsidRPr="00796D26">
              <w:rPr>
                <w:szCs w:val="20"/>
              </w:rPr>
              <w:t>&gt;; NAPs received by the UNFCCC secretariat are posted at &lt;</w:t>
            </w:r>
            <w:r w:rsidRPr="00796D26">
              <w:rPr>
                <w:color w:val="0000FF"/>
                <w:szCs w:val="20"/>
                <w:u w:val="single" w:color="0000FF"/>
              </w:rPr>
              <w:t>unfccc.int</w:t>
            </w:r>
            <w:r w:rsidRPr="00796D26">
              <w:rPr>
                <w:szCs w:val="20"/>
              </w:rPr>
              <w:t xml:space="preserve">&gt;. </w:t>
            </w:r>
          </w:p>
          <w:p w14:paraId="269AECCC" w14:textId="77777777" w:rsidR="008C6A6C" w:rsidRPr="00796D26" w:rsidRDefault="008C6A6C" w:rsidP="008C6A6C">
            <w:pPr>
              <w:spacing w:after="63"/>
              <w:rPr>
                <w:szCs w:val="20"/>
              </w:rPr>
            </w:pPr>
            <w:r w:rsidRPr="00796D26">
              <w:rPr>
                <w:color w:val="4A4A4A"/>
                <w:szCs w:val="20"/>
              </w:rPr>
              <w:t xml:space="preserve"> </w:t>
            </w:r>
          </w:p>
          <w:p w14:paraId="207B04CF" w14:textId="77777777" w:rsidR="008C6A6C" w:rsidRPr="00796D26" w:rsidRDefault="008C6A6C" w:rsidP="008C6A6C">
            <w:pPr>
              <w:spacing w:after="66"/>
              <w:ind w:right="-15"/>
              <w:rPr>
                <w:szCs w:val="20"/>
              </w:rPr>
            </w:pPr>
            <w:r w:rsidRPr="00796D26">
              <w:rPr>
                <w:rFonts w:eastAsia="Calibri" w:cs="Calibri"/>
                <w:b/>
                <w:color w:val="4A4A4A"/>
                <w:szCs w:val="20"/>
              </w:rPr>
              <w:t>Long term strategies</w:t>
            </w:r>
            <w:r w:rsidRPr="00796D26">
              <w:rPr>
                <w:rFonts w:eastAsia="Calibri" w:cs="Calibri"/>
                <w:b/>
                <w:szCs w:val="20"/>
              </w:rPr>
              <w:t xml:space="preserve">  </w:t>
            </w:r>
          </w:p>
          <w:p w14:paraId="2A74439B" w14:textId="77777777" w:rsidR="008C6A6C" w:rsidRPr="00796D26" w:rsidRDefault="008C6A6C" w:rsidP="008C6A6C">
            <w:pPr>
              <w:spacing w:after="69"/>
              <w:rPr>
                <w:szCs w:val="20"/>
              </w:rPr>
            </w:pPr>
            <w:r w:rsidRPr="00796D26">
              <w:rPr>
                <w:szCs w:val="20"/>
              </w:rPr>
              <w:t xml:space="preserve">Under the Paris Agreement, all Parties should further strive to formulate and </w:t>
            </w:r>
            <w:r w:rsidRPr="00796D26">
              <w:rPr>
                <w:rFonts w:eastAsia="Calibri" w:cs="Calibri"/>
                <w:i/>
                <w:szCs w:val="20"/>
              </w:rPr>
              <w:t>communicate longterm low greenhouse gas emission development strategies</w:t>
            </w:r>
            <w:r w:rsidRPr="00796D26">
              <w:rPr>
                <w:szCs w:val="20"/>
              </w:rPr>
              <w:t xml:space="preserve"> to provide a context and integrated longterm view to their NDCs.  </w:t>
            </w:r>
          </w:p>
          <w:p w14:paraId="495252F2" w14:textId="77777777" w:rsidR="008C6A6C" w:rsidRPr="00796D26" w:rsidRDefault="008C6A6C" w:rsidP="008C6A6C">
            <w:pPr>
              <w:spacing w:after="71"/>
              <w:rPr>
                <w:szCs w:val="20"/>
              </w:rPr>
            </w:pPr>
            <w:r w:rsidRPr="00796D26">
              <w:rPr>
                <w:szCs w:val="20"/>
              </w:rPr>
              <w:t xml:space="preserve">In accordance with Article 4, paragraph 19, of the Paris Agreement, all Parties should strive to formulate and communicate long-term low greenhouse gas emission development strategies, mindful of Article 2 taking into account their common but differentiated responsibilities and respective capabilities, in the light of different national circumstances. </w:t>
            </w:r>
          </w:p>
          <w:p w14:paraId="7644EC3F" w14:textId="77777777" w:rsidR="008C6A6C" w:rsidRPr="00796D26" w:rsidRDefault="008C6A6C" w:rsidP="008C6A6C">
            <w:pPr>
              <w:spacing w:after="71"/>
              <w:rPr>
                <w:szCs w:val="20"/>
              </w:rPr>
            </w:pPr>
            <w:r w:rsidRPr="00796D26">
              <w:rPr>
                <w:szCs w:val="20"/>
              </w:rPr>
              <w:t>The COP, by its decision 1/CP 21, paragraph 35, invited Parties to communicate, by 2020, to the secretariat mid-century, long-term low greenhouse gas emission development strategies in accordance with Article 4, paragraph 19, of the Agreement. Further information is available at &lt;</w:t>
            </w:r>
            <w:r w:rsidRPr="00796D26">
              <w:rPr>
                <w:color w:val="0000FF"/>
                <w:szCs w:val="20"/>
                <w:u w:val="single" w:color="0000FF"/>
              </w:rPr>
              <w:t>unfccc.int</w:t>
            </w:r>
            <w:r w:rsidRPr="00796D26">
              <w:rPr>
                <w:szCs w:val="20"/>
              </w:rPr>
              <w:t xml:space="preserve">&gt; </w:t>
            </w:r>
          </w:p>
          <w:p w14:paraId="4D282106" w14:textId="77777777" w:rsidR="008C6A6C" w:rsidRPr="00796D26" w:rsidRDefault="008C6A6C" w:rsidP="008C6A6C">
            <w:pPr>
              <w:spacing w:after="68"/>
              <w:rPr>
                <w:szCs w:val="20"/>
              </w:rPr>
            </w:pPr>
            <w:r w:rsidRPr="00796D26">
              <w:rPr>
                <w:szCs w:val="20"/>
              </w:rPr>
              <w:t xml:space="preserve"> </w:t>
            </w:r>
          </w:p>
          <w:p w14:paraId="1787D200" w14:textId="77777777" w:rsidR="008C6A6C" w:rsidRPr="00796D26" w:rsidRDefault="008C6A6C" w:rsidP="008C6A6C">
            <w:pPr>
              <w:spacing w:after="68"/>
              <w:rPr>
                <w:szCs w:val="20"/>
              </w:rPr>
            </w:pPr>
            <w:r w:rsidRPr="00796D26">
              <w:rPr>
                <w:color w:val="4A4A4A"/>
                <w:szCs w:val="20"/>
              </w:rPr>
              <w:t xml:space="preserve"> </w:t>
            </w:r>
          </w:p>
          <w:p w14:paraId="50901647" w14:textId="77777777" w:rsidR="008C6A6C" w:rsidRPr="00796D26" w:rsidRDefault="008C6A6C" w:rsidP="008C6A6C">
            <w:pPr>
              <w:spacing w:after="66"/>
              <w:ind w:right="-15"/>
              <w:rPr>
                <w:szCs w:val="20"/>
              </w:rPr>
            </w:pPr>
            <w:r w:rsidRPr="00796D26">
              <w:rPr>
                <w:rFonts w:eastAsia="Calibri" w:cs="Calibri"/>
                <w:b/>
                <w:color w:val="4A4A4A"/>
                <w:szCs w:val="20"/>
              </w:rPr>
              <w:t xml:space="preserve">Adaptation communications </w:t>
            </w:r>
          </w:p>
          <w:p w14:paraId="42B3782F" w14:textId="77777777" w:rsidR="008C6A6C" w:rsidRPr="00796D26" w:rsidRDefault="008C6A6C" w:rsidP="008C6A6C">
            <w:pPr>
              <w:rPr>
                <w:szCs w:val="20"/>
              </w:rPr>
            </w:pPr>
            <w:r w:rsidRPr="00796D26">
              <w:rPr>
                <w:szCs w:val="20"/>
              </w:rPr>
              <w:t>Also, each Party should, as appropriate, submit and update periodically an adaptation communication, which may include its priorities, implementation and support needs, plans and actions. The adaptation communications will be recorded in a public registry maintained by the secretariat, available at &lt;</w:t>
            </w:r>
            <w:r w:rsidRPr="00796D26">
              <w:rPr>
                <w:color w:val="0000FF"/>
                <w:szCs w:val="20"/>
                <w:u w:val="single" w:color="0000FF"/>
              </w:rPr>
              <w:t>unfccc.int</w:t>
            </w:r>
            <w:r w:rsidRPr="00796D26">
              <w:rPr>
                <w:szCs w:val="20"/>
              </w:rPr>
              <w:t xml:space="preserve">&gt;. </w:t>
            </w:r>
          </w:p>
          <w:p w14:paraId="7A168D78" w14:textId="77777777" w:rsidR="008C6A6C" w:rsidRPr="00796D26" w:rsidRDefault="008C6A6C" w:rsidP="008C6A6C">
            <w:pPr>
              <w:spacing w:after="65"/>
              <w:rPr>
                <w:szCs w:val="20"/>
              </w:rPr>
            </w:pPr>
            <w:r w:rsidRPr="00796D26">
              <w:rPr>
                <w:color w:val="4A4A4A"/>
                <w:szCs w:val="20"/>
              </w:rPr>
              <w:t xml:space="preserve"> </w:t>
            </w:r>
          </w:p>
          <w:p w14:paraId="4E3E3219" w14:textId="77777777" w:rsidR="008C6A6C" w:rsidRPr="00796D26" w:rsidRDefault="008C6A6C" w:rsidP="008C6A6C">
            <w:pPr>
              <w:spacing w:after="66"/>
              <w:ind w:right="-15"/>
              <w:rPr>
                <w:szCs w:val="20"/>
              </w:rPr>
            </w:pPr>
            <w:r w:rsidRPr="00796D26">
              <w:rPr>
                <w:rFonts w:eastAsia="Calibri" w:cs="Calibri"/>
                <w:b/>
                <w:color w:val="4A4A4A"/>
                <w:szCs w:val="20"/>
              </w:rPr>
              <w:t xml:space="preserve">National communications </w:t>
            </w:r>
          </w:p>
          <w:p w14:paraId="4314CC83" w14:textId="77777777" w:rsidR="008C6A6C" w:rsidRPr="00796D26" w:rsidRDefault="008C6A6C" w:rsidP="008C6A6C">
            <w:pPr>
              <w:spacing w:after="69"/>
              <w:rPr>
                <w:szCs w:val="20"/>
              </w:rPr>
            </w:pPr>
            <w:r w:rsidRPr="00796D26">
              <w:rPr>
                <w:szCs w:val="20"/>
              </w:rPr>
              <w:lastRenderedPageBreak/>
              <w:t xml:space="preserve">The Convention established several processes to foster transparency and accountability of countries’ actions to address climate change. Under Article 12, all Parties are asked to submit national inventories and national communications (NCs) to report on the implementation of the Convention. </w:t>
            </w:r>
          </w:p>
          <w:p w14:paraId="0FF698DB" w14:textId="77777777" w:rsidR="008C6A6C" w:rsidRPr="00796D26" w:rsidRDefault="008C6A6C" w:rsidP="008C6A6C">
            <w:pPr>
              <w:rPr>
                <w:szCs w:val="20"/>
              </w:rPr>
            </w:pPr>
            <w:r w:rsidRPr="00796D26">
              <w:rPr>
                <w:szCs w:val="20"/>
              </w:rPr>
              <w:t>This reporting is required at different levels of stringency and with varying frequency for different Parties. National Communications received by the UNFCCC secretariat are available at &lt;</w:t>
            </w:r>
            <w:r w:rsidRPr="00796D26">
              <w:rPr>
                <w:color w:val="0000FF"/>
                <w:szCs w:val="20"/>
                <w:u w:val="single" w:color="0000FF"/>
              </w:rPr>
              <w:t>unfccc.int</w:t>
            </w:r>
            <w:r w:rsidRPr="00796D26">
              <w:rPr>
                <w:szCs w:val="20"/>
              </w:rPr>
              <w:t xml:space="preserve">&gt;. </w:t>
            </w:r>
          </w:p>
          <w:p w14:paraId="0252C62E" w14:textId="77777777" w:rsidR="008C6A6C" w:rsidRPr="00796D26" w:rsidRDefault="008C6A6C" w:rsidP="008C6A6C">
            <w:pPr>
              <w:ind w:right="-15"/>
              <w:rPr>
                <w:szCs w:val="20"/>
              </w:rPr>
            </w:pPr>
            <w:r w:rsidRPr="00796D26">
              <w:rPr>
                <w:rFonts w:eastAsia="Calibri" w:cs="Calibri"/>
                <w:b/>
                <w:color w:val="4A4A4A"/>
                <w:szCs w:val="20"/>
              </w:rPr>
              <w:t>Rationale and concepts, comments and limitations:</w:t>
            </w:r>
            <w:r w:rsidRPr="00796D26">
              <w:rPr>
                <w:color w:val="4A4A4A"/>
                <w:szCs w:val="20"/>
              </w:rPr>
              <w:t xml:space="preserve"> </w:t>
            </w:r>
          </w:p>
          <w:p w14:paraId="3C89842A" w14:textId="77777777" w:rsidR="008C6A6C" w:rsidRPr="00796D26" w:rsidRDefault="008C6A6C" w:rsidP="008C6A6C">
            <w:pPr>
              <w:rPr>
                <w:szCs w:val="20"/>
              </w:rPr>
            </w:pPr>
            <w:r w:rsidRPr="00796D26">
              <w:rPr>
                <w:szCs w:val="20"/>
              </w:rPr>
              <w:t xml:space="preserve">Under the United Nations Framework Convention on Climate Change (UNFCCC), all Parties shall formulate, implement, publish and regularly update national/regional programmes containing measures to mitigate climate change and to facilitate adequate adaptation, while taking into account their common but differentiated responsibilities and their specific national and regional development priorities, objectives and circumstances. These policies and measures should be appropriate for the specific conditions of each Party and should be integrated with national development programmes. </w:t>
            </w:r>
          </w:p>
          <w:p w14:paraId="02A0149C" w14:textId="77777777" w:rsidR="008C6A6C" w:rsidRPr="00796D26" w:rsidRDefault="008C6A6C" w:rsidP="008C6A6C">
            <w:pPr>
              <w:spacing w:after="66"/>
              <w:rPr>
                <w:szCs w:val="20"/>
              </w:rPr>
            </w:pPr>
            <w:r w:rsidRPr="00796D26">
              <w:rPr>
                <w:szCs w:val="20"/>
              </w:rPr>
              <w:t xml:space="preserve">The Convention established several processes to foster transparency and accountability of countries’ actions to address climate change. </w:t>
            </w:r>
          </w:p>
          <w:p w14:paraId="52434484" w14:textId="77777777" w:rsidR="008C6A6C" w:rsidRPr="00796D26" w:rsidRDefault="008C6A6C" w:rsidP="008C6A6C">
            <w:pPr>
              <w:spacing w:after="73"/>
              <w:rPr>
                <w:szCs w:val="20"/>
              </w:rPr>
            </w:pPr>
            <w:r w:rsidRPr="00796D26">
              <w:rPr>
                <w:szCs w:val="20"/>
              </w:rPr>
              <w:t xml:space="preserve"> </w:t>
            </w:r>
          </w:p>
          <w:p w14:paraId="79A85D5C" w14:textId="77777777" w:rsidR="008C6A6C" w:rsidRPr="00796D26" w:rsidRDefault="008C6A6C" w:rsidP="008C6A6C">
            <w:pPr>
              <w:rPr>
                <w:szCs w:val="20"/>
              </w:rPr>
            </w:pPr>
            <w:r w:rsidRPr="00796D26">
              <w:rPr>
                <w:szCs w:val="20"/>
              </w:rPr>
              <w:t>The Paris Agreement</w:t>
            </w:r>
            <w:r w:rsidRPr="00796D26">
              <w:rPr>
                <w:szCs w:val="20"/>
                <w:vertAlign w:val="superscript"/>
              </w:rPr>
              <w:t>2</w:t>
            </w:r>
            <w:r w:rsidRPr="00796D26">
              <w:rPr>
                <w:szCs w:val="20"/>
              </w:rPr>
              <w:t xml:space="preserve"> builds upon the Convention and brings all nations into a common cause to undertake ambitious efforts to combat climate change and adapt to its effects, with enhanced support to assist developing countries to do so, charting a new course in the global climate effort. The Paris Agreement’s central aim is to strengthen the global response to the threat of climate change by keeping a global temperature rise this century well below 2 degrees Celsius above preindustrial levels and to pursue efforts to limit the temperature increase even further to 1.5 degrees Celsius. Additionally, the agreement aims to strengthen the ability of countries to deal with the impacts of climate change.  </w:t>
            </w:r>
          </w:p>
          <w:p w14:paraId="4B12885C" w14:textId="77777777" w:rsidR="008C6A6C" w:rsidRPr="00796D26" w:rsidRDefault="008C6A6C" w:rsidP="008C6A6C">
            <w:pPr>
              <w:rPr>
                <w:szCs w:val="20"/>
              </w:rPr>
            </w:pPr>
            <w:r w:rsidRPr="00796D26">
              <w:rPr>
                <w:szCs w:val="20"/>
              </w:rPr>
              <w:t xml:space="preserve">Materials are received from Parties on an ongoing basis. </w:t>
            </w:r>
          </w:p>
          <w:p w14:paraId="210607AB" w14:textId="77777777" w:rsidR="008C6A6C" w:rsidRPr="00796D26" w:rsidRDefault="008C6A6C" w:rsidP="008C6A6C">
            <w:pPr>
              <w:spacing w:after="66"/>
              <w:ind w:right="-15"/>
              <w:rPr>
                <w:rFonts w:eastAsia="Calibri" w:cs="Calibri"/>
                <w:b/>
                <w:color w:val="4A4A4A"/>
                <w:szCs w:val="20"/>
              </w:rPr>
            </w:pPr>
          </w:p>
          <w:p w14:paraId="7F60E137" w14:textId="77777777" w:rsidR="008C6A6C" w:rsidRPr="00796D26" w:rsidRDefault="008C6A6C" w:rsidP="008C6A6C">
            <w:pPr>
              <w:spacing w:after="66"/>
              <w:ind w:right="-15"/>
              <w:rPr>
                <w:szCs w:val="20"/>
              </w:rPr>
            </w:pPr>
            <w:r w:rsidRPr="00796D26">
              <w:rPr>
                <w:rFonts w:eastAsia="Calibri" w:cs="Calibri"/>
                <w:b/>
                <w:color w:val="4A4A4A"/>
                <w:szCs w:val="20"/>
              </w:rPr>
              <w:t>Computation Method:</w:t>
            </w:r>
            <w:r w:rsidRPr="00796D26">
              <w:rPr>
                <w:color w:val="4A4A4A"/>
                <w:szCs w:val="20"/>
              </w:rPr>
              <w:t xml:space="preserve"> </w:t>
            </w:r>
          </w:p>
          <w:p w14:paraId="42AD00BA" w14:textId="77777777" w:rsidR="008C6A6C" w:rsidRPr="00796D26" w:rsidRDefault="008C6A6C" w:rsidP="008C6A6C">
            <w:pPr>
              <w:spacing w:after="65"/>
              <w:ind w:right="-15"/>
              <w:rPr>
                <w:szCs w:val="20"/>
              </w:rPr>
            </w:pPr>
            <w:r w:rsidRPr="00796D26">
              <w:rPr>
                <w:color w:val="4A4A4A"/>
                <w:szCs w:val="20"/>
              </w:rPr>
              <w:t xml:space="preserve">Count/status of plans annually in advance of preparation of SDG progress reports, based on most recent data. </w:t>
            </w:r>
          </w:p>
        </w:tc>
        <w:tc>
          <w:tcPr>
            <w:tcW w:w="0" w:type="auto"/>
          </w:tcPr>
          <w:p w14:paraId="0201C241" w14:textId="77777777" w:rsidR="008C6A6C" w:rsidRDefault="008C6A6C" w:rsidP="008C6A6C">
            <w:pPr>
              <w:pStyle w:val="NoSpacing"/>
            </w:pPr>
            <w:r>
              <w:lastRenderedPageBreak/>
              <w:t xml:space="preserve">Submission of documents to the UNFCCC Secretariat from Parties to the UNFCCC and Paris Agreement. </w:t>
            </w:r>
          </w:p>
          <w:p w14:paraId="1885F38F" w14:textId="77777777" w:rsidR="008C6A6C" w:rsidRDefault="008C6A6C" w:rsidP="008C6A6C">
            <w:pPr>
              <w:pStyle w:val="NoSpacing"/>
            </w:pPr>
          </w:p>
        </w:tc>
        <w:tc>
          <w:tcPr>
            <w:tcW w:w="0" w:type="auto"/>
          </w:tcPr>
          <w:p w14:paraId="65DD746A" w14:textId="77777777" w:rsidR="008C6A6C" w:rsidRDefault="008C6A6C" w:rsidP="008C6A6C">
            <w:pPr>
              <w:pStyle w:val="NoSpacing"/>
            </w:pPr>
            <w:r>
              <w:t xml:space="preserve">Parties to the UNFCCC </w:t>
            </w:r>
          </w:p>
          <w:p w14:paraId="7BC7F194" w14:textId="77777777" w:rsidR="008C6A6C" w:rsidRPr="000B7AD9" w:rsidRDefault="008C6A6C" w:rsidP="008C6A6C">
            <w:pPr>
              <w:pStyle w:val="NoSpacing"/>
            </w:pPr>
          </w:p>
        </w:tc>
        <w:tc>
          <w:tcPr>
            <w:tcW w:w="0" w:type="auto"/>
          </w:tcPr>
          <w:p w14:paraId="744533F9" w14:textId="58DCD7E0" w:rsidR="008C6A6C" w:rsidRPr="00F60268" w:rsidRDefault="008C6A6C" w:rsidP="008C6A6C">
            <w:pPr>
              <w:pStyle w:val="NoSpacing"/>
            </w:pPr>
          </w:p>
        </w:tc>
        <w:tc>
          <w:tcPr>
            <w:tcW w:w="0" w:type="auto"/>
          </w:tcPr>
          <w:p w14:paraId="1DE7C53B" w14:textId="77777777" w:rsidR="008C6A6C" w:rsidRDefault="008C6A6C" w:rsidP="008C6A6C">
            <w:pPr>
              <w:pStyle w:val="NoSpacing"/>
            </w:pPr>
            <w:r w:rsidRPr="00BC6F10">
              <w:rPr>
                <w:rFonts w:eastAsia="Times New Roman" w:cs="Times New Roman"/>
                <w:color w:val="000000" w:themeColor="text1"/>
                <w:szCs w:val="20"/>
              </w:rPr>
              <w:t>a) MoEF</w:t>
            </w:r>
            <w:r>
              <w:rPr>
                <w:rFonts w:eastAsia="Times New Roman" w:cs="Times New Roman"/>
                <w:color w:val="000000" w:themeColor="text1"/>
                <w:szCs w:val="20"/>
              </w:rPr>
              <w:t>CC</w:t>
            </w:r>
            <w:r w:rsidRPr="00BC6F10">
              <w:rPr>
                <w:rFonts w:eastAsia="Times New Roman" w:cs="Times New Roman"/>
                <w:color w:val="000000" w:themeColor="text1"/>
                <w:szCs w:val="20"/>
              </w:rPr>
              <w:br/>
              <w:t>b) MoDMR</w:t>
            </w:r>
            <w:r w:rsidRPr="00D53B8A">
              <w:t xml:space="preserve"> </w:t>
            </w:r>
          </w:p>
          <w:p w14:paraId="5F861FF4" w14:textId="77777777" w:rsidR="008C6A6C" w:rsidRDefault="008C6A6C" w:rsidP="008C6A6C">
            <w:pPr>
              <w:pStyle w:val="NoSpacing"/>
            </w:pPr>
          </w:p>
          <w:p w14:paraId="3784C455" w14:textId="77777777" w:rsidR="008C6A6C" w:rsidRPr="00F60268" w:rsidRDefault="008C6A6C" w:rsidP="008C6A6C">
            <w:pPr>
              <w:pStyle w:val="NoSpacing"/>
            </w:pPr>
            <w:r w:rsidRPr="00D53B8A">
              <w:t>Administrative Data</w:t>
            </w:r>
          </w:p>
        </w:tc>
        <w:tc>
          <w:tcPr>
            <w:tcW w:w="0" w:type="auto"/>
          </w:tcPr>
          <w:p w14:paraId="7B6CD1E8" w14:textId="26B2C2DC" w:rsidR="008C6A6C" w:rsidRPr="000C4849" w:rsidRDefault="0051306D" w:rsidP="008C6A6C">
            <w:pPr>
              <w:ind w:left="970" w:hanging="970"/>
              <w:jc w:val="both"/>
              <w:rPr>
                <w:color w:val="0070C0"/>
                <w:szCs w:val="20"/>
              </w:rPr>
            </w:pPr>
            <w:r w:rsidRPr="000C4849">
              <w:rPr>
                <w:color w:val="0070C0"/>
                <w:szCs w:val="20"/>
              </w:rPr>
              <w:t>Not Applicable</w:t>
            </w:r>
          </w:p>
        </w:tc>
        <w:tc>
          <w:tcPr>
            <w:tcW w:w="0" w:type="auto"/>
          </w:tcPr>
          <w:p w14:paraId="18BDBA1A" w14:textId="77777777" w:rsidR="008C6A6C" w:rsidRDefault="008C6A6C" w:rsidP="008C6A6C">
            <w:pPr>
              <w:ind w:left="970" w:hanging="970"/>
              <w:jc w:val="both"/>
              <w:rPr>
                <w:color w:val="0070C0"/>
                <w:sz w:val="30"/>
                <w:szCs w:val="30"/>
              </w:rPr>
            </w:pPr>
            <w:r w:rsidRPr="00BC6F10">
              <w:t>Triennial</w:t>
            </w:r>
          </w:p>
        </w:tc>
        <w:tc>
          <w:tcPr>
            <w:tcW w:w="0" w:type="auto"/>
          </w:tcPr>
          <w:p w14:paraId="419944FF" w14:textId="77777777" w:rsidR="008C6A6C" w:rsidRDefault="008C6A6C" w:rsidP="008C6A6C">
            <w:pPr>
              <w:ind w:left="970" w:hanging="970"/>
              <w:jc w:val="both"/>
              <w:rPr>
                <w:color w:val="0070C0"/>
                <w:sz w:val="30"/>
                <w:szCs w:val="30"/>
              </w:rPr>
            </w:pPr>
          </w:p>
        </w:tc>
        <w:tc>
          <w:tcPr>
            <w:tcW w:w="0" w:type="auto"/>
          </w:tcPr>
          <w:p w14:paraId="50E2160A" w14:textId="77777777" w:rsidR="008C6A6C" w:rsidRDefault="008C6A6C" w:rsidP="008C6A6C">
            <w:pPr>
              <w:pStyle w:val="NoSpacing"/>
            </w:pPr>
            <w:r>
              <w:t>1</w:t>
            </w:r>
            <w:r w:rsidRPr="00013ACB">
              <w:rPr>
                <w:vertAlign w:val="superscript"/>
              </w:rPr>
              <w:t>st</w:t>
            </w:r>
            <w:r>
              <w:t xml:space="preserve"> Round:</w:t>
            </w:r>
          </w:p>
          <w:p w14:paraId="0C7457ED" w14:textId="77777777" w:rsidR="008C6A6C" w:rsidRDefault="008C6A6C" w:rsidP="008C6A6C">
            <w:pPr>
              <w:pStyle w:val="NoSpacing"/>
            </w:pPr>
            <w:r w:rsidRPr="004C18F9">
              <w:t>December, 2020</w:t>
            </w:r>
          </w:p>
          <w:p w14:paraId="665DCDDA" w14:textId="77777777" w:rsidR="008C6A6C" w:rsidRDefault="008C6A6C" w:rsidP="008C6A6C">
            <w:pPr>
              <w:pStyle w:val="NoSpacing"/>
            </w:pPr>
          </w:p>
          <w:p w14:paraId="37AF0B39" w14:textId="77777777" w:rsidR="008C6A6C" w:rsidRDefault="008C6A6C" w:rsidP="008C6A6C">
            <w:pPr>
              <w:pStyle w:val="NoSpacing"/>
            </w:pPr>
            <w:r>
              <w:t>2</w:t>
            </w:r>
            <w:r w:rsidRPr="00013ACB">
              <w:rPr>
                <w:vertAlign w:val="superscript"/>
              </w:rPr>
              <w:t>nd</w:t>
            </w:r>
            <w:r>
              <w:t xml:space="preserve"> Round:</w:t>
            </w:r>
          </w:p>
          <w:p w14:paraId="514E5A2E" w14:textId="77777777" w:rsidR="008C6A6C" w:rsidRDefault="008C6A6C" w:rsidP="008C6A6C">
            <w:pPr>
              <w:pStyle w:val="NoSpacing"/>
            </w:pPr>
            <w:r>
              <w:t xml:space="preserve"> December, 2023</w:t>
            </w:r>
          </w:p>
          <w:p w14:paraId="45E673B2" w14:textId="77777777" w:rsidR="008C6A6C" w:rsidRDefault="008C6A6C" w:rsidP="008C6A6C">
            <w:pPr>
              <w:pStyle w:val="NoSpacing"/>
            </w:pPr>
          </w:p>
          <w:p w14:paraId="34F15D77" w14:textId="77777777" w:rsidR="008C6A6C" w:rsidRDefault="008C6A6C" w:rsidP="008C6A6C">
            <w:pPr>
              <w:pStyle w:val="NoSpacing"/>
            </w:pPr>
            <w:r>
              <w:t>3</w:t>
            </w:r>
            <w:r w:rsidRPr="00013ACB">
              <w:rPr>
                <w:vertAlign w:val="superscript"/>
              </w:rPr>
              <w:t>rd</w:t>
            </w:r>
            <w:r>
              <w:t xml:space="preserve"> Round: </w:t>
            </w:r>
          </w:p>
          <w:p w14:paraId="2A9B63FE" w14:textId="77777777" w:rsidR="008C6A6C" w:rsidRDefault="008C6A6C" w:rsidP="008C6A6C">
            <w:pPr>
              <w:pStyle w:val="NoSpacing"/>
            </w:pPr>
            <w:r>
              <w:t>December, 2026</w:t>
            </w:r>
          </w:p>
          <w:p w14:paraId="2657BEDF" w14:textId="77777777" w:rsidR="008C6A6C" w:rsidRDefault="008C6A6C" w:rsidP="008C6A6C">
            <w:pPr>
              <w:pStyle w:val="NoSpacing"/>
            </w:pPr>
          </w:p>
          <w:p w14:paraId="0F424250" w14:textId="77777777" w:rsidR="008C6A6C" w:rsidRDefault="008C6A6C" w:rsidP="008C6A6C">
            <w:pPr>
              <w:pStyle w:val="NoSpacing"/>
            </w:pPr>
            <w:r>
              <w:t>4</w:t>
            </w:r>
            <w:r w:rsidRPr="00013ACB">
              <w:rPr>
                <w:vertAlign w:val="superscript"/>
              </w:rPr>
              <w:t>th</w:t>
            </w:r>
            <w:r>
              <w:t xml:space="preserve"> Round: </w:t>
            </w:r>
          </w:p>
          <w:p w14:paraId="7BF6AD9B" w14:textId="77777777" w:rsidR="008C6A6C" w:rsidRDefault="008C6A6C" w:rsidP="008C6A6C">
            <w:pPr>
              <w:pStyle w:val="NoSpacing"/>
            </w:pPr>
            <w:r>
              <w:t>December, 2029</w:t>
            </w:r>
          </w:p>
          <w:p w14:paraId="416F1C81" w14:textId="77777777" w:rsidR="008C6A6C" w:rsidRDefault="008C6A6C" w:rsidP="008C6A6C">
            <w:pPr>
              <w:pStyle w:val="NoSpacing"/>
            </w:pPr>
          </w:p>
          <w:p w14:paraId="5EA54AD1" w14:textId="77777777" w:rsidR="008C6A6C" w:rsidRDefault="008C6A6C" w:rsidP="008C6A6C">
            <w:pPr>
              <w:pStyle w:val="NoSpacing"/>
            </w:pPr>
            <w:r>
              <w:t>5</w:t>
            </w:r>
            <w:r w:rsidRPr="00013ACB">
              <w:rPr>
                <w:vertAlign w:val="superscript"/>
              </w:rPr>
              <w:t>th</w:t>
            </w:r>
            <w:r>
              <w:t xml:space="preserve"> Round: </w:t>
            </w:r>
          </w:p>
          <w:p w14:paraId="0634187C" w14:textId="77777777" w:rsidR="008C6A6C" w:rsidRDefault="008C6A6C" w:rsidP="008C6A6C">
            <w:pPr>
              <w:pStyle w:val="NoSpacing"/>
            </w:pPr>
            <w:r>
              <w:t>December, 203</w:t>
            </w:r>
            <w:r w:rsidRPr="004C18F9">
              <w:t>0</w:t>
            </w:r>
          </w:p>
          <w:p w14:paraId="2FF8C467" w14:textId="2B529953" w:rsidR="008C6A6C" w:rsidRDefault="008C6A6C" w:rsidP="008C6A6C">
            <w:pPr>
              <w:pStyle w:val="NoSpacing"/>
            </w:pPr>
          </w:p>
        </w:tc>
        <w:tc>
          <w:tcPr>
            <w:tcW w:w="0" w:type="auto"/>
          </w:tcPr>
          <w:p w14:paraId="75936E1E" w14:textId="77777777" w:rsidR="008C6A6C" w:rsidRDefault="008C6A6C" w:rsidP="008C6A6C">
            <w:pPr>
              <w:pStyle w:val="NoSpacing"/>
            </w:pPr>
            <w:r>
              <w:lastRenderedPageBreak/>
              <w:t>UNSC 51 replacement included in the 2020 comprehensive review</w:t>
            </w:r>
          </w:p>
          <w:p w14:paraId="33F478C6" w14:textId="77777777" w:rsidR="008C6A6C" w:rsidRDefault="008C6A6C" w:rsidP="008C6A6C">
            <w:pPr>
              <w:pStyle w:val="NoSpacing"/>
            </w:pPr>
          </w:p>
          <w:p w14:paraId="44CA11C8" w14:textId="54E3032D" w:rsidR="008C6A6C" w:rsidRDefault="003E5AFB" w:rsidP="008C6A6C">
            <w:pPr>
              <w:pStyle w:val="NoSpacing"/>
            </w:pPr>
            <w:r>
              <w:t xml:space="preserve">Repeated </w:t>
            </w:r>
            <w:r w:rsidR="008C6A6C">
              <w:t>13.b.1 (with a slight amendment)</w:t>
            </w:r>
          </w:p>
        </w:tc>
      </w:tr>
      <w:tr w:rsidR="008C6A6C" w14:paraId="0A499FF5" w14:textId="77777777" w:rsidTr="00A64F0D">
        <w:tc>
          <w:tcPr>
            <w:tcW w:w="0" w:type="auto"/>
          </w:tcPr>
          <w:p w14:paraId="33792F0B" w14:textId="77777777" w:rsidR="008C6A6C" w:rsidRDefault="008C6A6C" w:rsidP="008C6A6C">
            <w:pPr>
              <w:pStyle w:val="NoSpacing"/>
            </w:pPr>
            <w:r w:rsidRPr="0055666E">
              <w:lastRenderedPageBreak/>
              <w:t>13.2.2 Total greenhouse gas emissions per year</w:t>
            </w:r>
          </w:p>
        </w:tc>
        <w:tc>
          <w:tcPr>
            <w:tcW w:w="0" w:type="auto"/>
          </w:tcPr>
          <w:p w14:paraId="4B0E9801" w14:textId="77777777" w:rsidR="008C6A6C" w:rsidRDefault="008C6A6C" w:rsidP="008C6A6C">
            <w:pPr>
              <w:rPr>
                <w:color w:val="0070C0"/>
                <w:sz w:val="30"/>
                <w:szCs w:val="30"/>
              </w:rPr>
            </w:pPr>
          </w:p>
        </w:tc>
        <w:tc>
          <w:tcPr>
            <w:tcW w:w="0" w:type="auto"/>
          </w:tcPr>
          <w:p w14:paraId="09EA447F" w14:textId="23FDB662" w:rsidR="008C6A6C" w:rsidRDefault="00754676" w:rsidP="008C6A6C">
            <w:pPr>
              <w:pStyle w:val="NoSpacing"/>
            </w:pPr>
            <w:r>
              <w:t>TBD</w:t>
            </w:r>
          </w:p>
        </w:tc>
        <w:tc>
          <w:tcPr>
            <w:tcW w:w="0" w:type="auto"/>
          </w:tcPr>
          <w:p w14:paraId="7B525F5A" w14:textId="77777777" w:rsidR="008C6A6C" w:rsidRPr="001C4B6D" w:rsidRDefault="008C6A6C" w:rsidP="008C6A6C">
            <w:pPr>
              <w:spacing w:after="70"/>
              <w:ind w:left="-5" w:right="-15" w:hanging="10"/>
            </w:pPr>
            <w:r w:rsidRPr="001C4B6D">
              <w:rPr>
                <w:rFonts w:eastAsia="Calibri" w:cs="Calibri"/>
                <w:b/>
                <w:color w:val="4A4A4A"/>
              </w:rPr>
              <w:t>Definition, rationale and concepts:</w:t>
            </w:r>
            <w:r w:rsidRPr="001C4B6D">
              <w:rPr>
                <w:rFonts w:eastAsia="Calibri" w:cs="Calibri"/>
                <w:color w:val="4A4A4A"/>
              </w:rPr>
              <w:t xml:space="preserve"> </w:t>
            </w:r>
          </w:p>
          <w:p w14:paraId="2220E7C6" w14:textId="77777777" w:rsidR="008C6A6C" w:rsidRPr="001C4B6D" w:rsidRDefault="008C6A6C" w:rsidP="008C6A6C">
            <w:pPr>
              <w:spacing w:after="30" w:line="247" w:lineRule="auto"/>
              <w:ind w:left="-5" w:right="-3" w:hanging="10"/>
            </w:pPr>
            <w:r w:rsidRPr="001C4B6D">
              <w:rPr>
                <w:rFonts w:eastAsia="Calibri" w:cs="Calibri"/>
              </w:rPr>
              <w:t xml:space="preserve">The ultimate objective of the Climate Change Convention (UNFCCC) is to achieve the stabilization of greenhouse gas concentrations in the atmosphere at a level that would prevent dangerous anthropogenic interference with the climate system. Estimating the levels of greenhouse gas (GHG) emissions and removals is an important element of the efforts to achieve this objective. </w:t>
            </w:r>
          </w:p>
          <w:p w14:paraId="636855F1" w14:textId="77777777" w:rsidR="008C6A6C" w:rsidRPr="001C4B6D" w:rsidRDefault="008C6A6C" w:rsidP="008C6A6C">
            <w:pPr>
              <w:spacing w:after="30" w:line="247" w:lineRule="auto"/>
              <w:ind w:left="-5" w:right="-3" w:hanging="10"/>
            </w:pPr>
            <w:r w:rsidRPr="001C4B6D">
              <w:rPr>
                <w:rFonts w:eastAsia="Calibri" w:cs="Calibri"/>
              </w:rPr>
              <w:t xml:space="preserve">In accordance with Articles 4 and 12 of the Climate Change Convention and the relevant decisions of the Conference of the Parties, countries that are Parties to the Convention submit national GHG inventories to the Climate Change secretariat. These submissions are made in accordance with the reporting requirements adopted under the Convention, such as the revised “Guidelines for the preparation of national communications by Parties included in Annex I to the </w:t>
            </w:r>
            <w:r w:rsidRPr="001C4B6D">
              <w:rPr>
                <w:rFonts w:eastAsia="Calibri" w:cs="Calibri"/>
              </w:rPr>
              <w:lastRenderedPageBreak/>
              <w:t xml:space="preserve">Convention, Part I: UNFCCC reporting guidelines on annual greenhouse gas inventories” (decision 24/CP.19) for Annex I Parties and “Guidelines for the preparation of national communications for non-Annex I Parties” (decision 17/CP.8). The inventory data are provided in the annual GHG inventory submissions by Annex I Parties and in the national communications and biennial update reports by non-Annex I Parties. </w:t>
            </w:r>
          </w:p>
          <w:p w14:paraId="34B5F58A" w14:textId="77777777" w:rsidR="008C6A6C" w:rsidRPr="001C4B6D" w:rsidRDefault="008C6A6C" w:rsidP="008C6A6C">
            <w:pPr>
              <w:spacing w:after="219" w:line="247" w:lineRule="auto"/>
              <w:ind w:left="-5" w:right="-3" w:hanging="10"/>
            </w:pPr>
            <w:r w:rsidRPr="001C4B6D">
              <w:rPr>
                <w:rFonts w:eastAsia="Calibri" w:cs="Calibri"/>
              </w:rPr>
              <w:t xml:space="preserve">The Paris Agreement adopted in 2015 marks the latest step in the evolution of the UN climate change regime and builds on the work undertaken under the Convention. Its central aim is to strengthen the global response to the threat of climate change by keeping a global temperature rise this century well below 2 degrees Celsius above pre-industrial levels and to pursue efforts to limit the temperature increase even further to 1.5 degrees Celsius. The Agreement also aims to strengthen the ability of countries to deal with the impacts of climate change. </w:t>
            </w:r>
          </w:p>
          <w:p w14:paraId="439973B1" w14:textId="77777777" w:rsidR="008C6A6C" w:rsidRPr="001C4B6D" w:rsidRDefault="008C6A6C" w:rsidP="008C6A6C">
            <w:r w:rsidRPr="001C4B6D">
              <w:rPr>
                <w:rFonts w:eastAsia="Calibri" w:cs="Calibri"/>
                <w:b/>
                <w:i/>
              </w:rPr>
              <w:t xml:space="preserve"> </w:t>
            </w:r>
          </w:p>
          <w:p w14:paraId="70F82EDB" w14:textId="77777777" w:rsidR="008C6A6C" w:rsidRPr="00322BCC" w:rsidRDefault="008C6A6C" w:rsidP="008C6A6C">
            <w:pPr>
              <w:spacing w:after="216" w:line="246" w:lineRule="auto"/>
              <w:rPr>
                <w:color w:val="000000" w:themeColor="text1"/>
              </w:rPr>
            </w:pPr>
            <w:r w:rsidRPr="00322BCC">
              <w:rPr>
                <w:rFonts w:eastAsia="Calibri" w:cs="Calibri"/>
                <w:color w:val="000000" w:themeColor="text1"/>
              </w:rPr>
              <w:t xml:space="preserve">GHG inventory reporting requirements: </w:t>
            </w:r>
            <w:r w:rsidRPr="00322BCC">
              <w:rPr>
                <w:rFonts w:eastAsia="Calibri" w:cs="Calibri"/>
                <w:color w:val="000000" w:themeColor="text1"/>
                <w:vertAlign w:val="superscript"/>
              </w:rPr>
              <w:t xml:space="preserve"> </w:t>
            </w:r>
            <w:r w:rsidRPr="00322BCC">
              <w:rPr>
                <w:rFonts w:eastAsia="Times New Roman" w:cs="Times New Roman"/>
                <w:color w:val="000000" w:themeColor="text1"/>
                <w:u w:val="single" w:color="0000FF"/>
              </w:rPr>
              <w:t>https://unfccc.int/process-and-meetings/transparency-andreporting/reporting-and-review-under-the-convention/greenhouse-gas-inventories-annex-iparties/reporting-requirements</w:t>
            </w:r>
            <w:r w:rsidRPr="00322BCC">
              <w:rPr>
                <w:rFonts w:eastAsia="Calibri" w:cs="Calibri"/>
                <w:b/>
                <w:i/>
                <w:color w:val="000000" w:themeColor="text1"/>
              </w:rPr>
              <w:t xml:space="preserve"> </w:t>
            </w:r>
          </w:p>
          <w:p w14:paraId="7C2A746D" w14:textId="77777777" w:rsidR="008C6A6C" w:rsidRPr="00322BCC" w:rsidRDefault="008C6A6C" w:rsidP="008C6A6C">
            <w:pPr>
              <w:spacing w:after="65"/>
              <w:rPr>
                <w:color w:val="000000" w:themeColor="text1"/>
              </w:rPr>
            </w:pPr>
            <w:r w:rsidRPr="00322BCC">
              <w:rPr>
                <w:rFonts w:eastAsia="Calibri" w:cs="Calibri"/>
                <w:color w:val="000000" w:themeColor="text1"/>
              </w:rPr>
              <w:t xml:space="preserve"> </w:t>
            </w:r>
          </w:p>
          <w:p w14:paraId="03C176F5" w14:textId="77777777" w:rsidR="008C6A6C" w:rsidRPr="00322BCC" w:rsidRDefault="008C6A6C" w:rsidP="008C6A6C">
            <w:pPr>
              <w:spacing w:after="70"/>
              <w:ind w:left="-5" w:right="-15" w:hanging="10"/>
              <w:rPr>
                <w:color w:val="000000" w:themeColor="text1"/>
              </w:rPr>
            </w:pPr>
            <w:r w:rsidRPr="00322BCC">
              <w:rPr>
                <w:rFonts w:eastAsia="Calibri" w:cs="Calibri"/>
                <w:b/>
                <w:color w:val="000000" w:themeColor="text1"/>
              </w:rPr>
              <w:t>Comments and limitations:</w:t>
            </w:r>
            <w:r w:rsidRPr="00322BCC">
              <w:rPr>
                <w:rFonts w:eastAsia="Calibri" w:cs="Calibri"/>
                <w:color w:val="000000" w:themeColor="text1"/>
              </w:rPr>
              <w:t xml:space="preserve"> </w:t>
            </w:r>
          </w:p>
          <w:p w14:paraId="2FFD4423" w14:textId="77777777" w:rsidR="008C6A6C" w:rsidRPr="00322BCC" w:rsidRDefault="008C6A6C" w:rsidP="008C6A6C">
            <w:pPr>
              <w:spacing w:after="69" w:line="244" w:lineRule="auto"/>
              <w:ind w:left="-5" w:hanging="10"/>
              <w:rPr>
                <w:color w:val="000000" w:themeColor="text1"/>
              </w:rPr>
            </w:pPr>
            <w:r w:rsidRPr="00322BCC">
              <w:rPr>
                <w:rFonts w:eastAsia="Calibri" w:cs="Calibri"/>
                <w:color w:val="000000" w:themeColor="text1"/>
              </w:rPr>
              <w:t xml:space="preserve">Data is limited to Parties that submit their GHG inventories. As the reporting requirements for non-Annex I Parties are not as rigid as those for Annex I Parties, information for these Parties are available usually only for selected years. </w:t>
            </w:r>
          </w:p>
          <w:p w14:paraId="222BAFDC" w14:textId="77777777" w:rsidR="008C6A6C" w:rsidRPr="00322BCC" w:rsidRDefault="008C6A6C" w:rsidP="008C6A6C">
            <w:pPr>
              <w:spacing w:after="29"/>
              <w:rPr>
                <w:color w:val="000000" w:themeColor="text1"/>
              </w:rPr>
            </w:pPr>
            <w:r w:rsidRPr="00322BCC">
              <w:rPr>
                <w:rFonts w:eastAsia="Calibri" w:cs="Calibri"/>
                <w:color w:val="000000" w:themeColor="text1"/>
              </w:rPr>
              <w:t xml:space="preserve"> </w:t>
            </w:r>
          </w:p>
          <w:p w14:paraId="010646CB" w14:textId="77777777" w:rsidR="008C6A6C" w:rsidRPr="00322BCC" w:rsidRDefault="008C6A6C" w:rsidP="008C6A6C">
            <w:pPr>
              <w:spacing w:after="69" w:line="244" w:lineRule="auto"/>
              <w:ind w:left="-5" w:hanging="10"/>
              <w:rPr>
                <w:color w:val="000000" w:themeColor="text1"/>
              </w:rPr>
            </w:pPr>
            <w:r w:rsidRPr="00322BCC">
              <w:rPr>
                <w:rFonts w:eastAsia="Calibri" w:cs="Calibri"/>
                <w:color w:val="000000" w:themeColor="text1"/>
              </w:rPr>
              <w:t xml:space="preserve">The annual timing of submission of updated inventory reports is very close to publication date of annual SDG progress reports.  </w:t>
            </w:r>
          </w:p>
          <w:p w14:paraId="68D6923D" w14:textId="77777777" w:rsidR="008C6A6C" w:rsidRPr="00322BCC" w:rsidRDefault="008C6A6C" w:rsidP="008C6A6C">
            <w:pPr>
              <w:spacing w:after="32"/>
              <w:rPr>
                <w:color w:val="000000" w:themeColor="text1"/>
              </w:rPr>
            </w:pPr>
            <w:r w:rsidRPr="00322BCC">
              <w:rPr>
                <w:rFonts w:eastAsia="Calibri" w:cs="Calibri"/>
                <w:color w:val="000000" w:themeColor="text1"/>
              </w:rPr>
              <w:t xml:space="preserve"> </w:t>
            </w:r>
          </w:p>
          <w:p w14:paraId="0AB52CB8" w14:textId="77777777" w:rsidR="008C6A6C" w:rsidRPr="00322BCC" w:rsidRDefault="008C6A6C" w:rsidP="008C6A6C">
            <w:pPr>
              <w:spacing w:after="70"/>
              <w:ind w:left="-5" w:right="-15" w:hanging="10"/>
              <w:rPr>
                <w:color w:val="000000" w:themeColor="text1"/>
              </w:rPr>
            </w:pPr>
            <w:r w:rsidRPr="00322BCC">
              <w:rPr>
                <w:rFonts w:eastAsia="Calibri" w:cs="Calibri"/>
                <w:b/>
                <w:color w:val="000000" w:themeColor="text1"/>
              </w:rPr>
              <w:t>Computation Method:</w:t>
            </w:r>
            <w:r w:rsidRPr="00322BCC">
              <w:rPr>
                <w:rFonts w:eastAsia="Calibri" w:cs="Calibri"/>
                <w:color w:val="000000" w:themeColor="text1"/>
              </w:rPr>
              <w:t xml:space="preserve"> </w:t>
            </w:r>
          </w:p>
          <w:p w14:paraId="638145C4" w14:textId="77777777" w:rsidR="008C6A6C" w:rsidRPr="00322BCC" w:rsidRDefault="008C6A6C" w:rsidP="008C6A6C">
            <w:pPr>
              <w:spacing w:after="69" w:line="244" w:lineRule="auto"/>
              <w:ind w:left="-5" w:hanging="10"/>
              <w:rPr>
                <w:color w:val="000000" w:themeColor="text1"/>
              </w:rPr>
            </w:pPr>
            <w:r w:rsidRPr="00322BCC">
              <w:rPr>
                <w:rFonts w:eastAsia="Calibri" w:cs="Calibri"/>
                <w:color w:val="000000" w:themeColor="text1"/>
              </w:rPr>
              <w:t xml:space="preserve">Total GHG emissions are calculated as the sum of emissions of direct GHGs: carbon dioxide (CO2), methane (CH4), nitrous oxide (N2O), perfluorocarbons (PFCs), hydrofluorocarbons (HFCs), sulphur hexafluoride (SF6) and nitrogen trifluoride (NF3), measured in units of CO2-equivalent, by using a common weighting factor, the so-called Global Warming Potentials (GWP). In accordance with the latest reporting guidelines for Annex I Parties under the UNFCCC, the GWP values to be used are those for the </w:t>
            </w:r>
          </w:p>
          <w:p w14:paraId="715E4F82" w14:textId="77777777" w:rsidR="008C6A6C" w:rsidRPr="00322BCC" w:rsidRDefault="008C6A6C" w:rsidP="008C6A6C">
            <w:pPr>
              <w:spacing w:after="69" w:line="244" w:lineRule="auto"/>
              <w:ind w:left="-5" w:hanging="10"/>
              <w:rPr>
                <w:color w:val="000000" w:themeColor="text1"/>
              </w:rPr>
            </w:pPr>
            <w:r w:rsidRPr="00322BCC">
              <w:rPr>
                <w:rFonts w:eastAsia="Calibri" w:cs="Calibri"/>
                <w:color w:val="000000" w:themeColor="text1"/>
              </w:rPr>
              <w:t xml:space="preserve">100-year time horizon listed in Table 2.14 of the IPCC Fourth Assessment Report </w:t>
            </w:r>
          </w:p>
          <w:p w14:paraId="4A1D303A" w14:textId="77777777" w:rsidR="008C6A6C" w:rsidRPr="001C4B6D" w:rsidRDefault="008C6A6C" w:rsidP="008C6A6C">
            <w:pPr>
              <w:spacing w:after="69" w:line="244" w:lineRule="auto"/>
              <w:ind w:left="-5" w:hanging="10"/>
            </w:pPr>
            <w:r w:rsidRPr="00322BCC">
              <w:rPr>
                <w:rFonts w:eastAsia="Calibri" w:cs="Calibri"/>
                <w:color w:val="000000" w:themeColor="text1"/>
              </w:rPr>
              <w:t xml:space="preserve">(https://www.ipcc.ch/report/ar4/wg1/). However, non-Annex I Parties should use the GWP provided in the IPCC Second Assessment Report (https://www.ipcc.ch/report/ipcc-second-assessment-full-report/) based on the effects of GHGs over a 100-year time. </w:t>
            </w:r>
          </w:p>
        </w:tc>
        <w:tc>
          <w:tcPr>
            <w:tcW w:w="0" w:type="auto"/>
          </w:tcPr>
          <w:p w14:paraId="5CD0009A" w14:textId="77777777" w:rsidR="008C6A6C" w:rsidRDefault="008C6A6C" w:rsidP="008C6A6C">
            <w:pPr>
              <w:pStyle w:val="NoSpacing"/>
            </w:pPr>
            <w:r>
              <w:lastRenderedPageBreak/>
              <w:t xml:space="preserve">Annex I GHG inventories are submitted through the CRF Reporter application. Information </w:t>
            </w:r>
            <w:proofErr w:type="gramStart"/>
            <w:r>
              <w:t>are</w:t>
            </w:r>
            <w:proofErr w:type="gramEnd"/>
            <w:r>
              <w:t xml:space="preserve"> automatically </w:t>
            </w:r>
            <w:r>
              <w:lastRenderedPageBreak/>
              <w:t xml:space="preserve">imported in the UNFCCC Data Warehouse. </w:t>
            </w:r>
          </w:p>
          <w:p w14:paraId="32B4047D" w14:textId="77777777" w:rsidR="008C6A6C" w:rsidRDefault="008C6A6C" w:rsidP="008C6A6C">
            <w:pPr>
              <w:pStyle w:val="NoSpacing"/>
            </w:pPr>
          </w:p>
          <w:p w14:paraId="3F1D0282" w14:textId="77777777" w:rsidR="008C6A6C" w:rsidRDefault="008C6A6C" w:rsidP="008C6A6C">
            <w:pPr>
              <w:pStyle w:val="NoSpacing"/>
            </w:pPr>
          </w:p>
          <w:p w14:paraId="56F5F98F" w14:textId="77777777" w:rsidR="008C6A6C" w:rsidRDefault="008C6A6C" w:rsidP="008C6A6C">
            <w:pPr>
              <w:pStyle w:val="NoSpacing"/>
            </w:pPr>
            <w:r>
              <w:t xml:space="preserve">Information for non-Annex I Parties are manually extracted from their NC and/or BUR and stored in the UNFCCC Data Warehouse using Excel import sheets. </w:t>
            </w:r>
          </w:p>
          <w:p w14:paraId="3573D5F7" w14:textId="77777777" w:rsidR="008C6A6C" w:rsidRPr="000B7AD9" w:rsidRDefault="008C6A6C" w:rsidP="008C6A6C">
            <w:pPr>
              <w:pStyle w:val="NoSpacing"/>
            </w:pPr>
          </w:p>
        </w:tc>
        <w:tc>
          <w:tcPr>
            <w:tcW w:w="0" w:type="auto"/>
          </w:tcPr>
          <w:p w14:paraId="37E4379A" w14:textId="77777777" w:rsidR="008C6A6C" w:rsidRDefault="008C6A6C" w:rsidP="008C6A6C">
            <w:pPr>
              <w:pStyle w:val="NoSpacing"/>
            </w:pPr>
            <w:r>
              <w:lastRenderedPageBreak/>
              <w:t xml:space="preserve">Parties to the UNFCCC </w:t>
            </w:r>
          </w:p>
          <w:p w14:paraId="4935E4BD" w14:textId="77777777" w:rsidR="008C6A6C" w:rsidRDefault="008C6A6C" w:rsidP="008C6A6C">
            <w:pPr>
              <w:pStyle w:val="NoSpacing"/>
            </w:pPr>
          </w:p>
        </w:tc>
        <w:tc>
          <w:tcPr>
            <w:tcW w:w="0" w:type="auto"/>
          </w:tcPr>
          <w:p w14:paraId="3394FFAD" w14:textId="77777777" w:rsidR="008C6A6C" w:rsidRDefault="008C6A6C" w:rsidP="008C6A6C">
            <w:pPr>
              <w:ind w:left="970" w:hanging="970"/>
              <w:jc w:val="both"/>
              <w:rPr>
                <w:color w:val="0070C0"/>
                <w:sz w:val="30"/>
                <w:szCs w:val="30"/>
              </w:rPr>
            </w:pPr>
          </w:p>
        </w:tc>
        <w:tc>
          <w:tcPr>
            <w:tcW w:w="0" w:type="auto"/>
          </w:tcPr>
          <w:p w14:paraId="76216197" w14:textId="77777777" w:rsidR="008C6A6C" w:rsidRDefault="008C6A6C" w:rsidP="008C6A6C">
            <w:pPr>
              <w:spacing w:line="276" w:lineRule="auto"/>
              <w:rPr>
                <w:color w:val="FF0000"/>
              </w:rPr>
            </w:pPr>
            <w:r>
              <w:rPr>
                <w:color w:val="FF0000"/>
              </w:rPr>
              <w:t xml:space="preserve">a) DoE </w:t>
            </w:r>
          </w:p>
          <w:p w14:paraId="79A9E493" w14:textId="77777777" w:rsidR="008C6A6C" w:rsidRDefault="008C6A6C" w:rsidP="008C6A6C">
            <w:pPr>
              <w:spacing w:line="276" w:lineRule="auto"/>
              <w:rPr>
                <w:color w:val="FF0000"/>
              </w:rPr>
            </w:pPr>
            <w:r>
              <w:rPr>
                <w:color w:val="FF0000"/>
              </w:rPr>
              <w:t xml:space="preserve">b) </w:t>
            </w:r>
            <w:r w:rsidRPr="0031289F">
              <w:rPr>
                <w:color w:val="FF0000"/>
              </w:rPr>
              <w:t>UN Climate Change</w:t>
            </w:r>
          </w:p>
          <w:p w14:paraId="05B2CC06" w14:textId="77777777" w:rsidR="008C6A6C" w:rsidRDefault="008C6A6C" w:rsidP="008C6A6C">
            <w:pPr>
              <w:spacing w:line="276" w:lineRule="auto"/>
              <w:rPr>
                <w:color w:val="FF0000"/>
              </w:rPr>
            </w:pPr>
            <w:r>
              <w:rPr>
                <w:color w:val="FF0000"/>
              </w:rPr>
              <w:t>[</w:t>
            </w:r>
            <w:r w:rsidRPr="00757F51">
              <w:rPr>
                <w:color w:val="FF0000"/>
              </w:rPr>
              <w:t>unfccc.int</w:t>
            </w:r>
            <w:r>
              <w:rPr>
                <w:color w:val="FF0000"/>
              </w:rPr>
              <w:t>]</w:t>
            </w:r>
          </w:p>
          <w:p w14:paraId="3749B5F5" w14:textId="77777777" w:rsidR="008C6A6C" w:rsidRDefault="008C6A6C" w:rsidP="008C6A6C">
            <w:pPr>
              <w:ind w:left="970" w:hanging="970"/>
              <w:jc w:val="both"/>
              <w:rPr>
                <w:color w:val="FF0000"/>
                <w:szCs w:val="26"/>
              </w:rPr>
            </w:pPr>
            <w:r>
              <w:rPr>
                <w:color w:val="FF0000"/>
                <w:szCs w:val="26"/>
              </w:rPr>
              <w:t>Administrati</w:t>
            </w:r>
          </w:p>
          <w:p w14:paraId="21D63F30" w14:textId="77777777" w:rsidR="008C6A6C" w:rsidRDefault="008C6A6C" w:rsidP="008C6A6C">
            <w:pPr>
              <w:ind w:left="970" w:hanging="970"/>
              <w:jc w:val="both"/>
              <w:rPr>
                <w:color w:val="0070C0"/>
                <w:sz w:val="30"/>
                <w:szCs w:val="30"/>
              </w:rPr>
            </w:pPr>
            <w:r>
              <w:rPr>
                <w:color w:val="FF0000"/>
                <w:szCs w:val="26"/>
              </w:rPr>
              <w:t>ve Data</w:t>
            </w:r>
          </w:p>
        </w:tc>
        <w:tc>
          <w:tcPr>
            <w:tcW w:w="0" w:type="auto"/>
          </w:tcPr>
          <w:p w14:paraId="7FE45404" w14:textId="77777777" w:rsidR="0051306D" w:rsidRDefault="0051306D" w:rsidP="0051306D">
            <w:pPr>
              <w:ind w:left="970" w:hanging="970"/>
              <w:jc w:val="both"/>
              <w:rPr>
                <w:color w:val="0070C0"/>
                <w:szCs w:val="20"/>
              </w:rPr>
            </w:pPr>
            <w:r w:rsidRPr="0051306D">
              <w:rPr>
                <w:color w:val="0070C0"/>
                <w:szCs w:val="20"/>
              </w:rPr>
              <w:t>by Annex I and Non</w:t>
            </w:r>
          </w:p>
          <w:p w14:paraId="1A059F94" w14:textId="77777777" w:rsidR="0051306D" w:rsidRDefault="0051306D" w:rsidP="0051306D">
            <w:pPr>
              <w:ind w:left="970" w:hanging="970"/>
              <w:jc w:val="both"/>
              <w:rPr>
                <w:color w:val="0070C0"/>
                <w:szCs w:val="20"/>
              </w:rPr>
            </w:pPr>
            <w:r w:rsidRPr="000C4849">
              <w:rPr>
                <w:color w:val="0070C0"/>
                <w:szCs w:val="20"/>
              </w:rPr>
              <w:t xml:space="preserve">Annex I </w:t>
            </w:r>
          </w:p>
          <w:p w14:paraId="5998B455" w14:textId="77777777" w:rsidR="0051306D" w:rsidRDefault="0051306D" w:rsidP="0051306D">
            <w:pPr>
              <w:ind w:left="970" w:hanging="970"/>
              <w:jc w:val="both"/>
              <w:rPr>
                <w:color w:val="0070C0"/>
                <w:szCs w:val="20"/>
              </w:rPr>
            </w:pPr>
            <w:r w:rsidRPr="000C4849">
              <w:rPr>
                <w:color w:val="0070C0"/>
                <w:szCs w:val="20"/>
              </w:rPr>
              <w:t>Parties to the</w:t>
            </w:r>
          </w:p>
          <w:p w14:paraId="3342DD58" w14:textId="524B0B0D" w:rsidR="008C6A6C" w:rsidRPr="000C4849" w:rsidRDefault="0051306D" w:rsidP="0051306D">
            <w:pPr>
              <w:ind w:left="970" w:hanging="970"/>
              <w:jc w:val="both"/>
              <w:rPr>
                <w:color w:val="0070C0"/>
                <w:szCs w:val="20"/>
              </w:rPr>
            </w:pPr>
            <w:r w:rsidRPr="000C4849">
              <w:rPr>
                <w:color w:val="0070C0"/>
                <w:szCs w:val="20"/>
              </w:rPr>
              <w:t xml:space="preserve"> UNFCCC</w:t>
            </w:r>
          </w:p>
        </w:tc>
        <w:tc>
          <w:tcPr>
            <w:tcW w:w="0" w:type="auto"/>
          </w:tcPr>
          <w:p w14:paraId="273248B2" w14:textId="77777777" w:rsidR="008C6A6C" w:rsidRDefault="008C6A6C" w:rsidP="008C6A6C">
            <w:pPr>
              <w:ind w:left="970" w:hanging="970"/>
              <w:jc w:val="both"/>
              <w:rPr>
                <w:color w:val="0070C0"/>
                <w:sz w:val="30"/>
                <w:szCs w:val="30"/>
              </w:rPr>
            </w:pPr>
            <w:r w:rsidRPr="00BC6F10">
              <w:t>Triennial</w:t>
            </w:r>
          </w:p>
        </w:tc>
        <w:tc>
          <w:tcPr>
            <w:tcW w:w="0" w:type="auto"/>
          </w:tcPr>
          <w:p w14:paraId="4F1B9254" w14:textId="77777777" w:rsidR="008C6A6C" w:rsidRDefault="008C6A6C" w:rsidP="008C6A6C">
            <w:pPr>
              <w:ind w:left="970" w:hanging="970"/>
              <w:jc w:val="both"/>
              <w:rPr>
                <w:color w:val="0070C0"/>
                <w:sz w:val="30"/>
                <w:szCs w:val="30"/>
              </w:rPr>
            </w:pPr>
          </w:p>
        </w:tc>
        <w:tc>
          <w:tcPr>
            <w:tcW w:w="0" w:type="auto"/>
          </w:tcPr>
          <w:p w14:paraId="556E3621" w14:textId="77777777" w:rsidR="008C6A6C" w:rsidRDefault="008C6A6C" w:rsidP="008C6A6C">
            <w:pPr>
              <w:pStyle w:val="NoSpacing"/>
            </w:pPr>
            <w:r>
              <w:t>1</w:t>
            </w:r>
            <w:r w:rsidRPr="00013ACB">
              <w:rPr>
                <w:vertAlign w:val="superscript"/>
              </w:rPr>
              <w:t>st</w:t>
            </w:r>
            <w:r>
              <w:t xml:space="preserve"> Round:</w:t>
            </w:r>
          </w:p>
          <w:p w14:paraId="001F6D6E" w14:textId="77777777" w:rsidR="008C6A6C" w:rsidRDefault="008C6A6C" w:rsidP="008C6A6C">
            <w:pPr>
              <w:pStyle w:val="NoSpacing"/>
            </w:pPr>
            <w:r w:rsidRPr="004C18F9">
              <w:t>December, 2020</w:t>
            </w:r>
          </w:p>
          <w:p w14:paraId="50B5B57B" w14:textId="77777777" w:rsidR="008C6A6C" w:rsidRDefault="008C6A6C" w:rsidP="008C6A6C">
            <w:pPr>
              <w:pStyle w:val="NoSpacing"/>
            </w:pPr>
          </w:p>
          <w:p w14:paraId="66000314" w14:textId="77777777" w:rsidR="008C6A6C" w:rsidRDefault="008C6A6C" w:rsidP="008C6A6C">
            <w:pPr>
              <w:pStyle w:val="NoSpacing"/>
            </w:pPr>
            <w:r>
              <w:t>2</w:t>
            </w:r>
            <w:r w:rsidRPr="00013ACB">
              <w:rPr>
                <w:vertAlign w:val="superscript"/>
              </w:rPr>
              <w:t>nd</w:t>
            </w:r>
            <w:r>
              <w:t xml:space="preserve"> Round:</w:t>
            </w:r>
          </w:p>
          <w:p w14:paraId="298304DD" w14:textId="77777777" w:rsidR="008C6A6C" w:rsidRDefault="008C6A6C" w:rsidP="008C6A6C">
            <w:pPr>
              <w:pStyle w:val="NoSpacing"/>
            </w:pPr>
            <w:r>
              <w:t xml:space="preserve"> December, 2023</w:t>
            </w:r>
          </w:p>
          <w:p w14:paraId="225E49A9" w14:textId="77777777" w:rsidR="008C6A6C" w:rsidRDefault="008C6A6C" w:rsidP="008C6A6C">
            <w:pPr>
              <w:pStyle w:val="NoSpacing"/>
            </w:pPr>
          </w:p>
          <w:p w14:paraId="163C94CA" w14:textId="77777777" w:rsidR="008C6A6C" w:rsidRDefault="008C6A6C" w:rsidP="008C6A6C">
            <w:pPr>
              <w:pStyle w:val="NoSpacing"/>
            </w:pPr>
            <w:r>
              <w:t>3</w:t>
            </w:r>
            <w:r w:rsidRPr="00013ACB">
              <w:rPr>
                <w:vertAlign w:val="superscript"/>
              </w:rPr>
              <w:t>rd</w:t>
            </w:r>
            <w:r>
              <w:t xml:space="preserve"> Round: </w:t>
            </w:r>
          </w:p>
          <w:p w14:paraId="2D24CC4C" w14:textId="77777777" w:rsidR="008C6A6C" w:rsidRDefault="008C6A6C" w:rsidP="008C6A6C">
            <w:pPr>
              <w:pStyle w:val="NoSpacing"/>
            </w:pPr>
            <w:r>
              <w:t>December, 2026</w:t>
            </w:r>
          </w:p>
          <w:p w14:paraId="77BE3AF3" w14:textId="77777777" w:rsidR="008C6A6C" w:rsidRDefault="008C6A6C" w:rsidP="008C6A6C">
            <w:pPr>
              <w:pStyle w:val="NoSpacing"/>
            </w:pPr>
          </w:p>
          <w:p w14:paraId="57E87715" w14:textId="77777777" w:rsidR="008C6A6C" w:rsidRDefault="008C6A6C" w:rsidP="008C6A6C">
            <w:pPr>
              <w:pStyle w:val="NoSpacing"/>
            </w:pPr>
            <w:r>
              <w:t>4</w:t>
            </w:r>
            <w:r w:rsidRPr="00013ACB">
              <w:rPr>
                <w:vertAlign w:val="superscript"/>
              </w:rPr>
              <w:t>th</w:t>
            </w:r>
            <w:r>
              <w:t xml:space="preserve"> Round: </w:t>
            </w:r>
          </w:p>
          <w:p w14:paraId="0C2D55BF" w14:textId="77777777" w:rsidR="008C6A6C" w:rsidRDefault="008C6A6C" w:rsidP="008C6A6C">
            <w:pPr>
              <w:pStyle w:val="NoSpacing"/>
            </w:pPr>
            <w:r>
              <w:t>December, 2029</w:t>
            </w:r>
          </w:p>
          <w:p w14:paraId="423F3031" w14:textId="77777777" w:rsidR="008C6A6C" w:rsidRDefault="008C6A6C" w:rsidP="008C6A6C">
            <w:pPr>
              <w:pStyle w:val="NoSpacing"/>
            </w:pPr>
          </w:p>
          <w:p w14:paraId="0D289D4C" w14:textId="77777777" w:rsidR="008C6A6C" w:rsidRDefault="008C6A6C" w:rsidP="008C6A6C">
            <w:pPr>
              <w:pStyle w:val="NoSpacing"/>
            </w:pPr>
            <w:r>
              <w:t>5</w:t>
            </w:r>
            <w:r w:rsidRPr="00013ACB">
              <w:rPr>
                <w:vertAlign w:val="superscript"/>
              </w:rPr>
              <w:t>th</w:t>
            </w:r>
            <w:r>
              <w:t xml:space="preserve"> Round: </w:t>
            </w:r>
          </w:p>
          <w:p w14:paraId="6FC98D29" w14:textId="574A89B1" w:rsidR="008C6A6C" w:rsidRDefault="008C6A6C" w:rsidP="008C6A6C">
            <w:pPr>
              <w:pStyle w:val="NoSpacing"/>
            </w:pPr>
            <w:r>
              <w:t>December, 2030</w:t>
            </w:r>
          </w:p>
        </w:tc>
        <w:tc>
          <w:tcPr>
            <w:tcW w:w="0" w:type="auto"/>
          </w:tcPr>
          <w:p w14:paraId="22394646" w14:textId="77777777" w:rsidR="008C6A6C" w:rsidRDefault="008C6A6C" w:rsidP="008C6A6C">
            <w:pPr>
              <w:pStyle w:val="NoSpacing"/>
            </w:pPr>
            <w:r w:rsidRPr="005D28FF">
              <w:lastRenderedPageBreak/>
              <w:t>UNSC 51 addition included in the 2020 comprehensive review</w:t>
            </w:r>
          </w:p>
        </w:tc>
      </w:tr>
      <w:tr w:rsidR="000618B2" w14:paraId="1526F8F9" w14:textId="77777777" w:rsidTr="00D52BCB">
        <w:tc>
          <w:tcPr>
            <w:tcW w:w="0" w:type="auto"/>
            <w:gridSpan w:val="13"/>
          </w:tcPr>
          <w:p w14:paraId="62E5637F" w14:textId="77777777" w:rsidR="000618B2" w:rsidRDefault="000618B2" w:rsidP="008C6A6C">
            <w:pPr>
              <w:jc w:val="both"/>
              <w:rPr>
                <w:color w:val="0070C0"/>
                <w:sz w:val="48"/>
                <w:szCs w:val="48"/>
              </w:rPr>
            </w:pPr>
            <w:r>
              <w:rPr>
                <w:color w:val="0070C0"/>
                <w:sz w:val="30"/>
                <w:szCs w:val="30"/>
              </w:rPr>
              <w:lastRenderedPageBreak/>
              <w:t xml:space="preserve">Target </w:t>
            </w:r>
            <w:r w:rsidRPr="0098013D">
              <w:rPr>
                <w:color w:val="0070C0"/>
                <w:sz w:val="30"/>
                <w:szCs w:val="30"/>
              </w:rPr>
              <w:t>13.3 Improve education, awareness-raising and human and institutional capacity on climate change mitigation, adaptation, impact reduction and early warning</w:t>
            </w:r>
          </w:p>
        </w:tc>
      </w:tr>
      <w:tr w:rsidR="008C6A6C" w14:paraId="40D473EA" w14:textId="77777777" w:rsidTr="00A64F0D">
        <w:tc>
          <w:tcPr>
            <w:tcW w:w="0" w:type="auto"/>
          </w:tcPr>
          <w:p w14:paraId="132A2946" w14:textId="77777777" w:rsidR="008C6A6C" w:rsidRDefault="008C6A6C" w:rsidP="008C6A6C">
            <w:pPr>
              <w:pStyle w:val="NoSpacing"/>
            </w:pPr>
            <w:r w:rsidRPr="0055666E">
              <w:lastRenderedPageBreak/>
              <w:t>13.3.1 Extent to which (i) global citizenship education and (ii) education for sustainable development are mainstreamed in (a) national education policies; (b) curricula; (c) teacher education; and (d) student assessment</w:t>
            </w:r>
          </w:p>
        </w:tc>
        <w:tc>
          <w:tcPr>
            <w:tcW w:w="0" w:type="auto"/>
          </w:tcPr>
          <w:p w14:paraId="537E1A7A" w14:textId="77777777" w:rsidR="008C6A6C" w:rsidRDefault="008C6A6C" w:rsidP="008C6A6C">
            <w:pPr>
              <w:rPr>
                <w:b/>
                <w:bCs/>
                <w:szCs w:val="20"/>
              </w:rPr>
            </w:pPr>
          </w:p>
          <w:p w14:paraId="27CA8F11" w14:textId="77777777" w:rsidR="008C6A6C" w:rsidRDefault="008C6A6C" w:rsidP="008C6A6C">
            <w:pPr>
              <w:pStyle w:val="NoSpacing"/>
            </w:pPr>
            <w:r w:rsidRPr="004559CB">
              <w:t>UNESCO-UIS</w:t>
            </w:r>
          </w:p>
          <w:p w14:paraId="20DF435D" w14:textId="77777777" w:rsidR="008C6A6C" w:rsidRDefault="008C6A6C" w:rsidP="008C6A6C">
            <w:pPr>
              <w:rPr>
                <w:b/>
                <w:bCs/>
                <w:szCs w:val="20"/>
              </w:rPr>
            </w:pPr>
            <w:r w:rsidRPr="007243FC">
              <w:rPr>
                <w:b/>
                <w:bCs/>
                <w:szCs w:val="20"/>
              </w:rPr>
              <w:t>Partner Agencies:</w:t>
            </w:r>
          </w:p>
          <w:p w14:paraId="30280580" w14:textId="77777777" w:rsidR="008C6A6C" w:rsidRDefault="008C6A6C" w:rsidP="008C6A6C">
            <w:pPr>
              <w:pStyle w:val="NoSpacing"/>
            </w:pPr>
            <w:r w:rsidRPr="004559CB">
              <w:t>UNEP</w:t>
            </w:r>
          </w:p>
        </w:tc>
        <w:tc>
          <w:tcPr>
            <w:tcW w:w="0" w:type="auto"/>
          </w:tcPr>
          <w:p w14:paraId="0A67DA9E" w14:textId="77777777" w:rsidR="008C6A6C" w:rsidRDefault="008C6A6C" w:rsidP="008C6A6C">
            <w:pPr>
              <w:ind w:left="970" w:hanging="970"/>
              <w:jc w:val="both"/>
              <w:rPr>
                <w:color w:val="0070C0"/>
                <w:sz w:val="30"/>
                <w:szCs w:val="30"/>
              </w:rPr>
            </w:pPr>
            <w:r w:rsidRPr="00666BAB">
              <w:t>Tier II</w:t>
            </w:r>
          </w:p>
        </w:tc>
        <w:tc>
          <w:tcPr>
            <w:tcW w:w="0" w:type="auto"/>
          </w:tcPr>
          <w:p w14:paraId="4D3A8E14" w14:textId="77777777" w:rsidR="008C6A6C" w:rsidRPr="00914808" w:rsidRDefault="008C6A6C" w:rsidP="008C6A6C">
            <w:pPr>
              <w:spacing w:after="34" w:line="243" w:lineRule="auto"/>
              <w:ind w:left="-5" w:right="-15"/>
            </w:pPr>
            <w:r w:rsidRPr="00914808">
              <w:rPr>
                <w:rFonts w:eastAsia="Calibri" w:cs="Calibri"/>
              </w:rPr>
              <w:t>Definition:</w:t>
            </w:r>
            <w:r w:rsidRPr="00914808">
              <w:t xml:space="preserve"> </w:t>
            </w:r>
          </w:p>
          <w:p w14:paraId="5A697553" w14:textId="77777777" w:rsidR="008C6A6C" w:rsidRPr="00914808" w:rsidRDefault="008C6A6C" w:rsidP="008C6A6C">
            <w:pPr>
              <w:ind w:left="10"/>
            </w:pPr>
            <w:r w:rsidRPr="00914808">
              <w:t xml:space="preserve">Indicator 4.7.1/12.8.1/13.3.1 measures the extent to which countries mainstream Global Citizenship Education (GCED) and Education for Sustainable Development (ESD) in their education systems. This is an indicator of characteristics of different aspects of education systems:  education policies, curricula, teacher training and student assessment as reported by government officials, ideally following consultation with other government ministries, national human rights institutes, the education sector and civil society organizations. It measures what governments intend and not what is implemented in practice in schools and classrooms.  </w:t>
            </w:r>
          </w:p>
          <w:p w14:paraId="1AC6C5C0" w14:textId="77777777" w:rsidR="008C6A6C" w:rsidRPr="00914808" w:rsidRDefault="008C6A6C" w:rsidP="008C6A6C">
            <w:pPr>
              <w:spacing w:after="34"/>
            </w:pPr>
            <w:r w:rsidRPr="00914808">
              <w:t xml:space="preserve"> </w:t>
            </w:r>
          </w:p>
          <w:p w14:paraId="569D0CFF" w14:textId="77777777" w:rsidR="008C6A6C" w:rsidRPr="00914808" w:rsidRDefault="008C6A6C" w:rsidP="008C6A6C">
            <w:pPr>
              <w:ind w:left="10"/>
            </w:pPr>
            <w:r w:rsidRPr="00914808">
              <w:t xml:space="preserve">For each of the four components of the indicator (policies, curricula, teacher education, and student assessment), a number of criteria are measured, which are then combined to give a single score between zero and one for each component. (See methodology section for full details.) </w:t>
            </w:r>
          </w:p>
          <w:p w14:paraId="62087FF5" w14:textId="77777777" w:rsidR="008C6A6C" w:rsidRPr="00914808" w:rsidRDefault="008C6A6C" w:rsidP="008C6A6C">
            <w:pPr>
              <w:spacing w:after="37"/>
            </w:pPr>
            <w:r w:rsidRPr="00914808">
              <w:t xml:space="preserve"> </w:t>
            </w:r>
          </w:p>
          <w:p w14:paraId="7B21B45D" w14:textId="77777777" w:rsidR="008C6A6C" w:rsidRPr="00914808" w:rsidRDefault="008C6A6C" w:rsidP="008C6A6C">
            <w:pPr>
              <w:ind w:left="10"/>
            </w:pPr>
            <w:r w:rsidRPr="00914808">
              <w:t xml:space="preserve">The indicator and its methodology have been reviewed and endorsed by UNESCO’s </w:t>
            </w:r>
            <w:r w:rsidRPr="00914808">
              <w:rPr>
                <w:u w:val="single" w:color="000000"/>
              </w:rPr>
              <w:t>Technical Cooperation</w:t>
            </w:r>
            <w:r w:rsidRPr="00914808">
              <w:t xml:space="preserve"> </w:t>
            </w:r>
            <w:r w:rsidRPr="00914808">
              <w:rPr>
                <w:u w:val="single" w:color="000000"/>
              </w:rPr>
              <w:t>Group on the Indicators for SDG 4-Education 2030</w:t>
            </w:r>
            <w:r w:rsidRPr="00914808">
              <w:t xml:space="preserve"> (TCG), which is responsible for the development and maintenance of the thematic indicator framework for the follow-up and review of SDG 4. The TCG also has an interest in education-related indicators in other SDGs, including global indicators 12.8.1 and 13.3.1. The TCG is composed of 38 regionally representative experts from UNESCO Member States (nominated by the respective geographic groups of UNESCO), as well as international partners, civil society, and the Co-Chair of the</w:t>
            </w:r>
            <w:r w:rsidRPr="00914808">
              <w:rPr>
                <w:color w:val="FF0000"/>
              </w:rPr>
              <w:t xml:space="preserve"> </w:t>
            </w:r>
            <w:r w:rsidRPr="00914808">
              <w:rPr>
                <w:color w:val="0000FF"/>
                <w:u w:val="single" w:color="0000FF"/>
              </w:rPr>
              <w:t>Education 2030 Steering Committee</w:t>
            </w:r>
            <w:r w:rsidRPr="00914808">
              <w:t xml:space="preserve">. The </w:t>
            </w:r>
            <w:r w:rsidRPr="00914808">
              <w:rPr>
                <w:color w:val="0000FF"/>
                <w:u w:val="single" w:color="0000FF"/>
              </w:rPr>
              <w:t>UNESCO Institute for Statistics</w:t>
            </w:r>
            <w:r w:rsidRPr="00914808">
              <w:t xml:space="preserve"> acts as the Secretariat. </w:t>
            </w:r>
          </w:p>
          <w:p w14:paraId="5711563C" w14:textId="77777777" w:rsidR="008C6A6C" w:rsidRPr="00914808" w:rsidRDefault="008C6A6C" w:rsidP="008C6A6C">
            <w:pPr>
              <w:ind w:left="970" w:hanging="970"/>
              <w:jc w:val="both"/>
              <w:rPr>
                <w:color w:val="0070C0"/>
                <w:szCs w:val="30"/>
              </w:rPr>
            </w:pPr>
          </w:p>
          <w:p w14:paraId="4F261EC7" w14:textId="77777777" w:rsidR="008C6A6C" w:rsidRPr="00914808" w:rsidRDefault="008C6A6C" w:rsidP="008C6A6C">
            <w:pPr>
              <w:spacing w:after="34" w:line="243" w:lineRule="auto"/>
              <w:ind w:left="-5" w:right="-15"/>
            </w:pPr>
            <w:r w:rsidRPr="00914808">
              <w:rPr>
                <w:rFonts w:eastAsia="Calibri" w:cs="Calibri"/>
              </w:rPr>
              <w:t xml:space="preserve">Concepts: </w:t>
            </w:r>
          </w:p>
          <w:p w14:paraId="0477901D" w14:textId="77777777" w:rsidR="008C6A6C" w:rsidRPr="00914808" w:rsidRDefault="008C6A6C" w:rsidP="008C6A6C">
            <w:pPr>
              <w:spacing w:after="219"/>
              <w:ind w:left="10"/>
            </w:pPr>
            <w:r w:rsidRPr="00914808">
              <w:rPr>
                <w:rFonts w:eastAsia="Calibri" w:cs="Calibri"/>
              </w:rPr>
              <w:t xml:space="preserve">Global Citizenship Education (GCED) </w:t>
            </w:r>
            <w:r w:rsidRPr="00914808">
              <w:t>and</w:t>
            </w:r>
            <w:r w:rsidRPr="00914808">
              <w:rPr>
                <w:rFonts w:eastAsia="Calibri" w:cs="Calibri"/>
              </w:rPr>
              <w:t xml:space="preserve"> Education for Sustainable Development (ESD)</w:t>
            </w:r>
            <w:r w:rsidRPr="00914808">
              <w:t xml:space="preserve"> nurture respect for all, build a sense of belonging to a common humanity, foster responsibility for a shared planet, and help learners become responsible and active global citizens and proactive contributors to a more peaceful, tolerant, inclusive, secure and sustainable world. They aim to empower learners of all ages to face and resolve local and global challenges and to take informed decisions and actions for environmental integrity, economic viability and a just society for present and future generations, while respecting cultural diversity. </w:t>
            </w:r>
          </w:p>
          <w:p w14:paraId="79E05783" w14:textId="77777777" w:rsidR="008C6A6C" w:rsidRPr="00914808" w:rsidRDefault="008C6A6C" w:rsidP="008C6A6C">
            <w:pPr>
              <w:spacing w:after="34" w:line="243" w:lineRule="auto"/>
              <w:ind w:left="-5" w:right="-15"/>
              <w:rPr>
                <w:szCs w:val="20"/>
              </w:rPr>
            </w:pPr>
            <w:r w:rsidRPr="00914808">
              <w:rPr>
                <w:rFonts w:eastAsia="Calibri" w:cs="Calibri"/>
                <w:szCs w:val="20"/>
              </w:rPr>
              <w:t xml:space="preserve">Comments and limitations: </w:t>
            </w:r>
          </w:p>
          <w:p w14:paraId="2E8A3886" w14:textId="77777777" w:rsidR="008C6A6C" w:rsidRPr="00914808" w:rsidRDefault="008C6A6C" w:rsidP="008C6A6C">
            <w:pPr>
              <w:ind w:left="10"/>
              <w:rPr>
                <w:szCs w:val="20"/>
              </w:rPr>
            </w:pPr>
            <w:r w:rsidRPr="00914808">
              <w:rPr>
                <w:szCs w:val="20"/>
              </w:rPr>
              <w:t xml:space="preserve">The indicator is based on self-reporting by government officials. However, countries will be asked to provide supporting evidence in the form of documents or links (e.g. education policies or laws, curricula, etc.) to back up their responses. In addition, UNESCO will compare responses with available information from alternative sources and, if appropriate, raise queries with national respondents. At the end of the reporting cycle, country responses and the supporting documents will be made publicly available. </w:t>
            </w:r>
          </w:p>
          <w:p w14:paraId="07A730F1" w14:textId="77777777" w:rsidR="008C6A6C" w:rsidRPr="00914808" w:rsidRDefault="008C6A6C" w:rsidP="008C6A6C">
            <w:pPr>
              <w:ind w:left="970" w:hanging="970"/>
              <w:jc w:val="both"/>
              <w:rPr>
                <w:color w:val="0070C0"/>
                <w:szCs w:val="20"/>
              </w:rPr>
            </w:pPr>
          </w:p>
          <w:p w14:paraId="340D533C" w14:textId="77777777" w:rsidR="008C6A6C" w:rsidRPr="00914808" w:rsidRDefault="008C6A6C" w:rsidP="008C6A6C">
            <w:pPr>
              <w:spacing w:after="34" w:line="243" w:lineRule="auto"/>
              <w:ind w:left="-5" w:right="-15"/>
              <w:rPr>
                <w:szCs w:val="20"/>
              </w:rPr>
            </w:pPr>
            <w:r w:rsidRPr="00914808">
              <w:rPr>
                <w:rFonts w:eastAsia="Calibri" w:cs="Calibri"/>
                <w:szCs w:val="20"/>
              </w:rPr>
              <w:t>Computation Method:</w:t>
            </w:r>
            <w:r w:rsidRPr="00914808">
              <w:rPr>
                <w:szCs w:val="20"/>
              </w:rPr>
              <w:t xml:space="preserve"> </w:t>
            </w:r>
          </w:p>
          <w:p w14:paraId="7E3EFBC9" w14:textId="77777777" w:rsidR="008C6A6C" w:rsidRPr="00914808" w:rsidRDefault="008C6A6C" w:rsidP="008C6A6C">
            <w:pPr>
              <w:spacing w:after="65"/>
              <w:rPr>
                <w:szCs w:val="20"/>
              </w:rPr>
            </w:pPr>
            <w:r w:rsidRPr="00914808">
              <w:rPr>
                <w:szCs w:val="20"/>
              </w:rPr>
              <w:lastRenderedPageBreak/>
              <w:t xml:space="preserve"> </w:t>
            </w:r>
          </w:p>
          <w:p w14:paraId="514E49CD" w14:textId="77777777" w:rsidR="008C6A6C" w:rsidRPr="00914808" w:rsidRDefault="008C6A6C" w:rsidP="008C6A6C">
            <w:pPr>
              <w:ind w:left="10"/>
              <w:rPr>
                <w:szCs w:val="20"/>
              </w:rPr>
            </w:pPr>
            <w:r w:rsidRPr="00914808">
              <w:rPr>
                <w:szCs w:val="20"/>
              </w:rPr>
              <w:t xml:space="preserve">Information collected with the questionnaire for monitoring the implementation by UNESCO Member States of the 1974 </w:t>
            </w:r>
            <w:r w:rsidRPr="00914808">
              <w:rPr>
                <w:rFonts w:eastAsia="Calibri" w:cs="Calibri"/>
                <w:i/>
                <w:szCs w:val="20"/>
              </w:rPr>
              <w:t>Recommendation concerning Education for International Understanding, Co-operation and Peace and Education relating to Human Rights and Fundamental Freedoms</w:t>
            </w:r>
            <w:r w:rsidRPr="00914808">
              <w:rPr>
                <w:szCs w:val="20"/>
              </w:rPr>
              <w:t xml:space="preserve"> will be used for the construction of the global indicator. For each of the four components of the indicator (policies, curricula, teacher education, and student assessment), a number of criteria are measured, which are then combined to give a single score between zero and one for each component. Only information for primary and secondary education will be used for calculation of indicator 4.7.1/12.8.1/13.3.1. </w:t>
            </w:r>
          </w:p>
          <w:p w14:paraId="43721A02" w14:textId="77777777" w:rsidR="008C6A6C" w:rsidRPr="00914808" w:rsidRDefault="008C6A6C" w:rsidP="008C6A6C">
            <w:pPr>
              <w:spacing w:after="28"/>
              <w:rPr>
                <w:szCs w:val="20"/>
              </w:rPr>
            </w:pPr>
            <w:r w:rsidRPr="00914808">
              <w:rPr>
                <w:szCs w:val="20"/>
              </w:rPr>
              <w:t xml:space="preserve"> </w:t>
            </w:r>
          </w:p>
          <w:p w14:paraId="0B5CA515" w14:textId="77777777" w:rsidR="008C6A6C" w:rsidRPr="00914808" w:rsidRDefault="008C6A6C" w:rsidP="008C6A6C">
            <w:pPr>
              <w:spacing w:after="31"/>
              <w:ind w:left="333" w:right="-15"/>
              <w:rPr>
                <w:szCs w:val="20"/>
              </w:rPr>
            </w:pPr>
            <w:r w:rsidRPr="00914808">
              <w:rPr>
                <w:szCs w:val="20"/>
              </w:rPr>
              <w:t>(a)</w:t>
            </w:r>
            <w:r w:rsidRPr="00914808">
              <w:rPr>
                <w:rFonts w:eastAsia="Arial" w:cs="Arial"/>
                <w:szCs w:val="20"/>
              </w:rPr>
              <w:t xml:space="preserve"> </w:t>
            </w:r>
            <w:r w:rsidRPr="00914808">
              <w:rPr>
                <w:szCs w:val="20"/>
                <w:u w:val="single" w:color="000000"/>
              </w:rPr>
              <w:t>Laws and policies</w:t>
            </w:r>
            <w:r w:rsidRPr="00914808">
              <w:rPr>
                <w:szCs w:val="20"/>
              </w:rPr>
              <w:t xml:space="preserve"> </w:t>
            </w:r>
          </w:p>
          <w:p w14:paraId="7C35CEBF" w14:textId="77777777" w:rsidR="008C6A6C" w:rsidRPr="00914808" w:rsidRDefault="008C6A6C" w:rsidP="008C6A6C">
            <w:pPr>
              <w:spacing w:after="29"/>
              <w:rPr>
                <w:szCs w:val="20"/>
              </w:rPr>
            </w:pPr>
            <w:r w:rsidRPr="00914808">
              <w:rPr>
                <w:szCs w:val="20"/>
              </w:rPr>
              <w:t xml:space="preserve"> </w:t>
            </w:r>
          </w:p>
          <w:p w14:paraId="37497777" w14:textId="77777777" w:rsidR="008C6A6C" w:rsidRPr="00914808" w:rsidRDefault="008C6A6C" w:rsidP="008C6A6C">
            <w:pPr>
              <w:ind w:left="10"/>
              <w:rPr>
                <w:szCs w:val="20"/>
              </w:rPr>
            </w:pPr>
            <w:r w:rsidRPr="00914808">
              <w:rPr>
                <w:szCs w:val="20"/>
              </w:rPr>
              <w:t xml:space="preserve">The following questions are used to calculate the policies component of the indicator: </w:t>
            </w:r>
          </w:p>
          <w:p w14:paraId="1878D04C" w14:textId="77777777" w:rsidR="008C6A6C" w:rsidRPr="00914808" w:rsidRDefault="008C6A6C" w:rsidP="008C6A6C">
            <w:pPr>
              <w:spacing w:after="29"/>
              <w:rPr>
                <w:szCs w:val="20"/>
              </w:rPr>
            </w:pPr>
            <w:r w:rsidRPr="00914808">
              <w:rPr>
                <w:szCs w:val="20"/>
              </w:rPr>
              <w:t xml:space="preserve"> </w:t>
            </w:r>
          </w:p>
          <w:p w14:paraId="6DDBB2B2" w14:textId="77777777" w:rsidR="008C6A6C" w:rsidRPr="00914808" w:rsidRDefault="008C6A6C" w:rsidP="008C6A6C">
            <w:pPr>
              <w:spacing w:after="29" w:line="243" w:lineRule="auto"/>
              <w:ind w:left="-5"/>
              <w:rPr>
                <w:szCs w:val="20"/>
              </w:rPr>
            </w:pPr>
            <w:r w:rsidRPr="00914808">
              <w:rPr>
                <w:rFonts w:eastAsia="Calibri" w:cs="Calibri"/>
                <w:i/>
                <w:szCs w:val="20"/>
              </w:rPr>
              <w:t xml:space="preserve">A2: Please indicate which GCED and ESD themes are covered in national or sub-national </w:t>
            </w:r>
            <w:r w:rsidRPr="00914808">
              <w:rPr>
                <w:rFonts w:eastAsia="Calibri" w:cs="Calibri"/>
                <w:i/>
                <w:szCs w:val="20"/>
                <w:u w:val="single" w:color="000000"/>
              </w:rPr>
              <w:t>laws, legislation or</w:t>
            </w:r>
            <w:r w:rsidRPr="00914808">
              <w:rPr>
                <w:rFonts w:eastAsia="Calibri" w:cs="Calibri"/>
                <w:i/>
                <w:szCs w:val="20"/>
              </w:rPr>
              <w:t xml:space="preserve"> </w:t>
            </w:r>
            <w:r w:rsidRPr="00914808">
              <w:rPr>
                <w:rFonts w:eastAsia="Calibri" w:cs="Calibri"/>
                <w:i/>
                <w:szCs w:val="20"/>
                <w:u w:val="single" w:color="000000"/>
              </w:rPr>
              <w:t>legal frameworks</w:t>
            </w:r>
            <w:r w:rsidRPr="00914808">
              <w:rPr>
                <w:rFonts w:eastAsia="Calibri" w:cs="Calibri"/>
                <w:i/>
                <w:szCs w:val="20"/>
              </w:rPr>
              <w:t xml:space="preserve"> on education. </w:t>
            </w:r>
            <w:r w:rsidRPr="00914808">
              <w:rPr>
                <w:szCs w:val="20"/>
              </w:rPr>
              <w:t xml:space="preserve"> </w:t>
            </w:r>
          </w:p>
          <w:p w14:paraId="2063549F"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and two levels of government (national and sub-national) = 16 responses. </w:t>
            </w:r>
          </w:p>
          <w:p w14:paraId="1DB21847"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545A1E54"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204A61BF"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60949F12" w14:textId="77777777" w:rsidR="008C6A6C" w:rsidRPr="00914808" w:rsidRDefault="008C6A6C" w:rsidP="008C6A6C">
            <w:pPr>
              <w:spacing w:after="29"/>
              <w:rPr>
                <w:szCs w:val="20"/>
              </w:rPr>
            </w:pPr>
            <w:r w:rsidRPr="00914808">
              <w:rPr>
                <w:szCs w:val="20"/>
              </w:rPr>
              <w:t xml:space="preserve"> </w:t>
            </w:r>
          </w:p>
          <w:p w14:paraId="40A768B4" w14:textId="77777777" w:rsidR="008C6A6C" w:rsidRPr="00914808" w:rsidRDefault="008C6A6C" w:rsidP="008C6A6C">
            <w:pPr>
              <w:ind w:left="1364"/>
              <w:rPr>
                <w:szCs w:val="20"/>
              </w:rPr>
            </w:pPr>
            <w:r w:rsidRPr="00914808">
              <w:rPr>
                <w:szCs w:val="20"/>
              </w:rPr>
              <w:t xml:space="preserve">Question score = simple mean of the 0 and 1 scores, </w:t>
            </w:r>
            <w:r w:rsidRPr="00914808">
              <w:rPr>
                <w:szCs w:val="20"/>
                <w:u w:val="single" w:color="000000"/>
              </w:rPr>
              <w:t xml:space="preserve">excluding not applicables </w:t>
            </w:r>
            <w:r w:rsidRPr="00914808">
              <w:rPr>
                <w:szCs w:val="20"/>
              </w:rPr>
              <w:t xml:space="preserve">(i.e., if eight of the 16 responses are ‘not applicable’, the sum of the 0 and 1 scores is divided by 8 to get the mean and not by 16). </w:t>
            </w:r>
          </w:p>
          <w:p w14:paraId="7168A232" w14:textId="77777777" w:rsidR="008C6A6C" w:rsidRPr="00914808" w:rsidRDefault="008C6A6C" w:rsidP="008C6A6C">
            <w:pPr>
              <w:spacing w:after="29" w:line="243" w:lineRule="auto"/>
              <w:ind w:left="-5"/>
              <w:rPr>
                <w:szCs w:val="20"/>
              </w:rPr>
            </w:pPr>
            <w:r w:rsidRPr="00914808">
              <w:rPr>
                <w:rFonts w:eastAsia="Calibri" w:cs="Calibri"/>
                <w:szCs w:val="20"/>
              </w:rPr>
              <w:t xml:space="preserve">A4. Please indicate which GCED and ESD themes are covered in national or sub-national </w:t>
            </w:r>
            <w:r w:rsidRPr="00914808">
              <w:rPr>
                <w:rFonts w:eastAsia="Calibri" w:cs="Calibri"/>
                <w:szCs w:val="20"/>
                <w:u w:val="single" w:color="000000"/>
              </w:rPr>
              <w:t>education policies,</w:t>
            </w:r>
            <w:r w:rsidRPr="00914808">
              <w:rPr>
                <w:rFonts w:eastAsia="Calibri" w:cs="Calibri"/>
                <w:szCs w:val="20"/>
              </w:rPr>
              <w:t xml:space="preserve"> </w:t>
            </w:r>
            <w:r w:rsidRPr="00914808">
              <w:rPr>
                <w:rFonts w:eastAsia="Calibri" w:cs="Calibri"/>
                <w:szCs w:val="20"/>
                <w:u w:val="single" w:color="000000"/>
              </w:rPr>
              <w:t>frameworks or strategic objectives</w:t>
            </w:r>
            <w:r w:rsidRPr="00914808">
              <w:rPr>
                <w:rFonts w:eastAsia="Calibri" w:cs="Calibri"/>
                <w:szCs w:val="20"/>
              </w:rPr>
              <w:t>.</w:t>
            </w:r>
            <w:r w:rsidRPr="00914808">
              <w:rPr>
                <w:szCs w:val="20"/>
              </w:rPr>
              <w:t xml:space="preserve">  </w:t>
            </w:r>
          </w:p>
          <w:p w14:paraId="56234C14" w14:textId="77777777" w:rsidR="008C6A6C" w:rsidRPr="00914808" w:rsidRDefault="008C6A6C" w:rsidP="008C6A6C">
            <w:pPr>
              <w:ind w:left="970" w:hanging="970"/>
              <w:jc w:val="both"/>
              <w:rPr>
                <w:color w:val="0070C0"/>
                <w:szCs w:val="20"/>
              </w:rPr>
            </w:pPr>
          </w:p>
          <w:p w14:paraId="232A751B"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 8 responses.  </w:t>
            </w:r>
          </w:p>
          <w:p w14:paraId="2EDB5E7B" w14:textId="77777777" w:rsidR="008C6A6C" w:rsidRPr="00914808" w:rsidRDefault="008C6A6C" w:rsidP="008C6A6C">
            <w:pPr>
              <w:rPr>
                <w:szCs w:val="20"/>
              </w:rPr>
            </w:pPr>
            <w:r w:rsidRPr="00914808">
              <w:rPr>
                <w:szCs w:val="20"/>
              </w:rPr>
              <w:t xml:space="preserve">Response categories are no = 0, yes = 1, unknown (treated as zero), and not applicable, which is ignored. Blanks are also treated as zeros.  </w:t>
            </w:r>
          </w:p>
          <w:p w14:paraId="30C46E13"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7ABF9D20" w14:textId="77777777" w:rsidR="008C6A6C" w:rsidRPr="00914808" w:rsidRDefault="008C6A6C" w:rsidP="008C6A6C">
            <w:pPr>
              <w:spacing w:after="29"/>
              <w:ind w:left="677"/>
              <w:rPr>
                <w:szCs w:val="20"/>
              </w:rPr>
            </w:pPr>
            <w:r w:rsidRPr="00914808">
              <w:rPr>
                <w:szCs w:val="20"/>
              </w:rPr>
              <w:t xml:space="preserve"> </w:t>
            </w:r>
          </w:p>
          <w:p w14:paraId="23FBC6BE" w14:textId="77777777" w:rsidR="008C6A6C" w:rsidRPr="00914808" w:rsidRDefault="008C6A6C" w:rsidP="008C6A6C">
            <w:pPr>
              <w:ind w:left="1364"/>
              <w:rPr>
                <w:szCs w:val="20"/>
              </w:rPr>
            </w:pPr>
            <w:r w:rsidRPr="00914808">
              <w:rPr>
                <w:szCs w:val="20"/>
              </w:rPr>
              <w:t xml:space="preserve">Question score = simple mean of the 0 and 1 scores. </w:t>
            </w:r>
          </w:p>
          <w:p w14:paraId="0D043314" w14:textId="77777777" w:rsidR="008C6A6C" w:rsidRPr="00914808" w:rsidRDefault="008C6A6C" w:rsidP="008C6A6C">
            <w:pPr>
              <w:spacing w:after="29" w:line="243" w:lineRule="auto"/>
              <w:ind w:left="-5"/>
              <w:rPr>
                <w:szCs w:val="20"/>
              </w:rPr>
            </w:pPr>
            <w:r w:rsidRPr="00914808">
              <w:rPr>
                <w:rFonts w:eastAsia="Calibri" w:cs="Calibri"/>
                <w:i/>
                <w:szCs w:val="20"/>
              </w:rPr>
              <w:t xml:space="preserve">A5. Please indicate whether national or sub-national </w:t>
            </w:r>
            <w:r w:rsidRPr="00914808">
              <w:rPr>
                <w:rFonts w:eastAsia="Calibri" w:cs="Calibri"/>
                <w:i/>
                <w:szCs w:val="20"/>
                <w:u w:val="single" w:color="000000"/>
              </w:rPr>
              <w:t>education policies, frameworks or strategic objectives</w:t>
            </w:r>
            <w:r w:rsidRPr="00914808">
              <w:rPr>
                <w:rFonts w:eastAsia="Calibri" w:cs="Calibri"/>
                <w:i/>
                <w:szCs w:val="20"/>
              </w:rPr>
              <w:t xml:space="preserve"> on </w:t>
            </w:r>
            <w:r w:rsidRPr="00914808">
              <w:rPr>
                <w:rFonts w:eastAsia="Calibri" w:cs="Calibri"/>
                <w:i/>
                <w:szCs w:val="20"/>
              </w:rPr>
              <w:lastRenderedPageBreak/>
              <w:t xml:space="preserve">education provide a mandate to integrate GCED and ESD. </w:t>
            </w:r>
            <w:r w:rsidRPr="00914808">
              <w:rPr>
                <w:szCs w:val="20"/>
              </w:rPr>
              <w:t xml:space="preserve"> </w:t>
            </w:r>
          </w:p>
          <w:p w14:paraId="752847C0" w14:textId="77777777" w:rsidR="008C6A6C" w:rsidRPr="00914808" w:rsidRDefault="008C6A6C" w:rsidP="008C6A6C">
            <w:pPr>
              <w:spacing w:after="29"/>
              <w:rPr>
                <w:szCs w:val="20"/>
              </w:rPr>
            </w:pPr>
            <w:r w:rsidRPr="00914808">
              <w:rPr>
                <w:szCs w:val="20"/>
              </w:rPr>
              <w:t xml:space="preserve"> </w:t>
            </w:r>
          </w:p>
          <w:p w14:paraId="25558783" w14:textId="77777777" w:rsidR="008C6A6C" w:rsidRPr="00914808" w:rsidRDefault="008C6A6C" w:rsidP="008C6A6C">
            <w:pPr>
              <w:rPr>
                <w:szCs w:val="20"/>
              </w:rPr>
            </w:pPr>
            <w:r w:rsidRPr="00914808">
              <w:rPr>
                <w:szCs w:val="20"/>
              </w:rPr>
              <w:t xml:space="preserve">There are two levels of government (national, sub-national) and five areas of integration (curricula, learning objectives, textbooks, teacher education, and student assessment) = 10 responses.  Response categories are no = 0, yes = 1, unknown (treated as zero), and not applicable, which is ignored. Blanks are also treated as zeros.  </w:t>
            </w:r>
          </w:p>
          <w:p w14:paraId="5D3C82AE"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756E4219"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21EAA0B6" w14:textId="77777777" w:rsidR="008C6A6C" w:rsidRPr="00914808" w:rsidRDefault="008C6A6C" w:rsidP="008C6A6C">
            <w:pPr>
              <w:spacing w:after="27"/>
              <w:ind w:left="677"/>
              <w:rPr>
                <w:szCs w:val="20"/>
              </w:rPr>
            </w:pPr>
            <w:r w:rsidRPr="00914808">
              <w:rPr>
                <w:szCs w:val="20"/>
              </w:rPr>
              <w:t xml:space="preserve"> </w:t>
            </w:r>
          </w:p>
          <w:p w14:paraId="412421AF" w14:textId="77777777" w:rsidR="008C6A6C" w:rsidRPr="00914808" w:rsidRDefault="008C6A6C" w:rsidP="008C6A6C">
            <w:pPr>
              <w:ind w:left="1364"/>
              <w:rPr>
                <w:szCs w:val="20"/>
              </w:rPr>
            </w:pPr>
            <w:r w:rsidRPr="00914808">
              <w:rPr>
                <w:szCs w:val="20"/>
              </w:rPr>
              <w:t xml:space="preserve">Question score = simple mean of the 0 and 1 scores, </w:t>
            </w:r>
            <w:r w:rsidRPr="00914808">
              <w:rPr>
                <w:szCs w:val="20"/>
                <w:u w:val="single" w:color="000000"/>
              </w:rPr>
              <w:t xml:space="preserve">excluding not applicables </w:t>
            </w:r>
            <w:r w:rsidRPr="00914808">
              <w:rPr>
                <w:szCs w:val="20"/>
              </w:rPr>
              <w:t xml:space="preserve">(i.e., if five of the 10 responses are ‘not applicable’, the sum of the 0 and 1 scores is divided by 5 to get the mean and not by 10). </w:t>
            </w:r>
          </w:p>
          <w:p w14:paraId="222D1FED" w14:textId="77777777" w:rsidR="008C6A6C" w:rsidRPr="00914808" w:rsidRDefault="008C6A6C" w:rsidP="008C6A6C">
            <w:pPr>
              <w:rPr>
                <w:szCs w:val="20"/>
              </w:rPr>
            </w:pPr>
            <w:r w:rsidRPr="00914808">
              <w:rPr>
                <w:rFonts w:eastAsia="Calibri" w:cs="Calibri"/>
                <w:i/>
                <w:szCs w:val="20"/>
              </w:rPr>
              <w:t xml:space="preserve"> </w:t>
            </w:r>
          </w:p>
          <w:p w14:paraId="382E8969"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(laws and policies) please indicate to what extent global citizenship education (GCED) and education for sustainable development (ESD) are mainstreamed</w:t>
            </w:r>
            <w:r w:rsidRPr="00914808">
              <w:rPr>
                <w:rFonts w:eastAsia="Calibri" w:cs="Calibri"/>
                <w:i/>
                <w:szCs w:val="20"/>
                <w:vertAlign w:val="superscript"/>
              </w:rPr>
              <w:t>1</w:t>
            </w:r>
            <w:r w:rsidRPr="00914808">
              <w:rPr>
                <w:rFonts w:eastAsia="Calibri" w:cs="Calibri"/>
                <w:i/>
                <w:szCs w:val="20"/>
              </w:rPr>
              <w:t xml:space="preserve"> in education laws and policies in your country.</w:t>
            </w:r>
            <w:r w:rsidRPr="00914808">
              <w:rPr>
                <w:szCs w:val="20"/>
              </w:rPr>
              <w:t xml:space="preserve">  </w:t>
            </w:r>
          </w:p>
          <w:p w14:paraId="6C5A5177" w14:textId="77777777" w:rsidR="008C6A6C" w:rsidRPr="00914808" w:rsidRDefault="008C6A6C" w:rsidP="008C6A6C">
            <w:pPr>
              <w:rPr>
                <w:szCs w:val="20"/>
              </w:rPr>
            </w:pPr>
            <w:r w:rsidRPr="00914808">
              <w:rPr>
                <w:szCs w:val="20"/>
              </w:rPr>
              <w:t xml:space="preserve"> </w:t>
            </w:r>
          </w:p>
          <w:p w14:paraId="5FF437A4" w14:textId="77777777" w:rsidR="008C6A6C" w:rsidRPr="00914808" w:rsidRDefault="008C6A6C" w:rsidP="008C6A6C">
            <w:pPr>
              <w:rPr>
                <w:szCs w:val="20"/>
              </w:rPr>
            </w:pPr>
            <w:r w:rsidRPr="00914808">
              <w:rPr>
                <w:szCs w:val="20"/>
              </w:rPr>
              <w:t xml:space="preserve">There are two levels of government (national, sub-national) = 2 responses.  </w:t>
            </w:r>
          </w:p>
          <w:p w14:paraId="370780B2"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35E0F8A4"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12AF8C77"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73AC5F62" w14:textId="77777777" w:rsidR="008C6A6C" w:rsidRPr="00914808" w:rsidRDefault="008C6A6C" w:rsidP="008C6A6C">
            <w:pPr>
              <w:rPr>
                <w:szCs w:val="20"/>
              </w:rPr>
            </w:pPr>
            <w:r w:rsidRPr="00914808">
              <w:rPr>
                <w:szCs w:val="20"/>
              </w:rPr>
              <w:t xml:space="preserve"> </w:t>
            </w:r>
          </w:p>
          <w:p w14:paraId="36D42E9C"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one of the two responses is ‘not applicable’, the sum of the 0, 1 and 2 scores is divided by 2 to get half the mean and not by 4). The score is half the mean in order to ensure it </w:t>
            </w:r>
            <w:proofErr w:type="gramStart"/>
            <w:r w:rsidRPr="00914808">
              <w:rPr>
                <w:szCs w:val="20"/>
              </w:rPr>
              <w:t>lies</w:t>
            </w:r>
            <w:proofErr w:type="gramEnd"/>
            <w:r w:rsidRPr="00914808">
              <w:rPr>
                <w:szCs w:val="20"/>
              </w:rPr>
              <w:t xml:space="preserve"> between 0 and 1 as do the scores for the other three questions in this section. </w:t>
            </w:r>
          </w:p>
          <w:p w14:paraId="050CE1D4" w14:textId="77777777" w:rsidR="008C6A6C" w:rsidRPr="00914808" w:rsidRDefault="008C6A6C" w:rsidP="008C6A6C">
            <w:pPr>
              <w:ind w:left="677"/>
              <w:rPr>
                <w:szCs w:val="20"/>
              </w:rPr>
            </w:pPr>
            <w:r w:rsidRPr="00914808">
              <w:rPr>
                <w:szCs w:val="20"/>
              </w:rPr>
              <w:t xml:space="preserve"> </w:t>
            </w:r>
          </w:p>
          <w:p w14:paraId="5A403C9C" w14:textId="77777777" w:rsidR="008C6A6C" w:rsidRPr="00914808" w:rsidRDefault="008C6A6C" w:rsidP="008C6A6C">
            <w:pPr>
              <w:ind w:left="10"/>
              <w:rPr>
                <w:szCs w:val="20"/>
              </w:rPr>
            </w:pPr>
            <w:r w:rsidRPr="00914808">
              <w:rPr>
                <w:szCs w:val="20"/>
              </w:rPr>
              <w:t xml:space="preserve">Policy component score = simple mean of the scores for questions A2, A4, A5 and E1 (except where the component score should not be calculated because too many responses were unknown or blank). </w:t>
            </w:r>
          </w:p>
          <w:p w14:paraId="6D620828" w14:textId="77777777" w:rsidR="008C6A6C" w:rsidRPr="00914808" w:rsidRDefault="008C6A6C" w:rsidP="008C6A6C">
            <w:pPr>
              <w:spacing w:after="30"/>
              <w:ind w:left="677"/>
              <w:rPr>
                <w:szCs w:val="20"/>
              </w:rPr>
            </w:pPr>
            <w:r w:rsidRPr="00914808">
              <w:rPr>
                <w:szCs w:val="20"/>
              </w:rPr>
              <w:t xml:space="preserve"> </w:t>
            </w:r>
          </w:p>
          <w:p w14:paraId="64DFDE6A" w14:textId="77777777" w:rsidR="008C6A6C" w:rsidRPr="00914808" w:rsidRDefault="008C6A6C" w:rsidP="008C6A6C">
            <w:pPr>
              <w:spacing w:after="31"/>
              <w:ind w:left="333" w:right="-15"/>
              <w:rPr>
                <w:szCs w:val="20"/>
              </w:rPr>
            </w:pPr>
            <w:r w:rsidRPr="00914808">
              <w:rPr>
                <w:szCs w:val="20"/>
              </w:rPr>
              <w:t>(b)</w:t>
            </w:r>
            <w:r w:rsidRPr="00914808">
              <w:rPr>
                <w:rFonts w:eastAsia="Arial" w:cs="Arial"/>
                <w:szCs w:val="20"/>
              </w:rPr>
              <w:t xml:space="preserve"> </w:t>
            </w:r>
            <w:r w:rsidRPr="00914808">
              <w:rPr>
                <w:szCs w:val="20"/>
                <w:u w:val="single" w:color="000000"/>
              </w:rPr>
              <w:t>Curricula</w:t>
            </w:r>
            <w:r w:rsidRPr="00914808">
              <w:rPr>
                <w:szCs w:val="20"/>
              </w:rPr>
              <w:t xml:space="preserve"> </w:t>
            </w:r>
          </w:p>
          <w:p w14:paraId="7B647A52" w14:textId="77777777" w:rsidR="008C6A6C" w:rsidRPr="00914808" w:rsidRDefault="008C6A6C" w:rsidP="008C6A6C">
            <w:pPr>
              <w:rPr>
                <w:szCs w:val="20"/>
              </w:rPr>
            </w:pPr>
            <w:r w:rsidRPr="00914808">
              <w:rPr>
                <w:szCs w:val="20"/>
              </w:rPr>
              <w:t xml:space="preserve"> </w:t>
            </w:r>
          </w:p>
          <w:p w14:paraId="58B5989E" w14:textId="77777777" w:rsidR="008C6A6C" w:rsidRPr="00914808" w:rsidRDefault="008C6A6C" w:rsidP="008C6A6C">
            <w:pPr>
              <w:ind w:left="10"/>
              <w:rPr>
                <w:szCs w:val="20"/>
              </w:rPr>
            </w:pPr>
            <w:r w:rsidRPr="00914808">
              <w:rPr>
                <w:szCs w:val="20"/>
              </w:rPr>
              <w:t xml:space="preserve">The following questions are used to calculate the curricula component of the indicator: </w:t>
            </w:r>
          </w:p>
          <w:p w14:paraId="49ACD6EA" w14:textId="77777777" w:rsidR="008C6A6C" w:rsidRPr="00914808" w:rsidRDefault="008C6A6C" w:rsidP="008C6A6C">
            <w:pPr>
              <w:spacing w:after="27"/>
              <w:rPr>
                <w:szCs w:val="20"/>
              </w:rPr>
            </w:pPr>
            <w:r w:rsidRPr="00914808">
              <w:rPr>
                <w:szCs w:val="20"/>
              </w:rPr>
              <w:t xml:space="preserve"> </w:t>
            </w:r>
          </w:p>
          <w:p w14:paraId="06BDAFF8" w14:textId="77777777" w:rsidR="008C6A6C" w:rsidRPr="00914808" w:rsidRDefault="008C6A6C" w:rsidP="008C6A6C">
            <w:pPr>
              <w:spacing w:after="29" w:line="243" w:lineRule="auto"/>
              <w:ind w:left="-5"/>
              <w:rPr>
                <w:szCs w:val="20"/>
              </w:rPr>
            </w:pPr>
            <w:r w:rsidRPr="00914808">
              <w:rPr>
                <w:rFonts w:eastAsia="Calibri" w:cs="Calibri"/>
                <w:i/>
                <w:szCs w:val="20"/>
              </w:rPr>
              <w:t>B2: Please indicate which GCED and ESD themes are taught as part of the curriculum.</w:t>
            </w:r>
            <w:r w:rsidRPr="00914808">
              <w:rPr>
                <w:szCs w:val="20"/>
              </w:rPr>
              <w:t xml:space="preserve">  </w:t>
            </w:r>
          </w:p>
          <w:p w14:paraId="36147238" w14:textId="77777777" w:rsidR="008C6A6C" w:rsidRPr="00914808" w:rsidRDefault="008C6A6C" w:rsidP="008C6A6C">
            <w:pPr>
              <w:spacing w:after="29"/>
              <w:rPr>
                <w:szCs w:val="20"/>
              </w:rPr>
            </w:pPr>
            <w:r w:rsidRPr="00914808">
              <w:rPr>
                <w:szCs w:val="20"/>
              </w:rPr>
              <w:t xml:space="preserve"> </w:t>
            </w:r>
          </w:p>
          <w:p w14:paraId="496E9FDE" w14:textId="77777777" w:rsidR="008C6A6C" w:rsidRPr="00914808" w:rsidRDefault="008C6A6C" w:rsidP="008C6A6C">
            <w:pPr>
              <w:rPr>
                <w:szCs w:val="20"/>
              </w:rPr>
            </w:pPr>
            <w:r w:rsidRPr="00914808">
              <w:rPr>
                <w:szCs w:val="20"/>
              </w:rPr>
              <w:lastRenderedPageBreak/>
              <w:t xml:space="preserve">There are eight GCED/ESD themes (cultural diversity and tolerance, gender equality, human rights, peace and non-violence, climate change, environmental sustainability, human survival and wellbeing, and sustainable consumption and production) = 8responses. </w:t>
            </w:r>
          </w:p>
          <w:p w14:paraId="33F7D31A"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456A62EA" w14:textId="77777777" w:rsidR="008C6A6C" w:rsidRPr="00914808" w:rsidRDefault="008C6A6C" w:rsidP="008C6A6C">
            <w:pPr>
              <w:spacing w:after="28" w:line="247" w:lineRule="auto"/>
              <w:ind w:left="687"/>
              <w:rPr>
                <w:szCs w:val="20"/>
              </w:rPr>
            </w:pPr>
            <w:r w:rsidRPr="00914808">
              <w:rPr>
                <w:szCs w:val="20"/>
              </w:rPr>
              <w:t xml:space="preserve">If more than half of responses are unknown or blank, the component score is not calculated.  Note that responses to ‘other </w:t>
            </w:r>
            <w:proofErr w:type="gramStart"/>
            <w:r w:rsidRPr="00914808">
              <w:rPr>
                <w:szCs w:val="20"/>
              </w:rPr>
              <w:t>subjects,</w:t>
            </w:r>
            <w:proofErr w:type="gramEnd"/>
            <w:r w:rsidRPr="00914808">
              <w:rPr>
                <w:szCs w:val="20"/>
              </w:rPr>
              <w:t xml:space="preserve"> please specify’ in the question are ignored. If appropriate, during quality assurance answers in this category may be recoded to one of the other 12 subjects. </w:t>
            </w:r>
          </w:p>
          <w:p w14:paraId="1D617603" w14:textId="77777777" w:rsidR="008C6A6C" w:rsidRPr="00914808" w:rsidRDefault="008C6A6C" w:rsidP="008C6A6C">
            <w:pPr>
              <w:ind w:left="677"/>
              <w:rPr>
                <w:szCs w:val="20"/>
              </w:rPr>
            </w:pPr>
            <w:r w:rsidRPr="00914808">
              <w:rPr>
                <w:szCs w:val="20"/>
              </w:rPr>
              <w:t xml:space="preserve"> </w:t>
            </w:r>
          </w:p>
          <w:p w14:paraId="3EF9241C" w14:textId="77777777" w:rsidR="008C6A6C" w:rsidRPr="00914808" w:rsidRDefault="008C6A6C" w:rsidP="008C6A6C">
            <w:pPr>
              <w:ind w:left="1364"/>
              <w:rPr>
                <w:szCs w:val="20"/>
              </w:rPr>
            </w:pPr>
            <w:r w:rsidRPr="00914808">
              <w:rPr>
                <w:szCs w:val="20"/>
              </w:rPr>
              <w:t xml:space="preserve">Question score = simple mean of the 0 and 1 scores. </w:t>
            </w:r>
          </w:p>
          <w:p w14:paraId="76EB29E6" w14:textId="77777777" w:rsidR="008C6A6C" w:rsidRPr="00914808" w:rsidRDefault="008C6A6C" w:rsidP="008C6A6C">
            <w:pPr>
              <w:spacing w:after="29" w:line="243" w:lineRule="auto"/>
              <w:ind w:left="-5"/>
              <w:rPr>
                <w:szCs w:val="20"/>
              </w:rPr>
            </w:pPr>
            <w:r w:rsidRPr="00914808">
              <w:rPr>
                <w:rFonts w:eastAsia="Calibri" w:cs="Calibri"/>
                <w:i/>
                <w:szCs w:val="20"/>
              </w:rPr>
              <w:t>B4. Please indicate the approaches used to teach GCED and ESD in primary and secondary education.</w:t>
            </w:r>
            <w:r w:rsidRPr="00914808">
              <w:rPr>
                <w:szCs w:val="20"/>
              </w:rPr>
              <w:t xml:space="preserve">  </w:t>
            </w:r>
          </w:p>
          <w:p w14:paraId="36B353B1" w14:textId="77777777" w:rsidR="008C6A6C" w:rsidRPr="00914808" w:rsidRDefault="008C6A6C" w:rsidP="008C6A6C">
            <w:pPr>
              <w:rPr>
                <w:szCs w:val="20"/>
              </w:rPr>
            </w:pPr>
            <w:r w:rsidRPr="00914808">
              <w:rPr>
                <w:szCs w:val="20"/>
              </w:rPr>
              <w:t xml:space="preserve"> </w:t>
            </w:r>
          </w:p>
          <w:p w14:paraId="189E7FF3" w14:textId="77777777" w:rsidR="008C6A6C" w:rsidRPr="00914808" w:rsidRDefault="008C6A6C" w:rsidP="008C6A6C">
            <w:pPr>
              <w:rPr>
                <w:szCs w:val="20"/>
              </w:rPr>
            </w:pPr>
            <w:r w:rsidRPr="00914808">
              <w:rPr>
                <w:szCs w:val="20"/>
              </w:rPr>
              <w:t xml:space="preserve">There are four teaching approaches (GCED/ESD as separate subjects, cross-curricular, integrated, whole school) = 4 responses.  </w:t>
            </w:r>
          </w:p>
          <w:p w14:paraId="139F4E2B"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618686A2" w14:textId="77777777" w:rsidR="008C6A6C" w:rsidRPr="00914808" w:rsidRDefault="008C6A6C" w:rsidP="008C6A6C">
            <w:pPr>
              <w:spacing w:after="363"/>
              <w:rPr>
                <w:szCs w:val="20"/>
              </w:rPr>
            </w:pPr>
            <w:r w:rsidRPr="00914808">
              <w:rPr>
                <w:szCs w:val="20"/>
              </w:rPr>
              <w:t xml:space="preserve">If more than half of responses are unknown or blank the component score is not calculated. </w:t>
            </w:r>
          </w:p>
          <w:p w14:paraId="00E7EBD8" w14:textId="77777777" w:rsidR="008C6A6C" w:rsidRPr="00914808" w:rsidRDefault="008C6A6C" w:rsidP="008C6A6C">
            <w:pPr>
              <w:spacing w:after="356"/>
              <w:ind w:left="-5" w:right="-15"/>
              <w:rPr>
                <w:szCs w:val="20"/>
              </w:rPr>
            </w:pPr>
            <w:r w:rsidRPr="00914808">
              <w:rPr>
                <w:szCs w:val="20"/>
              </w:rPr>
              <w:t>1</w:t>
            </w:r>
          </w:p>
          <w:p w14:paraId="5C4F5BAA" w14:textId="77777777" w:rsidR="008C6A6C" w:rsidRPr="00914808" w:rsidRDefault="008C6A6C" w:rsidP="008C6A6C">
            <w:pPr>
              <w:spacing w:after="15"/>
              <w:ind w:left="10" w:right="-7"/>
              <w:jc w:val="right"/>
              <w:rPr>
                <w:szCs w:val="20"/>
              </w:rPr>
            </w:pPr>
            <w:r w:rsidRPr="00914808">
              <w:rPr>
                <w:szCs w:val="20"/>
              </w:rPr>
              <w:t xml:space="preserve">ities), </w:t>
            </w:r>
          </w:p>
          <w:p w14:paraId="6B7C6A50" w14:textId="77777777" w:rsidR="008C6A6C" w:rsidRPr="00914808" w:rsidRDefault="008C6A6C" w:rsidP="008C6A6C">
            <w:pPr>
              <w:ind w:left="677"/>
              <w:rPr>
                <w:szCs w:val="20"/>
              </w:rPr>
            </w:pPr>
            <w:r w:rsidRPr="00914808">
              <w:rPr>
                <w:szCs w:val="20"/>
              </w:rPr>
              <w:t xml:space="preserve"> </w:t>
            </w:r>
          </w:p>
          <w:p w14:paraId="1F077766" w14:textId="77777777" w:rsidR="008C6A6C" w:rsidRPr="00914808" w:rsidRDefault="008C6A6C" w:rsidP="008C6A6C">
            <w:pPr>
              <w:ind w:left="1364"/>
              <w:rPr>
                <w:szCs w:val="20"/>
              </w:rPr>
            </w:pPr>
            <w:r w:rsidRPr="00914808">
              <w:rPr>
                <w:szCs w:val="20"/>
              </w:rPr>
              <w:t xml:space="preserve">Question score = simple mean of the 0 and 1 scores. </w:t>
            </w:r>
          </w:p>
          <w:p w14:paraId="7C7C531A" w14:textId="77777777" w:rsidR="008C6A6C" w:rsidRPr="00914808" w:rsidRDefault="008C6A6C" w:rsidP="008C6A6C">
            <w:pPr>
              <w:ind w:left="677"/>
              <w:rPr>
                <w:szCs w:val="20"/>
              </w:rPr>
            </w:pPr>
            <w:r w:rsidRPr="00914808">
              <w:rPr>
                <w:szCs w:val="20"/>
              </w:rPr>
              <w:t xml:space="preserve"> </w:t>
            </w:r>
          </w:p>
          <w:p w14:paraId="488CFE7C"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(curricula) please indicate to what extent global citizenship education (GCED) and education for sustainable development (ESD) are mainstreamed</w:t>
            </w:r>
            <w:r w:rsidRPr="00914808">
              <w:rPr>
                <w:rFonts w:eastAsia="Calibri" w:cs="Calibri"/>
                <w:i/>
                <w:szCs w:val="20"/>
                <w:vertAlign w:val="superscript"/>
              </w:rPr>
              <w:t>2</w:t>
            </w:r>
            <w:r w:rsidRPr="00914808">
              <w:rPr>
                <w:rFonts w:eastAsia="Calibri" w:cs="Calibri"/>
                <w:i/>
                <w:szCs w:val="20"/>
              </w:rPr>
              <w:t xml:space="preserve"> in curricula in your country.</w:t>
            </w:r>
            <w:r w:rsidRPr="00914808">
              <w:rPr>
                <w:szCs w:val="20"/>
              </w:rPr>
              <w:t xml:space="preserve">  </w:t>
            </w:r>
          </w:p>
          <w:p w14:paraId="640BC691" w14:textId="77777777" w:rsidR="008C6A6C" w:rsidRPr="00914808" w:rsidRDefault="008C6A6C" w:rsidP="008C6A6C">
            <w:pPr>
              <w:spacing w:after="27"/>
              <w:rPr>
                <w:szCs w:val="20"/>
              </w:rPr>
            </w:pPr>
            <w:r w:rsidRPr="00914808">
              <w:rPr>
                <w:szCs w:val="20"/>
              </w:rPr>
              <w:t xml:space="preserve"> </w:t>
            </w:r>
          </w:p>
          <w:p w14:paraId="32CD9B9E" w14:textId="77777777" w:rsidR="008C6A6C" w:rsidRPr="00914808" w:rsidRDefault="008C6A6C" w:rsidP="008C6A6C">
            <w:pPr>
              <w:rPr>
                <w:szCs w:val="20"/>
              </w:rPr>
            </w:pPr>
            <w:r w:rsidRPr="00914808">
              <w:rPr>
                <w:szCs w:val="20"/>
              </w:rPr>
              <w:t xml:space="preserve">There are two levels of government (national, sub-national) = 2 responses. </w:t>
            </w:r>
          </w:p>
          <w:p w14:paraId="14D7C84E"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352C0BE3"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75D0DC1A"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6898CD13" w14:textId="77777777" w:rsidR="008C6A6C" w:rsidRPr="00914808" w:rsidRDefault="008C6A6C" w:rsidP="008C6A6C">
            <w:pPr>
              <w:spacing w:after="29"/>
              <w:ind w:left="677"/>
              <w:rPr>
                <w:szCs w:val="20"/>
              </w:rPr>
            </w:pPr>
            <w:r w:rsidRPr="00914808">
              <w:rPr>
                <w:szCs w:val="20"/>
              </w:rPr>
              <w:t xml:space="preserve"> </w:t>
            </w:r>
          </w:p>
          <w:p w14:paraId="49004704"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one of the two responses is ‘not applicable’, the sum of the 0, 1 and 2 scores is divided by 2 to get half the mean and not by 4). The score is half the mean in order to ensure it lies between 0 </w:t>
            </w:r>
            <w:r w:rsidRPr="00914808">
              <w:rPr>
                <w:szCs w:val="20"/>
              </w:rPr>
              <w:lastRenderedPageBreak/>
              <w:t xml:space="preserve">and 1, as do the scores for the other three questions in this section. </w:t>
            </w:r>
          </w:p>
          <w:p w14:paraId="2AB13A9F" w14:textId="77777777" w:rsidR="008C6A6C" w:rsidRPr="00914808" w:rsidRDefault="008C6A6C" w:rsidP="008C6A6C">
            <w:pPr>
              <w:spacing w:after="29"/>
              <w:ind w:left="677"/>
              <w:rPr>
                <w:szCs w:val="20"/>
              </w:rPr>
            </w:pPr>
            <w:r w:rsidRPr="00914808">
              <w:rPr>
                <w:szCs w:val="20"/>
              </w:rPr>
              <w:t xml:space="preserve"> </w:t>
            </w:r>
          </w:p>
          <w:p w14:paraId="6C22BB41" w14:textId="77777777" w:rsidR="008C6A6C" w:rsidRPr="00914808" w:rsidRDefault="008C6A6C" w:rsidP="008C6A6C">
            <w:pPr>
              <w:ind w:left="10"/>
              <w:rPr>
                <w:szCs w:val="20"/>
              </w:rPr>
            </w:pPr>
            <w:r w:rsidRPr="00914808">
              <w:rPr>
                <w:szCs w:val="20"/>
              </w:rPr>
              <w:t xml:space="preserve">Curricula component score = simple mean of the scores for questions B2, B3, B4 and E1 (except where the component score should not be calculated because too many responses were unknown or blank). </w:t>
            </w:r>
          </w:p>
          <w:p w14:paraId="0B76901F" w14:textId="77777777" w:rsidR="008C6A6C" w:rsidRPr="00914808" w:rsidRDefault="008C6A6C" w:rsidP="008C6A6C">
            <w:pPr>
              <w:spacing w:after="31"/>
              <w:ind w:left="677"/>
              <w:rPr>
                <w:szCs w:val="20"/>
              </w:rPr>
            </w:pPr>
            <w:r w:rsidRPr="00914808">
              <w:rPr>
                <w:szCs w:val="20"/>
              </w:rPr>
              <w:t xml:space="preserve"> </w:t>
            </w:r>
          </w:p>
          <w:p w14:paraId="5E83B121" w14:textId="77777777" w:rsidR="008C6A6C" w:rsidRPr="00914808" w:rsidRDefault="008C6A6C" w:rsidP="008C6A6C">
            <w:pPr>
              <w:spacing w:after="31"/>
              <w:ind w:left="333" w:right="-15"/>
              <w:rPr>
                <w:szCs w:val="20"/>
              </w:rPr>
            </w:pPr>
            <w:r w:rsidRPr="00914808">
              <w:rPr>
                <w:szCs w:val="20"/>
              </w:rPr>
              <w:t>(c)</w:t>
            </w:r>
            <w:r w:rsidRPr="00914808">
              <w:rPr>
                <w:rFonts w:eastAsia="Arial" w:cs="Arial"/>
                <w:szCs w:val="20"/>
              </w:rPr>
              <w:t xml:space="preserve"> </w:t>
            </w:r>
            <w:r w:rsidRPr="00914808">
              <w:rPr>
                <w:szCs w:val="20"/>
                <w:u w:val="single" w:color="000000"/>
              </w:rPr>
              <w:t>Teacher education</w:t>
            </w:r>
            <w:r w:rsidRPr="00914808">
              <w:rPr>
                <w:szCs w:val="20"/>
              </w:rPr>
              <w:t xml:space="preserve"> </w:t>
            </w:r>
          </w:p>
          <w:p w14:paraId="7D2F1DD8" w14:textId="77777777" w:rsidR="008C6A6C" w:rsidRPr="00914808" w:rsidRDefault="008C6A6C" w:rsidP="008C6A6C">
            <w:pPr>
              <w:spacing w:after="29"/>
              <w:rPr>
                <w:szCs w:val="20"/>
              </w:rPr>
            </w:pPr>
            <w:r w:rsidRPr="00914808">
              <w:rPr>
                <w:szCs w:val="20"/>
              </w:rPr>
              <w:t xml:space="preserve"> </w:t>
            </w:r>
          </w:p>
          <w:p w14:paraId="1398E607" w14:textId="77777777" w:rsidR="008C6A6C" w:rsidRPr="00914808" w:rsidRDefault="008C6A6C" w:rsidP="008C6A6C">
            <w:pPr>
              <w:ind w:left="10"/>
              <w:rPr>
                <w:szCs w:val="20"/>
              </w:rPr>
            </w:pPr>
            <w:r w:rsidRPr="00914808">
              <w:rPr>
                <w:szCs w:val="20"/>
              </w:rPr>
              <w:t xml:space="preserve">The following questions are used to calculate the teacher education component of the indicator: </w:t>
            </w:r>
          </w:p>
          <w:p w14:paraId="6BBD4613" w14:textId="77777777" w:rsidR="008C6A6C" w:rsidRPr="00914808" w:rsidRDefault="008C6A6C" w:rsidP="008C6A6C">
            <w:pPr>
              <w:spacing w:after="29"/>
              <w:rPr>
                <w:szCs w:val="20"/>
              </w:rPr>
            </w:pPr>
            <w:r w:rsidRPr="00914808">
              <w:rPr>
                <w:szCs w:val="20"/>
              </w:rPr>
              <w:t xml:space="preserve"> </w:t>
            </w:r>
          </w:p>
          <w:p w14:paraId="57363532" w14:textId="77777777" w:rsidR="008C6A6C" w:rsidRPr="00914808" w:rsidRDefault="008C6A6C" w:rsidP="008C6A6C">
            <w:pPr>
              <w:spacing w:after="29" w:line="243" w:lineRule="auto"/>
              <w:ind w:left="-5"/>
              <w:rPr>
                <w:szCs w:val="20"/>
              </w:rPr>
            </w:pPr>
            <w:r w:rsidRPr="00914808">
              <w:rPr>
                <w:rFonts w:eastAsia="Calibri" w:cs="Calibri"/>
                <w:i/>
                <w:szCs w:val="20"/>
              </w:rPr>
              <w:t>C2: Please indicate whether teachers, trainers and educators are trained to teach GCED and ESD during initial or pre-service training and/or through continuing professional development.</w:t>
            </w:r>
            <w:r w:rsidRPr="00914808">
              <w:rPr>
                <w:szCs w:val="20"/>
              </w:rPr>
              <w:t xml:space="preserve">  </w:t>
            </w:r>
          </w:p>
          <w:p w14:paraId="55A3A763" w14:textId="77777777" w:rsidR="008C6A6C" w:rsidRPr="00914808" w:rsidRDefault="008C6A6C" w:rsidP="008C6A6C">
            <w:pPr>
              <w:rPr>
                <w:szCs w:val="20"/>
              </w:rPr>
            </w:pPr>
            <w:r w:rsidRPr="00914808">
              <w:rPr>
                <w:szCs w:val="20"/>
              </w:rPr>
              <w:t xml:space="preserve">There are two types of training (initial/pre-service and continuing professional development) and two types of teachers (of selected subjects in which ESD/GCED are typically taught, and of other subjects) = 4 responses.  </w:t>
            </w:r>
          </w:p>
          <w:p w14:paraId="02597435"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3CCBD6AB"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72F7278D" w14:textId="77777777" w:rsidR="008C6A6C" w:rsidRPr="00914808" w:rsidRDefault="008C6A6C" w:rsidP="008C6A6C">
            <w:pPr>
              <w:spacing w:after="29"/>
              <w:ind w:left="677"/>
              <w:rPr>
                <w:szCs w:val="20"/>
              </w:rPr>
            </w:pPr>
            <w:r w:rsidRPr="00914808">
              <w:rPr>
                <w:szCs w:val="20"/>
              </w:rPr>
              <w:t xml:space="preserve"> </w:t>
            </w:r>
          </w:p>
          <w:p w14:paraId="0EB53D5E" w14:textId="77777777" w:rsidR="008C6A6C" w:rsidRPr="00914808" w:rsidRDefault="008C6A6C" w:rsidP="008C6A6C">
            <w:pPr>
              <w:ind w:left="1364"/>
              <w:rPr>
                <w:szCs w:val="20"/>
              </w:rPr>
            </w:pPr>
            <w:r w:rsidRPr="00914808">
              <w:rPr>
                <w:szCs w:val="20"/>
              </w:rPr>
              <w:t xml:space="preserve">Question score = simple mean of the 0 and 1 scores. </w:t>
            </w:r>
          </w:p>
          <w:p w14:paraId="59FFFD6A" w14:textId="77777777" w:rsidR="008C6A6C" w:rsidRPr="00914808" w:rsidRDefault="008C6A6C" w:rsidP="008C6A6C">
            <w:pPr>
              <w:spacing w:after="29"/>
              <w:rPr>
                <w:szCs w:val="20"/>
              </w:rPr>
            </w:pPr>
            <w:r w:rsidRPr="00914808">
              <w:rPr>
                <w:szCs w:val="20"/>
              </w:rPr>
              <w:t xml:space="preserve"> </w:t>
            </w:r>
          </w:p>
          <w:p w14:paraId="4CA9A32C" w14:textId="77777777" w:rsidR="008C6A6C" w:rsidRPr="00914808" w:rsidRDefault="008C6A6C" w:rsidP="008C6A6C">
            <w:pPr>
              <w:spacing w:after="29" w:line="243" w:lineRule="auto"/>
              <w:ind w:left="-5"/>
              <w:rPr>
                <w:szCs w:val="20"/>
              </w:rPr>
            </w:pPr>
            <w:r w:rsidRPr="00914808">
              <w:rPr>
                <w:rFonts w:eastAsia="Calibri" w:cs="Calibri"/>
                <w:i/>
                <w:szCs w:val="20"/>
              </w:rPr>
              <w:t>C3. Please indicate on which GCED and ESD themes pre-service or in-service training is available for teachers, trainers and educators.</w:t>
            </w:r>
            <w:r w:rsidRPr="00914808">
              <w:rPr>
                <w:szCs w:val="20"/>
              </w:rPr>
              <w:t xml:space="preserve">  </w:t>
            </w:r>
          </w:p>
          <w:p w14:paraId="22E5BCC2" w14:textId="77777777" w:rsidR="008C6A6C" w:rsidRPr="00914808" w:rsidRDefault="008C6A6C" w:rsidP="008C6A6C">
            <w:pPr>
              <w:spacing w:after="29"/>
              <w:rPr>
                <w:szCs w:val="20"/>
              </w:rPr>
            </w:pPr>
            <w:r w:rsidRPr="00914808">
              <w:rPr>
                <w:szCs w:val="20"/>
              </w:rPr>
              <w:t xml:space="preserve"> </w:t>
            </w:r>
          </w:p>
          <w:p w14:paraId="628715EC"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 8 responses. </w:t>
            </w:r>
          </w:p>
          <w:p w14:paraId="7360E875"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67C2B5A8"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33BFD043" w14:textId="77777777" w:rsidR="008C6A6C" w:rsidRPr="00914808" w:rsidRDefault="008C6A6C" w:rsidP="008C6A6C">
            <w:pPr>
              <w:spacing w:after="29"/>
              <w:ind w:left="677"/>
              <w:rPr>
                <w:szCs w:val="20"/>
              </w:rPr>
            </w:pPr>
            <w:r w:rsidRPr="00914808">
              <w:rPr>
                <w:szCs w:val="20"/>
              </w:rPr>
              <w:t xml:space="preserve"> </w:t>
            </w:r>
          </w:p>
          <w:p w14:paraId="60A57933" w14:textId="77777777" w:rsidR="008C6A6C" w:rsidRPr="00914808" w:rsidRDefault="008C6A6C" w:rsidP="008C6A6C">
            <w:pPr>
              <w:spacing w:after="363"/>
              <w:ind w:left="1364"/>
              <w:rPr>
                <w:szCs w:val="20"/>
              </w:rPr>
            </w:pPr>
            <w:r w:rsidRPr="00914808">
              <w:rPr>
                <w:szCs w:val="20"/>
              </w:rPr>
              <w:t xml:space="preserve">Question score = simple mean of the 0 and 1 scores. </w:t>
            </w:r>
          </w:p>
          <w:p w14:paraId="472771B8" w14:textId="77777777" w:rsidR="008C6A6C" w:rsidRPr="00914808" w:rsidRDefault="008C6A6C" w:rsidP="008C6A6C">
            <w:pPr>
              <w:spacing w:after="356"/>
              <w:ind w:left="-5" w:right="-15"/>
              <w:rPr>
                <w:szCs w:val="20"/>
              </w:rPr>
            </w:pPr>
            <w:r w:rsidRPr="00914808">
              <w:rPr>
                <w:szCs w:val="20"/>
              </w:rPr>
              <w:t>2</w:t>
            </w:r>
          </w:p>
          <w:p w14:paraId="4F4271AA" w14:textId="77777777" w:rsidR="008C6A6C" w:rsidRPr="00914808" w:rsidRDefault="008C6A6C" w:rsidP="008C6A6C">
            <w:pPr>
              <w:spacing w:after="15"/>
              <w:ind w:left="10" w:right="-7"/>
              <w:jc w:val="right"/>
              <w:rPr>
                <w:szCs w:val="20"/>
              </w:rPr>
            </w:pPr>
            <w:r w:rsidRPr="00914808">
              <w:rPr>
                <w:szCs w:val="20"/>
              </w:rPr>
              <w:t xml:space="preserve">ities), </w:t>
            </w:r>
          </w:p>
          <w:p w14:paraId="430F6E16" w14:textId="77777777" w:rsidR="008C6A6C" w:rsidRPr="00914808" w:rsidRDefault="008C6A6C" w:rsidP="008C6A6C">
            <w:pPr>
              <w:ind w:left="677"/>
              <w:rPr>
                <w:szCs w:val="20"/>
              </w:rPr>
            </w:pPr>
            <w:r w:rsidRPr="00914808">
              <w:rPr>
                <w:szCs w:val="20"/>
              </w:rPr>
              <w:t xml:space="preserve"> </w:t>
            </w:r>
          </w:p>
          <w:p w14:paraId="41FF07FA" w14:textId="77777777" w:rsidR="008C6A6C" w:rsidRPr="00914808" w:rsidRDefault="008C6A6C" w:rsidP="008C6A6C">
            <w:pPr>
              <w:spacing w:after="29" w:line="243" w:lineRule="auto"/>
              <w:ind w:left="-5"/>
              <w:rPr>
                <w:szCs w:val="20"/>
              </w:rPr>
            </w:pPr>
            <w:r w:rsidRPr="00914808">
              <w:rPr>
                <w:rFonts w:eastAsia="Calibri" w:cs="Calibri"/>
                <w:i/>
                <w:szCs w:val="20"/>
              </w:rPr>
              <w:t xml:space="preserve">C4. Please indicate whether teachers, trainers and educators are trained to teach the following dimensions of learning </w:t>
            </w:r>
            <w:r w:rsidRPr="00914808">
              <w:rPr>
                <w:rFonts w:eastAsia="Calibri" w:cs="Calibri"/>
                <w:i/>
                <w:szCs w:val="20"/>
              </w:rPr>
              <w:lastRenderedPageBreak/>
              <w:t>in GCED and ESD.</w:t>
            </w:r>
            <w:r w:rsidRPr="00914808">
              <w:rPr>
                <w:szCs w:val="20"/>
              </w:rPr>
              <w:t xml:space="preserve">  </w:t>
            </w:r>
          </w:p>
          <w:p w14:paraId="6FE1CE52" w14:textId="77777777" w:rsidR="008C6A6C" w:rsidRPr="00914808" w:rsidRDefault="008C6A6C" w:rsidP="008C6A6C">
            <w:pPr>
              <w:spacing w:after="29"/>
              <w:rPr>
                <w:szCs w:val="20"/>
              </w:rPr>
            </w:pPr>
            <w:r w:rsidRPr="00914808">
              <w:rPr>
                <w:szCs w:val="20"/>
              </w:rPr>
              <w:t xml:space="preserve"> </w:t>
            </w:r>
          </w:p>
          <w:p w14:paraId="44B50B16" w14:textId="77777777" w:rsidR="008C6A6C" w:rsidRPr="00914808" w:rsidRDefault="008C6A6C" w:rsidP="008C6A6C">
            <w:pPr>
              <w:rPr>
                <w:szCs w:val="20"/>
              </w:rPr>
            </w:pPr>
            <w:r w:rsidRPr="00914808">
              <w:rPr>
                <w:szCs w:val="20"/>
              </w:rPr>
              <w:t xml:space="preserve">There are four learning dimensions (knowledge, skills, values, and attitudes/behaviours) = 4 responses.  </w:t>
            </w:r>
          </w:p>
          <w:p w14:paraId="70772906"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266DC9CF"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5CE3E323" w14:textId="77777777" w:rsidR="008C6A6C" w:rsidRPr="00914808" w:rsidRDefault="008C6A6C" w:rsidP="008C6A6C">
            <w:pPr>
              <w:ind w:left="677"/>
              <w:rPr>
                <w:szCs w:val="20"/>
              </w:rPr>
            </w:pPr>
            <w:r w:rsidRPr="00914808">
              <w:rPr>
                <w:szCs w:val="20"/>
              </w:rPr>
              <w:t xml:space="preserve"> </w:t>
            </w:r>
          </w:p>
          <w:p w14:paraId="2D8DA6DC" w14:textId="77777777" w:rsidR="008C6A6C" w:rsidRPr="00914808" w:rsidRDefault="008C6A6C" w:rsidP="008C6A6C">
            <w:pPr>
              <w:ind w:left="1364"/>
              <w:rPr>
                <w:szCs w:val="20"/>
              </w:rPr>
            </w:pPr>
            <w:r w:rsidRPr="00914808">
              <w:rPr>
                <w:szCs w:val="20"/>
              </w:rPr>
              <w:t xml:space="preserve">Question score = simple mean of the 0 and 1 scores. </w:t>
            </w:r>
          </w:p>
          <w:p w14:paraId="2E47040A" w14:textId="77777777" w:rsidR="008C6A6C" w:rsidRPr="00914808" w:rsidRDefault="008C6A6C" w:rsidP="008C6A6C">
            <w:pPr>
              <w:ind w:left="677"/>
              <w:rPr>
                <w:szCs w:val="20"/>
              </w:rPr>
            </w:pPr>
            <w:r w:rsidRPr="00914808">
              <w:rPr>
                <w:szCs w:val="20"/>
              </w:rPr>
              <w:t xml:space="preserve"> </w:t>
            </w:r>
          </w:p>
          <w:p w14:paraId="7572BD5C" w14:textId="77777777" w:rsidR="008C6A6C" w:rsidRPr="00914808" w:rsidRDefault="008C6A6C" w:rsidP="008C6A6C">
            <w:pPr>
              <w:spacing w:after="29" w:line="243" w:lineRule="auto"/>
              <w:ind w:left="-5"/>
              <w:rPr>
                <w:szCs w:val="20"/>
              </w:rPr>
            </w:pPr>
            <w:r w:rsidRPr="00914808">
              <w:rPr>
                <w:rFonts w:eastAsia="Calibri" w:cs="Calibri"/>
                <w:i/>
                <w:szCs w:val="20"/>
              </w:rPr>
              <w:t>C5. Please indicate whether teachers, trainers and educators are trained to use the following approaches to teach GCED and ESD in primary and secondary education</w:t>
            </w:r>
            <w:r w:rsidRPr="00914808">
              <w:rPr>
                <w:szCs w:val="20"/>
              </w:rPr>
              <w:t xml:space="preserve">.  </w:t>
            </w:r>
          </w:p>
          <w:p w14:paraId="4DD7686F" w14:textId="77777777" w:rsidR="008C6A6C" w:rsidRPr="00914808" w:rsidRDefault="008C6A6C" w:rsidP="008C6A6C">
            <w:pPr>
              <w:rPr>
                <w:szCs w:val="20"/>
              </w:rPr>
            </w:pPr>
            <w:r w:rsidRPr="00914808">
              <w:rPr>
                <w:szCs w:val="20"/>
              </w:rPr>
              <w:t xml:space="preserve"> </w:t>
            </w:r>
          </w:p>
          <w:p w14:paraId="5BCE4775" w14:textId="77777777" w:rsidR="008C6A6C" w:rsidRPr="00914808" w:rsidRDefault="008C6A6C" w:rsidP="008C6A6C">
            <w:pPr>
              <w:rPr>
                <w:szCs w:val="20"/>
              </w:rPr>
            </w:pPr>
            <w:r w:rsidRPr="00914808">
              <w:rPr>
                <w:szCs w:val="20"/>
              </w:rPr>
              <w:t xml:space="preserve">There are four teaching approaches (GCED/ESD as separate subjects, cross-curricular, integrated, whole school) = 4 responses.  </w:t>
            </w:r>
          </w:p>
          <w:p w14:paraId="13984B3E"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548B470A" w14:textId="77777777" w:rsidR="008C6A6C" w:rsidRPr="00914808" w:rsidRDefault="008C6A6C" w:rsidP="008C6A6C">
            <w:pPr>
              <w:ind w:left="970" w:hanging="970"/>
              <w:jc w:val="both"/>
              <w:rPr>
                <w:color w:val="0070C0"/>
                <w:szCs w:val="20"/>
              </w:rPr>
            </w:pPr>
          </w:p>
          <w:p w14:paraId="7E312957"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3F0BDF39" w14:textId="77777777" w:rsidR="008C6A6C" w:rsidRPr="00914808" w:rsidRDefault="008C6A6C" w:rsidP="008C6A6C">
            <w:pPr>
              <w:spacing w:after="29"/>
              <w:ind w:left="677"/>
              <w:rPr>
                <w:szCs w:val="20"/>
              </w:rPr>
            </w:pPr>
            <w:r w:rsidRPr="00914808">
              <w:rPr>
                <w:szCs w:val="20"/>
              </w:rPr>
              <w:t xml:space="preserve"> </w:t>
            </w:r>
          </w:p>
          <w:p w14:paraId="457F67D9" w14:textId="77777777" w:rsidR="008C6A6C" w:rsidRPr="00914808" w:rsidRDefault="008C6A6C" w:rsidP="008C6A6C">
            <w:pPr>
              <w:ind w:left="1364"/>
              <w:rPr>
                <w:szCs w:val="20"/>
              </w:rPr>
            </w:pPr>
            <w:r w:rsidRPr="00914808">
              <w:rPr>
                <w:szCs w:val="20"/>
              </w:rPr>
              <w:t xml:space="preserve">Question score = simple mean of the 0 and 1 scores. </w:t>
            </w:r>
          </w:p>
          <w:p w14:paraId="43BFB704" w14:textId="77777777" w:rsidR="008C6A6C" w:rsidRPr="00914808" w:rsidRDefault="008C6A6C" w:rsidP="008C6A6C">
            <w:pPr>
              <w:spacing w:after="29"/>
              <w:rPr>
                <w:szCs w:val="20"/>
              </w:rPr>
            </w:pPr>
            <w:r w:rsidRPr="00914808">
              <w:rPr>
                <w:szCs w:val="20"/>
              </w:rPr>
              <w:t xml:space="preserve"> </w:t>
            </w:r>
          </w:p>
          <w:p w14:paraId="2CDCDD5C"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(teacher education), please indicate to what extent global citizenship education (GCED) and education for sustainable development (ESD) are mainstreamed</w:t>
            </w:r>
            <w:r w:rsidRPr="00914808">
              <w:rPr>
                <w:rFonts w:eastAsia="Calibri" w:cs="Calibri"/>
                <w:i/>
                <w:szCs w:val="20"/>
                <w:vertAlign w:val="superscript"/>
              </w:rPr>
              <w:t>3</w:t>
            </w:r>
            <w:r w:rsidRPr="00914808">
              <w:rPr>
                <w:rFonts w:eastAsia="Calibri" w:cs="Calibri"/>
                <w:i/>
                <w:szCs w:val="20"/>
              </w:rPr>
              <w:t xml:space="preserve"> in teacher education in your country.</w:t>
            </w:r>
            <w:r w:rsidRPr="00914808">
              <w:rPr>
                <w:szCs w:val="20"/>
              </w:rPr>
              <w:t xml:space="preserve">  </w:t>
            </w:r>
          </w:p>
          <w:p w14:paraId="3024E226" w14:textId="77777777" w:rsidR="008C6A6C" w:rsidRPr="00914808" w:rsidRDefault="008C6A6C" w:rsidP="008C6A6C">
            <w:pPr>
              <w:rPr>
                <w:szCs w:val="20"/>
              </w:rPr>
            </w:pPr>
            <w:r w:rsidRPr="00914808">
              <w:rPr>
                <w:szCs w:val="20"/>
              </w:rPr>
              <w:t xml:space="preserve"> </w:t>
            </w:r>
          </w:p>
          <w:p w14:paraId="12048979" w14:textId="77777777" w:rsidR="008C6A6C" w:rsidRPr="00914808" w:rsidRDefault="008C6A6C" w:rsidP="008C6A6C">
            <w:pPr>
              <w:rPr>
                <w:szCs w:val="20"/>
              </w:rPr>
            </w:pPr>
            <w:r w:rsidRPr="00914808">
              <w:rPr>
                <w:szCs w:val="20"/>
              </w:rPr>
              <w:t xml:space="preserve">There are two levels of government (national, sub-national) = 2 responses.  </w:t>
            </w:r>
          </w:p>
          <w:p w14:paraId="531AAD3D"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4174E589"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3C969395"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77A89AA9" w14:textId="77777777" w:rsidR="008C6A6C" w:rsidRPr="00914808" w:rsidRDefault="008C6A6C" w:rsidP="008C6A6C">
            <w:pPr>
              <w:spacing w:after="29"/>
              <w:ind w:left="677"/>
              <w:rPr>
                <w:szCs w:val="20"/>
              </w:rPr>
            </w:pPr>
            <w:r w:rsidRPr="00914808">
              <w:rPr>
                <w:szCs w:val="20"/>
              </w:rPr>
              <w:t xml:space="preserve"> </w:t>
            </w:r>
          </w:p>
          <w:p w14:paraId="1A4235F1"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one of the two responses is ‘not applicable’, the sum of the 0, 1 and 2 scores is divided by 2 to get half the mean and not by 4). The score is half the mean in order to ensure it lies between 0 and 1, as do the scores for the other three questions in this section. </w:t>
            </w:r>
          </w:p>
          <w:p w14:paraId="791C0B6E" w14:textId="77777777" w:rsidR="008C6A6C" w:rsidRPr="00914808" w:rsidRDefault="008C6A6C" w:rsidP="008C6A6C">
            <w:pPr>
              <w:spacing w:after="29"/>
              <w:ind w:left="677"/>
              <w:rPr>
                <w:szCs w:val="20"/>
              </w:rPr>
            </w:pPr>
            <w:r w:rsidRPr="00914808">
              <w:rPr>
                <w:szCs w:val="20"/>
              </w:rPr>
              <w:t xml:space="preserve"> </w:t>
            </w:r>
          </w:p>
          <w:p w14:paraId="43EF7398" w14:textId="77777777" w:rsidR="008C6A6C" w:rsidRPr="00914808" w:rsidRDefault="008C6A6C" w:rsidP="008C6A6C">
            <w:pPr>
              <w:ind w:left="10"/>
              <w:rPr>
                <w:szCs w:val="20"/>
              </w:rPr>
            </w:pPr>
            <w:r w:rsidRPr="00914808">
              <w:rPr>
                <w:szCs w:val="20"/>
              </w:rPr>
              <w:t xml:space="preserve">Teacher education component score = simple mean of the scores for questions C2, C3, C4, C5 and E1 (except where the component score should not be calculated because too many responses were unknown or blank). </w:t>
            </w:r>
          </w:p>
          <w:p w14:paraId="54327924" w14:textId="77777777" w:rsidR="008C6A6C" w:rsidRPr="00914808" w:rsidRDefault="008C6A6C" w:rsidP="008C6A6C">
            <w:pPr>
              <w:spacing w:after="29"/>
              <w:ind w:left="677"/>
              <w:rPr>
                <w:szCs w:val="20"/>
              </w:rPr>
            </w:pPr>
            <w:r w:rsidRPr="00914808">
              <w:rPr>
                <w:szCs w:val="20"/>
              </w:rPr>
              <w:lastRenderedPageBreak/>
              <w:t xml:space="preserve"> </w:t>
            </w:r>
          </w:p>
          <w:p w14:paraId="2F5E3BA3" w14:textId="77777777" w:rsidR="008C6A6C" w:rsidRPr="00914808" w:rsidRDefault="008C6A6C" w:rsidP="008C6A6C">
            <w:pPr>
              <w:spacing w:after="31"/>
              <w:ind w:left="333" w:right="-15"/>
              <w:rPr>
                <w:szCs w:val="20"/>
              </w:rPr>
            </w:pPr>
            <w:r w:rsidRPr="00914808">
              <w:rPr>
                <w:szCs w:val="20"/>
              </w:rPr>
              <w:t>(d)</w:t>
            </w:r>
            <w:r w:rsidRPr="00914808">
              <w:rPr>
                <w:rFonts w:eastAsia="Arial" w:cs="Arial"/>
                <w:szCs w:val="20"/>
              </w:rPr>
              <w:t xml:space="preserve"> </w:t>
            </w:r>
            <w:r w:rsidRPr="00914808">
              <w:rPr>
                <w:szCs w:val="20"/>
                <w:u w:val="single" w:color="000000"/>
              </w:rPr>
              <w:t>Student assessment</w:t>
            </w:r>
            <w:r w:rsidRPr="00914808">
              <w:rPr>
                <w:szCs w:val="20"/>
              </w:rPr>
              <w:t xml:space="preserve"> </w:t>
            </w:r>
          </w:p>
          <w:p w14:paraId="4D22A2B9" w14:textId="77777777" w:rsidR="008C6A6C" w:rsidRPr="00914808" w:rsidRDefault="008C6A6C" w:rsidP="008C6A6C">
            <w:pPr>
              <w:spacing w:after="29"/>
              <w:rPr>
                <w:szCs w:val="20"/>
              </w:rPr>
            </w:pPr>
            <w:r w:rsidRPr="00914808">
              <w:rPr>
                <w:szCs w:val="20"/>
              </w:rPr>
              <w:t xml:space="preserve"> </w:t>
            </w:r>
          </w:p>
          <w:p w14:paraId="44C96A20" w14:textId="77777777" w:rsidR="008C6A6C" w:rsidRPr="00914808" w:rsidRDefault="008C6A6C" w:rsidP="008C6A6C">
            <w:pPr>
              <w:ind w:left="10"/>
              <w:rPr>
                <w:szCs w:val="20"/>
              </w:rPr>
            </w:pPr>
            <w:r w:rsidRPr="00914808">
              <w:rPr>
                <w:szCs w:val="20"/>
              </w:rPr>
              <w:t xml:space="preserve">The following questions are used to calculate the student assessment component of the indicator: </w:t>
            </w:r>
          </w:p>
          <w:p w14:paraId="7DF91C12" w14:textId="77777777" w:rsidR="008C6A6C" w:rsidRPr="00914808" w:rsidRDefault="008C6A6C" w:rsidP="008C6A6C">
            <w:pPr>
              <w:ind w:left="970" w:hanging="970"/>
              <w:jc w:val="both"/>
              <w:rPr>
                <w:color w:val="0070C0"/>
                <w:szCs w:val="20"/>
              </w:rPr>
            </w:pPr>
          </w:p>
          <w:p w14:paraId="58B6E58F" w14:textId="77777777" w:rsidR="008C6A6C" w:rsidRPr="00914808" w:rsidRDefault="008C6A6C" w:rsidP="008C6A6C">
            <w:pPr>
              <w:spacing w:after="29" w:line="243" w:lineRule="auto"/>
              <w:ind w:left="-5"/>
              <w:rPr>
                <w:szCs w:val="20"/>
              </w:rPr>
            </w:pPr>
            <w:r w:rsidRPr="00914808">
              <w:rPr>
                <w:rFonts w:eastAsia="Calibri" w:cs="Calibri"/>
                <w:i/>
                <w:szCs w:val="20"/>
              </w:rPr>
              <w:t xml:space="preserve">D2: Please indicate whether the GCED and ESD themes below are generally included in </w:t>
            </w:r>
            <w:r w:rsidRPr="00914808">
              <w:rPr>
                <w:rFonts w:eastAsia="Calibri" w:cs="Calibri"/>
                <w:i/>
                <w:szCs w:val="20"/>
                <w:u w:val="single" w:color="000000"/>
              </w:rPr>
              <w:t>student assessments</w:t>
            </w:r>
            <w:r w:rsidRPr="00914808">
              <w:rPr>
                <w:rFonts w:eastAsia="Calibri" w:cs="Calibri"/>
                <w:i/>
                <w:szCs w:val="20"/>
              </w:rPr>
              <w:t xml:space="preserve"> </w:t>
            </w:r>
            <w:r w:rsidRPr="00914808">
              <w:rPr>
                <w:rFonts w:eastAsia="Calibri" w:cs="Calibri"/>
                <w:i/>
                <w:szCs w:val="20"/>
                <w:u w:val="single" w:color="000000"/>
              </w:rPr>
              <w:t>or examinations</w:t>
            </w:r>
            <w:r w:rsidRPr="00914808">
              <w:rPr>
                <w:rFonts w:eastAsia="Calibri" w:cs="Calibri"/>
                <w:i/>
                <w:szCs w:val="20"/>
              </w:rPr>
              <w:t>.</w:t>
            </w:r>
            <w:r w:rsidRPr="00914808">
              <w:rPr>
                <w:szCs w:val="20"/>
              </w:rPr>
              <w:t xml:space="preserve">  </w:t>
            </w:r>
          </w:p>
          <w:p w14:paraId="7B918513" w14:textId="77777777" w:rsidR="008C6A6C" w:rsidRPr="00914808" w:rsidRDefault="008C6A6C" w:rsidP="008C6A6C">
            <w:pPr>
              <w:rPr>
                <w:szCs w:val="20"/>
              </w:rPr>
            </w:pPr>
            <w:r w:rsidRPr="00914808">
              <w:rPr>
                <w:szCs w:val="20"/>
              </w:rPr>
              <w:t xml:space="preserve"> </w:t>
            </w:r>
          </w:p>
          <w:p w14:paraId="18AB19D9" w14:textId="77777777" w:rsidR="008C6A6C" w:rsidRPr="00914808" w:rsidRDefault="008C6A6C" w:rsidP="008C6A6C">
            <w:pPr>
              <w:rPr>
                <w:szCs w:val="20"/>
              </w:rPr>
            </w:pPr>
            <w:r w:rsidRPr="00914808">
              <w:rPr>
                <w:szCs w:val="20"/>
              </w:rPr>
              <w:t xml:space="preserve">There are eight GCED/ESD themes (cultural diversity and tolerance, gender equality, human rights, peace and non-violence, climate change, environmental sustainability, human survival and wellbeing, and sustainable consumption and production) = 8 responses.  </w:t>
            </w:r>
          </w:p>
          <w:p w14:paraId="770B5BB1"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09C9888B"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1387FE10" w14:textId="77777777" w:rsidR="008C6A6C" w:rsidRPr="00914808" w:rsidRDefault="008C6A6C" w:rsidP="008C6A6C">
            <w:pPr>
              <w:ind w:left="677"/>
              <w:rPr>
                <w:szCs w:val="20"/>
              </w:rPr>
            </w:pPr>
            <w:r w:rsidRPr="00914808">
              <w:rPr>
                <w:szCs w:val="20"/>
              </w:rPr>
              <w:t xml:space="preserve"> </w:t>
            </w:r>
          </w:p>
          <w:p w14:paraId="632A5CD0" w14:textId="77777777" w:rsidR="008C6A6C" w:rsidRPr="00914808" w:rsidRDefault="008C6A6C" w:rsidP="008C6A6C">
            <w:pPr>
              <w:ind w:left="1364"/>
              <w:rPr>
                <w:szCs w:val="20"/>
              </w:rPr>
            </w:pPr>
            <w:r w:rsidRPr="00914808">
              <w:rPr>
                <w:szCs w:val="20"/>
              </w:rPr>
              <w:t xml:space="preserve">Question score = simple mean of the 0 and 1 scores. </w:t>
            </w:r>
          </w:p>
          <w:p w14:paraId="6B378FD2" w14:textId="77777777" w:rsidR="008C6A6C" w:rsidRPr="00914808" w:rsidRDefault="008C6A6C" w:rsidP="008C6A6C">
            <w:pPr>
              <w:rPr>
                <w:szCs w:val="20"/>
              </w:rPr>
            </w:pPr>
            <w:r w:rsidRPr="00914808">
              <w:rPr>
                <w:szCs w:val="20"/>
              </w:rPr>
              <w:t xml:space="preserve"> </w:t>
            </w:r>
          </w:p>
          <w:p w14:paraId="4D955995" w14:textId="77777777" w:rsidR="008C6A6C" w:rsidRPr="00914808" w:rsidRDefault="008C6A6C" w:rsidP="008C6A6C">
            <w:pPr>
              <w:spacing w:after="29" w:line="243" w:lineRule="auto"/>
              <w:ind w:left="-5"/>
              <w:rPr>
                <w:szCs w:val="20"/>
              </w:rPr>
            </w:pPr>
            <w:r w:rsidRPr="00914808">
              <w:rPr>
                <w:rFonts w:eastAsia="Calibri" w:cs="Calibri"/>
                <w:i/>
                <w:szCs w:val="20"/>
              </w:rPr>
              <w:t xml:space="preserve">D3. Please indicate which of the dimensions of learning in GCED and ESD below are generally included in </w:t>
            </w:r>
            <w:r w:rsidRPr="00914808">
              <w:rPr>
                <w:rFonts w:eastAsia="Calibri" w:cs="Calibri"/>
                <w:i/>
                <w:szCs w:val="20"/>
                <w:u w:val="single" w:color="000000"/>
              </w:rPr>
              <w:t>student assessments or examinations</w:t>
            </w:r>
            <w:r w:rsidRPr="00914808">
              <w:rPr>
                <w:rFonts w:eastAsia="Calibri" w:cs="Calibri"/>
                <w:i/>
                <w:szCs w:val="20"/>
              </w:rPr>
              <w:t>.</w:t>
            </w:r>
            <w:r w:rsidRPr="00914808">
              <w:rPr>
                <w:szCs w:val="20"/>
              </w:rPr>
              <w:t xml:space="preserve">  </w:t>
            </w:r>
          </w:p>
          <w:p w14:paraId="759A915A" w14:textId="77777777" w:rsidR="008C6A6C" w:rsidRPr="00914808" w:rsidRDefault="008C6A6C" w:rsidP="008C6A6C">
            <w:pPr>
              <w:rPr>
                <w:szCs w:val="20"/>
              </w:rPr>
            </w:pPr>
            <w:r w:rsidRPr="00914808">
              <w:rPr>
                <w:szCs w:val="20"/>
              </w:rPr>
              <w:t xml:space="preserve"> </w:t>
            </w:r>
          </w:p>
          <w:p w14:paraId="45C71CEF" w14:textId="77777777" w:rsidR="008C6A6C" w:rsidRPr="00914808" w:rsidRDefault="008C6A6C" w:rsidP="008C6A6C">
            <w:pPr>
              <w:rPr>
                <w:szCs w:val="20"/>
              </w:rPr>
            </w:pPr>
            <w:r w:rsidRPr="00914808">
              <w:rPr>
                <w:szCs w:val="20"/>
              </w:rPr>
              <w:t>There are four learning dimensions (knowledge, skills, values, and attitudes/behaviours) = 4 responses</w:t>
            </w:r>
            <w:proofErr w:type="gramStart"/>
            <w:r w:rsidRPr="00914808">
              <w:rPr>
                <w:szCs w:val="20"/>
              </w:rPr>
              <w:t>..</w:t>
            </w:r>
            <w:proofErr w:type="gramEnd"/>
            <w:r w:rsidRPr="00914808">
              <w:rPr>
                <w:szCs w:val="20"/>
              </w:rPr>
              <w:t xml:space="preserve"> </w:t>
            </w:r>
          </w:p>
          <w:p w14:paraId="02ADE4C1" w14:textId="77777777" w:rsidR="008C6A6C" w:rsidRPr="00914808" w:rsidRDefault="008C6A6C" w:rsidP="008C6A6C">
            <w:pPr>
              <w:rPr>
                <w:szCs w:val="20"/>
              </w:rPr>
            </w:pPr>
            <w:r w:rsidRPr="00914808">
              <w:rPr>
                <w:szCs w:val="20"/>
              </w:rPr>
              <w:t xml:space="preserve">Response categories are no = 0, yes = 1 and unknown, which is treated as zero. Blanks are also treated as zeros.  </w:t>
            </w:r>
          </w:p>
          <w:p w14:paraId="642D711D" w14:textId="77777777" w:rsidR="008C6A6C" w:rsidRPr="00914808" w:rsidRDefault="008C6A6C" w:rsidP="008C6A6C">
            <w:pPr>
              <w:rPr>
                <w:szCs w:val="20"/>
              </w:rPr>
            </w:pPr>
            <w:r w:rsidRPr="00914808">
              <w:rPr>
                <w:szCs w:val="20"/>
              </w:rPr>
              <w:t xml:space="preserve">If more than half of responses are unknown or blank, the component score is not calculated.  </w:t>
            </w:r>
          </w:p>
          <w:p w14:paraId="3E595DCC" w14:textId="77777777" w:rsidR="008C6A6C" w:rsidRPr="00914808" w:rsidRDefault="008C6A6C" w:rsidP="008C6A6C">
            <w:pPr>
              <w:spacing w:after="29"/>
              <w:ind w:left="677"/>
              <w:rPr>
                <w:szCs w:val="20"/>
              </w:rPr>
            </w:pPr>
            <w:r w:rsidRPr="00914808">
              <w:rPr>
                <w:szCs w:val="20"/>
              </w:rPr>
              <w:t xml:space="preserve"> </w:t>
            </w:r>
          </w:p>
          <w:p w14:paraId="05703A0C" w14:textId="77777777" w:rsidR="008C6A6C" w:rsidRPr="00914808" w:rsidRDefault="008C6A6C" w:rsidP="008C6A6C">
            <w:pPr>
              <w:ind w:left="1364"/>
              <w:rPr>
                <w:szCs w:val="20"/>
              </w:rPr>
            </w:pPr>
            <w:r w:rsidRPr="00914808">
              <w:rPr>
                <w:szCs w:val="20"/>
              </w:rPr>
              <w:t xml:space="preserve">Question score = simple mean of the 0 and 1 scores. </w:t>
            </w:r>
          </w:p>
          <w:p w14:paraId="3D6F9728" w14:textId="77777777" w:rsidR="008C6A6C" w:rsidRPr="00914808" w:rsidRDefault="008C6A6C" w:rsidP="008C6A6C">
            <w:pPr>
              <w:spacing w:after="29"/>
              <w:ind w:left="677"/>
              <w:rPr>
                <w:szCs w:val="20"/>
              </w:rPr>
            </w:pPr>
            <w:r w:rsidRPr="00914808">
              <w:rPr>
                <w:szCs w:val="20"/>
              </w:rPr>
              <w:t xml:space="preserve"> </w:t>
            </w:r>
          </w:p>
          <w:p w14:paraId="7D06A73A" w14:textId="77777777" w:rsidR="008C6A6C" w:rsidRPr="00914808" w:rsidRDefault="008C6A6C" w:rsidP="008C6A6C">
            <w:pPr>
              <w:spacing w:after="29" w:line="243" w:lineRule="auto"/>
              <w:ind w:left="-5"/>
              <w:rPr>
                <w:szCs w:val="20"/>
              </w:rPr>
            </w:pPr>
            <w:r w:rsidRPr="00914808">
              <w:rPr>
                <w:rFonts w:eastAsia="Calibri" w:cs="Calibri"/>
                <w:i/>
                <w:szCs w:val="20"/>
              </w:rPr>
              <w:t>E1. Based on your responses to questions in the previous section (student assessment), please indicate to what extent global citizenship education (GCED) and education for sustainable development (ESD) are mainstreamed</w:t>
            </w:r>
            <w:r w:rsidRPr="00914808">
              <w:rPr>
                <w:rFonts w:eastAsia="Calibri" w:cs="Calibri"/>
                <w:i/>
                <w:szCs w:val="20"/>
                <w:vertAlign w:val="superscript"/>
              </w:rPr>
              <w:t>4</w:t>
            </w:r>
            <w:r w:rsidRPr="00914808">
              <w:rPr>
                <w:rFonts w:eastAsia="Calibri" w:cs="Calibri"/>
                <w:i/>
                <w:szCs w:val="20"/>
              </w:rPr>
              <w:t xml:space="preserve"> in student assessment in your country.</w:t>
            </w:r>
            <w:r w:rsidRPr="00914808">
              <w:rPr>
                <w:szCs w:val="20"/>
              </w:rPr>
              <w:t xml:space="preserve">  </w:t>
            </w:r>
          </w:p>
          <w:p w14:paraId="034A6A23" w14:textId="77777777" w:rsidR="008C6A6C" w:rsidRPr="00914808" w:rsidRDefault="008C6A6C" w:rsidP="008C6A6C">
            <w:pPr>
              <w:rPr>
                <w:szCs w:val="20"/>
              </w:rPr>
            </w:pPr>
            <w:r w:rsidRPr="00914808">
              <w:rPr>
                <w:szCs w:val="20"/>
              </w:rPr>
              <w:t xml:space="preserve"> </w:t>
            </w:r>
          </w:p>
          <w:p w14:paraId="58D6832D" w14:textId="77777777" w:rsidR="008C6A6C" w:rsidRPr="00914808" w:rsidRDefault="008C6A6C" w:rsidP="008C6A6C">
            <w:pPr>
              <w:rPr>
                <w:szCs w:val="20"/>
              </w:rPr>
            </w:pPr>
            <w:r w:rsidRPr="00914808">
              <w:rPr>
                <w:szCs w:val="20"/>
              </w:rPr>
              <w:t xml:space="preserve">There are two levels of government (national, sub-national) = 2 responses.  </w:t>
            </w:r>
          </w:p>
          <w:p w14:paraId="3873339C" w14:textId="77777777" w:rsidR="008C6A6C" w:rsidRPr="00914808" w:rsidRDefault="008C6A6C" w:rsidP="008C6A6C">
            <w:pPr>
              <w:rPr>
                <w:szCs w:val="20"/>
              </w:rPr>
            </w:pPr>
            <w:r w:rsidRPr="00914808">
              <w:rPr>
                <w:szCs w:val="20"/>
              </w:rPr>
              <w:t xml:space="preserve">Response categories are not at all = 0, partially = 1, extensively = 2, unknown (treated as zero), and not applicable, which is ignored. Blanks are also treated as zeros.  </w:t>
            </w:r>
          </w:p>
          <w:p w14:paraId="368FC57C" w14:textId="77777777" w:rsidR="008C6A6C" w:rsidRPr="00914808" w:rsidRDefault="008C6A6C" w:rsidP="008C6A6C">
            <w:pPr>
              <w:rPr>
                <w:szCs w:val="20"/>
              </w:rPr>
            </w:pPr>
            <w:r w:rsidRPr="00914808">
              <w:rPr>
                <w:szCs w:val="20"/>
              </w:rPr>
              <w:t xml:space="preserve">If more than half of responses </w:t>
            </w:r>
            <w:r w:rsidRPr="00914808">
              <w:rPr>
                <w:szCs w:val="20"/>
                <w:u w:val="single" w:color="000000"/>
              </w:rPr>
              <w:t>excluding not applicables</w:t>
            </w:r>
            <w:r w:rsidRPr="00914808">
              <w:rPr>
                <w:szCs w:val="20"/>
              </w:rPr>
              <w:t xml:space="preserve"> are unknown or blank, the component score is not calculated.  </w:t>
            </w:r>
          </w:p>
          <w:p w14:paraId="4497E968" w14:textId="77777777" w:rsidR="008C6A6C" w:rsidRPr="00914808" w:rsidRDefault="008C6A6C" w:rsidP="008C6A6C">
            <w:pPr>
              <w:rPr>
                <w:szCs w:val="20"/>
              </w:rPr>
            </w:pPr>
            <w:r w:rsidRPr="00914808">
              <w:rPr>
                <w:szCs w:val="20"/>
              </w:rPr>
              <w:t xml:space="preserve">Note that ‘not applicable’ is used where only one level of government is responsible for education. </w:t>
            </w:r>
          </w:p>
          <w:p w14:paraId="12E21FF0" w14:textId="77777777" w:rsidR="008C6A6C" w:rsidRPr="00914808" w:rsidRDefault="008C6A6C" w:rsidP="008C6A6C">
            <w:pPr>
              <w:spacing w:after="29"/>
              <w:ind w:left="677"/>
              <w:rPr>
                <w:szCs w:val="20"/>
              </w:rPr>
            </w:pPr>
            <w:r w:rsidRPr="00914808">
              <w:rPr>
                <w:szCs w:val="20"/>
              </w:rPr>
              <w:t xml:space="preserve"> </w:t>
            </w:r>
          </w:p>
          <w:p w14:paraId="07EFF5E9" w14:textId="77777777" w:rsidR="008C6A6C" w:rsidRPr="00914808" w:rsidRDefault="008C6A6C" w:rsidP="008C6A6C">
            <w:pPr>
              <w:ind w:left="1364"/>
              <w:rPr>
                <w:szCs w:val="20"/>
              </w:rPr>
            </w:pPr>
            <w:r w:rsidRPr="00914808">
              <w:rPr>
                <w:szCs w:val="20"/>
              </w:rPr>
              <w:t xml:space="preserve">Question score = half the simple mean of the 0, 1 and 2 scores, </w:t>
            </w:r>
            <w:r w:rsidRPr="00914808">
              <w:rPr>
                <w:szCs w:val="20"/>
                <w:u w:val="single" w:color="000000"/>
              </w:rPr>
              <w:t>excluding not applicables</w:t>
            </w:r>
            <w:r w:rsidRPr="00914808">
              <w:rPr>
                <w:szCs w:val="20"/>
              </w:rPr>
              <w:t xml:space="preserve"> (i.e., if </w:t>
            </w:r>
            <w:r w:rsidRPr="00914808">
              <w:rPr>
                <w:szCs w:val="20"/>
              </w:rPr>
              <w:lastRenderedPageBreak/>
              <w:t xml:space="preserve">one of the two responses is ‘not applicable’, the sum of the 0, 1 and 2 scores is divided by 2 to get half the mean and not by 4). The score is half the mean in order to ensure it lies between 0 and 1, as do the scores for the other three questions in this section. </w:t>
            </w:r>
          </w:p>
          <w:p w14:paraId="1BB99635" w14:textId="77777777" w:rsidR="008C6A6C" w:rsidRPr="00914808" w:rsidRDefault="008C6A6C" w:rsidP="008C6A6C">
            <w:pPr>
              <w:spacing w:after="29"/>
              <w:ind w:left="677"/>
              <w:rPr>
                <w:szCs w:val="20"/>
              </w:rPr>
            </w:pPr>
            <w:r w:rsidRPr="00914808">
              <w:rPr>
                <w:szCs w:val="20"/>
              </w:rPr>
              <w:t xml:space="preserve"> </w:t>
            </w:r>
          </w:p>
          <w:p w14:paraId="39C42953" w14:textId="77777777" w:rsidR="008C6A6C" w:rsidRPr="00914808" w:rsidRDefault="008C6A6C" w:rsidP="008C6A6C">
            <w:pPr>
              <w:ind w:left="10"/>
              <w:rPr>
                <w:szCs w:val="20"/>
              </w:rPr>
            </w:pPr>
            <w:r w:rsidRPr="00914808">
              <w:rPr>
                <w:szCs w:val="20"/>
              </w:rPr>
              <w:t xml:space="preserve">Student assessment component score = simple mean of the scores for questions D2, D3 and E1 (except where the component score should not be calculated because too many responses were unknown or blank). </w:t>
            </w:r>
          </w:p>
          <w:p w14:paraId="3572263A" w14:textId="77777777" w:rsidR="008C6A6C" w:rsidRPr="00914808" w:rsidRDefault="008C6A6C" w:rsidP="008C6A6C">
            <w:pPr>
              <w:rPr>
                <w:szCs w:val="20"/>
              </w:rPr>
            </w:pPr>
            <w:r w:rsidRPr="00914808">
              <w:rPr>
                <w:szCs w:val="20"/>
              </w:rPr>
              <w:t xml:space="preserve"> </w:t>
            </w:r>
          </w:p>
          <w:p w14:paraId="77314713" w14:textId="77777777" w:rsidR="008C6A6C" w:rsidRPr="00914808" w:rsidRDefault="008C6A6C" w:rsidP="008C6A6C">
            <w:pPr>
              <w:ind w:left="10"/>
              <w:rPr>
                <w:szCs w:val="20"/>
              </w:rPr>
            </w:pPr>
            <w:r w:rsidRPr="00914808">
              <w:rPr>
                <w:szCs w:val="20"/>
              </w:rPr>
              <w:t xml:space="preserve">The component scores all lie between zero and one and are presented as a dashboard of four scores. They are not combined to create a single overall score for the indicator. The higher the score, the more GCED and ESD are mainstreamed in the given component. In this way, users can make a simple assessment in which component area more efforts may be needed.  </w:t>
            </w:r>
          </w:p>
          <w:p w14:paraId="38809319" w14:textId="77777777" w:rsidR="008C6A6C" w:rsidRPr="00914808" w:rsidRDefault="008C6A6C" w:rsidP="008C6A6C">
            <w:pPr>
              <w:ind w:left="970" w:hanging="970"/>
              <w:jc w:val="both"/>
              <w:rPr>
                <w:color w:val="0070C0"/>
                <w:szCs w:val="30"/>
              </w:rPr>
            </w:pPr>
          </w:p>
        </w:tc>
        <w:tc>
          <w:tcPr>
            <w:tcW w:w="0" w:type="auto"/>
          </w:tcPr>
          <w:p w14:paraId="3797EED7" w14:textId="77777777" w:rsidR="008C6A6C" w:rsidRPr="00322BCC" w:rsidRDefault="008C6A6C" w:rsidP="008C6A6C">
            <w:pPr>
              <w:pStyle w:val="NoSpacing"/>
            </w:pPr>
            <w:r w:rsidRPr="00322BCC">
              <w:lastRenderedPageBreak/>
              <w:t xml:space="preserve">Responses are submitted by national governments, typically by officials in Ministries of Education. Respondents are asked to consult widely across other government ministries, with national human </w:t>
            </w:r>
            <w:proofErr w:type="gramStart"/>
            <w:r w:rsidRPr="00322BCC">
              <w:t>rights  institutes</w:t>
            </w:r>
            <w:proofErr w:type="gramEnd"/>
            <w:r w:rsidRPr="00322BCC">
              <w:t>, the education sector and civil society organizations in compiling their responses.</w:t>
            </w:r>
          </w:p>
        </w:tc>
        <w:tc>
          <w:tcPr>
            <w:tcW w:w="0" w:type="auto"/>
          </w:tcPr>
          <w:p w14:paraId="5AB26FE4" w14:textId="77777777" w:rsidR="008C6A6C" w:rsidRPr="00C11DFC" w:rsidRDefault="008C6A6C" w:rsidP="008C6A6C">
            <w:pPr>
              <w:pStyle w:val="NoSpacing"/>
            </w:pPr>
            <w:r>
              <w:t>national data providers and national statistical offices</w:t>
            </w:r>
          </w:p>
        </w:tc>
        <w:tc>
          <w:tcPr>
            <w:tcW w:w="0" w:type="auto"/>
          </w:tcPr>
          <w:p w14:paraId="00BBA315" w14:textId="39A832C3" w:rsidR="008C6A6C" w:rsidRPr="00A21C4F" w:rsidRDefault="008C6A6C" w:rsidP="008C6A6C">
            <w:pPr>
              <w:pStyle w:val="NoSpacing"/>
            </w:pPr>
          </w:p>
        </w:tc>
        <w:tc>
          <w:tcPr>
            <w:tcW w:w="0" w:type="auto"/>
          </w:tcPr>
          <w:p w14:paraId="396BFD4C" w14:textId="77777777" w:rsidR="008C6A6C" w:rsidRDefault="008C6A6C" w:rsidP="008C6A6C">
            <w:pPr>
              <w:pStyle w:val="NoSpacing"/>
            </w:pPr>
            <w:r>
              <w:t>NCBT</w:t>
            </w:r>
          </w:p>
          <w:p w14:paraId="7EE12DF0" w14:textId="77777777" w:rsidR="008C6A6C" w:rsidRDefault="008C6A6C" w:rsidP="008C6A6C">
            <w:pPr>
              <w:pStyle w:val="NoSpacing"/>
            </w:pPr>
            <w:r>
              <w:t>UGC</w:t>
            </w:r>
          </w:p>
          <w:p w14:paraId="1FAC59FC" w14:textId="77777777" w:rsidR="008C6A6C" w:rsidRDefault="008C6A6C" w:rsidP="008C6A6C">
            <w:pPr>
              <w:pStyle w:val="NoSpacing"/>
            </w:pPr>
            <w:r>
              <w:t>MoDMR</w:t>
            </w:r>
          </w:p>
          <w:p w14:paraId="3204CD86" w14:textId="77777777" w:rsidR="008C6A6C" w:rsidRDefault="008C6A6C" w:rsidP="008C6A6C">
            <w:pPr>
              <w:pStyle w:val="NoSpacing"/>
            </w:pPr>
          </w:p>
          <w:p w14:paraId="7D4D5143" w14:textId="77777777" w:rsidR="008C6A6C" w:rsidRPr="00A21C4F" w:rsidRDefault="008C6A6C" w:rsidP="008C6A6C">
            <w:pPr>
              <w:pStyle w:val="NoSpacing"/>
            </w:pPr>
            <w:r w:rsidRPr="00D53B8A">
              <w:rPr>
                <w:szCs w:val="26"/>
              </w:rPr>
              <w:t>Administrative Data</w:t>
            </w:r>
          </w:p>
        </w:tc>
        <w:tc>
          <w:tcPr>
            <w:tcW w:w="0" w:type="auto"/>
          </w:tcPr>
          <w:p w14:paraId="1A337167" w14:textId="77777777" w:rsidR="008C6A6C" w:rsidRDefault="008C6A6C" w:rsidP="008C6A6C">
            <w:pPr>
              <w:pStyle w:val="ListParagraph"/>
              <w:numPr>
                <w:ilvl w:val="0"/>
                <w:numId w:val="52"/>
              </w:numPr>
              <w:spacing w:after="160" w:line="256" w:lineRule="auto"/>
              <w:ind w:left="160" w:hanging="160"/>
              <w:jc w:val="both"/>
              <w:rPr>
                <w:sz w:val="18"/>
                <w:szCs w:val="18"/>
              </w:rPr>
            </w:pPr>
            <w:r>
              <w:rPr>
                <w:rFonts w:ascii="Tw Cen MT Condensed" w:hAnsi="Tw Cen MT Condensed"/>
                <w:sz w:val="20"/>
                <w:szCs w:val="20"/>
              </w:rPr>
              <w:t>Climate Change Curricula</w:t>
            </w:r>
          </w:p>
          <w:p w14:paraId="42922BD9" w14:textId="77777777" w:rsidR="008C6A6C" w:rsidRDefault="008C6A6C" w:rsidP="008C6A6C">
            <w:pPr>
              <w:ind w:left="970" w:hanging="970"/>
              <w:jc w:val="both"/>
              <w:rPr>
                <w:color w:val="0070C0"/>
                <w:sz w:val="30"/>
                <w:szCs w:val="30"/>
              </w:rPr>
            </w:pPr>
          </w:p>
        </w:tc>
        <w:tc>
          <w:tcPr>
            <w:tcW w:w="0" w:type="auto"/>
          </w:tcPr>
          <w:p w14:paraId="7CA8FCD8" w14:textId="77777777" w:rsidR="008C6A6C" w:rsidRDefault="008C6A6C" w:rsidP="008C6A6C">
            <w:pPr>
              <w:ind w:left="970" w:hanging="970"/>
              <w:jc w:val="both"/>
              <w:rPr>
                <w:color w:val="0070C0"/>
                <w:sz w:val="30"/>
                <w:szCs w:val="30"/>
              </w:rPr>
            </w:pPr>
            <w:r w:rsidRPr="00BC6F10">
              <w:t>Triennial</w:t>
            </w:r>
          </w:p>
        </w:tc>
        <w:tc>
          <w:tcPr>
            <w:tcW w:w="0" w:type="auto"/>
          </w:tcPr>
          <w:p w14:paraId="79F8E293" w14:textId="77777777" w:rsidR="008C6A6C" w:rsidRDefault="008C6A6C" w:rsidP="008C6A6C">
            <w:pPr>
              <w:ind w:left="970" w:hanging="970"/>
              <w:jc w:val="both"/>
              <w:rPr>
                <w:color w:val="0070C0"/>
                <w:sz w:val="30"/>
                <w:szCs w:val="30"/>
              </w:rPr>
            </w:pPr>
            <w:r>
              <w:t>Group 2</w:t>
            </w:r>
          </w:p>
        </w:tc>
        <w:tc>
          <w:tcPr>
            <w:tcW w:w="0" w:type="auto"/>
          </w:tcPr>
          <w:p w14:paraId="0122580C" w14:textId="77777777" w:rsidR="008C6A6C" w:rsidRDefault="008C6A6C" w:rsidP="008C6A6C">
            <w:pPr>
              <w:pStyle w:val="NoSpacing"/>
            </w:pPr>
            <w:r>
              <w:t>1</w:t>
            </w:r>
            <w:r w:rsidRPr="00013ACB">
              <w:rPr>
                <w:vertAlign w:val="superscript"/>
              </w:rPr>
              <w:t>st</w:t>
            </w:r>
            <w:r>
              <w:t xml:space="preserve"> Round:</w:t>
            </w:r>
          </w:p>
          <w:p w14:paraId="1D987657" w14:textId="77777777" w:rsidR="008C6A6C" w:rsidRDefault="008C6A6C" w:rsidP="008C6A6C">
            <w:pPr>
              <w:pStyle w:val="NoSpacing"/>
            </w:pPr>
            <w:r w:rsidRPr="004C18F9">
              <w:t>December, 2020</w:t>
            </w:r>
          </w:p>
          <w:p w14:paraId="7D00A100" w14:textId="77777777" w:rsidR="008C6A6C" w:rsidRDefault="008C6A6C" w:rsidP="008C6A6C">
            <w:pPr>
              <w:pStyle w:val="NoSpacing"/>
            </w:pPr>
          </w:p>
          <w:p w14:paraId="1C2D6797" w14:textId="77777777" w:rsidR="008C6A6C" w:rsidRDefault="008C6A6C" w:rsidP="008C6A6C">
            <w:pPr>
              <w:pStyle w:val="NoSpacing"/>
            </w:pPr>
            <w:r>
              <w:t>2</w:t>
            </w:r>
            <w:r w:rsidRPr="00013ACB">
              <w:rPr>
                <w:vertAlign w:val="superscript"/>
              </w:rPr>
              <w:t>nd</w:t>
            </w:r>
            <w:r>
              <w:t xml:space="preserve"> Round:</w:t>
            </w:r>
          </w:p>
          <w:p w14:paraId="14EBBAFD" w14:textId="77777777" w:rsidR="008C6A6C" w:rsidRDefault="008C6A6C" w:rsidP="008C6A6C">
            <w:pPr>
              <w:pStyle w:val="NoSpacing"/>
            </w:pPr>
            <w:r>
              <w:t xml:space="preserve"> December, 2023</w:t>
            </w:r>
          </w:p>
          <w:p w14:paraId="3271390E" w14:textId="77777777" w:rsidR="008C6A6C" w:rsidRDefault="008C6A6C" w:rsidP="008C6A6C">
            <w:pPr>
              <w:pStyle w:val="NoSpacing"/>
            </w:pPr>
          </w:p>
          <w:p w14:paraId="3CA689F4" w14:textId="77777777" w:rsidR="008C6A6C" w:rsidRDefault="008C6A6C" w:rsidP="008C6A6C">
            <w:pPr>
              <w:pStyle w:val="NoSpacing"/>
            </w:pPr>
            <w:r>
              <w:t>3</w:t>
            </w:r>
            <w:r w:rsidRPr="00013ACB">
              <w:rPr>
                <w:vertAlign w:val="superscript"/>
              </w:rPr>
              <w:t>rd</w:t>
            </w:r>
            <w:r>
              <w:t xml:space="preserve"> Round: </w:t>
            </w:r>
          </w:p>
          <w:p w14:paraId="5C073480" w14:textId="77777777" w:rsidR="008C6A6C" w:rsidRDefault="008C6A6C" w:rsidP="008C6A6C">
            <w:pPr>
              <w:pStyle w:val="NoSpacing"/>
            </w:pPr>
            <w:r>
              <w:t>December, 2026</w:t>
            </w:r>
          </w:p>
          <w:p w14:paraId="1B75EAB1" w14:textId="77777777" w:rsidR="008C6A6C" w:rsidRDefault="008C6A6C" w:rsidP="008C6A6C">
            <w:pPr>
              <w:pStyle w:val="NoSpacing"/>
            </w:pPr>
          </w:p>
          <w:p w14:paraId="15B95A20" w14:textId="77777777" w:rsidR="008C6A6C" w:rsidRDefault="008C6A6C" w:rsidP="008C6A6C">
            <w:pPr>
              <w:pStyle w:val="NoSpacing"/>
            </w:pPr>
            <w:r>
              <w:t>4</w:t>
            </w:r>
            <w:r w:rsidRPr="00013ACB">
              <w:rPr>
                <w:vertAlign w:val="superscript"/>
              </w:rPr>
              <w:t>th</w:t>
            </w:r>
            <w:r>
              <w:t xml:space="preserve"> Round: </w:t>
            </w:r>
          </w:p>
          <w:p w14:paraId="02C33E98" w14:textId="77777777" w:rsidR="008C6A6C" w:rsidRDefault="008C6A6C" w:rsidP="008C6A6C">
            <w:pPr>
              <w:pStyle w:val="NoSpacing"/>
            </w:pPr>
            <w:r>
              <w:t>December, 2029</w:t>
            </w:r>
          </w:p>
          <w:p w14:paraId="1744ECD7" w14:textId="77777777" w:rsidR="008C6A6C" w:rsidRDefault="008C6A6C" w:rsidP="008C6A6C">
            <w:pPr>
              <w:pStyle w:val="NoSpacing"/>
            </w:pPr>
          </w:p>
          <w:p w14:paraId="4A3EC09C" w14:textId="77777777" w:rsidR="008C6A6C" w:rsidRDefault="008C6A6C" w:rsidP="008C6A6C">
            <w:pPr>
              <w:pStyle w:val="NoSpacing"/>
            </w:pPr>
            <w:r>
              <w:t>5</w:t>
            </w:r>
            <w:r w:rsidRPr="00013ACB">
              <w:rPr>
                <w:vertAlign w:val="superscript"/>
              </w:rPr>
              <w:t>th</w:t>
            </w:r>
            <w:r>
              <w:t xml:space="preserve"> Round: </w:t>
            </w:r>
          </w:p>
          <w:p w14:paraId="5C192832" w14:textId="76EC9E33" w:rsidR="008C6A6C" w:rsidRDefault="008C6A6C" w:rsidP="008C6A6C">
            <w:pPr>
              <w:pStyle w:val="NoSpacing"/>
            </w:pPr>
            <w:r>
              <w:t>December, 2030</w:t>
            </w:r>
          </w:p>
        </w:tc>
        <w:tc>
          <w:tcPr>
            <w:tcW w:w="0" w:type="auto"/>
          </w:tcPr>
          <w:p w14:paraId="4C27FDAD" w14:textId="77777777" w:rsidR="008C6A6C" w:rsidRDefault="008C6A6C" w:rsidP="008C6A6C">
            <w:pPr>
              <w:pStyle w:val="NoSpacing"/>
            </w:pPr>
            <w:r>
              <w:t>UNSC 51 replacement included in the 2020 comprehensive review</w:t>
            </w:r>
          </w:p>
          <w:p w14:paraId="353BA4D3" w14:textId="77777777" w:rsidR="008C6A6C" w:rsidRDefault="008C6A6C" w:rsidP="008C6A6C">
            <w:pPr>
              <w:pStyle w:val="NoSpacing"/>
            </w:pPr>
          </w:p>
          <w:p w14:paraId="4C2EF75C" w14:textId="6EAEF38F" w:rsidR="008C6A6C" w:rsidRDefault="008C6A6C" w:rsidP="008C6A6C">
            <w:pPr>
              <w:pStyle w:val="NoSpacing"/>
            </w:pPr>
            <w:r>
              <w:t>4.7.1</w:t>
            </w:r>
            <w:r w:rsidR="003353E6">
              <w:t xml:space="preserve"> &amp; </w:t>
            </w:r>
            <w:r>
              <w:t>12.8.1</w:t>
            </w:r>
            <w:r w:rsidR="003353E6">
              <w:t xml:space="preserve"> </w:t>
            </w:r>
            <w:r>
              <w:t>are repeat</w:t>
            </w:r>
            <w:r w:rsidR="003353E6">
              <w:t xml:space="preserve">ed. </w:t>
            </w:r>
          </w:p>
        </w:tc>
      </w:tr>
      <w:tr w:rsidR="008C6A6C" w14:paraId="1256F583" w14:textId="77777777" w:rsidTr="00A64F0D">
        <w:tc>
          <w:tcPr>
            <w:tcW w:w="0" w:type="auto"/>
          </w:tcPr>
          <w:p w14:paraId="316FBCA3" w14:textId="77777777" w:rsidR="008C6A6C" w:rsidRDefault="008C6A6C" w:rsidP="008C6A6C">
            <w:pPr>
              <w:ind w:left="970" w:hanging="970"/>
              <w:jc w:val="both"/>
              <w:rPr>
                <w:color w:val="0070C0"/>
                <w:sz w:val="30"/>
                <w:szCs w:val="30"/>
              </w:rPr>
            </w:pPr>
          </w:p>
        </w:tc>
        <w:tc>
          <w:tcPr>
            <w:tcW w:w="0" w:type="auto"/>
            <w:gridSpan w:val="12"/>
          </w:tcPr>
          <w:p w14:paraId="26A490E2" w14:textId="77777777" w:rsidR="008C6A6C" w:rsidRDefault="008C6A6C" w:rsidP="008C6A6C">
            <w:pPr>
              <w:jc w:val="both"/>
              <w:rPr>
                <w:color w:val="0070C0"/>
                <w:sz w:val="48"/>
                <w:szCs w:val="48"/>
              </w:rPr>
            </w:pPr>
            <w:r>
              <w:rPr>
                <w:color w:val="0070C0"/>
                <w:sz w:val="30"/>
                <w:szCs w:val="30"/>
              </w:rPr>
              <w:t xml:space="preserve">Target </w:t>
            </w:r>
            <w:r w:rsidRPr="0098013D">
              <w:rPr>
                <w:color w:val="0070C0"/>
                <w:sz w:val="30"/>
                <w:szCs w:val="30"/>
              </w:rPr>
              <w:t>13.a 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tc>
      </w:tr>
      <w:tr w:rsidR="008C6A6C" w14:paraId="3B59716A" w14:textId="77777777" w:rsidTr="00A64F0D">
        <w:tc>
          <w:tcPr>
            <w:tcW w:w="0" w:type="auto"/>
          </w:tcPr>
          <w:p w14:paraId="2D155A0A" w14:textId="77777777" w:rsidR="008C6A6C" w:rsidRDefault="008C6A6C" w:rsidP="008C6A6C">
            <w:pPr>
              <w:pStyle w:val="NoSpacing"/>
              <w:rPr>
                <w:color w:val="0070C0"/>
                <w:sz w:val="30"/>
                <w:szCs w:val="30"/>
              </w:rPr>
            </w:pPr>
            <w:r w:rsidRPr="000221E2">
              <w:t>13.a.1 Amounts provided and mobilized in United States dollars per year in relation to the continued existing collective mobilization goal of the $100 billion commitment through to 202</w:t>
            </w:r>
          </w:p>
        </w:tc>
        <w:tc>
          <w:tcPr>
            <w:tcW w:w="0" w:type="auto"/>
          </w:tcPr>
          <w:p w14:paraId="272BF4FF" w14:textId="77777777" w:rsidR="008C6A6C" w:rsidRDefault="008C6A6C" w:rsidP="008C6A6C">
            <w:pPr>
              <w:ind w:left="970" w:hanging="970"/>
              <w:jc w:val="both"/>
              <w:rPr>
                <w:color w:val="0070C0"/>
                <w:sz w:val="30"/>
                <w:szCs w:val="30"/>
              </w:rPr>
            </w:pPr>
          </w:p>
          <w:p w14:paraId="5C62996D" w14:textId="77777777" w:rsidR="008C6A6C" w:rsidRDefault="008C6A6C" w:rsidP="008C6A6C">
            <w:pPr>
              <w:rPr>
                <w:color w:val="0070C0"/>
                <w:sz w:val="30"/>
                <w:szCs w:val="30"/>
              </w:rPr>
            </w:pPr>
          </w:p>
        </w:tc>
        <w:tc>
          <w:tcPr>
            <w:tcW w:w="0" w:type="auto"/>
          </w:tcPr>
          <w:p w14:paraId="4DA4CCAE" w14:textId="7044EF91" w:rsidR="008C6A6C" w:rsidRDefault="00754676" w:rsidP="008C6A6C">
            <w:pPr>
              <w:pStyle w:val="NoSpacing"/>
            </w:pPr>
            <w:r>
              <w:t>TBD</w:t>
            </w:r>
          </w:p>
        </w:tc>
        <w:tc>
          <w:tcPr>
            <w:tcW w:w="0" w:type="auto"/>
          </w:tcPr>
          <w:p w14:paraId="464D0022" w14:textId="77777777" w:rsidR="008C6A6C" w:rsidRPr="00872524" w:rsidRDefault="008C6A6C" w:rsidP="008C6A6C">
            <w:pPr>
              <w:pStyle w:val="NoSpacing"/>
              <w:rPr>
                <w:b/>
              </w:rPr>
            </w:pPr>
            <w:r w:rsidRPr="00872524">
              <w:rPr>
                <w:b/>
              </w:rPr>
              <w:t xml:space="preserve">Definition: </w:t>
            </w:r>
          </w:p>
          <w:p w14:paraId="130AF8CA" w14:textId="77777777" w:rsidR="008C6A6C" w:rsidRDefault="008C6A6C" w:rsidP="008C6A6C">
            <w:pPr>
              <w:pStyle w:val="NoSpacing"/>
            </w:pPr>
            <w:r>
              <w:t xml:space="preserve">Under the UNFCCC process, the COP requested the Standing Committee on Finance to prepare a biennial assessment and overview of climate finance flows, drawing on the available sources of information, and including information on the geographical and thematic balance of flows. There is no agreed definition under the UNFCCC on what should count toward assessing progress toward the $100 billion commitment. Data from the UNFCCC secretariat refers to climate-specific financial support to developing country Parties, reported by Annex I Parties in their Biennial Reports. This data should not be interpreted as an indicator in relation to the achievement of the collective mobilization goal of $100 billion commitment.  </w:t>
            </w:r>
          </w:p>
          <w:p w14:paraId="26F70818" w14:textId="77777777" w:rsidR="008C6A6C" w:rsidRDefault="008C6A6C" w:rsidP="008C6A6C">
            <w:pPr>
              <w:pStyle w:val="NoSpacing"/>
            </w:pPr>
          </w:p>
          <w:p w14:paraId="6DFE48B9" w14:textId="77777777" w:rsidR="008C6A6C" w:rsidRDefault="008C6A6C" w:rsidP="008C6A6C">
            <w:pPr>
              <w:pStyle w:val="NoSpacing"/>
            </w:pPr>
            <w:r>
              <w:t xml:space="preserve">One of the functions of the Standing Committee on Finance is to assist the COP with respect to the measurement, reporting and verification of the support provided to developing country Parties through activities such as the preparation of the BA. The COP requested the Standing Committee on Finance to prepare a biennial assessment and overview of climate finance flows, drawing on the available sources of information, and including information on the geographical and thematic balance of flows </w:t>
            </w:r>
          </w:p>
          <w:p w14:paraId="4F38D066" w14:textId="77777777" w:rsidR="008C6A6C" w:rsidRDefault="008C6A6C" w:rsidP="008C6A6C">
            <w:pPr>
              <w:pStyle w:val="NoSpacing"/>
            </w:pPr>
            <w:r>
              <w:t>(</w:t>
            </w:r>
            <w:proofErr w:type="gramStart"/>
            <w:r>
              <w:t>decision</w:t>
            </w:r>
            <w:proofErr w:type="gramEnd"/>
            <w:r>
              <w:t xml:space="preserve"> 2/CP.17 paragraph 121(f)). Subsequently, the COP requested the Standing Committee on Finance to consider:  </w:t>
            </w:r>
          </w:p>
          <w:p w14:paraId="519FC82C" w14:textId="77777777" w:rsidR="008C6A6C" w:rsidRDefault="008C6A6C" w:rsidP="008C6A6C">
            <w:pPr>
              <w:pStyle w:val="NoSpacing"/>
            </w:pPr>
            <w:r>
              <w:t>•</w:t>
            </w:r>
            <w:r>
              <w:tab/>
              <w:t xml:space="preserve">Relevant work by other bodies and entities on the MRV of support and the tracking of climate finance </w:t>
            </w:r>
          </w:p>
          <w:p w14:paraId="79CF2822" w14:textId="77777777" w:rsidR="008C6A6C" w:rsidRDefault="008C6A6C" w:rsidP="008C6A6C">
            <w:pPr>
              <w:pStyle w:val="NoSpacing"/>
            </w:pPr>
            <w:r>
              <w:t xml:space="preserve">(decision 1/CP.18 paragraph 71); </w:t>
            </w:r>
          </w:p>
          <w:p w14:paraId="1B438CA0" w14:textId="77777777" w:rsidR="008C6A6C" w:rsidRDefault="008C6A6C" w:rsidP="008C6A6C">
            <w:pPr>
              <w:pStyle w:val="NoSpacing"/>
            </w:pPr>
            <w:r>
              <w:t>•</w:t>
            </w:r>
            <w:r>
              <w:tab/>
              <w:t xml:space="preserve">Ways of strengthening methodologies for reporting climate finance (decision 5/CP.18 paragraph 11); </w:t>
            </w:r>
          </w:p>
          <w:p w14:paraId="09769BBD" w14:textId="77777777" w:rsidR="008C6A6C" w:rsidRDefault="008C6A6C" w:rsidP="008C6A6C">
            <w:pPr>
              <w:pStyle w:val="NoSpacing"/>
            </w:pPr>
            <w:r>
              <w:t>•</w:t>
            </w:r>
            <w:r>
              <w:tab/>
              <w:t xml:space="preserve">Ongoing technical work on operational definitions of climate finance, including private finance mobilized by public interventions, to assess how adaptation and mitigation needs can most effectively be met by climate finance (decision 3/CP.19, paragraph 11). </w:t>
            </w:r>
          </w:p>
          <w:p w14:paraId="26414B52" w14:textId="77777777" w:rsidR="008C6A6C" w:rsidRDefault="008C6A6C" w:rsidP="008C6A6C">
            <w:pPr>
              <w:pStyle w:val="NoSpacing"/>
            </w:pPr>
            <w:r>
              <w:lastRenderedPageBreak/>
              <w:t xml:space="preserve">The COP also requested the Ad Hoc Working Group on the Paris Agreement, when developing the modalities, procedures and guidelines for the transparency framework for action and support, to consider, inter alia, information in the biennial assessment and overview of climate finance flows and other reports of the SCF and other relevant bodies under the Convention (decision 1/CP.21, para 94(e)).  </w:t>
            </w:r>
          </w:p>
          <w:p w14:paraId="31F36254" w14:textId="77777777" w:rsidR="008C6A6C" w:rsidRDefault="008C6A6C" w:rsidP="008C6A6C">
            <w:pPr>
              <w:pStyle w:val="NoSpacing"/>
            </w:pPr>
            <w:r>
              <w:t xml:space="preserve"> </w:t>
            </w:r>
          </w:p>
          <w:p w14:paraId="61100CAD" w14:textId="77777777" w:rsidR="008C6A6C" w:rsidRPr="00872524" w:rsidRDefault="008C6A6C" w:rsidP="008C6A6C">
            <w:pPr>
              <w:pStyle w:val="NoSpacing"/>
              <w:rPr>
                <w:b/>
              </w:rPr>
            </w:pPr>
            <w:r w:rsidRPr="00872524">
              <w:rPr>
                <w:b/>
              </w:rPr>
              <w:t xml:space="preserve">Computation Method: </w:t>
            </w:r>
          </w:p>
          <w:p w14:paraId="3FC332B9" w14:textId="77777777" w:rsidR="008C6A6C" w:rsidRDefault="008C6A6C" w:rsidP="008C6A6C">
            <w:pPr>
              <w:pStyle w:val="NoSpacing"/>
            </w:pPr>
          </w:p>
          <w:p w14:paraId="3E7DAFEF" w14:textId="77777777" w:rsidR="008C6A6C" w:rsidRDefault="008C6A6C" w:rsidP="008C6A6C">
            <w:pPr>
              <w:pStyle w:val="NoSpacing"/>
            </w:pPr>
            <w:r>
              <w:t xml:space="preserve">There is no common agreement on how to measure progress towards the USD 100bn commitment. </w:t>
            </w:r>
          </w:p>
          <w:p w14:paraId="76D33DA9" w14:textId="77777777" w:rsidR="008C6A6C" w:rsidRDefault="008C6A6C" w:rsidP="008C6A6C">
            <w:pPr>
              <w:pStyle w:val="NoSpacing"/>
            </w:pPr>
            <w:r>
              <w:t xml:space="preserve">Data provided reflects the reporting of financial support provided to developing countries by Annex I </w:t>
            </w:r>
          </w:p>
          <w:p w14:paraId="20F1746F" w14:textId="77777777" w:rsidR="008C6A6C" w:rsidRDefault="008C6A6C" w:rsidP="008C6A6C">
            <w:pPr>
              <w:pStyle w:val="NoSpacing"/>
            </w:pPr>
            <w:r>
              <w:t xml:space="preserve">Parties in the Convention in their Biennial Reports. The Biennial Assessment and Overview of Climate Finance Flows is a report prepared under the Standing Committee on Finance by the UNFCCC and includes a compilation of the data on financial support provided to developing countries by Annex I Parties. </w:t>
            </w:r>
            <w:proofErr w:type="gramStart"/>
            <w:r>
              <w:t>Each Party reports climate-specific finance</w:t>
            </w:r>
            <w:proofErr w:type="gramEnd"/>
            <w:r>
              <w:t xml:space="preserve"> provided and their underlying assumption and methodologies in accordance with the guidance linked below. </w:t>
            </w:r>
          </w:p>
          <w:p w14:paraId="7B9DFFA9" w14:textId="77777777" w:rsidR="008C6A6C" w:rsidRDefault="008C6A6C" w:rsidP="008C6A6C">
            <w:pPr>
              <w:pStyle w:val="NoSpacing"/>
            </w:pPr>
            <w:r>
              <w:t xml:space="preserve">Methods and guidance available to countries for the compilation of the data at the national level: </w:t>
            </w:r>
          </w:p>
          <w:p w14:paraId="7765E044" w14:textId="77777777" w:rsidR="008C6A6C" w:rsidRDefault="008C6A6C" w:rsidP="008C6A6C">
            <w:pPr>
              <w:pStyle w:val="NoSpacing"/>
            </w:pPr>
            <w:r>
              <w:t>Methodologies for the reporting of financial information by Parties included in Annex I of the Convention</w:t>
            </w:r>
          </w:p>
          <w:p w14:paraId="1A5983DF" w14:textId="77777777" w:rsidR="008C6A6C" w:rsidRDefault="008C6A6C" w:rsidP="008C6A6C">
            <w:pPr>
              <w:pStyle w:val="NoSpacing"/>
            </w:pPr>
            <w:r w:rsidRPr="00280405">
              <w:t>(Decision 9/CP.21) http://unfccc.int/resource/docs/2015/cop21/eng/10a02.pdf#page=15</w:t>
            </w:r>
          </w:p>
          <w:p w14:paraId="7724BC87" w14:textId="77777777" w:rsidR="008C6A6C" w:rsidRDefault="008C6A6C" w:rsidP="008C6A6C">
            <w:pPr>
              <w:pStyle w:val="NoSpacing"/>
            </w:pPr>
          </w:p>
        </w:tc>
        <w:tc>
          <w:tcPr>
            <w:tcW w:w="0" w:type="auto"/>
          </w:tcPr>
          <w:p w14:paraId="576181ED" w14:textId="77777777" w:rsidR="008C6A6C" w:rsidRPr="00204BE1" w:rsidRDefault="008C6A6C" w:rsidP="008C6A6C">
            <w:pPr>
              <w:pStyle w:val="NoSpacing"/>
            </w:pPr>
            <w:r w:rsidRPr="00204BE1">
              <w:lastRenderedPageBreak/>
              <w:t>Annex I Parties are requested to submit their Biennial Reports (BRs) to the UNFCCC secretariat every two years</w:t>
            </w:r>
          </w:p>
        </w:tc>
        <w:tc>
          <w:tcPr>
            <w:tcW w:w="0" w:type="auto"/>
          </w:tcPr>
          <w:p w14:paraId="52C236BD" w14:textId="77777777" w:rsidR="008C6A6C" w:rsidRPr="00322BCC" w:rsidRDefault="008C6A6C" w:rsidP="008C6A6C">
            <w:pPr>
              <w:pStyle w:val="NoSpacing"/>
            </w:pPr>
            <w:r w:rsidRPr="00322BCC">
              <w:t xml:space="preserve">National Governments of Annex I Parties to the UNFCCC  </w:t>
            </w:r>
          </w:p>
          <w:p w14:paraId="7FBAE219" w14:textId="77777777" w:rsidR="008C6A6C" w:rsidRDefault="008C6A6C" w:rsidP="008C6A6C">
            <w:pPr>
              <w:pStyle w:val="NoSpacing"/>
            </w:pPr>
          </w:p>
        </w:tc>
        <w:tc>
          <w:tcPr>
            <w:tcW w:w="0" w:type="auto"/>
          </w:tcPr>
          <w:p w14:paraId="3970BFD8" w14:textId="2B63068C" w:rsidR="008C6A6C" w:rsidRPr="00F60268" w:rsidRDefault="008C6A6C" w:rsidP="008C6A6C">
            <w:pPr>
              <w:pStyle w:val="NoSpacing"/>
              <w:rPr>
                <w:rFonts w:eastAsia="Times New Roman" w:cs="Times New Roman"/>
                <w:color w:val="000000" w:themeColor="text1"/>
                <w:szCs w:val="20"/>
              </w:rPr>
            </w:pPr>
          </w:p>
        </w:tc>
        <w:tc>
          <w:tcPr>
            <w:tcW w:w="0" w:type="auto"/>
          </w:tcPr>
          <w:p w14:paraId="357C8C53" w14:textId="77777777" w:rsidR="008C6A6C" w:rsidRDefault="008C6A6C" w:rsidP="008C6A6C">
            <w:pPr>
              <w:pStyle w:val="NoSpacing"/>
              <w:rPr>
                <w:szCs w:val="26"/>
              </w:rPr>
            </w:pPr>
            <w:r w:rsidRPr="00BC6F10">
              <w:t>a) ERD</w:t>
            </w:r>
            <w:r w:rsidRPr="00BC6F10">
              <w:br/>
              <w:t>b) MoEF</w:t>
            </w:r>
            <w:r>
              <w:t>CC</w:t>
            </w:r>
            <w:r w:rsidRPr="00D53B8A">
              <w:rPr>
                <w:szCs w:val="26"/>
              </w:rPr>
              <w:t xml:space="preserve"> </w:t>
            </w:r>
          </w:p>
          <w:p w14:paraId="0620113D" w14:textId="77777777" w:rsidR="008C6A6C" w:rsidRPr="00F60268" w:rsidRDefault="008C6A6C" w:rsidP="008C6A6C">
            <w:pPr>
              <w:pStyle w:val="NoSpacing"/>
            </w:pPr>
          </w:p>
          <w:p w14:paraId="174216C5" w14:textId="77777777" w:rsidR="008C6A6C" w:rsidRPr="00D53B8A" w:rsidRDefault="008C6A6C" w:rsidP="008C6A6C">
            <w:pPr>
              <w:spacing w:line="276" w:lineRule="auto"/>
              <w:jc w:val="center"/>
              <w:rPr>
                <w:szCs w:val="26"/>
              </w:rPr>
            </w:pPr>
            <w:r w:rsidRPr="00D53B8A">
              <w:rPr>
                <w:szCs w:val="26"/>
              </w:rPr>
              <w:t>Administrative Data</w:t>
            </w:r>
          </w:p>
        </w:tc>
        <w:tc>
          <w:tcPr>
            <w:tcW w:w="0" w:type="auto"/>
          </w:tcPr>
          <w:p w14:paraId="5D705397" w14:textId="77777777" w:rsidR="008C6A6C" w:rsidRDefault="008C6A6C" w:rsidP="008C6A6C">
            <w:pPr>
              <w:ind w:left="970" w:hanging="970"/>
              <w:jc w:val="both"/>
              <w:rPr>
                <w:color w:val="0070C0"/>
                <w:sz w:val="30"/>
                <w:szCs w:val="30"/>
              </w:rPr>
            </w:pPr>
          </w:p>
        </w:tc>
        <w:tc>
          <w:tcPr>
            <w:tcW w:w="0" w:type="auto"/>
          </w:tcPr>
          <w:p w14:paraId="3943A165" w14:textId="77777777" w:rsidR="008C6A6C" w:rsidRDefault="008C6A6C" w:rsidP="008C6A6C">
            <w:pPr>
              <w:ind w:left="970" w:hanging="970"/>
              <w:jc w:val="both"/>
              <w:rPr>
                <w:color w:val="0070C0"/>
                <w:sz w:val="30"/>
                <w:szCs w:val="30"/>
              </w:rPr>
            </w:pPr>
            <w:r w:rsidRPr="00BC6F10">
              <w:t>Annual</w:t>
            </w:r>
          </w:p>
        </w:tc>
        <w:tc>
          <w:tcPr>
            <w:tcW w:w="0" w:type="auto"/>
          </w:tcPr>
          <w:p w14:paraId="72937BDA" w14:textId="77777777" w:rsidR="008C6A6C" w:rsidRDefault="008C6A6C" w:rsidP="008C6A6C">
            <w:pPr>
              <w:ind w:left="970" w:hanging="970"/>
              <w:jc w:val="both"/>
              <w:rPr>
                <w:color w:val="0070C0"/>
                <w:sz w:val="30"/>
                <w:szCs w:val="30"/>
              </w:rPr>
            </w:pPr>
          </w:p>
        </w:tc>
        <w:tc>
          <w:tcPr>
            <w:tcW w:w="0" w:type="auto"/>
          </w:tcPr>
          <w:p w14:paraId="642389AA" w14:textId="77777777" w:rsidR="008C6A6C" w:rsidRDefault="008C6A6C" w:rsidP="008C6A6C">
            <w:pPr>
              <w:pStyle w:val="NoSpacing"/>
            </w:pPr>
            <w:r>
              <w:t>1</w:t>
            </w:r>
            <w:r w:rsidRPr="00013ACB">
              <w:rPr>
                <w:vertAlign w:val="superscript"/>
              </w:rPr>
              <w:t>st</w:t>
            </w:r>
            <w:r>
              <w:t xml:space="preserve"> Round:</w:t>
            </w:r>
          </w:p>
          <w:p w14:paraId="42653DD6" w14:textId="77777777" w:rsidR="008C6A6C" w:rsidRDefault="008C6A6C" w:rsidP="008C6A6C">
            <w:pPr>
              <w:pStyle w:val="NoSpacing"/>
            </w:pPr>
            <w:r w:rsidRPr="00670519">
              <w:t>July, 2019</w:t>
            </w:r>
          </w:p>
          <w:p w14:paraId="410216FB" w14:textId="77777777" w:rsidR="008C6A6C" w:rsidRDefault="008C6A6C" w:rsidP="008C6A6C">
            <w:pPr>
              <w:pStyle w:val="NoSpacing"/>
            </w:pPr>
          </w:p>
          <w:p w14:paraId="083865AB" w14:textId="77777777" w:rsidR="008C6A6C" w:rsidRDefault="008C6A6C" w:rsidP="008C6A6C">
            <w:pPr>
              <w:pStyle w:val="NoSpacing"/>
            </w:pPr>
            <w:r>
              <w:t>2</w:t>
            </w:r>
            <w:r w:rsidRPr="00013ACB">
              <w:rPr>
                <w:vertAlign w:val="superscript"/>
              </w:rPr>
              <w:t>nd</w:t>
            </w:r>
            <w:r>
              <w:t xml:space="preserve"> Round:</w:t>
            </w:r>
          </w:p>
          <w:p w14:paraId="76A0F35C" w14:textId="77777777" w:rsidR="008C6A6C" w:rsidRDefault="008C6A6C" w:rsidP="008C6A6C">
            <w:pPr>
              <w:pStyle w:val="NoSpacing"/>
            </w:pPr>
            <w:r>
              <w:t xml:space="preserve"> July, 2020</w:t>
            </w:r>
          </w:p>
          <w:p w14:paraId="17A51100" w14:textId="77777777" w:rsidR="008C6A6C" w:rsidRDefault="008C6A6C" w:rsidP="008C6A6C">
            <w:pPr>
              <w:pStyle w:val="NoSpacing"/>
            </w:pPr>
          </w:p>
          <w:p w14:paraId="3289FB27" w14:textId="77777777" w:rsidR="008C6A6C" w:rsidRDefault="008C6A6C" w:rsidP="008C6A6C">
            <w:pPr>
              <w:pStyle w:val="NoSpacing"/>
            </w:pPr>
            <w:r>
              <w:t>3</w:t>
            </w:r>
            <w:r w:rsidRPr="00013ACB">
              <w:rPr>
                <w:vertAlign w:val="superscript"/>
              </w:rPr>
              <w:t>rd</w:t>
            </w:r>
            <w:r>
              <w:t xml:space="preserve"> Round: </w:t>
            </w:r>
          </w:p>
          <w:p w14:paraId="7274CBF3" w14:textId="77777777" w:rsidR="008C6A6C" w:rsidRDefault="008C6A6C" w:rsidP="008C6A6C">
            <w:pPr>
              <w:pStyle w:val="NoSpacing"/>
            </w:pPr>
            <w:r>
              <w:t>July, 2021</w:t>
            </w:r>
          </w:p>
          <w:p w14:paraId="05C11FBE" w14:textId="77777777" w:rsidR="008C6A6C" w:rsidRDefault="008C6A6C" w:rsidP="008C6A6C">
            <w:pPr>
              <w:pStyle w:val="NoSpacing"/>
            </w:pPr>
          </w:p>
          <w:p w14:paraId="5CEB763E" w14:textId="77777777" w:rsidR="008C6A6C" w:rsidRDefault="008C6A6C" w:rsidP="008C6A6C">
            <w:pPr>
              <w:pStyle w:val="NoSpacing"/>
            </w:pPr>
            <w:r>
              <w:t>4</w:t>
            </w:r>
            <w:r w:rsidRPr="00013ACB">
              <w:rPr>
                <w:vertAlign w:val="superscript"/>
              </w:rPr>
              <w:t>th</w:t>
            </w:r>
            <w:r>
              <w:t xml:space="preserve"> Round: </w:t>
            </w:r>
          </w:p>
          <w:p w14:paraId="50240788" w14:textId="77777777" w:rsidR="008C6A6C" w:rsidRDefault="008C6A6C" w:rsidP="008C6A6C">
            <w:pPr>
              <w:pStyle w:val="NoSpacing"/>
            </w:pPr>
            <w:r>
              <w:t>July, 2022</w:t>
            </w:r>
          </w:p>
          <w:p w14:paraId="1141D289" w14:textId="77777777" w:rsidR="008C6A6C" w:rsidRDefault="008C6A6C" w:rsidP="008C6A6C">
            <w:pPr>
              <w:pStyle w:val="NoSpacing"/>
            </w:pPr>
          </w:p>
          <w:p w14:paraId="25369B5A" w14:textId="77777777" w:rsidR="008C6A6C" w:rsidRDefault="008C6A6C" w:rsidP="008C6A6C">
            <w:pPr>
              <w:pStyle w:val="NoSpacing"/>
            </w:pPr>
            <w:r>
              <w:t>5</w:t>
            </w:r>
            <w:r w:rsidRPr="00013ACB">
              <w:rPr>
                <w:vertAlign w:val="superscript"/>
              </w:rPr>
              <w:t>th</w:t>
            </w:r>
            <w:r>
              <w:t xml:space="preserve"> </w:t>
            </w:r>
            <w:r>
              <w:lastRenderedPageBreak/>
              <w:t xml:space="preserve">Round: </w:t>
            </w:r>
          </w:p>
          <w:p w14:paraId="3AF28D68" w14:textId="77777777" w:rsidR="008C6A6C" w:rsidRDefault="008C6A6C" w:rsidP="008C6A6C">
            <w:pPr>
              <w:pStyle w:val="NoSpacing"/>
            </w:pPr>
            <w:r>
              <w:t>July, 2023</w:t>
            </w:r>
          </w:p>
          <w:p w14:paraId="1F034412" w14:textId="10FF0433" w:rsidR="008C6A6C" w:rsidRDefault="008C6A6C" w:rsidP="008C6A6C">
            <w:pPr>
              <w:pStyle w:val="NoSpacing"/>
            </w:pPr>
          </w:p>
        </w:tc>
        <w:tc>
          <w:tcPr>
            <w:tcW w:w="0" w:type="auto"/>
          </w:tcPr>
          <w:p w14:paraId="5B573357" w14:textId="77777777" w:rsidR="008C6A6C" w:rsidRDefault="008C6A6C" w:rsidP="008C6A6C">
            <w:pPr>
              <w:pStyle w:val="NoSpacing"/>
            </w:pPr>
            <w:r w:rsidRPr="005D28FF">
              <w:lastRenderedPageBreak/>
              <w:t>UNSC 51 replacement included in the 2020 comprehensive review</w:t>
            </w:r>
          </w:p>
        </w:tc>
      </w:tr>
      <w:tr w:rsidR="008C6A6C" w14:paraId="20C482D6" w14:textId="77777777" w:rsidTr="00A64F0D">
        <w:tc>
          <w:tcPr>
            <w:tcW w:w="0" w:type="auto"/>
          </w:tcPr>
          <w:p w14:paraId="7160BD0E" w14:textId="77777777" w:rsidR="008C6A6C" w:rsidRDefault="008C6A6C" w:rsidP="008C6A6C">
            <w:pPr>
              <w:ind w:left="970" w:hanging="970"/>
              <w:jc w:val="both"/>
              <w:rPr>
                <w:color w:val="0070C0"/>
                <w:sz w:val="30"/>
                <w:szCs w:val="30"/>
              </w:rPr>
            </w:pPr>
          </w:p>
        </w:tc>
        <w:tc>
          <w:tcPr>
            <w:tcW w:w="0" w:type="auto"/>
            <w:gridSpan w:val="12"/>
          </w:tcPr>
          <w:p w14:paraId="2741C237" w14:textId="77777777" w:rsidR="008C6A6C" w:rsidRDefault="008C6A6C" w:rsidP="008C6A6C">
            <w:pPr>
              <w:jc w:val="both"/>
              <w:rPr>
                <w:color w:val="0070C0"/>
                <w:sz w:val="48"/>
                <w:szCs w:val="48"/>
              </w:rPr>
            </w:pPr>
            <w:r>
              <w:rPr>
                <w:color w:val="0070C0"/>
                <w:sz w:val="30"/>
                <w:szCs w:val="30"/>
              </w:rPr>
              <w:t xml:space="preserve">Target </w:t>
            </w:r>
            <w:r w:rsidRPr="0098013D">
              <w:rPr>
                <w:color w:val="0070C0"/>
                <w:sz w:val="30"/>
                <w:szCs w:val="30"/>
              </w:rPr>
              <w:t>13.b Promote mechanisms for raising capacity for effective climate change-related planning and management in least developed countries and small island developing States, including focusing on women, youth and local and marginalized communities</w:t>
            </w:r>
          </w:p>
        </w:tc>
      </w:tr>
      <w:tr w:rsidR="008C6A6C" w14:paraId="5841162D" w14:textId="77777777" w:rsidTr="00A64F0D">
        <w:tc>
          <w:tcPr>
            <w:tcW w:w="0" w:type="auto"/>
          </w:tcPr>
          <w:p w14:paraId="2DDC10D4" w14:textId="77777777" w:rsidR="008C6A6C" w:rsidRDefault="008C6A6C" w:rsidP="008C6A6C">
            <w:pPr>
              <w:pStyle w:val="NoSpacing"/>
            </w:pPr>
            <w:r w:rsidRPr="000221E2">
              <w:t xml:space="preserve">13.b.1 Number of least developed countries and small island developing States with nationally determined contributions long-term strategies, national adaptation plans, strategies as reported in </w:t>
            </w:r>
            <w:r w:rsidRPr="000221E2">
              <w:lastRenderedPageBreak/>
              <w:t>adaptation communications and national communications</w:t>
            </w:r>
          </w:p>
        </w:tc>
        <w:tc>
          <w:tcPr>
            <w:tcW w:w="0" w:type="auto"/>
          </w:tcPr>
          <w:p w14:paraId="6E7E5A9F" w14:textId="77777777" w:rsidR="008C6A6C" w:rsidRDefault="008C6A6C" w:rsidP="008C6A6C">
            <w:pPr>
              <w:ind w:left="970" w:hanging="970"/>
              <w:jc w:val="both"/>
              <w:rPr>
                <w:color w:val="0070C0"/>
                <w:sz w:val="30"/>
                <w:szCs w:val="30"/>
              </w:rPr>
            </w:pPr>
          </w:p>
          <w:p w14:paraId="00677C27" w14:textId="77777777" w:rsidR="008C6A6C" w:rsidRDefault="008C6A6C" w:rsidP="008C6A6C">
            <w:pPr>
              <w:rPr>
                <w:color w:val="0070C0"/>
                <w:sz w:val="30"/>
                <w:szCs w:val="30"/>
              </w:rPr>
            </w:pPr>
          </w:p>
        </w:tc>
        <w:tc>
          <w:tcPr>
            <w:tcW w:w="0" w:type="auto"/>
          </w:tcPr>
          <w:p w14:paraId="1D129759" w14:textId="1319183C" w:rsidR="008C6A6C" w:rsidRDefault="00754676" w:rsidP="008C6A6C">
            <w:pPr>
              <w:pStyle w:val="NoSpacing"/>
            </w:pPr>
            <w:r>
              <w:t>TBD</w:t>
            </w:r>
          </w:p>
        </w:tc>
        <w:tc>
          <w:tcPr>
            <w:tcW w:w="0" w:type="auto"/>
          </w:tcPr>
          <w:p w14:paraId="6D44E721" w14:textId="77777777" w:rsidR="008C6A6C" w:rsidRPr="00872524" w:rsidRDefault="008C6A6C" w:rsidP="008C6A6C">
            <w:pPr>
              <w:pStyle w:val="NoSpacing"/>
              <w:rPr>
                <w:b/>
              </w:rPr>
            </w:pPr>
            <w:r w:rsidRPr="00872524">
              <w:rPr>
                <w:b/>
              </w:rPr>
              <w:t xml:space="preserve">Definitions: </w:t>
            </w:r>
          </w:p>
          <w:p w14:paraId="0763D541" w14:textId="77777777" w:rsidR="008C6A6C" w:rsidRDefault="008C6A6C" w:rsidP="008C6A6C">
            <w:pPr>
              <w:pStyle w:val="NoSpacing"/>
            </w:pPr>
            <w:r>
              <w:t xml:space="preserve"> </w:t>
            </w:r>
          </w:p>
          <w:p w14:paraId="1BF8C042" w14:textId="77777777" w:rsidR="008C6A6C" w:rsidRDefault="008C6A6C" w:rsidP="008C6A6C">
            <w:pPr>
              <w:pStyle w:val="NoSpacing"/>
            </w:pPr>
            <w:r>
              <w:t xml:space="preserve">SIDS: http://unohrlls.org/about-sids/ </w:t>
            </w:r>
          </w:p>
          <w:p w14:paraId="30F46CCF" w14:textId="77777777" w:rsidR="008C6A6C" w:rsidRDefault="008C6A6C" w:rsidP="008C6A6C">
            <w:pPr>
              <w:pStyle w:val="NoSpacing"/>
            </w:pPr>
            <w:r>
              <w:t xml:space="preserve">LDCs: http://unohrlls.org/about-ldcs/  </w:t>
            </w:r>
          </w:p>
          <w:p w14:paraId="2BFF09F5" w14:textId="77777777" w:rsidR="008C6A6C" w:rsidRDefault="008C6A6C" w:rsidP="008C6A6C">
            <w:pPr>
              <w:pStyle w:val="NoSpacing"/>
            </w:pPr>
            <w:r>
              <w:t xml:space="preserve"> </w:t>
            </w:r>
          </w:p>
          <w:p w14:paraId="722DBDCA" w14:textId="77777777" w:rsidR="008C6A6C" w:rsidRDefault="008C6A6C" w:rsidP="008C6A6C">
            <w:pPr>
              <w:pStyle w:val="NoSpacing"/>
            </w:pPr>
            <w:r>
              <w:t xml:space="preserve"> </w:t>
            </w:r>
          </w:p>
          <w:p w14:paraId="5FD6DAA7" w14:textId="77777777" w:rsidR="008C6A6C" w:rsidRDefault="008C6A6C" w:rsidP="008C6A6C">
            <w:pPr>
              <w:pStyle w:val="NoSpacing"/>
            </w:pPr>
            <w:r>
              <w:t xml:space="preserve"> </w:t>
            </w:r>
          </w:p>
          <w:p w14:paraId="508F24A4" w14:textId="77777777" w:rsidR="008C6A6C" w:rsidRDefault="008C6A6C" w:rsidP="008C6A6C">
            <w:pPr>
              <w:pStyle w:val="NoSpacing"/>
            </w:pPr>
            <w:r>
              <w:t xml:space="preserve">  </w:t>
            </w:r>
          </w:p>
          <w:p w14:paraId="1E7D779B" w14:textId="77777777" w:rsidR="008C6A6C" w:rsidRDefault="008C6A6C" w:rsidP="008C6A6C">
            <w:pPr>
              <w:pStyle w:val="NoSpacing"/>
            </w:pPr>
            <w:r>
              <w:t xml:space="preserve">1 Consistent with the slight modification for accuracy, to be consistent with indicator 13.2.1, suggest reformulation of this indicator, as explained in my intervention at the last IAEG-SDGs meeting – ‘Number of least developed countries and small island developing states with nationally determined contributions (NDCs), national adaptation plans (NAPs), long-term strategies, and adaptation communications, as reported to the UNFCCC secretariat’. </w:t>
            </w:r>
          </w:p>
          <w:p w14:paraId="4E62287C" w14:textId="77777777" w:rsidR="008C6A6C" w:rsidRDefault="008C6A6C" w:rsidP="008C6A6C">
            <w:pPr>
              <w:pStyle w:val="NoSpacing"/>
            </w:pPr>
            <w:r>
              <w:t xml:space="preserve">NDCs </w:t>
            </w:r>
          </w:p>
          <w:p w14:paraId="26B7F936" w14:textId="77777777" w:rsidR="008C6A6C" w:rsidRDefault="008C6A6C" w:rsidP="008C6A6C">
            <w:pPr>
              <w:pStyle w:val="NoSpacing"/>
            </w:pPr>
            <w:r>
              <w:t xml:space="preserve">The Paris Agreement requires each Party to prepare, communicate and maintain successive nationally determined contributions (NDCs) including mitigation, adaptation and support measures.  The Paris Agreement (Article 4, paragraph 2) requires each Party to prepare, communicate and maintain successive nationally determined contributions (NDCs) that it intends to achieve. Parties shall pursue domestic mitigation measures, with the aim of achieving the objectives </w:t>
            </w:r>
            <w:r>
              <w:lastRenderedPageBreak/>
              <w:t xml:space="preserve">of such contributions. </w:t>
            </w:r>
          </w:p>
          <w:p w14:paraId="7AE05020" w14:textId="77777777" w:rsidR="008C6A6C" w:rsidRDefault="008C6A6C" w:rsidP="008C6A6C">
            <w:pPr>
              <w:pStyle w:val="NoSpacing"/>
            </w:pPr>
            <w:r>
              <w:t xml:space="preserve">Starting in 2023 and then every five years, governments will take stock of the implementation of the Agreement to assess the collective progress towards achieving the purpose of the Agreement and its long-term goals. The outcome of the global stocktake (GST) will inform the preparation of subsequent NDCs, in order to allow for increased ambition and climate action to achieve the purpose of the Paris Agreement and its long-term goals. https://unfccc.int/process-andmeetings/the-paris-agreement/nationally-determined-contributions-ndcs </w:t>
            </w:r>
          </w:p>
          <w:p w14:paraId="0A6ECEB8" w14:textId="77777777" w:rsidR="008C6A6C" w:rsidRDefault="008C6A6C" w:rsidP="008C6A6C">
            <w:pPr>
              <w:pStyle w:val="NoSpacing"/>
            </w:pPr>
            <w:r>
              <w:t xml:space="preserve">NDC interim registry https://www4.unfccc.int/sites/ndcstaging/Pages/Home.aspx  </w:t>
            </w:r>
          </w:p>
          <w:p w14:paraId="57FD1C51" w14:textId="77777777" w:rsidR="008C6A6C" w:rsidRDefault="008C6A6C" w:rsidP="008C6A6C">
            <w:pPr>
              <w:pStyle w:val="NoSpacing"/>
            </w:pPr>
            <w:r>
              <w:t xml:space="preserve"> </w:t>
            </w:r>
          </w:p>
          <w:p w14:paraId="24344777" w14:textId="77777777" w:rsidR="008C6A6C" w:rsidRDefault="008C6A6C" w:rsidP="008C6A6C">
            <w:pPr>
              <w:pStyle w:val="NoSpacing"/>
            </w:pPr>
            <w:r>
              <w:t xml:space="preserve">NAPs </w:t>
            </w:r>
          </w:p>
          <w:p w14:paraId="04A65343" w14:textId="77777777" w:rsidR="008C6A6C" w:rsidRDefault="008C6A6C" w:rsidP="008C6A6C">
            <w:pPr>
              <w:pStyle w:val="NoSpacing"/>
            </w:pPr>
            <w:r>
              <w:t xml:space="preserve">The national adaptation plan (NAP) process was established under the Cancun Adaptation Framework (CAF). It enables Parties to formulate and implement national adaptation plans (NAPs) as a means of identifying medium- and long-term adaptation needs and developing and implementing strategies and programmes to address those needs. It is a continuous, progressive and iterative process which follows a country-driven, gender-sensitive, participatory and fully transparent approach supported by technical guidelines and up to USD 3 million per developing country through the Green Climate Fund Readiness and Preparatory Support Programme, intended to support the formulation of NAPs. Technical guidelines for the NAP process are available at &lt;unfccc.int&gt;; NAPs received by the UNFCCC secretariat are posted at &lt;unfccc.int&gt;. </w:t>
            </w:r>
          </w:p>
          <w:p w14:paraId="7BD4D933" w14:textId="77777777" w:rsidR="008C6A6C" w:rsidRDefault="008C6A6C" w:rsidP="008C6A6C">
            <w:pPr>
              <w:pStyle w:val="NoSpacing"/>
            </w:pPr>
            <w:r>
              <w:t xml:space="preserve"> </w:t>
            </w:r>
          </w:p>
          <w:p w14:paraId="2F9D6BA5" w14:textId="77777777" w:rsidR="008C6A6C" w:rsidRDefault="008C6A6C" w:rsidP="008C6A6C">
            <w:pPr>
              <w:pStyle w:val="NoSpacing"/>
            </w:pPr>
            <w:r>
              <w:t xml:space="preserve">Long term strategies  </w:t>
            </w:r>
          </w:p>
          <w:p w14:paraId="453764FE" w14:textId="77777777" w:rsidR="008C6A6C" w:rsidRDefault="008C6A6C" w:rsidP="008C6A6C">
            <w:pPr>
              <w:pStyle w:val="NoSpacing"/>
            </w:pPr>
            <w:r>
              <w:t xml:space="preserve">Under the Paris Agreement, all Parties should further strive to formulate and communicate longterm low greenhouse gas emission development strategies to provide a context and integrated longterm view to their NDCs.  </w:t>
            </w:r>
          </w:p>
          <w:p w14:paraId="792A4C1F" w14:textId="77777777" w:rsidR="008C6A6C" w:rsidRDefault="008C6A6C" w:rsidP="008C6A6C">
            <w:pPr>
              <w:pStyle w:val="NoSpacing"/>
            </w:pPr>
            <w:r>
              <w:t xml:space="preserve">In accordance with Article 4, paragraph 19, of the Paris Agreement, all Parties should strive to formulate and communicate long-term low greenhouse gas emission development strategies, mindful of Article 2 taking into account their common but differentiated responsibilities and respective capabilities, in the light of different national circumstances. </w:t>
            </w:r>
          </w:p>
          <w:p w14:paraId="66B73805" w14:textId="77777777" w:rsidR="008C6A6C" w:rsidRDefault="008C6A6C" w:rsidP="008C6A6C">
            <w:pPr>
              <w:pStyle w:val="NoSpacing"/>
            </w:pPr>
            <w:r>
              <w:t xml:space="preserve">The COP, by its decision 1/CP 21, paragraph 35, invited Parties to communicate, by 2020, to the secretariat mid-century, long-term low greenhouse gas emission development strategies in accordance with Article 4, paragraph 19, of the Agreement. Further information is available at &lt;unfccc.int&gt; </w:t>
            </w:r>
          </w:p>
          <w:p w14:paraId="1DED1446" w14:textId="77777777" w:rsidR="008C6A6C" w:rsidRDefault="008C6A6C" w:rsidP="008C6A6C">
            <w:pPr>
              <w:pStyle w:val="NoSpacing"/>
            </w:pPr>
            <w:r>
              <w:t xml:space="preserve"> </w:t>
            </w:r>
          </w:p>
          <w:p w14:paraId="2B2F8FF5" w14:textId="77777777" w:rsidR="008C6A6C" w:rsidRDefault="008C6A6C" w:rsidP="008C6A6C">
            <w:pPr>
              <w:pStyle w:val="NoSpacing"/>
            </w:pPr>
            <w:r>
              <w:t xml:space="preserve">Adaptation communications </w:t>
            </w:r>
          </w:p>
          <w:p w14:paraId="5AB26B44" w14:textId="77777777" w:rsidR="008C6A6C" w:rsidRDefault="008C6A6C" w:rsidP="008C6A6C">
            <w:pPr>
              <w:pStyle w:val="NoSpacing"/>
            </w:pPr>
            <w:r>
              <w:t xml:space="preserve">Also, each Party should, as appropriate, submit and update periodically an adaptation communication, which may include its priorities, implementation and support needs, plans and actions. The adaptation communications will be recorded in a public registry maintained by the secretariat, available at &lt;unfccc.int&gt;. </w:t>
            </w:r>
          </w:p>
          <w:p w14:paraId="09C9F190" w14:textId="77777777" w:rsidR="008C6A6C" w:rsidRDefault="008C6A6C" w:rsidP="008C6A6C">
            <w:pPr>
              <w:pStyle w:val="NoSpacing"/>
            </w:pPr>
            <w:r>
              <w:t xml:space="preserve">National communications </w:t>
            </w:r>
          </w:p>
          <w:p w14:paraId="2344DD55" w14:textId="77777777" w:rsidR="008C6A6C" w:rsidRDefault="008C6A6C" w:rsidP="008C6A6C">
            <w:pPr>
              <w:pStyle w:val="NoSpacing"/>
            </w:pPr>
            <w:r>
              <w:t xml:space="preserve">The Convention established several processes to foster transparency and accountability of countries’ actions to address climate change. Under Article 12, all Parties are asked to submit national inventories and national communications (NCs) to report on the implementation of the Convention. </w:t>
            </w:r>
          </w:p>
          <w:p w14:paraId="23EBCC50" w14:textId="77777777" w:rsidR="008C6A6C" w:rsidRDefault="008C6A6C" w:rsidP="008C6A6C">
            <w:pPr>
              <w:pStyle w:val="NoSpacing"/>
            </w:pPr>
            <w:r>
              <w:t xml:space="preserve">This reporting is required at different levels of stringency and with varying frequency for different Parties. National </w:t>
            </w:r>
            <w:r>
              <w:lastRenderedPageBreak/>
              <w:t xml:space="preserve">Communications received by the UNFCCC secretariat are available at &lt;unfccc.int&gt;. </w:t>
            </w:r>
          </w:p>
          <w:p w14:paraId="2809E903" w14:textId="77777777" w:rsidR="008C6A6C" w:rsidRDefault="008C6A6C" w:rsidP="008C6A6C">
            <w:pPr>
              <w:pStyle w:val="NoSpacing"/>
            </w:pPr>
            <w:r>
              <w:t xml:space="preserve">Rationale and concepts, comments and limitations: </w:t>
            </w:r>
          </w:p>
          <w:p w14:paraId="1F3CEAAA" w14:textId="77777777" w:rsidR="008C6A6C" w:rsidRDefault="008C6A6C" w:rsidP="008C6A6C">
            <w:pPr>
              <w:pStyle w:val="NoSpacing"/>
            </w:pPr>
            <w:r>
              <w:t xml:space="preserve">Under the United Nations Framework Convention on Climate Change (UNFCCC), all Parties shall formulate, implement, publish and regularly update national/regional programmes containing measures to mitigate climate change and to facilitate adequate adaptation, while taking into account their common but differentiated responsibilities and their specific national and regional development priorities, objectives and circumstances. These policies and measures should be appropriate for the specific conditions of each Party and should be integrated with national development programmes. </w:t>
            </w:r>
          </w:p>
          <w:p w14:paraId="7F0335AD" w14:textId="77777777" w:rsidR="008C6A6C" w:rsidRDefault="008C6A6C" w:rsidP="008C6A6C">
            <w:pPr>
              <w:pStyle w:val="NoSpacing"/>
            </w:pPr>
            <w:r>
              <w:t xml:space="preserve">The Convention established several processes to foster transparency and accountability of countries’ actions to address climate change. </w:t>
            </w:r>
          </w:p>
          <w:p w14:paraId="392F1759" w14:textId="77777777" w:rsidR="008C6A6C" w:rsidRDefault="008C6A6C" w:rsidP="008C6A6C">
            <w:pPr>
              <w:pStyle w:val="NoSpacing"/>
            </w:pPr>
            <w:r>
              <w:t xml:space="preserve"> </w:t>
            </w:r>
          </w:p>
          <w:p w14:paraId="5E9F8194" w14:textId="77777777" w:rsidR="008C6A6C" w:rsidRDefault="008C6A6C" w:rsidP="008C6A6C">
            <w:pPr>
              <w:pStyle w:val="NoSpacing"/>
            </w:pPr>
            <w:r>
              <w:t xml:space="preserve">The Paris Agreement2 builds upon the Convention and brings all nations into a common cause to undertake ambitious efforts to combat climate change and adapt to its effects, with enhanced support to assist developing countries to do so, charting a new course in the global climate effort. The Paris Agreement’s central aim is to strengthen the global response to the threat of climate change by keeping a global temperature rise this century well below 2 degrees Celsius above preindustrial levels and to pursue efforts to limit the temperature increase even further to 1.5 degrees Celsius. Additionally, the agreement aims to strengthen the ability of countries to deal with the impacts of climate change.  </w:t>
            </w:r>
          </w:p>
          <w:p w14:paraId="283AF936" w14:textId="77777777" w:rsidR="008C6A6C" w:rsidRDefault="008C6A6C" w:rsidP="008C6A6C">
            <w:pPr>
              <w:pStyle w:val="NoSpacing"/>
            </w:pPr>
            <w:r>
              <w:t xml:space="preserve">Materials are received from Parties on an ongoing basis. </w:t>
            </w:r>
          </w:p>
          <w:p w14:paraId="79775C6A" w14:textId="77777777" w:rsidR="008C6A6C" w:rsidRDefault="008C6A6C" w:rsidP="008C6A6C">
            <w:pPr>
              <w:pStyle w:val="NoSpacing"/>
            </w:pPr>
          </w:p>
          <w:p w14:paraId="73213981" w14:textId="77777777" w:rsidR="008C6A6C" w:rsidRDefault="008C6A6C" w:rsidP="008C6A6C">
            <w:pPr>
              <w:pStyle w:val="NoSpacing"/>
            </w:pPr>
            <w:r>
              <w:t xml:space="preserve">Computation Method: </w:t>
            </w:r>
          </w:p>
          <w:p w14:paraId="5CA7F263" w14:textId="77777777" w:rsidR="008C6A6C" w:rsidRDefault="008C6A6C" w:rsidP="008C6A6C">
            <w:pPr>
              <w:pStyle w:val="NoSpacing"/>
            </w:pPr>
            <w:r>
              <w:t>Count/status of plans annually in advance of preparation of SDG progress reports, based on most recent data for SIDS and LDCs.</w:t>
            </w:r>
          </w:p>
        </w:tc>
        <w:tc>
          <w:tcPr>
            <w:tcW w:w="0" w:type="auto"/>
          </w:tcPr>
          <w:p w14:paraId="320AA8CA" w14:textId="77777777" w:rsidR="008C6A6C" w:rsidRDefault="008C6A6C" w:rsidP="008C6A6C">
            <w:pPr>
              <w:pStyle w:val="NoSpacing"/>
            </w:pPr>
            <w:r>
              <w:lastRenderedPageBreak/>
              <w:t xml:space="preserve">Submission of documents to the UNFCCC Secretariat from Parties to the UNFCCC and Paris Agreement. </w:t>
            </w:r>
          </w:p>
          <w:p w14:paraId="5DFA2BA4" w14:textId="77777777" w:rsidR="008C6A6C" w:rsidRDefault="008C6A6C" w:rsidP="008C6A6C">
            <w:pPr>
              <w:pStyle w:val="NoSpacing"/>
            </w:pPr>
            <w:r>
              <w:t>1.</w:t>
            </w:r>
          </w:p>
          <w:p w14:paraId="61691FBF" w14:textId="77777777" w:rsidR="008C6A6C" w:rsidRDefault="008C6A6C" w:rsidP="008C6A6C">
            <w:r>
              <w:t>NAP Central and Adaptation Registries under the UNFCCC.</w:t>
            </w:r>
          </w:p>
          <w:p w14:paraId="18F3D52E" w14:textId="77777777" w:rsidR="008C6A6C" w:rsidRDefault="008C6A6C" w:rsidP="008C6A6C">
            <w:r>
              <w:lastRenderedPageBreak/>
              <w:t>2.</w:t>
            </w:r>
          </w:p>
          <w:p w14:paraId="5D4603AD" w14:textId="77777777" w:rsidR="008C6A6C" w:rsidRDefault="008C6A6C" w:rsidP="008C6A6C">
            <w:pPr>
              <w:pStyle w:val="NoSpacing"/>
            </w:pPr>
            <w:r>
              <w:t xml:space="preserve">Least Developed Countries Expert Group yearly reports </w:t>
            </w:r>
          </w:p>
          <w:p w14:paraId="6207E601" w14:textId="77777777" w:rsidR="008C6A6C" w:rsidRDefault="008C6A6C" w:rsidP="008C6A6C">
            <w:pPr>
              <w:pStyle w:val="NoSpacing"/>
            </w:pPr>
          </w:p>
          <w:p w14:paraId="640F8C41" w14:textId="77777777" w:rsidR="008C6A6C" w:rsidRDefault="008C6A6C" w:rsidP="008C6A6C">
            <w:pPr>
              <w:pStyle w:val="NoSpacing"/>
            </w:pPr>
          </w:p>
        </w:tc>
        <w:tc>
          <w:tcPr>
            <w:tcW w:w="0" w:type="auto"/>
          </w:tcPr>
          <w:p w14:paraId="438475ED" w14:textId="77777777" w:rsidR="008C6A6C" w:rsidRPr="001E42AC" w:rsidRDefault="008C6A6C" w:rsidP="008C6A6C">
            <w:pPr>
              <w:pStyle w:val="NoSpacing"/>
            </w:pPr>
            <w:r>
              <w:lastRenderedPageBreak/>
              <w:t>Parties to the UNFCCC</w:t>
            </w:r>
          </w:p>
        </w:tc>
        <w:tc>
          <w:tcPr>
            <w:tcW w:w="0" w:type="auto"/>
          </w:tcPr>
          <w:p w14:paraId="4BACD68B" w14:textId="77777777" w:rsidR="008C6A6C" w:rsidDel="00181979" w:rsidRDefault="008C6A6C" w:rsidP="008C6A6C">
            <w:pPr>
              <w:pStyle w:val="NoSpacing"/>
            </w:pPr>
            <w:r>
              <w:t xml:space="preserve"> </w:t>
            </w:r>
          </w:p>
          <w:p w14:paraId="6D25FF93" w14:textId="170C5B38" w:rsidR="008C6A6C" w:rsidRDefault="008C6A6C" w:rsidP="008C6A6C">
            <w:pPr>
              <w:pStyle w:val="NoSpacing"/>
            </w:pPr>
          </w:p>
        </w:tc>
        <w:tc>
          <w:tcPr>
            <w:tcW w:w="0" w:type="auto"/>
          </w:tcPr>
          <w:p w14:paraId="3E769C41" w14:textId="77777777" w:rsidR="008C6A6C" w:rsidRPr="004448B3" w:rsidRDefault="008C6A6C" w:rsidP="008C6A6C">
            <w:pPr>
              <w:spacing w:line="276" w:lineRule="auto"/>
              <w:rPr>
                <w:rFonts w:eastAsia="Times New Roman" w:cs="Times New Roman"/>
                <w:color w:val="FF0000"/>
                <w:szCs w:val="20"/>
              </w:rPr>
            </w:pPr>
            <w:r w:rsidRPr="004448B3">
              <w:rPr>
                <w:rFonts w:eastAsia="Times New Roman" w:cs="Times New Roman"/>
                <w:color w:val="FF0000"/>
                <w:szCs w:val="20"/>
              </w:rPr>
              <w:t>a) MoEFCC</w:t>
            </w:r>
          </w:p>
          <w:p w14:paraId="67554998" w14:textId="77777777" w:rsidR="008C6A6C" w:rsidRDefault="008C6A6C" w:rsidP="008C6A6C">
            <w:pPr>
              <w:spacing w:line="276" w:lineRule="auto"/>
              <w:rPr>
                <w:rFonts w:eastAsia="Times New Roman" w:cs="Times New Roman"/>
                <w:color w:val="000000" w:themeColor="text1"/>
                <w:szCs w:val="20"/>
              </w:rPr>
            </w:pPr>
            <w:r w:rsidRPr="00E43407">
              <w:rPr>
                <w:rFonts w:eastAsia="Times New Roman" w:cs="Times New Roman"/>
                <w:color w:val="000000" w:themeColor="text1"/>
                <w:szCs w:val="20"/>
              </w:rPr>
              <w:t>b) MoDMR</w:t>
            </w:r>
          </w:p>
          <w:p w14:paraId="4DF54035" w14:textId="77777777" w:rsidR="008C6A6C" w:rsidRDefault="008C6A6C" w:rsidP="008C6A6C">
            <w:pPr>
              <w:pStyle w:val="NoSpacing"/>
              <w:rPr>
                <w:szCs w:val="26"/>
              </w:rPr>
            </w:pPr>
          </w:p>
          <w:p w14:paraId="54AD11FC" w14:textId="77777777" w:rsidR="008C6A6C" w:rsidRDefault="008C6A6C" w:rsidP="008C6A6C">
            <w:pPr>
              <w:pStyle w:val="NoSpacing"/>
              <w:rPr>
                <w:szCs w:val="26"/>
              </w:rPr>
            </w:pPr>
          </w:p>
          <w:p w14:paraId="0E97DD7F" w14:textId="77777777" w:rsidR="008C6A6C" w:rsidRDefault="008C6A6C" w:rsidP="008C6A6C">
            <w:pPr>
              <w:pStyle w:val="NoSpacing"/>
            </w:pPr>
            <w:r w:rsidRPr="00D53B8A">
              <w:rPr>
                <w:szCs w:val="26"/>
              </w:rPr>
              <w:t>Administrative Data</w:t>
            </w:r>
          </w:p>
        </w:tc>
        <w:tc>
          <w:tcPr>
            <w:tcW w:w="0" w:type="auto"/>
          </w:tcPr>
          <w:p w14:paraId="731908A8"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Lcds/ SIDS</w:t>
            </w:r>
          </w:p>
          <w:p w14:paraId="226E05BA" w14:textId="77777777"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71DE6B3D" w14:textId="1D844436" w:rsidR="008C6A6C" w:rsidRDefault="008C6A6C" w:rsidP="008C6A6C">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Age </w:t>
            </w:r>
            <w:r w:rsidR="0041338E">
              <w:rPr>
                <w:rFonts w:ascii="Tw Cen MT Condensed" w:hAnsi="Tw Cen MT Condensed"/>
                <w:sz w:val="20"/>
                <w:szCs w:val="20"/>
              </w:rPr>
              <w:t>: 0-15, 16-24, 25-64, 65 and above</w:t>
            </w:r>
          </w:p>
          <w:p w14:paraId="7CC4E59D" w14:textId="77777777" w:rsidR="008C6A6C" w:rsidRDefault="008C6A6C" w:rsidP="008C6A6C">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Community</w:t>
            </w:r>
          </w:p>
          <w:p w14:paraId="28A9ABF3" w14:textId="77777777" w:rsidR="008C6A6C" w:rsidRDefault="008C6A6C" w:rsidP="008C6A6C">
            <w:pPr>
              <w:ind w:left="970" w:hanging="970"/>
              <w:jc w:val="both"/>
              <w:rPr>
                <w:color w:val="0070C0"/>
                <w:sz w:val="30"/>
                <w:szCs w:val="30"/>
              </w:rPr>
            </w:pPr>
          </w:p>
        </w:tc>
        <w:tc>
          <w:tcPr>
            <w:tcW w:w="0" w:type="auto"/>
          </w:tcPr>
          <w:p w14:paraId="1036631F" w14:textId="77777777" w:rsidR="008C6A6C" w:rsidRDefault="008C6A6C" w:rsidP="008C6A6C">
            <w:pPr>
              <w:ind w:left="970" w:hanging="970"/>
              <w:jc w:val="both"/>
              <w:rPr>
                <w:color w:val="0070C0"/>
                <w:sz w:val="30"/>
                <w:szCs w:val="30"/>
              </w:rPr>
            </w:pPr>
            <w:r w:rsidRPr="00BC6F10">
              <w:t>Annual</w:t>
            </w:r>
          </w:p>
        </w:tc>
        <w:tc>
          <w:tcPr>
            <w:tcW w:w="0" w:type="auto"/>
          </w:tcPr>
          <w:p w14:paraId="11854793" w14:textId="77777777" w:rsidR="008C6A6C" w:rsidRDefault="008C6A6C" w:rsidP="008C6A6C">
            <w:pPr>
              <w:ind w:left="970" w:hanging="970"/>
              <w:jc w:val="both"/>
              <w:rPr>
                <w:color w:val="0070C0"/>
                <w:sz w:val="30"/>
                <w:szCs w:val="30"/>
              </w:rPr>
            </w:pPr>
          </w:p>
        </w:tc>
        <w:tc>
          <w:tcPr>
            <w:tcW w:w="0" w:type="auto"/>
          </w:tcPr>
          <w:p w14:paraId="3C3479A6" w14:textId="77777777" w:rsidR="008C6A6C" w:rsidRDefault="008C6A6C" w:rsidP="008C6A6C">
            <w:pPr>
              <w:pStyle w:val="NoSpacing"/>
            </w:pPr>
            <w:r>
              <w:t>1</w:t>
            </w:r>
            <w:r w:rsidRPr="00013ACB">
              <w:rPr>
                <w:vertAlign w:val="superscript"/>
              </w:rPr>
              <w:t>st</w:t>
            </w:r>
            <w:r>
              <w:t xml:space="preserve"> Round:</w:t>
            </w:r>
          </w:p>
          <w:p w14:paraId="442B9DFC" w14:textId="77777777" w:rsidR="008C6A6C" w:rsidRDefault="008C6A6C" w:rsidP="008C6A6C">
            <w:pPr>
              <w:pStyle w:val="NoSpacing"/>
            </w:pPr>
            <w:r w:rsidRPr="00670519">
              <w:t>July, 2019</w:t>
            </w:r>
          </w:p>
          <w:p w14:paraId="5858ADBA" w14:textId="77777777" w:rsidR="008C6A6C" w:rsidRDefault="008C6A6C" w:rsidP="008C6A6C">
            <w:pPr>
              <w:pStyle w:val="NoSpacing"/>
            </w:pPr>
          </w:p>
          <w:p w14:paraId="5D0DA8F6" w14:textId="77777777" w:rsidR="008C6A6C" w:rsidRDefault="008C6A6C" w:rsidP="008C6A6C">
            <w:pPr>
              <w:pStyle w:val="NoSpacing"/>
            </w:pPr>
            <w:r>
              <w:t>2</w:t>
            </w:r>
            <w:r w:rsidRPr="00013ACB">
              <w:rPr>
                <w:vertAlign w:val="superscript"/>
              </w:rPr>
              <w:t>nd</w:t>
            </w:r>
            <w:r>
              <w:t xml:space="preserve"> Round:</w:t>
            </w:r>
          </w:p>
          <w:p w14:paraId="7017D0E3" w14:textId="77777777" w:rsidR="008C6A6C" w:rsidRDefault="008C6A6C" w:rsidP="008C6A6C">
            <w:pPr>
              <w:pStyle w:val="NoSpacing"/>
            </w:pPr>
            <w:r>
              <w:t xml:space="preserve"> July, 2020</w:t>
            </w:r>
          </w:p>
          <w:p w14:paraId="5CB58767" w14:textId="77777777" w:rsidR="008C6A6C" w:rsidRDefault="008C6A6C" w:rsidP="008C6A6C">
            <w:pPr>
              <w:pStyle w:val="NoSpacing"/>
            </w:pPr>
          </w:p>
          <w:p w14:paraId="3B186CD6" w14:textId="77777777" w:rsidR="008C6A6C" w:rsidRDefault="008C6A6C" w:rsidP="008C6A6C">
            <w:pPr>
              <w:pStyle w:val="NoSpacing"/>
            </w:pPr>
            <w:r>
              <w:t>3</w:t>
            </w:r>
            <w:r w:rsidRPr="00013ACB">
              <w:rPr>
                <w:vertAlign w:val="superscript"/>
              </w:rPr>
              <w:t>rd</w:t>
            </w:r>
            <w:r>
              <w:t xml:space="preserve"> Round: </w:t>
            </w:r>
          </w:p>
          <w:p w14:paraId="33140F3B" w14:textId="77777777" w:rsidR="008C6A6C" w:rsidRDefault="008C6A6C" w:rsidP="008C6A6C">
            <w:pPr>
              <w:pStyle w:val="NoSpacing"/>
            </w:pPr>
            <w:r>
              <w:t>July, 2021</w:t>
            </w:r>
          </w:p>
          <w:p w14:paraId="23991AD5" w14:textId="77777777" w:rsidR="008C6A6C" w:rsidRDefault="008C6A6C" w:rsidP="008C6A6C">
            <w:pPr>
              <w:pStyle w:val="NoSpacing"/>
            </w:pPr>
          </w:p>
          <w:p w14:paraId="43A73366" w14:textId="77777777" w:rsidR="008C6A6C" w:rsidRDefault="008C6A6C" w:rsidP="008C6A6C">
            <w:pPr>
              <w:pStyle w:val="NoSpacing"/>
            </w:pPr>
            <w:r>
              <w:t>4</w:t>
            </w:r>
            <w:r w:rsidRPr="00013ACB">
              <w:rPr>
                <w:vertAlign w:val="superscript"/>
              </w:rPr>
              <w:t>th</w:t>
            </w:r>
            <w:r>
              <w:t xml:space="preserve"> Round: </w:t>
            </w:r>
          </w:p>
          <w:p w14:paraId="006B979E" w14:textId="77777777" w:rsidR="008C6A6C" w:rsidRDefault="008C6A6C" w:rsidP="008C6A6C">
            <w:pPr>
              <w:pStyle w:val="NoSpacing"/>
            </w:pPr>
            <w:r>
              <w:lastRenderedPageBreak/>
              <w:t>July, 2022</w:t>
            </w:r>
          </w:p>
          <w:p w14:paraId="3AA4276B" w14:textId="77777777" w:rsidR="008C6A6C" w:rsidRDefault="008C6A6C" w:rsidP="008C6A6C">
            <w:pPr>
              <w:pStyle w:val="NoSpacing"/>
            </w:pPr>
          </w:p>
          <w:p w14:paraId="4689155B" w14:textId="77777777" w:rsidR="008C6A6C" w:rsidRDefault="008C6A6C" w:rsidP="008C6A6C">
            <w:pPr>
              <w:pStyle w:val="NoSpacing"/>
            </w:pPr>
            <w:r>
              <w:t>5</w:t>
            </w:r>
            <w:r w:rsidRPr="00013ACB">
              <w:rPr>
                <w:vertAlign w:val="superscript"/>
              </w:rPr>
              <w:t>th</w:t>
            </w:r>
            <w:r>
              <w:t xml:space="preserve"> Round: </w:t>
            </w:r>
          </w:p>
          <w:p w14:paraId="14050F11" w14:textId="77777777" w:rsidR="008C6A6C" w:rsidRDefault="008C6A6C" w:rsidP="008C6A6C">
            <w:pPr>
              <w:pStyle w:val="NoSpacing"/>
            </w:pPr>
            <w:r>
              <w:t>July, 2023</w:t>
            </w:r>
          </w:p>
          <w:p w14:paraId="4117856E" w14:textId="2F89BED1" w:rsidR="008C6A6C" w:rsidRDefault="008C6A6C" w:rsidP="008C6A6C">
            <w:pPr>
              <w:pStyle w:val="NoSpacing"/>
            </w:pPr>
          </w:p>
        </w:tc>
        <w:tc>
          <w:tcPr>
            <w:tcW w:w="0" w:type="auto"/>
          </w:tcPr>
          <w:p w14:paraId="3E669B30" w14:textId="77777777" w:rsidR="008C6A6C" w:rsidRDefault="008C6A6C" w:rsidP="008C6A6C">
            <w:pPr>
              <w:pStyle w:val="NoSpacing"/>
            </w:pPr>
            <w:r>
              <w:lastRenderedPageBreak/>
              <w:t>UNSC 51 replacement included in the 2020 comprehensive review</w:t>
            </w:r>
          </w:p>
          <w:p w14:paraId="015C4C32" w14:textId="77777777" w:rsidR="008C6A6C" w:rsidRDefault="008C6A6C" w:rsidP="008C6A6C">
            <w:pPr>
              <w:pStyle w:val="NoSpacing"/>
            </w:pPr>
          </w:p>
          <w:p w14:paraId="4942493A" w14:textId="77777777" w:rsidR="003E5AFB" w:rsidRDefault="003E5AFB" w:rsidP="008C6A6C">
            <w:pPr>
              <w:pStyle w:val="NoSpacing"/>
            </w:pPr>
          </w:p>
          <w:p w14:paraId="0F000C3E" w14:textId="77777777" w:rsidR="003E5AFB" w:rsidRDefault="003E5AFB" w:rsidP="008C6A6C">
            <w:pPr>
              <w:pStyle w:val="NoSpacing"/>
            </w:pPr>
          </w:p>
          <w:p w14:paraId="0FE255A8" w14:textId="77777777" w:rsidR="003E5AFB" w:rsidRDefault="003E5AFB" w:rsidP="008C6A6C">
            <w:pPr>
              <w:pStyle w:val="NoSpacing"/>
            </w:pPr>
          </w:p>
          <w:p w14:paraId="4CE3BFC7" w14:textId="3059E796" w:rsidR="008C6A6C" w:rsidRDefault="003E5AFB" w:rsidP="008C6A6C">
            <w:pPr>
              <w:pStyle w:val="NoSpacing"/>
            </w:pPr>
            <w:r>
              <w:t xml:space="preserve">Repeated </w:t>
            </w:r>
            <w:r w:rsidR="008C6A6C">
              <w:t>13.2.1</w:t>
            </w:r>
            <w:r>
              <w:t xml:space="preserve"> </w:t>
            </w:r>
            <w:r w:rsidR="008C6A6C">
              <w:t xml:space="preserve"> (with a slight amendment) </w:t>
            </w:r>
          </w:p>
        </w:tc>
      </w:tr>
    </w:tbl>
    <w:p w14:paraId="0306B30B" w14:textId="5856B207" w:rsidR="00A92C4E" w:rsidRPr="006C6341" w:rsidRDefault="00BB3B57" w:rsidP="00A92C4E">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0" w:type="auto"/>
        <w:tblInd w:w="-5" w:type="dxa"/>
        <w:tblLook w:val="04A0" w:firstRow="1" w:lastRow="0" w:firstColumn="1" w:lastColumn="0" w:noHBand="0" w:noVBand="1"/>
      </w:tblPr>
      <w:tblGrid>
        <w:gridCol w:w="1488"/>
        <w:gridCol w:w="17453"/>
      </w:tblGrid>
      <w:tr w:rsidR="00A92C4E" w14:paraId="1CBF0E08" w14:textId="77777777" w:rsidTr="00A64F0D">
        <w:tc>
          <w:tcPr>
            <w:tcW w:w="0" w:type="auto"/>
            <w:tcBorders>
              <w:left w:val="single" w:sz="4" w:space="0" w:color="C00000"/>
              <w:bottom w:val="single" w:sz="4" w:space="0" w:color="C00000"/>
            </w:tcBorders>
          </w:tcPr>
          <w:p w14:paraId="330F5409" w14:textId="2A18CAAE" w:rsidR="00A92C4E" w:rsidRDefault="00106BE7" w:rsidP="00A92C4E">
            <w:pPr>
              <w:jc w:val="center"/>
              <w:rPr>
                <w:color w:val="C00000"/>
                <w:sz w:val="48"/>
                <w:szCs w:val="48"/>
              </w:rPr>
            </w:pPr>
            <w:r>
              <w:rPr>
                <w:noProof/>
                <w:color w:val="C00000"/>
                <w:sz w:val="48"/>
                <w:szCs w:val="48"/>
                <w:lang w:bidi="bn-BD"/>
              </w:rPr>
              <w:drawing>
                <wp:inline distT="0" distB="0" distL="0" distR="0" wp14:anchorId="14244D41" wp14:editId="7B22CDE7">
                  <wp:extent cx="808075" cy="808075"/>
                  <wp:effectExtent l="0" t="0" r="0" b="0"/>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E_SDG goals_icons-individual-cmyk-1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17121" cy="817121"/>
                          </a:xfrm>
                          <a:prstGeom prst="rect">
                            <a:avLst/>
                          </a:prstGeom>
                        </pic:spPr>
                      </pic:pic>
                    </a:graphicData>
                  </a:graphic>
                </wp:inline>
              </w:drawing>
            </w:r>
          </w:p>
        </w:tc>
        <w:tc>
          <w:tcPr>
            <w:tcW w:w="0" w:type="auto"/>
            <w:shd w:val="clear" w:color="auto" w:fill="0070C0"/>
            <w:vAlign w:val="center"/>
          </w:tcPr>
          <w:p w14:paraId="6E17A919" w14:textId="77777777" w:rsidR="00A92C4E" w:rsidRPr="00214C29" w:rsidRDefault="003D2111" w:rsidP="00A92C4E">
            <w:pPr>
              <w:jc w:val="both"/>
              <w:rPr>
                <w:color w:val="FFFFFF" w:themeColor="background1"/>
                <w:sz w:val="62"/>
                <w:szCs w:val="62"/>
              </w:rPr>
            </w:pPr>
            <w:r w:rsidRPr="003D2111">
              <w:rPr>
                <w:color w:val="FFFFFF" w:themeColor="background1"/>
                <w:sz w:val="62"/>
                <w:szCs w:val="62"/>
              </w:rPr>
              <w:t>Conserve and sustainably use the oceans, seas and marine resources for sustainable development</w:t>
            </w:r>
          </w:p>
        </w:tc>
      </w:tr>
    </w:tbl>
    <w:p w14:paraId="688A1CC0" w14:textId="77777777" w:rsidR="0095033B" w:rsidRPr="00A92C4E" w:rsidRDefault="0095033B" w:rsidP="001C5F7A">
      <w:pPr>
        <w:jc w:val="both"/>
        <w:rPr>
          <w:color w:val="0070C0"/>
          <w:sz w:val="6"/>
          <w:szCs w:val="6"/>
        </w:rPr>
      </w:pPr>
    </w:p>
    <w:tbl>
      <w:tblPr>
        <w:tblStyle w:val="TableGrid"/>
        <w:tblW w:w="0" w:type="auto"/>
        <w:tblLook w:val="04A0" w:firstRow="1" w:lastRow="0" w:firstColumn="1" w:lastColumn="0" w:noHBand="0" w:noVBand="1"/>
      </w:tblPr>
      <w:tblGrid>
        <w:gridCol w:w="1863"/>
        <w:gridCol w:w="719"/>
        <w:gridCol w:w="567"/>
        <w:gridCol w:w="7483"/>
        <w:gridCol w:w="1141"/>
        <w:gridCol w:w="1316"/>
        <w:gridCol w:w="891"/>
        <w:gridCol w:w="891"/>
        <w:gridCol w:w="951"/>
        <w:gridCol w:w="742"/>
        <w:gridCol w:w="649"/>
        <w:gridCol w:w="700"/>
        <w:gridCol w:w="1023"/>
      </w:tblGrid>
      <w:tr w:rsidR="009D6B55" w14:paraId="4443EA79" w14:textId="77777777" w:rsidTr="00A64F0D">
        <w:trPr>
          <w:tblHeader/>
        </w:trPr>
        <w:tc>
          <w:tcPr>
            <w:tcW w:w="0" w:type="auto"/>
            <w:shd w:val="clear" w:color="auto" w:fill="B8CCE4" w:themeFill="accent1" w:themeFillTint="66"/>
            <w:vAlign w:val="center"/>
          </w:tcPr>
          <w:p w14:paraId="157DD568" w14:textId="77777777" w:rsidR="00A92C4E" w:rsidRPr="00C766D7" w:rsidRDefault="00A92C4E" w:rsidP="00A92C4E">
            <w:pPr>
              <w:jc w:val="center"/>
              <w:rPr>
                <w:b/>
                <w:bCs/>
                <w:sz w:val="18"/>
                <w:szCs w:val="18"/>
              </w:rPr>
            </w:pPr>
            <w:r>
              <w:rPr>
                <w:b/>
                <w:bCs/>
                <w:sz w:val="18"/>
                <w:szCs w:val="18"/>
              </w:rPr>
              <w:lastRenderedPageBreak/>
              <w:t>T</w:t>
            </w:r>
            <w:r w:rsidRPr="00C766D7">
              <w:rPr>
                <w:b/>
                <w:bCs/>
                <w:sz w:val="18"/>
                <w:szCs w:val="18"/>
              </w:rPr>
              <w:t>argets and Indicators</w:t>
            </w:r>
          </w:p>
        </w:tc>
        <w:tc>
          <w:tcPr>
            <w:tcW w:w="0" w:type="auto"/>
            <w:shd w:val="clear" w:color="auto" w:fill="B8CCE4" w:themeFill="accent1" w:themeFillTint="66"/>
            <w:vAlign w:val="center"/>
          </w:tcPr>
          <w:p w14:paraId="1770C097" w14:textId="77777777" w:rsidR="00A92C4E" w:rsidRPr="00C766D7" w:rsidRDefault="00A92C4E" w:rsidP="00A92C4E">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B8CCE4" w:themeFill="accent1" w:themeFillTint="66"/>
            <w:vAlign w:val="center"/>
          </w:tcPr>
          <w:p w14:paraId="5B99111C" w14:textId="77777777" w:rsidR="009D6B55" w:rsidRDefault="00A92C4E" w:rsidP="00A92C4E">
            <w:pPr>
              <w:jc w:val="center"/>
              <w:rPr>
                <w:b/>
                <w:bCs/>
                <w:sz w:val="18"/>
                <w:szCs w:val="18"/>
              </w:rPr>
            </w:pPr>
            <w:r w:rsidRPr="00C766D7">
              <w:rPr>
                <w:b/>
                <w:bCs/>
                <w:sz w:val="18"/>
                <w:szCs w:val="18"/>
              </w:rPr>
              <w:t>Tier</w:t>
            </w:r>
          </w:p>
          <w:p w14:paraId="1A32381D" w14:textId="77777777" w:rsidR="009D6B55" w:rsidRDefault="00A92C4E" w:rsidP="00A92C4E">
            <w:pPr>
              <w:jc w:val="center"/>
              <w:rPr>
                <w:b/>
                <w:bCs/>
                <w:sz w:val="18"/>
                <w:szCs w:val="18"/>
              </w:rPr>
            </w:pPr>
            <w:r w:rsidRPr="00C766D7">
              <w:rPr>
                <w:b/>
                <w:bCs/>
                <w:sz w:val="18"/>
                <w:szCs w:val="18"/>
              </w:rPr>
              <w:t xml:space="preserve"> Classifi</w:t>
            </w:r>
          </w:p>
          <w:p w14:paraId="139F7B51" w14:textId="77777777" w:rsidR="00A92C4E" w:rsidRPr="00C766D7" w:rsidRDefault="00A92C4E" w:rsidP="00A92C4E">
            <w:pPr>
              <w:jc w:val="center"/>
              <w:rPr>
                <w:b/>
                <w:bCs/>
                <w:sz w:val="18"/>
                <w:szCs w:val="18"/>
              </w:rPr>
            </w:pPr>
            <w:r>
              <w:rPr>
                <w:b/>
                <w:bCs/>
                <w:sz w:val="18"/>
                <w:szCs w:val="18"/>
              </w:rPr>
              <w:t>-</w:t>
            </w:r>
            <w:r w:rsidRPr="00C766D7">
              <w:rPr>
                <w:b/>
                <w:bCs/>
                <w:sz w:val="18"/>
                <w:szCs w:val="18"/>
              </w:rPr>
              <w:t>cations</w:t>
            </w:r>
          </w:p>
        </w:tc>
        <w:tc>
          <w:tcPr>
            <w:tcW w:w="0" w:type="auto"/>
            <w:shd w:val="clear" w:color="auto" w:fill="B8CCE4" w:themeFill="accent1" w:themeFillTint="66"/>
            <w:vAlign w:val="center"/>
          </w:tcPr>
          <w:p w14:paraId="684A908A" w14:textId="77777777" w:rsidR="00A92C4E" w:rsidRPr="00C766D7" w:rsidRDefault="00A92C4E" w:rsidP="00A92C4E">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B8CCE4" w:themeFill="accent1" w:themeFillTint="66"/>
            <w:vAlign w:val="center"/>
          </w:tcPr>
          <w:p w14:paraId="0F97EE3B" w14:textId="77777777" w:rsidR="00A92C4E" w:rsidRPr="00C766D7" w:rsidRDefault="00A92C4E" w:rsidP="00A92C4E">
            <w:pPr>
              <w:jc w:val="center"/>
              <w:rPr>
                <w:b/>
                <w:bCs/>
                <w:sz w:val="18"/>
                <w:szCs w:val="18"/>
              </w:rPr>
            </w:pPr>
            <w:r w:rsidRPr="00C766D7">
              <w:rPr>
                <w:b/>
                <w:bCs/>
                <w:sz w:val="18"/>
                <w:szCs w:val="18"/>
              </w:rPr>
              <w:t>UN Suggested activities of data generation</w:t>
            </w:r>
          </w:p>
        </w:tc>
        <w:tc>
          <w:tcPr>
            <w:tcW w:w="0" w:type="auto"/>
            <w:shd w:val="clear" w:color="auto" w:fill="B8CCE4" w:themeFill="accent1" w:themeFillTint="66"/>
            <w:vAlign w:val="center"/>
          </w:tcPr>
          <w:p w14:paraId="529AF6B8" w14:textId="77777777" w:rsidR="00A92C4E" w:rsidRPr="00C766D7" w:rsidRDefault="00A92C4E" w:rsidP="00A92C4E">
            <w:pPr>
              <w:jc w:val="center"/>
              <w:rPr>
                <w:b/>
                <w:bCs/>
                <w:sz w:val="18"/>
                <w:szCs w:val="18"/>
              </w:rPr>
            </w:pPr>
            <w:r w:rsidRPr="00C766D7">
              <w:rPr>
                <w:b/>
                <w:bCs/>
                <w:sz w:val="18"/>
                <w:szCs w:val="18"/>
              </w:rPr>
              <w:t>UN Suggested data provider</w:t>
            </w:r>
          </w:p>
        </w:tc>
        <w:tc>
          <w:tcPr>
            <w:tcW w:w="0" w:type="auto"/>
            <w:shd w:val="clear" w:color="auto" w:fill="B8CCE4" w:themeFill="accent1" w:themeFillTint="66"/>
            <w:vAlign w:val="center"/>
          </w:tcPr>
          <w:p w14:paraId="1DF7CDE8" w14:textId="77777777" w:rsidR="00A92C4E" w:rsidRPr="00C766D7" w:rsidRDefault="00A92C4E" w:rsidP="00A92C4E">
            <w:pPr>
              <w:jc w:val="center"/>
              <w:rPr>
                <w:b/>
                <w:bCs/>
                <w:sz w:val="18"/>
                <w:szCs w:val="18"/>
              </w:rPr>
            </w:pPr>
            <w:r w:rsidRPr="00C766D7">
              <w:rPr>
                <w:b/>
                <w:bCs/>
                <w:sz w:val="18"/>
                <w:szCs w:val="18"/>
              </w:rPr>
              <w:t>Recent Available Data Sources</w:t>
            </w:r>
          </w:p>
        </w:tc>
        <w:tc>
          <w:tcPr>
            <w:tcW w:w="0" w:type="auto"/>
            <w:shd w:val="clear" w:color="auto" w:fill="B8CCE4" w:themeFill="accent1" w:themeFillTint="66"/>
            <w:vAlign w:val="center"/>
          </w:tcPr>
          <w:p w14:paraId="46A307AF" w14:textId="77777777" w:rsidR="00A92C4E" w:rsidRPr="00C766D7" w:rsidRDefault="00A92C4E" w:rsidP="00A92C4E">
            <w:pPr>
              <w:jc w:val="center"/>
              <w:rPr>
                <w:b/>
                <w:bCs/>
                <w:sz w:val="18"/>
                <w:szCs w:val="18"/>
              </w:rPr>
            </w:pPr>
            <w:r w:rsidRPr="00C766D7">
              <w:rPr>
                <w:b/>
                <w:bCs/>
                <w:sz w:val="18"/>
                <w:szCs w:val="18"/>
              </w:rPr>
              <w:t>Possible future Sources</w:t>
            </w:r>
          </w:p>
        </w:tc>
        <w:tc>
          <w:tcPr>
            <w:tcW w:w="0" w:type="auto"/>
            <w:shd w:val="clear" w:color="auto" w:fill="B8CCE4" w:themeFill="accent1" w:themeFillTint="66"/>
            <w:vAlign w:val="center"/>
          </w:tcPr>
          <w:p w14:paraId="776AAC92" w14:textId="77777777" w:rsidR="00A92C4E" w:rsidRPr="00C766D7" w:rsidRDefault="00A92C4E" w:rsidP="00A92C4E">
            <w:pPr>
              <w:jc w:val="center"/>
              <w:rPr>
                <w:b/>
                <w:bCs/>
                <w:sz w:val="18"/>
                <w:szCs w:val="18"/>
              </w:rPr>
            </w:pPr>
            <w:r>
              <w:rPr>
                <w:b/>
                <w:bCs/>
                <w:sz w:val="18"/>
                <w:szCs w:val="18"/>
              </w:rPr>
              <w:t>Minimum Disaggregation Dimensions and Categories</w:t>
            </w:r>
          </w:p>
        </w:tc>
        <w:tc>
          <w:tcPr>
            <w:tcW w:w="0" w:type="auto"/>
            <w:shd w:val="clear" w:color="auto" w:fill="B8CCE4" w:themeFill="accent1" w:themeFillTint="66"/>
            <w:vAlign w:val="center"/>
          </w:tcPr>
          <w:p w14:paraId="526B61BC" w14:textId="77777777" w:rsidR="00A92C4E" w:rsidRPr="00C766D7" w:rsidRDefault="00A92C4E" w:rsidP="00A92C4E">
            <w:pPr>
              <w:jc w:val="center"/>
              <w:rPr>
                <w:b/>
                <w:bCs/>
                <w:sz w:val="18"/>
                <w:szCs w:val="18"/>
              </w:rPr>
            </w:pPr>
            <w:r w:rsidRPr="00C766D7">
              <w:rPr>
                <w:b/>
                <w:bCs/>
                <w:sz w:val="18"/>
                <w:szCs w:val="18"/>
              </w:rPr>
              <w:t>Frequency of data generation</w:t>
            </w:r>
          </w:p>
        </w:tc>
        <w:tc>
          <w:tcPr>
            <w:tcW w:w="0" w:type="auto"/>
            <w:shd w:val="clear" w:color="auto" w:fill="B8CCE4" w:themeFill="accent1" w:themeFillTint="66"/>
            <w:vAlign w:val="center"/>
          </w:tcPr>
          <w:p w14:paraId="7C915D82" w14:textId="77777777" w:rsidR="00A92C4E" w:rsidRPr="00C766D7" w:rsidRDefault="00A92C4E" w:rsidP="00A92C4E">
            <w:pPr>
              <w:jc w:val="center"/>
              <w:rPr>
                <w:b/>
                <w:bCs/>
                <w:sz w:val="18"/>
                <w:szCs w:val="18"/>
              </w:rPr>
            </w:pPr>
            <w:r w:rsidRPr="00C766D7">
              <w:rPr>
                <w:b/>
                <w:bCs/>
                <w:sz w:val="18"/>
                <w:szCs w:val="18"/>
              </w:rPr>
              <w:t>Local Indicator Group</w:t>
            </w:r>
          </w:p>
        </w:tc>
        <w:tc>
          <w:tcPr>
            <w:tcW w:w="0" w:type="auto"/>
            <w:shd w:val="clear" w:color="auto" w:fill="B8CCE4" w:themeFill="accent1" w:themeFillTint="66"/>
          </w:tcPr>
          <w:p w14:paraId="6FBD39DD" w14:textId="77777777" w:rsidR="00A92C4E" w:rsidRDefault="00A92C4E" w:rsidP="00A92C4E">
            <w:pPr>
              <w:jc w:val="center"/>
              <w:rPr>
                <w:b/>
                <w:bCs/>
                <w:sz w:val="18"/>
                <w:szCs w:val="18"/>
              </w:rPr>
            </w:pPr>
            <w:r w:rsidRPr="00BE3A94">
              <w:rPr>
                <w:b/>
                <w:bCs/>
                <w:sz w:val="18"/>
                <w:szCs w:val="18"/>
              </w:rPr>
              <w:t>Deadline for Data providing</w:t>
            </w:r>
          </w:p>
        </w:tc>
        <w:tc>
          <w:tcPr>
            <w:tcW w:w="0" w:type="auto"/>
            <w:shd w:val="clear" w:color="auto" w:fill="B8CCE4" w:themeFill="accent1" w:themeFillTint="66"/>
            <w:vAlign w:val="center"/>
          </w:tcPr>
          <w:p w14:paraId="4961B404" w14:textId="77777777" w:rsidR="00A92C4E" w:rsidRPr="00C766D7" w:rsidRDefault="00A92C4E" w:rsidP="00A92C4E">
            <w:pPr>
              <w:jc w:val="center"/>
              <w:rPr>
                <w:b/>
                <w:bCs/>
                <w:sz w:val="18"/>
                <w:szCs w:val="18"/>
              </w:rPr>
            </w:pPr>
            <w:r>
              <w:rPr>
                <w:b/>
                <w:bCs/>
                <w:sz w:val="18"/>
                <w:szCs w:val="18"/>
              </w:rPr>
              <w:t>Remarks</w:t>
            </w:r>
          </w:p>
        </w:tc>
      </w:tr>
      <w:tr w:rsidR="009D6B55" w:rsidRPr="007E6DF7" w14:paraId="615B84BE" w14:textId="77777777" w:rsidTr="00A64F0D">
        <w:trPr>
          <w:tblHeader/>
        </w:trPr>
        <w:tc>
          <w:tcPr>
            <w:tcW w:w="0" w:type="auto"/>
            <w:shd w:val="clear" w:color="auto" w:fill="548DD4" w:themeFill="text2" w:themeFillTint="99"/>
          </w:tcPr>
          <w:p w14:paraId="7C8708CF" w14:textId="77777777" w:rsidR="00A92C4E" w:rsidRPr="007E6DF7" w:rsidRDefault="00A92C4E" w:rsidP="00A92C4E">
            <w:pPr>
              <w:jc w:val="center"/>
              <w:rPr>
                <w:b/>
                <w:bCs/>
                <w:sz w:val="18"/>
                <w:szCs w:val="18"/>
              </w:rPr>
            </w:pPr>
            <w:r w:rsidRPr="007E6DF7">
              <w:rPr>
                <w:b/>
                <w:bCs/>
                <w:sz w:val="18"/>
                <w:szCs w:val="18"/>
              </w:rPr>
              <w:t>1</w:t>
            </w:r>
          </w:p>
        </w:tc>
        <w:tc>
          <w:tcPr>
            <w:tcW w:w="0" w:type="auto"/>
            <w:shd w:val="clear" w:color="auto" w:fill="548DD4" w:themeFill="text2" w:themeFillTint="99"/>
          </w:tcPr>
          <w:p w14:paraId="6369D9C5" w14:textId="77777777" w:rsidR="00A92C4E" w:rsidRPr="007E6DF7" w:rsidRDefault="00A92C4E" w:rsidP="00A92C4E">
            <w:pPr>
              <w:jc w:val="center"/>
              <w:rPr>
                <w:b/>
                <w:bCs/>
                <w:sz w:val="18"/>
                <w:szCs w:val="18"/>
              </w:rPr>
            </w:pPr>
            <w:r w:rsidRPr="007E6DF7">
              <w:rPr>
                <w:b/>
                <w:bCs/>
                <w:sz w:val="18"/>
                <w:szCs w:val="18"/>
              </w:rPr>
              <w:t>2</w:t>
            </w:r>
          </w:p>
        </w:tc>
        <w:tc>
          <w:tcPr>
            <w:tcW w:w="0" w:type="auto"/>
            <w:shd w:val="clear" w:color="auto" w:fill="548DD4" w:themeFill="text2" w:themeFillTint="99"/>
          </w:tcPr>
          <w:p w14:paraId="6ED43C0C" w14:textId="77777777" w:rsidR="00A92C4E" w:rsidRPr="007E6DF7" w:rsidRDefault="00A92C4E" w:rsidP="00A92C4E">
            <w:pPr>
              <w:jc w:val="center"/>
              <w:rPr>
                <w:b/>
                <w:bCs/>
                <w:sz w:val="18"/>
                <w:szCs w:val="18"/>
              </w:rPr>
            </w:pPr>
            <w:r w:rsidRPr="007E6DF7">
              <w:rPr>
                <w:b/>
                <w:bCs/>
                <w:sz w:val="18"/>
                <w:szCs w:val="18"/>
              </w:rPr>
              <w:t>3</w:t>
            </w:r>
          </w:p>
        </w:tc>
        <w:tc>
          <w:tcPr>
            <w:tcW w:w="0" w:type="auto"/>
            <w:shd w:val="clear" w:color="auto" w:fill="548DD4" w:themeFill="text2" w:themeFillTint="99"/>
          </w:tcPr>
          <w:p w14:paraId="5F107E43" w14:textId="77777777" w:rsidR="00A92C4E" w:rsidRPr="007E6DF7" w:rsidRDefault="00A92C4E" w:rsidP="00A92C4E">
            <w:pPr>
              <w:jc w:val="center"/>
              <w:rPr>
                <w:b/>
                <w:bCs/>
                <w:sz w:val="18"/>
                <w:szCs w:val="18"/>
              </w:rPr>
            </w:pPr>
            <w:r w:rsidRPr="007E6DF7">
              <w:rPr>
                <w:b/>
                <w:bCs/>
                <w:sz w:val="18"/>
                <w:szCs w:val="18"/>
              </w:rPr>
              <w:t>4</w:t>
            </w:r>
          </w:p>
        </w:tc>
        <w:tc>
          <w:tcPr>
            <w:tcW w:w="0" w:type="auto"/>
            <w:shd w:val="clear" w:color="auto" w:fill="548DD4" w:themeFill="text2" w:themeFillTint="99"/>
          </w:tcPr>
          <w:p w14:paraId="16C8AB61" w14:textId="77777777" w:rsidR="00A92C4E" w:rsidRPr="007E6DF7" w:rsidRDefault="00A92C4E" w:rsidP="00A92C4E">
            <w:pPr>
              <w:jc w:val="center"/>
              <w:rPr>
                <w:b/>
                <w:bCs/>
                <w:sz w:val="18"/>
                <w:szCs w:val="18"/>
              </w:rPr>
            </w:pPr>
            <w:r w:rsidRPr="007E6DF7">
              <w:rPr>
                <w:b/>
                <w:bCs/>
                <w:sz w:val="18"/>
                <w:szCs w:val="18"/>
              </w:rPr>
              <w:t>5</w:t>
            </w:r>
          </w:p>
        </w:tc>
        <w:tc>
          <w:tcPr>
            <w:tcW w:w="0" w:type="auto"/>
            <w:shd w:val="clear" w:color="auto" w:fill="548DD4" w:themeFill="text2" w:themeFillTint="99"/>
          </w:tcPr>
          <w:p w14:paraId="2B637651" w14:textId="77777777" w:rsidR="00A92C4E" w:rsidRPr="007E6DF7" w:rsidRDefault="00A92C4E" w:rsidP="00A92C4E">
            <w:pPr>
              <w:jc w:val="center"/>
              <w:rPr>
                <w:b/>
                <w:bCs/>
                <w:sz w:val="18"/>
                <w:szCs w:val="18"/>
              </w:rPr>
            </w:pPr>
            <w:r w:rsidRPr="007E6DF7">
              <w:rPr>
                <w:b/>
                <w:bCs/>
                <w:sz w:val="18"/>
                <w:szCs w:val="18"/>
              </w:rPr>
              <w:t>6</w:t>
            </w:r>
          </w:p>
        </w:tc>
        <w:tc>
          <w:tcPr>
            <w:tcW w:w="0" w:type="auto"/>
            <w:shd w:val="clear" w:color="auto" w:fill="548DD4" w:themeFill="text2" w:themeFillTint="99"/>
          </w:tcPr>
          <w:p w14:paraId="21BEBF3E" w14:textId="77777777" w:rsidR="00A92C4E" w:rsidRPr="007E6DF7" w:rsidRDefault="00A92C4E" w:rsidP="00A92C4E">
            <w:pPr>
              <w:jc w:val="center"/>
              <w:rPr>
                <w:b/>
                <w:bCs/>
                <w:sz w:val="18"/>
                <w:szCs w:val="18"/>
              </w:rPr>
            </w:pPr>
            <w:r w:rsidRPr="007E6DF7">
              <w:rPr>
                <w:b/>
                <w:bCs/>
                <w:sz w:val="18"/>
                <w:szCs w:val="18"/>
              </w:rPr>
              <w:t>7</w:t>
            </w:r>
          </w:p>
        </w:tc>
        <w:tc>
          <w:tcPr>
            <w:tcW w:w="0" w:type="auto"/>
            <w:shd w:val="clear" w:color="auto" w:fill="548DD4" w:themeFill="text2" w:themeFillTint="99"/>
          </w:tcPr>
          <w:p w14:paraId="2DBB81BF" w14:textId="77777777" w:rsidR="00A92C4E" w:rsidRPr="007E6DF7" w:rsidRDefault="00A92C4E" w:rsidP="00A92C4E">
            <w:pPr>
              <w:jc w:val="center"/>
              <w:rPr>
                <w:b/>
                <w:bCs/>
                <w:sz w:val="18"/>
                <w:szCs w:val="18"/>
              </w:rPr>
            </w:pPr>
            <w:r w:rsidRPr="007E6DF7">
              <w:rPr>
                <w:b/>
                <w:bCs/>
                <w:sz w:val="18"/>
                <w:szCs w:val="18"/>
              </w:rPr>
              <w:t>8</w:t>
            </w:r>
          </w:p>
        </w:tc>
        <w:tc>
          <w:tcPr>
            <w:tcW w:w="0" w:type="auto"/>
            <w:shd w:val="clear" w:color="auto" w:fill="548DD4" w:themeFill="text2" w:themeFillTint="99"/>
          </w:tcPr>
          <w:p w14:paraId="0D6D3629" w14:textId="77777777" w:rsidR="00A92C4E" w:rsidRPr="007E6DF7" w:rsidRDefault="00A92C4E" w:rsidP="00A92C4E">
            <w:pPr>
              <w:jc w:val="center"/>
              <w:rPr>
                <w:b/>
                <w:bCs/>
                <w:sz w:val="18"/>
                <w:szCs w:val="18"/>
              </w:rPr>
            </w:pPr>
            <w:r w:rsidRPr="007E6DF7">
              <w:rPr>
                <w:b/>
                <w:bCs/>
                <w:sz w:val="18"/>
                <w:szCs w:val="18"/>
              </w:rPr>
              <w:t>9</w:t>
            </w:r>
          </w:p>
        </w:tc>
        <w:tc>
          <w:tcPr>
            <w:tcW w:w="0" w:type="auto"/>
            <w:shd w:val="clear" w:color="auto" w:fill="548DD4" w:themeFill="text2" w:themeFillTint="99"/>
          </w:tcPr>
          <w:p w14:paraId="31C37818" w14:textId="77777777" w:rsidR="00A92C4E" w:rsidRPr="007E6DF7" w:rsidRDefault="00A92C4E" w:rsidP="00A92C4E">
            <w:pPr>
              <w:jc w:val="center"/>
              <w:rPr>
                <w:b/>
                <w:bCs/>
                <w:sz w:val="18"/>
                <w:szCs w:val="18"/>
              </w:rPr>
            </w:pPr>
            <w:r w:rsidRPr="007E6DF7">
              <w:rPr>
                <w:b/>
                <w:bCs/>
                <w:sz w:val="18"/>
                <w:szCs w:val="18"/>
              </w:rPr>
              <w:t>10</w:t>
            </w:r>
          </w:p>
        </w:tc>
        <w:tc>
          <w:tcPr>
            <w:tcW w:w="0" w:type="auto"/>
            <w:shd w:val="clear" w:color="auto" w:fill="548DD4" w:themeFill="text2" w:themeFillTint="99"/>
          </w:tcPr>
          <w:p w14:paraId="32E30936" w14:textId="77777777" w:rsidR="00A92C4E" w:rsidRPr="007E6DF7" w:rsidRDefault="00A92C4E" w:rsidP="00A92C4E">
            <w:pPr>
              <w:jc w:val="center"/>
              <w:rPr>
                <w:b/>
                <w:bCs/>
                <w:sz w:val="18"/>
                <w:szCs w:val="18"/>
              </w:rPr>
            </w:pPr>
            <w:r w:rsidRPr="007E6DF7">
              <w:rPr>
                <w:b/>
                <w:bCs/>
                <w:sz w:val="18"/>
                <w:szCs w:val="18"/>
              </w:rPr>
              <w:t>11</w:t>
            </w:r>
          </w:p>
        </w:tc>
        <w:tc>
          <w:tcPr>
            <w:tcW w:w="0" w:type="auto"/>
            <w:shd w:val="clear" w:color="auto" w:fill="548DD4" w:themeFill="text2" w:themeFillTint="99"/>
          </w:tcPr>
          <w:p w14:paraId="4AE523F3" w14:textId="77777777" w:rsidR="00A92C4E" w:rsidRPr="007E6DF7" w:rsidRDefault="00A92C4E" w:rsidP="00A92C4E">
            <w:pPr>
              <w:jc w:val="center"/>
              <w:rPr>
                <w:b/>
                <w:bCs/>
                <w:sz w:val="18"/>
                <w:szCs w:val="18"/>
                <w:lang w:bidi="bn-BD"/>
              </w:rPr>
            </w:pPr>
            <w:r w:rsidRPr="007E6DF7">
              <w:rPr>
                <w:rFonts w:hint="cs"/>
                <w:b/>
                <w:bCs/>
                <w:sz w:val="18"/>
                <w:szCs w:val="18"/>
                <w:cs/>
                <w:lang w:bidi="bn-BD"/>
              </w:rPr>
              <w:t>12</w:t>
            </w:r>
          </w:p>
        </w:tc>
        <w:tc>
          <w:tcPr>
            <w:tcW w:w="0" w:type="auto"/>
            <w:shd w:val="clear" w:color="auto" w:fill="548DD4" w:themeFill="text2" w:themeFillTint="99"/>
          </w:tcPr>
          <w:p w14:paraId="53A0F81E" w14:textId="77777777" w:rsidR="00A92C4E" w:rsidRPr="007E6DF7" w:rsidRDefault="00A92C4E" w:rsidP="00A92C4E">
            <w:pPr>
              <w:jc w:val="center"/>
              <w:rPr>
                <w:b/>
                <w:bCs/>
                <w:sz w:val="18"/>
                <w:szCs w:val="18"/>
                <w:lang w:bidi="bn-BD"/>
              </w:rPr>
            </w:pPr>
            <w:r w:rsidRPr="007E6DF7">
              <w:rPr>
                <w:b/>
                <w:bCs/>
                <w:sz w:val="18"/>
                <w:szCs w:val="18"/>
              </w:rPr>
              <w:t>1</w:t>
            </w:r>
            <w:r w:rsidRPr="007E6DF7">
              <w:rPr>
                <w:rFonts w:hint="cs"/>
                <w:b/>
                <w:bCs/>
                <w:sz w:val="18"/>
                <w:szCs w:val="18"/>
                <w:cs/>
                <w:lang w:bidi="bn-BD"/>
              </w:rPr>
              <w:t>3</w:t>
            </w:r>
          </w:p>
        </w:tc>
      </w:tr>
      <w:tr w:rsidR="001820B2" w14:paraId="6568BD6E" w14:textId="77777777" w:rsidTr="00A64F0D">
        <w:tc>
          <w:tcPr>
            <w:tcW w:w="0" w:type="auto"/>
          </w:tcPr>
          <w:p w14:paraId="0F0051CE" w14:textId="77777777" w:rsidR="001820B2" w:rsidRDefault="001820B2" w:rsidP="00A92C4E">
            <w:pPr>
              <w:ind w:left="970" w:hanging="970"/>
              <w:jc w:val="both"/>
              <w:rPr>
                <w:color w:val="0070C0"/>
                <w:sz w:val="30"/>
                <w:szCs w:val="30"/>
              </w:rPr>
            </w:pPr>
          </w:p>
        </w:tc>
        <w:tc>
          <w:tcPr>
            <w:tcW w:w="0" w:type="auto"/>
            <w:gridSpan w:val="12"/>
          </w:tcPr>
          <w:p w14:paraId="1A4F0B14" w14:textId="77777777" w:rsidR="001820B2" w:rsidRDefault="001820B2" w:rsidP="00A92C4E">
            <w:pPr>
              <w:jc w:val="both"/>
              <w:rPr>
                <w:color w:val="0070C0"/>
                <w:sz w:val="48"/>
                <w:szCs w:val="48"/>
              </w:rPr>
            </w:pPr>
            <w:r>
              <w:rPr>
                <w:color w:val="0070C0"/>
                <w:sz w:val="30"/>
                <w:szCs w:val="30"/>
              </w:rPr>
              <w:t xml:space="preserve">Target </w:t>
            </w:r>
            <w:r w:rsidRPr="0098013D">
              <w:rPr>
                <w:color w:val="0070C0"/>
                <w:sz w:val="30"/>
                <w:szCs w:val="30"/>
              </w:rPr>
              <w:t>14.1 By 2025, prevent and significantly reduce marine pollution of all kinds, in particular from land-based activities, including marine debris and nutrient pollution</w:t>
            </w:r>
          </w:p>
        </w:tc>
      </w:tr>
      <w:tr w:rsidR="001F570F" w14:paraId="56737E4A" w14:textId="77777777" w:rsidTr="00A64F0D">
        <w:tc>
          <w:tcPr>
            <w:tcW w:w="0" w:type="auto"/>
          </w:tcPr>
          <w:p w14:paraId="7E380384" w14:textId="77777777" w:rsidR="001F570F" w:rsidRDefault="001F570F" w:rsidP="001F570F">
            <w:pPr>
              <w:pStyle w:val="NoSpacing"/>
            </w:pPr>
            <w:r w:rsidRPr="000221E2">
              <w:t>14.1.1 (a) Index of coastal eutrophication; and (b) plastic debris density</w:t>
            </w:r>
          </w:p>
        </w:tc>
        <w:tc>
          <w:tcPr>
            <w:tcW w:w="0" w:type="auto"/>
          </w:tcPr>
          <w:p w14:paraId="45EBE7FF" w14:textId="77777777" w:rsidR="001F570F" w:rsidRDefault="001F570F" w:rsidP="001F570F">
            <w:pPr>
              <w:pStyle w:val="NoSpacing"/>
            </w:pPr>
            <w:r w:rsidRPr="00E53957">
              <w:t>UNEP</w:t>
            </w:r>
          </w:p>
          <w:p w14:paraId="06300405" w14:textId="77777777" w:rsidR="001F570F" w:rsidRDefault="001F570F" w:rsidP="001F570F">
            <w:pPr>
              <w:rPr>
                <w:b/>
                <w:bCs/>
                <w:szCs w:val="20"/>
              </w:rPr>
            </w:pPr>
            <w:r w:rsidRPr="007243FC">
              <w:rPr>
                <w:b/>
                <w:bCs/>
                <w:szCs w:val="20"/>
              </w:rPr>
              <w:t>Partner Agencies:</w:t>
            </w:r>
          </w:p>
          <w:p w14:paraId="7B16FA3F" w14:textId="77777777" w:rsidR="001F570F" w:rsidRDefault="001F570F" w:rsidP="001F570F">
            <w:pPr>
              <w:pStyle w:val="NoSpacing"/>
            </w:pPr>
            <w:r>
              <w:t>IOC-UNESCO,</w:t>
            </w:r>
          </w:p>
          <w:p w14:paraId="3B8B3933" w14:textId="77777777" w:rsidR="001F570F" w:rsidRDefault="001F570F" w:rsidP="001F570F">
            <w:pPr>
              <w:pStyle w:val="NoSpacing"/>
            </w:pPr>
            <w:r>
              <w:t>IMO,</w:t>
            </w:r>
          </w:p>
          <w:p w14:paraId="671E2C2C" w14:textId="77777777" w:rsidR="001F570F" w:rsidRDefault="001F570F" w:rsidP="001F570F">
            <w:pPr>
              <w:pStyle w:val="NoSpacing"/>
            </w:pPr>
            <w:r>
              <w:t>FAO</w:t>
            </w:r>
          </w:p>
        </w:tc>
        <w:tc>
          <w:tcPr>
            <w:tcW w:w="0" w:type="auto"/>
          </w:tcPr>
          <w:p w14:paraId="0B917B3D" w14:textId="77777777" w:rsidR="001F570F" w:rsidRDefault="001F570F" w:rsidP="001F570F">
            <w:pPr>
              <w:ind w:left="970" w:hanging="970"/>
              <w:jc w:val="both"/>
              <w:rPr>
                <w:color w:val="0070C0"/>
                <w:sz w:val="30"/>
                <w:szCs w:val="30"/>
              </w:rPr>
            </w:pPr>
            <w:r w:rsidRPr="00666BAB">
              <w:t>Tier II</w:t>
            </w:r>
          </w:p>
        </w:tc>
        <w:tc>
          <w:tcPr>
            <w:tcW w:w="0" w:type="auto"/>
          </w:tcPr>
          <w:p w14:paraId="6731922C" w14:textId="77777777" w:rsidR="001F570F" w:rsidRPr="007C1364" w:rsidRDefault="001F570F" w:rsidP="001F570F">
            <w:pPr>
              <w:pStyle w:val="NoSpacing"/>
              <w:rPr>
                <w:lang w:val="en-GB"/>
              </w:rPr>
            </w:pPr>
            <w:r w:rsidRPr="007C1364">
              <w:rPr>
                <w:b/>
                <w:bCs/>
                <w:lang w:val="en-GB"/>
              </w:rPr>
              <w:t>Definition:</w:t>
            </w:r>
            <w:r w:rsidRPr="007C1364">
              <w:rPr>
                <w:lang w:val="en-GB"/>
              </w:rPr>
              <w:t xml:space="preserve"> </w:t>
            </w:r>
          </w:p>
          <w:p w14:paraId="73C198F8" w14:textId="77777777" w:rsidR="001F570F" w:rsidRPr="007C1364" w:rsidRDefault="001F570F" w:rsidP="001F570F">
            <w:pPr>
              <w:pStyle w:val="NoSpacing"/>
              <w:rPr>
                <w:lang w:val="en-GB"/>
              </w:rPr>
            </w:pPr>
            <w:r w:rsidRPr="007C1364">
              <w:rPr>
                <w:lang w:val="en-GB"/>
              </w:rPr>
              <w:t xml:space="preserve">The indicator includes 14.1.1a Index of coastal eutrophication (ICEP) and 14.1.1b Plastic debris density. SDG 14.1.1a and SDG 14.1.1b will </w:t>
            </w:r>
            <w:proofErr w:type="gramStart"/>
            <w:r w:rsidRPr="007C1364">
              <w:rPr>
                <w:lang w:val="en-GB"/>
              </w:rPr>
              <w:t>described</w:t>
            </w:r>
            <w:proofErr w:type="gramEnd"/>
            <w:r w:rsidRPr="007C1364">
              <w:rPr>
                <w:lang w:val="en-GB"/>
              </w:rPr>
              <w:t xml:space="preserve"> as two indicators. Across the 14.1.1a and 14.1.1b, two levels are proposed: </w:t>
            </w:r>
          </w:p>
          <w:p w14:paraId="65164D04" w14:textId="77777777" w:rsidR="001F570F" w:rsidRPr="007C1364" w:rsidRDefault="001F570F" w:rsidP="001F570F">
            <w:pPr>
              <w:pStyle w:val="NoSpacing"/>
              <w:rPr>
                <w:lang w:val="en-GB"/>
              </w:rPr>
            </w:pPr>
            <w:r w:rsidRPr="007C1364">
              <w:rPr>
                <w:lang w:val="en-GB"/>
              </w:rPr>
              <w:t xml:space="preserve">Level 1: Globally available data from earth observations and modelling </w:t>
            </w:r>
          </w:p>
          <w:p w14:paraId="23957416" w14:textId="77777777" w:rsidR="001F570F" w:rsidRPr="007C1364" w:rsidRDefault="001F570F" w:rsidP="001F570F">
            <w:pPr>
              <w:pStyle w:val="NoSpacing"/>
              <w:rPr>
                <w:lang w:val="en-GB"/>
              </w:rPr>
            </w:pPr>
            <w:r w:rsidRPr="007C1364">
              <w:rPr>
                <w:lang w:val="en-GB"/>
              </w:rPr>
              <w:t>Level 2: National data which will be collected from countries (through the relevant Regional Seas Programme, where applicable (i.e. for countries that are a member of a Regional Seas Programme)</w:t>
            </w:r>
          </w:p>
          <w:p w14:paraId="37933D78" w14:textId="77777777" w:rsidR="001F570F" w:rsidRPr="007C1364" w:rsidRDefault="001F570F" w:rsidP="001F570F">
            <w:pPr>
              <w:pStyle w:val="NoSpacing"/>
              <w:rPr>
                <w:lang w:val="en-GB"/>
              </w:rPr>
            </w:pPr>
            <w:r w:rsidRPr="007C1364">
              <w:rPr>
                <w:lang w:val="en-GB"/>
              </w:rPr>
              <w:t xml:space="preserve">Level 3: Additional indicators which are suggested that countries might consider collecting (these are not discussed in this document) </w:t>
            </w:r>
          </w:p>
          <w:p w14:paraId="26A9F764" w14:textId="77777777" w:rsidR="001F570F" w:rsidRPr="007C1364" w:rsidRDefault="001F570F" w:rsidP="001F570F">
            <w:pPr>
              <w:pStyle w:val="NoSpacing"/>
              <w:rPr>
                <w:lang w:val="en-GB"/>
              </w:rPr>
            </w:pPr>
          </w:p>
          <w:p w14:paraId="61848627" w14:textId="77777777" w:rsidR="001F570F" w:rsidRPr="007C1364" w:rsidRDefault="001F570F" w:rsidP="001F570F">
            <w:pPr>
              <w:pStyle w:val="NoSpacing"/>
              <w:rPr>
                <w:lang w:val="en-GB"/>
              </w:rPr>
            </w:pPr>
            <w:r w:rsidRPr="007C1364">
              <w:rPr>
                <w:lang w:val="en-GB"/>
              </w:rPr>
              <w:t>The below tables demonstrate the proposed parameters for SDG Target 14.1.1a and 14.1.1b.</w:t>
            </w:r>
          </w:p>
          <w:p w14:paraId="341B634E" w14:textId="77777777" w:rsidR="001F570F" w:rsidRPr="007C1364" w:rsidRDefault="001F570F" w:rsidP="001F570F">
            <w:pPr>
              <w:pStyle w:val="NoSpacing"/>
              <w:rPr>
                <w:lang w:val="en-GB"/>
              </w:rPr>
            </w:pPr>
          </w:p>
          <w:p w14:paraId="19BD78B6" w14:textId="77777777" w:rsidR="001F570F" w:rsidRPr="007C1364" w:rsidRDefault="001F570F" w:rsidP="001F570F">
            <w:pPr>
              <w:pStyle w:val="NoSpacing"/>
              <w:rPr>
                <w:i/>
                <w:iCs/>
                <w:lang w:val="en-GB"/>
              </w:rPr>
            </w:pPr>
            <w:r w:rsidRPr="007C1364">
              <w:rPr>
                <w:i/>
                <w:iCs/>
                <w:lang w:val="en-GB"/>
              </w:rPr>
              <w:t>Table 1: Monitoring parameters for eutrophication to track progress against SDG Indicator 14.1.1a.</w:t>
            </w:r>
          </w:p>
          <w:tbl>
            <w:tblPr>
              <w:tblStyle w:val="GridTable5Dark-Accent31"/>
              <w:tblW w:w="0" w:type="auto"/>
              <w:tblLook w:val="04A0" w:firstRow="1" w:lastRow="0" w:firstColumn="1" w:lastColumn="0" w:noHBand="0" w:noVBand="1"/>
            </w:tblPr>
            <w:tblGrid>
              <w:gridCol w:w="4050"/>
              <w:gridCol w:w="617"/>
              <w:gridCol w:w="617"/>
              <w:gridCol w:w="617"/>
              <w:gridCol w:w="1356"/>
            </w:tblGrid>
            <w:tr w:rsidR="001F570F" w:rsidRPr="007C1364" w14:paraId="4C817B30" w14:textId="77777777" w:rsidTr="00A64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CC9BA3"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Monitoring parameters</w:t>
                  </w:r>
                </w:p>
              </w:tc>
              <w:tc>
                <w:tcPr>
                  <w:tcW w:w="0" w:type="auto"/>
                  <w:vAlign w:val="center"/>
                </w:tcPr>
                <w:p w14:paraId="087B7491" w14:textId="77777777" w:rsidR="001F570F" w:rsidRPr="007C1364" w:rsidRDefault="001F570F" w:rsidP="001F570F">
                  <w:pPr>
                    <w:pStyle w:val="NoSpacing"/>
                    <w:cnfStyle w:val="100000000000" w:firstRow="1" w:lastRow="0" w:firstColumn="0" w:lastColumn="0" w:oddVBand="0" w:evenVBand="0" w:oddHBand="0" w:evenHBand="0" w:firstRowFirstColumn="0" w:firstRowLastColumn="0" w:lastRowFirstColumn="0" w:lastRowLastColumn="0"/>
                    <w:rPr>
                      <w:lang w:val="fr-FR"/>
                    </w:rPr>
                  </w:pPr>
                  <w:r w:rsidRPr="007C1364">
                    <w:rPr>
                      <w:lang w:val="fr-FR"/>
                    </w:rPr>
                    <w:t>Level 1</w:t>
                  </w:r>
                </w:p>
              </w:tc>
              <w:tc>
                <w:tcPr>
                  <w:tcW w:w="0" w:type="auto"/>
                  <w:vAlign w:val="center"/>
                </w:tcPr>
                <w:p w14:paraId="03338292" w14:textId="77777777" w:rsidR="001F570F" w:rsidRPr="007C1364" w:rsidRDefault="001F570F" w:rsidP="001F570F">
                  <w:pPr>
                    <w:pStyle w:val="NoSpacing"/>
                    <w:cnfStyle w:val="100000000000" w:firstRow="1" w:lastRow="0" w:firstColumn="0" w:lastColumn="0" w:oddVBand="0" w:evenVBand="0" w:oddHBand="0" w:evenHBand="0" w:firstRowFirstColumn="0" w:firstRowLastColumn="0" w:lastRowFirstColumn="0" w:lastRowLastColumn="0"/>
                    <w:rPr>
                      <w:lang w:val="fr-FR"/>
                    </w:rPr>
                  </w:pPr>
                  <w:r w:rsidRPr="007C1364">
                    <w:rPr>
                      <w:lang w:val="fr-FR"/>
                    </w:rPr>
                    <w:t>Level 2</w:t>
                  </w:r>
                </w:p>
              </w:tc>
              <w:tc>
                <w:tcPr>
                  <w:tcW w:w="0" w:type="auto"/>
                  <w:vAlign w:val="center"/>
                </w:tcPr>
                <w:p w14:paraId="6A24CEBD" w14:textId="77777777" w:rsidR="001F570F" w:rsidRPr="007C1364" w:rsidRDefault="001F570F" w:rsidP="001F570F">
                  <w:pPr>
                    <w:pStyle w:val="NoSpacing"/>
                    <w:cnfStyle w:val="100000000000" w:firstRow="1" w:lastRow="0" w:firstColumn="0" w:lastColumn="0" w:oddVBand="0" w:evenVBand="0" w:oddHBand="0" w:evenHBand="0" w:firstRowFirstColumn="0" w:firstRowLastColumn="0" w:lastRowFirstColumn="0" w:lastRowLastColumn="0"/>
                    <w:rPr>
                      <w:lang w:val="fr-FR"/>
                    </w:rPr>
                  </w:pPr>
                  <w:r w:rsidRPr="007C1364">
                    <w:rPr>
                      <w:lang w:val="fr-FR"/>
                    </w:rPr>
                    <w:t>Level 3</w:t>
                  </w:r>
                </w:p>
              </w:tc>
              <w:tc>
                <w:tcPr>
                  <w:tcW w:w="0" w:type="auto"/>
                </w:tcPr>
                <w:p w14:paraId="211C0F3E" w14:textId="77777777" w:rsidR="001F570F" w:rsidRPr="007C1364" w:rsidRDefault="001F570F" w:rsidP="001F570F">
                  <w:pPr>
                    <w:pStyle w:val="NoSpacing"/>
                    <w:cnfStyle w:val="100000000000" w:firstRow="1" w:lastRow="0" w:firstColumn="0" w:lastColumn="0" w:oddVBand="0" w:evenVBand="0" w:oddHBand="0" w:evenHBand="0" w:firstRowFirstColumn="0" w:firstRowLastColumn="0" w:lastRowFirstColumn="0" w:lastRowLastColumn="0"/>
                    <w:rPr>
                      <w:lang w:val="fr-FR"/>
                    </w:rPr>
                  </w:pPr>
                  <w:r w:rsidRPr="007C1364">
                    <w:rPr>
                      <w:lang w:val="fr-FR"/>
                    </w:rPr>
                    <w:t>Reporting Frequency</w:t>
                  </w:r>
                </w:p>
              </w:tc>
            </w:tr>
            <w:tr w:rsidR="001F570F" w:rsidRPr="007C1364" w14:paraId="684D2640" w14:textId="77777777" w:rsidTr="00A6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FCD16"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Indicator for Coastal Eutrophication Potential (N and P loading)</w:t>
                  </w:r>
                </w:p>
              </w:tc>
              <w:tc>
                <w:tcPr>
                  <w:tcW w:w="0" w:type="auto"/>
                </w:tcPr>
                <w:p w14:paraId="5C4B8701"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X</w:t>
                  </w:r>
                </w:p>
              </w:tc>
              <w:tc>
                <w:tcPr>
                  <w:tcW w:w="0" w:type="auto"/>
                </w:tcPr>
                <w:p w14:paraId="58870C2D"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4FEAF9E1" w14:textId="77777777" w:rsidR="001F570F" w:rsidRPr="007C1364" w:rsidDel="00751D1E"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04811D49" w14:textId="77777777" w:rsidR="001F570F" w:rsidRPr="007C1364" w:rsidDel="00751D1E"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Five years</w:t>
                  </w:r>
                </w:p>
              </w:tc>
            </w:tr>
            <w:tr w:rsidR="001F570F" w:rsidRPr="007C1364" w14:paraId="50ADC957" w14:textId="77777777" w:rsidTr="00A64F0D">
              <w:tc>
                <w:tcPr>
                  <w:cnfStyle w:val="001000000000" w:firstRow="0" w:lastRow="0" w:firstColumn="1" w:lastColumn="0" w:oddVBand="0" w:evenVBand="0" w:oddHBand="0" w:evenHBand="0" w:firstRowFirstColumn="0" w:firstRowLastColumn="0" w:lastRowFirstColumn="0" w:lastRowLastColumn="0"/>
                  <w:tcW w:w="0" w:type="auto"/>
                </w:tcPr>
                <w:p w14:paraId="72C14FF2"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Chlorophyll-a deviations (remote sensing)</w:t>
                  </w:r>
                </w:p>
              </w:tc>
              <w:tc>
                <w:tcPr>
                  <w:tcW w:w="0" w:type="auto"/>
                </w:tcPr>
                <w:p w14:paraId="7D24E9ED"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X</w:t>
                  </w:r>
                </w:p>
              </w:tc>
              <w:tc>
                <w:tcPr>
                  <w:tcW w:w="0" w:type="auto"/>
                </w:tcPr>
                <w:p w14:paraId="0C2F2269"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0747CC9F"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6881A542"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 xml:space="preserve">Annual </w:t>
                  </w:r>
                </w:p>
              </w:tc>
            </w:tr>
            <w:tr w:rsidR="001F570F" w:rsidRPr="007C1364" w14:paraId="3C19A156" w14:textId="77777777" w:rsidTr="00A6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11EBD1"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Chlorophyll-a concentration (</w:t>
                  </w:r>
                  <w:r w:rsidRPr="007C1364">
                    <w:rPr>
                      <w:b w:val="0"/>
                      <w:i/>
                      <w:color w:val="000000" w:themeColor="text1"/>
                      <w:lang w:val="fr-FR"/>
                    </w:rPr>
                    <w:t>remote sensing and in situ</w:t>
                  </w:r>
                  <w:r w:rsidRPr="007C1364">
                    <w:rPr>
                      <w:b w:val="0"/>
                      <w:color w:val="000000" w:themeColor="text1"/>
                      <w:lang w:val="fr-FR"/>
                    </w:rPr>
                    <w:t>)</w:t>
                  </w:r>
                </w:p>
              </w:tc>
              <w:tc>
                <w:tcPr>
                  <w:tcW w:w="0" w:type="auto"/>
                </w:tcPr>
                <w:p w14:paraId="68908944"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0BEED577"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X</w:t>
                  </w:r>
                </w:p>
              </w:tc>
              <w:tc>
                <w:tcPr>
                  <w:tcW w:w="0" w:type="auto"/>
                </w:tcPr>
                <w:p w14:paraId="647FEEF3"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vMerge w:val="restart"/>
                </w:tcPr>
                <w:p w14:paraId="1AFECD60"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4 years (aligned with Regional Seas)</w:t>
                  </w:r>
                </w:p>
              </w:tc>
            </w:tr>
            <w:tr w:rsidR="001F570F" w:rsidRPr="007C1364" w14:paraId="64042CF9" w14:textId="77777777" w:rsidTr="00A64F0D">
              <w:tc>
                <w:tcPr>
                  <w:cnfStyle w:val="001000000000" w:firstRow="0" w:lastRow="0" w:firstColumn="1" w:lastColumn="0" w:oddVBand="0" w:evenVBand="0" w:oddHBand="0" w:evenHBand="0" w:firstRowFirstColumn="0" w:firstRowLastColumn="0" w:lastRowFirstColumn="0" w:lastRowLastColumn="0"/>
                  <w:tcW w:w="0" w:type="auto"/>
                </w:tcPr>
                <w:p w14:paraId="3E4F2254"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 xml:space="preserve">National modelling of indicator for Coastal Eutrophication Potential (ICEP) </w:t>
                  </w:r>
                </w:p>
              </w:tc>
              <w:tc>
                <w:tcPr>
                  <w:tcW w:w="0" w:type="auto"/>
                </w:tcPr>
                <w:p w14:paraId="7CE4D24B"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71648905"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X</w:t>
                  </w:r>
                </w:p>
              </w:tc>
              <w:tc>
                <w:tcPr>
                  <w:tcW w:w="0" w:type="auto"/>
                </w:tcPr>
                <w:p w14:paraId="38E975BC"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vMerge/>
                </w:tcPr>
                <w:p w14:paraId="6F567CF1"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F570F" w:rsidRPr="007C1364" w14:paraId="0CB5B88D" w14:textId="77777777" w:rsidTr="00A6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E3D61"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 xml:space="preserve">Total Nitrogen of DIN (dissolved inorganic nitrogen) </w:t>
                  </w:r>
                </w:p>
              </w:tc>
              <w:tc>
                <w:tcPr>
                  <w:tcW w:w="0" w:type="auto"/>
                </w:tcPr>
                <w:p w14:paraId="61C55B72"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6B5220DE"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X</w:t>
                  </w:r>
                </w:p>
              </w:tc>
              <w:tc>
                <w:tcPr>
                  <w:tcW w:w="0" w:type="auto"/>
                </w:tcPr>
                <w:p w14:paraId="48C3D989"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vMerge/>
                </w:tcPr>
                <w:p w14:paraId="1C7D4466"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r>
            <w:tr w:rsidR="001F570F" w:rsidRPr="007C1364" w14:paraId="11541622" w14:textId="77777777" w:rsidTr="00A64F0D">
              <w:tc>
                <w:tcPr>
                  <w:cnfStyle w:val="001000000000" w:firstRow="0" w:lastRow="0" w:firstColumn="1" w:lastColumn="0" w:oddVBand="0" w:evenVBand="0" w:oddHBand="0" w:evenHBand="0" w:firstRowFirstColumn="0" w:firstRowLastColumn="0" w:lastRowFirstColumn="0" w:lastRowLastColumn="0"/>
                  <w:tcW w:w="0" w:type="auto"/>
                </w:tcPr>
                <w:p w14:paraId="3275B53E"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 xml:space="preserve">Total Phosphorus or DIP (dissolved inorganic phosphorus) </w:t>
                  </w:r>
                </w:p>
              </w:tc>
              <w:tc>
                <w:tcPr>
                  <w:tcW w:w="0" w:type="auto"/>
                </w:tcPr>
                <w:p w14:paraId="68B6D1F4"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48A173F4"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X</w:t>
                  </w:r>
                </w:p>
              </w:tc>
              <w:tc>
                <w:tcPr>
                  <w:tcW w:w="0" w:type="auto"/>
                </w:tcPr>
                <w:p w14:paraId="74EA2A35"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vMerge/>
                </w:tcPr>
                <w:p w14:paraId="566239E6"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F570F" w:rsidRPr="007C1364" w14:paraId="67B8588B" w14:textId="77777777" w:rsidTr="00A6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1C734"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 xml:space="preserve">Total silica </w:t>
                  </w:r>
                </w:p>
              </w:tc>
              <w:tc>
                <w:tcPr>
                  <w:tcW w:w="0" w:type="auto"/>
                </w:tcPr>
                <w:p w14:paraId="2DA40037"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07A90E28"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X</w:t>
                  </w:r>
                </w:p>
              </w:tc>
              <w:tc>
                <w:tcPr>
                  <w:tcW w:w="0" w:type="auto"/>
                </w:tcPr>
                <w:p w14:paraId="7B90D5A4"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vMerge/>
                </w:tcPr>
                <w:p w14:paraId="7E60EEDC"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r>
            <w:tr w:rsidR="001F570F" w:rsidRPr="007C1364" w14:paraId="2DFDDFCB" w14:textId="77777777" w:rsidTr="00A64F0D">
              <w:tc>
                <w:tcPr>
                  <w:cnfStyle w:val="001000000000" w:firstRow="0" w:lastRow="0" w:firstColumn="1" w:lastColumn="0" w:oddVBand="0" w:evenVBand="0" w:oddHBand="0" w:evenHBand="0" w:firstRowFirstColumn="0" w:firstRowLastColumn="0" w:lastRowFirstColumn="0" w:lastRowLastColumn="0"/>
                  <w:tcW w:w="0" w:type="auto"/>
                </w:tcPr>
                <w:p w14:paraId="2629B89F"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 xml:space="preserve">Dissolved oxygen </w:t>
                  </w:r>
                </w:p>
              </w:tc>
              <w:tc>
                <w:tcPr>
                  <w:tcW w:w="0" w:type="auto"/>
                </w:tcPr>
                <w:p w14:paraId="299C635C"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6F9C91B7"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648F1CC1"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X</w:t>
                  </w:r>
                </w:p>
              </w:tc>
              <w:tc>
                <w:tcPr>
                  <w:tcW w:w="0" w:type="auto"/>
                </w:tcPr>
                <w:p w14:paraId="614EFAF1"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NA</w:t>
                  </w:r>
                </w:p>
              </w:tc>
            </w:tr>
            <w:tr w:rsidR="001F570F" w:rsidRPr="007C1364" w14:paraId="6F6D6131" w14:textId="77777777" w:rsidTr="00A6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F4C54"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Biological/chemical oxygen demand (BOD/COD)</w:t>
                  </w:r>
                </w:p>
              </w:tc>
              <w:tc>
                <w:tcPr>
                  <w:tcW w:w="0" w:type="auto"/>
                </w:tcPr>
                <w:p w14:paraId="51A02DB2"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0905F72F"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44E880AB"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X</w:t>
                  </w:r>
                </w:p>
              </w:tc>
              <w:tc>
                <w:tcPr>
                  <w:tcW w:w="0" w:type="auto"/>
                </w:tcPr>
                <w:p w14:paraId="269CFB9C"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NA</w:t>
                  </w:r>
                </w:p>
              </w:tc>
            </w:tr>
            <w:tr w:rsidR="001F570F" w:rsidRPr="007C1364" w14:paraId="50ED4C43" w14:textId="77777777" w:rsidTr="00A64F0D">
              <w:tc>
                <w:tcPr>
                  <w:cnfStyle w:val="001000000000" w:firstRow="0" w:lastRow="0" w:firstColumn="1" w:lastColumn="0" w:oddVBand="0" w:evenVBand="0" w:oddHBand="0" w:evenHBand="0" w:firstRowFirstColumn="0" w:firstRowLastColumn="0" w:lastRowFirstColumn="0" w:lastRowLastColumn="0"/>
                  <w:tcW w:w="0" w:type="auto"/>
                </w:tcPr>
                <w:p w14:paraId="5236869E"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Total organic carbon (TOC)</w:t>
                  </w:r>
                </w:p>
              </w:tc>
              <w:tc>
                <w:tcPr>
                  <w:tcW w:w="0" w:type="auto"/>
                </w:tcPr>
                <w:p w14:paraId="10D731F2"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2AA3BC86"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66842F94"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X</w:t>
                  </w:r>
                </w:p>
              </w:tc>
              <w:tc>
                <w:tcPr>
                  <w:tcW w:w="0" w:type="auto"/>
                </w:tcPr>
                <w:p w14:paraId="782224DE"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NA</w:t>
                  </w:r>
                </w:p>
              </w:tc>
            </w:tr>
            <w:tr w:rsidR="001F570F" w:rsidRPr="007C1364" w14:paraId="4F3BFE7E" w14:textId="77777777" w:rsidTr="00A6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38AAB"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Turbidity (remote sensing)</w:t>
                  </w:r>
                </w:p>
              </w:tc>
              <w:tc>
                <w:tcPr>
                  <w:tcW w:w="0" w:type="auto"/>
                </w:tcPr>
                <w:p w14:paraId="493BA447"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101A0FB0"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52D888E3"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X</w:t>
                  </w:r>
                </w:p>
              </w:tc>
              <w:tc>
                <w:tcPr>
                  <w:tcW w:w="0" w:type="auto"/>
                </w:tcPr>
                <w:p w14:paraId="58083DE9"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NA</w:t>
                  </w:r>
                </w:p>
              </w:tc>
            </w:tr>
            <w:tr w:rsidR="001F570F" w:rsidRPr="007C1364" w14:paraId="6E745C6A" w14:textId="77777777" w:rsidTr="00A64F0D">
              <w:tc>
                <w:tcPr>
                  <w:cnfStyle w:val="001000000000" w:firstRow="0" w:lastRow="0" w:firstColumn="1" w:lastColumn="0" w:oddVBand="0" w:evenVBand="0" w:oddHBand="0" w:evenHBand="0" w:firstRowFirstColumn="0" w:firstRowLastColumn="0" w:lastRowFirstColumn="0" w:lastRowLastColumn="0"/>
                  <w:tcW w:w="0" w:type="auto"/>
                </w:tcPr>
                <w:p w14:paraId="4B9F025D"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River parameters from SDG 6.3.2</w:t>
                  </w:r>
                </w:p>
              </w:tc>
              <w:tc>
                <w:tcPr>
                  <w:tcW w:w="0" w:type="auto"/>
                </w:tcPr>
                <w:p w14:paraId="2E2A746A"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2DC0DD0D" w14:textId="77777777" w:rsidR="001F570F" w:rsidRPr="007C1364" w:rsidDel="00751D1E"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5AED0DB1"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X</w:t>
                  </w:r>
                </w:p>
              </w:tc>
              <w:tc>
                <w:tcPr>
                  <w:tcW w:w="0" w:type="auto"/>
                </w:tcPr>
                <w:p w14:paraId="53333490"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NA</w:t>
                  </w:r>
                </w:p>
              </w:tc>
            </w:tr>
            <w:tr w:rsidR="001F570F" w:rsidRPr="007C1364" w14:paraId="3AB37081" w14:textId="77777777" w:rsidTr="00A6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0A4220"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Other water parameters (O</w:t>
                  </w:r>
                  <w:r w:rsidRPr="007C1364">
                    <w:rPr>
                      <w:b w:val="0"/>
                      <w:color w:val="000000" w:themeColor="text1"/>
                      <w:vertAlign w:val="subscript"/>
                      <w:lang w:val="fr-FR"/>
                    </w:rPr>
                    <w:t>2</w:t>
                  </w:r>
                  <w:r w:rsidRPr="007C1364">
                    <w:rPr>
                      <w:b w:val="0"/>
                      <w:color w:val="000000" w:themeColor="text1"/>
                      <w:lang w:val="fr-FR"/>
                    </w:rPr>
                    <w:t xml:space="preserve"> % saturation, Secchi depth, river discharge, salinity, temperature, pH, alkalinity, organic carbon, toxic metals, persistent organic pollutants)</w:t>
                  </w:r>
                </w:p>
              </w:tc>
              <w:tc>
                <w:tcPr>
                  <w:tcW w:w="0" w:type="auto"/>
                </w:tcPr>
                <w:p w14:paraId="01978398"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2CA01A04"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p>
              </w:tc>
              <w:tc>
                <w:tcPr>
                  <w:tcW w:w="0" w:type="auto"/>
                </w:tcPr>
                <w:p w14:paraId="1512C87C"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X</w:t>
                  </w:r>
                </w:p>
              </w:tc>
              <w:tc>
                <w:tcPr>
                  <w:tcW w:w="0" w:type="auto"/>
                </w:tcPr>
                <w:p w14:paraId="0CA1EAA5" w14:textId="77777777" w:rsidR="001F570F" w:rsidRPr="007C1364" w:rsidRDefault="001F570F" w:rsidP="001F570F">
                  <w:pPr>
                    <w:pStyle w:val="NoSpacing"/>
                    <w:cnfStyle w:val="000000100000" w:firstRow="0" w:lastRow="0" w:firstColumn="0" w:lastColumn="0" w:oddVBand="0" w:evenVBand="0" w:oddHBand="1" w:evenHBand="0" w:firstRowFirstColumn="0" w:firstRowLastColumn="0" w:lastRowFirstColumn="0" w:lastRowLastColumn="0"/>
                    <w:rPr>
                      <w:lang w:val="fr-FR"/>
                    </w:rPr>
                  </w:pPr>
                  <w:r w:rsidRPr="007C1364">
                    <w:rPr>
                      <w:lang w:val="fr-FR"/>
                    </w:rPr>
                    <w:t>NA</w:t>
                  </w:r>
                </w:p>
              </w:tc>
            </w:tr>
            <w:tr w:rsidR="001F570F" w:rsidRPr="007C1364" w14:paraId="5479E75C" w14:textId="77777777" w:rsidTr="00A64F0D">
              <w:tc>
                <w:tcPr>
                  <w:cnfStyle w:val="001000000000" w:firstRow="0" w:lastRow="0" w:firstColumn="1" w:lastColumn="0" w:oddVBand="0" w:evenVBand="0" w:oddHBand="0" w:evenHBand="0" w:firstRowFirstColumn="0" w:firstRowLastColumn="0" w:lastRowFirstColumn="0" w:lastRowLastColumn="0"/>
                  <w:tcW w:w="0" w:type="auto"/>
                </w:tcPr>
                <w:p w14:paraId="10EFDBAC" w14:textId="77777777" w:rsidR="001F570F" w:rsidRPr="007C1364" w:rsidRDefault="001F570F" w:rsidP="001F570F">
                  <w:pPr>
                    <w:pStyle w:val="NoSpacing"/>
                    <w:rPr>
                      <w:b w:val="0"/>
                      <w:color w:val="000000" w:themeColor="text1"/>
                      <w:lang w:val="fr-FR"/>
                    </w:rPr>
                  </w:pPr>
                  <w:r w:rsidRPr="007C1364">
                    <w:rPr>
                      <w:b w:val="0"/>
                      <w:color w:val="000000" w:themeColor="text1"/>
                      <w:lang w:val="fr-FR"/>
                    </w:rPr>
                    <w:t>Microalgal growth, harmful algal blooms, submerged aquatic vegetation coverage, biodiversity and hypoxia</w:t>
                  </w:r>
                </w:p>
              </w:tc>
              <w:tc>
                <w:tcPr>
                  <w:tcW w:w="0" w:type="auto"/>
                </w:tcPr>
                <w:p w14:paraId="5CCB0656"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73BEFB90"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0" w:type="auto"/>
                </w:tcPr>
                <w:p w14:paraId="00C5B9DA"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X</w:t>
                  </w:r>
                </w:p>
              </w:tc>
              <w:tc>
                <w:tcPr>
                  <w:tcW w:w="0" w:type="auto"/>
                </w:tcPr>
                <w:p w14:paraId="3C77A175" w14:textId="77777777" w:rsidR="001F570F" w:rsidRPr="007C1364" w:rsidRDefault="001F570F" w:rsidP="001F570F">
                  <w:pPr>
                    <w:pStyle w:val="NoSpacing"/>
                    <w:cnfStyle w:val="000000000000" w:firstRow="0" w:lastRow="0" w:firstColumn="0" w:lastColumn="0" w:oddVBand="0" w:evenVBand="0" w:oddHBand="0" w:evenHBand="0" w:firstRowFirstColumn="0" w:firstRowLastColumn="0" w:lastRowFirstColumn="0" w:lastRowLastColumn="0"/>
                    <w:rPr>
                      <w:lang w:val="fr-FR"/>
                    </w:rPr>
                  </w:pPr>
                  <w:r w:rsidRPr="007C1364">
                    <w:rPr>
                      <w:lang w:val="fr-FR"/>
                    </w:rPr>
                    <w:t>NA</w:t>
                  </w:r>
                </w:p>
              </w:tc>
            </w:tr>
          </w:tbl>
          <w:p w14:paraId="63ADA244" w14:textId="77777777" w:rsidR="001F570F" w:rsidRPr="007C1364" w:rsidRDefault="001F570F" w:rsidP="001F570F">
            <w:pPr>
              <w:pStyle w:val="NoSpacing"/>
              <w:rPr>
                <w:lang w:val="en-GB"/>
              </w:rPr>
            </w:pPr>
          </w:p>
          <w:p w14:paraId="1736EF7C" w14:textId="77777777" w:rsidR="001F570F" w:rsidRPr="007C1364" w:rsidRDefault="001F570F" w:rsidP="001F570F">
            <w:pPr>
              <w:pStyle w:val="NoSpacing"/>
              <w:rPr>
                <w:i/>
                <w:iCs/>
                <w:lang w:val="en-GB"/>
              </w:rPr>
            </w:pPr>
            <w:r w:rsidRPr="007C1364">
              <w:rPr>
                <w:i/>
                <w:iCs/>
                <w:lang w:val="en-GB"/>
              </w:rPr>
              <w:lastRenderedPageBreak/>
              <w:t>Table 2: Monitoring parameters for marine plastic litter to track progress against SDG Indicator 14.1.1b.</w:t>
            </w:r>
          </w:p>
          <w:tbl>
            <w:tblPr>
              <w:tblW w:w="9021" w:type="dxa"/>
              <w:tblLook w:val="04A0" w:firstRow="1" w:lastRow="0" w:firstColumn="1" w:lastColumn="0" w:noHBand="0" w:noVBand="1"/>
            </w:tblPr>
            <w:tblGrid>
              <w:gridCol w:w="5315"/>
              <w:gridCol w:w="895"/>
              <w:gridCol w:w="810"/>
              <w:gridCol w:w="810"/>
              <w:gridCol w:w="1191"/>
            </w:tblGrid>
            <w:tr w:rsidR="001F570F" w:rsidRPr="007C1364" w14:paraId="3BEFC03E" w14:textId="77777777" w:rsidTr="00A64F0D">
              <w:tc>
                <w:tcPr>
                  <w:tcW w:w="5315" w:type="dxa"/>
                </w:tcPr>
                <w:p w14:paraId="318E274A" w14:textId="77777777" w:rsidR="001F570F" w:rsidRPr="007C1364" w:rsidRDefault="001F570F" w:rsidP="001F570F">
                  <w:pPr>
                    <w:pStyle w:val="NoSpacing"/>
                    <w:rPr>
                      <w:b/>
                      <w:bCs/>
                      <w:lang w:val="fr-FR"/>
                    </w:rPr>
                  </w:pPr>
                  <w:r w:rsidRPr="007C1364">
                    <w:rPr>
                      <w:b/>
                      <w:bCs/>
                      <w:lang w:val="fr-FR"/>
                    </w:rPr>
                    <w:t>Monitoring parameters (and methods)</w:t>
                  </w:r>
                </w:p>
              </w:tc>
              <w:tc>
                <w:tcPr>
                  <w:tcW w:w="895" w:type="dxa"/>
                </w:tcPr>
                <w:p w14:paraId="3586010C" w14:textId="77777777" w:rsidR="001F570F" w:rsidRPr="007C1364" w:rsidRDefault="001F570F" w:rsidP="001F570F">
                  <w:pPr>
                    <w:pStyle w:val="NoSpacing"/>
                    <w:rPr>
                      <w:b/>
                      <w:bCs/>
                      <w:lang w:val="fr-FR"/>
                    </w:rPr>
                  </w:pPr>
                  <w:r w:rsidRPr="007C1364">
                    <w:rPr>
                      <w:b/>
                      <w:bCs/>
                      <w:lang w:val="fr-FR"/>
                    </w:rPr>
                    <w:t xml:space="preserve"> Level 1</w:t>
                  </w:r>
                </w:p>
              </w:tc>
              <w:tc>
                <w:tcPr>
                  <w:tcW w:w="810" w:type="dxa"/>
                </w:tcPr>
                <w:p w14:paraId="70E307EB" w14:textId="77777777" w:rsidR="001F570F" w:rsidRPr="007C1364" w:rsidRDefault="001F570F" w:rsidP="001F570F">
                  <w:pPr>
                    <w:pStyle w:val="NoSpacing"/>
                    <w:rPr>
                      <w:b/>
                      <w:bCs/>
                      <w:lang w:val="fr-FR"/>
                    </w:rPr>
                  </w:pPr>
                  <w:r w:rsidRPr="007C1364">
                    <w:rPr>
                      <w:b/>
                      <w:bCs/>
                      <w:lang w:val="fr-FR"/>
                    </w:rPr>
                    <w:t>Level 2</w:t>
                  </w:r>
                </w:p>
              </w:tc>
              <w:tc>
                <w:tcPr>
                  <w:tcW w:w="810" w:type="dxa"/>
                </w:tcPr>
                <w:p w14:paraId="50B3A50D" w14:textId="77777777" w:rsidR="001F570F" w:rsidRPr="007C1364" w:rsidRDefault="001F570F" w:rsidP="001F570F">
                  <w:pPr>
                    <w:pStyle w:val="NoSpacing"/>
                    <w:rPr>
                      <w:b/>
                      <w:bCs/>
                      <w:lang w:val="fr-FR"/>
                    </w:rPr>
                  </w:pPr>
                  <w:r w:rsidRPr="007C1364">
                    <w:rPr>
                      <w:b/>
                      <w:bCs/>
                      <w:lang w:val="fr-FR"/>
                    </w:rPr>
                    <w:t>Level 3</w:t>
                  </w:r>
                </w:p>
              </w:tc>
              <w:tc>
                <w:tcPr>
                  <w:tcW w:w="1191" w:type="dxa"/>
                </w:tcPr>
                <w:p w14:paraId="16CFC61B" w14:textId="77777777" w:rsidR="001F570F" w:rsidRPr="007C1364" w:rsidRDefault="001F570F" w:rsidP="001F570F">
                  <w:pPr>
                    <w:pStyle w:val="NoSpacing"/>
                    <w:rPr>
                      <w:b/>
                      <w:bCs/>
                      <w:lang w:val="fr-FR"/>
                    </w:rPr>
                  </w:pPr>
                  <w:r w:rsidRPr="007C1364">
                    <w:rPr>
                      <w:b/>
                      <w:bCs/>
                      <w:lang w:val="fr-FR"/>
                    </w:rPr>
                    <w:t>Reporting Frequency</w:t>
                  </w:r>
                </w:p>
              </w:tc>
            </w:tr>
            <w:tr w:rsidR="001F570F" w:rsidRPr="007C1364" w14:paraId="200DCBDC" w14:textId="77777777" w:rsidTr="00A64F0D">
              <w:trPr>
                <w:trHeight w:val="224"/>
              </w:trPr>
              <w:tc>
                <w:tcPr>
                  <w:tcW w:w="5315" w:type="dxa"/>
                </w:tcPr>
                <w:p w14:paraId="77AEDA78" w14:textId="77777777" w:rsidR="001F570F" w:rsidRPr="007C1364" w:rsidRDefault="001F570F" w:rsidP="001F570F">
                  <w:pPr>
                    <w:pStyle w:val="NoSpacing"/>
                    <w:rPr>
                      <w:bCs/>
                      <w:lang w:val="fr-FR"/>
                    </w:rPr>
                  </w:pPr>
                  <w:r w:rsidRPr="007C1364">
                    <w:rPr>
                      <w:bCs/>
                      <w:lang w:val="fr-FR"/>
                    </w:rPr>
                    <w:t>Plastic patches greater than 10 meters*</w:t>
                  </w:r>
                </w:p>
              </w:tc>
              <w:tc>
                <w:tcPr>
                  <w:tcW w:w="895" w:type="dxa"/>
                </w:tcPr>
                <w:p w14:paraId="0A002688" w14:textId="77777777" w:rsidR="001F570F" w:rsidRPr="007C1364" w:rsidDel="00F1277C" w:rsidRDefault="001F570F" w:rsidP="001F570F">
                  <w:pPr>
                    <w:pStyle w:val="NoSpacing"/>
                    <w:rPr>
                      <w:lang w:val="fr-FR"/>
                    </w:rPr>
                  </w:pPr>
                  <w:r w:rsidRPr="007C1364">
                    <w:rPr>
                      <w:lang w:val="fr-FR"/>
                    </w:rPr>
                    <w:t>X</w:t>
                  </w:r>
                </w:p>
              </w:tc>
              <w:tc>
                <w:tcPr>
                  <w:tcW w:w="810" w:type="dxa"/>
                </w:tcPr>
                <w:p w14:paraId="42D2E97A" w14:textId="77777777" w:rsidR="001F570F" w:rsidRPr="007C1364" w:rsidRDefault="001F570F" w:rsidP="001F570F">
                  <w:pPr>
                    <w:pStyle w:val="NoSpacing"/>
                    <w:rPr>
                      <w:lang w:val="fr-FR"/>
                    </w:rPr>
                  </w:pPr>
                </w:p>
              </w:tc>
              <w:tc>
                <w:tcPr>
                  <w:tcW w:w="810" w:type="dxa"/>
                </w:tcPr>
                <w:p w14:paraId="3053BE65" w14:textId="77777777" w:rsidR="001F570F" w:rsidRPr="007C1364" w:rsidRDefault="001F570F" w:rsidP="001F570F">
                  <w:pPr>
                    <w:pStyle w:val="NoSpacing"/>
                    <w:rPr>
                      <w:lang w:val="fr-FR"/>
                    </w:rPr>
                  </w:pPr>
                </w:p>
              </w:tc>
              <w:tc>
                <w:tcPr>
                  <w:tcW w:w="1191" w:type="dxa"/>
                </w:tcPr>
                <w:p w14:paraId="17BBF0B3" w14:textId="77777777" w:rsidR="001F570F" w:rsidRPr="007C1364" w:rsidRDefault="001F570F" w:rsidP="001F570F">
                  <w:pPr>
                    <w:pStyle w:val="NoSpacing"/>
                    <w:rPr>
                      <w:lang w:val="fr-FR"/>
                    </w:rPr>
                  </w:pPr>
                  <w:r w:rsidRPr="007C1364">
                    <w:rPr>
                      <w:lang w:val="fr-FR"/>
                    </w:rPr>
                    <w:t>Annual</w:t>
                  </w:r>
                </w:p>
              </w:tc>
            </w:tr>
            <w:tr w:rsidR="001F570F" w:rsidRPr="007C1364" w14:paraId="149196DE" w14:textId="77777777" w:rsidTr="00A64F0D">
              <w:tc>
                <w:tcPr>
                  <w:tcW w:w="5315" w:type="dxa"/>
                </w:tcPr>
                <w:p w14:paraId="4C527FAD" w14:textId="77777777" w:rsidR="001F570F" w:rsidRPr="007C1364" w:rsidRDefault="001F570F" w:rsidP="001F570F">
                  <w:pPr>
                    <w:pStyle w:val="NoSpacing"/>
                    <w:rPr>
                      <w:bCs/>
                      <w:lang w:val="fr-FR"/>
                    </w:rPr>
                  </w:pPr>
                  <w:r w:rsidRPr="007C1364">
                    <w:rPr>
                      <w:bCs/>
                      <w:lang w:val="fr-FR"/>
                    </w:rPr>
                    <w:t>Beach litter originating from national land-based sources</w:t>
                  </w:r>
                </w:p>
              </w:tc>
              <w:tc>
                <w:tcPr>
                  <w:tcW w:w="895" w:type="dxa"/>
                </w:tcPr>
                <w:p w14:paraId="13F8F800" w14:textId="77777777" w:rsidR="001F570F" w:rsidRPr="007C1364" w:rsidDel="00F1277C" w:rsidRDefault="001F570F" w:rsidP="001F570F">
                  <w:pPr>
                    <w:pStyle w:val="NoSpacing"/>
                    <w:rPr>
                      <w:lang w:val="fr-FR"/>
                    </w:rPr>
                  </w:pPr>
                  <w:r w:rsidRPr="007C1364">
                    <w:rPr>
                      <w:lang w:val="fr-FR"/>
                    </w:rPr>
                    <w:t>X</w:t>
                  </w:r>
                </w:p>
              </w:tc>
              <w:tc>
                <w:tcPr>
                  <w:tcW w:w="810" w:type="dxa"/>
                </w:tcPr>
                <w:p w14:paraId="514EDDE8" w14:textId="77777777" w:rsidR="001F570F" w:rsidRPr="007C1364" w:rsidRDefault="001F570F" w:rsidP="001F570F">
                  <w:pPr>
                    <w:pStyle w:val="NoSpacing"/>
                    <w:rPr>
                      <w:lang w:val="fr-FR"/>
                    </w:rPr>
                  </w:pPr>
                </w:p>
              </w:tc>
              <w:tc>
                <w:tcPr>
                  <w:tcW w:w="810" w:type="dxa"/>
                </w:tcPr>
                <w:p w14:paraId="59A3F92D" w14:textId="77777777" w:rsidR="001F570F" w:rsidRPr="007C1364" w:rsidRDefault="001F570F" w:rsidP="001F570F">
                  <w:pPr>
                    <w:pStyle w:val="NoSpacing"/>
                    <w:rPr>
                      <w:lang w:val="fr-FR"/>
                    </w:rPr>
                  </w:pPr>
                </w:p>
              </w:tc>
              <w:tc>
                <w:tcPr>
                  <w:tcW w:w="1191" w:type="dxa"/>
                </w:tcPr>
                <w:p w14:paraId="029B22C5" w14:textId="77777777" w:rsidR="001F570F" w:rsidRPr="007C1364" w:rsidRDefault="001F570F" w:rsidP="001F570F">
                  <w:pPr>
                    <w:pStyle w:val="NoSpacing"/>
                    <w:rPr>
                      <w:lang w:val="fr-FR"/>
                    </w:rPr>
                  </w:pPr>
                  <w:r w:rsidRPr="007C1364">
                    <w:rPr>
                      <w:lang w:val="fr-FR"/>
                    </w:rPr>
                    <w:t>Two years</w:t>
                  </w:r>
                </w:p>
              </w:tc>
            </w:tr>
            <w:tr w:rsidR="001F570F" w:rsidRPr="007C1364" w14:paraId="163EE27B" w14:textId="77777777" w:rsidTr="00A64F0D">
              <w:tc>
                <w:tcPr>
                  <w:tcW w:w="5315" w:type="dxa"/>
                </w:tcPr>
                <w:p w14:paraId="30557813" w14:textId="77777777" w:rsidR="001F570F" w:rsidRPr="007C1364" w:rsidRDefault="001F570F" w:rsidP="001F570F">
                  <w:pPr>
                    <w:pStyle w:val="NoSpacing"/>
                    <w:rPr>
                      <w:bCs/>
                      <w:lang w:val="fr-FR"/>
                    </w:rPr>
                  </w:pPr>
                  <w:r w:rsidRPr="007C1364">
                    <w:rPr>
                      <w:bCs/>
                      <w:lang w:val="fr-FR"/>
                    </w:rPr>
                    <w:t>Beach litter (beach surveys)</w:t>
                  </w:r>
                </w:p>
              </w:tc>
              <w:tc>
                <w:tcPr>
                  <w:tcW w:w="895" w:type="dxa"/>
                </w:tcPr>
                <w:p w14:paraId="59EC4EF0" w14:textId="77777777" w:rsidR="001F570F" w:rsidRPr="007C1364" w:rsidRDefault="001F570F" w:rsidP="001F570F">
                  <w:pPr>
                    <w:pStyle w:val="NoSpacing"/>
                    <w:rPr>
                      <w:lang w:val="fr-FR"/>
                    </w:rPr>
                  </w:pPr>
                </w:p>
              </w:tc>
              <w:tc>
                <w:tcPr>
                  <w:tcW w:w="810" w:type="dxa"/>
                </w:tcPr>
                <w:p w14:paraId="599D2574" w14:textId="77777777" w:rsidR="001F570F" w:rsidRPr="007C1364" w:rsidRDefault="001F570F" w:rsidP="001F570F">
                  <w:pPr>
                    <w:pStyle w:val="NoSpacing"/>
                    <w:rPr>
                      <w:lang w:val="fr-FR"/>
                    </w:rPr>
                  </w:pPr>
                  <w:r w:rsidRPr="007C1364">
                    <w:rPr>
                      <w:lang w:val="fr-FR"/>
                    </w:rPr>
                    <w:t>X</w:t>
                  </w:r>
                </w:p>
              </w:tc>
              <w:tc>
                <w:tcPr>
                  <w:tcW w:w="810" w:type="dxa"/>
                </w:tcPr>
                <w:p w14:paraId="7CB2ABED" w14:textId="77777777" w:rsidR="001F570F" w:rsidRPr="007C1364" w:rsidRDefault="001F570F" w:rsidP="001F570F">
                  <w:pPr>
                    <w:pStyle w:val="NoSpacing"/>
                    <w:rPr>
                      <w:lang w:val="fr-FR"/>
                    </w:rPr>
                  </w:pPr>
                </w:p>
              </w:tc>
              <w:tc>
                <w:tcPr>
                  <w:tcW w:w="1191" w:type="dxa"/>
                  <w:vMerge w:val="restart"/>
                </w:tcPr>
                <w:p w14:paraId="6D7AACAA" w14:textId="77777777" w:rsidR="001F570F" w:rsidRPr="007C1364" w:rsidRDefault="001F570F" w:rsidP="001F570F">
                  <w:pPr>
                    <w:pStyle w:val="NoSpacing"/>
                    <w:rPr>
                      <w:lang w:val="fr-FR"/>
                    </w:rPr>
                  </w:pPr>
                  <w:r w:rsidRPr="007C1364">
                    <w:rPr>
                      <w:lang w:val="fr-FR"/>
                    </w:rPr>
                    <w:t>4 years (aligned with Regional Seas)</w:t>
                  </w:r>
                </w:p>
              </w:tc>
            </w:tr>
            <w:tr w:rsidR="001F570F" w:rsidRPr="007C1364" w14:paraId="17F20805" w14:textId="77777777" w:rsidTr="00A64F0D">
              <w:tc>
                <w:tcPr>
                  <w:tcW w:w="5315" w:type="dxa"/>
                </w:tcPr>
                <w:p w14:paraId="058351BE" w14:textId="77777777" w:rsidR="001F570F" w:rsidRPr="007C1364" w:rsidRDefault="001F570F" w:rsidP="001F570F">
                  <w:pPr>
                    <w:pStyle w:val="NoSpacing"/>
                    <w:rPr>
                      <w:bCs/>
                      <w:lang w:val="fr-FR"/>
                    </w:rPr>
                  </w:pPr>
                  <w:r w:rsidRPr="007C1364">
                    <w:rPr>
                      <w:bCs/>
                      <w:lang w:val="fr-FR"/>
                    </w:rPr>
                    <w:t>Floating plastics (visual observation, manta trawls)</w:t>
                  </w:r>
                </w:p>
              </w:tc>
              <w:tc>
                <w:tcPr>
                  <w:tcW w:w="895" w:type="dxa"/>
                </w:tcPr>
                <w:p w14:paraId="19E39D53" w14:textId="77777777" w:rsidR="001F570F" w:rsidRPr="007C1364" w:rsidRDefault="001F570F" w:rsidP="001F570F">
                  <w:pPr>
                    <w:pStyle w:val="NoSpacing"/>
                    <w:rPr>
                      <w:lang w:val="fr-FR"/>
                    </w:rPr>
                  </w:pPr>
                </w:p>
              </w:tc>
              <w:tc>
                <w:tcPr>
                  <w:tcW w:w="810" w:type="dxa"/>
                </w:tcPr>
                <w:p w14:paraId="4C172E93" w14:textId="77777777" w:rsidR="001F570F" w:rsidRPr="007C1364" w:rsidRDefault="001F570F" w:rsidP="001F570F">
                  <w:pPr>
                    <w:pStyle w:val="NoSpacing"/>
                    <w:rPr>
                      <w:lang w:val="fr-FR"/>
                    </w:rPr>
                  </w:pPr>
                  <w:r w:rsidRPr="007C1364">
                    <w:rPr>
                      <w:lang w:val="fr-FR"/>
                    </w:rPr>
                    <w:t>X</w:t>
                  </w:r>
                </w:p>
              </w:tc>
              <w:tc>
                <w:tcPr>
                  <w:tcW w:w="810" w:type="dxa"/>
                </w:tcPr>
                <w:p w14:paraId="3062AACD" w14:textId="77777777" w:rsidR="001F570F" w:rsidRPr="007C1364" w:rsidRDefault="001F570F" w:rsidP="001F570F">
                  <w:pPr>
                    <w:pStyle w:val="NoSpacing"/>
                    <w:rPr>
                      <w:lang w:val="fr-FR"/>
                    </w:rPr>
                  </w:pPr>
                </w:p>
              </w:tc>
              <w:tc>
                <w:tcPr>
                  <w:tcW w:w="1191" w:type="dxa"/>
                  <w:vMerge/>
                </w:tcPr>
                <w:p w14:paraId="543F3571" w14:textId="77777777" w:rsidR="001F570F" w:rsidRPr="007C1364" w:rsidRDefault="001F570F" w:rsidP="001F570F">
                  <w:pPr>
                    <w:pStyle w:val="NoSpacing"/>
                    <w:rPr>
                      <w:lang w:val="fr-FR"/>
                    </w:rPr>
                  </w:pPr>
                </w:p>
              </w:tc>
            </w:tr>
            <w:tr w:rsidR="001F570F" w:rsidRPr="007C1364" w14:paraId="78EC7BB9" w14:textId="77777777" w:rsidTr="00A64F0D">
              <w:tc>
                <w:tcPr>
                  <w:tcW w:w="5315" w:type="dxa"/>
                </w:tcPr>
                <w:p w14:paraId="3B2A64BC" w14:textId="77777777" w:rsidR="001F570F" w:rsidRPr="007C1364" w:rsidRDefault="001F570F" w:rsidP="001F570F">
                  <w:pPr>
                    <w:pStyle w:val="NoSpacing"/>
                    <w:rPr>
                      <w:bCs/>
                      <w:lang w:val="fr-FR"/>
                    </w:rPr>
                  </w:pPr>
                  <w:r w:rsidRPr="007C1364">
                    <w:rPr>
                      <w:bCs/>
                      <w:lang w:val="fr-FR"/>
                    </w:rPr>
                    <w:t>Water column plastics (demersal trawls)</w:t>
                  </w:r>
                </w:p>
              </w:tc>
              <w:tc>
                <w:tcPr>
                  <w:tcW w:w="895" w:type="dxa"/>
                </w:tcPr>
                <w:p w14:paraId="64674D9F" w14:textId="77777777" w:rsidR="001F570F" w:rsidRPr="007C1364" w:rsidRDefault="001F570F" w:rsidP="001F570F">
                  <w:pPr>
                    <w:pStyle w:val="NoSpacing"/>
                    <w:rPr>
                      <w:lang w:val="fr-FR"/>
                    </w:rPr>
                  </w:pPr>
                </w:p>
              </w:tc>
              <w:tc>
                <w:tcPr>
                  <w:tcW w:w="810" w:type="dxa"/>
                </w:tcPr>
                <w:p w14:paraId="6A19B7FB" w14:textId="77777777" w:rsidR="001F570F" w:rsidRPr="007C1364" w:rsidRDefault="001F570F" w:rsidP="001F570F">
                  <w:pPr>
                    <w:pStyle w:val="NoSpacing"/>
                    <w:rPr>
                      <w:lang w:val="fr-FR"/>
                    </w:rPr>
                  </w:pPr>
                  <w:r w:rsidRPr="007C1364">
                    <w:rPr>
                      <w:lang w:val="fr-FR"/>
                    </w:rPr>
                    <w:t>X</w:t>
                  </w:r>
                </w:p>
              </w:tc>
              <w:tc>
                <w:tcPr>
                  <w:tcW w:w="810" w:type="dxa"/>
                </w:tcPr>
                <w:p w14:paraId="77B4159C" w14:textId="77777777" w:rsidR="001F570F" w:rsidRPr="007C1364" w:rsidRDefault="001F570F" w:rsidP="001F570F">
                  <w:pPr>
                    <w:pStyle w:val="NoSpacing"/>
                    <w:rPr>
                      <w:lang w:val="fr-FR"/>
                    </w:rPr>
                  </w:pPr>
                </w:p>
              </w:tc>
              <w:tc>
                <w:tcPr>
                  <w:tcW w:w="1191" w:type="dxa"/>
                  <w:vMerge/>
                </w:tcPr>
                <w:p w14:paraId="52AE046C" w14:textId="77777777" w:rsidR="001F570F" w:rsidRPr="007C1364" w:rsidRDefault="001F570F" w:rsidP="001F570F">
                  <w:pPr>
                    <w:pStyle w:val="NoSpacing"/>
                    <w:rPr>
                      <w:lang w:val="fr-FR"/>
                    </w:rPr>
                  </w:pPr>
                </w:p>
              </w:tc>
            </w:tr>
            <w:tr w:rsidR="001F570F" w:rsidRPr="007C1364" w14:paraId="17F42C53" w14:textId="77777777" w:rsidTr="00A64F0D">
              <w:tc>
                <w:tcPr>
                  <w:tcW w:w="5315" w:type="dxa"/>
                </w:tcPr>
                <w:p w14:paraId="235355E7" w14:textId="77777777" w:rsidR="001F570F" w:rsidRPr="007C1364" w:rsidRDefault="001F570F" w:rsidP="001F570F">
                  <w:pPr>
                    <w:pStyle w:val="NoSpacing"/>
                    <w:rPr>
                      <w:bCs/>
                      <w:lang w:val="fr-FR"/>
                    </w:rPr>
                  </w:pPr>
                  <w:r w:rsidRPr="007C1364">
                    <w:rPr>
                      <w:bCs/>
                      <w:lang w:val="fr-FR"/>
                    </w:rPr>
                    <w:t>Seafloor litter (benthic trawls (e.g. fish survey trawls), divers, video/camera tows, submersibles, remotely operated vehicles)</w:t>
                  </w:r>
                </w:p>
              </w:tc>
              <w:tc>
                <w:tcPr>
                  <w:tcW w:w="895" w:type="dxa"/>
                </w:tcPr>
                <w:p w14:paraId="4F1355C2" w14:textId="77777777" w:rsidR="001F570F" w:rsidRPr="007C1364" w:rsidRDefault="001F570F" w:rsidP="001F570F">
                  <w:pPr>
                    <w:pStyle w:val="NoSpacing"/>
                    <w:rPr>
                      <w:lang w:val="fr-FR"/>
                    </w:rPr>
                  </w:pPr>
                </w:p>
              </w:tc>
              <w:tc>
                <w:tcPr>
                  <w:tcW w:w="810" w:type="dxa"/>
                </w:tcPr>
                <w:p w14:paraId="33CDE153" w14:textId="77777777" w:rsidR="001F570F" w:rsidRPr="007C1364" w:rsidRDefault="001F570F" w:rsidP="001F570F">
                  <w:pPr>
                    <w:pStyle w:val="NoSpacing"/>
                    <w:rPr>
                      <w:lang w:val="fr-FR"/>
                    </w:rPr>
                  </w:pPr>
                  <w:r w:rsidRPr="007C1364">
                    <w:rPr>
                      <w:lang w:val="fr-FR"/>
                    </w:rPr>
                    <w:t>X</w:t>
                  </w:r>
                </w:p>
              </w:tc>
              <w:tc>
                <w:tcPr>
                  <w:tcW w:w="810" w:type="dxa"/>
                </w:tcPr>
                <w:p w14:paraId="7C49EB90" w14:textId="77777777" w:rsidR="001F570F" w:rsidRPr="007C1364" w:rsidRDefault="001F570F" w:rsidP="001F570F">
                  <w:pPr>
                    <w:pStyle w:val="NoSpacing"/>
                    <w:rPr>
                      <w:lang w:val="fr-FR"/>
                    </w:rPr>
                  </w:pPr>
                </w:p>
              </w:tc>
              <w:tc>
                <w:tcPr>
                  <w:tcW w:w="1191" w:type="dxa"/>
                  <w:vMerge/>
                </w:tcPr>
                <w:p w14:paraId="3ADEFF47" w14:textId="77777777" w:rsidR="001F570F" w:rsidRPr="007C1364" w:rsidRDefault="001F570F" w:rsidP="001F570F">
                  <w:pPr>
                    <w:pStyle w:val="NoSpacing"/>
                    <w:rPr>
                      <w:lang w:val="fr-FR"/>
                    </w:rPr>
                  </w:pPr>
                </w:p>
              </w:tc>
            </w:tr>
            <w:tr w:rsidR="001F570F" w:rsidRPr="007C1364" w14:paraId="69FCF029" w14:textId="77777777" w:rsidTr="00A64F0D">
              <w:tc>
                <w:tcPr>
                  <w:tcW w:w="5315" w:type="dxa"/>
                </w:tcPr>
                <w:p w14:paraId="0D55245A" w14:textId="77777777" w:rsidR="001F570F" w:rsidRPr="007C1364" w:rsidRDefault="001F570F" w:rsidP="001F570F">
                  <w:pPr>
                    <w:pStyle w:val="NoSpacing"/>
                    <w:rPr>
                      <w:bCs/>
                      <w:lang w:val="fr-FR"/>
                    </w:rPr>
                  </w:pPr>
                  <w:r w:rsidRPr="007C1364">
                    <w:rPr>
                      <w:bCs/>
                      <w:lang w:val="fr-FR"/>
                    </w:rPr>
                    <w:t>Beach litter microplastics (beach samples)</w:t>
                  </w:r>
                </w:p>
              </w:tc>
              <w:tc>
                <w:tcPr>
                  <w:tcW w:w="895" w:type="dxa"/>
                </w:tcPr>
                <w:p w14:paraId="16604D04" w14:textId="77777777" w:rsidR="001F570F" w:rsidRPr="007C1364" w:rsidRDefault="001F570F" w:rsidP="001F570F">
                  <w:pPr>
                    <w:pStyle w:val="NoSpacing"/>
                    <w:rPr>
                      <w:lang w:val="fr-FR"/>
                    </w:rPr>
                  </w:pPr>
                </w:p>
              </w:tc>
              <w:tc>
                <w:tcPr>
                  <w:tcW w:w="810" w:type="dxa"/>
                </w:tcPr>
                <w:p w14:paraId="07774E66" w14:textId="77777777" w:rsidR="001F570F" w:rsidRPr="007C1364" w:rsidRDefault="001F570F" w:rsidP="001F570F">
                  <w:pPr>
                    <w:pStyle w:val="NoSpacing"/>
                    <w:rPr>
                      <w:lang w:val="fr-FR"/>
                    </w:rPr>
                  </w:pPr>
                </w:p>
              </w:tc>
              <w:tc>
                <w:tcPr>
                  <w:tcW w:w="810" w:type="dxa"/>
                </w:tcPr>
                <w:p w14:paraId="07075E86" w14:textId="77777777" w:rsidR="001F570F" w:rsidRPr="007C1364" w:rsidRDefault="001F570F" w:rsidP="001F570F">
                  <w:pPr>
                    <w:pStyle w:val="NoSpacing"/>
                    <w:rPr>
                      <w:lang w:val="fr-FR"/>
                    </w:rPr>
                  </w:pPr>
                  <w:r w:rsidRPr="007C1364">
                    <w:rPr>
                      <w:lang w:val="fr-FR"/>
                    </w:rPr>
                    <w:t>X</w:t>
                  </w:r>
                </w:p>
              </w:tc>
              <w:tc>
                <w:tcPr>
                  <w:tcW w:w="1191" w:type="dxa"/>
                </w:tcPr>
                <w:p w14:paraId="40C1E863" w14:textId="77777777" w:rsidR="001F570F" w:rsidRPr="007C1364" w:rsidRDefault="001F570F" w:rsidP="001F570F">
                  <w:pPr>
                    <w:pStyle w:val="NoSpacing"/>
                    <w:rPr>
                      <w:lang w:val="fr-FR"/>
                    </w:rPr>
                  </w:pPr>
                </w:p>
              </w:tc>
            </w:tr>
            <w:tr w:rsidR="001F570F" w:rsidRPr="007C1364" w14:paraId="6AA00B9B" w14:textId="77777777" w:rsidTr="00A64F0D">
              <w:tc>
                <w:tcPr>
                  <w:tcW w:w="5315" w:type="dxa"/>
                </w:tcPr>
                <w:p w14:paraId="279638B3" w14:textId="77777777" w:rsidR="001F570F" w:rsidRPr="007C1364" w:rsidRDefault="001F570F" w:rsidP="001F570F">
                  <w:pPr>
                    <w:pStyle w:val="NoSpacing"/>
                    <w:rPr>
                      <w:bCs/>
                      <w:lang w:val="fr-FR"/>
                    </w:rPr>
                  </w:pPr>
                  <w:r w:rsidRPr="007C1364">
                    <w:rPr>
                      <w:bCs/>
                      <w:lang w:val="fr-FR"/>
                    </w:rPr>
                    <w:t>Floating microplastics (manta trawls, e.g. Continuous Plankton Recorder)</w:t>
                  </w:r>
                </w:p>
              </w:tc>
              <w:tc>
                <w:tcPr>
                  <w:tcW w:w="895" w:type="dxa"/>
                </w:tcPr>
                <w:p w14:paraId="490A02C5" w14:textId="77777777" w:rsidR="001F570F" w:rsidRPr="007C1364" w:rsidRDefault="001F570F" w:rsidP="001F570F">
                  <w:pPr>
                    <w:pStyle w:val="NoSpacing"/>
                    <w:rPr>
                      <w:lang w:val="fr-FR"/>
                    </w:rPr>
                  </w:pPr>
                </w:p>
              </w:tc>
              <w:tc>
                <w:tcPr>
                  <w:tcW w:w="810" w:type="dxa"/>
                </w:tcPr>
                <w:p w14:paraId="20190DF2" w14:textId="77777777" w:rsidR="001F570F" w:rsidRPr="007C1364" w:rsidRDefault="001F570F" w:rsidP="001F570F">
                  <w:pPr>
                    <w:pStyle w:val="NoSpacing"/>
                    <w:rPr>
                      <w:lang w:val="fr-FR"/>
                    </w:rPr>
                  </w:pPr>
                </w:p>
              </w:tc>
              <w:tc>
                <w:tcPr>
                  <w:tcW w:w="810" w:type="dxa"/>
                </w:tcPr>
                <w:p w14:paraId="7C38B03D" w14:textId="77777777" w:rsidR="001F570F" w:rsidRPr="007C1364" w:rsidRDefault="001F570F" w:rsidP="001F570F">
                  <w:pPr>
                    <w:pStyle w:val="NoSpacing"/>
                    <w:rPr>
                      <w:lang w:val="fr-FR"/>
                    </w:rPr>
                  </w:pPr>
                  <w:r w:rsidRPr="007C1364">
                    <w:rPr>
                      <w:lang w:val="fr-FR"/>
                    </w:rPr>
                    <w:t>X</w:t>
                  </w:r>
                </w:p>
              </w:tc>
              <w:tc>
                <w:tcPr>
                  <w:tcW w:w="1191" w:type="dxa"/>
                </w:tcPr>
                <w:p w14:paraId="25CDFE43" w14:textId="77777777" w:rsidR="001F570F" w:rsidRPr="007C1364" w:rsidRDefault="001F570F" w:rsidP="001F570F">
                  <w:pPr>
                    <w:pStyle w:val="NoSpacing"/>
                    <w:rPr>
                      <w:lang w:val="fr-FR"/>
                    </w:rPr>
                  </w:pPr>
                </w:p>
              </w:tc>
            </w:tr>
            <w:tr w:rsidR="001F570F" w:rsidRPr="007C1364" w14:paraId="209047B9" w14:textId="77777777" w:rsidTr="00A64F0D">
              <w:tc>
                <w:tcPr>
                  <w:tcW w:w="5315" w:type="dxa"/>
                </w:tcPr>
                <w:p w14:paraId="18EA2D27" w14:textId="77777777" w:rsidR="001F570F" w:rsidRPr="007C1364" w:rsidRDefault="001F570F" w:rsidP="001F570F">
                  <w:pPr>
                    <w:pStyle w:val="NoSpacing"/>
                    <w:rPr>
                      <w:bCs/>
                      <w:lang w:val="fr-FR"/>
                    </w:rPr>
                  </w:pPr>
                  <w:r w:rsidRPr="007C1364">
                    <w:rPr>
                      <w:bCs/>
                      <w:lang w:val="fr-FR"/>
                    </w:rPr>
                    <w:t>Water column microplastics (demersal plankton trawls)</w:t>
                  </w:r>
                </w:p>
              </w:tc>
              <w:tc>
                <w:tcPr>
                  <w:tcW w:w="895" w:type="dxa"/>
                </w:tcPr>
                <w:p w14:paraId="6AD2DD99" w14:textId="77777777" w:rsidR="001F570F" w:rsidRPr="007C1364" w:rsidRDefault="001F570F" w:rsidP="001F570F">
                  <w:pPr>
                    <w:pStyle w:val="NoSpacing"/>
                    <w:rPr>
                      <w:lang w:val="fr-FR"/>
                    </w:rPr>
                  </w:pPr>
                </w:p>
              </w:tc>
              <w:tc>
                <w:tcPr>
                  <w:tcW w:w="810" w:type="dxa"/>
                </w:tcPr>
                <w:p w14:paraId="368C2BC5" w14:textId="77777777" w:rsidR="001F570F" w:rsidRPr="007C1364" w:rsidRDefault="001F570F" w:rsidP="001F570F">
                  <w:pPr>
                    <w:pStyle w:val="NoSpacing"/>
                    <w:rPr>
                      <w:lang w:val="fr-FR"/>
                    </w:rPr>
                  </w:pPr>
                </w:p>
              </w:tc>
              <w:tc>
                <w:tcPr>
                  <w:tcW w:w="810" w:type="dxa"/>
                </w:tcPr>
                <w:p w14:paraId="3A7801B4" w14:textId="77777777" w:rsidR="001F570F" w:rsidRPr="007C1364" w:rsidRDefault="001F570F" w:rsidP="001F570F">
                  <w:pPr>
                    <w:pStyle w:val="NoSpacing"/>
                    <w:rPr>
                      <w:lang w:val="fr-FR"/>
                    </w:rPr>
                  </w:pPr>
                  <w:r w:rsidRPr="007C1364">
                    <w:rPr>
                      <w:lang w:val="fr-FR"/>
                    </w:rPr>
                    <w:t xml:space="preserve">X </w:t>
                  </w:r>
                </w:p>
              </w:tc>
              <w:tc>
                <w:tcPr>
                  <w:tcW w:w="1191" w:type="dxa"/>
                </w:tcPr>
                <w:p w14:paraId="28E627C4" w14:textId="77777777" w:rsidR="001F570F" w:rsidRPr="007C1364" w:rsidRDefault="001F570F" w:rsidP="001F570F">
                  <w:pPr>
                    <w:pStyle w:val="NoSpacing"/>
                    <w:rPr>
                      <w:lang w:val="fr-FR"/>
                    </w:rPr>
                  </w:pPr>
                </w:p>
              </w:tc>
            </w:tr>
            <w:tr w:rsidR="001F570F" w:rsidRPr="007C1364" w14:paraId="2C4902F0" w14:textId="77777777" w:rsidTr="00A64F0D">
              <w:tc>
                <w:tcPr>
                  <w:tcW w:w="5315" w:type="dxa"/>
                </w:tcPr>
                <w:p w14:paraId="5A1C3C8D" w14:textId="77777777" w:rsidR="001F570F" w:rsidRPr="007C1364" w:rsidRDefault="001F570F" w:rsidP="001F570F">
                  <w:pPr>
                    <w:pStyle w:val="NoSpacing"/>
                    <w:rPr>
                      <w:bCs/>
                      <w:lang w:val="fr-FR"/>
                    </w:rPr>
                  </w:pPr>
                  <w:r w:rsidRPr="007C1364">
                    <w:rPr>
                      <w:bCs/>
                      <w:lang w:val="fr-FR"/>
                    </w:rPr>
                    <w:t>Seafloor litter microplastics (sediment samples)</w:t>
                  </w:r>
                </w:p>
              </w:tc>
              <w:tc>
                <w:tcPr>
                  <w:tcW w:w="895" w:type="dxa"/>
                </w:tcPr>
                <w:p w14:paraId="084BDDD8" w14:textId="77777777" w:rsidR="001F570F" w:rsidRPr="007C1364" w:rsidRDefault="001F570F" w:rsidP="001F570F">
                  <w:pPr>
                    <w:pStyle w:val="NoSpacing"/>
                    <w:rPr>
                      <w:lang w:val="fr-FR"/>
                    </w:rPr>
                  </w:pPr>
                </w:p>
              </w:tc>
              <w:tc>
                <w:tcPr>
                  <w:tcW w:w="810" w:type="dxa"/>
                </w:tcPr>
                <w:p w14:paraId="618A5B2B" w14:textId="77777777" w:rsidR="001F570F" w:rsidRPr="007C1364" w:rsidRDefault="001F570F" w:rsidP="001F570F">
                  <w:pPr>
                    <w:pStyle w:val="NoSpacing"/>
                    <w:rPr>
                      <w:lang w:val="fr-FR"/>
                    </w:rPr>
                  </w:pPr>
                </w:p>
              </w:tc>
              <w:tc>
                <w:tcPr>
                  <w:tcW w:w="810" w:type="dxa"/>
                </w:tcPr>
                <w:p w14:paraId="13D86733" w14:textId="77777777" w:rsidR="001F570F" w:rsidRPr="007C1364" w:rsidRDefault="001F570F" w:rsidP="001F570F">
                  <w:pPr>
                    <w:pStyle w:val="NoSpacing"/>
                    <w:rPr>
                      <w:lang w:val="fr-FR"/>
                    </w:rPr>
                  </w:pPr>
                  <w:r w:rsidRPr="007C1364">
                    <w:rPr>
                      <w:lang w:val="fr-FR"/>
                    </w:rPr>
                    <w:t>X</w:t>
                  </w:r>
                </w:p>
              </w:tc>
              <w:tc>
                <w:tcPr>
                  <w:tcW w:w="1191" w:type="dxa"/>
                </w:tcPr>
                <w:p w14:paraId="6FFBDC8D" w14:textId="77777777" w:rsidR="001F570F" w:rsidRPr="007C1364" w:rsidRDefault="001F570F" w:rsidP="001F570F">
                  <w:pPr>
                    <w:pStyle w:val="NoSpacing"/>
                    <w:rPr>
                      <w:lang w:val="fr-FR"/>
                    </w:rPr>
                  </w:pPr>
                </w:p>
              </w:tc>
            </w:tr>
            <w:tr w:rsidR="001F570F" w:rsidRPr="007C1364" w14:paraId="288C152D" w14:textId="77777777" w:rsidTr="00A64F0D">
              <w:tc>
                <w:tcPr>
                  <w:tcW w:w="5315" w:type="dxa"/>
                </w:tcPr>
                <w:p w14:paraId="08027274" w14:textId="77777777" w:rsidR="001F570F" w:rsidRPr="007C1364" w:rsidRDefault="001F570F" w:rsidP="001F570F">
                  <w:pPr>
                    <w:pStyle w:val="NoSpacing"/>
                    <w:rPr>
                      <w:bCs/>
                      <w:lang w:val="fr-FR"/>
                    </w:rPr>
                  </w:pPr>
                  <w:r w:rsidRPr="007C1364">
                    <w:rPr>
                      <w:bCs/>
                      <w:lang w:val="fr-FR"/>
                    </w:rPr>
                    <w:t>Plastic ingestion by biota (e.g. birds, turtles, fish)</w:t>
                  </w:r>
                </w:p>
              </w:tc>
              <w:tc>
                <w:tcPr>
                  <w:tcW w:w="895" w:type="dxa"/>
                </w:tcPr>
                <w:p w14:paraId="60ED87A2" w14:textId="77777777" w:rsidR="001F570F" w:rsidRPr="007C1364" w:rsidRDefault="001F570F" w:rsidP="001F570F">
                  <w:pPr>
                    <w:pStyle w:val="NoSpacing"/>
                    <w:rPr>
                      <w:lang w:val="fr-FR"/>
                    </w:rPr>
                  </w:pPr>
                </w:p>
              </w:tc>
              <w:tc>
                <w:tcPr>
                  <w:tcW w:w="810" w:type="dxa"/>
                </w:tcPr>
                <w:p w14:paraId="1379343C" w14:textId="77777777" w:rsidR="001F570F" w:rsidRPr="007C1364" w:rsidRDefault="001F570F" w:rsidP="001F570F">
                  <w:pPr>
                    <w:pStyle w:val="NoSpacing"/>
                    <w:rPr>
                      <w:lang w:val="fr-FR"/>
                    </w:rPr>
                  </w:pPr>
                </w:p>
              </w:tc>
              <w:tc>
                <w:tcPr>
                  <w:tcW w:w="810" w:type="dxa"/>
                </w:tcPr>
                <w:p w14:paraId="2BD5A83B" w14:textId="77777777" w:rsidR="001F570F" w:rsidRPr="007C1364" w:rsidRDefault="001F570F" w:rsidP="001F570F">
                  <w:pPr>
                    <w:pStyle w:val="NoSpacing"/>
                    <w:rPr>
                      <w:lang w:val="fr-FR"/>
                    </w:rPr>
                  </w:pPr>
                  <w:r w:rsidRPr="007C1364">
                    <w:rPr>
                      <w:lang w:val="fr-FR"/>
                    </w:rPr>
                    <w:t>X</w:t>
                  </w:r>
                </w:p>
              </w:tc>
              <w:tc>
                <w:tcPr>
                  <w:tcW w:w="1191" w:type="dxa"/>
                </w:tcPr>
                <w:p w14:paraId="3EA3AF62" w14:textId="77777777" w:rsidR="001F570F" w:rsidRPr="007C1364" w:rsidRDefault="001F570F" w:rsidP="001F570F">
                  <w:pPr>
                    <w:pStyle w:val="NoSpacing"/>
                    <w:rPr>
                      <w:lang w:val="fr-FR"/>
                    </w:rPr>
                  </w:pPr>
                </w:p>
              </w:tc>
            </w:tr>
            <w:tr w:rsidR="001F570F" w:rsidRPr="007C1364" w14:paraId="2875D060" w14:textId="77777777" w:rsidTr="00A64F0D">
              <w:tc>
                <w:tcPr>
                  <w:tcW w:w="5315" w:type="dxa"/>
                </w:tcPr>
                <w:p w14:paraId="21151945" w14:textId="77777777" w:rsidR="001F570F" w:rsidRPr="007C1364" w:rsidRDefault="001F570F" w:rsidP="001F570F">
                  <w:pPr>
                    <w:pStyle w:val="NoSpacing"/>
                    <w:rPr>
                      <w:bCs/>
                      <w:lang w:val="fr-FR"/>
                    </w:rPr>
                  </w:pPr>
                  <w:r w:rsidRPr="007C1364">
                    <w:rPr>
                      <w:bCs/>
                      <w:lang w:val="fr-FR"/>
                    </w:rPr>
                    <w:t>Plastic litter in nests</w:t>
                  </w:r>
                </w:p>
              </w:tc>
              <w:tc>
                <w:tcPr>
                  <w:tcW w:w="895" w:type="dxa"/>
                </w:tcPr>
                <w:p w14:paraId="41772F34" w14:textId="77777777" w:rsidR="001F570F" w:rsidRPr="007C1364" w:rsidRDefault="001F570F" w:rsidP="001F570F">
                  <w:pPr>
                    <w:pStyle w:val="NoSpacing"/>
                    <w:rPr>
                      <w:lang w:val="fr-FR"/>
                    </w:rPr>
                  </w:pPr>
                </w:p>
              </w:tc>
              <w:tc>
                <w:tcPr>
                  <w:tcW w:w="810" w:type="dxa"/>
                </w:tcPr>
                <w:p w14:paraId="145AAE24" w14:textId="77777777" w:rsidR="001F570F" w:rsidRPr="007C1364" w:rsidRDefault="001F570F" w:rsidP="001F570F">
                  <w:pPr>
                    <w:pStyle w:val="NoSpacing"/>
                    <w:rPr>
                      <w:lang w:val="fr-FR"/>
                    </w:rPr>
                  </w:pPr>
                </w:p>
              </w:tc>
              <w:tc>
                <w:tcPr>
                  <w:tcW w:w="810" w:type="dxa"/>
                </w:tcPr>
                <w:p w14:paraId="75D76328" w14:textId="77777777" w:rsidR="001F570F" w:rsidRPr="007C1364" w:rsidRDefault="001F570F" w:rsidP="001F570F">
                  <w:pPr>
                    <w:pStyle w:val="NoSpacing"/>
                    <w:rPr>
                      <w:lang w:val="fr-FR"/>
                    </w:rPr>
                  </w:pPr>
                  <w:r w:rsidRPr="007C1364">
                    <w:rPr>
                      <w:lang w:val="fr-FR"/>
                    </w:rPr>
                    <w:t>X</w:t>
                  </w:r>
                </w:p>
              </w:tc>
              <w:tc>
                <w:tcPr>
                  <w:tcW w:w="1191" w:type="dxa"/>
                </w:tcPr>
                <w:p w14:paraId="6303EBB1" w14:textId="77777777" w:rsidR="001F570F" w:rsidRPr="007C1364" w:rsidRDefault="001F570F" w:rsidP="001F570F">
                  <w:pPr>
                    <w:pStyle w:val="NoSpacing"/>
                    <w:rPr>
                      <w:lang w:val="fr-FR"/>
                    </w:rPr>
                  </w:pPr>
                </w:p>
              </w:tc>
            </w:tr>
            <w:tr w:rsidR="001F570F" w:rsidRPr="007C1364" w14:paraId="39856A12" w14:textId="77777777" w:rsidTr="00A64F0D">
              <w:tc>
                <w:tcPr>
                  <w:tcW w:w="5315" w:type="dxa"/>
                </w:tcPr>
                <w:p w14:paraId="4AC7BC01" w14:textId="77777777" w:rsidR="001F570F" w:rsidRPr="007C1364" w:rsidRDefault="001F570F" w:rsidP="001F570F">
                  <w:pPr>
                    <w:pStyle w:val="NoSpacing"/>
                    <w:rPr>
                      <w:bCs/>
                      <w:lang w:val="fr-FR"/>
                    </w:rPr>
                  </w:pPr>
                  <w:r w:rsidRPr="007C1364">
                    <w:rPr>
                      <w:bCs/>
                      <w:lang w:val="fr-FR"/>
                    </w:rPr>
                    <w:t>Entanglement (e.g. marine mammals, birds)</w:t>
                  </w:r>
                </w:p>
              </w:tc>
              <w:tc>
                <w:tcPr>
                  <w:tcW w:w="895" w:type="dxa"/>
                </w:tcPr>
                <w:p w14:paraId="6B8456FD" w14:textId="77777777" w:rsidR="001F570F" w:rsidRPr="007C1364" w:rsidRDefault="001F570F" w:rsidP="001F570F">
                  <w:pPr>
                    <w:pStyle w:val="NoSpacing"/>
                    <w:rPr>
                      <w:lang w:val="fr-FR"/>
                    </w:rPr>
                  </w:pPr>
                </w:p>
              </w:tc>
              <w:tc>
                <w:tcPr>
                  <w:tcW w:w="810" w:type="dxa"/>
                </w:tcPr>
                <w:p w14:paraId="4F0A25F0" w14:textId="77777777" w:rsidR="001F570F" w:rsidRPr="007C1364" w:rsidRDefault="001F570F" w:rsidP="001F570F">
                  <w:pPr>
                    <w:pStyle w:val="NoSpacing"/>
                    <w:rPr>
                      <w:lang w:val="fr-FR"/>
                    </w:rPr>
                  </w:pPr>
                </w:p>
              </w:tc>
              <w:tc>
                <w:tcPr>
                  <w:tcW w:w="810" w:type="dxa"/>
                </w:tcPr>
                <w:p w14:paraId="535E561B" w14:textId="77777777" w:rsidR="001F570F" w:rsidRPr="007C1364" w:rsidRDefault="001F570F" w:rsidP="001F570F">
                  <w:pPr>
                    <w:pStyle w:val="NoSpacing"/>
                    <w:rPr>
                      <w:lang w:val="fr-FR"/>
                    </w:rPr>
                  </w:pPr>
                  <w:r w:rsidRPr="007C1364">
                    <w:rPr>
                      <w:lang w:val="fr-FR"/>
                    </w:rPr>
                    <w:t>X</w:t>
                  </w:r>
                </w:p>
              </w:tc>
              <w:tc>
                <w:tcPr>
                  <w:tcW w:w="1191" w:type="dxa"/>
                </w:tcPr>
                <w:p w14:paraId="651A358E" w14:textId="77777777" w:rsidR="001F570F" w:rsidRPr="007C1364" w:rsidRDefault="001F570F" w:rsidP="001F570F">
                  <w:pPr>
                    <w:pStyle w:val="NoSpacing"/>
                    <w:rPr>
                      <w:lang w:val="fr-FR"/>
                    </w:rPr>
                  </w:pPr>
                </w:p>
              </w:tc>
            </w:tr>
            <w:tr w:rsidR="001F570F" w:rsidRPr="007C1364" w14:paraId="0F44986E" w14:textId="77777777" w:rsidTr="00A64F0D">
              <w:tc>
                <w:tcPr>
                  <w:tcW w:w="5315" w:type="dxa"/>
                </w:tcPr>
                <w:p w14:paraId="4E42F414" w14:textId="77777777" w:rsidR="001F570F" w:rsidRPr="007C1364" w:rsidRDefault="001F570F" w:rsidP="001F570F">
                  <w:pPr>
                    <w:pStyle w:val="NoSpacing"/>
                    <w:rPr>
                      <w:bCs/>
                      <w:lang w:val="fr-FR"/>
                    </w:rPr>
                  </w:pPr>
                  <w:r w:rsidRPr="007C1364">
                    <w:rPr>
                      <w:bCs/>
                      <w:lang w:val="fr-FR"/>
                    </w:rPr>
                    <w:t>Plastic pollution potential (based on the use and landfilling of plastics)</w:t>
                  </w:r>
                </w:p>
              </w:tc>
              <w:tc>
                <w:tcPr>
                  <w:tcW w:w="895" w:type="dxa"/>
                </w:tcPr>
                <w:p w14:paraId="799A7E4D" w14:textId="77777777" w:rsidR="001F570F" w:rsidRPr="007C1364" w:rsidRDefault="001F570F" w:rsidP="001F570F">
                  <w:pPr>
                    <w:pStyle w:val="NoSpacing"/>
                    <w:rPr>
                      <w:lang w:val="fr-FR"/>
                    </w:rPr>
                  </w:pPr>
                </w:p>
              </w:tc>
              <w:tc>
                <w:tcPr>
                  <w:tcW w:w="810" w:type="dxa"/>
                </w:tcPr>
                <w:p w14:paraId="36EC446A" w14:textId="77777777" w:rsidR="001F570F" w:rsidRPr="007C1364" w:rsidRDefault="001F570F" w:rsidP="001F570F">
                  <w:pPr>
                    <w:pStyle w:val="NoSpacing"/>
                    <w:rPr>
                      <w:lang w:val="fr-FR"/>
                    </w:rPr>
                  </w:pPr>
                </w:p>
              </w:tc>
              <w:tc>
                <w:tcPr>
                  <w:tcW w:w="810" w:type="dxa"/>
                </w:tcPr>
                <w:p w14:paraId="2109547A" w14:textId="77777777" w:rsidR="001F570F" w:rsidRPr="007C1364" w:rsidRDefault="001F570F" w:rsidP="001F570F">
                  <w:pPr>
                    <w:pStyle w:val="NoSpacing"/>
                    <w:rPr>
                      <w:lang w:val="fr-FR"/>
                    </w:rPr>
                  </w:pPr>
                  <w:r w:rsidRPr="007C1364">
                    <w:rPr>
                      <w:lang w:val="fr-FR"/>
                    </w:rPr>
                    <w:t>X</w:t>
                  </w:r>
                </w:p>
              </w:tc>
              <w:tc>
                <w:tcPr>
                  <w:tcW w:w="1191" w:type="dxa"/>
                </w:tcPr>
                <w:p w14:paraId="7DFA881C" w14:textId="77777777" w:rsidR="001F570F" w:rsidRPr="007C1364" w:rsidRDefault="001F570F" w:rsidP="001F570F">
                  <w:pPr>
                    <w:pStyle w:val="NoSpacing"/>
                    <w:rPr>
                      <w:lang w:val="fr-FR"/>
                    </w:rPr>
                  </w:pPr>
                </w:p>
              </w:tc>
            </w:tr>
            <w:tr w:rsidR="001F570F" w:rsidRPr="007C1364" w14:paraId="631EDA82" w14:textId="77777777" w:rsidTr="00A64F0D">
              <w:tc>
                <w:tcPr>
                  <w:tcW w:w="5315" w:type="dxa"/>
                </w:tcPr>
                <w:p w14:paraId="559869FC" w14:textId="77777777" w:rsidR="001F570F" w:rsidRPr="007C1364" w:rsidRDefault="001F570F" w:rsidP="001F570F">
                  <w:pPr>
                    <w:pStyle w:val="NoSpacing"/>
                    <w:rPr>
                      <w:bCs/>
                      <w:lang w:val="fr-FR"/>
                    </w:rPr>
                  </w:pPr>
                  <w:r w:rsidRPr="007C1364">
                    <w:rPr>
                      <w:bCs/>
                      <w:lang w:val="fr-FR"/>
                    </w:rPr>
                    <w:t>River litter</w:t>
                  </w:r>
                </w:p>
              </w:tc>
              <w:tc>
                <w:tcPr>
                  <w:tcW w:w="895" w:type="dxa"/>
                </w:tcPr>
                <w:p w14:paraId="5326C0F6" w14:textId="77777777" w:rsidR="001F570F" w:rsidRPr="007C1364" w:rsidRDefault="001F570F" w:rsidP="001F570F">
                  <w:pPr>
                    <w:pStyle w:val="NoSpacing"/>
                    <w:rPr>
                      <w:lang w:val="fr-FR"/>
                    </w:rPr>
                  </w:pPr>
                </w:p>
              </w:tc>
              <w:tc>
                <w:tcPr>
                  <w:tcW w:w="810" w:type="dxa"/>
                </w:tcPr>
                <w:p w14:paraId="10C58419" w14:textId="77777777" w:rsidR="001F570F" w:rsidRPr="007C1364" w:rsidRDefault="001F570F" w:rsidP="001F570F">
                  <w:pPr>
                    <w:pStyle w:val="NoSpacing"/>
                    <w:rPr>
                      <w:lang w:val="fr-FR"/>
                    </w:rPr>
                  </w:pPr>
                </w:p>
              </w:tc>
              <w:tc>
                <w:tcPr>
                  <w:tcW w:w="810" w:type="dxa"/>
                </w:tcPr>
                <w:p w14:paraId="046967B0" w14:textId="77777777" w:rsidR="001F570F" w:rsidRPr="007C1364" w:rsidRDefault="001F570F" w:rsidP="001F570F">
                  <w:pPr>
                    <w:pStyle w:val="NoSpacing"/>
                    <w:rPr>
                      <w:lang w:val="fr-FR"/>
                    </w:rPr>
                  </w:pPr>
                  <w:r w:rsidRPr="007C1364">
                    <w:rPr>
                      <w:lang w:val="fr-FR"/>
                    </w:rPr>
                    <w:t>X</w:t>
                  </w:r>
                </w:p>
              </w:tc>
              <w:tc>
                <w:tcPr>
                  <w:tcW w:w="1191" w:type="dxa"/>
                </w:tcPr>
                <w:p w14:paraId="5ABB6BAE" w14:textId="77777777" w:rsidR="001F570F" w:rsidRPr="007C1364" w:rsidRDefault="001F570F" w:rsidP="001F570F">
                  <w:pPr>
                    <w:pStyle w:val="NoSpacing"/>
                    <w:rPr>
                      <w:lang w:val="fr-FR"/>
                    </w:rPr>
                  </w:pPr>
                </w:p>
              </w:tc>
            </w:tr>
            <w:tr w:rsidR="001F570F" w:rsidRPr="007C1364" w14:paraId="09056354" w14:textId="77777777" w:rsidTr="00A64F0D">
              <w:tc>
                <w:tcPr>
                  <w:tcW w:w="5315" w:type="dxa"/>
                </w:tcPr>
                <w:p w14:paraId="31B1A770" w14:textId="77777777" w:rsidR="001F570F" w:rsidRPr="007C1364" w:rsidRDefault="001F570F" w:rsidP="001F570F">
                  <w:pPr>
                    <w:pStyle w:val="NoSpacing"/>
                    <w:rPr>
                      <w:bCs/>
                      <w:lang w:val="fr-FR"/>
                    </w:rPr>
                  </w:pPr>
                  <w:r w:rsidRPr="007C1364">
                    <w:rPr>
                      <w:bCs/>
                      <w:lang w:val="fr-FR"/>
                    </w:rPr>
                    <w:t>Other parameters related to plastic consumption and recycling</w:t>
                  </w:r>
                </w:p>
              </w:tc>
              <w:tc>
                <w:tcPr>
                  <w:tcW w:w="895" w:type="dxa"/>
                </w:tcPr>
                <w:p w14:paraId="077130FC" w14:textId="77777777" w:rsidR="001F570F" w:rsidRPr="007C1364" w:rsidRDefault="001F570F" w:rsidP="001F570F">
                  <w:pPr>
                    <w:pStyle w:val="NoSpacing"/>
                    <w:rPr>
                      <w:lang w:val="fr-FR"/>
                    </w:rPr>
                  </w:pPr>
                </w:p>
              </w:tc>
              <w:tc>
                <w:tcPr>
                  <w:tcW w:w="810" w:type="dxa"/>
                </w:tcPr>
                <w:p w14:paraId="1C70D6FE" w14:textId="77777777" w:rsidR="001F570F" w:rsidRPr="007C1364" w:rsidRDefault="001F570F" w:rsidP="001F570F">
                  <w:pPr>
                    <w:pStyle w:val="NoSpacing"/>
                    <w:rPr>
                      <w:lang w:val="fr-FR"/>
                    </w:rPr>
                  </w:pPr>
                </w:p>
              </w:tc>
              <w:tc>
                <w:tcPr>
                  <w:tcW w:w="810" w:type="dxa"/>
                </w:tcPr>
                <w:p w14:paraId="2FF47E87" w14:textId="77777777" w:rsidR="001F570F" w:rsidRPr="007C1364" w:rsidRDefault="001F570F" w:rsidP="001F570F">
                  <w:pPr>
                    <w:pStyle w:val="NoSpacing"/>
                    <w:rPr>
                      <w:lang w:val="fr-FR"/>
                    </w:rPr>
                  </w:pPr>
                  <w:r w:rsidRPr="007C1364">
                    <w:rPr>
                      <w:lang w:val="fr-FR"/>
                    </w:rPr>
                    <w:t>X</w:t>
                  </w:r>
                </w:p>
              </w:tc>
              <w:tc>
                <w:tcPr>
                  <w:tcW w:w="1191" w:type="dxa"/>
                </w:tcPr>
                <w:p w14:paraId="51A6D9FB" w14:textId="77777777" w:rsidR="001F570F" w:rsidRPr="007C1364" w:rsidRDefault="001F570F" w:rsidP="001F570F">
                  <w:pPr>
                    <w:pStyle w:val="NoSpacing"/>
                    <w:rPr>
                      <w:lang w:val="fr-FR"/>
                    </w:rPr>
                  </w:pPr>
                </w:p>
              </w:tc>
            </w:tr>
            <w:tr w:rsidR="001F570F" w:rsidRPr="007C1364" w14:paraId="286FC4DF" w14:textId="77777777" w:rsidTr="00A64F0D">
              <w:tc>
                <w:tcPr>
                  <w:tcW w:w="5315" w:type="dxa"/>
                </w:tcPr>
                <w:p w14:paraId="2EC04BA2" w14:textId="77777777" w:rsidR="001F570F" w:rsidRPr="007C1364" w:rsidRDefault="001F570F" w:rsidP="001F570F">
                  <w:pPr>
                    <w:pStyle w:val="NoSpacing"/>
                    <w:rPr>
                      <w:bCs/>
                      <w:lang w:val="fr-FR"/>
                    </w:rPr>
                  </w:pPr>
                  <w:r w:rsidRPr="007C1364">
                    <w:rPr>
                      <w:bCs/>
                      <w:lang w:val="fr-FR"/>
                    </w:rPr>
                    <w:t>Health indicators (human health and ecosystem health)</w:t>
                  </w:r>
                </w:p>
              </w:tc>
              <w:tc>
                <w:tcPr>
                  <w:tcW w:w="895" w:type="dxa"/>
                </w:tcPr>
                <w:p w14:paraId="22224F95" w14:textId="77777777" w:rsidR="001F570F" w:rsidRPr="007C1364" w:rsidRDefault="001F570F" w:rsidP="001F570F">
                  <w:pPr>
                    <w:pStyle w:val="NoSpacing"/>
                    <w:rPr>
                      <w:lang w:val="fr-FR"/>
                    </w:rPr>
                  </w:pPr>
                </w:p>
              </w:tc>
              <w:tc>
                <w:tcPr>
                  <w:tcW w:w="810" w:type="dxa"/>
                </w:tcPr>
                <w:p w14:paraId="1953D6C8" w14:textId="77777777" w:rsidR="001F570F" w:rsidRPr="007C1364" w:rsidRDefault="001F570F" w:rsidP="001F570F">
                  <w:pPr>
                    <w:pStyle w:val="NoSpacing"/>
                    <w:rPr>
                      <w:lang w:val="fr-FR"/>
                    </w:rPr>
                  </w:pPr>
                </w:p>
              </w:tc>
              <w:tc>
                <w:tcPr>
                  <w:tcW w:w="810" w:type="dxa"/>
                </w:tcPr>
                <w:p w14:paraId="40636D5B" w14:textId="77777777" w:rsidR="001F570F" w:rsidRPr="007C1364" w:rsidRDefault="001F570F" w:rsidP="001F570F">
                  <w:pPr>
                    <w:pStyle w:val="NoSpacing"/>
                    <w:rPr>
                      <w:lang w:val="fr-FR"/>
                    </w:rPr>
                  </w:pPr>
                  <w:r w:rsidRPr="007C1364">
                    <w:rPr>
                      <w:lang w:val="fr-FR"/>
                    </w:rPr>
                    <w:t>X</w:t>
                  </w:r>
                </w:p>
              </w:tc>
              <w:tc>
                <w:tcPr>
                  <w:tcW w:w="1191" w:type="dxa"/>
                </w:tcPr>
                <w:p w14:paraId="41670676" w14:textId="77777777" w:rsidR="001F570F" w:rsidRPr="007C1364" w:rsidRDefault="001F570F" w:rsidP="001F570F">
                  <w:pPr>
                    <w:pStyle w:val="NoSpacing"/>
                    <w:rPr>
                      <w:lang w:val="fr-FR"/>
                    </w:rPr>
                  </w:pPr>
                </w:p>
              </w:tc>
            </w:tr>
          </w:tbl>
          <w:p w14:paraId="62E056FB" w14:textId="77777777" w:rsidR="001F570F" w:rsidRPr="007C1364" w:rsidRDefault="001F570F" w:rsidP="001F570F">
            <w:pPr>
              <w:pStyle w:val="NoSpacing"/>
              <w:rPr>
                <w:lang w:val="en-GB"/>
              </w:rPr>
            </w:pPr>
          </w:p>
          <w:p w14:paraId="5375CF52" w14:textId="77777777" w:rsidR="001F570F" w:rsidRPr="007C1364" w:rsidRDefault="001F570F" w:rsidP="001F570F">
            <w:pPr>
              <w:pStyle w:val="NoSpacing"/>
              <w:rPr>
                <w:lang w:val="en-GB"/>
              </w:rPr>
            </w:pPr>
          </w:p>
          <w:p w14:paraId="699F6B75" w14:textId="77777777" w:rsidR="001F570F" w:rsidRPr="007C1364" w:rsidRDefault="001F570F" w:rsidP="001F570F">
            <w:pPr>
              <w:pStyle w:val="NoSpacing"/>
              <w:rPr>
                <w:lang w:val="en-GB"/>
              </w:rPr>
            </w:pPr>
            <w:r w:rsidRPr="007C1364">
              <w:rPr>
                <w:lang w:val="en-GB"/>
              </w:rPr>
              <w:t>A full methodology for this indicator is available in the document entitled, “Global Manual on Ocean Statistics for Measuring SDG 14.1.1, 14.2.1 and 14.5.1”.</w:t>
            </w:r>
          </w:p>
          <w:p w14:paraId="23EA4C36" w14:textId="77777777" w:rsidR="001F570F" w:rsidRPr="007C1364" w:rsidRDefault="001F570F" w:rsidP="001F570F">
            <w:pPr>
              <w:pStyle w:val="NoSpacing"/>
              <w:rPr>
                <w:bCs/>
                <w:lang w:val="en-GB"/>
              </w:rPr>
            </w:pPr>
          </w:p>
          <w:p w14:paraId="6E7A6BE3" w14:textId="77777777" w:rsidR="001F570F" w:rsidRPr="007C1364" w:rsidRDefault="001F570F" w:rsidP="001F570F">
            <w:pPr>
              <w:pStyle w:val="NoSpacing"/>
              <w:rPr>
                <w:b/>
                <w:bCs/>
                <w:lang w:val="en-GB"/>
              </w:rPr>
            </w:pPr>
            <w:r w:rsidRPr="007C1364">
              <w:rPr>
                <w:b/>
                <w:bCs/>
                <w:lang w:val="en-GB"/>
              </w:rPr>
              <w:t>Concepts:</w:t>
            </w:r>
          </w:p>
          <w:p w14:paraId="6989CD1D" w14:textId="77777777" w:rsidR="001F570F" w:rsidRPr="007C1364" w:rsidRDefault="001F570F" w:rsidP="001F570F">
            <w:pPr>
              <w:pStyle w:val="NoSpacing"/>
              <w:rPr>
                <w:lang w:val="en-GB"/>
              </w:rPr>
            </w:pPr>
            <w:r w:rsidRPr="007C1364">
              <w:rPr>
                <w:lang w:val="en-GB"/>
              </w:rPr>
              <w:t>Eutrophication – excess nutrient loading into coastal environments from anthropogenic sources, resulting in excessive growth of plants, algae and phytoplankton.</w:t>
            </w:r>
          </w:p>
          <w:p w14:paraId="668EAFDE" w14:textId="77777777" w:rsidR="001F570F" w:rsidRPr="007C1364" w:rsidRDefault="001F570F" w:rsidP="001F570F">
            <w:pPr>
              <w:pStyle w:val="NoSpacing"/>
              <w:rPr>
                <w:lang w:val="en-GB"/>
              </w:rPr>
            </w:pPr>
            <w:r w:rsidRPr="007C1364">
              <w:rPr>
                <w:lang w:val="en-GB"/>
              </w:rPr>
              <w:t xml:space="preserve">Coastal Zone – national Exclusive Economic Zone (EEZ) (200 nautical miles from the coast) as outlined by the United Nations Convention on the Law of the Sea.   </w:t>
            </w:r>
          </w:p>
          <w:p w14:paraId="0AFDCBCA" w14:textId="77777777" w:rsidR="001F570F" w:rsidRPr="007C1364" w:rsidRDefault="001F570F" w:rsidP="001F570F">
            <w:pPr>
              <w:pStyle w:val="NoSpacing"/>
              <w:rPr>
                <w:lang w:val="en-GB"/>
              </w:rPr>
            </w:pPr>
            <w:r w:rsidRPr="007C1364">
              <w:rPr>
                <w:lang w:val="en-GB"/>
              </w:rPr>
              <w:t>Marine litter - any persistent, manufactured or processed solid material which is lost or discarded and ends up in the marine and coastal environment.</w:t>
            </w:r>
          </w:p>
          <w:p w14:paraId="457FCCB0" w14:textId="77777777" w:rsidR="001F570F" w:rsidRPr="007C1364" w:rsidRDefault="001F570F" w:rsidP="001F570F">
            <w:pPr>
              <w:pStyle w:val="NoSpacing"/>
              <w:rPr>
                <w:lang w:val="en-IE"/>
              </w:rPr>
            </w:pPr>
          </w:p>
          <w:p w14:paraId="52DC60A4" w14:textId="77777777" w:rsidR="001F570F" w:rsidRPr="007C1364" w:rsidRDefault="001F570F" w:rsidP="001F570F">
            <w:pPr>
              <w:pStyle w:val="NoSpacing"/>
              <w:rPr>
                <w:b/>
                <w:bCs/>
                <w:lang w:val="en-GB"/>
              </w:rPr>
            </w:pPr>
            <w:r w:rsidRPr="007C1364">
              <w:rPr>
                <w:b/>
                <w:bCs/>
                <w:lang w:val="en-GB"/>
              </w:rPr>
              <w:t xml:space="preserve">Comments and limitations: </w:t>
            </w:r>
          </w:p>
          <w:p w14:paraId="6B745236" w14:textId="77777777" w:rsidR="001F570F" w:rsidRPr="007C1364" w:rsidRDefault="001F570F" w:rsidP="001F570F">
            <w:pPr>
              <w:pStyle w:val="NoSpacing"/>
              <w:rPr>
                <w:lang w:val="en-GB"/>
              </w:rPr>
            </w:pPr>
            <w:r w:rsidRPr="007C1364">
              <w:rPr>
                <w:lang w:val="en-GB"/>
              </w:rPr>
              <w:t xml:space="preserve">This methodology mobilizes the collection of widely available earth observation data and other data sources which will </w:t>
            </w:r>
            <w:r w:rsidRPr="007C1364">
              <w:rPr>
                <w:lang w:val="en-GB"/>
              </w:rPr>
              <w:lastRenderedPageBreak/>
              <w:t>be validated by countries. The methodologies used to generate this data are technical in nature. The methodology employs internationally recognized methods, from expert communities such as the Group on Earth Observation (GEO) and international space agencies and technical experts. There is a need to provide training on these indicators over time.</w:t>
            </w:r>
          </w:p>
          <w:p w14:paraId="6882CB44" w14:textId="77777777" w:rsidR="001F570F" w:rsidRPr="007C1364" w:rsidRDefault="001F570F" w:rsidP="001F570F">
            <w:pPr>
              <w:pStyle w:val="NoSpacing"/>
              <w:rPr>
                <w:lang w:val="en-GB"/>
              </w:rPr>
            </w:pPr>
            <w:r w:rsidRPr="007C1364">
              <w:rPr>
                <w:lang w:val="en-GB"/>
              </w:rPr>
              <w:t xml:space="preserve"> </w:t>
            </w:r>
          </w:p>
          <w:p w14:paraId="7CBCCE09" w14:textId="77777777" w:rsidR="001F570F" w:rsidRPr="007C1364" w:rsidRDefault="001F570F" w:rsidP="001F570F">
            <w:pPr>
              <w:pStyle w:val="NoSpacing"/>
              <w:rPr>
                <w:lang w:val="en-GB"/>
              </w:rPr>
            </w:pPr>
            <w:r w:rsidRPr="007C1364">
              <w:rPr>
                <w:lang w:val="en-GB"/>
              </w:rPr>
              <w:t>The Indicator is designed in a way to generate data to allow informed decision making towards identifying the state of pollution and pollution flows in oceans. It is assumed that countries would use the data to actively make decisions, but as oceans are transboundary, it makes this decision-making complex. Additionally, there is a need to consider data on pollution generation and waste in conjunction with these indicators.</w:t>
            </w:r>
          </w:p>
          <w:p w14:paraId="72392368" w14:textId="77777777" w:rsidR="001F570F" w:rsidRPr="007C1364" w:rsidRDefault="001F570F" w:rsidP="001F570F">
            <w:pPr>
              <w:pStyle w:val="NoSpacing"/>
              <w:rPr>
                <w:lang w:val="en-GB"/>
              </w:rPr>
            </w:pPr>
          </w:p>
          <w:p w14:paraId="15103B9A" w14:textId="77777777" w:rsidR="001F570F" w:rsidRPr="007C1364" w:rsidRDefault="001F570F" w:rsidP="001F570F">
            <w:pPr>
              <w:pStyle w:val="NoSpacing"/>
              <w:rPr>
                <w:b/>
                <w:bCs/>
                <w:lang w:val="en-GB"/>
              </w:rPr>
            </w:pPr>
            <w:r w:rsidRPr="007C1364">
              <w:rPr>
                <w:b/>
                <w:bCs/>
                <w:lang w:val="en-GB"/>
              </w:rPr>
              <w:t xml:space="preserve">Computation Method </w:t>
            </w:r>
          </w:p>
          <w:p w14:paraId="2ACB4F4D" w14:textId="77777777" w:rsidR="001F570F" w:rsidRPr="007C1364" w:rsidRDefault="001F570F" w:rsidP="001F570F">
            <w:pPr>
              <w:pStyle w:val="NoSpacing"/>
              <w:rPr>
                <w:lang w:val="en-GB"/>
              </w:rPr>
            </w:pPr>
            <w:r w:rsidRPr="007C1364">
              <w:rPr>
                <w:lang w:val="en-GB"/>
              </w:rPr>
              <w:t>A full methodology for this indicator is available in the document entitled, “Global Manual on Ocean Statistics for Measuring SDG 14.1.1, 14.2.1 and 14.5.1”.</w:t>
            </w:r>
          </w:p>
          <w:p w14:paraId="54ADF3F8" w14:textId="77777777" w:rsidR="001F570F" w:rsidRPr="007C1364" w:rsidRDefault="001F570F" w:rsidP="001F570F">
            <w:pPr>
              <w:pStyle w:val="NoSpacing"/>
              <w:rPr>
                <w:b/>
                <w:bCs/>
                <w:lang w:val="en-GB"/>
              </w:rPr>
            </w:pPr>
          </w:p>
          <w:p w14:paraId="3075575F" w14:textId="77777777" w:rsidR="001F570F" w:rsidRPr="007C1364" w:rsidRDefault="001F570F" w:rsidP="001F570F">
            <w:pPr>
              <w:pStyle w:val="NoSpacing"/>
              <w:rPr>
                <w:b/>
                <w:bCs/>
                <w:lang w:val="en-GB"/>
              </w:rPr>
            </w:pPr>
            <w:r w:rsidRPr="007C1364">
              <w:rPr>
                <w:b/>
                <w:bCs/>
                <w:lang w:val="en-GB"/>
              </w:rPr>
              <w:t>For 14.1.1a:</w:t>
            </w:r>
          </w:p>
          <w:p w14:paraId="20A5AF08" w14:textId="77777777" w:rsidR="001F570F" w:rsidRPr="007C1364" w:rsidRDefault="001F570F" w:rsidP="001F570F">
            <w:pPr>
              <w:pStyle w:val="NoSpacing"/>
              <w:rPr>
                <w:b/>
                <w:bCs/>
                <w:i/>
                <w:iCs/>
                <w:lang w:val="en-GB"/>
              </w:rPr>
            </w:pPr>
            <w:r w:rsidRPr="007C1364">
              <w:rPr>
                <w:b/>
                <w:bCs/>
                <w:i/>
                <w:iCs/>
                <w:lang w:val="en-GB"/>
              </w:rPr>
              <w:t xml:space="preserve">Level 1: Indicator for coastal eutrophication potential </w:t>
            </w:r>
          </w:p>
          <w:p w14:paraId="0F387F61" w14:textId="77777777" w:rsidR="001F570F" w:rsidRPr="007C1364" w:rsidRDefault="001F570F" w:rsidP="001F570F">
            <w:pPr>
              <w:pStyle w:val="NoSpacing"/>
              <w:rPr>
                <w:lang w:val="en-GB"/>
              </w:rPr>
            </w:pPr>
            <w:r w:rsidRPr="007C1364">
              <w:rPr>
                <w:lang w:val="en-GB"/>
              </w:rPr>
              <w:t xml:space="preserve">The indicator for coastal eutrophication potential (ICEP), is based on loads and ratios of nitrogen, phosphorus and silica delivered by rivers to coastal waters. This indicator assumes that excess nitrogen or phosphorus relative to silica will result in increased growth of potentially harmful algae (ICEP&gt;0). This indicator is based on loads and ratios of nitrogen, phosphorous and silica delivered by rivers to coastal waters (Garnier et al. 2010) which contribute to the ICEP. The basis for these loads is collected from land-based assessments of land use including fertilizer use, population density, socioeconomic factors and other contributors to nutrient pollution runoff. Given the land-based nature of the indicator, it provides a modelled number indicating the risk of coastal eutrophication at a specific river mouthn. The indicator can be further developed by incorporating in situ monitoring to evaluate the dispersion of concentrations of nitrogen, phosphorous and silica to ground-truth the index. The indicator assumes that excess concentrations of nitrogen or phosphorus relative to silica will result in increased growth of potentially harmful algae (ICEP&gt;0). ICEP is expressed in kilograms of carbon (from algae biomass) per square kilometre of river basin area per day (kg C km-2 day-1). </w:t>
            </w:r>
          </w:p>
          <w:p w14:paraId="057B6BEE" w14:textId="77777777" w:rsidR="001F570F" w:rsidRPr="007C1364" w:rsidRDefault="001F570F" w:rsidP="001F570F">
            <w:pPr>
              <w:pStyle w:val="NoSpacing"/>
              <w:rPr>
                <w:lang w:val="en-GB"/>
              </w:rPr>
            </w:pPr>
            <w:r w:rsidRPr="007C1364">
              <w:rPr>
                <w:lang w:val="en-GB"/>
              </w:rPr>
              <w:t>The ICEP model is calculated using one of two equations depending on whether nitrogen or phosphorus is limiting. The equations (Billen and Garnier 2007) are</w:t>
            </w:r>
          </w:p>
          <w:p w14:paraId="6AE84C12" w14:textId="77777777" w:rsidR="001F570F" w:rsidRPr="007C1364" w:rsidRDefault="001F570F" w:rsidP="001F570F">
            <w:pPr>
              <w:pStyle w:val="NoSpacing"/>
              <w:rPr>
                <w:lang w:val="en-GB"/>
              </w:rPr>
            </w:pPr>
            <w:r w:rsidRPr="007C1364">
              <w:rPr>
                <w:lang w:val="en-GB"/>
              </w:rPr>
              <w:t>ICEP (N limiting) = [NFlx/(14*16)-SiFlx/(28*20)]*106*12</w:t>
            </w:r>
          </w:p>
          <w:p w14:paraId="6CBB3ABC" w14:textId="77777777" w:rsidR="001F570F" w:rsidRPr="007C1364" w:rsidRDefault="001F570F" w:rsidP="001F570F">
            <w:pPr>
              <w:pStyle w:val="NoSpacing"/>
              <w:rPr>
                <w:lang w:val="en-GB"/>
              </w:rPr>
            </w:pPr>
            <w:r w:rsidRPr="007C1364">
              <w:rPr>
                <w:lang w:val="en-GB"/>
              </w:rPr>
              <w:t xml:space="preserve">ICEP (P limiting) = [PFlx/31 – SiFlx/(28*20)]*106*12 </w:t>
            </w:r>
          </w:p>
          <w:p w14:paraId="65C92339" w14:textId="77777777" w:rsidR="001F570F" w:rsidRPr="007C1364" w:rsidRDefault="001F570F" w:rsidP="001F570F">
            <w:pPr>
              <w:pStyle w:val="NoSpacing"/>
              <w:rPr>
                <w:lang w:val="en-GB"/>
              </w:rPr>
            </w:pPr>
            <w:r w:rsidRPr="007C1364">
              <w:rPr>
                <w:lang w:val="en-GB"/>
              </w:rPr>
              <w:t xml:space="preserve">Where PFlx, NFlx and SiFlx are respectively the mean specific values of total nitrogen, total phosphorus and dissolved silica delivered at the mouth of the river basin, expressed in kg P km-2 day-1, in kg N km-2 day-1 and in kg Si km-2 day-1. </w:t>
            </w:r>
          </w:p>
          <w:p w14:paraId="70593552" w14:textId="77777777" w:rsidR="001F570F" w:rsidRPr="007C1364" w:rsidRDefault="001F570F" w:rsidP="001F570F">
            <w:pPr>
              <w:pStyle w:val="NoSpacing"/>
              <w:rPr>
                <w:b/>
                <w:bCs/>
                <w:lang w:val="en-GB"/>
              </w:rPr>
            </w:pPr>
          </w:p>
          <w:p w14:paraId="295F6F0B" w14:textId="77777777" w:rsidR="001F570F" w:rsidRPr="007C1364" w:rsidRDefault="001F570F" w:rsidP="001F570F">
            <w:pPr>
              <w:pStyle w:val="NoSpacing"/>
              <w:rPr>
                <w:b/>
                <w:bCs/>
                <w:i/>
                <w:iCs/>
                <w:lang w:val="en-GB"/>
              </w:rPr>
            </w:pPr>
            <w:r w:rsidRPr="007C1364">
              <w:rPr>
                <w:b/>
                <w:bCs/>
                <w:i/>
                <w:iCs/>
                <w:lang w:val="en-GB"/>
              </w:rPr>
              <w:t>Level 1: Chlorophyll-A deviation modelling</w:t>
            </w:r>
          </w:p>
          <w:p w14:paraId="4D33D455" w14:textId="77777777" w:rsidR="001F570F" w:rsidRPr="007C1364" w:rsidRDefault="001F570F" w:rsidP="001F570F">
            <w:pPr>
              <w:pStyle w:val="NoSpacing"/>
              <w:rPr>
                <w:lang w:val="en-GB"/>
              </w:rPr>
            </w:pPr>
            <w:r w:rsidRPr="007C1364">
              <w:rPr>
                <w:lang w:val="en-GB"/>
              </w:rPr>
              <w:t xml:space="preserve">Satellite-based assessments of ocean colour began in 1978 with the launch of the Coastal Zone Color Scanner (CZCS) </w:t>
            </w:r>
            <w:r w:rsidRPr="007C1364">
              <w:rPr>
                <w:lang w:val="en-GB"/>
              </w:rPr>
              <w:lastRenderedPageBreak/>
              <w:t>aboard the NASA Nimbus 7 satellite.  Following a decade long break in observations, there has been continuous satellite ocean colour since 1997 with SeaWiFS, followed by MERIS, MODIS (Terra, Aqua), VIIRS (NPP, N20) and now OLCI (S3-A, S3-B). Data gaps from individual sensors are common due to revisit cycles, cloud cover, and spurious retrievals resulting from a host of confounding atmospheric and aquatic conditions. This issue has been addressed by combining data from multiple sensors and creating a consistent, merged ocean colour product (e.g., chlorophyll-a).  The ESA Ocean Colour CCI (OC_CCI) project, led by the Plymouth Marine Laboratory (PML), has produced a consistent, merged chlorophyll-a product from SeaWiFS, MODIS, MERIS and VIIRS, spanning 1997 to 2018 (Sathyendranath et al., 2018).  A merged multi-sensor product will be updated in both time and with data from additional sensors (e.g., OLCI) under a forthcoming EUMETSAT initiative that will continue the time series on an operational basis.</w:t>
            </w:r>
          </w:p>
          <w:p w14:paraId="5865AAD4" w14:textId="77777777" w:rsidR="001F570F" w:rsidRPr="007C1364" w:rsidRDefault="001F570F" w:rsidP="001F570F">
            <w:pPr>
              <w:pStyle w:val="NoSpacing"/>
              <w:rPr>
                <w:lang w:val="en-GB"/>
              </w:rPr>
            </w:pPr>
            <w:r w:rsidRPr="007C1364">
              <w:rPr>
                <w:lang w:val="en-GB"/>
              </w:rPr>
              <w:t xml:space="preserve"> </w:t>
            </w:r>
          </w:p>
          <w:p w14:paraId="4F575AB6" w14:textId="77777777" w:rsidR="001F570F" w:rsidRPr="007C1364" w:rsidRDefault="001F570F" w:rsidP="001F570F">
            <w:pPr>
              <w:pStyle w:val="NoSpacing"/>
              <w:rPr>
                <w:lang w:val="en-GB"/>
              </w:rPr>
            </w:pPr>
            <w:r w:rsidRPr="007C1364">
              <w:rPr>
                <w:lang w:val="en-GB"/>
              </w:rPr>
              <w:t>For SDG 14.1.1a, Chlorophyll-a (4 km resolution, monthly products) will be derived from the OC-CCI project is generated for each individual pixel within a country’s Coastal Zone. For generation of a climatological baseline, results are averaged by month over the time period of 2000 – 2004.  The deviation will be calculated by pixel and deamed a high deviation if the magnitude is more than 50% and as an extreme deviation at more than 100%. UN Environment and GEO BluePlanet are working to produce both a high deviation and extreme deviation map. For the purpose of the SDG 14.1.1, the 50% threshold in the high deviation will be used to calculate the percentage of the national EEZ with a deviation by month. The annual average of these monthly figures will also be provided. Data on the daily anomaly rate will also be made available.</w:t>
            </w:r>
          </w:p>
          <w:p w14:paraId="653FCDD5" w14:textId="77777777" w:rsidR="001F570F" w:rsidRPr="007C1364" w:rsidRDefault="001F570F" w:rsidP="001F570F">
            <w:pPr>
              <w:pStyle w:val="NoSpacing"/>
              <w:rPr>
                <w:b/>
                <w:bCs/>
                <w:lang w:val="en-GB"/>
              </w:rPr>
            </w:pPr>
          </w:p>
          <w:p w14:paraId="5BC85CCA" w14:textId="77777777" w:rsidR="001F570F" w:rsidRPr="007C1364" w:rsidRDefault="001F570F" w:rsidP="001F570F">
            <w:pPr>
              <w:pStyle w:val="NoSpacing"/>
              <w:rPr>
                <w:b/>
                <w:bCs/>
                <w:i/>
                <w:iCs/>
                <w:lang w:val="en-GB"/>
              </w:rPr>
            </w:pPr>
            <w:r w:rsidRPr="007C1364">
              <w:rPr>
                <w:b/>
                <w:bCs/>
                <w:i/>
                <w:iCs/>
                <w:lang w:val="en-GB"/>
              </w:rPr>
              <w:t>Level 2: In situ monitoring of nutrients</w:t>
            </w:r>
          </w:p>
          <w:p w14:paraId="309C8740" w14:textId="77777777" w:rsidR="001F570F" w:rsidRPr="007C1364" w:rsidRDefault="001F570F" w:rsidP="001F570F">
            <w:pPr>
              <w:pStyle w:val="NoSpacing"/>
              <w:rPr>
                <w:lang w:val="en-GB"/>
              </w:rPr>
            </w:pPr>
            <w:r w:rsidRPr="007C1364">
              <w:rPr>
                <w:lang w:val="en-GB"/>
              </w:rPr>
              <w:t xml:space="preserve">Where national capacity to do so exists, national level measurements of Chlorophyll-a and other parameters (including nitrogen, phosphate and silica) (in situ or from remote sensing), should be used to complement and ground truth global remote sensing and modelled data and enable a more detailed assessment of eutrophication. In particular, monitoring of supplementary eutrophication parameters is advisable to determine whether an increase in Chlorophyll-a concentration is directly linked to an anthropogenic increase in nutrients. Please refer to Table 2 for parameters for monitoring eutrophication at the national level (Level 2). </w:t>
            </w:r>
          </w:p>
          <w:p w14:paraId="7FFD823B" w14:textId="77777777" w:rsidR="001F570F" w:rsidRPr="007C1364" w:rsidRDefault="001F570F" w:rsidP="001F570F">
            <w:pPr>
              <w:pStyle w:val="NoSpacing"/>
              <w:rPr>
                <w:b/>
                <w:bCs/>
                <w:lang w:val="en-GB"/>
              </w:rPr>
            </w:pPr>
          </w:p>
          <w:p w14:paraId="3B7A056C" w14:textId="77777777" w:rsidR="001F570F" w:rsidRPr="007C1364" w:rsidRDefault="001F570F" w:rsidP="001F570F">
            <w:pPr>
              <w:pStyle w:val="NoSpacing"/>
              <w:rPr>
                <w:b/>
                <w:bCs/>
                <w:i/>
                <w:iCs/>
                <w:lang w:val="en-GB"/>
              </w:rPr>
            </w:pPr>
            <w:r w:rsidRPr="007C1364">
              <w:rPr>
                <w:b/>
                <w:bCs/>
                <w:i/>
                <w:iCs/>
                <w:lang w:val="en-GB"/>
              </w:rPr>
              <w:t>Level 2: National ICEP modelling</w:t>
            </w:r>
          </w:p>
          <w:p w14:paraId="532EE0F7" w14:textId="77777777" w:rsidR="001F570F" w:rsidRPr="007C1364" w:rsidRDefault="001F570F" w:rsidP="001F570F">
            <w:pPr>
              <w:pStyle w:val="NoSpacing"/>
              <w:rPr>
                <w:lang w:val="en-GB"/>
              </w:rPr>
            </w:pPr>
            <w:r w:rsidRPr="007C1364">
              <w:rPr>
                <w:lang w:val="en-GB"/>
              </w:rPr>
              <w:t xml:space="preserve">Existing ICEP modelling at the national level is limited, but could be further developed following the model of a current study analysing basin level data in Chinese rivers (Strokal et al 2016). The study utilises Global NEWS – 2 (Nutrient Export from WaterSheds) </w:t>
            </w:r>
            <w:proofErr w:type="gramStart"/>
            <w:r w:rsidRPr="007C1364">
              <w:rPr>
                <w:lang w:val="en-GB"/>
              </w:rPr>
              <w:t>and  NUtrient</w:t>
            </w:r>
            <w:proofErr w:type="gramEnd"/>
            <w:r w:rsidRPr="007C1364">
              <w:rPr>
                <w:lang w:val="en-GB"/>
              </w:rPr>
              <w:t xml:space="preserve"> flows in Food chains, Environment and Resources use (NUFER) as models. The Global NEWS-2 model is basin-scale and quantifies river export of various nutrients (nitrogen, phorsphorus, carbon and silca) in multiple forms (dissolved inorganic, dissolved organic and particulate) as functions of human activities on land and basin characteristics (Strokal et al 2016). Furthermore, the model shows past and future trends.</w:t>
            </w:r>
          </w:p>
          <w:p w14:paraId="487950AD" w14:textId="77777777" w:rsidR="001F570F" w:rsidRPr="007C1364" w:rsidRDefault="001F570F" w:rsidP="001F570F">
            <w:pPr>
              <w:pStyle w:val="NoSpacing"/>
              <w:rPr>
                <w:lang w:val="en-GB"/>
              </w:rPr>
            </w:pPr>
          </w:p>
          <w:p w14:paraId="7118DABB" w14:textId="77777777" w:rsidR="001F570F" w:rsidRPr="007C1364" w:rsidRDefault="001F570F" w:rsidP="001F570F">
            <w:pPr>
              <w:pStyle w:val="NoSpacing"/>
              <w:rPr>
                <w:b/>
                <w:bCs/>
                <w:lang w:val="en-GB"/>
              </w:rPr>
            </w:pPr>
            <w:r w:rsidRPr="007C1364">
              <w:rPr>
                <w:b/>
                <w:bCs/>
                <w:lang w:val="en-GB"/>
              </w:rPr>
              <w:t>For 14.1.1b:</w:t>
            </w:r>
          </w:p>
          <w:p w14:paraId="618C28A0" w14:textId="77777777" w:rsidR="001F570F" w:rsidRPr="007C1364" w:rsidRDefault="001F570F" w:rsidP="001F570F">
            <w:pPr>
              <w:pStyle w:val="NoSpacing"/>
              <w:rPr>
                <w:b/>
                <w:bCs/>
                <w:lang w:val="en-GB"/>
              </w:rPr>
            </w:pPr>
            <w:r w:rsidRPr="007C1364">
              <w:rPr>
                <w:b/>
                <w:bCs/>
                <w:lang w:val="en-GB"/>
              </w:rPr>
              <w:lastRenderedPageBreak/>
              <w:t>Level 1: Plastic patches greater than 10 meters</w:t>
            </w:r>
          </w:p>
          <w:p w14:paraId="58FF6328" w14:textId="77777777" w:rsidR="001F570F" w:rsidRPr="007C1364" w:rsidRDefault="001F570F" w:rsidP="001F570F">
            <w:pPr>
              <w:pStyle w:val="NoSpacing"/>
              <w:rPr>
                <w:lang w:val="en-GB"/>
              </w:rPr>
            </w:pPr>
            <w:r w:rsidRPr="007C1364">
              <w:rPr>
                <w:lang w:val="en-GB"/>
              </w:rPr>
              <w:t>Satellite-based global data products make up the statistics for this indicator. NASA and ESA both contribute satellite images to construct information on the plastic patches greater than 10 meters throughout the world’s oceans. Multi-spectral satellite remote sensing of plastic in the water column is currently only possible for larger elements (more than 10m) and under good atmospheric conditions (no clouds). This data is being produced in collaboration with ESA and NASA.</w:t>
            </w:r>
          </w:p>
          <w:p w14:paraId="588BD7FC" w14:textId="77777777" w:rsidR="001F570F" w:rsidRPr="007C1364" w:rsidRDefault="001F570F" w:rsidP="001F570F">
            <w:pPr>
              <w:pStyle w:val="NoSpacing"/>
              <w:rPr>
                <w:lang w:val="en-GB"/>
              </w:rPr>
            </w:pPr>
          </w:p>
          <w:p w14:paraId="07E9D251" w14:textId="77777777" w:rsidR="001F570F" w:rsidRPr="007C1364" w:rsidRDefault="001F570F" w:rsidP="001F570F">
            <w:pPr>
              <w:pStyle w:val="NoSpacing"/>
              <w:rPr>
                <w:b/>
                <w:bCs/>
                <w:lang w:val="en-GB"/>
              </w:rPr>
            </w:pPr>
            <w:r w:rsidRPr="007C1364">
              <w:rPr>
                <w:b/>
                <w:bCs/>
                <w:lang w:val="en-GB"/>
              </w:rPr>
              <w:t>Level 1: Beach litter originating from national land-based sources</w:t>
            </w:r>
          </w:p>
          <w:p w14:paraId="303612E4" w14:textId="77777777" w:rsidR="001F570F" w:rsidRPr="007C1364" w:rsidRDefault="001F570F" w:rsidP="001F570F">
            <w:pPr>
              <w:pStyle w:val="NoSpacing"/>
              <w:rPr>
                <w:lang w:val="en-GB"/>
              </w:rPr>
            </w:pPr>
            <w:r w:rsidRPr="007C1364">
              <w:rPr>
                <w:lang w:val="en-GB"/>
              </w:rPr>
              <w:t xml:space="preserve">Modelling of litter movement through the oceans occurs through numerical models using inputs including ocean flow and marine plastic litter characteristics. UN </w:t>
            </w:r>
            <w:proofErr w:type="gramStart"/>
            <w:r w:rsidRPr="007C1364">
              <w:rPr>
                <w:lang w:val="en-GB"/>
              </w:rPr>
              <w:t>Environment  has</w:t>
            </w:r>
            <w:proofErr w:type="gramEnd"/>
            <w:r w:rsidRPr="007C1364">
              <w:rPr>
                <w:lang w:val="en-GB"/>
              </w:rPr>
              <w:t xml:space="preserve"> produced a global model of marine litter using OceanParcels v2.0, a state-of-the-art Lagrangian Ocean analysis framework to create customizable particle tracking simulation using outputs from ocean circulation models.</w:t>
            </w:r>
          </w:p>
          <w:p w14:paraId="257F87C7" w14:textId="77777777" w:rsidR="001F570F" w:rsidRPr="007C1364" w:rsidRDefault="001F570F" w:rsidP="001F570F">
            <w:pPr>
              <w:pStyle w:val="NoSpacing"/>
              <w:rPr>
                <w:lang w:val="en-GB"/>
              </w:rPr>
            </w:pPr>
            <w:r w:rsidRPr="007C1364">
              <w:rPr>
                <w:lang w:val="en-GB"/>
              </w:rPr>
              <w:t xml:space="preserve">This model was used to estimate where plastics that would be found on the coast likely originated from. As a simple example, for Kenya, based on this model, of the plastic which ends up on Kenya’s beaches, 11% likely originated from Kenya, 60% likely came from countries in Africa and 29% likely came from outside the region. This model can be produced annually and updated as better waste emissions data becomes available for countries.  </w:t>
            </w:r>
          </w:p>
          <w:p w14:paraId="288893B1" w14:textId="77777777" w:rsidR="001F570F" w:rsidRPr="007C1364" w:rsidRDefault="001F570F" w:rsidP="001F570F">
            <w:pPr>
              <w:pStyle w:val="NoSpacing"/>
              <w:rPr>
                <w:lang w:val="en-GB"/>
              </w:rPr>
            </w:pPr>
          </w:p>
          <w:p w14:paraId="1A96C232" w14:textId="77777777" w:rsidR="001F570F" w:rsidRPr="007C1364" w:rsidRDefault="001F570F" w:rsidP="001F570F">
            <w:pPr>
              <w:pStyle w:val="NoSpacing"/>
              <w:rPr>
                <w:b/>
                <w:bCs/>
                <w:lang w:val="en-GB"/>
              </w:rPr>
            </w:pPr>
            <w:r w:rsidRPr="007C1364">
              <w:rPr>
                <w:b/>
                <w:bCs/>
                <w:lang w:val="en-GB"/>
              </w:rPr>
              <w:t>Level 2: Beach litter, plastic in the sea column and floating plastic and plastic on the sea floor (average count of plastic items per km2)</w:t>
            </w:r>
          </w:p>
          <w:p w14:paraId="24A4CA4A" w14:textId="77777777" w:rsidR="001F570F" w:rsidRPr="007C1364" w:rsidRDefault="001F570F" w:rsidP="001F570F">
            <w:pPr>
              <w:pStyle w:val="NoSpacing"/>
              <w:rPr>
                <w:lang w:val="en-GB"/>
              </w:rPr>
            </w:pPr>
            <w:r w:rsidRPr="007C1364">
              <w:rPr>
                <w:lang w:val="en-GB"/>
              </w:rPr>
              <w:t>The details for collecting data for beach litter, plastic in the sea column and floating plastic and plastic on the sea floor are in the global manual and in the GESAMP Guidelines (GESAMP 2019).  Beach litter is the most available type of data at the national level. National efforts to collect data on beach litter can be supported by campaigns to engage members of the public as volunteers in beach clean-ups (see for example the Ocean Conservancy’s International Coastal Clean-up (ICC) initiative ) or citizen science programmes (see for example NOAA’s Marine Debris Monitoring and Assessment Citizen Science Project). Specific instructions on how to conduct citizen science beach surveys are included in the GESAMP Guidelines (GESAMP 2019). Beyond the tools used to conduct beach litter monitoring, it is important to consider the timing of surveys in order to properly plan effective surveys. The GESAMP Guidelines explain two main types of surveying beaches including rapid assessment surveys and routine shoreline monitoring. Rapid assessment surveys are best conducted in response to natural disasters, to build a baseline for future surveys and/or to identify beach litter hotspots. (</w:t>
            </w:r>
            <w:proofErr w:type="gramStart"/>
            <w:r w:rsidRPr="007C1364">
              <w:rPr>
                <w:lang w:val="en-GB"/>
              </w:rPr>
              <w:t>see</w:t>
            </w:r>
            <w:proofErr w:type="gramEnd"/>
            <w:r w:rsidRPr="007C1364">
              <w:rPr>
                <w:lang w:val="en-GB"/>
              </w:rPr>
              <w:t xml:space="preserve">: </w:t>
            </w:r>
            <w:hyperlink r:id="rId116" w:history="1">
              <w:r w:rsidRPr="007C1364">
                <w:rPr>
                  <w:rStyle w:val="Hyperlink"/>
                  <w:lang w:val="en-GB"/>
                </w:rPr>
                <w:t>https://environmentlive.unep.org/media/docs/marine_plastics/une_science_dvision_gesamp_reports.pdf</w:t>
              </w:r>
            </w:hyperlink>
            <w:r w:rsidRPr="007C1364">
              <w:rPr>
                <w:lang w:val="en-GB"/>
              </w:rPr>
              <w:t>).</w:t>
            </w:r>
          </w:p>
          <w:p w14:paraId="60F12F5B" w14:textId="77777777" w:rsidR="001F570F" w:rsidRPr="007C1364" w:rsidRDefault="001F570F" w:rsidP="001F570F">
            <w:pPr>
              <w:pStyle w:val="NoSpacing"/>
              <w:rPr>
                <w:lang w:val="en-GB"/>
              </w:rPr>
            </w:pPr>
            <w:r w:rsidRPr="007C1364">
              <w:rPr>
                <w:lang w:val="en-GB"/>
              </w:rPr>
              <w:t>The average count of plastic items can be computed for each area sampled. A geospatial model is recommended in order to estimate the density across the coastline and to establish a national average.</w:t>
            </w:r>
          </w:p>
          <w:p w14:paraId="1FB291EC" w14:textId="77777777" w:rsidR="001F570F" w:rsidRDefault="001F570F" w:rsidP="001F570F">
            <w:pPr>
              <w:pStyle w:val="NoSpacing"/>
            </w:pPr>
          </w:p>
        </w:tc>
        <w:tc>
          <w:tcPr>
            <w:tcW w:w="0" w:type="auto"/>
          </w:tcPr>
          <w:p w14:paraId="2094D8BD" w14:textId="77777777" w:rsidR="001F570F" w:rsidRPr="00730EE0" w:rsidRDefault="001F570F" w:rsidP="001F570F">
            <w:pPr>
              <w:pStyle w:val="NoSpacing"/>
            </w:pPr>
            <w:r>
              <w:lastRenderedPageBreak/>
              <w:t>Regional Seas Programmes</w:t>
            </w:r>
          </w:p>
        </w:tc>
        <w:tc>
          <w:tcPr>
            <w:tcW w:w="0" w:type="auto"/>
          </w:tcPr>
          <w:p w14:paraId="094B8183" w14:textId="77777777" w:rsidR="001F570F" w:rsidRPr="00ED345B" w:rsidRDefault="001F570F" w:rsidP="001F570F">
            <w:pPr>
              <w:pStyle w:val="NoSpacing"/>
            </w:pPr>
            <w:r w:rsidRPr="00ED345B">
              <w:t>National Statistical Systems through the Regional Seas</w:t>
            </w:r>
          </w:p>
        </w:tc>
        <w:tc>
          <w:tcPr>
            <w:tcW w:w="0" w:type="auto"/>
            <w:vAlign w:val="center"/>
          </w:tcPr>
          <w:p w14:paraId="30B43091" w14:textId="77777777" w:rsidR="001F570F" w:rsidRPr="00BC6F10" w:rsidDel="00AE09CA" w:rsidRDefault="001F570F" w:rsidP="001F570F">
            <w:pPr>
              <w:spacing w:line="276" w:lineRule="auto"/>
              <w:rPr>
                <w:rFonts w:eastAsia="Times New Roman" w:cs="Times New Roman"/>
                <w:color w:val="000000" w:themeColor="text1"/>
                <w:szCs w:val="20"/>
              </w:rPr>
            </w:pPr>
            <w:r w:rsidRPr="00BC6F10">
              <w:rPr>
                <w:rFonts w:eastAsia="Times New Roman" w:cs="Times New Roman"/>
                <w:color w:val="000000" w:themeColor="text1"/>
                <w:szCs w:val="20"/>
              </w:rPr>
              <w:t xml:space="preserve">a) </w:t>
            </w:r>
          </w:p>
          <w:p w14:paraId="5EDC39E0" w14:textId="2D3ECB36" w:rsidR="001F570F" w:rsidRPr="00BC6F10" w:rsidRDefault="001F570F" w:rsidP="000C4849">
            <w:pPr>
              <w:spacing w:line="276" w:lineRule="auto"/>
            </w:pPr>
          </w:p>
        </w:tc>
        <w:tc>
          <w:tcPr>
            <w:tcW w:w="0" w:type="auto"/>
          </w:tcPr>
          <w:p w14:paraId="41A53232" w14:textId="77777777" w:rsidR="001F570F" w:rsidRDefault="001F570F" w:rsidP="001F570F">
            <w:pPr>
              <w:spacing w:line="276" w:lineRule="auto"/>
              <w:rPr>
                <w:rFonts w:eastAsia="Times New Roman" w:cs="Times New Roman"/>
                <w:color w:val="000000" w:themeColor="text1"/>
                <w:szCs w:val="20"/>
              </w:rPr>
            </w:pPr>
            <w:r w:rsidRPr="00BC6F10">
              <w:rPr>
                <w:rFonts w:eastAsia="Times New Roman" w:cs="Times New Roman"/>
                <w:color w:val="000000" w:themeColor="text1"/>
                <w:szCs w:val="20"/>
              </w:rPr>
              <w:t xml:space="preserve">a) DoE, </w:t>
            </w:r>
            <w:r>
              <w:rPr>
                <w:rFonts w:eastAsia="Times New Roman" w:cs="Times New Roman"/>
                <w:color w:val="000000" w:themeColor="text1"/>
                <w:szCs w:val="20"/>
              </w:rPr>
              <w:t>MoEFCC</w:t>
            </w:r>
            <w:r w:rsidRPr="00BC6F10">
              <w:rPr>
                <w:rFonts w:eastAsia="Times New Roman" w:cs="Times New Roman"/>
                <w:color w:val="000000" w:themeColor="text1"/>
                <w:szCs w:val="20"/>
              </w:rPr>
              <w:br/>
              <w:t>b) MoS</w:t>
            </w:r>
            <w:r>
              <w:rPr>
                <w:rFonts w:eastAsia="Times New Roman" w:cs="Times New Roman"/>
                <w:color w:val="000000" w:themeColor="text1"/>
                <w:szCs w:val="20"/>
              </w:rPr>
              <w:t>T</w:t>
            </w:r>
            <w:r w:rsidRPr="00BC6F10">
              <w:rPr>
                <w:rFonts w:eastAsia="Times New Roman" w:cs="Times New Roman"/>
                <w:color w:val="000000" w:themeColor="text1"/>
                <w:szCs w:val="20"/>
              </w:rPr>
              <w:br/>
              <w:t>c) BN, MoD</w:t>
            </w:r>
          </w:p>
          <w:p w14:paraId="7983909C" w14:textId="77777777" w:rsidR="001F570F" w:rsidRDefault="001F570F" w:rsidP="001F570F">
            <w:pPr>
              <w:spacing w:line="276" w:lineRule="auto"/>
              <w:jc w:val="center"/>
              <w:rPr>
                <w:szCs w:val="26"/>
              </w:rPr>
            </w:pPr>
          </w:p>
          <w:p w14:paraId="474FB8D1" w14:textId="77777777" w:rsidR="001F570F" w:rsidRPr="00286F19" w:rsidRDefault="001F570F" w:rsidP="001F570F">
            <w:pPr>
              <w:spacing w:line="276" w:lineRule="auto"/>
              <w:jc w:val="center"/>
              <w:rPr>
                <w:szCs w:val="26"/>
              </w:rPr>
            </w:pPr>
            <w:r w:rsidRPr="00286F19">
              <w:rPr>
                <w:szCs w:val="26"/>
              </w:rPr>
              <w:t>Administrative Data</w:t>
            </w:r>
          </w:p>
        </w:tc>
        <w:tc>
          <w:tcPr>
            <w:tcW w:w="0" w:type="auto"/>
          </w:tcPr>
          <w:p w14:paraId="7F652A7B" w14:textId="77777777" w:rsidR="00C65E01" w:rsidRDefault="00C65E01" w:rsidP="001F570F">
            <w:pPr>
              <w:ind w:left="970" w:hanging="970"/>
              <w:jc w:val="both"/>
              <w:rPr>
                <w:color w:val="0070C0"/>
                <w:szCs w:val="20"/>
              </w:rPr>
            </w:pPr>
            <w:r>
              <w:rPr>
                <w:color w:val="0070C0"/>
                <w:szCs w:val="20"/>
              </w:rPr>
              <w:t>Geospatial</w:t>
            </w:r>
          </w:p>
          <w:p w14:paraId="2C88E433" w14:textId="77777777" w:rsidR="00C65E01" w:rsidRDefault="00C65E01" w:rsidP="001F570F">
            <w:pPr>
              <w:ind w:left="970" w:hanging="970"/>
              <w:jc w:val="both"/>
              <w:rPr>
                <w:color w:val="0070C0"/>
                <w:szCs w:val="20"/>
              </w:rPr>
            </w:pPr>
            <w:r>
              <w:rPr>
                <w:color w:val="0070C0"/>
                <w:szCs w:val="20"/>
              </w:rPr>
              <w:t>disaggragation in</w:t>
            </w:r>
          </w:p>
          <w:p w14:paraId="58720569" w14:textId="1AA73A78" w:rsidR="001F570F" w:rsidRPr="000C4849" w:rsidRDefault="00C65E01" w:rsidP="001F570F">
            <w:pPr>
              <w:ind w:left="970" w:hanging="970"/>
              <w:jc w:val="both"/>
              <w:rPr>
                <w:color w:val="0070C0"/>
                <w:szCs w:val="20"/>
              </w:rPr>
            </w:pPr>
            <w:r>
              <w:rPr>
                <w:color w:val="0070C0"/>
                <w:szCs w:val="20"/>
              </w:rPr>
              <w:t xml:space="preserve"> </w:t>
            </w:r>
            <w:r w:rsidRPr="000C4849">
              <w:rPr>
                <w:color w:val="0070C0"/>
                <w:szCs w:val="20"/>
              </w:rPr>
              <w:t>Sub Basin Level</w:t>
            </w:r>
          </w:p>
        </w:tc>
        <w:tc>
          <w:tcPr>
            <w:tcW w:w="0" w:type="auto"/>
          </w:tcPr>
          <w:p w14:paraId="29468508" w14:textId="77777777" w:rsidR="001F570F" w:rsidRDefault="001F570F" w:rsidP="001F570F">
            <w:pPr>
              <w:ind w:left="970" w:hanging="970"/>
              <w:jc w:val="both"/>
              <w:rPr>
                <w:color w:val="0070C0"/>
                <w:sz w:val="30"/>
                <w:szCs w:val="30"/>
              </w:rPr>
            </w:pPr>
            <w:r>
              <w:t>Triennial</w:t>
            </w:r>
          </w:p>
        </w:tc>
        <w:tc>
          <w:tcPr>
            <w:tcW w:w="0" w:type="auto"/>
          </w:tcPr>
          <w:p w14:paraId="116A4F5D" w14:textId="77777777" w:rsidR="001F570F" w:rsidRDefault="001F570F" w:rsidP="001F570F">
            <w:pPr>
              <w:ind w:left="970" w:hanging="970"/>
              <w:jc w:val="both"/>
              <w:rPr>
                <w:color w:val="0070C0"/>
                <w:sz w:val="30"/>
                <w:szCs w:val="30"/>
              </w:rPr>
            </w:pPr>
            <w:r>
              <w:t>Group 2</w:t>
            </w:r>
          </w:p>
        </w:tc>
        <w:tc>
          <w:tcPr>
            <w:tcW w:w="0" w:type="auto"/>
          </w:tcPr>
          <w:p w14:paraId="7E592B84" w14:textId="77777777" w:rsidR="001F570F" w:rsidRDefault="001F570F" w:rsidP="001F570F">
            <w:pPr>
              <w:pStyle w:val="NoSpacing"/>
            </w:pPr>
            <w:r>
              <w:t>1</w:t>
            </w:r>
            <w:r w:rsidRPr="00013ACB">
              <w:rPr>
                <w:vertAlign w:val="superscript"/>
              </w:rPr>
              <w:t>st</w:t>
            </w:r>
            <w:r>
              <w:t xml:space="preserve"> Round:</w:t>
            </w:r>
          </w:p>
          <w:p w14:paraId="3DE7570C" w14:textId="77777777" w:rsidR="001F570F" w:rsidRPr="00670519" w:rsidRDefault="001F570F" w:rsidP="001F570F">
            <w:pPr>
              <w:pStyle w:val="NoSpacing"/>
              <w:rPr>
                <w:b/>
              </w:rPr>
            </w:pPr>
            <w:r w:rsidRPr="00670519">
              <w:t xml:space="preserve">December, </w:t>
            </w:r>
          </w:p>
          <w:p w14:paraId="6F033701" w14:textId="77777777" w:rsidR="001F570F" w:rsidRDefault="001F570F" w:rsidP="001F570F">
            <w:pPr>
              <w:pStyle w:val="NoSpacing"/>
            </w:pPr>
            <w:r w:rsidRPr="00670519">
              <w:t>2020</w:t>
            </w:r>
          </w:p>
          <w:p w14:paraId="696224C9" w14:textId="77777777" w:rsidR="001F570F" w:rsidRDefault="001F570F" w:rsidP="001F570F">
            <w:pPr>
              <w:pStyle w:val="NoSpacing"/>
            </w:pPr>
          </w:p>
          <w:p w14:paraId="752A23EF" w14:textId="77777777" w:rsidR="001F570F" w:rsidRDefault="001F570F" w:rsidP="001F570F">
            <w:pPr>
              <w:pStyle w:val="NoSpacing"/>
            </w:pPr>
            <w:r>
              <w:t>2</w:t>
            </w:r>
            <w:r w:rsidRPr="00013ACB">
              <w:rPr>
                <w:vertAlign w:val="superscript"/>
              </w:rPr>
              <w:t>nd</w:t>
            </w:r>
            <w:r>
              <w:t xml:space="preserve"> Round:</w:t>
            </w:r>
          </w:p>
          <w:p w14:paraId="6CB17DC2" w14:textId="77777777" w:rsidR="001F570F" w:rsidRPr="00670519" w:rsidRDefault="001F570F" w:rsidP="001F570F">
            <w:pPr>
              <w:pStyle w:val="NoSpacing"/>
              <w:rPr>
                <w:b/>
              </w:rPr>
            </w:pPr>
            <w:r>
              <w:t xml:space="preserve"> </w:t>
            </w:r>
            <w:r w:rsidRPr="00670519">
              <w:t xml:space="preserve">December, </w:t>
            </w:r>
          </w:p>
          <w:p w14:paraId="70327814" w14:textId="77777777" w:rsidR="001F570F" w:rsidRDefault="001F570F" w:rsidP="001F570F">
            <w:pPr>
              <w:pStyle w:val="NoSpacing"/>
            </w:pPr>
            <w:r>
              <w:t>2023</w:t>
            </w:r>
          </w:p>
          <w:p w14:paraId="5B359A2A" w14:textId="77777777" w:rsidR="001F570F" w:rsidRDefault="001F570F" w:rsidP="001F570F">
            <w:pPr>
              <w:pStyle w:val="NoSpacing"/>
            </w:pPr>
          </w:p>
          <w:p w14:paraId="326823B0" w14:textId="77777777" w:rsidR="001F570F" w:rsidRDefault="001F570F" w:rsidP="001F570F">
            <w:pPr>
              <w:pStyle w:val="NoSpacing"/>
            </w:pPr>
            <w:r>
              <w:t>3</w:t>
            </w:r>
            <w:r w:rsidRPr="00013ACB">
              <w:rPr>
                <w:vertAlign w:val="superscript"/>
              </w:rPr>
              <w:t>rd</w:t>
            </w:r>
            <w:r>
              <w:t xml:space="preserve"> Round: </w:t>
            </w:r>
          </w:p>
          <w:p w14:paraId="602DD607" w14:textId="77777777" w:rsidR="001F570F" w:rsidRPr="00670519" w:rsidRDefault="001F570F" w:rsidP="001F570F">
            <w:pPr>
              <w:pStyle w:val="NoSpacing"/>
              <w:rPr>
                <w:b/>
              </w:rPr>
            </w:pPr>
            <w:r w:rsidRPr="00670519">
              <w:t xml:space="preserve">December, </w:t>
            </w:r>
          </w:p>
          <w:p w14:paraId="5978A222" w14:textId="77777777" w:rsidR="001F570F" w:rsidRDefault="001F570F" w:rsidP="001F570F">
            <w:pPr>
              <w:pStyle w:val="NoSpacing"/>
            </w:pPr>
            <w:r>
              <w:t>2026</w:t>
            </w:r>
          </w:p>
          <w:p w14:paraId="03F0D928" w14:textId="77777777" w:rsidR="001F570F" w:rsidRDefault="001F570F" w:rsidP="001F570F">
            <w:pPr>
              <w:pStyle w:val="NoSpacing"/>
            </w:pPr>
          </w:p>
          <w:p w14:paraId="49C78F19" w14:textId="77777777" w:rsidR="001F570F" w:rsidRDefault="001F570F" w:rsidP="001F570F">
            <w:pPr>
              <w:pStyle w:val="NoSpacing"/>
            </w:pPr>
            <w:r>
              <w:t>4</w:t>
            </w:r>
            <w:r w:rsidRPr="00013ACB">
              <w:rPr>
                <w:vertAlign w:val="superscript"/>
              </w:rPr>
              <w:t>th</w:t>
            </w:r>
            <w:r>
              <w:t xml:space="preserve"> Round: </w:t>
            </w:r>
          </w:p>
          <w:p w14:paraId="07C99B6F" w14:textId="77777777" w:rsidR="001F570F" w:rsidRPr="00670519" w:rsidRDefault="001F570F" w:rsidP="001F570F">
            <w:pPr>
              <w:pStyle w:val="NoSpacing"/>
              <w:rPr>
                <w:b/>
              </w:rPr>
            </w:pPr>
            <w:r w:rsidRPr="00670519">
              <w:t xml:space="preserve">December, </w:t>
            </w:r>
          </w:p>
          <w:p w14:paraId="5C5CB3A2" w14:textId="77777777" w:rsidR="001F570F" w:rsidRDefault="001F570F" w:rsidP="001F570F">
            <w:pPr>
              <w:pStyle w:val="NoSpacing"/>
            </w:pPr>
            <w:r>
              <w:t>2029</w:t>
            </w:r>
          </w:p>
          <w:p w14:paraId="6B644489" w14:textId="77777777" w:rsidR="001F570F" w:rsidRDefault="001F570F" w:rsidP="001F570F">
            <w:pPr>
              <w:pStyle w:val="NoSpacing"/>
            </w:pPr>
          </w:p>
          <w:p w14:paraId="00A63130" w14:textId="77777777" w:rsidR="001F570F" w:rsidRDefault="001F570F" w:rsidP="001F570F">
            <w:pPr>
              <w:pStyle w:val="NoSpacing"/>
            </w:pPr>
            <w:r>
              <w:t>5</w:t>
            </w:r>
            <w:r w:rsidRPr="00013ACB">
              <w:rPr>
                <w:vertAlign w:val="superscript"/>
              </w:rPr>
              <w:t>th</w:t>
            </w:r>
            <w:r>
              <w:t xml:space="preserve"> Round: </w:t>
            </w:r>
          </w:p>
          <w:p w14:paraId="02B9A3D5" w14:textId="77777777" w:rsidR="001F570F" w:rsidRPr="00670519" w:rsidRDefault="001F570F" w:rsidP="001F570F">
            <w:pPr>
              <w:pStyle w:val="NoSpacing"/>
              <w:rPr>
                <w:b/>
              </w:rPr>
            </w:pPr>
            <w:r w:rsidRPr="00670519">
              <w:t xml:space="preserve">December, </w:t>
            </w:r>
          </w:p>
          <w:p w14:paraId="26CEC7FF" w14:textId="77777777" w:rsidR="001F570F" w:rsidRDefault="001F570F" w:rsidP="001F570F">
            <w:pPr>
              <w:pStyle w:val="NoSpacing"/>
            </w:pPr>
            <w:r>
              <w:t>2030</w:t>
            </w:r>
          </w:p>
          <w:p w14:paraId="013FBFD6" w14:textId="62CF1FA4" w:rsidR="001F570F" w:rsidRDefault="001F570F" w:rsidP="001F570F">
            <w:pPr>
              <w:pStyle w:val="NoSpacing"/>
            </w:pPr>
          </w:p>
        </w:tc>
        <w:tc>
          <w:tcPr>
            <w:tcW w:w="0" w:type="auto"/>
          </w:tcPr>
          <w:p w14:paraId="05AF2167" w14:textId="77777777" w:rsidR="001F570F" w:rsidRDefault="001F570F" w:rsidP="001F570F">
            <w:pPr>
              <w:pStyle w:val="NoSpacing"/>
            </w:pPr>
            <w:r>
              <w:t>Refinement of the indicator name approved by the Inter-agency and Expert Group on SDG Indicators (IAEG-SDGs) on 13 March and 2 April 2020. Final approval pending the 52nd session of the Statistical Commission in March 2021</w:t>
            </w:r>
          </w:p>
          <w:p w14:paraId="2AA129C9" w14:textId="77777777" w:rsidR="001F570F" w:rsidRDefault="001F570F" w:rsidP="001F570F">
            <w:pPr>
              <w:pStyle w:val="NoSpacing"/>
            </w:pPr>
          </w:p>
          <w:p w14:paraId="03CCE04B" w14:textId="77777777" w:rsidR="001F570F" w:rsidRDefault="001F570F" w:rsidP="001F570F">
            <w:pPr>
              <w:pStyle w:val="NoSpacing"/>
            </w:pPr>
            <w:r>
              <w:t>UNSC 51 refinement</w:t>
            </w:r>
          </w:p>
          <w:p w14:paraId="65C55062" w14:textId="77777777" w:rsidR="001F570F" w:rsidRDefault="001F570F" w:rsidP="001F570F">
            <w:pPr>
              <w:pStyle w:val="NoSpacing"/>
            </w:pPr>
          </w:p>
          <w:p w14:paraId="5DA9AB76" w14:textId="77777777" w:rsidR="001F570F" w:rsidRDefault="001F570F" w:rsidP="001F570F">
            <w:pPr>
              <w:pStyle w:val="NoSpacing"/>
            </w:pPr>
            <w:r>
              <w:t>Reviewed at 10th IAEG-SDG meeting</w:t>
            </w:r>
          </w:p>
          <w:p w14:paraId="5123A695" w14:textId="77777777" w:rsidR="001F570F" w:rsidRDefault="001F570F" w:rsidP="001F570F">
            <w:pPr>
              <w:pStyle w:val="NoSpacing"/>
            </w:pPr>
            <w:r>
              <w:t>(classified as Tier II)</w:t>
            </w:r>
          </w:p>
          <w:p w14:paraId="5FBA7E5D" w14:textId="77777777" w:rsidR="001F570F" w:rsidRDefault="001F570F" w:rsidP="001F570F">
            <w:pPr>
              <w:ind w:left="970" w:hanging="970"/>
              <w:jc w:val="both"/>
              <w:rPr>
                <w:color w:val="0070C0"/>
                <w:sz w:val="30"/>
                <w:szCs w:val="30"/>
              </w:rPr>
            </w:pPr>
          </w:p>
          <w:p w14:paraId="108EA6A1" w14:textId="77777777" w:rsidR="001F570F" w:rsidRDefault="001F570F" w:rsidP="001F570F">
            <w:pPr>
              <w:pStyle w:val="NoSpacing"/>
            </w:pPr>
            <w:r>
              <w:t xml:space="preserve">Refinement of the </w:t>
            </w:r>
            <w:r>
              <w:lastRenderedPageBreak/>
              <w:t>indicator name approved by the Inter-agency and Expert Group on SDG Indicators (IAEG-SDGs) on 13 March and 2 April 2020. Final approval pending the 52nd session of the Statistical Commission in March 2021</w:t>
            </w:r>
          </w:p>
          <w:p w14:paraId="4B9B3718" w14:textId="77777777" w:rsidR="001F570F" w:rsidRDefault="001F570F" w:rsidP="001F570F">
            <w:pPr>
              <w:pStyle w:val="NoSpacing"/>
            </w:pPr>
          </w:p>
          <w:p w14:paraId="1C9D6DEF" w14:textId="77777777" w:rsidR="001F570F" w:rsidRDefault="001F570F" w:rsidP="001F570F">
            <w:pPr>
              <w:pStyle w:val="NoSpacing"/>
            </w:pPr>
            <w:r>
              <w:t>UNSC 51 refinement</w:t>
            </w:r>
          </w:p>
          <w:p w14:paraId="5E8F37F9" w14:textId="77777777" w:rsidR="001F570F" w:rsidRDefault="001F570F" w:rsidP="001F570F">
            <w:pPr>
              <w:pStyle w:val="NoSpacing"/>
            </w:pPr>
          </w:p>
          <w:p w14:paraId="3763369B" w14:textId="77777777" w:rsidR="001F570F" w:rsidRDefault="001F570F" w:rsidP="001F570F">
            <w:pPr>
              <w:pStyle w:val="NoSpacing"/>
            </w:pPr>
            <w:r>
              <w:t>Reviewed at 10th IAEG-SDG meeting</w:t>
            </w:r>
          </w:p>
          <w:p w14:paraId="7432A867" w14:textId="77777777" w:rsidR="001F570F" w:rsidRDefault="001F570F" w:rsidP="001F570F">
            <w:pPr>
              <w:pStyle w:val="NoSpacing"/>
            </w:pPr>
            <w:r>
              <w:t>(classified as Tier II)</w:t>
            </w:r>
          </w:p>
        </w:tc>
      </w:tr>
      <w:tr w:rsidR="00106BE7" w14:paraId="6D77ABC0" w14:textId="77777777" w:rsidTr="00D52BCB">
        <w:tc>
          <w:tcPr>
            <w:tcW w:w="0" w:type="auto"/>
            <w:gridSpan w:val="13"/>
          </w:tcPr>
          <w:p w14:paraId="26E9ABFC" w14:textId="77777777" w:rsidR="00106BE7" w:rsidRDefault="00106BE7" w:rsidP="001F570F">
            <w:pPr>
              <w:jc w:val="both"/>
              <w:rPr>
                <w:color w:val="0070C0"/>
                <w:sz w:val="48"/>
                <w:szCs w:val="48"/>
              </w:rPr>
            </w:pPr>
            <w:r>
              <w:rPr>
                <w:color w:val="0070C0"/>
                <w:sz w:val="30"/>
                <w:szCs w:val="30"/>
              </w:rPr>
              <w:lastRenderedPageBreak/>
              <w:t xml:space="preserve">Target </w:t>
            </w:r>
            <w:r w:rsidRPr="0098013D">
              <w:rPr>
                <w:color w:val="0070C0"/>
                <w:sz w:val="30"/>
                <w:szCs w:val="30"/>
              </w:rPr>
              <w:t>14.2 By 2020, sustainably manage and protect marine and coastal ecosystems to avoid significant adverse impacts, including by strengthening their resilience, and take action for their restoration in order to achieve healthy and productive oceans</w:t>
            </w:r>
          </w:p>
        </w:tc>
      </w:tr>
      <w:tr w:rsidR="001F570F" w14:paraId="0DD7D950" w14:textId="77777777" w:rsidTr="00A64F0D">
        <w:tc>
          <w:tcPr>
            <w:tcW w:w="0" w:type="auto"/>
          </w:tcPr>
          <w:p w14:paraId="2304D059" w14:textId="77777777" w:rsidR="001F570F" w:rsidRDefault="001F570F" w:rsidP="001F570F">
            <w:pPr>
              <w:pStyle w:val="NoSpacing"/>
            </w:pPr>
            <w:r w:rsidRPr="000221E2">
              <w:t xml:space="preserve">14.2.1 Number of countries </w:t>
            </w:r>
            <w:r w:rsidRPr="000221E2">
              <w:lastRenderedPageBreak/>
              <w:t>using ecosystem-based approaches to managing marine areas</w:t>
            </w:r>
          </w:p>
        </w:tc>
        <w:tc>
          <w:tcPr>
            <w:tcW w:w="0" w:type="auto"/>
          </w:tcPr>
          <w:p w14:paraId="0AB9B9E1" w14:textId="77777777" w:rsidR="001F570F" w:rsidRDefault="001F570F" w:rsidP="001F570F">
            <w:pPr>
              <w:pStyle w:val="NoSpacing"/>
            </w:pPr>
            <w:r w:rsidRPr="00E53957">
              <w:lastRenderedPageBreak/>
              <w:t>UNEP</w:t>
            </w:r>
          </w:p>
          <w:p w14:paraId="121CB486" w14:textId="77777777" w:rsidR="001F570F" w:rsidRDefault="001F570F" w:rsidP="001F570F">
            <w:pPr>
              <w:rPr>
                <w:b/>
                <w:bCs/>
                <w:szCs w:val="20"/>
              </w:rPr>
            </w:pPr>
            <w:r w:rsidRPr="007243FC">
              <w:rPr>
                <w:b/>
                <w:bCs/>
                <w:szCs w:val="20"/>
              </w:rPr>
              <w:lastRenderedPageBreak/>
              <w:t>Partner Agencies:</w:t>
            </w:r>
          </w:p>
          <w:p w14:paraId="72462C9A" w14:textId="77777777" w:rsidR="001F570F" w:rsidRDefault="001F570F" w:rsidP="001F570F">
            <w:pPr>
              <w:pStyle w:val="NoSpacing"/>
            </w:pPr>
            <w:r>
              <w:t>IOC-UNESCO,</w:t>
            </w:r>
          </w:p>
          <w:p w14:paraId="092A0B6E" w14:textId="77777777" w:rsidR="001F570F" w:rsidRDefault="001F570F" w:rsidP="001F570F">
            <w:pPr>
              <w:pStyle w:val="NoSpacing"/>
            </w:pPr>
            <w:r>
              <w:t>FAO</w:t>
            </w:r>
          </w:p>
        </w:tc>
        <w:tc>
          <w:tcPr>
            <w:tcW w:w="0" w:type="auto"/>
          </w:tcPr>
          <w:p w14:paraId="2D053BA0" w14:textId="77777777" w:rsidR="001F570F" w:rsidRDefault="001F570F" w:rsidP="001F570F">
            <w:pPr>
              <w:ind w:left="970" w:hanging="970"/>
              <w:jc w:val="both"/>
              <w:rPr>
                <w:color w:val="0070C0"/>
                <w:sz w:val="30"/>
                <w:szCs w:val="30"/>
              </w:rPr>
            </w:pPr>
            <w:r w:rsidRPr="00666BAB">
              <w:lastRenderedPageBreak/>
              <w:t xml:space="preserve">Tier </w:t>
            </w:r>
            <w:r w:rsidRPr="00666BAB">
              <w:lastRenderedPageBreak/>
              <w:t>II</w:t>
            </w:r>
          </w:p>
        </w:tc>
        <w:tc>
          <w:tcPr>
            <w:tcW w:w="0" w:type="auto"/>
          </w:tcPr>
          <w:p w14:paraId="3CCD3999" w14:textId="77777777" w:rsidR="001F570F" w:rsidRPr="007C1364" w:rsidRDefault="001F570F" w:rsidP="001F570F">
            <w:pPr>
              <w:pStyle w:val="NoSpacing"/>
              <w:rPr>
                <w:lang w:val="en-GB"/>
              </w:rPr>
            </w:pPr>
            <w:r w:rsidRPr="007C1364">
              <w:rPr>
                <w:b/>
                <w:bCs/>
                <w:lang w:val="en-GB"/>
              </w:rPr>
              <w:lastRenderedPageBreak/>
              <w:t>Definition:</w:t>
            </w:r>
            <w:r w:rsidRPr="007C1364">
              <w:rPr>
                <w:lang w:val="en-GB"/>
              </w:rPr>
              <w:t xml:space="preserve"> </w:t>
            </w:r>
          </w:p>
          <w:p w14:paraId="28277F92" w14:textId="77777777" w:rsidR="001F570F" w:rsidRPr="007C1364" w:rsidRDefault="001F570F" w:rsidP="001F570F">
            <w:pPr>
              <w:pStyle w:val="NoSpacing"/>
              <w:rPr>
                <w:lang w:val="en-GB"/>
              </w:rPr>
            </w:pPr>
            <w:r w:rsidRPr="007C1364">
              <w:rPr>
                <w:lang w:val="en-GB"/>
              </w:rPr>
              <w:lastRenderedPageBreak/>
              <w:t xml:space="preserve">Regional Seas Coordinated Indicator 22 ‘Integrated Coastal Zone Management (ICZM) is proposed as the primary indicator. For countries with Marine/Maritime Spatial Planning (MSP) in place, these plans can be helpful to assess ICZM. For other countries, it is important to identify ways to measure existing plans and to build capacity for integrated planning. All data for this indicator will be based on country submissions to the Regional Seas Programme. </w:t>
            </w:r>
          </w:p>
          <w:p w14:paraId="0E55C77A" w14:textId="77777777" w:rsidR="001F570F" w:rsidRPr="007C1364" w:rsidRDefault="001F570F" w:rsidP="001F570F">
            <w:pPr>
              <w:pStyle w:val="NoSpacing"/>
              <w:rPr>
                <w:lang w:val="en-GB"/>
              </w:rPr>
            </w:pPr>
          </w:p>
          <w:p w14:paraId="0BD25915" w14:textId="77777777" w:rsidR="001F570F" w:rsidRPr="007C1364" w:rsidRDefault="001F570F" w:rsidP="001F570F">
            <w:pPr>
              <w:pStyle w:val="NoSpacing"/>
              <w:rPr>
                <w:lang w:val="en-GB"/>
              </w:rPr>
            </w:pPr>
            <w:r w:rsidRPr="007C1364">
              <w:rPr>
                <w:lang w:val="en-GB"/>
              </w:rPr>
              <w:t xml:space="preserve">In order to promote the use of the Regional Seas as part of the follow-up and review mechanism for the Regional Seas, UNEP </w:t>
            </w:r>
            <w:proofErr w:type="gramStart"/>
            <w:r w:rsidRPr="007C1364">
              <w:rPr>
                <w:lang w:val="en-GB"/>
              </w:rPr>
              <w:t>drafted  report</w:t>
            </w:r>
            <w:proofErr w:type="gramEnd"/>
            <w:r w:rsidRPr="007C1364">
              <w:rPr>
                <w:lang w:val="en-GB"/>
              </w:rPr>
              <w:t xml:space="preserve"> on how Regional Seas data could be directly used for the SDGs (see </w:t>
            </w:r>
            <w:hyperlink r:id="rId117" w:history="1">
              <w:r w:rsidRPr="007C1364">
                <w:rPr>
                  <w:rStyle w:val="Hyperlink"/>
                  <w:lang w:val="en-GB"/>
                </w:rPr>
                <w:t>https://wedocs.unep.org/bitstream/handle/20.500.11822/27295/ocean_SDG.pdf?sequence=1&amp;isAllowed=y</w:t>
              </w:r>
            </w:hyperlink>
            <w:r w:rsidRPr="007C1364">
              <w:rPr>
                <w:lang w:val="en-GB"/>
              </w:rPr>
              <w:t>).</w:t>
            </w:r>
          </w:p>
          <w:p w14:paraId="1FB0323A" w14:textId="77777777" w:rsidR="001F570F" w:rsidRPr="007C1364" w:rsidRDefault="001F570F" w:rsidP="001F570F">
            <w:pPr>
              <w:pStyle w:val="NoSpacing"/>
              <w:rPr>
                <w:lang w:val="en-GB"/>
              </w:rPr>
            </w:pPr>
          </w:p>
          <w:p w14:paraId="4583AC5E" w14:textId="77777777" w:rsidR="001F570F" w:rsidRPr="007C1364" w:rsidRDefault="001F570F" w:rsidP="001F570F">
            <w:pPr>
              <w:pStyle w:val="NoSpacing"/>
              <w:rPr>
                <w:lang w:val="en-GB"/>
              </w:rPr>
            </w:pPr>
            <w:r w:rsidRPr="007C1364">
              <w:rPr>
                <w:lang w:val="en-GB"/>
              </w:rPr>
              <w:t>A full methodology for this indicator is available in the document entitled, “Global Manual on Ocean Statistics for Measuring SDG 14.1.1, 14.2.1 and 14.5.1”.</w:t>
            </w:r>
          </w:p>
          <w:p w14:paraId="67786F0F" w14:textId="77777777" w:rsidR="001F570F" w:rsidRPr="007C1364" w:rsidRDefault="001F570F" w:rsidP="001F570F">
            <w:pPr>
              <w:pStyle w:val="NoSpacing"/>
              <w:rPr>
                <w:bCs/>
                <w:lang w:val="en-GB"/>
              </w:rPr>
            </w:pPr>
          </w:p>
          <w:p w14:paraId="12497548" w14:textId="77777777" w:rsidR="001F570F" w:rsidRPr="007C1364" w:rsidRDefault="001F570F" w:rsidP="001F570F">
            <w:pPr>
              <w:pStyle w:val="NoSpacing"/>
              <w:rPr>
                <w:b/>
                <w:bCs/>
                <w:lang w:val="en-GB"/>
              </w:rPr>
            </w:pPr>
            <w:r w:rsidRPr="007C1364">
              <w:rPr>
                <w:b/>
                <w:bCs/>
                <w:lang w:val="en-GB"/>
              </w:rPr>
              <w:t>Concepts:</w:t>
            </w:r>
          </w:p>
          <w:p w14:paraId="2725150A" w14:textId="77777777" w:rsidR="001F570F" w:rsidRPr="007C1364" w:rsidRDefault="001F570F" w:rsidP="001F570F">
            <w:pPr>
              <w:pStyle w:val="NoSpacing"/>
              <w:rPr>
                <w:lang w:val="en-GB"/>
              </w:rPr>
            </w:pPr>
            <w:r w:rsidRPr="007C1364">
              <w:rPr>
                <w:lang w:val="en-GB"/>
              </w:rPr>
              <w:t xml:space="preserve">ICZM – An Integrated Coastal Zone Management (ICZM) plan covers the entire coastal zone. Marine and terrestrial areas are managed together. Plans are developed through </w:t>
            </w:r>
            <w:proofErr w:type="gramStart"/>
            <w:r w:rsidRPr="007C1364">
              <w:rPr>
                <w:lang w:val="en-GB"/>
              </w:rPr>
              <w:t>coordination  across</w:t>
            </w:r>
            <w:proofErr w:type="gramEnd"/>
            <w:r w:rsidRPr="007C1364">
              <w:rPr>
                <w:lang w:val="en-GB"/>
              </w:rPr>
              <w:t xml:space="preserve"> different marine and terrestrial institutions and agencies.</w:t>
            </w:r>
          </w:p>
          <w:p w14:paraId="54A4D7DB" w14:textId="77777777" w:rsidR="001F570F" w:rsidRPr="007C1364" w:rsidRDefault="001F570F" w:rsidP="001F570F">
            <w:pPr>
              <w:pStyle w:val="NoSpacing"/>
              <w:rPr>
                <w:lang w:val="en-GB"/>
              </w:rPr>
            </w:pPr>
            <w:r w:rsidRPr="007C1364">
              <w:rPr>
                <w:lang w:val="en-GB"/>
              </w:rPr>
              <w:t xml:space="preserve">Marine Spatial Planning (MSP) </w:t>
            </w:r>
            <w:proofErr w:type="gramStart"/>
            <w:r w:rsidRPr="007C1364">
              <w:rPr>
                <w:lang w:val="en-GB"/>
              </w:rPr>
              <w:t>–  Marine</w:t>
            </w:r>
            <w:proofErr w:type="gramEnd"/>
            <w:r w:rsidRPr="007C1364">
              <w:rPr>
                <w:lang w:val="en-GB"/>
              </w:rPr>
              <w:t xml:space="preserve"> Spatial Planning is focused on the EEZ. It </w:t>
            </w:r>
            <w:proofErr w:type="gramStart"/>
            <w:r w:rsidRPr="007C1364">
              <w:rPr>
                <w:lang w:val="en-GB"/>
              </w:rPr>
              <w:t>the integrates</w:t>
            </w:r>
            <w:proofErr w:type="gramEnd"/>
            <w:r w:rsidRPr="007C1364">
              <w:rPr>
                <w:lang w:val="en-GB"/>
              </w:rPr>
              <w:t xml:space="preserve"> the needs and policies of multiple marine sectors in one coherent planning framework.</w:t>
            </w:r>
          </w:p>
          <w:p w14:paraId="52F9C160" w14:textId="77777777" w:rsidR="001F570F" w:rsidRPr="007C1364" w:rsidRDefault="001F570F" w:rsidP="001F570F">
            <w:pPr>
              <w:pStyle w:val="NoSpacing"/>
              <w:rPr>
                <w:lang w:val="en-GB"/>
              </w:rPr>
            </w:pPr>
            <w:r w:rsidRPr="007C1364">
              <w:rPr>
                <w:lang w:val="en-GB"/>
              </w:rPr>
              <w:t xml:space="preserve">EEZ - national Exclusive Economic Zone (EEZ) (200 nautical miles from the coast) as outlined by the United Nations Convention on the Law of the Sea.   </w:t>
            </w:r>
          </w:p>
          <w:p w14:paraId="527C7164" w14:textId="77777777" w:rsidR="001F570F" w:rsidRPr="007C1364" w:rsidRDefault="001F570F" w:rsidP="001F570F">
            <w:pPr>
              <w:pStyle w:val="NoSpacing"/>
              <w:rPr>
                <w:lang w:val="en-IE"/>
              </w:rPr>
            </w:pPr>
          </w:p>
          <w:p w14:paraId="0B16EA4A" w14:textId="77777777" w:rsidR="001F570F" w:rsidRPr="007C1364" w:rsidRDefault="001F570F" w:rsidP="001F570F">
            <w:pPr>
              <w:pStyle w:val="NoSpacing"/>
              <w:rPr>
                <w:b/>
                <w:bCs/>
                <w:lang w:val="en-GB"/>
              </w:rPr>
            </w:pPr>
            <w:r w:rsidRPr="007C1364">
              <w:rPr>
                <w:b/>
                <w:bCs/>
                <w:lang w:val="en-GB"/>
              </w:rPr>
              <w:t xml:space="preserve">Comments and limitations: </w:t>
            </w:r>
          </w:p>
          <w:p w14:paraId="0926CE03" w14:textId="77777777" w:rsidR="001F570F" w:rsidRPr="007C1364" w:rsidRDefault="001F570F" w:rsidP="001F570F">
            <w:pPr>
              <w:pStyle w:val="NoSpacing"/>
              <w:rPr>
                <w:lang w:val="en-GB"/>
              </w:rPr>
            </w:pPr>
            <w:r w:rsidRPr="007C1364">
              <w:rPr>
                <w:lang w:val="en-GB"/>
              </w:rPr>
              <w:t xml:space="preserve">The Indicator only measures the policy formulation and not policy implementation. </w:t>
            </w:r>
          </w:p>
          <w:p w14:paraId="30B9F440" w14:textId="77777777" w:rsidR="001F570F" w:rsidRPr="007C1364" w:rsidRDefault="001F570F" w:rsidP="001F570F">
            <w:pPr>
              <w:pStyle w:val="NoSpacing"/>
              <w:rPr>
                <w:lang w:val="en-GB"/>
              </w:rPr>
            </w:pPr>
          </w:p>
          <w:p w14:paraId="68DC06B3" w14:textId="77777777" w:rsidR="001F570F" w:rsidRPr="007C1364" w:rsidRDefault="001F570F" w:rsidP="001F570F">
            <w:pPr>
              <w:pStyle w:val="NoSpacing"/>
              <w:rPr>
                <w:b/>
                <w:bCs/>
                <w:lang w:val="en-GB"/>
              </w:rPr>
            </w:pPr>
            <w:r w:rsidRPr="007C1364">
              <w:rPr>
                <w:b/>
                <w:bCs/>
                <w:lang w:val="en-GB"/>
              </w:rPr>
              <w:t xml:space="preserve">Computation Method </w:t>
            </w:r>
          </w:p>
          <w:p w14:paraId="5BF9FDDB" w14:textId="77777777" w:rsidR="001F570F" w:rsidRPr="007C1364" w:rsidRDefault="001F570F" w:rsidP="001F570F">
            <w:pPr>
              <w:pStyle w:val="NoSpacing"/>
              <w:rPr>
                <w:lang w:val="en-GB"/>
              </w:rPr>
            </w:pPr>
            <w:r w:rsidRPr="007C1364">
              <w:rPr>
                <w:lang w:val="en-GB"/>
              </w:rPr>
              <w:t>A full methodology for this indicator is available in the document entitled, “Global Manual on Ocean Statistics for Measuring SDG 14.1.1, 14.2.1 and 14.5.1”.</w:t>
            </w:r>
          </w:p>
          <w:p w14:paraId="208CABED" w14:textId="77777777" w:rsidR="001F570F" w:rsidRPr="007C1364" w:rsidRDefault="001F570F" w:rsidP="001F570F">
            <w:pPr>
              <w:pStyle w:val="NoSpacing"/>
              <w:rPr>
                <w:b/>
                <w:bCs/>
                <w:lang w:val="en-GB"/>
              </w:rPr>
            </w:pPr>
          </w:p>
          <w:p w14:paraId="4FAC761E" w14:textId="77777777" w:rsidR="001F570F" w:rsidRPr="007C1364" w:rsidRDefault="001F570F" w:rsidP="001F570F">
            <w:pPr>
              <w:pStyle w:val="NoSpacing"/>
              <w:rPr>
                <w:lang w:val="en-GB"/>
              </w:rPr>
            </w:pPr>
            <w:r w:rsidRPr="007C1364">
              <w:rPr>
                <w:lang w:val="en-GB"/>
              </w:rPr>
              <w:t xml:space="preserve">Regional Seas Coordinated Indicator 22 ‘Integrated Coastal Zone Management (ICZM) is proposed as the primary indicator. For countries with Marine/Maritime Spatial Planning (MSP) in place, these plans can be helpful to assess ICZM. For other countries, it is important to identify ways to measure existing plans and to build capacity for integrated planning. All data for this indicator will be based on country submissions to the Regional Seas Programme. </w:t>
            </w:r>
          </w:p>
          <w:p w14:paraId="263C40A1" w14:textId="77777777" w:rsidR="001F570F" w:rsidRPr="007C1364" w:rsidRDefault="001F570F" w:rsidP="001F570F">
            <w:pPr>
              <w:pStyle w:val="NoSpacing"/>
              <w:rPr>
                <w:lang w:val="en-GB"/>
              </w:rPr>
            </w:pPr>
          </w:p>
          <w:p w14:paraId="70883142" w14:textId="77777777" w:rsidR="001F570F" w:rsidRPr="007C1364" w:rsidRDefault="001F570F" w:rsidP="001F570F">
            <w:pPr>
              <w:pStyle w:val="NoSpacing"/>
              <w:rPr>
                <w:lang w:val="en-GB"/>
              </w:rPr>
            </w:pPr>
            <w:r w:rsidRPr="007C1364">
              <w:rPr>
                <w:lang w:val="en-GB"/>
              </w:rPr>
              <w:t>This indicator will measure the number of countries using ecosystem-based approaches to manage marine areas (measured through ICZM (Integrated Coastal Zone Management), marine spatial plan or other area-based, integrated planning and management in place.</w:t>
            </w:r>
          </w:p>
          <w:p w14:paraId="33D6A9D6" w14:textId="77777777" w:rsidR="001F570F" w:rsidRPr="007C1364" w:rsidRDefault="001F570F" w:rsidP="001F570F">
            <w:pPr>
              <w:pStyle w:val="NoSpacing"/>
              <w:rPr>
                <w:lang w:val="en-GB"/>
              </w:rPr>
            </w:pPr>
          </w:p>
          <w:p w14:paraId="4D3E5022" w14:textId="77777777" w:rsidR="001F570F" w:rsidRPr="007C1364" w:rsidRDefault="001F570F" w:rsidP="001F570F">
            <w:pPr>
              <w:pStyle w:val="NoSpacing"/>
              <w:rPr>
                <w:lang w:val="en-GB"/>
              </w:rPr>
            </w:pPr>
            <w:r w:rsidRPr="007C1364">
              <w:rPr>
                <w:lang w:val="en-GB"/>
              </w:rPr>
              <w:t xml:space="preserve">Step one </w:t>
            </w:r>
            <w:r w:rsidRPr="007C1364">
              <w:rPr>
                <w:lang w:val="en-GB"/>
              </w:rPr>
              <w:tab/>
            </w:r>
          </w:p>
          <w:p w14:paraId="6A94F693" w14:textId="77777777" w:rsidR="001F570F" w:rsidRPr="007C1364" w:rsidRDefault="001F570F" w:rsidP="001F570F">
            <w:pPr>
              <w:pStyle w:val="NoSpacing"/>
              <w:rPr>
                <w:lang w:val="en-GB"/>
              </w:rPr>
            </w:pPr>
            <w:r w:rsidRPr="007C1364">
              <w:rPr>
                <w:lang w:val="en-GB"/>
              </w:rPr>
              <w:t>Identify national authorities/agencies/organisations responsible for coastal and marine/maritime planning and management.</w:t>
            </w:r>
          </w:p>
          <w:p w14:paraId="6FC45784" w14:textId="77777777" w:rsidR="001F570F" w:rsidRPr="007C1364" w:rsidRDefault="001F570F" w:rsidP="001F570F">
            <w:pPr>
              <w:pStyle w:val="NoSpacing"/>
              <w:rPr>
                <w:lang w:val="en-GB"/>
              </w:rPr>
            </w:pPr>
          </w:p>
          <w:p w14:paraId="5A5E554B" w14:textId="77777777" w:rsidR="001F570F" w:rsidRPr="007C1364" w:rsidRDefault="001F570F" w:rsidP="001F570F">
            <w:pPr>
              <w:pStyle w:val="NoSpacing"/>
              <w:rPr>
                <w:lang w:val="en-GB"/>
              </w:rPr>
            </w:pPr>
            <w:r w:rsidRPr="007C1364">
              <w:rPr>
                <w:lang w:val="en-GB"/>
              </w:rPr>
              <w:t xml:space="preserve">Step two </w:t>
            </w:r>
            <w:r w:rsidRPr="007C1364">
              <w:rPr>
                <w:lang w:val="en-GB"/>
              </w:rPr>
              <w:tab/>
            </w:r>
          </w:p>
          <w:p w14:paraId="6FFAFF47" w14:textId="77777777" w:rsidR="001F570F" w:rsidRPr="007C1364" w:rsidRDefault="001F570F" w:rsidP="001F570F">
            <w:pPr>
              <w:pStyle w:val="NoSpacing"/>
              <w:rPr>
                <w:lang w:val="en-GB"/>
              </w:rPr>
            </w:pPr>
            <w:r w:rsidRPr="007C1364">
              <w:rPr>
                <w:lang w:val="en-GB"/>
              </w:rPr>
              <w:t>Identify and spatially map the boundaries of ICZM plans or other plans at national, sub-national and local level. Coordinate with the national authorities/agencies/organisations responsible for coastal and marine/maritime planning and management to complete a questionnaire on the ICZM plans (Shipman and Petit 2014)).</w:t>
            </w:r>
          </w:p>
          <w:p w14:paraId="0B202941" w14:textId="77777777" w:rsidR="001F570F" w:rsidRPr="007C1364" w:rsidRDefault="001F570F" w:rsidP="001F570F">
            <w:pPr>
              <w:pStyle w:val="NoSpacing"/>
              <w:rPr>
                <w:lang w:val="en-GB"/>
              </w:rPr>
            </w:pPr>
          </w:p>
          <w:p w14:paraId="6BDB49CC" w14:textId="77777777" w:rsidR="001F570F" w:rsidRPr="007C1364" w:rsidRDefault="001F570F" w:rsidP="001F570F">
            <w:pPr>
              <w:pStyle w:val="NoSpacing"/>
              <w:rPr>
                <w:lang w:val="en-GB"/>
              </w:rPr>
            </w:pPr>
            <w:r w:rsidRPr="007C1364">
              <w:rPr>
                <w:lang w:val="en-GB"/>
              </w:rPr>
              <w:t>Step three</w:t>
            </w:r>
          </w:p>
          <w:p w14:paraId="56AB173C" w14:textId="77777777" w:rsidR="001F570F" w:rsidRPr="007C1364" w:rsidRDefault="001F570F" w:rsidP="001F570F">
            <w:pPr>
              <w:pStyle w:val="NoSpacing"/>
              <w:rPr>
                <w:lang w:val="en-GB"/>
              </w:rPr>
            </w:pPr>
            <w:r w:rsidRPr="007C1364">
              <w:rPr>
                <w:lang w:val="en-GB"/>
              </w:rPr>
              <w:t>Determine the status of implementation of each plan, and categorise the spatial map according to implementation stages:</w:t>
            </w:r>
          </w:p>
          <w:p w14:paraId="7CA74A03" w14:textId="77777777" w:rsidR="001F570F" w:rsidRPr="007C1364" w:rsidRDefault="001F570F" w:rsidP="001F570F">
            <w:pPr>
              <w:pStyle w:val="NoSpacing"/>
              <w:rPr>
                <w:lang w:val="en-GB"/>
              </w:rPr>
            </w:pPr>
            <w:r w:rsidRPr="007C1364">
              <w:rPr>
                <w:lang w:val="en-GB"/>
              </w:rPr>
              <w:t>1)</w:t>
            </w:r>
            <w:r w:rsidRPr="007C1364">
              <w:rPr>
                <w:lang w:val="en-GB"/>
              </w:rPr>
              <w:tab/>
              <w:t>Initial plan preparation</w:t>
            </w:r>
          </w:p>
          <w:p w14:paraId="38CF408A" w14:textId="77777777" w:rsidR="001F570F" w:rsidRPr="007C1364" w:rsidRDefault="001F570F" w:rsidP="001F570F">
            <w:pPr>
              <w:pStyle w:val="NoSpacing"/>
              <w:rPr>
                <w:lang w:val="en-GB"/>
              </w:rPr>
            </w:pPr>
            <w:r w:rsidRPr="007C1364">
              <w:rPr>
                <w:lang w:val="en-GB"/>
              </w:rPr>
              <w:t>2)</w:t>
            </w:r>
            <w:r w:rsidRPr="007C1364">
              <w:rPr>
                <w:lang w:val="en-GB"/>
              </w:rPr>
              <w:tab/>
              <w:t>Plan development</w:t>
            </w:r>
          </w:p>
          <w:p w14:paraId="01EBB3E5" w14:textId="77777777" w:rsidR="001F570F" w:rsidRPr="007C1364" w:rsidRDefault="001F570F" w:rsidP="001F570F">
            <w:pPr>
              <w:pStyle w:val="NoSpacing"/>
              <w:rPr>
                <w:lang w:val="en-GB"/>
              </w:rPr>
            </w:pPr>
            <w:r w:rsidRPr="007C1364">
              <w:rPr>
                <w:lang w:val="en-GB"/>
              </w:rPr>
              <w:t>3)</w:t>
            </w:r>
            <w:r w:rsidRPr="007C1364">
              <w:rPr>
                <w:lang w:val="en-GB"/>
              </w:rPr>
              <w:tab/>
              <w:t>Plan adoption/designation</w:t>
            </w:r>
          </w:p>
          <w:p w14:paraId="4A610FCA" w14:textId="77777777" w:rsidR="001F570F" w:rsidRPr="007C1364" w:rsidRDefault="001F570F" w:rsidP="001F570F">
            <w:pPr>
              <w:pStyle w:val="NoSpacing"/>
              <w:rPr>
                <w:lang w:val="en-GB"/>
              </w:rPr>
            </w:pPr>
            <w:r w:rsidRPr="007C1364">
              <w:rPr>
                <w:lang w:val="en-GB"/>
              </w:rPr>
              <w:t>4)</w:t>
            </w:r>
            <w:r w:rsidRPr="007C1364">
              <w:rPr>
                <w:lang w:val="en-GB"/>
              </w:rPr>
              <w:tab/>
              <w:t>Implementation and adaptive management</w:t>
            </w:r>
          </w:p>
          <w:p w14:paraId="08A789B0" w14:textId="77777777" w:rsidR="001F570F" w:rsidRPr="007C1364" w:rsidRDefault="001F570F" w:rsidP="001F570F">
            <w:pPr>
              <w:pStyle w:val="NoSpacing"/>
              <w:rPr>
                <w:lang w:val="en-GB"/>
              </w:rPr>
            </w:pPr>
            <w:r w:rsidRPr="007C1364">
              <w:rPr>
                <w:lang w:val="en-GB"/>
              </w:rPr>
              <w:t xml:space="preserve">Collect the questionnaire responses and document the </w:t>
            </w:r>
            <w:proofErr w:type="gramStart"/>
            <w:r w:rsidRPr="007C1364">
              <w:rPr>
                <w:lang w:val="en-GB"/>
              </w:rPr>
              <w:t>answers is</w:t>
            </w:r>
            <w:proofErr w:type="gramEnd"/>
            <w:r w:rsidRPr="007C1364">
              <w:rPr>
                <w:lang w:val="en-GB"/>
              </w:rPr>
              <w:t xml:space="preserve"> recommended. The spatial map showing the boundaries of relevant plans (produced in step two) could also be used to calculate the proportion of national waters, or national exclusive economic zone, covered by relevant plans. This can be done by overlaying the spatial layer of relevant plans with a spatial layer of national waters, or of the exclusive economic zone, to identify where the two layers coincide. </w:t>
            </w:r>
          </w:p>
          <w:p w14:paraId="1E59CC21" w14:textId="77777777" w:rsidR="001F570F" w:rsidRPr="007C1364" w:rsidRDefault="001F570F" w:rsidP="001F570F">
            <w:pPr>
              <w:pStyle w:val="NoSpacing"/>
              <w:rPr>
                <w:lang w:val="en-GB"/>
              </w:rPr>
            </w:pPr>
          </w:p>
          <w:p w14:paraId="75F8C163" w14:textId="77777777" w:rsidR="001F570F" w:rsidRPr="007C1364" w:rsidRDefault="001F570F" w:rsidP="001F570F">
            <w:pPr>
              <w:pStyle w:val="NoSpacing"/>
              <w:rPr>
                <w:lang w:val="en-GB"/>
              </w:rPr>
            </w:pPr>
            <w:r w:rsidRPr="007C1364">
              <w:rPr>
                <w:lang w:val="en-GB"/>
              </w:rPr>
              <w:t xml:space="preserve">All countries should report on if a plan is in place. </w:t>
            </w:r>
          </w:p>
          <w:p w14:paraId="631FE408" w14:textId="77777777" w:rsidR="001F570F" w:rsidRDefault="001F570F" w:rsidP="001F570F">
            <w:pPr>
              <w:pStyle w:val="NoSpacing"/>
            </w:pPr>
          </w:p>
        </w:tc>
        <w:tc>
          <w:tcPr>
            <w:tcW w:w="0" w:type="auto"/>
          </w:tcPr>
          <w:p w14:paraId="597BE47E" w14:textId="77777777" w:rsidR="001F570F" w:rsidRPr="00730EE0" w:rsidRDefault="001F570F" w:rsidP="001F570F">
            <w:pPr>
              <w:pStyle w:val="NoSpacing"/>
            </w:pPr>
            <w:r>
              <w:lastRenderedPageBreak/>
              <w:t xml:space="preserve">Regional Seas </w:t>
            </w:r>
            <w:r>
              <w:lastRenderedPageBreak/>
              <w:t>Programmes</w:t>
            </w:r>
          </w:p>
        </w:tc>
        <w:tc>
          <w:tcPr>
            <w:tcW w:w="0" w:type="auto"/>
          </w:tcPr>
          <w:p w14:paraId="00F98A99" w14:textId="77777777" w:rsidR="001F570F" w:rsidRPr="00ED345B" w:rsidRDefault="001F570F" w:rsidP="001F570F">
            <w:pPr>
              <w:pStyle w:val="NoSpacing"/>
            </w:pPr>
            <w:r w:rsidRPr="00ED345B">
              <w:lastRenderedPageBreak/>
              <w:t xml:space="preserve">National </w:t>
            </w:r>
            <w:r w:rsidRPr="00ED345B">
              <w:lastRenderedPageBreak/>
              <w:t>Statistical Systems through the Regional Seas</w:t>
            </w:r>
          </w:p>
        </w:tc>
        <w:tc>
          <w:tcPr>
            <w:tcW w:w="0" w:type="auto"/>
            <w:vAlign w:val="center"/>
          </w:tcPr>
          <w:p w14:paraId="0046B460" w14:textId="77777777" w:rsidR="001F570F" w:rsidRPr="00730EE0" w:rsidDel="00AE09CA" w:rsidRDefault="001F570F" w:rsidP="001F570F">
            <w:pPr>
              <w:pStyle w:val="NoSpacing"/>
            </w:pPr>
            <w:r w:rsidRPr="00730EE0">
              <w:lastRenderedPageBreak/>
              <w:t>a</w:t>
            </w:r>
          </w:p>
          <w:p w14:paraId="149B832F" w14:textId="389DC9F7" w:rsidR="001F570F" w:rsidRPr="00730EE0" w:rsidRDefault="001F570F" w:rsidP="001F570F">
            <w:pPr>
              <w:pStyle w:val="NoSpacing"/>
            </w:pPr>
          </w:p>
        </w:tc>
        <w:tc>
          <w:tcPr>
            <w:tcW w:w="0" w:type="auto"/>
          </w:tcPr>
          <w:p w14:paraId="2D046390" w14:textId="77777777" w:rsidR="001F570F" w:rsidRDefault="001F570F" w:rsidP="001F570F">
            <w:pPr>
              <w:pStyle w:val="NoSpacing"/>
              <w:rPr>
                <w:color w:val="000000" w:themeColor="text1"/>
              </w:rPr>
            </w:pPr>
            <w:r w:rsidRPr="00771224">
              <w:rPr>
                <w:color w:val="000000" w:themeColor="text1"/>
              </w:rPr>
              <w:lastRenderedPageBreak/>
              <w:t xml:space="preserve">a) DoF, </w:t>
            </w:r>
            <w:r w:rsidRPr="00771224">
              <w:rPr>
                <w:color w:val="000000" w:themeColor="text1"/>
              </w:rPr>
              <w:lastRenderedPageBreak/>
              <w:t>MoFL</w:t>
            </w:r>
            <w:r w:rsidRPr="00771224">
              <w:rPr>
                <w:color w:val="000000" w:themeColor="text1"/>
              </w:rPr>
              <w:br/>
              <w:t>b) BFD, MoEFCC</w:t>
            </w:r>
          </w:p>
          <w:p w14:paraId="1C6C5BB7" w14:textId="77777777" w:rsidR="001F570F" w:rsidRDefault="001F570F" w:rsidP="001F570F">
            <w:pPr>
              <w:spacing w:line="276" w:lineRule="auto"/>
              <w:jc w:val="center"/>
              <w:rPr>
                <w:szCs w:val="26"/>
              </w:rPr>
            </w:pPr>
            <w:r>
              <w:t xml:space="preserve">c) </w:t>
            </w:r>
            <w:r w:rsidRPr="00103A41">
              <w:t xml:space="preserve"> DoE, MoEFCC</w:t>
            </w:r>
          </w:p>
          <w:p w14:paraId="04072B24" w14:textId="77777777" w:rsidR="001F570F" w:rsidRPr="00286F19" w:rsidRDefault="001F570F" w:rsidP="001F570F">
            <w:pPr>
              <w:spacing w:line="276" w:lineRule="auto"/>
              <w:jc w:val="center"/>
              <w:rPr>
                <w:szCs w:val="26"/>
              </w:rPr>
            </w:pPr>
            <w:r w:rsidRPr="00286F19">
              <w:rPr>
                <w:szCs w:val="26"/>
              </w:rPr>
              <w:t>Administrative Data</w:t>
            </w:r>
          </w:p>
        </w:tc>
        <w:tc>
          <w:tcPr>
            <w:tcW w:w="0" w:type="auto"/>
          </w:tcPr>
          <w:p w14:paraId="220EA546" w14:textId="5F47646E" w:rsidR="001F570F" w:rsidRPr="000C4849" w:rsidRDefault="00C65E01" w:rsidP="001F570F">
            <w:pPr>
              <w:ind w:left="970" w:hanging="970"/>
              <w:jc w:val="both"/>
              <w:rPr>
                <w:color w:val="0070C0"/>
                <w:szCs w:val="20"/>
              </w:rPr>
            </w:pPr>
            <w:r w:rsidRPr="000C4849">
              <w:rPr>
                <w:color w:val="0070C0"/>
                <w:szCs w:val="20"/>
              </w:rPr>
              <w:lastRenderedPageBreak/>
              <w:t>Geospatial</w:t>
            </w:r>
          </w:p>
        </w:tc>
        <w:tc>
          <w:tcPr>
            <w:tcW w:w="0" w:type="auto"/>
          </w:tcPr>
          <w:p w14:paraId="26E733D1" w14:textId="77777777" w:rsidR="001F570F" w:rsidRDefault="001F570F" w:rsidP="001F570F">
            <w:pPr>
              <w:ind w:left="970" w:hanging="970"/>
              <w:jc w:val="both"/>
              <w:rPr>
                <w:color w:val="0070C0"/>
                <w:sz w:val="30"/>
                <w:szCs w:val="30"/>
              </w:rPr>
            </w:pPr>
            <w:r>
              <w:t>Triennial</w:t>
            </w:r>
          </w:p>
        </w:tc>
        <w:tc>
          <w:tcPr>
            <w:tcW w:w="0" w:type="auto"/>
          </w:tcPr>
          <w:p w14:paraId="0EBB940C" w14:textId="77777777" w:rsidR="001F570F" w:rsidRDefault="001F570F" w:rsidP="001F570F">
            <w:pPr>
              <w:ind w:left="970" w:hanging="970"/>
              <w:jc w:val="both"/>
              <w:rPr>
                <w:color w:val="0070C0"/>
                <w:sz w:val="30"/>
                <w:szCs w:val="30"/>
              </w:rPr>
            </w:pPr>
            <w:r>
              <w:t xml:space="preserve">Group </w:t>
            </w:r>
            <w:r>
              <w:lastRenderedPageBreak/>
              <w:t>2</w:t>
            </w:r>
          </w:p>
        </w:tc>
        <w:tc>
          <w:tcPr>
            <w:tcW w:w="0" w:type="auto"/>
          </w:tcPr>
          <w:p w14:paraId="69B2EADA" w14:textId="77777777" w:rsidR="001F570F" w:rsidRDefault="001F570F" w:rsidP="001F570F">
            <w:pPr>
              <w:pStyle w:val="NoSpacing"/>
            </w:pPr>
            <w:r>
              <w:lastRenderedPageBreak/>
              <w:t>1</w:t>
            </w:r>
            <w:r w:rsidRPr="00013ACB">
              <w:rPr>
                <w:vertAlign w:val="superscript"/>
              </w:rPr>
              <w:t>st</w:t>
            </w:r>
            <w:r>
              <w:t xml:space="preserve"> </w:t>
            </w:r>
            <w:r>
              <w:lastRenderedPageBreak/>
              <w:t>Round:</w:t>
            </w:r>
          </w:p>
          <w:p w14:paraId="0FE894F9" w14:textId="77777777" w:rsidR="001F570F" w:rsidRPr="00670519" w:rsidRDefault="001F570F" w:rsidP="001F570F">
            <w:pPr>
              <w:pStyle w:val="NoSpacing"/>
              <w:rPr>
                <w:b/>
              </w:rPr>
            </w:pPr>
            <w:r w:rsidRPr="00670519">
              <w:t xml:space="preserve">December, </w:t>
            </w:r>
          </w:p>
          <w:p w14:paraId="68A7DDE2" w14:textId="77777777" w:rsidR="001F570F" w:rsidRDefault="001F570F" w:rsidP="001F570F">
            <w:pPr>
              <w:pStyle w:val="NoSpacing"/>
            </w:pPr>
            <w:r>
              <w:t>2020</w:t>
            </w:r>
          </w:p>
          <w:p w14:paraId="0AF8279B" w14:textId="77777777" w:rsidR="001F570F" w:rsidRDefault="001F570F" w:rsidP="001F570F">
            <w:pPr>
              <w:pStyle w:val="NoSpacing"/>
            </w:pPr>
          </w:p>
          <w:p w14:paraId="6D142C7D" w14:textId="77777777" w:rsidR="001F570F" w:rsidRDefault="001F570F" w:rsidP="001F570F">
            <w:pPr>
              <w:pStyle w:val="NoSpacing"/>
            </w:pPr>
            <w:r>
              <w:t>2</w:t>
            </w:r>
            <w:r w:rsidRPr="00013ACB">
              <w:rPr>
                <w:vertAlign w:val="superscript"/>
              </w:rPr>
              <w:t>nd</w:t>
            </w:r>
            <w:r>
              <w:t xml:space="preserve"> Round:</w:t>
            </w:r>
          </w:p>
          <w:p w14:paraId="39FBA6AE" w14:textId="77777777" w:rsidR="001F570F" w:rsidRDefault="001F570F" w:rsidP="001F570F">
            <w:pPr>
              <w:pStyle w:val="NoSpacing"/>
            </w:pPr>
            <w:r>
              <w:t xml:space="preserve"> December 2023</w:t>
            </w:r>
          </w:p>
          <w:p w14:paraId="06363103" w14:textId="77777777" w:rsidR="001F570F" w:rsidRDefault="001F570F" w:rsidP="001F570F">
            <w:pPr>
              <w:pStyle w:val="NoSpacing"/>
            </w:pPr>
          </w:p>
          <w:p w14:paraId="680304B9" w14:textId="77777777" w:rsidR="001F570F" w:rsidRDefault="001F570F" w:rsidP="001F570F">
            <w:pPr>
              <w:pStyle w:val="NoSpacing"/>
            </w:pPr>
            <w:r>
              <w:t>3</w:t>
            </w:r>
            <w:r w:rsidRPr="00013ACB">
              <w:rPr>
                <w:vertAlign w:val="superscript"/>
              </w:rPr>
              <w:t>rd</w:t>
            </w:r>
            <w:r>
              <w:t xml:space="preserve"> Round: </w:t>
            </w:r>
          </w:p>
          <w:p w14:paraId="56D915BB" w14:textId="77777777" w:rsidR="001F570F" w:rsidRDefault="001F570F" w:rsidP="001F570F">
            <w:pPr>
              <w:pStyle w:val="NoSpacing"/>
            </w:pPr>
            <w:r>
              <w:t>December 2026</w:t>
            </w:r>
          </w:p>
          <w:p w14:paraId="61238FAF" w14:textId="77777777" w:rsidR="001F570F" w:rsidRDefault="001F570F" w:rsidP="001F570F">
            <w:pPr>
              <w:pStyle w:val="NoSpacing"/>
            </w:pPr>
          </w:p>
          <w:p w14:paraId="2C4C03DE" w14:textId="77777777" w:rsidR="001F570F" w:rsidRDefault="001F570F" w:rsidP="001F570F">
            <w:pPr>
              <w:pStyle w:val="NoSpacing"/>
            </w:pPr>
            <w:r>
              <w:t>4</w:t>
            </w:r>
            <w:r w:rsidRPr="00013ACB">
              <w:rPr>
                <w:vertAlign w:val="superscript"/>
              </w:rPr>
              <w:t>th</w:t>
            </w:r>
            <w:r>
              <w:t xml:space="preserve"> Round: </w:t>
            </w:r>
          </w:p>
          <w:p w14:paraId="7B3D2693" w14:textId="77777777" w:rsidR="001F570F" w:rsidRDefault="001F570F" w:rsidP="001F570F">
            <w:pPr>
              <w:pStyle w:val="NoSpacing"/>
            </w:pPr>
            <w:r>
              <w:t>December 2029</w:t>
            </w:r>
          </w:p>
          <w:p w14:paraId="73FDC7D1" w14:textId="77777777" w:rsidR="001F570F" w:rsidRDefault="001F570F" w:rsidP="001F570F">
            <w:pPr>
              <w:pStyle w:val="NoSpacing"/>
            </w:pPr>
          </w:p>
          <w:p w14:paraId="69E784D9" w14:textId="77777777" w:rsidR="001F570F" w:rsidRDefault="001F570F" w:rsidP="001F570F">
            <w:pPr>
              <w:pStyle w:val="NoSpacing"/>
            </w:pPr>
            <w:r>
              <w:t>5</w:t>
            </w:r>
            <w:r w:rsidRPr="00013ACB">
              <w:rPr>
                <w:vertAlign w:val="superscript"/>
              </w:rPr>
              <w:t>th</w:t>
            </w:r>
            <w:r>
              <w:t xml:space="preserve"> Round: </w:t>
            </w:r>
          </w:p>
          <w:p w14:paraId="11A50599" w14:textId="5746A0C4" w:rsidR="001F570F" w:rsidRDefault="001F570F" w:rsidP="001F570F">
            <w:pPr>
              <w:pStyle w:val="NoSpacing"/>
            </w:pPr>
            <w:r>
              <w:t>December 2030</w:t>
            </w:r>
          </w:p>
        </w:tc>
        <w:tc>
          <w:tcPr>
            <w:tcW w:w="0" w:type="auto"/>
          </w:tcPr>
          <w:p w14:paraId="02D4664C" w14:textId="77777777" w:rsidR="001F570F" w:rsidRDefault="001F570F" w:rsidP="001F570F">
            <w:pPr>
              <w:pStyle w:val="NoSpacing"/>
            </w:pPr>
            <w:r>
              <w:lastRenderedPageBreak/>
              <w:t xml:space="preserve">UNSC 51 </w:t>
            </w:r>
            <w:r>
              <w:lastRenderedPageBreak/>
              <w:t>refinement</w:t>
            </w:r>
          </w:p>
          <w:p w14:paraId="29652F6D" w14:textId="77777777" w:rsidR="001F570F" w:rsidRDefault="001F570F" w:rsidP="001F570F">
            <w:pPr>
              <w:pStyle w:val="NoSpacing"/>
            </w:pPr>
          </w:p>
          <w:p w14:paraId="29D93CD2" w14:textId="77777777" w:rsidR="001F570F" w:rsidRDefault="001F570F" w:rsidP="001F570F">
            <w:pPr>
              <w:pStyle w:val="NoSpacing"/>
            </w:pPr>
            <w:r>
              <w:t>Reviewed at 10th IAEG-SDG meeting</w:t>
            </w:r>
          </w:p>
          <w:p w14:paraId="0DFF1511" w14:textId="77777777" w:rsidR="001F570F" w:rsidRDefault="001F570F" w:rsidP="001F570F">
            <w:pPr>
              <w:pStyle w:val="NoSpacing"/>
            </w:pPr>
            <w:r>
              <w:t>(classified as Tier II)</w:t>
            </w:r>
          </w:p>
        </w:tc>
      </w:tr>
      <w:tr w:rsidR="001F570F" w14:paraId="7D5562FD" w14:textId="77777777" w:rsidTr="00A64F0D">
        <w:tc>
          <w:tcPr>
            <w:tcW w:w="0" w:type="auto"/>
          </w:tcPr>
          <w:p w14:paraId="2CB88504" w14:textId="77777777" w:rsidR="001F570F" w:rsidRDefault="001F570F" w:rsidP="001F570F">
            <w:pPr>
              <w:ind w:left="970" w:hanging="970"/>
              <w:jc w:val="both"/>
              <w:rPr>
                <w:color w:val="0070C0"/>
                <w:sz w:val="30"/>
                <w:szCs w:val="30"/>
              </w:rPr>
            </w:pPr>
          </w:p>
        </w:tc>
        <w:tc>
          <w:tcPr>
            <w:tcW w:w="0" w:type="auto"/>
            <w:gridSpan w:val="12"/>
          </w:tcPr>
          <w:p w14:paraId="3DD3B1B6"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14.3 Minimize and address the impacts of ocean acidification, including through enhanced scientific cooperation at all levels</w:t>
            </w:r>
          </w:p>
        </w:tc>
      </w:tr>
      <w:tr w:rsidR="001F570F" w14:paraId="0CD7A7C8" w14:textId="77777777" w:rsidTr="00A64F0D">
        <w:tc>
          <w:tcPr>
            <w:tcW w:w="0" w:type="auto"/>
          </w:tcPr>
          <w:p w14:paraId="4FC375E0" w14:textId="77777777" w:rsidR="001F570F" w:rsidRDefault="001F570F" w:rsidP="001F570F">
            <w:pPr>
              <w:pStyle w:val="NoSpacing"/>
            </w:pPr>
            <w:r w:rsidRPr="000221E2">
              <w:t>14.3.1 Average marine acidity (pH) measured at agreed suite of representative sampling stations</w:t>
            </w:r>
          </w:p>
        </w:tc>
        <w:tc>
          <w:tcPr>
            <w:tcW w:w="0" w:type="auto"/>
          </w:tcPr>
          <w:p w14:paraId="188DF6DB" w14:textId="77777777" w:rsidR="001F570F" w:rsidRDefault="001F570F" w:rsidP="001F570F">
            <w:pPr>
              <w:pStyle w:val="NoSpacing"/>
            </w:pPr>
            <w:r w:rsidRPr="00E53957">
              <w:t>IOC-UNESCO</w:t>
            </w:r>
          </w:p>
          <w:p w14:paraId="1943F94A" w14:textId="77777777" w:rsidR="001F570F" w:rsidRDefault="001F570F" w:rsidP="001F570F">
            <w:pPr>
              <w:rPr>
                <w:b/>
                <w:bCs/>
                <w:szCs w:val="20"/>
              </w:rPr>
            </w:pPr>
            <w:r w:rsidRPr="007243FC">
              <w:rPr>
                <w:b/>
                <w:bCs/>
                <w:szCs w:val="20"/>
              </w:rPr>
              <w:t>Partner Agencies:</w:t>
            </w:r>
          </w:p>
          <w:p w14:paraId="5FBF5B88" w14:textId="77777777" w:rsidR="001F570F" w:rsidRDefault="001F570F" w:rsidP="001F570F">
            <w:pPr>
              <w:pStyle w:val="NoSpacing"/>
            </w:pPr>
            <w:r w:rsidRPr="00E53957">
              <w:t>UNEP</w:t>
            </w:r>
          </w:p>
        </w:tc>
        <w:tc>
          <w:tcPr>
            <w:tcW w:w="0" w:type="auto"/>
          </w:tcPr>
          <w:p w14:paraId="4B274D78" w14:textId="77777777" w:rsidR="001F570F" w:rsidRDefault="001F570F" w:rsidP="001F570F">
            <w:pPr>
              <w:ind w:left="970" w:hanging="970"/>
              <w:jc w:val="both"/>
              <w:rPr>
                <w:color w:val="0070C0"/>
                <w:sz w:val="30"/>
                <w:szCs w:val="30"/>
              </w:rPr>
            </w:pPr>
            <w:r w:rsidRPr="00666BAB">
              <w:t>Tier II</w:t>
            </w:r>
          </w:p>
        </w:tc>
        <w:tc>
          <w:tcPr>
            <w:tcW w:w="0" w:type="auto"/>
          </w:tcPr>
          <w:p w14:paraId="3DD3BEFF" w14:textId="77777777" w:rsidR="001F570F" w:rsidRPr="00872524" w:rsidRDefault="001F570F" w:rsidP="001F570F">
            <w:pPr>
              <w:pStyle w:val="NoSpacing"/>
              <w:rPr>
                <w:b/>
                <w:bCs/>
                <w:lang w:val="en-GB"/>
              </w:rPr>
            </w:pPr>
            <w:r w:rsidRPr="00872524">
              <w:rPr>
                <w:b/>
                <w:bCs/>
                <w:lang w:val="en-GB"/>
              </w:rPr>
              <w:t>Definition:</w:t>
            </w:r>
          </w:p>
          <w:p w14:paraId="7F5324A2" w14:textId="77777777" w:rsidR="001F570F" w:rsidRPr="00872524" w:rsidRDefault="001F570F" w:rsidP="001F570F">
            <w:pPr>
              <w:pStyle w:val="NoSpacing"/>
              <w:rPr>
                <w:lang w:val="en-GB"/>
              </w:rPr>
            </w:pPr>
            <w:r w:rsidRPr="00872524">
              <w:rPr>
                <w:lang w:val="en-GB"/>
              </w:rPr>
              <w:t>Ocean acidification is the reduction in the pH of the ocean over an extended period, typically of decades or longer, which is caused primarily by the uptake of carbon dioxide from the atmosphere</w:t>
            </w:r>
            <w:r w:rsidRPr="00872524">
              <w:rPr>
                <w:vertAlign w:val="superscript"/>
                <w:lang w:val="en-GB"/>
              </w:rPr>
              <w:footnoteReference w:id="24"/>
            </w:r>
            <w:r w:rsidRPr="00872524">
              <w:rPr>
                <w:lang w:val="en-GB"/>
              </w:rPr>
              <w:t xml:space="preserve">. </w:t>
            </w:r>
          </w:p>
          <w:p w14:paraId="33B15F8D" w14:textId="77777777" w:rsidR="001F570F" w:rsidRPr="00872524" w:rsidRDefault="001F570F" w:rsidP="001F570F">
            <w:pPr>
              <w:pStyle w:val="NoSpacing"/>
              <w:rPr>
                <w:lang w:val="en-GB"/>
              </w:rPr>
            </w:pPr>
            <w:r w:rsidRPr="00872524">
              <w:rPr>
                <w:lang w:val="en-GB"/>
              </w:rPr>
              <w:t xml:space="preserve">This indicator is based on observations that constrain the ocean carbon system and which are required to describe the variability of ocean acidity. The carbon system in this context mainly refers to the four measureable parameters: pH (the concentration of hydrogen ions on a logarithmic scale), DIC (CT; total dissolved inorganic carbon), </w:t>
            </w:r>
            <w:r w:rsidRPr="00872524">
              <w:rPr>
                <w:i/>
                <w:lang w:val="en-GB"/>
              </w:rPr>
              <w:t>p</w:t>
            </w:r>
            <w:r w:rsidRPr="00872524">
              <w:rPr>
                <w:lang w:val="en-GB"/>
              </w:rPr>
              <w:t>CO</w:t>
            </w:r>
            <w:r w:rsidRPr="00872524">
              <w:rPr>
                <w:vertAlign w:val="subscript"/>
                <w:lang w:val="en-GB"/>
              </w:rPr>
              <w:t>2</w:t>
            </w:r>
            <w:r w:rsidRPr="00872524">
              <w:rPr>
                <w:lang w:val="en-GB"/>
              </w:rPr>
              <w:t xml:space="preserve"> (carbon dioxide partial pressure), and TA (AT, total alkalinity). Average, as used here, is the equally weighed annual mean. </w:t>
            </w:r>
          </w:p>
          <w:p w14:paraId="36AB7213" w14:textId="77777777" w:rsidR="001F570F" w:rsidRPr="00872524" w:rsidRDefault="001F570F" w:rsidP="001F570F">
            <w:pPr>
              <w:pStyle w:val="NoSpacing"/>
              <w:rPr>
                <w:lang w:val="en-GB"/>
              </w:rPr>
            </w:pPr>
          </w:p>
          <w:p w14:paraId="6A44122D" w14:textId="77777777" w:rsidR="001F570F" w:rsidRPr="00872524" w:rsidRDefault="001F570F" w:rsidP="001F570F">
            <w:pPr>
              <w:pStyle w:val="NoSpacing"/>
              <w:rPr>
                <w:lang w:val="en-GB"/>
              </w:rPr>
            </w:pPr>
            <w:r w:rsidRPr="00872524">
              <w:rPr>
                <w:lang w:val="en-GB"/>
              </w:rPr>
              <w:t xml:space="preserve">A agreed suite of representative sampling stations are sites that have a measurement frequency that is adequate for </w:t>
            </w:r>
            <w:r w:rsidRPr="00872524">
              <w:rPr>
                <w:lang w:val="en-GB"/>
              </w:rPr>
              <w:lastRenderedPageBreak/>
              <w:t xml:space="preserve">describing variability and trends in carbonate chemistry in order to deliver critical information on the exposure of and impacts on marine systems to ocean acidification, and which provide data of sufficient quality and with comprehensive metadata information to enable integration with data from other sites in the country. </w:t>
            </w:r>
          </w:p>
          <w:p w14:paraId="507A28EE" w14:textId="77777777" w:rsidR="001F570F" w:rsidRPr="00872524" w:rsidRDefault="001F570F" w:rsidP="001F570F">
            <w:pPr>
              <w:pStyle w:val="NoSpacing"/>
              <w:rPr>
                <w:lang w:val="en-GB"/>
              </w:rPr>
            </w:pPr>
          </w:p>
          <w:p w14:paraId="79811178" w14:textId="77777777" w:rsidR="001F570F" w:rsidRPr="00872524" w:rsidRDefault="001F570F" w:rsidP="001F570F">
            <w:pPr>
              <w:pStyle w:val="NoSpacing"/>
              <w:rPr>
                <w:b/>
                <w:bCs/>
                <w:lang w:val="en-GB"/>
              </w:rPr>
            </w:pPr>
            <w:r w:rsidRPr="00872524">
              <w:rPr>
                <w:b/>
                <w:bCs/>
                <w:lang w:val="en-GB"/>
              </w:rPr>
              <w:t>Concepts:</w:t>
            </w:r>
          </w:p>
          <w:p w14:paraId="67880EB8" w14:textId="77777777" w:rsidR="001F570F" w:rsidRPr="00872524" w:rsidRDefault="001F570F" w:rsidP="001F570F">
            <w:pPr>
              <w:pStyle w:val="NoSpacing"/>
              <w:rPr>
                <w:lang w:val="en-GB"/>
              </w:rPr>
            </w:pPr>
            <w:r w:rsidRPr="00872524">
              <w:rPr>
                <w:lang w:val="en-GB"/>
              </w:rPr>
              <w:t>Ocean acidification is caused by an increase in the amount of dissolved atmospheric CO</w:t>
            </w:r>
            <w:r w:rsidRPr="00872524">
              <w:rPr>
                <w:vertAlign w:val="subscript"/>
                <w:lang w:val="en-GB"/>
              </w:rPr>
              <w:t>2</w:t>
            </w:r>
            <w:r w:rsidRPr="00872524">
              <w:rPr>
                <w:lang w:val="en-GB"/>
              </w:rPr>
              <w:t xml:space="preserve"> in the seawater. The average marine acidity is expressed as pH, the concentration of hydrogen ions on a logarithmic scale. In order to be able to constrain the carbonate chemistry of seawater, it is necessary to measure at least two of the four parameters, i.e. pH, </w:t>
            </w:r>
            <w:r w:rsidRPr="00872524">
              <w:rPr>
                <w:i/>
                <w:lang w:val="en-GB"/>
              </w:rPr>
              <w:t>p</w:t>
            </w:r>
            <w:r w:rsidRPr="00872524">
              <w:rPr>
                <w:lang w:val="en-GB"/>
              </w:rPr>
              <w:t>CO</w:t>
            </w:r>
            <w:r w:rsidRPr="00872524">
              <w:rPr>
                <w:vertAlign w:val="subscript"/>
                <w:lang w:val="en-GB"/>
              </w:rPr>
              <w:t>2</w:t>
            </w:r>
            <w:r w:rsidRPr="00872524">
              <w:rPr>
                <w:lang w:val="en-GB"/>
              </w:rPr>
              <w:t xml:space="preserve">, DIC (CT), and TA (AT).  </w:t>
            </w:r>
            <w:proofErr w:type="gramStart"/>
            <w:r w:rsidRPr="00872524">
              <w:rPr>
                <w:lang w:val="en-GB"/>
              </w:rPr>
              <w:t>pH</w:t>
            </w:r>
            <w:proofErr w:type="gramEnd"/>
            <w:r w:rsidRPr="00872524">
              <w:rPr>
                <w:lang w:val="en-GB"/>
              </w:rPr>
              <w:t xml:space="preserve"> (the concentration of hydrogen ions on a logarithmic scale, expressed on total scale), DIC (total dissolved inorganic carbon, in </w:t>
            </w:r>
            <w:r w:rsidRPr="00872524">
              <w:rPr>
                <w:rFonts w:ascii="Calibri" w:hAnsi="Calibri" w:cs="Calibri"/>
                <w:lang w:val="en-GB"/>
              </w:rPr>
              <w:t>μ</w:t>
            </w:r>
            <w:r w:rsidRPr="00872524">
              <w:rPr>
                <w:lang w:val="en-GB"/>
              </w:rPr>
              <w:t>mol kg</w:t>
            </w:r>
            <w:r w:rsidRPr="00872524">
              <w:rPr>
                <w:vertAlign w:val="superscript"/>
                <w:lang w:val="en-GB"/>
              </w:rPr>
              <w:t>-1</w:t>
            </w:r>
            <w:r w:rsidRPr="00872524">
              <w:rPr>
                <w:lang w:val="en-GB"/>
              </w:rPr>
              <w:t xml:space="preserve">), </w:t>
            </w:r>
            <w:r w:rsidRPr="00872524">
              <w:rPr>
                <w:i/>
                <w:lang w:val="en-GB"/>
              </w:rPr>
              <w:t>p</w:t>
            </w:r>
            <w:r w:rsidRPr="00872524">
              <w:rPr>
                <w:lang w:val="en-GB"/>
              </w:rPr>
              <w:t>CO</w:t>
            </w:r>
            <w:r w:rsidRPr="00872524">
              <w:rPr>
                <w:vertAlign w:val="subscript"/>
                <w:lang w:val="en-GB"/>
              </w:rPr>
              <w:t>2</w:t>
            </w:r>
            <w:r w:rsidRPr="00872524">
              <w:rPr>
                <w:lang w:val="en-GB"/>
              </w:rPr>
              <w:t xml:space="preserve"> (carbon dioxide partial pressure, in ppt or </w:t>
            </w:r>
            <w:r w:rsidRPr="00872524">
              <w:rPr>
                <w:rFonts w:ascii="Calibri" w:hAnsi="Calibri" w:cs="Calibri"/>
                <w:lang w:val="en-GB"/>
              </w:rPr>
              <w:t>μ</w:t>
            </w:r>
            <w:r w:rsidRPr="00872524">
              <w:rPr>
                <w:lang w:val="en-GB"/>
              </w:rPr>
              <w:t xml:space="preserve">atm), and TA (AT, total alkalinity, in </w:t>
            </w:r>
            <w:r w:rsidRPr="00872524">
              <w:rPr>
                <w:rFonts w:ascii="Calibri" w:hAnsi="Calibri" w:cs="Calibri"/>
                <w:lang w:val="en-GB"/>
              </w:rPr>
              <w:t>μ</w:t>
            </w:r>
            <w:r w:rsidRPr="00872524">
              <w:rPr>
                <w:lang w:val="en-GB"/>
              </w:rPr>
              <w:t>mol kg</w:t>
            </w:r>
            <w:r w:rsidRPr="00872524">
              <w:rPr>
                <w:vertAlign w:val="superscript"/>
                <w:lang w:val="en-GB"/>
              </w:rPr>
              <w:t>-1</w:t>
            </w:r>
            <w:r w:rsidRPr="00872524">
              <w:rPr>
                <w:lang w:val="en-GB"/>
              </w:rPr>
              <w:t>).</w:t>
            </w:r>
          </w:p>
          <w:p w14:paraId="69A998DC" w14:textId="77777777" w:rsidR="001F570F" w:rsidRPr="00872524" w:rsidRDefault="001F570F" w:rsidP="001F570F">
            <w:pPr>
              <w:pStyle w:val="NoSpacing"/>
              <w:rPr>
                <w:lang w:val="en-GB"/>
              </w:rPr>
            </w:pPr>
          </w:p>
          <w:p w14:paraId="2A5A1EF8" w14:textId="77777777" w:rsidR="001F570F" w:rsidRPr="00872524" w:rsidRDefault="001F570F" w:rsidP="001F570F">
            <w:pPr>
              <w:pStyle w:val="NoSpacing"/>
              <w:rPr>
                <w:b/>
                <w:bCs/>
                <w:lang w:val="en-GB"/>
              </w:rPr>
            </w:pPr>
            <w:r w:rsidRPr="00872524">
              <w:rPr>
                <w:b/>
                <w:bCs/>
                <w:lang w:val="en-GB"/>
              </w:rPr>
              <w:t>Comments and limitations:</w:t>
            </w:r>
          </w:p>
          <w:p w14:paraId="5E62CAE9" w14:textId="77777777" w:rsidR="001F570F" w:rsidRPr="00872524" w:rsidRDefault="001F570F" w:rsidP="001F570F">
            <w:pPr>
              <w:pStyle w:val="NoSpacing"/>
              <w:rPr>
                <w:lang w:val="en-GB"/>
              </w:rPr>
            </w:pPr>
            <w:r w:rsidRPr="00872524">
              <w:rPr>
                <w:lang w:val="en-GB"/>
              </w:rPr>
              <w:t xml:space="preserve">The methodology for this indicator has been developed with the technical support of experts in the field of ocean acidification. It provides globally accepted and adapted guidelines and best practices established by scientists and published in peer-reviewed literature.  </w:t>
            </w:r>
          </w:p>
          <w:p w14:paraId="0F0F3D0A" w14:textId="77777777" w:rsidR="001F570F" w:rsidRPr="00872524" w:rsidRDefault="001F570F" w:rsidP="001F570F">
            <w:pPr>
              <w:pStyle w:val="NoSpacing"/>
              <w:rPr>
                <w:lang w:val="en-GB"/>
              </w:rPr>
            </w:pPr>
          </w:p>
          <w:p w14:paraId="56A56DCA" w14:textId="77777777" w:rsidR="001F570F" w:rsidRPr="00872524" w:rsidRDefault="001F570F" w:rsidP="001F570F">
            <w:pPr>
              <w:pStyle w:val="NoSpacing"/>
              <w:rPr>
                <w:lang w:val="en-GB"/>
              </w:rPr>
            </w:pPr>
            <w:r w:rsidRPr="00872524">
              <w:rPr>
                <w:lang w:val="en-GB"/>
              </w:rPr>
              <w:t xml:space="preserve">As this is a highly complex indicator, the technical infrastructure necessary for the correct measurement is a potentially constraining factor. The Methodology for the indicator describes how to avoid comparability issues of the data, which have been problematic in the past, measurement errors and advises on the most appropriate technical and methodological procedures to guarantee high-quality data that can be used for the global assessment of ocean acidification.  The addition of metadata to the methodology for this indicator is crucial for adding traceability and transparency to the data, by providing information on the precise equipment and methodology used, as well as specifying the location, accompanying biogeochemical variables and the person taking the measurement. </w:t>
            </w:r>
          </w:p>
          <w:p w14:paraId="2371D153" w14:textId="77777777" w:rsidR="001F570F" w:rsidRPr="00872524" w:rsidRDefault="001F570F" w:rsidP="001F570F">
            <w:pPr>
              <w:pStyle w:val="NoSpacing"/>
              <w:rPr>
                <w:lang w:val="en-GB"/>
              </w:rPr>
            </w:pPr>
          </w:p>
          <w:p w14:paraId="6078290E" w14:textId="77777777" w:rsidR="001F570F" w:rsidRPr="00872524" w:rsidRDefault="001F570F" w:rsidP="001F570F">
            <w:pPr>
              <w:pStyle w:val="NoSpacing"/>
              <w:rPr>
                <w:lang w:val="en-GB"/>
              </w:rPr>
            </w:pPr>
            <w:r w:rsidRPr="00872524">
              <w:rPr>
                <w:lang w:val="en-GB"/>
              </w:rPr>
              <w:t>Methodology</w:t>
            </w:r>
          </w:p>
          <w:p w14:paraId="7CCBD7FF" w14:textId="77777777" w:rsidR="001F570F" w:rsidRPr="00872524" w:rsidRDefault="001F570F" w:rsidP="001F570F">
            <w:pPr>
              <w:pStyle w:val="NoSpacing"/>
              <w:rPr>
                <w:b/>
                <w:bCs/>
                <w:i/>
                <w:lang w:val="en-GB"/>
              </w:rPr>
            </w:pPr>
            <w:r w:rsidRPr="00872524">
              <w:rPr>
                <w:b/>
                <w:bCs/>
                <w:i/>
                <w:lang w:val="en-GB"/>
              </w:rPr>
              <w:t>Detailed information in Attachment I IOC/EC-LI/2 Annex 6</w:t>
            </w:r>
          </w:p>
          <w:p w14:paraId="332A50A4" w14:textId="77777777" w:rsidR="001F570F" w:rsidRPr="00872524" w:rsidRDefault="001F570F" w:rsidP="001F570F">
            <w:pPr>
              <w:pStyle w:val="NoSpacing"/>
              <w:rPr>
                <w:b/>
                <w:bCs/>
                <w:i/>
                <w:lang w:val="en-GB"/>
              </w:rPr>
            </w:pPr>
          </w:p>
          <w:p w14:paraId="796478EB" w14:textId="77777777" w:rsidR="001F570F" w:rsidRPr="00872524" w:rsidRDefault="001F570F" w:rsidP="001F570F">
            <w:pPr>
              <w:pStyle w:val="NoSpacing"/>
              <w:rPr>
                <w:b/>
                <w:bCs/>
                <w:lang w:val="en-GB"/>
              </w:rPr>
            </w:pPr>
            <w:r w:rsidRPr="00872524">
              <w:rPr>
                <w:b/>
                <w:bCs/>
                <w:lang w:val="en-GB"/>
              </w:rPr>
              <w:t>Computation Method:</w:t>
            </w:r>
          </w:p>
          <w:p w14:paraId="1E7FCB4E" w14:textId="77777777" w:rsidR="001F570F" w:rsidRPr="00872524" w:rsidRDefault="001F570F" w:rsidP="001F570F">
            <w:pPr>
              <w:pStyle w:val="NoSpacing"/>
              <w:rPr>
                <w:lang w:val="en-GB"/>
              </w:rPr>
            </w:pPr>
            <w:r w:rsidRPr="00872524">
              <w:rPr>
                <w:lang w:val="en-GB"/>
              </w:rPr>
              <w:t xml:space="preserve">This indicator calls for the collection of multiple observations, in the form of individual data points, to capture the variability in ocean acidity. Individual data points for pH either are measured directly or can be calculated based on data for two of the other carbonate chemistry parameters, these being TA (AT), DIC (CT) and </w:t>
            </w:r>
            <w:r w:rsidRPr="00872524">
              <w:rPr>
                <w:i/>
                <w:lang w:val="en-GB"/>
              </w:rPr>
              <w:t>p</w:t>
            </w:r>
            <w:r w:rsidRPr="00872524">
              <w:rPr>
                <w:lang w:val="en-GB"/>
              </w:rPr>
              <w:t>CO</w:t>
            </w:r>
            <w:r w:rsidRPr="00872524">
              <w:rPr>
                <w:vertAlign w:val="subscript"/>
                <w:lang w:val="en-GB"/>
              </w:rPr>
              <w:t>2</w:t>
            </w:r>
            <w:r w:rsidRPr="00872524">
              <w:rPr>
                <w:lang w:val="en-GB"/>
              </w:rPr>
              <w:t xml:space="preserve">.  Calculation tools developed by experts in the field are freely available, and they are introduced and linked in the methodology. Average pH is defined as the annual equally weighed mean of multiple data points at representative sampling stations. The exact number of samples and data points depends on the level of variability of ocean acidity at the site in question. The </w:t>
            </w:r>
            <w:r w:rsidRPr="00872524">
              <w:rPr>
                <w:lang w:val="en-GB"/>
              </w:rPr>
              <w:lastRenderedPageBreak/>
              <w:t xml:space="preserve">minimum number of samples should enable the characterisation of a seasonal cycle at the site. Detailed guidelines on the minimum number of observations required are provided in the Methodology. In addition to the data value, standard deviation and the total range (minimum and maximum values measured), as well as underlying data used to provide traceability and transparency (metadata information) should be reported. If historical data is available, this should be released to enable calculations about the rate of change and to compare natural variability and anthropogenic effects. </w:t>
            </w:r>
          </w:p>
          <w:p w14:paraId="27A73399" w14:textId="77777777" w:rsidR="001F570F" w:rsidRPr="00872524" w:rsidRDefault="001F570F" w:rsidP="001F570F">
            <w:pPr>
              <w:pStyle w:val="NoSpacing"/>
              <w:rPr>
                <w:b/>
                <w:bCs/>
                <w:lang w:val="en-GB"/>
              </w:rPr>
            </w:pPr>
          </w:p>
          <w:p w14:paraId="54733A44" w14:textId="77777777" w:rsidR="001F570F" w:rsidRDefault="001F570F" w:rsidP="001F570F">
            <w:pPr>
              <w:pStyle w:val="NoSpacing"/>
            </w:pPr>
          </w:p>
        </w:tc>
        <w:tc>
          <w:tcPr>
            <w:tcW w:w="0" w:type="auto"/>
          </w:tcPr>
          <w:p w14:paraId="638F19B1" w14:textId="77777777" w:rsidR="001F570F" w:rsidRDefault="001F570F" w:rsidP="001F570F">
            <w:pPr>
              <w:pStyle w:val="NoSpacing"/>
            </w:pPr>
            <w:r w:rsidRPr="00A62A9F">
              <w:lastRenderedPageBreak/>
              <w:t>(I) Counterparts</w:t>
            </w:r>
          </w:p>
          <w:p w14:paraId="03D99716" w14:textId="77777777" w:rsidR="001F570F" w:rsidRDefault="001F570F" w:rsidP="001F570F">
            <w:pPr>
              <w:pStyle w:val="NoSpacing"/>
            </w:pPr>
          </w:p>
          <w:p w14:paraId="4D85DD2A" w14:textId="77777777" w:rsidR="001F570F" w:rsidRDefault="001F570F" w:rsidP="001F570F">
            <w:pPr>
              <w:pStyle w:val="NoSpacing"/>
            </w:pPr>
          </w:p>
          <w:p w14:paraId="23827A9D" w14:textId="77777777" w:rsidR="001F570F" w:rsidRDefault="001F570F" w:rsidP="001F570F">
            <w:pPr>
              <w:pStyle w:val="NoSpacing"/>
            </w:pPr>
            <w:r w:rsidRPr="00A62A9F">
              <w:t>(II) Validation and consultation process</w:t>
            </w:r>
          </w:p>
          <w:p w14:paraId="5FA69128" w14:textId="77777777" w:rsidR="001F570F" w:rsidRDefault="001F570F" w:rsidP="001F570F">
            <w:pPr>
              <w:pStyle w:val="NoSpacing"/>
            </w:pPr>
          </w:p>
        </w:tc>
        <w:tc>
          <w:tcPr>
            <w:tcW w:w="0" w:type="auto"/>
          </w:tcPr>
          <w:p w14:paraId="141B873F" w14:textId="77777777" w:rsidR="001F570F" w:rsidRDefault="001F570F" w:rsidP="001F570F">
            <w:r w:rsidRPr="00C75B9F">
              <w:t xml:space="preserve">National Statistical Offices (NSOs), </w:t>
            </w:r>
          </w:p>
          <w:p w14:paraId="7F203BF2" w14:textId="77777777" w:rsidR="001F570F" w:rsidRDefault="001F570F" w:rsidP="001F570F"/>
          <w:p w14:paraId="12A8BEBC" w14:textId="77777777" w:rsidR="001F570F" w:rsidRDefault="001F570F" w:rsidP="001F570F"/>
          <w:p w14:paraId="6EA9E3AC" w14:textId="77777777" w:rsidR="001F570F" w:rsidRDefault="001F570F" w:rsidP="001F570F">
            <w:r w:rsidRPr="00C75B9F">
              <w:t>IOC national focal points</w:t>
            </w:r>
          </w:p>
          <w:p w14:paraId="0690323A" w14:textId="77777777" w:rsidR="001F570F" w:rsidRDefault="001F570F" w:rsidP="001F570F"/>
          <w:p w14:paraId="64E38E8B" w14:textId="77777777" w:rsidR="001F570F" w:rsidRDefault="001F570F" w:rsidP="001F570F">
            <w:r w:rsidRPr="00C75B9F">
              <w:t>NODCs</w:t>
            </w:r>
          </w:p>
          <w:p w14:paraId="08E06289" w14:textId="77777777" w:rsidR="001F570F" w:rsidRDefault="001F570F" w:rsidP="001F570F"/>
          <w:p w14:paraId="2330D4CC" w14:textId="77777777" w:rsidR="001F570F" w:rsidRDefault="001F570F" w:rsidP="001F570F">
            <w:r w:rsidRPr="00C75B9F">
              <w:t xml:space="preserve">international data centres and data providers </w:t>
            </w:r>
          </w:p>
          <w:p w14:paraId="23606456" w14:textId="77777777" w:rsidR="001F570F" w:rsidRPr="00ED345B" w:rsidRDefault="001F570F" w:rsidP="001F570F">
            <w:pPr>
              <w:pStyle w:val="NoSpacing"/>
            </w:pPr>
          </w:p>
        </w:tc>
        <w:tc>
          <w:tcPr>
            <w:tcW w:w="0" w:type="auto"/>
          </w:tcPr>
          <w:p w14:paraId="0B9812E5" w14:textId="1D317899" w:rsidR="001F570F" w:rsidRDefault="001F570F" w:rsidP="001F570F">
            <w:pPr>
              <w:pStyle w:val="NoSpacing"/>
            </w:pPr>
          </w:p>
        </w:tc>
        <w:tc>
          <w:tcPr>
            <w:tcW w:w="0" w:type="auto"/>
          </w:tcPr>
          <w:p w14:paraId="64198A78" w14:textId="77777777" w:rsidR="001F570F" w:rsidRDefault="001F570F" w:rsidP="001F570F">
            <w:pPr>
              <w:pStyle w:val="NoSpacing"/>
            </w:pPr>
            <w:r>
              <w:t>DoE</w:t>
            </w:r>
          </w:p>
          <w:p w14:paraId="42E20F09" w14:textId="77777777" w:rsidR="001F570F" w:rsidRDefault="001F570F" w:rsidP="001F570F">
            <w:pPr>
              <w:pStyle w:val="NoSpacing"/>
              <w:rPr>
                <w:rFonts w:eastAsia="Times New Roman" w:cs="Times New Roman"/>
                <w:szCs w:val="20"/>
              </w:rPr>
            </w:pPr>
            <w:r>
              <w:rPr>
                <w:rFonts w:eastAsia="Times New Roman" w:cs="Times New Roman"/>
                <w:szCs w:val="20"/>
              </w:rPr>
              <w:t>MoEFCC</w:t>
            </w:r>
          </w:p>
          <w:p w14:paraId="7567A641" w14:textId="77777777" w:rsidR="001F570F" w:rsidRDefault="001F570F" w:rsidP="001F570F">
            <w:pPr>
              <w:pStyle w:val="NoSpacing"/>
              <w:rPr>
                <w:rFonts w:eastAsia="Times New Roman" w:cs="Times New Roman"/>
                <w:szCs w:val="20"/>
              </w:rPr>
            </w:pPr>
          </w:p>
          <w:p w14:paraId="24621196" w14:textId="77777777" w:rsidR="001F570F" w:rsidRDefault="001F570F" w:rsidP="001F570F">
            <w:pPr>
              <w:pStyle w:val="NoSpacing"/>
            </w:pPr>
            <w:r w:rsidRPr="00286F19">
              <w:rPr>
                <w:szCs w:val="26"/>
              </w:rPr>
              <w:t>Administrative Data</w:t>
            </w:r>
            <w:r>
              <w:rPr>
                <w:szCs w:val="26"/>
              </w:rPr>
              <w:t>/Survey</w:t>
            </w:r>
          </w:p>
        </w:tc>
        <w:tc>
          <w:tcPr>
            <w:tcW w:w="0" w:type="auto"/>
          </w:tcPr>
          <w:p w14:paraId="614978A3" w14:textId="77777777" w:rsidR="001F570F" w:rsidRDefault="001F570F" w:rsidP="001F570F">
            <w:pPr>
              <w:ind w:left="970" w:hanging="970"/>
              <w:jc w:val="both"/>
              <w:rPr>
                <w:color w:val="0070C0"/>
                <w:sz w:val="30"/>
                <w:szCs w:val="30"/>
              </w:rPr>
            </w:pPr>
            <w:r>
              <w:t>Not Applicab</w:t>
            </w:r>
            <w:r>
              <w:lastRenderedPageBreak/>
              <w:t>le</w:t>
            </w:r>
          </w:p>
        </w:tc>
        <w:tc>
          <w:tcPr>
            <w:tcW w:w="0" w:type="auto"/>
          </w:tcPr>
          <w:p w14:paraId="5AA5FA8D" w14:textId="77777777" w:rsidR="001F570F" w:rsidRDefault="001F570F" w:rsidP="001F570F">
            <w:pPr>
              <w:ind w:left="970" w:hanging="970"/>
              <w:jc w:val="both"/>
              <w:rPr>
                <w:color w:val="0070C0"/>
                <w:sz w:val="30"/>
                <w:szCs w:val="30"/>
              </w:rPr>
            </w:pPr>
            <w:r>
              <w:lastRenderedPageBreak/>
              <w:t>Triennial</w:t>
            </w:r>
          </w:p>
        </w:tc>
        <w:tc>
          <w:tcPr>
            <w:tcW w:w="0" w:type="auto"/>
          </w:tcPr>
          <w:p w14:paraId="2C89DE4C" w14:textId="77777777" w:rsidR="001F570F" w:rsidRDefault="001F570F" w:rsidP="001F570F">
            <w:pPr>
              <w:ind w:left="970" w:hanging="970"/>
              <w:jc w:val="both"/>
              <w:rPr>
                <w:color w:val="0070C0"/>
                <w:sz w:val="30"/>
                <w:szCs w:val="30"/>
              </w:rPr>
            </w:pPr>
            <w:r>
              <w:t>Group 2</w:t>
            </w:r>
          </w:p>
        </w:tc>
        <w:tc>
          <w:tcPr>
            <w:tcW w:w="0" w:type="auto"/>
          </w:tcPr>
          <w:p w14:paraId="6F5BA604" w14:textId="77777777" w:rsidR="001F570F" w:rsidRDefault="001F570F" w:rsidP="001F570F">
            <w:pPr>
              <w:pStyle w:val="NoSpacing"/>
            </w:pPr>
            <w:r>
              <w:t>1</w:t>
            </w:r>
            <w:r w:rsidRPr="00013ACB">
              <w:rPr>
                <w:vertAlign w:val="superscript"/>
              </w:rPr>
              <w:t>st</w:t>
            </w:r>
            <w:r>
              <w:t xml:space="preserve"> Round:</w:t>
            </w:r>
          </w:p>
          <w:p w14:paraId="29FCE1BD" w14:textId="77777777" w:rsidR="001F570F" w:rsidRPr="00670519" w:rsidRDefault="001F570F" w:rsidP="001F570F">
            <w:pPr>
              <w:pStyle w:val="NoSpacing"/>
              <w:rPr>
                <w:b/>
              </w:rPr>
            </w:pPr>
            <w:r w:rsidRPr="00670519">
              <w:t xml:space="preserve">December, </w:t>
            </w:r>
          </w:p>
          <w:p w14:paraId="656CD3EB" w14:textId="77777777" w:rsidR="001F570F" w:rsidRDefault="001F570F" w:rsidP="001F570F">
            <w:pPr>
              <w:pStyle w:val="NoSpacing"/>
            </w:pPr>
            <w:r>
              <w:t>2019</w:t>
            </w:r>
          </w:p>
          <w:p w14:paraId="1B0ACA6C" w14:textId="77777777" w:rsidR="001F570F" w:rsidRDefault="001F570F" w:rsidP="001F570F">
            <w:pPr>
              <w:pStyle w:val="NoSpacing"/>
            </w:pPr>
          </w:p>
          <w:p w14:paraId="080441DE" w14:textId="77777777" w:rsidR="001F570F" w:rsidRDefault="001F570F" w:rsidP="001F570F">
            <w:pPr>
              <w:pStyle w:val="NoSpacing"/>
            </w:pPr>
            <w:r>
              <w:t>2</w:t>
            </w:r>
            <w:r w:rsidRPr="00013ACB">
              <w:rPr>
                <w:vertAlign w:val="superscript"/>
              </w:rPr>
              <w:t>nd</w:t>
            </w:r>
            <w:r>
              <w:t xml:space="preserve"> Round:</w:t>
            </w:r>
          </w:p>
          <w:p w14:paraId="265F90B5" w14:textId="77777777" w:rsidR="001F570F" w:rsidRDefault="001F570F" w:rsidP="001F570F">
            <w:pPr>
              <w:pStyle w:val="NoSpacing"/>
            </w:pPr>
            <w:r>
              <w:t xml:space="preserve"> </w:t>
            </w:r>
            <w:r>
              <w:lastRenderedPageBreak/>
              <w:t>December 2022</w:t>
            </w:r>
          </w:p>
          <w:p w14:paraId="3B3F25ED" w14:textId="77777777" w:rsidR="001F570F" w:rsidRDefault="001F570F" w:rsidP="001F570F">
            <w:pPr>
              <w:pStyle w:val="NoSpacing"/>
            </w:pPr>
          </w:p>
          <w:p w14:paraId="009EDB74" w14:textId="77777777" w:rsidR="001F570F" w:rsidRDefault="001F570F" w:rsidP="001F570F">
            <w:pPr>
              <w:pStyle w:val="NoSpacing"/>
            </w:pPr>
            <w:r>
              <w:t>3</w:t>
            </w:r>
            <w:r w:rsidRPr="00013ACB">
              <w:rPr>
                <w:vertAlign w:val="superscript"/>
              </w:rPr>
              <w:t>rd</w:t>
            </w:r>
            <w:r>
              <w:t xml:space="preserve"> Round: </w:t>
            </w:r>
          </w:p>
          <w:p w14:paraId="6955A942" w14:textId="77777777" w:rsidR="001F570F" w:rsidRDefault="001F570F" w:rsidP="001F570F">
            <w:pPr>
              <w:pStyle w:val="NoSpacing"/>
            </w:pPr>
            <w:r>
              <w:t>December 2025</w:t>
            </w:r>
          </w:p>
          <w:p w14:paraId="164B4B0E" w14:textId="77777777" w:rsidR="001F570F" w:rsidRDefault="001F570F" w:rsidP="001F570F">
            <w:pPr>
              <w:pStyle w:val="NoSpacing"/>
            </w:pPr>
          </w:p>
          <w:p w14:paraId="618B239D" w14:textId="77777777" w:rsidR="001F570F" w:rsidRDefault="001F570F" w:rsidP="001F570F">
            <w:pPr>
              <w:pStyle w:val="NoSpacing"/>
            </w:pPr>
            <w:r>
              <w:t>4</w:t>
            </w:r>
            <w:r w:rsidRPr="00013ACB">
              <w:rPr>
                <w:vertAlign w:val="superscript"/>
              </w:rPr>
              <w:t>th</w:t>
            </w:r>
            <w:r>
              <w:t xml:space="preserve"> Round: </w:t>
            </w:r>
          </w:p>
          <w:p w14:paraId="31E21B79" w14:textId="77777777" w:rsidR="001F570F" w:rsidRDefault="001F570F" w:rsidP="001F570F">
            <w:pPr>
              <w:pStyle w:val="NoSpacing"/>
            </w:pPr>
            <w:r>
              <w:t>December 2028</w:t>
            </w:r>
          </w:p>
          <w:p w14:paraId="4A44B7D7" w14:textId="77777777" w:rsidR="001F570F" w:rsidRDefault="001F570F" w:rsidP="001F570F">
            <w:pPr>
              <w:pStyle w:val="NoSpacing"/>
            </w:pPr>
          </w:p>
          <w:p w14:paraId="494D8680" w14:textId="77777777" w:rsidR="001F570F" w:rsidRDefault="001F570F" w:rsidP="001F570F">
            <w:pPr>
              <w:pStyle w:val="NoSpacing"/>
            </w:pPr>
            <w:r>
              <w:t>5</w:t>
            </w:r>
            <w:r w:rsidRPr="00013ACB">
              <w:rPr>
                <w:vertAlign w:val="superscript"/>
              </w:rPr>
              <w:t>th</w:t>
            </w:r>
            <w:r>
              <w:t xml:space="preserve"> Round: </w:t>
            </w:r>
          </w:p>
          <w:p w14:paraId="6C9E8149" w14:textId="2EDF6100" w:rsidR="001F570F" w:rsidRDefault="001F570F" w:rsidP="001F570F">
            <w:pPr>
              <w:pStyle w:val="NoSpacing"/>
            </w:pPr>
            <w:r>
              <w:t>December 2030</w:t>
            </w:r>
          </w:p>
        </w:tc>
        <w:tc>
          <w:tcPr>
            <w:tcW w:w="0" w:type="auto"/>
          </w:tcPr>
          <w:p w14:paraId="17D2CB8D" w14:textId="77777777" w:rsidR="001F570F" w:rsidRDefault="001F570F" w:rsidP="001F570F">
            <w:pPr>
              <w:pStyle w:val="NoSpacing"/>
            </w:pPr>
            <w:r w:rsidRPr="005D28FF">
              <w:lastRenderedPageBreak/>
              <w:t>Reviewed at 8th IAEG-SDG meeting (classified as Tier II)</w:t>
            </w:r>
          </w:p>
        </w:tc>
      </w:tr>
      <w:tr w:rsidR="001F570F" w14:paraId="751A5BB3" w14:textId="77777777" w:rsidTr="00A64F0D">
        <w:tc>
          <w:tcPr>
            <w:tcW w:w="0" w:type="auto"/>
          </w:tcPr>
          <w:p w14:paraId="484C690A" w14:textId="77777777" w:rsidR="001F570F" w:rsidRPr="000221E2" w:rsidRDefault="001F570F" w:rsidP="001F570F">
            <w:pPr>
              <w:pStyle w:val="NoSpacing"/>
            </w:pPr>
            <w:r w:rsidRPr="000221E2">
              <w:lastRenderedPageBreak/>
              <w:t>14.4.1 Proportion of fish stocks within biologically sustainable levels</w:t>
            </w:r>
          </w:p>
        </w:tc>
        <w:tc>
          <w:tcPr>
            <w:tcW w:w="0" w:type="auto"/>
          </w:tcPr>
          <w:p w14:paraId="3666861E" w14:textId="77777777" w:rsidR="001F570F" w:rsidRDefault="001F570F" w:rsidP="001F570F">
            <w:pPr>
              <w:ind w:left="970" w:hanging="970"/>
              <w:jc w:val="both"/>
              <w:rPr>
                <w:color w:val="0070C0"/>
                <w:sz w:val="30"/>
                <w:szCs w:val="30"/>
              </w:rPr>
            </w:pPr>
          </w:p>
          <w:p w14:paraId="1633EC71" w14:textId="77777777" w:rsidR="001F570F" w:rsidRPr="00E53957" w:rsidRDefault="001F570F" w:rsidP="001F570F">
            <w:pPr>
              <w:pStyle w:val="NoSpacing"/>
            </w:pPr>
            <w:r w:rsidRPr="00E53957">
              <w:t>FAO</w:t>
            </w:r>
          </w:p>
        </w:tc>
        <w:tc>
          <w:tcPr>
            <w:tcW w:w="0" w:type="auto"/>
          </w:tcPr>
          <w:p w14:paraId="61025FB9" w14:textId="77777777" w:rsidR="001F570F" w:rsidRDefault="001F570F" w:rsidP="001F570F">
            <w:pPr>
              <w:ind w:left="970" w:hanging="970"/>
              <w:jc w:val="both"/>
              <w:rPr>
                <w:color w:val="0070C0"/>
                <w:sz w:val="30"/>
                <w:szCs w:val="30"/>
              </w:rPr>
            </w:pPr>
            <w:r>
              <w:t>Tier I</w:t>
            </w:r>
          </w:p>
        </w:tc>
        <w:tc>
          <w:tcPr>
            <w:tcW w:w="0" w:type="auto"/>
          </w:tcPr>
          <w:p w14:paraId="331F30A6" w14:textId="77777777" w:rsidR="001F570F" w:rsidRPr="00872524" w:rsidRDefault="001F570F" w:rsidP="001F570F">
            <w:pPr>
              <w:pStyle w:val="NoSpacing"/>
              <w:rPr>
                <w:lang w:val="en-GB"/>
              </w:rPr>
            </w:pPr>
            <w:r w:rsidRPr="00872524">
              <w:rPr>
                <w:b/>
                <w:bCs/>
                <w:lang w:val="en-GB"/>
              </w:rPr>
              <w:t>Definition:</w:t>
            </w:r>
          </w:p>
          <w:p w14:paraId="4E9A0E1F" w14:textId="77777777" w:rsidR="001F570F" w:rsidRPr="00872524" w:rsidRDefault="001F570F" w:rsidP="001F570F">
            <w:pPr>
              <w:pStyle w:val="NoSpacing"/>
              <w:rPr>
                <w:lang w:val="en-GB"/>
              </w:rPr>
            </w:pPr>
          </w:p>
          <w:p w14:paraId="071C8F7C" w14:textId="77777777" w:rsidR="001F570F" w:rsidRPr="00872524" w:rsidRDefault="001F570F" w:rsidP="001F570F">
            <w:pPr>
              <w:pStyle w:val="NoSpacing"/>
              <w:rPr>
                <w:lang w:val="en-GB"/>
              </w:rPr>
            </w:pPr>
            <w:r w:rsidRPr="00872524">
              <w:rPr>
                <w:lang w:val="en-GB"/>
              </w:rPr>
              <w:t>The indicator Proportion of fish stocks within biologically sustainable levels measures the sustainability of the world's marine capture fisheries by their abundance. A fish stock of which abundance is at or greater than the level, that can produce the maximum sustainable yield (MSY) is classified as biologically sustainable. In contrast, when abundance falls below the MSY level, the stock is considered biologically unsustainable.</w:t>
            </w:r>
          </w:p>
          <w:p w14:paraId="6DB941D0" w14:textId="77777777" w:rsidR="001F570F" w:rsidRPr="00872524" w:rsidRDefault="001F570F" w:rsidP="001F570F">
            <w:pPr>
              <w:pStyle w:val="NoSpacing"/>
              <w:rPr>
                <w:b/>
                <w:bCs/>
                <w:lang w:val="en-GB"/>
              </w:rPr>
            </w:pPr>
          </w:p>
          <w:p w14:paraId="771ECA7C" w14:textId="77777777" w:rsidR="001F570F" w:rsidRPr="00872524" w:rsidRDefault="001F570F" w:rsidP="001F570F">
            <w:pPr>
              <w:pStyle w:val="NoSpacing"/>
              <w:rPr>
                <w:b/>
                <w:bCs/>
                <w:lang w:val="en-GB"/>
              </w:rPr>
            </w:pPr>
            <w:r w:rsidRPr="00872524">
              <w:rPr>
                <w:b/>
                <w:bCs/>
                <w:lang w:val="en-GB"/>
              </w:rPr>
              <w:t>Concepts:</w:t>
            </w:r>
          </w:p>
          <w:p w14:paraId="734AF60C" w14:textId="77777777" w:rsidR="001F570F" w:rsidRPr="00872524" w:rsidRDefault="001F570F" w:rsidP="001F570F">
            <w:pPr>
              <w:pStyle w:val="NoSpacing"/>
              <w:rPr>
                <w:lang w:val="en-GB"/>
              </w:rPr>
            </w:pPr>
          </w:p>
          <w:p w14:paraId="1DCE2612" w14:textId="77777777" w:rsidR="001F570F" w:rsidRPr="00872524" w:rsidRDefault="001F570F" w:rsidP="001F570F">
            <w:pPr>
              <w:pStyle w:val="NoSpacing"/>
              <w:rPr>
                <w:lang w:val="en-GB"/>
              </w:rPr>
            </w:pPr>
            <w:r w:rsidRPr="00872524">
              <w:rPr>
                <w:lang w:val="en-GB"/>
              </w:rPr>
              <w:t>Fish stock assessment science defines the long term sustainability of fish resources as their abundance is fished at the level that produces the maximum sustainable level. The basic benchmarks for the sustainability of fisheries are set by the UN Convention on the Law of the Sea (UNCLOS, Article 61(3)).</w:t>
            </w:r>
          </w:p>
          <w:p w14:paraId="08972FD3" w14:textId="77777777" w:rsidR="001F570F" w:rsidRPr="00872524" w:rsidRDefault="001F570F" w:rsidP="001F570F">
            <w:pPr>
              <w:pStyle w:val="NoSpacing"/>
              <w:rPr>
                <w:lang w:val="en-GB"/>
              </w:rPr>
            </w:pPr>
          </w:p>
          <w:p w14:paraId="2B12565E" w14:textId="77777777" w:rsidR="001F570F" w:rsidRPr="00872524" w:rsidRDefault="001F570F" w:rsidP="001F570F">
            <w:pPr>
              <w:pStyle w:val="NoSpacing"/>
              <w:rPr>
                <w:b/>
                <w:bCs/>
                <w:lang w:val="en-GB"/>
              </w:rPr>
            </w:pPr>
            <w:r w:rsidRPr="00872524">
              <w:rPr>
                <w:b/>
                <w:bCs/>
                <w:lang w:val="en-GB"/>
              </w:rPr>
              <w:t>Comments and limitations:</w:t>
            </w:r>
          </w:p>
          <w:p w14:paraId="79882E22" w14:textId="77777777" w:rsidR="001F570F" w:rsidRPr="00872524" w:rsidRDefault="001F570F" w:rsidP="001F570F">
            <w:pPr>
              <w:pStyle w:val="NoSpacing"/>
              <w:rPr>
                <w:lang w:val="en-GB"/>
              </w:rPr>
            </w:pPr>
          </w:p>
          <w:p w14:paraId="785ED452" w14:textId="77777777" w:rsidR="001F570F" w:rsidRPr="00872524" w:rsidRDefault="001F570F" w:rsidP="001F570F">
            <w:pPr>
              <w:pStyle w:val="NoSpacing"/>
              <w:rPr>
                <w:lang w:val="en-GB"/>
              </w:rPr>
            </w:pPr>
            <w:r w:rsidRPr="00872524">
              <w:rPr>
                <w:lang w:val="en-GB"/>
              </w:rPr>
              <w:t>The indicator measures the sustainability of fishery resources very well, and is an end-result measure of Target 14.2. However, its derivation is not only data hungry, but also technically demanding as it needs stock assessment. This is also the reason why there is nodata at country level.</w:t>
            </w:r>
          </w:p>
          <w:p w14:paraId="6904454C" w14:textId="77777777" w:rsidR="001F570F" w:rsidRPr="00872524" w:rsidRDefault="001F570F" w:rsidP="001F570F">
            <w:pPr>
              <w:pStyle w:val="NoSpacing"/>
              <w:rPr>
                <w:b/>
                <w:bCs/>
                <w:lang w:val="en-GB"/>
              </w:rPr>
            </w:pPr>
          </w:p>
          <w:p w14:paraId="63E36A05" w14:textId="77777777" w:rsidR="001F570F" w:rsidRPr="00872524" w:rsidRDefault="001F570F" w:rsidP="001F570F">
            <w:pPr>
              <w:pStyle w:val="NoSpacing"/>
              <w:rPr>
                <w:lang w:val="en-GB"/>
              </w:rPr>
            </w:pPr>
            <w:r w:rsidRPr="00872524">
              <w:rPr>
                <w:b/>
                <w:bCs/>
                <w:lang w:val="en-GB"/>
              </w:rPr>
              <w:t>Computation Method:</w:t>
            </w:r>
          </w:p>
          <w:p w14:paraId="266733DC" w14:textId="77777777" w:rsidR="001F570F" w:rsidRPr="00872524" w:rsidRDefault="001F570F" w:rsidP="001F570F">
            <w:pPr>
              <w:pStyle w:val="NoSpacing"/>
              <w:rPr>
                <w:lang w:val="en-GB"/>
              </w:rPr>
            </w:pPr>
          </w:p>
          <w:p w14:paraId="603D43EE" w14:textId="77777777" w:rsidR="001F570F" w:rsidRPr="00872524" w:rsidRDefault="001F570F" w:rsidP="001F570F">
            <w:pPr>
              <w:pStyle w:val="NoSpacing"/>
              <w:rPr>
                <w:lang w:val="en-GB"/>
              </w:rPr>
            </w:pPr>
            <w:r w:rsidRPr="00872524">
              <w:rPr>
                <w:lang w:val="en-GB"/>
              </w:rPr>
              <w:t>Fishery sustainability is defined based on stock abundance. To know stock abundance, one needs to carry out stock assessment that uses fish catch statistics, fishing effort data and biological information and fit the data to a population dynamics model. After completing stock assessment for all stocks concerned, fish stocks that have abundance at or above the level associated with the maximum sustainable yield are counted as biologically sustainable, and otherwise are considered as overfished.</w:t>
            </w:r>
          </w:p>
          <w:p w14:paraId="2963E677" w14:textId="77777777" w:rsidR="001F570F" w:rsidRDefault="001F570F" w:rsidP="001F570F">
            <w:pPr>
              <w:pStyle w:val="NoSpacing"/>
            </w:pPr>
          </w:p>
        </w:tc>
        <w:tc>
          <w:tcPr>
            <w:tcW w:w="0" w:type="auto"/>
          </w:tcPr>
          <w:p w14:paraId="788D375F" w14:textId="77777777" w:rsidR="001F570F" w:rsidRPr="0066730C" w:rsidRDefault="001F570F" w:rsidP="001F570F">
            <w:pPr>
              <w:pStyle w:val="NoSpacing"/>
            </w:pPr>
            <w:r w:rsidRPr="004D2794">
              <w:rPr>
                <w:lang w:eastAsia="en-GB"/>
              </w:rPr>
              <w:t>Stock assessment</w:t>
            </w:r>
          </w:p>
        </w:tc>
        <w:tc>
          <w:tcPr>
            <w:tcW w:w="0" w:type="auto"/>
          </w:tcPr>
          <w:p w14:paraId="5C92370A" w14:textId="77777777" w:rsidR="001F570F" w:rsidRPr="004D2794" w:rsidRDefault="001F570F" w:rsidP="001F570F">
            <w:pPr>
              <w:shd w:val="clear" w:color="auto" w:fill="FFFFFF"/>
              <w:contextualSpacing/>
              <w:rPr>
                <w:rFonts w:eastAsia="Times New Roman" w:cs="Times New Roman"/>
                <w:color w:val="4A4A4A"/>
                <w:sz w:val="21"/>
                <w:szCs w:val="21"/>
                <w:lang w:eastAsia="en-GB"/>
              </w:rPr>
            </w:pPr>
            <w:r w:rsidRPr="004D2794">
              <w:rPr>
                <w:rFonts w:eastAsia="Times New Roman" w:cs="Times New Roman"/>
                <w:color w:val="4A4A4A"/>
                <w:sz w:val="21"/>
                <w:szCs w:val="21"/>
                <w:lang w:eastAsia="en-GB"/>
              </w:rPr>
              <w:t>FAO</w:t>
            </w:r>
          </w:p>
          <w:p w14:paraId="70565A77" w14:textId="77777777" w:rsidR="001F570F" w:rsidRDefault="001F570F" w:rsidP="001F570F">
            <w:pPr>
              <w:pStyle w:val="NoSpacing"/>
            </w:pPr>
          </w:p>
        </w:tc>
        <w:tc>
          <w:tcPr>
            <w:tcW w:w="0" w:type="auto"/>
          </w:tcPr>
          <w:p w14:paraId="4D7539ED" w14:textId="6A7ED0C5" w:rsidR="001F570F" w:rsidRDefault="001F570F" w:rsidP="001F570F">
            <w:pPr>
              <w:pStyle w:val="NoSpacing"/>
            </w:pPr>
          </w:p>
        </w:tc>
        <w:tc>
          <w:tcPr>
            <w:tcW w:w="0" w:type="auto"/>
          </w:tcPr>
          <w:p w14:paraId="253C15C9" w14:textId="77777777" w:rsidR="001F570F" w:rsidRDefault="001F570F" w:rsidP="001F570F">
            <w:pPr>
              <w:pStyle w:val="NoSpacing"/>
            </w:pPr>
            <w:r>
              <w:t>a) DoF, MOFL</w:t>
            </w:r>
          </w:p>
          <w:p w14:paraId="0D1C8DF3" w14:textId="77777777" w:rsidR="001F570F" w:rsidRDefault="001F570F" w:rsidP="001F570F">
            <w:pPr>
              <w:pStyle w:val="NoSpacing"/>
            </w:pPr>
            <w:r>
              <w:t>b) FAO</w:t>
            </w:r>
          </w:p>
          <w:p w14:paraId="1B7E5329" w14:textId="77777777" w:rsidR="001F570F" w:rsidRDefault="001F570F" w:rsidP="001F570F">
            <w:pPr>
              <w:pStyle w:val="NoSpacing"/>
            </w:pPr>
          </w:p>
          <w:p w14:paraId="584901FE" w14:textId="77777777" w:rsidR="001F570F" w:rsidRDefault="001F570F" w:rsidP="001F570F">
            <w:pPr>
              <w:pStyle w:val="NoSpacing"/>
            </w:pPr>
            <w:r w:rsidRPr="0009550A">
              <w:rPr>
                <w:szCs w:val="26"/>
              </w:rPr>
              <w:t>Administrative Data/Survey</w:t>
            </w:r>
          </w:p>
        </w:tc>
        <w:tc>
          <w:tcPr>
            <w:tcW w:w="0" w:type="auto"/>
          </w:tcPr>
          <w:p w14:paraId="03DE4CA9" w14:textId="77777777" w:rsidR="001F570F" w:rsidRDefault="001F570F" w:rsidP="001F570F">
            <w:pPr>
              <w:ind w:left="970" w:hanging="970"/>
              <w:jc w:val="both"/>
              <w:rPr>
                <w:color w:val="0070C0"/>
                <w:sz w:val="30"/>
                <w:szCs w:val="30"/>
              </w:rPr>
            </w:pPr>
            <w:r>
              <w:t>Not Applicable</w:t>
            </w:r>
          </w:p>
        </w:tc>
        <w:tc>
          <w:tcPr>
            <w:tcW w:w="0" w:type="auto"/>
          </w:tcPr>
          <w:p w14:paraId="022FABA4" w14:textId="77777777" w:rsidR="001F570F" w:rsidRDefault="001F570F" w:rsidP="001F570F">
            <w:pPr>
              <w:ind w:left="970" w:hanging="970"/>
              <w:jc w:val="both"/>
              <w:rPr>
                <w:color w:val="0070C0"/>
                <w:sz w:val="30"/>
                <w:szCs w:val="30"/>
              </w:rPr>
            </w:pPr>
            <w:r>
              <w:t>Annual</w:t>
            </w:r>
          </w:p>
        </w:tc>
        <w:tc>
          <w:tcPr>
            <w:tcW w:w="0" w:type="auto"/>
          </w:tcPr>
          <w:p w14:paraId="79D8678D" w14:textId="77777777" w:rsidR="001F570F" w:rsidRDefault="001F570F" w:rsidP="001F570F">
            <w:pPr>
              <w:ind w:left="970" w:hanging="970"/>
              <w:jc w:val="both"/>
              <w:rPr>
                <w:color w:val="0070C0"/>
                <w:sz w:val="30"/>
                <w:szCs w:val="30"/>
              </w:rPr>
            </w:pPr>
            <w:r>
              <w:t>Group 2</w:t>
            </w:r>
          </w:p>
        </w:tc>
        <w:tc>
          <w:tcPr>
            <w:tcW w:w="0" w:type="auto"/>
          </w:tcPr>
          <w:p w14:paraId="6C38B260" w14:textId="77777777" w:rsidR="001F570F" w:rsidRDefault="001F570F" w:rsidP="001F570F">
            <w:pPr>
              <w:pStyle w:val="NoSpacing"/>
            </w:pPr>
            <w:r>
              <w:t>1</w:t>
            </w:r>
            <w:r w:rsidRPr="00013ACB">
              <w:rPr>
                <w:vertAlign w:val="superscript"/>
              </w:rPr>
              <w:t>st</w:t>
            </w:r>
            <w:r>
              <w:t xml:space="preserve"> Round:</w:t>
            </w:r>
          </w:p>
          <w:p w14:paraId="561FF446" w14:textId="77777777" w:rsidR="001F570F" w:rsidRPr="0013533E" w:rsidRDefault="001F570F" w:rsidP="001F570F">
            <w:pPr>
              <w:pStyle w:val="NoSpacing"/>
              <w:rPr>
                <w:b/>
              </w:rPr>
            </w:pPr>
            <w:r>
              <w:t>July</w:t>
            </w:r>
            <w:r w:rsidRPr="00670519">
              <w:t xml:space="preserve">, </w:t>
            </w:r>
            <w:r>
              <w:t>2019</w:t>
            </w:r>
          </w:p>
          <w:p w14:paraId="22EB14BF" w14:textId="77777777" w:rsidR="001F570F" w:rsidRDefault="001F570F" w:rsidP="001F570F">
            <w:pPr>
              <w:pStyle w:val="NoSpacing"/>
            </w:pPr>
          </w:p>
          <w:p w14:paraId="2F87ABC5" w14:textId="77777777" w:rsidR="001F570F" w:rsidRDefault="001F570F" w:rsidP="001F570F">
            <w:pPr>
              <w:pStyle w:val="NoSpacing"/>
            </w:pPr>
            <w:r>
              <w:t>2</w:t>
            </w:r>
            <w:r w:rsidRPr="00013ACB">
              <w:rPr>
                <w:vertAlign w:val="superscript"/>
              </w:rPr>
              <w:t>nd</w:t>
            </w:r>
            <w:r>
              <w:t xml:space="preserve"> Round:</w:t>
            </w:r>
          </w:p>
          <w:p w14:paraId="02D569E1" w14:textId="77777777" w:rsidR="001F570F" w:rsidRPr="0013533E" w:rsidRDefault="001F570F" w:rsidP="001F570F">
            <w:pPr>
              <w:pStyle w:val="NoSpacing"/>
              <w:rPr>
                <w:b/>
              </w:rPr>
            </w:pPr>
            <w:r>
              <w:t xml:space="preserve"> July</w:t>
            </w:r>
            <w:r w:rsidRPr="00670519">
              <w:t xml:space="preserve">, </w:t>
            </w:r>
            <w:r>
              <w:t>2020</w:t>
            </w:r>
          </w:p>
          <w:p w14:paraId="504B90E3" w14:textId="77777777" w:rsidR="001F570F" w:rsidRDefault="001F570F" w:rsidP="001F570F">
            <w:pPr>
              <w:pStyle w:val="NoSpacing"/>
            </w:pPr>
          </w:p>
          <w:p w14:paraId="7E023E7D" w14:textId="77777777" w:rsidR="001F570F" w:rsidRDefault="001F570F" w:rsidP="001F570F">
            <w:pPr>
              <w:pStyle w:val="NoSpacing"/>
            </w:pPr>
            <w:r>
              <w:t>3</w:t>
            </w:r>
            <w:r w:rsidRPr="00013ACB">
              <w:rPr>
                <w:vertAlign w:val="superscript"/>
              </w:rPr>
              <w:t>rd</w:t>
            </w:r>
            <w:r>
              <w:t xml:space="preserve"> Round: </w:t>
            </w:r>
          </w:p>
          <w:p w14:paraId="37243314" w14:textId="77777777" w:rsidR="001F570F" w:rsidRPr="0013533E" w:rsidRDefault="001F570F" w:rsidP="001F570F">
            <w:pPr>
              <w:pStyle w:val="NoSpacing"/>
              <w:rPr>
                <w:b/>
              </w:rPr>
            </w:pPr>
            <w:r>
              <w:t>July</w:t>
            </w:r>
            <w:r w:rsidRPr="00670519">
              <w:t xml:space="preserve">, </w:t>
            </w:r>
            <w:r>
              <w:t>2021</w:t>
            </w:r>
          </w:p>
          <w:p w14:paraId="02C84EE0" w14:textId="77777777" w:rsidR="001F570F" w:rsidRDefault="001F570F" w:rsidP="001F570F">
            <w:pPr>
              <w:pStyle w:val="NoSpacing"/>
            </w:pPr>
          </w:p>
          <w:p w14:paraId="59869B39" w14:textId="77777777" w:rsidR="001F570F" w:rsidRDefault="001F570F" w:rsidP="001F570F">
            <w:pPr>
              <w:pStyle w:val="NoSpacing"/>
            </w:pPr>
            <w:r>
              <w:t>4</w:t>
            </w:r>
            <w:r w:rsidRPr="00013ACB">
              <w:rPr>
                <w:vertAlign w:val="superscript"/>
              </w:rPr>
              <w:t>th</w:t>
            </w:r>
            <w:r>
              <w:t xml:space="preserve"> Round: </w:t>
            </w:r>
          </w:p>
          <w:p w14:paraId="1BFDCE3A" w14:textId="77777777" w:rsidR="001F570F" w:rsidRPr="0013533E" w:rsidRDefault="001F570F" w:rsidP="001F570F">
            <w:pPr>
              <w:pStyle w:val="NoSpacing"/>
              <w:rPr>
                <w:b/>
              </w:rPr>
            </w:pPr>
            <w:r>
              <w:t>July</w:t>
            </w:r>
            <w:r w:rsidRPr="00670519">
              <w:t xml:space="preserve">, </w:t>
            </w:r>
            <w:r>
              <w:t>2022</w:t>
            </w:r>
          </w:p>
          <w:p w14:paraId="72DD3C7E" w14:textId="77777777" w:rsidR="001F570F" w:rsidRDefault="001F570F" w:rsidP="001F570F">
            <w:pPr>
              <w:pStyle w:val="NoSpacing"/>
            </w:pPr>
          </w:p>
          <w:p w14:paraId="2C669B2C" w14:textId="77777777" w:rsidR="001F570F" w:rsidRDefault="001F570F" w:rsidP="001F570F">
            <w:pPr>
              <w:pStyle w:val="NoSpacing"/>
            </w:pPr>
            <w:r>
              <w:t>5</w:t>
            </w:r>
            <w:r w:rsidRPr="00013ACB">
              <w:rPr>
                <w:vertAlign w:val="superscript"/>
              </w:rPr>
              <w:t>th</w:t>
            </w:r>
            <w:r>
              <w:t xml:space="preserve"> Round: </w:t>
            </w:r>
          </w:p>
          <w:p w14:paraId="775BA1F3" w14:textId="77777777" w:rsidR="001F570F" w:rsidRPr="0013533E" w:rsidRDefault="001F570F" w:rsidP="001F570F">
            <w:pPr>
              <w:pStyle w:val="NoSpacing"/>
              <w:rPr>
                <w:b/>
              </w:rPr>
            </w:pPr>
            <w:r>
              <w:t>July</w:t>
            </w:r>
            <w:r w:rsidRPr="00670519">
              <w:t xml:space="preserve">, </w:t>
            </w:r>
            <w:r>
              <w:t>2023</w:t>
            </w:r>
          </w:p>
          <w:p w14:paraId="4C0760C2" w14:textId="58B5C541" w:rsidR="001F570F" w:rsidRPr="00670519" w:rsidRDefault="001F570F" w:rsidP="001F570F">
            <w:pPr>
              <w:pStyle w:val="NoSpacing"/>
            </w:pPr>
          </w:p>
        </w:tc>
        <w:tc>
          <w:tcPr>
            <w:tcW w:w="0" w:type="auto"/>
          </w:tcPr>
          <w:p w14:paraId="5217C62C" w14:textId="77777777" w:rsidR="001F570F" w:rsidRDefault="001F570F" w:rsidP="001F570F">
            <w:pPr>
              <w:ind w:left="970" w:hanging="970"/>
              <w:jc w:val="both"/>
              <w:rPr>
                <w:color w:val="0070C0"/>
                <w:sz w:val="30"/>
                <w:szCs w:val="30"/>
              </w:rPr>
            </w:pPr>
          </w:p>
        </w:tc>
      </w:tr>
      <w:tr w:rsidR="00106BE7" w14:paraId="64149770" w14:textId="77777777" w:rsidTr="00D52BCB">
        <w:tc>
          <w:tcPr>
            <w:tcW w:w="0" w:type="auto"/>
            <w:gridSpan w:val="13"/>
          </w:tcPr>
          <w:p w14:paraId="2C94D0A2" w14:textId="77777777" w:rsidR="00106BE7" w:rsidRDefault="00106BE7" w:rsidP="001F570F">
            <w:pPr>
              <w:jc w:val="both"/>
              <w:rPr>
                <w:color w:val="0070C0"/>
                <w:sz w:val="48"/>
                <w:szCs w:val="48"/>
              </w:rPr>
            </w:pPr>
            <w:r>
              <w:rPr>
                <w:color w:val="0070C0"/>
                <w:sz w:val="30"/>
                <w:szCs w:val="30"/>
              </w:rPr>
              <w:t xml:space="preserve">Target </w:t>
            </w:r>
            <w:r w:rsidRPr="0098013D">
              <w:rPr>
                <w:color w:val="0070C0"/>
                <w:sz w:val="30"/>
                <w:szCs w:val="30"/>
              </w:rPr>
              <w:t xml:space="preserve">14.4 By 2020, effectively regulate harvesting and end overfishing, illegal, unreported and unregulated fishing and destructive fishing practices and implement science-based management plans, in order </w:t>
            </w:r>
            <w:r w:rsidRPr="0098013D">
              <w:rPr>
                <w:color w:val="0070C0"/>
                <w:sz w:val="30"/>
                <w:szCs w:val="30"/>
              </w:rPr>
              <w:lastRenderedPageBreak/>
              <w:t>to restore fish stocks in the shortest time feasible, at least to levels that can produce maximum sustainable yield as determined by their biological characteristics</w:t>
            </w:r>
          </w:p>
        </w:tc>
      </w:tr>
      <w:tr w:rsidR="001F570F" w14:paraId="1D91D07C" w14:textId="77777777" w:rsidTr="00A64F0D">
        <w:tc>
          <w:tcPr>
            <w:tcW w:w="0" w:type="auto"/>
          </w:tcPr>
          <w:p w14:paraId="0502938F" w14:textId="77777777" w:rsidR="001F570F" w:rsidRDefault="001F570F" w:rsidP="001F570F">
            <w:pPr>
              <w:pStyle w:val="NoSpacing"/>
            </w:pPr>
            <w:r w:rsidRPr="000221E2">
              <w:lastRenderedPageBreak/>
              <w:t>14.5.1 Coverage of protected areas in relation to marine areas</w:t>
            </w:r>
          </w:p>
        </w:tc>
        <w:tc>
          <w:tcPr>
            <w:tcW w:w="0" w:type="auto"/>
          </w:tcPr>
          <w:p w14:paraId="4EE38FB1" w14:textId="77777777" w:rsidR="001F570F" w:rsidRDefault="001F570F" w:rsidP="001F570F">
            <w:pPr>
              <w:pStyle w:val="NoSpacing"/>
            </w:pPr>
            <w:r>
              <w:t>UNEP-WCMC,</w:t>
            </w:r>
          </w:p>
          <w:p w14:paraId="0B0C62BA" w14:textId="77777777" w:rsidR="001F570F" w:rsidRDefault="001F570F" w:rsidP="001F570F">
            <w:pPr>
              <w:pStyle w:val="NoSpacing"/>
            </w:pPr>
            <w:r>
              <w:t>UNEP,</w:t>
            </w:r>
          </w:p>
          <w:p w14:paraId="753442D9" w14:textId="77777777" w:rsidR="001F570F" w:rsidRDefault="001F570F" w:rsidP="001F570F">
            <w:pPr>
              <w:pStyle w:val="NoSpacing"/>
            </w:pPr>
            <w:r>
              <w:t>IUCN</w:t>
            </w:r>
          </w:p>
          <w:p w14:paraId="70F57165" w14:textId="77777777" w:rsidR="001F570F" w:rsidRDefault="001F570F" w:rsidP="001F570F">
            <w:pPr>
              <w:rPr>
                <w:b/>
                <w:bCs/>
                <w:szCs w:val="20"/>
              </w:rPr>
            </w:pPr>
            <w:r w:rsidRPr="007243FC">
              <w:rPr>
                <w:b/>
                <w:bCs/>
                <w:szCs w:val="20"/>
              </w:rPr>
              <w:t>Partner Agencies:</w:t>
            </w:r>
          </w:p>
          <w:p w14:paraId="130C258F" w14:textId="77777777" w:rsidR="001F570F" w:rsidRDefault="001F570F" w:rsidP="001F570F">
            <w:pPr>
              <w:pStyle w:val="NoSpacing"/>
            </w:pPr>
            <w:r w:rsidRPr="00E53957">
              <w:t>Ramsar</w:t>
            </w:r>
          </w:p>
        </w:tc>
        <w:tc>
          <w:tcPr>
            <w:tcW w:w="0" w:type="auto"/>
          </w:tcPr>
          <w:p w14:paraId="540987C9" w14:textId="77777777" w:rsidR="001F570F" w:rsidRDefault="001F570F" w:rsidP="001F570F">
            <w:pPr>
              <w:ind w:left="970" w:hanging="970"/>
              <w:jc w:val="both"/>
              <w:rPr>
                <w:color w:val="0070C0"/>
                <w:sz w:val="30"/>
                <w:szCs w:val="30"/>
              </w:rPr>
            </w:pPr>
            <w:r>
              <w:t>Tier I</w:t>
            </w:r>
          </w:p>
        </w:tc>
        <w:tc>
          <w:tcPr>
            <w:tcW w:w="0" w:type="auto"/>
          </w:tcPr>
          <w:p w14:paraId="0CAB03A3" w14:textId="77777777" w:rsidR="001F570F" w:rsidRPr="006573DA" w:rsidRDefault="001F570F" w:rsidP="001F570F">
            <w:pPr>
              <w:pStyle w:val="NoSpacing"/>
              <w:rPr>
                <w:b/>
                <w:bCs/>
                <w:lang w:val="en-GB"/>
              </w:rPr>
            </w:pPr>
            <w:r w:rsidRPr="006573DA">
              <w:rPr>
                <w:b/>
                <w:bCs/>
                <w:lang w:val="en-GB"/>
              </w:rPr>
              <w:t>Definition:</w:t>
            </w:r>
          </w:p>
          <w:p w14:paraId="17B740FC" w14:textId="77777777" w:rsidR="001F570F" w:rsidRPr="006573DA" w:rsidRDefault="001F570F" w:rsidP="001F570F">
            <w:pPr>
              <w:pStyle w:val="NoSpacing"/>
              <w:rPr>
                <w:lang w:val="en-GB"/>
              </w:rPr>
            </w:pPr>
            <w:r w:rsidRPr="006573DA">
              <w:rPr>
                <w:lang w:val="en-GB"/>
              </w:rPr>
              <w:t>The indicator Coverage of protected areas in relation to marine areas shows temporal trends in the mean percentage of each important site for marine biodiversity (i.e., those that contribute significantly to the global persistence of biodiversity) that is covered by designated protected areas.</w:t>
            </w:r>
          </w:p>
          <w:p w14:paraId="6C44C2EF" w14:textId="77777777" w:rsidR="001F570F" w:rsidRDefault="001F570F" w:rsidP="001F570F">
            <w:pPr>
              <w:pStyle w:val="NoSpacing"/>
              <w:rPr>
                <w:b/>
                <w:bCs/>
                <w:lang w:val="en-GB"/>
              </w:rPr>
            </w:pPr>
          </w:p>
          <w:p w14:paraId="24F73E4A" w14:textId="77777777" w:rsidR="001F570F" w:rsidRDefault="001F570F" w:rsidP="001F570F">
            <w:pPr>
              <w:pStyle w:val="NoSpacing"/>
              <w:rPr>
                <w:b/>
                <w:bCs/>
                <w:lang w:val="en-GB"/>
              </w:rPr>
            </w:pPr>
          </w:p>
          <w:p w14:paraId="3C1D7347" w14:textId="77777777" w:rsidR="001F570F" w:rsidRPr="006573DA" w:rsidRDefault="001F570F" w:rsidP="001F570F">
            <w:pPr>
              <w:pStyle w:val="NoSpacing"/>
              <w:rPr>
                <w:b/>
                <w:bCs/>
                <w:lang w:val="en-GB"/>
              </w:rPr>
            </w:pPr>
            <w:r w:rsidRPr="006573DA">
              <w:rPr>
                <w:b/>
                <w:bCs/>
                <w:lang w:val="en-GB"/>
              </w:rPr>
              <w:t>Concepts:</w:t>
            </w:r>
          </w:p>
          <w:p w14:paraId="50DC2ED4" w14:textId="77777777" w:rsidR="001F570F" w:rsidRPr="006573DA" w:rsidRDefault="001F570F" w:rsidP="001F570F">
            <w:pPr>
              <w:pStyle w:val="NoSpacing"/>
              <w:rPr>
                <w:lang w:val="en-GB"/>
              </w:rPr>
            </w:pPr>
            <w:r w:rsidRPr="006573DA">
              <w:rPr>
                <w:lang w:val="en-GB"/>
              </w:rPr>
              <w:t>Protected areas, as defined by the International Union for Conservation of Nature (IUCN; Dudley 2008), are clearly defined geographical spaces, recognized, dedicated and managed, through legal or other effective means, to achieve the long-term conservation of nature with associated ecosystem services and cultural values. Importantly, a variety of specific management objectives are recognised within this definition, spanning conservation, restoration, and sustainable use:</w:t>
            </w:r>
          </w:p>
          <w:p w14:paraId="29FD5229" w14:textId="77777777" w:rsidR="001F570F" w:rsidRPr="006573DA" w:rsidRDefault="001F570F" w:rsidP="001F570F">
            <w:pPr>
              <w:pStyle w:val="NoSpacing"/>
              <w:rPr>
                <w:lang w:val="en-GB"/>
              </w:rPr>
            </w:pPr>
          </w:p>
          <w:p w14:paraId="7645ABE2" w14:textId="77777777" w:rsidR="001F570F" w:rsidRPr="006573DA" w:rsidRDefault="001F570F" w:rsidP="001F570F">
            <w:pPr>
              <w:pStyle w:val="NoSpacing"/>
              <w:rPr>
                <w:lang w:val="en-GB"/>
              </w:rPr>
            </w:pPr>
            <w:r w:rsidRPr="006573DA">
              <w:rPr>
                <w:lang w:val="en-GB"/>
              </w:rPr>
              <w:t>- Category Ia: Strict nature reserve</w:t>
            </w:r>
          </w:p>
          <w:p w14:paraId="69DFF7C2" w14:textId="77777777" w:rsidR="001F570F" w:rsidRPr="006573DA" w:rsidRDefault="001F570F" w:rsidP="001F570F">
            <w:pPr>
              <w:pStyle w:val="NoSpacing"/>
              <w:rPr>
                <w:lang w:val="en-GB"/>
              </w:rPr>
            </w:pPr>
            <w:r w:rsidRPr="006573DA">
              <w:rPr>
                <w:lang w:val="en-GB"/>
              </w:rPr>
              <w:t>- Category Ib: Wilderness area</w:t>
            </w:r>
          </w:p>
          <w:p w14:paraId="5030B4A7" w14:textId="77777777" w:rsidR="001F570F" w:rsidRPr="006573DA" w:rsidRDefault="001F570F" w:rsidP="001F570F">
            <w:pPr>
              <w:pStyle w:val="NoSpacing"/>
              <w:rPr>
                <w:lang w:val="en-GB"/>
              </w:rPr>
            </w:pPr>
            <w:r w:rsidRPr="006573DA">
              <w:rPr>
                <w:lang w:val="en-GB"/>
              </w:rPr>
              <w:t>- Category II: National park</w:t>
            </w:r>
          </w:p>
          <w:p w14:paraId="778F4913" w14:textId="77777777" w:rsidR="001F570F" w:rsidRPr="006573DA" w:rsidRDefault="001F570F" w:rsidP="001F570F">
            <w:pPr>
              <w:pStyle w:val="NoSpacing"/>
              <w:rPr>
                <w:lang w:val="en-GB"/>
              </w:rPr>
            </w:pPr>
            <w:r w:rsidRPr="006573DA">
              <w:rPr>
                <w:lang w:val="en-GB"/>
              </w:rPr>
              <w:t>- Category III: Natural monument or feature</w:t>
            </w:r>
          </w:p>
          <w:p w14:paraId="4EF35902" w14:textId="77777777" w:rsidR="001F570F" w:rsidRPr="006573DA" w:rsidRDefault="001F570F" w:rsidP="001F570F">
            <w:pPr>
              <w:pStyle w:val="NoSpacing"/>
              <w:rPr>
                <w:lang w:val="en-GB"/>
              </w:rPr>
            </w:pPr>
            <w:r w:rsidRPr="006573DA">
              <w:rPr>
                <w:lang w:val="en-GB"/>
              </w:rPr>
              <w:t>- Category IV: Habitat/species management area</w:t>
            </w:r>
          </w:p>
          <w:p w14:paraId="68AA8C59" w14:textId="77777777" w:rsidR="001F570F" w:rsidRPr="006573DA" w:rsidRDefault="001F570F" w:rsidP="001F570F">
            <w:pPr>
              <w:pStyle w:val="NoSpacing"/>
              <w:rPr>
                <w:lang w:val="en-GB"/>
              </w:rPr>
            </w:pPr>
            <w:r w:rsidRPr="006573DA">
              <w:rPr>
                <w:lang w:val="en-GB"/>
              </w:rPr>
              <w:t>- Category V: Protected landscape/seascape</w:t>
            </w:r>
          </w:p>
          <w:p w14:paraId="71D71E60" w14:textId="77777777" w:rsidR="001F570F" w:rsidRPr="006573DA" w:rsidRDefault="001F570F" w:rsidP="001F570F">
            <w:pPr>
              <w:pStyle w:val="NoSpacing"/>
              <w:rPr>
                <w:lang w:val="en-GB"/>
              </w:rPr>
            </w:pPr>
            <w:r w:rsidRPr="006573DA">
              <w:rPr>
                <w:lang w:val="en-GB"/>
              </w:rPr>
              <w:t>- Category VI: Protected area with sustainable use of natural resources</w:t>
            </w:r>
          </w:p>
          <w:p w14:paraId="64B5463A" w14:textId="77777777" w:rsidR="001F570F" w:rsidRPr="006573DA" w:rsidRDefault="001F570F" w:rsidP="001F570F">
            <w:pPr>
              <w:pStyle w:val="NoSpacing"/>
              <w:rPr>
                <w:lang w:val="en-GB"/>
              </w:rPr>
            </w:pPr>
          </w:p>
          <w:p w14:paraId="19541AEE" w14:textId="77777777" w:rsidR="001F570F" w:rsidRPr="006573DA" w:rsidRDefault="001F570F" w:rsidP="001F570F">
            <w:pPr>
              <w:pStyle w:val="NoSpacing"/>
              <w:rPr>
                <w:lang w:val="en-GB"/>
              </w:rPr>
            </w:pPr>
            <w:r w:rsidRPr="006573DA">
              <w:rPr>
                <w:lang w:val="en-GB"/>
              </w:rPr>
              <w:t>The status "designated" is attributed to a protected area when the corresponding authority, according to national legislation or common practice (e.g., by means of an executive decree or the like), officially endorses a document of designation. The designation must be made for the purpose of biodiversity conservation, not de facto protection arising because of some other activity (e.g., military).</w:t>
            </w:r>
          </w:p>
          <w:p w14:paraId="4A99D99A" w14:textId="77777777" w:rsidR="001F570F" w:rsidRPr="006573DA" w:rsidRDefault="001F570F" w:rsidP="001F570F">
            <w:pPr>
              <w:pStyle w:val="NoSpacing"/>
              <w:rPr>
                <w:lang w:val="en-GB"/>
              </w:rPr>
            </w:pPr>
          </w:p>
          <w:p w14:paraId="0B3DCB2E" w14:textId="77777777" w:rsidR="001F570F" w:rsidRPr="006573DA" w:rsidRDefault="001F570F" w:rsidP="001F570F">
            <w:pPr>
              <w:pStyle w:val="NoSpacing"/>
              <w:rPr>
                <w:lang w:val="en-GB"/>
              </w:rPr>
            </w:pPr>
            <w:r w:rsidRPr="006573DA">
              <w:rPr>
                <w:lang w:val="en-GB"/>
              </w:rPr>
              <w:t xml:space="preserve">Sites contributing significantly to the global persistence of biodiversity are identified following globally standard criteria for the identification of Key Biodiversity Areas (IUCN 2016) applied at national levels. Two variants of these standard criteria have been applied in all countries to date. The first is for the identification of Important Bird &amp; Biodiversity Areas, that is, sites contributing significantly to the global persistence of biodiversity, identified using data on birds, of which &gt;12,000 sites in total have been identified from all of the world’s countries (BirdLife International 2014). The second is for the identification of Alliance for Zero Extinction sites (Ricketts et al. 2005), that is, sites holding effectively the entire population of at least one species assessed as Critically Endangered or Endangered on the IUCN Red List of Threatened Species. In total, 587 Alliance for Zero Extinction sites have been identified for 920 species of mammals, birds, </w:t>
            </w:r>
            <w:r w:rsidRPr="006573DA">
              <w:rPr>
                <w:lang w:val="en-GB"/>
              </w:rPr>
              <w:lastRenderedPageBreak/>
              <w:t>amphibians, reptiles, conifers, and reef-building corals. A global standard for the identification of Key Biodiversity Areas unifying these approaches along with other mechanisms for identification of important sites for other species and ecosystems was approved by IUCN (2016).</w:t>
            </w:r>
          </w:p>
          <w:p w14:paraId="5CA85C35" w14:textId="77777777" w:rsidR="001F570F" w:rsidRPr="006573DA" w:rsidRDefault="001F570F" w:rsidP="001F570F">
            <w:pPr>
              <w:pStyle w:val="NoSpacing"/>
              <w:rPr>
                <w:lang w:val="en-GB"/>
              </w:rPr>
            </w:pPr>
          </w:p>
          <w:p w14:paraId="41E63572" w14:textId="77777777" w:rsidR="001F570F" w:rsidRPr="006573DA" w:rsidRDefault="001F570F" w:rsidP="001F570F">
            <w:pPr>
              <w:pStyle w:val="NoSpacing"/>
              <w:rPr>
                <w:b/>
                <w:bCs/>
                <w:lang w:val="en-GB"/>
              </w:rPr>
            </w:pPr>
            <w:r w:rsidRPr="006573DA">
              <w:rPr>
                <w:b/>
                <w:bCs/>
                <w:lang w:val="en-GB"/>
              </w:rPr>
              <w:t>Comments and limitations:</w:t>
            </w:r>
          </w:p>
          <w:p w14:paraId="379D283D" w14:textId="77777777" w:rsidR="001F570F" w:rsidRPr="006573DA" w:rsidRDefault="001F570F" w:rsidP="001F570F">
            <w:pPr>
              <w:pStyle w:val="NoSpacing"/>
              <w:rPr>
                <w:lang w:val="en-GB"/>
              </w:rPr>
            </w:pPr>
            <w:r w:rsidRPr="006573DA">
              <w:rPr>
                <w:lang w:val="en-GB"/>
              </w:rPr>
              <w:t>Quality control criteria are applied to ensure consistency and comparability of the data in the World Database on Protected Areas. New data are validated at UNEP-WCMC through a number of tools and translated into the standard data structure of the World Database on Protected Areas. Discrepancies between the data in the World Database on Protected Areas and new data are minimised by provision of a manual (UNEP-WCMC 2016) and resolved in communication with data providers. Similar processes apply for the incorporation of data into the World Database of Key Biodiversity Areas.</w:t>
            </w:r>
          </w:p>
          <w:p w14:paraId="231D6D20" w14:textId="77777777" w:rsidR="001F570F" w:rsidRPr="006573DA" w:rsidRDefault="001F570F" w:rsidP="001F570F">
            <w:pPr>
              <w:pStyle w:val="NoSpacing"/>
              <w:rPr>
                <w:lang w:val="en-GB"/>
              </w:rPr>
            </w:pPr>
          </w:p>
          <w:p w14:paraId="3AF02A9C" w14:textId="77777777" w:rsidR="001F570F" w:rsidRPr="006573DA" w:rsidRDefault="001F570F" w:rsidP="001F570F">
            <w:pPr>
              <w:pStyle w:val="NoSpacing"/>
              <w:rPr>
                <w:lang w:val="en-GB"/>
              </w:rPr>
            </w:pPr>
            <w:r w:rsidRPr="006573DA">
              <w:rPr>
                <w:lang w:val="en-GB"/>
              </w:rPr>
              <w:t xml:space="preserve">The indicator does not measure the effectiveness of protected areas in reducing biodiversity loss, which ultimately depends on a range of management and enforcement factors not covered by the indicator. A number of initiatives are underway to address this limitation. Most notably, numerous mechanisms have been developed for assessment of protected area management, which can be synthesised into an indicator (Leverington et al. 2010). This is used by the Biodiversity Indicators Partnership as a complementary indicator of progress towards Aichi Biodiversity Target 11 </w:t>
            </w:r>
          </w:p>
          <w:p w14:paraId="2A9F6F2D" w14:textId="77777777" w:rsidR="001F570F" w:rsidRPr="006573DA" w:rsidRDefault="001F570F" w:rsidP="001F570F">
            <w:pPr>
              <w:pStyle w:val="NoSpacing"/>
              <w:rPr>
                <w:lang w:val="en-GB"/>
              </w:rPr>
            </w:pPr>
            <w:r w:rsidRPr="006573DA">
              <w:rPr>
                <w:lang w:val="en-GB"/>
              </w:rPr>
              <w:t>(http://www.bipindicators.net/pamanagement). However, there may be little relationship between these measures and protected area outcomes (Nolte &amp; Agrawal 2013). More recently, approaches to “green listing” have started to be developed, to incorporate both management effectiveness and the outcomes of protected areas, and these are likely to become progressively important as they are tested and applied more broadly.</w:t>
            </w:r>
          </w:p>
          <w:p w14:paraId="4178D648" w14:textId="77777777" w:rsidR="001F570F" w:rsidRPr="006573DA" w:rsidRDefault="001F570F" w:rsidP="001F570F">
            <w:pPr>
              <w:pStyle w:val="NoSpacing"/>
              <w:rPr>
                <w:lang w:val="en-GB"/>
              </w:rPr>
            </w:pPr>
          </w:p>
          <w:p w14:paraId="53C16631" w14:textId="77777777" w:rsidR="001F570F" w:rsidRPr="006573DA" w:rsidRDefault="001F570F" w:rsidP="001F570F">
            <w:pPr>
              <w:pStyle w:val="NoSpacing"/>
              <w:rPr>
                <w:lang w:val="en-GB"/>
              </w:rPr>
            </w:pPr>
            <w:r w:rsidRPr="006573DA">
              <w:rPr>
                <w:lang w:val="en-GB"/>
              </w:rPr>
              <w:t xml:space="preserve">Data and knowledge gaps can arise due to difficulties in determining whether a site conforms to the IUCN definition of a protected area, and some protected areas are not assigned management categories. Moreover, “other effective area-based conservation measures”, as specified by Aichi Biodiversity Target </w:t>
            </w:r>
          </w:p>
          <w:p w14:paraId="3D7A3E11" w14:textId="77777777" w:rsidR="001F570F" w:rsidRPr="006573DA" w:rsidRDefault="001F570F" w:rsidP="001F570F">
            <w:pPr>
              <w:pStyle w:val="NoSpacing"/>
              <w:rPr>
                <w:lang w:val="en-GB"/>
              </w:rPr>
            </w:pPr>
            <w:r w:rsidRPr="006573DA">
              <w:rPr>
                <w:lang w:val="en-GB"/>
              </w:rPr>
              <w:t>11 of the Strategic Plan for Biodiversity 2011–2020, recognise that some sites beyond the formal protected area network, while not managed primarily for nature conservation, may nevertheless be managed in ways which are consistent with the persistence of the biodiversity for which they are important (Jonas et al. 2014). However, standard approaches to documentation of “other effective area-based conservation measures” are still under debate through the IUCN Task Force on Other Effective Areas Based Conservation Measures which will conclude with recommendations for a definition on OECMs. Once defined it is likely OEMCs will be documented in the World Database on Protected Areas.</w:t>
            </w:r>
          </w:p>
          <w:p w14:paraId="15ABEAF8" w14:textId="77777777" w:rsidR="001F570F" w:rsidRPr="006573DA" w:rsidRDefault="001F570F" w:rsidP="001F570F">
            <w:pPr>
              <w:pStyle w:val="NoSpacing"/>
              <w:rPr>
                <w:lang w:val="en-GB"/>
              </w:rPr>
            </w:pPr>
          </w:p>
          <w:p w14:paraId="7F61E8EF" w14:textId="77777777" w:rsidR="001F570F" w:rsidRPr="006573DA" w:rsidRDefault="001F570F" w:rsidP="001F570F">
            <w:pPr>
              <w:pStyle w:val="NoSpacing"/>
              <w:rPr>
                <w:lang w:val="en-GB"/>
              </w:rPr>
            </w:pPr>
            <w:r w:rsidRPr="006573DA">
              <w:rPr>
                <w:lang w:val="en-GB"/>
              </w:rPr>
              <w:t xml:space="preserve">Regarding important sites, the biggest limitation is that site identification to date has focused on specific subsets of biodiversity, for example birds (for Important Bird and Biodiversity Areas) and highly threatened species (for Alliance for Zero Extinction sites). While Important Bird and Biodiversity Areas have been documented to be good surrogates for biodiversity more generally (Brooks et al. 2001, Pain et al. 2005), the application of the unified standard for identification of Key Biodiversity Areas (IUCN 2016) sites across different levels of biodiversity (genes, species, ecosystems) and </w:t>
            </w:r>
            <w:r w:rsidRPr="006573DA">
              <w:rPr>
                <w:lang w:val="en-GB"/>
              </w:rPr>
              <w:lastRenderedPageBreak/>
              <w:t>different taxonomic groups remains a high priority, building from efforts to date (Eken et al. 2004, Knight et al. 2007, Langhammer et al. 2007, Foster et al. 2012).</w:t>
            </w:r>
          </w:p>
          <w:p w14:paraId="6A32058B" w14:textId="77777777" w:rsidR="001F570F" w:rsidRPr="006573DA" w:rsidRDefault="001F570F" w:rsidP="001F570F">
            <w:pPr>
              <w:pStyle w:val="NoSpacing"/>
              <w:rPr>
                <w:lang w:val="en-GB"/>
              </w:rPr>
            </w:pPr>
          </w:p>
          <w:p w14:paraId="1C0B94EB" w14:textId="77777777" w:rsidR="001F570F" w:rsidRPr="006573DA" w:rsidRDefault="001F570F" w:rsidP="001F570F">
            <w:pPr>
              <w:pStyle w:val="NoSpacing"/>
              <w:rPr>
                <w:lang w:val="en-GB"/>
              </w:rPr>
            </w:pPr>
            <w:r w:rsidRPr="006573DA">
              <w:rPr>
                <w:lang w:val="en-GB"/>
              </w:rPr>
              <w:t>Key Biodiversity Area identification has been validated for a number of countries and regions where comprehensive biodiversity data allow formal calculation of the site importance (or “irreplaceability”) using systematic conservation planning techniques (Di Marco et al. 2016, Montesino Pouzols et al. 2014).</w:t>
            </w:r>
          </w:p>
          <w:p w14:paraId="035CB2AC" w14:textId="77777777" w:rsidR="001F570F" w:rsidRPr="006573DA" w:rsidRDefault="001F570F" w:rsidP="001F570F">
            <w:pPr>
              <w:pStyle w:val="NoSpacing"/>
              <w:rPr>
                <w:lang w:val="en-GB"/>
              </w:rPr>
            </w:pPr>
          </w:p>
          <w:p w14:paraId="163F25E9" w14:textId="77777777" w:rsidR="001F570F" w:rsidRPr="006573DA" w:rsidRDefault="001F570F" w:rsidP="001F570F">
            <w:pPr>
              <w:pStyle w:val="NoSpacing"/>
              <w:rPr>
                <w:lang w:val="en-GB"/>
              </w:rPr>
            </w:pPr>
            <w:r w:rsidRPr="006573DA">
              <w:rPr>
                <w:lang w:val="en-GB"/>
              </w:rPr>
              <w:t>Future developments of the indicator will include: a) expansion of the taxonomic coverage of marine Key Biodiversity Areas through application of the Key Biodiversity Areas standard (IUCN 2016) to a wide variety of marine vertebrates, invertebrates, plants and ecosystem type; b) improvements in the data on protected areas by continuing to increase the proportion of sites with documented dates of designation and with digitised boundary polygons (rather than coordinates); and c) exploring other methods for assessing and presenting temporal trends in protected area coverage.</w:t>
            </w:r>
          </w:p>
          <w:p w14:paraId="0F9E22AE" w14:textId="77777777" w:rsidR="001F570F" w:rsidRPr="006573DA" w:rsidRDefault="001F570F" w:rsidP="001F570F">
            <w:pPr>
              <w:pStyle w:val="NoSpacing"/>
              <w:rPr>
                <w:lang w:val="en-GB"/>
              </w:rPr>
            </w:pPr>
          </w:p>
          <w:p w14:paraId="1B0344AE" w14:textId="77777777" w:rsidR="001F570F" w:rsidRPr="006573DA" w:rsidRDefault="001F570F" w:rsidP="001F570F">
            <w:pPr>
              <w:pStyle w:val="NoSpacing"/>
              <w:rPr>
                <w:lang w:val="en-GB"/>
              </w:rPr>
            </w:pPr>
          </w:p>
          <w:p w14:paraId="676E8420" w14:textId="77777777" w:rsidR="001F570F" w:rsidRPr="006573DA" w:rsidRDefault="001F570F" w:rsidP="001F570F">
            <w:pPr>
              <w:pStyle w:val="NoSpacing"/>
              <w:rPr>
                <w:b/>
                <w:bCs/>
                <w:lang w:val="en-GB"/>
              </w:rPr>
            </w:pPr>
            <w:r w:rsidRPr="006573DA">
              <w:rPr>
                <w:b/>
                <w:bCs/>
                <w:lang w:val="en-GB"/>
              </w:rPr>
              <w:t>Computation Method:</w:t>
            </w:r>
          </w:p>
          <w:p w14:paraId="15CFB351" w14:textId="77777777" w:rsidR="001F570F" w:rsidRPr="006573DA" w:rsidRDefault="001F570F" w:rsidP="001F570F">
            <w:pPr>
              <w:pStyle w:val="NoSpacing"/>
              <w:rPr>
                <w:lang w:val="en-GB"/>
              </w:rPr>
            </w:pPr>
            <w:r w:rsidRPr="006573DA">
              <w:rPr>
                <w:lang w:val="en-GB"/>
              </w:rPr>
              <w:t xml:space="preserve">This indicator is calculated from data derived from a spatial overlap between digital polygons for protected areas from the World Database on Protected Areas (IUCN &amp; UNEP-WCMC 2017) and digital polygons for marine Key Biodiversity Areas (from the World Database of Key Biodiversity Areas, including Important Bird and Biodiversity Areas, Alliance for Zero Extinction sites, and other Key Biodiversity Areas; available through the </w:t>
            </w:r>
            <w:hyperlink r:id="rId118" w:history="1">
              <w:r w:rsidRPr="006573DA">
                <w:rPr>
                  <w:rStyle w:val="Hyperlink"/>
                  <w:lang w:val="en-GB"/>
                </w:rPr>
                <w:t>Integrated Biodiversity Assessment Tool</w:t>
              </w:r>
            </w:hyperlink>
            <w:r w:rsidRPr="006573DA">
              <w:rPr>
                <w:lang w:val="en-GB"/>
              </w:rPr>
              <w:t>). The value of the indicator at a given point in time, based on data on the year of protected area establishment recorded in the World Database on Protected Areas, is computed as the mean percentage of each Key Biodiversity Area currently recognised that is covered by protected areas.</w:t>
            </w:r>
          </w:p>
          <w:p w14:paraId="5C1EEF49" w14:textId="77777777" w:rsidR="001F570F" w:rsidRPr="006573DA" w:rsidRDefault="001F570F" w:rsidP="001F570F">
            <w:pPr>
              <w:pStyle w:val="NoSpacing"/>
              <w:rPr>
                <w:lang w:val="en-GB"/>
              </w:rPr>
            </w:pPr>
          </w:p>
          <w:p w14:paraId="29CE9A96" w14:textId="77777777" w:rsidR="001F570F" w:rsidRPr="006573DA" w:rsidRDefault="001F570F" w:rsidP="001F570F">
            <w:pPr>
              <w:pStyle w:val="NoSpacing"/>
              <w:rPr>
                <w:lang w:val="en-GB"/>
              </w:rPr>
            </w:pPr>
            <w:r w:rsidRPr="006573DA">
              <w:rPr>
                <w:lang w:val="en-GB"/>
              </w:rPr>
              <w:t xml:space="preserve">Year of protected area establishment is unknown for 12% of protected areas in the World Database on Protected Areas, generating uncertainty around changing protected area coverage over time. To reflect this uncertainty, a year was randomly assigned from another protected area within the same country, and then this procedure repeated 1,000 times, with the median plotted. In 2017 we slightly changed the methods described by Butchart et al. (2012, 2015) by randomly assigning a year to protected areas with no year of establishment before calculating trends in coverage. This is a computationally more efficient method and is likely to reflect more accurately changes in protected area coverage over time. </w:t>
            </w:r>
          </w:p>
          <w:p w14:paraId="760D48E0" w14:textId="77777777" w:rsidR="001F570F" w:rsidRPr="006573DA" w:rsidRDefault="001F570F" w:rsidP="001F570F">
            <w:pPr>
              <w:pStyle w:val="NoSpacing"/>
              <w:rPr>
                <w:lang w:val="en-GB"/>
              </w:rPr>
            </w:pPr>
          </w:p>
          <w:p w14:paraId="76B1B827" w14:textId="77777777" w:rsidR="001F570F" w:rsidRPr="006573DA" w:rsidRDefault="001F570F" w:rsidP="001F570F">
            <w:pPr>
              <w:pStyle w:val="NoSpacing"/>
              <w:rPr>
                <w:lang w:val="en-GB"/>
              </w:rPr>
            </w:pPr>
            <w:r w:rsidRPr="006573DA">
              <w:rPr>
                <w:lang w:val="en-GB"/>
              </w:rPr>
              <w:t>Previously the indicator was presented as the percentage of Key Biodiversity Areas completely covered by protected areas. However, it is now presented as the mean % of each Key Biodiversity Area that is covered by protected areas in order to better reflect trends in protected area coverage for countries or regions with few or no Key Biodiversity Areas that are completely covered.</w:t>
            </w:r>
          </w:p>
          <w:p w14:paraId="1AF296E6" w14:textId="77777777" w:rsidR="001F570F" w:rsidRDefault="001F570F" w:rsidP="001F570F">
            <w:pPr>
              <w:pStyle w:val="NoSpacing"/>
            </w:pPr>
          </w:p>
        </w:tc>
        <w:tc>
          <w:tcPr>
            <w:tcW w:w="0" w:type="auto"/>
          </w:tcPr>
          <w:p w14:paraId="6793AA3A" w14:textId="77777777" w:rsidR="001F570F" w:rsidRDefault="001F570F" w:rsidP="001F570F">
            <w:pPr>
              <w:pStyle w:val="NoSpacing"/>
            </w:pPr>
            <w:r w:rsidRPr="00326670">
              <w:lastRenderedPageBreak/>
              <w:t>UNEP-WCMC produces the UN List of Protected Areas every 5–10 years, based on information provided by national ministries/agencies.</w:t>
            </w:r>
          </w:p>
        </w:tc>
        <w:tc>
          <w:tcPr>
            <w:tcW w:w="0" w:type="auto"/>
          </w:tcPr>
          <w:p w14:paraId="26F66783" w14:textId="77777777" w:rsidR="001F570F" w:rsidRDefault="001F570F" w:rsidP="001F570F">
            <w:pPr>
              <w:pStyle w:val="NoSpacing"/>
            </w:pPr>
            <w:r>
              <w:t>M</w:t>
            </w:r>
            <w:r w:rsidRPr="00326670">
              <w:t>inistries of environment and other ministries responsible for the designation and maintenance of protected areas</w:t>
            </w:r>
            <w:r>
              <w:t>.</w:t>
            </w:r>
          </w:p>
          <w:p w14:paraId="55EDCA68" w14:textId="77777777" w:rsidR="001F570F" w:rsidRDefault="001F570F" w:rsidP="001F570F">
            <w:pPr>
              <w:pStyle w:val="NoSpacing"/>
            </w:pPr>
          </w:p>
        </w:tc>
        <w:tc>
          <w:tcPr>
            <w:tcW w:w="0" w:type="auto"/>
          </w:tcPr>
          <w:p w14:paraId="1E7ACC01" w14:textId="1EA2456C" w:rsidR="001F570F" w:rsidRDefault="001F570F" w:rsidP="001F570F">
            <w:pPr>
              <w:pStyle w:val="NoSpacing"/>
            </w:pPr>
            <w:r w:rsidRPr="00771224">
              <w:t>BFD,</w:t>
            </w:r>
            <w:r w:rsidRPr="0009550A">
              <w:t xml:space="preserve"> </w:t>
            </w:r>
            <w:r>
              <w:t>MoEFCC</w:t>
            </w:r>
            <w:r w:rsidRPr="0009550A">
              <w:br/>
            </w:r>
          </w:p>
          <w:p w14:paraId="67F0FC22" w14:textId="77777777" w:rsidR="001F570F" w:rsidRDefault="001F570F" w:rsidP="001F570F">
            <w:pPr>
              <w:pStyle w:val="NoSpacing"/>
            </w:pPr>
          </w:p>
          <w:p w14:paraId="23057FEB" w14:textId="77777777" w:rsidR="001F570F" w:rsidRPr="0009550A" w:rsidRDefault="001F570F" w:rsidP="001F570F">
            <w:pPr>
              <w:pStyle w:val="NoSpacing"/>
            </w:pPr>
            <w:r w:rsidRPr="0009550A">
              <w:rPr>
                <w:szCs w:val="26"/>
              </w:rPr>
              <w:t>Administrative Data</w:t>
            </w:r>
          </w:p>
        </w:tc>
        <w:tc>
          <w:tcPr>
            <w:tcW w:w="0" w:type="auto"/>
          </w:tcPr>
          <w:p w14:paraId="25090C80" w14:textId="77777777" w:rsidR="001F570F" w:rsidRDefault="001F570F" w:rsidP="001F570F">
            <w:pPr>
              <w:pStyle w:val="NoSpacing"/>
            </w:pPr>
            <w:r w:rsidRPr="00771224">
              <w:t>a) DoE, MoEFCC</w:t>
            </w:r>
            <w:r w:rsidRPr="00771224">
              <w:br/>
              <w:t>b) BFD,</w:t>
            </w:r>
            <w:r w:rsidRPr="0009550A">
              <w:t xml:space="preserve"> </w:t>
            </w:r>
            <w:r>
              <w:t>MoEFCC</w:t>
            </w:r>
            <w:r w:rsidRPr="0009550A">
              <w:br/>
              <w:t>c) DoF, MoFL</w:t>
            </w:r>
          </w:p>
          <w:p w14:paraId="673151D4" w14:textId="77777777" w:rsidR="001F570F" w:rsidRDefault="001F570F" w:rsidP="001F570F">
            <w:pPr>
              <w:pStyle w:val="NoSpacing"/>
            </w:pPr>
          </w:p>
          <w:p w14:paraId="6A1D2F38" w14:textId="77777777" w:rsidR="001F570F" w:rsidRPr="0009550A" w:rsidRDefault="001F570F" w:rsidP="001F570F">
            <w:pPr>
              <w:spacing w:line="276" w:lineRule="auto"/>
              <w:jc w:val="center"/>
              <w:rPr>
                <w:szCs w:val="26"/>
              </w:rPr>
            </w:pPr>
            <w:r w:rsidRPr="0009550A">
              <w:rPr>
                <w:szCs w:val="26"/>
              </w:rPr>
              <w:t>Administrative Data</w:t>
            </w:r>
          </w:p>
        </w:tc>
        <w:tc>
          <w:tcPr>
            <w:tcW w:w="0" w:type="auto"/>
          </w:tcPr>
          <w:p w14:paraId="7CA9652F"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material follow categories: biomass, fossil fuels, metal ores, non-metallic minerals at highest disaggregation level; DMC: 11 categories; DE: 44 categories</w:t>
            </w:r>
          </w:p>
          <w:p w14:paraId="099BC738"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ecosystem type: marine, terrestrial, freshwater </w:t>
            </w:r>
          </w:p>
          <w:p w14:paraId="38366EA9"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 xml:space="preserve">protected area management </w:t>
            </w:r>
            <w:r>
              <w:rPr>
                <w:rFonts w:ascii="Tw Cen MT Condensed" w:hAnsi="Tw Cen MT Condensed"/>
                <w:sz w:val="20"/>
                <w:szCs w:val="20"/>
              </w:rPr>
              <w:lastRenderedPageBreak/>
              <w:t>category: categories I-VI</w:t>
            </w:r>
          </w:p>
          <w:p w14:paraId="1B400F88" w14:textId="77777777" w:rsidR="001F570F" w:rsidRDefault="001F570F" w:rsidP="001F570F">
            <w:pPr>
              <w:ind w:left="970" w:hanging="970"/>
              <w:jc w:val="both"/>
              <w:rPr>
                <w:color w:val="0070C0"/>
                <w:sz w:val="30"/>
                <w:szCs w:val="30"/>
              </w:rPr>
            </w:pPr>
          </w:p>
        </w:tc>
        <w:tc>
          <w:tcPr>
            <w:tcW w:w="0" w:type="auto"/>
          </w:tcPr>
          <w:p w14:paraId="03A0887C" w14:textId="77777777" w:rsidR="001F570F" w:rsidRDefault="001F570F" w:rsidP="001F570F">
            <w:pPr>
              <w:ind w:left="970" w:hanging="970"/>
              <w:jc w:val="both"/>
              <w:rPr>
                <w:color w:val="0070C0"/>
                <w:sz w:val="30"/>
                <w:szCs w:val="30"/>
              </w:rPr>
            </w:pPr>
            <w:r>
              <w:lastRenderedPageBreak/>
              <w:t>Triennial</w:t>
            </w:r>
          </w:p>
        </w:tc>
        <w:tc>
          <w:tcPr>
            <w:tcW w:w="0" w:type="auto"/>
          </w:tcPr>
          <w:p w14:paraId="40A0B9BD" w14:textId="77777777" w:rsidR="001F570F" w:rsidRDefault="001F570F" w:rsidP="001F570F">
            <w:pPr>
              <w:ind w:left="970" w:hanging="970"/>
              <w:jc w:val="both"/>
              <w:rPr>
                <w:color w:val="0070C0"/>
                <w:sz w:val="30"/>
                <w:szCs w:val="30"/>
              </w:rPr>
            </w:pPr>
            <w:r>
              <w:t>Group 1</w:t>
            </w:r>
          </w:p>
        </w:tc>
        <w:tc>
          <w:tcPr>
            <w:tcW w:w="0" w:type="auto"/>
          </w:tcPr>
          <w:p w14:paraId="7A63D7B6" w14:textId="77777777" w:rsidR="001F570F" w:rsidRDefault="001F570F" w:rsidP="001F570F">
            <w:pPr>
              <w:pStyle w:val="NoSpacing"/>
            </w:pPr>
            <w:r>
              <w:t>1</w:t>
            </w:r>
            <w:r w:rsidRPr="00013ACB">
              <w:rPr>
                <w:vertAlign w:val="superscript"/>
              </w:rPr>
              <w:t>st</w:t>
            </w:r>
            <w:r>
              <w:t xml:space="preserve"> Round:</w:t>
            </w:r>
          </w:p>
          <w:p w14:paraId="63575F4B" w14:textId="77777777" w:rsidR="001F570F" w:rsidRDefault="001F570F" w:rsidP="001F570F">
            <w:pPr>
              <w:pStyle w:val="NoSpacing"/>
            </w:pPr>
            <w:r>
              <w:t>2015</w:t>
            </w:r>
          </w:p>
          <w:p w14:paraId="29EFBBF4" w14:textId="77777777" w:rsidR="001F570F" w:rsidRDefault="001F570F" w:rsidP="001F570F">
            <w:pPr>
              <w:pStyle w:val="NoSpacing"/>
            </w:pPr>
          </w:p>
          <w:p w14:paraId="6D0A5535" w14:textId="77777777" w:rsidR="001F570F" w:rsidRDefault="001F570F" w:rsidP="001F570F">
            <w:pPr>
              <w:pStyle w:val="NoSpacing"/>
            </w:pPr>
            <w:r>
              <w:t>2</w:t>
            </w:r>
            <w:r w:rsidRPr="00013ACB">
              <w:rPr>
                <w:vertAlign w:val="superscript"/>
              </w:rPr>
              <w:t>nd</w:t>
            </w:r>
            <w:r>
              <w:t xml:space="preserve"> Round:</w:t>
            </w:r>
          </w:p>
          <w:p w14:paraId="4073BCBA" w14:textId="77777777" w:rsidR="001F570F" w:rsidRPr="00670519" w:rsidRDefault="001F570F" w:rsidP="001F570F">
            <w:pPr>
              <w:pStyle w:val="NoSpacing"/>
              <w:rPr>
                <w:b/>
              </w:rPr>
            </w:pPr>
            <w:r>
              <w:t xml:space="preserve"> </w:t>
            </w:r>
            <w:r w:rsidRPr="00670519">
              <w:t xml:space="preserve">December, </w:t>
            </w:r>
          </w:p>
          <w:p w14:paraId="331C09C2" w14:textId="77777777" w:rsidR="001F570F" w:rsidRDefault="001F570F" w:rsidP="001F570F">
            <w:pPr>
              <w:pStyle w:val="NoSpacing"/>
            </w:pPr>
            <w:r w:rsidRPr="00670519">
              <w:t>2020</w:t>
            </w:r>
          </w:p>
          <w:p w14:paraId="55AF1751" w14:textId="77777777" w:rsidR="001F570F" w:rsidRDefault="001F570F" w:rsidP="001F570F">
            <w:pPr>
              <w:pStyle w:val="NoSpacing"/>
            </w:pPr>
          </w:p>
          <w:p w14:paraId="391E4EF9" w14:textId="77777777" w:rsidR="001F570F" w:rsidRDefault="001F570F" w:rsidP="001F570F">
            <w:pPr>
              <w:pStyle w:val="NoSpacing"/>
            </w:pPr>
            <w:r>
              <w:t>3</w:t>
            </w:r>
            <w:r w:rsidRPr="00013ACB">
              <w:rPr>
                <w:vertAlign w:val="superscript"/>
              </w:rPr>
              <w:t>rd</w:t>
            </w:r>
            <w:r>
              <w:t xml:space="preserve"> Round: </w:t>
            </w:r>
          </w:p>
          <w:p w14:paraId="5AC88A69" w14:textId="77777777" w:rsidR="001F570F" w:rsidRPr="00670519" w:rsidRDefault="001F570F" w:rsidP="001F570F">
            <w:pPr>
              <w:pStyle w:val="NoSpacing"/>
              <w:rPr>
                <w:b/>
              </w:rPr>
            </w:pPr>
            <w:r w:rsidRPr="00670519">
              <w:t xml:space="preserve">December, </w:t>
            </w:r>
          </w:p>
          <w:p w14:paraId="5A72C3D2" w14:textId="77777777" w:rsidR="001F570F" w:rsidRDefault="001F570F" w:rsidP="001F570F">
            <w:pPr>
              <w:pStyle w:val="NoSpacing"/>
            </w:pPr>
            <w:r>
              <w:t>2023</w:t>
            </w:r>
          </w:p>
          <w:p w14:paraId="7FCF3BC8" w14:textId="77777777" w:rsidR="001F570F" w:rsidRDefault="001F570F" w:rsidP="001F570F">
            <w:pPr>
              <w:pStyle w:val="NoSpacing"/>
            </w:pPr>
          </w:p>
          <w:p w14:paraId="4C356875" w14:textId="77777777" w:rsidR="001F570F" w:rsidRDefault="001F570F" w:rsidP="001F570F">
            <w:pPr>
              <w:pStyle w:val="NoSpacing"/>
            </w:pPr>
            <w:r>
              <w:t>4</w:t>
            </w:r>
            <w:r w:rsidRPr="00013ACB">
              <w:rPr>
                <w:vertAlign w:val="superscript"/>
              </w:rPr>
              <w:t>th</w:t>
            </w:r>
            <w:r>
              <w:t xml:space="preserve"> Round: </w:t>
            </w:r>
          </w:p>
          <w:p w14:paraId="37F533A3" w14:textId="77777777" w:rsidR="001F570F" w:rsidRPr="00670519" w:rsidRDefault="001F570F" w:rsidP="001F570F">
            <w:pPr>
              <w:pStyle w:val="NoSpacing"/>
              <w:rPr>
                <w:b/>
              </w:rPr>
            </w:pPr>
            <w:r w:rsidRPr="00670519">
              <w:t xml:space="preserve">December, </w:t>
            </w:r>
          </w:p>
          <w:p w14:paraId="54CAB39A" w14:textId="77777777" w:rsidR="001F570F" w:rsidRDefault="001F570F" w:rsidP="001F570F">
            <w:pPr>
              <w:pStyle w:val="NoSpacing"/>
            </w:pPr>
            <w:r>
              <w:t>2026</w:t>
            </w:r>
          </w:p>
          <w:p w14:paraId="7F590E68" w14:textId="77777777" w:rsidR="001F570F" w:rsidRDefault="001F570F" w:rsidP="001F570F">
            <w:pPr>
              <w:pStyle w:val="NoSpacing"/>
            </w:pPr>
          </w:p>
          <w:p w14:paraId="168AA877" w14:textId="77777777" w:rsidR="001F570F" w:rsidRDefault="001F570F" w:rsidP="001F570F">
            <w:pPr>
              <w:pStyle w:val="NoSpacing"/>
            </w:pPr>
            <w:r>
              <w:t>5</w:t>
            </w:r>
            <w:r w:rsidRPr="00013ACB">
              <w:rPr>
                <w:vertAlign w:val="superscript"/>
              </w:rPr>
              <w:t>th</w:t>
            </w:r>
            <w:r>
              <w:t xml:space="preserve"> Round: </w:t>
            </w:r>
          </w:p>
          <w:p w14:paraId="606D9A4C" w14:textId="77777777" w:rsidR="001F570F" w:rsidRPr="00670519" w:rsidRDefault="001F570F" w:rsidP="001F570F">
            <w:pPr>
              <w:pStyle w:val="NoSpacing"/>
              <w:rPr>
                <w:b/>
              </w:rPr>
            </w:pPr>
            <w:r w:rsidRPr="00670519">
              <w:t xml:space="preserve">December, </w:t>
            </w:r>
          </w:p>
          <w:p w14:paraId="67C530DF" w14:textId="77777777" w:rsidR="001F570F" w:rsidRDefault="001F570F" w:rsidP="001F570F">
            <w:pPr>
              <w:pStyle w:val="NoSpacing"/>
            </w:pPr>
            <w:r>
              <w:t>2029</w:t>
            </w:r>
          </w:p>
          <w:p w14:paraId="0420F4A4" w14:textId="14BEF0F4" w:rsidR="001F570F" w:rsidRDefault="001F570F" w:rsidP="001F570F">
            <w:pPr>
              <w:pStyle w:val="NoSpacing"/>
            </w:pPr>
          </w:p>
        </w:tc>
        <w:tc>
          <w:tcPr>
            <w:tcW w:w="0" w:type="auto"/>
          </w:tcPr>
          <w:p w14:paraId="7F55E727" w14:textId="77777777" w:rsidR="001F570F" w:rsidRDefault="001F570F" w:rsidP="001F570F">
            <w:pPr>
              <w:ind w:left="970" w:hanging="970"/>
              <w:jc w:val="both"/>
              <w:rPr>
                <w:color w:val="0070C0"/>
                <w:sz w:val="30"/>
                <w:szCs w:val="30"/>
              </w:rPr>
            </w:pPr>
          </w:p>
        </w:tc>
      </w:tr>
      <w:tr w:rsidR="00106BE7" w14:paraId="63ACEBDE" w14:textId="77777777" w:rsidTr="00D52BCB">
        <w:tc>
          <w:tcPr>
            <w:tcW w:w="0" w:type="auto"/>
            <w:gridSpan w:val="13"/>
          </w:tcPr>
          <w:p w14:paraId="2B8D3813" w14:textId="77777777" w:rsidR="00106BE7" w:rsidRDefault="00106BE7" w:rsidP="001F570F">
            <w:pPr>
              <w:jc w:val="both"/>
              <w:rPr>
                <w:color w:val="0070C0"/>
                <w:sz w:val="48"/>
                <w:szCs w:val="48"/>
              </w:rPr>
            </w:pPr>
            <w:r>
              <w:rPr>
                <w:color w:val="0070C0"/>
                <w:sz w:val="30"/>
                <w:szCs w:val="30"/>
              </w:rPr>
              <w:lastRenderedPageBreak/>
              <w:t xml:space="preserve">Target </w:t>
            </w:r>
            <w:r w:rsidRPr="0098013D">
              <w:rPr>
                <w:color w:val="0070C0"/>
                <w:sz w:val="30"/>
                <w:szCs w:val="30"/>
              </w:rPr>
              <w:t>14.5 By 2020, conserve at least 10 per cent of coastal and marine areas, consistent with national and international law and based on the best available scientific information</w:t>
            </w:r>
          </w:p>
        </w:tc>
      </w:tr>
      <w:tr w:rsidR="001F570F" w14:paraId="3CE6FD3C" w14:textId="77777777" w:rsidTr="00A64F0D">
        <w:tc>
          <w:tcPr>
            <w:tcW w:w="0" w:type="auto"/>
          </w:tcPr>
          <w:p w14:paraId="7BE1A1F9" w14:textId="77777777" w:rsidR="001F570F" w:rsidRDefault="001F570F" w:rsidP="001F570F">
            <w:pPr>
              <w:pStyle w:val="NoSpacing"/>
            </w:pPr>
            <w:r w:rsidRPr="000221E2">
              <w:t>14.6.1 Degree of implementation of international instruments aiming to combat illegal, unreported and unregulated fishing</w:t>
            </w:r>
          </w:p>
        </w:tc>
        <w:tc>
          <w:tcPr>
            <w:tcW w:w="0" w:type="auto"/>
          </w:tcPr>
          <w:p w14:paraId="1A0FD71A" w14:textId="77777777" w:rsidR="001F570F" w:rsidRDefault="001F570F" w:rsidP="001F570F">
            <w:pPr>
              <w:ind w:left="970" w:hanging="970"/>
              <w:jc w:val="both"/>
              <w:rPr>
                <w:color w:val="0070C0"/>
                <w:sz w:val="30"/>
                <w:szCs w:val="30"/>
              </w:rPr>
            </w:pPr>
          </w:p>
          <w:p w14:paraId="6CBBCDD8" w14:textId="77777777" w:rsidR="001F570F" w:rsidRDefault="001F570F" w:rsidP="001F570F">
            <w:pPr>
              <w:pStyle w:val="NoSpacing"/>
            </w:pPr>
            <w:r w:rsidRPr="00E53957">
              <w:t>FAO</w:t>
            </w:r>
          </w:p>
        </w:tc>
        <w:tc>
          <w:tcPr>
            <w:tcW w:w="0" w:type="auto"/>
          </w:tcPr>
          <w:p w14:paraId="7BD4C9A8" w14:textId="77777777" w:rsidR="001F570F" w:rsidRDefault="001F570F" w:rsidP="001F570F">
            <w:pPr>
              <w:ind w:left="970" w:hanging="970"/>
              <w:jc w:val="both"/>
              <w:rPr>
                <w:color w:val="0070C0"/>
                <w:sz w:val="30"/>
                <w:szCs w:val="30"/>
              </w:rPr>
            </w:pPr>
            <w:r>
              <w:t>Tier I</w:t>
            </w:r>
          </w:p>
        </w:tc>
        <w:tc>
          <w:tcPr>
            <w:tcW w:w="0" w:type="auto"/>
          </w:tcPr>
          <w:p w14:paraId="2D492B57" w14:textId="77777777" w:rsidR="001F570F" w:rsidRPr="006C66C0" w:rsidRDefault="001F570F" w:rsidP="001F570F">
            <w:pPr>
              <w:pStyle w:val="NoSpacing"/>
              <w:rPr>
                <w:b/>
                <w:bCs/>
                <w:lang w:val="en-GB"/>
              </w:rPr>
            </w:pPr>
            <w:r w:rsidRPr="006C66C0">
              <w:rPr>
                <w:b/>
                <w:bCs/>
                <w:lang w:val="en-GB"/>
              </w:rPr>
              <w:t>Definition:</w:t>
            </w:r>
          </w:p>
          <w:p w14:paraId="6B108570" w14:textId="77777777" w:rsidR="001F570F" w:rsidRDefault="001F570F" w:rsidP="001F570F">
            <w:pPr>
              <w:pStyle w:val="NoSpacing"/>
              <w:rPr>
                <w:lang w:val="en-GB"/>
              </w:rPr>
            </w:pPr>
            <w:r w:rsidRPr="006C66C0">
              <w:rPr>
                <w:lang w:val="en-GB"/>
              </w:rPr>
              <w:t>Progress by countries in the degree of implementation of international instruments aiming to combat illegal, unre</w:t>
            </w:r>
            <w:r>
              <w:rPr>
                <w:lang w:val="en-GB"/>
              </w:rPr>
              <w:t>ported and unregulated fishing.</w:t>
            </w:r>
          </w:p>
          <w:p w14:paraId="73DC1BE9" w14:textId="77777777" w:rsidR="001F570F" w:rsidRPr="006C66C0" w:rsidRDefault="001F570F" w:rsidP="001F570F">
            <w:pPr>
              <w:pStyle w:val="NoSpacing"/>
              <w:rPr>
                <w:lang w:val="en-GB"/>
              </w:rPr>
            </w:pPr>
          </w:p>
          <w:p w14:paraId="5E27AE28" w14:textId="77777777" w:rsidR="001F570F" w:rsidRPr="006C66C0" w:rsidRDefault="001F570F" w:rsidP="001F570F">
            <w:pPr>
              <w:pStyle w:val="NoSpacing"/>
              <w:rPr>
                <w:lang w:val="en-GB"/>
              </w:rPr>
            </w:pPr>
            <w:r w:rsidRPr="006C66C0">
              <w:rPr>
                <w:b/>
                <w:bCs/>
                <w:lang w:val="en-GB"/>
              </w:rPr>
              <w:t>Concepts:</w:t>
            </w:r>
          </w:p>
          <w:p w14:paraId="33511FC1" w14:textId="77777777" w:rsidR="001F570F" w:rsidRPr="006C66C0" w:rsidRDefault="001F570F" w:rsidP="001F570F">
            <w:pPr>
              <w:pStyle w:val="NoSpacing"/>
              <w:rPr>
                <w:lang w:val="en-GB"/>
              </w:rPr>
            </w:pPr>
            <w:r w:rsidRPr="006C66C0">
              <w:rPr>
                <w:lang w:val="en-GB"/>
              </w:rPr>
              <w:t>The definitions and concepts associated with the indicator and utilized in the methodology are defined in the FAO term portal: http://www.fao.org/faoterm/collection/fisheries/en/</w:t>
            </w:r>
          </w:p>
          <w:p w14:paraId="4A3C062E" w14:textId="77777777" w:rsidR="001F570F" w:rsidRPr="006C66C0" w:rsidRDefault="001F570F" w:rsidP="001F570F">
            <w:pPr>
              <w:pStyle w:val="NoSpacing"/>
              <w:rPr>
                <w:lang w:val="en-GB"/>
              </w:rPr>
            </w:pPr>
          </w:p>
          <w:p w14:paraId="7BC5EF18" w14:textId="77777777" w:rsidR="001F570F" w:rsidRPr="006C66C0" w:rsidRDefault="001F570F" w:rsidP="001F570F">
            <w:pPr>
              <w:pStyle w:val="NoSpacing"/>
              <w:rPr>
                <w:lang w:val="en-GB"/>
              </w:rPr>
            </w:pPr>
            <w:r w:rsidRPr="006C66C0">
              <w:rPr>
                <w:lang w:val="en-GB"/>
              </w:rPr>
              <w:t xml:space="preserve">This indicator is based on a country’s implementation of the different international instruments that combat illegal, unreported and unregulated fishing (IUU fishing). IUU fishing undermines national and regional efforts to conserve and manage fish stocks and, as a consequence, inhibits progress towards achieving the goals of long-term sustainability and responsibility as set forth in, inter alia, Chapter 17 of Agenda 21 and the 1995 FAO Code of Conduct for Responsible Fisheries. Moreover, IUU fishing greatly disadvantages and discriminates against those fishers that act responsibly, honestly and in accordance with the terms of their fishing authorizations. This is a compelling reason why IUU fishing must be dealt with expeditiously and in a transparent manner. If IUU fishing is not curbed, and if IUU fishers target vulnerable stocks that are subject to strict management controls or moratoria, efforts to rebuild those stocks to healthy levels will not be achieved. To efficiently curb the IUU fishing a number of different international instruments have been developed over the years that focus on the implementation of the different responsibilities of States. </w:t>
            </w:r>
          </w:p>
          <w:p w14:paraId="73726A7F" w14:textId="77777777" w:rsidR="001F570F" w:rsidRPr="006C66C0" w:rsidRDefault="001F570F" w:rsidP="001F570F">
            <w:pPr>
              <w:pStyle w:val="NoSpacing"/>
              <w:rPr>
                <w:lang w:val="en-GB"/>
              </w:rPr>
            </w:pPr>
          </w:p>
          <w:p w14:paraId="076C70DE" w14:textId="77777777" w:rsidR="001F570F" w:rsidRPr="006C66C0" w:rsidRDefault="001F570F" w:rsidP="001F570F">
            <w:pPr>
              <w:pStyle w:val="NoSpacing"/>
              <w:rPr>
                <w:lang w:val="en-GB"/>
              </w:rPr>
            </w:pPr>
            <w:r w:rsidRPr="006C66C0">
              <w:rPr>
                <w:lang w:val="en-GB"/>
              </w:rPr>
              <w:t>The instruments covered by this indicator and their role in combatting IUU fishing are as follows:</w:t>
            </w:r>
          </w:p>
          <w:p w14:paraId="6632A952" w14:textId="77777777" w:rsidR="001F570F" w:rsidRPr="006C66C0" w:rsidRDefault="001F570F" w:rsidP="001F570F">
            <w:pPr>
              <w:pStyle w:val="NoSpacing"/>
              <w:rPr>
                <w:lang w:val="en-GB"/>
              </w:rPr>
            </w:pPr>
          </w:p>
          <w:p w14:paraId="4096A33A" w14:textId="77777777" w:rsidR="001F570F" w:rsidRPr="006C66C0" w:rsidRDefault="001F570F" w:rsidP="001F570F">
            <w:pPr>
              <w:pStyle w:val="NoSpacing"/>
              <w:numPr>
                <w:ilvl w:val="0"/>
                <w:numId w:val="72"/>
              </w:numPr>
              <w:rPr>
                <w:b/>
                <w:bCs/>
                <w:lang w:val="en-GB"/>
              </w:rPr>
            </w:pPr>
            <w:r w:rsidRPr="006C66C0">
              <w:rPr>
                <w:b/>
                <w:bCs/>
                <w:lang w:val="en-GB"/>
              </w:rPr>
              <w:t>The 1982 United Nations Convention on the Law of the Sea (UNCLOS)</w:t>
            </w:r>
          </w:p>
          <w:p w14:paraId="6E00CC3F" w14:textId="77777777" w:rsidR="001F570F" w:rsidRPr="006C66C0" w:rsidRDefault="001F570F" w:rsidP="001F570F">
            <w:pPr>
              <w:pStyle w:val="NoSpacing"/>
              <w:rPr>
                <w:lang w:val="en-GB"/>
              </w:rPr>
            </w:pPr>
            <w:r w:rsidRPr="006C66C0">
              <w:rPr>
                <w:lang w:val="en-GB"/>
              </w:rPr>
              <w:t xml:space="preserve">This instrument is the basis upon which all the subsequent instruments are built upon. UNCLOS defines the rights and responsibilities of nations with respect to their use of the world's oceans, establishing guidelines for businesses, the environment, and the management of marine natural resources. It is a binding instrument, although its principles may also be applied by countries </w:t>
            </w:r>
            <w:proofErr w:type="gramStart"/>
            <w:r w:rsidRPr="006C66C0">
              <w:rPr>
                <w:lang w:val="en-GB"/>
              </w:rPr>
              <w:t>who</w:t>
            </w:r>
            <w:proofErr w:type="gramEnd"/>
            <w:r w:rsidRPr="006C66C0">
              <w:rPr>
                <w:lang w:val="en-GB"/>
              </w:rPr>
              <w:t xml:space="preserve"> are not party to it.</w:t>
            </w:r>
          </w:p>
          <w:p w14:paraId="2FA88779" w14:textId="77777777" w:rsidR="001F570F" w:rsidRPr="006C66C0" w:rsidRDefault="001F570F" w:rsidP="001F570F">
            <w:pPr>
              <w:pStyle w:val="NoSpacing"/>
              <w:rPr>
                <w:lang w:val="en-GB"/>
              </w:rPr>
            </w:pPr>
          </w:p>
          <w:p w14:paraId="6F61E6B9" w14:textId="77777777" w:rsidR="001F570F" w:rsidRPr="006C66C0" w:rsidRDefault="001F570F" w:rsidP="001F570F">
            <w:pPr>
              <w:pStyle w:val="NoSpacing"/>
              <w:numPr>
                <w:ilvl w:val="0"/>
                <w:numId w:val="71"/>
              </w:numPr>
              <w:rPr>
                <w:b/>
                <w:lang w:val="en-GB"/>
              </w:rPr>
            </w:pPr>
            <w:r w:rsidRPr="006C66C0">
              <w:rPr>
                <w:b/>
                <w:lang w:val="en-GB"/>
              </w:rPr>
              <w:t>The Agreement for the Implementation of the Provisions of the United Nations Convention on the Law of the Sea of 10 December 1982 Relating to the Conservation and Management of Straddling Fish Stocks and Highly Migratory Fish Stocks (UN Fish Stocks Agreement)</w:t>
            </w:r>
          </w:p>
          <w:p w14:paraId="19DD4923" w14:textId="77777777" w:rsidR="001F570F" w:rsidRPr="006C66C0" w:rsidRDefault="001F570F" w:rsidP="001F570F">
            <w:pPr>
              <w:pStyle w:val="NoSpacing"/>
              <w:rPr>
                <w:lang w:val="en-GB"/>
              </w:rPr>
            </w:pPr>
            <w:r w:rsidRPr="006C66C0">
              <w:rPr>
                <w:lang w:val="en-GB"/>
              </w:rPr>
              <w:t xml:space="preserve">The UN Fish Stocks Agreement entered into force on 11 December 2001, and is the most comprehensive of the binding international instruments in defining the role of Regional Fisheries Management Organisations and elaborating measures that could be taken in relation to IUU fishing activities. Although the UN Fish Stocks Agreement applies primarily to the highly migratory and straddling fish stocks on the high seas, its broad acceptance and application is evidenced by the </w:t>
            </w:r>
            <w:r w:rsidRPr="006C66C0">
              <w:rPr>
                <w:lang w:val="en-GB"/>
              </w:rPr>
              <w:lastRenderedPageBreak/>
              <w:t>reinforcement of other international instruments, implementation at the regional level, and to some extent by State practice within areas of national jurisdiction.</w:t>
            </w:r>
          </w:p>
          <w:p w14:paraId="594B75FE" w14:textId="77777777" w:rsidR="001F570F" w:rsidRPr="006C66C0" w:rsidRDefault="001F570F" w:rsidP="001F570F">
            <w:pPr>
              <w:pStyle w:val="NoSpacing"/>
              <w:rPr>
                <w:lang w:val="en-GB"/>
              </w:rPr>
            </w:pPr>
          </w:p>
          <w:p w14:paraId="3EFA668B" w14:textId="77777777" w:rsidR="001F570F" w:rsidRPr="006C66C0" w:rsidRDefault="001F570F" w:rsidP="001F570F">
            <w:pPr>
              <w:pStyle w:val="NoSpacing"/>
              <w:numPr>
                <w:ilvl w:val="0"/>
                <w:numId w:val="71"/>
              </w:numPr>
              <w:rPr>
                <w:b/>
                <w:lang w:val="en-GB"/>
              </w:rPr>
            </w:pPr>
            <w:r w:rsidRPr="006C66C0">
              <w:rPr>
                <w:b/>
                <w:lang w:val="en-GB"/>
              </w:rPr>
              <w:t>The International Plan of Action to Prevent, Deter and Eliminate Illegal, Unreported and Unregulated Fishing (IPOA-IUU)</w:t>
            </w:r>
          </w:p>
          <w:p w14:paraId="273CB119" w14:textId="77777777" w:rsidR="001F570F" w:rsidRPr="006C66C0" w:rsidRDefault="001F570F" w:rsidP="001F570F">
            <w:pPr>
              <w:pStyle w:val="NoSpacing"/>
              <w:rPr>
                <w:lang w:val="en-GB"/>
              </w:rPr>
            </w:pPr>
            <w:r w:rsidRPr="006C66C0">
              <w:rPr>
                <w:lang w:val="en-GB"/>
              </w:rPr>
              <w:t>The objective of the IPOA is to prevent, deter and eliminate IUU fishing by providing all States with comprehensive, effective and transparent measures by which to act, including through appropriate regional fisheries management organizations established in accordance with international law. This instrument covers all the aspects of a State’s responsibilities including, flag State responsibilities, coastal State measures, port State measures, internationally agreed market-related measures, research and regional fisheries management organizations.</w:t>
            </w:r>
          </w:p>
          <w:p w14:paraId="5E62D450" w14:textId="77777777" w:rsidR="001F570F" w:rsidRPr="006C66C0" w:rsidRDefault="001F570F" w:rsidP="001F570F">
            <w:pPr>
              <w:pStyle w:val="NoSpacing"/>
              <w:rPr>
                <w:lang w:val="en-GB"/>
              </w:rPr>
            </w:pPr>
          </w:p>
          <w:p w14:paraId="1077DECD" w14:textId="77777777" w:rsidR="001F570F" w:rsidRPr="006C66C0" w:rsidRDefault="001F570F" w:rsidP="001F570F">
            <w:pPr>
              <w:pStyle w:val="NoSpacing"/>
              <w:numPr>
                <w:ilvl w:val="0"/>
                <w:numId w:val="71"/>
              </w:numPr>
              <w:rPr>
                <w:b/>
                <w:lang w:val="en-GB"/>
              </w:rPr>
            </w:pPr>
            <w:r w:rsidRPr="006C66C0">
              <w:rPr>
                <w:b/>
                <w:lang w:val="en-GB"/>
              </w:rPr>
              <w:t>The 2009 FAO Agreement on Port State Measures to Prevent, Deter and Eliminate Illegal, Unreported and Unregulated Fishing (PSMA)</w:t>
            </w:r>
          </w:p>
          <w:p w14:paraId="61AB1ADD" w14:textId="77777777" w:rsidR="001F570F" w:rsidRPr="006C66C0" w:rsidRDefault="001F570F" w:rsidP="001F570F">
            <w:pPr>
              <w:pStyle w:val="NoSpacing"/>
              <w:rPr>
                <w:lang w:val="en-GB"/>
              </w:rPr>
            </w:pPr>
            <w:r w:rsidRPr="006C66C0">
              <w:rPr>
                <w:lang w:val="en-GB"/>
              </w:rPr>
              <w:t>The FAO Agreement on Port State Measures to Prevent, Deter and Eliminate Illegal, Unreported and Unregulated Fishing entered into force on the 5th of June 2016. The main purpose of the Agreement is to prevent, deter and eliminate illegal, unreported and unregulated (IUU) fishing through the implementation of robust port State measures. The Agreement envisages that parties, in their capacities as port States, will apply the Agreement in an effective manner to foreign vessels when seeking entry to ports or while they are in port. The application of the measures set out in the Agreement will, inter alia, contribute to harmonized port State measures, enhanced regional and international cooperation and block the flow of IUU-caught fish into national and international markets.</w:t>
            </w:r>
          </w:p>
          <w:p w14:paraId="7C32798E" w14:textId="77777777" w:rsidR="001F570F" w:rsidRPr="006C66C0" w:rsidRDefault="001F570F" w:rsidP="001F570F">
            <w:pPr>
              <w:pStyle w:val="NoSpacing"/>
              <w:rPr>
                <w:lang w:val="en-GB"/>
              </w:rPr>
            </w:pPr>
          </w:p>
          <w:p w14:paraId="376E44A8" w14:textId="77777777" w:rsidR="001F570F" w:rsidRPr="006C66C0" w:rsidRDefault="001F570F" w:rsidP="001F570F">
            <w:pPr>
              <w:pStyle w:val="NoSpacing"/>
              <w:numPr>
                <w:ilvl w:val="0"/>
                <w:numId w:val="71"/>
              </w:numPr>
              <w:rPr>
                <w:b/>
                <w:lang w:val="en-GB"/>
              </w:rPr>
            </w:pPr>
            <w:r w:rsidRPr="006C66C0">
              <w:rPr>
                <w:b/>
                <w:lang w:val="en-GB"/>
              </w:rPr>
              <w:t>The FAO Voluntary Guidelines for Flag State Performance (VG-FSP)</w:t>
            </w:r>
          </w:p>
          <w:p w14:paraId="1C4CB57A" w14:textId="77777777" w:rsidR="001F570F" w:rsidRPr="006C66C0" w:rsidRDefault="001F570F" w:rsidP="001F570F">
            <w:pPr>
              <w:pStyle w:val="NoSpacing"/>
              <w:rPr>
                <w:lang w:val="en-GB"/>
              </w:rPr>
            </w:pPr>
            <w:r w:rsidRPr="006C66C0">
              <w:rPr>
                <w:lang w:val="en-GB"/>
              </w:rPr>
              <w:t>The FAO Voluntary Guidelines for Flag State Performance spell out a range of actions that countries can take to ensure that vessels registered under their flags do not conduct IUU fishing, including monitoring, control and surveillance (MCS) activities, such as vessel monitoring systems (VMS) and observers. They promote information exchange and cooperation among countries so that flag states are in a position to refuse to register vessels that are "flag-hopping" by attempting to register with another flag state or to refuse vessels that have been reported for IUU fishing. The Guidelines also include recommendations on how countries can encourage compliance and take action against non-compliance by vessels, as well as on how to enhance international cooperation to assist developing countries to fulfil their flag state responsibilities.</w:t>
            </w:r>
          </w:p>
          <w:p w14:paraId="45DAD7FF" w14:textId="77777777" w:rsidR="001F570F" w:rsidRPr="006C66C0" w:rsidRDefault="001F570F" w:rsidP="001F570F">
            <w:pPr>
              <w:pStyle w:val="NoSpacing"/>
              <w:rPr>
                <w:lang w:val="en-GB"/>
              </w:rPr>
            </w:pPr>
          </w:p>
          <w:p w14:paraId="779D20D5" w14:textId="77777777" w:rsidR="001F570F" w:rsidRPr="006C66C0" w:rsidRDefault="001F570F" w:rsidP="001F570F">
            <w:pPr>
              <w:pStyle w:val="NoSpacing"/>
              <w:numPr>
                <w:ilvl w:val="0"/>
                <w:numId w:val="71"/>
              </w:numPr>
              <w:rPr>
                <w:b/>
                <w:lang w:val="en-GB"/>
              </w:rPr>
            </w:pPr>
            <w:r w:rsidRPr="006C66C0">
              <w:rPr>
                <w:b/>
                <w:lang w:val="en-GB"/>
              </w:rPr>
              <w:t>The FAO Agreement to Promote Compliance with International Conservation and Management Measures by Fishing Vessels on the High Seas (Compliance Agreement)</w:t>
            </w:r>
          </w:p>
          <w:p w14:paraId="62018B5B" w14:textId="77777777" w:rsidR="001F570F" w:rsidRPr="006C66C0" w:rsidRDefault="001F570F" w:rsidP="001F570F">
            <w:pPr>
              <w:pStyle w:val="NoSpacing"/>
              <w:rPr>
                <w:lang w:val="en-GB"/>
              </w:rPr>
            </w:pPr>
            <w:r w:rsidRPr="006C66C0">
              <w:rPr>
                <w:lang w:val="en-GB"/>
              </w:rPr>
              <w:t xml:space="preserve">The 1993 FAO Compliance Agreement entered into force on the 24th of April 2003. Its main purpose is to encourage countries to take effective action, consistent with international law, and to deter the reflagging of vessels by their </w:t>
            </w:r>
            <w:r w:rsidRPr="006C66C0">
              <w:rPr>
                <w:lang w:val="en-GB"/>
              </w:rPr>
              <w:lastRenderedPageBreak/>
              <w:t>nationals as a means of avoiding compliance with applicable conservation and management rules for fishing activities on the high seas. With respect to the role of RFBs, the preamble calls upon States which do not participate in global, regional or sub regional fishery organizations or arrangements to do so, with a view to achieving compliance with international conservation and management measures.</w:t>
            </w:r>
          </w:p>
          <w:p w14:paraId="704C0530" w14:textId="77777777" w:rsidR="001F570F" w:rsidRPr="006C66C0" w:rsidRDefault="001F570F" w:rsidP="001F570F">
            <w:pPr>
              <w:pStyle w:val="NoSpacing"/>
              <w:rPr>
                <w:b/>
                <w:bCs/>
                <w:lang w:val="en-GB"/>
              </w:rPr>
            </w:pPr>
          </w:p>
          <w:p w14:paraId="2F6FE831" w14:textId="77777777" w:rsidR="001F570F" w:rsidRPr="006C66C0" w:rsidRDefault="001F570F" w:rsidP="001F570F">
            <w:pPr>
              <w:pStyle w:val="NoSpacing"/>
              <w:rPr>
                <w:b/>
                <w:bCs/>
                <w:lang w:val="en-GB"/>
              </w:rPr>
            </w:pPr>
            <w:r w:rsidRPr="006C66C0">
              <w:rPr>
                <w:b/>
                <w:bCs/>
                <w:lang w:val="en-GB"/>
              </w:rPr>
              <w:t>Comments and limitations:</w:t>
            </w:r>
          </w:p>
          <w:p w14:paraId="732B6D0D" w14:textId="77777777" w:rsidR="001F570F" w:rsidRPr="006C66C0" w:rsidRDefault="001F570F" w:rsidP="001F570F">
            <w:pPr>
              <w:pStyle w:val="NoSpacing"/>
              <w:rPr>
                <w:lang w:val="en-GB"/>
              </w:rPr>
            </w:pPr>
            <w:r w:rsidRPr="006C66C0">
              <w:rPr>
                <w:lang w:val="en-GB"/>
              </w:rPr>
              <w:t>Aside from the status of a country as party or non-party to an international agreement which is available as public record, the indicator is a self-analysis by the country of their state of implementation of the various international instruments. Although questions in the questionnaire will be accompanied by pop up guides describing any technical aspects or terms, there may be a small variance in interpretation by different respondents.</w:t>
            </w:r>
          </w:p>
          <w:p w14:paraId="64036FFA" w14:textId="77777777" w:rsidR="001F570F" w:rsidRPr="006C66C0" w:rsidRDefault="001F570F" w:rsidP="001F570F">
            <w:pPr>
              <w:pStyle w:val="NoSpacing"/>
              <w:rPr>
                <w:lang w:val="en-GB"/>
              </w:rPr>
            </w:pPr>
          </w:p>
          <w:p w14:paraId="72EBA528" w14:textId="77777777" w:rsidR="001F570F" w:rsidRPr="006C66C0" w:rsidRDefault="001F570F" w:rsidP="001F570F">
            <w:pPr>
              <w:pStyle w:val="NoSpacing"/>
              <w:rPr>
                <w:lang w:val="en-GB"/>
              </w:rPr>
            </w:pPr>
            <w:r w:rsidRPr="006C66C0">
              <w:rPr>
                <w:lang w:val="en-GB"/>
              </w:rPr>
              <w:t>Additionally, due to the fact that responses are not provided by an independent source, responses could in theory be politically influenced.</w:t>
            </w:r>
          </w:p>
          <w:p w14:paraId="552BD97B" w14:textId="77777777" w:rsidR="001F570F" w:rsidRPr="006C66C0" w:rsidRDefault="001F570F" w:rsidP="001F570F">
            <w:pPr>
              <w:pStyle w:val="NoSpacing"/>
              <w:rPr>
                <w:lang w:val="en-GB"/>
              </w:rPr>
            </w:pPr>
          </w:p>
          <w:p w14:paraId="0E431788" w14:textId="77777777" w:rsidR="001F570F" w:rsidRPr="006C66C0" w:rsidRDefault="001F570F" w:rsidP="001F570F">
            <w:pPr>
              <w:pStyle w:val="NoSpacing"/>
              <w:rPr>
                <w:lang w:val="en-GB"/>
              </w:rPr>
            </w:pPr>
            <w:r w:rsidRPr="006C66C0">
              <w:rPr>
                <w:b/>
                <w:bCs/>
                <w:lang w:val="en-GB"/>
              </w:rPr>
              <w:t>Computation Method:</w:t>
            </w:r>
          </w:p>
          <w:p w14:paraId="3EEA79B3" w14:textId="77777777" w:rsidR="001F570F" w:rsidRPr="006C66C0" w:rsidRDefault="001F570F" w:rsidP="001F570F">
            <w:pPr>
              <w:pStyle w:val="NoSpacing"/>
              <w:rPr>
                <w:lang w:val="en-GB"/>
              </w:rPr>
            </w:pPr>
            <w:r w:rsidRPr="006C66C0">
              <w:rPr>
                <w:lang w:val="en-GB"/>
              </w:rPr>
              <w:t>The indicator is based upon responses by States to a certain sections of the questionnaire for monitoring the implementation of the Code of Conduct for Responsible Fisheries and related instruments (CCRF). These are sections covering the implementation of different international instruments used to combat IUU fishing. The responses will be converted using an algorithm to obtain a score for the indicator. Each instrument will be covered within a given variable, as follows:</w:t>
            </w:r>
          </w:p>
          <w:p w14:paraId="444B91D5" w14:textId="77777777" w:rsidR="001F570F" w:rsidRPr="006C66C0" w:rsidRDefault="001F570F" w:rsidP="001F570F">
            <w:pPr>
              <w:pStyle w:val="NoSpacing"/>
              <w:rPr>
                <w:lang w:val="en-GB"/>
              </w:rPr>
            </w:pPr>
          </w:p>
          <w:p w14:paraId="22266F00" w14:textId="77777777" w:rsidR="001F570F" w:rsidRPr="006C66C0" w:rsidRDefault="001F570F" w:rsidP="001F570F">
            <w:pPr>
              <w:pStyle w:val="NoSpacing"/>
              <w:rPr>
                <w:lang w:val="en-GB"/>
              </w:rPr>
            </w:pPr>
            <w:r w:rsidRPr="006C66C0">
              <w:rPr>
                <w:b/>
                <w:lang w:val="en-GB"/>
              </w:rPr>
              <w:t>Variable 1</w:t>
            </w:r>
            <w:r w:rsidRPr="006C66C0">
              <w:rPr>
                <w:lang w:val="en-GB"/>
              </w:rPr>
              <w:t xml:space="preserve"> </w:t>
            </w:r>
            <w:r w:rsidRPr="006C66C0">
              <w:rPr>
                <w:b/>
                <w:lang w:val="en-GB"/>
              </w:rPr>
              <w:t>(V1)</w:t>
            </w:r>
            <w:r w:rsidRPr="006C66C0">
              <w:rPr>
                <w:lang w:val="en-GB"/>
              </w:rPr>
              <w:t xml:space="preserve"> - Adherence and implementation of the 1982 United Nations Convention on the Law of the Sea</w:t>
            </w:r>
          </w:p>
          <w:p w14:paraId="377D0594" w14:textId="77777777" w:rsidR="001F570F" w:rsidRPr="006C66C0" w:rsidRDefault="001F570F" w:rsidP="001F570F">
            <w:pPr>
              <w:pStyle w:val="NoSpacing"/>
              <w:rPr>
                <w:lang w:val="en-GB"/>
              </w:rPr>
            </w:pPr>
            <w:r w:rsidRPr="006C66C0">
              <w:rPr>
                <w:b/>
                <w:lang w:val="en-GB"/>
              </w:rPr>
              <w:t>Variable 2</w:t>
            </w:r>
            <w:r w:rsidRPr="006C66C0">
              <w:rPr>
                <w:lang w:val="en-GB"/>
              </w:rPr>
              <w:t xml:space="preserve"> </w:t>
            </w:r>
            <w:r w:rsidRPr="006C66C0">
              <w:rPr>
                <w:b/>
                <w:lang w:val="en-GB"/>
              </w:rPr>
              <w:t>(V2)</w:t>
            </w:r>
            <w:r w:rsidRPr="006C66C0">
              <w:rPr>
                <w:lang w:val="en-GB"/>
              </w:rPr>
              <w:t xml:space="preserve"> - Adherence and implementation of the 1995 United Nations Fish Stocks Agreement </w:t>
            </w:r>
          </w:p>
          <w:p w14:paraId="524BC98B" w14:textId="77777777" w:rsidR="001F570F" w:rsidRPr="006C66C0" w:rsidRDefault="001F570F" w:rsidP="001F570F">
            <w:pPr>
              <w:pStyle w:val="NoSpacing"/>
              <w:rPr>
                <w:lang w:val="en-GB"/>
              </w:rPr>
            </w:pPr>
            <w:r w:rsidRPr="006C66C0">
              <w:rPr>
                <w:b/>
                <w:lang w:val="en-GB"/>
              </w:rPr>
              <w:t>Variable 3 (V3)</w:t>
            </w:r>
            <w:r w:rsidRPr="006C66C0">
              <w:rPr>
                <w:lang w:val="en-GB"/>
              </w:rPr>
              <w:t xml:space="preserve"> - Development and implementation of a national plan of action (NPOA) to combat IUU fishing in line with the IPOA-IUU </w:t>
            </w:r>
          </w:p>
          <w:p w14:paraId="407FBDFA" w14:textId="77777777" w:rsidR="001F570F" w:rsidRPr="006C66C0" w:rsidRDefault="001F570F" w:rsidP="001F570F">
            <w:pPr>
              <w:pStyle w:val="NoSpacing"/>
              <w:rPr>
                <w:lang w:val="en-GB"/>
              </w:rPr>
            </w:pPr>
            <w:r w:rsidRPr="006C66C0">
              <w:rPr>
                <w:b/>
                <w:lang w:val="en-GB"/>
              </w:rPr>
              <w:t>Variable 4 (V4)</w:t>
            </w:r>
            <w:r w:rsidRPr="006C66C0">
              <w:rPr>
                <w:lang w:val="en-GB"/>
              </w:rPr>
              <w:t xml:space="preserve"> - Adherence and implementation of the 2009 FAO Agreement on Port State Measures (PSMA) </w:t>
            </w:r>
          </w:p>
          <w:p w14:paraId="7FA7E98C" w14:textId="77777777" w:rsidR="001F570F" w:rsidRPr="006C66C0" w:rsidRDefault="001F570F" w:rsidP="001F570F">
            <w:pPr>
              <w:pStyle w:val="NoSpacing"/>
              <w:rPr>
                <w:lang w:val="en-GB"/>
              </w:rPr>
            </w:pPr>
            <w:r w:rsidRPr="006C66C0">
              <w:rPr>
                <w:b/>
                <w:lang w:val="en-GB"/>
              </w:rPr>
              <w:t>Variable 5 (V5)</w:t>
            </w:r>
            <w:r w:rsidRPr="006C66C0">
              <w:rPr>
                <w:lang w:val="en-GB"/>
              </w:rPr>
              <w:t xml:space="preserve"> - Implementation of Flag State Responsibilities in the context of the 1993 FAO Compliance Agreement and FAO Voluntary Guidelines for Flag State Performance</w:t>
            </w:r>
          </w:p>
          <w:p w14:paraId="67B795DF" w14:textId="77777777" w:rsidR="001F570F" w:rsidRPr="006C66C0" w:rsidRDefault="001F570F" w:rsidP="001F570F">
            <w:pPr>
              <w:pStyle w:val="NoSpacing"/>
              <w:rPr>
                <w:lang w:val="en-GB"/>
              </w:rPr>
            </w:pPr>
          </w:p>
          <w:p w14:paraId="08FD6927" w14:textId="77777777" w:rsidR="001F570F" w:rsidRPr="006C66C0" w:rsidRDefault="001F570F" w:rsidP="001F570F">
            <w:pPr>
              <w:pStyle w:val="NoSpacing"/>
              <w:rPr>
                <w:lang w:val="en-GB"/>
              </w:rPr>
            </w:pPr>
            <w:r w:rsidRPr="006C66C0">
              <w:rPr>
                <w:lang w:val="en-GB"/>
              </w:rPr>
              <w:t>Depending on responses by FAO Members on the adherence and implementation of the above-mentioned instruments, States will score an indicator value between 0 and 1. Each variable is given a weighting, which takes into consideration the importance of the instrument in combating IUU fishing as well as the overlap between the instruments. The variable weightings are as follows:</w:t>
            </w:r>
          </w:p>
          <w:p w14:paraId="7CB7A82C" w14:textId="77777777" w:rsidR="001F570F" w:rsidRPr="006C66C0" w:rsidRDefault="001F570F" w:rsidP="001F570F">
            <w:pPr>
              <w:pStyle w:val="NoSpacing"/>
              <w:rPr>
                <w:lang w:val="en-GB"/>
              </w:rPr>
            </w:pPr>
          </w:p>
          <w:tbl>
            <w:tblPr>
              <w:tblStyle w:val="TableGrid"/>
              <w:tblW w:w="0" w:type="auto"/>
              <w:jc w:val="center"/>
              <w:tblLook w:val="04A0" w:firstRow="1" w:lastRow="0" w:firstColumn="1" w:lastColumn="0" w:noHBand="0" w:noVBand="1"/>
            </w:tblPr>
            <w:tblGrid>
              <w:gridCol w:w="944"/>
              <w:gridCol w:w="1113"/>
            </w:tblGrid>
            <w:tr w:rsidR="001F570F" w:rsidRPr="006C66C0" w14:paraId="27170FC8" w14:textId="77777777" w:rsidTr="00A64F0D">
              <w:trPr>
                <w:jc w:val="center"/>
              </w:trPr>
              <w:tc>
                <w:tcPr>
                  <w:tcW w:w="944" w:type="dxa"/>
                </w:tcPr>
                <w:p w14:paraId="2CBBAA3B" w14:textId="77777777" w:rsidR="001F570F" w:rsidRPr="006C66C0" w:rsidRDefault="001F570F" w:rsidP="001F570F">
                  <w:pPr>
                    <w:pStyle w:val="NoSpacing"/>
                    <w:rPr>
                      <w:b/>
                      <w:lang w:val="es-ES"/>
                    </w:rPr>
                  </w:pPr>
                  <w:r w:rsidRPr="006C66C0">
                    <w:rPr>
                      <w:b/>
                      <w:lang w:val="es-ES"/>
                    </w:rPr>
                    <w:t>Variable</w:t>
                  </w:r>
                </w:p>
              </w:tc>
              <w:tc>
                <w:tcPr>
                  <w:tcW w:w="1113" w:type="dxa"/>
                </w:tcPr>
                <w:p w14:paraId="367E51DB" w14:textId="77777777" w:rsidR="001F570F" w:rsidRPr="006C66C0" w:rsidRDefault="001F570F" w:rsidP="001F570F">
                  <w:pPr>
                    <w:pStyle w:val="NoSpacing"/>
                    <w:rPr>
                      <w:b/>
                      <w:lang w:val="es-ES"/>
                    </w:rPr>
                  </w:pPr>
                  <w:r w:rsidRPr="006C66C0">
                    <w:rPr>
                      <w:b/>
                      <w:lang w:val="en-GB"/>
                    </w:rPr>
                    <w:t>Weighting*</w:t>
                  </w:r>
                </w:p>
              </w:tc>
            </w:tr>
            <w:tr w:rsidR="001F570F" w:rsidRPr="006C66C0" w14:paraId="0D7A5E47" w14:textId="77777777" w:rsidTr="00A64F0D">
              <w:trPr>
                <w:jc w:val="center"/>
              </w:trPr>
              <w:tc>
                <w:tcPr>
                  <w:tcW w:w="944" w:type="dxa"/>
                </w:tcPr>
                <w:p w14:paraId="3AC5419A" w14:textId="77777777" w:rsidR="001F570F" w:rsidRPr="006C66C0" w:rsidRDefault="001F570F" w:rsidP="001F570F">
                  <w:pPr>
                    <w:pStyle w:val="NoSpacing"/>
                    <w:rPr>
                      <w:lang w:val="es-ES"/>
                    </w:rPr>
                  </w:pPr>
                  <w:r w:rsidRPr="006C66C0">
                    <w:rPr>
                      <w:lang w:val="es-ES"/>
                    </w:rPr>
                    <w:t>V1</w:t>
                  </w:r>
                </w:p>
              </w:tc>
              <w:tc>
                <w:tcPr>
                  <w:tcW w:w="1113" w:type="dxa"/>
                </w:tcPr>
                <w:p w14:paraId="3C727189" w14:textId="77777777" w:rsidR="001F570F" w:rsidRPr="006C66C0" w:rsidRDefault="001F570F" w:rsidP="001F570F">
                  <w:pPr>
                    <w:pStyle w:val="NoSpacing"/>
                    <w:rPr>
                      <w:lang w:val="es-ES"/>
                    </w:rPr>
                  </w:pPr>
                  <w:r w:rsidRPr="006C66C0">
                    <w:rPr>
                      <w:lang w:val="es-ES"/>
                    </w:rPr>
                    <w:t>10%</w:t>
                  </w:r>
                </w:p>
              </w:tc>
            </w:tr>
            <w:tr w:rsidR="001F570F" w:rsidRPr="006C66C0" w14:paraId="6B92F871" w14:textId="77777777" w:rsidTr="00A64F0D">
              <w:trPr>
                <w:jc w:val="center"/>
              </w:trPr>
              <w:tc>
                <w:tcPr>
                  <w:tcW w:w="944" w:type="dxa"/>
                </w:tcPr>
                <w:p w14:paraId="2A7F848A" w14:textId="77777777" w:rsidR="001F570F" w:rsidRPr="006C66C0" w:rsidRDefault="001F570F" w:rsidP="001F570F">
                  <w:pPr>
                    <w:pStyle w:val="NoSpacing"/>
                    <w:rPr>
                      <w:lang w:val="es-ES"/>
                    </w:rPr>
                  </w:pPr>
                  <w:r w:rsidRPr="006C66C0">
                    <w:rPr>
                      <w:lang w:val="es-ES"/>
                    </w:rPr>
                    <w:lastRenderedPageBreak/>
                    <w:t>V2</w:t>
                  </w:r>
                </w:p>
              </w:tc>
              <w:tc>
                <w:tcPr>
                  <w:tcW w:w="1113" w:type="dxa"/>
                </w:tcPr>
                <w:p w14:paraId="790C6531" w14:textId="77777777" w:rsidR="001F570F" w:rsidRPr="006C66C0" w:rsidRDefault="001F570F" w:rsidP="001F570F">
                  <w:pPr>
                    <w:pStyle w:val="NoSpacing"/>
                    <w:rPr>
                      <w:lang w:val="es-ES"/>
                    </w:rPr>
                  </w:pPr>
                  <w:r w:rsidRPr="006C66C0">
                    <w:rPr>
                      <w:lang w:val="es-ES"/>
                    </w:rPr>
                    <w:t>10%</w:t>
                  </w:r>
                </w:p>
              </w:tc>
            </w:tr>
            <w:tr w:rsidR="001F570F" w:rsidRPr="006C66C0" w14:paraId="4A96A776" w14:textId="77777777" w:rsidTr="00A64F0D">
              <w:trPr>
                <w:jc w:val="center"/>
              </w:trPr>
              <w:tc>
                <w:tcPr>
                  <w:tcW w:w="944" w:type="dxa"/>
                </w:tcPr>
                <w:p w14:paraId="0051F9C5" w14:textId="77777777" w:rsidR="001F570F" w:rsidRPr="006C66C0" w:rsidRDefault="001F570F" w:rsidP="001F570F">
                  <w:pPr>
                    <w:pStyle w:val="NoSpacing"/>
                    <w:rPr>
                      <w:lang w:val="es-ES"/>
                    </w:rPr>
                  </w:pPr>
                  <w:r w:rsidRPr="006C66C0">
                    <w:rPr>
                      <w:lang w:val="es-ES"/>
                    </w:rPr>
                    <w:t>V3</w:t>
                  </w:r>
                </w:p>
              </w:tc>
              <w:tc>
                <w:tcPr>
                  <w:tcW w:w="1113" w:type="dxa"/>
                </w:tcPr>
                <w:p w14:paraId="63E7B1A3" w14:textId="77777777" w:rsidR="001F570F" w:rsidRPr="006C66C0" w:rsidRDefault="001F570F" w:rsidP="001F570F">
                  <w:pPr>
                    <w:pStyle w:val="NoSpacing"/>
                    <w:rPr>
                      <w:lang w:val="es-ES"/>
                    </w:rPr>
                  </w:pPr>
                  <w:r w:rsidRPr="006C66C0">
                    <w:rPr>
                      <w:lang w:val="es-ES"/>
                    </w:rPr>
                    <w:t>30%</w:t>
                  </w:r>
                </w:p>
              </w:tc>
            </w:tr>
            <w:tr w:rsidR="001F570F" w:rsidRPr="006C66C0" w14:paraId="29579F66" w14:textId="77777777" w:rsidTr="00A64F0D">
              <w:trPr>
                <w:jc w:val="center"/>
              </w:trPr>
              <w:tc>
                <w:tcPr>
                  <w:tcW w:w="944" w:type="dxa"/>
                </w:tcPr>
                <w:p w14:paraId="10A33BA7" w14:textId="77777777" w:rsidR="001F570F" w:rsidRPr="006C66C0" w:rsidRDefault="001F570F" w:rsidP="001F570F">
                  <w:pPr>
                    <w:pStyle w:val="NoSpacing"/>
                    <w:rPr>
                      <w:lang w:val="es-ES"/>
                    </w:rPr>
                  </w:pPr>
                  <w:r w:rsidRPr="006C66C0">
                    <w:rPr>
                      <w:lang w:val="es-ES"/>
                    </w:rPr>
                    <w:t>V4</w:t>
                  </w:r>
                </w:p>
              </w:tc>
              <w:tc>
                <w:tcPr>
                  <w:tcW w:w="1113" w:type="dxa"/>
                </w:tcPr>
                <w:p w14:paraId="61342AB7" w14:textId="77777777" w:rsidR="001F570F" w:rsidRPr="006C66C0" w:rsidRDefault="001F570F" w:rsidP="001F570F">
                  <w:pPr>
                    <w:pStyle w:val="NoSpacing"/>
                    <w:rPr>
                      <w:lang w:val="es-ES"/>
                    </w:rPr>
                  </w:pPr>
                  <w:r w:rsidRPr="006C66C0">
                    <w:rPr>
                      <w:lang w:val="es-ES"/>
                    </w:rPr>
                    <w:t>30%</w:t>
                  </w:r>
                </w:p>
              </w:tc>
            </w:tr>
            <w:tr w:rsidR="001F570F" w:rsidRPr="006C66C0" w14:paraId="32C973A8" w14:textId="77777777" w:rsidTr="00A64F0D">
              <w:trPr>
                <w:jc w:val="center"/>
              </w:trPr>
              <w:tc>
                <w:tcPr>
                  <w:tcW w:w="944" w:type="dxa"/>
                  <w:tcBorders>
                    <w:bottom w:val="single" w:sz="4" w:space="0" w:color="auto"/>
                  </w:tcBorders>
                </w:tcPr>
                <w:p w14:paraId="218ADBA1" w14:textId="77777777" w:rsidR="001F570F" w:rsidRPr="006C66C0" w:rsidRDefault="001F570F" w:rsidP="001F570F">
                  <w:pPr>
                    <w:pStyle w:val="NoSpacing"/>
                    <w:rPr>
                      <w:lang w:val="es-ES"/>
                    </w:rPr>
                  </w:pPr>
                  <w:r w:rsidRPr="006C66C0">
                    <w:rPr>
                      <w:lang w:val="es-ES"/>
                    </w:rPr>
                    <w:t>V5</w:t>
                  </w:r>
                </w:p>
              </w:tc>
              <w:tc>
                <w:tcPr>
                  <w:tcW w:w="1113" w:type="dxa"/>
                  <w:tcBorders>
                    <w:bottom w:val="single" w:sz="4" w:space="0" w:color="auto"/>
                  </w:tcBorders>
                </w:tcPr>
                <w:p w14:paraId="67188594" w14:textId="77777777" w:rsidR="001F570F" w:rsidRPr="006C66C0" w:rsidRDefault="001F570F" w:rsidP="001F570F">
                  <w:pPr>
                    <w:pStyle w:val="NoSpacing"/>
                    <w:rPr>
                      <w:lang w:val="es-ES"/>
                    </w:rPr>
                  </w:pPr>
                  <w:r w:rsidRPr="006C66C0">
                    <w:rPr>
                      <w:lang w:val="es-ES"/>
                    </w:rPr>
                    <w:t>20%</w:t>
                  </w:r>
                </w:p>
              </w:tc>
            </w:tr>
          </w:tbl>
          <w:p w14:paraId="7566B54A" w14:textId="77777777" w:rsidR="001F570F" w:rsidRPr="006C66C0" w:rsidRDefault="001F570F" w:rsidP="001F570F">
            <w:pPr>
              <w:pStyle w:val="NoSpacing"/>
              <w:rPr>
                <w:lang w:val="en-GB"/>
              </w:rPr>
            </w:pPr>
            <w:r w:rsidRPr="006C66C0">
              <w:rPr>
                <w:lang w:val="en-GB"/>
              </w:rPr>
              <w:t>(*) item on “Applicability of instruments”</w:t>
            </w:r>
          </w:p>
          <w:p w14:paraId="0045E01B" w14:textId="77777777" w:rsidR="001F570F" w:rsidRPr="006C66C0" w:rsidRDefault="001F570F" w:rsidP="001F570F">
            <w:pPr>
              <w:pStyle w:val="NoSpacing"/>
              <w:rPr>
                <w:lang w:val="en-GB"/>
              </w:rPr>
            </w:pPr>
          </w:p>
          <w:p w14:paraId="13B327FB" w14:textId="77777777" w:rsidR="001F570F" w:rsidRPr="006C66C0" w:rsidRDefault="001F570F" w:rsidP="001F570F">
            <w:pPr>
              <w:pStyle w:val="NoSpacing"/>
              <w:rPr>
                <w:lang w:val="en-GB"/>
              </w:rPr>
            </w:pPr>
            <w:r w:rsidRPr="006C66C0">
              <w:rPr>
                <w:lang w:val="en-GB"/>
              </w:rPr>
              <w:t xml:space="preserve">For binding agreements, States will still be able to score points if they are not party to the agreement but are implementing its provisions. States will also score points if they have initiated the process to becoming party to an agreement. </w:t>
            </w:r>
          </w:p>
          <w:p w14:paraId="5B117631" w14:textId="77777777" w:rsidR="001F570F" w:rsidRPr="006C66C0" w:rsidRDefault="001F570F" w:rsidP="001F570F">
            <w:pPr>
              <w:pStyle w:val="NoSpacing"/>
              <w:rPr>
                <w:lang w:val="en-GB"/>
              </w:rPr>
            </w:pPr>
          </w:p>
          <w:p w14:paraId="47F00BE0" w14:textId="77777777" w:rsidR="001F570F" w:rsidRPr="006C66C0" w:rsidRDefault="001F570F" w:rsidP="001F570F">
            <w:pPr>
              <w:pStyle w:val="NoSpacing"/>
              <w:rPr>
                <w:lang w:val="en-GB"/>
              </w:rPr>
            </w:pPr>
            <w:r w:rsidRPr="006C66C0">
              <w:rPr>
                <w:lang w:val="en-GB"/>
              </w:rPr>
              <w:t>This indicator is automatically computed within the web-application on which the countries will be responding to the questionnaire. Once the questionnaire is completed the respondent will be presented with a report of the indicator, describing the methodology and the score attained. The user will then be able to give a final confirmation of the indicator. The final scores from all the respondents will automatically be collected onto a database. This web-application will also allow the user to access in any the following languages: English, French, Spanish, Chinese, Arabic and Russian.</w:t>
            </w:r>
          </w:p>
          <w:p w14:paraId="5F0466C4" w14:textId="77777777" w:rsidR="001F570F" w:rsidRPr="006C66C0" w:rsidRDefault="001F570F" w:rsidP="001F570F">
            <w:pPr>
              <w:pStyle w:val="NoSpacing"/>
              <w:rPr>
                <w:lang w:val="en-GB"/>
              </w:rPr>
            </w:pPr>
          </w:p>
          <w:p w14:paraId="46E7579A" w14:textId="77777777" w:rsidR="001F570F" w:rsidRPr="006C66C0" w:rsidRDefault="001F570F" w:rsidP="001F570F">
            <w:pPr>
              <w:pStyle w:val="NoSpacing"/>
              <w:rPr>
                <w:u w:val="single"/>
                <w:lang w:val="en-GB"/>
              </w:rPr>
            </w:pPr>
            <w:r w:rsidRPr="006C66C0">
              <w:rPr>
                <w:u w:val="single"/>
                <w:lang w:val="en-GB"/>
              </w:rPr>
              <w:t>Choice of weighting per variable:</w:t>
            </w:r>
          </w:p>
          <w:p w14:paraId="34188617" w14:textId="77777777" w:rsidR="001F570F" w:rsidRPr="006C66C0" w:rsidRDefault="001F570F" w:rsidP="001F570F">
            <w:pPr>
              <w:pStyle w:val="NoSpacing"/>
              <w:rPr>
                <w:lang w:val="en-GB"/>
              </w:rPr>
            </w:pPr>
            <w:r w:rsidRPr="006C66C0">
              <w:rPr>
                <w:lang w:val="en-GB"/>
              </w:rPr>
              <w:t>The weightings for each variable have been carefully selected. These have been determined based upon their importance of their role in combatting IUU fishing as well as in consideration of the overlap present in between the different instruments. It is also for this consideration of overlap that the VG-FSP and the Compliance Agreement have been combined into Variable 5.</w:t>
            </w:r>
          </w:p>
          <w:p w14:paraId="2BDCDD59" w14:textId="77777777" w:rsidR="001F570F" w:rsidRPr="006C66C0" w:rsidRDefault="001F570F" w:rsidP="001F570F">
            <w:pPr>
              <w:pStyle w:val="NoSpacing"/>
              <w:rPr>
                <w:lang w:val="en-GB"/>
              </w:rPr>
            </w:pPr>
          </w:p>
          <w:p w14:paraId="532473A0" w14:textId="77777777" w:rsidR="001F570F" w:rsidRPr="006C66C0" w:rsidRDefault="001F570F" w:rsidP="001F570F">
            <w:pPr>
              <w:pStyle w:val="NoSpacing"/>
              <w:rPr>
                <w:u w:val="single"/>
                <w:lang w:val="en-GB"/>
              </w:rPr>
            </w:pPr>
            <w:r w:rsidRPr="006C66C0">
              <w:rPr>
                <w:u w:val="single"/>
                <w:lang w:val="en-GB"/>
              </w:rPr>
              <w:t>Applicability of instruments:</w:t>
            </w:r>
          </w:p>
          <w:p w14:paraId="3874A83A" w14:textId="77777777" w:rsidR="001F570F" w:rsidRPr="006C66C0" w:rsidRDefault="001F570F" w:rsidP="001F570F">
            <w:pPr>
              <w:pStyle w:val="NoSpacing"/>
              <w:rPr>
                <w:lang w:val="en-GB"/>
              </w:rPr>
            </w:pPr>
            <w:r w:rsidRPr="006C66C0">
              <w:rPr>
                <w:lang w:val="en-GB"/>
              </w:rPr>
              <w:t xml:space="preserve">A set of questions will be present to determine certain characteristics of States (coastal, port, flag and land-locked). This will ensure that the indicator scoring for a country is not negatively affected if an instrument is not applicable to them. </w:t>
            </w:r>
            <w:r w:rsidRPr="006C66C0">
              <w:rPr>
                <w:u w:val="single"/>
                <w:lang w:val="en-GB"/>
              </w:rPr>
              <w:t>In such case, the weighing of the variable that is not applicable is redistributed into the remaining variables</w:t>
            </w:r>
            <w:r w:rsidRPr="006C66C0">
              <w:rPr>
                <w:lang w:val="en-GB"/>
              </w:rPr>
              <w:t>. In cases where none of the instruments is applicable, the country will get an indicator score of “N/A”.</w:t>
            </w:r>
          </w:p>
          <w:p w14:paraId="6E669082" w14:textId="77777777" w:rsidR="001F570F" w:rsidRDefault="001F570F" w:rsidP="001F570F">
            <w:pPr>
              <w:pStyle w:val="NoSpacing"/>
              <w:rPr>
                <w:lang w:val="en-GB"/>
              </w:rPr>
            </w:pPr>
          </w:p>
          <w:p w14:paraId="6FC2CA74" w14:textId="77777777" w:rsidR="001F570F" w:rsidRPr="006C66C0" w:rsidRDefault="001F570F" w:rsidP="001F570F">
            <w:pPr>
              <w:pStyle w:val="NoSpacing"/>
              <w:rPr>
                <w:lang w:val="en-GB"/>
              </w:rPr>
            </w:pPr>
          </w:p>
          <w:tbl>
            <w:tblPr>
              <w:tblStyle w:val="TableGrid"/>
              <w:tblW w:w="5025" w:type="dxa"/>
              <w:jc w:val="center"/>
              <w:tblLook w:val="04A0" w:firstRow="1" w:lastRow="0" w:firstColumn="1" w:lastColumn="0" w:noHBand="0" w:noVBand="1"/>
            </w:tblPr>
            <w:tblGrid>
              <w:gridCol w:w="874"/>
              <w:gridCol w:w="4151"/>
            </w:tblGrid>
            <w:tr w:rsidR="001F570F" w:rsidRPr="006C66C0" w14:paraId="3942C5C4" w14:textId="77777777" w:rsidTr="00A64F0D">
              <w:trPr>
                <w:trHeight w:val="219"/>
                <w:jc w:val="center"/>
              </w:trPr>
              <w:tc>
                <w:tcPr>
                  <w:tcW w:w="874" w:type="dxa"/>
                </w:tcPr>
                <w:p w14:paraId="1EDDAE77" w14:textId="77777777" w:rsidR="001F570F" w:rsidRPr="006C66C0" w:rsidRDefault="001F570F" w:rsidP="001F570F">
                  <w:pPr>
                    <w:pStyle w:val="NoSpacing"/>
                    <w:rPr>
                      <w:b/>
                      <w:lang w:val="en-GB"/>
                    </w:rPr>
                  </w:pPr>
                  <w:r w:rsidRPr="006C66C0">
                    <w:rPr>
                      <w:b/>
                      <w:lang w:val="en-GB"/>
                    </w:rPr>
                    <w:t>Variable</w:t>
                  </w:r>
                </w:p>
              </w:tc>
              <w:tc>
                <w:tcPr>
                  <w:tcW w:w="4151" w:type="dxa"/>
                </w:tcPr>
                <w:p w14:paraId="397ADB7B" w14:textId="77777777" w:rsidR="001F570F" w:rsidRPr="006C66C0" w:rsidRDefault="001F570F" w:rsidP="001F570F">
                  <w:pPr>
                    <w:pStyle w:val="NoSpacing"/>
                    <w:rPr>
                      <w:b/>
                      <w:lang w:val="en-GB"/>
                    </w:rPr>
                  </w:pPr>
                  <w:r w:rsidRPr="006C66C0">
                    <w:rPr>
                      <w:b/>
                      <w:lang w:val="en-GB"/>
                    </w:rPr>
                    <w:t>Cases in which Instruments are not applicable</w:t>
                  </w:r>
                </w:p>
              </w:tc>
            </w:tr>
            <w:tr w:rsidR="001F570F" w:rsidRPr="006C66C0" w14:paraId="0AA7E12A" w14:textId="77777777" w:rsidTr="00A64F0D">
              <w:trPr>
                <w:trHeight w:val="424"/>
                <w:jc w:val="center"/>
              </w:trPr>
              <w:tc>
                <w:tcPr>
                  <w:tcW w:w="874" w:type="dxa"/>
                </w:tcPr>
                <w:p w14:paraId="51A9C000" w14:textId="77777777" w:rsidR="001F570F" w:rsidRPr="006C66C0" w:rsidRDefault="001F570F" w:rsidP="001F570F">
                  <w:pPr>
                    <w:pStyle w:val="NoSpacing"/>
                    <w:rPr>
                      <w:b/>
                      <w:lang w:val="en-GB"/>
                    </w:rPr>
                  </w:pPr>
                  <w:r w:rsidRPr="006C66C0">
                    <w:rPr>
                      <w:b/>
                      <w:lang w:val="en-GB"/>
                    </w:rPr>
                    <w:t>V1</w:t>
                  </w:r>
                </w:p>
              </w:tc>
              <w:tc>
                <w:tcPr>
                  <w:tcW w:w="4151" w:type="dxa"/>
                </w:tcPr>
                <w:p w14:paraId="7837AAFF" w14:textId="77777777" w:rsidR="001F570F" w:rsidRPr="006C66C0" w:rsidRDefault="001F570F" w:rsidP="001F570F">
                  <w:pPr>
                    <w:pStyle w:val="NoSpacing"/>
                    <w:rPr>
                      <w:lang w:val="en-GB"/>
                    </w:rPr>
                  </w:pPr>
                  <w:r w:rsidRPr="006C66C0">
                    <w:rPr>
                      <w:lang w:val="en-GB"/>
                    </w:rPr>
                    <w:t xml:space="preserve">The only case where this instrument becomes not </w:t>
                  </w:r>
                  <w:proofErr w:type="gramStart"/>
                  <w:r w:rsidRPr="006C66C0">
                    <w:rPr>
                      <w:lang w:val="en-GB"/>
                    </w:rPr>
                    <w:t>applicable,</w:t>
                  </w:r>
                  <w:proofErr w:type="gramEnd"/>
                  <w:r w:rsidRPr="006C66C0">
                    <w:rPr>
                      <w:lang w:val="en-GB"/>
                    </w:rPr>
                    <w:t xml:space="preserve"> is when the State is land-locked and they are not a flag state. </w:t>
                  </w:r>
                </w:p>
              </w:tc>
            </w:tr>
            <w:tr w:rsidR="001F570F" w:rsidRPr="006C66C0" w14:paraId="4F25799E" w14:textId="77777777" w:rsidTr="00A64F0D">
              <w:trPr>
                <w:trHeight w:val="424"/>
                <w:jc w:val="center"/>
              </w:trPr>
              <w:tc>
                <w:tcPr>
                  <w:tcW w:w="874" w:type="dxa"/>
                </w:tcPr>
                <w:p w14:paraId="6575CAB8" w14:textId="77777777" w:rsidR="001F570F" w:rsidRPr="006C66C0" w:rsidRDefault="001F570F" w:rsidP="001F570F">
                  <w:pPr>
                    <w:pStyle w:val="NoSpacing"/>
                    <w:rPr>
                      <w:b/>
                      <w:lang w:val="en-GB"/>
                    </w:rPr>
                  </w:pPr>
                  <w:r w:rsidRPr="006C66C0">
                    <w:rPr>
                      <w:b/>
                      <w:lang w:val="en-GB"/>
                    </w:rPr>
                    <w:t>V2</w:t>
                  </w:r>
                </w:p>
              </w:tc>
              <w:tc>
                <w:tcPr>
                  <w:tcW w:w="4151" w:type="dxa"/>
                </w:tcPr>
                <w:p w14:paraId="72EED31A" w14:textId="77777777" w:rsidR="001F570F" w:rsidRPr="006C66C0" w:rsidRDefault="001F570F" w:rsidP="001F570F">
                  <w:pPr>
                    <w:pStyle w:val="NoSpacing"/>
                    <w:rPr>
                      <w:lang w:val="en-GB"/>
                    </w:rPr>
                  </w:pPr>
                  <w:r w:rsidRPr="006C66C0">
                    <w:rPr>
                      <w:lang w:val="en-GB"/>
                    </w:rPr>
                    <w:t>Is not applicable if the country is land-locked and not a flag State or a coastal State but is not a flag State or Port State.</w:t>
                  </w:r>
                </w:p>
              </w:tc>
            </w:tr>
            <w:tr w:rsidR="001F570F" w:rsidRPr="006C66C0" w14:paraId="152B813C" w14:textId="77777777" w:rsidTr="00A64F0D">
              <w:trPr>
                <w:trHeight w:val="219"/>
                <w:jc w:val="center"/>
              </w:trPr>
              <w:tc>
                <w:tcPr>
                  <w:tcW w:w="874" w:type="dxa"/>
                </w:tcPr>
                <w:p w14:paraId="6BB76EE6" w14:textId="77777777" w:rsidR="001F570F" w:rsidRPr="006C66C0" w:rsidRDefault="001F570F" w:rsidP="001F570F">
                  <w:pPr>
                    <w:pStyle w:val="NoSpacing"/>
                    <w:rPr>
                      <w:b/>
                      <w:lang w:val="en-GB"/>
                    </w:rPr>
                  </w:pPr>
                  <w:r w:rsidRPr="006C66C0">
                    <w:rPr>
                      <w:b/>
                      <w:lang w:val="en-GB"/>
                    </w:rPr>
                    <w:t>V3</w:t>
                  </w:r>
                </w:p>
              </w:tc>
              <w:tc>
                <w:tcPr>
                  <w:tcW w:w="4151" w:type="dxa"/>
                </w:tcPr>
                <w:p w14:paraId="772658D9" w14:textId="77777777" w:rsidR="001F570F" w:rsidRPr="006C66C0" w:rsidRDefault="001F570F" w:rsidP="001F570F">
                  <w:pPr>
                    <w:pStyle w:val="NoSpacing"/>
                    <w:rPr>
                      <w:lang w:val="en-GB"/>
                    </w:rPr>
                  </w:pPr>
                  <w:r w:rsidRPr="006C66C0">
                    <w:rPr>
                      <w:lang w:val="en-GB"/>
                    </w:rPr>
                    <w:t>Same as Variable 2.</w:t>
                  </w:r>
                </w:p>
              </w:tc>
            </w:tr>
            <w:tr w:rsidR="001F570F" w:rsidRPr="006C66C0" w14:paraId="5B18AA05" w14:textId="77777777" w:rsidTr="00A64F0D">
              <w:trPr>
                <w:trHeight w:val="205"/>
                <w:jc w:val="center"/>
              </w:trPr>
              <w:tc>
                <w:tcPr>
                  <w:tcW w:w="874" w:type="dxa"/>
                </w:tcPr>
                <w:p w14:paraId="41098CC6" w14:textId="77777777" w:rsidR="001F570F" w:rsidRPr="006C66C0" w:rsidRDefault="001F570F" w:rsidP="001F570F">
                  <w:pPr>
                    <w:pStyle w:val="NoSpacing"/>
                    <w:rPr>
                      <w:b/>
                      <w:lang w:val="en-GB"/>
                    </w:rPr>
                  </w:pPr>
                  <w:r w:rsidRPr="006C66C0">
                    <w:rPr>
                      <w:b/>
                      <w:lang w:val="en-GB"/>
                    </w:rPr>
                    <w:lastRenderedPageBreak/>
                    <w:t>V4</w:t>
                  </w:r>
                </w:p>
              </w:tc>
              <w:tc>
                <w:tcPr>
                  <w:tcW w:w="4151" w:type="dxa"/>
                </w:tcPr>
                <w:p w14:paraId="266A67B1" w14:textId="77777777" w:rsidR="001F570F" w:rsidRPr="006C66C0" w:rsidRDefault="001F570F" w:rsidP="001F570F">
                  <w:pPr>
                    <w:pStyle w:val="NoSpacing"/>
                    <w:rPr>
                      <w:lang w:val="en-GB"/>
                    </w:rPr>
                  </w:pPr>
                  <w:r w:rsidRPr="006C66C0">
                    <w:rPr>
                      <w:lang w:val="en-GB"/>
                    </w:rPr>
                    <w:t>Same as Variable 2.</w:t>
                  </w:r>
                </w:p>
              </w:tc>
            </w:tr>
            <w:tr w:rsidR="001F570F" w:rsidRPr="006C66C0" w14:paraId="5E19C9FE" w14:textId="77777777" w:rsidTr="00A64F0D">
              <w:trPr>
                <w:trHeight w:val="311"/>
                <w:jc w:val="center"/>
              </w:trPr>
              <w:tc>
                <w:tcPr>
                  <w:tcW w:w="874" w:type="dxa"/>
                </w:tcPr>
                <w:p w14:paraId="5C3F6EE9" w14:textId="77777777" w:rsidR="001F570F" w:rsidRPr="006C66C0" w:rsidRDefault="001F570F" w:rsidP="001F570F">
                  <w:pPr>
                    <w:pStyle w:val="NoSpacing"/>
                    <w:rPr>
                      <w:b/>
                      <w:lang w:val="en-GB"/>
                    </w:rPr>
                  </w:pPr>
                  <w:r w:rsidRPr="006C66C0">
                    <w:rPr>
                      <w:b/>
                      <w:lang w:val="en-GB"/>
                    </w:rPr>
                    <w:t>V5</w:t>
                  </w:r>
                </w:p>
              </w:tc>
              <w:tc>
                <w:tcPr>
                  <w:tcW w:w="4151" w:type="dxa"/>
                </w:tcPr>
                <w:p w14:paraId="088ECC78" w14:textId="77777777" w:rsidR="001F570F" w:rsidRPr="006C66C0" w:rsidRDefault="001F570F" w:rsidP="001F570F">
                  <w:pPr>
                    <w:pStyle w:val="NoSpacing"/>
                    <w:rPr>
                      <w:lang w:val="en-GB"/>
                    </w:rPr>
                  </w:pPr>
                  <w:r w:rsidRPr="006C66C0">
                    <w:rPr>
                      <w:lang w:val="en-GB"/>
                    </w:rPr>
                    <w:t>Is not applicable if the country is not a flag State.</w:t>
                  </w:r>
                </w:p>
                <w:p w14:paraId="6946D9AE" w14:textId="77777777" w:rsidR="001F570F" w:rsidRPr="006C66C0" w:rsidRDefault="001F570F" w:rsidP="001F570F">
                  <w:pPr>
                    <w:pStyle w:val="NoSpacing"/>
                    <w:rPr>
                      <w:lang w:val="en-GB"/>
                    </w:rPr>
                  </w:pPr>
                </w:p>
              </w:tc>
            </w:tr>
          </w:tbl>
          <w:p w14:paraId="6E2C5A7D" w14:textId="77777777" w:rsidR="001F570F" w:rsidRPr="006C66C0" w:rsidRDefault="001F570F" w:rsidP="001F570F">
            <w:pPr>
              <w:pStyle w:val="NoSpacing"/>
              <w:rPr>
                <w:lang w:val="en-GB"/>
              </w:rPr>
            </w:pPr>
          </w:p>
          <w:p w14:paraId="36986359" w14:textId="77777777" w:rsidR="001F570F" w:rsidRPr="006C66C0" w:rsidRDefault="001F570F" w:rsidP="001F570F">
            <w:pPr>
              <w:pStyle w:val="NoSpacing"/>
              <w:rPr>
                <w:lang w:val="en-GB"/>
              </w:rPr>
            </w:pPr>
            <w:r w:rsidRPr="006C66C0">
              <w:rPr>
                <w:lang w:val="en-GB"/>
              </w:rPr>
              <w:t>For more details regarding the list of question, scoring and applicability, please refer to Appendix 1 and 2.</w:t>
            </w:r>
          </w:p>
          <w:p w14:paraId="0F282394" w14:textId="77777777" w:rsidR="001F570F" w:rsidRDefault="001F570F" w:rsidP="001F570F">
            <w:pPr>
              <w:pStyle w:val="NoSpacing"/>
            </w:pPr>
          </w:p>
        </w:tc>
        <w:tc>
          <w:tcPr>
            <w:tcW w:w="0" w:type="auto"/>
          </w:tcPr>
          <w:p w14:paraId="11E99ADE" w14:textId="77777777" w:rsidR="001F570F" w:rsidRDefault="001F570F" w:rsidP="001F570F">
            <w:pPr>
              <w:pStyle w:val="NoSpacing"/>
              <w:rPr>
                <w:color w:val="0070C0"/>
                <w:sz w:val="30"/>
                <w:szCs w:val="30"/>
              </w:rPr>
            </w:pPr>
            <w:r w:rsidRPr="004A061B">
              <w:lastRenderedPageBreak/>
              <w:t xml:space="preserve">Survey </w:t>
            </w:r>
            <w:r w:rsidRPr="009C5311">
              <w:t>questionnaire</w:t>
            </w:r>
          </w:p>
        </w:tc>
        <w:tc>
          <w:tcPr>
            <w:tcW w:w="0" w:type="auto"/>
          </w:tcPr>
          <w:p w14:paraId="49E6EFAB" w14:textId="77777777" w:rsidR="001F570F" w:rsidRDefault="001F570F" w:rsidP="001F570F">
            <w:pPr>
              <w:pStyle w:val="NoSpacing"/>
              <w:rPr>
                <w:lang w:eastAsia="en-GB"/>
              </w:rPr>
            </w:pPr>
            <w:r w:rsidRPr="005E789C">
              <w:rPr>
                <w:lang w:eastAsia="en-GB"/>
              </w:rPr>
              <w:t>Data is typically provided by the National Fishery Ministries/departments.</w:t>
            </w:r>
          </w:p>
          <w:p w14:paraId="3B8555BA" w14:textId="77777777" w:rsidR="001F570F" w:rsidRDefault="001F570F" w:rsidP="001F570F">
            <w:pPr>
              <w:pStyle w:val="NoSpacing"/>
            </w:pPr>
          </w:p>
        </w:tc>
        <w:tc>
          <w:tcPr>
            <w:tcW w:w="0" w:type="auto"/>
            <w:vAlign w:val="center"/>
          </w:tcPr>
          <w:p w14:paraId="1B07FD3C" w14:textId="560084D7" w:rsidR="001F570F" w:rsidRDefault="001F570F" w:rsidP="001F570F">
            <w:pPr>
              <w:spacing w:line="276" w:lineRule="auto"/>
              <w:rPr>
                <w:szCs w:val="26"/>
              </w:rPr>
            </w:pPr>
            <w:r w:rsidRPr="00BC6F10">
              <w:rPr>
                <w:rFonts w:eastAsia="Times New Roman" w:cs="Times New Roman"/>
                <w:color w:val="000000" w:themeColor="text1"/>
                <w:szCs w:val="20"/>
              </w:rPr>
              <w:t>a</w:t>
            </w:r>
            <w:r>
              <w:rPr>
                <w:szCs w:val="26"/>
              </w:rPr>
              <w:t>FAO</w:t>
            </w:r>
          </w:p>
          <w:p w14:paraId="1C8A9422" w14:textId="77777777" w:rsidR="001F570F" w:rsidRPr="00BC6F10" w:rsidRDefault="001F570F" w:rsidP="001F570F">
            <w:pPr>
              <w:pStyle w:val="NoSpacing"/>
            </w:pPr>
            <w:r w:rsidRPr="00286F19">
              <w:t>Administrative Data</w:t>
            </w:r>
          </w:p>
        </w:tc>
        <w:tc>
          <w:tcPr>
            <w:tcW w:w="0" w:type="auto"/>
            <w:vAlign w:val="center"/>
          </w:tcPr>
          <w:p w14:paraId="0B618BB6" w14:textId="77777777" w:rsidR="001F570F" w:rsidRDefault="001F570F" w:rsidP="001F570F">
            <w:pPr>
              <w:spacing w:line="276" w:lineRule="auto"/>
              <w:rPr>
                <w:szCs w:val="26"/>
              </w:rPr>
            </w:pPr>
            <w:r w:rsidRPr="00BC6F10">
              <w:rPr>
                <w:rFonts w:eastAsia="Times New Roman" w:cs="Times New Roman"/>
                <w:color w:val="000000" w:themeColor="text1"/>
                <w:szCs w:val="20"/>
              </w:rPr>
              <w:t>a) DoF, MoFL</w:t>
            </w:r>
            <w:r w:rsidRPr="00BC6F10">
              <w:rPr>
                <w:rFonts w:eastAsia="Times New Roman" w:cs="Times New Roman"/>
                <w:color w:val="000000" w:themeColor="text1"/>
                <w:szCs w:val="20"/>
              </w:rPr>
              <w:br/>
              <w:t>b) BN, MoD</w:t>
            </w:r>
            <w:r w:rsidRPr="00286F19">
              <w:rPr>
                <w:szCs w:val="26"/>
              </w:rPr>
              <w:t xml:space="preserve"> </w:t>
            </w:r>
          </w:p>
          <w:p w14:paraId="383970CD" w14:textId="77777777" w:rsidR="001F570F" w:rsidRDefault="001F570F" w:rsidP="001F570F">
            <w:pPr>
              <w:spacing w:line="276" w:lineRule="auto"/>
              <w:rPr>
                <w:szCs w:val="26"/>
              </w:rPr>
            </w:pPr>
            <w:r>
              <w:rPr>
                <w:szCs w:val="26"/>
              </w:rPr>
              <w:t>c) FAO</w:t>
            </w:r>
          </w:p>
          <w:p w14:paraId="0EA93E58" w14:textId="77777777" w:rsidR="001F570F" w:rsidRPr="00BC6F10" w:rsidRDefault="001F570F" w:rsidP="001F570F">
            <w:pPr>
              <w:pStyle w:val="NoSpacing"/>
            </w:pPr>
            <w:r w:rsidRPr="00286F19">
              <w:t>Administrative Data</w:t>
            </w:r>
          </w:p>
        </w:tc>
        <w:tc>
          <w:tcPr>
            <w:tcW w:w="0" w:type="auto"/>
          </w:tcPr>
          <w:p w14:paraId="0DC96F98" w14:textId="77777777" w:rsidR="001F570F" w:rsidRDefault="001F570F" w:rsidP="001F570F">
            <w:pPr>
              <w:ind w:left="970" w:hanging="970"/>
              <w:jc w:val="both"/>
              <w:rPr>
                <w:color w:val="0070C0"/>
                <w:sz w:val="30"/>
                <w:szCs w:val="30"/>
              </w:rPr>
            </w:pPr>
            <w:r>
              <w:t>Not Applicable</w:t>
            </w:r>
          </w:p>
        </w:tc>
        <w:tc>
          <w:tcPr>
            <w:tcW w:w="0" w:type="auto"/>
          </w:tcPr>
          <w:p w14:paraId="03CAC17C" w14:textId="77777777" w:rsidR="001F570F" w:rsidRDefault="001F570F" w:rsidP="001F570F">
            <w:pPr>
              <w:ind w:left="970" w:hanging="970"/>
              <w:jc w:val="both"/>
              <w:rPr>
                <w:color w:val="0070C0"/>
                <w:sz w:val="30"/>
                <w:szCs w:val="30"/>
              </w:rPr>
            </w:pPr>
            <w:r>
              <w:t>Triennial</w:t>
            </w:r>
          </w:p>
        </w:tc>
        <w:tc>
          <w:tcPr>
            <w:tcW w:w="0" w:type="auto"/>
          </w:tcPr>
          <w:p w14:paraId="146D6C6B" w14:textId="77777777" w:rsidR="001F570F" w:rsidRDefault="001F570F" w:rsidP="001F570F">
            <w:pPr>
              <w:ind w:left="970" w:hanging="970"/>
              <w:jc w:val="both"/>
              <w:rPr>
                <w:color w:val="0070C0"/>
                <w:sz w:val="30"/>
                <w:szCs w:val="30"/>
              </w:rPr>
            </w:pPr>
            <w:r>
              <w:t>Group 1</w:t>
            </w:r>
          </w:p>
        </w:tc>
        <w:tc>
          <w:tcPr>
            <w:tcW w:w="0" w:type="auto"/>
          </w:tcPr>
          <w:p w14:paraId="12F0BDFF" w14:textId="77777777" w:rsidR="001F570F" w:rsidRDefault="001F570F" w:rsidP="001F570F">
            <w:pPr>
              <w:pStyle w:val="NoSpacing"/>
            </w:pPr>
            <w:r>
              <w:t>1</w:t>
            </w:r>
            <w:r w:rsidRPr="00013ACB">
              <w:rPr>
                <w:vertAlign w:val="superscript"/>
              </w:rPr>
              <w:t>st</w:t>
            </w:r>
            <w:r>
              <w:t xml:space="preserve"> Round:</w:t>
            </w:r>
          </w:p>
          <w:p w14:paraId="38B59117" w14:textId="77777777" w:rsidR="001F570F" w:rsidRDefault="001F570F" w:rsidP="001F570F">
            <w:pPr>
              <w:ind w:left="970" w:hanging="970"/>
              <w:rPr>
                <w:color w:val="000000" w:themeColor="text1"/>
                <w:szCs w:val="30"/>
              </w:rPr>
            </w:pPr>
            <w:r w:rsidRPr="007135FF">
              <w:rPr>
                <w:color w:val="000000" w:themeColor="text1"/>
                <w:szCs w:val="30"/>
              </w:rPr>
              <w:t>2015</w:t>
            </w:r>
          </w:p>
          <w:p w14:paraId="288BF4B3" w14:textId="77777777" w:rsidR="001F570F" w:rsidRDefault="001F570F" w:rsidP="001F570F">
            <w:pPr>
              <w:pStyle w:val="NoSpacing"/>
            </w:pPr>
          </w:p>
          <w:p w14:paraId="1C374C99" w14:textId="77777777" w:rsidR="001F570F" w:rsidRDefault="001F570F" w:rsidP="001F570F">
            <w:pPr>
              <w:pStyle w:val="NoSpacing"/>
            </w:pPr>
            <w:r>
              <w:t>2</w:t>
            </w:r>
            <w:r w:rsidRPr="00013ACB">
              <w:rPr>
                <w:vertAlign w:val="superscript"/>
              </w:rPr>
              <w:t>nd</w:t>
            </w:r>
            <w:r>
              <w:t xml:space="preserve"> Rond:</w:t>
            </w:r>
          </w:p>
          <w:p w14:paraId="10824DB2" w14:textId="77777777" w:rsidR="001F570F" w:rsidRDefault="001F570F" w:rsidP="001F570F">
            <w:pPr>
              <w:pStyle w:val="NoSpacing"/>
            </w:pPr>
            <w:r>
              <w:t>June 2020</w:t>
            </w:r>
          </w:p>
          <w:p w14:paraId="71EB5D68" w14:textId="77777777" w:rsidR="001F570F" w:rsidRDefault="001F570F" w:rsidP="001F570F">
            <w:pPr>
              <w:pStyle w:val="NoSpacing"/>
            </w:pPr>
          </w:p>
          <w:p w14:paraId="6D6B6460" w14:textId="77777777" w:rsidR="001F570F" w:rsidRDefault="001F570F" w:rsidP="001F570F">
            <w:pPr>
              <w:pStyle w:val="NoSpacing"/>
            </w:pPr>
            <w:r>
              <w:t>3</w:t>
            </w:r>
            <w:r w:rsidRPr="00013ACB">
              <w:rPr>
                <w:vertAlign w:val="superscript"/>
              </w:rPr>
              <w:t>rd</w:t>
            </w:r>
            <w:r>
              <w:t xml:space="preserve"> Round: </w:t>
            </w:r>
          </w:p>
          <w:p w14:paraId="4BF6B1FB" w14:textId="77777777" w:rsidR="001F570F" w:rsidRDefault="001F570F" w:rsidP="001F570F">
            <w:pPr>
              <w:pStyle w:val="NoSpacing"/>
            </w:pPr>
            <w:r>
              <w:t>June 2023</w:t>
            </w:r>
          </w:p>
          <w:p w14:paraId="5216D4CE" w14:textId="77777777" w:rsidR="001F570F" w:rsidRDefault="001F570F" w:rsidP="001F570F">
            <w:pPr>
              <w:pStyle w:val="NoSpacing"/>
            </w:pPr>
          </w:p>
          <w:p w14:paraId="50EECEE2" w14:textId="77777777" w:rsidR="001F570F" w:rsidRDefault="001F570F" w:rsidP="001F570F">
            <w:pPr>
              <w:pStyle w:val="NoSpacing"/>
            </w:pPr>
            <w:r>
              <w:t>4</w:t>
            </w:r>
            <w:r w:rsidRPr="00013ACB">
              <w:rPr>
                <w:vertAlign w:val="superscript"/>
              </w:rPr>
              <w:t>th</w:t>
            </w:r>
            <w:r>
              <w:t xml:space="preserve"> Round: </w:t>
            </w:r>
          </w:p>
          <w:p w14:paraId="74838B17" w14:textId="77777777" w:rsidR="001F570F" w:rsidRDefault="001F570F" w:rsidP="001F570F">
            <w:pPr>
              <w:pStyle w:val="NoSpacing"/>
            </w:pPr>
            <w:r>
              <w:t>June 2026</w:t>
            </w:r>
          </w:p>
          <w:p w14:paraId="757BED22" w14:textId="77777777" w:rsidR="001F570F" w:rsidRDefault="001F570F" w:rsidP="001F570F">
            <w:pPr>
              <w:pStyle w:val="NoSpacing"/>
            </w:pPr>
          </w:p>
          <w:p w14:paraId="2E453441" w14:textId="77777777" w:rsidR="001F570F" w:rsidRDefault="001F570F" w:rsidP="001F570F">
            <w:pPr>
              <w:pStyle w:val="NoSpacing"/>
            </w:pPr>
            <w:r>
              <w:t>5</w:t>
            </w:r>
            <w:r w:rsidRPr="00013ACB">
              <w:rPr>
                <w:vertAlign w:val="superscript"/>
              </w:rPr>
              <w:t>th</w:t>
            </w:r>
            <w:r>
              <w:t xml:space="preserve"> Round: </w:t>
            </w:r>
          </w:p>
          <w:p w14:paraId="2FF261AE" w14:textId="77777777" w:rsidR="001F570F" w:rsidRDefault="001F570F" w:rsidP="001F570F">
            <w:pPr>
              <w:pStyle w:val="NoSpacing"/>
            </w:pPr>
            <w:r>
              <w:t>June 2029</w:t>
            </w:r>
          </w:p>
          <w:p w14:paraId="44E50B74" w14:textId="77777777" w:rsidR="001F570F" w:rsidRDefault="001F570F" w:rsidP="001F570F">
            <w:pPr>
              <w:ind w:left="970" w:hanging="970"/>
              <w:jc w:val="both"/>
              <w:rPr>
                <w:color w:val="0070C0"/>
                <w:sz w:val="30"/>
                <w:szCs w:val="30"/>
              </w:rPr>
            </w:pPr>
          </w:p>
        </w:tc>
        <w:tc>
          <w:tcPr>
            <w:tcW w:w="0" w:type="auto"/>
          </w:tcPr>
          <w:p w14:paraId="21F53F07" w14:textId="77777777" w:rsidR="001F570F" w:rsidRDefault="001F570F" w:rsidP="001F570F">
            <w:pPr>
              <w:pStyle w:val="NoSpacing"/>
            </w:pPr>
            <w:r>
              <w:t>Data availability reviewed in Oct. 2019</w:t>
            </w:r>
          </w:p>
          <w:p w14:paraId="587FB9DF" w14:textId="77777777" w:rsidR="001F570F" w:rsidRDefault="001F570F" w:rsidP="001F570F">
            <w:pPr>
              <w:pStyle w:val="NoSpacing"/>
            </w:pPr>
            <w:r>
              <w:t>(classified as Tier I)</w:t>
            </w:r>
          </w:p>
          <w:p w14:paraId="370A810B" w14:textId="77777777" w:rsidR="001F570F" w:rsidRDefault="001F570F" w:rsidP="001F570F">
            <w:pPr>
              <w:pStyle w:val="NoSpacing"/>
            </w:pPr>
          </w:p>
          <w:p w14:paraId="29056574" w14:textId="77777777" w:rsidR="001F570F" w:rsidRDefault="001F570F" w:rsidP="001F570F">
            <w:pPr>
              <w:pStyle w:val="NoSpacing"/>
            </w:pPr>
            <w:r>
              <w:t>UNSC 50 refinement</w:t>
            </w:r>
          </w:p>
          <w:p w14:paraId="4F11E08A" w14:textId="77777777" w:rsidR="001F570F" w:rsidRDefault="001F570F" w:rsidP="001F570F">
            <w:pPr>
              <w:pStyle w:val="NoSpacing"/>
            </w:pPr>
          </w:p>
          <w:p w14:paraId="7BE00052" w14:textId="77777777" w:rsidR="001F570F" w:rsidRDefault="001F570F" w:rsidP="001F570F">
            <w:pPr>
              <w:pStyle w:val="NoSpacing"/>
            </w:pPr>
            <w:r>
              <w:t>Reviewed at 7th IAEG-SDG meeting (classified as Tier II)</w:t>
            </w:r>
          </w:p>
          <w:p w14:paraId="5B794319" w14:textId="77777777" w:rsidR="001F570F" w:rsidRDefault="001F570F" w:rsidP="001F570F">
            <w:pPr>
              <w:pStyle w:val="NoSpacing"/>
            </w:pPr>
          </w:p>
          <w:p w14:paraId="560FF2EB" w14:textId="77777777" w:rsidR="001F570F" w:rsidRDefault="001F570F" w:rsidP="001F570F">
            <w:pPr>
              <w:pStyle w:val="NoSpacing"/>
            </w:pPr>
            <w:r>
              <w:t>Reviewed at Webex meeting in Nov. 2017 following 6th IAEG-SDG meeting: Request results of additional pilot studies</w:t>
            </w:r>
          </w:p>
        </w:tc>
      </w:tr>
      <w:tr w:rsidR="00106BE7" w14:paraId="6980C921" w14:textId="77777777" w:rsidTr="00D52BCB">
        <w:tc>
          <w:tcPr>
            <w:tcW w:w="0" w:type="auto"/>
            <w:gridSpan w:val="13"/>
          </w:tcPr>
          <w:p w14:paraId="4B5DD352" w14:textId="77777777" w:rsidR="00106BE7" w:rsidRDefault="00106BE7" w:rsidP="001F570F">
            <w:pPr>
              <w:jc w:val="both"/>
              <w:rPr>
                <w:color w:val="0070C0"/>
                <w:sz w:val="48"/>
                <w:szCs w:val="48"/>
              </w:rPr>
            </w:pPr>
            <w:r>
              <w:rPr>
                <w:color w:val="0070C0"/>
                <w:sz w:val="30"/>
                <w:szCs w:val="30"/>
              </w:rPr>
              <w:lastRenderedPageBreak/>
              <w:t xml:space="preserve">Target </w:t>
            </w:r>
            <w:r w:rsidRPr="0098013D">
              <w:rPr>
                <w:color w:val="0070C0"/>
                <w:sz w:val="30"/>
                <w:szCs w:val="30"/>
              </w:rPr>
              <w:t>14.6 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negotiation[b]</w:t>
            </w:r>
          </w:p>
        </w:tc>
      </w:tr>
      <w:tr w:rsidR="001F570F" w14:paraId="0E8EAA1B" w14:textId="77777777" w:rsidTr="00A64F0D">
        <w:tc>
          <w:tcPr>
            <w:tcW w:w="0" w:type="auto"/>
          </w:tcPr>
          <w:p w14:paraId="0CB0D6C0" w14:textId="77777777" w:rsidR="001F570F" w:rsidRDefault="001F570F" w:rsidP="001F570F">
            <w:pPr>
              <w:pStyle w:val="NoSpacing"/>
            </w:pPr>
            <w:r w:rsidRPr="000221E2">
              <w:t>14.7.1 Sustainable fisheries as a proportion of GDP in small island developing States, least developed countries and all countries</w:t>
            </w:r>
          </w:p>
        </w:tc>
        <w:tc>
          <w:tcPr>
            <w:tcW w:w="0" w:type="auto"/>
          </w:tcPr>
          <w:p w14:paraId="772B3C78" w14:textId="77777777" w:rsidR="001F570F" w:rsidRDefault="001F570F" w:rsidP="001F570F">
            <w:pPr>
              <w:ind w:left="970" w:hanging="970"/>
              <w:jc w:val="both"/>
              <w:rPr>
                <w:color w:val="0070C0"/>
                <w:sz w:val="30"/>
                <w:szCs w:val="30"/>
              </w:rPr>
            </w:pPr>
          </w:p>
          <w:p w14:paraId="50BBB4B0" w14:textId="77777777" w:rsidR="001F570F" w:rsidRDefault="001F570F" w:rsidP="001F570F">
            <w:pPr>
              <w:pStyle w:val="NoSpacing"/>
            </w:pPr>
            <w:r>
              <w:t>FAO,</w:t>
            </w:r>
          </w:p>
          <w:p w14:paraId="4C0FAFC2" w14:textId="77777777" w:rsidR="001F570F" w:rsidRPr="00E53957" w:rsidRDefault="001F570F" w:rsidP="001F570F">
            <w:pPr>
              <w:pStyle w:val="NoSpacing"/>
            </w:pPr>
            <w:r>
              <w:t>UNEP-WCMC</w:t>
            </w:r>
          </w:p>
        </w:tc>
        <w:tc>
          <w:tcPr>
            <w:tcW w:w="0" w:type="auto"/>
          </w:tcPr>
          <w:p w14:paraId="10D68DEE" w14:textId="77777777" w:rsidR="001F570F" w:rsidRDefault="001F570F" w:rsidP="001F570F">
            <w:pPr>
              <w:ind w:left="970" w:hanging="970"/>
              <w:jc w:val="both"/>
              <w:rPr>
                <w:color w:val="0070C0"/>
                <w:sz w:val="30"/>
                <w:szCs w:val="30"/>
              </w:rPr>
            </w:pPr>
            <w:r>
              <w:t>Tier I</w:t>
            </w:r>
          </w:p>
        </w:tc>
        <w:tc>
          <w:tcPr>
            <w:tcW w:w="0" w:type="auto"/>
          </w:tcPr>
          <w:p w14:paraId="120F9EE2" w14:textId="77777777" w:rsidR="001F570F" w:rsidRPr="007C1364" w:rsidRDefault="001F570F" w:rsidP="001F570F">
            <w:pPr>
              <w:pStyle w:val="NoSpacing"/>
              <w:rPr>
                <w:b/>
                <w:bCs/>
                <w:lang w:val="en-GB"/>
              </w:rPr>
            </w:pPr>
            <w:r w:rsidRPr="007C1364">
              <w:rPr>
                <w:b/>
                <w:bCs/>
                <w:lang w:val="en-GB"/>
              </w:rPr>
              <w:t>Definitions:</w:t>
            </w:r>
          </w:p>
          <w:p w14:paraId="7C4EF926" w14:textId="77777777" w:rsidR="001F570F" w:rsidRPr="007C1364" w:rsidRDefault="001F570F" w:rsidP="001F570F">
            <w:pPr>
              <w:pStyle w:val="NoSpacing"/>
              <w:rPr>
                <w:lang w:val="en-GB"/>
              </w:rPr>
            </w:pPr>
            <w:r w:rsidRPr="007C1364">
              <w:rPr>
                <w:lang w:val="en-GB"/>
              </w:rPr>
              <w:t xml:space="preserve">This indicator expresses the value added of sustainable marine capture fisheries as a proportion of Gross Domestic Product (GDP). </w:t>
            </w:r>
          </w:p>
          <w:p w14:paraId="7CB917B8" w14:textId="77777777" w:rsidR="001F570F" w:rsidRPr="007C1364" w:rsidRDefault="001F570F" w:rsidP="001F570F">
            <w:pPr>
              <w:pStyle w:val="NoSpacing"/>
              <w:rPr>
                <w:lang w:val="en-GB"/>
              </w:rPr>
            </w:pPr>
          </w:p>
          <w:p w14:paraId="63CFE3DB" w14:textId="77777777" w:rsidR="001F570F" w:rsidRPr="007C1364" w:rsidRDefault="001F570F" w:rsidP="001F570F">
            <w:pPr>
              <w:pStyle w:val="NoSpacing"/>
              <w:rPr>
                <w:b/>
                <w:bCs/>
                <w:lang w:val="en-GB"/>
              </w:rPr>
            </w:pPr>
            <w:r w:rsidRPr="007C1364">
              <w:rPr>
                <w:b/>
                <w:bCs/>
                <w:lang w:val="en-GB"/>
              </w:rPr>
              <w:t>Concepts:</w:t>
            </w:r>
          </w:p>
          <w:p w14:paraId="396525B2" w14:textId="77777777" w:rsidR="001F570F" w:rsidRPr="007C1364" w:rsidRDefault="001F570F" w:rsidP="001F570F">
            <w:pPr>
              <w:pStyle w:val="NoSpacing"/>
              <w:rPr>
                <w:lang w:val="en-GB"/>
              </w:rPr>
            </w:pPr>
            <w:r w:rsidRPr="007C1364">
              <w:rPr>
                <w:lang w:val="en-GB"/>
              </w:rPr>
              <w:t xml:space="preserve">The </w:t>
            </w:r>
            <w:r w:rsidRPr="007C1364">
              <w:rPr>
                <w:u w:val="single"/>
                <w:lang w:val="en-GB"/>
              </w:rPr>
              <w:t>Gross Domestic Product (GDP)</w:t>
            </w:r>
            <w:r w:rsidRPr="007C1364">
              <w:rPr>
                <w:lang w:val="en-GB"/>
              </w:rPr>
              <w:t xml:space="preserve"> is the value of all final goods and services produced in an economy in a given period, which is equivalent to the sum of the value added (VA) from all sectors in an economy.</w:t>
            </w:r>
          </w:p>
          <w:p w14:paraId="7863EF08" w14:textId="77777777" w:rsidR="001F570F" w:rsidRPr="007C1364" w:rsidRDefault="001F570F" w:rsidP="001F570F">
            <w:pPr>
              <w:pStyle w:val="NoSpacing"/>
              <w:rPr>
                <w:lang w:val="en-GB"/>
              </w:rPr>
            </w:pPr>
          </w:p>
          <w:p w14:paraId="2CD61027" w14:textId="77777777" w:rsidR="001F570F" w:rsidRPr="007C1364" w:rsidRDefault="001F570F" w:rsidP="001F570F">
            <w:pPr>
              <w:pStyle w:val="NoSpacing"/>
              <w:rPr>
                <w:lang w:val="en-GB"/>
              </w:rPr>
            </w:pPr>
            <w:r w:rsidRPr="007C1364">
              <w:rPr>
                <w:lang w:val="en-GB"/>
              </w:rPr>
              <w:t xml:space="preserve">The </w:t>
            </w:r>
            <w:r w:rsidRPr="007C1364">
              <w:rPr>
                <w:u w:val="single"/>
                <w:lang w:val="en-GB"/>
              </w:rPr>
              <w:t>value added of marine capture fisheries</w:t>
            </w:r>
            <w:r w:rsidRPr="007C1364">
              <w:rPr>
                <w:lang w:val="en-GB"/>
              </w:rPr>
              <w:t xml:space="preserve"> measures the value of fish harvested from marine stocks, minus the value of goods and services that are used in the production process (such as raw materials and utilities). It includes activities that are normally integrated into the process of production and occur at sea, such as fishing vessels which process or preserve their catch on board. However, it does not include the processing or preserving of fish when it occurs in land based facilities.</w:t>
            </w:r>
          </w:p>
          <w:p w14:paraId="2B366097" w14:textId="77777777" w:rsidR="001F570F" w:rsidRPr="007C1364" w:rsidRDefault="001F570F" w:rsidP="001F570F">
            <w:pPr>
              <w:pStyle w:val="NoSpacing"/>
              <w:rPr>
                <w:lang w:val="en-GB"/>
              </w:rPr>
            </w:pPr>
          </w:p>
          <w:p w14:paraId="60245213" w14:textId="77777777" w:rsidR="001F570F" w:rsidRPr="007C1364" w:rsidRDefault="001F570F" w:rsidP="001F570F">
            <w:pPr>
              <w:pStyle w:val="NoSpacing"/>
              <w:rPr>
                <w:lang w:val="en-GB"/>
              </w:rPr>
            </w:pPr>
            <w:r w:rsidRPr="007C1364">
              <w:rPr>
                <w:lang w:val="en-GB"/>
              </w:rPr>
              <w:t xml:space="preserve">A </w:t>
            </w:r>
            <w:r w:rsidRPr="007C1364">
              <w:rPr>
                <w:u w:val="single"/>
                <w:lang w:val="en-GB"/>
              </w:rPr>
              <w:t>fish stock</w:t>
            </w:r>
            <w:r w:rsidRPr="007C1364">
              <w:rPr>
                <w:lang w:val="en-GB"/>
              </w:rPr>
              <w:t xml:space="preserve"> is a subset of a species (fish, crustacean, mollusc, etc.) or a population inhabiting a geographical area and participating in the same reproductive process.</w:t>
            </w:r>
          </w:p>
          <w:p w14:paraId="6C6D9F35" w14:textId="77777777" w:rsidR="001F570F" w:rsidRPr="007C1364" w:rsidRDefault="001F570F" w:rsidP="001F570F">
            <w:pPr>
              <w:pStyle w:val="NoSpacing"/>
              <w:rPr>
                <w:lang w:val="en-GB"/>
              </w:rPr>
            </w:pPr>
          </w:p>
          <w:p w14:paraId="44819B35" w14:textId="77777777" w:rsidR="001F570F" w:rsidRPr="007C1364" w:rsidRDefault="001F570F" w:rsidP="001F570F">
            <w:pPr>
              <w:pStyle w:val="NoSpacing"/>
              <w:rPr>
                <w:lang w:val="en-GB"/>
              </w:rPr>
            </w:pPr>
            <w:r w:rsidRPr="007C1364">
              <w:rPr>
                <w:u w:val="single"/>
                <w:lang w:val="en-GB"/>
              </w:rPr>
              <w:t>Maximum sustainable yield (MSY)</w:t>
            </w:r>
            <w:r w:rsidRPr="007C1364">
              <w:rPr>
                <w:lang w:val="en-GB"/>
              </w:rPr>
              <w:t xml:space="preserve"> is the highest theoretical equilibrium yield that can be continuously taken (on average) from a stock under existing (average) environmental conditions without significantly affecting the reproduction process. A stock fished at </w:t>
            </w:r>
            <w:r w:rsidRPr="007C1364">
              <w:rPr>
                <w:u w:val="single"/>
                <w:lang w:val="en-GB"/>
              </w:rPr>
              <w:t>(MSY)</w:t>
            </w:r>
            <w:r w:rsidRPr="007C1364">
              <w:rPr>
                <w:lang w:val="en-GB"/>
              </w:rPr>
              <w:t xml:space="preserve"> is referred to as </w:t>
            </w:r>
            <w:r w:rsidRPr="007C1364">
              <w:rPr>
                <w:u w:val="single"/>
                <w:lang w:val="en-GB"/>
              </w:rPr>
              <w:t>biologically sustainable</w:t>
            </w:r>
            <w:r w:rsidRPr="007C1364">
              <w:rPr>
                <w:lang w:val="en-GB"/>
              </w:rPr>
              <w:t>, as it may remain stable or grow while sustaining losses from fishing and natural sources of mortality.</w:t>
            </w:r>
          </w:p>
          <w:p w14:paraId="3B2C09E9" w14:textId="77777777" w:rsidR="001F570F" w:rsidRPr="007C1364" w:rsidRDefault="001F570F" w:rsidP="001F570F">
            <w:pPr>
              <w:pStyle w:val="NoSpacing"/>
              <w:rPr>
                <w:lang w:val="en-GB"/>
              </w:rPr>
            </w:pPr>
          </w:p>
          <w:p w14:paraId="2384F854" w14:textId="77777777" w:rsidR="001F570F" w:rsidRPr="007C1364" w:rsidRDefault="001F570F" w:rsidP="001F570F">
            <w:pPr>
              <w:pStyle w:val="NoSpacing"/>
              <w:rPr>
                <w:lang w:val="en-GB"/>
              </w:rPr>
            </w:pPr>
            <w:r w:rsidRPr="007C1364">
              <w:rPr>
                <w:u w:val="single"/>
                <w:lang w:val="en-GB"/>
              </w:rPr>
              <w:t>FAO Fishing Areas for Statistical Purposes</w:t>
            </w:r>
            <w:r w:rsidRPr="007C1364">
              <w:rPr>
                <w:lang w:val="en-GB"/>
              </w:rPr>
              <w:t xml:space="preserve"> are arbitrary areas to facilitate comparison of data, improving the possibilities of cooperation in statistical matters.</w:t>
            </w:r>
            <w:r w:rsidRPr="007C1364">
              <w:rPr>
                <w:vertAlign w:val="superscript"/>
                <w:lang w:val="en-GB"/>
              </w:rPr>
              <w:footnoteReference w:id="25"/>
            </w:r>
          </w:p>
          <w:p w14:paraId="3F376956" w14:textId="77777777" w:rsidR="001F570F" w:rsidRPr="007C1364" w:rsidRDefault="001F570F" w:rsidP="001F570F">
            <w:pPr>
              <w:pStyle w:val="NoSpacing"/>
              <w:rPr>
                <w:lang w:val="en-GB"/>
              </w:rPr>
            </w:pPr>
          </w:p>
          <w:p w14:paraId="4BD0D245" w14:textId="77777777" w:rsidR="001F570F" w:rsidRPr="007C1364" w:rsidRDefault="001F570F" w:rsidP="001F570F">
            <w:pPr>
              <w:pStyle w:val="NoSpacing"/>
              <w:rPr>
                <w:lang w:val="en-GB"/>
              </w:rPr>
            </w:pPr>
            <w:r w:rsidRPr="007C1364">
              <w:rPr>
                <w:lang w:val="en-GB"/>
              </w:rPr>
              <w:t>The basic concepts associated with this indicator are part of the following international instruments and classification schemes:</w:t>
            </w:r>
          </w:p>
          <w:p w14:paraId="251F8C97" w14:textId="77777777" w:rsidR="001F570F" w:rsidRPr="007C1364" w:rsidRDefault="001F570F" w:rsidP="001F570F">
            <w:pPr>
              <w:pStyle w:val="NoSpacing"/>
              <w:rPr>
                <w:lang w:val="en-GB"/>
              </w:rPr>
            </w:pPr>
          </w:p>
          <w:p w14:paraId="4661496F" w14:textId="77777777" w:rsidR="001F570F" w:rsidRPr="007C1364" w:rsidRDefault="001F570F" w:rsidP="001F570F">
            <w:pPr>
              <w:pStyle w:val="NoSpacing"/>
              <w:rPr>
                <w:u w:val="single"/>
                <w:lang w:val="en-GB"/>
              </w:rPr>
            </w:pPr>
            <w:r w:rsidRPr="007C1364">
              <w:rPr>
                <w:u w:val="single"/>
                <w:lang w:val="en-GB"/>
              </w:rPr>
              <w:t>The 1982 United Nations Convention on the Law of the Sea (UNCLOS)</w:t>
            </w:r>
            <w:r w:rsidRPr="007C1364">
              <w:rPr>
                <w:u w:val="single"/>
                <w:vertAlign w:val="superscript"/>
                <w:lang w:val="en-GB"/>
              </w:rPr>
              <w:footnoteReference w:id="26"/>
            </w:r>
          </w:p>
          <w:p w14:paraId="1D4AF33B" w14:textId="77777777" w:rsidR="001F570F" w:rsidRPr="007C1364" w:rsidRDefault="001F570F" w:rsidP="001F570F">
            <w:pPr>
              <w:pStyle w:val="NoSpacing"/>
              <w:rPr>
                <w:i/>
                <w:iCs/>
                <w:lang w:val="en-GB"/>
              </w:rPr>
            </w:pPr>
            <w:r w:rsidRPr="007C1364">
              <w:rPr>
                <w:i/>
                <w:iCs/>
                <w:lang w:val="en-GB"/>
              </w:rPr>
              <w:t>This instrument is the basis upon which all the subsequent instruments are built. UNCLOS defines the rights and responsibilities of nations concerning their use of the world's oceans, establishing guidelines for businesses, the environment, and the management of marine natural resources. It is a binding instrument, although its principles may also be applied by countries who are not a party to it.</w:t>
            </w:r>
          </w:p>
          <w:p w14:paraId="5F61D1FC" w14:textId="77777777" w:rsidR="001F570F" w:rsidRPr="007C1364" w:rsidRDefault="001F570F" w:rsidP="001F570F">
            <w:pPr>
              <w:pStyle w:val="NoSpacing"/>
              <w:rPr>
                <w:i/>
                <w:iCs/>
                <w:lang w:val="en-GB"/>
              </w:rPr>
            </w:pPr>
          </w:p>
          <w:p w14:paraId="46C18930" w14:textId="77777777" w:rsidR="001F570F" w:rsidRPr="007C1364" w:rsidRDefault="001F570F" w:rsidP="001F570F">
            <w:pPr>
              <w:pStyle w:val="NoSpacing"/>
              <w:rPr>
                <w:u w:val="single"/>
                <w:lang w:val="en-GB"/>
              </w:rPr>
            </w:pPr>
            <w:r w:rsidRPr="007C1364">
              <w:rPr>
                <w:u w:val="single"/>
                <w:lang w:val="en-GB"/>
              </w:rPr>
              <w:t>The 1995 FAO Code of Conduct for Responsible Fisheries (CCRF)</w:t>
            </w:r>
            <w:r w:rsidRPr="007C1364">
              <w:rPr>
                <w:u w:val="single"/>
                <w:vertAlign w:val="superscript"/>
                <w:lang w:val="en-GB"/>
              </w:rPr>
              <w:footnoteReference w:id="27"/>
            </w:r>
          </w:p>
          <w:p w14:paraId="09B8CBB6" w14:textId="77777777" w:rsidR="001F570F" w:rsidRPr="007C1364" w:rsidRDefault="001F570F" w:rsidP="001F570F">
            <w:pPr>
              <w:pStyle w:val="NoSpacing"/>
              <w:rPr>
                <w:i/>
                <w:iCs/>
                <w:lang w:val="en-GB"/>
              </w:rPr>
            </w:pPr>
            <w:r w:rsidRPr="007C1364">
              <w:rPr>
                <w:i/>
                <w:iCs/>
                <w:lang w:val="en-GB"/>
              </w:rPr>
              <w:t>This instrument provides the necessary framework for national and international efforts to ensure sustainable exploitation of aquatic living resources in harmony with the environment by establishing principles and standards applicable to the conservation, management, and development of all fisheries.</w:t>
            </w:r>
          </w:p>
          <w:p w14:paraId="116BAD5B" w14:textId="77777777" w:rsidR="001F570F" w:rsidRPr="007C1364" w:rsidRDefault="001F570F" w:rsidP="001F570F">
            <w:pPr>
              <w:pStyle w:val="NoSpacing"/>
              <w:rPr>
                <w:i/>
                <w:iCs/>
                <w:lang w:val="en-GB"/>
              </w:rPr>
            </w:pPr>
            <w:r w:rsidRPr="007C1364">
              <w:rPr>
                <w:i/>
                <w:iCs/>
                <w:lang w:val="en-GB"/>
              </w:rPr>
              <w:t>The FAO Code of Conduct for Responsible Fisheries relies on the concept of MSY when setting general principles and standards for fisheries management.  Article 7.2.1 details how management measures should be “based on the best scientific evidence available” and “designed to maintain or restore stocks at levels capable of producing maximum sustainable yield, as qualified by relevant environmental and economic factors, including the special requirements of developing countries.”</w:t>
            </w:r>
          </w:p>
          <w:p w14:paraId="6AE6444A" w14:textId="77777777" w:rsidR="001F570F" w:rsidRPr="007C1364" w:rsidRDefault="001F570F" w:rsidP="001F570F">
            <w:pPr>
              <w:pStyle w:val="NoSpacing"/>
              <w:rPr>
                <w:i/>
                <w:iCs/>
                <w:lang w:val="en-GB"/>
              </w:rPr>
            </w:pPr>
          </w:p>
          <w:p w14:paraId="1ED6A89F" w14:textId="77777777" w:rsidR="001F570F" w:rsidRPr="007C1364" w:rsidRDefault="001F570F" w:rsidP="001F570F">
            <w:pPr>
              <w:pStyle w:val="NoSpacing"/>
              <w:rPr>
                <w:u w:val="single"/>
                <w:lang w:val="en-GB"/>
              </w:rPr>
            </w:pPr>
            <w:r w:rsidRPr="007C1364">
              <w:rPr>
                <w:u w:val="single"/>
                <w:lang w:val="en-GB"/>
              </w:rPr>
              <w:t>United Nation’s International Standard Classification of All Economic Activities (ISIC)</w:t>
            </w:r>
            <w:r w:rsidRPr="007C1364">
              <w:rPr>
                <w:i/>
                <w:iCs/>
                <w:lang w:val="en-GB"/>
              </w:rPr>
              <w:t xml:space="preserve"> </w:t>
            </w:r>
            <w:r w:rsidRPr="007C1364">
              <w:rPr>
                <w:i/>
                <w:iCs/>
                <w:vertAlign w:val="superscript"/>
                <w:lang w:val="en-GB"/>
              </w:rPr>
              <w:footnoteReference w:id="28"/>
            </w:r>
          </w:p>
          <w:p w14:paraId="2C0F983B" w14:textId="77777777" w:rsidR="001F570F" w:rsidRPr="007C1364" w:rsidRDefault="001F570F" w:rsidP="001F570F">
            <w:pPr>
              <w:pStyle w:val="NoSpacing"/>
              <w:rPr>
                <w:i/>
                <w:iCs/>
                <w:lang w:val="en-GB"/>
              </w:rPr>
            </w:pPr>
            <w:r w:rsidRPr="007C1364">
              <w:rPr>
                <w:i/>
                <w:iCs/>
                <w:lang w:val="en-GB"/>
              </w:rPr>
              <w:t>All components of marine capture fisheries are clearly defined within section A 0311 ISIC revision</w:t>
            </w:r>
          </w:p>
          <w:p w14:paraId="6D4FD94F" w14:textId="77777777" w:rsidR="001F570F" w:rsidRPr="007C1364" w:rsidRDefault="001F570F" w:rsidP="001F570F">
            <w:pPr>
              <w:pStyle w:val="NoSpacing"/>
              <w:rPr>
                <w:i/>
                <w:iCs/>
                <w:lang w:val="en-GB"/>
              </w:rPr>
            </w:pPr>
          </w:p>
          <w:p w14:paraId="2B50AFA6" w14:textId="77777777" w:rsidR="001F570F" w:rsidRPr="007C1364" w:rsidRDefault="001F570F" w:rsidP="001F570F">
            <w:pPr>
              <w:pStyle w:val="NoSpacing"/>
              <w:rPr>
                <w:b/>
                <w:bCs/>
                <w:lang w:val="en-GB"/>
              </w:rPr>
            </w:pPr>
            <w:r w:rsidRPr="007C1364">
              <w:rPr>
                <w:b/>
                <w:bCs/>
                <w:lang w:val="en-GB"/>
              </w:rPr>
              <w:t>Comments and limitations:</w:t>
            </w:r>
          </w:p>
          <w:p w14:paraId="516F4833" w14:textId="77777777" w:rsidR="001F570F" w:rsidRPr="007C1364" w:rsidRDefault="001F570F" w:rsidP="001F570F">
            <w:pPr>
              <w:pStyle w:val="NoSpacing"/>
              <w:rPr>
                <w:lang w:val="en-GB"/>
              </w:rPr>
            </w:pPr>
            <w:r w:rsidRPr="007C1364">
              <w:rPr>
                <w:lang w:val="en-GB"/>
              </w:rPr>
              <w:t xml:space="preserve">The indicator measures the value added of sustainable marine capture fisheries as a proportion of GDP. However, the vast majority of countries report only aggregated data for value added for the fisheries and aquaculture sector. To </w:t>
            </w:r>
            <w:r w:rsidRPr="007C1364">
              <w:rPr>
                <w:lang w:val="en-GB"/>
              </w:rPr>
              <w:lastRenderedPageBreak/>
              <w:t>overcome this problem it is necessary to separate the value added for marine capture fisheries from the aggregated data. Preferably this would be done using the value of marine capture fisheries as a proxy. However, in the absence of value data, the quantity of marine capture fisheries as a proportion of total production is used as a proxy for the proportion of value added.</w:t>
            </w:r>
          </w:p>
          <w:p w14:paraId="35319EA6" w14:textId="77777777" w:rsidR="001F570F" w:rsidRPr="007C1364" w:rsidRDefault="001F570F" w:rsidP="001F570F">
            <w:pPr>
              <w:pStyle w:val="NoSpacing"/>
            </w:pPr>
            <w:r w:rsidRPr="007C1364">
              <w:rPr>
                <w:lang w:val="en-GB"/>
              </w:rPr>
              <w:t>For marine capture fisheries, despite the expanded coverage of FAO’s assessments in recent years,</w:t>
            </w:r>
            <w:r w:rsidRPr="007C1364">
              <w:t xml:space="preserve"> data deficiencies may lead to uncertainty as to the level of exploitation of a stock</w:t>
            </w:r>
            <w:r w:rsidRPr="007C1364">
              <w:rPr>
                <w:lang w:val="en-GB"/>
              </w:rPr>
              <w:t xml:space="preserve">. </w:t>
            </w:r>
            <w:r w:rsidRPr="007C1364">
              <w:t xml:space="preserve">While data limitations exist, the methodology employed by FAO seeks to eliminate discrepancies and provide a representative assessment of marine fish stocks. The time series for which stock assessment is available starts with the first public release of FAO stock assessment, in 2011 </w:t>
            </w:r>
            <w:r w:rsidRPr="007C1364">
              <w:rPr>
                <w:lang w:val="en-GB"/>
              </w:rPr>
              <w:t>for each FAO Major Fishing area.</w:t>
            </w:r>
            <w:r w:rsidRPr="007C1364">
              <w:t xml:space="preserve"> FAO continues to release this information biennially.</w:t>
            </w:r>
            <w:r w:rsidRPr="007C1364">
              <w:rPr>
                <w:vertAlign w:val="superscript"/>
              </w:rPr>
              <w:footnoteReference w:id="29"/>
            </w:r>
          </w:p>
          <w:p w14:paraId="4BA02324" w14:textId="77777777" w:rsidR="001F570F" w:rsidRPr="007C1364" w:rsidRDefault="001F570F" w:rsidP="001F570F">
            <w:pPr>
              <w:pStyle w:val="NoSpacing"/>
            </w:pPr>
          </w:p>
          <w:p w14:paraId="5970F7F0" w14:textId="77777777" w:rsidR="001F570F" w:rsidRPr="007C1364" w:rsidRDefault="001F570F" w:rsidP="001F570F">
            <w:pPr>
              <w:pStyle w:val="NoSpacing"/>
            </w:pPr>
            <w:r w:rsidRPr="007C1364">
              <w:t xml:space="preserve">National fish stock assessments are only available for a few countries, and therefore are not globally or regionally representative. Therefore, the sustainability multiplier used in the compilation of this indicator is </w:t>
            </w:r>
            <w:r w:rsidRPr="007C1364">
              <w:rPr>
                <w:lang w:val="en-GB"/>
              </w:rPr>
              <w:t xml:space="preserve">based on the average fish stock sustainability calculated by FAO for each Major Fishing Area. For each country, the sustainability multiplier will be the average sustainability weighted by the proportion of the quantity of marine capture for each respective fishing area in which the country performs fishing activities. </w:t>
            </w:r>
            <w:r w:rsidRPr="007C1364">
              <w:t xml:space="preserve"> </w:t>
            </w:r>
          </w:p>
          <w:p w14:paraId="5DE4A68D" w14:textId="77777777" w:rsidR="001F570F" w:rsidRPr="007C1364" w:rsidRDefault="001F570F" w:rsidP="001F570F">
            <w:pPr>
              <w:pStyle w:val="NoSpacing"/>
            </w:pPr>
          </w:p>
          <w:p w14:paraId="27D64C6F" w14:textId="77777777" w:rsidR="001F570F" w:rsidRPr="007C1364" w:rsidRDefault="001F570F" w:rsidP="001F570F">
            <w:pPr>
              <w:pStyle w:val="NoSpacing"/>
              <w:rPr>
                <w:lang w:val="en-GB"/>
              </w:rPr>
            </w:pPr>
            <w:r w:rsidRPr="007C1364">
              <w:t>Currently, FAO aims to begin compiling country-level estimates for S</w:t>
            </w:r>
            <w:r w:rsidRPr="007C1364">
              <w:rPr>
                <w:lang w:val="en-GB"/>
              </w:rPr>
              <w:t>DG indicator 14.4.1 (proportion of fish stocks within biologically sustainable levels) in 2020. Once these estimates become available, the computation method for the current indicator will use country-level estimates rather than estimates based on FAO Major Fishing Areas to determine the sustainability multiplier and hence estimate the value added of sustainable marine capture fisheries as a proportion of GDP.</w:t>
            </w:r>
          </w:p>
          <w:p w14:paraId="633F16AA" w14:textId="77777777" w:rsidR="001F570F" w:rsidRPr="007C1364" w:rsidRDefault="001F570F" w:rsidP="001F570F">
            <w:pPr>
              <w:pStyle w:val="NoSpacing"/>
              <w:rPr>
                <w:lang w:val="en-GB"/>
              </w:rPr>
            </w:pPr>
          </w:p>
          <w:p w14:paraId="06555785" w14:textId="77777777" w:rsidR="001F570F" w:rsidRPr="007C1364" w:rsidRDefault="001F570F" w:rsidP="001F570F">
            <w:pPr>
              <w:pStyle w:val="NoSpacing"/>
              <w:rPr>
                <w:b/>
                <w:bCs/>
                <w:lang w:val="en-GB"/>
              </w:rPr>
            </w:pPr>
            <w:r w:rsidRPr="007C1364">
              <w:rPr>
                <w:b/>
                <w:bCs/>
                <w:lang w:val="en-GB"/>
              </w:rPr>
              <w:t>Quality assurance:</w:t>
            </w:r>
          </w:p>
          <w:p w14:paraId="130B420A" w14:textId="77777777" w:rsidR="001F570F" w:rsidRPr="007C1364" w:rsidRDefault="001F570F" w:rsidP="001F570F">
            <w:pPr>
              <w:pStyle w:val="NoSpacing"/>
              <w:rPr>
                <w:lang w:val="en-GB"/>
              </w:rPr>
            </w:pPr>
            <w:r w:rsidRPr="007C1364">
              <w:rPr>
                <w:lang w:val="en-GB"/>
              </w:rPr>
              <w:t>In order to provide continuity of collection of data for value added for fisheries and aquaculture, and GDP across different versions of the Systems of National Accounts (SNA) and ISIC revisions, FAO Fisheries and Aquaculture Department ensures its consistency by the use of backwards and forwards linkages when collecting and validating the information.</w:t>
            </w:r>
          </w:p>
          <w:p w14:paraId="31F1405E" w14:textId="77777777" w:rsidR="001F570F" w:rsidRPr="007C1364" w:rsidRDefault="001F570F" w:rsidP="001F570F">
            <w:pPr>
              <w:pStyle w:val="NoSpacing"/>
              <w:rPr>
                <w:lang w:val="en-GB"/>
              </w:rPr>
            </w:pPr>
          </w:p>
          <w:p w14:paraId="0F3F1B9C" w14:textId="77777777" w:rsidR="001F570F" w:rsidRPr="007C1364" w:rsidRDefault="001F570F" w:rsidP="001F570F">
            <w:pPr>
              <w:pStyle w:val="NoSpacing"/>
              <w:rPr>
                <w:lang w:val="en-GB"/>
              </w:rPr>
            </w:pPr>
            <w:r w:rsidRPr="007C1364">
              <w:rPr>
                <w:lang w:val="en-GB"/>
              </w:rPr>
              <w:t>While SDG indicator 14.7.1 is completely constructed on data already provided by countries to FAO, to the United Nations Statistics Division (UNSD) and to the Organization for Economic Cooperation and Development (OECD), countries are invited to collaborate with FAO to increase the precision of their results, by providing otherwise unavailable inputs for the calculation of the indicator.</w:t>
            </w:r>
          </w:p>
          <w:p w14:paraId="0312F1C3" w14:textId="77777777" w:rsidR="001F570F" w:rsidRPr="007C1364" w:rsidRDefault="001F570F" w:rsidP="001F570F">
            <w:pPr>
              <w:pStyle w:val="NoSpacing"/>
              <w:rPr>
                <w:lang w:val="en-GB"/>
              </w:rPr>
            </w:pPr>
          </w:p>
          <w:p w14:paraId="08D18143" w14:textId="77777777" w:rsidR="001F570F" w:rsidRPr="007C1364" w:rsidRDefault="001F570F" w:rsidP="001F570F">
            <w:pPr>
              <w:pStyle w:val="NoSpacing"/>
              <w:rPr>
                <w:lang w:val="en-GB"/>
              </w:rPr>
            </w:pPr>
            <w:r w:rsidRPr="007C1364">
              <w:rPr>
                <w:lang w:val="en-GB"/>
              </w:rPr>
              <w:t>Methodology</w:t>
            </w:r>
          </w:p>
          <w:p w14:paraId="68589C64" w14:textId="77777777" w:rsidR="001F570F" w:rsidRPr="007C1364" w:rsidRDefault="001F570F" w:rsidP="001F570F">
            <w:pPr>
              <w:pStyle w:val="NoSpacing"/>
              <w:rPr>
                <w:lang w:val="en-GB"/>
              </w:rPr>
            </w:pPr>
            <w:r w:rsidRPr="007C1364">
              <w:rPr>
                <w:lang w:val="en-GB"/>
              </w:rPr>
              <w:t>At a country level, the contribution of sustainable marine capture fisheries to the GDP is calculated as follows:</w:t>
            </w:r>
          </w:p>
          <w:p w14:paraId="2A7489E1" w14:textId="4BA82F27" w:rsidR="001F570F" w:rsidRPr="007C1364" w:rsidRDefault="001F570F" w:rsidP="001F570F">
            <w:pPr>
              <w:pStyle w:val="NoSpacing"/>
              <w:numPr>
                <w:ilvl w:val="0"/>
                <w:numId w:val="143"/>
              </w:numPr>
              <w:rPr>
                <w:lang w:val="en-GB"/>
              </w:rPr>
            </w:pPr>
            <w:r w:rsidRPr="007C1364">
              <w:rPr>
                <w:lang w:val="en-GB"/>
              </w:rPr>
              <w:lastRenderedPageBreak/>
              <w:t>The percentage contribution of fisheries and aquaculture to GDP is estimated by simply dividing the value added of fisheries and aquaculture by national GDP.</w:t>
            </w:r>
          </w:p>
          <w:p w14:paraId="53DA33F6" w14:textId="0E25CB61" w:rsidR="001F570F" w:rsidRDefault="00106BE7" w:rsidP="001F570F">
            <w:pPr>
              <w:pStyle w:val="NoSpacing"/>
              <w:numPr>
                <w:ilvl w:val="0"/>
                <w:numId w:val="143"/>
              </w:numPr>
              <w:rPr>
                <w:lang w:val="en-GB"/>
              </w:rPr>
            </w:pPr>
            <w:r w:rsidRPr="007C1364">
              <w:rPr>
                <w:noProof/>
                <w:lang w:bidi="bn-BD"/>
              </w:rPr>
              <mc:AlternateContent>
                <mc:Choice Requires="wps">
                  <w:drawing>
                    <wp:anchor distT="45720" distB="45720" distL="114300" distR="114300" simplePos="0" relativeHeight="251611648" behindDoc="0" locked="0" layoutInCell="1" allowOverlap="1" wp14:anchorId="5F8583BA" wp14:editId="136CA3BA">
                      <wp:simplePos x="0" y="0"/>
                      <wp:positionH relativeFrom="margin">
                        <wp:posOffset>359897</wp:posOffset>
                      </wp:positionH>
                      <wp:positionV relativeFrom="paragraph">
                        <wp:posOffset>185745</wp:posOffset>
                      </wp:positionV>
                      <wp:extent cx="3352800" cy="889635"/>
                      <wp:effectExtent l="0" t="0" r="19050" b="24765"/>
                      <wp:wrapTopAndBottom/>
                      <wp:docPr id="12784" name="Text Box 1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89635"/>
                              </a:xfrm>
                              <a:prstGeom prst="rect">
                                <a:avLst/>
                              </a:prstGeom>
                              <a:solidFill>
                                <a:srgbClr val="FFFFFF"/>
                              </a:solidFill>
                              <a:ln w="9525">
                                <a:solidFill>
                                  <a:srgbClr val="000000"/>
                                </a:solidFill>
                                <a:miter lim="800000"/>
                                <a:headEnd/>
                                <a:tailEnd/>
                              </a:ln>
                            </wps:spPr>
                            <wps:txbx>
                              <w:txbxContent>
                                <w:p w14:paraId="26C68693" w14:textId="77777777" w:rsidR="00D20077" w:rsidRPr="00016CA7" w:rsidRDefault="00D20077" w:rsidP="007C1364">
                                  <w:pPr>
                                    <w:tabs>
                                      <w:tab w:val="left" w:pos="4770"/>
                                    </w:tabs>
                                    <w:jc w:val="center"/>
                                    <w:rPr>
                                      <w:szCs w:val="28"/>
                                      <w:lang w:eastAsia="en-GB"/>
                                    </w:rPr>
                                  </w:pPr>
                                  <m:oMathPara>
                                    <m:oMath>
                                      <m:r>
                                        <m:rPr>
                                          <m:sty m:val="p"/>
                                        </m:rPr>
                                        <w:rPr>
                                          <w:rFonts w:ascii="Cambria Math" w:hAnsi="Cambria Math"/>
                                          <w:szCs w:val="28"/>
                                          <w:lang w:eastAsia="en-GB"/>
                                        </w:rPr>
                                        <m:t xml:space="preserve">GDP from Fisheries and Aquaculture </m:t>
                                      </m:r>
                                      <m:d>
                                        <m:dPr>
                                          <m:ctrlPr>
                                            <w:rPr>
                                              <w:rFonts w:ascii="Cambria Math" w:hAnsi="Cambria Math"/>
                                              <w:szCs w:val="28"/>
                                              <w:lang w:eastAsia="en-GB"/>
                                            </w:rPr>
                                          </m:ctrlPr>
                                        </m:dPr>
                                        <m:e>
                                          <m:r>
                                            <m:rPr>
                                              <m:sty m:val="p"/>
                                            </m:rPr>
                                            <w:rPr>
                                              <w:rFonts w:ascii="Cambria Math" w:hAnsi="Cambria Math"/>
                                              <w:szCs w:val="28"/>
                                              <w:lang w:eastAsia="en-GB"/>
                                            </w:rPr>
                                            <m:t>%</m:t>
                                          </m:r>
                                        </m:e>
                                      </m:d>
                                      <m:r>
                                        <m:rPr>
                                          <m:sty m:val="p"/>
                                        </m:rPr>
                                        <w:rPr>
                                          <w:rFonts w:ascii="Cambria Math" w:hAnsi="Cambria Math"/>
                                          <w:szCs w:val="28"/>
                                          <w:lang w:eastAsia="en-GB"/>
                                        </w:rPr>
                                        <m:t xml:space="preserve">= </m:t>
                                      </m:r>
                                      <m:f>
                                        <m:fPr>
                                          <m:ctrlPr>
                                            <w:rPr>
                                              <w:rFonts w:ascii="Cambria Math" w:hAnsi="Cambria Math"/>
                                              <w:szCs w:val="28"/>
                                              <w:lang w:eastAsia="en-GB"/>
                                            </w:rPr>
                                          </m:ctrlPr>
                                        </m:fPr>
                                        <m:num>
                                          <m:r>
                                            <m:rPr>
                                              <m:sty m:val="p"/>
                                            </m:rPr>
                                            <w:rPr>
                                              <w:rFonts w:ascii="Cambria Math" w:hAnsi="Cambria Math"/>
                                              <w:szCs w:val="28"/>
                                              <w:lang w:eastAsia="en-GB"/>
                                            </w:rPr>
                                            <m:t>Value Added Fisheries and Aquaculture</m:t>
                                          </m:r>
                                        </m:num>
                                        <m:den>
                                          <m:r>
                                            <m:rPr>
                                              <m:sty m:val="p"/>
                                            </m:rPr>
                                            <w:rPr>
                                              <w:rFonts w:ascii="Cambria Math" w:hAnsi="Cambria Math"/>
                                              <w:szCs w:val="28"/>
                                              <w:lang w:eastAsia="en-GB"/>
                                            </w:rPr>
                                            <m:t>GDP</m:t>
                                          </m:r>
                                        </m:den>
                                      </m:f>
                                    </m:oMath>
                                  </m:oMathPara>
                                </w:p>
                                <w:p w14:paraId="29258401" w14:textId="77777777" w:rsidR="00D20077" w:rsidRPr="00016CA7" w:rsidRDefault="004B4A24" w:rsidP="007C1364">
                                  <w:pPr>
                                    <w:tabs>
                                      <w:tab w:val="left" w:pos="4770"/>
                                    </w:tabs>
                                    <w:spacing w:before="180"/>
                                    <w:jc w:val="center"/>
                                    <w:rPr>
                                      <w:szCs w:val="28"/>
                                      <w:lang w:eastAsia="en-GB"/>
                                    </w:rPr>
                                  </w:pPr>
                                  <m:oMathPara>
                                    <m:oMathParaPr>
                                      <m:jc m:val="center"/>
                                    </m:oMathParaPr>
                                    <m:oMath>
                                      <m:sSub>
                                        <m:sSubPr>
                                          <m:ctrlPr>
                                            <w:rPr>
                                              <w:rFonts w:ascii="Cambria Math" w:hAnsi="Cambria Math"/>
                                              <w:szCs w:val="28"/>
                                              <w:lang w:eastAsia="en-GB"/>
                                            </w:rPr>
                                          </m:ctrlPr>
                                        </m:sSubPr>
                                        <m:e>
                                          <m:r>
                                            <m:rPr>
                                              <m:sty m:val="p"/>
                                            </m:rPr>
                                            <w:rPr>
                                              <w:rFonts w:ascii="Cambria Math" w:hAnsi="Cambria Math"/>
                                              <w:szCs w:val="28"/>
                                              <w:lang w:eastAsia="en-GB"/>
                                            </w:rPr>
                                            <m:t>GDP</m:t>
                                          </m:r>
                                        </m:e>
                                        <m:sub>
                                          <m:r>
                                            <m:rPr>
                                              <m:sty m:val="p"/>
                                            </m:rPr>
                                            <w:rPr>
                                              <w:rFonts w:ascii="Cambria Math" w:hAnsi="Cambria Math"/>
                                              <w:szCs w:val="28"/>
                                              <w:lang w:eastAsia="en-GB"/>
                                            </w:rPr>
                                            <m:t>FIA</m:t>
                                          </m:r>
                                        </m:sub>
                                      </m:sSub>
                                      <m:r>
                                        <m:rPr>
                                          <m:sty m:val="p"/>
                                        </m:rPr>
                                        <w:rPr>
                                          <w:rFonts w:ascii="Cambria Math" w:hAnsi="Cambria Math"/>
                                          <w:szCs w:val="28"/>
                                          <w:lang w:eastAsia="en-GB"/>
                                        </w:rPr>
                                        <m:t>=</m:t>
                                      </m:r>
                                      <m:f>
                                        <m:fPr>
                                          <m:ctrlPr>
                                            <w:rPr>
                                              <w:rFonts w:ascii="Cambria Math" w:hAnsi="Cambria Math"/>
                                              <w:szCs w:val="28"/>
                                              <w:lang w:eastAsia="en-GB"/>
                                            </w:rPr>
                                          </m:ctrlPr>
                                        </m:fPr>
                                        <m:num>
                                          <m:sSub>
                                            <m:sSubPr>
                                              <m:ctrlPr>
                                                <w:rPr>
                                                  <w:rFonts w:ascii="Cambria Math" w:hAnsi="Cambria Math"/>
                                                  <w:szCs w:val="28"/>
                                                  <w:lang w:eastAsia="en-GB"/>
                                                </w:rPr>
                                              </m:ctrlPr>
                                            </m:sSubPr>
                                            <m:e>
                                              <m:r>
                                                <m:rPr>
                                                  <m:sty m:val="p"/>
                                                </m:rPr>
                                                <w:rPr>
                                                  <w:rFonts w:ascii="Cambria Math" w:hAnsi="Cambria Math"/>
                                                  <w:szCs w:val="28"/>
                                                  <w:lang w:eastAsia="en-GB"/>
                                                </w:rPr>
                                                <m:t>VA</m:t>
                                              </m:r>
                                            </m:e>
                                            <m:sub>
                                              <m:r>
                                                <m:rPr>
                                                  <m:sty m:val="p"/>
                                                </m:rPr>
                                                <w:rPr>
                                                  <w:rFonts w:ascii="Cambria Math" w:hAnsi="Cambria Math"/>
                                                  <w:szCs w:val="28"/>
                                                  <w:lang w:eastAsia="en-GB"/>
                                                </w:rPr>
                                                <m:t>FIA</m:t>
                                              </m:r>
                                            </m:sub>
                                          </m:sSub>
                                        </m:num>
                                        <m:den>
                                          <m:r>
                                            <m:rPr>
                                              <m:sty m:val="p"/>
                                            </m:rPr>
                                            <w:rPr>
                                              <w:rFonts w:ascii="Cambria Math" w:hAnsi="Cambria Math"/>
                                              <w:szCs w:val="28"/>
                                              <w:lang w:eastAsia="en-GB"/>
                                            </w:rPr>
                                            <m:t>GDP</m:t>
                                          </m:r>
                                        </m:den>
                                      </m:f>
                                    </m:oMath>
                                  </m:oMathPara>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8583BA" id="Text Box 12784" o:spid="_x0000_s1030" type="#_x0000_t202" style="position:absolute;left:0;text-align:left;margin-left:28.35pt;margin-top:14.65pt;width:264pt;height:70.0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">
                      <v:textbox inset=",,,0">
                        <w:txbxContent>
                          <w:p w14:paraId="26C68693" w14:textId="77777777" w:rsidR="00D20077" w:rsidRPr="00016CA7" w:rsidRDefault="00D20077" w:rsidP="007C1364">
                            <w:pPr>
                              <w:tabs>
                                <w:tab w:val="left" w:pos="4770"/>
                              </w:tabs>
                              <w:jc w:val="center"/>
                              <w:rPr>
                                <w:szCs w:val="28"/>
                                <w:lang w:eastAsia="en-GB"/>
                              </w:rPr>
                            </w:pPr>
                            <m:oMathPara>
                              <m:oMath>
                                <m:r>
                                  <m:rPr>
                                    <m:sty m:val="p"/>
                                  </m:rPr>
                                  <w:rPr>
                                    <w:rFonts w:ascii="Cambria Math" w:hAnsi="Cambria Math"/>
                                    <w:szCs w:val="28"/>
                                    <w:lang w:eastAsia="en-GB"/>
                                  </w:rPr>
                                  <m:t xml:space="preserve">GDP from Fisheries and Aquaculture </m:t>
                                </m:r>
                                <m:d>
                                  <m:dPr>
                                    <m:ctrlPr>
                                      <w:rPr>
                                        <w:rFonts w:ascii="Cambria Math" w:hAnsi="Cambria Math"/>
                                        <w:szCs w:val="28"/>
                                        <w:lang w:eastAsia="en-GB"/>
                                      </w:rPr>
                                    </m:ctrlPr>
                                  </m:dPr>
                                  <m:e>
                                    <m:r>
                                      <m:rPr>
                                        <m:sty m:val="p"/>
                                      </m:rPr>
                                      <w:rPr>
                                        <w:rFonts w:ascii="Cambria Math" w:hAnsi="Cambria Math"/>
                                        <w:szCs w:val="28"/>
                                        <w:lang w:eastAsia="en-GB"/>
                                      </w:rPr>
                                      <m:t>%</m:t>
                                    </m:r>
                                  </m:e>
                                </m:d>
                                <m:r>
                                  <m:rPr>
                                    <m:sty m:val="p"/>
                                  </m:rPr>
                                  <w:rPr>
                                    <w:rFonts w:ascii="Cambria Math" w:hAnsi="Cambria Math"/>
                                    <w:szCs w:val="28"/>
                                    <w:lang w:eastAsia="en-GB"/>
                                  </w:rPr>
                                  <m:t xml:space="preserve">= </m:t>
                                </m:r>
                                <m:f>
                                  <m:fPr>
                                    <m:ctrlPr>
                                      <w:rPr>
                                        <w:rFonts w:ascii="Cambria Math" w:hAnsi="Cambria Math"/>
                                        <w:szCs w:val="28"/>
                                        <w:lang w:eastAsia="en-GB"/>
                                      </w:rPr>
                                    </m:ctrlPr>
                                  </m:fPr>
                                  <m:num>
                                    <m:r>
                                      <m:rPr>
                                        <m:sty m:val="p"/>
                                      </m:rPr>
                                      <w:rPr>
                                        <w:rFonts w:ascii="Cambria Math" w:hAnsi="Cambria Math"/>
                                        <w:szCs w:val="28"/>
                                        <w:lang w:eastAsia="en-GB"/>
                                      </w:rPr>
                                      <m:t>Value Added Fisheries and Aquaculture</m:t>
                                    </m:r>
                                  </m:num>
                                  <m:den>
                                    <m:r>
                                      <m:rPr>
                                        <m:sty m:val="p"/>
                                      </m:rPr>
                                      <w:rPr>
                                        <w:rFonts w:ascii="Cambria Math" w:hAnsi="Cambria Math"/>
                                        <w:szCs w:val="28"/>
                                        <w:lang w:eastAsia="en-GB"/>
                                      </w:rPr>
                                      <m:t>GDP</m:t>
                                    </m:r>
                                  </m:den>
                                </m:f>
                              </m:oMath>
                            </m:oMathPara>
                          </w:p>
                          <w:p w14:paraId="29258401" w14:textId="77777777" w:rsidR="00D20077" w:rsidRPr="00016CA7" w:rsidRDefault="00D20077" w:rsidP="007C1364">
                            <w:pPr>
                              <w:tabs>
                                <w:tab w:val="left" w:pos="4770"/>
                              </w:tabs>
                              <w:spacing w:before="180"/>
                              <w:jc w:val="center"/>
                              <w:rPr>
                                <w:szCs w:val="28"/>
                                <w:lang w:eastAsia="en-GB"/>
                              </w:rPr>
                            </w:pPr>
                            <m:oMathPara>
                              <m:oMathParaPr>
                                <m:jc m:val="center"/>
                              </m:oMathParaPr>
                              <m:oMath>
                                <m:sSub>
                                  <m:sSubPr>
                                    <m:ctrlPr>
                                      <w:rPr>
                                        <w:rFonts w:ascii="Cambria Math" w:hAnsi="Cambria Math"/>
                                        <w:szCs w:val="28"/>
                                        <w:lang w:eastAsia="en-GB"/>
                                      </w:rPr>
                                    </m:ctrlPr>
                                  </m:sSubPr>
                                  <m:e>
                                    <m:r>
                                      <m:rPr>
                                        <m:sty m:val="p"/>
                                      </m:rPr>
                                      <w:rPr>
                                        <w:rFonts w:ascii="Cambria Math" w:hAnsi="Cambria Math"/>
                                        <w:szCs w:val="28"/>
                                        <w:lang w:eastAsia="en-GB"/>
                                      </w:rPr>
                                      <m:t>GDP</m:t>
                                    </m:r>
                                  </m:e>
                                  <m:sub>
                                    <m:r>
                                      <m:rPr>
                                        <m:sty m:val="p"/>
                                      </m:rPr>
                                      <w:rPr>
                                        <w:rFonts w:ascii="Cambria Math" w:hAnsi="Cambria Math"/>
                                        <w:szCs w:val="28"/>
                                        <w:lang w:eastAsia="en-GB"/>
                                      </w:rPr>
                                      <m:t>FIA</m:t>
                                    </m:r>
                                  </m:sub>
                                </m:sSub>
                                <m:r>
                                  <m:rPr>
                                    <m:sty m:val="p"/>
                                  </m:rPr>
                                  <w:rPr>
                                    <w:rFonts w:ascii="Cambria Math" w:hAnsi="Cambria Math"/>
                                    <w:szCs w:val="28"/>
                                    <w:lang w:eastAsia="en-GB"/>
                                  </w:rPr>
                                  <m:t>=</m:t>
                                </m:r>
                                <m:f>
                                  <m:fPr>
                                    <m:ctrlPr>
                                      <w:rPr>
                                        <w:rFonts w:ascii="Cambria Math" w:hAnsi="Cambria Math"/>
                                        <w:szCs w:val="28"/>
                                        <w:lang w:eastAsia="en-GB"/>
                                      </w:rPr>
                                    </m:ctrlPr>
                                  </m:fPr>
                                  <m:num>
                                    <m:sSub>
                                      <m:sSubPr>
                                        <m:ctrlPr>
                                          <w:rPr>
                                            <w:rFonts w:ascii="Cambria Math" w:hAnsi="Cambria Math"/>
                                            <w:szCs w:val="28"/>
                                            <w:lang w:eastAsia="en-GB"/>
                                          </w:rPr>
                                        </m:ctrlPr>
                                      </m:sSubPr>
                                      <m:e>
                                        <m:r>
                                          <m:rPr>
                                            <m:sty m:val="p"/>
                                          </m:rPr>
                                          <w:rPr>
                                            <w:rFonts w:ascii="Cambria Math" w:hAnsi="Cambria Math"/>
                                            <w:szCs w:val="28"/>
                                            <w:lang w:eastAsia="en-GB"/>
                                          </w:rPr>
                                          <m:t>VA</m:t>
                                        </m:r>
                                      </m:e>
                                      <m:sub>
                                        <m:r>
                                          <m:rPr>
                                            <m:sty m:val="p"/>
                                          </m:rPr>
                                          <w:rPr>
                                            <w:rFonts w:ascii="Cambria Math" w:hAnsi="Cambria Math"/>
                                            <w:szCs w:val="28"/>
                                            <w:lang w:eastAsia="en-GB"/>
                                          </w:rPr>
                                          <m:t>FIA</m:t>
                                        </m:r>
                                      </m:sub>
                                    </m:sSub>
                                  </m:num>
                                  <m:den>
                                    <m:r>
                                      <m:rPr>
                                        <m:sty m:val="p"/>
                                      </m:rPr>
                                      <w:rPr>
                                        <w:rFonts w:ascii="Cambria Math" w:hAnsi="Cambria Math"/>
                                        <w:szCs w:val="28"/>
                                        <w:lang w:eastAsia="en-GB"/>
                                      </w:rPr>
                                      <m:t>GDP</m:t>
                                    </m:r>
                                  </m:den>
                                </m:f>
                              </m:oMath>
                            </m:oMathPara>
                          </w:p>
                        </w:txbxContent>
                      </v:textbox>
                      <w10:wrap type="topAndBottom" anchorx="margin"/>
                    </v:shape>
                  </w:pict>
                </mc:Fallback>
              </mc:AlternateContent>
            </w:r>
            <w:r w:rsidR="001F570F" w:rsidRPr="007C1364">
              <w:rPr>
                <w:lang w:val="en-GB"/>
              </w:rPr>
              <w:t>In order to disaggregate for the value added of marine capture fisheries and the value added of aquaculture, the quantity of fish produced from marine capture fisheries will be divided by total quantity of national production of fish, and then multiplied by the percentage of GDP from fisheries and aquaculture. As such, the quantity of production of marine capture fisheries is used as a proxy for the value of marine capture fisheries.</w:t>
            </w:r>
          </w:p>
          <w:p w14:paraId="6557CEE3" w14:textId="10F46F71" w:rsidR="001F570F" w:rsidRPr="007C1364" w:rsidRDefault="001F570F" w:rsidP="001F570F">
            <w:pPr>
              <w:pStyle w:val="NoSpacing"/>
              <w:numPr>
                <w:ilvl w:val="0"/>
                <w:numId w:val="143"/>
              </w:numPr>
              <w:rPr>
                <w:lang w:val="en-GB"/>
              </w:rPr>
            </w:pPr>
            <w:r w:rsidRPr="007C1364">
              <w:rPr>
                <w:noProof/>
                <w:lang w:bidi="bn-BD"/>
              </w:rPr>
              <mc:AlternateContent>
                <mc:Choice Requires="wps">
                  <w:drawing>
                    <wp:anchor distT="45720" distB="45720" distL="114300" distR="114300" simplePos="0" relativeHeight="251613696" behindDoc="0" locked="0" layoutInCell="1" allowOverlap="1" wp14:anchorId="53CE9378" wp14:editId="4E0ACFC2">
                      <wp:simplePos x="0" y="0"/>
                      <wp:positionH relativeFrom="margin">
                        <wp:posOffset>38100</wp:posOffset>
                      </wp:positionH>
                      <wp:positionV relativeFrom="paragraph">
                        <wp:posOffset>83185</wp:posOffset>
                      </wp:positionV>
                      <wp:extent cx="3191510" cy="1345565"/>
                      <wp:effectExtent l="0" t="0" r="27940" b="26035"/>
                      <wp:wrapTopAndBottom/>
                      <wp:docPr id="12783" name="Text Box 1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345565"/>
                              </a:xfrm>
                              <a:prstGeom prst="rect">
                                <a:avLst/>
                              </a:prstGeom>
                              <a:solidFill>
                                <a:srgbClr val="FFFFFF"/>
                              </a:solidFill>
                              <a:ln w="9525">
                                <a:solidFill>
                                  <a:srgbClr val="000000"/>
                                </a:solidFill>
                                <a:miter lim="800000"/>
                                <a:headEnd/>
                                <a:tailEnd/>
                              </a:ln>
                            </wps:spPr>
                            <wps:txbx>
                              <w:txbxContent>
                                <w:p w14:paraId="5712BEF4" w14:textId="77777777" w:rsidR="00D20077" w:rsidRPr="005A7FFB" w:rsidRDefault="00D20077" w:rsidP="007C1364">
                                  <w:pPr>
                                    <w:shd w:val="clear" w:color="auto" w:fill="FFFFFF"/>
                                    <w:spacing w:before="120" w:line="360" w:lineRule="auto"/>
                                    <w:ind w:right="-1080" w:firstLine="720"/>
                                    <w:jc w:val="center"/>
                                    <w:rPr>
                                      <w:rFonts w:eastAsia="Times New Roman" w:cstheme="minorHAnsi"/>
                                      <w:sz w:val="16"/>
                                      <w:szCs w:val="16"/>
                                      <w:lang w:eastAsia="en-GB"/>
                                    </w:rPr>
                                  </w:pPr>
                                  <m:oMathPara>
                                    <m:oMathParaPr>
                                      <m:jc m:val="left"/>
                                    </m:oMathParaPr>
                                    <m:oMath>
                                      <m:r>
                                        <m:rPr>
                                          <m:sty m:val="p"/>
                                        </m:rPr>
                                        <w:rPr>
                                          <w:rFonts w:ascii="Cambria Math" w:eastAsia="Times New Roman" w:hAnsi="Cambria Math" w:cstheme="minorHAnsi"/>
                                          <w:sz w:val="16"/>
                                          <w:szCs w:val="16"/>
                                          <w:lang w:eastAsia="en-GB"/>
                                        </w:rPr>
                                        <m:t xml:space="preserve">Value added of marine capture Fisheries proxy (%)=GDP from Fisheries and Aquaculture </m:t>
                                      </m:r>
                                      <m:r>
                                        <m:rPr>
                                          <m:sty m:val="p"/>
                                        </m:rPr>
                                        <w:rPr>
                                          <w:rFonts w:ascii="Cambria Math" w:eastAsia="Times New Roman" w:hAnsi="Cambria Math" w:cstheme="minorHAnsi" w:hint="eastAsia"/>
                                          <w:sz w:val="16"/>
                                          <w:szCs w:val="16"/>
                                          <w:lang w:eastAsia="en-GB"/>
                                        </w:rPr>
                                        <m:t>×</m:t>
                                      </m:r>
                                      <m:f>
                                        <m:fPr>
                                          <m:ctrlPr>
                                            <w:rPr>
                                              <w:rFonts w:ascii="Cambria Math" w:eastAsia="Times New Roman" w:hAnsi="Cambria Math" w:cstheme="minorHAnsi"/>
                                              <w:sz w:val="16"/>
                                              <w:szCs w:val="16"/>
                                              <w:lang w:eastAsia="en-GB"/>
                                            </w:rPr>
                                          </m:ctrlPr>
                                        </m:fPr>
                                        <m:num>
                                          <m:r>
                                            <m:rPr>
                                              <m:sty m:val="p"/>
                                            </m:rPr>
                                            <w:rPr>
                                              <w:rFonts w:ascii="Cambria Math" w:eastAsia="Times New Roman" w:hAnsi="Cambria Math" w:cstheme="minorHAnsi"/>
                                              <w:sz w:val="16"/>
                                              <w:szCs w:val="16"/>
                                              <w:lang w:eastAsia="en-GB"/>
                                            </w:rPr>
                                            <m:t>Quantity of Marine capture Fisheries</m:t>
                                          </m:r>
                                        </m:num>
                                        <m:den>
                                          <m:r>
                                            <m:rPr>
                                              <m:sty m:val="p"/>
                                            </m:rPr>
                                            <w:rPr>
                                              <w:rFonts w:ascii="Cambria Math" w:eastAsia="Times New Roman" w:hAnsi="Cambria Math" w:cstheme="minorHAnsi"/>
                                              <w:sz w:val="16"/>
                                              <w:szCs w:val="16"/>
                                              <w:lang w:eastAsia="en-GB"/>
                                            </w:rPr>
                                            <m:t>Total Quantity of Fish</m:t>
                                          </m:r>
                                        </m:den>
                                      </m:f>
                                      <m:r>
                                        <m:rPr>
                                          <m:sty m:val="p"/>
                                        </m:rPr>
                                        <w:rPr>
                                          <w:rFonts w:ascii="Cambria Math" w:hAnsi="Cambria Math"/>
                                          <w:sz w:val="16"/>
                                          <w:szCs w:val="16"/>
                                          <w:lang w:val="it-IT" w:eastAsia="en-GB"/>
                                        </w:rPr>
                                        <w:br/>
                                      </m:r>
                                    </m:oMath>
                                    <m:oMath>
                                      <m:sSub>
                                        <m:sSubPr>
                                          <m:ctrlPr>
                                            <w:rPr>
                                              <w:rFonts w:ascii="Cambria Math" w:hAnsi="Cambria Math"/>
                                              <w:sz w:val="16"/>
                                              <w:szCs w:val="16"/>
                                              <w:lang w:val="it-IT" w:eastAsia="en-GB"/>
                                            </w:rPr>
                                          </m:ctrlPr>
                                        </m:sSubPr>
                                        <m:e>
                                          <m:r>
                                            <m:rPr>
                                              <m:sty m:val="p"/>
                                            </m:rPr>
                                            <w:rPr>
                                              <w:rFonts w:ascii="Cambria Math" w:hAnsi="Cambria Math"/>
                                              <w:sz w:val="16"/>
                                              <w:szCs w:val="16"/>
                                              <w:lang w:val="it-IT" w:eastAsia="en-GB"/>
                                            </w:rPr>
                                            <m:t>VA</m:t>
                                          </m:r>
                                        </m:e>
                                        <m:sub>
                                          <m:r>
                                            <m:rPr>
                                              <m:sty m:val="p"/>
                                            </m:rPr>
                                            <w:rPr>
                                              <w:rFonts w:ascii="Cambria Math" w:hAnsi="Cambria Math"/>
                                              <w:sz w:val="16"/>
                                              <w:szCs w:val="16"/>
                                              <w:lang w:val="it-IT" w:eastAsia="en-GB"/>
                                            </w:rPr>
                                            <m:t>F</m:t>
                                          </m:r>
                                        </m:sub>
                                      </m:sSub>
                                      <m:r>
                                        <m:rPr>
                                          <m:sty m:val="p"/>
                                        </m:rPr>
                                        <w:rPr>
                                          <w:rFonts w:ascii="Cambria Math" w:hAnsi="Cambria Math"/>
                                          <w:sz w:val="16"/>
                                          <w:szCs w:val="16"/>
                                          <w:lang w:val="it-IT" w:eastAsia="en-GB"/>
                                        </w:rPr>
                                        <m:t>=</m:t>
                                      </m:r>
                                      <m:sSub>
                                        <m:sSubPr>
                                          <m:ctrlPr>
                                            <w:rPr>
                                              <w:rFonts w:ascii="Cambria Math" w:hAnsi="Cambria Math"/>
                                              <w:sz w:val="16"/>
                                              <w:szCs w:val="16"/>
                                              <w:lang w:val="it-IT" w:eastAsia="en-GB"/>
                                            </w:rPr>
                                          </m:ctrlPr>
                                        </m:sSubPr>
                                        <m:e>
                                          <m:r>
                                            <m:rPr>
                                              <m:sty m:val="p"/>
                                            </m:rPr>
                                            <w:rPr>
                                              <w:rFonts w:ascii="Cambria Math" w:hAnsi="Cambria Math"/>
                                              <w:sz w:val="16"/>
                                              <w:szCs w:val="16"/>
                                              <w:lang w:val="it-IT" w:eastAsia="en-GB"/>
                                            </w:rPr>
                                            <m:t>GDP</m:t>
                                          </m:r>
                                        </m:e>
                                        <m:sub>
                                          <m:r>
                                            <m:rPr>
                                              <m:sty m:val="p"/>
                                            </m:rPr>
                                            <w:rPr>
                                              <w:rFonts w:ascii="Cambria Math" w:hAnsi="Cambria Math"/>
                                              <w:sz w:val="16"/>
                                              <w:szCs w:val="16"/>
                                              <w:lang w:val="it-IT" w:eastAsia="en-GB"/>
                                            </w:rPr>
                                            <m:t>FIA</m:t>
                                          </m:r>
                                        </m:sub>
                                      </m:sSub>
                                      <m:r>
                                        <w:rPr>
                                          <w:rFonts w:ascii="Cambria Math" w:hAnsi="Cambria Math"/>
                                          <w:sz w:val="16"/>
                                          <w:szCs w:val="16"/>
                                          <w:lang w:val="it-IT" w:eastAsia="en-GB"/>
                                        </w:rPr>
                                        <m:t>×</m:t>
                                      </m:r>
                                      <m:f>
                                        <m:fPr>
                                          <m:ctrlPr>
                                            <w:rPr>
                                              <w:rFonts w:ascii="Cambria Math" w:hAnsi="Cambria Math"/>
                                              <w:sz w:val="16"/>
                                              <w:szCs w:val="16"/>
                                              <w:lang w:eastAsia="en-GB"/>
                                            </w:rPr>
                                          </m:ctrlPr>
                                        </m:fPr>
                                        <m:num>
                                          <m:sSub>
                                            <m:sSubPr>
                                              <m:ctrlPr>
                                                <w:rPr>
                                                  <w:rFonts w:ascii="Cambria Math" w:hAnsi="Cambria Math"/>
                                                  <w:sz w:val="16"/>
                                                  <w:szCs w:val="16"/>
                                                  <w:lang w:val="it-IT" w:eastAsia="en-GB"/>
                                                </w:rPr>
                                              </m:ctrlPr>
                                            </m:sSubPr>
                                            <m:e>
                                              <m:r>
                                                <m:rPr>
                                                  <m:sty m:val="p"/>
                                                </m:rPr>
                                                <w:rPr>
                                                  <w:rFonts w:ascii="Cambria Math" w:hAnsi="Cambria Math"/>
                                                  <w:sz w:val="16"/>
                                                  <w:szCs w:val="16"/>
                                                  <w:lang w:val="it-IT" w:eastAsia="en-GB"/>
                                                </w:rPr>
                                                <m:t>Q</m:t>
                                              </m:r>
                                            </m:e>
                                            <m:sub>
                                              <m:r>
                                                <m:rPr>
                                                  <m:sty m:val="p"/>
                                                </m:rPr>
                                                <w:rPr>
                                                  <w:rFonts w:ascii="Cambria Math" w:hAnsi="Cambria Math"/>
                                                  <w:sz w:val="16"/>
                                                  <w:szCs w:val="16"/>
                                                  <w:lang w:val="it-IT" w:eastAsia="en-GB"/>
                                                </w:rPr>
                                                <m:t>M</m:t>
                                              </m:r>
                                            </m:sub>
                                          </m:sSub>
                                        </m:num>
                                        <m:den>
                                          <m:sSub>
                                            <m:sSubPr>
                                              <m:ctrlPr>
                                                <w:rPr>
                                                  <w:rFonts w:ascii="Cambria Math" w:hAnsi="Cambria Math"/>
                                                  <w:sz w:val="16"/>
                                                  <w:szCs w:val="16"/>
                                                  <w:lang w:eastAsia="en-GB"/>
                                                </w:rPr>
                                              </m:ctrlPr>
                                            </m:sSubPr>
                                            <m:e>
                                              <m:r>
                                                <m:rPr>
                                                  <m:sty m:val="p"/>
                                                </m:rPr>
                                                <w:rPr>
                                                  <w:rFonts w:ascii="Cambria Math" w:hAnsi="Cambria Math"/>
                                                  <w:sz w:val="16"/>
                                                  <w:szCs w:val="16"/>
                                                  <w:lang w:eastAsia="en-GB"/>
                                                </w:rPr>
                                                <m:t>Q</m:t>
                                              </m:r>
                                            </m:e>
                                            <m:sub>
                                              <m:r>
                                                <m:rPr>
                                                  <m:sty m:val="p"/>
                                                </m:rPr>
                                                <w:rPr>
                                                  <w:rFonts w:ascii="Cambria Math" w:hAnsi="Cambria Math"/>
                                                  <w:sz w:val="16"/>
                                                  <w:szCs w:val="16"/>
                                                  <w:lang w:eastAsia="en-GB"/>
                                                </w:rPr>
                                                <m:t>T</m:t>
                                              </m:r>
                                            </m:sub>
                                          </m:sSub>
                                        </m:den>
                                      </m:f>
                                    </m:oMath>
                                  </m:oMathPara>
                                </w:p>
                                <w:p w14:paraId="05347966" w14:textId="77777777" w:rsidR="00D20077" w:rsidRPr="00086E79" w:rsidRDefault="00D20077" w:rsidP="007C1364">
                                  <w:pPr>
                                    <w:jc w:val="center"/>
                                  </w:pPr>
                                </w:p>
                              </w:txbxContent>
                            </wps:txbx>
                            <wps:bodyPr rot="0" vert="horz" wrap="square" lIns="0" tIns="0" rIns="640080" bIns="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CE9378" id="Text Box 12783" o:spid="_x0000_s1031" type="#_x0000_t202" style="position:absolute;left:0;text-align:left;margin-left:3pt;margin-top:6.55pt;width:251.3pt;height:105.9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">
                      <v:textbox inset="0,0,50.4pt,0">
                        <w:txbxContent>
                          <w:p w14:paraId="5712BEF4" w14:textId="77777777" w:rsidR="00D20077" w:rsidRPr="005A7FFB" w:rsidRDefault="00D20077" w:rsidP="007C1364">
                            <w:pPr>
                              <w:shd w:val="clear" w:color="auto" w:fill="FFFFFF"/>
                              <w:spacing w:before="120" w:line="360" w:lineRule="auto"/>
                              <w:ind w:right="-1080" w:firstLine="720"/>
                              <w:jc w:val="center"/>
                              <w:rPr>
                                <w:rFonts w:eastAsia="Times New Roman" w:cstheme="minorHAnsi"/>
                                <w:sz w:val="16"/>
                                <w:szCs w:val="16"/>
                                <w:lang w:eastAsia="en-GB"/>
                              </w:rPr>
                            </w:pPr>
                            <m:oMathPara>
                              <m:oMathParaPr>
                                <m:jc m:val="left"/>
                              </m:oMathParaPr>
                              <m:oMath>
                                <m:r>
                                  <m:rPr>
                                    <m:sty m:val="p"/>
                                  </m:rPr>
                                  <w:rPr>
                                    <w:rFonts w:ascii="Cambria Math" w:eastAsia="Times New Roman" w:hAnsi="Cambria Math" w:cstheme="minorHAnsi"/>
                                    <w:sz w:val="16"/>
                                    <w:szCs w:val="16"/>
                                    <w:lang w:eastAsia="en-GB"/>
                                  </w:rPr>
                                  <m:t xml:space="preserve">Value added of marine capture Fisheries proxy (%)=GDP from Fisheries and Aquaculture </m:t>
                                </m:r>
                                <m:r>
                                  <m:rPr>
                                    <m:sty m:val="p"/>
                                  </m:rPr>
                                  <w:rPr>
                                    <w:rFonts w:ascii="Cambria Math" w:eastAsia="Times New Roman" w:hAnsi="Cambria Math" w:cstheme="minorHAnsi" w:hint="eastAsia"/>
                                    <w:sz w:val="16"/>
                                    <w:szCs w:val="16"/>
                                    <w:lang w:eastAsia="en-GB"/>
                                  </w:rPr>
                                  <m:t>×</m:t>
                                </m:r>
                                <m:f>
                                  <m:fPr>
                                    <m:ctrlPr>
                                      <w:rPr>
                                        <w:rFonts w:ascii="Cambria Math" w:eastAsia="Times New Roman" w:hAnsi="Cambria Math" w:cstheme="minorHAnsi"/>
                                        <w:sz w:val="16"/>
                                        <w:szCs w:val="16"/>
                                        <w:lang w:eastAsia="en-GB"/>
                                      </w:rPr>
                                    </m:ctrlPr>
                                  </m:fPr>
                                  <m:num>
                                    <m:r>
                                      <m:rPr>
                                        <m:sty m:val="p"/>
                                      </m:rPr>
                                      <w:rPr>
                                        <w:rFonts w:ascii="Cambria Math" w:eastAsia="Times New Roman" w:hAnsi="Cambria Math" w:cstheme="minorHAnsi"/>
                                        <w:sz w:val="16"/>
                                        <w:szCs w:val="16"/>
                                        <w:lang w:eastAsia="en-GB"/>
                                      </w:rPr>
                                      <m:t>Quantity of Marine capture Fisheries</m:t>
                                    </m:r>
                                  </m:num>
                                  <m:den>
                                    <m:r>
                                      <m:rPr>
                                        <m:sty m:val="p"/>
                                      </m:rPr>
                                      <w:rPr>
                                        <w:rFonts w:ascii="Cambria Math" w:eastAsia="Times New Roman" w:hAnsi="Cambria Math" w:cstheme="minorHAnsi"/>
                                        <w:sz w:val="16"/>
                                        <w:szCs w:val="16"/>
                                        <w:lang w:eastAsia="en-GB"/>
                                      </w:rPr>
                                      <m:t>Total Quantity of Fish</m:t>
                                    </m:r>
                                  </m:den>
                                </m:f>
                                <m:r>
                                  <m:rPr>
                                    <m:sty m:val="p"/>
                                  </m:rPr>
                                  <w:rPr>
                                    <w:rFonts w:ascii="Cambria Math" w:hAnsi="Cambria Math"/>
                                    <w:sz w:val="16"/>
                                    <w:szCs w:val="16"/>
                                    <w:lang w:val="it-IT" w:eastAsia="en-GB"/>
                                  </w:rPr>
                                  <w:br/>
                                </m:r>
                              </m:oMath>
                              <m:oMath>
                                <m:sSub>
                                  <m:sSubPr>
                                    <m:ctrlPr>
                                      <w:rPr>
                                        <w:rFonts w:ascii="Cambria Math" w:hAnsi="Cambria Math"/>
                                        <w:sz w:val="16"/>
                                        <w:szCs w:val="16"/>
                                        <w:lang w:val="it-IT" w:eastAsia="en-GB"/>
                                      </w:rPr>
                                    </m:ctrlPr>
                                  </m:sSubPr>
                                  <m:e>
                                    <m:r>
                                      <m:rPr>
                                        <m:sty m:val="p"/>
                                      </m:rPr>
                                      <w:rPr>
                                        <w:rFonts w:ascii="Cambria Math" w:hAnsi="Cambria Math"/>
                                        <w:sz w:val="16"/>
                                        <w:szCs w:val="16"/>
                                        <w:lang w:val="it-IT" w:eastAsia="en-GB"/>
                                      </w:rPr>
                                      <m:t>VA</m:t>
                                    </m:r>
                                  </m:e>
                                  <m:sub>
                                    <m:r>
                                      <m:rPr>
                                        <m:sty m:val="p"/>
                                      </m:rPr>
                                      <w:rPr>
                                        <w:rFonts w:ascii="Cambria Math" w:hAnsi="Cambria Math"/>
                                        <w:sz w:val="16"/>
                                        <w:szCs w:val="16"/>
                                        <w:lang w:val="it-IT" w:eastAsia="en-GB"/>
                                      </w:rPr>
                                      <m:t>F</m:t>
                                    </m:r>
                                  </m:sub>
                                </m:sSub>
                                <m:r>
                                  <m:rPr>
                                    <m:sty m:val="p"/>
                                  </m:rPr>
                                  <w:rPr>
                                    <w:rFonts w:ascii="Cambria Math" w:hAnsi="Cambria Math"/>
                                    <w:sz w:val="16"/>
                                    <w:szCs w:val="16"/>
                                    <w:lang w:val="it-IT" w:eastAsia="en-GB"/>
                                  </w:rPr>
                                  <m:t>=</m:t>
                                </m:r>
                                <m:sSub>
                                  <m:sSubPr>
                                    <m:ctrlPr>
                                      <w:rPr>
                                        <w:rFonts w:ascii="Cambria Math" w:hAnsi="Cambria Math"/>
                                        <w:sz w:val="16"/>
                                        <w:szCs w:val="16"/>
                                        <w:lang w:val="it-IT" w:eastAsia="en-GB"/>
                                      </w:rPr>
                                    </m:ctrlPr>
                                  </m:sSubPr>
                                  <m:e>
                                    <m:r>
                                      <m:rPr>
                                        <m:sty m:val="p"/>
                                      </m:rPr>
                                      <w:rPr>
                                        <w:rFonts w:ascii="Cambria Math" w:hAnsi="Cambria Math"/>
                                        <w:sz w:val="16"/>
                                        <w:szCs w:val="16"/>
                                        <w:lang w:val="it-IT" w:eastAsia="en-GB"/>
                                      </w:rPr>
                                      <m:t>GDP</m:t>
                                    </m:r>
                                  </m:e>
                                  <m:sub>
                                    <m:r>
                                      <m:rPr>
                                        <m:sty m:val="p"/>
                                      </m:rPr>
                                      <w:rPr>
                                        <w:rFonts w:ascii="Cambria Math" w:hAnsi="Cambria Math"/>
                                        <w:sz w:val="16"/>
                                        <w:szCs w:val="16"/>
                                        <w:lang w:val="it-IT" w:eastAsia="en-GB"/>
                                      </w:rPr>
                                      <m:t>FIA</m:t>
                                    </m:r>
                                  </m:sub>
                                </m:sSub>
                                <m:r>
                                  <w:rPr>
                                    <w:rFonts w:ascii="Cambria Math" w:hAnsi="Cambria Math"/>
                                    <w:sz w:val="16"/>
                                    <w:szCs w:val="16"/>
                                    <w:lang w:val="it-IT" w:eastAsia="en-GB"/>
                                  </w:rPr>
                                  <m:t>×</m:t>
                                </m:r>
                                <m:f>
                                  <m:fPr>
                                    <m:ctrlPr>
                                      <w:rPr>
                                        <w:rFonts w:ascii="Cambria Math" w:hAnsi="Cambria Math"/>
                                        <w:sz w:val="16"/>
                                        <w:szCs w:val="16"/>
                                        <w:lang w:eastAsia="en-GB"/>
                                      </w:rPr>
                                    </m:ctrlPr>
                                  </m:fPr>
                                  <m:num>
                                    <m:sSub>
                                      <m:sSubPr>
                                        <m:ctrlPr>
                                          <w:rPr>
                                            <w:rFonts w:ascii="Cambria Math" w:hAnsi="Cambria Math"/>
                                            <w:sz w:val="16"/>
                                            <w:szCs w:val="16"/>
                                            <w:lang w:val="it-IT" w:eastAsia="en-GB"/>
                                          </w:rPr>
                                        </m:ctrlPr>
                                      </m:sSubPr>
                                      <m:e>
                                        <m:r>
                                          <m:rPr>
                                            <m:sty m:val="p"/>
                                          </m:rPr>
                                          <w:rPr>
                                            <w:rFonts w:ascii="Cambria Math" w:hAnsi="Cambria Math"/>
                                            <w:sz w:val="16"/>
                                            <w:szCs w:val="16"/>
                                            <w:lang w:val="it-IT" w:eastAsia="en-GB"/>
                                          </w:rPr>
                                          <m:t>Q</m:t>
                                        </m:r>
                                      </m:e>
                                      <m:sub>
                                        <m:r>
                                          <m:rPr>
                                            <m:sty m:val="p"/>
                                          </m:rPr>
                                          <w:rPr>
                                            <w:rFonts w:ascii="Cambria Math" w:hAnsi="Cambria Math"/>
                                            <w:sz w:val="16"/>
                                            <w:szCs w:val="16"/>
                                            <w:lang w:val="it-IT" w:eastAsia="en-GB"/>
                                          </w:rPr>
                                          <m:t>M</m:t>
                                        </m:r>
                                      </m:sub>
                                    </m:sSub>
                                  </m:num>
                                  <m:den>
                                    <m:sSub>
                                      <m:sSubPr>
                                        <m:ctrlPr>
                                          <w:rPr>
                                            <w:rFonts w:ascii="Cambria Math" w:hAnsi="Cambria Math"/>
                                            <w:sz w:val="16"/>
                                            <w:szCs w:val="16"/>
                                            <w:lang w:eastAsia="en-GB"/>
                                          </w:rPr>
                                        </m:ctrlPr>
                                      </m:sSubPr>
                                      <m:e>
                                        <m:r>
                                          <m:rPr>
                                            <m:sty m:val="p"/>
                                          </m:rPr>
                                          <w:rPr>
                                            <w:rFonts w:ascii="Cambria Math" w:hAnsi="Cambria Math"/>
                                            <w:sz w:val="16"/>
                                            <w:szCs w:val="16"/>
                                            <w:lang w:eastAsia="en-GB"/>
                                          </w:rPr>
                                          <m:t>Q</m:t>
                                        </m:r>
                                      </m:e>
                                      <m:sub>
                                        <m:r>
                                          <m:rPr>
                                            <m:sty m:val="p"/>
                                          </m:rPr>
                                          <w:rPr>
                                            <w:rFonts w:ascii="Cambria Math" w:hAnsi="Cambria Math"/>
                                            <w:sz w:val="16"/>
                                            <w:szCs w:val="16"/>
                                            <w:lang w:eastAsia="en-GB"/>
                                          </w:rPr>
                                          <m:t>T</m:t>
                                        </m:r>
                                      </m:sub>
                                    </m:sSub>
                                  </m:den>
                                </m:f>
                              </m:oMath>
                            </m:oMathPara>
                          </w:p>
                          <w:p w14:paraId="05347966" w14:textId="77777777" w:rsidR="00D20077" w:rsidRPr="00086E79" w:rsidRDefault="00D20077" w:rsidP="007C1364">
                            <w:pPr>
                              <w:jc w:val="center"/>
                            </w:pPr>
                          </w:p>
                        </w:txbxContent>
                      </v:textbox>
                      <w10:wrap type="topAndBottom" anchorx="margin"/>
                    </v:shape>
                  </w:pict>
                </mc:Fallback>
              </mc:AlternateContent>
            </w:r>
            <w:r w:rsidRPr="007C1364">
              <w:rPr>
                <w:lang w:val="en-GB"/>
              </w:rPr>
              <w:t>The sustainability multiplier will be calculated based on the average sustainability published periodically for each FAO major marine fishing area.</w:t>
            </w:r>
          </w:p>
          <w:p w14:paraId="74A8BCEB" w14:textId="77777777" w:rsidR="001F570F" w:rsidRDefault="001F570F" w:rsidP="001F570F">
            <w:pPr>
              <w:pStyle w:val="NoSpacing"/>
              <w:rPr>
                <w:lang w:val="en-GB"/>
              </w:rPr>
            </w:pPr>
            <w:r w:rsidRPr="007C1364">
              <w:rPr>
                <w:lang w:val="en-GB"/>
              </w:rPr>
              <w:t xml:space="preserve">For each country, the sustainability multiplier will be the average sustainability weighted by the proportion of the quantity of marine capture for each respective fishing area in which the country performs fishing activities. When a country fishes in </w:t>
            </w:r>
          </w:p>
          <w:p w14:paraId="08647724" w14:textId="77777777" w:rsidR="001F570F" w:rsidRDefault="001F570F" w:rsidP="001F570F">
            <w:pPr>
              <w:pStyle w:val="NoSpacing"/>
              <w:rPr>
                <w:lang w:val="en-GB"/>
              </w:rPr>
            </w:pPr>
          </w:p>
          <w:p w14:paraId="113B459F" w14:textId="77777777" w:rsidR="001F570F" w:rsidRDefault="001F570F" w:rsidP="001F570F">
            <w:pPr>
              <w:pStyle w:val="NoSpacing"/>
              <w:rPr>
                <w:lang w:val="en-GB"/>
              </w:rPr>
            </w:pPr>
            <w:r w:rsidRPr="007C1364">
              <w:rPr>
                <w:bCs/>
                <w:noProof/>
                <w:lang w:bidi="bn-BD"/>
              </w:rPr>
              <w:lastRenderedPageBreak/>
              <mc:AlternateContent>
                <mc:Choice Requires="wps">
                  <w:drawing>
                    <wp:anchor distT="45720" distB="45720" distL="114300" distR="114300" simplePos="0" relativeHeight="251615744" behindDoc="0" locked="0" layoutInCell="1" allowOverlap="1" wp14:anchorId="07EBE5E0" wp14:editId="0FD11F2B">
                      <wp:simplePos x="0" y="0"/>
                      <wp:positionH relativeFrom="margin">
                        <wp:posOffset>-8255</wp:posOffset>
                      </wp:positionH>
                      <wp:positionV relativeFrom="paragraph">
                        <wp:posOffset>257175</wp:posOffset>
                      </wp:positionV>
                      <wp:extent cx="3295650" cy="971550"/>
                      <wp:effectExtent l="0" t="0" r="19050" b="19050"/>
                      <wp:wrapTopAndBottom/>
                      <wp:docPr id="12782" name="Text Box 1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71550"/>
                              </a:xfrm>
                              <a:prstGeom prst="rect">
                                <a:avLst/>
                              </a:prstGeom>
                              <a:solidFill>
                                <a:srgbClr val="FFFFFF"/>
                              </a:solidFill>
                              <a:ln w="9525">
                                <a:solidFill>
                                  <a:srgbClr val="000000"/>
                                </a:solidFill>
                                <a:miter lim="800000"/>
                                <a:headEnd/>
                                <a:tailEnd/>
                              </a:ln>
                            </wps:spPr>
                            <wps:txbx>
                              <w:txbxContent>
                                <w:p w14:paraId="388BE570" w14:textId="77777777" w:rsidR="00D20077" w:rsidRPr="00A80224" w:rsidRDefault="00D20077" w:rsidP="007C1364">
                                  <w:pPr>
                                    <w:shd w:val="clear" w:color="auto" w:fill="FFFFFF"/>
                                    <w:tabs>
                                      <w:tab w:val="left" w:pos="630"/>
                                    </w:tabs>
                                    <w:spacing w:line="360" w:lineRule="auto"/>
                                    <w:ind w:right="-630" w:firstLine="5493"/>
                                    <w:jc w:val="center"/>
                                    <w:rPr>
                                      <w:szCs w:val="16"/>
                                      <w:lang w:eastAsia="en-GB"/>
                                    </w:rPr>
                                  </w:pPr>
                                  <m:oMathPara>
                                    <m:oMathParaPr>
                                      <m:jc m:val="center"/>
                                    </m:oMathParaPr>
                                    <m:oMath>
                                      <m:r>
                                        <m:rPr>
                                          <m:sty m:val="p"/>
                                        </m:rPr>
                                        <w:rPr>
                                          <w:rFonts w:ascii="Cambria Math" w:eastAsia="Times New Roman" w:hAnsi="Cambria Math" w:cstheme="minorHAnsi"/>
                                          <w:szCs w:val="16"/>
                                          <w:lang w:eastAsia="en-GB"/>
                                        </w:rPr>
                                        <m:t xml:space="preserve">Sustainability multiplier=Sum of </m:t>
                                      </m:r>
                                      <m:d>
                                        <m:dPr>
                                          <m:ctrlPr>
                                            <w:rPr>
                                              <w:rFonts w:ascii="Cambria Math" w:eastAsia="Times New Roman" w:hAnsi="Cambria Math" w:cstheme="minorHAnsi"/>
                                              <w:szCs w:val="16"/>
                                              <w:lang w:eastAsia="en-GB"/>
                                            </w:rPr>
                                          </m:ctrlPr>
                                        </m:dPr>
                                        <m:e>
                                          <m:r>
                                            <m:rPr>
                                              <m:sty m:val="p"/>
                                            </m:rPr>
                                            <w:rPr>
                                              <w:rFonts w:ascii="Cambria Math" w:eastAsia="Times New Roman" w:hAnsi="Cambria Math" w:cstheme="minorHAnsi"/>
                                              <w:szCs w:val="16"/>
                                              <w:lang w:eastAsia="en-GB"/>
                                            </w:rPr>
                                            <m:t>Sustainability for Each region×</m:t>
                                          </m:r>
                                          <m:f>
                                            <m:fPr>
                                              <m:ctrlPr>
                                                <w:rPr>
                                                  <w:rFonts w:ascii="Cambria Math" w:eastAsia="Times New Roman" w:hAnsi="Cambria Math" w:cstheme="minorHAnsi"/>
                                                  <w:szCs w:val="16"/>
                                                  <w:lang w:eastAsia="en-GB"/>
                                                </w:rPr>
                                              </m:ctrlPr>
                                            </m:fPr>
                                            <m:num>
                                              <m:r>
                                                <m:rPr>
                                                  <m:sty m:val="p"/>
                                                </m:rPr>
                                                <w:rPr>
                                                  <w:rFonts w:ascii="Cambria Math" w:eastAsia="Times New Roman" w:hAnsi="Cambria Math" w:cstheme="minorHAnsi"/>
                                                  <w:szCs w:val="16"/>
                                                  <w:lang w:eastAsia="en-GB"/>
                                                </w:rPr>
                                                <m:t>Quantity fished from Each marine region</m:t>
                                              </m:r>
                                            </m:num>
                                            <m:den>
                                              <m:r>
                                                <m:rPr>
                                                  <m:sty m:val="p"/>
                                                </m:rPr>
                                                <w:rPr>
                                                  <w:rFonts w:ascii="Cambria Math" w:eastAsia="Times New Roman" w:hAnsi="Cambria Math" w:cstheme="minorHAnsi"/>
                                                  <w:szCs w:val="16"/>
                                                  <w:lang w:eastAsia="en-GB"/>
                                                </w:rPr>
                                                <m:t>Total Quantity fished from All marine regions</m:t>
                                              </m:r>
                                            </m:den>
                                          </m:f>
                                        </m:e>
                                      </m:d>
                                    </m:oMath>
                                  </m:oMathPara>
                                </w:p>
                                <w:p w14:paraId="69EDCE21" w14:textId="77777777" w:rsidR="00D20077" w:rsidRPr="00FA13A9" w:rsidRDefault="00D20077" w:rsidP="007C1364">
                                  <w:pPr>
                                    <w:shd w:val="clear" w:color="auto" w:fill="FFFFFF"/>
                                    <w:tabs>
                                      <w:tab w:val="left" w:pos="630"/>
                                    </w:tabs>
                                    <w:spacing w:line="360" w:lineRule="auto"/>
                                    <w:ind w:left="-90" w:right="45"/>
                                    <w:jc w:val="center"/>
                                    <w:rPr>
                                      <w:rFonts w:eastAsia="Times New Roman" w:cstheme="minorHAnsi"/>
                                      <w:sz w:val="16"/>
                                      <w:szCs w:val="16"/>
                                      <w:lang w:eastAsia="en-GB"/>
                                    </w:rPr>
                                  </w:pPr>
                                  <m:oMathPara>
                                    <m:oMathParaPr>
                                      <m:jc m:val="center"/>
                                    </m:oMathParaPr>
                                    <m:oMath>
                                      <m:r>
                                        <m:rPr>
                                          <m:sty m:val="p"/>
                                        </m:rPr>
                                        <w:rPr>
                                          <w:rFonts w:ascii="Cambria Math" w:hAnsi="Cambria Math"/>
                                          <w:szCs w:val="16"/>
                                          <w:lang w:eastAsia="en-GB"/>
                                        </w:rPr>
                                        <m:t>Sm=</m:t>
                                      </m:r>
                                      <m:nary>
                                        <m:naryPr>
                                          <m:chr m:val="∑"/>
                                          <m:limLoc m:val="undOvr"/>
                                          <m:ctrlPr>
                                            <w:rPr>
                                              <w:rFonts w:ascii="Cambria Math" w:hAnsi="Cambria Math"/>
                                              <w:szCs w:val="16"/>
                                              <w:lang w:eastAsia="en-GB"/>
                                            </w:rPr>
                                          </m:ctrlPr>
                                        </m:naryPr>
                                        <m:sub>
                                          <m:r>
                                            <m:rPr>
                                              <m:sty m:val="p"/>
                                            </m:rPr>
                                            <w:rPr>
                                              <w:rFonts w:ascii="Cambria Math" w:hAnsi="Cambria Math"/>
                                              <w:szCs w:val="16"/>
                                              <w:lang w:eastAsia="en-GB"/>
                                            </w:rPr>
                                            <m:t>i=1</m:t>
                                          </m:r>
                                        </m:sub>
                                        <m:sup>
                                          <m:r>
                                            <m:rPr>
                                              <m:sty m:val="p"/>
                                            </m:rPr>
                                            <w:rPr>
                                              <w:rFonts w:ascii="Cambria Math" w:hAnsi="Cambria Math"/>
                                              <w:szCs w:val="16"/>
                                              <w:lang w:eastAsia="en-GB"/>
                                            </w:rPr>
                                            <m:t>n</m:t>
                                          </m:r>
                                        </m:sup>
                                        <m:e>
                                          <m:sSub>
                                            <m:sSubPr>
                                              <m:ctrlPr>
                                                <w:rPr>
                                                  <w:rFonts w:ascii="Cambria Math" w:hAnsi="Cambria Math"/>
                                                  <w:szCs w:val="16"/>
                                                  <w:lang w:eastAsia="en-GB"/>
                                                </w:rPr>
                                              </m:ctrlPr>
                                            </m:sSubPr>
                                            <m:e>
                                              <m:r>
                                                <m:rPr>
                                                  <m:sty m:val="p"/>
                                                </m:rPr>
                                                <w:rPr>
                                                  <w:rFonts w:ascii="Cambria Math" w:hAnsi="Cambria Math"/>
                                                  <w:szCs w:val="16"/>
                                                  <w:lang w:eastAsia="en-GB"/>
                                                </w:rPr>
                                                <m:t>S</m:t>
                                              </m:r>
                                            </m:e>
                                            <m:sub>
                                              <m:r>
                                                <m:rPr>
                                                  <m:sty m:val="p"/>
                                                </m:rPr>
                                                <w:rPr>
                                                  <w:rFonts w:ascii="Cambria Math" w:hAnsi="Cambria Math"/>
                                                  <w:szCs w:val="16"/>
                                                  <w:lang w:eastAsia="en-GB"/>
                                                </w:rPr>
                                                <m:t>i</m:t>
                                              </m:r>
                                            </m:sub>
                                          </m:sSub>
                                          <m:r>
                                            <w:rPr>
                                              <w:rFonts w:ascii="Cambria Math" w:hAnsi="Cambria Math"/>
                                              <w:szCs w:val="16"/>
                                              <w:lang w:eastAsia="en-GB"/>
                                            </w:rPr>
                                            <m:t>×</m:t>
                                          </m:r>
                                          <m:f>
                                            <m:fPr>
                                              <m:ctrlPr>
                                                <w:rPr>
                                                  <w:rFonts w:ascii="Cambria Math" w:hAnsi="Cambria Math"/>
                                                  <w:szCs w:val="16"/>
                                                  <w:lang w:eastAsia="en-GB"/>
                                                </w:rPr>
                                              </m:ctrlPr>
                                            </m:fPr>
                                            <m:num>
                                              <m:sSub>
                                                <m:sSubPr>
                                                  <m:ctrlPr>
                                                    <w:rPr>
                                                      <w:rFonts w:ascii="Cambria Math" w:hAnsi="Cambria Math"/>
                                                      <w:szCs w:val="16"/>
                                                      <w:lang w:eastAsia="en-GB"/>
                                                    </w:rPr>
                                                  </m:ctrlPr>
                                                </m:sSubPr>
                                                <m:e>
                                                  <m:r>
                                                    <m:rPr>
                                                      <m:sty m:val="p"/>
                                                    </m:rPr>
                                                    <w:rPr>
                                                      <w:rFonts w:ascii="Cambria Math" w:hAnsi="Cambria Math"/>
                                                      <w:szCs w:val="16"/>
                                                      <w:lang w:eastAsia="en-GB"/>
                                                    </w:rPr>
                                                    <m:t>Q</m:t>
                                                  </m:r>
                                                </m:e>
                                                <m:sub>
                                                  <m:r>
                                                    <m:rPr>
                                                      <m:sty m:val="p"/>
                                                    </m:rPr>
                                                    <w:rPr>
                                                      <w:rFonts w:ascii="Cambria Math" w:hAnsi="Cambria Math"/>
                                                      <w:szCs w:val="16"/>
                                                      <w:lang w:eastAsia="en-GB"/>
                                                    </w:rPr>
                                                    <m:t>i</m:t>
                                                  </m:r>
                                                </m:sub>
                                              </m:sSub>
                                            </m:num>
                                            <m:den>
                                              <m:sSub>
                                                <m:sSubPr>
                                                  <m:ctrlPr>
                                                    <w:rPr>
                                                      <w:rFonts w:ascii="Cambria Math" w:hAnsi="Cambria Math"/>
                                                      <w:szCs w:val="16"/>
                                                      <w:lang w:eastAsia="en-GB"/>
                                                    </w:rPr>
                                                  </m:ctrlPr>
                                                </m:sSubPr>
                                                <m:e>
                                                  <m:r>
                                                    <m:rPr>
                                                      <m:sty m:val="p"/>
                                                    </m:rPr>
                                                    <w:rPr>
                                                      <w:rFonts w:ascii="Cambria Math" w:hAnsi="Cambria Math"/>
                                                      <w:szCs w:val="16"/>
                                                      <w:lang w:eastAsia="en-GB"/>
                                                    </w:rPr>
                                                    <m:t>Q</m:t>
                                                  </m:r>
                                                </m:e>
                                                <m:sub>
                                                  <m:r>
                                                    <m:rPr>
                                                      <m:sty m:val="p"/>
                                                    </m:rPr>
                                                    <w:rPr>
                                                      <w:rFonts w:ascii="Cambria Math" w:hAnsi="Cambria Math"/>
                                                      <w:szCs w:val="16"/>
                                                      <w:lang w:eastAsia="en-GB"/>
                                                    </w:rPr>
                                                    <m:t>N</m:t>
                                                  </m:r>
                                                </m:sub>
                                              </m:sSub>
                                            </m:den>
                                          </m:f>
                                        </m:e>
                                      </m:nary>
                                    </m:oMath>
                                  </m:oMathPara>
                                </w:p>
                                <w:p w14:paraId="6309BD06" w14:textId="77777777" w:rsidR="00D20077" w:rsidRDefault="00D20077" w:rsidP="007C1364">
                                  <w:pPr>
                                    <w:jc w:val="center"/>
                                  </w:pPr>
                                </w:p>
                              </w:txbxContent>
                            </wps:txbx>
                            <wps:bodyPr rot="0" vert="horz" wrap="square" lIns="91440" tIns="45720" rIns="45720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EBE5E0" id="Text Box 12782" o:spid="_x0000_s1032" type="#_x0000_t202" style="position:absolute;margin-left:-.65pt;margin-top:20.25pt;width:259.5pt;height:76.5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">
                      <v:textbox inset=",,36pt">
                        <w:txbxContent>
                          <w:p w14:paraId="388BE570" w14:textId="77777777" w:rsidR="00D20077" w:rsidRPr="00A80224" w:rsidRDefault="00D20077" w:rsidP="007C1364">
                            <w:pPr>
                              <w:shd w:val="clear" w:color="auto" w:fill="FFFFFF"/>
                              <w:tabs>
                                <w:tab w:val="left" w:pos="630"/>
                              </w:tabs>
                              <w:spacing w:line="360" w:lineRule="auto"/>
                              <w:ind w:right="-630" w:firstLine="5493"/>
                              <w:jc w:val="center"/>
                              <w:rPr>
                                <w:szCs w:val="16"/>
                                <w:lang w:eastAsia="en-GB"/>
                              </w:rPr>
                            </w:pPr>
                            <m:oMathPara>
                              <m:oMathParaPr>
                                <m:jc m:val="center"/>
                              </m:oMathParaPr>
                              <m:oMath>
                                <m:r>
                                  <m:rPr>
                                    <m:sty m:val="p"/>
                                  </m:rPr>
                                  <w:rPr>
                                    <w:rFonts w:ascii="Cambria Math" w:eastAsia="Times New Roman" w:hAnsi="Cambria Math" w:cstheme="minorHAnsi"/>
                                    <w:szCs w:val="16"/>
                                    <w:lang w:eastAsia="en-GB"/>
                                  </w:rPr>
                                  <m:t xml:space="preserve">Sustainability multiplier=Sum of </m:t>
                                </m:r>
                                <m:d>
                                  <m:dPr>
                                    <m:ctrlPr>
                                      <w:rPr>
                                        <w:rFonts w:ascii="Cambria Math" w:eastAsia="Times New Roman" w:hAnsi="Cambria Math" w:cstheme="minorHAnsi"/>
                                        <w:szCs w:val="16"/>
                                        <w:lang w:eastAsia="en-GB"/>
                                      </w:rPr>
                                    </m:ctrlPr>
                                  </m:dPr>
                                  <m:e>
                                    <m:r>
                                      <m:rPr>
                                        <m:sty m:val="p"/>
                                      </m:rPr>
                                      <w:rPr>
                                        <w:rFonts w:ascii="Cambria Math" w:eastAsia="Times New Roman" w:hAnsi="Cambria Math" w:cstheme="minorHAnsi"/>
                                        <w:szCs w:val="16"/>
                                        <w:lang w:eastAsia="en-GB"/>
                                      </w:rPr>
                                      <m:t>Sustainability for Each region×</m:t>
                                    </m:r>
                                    <m:f>
                                      <m:fPr>
                                        <m:ctrlPr>
                                          <w:rPr>
                                            <w:rFonts w:ascii="Cambria Math" w:eastAsia="Times New Roman" w:hAnsi="Cambria Math" w:cstheme="minorHAnsi"/>
                                            <w:szCs w:val="16"/>
                                            <w:lang w:eastAsia="en-GB"/>
                                          </w:rPr>
                                        </m:ctrlPr>
                                      </m:fPr>
                                      <m:num>
                                        <m:r>
                                          <m:rPr>
                                            <m:sty m:val="p"/>
                                          </m:rPr>
                                          <w:rPr>
                                            <w:rFonts w:ascii="Cambria Math" w:eastAsia="Times New Roman" w:hAnsi="Cambria Math" w:cstheme="minorHAnsi"/>
                                            <w:szCs w:val="16"/>
                                            <w:lang w:eastAsia="en-GB"/>
                                          </w:rPr>
                                          <m:t>Quantity fished from Each marine region</m:t>
                                        </m:r>
                                      </m:num>
                                      <m:den>
                                        <m:r>
                                          <m:rPr>
                                            <m:sty m:val="p"/>
                                          </m:rPr>
                                          <w:rPr>
                                            <w:rFonts w:ascii="Cambria Math" w:eastAsia="Times New Roman" w:hAnsi="Cambria Math" w:cstheme="minorHAnsi"/>
                                            <w:szCs w:val="16"/>
                                            <w:lang w:eastAsia="en-GB"/>
                                          </w:rPr>
                                          <m:t>Total Quantity fished from All marine regions</m:t>
                                        </m:r>
                                      </m:den>
                                    </m:f>
                                  </m:e>
                                </m:d>
                              </m:oMath>
                            </m:oMathPara>
                          </w:p>
                          <w:p w14:paraId="69EDCE21" w14:textId="77777777" w:rsidR="00D20077" w:rsidRPr="00FA13A9" w:rsidRDefault="00D20077" w:rsidP="007C1364">
                            <w:pPr>
                              <w:shd w:val="clear" w:color="auto" w:fill="FFFFFF"/>
                              <w:tabs>
                                <w:tab w:val="left" w:pos="630"/>
                              </w:tabs>
                              <w:spacing w:line="360" w:lineRule="auto"/>
                              <w:ind w:left="-90" w:right="45"/>
                              <w:jc w:val="center"/>
                              <w:rPr>
                                <w:rFonts w:eastAsia="Times New Roman" w:cstheme="minorHAnsi"/>
                                <w:sz w:val="16"/>
                                <w:szCs w:val="16"/>
                                <w:lang w:eastAsia="en-GB"/>
                              </w:rPr>
                            </w:pPr>
                            <m:oMathPara>
                              <m:oMathParaPr>
                                <m:jc m:val="center"/>
                              </m:oMathParaPr>
                              <m:oMath>
                                <m:r>
                                  <m:rPr>
                                    <m:sty m:val="p"/>
                                  </m:rPr>
                                  <w:rPr>
                                    <w:rFonts w:ascii="Cambria Math" w:hAnsi="Cambria Math"/>
                                    <w:szCs w:val="16"/>
                                    <w:lang w:eastAsia="en-GB"/>
                                  </w:rPr>
                                  <m:t>Sm=</m:t>
                                </m:r>
                                <m:nary>
                                  <m:naryPr>
                                    <m:chr m:val="∑"/>
                                    <m:limLoc m:val="undOvr"/>
                                    <m:ctrlPr>
                                      <w:rPr>
                                        <w:rFonts w:ascii="Cambria Math" w:hAnsi="Cambria Math"/>
                                        <w:szCs w:val="16"/>
                                        <w:lang w:eastAsia="en-GB"/>
                                      </w:rPr>
                                    </m:ctrlPr>
                                  </m:naryPr>
                                  <m:sub>
                                    <m:r>
                                      <m:rPr>
                                        <m:sty m:val="p"/>
                                      </m:rPr>
                                      <w:rPr>
                                        <w:rFonts w:ascii="Cambria Math" w:hAnsi="Cambria Math"/>
                                        <w:szCs w:val="16"/>
                                        <w:lang w:eastAsia="en-GB"/>
                                      </w:rPr>
                                      <m:t>i=1</m:t>
                                    </m:r>
                                  </m:sub>
                                  <m:sup>
                                    <m:r>
                                      <m:rPr>
                                        <m:sty m:val="p"/>
                                      </m:rPr>
                                      <w:rPr>
                                        <w:rFonts w:ascii="Cambria Math" w:hAnsi="Cambria Math"/>
                                        <w:szCs w:val="16"/>
                                        <w:lang w:eastAsia="en-GB"/>
                                      </w:rPr>
                                      <m:t>n</m:t>
                                    </m:r>
                                  </m:sup>
                                  <m:e>
                                    <m:sSub>
                                      <m:sSubPr>
                                        <m:ctrlPr>
                                          <w:rPr>
                                            <w:rFonts w:ascii="Cambria Math" w:hAnsi="Cambria Math"/>
                                            <w:szCs w:val="16"/>
                                            <w:lang w:eastAsia="en-GB"/>
                                          </w:rPr>
                                        </m:ctrlPr>
                                      </m:sSubPr>
                                      <m:e>
                                        <m:r>
                                          <m:rPr>
                                            <m:sty m:val="p"/>
                                          </m:rPr>
                                          <w:rPr>
                                            <w:rFonts w:ascii="Cambria Math" w:hAnsi="Cambria Math"/>
                                            <w:szCs w:val="16"/>
                                            <w:lang w:eastAsia="en-GB"/>
                                          </w:rPr>
                                          <m:t>S</m:t>
                                        </m:r>
                                      </m:e>
                                      <m:sub>
                                        <m:r>
                                          <m:rPr>
                                            <m:sty m:val="p"/>
                                          </m:rPr>
                                          <w:rPr>
                                            <w:rFonts w:ascii="Cambria Math" w:hAnsi="Cambria Math"/>
                                            <w:szCs w:val="16"/>
                                            <w:lang w:eastAsia="en-GB"/>
                                          </w:rPr>
                                          <m:t>i</m:t>
                                        </m:r>
                                      </m:sub>
                                    </m:sSub>
                                    <m:r>
                                      <w:rPr>
                                        <w:rFonts w:ascii="Cambria Math" w:hAnsi="Cambria Math"/>
                                        <w:szCs w:val="16"/>
                                        <w:lang w:eastAsia="en-GB"/>
                                      </w:rPr>
                                      <m:t>×</m:t>
                                    </m:r>
                                    <m:f>
                                      <m:fPr>
                                        <m:ctrlPr>
                                          <w:rPr>
                                            <w:rFonts w:ascii="Cambria Math" w:hAnsi="Cambria Math"/>
                                            <w:szCs w:val="16"/>
                                            <w:lang w:eastAsia="en-GB"/>
                                          </w:rPr>
                                        </m:ctrlPr>
                                      </m:fPr>
                                      <m:num>
                                        <m:sSub>
                                          <m:sSubPr>
                                            <m:ctrlPr>
                                              <w:rPr>
                                                <w:rFonts w:ascii="Cambria Math" w:hAnsi="Cambria Math"/>
                                                <w:szCs w:val="16"/>
                                                <w:lang w:eastAsia="en-GB"/>
                                              </w:rPr>
                                            </m:ctrlPr>
                                          </m:sSubPr>
                                          <m:e>
                                            <m:r>
                                              <m:rPr>
                                                <m:sty m:val="p"/>
                                              </m:rPr>
                                              <w:rPr>
                                                <w:rFonts w:ascii="Cambria Math" w:hAnsi="Cambria Math"/>
                                                <w:szCs w:val="16"/>
                                                <w:lang w:eastAsia="en-GB"/>
                                              </w:rPr>
                                              <m:t>Q</m:t>
                                            </m:r>
                                          </m:e>
                                          <m:sub>
                                            <m:r>
                                              <m:rPr>
                                                <m:sty m:val="p"/>
                                              </m:rPr>
                                              <w:rPr>
                                                <w:rFonts w:ascii="Cambria Math" w:hAnsi="Cambria Math"/>
                                                <w:szCs w:val="16"/>
                                                <w:lang w:eastAsia="en-GB"/>
                                              </w:rPr>
                                              <m:t>i</m:t>
                                            </m:r>
                                          </m:sub>
                                        </m:sSub>
                                      </m:num>
                                      <m:den>
                                        <m:sSub>
                                          <m:sSubPr>
                                            <m:ctrlPr>
                                              <w:rPr>
                                                <w:rFonts w:ascii="Cambria Math" w:hAnsi="Cambria Math"/>
                                                <w:szCs w:val="16"/>
                                                <w:lang w:eastAsia="en-GB"/>
                                              </w:rPr>
                                            </m:ctrlPr>
                                          </m:sSubPr>
                                          <m:e>
                                            <m:r>
                                              <m:rPr>
                                                <m:sty m:val="p"/>
                                              </m:rPr>
                                              <w:rPr>
                                                <w:rFonts w:ascii="Cambria Math" w:hAnsi="Cambria Math"/>
                                                <w:szCs w:val="16"/>
                                                <w:lang w:eastAsia="en-GB"/>
                                              </w:rPr>
                                              <m:t>Q</m:t>
                                            </m:r>
                                          </m:e>
                                          <m:sub>
                                            <m:r>
                                              <m:rPr>
                                                <m:sty m:val="p"/>
                                              </m:rPr>
                                              <w:rPr>
                                                <w:rFonts w:ascii="Cambria Math" w:hAnsi="Cambria Math"/>
                                                <w:szCs w:val="16"/>
                                                <w:lang w:eastAsia="en-GB"/>
                                              </w:rPr>
                                              <m:t>N</m:t>
                                            </m:r>
                                          </m:sub>
                                        </m:sSub>
                                      </m:den>
                                    </m:f>
                                  </m:e>
                                </m:nary>
                              </m:oMath>
                            </m:oMathPara>
                          </w:p>
                          <w:p w14:paraId="6309BD06" w14:textId="77777777" w:rsidR="00D20077" w:rsidRDefault="00D20077" w:rsidP="007C1364">
                            <w:pPr>
                              <w:jc w:val="center"/>
                            </w:pPr>
                          </w:p>
                        </w:txbxContent>
                      </v:textbox>
                      <w10:wrap type="topAndBottom" anchorx="margin"/>
                    </v:shape>
                  </w:pict>
                </mc:Fallback>
              </mc:AlternateContent>
            </w:r>
          </w:p>
          <w:p w14:paraId="29EA9850" w14:textId="77777777" w:rsidR="001F570F" w:rsidRDefault="001F570F" w:rsidP="001F570F">
            <w:pPr>
              <w:pStyle w:val="NoSpacing"/>
              <w:rPr>
                <w:lang w:val="en-GB"/>
              </w:rPr>
            </w:pPr>
          </w:p>
          <w:p w14:paraId="27E20DB4" w14:textId="77777777" w:rsidR="001F570F" w:rsidRPr="007C1364" w:rsidRDefault="001F570F" w:rsidP="001F570F">
            <w:pPr>
              <w:pStyle w:val="NoSpacing"/>
              <w:rPr>
                <w:lang w:val="en-GB"/>
              </w:rPr>
            </w:pPr>
            <w:proofErr w:type="gramStart"/>
            <w:r w:rsidRPr="007C1364">
              <w:rPr>
                <w:lang w:val="en-GB"/>
              </w:rPr>
              <w:t>only</w:t>
            </w:r>
            <w:proofErr w:type="gramEnd"/>
            <w:r w:rsidRPr="007C1364">
              <w:rPr>
                <w:lang w:val="en-GB"/>
              </w:rPr>
              <w:t xml:space="preserve"> one FAO fishing area, its sustainability multiplier will be equal to the average sustainability of stocks in that area.</w:t>
            </w:r>
          </w:p>
          <w:p w14:paraId="263487A9" w14:textId="77777777" w:rsidR="001F570F" w:rsidRPr="007C1364" w:rsidRDefault="001F570F" w:rsidP="001F570F">
            <w:pPr>
              <w:pStyle w:val="NoSpacing"/>
              <w:rPr>
                <w:lang w:val="en-GB"/>
              </w:rPr>
            </w:pPr>
          </w:p>
          <w:p w14:paraId="48452CFE" w14:textId="1DD034F8" w:rsidR="001F570F" w:rsidRPr="007C1364" w:rsidRDefault="001F570F" w:rsidP="001F570F">
            <w:pPr>
              <w:pStyle w:val="NoSpacing"/>
              <w:numPr>
                <w:ilvl w:val="0"/>
                <w:numId w:val="71"/>
              </w:numPr>
              <w:rPr>
                <w:bCs/>
                <w:lang w:val="en-GB"/>
              </w:rPr>
            </w:pPr>
            <w:r w:rsidRPr="007C1364">
              <w:rPr>
                <w:bCs/>
                <w:lang w:val="en-GB"/>
              </w:rPr>
              <w:t>The value added of marine capture fisheries (b) will be adjusted by the sustainability multiplier (c) to get the sustainable marine capture fisheries as a percentage of GDP</w:t>
            </w:r>
          </w:p>
          <w:p w14:paraId="20DBFADF" w14:textId="578CDE57" w:rsidR="001F570F" w:rsidRPr="007C1364" w:rsidRDefault="00106BE7" w:rsidP="001F570F">
            <w:pPr>
              <w:pStyle w:val="NoSpacing"/>
              <w:rPr>
                <w:bCs/>
                <w:lang w:val="en-GB"/>
              </w:rPr>
            </w:pPr>
            <w:r w:rsidRPr="007C1364">
              <w:rPr>
                <w:noProof/>
                <w:lang w:bidi="bn-BD"/>
              </w:rPr>
              <mc:AlternateContent>
                <mc:Choice Requires="wps">
                  <w:drawing>
                    <wp:anchor distT="45720" distB="45720" distL="114300" distR="114300" simplePos="0" relativeHeight="251619840" behindDoc="0" locked="0" layoutInCell="1" allowOverlap="1" wp14:anchorId="16056ABB" wp14:editId="48489B84">
                      <wp:simplePos x="0" y="0"/>
                      <wp:positionH relativeFrom="margin">
                        <wp:posOffset>211042</wp:posOffset>
                      </wp:positionH>
                      <wp:positionV relativeFrom="paragraph">
                        <wp:posOffset>186690</wp:posOffset>
                      </wp:positionV>
                      <wp:extent cx="3343275" cy="847725"/>
                      <wp:effectExtent l="0" t="0" r="28575" b="28575"/>
                      <wp:wrapTopAndBottom/>
                      <wp:docPr id="12781" name="Text Box 1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47725"/>
                              </a:xfrm>
                              <a:prstGeom prst="rect">
                                <a:avLst/>
                              </a:prstGeom>
                              <a:solidFill>
                                <a:srgbClr val="FFFFFF"/>
                              </a:solidFill>
                              <a:ln w="9525">
                                <a:solidFill>
                                  <a:srgbClr val="000000"/>
                                </a:solidFill>
                                <a:miter lim="800000"/>
                                <a:headEnd/>
                                <a:tailEnd/>
                              </a:ln>
                            </wps:spPr>
                            <wps:txbx>
                              <w:txbxContent>
                                <w:p w14:paraId="73E246A3" w14:textId="77777777" w:rsidR="00D20077" w:rsidRPr="00A34502" w:rsidRDefault="00D20077" w:rsidP="007C1364">
                                  <w:pPr>
                                    <w:ind w:left="-90" w:right="-195" w:firstLine="810"/>
                                    <w:jc w:val="center"/>
                                    <w:rPr>
                                      <w:sz w:val="19"/>
                                      <w:szCs w:val="19"/>
                                      <w:lang w:eastAsia="en-GB"/>
                                    </w:rPr>
                                  </w:pPr>
                                  <m:oMathPara>
                                    <m:oMathParaPr>
                                      <m:jc m:val="center"/>
                                    </m:oMathParaPr>
                                    <m:oMath>
                                      <m:r>
                                        <m:rPr>
                                          <m:sty m:val="p"/>
                                        </m:rPr>
                                        <w:rPr>
                                          <w:rFonts w:ascii="Cambria Math" w:eastAsia="Times New Roman" w:hAnsi="Cambria Math" w:cstheme="minorHAnsi"/>
                                          <w:szCs w:val="19"/>
                                          <w:lang w:eastAsia="en-GB"/>
                                        </w:rPr>
                                        <m:t>Sustainable marine capture Fisheries as a % of GDP=Sustainability multiplier ×Value Added marine Fisheries</m:t>
                                      </m:r>
                                    </m:oMath>
                                  </m:oMathPara>
                                </w:p>
                                <w:p w14:paraId="4ABCBE58" w14:textId="77777777" w:rsidR="00D20077" w:rsidRPr="00D24ED5" w:rsidRDefault="004B4A24" w:rsidP="007C1364">
                                  <w:pPr>
                                    <w:ind w:left="-180" w:right="-225"/>
                                    <w:jc w:val="center"/>
                                  </w:pPr>
                                  <m:oMathPara>
                                    <m:oMathParaPr>
                                      <m:jc m:val="center"/>
                                    </m:oMathParaPr>
                                    <m:oMath>
                                      <m:sSub>
                                        <m:sSubPr>
                                          <m:ctrlPr>
                                            <w:rPr>
                                              <w:rFonts w:ascii="Cambria Math" w:hAnsi="Cambria Math"/>
                                              <w:lang w:eastAsia="en-GB"/>
                                            </w:rPr>
                                          </m:ctrlPr>
                                        </m:sSubPr>
                                        <m:e>
                                          <m:r>
                                            <m:rPr>
                                              <m:sty m:val="p"/>
                                            </m:rPr>
                                            <w:rPr>
                                              <w:rFonts w:ascii="Cambria Math" w:hAnsi="Cambria Math"/>
                                              <w:lang w:eastAsia="en-GB"/>
                                            </w:rPr>
                                            <m:t>SuGDP</m:t>
                                          </m:r>
                                        </m:e>
                                        <m:sub>
                                          <m:r>
                                            <m:rPr>
                                              <m:sty m:val="p"/>
                                            </m:rPr>
                                            <w:rPr>
                                              <w:rFonts w:ascii="Cambria Math" w:hAnsi="Cambria Math"/>
                                              <w:lang w:eastAsia="en-GB"/>
                                            </w:rPr>
                                            <m:t>F</m:t>
                                          </m:r>
                                        </m:sub>
                                      </m:sSub>
                                      <m:r>
                                        <m:rPr>
                                          <m:sty m:val="p"/>
                                        </m:rPr>
                                        <w:rPr>
                                          <w:rFonts w:ascii="Cambria Math" w:hAnsi="Cambria Math"/>
                                          <w:lang w:eastAsia="en-GB"/>
                                        </w:rPr>
                                        <m:t>=Sm×</m:t>
                                      </m:r>
                                      <m:sSub>
                                        <m:sSubPr>
                                          <m:ctrlPr>
                                            <w:rPr>
                                              <w:rFonts w:ascii="Cambria Math" w:hAnsi="Cambria Math"/>
                                              <w:lang w:eastAsia="en-GB"/>
                                            </w:rPr>
                                          </m:ctrlPr>
                                        </m:sSubPr>
                                        <m:e>
                                          <m:r>
                                            <m:rPr>
                                              <m:sty m:val="p"/>
                                            </m:rPr>
                                            <w:rPr>
                                              <w:rFonts w:ascii="Cambria Math" w:hAnsi="Cambria Math"/>
                                              <w:lang w:eastAsia="en-GB"/>
                                            </w:rPr>
                                            <m:t>VA</m:t>
                                          </m:r>
                                        </m:e>
                                        <m:sub>
                                          <m:r>
                                            <m:rPr>
                                              <m:sty m:val="p"/>
                                            </m:rPr>
                                            <w:rPr>
                                              <w:rFonts w:ascii="Cambria Math" w:hAnsi="Cambria Math"/>
                                              <w:lang w:eastAsia="en-GB"/>
                                            </w:rPr>
                                            <m:t>F</m:t>
                                          </m:r>
                                        </m:sub>
                                      </m:sSub>
                                    </m:oMath>
                                  </m:oMathPara>
                                </w:p>
                              </w:txbxContent>
                            </wps:txbx>
                            <wps:bodyPr rot="0" vert="horz" wrap="square" lIns="0" tIns="91440" rIns="9144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056ABB" id="Text Box 12781" o:spid="_x0000_s1033" type="#_x0000_t202" style="position:absolute;margin-left:16.6pt;margin-top:14.7pt;width:263.25pt;height:66.7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">
                      <v:textbox inset="0,7.2pt,,0">
                        <w:txbxContent>
                          <w:p w14:paraId="73E246A3" w14:textId="77777777" w:rsidR="00D20077" w:rsidRPr="00A34502" w:rsidRDefault="00D20077" w:rsidP="007C1364">
                            <w:pPr>
                              <w:ind w:left="-90" w:right="-195" w:firstLine="810"/>
                              <w:jc w:val="center"/>
                              <w:rPr>
                                <w:sz w:val="19"/>
                                <w:szCs w:val="19"/>
                                <w:lang w:eastAsia="en-GB"/>
                              </w:rPr>
                            </w:pPr>
                            <m:oMathPara>
                              <m:oMathParaPr>
                                <m:jc m:val="center"/>
                              </m:oMathParaPr>
                              <m:oMath>
                                <m:r>
                                  <m:rPr>
                                    <m:sty m:val="p"/>
                                  </m:rPr>
                                  <w:rPr>
                                    <w:rFonts w:ascii="Cambria Math" w:eastAsia="Times New Roman" w:hAnsi="Cambria Math" w:cstheme="minorHAnsi"/>
                                    <w:szCs w:val="19"/>
                                    <w:lang w:eastAsia="en-GB"/>
                                  </w:rPr>
                                  <m:t>Sustainable marine capture Fisheries as a % of GDP=Sustainability multiplier ×Value Added marine Fisheries</m:t>
                                </m:r>
                              </m:oMath>
                            </m:oMathPara>
                          </w:p>
                          <w:p w14:paraId="4ABCBE58" w14:textId="77777777" w:rsidR="00D20077" w:rsidRPr="00D24ED5" w:rsidRDefault="00D20077" w:rsidP="007C1364">
                            <w:pPr>
                              <w:ind w:left="-180" w:right="-225"/>
                              <w:jc w:val="center"/>
                            </w:pPr>
                            <m:oMathPara>
                              <m:oMathParaPr>
                                <m:jc m:val="center"/>
                              </m:oMathParaPr>
                              <m:oMath>
                                <m:sSub>
                                  <m:sSubPr>
                                    <m:ctrlPr>
                                      <w:rPr>
                                        <w:rFonts w:ascii="Cambria Math" w:hAnsi="Cambria Math"/>
                                        <w:lang w:eastAsia="en-GB"/>
                                      </w:rPr>
                                    </m:ctrlPr>
                                  </m:sSubPr>
                                  <m:e>
                                    <m:r>
                                      <m:rPr>
                                        <m:sty m:val="p"/>
                                      </m:rPr>
                                      <w:rPr>
                                        <w:rFonts w:ascii="Cambria Math" w:hAnsi="Cambria Math"/>
                                        <w:lang w:eastAsia="en-GB"/>
                                      </w:rPr>
                                      <m:t>SuGDP</m:t>
                                    </m:r>
                                  </m:e>
                                  <m:sub>
                                    <m:r>
                                      <m:rPr>
                                        <m:sty m:val="p"/>
                                      </m:rPr>
                                      <w:rPr>
                                        <w:rFonts w:ascii="Cambria Math" w:hAnsi="Cambria Math"/>
                                        <w:lang w:eastAsia="en-GB"/>
                                      </w:rPr>
                                      <m:t>F</m:t>
                                    </m:r>
                                  </m:sub>
                                </m:sSub>
                                <m:r>
                                  <m:rPr>
                                    <m:sty m:val="p"/>
                                  </m:rPr>
                                  <w:rPr>
                                    <w:rFonts w:ascii="Cambria Math" w:hAnsi="Cambria Math"/>
                                    <w:lang w:eastAsia="en-GB"/>
                                  </w:rPr>
                                  <m:t>=Sm×</m:t>
                                </m:r>
                                <m:sSub>
                                  <m:sSubPr>
                                    <m:ctrlPr>
                                      <w:rPr>
                                        <w:rFonts w:ascii="Cambria Math" w:hAnsi="Cambria Math"/>
                                        <w:lang w:eastAsia="en-GB"/>
                                      </w:rPr>
                                    </m:ctrlPr>
                                  </m:sSubPr>
                                  <m:e>
                                    <m:r>
                                      <m:rPr>
                                        <m:sty m:val="p"/>
                                      </m:rPr>
                                      <w:rPr>
                                        <w:rFonts w:ascii="Cambria Math" w:hAnsi="Cambria Math"/>
                                        <w:lang w:eastAsia="en-GB"/>
                                      </w:rPr>
                                      <m:t>VA</m:t>
                                    </m:r>
                                  </m:e>
                                  <m:sub>
                                    <m:r>
                                      <m:rPr>
                                        <m:sty m:val="p"/>
                                      </m:rPr>
                                      <w:rPr>
                                        <w:rFonts w:ascii="Cambria Math" w:hAnsi="Cambria Math"/>
                                        <w:lang w:eastAsia="en-GB"/>
                                      </w:rPr>
                                      <m:t>F</m:t>
                                    </m:r>
                                  </m:sub>
                                </m:sSub>
                              </m:oMath>
                            </m:oMathPara>
                          </w:p>
                        </w:txbxContent>
                      </v:textbox>
                      <w10:wrap type="topAndBottom" anchorx="margin"/>
                    </v:shape>
                  </w:pict>
                </mc:Fallback>
              </mc:AlternateContent>
            </w:r>
          </w:p>
          <w:p w14:paraId="3233F463" w14:textId="77777777" w:rsidR="001F570F" w:rsidRPr="007C1364" w:rsidRDefault="001F570F" w:rsidP="001F570F">
            <w:pPr>
              <w:pStyle w:val="NoSpacing"/>
              <w:rPr>
                <w:bCs/>
                <w:lang w:val="en-GB"/>
              </w:rPr>
            </w:pPr>
            <w:r w:rsidRPr="007C1364">
              <w:rPr>
                <w:bCs/>
                <w:lang w:val="en-GB"/>
              </w:rPr>
              <w:t>In summary, the computation method for GDP from sustainable marine capture fisheries may also be expressed as:</w:t>
            </w:r>
          </w:p>
          <w:p w14:paraId="0E33365C" w14:textId="77777777" w:rsidR="001F570F" w:rsidRDefault="001F570F" w:rsidP="001F570F">
            <w:pPr>
              <w:pStyle w:val="NoSpacing"/>
            </w:pPr>
            <w:r w:rsidRPr="007C1364">
              <w:rPr>
                <w:noProof/>
                <w:lang w:bidi="bn-BD"/>
              </w:rPr>
              <mc:AlternateContent>
                <mc:Choice Requires="wps">
                  <w:drawing>
                    <wp:anchor distT="45720" distB="45720" distL="114300" distR="114300" simplePos="0" relativeHeight="251617792" behindDoc="0" locked="0" layoutInCell="1" allowOverlap="1" wp14:anchorId="6469F69B" wp14:editId="3289AB00">
                      <wp:simplePos x="0" y="0"/>
                      <wp:positionH relativeFrom="margin">
                        <wp:posOffset>211042</wp:posOffset>
                      </wp:positionH>
                      <wp:positionV relativeFrom="paragraph">
                        <wp:posOffset>198769</wp:posOffset>
                      </wp:positionV>
                      <wp:extent cx="3352800" cy="640080"/>
                      <wp:effectExtent l="0" t="0" r="19050" b="26670"/>
                      <wp:wrapTopAndBottom/>
                      <wp:docPr id="12780" name="Text Box 1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40080"/>
                              </a:xfrm>
                              <a:prstGeom prst="rect">
                                <a:avLst/>
                              </a:prstGeom>
                              <a:solidFill>
                                <a:srgbClr val="FFFFFF"/>
                              </a:solidFill>
                              <a:ln w="9525">
                                <a:solidFill>
                                  <a:srgbClr val="000000"/>
                                </a:solidFill>
                                <a:miter lim="800000"/>
                                <a:headEnd/>
                                <a:tailEnd/>
                              </a:ln>
                            </wps:spPr>
                            <wps:txbx>
                              <w:txbxContent>
                                <w:p w14:paraId="1B3A352E" w14:textId="77777777" w:rsidR="00D20077" w:rsidRPr="000C6C94" w:rsidRDefault="004B4A24" w:rsidP="007C1364">
                                  <w:pPr>
                                    <w:jc w:val="center"/>
                                    <w:rPr>
                                      <w:rFonts w:ascii="Helvetica" w:hAnsi="Helvetica"/>
                                      <w:bCs/>
                                      <w:sz w:val="24"/>
                                      <w:szCs w:val="28"/>
                                      <w:lang w:eastAsia="en-GB"/>
                                    </w:rPr>
                                  </w:pPr>
                                  <m:oMathPara>
                                    <m:oMathParaPr>
                                      <m:jc m:val="center"/>
                                    </m:oMathParaPr>
                                    <m:oMath>
                                      <m:sSub>
                                        <m:sSubPr>
                                          <m:ctrlPr>
                                            <w:rPr>
                                              <w:rFonts w:ascii="Cambria Math" w:eastAsia="SimSun" w:hAnsi="Cambria Math" w:cs="Arial"/>
                                              <w:sz w:val="24"/>
                                              <w:szCs w:val="16"/>
                                              <w:lang w:eastAsia="en-GB"/>
                                            </w:rPr>
                                          </m:ctrlPr>
                                        </m:sSubPr>
                                        <m:e>
                                          <m:r>
                                            <m:rPr>
                                              <m:sty m:val="p"/>
                                            </m:rPr>
                                            <w:rPr>
                                              <w:rFonts w:ascii="Cambria Math" w:eastAsia="SimSun" w:hAnsi="Cambria Math" w:cs="Arial"/>
                                              <w:sz w:val="24"/>
                                              <w:szCs w:val="16"/>
                                              <w:lang w:val="it-IT" w:eastAsia="en-GB"/>
                                            </w:rPr>
                                            <m:t>SuGDP</m:t>
                                          </m:r>
                                        </m:e>
                                        <m:sub>
                                          <m:r>
                                            <m:rPr>
                                              <m:sty m:val="p"/>
                                            </m:rPr>
                                            <w:rPr>
                                              <w:rFonts w:ascii="Cambria Math" w:eastAsia="SimSun" w:hAnsi="Cambria Math" w:cs="Arial"/>
                                              <w:sz w:val="24"/>
                                              <w:szCs w:val="16"/>
                                              <w:lang w:val="it-IT" w:eastAsia="en-GB"/>
                                            </w:rPr>
                                            <m:t>F</m:t>
                                          </m:r>
                                        </m:sub>
                                      </m:sSub>
                                      <m:r>
                                        <m:rPr>
                                          <m:sty m:val="p"/>
                                        </m:rPr>
                                        <w:rPr>
                                          <w:rFonts w:ascii="Cambria Math" w:eastAsia="SimSun" w:hAnsi="Cambria Math" w:cs="Arial"/>
                                          <w:sz w:val="24"/>
                                          <w:szCs w:val="16"/>
                                          <w:lang w:val="it-IT" w:eastAsia="en-GB"/>
                                        </w:rPr>
                                        <m:t>=</m:t>
                                      </m:r>
                                      <m:nary>
                                        <m:naryPr>
                                          <m:chr m:val="∑"/>
                                          <m:limLoc m:val="undOvr"/>
                                          <m:ctrlPr>
                                            <w:rPr>
                                              <w:rFonts w:ascii="Cambria Math" w:hAnsi="Cambria Math"/>
                                              <w:sz w:val="24"/>
                                              <w:szCs w:val="16"/>
                                              <w:lang w:eastAsia="en-GB"/>
                                            </w:rPr>
                                          </m:ctrlPr>
                                        </m:naryPr>
                                        <m:sub>
                                          <m:r>
                                            <m:rPr>
                                              <m:sty m:val="p"/>
                                            </m:rPr>
                                            <w:rPr>
                                              <w:rFonts w:ascii="Cambria Math" w:hAnsi="Cambria Math"/>
                                              <w:sz w:val="24"/>
                                              <w:szCs w:val="16"/>
                                              <w:lang w:val="it-IT" w:eastAsia="en-GB"/>
                                            </w:rPr>
                                            <m:t>i=1</m:t>
                                          </m:r>
                                        </m:sub>
                                        <m:sup>
                                          <m:r>
                                            <m:rPr>
                                              <m:sty m:val="p"/>
                                            </m:rPr>
                                            <w:rPr>
                                              <w:rFonts w:ascii="Cambria Math" w:hAnsi="Cambria Math"/>
                                              <w:sz w:val="24"/>
                                              <w:szCs w:val="16"/>
                                              <w:lang w:val="it-IT" w:eastAsia="en-GB"/>
                                            </w:rPr>
                                            <m:t>n</m:t>
                                          </m:r>
                                        </m:sup>
                                        <m:e>
                                          <m:sSub>
                                            <m:sSubPr>
                                              <m:ctrlPr>
                                                <w:rPr>
                                                  <w:rFonts w:ascii="Cambria Math" w:hAnsi="Cambria Math"/>
                                                  <w:sz w:val="24"/>
                                                  <w:szCs w:val="16"/>
                                                  <w:lang w:eastAsia="en-GB"/>
                                                </w:rPr>
                                              </m:ctrlPr>
                                            </m:sSubPr>
                                            <m:e>
                                              <m:r>
                                                <m:rPr>
                                                  <m:sty m:val="p"/>
                                                </m:rPr>
                                                <w:rPr>
                                                  <w:rFonts w:ascii="Cambria Math" w:hAnsi="Cambria Math"/>
                                                  <w:sz w:val="24"/>
                                                  <w:szCs w:val="16"/>
                                                  <w:lang w:val="it-IT" w:eastAsia="en-GB"/>
                                                </w:rPr>
                                                <m:t>S</m:t>
                                              </m:r>
                                            </m:e>
                                            <m:sub>
                                              <m:r>
                                                <m:rPr>
                                                  <m:sty m:val="p"/>
                                                </m:rPr>
                                                <w:rPr>
                                                  <w:rFonts w:ascii="Cambria Math" w:hAnsi="Cambria Math"/>
                                                  <w:sz w:val="24"/>
                                                  <w:szCs w:val="16"/>
                                                  <w:lang w:val="it-IT" w:eastAsia="en-GB"/>
                                                </w:rPr>
                                                <m:t>i</m:t>
                                              </m:r>
                                            </m:sub>
                                          </m:sSub>
                                          <m:f>
                                            <m:fPr>
                                              <m:ctrlPr>
                                                <w:rPr>
                                                  <w:rFonts w:ascii="Cambria Math" w:hAnsi="Cambria Math"/>
                                                  <w:sz w:val="24"/>
                                                  <w:szCs w:val="16"/>
                                                  <w:lang w:eastAsia="en-GB"/>
                                                </w:rPr>
                                              </m:ctrlPr>
                                            </m:fPr>
                                            <m:num>
                                              <m:sSub>
                                                <m:sSubPr>
                                                  <m:ctrlPr>
                                                    <w:rPr>
                                                      <w:rFonts w:ascii="Cambria Math" w:hAnsi="Cambria Math"/>
                                                      <w:sz w:val="24"/>
                                                      <w:szCs w:val="16"/>
                                                      <w:lang w:eastAsia="en-GB"/>
                                                    </w:rPr>
                                                  </m:ctrlPr>
                                                </m:sSubPr>
                                                <m:e>
                                                  <m:r>
                                                    <m:rPr>
                                                      <m:sty m:val="p"/>
                                                    </m:rPr>
                                                    <w:rPr>
                                                      <w:rFonts w:ascii="Cambria Math" w:hAnsi="Cambria Math"/>
                                                      <w:sz w:val="24"/>
                                                      <w:szCs w:val="16"/>
                                                      <w:lang w:val="it-IT" w:eastAsia="en-GB"/>
                                                    </w:rPr>
                                                    <m:t>Q</m:t>
                                                  </m:r>
                                                </m:e>
                                                <m:sub>
                                                  <m:r>
                                                    <m:rPr>
                                                      <m:sty m:val="p"/>
                                                    </m:rPr>
                                                    <w:rPr>
                                                      <w:rFonts w:ascii="Cambria Math" w:hAnsi="Cambria Math"/>
                                                      <w:sz w:val="24"/>
                                                      <w:szCs w:val="16"/>
                                                      <w:lang w:val="it-IT" w:eastAsia="en-GB"/>
                                                    </w:rPr>
                                                    <m:t>i</m:t>
                                                  </m:r>
                                                </m:sub>
                                              </m:sSub>
                                            </m:num>
                                            <m:den>
                                              <m:sSub>
                                                <m:sSubPr>
                                                  <m:ctrlPr>
                                                    <w:rPr>
                                                      <w:rFonts w:ascii="Cambria Math" w:hAnsi="Cambria Math"/>
                                                      <w:sz w:val="24"/>
                                                      <w:szCs w:val="16"/>
                                                      <w:lang w:eastAsia="en-GB"/>
                                                    </w:rPr>
                                                  </m:ctrlPr>
                                                </m:sSubPr>
                                                <m:e>
                                                  <m:r>
                                                    <m:rPr>
                                                      <m:sty m:val="p"/>
                                                    </m:rPr>
                                                    <w:rPr>
                                                      <w:rFonts w:ascii="Cambria Math" w:hAnsi="Cambria Math"/>
                                                      <w:sz w:val="24"/>
                                                      <w:szCs w:val="16"/>
                                                      <w:lang w:val="it-IT" w:eastAsia="en-GB"/>
                                                    </w:rPr>
                                                    <m:t>Q</m:t>
                                                  </m:r>
                                                </m:e>
                                                <m:sub>
                                                  <m:r>
                                                    <m:rPr>
                                                      <m:sty m:val="p"/>
                                                    </m:rPr>
                                                    <w:rPr>
                                                      <w:rFonts w:ascii="Cambria Math" w:hAnsi="Cambria Math"/>
                                                      <w:sz w:val="24"/>
                                                      <w:szCs w:val="16"/>
                                                      <w:lang w:val="it-IT" w:eastAsia="en-GB"/>
                                                    </w:rPr>
                                                    <m:t>N</m:t>
                                                  </m:r>
                                                </m:sub>
                                              </m:sSub>
                                            </m:den>
                                          </m:f>
                                        </m:e>
                                      </m:nary>
                                      <m:r>
                                        <w:rPr>
                                          <w:rFonts w:ascii="Cambria Math" w:hAnsi="Cambria Math"/>
                                          <w:sz w:val="24"/>
                                          <w:szCs w:val="16"/>
                                          <w:lang w:eastAsia="en-GB"/>
                                        </w:rPr>
                                        <m:t>×</m:t>
                                      </m:r>
                                      <m:d>
                                        <m:dPr>
                                          <m:ctrlPr>
                                            <w:rPr>
                                              <w:rFonts w:ascii="Cambria Math" w:eastAsia="Times New Roman" w:hAnsi="Cambria Math" w:cstheme="minorHAnsi"/>
                                              <w:bCs/>
                                              <w:sz w:val="24"/>
                                              <w:szCs w:val="28"/>
                                              <w:lang w:eastAsia="en-GB"/>
                                            </w:rPr>
                                          </m:ctrlPr>
                                        </m:dPr>
                                        <m:e>
                                          <m:f>
                                            <m:fPr>
                                              <m:ctrlPr>
                                                <w:rPr>
                                                  <w:rFonts w:ascii="Cambria Math" w:eastAsia="Times New Roman" w:hAnsi="Cambria Math" w:cstheme="minorHAnsi"/>
                                                  <w:bCs/>
                                                  <w:i/>
                                                  <w:sz w:val="24"/>
                                                  <w:szCs w:val="28"/>
                                                  <w:lang w:eastAsia="en-GB"/>
                                                </w:rPr>
                                              </m:ctrlPr>
                                            </m:fPr>
                                            <m:num>
                                              <m:sSub>
                                                <m:sSubPr>
                                                  <m:ctrlPr>
                                                    <w:rPr>
                                                      <w:rFonts w:ascii="Cambria Math" w:eastAsia="Times New Roman" w:hAnsi="Cambria Math" w:cstheme="minorHAnsi"/>
                                                      <w:bCs/>
                                                      <w:i/>
                                                      <w:sz w:val="24"/>
                                                      <w:szCs w:val="28"/>
                                                      <w:lang w:eastAsia="en-GB"/>
                                                    </w:rPr>
                                                  </m:ctrlPr>
                                                </m:sSubPr>
                                                <m:e>
                                                  <m:r>
                                                    <m:rPr>
                                                      <m:sty m:val="p"/>
                                                    </m:rPr>
                                                    <w:rPr>
                                                      <w:rFonts w:ascii="Cambria Math" w:eastAsia="Times New Roman" w:hAnsi="Cambria Math" w:cstheme="minorHAnsi"/>
                                                      <w:sz w:val="24"/>
                                                      <w:szCs w:val="28"/>
                                                      <w:lang w:eastAsia="en-GB"/>
                                                    </w:rPr>
                                                    <m:t>Q</m:t>
                                                  </m:r>
                                                </m:e>
                                                <m:sub>
                                                  <m:r>
                                                    <m:rPr>
                                                      <m:sty m:val="p"/>
                                                    </m:rPr>
                                                    <w:rPr>
                                                      <w:rFonts w:ascii="Cambria Math" w:eastAsia="Times New Roman" w:hAnsi="Cambria Math" w:cstheme="minorHAnsi"/>
                                                      <w:sz w:val="24"/>
                                                      <w:szCs w:val="28"/>
                                                      <w:lang w:eastAsia="en-GB"/>
                                                    </w:rPr>
                                                    <m:t>M</m:t>
                                                  </m:r>
                                                </m:sub>
                                              </m:sSub>
                                            </m:num>
                                            <m:den>
                                              <m:sSub>
                                                <m:sSubPr>
                                                  <m:ctrlPr>
                                                    <w:rPr>
                                                      <w:rFonts w:ascii="Cambria Math" w:eastAsia="Times New Roman" w:hAnsi="Cambria Math" w:cstheme="minorHAnsi"/>
                                                      <w:bCs/>
                                                      <w:i/>
                                                      <w:sz w:val="24"/>
                                                      <w:szCs w:val="28"/>
                                                      <w:lang w:eastAsia="en-GB"/>
                                                    </w:rPr>
                                                  </m:ctrlPr>
                                                </m:sSubPr>
                                                <m:e>
                                                  <m:r>
                                                    <m:rPr>
                                                      <m:sty m:val="p"/>
                                                    </m:rPr>
                                                    <w:rPr>
                                                      <w:rFonts w:ascii="Cambria Math" w:eastAsia="Times New Roman" w:hAnsi="Cambria Math" w:cstheme="minorHAnsi"/>
                                                      <w:sz w:val="24"/>
                                                      <w:szCs w:val="28"/>
                                                      <w:lang w:eastAsia="en-GB"/>
                                                    </w:rPr>
                                                    <m:t>Q</m:t>
                                                  </m:r>
                                                </m:e>
                                                <m:sub>
                                                  <m:r>
                                                    <m:rPr>
                                                      <m:sty m:val="p"/>
                                                    </m:rPr>
                                                    <w:rPr>
                                                      <w:rFonts w:ascii="Cambria Math" w:eastAsia="Times New Roman" w:hAnsi="Cambria Math" w:cstheme="minorHAnsi"/>
                                                      <w:sz w:val="24"/>
                                                      <w:szCs w:val="28"/>
                                                      <w:lang w:eastAsia="en-GB"/>
                                                    </w:rPr>
                                                    <m:t>T</m:t>
                                                  </m:r>
                                                </m:sub>
                                              </m:sSub>
                                            </m:den>
                                          </m:f>
                                          <m:r>
                                            <w:rPr>
                                              <w:rFonts w:ascii="Cambria Math" w:eastAsia="Times New Roman" w:hAnsi="Cambria Math" w:cstheme="minorHAnsi"/>
                                              <w:sz w:val="24"/>
                                              <w:szCs w:val="28"/>
                                              <w:lang w:eastAsia="en-GB"/>
                                            </w:rPr>
                                            <m:t>×</m:t>
                                          </m:r>
                                          <m:f>
                                            <m:fPr>
                                              <m:ctrlPr>
                                                <w:rPr>
                                                  <w:rFonts w:ascii="Cambria Math" w:eastAsia="Times New Roman" w:hAnsi="Cambria Math" w:cstheme="minorHAnsi"/>
                                                  <w:bCs/>
                                                  <w:sz w:val="24"/>
                                                  <w:szCs w:val="28"/>
                                                  <w:lang w:eastAsia="en-GB"/>
                                                </w:rPr>
                                              </m:ctrlPr>
                                            </m:fPr>
                                            <m:num>
                                              <m:sSub>
                                                <m:sSubPr>
                                                  <m:ctrlPr>
                                                    <w:rPr>
                                                      <w:rFonts w:ascii="Cambria Math" w:eastAsia="Times New Roman" w:hAnsi="Cambria Math" w:cstheme="minorHAnsi"/>
                                                      <w:bCs/>
                                                      <w:sz w:val="24"/>
                                                      <w:szCs w:val="28"/>
                                                      <w:lang w:eastAsia="en-GB"/>
                                                    </w:rPr>
                                                  </m:ctrlPr>
                                                </m:sSubPr>
                                                <m:e>
                                                  <m:r>
                                                    <m:rPr>
                                                      <m:sty m:val="p"/>
                                                    </m:rPr>
                                                    <w:rPr>
                                                      <w:rFonts w:ascii="Cambria Math" w:eastAsia="Times New Roman" w:hAnsi="Cambria Math" w:cstheme="minorHAnsi"/>
                                                      <w:sz w:val="24"/>
                                                      <w:szCs w:val="28"/>
                                                      <w:lang w:val="it-IT" w:eastAsia="en-GB"/>
                                                    </w:rPr>
                                                    <m:t>VA</m:t>
                                                  </m:r>
                                                </m:e>
                                                <m:sub>
                                                  <m:r>
                                                    <m:rPr>
                                                      <m:sty m:val="p"/>
                                                    </m:rPr>
                                                    <w:rPr>
                                                      <w:rFonts w:ascii="Cambria Math" w:eastAsia="Times New Roman" w:hAnsi="Cambria Math" w:cstheme="minorHAnsi"/>
                                                      <w:sz w:val="24"/>
                                                      <w:szCs w:val="28"/>
                                                      <w:lang w:val="it-IT" w:eastAsia="en-GB"/>
                                                    </w:rPr>
                                                    <m:t>FIA</m:t>
                                                  </m:r>
                                                </m:sub>
                                              </m:sSub>
                                            </m:num>
                                            <m:den>
                                              <m:r>
                                                <m:rPr>
                                                  <m:sty m:val="p"/>
                                                </m:rPr>
                                                <w:rPr>
                                                  <w:rFonts w:ascii="Cambria Math" w:eastAsia="Times New Roman" w:hAnsi="Cambria Math" w:cstheme="minorHAnsi"/>
                                                  <w:sz w:val="24"/>
                                                  <w:szCs w:val="28"/>
                                                  <w:lang w:val="it-IT" w:eastAsia="en-GB"/>
                                                </w:rPr>
                                                <m:t>GDP</m:t>
                                              </m:r>
                                            </m:den>
                                          </m:f>
                                        </m:e>
                                      </m:d>
                                    </m:oMath>
                                  </m:oMathPara>
                                </w:p>
                                <w:p w14:paraId="2316F7E9" w14:textId="77777777" w:rsidR="00D20077" w:rsidRDefault="00D20077" w:rsidP="007C1364">
                                  <w:pPr>
                                    <w:jc w:val="center"/>
                                    <w:rPr>
                                      <w:rFonts w:ascii="Helvetica" w:hAnsi="Helvetica"/>
                                      <w:bCs/>
                                      <w:sz w:val="24"/>
                                      <w:szCs w:val="28"/>
                                      <w:lang w:eastAsia="en-GB"/>
                                    </w:rPr>
                                  </w:pPr>
                                </w:p>
                                <w:p w14:paraId="43316316" w14:textId="77777777" w:rsidR="00D20077" w:rsidRPr="00D24ED5" w:rsidRDefault="00D20077" w:rsidP="007C1364">
                                  <w:pPr>
                                    <w:jc w:val="center"/>
                                    <w:rPr>
                                      <w:rFonts w:ascii="Helvetica" w:hAnsi="Helvetica"/>
                                      <w:sz w:val="24"/>
                                      <w:szCs w:val="28"/>
                                      <w:lang w:eastAsia="en-GB"/>
                                    </w:rPr>
                                  </w:pPr>
                                </w:p>
                                <w:p w14:paraId="58B31ABB" w14:textId="77777777" w:rsidR="00D20077" w:rsidRPr="00B67826" w:rsidRDefault="00D20077" w:rsidP="007C1364">
                                  <w:pPr>
                                    <w:jc w:val="center"/>
                                    <w:rPr>
                                      <w:szCs w:val="16"/>
                                      <w:lang w:val="it-IT"/>
                                    </w:rPr>
                                  </w:pPr>
                                  <m:oMathPara>
                                    <m:oMath>
                                      <m:r>
                                        <w:rPr>
                                          <w:rFonts w:ascii="Cambria Math" w:eastAsia="Times New Roman" w:hAnsi="Cambria Math" w:cstheme="minorHAnsi"/>
                                          <w:sz w:val="24"/>
                                          <w:szCs w:val="28"/>
                                          <w:lang w:eastAsia="en-GB"/>
                                        </w:rPr>
                                        <m:t>+</m:t>
                                      </m:r>
                                    </m:oMath>
                                  </m:oMathPara>
                                </w:p>
                              </w:txbxContent>
                            </wps:txbx>
                            <wps:bodyPr rot="0" vert="horz" wrap="square" lIns="91440" tIns="91440" rIns="9144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69F69B" id="Text Box 12780" o:spid="_x0000_s1034" type="#_x0000_t202" style="position:absolute;margin-left:16.6pt;margin-top:15.65pt;width:264pt;height:50.4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">
                      <v:textbox inset=",7.2pt,,0">
                        <w:txbxContent>
                          <w:p w14:paraId="1B3A352E" w14:textId="77777777" w:rsidR="00D20077" w:rsidRPr="000C6C94" w:rsidRDefault="00D20077" w:rsidP="007C1364">
                            <w:pPr>
                              <w:jc w:val="center"/>
                              <w:rPr>
                                <w:rFonts w:ascii="Helvetica" w:hAnsi="Helvetica"/>
                                <w:bCs/>
                                <w:sz w:val="24"/>
                                <w:szCs w:val="28"/>
                                <w:lang w:eastAsia="en-GB"/>
                              </w:rPr>
                            </w:pPr>
                            <m:oMathPara>
                              <m:oMathParaPr>
                                <m:jc m:val="center"/>
                              </m:oMathParaPr>
                              <m:oMath>
                                <m:sSub>
                                  <m:sSubPr>
                                    <m:ctrlPr>
                                      <w:rPr>
                                        <w:rFonts w:ascii="Cambria Math" w:eastAsia="SimSun" w:hAnsi="Cambria Math" w:cs="Arial"/>
                                        <w:sz w:val="24"/>
                                        <w:szCs w:val="16"/>
                                        <w:lang w:eastAsia="en-GB"/>
                                      </w:rPr>
                                    </m:ctrlPr>
                                  </m:sSubPr>
                                  <m:e>
                                    <m:r>
                                      <m:rPr>
                                        <m:sty m:val="p"/>
                                      </m:rPr>
                                      <w:rPr>
                                        <w:rFonts w:ascii="Cambria Math" w:eastAsia="SimSun" w:hAnsi="Cambria Math" w:cs="Arial"/>
                                        <w:sz w:val="24"/>
                                        <w:szCs w:val="16"/>
                                        <w:lang w:val="it-IT" w:eastAsia="en-GB"/>
                                      </w:rPr>
                                      <m:t>SuGDP</m:t>
                                    </m:r>
                                  </m:e>
                                  <m:sub>
                                    <m:r>
                                      <m:rPr>
                                        <m:sty m:val="p"/>
                                      </m:rPr>
                                      <w:rPr>
                                        <w:rFonts w:ascii="Cambria Math" w:eastAsia="SimSun" w:hAnsi="Cambria Math" w:cs="Arial"/>
                                        <w:sz w:val="24"/>
                                        <w:szCs w:val="16"/>
                                        <w:lang w:val="it-IT" w:eastAsia="en-GB"/>
                                      </w:rPr>
                                      <m:t>F</m:t>
                                    </m:r>
                                  </m:sub>
                                </m:sSub>
                                <m:r>
                                  <m:rPr>
                                    <m:sty m:val="p"/>
                                  </m:rPr>
                                  <w:rPr>
                                    <w:rFonts w:ascii="Cambria Math" w:eastAsia="SimSun" w:hAnsi="Cambria Math" w:cs="Arial"/>
                                    <w:sz w:val="24"/>
                                    <w:szCs w:val="16"/>
                                    <w:lang w:val="it-IT" w:eastAsia="en-GB"/>
                                  </w:rPr>
                                  <m:t>=</m:t>
                                </m:r>
                                <m:nary>
                                  <m:naryPr>
                                    <m:chr m:val="∑"/>
                                    <m:limLoc m:val="undOvr"/>
                                    <m:ctrlPr>
                                      <w:rPr>
                                        <w:rFonts w:ascii="Cambria Math" w:hAnsi="Cambria Math"/>
                                        <w:sz w:val="24"/>
                                        <w:szCs w:val="16"/>
                                        <w:lang w:eastAsia="en-GB"/>
                                      </w:rPr>
                                    </m:ctrlPr>
                                  </m:naryPr>
                                  <m:sub>
                                    <m:r>
                                      <m:rPr>
                                        <m:sty m:val="p"/>
                                      </m:rPr>
                                      <w:rPr>
                                        <w:rFonts w:ascii="Cambria Math" w:hAnsi="Cambria Math"/>
                                        <w:sz w:val="24"/>
                                        <w:szCs w:val="16"/>
                                        <w:lang w:val="it-IT" w:eastAsia="en-GB"/>
                                      </w:rPr>
                                      <m:t>i=1</m:t>
                                    </m:r>
                                  </m:sub>
                                  <m:sup>
                                    <m:r>
                                      <m:rPr>
                                        <m:sty m:val="p"/>
                                      </m:rPr>
                                      <w:rPr>
                                        <w:rFonts w:ascii="Cambria Math" w:hAnsi="Cambria Math"/>
                                        <w:sz w:val="24"/>
                                        <w:szCs w:val="16"/>
                                        <w:lang w:val="it-IT" w:eastAsia="en-GB"/>
                                      </w:rPr>
                                      <m:t>n</m:t>
                                    </m:r>
                                  </m:sup>
                                  <m:e>
                                    <m:sSub>
                                      <m:sSubPr>
                                        <m:ctrlPr>
                                          <w:rPr>
                                            <w:rFonts w:ascii="Cambria Math" w:hAnsi="Cambria Math"/>
                                            <w:sz w:val="24"/>
                                            <w:szCs w:val="16"/>
                                            <w:lang w:eastAsia="en-GB"/>
                                          </w:rPr>
                                        </m:ctrlPr>
                                      </m:sSubPr>
                                      <m:e>
                                        <m:r>
                                          <m:rPr>
                                            <m:sty m:val="p"/>
                                          </m:rPr>
                                          <w:rPr>
                                            <w:rFonts w:ascii="Cambria Math" w:hAnsi="Cambria Math"/>
                                            <w:sz w:val="24"/>
                                            <w:szCs w:val="16"/>
                                            <w:lang w:val="it-IT" w:eastAsia="en-GB"/>
                                          </w:rPr>
                                          <m:t>S</m:t>
                                        </m:r>
                                      </m:e>
                                      <m:sub>
                                        <m:r>
                                          <m:rPr>
                                            <m:sty m:val="p"/>
                                          </m:rPr>
                                          <w:rPr>
                                            <w:rFonts w:ascii="Cambria Math" w:hAnsi="Cambria Math"/>
                                            <w:sz w:val="24"/>
                                            <w:szCs w:val="16"/>
                                            <w:lang w:val="it-IT" w:eastAsia="en-GB"/>
                                          </w:rPr>
                                          <m:t>i</m:t>
                                        </m:r>
                                      </m:sub>
                                    </m:sSub>
                                    <m:f>
                                      <m:fPr>
                                        <m:ctrlPr>
                                          <w:rPr>
                                            <w:rFonts w:ascii="Cambria Math" w:hAnsi="Cambria Math"/>
                                            <w:sz w:val="24"/>
                                            <w:szCs w:val="16"/>
                                            <w:lang w:eastAsia="en-GB"/>
                                          </w:rPr>
                                        </m:ctrlPr>
                                      </m:fPr>
                                      <m:num>
                                        <m:sSub>
                                          <m:sSubPr>
                                            <m:ctrlPr>
                                              <w:rPr>
                                                <w:rFonts w:ascii="Cambria Math" w:hAnsi="Cambria Math"/>
                                                <w:sz w:val="24"/>
                                                <w:szCs w:val="16"/>
                                                <w:lang w:eastAsia="en-GB"/>
                                              </w:rPr>
                                            </m:ctrlPr>
                                          </m:sSubPr>
                                          <m:e>
                                            <m:r>
                                              <m:rPr>
                                                <m:sty m:val="p"/>
                                              </m:rPr>
                                              <w:rPr>
                                                <w:rFonts w:ascii="Cambria Math" w:hAnsi="Cambria Math"/>
                                                <w:sz w:val="24"/>
                                                <w:szCs w:val="16"/>
                                                <w:lang w:val="it-IT" w:eastAsia="en-GB"/>
                                              </w:rPr>
                                              <m:t>Q</m:t>
                                            </m:r>
                                          </m:e>
                                          <m:sub>
                                            <m:r>
                                              <m:rPr>
                                                <m:sty m:val="p"/>
                                              </m:rPr>
                                              <w:rPr>
                                                <w:rFonts w:ascii="Cambria Math" w:hAnsi="Cambria Math"/>
                                                <w:sz w:val="24"/>
                                                <w:szCs w:val="16"/>
                                                <w:lang w:val="it-IT" w:eastAsia="en-GB"/>
                                              </w:rPr>
                                              <m:t>i</m:t>
                                            </m:r>
                                          </m:sub>
                                        </m:sSub>
                                      </m:num>
                                      <m:den>
                                        <m:sSub>
                                          <m:sSubPr>
                                            <m:ctrlPr>
                                              <w:rPr>
                                                <w:rFonts w:ascii="Cambria Math" w:hAnsi="Cambria Math"/>
                                                <w:sz w:val="24"/>
                                                <w:szCs w:val="16"/>
                                                <w:lang w:eastAsia="en-GB"/>
                                              </w:rPr>
                                            </m:ctrlPr>
                                          </m:sSubPr>
                                          <m:e>
                                            <m:r>
                                              <m:rPr>
                                                <m:sty m:val="p"/>
                                              </m:rPr>
                                              <w:rPr>
                                                <w:rFonts w:ascii="Cambria Math" w:hAnsi="Cambria Math"/>
                                                <w:sz w:val="24"/>
                                                <w:szCs w:val="16"/>
                                                <w:lang w:val="it-IT" w:eastAsia="en-GB"/>
                                              </w:rPr>
                                              <m:t>Q</m:t>
                                            </m:r>
                                          </m:e>
                                          <m:sub>
                                            <m:r>
                                              <m:rPr>
                                                <m:sty m:val="p"/>
                                              </m:rPr>
                                              <w:rPr>
                                                <w:rFonts w:ascii="Cambria Math" w:hAnsi="Cambria Math"/>
                                                <w:sz w:val="24"/>
                                                <w:szCs w:val="16"/>
                                                <w:lang w:val="it-IT" w:eastAsia="en-GB"/>
                                              </w:rPr>
                                              <m:t>N</m:t>
                                            </m:r>
                                          </m:sub>
                                        </m:sSub>
                                      </m:den>
                                    </m:f>
                                  </m:e>
                                </m:nary>
                                <m:r>
                                  <w:rPr>
                                    <w:rFonts w:ascii="Cambria Math" w:hAnsi="Cambria Math"/>
                                    <w:sz w:val="24"/>
                                    <w:szCs w:val="16"/>
                                    <w:lang w:eastAsia="en-GB"/>
                                  </w:rPr>
                                  <m:t>×</m:t>
                                </m:r>
                                <m:d>
                                  <m:dPr>
                                    <m:ctrlPr>
                                      <w:rPr>
                                        <w:rFonts w:ascii="Cambria Math" w:eastAsia="Times New Roman" w:hAnsi="Cambria Math" w:cstheme="minorHAnsi"/>
                                        <w:bCs/>
                                        <w:sz w:val="24"/>
                                        <w:szCs w:val="28"/>
                                        <w:lang w:eastAsia="en-GB"/>
                                      </w:rPr>
                                    </m:ctrlPr>
                                  </m:dPr>
                                  <m:e>
                                    <m:f>
                                      <m:fPr>
                                        <m:ctrlPr>
                                          <w:rPr>
                                            <w:rFonts w:ascii="Cambria Math" w:eastAsia="Times New Roman" w:hAnsi="Cambria Math" w:cstheme="minorHAnsi"/>
                                            <w:bCs/>
                                            <w:i/>
                                            <w:sz w:val="24"/>
                                            <w:szCs w:val="28"/>
                                            <w:lang w:eastAsia="en-GB"/>
                                          </w:rPr>
                                        </m:ctrlPr>
                                      </m:fPr>
                                      <m:num>
                                        <m:sSub>
                                          <m:sSubPr>
                                            <m:ctrlPr>
                                              <w:rPr>
                                                <w:rFonts w:ascii="Cambria Math" w:eastAsia="Times New Roman" w:hAnsi="Cambria Math" w:cstheme="minorHAnsi"/>
                                                <w:bCs/>
                                                <w:i/>
                                                <w:sz w:val="24"/>
                                                <w:szCs w:val="28"/>
                                                <w:lang w:eastAsia="en-GB"/>
                                              </w:rPr>
                                            </m:ctrlPr>
                                          </m:sSubPr>
                                          <m:e>
                                            <m:r>
                                              <m:rPr>
                                                <m:sty m:val="p"/>
                                              </m:rPr>
                                              <w:rPr>
                                                <w:rFonts w:ascii="Cambria Math" w:eastAsia="Times New Roman" w:hAnsi="Cambria Math" w:cstheme="minorHAnsi"/>
                                                <w:sz w:val="24"/>
                                                <w:szCs w:val="28"/>
                                                <w:lang w:eastAsia="en-GB"/>
                                              </w:rPr>
                                              <m:t>Q</m:t>
                                            </m:r>
                                          </m:e>
                                          <m:sub>
                                            <m:r>
                                              <m:rPr>
                                                <m:sty m:val="p"/>
                                              </m:rPr>
                                              <w:rPr>
                                                <w:rFonts w:ascii="Cambria Math" w:eastAsia="Times New Roman" w:hAnsi="Cambria Math" w:cstheme="minorHAnsi"/>
                                                <w:sz w:val="24"/>
                                                <w:szCs w:val="28"/>
                                                <w:lang w:eastAsia="en-GB"/>
                                              </w:rPr>
                                              <m:t>M</m:t>
                                            </m:r>
                                          </m:sub>
                                        </m:sSub>
                                      </m:num>
                                      <m:den>
                                        <m:sSub>
                                          <m:sSubPr>
                                            <m:ctrlPr>
                                              <w:rPr>
                                                <w:rFonts w:ascii="Cambria Math" w:eastAsia="Times New Roman" w:hAnsi="Cambria Math" w:cstheme="minorHAnsi"/>
                                                <w:bCs/>
                                                <w:i/>
                                                <w:sz w:val="24"/>
                                                <w:szCs w:val="28"/>
                                                <w:lang w:eastAsia="en-GB"/>
                                              </w:rPr>
                                            </m:ctrlPr>
                                          </m:sSubPr>
                                          <m:e>
                                            <m:r>
                                              <m:rPr>
                                                <m:sty m:val="p"/>
                                              </m:rPr>
                                              <w:rPr>
                                                <w:rFonts w:ascii="Cambria Math" w:eastAsia="Times New Roman" w:hAnsi="Cambria Math" w:cstheme="minorHAnsi"/>
                                                <w:sz w:val="24"/>
                                                <w:szCs w:val="28"/>
                                                <w:lang w:eastAsia="en-GB"/>
                                              </w:rPr>
                                              <m:t>Q</m:t>
                                            </m:r>
                                          </m:e>
                                          <m:sub>
                                            <m:r>
                                              <m:rPr>
                                                <m:sty m:val="p"/>
                                              </m:rPr>
                                              <w:rPr>
                                                <w:rFonts w:ascii="Cambria Math" w:eastAsia="Times New Roman" w:hAnsi="Cambria Math" w:cstheme="minorHAnsi"/>
                                                <w:sz w:val="24"/>
                                                <w:szCs w:val="28"/>
                                                <w:lang w:eastAsia="en-GB"/>
                                              </w:rPr>
                                              <m:t>T</m:t>
                                            </m:r>
                                          </m:sub>
                                        </m:sSub>
                                      </m:den>
                                    </m:f>
                                    <m:r>
                                      <w:rPr>
                                        <w:rFonts w:ascii="Cambria Math" w:eastAsia="Times New Roman" w:hAnsi="Cambria Math" w:cstheme="minorHAnsi"/>
                                        <w:sz w:val="24"/>
                                        <w:szCs w:val="28"/>
                                        <w:lang w:eastAsia="en-GB"/>
                                      </w:rPr>
                                      <m:t>×</m:t>
                                    </m:r>
                                    <m:f>
                                      <m:fPr>
                                        <m:ctrlPr>
                                          <w:rPr>
                                            <w:rFonts w:ascii="Cambria Math" w:eastAsia="Times New Roman" w:hAnsi="Cambria Math" w:cstheme="minorHAnsi"/>
                                            <w:bCs/>
                                            <w:sz w:val="24"/>
                                            <w:szCs w:val="28"/>
                                            <w:lang w:eastAsia="en-GB"/>
                                          </w:rPr>
                                        </m:ctrlPr>
                                      </m:fPr>
                                      <m:num>
                                        <m:sSub>
                                          <m:sSubPr>
                                            <m:ctrlPr>
                                              <w:rPr>
                                                <w:rFonts w:ascii="Cambria Math" w:eastAsia="Times New Roman" w:hAnsi="Cambria Math" w:cstheme="minorHAnsi"/>
                                                <w:bCs/>
                                                <w:sz w:val="24"/>
                                                <w:szCs w:val="28"/>
                                                <w:lang w:eastAsia="en-GB"/>
                                              </w:rPr>
                                            </m:ctrlPr>
                                          </m:sSubPr>
                                          <m:e>
                                            <m:r>
                                              <m:rPr>
                                                <m:sty m:val="p"/>
                                              </m:rPr>
                                              <w:rPr>
                                                <w:rFonts w:ascii="Cambria Math" w:eastAsia="Times New Roman" w:hAnsi="Cambria Math" w:cstheme="minorHAnsi"/>
                                                <w:sz w:val="24"/>
                                                <w:szCs w:val="28"/>
                                                <w:lang w:val="it-IT" w:eastAsia="en-GB"/>
                                              </w:rPr>
                                              <m:t>VA</m:t>
                                            </m:r>
                                          </m:e>
                                          <m:sub>
                                            <m:r>
                                              <m:rPr>
                                                <m:sty m:val="p"/>
                                              </m:rPr>
                                              <w:rPr>
                                                <w:rFonts w:ascii="Cambria Math" w:eastAsia="Times New Roman" w:hAnsi="Cambria Math" w:cstheme="minorHAnsi"/>
                                                <w:sz w:val="24"/>
                                                <w:szCs w:val="28"/>
                                                <w:lang w:val="it-IT" w:eastAsia="en-GB"/>
                                              </w:rPr>
                                              <m:t>FIA</m:t>
                                            </m:r>
                                          </m:sub>
                                        </m:sSub>
                                      </m:num>
                                      <m:den>
                                        <m:r>
                                          <m:rPr>
                                            <m:sty m:val="p"/>
                                          </m:rPr>
                                          <w:rPr>
                                            <w:rFonts w:ascii="Cambria Math" w:eastAsia="Times New Roman" w:hAnsi="Cambria Math" w:cstheme="minorHAnsi"/>
                                            <w:sz w:val="24"/>
                                            <w:szCs w:val="28"/>
                                            <w:lang w:val="it-IT" w:eastAsia="en-GB"/>
                                          </w:rPr>
                                          <m:t>GDP</m:t>
                                        </m:r>
                                      </m:den>
                                    </m:f>
                                  </m:e>
                                </m:d>
                              </m:oMath>
                            </m:oMathPara>
                          </w:p>
                          <w:p w14:paraId="2316F7E9" w14:textId="77777777" w:rsidR="00D20077" w:rsidRDefault="00D20077" w:rsidP="007C1364">
                            <w:pPr>
                              <w:jc w:val="center"/>
                              <w:rPr>
                                <w:rFonts w:ascii="Helvetica" w:hAnsi="Helvetica"/>
                                <w:bCs/>
                                <w:sz w:val="24"/>
                                <w:szCs w:val="28"/>
                                <w:lang w:eastAsia="en-GB"/>
                              </w:rPr>
                            </w:pPr>
                          </w:p>
                          <w:p w14:paraId="43316316" w14:textId="77777777" w:rsidR="00D20077" w:rsidRPr="00D24ED5" w:rsidRDefault="00D20077" w:rsidP="007C1364">
                            <w:pPr>
                              <w:jc w:val="center"/>
                              <w:rPr>
                                <w:rFonts w:ascii="Helvetica" w:hAnsi="Helvetica"/>
                                <w:sz w:val="24"/>
                                <w:szCs w:val="28"/>
                                <w:lang w:eastAsia="en-GB"/>
                              </w:rPr>
                            </w:pPr>
                          </w:p>
                          <w:p w14:paraId="58B31ABB" w14:textId="77777777" w:rsidR="00D20077" w:rsidRPr="00B67826" w:rsidRDefault="00D20077" w:rsidP="007C1364">
                            <w:pPr>
                              <w:jc w:val="center"/>
                              <w:rPr>
                                <w:szCs w:val="16"/>
                                <w:lang w:val="it-IT"/>
                              </w:rPr>
                            </w:pPr>
                            <m:oMathPara>
                              <m:oMath>
                                <m:r>
                                  <w:rPr>
                                    <w:rFonts w:ascii="Cambria Math" w:eastAsia="Times New Roman" w:hAnsi="Cambria Math" w:cstheme="minorHAnsi"/>
                                    <w:sz w:val="24"/>
                                    <w:szCs w:val="28"/>
                                    <w:lang w:eastAsia="en-GB"/>
                                  </w:rPr>
                                  <m:t>+</m:t>
                                </m:r>
                              </m:oMath>
                            </m:oMathPara>
                          </w:p>
                        </w:txbxContent>
                      </v:textbox>
                      <w10:wrap type="topAndBottom" anchorx="margin"/>
                    </v:shape>
                  </w:pict>
                </mc:Fallback>
              </mc:AlternateContent>
            </w:r>
          </w:p>
        </w:tc>
        <w:tc>
          <w:tcPr>
            <w:tcW w:w="0" w:type="auto"/>
          </w:tcPr>
          <w:p w14:paraId="5DB92A55" w14:textId="77777777" w:rsidR="001F570F" w:rsidRPr="004A061B" w:rsidRDefault="001F570F" w:rsidP="001F570F">
            <w:pPr>
              <w:pStyle w:val="NoSpacing"/>
            </w:pPr>
            <w:r w:rsidRPr="004A061B">
              <w:lastRenderedPageBreak/>
              <w:t>UNSD National Accounts Official Country Data.  I</w:t>
            </w:r>
          </w:p>
        </w:tc>
        <w:tc>
          <w:tcPr>
            <w:tcW w:w="0" w:type="auto"/>
          </w:tcPr>
          <w:p w14:paraId="2399E096" w14:textId="77777777" w:rsidR="001F570F" w:rsidRPr="00205A8E" w:rsidRDefault="001F570F" w:rsidP="001F570F">
            <w:pPr>
              <w:pStyle w:val="NoSpacing"/>
              <w:rPr>
                <w:lang w:eastAsia="en-GB"/>
              </w:rPr>
            </w:pPr>
            <w:r w:rsidRPr="00205A8E">
              <w:rPr>
                <w:lang w:eastAsia="en-GB"/>
              </w:rPr>
              <w:t>National governmental agencies reporting to:</w:t>
            </w:r>
          </w:p>
          <w:p w14:paraId="6149AEEF" w14:textId="77777777" w:rsidR="001F570F" w:rsidRPr="00205A8E" w:rsidRDefault="001F570F" w:rsidP="001F570F">
            <w:pPr>
              <w:pStyle w:val="NoSpacing"/>
              <w:rPr>
                <w:lang w:eastAsia="en-GB"/>
              </w:rPr>
            </w:pPr>
            <w:r w:rsidRPr="00205A8E">
              <w:rPr>
                <w:lang w:eastAsia="en-GB"/>
              </w:rPr>
              <w:t>Food and Agriculture Organization of the United Nations (FAO).</w:t>
            </w:r>
          </w:p>
          <w:p w14:paraId="62C8FBDC" w14:textId="77777777" w:rsidR="001F570F" w:rsidRPr="00205A8E" w:rsidRDefault="001F570F" w:rsidP="001F570F">
            <w:pPr>
              <w:pStyle w:val="NoSpacing"/>
              <w:rPr>
                <w:lang w:eastAsia="en-GB"/>
              </w:rPr>
            </w:pPr>
            <w:r w:rsidRPr="00205A8E">
              <w:rPr>
                <w:lang w:eastAsia="en-GB"/>
              </w:rPr>
              <w:t xml:space="preserve">United Nations Statistics Division (UNSD). </w:t>
            </w:r>
          </w:p>
          <w:p w14:paraId="53731C7C" w14:textId="77777777" w:rsidR="001F570F" w:rsidRDefault="001F570F" w:rsidP="001F570F">
            <w:pPr>
              <w:pStyle w:val="NoSpacing"/>
              <w:rPr>
                <w:lang w:eastAsia="en-GB"/>
              </w:rPr>
            </w:pPr>
            <w:r w:rsidRPr="00205A8E">
              <w:rPr>
                <w:lang w:eastAsia="en-GB"/>
              </w:rPr>
              <w:t>The Organization for Economic Cooperation and Development (OECD).</w:t>
            </w:r>
          </w:p>
          <w:p w14:paraId="02189AAA" w14:textId="77777777" w:rsidR="001F570F" w:rsidRPr="004A061B" w:rsidRDefault="001F570F" w:rsidP="001F570F">
            <w:pPr>
              <w:pStyle w:val="NoSpacing"/>
            </w:pPr>
          </w:p>
        </w:tc>
        <w:tc>
          <w:tcPr>
            <w:tcW w:w="0" w:type="auto"/>
          </w:tcPr>
          <w:p w14:paraId="04F22887" w14:textId="77777777" w:rsidR="001F570F" w:rsidRDefault="001F570F" w:rsidP="001F570F">
            <w:pPr>
              <w:spacing w:line="276" w:lineRule="auto"/>
              <w:jc w:val="center"/>
              <w:rPr>
                <w:szCs w:val="22"/>
              </w:rPr>
            </w:pPr>
            <w:r w:rsidRPr="00890CA3">
              <w:rPr>
                <w:szCs w:val="22"/>
              </w:rPr>
              <w:t>BBS</w:t>
            </w:r>
          </w:p>
          <w:p w14:paraId="5909826F" w14:textId="77777777" w:rsidR="001F570F" w:rsidRPr="00890CA3" w:rsidRDefault="001F570F" w:rsidP="001F570F">
            <w:pPr>
              <w:spacing w:line="276" w:lineRule="auto"/>
              <w:jc w:val="center"/>
              <w:rPr>
                <w:szCs w:val="22"/>
              </w:rPr>
            </w:pPr>
            <w:r>
              <w:rPr>
                <w:szCs w:val="22"/>
              </w:rPr>
              <w:t>NAW</w:t>
            </w:r>
          </w:p>
        </w:tc>
        <w:tc>
          <w:tcPr>
            <w:tcW w:w="0" w:type="auto"/>
          </w:tcPr>
          <w:p w14:paraId="5CDDC06B" w14:textId="77777777" w:rsidR="001F570F" w:rsidRDefault="001F570F" w:rsidP="001F570F">
            <w:pPr>
              <w:spacing w:line="276" w:lineRule="auto"/>
              <w:jc w:val="center"/>
              <w:rPr>
                <w:szCs w:val="22"/>
              </w:rPr>
            </w:pPr>
            <w:r>
              <w:rPr>
                <w:szCs w:val="22"/>
              </w:rPr>
              <w:t>a.BBS</w:t>
            </w:r>
          </w:p>
          <w:p w14:paraId="422BAD33" w14:textId="77777777" w:rsidR="001F570F" w:rsidRDefault="001F570F" w:rsidP="001F570F">
            <w:pPr>
              <w:spacing w:line="276" w:lineRule="auto"/>
              <w:jc w:val="center"/>
              <w:rPr>
                <w:szCs w:val="22"/>
              </w:rPr>
            </w:pPr>
            <w:r w:rsidRPr="00890CA3">
              <w:rPr>
                <w:szCs w:val="22"/>
              </w:rPr>
              <w:t>NAW</w:t>
            </w:r>
          </w:p>
          <w:p w14:paraId="20A05FB0" w14:textId="77777777" w:rsidR="001F570F" w:rsidRPr="00890CA3" w:rsidRDefault="001F570F" w:rsidP="001F570F">
            <w:pPr>
              <w:spacing w:line="276" w:lineRule="auto"/>
              <w:jc w:val="center"/>
              <w:rPr>
                <w:szCs w:val="22"/>
              </w:rPr>
            </w:pPr>
            <w:r>
              <w:rPr>
                <w:szCs w:val="22"/>
              </w:rPr>
              <w:t>b. DoF, MoFL</w:t>
            </w:r>
          </w:p>
        </w:tc>
        <w:tc>
          <w:tcPr>
            <w:tcW w:w="0" w:type="auto"/>
          </w:tcPr>
          <w:p w14:paraId="43839477" w14:textId="77777777" w:rsidR="001F570F" w:rsidRDefault="001F570F" w:rsidP="001F570F">
            <w:pPr>
              <w:ind w:left="970" w:hanging="970"/>
              <w:jc w:val="both"/>
              <w:rPr>
                <w:color w:val="0070C0"/>
                <w:sz w:val="30"/>
                <w:szCs w:val="30"/>
              </w:rPr>
            </w:pPr>
            <w:r>
              <w:t>Not Applicable</w:t>
            </w:r>
          </w:p>
        </w:tc>
        <w:tc>
          <w:tcPr>
            <w:tcW w:w="0" w:type="auto"/>
          </w:tcPr>
          <w:p w14:paraId="29E3758B" w14:textId="77777777" w:rsidR="001F570F" w:rsidRDefault="001F570F" w:rsidP="001F570F">
            <w:pPr>
              <w:ind w:left="970" w:hanging="970"/>
              <w:jc w:val="both"/>
              <w:rPr>
                <w:color w:val="0070C0"/>
                <w:sz w:val="30"/>
                <w:szCs w:val="30"/>
              </w:rPr>
            </w:pPr>
            <w:r>
              <w:t>Annual</w:t>
            </w:r>
          </w:p>
        </w:tc>
        <w:tc>
          <w:tcPr>
            <w:tcW w:w="0" w:type="auto"/>
          </w:tcPr>
          <w:p w14:paraId="162126F2" w14:textId="77777777" w:rsidR="001F570F" w:rsidRDefault="001F570F" w:rsidP="001F570F">
            <w:pPr>
              <w:ind w:left="970" w:hanging="970"/>
              <w:jc w:val="both"/>
              <w:rPr>
                <w:color w:val="0070C0"/>
                <w:sz w:val="30"/>
                <w:szCs w:val="30"/>
              </w:rPr>
            </w:pPr>
            <w:r>
              <w:t>Group 1</w:t>
            </w:r>
          </w:p>
        </w:tc>
        <w:tc>
          <w:tcPr>
            <w:tcW w:w="0" w:type="auto"/>
          </w:tcPr>
          <w:p w14:paraId="3149D491" w14:textId="77777777" w:rsidR="001F570F" w:rsidRDefault="001F570F" w:rsidP="001F570F">
            <w:pPr>
              <w:pStyle w:val="NoSpacing"/>
            </w:pPr>
            <w:r>
              <w:t>1</w:t>
            </w:r>
            <w:r w:rsidRPr="00013ACB">
              <w:rPr>
                <w:vertAlign w:val="superscript"/>
              </w:rPr>
              <w:t>st</w:t>
            </w:r>
            <w:r>
              <w:t xml:space="preserve"> Round:</w:t>
            </w:r>
          </w:p>
          <w:p w14:paraId="786C7F1D" w14:textId="77777777" w:rsidR="001F570F" w:rsidRDefault="001F570F" w:rsidP="001F570F">
            <w:pPr>
              <w:pStyle w:val="NoSpacing"/>
            </w:pPr>
            <w:r>
              <w:t>2015</w:t>
            </w:r>
          </w:p>
          <w:p w14:paraId="755568F7" w14:textId="77777777" w:rsidR="001F570F" w:rsidRDefault="001F570F" w:rsidP="001F570F">
            <w:pPr>
              <w:pStyle w:val="NoSpacing"/>
            </w:pPr>
          </w:p>
          <w:p w14:paraId="68A8C3D7" w14:textId="77777777" w:rsidR="001F570F" w:rsidRDefault="001F570F" w:rsidP="001F570F">
            <w:pPr>
              <w:pStyle w:val="NoSpacing"/>
            </w:pPr>
            <w:r>
              <w:t>2</w:t>
            </w:r>
            <w:r w:rsidRPr="00013ACB">
              <w:rPr>
                <w:vertAlign w:val="superscript"/>
              </w:rPr>
              <w:t>nd</w:t>
            </w:r>
            <w:r>
              <w:t xml:space="preserve"> Round:</w:t>
            </w:r>
          </w:p>
          <w:p w14:paraId="2D6DEF8A" w14:textId="77777777" w:rsidR="001F570F" w:rsidRDefault="001F570F" w:rsidP="001F570F">
            <w:pPr>
              <w:pStyle w:val="NoSpacing"/>
            </w:pPr>
            <w:r w:rsidRPr="00670519">
              <w:t>July, 2019</w:t>
            </w:r>
          </w:p>
          <w:p w14:paraId="6D8B5234" w14:textId="77777777" w:rsidR="001F570F" w:rsidRDefault="001F570F" w:rsidP="001F570F">
            <w:pPr>
              <w:pStyle w:val="NoSpacing"/>
            </w:pPr>
          </w:p>
          <w:p w14:paraId="14DD8343" w14:textId="77777777" w:rsidR="001F570F" w:rsidRDefault="001F570F" w:rsidP="001F570F">
            <w:pPr>
              <w:pStyle w:val="NoSpacing"/>
            </w:pPr>
            <w:r>
              <w:t>3</w:t>
            </w:r>
            <w:r w:rsidRPr="00013ACB">
              <w:rPr>
                <w:vertAlign w:val="superscript"/>
              </w:rPr>
              <w:t>rd</w:t>
            </w:r>
            <w:r>
              <w:t xml:space="preserve"> Round: </w:t>
            </w:r>
          </w:p>
          <w:p w14:paraId="11016A40" w14:textId="77777777" w:rsidR="001F570F" w:rsidRDefault="001F570F" w:rsidP="001F570F">
            <w:pPr>
              <w:pStyle w:val="NoSpacing"/>
            </w:pPr>
            <w:r>
              <w:t>July, 2020</w:t>
            </w:r>
          </w:p>
          <w:p w14:paraId="7E55C29B" w14:textId="77777777" w:rsidR="001F570F" w:rsidRDefault="001F570F" w:rsidP="001F570F">
            <w:pPr>
              <w:pStyle w:val="NoSpacing"/>
            </w:pPr>
          </w:p>
          <w:p w14:paraId="3B17BEB4" w14:textId="77777777" w:rsidR="001F570F" w:rsidRDefault="001F570F" w:rsidP="001F570F">
            <w:pPr>
              <w:pStyle w:val="NoSpacing"/>
            </w:pPr>
            <w:r>
              <w:t>4</w:t>
            </w:r>
            <w:r w:rsidRPr="00013ACB">
              <w:rPr>
                <w:vertAlign w:val="superscript"/>
              </w:rPr>
              <w:t>th</w:t>
            </w:r>
            <w:r>
              <w:t xml:space="preserve"> Round: </w:t>
            </w:r>
          </w:p>
          <w:p w14:paraId="18FBC5C0" w14:textId="77777777" w:rsidR="001F570F" w:rsidRDefault="001F570F" w:rsidP="001F570F">
            <w:pPr>
              <w:pStyle w:val="NoSpacing"/>
            </w:pPr>
            <w:r>
              <w:t>July, 2021</w:t>
            </w:r>
          </w:p>
          <w:p w14:paraId="0DDE1FBC" w14:textId="77777777" w:rsidR="001F570F" w:rsidRDefault="001F570F" w:rsidP="001F570F">
            <w:pPr>
              <w:pStyle w:val="NoSpacing"/>
            </w:pPr>
          </w:p>
          <w:p w14:paraId="1D741FA1" w14:textId="77777777" w:rsidR="001F570F" w:rsidRDefault="001F570F" w:rsidP="001F570F">
            <w:pPr>
              <w:pStyle w:val="NoSpacing"/>
            </w:pPr>
            <w:r>
              <w:t>5</w:t>
            </w:r>
            <w:r w:rsidRPr="00013ACB">
              <w:rPr>
                <w:vertAlign w:val="superscript"/>
              </w:rPr>
              <w:t>th</w:t>
            </w:r>
            <w:r>
              <w:t xml:space="preserve"> Round: </w:t>
            </w:r>
          </w:p>
          <w:p w14:paraId="0AEE1D09" w14:textId="77777777" w:rsidR="001F570F" w:rsidRDefault="001F570F" w:rsidP="001F570F">
            <w:pPr>
              <w:pStyle w:val="NoSpacing"/>
            </w:pPr>
            <w:r>
              <w:lastRenderedPageBreak/>
              <w:t>July, 2022</w:t>
            </w:r>
          </w:p>
          <w:p w14:paraId="10DFD667" w14:textId="0C63EC64" w:rsidR="001F570F" w:rsidRDefault="001F570F" w:rsidP="001F570F">
            <w:pPr>
              <w:pStyle w:val="NoSpacing"/>
            </w:pPr>
          </w:p>
        </w:tc>
        <w:tc>
          <w:tcPr>
            <w:tcW w:w="0" w:type="auto"/>
          </w:tcPr>
          <w:p w14:paraId="7630E1A4" w14:textId="77777777" w:rsidR="001F570F" w:rsidRDefault="001F570F" w:rsidP="001F570F">
            <w:pPr>
              <w:pStyle w:val="NoSpacing"/>
            </w:pPr>
            <w:r>
              <w:lastRenderedPageBreak/>
              <w:t>Data availability reviewed in May 2019 (classified as Tier I)</w:t>
            </w:r>
          </w:p>
          <w:p w14:paraId="4C4D4192" w14:textId="77777777" w:rsidR="001F570F" w:rsidRDefault="001F570F" w:rsidP="001F570F">
            <w:pPr>
              <w:pStyle w:val="NoSpacing"/>
            </w:pPr>
          </w:p>
          <w:p w14:paraId="4AD95495" w14:textId="77777777" w:rsidR="001F570F" w:rsidRDefault="001F570F" w:rsidP="001F570F">
            <w:pPr>
              <w:pStyle w:val="NoSpacing"/>
            </w:pPr>
            <w:r>
              <w:t>Reviewed at 9th IAEG-SDG meeting (classified as Tier II)</w:t>
            </w:r>
          </w:p>
        </w:tc>
      </w:tr>
      <w:tr w:rsidR="001F570F" w14:paraId="0F1B9028" w14:textId="77777777" w:rsidTr="00A64F0D">
        <w:tc>
          <w:tcPr>
            <w:tcW w:w="0" w:type="auto"/>
          </w:tcPr>
          <w:p w14:paraId="12207659" w14:textId="77777777" w:rsidR="001F570F" w:rsidRDefault="001F570F" w:rsidP="001F570F">
            <w:pPr>
              <w:ind w:left="970" w:hanging="970"/>
              <w:jc w:val="both"/>
              <w:rPr>
                <w:color w:val="0070C0"/>
                <w:sz w:val="30"/>
                <w:szCs w:val="30"/>
              </w:rPr>
            </w:pPr>
          </w:p>
        </w:tc>
        <w:tc>
          <w:tcPr>
            <w:tcW w:w="0" w:type="auto"/>
            <w:gridSpan w:val="12"/>
          </w:tcPr>
          <w:p w14:paraId="0268F214"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14.7 By 2030, increase the economic benefits to small island developing States and least developed countries from the sustainable use of marine resources, including through sustainable management of fisheries, aquaculture and tourism</w:t>
            </w:r>
          </w:p>
        </w:tc>
      </w:tr>
      <w:tr w:rsidR="001F570F" w14:paraId="2E06AB3A" w14:textId="77777777" w:rsidTr="00A64F0D">
        <w:tc>
          <w:tcPr>
            <w:tcW w:w="0" w:type="auto"/>
          </w:tcPr>
          <w:p w14:paraId="2F760C6D" w14:textId="77777777" w:rsidR="001F570F" w:rsidRDefault="001F570F" w:rsidP="001F570F">
            <w:pPr>
              <w:pStyle w:val="NoSpacing"/>
            </w:pPr>
            <w:r w:rsidRPr="000221E2">
              <w:t xml:space="preserve">14.a.1 Proportion of total research budget allocated to research in the field of </w:t>
            </w:r>
            <w:r w:rsidRPr="000221E2">
              <w:lastRenderedPageBreak/>
              <w:t>marine technology</w:t>
            </w:r>
          </w:p>
        </w:tc>
        <w:tc>
          <w:tcPr>
            <w:tcW w:w="0" w:type="auto"/>
          </w:tcPr>
          <w:p w14:paraId="5EC77D6C" w14:textId="77777777" w:rsidR="001F570F" w:rsidRDefault="001F570F" w:rsidP="001F570F">
            <w:pPr>
              <w:pStyle w:val="NoSpacing"/>
            </w:pPr>
            <w:r w:rsidRPr="00E53957">
              <w:lastRenderedPageBreak/>
              <w:t>IOC-UNESCO</w:t>
            </w:r>
          </w:p>
          <w:p w14:paraId="2623918C" w14:textId="77777777" w:rsidR="001F570F" w:rsidRDefault="001F570F" w:rsidP="001F570F">
            <w:pPr>
              <w:rPr>
                <w:b/>
                <w:bCs/>
                <w:szCs w:val="20"/>
              </w:rPr>
            </w:pPr>
            <w:r w:rsidRPr="007243FC">
              <w:rPr>
                <w:b/>
                <w:bCs/>
                <w:szCs w:val="20"/>
              </w:rPr>
              <w:t>Partne</w:t>
            </w:r>
            <w:r w:rsidRPr="007243FC">
              <w:rPr>
                <w:b/>
                <w:bCs/>
                <w:szCs w:val="20"/>
              </w:rPr>
              <w:lastRenderedPageBreak/>
              <w:t>r Agencies:</w:t>
            </w:r>
          </w:p>
          <w:p w14:paraId="3D935E42" w14:textId="77777777" w:rsidR="001F570F" w:rsidRDefault="001F570F" w:rsidP="001F570F">
            <w:pPr>
              <w:pStyle w:val="NoSpacing"/>
            </w:pPr>
            <w:r w:rsidRPr="00E53957">
              <w:t>UNEP</w:t>
            </w:r>
          </w:p>
        </w:tc>
        <w:tc>
          <w:tcPr>
            <w:tcW w:w="0" w:type="auto"/>
          </w:tcPr>
          <w:p w14:paraId="5993DEDE" w14:textId="77777777" w:rsidR="001F570F" w:rsidRDefault="001F570F" w:rsidP="001F570F">
            <w:pPr>
              <w:ind w:left="970" w:hanging="970"/>
              <w:jc w:val="both"/>
              <w:rPr>
                <w:color w:val="0070C0"/>
                <w:sz w:val="30"/>
                <w:szCs w:val="30"/>
              </w:rPr>
            </w:pPr>
            <w:r w:rsidRPr="00666BAB">
              <w:lastRenderedPageBreak/>
              <w:t>Tier II</w:t>
            </w:r>
          </w:p>
        </w:tc>
        <w:tc>
          <w:tcPr>
            <w:tcW w:w="0" w:type="auto"/>
          </w:tcPr>
          <w:p w14:paraId="18D9E323" w14:textId="77777777" w:rsidR="001F570F" w:rsidRPr="00F30D57" w:rsidRDefault="001F570F" w:rsidP="001F570F">
            <w:pPr>
              <w:pStyle w:val="NoSpacing"/>
              <w:rPr>
                <w:b/>
                <w:bCs/>
                <w:lang w:val="en-GB"/>
              </w:rPr>
            </w:pPr>
            <w:r w:rsidRPr="00F30D57">
              <w:rPr>
                <w:b/>
                <w:bCs/>
                <w:lang w:val="en-GB"/>
              </w:rPr>
              <w:t>Definition:</w:t>
            </w:r>
          </w:p>
          <w:p w14:paraId="79EB6C2F" w14:textId="77777777" w:rsidR="001F570F" w:rsidRPr="00F30D57" w:rsidRDefault="001F570F" w:rsidP="001F570F">
            <w:pPr>
              <w:pStyle w:val="NoSpacing"/>
              <w:rPr>
                <w:lang w:val="en-GB"/>
              </w:rPr>
            </w:pPr>
            <w:r w:rsidRPr="00F30D57">
              <w:rPr>
                <w:lang w:val="en-GB"/>
              </w:rPr>
              <w:t xml:space="preserve">Definitions and mechanisms used in the development of the SDG indicator 14.a.1 are based on the IOC Criteria and Guidelines on Transfer of Marine Technology- IOCCGTMT (originally published and endorsed by IOC Member States in </w:t>
            </w:r>
            <w:r w:rsidRPr="00F30D57">
              <w:rPr>
                <w:lang w:val="en-GB"/>
              </w:rPr>
              <w:lastRenderedPageBreak/>
              <w:t>2005, these guidelines provide an internationally agreed definition of what is understood by the term marine technology. These Guidelines have been referenced in various UN General Assembly Resolutions and specifically in the formulation of SDG target 14.a). These are further explained in the Global Ocean Science Report (GOSR) referenced below.</w:t>
            </w:r>
          </w:p>
          <w:p w14:paraId="57A2494C" w14:textId="77777777" w:rsidR="001F570F" w:rsidRPr="00F30D57" w:rsidRDefault="001F570F" w:rsidP="001F570F">
            <w:pPr>
              <w:pStyle w:val="NoSpacing"/>
              <w:rPr>
                <w:lang w:val="en-GB"/>
              </w:rPr>
            </w:pPr>
          </w:p>
          <w:p w14:paraId="07E2DD20" w14:textId="77777777" w:rsidR="001F570F" w:rsidRPr="00F30D57" w:rsidRDefault="001F570F" w:rsidP="001F570F">
            <w:pPr>
              <w:pStyle w:val="NoSpacing"/>
              <w:rPr>
                <w:lang w:val="en-GB"/>
              </w:rPr>
            </w:pPr>
            <w:r w:rsidRPr="00F30D57">
              <w:rPr>
                <w:lang w:val="en-GB"/>
              </w:rPr>
              <w:t>Marine technology as defined in the IOCCGTMT refers to instruments, equipment, vessels, processes and methodologies required to produce and use knowledge to improve the study and understanding of the nature and resources of the ocean and coastal areas. Toward this end, marine technology may include any of the following components:</w:t>
            </w:r>
          </w:p>
          <w:p w14:paraId="2549D969" w14:textId="77777777" w:rsidR="001F570F" w:rsidRPr="00F30D57" w:rsidRDefault="001F570F" w:rsidP="001F570F">
            <w:pPr>
              <w:pStyle w:val="NoSpacing"/>
              <w:numPr>
                <w:ilvl w:val="0"/>
                <w:numId w:val="73"/>
              </w:numPr>
              <w:rPr>
                <w:lang w:val="en-GB"/>
              </w:rPr>
            </w:pPr>
            <w:r w:rsidRPr="00F30D57">
              <w:rPr>
                <w:lang w:val="en-GB"/>
              </w:rPr>
              <w:t>Information and data, in a user-friendly format, on marine sciences and related marine operations and services;</w:t>
            </w:r>
          </w:p>
          <w:p w14:paraId="1D26613F" w14:textId="77777777" w:rsidR="001F570F" w:rsidRPr="00F30D57" w:rsidRDefault="001F570F" w:rsidP="001F570F">
            <w:pPr>
              <w:pStyle w:val="NoSpacing"/>
              <w:numPr>
                <w:ilvl w:val="0"/>
                <w:numId w:val="73"/>
              </w:numPr>
              <w:rPr>
                <w:lang w:val="en-GB"/>
              </w:rPr>
            </w:pPr>
            <w:r w:rsidRPr="00F30D57">
              <w:rPr>
                <w:lang w:val="en-GB"/>
              </w:rPr>
              <w:t>Manuals, guidelines, criteria, standards, reference materials;</w:t>
            </w:r>
          </w:p>
          <w:p w14:paraId="646D6807" w14:textId="77777777" w:rsidR="001F570F" w:rsidRPr="00F30D57" w:rsidRDefault="001F570F" w:rsidP="001F570F">
            <w:pPr>
              <w:pStyle w:val="NoSpacing"/>
              <w:numPr>
                <w:ilvl w:val="0"/>
                <w:numId w:val="73"/>
              </w:numPr>
              <w:rPr>
                <w:lang w:val="en-GB"/>
              </w:rPr>
            </w:pPr>
            <w:r w:rsidRPr="00F30D57">
              <w:rPr>
                <w:lang w:val="en-GB"/>
              </w:rPr>
              <w:t>Sampling and methodology equipment (e.g., for water, geological, biological, chemical samples);</w:t>
            </w:r>
          </w:p>
          <w:p w14:paraId="543CD2F2" w14:textId="77777777" w:rsidR="001F570F" w:rsidRPr="00F30D57" w:rsidRDefault="001F570F" w:rsidP="001F570F">
            <w:pPr>
              <w:pStyle w:val="NoSpacing"/>
              <w:numPr>
                <w:ilvl w:val="0"/>
                <w:numId w:val="73"/>
              </w:numPr>
              <w:rPr>
                <w:lang w:val="en-GB"/>
              </w:rPr>
            </w:pPr>
            <w:r w:rsidRPr="00F30D57">
              <w:rPr>
                <w:lang w:val="en-GB"/>
              </w:rPr>
              <w:t>Observation facilities and equipment (e.g. remote sensing equipment, buoys, tide gauges, shipboard and other means of ocean observation);</w:t>
            </w:r>
          </w:p>
          <w:p w14:paraId="3C75782A" w14:textId="77777777" w:rsidR="001F570F" w:rsidRPr="00F30D57" w:rsidRDefault="001F570F" w:rsidP="001F570F">
            <w:pPr>
              <w:pStyle w:val="NoSpacing"/>
              <w:numPr>
                <w:ilvl w:val="0"/>
                <w:numId w:val="73"/>
              </w:numPr>
              <w:rPr>
                <w:lang w:val="en-GB"/>
              </w:rPr>
            </w:pPr>
            <w:r w:rsidRPr="00F30D57">
              <w:rPr>
                <w:lang w:val="en-GB"/>
              </w:rPr>
              <w:t>Equipment for in situ and laboratory observations, analysis and experimentation;</w:t>
            </w:r>
          </w:p>
          <w:p w14:paraId="018FAC78" w14:textId="77777777" w:rsidR="001F570F" w:rsidRPr="00F30D57" w:rsidRDefault="001F570F" w:rsidP="001F570F">
            <w:pPr>
              <w:pStyle w:val="NoSpacing"/>
              <w:numPr>
                <w:ilvl w:val="0"/>
                <w:numId w:val="73"/>
              </w:numPr>
              <w:rPr>
                <w:lang w:val="en-GB"/>
              </w:rPr>
            </w:pPr>
            <w:r w:rsidRPr="00F30D57">
              <w:rPr>
                <w:lang w:val="en-GB"/>
              </w:rPr>
              <w:t>Computer and computer software, including models and modelling techniques;</w:t>
            </w:r>
          </w:p>
          <w:p w14:paraId="7FD81676" w14:textId="77777777" w:rsidR="001F570F" w:rsidRPr="00F30D57" w:rsidRDefault="001F570F" w:rsidP="001F570F">
            <w:pPr>
              <w:pStyle w:val="NoSpacing"/>
              <w:numPr>
                <w:ilvl w:val="0"/>
                <w:numId w:val="73"/>
              </w:numPr>
              <w:rPr>
                <w:lang w:val="en-GB"/>
              </w:rPr>
            </w:pPr>
            <w:r w:rsidRPr="00F30D57">
              <w:rPr>
                <w:lang w:val="en-GB"/>
              </w:rPr>
              <w:t>Expertise, knowledge, skills, technical/scientific/legal know-how and analytical methods related to marine scientific research and observation.</w:t>
            </w:r>
          </w:p>
          <w:p w14:paraId="1FE2A6C7" w14:textId="77777777" w:rsidR="001F570F" w:rsidRPr="00F30D57" w:rsidRDefault="001F570F" w:rsidP="001F570F">
            <w:pPr>
              <w:pStyle w:val="NoSpacing"/>
            </w:pPr>
          </w:p>
          <w:p w14:paraId="5524F3B0" w14:textId="77777777" w:rsidR="001F570F" w:rsidRPr="00F30D57" w:rsidRDefault="001F570F" w:rsidP="001F570F">
            <w:pPr>
              <w:pStyle w:val="NoSpacing"/>
              <w:rPr>
                <w:lang w:val="en-GB"/>
              </w:rPr>
            </w:pPr>
            <w:r w:rsidRPr="00F30D57">
              <w:rPr>
                <w:lang w:val="en-GB"/>
              </w:rPr>
              <w:t>Indicator 14.a.1 shows the annual national research budget allocated by governments in the field of marine technology, relative to the overall national governmental research and development budget in general.</w:t>
            </w:r>
          </w:p>
          <w:p w14:paraId="05A58726" w14:textId="77777777" w:rsidR="001F570F" w:rsidRPr="00F30D57" w:rsidRDefault="001F570F" w:rsidP="001F570F">
            <w:pPr>
              <w:pStyle w:val="NoSpacing"/>
              <w:rPr>
                <w:lang w:val="en-GB"/>
              </w:rPr>
            </w:pPr>
          </w:p>
          <w:p w14:paraId="3A3E78F9" w14:textId="77777777" w:rsidR="001F570F" w:rsidRPr="00F30D57" w:rsidRDefault="001F570F" w:rsidP="001F570F">
            <w:pPr>
              <w:pStyle w:val="NoSpacing"/>
              <w:rPr>
                <w:lang w:val="en-GB"/>
              </w:rPr>
            </w:pPr>
            <w:r w:rsidRPr="00F30D57">
              <w:rPr>
                <w:lang w:val="en-GB"/>
              </w:rPr>
              <w:t>Unit: percentage; raw data in national currency. The proportion can be calculated, and if needed, data can be converted by the international agency into USD.</w:t>
            </w:r>
          </w:p>
          <w:p w14:paraId="09B3BCD4" w14:textId="77777777" w:rsidR="001F570F" w:rsidRPr="00F30D57" w:rsidRDefault="001F570F" w:rsidP="001F570F">
            <w:pPr>
              <w:pStyle w:val="NoSpacing"/>
            </w:pPr>
          </w:p>
          <w:p w14:paraId="4F5FD8B9" w14:textId="77777777" w:rsidR="001F570F" w:rsidRPr="00F30D57" w:rsidRDefault="001F570F" w:rsidP="001F570F">
            <w:pPr>
              <w:pStyle w:val="NoSpacing"/>
            </w:pPr>
          </w:p>
          <w:p w14:paraId="2B0A0487" w14:textId="77777777" w:rsidR="001F570F" w:rsidRPr="00F30D57" w:rsidRDefault="001F570F" w:rsidP="001F570F">
            <w:pPr>
              <w:pStyle w:val="NoSpacing"/>
              <w:rPr>
                <w:b/>
                <w:bCs/>
                <w:lang w:val="en-GB"/>
              </w:rPr>
            </w:pPr>
            <w:r w:rsidRPr="00F30D57">
              <w:rPr>
                <w:b/>
                <w:bCs/>
                <w:lang w:val="en-GB"/>
              </w:rPr>
              <w:t>Concepts:</w:t>
            </w:r>
          </w:p>
          <w:p w14:paraId="3A5C8849" w14:textId="77777777" w:rsidR="001F570F" w:rsidRPr="00F30D57" w:rsidRDefault="001F570F" w:rsidP="001F570F">
            <w:pPr>
              <w:pStyle w:val="NoSpacing"/>
              <w:rPr>
                <w:lang w:val="en-GB"/>
              </w:rPr>
            </w:pPr>
            <w:r w:rsidRPr="00F30D57">
              <w:rPr>
                <w:lang w:val="en-GB"/>
              </w:rPr>
              <w:t>The concepts used for the definition and calculation of the indicator 14.a.1 are based on similar concepts used in the UNESCO Science Report (2010, 2015).These reports present GERD data (gross domestic expenditure on research and experimental development) as a share of GDP (gross domestic product) and further provide the R&amp;D (research and development) expenditure by sector of performance in % (Table S2 in the 2015 report). In addition UIS publishes science field specific R&amp;D, e.g. natural science (</w:t>
            </w:r>
            <w:hyperlink r:id="rId119">
              <w:r w:rsidRPr="00F30D57">
                <w:rPr>
                  <w:rStyle w:val="Hyperlink"/>
                  <w:lang w:val="en-GB"/>
                </w:rPr>
                <w:t>http://data.uis.unesco.org/).</w:t>
              </w:r>
            </w:hyperlink>
          </w:p>
          <w:p w14:paraId="0AE518D0" w14:textId="77777777" w:rsidR="001F570F" w:rsidRPr="00F30D57" w:rsidRDefault="001F570F" w:rsidP="001F570F">
            <w:pPr>
              <w:pStyle w:val="NoSpacing"/>
              <w:rPr>
                <w:lang w:val="en-GB"/>
              </w:rPr>
            </w:pPr>
          </w:p>
          <w:p w14:paraId="11F59132" w14:textId="77777777" w:rsidR="001F570F" w:rsidRPr="00F30D57" w:rsidRDefault="001F570F" w:rsidP="001F570F">
            <w:pPr>
              <w:pStyle w:val="NoSpacing"/>
              <w:rPr>
                <w:lang w:val="en-GB"/>
              </w:rPr>
            </w:pPr>
            <w:r w:rsidRPr="00F30D57">
              <w:rPr>
                <w:lang w:val="en-GB"/>
              </w:rPr>
              <w:t>The definitions and classifications used to collect R&amp;D data are based on the ‘Frascati Manaual: Proposed Standard Practice for Surveys on Research and Experimental Development’ (OECD).</w:t>
            </w:r>
          </w:p>
          <w:p w14:paraId="14CFF665" w14:textId="77777777" w:rsidR="001F570F" w:rsidRPr="00F30D57" w:rsidRDefault="001F570F" w:rsidP="001F570F">
            <w:pPr>
              <w:pStyle w:val="NoSpacing"/>
            </w:pPr>
          </w:p>
          <w:p w14:paraId="092C4242" w14:textId="77777777" w:rsidR="001F570F" w:rsidRPr="00F30D57" w:rsidRDefault="001F570F" w:rsidP="001F570F">
            <w:pPr>
              <w:pStyle w:val="NoSpacing"/>
              <w:rPr>
                <w:b/>
                <w:bCs/>
                <w:lang w:val="en-GB"/>
              </w:rPr>
            </w:pPr>
            <w:r w:rsidRPr="00F30D57">
              <w:rPr>
                <w:b/>
                <w:bCs/>
                <w:lang w:val="en-GB"/>
              </w:rPr>
              <w:t>Comments and limitations:</w:t>
            </w:r>
          </w:p>
          <w:p w14:paraId="01F68EFC" w14:textId="77777777" w:rsidR="001F570F" w:rsidRPr="00F30D57" w:rsidRDefault="001F570F" w:rsidP="001F570F">
            <w:pPr>
              <w:pStyle w:val="NoSpacing"/>
              <w:rPr>
                <w:lang w:val="en-GB"/>
              </w:rPr>
            </w:pPr>
            <w:r w:rsidRPr="00F30D57">
              <w:rPr>
                <w:lang w:val="en-GB"/>
              </w:rPr>
              <w:lastRenderedPageBreak/>
              <w:t>Due to the fact that no agreed mechanism to assess ocean science capacity existed untill the first edition of the Global Ocean Science Report, national reporting mechanisms are scarce and/or are not harmonised. However, with the framework of 14.a and the new reporting mechanism in place, global and regional technology and knowledge transfer can be conducted in a resource- and need-adapted manner based on global inventories and comparisons.</w:t>
            </w:r>
          </w:p>
          <w:p w14:paraId="6AD80514" w14:textId="77777777" w:rsidR="001F570F" w:rsidRPr="00F30D57" w:rsidRDefault="001F570F" w:rsidP="001F570F">
            <w:pPr>
              <w:pStyle w:val="NoSpacing"/>
            </w:pPr>
            <w:bookmarkStart w:id="20" w:name="Methodology"/>
            <w:bookmarkEnd w:id="20"/>
          </w:p>
          <w:p w14:paraId="7C47BE8F" w14:textId="77777777" w:rsidR="001F570F" w:rsidRPr="00F30D57" w:rsidRDefault="001F570F" w:rsidP="001F570F">
            <w:pPr>
              <w:pStyle w:val="NoSpacing"/>
            </w:pPr>
          </w:p>
          <w:p w14:paraId="67667340" w14:textId="77777777" w:rsidR="001F570F" w:rsidRPr="00F30D57" w:rsidRDefault="001F570F" w:rsidP="001F570F">
            <w:pPr>
              <w:pStyle w:val="NoSpacing"/>
              <w:rPr>
                <w:b/>
                <w:bCs/>
                <w:lang w:val="en-GB"/>
              </w:rPr>
            </w:pPr>
            <w:r w:rsidRPr="00F30D57">
              <w:rPr>
                <w:b/>
                <w:bCs/>
                <w:lang w:val="en-GB"/>
              </w:rPr>
              <w:t>Computation Method:</w:t>
            </w:r>
          </w:p>
          <w:p w14:paraId="60604F77" w14:textId="77777777" w:rsidR="001F570F" w:rsidRPr="00F30D57" w:rsidRDefault="001F570F" w:rsidP="001F570F">
            <w:pPr>
              <w:pStyle w:val="NoSpacing"/>
              <w:rPr>
                <w:lang w:val="en-GB"/>
              </w:rPr>
            </w:pPr>
            <w:r w:rsidRPr="00F30D57">
              <w:rPr>
                <w:lang w:val="en-GB"/>
              </w:rPr>
              <w:t>Indicator 14.a.1 = National governmental research expenditure in marine technology / National governmental R&amp;D expenditure</w:t>
            </w:r>
          </w:p>
          <w:p w14:paraId="69D573AD" w14:textId="77777777" w:rsidR="001F570F" w:rsidRPr="00F30D57" w:rsidRDefault="001F570F" w:rsidP="001F570F">
            <w:pPr>
              <w:pStyle w:val="NoSpacing"/>
              <w:rPr>
                <w:lang w:val="en-GB"/>
              </w:rPr>
            </w:pPr>
          </w:p>
          <w:p w14:paraId="3CC39FD2" w14:textId="77777777" w:rsidR="001F570F" w:rsidRPr="00F30D57" w:rsidRDefault="001F570F" w:rsidP="001F570F">
            <w:pPr>
              <w:pStyle w:val="NoSpacing"/>
              <w:rPr>
                <w:lang w:val="en-GB"/>
              </w:rPr>
            </w:pPr>
            <w:r w:rsidRPr="00F30D57">
              <w:rPr>
                <w:lang w:val="en-GB"/>
              </w:rPr>
              <w:t>National governmental R&amp;D expenditure data are assessed annually by the UNESCO Institute for Statistics (UIS).</w:t>
            </w:r>
          </w:p>
          <w:p w14:paraId="37D70B50" w14:textId="77777777" w:rsidR="001F570F" w:rsidRPr="00F30D57" w:rsidRDefault="001F570F" w:rsidP="001F570F">
            <w:pPr>
              <w:pStyle w:val="NoSpacing"/>
              <w:rPr>
                <w:lang w:val="en-GB"/>
              </w:rPr>
            </w:pPr>
          </w:p>
          <w:p w14:paraId="4FD9D59A" w14:textId="77777777" w:rsidR="001F570F" w:rsidRPr="00F30D57" w:rsidRDefault="001F570F" w:rsidP="001F570F">
            <w:pPr>
              <w:pStyle w:val="NoSpacing"/>
              <w:rPr>
                <w:lang w:val="en-GB"/>
              </w:rPr>
            </w:pPr>
            <w:r w:rsidRPr="00F30D57">
              <w:rPr>
                <w:lang w:val="en-GB"/>
              </w:rPr>
              <w:t>National governmental ocean science expenditures are envisaged to be assessed biannually via the GOSR data portal (IOC-XXIX/2 Annex 10).</w:t>
            </w:r>
          </w:p>
          <w:p w14:paraId="72E4511B" w14:textId="77777777" w:rsidR="001F570F" w:rsidRPr="00F30D57" w:rsidRDefault="001F570F" w:rsidP="001F570F">
            <w:pPr>
              <w:pStyle w:val="NoSpacing"/>
              <w:rPr>
                <w:lang w:val="en-GB"/>
              </w:rPr>
            </w:pPr>
          </w:p>
          <w:p w14:paraId="3C0862AF" w14:textId="77777777" w:rsidR="001F570F" w:rsidRPr="00F30D57" w:rsidRDefault="001F570F" w:rsidP="001F570F">
            <w:pPr>
              <w:pStyle w:val="NoSpacing"/>
              <w:rPr>
                <w:lang w:val="en-GB"/>
              </w:rPr>
            </w:pPr>
            <w:r w:rsidRPr="00F30D57">
              <w:rPr>
                <w:lang w:val="en-GB"/>
              </w:rPr>
              <w:t>The development of the GOSR data repository/data portal will take place in close collaboration with UIS and IOC (at Headquarters and at the IOC Project Office for IODE, Oostende, Belgium).</w:t>
            </w:r>
          </w:p>
          <w:p w14:paraId="28BEA061" w14:textId="77777777" w:rsidR="001F570F" w:rsidRDefault="001F570F" w:rsidP="001F570F">
            <w:pPr>
              <w:pStyle w:val="NoSpacing"/>
            </w:pPr>
          </w:p>
        </w:tc>
        <w:tc>
          <w:tcPr>
            <w:tcW w:w="0" w:type="auto"/>
          </w:tcPr>
          <w:p w14:paraId="341B63AF" w14:textId="77777777" w:rsidR="001F570F" w:rsidRDefault="001F570F" w:rsidP="001F570F">
            <w:pPr>
              <w:pStyle w:val="NoSpacing"/>
            </w:pPr>
            <w:r>
              <w:rPr>
                <w:spacing w:val="-1"/>
              </w:rPr>
              <w:lastRenderedPageBreak/>
              <w:t>N</w:t>
            </w:r>
            <w:r>
              <w:t>a</w:t>
            </w:r>
            <w:r>
              <w:rPr>
                <w:spacing w:val="-1"/>
              </w:rPr>
              <w:t>t</w:t>
            </w:r>
            <w:r>
              <w:rPr>
                <w:spacing w:val="1"/>
              </w:rPr>
              <w:t>i</w:t>
            </w:r>
            <w:r>
              <w:rPr>
                <w:spacing w:val="-1"/>
              </w:rPr>
              <w:t>o</w:t>
            </w:r>
            <w:r>
              <w:t>n</w:t>
            </w:r>
            <w:r>
              <w:rPr>
                <w:spacing w:val="-1"/>
              </w:rPr>
              <w:t>a</w:t>
            </w:r>
            <w:r>
              <w:t>l</w:t>
            </w:r>
            <w:r>
              <w:rPr>
                <w:spacing w:val="-2"/>
              </w:rPr>
              <w:t xml:space="preserve"> C</w:t>
            </w:r>
            <w:r>
              <w:rPr>
                <w:spacing w:val="-1"/>
              </w:rPr>
              <w:t>o</w:t>
            </w:r>
            <w:r>
              <w:t>un</w:t>
            </w:r>
            <w:r>
              <w:rPr>
                <w:spacing w:val="-1"/>
              </w:rPr>
              <w:t>t</w:t>
            </w:r>
            <w:r>
              <w:t>e</w:t>
            </w:r>
            <w:r>
              <w:rPr>
                <w:spacing w:val="2"/>
              </w:rPr>
              <w:t>r</w:t>
            </w:r>
            <w:r>
              <w:t>p</w:t>
            </w:r>
            <w:r>
              <w:rPr>
                <w:spacing w:val="-1"/>
              </w:rPr>
              <w:t>a</w:t>
            </w:r>
            <w:r>
              <w:rPr>
                <w:spacing w:val="1"/>
              </w:rPr>
              <w:t>r</w:t>
            </w:r>
            <w:r>
              <w:t>t</w:t>
            </w:r>
            <w:r>
              <w:rPr>
                <w:spacing w:val="-3"/>
              </w:rPr>
              <w:t>s</w:t>
            </w:r>
            <w:r>
              <w:t>:</w:t>
            </w:r>
          </w:p>
          <w:p w14:paraId="19CBFE21" w14:textId="77777777" w:rsidR="001F570F" w:rsidRDefault="001F570F" w:rsidP="001F570F">
            <w:pPr>
              <w:pStyle w:val="NoSpacing"/>
            </w:pPr>
            <w:r>
              <w:t>Val</w:t>
            </w:r>
            <w:r>
              <w:rPr>
                <w:spacing w:val="1"/>
              </w:rPr>
              <w:t>i</w:t>
            </w:r>
            <w:r>
              <w:t>d</w:t>
            </w:r>
            <w:r>
              <w:rPr>
                <w:spacing w:val="-1"/>
              </w:rPr>
              <w:t>a</w:t>
            </w:r>
            <w:r>
              <w:t>t</w:t>
            </w:r>
            <w:r>
              <w:rPr>
                <w:spacing w:val="1"/>
              </w:rPr>
              <w:t>i</w:t>
            </w:r>
            <w:r>
              <w:rPr>
                <w:spacing w:val="-1"/>
              </w:rPr>
              <w:t>o</w:t>
            </w:r>
            <w:r>
              <w:t>n</w:t>
            </w:r>
            <w:r>
              <w:rPr>
                <w:spacing w:val="-1"/>
              </w:rPr>
              <w:t xml:space="preserve"> </w:t>
            </w:r>
            <w:r>
              <w:t>a</w:t>
            </w:r>
            <w:r>
              <w:rPr>
                <w:spacing w:val="-1"/>
              </w:rPr>
              <w:t>n</w:t>
            </w:r>
            <w:r>
              <w:t>d</w:t>
            </w:r>
            <w:r>
              <w:rPr>
                <w:spacing w:val="-3"/>
              </w:rPr>
              <w:t xml:space="preserve"> </w:t>
            </w:r>
            <w:r>
              <w:rPr>
                <w:spacing w:val="1"/>
              </w:rPr>
              <w:lastRenderedPageBreak/>
              <w:t>c</w:t>
            </w:r>
            <w:r>
              <w:rPr>
                <w:spacing w:val="-1"/>
              </w:rPr>
              <w:t>o</w:t>
            </w:r>
            <w:r>
              <w:t>n</w:t>
            </w:r>
            <w:r>
              <w:rPr>
                <w:spacing w:val="-3"/>
              </w:rPr>
              <w:t>s</w:t>
            </w:r>
            <w:r>
              <w:t>u</w:t>
            </w:r>
            <w:r>
              <w:rPr>
                <w:spacing w:val="1"/>
              </w:rPr>
              <w:t>l</w:t>
            </w:r>
            <w:r>
              <w:t>t</w:t>
            </w:r>
            <w:r>
              <w:rPr>
                <w:spacing w:val="-1"/>
              </w:rPr>
              <w:t>a</w:t>
            </w:r>
            <w:r>
              <w:t>t</w:t>
            </w:r>
            <w:r>
              <w:rPr>
                <w:spacing w:val="1"/>
              </w:rPr>
              <w:t>i</w:t>
            </w:r>
            <w:r>
              <w:rPr>
                <w:spacing w:val="-1"/>
              </w:rPr>
              <w:t>o</w:t>
            </w:r>
            <w:r>
              <w:t>n p</w:t>
            </w:r>
            <w:r>
              <w:rPr>
                <w:spacing w:val="1"/>
              </w:rPr>
              <w:t>r</w:t>
            </w:r>
            <w:r>
              <w:rPr>
                <w:spacing w:val="-1"/>
              </w:rPr>
              <w:t>o</w:t>
            </w:r>
            <w:r>
              <w:rPr>
                <w:spacing w:val="1"/>
              </w:rPr>
              <w:t>c</w:t>
            </w:r>
            <w:r>
              <w:t>e</w:t>
            </w:r>
            <w:r>
              <w:rPr>
                <w:spacing w:val="-2"/>
              </w:rPr>
              <w:t>s</w:t>
            </w:r>
            <w:r>
              <w:t>s by</w:t>
            </w:r>
            <w:r>
              <w:rPr>
                <w:spacing w:val="-5"/>
              </w:rPr>
              <w:t xml:space="preserve"> </w:t>
            </w:r>
            <w:r>
              <w:rPr>
                <w:spacing w:val="1"/>
              </w:rPr>
              <w:t>I</w:t>
            </w:r>
            <w:r>
              <w:t>OC</w:t>
            </w:r>
            <w:r>
              <w:rPr>
                <w:spacing w:val="-2"/>
              </w:rPr>
              <w:t xml:space="preserve"> S</w:t>
            </w:r>
            <w:r>
              <w:t>e</w:t>
            </w:r>
            <w:r>
              <w:rPr>
                <w:spacing w:val="1"/>
              </w:rPr>
              <w:t>c</w:t>
            </w:r>
            <w:r>
              <w:rPr>
                <w:spacing w:val="-5"/>
              </w:rPr>
              <w:t>r</w:t>
            </w:r>
            <w:r>
              <w:t>eta</w:t>
            </w:r>
            <w:r>
              <w:rPr>
                <w:spacing w:val="1"/>
              </w:rPr>
              <w:t>ri</w:t>
            </w:r>
            <w:r>
              <w:t>a</w:t>
            </w:r>
            <w:r>
              <w:rPr>
                <w:spacing w:val="-1"/>
              </w:rPr>
              <w:t>t</w:t>
            </w:r>
            <w:r>
              <w:t>.</w:t>
            </w:r>
          </w:p>
          <w:p w14:paraId="41E0EB64" w14:textId="77777777" w:rsidR="001F570F" w:rsidRDefault="001F570F" w:rsidP="001F570F">
            <w:pPr>
              <w:pStyle w:val="NoSpacing"/>
            </w:pPr>
          </w:p>
        </w:tc>
        <w:tc>
          <w:tcPr>
            <w:tcW w:w="0" w:type="auto"/>
          </w:tcPr>
          <w:p w14:paraId="6CB32607" w14:textId="77777777" w:rsidR="001F570F" w:rsidRDefault="001F570F" w:rsidP="001F570F">
            <w:pPr>
              <w:pStyle w:val="NoSpacing"/>
            </w:pPr>
            <w:r>
              <w:rPr>
                <w:spacing w:val="1"/>
              </w:rPr>
              <w:lastRenderedPageBreak/>
              <w:t>I</w:t>
            </w:r>
            <w:r>
              <w:t>OC</w:t>
            </w:r>
            <w:r>
              <w:rPr>
                <w:spacing w:val="-1"/>
              </w:rPr>
              <w:t xml:space="preserve"> </w:t>
            </w:r>
            <w:r>
              <w:t>f</w:t>
            </w:r>
            <w:r>
              <w:rPr>
                <w:spacing w:val="-1"/>
              </w:rPr>
              <w:t>o</w:t>
            </w:r>
            <w:r>
              <w:rPr>
                <w:spacing w:val="1"/>
              </w:rPr>
              <w:t>c</w:t>
            </w:r>
            <w:r>
              <w:t>al</w:t>
            </w:r>
            <w:r>
              <w:rPr>
                <w:spacing w:val="-3"/>
              </w:rPr>
              <w:t xml:space="preserve"> </w:t>
            </w:r>
            <w:r>
              <w:t>p</w:t>
            </w:r>
            <w:r>
              <w:rPr>
                <w:spacing w:val="-1"/>
              </w:rPr>
              <w:t>o</w:t>
            </w:r>
            <w:r>
              <w:rPr>
                <w:spacing w:val="1"/>
              </w:rPr>
              <w:t>i</w:t>
            </w:r>
            <w:r>
              <w:t xml:space="preserve">nts </w:t>
            </w:r>
          </w:p>
          <w:p w14:paraId="2FC6DE6B" w14:textId="77777777" w:rsidR="001F570F" w:rsidRDefault="001F570F" w:rsidP="001F570F">
            <w:pPr>
              <w:pStyle w:val="NoSpacing"/>
            </w:pPr>
          </w:p>
          <w:p w14:paraId="7B4F7CB8" w14:textId="77777777" w:rsidR="001F570F" w:rsidRDefault="001F570F" w:rsidP="001F570F">
            <w:pPr>
              <w:pStyle w:val="NoSpacing"/>
            </w:pPr>
            <w:r>
              <w:rPr>
                <w:spacing w:val="-1"/>
              </w:rPr>
              <w:t>N</w:t>
            </w:r>
            <w:r>
              <w:rPr>
                <w:spacing w:val="-2"/>
              </w:rPr>
              <w:t>S</w:t>
            </w:r>
            <w:r>
              <w:t>Os</w:t>
            </w:r>
          </w:p>
          <w:p w14:paraId="3370947B" w14:textId="77777777" w:rsidR="001F570F" w:rsidRDefault="001F570F" w:rsidP="001F570F">
            <w:pPr>
              <w:pStyle w:val="NoSpacing"/>
            </w:pPr>
          </w:p>
          <w:p w14:paraId="00FD136C" w14:textId="77777777" w:rsidR="001F570F" w:rsidRDefault="001F570F" w:rsidP="001F570F">
            <w:pPr>
              <w:pStyle w:val="NoSpacing"/>
            </w:pPr>
            <w:r>
              <w:t>U</w:t>
            </w:r>
            <w:r>
              <w:rPr>
                <w:spacing w:val="2"/>
              </w:rPr>
              <w:t>I</w:t>
            </w:r>
            <w:r>
              <w:t>S</w:t>
            </w:r>
          </w:p>
          <w:p w14:paraId="07DEB675" w14:textId="77777777" w:rsidR="001F570F" w:rsidRPr="004A061B" w:rsidRDefault="001F570F" w:rsidP="001F570F">
            <w:pPr>
              <w:pStyle w:val="NoSpacing"/>
            </w:pPr>
          </w:p>
        </w:tc>
        <w:tc>
          <w:tcPr>
            <w:tcW w:w="0" w:type="auto"/>
          </w:tcPr>
          <w:p w14:paraId="56C6085F" w14:textId="21BF8836" w:rsidR="001F570F" w:rsidRDefault="001F570F" w:rsidP="001F570F">
            <w:pPr>
              <w:pStyle w:val="NoSpacing"/>
            </w:pPr>
          </w:p>
        </w:tc>
        <w:tc>
          <w:tcPr>
            <w:tcW w:w="0" w:type="auto"/>
          </w:tcPr>
          <w:p w14:paraId="063C1432" w14:textId="77777777" w:rsidR="001F570F" w:rsidRDefault="001F570F" w:rsidP="001F570F">
            <w:pPr>
              <w:pStyle w:val="NoSpacing"/>
            </w:pPr>
            <w:r>
              <w:t>FD</w:t>
            </w:r>
          </w:p>
          <w:p w14:paraId="49DF7EB5" w14:textId="77777777" w:rsidR="001F570F" w:rsidRDefault="001F570F" w:rsidP="001F570F">
            <w:pPr>
              <w:pStyle w:val="NoSpacing"/>
            </w:pPr>
            <w:r>
              <w:t>MoS</w:t>
            </w:r>
          </w:p>
          <w:p w14:paraId="1E0CB69B" w14:textId="77777777" w:rsidR="001F570F" w:rsidRDefault="001F570F" w:rsidP="001F570F">
            <w:pPr>
              <w:pStyle w:val="NoSpacing"/>
              <w:rPr>
                <w:color w:val="0070C0"/>
                <w:sz w:val="30"/>
                <w:szCs w:val="30"/>
              </w:rPr>
            </w:pPr>
            <w:r w:rsidRPr="00286F19">
              <w:t>Administra</w:t>
            </w:r>
            <w:r w:rsidRPr="00286F19">
              <w:lastRenderedPageBreak/>
              <w:t>tive Data</w:t>
            </w:r>
          </w:p>
        </w:tc>
        <w:tc>
          <w:tcPr>
            <w:tcW w:w="0" w:type="auto"/>
          </w:tcPr>
          <w:p w14:paraId="68C60B68" w14:textId="77777777" w:rsidR="001F570F" w:rsidRDefault="001F570F" w:rsidP="001F570F">
            <w:pPr>
              <w:ind w:left="970" w:hanging="970"/>
              <w:jc w:val="both"/>
              <w:rPr>
                <w:color w:val="0070C0"/>
                <w:sz w:val="30"/>
                <w:szCs w:val="30"/>
              </w:rPr>
            </w:pPr>
            <w:r>
              <w:lastRenderedPageBreak/>
              <w:t>Not Ap</w:t>
            </w:r>
            <w:r>
              <w:lastRenderedPageBreak/>
              <w:t>plicable</w:t>
            </w:r>
          </w:p>
        </w:tc>
        <w:tc>
          <w:tcPr>
            <w:tcW w:w="0" w:type="auto"/>
          </w:tcPr>
          <w:p w14:paraId="10B09057" w14:textId="77777777" w:rsidR="001F570F" w:rsidRDefault="001F570F" w:rsidP="001F570F">
            <w:pPr>
              <w:ind w:left="970" w:hanging="970"/>
              <w:jc w:val="both"/>
              <w:rPr>
                <w:color w:val="0070C0"/>
                <w:sz w:val="30"/>
                <w:szCs w:val="30"/>
              </w:rPr>
            </w:pPr>
            <w:r>
              <w:lastRenderedPageBreak/>
              <w:t>Annual</w:t>
            </w:r>
          </w:p>
        </w:tc>
        <w:tc>
          <w:tcPr>
            <w:tcW w:w="0" w:type="auto"/>
          </w:tcPr>
          <w:p w14:paraId="609E213C" w14:textId="77777777" w:rsidR="001F570F" w:rsidRDefault="001F570F" w:rsidP="001F570F">
            <w:pPr>
              <w:ind w:left="970" w:hanging="970"/>
              <w:jc w:val="both"/>
              <w:rPr>
                <w:color w:val="0070C0"/>
                <w:sz w:val="30"/>
                <w:szCs w:val="30"/>
              </w:rPr>
            </w:pPr>
            <w:r>
              <w:t>Group 2</w:t>
            </w:r>
          </w:p>
        </w:tc>
        <w:tc>
          <w:tcPr>
            <w:tcW w:w="0" w:type="auto"/>
          </w:tcPr>
          <w:p w14:paraId="0B4970F4" w14:textId="77777777" w:rsidR="001F570F" w:rsidRDefault="001F570F" w:rsidP="001F570F">
            <w:pPr>
              <w:pStyle w:val="NoSpacing"/>
            </w:pPr>
            <w:r>
              <w:t>1</w:t>
            </w:r>
            <w:r w:rsidRPr="00013ACB">
              <w:rPr>
                <w:vertAlign w:val="superscript"/>
              </w:rPr>
              <w:t>st</w:t>
            </w:r>
            <w:r>
              <w:t xml:space="preserve"> Round:</w:t>
            </w:r>
          </w:p>
          <w:p w14:paraId="1B7F0700" w14:textId="77777777" w:rsidR="001F570F" w:rsidRDefault="001F570F" w:rsidP="001F570F">
            <w:pPr>
              <w:pStyle w:val="NoSpacing"/>
            </w:pPr>
            <w:r w:rsidRPr="00670519">
              <w:t>January</w:t>
            </w:r>
            <w:r w:rsidRPr="00670519">
              <w:lastRenderedPageBreak/>
              <w:t>, 2019</w:t>
            </w:r>
          </w:p>
          <w:p w14:paraId="733C53FA" w14:textId="77777777" w:rsidR="001F570F" w:rsidRDefault="001F570F" w:rsidP="001F570F">
            <w:pPr>
              <w:pStyle w:val="NoSpacing"/>
            </w:pPr>
          </w:p>
          <w:p w14:paraId="6C6E9AE0" w14:textId="77777777" w:rsidR="001F570F" w:rsidRDefault="001F570F" w:rsidP="001F570F">
            <w:pPr>
              <w:pStyle w:val="NoSpacing"/>
            </w:pPr>
            <w:r>
              <w:t>2</w:t>
            </w:r>
            <w:r w:rsidRPr="00013ACB">
              <w:rPr>
                <w:vertAlign w:val="superscript"/>
              </w:rPr>
              <w:t>nd</w:t>
            </w:r>
            <w:r>
              <w:t xml:space="preserve"> Round:</w:t>
            </w:r>
          </w:p>
          <w:p w14:paraId="6A38635B" w14:textId="77777777" w:rsidR="001F570F" w:rsidRDefault="001F570F" w:rsidP="001F570F">
            <w:pPr>
              <w:pStyle w:val="NoSpacing"/>
            </w:pPr>
            <w:r>
              <w:t xml:space="preserve"> June 2020</w:t>
            </w:r>
          </w:p>
          <w:p w14:paraId="10488E20" w14:textId="77777777" w:rsidR="001F570F" w:rsidRDefault="001F570F" w:rsidP="001F570F">
            <w:pPr>
              <w:pStyle w:val="NoSpacing"/>
            </w:pPr>
          </w:p>
          <w:p w14:paraId="4A8122F6" w14:textId="77777777" w:rsidR="001F570F" w:rsidRDefault="001F570F" w:rsidP="001F570F">
            <w:pPr>
              <w:pStyle w:val="NoSpacing"/>
            </w:pPr>
            <w:r>
              <w:t>3</w:t>
            </w:r>
            <w:r w:rsidRPr="00013ACB">
              <w:rPr>
                <w:vertAlign w:val="superscript"/>
              </w:rPr>
              <w:t>rd</w:t>
            </w:r>
            <w:r>
              <w:t xml:space="preserve"> Round: </w:t>
            </w:r>
          </w:p>
          <w:p w14:paraId="57272031" w14:textId="77777777" w:rsidR="001F570F" w:rsidRDefault="001F570F" w:rsidP="001F570F">
            <w:pPr>
              <w:pStyle w:val="NoSpacing"/>
            </w:pPr>
            <w:r>
              <w:t>June 2021</w:t>
            </w:r>
          </w:p>
          <w:p w14:paraId="130AD610" w14:textId="77777777" w:rsidR="001F570F" w:rsidRDefault="001F570F" w:rsidP="001F570F">
            <w:pPr>
              <w:pStyle w:val="NoSpacing"/>
            </w:pPr>
          </w:p>
          <w:p w14:paraId="21C2EA9F" w14:textId="77777777" w:rsidR="001F570F" w:rsidRDefault="001F570F" w:rsidP="001F570F">
            <w:pPr>
              <w:pStyle w:val="NoSpacing"/>
            </w:pPr>
            <w:r>
              <w:t>4</w:t>
            </w:r>
            <w:r w:rsidRPr="00013ACB">
              <w:rPr>
                <w:vertAlign w:val="superscript"/>
              </w:rPr>
              <w:t>th</w:t>
            </w:r>
            <w:r>
              <w:t xml:space="preserve"> Round: </w:t>
            </w:r>
          </w:p>
          <w:p w14:paraId="4DAFA230" w14:textId="77777777" w:rsidR="001F570F" w:rsidRDefault="001F570F" w:rsidP="001F570F">
            <w:pPr>
              <w:pStyle w:val="NoSpacing"/>
            </w:pPr>
            <w:r>
              <w:t>June 2022</w:t>
            </w:r>
          </w:p>
          <w:p w14:paraId="65EDEFC4" w14:textId="77777777" w:rsidR="001F570F" w:rsidRDefault="001F570F" w:rsidP="001F570F">
            <w:pPr>
              <w:pStyle w:val="NoSpacing"/>
            </w:pPr>
          </w:p>
          <w:p w14:paraId="7414145B" w14:textId="77777777" w:rsidR="001F570F" w:rsidRDefault="001F570F" w:rsidP="001F570F">
            <w:pPr>
              <w:pStyle w:val="NoSpacing"/>
            </w:pPr>
            <w:r>
              <w:t>5</w:t>
            </w:r>
            <w:r w:rsidRPr="00013ACB">
              <w:rPr>
                <w:vertAlign w:val="superscript"/>
              </w:rPr>
              <w:t>th</w:t>
            </w:r>
            <w:r>
              <w:t xml:space="preserve"> Round: </w:t>
            </w:r>
          </w:p>
          <w:p w14:paraId="2D6DED83" w14:textId="4BD94693" w:rsidR="001F570F" w:rsidRPr="00670519" w:rsidRDefault="001F570F" w:rsidP="001F570F">
            <w:pPr>
              <w:pStyle w:val="NoSpacing"/>
            </w:pPr>
            <w:r>
              <w:t>June 2023</w:t>
            </w:r>
          </w:p>
        </w:tc>
        <w:tc>
          <w:tcPr>
            <w:tcW w:w="0" w:type="auto"/>
          </w:tcPr>
          <w:p w14:paraId="6D3D97F3" w14:textId="77777777" w:rsidR="001F570F" w:rsidRDefault="001F570F" w:rsidP="001F570F">
            <w:pPr>
              <w:pStyle w:val="NoSpacing"/>
            </w:pPr>
            <w:r w:rsidRPr="00A44F30">
              <w:lastRenderedPageBreak/>
              <w:t>FD is not responsible for data</w:t>
            </w:r>
          </w:p>
          <w:p w14:paraId="6EFB2B8D" w14:textId="77777777" w:rsidR="001F570F" w:rsidRDefault="001F570F" w:rsidP="001F570F">
            <w:pPr>
              <w:pStyle w:val="NoSpacing"/>
            </w:pPr>
          </w:p>
          <w:p w14:paraId="34C2BE2E" w14:textId="77777777" w:rsidR="001F570F" w:rsidRPr="005D28FF" w:rsidRDefault="001F570F" w:rsidP="001F570F">
            <w:pPr>
              <w:pStyle w:val="NoSpacing"/>
            </w:pPr>
            <w:r w:rsidRPr="00B6234F">
              <w:t>Reviewed at 6th IAEG-SDG meeting (classified as Tier II)</w:t>
            </w:r>
          </w:p>
        </w:tc>
      </w:tr>
      <w:tr w:rsidR="001F570F" w14:paraId="475255D2" w14:textId="77777777" w:rsidTr="00A64F0D">
        <w:tc>
          <w:tcPr>
            <w:tcW w:w="0" w:type="auto"/>
          </w:tcPr>
          <w:p w14:paraId="50E3929B" w14:textId="77777777" w:rsidR="001F570F" w:rsidRDefault="001F570F" w:rsidP="001F570F">
            <w:pPr>
              <w:ind w:left="970" w:hanging="970"/>
              <w:jc w:val="both"/>
              <w:rPr>
                <w:color w:val="0070C0"/>
                <w:sz w:val="30"/>
                <w:szCs w:val="30"/>
              </w:rPr>
            </w:pPr>
          </w:p>
        </w:tc>
        <w:tc>
          <w:tcPr>
            <w:tcW w:w="0" w:type="auto"/>
            <w:gridSpan w:val="12"/>
          </w:tcPr>
          <w:p w14:paraId="457C2989"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14.a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r>
      <w:tr w:rsidR="001F570F" w14:paraId="70CCD6BF" w14:textId="77777777" w:rsidTr="00A64F0D">
        <w:tc>
          <w:tcPr>
            <w:tcW w:w="0" w:type="auto"/>
          </w:tcPr>
          <w:p w14:paraId="3CB32617" w14:textId="77777777" w:rsidR="001F570F" w:rsidRDefault="001F570F" w:rsidP="001F570F">
            <w:pPr>
              <w:pStyle w:val="NoSpacing"/>
            </w:pPr>
            <w:r w:rsidRPr="000221E2">
              <w:t>14.b.1 Degree of application of a legal/regulatory/policy/institutional framework which recognizes and protects access rights for small</w:t>
            </w:r>
            <w:r w:rsidRPr="000221E2">
              <w:rPr>
                <w:rFonts w:ascii="Cambria Math" w:hAnsi="Cambria Math" w:cs="Cambria Math"/>
              </w:rPr>
              <w:t>‐</w:t>
            </w:r>
            <w:r w:rsidRPr="000221E2">
              <w:t>scale fisheries</w:t>
            </w:r>
          </w:p>
        </w:tc>
        <w:tc>
          <w:tcPr>
            <w:tcW w:w="0" w:type="auto"/>
          </w:tcPr>
          <w:p w14:paraId="3FC9212A" w14:textId="77777777" w:rsidR="001F570F" w:rsidRDefault="001F570F" w:rsidP="001F570F">
            <w:pPr>
              <w:ind w:left="970" w:hanging="970"/>
              <w:jc w:val="both"/>
              <w:rPr>
                <w:color w:val="0070C0"/>
                <w:sz w:val="30"/>
                <w:szCs w:val="30"/>
              </w:rPr>
            </w:pPr>
          </w:p>
          <w:p w14:paraId="220A15D0" w14:textId="77777777" w:rsidR="001F570F" w:rsidRDefault="001F570F" w:rsidP="001F570F">
            <w:pPr>
              <w:rPr>
                <w:b/>
                <w:bCs/>
                <w:szCs w:val="20"/>
              </w:rPr>
            </w:pPr>
            <w:r>
              <w:rPr>
                <w:b/>
                <w:bCs/>
                <w:szCs w:val="20"/>
              </w:rPr>
              <w:t>FAO</w:t>
            </w:r>
          </w:p>
          <w:p w14:paraId="77F37FF6" w14:textId="77777777" w:rsidR="001F570F" w:rsidRDefault="001F570F" w:rsidP="001F570F">
            <w:pPr>
              <w:ind w:left="970" w:hanging="970"/>
              <w:jc w:val="both"/>
              <w:rPr>
                <w:color w:val="0070C0"/>
                <w:sz w:val="30"/>
                <w:szCs w:val="30"/>
              </w:rPr>
            </w:pPr>
          </w:p>
        </w:tc>
        <w:tc>
          <w:tcPr>
            <w:tcW w:w="0" w:type="auto"/>
          </w:tcPr>
          <w:p w14:paraId="5380F16F" w14:textId="77777777" w:rsidR="001F570F" w:rsidRDefault="001F570F" w:rsidP="001F570F">
            <w:pPr>
              <w:ind w:left="970" w:hanging="970"/>
              <w:jc w:val="both"/>
              <w:rPr>
                <w:color w:val="0070C0"/>
                <w:sz w:val="30"/>
                <w:szCs w:val="30"/>
              </w:rPr>
            </w:pPr>
            <w:r>
              <w:t>Tier I</w:t>
            </w:r>
          </w:p>
        </w:tc>
        <w:tc>
          <w:tcPr>
            <w:tcW w:w="0" w:type="auto"/>
          </w:tcPr>
          <w:p w14:paraId="14BB0CEA" w14:textId="77777777" w:rsidR="001F570F" w:rsidRPr="00CC53C2" w:rsidRDefault="001F570F" w:rsidP="001F570F">
            <w:pPr>
              <w:pStyle w:val="NoSpacing"/>
              <w:rPr>
                <w:b/>
                <w:bCs/>
                <w:lang w:val="en-GB"/>
              </w:rPr>
            </w:pPr>
            <w:r w:rsidRPr="00CC53C2">
              <w:rPr>
                <w:b/>
                <w:bCs/>
                <w:lang w:val="en-GB"/>
              </w:rPr>
              <w:t>Definition:</w:t>
            </w:r>
          </w:p>
          <w:p w14:paraId="66EB1B76" w14:textId="77777777" w:rsidR="001F570F" w:rsidRPr="00CC53C2" w:rsidRDefault="001F570F" w:rsidP="001F570F">
            <w:pPr>
              <w:pStyle w:val="NoSpacing"/>
              <w:rPr>
                <w:lang w:val="en-GB"/>
              </w:rPr>
            </w:pPr>
            <w:r w:rsidRPr="00CC53C2">
              <w:rPr>
                <w:lang w:val="en-GB"/>
              </w:rPr>
              <w:t>Progress by number of countries in the degree of application of a legal/regulatory/policy/institutional framework which recognizes and protects access rights for small-scale fisheries.</w:t>
            </w:r>
          </w:p>
          <w:p w14:paraId="64896F62" w14:textId="77777777" w:rsidR="001F570F" w:rsidRPr="00CC53C2" w:rsidRDefault="001F570F" w:rsidP="001F570F">
            <w:pPr>
              <w:pStyle w:val="NoSpacing"/>
              <w:rPr>
                <w:lang w:val="en-GB"/>
              </w:rPr>
            </w:pPr>
          </w:p>
          <w:p w14:paraId="0782E390" w14:textId="77777777" w:rsidR="001F570F" w:rsidRPr="00CC53C2" w:rsidRDefault="001F570F" w:rsidP="001F570F">
            <w:pPr>
              <w:pStyle w:val="NoSpacing"/>
              <w:rPr>
                <w:lang w:val="en-GB"/>
              </w:rPr>
            </w:pPr>
            <w:r w:rsidRPr="00CC53C2">
              <w:rPr>
                <w:b/>
                <w:bCs/>
                <w:lang w:val="en-GB"/>
              </w:rPr>
              <w:t>Concepts:</w:t>
            </w:r>
          </w:p>
          <w:p w14:paraId="4360C070" w14:textId="77777777" w:rsidR="001F570F" w:rsidRPr="00CC53C2" w:rsidRDefault="001F570F" w:rsidP="001F570F">
            <w:pPr>
              <w:pStyle w:val="NoSpacing"/>
              <w:rPr>
                <w:lang w:val="en-GB"/>
              </w:rPr>
            </w:pPr>
            <w:r w:rsidRPr="00CC53C2">
              <w:rPr>
                <w:lang w:val="en-GB"/>
              </w:rPr>
              <w:t xml:space="preserve">National Statistical Systems already collect fisheries-relevant data, with a focus on production, employment, and trade. Relevant concepts can be found at </w:t>
            </w:r>
            <w:hyperlink r:id="rId120" w:history="1">
              <w:r w:rsidRPr="00CC53C2">
                <w:rPr>
                  <w:rStyle w:val="Hyperlink"/>
                  <w:lang w:val="en-GB"/>
                </w:rPr>
                <w:t>CWP Handbook of Fishery Statistical Standards</w:t>
              </w:r>
            </w:hyperlink>
            <w:r w:rsidRPr="00CC53C2">
              <w:rPr>
                <w:lang w:val="en-GB"/>
              </w:rPr>
              <w:t xml:space="preserve"> of the Coordinating Working Party on Fisheries Statistics (CWP). </w:t>
            </w:r>
          </w:p>
          <w:p w14:paraId="71C35A35" w14:textId="77777777" w:rsidR="001F570F" w:rsidRPr="00CC53C2" w:rsidRDefault="001F570F" w:rsidP="001F570F">
            <w:pPr>
              <w:pStyle w:val="NoSpacing"/>
              <w:rPr>
                <w:lang w:val="en-GB"/>
              </w:rPr>
            </w:pPr>
          </w:p>
          <w:p w14:paraId="6E689511" w14:textId="77777777" w:rsidR="001F570F" w:rsidRPr="00CC53C2" w:rsidRDefault="001F570F" w:rsidP="001F570F">
            <w:pPr>
              <w:pStyle w:val="NoSpacing"/>
              <w:rPr>
                <w:b/>
                <w:bCs/>
                <w:lang w:val="en-GB"/>
              </w:rPr>
            </w:pPr>
            <w:r w:rsidRPr="00CC53C2">
              <w:rPr>
                <w:b/>
                <w:bCs/>
                <w:lang w:val="en-GB"/>
              </w:rPr>
              <w:t>Comments and limitations:</w:t>
            </w:r>
          </w:p>
          <w:p w14:paraId="3D2BAA15" w14:textId="77777777" w:rsidR="001F570F" w:rsidRPr="00CC53C2" w:rsidRDefault="001F570F" w:rsidP="001F570F">
            <w:pPr>
              <w:pStyle w:val="NoSpacing"/>
              <w:rPr>
                <w:lang w:val="en-GB"/>
              </w:rPr>
            </w:pPr>
            <w:r w:rsidRPr="00CC53C2">
              <w:rPr>
                <w:lang w:val="en-GB"/>
              </w:rPr>
              <w:t>It should be noted that while target 14.b refers to access for small-scale artisanal fishers to marine resources and markets some landlocked countries with inland fisheries have taken the opportunity to report on this indicator.</w:t>
            </w:r>
          </w:p>
          <w:p w14:paraId="4F28B9AD" w14:textId="77777777" w:rsidR="001F570F" w:rsidRPr="00CC53C2" w:rsidRDefault="001F570F" w:rsidP="001F570F">
            <w:pPr>
              <w:pStyle w:val="NoSpacing"/>
              <w:rPr>
                <w:lang w:val="en-GB"/>
              </w:rPr>
            </w:pPr>
          </w:p>
          <w:p w14:paraId="6867F7B7" w14:textId="77777777" w:rsidR="001F570F" w:rsidRPr="00CC53C2" w:rsidRDefault="001F570F" w:rsidP="001F570F">
            <w:pPr>
              <w:pStyle w:val="NoSpacing"/>
              <w:rPr>
                <w:lang w:val="en-GB"/>
              </w:rPr>
            </w:pPr>
            <w:r w:rsidRPr="00CC53C2">
              <w:rPr>
                <w:lang w:val="en-GB"/>
              </w:rPr>
              <w:lastRenderedPageBreak/>
              <w:t>Methodology</w:t>
            </w:r>
          </w:p>
          <w:p w14:paraId="77970776" w14:textId="77777777" w:rsidR="001F570F" w:rsidRPr="00CC53C2" w:rsidRDefault="001F570F" w:rsidP="001F570F">
            <w:pPr>
              <w:pStyle w:val="NoSpacing"/>
              <w:rPr>
                <w:b/>
                <w:bCs/>
                <w:lang w:val="en-GB"/>
              </w:rPr>
            </w:pPr>
          </w:p>
          <w:p w14:paraId="78062DDA" w14:textId="77777777" w:rsidR="001F570F" w:rsidRPr="00CC53C2" w:rsidRDefault="001F570F" w:rsidP="001F570F">
            <w:pPr>
              <w:pStyle w:val="NoSpacing"/>
              <w:rPr>
                <w:lang w:val="en-GB"/>
              </w:rPr>
            </w:pPr>
            <w:r w:rsidRPr="00CC53C2">
              <w:rPr>
                <w:b/>
                <w:bCs/>
                <w:lang w:val="en-GB"/>
              </w:rPr>
              <w:t>Computation Method:</w:t>
            </w:r>
          </w:p>
          <w:p w14:paraId="201A0B4B" w14:textId="77777777" w:rsidR="001F570F" w:rsidRPr="00CC53C2" w:rsidRDefault="001F570F" w:rsidP="001F570F">
            <w:pPr>
              <w:pStyle w:val="NoSpacing"/>
              <w:rPr>
                <w:lang w:val="en-GB"/>
              </w:rPr>
            </w:pPr>
            <w:r w:rsidRPr="00CC53C2">
              <w:rPr>
                <w:lang w:val="en-GB"/>
              </w:rPr>
              <w:t xml:space="preserve">The indicator is calculated using three variables, which are given respective weightings for the final calculation. There has not been a change in the calculation, nor the use of mixed sources. </w:t>
            </w:r>
          </w:p>
          <w:p w14:paraId="223002E8" w14:textId="77777777" w:rsidR="001F570F" w:rsidRPr="00CC53C2" w:rsidRDefault="001F570F" w:rsidP="001F570F">
            <w:pPr>
              <w:pStyle w:val="NoSpacing"/>
              <w:rPr>
                <w:lang w:val="en-GB"/>
              </w:rPr>
            </w:pPr>
          </w:p>
          <w:p w14:paraId="26EC3CC6" w14:textId="77777777" w:rsidR="001F570F" w:rsidRPr="00CC53C2" w:rsidRDefault="001F570F" w:rsidP="001F570F">
            <w:pPr>
              <w:pStyle w:val="NoSpacing"/>
              <w:rPr>
                <w:lang w:val="en-GB"/>
              </w:rPr>
            </w:pPr>
            <w:r w:rsidRPr="00CC53C2">
              <w:rPr>
                <w:b/>
                <w:lang w:val="en-GB"/>
              </w:rPr>
              <w:t>Variable 1</w:t>
            </w:r>
            <w:r w:rsidRPr="00CC53C2">
              <w:rPr>
                <w:lang w:val="en-GB"/>
              </w:rPr>
              <w:t>: Existence of laws, regulations, policies, plans or strategies that specifically target or address the small-scale fisheries sector</w:t>
            </w:r>
          </w:p>
          <w:p w14:paraId="4FE43E23" w14:textId="77777777" w:rsidR="001F570F" w:rsidRPr="00CC53C2" w:rsidRDefault="001F570F" w:rsidP="001F570F">
            <w:pPr>
              <w:pStyle w:val="NoSpacing"/>
              <w:rPr>
                <w:lang w:val="en-GB"/>
              </w:rPr>
            </w:pPr>
            <w:r w:rsidRPr="00CC53C2">
              <w:rPr>
                <w:b/>
                <w:lang w:val="en-GB"/>
              </w:rPr>
              <w:t>Variable 2</w:t>
            </w:r>
            <w:r w:rsidRPr="00CC53C2">
              <w:rPr>
                <w:lang w:val="en-GB"/>
              </w:rPr>
              <w:t>: Ongoing specific initiatives to implement the SSF Guidelines</w:t>
            </w:r>
          </w:p>
          <w:p w14:paraId="0230A620" w14:textId="77777777" w:rsidR="001F570F" w:rsidRPr="00CC53C2" w:rsidRDefault="001F570F" w:rsidP="001F570F">
            <w:pPr>
              <w:pStyle w:val="NoSpacing"/>
              <w:rPr>
                <w:lang w:val="en-GB"/>
              </w:rPr>
            </w:pPr>
            <w:r w:rsidRPr="00CC53C2">
              <w:rPr>
                <w:b/>
                <w:lang w:val="en-GB"/>
              </w:rPr>
              <w:t>Variable 3</w:t>
            </w:r>
            <w:r w:rsidRPr="00CC53C2">
              <w:rPr>
                <w:lang w:val="en-GB"/>
              </w:rPr>
              <w:t xml:space="preserve">: Existence of mechanisms enabling small-scale fishers and fish workers to contribute to decision-making processes </w:t>
            </w:r>
          </w:p>
          <w:p w14:paraId="1F61D233" w14:textId="77777777" w:rsidR="001F570F" w:rsidRPr="00CC53C2" w:rsidRDefault="001F570F" w:rsidP="001F570F">
            <w:pPr>
              <w:pStyle w:val="NoSpacing"/>
              <w:rPr>
                <w:lang w:val="en-GB"/>
              </w:rPr>
            </w:pPr>
          </w:p>
          <w:p w14:paraId="06C9A754" w14:textId="77777777" w:rsidR="001F570F" w:rsidRPr="00CC53C2" w:rsidRDefault="001F570F" w:rsidP="001F570F">
            <w:pPr>
              <w:pStyle w:val="NoSpacing"/>
              <w:rPr>
                <w:lang w:val="en-GB"/>
              </w:rPr>
            </w:pPr>
            <w:r w:rsidRPr="00CC53C2">
              <w:rPr>
                <w:lang w:val="en-GB"/>
              </w:rPr>
              <w:t xml:space="preserve">Performance is scored based on the country responses to the relevant portions of three questions included in the Code of Conduct for Responsible Fisheries Questionnaire (CCRF). These questions have been transformed into weighted variables for the purpose of calculating the country scores. </w:t>
            </w:r>
            <w:r w:rsidRPr="00CC53C2">
              <w:rPr>
                <w:u w:val="single"/>
                <w:lang w:val="en-GB"/>
              </w:rPr>
              <w:t>The target has been set at a positive (‘yes’) response to all the sub-variables, resulting in a score of 1</w:t>
            </w:r>
            <w:r w:rsidRPr="00CC53C2">
              <w:rPr>
                <w:lang w:val="en-GB"/>
              </w:rPr>
              <w:t xml:space="preserve">.  </w:t>
            </w:r>
          </w:p>
          <w:p w14:paraId="0124FFDC" w14:textId="77777777" w:rsidR="001F570F" w:rsidRPr="00CC53C2" w:rsidRDefault="001F570F" w:rsidP="001F570F">
            <w:pPr>
              <w:pStyle w:val="NoSpacing"/>
              <w:rPr>
                <w:lang w:val="en-GB"/>
              </w:rPr>
            </w:pPr>
          </w:p>
          <w:tbl>
            <w:tblPr>
              <w:tblW w:w="7377" w:type="dxa"/>
              <w:jc w:val="center"/>
              <w:tblLook w:val="04A0" w:firstRow="1" w:lastRow="0" w:firstColumn="1" w:lastColumn="0" w:noHBand="0" w:noVBand="1"/>
            </w:tblPr>
            <w:tblGrid>
              <w:gridCol w:w="747"/>
              <w:gridCol w:w="1160"/>
              <w:gridCol w:w="1033"/>
              <w:gridCol w:w="458"/>
              <w:gridCol w:w="1153"/>
              <w:gridCol w:w="984"/>
              <w:gridCol w:w="1712"/>
            </w:tblGrid>
            <w:tr w:rsidR="001F570F" w:rsidRPr="00CC53C2" w14:paraId="1D60EE85" w14:textId="77777777" w:rsidTr="00A64F0D">
              <w:trPr>
                <w:trHeight w:val="300"/>
                <w:jc w:val="center"/>
              </w:trPr>
              <w:tc>
                <w:tcPr>
                  <w:tcW w:w="236" w:type="dxa"/>
                  <w:tcBorders>
                    <w:top w:val="single" w:sz="8" w:space="0" w:color="auto"/>
                    <w:left w:val="single" w:sz="8" w:space="0" w:color="auto"/>
                    <w:bottom w:val="single" w:sz="4" w:space="0" w:color="FFFFFF"/>
                    <w:right w:val="single" w:sz="8" w:space="0" w:color="auto"/>
                  </w:tcBorders>
                  <w:shd w:val="clear" w:color="auto" w:fill="auto"/>
                  <w:noWrap/>
                  <w:vAlign w:val="bottom"/>
                  <w:hideMark/>
                </w:tcPr>
                <w:p w14:paraId="03785332" w14:textId="77777777" w:rsidR="001F570F" w:rsidRPr="00CC53C2" w:rsidRDefault="001F570F" w:rsidP="001F570F">
                  <w:pPr>
                    <w:pStyle w:val="NoSpacing"/>
                  </w:pPr>
                  <w:r w:rsidRPr="00CC53C2">
                    <w:t> </w:t>
                  </w:r>
                </w:p>
              </w:tc>
              <w:tc>
                <w:tcPr>
                  <w:tcW w:w="1276" w:type="dxa"/>
                  <w:tcBorders>
                    <w:top w:val="single" w:sz="8" w:space="0" w:color="auto"/>
                    <w:left w:val="single" w:sz="8" w:space="0" w:color="auto"/>
                    <w:bottom w:val="single" w:sz="4" w:space="0" w:color="auto"/>
                    <w:right w:val="nil"/>
                  </w:tcBorders>
                  <w:shd w:val="clear" w:color="auto" w:fill="auto"/>
                  <w:noWrap/>
                  <w:vAlign w:val="bottom"/>
                  <w:hideMark/>
                </w:tcPr>
                <w:p w14:paraId="3A1C6874" w14:textId="77777777" w:rsidR="001F570F" w:rsidRPr="00CC53C2" w:rsidRDefault="001F570F" w:rsidP="001F570F">
                  <w:pPr>
                    <w:pStyle w:val="NoSpacing"/>
                    <w:rPr>
                      <w:i/>
                      <w:iCs/>
                    </w:rPr>
                  </w:pPr>
                  <w:r w:rsidRPr="00CC53C2">
                    <w:rPr>
                      <w:i/>
                      <w:iCs/>
                    </w:rPr>
                    <w:t>Sub-variables</w:t>
                  </w:r>
                </w:p>
              </w:tc>
              <w:tc>
                <w:tcPr>
                  <w:tcW w:w="1134"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EDFED75" w14:textId="77777777" w:rsidR="001F570F" w:rsidRPr="00CC53C2" w:rsidRDefault="001F570F" w:rsidP="001F570F">
                  <w:pPr>
                    <w:pStyle w:val="NoSpacing"/>
                    <w:rPr>
                      <w:i/>
                      <w:iCs/>
                    </w:rPr>
                  </w:pPr>
                  <w:r w:rsidRPr="00CC53C2">
                    <w:rPr>
                      <w:i/>
                      <w:iCs/>
                    </w:rPr>
                    <w:t>Weight</w:t>
                  </w:r>
                </w:p>
              </w:tc>
              <w:tc>
                <w:tcPr>
                  <w:tcW w:w="488" w:type="dxa"/>
                  <w:tcBorders>
                    <w:top w:val="single" w:sz="4" w:space="0" w:color="FFFFFF"/>
                    <w:left w:val="nil"/>
                    <w:bottom w:val="single" w:sz="4" w:space="0" w:color="FFFFFF"/>
                    <w:right w:val="nil"/>
                  </w:tcBorders>
                  <w:shd w:val="clear" w:color="auto" w:fill="auto"/>
                  <w:noWrap/>
                  <w:vAlign w:val="bottom"/>
                  <w:hideMark/>
                </w:tcPr>
                <w:p w14:paraId="1FA58EC0" w14:textId="77777777" w:rsidR="001F570F" w:rsidRPr="00CC53C2" w:rsidRDefault="001F570F" w:rsidP="001F570F">
                  <w:pPr>
                    <w:pStyle w:val="NoSpacing"/>
                    <w:rPr>
                      <w:i/>
                      <w:iCs/>
                    </w:rPr>
                  </w:pPr>
                  <w:r w:rsidRPr="00CC53C2">
                    <w:rPr>
                      <w:i/>
                      <w:iCs/>
                    </w:rPr>
                    <w:t> </w:t>
                  </w:r>
                </w:p>
              </w:tc>
              <w:tc>
                <w:tcPr>
                  <w:tcW w:w="1268" w:type="dxa"/>
                  <w:tcBorders>
                    <w:top w:val="single" w:sz="8" w:space="0" w:color="auto"/>
                    <w:left w:val="single" w:sz="8" w:space="0" w:color="auto"/>
                    <w:bottom w:val="nil"/>
                    <w:right w:val="single" w:sz="8" w:space="0" w:color="auto"/>
                  </w:tcBorders>
                  <w:shd w:val="clear" w:color="auto" w:fill="auto"/>
                  <w:noWrap/>
                  <w:vAlign w:val="bottom"/>
                  <w:hideMark/>
                </w:tcPr>
                <w:p w14:paraId="2D622F4C" w14:textId="77777777" w:rsidR="001F570F" w:rsidRPr="00CC53C2" w:rsidRDefault="001F570F" w:rsidP="001F570F">
                  <w:pPr>
                    <w:pStyle w:val="NoSpacing"/>
                  </w:pPr>
                  <w:r w:rsidRPr="00CC53C2">
                    <w:t> </w:t>
                  </w:r>
                </w:p>
              </w:tc>
              <w:tc>
                <w:tcPr>
                  <w:tcW w:w="1079" w:type="dxa"/>
                  <w:tcBorders>
                    <w:top w:val="single" w:sz="8" w:space="0" w:color="auto"/>
                    <w:left w:val="nil"/>
                    <w:bottom w:val="single" w:sz="4" w:space="0" w:color="auto"/>
                    <w:right w:val="nil"/>
                  </w:tcBorders>
                  <w:shd w:val="clear" w:color="auto" w:fill="auto"/>
                  <w:noWrap/>
                  <w:vAlign w:val="bottom"/>
                  <w:hideMark/>
                </w:tcPr>
                <w:p w14:paraId="2ABD3E64" w14:textId="77777777" w:rsidR="001F570F" w:rsidRPr="00CC53C2" w:rsidRDefault="001F570F" w:rsidP="001F570F">
                  <w:pPr>
                    <w:pStyle w:val="NoSpacing"/>
                  </w:pPr>
                  <w:r w:rsidRPr="00CC53C2">
                    <w:rPr>
                      <w:i/>
                      <w:iCs/>
                    </w:rPr>
                    <w:t>Sub-variables</w:t>
                  </w:r>
                </w:p>
              </w:tc>
              <w:tc>
                <w:tcPr>
                  <w:tcW w:w="189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90F5C9E" w14:textId="77777777" w:rsidR="001F570F" w:rsidRPr="00CC53C2" w:rsidRDefault="001F570F" w:rsidP="001F570F">
                  <w:pPr>
                    <w:pStyle w:val="NoSpacing"/>
                    <w:rPr>
                      <w:i/>
                      <w:iCs/>
                    </w:rPr>
                  </w:pPr>
                  <w:r w:rsidRPr="00CC53C2">
                    <w:rPr>
                      <w:i/>
                      <w:iCs/>
                    </w:rPr>
                    <w:t>Weight</w:t>
                  </w:r>
                </w:p>
              </w:tc>
            </w:tr>
            <w:tr w:rsidR="001F570F" w:rsidRPr="00CC53C2" w14:paraId="1E1BD6C7" w14:textId="77777777" w:rsidTr="00A64F0D">
              <w:trPr>
                <w:trHeight w:val="300"/>
                <w:jc w:val="center"/>
              </w:trPr>
              <w:tc>
                <w:tcPr>
                  <w:tcW w:w="236" w:type="dxa"/>
                  <w:vMerge w:val="restart"/>
                  <w:tcBorders>
                    <w:top w:val="nil"/>
                    <w:left w:val="single" w:sz="8" w:space="0" w:color="auto"/>
                    <w:bottom w:val="single" w:sz="4" w:space="0" w:color="FFFFFF"/>
                    <w:right w:val="single" w:sz="8" w:space="0" w:color="auto"/>
                  </w:tcBorders>
                  <w:shd w:val="clear" w:color="auto" w:fill="auto"/>
                  <w:noWrap/>
                  <w:vAlign w:val="center"/>
                  <w:hideMark/>
                </w:tcPr>
                <w:p w14:paraId="2AAB24FB" w14:textId="77777777" w:rsidR="001F570F" w:rsidRPr="00CC53C2" w:rsidRDefault="001F570F" w:rsidP="001F570F">
                  <w:pPr>
                    <w:pStyle w:val="NoSpacing"/>
                    <w:rPr>
                      <w:b/>
                      <w:bCs/>
                      <w:i/>
                      <w:iCs/>
                    </w:rPr>
                  </w:pPr>
                  <w:r w:rsidRPr="00CC53C2">
                    <w:rPr>
                      <w:b/>
                      <w:bCs/>
                      <w:i/>
                      <w:iCs/>
                    </w:rPr>
                    <w:t>Variable 1</w:t>
                  </w:r>
                </w:p>
              </w:tc>
              <w:tc>
                <w:tcPr>
                  <w:tcW w:w="1276" w:type="dxa"/>
                  <w:tcBorders>
                    <w:top w:val="nil"/>
                    <w:left w:val="nil"/>
                    <w:bottom w:val="single" w:sz="4" w:space="0" w:color="FFFFFF"/>
                    <w:right w:val="nil"/>
                  </w:tcBorders>
                  <w:shd w:val="clear" w:color="auto" w:fill="auto"/>
                  <w:noWrap/>
                  <w:vAlign w:val="bottom"/>
                  <w:hideMark/>
                </w:tcPr>
                <w:p w14:paraId="02B681A9" w14:textId="77777777" w:rsidR="001F570F" w:rsidRPr="00CC53C2" w:rsidRDefault="001F570F" w:rsidP="001F570F">
                  <w:pPr>
                    <w:pStyle w:val="NoSpacing"/>
                  </w:pPr>
                  <w:r w:rsidRPr="00CC53C2">
                    <w:t>1.1</w:t>
                  </w:r>
                </w:p>
              </w:tc>
              <w:tc>
                <w:tcPr>
                  <w:tcW w:w="1134" w:type="dxa"/>
                  <w:tcBorders>
                    <w:top w:val="nil"/>
                    <w:left w:val="single" w:sz="4" w:space="0" w:color="auto"/>
                    <w:bottom w:val="single" w:sz="4" w:space="0" w:color="FFFFFF"/>
                    <w:right w:val="single" w:sz="8" w:space="0" w:color="auto"/>
                  </w:tcBorders>
                  <w:shd w:val="clear" w:color="auto" w:fill="auto"/>
                  <w:noWrap/>
                  <w:vAlign w:val="bottom"/>
                  <w:hideMark/>
                </w:tcPr>
                <w:p w14:paraId="2E98E705" w14:textId="77777777" w:rsidR="001F570F" w:rsidRPr="00CC53C2" w:rsidRDefault="001F570F" w:rsidP="001F570F">
                  <w:pPr>
                    <w:pStyle w:val="NoSpacing"/>
                  </w:pPr>
                  <w:r w:rsidRPr="00CC53C2">
                    <w:t>0.1</w:t>
                  </w:r>
                </w:p>
              </w:tc>
              <w:tc>
                <w:tcPr>
                  <w:tcW w:w="488" w:type="dxa"/>
                  <w:tcBorders>
                    <w:top w:val="nil"/>
                    <w:left w:val="nil"/>
                    <w:bottom w:val="single" w:sz="4" w:space="0" w:color="FFFFFF"/>
                    <w:right w:val="nil"/>
                  </w:tcBorders>
                  <w:shd w:val="clear" w:color="auto" w:fill="auto"/>
                  <w:noWrap/>
                  <w:vAlign w:val="bottom"/>
                  <w:hideMark/>
                </w:tcPr>
                <w:p w14:paraId="3AE36E41" w14:textId="77777777" w:rsidR="001F570F" w:rsidRPr="00CC53C2" w:rsidRDefault="001F570F" w:rsidP="001F570F">
                  <w:pPr>
                    <w:pStyle w:val="NoSpacing"/>
                  </w:pPr>
                  <w:r w:rsidRPr="00CC53C2">
                    <w:t> </w:t>
                  </w:r>
                </w:p>
              </w:tc>
              <w:tc>
                <w:tcPr>
                  <w:tcW w:w="126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099060" w14:textId="77777777" w:rsidR="001F570F" w:rsidRPr="00CC53C2" w:rsidRDefault="001F570F" w:rsidP="001F570F">
                  <w:pPr>
                    <w:pStyle w:val="NoSpacing"/>
                    <w:rPr>
                      <w:b/>
                      <w:bCs/>
                      <w:i/>
                      <w:iCs/>
                    </w:rPr>
                  </w:pPr>
                  <w:r w:rsidRPr="00CC53C2">
                    <w:rPr>
                      <w:b/>
                      <w:bCs/>
                      <w:i/>
                      <w:iCs/>
                    </w:rPr>
                    <w:t>Variable 2</w:t>
                  </w:r>
                </w:p>
              </w:tc>
              <w:tc>
                <w:tcPr>
                  <w:tcW w:w="1079" w:type="dxa"/>
                  <w:tcBorders>
                    <w:top w:val="nil"/>
                    <w:left w:val="nil"/>
                    <w:bottom w:val="single" w:sz="4" w:space="0" w:color="FFFFFF"/>
                    <w:right w:val="nil"/>
                  </w:tcBorders>
                  <w:shd w:val="clear" w:color="auto" w:fill="auto"/>
                  <w:noWrap/>
                  <w:vAlign w:val="center"/>
                  <w:hideMark/>
                </w:tcPr>
                <w:p w14:paraId="03F487C6" w14:textId="77777777" w:rsidR="001F570F" w:rsidRPr="00CC53C2" w:rsidRDefault="001F570F" w:rsidP="001F570F">
                  <w:pPr>
                    <w:pStyle w:val="NoSpacing"/>
                    <w:rPr>
                      <w:i/>
                      <w:iCs/>
                    </w:rPr>
                  </w:pPr>
                  <w:r w:rsidRPr="00CC53C2">
                    <w:rPr>
                      <w:i/>
                      <w:iCs/>
                    </w:rPr>
                    <w:t>2.1</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570962B0" w14:textId="77777777" w:rsidR="001F570F" w:rsidRPr="00CC53C2" w:rsidRDefault="001F570F" w:rsidP="001F570F">
                  <w:pPr>
                    <w:pStyle w:val="NoSpacing"/>
                  </w:pPr>
                  <w:r w:rsidRPr="00CC53C2">
                    <w:t>0.03</w:t>
                  </w:r>
                </w:p>
              </w:tc>
            </w:tr>
            <w:tr w:rsidR="001F570F" w:rsidRPr="00CC53C2" w14:paraId="3C7D7824" w14:textId="77777777" w:rsidTr="00A64F0D">
              <w:trPr>
                <w:trHeight w:val="300"/>
                <w:jc w:val="center"/>
              </w:trPr>
              <w:tc>
                <w:tcPr>
                  <w:tcW w:w="236" w:type="dxa"/>
                  <w:vMerge/>
                  <w:tcBorders>
                    <w:top w:val="nil"/>
                    <w:left w:val="single" w:sz="8" w:space="0" w:color="auto"/>
                    <w:bottom w:val="single" w:sz="4" w:space="0" w:color="FFFFFF"/>
                    <w:right w:val="single" w:sz="8" w:space="0" w:color="auto"/>
                  </w:tcBorders>
                  <w:vAlign w:val="center"/>
                  <w:hideMark/>
                </w:tcPr>
                <w:p w14:paraId="2D0B45CB" w14:textId="77777777" w:rsidR="001F570F" w:rsidRPr="00CC53C2" w:rsidRDefault="001F570F" w:rsidP="001F570F">
                  <w:pPr>
                    <w:pStyle w:val="NoSpacing"/>
                    <w:rPr>
                      <w:b/>
                      <w:bCs/>
                      <w:i/>
                      <w:iCs/>
                    </w:rPr>
                  </w:pPr>
                </w:p>
              </w:tc>
              <w:tc>
                <w:tcPr>
                  <w:tcW w:w="1276" w:type="dxa"/>
                  <w:tcBorders>
                    <w:top w:val="nil"/>
                    <w:left w:val="nil"/>
                    <w:bottom w:val="single" w:sz="4" w:space="0" w:color="FFFFFF"/>
                    <w:right w:val="nil"/>
                  </w:tcBorders>
                  <w:shd w:val="clear" w:color="auto" w:fill="auto"/>
                  <w:noWrap/>
                  <w:vAlign w:val="bottom"/>
                  <w:hideMark/>
                </w:tcPr>
                <w:p w14:paraId="24814AC0" w14:textId="77777777" w:rsidR="001F570F" w:rsidRPr="00CC53C2" w:rsidRDefault="001F570F" w:rsidP="001F570F">
                  <w:pPr>
                    <w:pStyle w:val="NoSpacing"/>
                  </w:pPr>
                  <w:r w:rsidRPr="00CC53C2">
                    <w:t>1.2</w:t>
                  </w:r>
                </w:p>
              </w:tc>
              <w:tc>
                <w:tcPr>
                  <w:tcW w:w="1134" w:type="dxa"/>
                  <w:tcBorders>
                    <w:top w:val="nil"/>
                    <w:left w:val="single" w:sz="4" w:space="0" w:color="auto"/>
                    <w:bottom w:val="single" w:sz="4" w:space="0" w:color="FFFFFF"/>
                    <w:right w:val="single" w:sz="8" w:space="0" w:color="auto"/>
                  </w:tcBorders>
                  <w:shd w:val="clear" w:color="auto" w:fill="auto"/>
                  <w:noWrap/>
                  <w:vAlign w:val="bottom"/>
                  <w:hideMark/>
                </w:tcPr>
                <w:p w14:paraId="0F1D5E9A" w14:textId="77777777" w:rsidR="001F570F" w:rsidRPr="00CC53C2" w:rsidRDefault="001F570F" w:rsidP="001F570F">
                  <w:pPr>
                    <w:pStyle w:val="NoSpacing"/>
                  </w:pPr>
                  <w:r w:rsidRPr="00CC53C2">
                    <w:t>0.1</w:t>
                  </w:r>
                </w:p>
              </w:tc>
              <w:tc>
                <w:tcPr>
                  <w:tcW w:w="488" w:type="dxa"/>
                  <w:tcBorders>
                    <w:top w:val="nil"/>
                    <w:left w:val="nil"/>
                    <w:bottom w:val="single" w:sz="4" w:space="0" w:color="FFFFFF"/>
                    <w:right w:val="nil"/>
                  </w:tcBorders>
                  <w:shd w:val="clear" w:color="auto" w:fill="auto"/>
                  <w:noWrap/>
                  <w:vAlign w:val="bottom"/>
                  <w:hideMark/>
                </w:tcPr>
                <w:p w14:paraId="74C2EBEB"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74E19C7D"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center"/>
                  <w:hideMark/>
                </w:tcPr>
                <w:p w14:paraId="0E3D6D03" w14:textId="77777777" w:rsidR="001F570F" w:rsidRPr="00CC53C2" w:rsidRDefault="001F570F" w:rsidP="001F570F">
                  <w:pPr>
                    <w:pStyle w:val="NoSpacing"/>
                  </w:pPr>
                  <w:r w:rsidRPr="00CC53C2">
                    <w:t>2.2</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658BBA78" w14:textId="77777777" w:rsidR="001F570F" w:rsidRPr="00CC53C2" w:rsidRDefault="001F570F" w:rsidP="001F570F">
                  <w:pPr>
                    <w:pStyle w:val="NoSpacing"/>
                  </w:pPr>
                  <w:r w:rsidRPr="00CC53C2">
                    <w:t>0.03</w:t>
                  </w:r>
                </w:p>
              </w:tc>
            </w:tr>
            <w:tr w:rsidR="001F570F" w:rsidRPr="00CC53C2" w14:paraId="67B1BD26" w14:textId="77777777" w:rsidTr="00A64F0D">
              <w:trPr>
                <w:trHeight w:val="300"/>
                <w:jc w:val="center"/>
              </w:trPr>
              <w:tc>
                <w:tcPr>
                  <w:tcW w:w="236" w:type="dxa"/>
                  <w:vMerge/>
                  <w:tcBorders>
                    <w:top w:val="nil"/>
                    <w:left w:val="single" w:sz="8" w:space="0" w:color="auto"/>
                    <w:bottom w:val="single" w:sz="4" w:space="0" w:color="FFFFFF"/>
                    <w:right w:val="single" w:sz="8" w:space="0" w:color="auto"/>
                  </w:tcBorders>
                  <w:vAlign w:val="center"/>
                  <w:hideMark/>
                </w:tcPr>
                <w:p w14:paraId="3476E228" w14:textId="77777777" w:rsidR="001F570F" w:rsidRPr="00CC53C2" w:rsidRDefault="001F570F" w:rsidP="001F570F">
                  <w:pPr>
                    <w:pStyle w:val="NoSpacing"/>
                    <w:rPr>
                      <w:b/>
                      <w:bCs/>
                      <w:i/>
                      <w:iCs/>
                    </w:rPr>
                  </w:pPr>
                </w:p>
              </w:tc>
              <w:tc>
                <w:tcPr>
                  <w:tcW w:w="1276" w:type="dxa"/>
                  <w:tcBorders>
                    <w:top w:val="nil"/>
                    <w:left w:val="nil"/>
                    <w:bottom w:val="single" w:sz="4" w:space="0" w:color="FFFFFF"/>
                    <w:right w:val="nil"/>
                  </w:tcBorders>
                  <w:shd w:val="clear" w:color="auto" w:fill="auto"/>
                  <w:noWrap/>
                  <w:vAlign w:val="bottom"/>
                  <w:hideMark/>
                </w:tcPr>
                <w:p w14:paraId="4FCEF3A5" w14:textId="77777777" w:rsidR="001F570F" w:rsidRPr="00CC53C2" w:rsidRDefault="001F570F" w:rsidP="001F570F">
                  <w:pPr>
                    <w:pStyle w:val="NoSpacing"/>
                  </w:pPr>
                  <w:r w:rsidRPr="00CC53C2">
                    <w:t>1.3</w:t>
                  </w:r>
                </w:p>
              </w:tc>
              <w:tc>
                <w:tcPr>
                  <w:tcW w:w="1134" w:type="dxa"/>
                  <w:tcBorders>
                    <w:top w:val="nil"/>
                    <w:left w:val="single" w:sz="4" w:space="0" w:color="auto"/>
                    <w:bottom w:val="single" w:sz="4" w:space="0" w:color="FFFFFF"/>
                    <w:right w:val="single" w:sz="8" w:space="0" w:color="auto"/>
                  </w:tcBorders>
                  <w:shd w:val="clear" w:color="auto" w:fill="auto"/>
                  <w:noWrap/>
                  <w:vAlign w:val="bottom"/>
                  <w:hideMark/>
                </w:tcPr>
                <w:p w14:paraId="5165D5FC" w14:textId="77777777" w:rsidR="001F570F" w:rsidRPr="00CC53C2" w:rsidRDefault="001F570F" w:rsidP="001F570F">
                  <w:pPr>
                    <w:pStyle w:val="NoSpacing"/>
                  </w:pPr>
                  <w:r w:rsidRPr="00CC53C2">
                    <w:t>0.1</w:t>
                  </w:r>
                </w:p>
              </w:tc>
              <w:tc>
                <w:tcPr>
                  <w:tcW w:w="488" w:type="dxa"/>
                  <w:tcBorders>
                    <w:top w:val="nil"/>
                    <w:left w:val="nil"/>
                    <w:bottom w:val="single" w:sz="4" w:space="0" w:color="FFFFFF"/>
                    <w:right w:val="nil"/>
                  </w:tcBorders>
                  <w:shd w:val="clear" w:color="auto" w:fill="auto"/>
                  <w:noWrap/>
                  <w:vAlign w:val="bottom"/>
                  <w:hideMark/>
                </w:tcPr>
                <w:p w14:paraId="4ACF049B"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02F082E8"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center"/>
                  <w:hideMark/>
                </w:tcPr>
                <w:p w14:paraId="5FDAB487" w14:textId="77777777" w:rsidR="001F570F" w:rsidRPr="00CC53C2" w:rsidRDefault="001F570F" w:rsidP="001F570F">
                  <w:pPr>
                    <w:pStyle w:val="NoSpacing"/>
                  </w:pPr>
                  <w:r w:rsidRPr="00CC53C2">
                    <w:t>2.3</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644C8C5D" w14:textId="77777777" w:rsidR="001F570F" w:rsidRPr="00CC53C2" w:rsidRDefault="001F570F" w:rsidP="001F570F">
                  <w:pPr>
                    <w:pStyle w:val="NoSpacing"/>
                  </w:pPr>
                  <w:r w:rsidRPr="00CC53C2">
                    <w:t>0.03</w:t>
                  </w:r>
                </w:p>
              </w:tc>
            </w:tr>
            <w:tr w:rsidR="001F570F" w:rsidRPr="00CC53C2" w14:paraId="5F14CA91" w14:textId="77777777" w:rsidTr="00A64F0D">
              <w:trPr>
                <w:trHeight w:val="300"/>
                <w:jc w:val="center"/>
              </w:trPr>
              <w:tc>
                <w:tcPr>
                  <w:tcW w:w="236" w:type="dxa"/>
                  <w:vMerge/>
                  <w:tcBorders>
                    <w:top w:val="nil"/>
                    <w:left w:val="single" w:sz="8" w:space="0" w:color="auto"/>
                    <w:bottom w:val="single" w:sz="4" w:space="0" w:color="FFFFFF"/>
                    <w:right w:val="single" w:sz="8" w:space="0" w:color="auto"/>
                  </w:tcBorders>
                  <w:vAlign w:val="center"/>
                  <w:hideMark/>
                </w:tcPr>
                <w:p w14:paraId="28B25431" w14:textId="77777777" w:rsidR="001F570F" w:rsidRPr="00CC53C2" w:rsidRDefault="001F570F" w:rsidP="001F570F">
                  <w:pPr>
                    <w:pStyle w:val="NoSpacing"/>
                    <w:rPr>
                      <w:b/>
                      <w:bCs/>
                      <w:i/>
                      <w:iCs/>
                    </w:rPr>
                  </w:pPr>
                </w:p>
              </w:tc>
              <w:tc>
                <w:tcPr>
                  <w:tcW w:w="1276" w:type="dxa"/>
                  <w:tcBorders>
                    <w:top w:val="nil"/>
                    <w:left w:val="nil"/>
                    <w:bottom w:val="single" w:sz="4" w:space="0" w:color="FFFFFF"/>
                    <w:right w:val="nil"/>
                  </w:tcBorders>
                  <w:shd w:val="clear" w:color="auto" w:fill="auto"/>
                  <w:noWrap/>
                  <w:vAlign w:val="bottom"/>
                  <w:hideMark/>
                </w:tcPr>
                <w:p w14:paraId="5C54992A" w14:textId="77777777" w:rsidR="001F570F" w:rsidRPr="00CC53C2" w:rsidRDefault="001F570F" w:rsidP="001F570F">
                  <w:pPr>
                    <w:pStyle w:val="NoSpacing"/>
                  </w:pPr>
                  <w:r w:rsidRPr="00CC53C2">
                    <w:t>1.4</w:t>
                  </w:r>
                </w:p>
              </w:tc>
              <w:tc>
                <w:tcPr>
                  <w:tcW w:w="1134" w:type="dxa"/>
                  <w:tcBorders>
                    <w:top w:val="nil"/>
                    <w:left w:val="single" w:sz="4" w:space="0" w:color="auto"/>
                    <w:bottom w:val="single" w:sz="4" w:space="0" w:color="FFFFFF"/>
                    <w:right w:val="single" w:sz="8" w:space="0" w:color="auto"/>
                  </w:tcBorders>
                  <w:shd w:val="clear" w:color="auto" w:fill="auto"/>
                  <w:noWrap/>
                  <w:vAlign w:val="bottom"/>
                  <w:hideMark/>
                </w:tcPr>
                <w:p w14:paraId="3484D765" w14:textId="77777777" w:rsidR="001F570F" w:rsidRPr="00CC53C2" w:rsidRDefault="001F570F" w:rsidP="001F570F">
                  <w:pPr>
                    <w:pStyle w:val="NoSpacing"/>
                  </w:pPr>
                  <w:r w:rsidRPr="00CC53C2">
                    <w:t>0.1</w:t>
                  </w:r>
                </w:p>
              </w:tc>
              <w:tc>
                <w:tcPr>
                  <w:tcW w:w="488" w:type="dxa"/>
                  <w:tcBorders>
                    <w:top w:val="nil"/>
                    <w:left w:val="nil"/>
                    <w:bottom w:val="single" w:sz="4" w:space="0" w:color="FFFFFF"/>
                    <w:right w:val="nil"/>
                  </w:tcBorders>
                  <w:shd w:val="clear" w:color="auto" w:fill="auto"/>
                  <w:noWrap/>
                  <w:vAlign w:val="bottom"/>
                  <w:hideMark/>
                </w:tcPr>
                <w:p w14:paraId="6748102F"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52A1DAC0"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center"/>
                  <w:hideMark/>
                </w:tcPr>
                <w:p w14:paraId="2651E55F" w14:textId="77777777" w:rsidR="001F570F" w:rsidRPr="00CC53C2" w:rsidRDefault="001F570F" w:rsidP="001F570F">
                  <w:pPr>
                    <w:pStyle w:val="NoSpacing"/>
                  </w:pPr>
                  <w:r w:rsidRPr="00CC53C2">
                    <w:t>2.4</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2ED93D63" w14:textId="77777777" w:rsidR="001F570F" w:rsidRPr="00CC53C2" w:rsidRDefault="001F570F" w:rsidP="001F570F">
                  <w:pPr>
                    <w:pStyle w:val="NoSpacing"/>
                  </w:pPr>
                  <w:r w:rsidRPr="00CC53C2">
                    <w:t>0.03</w:t>
                  </w:r>
                </w:p>
              </w:tc>
            </w:tr>
            <w:tr w:rsidR="001F570F" w:rsidRPr="00CC53C2" w14:paraId="0DC06065" w14:textId="77777777" w:rsidTr="00A64F0D">
              <w:trPr>
                <w:trHeight w:val="313"/>
                <w:jc w:val="center"/>
              </w:trPr>
              <w:tc>
                <w:tcPr>
                  <w:tcW w:w="236" w:type="dxa"/>
                  <w:vMerge/>
                  <w:tcBorders>
                    <w:top w:val="nil"/>
                    <w:left w:val="single" w:sz="8" w:space="0" w:color="auto"/>
                    <w:bottom w:val="single" w:sz="4" w:space="0" w:color="FFFFFF"/>
                    <w:right w:val="single" w:sz="8" w:space="0" w:color="auto"/>
                  </w:tcBorders>
                  <w:vAlign w:val="center"/>
                  <w:hideMark/>
                </w:tcPr>
                <w:p w14:paraId="3BAC0115" w14:textId="77777777" w:rsidR="001F570F" w:rsidRPr="00CC53C2" w:rsidRDefault="001F570F" w:rsidP="001F570F">
                  <w:pPr>
                    <w:pStyle w:val="NoSpacing"/>
                    <w:rPr>
                      <w:b/>
                      <w:bCs/>
                      <w:i/>
                      <w:iCs/>
                    </w:rPr>
                  </w:pPr>
                </w:p>
              </w:tc>
              <w:tc>
                <w:tcPr>
                  <w:tcW w:w="1276" w:type="dxa"/>
                  <w:tcBorders>
                    <w:top w:val="nil"/>
                    <w:left w:val="nil"/>
                    <w:bottom w:val="nil"/>
                    <w:right w:val="nil"/>
                  </w:tcBorders>
                  <w:shd w:val="clear" w:color="auto" w:fill="auto"/>
                  <w:noWrap/>
                  <w:vAlign w:val="bottom"/>
                  <w:hideMark/>
                </w:tcPr>
                <w:p w14:paraId="50B24564" w14:textId="77777777" w:rsidR="001F570F" w:rsidRPr="00CC53C2" w:rsidRDefault="001F570F" w:rsidP="001F570F">
                  <w:pPr>
                    <w:pStyle w:val="NoSpacing"/>
                  </w:pPr>
                  <w:r w:rsidRPr="00CC53C2">
                    <w:t>1.5</w:t>
                  </w:r>
                </w:p>
              </w:tc>
              <w:tc>
                <w:tcPr>
                  <w:tcW w:w="1134" w:type="dxa"/>
                  <w:tcBorders>
                    <w:top w:val="nil"/>
                    <w:left w:val="single" w:sz="4" w:space="0" w:color="auto"/>
                    <w:bottom w:val="nil"/>
                    <w:right w:val="single" w:sz="8" w:space="0" w:color="auto"/>
                  </w:tcBorders>
                  <w:shd w:val="clear" w:color="auto" w:fill="auto"/>
                  <w:noWrap/>
                  <w:vAlign w:val="bottom"/>
                  <w:hideMark/>
                </w:tcPr>
                <w:p w14:paraId="621CE119" w14:textId="77777777" w:rsidR="001F570F" w:rsidRPr="00CC53C2" w:rsidRDefault="001F570F" w:rsidP="001F570F">
                  <w:pPr>
                    <w:pStyle w:val="NoSpacing"/>
                    <w:rPr>
                      <w:i/>
                      <w:iCs/>
                    </w:rPr>
                  </w:pPr>
                  <w:r w:rsidRPr="00CC53C2">
                    <w:rPr>
                      <w:i/>
                      <w:iCs/>
                      <w:vertAlign w:val="superscript"/>
                    </w:rPr>
                    <w:t>1</w:t>
                  </w:r>
                </w:p>
              </w:tc>
              <w:tc>
                <w:tcPr>
                  <w:tcW w:w="488" w:type="dxa"/>
                  <w:tcBorders>
                    <w:top w:val="nil"/>
                    <w:left w:val="nil"/>
                    <w:bottom w:val="single" w:sz="4" w:space="0" w:color="FFFFFF"/>
                    <w:right w:val="nil"/>
                  </w:tcBorders>
                  <w:shd w:val="clear" w:color="auto" w:fill="auto"/>
                  <w:noWrap/>
                  <w:vAlign w:val="bottom"/>
                  <w:hideMark/>
                </w:tcPr>
                <w:p w14:paraId="08F458C6"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20FE4B7E"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center"/>
                  <w:hideMark/>
                </w:tcPr>
                <w:p w14:paraId="56A2F704" w14:textId="77777777" w:rsidR="001F570F" w:rsidRPr="00CC53C2" w:rsidRDefault="001F570F" w:rsidP="001F570F">
                  <w:pPr>
                    <w:pStyle w:val="NoSpacing"/>
                  </w:pPr>
                  <w:r w:rsidRPr="00CC53C2">
                    <w:t>2.5</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44EB30EA" w14:textId="77777777" w:rsidR="001F570F" w:rsidRPr="00CC53C2" w:rsidRDefault="001F570F" w:rsidP="001F570F">
                  <w:pPr>
                    <w:pStyle w:val="NoSpacing"/>
                  </w:pPr>
                  <w:r w:rsidRPr="00CC53C2">
                    <w:t>0.03</w:t>
                  </w:r>
                </w:p>
              </w:tc>
            </w:tr>
            <w:tr w:rsidR="001F570F" w:rsidRPr="00CC53C2" w14:paraId="47F66BF0" w14:textId="77777777" w:rsidTr="00A64F0D">
              <w:trPr>
                <w:trHeight w:val="250"/>
                <w:jc w:val="center"/>
              </w:trPr>
              <w:tc>
                <w:tcPr>
                  <w:tcW w:w="236" w:type="dxa"/>
                  <w:tcBorders>
                    <w:top w:val="nil"/>
                    <w:left w:val="single" w:sz="8" w:space="0" w:color="auto"/>
                    <w:bottom w:val="single" w:sz="8" w:space="0" w:color="auto"/>
                    <w:right w:val="single" w:sz="8" w:space="0" w:color="auto"/>
                  </w:tcBorders>
                  <w:shd w:val="clear" w:color="auto" w:fill="auto"/>
                  <w:noWrap/>
                  <w:vAlign w:val="bottom"/>
                  <w:hideMark/>
                </w:tcPr>
                <w:p w14:paraId="283EBEEF" w14:textId="77777777" w:rsidR="001F570F" w:rsidRPr="00CC53C2" w:rsidRDefault="001F570F" w:rsidP="001F570F">
                  <w:pPr>
                    <w:pStyle w:val="NoSpacing"/>
                  </w:pPr>
                  <w:r w:rsidRPr="00CC53C2">
                    <w:t> </w:t>
                  </w:r>
                </w:p>
              </w:tc>
              <w:tc>
                <w:tcPr>
                  <w:tcW w:w="1276" w:type="dxa"/>
                  <w:tcBorders>
                    <w:top w:val="single" w:sz="8" w:space="0" w:color="auto"/>
                    <w:left w:val="single" w:sz="8" w:space="0" w:color="auto"/>
                    <w:bottom w:val="single" w:sz="8" w:space="0" w:color="auto"/>
                    <w:right w:val="nil"/>
                  </w:tcBorders>
                  <w:shd w:val="clear" w:color="auto" w:fill="auto"/>
                  <w:noWrap/>
                  <w:vAlign w:val="bottom"/>
                  <w:hideMark/>
                </w:tcPr>
                <w:p w14:paraId="0A2FB22A" w14:textId="77777777" w:rsidR="001F570F" w:rsidRPr="00CC53C2" w:rsidRDefault="001F570F" w:rsidP="001F570F">
                  <w:pPr>
                    <w:pStyle w:val="NoSpacing"/>
                    <w:rPr>
                      <w:b/>
                      <w:bCs/>
                    </w:rPr>
                  </w:pPr>
                  <w:r w:rsidRPr="00CC53C2">
                    <w:rPr>
                      <w:b/>
                      <w:bCs/>
                    </w:rPr>
                    <w:t>Variable weight</w:t>
                  </w:r>
                </w:p>
              </w:tc>
              <w:tc>
                <w:tcPr>
                  <w:tcW w:w="113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2D2B8D7" w14:textId="77777777" w:rsidR="001F570F" w:rsidRPr="00CC53C2" w:rsidRDefault="001F570F" w:rsidP="001F570F">
                  <w:pPr>
                    <w:pStyle w:val="NoSpacing"/>
                    <w:rPr>
                      <w:b/>
                      <w:bCs/>
                    </w:rPr>
                  </w:pPr>
                  <w:r w:rsidRPr="00CC53C2">
                    <w:rPr>
                      <w:b/>
                      <w:bCs/>
                    </w:rPr>
                    <w:t>0.4</w:t>
                  </w:r>
                </w:p>
              </w:tc>
              <w:tc>
                <w:tcPr>
                  <w:tcW w:w="488" w:type="dxa"/>
                  <w:tcBorders>
                    <w:top w:val="nil"/>
                    <w:left w:val="nil"/>
                    <w:bottom w:val="single" w:sz="4" w:space="0" w:color="FFFFFF"/>
                    <w:right w:val="nil"/>
                  </w:tcBorders>
                  <w:shd w:val="clear" w:color="auto" w:fill="auto"/>
                  <w:noWrap/>
                  <w:vAlign w:val="bottom"/>
                  <w:hideMark/>
                </w:tcPr>
                <w:p w14:paraId="490A0A2A" w14:textId="77777777" w:rsidR="001F570F" w:rsidRPr="00CC53C2" w:rsidRDefault="001F570F" w:rsidP="001F570F">
                  <w:pPr>
                    <w:pStyle w:val="NoSpacing"/>
                    <w:rPr>
                      <w:b/>
                      <w:bCs/>
                    </w:rPr>
                  </w:pPr>
                  <w:r w:rsidRPr="00CC53C2">
                    <w:rPr>
                      <w:b/>
                      <w:bCs/>
                    </w:rPr>
                    <w:t> </w:t>
                  </w:r>
                </w:p>
              </w:tc>
              <w:tc>
                <w:tcPr>
                  <w:tcW w:w="1268" w:type="dxa"/>
                  <w:vMerge/>
                  <w:tcBorders>
                    <w:top w:val="nil"/>
                    <w:left w:val="single" w:sz="8" w:space="0" w:color="auto"/>
                    <w:bottom w:val="single" w:sz="8" w:space="0" w:color="000000"/>
                    <w:right w:val="single" w:sz="8" w:space="0" w:color="auto"/>
                  </w:tcBorders>
                  <w:vAlign w:val="center"/>
                  <w:hideMark/>
                </w:tcPr>
                <w:p w14:paraId="2134C2FA"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bottom"/>
                  <w:hideMark/>
                </w:tcPr>
                <w:p w14:paraId="0028C2DF" w14:textId="77777777" w:rsidR="001F570F" w:rsidRPr="00CC53C2" w:rsidRDefault="001F570F" w:rsidP="001F570F">
                  <w:pPr>
                    <w:pStyle w:val="NoSpacing"/>
                  </w:pPr>
                  <w:r w:rsidRPr="00CC53C2">
                    <w:t>2.6</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36C89484" w14:textId="77777777" w:rsidR="001F570F" w:rsidRPr="00CC53C2" w:rsidRDefault="001F570F" w:rsidP="001F570F">
                  <w:pPr>
                    <w:pStyle w:val="NoSpacing"/>
                  </w:pPr>
                  <w:r w:rsidRPr="00CC53C2">
                    <w:t>0.03</w:t>
                  </w:r>
                </w:p>
              </w:tc>
            </w:tr>
            <w:tr w:rsidR="001F570F" w:rsidRPr="00CC53C2" w14:paraId="21F6576D" w14:textId="77777777" w:rsidTr="00A64F0D">
              <w:trPr>
                <w:trHeight w:val="300"/>
                <w:jc w:val="center"/>
              </w:trPr>
              <w:tc>
                <w:tcPr>
                  <w:tcW w:w="2646" w:type="dxa"/>
                  <w:gridSpan w:val="3"/>
                  <w:vMerge w:val="restart"/>
                  <w:tcBorders>
                    <w:top w:val="nil"/>
                    <w:left w:val="single" w:sz="4" w:space="0" w:color="FFFFFF"/>
                    <w:bottom w:val="single" w:sz="4" w:space="0" w:color="FFFFFF"/>
                    <w:right w:val="single" w:sz="4" w:space="0" w:color="FFFFFF"/>
                  </w:tcBorders>
                  <w:shd w:val="clear" w:color="auto" w:fill="auto"/>
                  <w:vAlign w:val="bottom"/>
                  <w:hideMark/>
                </w:tcPr>
                <w:p w14:paraId="5397B233" w14:textId="77777777" w:rsidR="001F570F" w:rsidRPr="00CC53C2" w:rsidRDefault="001F570F" w:rsidP="001F570F">
                  <w:pPr>
                    <w:pStyle w:val="NoSpacing"/>
                  </w:pPr>
                  <w:r w:rsidRPr="00CC53C2">
                    <w:rPr>
                      <w:i/>
                      <w:iCs/>
                      <w:vertAlign w:val="superscript"/>
                    </w:rPr>
                    <w:t>1</w:t>
                  </w:r>
                  <w:r w:rsidRPr="00CC53C2">
                    <w:rPr>
                      <w:vertAlign w:val="superscript"/>
                    </w:rPr>
                    <w:t xml:space="preserve"> </w:t>
                  </w:r>
                  <w:r w:rsidRPr="00CC53C2">
                    <w:t xml:space="preserve">Sub-variable 1.5 is only weighted when a response of 'yes' is provided along with supporting details in the text form. </w:t>
                  </w:r>
                </w:p>
              </w:tc>
              <w:tc>
                <w:tcPr>
                  <w:tcW w:w="488" w:type="dxa"/>
                  <w:tcBorders>
                    <w:top w:val="nil"/>
                    <w:left w:val="nil"/>
                    <w:bottom w:val="single" w:sz="4" w:space="0" w:color="FFFFFF"/>
                    <w:right w:val="nil"/>
                  </w:tcBorders>
                  <w:shd w:val="clear" w:color="auto" w:fill="auto"/>
                  <w:noWrap/>
                  <w:vAlign w:val="bottom"/>
                  <w:hideMark/>
                </w:tcPr>
                <w:p w14:paraId="7D9C2A76"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6B15EC32"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bottom"/>
                  <w:hideMark/>
                </w:tcPr>
                <w:p w14:paraId="431339C4" w14:textId="77777777" w:rsidR="001F570F" w:rsidRPr="00CC53C2" w:rsidRDefault="001F570F" w:rsidP="001F570F">
                  <w:pPr>
                    <w:pStyle w:val="NoSpacing"/>
                  </w:pPr>
                  <w:r w:rsidRPr="00CC53C2">
                    <w:t>2.7</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539BFAEE" w14:textId="77777777" w:rsidR="001F570F" w:rsidRPr="00CC53C2" w:rsidRDefault="001F570F" w:rsidP="001F570F">
                  <w:pPr>
                    <w:pStyle w:val="NoSpacing"/>
                  </w:pPr>
                  <w:r w:rsidRPr="00CC53C2">
                    <w:t>0.03</w:t>
                  </w:r>
                </w:p>
              </w:tc>
            </w:tr>
            <w:tr w:rsidR="001F570F" w:rsidRPr="00CC53C2" w14:paraId="49A94485" w14:textId="77777777" w:rsidTr="00A64F0D">
              <w:trPr>
                <w:trHeight w:val="300"/>
                <w:jc w:val="center"/>
              </w:trPr>
              <w:tc>
                <w:tcPr>
                  <w:tcW w:w="2646" w:type="dxa"/>
                  <w:gridSpan w:val="3"/>
                  <w:vMerge/>
                  <w:tcBorders>
                    <w:top w:val="nil"/>
                    <w:left w:val="single" w:sz="4" w:space="0" w:color="FFFFFF"/>
                    <w:bottom w:val="single" w:sz="4" w:space="0" w:color="FFFFFF"/>
                    <w:right w:val="single" w:sz="4" w:space="0" w:color="FFFFFF"/>
                  </w:tcBorders>
                  <w:vAlign w:val="center"/>
                  <w:hideMark/>
                </w:tcPr>
                <w:p w14:paraId="0284B7B5" w14:textId="77777777" w:rsidR="001F570F" w:rsidRPr="00CC53C2" w:rsidRDefault="001F570F" w:rsidP="001F570F">
                  <w:pPr>
                    <w:pStyle w:val="NoSpacing"/>
                  </w:pPr>
                </w:p>
              </w:tc>
              <w:tc>
                <w:tcPr>
                  <w:tcW w:w="488" w:type="dxa"/>
                  <w:tcBorders>
                    <w:top w:val="nil"/>
                    <w:left w:val="nil"/>
                    <w:bottom w:val="single" w:sz="4" w:space="0" w:color="FFFFFF"/>
                    <w:right w:val="nil"/>
                  </w:tcBorders>
                  <w:shd w:val="clear" w:color="auto" w:fill="auto"/>
                  <w:noWrap/>
                  <w:vAlign w:val="bottom"/>
                  <w:hideMark/>
                </w:tcPr>
                <w:p w14:paraId="38885CB1"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6258C625"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center"/>
                  <w:hideMark/>
                </w:tcPr>
                <w:p w14:paraId="02B6741A" w14:textId="77777777" w:rsidR="001F570F" w:rsidRPr="00CC53C2" w:rsidRDefault="001F570F" w:rsidP="001F570F">
                  <w:pPr>
                    <w:pStyle w:val="NoSpacing"/>
                  </w:pPr>
                  <w:r w:rsidRPr="00CC53C2">
                    <w:t>2.8</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2C90CA2F" w14:textId="77777777" w:rsidR="001F570F" w:rsidRPr="00CC53C2" w:rsidRDefault="001F570F" w:rsidP="001F570F">
                  <w:pPr>
                    <w:pStyle w:val="NoSpacing"/>
                  </w:pPr>
                  <w:r w:rsidRPr="00CC53C2">
                    <w:t>0.03</w:t>
                  </w:r>
                </w:p>
              </w:tc>
            </w:tr>
            <w:tr w:rsidR="001F570F" w:rsidRPr="00CC53C2" w14:paraId="26954C6F" w14:textId="77777777" w:rsidTr="00A64F0D">
              <w:trPr>
                <w:trHeight w:val="300"/>
                <w:jc w:val="center"/>
              </w:trPr>
              <w:tc>
                <w:tcPr>
                  <w:tcW w:w="2646" w:type="dxa"/>
                  <w:gridSpan w:val="3"/>
                  <w:vMerge/>
                  <w:tcBorders>
                    <w:top w:val="nil"/>
                    <w:left w:val="single" w:sz="4" w:space="0" w:color="FFFFFF"/>
                    <w:bottom w:val="single" w:sz="4" w:space="0" w:color="FFFFFF"/>
                    <w:right w:val="single" w:sz="4" w:space="0" w:color="FFFFFF"/>
                  </w:tcBorders>
                  <w:vAlign w:val="center"/>
                  <w:hideMark/>
                </w:tcPr>
                <w:p w14:paraId="7DB66BD1" w14:textId="77777777" w:rsidR="001F570F" w:rsidRPr="00CC53C2" w:rsidRDefault="001F570F" w:rsidP="001F570F">
                  <w:pPr>
                    <w:pStyle w:val="NoSpacing"/>
                  </w:pPr>
                </w:p>
              </w:tc>
              <w:tc>
                <w:tcPr>
                  <w:tcW w:w="488" w:type="dxa"/>
                  <w:tcBorders>
                    <w:top w:val="nil"/>
                    <w:left w:val="nil"/>
                    <w:bottom w:val="single" w:sz="4" w:space="0" w:color="FFFFFF"/>
                    <w:right w:val="nil"/>
                  </w:tcBorders>
                  <w:shd w:val="clear" w:color="auto" w:fill="auto"/>
                  <w:noWrap/>
                  <w:vAlign w:val="bottom"/>
                  <w:hideMark/>
                </w:tcPr>
                <w:p w14:paraId="5A533865"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45A7641E" w14:textId="77777777" w:rsidR="001F570F" w:rsidRPr="00CC53C2" w:rsidRDefault="001F570F" w:rsidP="001F570F">
                  <w:pPr>
                    <w:pStyle w:val="NoSpacing"/>
                    <w:rPr>
                      <w:b/>
                      <w:bCs/>
                      <w:i/>
                      <w:iCs/>
                    </w:rPr>
                  </w:pPr>
                </w:p>
              </w:tc>
              <w:tc>
                <w:tcPr>
                  <w:tcW w:w="1079" w:type="dxa"/>
                  <w:tcBorders>
                    <w:top w:val="nil"/>
                    <w:left w:val="nil"/>
                    <w:bottom w:val="single" w:sz="4" w:space="0" w:color="FFFFFF"/>
                    <w:right w:val="nil"/>
                  </w:tcBorders>
                  <w:shd w:val="clear" w:color="auto" w:fill="auto"/>
                  <w:noWrap/>
                  <w:vAlign w:val="center"/>
                  <w:hideMark/>
                </w:tcPr>
                <w:p w14:paraId="41B89C2E" w14:textId="77777777" w:rsidR="001F570F" w:rsidRPr="00CC53C2" w:rsidRDefault="001F570F" w:rsidP="001F570F">
                  <w:pPr>
                    <w:pStyle w:val="NoSpacing"/>
                  </w:pPr>
                  <w:r w:rsidRPr="00CC53C2">
                    <w:t>2.9</w:t>
                  </w:r>
                </w:p>
              </w:tc>
              <w:tc>
                <w:tcPr>
                  <w:tcW w:w="1896" w:type="dxa"/>
                  <w:tcBorders>
                    <w:top w:val="nil"/>
                    <w:left w:val="single" w:sz="4" w:space="0" w:color="auto"/>
                    <w:bottom w:val="single" w:sz="4" w:space="0" w:color="FFFFFF"/>
                    <w:right w:val="single" w:sz="8" w:space="0" w:color="auto"/>
                  </w:tcBorders>
                  <w:shd w:val="clear" w:color="auto" w:fill="auto"/>
                  <w:noWrap/>
                  <w:vAlign w:val="bottom"/>
                  <w:hideMark/>
                </w:tcPr>
                <w:p w14:paraId="624C5CE9" w14:textId="77777777" w:rsidR="001F570F" w:rsidRPr="00CC53C2" w:rsidRDefault="001F570F" w:rsidP="001F570F">
                  <w:pPr>
                    <w:pStyle w:val="NoSpacing"/>
                  </w:pPr>
                  <w:r w:rsidRPr="00CC53C2">
                    <w:t>0.03</w:t>
                  </w:r>
                </w:p>
              </w:tc>
            </w:tr>
            <w:tr w:rsidR="001F570F" w:rsidRPr="00CC53C2" w14:paraId="713DB512" w14:textId="77777777" w:rsidTr="00A64F0D">
              <w:trPr>
                <w:trHeight w:val="315"/>
                <w:jc w:val="center"/>
              </w:trPr>
              <w:tc>
                <w:tcPr>
                  <w:tcW w:w="236" w:type="dxa"/>
                  <w:tcBorders>
                    <w:top w:val="nil"/>
                    <w:left w:val="single" w:sz="4" w:space="0" w:color="FFFFFF"/>
                    <w:bottom w:val="single" w:sz="4" w:space="0" w:color="FFFFFF"/>
                    <w:right w:val="single" w:sz="4" w:space="0" w:color="FFFFFF"/>
                  </w:tcBorders>
                  <w:shd w:val="clear" w:color="auto" w:fill="auto"/>
                  <w:noWrap/>
                  <w:vAlign w:val="bottom"/>
                  <w:hideMark/>
                </w:tcPr>
                <w:p w14:paraId="48A2067B" w14:textId="77777777" w:rsidR="001F570F" w:rsidRPr="00CC53C2" w:rsidRDefault="001F570F" w:rsidP="001F570F">
                  <w:pPr>
                    <w:pStyle w:val="NoSpacing"/>
                  </w:pPr>
                  <w:r w:rsidRPr="00CC53C2">
                    <w:t> </w:t>
                  </w:r>
                </w:p>
              </w:tc>
              <w:tc>
                <w:tcPr>
                  <w:tcW w:w="1276" w:type="dxa"/>
                  <w:tcBorders>
                    <w:top w:val="nil"/>
                    <w:left w:val="nil"/>
                    <w:bottom w:val="single" w:sz="4" w:space="0" w:color="FFFFFF"/>
                    <w:right w:val="single" w:sz="4" w:space="0" w:color="FFFFFF"/>
                  </w:tcBorders>
                  <w:shd w:val="clear" w:color="auto" w:fill="auto"/>
                  <w:noWrap/>
                  <w:vAlign w:val="bottom"/>
                  <w:hideMark/>
                </w:tcPr>
                <w:p w14:paraId="0ADF7374" w14:textId="77777777" w:rsidR="001F570F" w:rsidRPr="00CC53C2" w:rsidRDefault="001F570F" w:rsidP="001F570F">
                  <w:pPr>
                    <w:pStyle w:val="NoSpacing"/>
                  </w:pPr>
                  <w:r w:rsidRPr="00CC53C2">
                    <w:t> </w:t>
                  </w:r>
                </w:p>
              </w:tc>
              <w:tc>
                <w:tcPr>
                  <w:tcW w:w="1134" w:type="dxa"/>
                  <w:tcBorders>
                    <w:top w:val="nil"/>
                    <w:left w:val="nil"/>
                    <w:bottom w:val="single" w:sz="4" w:space="0" w:color="FFFFFF"/>
                    <w:right w:val="single" w:sz="4" w:space="0" w:color="FFFFFF"/>
                  </w:tcBorders>
                  <w:shd w:val="clear" w:color="auto" w:fill="auto"/>
                  <w:noWrap/>
                  <w:vAlign w:val="bottom"/>
                  <w:hideMark/>
                </w:tcPr>
                <w:p w14:paraId="395CE9A8" w14:textId="77777777" w:rsidR="001F570F" w:rsidRPr="00CC53C2" w:rsidRDefault="001F570F" w:rsidP="001F570F">
                  <w:pPr>
                    <w:pStyle w:val="NoSpacing"/>
                  </w:pPr>
                  <w:r w:rsidRPr="00CC53C2">
                    <w:t> </w:t>
                  </w:r>
                </w:p>
              </w:tc>
              <w:tc>
                <w:tcPr>
                  <w:tcW w:w="488" w:type="dxa"/>
                  <w:tcBorders>
                    <w:top w:val="nil"/>
                    <w:left w:val="nil"/>
                    <w:bottom w:val="single" w:sz="4" w:space="0" w:color="FFFFFF"/>
                    <w:right w:val="nil"/>
                  </w:tcBorders>
                  <w:shd w:val="clear" w:color="auto" w:fill="auto"/>
                  <w:noWrap/>
                  <w:vAlign w:val="bottom"/>
                  <w:hideMark/>
                </w:tcPr>
                <w:p w14:paraId="3C7C9491"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125C63E8" w14:textId="77777777" w:rsidR="001F570F" w:rsidRPr="00CC53C2" w:rsidRDefault="001F570F" w:rsidP="001F570F">
                  <w:pPr>
                    <w:pStyle w:val="NoSpacing"/>
                    <w:rPr>
                      <w:b/>
                      <w:bCs/>
                      <w:i/>
                      <w:iCs/>
                    </w:rPr>
                  </w:pPr>
                </w:p>
              </w:tc>
              <w:tc>
                <w:tcPr>
                  <w:tcW w:w="1079" w:type="dxa"/>
                  <w:tcBorders>
                    <w:top w:val="nil"/>
                    <w:left w:val="nil"/>
                    <w:bottom w:val="nil"/>
                    <w:right w:val="nil"/>
                  </w:tcBorders>
                  <w:shd w:val="clear" w:color="auto" w:fill="auto"/>
                  <w:noWrap/>
                  <w:vAlign w:val="center"/>
                  <w:hideMark/>
                </w:tcPr>
                <w:p w14:paraId="7D717DF7" w14:textId="77777777" w:rsidR="001F570F" w:rsidRPr="00CC53C2" w:rsidRDefault="001F570F" w:rsidP="001F570F">
                  <w:pPr>
                    <w:pStyle w:val="NoSpacing"/>
                  </w:pPr>
                  <w:r w:rsidRPr="00CC53C2">
                    <w:t>2.10</w:t>
                  </w:r>
                </w:p>
              </w:tc>
              <w:tc>
                <w:tcPr>
                  <w:tcW w:w="1896" w:type="dxa"/>
                  <w:tcBorders>
                    <w:top w:val="nil"/>
                    <w:left w:val="single" w:sz="4" w:space="0" w:color="auto"/>
                    <w:bottom w:val="nil"/>
                    <w:right w:val="single" w:sz="8" w:space="0" w:color="auto"/>
                  </w:tcBorders>
                  <w:shd w:val="clear" w:color="auto" w:fill="auto"/>
                  <w:noWrap/>
                  <w:vAlign w:val="bottom"/>
                  <w:hideMark/>
                </w:tcPr>
                <w:p w14:paraId="05FA5FE6" w14:textId="77777777" w:rsidR="001F570F" w:rsidRPr="00CC53C2" w:rsidRDefault="001F570F" w:rsidP="001F570F">
                  <w:pPr>
                    <w:pStyle w:val="NoSpacing"/>
                  </w:pPr>
                  <w:r w:rsidRPr="00CC53C2">
                    <w:t>0.03</w:t>
                  </w:r>
                </w:p>
              </w:tc>
            </w:tr>
            <w:tr w:rsidR="001F570F" w:rsidRPr="00CC53C2" w14:paraId="1B905874" w14:textId="77777777" w:rsidTr="00A64F0D">
              <w:trPr>
                <w:trHeight w:val="315"/>
                <w:jc w:val="center"/>
              </w:trPr>
              <w:tc>
                <w:tcPr>
                  <w:tcW w:w="236" w:type="dxa"/>
                  <w:tcBorders>
                    <w:top w:val="nil"/>
                    <w:left w:val="single" w:sz="4" w:space="0" w:color="FFFFFF"/>
                    <w:bottom w:val="single" w:sz="4" w:space="0" w:color="FFFFFF"/>
                    <w:right w:val="single" w:sz="4" w:space="0" w:color="FFFFFF"/>
                  </w:tcBorders>
                  <w:shd w:val="clear" w:color="auto" w:fill="auto"/>
                  <w:noWrap/>
                  <w:vAlign w:val="bottom"/>
                  <w:hideMark/>
                </w:tcPr>
                <w:p w14:paraId="67586E6B" w14:textId="77777777" w:rsidR="001F570F" w:rsidRPr="00CC53C2" w:rsidRDefault="001F570F" w:rsidP="001F570F">
                  <w:pPr>
                    <w:pStyle w:val="NoSpacing"/>
                  </w:pPr>
                  <w:r w:rsidRPr="00CC53C2">
                    <w:lastRenderedPageBreak/>
                    <w:t> </w:t>
                  </w:r>
                </w:p>
              </w:tc>
              <w:tc>
                <w:tcPr>
                  <w:tcW w:w="1276" w:type="dxa"/>
                  <w:tcBorders>
                    <w:top w:val="nil"/>
                    <w:left w:val="nil"/>
                    <w:bottom w:val="single" w:sz="4" w:space="0" w:color="FFFFFF"/>
                    <w:right w:val="single" w:sz="4" w:space="0" w:color="FFFFFF"/>
                  </w:tcBorders>
                  <w:shd w:val="clear" w:color="auto" w:fill="auto"/>
                  <w:noWrap/>
                  <w:vAlign w:val="bottom"/>
                  <w:hideMark/>
                </w:tcPr>
                <w:p w14:paraId="4690FAE1" w14:textId="77777777" w:rsidR="001F570F" w:rsidRPr="00CC53C2" w:rsidRDefault="001F570F" w:rsidP="001F570F">
                  <w:pPr>
                    <w:pStyle w:val="NoSpacing"/>
                  </w:pPr>
                  <w:r w:rsidRPr="00CC53C2">
                    <w:t> </w:t>
                  </w:r>
                </w:p>
              </w:tc>
              <w:tc>
                <w:tcPr>
                  <w:tcW w:w="1134" w:type="dxa"/>
                  <w:tcBorders>
                    <w:top w:val="nil"/>
                    <w:left w:val="nil"/>
                    <w:bottom w:val="single" w:sz="4" w:space="0" w:color="FFFFFF"/>
                    <w:right w:val="single" w:sz="4" w:space="0" w:color="FFFFFF"/>
                  </w:tcBorders>
                  <w:shd w:val="clear" w:color="auto" w:fill="auto"/>
                  <w:noWrap/>
                  <w:vAlign w:val="bottom"/>
                  <w:hideMark/>
                </w:tcPr>
                <w:p w14:paraId="42F554D1" w14:textId="77777777" w:rsidR="001F570F" w:rsidRPr="00CC53C2" w:rsidRDefault="001F570F" w:rsidP="001F570F">
                  <w:pPr>
                    <w:pStyle w:val="NoSpacing"/>
                  </w:pPr>
                  <w:r w:rsidRPr="00CC53C2">
                    <w:t> </w:t>
                  </w:r>
                </w:p>
              </w:tc>
              <w:tc>
                <w:tcPr>
                  <w:tcW w:w="488" w:type="dxa"/>
                  <w:tcBorders>
                    <w:top w:val="nil"/>
                    <w:left w:val="nil"/>
                    <w:bottom w:val="single" w:sz="4" w:space="0" w:color="FFFFFF"/>
                    <w:right w:val="nil"/>
                  </w:tcBorders>
                  <w:shd w:val="clear" w:color="auto" w:fill="auto"/>
                  <w:noWrap/>
                  <w:vAlign w:val="bottom"/>
                  <w:hideMark/>
                </w:tcPr>
                <w:p w14:paraId="58C3AFEA"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6640839D" w14:textId="77777777" w:rsidR="001F570F" w:rsidRPr="00CC53C2" w:rsidRDefault="001F570F" w:rsidP="001F570F">
                  <w:pPr>
                    <w:pStyle w:val="NoSpacing"/>
                    <w:rPr>
                      <w:b/>
                      <w:bCs/>
                      <w:i/>
                      <w:iCs/>
                    </w:rPr>
                  </w:pPr>
                </w:p>
              </w:tc>
              <w:tc>
                <w:tcPr>
                  <w:tcW w:w="1079" w:type="dxa"/>
                  <w:tcBorders>
                    <w:top w:val="single" w:sz="8" w:space="0" w:color="auto"/>
                    <w:left w:val="single" w:sz="8" w:space="0" w:color="auto"/>
                    <w:bottom w:val="single" w:sz="8" w:space="0" w:color="auto"/>
                    <w:right w:val="nil"/>
                  </w:tcBorders>
                  <w:shd w:val="clear" w:color="auto" w:fill="auto"/>
                  <w:noWrap/>
                  <w:vAlign w:val="bottom"/>
                  <w:hideMark/>
                </w:tcPr>
                <w:p w14:paraId="5406158B" w14:textId="77777777" w:rsidR="001F570F" w:rsidRPr="00CC53C2" w:rsidRDefault="001F570F" w:rsidP="001F570F">
                  <w:pPr>
                    <w:pStyle w:val="NoSpacing"/>
                    <w:rPr>
                      <w:b/>
                      <w:bCs/>
                    </w:rPr>
                  </w:pPr>
                  <w:r w:rsidRPr="00CC53C2">
                    <w:rPr>
                      <w:b/>
                      <w:bCs/>
                    </w:rPr>
                    <w:t>Indicator weight</w:t>
                  </w:r>
                </w:p>
              </w:tc>
              <w:tc>
                <w:tcPr>
                  <w:tcW w:w="189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8756AD6" w14:textId="77777777" w:rsidR="001F570F" w:rsidRPr="00CC53C2" w:rsidRDefault="001F570F" w:rsidP="001F570F">
                  <w:pPr>
                    <w:pStyle w:val="NoSpacing"/>
                    <w:rPr>
                      <w:b/>
                      <w:bCs/>
                    </w:rPr>
                  </w:pPr>
                  <w:r w:rsidRPr="00CC53C2">
                    <w:rPr>
                      <w:b/>
                      <w:bCs/>
                    </w:rPr>
                    <w:t>0.3</w:t>
                  </w:r>
                </w:p>
              </w:tc>
            </w:tr>
            <w:tr w:rsidR="001F570F" w:rsidRPr="00CC53C2" w14:paraId="4B84203D" w14:textId="77777777" w:rsidTr="00A64F0D">
              <w:trPr>
                <w:trHeight w:val="315"/>
                <w:jc w:val="center"/>
              </w:trPr>
              <w:tc>
                <w:tcPr>
                  <w:tcW w:w="236" w:type="dxa"/>
                  <w:tcBorders>
                    <w:top w:val="nil"/>
                    <w:left w:val="single" w:sz="4" w:space="0" w:color="FFFFFF"/>
                    <w:bottom w:val="single" w:sz="4" w:space="0" w:color="FFFFFF"/>
                    <w:right w:val="single" w:sz="4" w:space="0" w:color="FFFFFF"/>
                  </w:tcBorders>
                  <w:shd w:val="clear" w:color="auto" w:fill="auto"/>
                  <w:noWrap/>
                  <w:vAlign w:val="bottom"/>
                  <w:hideMark/>
                </w:tcPr>
                <w:p w14:paraId="0B9E2346" w14:textId="77777777" w:rsidR="001F570F" w:rsidRPr="00CC53C2" w:rsidRDefault="001F570F" w:rsidP="001F570F">
                  <w:pPr>
                    <w:pStyle w:val="NoSpacing"/>
                  </w:pPr>
                  <w:r w:rsidRPr="00CC53C2">
                    <w:t> </w:t>
                  </w:r>
                </w:p>
              </w:tc>
              <w:tc>
                <w:tcPr>
                  <w:tcW w:w="1276" w:type="dxa"/>
                  <w:tcBorders>
                    <w:top w:val="nil"/>
                    <w:left w:val="nil"/>
                    <w:bottom w:val="single" w:sz="4" w:space="0" w:color="FFFFFF"/>
                    <w:right w:val="single" w:sz="4" w:space="0" w:color="FFFFFF"/>
                  </w:tcBorders>
                  <w:shd w:val="clear" w:color="auto" w:fill="auto"/>
                  <w:noWrap/>
                  <w:vAlign w:val="bottom"/>
                  <w:hideMark/>
                </w:tcPr>
                <w:p w14:paraId="4CBBF2B2" w14:textId="77777777" w:rsidR="001F570F" w:rsidRPr="00CC53C2" w:rsidRDefault="001F570F" w:rsidP="001F570F">
                  <w:pPr>
                    <w:pStyle w:val="NoSpacing"/>
                  </w:pPr>
                  <w:r w:rsidRPr="00CC53C2">
                    <w:t> </w:t>
                  </w:r>
                </w:p>
              </w:tc>
              <w:tc>
                <w:tcPr>
                  <w:tcW w:w="1134" w:type="dxa"/>
                  <w:tcBorders>
                    <w:top w:val="nil"/>
                    <w:left w:val="nil"/>
                    <w:bottom w:val="single" w:sz="4" w:space="0" w:color="FFFFFF"/>
                    <w:right w:val="single" w:sz="4" w:space="0" w:color="FFFFFF"/>
                  </w:tcBorders>
                  <w:shd w:val="clear" w:color="auto" w:fill="auto"/>
                  <w:noWrap/>
                  <w:vAlign w:val="bottom"/>
                  <w:hideMark/>
                </w:tcPr>
                <w:p w14:paraId="615A6E54" w14:textId="77777777" w:rsidR="001F570F" w:rsidRPr="00CC53C2" w:rsidRDefault="001F570F" w:rsidP="001F570F">
                  <w:pPr>
                    <w:pStyle w:val="NoSpacing"/>
                  </w:pPr>
                  <w:r w:rsidRPr="00CC53C2">
                    <w:t> </w:t>
                  </w:r>
                </w:p>
              </w:tc>
              <w:tc>
                <w:tcPr>
                  <w:tcW w:w="488" w:type="dxa"/>
                  <w:tcBorders>
                    <w:top w:val="nil"/>
                    <w:left w:val="nil"/>
                    <w:bottom w:val="single" w:sz="4" w:space="0" w:color="FFFFFF"/>
                    <w:right w:val="single" w:sz="4" w:space="0" w:color="FFFFFF"/>
                  </w:tcBorders>
                  <w:shd w:val="clear" w:color="auto" w:fill="auto"/>
                  <w:noWrap/>
                  <w:vAlign w:val="bottom"/>
                  <w:hideMark/>
                </w:tcPr>
                <w:p w14:paraId="65477A49" w14:textId="77777777" w:rsidR="001F570F" w:rsidRPr="00CC53C2" w:rsidRDefault="001F570F" w:rsidP="001F570F">
                  <w:pPr>
                    <w:pStyle w:val="NoSpacing"/>
                  </w:pPr>
                  <w:r w:rsidRPr="00CC53C2">
                    <w:t> </w:t>
                  </w:r>
                </w:p>
              </w:tc>
              <w:tc>
                <w:tcPr>
                  <w:tcW w:w="4243" w:type="dxa"/>
                  <w:gridSpan w:val="3"/>
                  <w:tcBorders>
                    <w:top w:val="single" w:sz="4" w:space="0" w:color="FFFFFF"/>
                    <w:left w:val="nil"/>
                    <w:bottom w:val="single" w:sz="4" w:space="0" w:color="FFFFFF"/>
                    <w:right w:val="single" w:sz="4" w:space="0" w:color="FFFFFF"/>
                  </w:tcBorders>
                  <w:shd w:val="clear" w:color="auto" w:fill="auto"/>
                  <w:noWrap/>
                  <w:vAlign w:val="bottom"/>
                  <w:hideMark/>
                </w:tcPr>
                <w:p w14:paraId="022B2055" w14:textId="77777777" w:rsidR="001F570F" w:rsidRPr="00CC53C2" w:rsidRDefault="001F570F" w:rsidP="001F570F">
                  <w:pPr>
                    <w:pStyle w:val="NoSpacing"/>
                  </w:pPr>
                  <w:r w:rsidRPr="00CC53C2">
                    <w:t> </w:t>
                  </w:r>
                </w:p>
              </w:tc>
            </w:tr>
            <w:tr w:rsidR="001F570F" w:rsidRPr="00CC53C2" w14:paraId="5F46B9C8" w14:textId="77777777" w:rsidTr="00A64F0D">
              <w:trPr>
                <w:trHeight w:val="300"/>
                <w:jc w:val="center"/>
              </w:trPr>
              <w:tc>
                <w:tcPr>
                  <w:tcW w:w="236" w:type="dxa"/>
                  <w:tcBorders>
                    <w:top w:val="nil"/>
                    <w:left w:val="single" w:sz="4" w:space="0" w:color="FFFFFF"/>
                    <w:bottom w:val="single" w:sz="4" w:space="0" w:color="FFFFFF"/>
                    <w:right w:val="single" w:sz="4" w:space="0" w:color="FFFFFF"/>
                  </w:tcBorders>
                  <w:shd w:val="clear" w:color="auto" w:fill="auto"/>
                  <w:noWrap/>
                  <w:vAlign w:val="bottom"/>
                  <w:hideMark/>
                </w:tcPr>
                <w:p w14:paraId="26D5A951" w14:textId="77777777" w:rsidR="001F570F" w:rsidRPr="00CC53C2" w:rsidRDefault="001F570F" w:rsidP="001F570F">
                  <w:pPr>
                    <w:pStyle w:val="NoSpacing"/>
                  </w:pPr>
                  <w:r w:rsidRPr="00CC53C2">
                    <w:t> </w:t>
                  </w:r>
                </w:p>
              </w:tc>
              <w:tc>
                <w:tcPr>
                  <w:tcW w:w="1276" w:type="dxa"/>
                  <w:tcBorders>
                    <w:top w:val="nil"/>
                    <w:left w:val="nil"/>
                    <w:bottom w:val="single" w:sz="4" w:space="0" w:color="FFFFFF"/>
                    <w:right w:val="single" w:sz="4" w:space="0" w:color="FFFFFF"/>
                  </w:tcBorders>
                  <w:shd w:val="clear" w:color="auto" w:fill="auto"/>
                  <w:noWrap/>
                  <w:vAlign w:val="bottom"/>
                  <w:hideMark/>
                </w:tcPr>
                <w:p w14:paraId="6DCD5B25" w14:textId="77777777" w:rsidR="001F570F" w:rsidRPr="00CC53C2" w:rsidRDefault="001F570F" w:rsidP="001F570F">
                  <w:pPr>
                    <w:pStyle w:val="NoSpacing"/>
                  </w:pPr>
                  <w:r w:rsidRPr="00CC53C2">
                    <w:t> </w:t>
                  </w:r>
                </w:p>
              </w:tc>
              <w:tc>
                <w:tcPr>
                  <w:tcW w:w="1134" w:type="dxa"/>
                  <w:tcBorders>
                    <w:top w:val="nil"/>
                    <w:left w:val="nil"/>
                    <w:bottom w:val="single" w:sz="4" w:space="0" w:color="FFFFFF"/>
                    <w:right w:val="single" w:sz="4" w:space="0" w:color="FFFFFF"/>
                  </w:tcBorders>
                  <w:shd w:val="clear" w:color="auto" w:fill="auto"/>
                  <w:noWrap/>
                  <w:vAlign w:val="bottom"/>
                  <w:hideMark/>
                </w:tcPr>
                <w:p w14:paraId="7A2E88A8" w14:textId="77777777" w:rsidR="001F570F" w:rsidRPr="00CC53C2" w:rsidRDefault="001F570F" w:rsidP="001F570F">
                  <w:pPr>
                    <w:pStyle w:val="NoSpacing"/>
                  </w:pPr>
                  <w:r w:rsidRPr="00CC53C2">
                    <w:t> </w:t>
                  </w:r>
                </w:p>
              </w:tc>
              <w:tc>
                <w:tcPr>
                  <w:tcW w:w="488" w:type="dxa"/>
                  <w:tcBorders>
                    <w:top w:val="nil"/>
                    <w:left w:val="nil"/>
                    <w:bottom w:val="single" w:sz="4" w:space="0" w:color="FFFFFF"/>
                    <w:right w:val="single" w:sz="4" w:space="0" w:color="FFFFFF"/>
                  </w:tcBorders>
                  <w:shd w:val="clear" w:color="auto" w:fill="auto"/>
                  <w:noWrap/>
                  <w:vAlign w:val="bottom"/>
                  <w:hideMark/>
                </w:tcPr>
                <w:p w14:paraId="663D9CB9" w14:textId="77777777" w:rsidR="001F570F" w:rsidRPr="00CC53C2" w:rsidRDefault="001F570F" w:rsidP="001F570F">
                  <w:pPr>
                    <w:pStyle w:val="NoSpacing"/>
                  </w:pPr>
                  <w:r w:rsidRPr="00CC53C2">
                    <w:t> </w:t>
                  </w:r>
                </w:p>
              </w:tc>
              <w:tc>
                <w:tcPr>
                  <w:tcW w:w="1268" w:type="dxa"/>
                  <w:tcBorders>
                    <w:top w:val="single" w:sz="8" w:space="0" w:color="auto"/>
                    <w:left w:val="single" w:sz="8" w:space="0" w:color="auto"/>
                    <w:bottom w:val="single" w:sz="4" w:space="0" w:color="FFFFFF"/>
                    <w:right w:val="single" w:sz="8" w:space="0" w:color="auto"/>
                  </w:tcBorders>
                  <w:shd w:val="clear" w:color="auto" w:fill="auto"/>
                  <w:noWrap/>
                  <w:vAlign w:val="bottom"/>
                  <w:hideMark/>
                </w:tcPr>
                <w:p w14:paraId="64B2639C" w14:textId="77777777" w:rsidR="001F570F" w:rsidRPr="00CC53C2" w:rsidRDefault="001F570F" w:rsidP="001F570F">
                  <w:pPr>
                    <w:pStyle w:val="NoSpacing"/>
                    <w:rPr>
                      <w:i/>
                      <w:iCs/>
                    </w:rPr>
                  </w:pPr>
                  <w:r w:rsidRPr="00CC53C2">
                    <w:rPr>
                      <w:i/>
                      <w:iCs/>
                    </w:rPr>
                    <w:t> </w:t>
                  </w:r>
                </w:p>
              </w:tc>
              <w:tc>
                <w:tcPr>
                  <w:tcW w:w="1079" w:type="dxa"/>
                  <w:tcBorders>
                    <w:top w:val="single" w:sz="8" w:space="0" w:color="auto"/>
                    <w:left w:val="single" w:sz="8" w:space="0" w:color="auto"/>
                    <w:bottom w:val="single" w:sz="4" w:space="0" w:color="auto"/>
                    <w:right w:val="nil"/>
                  </w:tcBorders>
                  <w:shd w:val="clear" w:color="auto" w:fill="auto"/>
                  <w:noWrap/>
                  <w:vAlign w:val="bottom"/>
                  <w:hideMark/>
                </w:tcPr>
                <w:p w14:paraId="2AA441EC" w14:textId="77777777" w:rsidR="001F570F" w:rsidRPr="00CC53C2" w:rsidRDefault="001F570F" w:rsidP="001F570F">
                  <w:pPr>
                    <w:pStyle w:val="NoSpacing"/>
                  </w:pPr>
                  <w:r w:rsidRPr="00CC53C2">
                    <w:rPr>
                      <w:i/>
                      <w:iCs/>
                    </w:rPr>
                    <w:t>Sub-variables</w:t>
                  </w:r>
                </w:p>
              </w:tc>
              <w:tc>
                <w:tcPr>
                  <w:tcW w:w="189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A81C3F0" w14:textId="77777777" w:rsidR="001F570F" w:rsidRPr="00CC53C2" w:rsidRDefault="001F570F" w:rsidP="001F570F">
                  <w:pPr>
                    <w:pStyle w:val="NoSpacing"/>
                    <w:rPr>
                      <w:i/>
                      <w:iCs/>
                    </w:rPr>
                  </w:pPr>
                  <w:r w:rsidRPr="00CC53C2">
                    <w:rPr>
                      <w:i/>
                      <w:iCs/>
                    </w:rPr>
                    <w:t>Weight</w:t>
                  </w:r>
                </w:p>
              </w:tc>
            </w:tr>
            <w:tr w:rsidR="001F570F" w:rsidRPr="00CC53C2" w14:paraId="48B5D6A7" w14:textId="77777777" w:rsidTr="00A64F0D">
              <w:trPr>
                <w:trHeight w:val="315"/>
                <w:jc w:val="center"/>
              </w:trPr>
              <w:tc>
                <w:tcPr>
                  <w:tcW w:w="236" w:type="dxa"/>
                  <w:tcBorders>
                    <w:top w:val="nil"/>
                    <w:left w:val="single" w:sz="4" w:space="0" w:color="FFFFFF"/>
                    <w:bottom w:val="single" w:sz="4" w:space="0" w:color="FFFFFF"/>
                    <w:right w:val="single" w:sz="4" w:space="0" w:color="FFFFFF"/>
                  </w:tcBorders>
                  <w:shd w:val="clear" w:color="auto" w:fill="auto"/>
                  <w:noWrap/>
                  <w:vAlign w:val="bottom"/>
                  <w:hideMark/>
                </w:tcPr>
                <w:p w14:paraId="37522791" w14:textId="77777777" w:rsidR="001F570F" w:rsidRPr="00CC53C2" w:rsidRDefault="001F570F" w:rsidP="001F570F">
                  <w:pPr>
                    <w:pStyle w:val="NoSpacing"/>
                  </w:pPr>
                  <w:r w:rsidRPr="00CC53C2">
                    <w:t> </w:t>
                  </w:r>
                </w:p>
              </w:tc>
              <w:tc>
                <w:tcPr>
                  <w:tcW w:w="1276" w:type="dxa"/>
                  <w:tcBorders>
                    <w:top w:val="nil"/>
                    <w:left w:val="nil"/>
                    <w:bottom w:val="single" w:sz="4" w:space="0" w:color="FFFFFF"/>
                    <w:right w:val="single" w:sz="4" w:space="0" w:color="FFFFFF"/>
                  </w:tcBorders>
                  <w:shd w:val="clear" w:color="auto" w:fill="auto"/>
                  <w:noWrap/>
                  <w:vAlign w:val="bottom"/>
                  <w:hideMark/>
                </w:tcPr>
                <w:p w14:paraId="65C4AD75" w14:textId="77777777" w:rsidR="001F570F" w:rsidRPr="00CC53C2" w:rsidRDefault="001F570F" w:rsidP="001F570F">
                  <w:pPr>
                    <w:pStyle w:val="NoSpacing"/>
                  </w:pPr>
                  <w:r w:rsidRPr="00CC53C2">
                    <w:t> </w:t>
                  </w:r>
                </w:p>
              </w:tc>
              <w:tc>
                <w:tcPr>
                  <w:tcW w:w="1134" w:type="dxa"/>
                  <w:tcBorders>
                    <w:top w:val="nil"/>
                    <w:left w:val="nil"/>
                    <w:bottom w:val="single" w:sz="4" w:space="0" w:color="FFFFFF"/>
                    <w:right w:val="single" w:sz="4" w:space="0" w:color="FFFFFF"/>
                  </w:tcBorders>
                  <w:shd w:val="clear" w:color="auto" w:fill="auto"/>
                  <w:noWrap/>
                  <w:vAlign w:val="bottom"/>
                  <w:hideMark/>
                </w:tcPr>
                <w:p w14:paraId="453F3BCB" w14:textId="77777777" w:rsidR="001F570F" w:rsidRPr="00CC53C2" w:rsidRDefault="001F570F" w:rsidP="001F570F">
                  <w:pPr>
                    <w:pStyle w:val="NoSpacing"/>
                  </w:pPr>
                  <w:r w:rsidRPr="00CC53C2">
                    <w:t> </w:t>
                  </w:r>
                </w:p>
              </w:tc>
              <w:tc>
                <w:tcPr>
                  <w:tcW w:w="488" w:type="dxa"/>
                  <w:tcBorders>
                    <w:top w:val="nil"/>
                    <w:left w:val="nil"/>
                    <w:bottom w:val="single" w:sz="4" w:space="0" w:color="FFFFFF"/>
                    <w:right w:val="single" w:sz="4" w:space="0" w:color="FFFFFF"/>
                  </w:tcBorders>
                  <w:shd w:val="clear" w:color="auto" w:fill="auto"/>
                  <w:noWrap/>
                  <w:vAlign w:val="bottom"/>
                  <w:hideMark/>
                </w:tcPr>
                <w:p w14:paraId="25E5AFDE" w14:textId="77777777" w:rsidR="001F570F" w:rsidRPr="00CC53C2" w:rsidRDefault="001F570F" w:rsidP="001F570F">
                  <w:pPr>
                    <w:pStyle w:val="NoSpacing"/>
                  </w:pPr>
                  <w:r w:rsidRPr="00CC53C2">
                    <w:t> </w:t>
                  </w:r>
                </w:p>
              </w:tc>
              <w:tc>
                <w:tcPr>
                  <w:tcW w:w="126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98984F" w14:textId="77777777" w:rsidR="001F570F" w:rsidRPr="00CC53C2" w:rsidRDefault="001F570F" w:rsidP="001F570F">
                  <w:pPr>
                    <w:pStyle w:val="NoSpacing"/>
                    <w:rPr>
                      <w:b/>
                      <w:bCs/>
                      <w:i/>
                      <w:iCs/>
                    </w:rPr>
                  </w:pPr>
                  <w:r w:rsidRPr="00CC53C2">
                    <w:rPr>
                      <w:b/>
                      <w:bCs/>
                      <w:i/>
                      <w:iCs/>
                    </w:rPr>
                    <w:t>Variable 3</w:t>
                  </w:r>
                </w:p>
              </w:tc>
              <w:tc>
                <w:tcPr>
                  <w:tcW w:w="1079" w:type="dxa"/>
                  <w:tcBorders>
                    <w:top w:val="nil"/>
                    <w:left w:val="nil"/>
                    <w:bottom w:val="nil"/>
                    <w:right w:val="nil"/>
                  </w:tcBorders>
                  <w:shd w:val="clear" w:color="auto" w:fill="auto"/>
                  <w:noWrap/>
                  <w:vAlign w:val="bottom"/>
                  <w:hideMark/>
                </w:tcPr>
                <w:p w14:paraId="34180589" w14:textId="77777777" w:rsidR="001F570F" w:rsidRPr="00CC53C2" w:rsidRDefault="001F570F" w:rsidP="001F570F">
                  <w:pPr>
                    <w:pStyle w:val="NoSpacing"/>
                  </w:pPr>
                  <w:r w:rsidRPr="00CC53C2">
                    <w:t>3.1</w:t>
                  </w:r>
                </w:p>
              </w:tc>
              <w:tc>
                <w:tcPr>
                  <w:tcW w:w="1896" w:type="dxa"/>
                  <w:tcBorders>
                    <w:top w:val="nil"/>
                    <w:left w:val="single" w:sz="4" w:space="0" w:color="auto"/>
                    <w:bottom w:val="nil"/>
                    <w:right w:val="single" w:sz="8" w:space="0" w:color="auto"/>
                  </w:tcBorders>
                  <w:shd w:val="clear" w:color="auto" w:fill="auto"/>
                  <w:noWrap/>
                  <w:vAlign w:val="bottom"/>
                  <w:hideMark/>
                </w:tcPr>
                <w:p w14:paraId="189935E8" w14:textId="77777777" w:rsidR="001F570F" w:rsidRPr="00CC53C2" w:rsidRDefault="001F570F" w:rsidP="001F570F">
                  <w:pPr>
                    <w:pStyle w:val="NoSpacing"/>
                  </w:pPr>
                  <w:r w:rsidRPr="00CC53C2">
                    <w:t>0.3</w:t>
                  </w:r>
                </w:p>
              </w:tc>
            </w:tr>
            <w:tr w:rsidR="001F570F" w:rsidRPr="00CC53C2" w14:paraId="2156160D" w14:textId="77777777" w:rsidTr="00A64F0D">
              <w:trPr>
                <w:trHeight w:val="315"/>
                <w:jc w:val="center"/>
              </w:trPr>
              <w:tc>
                <w:tcPr>
                  <w:tcW w:w="236" w:type="dxa"/>
                  <w:tcBorders>
                    <w:top w:val="nil"/>
                    <w:left w:val="single" w:sz="4" w:space="0" w:color="FFFFFF"/>
                    <w:bottom w:val="single" w:sz="4" w:space="0" w:color="FFFFFF"/>
                    <w:right w:val="single" w:sz="4" w:space="0" w:color="FFFFFF"/>
                  </w:tcBorders>
                  <w:shd w:val="clear" w:color="auto" w:fill="auto"/>
                  <w:noWrap/>
                  <w:vAlign w:val="bottom"/>
                  <w:hideMark/>
                </w:tcPr>
                <w:p w14:paraId="02F8A88D" w14:textId="77777777" w:rsidR="001F570F" w:rsidRPr="00CC53C2" w:rsidRDefault="001F570F" w:rsidP="001F570F">
                  <w:pPr>
                    <w:pStyle w:val="NoSpacing"/>
                  </w:pPr>
                  <w:r w:rsidRPr="00CC53C2">
                    <w:t> </w:t>
                  </w:r>
                </w:p>
              </w:tc>
              <w:tc>
                <w:tcPr>
                  <w:tcW w:w="1276" w:type="dxa"/>
                  <w:tcBorders>
                    <w:top w:val="nil"/>
                    <w:left w:val="nil"/>
                    <w:bottom w:val="single" w:sz="4" w:space="0" w:color="FFFFFF"/>
                    <w:right w:val="single" w:sz="4" w:space="0" w:color="FFFFFF"/>
                  </w:tcBorders>
                  <w:shd w:val="clear" w:color="auto" w:fill="auto"/>
                  <w:noWrap/>
                  <w:vAlign w:val="bottom"/>
                  <w:hideMark/>
                </w:tcPr>
                <w:p w14:paraId="1866E192" w14:textId="77777777" w:rsidR="001F570F" w:rsidRPr="00CC53C2" w:rsidRDefault="001F570F" w:rsidP="001F570F">
                  <w:pPr>
                    <w:pStyle w:val="NoSpacing"/>
                  </w:pPr>
                  <w:r w:rsidRPr="00CC53C2">
                    <w:t> </w:t>
                  </w:r>
                </w:p>
              </w:tc>
              <w:tc>
                <w:tcPr>
                  <w:tcW w:w="1134" w:type="dxa"/>
                  <w:tcBorders>
                    <w:top w:val="nil"/>
                    <w:left w:val="nil"/>
                    <w:bottom w:val="single" w:sz="4" w:space="0" w:color="FFFFFF"/>
                    <w:right w:val="single" w:sz="4" w:space="0" w:color="FFFFFF"/>
                  </w:tcBorders>
                  <w:shd w:val="clear" w:color="auto" w:fill="auto"/>
                  <w:noWrap/>
                  <w:vAlign w:val="bottom"/>
                  <w:hideMark/>
                </w:tcPr>
                <w:p w14:paraId="3DE8684C" w14:textId="77777777" w:rsidR="001F570F" w:rsidRPr="00CC53C2" w:rsidRDefault="001F570F" w:rsidP="001F570F">
                  <w:pPr>
                    <w:pStyle w:val="NoSpacing"/>
                  </w:pPr>
                  <w:r w:rsidRPr="00CC53C2">
                    <w:t> </w:t>
                  </w:r>
                </w:p>
              </w:tc>
              <w:tc>
                <w:tcPr>
                  <w:tcW w:w="488" w:type="dxa"/>
                  <w:tcBorders>
                    <w:top w:val="nil"/>
                    <w:left w:val="nil"/>
                    <w:bottom w:val="single" w:sz="4" w:space="0" w:color="FFFFFF"/>
                    <w:right w:val="single" w:sz="4" w:space="0" w:color="FFFFFF"/>
                  </w:tcBorders>
                  <w:shd w:val="clear" w:color="auto" w:fill="auto"/>
                  <w:noWrap/>
                  <w:vAlign w:val="bottom"/>
                  <w:hideMark/>
                </w:tcPr>
                <w:p w14:paraId="17F5F651" w14:textId="77777777" w:rsidR="001F570F" w:rsidRPr="00CC53C2" w:rsidRDefault="001F570F" w:rsidP="001F570F">
                  <w:pPr>
                    <w:pStyle w:val="NoSpacing"/>
                  </w:pPr>
                  <w:r w:rsidRPr="00CC53C2">
                    <w:t> </w:t>
                  </w:r>
                </w:p>
              </w:tc>
              <w:tc>
                <w:tcPr>
                  <w:tcW w:w="1268" w:type="dxa"/>
                  <w:vMerge/>
                  <w:tcBorders>
                    <w:top w:val="nil"/>
                    <w:left w:val="single" w:sz="8" w:space="0" w:color="auto"/>
                    <w:bottom w:val="single" w:sz="8" w:space="0" w:color="000000"/>
                    <w:right w:val="single" w:sz="8" w:space="0" w:color="auto"/>
                  </w:tcBorders>
                  <w:vAlign w:val="center"/>
                  <w:hideMark/>
                </w:tcPr>
                <w:p w14:paraId="51F73892" w14:textId="77777777" w:rsidR="001F570F" w:rsidRPr="00CC53C2" w:rsidRDefault="001F570F" w:rsidP="001F570F">
                  <w:pPr>
                    <w:pStyle w:val="NoSpacing"/>
                    <w:rPr>
                      <w:b/>
                      <w:bCs/>
                      <w:i/>
                      <w:iCs/>
                    </w:rPr>
                  </w:pPr>
                </w:p>
              </w:tc>
              <w:tc>
                <w:tcPr>
                  <w:tcW w:w="1079" w:type="dxa"/>
                  <w:tcBorders>
                    <w:top w:val="single" w:sz="8" w:space="0" w:color="auto"/>
                    <w:left w:val="single" w:sz="8" w:space="0" w:color="auto"/>
                    <w:bottom w:val="single" w:sz="8" w:space="0" w:color="auto"/>
                    <w:right w:val="nil"/>
                  </w:tcBorders>
                  <w:shd w:val="clear" w:color="auto" w:fill="auto"/>
                  <w:noWrap/>
                  <w:vAlign w:val="bottom"/>
                  <w:hideMark/>
                </w:tcPr>
                <w:p w14:paraId="14422D41" w14:textId="77777777" w:rsidR="001F570F" w:rsidRPr="00CC53C2" w:rsidRDefault="001F570F" w:rsidP="001F570F">
                  <w:pPr>
                    <w:pStyle w:val="NoSpacing"/>
                    <w:rPr>
                      <w:b/>
                      <w:bCs/>
                    </w:rPr>
                  </w:pPr>
                  <w:r w:rsidRPr="00CC53C2">
                    <w:rPr>
                      <w:b/>
                      <w:bCs/>
                    </w:rPr>
                    <w:t>Indicator weight</w:t>
                  </w:r>
                </w:p>
              </w:tc>
              <w:tc>
                <w:tcPr>
                  <w:tcW w:w="189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9CEE5E3" w14:textId="77777777" w:rsidR="001F570F" w:rsidRPr="00CC53C2" w:rsidRDefault="001F570F" w:rsidP="001F570F">
                  <w:pPr>
                    <w:pStyle w:val="NoSpacing"/>
                    <w:rPr>
                      <w:b/>
                      <w:bCs/>
                    </w:rPr>
                  </w:pPr>
                  <w:r w:rsidRPr="00CC53C2">
                    <w:rPr>
                      <w:b/>
                      <w:bCs/>
                    </w:rPr>
                    <w:t>0.3</w:t>
                  </w:r>
                </w:p>
              </w:tc>
            </w:tr>
          </w:tbl>
          <w:p w14:paraId="7E98A95D" w14:textId="77777777" w:rsidR="001F570F" w:rsidRPr="00CC53C2" w:rsidRDefault="001F570F" w:rsidP="001F570F">
            <w:pPr>
              <w:pStyle w:val="NoSpacing"/>
              <w:rPr>
                <w:lang w:val="en-GB"/>
              </w:rPr>
            </w:pPr>
          </w:p>
          <w:p w14:paraId="41A66147" w14:textId="77777777" w:rsidR="001F570F" w:rsidRPr="00CC53C2" w:rsidRDefault="001F570F" w:rsidP="001F570F">
            <w:pPr>
              <w:pStyle w:val="NoSpacing"/>
              <w:rPr>
                <w:lang w:val="en-GB"/>
              </w:rPr>
            </w:pPr>
            <w:r w:rsidRPr="00CC53C2">
              <w:rPr>
                <w:lang w:val="en-GB"/>
              </w:rPr>
              <w:t xml:space="preserve">The higher weighting assigned to Variable 1 reflects the slightly greater importance of that indicator for assessing the degree of application of a legal/regulatory/policy/institutional framework which recognizes and protects access rights for small-scale fishers.  </w:t>
            </w:r>
          </w:p>
          <w:p w14:paraId="26EEAA73" w14:textId="77777777" w:rsidR="001F570F" w:rsidRPr="00CC53C2" w:rsidRDefault="001F570F" w:rsidP="001F570F">
            <w:pPr>
              <w:pStyle w:val="NoSpacing"/>
              <w:rPr>
                <w:lang w:val="en-GB"/>
              </w:rPr>
            </w:pPr>
          </w:p>
          <w:p w14:paraId="2D0DC676" w14:textId="77777777" w:rsidR="001F570F" w:rsidRPr="00CC53C2" w:rsidRDefault="001F570F" w:rsidP="001F570F">
            <w:pPr>
              <w:pStyle w:val="NoSpacing"/>
              <w:rPr>
                <w:lang w:val="en-GB"/>
              </w:rPr>
            </w:pPr>
            <w:r w:rsidRPr="00CC53C2">
              <w:rPr>
                <w:lang w:val="en-GB"/>
              </w:rPr>
              <w:t>Each sub-variable is scored on the basis of a ‘yes’ or ‘no’ response and any ‘blank’ or ‘unknown’ responses are scored as a ‘no’, or zero. A response of yes results in a score that corresponds with the full weighting value for that variable category. For example, a ‘yes’ response for variables 1.3, 2.1 and 3.1 are scored as 0.1, 0.03 and 0.3 respectively.</w:t>
            </w:r>
          </w:p>
          <w:p w14:paraId="048357B1" w14:textId="77777777" w:rsidR="001F570F" w:rsidRPr="00CC53C2" w:rsidRDefault="001F570F" w:rsidP="001F570F">
            <w:pPr>
              <w:pStyle w:val="NoSpacing"/>
              <w:rPr>
                <w:lang w:val="en-GB"/>
              </w:rPr>
            </w:pPr>
          </w:p>
          <w:p w14:paraId="3DC7C4F8" w14:textId="77777777" w:rsidR="001F570F" w:rsidRPr="00CC53C2" w:rsidRDefault="001F570F" w:rsidP="001F570F">
            <w:pPr>
              <w:pStyle w:val="NoSpacing"/>
              <w:rPr>
                <w:lang w:val="en-GB"/>
              </w:rPr>
            </w:pPr>
            <w:r w:rsidRPr="00CC53C2">
              <w:rPr>
                <w:lang w:val="en-GB"/>
              </w:rPr>
              <w:t xml:space="preserve">One exception is made in the case of sub-variable 1.5. This question allows a response of ‘other’ with an associated text field. A positive response in this field is only scored as a ‘yes’ in the case where the text field is also completed AND at least one of the other prior </w:t>
            </w:r>
            <w:proofErr w:type="gramStart"/>
            <w:r w:rsidRPr="00CC53C2">
              <w:rPr>
                <w:lang w:val="en-GB"/>
              </w:rPr>
              <w:t>sub-variable</w:t>
            </w:r>
            <w:proofErr w:type="gramEnd"/>
            <w:r w:rsidRPr="00CC53C2">
              <w:rPr>
                <w:lang w:val="en-GB"/>
              </w:rPr>
              <w:t xml:space="preserve"> were scored as ‘no’. This allows the indicator weighting to remain consistent in all cases.</w:t>
            </w:r>
          </w:p>
          <w:p w14:paraId="33DC2341" w14:textId="77777777" w:rsidR="001F570F" w:rsidRPr="00CC53C2" w:rsidRDefault="001F570F" w:rsidP="001F570F">
            <w:pPr>
              <w:pStyle w:val="NoSpacing"/>
              <w:rPr>
                <w:lang w:val="en-GB"/>
              </w:rPr>
            </w:pPr>
          </w:p>
          <w:p w14:paraId="1F414131" w14:textId="77777777" w:rsidR="001F570F" w:rsidRPr="00CC53C2" w:rsidRDefault="001F570F" w:rsidP="001F570F">
            <w:pPr>
              <w:pStyle w:val="NoSpacing"/>
              <w:rPr>
                <w:lang w:val="en-GB"/>
              </w:rPr>
            </w:pPr>
            <w:r w:rsidRPr="00CC53C2">
              <w:rPr>
                <w:lang w:val="en-GB"/>
              </w:rPr>
              <w:t xml:space="preserve">Once the specific score has been determined for each country, countries will be classified into a number of bands, ranging from a low to a high degree of implementation, and thus effectively translate a synthetic score into a tangible and intuitive metric for countries.  </w:t>
            </w:r>
          </w:p>
          <w:p w14:paraId="256EC0B5" w14:textId="77777777" w:rsidR="001F570F" w:rsidRDefault="001F570F" w:rsidP="001F570F">
            <w:pPr>
              <w:pStyle w:val="NoSpacing"/>
            </w:pPr>
          </w:p>
        </w:tc>
        <w:tc>
          <w:tcPr>
            <w:tcW w:w="0" w:type="auto"/>
          </w:tcPr>
          <w:p w14:paraId="24E3934E" w14:textId="77777777" w:rsidR="001F570F" w:rsidRDefault="001F570F" w:rsidP="001F570F">
            <w:pPr>
              <w:pStyle w:val="NoSpacing"/>
            </w:pPr>
            <w:r>
              <w:lastRenderedPageBreak/>
              <w:t>W</w:t>
            </w:r>
            <w:r w:rsidRPr="00261EE9">
              <w:t>eb-based system</w:t>
            </w:r>
          </w:p>
          <w:p w14:paraId="4996EFFA" w14:textId="77777777" w:rsidR="001F570F" w:rsidRDefault="001F570F" w:rsidP="001F570F">
            <w:pPr>
              <w:pStyle w:val="NoSpacing"/>
            </w:pPr>
            <w:r w:rsidRPr="00261EE9">
              <w:t xml:space="preserve">CCRF questionnaire </w:t>
            </w:r>
          </w:p>
          <w:p w14:paraId="3E811F17" w14:textId="77777777" w:rsidR="001F570F" w:rsidRDefault="001F570F" w:rsidP="001F570F"/>
        </w:tc>
        <w:tc>
          <w:tcPr>
            <w:tcW w:w="0" w:type="auto"/>
          </w:tcPr>
          <w:p w14:paraId="7A9283F4" w14:textId="77777777" w:rsidR="001F570F" w:rsidRPr="00573631" w:rsidRDefault="001F570F" w:rsidP="001F570F">
            <w:pPr>
              <w:pStyle w:val="NoSpacing"/>
              <w:rPr>
                <w:lang w:eastAsia="en-GB"/>
              </w:rPr>
            </w:pPr>
            <w:r w:rsidRPr="006D6A72">
              <w:rPr>
                <w:lang w:eastAsia="en-GB"/>
              </w:rPr>
              <w:t>Data is typically provided by the National Fishery Ministries/departments.</w:t>
            </w:r>
          </w:p>
          <w:p w14:paraId="61DD163C" w14:textId="77777777" w:rsidR="001F570F" w:rsidRDefault="001F570F" w:rsidP="001F570F">
            <w:pPr>
              <w:pStyle w:val="NoSpacing"/>
            </w:pPr>
          </w:p>
        </w:tc>
        <w:tc>
          <w:tcPr>
            <w:tcW w:w="0" w:type="auto"/>
          </w:tcPr>
          <w:p w14:paraId="769A2351" w14:textId="179F6FCA" w:rsidR="001F570F" w:rsidRPr="00BC6F10" w:rsidRDefault="001F570F" w:rsidP="001F570F">
            <w:pPr>
              <w:pStyle w:val="NoSpacing"/>
            </w:pPr>
          </w:p>
        </w:tc>
        <w:tc>
          <w:tcPr>
            <w:tcW w:w="0" w:type="auto"/>
          </w:tcPr>
          <w:p w14:paraId="1249CA12" w14:textId="77777777" w:rsidR="001F570F" w:rsidRDefault="001F570F" w:rsidP="001F570F">
            <w:pPr>
              <w:pStyle w:val="NoSpacing"/>
            </w:pPr>
            <w:r w:rsidRPr="00BC6F10">
              <w:rPr>
                <w:rFonts w:eastAsia="Times New Roman" w:cs="Times New Roman"/>
                <w:color w:val="000000" w:themeColor="text1"/>
                <w:szCs w:val="20"/>
              </w:rPr>
              <w:t>DoF, MoFL</w:t>
            </w:r>
            <w:r w:rsidRPr="00286F19">
              <w:t xml:space="preserve"> </w:t>
            </w:r>
          </w:p>
          <w:p w14:paraId="33D9E0E4" w14:textId="77777777" w:rsidR="001F570F" w:rsidRDefault="001F570F" w:rsidP="001F570F">
            <w:pPr>
              <w:pStyle w:val="NoSpacing"/>
            </w:pPr>
          </w:p>
          <w:p w14:paraId="48956830" w14:textId="77777777" w:rsidR="001F570F" w:rsidRPr="00286F19" w:rsidRDefault="001F570F" w:rsidP="001F570F">
            <w:pPr>
              <w:spacing w:line="276" w:lineRule="auto"/>
              <w:jc w:val="center"/>
              <w:rPr>
                <w:szCs w:val="26"/>
              </w:rPr>
            </w:pPr>
            <w:r w:rsidRPr="00286F19">
              <w:t>Administrative Data</w:t>
            </w:r>
          </w:p>
        </w:tc>
        <w:tc>
          <w:tcPr>
            <w:tcW w:w="0" w:type="auto"/>
          </w:tcPr>
          <w:p w14:paraId="26CADFB7"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Size Class</w:t>
            </w:r>
          </w:p>
          <w:p w14:paraId="4FF546FF"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Framework: Legal Framework</w:t>
            </w:r>
          </w:p>
          <w:p w14:paraId="0FB18479" w14:textId="77777777" w:rsidR="001F570F" w:rsidRDefault="001F570F" w:rsidP="001F570F">
            <w:pPr>
              <w:pStyle w:val="ListParagraph"/>
              <w:spacing w:after="0" w:line="240" w:lineRule="auto"/>
              <w:ind w:left="160"/>
              <w:jc w:val="both"/>
              <w:rPr>
                <w:rFonts w:ascii="Tw Cen MT Condensed" w:hAnsi="Tw Cen MT Condensed"/>
                <w:sz w:val="20"/>
                <w:szCs w:val="20"/>
              </w:rPr>
            </w:pPr>
            <w:r>
              <w:rPr>
                <w:rFonts w:ascii="Tw Cen MT Condensed" w:hAnsi="Tw Cen MT Condensed"/>
                <w:sz w:val="20"/>
                <w:szCs w:val="20"/>
              </w:rPr>
              <w:t>/ Regulatory Framework /Policy Framework</w:t>
            </w:r>
          </w:p>
          <w:p w14:paraId="2833D5A6" w14:textId="77777777" w:rsidR="001F570F" w:rsidRDefault="001F570F" w:rsidP="001F570F">
            <w:pPr>
              <w:pStyle w:val="NoSpacing"/>
              <w:rPr>
                <w:color w:val="0070C0"/>
                <w:sz w:val="30"/>
                <w:szCs w:val="30"/>
              </w:rPr>
            </w:pPr>
            <w:r>
              <w:lastRenderedPageBreak/>
              <w:t xml:space="preserve">/ Institutional </w:t>
            </w:r>
            <w:r>
              <w:rPr>
                <w:rFonts w:hint="cs"/>
                <w:cs/>
                <w:lang w:bidi="bn-BD"/>
              </w:rPr>
              <w:t xml:space="preserve">   </w:t>
            </w:r>
            <w:r>
              <w:t>Framework</w:t>
            </w:r>
          </w:p>
        </w:tc>
        <w:tc>
          <w:tcPr>
            <w:tcW w:w="0" w:type="auto"/>
          </w:tcPr>
          <w:p w14:paraId="679803EA" w14:textId="77777777" w:rsidR="001F570F" w:rsidRDefault="001F570F" w:rsidP="001F570F">
            <w:pPr>
              <w:ind w:left="970" w:hanging="970"/>
              <w:jc w:val="both"/>
              <w:rPr>
                <w:color w:val="0070C0"/>
                <w:sz w:val="30"/>
                <w:szCs w:val="30"/>
              </w:rPr>
            </w:pPr>
            <w:r>
              <w:lastRenderedPageBreak/>
              <w:t>Triennial</w:t>
            </w:r>
          </w:p>
        </w:tc>
        <w:tc>
          <w:tcPr>
            <w:tcW w:w="0" w:type="auto"/>
          </w:tcPr>
          <w:p w14:paraId="4DDB1434" w14:textId="77777777" w:rsidR="001F570F" w:rsidRDefault="001F570F" w:rsidP="001F570F">
            <w:pPr>
              <w:ind w:left="970" w:hanging="970"/>
              <w:jc w:val="both"/>
              <w:rPr>
                <w:color w:val="0070C0"/>
                <w:sz w:val="30"/>
                <w:szCs w:val="30"/>
              </w:rPr>
            </w:pPr>
            <w:r>
              <w:t>Group 2</w:t>
            </w:r>
          </w:p>
        </w:tc>
        <w:tc>
          <w:tcPr>
            <w:tcW w:w="0" w:type="auto"/>
          </w:tcPr>
          <w:p w14:paraId="2324B632" w14:textId="77777777" w:rsidR="001F570F" w:rsidRDefault="001F570F" w:rsidP="001F570F">
            <w:pPr>
              <w:pStyle w:val="NoSpacing"/>
            </w:pPr>
            <w:r>
              <w:t>1</w:t>
            </w:r>
            <w:r w:rsidRPr="00013ACB">
              <w:rPr>
                <w:vertAlign w:val="superscript"/>
              </w:rPr>
              <w:t>st</w:t>
            </w:r>
            <w:r>
              <w:t xml:space="preserve"> Round:</w:t>
            </w:r>
          </w:p>
          <w:p w14:paraId="526E5C87" w14:textId="77777777" w:rsidR="001F570F" w:rsidRDefault="001F570F" w:rsidP="001F570F">
            <w:pPr>
              <w:pStyle w:val="NoSpacing"/>
            </w:pPr>
            <w:r>
              <w:t>January, 2019</w:t>
            </w:r>
          </w:p>
          <w:p w14:paraId="6EE08201" w14:textId="77777777" w:rsidR="001F570F" w:rsidRDefault="001F570F" w:rsidP="001F570F">
            <w:pPr>
              <w:pStyle w:val="NoSpacing"/>
            </w:pPr>
          </w:p>
          <w:p w14:paraId="35E84DD6" w14:textId="77777777" w:rsidR="001F570F" w:rsidRDefault="001F570F" w:rsidP="001F570F">
            <w:pPr>
              <w:pStyle w:val="NoSpacing"/>
            </w:pPr>
            <w:r>
              <w:t>2</w:t>
            </w:r>
            <w:r w:rsidRPr="00013ACB">
              <w:rPr>
                <w:vertAlign w:val="superscript"/>
              </w:rPr>
              <w:t>nd</w:t>
            </w:r>
            <w:r>
              <w:t xml:space="preserve"> Round:</w:t>
            </w:r>
          </w:p>
          <w:p w14:paraId="2BFECCC1" w14:textId="77777777" w:rsidR="001F570F" w:rsidRDefault="001F570F" w:rsidP="001F570F">
            <w:pPr>
              <w:pStyle w:val="NoSpacing"/>
            </w:pPr>
            <w:r>
              <w:t xml:space="preserve"> January 2022</w:t>
            </w:r>
          </w:p>
          <w:p w14:paraId="6901E2ED" w14:textId="77777777" w:rsidR="001F570F" w:rsidRDefault="001F570F" w:rsidP="001F570F">
            <w:pPr>
              <w:pStyle w:val="NoSpacing"/>
            </w:pPr>
            <w:r>
              <w:t>3</w:t>
            </w:r>
            <w:r w:rsidRPr="00013ACB">
              <w:rPr>
                <w:vertAlign w:val="superscript"/>
              </w:rPr>
              <w:t>rd</w:t>
            </w:r>
            <w:r>
              <w:t xml:space="preserve"> Round: </w:t>
            </w:r>
          </w:p>
          <w:p w14:paraId="086B7DA3" w14:textId="77777777" w:rsidR="001F570F" w:rsidRDefault="001F570F" w:rsidP="001F570F">
            <w:pPr>
              <w:pStyle w:val="NoSpacing"/>
            </w:pPr>
            <w:r>
              <w:t xml:space="preserve">January </w:t>
            </w:r>
            <w:r>
              <w:lastRenderedPageBreak/>
              <w:t>2025</w:t>
            </w:r>
          </w:p>
          <w:p w14:paraId="1EBF7A08" w14:textId="77777777" w:rsidR="001F570F" w:rsidRDefault="001F570F" w:rsidP="001F570F">
            <w:pPr>
              <w:pStyle w:val="NoSpacing"/>
            </w:pPr>
            <w:r>
              <w:t>4</w:t>
            </w:r>
            <w:r w:rsidRPr="00013ACB">
              <w:rPr>
                <w:vertAlign w:val="superscript"/>
              </w:rPr>
              <w:t>th</w:t>
            </w:r>
            <w:r>
              <w:t xml:space="preserve"> Round: </w:t>
            </w:r>
          </w:p>
          <w:p w14:paraId="32B95801" w14:textId="77777777" w:rsidR="001F570F" w:rsidRDefault="001F570F" w:rsidP="001F570F">
            <w:pPr>
              <w:pStyle w:val="NoSpacing"/>
            </w:pPr>
            <w:r>
              <w:t>January 2028</w:t>
            </w:r>
          </w:p>
          <w:p w14:paraId="0B71E2B4" w14:textId="77777777" w:rsidR="001F570F" w:rsidRDefault="001F570F" w:rsidP="001F570F">
            <w:pPr>
              <w:pStyle w:val="NoSpacing"/>
            </w:pPr>
            <w:r>
              <w:t>5</w:t>
            </w:r>
            <w:r w:rsidRPr="00013ACB">
              <w:rPr>
                <w:vertAlign w:val="superscript"/>
              </w:rPr>
              <w:t>th</w:t>
            </w:r>
            <w:r>
              <w:t xml:space="preserve"> Round: </w:t>
            </w:r>
          </w:p>
          <w:p w14:paraId="68A2F3D1" w14:textId="5A90693B" w:rsidR="001F570F" w:rsidRPr="00670519" w:rsidRDefault="001F570F" w:rsidP="001F570F">
            <w:pPr>
              <w:pStyle w:val="NoSpacing"/>
            </w:pPr>
            <w:r>
              <w:t>January 2030</w:t>
            </w:r>
          </w:p>
        </w:tc>
        <w:tc>
          <w:tcPr>
            <w:tcW w:w="0" w:type="auto"/>
          </w:tcPr>
          <w:p w14:paraId="4E708C77" w14:textId="77777777" w:rsidR="001F570F" w:rsidRDefault="001F570F" w:rsidP="001F570F">
            <w:pPr>
              <w:pStyle w:val="NoSpacing"/>
            </w:pPr>
            <w:r>
              <w:lastRenderedPageBreak/>
              <w:t>Data availability reviewed in Oct. 2019</w:t>
            </w:r>
          </w:p>
          <w:p w14:paraId="4EC98E84" w14:textId="77777777" w:rsidR="001F570F" w:rsidRDefault="001F570F" w:rsidP="001F570F">
            <w:pPr>
              <w:pStyle w:val="NoSpacing"/>
            </w:pPr>
            <w:r>
              <w:t>(classified as Tier I)</w:t>
            </w:r>
          </w:p>
          <w:p w14:paraId="256D3D44" w14:textId="77777777" w:rsidR="001F570F" w:rsidRDefault="001F570F" w:rsidP="001F570F">
            <w:pPr>
              <w:pStyle w:val="NoSpacing"/>
            </w:pPr>
          </w:p>
          <w:p w14:paraId="6AD40EFA" w14:textId="77777777" w:rsidR="001F570F" w:rsidRDefault="001F570F" w:rsidP="001F570F">
            <w:pPr>
              <w:pStyle w:val="NoSpacing"/>
            </w:pPr>
            <w:r>
              <w:t>UNSC 50 refinement</w:t>
            </w:r>
          </w:p>
          <w:p w14:paraId="644F6C47" w14:textId="77777777" w:rsidR="001F570F" w:rsidRDefault="001F570F" w:rsidP="001F570F">
            <w:pPr>
              <w:pStyle w:val="NoSpacing"/>
            </w:pPr>
          </w:p>
          <w:p w14:paraId="55F9C984" w14:textId="77777777" w:rsidR="001F570F" w:rsidRDefault="001F570F" w:rsidP="001F570F">
            <w:pPr>
              <w:pStyle w:val="NoSpacing"/>
            </w:pPr>
            <w:r>
              <w:t xml:space="preserve">Reviewed at 7th IAEG-SDG meeting </w:t>
            </w:r>
            <w:r>
              <w:lastRenderedPageBreak/>
              <w:t>(classified as Tier II)</w:t>
            </w:r>
          </w:p>
          <w:p w14:paraId="6AB4B21B" w14:textId="77777777" w:rsidR="001F570F" w:rsidRDefault="001F570F" w:rsidP="001F570F">
            <w:pPr>
              <w:pStyle w:val="NoSpacing"/>
            </w:pPr>
          </w:p>
          <w:p w14:paraId="312197E4" w14:textId="77777777" w:rsidR="001F570F" w:rsidRDefault="001F570F" w:rsidP="001F570F">
            <w:pPr>
              <w:pStyle w:val="NoSpacing"/>
            </w:pPr>
            <w:r>
              <w:t>Reviewed at Webex meeting in Nov. 2017 following 6th IAEG-SDG meeting: Request results of additional pilot studies</w:t>
            </w:r>
          </w:p>
        </w:tc>
      </w:tr>
      <w:tr w:rsidR="001F570F" w14:paraId="6E65C9C1" w14:textId="77777777" w:rsidTr="00A64F0D">
        <w:tc>
          <w:tcPr>
            <w:tcW w:w="0" w:type="auto"/>
          </w:tcPr>
          <w:p w14:paraId="7D57642E" w14:textId="77777777" w:rsidR="001F570F" w:rsidRDefault="001F570F" w:rsidP="001F570F">
            <w:pPr>
              <w:ind w:left="970" w:hanging="970"/>
              <w:jc w:val="both"/>
              <w:rPr>
                <w:color w:val="0070C0"/>
                <w:sz w:val="30"/>
                <w:szCs w:val="30"/>
              </w:rPr>
            </w:pPr>
          </w:p>
        </w:tc>
        <w:tc>
          <w:tcPr>
            <w:tcW w:w="0" w:type="auto"/>
            <w:gridSpan w:val="12"/>
          </w:tcPr>
          <w:p w14:paraId="1CAB3039"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14.b Provide access for small-scale artisanal fishers to marine resources and markets</w:t>
            </w:r>
          </w:p>
        </w:tc>
      </w:tr>
      <w:tr w:rsidR="001F570F" w14:paraId="4BBEBEFC" w14:textId="77777777" w:rsidTr="00A64F0D">
        <w:tc>
          <w:tcPr>
            <w:tcW w:w="0" w:type="auto"/>
          </w:tcPr>
          <w:p w14:paraId="51F9E327" w14:textId="77777777" w:rsidR="001F570F" w:rsidRDefault="001F570F" w:rsidP="001F570F">
            <w:pPr>
              <w:pStyle w:val="NoSpacing"/>
              <w:rPr>
                <w:color w:val="0070C0"/>
                <w:sz w:val="30"/>
                <w:szCs w:val="30"/>
              </w:rPr>
            </w:pPr>
            <w:r w:rsidRPr="000221E2">
              <w:t xml:space="preserve">14.c.1 Number of countries making progress in ratifying, accepting and implementing through legal, policy and institutional frameworks, ocean-related instruments </w:t>
            </w:r>
            <w:r w:rsidRPr="000221E2">
              <w:lastRenderedPageBreak/>
              <w:t>that implement international law, as reflected in the United Nations Convention on the Law of the Sea, for the conservation and sustainable use of the oceans and their resources</w:t>
            </w:r>
          </w:p>
        </w:tc>
        <w:tc>
          <w:tcPr>
            <w:tcW w:w="0" w:type="auto"/>
          </w:tcPr>
          <w:p w14:paraId="7A8C3AB0" w14:textId="77777777" w:rsidR="001F570F" w:rsidRDefault="001F570F" w:rsidP="001F570F">
            <w:pPr>
              <w:pStyle w:val="NoSpacing"/>
            </w:pPr>
            <w:r>
              <w:lastRenderedPageBreak/>
              <w:t>UN-DOALOS,</w:t>
            </w:r>
          </w:p>
          <w:p w14:paraId="70B464E0" w14:textId="77777777" w:rsidR="001F570F" w:rsidRDefault="001F570F" w:rsidP="001F570F">
            <w:pPr>
              <w:pStyle w:val="NoSpacing"/>
            </w:pPr>
            <w:r>
              <w:t>FAO,</w:t>
            </w:r>
          </w:p>
          <w:p w14:paraId="538ED7CA" w14:textId="77777777" w:rsidR="001F570F" w:rsidRDefault="001F570F" w:rsidP="001F570F">
            <w:pPr>
              <w:pStyle w:val="NoSpacing"/>
            </w:pPr>
            <w:r>
              <w:t>UNEP,</w:t>
            </w:r>
          </w:p>
          <w:p w14:paraId="29F9484F" w14:textId="77777777" w:rsidR="001F570F" w:rsidRDefault="001F570F" w:rsidP="001F570F">
            <w:pPr>
              <w:pStyle w:val="NoSpacing"/>
            </w:pPr>
            <w:r>
              <w:t>ILO,</w:t>
            </w:r>
          </w:p>
          <w:p w14:paraId="5B57D610" w14:textId="77777777" w:rsidR="001F570F" w:rsidRPr="00E53957" w:rsidRDefault="001F570F" w:rsidP="001F570F">
            <w:pPr>
              <w:pStyle w:val="NoSpacing"/>
            </w:pPr>
            <w:r>
              <w:t xml:space="preserve">other </w:t>
            </w:r>
            <w:r>
              <w:lastRenderedPageBreak/>
              <w:t>UN-Oceans agencies</w:t>
            </w:r>
          </w:p>
        </w:tc>
        <w:tc>
          <w:tcPr>
            <w:tcW w:w="0" w:type="auto"/>
          </w:tcPr>
          <w:p w14:paraId="53BC1C12" w14:textId="77777777" w:rsidR="001F570F" w:rsidRDefault="001F570F" w:rsidP="001F570F">
            <w:pPr>
              <w:ind w:left="970" w:hanging="970"/>
              <w:jc w:val="both"/>
              <w:rPr>
                <w:color w:val="0070C0"/>
                <w:sz w:val="30"/>
                <w:szCs w:val="30"/>
              </w:rPr>
            </w:pPr>
            <w:r w:rsidRPr="00666BAB">
              <w:lastRenderedPageBreak/>
              <w:t>Tier II</w:t>
            </w:r>
          </w:p>
        </w:tc>
        <w:tc>
          <w:tcPr>
            <w:tcW w:w="0" w:type="auto"/>
          </w:tcPr>
          <w:p w14:paraId="728DCCD5" w14:textId="77777777" w:rsidR="001F570F" w:rsidRPr="007C1364" w:rsidRDefault="001F570F" w:rsidP="001F570F">
            <w:pPr>
              <w:pStyle w:val="NoSpacing"/>
              <w:rPr>
                <w:lang w:val="en-GB"/>
              </w:rPr>
            </w:pPr>
            <w:r w:rsidRPr="007C1364">
              <w:rPr>
                <w:b/>
                <w:bCs/>
                <w:lang w:val="en-GB"/>
              </w:rPr>
              <w:t>Definition:</w:t>
            </w:r>
          </w:p>
          <w:p w14:paraId="44F7EF9B" w14:textId="77777777" w:rsidR="001F570F" w:rsidRPr="007C1364" w:rsidRDefault="001F570F" w:rsidP="001F570F">
            <w:pPr>
              <w:pStyle w:val="NoSpacing"/>
              <w:rPr>
                <w:lang w:val="en-GB"/>
              </w:rPr>
            </w:pPr>
            <w:r w:rsidRPr="007C1364">
              <w:rPr>
                <w:lang w:val="en-GB"/>
              </w:rPr>
              <w:t>Sustainable Development Goal (SDG) indicator 14.c.1 measures the number of countries making progress in ratification of, accession to and implementation of ocean-related instruments that implement international law, as reflected in the United Nation Convention on the Law of the Sea (UNCLOS), for the conservation and sustainable use of the oceans and their resources.</w:t>
            </w:r>
          </w:p>
          <w:p w14:paraId="76AFDA42" w14:textId="77777777" w:rsidR="001F570F" w:rsidRPr="007C1364" w:rsidRDefault="001F570F" w:rsidP="001F570F">
            <w:pPr>
              <w:pStyle w:val="NoSpacing"/>
              <w:rPr>
                <w:lang w:val="en-GB"/>
              </w:rPr>
            </w:pPr>
          </w:p>
          <w:p w14:paraId="535504B8" w14:textId="77777777" w:rsidR="001F570F" w:rsidRPr="007C1364" w:rsidRDefault="001F570F" w:rsidP="001F570F">
            <w:pPr>
              <w:pStyle w:val="NoSpacing"/>
              <w:rPr>
                <w:lang w:val="en-GB"/>
              </w:rPr>
            </w:pPr>
            <w:r w:rsidRPr="007C1364">
              <w:rPr>
                <w:lang w:val="en-GB"/>
              </w:rPr>
              <w:t>There are two aspects to this indicator:</w:t>
            </w:r>
          </w:p>
          <w:p w14:paraId="7FA2F2A9" w14:textId="77777777" w:rsidR="001F570F" w:rsidRPr="007C1364" w:rsidRDefault="001F570F" w:rsidP="001F570F">
            <w:pPr>
              <w:pStyle w:val="NoSpacing"/>
              <w:numPr>
                <w:ilvl w:val="0"/>
                <w:numId w:val="144"/>
              </w:numPr>
              <w:rPr>
                <w:lang w:val="en-GB"/>
              </w:rPr>
            </w:pPr>
            <w:r w:rsidRPr="007C1364">
              <w:rPr>
                <w:lang w:val="en-GB"/>
              </w:rPr>
              <w:lastRenderedPageBreak/>
              <w:t xml:space="preserve">the number of countries making progress in ratifying and acceding to ocean-related instruments that implement international law as reflected in UNCLOS for the conservation and sustainable use of the oceans and their resources, and </w:t>
            </w:r>
          </w:p>
          <w:p w14:paraId="29444C36" w14:textId="77777777" w:rsidR="001F570F" w:rsidRPr="007C1364" w:rsidRDefault="001F570F" w:rsidP="001F570F">
            <w:pPr>
              <w:pStyle w:val="NoSpacing"/>
              <w:numPr>
                <w:ilvl w:val="0"/>
                <w:numId w:val="144"/>
              </w:numPr>
              <w:rPr>
                <w:lang w:val="en-GB"/>
              </w:rPr>
            </w:pPr>
            <w:proofErr w:type="gramStart"/>
            <w:r w:rsidRPr="007C1364">
              <w:rPr>
                <w:lang w:val="en-GB"/>
              </w:rPr>
              <w:t>the</w:t>
            </w:r>
            <w:proofErr w:type="gramEnd"/>
            <w:r w:rsidRPr="007C1364">
              <w:rPr>
                <w:lang w:val="en-GB"/>
              </w:rPr>
              <w:t xml:space="preserve"> number of countries making progress in implementing such instruments through legal, policy and institutional frameworks.</w:t>
            </w:r>
          </w:p>
          <w:p w14:paraId="3C2C6F30" w14:textId="77777777" w:rsidR="001F570F" w:rsidRPr="007C1364" w:rsidRDefault="001F570F" w:rsidP="001F570F">
            <w:pPr>
              <w:pStyle w:val="NoSpacing"/>
              <w:rPr>
                <w:lang w:val="en-GB"/>
              </w:rPr>
            </w:pPr>
          </w:p>
          <w:p w14:paraId="0FB2476D" w14:textId="77777777" w:rsidR="001F570F" w:rsidRPr="007C1364" w:rsidRDefault="001F570F" w:rsidP="001F570F">
            <w:pPr>
              <w:pStyle w:val="NoSpacing"/>
              <w:rPr>
                <w:lang w:val="en-GB"/>
              </w:rPr>
            </w:pPr>
            <w:r w:rsidRPr="007C1364">
              <w:rPr>
                <w:b/>
                <w:bCs/>
                <w:lang w:val="en-GB"/>
              </w:rPr>
              <w:t>Concepts:</w:t>
            </w:r>
          </w:p>
          <w:p w14:paraId="456AE2E9" w14:textId="77777777" w:rsidR="001F570F" w:rsidRPr="007C1364" w:rsidRDefault="001F570F" w:rsidP="001F570F">
            <w:pPr>
              <w:pStyle w:val="NoSpacing"/>
              <w:rPr>
                <w:lang w:val="en-GB"/>
              </w:rPr>
            </w:pPr>
            <w:r w:rsidRPr="007C1364">
              <w:rPr>
                <w:lang w:val="en-GB"/>
              </w:rPr>
              <w:t>N/A.</w:t>
            </w:r>
          </w:p>
          <w:p w14:paraId="308FD4F8" w14:textId="77777777" w:rsidR="001F570F" w:rsidRPr="007C1364" w:rsidRDefault="001F570F" w:rsidP="001F570F">
            <w:pPr>
              <w:pStyle w:val="NoSpacing"/>
              <w:rPr>
                <w:lang w:val="en-GB"/>
              </w:rPr>
            </w:pPr>
          </w:p>
          <w:p w14:paraId="18E9FD25" w14:textId="77777777" w:rsidR="001F570F" w:rsidRPr="007C1364" w:rsidRDefault="001F570F" w:rsidP="001F570F">
            <w:pPr>
              <w:pStyle w:val="NoSpacing"/>
              <w:rPr>
                <w:lang w:val="en-GB"/>
              </w:rPr>
            </w:pPr>
            <w:r w:rsidRPr="007C1364">
              <w:rPr>
                <w:b/>
                <w:bCs/>
                <w:lang w:val="en-GB"/>
              </w:rPr>
              <w:t>Comments and limitations:</w:t>
            </w:r>
          </w:p>
          <w:p w14:paraId="63A1401E" w14:textId="77777777" w:rsidR="001F570F" w:rsidRPr="007C1364" w:rsidRDefault="001F570F" w:rsidP="001F570F">
            <w:pPr>
              <w:pStyle w:val="NoSpacing"/>
              <w:rPr>
                <w:lang w:val="en-GB"/>
              </w:rPr>
            </w:pPr>
            <w:r w:rsidRPr="007C1364">
              <w:rPr>
                <w:lang w:val="en-GB"/>
              </w:rPr>
              <w:t>Implementation of UNCLOS and its implementing agreements through legal frameworks (for example, through national legislation or executive acts) as well as policy and institutional frameworks will be scored on the basis of a self-analysis by countries of the extent of implementation.  Countries will be invited in the questionnaire to share information regarding their methods of implementation.</w:t>
            </w:r>
          </w:p>
          <w:p w14:paraId="3C25AA45" w14:textId="77777777" w:rsidR="001F570F" w:rsidRPr="007C1364" w:rsidRDefault="001F570F" w:rsidP="001F570F">
            <w:pPr>
              <w:pStyle w:val="NoSpacing"/>
              <w:rPr>
                <w:lang w:val="en-GB"/>
              </w:rPr>
            </w:pPr>
          </w:p>
          <w:p w14:paraId="0C01FE13" w14:textId="77777777" w:rsidR="001F570F" w:rsidRPr="007C1364" w:rsidRDefault="001F570F" w:rsidP="001F570F">
            <w:pPr>
              <w:pStyle w:val="NoSpacing"/>
              <w:rPr>
                <w:b/>
                <w:bCs/>
                <w:lang w:val="en-GB"/>
              </w:rPr>
            </w:pPr>
          </w:p>
          <w:p w14:paraId="437CCCAF" w14:textId="77777777" w:rsidR="001F570F" w:rsidRPr="007C1364" w:rsidRDefault="001F570F" w:rsidP="001F570F">
            <w:pPr>
              <w:pStyle w:val="NoSpacing"/>
              <w:rPr>
                <w:lang w:val="en-GB"/>
              </w:rPr>
            </w:pPr>
            <w:r w:rsidRPr="007C1364">
              <w:rPr>
                <w:b/>
                <w:bCs/>
                <w:lang w:val="en-GB"/>
              </w:rPr>
              <w:t>Computation Method:</w:t>
            </w:r>
          </w:p>
          <w:p w14:paraId="25C52EBE" w14:textId="77777777" w:rsidR="001F570F" w:rsidRPr="007C1364" w:rsidRDefault="001F570F" w:rsidP="001F570F">
            <w:pPr>
              <w:pStyle w:val="NoSpacing"/>
              <w:rPr>
                <w:lang w:val="en-GB"/>
              </w:rPr>
            </w:pPr>
            <w:r w:rsidRPr="007C1364">
              <w:rPr>
                <w:lang w:val="en-GB"/>
              </w:rPr>
              <w:t xml:space="preserve">The indicator measures the number of countries making progress in ratifying, accepting and implementing UNCLOS and its two implementing agreements through legal, policy and institutional frameworks.  </w:t>
            </w:r>
          </w:p>
          <w:p w14:paraId="189EE859" w14:textId="77777777" w:rsidR="001F570F" w:rsidRPr="007C1364" w:rsidRDefault="001F570F" w:rsidP="001F570F">
            <w:pPr>
              <w:pStyle w:val="NoSpacing"/>
              <w:rPr>
                <w:lang w:val="en-GB"/>
              </w:rPr>
            </w:pPr>
          </w:p>
          <w:p w14:paraId="23445016" w14:textId="77777777" w:rsidR="001F570F" w:rsidRPr="007C1364" w:rsidRDefault="001F570F" w:rsidP="001F570F">
            <w:pPr>
              <w:pStyle w:val="NoSpacing"/>
              <w:rPr>
                <w:lang w:val="en-GB"/>
              </w:rPr>
            </w:pPr>
            <w:r w:rsidRPr="007C1364">
              <w:rPr>
                <w:lang w:val="en-GB"/>
              </w:rPr>
              <w:t xml:space="preserve">This measurement of progress is computed on the basis of countries’ responses to the questionnaire, which contains three questions in respect to each of the three instruments. </w:t>
            </w:r>
          </w:p>
          <w:p w14:paraId="0EC126D9" w14:textId="77777777" w:rsidR="001F570F" w:rsidRPr="007C1364" w:rsidRDefault="001F570F" w:rsidP="001F570F">
            <w:pPr>
              <w:pStyle w:val="NoSpacing"/>
              <w:rPr>
                <w:lang w:val="en-GB"/>
              </w:rPr>
            </w:pPr>
          </w:p>
          <w:p w14:paraId="22FC17EB" w14:textId="77777777" w:rsidR="001F570F" w:rsidRPr="007C1364" w:rsidRDefault="001F570F" w:rsidP="001F570F">
            <w:pPr>
              <w:pStyle w:val="NoSpacing"/>
              <w:rPr>
                <w:lang w:val="en-GB"/>
              </w:rPr>
            </w:pPr>
            <w:r w:rsidRPr="007C1364">
              <w:rPr>
                <w:lang w:val="en-GB"/>
              </w:rPr>
              <w:t>Countries will be invited to respond to questions which relate to ratification of or accession to UNCLOS and its two implementing agreements (Questions 1.1, 2.1 and 3.1). They are coded with simple “Yes/No” answers, with a score of “1” for “Yes” and “0” for “No”.  Each country’s overall score for ratification or acceptance of these instruments will therefore be a number between 0 and 3, which will be reported as a percentage (with “100” representing a score of “3”, and “0” representing a score of “0”).</w:t>
            </w:r>
          </w:p>
          <w:p w14:paraId="3C2E57FB" w14:textId="77777777" w:rsidR="001F570F" w:rsidRPr="007C1364" w:rsidRDefault="001F570F" w:rsidP="001F570F">
            <w:pPr>
              <w:pStyle w:val="NoSpacing"/>
              <w:rPr>
                <w:lang w:val="en-GB"/>
              </w:rPr>
            </w:pPr>
          </w:p>
          <w:p w14:paraId="58F20835" w14:textId="77777777" w:rsidR="001F570F" w:rsidRPr="007C1364" w:rsidRDefault="001F570F" w:rsidP="001F570F">
            <w:pPr>
              <w:pStyle w:val="NoSpacing"/>
              <w:rPr>
                <w:lang w:val="en-GB"/>
              </w:rPr>
            </w:pPr>
            <w:r w:rsidRPr="007C1364">
              <w:rPr>
                <w:lang w:val="en-GB"/>
              </w:rPr>
              <w:t xml:space="preserve">Countries will also be invited to respond to questions which relate to implementation of UNCLOS and its two implementing agreements through legal frameworks (Questions 1.2, 2.2 and 3.2) by evaluating their own national implementation and assigning a score of between 1 and 9 – with “1” being “not at all” and “9” being “fully” – or indicating that the question of implementation is not applicable (“N/A”).  </w:t>
            </w:r>
          </w:p>
          <w:p w14:paraId="5831B2CB" w14:textId="77777777" w:rsidR="001F570F" w:rsidRPr="007C1364" w:rsidRDefault="001F570F" w:rsidP="001F570F">
            <w:pPr>
              <w:pStyle w:val="NoSpacing"/>
              <w:rPr>
                <w:lang w:val="en-GB"/>
              </w:rPr>
            </w:pPr>
          </w:p>
          <w:p w14:paraId="05A4F1E9" w14:textId="77777777" w:rsidR="001F570F" w:rsidRPr="007C1364" w:rsidRDefault="001F570F" w:rsidP="001F570F">
            <w:pPr>
              <w:pStyle w:val="NoSpacing"/>
              <w:rPr>
                <w:lang w:val="en-GB"/>
              </w:rPr>
            </w:pPr>
            <w:bookmarkStart w:id="21" w:name="_Hlk24644188"/>
            <w:r w:rsidRPr="007C1364">
              <w:rPr>
                <w:lang w:val="en-GB"/>
              </w:rPr>
              <w:t xml:space="preserve">Countries will further be invited to indicate whether they have a national policy and/or a national institution or another </w:t>
            </w:r>
            <w:r w:rsidRPr="007C1364">
              <w:rPr>
                <w:lang w:val="en-GB"/>
              </w:rPr>
              <w:lastRenderedPageBreak/>
              <w:t xml:space="preserve">mechanism, such as a national focal point or an inter-agency or inter-departmental working group, with responsibility for ensuring that the problems of ocean space (UNCLOS), matters related to the deep seabed (Part XI Agreement) and matters related to [sustainable] fisheries (UNFSA) are considered through an integrated, interdisciplinary and inter-sectoral approach </w:t>
            </w:r>
            <w:bookmarkEnd w:id="21"/>
            <w:r w:rsidRPr="007C1364">
              <w:rPr>
                <w:lang w:val="en-GB"/>
              </w:rPr>
              <w:t xml:space="preserve">(Questions 1.3, 2.3 and 3.3).  These questions are coded with simple “Yes”, “No” and “N/A” answers, with a score of “1” for “Yes” and “0” for “No”.  </w:t>
            </w:r>
          </w:p>
          <w:p w14:paraId="23E13B28" w14:textId="77777777" w:rsidR="001F570F" w:rsidRPr="007C1364" w:rsidRDefault="001F570F" w:rsidP="001F570F">
            <w:pPr>
              <w:pStyle w:val="NoSpacing"/>
              <w:rPr>
                <w:lang w:val="en-GB"/>
              </w:rPr>
            </w:pPr>
          </w:p>
          <w:p w14:paraId="12A73A43" w14:textId="77777777" w:rsidR="001F570F" w:rsidRPr="007C1364" w:rsidRDefault="001F570F" w:rsidP="001F570F">
            <w:pPr>
              <w:pStyle w:val="NoSpacing"/>
              <w:rPr>
                <w:lang w:val="en-GB"/>
              </w:rPr>
            </w:pPr>
            <w:r w:rsidRPr="007C1364">
              <w:rPr>
                <w:lang w:val="en-GB"/>
              </w:rPr>
              <w:t>The scoring methodology regarding implementation is the total of the scores reported by States regarding implementation through legal frameworks for UNCLOS and each of its two implementing agreements (in response to Questions 1.2, 2.2 and 3.2), added to the relevant scores achieved regarding implementation through national policy and/or national institutions for UNCLOS and each of its implementing agreements (in respect to Questions 1.3, 2.3 and 3.3).  Pursuant to this scoring methodology, each State could achieve a maximum score of 30 points for implementation.</w:t>
            </w:r>
          </w:p>
          <w:p w14:paraId="3472CFD1" w14:textId="77777777" w:rsidR="001F570F" w:rsidRPr="007C1364" w:rsidRDefault="001F570F" w:rsidP="001F570F">
            <w:pPr>
              <w:pStyle w:val="NoSpacing"/>
              <w:rPr>
                <w:lang w:val="en-GB"/>
              </w:rPr>
            </w:pPr>
          </w:p>
          <w:p w14:paraId="339B5699" w14:textId="77777777" w:rsidR="001F570F" w:rsidRPr="007C1364" w:rsidRDefault="001F570F" w:rsidP="001F570F">
            <w:pPr>
              <w:pStyle w:val="NoSpacing"/>
              <w:rPr>
                <w:lang w:val="en-GB"/>
              </w:rPr>
            </w:pPr>
            <w:r w:rsidRPr="007C1364">
              <w:rPr>
                <w:lang w:val="en-GB"/>
              </w:rPr>
              <w:t>These scores which will be reported as a percentage (with 100 representing an average score of 30, 80 representing an average score of 24, and so on). “N/A” responses will not be included as part of the overall score calculation.</w:t>
            </w:r>
          </w:p>
          <w:p w14:paraId="695604F8" w14:textId="77777777" w:rsidR="001F570F" w:rsidRDefault="001F570F" w:rsidP="001F570F">
            <w:pPr>
              <w:pStyle w:val="NoSpacing"/>
            </w:pPr>
          </w:p>
        </w:tc>
        <w:tc>
          <w:tcPr>
            <w:tcW w:w="0" w:type="auto"/>
          </w:tcPr>
          <w:p w14:paraId="240992AF" w14:textId="77777777" w:rsidR="001F570F" w:rsidRPr="00803CD8" w:rsidRDefault="001F570F" w:rsidP="001F570F">
            <w:pPr>
              <w:pStyle w:val="NoSpacing"/>
            </w:pPr>
            <w:r>
              <w:rPr>
                <w:lang w:eastAsia="en-GB"/>
              </w:rPr>
              <w:lastRenderedPageBreak/>
              <w:t>questionnaire through the Permanent Missions to the United Nations in New York</w:t>
            </w:r>
          </w:p>
        </w:tc>
        <w:tc>
          <w:tcPr>
            <w:tcW w:w="0" w:type="auto"/>
          </w:tcPr>
          <w:p w14:paraId="1E4D0F54" w14:textId="77777777" w:rsidR="001F570F" w:rsidRDefault="001F570F" w:rsidP="001F570F">
            <w:pPr>
              <w:pStyle w:val="NoSpacing"/>
              <w:rPr>
                <w:lang w:eastAsia="en-GB"/>
              </w:rPr>
            </w:pPr>
            <w:r>
              <w:rPr>
                <w:lang w:eastAsia="en-GB"/>
              </w:rPr>
              <w:t>Data will be provided by relevant government ministries, departments and agencies.</w:t>
            </w:r>
          </w:p>
          <w:p w14:paraId="0D51D57F" w14:textId="77777777" w:rsidR="001F570F" w:rsidRDefault="001F570F" w:rsidP="001F570F">
            <w:pPr>
              <w:pStyle w:val="NoSpacing"/>
            </w:pPr>
          </w:p>
        </w:tc>
        <w:tc>
          <w:tcPr>
            <w:tcW w:w="0" w:type="auto"/>
          </w:tcPr>
          <w:p w14:paraId="177823A9" w14:textId="77777777" w:rsidR="001F570F" w:rsidRDefault="001F570F" w:rsidP="001F570F">
            <w:pPr>
              <w:pStyle w:val="NoSpacing"/>
            </w:pPr>
            <w:r>
              <w:rPr>
                <w:rFonts w:eastAsia="Times New Roman" w:cs="Times New Roman"/>
                <w:color w:val="000000" w:themeColor="text1"/>
                <w:szCs w:val="20"/>
              </w:rPr>
              <w:lastRenderedPageBreak/>
              <w:t xml:space="preserve"> MoFA</w:t>
            </w:r>
          </w:p>
          <w:p w14:paraId="76FCB88C" w14:textId="77777777" w:rsidR="001F570F" w:rsidRDefault="001F570F" w:rsidP="001F570F">
            <w:pPr>
              <w:pStyle w:val="NoSpacing"/>
            </w:pPr>
          </w:p>
          <w:p w14:paraId="5840CEDD" w14:textId="77777777" w:rsidR="001F570F" w:rsidRPr="00BC6F10" w:rsidRDefault="001F570F" w:rsidP="001F570F">
            <w:pPr>
              <w:pStyle w:val="NoSpacing"/>
            </w:pPr>
            <w:r w:rsidRPr="00286F19">
              <w:t>Administrative Data</w:t>
            </w:r>
          </w:p>
        </w:tc>
        <w:tc>
          <w:tcPr>
            <w:tcW w:w="0" w:type="auto"/>
          </w:tcPr>
          <w:p w14:paraId="494CE5CD" w14:textId="77777777" w:rsidR="001F570F" w:rsidRDefault="001F570F" w:rsidP="001F570F">
            <w:pPr>
              <w:pStyle w:val="NoSpacing"/>
            </w:pPr>
            <w:r>
              <w:t>MoFA</w:t>
            </w:r>
          </w:p>
          <w:p w14:paraId="2618CA6F" w14:textId="77777777" w:rsidR="001F570F" w:rsidRDefault="001F570F" w:rsidP="001F570F">
            <w:pPr>
              <w:pStyle w:val="NoSpacing"/>
            </w:pPr>
          </w:p>
          <w:p w14:paraId="201AB973" w14:textId="77777777" w:rsidR="001F570F" w:rsidRPr="00286F19" w:rsidRDefault="001F570F" w:rsidP="001F570F">
            <w:pPr>
              <w:spacing w:line="276" w:lineRule="auto"/>
              <w:jc w:val="center"/>
              <w:rPr>
                <w:szCs w:val="26"/>
              </w:rPr>
            </w:pPr>
            <w:r w:rsidRPr="00286F19">
              <w:t>Administrative Data</w:t>
            </w:r>
          </w:p>
        </w:tc>
        <w:tc>
          <w:tcPr>
            <w:tcW w:w="0" w:type="auto"/>
          </w:tcPr>
          <w:p w14:paraId="3C49424D" w14:textId="4C89701F" w:rsidR="001F570F" w:rsidRDefault="00C65E01" w:rsidP="001F570F">
            <w:pPr>
              <w:ind w:left="970" w:hanging="970"/>
              <w:jc w:val="both"/>
              <w:rPr>
                <w:color w:val="0070C0"/>
                <w:sz w:val="30"/>
                <w:szCs w:val="30"/>
              </w:rPr>
            </w:pPr>
            <w:r w:rsidRPr="000C4849">
              <w:rPr>
                <w:color w:val="0070C0"/>
                <w:szCs w:val="30"/>
              </w:rPr>
              <w:t>By Region</w:t>
            </w:r>
          </w:p>
        </w:tc>
        <w:tc>
          <w:tcPr>
            <w:tcW w:w="0" w:type="auto"/>
          </w:tcPr>
          <w:p w14:paraId="61814F6C" w14:textId="77777777" w:rsidR="001F570F" w:rsidRDefault="001F570F" w:rsidP="001F570F">
            <w:pPr>
              <w:ind w:left="970" w:hanging="970"/>
              <w:jc w:val="both"/>
              <w:rPr>
                <w:color w:val="0070C0"/>
                <w:sz w:val="30"/>
                <w:szCs w:val="30"/>
              </w:rPr>
            </w:pPr>
            <w:r>
              <w:t>Triennial</w:t>
            </w:r>
          </w:p>
        </w:tc>
        <w:tc>
          <w:tcPr>
            <w:tcW w:w="0" w:type="auto"/>
          </w:tcPr>
          <w:p w14:paraId="38D0DF11" w14:textId="77777777" w:rsidR="001F570F" w:rsidRDefault="001F570F" w:rsidP="001F570F">
            <w:pPr>
              <w:ind w:left="970" w:hanging="970"/>
              <w:jc w:val="both"/>
              <w:rPr>
                <w:color w:val="0070C0"/>
                <w:sz w:val="30"/>
                <w:szCs w:val="30"/>
              </w:rPr>
            </w:pPr>
            <w:r>
              <w:t>Group 1</w:t>
            </w:r>
          </w:p>
        </w:tc>
        <w:tc>
          <w:tcPr>
            <w:tcW w:w="0" w:type="auto"/>
          </w:tcPr>
          <w:p w14:paraId="656B6A3F" w14:textId="77777777" w:rsidR="001F570F" w:rsidRDefault="001F570F" w:rsidP="001F570F">
            <w:pPr>
              <w:pStyle w:val="NoSpacing"/>
            </w:pPr>
            <w:r>
              <w:t>1</w:t>
            </w:r>
            <w:r w:rsidRPr="00013ACB">
              <w:rPr>
                <w:vertAlign w:val="superscript"/>
              </w:rPr>
              <w:t>st</w:t>
            </w:r>
            <w:r>
              <w:t xml:space="preserve"> Round:</w:t>
            </w:r>
          </w:p>
          <w:p w14:paraId="64D7EAFF" w14:textId="77777777" w:rsidR="001F570F" w:rsidRDefault="001F570F" w:rsidP="001F570F">
            <w:pPr>
              <w:pStyle w:val="NoSpacing"/>
            </w:pPr>
            <w:r>
              <w:t>2019</w:t>
            </w:r>
          </w:p>
          <w:p w14:paraId="4A5F18FF" w14:textId="77777777" w:rsidR="001F570F" w:rsidRDefault="001F570F" w:rsidP="001F570F">
            <w:pPr>
              <w:pStyle w:val="NoSpacing"/>
            </w:pPr>
          </w:p>
          <w:p w14:paraId="3D4EB8BE" w14:textId="77777777" w:rsidR="001F570F" w:rsidRDefault="001F570F" w:rsidP="001F570F">
            <w:pPr>
              <w:pStyle w:val="NoSpacing"/>
            </w:pPr>
            <w:r>
              <w:t>2</w:t>
            </w:r>
            <w:r w:rsidRPr="00013ACB">
              <w:rPr>
                <w:vertAlign w:val="superscript"/>
              </w:rPr>
              <w:t>nd</w:t>
            </w:r>
            <w:r>
              <w:t xml:space="preserve"> Round:</w:t>
            </w:r>
          </w:p>
          <w:p w14:paraId="10121D27" w14:textId="77777777" w:rsidR="001F570F" w:rsidRDefault="001F570F" w:rsidP="001F570F">
            <w:pPr>
              <w:pStyle w:val="NoSpacing"/>
            </w:pPr>
            <w:r>
              <w:t xml:space="preserve"> </w:t>
            </w:r>
            <w:r>
              <w:lastRenderedPageBreak/>
              <w:t xml:space="preserve">December, </w:t>
            </w:r>
          </w:p>
          <w:p w14:paraId="21F529A0" w14:textId="77777777" w:rsidR="001F570F" w:rsidRDefault="001F570F" w:rsidP="001F570F">
            <w:pPr>
              <w:pStyle w:val="NoSpacing"/>
            </w:pPr>
            <w:r>
              <w:t>2020</w:t>
            </w:r>
          </w:p>
          <w:p w14:paraId="554AAB67" w14:textId="77777777" w:rsidR="001F570F" w:rsidRDefault="001F570F" w:rsidP="001F570F">
            <w:pPr>
              <w:pStyle w:val="NoSpacing"/>
            </w:pPr>
          </w:p>
          <w:p w14:paraId="2C9E64D0" w14:textId="77777777" w:rsidR="001F570F" w:rsidRDefault="001F570F" w:rsidP="001F570F">
            <w:pPr>
              <w:pStyle w:val="NoSpacing"/>
            </w:pPr>
            <w:r>
              <w:t>3</w:t>
            </w:r>
            <w:r w:rsidRPr="00013ACB">
              <w:rPr>
                <w:vertAlign w:val="superscript"/>
              </w:rPr>
              <w:t>rd</w:t>
            </w:r>
            <w:r>
              <w:t xml:space="preserve"> Round: </w:t>
            </w:r>
          </w:p>
          <w:p w14:paraId="538E4399" w14:textId="77777777" w:rsidR="001F570F" w:rsidRDefault="001F570F" w:rsidP="001F570F">
            <w:pPr>
              <w:pStyle w:val="NoSpacing"/>
            </w:pPr>
            <w:r>
              <w:t xml:space="preserve">December, </w:t>
            </w:r>
          </w:p>
          <w:p w14:paraId="13C41BBA" w14:textId="77777777" w:rsidR="001F570F" w:rsidRDefault="001F570F" w:rsidP="001F570F">
            <w:pPr>
              <w:pStyle w:val="NoSpacing"/>
            </w:pPr>
            <w:r>
              <w:t>2023</w:t>
            </w:r>
          </w:p>
          <w:p w14:paraId="65686B8F" w14:textId="77777777" w:rsidR="001F570F" w:rsidRDefault="001F570F" w:rsidP="001F570F">
            <w:pPr>
              <w:pStyle w:val="NoSpacing"/>
            </w:pPr>
          </w:p>
          <w:p w14:paraId="71F3479B" w14:textId="77777777" w:rsidR="001F570F" w:rsidRDefault="001F570F" w:rsidP="001F570F">
            <w:pPr>
              <w:pStyle w:val="NoSpacing"/>
            </w:pPr>
            <w:r>
              <w:t>4</w:t>
            </w:r>
            <w:r w:rsidRPr="00013ACB">
              <w:rPr>
                <w:vertAlign w:val="superscript"/>
              </w:rPr>
              <w:t>th</w:t>
            </w:r>
            <w:r>
              <w:t xml:space="preserve"> Round: </w:t>
            </w:r>
          </w:p>
          <w:p w14:paraId="1D0EEC6A" w14:textId="77777777" w:rsidR="001F570F" w:rsidRDefault="001F570F" w:rsidP="001F570F">
            <w:pPr>
              <w:pStyle w:val="NoSpacing"/>
            </w:pPr>
            <w:r>
              <w:t xml:space="preserve">December, </w:t>
            </w:r>
          </w:p>
          <w:p w14:paraId="60904F96" w14:textId="77777777" w:rsidR="001F570F" w:rsidRDefault="001F570F" w:rsidP="001F570F">
            <w:pPr>
              <w:pStyle w:val="NoSpacing"/>
            </w:pPr>
            <w:r>
              <w:t>2026</w:t>
            </w:r>
          </w:p>
          <w:p w14:paraId="1B4A065C" w14:textId="77777777" w:rsidR="001F570F" w:rsidRDefault="001F570F" w:rsidP="001F570F">
            <w:pPr>
              <w:pStyle w:val="NoSpacing"/>
            </w:pPr>
          </w:p>
          <w:p w14:paraId="01E2BB3C" w14:textId="77777777" w:rsidR="001F570F" w:rsidRDefault="001F570F" w:rsidP="001F570F">
            <w:pPr>
              <w:pStyle w:val="NoSpacing"/>
            </w:pPr>
            <w:r>
              <w:t>5</w:t>
            </w:r>
            <w:r w:rsidRPr="00013ACB">
              <w:rPr>
                <w:vertAlign w:val="superscript"/>
              </w:rPr>
              <w:t>th</w:t>
            </w:r>
            <w:r>
              <w:t xml:space="preserve"> Round: </w:t>
            </w:r>
          </w:p>
          <w:p w14:paraId="7235AF08" w14:textId="77777777" w:rsidR="001F570F" w:rsidRDefault="001F570F" w:rsidP="001F570F">
            <w:pPr>
              <w:pStyle w:val="NoSpacing"/>
            </w:pPr>
            <w:r>
              <w:t xml:space="preserve">December, </w:t>
            </w:r>
          </w:p>
          <w:p w14:paraId="1088B5A1" w14:textId="77777777" w:rsidR="001F570F" w:rsidRDefault="001F570F" w:rsidP="001F570F">
            <w:pPr>
              <w:pStyle w:val="NoSpacing"/>
            </w:pPr>
            <w:r>
              <w:t>2029</w:t>
            </w:r>
          </w:p>
          <w:p w14:paraId="683269BB" w14:textId="3A17ADC0" w:rsidR="001F570F" w:rsidRPr="00670519" w:rsidRDefault="001F570F" w:rsidP="001F570F">
            <w:pPr>
              <w:pStyle w:val="NoSpacing"/>
            </w:pPr>
          </w:p>
        </w:tc>
        <w:tc>
          <w:tcPr>
            <w:tcW w:w="0" w:type="auto"/>
          </w:tcPr>
          <w:p w14:paraId="710F0EA9" w14:textId="77777777" w:rsidR="001F570F" w:rsidRDefault="001F570F" w:rsidP="001F570F">
            <w:pPr>
              <w:pStyle w:val="NoSpacing"/>
            </w:pPr>
            <w:r>
              <w:lastRenderedPageBreak/>
              <w:t>Reviewed at Nov./Dec. 2019 WebEx meeting (classified as Tier II)</w:t>
            </w:r>
          </w:p>
          <w:p w14:paraId="69B26087" w14:textId="77777777" w:rsidR="001F570F" w:rsidRDefault="001F570F" w:rsidP="001F570F">
            <w:pPr>
              <w:pStyle w:val="NoSpacing"/>
            </w:pPr>
          </w:p>
          <w:p w14:paraId="7B2E140D" w14:textId="77777777" w:rsidR="001F570F" w:rsidRDefault="001F570F" w:rsidP="001F570F">
            <w:pPr>
              <w:pStyle w:val="NoSpacing"/>
            </w:pPr>
            <w:r>
              <w:lastRenderedPageBreak/>
              <w:t>Reviewed at 10th IAEG-SDG meeting:</w:t>
            </w:r>
          </w:p>
          <w:p w14:paraId="31C41DFA" w14:textId="39716675" w:rsidR="001F570F" w:rsidRDefault="001F570F" w:rsidP="001F570F">
            <w:pPr>
              <w:pStyle w:val="NoSpacing"/>
            </w:pPr>
            <w:r>
              <w:t xml:space="preserve">Needs additional work/clarification on how data will be compiled and presented in database (classified as </w:t>
            </w:r>
            <w:r w:rsidR="006B621F">
              <w:t>TBD</w:t>
            </w:r>
            <w:r>
              <w:t>)</w:t>
            </w:r>
          </w:p>
        </w:tc>
      </w:tr>
    </w:tbl>
    <w:p w14:paraId="6FB1A81B" w14:textId="77777777" w:rsidR="0095033B" w:rsidRDefault="0095033B" w:rsidP="001C5F7A">
      <w:pPr>
        <w:jc w:val="both"/>
        <w:rPr>
          <w:color w:val="0070C0"/>
          <w:sz w:val="48"/>
          <w:szCs w:val="48"/>
        </w:rPr>
      </w:pPr>
    </w:p>
    <w:p w14:paraId="445977B1" w14:textId="2B744984" w:rsidR="001C5F7A" w:rsidRPr="006C6341" w:rsidRDefault="00BB3B57" w:rsidP="001C5F7A">
      <w:pPr>
        <w:jc w:val="both"/>
        <w:rPr>
          <w:color w:val="0070C0"/>
          <w:sz w:val="48"/>
          <w:szCs w:val="48"/>
        </w:rPr>
      </w:pPr>
      <w:r>
        <w:rPr>
          <w:color w:val="0070C0"/>
          <w:sz w:val="48"/>
          <w:szCs w:val="48"/>
        </w:rPr>
        <w:t>Action Plan and Methodological Guidelines towards Data Generation and Disaggregation for Monitoring and Evaluation of SDGs</w:t>
      </w:r>
    </w:p>
    <w:tbl>
      <w:tblPr>
        <w:tblStyle w:val="TableGrid"/>
        <w:tblW w:w="0" w:type="auto"/>
        <w:tblInd w:w="-5" w:type="dxa"/>
        <w:tblLook w:val="04A0" w:firstRow="1" w:lastRow="0" w:firstColumn="1" w:lastColumn="0" w:noHBand="0" w:noVBand="1"/>
      </w:tblPr>
      <w:tblGrid>
        <w:gridCol w:w="2118"/>
        <w:gridCol w:w="16823"/>
      </w:tblGrid>
      <w:tr w:rsidR="00106BE7" w14:paraId="417783F6" w14:textId="77777777" w:rsidTr="00106BE7">
        <w:tc>
          <w:tcPr>
            <w:tcW w:w="0" w:type="auto"/>
            <w:tcBorders>
              <w:left w:val="single" w:sz="4" w:space="0" w:color="C00000"/>
              <w:bottom w:val="single" w:sz="4" w:space="0" w:color="C00000"/>
            </w:tcBorders>
          </w:tcPr>
          <w:p w14:paraId="37518EED" w14:textId="38E095C4" w:rsidR="001C5F7A" w:rsidRDefault="00106BE7" w:rsidP="001C5F7A">
            <w:pPr>
              <w:jc w:val="center"/>
              <w:rPr>
                <w:color w:val="C00000"/>
                <w:sz w:val="48"/>
                <w:szCs w:val="48"/>
              </w:rPr>
            </w:pPr>
            <w:r>
              <w:rPr>
                <w:noProof/>
                <w:color w:val="C00000"/>
                <w:sz w:val="48"/>
                <w:szCs w:val="48"/>
                <w:lang w:bidi="bn-BD"/>
              </w:rPr>
              <w:drawing>
                <wp:inline distT="0" distB="0" distL="0" distR="0" wp14:anchorId="1ADE60A3" wp14:editId="2EDA9BA9">
                  <wp:extent cx="1207790" cy="1207790"/>
                  <wp:effectExtent l="0" t="0" r="0" b="0"/>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 name="E_SDG goals_icons-individual-cmyk-15.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27576" cy="1227576"/>
                          </a:xfrm>
                          <a:prstGeom prst="rect">
                            <a:avLst/>
                          </a:prstGeom>
                        </pic:spPr>
                      </pic:pic>
                    </a:graphicData>
                  </a:graphic>
                </wp:inline>
              </w:drawing>
            </w:r>
          </w:p>
        </w:tc>
        <w:tc>
          <w:tcPr>
            <w:tcW w:w="0" w:type="auto"/>
            <w:shd w:val="clear" w:color="auto" w:fill="008000"/>
            <w:vAlign w:val="center"/>
          </w:tcPr>
          <w:p w14:paraId="4EE4FAD4" w14:textId="77777777" w:rsidR="001C5F7A" w:rsidRPr="00214C29" w:rsidRDefault="003D2111" w:rsidP="001C5F7A">
            <w:pPr>
              <w:jc w:val="both"/>
              <w:rPr>
                <w:color w:val="FFFFFF" w:themeColor="background1"/>
                <w:sz w:val="62"/>
                <w:szCs w:val="62"/>
              </w:rPr>
            </w:pPr>
            <w:r w:rsidRPr="003D2111">
              <w:rPr>
                <w:color w:val="FFFFFF" w:themeColor="background1"/>
                <w:sz w:val="62"/>
                <w:szCs w:val="62"/>
              </w:rPr>
              <w:t>Protect, restore and promote sustainable use of terrestrial ecosystems, sustainably manage forests, combat desertification, and halt and reverse land degradation and halt biodiversity loss</w:t>
            </w:r>
          </w:p>
        </w:tc>
      </w:tr>
    </w:tbl>
    <w:p w14:paraId="210E5241" w14:textId="77777777" w:rsidR="0095033B" w:rsidRPr="003D2111" w:rsidRDefault="0095033B" w:rsidP="001C5F7A">
      <w:pPr>
        <w:jc w:val="both"/>
        <w:rPr>
          <w:color w:val="0070C0"/>
          <w:sz w:val="14"/>
          <w:szCs w:val="14"/>
        </w:rPr>
      </w:pPr>
    </w:p>
    <w:tbl>
      <w:tblPr>
        <w:tblStyle w:val="TableGrid"/>
        <w:tblW w:w="0" w:type="auto"/>
        <w:tblLook w:val="04A0" w:firstRow="1" w:lastRow="0" w:firstColumn="1" w:lastColumn="0" w:noHBand="0" w:noVBand="1"/>
      </w:tblPr>
      <w:tblGrid>
        <w:gridCol w:w="1346"/>
        <w:gridCol w:w="909"/>
        <w:gridCol w:w="721"/>
        <w:gridCol w:w="5784"/>
        <w:gridCol w:w="1649"/>
        <w:gridCol w:w="1221"/>
        <w:gridCol w:w="1132"/>
        <w:gridCol w:w="1102"/>
        <w:gridCol w:w="1321"/>
        <w:gridCol w:w="912"/>
        <w:gridCol w:w="787"/>
        <w:gridCol w:w="856"/>
        <w:gridCol w:w="1196"/>
      </w:tblGrid>
      <w:tr w:rsidR="00447CDC" w:rsidRPr="007E6DF7" w14:paraId="2CD6D79A" w14:textId="77777777" w:rsidTr="00A64F0D">
        <w:trPr>
          <w:tblHeader/>
        </w:trPr>
        <w:tc>
          <w:tcPr>
            <w:tcW w:w="0" w:type="auto"/>
            <w:shd w:val="clear" w:color="auto" w:fill="B8CCE4" w:themeFill="accent1" w:themeFillTint="66"/>
            <w:vAlign w:val="center"/>
          </w:tcPr>
          <w:p w14:paraId="3D7651F1" w14:textId="77777777" w:rsidR="003D2111" w:rsidRPr="007E6DF7" w:rsidRDefault="003D2111" w:rsidP="003D2111">
            <w:pPr>
              <w:jc w:val="center"/>
              <w:rPr>
                <w:b/>
                <w:bCs/>
                <w:sz w:val="18"/>
                <w:szCs w:val="18"/>
              </w:rPr>
            </w:pPr>
            <w:r w:rsidRPr="007E6DF7">
              <w:rPr>
                <w:b/>
                <w:bCs/>
                <w:sz w:val="18"/>
                <w:szCs w:val="18"/>
              </w:rPr>
              <w:t>Targets and Indicators</w:t>
            </w:r>
          </w:p>
        </w:tc>
        <w:tc>
          <w:tcPr>
            <w:tcW w:w="0" w:type="auto"/>
            <w:shd w:val="clear" w:color="auto" w:fill="B8CCE4" w:themeFill="accent1" w:themeFillTint="66"/>
            <w:vAlign w:val="center"/>
          </w:tcPr>
          <w:p w14:paraId="7F326B94" w14:textId="77777777" w:rsidR="003D2111" w:rsidRPr="007E6DF7" w:rsidRDefault="003D2111" w:rsidP="003D2111">
            <w:pPr>
              <w:jc w:val="center"/>
              <w:rPr>
                <w:b/>
                <w:bCs/>
                <w:sz w:val="18"/>
                <w:szCs w:val="18"/>
              </w:rPr>
            </w:pPr>
            <w:r w:rsidRPr="007E6DF7">
              <w:rPr>
                <w:b/>
                <w:bCs/>
                <w:sz w:val="18"/>
                <w:szCs w:val="18"/>
              </w:rPr>
              <w:t>Custodian Agency (ies)</w:t>
            </w:r>
          </w:p>
        </w:tc>
        <w:tc>
          <w:tcPr>
            <w:tcW w:w="0" w:type="auto"/>
            <w:shd w:val="clear" w:color="auto" w:fill="B8CCE4" w:themeFill="accent1" w:themeFillTint="66"/>
            <w:vAlign w:val="center"/>
          </w:tcPr>
          <w:p w14:paraId="4C561596" w14:textId="77777777" w:rsidR="003D2111" w:rsidRPr="007E6DF7" w:rsidRDefault="003D2111" w:rsidP="003D2111">
            <w:pPr>
              <w:jc w:val="center"/>
              <w:rPr>
                <w:b/>
                <w:bCs/>
                <w:sz w:val="18"/>
                <w:szCs w:val="18"/>
              </w:rPr>
            </w:pPr>
            <w:r w:rsidRPr="007E6DF7">
              <w:rPr>
                <w:b/>
                <w:bCs/>
                <w:sz w:val="18"/>
                <w:szCs w:val="18"/>
              </w:rPr>
              <w:t>Tier Classifi-cations</w:t>
            </w:r>
          </w:p>
        </w:tc>
        <w:tc>
          <w:tcPr>
            <w:tcW w:w="0" w:type="auto"/>
            <w:shd w:val="clear" w:color="auto" w:fill="B8CCE4" w:themeFill="accent1" w:themeFillTint="66"/>
            <w:vAlign w:val="center"/>
          </w:tcPr>
          <w:p w14:paraId="1D86E90C" w14:textId="77777777" w:rsidR="003D2111" w:rsidRPr="007E6DF7" w:rsidRDefault="003D2111" w:rsidP="003D2111">
            <w:pPr>
              <w:jc w:val="center"/>
              <w:rPr>
                <w:b/>
                <w:bCs/>
                <w:sz w:val="18"/>
                <w:szCs w:val="18"/>
              </w:rPr>
            </w:pPr>
            <w:r w:rsidRPr="007E6DF7">
              <w:rPr>
                <w:b/>
                <w:bCs/>
                <w:sz w:val="18"/>
                <w:szCs w:val="18"/>
              </w:rPr>
              <w:t>Definition, Concept, Computation Methods and formula</w:t>
            </w:r>
          </w:p>
        </w:tc>
        <w:tc>
          <w:tcPr>
            <w:tcW w:w="0" w:type="auto"/>
            <w:shd w:val="clear" w:color="auto" w:fill="B8CCE4" w:themeFill="accent1" w:themeFillTint="66"/>
            <w:vAlign w:val="center"/>
          </w:tcPr>
          <w:p w14:paraId="5BA724C2" w14:textId="77777777" w:rsidR="003D2111" w:rsidRPr="007E6DF7" w:rsidRDefault="003D2111" w:rsidP="003D2111">
            <w:pPr>
              <w:jc w:val="center"/>
              <w:rPr>
                <w:b/>
                <w:bCs/>
                <w:sz w:val="18"/>
                <w:szCs w:val="18"/>
              </w:rPr>
            </w:pPr>
            <w:r w:rsidRPr="007E6DF7">
              <w:rPr>
                <w:b/>
                <w:bCs/>
                <w:sz w:val="18"/>
                <w:szCs w:val="18"/>
              </w:rPr>
              <w:t>UN Suggested activities of data generation</w:t>
            </w:r>
          </w:p>
        </w:tc>
        <w:tc>
          <w:tcPr>
            <w:tcW w:w="0" w:type="auto"/>
            <w:shd w:val="clear" w:color="auto" w:fill="B8CCE4" w:themeFill="accent1" w:themeFillTint="66"/>
            <w:vAlign w:val="center"/>
          </w:tcPr>
          <w:p w14:paraId="363A178B" w14:textId="77777777" w:rsidR="003D2111" w:rsidRPr="007E6DF7" w:rsidRDefault="003D2111" w:rsidP="003D2111">
            <w:pPr>
              <w:jc w:val="center"/>
              <w:rPr>
                <w:b/>
                <w:bCs/>
                <w:sz w:val="18"/>
                <w:szCs w:val="18"/>
              </w:rPr>
            </w:pPr>
            <w:r w:rsidRPr="007E6DF7">
              <w:rPr>
                <w:b/>
                <w:bCs/>
                <w:sz w:val="18"/>
                <w:szCs w:val="18"/>
              </w:rPr>
              <w:t>UN Suggested data provider</w:t>
            </w:r>
          </w:p>
        </w:tc>
        <w:tc>
          <w:tcPr>
            <w:tcW w:w="0" w:type="auto"/>
            <w:shd w:val="clear" w:color="auto" w:fill="B8CCE4" w:themeFill="accent1" w:themeFillTint="66"/>
            <w:vAlign w:val="center"/>
          </w:tcPr>
          <w:p w14:paraId="6DA60D01" w14:textId="77777777" w:rsidR="003D2111" w:rsidRPr="007E6DF7" w:rsidRDefault="003D2111" w:rsidP="003D2111">
            <w:pPr>
              <w:jc w:val="center"/>
              <w:rPr>
                <w:b/>
                <w:bCs/>
                <w:sz w:val="18"/>
                <w:szCs w:val="18"/>
              </w:rPr>
            </w:pPr>
            <w:r w:rsidRPr="007E6DF7">
              <w:rPr>
                <w:b/>
                <w:bCs/>
                <w:sz w:val="18"/>
                <w:szCs w:val="18"/>
              </w:rPr>
              <w:t>Recent Available Data Sources</w:t>
            </w:r>
          </w:p>
        </w:tc>
        <w:tc>
          <w:tcPr>
            <w:tcW w:w="0" w:type="auto"/>
            <w:shd w:val="clear" w:color="auto" w:fill="B8CCE4" w:themeFill="accent1" w:themeFillTint="66"/>
            <w:vAlign w:val="center"/>
          </w:tcPr>
          <w:p w14:paraId="164DD394" w14:textId="77777777" w:rsidR="003D2111" w:rsidRPr="007E6DF7" w:rsidRDefault="003D2111" w:rsidP="003D2111">
            <w:pPr>
              <w:jc w:val="center"/>
              <w:rPr>
                <w:b/>
                <w:bCs/>
                <w:sz w:val="18"/>
                <w:szCs w:val="18"/>
              </w:rPr>
            </w:pPr>
            <w:r w:rsidRPr="007E6DF7">
              <w:rPr>
                <w:b/>
                <w:bCs/>
                <w:sz w:val="18"/>
                <w:szCs w:val="18"/>
              </w:rPr>
              <w:t>Possible future Sources</w:t>
            </w:r>
          </w:p>
        </w:tc>
        <w:tc>
          <w:tcPr>
            <w:tcW w:w="0" w:type="auto"/>
            <w:shd w:val="clear" w:color="auto" w:fill="B8CCE4" w:themeFill="accent1" w:themeFillTint="66"/>
            <w:vAlign w:val="center"/>
          </w:tcPr>
          <w:p w14:paraId="42BAA41D" w14:textId="77777777" w:rsidR="003D2111" w:rsidRPr="007E6DF7" w:rsidRDefault="003D2111" w:rsidP="003D2111">
            <w:pPr>
              <w:jc w:val="center"/>
              <w:rPr>
                <w:b/>
                <w:bCs/>
                <w:sz w:val="18"/>
                <w:szCs w:val="18"/>
              </w:rPr>
            </w:pPr>
            <w:r w:rsidRPr="007E6DF7">
              <w:rPr>
                <w:b/>
                <w:bCs/>
                <w:sz w:val="18"/>
                <w:szCs w:val="18"/>
              </w:rPr>
              <w:t>Minimum Disaggregation Dimensions and Categories</w:t>
            </w:r>
          </w:p>
        </w:tc>
        <w:tc>
          <w:tcPr>
            <w:tcW w:w="0" w:type="auto"/>
            <w:shd w:val="clear" w:color="auto" w:fill="B8CCE4" w:themeFill="accent1" w:themeFillTint="66"/>
            <w:vAlign w:val="center"/>
          </w:tcPr>
          <w:p w14:paraId="0D36D417" w14:textId="77777777" w:rsidR="003D2111" w:rsidRPr="007E6DF7" w:rsidRDefault="003D2111" w:rsidP="003D2111">
            <w:pPr>
              <w:jc w:val="center"/>
              <w:rPr>
                <w:b/>
                <w:bCs/>
                <w:sz w:val="18"/>
                <w:szCs w:val="18"/>
              </w:rPr>
            </w:pPr>
            <w:r w:rsidRPr="007E6DF7">
              <w:rPr>
                <w:b/>
                <w:bCs/>
                <w:sz w:val="18"/>
                <w:szCs w:val="18"/>
              </w:rPr>
              <w:t>Frequency of data generation</w:t>
            </w:r>
          </w:p>
        </w:tc>
        <w:tc>
          <w:tcPr>
            <w:tcW w:w="0" w:type="auto"/>
            <w:shd w:val="clear" w:color="auto" w:fill="B8CCE4" w:themeFill="accent1" w:themeFillTint="66"/>
            <w:vAlign w:val="center"/>
          </w:tcPr>
          <w:p w14:paraId="0B732AE2" w14:textId="77777777" w:rsidR="003D2111" w:rsidRPr="007E6DF7" w:rsidRDefault="003D2111" w:rsidP="003D2111">
            <w:pPr>
              <w:jc w:val="center"/>
              <w:rPr>
                <w:b/>
                <w:bCs/>
                <w:sz w:val="18"/>
                <w:szCs w:val="18"/>
              </w:rPr>
            </w:pPr>
            <w:r w:rsidRPr="007E6DF7">
              <w:rPr>
                <w:b/>
                <w:bCs/>
                <w:sz w:val="18"/>
                <w:szCs w:val="18"/>
              </w:rPr>
              <w:t>Local Indicator Group</w:t>
            </w:r>
          </w:p>
        </w:tc>
        <w:tc>
          <w:tcPr>
            <w:tcW w:w="0" w:type="auto"/>
            <w:shd w:val="clear" w:color="auto" w:fill="B8CCE4" w:themeFill="accent1" w:themeFillTint="66"/>
          </w:tcPr>
          <w:p w14:paraId="5C40E03D" w14:textId="77777777" w:rsidR="003D2111" w:rsidRPr="007E6DF7" w:rsidRDefault="003D2111" w:rsidP="003D2111">
            <w:pPr>
              <w:jc w:val="center"/>
              <w:rPr>
                <w:b/>
                <w:bCs/>
                <w:sz w:val="18"/>
                <w:szCs w:val="18"/>
              </w:rPr>
            </w:pPr>
            <w:r w:rsidRPr="007E6DF7">
              <w:rPr>
                <w:b/>
                <w:bCs/>
                <w:sz w:val="18"/>
                <w:szCs w:val="18"/>
              </w:rPr>
              <w:t>Deadline for Data providing</w:t>
            </w:r>
          </w:p>
        </w:tc>
        <w:tc>
          <w:tcPr>
            <w:tcW w:w="0" w:type="auto"/>
            <w:shd w:val="clear" w:color="auto" w:fill="B8CCE4" w:themeFill="accent1" w:themeFillTint="66"/>
            <w:vAlign w:val="center"/>
          </w:tcPr>
          <w:p w14:paraId="3FE77095" w14:textId="77777777" w:rsidR="003D2111" w:rsidRPr="007E6DF7" w:rsidRDefault="003D2111" w:rsidP="003D2111">
            <w:pPr>
              <w:jc w:val="center"/>
              <w:rPr>
                <w:b/>
                <w:bCs/>
                <w:sz w:val="18"/>
                <w:szCs w:val="18"/>
              </w:rPr>
            </w:pPr>
            <w:r w:rsidRPr="007E6DF7">
              <w:rPr>
                <w:b/>
                <w:bCs/>
                <w:sz w:val="18"/>
                <w:szCs w:val="18"/>
              </w:rPr>
              <w:t>Remarks</w:t>
            </w:r>
          </w:p>
        </w:tc>
      </w:tr>
      <w:tr w:rsidR="00447CDC" w:rsidRPr="007E6DF7" w14:paraId="00E1F22B" w14:textId="77777777" w:rsidTr="00A64F0D">
        <w:trPr>
          <w:tblHeader/>
        </w:trPr>
        <w:tc>
          <w:tcPr>
            <w:tcW w:w="0" w:type="auto"/>
            <w:shd w:val="clear" w:color="auto" w:fill="548DD4" w:themeFill="text2" w:themeFillTint="99"/>
          </w:tcPr>
          <w:p w14:paraId="4919EFC2" w14:textId="77777777" w:rsidR="003D2111" w:rsidRPr="007E6DF7" w:rsidRDefault="003D2111" w:rsidP="003D2111">
            <w:pPr>
              <w:jc w:val="center"/>
              <w:rPr>
                <w:b/>
                <w:bCs/>
                <w:sz w:val="18"/>
                <w:szCs w:val="18"/>
              </w:rPr>
            </w:pPr>
            <w:r w:rsidRPr="007E6DF7">
              <w:rPr>
                <w:b/>
                <w:bCs/>
                <w:sz w:val="18"/>
                <w:szCs w:val="18"/>
              </w:rPr>
              <w:t>1</w:t>
            </w:r>
          </w:p>
        </w:tc>
        <w:tc>
          <w:tcPr>
            <w:tcW w:w="0" w:type="auto"/>
            <w:shd w:val="clear" w:color="auto" w:fill="548DD4" w:themeFill="text2" w:themeFillTint="99"/>
          </w:tcPr>
          <w:p w14:paraId="030FC3E4" w14:textId="77777777" w:rsidR="003D2111" w:rsidRPr="007E6DF7" w:rsidRDefault="003D2111" w:rsidP="003D2111">
            <w:pPr>
              <w:jc w:val="center"/>
              <w:rPr>
                <w:b/>
                <w:bCs/>
                <w:sz w:val="18"/>
                <w:szCs w:val="18"/>
              </w:rPr>
            </w:pPr>
            <w:r w:rsidRPr="007E6DF7">
              <w:rPr>
                <w:b/>
                <w:bCs/>
                <w:sz w:val="18"/>
                <w:szCs w:val="18"/>
              </w:rPr>
              <w:t>2</w:t>
            </w:r>
          </w:p>
        </w:tc>
        <w:tc>
          <w:tcPr>
            <w:tcW w:w="0" w:type="auto"/>
            <w:shd w:val="clear" w:color="auto" w:fill="548DD4" w:themeFill="text2" w:themeFillTint="99"/>
          </w:tcPr>
          <w:p w14:paraId="0EDAB036" w14:textId="77777777" w:rsidR="003D2111" w:rsidRPr="007E6DF7" w:rsidRDefault="003D2111" w:rsidP="003D2111">
            <w:pPr>
              <w:jc w:val="center"/>
              <w:rPr>
                <w:b/>
                <w:bCs/>
                <w:sz w:val="18"/>
                <w:szCs w:val="18"/>
              </w:rPr>
            </w:pPr>
            <w:r w:rsidRPr="007E6DF7">
              <w:rPr>
                <w:b/>
                <w:bCs/>
                <w:sz w:val="18"/>
                <w:szCs w:val="18"/>
              </w:rPr>
              <w:t>3</w:t>
            </w:r>
          </w:p>
        </w:tc>
        <w:tc>
          <w:tcPr>
            <w:tcW w:w="0" w:type="auto"/>
            <w:shd w:val="clear" w:color="auto" w:fill="548DD4" w:themeFill="text2" w:themeFillTint="99"/>
          </w:tcPr>
          <w:p w14:paraId="76A6CBCD" w14:textId="77777777" w:rsidR="003D2111" w:rsidRPr="007E6DF7" w:rsidRDefault="003D2111" w:rsidP="003D2111">
            <w:pPr>
              <w:jc w:val="center"/>
              <w:rPr>
                <w:b/>
                <w:bCs/>
                <w:sz w:val="18"/>
                <w:szCs w:val="18"/>
              </w:rPr>
            </w:pPr>
            <w:r w:rsidRPr="007E6DF7">
              <w:rPr>
                <w:b/>
                <w:bCs/>
                <w:sz w:val="18"/>
                <w:szCs w:val="18"/>
              </w:rPr>
              <w:t>4</w:t>
            </w:r>
          </w:p>
        </w:tc>
        <w:tc>
          <w:tcPr>
            <w:tcW w:w="0" w:type="auto"/>
            <w:shd w:val="clear" w:color="auto" w:fill="548DD4" w:themeFill="text2" w:themeFillTint="99"/>
          </w:tcPr>
          <w:p w14:paraId="77E5738D" w14:textId="77777777" w:rsidR="003D2111" w:rsidRPr="007E6DF7" w:rsidRDefault="003D2111" w:rsidP="003D2111">
            <w:pPr>
              <w:jc w:val="center"/>
              <w:rPr>
                <w:b/>
                <w:bCs/>
                <w:sz w:val="18"/>
                <w:szCs w:val="18"/>
              </w:rPr>
            </w:pPr>
            <w:r w:rsidRPr="007E6DF7">
              <w:rPr>
                <w:b/>
                <w:bCs/>
                <w:sz w:val="18"/>
                <w:szCs w:val="18"/>
              </w:rPr>
              <w:t>5</w:t>
            </w:r>
          </w:p>
        </w:tc>
        <w:tc>
          <w:tcPr>
            <w:tcW w:w="0" w:type="auto"/>
            <w:shd w:val="clear" w:color="auto" w:fill="548DD4" w:themeFill="text2" w:themeFillTint="99"/>
          </w:tcPr>
          <w:p w14:paraId="388EE0A2" w14:textId="77777777" w:rsidR="003D2111" w:rsidRPr="007E6DF7" w:rsidRDefault="003D2111" w:rsidP="003D2111">
            <w:pPr>
              <w:jc w:val="center"/>
              <w:rPr>
                <w:b/>
                <w:bCs/>
                <w:sz w:val="18"/>
                <w:szCs w:val="18"/>
              </w:rPr>
            </w:pPr>
            <w:r w:rsidRPr="007E6DF7">
              <w:rPr>
                <w:b/>
                <w:bCs/>
                <w:sz w:val="18"/>
                <w:szCs w:val="18"/>
              </w:rPr>
              <w:t>6</w:t>
            </w:r>
          </w:p>
        </w:tc>
        <w:tc>
          <w:tcPr>
            <w:tcW w:w="0" w:type="auto"/>
            <w:shd w:val="clear" w:color="auto" w:fill="548DD4" w:themeFill="text2" w:themeFillTint="99"/>
          </w:tcPr>
          <w:p w14:paraId="5C4C7CCB" w14:textId="77777777" w:rsidR="003D2111" w:rsidRPr="007E6DF7" w:rsidRDefault="003D2111" w:rsidP="003D2111">
            <w:pPr>
              <w:jc w:val="center"/>
              <w:rPr>
                <w:b/>
                <w:bCs/>
                <w:sz w:val="18"/>
                <w:szCs w:val="18"/>
              </w:rPr>
            </w:pPr>
            <w:r w:rsidRPr="007E6DF7">
              <w:rPr>
                <w:b/>
                <w:bCs/>
                <w:sz w:val="18"/>
                <w:szCs w:val="18"/>
              </w:rPr>
              <w:t>7</w:t>
            </w:r>
          </w:p>
        </w:tc>
        <w:tc>
          <w:tcPr>
            <w:tcW w:w="0" w:type="auto"/>
            <w:shd w:val="clear" w:color="auto" w:fill="548DD4" w:themeFill="text2" w:themeFillTint="99"/>
          </w:tcPr>
          <w:p w14:paraId="7D5C5EB2" w14:textId="77777777" w:rsidR="003D2111" w:rsidRPr="007E6DF7" w:rsidRDefault="003D2111" w:rsidP="003D2111">
            <w:pPr>
              <w:jc w:val="center"/>
              <w:rPr>
                <w:b/>
                <w:bCs/>
                <w:sz w:val="18"/>
                <w:szCs w:val="18"/>
              </w:rPr>
            </w:pPr>
            <w:r w:rsidRPr="007E6DF7">
              <w:rPr>
                <w:b/>
                <w:bCs/>
                <w:sz w:val="18"/>
                <w:szCs w:val="18"/>
              </w:rPr>
              <w:t>8</w:t>
            </w:r>
          </w:p>
        </w:tc>
        <w:tc>
          <w:tcPr>
            <w:tcW w:w="0" w:type="auto"/>
            <w:shd w:val="clear" w:color="auto" w:fill="548DD4" w:themeFill="text2" w:themeFillTint="99"/>
          </w:tcPr>
          <w:p w14:paraId="5BA9C288" w14:textId="77777777" w:rsidR="003D2111" w:rsidRPr="007E6DF7" w:rsidRDefault="003D2111" w:rsidP="003D2111">
            <w:pPr>
              <w:jc w:val="center"/>
              <w:rPr>
                <w:b/>
                <w:bCs/>
                <w:sz w:val="18"/>
                <w:szCs w:val="18"/>
              </w:rPr>
            </w:pPr>
            <w:r w:rsidRPr="007E6DF7">
              <w:rPr>
                <w:b/>
                <w:bCs/>
                <w:sz w:val="18"/>
                <w:szCs w:val="18"/>
              </w:rPr>
              <w:t>9</w:t>
            </w:r>
          </w:p>
        </w:tc>
        <w:tc>
          <w:tcPr>
            <w:tcW w:w="0" w:type="auto"/>
            <w:shd w:val="clear" w:color="auto" w:fill="548DD4" w:themeFill="text2" w:themeFillTint="99"/>
          </w:tcPr>
          <w:p w14:paraId="1A98BC97" w14:textId="77777777" w:rsidR="003D2111" w:rsidRPr="007E6DF7" w:rsidRDefault="003D2111" w:rsidP="003D2111">
            <w:pPr>
              <w:jc w:val="center"/>
              <w:rPr>
                <w:b/>
                <w:bCs/>
                <w:sz w:val="18"/>
                <w:szCs w:val="18"/>
              </w:rPr>
            </w:pPr>
            <w:r w:rsidRPr="007E6DF7">
              <w:rPr>
                <w:b/>
                <w:bCs/>
                <w:sz w:val="18"/>
                <w:szCs w:val="18"/>
              </w:rPr>
              <w:t>10</w:t>
            </w:r>
          </w:p>
        </w:tc>
        <w:tc>
          <w:tcPr>
            <w:tcW w:w="0" w:type="auto"/>
            <w:shd w:val="clear" w:color="auto" w:fill="548DD4" w:themeFill="text2" w:themeFillTint="99"/>
          </w:tcPr>
          <w:p w14:paraId="7087B6E2" w14:textId="77777777" w:rsidR="003D2111" w:rsidRPr="007E6DF7" w:rsidRDefault="003D2111" w:rsidP="003D2111">
            <w:pPr>
              <w:jc w:val="center"/>
              <w:rPr>
                <w:b/>
                <w:bCs/>
                <w:sz w:val="18"/>
                <w:szCs w:val="18"/>
              </w:rPr>
            </w:pPr>
            <w:r w:rsidRPr="007E6DF7">
              <w:rPr>
                <w:b/>
                <w:bCs/>
                <w:sz w:val="18"/>
                <w:szCs w:val="18"/>
              </w:rPr>
              <w:t>11</w:t>
            </w:r>
          </w:p>
        </w:tc>
        <w:tc>
          <w:tcPr>
            <w:tcW w:w="0" w:type="auto"/>
            <w:shd w:val="clear" w:color="auto" w:fill="548DD4" w:themeFill="text2" w:themeFillTint="99"/>
          </w:tcPr>
          <w:p w14:paraId="217FE7A0" w14:textId="77777777" w:rsidR="003D2111" w:rsidRPr="007E6DF7" w:rsidRDefault="003D2111" w:rsidP="003D2111">
            <w:pPr>
              <w:jc w:val="center"/>
              <w:rPr>
                <w:b/>
                <w:bCs/>
                <w:sz w:val="18"/>
                <w:szCs w:val="18"/>
                <w:lang w:bidi="bn-BD"/>
              </w:rPr>
            </w:pPr>
            <w:r w:rsidRPr="007E6DF7">
              <w:rPr>
                <w:rFonts w:hint="cs"/>
                <w:b/>
                <w:bCs/>
                <w:sz w:val="18"/>
                <w:szCs w:val="18"/>
                <w:cs/>
                <w:lang w:bidi="bn-BD"/>
              </w:rPr>
              <w:t>12</w:t>
            </w:r>
          </w:p>
        </w:tc>
        <w:tc>
          <w:tcPr>
            <w:tcW w:w="0" w:type="auto"/>
            <w:shd w:val="clear" w:color="auto" w:fill="548DD4" w:themeFill="text2" w:themeFillTint="99"/>
          </w:tcPr>
          <w:p w14:paraId="42E5B1C7" w14:textId="77777777" w:rsidR="003D2111" w:rsidRPr="007E6DF7" w:rsidRDefault="003D2111" w:rsidP="003D2111">
            <w:pPr>
              <w:jc w:val="center"/>
              <w:rPr>
                <w:b/>
                <w:bCs/>
                <w:sz w:val="18"/>
                <w:szCs w:val="18"/>
                <w:lang w:bidi="bn-BD"/>
              </w:rPr>
            </w:pPr>
            <w:r w:rsidRPr="007E6DF7">
              <w:rPr>
                <w:b/>
                <w:bCs/>
                <w:sz w:val="18"/>
                <w:szCs w:val="18"/>
              </w:rPr>
              <w:t>1</w:t>
            </w:r>
            <w:r w:rsidRPr="007E6DF7">
              <w:rPr>
                <w:rFonts w:hint="cs"/>
                <w:b/>
                <w:bCs/>
                <w:sz w:val="18"/>
                <w:szCs w:val="18"/>
                <w:cs/>
                <w:lang w:bidi="bn-BD"/>
              </w:rPr>
              <w:t>3</w:t>
            </w:r>
          </w:p>
        </w:tc>
      </w:tr>
      <w:tr w:rsidR="00106BE7" w14:paraId="218691F3" w14:textId="77777777" w:rsidTr="00D52BCB">
        <w:tc>
          <w:tcPr>
            <w:tcW w:w="0" w:type="auto"/>
            <w:gridSpan w:val="13"/>
          </w:tcPr>
          <w:p w14:paraId="56F8CABD" w14:textId="77777777" w:rsidR="00106BE7" w:rsidRDefault="00106BE7" w:rsidP="003D2111">
            <w:pPr>
              <w:jc w:val="both"/>
              <w:rPr>
                <w:color w:val="0070C0"/>
                <w:sz w:val="48"/>
                <w:szCs w:val="48"/>
              </w:rPr>
            </w:pPr>
            <w:r>
              <w:rPr>
                <w:color w:val="0070C0"/>
                <w:sz w:val="30"/>
                <w:szCs w:val="30"/>
              </w:rPr>
              <w:lastRenderedPageBreak/>
              <w:t xml:space="preserve">Target </w:t>
            </w:r>
            <w:r w:rsidRPr="0098013D">
              <w:rPr>
                <w:color w:val="0070C0"/>
                <w:sz w:val="30"/>
                <w:szCs w:val="30"/>
              </w:rPr>
              <w:t>15.1 By 2020, ensure the conservation, restoration and sustainable use of terrestrial and inland freshwater ecosystems and their services, in particular forests, wetlands, mountains and drylands, in line with obligations under international agreements</w:t>
            </w:r>
          </w:p>
        </w:tc>
      </w:tr>
      <w:tr w:rsidR="001F570F" w14:paraId="1E18C0EE" w14:textId="77777777" w:rsidTr="00A64F0D">
        <w:tc>
          <w:tcPr>
            <w:tcW w:w="0" w:type="auto"/>
          </w:tcPr>
          <w:p w14:paraId="4299D039" w14:textId="77777777" w:rsidR="001F570F" w:rsidRDefault="001F570F" w:rsidP="001F570F">
            <w:pPr>
              <w:pStyle w:val="NoSpacing"/>
            </w:pPr>
            <w:r w:rsidRPr="000221E2">
              <w:t>15.1.1 Forest area as a proportion of total land area</w:t>
            </w:r>
          </w:p>
        </w:tc>
        <w:tc>
          <w:tcPr>
            <w:tcW w:w="0" w:type="auto"/>
          </w:tcPr>
          <w:p w14:paraId="21D5F659" w14:textId="77777777" w:rsidR="001F570F" w:rsidRDefault="001F570F" w:rsidP="001F570F">
            <w:pPr>
              <w:pStyle w:val="NoSpacing"/>
            </w:pPr>
            <w:r w:rsidRPr="00E53957">
              <w:t>FAO</w:t>
            </w:r>
          </w:p>
          <w:p w14:paraId="28586D6E" w14:textId="77777777" w:rsidR="001F570F" w:rsidRDefault="001F570F" w:rsidP="001F570F">
            <w:pPr>
              <w:rPr>
                <w:b/>
                <w:bCs/>
                <w:szCs w:val="20"/>
              </w:rPr>
            </w:pPr>
            <w:r w:rsidRPr="007243FC">
              <w:rPr>
                <w:b/>
                <w:bCs/>
                <w:szCs w:val="20"/>
              </w:rPr>
              <w:t>Partner Agencies:</w:t>
            </w:r>
          </w:p>
          <w:p w14:paraId="636AD82B" w14:textId="77777777" w:rsidR="001F570F" w:rsidRDefault="001F570F" w:rsidP="001F570F">
            <w:pPr>
              <w:pStyle w:val="NoSpacing"/>
            </w:pPr>
            <w:r w:rsidRPr="00E53957">
              <w:t>UNEP</w:t>
            </w:r>
          </w:p>
        </w:tc>
        <w:tc>
          <w:tcPr>
            <w:tcW w:w="0" w:type="auto"/>
          </w:tcPr>
          <w:p w14:paraId="14F3E734" w14:textId="77777777" w:rsidR="001F570F" w:rsidRDefault="001F570F" w:rsidP="001F570F">
            <w:pPr>
              <w:ind w:left="970" w:hanging="970"/>
              <w:jc w:val="both"/>
              <w:rPr>
                <w:color w:val="0070C0"/>
                <w:sz w:val="30"/>
                <w:szCs w:val="30"/>
              </w:rPr>
            </w:pPr>
            <w:r>
              <w:t>Tier I</w:t>
            </w:r>
          </w:p>
        </w:tc>
        <w:tc>
          <w:tcPr>
            <w:tcW w:w="0" w:type="auto"/>
          </w:tcPr>
          <w:p w14:paraId="6BF979D9" w14:textId="77777777" w:rsidR="001F570F" w:rsidRPr="00072B13" w:rsidRDefault="001F570F" w:rsidP="001F570F">
            <w:pPr>
              <w:pStyle w:val="NoSpacing"/>
              <w:rPr>
                <w:b/>
                <w:bCs/>
                <w:lang w:val="en-GB"/>
              </w:rPr>
            </w:pPr>
            <w:r w:rsidRPr="00072B13">
              <w:rPr>
                <w:b/>
                <w:bCs/>
                <w:lang w:val="en-GB"/>
              </w:rPr>
              <w:t>Definition:</w:t>
            </w:r>
          </w:p>
          <w:p w14:paraId="5CC4705E" w14:textId="77777777" w:rsidR="001F570F" w:rsidRPr="00072B13" w:rsidRDefault="001F570F" w:rsidP="001F570F">
            <w:pPr>
              <w:pStyle w:val="NoSpacing"/>
              <w:rPr>
                <w:b/>
                <w:bCs/>
                <w:lang w:val="en-GB"/>
              </w:rPr>
            </w:pPr>
          </w:p>
          <w:p w14:paraId="7717ADC5" w14:textId="77777777" w:rsidR="001F570F" w:rsidRPr="00072B13" w:rsidRDefault="001F570F" w:rsidP="001F570F">
            <w:pPr>
              <w:pStyle w:val="NoSpacing"/>
              <w:rPr>
                <w:lang w:val="en-GB"/>
              </w:rPr>
            </w:pPr>
            <w:r w:rsidRPr="00072B13">
              <w:rPr>
                <w:lang w:val="en-GB"/>
              </w:rPr>
              <w:t>Forest area as a proportion of total land area</w:t>
            </w:r>
          </w:p>
          <w:p w14:paraId="627266C9" w14:textId="77777777" w:rsidR="001F570F" w:rsidRPr="00072B13" w:rsidRDefault="001F570F" w:rsidP="001F570F">
            <w:pPr>
              <w:pStyle w:val="NoSpacing"/>
              <w:rPr>
                <w:lang w:val="en-GB"/>
              </w:rPr>
            </w:pPr>
          </w:p>
          <w:p w14:paraId="59DE0F8D" w14:textId="77777777" w:rsidR="001F570F" w:rsidRPr="00072B13" w:rsidRDefault="001F570F" w:rsidP="001F570F">
            <w:pPr>
              <w:pStyle w:val="NoSpacing"/>
              <w:rPr>
                <w:lang w:val="en-GB"/>
              </w:rPr>
            </w:pPr>
            <w:r w:rsidRPr="00072B13">
              <w:rPr>
                <w:b/>
                <w:bCs/>
                <w:lang w:val="en-GB"/>
              </w:rPr>
              <w:t>Concepts:</w:t>
            </w:r>
          </w:p>
          <w:p w14:paraId="37076898" w14:textId="77777777" w:rsidR="001F570F" w:rsidRPr="00072B13" w:rsidRDefault="001F570F" w:rsidP="001F570F">
            <w:pPr>
              <w:pStyle w:val="NoSpacing"/>
              <w:rPr>
                <w:lang w:val="en-GB"/>
              </w:rPr>
            </w:pPr>
          </w:p>
          <w:p w14:paraId="324456ED" w14:textId="77777777" w:rsidR="001F570F" w:rsidRPr="00072B13" w:rsidRDefault="001F570F" w:rsidP="001F570F">
            <w:pPr>
              <w:pStyle w:val="NoSpacing"/>
              <w:rPr>
                <w:lang w:val="en-GB"/>
              </w:rPr>
            </w:pPr>
            <w:r w:rsidRPr="00072B13">
              <w:rPr>
                <w:lang w:val="en-GB"/>
              </w:rPr>
              <w:t xml:space="preserve">In order to provide a precise definition of the indicator, it is crucial to provide a definition of </w:t>
            </w:r>
          </w:p>
          <w:p w14:paraId="02C7956C" w14:textId="77777777" w:rsidR="001F570F" w:rsidRPr="00072B13" w:rsidRDefault="001F570F" w:rsidP="001F570F">
            <w:pPr>
              <w:pStyle w:val="NoSpacing"/>
              <w:rPr>
                <w:lang w:val="en-GB"/>
              </w:rPr>
            </w:pPr>
            <w:r w:rsidRPr="00072B13">
              <w:rPr>
                <w:lang w:val="en-GB"/>
              </w:rPr>
              <w:t xml:space="preserve">“Forest” and “Total Land Area”. </w:t>
            </w:r>
          </w:p>
          <w:p w14:paraId="3DBC031C" w14:textId="77777777" w:rsidR="001F570F" w:rsidRPr="00072B13" w:rsidRDefault="001F570F" w:rsidP="001F570F">
            <w:pPr>
              <w:pStyle w:val="NoSpacing"/>
              <w:rPr>
                <w:lang w:val="en-GB"/>
              </w:rPr>
            </w:pPr>
          </w:p>
          <w:p w14:paraId="70D02FD3" w14:textId="77777777" w:rsidR="001F570F" w:rsidRPr="00072B13" w:rsidRDefault="001F570F" w:rsidP="001F570F">
            <w:pPr>
              <w:pStyle w:val="NoSpacing"/>
              <w:rPr>
                <w:lang w:val="en-GB"/>
              </w:rPr>
            </w:pPr>
            <w:r w:rsidRPr="00072B13">
              <w:rPr>
                <w:lang w:val="en-GB"/>
              </w:rPr>
              <w:t>According to the FAO definitions, Forest is defined as: “land spanning more than 0.5 hectares with trees higher than 5 meters and a canopy cover of more than 10 percent, or trees able to reach these thresholds in situ. It does not include land that is predominantly under agricultural or urban land use”. More specifically:</w:t>
            </w:r>
          </w:p>
          <w:p w14:paraId="7DC79CA6" w14:textId="77777777" w:rsidR="001F570F" w:rsidRPr="00072B13" w:rsidRDefault="001F570F" w:rsidP="001F570F">
            <w:pPr>
              <w:pStyle w:val="NoSpacing"/>
              <w:numPr>
                <w:ilvl w:val="0"/>
                <w:numId w:val="74"/>
              </w:numPr>
              <w:rPr>
                <w:lang w:val="en-GB"/>
              </w:rPr>
            </w:pPr>
            <w:r w:rsidRPr="00072B13">
              <w:rPr>
                <w:lang w:val="en-GB"/>
              </w:rPr>
              <w:t>Forest is determined both by the presence of trees and the absence of other predominant land uses. The trees should be able to reach a minimum height of 5 meters.</w:t>
            </w:r>
          </w:p>
          <w:p w14:paraId="6DD174D4" w14:textId="77777777" w:rsidR="001F570F" w:rsidRPr="00072B13" w:rsidRDefault="001F570F" w:rsidP="001F570F">
            <w:pPr>
              <w:pStyle w:val="NoSpacing"/>
              <w:numPr>
                <w:ilvl w:val="0"/>
                <w:numId w:val="74"/>
              </w:numPr>
              <w:rPr>
                <w:lang w:val="en-GB"/>
              </w:rPr>
            </w:pPr>
            <w:r w:rsidRPr="00072B13">
              <w:rPr>
                <w:lang w:val="en-GB"/>
              </w:rPr>
              <w:t>It includes areas with young trees that have not yet reached but which are expected to reach a canopy cover of at least 10 percent and tree height of 5 meters or more. It also includes areas that are temporarily unstocked due to clear-cutting as part of a forest management practice or natural disasters, and which are expected to be regenerated within 5 years. Local conditions may, in exceptional cases, justify that a longer time frame is used.</w:t>
            </w:r>
          </w:p>
          <w:p w14:paraId="177BD1D8" w14:textId="77777777" w:rsidR="001F570F" w:rsidRPr="00072B13" w:rsidRDefault="001F570F" w:rsidP="001F570F">
            <w:pPr>
              <w:pStyle w:val="NoSpacing"/>
              <w:numPr>
                <w:ilvl w:val="0"/>
                <w:numId w:val="74"/>
              </w:numPr>
              <w:rPr>
                <w:lang w:val="en-GB"/>
              </w:rPr>
            </w:pPr>
            <w:r w:rsidRPr="00072B13">
              <w:rPr>
                <w:lang w:val="en-GB"/>
              </w:rPr>
              <w:t>It includes forest roads, firebreaks and other small open areas; forest in national parks, nature reserves and other protected areas such as those of specific environmental, scientific, historical, cultural or spiritual interest.</w:t>
            </w:r>
          </w:p>
          <w:p w14:paraId="042E0372" w14:textId="77777777" w:rsidR="001F570F" w:rsidRPr="00072B13" w:rsidRDefault="001F570F" w:rsidP="001F570F">
            <w:pPr>
              <w:pStyle w:val="NoSpacing"/>
              <w:numPr>
                <w:ilvl w:val="0"/>
                <w:numId w:val="74"/>
              </w:numPr>
              <w:rPr>
                <w:lang w:val="en-GB"/>
              </w:rPr>
            </w:pPr>
            <w:r w:rsidRPr="00072B13">
              <w:rPr>
                <w:lang w:val="en-GB"/>
              </w:rPr>
              <w:t>It includes windbreaks, shelterbelts and corridors of trees with an area of more than 0.5 hectares and width of more than 20 meters.</w:t>
            </w:r>
          </w:p>
          <w:p w14:paraId="7446D3D3" w14:textId="77777777" w:rsidR="001F570F" w:rsidRPr="00072B13" w:rsidRDefault="001F570F" w:rsidP="001F570F">
            <w:pPr>
              <w:pStyle w:val="NoSpacing"/>
              <w:numPr>
                <w:ilvl w:val="0"/>
                <w:numId w:val="74"/>
              </w:numPr>
              <w:rPr>
                <w:lang w:val="en-GB"/>
              </w:rPr>
            </w:pPr>
            <w:r w:rsidRPr="00072B13">
              <w:rPr>
                <w:lang w:val="en-GB"/>
              </w:rPr>
              <w:t>It includes abandoned shifting cultivation land with a regeneration of trees that have, or are expected to reach, a canopy cover of at least 10 percent and tree height of at least 5 meters.</w:t>
            </w:r>
          </w:p>
          <w:p w14:paraId="5C393452" w14:textId="77777777" w:rsidR="001F570F" w:rsidRPr="00072B13" w:rsidRDefault="001F570F" w:rsidP="001F570F">
            <w:pPr>
              <w:pStyle w:val="NoSpacing"/>
              <w:numPr>
                <w:ilvl w:val="0"/>
                <w:numId w:val="74"/>
              </w:numPr>
              <w:rPr>
                <w:lang w:val="en-GB"/>
              </w:rPr>
            </w:pPr>
            <w:r w:rsidRPr="00072B13">
              <w:rPr>
                <w:lang w:val="en-GB"/>
              </w:rPr>
              <w:t>It includes areas with mangroves in tidal zones, regardless whether this area is classified as land area or not.</w:t>
            </w:r>
          </w:p>
          <w:p w14:paraId="19991292" w14:textId="77777777" w:rsidR="001F570F" w:rsidRPr="00072B13" w:rsidRDefault="001F570F" w:rsidP="001F570F">
            <w:pPr>
              <w:pStyle w:val="NoSpacing"/>
              <w:numPr>
                <w:ilvl w:val="0"/>
                <w:numId w:val="74"/>
              </w:numPr>
              <w:rPr>
                <w:lang w:val="en-GB"/>
              </w:rPr>
            </w:pPr>
            <w:r w:rsidRPr="00072B13">
              <w:rPr>
                <w:lang w:val="en-GB"/>
              </w:rPr>
              <w:t>It includes rubberwood, cork oak and Christmas tree plantations.</w:t>
            </w:r>
          </w:p>
          <w:p w14:paraId="206A2A48" w14:textId="77777777" w:rsidR="001F570F" w:rsidRPr="00072B13" w:rsidRDefault="001F570F" w:rsidP="001F570F">
            <w:pPr>
              <w:pStyle w:val="NoSpacing"/>
              <w:numPr>
                <w:ilvl w:val="0"/>
                <w:numId w:val="74"/>
              </w:numPr>
              <w:rPr>
                <w:lang w:val="en-GB"/>
              </w:rPr>
            </w:pPr>
            <w:r w:rsidRPr="00072B13">
              <w:rPr>
                <w:lang w:val="en-GB"/>
              </w:rPr>
              <w:t xml:space="preserve">It includes areas with bamboo and palms provided that land use, height and </w:t>
            </w:r>
            <w:r w:rsidRPr="00072B13">
              <w:rPr>
                <w:lang w:val="en-GB"/>
              </w:rPr>
              <w:lastRenderedPageBreak/>
              <w:t>canopy cover criteria are met.</w:t>
            </w:r>
          </w:p>
          <w:p w14:paraId="23E4CB53" w14:textId="77777777" w:rsidR="001F570F" w:rsidRPr="00072B13" w:rsidRDefault="001F570F" w:rsidP="001F570F">
            <w:pPr>
              <w:pStyle w:val="NoSpacing"/>
              <w:numPr>
                <w:ilvl w:val="0"/>
                <w:numId w:val="74"/>
              </w:numPr>
              <w:rPr>
                <w:lang w:val="en-GB"/>
              </w:rPr>
            </w:pPr>
            <w:r w:rsidRPr="00072B13">
              <w:rPr>
                <w:lang w:val="en-GB"/>
              </w:rPr>
              <w:t>It excludes tree stands in agricultural production systems, such as fruit tree plantations, oil palm plantations, olive orchards and agroforestry systems when crops are grown under tree cover. Note: Some agroforestry systems such as the “Taungya” system where crops are grown only during the first years of the forest rotation should be classified as forest.</w:t>
            </w:r>
          </w:p>
          <w:p w14:paraId="1B58E75A" w14:textId="77777777" w:rsidR="001F570F" w:rsidRPr="00072B13" w:rsidRDefault="001F570F" w:rsidP="001F570F">
            <w:pPr>
              <w:pStyle w:val="NoSpacing"/>
              <w:rPr>
                <w:lang w:val="en-GB"/>
              </w:rPr>
            </w:pPr>
          </w:p>
          <w:p w14:paraId="3CB02403" w14:textId="77777777" w:rsidR="001F570F" w:rsidRPr="00072B13" w:rsidRDefault="001F570F" w:rsidP="001F570F">
            <w:pPr>
              <w:pStyle w:val="NoSpacing"/>
              <w:rPr>
                <w:lang w:val="en-GB"/>
              </w:rPr>
            </w:pPr>
            <w:r w:rsidRPr="00072B13">
              <w:rPr>
                <w:lang w:val="en-GB"/>
              </w:rPr>
              <w:t xml:space="preserve">Total land area is the total surface area of a country less the area covered by inland waters, like major rivers and lakes. </w:t>
            </w:r>
          </w:p>
          <w:p w14:paraId="4C626965" w14:textId="77777777" w:rsidR="001F570F" w:rsidRPr="00072B13" w:rsidRDefault="001F570F" w:rsidP="001F570F">
            <w:pPr>
              <w:pStyle w:val="NoSpacing"/>
              <w:rPr>
                <w:lang w:val="en-GB"/>
              </w:rPr>
            </w:pPr>
          </w:p>
          <w:p w14:paraId="76722D84" w14:textId="77777777" w:rsidR="001F570F" w:rsidRPr="00072B13" w:rsidRDefault="001F570F" w:rsidP="001F570F">
            <w:pPr>
              <w:pStyle w:val="NoSpacing"/>
              <w:rPr>
                <w:lang w:val="en-GB"/>
              </w:rPr>
            </w:pPr>
            <w:r w:rsidRPr="00072B13">
              <w:rPr>
                <w:lang w:val="en-GB"/>
              </w:rPr>
              <w:t>The indicator is expressed as percent.</w:t>
            </w:r>
          </w:p>
          <w:p w14:paraId="15491B64" w14:textId="77777777" w:rsidR="001F570F" w:rsidRPr="00072B13" w:rsidRDefault="001F570F" w:rsidP="001F570F">
            <w:pPr>
              <w:pStyle w:val="NoSpacing"/>
              <w:rPr>
                <w:lang w:val="en-GB"/>
              </w:rPr>
            </w:pPr>
          </w:p>
          <w:p w14:paraId="30AC7750" w14:textId="77777777" w:rsidR="001F570F" w:rsidRPr="00072B13" w:rsidRDefault="001F570F" w:rsidP="001F570F">
            <w:pPr>
              <w:pStyle w:val="NoSpacing"/>
              <w:rPr>
                <w:lang w:val="en-GB"/>
              </w:rPr>
            </w:pPr>
            <w:r w:rsidRPr="00072B13">
              <w:rPr>
                <w:b/>
                <w:bCs/>
                <w:lang w:val="en-GB"/>
              </w:rPr>
              <w:t>Comments and limitations:</w:t>
            </w:r>
          </w:p>
          <w:p w14:paraId="636A0370" w14:textId="77777777" w:rsidR="001F570F" w:rsidRPr="00072B13" w:rsidRDefault="001F570F" w:rsidP="001F570F">
            <w:pPr>
              <w:pStyle w:val="NoSpacing"/>
              <w:rPr>
                <w:lang w:val="en-GB"/>
              </w:rPr>
            </w:pPr>
          </w:p>
          <w:p w14:paraId="7512D58C" w14:textId="77777777" w:rsidR="001F570F" w:rsidRPr="00072B13" w:rsidRDefault="001F570F" w:rsidP="001F570F">
            <w:pPr>
              <w:pStyle w:val="NoSpacing"/>
              <w:rPr>
                <w:lang w:val="en-GB"/>
              </w:rPr>
            </w:pPr>
            <w:r w:rsidRPr="00072B13">
              <w:rPr>
                <w:lang w:val="en-GB"/>
              </w:rPr>
              <w:t xml:space="preserve">Assessment of forest area is carried out at infrequent intervals in many countries. Access to remote sensing imagery has improved in recent years, but remote sensing techniques have limitations. In particular there are limitations to assess land use (remote sensing primarily assesses land cover), and some slow changes such as forest regrowth cannot easily be observed with remote sensing techniques and require long time periods in order to detect. In addition, forest </w:t>
            </w:r>
            <w:proofErr w:type="gramStart"/>
            <w:r w:rsidRPr="00072B13">
              <w:rPr>
                <w:lang w:val="en-GB"/>
              </w:rPr>
              <w:t>area with low canopy cover density (e.g. 10-30%) are</w:t>
            </w:r>
            <w:proofErr w:type="gramEnd"/>
            <w:r w:rsidRPr="00072B13">
              <w:rPr>
                <w:lang w:val="en-GB"/>
              </w:rPr>
              <w:t xml:space="preserve"> difficult to detect with remote sensing techniques.</w:t>
            </w:r>
          </w:p>
          <w:p w14:paraId="6E975158" w14:textId="77777777" w:rsidR="001F570F" w:rsidRPr="00072B13" w:rsidRDefault="001F570F" w:rsidP="001F570F">
            <w:pPr>
              <w:pStyle w:val="NoSpacing"/>
              <w:rPr>
                <w:b/>
                <w:bCs/>
                <w:lang w:val="en-GB"/>
              </w:rPr>
            </w:pPr>
          </w:p>
          <w:p w14:paraId="3E1895FA" w14:textId="77777777" w:rsidR="001F570F" w:rsidRPr="00072B13" w:rsidRDefault="001F570F" w:rsidP="001F570F">
            <w:pPr>
              <w:pStyle w:val="NoSpacing"/>
              <w:rPr>
                <w:lang w:val="en-GB"/>
              </w:rPr>
            </w:pPr>
            <w:r w:rsidRPr="00072B13">
              <w:rPr>
                <w:b/>
                <w:bCs/>
                <w:lang w:val="en-GB"/>
              </w:rPr>
              <w:t>Computation Method:</w:t>
            </w:r>
          </w:p>
          <w:p w14:paraId="503E7F25" w14:textId="77777777" w:rsidR="001F570F" w:rsidRPr="00072B13" w:rsidRDefault="001F570F" w:rsidP="001F570F">
            <w:pPr>
              <w:pStyle w:val="NoSpacing"/>
              <w:rPr>
                <w:lang w:val="en-GB"/>
              </w:rPr>
            </w:pPr>
          </w:p>
          <w:p w14:paraId="08A09ACB" w14:textId="77777777" w:rsidR="001F570F" w:rsidRPr="00072B13" w:rsidRDefault="001F570F" w:rsidP="001F570F">
            <w:pPr>
              <w:pStyle w:val="NoSpacing"/>
              <w:rPr>
                <w:lang w:val="en-GB"/>
              </w:rPr>
            </w:pPr>
            <w:r w:rsidRPr="00072B13">
              <w:rPr>
                <w:lang w:val="en-GB"/>
              </w:rPr>
              <w:t>Forest area (reference year) / Land area (2015) * 100</w:t>
            </w:r>
          </w:p>
          <w:p w14:paraId="145F03E3" w14:textId="77777777" w:rsidR="001F570F" w:rsidRPr="00072B13" w:rsidRDefault="001F570F" w:rsidP="001F570F">
            <w:pPr>
              <w:pStyle w:val="NoSpacing"/>
              <w:rPr>
                <w:lang w:val="en-GB"/>
              </w:rPr>
            </w:pPr>
          </w:p>
          <w:p w14:paraId="1C24E067" w14:textId="77777777" w:rsidR="001F570F" w:rsidRPr="00072B13" w:rsidRDefault="001F570F" w:rsidP="001F570F">
            <w:pPr>
              <w:pStyle w:val="NoSpacing"/>
              <w:rPr>
                <w:lang w:val="en-GB"/>
              </w:rPr>
            </w:pPr>
            <w:r w:rsidRPr="00072B13">
              <w:rPr>
                <w:lang w:val="en-GB"/>
              </w:rPr>
              <w:t>This indicator can be aggregated to global or regional level by adding all country values globally or in a specific region</w:t>
            </w:r>
          </w:p>
          <w:p w14:paraId="4DC18717" w14:textId="77777777" w:rsidR="001F570F" w:rsidRDefault="001F570F" w:rsidP="001F570F">
            <w:pPr>
              <w:pStyle w:val="NoSpacing"/>
            </w:pPr>
          </w:p>
        </w:tc>
        <w:tc>
          <w:tcPr>
            <w:tcW w:w="0" w:type="auto"/>
          </w:tcPr>
          <w:p w14:paraId="146855A0" w14:textId="77777777" w:rsidR="001F570F" w:rsidRPr="003E2C0C" w:rsidRDefault="001F570F" w:rsidP="001F570F">
            <w:pPr>
              <w:pStyle w:val="NoSpacing"/>
            </w:pPr>
            <w:r w:rsidRPr="00162163">
              <w:rPr>
                <w:lang w:eastAsia="en-GB"/>
              </w:rPr>
              <w:lastRenderedPageBreak/>
              <w:t>All data are provided to FAO by countries in the form of a country rep</w:t>
            </w:r>
            <w:r>
              <w:rPr>
                <w:lang w:eastAsia="en-GB"/>
              </w:rPr>
              <w:t>ort following a standard format.</w:t>
            </w:r>
          </w:p>
        </w:tc>
        <w:tc>
          <w:tcPr>
            <w:tcW w:w="0" w:type="auto"/>
          </w:tcPr>
          <w:p w14:paraId="01A98D8E" w14:textId="77777777" w:rsidR="001F570F" w:rsidRDefault="001F570F" w:rsidP="001F570F">
            <w:pPr>
              <w:pStyle w:val="NoSpacing"/>
              <w:rPr>
                <w:lang w:eastAsia="en-GB"/>
              </w:rPr>
            </w:pPr>
            <w:r w:rsidRPr="00162163">
              <w:rPr>
                <w:lang w:eastAsia="en-GB"/>
              </w:rPr>
              <w:t>Officially nominated national correspondents and their teams</w:t>
            </w:r>
          </w:p>
          <w:p w14:paraId="60A83D6D" w14:textId="77777777" w:rsidR="001F570F" w:rsidRDefault="001F570F" w:rsidP="001F570F">
            <w:pPr>
              <w:pStyle w:val="NoSpacing"/>
              <w:rPr>
                <w:lang w:eastAsia="en-GB"/>
              </w:rPr>
            </w:pPr>
          </w:p>
          <w:p w14:paraId="31496B52" w14:textId="77777777" w:rsidR="001F570F" w:rsidRPr="00162163" w:rsidRDefault="001F570F" w:rsidP="001F570F">
            <w:pPr>
              <w:pStyle w:val="NoSpacing"/>
              <w:rPr>
                <w:lang w:eastAsia="en-GB"/>
              </w:rPr>
            </w:pPr>
            <w:r>
              <w:rPr>
                <w:lang w:eastAsia="en-GB"/>
              </w:rPr>
              <w:t xml:space="preserve">If </w:t>
            </w:r>
            <w:r w:rsidRPr="00162163">
              <w:rPr>
                <w:lang w:eastAsia="en-GB"/>
              </w:rPr>
              <w:t>no information is provided, a report is prepared by FAO using existing information and a literature search.</w:t>
            </w:r>
          </w:p>
          <w:p w14:paraId="68A6FD3B" w14:textId="77777777" w:rsidR="001F570F" w:rsidRPr="003E2C0C" w:rsidRDefault="001F570F" w:rsidP="001F570F">
            <w:pPr>
              <w:pStyle w:val="NoSpacing"/>
            </w:pPr>
          </w:p>
        </w:tc>
        <w:tc>
          <w:tcPr>
            <w:tcW w:w="0" w:type="auto"/>
          </w:tcPr>
          <w:p w14:paraId="694DB578" w14:textId="77777777" w:rsidR="001F570F" w:rsidRPr="007B19A9" w:rsidDel="00903374" w:rsidRDefault="001F570F" w:rsidP="001F570F">
            <w:pPr>
              <w:spacing w:line="276" w:lineRule="auto"/>
              <w:rPr>
                <w:rFonts w:eastAsia="Times New Roman" w:cs="Times New Roman"/>
                <w:color w:val="000000" w:themeColor="text1"/>
                <w:szCs w:val="20"/>
              </w:rPr>
            </w:pPr>
            <w:r w:rsidRPr="007B19A9">
              <w:rPr>
                <w:rFonts w:eastAsia="Times New Roman" w:cs="Times New Roman"/>
                <w:color w:val="000000" w:themeColor="text1"/>
                <w:szCs w:val="20"/>
              </w:rPr>
              <w:t>BFD</w:t>
            </w:r>
          </w:p>
          <w:p w14:paraId="221FA893" w14:textId="75EBBD7A" w:rsidR="001F570F" w:rsidRPr="00BC6F10" w:rsidRDefault="001F570F" w:rsidP="001F570F">
            <w:pPr>
              <w:spacing w:line="276" w:lineRule="auto"/>
            </w:pPr>
          </w:p>
        </w:tc>
        <w:tc>
          <w:tcPr>
            <w:tcW w:w="0" w:type="auto"/>
          </w:tcPr>
          <w:p w14:paraId="3392CECB" w14:textId="77777777" w:rsidR="001F570F" w:rsidRDefault="001F570F" w:rsidP="001F570F">
            <w:pPr>
              <w:spacing w:line="276" w:lineRule="auto"/>
              <w:rPr>
                <w:rFonts w:eastAsia="Times New Roman" w:cs="Times New Roman"/>
                <w:color w:val="000000" w:themeColor="text1"/>
                <w:szCs w:val="20"/>
              </w:rPr>
            </w:pPr>
            <w:r w:rsidRPr="007B19A9">
              <w:rPr>
                <w:rFonts w:eastAsia="Times New Roman" w:cs="Times New Roman"/>
                <w:color w:val="000000" w:themeColor="text1"/>
                <w:szCs w:val="20"/>
              </w:rPr>
              <w:t>BFD,</w:t>
            </w:r>
            <w:r w:rsidRPr="00BC6F10">
              <w:rPr>
                <w:rFonts w:eastAsia="Times New Roman" w:cs="Times New Roman"/>
                <w:color w:val="000000" w:themeColor="text1"/>
                <w:szCs w:val="20"/>
              </w:rPr>
              <w:t xml:space="preserve"> </w:t>
            </w:r>
            <w:r>
              <w:rPr>
                <w:rFonts w:eastAsia="Times New Roman" w:cs="Times New Roman"/>
                <w:color w:val="000000" w:themeColor="text1"/>
                <w:szCs w:val="20"/>
              </w:rPr>
              <w:t>MoEFCC</w:t>
            </w:r>
          </w:p>
          <w:p w14:paraId="22140ED9" w14:textId="77777777" w:rsidR="001F570F" w:rsidRDefault="001F570F" w:rsidP="001F570F">
            <w:pPr>
              <w:spacing w:line="276" w:lineRule="auto"/>
              <w:rPr>
                <w:szCs w:val="26"/>
              </w:rPr>
            </w:pPr>
          </w:p>
          <w:p w14:paraId="768A7125" w14:textId="77777777" w:rsidR="001F570F" w:rsidRPr="00BC6F10" w:rsidRDefault="001F570F" w:rsidP="001F570F">
            <w:pPr>
              <w:pStyle w:val="NoSpacing"/>
            </w:pPr>
            <w:r>
              <w:t xml:space="preserve">Land Cover Map/ </w:t>
            </w:r>
            <w:r w:rsidRPr="00CF4C7D">
              <w:t>Big Data</w:t>
            </w:r>
          </w:p>
        </w:tc>
        <w:tc>
          <w:tcPr>
            <w:tcW w:w="0" w:type="auto"/>
          </w:tcPr>
          <w:p w14:paraId="3823A23C" w14:textId="77777777" w:rsidR="001F570F" w:rsidRDefault="001F570F" w:rsidP="001F570F">
            <w:pPr>
              <w:ind w:left="970" w:hanging="970"/>
              <w:jc w:val="both"/>
              <w:rPr>
                <w:color w:val="0070C0"/>
                <w:sz w:val="30"/>
                <w:szCs w:val="30"/>
              </w:rPr>
            </w:pPr>
            <w:r>
              <w:t>Not Applicable</w:t>
            </w:r>
          </w:p>
        </w:tc>
        <w:tc>
          <w:tcPr>
            <w:tcW w:w="0" w:type="auto"/>
          </w:tcPr>
          <w:p w14:paraId="4A13B322" w14:textId="77777777" w:rsidR="001F570F" w:rsidRDefault="001F570F" w:rsidP="001F570F">
            <w:pPr>
              <w:ind w:left="970" w:hanging="970"/>
              <w:jc w:val="both"/>
              <w:rPr>
                <w:color w:val="0070C0"/>
                <w:sz w:val="30"/>
                <w:szCs w:val="30"/>
              </w:rPr>
            </w:pPr>
            <w:r>
              <w:t>Five Year</w:t>
            </w:r>
          </w:p>
        </w:tc>
        <w:tc>
          <w:tcPr>
            <w:tcW w:w="0" w:type="auto"/>
          </w:tcPr>
          <w:p w14:paraId="70CC094C" w14:textId="77777777" w:rsidR="001F570F" w:rsidRDefault="001F570F" w:rsidP="001F570F">
            <w:pPr>
              <w:ind w:left="970" w:hanging="970"/>
              <w:jc w:val="both"/>
              <w:rPr>
                <w:color w:val="0070C0"/>
                <w:sz w:val="30"/>
                <w:szCs w:val="30"/>
              </w:rPr>
            </w:pPr>
            <w:r>
              <w:t>Group 1</w:t>
            </w:r>
          </w:p>
        </w:tc>
        <w:tc>
          <w:tcPr>
            <w:tcW w:w="0" w:type="auto"/>
          </w:tcPr>
          <w:p w14:paraId="36712BA8" w14:textId="77777777" w:rsidR="001F570F" w:rsidRDefault="001F570F" w:rsidP="001F570F">
            <w:pPr>
              <w:pStyle w:val="NoSpacing"/>
            </w:pPr>
            <w:r>
              <w:t>1</w:t>
            </w:r>
            <w:r w:rsidRPr="00013ACB">
              <w:rPr>
                <w:vertAlign w:val="superscript"/>
              </w:rPr>
              <w:t>st</w:t>
            </w:r>
            <w:r>
              <w:t xml:space="preserve"> Round:</w:t>
            </w:r>
          </w:p>
          <w:p w14:paraId="2EA4A86B" w14:textId="77777777" w:rsidR="001F570F" w:rsidRDefault="001F570F" w:rsidP="001F570F">
            <w:pPr>
              <w:pStyle w:val="NoSpacing"/>
            </w:pPr>
            <w:r>
              <w:t>2015</w:t>
            </w:r>
          </w:p>
          <w:p w14:paraId="7DDDE948" w14:textId="77777777" w:rsidR="001F570F" w:rsidRDefault="001F570F" w:rsidP="001F570F">
            <w:pPr>
              <w:pStyle w:val="NoSpacing"/>
            </w:pPr>
          </w:p>
          <w:p w14:paraId="454B7C3F" w14:textId="77777777" w:rsidR="001F570F" w:rsidRDefault="001F570F" w:rsidP="001F570F">
            <w:pPr>
              <w:pStyle w:val="NoSpacing"/>
            </w:pPr>
            <w:r>
              <w:t>2</w:t>
            </w:r>
            <w:r w:rsidRPr="00013ACB">
              <w:rPr>
                <w:vertAlign w:val="superscript"/>
              </w:rPr>
              <w:t>nd</w:t>
            </w:r>
            <w:r>
              <w:t xml:space="preserve"> Round:</w:t>
            </w:r>
          </w:p>
          <w:p w14:paraId="7BEA57EC" w14:textId="77777777" w:rsidR="001F570F" w:rsidRDefault="001F570F" w:rsidP="001F570F">
            <w:pPr>
              <w:pStyle w:val="NoSpacing"/>
            </w:pPr>
            <w:r>
              <w:t xml:space="preserve"> December, </w:t>
            </w:r>
          </w:p>
          <w:p w14:paraId="683BED2C" w14:textId="77777777" w:rsidR="001F570F" w:rsidRDefault="001F570F" w:rsidP="001F570F">
            <w:pPr>
              <w:pStyle w:val="NoSpacing"/>
            </w:pPr>
            <w:r>
              <w:t>2020</w:t>
            </w:r>
          </w:p>
          <w:p w14:paraId="5E069550" w14:textId="77777777" w:rsidR="001F570F" w:rsidRDefault="001F570F" w:rsidP="001F570F">
            <w:pPr>
              <w:pStyle w:val="NoSpacing"/>
            </w:pPr>
          </w:p>
          <w:p w14:paraId="3D9B0038" w14:textId="77777777" w:rsidR="001F570F" w:rsidRDefault="001F570F" w:rsidP="001F570F">
            <w:pPr>
              <w:pStyle w:val="NoSpacing"/>
            </w:pPr>
            <w:r>
              <w:t>3</w:t>
            </w:r>
            <w:r w:rsidRPr="00013ACB">
              <w:rPr>
                <w:vertAlign w:val="superscript"/>
              </w:rPr>
              <w:t>rd</w:t>
            </w:r>
            <w:r>
              <w:t xml:space="preserve"> Round: </w:t>
            </w:r>
          </w:p>
          <w:p w14:paraId="7E643C3B" w14:textId="77777777" w:rsidR="001F570F" w:rsidRDefault="001F570F" w:rsidP="001F570F">
            <w:pPr>
              <w:pStyle w:val="NoSpacing"/>
            </w:pPr>
            <w:r>
              <w:t xml:space="preserve">December, </w:t>
            </w:r>
          </w:p>
          <w:p w14:paraId="6667A61B" w14:textId="77777777" w:rsidR="001F570F" w:rsidRDefault="001F570F" w:rsidP="001F570F">
            <w:pPr>
              <w:pStyle w:val="NoSpacing"/>
            </w:pPr>
            <w:r>
              <w:t>2025</w:t>
            </w:r>
          </w:p>
          <w:p w14:paraId="315C519F" w14:textId="77777777" w:rsidR="001F570F" w:rsidRDefault="001F570F" w:rsidP="001F570F">
            <w:pPr>
              <w:pStyle w:val="NoSpacing"/>
            </w:pPr>
          </w:p>
          <w:p w14:paraId="3DB4053F" w14:textId="77777777" w:rsidR="001F570F" w:rsidRDefault="001F570F" w:rsidP="001F570F">
            <w:pPr>
              <w:pStyle w:val="NoSpacing"/>
            </w:pPr>
            <w:r>
              <w:t>4</w:t>
            </w:r>
            <w:r w:rsidRPr="00013ACB">
              <w:rPr>
                <w:vertAlign w:val="superscript"/>
              </w:rPr>
              <w:t>th</w:t>
            </w:r>
            <w:r>
              <w:t xml:space="preserve"> Round: </w:t>
            </w:r>
          </w:p>
          <w:p w14:paraId="3E3A1C7A" w14:textId="77777777" w:rsidR="001F570F" w:rsidRDefault="001F570F" w:rsidP="001F570F">
            <w:pPr>
              <w:pStyle w:val="NoSpacing"/>
            </w:pPr>
            <w:r>
              <w:t xml:space="preserve">December, </w:t>
            </w:r>
          </w:p>
          <w:p w14:paraId="56633EF3" w14:textId="77777777" w:rsidR="001F570F" w:rsidRDefault="001F570F" w:rsidP="001F570F">
            <w:pPr>
              <w:pStyle w:val="NoSpacing"/>
            </w:pPr>
            <w:r>
              <w:t>2030</w:t>
            </w:r>
          </w:p>
          <w:p w14:paraId="7AA64FE9" w14:textId="3CEE3D84" w:rsidR="001F570F" w:rsidRPr="00670519" w:rsidRDefault="001F570F" w:rsidP="001F570F">
            <w:pPr>
              <w:pStyle w:val="NoSpacing"/>
            </w:pPr>
          </w:p>
        </w:tc>
        <w:tc>
          <w:tcPr>
            <w:tcW w:w="0" w:type="auto"/>
          </w:tcPr>
          <w:p w14:paraId="59549D05" w14:textId="77777777" w:rsidR="001F570F" w:rsidRDefault="001F570F" w:rsidP="001F570F">
            <w:pPr>
              <w:pStyle w:val="NoSpacing"/>
            </w:pPr>
            <w:r w:rsidRPr="0002627D">
              <w:t>Forest area can be generated periodically based on a</w:t>
            </w:r>
            <w:r>
              <w:t>vailability of satellite image</w:t>
            </w:r>
          </w:p>
        </w:tc>
      </w:tr>
      <w:tr w:rsidR="001F570F" w14:paraId="1C46FCA4" w14:textId="77777777" w:rsidTr="00A64F0D">
        <w:tc>
          <w:tcPr>
            <w:tcW w:w="0" w:type="auto"/>
          </w:tcPr>
          <w:p w14:paraId="36AE2475" w14:textId="77777777" w:rsidR="001F570F" w:rsidRDefault="001F570F" w:rsidP="001F570F">
            <w:pPr>
              <w:pStyle w:val="NoSpacing"/>
            </w:pPr>
            <w:r w:rsidRPr="00BA046C">
              <w:lastRenderedPageBreak/>
              <w:t>15.1.2 Proportion of important sites for terrestrial and freshwater biodiversity that are covered by protected areas, by ecosystem type</w:t>
            </w:r>
          </w:p>
        </w:tc>
        <w:tc>
          <w:tcPr>
            <w:tcW w:w="0" w:type="auto"/>
          </w:tcPr>
          <w:p w14:paraId="51B9669B" w14:textId="77777777" w:rsidR="001F570F" w:rsidRDefault="001F570F" w:rsidP="001F570F">
            <w:pPr>
              <w:pStyle w:val="NoSpacing"/>
            </w:pPr>
            <w:r>
              <w:t>UNEP-WCMC,</w:t>
            </w:r>
          </w:p>
          <w:p w14:paraId="50A23ACC" w14:textId="77777777" w:rsidR="001F570F" w:rsidRDefault="001F570F" w:rsidP="001F570F">
            <w:pPr>
              <w:pStyle w:val="NoSpacing"/>
            </w:pPr>
            <w:r>
              <w:t>UNEP,</w:t>
            </w:r>
          </w:p>
          <w:p w14:paraId="7AB692ED" w14:textId="77777777" w:rsidR="001F570F" w:rsidRDefault="001F570F" w:rsidP="001F570F">
            <w:pPr>
              <w:pStyle w:val="NoSpacing"/>
            </w:pPr>
            <w:r>
              <w:t>IUCN</w:t>
            </w:r>
          </w:p>
          <w:p w14:paraId="492F80BD" w14:textId="77777777" w:rsidR="001F570F" w:rsidRDefault="001F570F" w:rsidP="001F570F">
            <w:pPr>
              <w:rPr>
                <w:b/>
                <w:bCs/>
                <w:szCs w:val="20"/>
              </w:rPr>
            </w:pPr>
            <w:r w:rsidRPr="007243FC">
              <w:rPr>
                <w:b/>
                <w:bCs/>
                <w:szCs w:val="20"/>
              </w:rPr>
              <w:t>Partner Agencies:</w:t>
            </w:r>
          </w:p>
          <w:p w14:paraId="3E6AA934" w14:textId="77777777" w:rsidR="001F570F" w:rsidRDefault="001F570F" w:rsidP="001F570F">
            <w:pPr>
              <w:rPr>
                <w:b/>
                <w:bCs/>
                <w:szCs w:val="20"/>
              </w:rPr>
            </w:pPr>
            <w:r w:rsidRPr="00E53957">
              <w:rPr>
                <w:b/>
                <w:bCs/>
                <w:szCs w:val="20"/>
              </w:rPr>
              <w:t>Ramsar</w:t>
            </w:r>
          </w:p>
          <w:p w14:paraId="1CEA01DD" w14:textId="77777777" w:rsidR="001F570F" w:rsidRDefault="001F570F" w:rsidP="001F570F">
            <w:pPr>
              <w:ind w:left="970" w:hanging="970"/>
              <w:jc w:val="both"/>
              <w:rPr>
                <w:color w:val="0070C0"/>
                <w:sz w:val="30"/>
                <w:szCs w:val="30"/>
              </w:rPr>
            </w:pPr>
          </w:p>
        </w:tc>
        <w:tc>
          <w:tcPr>
            <w:tcW w:w="0" w:type="auto"/>
          </w:tcPr>
          <w:p w14:paraId="58564A2F" w14:textId="77777777" w:rsidR="001F570F" w:rsidRDefault="001F570F" w:rsidP="001F570F">
            <w:pPr>
              <w:ind w:left="970" w:hanging="970"/>
              <w:jc w:val="both"/>
              <w:rPr>
                <w:color w:val="0070C0"/>
                <w:sz w:val="30"/>
                <w:szCs w:val="30"/>
              </w:rPr>
            </w:pPr>
            <w:r>
              <w:t>Tier I</w:t>
            </w:r>
          </w:p>
        </w:tc>
        <w:tc>
          <w:tcPr>
            <w:tcW w:w="0" w:type="auto"/>
          </w:tcPr>
          <w:p w14:paraId="0168D12F" w14:textId="77777777" w:rsidR="001F570F" w:rsidRPr="00D151AA" w:rsidRDefault="001F570F" w:rsidP="001F570F">
            <w:pPr>
              <w:pStyle w:val="NoSpacing"/>
              <w:rPr>
                <w:b/>
                <w:bCs/>
                <w:lang w:val="en-GB"/>
              </w:rPr>
            </w:pPr>
            <w:r w:rsidRPr="00D151AA">
              <w:rPr>
                <w:b/>
                <w:bCs/>
                <w:lang w:val="en-GB"/>
              </w:rPr>
              <w:t>Definition:</w:t>
            </w:r>
          </w:p>
          <w:p w14:paraId="2D2D9EF7" w14:textId="77777777" w:rsidR="001F570F" w:rsidRDefault="001F570F" w:rsidP="001F570F">
            <w:pPr>
              <w:pStyle w:val="NoSpacing"/>
              <w:rPr>
                <w:lang w:val="en-GB"/>
              </w:rPr>
            </w:pPr>
            <w:r w:rsidRPr="00D151AA">
              <w:rPr>
                <w:lang w:val="en-GB"/>
              </w:rPr>
              <w:t>This indicator Proportion of important sites for terrestrial and freshwater biodiversity that are covered by protected areas shows temporal trends in the mean percentage of each important site for terrestrial and freshwater biodiversity (i.e., those that contribute significantly to the global persistence of biodiversity) that is covered by designated protected areas.</w:t>
            </w:r>
          </w:p>
          <w:p w14:paraId="4A38279F" w14:textId="77777777" w:rsidR="001F570F" w:rsidRPr="00D151AA" w:rsidRDefault="001F570F" w:rsidP="001F570F">
            <w:pPr>
              <w:pStyle w:val="NoSpacing"/>
              <w:rPr>
                <w:lang w:val="en-GB"/>
              </w:rPr>
            </w:pPr>
          </w:p>
          <w:p w14:paraId="6754E573" w14:textId="77777777" w:rsidR="001F570F" w:rsidRPr="00D151AA" w:rsidRDefault="001F570F" w:rsidP="001F570F">
            <w:pPr>
              <w:pStyle w:val="NoSpacing"/>
              <w:rPr>
                <w:b/>
                <w:bCs/>
                <w:lang w:val="en-GB"/>
              </w:rPr>
            </w:pPr>
            <w:r w:rsidRPr="00D151AA">
              <w:rPr>
                <w:b/>
                <w:bCs/>
                <w:lang w:val="en-GB"/>
              </w:rPr>
              <w:t>Concepts:</w:t>
            </w:r>
          </w:p>
          <w:p w14:paraId="3EF3577A" w14:textId="77777777" w:rsidR="001F570F" w:rsidRPr="00D151AA" w:rsidRDefault="001F570F" w:rsidP="001F570F">
            <w:pPr>
              <w:pStyle w:val="NoSpacing"/>
              <w:rPr>
                <w:lang w:val="en-GB"/>
              </w:rPr>
            </w:pPr>
            <w:r w:rsidRPr="00D151AA">
              <w:rPr>
                <w:lang w:val="en-GB"/>
              </w:rPr>
              <w:t xml:space="preserve">Protected areas, as defined by the International Union for Conservation of Nature (IUCN; </w:t>
            </w:r>
            <w:r w:rsidRPr="00D151AA">
              <w:rPr>
                <w:lang w:val="en-GB"/>
              </w:rPr>
              <w:lastRenderedPageBreak/>
              <w:t>Dudley 2008), are clearly defined geographical spaces, recognized, dedicated and managed, through legal or other effective means, to achieve the long-term conservation of nature with associated ecosystem services and cultural values. Importantly, a variety of specific management objectives are recognised within this definition, spanning conservation, restoration, and sustainable use:</w:t>
            </w:r>
          </w:p>
          <w:p w14:paraId="186FAFFA" w14:textId="77777777" w:rsidR="001F570F" w:rsidRPr="00D151AA" w:rsidRDefault="001F570F" w:rsidP="001F570F">
            <w:pPr>
              <w:pStyle w:val="NoSpacing"/>
              <w:rPr>
                <w:lang w:val="en-GB"/>
              </w:rPr>
            </w:pPr>
          </w:p>
          <w:p w14:paraId="0FBEB655" w14:textId="77777777" w:rsidR="001F570F" w:rsidRPr="00D151AA" w:rsidRDefault="001F570F" w:rsidP="001F570F">
            <w:pPr>
              <w:pStyle w:val="NoSpacing"/>
              <w:numPr>
                <w:ilvl w:val="0"/>
                <w:numId w:val="75"/>
              </w:numPr>
              <w:rPr>
                <w:lang w:val="en-GB"/>
              </w:rPr>
            </w:pPr>
            <w:r w:rsidRPr="00D151AA">
              <w:rPr>
                <w:lang w:val="en-GB"/>
              </w:rPr>
              <w:t>Category Ia: Strict nature reserve</w:t>
            </w:r>
          </w:p>
          <w:p w14:paraId="22658A50" w14:textId="77777777" w:rsidR="001F570F" w:rsidRPr="00D151AA" w:rsidRDefault="001F570F" w:rsidP="001F570F">
            <w:pPr>
              <w:pStyle w:val="NoSpacing"/>
              <w:numPr>
                <w:ilvl w:val="0"/>
                <w:numId w:val="75"/>
              </w:numPr>
              <w:rPr>
                <w:lang w:val="en-GB"/>
              </w:rPr>
            </w:pPr>
            <w:r w:rsidRPr="00D151AA">
              <w:rPr>
                <w:lang w:val="en-GB"/>
              </w:rPr>
              <w:t>Category Ib: Wilderness area</w:t>
            </w:r>
          </w:p>
          <w:p w14:paraId="2C77D1B7" w14:textId="77777777" w:rsidR="001F570F" w:rsidRPr="00D151AA" w:rsidRDefault="001F570F" w:rsidP="001F570F">
            <w:pPr>
              <w:pStyle w:val="NoSpacing"/>
              <w:numPr>
                <w:ilvl w:val="0"/>
                <w:numId w:val="75"/>
              </w:numPr>
              <w:rPr>
                <w:lang w:val="en-GB"/>
              </w:rPr>
            </w:pPr>
            <w:r w:rsidRPr="00D151AA">
              <w:rPr>
                <w:lang w:val="en-GB"/>
              </w:rPr>
              <w:t>Category II: National park</w:t>
            </w:r>
          </w:p>
          <w:p w14:paraId="0BB52B3B" w14:textId="77777777" w:rsidR="001F570F" w:rsidRPr="00D151AA" w:rsidRDefault="001F570F" w:rsidP="001F570F">
            <w:pPr>
              <w:pStyle w:val="NoSpacing"/>
              <w:numPr>
                <w:ilvl w:val="0"/>
                <w:numId w:val="75"/>
              </w:numPr>
              <w:rPr>
                <w:lang w:val="en-GB"/>
              </w:rPr>
            </w:pPr>
            <w:r w:rsidRPr="00D151AA">
              <w:rPr>
                <w:lang w:val="en-GB"/>
              </w:rPr>
              <w:t>Category III: Natural monument or feature</w:t>
            </w:r>
          </w:p>
          <w:p w14:paraId="4048306E" w14:textId="77777777" w:rsidR="001F570F" w:rsidRPr="00D151AA" w:rsidRDefault="001F570F" w:rsidP="001F570F">
            <w:pPr>
              <w:pStyle w:val="NoSpacing"/>
              <w:numPr>
                <w:ilvl w:val="0"/>
                <w:numId w:val="75"/>
              </w:numPr>
              <w:rPr>
                <w:lang w:val="en-GB"/>
              </w:rPr>
            </w:pPr>
            <w:r w:rsidRPr="00D151AA">
              <w:rPr>
                <w:lang w:val="en-GB"/>
              </w:rPr>
              <w:t>Category IV: Habitat/species management area</w:t>
            </w:r>
          </w:p>
          <w:p w14:paraId="2C76B611" w14:textId="77777777" w:rsidR="001F570F" w:rsidRPr="00D151AA" w:rsidRDefault="001F570F" w:rsidP="001F570F">
            <w:pPr>
              <w:pStyle w:val="NoSpacing"/>
              <w:numPr>
                <w:ilvl w:val="0"/>
                <w:numId w:val="75"/>
              </w:numPr>
              <w:rPr>
                <w:lang w:val="en-GB"/>
              </w:rPr>
            </w:pPr>
            <w:r w:rsidRPr="00D151AA">
              <w:rPr>
                <w:lang w:val="en-GB"/>
              </w:rPr>
              <w:t>Category V: Protected landscape/seascape</w:t>
            </w:r>
          </w:p>
          <w:p w14:paraId="6133764D" w14:textId="77777777" w:rsidR="001F570F" w:rsidRPr="00D151AA" w:rsidRDefault="001F570F" w:rsidP="001F570F">
            <w:pPr>
              <w:pStyle w:val="NoSpacing"/>
              <w:numPr>
                <w:ilvl w:val="0"/>
                <w:numId w:val="75"/>
              </w:numPr>
              <w:rPr>
                <w:lang w:val="en-GB"/>
              </w:rPr>
            </w:pPr>
            <w:r w:rsidRPr="00D151AA">
              <w:rPr>
                <w:lang w:val="en-GB"/>
              </w:rPr>
              <w:t>Category VI: Protected area with sustainable use of natural resources</w:t>
            </w:r>
          </w:p>
          <w:p w14:paraId="0E4E56CC" w14:textId="77777777" w:rsidR="001F570F" w:rsidRPr="00D151AA" w:rsidRDefault="001F570F" w:rsidP="001F570F">
            <w:pPr>
              <w:pStyle w:val="NoSpacing"/>
              <w:rPr>
                <w:lang w:val="en-GB"/>
              </w:rPr>
            </w:pPr>
          </w:p>
          <w:p w14:paraId="6E647605" w14:textId="77777777" w:rsidR="001F570F" w:rsidRPr="00D151AA" w:rsidRDefault="001F570F" w:rsidP="001F570F">
            <w:pPr>
              <w:pStyle w:val="NoSpacing"/>
              <w:rPr>
                <w:lang w:val="en-GB"/>
              </w:rPr>
            </w:pPr>
            <w:r w:rsidRPr="00D151AA">
              <w:rPr>
                <w:lang w:val="en-GB"/>
              </w:rPr>
              <w:t>The status "designated" is attributed to a protected area when the corresponding authority, according to national legislation or common practice (e.g., by means of an executive decree or the like), officially endorses a document of designation. The designation must be made for the purpose of biodiversity conservation, not de facto protection arising because of some other activity (e.g., military).</w:t>
            </w:r>
          </w:p>
          <w:p w14:paraId="1F109A93" w14:textId="77777777" w:rsidR="001F570F" w:rsidRPr="00D151AA" w:rsidRDefault="001F570F" w:rsidP="001F570F">
            <w:pPr>
              <w:pStyle w:val="NoSpacing"/>
              <w:rPr>
                <w:lang w:val="en-GB"/>
              </w:rPr>
            </w:pPr>
          </w:p>
          <w:p w14:paraId="5B06BD83" w14:textId="77777777" w:rsidR="001F570F" w:rsidRPr="00D151AA" w:rsidRDefault="001F570F" w:rsidP="001F570F">
            <w:pPr>
              <w:pStyle w:val="NoSpacing"/>
              <w:rPr>
                <w:lang w:val="en-GB"/>
              </w:rPr>
            </w:pPr>
            <w:r w:rsidRPr="00D151AA">
              <w:rPr>
                <w:lang w:val="en-GB"/>
              </w:rPr>
              <w:t>Sites contributing significantly to the global persistence of biodiversity are identified following globally standard criteria for the identification of Key Biodiversity Areas (IUCN 2016) applied at national levels. Two variants of these standard criteria have been applied in all countries to date. The first is for the identification of Important Bird &amp; Biodiversity Areas, that is, sites contributing significantly to the global persistence of biodiversity, identified using data on birds, of which &gt;12,000 sites in total have been identified from all of the world’s countries (BirdLife International 2014). The second is for the identification of Alliance for Zero Extinction sites (Ricketts et al. 2005), that is, sites holding effectively the entire population of at least one species assessed as Critically Endangered or Endangered on The IUCN Red List of Threatened Species. In total, 587 Alliance for Zero Extinction sites have been identified for 920 species of mammals, birds, amphibians, reptiles, conifers, and reef-building corals. A global standard for the identification of Key Biodiversity Areas unifying these approaches along with other mechanisms for identification of important sites for other species and ecosystems was approved by IUCN (2016).</w:t>
            </w:r>
          </w:p>
          <w:p w14:paraId="2CA128B4" w14:textId="77777777" w:rsidR="001F570F" w:rsidRPr="00D151AA" w:rsidRDefault="001F570F" w:rsidP="001F570F">
            <w:pPr>
              <w:pStyle w:val="NoSpacing"/>
              <w:rPr>
                <w:lang w:val="en-GB"/>
              </w:rPr>
            </w:pPr>
          </w:p>
          <w:p w14:paraId="3DA33A43" w14:textId="77777777" w:rsidR="001F570F" w:rsidRPr="00D151AA" w:rsidRDefault="001F570F" w:rsidP="001F570F">
            <w:pPr>
              <w:pStyle w:val="NoSpacing"/>
              <w:rPr>
                <w:b/>
                <w:bCs/>
                <w:lang w:val="en-GB"/>
              </w:rPr>
            </w:pPr>
            <w:r w:rsidRPr="00D151AA">
              <w:rPr>
                <w:b/>
                <w:bCs/>
                <w:lang w:val="en-GB"/>
              </w:rPr>
              <w:t>Comments and limitations:</w:t>
            </w:r>
          </w:p>
          <w:p w14:paraId="39FEF102" w14:textId="77777777" w:rsidR="001F570F" w:rsidRPr="00D151AA" w:rsidRDefault="001F570F" w:rsidP="001F570F">
            <w:pPr>
              <w:pStyle w:val="NoSpacing"/>
              <w:rPr>
                <w:lang w:val="en-GB"/>
              </w:rPr>
            </w:pPr>
            <w:r w:rsidRPr="00D151AA">
              <w:rPr>
                <w:lang w:val="en-GB"/>
              </w:rPr>
              <w:t xml:space="preserve">Quality control criteria are applied to ensure consistency and comparability of the data in the World Database on Protected Areas. New data are validated at UNEP-WCMC through a </w:t>
            </w:r>
            <w:r w:rsidRPr="00D151AA">
              <w:rPr>
                <w:lang w:val="en-GB"/>
              </w:rPr>
              <w:lastRenderedPageBreak/>
              <w:t>number of tools and translated into the standard data structure of the World Database on Protected Areas. Discrepancies between the data in the World Database on Protected Areas and new data are minimised by provision of a manual (UNEP-WCMC 2016) and resolved in communication with data providers. Similar processes apply for the incorporation of data into the World Database of Key Biodiversity Areas.</w:t>
            </w:r>
          </w:p>
          <w:p w14:paraId="0470BD4F" w14:textId="77777777" w:rsidR="001F570F" w:rsidRPr="00D151AA" w:rsidRDefault="001F570F" w:rsidP="001F570F">
            <w:pPr>
              <w:pStyle w:val="NoSpacing"/>
              <w:rPr>
                <w:lang w:val="en-GB"/>
              </w:rPr>
            </w:pPr>
          </w:p>
          <w:p w14:paraId="741B4288" w14:textId="77777777" w:rsidR="001F570F" w:rsidRPr="00D151AA" w:rsidRDefault="001F570F" w:rsidP="001F570F">
            <w:pPr>
              <w:pStyle w:val="NoSpacing"/>
              <w:rPr>
                <w:lang w:val="en-GB"/>
              </w:rPr>
            </w:pPr>
            <w:r w:rsidRPr="00D151AA">
              <w:rPr>
                <w:lang w:val="en-GB"/>
              </w:rPr>
              <w:t xml:space="preserve">The indicator does not measure the effectiveness of protected areas in reducing biodiversity loss, which ultimately depends on a range of management and enforcement factors not covered by the indicator. A number of initiatives are underway to address this limitation. Most notably, numerous mechanisms have been developed for assessment of protected area management, which can be synthesised into an indicator (Leverington et al. 2010). This is used by the Biodiversity Indicators Partnership as a complementary indicator of progress towards Aichi Biodiversity Target 11 </w:t>
            </w:r>
          </w:p>
          <w:p w14:paraId="54D45C82" w14:textId="77777777" w:rsidR="001F570F" w:rsidRPr="00D151AA" w:rsidRDefault="001F570F" w:rsidP="001F570F">
            <w:pPr>
              <w:pStyle w:val="NoSpacing"/>
              <w:rPr>
                <w:lang w:val="en-GB"/>
              </w:rPr>
            </w:pPr>
            <w:r w:rsidRPr="00D151AA">
              <w:rPr>
                <w:lang w:val="en-GB"/>
              </w:rPr>
              <w:t>(http://www.bipindicators.net/pamanagement). However, there may be little relationship between these measures and protected area outcomes (Nolte &amp; Agrawal 2013). More recently, approaches to “green listing” have started to be developed, to incorporate both management effectiveness and the outcomes of protected areas, and these are likely to become progressively important as they are tested and applied more broadly.</w:t>
            </w:r>
          </w:p>
          <w:p w14:paraId="71EDBFDD" w14:textId="77777777" w:rsidR="001F570F" w:rsidRPr="00D151AA" w:rsidRDefault="001F570F" w:rsidP="001F570F">
            <w:pPr>
              <w:pStyle w:val="NoSpacing"/>
              <w:rPr>
                <w:lang w:val="en-GB"/>
              </w:rPr>
            </w:pPr>
          </w:p>
          <w:p w14:paraId="48E67CEB" w14:textId="77777777" w:rsidR="001F570F" w:rsidRPr="00D151AA" w:rsidRDefault="001F570F" w:rsidP="001F570F">
            <w:pPr>
              <w:pStyle w:val="NoSpacing"/>
              <w:rPr>
                <w:lang w:val="en-GB"/>
              </w:rPr>
            </w:pPr>
            <w:r w:rsidRPr="00D151AA">
              <w:rPr>
                <w:lang w:val="en-GB"/>
              </w:rPr>
              <w:t xml:space="preserve">Data and knowledge gaps can arise due to difficulties in determining whether a site conforms to the IUCN definition of a protected area, and some protected areas are not assigned management categories. Moreover, “other effective area-based conservation measures”, as specified by Aichi Biodiversity Target </w:t>
            </w:r>
          </w:p>
          <w:p w14:paraId="4D53121F" w14:textId="77777777" w:rsidR="001F570F" w:rsidRPr="00D151AA" w:rsidRDefault="001F570F" w:rsidP="001F570F">
            <w:pPr>
              <w:pStyle w:val="NoSpacing"/>
              <w:rPr>
                <w:lang w:val="en-GB"/>
              </w:rPr>
            </w:pPr>
            <w:r w:rsidRPr="00D151AA">
              <w:rPr>
                <w:lang w:val="en-GB"/>
              </w:rPr>
              <w:t>11 of the Strategic Plan for Biodiversity 2011–2020, recognise that some sites beyond the formal protected area network, while not managed primarily for nature conservation, may nevertheless be managed in ways which are consistent with the persistence of the biodiversity for which they are important (Jonas et al. 2014). However, standard approaches to documentation of “other effective area-based conservation measures” are still under debate through the IUCN Task Force on Other Effective Areas Based Conservation Measures which will conclude with recommendations for a definition on OECMs. Once defined it is likely OEMCs will be documented in the World Database on Protected Areas.</w:t>
            </w:r>
          </w:p>
          <w:p w14:paraId="06EB056F" w14:textId="77777777" w:rsidR="001F570F" w:rsidRPr="00D151AA" w:rsidRDefault="001F570F" w:rsidP="001F570F">
            <w:pPr>
              <w:pStyle w:val="NoSpacing"/>
              <w:rPr>
                <w:lang w:val="en-GB"/>
              </w:rPr>
            </w:pPr>
          </w:p>
          <w:p w14:paraId="013C2275" w14:textId="77777777" w:rsidR="001F570F" w:rsidRPr="00D151AA" w:rsidRDefault="001F570F" w:rsidP="001F570F">
            <w:pPr>
              <w:pStyle w:val="NoSpacing"/>
              <w:rPr>
                <w:lang w:val="en-GB"/>
              </w:rPr>
            </w:pPr>
            <w:r w:rsidRPr="00D151AA">
              <w:rPr>
                <w:lang w:val="en-GB"/>
              </w:rPr>
              <w:t xml:space="preserve">Regarding important sites, the biggest limitation is that site identification to date has focused on specific subsets of biodiversity, for example birds (for Important Bird and Biodiversity Areas) and highly threatened species (for Alliance for Zero Extinction sites). While Important Bird and Biodiversity Areas have been documented to be good surrogates for biodiversity more generally (Brooks et al. 2001, Pain et al. 2005), the application of the unified standard for identification of Key Biodiversity Areas (IUCN 2016) sites across </w:t>
            </w:r>
            <w:r w:rsidRPr="00D151AA">
              <w:rPr>
                <w:lang w:val="en-GB"/>
              </w:rPr>
              <w:lastRenderedPageBreak/>
              <w:t>different levels of biodiversity (genes, species, ecosystems) and different taxonomic groups remains a high priority, building from efforts to date (Eken et al. 2004, Knight et al. 2007, Langhammer et al. 2007, Foster et al. 2012).</w:t>
            </w:r>
          </w:p>
          <w:p w14:paraId="7B029FA4" w14:textId="77777777" w:rsidR="001F570F" w:rsidRPr="00D151AA" w:rsidRDefault="001F570F" w:rsidP="001F570F">
            <w:pPr>
              <w:pStyle w:val="NoSpacing"/>
              <w:rPr>
                <w:lang w:val="en-GB"/>
              </w:rPr>
            </w:pPr>
          </w:p>
          <w:p w14:paraId="2EB35F2D" w14:textId="77777777" w:rsidR="001F570F" w:rsidRPr="00D151AA" w:rsidRDefault="001F570F" w:rsidP="001F570F">
            <w:pPr>
              <w:pStyle w:val="NoSpacing"/>
              <w:rPr>
                <w:lang w:val="en-GB"/>
              </w:rPr>
            </w:pPr>
            <w:r w:rsidRPr="00D151AA">
              <w:rPr>
                <w:lang w:val="en-GB"/>
              </w:rPr>
              <w:t>Key Biodiversity Area identification has been validated for a number of countries and regions where comprehensive biodiversity data allow formal calculation of the site importance (or “irreplaceability”) using systematic conservation planning techniques (Di Marco et al. 2016, Montesino Pouzols et al. 2014).</w:t>
            </w:r>
          </w:p>
          <w:p w14:paraId="32570575" w14:textId="77777777" w:rsidR="001F570F" w:rsidRPr="00D151AA" w:rsidRDefault="001F570F" w:rsidP="001F570F">
            <w:pPr>
              <w:pStyle w:val="NoSpacing"/>
              <w:rPr>
                <w:lang w:val="en-GB"/>
              </w:rPr>
            </w:pPr>
          </w:p>
          <w:p w14:paraId="4F79379D" w14:textId="77777777" w:rsidR="001F570F" w:rsidRPr="00D151AA" w:rsidRDefault="001F570F" w:rsidP="001F570F">
            <w:pPr>
              <w:pStyle w:val="NoSpacing"/>
              <w:rPr>
                <w:lang w:val="en-GB"/>
              </w:rPr>
            </w:pPr>
            <w:r w:rsidRPr="00D151AA">
              <w:rPr>
                <w:lang w:val="en-GB"/>
              </w:rPr>
              <w:t>Future developments of the indicator will include: a) expansion of the taxonomic coverage of terrestrial and freshwater Key Biodiversity Areas through application of the Key Biodiversity Areas standard (IUCN 2016) to a wide variety of terrestrial and freshwater vertebrates, invertebrates, plants and ecosystem type; b) improvements in the data on protected areas by continuing to increase the proportion of sites with documented dates of designation and with digitised boundary polygons (rather than coordinates); and c) exploring other methods for assessing and presenting temporal trends in protected area coverage.</w:t>
            </w:r>
          </w:p>
          <w:p w14:paraId="78576144" w14:textId="77777777" w:rsidR="001F570F" w:rsidRPr="00D151AA" w:rsidRDefault="001F570F" w:rsidP="001F570F">
            <w:pPr>
              <w:pStyle w:val="NoSpacing"/>
              <w:rPr>
                <w:lang w:val="en-GB"/>
              </w:rPr>
            </w:pPr>
          </w:p>
          <w:p w14:paraId="4B3B68BC" w14:textId="77777777" w:rsidR="001F570F" w:rsidRPr="00D151AA" w:rsidRDefault="001F570F" w:rsidP="001F570F">
            <w:pPr>
              <w:pStyle w:val="NoSpacing"/>
              <w:rPr>
                <w:b/>
                <w:bCs/>
                <w:lang w:val="en-GB"/>
              </w:rPr>
            </w:pPr>
            <w:r w:rsidRPr="00D151AA">
              <w:rPr>
                <w:b/>
                <w:bCs/>
                <w:lang w:val="en-GB"/>
              </w:rPr>
              <w:t>Computation Method:</w:t>
            </w:r>
          </w:p>
          <w:p w14:paraId="412DD807" w14:textId="77777777" w:rsidR="001F570F" w:rsidRPr="00D151AA" w:rsidRDefault="001F570F" w:rsidP="001F570F">
            <w:pPr>
              <w:pStyle w:val="NoSpacing"/>
              <w:rPr>
                <w:lang w:val="en-GB"/>
              </w:rPr>
            </w:pPr>
            <w:r w:rsidRPr="00D151AA">
              <w:rPr>
                <w:lang w:val="en-GB"/>
              </w:rPr>
              <w:t xml:space="preserve">This indicator is calculated from data derived from a spatial overlap between digital polygons for protected areas from the World Database on Protected Areas (IUCN &amp; UNEP-WCMC 2017) and digital polygons for terrestrial and freshwater Key Biodiversity Areas (from the World Database of Key </w:t>
            </w:r>
          </w:p>
          <w:p w14:paraId="16C55552" w14:textId="77777777" w:rsidR="001F570F" w:rsidRPr="00D151AA" w:rsidRDefault="001F570F" w:rsidP="001F570F">
            <w:pPr>
              <w:pStyle w:val="NoSpacing"/>
              <w:rPr>
                <w:lang w:val="en-GB"/>
              </w:rPr>
            </w:pPr>
            <w:r w:rsidRPr="00D151AA">
              <w:rPr>
                <w:lang w:val="en-GB"/>
              </w:rPr>
              <w:t xml:space="preserve">Biodiversity Areas, including Important Bird and Biodiversity Areas, Alliance for Zero Extinction sites, and other Key Biodiversity Areas; available through the </w:t>
            </w:r>
            <w:hyperlink r:id="rId122" w:history="1">
              <w:r w:rsidRPr="00D151AA">
                <w:rPr>
                  <w:rStyle w:val="Hyperlink"/>
                  <w:lang w:val="en-GB"/>
                </w:rPr>
                <w:t>Integrated Biodiversity Assessment Tool</w:t>
              </w:r>
            </w:hyperlink>
            <w:r w:rsidRPr="00D151AA">
              <w:rPr>
                <w:lang w:val="en-GB"/>
              </w:rPr>
              <w:t>). The value of the indicator at a given point in time, based on data on the year of protected area establishment recorded in the World Database on Protected Areas, is computed as the mean percentage of each Key Biodiversity Area currently recognised that it covered by protected areas.</w:t>
            </w:r>
          </w:p>
          <w:p w14:paraId="2B66D6EC" w14:textId="77777777" w:rsidR="001F570F" w:rsidRPr="00D151AA" w:rsidRDefault="001F570F" w:rsidP="001F570F">
            <w:pPr>
              <w:pStyle w:val="NoSpacing"/>
              <w:rPr>
                <w:lang w:val="en-GB"/>
              </w:rPr>
            </w:pPr>
          </w:p>
          <w:p w14:paraId="234FF50D" w14:textId="77777777" w:rsidR="001F570F" w:rsidRPr="00D151AA" w:rsidRDefault="001F570F" w:rsidP="001F570F">
            <w:pPr>
              <w:pStyle w:val="NoSpacing"/>
              <w:rPr>
                <w:lang w:val="en-GB"/>
              </w:rPr>
            </w:pPr>
            <w:r w:rsidRPr="00D151AA">
              <w:rPr>
                <w:lang w:val="en-GB"/>
              </w:rPr>
              <w:t xml:space="preserve">Year of protected area establishment is unknown for 12% of protected areas in the World Database on Protected Areas, generating uncertainty around changing protected area coverage over time. To reflect this uncertainty, a year was randomly assigned from another protected area within the same country, and then this procedure repeated 1,000 times, with the median plotted. In 2017 we slightly changed the methods described by Butchart et al. (2012, 2015) by randomly assigning a year to protected areas with no year of establishment before calculating trends in coverage. This is a computationally more efficient method and is likely to reflect more accurately changes in protected area coverage over time. </w:t>
            </w:r>
          </w:p>
          <w:p w14:paraId="4D78BAFB" w14:textId="77777777" w:rsidR="001F570F" w:rsidRPr="00D151AA" w:rsidRDefault="001F570F" w:rsidP="001F570F">
            <w:pPr>
              <w:pStyle w:val="NoSpacing"/>
              <w:rPr>
                <w:lang w:val="en-GB"/>
              </w:rPr>
            </w:pPr>
          </w:p>
          <w:p w14:paraId="2BA9FF0F" w14:textId="77777777" w:rsidR="001F570F" w:rsidRPr="00D151AA" w:rsidRDefault="001F570F" w:rsidP="001F570F">
            <w:pPr>
              <w:pStyle w:val="NoSpacing"/>
              <w:rPr>
                <w:lang w:val="en-GB"/>
              </w:rPr>
            </w:pPr>
            <w:r w:rsidRPr="00D151AA">
              <w:rPr>
                <w:lang w:val="en-GB"/>
              </w:rPr>
              <w:lastRenderedPageBreak/>
              <w:t xml:space="preserve">Previously the indicator was presented as the percentage of Key Biodiversity Areas completely covered by protected areas. However, it is now presented as the mean % of each Key Biodiversity Area that is covered by protected areas in order to better reflect trends in protected area coverage for countries or regions with few or no Key Biodiversity Areas that are completely covered. </w:t>
            </w:r>
          </w:p>
          <w:p w14:paraId="33AAAE0E" w14:textId="77777777" w:rsidR="001F570F" w:rsidRPr="00D151AA" w:rsidRDefault="001F570F" w:rsidP="001F570F">
            <w:pPr>
              <w:pStyle w:val="NoSpacing"/>
            </w:pPr>
          </w:p>
        </w:tc>
        <w:tc>
          <w:tcPr>
            <w:tcW w:w="0" w:type="auto"/>
          </w:tcPr>
          <w:p w14:paraId="35E40D21" w14:textId="77777777" w:rsidR="001F570F" w:rsidRDefault="001F570F" w:rsidP="001F570F">
            <w:pPr>
              <w:pStyle w:val="NoSpacing"/>
            </w:pPr>
            <w:r>
              <w:lastRenderedPageBreak/>
              <w:t>M</w:t>
            </w:r>
            <w:r w:rsidRPr="0051255C">
              <w:t>ulti-stakeholder processes, following standard criteria and thresholds.</w:t>
            </w:r>
          </w:p>
        </w:tc>
        <w:tc>
          <w:tcPr>
            <w:tcW w:w="0" w:type="auto"/>
          </w:tcPr>
          <w:p w14:paraId="08D86DC1" w14:textId="77777777" w:rsidR="001F570F" w:rsidRDefault="001F570F" w:rsidP="001F570F">
            <w:pPr>
              <w:pStyle w:val="NoSpacing"/>
            </w:pPr>
            <w:r>
              <w:t>M</w:t>
            </w:r>
            <w:r w:rsidRPr="0051255C">
              <w:t>inistries of environment</w:t>
            </w:r>
          </w:p>
        </w:tc>
        <w:tc>
          <w:tcPr>
            <w:tcW w:w="0" w:type="auto"/>
          </w:tcPr>
          <w:p w14:paraId="1D18F55E" w14:textId="77777777" w:rsidR="001F570F" w:rsidRPr="00261A09" w:rsidRDefault="001F570F" w:rsidP="001F570F">
            <w:pPr>
              <w:jc w:val="center"/>
              <w:rPr>
                <w:rFonts w:eastAsia="Times New Roman" w:cs="Times New Roman"/>
                <w:szCs w:val="20"/>
              </w:rPr>
            </w:pPr>
            <w:r>
              <w:rPr>
                <w:rFonts w:eastAsia="Times New Roman" w:cs="Times New Roman"/>
                <w:szCs w:val="20"/>
              </w:rPr>
              <w:t>a) MoEFCC</w:t>
            </w:r>
          </w:p>
          <w:p w14:paraId="6189CDFF" w14:textId="77777777" w:rsidR="001F570F" w:rsidRDefault="001F570F" w:rsidP="001F570F">
            <w:pPr>
              <w:pStyle w:val="NoSpacing"/>
            </w:pPr>
            <w:r>
              <w:rPr>
                <w:rFonts w:eastAsia="Times New Roman" w:cs="Times New Roman"/>
                <w:szCs w:val="20"/>
              </w:rPr>
              <w:t>b) MoEFCC</w:t>
            </w:r>
          </w:p>
          <w:p w14:paraId="7EB087F9" w14:textId="77777777" w:rsidR="001F570F" w:rsidRPr="007B19A9" w:rsidRDefault="001F570F" w:rsidP="001F570F">
            <w:pPr>
              <w:pStyle w:val="NoSpacing"/>
            </w:pPr>
            <w:r w:rsidRPr="00286F19">
              <w:t>Administrative Data</w:t>
            </w:r>
          </w:p>
        </w:tc>
        <w:tc>
          <w:tcPr>
            <w:tcW w:w="0" w:type="auto"/>
          </w:tcPr>
          <w:p w14:paraId="555D6194" w14:textId="77777777" w:rsidR="001F570F" w:rsidRPr="007B19A9" w:rsidRDefault="001F570F" w:rsidP="001F570F">
            <w:pPr>
              <w:rPr>
                <w:rFonts w:eastAsia="Times New Roman" w:cs="Times New Roman"/>
                <w:szCs w:val="20"/>
              </w:rPr>
            </w:pPr>
            <w:r w:rsidRPr="007B19A9">
              <w:rPr>
                <w:rFonts w:eastAsia="Times New Roman" w:cs="Times New Roman"/>
                <w:szCs w:val="20"/>
              </w:rPr>
              <w:t>a) DoE, MoEFCC</w:t>
            </w:r>
            <w:r w:rsidRPr="007B19A9">
              <w:rPr>
                <w:rFonts w:eastAsia="Times New Roman" w:cs="Times New Roman"/>
                <w:szCs w:val="20"/>
              </w:rPr>
              <w:br/>
              <w:t>b) DoF, MoFL</w:t>
            </w:r>
          </w:p>
          <w:p w14:paraId="7A7549FF" w14:textId="77777777" w:rsidR="001F570F" w:rsidRPr="007B19A9" w:rsidRDefault="001F570F" w:rsidP="001F570F">
            <w:pPr>
              <w:tabs>
                <w:tab w:val="left" w:pos="1590"/>
              </w:tabs>
              <w:rPr>
                <w:rFonts w:eastAsia="Times New Roman" w:cs="Times New Roman"/>
                <w:szCs w:val="20"/>
              </w:rPr>
            </w:pPr>
            <w:r w:rsidRPr="007B19A9">
              <w:rPr>
                <w:rFonts w:eastAsia="Times New Roman" w:cs="Times New Roman"/>
                <w:szCs w:val="20"/>
              </w:rPr>
              <w:t>c) BFD, MoEFCC</w:t>
            </w:r>
          </w:p>
          <w:p w14:paraId="00A4B6AC" w14:textId="77777777" w:rsidR="001F570F" w:rsidRDefault="001F570F" w:rsidP="001F570F">
            <w:pPr>
              <w:pStyle w:val="NoSpacing"/>
            </w:pPr>
          </w:p>
          <w:p w14:paraId="4A00A1DA" w14:textId="77777777" w:rsidR="001F570F" w:rsidRDefault="001F570F" w:rsidP="001F570F">
            <w:pPr>
              <w:pStyle w:val="NoSpacing"/>
            </w:pPr>
            <w:r w:rsidRPr="00286F19">
              <w:t>Administrative Data</w:t>
            </w:r>
          </w:p>
        </w:tc>
        <w:tc>
          <w:tcPr>
            <w:tcW w:w="0" w:type="auto"/>
          </w:tcPr>
          <w:p w14:paraId="154DF8F9"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division</w:t>
            </w:r>
          </w:p>
          <w:p w14:paraId="6B55200D"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protected area management categories: categories I–VI</w:t>
            </w:r>
          </w:p>
          <w:p w14:paraId="3BBB8A62"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 xml:space="preserve">ecosystem type: marine, terrestrial, </w:t>
            </w:r>
            <w:r>
              <w:rPr>
                <w:rFonts w:ascii="Tw Cen MT Condensed" w:hAnsi="Tw Cen MT Condensed"/>
                <w:sz w:val="20"/>
                <w:szCs w:val="20"/>
              </w:rPr>
              <w:lastRenderedPageBreak/>
              <w:t>freshwater</w:t>
            </w:r>
          </w:p>
          <w:p w14:paraId="24B8AE97" w14:textId="77777777" w:rsidR="001F570F" w:rsidRDefault="001F570F" w:rsidP="001F570F">
            <w:pPr>
              <w:ind w:left="970" w:hanging="970"/>
              <w:jc w:val="both"/>
              <w:rPr>
                <w:color w:val="0070C0"/>
                <w:sz w:val="30"/>
                <w:szCs w:val="30"/>
              </w:rPr>
            </w:pPr>
          </w:p>
        </w:tc>
        <w:tc>
          <w:tcPr>
            <w:tcW w:w="0" w:type="auto"/>
          </w:tcPr>
          <w:p w14:paraId="5C0E9A4A" w14:textId="77777777" w:rsidR="001F570F" w:rsidRDefault="001F570F" w:rsidP="001F570F">
            <w:pPr>
              <w:ind w:left="970" w:hanging="970"/>
              <w:jc w:val="both"/>
              <w:rPr>
                <w:color w:val="0070C0"/>
                <w:sz w:val="30"/>
                <w:szCs w:val="30"/>
              </w:rPr>
            </w:pPr>
            <w:r w:rsidRPr="00261A09">
              <w:lastRenderedPageBreak/>
              <w:t>Annual</w:t>
            </w:r>
          </w:p>
        </w:tc>
        <w:tc>
          <w:tcPr>
            <w:tcW w:w="0" w:type="auto"/>
          </w:tcPr>
          <w:p w14:paraId="3741F501" w14:textId="77777777" w:rsidR="001F570F" w:rsidRDefault="001F570F" w:rsidP="001F570F">
            <w:pPr>
              <w:ind w:left="970" w:hanging="970"/>
              <w:jc w:val="both"/>
              <w:rPr>
                <w:color w:val="0070C0"/>
                <w:sz w:val="30"/>
                <w:szCs w:val="30"/>
              </w:rPr>
            </w:pPr>
            <w:r>
              <w:t>Group 1</w:t>
            </w:r>
          </w:p>
        </w:tc>
        <w:tc>
          <w:tcPr>
            <w:tcW w:w="0" w:type="auto"/>
          </w:tcPr>
          <w:p w14:paraId="5575313D" w14:textId="77777777" w:rsidR="001F570F" w:rsidRDefault="001F570F" w:rsidP="001F570F">
            <w:pPr>
              <w:pStyle w:val="NoSpacing"/>
            </w:pPr>
            <w:r>
              <w:t>1</w:t>
            </w:r>
            <w:r w:rsidRPr="00013ACB">
              <w:rPr>
                <w:vertAlign w:val="superscript"/>
              </w:rPr>
              <w:t>st</w:t>
            </w:r>
            <w:r>
              <w:t xml:space="preserve"> Round:</w:t>
            </w:r>
          </w:p>
          <w:p w14:paraId="0BEED545" w14:textId="77777777" w:rsidR="001F570F" w:rsidRDefault="001F570F" w:rsidP="001F570F">
            <w:pPr>
              <w:pStyle w:val="NoSpacing"/>
            </w:pPr>
            <w:r>
              <w:t>2015</w:t>
            </w:r>
          </w:p>
          <w:p w14:paraId="64785EF4" w14:textId="77777777" w:rsidR="001F570F" w:rsidRDefault="001F570F" w:rsidP="001F570F">
            <w:pPr>
              <w:pStyle w:val="NoSpacing"/>
            </w:pPr>
          </w:p>
          <w:p w14:paraId="78DF9AE4" w14:textId="77777777" w:rsidR="001F570F" w:rsidRDefault="001F570F" w:rsidP="001F570F">
            <w:pPr>
              <w:pStyle w:val="NoSpacing"/>
            </w:pPr>
            <w:r>
              <w:t>2</w:t>
            </w:r>
            <w:r w:rsidRPr="00013ACB">
              <w:rPr>
                <w:vertAlign w:val="superscript"/>
              </w:rPr>
              <w:t>nd</w:t>
            </w:r>
            <w:r>
              <w:t xml:space="preserve"> Round:</w:t>
            </w:r>
          </w:p>
          <w:p w14:paraId="35461E61" w14:textId="77777777" w:rsidR="001F570F" w:rsidRDefault="001F570F" w:rsidP="001F570F">
            <w:pPr>
              <w:pStyle w:val="NoSpacing"/>
            </w:pPr>
            <w:r>
              <w:t xml:space="preserve"> December, </w:t>
            </w:r>
          </w:p>
          <w:p w14:paraId="5E084B53" w14:textId="77777777" w:rsidR="001F570F" w:rsidRDefault="001F570F" w:rsidP="001F570F">
            <w:pPr>
              <w:ind w:left="970" w:hanging="970"/>
              <w:jc w:val="both"/>
            </w:pPr>
            <w:r>
              <w:t>2018</w:t>
            </w:r>
          </w:p>
          <w:p w14:paraId="7F3E920E" w14:textId="77777777" w:rsidR="001F570F" w:rsidRDefault="001F570F" w:rsidP="001F570F">
            <w:pPr>
              <w:pStyle w:val="NoSpacing"/>
            </w:pPr>
          </w:p>
          <w:p w14:paraId="1E761A4D" w14:textId="77777777" w:rsidR="001F570F" w:rsidRDefault="001F570F" w:rsidP="001F570F">
            <w:pPr>
              <w:pStyle w:val="NoSpacing"/>
            </w:pPr>
            <w:r>
              <w:t>3</w:t>
            </w:r>
            <w:r w:rsidRPr="00013ACB">
              <w:rPr>
                <w:vertAlign w:val="superscript"/>
              </w:rPr>
              <w:t>rd</w:t>
            </w:r>
            <w:r>
              <w:t xml:space="preserve"> Round: </w:t>
            </w:r>
          </w:p>
          <w:p w14:paraId="33DBAF26" w14:textId="77777777" w:rsidR="001F570F" w:rsidRDefault="001F570F" w:rsidP="001F570F">
            <w:pPr>
              <w:pStyle w:val="NoSpacing"/>
            </w:pPr>
            <w:r>
              <w:lastRenderedPageBreak/>
              <w:t xml:space="preserve">December, </w:t>
            </w:r>
          </w:p>
          <w:p w14:paraId="0DDB20F8" w14:textId="77777777" w:rsidR="001F570F" w:rsidRDefault="001F570F" w:rsidP="001F570F">
            <w:pPr>
              <w:ind w:left="970" w:hanging="970"/>
              <w:jc w:val="both"/>
            </w:pPr>
            <w:r>
              <w:t>2019</w:t>
            </w:r>
          </w:p>
          <w:p w14:paraId="2A8C8D9B" w14:textId="77777777" w:rsidR="001F570F" w:rsidRDefault="001F570F" w:rsidP="001F570F">
            <w:pPr>
              <w:pStyle w:val="NoSpacing"/>
            </w:pPr>
          </w:p>
          <w:p w14:paraId="6D214008" w14:textId="77777777" w:rsidR="001F570F" w:rsidRDefault="001F570F" w:rsidP="001F570F">
            <w:pPr>
              <w:pStyle w:val="NoSpacing"/>
            </w:pPr>
            <w:r>
              <w:t>4</w:t>
            </w:r>
            <w:r w:rsidRPr="00013ACB">
              <w:rPr>
                <w:vertAlign w:val="superscript"/>
              </w:rPr>
              <w:t>th</w:t>
            </w:r>
            <w:r>
              <w:t xml:space="preserve"> Round: </w:t>
            </w:r>
          </w:p>
          <w:p w14:paraId="2FA2731C" w14:textId="77777777" w:rsidR="001F570F" w:rsidRDefault="001F570F" w:rsidP="001F570F">
            <w:pPr>
              <w:pStyle w:val="NoSpacing"/>
            </w:pPr>
            <w:r>
              <w:t xml:space="preserve">December, </w:t>
            </w:r>
          </w:p>
          <w:p w14:paraId="0626CAEC" w14:textId="77777777" w:rsidR="001F570F" w:rsidRDefault="001F570F" w:rsidP="001F570F">
            <w:pPr>
              <w:ind w:left="970" w:hanging="970"/>
              <w:jc w:val="both"/>
            </w:pPr>
            <w:r>
              <w:t>2020</w:t>
            </w:r>
          </w:p>
          <w:p w14:paraId="194379BB" w14:textId="77777777" w:rsidR="001F570F" w:rsidRDefault="001F570F" w:rsidP="001F570F">
            <w:pPr>
              <w:pStyle w:val="NoSpacing"/>
            </w:pPr>
          </w:p>
          <w:p w14:paraId="4CA1C50A" w14:textId="77777777" w:rsidR="001F570F" w:rsidRDefault="001F570F" w:rsidP="001F570F">
            <w:pPr>
              <w:pStyle w:val="NoSpacing"/>
            </w:pPr>
            <w:r>
              <w:t>5</w:t>
            </w:r>
            <w:r w:rsidRPr="00013ACB">
              <w:rPr>
                <w:vertAlign w:val="superscript"/>
              </w:rPr>
              <w:t>th</w:t>
            </w:r>
            <w:r>
              <w:t xml:space="preserve"> Round: </w:t>
            </w:r>
          </w:p>
          <w:p w14:paraId="7510DCC2" w14:textId="77777777" w:rsidR="001F570F" w:rsidRDefault="001F570F" w:rsidP="001F570F">
            <w:pPr>
              <w:pStyle w:val="NoSpacing"/>
            </w:pPr>
            <w:r>
              <w:t xml:space="preserve">December, </w:t>
            </w:r>
          </w:p>
          <w:p w14:paraId="22F1ED4C" w14:textId="77777777" w:rsidR="001F570F" w:rsidRDefault="001F570F" w:rsidP="001F570F">
            <w:pPr>
              <w:ind w:left="970" w:hanging="970"/>
              <w:jc w:val="both"/>
            </w:pPr>
            <w:r>
              <w:t>2021</w:t>
            </w:r>
          </w:p>
          <w:p w14:paraId="3D161273" w14:textId="6CCA0CB5" w:rsidR="001F570F" w:rsidRDefault="001F570F" w:rsidP="001F570F">
            <w:pPr>
              <w:ind w:left="970" w:hanging="970"/>
              <w:jc w:val="both"/>
              <w:rPr>
                <w:color w:val="0070C0"/>
                <w:sz w:val="30"/>
                <w:szCs w:val="30"/>
              </w:rPr>
            </w:pPr>
          </w:p>
        </w:tc>
        <w:tc>
          <w:tcPr>
            <w:tcW w:w="0" w:type="auto"/>
          </w:tcPr>
          <w:p w14:paraId="12CEA2C4" w14:textId="77777777" w:rsidR="001F570F" w:rsidRDefault="001F570F" w:rsidP="001F570F">
            <w:pPr>
              <w:pStyle w:val="NoSpacing"/>
            </w:pPr>
            <w:r w:rsidRPr="001A771F">
              <w:lastRenderedPageBreak/>
              <w:t>Data already has been provided.</w:t>
            </w:r>
          </w:p>
        </w:tc>
      </w:tr>
      <w:tr w:rsidR="00433EA3" w14:paraId="46608630" w14:textId="77777777" w:rsidTr="00D52BCB">
        <w:tc>
          <w:tcPr>
            <w:tcW w:w="0" w:type="auto"/>
            <w:gridSpan w:val="13"/>
          </w:tcPr>
          <w:p w14:paraId="22A8F234" w14:textId="77777777" w:rsidR="00433EA3" w:rsidRDefault="00433EA3" w:rsidP="001F570F">
            <w:pPr>
              <w:jc w:val="both"/>
              <w:rPr>
                <w:color w:val="0070C0"/>
                <w:sz w:val="48"/>
                <w:szCs w:val="48"/>
              </w:rPr>
            </w:pPr>
            <w:r>
              <w:rPr>
                <w:color w:val="0070C0"/>
                <w:sz w:val="30"/>
                <w:szCs w:val="30"/>
              </w:rPr>
              <w:lastRenderedPageBreak/>
              <w:t xml:space="preserve">Target </w:t>
            </w:r>
            <w:r w:rsidRPr="0098013D">
              <w:rPr>
                <w:color w:val="0070C0"/>
                <w:sz w:val="30"/>
                <w:szCs w:val="30"/>
              </w:rPr>
              <w:t>15.2 By 2020, promote the implementation of sustainable management of all types of forests, halt deforestation, restore degraded forests and substantially increase afforestation and reforestation globally</w:t>
            </w:r>
          </w:p>
        </w:tc>
      </w:tr>
      <w:tr w:rsidR="001F570F" w14:paraId="69B08E69" w14:textId="77777777" w:rsidTr="00A64F0D">
        <w:tc>
          <w:tcPr>
            <w:tcW w:w="0" w:type="auto"/>
          </w:tcPr>
          <w:p w14:paraId="0008BC5A" w14:textId="77777777" w:rsidR="001F570F" w:rsidRDefault="001F570F" w:rsidP="001F570F">
            <w:pPr>
              <w:pStyle w:val="NoSpacing"/>
            </w:pPr>
            <w:r w:rsidRPr="00BA046C">
              <w:t>15.2.1 Progress towards sustainable forest management</w:t>
            </w:r>
          </w:p>
        </w:tc>
        <w:tc>
          <w:tcPr>
            <w:tcW w:w="0" w:type="auto"/>
          </w:tcPr>
          <w:p w14:paraId="6A2E8529" w14:textId="77777777" w:rsidR="001F570F" w:rsidRDefault="001F570F" w:rsidP="001F570F">
            <w:pPr>
              <w:pStyle w:val="NoSpacing"/>
            </w:pPr>
            <w:r w:rsidRPr="00E53957">
              <w:t>FAO</w:t>
            </w:r>
          </w:p>
          <w:p w14:paraId="15B76624" w14:textId="77777777" w:rsidR="001F570F" w:rsidRDefault="001F570F" w:rsidP="001F570F">
            <w:pPr>
              <w:rPr>
                <w:b/>
                <w:bCs/>
                <w:szCs w:val="20"/>
              </w:rPr>
            </w:pPr>
            <w:r w:rsidRPr="007243FC">
              <w:rPr>
                <w:b/>
                <w:bCs/>
                <w:szCs w:val="20"/>
              </w:rPr>
              <w:t>Partner Agencies:</w:t>
            </w:r>
          </w:p>
          <w:p w14:paraId="37D637F0" w14:textId="77777777" w:rsidR="001F570F" w:rsidRDefault="001F570F" w:rsidP="001F570F">
            <w:pPr>
              <w:pStyle w:val="NoSpacing"/>
            </w:pPr>
            <w:r>
              <w:t>UNEP,</w:t>
            </w:r>
          </w:p>
          <w:p w14:paraId="302CC941" w14:textId="77777777" w:rsidR="001F570F" w:rsidRDefault="001F570F" w:rsidP="001F570F">
            <w:pPr>
              <w:pStyle w:val="NoSpacing"/>
            </w:pPr>
            <w:r>
              <w:t>UNFCCC</w:t>
            </w:r>
          </w:p>
        </w:tc>
        <w:tc>
          <w:tcPr>
            <w:tcW w:w="0" w:type="auto"/>
          </w:tcPr>
          <w:p w14:paraId="41319F00" w14:textId="77777777" w:rsidR="001F570F" w:rsidRDefault="001F570F" w:rsidP="001F570F">
            <w:pPr>
              <w:ind w:left="970" w:hanging="970"/>
              <w:jc w:val="both"/>
              <w:rPr>
                <w:color w:val="0070C0"/>
                <w:sz w:val="30"/>
                <w:szCs w:val="30"/>
              </w:rPr>
            </w:pPr>
            <w:r>
              <w:t>Tier I</w:t>
            </w:r>
          </w:p>
        </w:tc>
        <w:tc>
          <w:tcPr>
            <w:tcW w:w="0" w:type="auto"/>
          </w:tcPr>
          <w:p w14:paraId="27AD9B6B" w14:textId="77777777" w:rsidR="001F570F" w:rsidRPr="00D151AA" w:rsidRDefault="001F570F" w:rsidP="001F570F">
            <w:pPr>
              <w:pStyle w:val="NoSpacing"/>
            </w:pPr>
            <w:r w:rsidRPr="00D151AA">
              <w:rPr>
                <w:b/>
                <w:bCs/>
              </w:rPr>
              <w:t xml:space="preserve">Definition: </w:t>
            </w:r>
          </w:p>
          <w:p w14:paraId="4A30183C" w14:textId="77777777" w:rsidR="001F570F" w:rsidRPr="00D151AA" w:rsidRDefault="001F570F" w:rsidP="001F570F">
            <w:pPr>
              <w:pStyle w:val="NoSpacing"/>
            </w:pPr>
            <w:r w:rsidRPr="00D151AA">
              <w:t xml:space="preserve">“Sustainable forest management” (SFM) is a central concept for Goal 15 and target 15.1 as well as for target 15.2. It has been formally defined, by the UN General Assembly, as follows: </w:t>
            </w:r>
          </w:p>
          <w:p w14:paraId="321E90C3" w14:textId="77777777" w:rsidR="001F570F" w:rsidRPr="00D151AA" w:rsidRDefault="001F570F" w:rsidP="001F570F">
            <w:pPr>
              <w:pStyle w:val="NoSpacing"/>
            </w:pPr>
          </w:p>
          <w:p w14:paraId="59A44FF2" w14:textId="77777777" w:rsidR="001F570F" w:rsidRPr="00D151AA" w:rsidRDefault="001F570F" w:rsidP="001F570F">
            <w:pPr>
              <w:pStyle w:val="NoSpacing"/>
            </w:pPr>
            <w:r w:rsidRPr="00D151AA">
              <w:rPr>
                <w:i/>
                <w:iCs/>
              </w:rPr>
              <w:t>[a] dynamic and evolving concept [that] aims to maintain and enhance the economic, social and environmental values of all types of forests, for the benefit of present and future generations</w:t>
            </w:r>
            <w:r w:rsidRPr="00D151AA">
              <w:t xml:space="preserve">” (Resolution A/RES/62/98) </w:t>
            </w:r>
          </w:p>
          <w:p w14:paraId="0F9BDF38" w14:textId="77777777" w:rsidR="001F570F" w:rsidRPr="00D151AA" w:rsidRDefault="001F570F" w:rsidP="001F570F">
            <w:pPr>
              <w:pStyle w:val="NoSpacing"/>
            </w:pPr>
          </w:p>
          <w:p w14:paraId="69CF14D3" w14:textId="77777777" w:rsidR="001F570F" w:rsidRPr="00D151AA" w:rsidRDefault="001F570F" w:rsidP="001F570F">
            <w:pPr>
              <w:pStyle w:val="NoSpacing"/>
            </w:pPr>
            <w:r w:rsidRPr="00D151AA">
              <w:t xml:space="preserve">The indicator is composed of five sub-indicators that measure progress towards all dimensions of sustainable forest management. The environmental values of forests are covered by three sub-indicators focused on the extension of forest area, biomass within the forest area and protection and maintenance of biological diversity, and of natural and associated cultural resources. Social and economic values of forests are reconciled with environmental values through sustainable management plans. The sub-indicator provides further qualification to management of forest areas, by assessing areas which are independently verified for compliance with a set of national or international standards. </w:t>
            </w:r>
          </w:p>
          <w:p w14:paraId="485EC64F" w14:textId="77777777" w:rsidR="001F570F" w:rsidRPr="00D151AA" w:rsidRDefault="001F570F" w:rsidP="001F570F">
            <w:pPr>
              <w:pStyle w:val="NoSpacing"/>
            </w:pPr>
          </w:p>
          <w:p w14:paraId="76EA8E80" w14:textId="77777777" w:rsidR="001F570F" w:rsidRPr="00D151AA" w:rsidRDefault="001F570F" w:rsidP="001F570F">
            <w:pPr>
              <w:pStyle w:val="NoSpacing"/>
            </w:pPr>
            <w:r w:rsidRPr="00D151AA">
              <w:t xml:space="preserve">The sub-indicators are: </w:t>
            </w:r>
          </w:p>
          <w:p w14:paraId="1F69C17C" w14:textId="77777777" w:rsidR="001F570F" w:rsidRPr="00D151AA" w:rsidRDefault="001F570F" w:rsidP="001F570F">
            <w:pPr>
              <w:pStyle w:val="NoSpacing"/>
              <w:numPr>
                <w:ilvl w:val="0"/>
                <w:numId w:val="76"/>
              </w:numPr>
            </w:pPr>
            <w:r w:rsidRPr="00D151AA">
              <w:t xml:space="preserve">Forest area annual net change rate </w:t>
            </w:r>
          </w:p>
          <w:p w14:paraId="373064A0" w14:textId="77777777" w:rsidR="001F570F" w:rsidRPr="00D151AA" w:rsidRDefault="001F570F" w:rsidP="001F570F">
            <w:pPr>
              <w:pStyle w:val="NoSpacing"/>
              <w:numPr>
                <w:ilvl w:val="0"/>
                <w:numId w:val="76"/>
              </w:numPr>
            </w:pPr>
            <w:r w:rsidRPr="00D151AA">
              <w:t xml:space="preserve">Above-ground biomass stock in forest </w:t>
            </w:r>
          </w:p>
          <w:p w14:paraId="569118E7" w14:textId="77777777" w:rsidR="001F570F" w:rsidRPr="00D151AA" w:rsidRDefault="001F570F" w:rsidP="001F570F">
            <w:pPr>
              <w:pStyle w:val="NoSpacing"/>
              <w:numPr>
                <w:ilvl w:val="0"/>
                <w:numId w:val="76"/>
              </w:numPr>
            </w:pPr>
            <w:r w:rsidRPr="00D151AA">
              <w:t xml:space="preserve">Proportion of forest area located within legally established protect areas </w:t>
            </w:r>
          </w:p>
          <w:p w14:paraId="17753A66" w14:textId="77777777" w:rsidR="001F570F" w:rsidRPr="00D151AA" w:rsidRDefault="001F570F" w:rsidP="001F570F">
            <w:pPr>
              <w:pStyle w:val="NoSpacing"/>
              <w:numPr>
                <w:ilvl w:val="0"/>
                <w:numId w:val="76"/>
              </w:numPr>
            </w:pPr>
            <w:r w:rsidRPr="00D151AA">
              <w:t xml:space="preserve">Proportion of forest area under a long term forest management plan </w:t>
            </w:r>
          </w:p>
          <w:p w14:paraId="074E24CA" w14:textId="77777777" w:rsidR="001F570F" w:rsidRPr="00D151AA" w:rsidRDefault="001F570F" w:rsidP="001F570F">
            <w:pPr>
              <w:pStyle w:val="NoSpacing"/>
              <w:numPr>
                <w:ilvl w:val="0"/>
                <w:numId w:val="76"/>
              </w:numPr>
            </w:pPr>
            <w:r w:rsidRPr="00D151AA">
              <w:t xml:space="preserve">Forest area under an independently verified forest management certification scheme </w:t>
            </w:r>
          </w:p>
          <w:p w14:paraId="5BE602AB" w14:textId="77777777" w:rsidR="001F570F" w:rsidRPr="00D151AA" w:rsidRDefault="001F570F" w:rsidP="001F570F">
            <w:pPr>
              <w:pStyle w:val="NoSpacing"/>
            </w:pPr>
          </w:p>
          <w:p w14:paraId="2201372F" w14:textId="77777777" w:rsidR="001F570F" w:rsidRPr="00D151AA" w:rsidRDefault="001F570F" w:rsidP="001F570F">
            <w:pPr>
              <w:pStyle w:val="NoSpacing"/>
            </w:pPr>
            <w:r w:rsidRPr="00D151AA">
              <w:t xml:space="preserve">A dashboard is used to assess progress related to the five sub-indicators. The adoption of the dashboard approach provides for clear view of areas where progress towards sustainable development goals has been achieved. </w:t>
            </w:r>
          </w:p>
          <w:p w14:paraId="23AED07B" w14:textId="77777777" w:rsidR="001F570F" w:rsidRPr="00D151AA" w:rsidRDefault="001F570F" w:rsidP="001F570F">
            <w:pPr>
              <w:pStyle w:val="NoSpacing"/>
              <w:rPr>
                <w:b/>
                <w:bCs/>
              </w:rPr>
            </w:pPr>
          </w:p>
          <w:p w14:paraId="0480C053" w14:textId="77777777" w:rsidR="001F570F" w:rsidRPr="00D151AA" w:rsidRDefault="001F570F" w:rsidP="001F570F">
            <w:pPr>
              <w:pStyle w:val="NoSpacing"/>
            </w:pPr>
          </w:p>
          <w:p w14:paraId="5A5EE81F" w14:textId="77777777" w:rsidR="001F570F" w:rsidRPr="00D151AA" w:rsidRDefault="001F570F" w:rsidP="001F570F">
            <w:pPr>
              <w:pStyle w:val="NoSpacing"/>
            </w:pPr>
            <w:r w:rsidRPr="00D151AA">
              <w:rPr>
                <w:b/>
                <w:bCs/>
              </w:rPr>
              <w:t xml:space="preserve">Concepts: </w:t>
            </w:r>
          </w:p>
          <w:p w14:paraId="05FBE168" w14:textId="77777777" w:rsidR="001F570F" w:rsidRPr="00D151AA" w:rsidRDefault="001F570F" w:rsidP="001F570F">
            <w:pPr>
              <w:pStyle w:val="NoSpacing"/>
            </w:pPr>
            <w:r w:rsidRPr="00D151AA">
              <w:t xml:space="preserve">See Annex 1 with Terms and Definitions. </w:t>
            </w:r>
          </w:p>
          <w:p w14:paraId="2B02F4BA" w14:textId="77777777" w:rsidR="001F570F" w:rsidRPr="00D151AA" w:rsidRDefault="001F570F" w:rsidP="001F570F">
            <w:pPr>
              <w:pStyle w:val="NoSpacing"/>
              <w:rPr>
                <w:b/>
                <w:bCs/>
              </w:rPr>
            </w:pPr>
          </w:p>
          <w:p w14:paraId="2B7341EA" w14:textId="77777777" w:rsidR="001F570F" w:rsidRPr="00D151AA" w:rsidRDefault="001F570F" w:rsidP="001F570F">
            <w:pPr>
              <w:pStyle w:val="NoSpacing"/>
            </w:pPr>
            <w:r w:rsidRPr="00D151AA">
              <w:rPr>
                <w:b/>
                <w:bCs/>
              </w:rPr>
              <w:t xml:space="preserve">Comments and limitations: </w:t>
            </w:r>
          </w:p>
          <w:p w14:paraId="7FB46647" w14:textId="77777777" w:rsidR="001F570F" w:rsidRPr="00D151AA" w:rsidRDefault="001F570F" w:rsidP="001F570F">
            <w:pPr>
              <w:pStyle w:val="NoSpacing"/>
            </w:pPr>
            <w:r w:rsidRPr="00D151AA">
              <w:t xml:space="preserve">The five sub-indicators chosen to illustrate progress towards sustainable forest management do not fully cover all aspects of sustainable forest management. In particular, social and economic aspects are poorly reflected in the current set of sub-indicators. Furthermore, there are some data gaps, and the trends of some of the sub-indicators reflect different sets of countries. While the dashboard illustrates the progress on the individual sub-indicators, there is no weighting of the relative importance of the sub-indicators. </w:t>
            </w:r>
          </w:p>
          <w:p w14:paraId="46C49B71" w14:textId="77777777" w:rsidR="001F570F" w:rsidRDefault="001F570F" w:rsidP="001F570F">
            <w:pPr>
              <w:pStyle w:val="NoSpacing"/>
              <w:rPr>
                <w:lang w:val="en-GB"/>
              </w:rPr>
            </w:pPr>
          </w:p>
          <w:p w14:paraId="7F8C1C62" w14:textId="77777777" w:rsidR="001F570F" w:rsidRPr="00D151AA" w:rsidRDefault="001F570F" w:rsidP="001F570F">
            <w:pPr>
              <w:pStyle w:val="NoSpacing"/>
              <w:rPr>
                <w:b/>
                <w:bCs/>
              </w:rPr>
            </w:pPr>
            <w:r w:rsidRPr="00D151AA">
              <w:rPr>
                <w:b/>
                <w:bCs/>
              </w:rPr>
              <w:t xml:space="preserve">Computation Method: </w:t>
            </w:r>
          </w:p>
          <w:p w14:paraId="3D29CFBE" w14:textId="77777777" w:rsidR="001F570F" w:rsidRPr="00D151AA" w:rsidRDefault="001F570F" w:rsidP="001F570F">
            <w:pPr>
              <w:pStyle w:val="NoSpacing"/>
            </w:pPr>
            <w:r w:rsidRPr="00D151AA">
              <w:t xml:space="preserve">At national level, forest area, biomass stock, forest area within protected areas, forest area under management plan and forest area under an independently verified forest management certification scheme are reported directly to FAO for pre-established reference years. Based on the country reported data, FAO then makes country-level estimates of the forest area net change rate using the compound interest formula, and also the proportion of forest area within protected area and under management plan. </w:t>
            </w:r>
          </w:p>
          <w:p w14:paraId="0813747C" w14:textId="77777777" w:rsidR="001F570F" w:rsidRPr="00D151AA" w:rsidRDefault="001F570F" w:rsidP="001F570F">
            <w:pPr>
              <w:pStyle w:val="NoSpacing"/>
            </w:pPr>
            <w:r w:rsidRPr="00D151AA">
              <w:t xml:space="preserve">No dashboard traffic lights are made at country level. </w:t>
            </w:r>
          </w:p>
          <w:p w14:paraId="6D685EF5" w14:textId="77777777" w:rsidR="001F570F" w:rsidRDefault="001F570F" w:rsidP="001F570F">
            <w:pPr>
              <w:pStyle w:val="NoSpacing"/>
            </w:pPr>
          </w:p>
        </w:tc>
        <w:tc>
          <w:tcPr>
            <w:tcW w:w="0" w:type="auto"/>
          </w:tcPr>
          <w:p w14:paraId="580FD9C2" w14:textId="77777777" w:rsidR="001F570F" w:rsidRPr="003E2C0C" w:rsidRDefault="001F570F" w:rsidP="001F570F">
            <w:pPr>
              <w:pStyle w:val="NoSpacing"/>
            </w:pPr>
            <w:r w:rsidRPr="00282BF7">
              <w:lastRenderedPageBreak/>
              <w:t>Data are collected periodically (until now every 5 years) by FAO’s Global Forest Resources Assessment (FRA) programme.</w:t>
            </w:r>
          </w:p>
        </w:tc>
        <w:tc>
          <w:tcPr>
            <w:tcW w:w="0" w:type="auto"/>
          </w:tcPr>
          <w:p w14:paraId="7321D1F2" w14:textId="77777777" w:rsidR="001F570F" w:rsidRPr="003E2C0C" w:rsidRDefault="001F570F" w:rsidP="001F570F">
            <w:pPr>
              <w:pStyle w:val="NoSpacing"/>
            </w:pPr>
            <w:r w:rsidRPr="00282BF7">
              <w:t>National Forest Authorities, through officially nominated National Correspondents to FRA.</w:t>
            </w:r>
          </w:p>
        </w:tc>
        <w:tc>
          <w:tcPr>
            <w:tcW w:w="0" w:type="auto"/>
          </w:tcPr>
          <w:p w14:paraId="72CDD745" w14:textId="09908994" w:rsidR="001F570F" w:rsidRDefault="001F570F" w:rsidP="001F570F">
            <w:pPr>
              <w:pStyle w:val="NoSpacing"/>
              <w:rPr>
                <w:rFonts w:eastAsia="Times New Roman" w:cs="Times New Roman"/>
                <w:szCs w:val="20"/>
              </w:rPr>
            </w:pPr>
          </w:p>
          <w:p w14:paraId="5DC85C9D" w14:textId="77777777" w:rsidR="001F570F" w:rsidRPr="008516E5" w:rsidRDefault="001F570F" w:rsidP="001F570F">
            <w:pPr>
              <w:spacing w:line="276" w:lineRule="auto"/>
              <w:rPr>
                <w:sz w:val="18"/>
                <w:szCs w:val="22"/>
              </w:rPr>
            </w:pPr>
            <w:r w:rsidRPr="008516E5">
              <w:rPr>
                <w:sz w:val="18"/>
                <w:szCs w:val="22"/>
              </w:rPr>
              <w:t>National forest inventory 2016-2019 for the country</w:t>
            </w:r>
          </w:p>
          <w:p w14:paraId="6A95D843" w14:textId="77777777" w:rsidR="001F570F" w:rsidRPr="008516E5" w:rsidRDefault="001F570F" w:rsidP="001F570F">
            <w:pPr>
              <w:spacing w:line="276" w:lineRule="auto"/>
              <w:rPr>
                <w:sz w:val="18"/>
                <w:szCs w:val="22"/>
              </w:rPr>
            </w:pPr>
          </w:p>
          <w:p w14:paraId="11966B64" w14:textId="77777777" w:rsidR="001F570F" w:rsidRPr="008516E5" w:rsidRDefault="001F570F" w:rsidP="001F570F">
            <w:pPr>
              <w:spacing w:line="276" w:lineRule="auto"/>
              <w:rPr>
                <w:sz w:val="18"/>
                <w:szCs w:val="22"/>
              </w:rPr>
            </w:pPr>
            <w:r w:rsidRPr="008516E5">
              <w:rPr>
                <w:sz w:val="18"/>
                <w:szCs w:val="22"/>
              </w:rPr>
              <w:t>Gazettes for protected areas and land cover map 2015</w:t>
            </w:r>
          </w:p>
          <w:p w14:paraId="52A2A821" w14:textId="77777777" w:rsidR="001F570F" w:rsidRPr="008516E5" w:rsidRDefault="001F570F" w:rsidP="001F570F">
            <w:pPr>
              <w:spacing w:line="276" w:lineRule="auto"/>
              <w:rPr>
                <w:sz w:val="18"/>
                <w:szCs w:val="22"/>
              </w:rPr>
            </w:pPr>
          </w:p>
          <w:p w14:paraId="4518DACC" w14:textId="77777777" w:rsidR="001F570F" w:rsidRPr="008516E5" w:rsidRDefault="001F570F" w:rsidP="001F570F">
            <w:pPr>
              <w:spacing w:line="276" w:lineRule="auto"/>
              <w:rPr>
                <w:sz w:val="18"/>
                <w:szCs w:val="22"/>
              </w:rPr>
            </w:pPr>
            <w:r w:rsidRPr="008516E5">
              <w:rPr>
                <w:sz w:val="18"/>
                <w:szCs w:val="22"/>
              </w:rPr>
              <w:t>Existing management plans and land cover map 2015 of Forest Department</w:t>
            </w:r>
          </w:p>
          <w:p w14:paraId="658E91A8" w14:textId="77777777" w:rsidR="001F570F" w:rsidRPr="00BC6F10" w:rsidRDefault="001F570F" w:rsidP="001F570F">
            <w:pPr>
              <w:pStyle w:val="NoSpacing"/>
            </w:pPr>
          </w:p>
        </w:tc>
        <w:tc>
          <w:tcPr>
            <w:tcW w:w="0" w:type="auto"/>
          </w:tcPr>
          <w:p w14:paraId="2976DA29" w14:textId="77777777" w:rsidR="001F570F" w:rsidRDefault="001F570F" w:rsidP="001F570F">
            <w:pPr>
              <w:pStyle w:val="NoSpacing"/>
            </w:pPr>
            <w:r w:rsidRPr="007B19A9">
              <w:t>BFD,</w:t>
            </w:r>
            <w:r w:rsidRPr="00BC6F10">
              <w:t xml:space="preserve"> </w:t>
            </w:r>
            <w:r>
              <w:t>MoEFCC</w:t>
            </w:r>
          </w:p>
          <w:p w14:paraId="4F9C2199" w14:textId="77777777" w:rsidR="001F570F" w:rsidRDefault="001F570F" w:rsidP="001F570F">
            <w:pPr>
              <w:pStyle w:val="NoSpacing"/>
            </w:pPr>
          </w:p>
          <w:p w14:paraId="33C1C818" w14:textId="77777777" w:rsidR="001F570F" w:rsidRPr="00BC6F10" w:rsidRDefault="001F570F" w:rsidP="001F570F">
            <w:pPr>
              <w:pStyle w:val="NoSpacing"/>
            </w:pPr>
            <w:r>
              <w:rPr>
                <w:rFonts w:eastAsia="Times New Roman" w:cs="Times New Roman"/>
                <w:szCs w:val="20"/>
              </w:rPr>
              <w:t>Administrative Data</w:t>
            </w:r>
          </w:p>
        </w:tc>
        <w:tc>
          <w:tcPr>
            <w:tcW w:w="0" w:type="auto"/>
          </w:tcPr>
          <w:p w14:paraId="2C260E92" w14:textId="77777777" w:rsidR="001F570F" w:rsidRDefault="001F570F" w:rsidP="001F570F">
            <w:pPr>
              <w:ind w:left="970" w:hanging="970"/>
              <w:jc w:val="both"/>
              <w:rPr>
                <w:color w:val="0070C0"/>
                <w:sz w:val="30"/>
                <w:szCs w:val="30"/>
              </w:rPr>
            </w:pPr>
            <w:r>
              <w:t>Not Applicable</w:t>
            </w:r>
          </w:p>
        </w:tc>
        <w:tc>
          <w:tcPr>
            <w:tcW w:w="0" w:type="auto"/>
          </w:tcPr>
          <w:p w14:paraId="4B09C650" w14:textId="77777777" w:rsidR="001F570F" w:rsidRDefault="001F570F" w:rsidP="001F570F">
            <w:pPr>
              <w:ind w:left="970" w:hanging="970"/>
              <w:jc w:val="both"/>
              <w:rPr>
                <w:color w:val="0070C0"/>
                <w:sz w:val="30"/>
                <w:szCs w:val="30"/>
              </w:rPr>
            </w:pPr>
            <w:r>
              <w:t>Five Year</w:t>
            </w:r>
          </w:p>
        </w:tc>
        <w:tc>
          <w:tcPr>
            <w:tcW w:w="0" w:type="auto"/>
          </w:tcPr>
          <w:p w14:paraId="5109CBA5" w14:textId="77777777" w:rsidR="001F570F" w:rsidRDefault="001F570F" w:rsidP="001F570F">
            <w:pPr>
              <w:ind w:left="970" w:hanging="970"/>
              <w:jc w:val="both"/>
              <w:rPr>
                <w:color w:val="0070C0"/>
                <w:sz w:val="30"/>
                <w:szCs w:val="30"/>
              </w:rPr>
            </w:pPr>
            <w:r>
              <w:t>Group 1</w:t>
            </w:r>
          </w:p>
        </w:tc>
        <w:tc>
          <w:tcPr>
            <w:tcW w:w="0" w:type="auto"/>
          </w:tcPr>
          <w:p w14:paraId="1666DFDA" w14:textId="77777777" w:rsidR="001F570F" w:rsidRDefault="001F570F" w:rsidP="001F570F">
            <w:pPr>
              <w:pStyle w:val="NoSpacing"/>
            </w:pPr>
            <w:r>
              <w:t>1</w:t>
            </w:r>
            <w:r w:rsidRPr="00013ACB">
              <w:rPr>
                <w:vertAlign w:val="superscript"/>
              </w:rPr>
              <w:t>st</w:t>
            </w:r>
            <w:r>
              <w:t xml:space="preserve"> Round:</w:t>
            </w:r>
          </w:p>
          <w:p w14:paraId="03A65F5A" w14:textId="77777777" w:rsidR="001F570F" w:rsidRDefault="001F570F" w:rsidP="001F570F">
            <w:pPr>
              <w:pStyle w:val="NoSpacing"/>
            </w:pPr>
            <w:r>
              <w:t>2019</w:t>
            </w:r>
          </w:p>
          <w:p w14:paraId="20A4B92B" w14:textId="77777777" w:rsidR="001F570F" w:rsidRDefault="001F570F" w:rsidP="001F570F">
            <w:pPr>
              <w:pStyle w:val="NoSpacing"/>
            </w:pPr>
          </w:p>
          <w:p w14:paraId="6A60664F" w14:textId="77777777" w:rsidR="001F570F" w:rsidRDefault="001F570F" w:rsidP="001F570F">
            <w:pPr>
              <w:pStyle w:val="NoSpacing"/>
            </w:pPr>
            <w:r>
              <w:t>2</w:t>
            </w:r>
            <w:r w:rsidRPr="00013ACB">
              <w:rPr>
                <w:vertAlign w:val="superscript"/>
              </w:rPr>
              <w:t>nd</w:t>
            </w:r>
            <w:r>
              <w:t xml:space="preserve"> Round:</w:t>
            </w:r>
          </w:p>
          <w:p w14:paraId="0F41CDAD" w14:textId="77777777" w:rsidR="001F570F" w:rsidRDefault="001F570F" w:rsidP="001F570F">
            <w:pPr>
              <w:pStyle w:val="NoSpacing"/>
            </w:pPr>
            <w:r>
              <w:t xml:space="preserve"> December, </w:t>
            </w:r>
          </w:p>
          <w:p w14:paraId="6A7C2BAE" w14:textId="77777777" w:rsidR="001F570F" w:rsidRDefault="001F570F" w:rsidP="001F570F">
            <w:pPr>
              <w:pStyle w:val="NoSpacing"/>
            </w:pPr>
            <w:r>
              <w:t>2023</w:t>
            </w:r>
          </w:p>
          <w:p w14:paraId="38A49724" w14:textId="77777777" w:rsidR="001F570F" w:rsidRDefault="001F570F" w:rsidP="001F570F">
            <w:pPr>
              <w:pStyle w:val="NoSpacing"/>
            </w:pPr>
          </w:p>
          <w:p w14:paraId="1D470D42" w14:textId="77777777" w:rsidR="001F570F" w:rsidRDefault="001F570F" w:rsidP="001F570F">
            <w:pPr>
              <w:pStyle w:val="NoSpacing"/>
            </w:pPr>
            <w:r>
              <w:t>3</w:t>
            </w:r>
            <w:r w:rsidRPr="00013ACB">
              <w:rPr>
                <w:vertAlign w:val="superscript"/>
              </w:rPr>
              <w:t>rd</w:t>
            </w:r>
            <w:r>
              <w:t xml:space="preserve"> Round: </w:t>
            </w:r>
          </w:p>
          <w:p w14:paraId="49D453E6" w14:textId="77777777" w:rsidR="001F570F" w:rsidRDefault="001F570F" w:rsidP="001F570F">
            <w:pPr>
              <w:pStyle w:val="NoSpacing"/>
            </w:pPr>
            <w:r>
              <w:t xml:space="preserve">December, </w:t>
            </w:r>
          </w:p>
          <w:p w14:paraId="71A37DDC" w14:textId="77777777" w:rsidR="001F570F" w:rsidRDefault="001F570F" w:rsidP="001F570F">
            <w:pPr>
              <w:pStyle w:val="NoSpacing"/>
            </w:pPr>
            <w:r>
              <w:t>2028</w:t>
            </w:r>
          </w:p>
          <w:p w14:paraId="282062ED" w14:textId="77777777" w:rsidR="001F570F" w:rsidRDefault="001F570F" w:rsidP="001F570F">
            <w:pPr>
              <w:pStyle w:val="NoSpacing"/>
            </w:pPr>
          </w:p>
          <w:p w14:paraId="7D7FD744" w14:textId="77777777" w:rsidR="001F570F" w:rsidRDefault="001F570F" w:rsidP="001F570F">
            <w:pPr>
              <w:pStyle w:val="NoSpacing"/>
            </w:pPr>
            <w:r>
              <w:t>4</w:t>
            </w:r>
            <w:r w:rsidRPr="00013ACB">
              <w:rPr>
                <w:vertAlign w:val="superscript"/>
              </w:rPr>
              <w:t>th</w:t>
            </w:r>
            <w:r>
              <w:t xml:space="preserve"> Round: </w:t>
            </w:r>
          </w:p>
          <w:p w14:paraId="2C723C3F" w14:textId="77777777" w:rsidR="001F570F" w:rsidRDefault="001F570F" w:rsidP="001F570F">
            <w:pPr>
              <w:pStyle w:val="NoSpacing"/>
            </w:pPr>
            <w:r>
              <w:t xml:space="preserve">December, </w:t>
            </w:r>
          </w:p>
          <w:p w14:paraId="5CF8EB67" w14:textId="6122F208" w:rsidR="001F570F" w:rsidRDefault="001F570F" w:rsidP="001F570F">
            <w:pPr>
              <w:pStyle w:val="NoSpacing"/>
            </w:pPr>
            <w:r>
              <w:t>2030</w:t>
            </w:r>
          </w:p>
        </w:tc>
        <w:tc>
          <w:tcPr>
            <w:tcW w:w="0" w:type="auto"/>
          </w:tcPr>
          <w:p w14:paraId="546BBE6F" w14:textId="77777777" w:rsidR="001F570F" w:rsidRDefault="001F570F" w:rsidP="001F570F">
            <w:pPr>
              <w:pStyle w:val="NoSpacing"/>
            </w:pPr>
            <w:r w:rsidRPr="006C3B77">
              <w:t>Data can be generated periodically based field inventory</w:t>
            </w:r>
            <w:r>
              <w:t>. Data on carbon stock is not available prior to 2018. Hence, here we are providing only total stock instead of percentage change.</w:t>
            </w:r>
          </w:p>
          <w:p w14:paraId="4475975E" w14:textId="77777777" w:rsidR="001F570F" w:rsidRDefault="001F570F" w:rsidP="001F570F">
            <w:pPr>
              <w:pStyle w:val="NoSpacing"/>
            </w:pPr>
          </w:p>
          <w:p w14:paraId="6E3CD254" w14:textId="77777777" w:rsidR="001F570F" w:rsidRDefault="001F570F" w:rsidP="001F570F">
            <w:pPr>
              <w:pStyle w:val="NoSpacing"/>
            </w:pPr>
            <w:r>
              <w:t>Data availability reviewed in Nov. 2017 (classified as Tier I)</w:t>
            </w:r>
          </w:p>
          <w:p w14:paraId="2E5DD0E9" w14:textId="77777777" w:rsidR="001F570F" w:rsidRDefault="001F570F" w:rsidP="001F570F">
            <w:pPr>
              <w:pStyle w:val="NoSpacing"/>
            </w:pPr>
          </w:p>
          <w:p w14:paraId="60243FCD" w14:textId="77777777" w:rsidR="001F570F" w:rsidRDefault="001F570F" w:rsidP="001F570F">
            <w:pPr>
              <w:pStyle w:val="NoSpacing"/>
            </w:pPr>
            <w:r>
              <w:t xml:space="preserve">IAEG-SDG 4th meeting: There is agreement on the components of the indicator, with limited data availability </w:t>
            </w:r>
            <w:r>
              <w:lastRenderedPageBreak/>
              <w:t>for some components (classified as Tier II)</w:t>
            </w:r>
          </w:p>
        </w:tc>
      </w:tr>
      <w:tr w:rsidR="001F570F" w14:paraId="0412FA18" w14:textId="77777777" w:rsidTr="00A64F0D">
        <w:tc>
          <w:tcPr>
            <w:tcW w:w="0" w:type="auto"/>
          </w:tcPr>
          <w:p w14:paraId="35544469" w14:textId="77777777" w:rsidR="001F570F" w:rsidRDefault="001F570F" w:rsidP="001F570F">
            <w:pPr>
              <w:ind w:left="970" w:hanging="970"/>
              <w:jc w:val="both"/>
              <w:rPr>
                <w:color w:val="0070C0"/>
                <w:sz w:val="30"/>
                <w:szCs w:val="30"/>
              </w:rPr>
            </w:pPr>
          </w:p>
        </w:tc>
        <w:tc>
          <w:tcPr>
            <w:tcW w:w="0" w:type="auto"/>
            <w:gridSpan w:val="12"/>
          </w:tcPr>
          <w:p w14:paraId="7CD14A0E"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15.3 By 2030, combat desertification, restore degraded land and soil, including land affected by desertification, drought and floods, and strive to achieve a land degradation-neutral world</w:t>
            </w:r>
          </w:p>
        </w:tc>
      </w:tr>
      <w:tr w:rsidR="001F570F" w14:paraId="2308435A" w14:textId="77777777" w:rsidTr="00A64F0D">
        <w:tc>
          <w:tcPr>
            <w:tcW w:w="0" w:type="auto"/>
          </w:tcPr>
          <w:p w14:paraId="671119B2" w14:textId="77777777" w:rsidR="001F570F" w:rsidRDefault="001F570F" w:rsidP="001F570F">
            <w:pPr>
              <w:pStyle w:val="NoSpacing"/>
            </w:pPr>
            <w:r w:rsidRPr="00BA046C">
              <w:t>15.3.1 Proportion of land that is degraded over total land area</w:t>
            </w:r>
          </w:p>
        </w:tc>
        <w:tc>
          <w:tcPr>
            <w:tcW w:w="0" w:type="auto"/>
          </w:tcPr>
          <w:p w14:paraId="1613BD99" w14:textId="77777777" w:rsidR="001F570F" w:rsidRDefault="001F570F" w:rsidP="001F570F">
            <w:pPr>
              <w:pStyle w:val="NoSpacing"/>
            </w:pPr>
            <w:r w:rsidRPr="00E53957">
              <w:t>UNCCD</w:t>
            </w:r>
          </w:p>
          <w:p w14:paraId="0E5D5AB2" w14:textId="77777777" w:rsidR="001F570F" w:rsidRDefault="001F570F" w:rsidP="001F570F">
            <w:pPr>
              <w:rPr>
                <w:b/>
                <w:bCs/>
                <w:szCs w:val="20"/>
              </w:rPr>
            </w:pPr>
            <w:r w:rsidRPr="007243FC">
              <w:rPr>
                <w:b/>
                <w:bCs/>
                <w:szCs w:val="20"/>
              </w:rPr>
              <w:t>Partner Agencies:</w:t>
            </w:r>
          </w:p>
          <w:p w14:paraId="2E6D166A" w14:textId="77777777" w:rsidR="001F570F" w:rsidRDefault="001F570F" w:rsidP="001F570F">
            <w:pPr>
              <w:pStyle w:val="NoSpacing"/>
            </w:pPr>
            <w:r>
              <w:t>FAO,</w:t>
            </w:r>
          </w:p>
          <w:p w14:paraId="2A019961" w14:textId="77777777" w:rsidR="001F570F" w:rsidRDefault="001F570F" w:rsidP="001F570F">
            <w:pPr>
              <w:pStyle w:val="NoSpacing"/>
            </w:pPr>
            <w:r>
              <w:t>UNEP</w:t>
            </w:r>
          </w:p>
        </w:tc>
        <w:tc>
          <w:tcPr>
            <w:tcW w:w="0" w:type="auto"/>
          </w:tcPr>
          <w:p w14:paraId="1A65F2E9" w14:textId="77777777" w:rsidR="001F570F" w:rsidRDefault="001F570F" w:rsidP="001F570F">
            <w:pPr>
              <w:ind w:left="970" w:hanging="970"/>
              <w:jc w:val="both"/>
              <w:rPr>
                <w:color w:val="0070C0"/>
                <w:sz w:val="30"/>
                <w:szCs w:val="30"/>
              </w:rPr>
            </w:pPr>
            <w:r>
              <w:t>Tier I</w:t>
            </w:r>
          </w:p>
        </w:tc>
        <w:tc>
          <w:tcPr>
            <w:tcW w:w="0" w:type="auto"/>
          </w:tcPr>
          <w:p w14:paraId="542491DC" w14:textId="77777777" w:rsidR="001F570F" w:rsidRPr="002C1AEC" w:rsidRDefault="001F570F" w:rsidP="001F570F">
            <w:pPr>
              <w:pStyle w:val="NoSpacing"/>
              <w:rPr>
                <w:b/>
                <w:bCs/>
                <w:lang w:val="en-GB"/>
              </w:rPr>
            </w:pPr>
            <w:r w:rsidRPr="002C1AEC">
              <w:rPr>
                <w:b/>
                <w:bCs/>
                <w:lang w:val="en-GB"/>
              </w:rPr>
              <w:t>Definitions:</w:t>
            </w:r>
          </w:p>
          <w:p w14:paraId="19FC8E20" w14:textId="77777777" w:rsidR="001F570F" w:rsidRPr="002C1AEC" w:rsidRDefault="001F570F" w:rsidP="001F570F">
            <w:pPr>
              <w:pStyle w:val="NoSpacing"/>
            </w:pPr>
            <w:r w:rsidRPr="002C1AEC">
              <w:rPr>
                <w:b/>
                <w:i/>
                <w:iCs/>
              </w:rPr>
              <w:t>Land degradation</w:t>
            </w:r>
            <w:r w:rsidRPr="002C1AEC">
              <w:t xml:space="preserve"> is defined as the reduction or loss of the biological or economic productivity and complexity of rain fed cropland, irrigated cropland, or range, pasture, forest and woodlands resulting from a combination of pressures, including land use and management practices. This definition was adopted by and is used by the 196 countries that are Party to the UNCCD.</w:t>
            </w:r>
            <w:r w:rsidRPr="002C1AEC">
              <w:rPr>
                <w:vertAlign w:val="superscript"/>
              </w:rPr>
              <w:footnoteReference w:id="30"/>
            </w:r>
            <w:r w:rsidRPr="002C1AEC">
              <w:t xml:space="preserve"> (see also Figure 1)</w:t>
            </w:r>
          </w:p>
          <w:p w14:paraId="08E51601" w14:textId="77777777" w:rsidR="001F570F" w:rsidRPr="002C1AEC" w:rsidRDefault="001F570F" w:rsidP="001F570F">
            <w:pPr>
              <w:pStyle w:val="NoSpacing"/>
            </w:pPr>
            <w:r w:rsidRPr="002C1AEC">
              <w:rPr>
                <w:b/>
                <w:i/>
                <w:iCs/>
              </w:rPr>
              <w:t>Land Degradation Neutrality</w:t>
            </w:r>
            <w:r w:rsidRPr="002C1AEC">
              <w:t xml:space="preserve"> (LDN) is defined as a state whereby the amount and quality of land resources necessary to support ecosystem functions and services and enhance food security remain stable or increase within specified temporal and spatial scales and ecosystems (decision 3/COP12).</w:t>
            </w:r>
            <w:r w:rsidRPr="002C1AEC">
              <w:rPr>
                <w:vertAlign w:val="superscript"/>
              </w:rPr>
              <w:footnoteReference w:id="31"/>
            </w:r>
          </w:p>
          <w:p w14:paraId="5789D690" w14:textId="77777777" w:rsidR="001F570F" w:rsidRPr="002C1AEC" w:rsidRDefault="001F570F" w:rsidP="001F570F">
            <w:pPr>
              <w:pStyle w:val="NoSpacing"/>
            </w:pPr>
            <w:r w:rsidRPr="002C1AEC">
              <w:rPr>
                <w:b/>
                <w:i/>
                <w:iCs/>
              </w:rPr>
              <w:lastRenderedPageBreak/>
              <w:t>Total land area</w:t>
            </w:r>
            <w:r w:rsidRPr="002C1AEC">
              <w:t xml:space="preserve"> is the total surface area of a country excluding the area covered by inland waters, like major rivers and lakes.</w:t>
            </w:r>
            <w:r w:rsidRPr="002C1AEC">
              <w:rPr>
                <w:vertAlign w:val="superscript"/>
              </w:rPr>
              <w:footnoteReference w:id="32"/>
            </w:r>
          </w:p>
          <w:p w14:paraId="5DF946F9" w14:textId="77777777" w:rsidR="001F570F" w:rsidRPr="002C1AEC" w:rsidRDefault="001F570F" w:rsidP="001F570F">
            <w:pPr>
              <w:pStyle w:val="NoSpacing"/>
            </w:pPr>
            <w:r w:rsidRPr="002C1AEC">
              <w:rPr>
                <w:b/>
                <w:i/>
                <w:iCs/>
              </w:rPr>
              <w:t>The</w:t>
            </w:r>
            <w:r w:rsidRPr="002C1AEC">
              <w:rPr>
                <w:i/>
                <w:iCs/>
              </w:rPr>
              <w:t xml:space="preserve"> </w:t>
            </w:r>
            <w:r w:rsidRPr="002C1AEC">
              <w:rPr>
                <w:b/>
                <w:i/>
                <w:iCs/>
              </w:rPr>
              <w:t>measurement unit</w:t>
            </w:r>
            <w:r w:rsidRPr="002C1AEC">
              <w:t xml:space="preserve"> for this indicator is the spatial extent (hectares or km2) expressed as the proportion (percentage or %) of land that is degraded over total land area.</w:t>
            </w:r>
          </w:p>
          <w:p w14:paraId="3F24B78B" w14:textId="77777777" w:rsidR="001F570F" w:rsidRPr="002C1AEC" w:rsidRDefault="001F570F" w:rsidP="001F570F">
            <w:pPr>
              <w:pStyle w:val="NoSpacing"/>
            </w:pPr>
            <w:r w:rsidRPr="002C1AEC">
              <w:rPr>
                <w:b/>
                <w:i/>
                <w:iCs/>
              </w:rPr>
              <w:t>SDG indicator 15.3.1</w:t>
            </w:r>
            <w:r w:rsidRPr="002C1AEC">
              <w:t xml:space="preserve"> is a binary - degraded/not degraded - quantification based on the analysis of available data for three sub-indicators to be validated and reported by national authorities. The sub-indicators (Trends in Land Cover, Land Productivity and Carbon Stocks) were adopted by the UNCCD’s governing body in 2013 as part of its monitoring and evaluation approach.</w:t>
            </w:r>
            <w:r w:rsidRPr="002C1AEC">
              <w:rPr>
                <w:vertAlign w:val="superscript"/>
              </w:rPr>
              <w:footnoteReference w:id="33"/>
            </w:r>
            <w:r w:rsidRPr="002C1AEC">
              <w:t xml:space="preserve"> </w:t>
            </w:r>
          </w:p>
          <w:p w14:paraId="7EA21759" w14:textId="77777777" w:rsidR="001F570F" w:rsidRPr="002C1AEC" w:rsidRDefault="001F570F" w:rsidP="001F570F">
            <w:pPr>
              <w:pStyle w:val="NoSpacing"/>
            </w:pPr>
            <w:r w:rsidRPr="002C1AEC">
              <w:rPr>
                <w:b/>
                <w:i/>
                <w:iCs/>
              </w:rPr>
              <w:t>The method of computation</w:t>
            </w:r>
            <w:r w:rsidRPr="002C1AEC">
              <w:t xml:space="preserve"> for this indicator follows the “One Out, All Out” statistical principle and is based on the baseline assessment and evaluation of change in the sub-indicators to determine the extent of land that is degraded over total land area.</w:t>
            </w:r>
          </w:p>
          <w:p w14:paraId="2B66B8F4" w14:textId="77777777" w:rsidR="001F570F" w:rsidRPr="002C1AEC" w:rsidRDefault="001F570F" w:rsidP="001F570F">
            <w:pPr>
              <w:pStyle w:val="NoSpacing"/>
            </w:pPr>
            <w:r w:rsidRPr="002C1AEC">
              <w:rPr>
                <w:b/>
                <w:i/>
                <w:iCs/>
              </w:rPr>
              <w:t>The One Out, All Out (1OAO)</w:t>
            </w:r>
            <w:r w:rsidRPr="002C1AEC">
              <w:rPr>
                <w:i/>
                <w:iCs/>
                <w:vertAlign w:val="superscript"/>
              </w:rPr>
              <w:footnoteReference w:id="34"/>
            </w:r>
            <w:r w:rsidRPr="002C1AEC">
              <w:t xml:space="preserve"> principle is applied taking into account changes in the sub-indicators which are depicted as (i) positive or improving, (ii) negative or declining, or (iii) stable or unchanging. If one of the sub-indicators is negative (or stable when degraded in the baseline or previous monitoring year) for a particular land unit, then it would be considered as degraded subject to validation by national authorities.</w:t>
            </w:r>
          </w:p>
          <w:p w14:paraId="1ED239CA" w14:textId="77777777" w:rsidR="001F570F" w:rsidRPr="002C1AEC" w:rsidRDefault="001F570F" w:rsidP="001F570F">
            <w:pPr>
              <w:pStyle w:val="NoSpacing"/>
              <w:rPr>
                <w:b/>
                <w:bCs/>
                <w:lang w:val="en-GB"/>
              </w:rPr>
            </w:pPr>
            <w:r w:rsidRPr="002C1AEC">
              <w:rPr>
                <w:b/>
                <w:bCs/>
                <w:lang w:val="en-GB"/>
              </w:rPr>
              <w:t>Concepts:</w:t>
            </w:r>
          </w:p>
          <w:p w14:paraId="01FFC95D" w14:textId="77777777" w:rsidR="001F570F" w:rsidRPr="002C1AEC" w:rsidRDefault="001F570F" w:rsidP="001F570F">
            <w:pPr>
              <w:pStyle w:val="NoSpacing"/>
            </w:pPr>
            <w:r w:rsidRPr="002C1AEC">
              <w:t>The assessment and quantification of land degradation is generally regarded as context-specific, making it difficult for a single indicator to fully capture the state or condition of the land. While necessary but not sufficient, the sub-indicators address changes in different yet highly relevant ways: for example, land cover or productivity trends can capture relatively fast changes while changes in carbon stocks reflect slower changes that suggest a trajectory or proximity to thresholds.</w:t>
            </w:r>
            <w:r w:rsidRPr="002C1AEC">
              <w:rPr>
                <w:vertAlign w:val="superscript"/>
              </w:rPr>
              <w:footnoteReference w:id="35"/>
            </w:r>
            <w:r w:rsidRPr="002C1AEC">
              <w:t xml:space="preserve"> </w:t>
            </w:r>
          </w:p>
          <w:p w14:paraId="4CDC9321" w14:textId="77777777" w:rsidR="001F570F" w:rsidRPr="002C1AEC" w:rsidRDefault="001F570F" w:rsidP="001F570F">
            <w:pPr>
              <w:pStyle w:val="NoSpacing"/>
            </w:pPr>
            <w:r w:rsidRPr="002C1AEC">
              <w:t>As proxies to monitor the key factors and driving variables that reflect the capacity to deliver land-based ecosystem services, the sub-indicators are globally agreed upon in definition and methodology of calculation, and deemed both technically and economically feasible for systematic observation under both the Global Climate Observation System (GCOS) and the integrated measurement framework of the System of Environmental-Economic Accounting (SEEA). The ultimate determination of the extent of degraded land made by national authorities should be contextualized with other indicators, data and ground-based information.</w:t>
            </w:r>
          </w:p>
          <w:p w14:paraId="4505487C" w14:textId="77777777" w:rsidR="001F570F" w:rsidRPr="002C1AEC" w:rsidRDefault="001F570F" w:rsidP="001F570F">
            <w:pPr>
              <w:pStyle w:val="NoSpacing"/>
            </w:pPr>
            <w:r w:rsidRPr="002C1AEC">
              <w:t xml:space="preserve">An operational definition of land degradation along with a description of the linkages among </w:t>
            </w:r>
            <w:r w:rsidRPr="002C1AEC">
              <w:lastRenderedPageBreak/>
              <w:t>the sub-indicators is given in Figure 1.</w:t>
            </w:r>
            <w:r w:rsidRPr="002C1AEC">
              <w:br w:type="page"/>
            </w:r>
          </w:p>
          <w:p w14:paraId="76BA9250" w14:textId="77777777" w:rsidR="001F570F" w:rsidRPr="002C1AEC" w:rsidRDefault="001F570F" w:rsidP="001F570F">
            <w:pPr>
              <w:pStyle w:val="NoSpacing"/>
              <w:rPr>
                <w:b/>
              </w:rPr>
            </w:pPr>
            <w:r w:rsidRPr="002C1AEC">
              <w:rPr>
                <w:b/>
              </w:rPr>
              <w:t>Figure 1: Operational definition of land degradation and linkage with the sub-indicators.</w:t>
            </w:r>
          </w:p>
          <w:p w14:paraId="6E8BFC06" w14:textId="77777777" w:rsidR="001F570F" w:rsidRPr="002C1AEC" w:rsidRDefault="001F570F" w:rsidP="001F570F">
            <w:pPr>
              <w:pStyle w:val="NoSpacing"/>
            </w:pPr>
            <w:r w:rsidRPr="002C1AEC">
              <w:rPr>
                <w:noProof/>
                <w:lang w:bidi="bn-BD"/>
              </w:rPr>
              <w:drawing>
                <wp:inline distT="0" distB="0" distL="0" distR="0" wp14:anchorId="72BE7662" wp14:editId="1AE47FC7">
                  <wp:extent cx="3286125" cy="397002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metadata.png"/>
                          <pic:cNvPicPr/>
                        </pic:nvPicPr>
                        <pic:blipFill>
                          <a:blip r:embed="rId123">
                            <a:extLst>
                              <a:ext uri="{28A0092B-C50C-407E-A947-70E740481C1C}">
                                <a14:useLocalDpi xmlns:a14="http://schemas.microsoft.com/office/drawing/2010/main" val="0"/>
                              </a:ext>
                            </a:extLst>
                          </a:blip>
                          <a:stretch>
                            <a:fillRect/>
                          </a:stretch>
                        </pic:blipFill>
                        <pic:spPr>
                          <a:xfrm>
                            <a:off x="0" y="0"/>
                            <a:ext cx="3286125" cy="3970020"/>
                          </a:xfrm>
                          <a:prstGeom prst="rect">
                            <a:avLst/>
                          </a:prstGeom>
                        </pic:spPr>
                      </pic:pic>
                    </a:graphicData>
                  </a:graphic>
                </wp:inline>
              </w:drawing>
            </w:r>
          </w:p>
          <w:p w14:paraId="0B5060DA" w14:textId="77777777" w:rsidR="001F570F" w:rsidRPr="002C1AEC" w:rsidRDefault="001F570F" w:rsidP="001F570F">
            <w:pPr>
              <w:pStyle w:val="NoSpacing"/>
            </w:pPr>
            <w:r w:rsidRPr="002C1AEC">
              <w:rPr>
                <w:b/>
                <w:i/>
                <w:iCs/>
              </w:rPr>
              <w:t>Land cover</w:t>
            </w:r>
            <w:r w:rsidRPr="002C1AEC">
              <w:t xml:space="preserve"> refers to the observed physical cover of the Earth’s surface which describes the distribution of vegetation types, water bodies and human-made infrastructure.</w:t>
            </w:r>
            <w:r w:rsidRPr="002C1AEC">
              <w:rPr>
                <w:vertAlign w:val="superscript"/>
              </w:rPr>
              <w:footnoteReference w:id="36"/>
            </w:r>
            <w:r w:rsidRPr="002C1AEC">
              <w:t xml:space="preserve"> It also </w:t>
            </w:r>
            <w:r w:rsidRPr="002C1AEC">
              <w:lastRenderedPageBreak/>
              <w:t>reflects the use of land resources (i.e., soil, water and biodiversity) for agriculture, forestry, human settlements and other purposes.</w:t>
            </w:r>
            <w:r w:rsidRPr="002C1AEC">
              <w:rPr>
                <w:vertAlign w:val="superscript"/>
              </w:rPr>
              <w:footnoteReference w:id="37"/>
            </w:r>
            <w:r w:rsidRPr="002C1AEC">
              <w:t xml:space="preserve"> This sub-indicator serves two functions for SDG indicator 15.3.1: (1) changes in land cover may point to land degradation when there is a loss of ecosystem services that are considered desirable in a local or national context; and (2) a land cover classification system can be used to disaggregate the other two sub-indicators, thus increasing the indicator’s policy relevance. This sub-indicator is also expected to be used for reporting on SDG indicators 6.6.1, 11.3.1 and 15.1.1.</w:t>
            </w:r>
          </w:p>
          <w:p w14:paraId="25A0499D" w14:textId="77777777" w:rsidR="001F570F" w:rsidRPr="002C1AEC" w:rsidRDefault="001F570F" w:rsidP="001F570F">
            <w:pPr>
              <w:pStyle w:val="NoSpacing"/>
            </w:pPr>
            <w:r w:rsidRPr="002C1AEC">
              <w:t>There is an international standard for the sub-indicator on land cover</w:t>
            </w:r>
            <w:r w:rsidRPr="002C1AEC">
              <w:rPr>
                <w:vertAlign w:val="superscript"/>
              </w:rPr>
              <w:footnoteReference w:id="38"/>
            </w:r>
            <w:r w:rsidRPr="002C1AEC">
              <w:t xml:space="preserve"> which includes the Land Cover Meta Language (LCML), a common reference structure (statistical standard) for the comparison and integration of data for any generic land cover classification system. LCML is also used for defining land cover and ecosystem functional units used in the SEEA, and closely linked to the Intergovernmental Panel on Climate Change (IPCC) classification on land cover/land use.</w:t>
            </w:r>
          </w:p>
          <w:p w14:paraId="1134CB47" w14:textId="77777777" w:rsidR="001F570F" w:rsidRPr="002C1AEC" w:rsidRDefault="001F570F" w:rsidP="001F570F">
            <w:pPr>
              <w:pStyle w:val="NoSpacing"/>
            </w:pPr>
            <w:r w:rsidRPr="002C1AEC">
              <w:rPr>
                <w:b/>
                <w:i/>
                <w:iCs/>
              </w:rPr>
              <w:t>Land productivity</w:t>
            </w:r>
            <w:r w:rsidRPr="002C1AEC">
              <w:t xml:space="preserve"> refers to the total above-ground net primary production (NPP) defined as the energy fixed by plants minus their respiration which translates into the rate of biomass accumulation that delivers a suite of ecosystem services.</w:t>
            </w:r>
            <w:r w:rsidRPr="002C1AEC">
              <w:rPr>
                <w:vertAlign w:val="superscript"/>
              </w:rPr>
              <w:footnoteReference w:id="39"/>
            </w:r>
            <w:r w:rsidRPr="002C1AEC">
              <w:t xml:space="preserve"> This sub-indicator points to changes in the health and productive capacity of the land and reflects the net effects of changes in ecosystem functioning on plant and biomass growth, where declining trends are often a defining characteristic of land degradation.</w:t>
            </w:r>
            <w:r w:rsidRPr="002C1AEC">
              <w:rPr>
                <w:vertAlign w:val="superscript"/>
              </w:rPr>
              <w:footnoteReference w:id="40"/>
            </w:r>
          </w:p>
          <w:p w14:paraId="316721F5" w14:textId="77777777" w:rsidR="001F570F" w:rsidRPr="002C1AEC" w:rsidRDefault="001F570F" w:rsidP="001F570F">
            <w:pPr>
              <w:pStyle w:val="NoSpacing"/>
            </w:pPr>
            <w:r w:rsidRPr="002C1AEC">
              <w:t>The international standard for calculating NPP (gC/m²/day) from remotely-sensed, multi-temporal surface reflectance data, accounting for the global range of climate and vegetation types, was established in 1999 by the U.S. National Aeronautics and Space Administration (NASA) in anticipation of the launch of the Moderate Resolution Imaging Spectroradiometer (MODIS) sensor.</w:t>
            </w:r>
            <w:r w:rsidRPr="002C1AEC">
              <w:rPr>
                <w:vertAlign w:val="superscript"/>
              </w:rPr>
              <w:footnoteReference w:id="41"/>
            </w:r>
            <w:r w:rsidRPr="002C1AEC">
              <w:t xml:space="preserve"> The Land Productivity Dynamics (LPD) methodology and dataset, developed by the Joint Research Centre of the European Commission</w:t>
            </w:r>
            <w:r w:rsidRPr="002C1AEC">
              <w:rPr>
                <w:vertAlign w:val="superscript"/>
              </w:rPr>
              <w:footnoteReference w:id="42"/>
            </w:r>
            <w:r w:rsidRPr="002C1AEC">
              <w:t xml:space="preserve"> and used in the UNCCD pilot programme, employs this international standard to calculate NPP time series trends and change analyses. </w:t>
            </w:r>
            <w:r w:rsidRPr="002C1AEC">
              <w:br/>
            </w:r>
            <w:r w:rsidRPr="002C1AEC">
              <w:br/>
            </w:r>
            <w:r w:rsidRPr="002C1AEC">
              <w:rPr>
                <w:b/>
                <w:i/>
                <w:iCs/>
              </w:rPr>
              <w:t>Carbon stock</w:t>
            </w:r>
            <w:r w:rsidRPr="002C1AEC">
              <w:t xml:space="preserve"> is the quantity of carbon in a “pool”: a reservoir which has the capacity to accumulate or release carbon and is comprised of above- and below-ground biomass, dead organic matter, and soil organic carbon.</w:t>
            </w:r>
            <w:r w:rsidRPr="002C1AEC">
              <w:rPr>
                <w:vertAlign w:val="superscript"/>
              </w:rPr>
              <w:footnoteReference w:id="43"/>
            </w:r>
            <w:r w:rsidRPr="002C1AEC">
              <w:t xml:space="preserve"> In UNCCD decision 22/COP.11, </w:t>
            </w:r>
            <w:r w:rsidRPr="002C1AEC">
              <w:rPr>
                <w:i/>
              </w:rPr>
              <w:t xml:space="preserve">soil organic carbon </w:t>
            </w:r>
            <w:r w:rsidRPr="002C1AEC">
              <w:rPr>
                <w:i/>
              </w:rPr>
              <w:lastRenderedPageBreak/>
              <w:t>(SOC) stock</w:t>
            </w:r>
            <w:r w:rsidRPr="002C1AEC">
              <w:t xml:space="preserve"> was adopted as the metric to be used with the understanding that this metric will be replaced by </w:t>
            </w:r>
            <w:r w:rsidRPr="002C1AEC">
              <w:rPr>
                <w:i/>
              </w:rPr>
              <w:t>total terrestrial system carbon stocks</w:t>
            </w:r>
            <w:r w:rsidRPr="002C1AEC">
              <w:t>, once operational. SOC is an indicator of overall soil quality associated with nutrient cycling and its aggregate stability and structure with direct implications for water infiltration, soil biodiversity, vulnerability to erosion, and ultimately the productivity of vegetation, and in agricultural contexts, yields. SOC stocks reflect the balance between organic matter gains, dependent on plant productivity and management practices, and losses due to decomposition through the action of soil organisms and physical export through leaching and erosion.</w:t>
            </w:r>
            <w:r w:rsidRPr="002C1AEC">
              <w:rPr>
                <w:vertAlign w:val="superscript"/>
              </w:rPr>
              <w:footnoteReference w:id="44"/>
            </w:r>
          </w:p>
          <w:p w14:paraId="5C8E9290" w14:textId="77777777" w:rsidR="001F570F" w:rsidRPr="002C1AEC" w:rsidRDefault="001F570F" w:rsidP="001F570F">
            <w:pPr>
              <w:pStyle w:val="NoSpacing"/>
            </w:pPr>
            <w:r w:rsidRPr="002C1AEC">
              <w:t>For carbon stocks, IPCC (2006) contains the most relevant definitions and standards, especially with regard to reference values applicable for Tier 2 and 3 GHG reporting.</w:t>
            </w:r>
            <w:r w:rsidRPr="002C1AEC">
              <w:rPr>
                <w:vertAlign w:val="superscript"/>
              </w:rPr>
              <w:footnoteReference w:id="45"/>
            </w:r>
            <w:r w:rsidRPr="002C1AEC">
              <w:t xml:space="preserve"> In this regard, the technical soil infrastructure, data transfer and provision of national reporting data is also standards-based.</w:t>
            </w:r>
            <w:r w:rsidRPr="002C1AEC">
              <w:rPr>
                <w:vertAlign w:val="superscript"/>
              </w:rPr>
              <w:footnoteReference w:id="46"/>
            </w:r>
          </w:p>
          <w:p w14:paraId="649980FE" w14:textId="77777777" w:rsidR="001F570F" w:rsidRPr="002C1AEC" w:rsidRDefault="001F570F" w:rsidP="001F570F">
            <w:pPr>
              <w:pStyle w:val="NoSpacing"/>
            </w:pPr>
          </w:p>
          <w:p w14:paraId="6FF67294" w14:textId="77777777" w:rsidR="001F570F" w:rsidRPr="002C1AEC" w:rsidRDefault="001F570F" w:rsidP="001F570F">
            <w:pPr>
              <w:pStyle w:val="NoSpacing"/>
              <w:rPr>
                <w:b/>
                <w:bCs/>
                <w:lang w:val="en-GB"/>
              </w:rPr>
            </w:pPr>
            <w:r w:rsidRPr="002C1AEC">
              <w:rPr>
                <w:b/>
                <w:bCs/>
                <w:lang w:val="en-GB"/>
              </w:rPr>
              <w:t>Comments and limitations:</w:t>
            </w:r>
          </w:p>
          <w:p w14:paraId="5C967D97" w14:textId="77777777" w:rsidR="001F570F" w:rsidRPr="002C1AEC" w:rsidRDefault="001F570F" w:rsidP="001F570F">
            <w:pPr>
              <w:pStyle w:val="NoSpacing"/>
              <w:rPr>
                <w:lang w:val="en-GB"/>
              </w:rPr>
            </w:pPr>
            <w:r w:rsidRPr="002C1AEC">
              <w:rPr>
                <w:lang w:val="en-GB"/>
              </w:rPr>
              <w:t xml:space="preserve">SDG indicator 15.3.1 is a binary -- degraded/not degraded -- quantification based on the analysis of available data that is validated and reported by national authorities. Reporting on the sub-indicators should be based primarily, and to the largest extent possible, on comparable and standardized national official data sources. To a certain extent, national data on the three sub-indicators is and can be collected through existing sources (e.g., databases, maps, reports), including participatory inventories on land management systems as well as remote sensing data collected at the national level. </w:t>
            </w:r>
          </w:p>
          <w:p w14:paraId="145D045E" w14:textId="77777777" w:rsidR="001F570F" w:rsidRPr="002C1AEC" w:rsidRDefault="001F570F" w:rsidP="001F570F">
            <w:pPr>
              <w:pStyle w:val="NoSpacing"/>
              <w:rPr>
                <w:lang w:val="en-GB"/>
              </w:rPr>
            </w:pPr>
          </w:p>
          <w:p w14:paraId="4F7D3CF3" w14:textId="77777777" w:rsidR="001F570F" w:rsidRPr="002C1AEC" w:rsidRDefault="001F570F" w:rsidP="001F570F">
            <w:pPr>
              <w:pStyle w:val="NoSpacing"/>
            </w:pPr>
            <w:r w:rsidRPr="002C1AEC">
              <w:t xml:space="preserve">Regional and global datasets derived from Earth observation and geospatial information can play an important role in the absence of, to complement, or to enhance national official data sources. These datasets can help validate and improve national statistics for greater accuracy by ensuring that the data are spatially-explicit. Recognizing that the sub-indicators cannot fully capture the complexity of land degradation (i.e., its degree and drivers), countries are strongly encouraged to use other relevant national or sub-national indicators, data and information to strengthen their interpretation. </w:t>
            </w:r>
          </w:p>
          <w:p w14:paraId="129815F7" w14:textId="77777777" w:rsidR="001F570F" w:rsidRPr="002C1AEC" w:rsidRDefault="001F570F" w:rsidP="001F570F">
            <w:pPr>
              <w:pStyle w:val="NoSpacing"/>
            </w:pPr>
            <w:r w:rsidRPr="002C1AEC">
              <w:t>As regards slow changing variables, such as soil organic carbon stocks, reporting every four years may not be practical or offer reliable change detection for many countries. Nevertheless, this sub-indicator captures important data and information that will become more available in the future via improved measurements at the national level, such as those being facilitated by the FAO’s Global Soil Partnership and others.</w:t>
            </w:r>
          </w:p>
          <w:p w14:paraId="6F8F567B" w14:textId="77777777" w:rsidR="001F570F" w:rsidRPr="002C1AEC" w:rsidRDefault="001F570F" w:rsidP="001F570F">
            <w:pPr>
              <w:pStyle w:val="NoSpacing"/>
            </w:pPr>
            <w:r w:rsidRPr="002C1AEC">
              <w:t xml:space="preserve">While access to remote sensing imagery has improved dramatically in recent years, there is </w:t>
            </w:r>
            <w:r w:rsidRPr="002C1AEC">
              <w:lastRenderedPageBreak/>
              <w:t xml:space="preserve">still a need for essential historical time series that is currently only available at </w:t>
            </w:r>
            <w:proofErr w:type="gramStart"/>
            <w:r w:rsidRPr="002C1AEC">
              <w:t>coarse</w:t>
            </w:r>
            <w:proofErr w:type="gramEnd"/>
            <w:r w:rsidRPr="002C1AEC">
              <w:t xml:space="preserve"> to medium resolution. The expectation is that the availability of high-resolution, locally-calibrated datasets will increase rapidly in the near future. National capacities to </w:t>
            </w:r>
            <w:proofErr w:type="gramStart"/>
            <w:r w:rsidRPr="002C1AEC">
              <w:t>process,</w:t>
            </w:r>
            <w:proofErr w:type="gramEnd"/>
            <w:r w:rsidRPr="002C1AEC">
              <w:t xml:space="preserve"> interpret and validate geospatial data still need to be enhanced in many countries; good practice guidance for the monitoring and the reporting of the sub-indicators in other processes will assist in this regard. </w:t>
            </w:r>
          </w:p>
          <w:p w14:paraId="68F59DE6" w14:textId="77777777" w:rsidR="001F570F" w:rsidRPr="002C1AEC" w:rsidRDefault="001F570F" w:rsidP="001F570F">
            <w:pPr>
              <w:pStyle w:val="NoSpacing"/>
              <w:rPr>
                <w:lang w:val="en-GB"/>
              </w:rPr>
            </w:pPr>
            <w:r w:rsidRPr="002C1AEC">
              <w:rPr>
                <w:lang w:val="en-GB"/>
              </w:rPr>
              <w:t>Methodology</w:t>
            </w:r>
          </w:p>
          <w:p w14:paraId="31B76C14" w14:textId="77777777" w:rsidR="001F570F" w:rsidRPr="002C1AEC" w:rsidRDefault="001F570F" w:rsidP="001F570F">
            <w:pPr>
              <w:pStyle w:val="NoSpacing"/>
              <w:rPr>
                <w:b/>
                <w:bCs/>
                <w:lang w:val="en-GB"/>
              </w:rPr>
            </w:pPr>
          </w:p>
          <w:p w14:paraId="64BA07D7" w14:textId="77777777" w:rsidR="001F570F" w:rsidRPr="002C1AEC" w:rsidRDefault="001F570F" w:rsidP="001F570F">
            <w:pPr>
              <w:pStyle w:val="NoSpacing"/>
              <w:rPr>
                <w:b/>
                <w:bCs/>
                <w:lang w:val="en-GB"/>
              </w:rPr>
            </w:pPr>
            <w:r w:rsidRPr="002C1AEC">
              <w:rPr>
                <w:b/>
                <w:bCs/>
                <w:lang w:val="en-GB"/>
              </w:rPr>
              <w:t>Computation Method:</w:t>
            </w:r>
          </w:p>
          <w:p w14:paraId="4FCBB55F" w14:textId="77777777" w:rsidR="001F570F" w:rsidRPr="002C1AEC" w:rsidRDefault="001F570F" w:rsidP="001F570F">
            <w:pPr>
              <w:pStyle w:val="NoSpacing"/>
              <w:rPr>
                <w:lang w:val="en-AU"/>
              </w:rPr>
            </w:pPr>
            <w:r w:rsidRPr="002C1AEC">
              <w:rPr>
                <w:lang w:val="en-AU"/>
              </w:rPr>
              <w:t xml:space="preserve">By analysing changes in the sub-indicators in the context of local assessments of climate, soil, land use and any other factors influencing land conditions, national authorities can determine which land units are to be classified as degraded, sum the total, and report on the indicator. </w:t>
            </w:r>
            <w:r w:rsidRPr="002C1AEC">
              <w:rPr>
                <w:bCs/>
                <w:lang w:val="en-GB"/>
              </w:rPr>
              <w:t>A conceptual framework, endorsed by the UNCCD’s governing body in September 2017,</w:t>
            </w:r>
            <w:r w:rsidRPr="002C1AEC">
              <w:rPr>
                <w:bCs/>
                <w:vertAlign w:val="superscript"/>
                <w:lang w:val="en-GB"/>
              </w:rPr>
              <w:footnoteReference w:id="47"/>
            </w:r>
            <w:r w:rsidRPr="002C1AEC">
              <w:rPr>
                <w:bCs/>
                <w:lang w:val="en-GB"/>
              </w:rPr>
              <w:t xml:space="preserve"> underpins a universal methodology for deriving the indicator. </w:t>
            </w:r>
            <w:r w:rsidRPr="002C1AEC">
              <w:rPr>
                <w:lang w:val="en-AU"/>
              </w:rPr>
              <w:t>The methodology helps countries to select the most appropriate datasets for the sub-indicators and determine national methods for estimating the indicator. In order to assist countries with monitoring and reporting, Good Practice Guidance for SDG Indicator 15.3.1</w:t>
            </w:r>
            <w:r w:rsidRPr="002C1AEC">
              <w:rPr>
                <w:vertAlign w:val="superscript"/>
                <w:lang w:val="en-AU"/>
              </w:rPr>
              <w:footnoteReference w:id="48"/>
            </w:r>
            <w:r w:rsidRPr="002C1AEC">
              <w:rPr>
                <w:lang w:val="en-AU"/>
              </w:rPr>
              <w:t xml:space="preserve"> has been developed by the UNCCD and its partners. </w:t>
            </w:r>
          </w:p>
          <w:p w14:paraId="54F9D76D" w14:textId="77777777" w:rsidR="001F570F" w:rsidRPr="002C1AEC" w:rsidRDefault="001F570F" w:rsidP="001F570F">
            <w:pPr>
              <w:pStyle w:val="NoSpacing"/>
              <w:rPr>
                <w:lang w:val="en-AU"/>
              </w:rPr>
            </w:pPr>
            <w:r w:rsidRPr="002C1AEC">
              <w:rPr>
                <w:lang w:val="en-AU"/>
              </w:rPr>
              <w:t xml:space="preserve">The indicator is derived from a binary classification of land condition (i.e., degraded or not degraded) based primarily, and to the largest extent possible, on comparable and standardized national official data sources. However, due to the nature of the indicator, Earth observation and geospatial information from regional and global data sources can play an important role in its derivation, subject to validation by national authorities. </w:t>
            </w:r>
          </w:p>
          <w:p w14:paraId="0FCA493E" w14:textId="77777777" w:rsidR="001F570F" w:rsidRPr="002C1AEC" w:rsidRDefault="001F570F" w:rsidP="001F570F">
            <w:pPr>
              <w:pStyle w:val="NoSpacing"/>
              <w:rPr>
                <w:lang w:val="en-AU"/>
              </w:rPr>
            </w:pPr>
            <w:r w:rsidRPr="002C1AEC">
              <w:rPr>
                <w:lang w:val="en-AU"/>
              </w:rPr>
              <w:t>Quantifying the indicator is based on the evaluation of changes in the sub-indicators</w:t>
            </w:r>
            <w:r w:rsidRPr="002C1AEC">
              <w:t xml:space="preserve"> in order to determine </w:t>
            </w:r>
            <w:r w:rsidRPr="002C1AEC">
              <w:rPr>
                <w:lang w:val="en-AU"/>
              </w:rPr>
              <w:t xml:space="preserve">the extent of land that is degraded over total land area. The sub-indicators are few in number, complementary and non-additive components of land-based natural capital and sensitive to different degradation factors. As a result, the 1OAO principle is applied in the method of computation where changes in the sub-indicators are depicted as (i) positive or improving, (ii) negative or declining, or (iii) stable or unchanging. If one of the sub-indicators is negative (or stable when degraded in the baseline or previous monitoring year) for a particular land unit, then normally it would be considered as degraded subject to validation by national authorities. </w:t>
            </w:r>
          </w:p>
          <w:p w14:paraId="5E687E6D" w14:textId="77777777" w:rsidR="001F570F" w:rsidRPr="002C1AEC" w:rsidRDefault="001F570F" w:rsidP="001F570F">
            <w:pPr>
              <w:pStyle w:val="NoSpacing"/>
              <w:rPr>
                <w:lang w:val="en-AU"/>
              </w:rPr>
            </w:pPr>
            <w:r w:rsidRPr="002C1AEC">
              <w:rPr>
                <w:lang w:val="en-AU"/>
              </w:rPr>
              <w:t>The baseline year for the indicator is 2015 and its value (t</w:t>
            </w:r>
            <w:r w:rsidRPr="002C1AEC">
              <w:rPr>
                <w:vertAlign w:val="subscript"/>
                <w:lang w:val="en-AU"/>
              </w:rPr>
              <w:t>0</w:t>
            </w:r>
            <w:r w:rsidRPr="002C1AEC">
              <w:rPr>
                <w:lang w:val="en-AU"/>
              </w:rPr>
              <w:t>) is derived from an initial quantification and assessment of time series data for the sub-indicators for each land unit during the period 2000-2015. Subsequent values for the indicator during each monitoring period (t</w:t>
            </w:r>
            <w:r w:rsidRPr="002C1AEC">
              <w:rPr>
                <w:vertAlign w:val="subscript"/>
                <w:lang w:val="en-AU"/>
              </w:rPr>
              <w:t>1-n</w:t>
            </w:r>
            <w:r w:rsidRPr="002C1AEC">
              <w:rPr>
                <w:lang w:val="en-AU"/>
              </w:rPr>
              <w:t>) are derived from the quantification and assessment of changes in the sub-</w:t>
            </w:r>
            <w:r w:rsidRPr="002C1AEC">
              <w:rPr>
                <w:lang w:val="en-AU"/>
              </w:rPr>
              <w:lastRenderedPageBreak/>
              <w:t>indicators as to whether there are has been positive, negative or no change for each land unit relative to the baseline value. Although the indicator will be reported as a single figure quantifying the area of land that is degraded as a proportion of land area, it can be spatially disaggregated by land cover class or other policy</w:t>
            </w:r>
            <w:r w:rsidRPr="002C1AEC">
              <w:rPr>
                <w:rFonts w:ascii="Cambria Math" w:hAnsi="Cambria Math" w:cs="Cambria Math"/>
                <w:lang w:val="en-AU"/>
              </w:rPr>
              <w:t>‐</w:t>
            </w:r>
            <w:r w:rsidRPr="002C1AEC">
              <w:rPr>
                <w:lang w:val="en-AU"/>
              </w:rPr>
              <w:t>relevant units.</w:t>
            </w:r>
          </w:p>
          <w:p w14:paraId="69C7108F" w14:textId="77777777" w:rsidR="001F570F" w:rsidRPr="002C1AEC" w:rsidRDefault="001F570F" w:rsidP="001F570F">
            <w:pPr>
              <w:pStyle w:val="NoSpacing"/>
              <w:rPr>
                <w:lang w:val="en-AU"/>
              </w:rPr>
            </w:pPr>
            <w:r w:rsidRPr="002C1AEC">
              <w:rPr>
                <w:lang w:val="en-AU"/>
              </w:rPr>
              <w:t>As detailed in the Good Practice Guidance for SDG indicator 15.3.1, deriving the indicator for the baseline and subsequent monitoring years is done by summing all those areas where any changes in the sub-indicators are considered negative (or stable when degraded in the baseline or previous monitoring year) by national authorities. This involves the:</w:t>
            </w:r>
          </w:p>
          <w:p w14:paraId="14D32C8C" w14:textId="77777777" w:rsidR="001F570F" w:rsidRPr="002C1AEC" w:rsidRDefault="001F570F" w:rsidP="001F570F">
            <w:pPr>
              <w:pStyle w:val="NoSpacing"/>
              <w:rPr>
                <w:lang w:val="en-AU"/>
              </w:rPr>
            </w:pPr>
            <w:r w:rsidRPr="002C1AEC">
              <w:rPr>
                <w:lang w:val="en-AU"/>
              </w:rPr>
              <w:t xml:space="preserve">(1) assessment and evaluation of </w:t>
            </w:r>
            <w:r w:rsidRPr="002C1AEC">
              <w:rPr>
                <w:b/>
                <w:lang w:val="en-AU"/>
              </w:rPr>
              <w:t>land cover and land cover changes</w:t>
            </w:r>
            <w:r w:rsidRPr="002C1AEC">
              <w:rPr>
                <w:lang w:val="en-AU"/>
              </w:rPr>
              <w:t>;</w:t>
            </w:r>
            <w:r w:rsidRPr="002C1AEC">
              <w:rPr>
                <w:lang w:val="en-AU"/>
              </w:rPr>
              <w:br/>
              <w:t xml:space="preserve">(2) analysis of </w:t>
            </w:r>
            <w:r w:rsidRPr="002C1AEC">
              <w:rPr>
                <w:b/>
                <w:lang w:val="en-AU"/>
              </w:rPr>
              <w:t>land productivity</w:t>
            </w:r>
            <w:r w:rsidRPr="002C1AEC">
              <w:rPr>
                <w:lang w:val="en-AU"/>
              </w:rPr>
              <w:t xml:space="preserve"> status and trends based on net primary production; and </w:t>
            </w:r>
            <w:r w:rsidRPr="002C1AEC">
              <w:rPr>
                <w:lang w:val="en-AU"/>
              </w:rPr>
              <w:br/>
              <w:t xml:space="preserve">(3) determination of </w:t>
            </w:r>
            <w:r w:rsidRPr="002C1AEC">
              <w:rPr>
                <w:b/>
                <w:lang w:val="en-AU"/>
              </w:rPr>
              <w:t>carbon stock</w:t>
            </w:r>
            <w:r w:rsidRPr="002C1AEC">
              <w:rPr>
                <w:lang w:val="en-AU"/>
              </w:rPr>
              <w:t xml:space="preserve"> values and changes, with an initial assessment of soil organic carbon as the proxy.</w:t>
            </w:r>
          </w:p>
          <w:p w14:paraId="0460AE3C" w14:textId="77777777" w:rsidR="001F570F" w:rsidRPr="002C1AEC" w:rsidRDefault="001F570F" w:rsidP="001F570F">
            <w:pPr>
              <w:pStyle w:val="NoSpacing"/>
              <w:rPr>
                <w:lang w:val="en-AU"/>
              </w:rPr>
            </w:pPr>
            <w:r w:rsidRPr="002C1AEC">
              <w:rPr>
                <w:lang w:val="en-AU"/>
              </w:rPr>
              <w:t xml:space="preserve">It is good practice to assess change for interim and final reporting years in relation to the baseline year for each sub-indicator and then the indicator. This facilitates the spatial aggregation of the results from the sub-indicators for each land unit to determine the proportion of land that is degraded for the baseline and each monitoring year. Furthermore, it ensures that land classified as degraded will retain that status unless it has improved relative to the baseline or previous monitoring year. </w:t>
            </w:r>
          </w:p>
          <w:p w14:paraId="0C08F031" w14:textId="77777777" w:rsidR="001F570F" w:rsidRPr="002C1AEC" w:rsidRDefault="001F570F" w:rsidP="001F570F">
            <w:pPr>
              <w:pStyle w:val="NoSpacing"/>
              <w:rPr>
                <w:lang w:val="en-AU"/>
              </w:rPr>
            </w:pPr>
            <w:r w:rsidRPr="002C1AEC">
              <w:rPr>
                <w:lang w:val="en-AU"/>
              </w:rPr>
              <w:t>Land degradation (or improvement) as compared to the baseline may be identified with reference to parameters describing the slope and confidence limits around the trends in the sub-indicators, or to the level or distribution of conditions in space and/or time as shown during the baseline period. The evaluation of changes in the sub-indicators may be determined using statistical significance tests or by interpretation of results in the context of local indicators, data and information. The method of computation for SDG indicator 15.3.1 is illustrated in Figure 2.</w:t>
            </w:r>
          </w:p>
          <w:p w14:paraId="4DF34AB6" w14:textId="77777777" w:rsidR="001F570F" w:rsidRPr="002C1AEC" w:rsidRDefault="001F570F" w:rsidP="001F570F">
            <w:pPr>
              <w:pStyle w:val="NoSpacing"/>
              <w:rPr>
                <w:lang w:val="en-AU"/>
              </w:rPr>
            </w:pPr>
            <w:r w:rsidRPr="002C1AEC">
              <w:rPr>
                <w:b/>
                <w:lang w:val="en-AU"/>
              </w:rPr>
              <w:t>Figure 2: Steps to derive the indicator from the sub-indicators, where ND is not degraded and D is degraded.</w:t>
            </w:r>
            <w:r w:rsidRPr="002C1AEC">
              <w:rPr>
                <w:b/>
                <w:lang w:val="en-AU"/>
              </w:rPr>
              <w:br/>
            </w:r>
            <w:r w:rsidRPr="002C1AEC">
              <w:br/>
            </w:r>
            <w:r w:rsidRPr="002C1AEC">
              <w:rPr>
                <w:noProof/>
                <w:lang w:bidi="bn-BD"/>
              </w:rPr>
              <w:lastRenderedPageBreak/>
              <w:drawing>
                <wp:inline distT="0" distB="0" distL="0" distR="0" wp14:anchorId="4A6A9CCC" wp14:editId="4B06C817">
                  <wp:extent cx="3305175" cy="2429510"/>
                  <wp:effectExtent l="0" t="0" r="952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G Fig 1.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305175" cy="2429510"/>
                          </a:xfrm>
                          <a:prstGeom prst="rect">
                            <a:avLst/>
                          </a:prstGeom>
                        </pic:spPr>
                      </pic:pic>
                    </a:graphicData>
                  </a:graphic>
                </wp:inline>
              </w:drawing>
            </w:r>
          </w:p>
          <w:p w14:paraId="098609D4" w14:textId="77777777" w:rsidR="001F570F" w:rsidRPr="002C1AEC" w:rsidRDefault="001F570F" w:rsidP="001F570F">
            <w:pPr>
              <w:pStyle w:val="NoSpacing"/>
              <w:rPr>
                <w:lang w:val="en-AU"/>
              </w:rPr>
            </w:pPr>
            <w:r w:rsidRPr="002C1AEC">
              <w:rPr>
                <w:lang w:val="en-AU"/>
              </w:rPr>
              <w:t xml:space="preserve">The area degraded in the monitoring period </w:t>
            </w:r>
            <w:r w:rsidRPr="002C1AEC">
              <w:rPr>
                <w:i/>
                <w:lang w:val="en-AU"/>
              </w:rPr>
              <w:t>t</w:t>
            </w:r>
            <w:r w:rsidRPr="002C1AEC">
              <w:rPr>
                <w:i/>
                <w:vertAlign w:val="subscript"/>
                <w:lang w:val="en-AU"/>
              </w:rPr>
              <w:t>n</w:t>
            </w:r>
            <w:r w:rsidRPr="002C1AEC">
              <w:rPr>
                <w:lang w:val="en-AU"/>
              </w:rPr>
              <w:t xml:space="preserve"> within land cover class </w:t>
            </w:r>
            <w:r w:rsidRPr="002C1AEC">
              <w:rPr>
                <w:i/>
                <w:lang w:val="en-AU"/>
              </w:rPr>
              <w:t>i</w:t>
            </w:r>
            <w:r w:rsidRPr="002C1AEC">
              <w:rPr>
                <w:lang w:val="en-AU"/>
              </w:rPr>
              <w:t xml:space="preserve"> is estimated by summing all the area units within the land cover class determined to be degraded plus all area units that had previously been defined as degraded and that remain degraded:</w:t>
            </w:r>
          </w:p>
          <w:p w14:paraId="7633B818" w14:textId="77777777" w:rsidR="001F570F" w:rsidRDefault="001F570F" w:rsidP="001F570F">
            <w:pPr>
              <w:pStyle w:val="NoSpacing"/>
              <w:rPr>
                <w:rFonts w:eastAsiaTheme="minorEastAsia"/>
                <w:lang w:val="en-AU"/>
              </w:rPr>
            </w:pPr>
            <w:r w:rsidRPr="002C1AEC">
              <w:rPr>
                <w:lang w:val="en-AU"/>
              </w:rPr>
              <w:tab/>
            </w:r>
            <m:oMath>
              <m:sSub>
                <m:sSubPr>
                  <m:ctrlPr>
                    <w:rPr>
                      <w:rFonts w:ascii="Cambria Math" w:hAnsi="Cambria Math"/>
                      <w:lang w:val="en-AU"/>
                    </w:rPr>
                  </m:ctrlPr>
                </m:sSubPr>
                <m:e>
                  <m:r>
                    <w:rPr>
                      <w:rFonts w:ascii="Cambria Math" w:hAnsi="Cambria Math"/>
                      <w:lang w:val="en-AU"/>
                    </w:rPr>
                    <m:t>A(Degraded)</m:t>
                  </m:r>
                </m:e>
                <m:sub>
                  <m:r>
                    <w:rPr>
                      <w:rFonts w:ascii="Cambria Math" w:hAnsi="Cambria Math"/>
                      <w:lang w:val="en-AU"/>
                    </w:rPr>
                    <m:t>i</m:t>
                  </m:r>
                  <m:r>
                    <m:rPr>
                      <m:sty m:val="p"/>
                    </m:rPr>
                    <w:rPr>
                      <w:rFonts w:ascii="Cambria Math" w:hAnsi="Cambria Math"/>
                      <w:lang w:val="en-AU"/>
                    </w:rPr>
                    <m:t>,n</m:t>
                  </m:r>
                </m:sub>
              </m:sSub>
              <m:r>
                <m:rPr>
                  <m:sty m:val="p"/>
                </m:rPr>
                <w:rPr>
                  <w:rFonts w:ascii="Cambria Math" w:hAnsi="Cambria Math"/>
                  <w:lang w:val="en-AU"/>
                </w:rPr>
                <m:t>=</m:t>
              </m:r>
              <m:nary>
                <m:naryPr>
                  <m:chr m:val="∑"/>
                  <m:limLoc m:val="undOvr"/>
                  <m:ctrlPr>
                    <w:rPr>
                      <w:rFonts w:ascii="Cambria Math" w:hAnsi="Cambria Math"/>
                      <w:lang w:val="en-AU"/>
                    </w:rPr>
                  </m:ctrlPr>
                </m:naryPr>
                <m:sub>
                  <m:r>
                    <w:rPr>
                      <w:rFonts w:ascii="Cambria Math" w:hAnsi="Cambria Math"/>
                      <w:lang w:val="en-AU"/>
                    </w:rPr>
                    <m:t>j</m:t>
                  </m:r>
                  <m:r>
                    <m:rPr>
                      <m:sty m:val="p"/>
                    </m:rPr>
                    <w:rPr>
                      <w:rFonts w:ascii="Cambria Math" w:hAnsi="Cambria Math"/>
                      <w:lang w:val="en-AU"/>
                    </w:rPr>
                    <m:t>=1</m:t>
                  </m:r>
                </m:sub>
                <m:sup>
                  <m:r>
                    <w:rPr>
                      <w:rFonts w:ascii="Cambria Math" w:hAnsi="Cambria Math"/>
                      <w:lang w:val="en-AU"/>
                    </w:rPr>
                    <m:t>n</m:t>
                  </m:r>
                </m:sup>
                <m:e>
                  <m:sSub>
                    <m:sSubPr>
                      <m:ctrlPr>
                        <w:rPr>
                          <w:rFonts w:ascii="Cambria Math" w:hAnsi="Cambria Math"/>
                          <w:lang w:val="en-AU"/>
                        </w:rPr>
                      </m:ctrlPr>
                    </m:sSubPr>
                    <m:e>
                      <m:r>
                        <w:rPr>
                          <w:rFonts w:ascii="Cambria Math" w:hAnsi="Cambria Math"/>
                          <w:lang w:val="en-AU"/>
                        </w:rPr>
                        <m:t>Arecent</m:t>
                      </m:r>
                    </m:e>
                    <m:sub>
                      <m:r>
                        <w:rPr>
                          <w:rFonts w:ascii="Cambria Math" w:hAnsi="Cambria Math"/>
                          <w:lang w:val="en-AU"/>
                        </w:rPr>
                        <m:t>i,n</m:t>
                      </m:r>
                    </m:sub>
                  </m:sSub>
                  <m:r>
                    <w:rPr>
                      <w:rFonts w:ascii="Cambria Math" w:hAnsi="Cambria Math"/>
                      <w:lang w:val="en-AU"/>
                    </w:rPr>
                    <m:t>+</m:t>
                  </m:r>
                </m:e>
              </m:nary>
              <m:sSub>
                <m:sSubPr>
                  <m:ctrlPr>
                    <w:rPr>
                      <w:rFonts w:ascii="Cambria Math" w:hAnsi="Cambria Math"/>
                      <w:lang w:val="en-AU"/>
                    </w:rPr>
                  </m:ctrlPr>
                </m:sSubPr>
                <m:e>
                  <m:r>
                    <w:rPr>
                      <w:rFonts w:ascii="Cambria Math" w:hAnsi="Cambria Math"/>
                      <w:lang w:val="en-AU"/>
                    </w:rPr>
                    <m:t>Apersistent</m:t>
                  </m:r>
                </m:e>
                <m:sub>
                  <m:r>
                    <w:rPr>
                      <w:rFonts w:ascii="Cambria Math" w:hAnsi="Cambria Math"/>
                      <w:lang w:val="en-AU"/>
                    </w:rPr>
                    <m:t>i</m:t>
                  </m:r>
                  <m:r>
                    <m:rPr>
                      <m:sty m:val="p"/>
                    </m:rPr>
                    <w:rPr>
                      <w:rFonts w:ascii="Cambria Math" w:hAnsi="Cambria Math"/>
                      <w:lang w:val="en-AU"/>
                    </w:rPr>
                    <m:t>,</m:t>
                  </m:r>
                  <m:r>
                    <w:rPr>
                      <w:rFonts w:ascii="Cambria Math" w:hAnsi="Cambria Math"/>
                      <w:lang w:val="en-AU"/>
                    </w:rPr>
                    <m:t>n</m:t>
                  </m:r>
                </m:sub>
              </m:sSub>
            </m:oMath>
          </w:p>
          <w:p w14:paraId="392A65C2" w14:textId="77777777" w:rsidR="001F570F" w:rsidRDefault="001F570F" w:rsidP="001F570F">
            <w:pPr>
              <w:pStyle w:val="NoSpacing"/>
              <w:rPr>
                <w:rFonts w:eastAsiaTheme="minorEastAsia"/>
                <w:lang w:val="en-AU"/>
              </w:rPr>
            </w:pPr>
          </w:p>
          <w:p w14:paraId="2A8E92D4" w14:textId="77777777" w:rsidR="001F570F" w:rsidRDefault="001F570F" w:rsidP="001F570F">
            <w:pPr>
              <w:pStyle w:val="NoSpacing"/>
              <w:rPr>
                <w:rFonts w:eastAsiaTheme="minorEastAsia"/>
                <w:lang w:val="en-AU"/>
              </w:rPr>
            </w:pPr>
          </w:p>
          <w:p w14:paraId="3AA39034" w14:textId="77777777" w:rsidR="001F570F" w:rsidRPr="002C1AEC" w:rsidRDefault="001F570F" w:rsidP="001F570F">
            <w:pPr>
              <w:pStyle w:val="NoSpacing"/>
              <w:rPr>
                <w:lang w:val="en-AU"/>
              </w:rPr>
            </w:pPr>
            <w:r w:rsidRPr="002C1AEC">
              <w:rPr>
                <w:lang w:val="en-AU"/>
              </w:rPr>
              <w:tab/>
              <w:t>(1)</w:t>
            </w:r>
          </w:p>
          <w:p w14:paraId="2FDFF5C8" w14:textId="77777777" w:rsidR="001F570F" w:rsidRPr="002C1AEC" w:rsidRDefault="001F570F" w:rsidP="001F570F">
            <w:pPr>
              <w:pStyle w:val="NoSpacing"/>
              <w:rPr>
                <w:lang w:val="en-AU"/>
              </w:rPr>
            </w:pPr>
          </w:p>
          <w:p w14:paraId="3DE4B9CC" w14:textId="77777777" w:rsidR="001F570F" w:rsidRPr="002C1AEC" w:rsidRDefault="001F570F" w:rsidP="001F570F">
            <w:pPr>
              <w:pStyle w:val="NoSpacing"/>
              <w:rPr>
                <w:lang w:val="en-AU"/>
              </w:rPr>
            </w:pPr>
            <w:r w:rsidRPr="002C1AEC">
              <w:rPr>
                <w:lang w:val="en-AU"/>
              </w:rPr>
              <w:t xml:space="preserve">Where: </w:t>
            </w:r>
          </w:p>
          <w:p w14:paraId="0AB88D2C"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A(Degraded)</m:t>
                  </m:r>
                </m:e>
                <m:sub>
                  <m:r>
                    <w:rPr>
                      <w:rFonts w:ascii="Cambria Math" w:hAnsi="Cambria Math"/>
                      <w:lang w:val="en-AU"/>
                    </w:rPr>
                    <m:t>i</m:t>
                  </m:r>
                  <m:r>
                    <m:rPr>
                      <m:sty m:val="p"/>
                    </m:rPr>
                    <w:rPr>
                      <w:rFonts w:ascii="Cambria Math" w:hAnsi="Cambria Math"/>
                      <w:lang w:val="en-AU"/>
                    </w:rPr>
                    <m:t>,</m:t>
                  </m:r>
                  <m:r>
                    <w:rPr>
                      <w:rFonts w:ascii="Cambria Math" w:hAnsi="Cambria Math"/>
                      <w:lang w:val="en-AU"/>
                    </w:rPr>
                    <m:t>n</m:t>
                  </m:r>
                </m:sub>
              </m:sSub>
            </m:oMath>
            <w:r w:rsidR="001F570F" w:rsidRPr="002C1AEC">
              <w:rPr>
                <w:lang w:val="en-AU"/>
              </w:rPr>
              <w:t xml:space="preserve"> is the total area degraded in the land cover class </w:t>
            </w:r>
            <w:r w:rsidR="001F570F" w:rsidRPr="002C1AEC">
              <w:rPr>
                <w:i/>
                <w:lang w:val="en-AU"/>
              </w:rPr>
              <w:t>i</w:t>
            </w:r>
            <w:r w:rsidR="001F570F" w:rsidRPr="002C1AEC">
              <w:rPr>
                <w:lang w:val="en-AU"/>
              </w:rPr>
              <w:t xml:space="preserve"> in the year of monitoring </w:t>
            </w:r>
            <w:r w:rsidR="001F570F" w:rsidRPr="002C1AEC">
              <w:rPr>
                <w:i/>
                <w:lang w:val="en-AU"/>
              </w:rPr>
              <w:t>n</w:t>
            </w:r>
            <w:r w:rsidR="001F570F" w:rsidRPr="002C1AEC">
              <w:rPr>
                <w:lang w:val="en-AU"/>
              </w:rPr>
              <w:t xml:space="preserve"> (ha);</w:t>
            </w:r>
          </w:p>
          <w:p w14:paraId="650C7E17"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Arecent</m:t>
                  </m:r>
                </m:e>
                <m:sub>
                  <m:r>
                    <w:rPr>
                      <w:rFonts w:ascii="Cambria Math" w:hAnsi="Cambria Math"/>
                      <w:lang w:val="en-AU"/>
                    </w:rPr>
                    <m:t>i,n</m:t>
                  </m:r>
                </m:sub>
              </m:sSub>
            </m:oMath>
            <w:r w:rsidR="001F570F" w:rsidRPr="002C1AEC">
              <w:rPr>
                <w:lang w:val="en-AU"/>
              </w:rPr>
              <w:t xml:space="preserve"> is the area defined as degraded in the current monitoring year following 1OAO assessment of the sub-indicators (ha);</w:t>
            </w:r>
          </w:p>
          <w:p w14:paraId="2B4E1F89"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Apersistent</m:t>
                  </m:r>
                </m:e>
                <m:sub>
                  <m:r>
                    <w:rPr>
                      <w:rFonts w:ascii="Cambria Math" w:hAnsi="Cambria Math"/>
                      <w:lang w:val="en-AU"/>
                    </w:rPr>
                    <m:t>i,n</m:t>
                  </m:r>
                </m:sub>
              </m:sSub>
            </m:oMath>
            <w:r w:rsidR="001F570F" w:rsidRPr="002C1AEC">
              <w:rPr>
                <w:lang w:val="en-AU"/>
              </w:rPr>
              <w:t xml:space="preserve"> </w:t>
            </w:r>
            <w:proofErr w:type="gramStart"/>
            <w:r w:rsidR="001F570F" w:rsidRPr="002C1AEC">
              <w:rPr>
                <w:lang w:val="en-AU"/>
              </w:rPr>
              <w:t>is</w:t>
            </w:r>
            <w:proofErr w:type="gramEnd"/>
            <w:r w:rsidR="001F570F" w:rsidRPr="002C1AEC">
              <w:rPr>
                <w:lang w:val="en-AU"/>
              </w:rPr>
              <w:t xml:space="preserve"> the area previously defined as degraded which remains degraded in the monitoring year following the 1OAO assessment of the sub-indicators (ha).</w:t>
            </w:r>
          </w:p>
          <w:p w14:paraId="6F1C82D0" w14:textId="77777777" w:rsidR="001F570F" w:rsidRPr="002C1AEC" w:rsidRDefault="001F570F" w:rsidP="001F570F">
            <w:pPr>
              <w:pStyle w:val="NoSpacing"/>
              <w:rPr>
                <w:lang w:val="en-AU"/>
              </w:rPr>
            </w:pPr>
          </w:p>
          <w:p w14:paraId="33D360AC" w14:textId="77777777" w:rsidR="001F570F" w:rsidRPr="002C1AEC" w:rsidRDefault="001F570F" w:rsidP="001F570F">
            <w:pPr>
              <w:pStyle w:val="NoSpacing"/>
              <w:rPr>
                <w:lang w:val="en-AU"/>
              </w:rPr>
            </w:pPr>
            <w:r w:rsidRPr="002C1AEC">
              <w:rPr>
                <w:lang w:val="en-AU"/>
              </w:rPr>
              <w:t xml:space="preserve">The proportion of land cover type </w:t>
            </w:r>
            <w:r w:rsidRPr="002C1AEC">
              <w:rPr>
                <w:i/>
                <w:lang w:val="en-AU"/>
              </w:rPr>
              <w:t>i</w:t>
            </w:r>
            <w:r w:rsidRPr="002C1AEC">
              <w:rPr>
                <w:lang w:val="en-AU"/>
              </w:rPr>
              <w:t xml:space="preserve"> that is degraded is then given by:</w:t>
            </w:r>
          </w:p>
          <w:p w14:paraId="4F306ABE" w14:textId="77777777" w:rsidR="001F570F" w:rsidRPr="002C1AEC" w:rsidRDefault="001F570F" w:rsidP="001F570F">
            <w:pPr>
              <w:pStyle w:val="NoSpacing"/>
              <w:rPr>
                <w:lang w:val="en-AU"/>
              </w:rPr>
            </w:pPr>
            <w:r w:rsidRPr="002C1AEC">
              <w:rPr>
                <w:lang w:val="en-AU"/>
              </w:rPr>
              <w:tab/>
            </w:r>
            <m:oMath>
              <m:sSub>
                <m:sSubPr>
                  <m:ctrlPr>
                    <w:rPr>
                      <w:rFonts w:ascii="Cambria Math" w:hAnsi="Cambria Math"/>
                      <w:lang w:val="en-AU"/>
                    </w:rPr>
                  </m:ctrlPr>
                </m:sSubPr>
                <m:e>
                  <m:r>
                    <w:rPr>
                      <w:rFonts w:ascii="Cambria Math" w:hAnsi="Cambria Math"/>
                      <w:lang w:val="en-AU"/>
                    </w:rPr>
                    <m:t>P</m:t>
                  </m:r>
                </m:e>
                <m:sub>
                  <m:r>
                    <w:rPr>
                      <w:rFonts w:ascii="Cambria Math" w:hAnsi="Cambria Math"/>
                      <w:lang w:val="en-AU"/>
                    </w:rPr>
                    <m:t>i</m:t>
                  </m:r>
                  <m:r>
                    <m:rPr>
                      <m:sty m:val="p"/>
                    </m:rPr>
                    <w:rPr>
                      <w:rFonts w:ascii="Cambria Math" w:hAnsi="Cambria Math"/>
                      <w:lang w:val="en-AU"/>
                    </w:rPr>
                    <m:t>,</m:t>
                  </m:r>
                  <m:r>
                    <w:rPr>
                      <w:rFonts w:ascii="Cambria Math" w:hAnsi="Cambria Math"/>
                      <w:lang w:val="en-AU"/>
                    </w:rPr>
                    <m:t>n</m:t>
                  </m:r>
                </m:sub>
              </m:sSub>
              <m:r>
                <m:rPr>
                  <m:sty m:val="p"/>
                </m:rPr>
                <w:rPr>
                  <w:rFonts w:ascii="Cambria Math" w:hAnsi="Cambria Math"/>
                  <w:lang w:val="en-AU"/>
                </w:rPr>
                <m:t>=</m:t>
              </m:r>
              <m:f>
                <m:fPr>
                  <m:ctrlPr>
                    <w:rPr>
                      <w:rFonts w:ascii="Cambria Math" w:hAnsi="Cambria Math"/>
                      <w:lang w:val="en-AU"/>
                    </w:rPr>
                  </m:ctrlPr>
                </m:fPr>
                <m:num>
                  <m:sSub>
                    <m:sSubPr>
                      <m:ctrlPr>
                        <w:rPr>
                          <w:rFonts w:ascii="Cambria Math" w:hAnsi="Cambria Math"/>
                          <w:lang w:val="en-AU"/>
                        </w:rPr>
                      </m:ctrlPr>
                    </m:sSubPr>
                    <m:e>
                      <m:r>
                        <w:rPr>
                          <w:rFonts w:ascii="Cambria Math" w:hAnsi="Cambria Math"/>
                          <w:lang w:val="en-AU"/>
                        </w:rPr>
                        <m:t>A</m:t>
                      </m:r>
                      <m:d>
                        <m:dPr>
                          <m:ctrlPr>
                            <w:rPr>
                              <w:rFonts w:ascii="Cambria Math" w:hAnsi="Cambria Math"/>
                              <w:i/>
                              <w:lang w:val="en-AU"/>
                            </w:rPr>
                          </m:ctrlPr>
                        </m:dPr>
                        <m:e>
                          <m:r>
                            <w:rPr>
                              <w:rFonts w:ascii="Cambria Math" w:hAnsi="Cambria Math"/>
                              <w:lang w:val="en-AU"/>
                            </w:rPr>
                            <m:t>degraded</m:t>
                          </m:r>
                        </m:e>
                      </m:d>
                    </m:e>
                    <m:sub>
                      <m:r>
                        <w:rPr>
                          <w:rFonts w:ascii="Cambria Math" w:hAnsi="Cambria Math"/>
                          <w:lang w:val="en-AU"/>
                        </w:rPr>
                        <m:t>i</m:t>
                      </m:r>
                      <m:r>
                        <m:rPr>
                          <m:sty m:val="p"/>
                        </m:rPr>
                        <w:rPr>
                          <w:rFonts w:ascii="Cambria Math" w:hAnsi="Cambria Math"/>
                          <w:lang w:val="en-AU"/>
                        </w:rPr>
                        <m:t>,n</m:t>
                      </m:r>
                    </m:sub>
                  </m:sSub>
                </m:num>
                <m:den>
                  <m:sSub>
                    <m:sSubPr>
                      <m:ctrlPr>
                        <w:rPr>
                          <w:rFonts w:ascii="Cambria Math" w:hAnsi="Cambria Math"/>
                          <w:lang w:val="en-AU"/>
                        </w:rPr>
                      </m:ctrlPr>
                    </m:sSubPr>
                    <m:e>
                      <m:r>
                        <w:rPr>
                          <w:rFonts w:ascii="Cambria Math" w:hAnsi="Cambria Math"/>
                          <w:lang w:val="en-AU"/>
                        </w:rPr>
                        <m:t>A</m:t>
                      </m:r>
                      <m:d>
                        <m:dPr>
                          <m:ctrlPr>
                            <w:rPr>
                              <w:rFonts w:ascii="Cambria Math" w:hAnsi="Cambria Math"/>
                              <w:i/>
                              <w:lang w:val="en-AU"/>
                            </w:rPr>
                          </m:ctrlPr>
                        </m:dPr>
                        <m:e>
                          <m:r>
                            <w:rPr>
                              <w:rFonts w:ascii="Cambria Math" w:hAnsi="Cambria Math"/>
                              <w:lang w:val="en-AU"/>
                            </w:rPr>
                            <m:t>t</m:t>
                          </m:r>
                          <m:r>
                            <w:rPr>
                              <w:rFonts w:ascii="Cambria Math" w:hAnsi="Cambria Math"/>
                              <w:lang w:val="en-AU"/>
                            </w:rPr>
                            <m:t>otal</m:t>
                          </m:r>
                        </m:e>
                      </m:d>
                    </m:e>
                    <m:sub>
                      <m:r>
                        <w:rPr>
                          <w:rFonts w:ascii="Cambria Math" w:hAnsi="Cambria Math"/>
                          <w:lang w:val="en-AU"/>
                        </w:rPr>
                        <m:t>i</m:t>
                      </m:r>
                      <m:r>
                        <m:rPr>
                          <m:sty m:val="p"/>
                        </m:rPr>
                        <w:rPr>
                          <w:rFonts w:ascii="Cambria Math" w:hAnsi="Cambria Math"/>
                          <w:lang w:val="en-AU"/>
                        </w:rPr>
                        <m:t>,</m:t>
                      </m:r>
                      <m:r>
                        <w:rPr>
                          <w:rFonts w:ascii="Cambria Math" w:hAnsi="Cambria Math"/>
                          <w:lang w:val="en-AU"/>
                        </w:rPr>
                        <m:t>n</m:t>
                      </m:r>
                    </m:sub>
                  </m:sSub>
                </m:den>
              </m:f>
            </m:oMath>
            <w:r w:rsidRPr="002C1AEC">
              <w:rPr>
                <w:lang w:val="en-AU"/>
              </w:rPr>
              <w:tab/>
              <w:t>(2)</w:t>
            </w:r>
          </w:p>
          <w:p w14:paraId="0F7BE713" w14:textId="77777777" w:rsidR="001F570F" w:rsidRPr="002C1AEC" w:rsidRDefault="001F570F" w:rsidP="001F570F">
            <w:pPr>
              <w:pStyle w:val="NoSpacing"/>
              <w:rPr>
                <w:lang w:val="en-AU"/>
              </w:rPr>
            </w:pPr>
            <w:r w:rsidRPr="002C1AEC">
              <w:rPr>
                <w:lang w:val="en-AU"/>
              </w:rPr>
              <w:t>Where</w:t>
            </w:r>
          </w:p>
          <w:p w14:paraId="1F5C7488"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P</m:t>
                  </m:r>
                </m:e>
                <m:sub>
                  <m:r>
                    <w:rPr>
                      <w:rFonts w:ascii="Cambria Math" w:hAnsi="Cambria Math"/>
                      <w:lang w:val="en-AU"/>
                    </w:rPr>
                    <m:t>i</m:t>
                  </m:r>
                  <m:r>
                    <m:rPr>
                      <m:sty m:val="p"/>
                    </m:rPr>
                    <w:rPr>
                      <w:rFonts w:ascii="Cambria Math" w:hAnsi="Cambria Math"/>
                      <w:lang w:val="en-AU"/>
                    </w:rPr>
                    <m:t>,n</m:t>
                  </m:r>
                </m:sub>
              </m:sSub>
              <m:r>
                <w:rPr>
                  <w:rFonts w:ascii="Cambria Math" w:hAnsi="Cambria Math"/>
                  <w:lang w:val="en-AU"/>
                </w:rPr>
                <m:t xml:space="preserve"> </m:t>
              </m:r>
            </m:oMath>
            <w:r w:rsidR="001F570F" w:rsidRPr="002C1AEC">
              <w:rPr>
                <w:lang w:val="en-AU"/>
              </w:rPr>
              <w:t xml:space="preserve">is the proportion of degraded land in that land cover type </w:t>
            </w:r>
            <w:r w:rsidR="001F570F" w:rsidRPr="002C1AEC">
              <w:rPr>
                <w:i/>
                <w:lang w:val="en-AU"/>
              </w:rPr>
              <w:t>i</w:t>
            </w:r>
            <w:r w:rsidR="001F570F" w:rsidRPr="002C1AEC">
              <w:rPr>
                <w:lang w:val="en-AU"/>
              </w:rPr>
              <w:t xml:space="preserve"> in the monitoring period </w:t>
            </w:r>
            <w:r w:rsidR="001F570F" w:rsidRPr="002C1AEC">
              <w:rPr>
                <w:i/>
                <w:lang w:val="en-AU"/>
              </w:rPr>
              <w:t>n</w:t>
            </w:r>
            <w:r w:rsidR="001F570F" w:rsidRPr="002C1AEC">
              <w:rPr>
                <w:lang w:val="en-AU"/>
              </w:rPr>
              <w:t>;</w:t>
            </w:r>
            <w:r w:rsidR="001F570F" w:rsidRPr="002C1AEC">
              <w:rPr>
                <w:i/>
                <w:lang w:val="en-AU"/>
              </w:rPr>
              <w:t xml:space="preserve"> </w:t>
            </w:r>
          </w:p>
          <w:p w14:paraId="38EF5AD3" w14:textId="77777777" w:rsidR="001F570F" w:rsidRPr="002C1AEC" w:rsidRDefault="001F570F" w:rsidP="001F570F">
            <w:pPr>
              <w:pStyle w:val="NoSpacing"/>
              <w:rPr>
                <w:lang w:val="en-AU"/>
              </w:rPr>
            </w:pPr>
            <w:r w:rsidRPr="002C1AEC">
              <w:rPr>
                <w:lang w:val="en-AU"/>
              </w:rPr>
              <w:t xml:space="preserve"> </w:t>
            </w:r>
            <m:oMath>
              <m:sSub>
                <m:sSubPr>
                  <m:ctrlPr>
                    <w:rPr>
                      <w:rFonts w:ascii="Cambria Math" w:hAnsi="Cambria Math"/>
                      <w:lang w:val="en-AU"/>
                    </w:rPr>
                  </m:ctrlPr>
                </m:sSubPr>
                <m:e>
                  <m:r>
                    <w:rPr>
                      <w:rFonts w:ascii="Cambria Math" w:hAnsi="Cambria Math"/>
                      <w:lang w:val="en-AU"/>
                    </w:rPr>
                    <m:t>A(Degraded)</m:t>
                  </m:r>
                </m:e>
                <m:sub>
                  <m:r>
                    <w:rPr>
                      <w:rFonts w:ascii="Cambria Math" w:hAnsi="Cambria Math"/>
                      <w:lang w:val="en-AU"/>
                    </w:rPr>
                    <m:t>i</m:t>
                  </m:r>
                  <m:r>
                    <m:rPr>
                      <m:sty m:val="p"/>
                    </m:rPr>
                    <w:rPr>
                      <w:rFonts w:ascii="Cambria Math" w:hAnsi="Cambria Math"/>
                      <w:lang w:val="en-AU"/>
                    </w:rPr>
                    <m:t>,n</m:t>
                  </m:r>
                </m:sub>
              </m:sSub>
            </m:oMath>
            <w:r w:rsidRPr="002C1AEC">
              <w:rPr>
                <w:lang w:val="en-AU"/>
              </w:rPr>
              <w:t xml:space="preserve"> is the total area degraded in the land cover type </w:t>
            </w:r>
            <w:r w:rsidRPr="002C1AEC">
              <w:rPr>
                <w:i/>
                <w:lang w:val="en-AU"/>
              </w:rPr>
              <w:t>i</w:t>
            </w:r>
            <w:r w:rsidRPr="002C1AEC">
              <w:rPr>
                <w:lang w:val="en-AU"/>
              </w:rPr>
              <w:t xml:space="preserve"> in the year of monitoring </w:t>
            </w:r>
            <w:r w:rsidRPr="002C1AEC">
              <w:rPr>
                <w:i/>
                <w:lang w:val="en-AU"/>
              </w:rPr>
              <w:t xml:space="preserve">n </w:t>
            </w:r>
            <w:r w:rsidRPr="002C1AEC">
              <w:rPr>
                <w:lang w:val="en-AU"/>
              </w:rPr>
              <w:t>(ha);</w:t>
            </w:r>
          </w:p>
          <w:p w14:paraId="517C2D30"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A(total)</m:t>
                  </m:r>
                </m:e>
                <m:sub>
                  <m:r>
                    <w:rPr>
                      <w:rFonts w:ascii="Cambria Math" w:hAnsi="Cambria Math"/>
                      <w:lang w:val="en-AU"/>
                    </w:rPr>
                    <m:t>i</m:t>
                  </m:r>
                  <m:r>
                    <m:rPr>
                      <m:sty m:val="p"/>
                    </m:rPr>
                    <w:rPr>
                      <w:rFonts w:ascii="Cambria Math" w:hAnsi="Cambria Math"/>
                      <w:lang w:val="en-AU"/>
                    </w:rPr>
                    <m:t>,n</m:t>
                  </m:r>
                </m:sub>
              </m:sSub>
            </m:oMath>
            <w:r w:rsidR="001F570F" w:rsidRPr="002C1AEC">
              <w:rPr>
                <w:lang w:val="en-AU"/>
              </w:rPr>
              <w:t xml:space="preserve"> </w:t>
            </w:r>
            <w:proofErr w:type="gramStart"/>
            <w:r w:rsidR="001F570F" w:rsidRPr="002C1AEC">
              <w:rPr>
                <w:lang w:val="en-AU"/>
              </w:rPr>
              <w:t>is</w:t>
            </w:r>
            <w:proofErr w:type="gramEnd"/>
            <w:r w:rsidR="001F570F" w:rsidRPr="002C1AEC">
              <w:rPr>
                <w:lang w:val="en-AU"/>
              </w:rPr>
              <w:t xml:space="preserve"> the total area of land cover type </w:t>
            </w:r>
            <w:r w:rsidR="001F570F" w:rsidRPr="002C1AEC">
              <w:rPr>
                <w:i/>
                <w:lang w:val="en-AU"/>
              </w:rPr>
              <w:t>i</w:t>
            </w:r>
            <w:r w:rsidR="001F570F" w:rsidRPr="002C1AEC">
              <w:rPr>
                <w:lang w:val="en-AU"/>
              </w:rPr>
              <w:t xml:space="preserve"> within the national boundary (ha). </w:t>
            </w:r>
          </w:p>
          <w:p w14:paraId="23DE70CB" w14:textId="77777777" w:rsidR="001F570F" w:rsidRPr="002C1AEC" w:rsidRDefault="001F570F" w:rsidP="001F570F">
            <w:pPr>
              <w:pStyle w:val="NoSpacing"/>
              <w:rPr>
                <w:lang w:val="en-AU"/>
              </w:rPr>
            </w:pPr>
          </w:p>
          <w:p w14:paraId="2799D3DF" w14:textId="77777777" w:rsidR="001F570F" w:rsidRPr="002C1AEC" w:rsidRDefault="001F570F" w:rsidP="001F570F">
            <w:pPr>
              <w:pStyle w:val="NoSpacing"/>
              <w:rPr>
                <w:lang w:val="en-AU"/>
              </w:rPr>
            </w:pPr>
            <w:r w:rsidRPr="002C1AEC">
              <w:rPr>
                <w:lang w:val="en-AU"/>
              </w:rPr>
              <w:t xml:space="preserve">The total area of land that is degraded over total land area is the accumulation across the </w:t>
            </w:r>
            <w:r w:rsidRPr="002C1AEC">
              <w:rPr>
                <w:i/>
                <w:lang w:val="en-AU"/>
              </w:rPr>
              <w:t>m</w:t>
            </w:r>
            <w:r w:rsidRPr="002C1AEC">
              <w:rPr>
                <w:lang w:val="en-AU"/>
              </w:rPr>
              <w:t xml:space="preserve"> land cover classes within the monitoring period </w:t>
            </w:r>
            <w:r w:rsidRPr="002C1AEC">
              <w:rPr>
                <w:i/>
                <w:lang w:val="en-AU"/>
              </w:rPr>
              <w:t xml:space="preserve">n </w:t>
            </w:r>
            <w:r w:rsidRPr="002C1AEC">
              <w:rPr>
                <w:lang w:val="en-AU"/>
              </w:rPr>
              <w:t>is given by:</w:t>
            </w:r>
          </w:p>
          <w:p w14:paraId="5361C75C" w14:textId="77777777" w:rsidR="001F570F" w:rsidRPr="002C1AEC" w:rsidRDefault="001F570F" w:rsidP="001F570F">
            <w:pPr>
              <w:pStyle w:val="NoSpacing"/>
              <w:rPr>
                <w:lang w:val="en-AU"/>
              </w:rPr>
            </w:pPr>
            <w:r w:rsidRPr="002C1AEC">
              <w:rPr>
                <w:lang w:val="en-AU"/>
              </w:rPr>
              <w:tab/>
            </w:r>
            <m:oMath>
              <m:sSub>
                <m:sSubPr>
                  <m:ctrlPr>
                    <w:rPr>
                      <w:rFonts w:ascii="Cambria Math" w:hAnsi="Cambria Math"/>
                      <w:lang w:val="en-AU"/>
                    </w:rPr>
                  </m:ctrlPr>
                </m:sSubPr>
                <m:e>
                  <m:r>
                    <w:rPr>
                      <w:rFonts w:ascii="Cambria Math" w:hAnsi="Cambria Math"/>
                      <w:lang w:val="en-AU"/>
                    </w:rPr>
                    <m:t>A(Degraded)</m:t>
                  </m:r>
                </m:e>
                <m:sub>
                  <m:r>
                    <m:rPr>
                      <m:sty m:val="p"/>
                    </m:rPr>
                    <w:rPr>
                      <w:rFonts w:ascii="Cambria Math" w:hAnsi="Cambria Math"/>
                      <w:lang w:val="en-AU"/>
                    </w:rPr>
                    <m:t>n</m:t>
                  </m:r>
                </m:sub>
              </m:sSub>
              <m:r>
                <m:rPr>
                  <m:sty m:val="p"/>
                </m:rPr>
                <w:rPr>
                  <w:rFonts w:ascii="Cambria Math" w:hAnsi="Cambria Math"/>
                  <w:lang w:val="en-AU"/>
                </w:rPr>
                <m:t>=</m:t>
              </m:r>
              <m:nary>
                <m:naryPr>
                  <m:chr m:val="∑"/>
                  <m:limLoc m:val="undOvr"/>
                  <m:ctrlPr>
                    <w:rPr>
                      <w:rFonts w:ascii="Cambria Math" w:hAnsi="Cambria Math"/>
                      <w:lang w:val="en-AU"/>
                    </w:rPr>
                  </m:ctrlPr>
                </m:naryPr>
                <m:sub>
                  <m:r>
                    <w:rPr>
                      <w:rFonts w:ascii="Cambria Math" w:hAnsi="Cambria Math"/>
                      <w:lang w:val="en-AU"/>
                    </w:rPr>
                    <m:t>i</m:t>
                  </m:r>
                </m:sub>
                <m:sup>
                  <m:r>
                    <w:rPr>
                      <w:rFonts w:ascii="Cambria Math" w:hAnsi="Cambria Math"/>
                      <w:lang w:val="en-AU"/>
                    </w:rPr>
                    <m:t>m</m:t>
                  </m:r>
                </m:sup>
                <m:e>
                  <m:sSub>
                    <m:sSubPr>
                      <m:ctrlPr>
                        <w:rPr>
                          <w:rFonts w:ascii="Cambria Math" w:hAnsi="Cambria Math"/>
                          <w:lang w:val="en-AU"/>
                        </w:rPr>
                      </m:ctrlPr>
                    </m:sSubPr>
                    <m:e>
                      <m:r>
                        <w:rPr>
                          <w:rFonts w:ascii="Cambria Math" w:hAnsi="Cambria Math"/>
                          <w:lang w:val="en-AU"/>
                        </w:rPr>
                        <m:t>A(Degraded)</m:t>
                      </m:r>
                    </m:e>
                    <m:sub>
                      <m:r>
                        <w:rPr>
                          <w:rFonts w:ascii="Cambria Math" w:hAnsi="Cambria Math"/>
                          <w:lang w:val="en-AU"/>
                        </w:rPr>
                        <m:t>i</m:t>
                      </m:r>
                      <m:r>
                        <m:rPr>
                          <m:sty m:val="p"/>
                        </m:rPr>
                        <w:rPr>
                          <w:rFonts w:ascii="Cambria Math" w:hAnsi="Cambria Math"/>
                          <w:lang w:val="en-AU"/>
                        </w:rPr>
                        <m:t>,n</m:t>
                      </m:r>
                    </m:sub>
                  </m:sSub>
                </m:e>
              </m:nary>
            </m:oMath>
            <w:r w:rsidRPr="002C1AEC">
              <w:rPr>
                <w:lang w:val="en-AU"/>
              </w:rPr>
              <w:tab/>
              <w:t>(3)</w:t>
            </w:r>
          </w:p>
          <w:p w14:paraId="6929FAD9" w14:textId="77777777" w:rsidR="001F570F" w:rsidRPr="002C1AEC" w:rsidRDefault="001F570F" w:rsidP="001F570F">
            <w:pPr>
              <w:pStyle w:val="NoSpacing"/>
              <w:rPr>
                <w:lang w:val="en-AU"/>
              </w:rPr>
            </w:pPr>
            <w:r w:rsidRPr="002C1AEC">
              <w:rPr>
                <w:lang w:val="en-AU"/>
              </w:rPr>
              <w:t>Where</w:t>
            </w:r>
          </w:p>
          <w:p w14:paraId="0A893C4A"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A(Degraded)</m:t>
                  </m:r>
                </m:e>
                <m:sub>
                  <m:r>
                    <m:rPr>
                      <m:sty m:val="p"/>
                    </m:rPr>
                    <w:rPr>
                      <w:rFonts w:ascii="Cambria Math" w:hAnsi="Cambria Math"/>
                      <w:lang w:val="en-AU"/>
                    </w:rPr>
                    <m:t>n</m:t>
                  </m:r>
                </m:sub>
              </m:sSub>
            </m:oMath>
            <w:r w:rsidR="001F570F" w:rsidRPr="002C1AEC">
              <w:rPr>
                <w:lang w:val="en-AU"/>
              </w:rPr>
              <w:t xml:space="preserve"> is the total area degraded in the year of monitoring </w:t>
            </w:r>
            <w:r w:rsidR="001F570F" w:rsidRPr="002C1AEC">
              <w:rPr>
                <w:i/>
                <w:lang w:val="en-AU"/>
              </w:rPr>
              <w:t xml:space="preserve">n </w:t>
            </w:r>
            <w:r w:rsidR="001F570F" w:rsidRPr="002C1AEC">
              <w:rPr>
                <w:lang w:val="en-AU"/>
              </w:rPr>
              <w:t>(ha);</w:t>
            </w:r>
          </w:p>
          <w:p w14:paraId="4DDA941C"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A(Degraded)</m:t>
                  </m:r>
                </m:e>
                <m:sub>
                  <m:r>
                    <w:rPr>
                      <w:rFonts w:ascii="Cambria Math" w:hAnsi="Cambria Math"/>
                      <w:lang w:val="en-AU"/>
                    </w:rPr>
                    <m:t>i</m:t>
                  </m:r>
                  <m:r>
                    <m:rPr>
                      <m:sty m:val="p"/>
                    </m:rPr>
                    <w:rPr>
                      <w:rFonts w:ascii="Cambria Math" w:hAnsi="Cambria Math"/>
                      <w:lang w:val="en-AU"/>
                    </w:rPr>
                    <m:t>,n</m:t>
                  </m:r>
                </m:sub>
              </m:sSub>
            </m:oMath>
            <w:r w:rsidR="001F570F" w:rsidRPr="002C1AEC">
              <w:rPr>
                <w:lang w:val="en-AU"/>
              </w:rPr>
              <w:t xml:space="preserve"> </w:t>
            </w:r>
            <w:proofErr w:type="gramStart"/>
            <w:r w:rsidR="001F570F" w:rsidRPr="002C1AEC">
              <w:rPr>
                <w:lang w:val="en-AU"/>
              </w:rPr>
              <w:t>is</w:t>
            </w:r>
            <w:proofErr w:type="gramEnd"/>
            <w:r w:rsidR="001F570F" w:rsidRPr="002C1AEC">
              <w:rPr>
                <w:lang w:val="en-AU"/>
              </w:rPr>
              <w:t xml:space="preserve"> the total area degraded in the land cover type </w:t>
            </w:r>
            <w:r w:rsidR="001F570F" w:rsidRPr="002C1AEC">
              <w:rPr>
                <w:i/>
                <w:lang w:val="en-AU"/>
              </w:rPr>
              <w:t>i</w:t>
            </w:r>
            <w:r w:rsidR="001F570F" w:rsidRPr="002C1AEC">
              <w:rPr>
                <w:lang w:val="en-AU"/>
              </w:rPr>
              <w:t xml:space="preserve"> in the year of monitoring </w:t>
            </w:r>
            <w:r w:rsidR="001F570F" w:rsidRPr="002C1AEC">
              <w:rPr>
                <w:i/>
                <w:lang w:val="en-AU"/>
              </w:rPr>
              <w:t>n</w:t>
            </w:r>
            <w:r w:rsidR="001F570F" w:rsidRPr="002C1AEC">
              <w:rPr>
                <w:lang w:val="en-AU"/>
              </w:rPr>
              <w:t>.</w:t>
            </w:r>
          </w:p>
          <w:p w14:paraId="5570DCF9" w14:textId="77777777" w:rsidR="001F570F" w:rsidRPr="002C1AEC" w:rsidRDefault="001F570F" w:rsidP="001F570F">
            <w:pPr>
              <w:pStyle w:val="NoSpacing"/>
              <w:rPr>
                <w:lang w:val="en-AU"/>
              </w:rPr>
            </w:pPr>
          </w:p>
          <w:p w14:paraId="65DA1E63" w14:textId="77777777" w:rsidR="001F570F" w:rsidRPr="002C1AEC" w:rsidRDefault="001F570F" w:rsidP="001F570F">
            <w:pPr>
              <w:pStyle w:val="NoSpacing"/>
              <w:rPr>
                <w:lang w:val="en-AU"/>
              </w:rPr>
            </w:pPr>
            <w:r w:rsidRPr="002C1AEC">
              <w:rPr>
                <w:lang w:val="en-AU"/>
              </w:rPr>
              <w:t>The total proportion of land that is degraded</w:t>
            </w:r>
            <w:r w:rsidRPr="002C1AEC">
              <w:rPr>
                <w:lang w:val="en-NZ"/>
              </w:rPr>
              <w:t xml:space="preserve"> </w:t>
            </w:r>
            <w:r w:rsidRPr="002C1AEC">
              <w:rPr>
                <w:lang w:val="en-AU"/>
              </w:rPr>
              <w:t>over total land area is given by:</w:t>
            </w:r>
          </w:p>
          <w:p w14:paraId="7BCCA550" w14:textId="77777777" w:rsidR="001F570F" w:rsidRPr="002C1AEC" w:rsidRDefault="001F570F" w:rsidP="001F570F">
            <w:pPr>
              <w:pStyle w:val="NoSpacing"/>
              <w:rPr>
                <w:lang w:val="en-AU"/>
              </w:rPr>
            </w:pPr>
            <w:r w:rsidRPr="002C1AEC">
              <w:rPr>
                <w:lang w:val="en-AU"/>
              </w:rPr>
              <w:tab/>
            </w:r>
            <m:oMath>
              <m:sSub>
                <m:sSubPr>
                  <m:ctrlPr>
                    <w:rPr>
                      <w:rFonts w:ascii="Cambria Math" w:hAnsi="Cambria Math"/>
                      <w:lang w:val="en-AU"/>
                    </w:rPr>
                  </m:ctrlPr>
                </m:sSubPr>
                <m:e>
                  <m:r>
                    <w:rPr>
                      <w:rFonts w:ascii="Cambria Math" w:hAnsi="Cambria Math"/>
                      <w:lang w:val="en-AU"/>
                    </w:rPr>
                    <m:t>P</m:t>
                  </m:r>
                </m:e>
                <m:sub>
                  <m:r>
                    <m:rPr>
                      <m:sty m:val="p"/>
                    </m:rPr>
                    <w:rPr>
                      <w:rFonts w:ascii="Cambria Math" w:hAnsi="Cambria Math"/>
                      <w:lang w:val="en-AU"/>
                    </w:rPr>
                    <m:t>n</m:t>
                  </m:r>
                </m:sub>
              </m:sSub>
              <m:r>
                <m:rPr>
                  <m:sty m:val="p"/>
                </m:rPr>
                <w:rPr>
                  <w:rFonts w:ascii="Cambria Math" w:hAnsi="Cambria Math"/>
                  <w:lang w:val="en-AU"/>
                </w:rPr>
                <m:t>=</m:t>
              </m:r>
              <m:f>
                <m:fPr>
                  <m:ctrlPr>
                    <w:rPr>
                      <w:rFonts w:ascii="Cambria Math" w:hAnsi="Cambria Math"/>
                      <w:lang w:val="en-AU"/>
                    </w:rPr>
                  </m:ctrlPr>
                </m:fPr>
                <m:num>
                  <m:sSub>
                    <m:sSubPr>
                      <m:ctrlPr>
                        <w:rPr>
                          <w:rFonts w:ascii="Cambria Math" w:hAnsi="Cambria Math"/>
                          <w:lang w:val="en-AU"/>
                        </w:rPr>
                      </m:ctrlPr>
                    </m:sSubPr>
                    <m:e>
                      <m:r>
                        <w:rPr>
                          <w:rFonts w:ascii="Cambria Math" w:hAnsi="Cambria Math"/>
                          <w:lang w:val="en-AU"/>
                        </w:rPr>
                        <m:t>A(Degraded)</m:t>
                      </m:r>
                    </m:e>
                    <m:sub>
                      <m:r>
                        <m:rPr>
                          <m:sty m:val="p"/>
                        </m:rPr>
                        <w:rPr>
                          <w:rFonts w:ascii="Cambria Math" w:hAnsi="Cambria Math"/>
                          <w:lang w:val="en-AU"/>
                        </w:rPr>
                        <m:t>n</m:t>
                      </m:r>
                    </m:sub>
                  </m:sSub>
                </m:num>
                <m:den>
                  <m:nary>
                    <m:naryPr>
                      <m:chr m:val="∑"/>
                      <m:limLoc m:val="undOvr"/>
                      <m:ctrlPr>
                        <w:rPr>
                          <w:rFonts w:ascii="Cambria Math" w:hAnsi="Cambria Math"/>
                          <w:lang w:val="en-AU"/>
                        </w:rPr>
                      </m:ctrlPr>
                    </m:naryPr>
                    <m:sub>
                      <m:r>
                        <w:rPr>
                          <w:rFonts w:ascii="Cambria Math" w:hAnsi="Cambria Math"/>
                          <w:lang w:val="en-AU"/>
                        </w:rPr>
                        <m:t>i</m:t>
                      </m:r>
                    </m:sub>
                    <m:sup>
                      <m:r>
                        <w:rPr>
                          <w:rFonts w:ascii="Cambria Math" w:hAnsi="Cambria Math"/>
                          <w:lang w:val="en-AU"/>
                        </w:rPr>
                        <m:t>m</m:t>
                      </m:r>
                    </m:sup>
                    <m:e>
                      <m:r>
                        <m:rPr>
                          <m:sty m:val="p"/>
                        </m:rPr>
                        <w:rPr>
                          <w:rFonts w:ascii="Cambria Math" w:hAnsi="Cambria Math"/>
                          <w:lang w:val="en-AU"/>
                        </w:rPr>
                        <m:t>A(Total)</m:t>
                      </m:r>
                    </m:e>
                  </m:nary>
                </m:den>
              </m:f>
            </m:oMath>
            <w:r w:rsidRPr="002C1AEC">
              <w:rPr>
                <w:lang w:val="en-AU"/>
              </w:rPr>
              <w:tab/>
              <w:t>(4)</w:t>
            </w:r>
          </w:p>
          <w:p w14:paraId="74EED6BC" w14:textId="77777777" w:rsidR="001F570F" w:rsidRPr="002C1AEC" w:rsidRDefault="001F570F" w:rsidP="001F570F">
            <w:pPr>
              <w:pStyle w:val="NoSpacing"/>
              <w:rPr>
                <w:lang w:val="en-AU"/>
              </w:rPr>
            </w:pPr>
            <w:r w:rsidRPr="002C1AEC">
              <w:rPr>
                <w:lang w:val="en-AU"/>
              </w:rPr>
              <w:t>Where</w:t>
            </w:r>
          </w:p>
          <w:p w14:paraId="09B0E110" w14:textId="77777777" w:rsidR="001F570F" w:rsidRPr="002C1AEC" w:rsidRDefault="004B4A24" w:rsidP="001F570F">
            <w:pPr>
              <w:pStyle w:val="NoSpacing"/>
              <w:rPr>
                <w:lang w:val="en-AU"/>
              </w:rPr>
            </w:pPr>
            <m:oMath>
              <m:sSub>
                <m:sSubPr>
                  <m:ctrlPr>
                    <w:rPr>
                      <w:rFonts w:ascii="Cambria Math" w:hAnsi="Cambria Math"/>
                      <w:lang w:val="en-AU"/>
                    </w:rPr>
                  </m:ctrlPr>
                </m:sSubPr>
                <m:e>
                  <m:r>
                    <w:rPr>
                      <w:rFonts w:ascii="Cambria Math" w:hAnsi="Cambria Math"/>
                      <w:lang w:val="en-AU"/>
                    </w:rPr>
                    <m:t>P</m:t>
                  </m:r>
                </m:e>
                <m:sub>
                  <m:r>
                    <m:rPr>
                      <m:sty m:val="p"/>
                    </m:rPr>
                    <w:rPr>
                      <w:rFonts w:ascii="Cambria Math" w:hAnsi="Cambria Math"/>
                      <w:lang w:val="en-AU"/>
                    </w:rPr>
                    <m:t>n</m:t>
                  </m:r>
                </m:sub>
              </m:sSub>
            </m:oMath>
            <w:r w:rsidR="001F570F" w:rsidRPr="002C1AEC">
              <w:rPr>
                <w:lang w:val="en-AU"/>
              </w:rPr>
              <w:t xml:space="preserve"> is the proportion of land that is degraded over total land area;</w:t>
            </w:r>
          </w:p>
          <w:p w14:paraId="61B6D28A" w14:textId="77777777" w:rsidR="001F570F" w:rsidRPr="002C1AEC" w:rsidRDefault="004B4A24" w:rsidP="001F570F">
            <w:pPr>
              <w:pStyle w:val="NoSpacing"/>
              <w:rPr>
                <w:i/>
                <w:lang w:val="en-AU"/>
              </w:rPr>
            </w:pPr>
            <m:oMath>
              <m:sSub>
                <m:sSubPr>
                  <m:ctrlPr>
                    <w:rPr>
                      <w:rFonts w:ascii="Cambria Math" w:hAnsi="Cambria Math"/>
                      <w:lang w:val="en-AU"/>
                    </w:rPr>
                  </m:ctrlPr>
                </m:sSubPr>
                <m:e>
                  <m:r>
                    <w:rPr>
                      <w:rFonts w:ascii="Cambria Math" w:hAnsi="Cambria Math"/>
                      <w:lang w:val="en-AU"/>
                    </w:rPr>
                    <m:t>A(Degraded)</m:t>
                  </m:r>
                </m:e>
                <m:sub>
                  <m:r>
                    <m:rPr>
                      <m:sty m:val="p"/>
                    </m:rPr>
                    <w:rPr>
                      <w:rFonts w:ascii="Cambria Math" w:hAnsi="Cambria Math"/>
                      <w:lang w:val="en-AU"/>
                    </w:rPr>
                    <m:t>n</m:t>
                  </m:r>
                </m:sub>
              </m:sSub>
            </m:oMath>
            <w:r w:rsidR="001F570F" w:rsidRPr="002C1AEC">
              <w:rPr>
                <w:lang w:val="en-AU"/>
              </w:rPr>
              <w:t xml:space="preserve"> is the total area degraded in the year of monitoring </w:t>
            </w:r>
            <w:r w:rsidR="001F570F" w:rsidRPr="002C1AEC">
              <w:rPr>
                <w:i/>
                <w:lang w:val="en-AU"/>
              </w:rPr>
              <w:t xml:space="preserve">n </w:t>
            </w:r>
            <w:r w:rsidR="001F570F" w:rsidRPr="002C1AEC">
              <w:rPr>
                <w:lang w:val="en-AU"/>
              </w:rPr>
              <w:t>(ha)</w:t>
            </w:r>
            <w:r w:rsidR="001F570F" w:rsidRPr="002C1AEC">
              <w:rPr>
                <w:i/>
                <w:lang w:val="en-AU"/>
              </w:rPr>
              <w:t>;</w:t>
            </w:r>
          </w:p>
          <w:p w14:paraId="3DB7ED05" w14:textId="77777777" w:rsidR="001F570F" w:rsidRPr="002C1AEC" w:rsidRDefault="001F570F" w:rsidP="001F570F">
            <w:pPr>
              <w:pStyle w:val="NoSpacing"/>
              <w:rPr>
                <w:lang w:val="en-AU"/>
              </w:rPr>
            </w:pPr>
            <m:oMath>
              <m:r>
                <m:rPr>
                  <m:sty m:val="p"/>
                </m:rPr>
                <w:rPr>
                  <w:rFonts w:ascii="Cambria Math" w:hAnsi="Cambria Math"/>
                  <w:lang w:val="en-AU"/>
                </w:rPr>
                <m:t>A(Total)</m:t>
              </m:r>
            </m:oMath>
            <w:r w:rsidRPr="002C1AEC">
              <w:rPr>
                <w:lang w:val="en-AU"/>
              </w:rPr>
              <w:t xml:space="preserve"> </w:t>
            </w:r>
            <w:proofErr w:type="gramStart"/>
            <w:r w:rsidRPr="002C1AEC">
              <w:rPr>
                <w:lang w:val="en-AU"/>
              </w:rPr>
              <w:t>is</w:t>
            </w:r>
            <w:proofErr w:type="gramEnd"/>
            <w:r w:rsidRPr="002C1AEC">
              <w:rPr>
                <w:lang w:val="en-AU"/>
              </w:rPr>
              <w:t xml:space="preserve"> the total area within the national boundary (ha).</w:t>
            </w:r>
          </w:p>
          <w:p w14:paraId="540CC071" w14:textId="77777777" w:rsidR="001F570F" w:rsidRDefault="001F570F" w:rsidP="001F570F">
            <w:pPr>
              <w:pStyle w:val="NoSpacing"/>
            </w:pPr>
            <w:r w:rsidRPr="002C1AEC">
              <w:rPr>
                <w:lang w:val="en-AU"/>
              </w:rPr>
              <w:br/>
              <w:t xml:space="preserve">The proportion is converted to a percentage value by multiplying by 100. </w:t>
            </w:r>
            <w:r w:rsidRPr="002C1AEC">
              <w:rPr>
                <w:b/>
              </w:rPr>
              <w:br w:type="page"/>
            </w:r>
          </w:p>
        </w:tc>
        <w:tc>
          <w:tcPr>
            <w:tcW w:w="0" w:type="auto"/>
          </w:tcPr>
          <w:p w14:paraId="083F90E9" w14:textId="77777777" w:rsidR="001F570F" w:rsidRPr="0044302B" w:rsidRDefault="001F570F" w:rsidP="001F570F">
            <w:pPr>
              <w:pStyle w:val="NoSpacing"/>
            </w:pPr>
            <w:r w:rsidRPr="00D72CA6">
              <w:lastRenderedPageBreak/>
              <w:t xml:space="preserve">Data will be provided by national authorities (“main reporting entity”) to the UNCCD in their national reports following a standard format every four years beginning in 2018 or through other national data platforms </w:t>
            </w:r>
            <w:r w:rsidRPr="00D72CA6">
              <w:lastRenderedPageBreak/>
              <w:t>and mechanisms endorsed by the UN Statistical Commission</w:t>
            </w:r>
            <w:r>
              <w:t>.</w:t>
            </w:r>
          </w:p>
        </w:tc>
        <w:tc>
          <w:tcPr>
            <w:tcW w:w="0" w:type="auto"/>
          </w:tcPr>
          <w:p w14:paraId="09A6F6AA" w14:textId="77777777" w:rsidR="001F570F" w:rsidRPr="0044302B" w:rsidRDefault="001F570F" w:rsidP="001F570F">
            <w:pPr>
              <w:pStyle w:val="NoSpacing"/>
            </w:pPr>
            <w:r w:rsidRPr="002400E2">
              <w:lastRenderedPageBreak/>
              <w:t xml:space="preserve">The ministries or agencies (“main reporting entity”) that host the UNCCD National Focal Points, in conjunction with National Statistical </w:t>
            </w:r>
            <w:r w:rsidRPr="002400E2">
              <w:lastRenderedPageBreak/>
              <w:t>Offices and specialized agencies</w:t>
            </w:r>
          </w:p>
        </w:tc>
        <w:tc>
          <w:tcPr>
            <w:tcW w:w="0" w:type="auto"/>
          </w:tcPr>
          <w:p w14:paraId="5A6B1712" w14:textId="6F73CA7C" w:rsidR="001F570F" w:rsidRDefault="001F570F" w:rsidP="001F570F">
            <w:pPr>
              <w:pStyle w:val="NoSpacing"/>
              <w:rPr>
                <w:color w:val="0070C0"/>
                <w:sz w:val="30"/>
                <w:szCs w:val="30"/>
              </w:rPr>
            </w:pPr>
          </w:p>
        </w:tc>
        <w:tc>
          <w:tcPr>
            <w:tcW w:w="0" w:type="auto"/>
          </w:tcPr>
          <w:p w14:paraId="5960F709" w14:textId="77777777" w:rsidR="001F570F" w:rsidRPr="00965F6F" w:rsidRDefault="001F570F" w:rsidP="001F570F">
            <w:pPr>
              <w:pStyle w:val="NoSpacing"/>
            </w:pPr>
            <w:r>
              <w:t xml:space="preserve">a) </w:t>
            </w:r>
            <w:r w:rsidRPr="00965F6F">
              <w:t>DoE</w:t>
            </w:r>
            <w:r>
              <w:t>, MOEFCC</w:t>
            </w:r>
          </w:p>
          <w:p w14:paraId="77F20AE1" w14:textId="77777777" w:rsidR="001F570F" w:rsidRDefault="001F570F" w:rsidP="001F570F">
            <w:pPr>
              <w:pStyle w:val="NoSpacing"/>
            </w:pPr>
            <w:r>
              <w:t xml:space="preserve">b) </w:t>
            </w:r>
            <w:r w:rsidRPr="00965F6F">
              <w:t>MoL</w:t>
            </w:r>
          </w:p>
          <w:p w14:paraId="1B98482F" w14:textId="77777777" w:rsidR="001F570F" w:rsidRDefault="001F570F" w:rsidP="001F570F">
            <w:pPr>
              <w:pStyle w:val="NoSpacing"/>
            </w:pPr>
            <w:r>
              <w:t>c) FAO</w:t>
            </w:r>
          </w:p>
          <w:p w14:paraId="3C160306" w14:textId="77777777" w:rsidR="001F570F" w:rsidRDefault="001F570F" w:rsidP="001F570F">
            <w:pPr>
              <w:ind w:left="970" w:hanging="970"/>
              <w:jc w:val="both"/>
              <w:rPr>
                <w:color w:val="0070C0"/>
                <w:sz w:val="30"/>
                <w:szCs w:val="30"/>
              </w:rPr>
            </w:pPr>
            <w:r>
              <w:t>Big Data</w:t>
            </w:r>
          </w:p>
        </w:tc>
        <w:tc>
          <w:tcPr>
            <w:tcW w:w="0" w:type="auto"/>
          </w:tcPr>
          <w:p w14:paraId="337ECFC0"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land cover class</w:t>
            </w:r>
          </w:p>
          <w:p w14:paraId="22F4D909"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spatially explicit land unit</w:t>
            </w:r>
          </w:p>
          <w:p w14:paraId="2636F168" w14:textId="77777777" w:rsidR="001F570F" w:rsidRDefault="001F570F" w:rsidP="001F570F">
            <w:pPr>
              <w:ind w:left="970" w:hanging="970"/>
              <w:jc w:val="both"/>
              <w:rPr>
                <w:color w:val="0070C0"/>
                <w:sz w:val="30"/>
                <w:szCs w:val="30"/>
              </w:rPr>
            </w:pPr>
          </w:p>
        </w:tc>
        <w:tc>
          <w:tcPr>
            <w:tcW w:w="0" w:type="auto"/>
          </w:tcPr>
          <w:p w14:paraId="24D7F308" w14:textId="77777777" w:rsidR="001F570F" w:rsidRDefault="001F570F" w:rsidP="001F570F">
            <w:pPr>
              <w:ind w:left="970" w:hanging="970"/>
              <w:jc w:val="both"/>
              <w:rPr>
                <w:color w:val="0070C0"/>
                <w:sz w:val="30"/>
                <w:szCs w:val="30"/>
              </w:rPr>
            </w:pPr>
            <w:r w:rsidRPr="001661BE">
              <w:t>Bi-annual</w:t>
            </w:r>
          </w:p>
        </w:tc>
        <w:tc>
          <w:tcPr>
            <w:tcW w:w="0" w:type="auto"/>
          </w:tcPr>
          <w:p w14:paraId="0B9341FE" w14:textId="77777777" w:rsidR="001F570F" w:rsidRDefault="001F570F" w:rsidP="001F570F">
            <w:pPr>
              <w:ind w:left="970" w:hanging="970"/>
              <w:jc w:val="both"/>
              <w:rPr>
                <w:color w:val="0070C0"/>
                <w:sz w:val="30"/>
                <w:szCs w:val="30"/>
              </w:rPr>
            </w:pPr>
            <w:r>
              <w:t>Group 2</w:t>
            </w:r>
          </w:p>
        </w:tc>
        <w:tc>
          <w:tcPr>
            <w:tcW w:w="0" w:type="auto"/>
          </w:tcPr>
          <w:p w14:paraId="1B2D5089" w14:textId="77777777" w:rsidR="001F570F" w:rsidRDefault="001F570F" w:rsidP="001F570F">
            <w:pPr>
              <w:pStyle w:val="NoSpacing"/>
            </w:pPr>
            <w:r>
              <w:t>1</w:t>
            </w:r>
            <w:r w:rsidRPr="00013ACB">
              <w:rPr>
                <w:vertAlign w:val="superscript"/>
              </w:rPr>
              <w:t>st</w:t>
            </w:r>
            <w:r>
              <w:t xml:space="preserve"> Round:</w:t>
            </w:r>
          </w:p>
          <w:p w14:paraId="34776B64" w14:textId="77777777" w:rsidR="001F570F" w:rsidRDefault="001F570F" w:rsidP="001F570F">
            <w:pPr>
              <w:pStyle w:val="NoSpacing"/>
            </w:pPr>
            <w:r w:rsidRPr="00670519">
              <w:t>July, 2020</w:t>
            </w:r>
          </w:p>
          <w:p w14:paraId="645FAA13" w14:textId="77777777" w:rsidR="001F570F" w:rsidRDefault="001F570F" w:rsidP="001F570F">
            <w:pPr>
              <w:pStyle w:val="NoSpacing"/>
            </w:pPr>
          </w:p>
          <w:p w14:paraId="450C976F" w14:textId="77777777" w:rsidR="001F570F" w:rsidRDefault="001F570F" w:rsidP="001F570F">
            <w:pPr>
              <w:pStyle w:val="NoSpacing"/>
            </w:pPr>
            <w:r>
              <w:t>2</w:t>
            </w:r>
            <w:r w:rsidRPr="00013ACB">
              <w:rPr>
                <w:vertAlign w:val="superscript"/>
              </w:rPr>
              <w:t>nd</w:t>
            </w:r>
            <w:r>
              <w:t xml:space="preserve"> Round:</w:t>
            </w:r>
          </w:p>
          <w:p w14:paraId="0F1A52D2" w14:textId="77777777" w:rsidR="001F570F" w:rsidRDefault="001F570F" w:rsidP="001F570F">
            <w:pPr>
              <w:pStyle w:val="NoSpacing"/>
            </w:pPr>
            <w:r>
              <w:t xml:space="preserve"> July, 2022</w:t>
            </w:r>
          </w:p>
          <w:p w14:paraId="7FE7FF6D" w14:textId="77777777" w:rsidR="001F570F" w:rsidRDefault="001F570F" w:rsidP="001F570F">
            <w:pPr>
              <w:pStyle w:val="NoSpacing"/>
            </w:pPr>
          </w:p>
          <w:p w14:paraId="023F0132" w14:textId="77777777" w:rsidR="001F570F" w:rsidRDefault="001F570F" w:rsidP="001F570F">
            <w:pPr>
              <w:pStyle w:val="NoSpacing"/>
            </w:pPr>
            <w:r>
              <w:t>3</w:t>
            </w:r>
            <w:r w:rsidRPr="00013ACB">
              <w:rPr>
                <w:vertAlign w:val="superscript"/>
              </w:rPr>
              <w:t>rd</w:t>
            </w:r>
            <w:r>
              <w:t xml:space="preserve"> Round: </w:t>
            </w:r>
          </w:p>
          <w:p w14:paraId="461D93BC" w14:textId="77777777" w:rsidR="001F570F" w:rsidRDefault="001F570F" w:rsidP="001F570F">
            <w:pPr>
              <w:pStyle w:val="NoSpacing"/>
            </w:pPr>
            <w:r>
              <w:t>July, 2024</w:t>
            </w:r>
          </w:p>
          <w:p w14:paraId="77B97274" w14:textId="77777777" w:rsidR="001F570F" w:rsidRDefault="001F570F" w:rsidP="001F570F">
            <w:pPr>
              <w:pStyle w:val="NoSpacing"/>
            </w:pPr>
          </w:p>
          <w:p w14:paraId="2068D736" w14:textId="77777777" w:rsidR="001F570F" w:rsidRDefault="001F570F" w:rsidP="001F570F">
            <w:pPr>
              <w:pStyle w:val="NoSpacing"/>
            </w:pPr>
            <w:r>
              <w:lastRenderedPageBreak/>
              <w:t>4</w:t>
            </w:r>
            <w:r w:rsidRPr="00013ACB">
              <w:rPr>
                <w:vertAlign w:val="superscript"/>
              </w:rPr>
              <w:t>th</w:t>
            </w:r>
            <w:r>
              <w:t xml:space="preserve"> Round: </w:t>
            </w:r>
          </w:p>
          <w:p w14:paraId="7114EAE3" w14:textId="77777777" w:rsidR="001F570F" w:rsidRDefault="001F570F" w:rsidP="001F570F">
            <w:pPr>
              <w:pStyle w:val="NoSpacing"/>
            </w:pPr>
            <w:r>
              <w:t>July, 2026</w:t>
            </w:r>
          </w:p>
          <w:p w14:paraId="4A83F01D" w14:textId="77777777" w:rsidR="001F570F" w:rsidRDefault="001F570F" w:rsidP="001F570F">
            <w:pPr>
              <w:pStyle w:val="NoSpacing"/>
            </w:pPr>
          </w:p>
          <w:p w14:paraId="429F66DF" w14:textId="77777777" w:rsidR="001F570F" w:rsidRDefault="001F570F" w:rsidP="001F570F">
            <w:pPr>
              <w:pStyle w:val="NoSpacing"/>
            </w:pPr>
            <w:r>
              <w:t>5</w:t>
            </w:r>
            <w:r w:rsidRPr="00013ACB">
              <w:rPr>
                <w:vertAlign w:val="superscript"/>
              </w:rPr>
              <w:t>th</w:t>
            </w:r>
            <w:r>
              <w:t xml:space="preserve"> Round: </w:t>
            </w:r>
          </w:p>
          <w:p w14:paraId="783A46C9" w14:textId="77777777" w:rsidR="001F570F" w:rsidRDefault="001F570F" w:rsidP="001F570F">
            <w:pPr>
              <w:pStyle w:val="NoSpacing"/>
            </w:pPr>
            <w:r>
              <w:t>July, 2028</w:t>
            </w:r>
          </w:p>
          <w:p w14:paraId="2B5756B6" w14:textId="584654C1" w:rsidR="001F570F" w:rsidRDefault="001F570F" w:rsidP="001F570F">
            <w:pPr>
              <w:pStyle w:val="NoSpacing"/>
            </w:pPr>
          </w:p>
        </w:tc>
        <w:tc>
          <w:tcPr>
            <w:tcW w:w="0" w:type="auto"/>
          </w:tcPr>
          <w:p w14:paraId="50A648C0" w14:textId="77777777" w:rsidR="001F570F" w:rsidRDefault="001F570F" w:rsidP="001F570F">
            <w:pPr>
              <w:pStyle w:val="NoSpacing"/>
            </w:pPr>
            <w:r>
              <w:lastRenderedPageBreak/>
              <w:t>Data availability reviewed in Oct. 2019</w:t>
            </w:r>
          </w:p>
          <w:p w14:paraId="1641D647" w14:textId="77777777" w:rsidR="001F570F" w:rsidRDefault="001F570F" w:rsidP="001F570F">
            <w:pPr>
              <w:pStyle w:val="NoSpacing"/>
            </w:pPr>
            <w:r>
              <w:t>(classified as Tier I)</w:t>
            </w:r>
          </w:p>
          <w:p w14:paraId="76C6242D" w14:textId="77777777" w:rsidR="001F570F" w:rsidRDefault="001F570F" w:rsidP="001F570F">
            <w:pPr>
              <w:pStyle w:val="NoSpacing"/>
            </w:pPr>
          </w:p>
          <w:p w14:paraId="2A66D001" w14:textId="77777777" w:rsidR="001F570F" w:rsidRDefault="001F570F" w:rsidP="001F570F">
            <w:pPr>
              <w:pStyle w:val="NoSpacing"/>
            </w:pPr>
            <w:r>
              <w:t xml:space="preserve">Reviewed at 6th IAEG-SDG meeting </w:t>
            </w:r>
            <w:r>
              <w:lastRenderedPageBreak/>
              <w:t>(classified as Tier II)</w:t>
            </w:r>
          </w:p>
          <w:p w14:paraId="4546815E" w14:textId="77777777" w:rsidR="001F570F" w:rsidRDefault="001F570F" w:rsidP="001F570F">
            <w:pPr>
              <w:pStyle w:val="NoSpacing"/>
            </w:pPr>
          </w:p>
          <w:p w14:paraId="3CDDC62B" w14:textId="1D2E51F9" w:rsidR="001F570F" w:rsidRDefault="001F570F" w:rsidP="001F570F">
            <w:pPr>
              <w:pStyle w:val="NoSpacing"/>
            </w:pPr>
            <w:r>
              <w:t xml:space="preserve">Fast Track; Reviewed at 5th IAEG-SDG meeting: Request finalised methodology development with metadata (classified as </w:t>
            </w:r>
            <w:r w:rsidR="006B621F">
              <w:t>TBD</w:t>
            </w:r>
            <w:r>
              <w:t>)</w:t>
            </w:r>
          </w:p>
        </w:tc>
      </w:tr>
      <w:tr w:rsidR="001F570F" w14:paraId="09D5E5AC" w14:textId="77777777" w:rsidTr="00A64F0D">
        <w:tc>
          <w:tcPr>
            <w:tcW w:w="0" w:type="auto"/>
          </w:tcPr>
          <w:p w14:paraId="0F0CA479" w14:textId="77777777" w:rsidR="001F570F" w:rsidRDefault="001F570F" w:rsidP="001F570F">
            <w:pPr>
              <w:ind w:left="970" w:hanging="970"/>
              <w:jc w:val="both"/>
              <w:rPr>
                <w:color w:val="0070C0"/>
                <w:sz w:val="30"/>
                <w:szCs w:val="30"/>
              </w:rPr>
            </w:pPr>
          </w:p>
        </w:tc>
        <w:tc>
          <w:tcPr>
            <w:tcW w:w="0" w:type="auto"/>
            <w:gridSpan w:val="12"/>
          </w:tcPr>
          <w:p w14:paraId="730E6216"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15.4 By 2030, ensure the conservation of mountain ecosystems, including their biodiversity, in order to enhance their capacity to provide benefits that are essential for sustainable development</w:t>
            </w:r>
          </w:p>
        </w:tc>
      </w:tr>
      <w:tr w:rsidR="001F570F" w14:paraId="3D96BB6E" w14:textId="77777777" w:rsidTr="00A64F0D">
        <w:tc>
          <w:tcPr>
            <w:tcW w:w="0" w:type="auto"/>
          </w:tcPr>
          <w:p w14:paraId="6DD8BEBD" w14:textId="77777777" w:rsidR="001F570F" w:rsidRDefault="001F570F" w:rsidP="001F570F">
            <w:pPr>
              <w:pStyle w:val="NoSpacing"/>
            </w:pPr>
            <w:r w:rsidRPr="00BA046C">
              <w:t>15.4.1 Coverage by protected areas of important sites for mountain biodiversity</w:t>
            </w:r>
          </w:p>
        </w:tc>
        <w:tc>
          <w:tcPr>
            <w:tcW w:w="0" w:type="auto"/>
          </w:tcPr>
          <w:p w14:paraId="2F1A4EE6" w14:textId="77777777" w:rsidR="001F570F" w:rsidRDefault="001F570F" w:rsidP="001F570F">
            <w:pPr>
              <w:pStyle w:val="NoSpacing"/>
            </w:pPr>
            <w:r>
              <w:t>UNEP-WCMC,</w:t>
            </w:r>
          </w:p>
          <w:p w14:paraId="1F51994F" w14:textId="77777777" w:rsidR="001F570F" w:rsidRDefault="001F570F" w:rsidP="001F570F">
            <w:pPr>
              <w:pStyle w:val="NoSpacing"/>
            </w:pPr>
            <w:r>
              <w:t>UNEP,</w:t>
            </w:r>
          </w:p>
          <w:p w14:paraId="187337AE" w14:textId="77777777" w:rsidR="001F570F" w:rsidRDefault="001F570F" w:rsidP="001F570F">
            <w:pPr>
              <w:pStyle w:val="NoSpacing"/>
            </w:pPr>
            <w:r>
              <w:t>IUCN</w:t>
            </w:r>
          </w:p>
          <w:p w14:paraId="172BC8BC" w14:textId="77777777" w:rsidR="001F570F" w:rsidRDefault="001F570F" w:rsidP="001F570F">
            <w:pPr>
              <w:rPr>
                <w:color w:val="0070C0"/>
                <w:sz w:val="30"/>
                <w:szCs w:val="30"/>
              </w:rPr>
            </w:pPr>
          </w:p>
        </w:tc>
        <w:tc>
          <w:tcPr>
            <w:tcW w:w="0" w:type="auto"/>
          </w:tcPr>
          <w:p w14:paraId="05C08275" w14:textId="77777777" w:rsidR="001F570F" w:rsidRDefault="001F570F" w:rsidP="001F570F">
            <w:pPr>
              <w:ind w:left="970" w:hanging="970"/>
              <w:jc w:val="both"/>
              <w:rPr>
                <w:color w:val="0070C0"/>
                <w:sz w:val="30"/>
                <w:szCs w:val="30"/>
              </w:rPr>
            </w:pPr>
            <w:r>
              <w:t>Tier I</w:t>
            </w:r>
          </w:p>
        </w:tc>
        <w:tc>
          <w:tcPr>
            <w:tcW w:w="0" w:type="auto"/>
          </w:tcPr>
          <w:p w14:paraId="455971C9" w14:textId="77777777" w:rsidR="001F570F" w:rsidRPr="00800133" w:rsidRDefault="001F570F" w:rsidP="001F570F">
            <w:pPr>
              <w:pStyle w:val="NoSpacing"/>
              <w:rPr>
                <w:b/>
                <w:bCs/>
                <w:lang w:val="en-GB"/>
              </w:rPr>
            </w:pPr>
            <w:r w:rsidRPr="00800133">
              <w:rPr>
                <w:b/>
                <w:bCs/>
                <w:lang w:val="en-GB"/>
              </w:rPr>
              <w:t>Definition:</w:t>
            </w:r>
          </w:p>
          <w:p w14:paraId="136EF71A" w14:textId="77777777" w:rsidR="001F570F" w:rsidRPr="00800133" w:rsidRDefault="001F570F" w:rsidP="001F570F">
            <w:pPr>
              <w:pStyle w:val="NoSpacing"/>
              <w:rPr>
                <w:lang w:val="en-GB"/>
              </w:rPr>
            </w:pPr>
            <w:r w:rsidRPr="00800133">
              <w:rPr>
                <w:lang w:val="en-GB"/>
              </w:rPr>
              <w:t>This indicator Coverage by protected areas of important sites for mountain biodiversity shows temporal trends in the mean percentage of each important site for mountain biodiversity (i.e., those that contribute significantly to the global persistence of biodiversity) that is covered by designated protected areas.</w:t>
            </w:r>
          </w:p>
          <w:p w14:paraId="230A5413" w14:textId="77777777" w:rsidR="001F570F" w:rsidRPr="00800133" w:rsidRDefault="001F570F" w:rsidP="001F570F">
            <w:pPr>
              <w:pStyle w:val="NoSpacing"/>
              <w:rPr>
                <w:lang w:val="en-GB"/>
              </w:rPr>
            </w:pPr>
          </w:p>
          <w:p w14:paraId="5E481625" w14:textId="77777777" w:rsidR="001F570F" w:rsidRPr="00800133" w:rsidRDefault="001F570F" w:rsidP="001F570F">
            <w:pPr>
              <w:pStyle w:val="NoSpacing"/>
              <w:rPr>
                <w:b/>
                <w:bCs/>
                <w:lang w:val="en-GB"/>
              </w:rPr>
            </w:pPr>
            <w:r w:rsidRPr="00800133">
              <w:rPr>
                <w:b/>
                <w:bCs/>
                <w:lang w:val="en-GB"/>
              </w:rPr>
              <w:t>Rationale:</w:t>
            </w:r>
          </w:p>
          <w:p w14:paraId="0E8680F5" w14:textId="77777777" w:rsidR="001F570F" w:rsidRPr="00800133" w:rsidRDefault="001F570F" w:rsidP="001F570F">
            <w:pPr>
              <w:pStyle w:val="NoSpacing"/>
              <w:rPr>
                <w:lang w:val="en-GB"/>
              </w:rPr>
            </w:pPr>
            <w:r w:rsidRPr="00800133">
              <w:rPr>
                <w:lang w:val="en-GB"/>
              </w:rPr>
              <w:t xml:space="preserve">The safeguard of important sites is vital for stemming the decline in biodiversity and ensuring long term and sustainable use of mountain natural resources. The establishment of protected areas is an important mechanism for achieving this aim, and this indicator serves as a means of measuring progress toward the conservation, restoration and sustainable use of mountain ecosystems and their services, in line with obligations under international </w:t>
            </w:r>
            <w:r w:rsidRPr="00800133">
              <w:rPr>
                <w:lang w:val="en-GB"/>
              </w:rPr>
              <w:lastRenderedPageBreak/>
              <w:t>agreements. Importantly, while it can be disaggregated to report on any given single ecosystem of interest, it is not restricted to any single ecosystem type, and so faithfully reflects the intent of SDG target 15.1.</w:t>
            </w:r>
          </w:p>
          <w:p w14:paraId="590DDF9D" w14:textId="77777777" w:rsidR="001F570F" w:rsidRPr="00800133" w:rsidRDefault="001F570F" w:rsidP="001F570F">
            <w:pPr>
              <w:pStyle w:val="NoSpacing"/>
              <w:rPr>
                <w:lang w:val="en-GB"/>
              </w:rPr>
            </w:pPr>
          </w:p>
          <w:p w14:paraId="0448751D" w14:textId="77777777" w:rsidR="001F570F" w:rsidRPr="00800133" w:rsidRDefault="001F570F" w:rsidP="001F570F">
            <w:pPr>
              <w:pStyle w:val="NoSpacing"/>
              <w:rPr>
                <w:lang w:val="en-GB"/>
              </w:rPr>
            </w:pPr>
            <w:r w:rsidRPr="00800133">
              <w:rPr>
                <w:lang w:val="en-GB"/>
              </w:rPr>
              <w:t>Levels of access to protected areas vary among the protected area management categories. Some areas, such as scientific reserves, are maintained in their natural state and closed to any other use. Others are used for recreation or tourism, or even open for the sustainable extraction of natural resources. In addition to protecting biodiversity, protected areas have high social and economic value: supporting local livelihoods; protecting watersheds from erosion; harbouring an untold wealth of genetic resources; supporting thriving recreation and tourism industries; providing for science, research and education; and forming a basis for cultural and other non-material values.</w:t>
            </w:r>
          </w:p>
          <w:p w14:paraId="6AC17C4D" w14:textId="77777777" w:rsidR="001F570F" w:rsidRPr="00800133" w:rsidRDefault="001F570F" w:rsidP="001F570F">
            <w:pPr>
              <w:pStyle w:val="NoSpacing"/>
              <w:rPr>
                <w:lang w:val="en-GB"/>
              </w:rPr>
            </w:pPr>
          </w:p>
          <w:p w14:paraId="1BCA7A9B" w14:textId="77777777" w:rsidR="001F570F" w:rsidRPr="00800133" w:rsidRDefault="001F570F" w:rsidP="001F570F">
            <w:pPr>
              <w:pStyle w:val="NoSpacing"/>
              <w:rPr>
                <w:lang w:val="en-GB"/>
              </w:rPr>
            </w:pPr>
            <w:r w:rsidRPr="00800133">
              <w:rPr>
                <w:lang w:val="en-GB"/>
              </w:rPr>
              <w:t xml:space="preserve">This indicator adds meaningful information to, complements and builds from traditionally reported simple statistics of mountain area covered by protected areas, computed by dividing the total protected area within a country by the total territorial area of the country and multiplying by 100 (e.g., Chape et al. </w:t>
            </w:r>
          </w:p>
          <w:p w14:paraId="41CE3D9D" w14:textId="77777777" w:rsidR="001F570F" w:rsidRPr="00800133" w:rsidRDefault="001F570F" w:rsidP="001F570F">
            <w:pPr>
              <w:pStyle w:val="NoSpacing"/>
              <w:rPr>
                <w:lang w:val="en-GB"/>
              </w:rPr>
            </w:pPr>
            <w:r w:rsidRPr="00800133">
              <w:rPr>
                <w:lang w:val="en-GB"/>
              </w:rPr>
              <w:t>2005). Such percentage area coverage statistics do not recognise the extreme variation of biodiversity importance over space (Rodrigues et al. 2004), and so risk generating perverse outcomes through the protection of areas which are large at the expense of those which require protection.</w:t>
            </w:r>
          </w:p>
          <w:p w14:paraId="201E7772" w14:textId="77777777" w:rsidR="001F570F" w:rsidRPr="00800133" w:rsidRDefault="001F570F" w:rsidP="001F570F">
            <w:pPr>
              <w:pStyle w:val="NoSpacing"/>
              <w:rPr>
                <w:lang w:val="en-GB"/>
              </w:rPr>
            </w:pPr>
          </w:p>
          <w:p w14:paraId="4BD907DC" w14:textId="77777777" w:rsidR="001F570F" w:rsidRPr="00800133" w:rsidRDefault="001F570F" w:rsidP="001F570F">
            <w:pPr>
              <w:pStyle w:val="NoSpacing"/>
              <w:rPr>
                <w:lang w:val="en-GB"/>
              </w:rPr>
            </w:pPr>
            <w:r w:rsidRPr="00800133">
              <w:rPr>
                <w:lang w:val="en-GB"/>
              </w:rPr>
              <w:t xml:space="preserve">The indicator is used to track progress towards the 2011–2020 Strategic Plan for Biodiversity (CBD 2014, Tittensor et al. 2014), and was used as an indicator towards the Convention on Biological Diversity’s 2010 </w:t>
            </w:r>
          </w:p>
          <w:p w14:paraId="600F6CA5" w14:textId="77777777" w:rsidR="001F570F" w:rsidRPr="00800133" w:rsidRDefault="001F570F" w:rsidP="001F570F">
            <w:pPr>
              <w:pStyle w:val="NoSpacing"/>
              <w:rPr>
                <w:lang w:val="en-GB"/>
              </w:rPr>
            </w:pPr>
            <w:r w:rsidRPr="00800133">
              <w:rPr>
                <w:lang w:val="en-GB"/>
              </w:rPr>
              <w:t>Target (Butchart et al. 2010).</w:t>
            </w:r>
          </w:p>
          <w:p w14:paraId="4AC7DB18" w14:textId="77777777" w:rsidR="001F570F" w:rsidRPr="00800133" w:rsidRDefault="001F570F" w:rsidP="001F570F">
            <w:pPr>
              <w:pStyle w:val="NoSpacing"/>
              <w:rPr>
                <w:lang w:val="en-GB"/>
              </w:rPr>
            </w:pPr>
          </w:p>
          <w:p w14:paraId="702D09CC" w14:textId="77777777" w:rsidR="001F570F" w:rsidRPr="00800133" w:rsidRDefault="001F570F" w:rsidP="001F570F">
            <w:pPr>
              <w:pStyle w:val="NoSpacing"/>
              <w:rPr>
                <w:b/>
                <w:bCs/>
                <w:lang w:val="en-GB"/>
              </w:rPr>
            </w:pPr>
            <w:r w:rsidRPr="00800133">
              <w:rPr>
                <w:b/>
                <w:bCs/>
                <w:lang w:val="en-GB"/>
              </w:rPr>
              <w:t>Concepts:</w:t>
            </w:r>
          </w:p>
          <w:p w14:paraId="0ADDCE66" w14:textId="77777777" w:rsidR="001F570F" w:rsidRPr="00800133" w:rsidRDefault="001F570F" w:rsidP="001F570F">
            <w:pPr>
              <w:pStyle w:val="NoSpacing"/>
              <w:rPr>
                <w:lang w:val="en-GB"/>
              </w:rPr>
            </w:pPr>
            <w:r w:rsidRPr="00800133">
              <w:rPr>
                <w:lang w:val="en-GB"/>
              </w:rPr>
              <w:t>Protected areas, as defined by the International Union for Conservation of Nature (IUCN; Dudley 2008), are clearly defined geographical spaces, recognized, dedicated and managed, through legal or other effective means, to achieve the long-term conservation of nature with associated ecosystem services and cultural values. Importantly, a variety of specific management objectives are recognised within this definition, spanning conservation, restoration, and sustainable use:</w:t>
            </w:r>
          </w:p>
          <w:p w14:paraId="7A43D91F" w14:textId="77777777" w:rsidR="001F570F" w:rsidRPr="00800133" w:rsidRDefault="001F570F" w:rsidP="001F570F">
            <w:pPr>
              <w:pStyle w:val="NoSpacing"/>
              <w:rPr>
                <w:lang w:val="en-GB"/>
              </w:rPr>
            </w:pPr>
          </w:p>
          <w:p w14:paraId="17ED71B3" w14:textId="77777777" w:rsidR="001F570F" w:rsidRPr="00800133" w:rsidRDefault="001F570F" w:rsidP="001F570F">
            <w:pPr>
              <w:pStyle w:val="NoSpacing"/>
              <w:numPr>
                <w:ilvl w:val="0"/>
                <w:numId w:val="77"/>
              </w:numPr>
              <w:rPr>
                <w:lang w:val="en-GB"/>
              </w:rPr>
            </w:pPr>
            <w:r w:rsidRPr="00800133">
              <w:rPr>
                <w:lang w:val="en-GB"/>
              </w:rPr>
              <w:t>Category Ia: Strict nature reserve</w:t>
            </w:r>
          </w:p>
          <w:p w14:paraId="0B2FA830" w14:textId="77777777" w:rsidR="001F570F" w:rsidRPr="00800133" w:rsidRDefault="001F570F" w:rsidP="001F570F">
            <w:pPr>
              <w:pStyle w:val="NoSpacing"/>
              <w:numPr>
                <w:ilvl w:val="0"/>
                <w:numId w:val="77"/>
              </w:numPr>
              <w:rPr>
                <w:lang w:val="en-GB"/>
              </w:rPr>
            </w:pPr>
            <w:r w:rsidRPr="00800133">
              <w:rPr>
                <w:lang w:val="en-GB"/>
              </w:rPr>
              <w:t>Category Ib: Wilderness area</w:t>
            </w:r>
          </w:p>
          <w:p w14:paraId="3E53E9D7" w14:textId="77777777" w:rsidR="001F570F" w:rsidRPr="00800133" w:rsidRDefault="001F570F" w:rsidP="001F570F">
            <w:pPr>
              <w:pStyle w:val="NoSpacing"/>
              <w:numPr>
                <w:ilvl w:val="0"/>
                <w:numId w:val="77"/>
              </w:numPr>
              <w:rPr>
                <w:lang w:val="en-GB"/>
              </w:rPr>
            </w:pPr>
            <w:r w:rsidRPr="00800133">
              <w:rPr>
                <w:lang w:val="en-GB"/>
              </w:rPr>
              <w:t>Category II: National park</w:t>
            </w:r>
          </w:p>
          <w:p w14:paraId="343EC3FC" w14:textId="77777777" w:rsidR="001F570F" w:rsidRPr="00800133" w:rsidRDefault="001F570F" w:rsidP="001F570F">
            <w:pPr>
              <w:pStyle w:val="NoSpacing"/>
              <w:numPr>
                <w:ilvl w:val="0"/>
                <w:numId w:val="77"/>
              </w:numPr>
              <w:rPr>
                <w:lang w:val="en-GB"/>
              </w:rPr>
            </w:pPr>
            <w:r w:rsidRPr="00800133">
              <w:rPr>
                <w:lang w:val="en-GB"/>
              </w:rPr>
              <w:lastRenderedPageBreak/>
              <w:t>Category III: Natural monument or feature</w:t>
            </w:r>
          </w:p>
          <w:p w14:paraId="66F15D15" w14:textId="77777777" w:rsidR="001F570F" w:rsidRPr="00800133" w:rsidRDefault="001F570F" w:rsidP="001F570F">
            <w:pPr>
              <w:pStyle w:val="NoSpacing"/>
              <w:numPr>
                <w:ilvl w:val="0"/>
                <w:numId w:val="77"/>
              </w:numPr>
              <w:rPr>
                <w:lang w:val="en-GB"/>
              </w:rPr>
            </w:pPr>
            <w:r w:rsidRPr="00800133">
              <w:rPr>
                <w:lang w:val="en-GB"/>
              </w:rPr>
              <w:t>Category IV: Habitat/species management area</w:t>
            </w:r>
          </w:p>
          <w:p w14:paraId="548CD3DB" w14:textId="77777777" w:rsidR="001F570F" w:rsidRPr="00800133" w:rsidRDefault="001F570F" w:rsidP="001F570F">
            <w:pPr>
              <w:pStyle w:val="NoSpacing"/>
              <w:numPr>
                <w:ilvl w:val="0"/>
                <w:numId w:val="77"/>
              </w:numPr>
              <w:rPr>
                <w:lang w:val="en-GB"/>
              </w:rPr>
            </w:pPr>
            <w:r w:rsidRPr="00800133">
              <w:rPr>
                <w:lang w:val="en-GB"/>
              </w:rPr>
              <w:t>Category V: Protected landscape/seascape</w:t>
            </w:r>
          </w:p>
          <w:p w14:paraId="39A8619C" w14:textId="77777777" w:rsidR="001F570F" w:rsidRPr="00800133" w:rsidRDefault="001F570F" w:rsidP="001F570F">
            <w:pPr>
              <w:pStyle w:val="NoSpacing"/>
              <w:numPr>
                <w:ilvl w:val="0"/>
                <w:numId w:val="77"/>
              </w:numPr>
              <w:rPr>
                <w:lang w:val="en-GB"/>
              </w:rPr>
            </w:pPr>
            <w:r w:rsidRPr="00800133">
              <w:rPr>
                <w:lang w:val="en-GB"/>
              </w:rPr>
              <w:t>Category VI: Protected area with sustainable use of natural resources</w:t>
            </w:r>
          </w:p>
          <w:p w14:paraId="0BB56A7A" w14:textId="77777777" w:rsidR="001F570F" w:rsidRPr="00800133" w:rsidRDefault="001F570F" w:rsidP="001F570F">
            <w:pPr>
              <w:pStyle w:val="NoSpacing"/>
              <w:rPr>
                <w:lang w:val="en-GB"/>
              </w:rPr>
            </w:pPr>
          </w:p>
          <w:p w14:paraId="49C284C4" w14:textId="77777777" w:rsidR="001F570F" w:rsidRPr="00800133" w:rsidRDefault="001F570F" w:rsidP="001F570F">
            <w:pPr>
              <w:pStyle w:val="NoSpacing"/>
              <w:rPr>
                <w:lang w:val="en-GB"/>
              </w:rPr>
            </w:pPr>
            <w:r w:rsidRPr="00800133">
              <w:rPr>
                <w:lang w:val="en-GB"/>
              </w:rPr>
              <w:t>The status "designated" is attributed to a protected area when the corresponding authority, according to national legislation or common practice (e.g., by means of an executive decree or the like), officially endorses a document of designation. The designation must be made for the purpose of biodiversity conservation, not de facto protection arising because of some other activity (e.g., military).</w:t>
            </w:r>
          </w:p>
          <w:p w14:paraId="466C20C1" w14:textId="77777777" w:rsidR="001F570F" w:rsidRPr="00800133" w:rsidRDefault="001F570F" w:rsidP="001F570F">
            <w:pPr>
              <w:pStyle w:val="NoSpacing"/>
              <w:rPr>
                <w:lang w:val="en-GB"/>
              </w:rPr>
            </w:pPr>
          </w:p>
          <w:p w14:paraId="3D3165E1" w14:textId="77777777" w:rsidR="001F570F" w:rsidRPr="00800133" w:rsidRDefault="001F570F" w:rsidP="001F570F">
            <w:pPr>
              <w:pStyle w:val="NoSpacing"/>
              <w:rPr>
                <w:lang w:val="en-GB"/>
              </w:rPr>
            </w:pPr>
            <w:r w:rsidRPr="00800133">
              <w:rPr>
                <w:lang w:val="en-GB"/>
              </w:rPr>
              <w:t>Sites contributing significantly to the global persistence of biodiversity are identified following globally standard criteria for the identification of Key Biodiversity Areas (IUCN 2016) applied at national levels. Two variants of these standard criteria have been applied in all countries to date. The first is for the identification of Important Bird &amp; Biodiversity Areas, that is, sites contributing significantly to the global persistence of biodiversity, identified using data on birds, of which &gt;12,000 sites in total have been identified from all of the world’s countries (BirdLife International 2014). The second is for the identification of Alliance for Zero Extinction sites (Ricketts et al. 2005), that is, sites holding effectively the entire population of at least one species assessed as Critically Endangered or Endangered on The IUCN Red List of Threatened Species. In total, 587 Alliance for Zero Extinction sites have been identified for 920 species of mammals, birds, amphibians, reptiles, conifers, and reef-building corals. A global standard for the identification of Key Biodiversity Areas unifying these approaches along with other mechanisms for identification of important sites for other species and ecosystems was approved by IUCN (2016).</w:t>
            </w:r>
          </w:p>
          <w:p w14:paraId="2B1E3372" w14:textId="77777777" w:rsidR="001F570F" w:rsidRPr="00800133" w:rsidRDefault="001F570F" w:rsidP="001F570F">
            <w:pPr>
              <w:pStyle w:val="NoSpacing"/>
              <w:rPr>
                <w:lang w:val="en-GB"/>
              </w:rPr>
            </w:pPr>
          </w:p>
          <w:p w14:paraId="40A85390" w14:textId="77777777" w:rsidR="001F570F" w:rsidRPr="00800133" w:rsidRDefault="001F570F" w:rsidP="001F570F">
            <w:pPr>
              <w:pStyle w:val="NoSpacing"/>
              <w:rPr>
                <w:b/>
                <w:bCs/>
                <w:lang w:val="en-GB"/>
              </w:rPr>
            </w:pPr>
            <w:r w:rsidRPr="00800133">
              <w:rPr>
                <w:b/>
                <w:bCs/>
                <w:lang w:val="en-GB"/>
              </w:rPr>
              <w:t>Comments and limitations:</w:t>
            </w:r>
          </w:p>
          <w:p w14:paraId="149A892A" w14:textId="77777777" w:rsidR="001F570F" w:rsidRPr="00800133" w:rsidRDefault="001F570F" w:rsidP="001F570F">
            <w:pPr>
              <w:pStyle w:val="NoSpacing"/>
              <w:rPr>
                <w:lang w:val="en-GB"/>
              </w:rPr>
            </w:pPr>
            <w:r w:rsidRPr="00800133">
              <w:rPr>
                <w:lang w:val="en-GB"/>
              </w:rPr>
              <w:t>Quality control criteria are applied to ensure consistency and comparability of the data in the World Database on Protected Areas. New data are validated at UNEP-WCMC through a number of tools and translated into the standard data structure of the World Database on Protected Areas. Discrepancies between the data in the World Database on Protected Areas and new data are minimised by provision of a manual (UNEP-WCMC 2016) and resolved in communication with data providers. Similar processes apply for the incorporation of data into the World Database of Key Biodiversity Areas.</w:t>
            </w:r>
          </w:p>
          <w:p w14:paraId="078CDF89" w14:textId="77777777" w:rsidR="001F570F" w:rsidRPr="00800133" w:rsidRDefault="001F570F" w:rsidP="001F570F">
            <w:pPr>
              <w:pStyle w:val="NoSpacing"/>
              <w:rPr>
                <w:lang w:val="en-GB"/>
              </w:rPr>
            </w:pPr>
          </w:p>
          <w:p w14:paraId="426844FD" w14:textId="77777777" w:rsidR="001F570F" w:rsidRPr="00800133" w:rsidRDefault="001F570F" w:rsidP="001F570F">
            <w:pPr>
              <w:pStyle w:val="NoSpacing"/>
              <w:rPr>
                <w:lang w:val="en-GB"/>
              </w:rPr>
            </w:pPr>
            <w:r w:rsidRPr="00800133">
              <w:rPr>
                <w:lang w:val="en-GB"/>
              </w:rPr>
              <w:t xml:space="preserve">The indicator does not measure the effectiveness of protected areas in reducing biodiversity loss, which ultimately depends on a range of management and enforcement factors not covered by the indicator. A number of initiatives are underway to address this limitation. </w:t>
            </w:r>
            <w:r w:rsidRPr="00800133">
              <w:rPr>
                <w:lang w:val="en-GB"/>
              </w:rPr>
              <w:lastRenderedPageBreak/>
              <w:t xml:space="preserve">Most notably, numerous mechanisms have been developed for assessment of protected area management, which can be synthesised into an indicator (Leverington et al. 2010). This is used by the Biodiversity Indicators Partnership as a complementary indicator of progress towards Aichi Biodiversity Target 11 </w:t>
            </w:r>
          </w:p>
          <w:p w14:paraId="352B7CEC" w14:textId="77777777" w:rsidR="001F570F" w:rsidRPr="00800133" w:rsidRDefault="001F570F" w:rsidP="001F570F">
            <w:pPr>
              <w:pStyle w:val="NoSpacing"/>
              <w:rPr>
                <w:lang w:val="en-GB"/>
              </w:rPr>
            </w:pPr>
            <w:r w:rsidRPr="00800133">
              <w:rPr>
                <w:lang w:val="en-GB"/>
              </w:rPr>
              <w:t>(http://www.bipindicators.net/pamanagement). However, there may be little relationship between these measures and protected area outcomes (Nolte &amp; Agrawal 2013). More recently, approaches to “green listing” have started to be developed, to incorporate both management effectiveness and the outcomes of protected areas, and these are likely to become progressively important as they are tested and applied more broadly.</w:t>
            </w:r>
          </w:p>
          <w:p w14:paraId="6064297F" w14:textId="77777777" w:rsidR="001F570F" w:rsidRPr="00800133" w:rsidRDefault="001F570F" w:rsidP="001F570F">
            <w:pPr>
              <w:pStyle w:val="NoSpacing"/>
              <w:rPr>
                <w:lang w:val="en-GB"/>
              </w:rPr>
            </w:pPr>
          </w:p>
          <w:p w14:paraId="7D98DD13" w14:textId="77777777" w:rsidR="001F570F" w:rsidRPr="00800133" w:rsidRDefault="001F570F" w:rsidP="001F570F">
            <w:pPr>
              <w:pStyle w:val="NoSpacing"/>
              <w:rPr>
                <w:lang w:val="en-GB"/>
              </w:rPr>
            </w:pPr>
            <w:r w:rsidRPr="00800133">
              <w:rPr>
                <w:lang w:val="en-GB"/>
              </w:rPr>
              <w:t xml:space="preserve">Data and knowledge gaps can arise due to difficulties in determining whether a site conforms to the IUCN definition of a protected area, and some protected areas are not assigned management categories. Moreover, “other effective area-based conservation measures”, as specified by Aichi Biodiversity Target </w:t>
            </w:r>
          </w:p>
          <w:p w14:paraId="6C663057" w14:textId="77777777" w:rsidR="001F570F" w:rsidRPr="00800133" w:rsidRDefault="001F570F" w:rsidP="001F570F">
            <w:pPr>
              <w:pStyle w:val="NoSpacing"/>
              <w:rPr>
                <w:lang w:val="en-GB"/>
              </w:rPr>
            </w:pPr>
            <w:r w:rsidRPr="00800133">
              <w:rPr>
                <w:lang w:val="en-GB"/>
              </w:rPr>
              <w:t>11 of the Strategic Plan for Biodiversity 2011–2020, recognise that some sites beyond the formal protected area network, while not managed primarily for nature conservation, may nevertheless be managed in ways which are consistent with the persistence of the biodiversity for which they are important (Jonas et al. 2014). However, standard approaches to documentation of “other effective area-based conservation measures” are still under debate through the IUCN Task Force on Other Effective Areas Based Conservation Measures which will conclude with recommendations for a definition on OECMs. Once defined it is likely OEMCs will be documented in the World Database on Protected Areas.</w:t>
            </w:r>
          </w:p>
          <w:p w14:paraId="27595EFC" w14:textId="77777777" w:rsidR="001F570F" w:rsidRPr="00800133" w:rsidRDefault="001F570F" w:rsidP="001F570F">
            <w:pPr>
              <w:pStyle w:val="NoSpacing"/>
              <w:rPr>
                <w:lang w:val="en-GB"/>
              </w:rPr>
            </w:pPr>
          </w:p>
          <w:p w14:paraId="2A9DBA3F" w14:textId="77777777" w:rsidR="001F570F" w:rsidRPr="00800133" w:rsidRDefault="001F570F" w:rsidP="001F570F">
            <w:pPr>
              <w:pStyle w:val="NoSpacing"/>
              <w:rPr>
                <w:lang w:val="en-GB"/>
              </w:rPr>
            </w:pPr>
            <w:r w:rsidRPr="00800133">
              <w:rPr>
                <w:lang w:val="en-GB"/>
              </w:rPr>
              <w:t xml:space="preserve">Regarding important sites, the biggest limitation is that site identification to date has focused on specific subsets of biodiversity, for example birds (for Important Bird and Biodiversity Areas) and highly threatened species (for Alliance for Zero Extinction sites). While Important Bird and Biodiversity Areas have been documented to be good surrogates for biodiversity more generally (Brooks et al. 2001, Pain et al. 2005), the application of the unified standard for identification of Key Biodiversity Areas (IUCN 2016) sites across different levels of biodiversity (genes, species, ecosystems) and different taxonomic groups remains a high priority, building from efforts to date (Eken et al. 2004, Knight et al. 2007, Langhammer et al. 2007, Foster et al. 2012). </w:t>
            </w:r>
          </w:p>
          <w:p w14:paraId="7FFECE69" w14:textId="77777777" w:rsidR="001F570F" w:rsidRPr="00800133" w:rsidRDefault="001F570F" w:rsidP="001F570F">
            <w:pPr>
              <w:pStyle w:val="NoSpacing"/>
              <w:rPr>
                <w:lang w:val="en-GB"/>
              </w:rPr>
            </w:pPr>
          </w:p>
          <w:p w14:paraId="6D4195F1" w14:textId="77777777" w:rsidR="001F570F" w:rsidRPr="00800133" w:rsidRDefault="001F570F" w:rsidP="001F570F">
            <w:pPr>
              <w:pStyle w:val="NoSpacing"/>
              <w:rPr>
                <w:lang w:val="en-GB"/>
              </w:rPr>
            </w:pPr>
            <w:r w:rsidRPr="00800133">
              <w:rPr>
                <w:lang w:val="en-GB"/>
              </w:rPr>
              <w:t>Key Biodiversity Area identification has been validated for a number of countries and regions where comprehensive biodiversity data allow formal calculation of the site importance (or “irreplaceability”) using systematic conservation planning techniques (Di Marco et al. 2016, Montesino Pouzols et al. 2014).</w:t>
            </w:r>
          </w:p>
          <w:p w14:paraId="08222BE0" w14:textId="77777777" w:rsidR="001F570F" w:rsidRPr="00800133" w:rsidRDefault="001F570F" w:rsidP="001F570F">
            <w:pPr>
              <w:pStyle w:val="NoSpacing"/>
              <w:rPr>
                <w:lang w:val="en-GB"/>
              </w:rPr>
            </w:pPr>
          </w:p>
          <w:p w14:paraId="21F9E474" w14:textId="77777777" w:rsidR="001F570F" w:rsidRPr="00800133" w:rsidRDefault="001F570F" w:rsidP="001F570F">
            <w:pPr>
              <w:pStyle w:val="NoSpacing"/>
              <w:rPr>
                <w:lang w:val="en-GB"/>
              </w:rPr>
            </w:pPr>
            <w:r w:rsidRPr="00800133">
              <w:rPr>
                <w:lang w:val="en-GB"/>
              </w:rPr>
              <w:lastRenderedPageBreak/>
              <w:t>Future developments of the indicator will include: a) expansion of the taxonomic coverage of mountain Key Biodiversity Areas through application of the Key Biodiversity Areas standard (IUCN 2016) to a wide variety of mountain vertebrates, invertebrates, plants and ecosystem type; b) improvements in the data on protected areas by continuing to increase the proportion of sites with documented dates of designation and with digitised boundary polygons (rather than coordinates); and c) exploring other methods for assessing and presenting temporal trends in protected area coverage.</w:t>
            </w:r>
          </w:p>
          <w:p w14:paraId="0ABDF2D6" w14:textId="77777777" w:rsidR="001F570F" w:rsidRPr="00800133" w:rsidRDefault="001F570F" w:rsidP="001F570F">
            <w:pPr>
              <w:pStyle w:val="NoSpacing"/>
              <w:rPr>
                <w:lang w:val="en-GB"/>
              </w:rPr>
            </w:pPr>
          </w:p>
          <w:p w14:paraId="3419B42A" w14:textId="77777777" w:rsidR="001F570F" w:rsidRPr="00800133" w:rsidRDefault="001F570F" w:rsidP="001F570F">
            <w:pPr>
              <w:pStyle w:val="NoSpacing"/>
              <w:rPr>
                <w:lang w:val="en-GB"/>
              </w:rPr>
            </w:pPr>
          </w:p>
          <w:p w14:paraId="5921807B" w14:textId="77777777" w:rsidR="001F570F" w:rsidRPr="00800133" w:rsidRDefault="001F570F" w:rsidP="001F570F">
            <w:pPr>
              <w:pStyle w:val="NoSpacing"/>
              <w:rPr>
                <w:b/>
                <w:bCs/>
                <w:lang w:val="en-GB"/>
              </w:rPr>
            </w:pPr>
            <w:r w:rsidRPr="00800133">
              <w:rPr>
                <w:b/>
                <w:bCs/>
                <w:lang w:val="en-GB"/>
              </w:rPr>
              <w:t>Computation Method:</w:t>
            </w:r>
          </w:p>
          <w:p w14:paraId="754AC4A0" w14:textId="77777777" w:rsidR="001F570F" w:rsidRPr="00800133" w:rsidRDefault="001F570F" w:rsidP="001F570F">
            <w:pPr>
              <w:pStyle w:val="NoSpacing"/>
              <w:rPr>
                <w:lang w:val="en-GB"/>
              </w:rPr>
            </w:pPr>
          </w:p>
          <w:p w14:paraId="50661513" w14:textId="77777777" w:rsidR="001F570F" w:rsidRPr="00800133" w:rsidRDefault="001F570F" w:rsidP="001F570F">
            <w:pPr>
              <w:pStyle w:val="NoSpacing"/>
              <w:rPr>
                <w:lang w:val="en-GB"/>
              </w:rPr>
            </w:pPr>
            <w:r w:rsidRPr="00800133">
              <w:rPr>
                <w:lang w:val="en-GB"/>
              </w:rPr>
              <w:t xml:space="preserve">This indicator is calculated from data derived from a spatial overlap between digital polygons for protected areas from the World Database on Protected Areas (IUCN &amp; UNEP-WCMC 2017), Key Biodiversity Areas (from the World Database of Key Biodiversity Areas, including Important Bird and </w:t>
            </w:r>
          </w:p>
          <w:p w14:paraId="774369EB" w14:textId="77777777" w:rsidR="001F570F" w:rsidRPr="00800133" w:rsidRDefault="001F570F" w:rsidP="001F570F">
            <w:pPr>
              <w:pStyle w:val="NoSpacing"/>
              <w:rPr>
                <w:lang w:val="en-GB"/>
              </w:rPr>
            </w:pPr>
            <w:r w:rsidRPr="00800133">
              <w:rPr>
                <w:lang w:val="en-GB"/>
              </w:rPr>
              <w:t xml:space="preserve">Biodiversity Areas, Alliance for Zero Extinction sites, and other Key Biodiversity Areas; available through the </w:t>
            </w:r>
            <w:hyperlink r:id="rId125" w:history="1">
              <w:r w:rsidRPr="00800133">
                <w:rPr>
                  <w:rStyle w:val="Hyperlink"/>
                  <w:lang w:val="en-GB"/>
                </w:rPr>
                <w:t>Integrated Biodiversity Assessment Tool</w:t>
              </w:r>
            </w:hyperlink>
            <w:r w:rsidRPr="00800133">
              <w:rPr>
                <w:lang w:val="en-GB"/>
              </w:rPr>
              <w:t>), and mountains (UNEP-WCMC 2002). The value of the indicator at a given point in time, based on data on the year of protected area establishment recorded in the World Database on Protected Areas, is computed as the mean percentage of each Key Biodiversity Area currently recognised that is covered by protected areas.</w:t>
            </w:r>
          </w:p>
          <w:p w14:paraId="70434B6A" w14:textId="77777777" w:rsidR="001F570F" w:rsidRPr="00800133" w:rsidRDefault="001F570F" w:rsidP="001F570F">
            <w:pPr>
              <w:pStyle w:val="NoSpacing"/>
              <w:rPr>
                <w:lang w:val="en-GB"/>
              </w:rPr>
            </w:pPr>
          </w:p>
          <w:p w14:paraId="60B102D7" w14:textId="77777777" w:rsidR="001F570F" w:rsidRPr="00800133" w:rsidRDefault="001F570F" w:rsidP="001F570F">
            <w:pPr>
              <w:pStyle w:val="NoSpacing"/>
              <w:rPr>
                <w:lang w:val="en-GB"/>
              </w:rPr>
            </w:pPr>
            <w:r w:rsidRPr="00800133">
              <w:rPr>
                <w:lang w:val="en-GB"/>
              </w:rPr>
              <w:t>Year of protected area establishment is unknown for 12% of protected areas in the World Database on Protected Areas, generating uncertainty around changing protected area coverage over time. To reflect this uncertainty, a year was randomly assigned from another protected area within the same country, and then this procedure repeated 1,000 times, with the median plotted. In 2017 we slightly changed the methods described by Butchart et al. (2012, 2015) by randomly assigning a year to protected areas with no year of establishment before calculating trends in coverage. This is a computationally more efficient method and is likely to reflect more accurately changes in protected area coverage over time.</w:t>
            </w:r>
          </w:p>
          <w:p w14:paraId="01C6CA26" w14:textId="77777777" w:rsidR="001F570F" w:rsidRPr="00800133" w:rsidRDefault="001F570F" w:rsidP="001F570F">
            <w:pPr>
              <w:pStyle w:val="NoSpacing"/>
              <w:rPr>
                <w:lang w:val="en-GB"/>
              </w:rPr>
            </w:pPr>
          </w:p>
          <w:p w14:paraId="4245D7B1" w14:textId="77777777" w:rsidR="001F570F" w:rsidRPr="00800133" w:rsidRDefault="001F570F" w:rsidP="001F570F">
            <w:pPr>
              <w:pStyle w:val="NoSpacing"/>
              <w:rPr>
                <w:lang w:val="en-GB"/>
              </w:rPr>
            </w:pPr>
            <w:r w:rsidRPr="00800133">
              <w:rPr>
                <w:lang w:val="en-GB"/>
              </w:rPr>
              <w:t>Previously the indicator was presented as the percentage of Key Biodiversity Areas completely covered by protected areas. However, it is now presented as the mean % of each Key Biodiversity Area that is covered by protected areas in order to better reflect trends in protected area coverage for countries or regions with few or no Key Biodiversity Areas that are completely covered.</w:t>
            </w:r>
          </w:p>
          <w:p w14:paraId="0C706A83" w14:textId="77777777" w:rsidR="001F570F" w:rsidRPr="00800133" w:rsidRDefault="001F570F" w:rsidP="001F570F">
            <w:pPr>
              <w:pStyle w:val="NoSpacing"/>
            </w:pPr>
          </w:p>
        </w:tc>
        <w:tc>
          <w:tcPr>
            <w:tcW w:w="0" w:type="auto"/>
          </w:tcPr>
          <w:p w14:paraId="4FB2D976" w14:textId="77777777" w:rsidR="001F570F" w:rsidRPr="0044302B" w:rsidRDefault="001F570F" w:rsidP="001F570F">
            <w:pPr>
              <w:pStyle w:val="NoSpacing"/>
            </w:pPr>
            <w:r>
              <w:lastRenderedPageBreak/>
              <w:t>M</w:t>
            </w:r>
            <w:r w:rsidRPr="005861AE">
              <w:t>ulti-stakeholder processes, following standard criteria and thresholds.</w:t>
            </w:r>
          </w:p>
        </w:tc>
        <w:tc>
          <w:tcPr>
            <w:tcW w:w="0" w:type="auto"/>
          </w:tcPr>
          <w:p w14:paraId="1B4D74B6" w14:textId="77777777" w:rsidR="001F570F" w:rsidRDefault="001F570F" w:rsidP="001F570F">
            <w:pPr>
              <w:pStyle w:val="NoSpacing"/>
            </w:pPr>
            <w:r>
              <w:t>M</w:t>
            </w:r>
            <w:r w:rsidRPr="005861AE">
              <w:t>inistries of environment</w:t>
            </w:r>
          </w:p>
        </w:tc>
        <w:tc>
          <w:tcPr>
            <w:tcW w:w="0" w:type="auto"/>
          </w:tcPr>
          <w:p w14:paraId="7C98A662" w14:textId="7099DF75" w:rsidR="001F570F" w:rsidRDefault="001F570F" w:rsidP="001F570F">
            <w:pPr>
              <w:pStyle w:val="NoSpacing"/>
            </w:pPr>
          </w:p>
          <w:p w14:paraId="0733E8C1" w14:textId="77777777" w:rsidR="001F570F" w:rsidRDefault="001F570F" w:rsidP="001F570F">
            <w:pPr>
              <w:pStyle w:val="NoSpacing"/>
              <w:rPr>
                <w:color w:val="0070C0"/>
                <w:sz w:val="30"/>
                <w:szCs w:val="30"/>
              </w:rPr>
            </w:pPr>
            <w:r w:rsidRPr="001661BE">
              <w:t>Gazettes for protected areas, BFD</w:t>
            </w:r>
          </w:p>
        </w:tc>
        <w:tc>
          <w:tcPr>
            <w:tcW w:w="0" w:type="auto"/>
          </w:tcPr>
          <w:p w14:paraId="6D74DDFF" w14:textId="77777777" w:rsidR="001F570F" w:rsidRDefault="001F570F" w:rsidP="001F570F">
            <w:pPr>
              <w:pStyle w:val="NoSpacing"/>
            </w:pPr>
            <w:r w:rsidRPr="007B19A9">
              <w:t>BFD,</w:t>
            </w:r>
            <w:r w:rsidRPr="00BC6F10">
              <w:t xml:space="preserve"> </w:t>
            </w:r>
            <w:r>
              <w:t>MoEFCC</w:t>
            </w:r>
          </w:p>
          <w:p w14:paraId="37756E15" w14:textId="77777777" w:rsidR="001F570F" w:rsidRDefault="001F570F" w:rsidP="001F570F">
            <w:pPr>
              <w:pStyle w:val="NoSpacing"/>
            </w:pPr>
          </w:p>
          <w:p w14:paraId="2F0CEB94" w14:textId="77777777" w:rsidR="001F570F" w:rsidRDefault="001F570F" w:rsidP="001F570F">
            <w:pPr>
              <w:ind w:left="970" w:hanging="970"/>
              <w:jc w:val="both"/>
              <w:rPr>
                <w:color w:val="0070C0"/>
                <w:sz w:val="30"/>
                <w:szCs w:val="30"/>
              </w:rPr>
            </w:pPr>
            <w:r>
              <w:t>Big Data</w:t>
            </w:r>
          </w:p>
        </w:tc>
        <w:tc>
          <w:tcPr>
            <w:tcW w:w="0" w:type="auto"/>
          </w:tcPr>
          <w:p w14:paraId="1DB65F57"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division</w:t>
            </w:r>
          </w:p>
          <w:p w14:paraId="78744686"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protected area management category: categories I–VI</w:t>
            </w:r>
          </w:p>
          <w:p w14:paraId="1FC26C2E"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 xml:space="preserve">ecosystem type: marine, terrestrial, freshwater </w:t>
            </w:r>
          </w:p>
          <w:p w14:paraId="00BCF0F7" w14:textId="77777777" w:rsidR="001F570F" w:rsidRDefault="001F570F" w:rsidP="001F570F">
            <w:pPr>
              <w:ind w:left="970" w:hanging="970"/>
              <w:jc w:val="both"/>
              <w:rPr>
                <w:color w:val="0070C0"/>
                <w:sz w:val="30"/>
                <w:szCs w:val="30"/>
              </w:rPr>
            </w:pPr>
          </w:p>
        </w:tc>
        <w:tc>
          <w:tcPr>
            <w:tcW w:w="0" w:type="auto"/>
          </w:tcPr>
          <w:p w14:paraId="6B74D572" w14:textId="77777777" w:rsidR="001F570F" w:rsidRDefault="001F570F" w:rsidP="001F570F">
            <w:pPr>
              <w:ind w:left="970" w:hanging="970"/>
              <w:jc w:val="both"/>
              <w:rPr>
                <w:color w:val="0070C0"/>
                <w:sz w:val="30"/>
                <w:szCs w:val="30"/>
              </w:rPr>
            </w:pPr>
            <w:r w:rsidRPr="001661BE">
              <w:t>Bi-annual</w:t>
            </w:r>
          </w:p>
        </w:tc>
        <w:tc>
          <w:tcPr>
            <w:tcW w:w="0" w:type="auto"/>
          </w:tcPr>
          <w:p w14:paraId="7C2D6C93" w14:textId="77777777" w:rsidR="001F570F" w:rsidRDefault="001F570F" w:rsidP="001F570F">
            <w:pPr>
              <w:ind w:left="970" w:hanging="970"/>
              <w:jc w:val="both"/>
              <w:rPr>
                <w:color w:val="0070C0"/>
                <w:sz w:val="30"/>
                <w:szCs w:val="30"/>
              </w:rPr>
            </w:pPr>
            <w:r>
              <w:t>Group 1</w:t>
            </w:r>
          </w:p>
        </w:tc>
        <w:tc>
          <w:tcPr>
            <w:tcW w:w="0" w:type="auto"/>
          </w:tcPr>
          <w:p w14:paraId="3AA98008" w14:textId="77777777" w:rsidR="001F570F" w:rsidRDefault="001F570F" w:rsidP="001F570F">
            <w:pPr>
              <w:pStyle w:val="NoSpacing"/>
            </w:pPr>
            <w:r>
              <w:t>1</w:t>
            </w:r>
            <w:r w:rsidRPr="00013ACB">
              <w:rPr>
                <w:vertAlign w:val="superscript"/>
              </w:rPr>
              <w:t>st</w:t>
            </w:r>
            <w:r>
              <w:t xml:space="preserve"> Round:</w:t>
            </w:r>
          </w:p>
          <w:p w14:paraId="13A17DFD" w14:textId="77777777" w:rsidR="001F570F" w:rsidRDefault="001F570F" w:rsidP="001F570F">
            <w:pPr>
              <w:pStyle w:val="NoSpacing"/>
            </w:pPr>
            <w:r>
              <w:t>2019</w:t>
            </w:r>
          </w:p>
          <w:p w14:paraId="356B0689" w14:textId="77777777" w:rsidR="001F570F" w:rsidRDefault="001F570F" w:rsidP="001F570F">
            <w:pPr>
              <w:pStyle w:val="NoSpacing"/>
            </w:pPr>
          </w:p>
          <w:p w14:paraId="65E69560" w14:textId="77777777" w:rsidR="001F570F" w:rsidRDefault="001F570F" w:rsidP="001F570F">
            <w:pPr>
              <w:pStyle w:val="NoSpacing"/>
            </w:pPr>
            <w:r>
              <w:t>2</w:t>
            </w:r>
            <w:r w:rsidRPr="00013ACB">
              <w:rPr>
                <w:vertAlign w:val="superscript"/>
              </w:rPr>
              <w:t>nd</w:t>
            </w:r>
            <w:r>
              <w:t xml:space="preserve"> Round:</w:t>
            </w:r>
          </w:p>
          <w:p w14:paraId="59FD7B62" w14:textId="77777777" w:rsidR="001F570F" w:rsidRPr="00670519" w:rsidRDefault="001F570F" w:rsidP="001F570F">
            <w:pPr>
              <w:pStyle w:val="NoSpacing"/>
              <w:rPr>
                <w:b/>
              </w:rPr>
            </w:pPr>
            <w:r>
              <w:t xml:space="preserve"> </w:t>
            </w:r>
            <w:r w:rsidRPr="00670519">
              <w:t xml:space="preserve">December, </w:t>
            </w:r>
          </w:p>
          <w:p w14:paraId="6C7353F0" w14:textId="77777777" w:rsidR="001F570F" w:rsidRDefault="001F570F" w:rsidP="001F570F">
            <w:pPr>
              <w:pStyle w:val="NoSpacing"/>
            </w:pPr>
            <w:r>
              <w:t>2020</w:t>
            </w:r>
          </w:p>
          <w:p w14:paraId="1F680943" w14:textId="77777777" w:rsidR="001F570F" w:rsidRDefault="001F570F" w:rsidP="001F570F">
            <w:pPr>
              <w:pStyle w:val="NoSpacing"/>
            </w:pPr>
          </w:p>
          <w:p w14:paraId="7538188B" w14:textId="77777777" w:rsidR="001F570F" w:rsidRDefault="001F570F" w:rsidP="001F570F">
            <w:pPr>
              <w:pStyle w:val="NoSpacing"/>
            </w:pPr>
            <w:r>
              <w:t>3</w:t>
            </w:r>
            <w:r w:rsidRPr="00013ACB">
              <w:rPr>
                <w:vertAlign w:val="superscript"/>
              </w:rPr>
              <w:t>rd</w:t>
            </w:r>
            <w:r>
              <w:t xml:space="preserve"> Round: </w:t>
            </w:r>
          </w:p>
          <w:p w14:paraId="04127819" w14:textId="77777777" w:rsidR="001F570F" w:rsidRPr="00670519" w:rsidRDefault="001F570F" w:rsidP="001F570F">
            <w:pPr>
              <w:pStyle w:val="NoSpacing"/>
              <w:rPr>
                <w:b/>
              </w:rPr>
            </w:pPr>
            <w:r w:rsidRPr="00670519">
              <w:t xml:space="preserve">December, </w:t>
            </w:r>
          </w:p>
          <w:p w14:paraId="53960443" w14:textId="77777777" w:rsidR="001F570F" w:rsidRDefault="001F570F" w:rsidP="001F570F">
            <w:pPr>
              <w:pStyle w:val="NoSpacing"/>
            </w:pPr>
            <w:r>
              <w:t>2022</w:t>
            </w:r>
          </w:p>
          <w:p w14:paraId="3D2E6C7C" w14:textId="77777777" w:rsidR="001F570F" w:rsidRDefault="001F570F" w:rsidP="001F570F">
            <w:pPr>
              <w:pStyle w:val="NoSpacing"/>
            </w:pPr>
          </w:p>
          <w:p w14:paraId="3904AB56" w14:textId="77777777" w:rsidR="001F570F" w:rsidRDefault="001F570F" w:rsidP="001F570F">
            <w:pPr>
              <w:pStyle w:val="NoSpacing"/>
            </w:pPr>
            <w:r>
              <w:lastRenderedPageBreak/>
              <w:t>4</w:t>
            </w:r>
            <w:r w:rsidRPr="00013ACB">
              <w:rPr>
                <w:vertAlign w:val="superscript"/>
              </w:rPr>
              <w:t>th</w:t>
            </w:r>
            <w:r>
              <w:t xml:space="preserve"> Round: </w:t>
            </w:r>
          </w:p>
          <w:p w14:paraId="032DD75D" w14:textId="77777777" w:rsidR="001F570F" w:rsidRPr="00670519" w:rsidRDefault="001F570F" w:rsidP="001F570F">
            <w:pPr>
              <w:pStyle w:val="NoSpacing"/>
              <w:rPr>
                <w:b/>
              </w:rPr>
            </w:pPr>
            <w:r w:rsidRPr="00670519">
              <w:t xml:space="preserve">December, </w:t>
            </w:r>
          </w:p>
          <w:p w14:paraId="10ABCB74" w14:textId="77777777" w:rsidR="001F570F" w:rsidRDefault="001F570F" w:rsidP="001F570F">
            <w:pPr>
              <w:pStyle w:val="NoSpacing"/>
            </w:pPr>
            <w:r>
              <w:t>2024</w:t>
            </w:r>
          </w:p>
          <w:p w14:paraId="29A8CB41" w14:textId="77777777" w:rsidR="001F570F" w:rsidRDefault="001F570F" w:rsidP="001F570F">
            <w:pPr>
              <w:pStyle w:val="NoSpacing"/>
            </w:pPr>
          </w:p>
          <w:p w14:paraId="4B8A4A3D" w14:textId="77777777" w:rsidR="001F570F" w:rsidRDefault="001F570F" w:rsidP="001F570F">
            <w:pPr>
              <w:pStyle w:val="NoSpacing"/>
            </w:pPr>
            <w:r>
              <w:t>5</w:t>
            </w:r>
            <w:r w:rsidRPr="00013ACB">
              <w:rPr>
                <w:vertAlign w:val="superscript"/>
              </w:rPr>
              <w:t>th</w:t>
            </w:r>
            <w:r>
              <w:t xml:space="preserve"> Round: </w:t>
            </w:r>
          </w:p>
          <w:p w14:paraId="134EE6E5" w14:textId="77777777" w:rsidR="001F570F" w:rsidRPr="00670519" w:rsidRDefault="001F570F" w:rsidP="001F570F">
            <w:pPr>
              <w:pStyle w:val="NoSpacing"/>
              <w:rPr>
                <w:b/>
              </w:rPr>
            </w:pPr>
            <w:r w:rsidRPr="00670519">
              <w:t xml:space="preserve">December, </w:t>
            </w:r>
          </w:p>
          <w:p w14:paraId="54FCA5C6" w14:textId="77777777" w:rsidR="001F570F" w:rsidRDefault="001F570F" w:rsidP="001F570F">
            <w:pPr>
              <w:pStyle w:val="NoSpacing"/>
            </w:pPr>
            <w:r>
              <w:t>2026</w:t>
            </w:r>
          </w:p>
          <w:p w14:paraId="44DD739C" w14:textId="5D253BA4" w:rsidR="001F570F" w:rsidRDefault="001F570F" w:rsidP="001F570F">
            <w:pPr>
              <w:pStyle w:val="NoSpacing"/>
            </w:pPr>
          </w:p>
        </w:tc>
        <w:tc>
          <w:tcPr>
            <w:tcW w:w="0" w:type="auto"/>
          </w:tcPr>
          <w:p w14:paraId="7EA8FE83" w14:textId="77777777" w:rsidR="001F570F" w:rsidRDefault="001F570F" w:rsidP="001F570F">
            <w:pPr>
              <w:pStyle w:val="NoSpacing"/>
            </w:pPr>
            <w:r w:rsidRPr="00B6234F">
              <w:lastRenderedPageBreak/>
              <w:t>Data can be generated periodically based field inventory</w:t>
            </w:r>
            <w:r>
              <w:t xml:space="preserve"> </w:t>
            </w:r>
          </w:p>
          <w:p w14:paraId="3438D570" w14:textId="77777777" w:rsidR="001F570F" w:rsidRDefault="001F570F" w:rsidP="001F570F">
            <w:pPr>
              <w:pStyle w:val="NoSpacing"/>
            </w:pPr>
          </w:p>
          <w:p w14:paraId="0360E842" w14:textId="77777777" w:rsidR="001F570F" w:rsidRDefault="001F570F" w:rsidP="001F570F">
            <w:pPr>
              <w:pStyle w:val="NoSpacing"/>
            </w:pPr>
            <w:r>
              <w:t>Data availability reviewed in Nov. 2017 (classified as Tier I)</w:t>
            </w:r>
          </w:p>
          <w:p w14:paraId="37BAD2CA" w14:textId="77777777" w:rsidR="001F570F" w:rsidRDefault="001F570F" w:rsidP="001F570F">
            <w:pPr>
              <w:pStyle w:val="NoSpacing"/>
            </w:pPr>
          </w:p>
          <w:p w14:paraId="15356CAC" w14:textId="77777777" w:rsidR="001F570F" w:rsidRDefault="001F570F" w:rsidP="001F570F">
            <w:pPr>
              <w:pStyle w:val="NoSpacing"/>
            </w:pPr>
            <w:r>
              <w:t>IAEG-SDG 3rd meeting: Lack of sufficient data coverage (classified as Tier II)</w:t>
            </w:r>
          </w:p>
        </w:tc>
      </w:tr>
      <w:tr w:rsidR="001F570F" w14:paraId="758396F3" w14:textId="77777777" w:rsidTr="00A64F0D">
        <w:tc>
          <w:tcPr>
            <w:tcW w:w="0" w:type="auto"/>
          </w:tcPr>
          <w:p w14:paraId="5AA14699" w14:textId="77777777" w:rsidR="001F570F" w:rsidRDefault="001F570F" w:rsidP="001F570F">
            <w:pPr>
              <w:pStyle w:val="NoSpacing"/>
            </w:pPr>
            <w:r w:rsidRPr="00BA046C">
              <w:lastRenderedPageBreak/>
              <w:t xml:space="preserve">15.4.2 Mountain </w:t>
            </w:r>
            <w:r w:rsidRPr="00BA046C">
              <w:lastRenderedPageBreak/>
              <w:t>Green Cover Index</w:t>
            </w:r>
          </w:p>
        </w:tc>
        <w:tc>
          <w:tcPr>
            <w:tcW w:w="0" w:type="auto"/>
          </w:tcPr>
          <w:p w14:paraId="781E3B0A" w14:textId="77777777" w:rsidR="001F570F" w:rsidRDefault="001F570F" w:rsidP="001F570F">
            <w:pPr>
              <w:pStyle w:val="NoSpacing"/>
            </w:pPr>
            <w:r w:rsidRPr="005066A9">
              <w:lastRenderedPageBreak/>
              <w:t>FAO</w:t>
            </w:r>
          </w:p>
          <w:p w14:paraId="3ACBD835" w14:textId="77777777" w:rsidR="001F570F" w:rsidRDefault="001F570F" w:rsidP="001F570F">
            <w:pPr>
              <w:rPr>
                <w:b/>
                <w:bCs/>
                <w:szCs w:val="20"/>
              </w:rPr>
            </w:pPr>
            <w:r w:rsidRPr="007243FC">
              <w:rPr>
                <w:b/>
                <w:bCs/>
                <w:szCs w:val="20"/>
              </w:rPr>
              <w:lastRenderedPageBreak/>
              <w:t>Partner Agencies:</w:t>
            </w:r>
          </w:p>
          <w:p w14:paraId="3932408C" w14:textId="77777777" w:rsidR="001F570F" w:rsidRDefault="001F570F" w:rsidP="001F570F">
            <w:pPr>
              <w:pStyle w:val="NoSpacing"/>
            </w:pPr>
            <w:r w:rsidRPr="005066A9">
              <w:t>UNEP</w:t>
            </w:r>
          </w:p>
        </w:tc>
        <w:tc>
          <w:tcPr>
            <w:tcW w:w="0" w:type="auto"/>
          </w:tcPr>
          <w:p w14:paraId="57E305C9" w14:textId="77777777" w:rsidR="001F570F" w:rsidRDefault="001F570F" w:rsidP="001F570F">
            <w:pPr>
              <w:ind w:left="970" w:hanging="970"/>
              <w:jc w:val="both"/>
              <w:rPr>
                <w:color w:val="0070C0"/>
                <w:sz w:val="30"/>
                <w:szCs w:val="30"/>
              </w:rPr>
            </w:pPr>
            <w:r>
              <w:lastRenderedPageBreak/>
              <w:t>Tier I</w:t>
            </w:r>
          </w:p>
        </w:tc>
        <w:tc>
          <w:tcPr>
            <w:tcW w:w="0" w:type="auto"/>
          </w:tcPr>
          <w:p w14:paraId="3B61E270" w14:textId="77777777" w:rsidR="001F570F" w:rsidRPr="009B1A38" w:rsidRDefault="001F570F" w:rsidP="001F570F">
            <w:pPr>
              <w:pStyle w:val="NoSpacing"/>
              <w:rPr>
                <w:lang w:val="en-GB"/>
              </w:rPr>
            </w:pPr>
            <w:r w:rsidRPr="009B1A38">
              <w:rPr>
                <w:b/>
                <w:bCs/>
                <w:lang w:val="en-GB"/>
              </w:rPr>
              <w:t>Definition:</w:t>
            </w:r>
          </w:p>
          <w:p w14:paraId="3538A42D" w14:textId="77777777" w:rsidR="001F570F" w:rsidRPr="009B1A38" w:rsidRDefault="001F570F" w:rsidP="001F570F">
            <w:pPr>
              <w:pStyle w:val="NoSpacing"/>
              <w:rPr>
                <w:lang w:val="en-GB"/>
              </w:rPr>
            </w:pPr>
          </w:p>
          <w:p w14:paraId="58FF22BF" w14:textId="77777777" w:rsidR="001F570F" w:rsidRPr="009B1A38" w:rsidRDefault="001F570F" w:rsidP="001F570F">
            <w:pPr>
              <w:pStyle w:val="NoSpacing"/>
              <w:rPr>
                <w:lang w:val="en-GB"/>
              </w:rPr>
            </w:pPr>
            <w:r w:rsidRPr="009B1A38">
              <w:rPr>
                <w:lang w:val="en-GB"/>
              </w:rPr>
              <w:t xml:space="preserve">The Green Cover Index is meant to measure the changes of the green vegetation in mountain areas - i.e. forest, shrubs, trees, pasture land, crop land, etc. – in order to monitor progress on the mountain target. </w:t>
            </w:r>
          </w:p>
          <w:p w14:paraId="4EE4CF67" w14:textId="77777777" w:rsidR="001F570F" w:rsidRPr="009B1A38" w:rsidRDefault="001F570F" w:rsidP="001F570F">
            <w:pPr>
              <w:pStyle w:val="NoSpacing"/>
              <w:rPr>
                <w:lang w:val="en-GB"/>
              </w:rPr>
            </w:pPr>
          </w:p>
          <w:p w14:paraId="3AF59057" w14:textId="77777777" w:rsidR="001F570F" w:rsidRPr="009B1A38" w:rsidRDefault="001F570F" w:rsidP="001F570F">
            <w:pPr>
              <w:pStyle w:val="NoSpacing"/>
              <w:rPr>
                <w:lang w:val="en-GB"/>
              </w:rPr>
            </w:pPr>
            <w:r w:rsidRPr="009B1A38">
              <w:rPr>
                <w:lang w:val="en-GB"/>
              </w:rPr>
              <w:t xml:space="preserve">The </w:t>
            </w:r>
            <w:proofErr w:type="gramStart"/>
            <w:r w:rsidRPr="009B1A38">
              <w:rPr>
                <w:lang w:val="en-GB"/>
              </w:rPr>
              <w:t>index,</w:t>
            </w:r>
            <w:proofErr w:type="gramEnd"/>
            <w:r w:rsidRPr="009B1A38">
              <w:rPr>
                <w:lang w:val="en-GB"/>
              </w:rPr>
              <w:t xml:space="preserve"> will provide information on the changes in the vegetation cover and, as such, will provide an indication of the status of the conservation of mountain environments.</w:t>
            </w:r>
          </w:p>
          <w:p w14:paraId="79AF1EFC" w14:textId="77777777" w:rsidR="001F570F" w:rsidRPr="009B1A38" w:rsidRDefault="001F570F" w:rsidP="001F570F">
            <w:pPr>
              <w:pStyle w:val="NoSpacing"/>
              <w:rPr>
                <w:lang w:val="en-GB"/>
              </w:rPr>
            </w:pPr>
          </w:p>
          <w:p w14:paraId="4E44B164" w14:textId="77777777" w:rsidR="001F570F" w:rsidRPr="009B1A38" w:rsidRDefault="001F570F" w:rsidP="001F570F">
            <w:pPr>
              <w:pStyle w:val="NoSpacing"/>
              <w:rPr>
                <w:lang w:val="en-GB"/>
              </w:rPr>
            </w:pPr>
            <w:r w:rsidRPr="009B1A38">
              <w:rPr>
                <w:b/>
                <w:bCs/>
                <w:lang w:val="en-GB"/>
              </w:rPr>
              <w:t>Concepts:</w:t>
            </w:r>
          </w:p>
          <w:p w14:paraId="3C562F4E" w14:textId="77777777" w:rsidR="001F570F" w:rsidRPr="009B1A38" w:rsidRDefault="001F570F" w:rsidP="001F570F">
            <w:pPr>
              <w:pStyle w:val="NoSpacing"/>
              <w:rPr>
                <w:lang w:val="en-GB"/>
              </w:rPr>
            </w:pPr>
          </w:p>
          <w:p w14:paraId="5161A557" w14:textId="77777777" w:rsidR="001F570F" w:rsidRPr="009B1A38" w:rsidRDefault="001F570F" w:rsidP="001F570F">
            <w:pPr>
              <w:pStyle w:val="NoSpacing"/>
              <w:rPr>
                <w:lang w:val="en-GB"/>
              </w:rPr>
            </w:pPr>
            <w:r w:rsidRPr="009B1A38">
              <w:rPr>
                <w:lang w:val="en-GB"/>
              </w:rPr>
              <w:t xml:space="preserve">Mountains are defined according to the UNEP-WCMC classification that identifies them according to altitude, slope and local elevation range as described by Kapos et al. 2000: </w:t>
            </w:r>
          </w:p>
          <w:p w14:paraId="2A10EAED" w14:textId="77777777" w:rsidR="001F570F" w:rsidRPr="009B1A38" w:rsidRDefault="001F570F" w:rsidP="001F570F">
            <w:pPr>
              <w:pStyle w:val="NoSpacing"/>
              <w:rPr>
                <w:lang w:val="en-GB"/>
              </w:rPr>
            </w:pPr>
          </w:p>
          <w:p w14:paraId="66114449" w14:textId="77777777" w:rsidR="001F570F" w:rsidRPr="009B1A38" w:rsidRDefault="001F570F" w:rsidP="001F570F">
            <w:pPr>
              <w:pStyle w:val="NoSpacing"/>
              <w:rPr>
                <w:lang w:val="en-GB"/>
              </w:rPr>
            </w:pPr>
            <w:r w:rsidRPr="009B1A38">
              <w:rPr>
                <w:lang w:val="en-GB"/>
              </w:rPr>
              <w:t>Class 1: elevation &gt; 4,500 meters</w:t>
            </w:r>
          </w:p>
          <w:p w14:paraId="3F759B95" w14:textId="77777777" w:rsidR="001F570F" w:rsidRPr="009B1A38" w:rsidRDefault="001F570F" w:rsidP="001F570F">
            <w:pPr>
              <w:pStyle w:val="NoSpacing"/>
              <w:rPr>
                <w:lang w:val="en-GB"/>
              </w:rPr>
            </w:pPr>
            <w:r w:rsidRPr="009B1A38">
              <w:rPr>
                <w:lang w:val="en-GB"/>
              </w:rPr>
              <w:t>Class 2: elevation 3,500–4,500 meters</w:t>
            </w:r>
          </w:p>
          <w:p w14:paraId="1DDE6EA9" w14:textId="77777777" w:rsidR="001F570F" w:rsidRPr="009B1A38" w:rsidRDefault="001F570F" w:rsidP="001F570F">
            <w:pPr>
              <w:pStyle w:val="NoSpacing"/>
              <w:rPr>
                <w:lang w:val="en-GB"/>
              </w:rPr>
            </w:pPr>
            <w:r w:rsidRPr="009B1A38">
              <w:rPr>
                <w:lang w:val="en-GB"/>
              </w:rPr>
              <w:t>Class 3: elevation 2,500–3,500 meters</w:t>
            </w:r>
          </w:p>
          <w:p w14:paraId="79480077" w14:textId="77777777" w:rsidR="001F570F" w:rsidRPr="009B1A38" w:rsidRDefault="001F570F" w:rsidP="001F570F">
            <w:pPr>
              <w:pStyle w:val="NoSpacing"/>
              <w:rPr>
                <w:lang w:val="en-GB"/>
              </w:rPr>
            </w:pPr>
            <w:r w:rsidRPr="009B1A38">
              <w:rPr>
                <w:lang w:val="en-GB"/>
              </w:rPr>
              <w:t>Class 4: elevation 1,500–2,500 meters and slope &gt; 2</w:t>
            </w:r>
          </w:p>
          <w:p w14:paraId="5A46C27A" w14:textId="77777777" w:rsidR="001F570F" w:rsidRPr="009B1A38" w:rsidRDefault="001F570F" w:rsidP="001F570F">
            <w:pPr>
              <w:pStyle w:val="NoSpacing"/>
              <w:rPr>
                <w:lang w:val="en-GB"/>
              </w:rPr>
            </w:pPr>
            <w:r w:rsidRPr="009B1A38">
              <w:rPr>
                <w:lang w:val="en-GB"/>
              </w:rPr>
              <w:t>Class 5: elevation 1,000–1,500 meters and slope &gt; 5 or local elevation range (LER 7 kilometer radius) &gt; 300 meters</w:t>
            </w:r>
          </w:p>
          <w:p w14:paraId="679F95DD" w14:textId="77777777" w:rsidR="001F570F" w:rsidRPr="009B1A38" w:rsidRDefault="001F570F" w:rsidP="001F570F">
            <w:pPr>
              <w:pStyle w:val="NoSpacing"/>
              <w:rPr>
                <w:lang w:val="en-GB"/>
              </w:rPr>
            </w:pPr>
            <w:r w:rsidRPr="009B1A38">
              <w:rPr>
                <w:lang w:val="en-GB"/>
              </w:rPr>
              <w:t>Class 6: elevation 300–1,000 meters and local elevation range (7 kilometer radius) &gt; 300 meters</w:t>
            </w:r>
          </w:p>
          <w:p w14:paraId="70452D6D" w14:textId="77777777" w:rsidR="001F570F" w:rsidRPr="009B1A38" w:rsidRDefault="001F570F" w:rsidP="001F570F">
            <w:pPr>
              <w:pStyle w:val="NoSpacing"/>
              <w:rPr>
                <w:b/>
                <w:bCs/>
                <w:lang w:val="en-GB"/>
              </w:rPr>
            </w:pPr>
          </w:p>
          <w:p w14:paraId="28ECAF40" w14:textId="77777777" w:rsidR="001F570F" w:rsidRPr="009B1A38" w:rsidRDefault="001F570F" w:rsidP="001F570F">
            <w:pPr>
              <w:pStyle w:val="NoSpacing"/>
              <w:rPr>
                <w:lang w:val="en-GB"/>
              </w:rPr>
            </w:pPr>
            <w:r w:rsidRPr="009B1A38">
              <w:rPr>
                <w:b/>
                <w:bCs/>
                <w:lang w:val="en-GB"/>
              </w:rPr>
              <w:t>Comments and limitations:</w:t>
            </w:r>
          </w:p>
          <w:p w14:paraId="1B0BFF72" w14:textId="77777777" w:rsidR="001F570F" w:rsidRPr="009B1A38" w:rsidRDefault="001F570F" w:rsidP="001F570F">
            <w:pPr>
              <w:pStyle w:val="NoSpacing"/>
              <w:rPr>
                <w:lang w:val="en-GB"/>
              </w:rPr>
            </w:pPr>
          </w:p>
          <w:p w14:paraId="3653800C" w14:textId="77777777" w:rsidR="001F570F" w:rsidRPr="009B1A38" w:rsidRDefault="001F570F" w:rsidP="001F570F">
            <w:pPr>
              <w:pStyle w:val="NoSpacing"/>
              <w:rPr>
                <w:lang w:val="en-GB"/>
              </w:rPr>
            </w:pPr>
            <w:r w:rsidRPr="009B1A38">
              <w:rPr>
                <w:lang w:val="en-GB"/>
              </w:rPr>
              <w:t xml:space="preserve">The indicator is based on Collect Earth, the most modern technology available. Its user friendliness and smooth learning curve make it a perfect tool for performing fast, accurate and cost-effective assessments. It is free, open source and highly customizable for the specific data collection needs and methodologies. It builds upon very high resolution multi-temporal images from Google Earth and Bing Maps and Landsat 7 and 8 datasets from Google Earth Engine. Data and images are stored and globally available for any year from 2000, making possible the monitoring of the change over time. </w:t>
            </w:r>
          </w:p>
          <w:p w14:paraId="3C6418B6" w14:textId="77777777" w:rsidR="001F570F" w:rsidRPr="009B1A38" w:rsidRDefault="001F570F" w:rsidP="001F570F">
            <w:pPr>
              <w:pStyle w:val="NoSpacing"/>
              <w:rPr>
                <w:lang w:val="en-GB"/>
              </w:rPr>
            </w:pPr>
          </w:p>
          <w:p w14:paraId="6714DB7A" w14:textId="77777777" w:rsidR="001F570F" w:rsidRPr="009B1A38" w:rsidRDefault="001F570F" w:rsidP="001F570F">
            <w:pPr>
              <w:pStyle w:val="NoSpacing"/>
              <w:rPr>
                <w:lang w:val="en-GB"/>
              </w:rPr>
            </w:pPr>
            <w:r w:rsidRPr="009B1A38">
              <w:rPr>
                <w:lang w:val="en-GB"/>
              </w:rPr>
              <w:t xml:space="preserve">The indicator has a global accuracy of 99%, but at national level for small countries the degree of accuracy is lower. This will be improved over time as more countries expand the data collection within their territory. </w:t>
            </w:r>
          </w:p>
          <w:p w14:paraId="2634BD99" w14:textId="77777777" w:rsidR="001F570F" w:rsidRPr="009B1A38" w:rsidRDefault="001F570F" w:rsidP="001F570F">
            <w:pPr>
              <w:pStyle w:val="NoSpacing"/>
              <w:rPr>
                <w:lang w:val="en-GB"/>
              </w:rPr>
            </w:pPr>
          </w:p>
          <w:p w14:paraId="505A6E19" w14:textId="77777777" w:rsidR="001F570F" w:rsidRPr="009B1A38" w:rsidRDefault="001F570F" w:rsidP="001F570F">
            <w:pPr>
              <w:pStyle w:val="NoSpacing"/>
              <w:rPr>
                <w:lang w:val="en-GB"/>
              </w:rPr>
            </w:pPr>
            <w:r w:rsidRPr="009B1A38">
              <w:rPr>
                <w:lang w:val="en-GB"/>
              </w:rPr>
              <w:t>Data on mountain coverage are provided by the 2015 FAO/MPS global map of mountains.</w:t>
            </w:r>
          </w:p>
          <w:p w14:paraId="383E94EB" w14:textId="77777777" w:rsidR="001F570F" w:rsidRPr="009B1A38" w:rsidRDefault="001F570F" w:rsidP="001F570F">
            <w:pPr>
              <w:pStyle w:val="NoSpacing"/>
              <w:rPr>
                <w:b/>
                <w:bCs/>
                <w:lang w:val="en-GB"/>
              </w:rPr>
            </w:pPr>
          </w:p>
          <w:p w14:paraId="53E3BB0F" w14:textId="77777777" w:rsidR="001F570F" w:rsidRPr="009B1A38" w:rsidRDefault="001F570F" w:rsidP="001F570F">
            <w:pPr>
              <w:pStyle w:val="NoSpacing"/>
              <w:rPr>
                <w:lang w:val="en-GB"/>
              </w:rPr>
            </w:pPr>
            <w:r w:rsidRPr="009B1A38">
              <w:rPr>
                <w:b/>
                <w:bCs/>
                <w:lang w:val="en-GB"/>
              </w:rPr>
              <w:lastRenderedPageBreak/>
              <w:t>Computation Method:</w:t>
            </w:r>
          </w:p>
          <w:p w14:paraId="628C176C" w14:textId="77777777" w:rsidR="001F570F" w:rsidRPr="009B1A38" w:rsidRDefault="001F570F" w:rsidP="001F570F">
            <w:pPr>
              <w:pStyle w:val="NoSpacing"/>
              <w:rPr>
                <w:lang w:val="en-GB"/>
              </w:rPr>
            </w:pPr>
          </w:p>
          <w:p w14:paraId="336B766F" w14:textId="77777777" w:rsidR="001F570F" w:rsidRPr="009B1A38" w:rsidRDefault="001F570F" w:rsidP="001F570F">
            <w:pPr>
              <w:pStyle w:val="NoSpacing"/>
              <w:rPr>
                <w:lang w:val="en-GB"/>
              </w:rPr>
            </w:pPr>
            <w:r w:rsidRPr="009B1A38">
              <w:rPr>
                <w:lang w:val="en-GB"/>
              </w:rPr>
              <w:t xml:space="preserve">The indicator results from the juxtaposition of land cover data extracted from FAO Collect Earth tool and the global map of mountains produced by FAO/MPS in 2015 based on the UNEP-WMCM mountain classification. </w:t>
            </w:r>
          </w:p>
          <w:p w14:paraId="3CAB3EE4" w14:textId="77777777" w:rsidR="001F570F" w:rsidRPr="009B1A38" w:rsidRDefault="001F570F" w:rsidP="001F570F">
            <w:pPr>
              <w:pStyle w:val="NoSpacing"/>
              <w:rPr>
                <w:lang w:val="en-GB"/>
              </w:rPr>
            </w:pPr>
          </w:p>
          <w:p w14:paraId="10987E02" w14:textId="77777777" w:rsidR="001F570F" w:rsidRPr="009B1A38" w:rsidRDefault="001F570F" w:rsidP="001F570F">
            <w:pPr>
              <w:pStyle w:val="NoSpacing"/>
              <w:rPr>
                <w:lang w:val="en-GB"/>
              </w:rPr>
            </w:pPr>
            <w:r w:rsidRPr="009B1A38">
              <w:rPr>
                <w:lang w:val="en-GB"/>
              </w:rPr>
              <w:t>Collect Earth (</w:t>
            </w:r>
            <w:hyperlink r:id="rId126" w:history="1">
              <w:r w:rsidRPr="009B1A38">
                <w:rPr>
                  <w:rStyle w:val="Hyperlink"/>
                  <w:lang w:val="en-GB"/>
                </w:rPr>
                <w:t>http://www.openforis.org/tools/collect-earth.html</w:t>
              </w:r>
            </w:hyperlink>
            <w:r w:rsidRPr="009B1A38">
              <w:rPr>
                <w:lang w:val="en-GB"/>
              </w:rPr>
              <w:t>) is a free and open source tool that enables data collection through Google Earth for a wide variety of purposes, including:</w:t>
            </w:r>
          </w:p>
          <w:p w14:paraId="4526C9A6" w14:textId="77777777" w:rsidR="001F570F" w:rsidRPr="009B1A38" w:rsidRDefault="001F570F" w:rsidP="001F570F">
            <w:pPr>
              <w:pStyle w:val="NoSpacing"/>
              <w:numPr>
                <w:ilvl w:val="0"/>
                <w:numId w:val="78"/>
              </w:numPr>
              <w:rPr>
                <w:lang w:val="en-GB"/>
              </w:rPr>
            </w:pPr>
            <w:r w:rsidRPr="009B1A38">
              <w:rPr>
                <w:lang w:val="en-GB"/>
              </w:rPr>
              <w:t>Support multi-phase National Forest Inventories</w:t>
            </w:r>
          </w:p>
          <w:p w14:paraId="7C12C49C" w14:textId="77777777" w:rsidR="001F570F" w:rsidRPr="009B1A38" w:rsidRDefault="001F570F" w:rsidP="001F570F">
            <w:pPr>
              <w:pStyle w:val="NoSpacing"/>
              <w:numPr>
                <w:ilvl w:val="0"/>
                <w:numId w:val="78"/>
              </w:numPr>
              <w:rPr>
                <w:lang w:val="en-GB"/>
              </w:rPr>
            </w:pPr>
            <w:r w:rsidRPr="009B1A38">
              <w:rPr>
                <w:lang w:val="en-GB"/>
              </w:rPr>
              <w:t>Land Use, Land Use Change and Forestry (LULUCF) assessments</w:t>
            </w:r>
          </w:p>
          <w:p w14:paraId="770D96AB" w14:textId="77777777" w:rsidR="001F570F" w:rsidRPr="009B1A38" w:rsidRDefault="001F570F" w:rsidP="001F570F">
            <w:pPr>
              <w:pStyle w:val="NoSpacing"/>
              <w:numPr>
                <w:ilvl w:val="0"/>
                <w:numId w:val="78"/>
              </w:numPr>
              <w:rPr>
                <w:lang w:val="en-GB"/>
              </w:rPr>
            </w:pPr>
            <w:r w:rsidRPr="009B1A38">
              <w:rPr>
                <w:lang w:val="en-GB"/>
              </w:rPr>
              <w:t>Monitoring agricultural land and urban areas</w:t>
            </w:r>
          </w:p>
          <w:p w14:paraId="5F5A2404" w14:textId="77777777" w:rsidR="001F570F" w:rsidRPr="009B1A38" w:rsidRDefault="001F570F" w:rsidP="001F570F">
            <w:pPr>
              <w:pStyle w:val="NoSpacing"/>
              <w:numPr>
                <w:ilvl w:val="0"/>
                <w:numId w:val="78"/>
              </w:numPr>
              <w:rPr>
                <w:lang w:val="en-GB"/>
              </w:rPr>
            </w:pPr>
            <w:r w:rsidRPr="009B1A38">
              <w:rPr>
                <w:lang w:val="en-GB"/>
              </w:rPr>
              <w:t>Validation of existing maps</w:t>
            </w:r>
          </w:p>
          <w:p w14:paraId="20249E13" w14:textId="77777777" w:rsidR="001F570F" w:rsidRPr="009B1A38" w:rsidRDefault="001F570F" w:rsidP="001F570F">
            <w:pPr>
              <w:pStyle w:val="NoSpacing"/>
              <w:numPr>
                <w:ilvl w:val="0"/>
                <w:numId w:val="78"/>
              </w:numPr>
              <w:rPr>
                <w:lang w:val="en-GB"/>
              </w:rPr>
            </w:pPr>
            <w:r w:rsidRPr="009B1A38">
              <w:rPr>
                <w:lang w:val="en-GB"/>
              </w:rPr>
              <w:t>Collection of spatially explicit socio-economic data</w:t>
            </w:r>
          </w:p>
          <w:p w14:paraId="37D0F29B" w14:textId="77777777" w:rsidR="001F570F" w:rsidRPr="009B1A38" w:rsidRDefault="001F570F" w:rsidP="001F570F">
            <w:pPr>
              <w:pStyle w:val="NoSpacing"/>
              <w:numPr>
                <w:ilvl w:val="0"/>
                <w:numId w:val="78"/>
              </w:numPr>
              <w:rPr>
                <w:lang w:val="en-GB"/>
              </w:rPr>
            </w:pPr>
            <w:r w:rsidRPr="009B1A38">
              <w:rPr>
                <w:lang w:val="en-GB"/>
              </w:rPr>
              <w:t>Quantifying deforestation, reforestation and desertification</w:t>
            </w:r>
          </w:p>
          <w:p w14:paraId="65F7E485" w14:textId="77777777" w:rsidR="001F570F" w:rsidRPr="009B1A38" w:rsidRDefault="001F570F" w:rsidP="001F570F">
            <w:pPr>
              <w:pStyle w:val="NoSpacing"/>
            </w:pPr>
          </w:p>
        </w:tc>
        <w:tc>
          <w:tcPr>
            <w:tcW w:w="0" w:type="auto"/>
          </w:tcPr>
          <w:p w14:paraId="7206B5B4" w14:textId="77777777" w:rsidR="001F570F" w:rsidRPr="0044302B" w:rsidRDefault="001F570F" w:rsidP="001F570F">
            <w:pPr>
              <w:pStyle w:val="NoSpacing"/>
            </w:pPr>
            <w:r>
              <w:rPr>
                <w:lang w:eastAsia="en-GB"/>
              </w:rPr>
              <w:lastRenderedPageBreak/>
              <w:t>R</w:t>
            </w:r>
            <w:r w:rsidRPr="00306C61">
              <w:rPr>
                <w:lang w:eastAsia="en-GB"/>
              </w:rPr>
              <w:t>egional assessment</w:t>
            </w:r>
          </w:p>
        </w:tc>
        <w:tc>
          <w:tcPr>
            <w:tcW w:w="0" w:type="auto"/>
          </w:tcPr>
          <w:p w14:paraId="0675B01B" w14:textId="77777777" w:rsidR="001F570F" w:rsidRPr="0044302B" w:rsidRDefault="001F570F" w:rsidP="001F570F">
            <w:pPr>
              <w:pStyle w:val="NoSpacing"/>
            </w:pPr>
            <w:r w:rsidRPr="00306C61">
              <w:rPr>
                <w:lang w:eastAsia="en-GB"/>
              </w:rPr>
              <w:t>MPS/FAO</w:t>
            </w:r>
          </w:p>
        </w:tc>
        <w:tc>
          <w:tcPr>
            <w:tcW w:w="0" w:type="auto"/>
          </w:tcPr>
          <w:p w14:paraId="7C132E38" w14:textId="0481BE57" w:rsidR="001F570F" w:rsidRDefault="001F570F" w:rsidP="001F570F">
            <w:pPr>
              <w:pStyle w:val="NoSpacing"/>
            </w:pPr>
          </w:p>
          <w:p w14:paraId="06E11515" w14:textId="77777777" w:rsidR="001F570F" w:rsidRDefault="001F570F" w:rsidP="001F570F">
            <w:pPr>
              <w:pStyle w:val="NoSpacing"/>
              <w:rPr>
                <w:color w:val="0070C0"/>
                <w:sz w:val="30"/>
                <w:szCs w:val="30"/>
              </w:rPr>
            </w:pPr>
            <w:r w:rsidRPr="000B44A4">
              <w:rPr>
                <w:szCs w:val="26"/>
              </w:rPr>
              <w:lastRenderedPageBreak/>
              <w:t>Land cover map 2015 and mountainous protected area based on digital elevation models</w:t>
            </w:r>
            <w:r>
              <w:rPr>
                <w:szCs w:val="26"/>
              </w:rPr>
              <w:t>, BFD</w:t>
            </w:r>
          </w:p>
        </w:tc>
        <w:tc>
          <w:tcPr>
            <w:tcW w:w="0" w:type="auto"/>
          </w:tcPr>
          <w:p w14:paraId="03F26820" w14:textId="77777777" w:rsidR="001F570F" w:rsidRDefault="001F570F" w:rsidP="001F570F">
            <w:pPr>
              <w:pStyle w:val="NoSpacing"/>
            </w:pPr>
            <w:r w:rsidRPr="007B19A9">
              <w:lastRenderedPageBreak/>
              <w:t>BFD,</w:t>
            </w:r>
            <w:r w:rsidRPr="00BC6F10">
              <w:t xml:space="preserve"> </w:t>
            </w:r>
            <w:r>
              <w:t>MoEFCC</w:t>
            </w:r>
          </w:p>
          <w:p w14:paraId="05914E86" w14:textId="77777777" w:rsidR="001F570F" w:rsidRDefault="001F570F" w:rsidP="001F570F">
            <w:pPr>
              <w:pStyle w:val="NoSpacing"/>
            </w:pPr>
          </w:p>
          <w:p w14:paraId="327E1551" w14:textId="77777777" w:rsidR="001F570F" w:rsidRDefault="001F570F" w:rsidP="001F570F">
            <w:pPr>
              <w:pStyle w:val="NoSpacing"/>
              <w:rPr>
                <w:color w:val="0070C0"/>
                <w:sz w:val="30"/>
                <w:szCs w:val="30"/>
              </w:rPr>
            </w:pPr>
            <w:r>
              <w:t>Big Data</w:t>
            </w:r>
          </w:p>
        </w:tc>
        <w:tc>
          <w:tcPr>
            <w:tcW w:w="0" w:type="auto"/>
          </w:tcPr>
          <w:p w14:paraId="2A048577"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lastRenderedPageBreak/>
              <w:t xml:space="preserve">mountain </w:t>
            </w:r>
            <w:r>
              <w:rPr>
                <w:rFonts w:ascii="Tw Cen MT Condensed" w:hAnsi="Tw Cen MT Condensed"/>
                <w:sz w:val="20"/>
                <w:szCs w:val="20"/>
              </w:rPr>
              <w:lastRenderedPageBreak/>
              <w:t>elevation class</w:t>
            </w:r>
          </w:p>
          <w:p w14:paraId="0A80F32F" w14:textId="77777777" w:rsidR="001F570F" w:rsidRDefault="001F570F" w:rsidP="001F570F">
            <w:pPr>
              <w:ind w:left="970" w:hanging="970"/>
              <w:jc w:val="both"/>
              <w:rPr>
                <w:color w:val="0070C0"/>
                <w:sz w:val="30"/>
                <w:szCs w:val="30"/>
              </w:rPr>
            </w:pPr>
          </w:p>
        </w:tc>
        <w:tc>
          <w:tcPr>
            <w:tcW w:w="0" w:type="auto"/>
          </w:tcPr>
          <w:p w14:paraId="0FFE1A75" w14:textId="77777777" w:rsidR="001F570F" w:rsidRDefault="001F570F" w:rsidP="001F570F">
            <w:pPr>
              <w:ind w:left="970" w:hanging="970"/>
              <w:jc w:val="both"/>
              <w:rPr>
                <w:color w:val="0070C0"/>
                <w:sz w:val="30"/>
                <w:szCs w:val="30"/>
              </w:rPr>
            </w:pPr>
            <w:r w:rsidRPr="00BC6F10">
              <w:lastRenderedPageBreak/>
              <w:t>Annual</w:t>
            </w:r>
          </w:p>
        </w:tc>
        <w:tc>
          <w:tcPr>
            <w:tcW w:w="0" w:type="auto"/>
          </w:tcPr>
          <w:p w14:paraId="2249BFD1" w14:textId="77777777" w:rsidR="001F570F" w:rsidRDefault="001F570F" w:rsidP="001F570F">
            <w:pPr>
              <w:ind w:left="970" w:hanging="970"/>
              <w:jc w:val="both"/>
              <w:rPr>
                <w:color w:val="0070C0"/>
                <w:sz w:val="30"/>
                <w:szCs w:val="30"/>
              </w:rPr>
            </w:pPr>
            <w:r>
              <w:t>Group 1</w:t>
            </w:r>
          </w:p>
        </w:tc>
        <w:tc>
          <w:tcPr>
            <w:tcW w:w="0" w:type="auto"/>
          </w:tcPr>
          <w:p w14:paraId="6EA16065" w14:textId="77777777" w:rsidR="001F570F" w:rsidRDefault="001F570F" w:rsidP="001F570F">
            <w:pPr>
              <w:pStyle w:val="NoSpacing"/>
            </w:pPr>
            <w:r>
              <w:t>1</w:t>
            </w:r>
            <w:r w:rsidRPr="00013ACB">
              <w:rPr>
                <w:vertAlign w:val="superscript"/>
              </w:rPr>
              <w:t>st</w:t>
            </w:r>
            <w:r>
              <w:t xml:space="preserve"> Round:</w:t>
            </w:r>
          </w:p>
          <w:p w14:paraId="3FFBF675" w14:textId="77777777" w:rsidR="001F570F" w:rsidRDefault="001F570F" w:rsidP="001F570F">
            <w:pPr>
              <w:pStyle w:val="NoSpacing"/>
            </w:pPr>
            <w:r>
              <w:lastRenderedPageBreak/>
              <w:t>2015</w:t>
            </w:r>
          </w:p>
          <w:p w14:paraId="402ABDF2" w14:textId="77777777" w:rsidR="001F570F" w:rsidRDefault="001F570F" w:rsidP="001F570F">
            <w:pPr>
              <w:pStyle w:val="NoSpacing"/>
            </w:pPr>
          </w:p>
          <w:p w14:paraId="42C5C5C7" w14:textId="77777777" w:rsidR="001F570F" w:rsidRDefault="001F570F" w:rsidP="001F570F">
            <w:pPr>
              <w:pStyle w:val="NoSpacing"/>
            </w:pPr>
            <w:r>
              <w:t>2</w:t>
            </w:r>
            <w:r w:rsidRPr="00013ACB">
              <w:rPr>
                <w:vertAlign w:val="superscript"/>
              </w:rPr>
              <w:t>nd</w:t>
            </w:r>
            <w:r>
              <w:t xml:space="preserve"> Round:</w:t>
            </w:r>
          </w:p>
          <w:p w14:paraId="38414D78" w14:textId="77777777" w:rsidR="001F570F" w:rsidRPr="00670519" w:rsidRDefault="001F570F" w:rsidP="001F570F">
            <w:pPr>
              <w:pStyle w:val="NoSpacing"/>
              <w:rPr>
                <w:b/>
              </w:rPr>
            </w:pPr>
            <w:r>
              <w:t xml:space="preserve"> </w:t>
            </w:r>
            <w:r w:rsidRPr="00670519">
              <w:t xml:space="preserve">December, </w:t>
            </w:r>
          </w:p>
          <w:p w14:paraId="3C45B6D5" w14:textId="77777777" w:rsidR="001F570F" w:rsidRDefault="001F570F" w:rsidP="001F570F">
            <w:pPr>
              <w:pStyle w:val="NoSpacing"/>
            </w:pPr>
            <w:r w:rsidRPr="00670519">
              <w:t>2019</w:t>
            </w:r>
          </w:p>
          <w:p w14:paraId="5983D2BC" w14:textId="77777777" w:rsidR="001F570F" w:rsidRDefault="001F570F" w:rsidP="001F570F">
            <w:pPr>
              <w:pStyle w:val="NoSpacing"/>
            </w:pPr>
          </w:p>
          <w:p w14:paraId="31384978" w14:textId="77777777" w:rsidR="001F570F" w:rsidRDefault="001F570F" w:rsidP="001F570F">
            <w:pPr>
              <w:pStyle w:val="NoSpacing"/>
            </w:pPr>
            <w:r>
              <w:t>3</w:t>
            </w:r>
            <w:r w:rsidRPr="00013ACB">
              <w:rPr>
                <w:vertAlign w:val="superscript"/>
              </w:rPr>
              <w:t>rd</w:t>
            </w:r>
            <w:r>
              <w:t xml:space="preserve"> Round: </w:t>
            </w:r>
          </w:p>
          <w:p w14:paraId="57674BE5" w14:textId="77777777" w:rsidR="001F570F" w:rsidRPr="00670519" w:rsidRDefault="001F570F" w:rsidP="001F570F">
            <w:pPr>
              <w:pStyle w:val="NoSpacing"/>
              <w:rPr>
                <w:b/>
              </w:rPr>
            </w:pPr>
            <w:r w:rsidRPr="00670519">
              <w:t xml:space="preserve">December, </w:t>
            </w:r>
          </w:p>
          <w:p w14:paraId="30D77F16" w14:textId="77777777" w:rsidR="001F570F" w:rsidRDefault="001F570F" w:rsidP="001F570F">
            <w:pPr>
              <w:pStyle w:val="NoSpacing"/>
            </w:pPr>
            <w:r>
              <w:t>2020</w:t>
            </w:r>
          </w:p>
          <w:p w14:paraId="5633423D" w14:textId="77777777" w:rsidR="001F570F" w:rsidRDefault="001F570F" w:rsidP="001F570F">
            <w:pPr>
              <w:pStyle w:val="NoSpacing"/>
            </w:pPr>
          </w:p>
          <w:p w14:paraId="0780F06F" w14:textId="77777777" w:rsidR="001F570F" w:rsidRDefault="001F570F" w:rsidP="001F570F">
            <w:pPr>
              <w:pStyle w:val="NoSpacing"/>
            </w:pPr>
            <w:r>
              <w:t>4</w:t>
            </w:r>
            <w:r w:rsidRPr="00013ACB">
              <w:rPr>
                <w:vertAlign w:val="superscript"/>
              </w:rPr>
              <w:t>th</w:t>
            </w:r>
            <w:r>
              <w:t xml:space="preserve"> Round: </w:t>
            </w:r>
          </w:p>
          <w:p w14:paraId="789496BB" w14:textId="77777777" w:rsidR="001F570F" w:rsidRPr="00670519" w:rsidRDefault="001F570F" w:rsidP="001F570F">
            <w:pPr>
              <w:pStyle w:val="NoSpacing"/>
              <w:rPr>
                <w:b/>
              </w:rPr>
            </w:pPr>
            <w:r w:rsidRPr="00670519">
              <w:t xml:space="preserve">December, </w:t>
            </w:r>
          </w:p>
          <w:p w14:paraId="77677DEA" w14:textId="77777777" w:rsidR="001F570F" w:rsidRDefault="001F570F" w:rsidP="001F570F">
            <w:pPr>
              <w:pStyle w:val="NoSpacing"/>
            </w:pPr>
            <w:r>
              <w:t>2021</w:t>
            </w:r>
          </w:p>
          <w:p w14:paraId="58566F1F" w14:textId="77777777" w:rsidR="001F570F" w:rsidRDefault="001F570F" w:rsidP="001F570F">
            <w:pPr>
              <w:pStyle w:val="NoSpacing"/>
            </w:pPr>
          </w:p>
          <w:p w14:paraId="06F1CE82" w14:textId="77777777" w:rsidR="001F570F" w:rsidRDefault="001F570F" w:rsidP="001F570F">
            <w:pPr>
              <w:pStyle w:val="NoSpacing"/>
            </w:pPr>
            <w:r>
              <w:t>5</w:t>
            </w:r>
            <w:r w:rsidRPr="00013ACB">
              <w:rPr>
                <w:vertAlign w:val="superscript"/>
              </w:rPr>
              <w:t>th</w:t>
            </w:r>
            <w:r>
              <w:t xml:space="preserve"> Round: </w:t>
            </w:r>
          </w:p>
          <w:p w14:paraId="058C0754" w14:textId="77777777" w:rsidR="001F570F" w:rsidRPr="00670519" w:rsidRDefault="001F570F" w:rsidP="001F570F">
            <w:pPr>
              <w:pStyle w:val="NoSpacing"/>
              <w:rPr>
                <w:b/>
              </w:rPr>
            </w:pPr>
            <w:r w:rsidRPr="00670519">
              <w:t xml:space="preserve">December, </w:t>
            </w:r>
          </w:p>
          <w:p w14:paraId="6801DA89" w14:textId="77777777" w:rsidR="001F570F" w:rsidRDefault="001F570F" w:rsidP="001F570F">
            <w:pPr>
              <w:pStyle w:val="NoSpacing"/>
            </w:pPr>
            <w:r>
              <w:t>2022</w:t>
            </w:r>
          </w:p>
          <w:p w14:paraId="61DBE7ED" w14:textId="59205F5F" w:rsidR="001F570F" w:rsidRDefault="001F570F" w:rsidP="001F570F">
            <w:pPr>
              <w:pStyle w:val="NoSpacing"/>
            </w:pPr>
          </w:p>
        </w:tc>
        <w:tc>
          <w:tcPr>
            <w:tcW w:w="0" w:type="auto"/>
          </w:tcPr>
          <w:p w14:paraId="4C5D49C3" w14:textId="77777777" w:rsidR="001F570F" w:rsidRDefault="001F570F" w:rsidP="001F570F">
            <w:pPr>
              <w:pStyle w:val="NoSpacing"/>
            </w:pPr>
            <w:r>
              <w:lastRenderedPageBreak/>
              <w:t xml:space="preserve">BFD should </w:t>
            </w:r>
            <w:r>
              <w:lastRenderedPageBreak/>
              <w:t>confirm the data provided</w:t>
            </w:r>
            <w:r w:rsidRPr="00B6234F">
              <w:t xml:space="preserve"> </w:t>
            </w:r>
          </w:p>
          <w:p w14:paraId="31E3A671" w14:textId="77777777" w:rsidR="001F570F" w:rsidRDefault="001F570F" w:rsidP="001F570F">
            <w:pPr>
              <w:pStyle w:val="NoSpacing"/>
            </w:pPr>
          </w:p>
          <w:p w14:paraId="05750669" w14:textId="77777777" w:rsidR="001F570F" w:rsidRDefault="001F570F" w:rsidP="001F570F">
            <w:pPr>
              <w:pStyle w:val="NoSpacing"/>
            </w:pPr>
            <w:r w:rsidRPr="00B6234F">
              <w:t>Data availability reviewed in Nov. 2017 (classified as Tier I)</w:t>
            </w:r>
          </w:p>
        </w:tc>
      </w:tr>
      <w:tr w:rsidR="001F570F" w14:paraId="2D6B8588" w14:textId="77777777" w:rsidTr="00A64F0D">
        <w:tc>
          <w:tcPr>
            <w:tcW w:w="0" w:type="auto"/>
          </w:tcPr>
          <w:p w14:paraId="5442D9F1" w14:textId="77777777" w:rsidR="001F570F" w:rsidRDefault="001F570F" w:rsidP="001F570F">
            <w:pPr>
              <w:ind w:left="970" w:hanging="970"/>
              <w:jc w:val="both"/>
              <w:rPr>
                <w:color w:val="0070C0"/>
                <w:sz w:val="30"/>
                <w:szCs w:val="30"/>
              </w:rPr>
            </w:pPr>
          </w:p>
        </w:tc>
        <w:tc>
          <w:tcPr>
            <w:tcW w:w="0" w:type="auto"/>
            <w:gridSpan w:val="12"/>
          </w:tcPr>
          <w:p w14:paraId="23AFE186"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15.5 Take urgent and significant action to reduce the degradation of natural habitats, halt the loss of biodiversity and, by 2020, protect and prevent the extinction of threatened species</w:t>
            </w:r>
          </w:p>
        </w:tc>
      </w:tr>
      <w:tr w:rsidR="001F570F" w14:paraId="1FC16272" w14:textId="77777777" w:rsidTr="00A64F0D">
        <w:tc>
          <w:tcPr>
            <w:tcW w:w="0" w:type="auto"/>
          </w:tcPr>
          <w:p w14:paraId="10EE808F" w14:textId="77777777" w:rsidR="001F570F" w:rsidRDefault="001F570F" w:rsidP="001F570F">
            <w:pPr>
              <w:pStyle w:val="NoSpacing"/>
            </w:pPr>
            <w:r w:rsidRPr="00BA046C">
              <w:t>15.5.1 Red List Index</w:t>
            </w:r>
          </w:p>
        </w:tc>
        <w:tc>
          <w:tcPr>
            <w:tcW w:w="0" w:type="auto"/>
          </w:tcPr>
          <w:p w14:paraId="28C6B2BC" w14:textId="77777777" w:rsidR="001F570F" w:rsidRDefault="001F570F" w:rsidP="001F570F">
            <w:pPr>
              <w:pStyle w:val="NoSpacing"/>
            </w:pPr>
            <w:r w:rsidRPr="005066A9">
              <w:t>IUCN</w:t>
            </w:r>
          </w:p>
          <w:p w14:paraId="69C3A665" w14:textId="77777777" w:rsidR="001F570F" w:rsidRDefault="001F570F" w:rsidP="001F570F">
            <w:pPr>
              <w:rPr>
                <w:b/>
                <w:bCs/>
                <w:szCs w:val="20"/>
              </w:rPr>
            </w:pPr>
            <w:r w:rsidRPr="007243FC">
              <w:rPr>
                <w:b/>
                <w:bCs/>
                <w:szCs w:val="20"/>
              </w:rPr>
              <w:t>Partner Agencies:</w:t>
            </w:r>
          </w:p>
          <w:p w14:paraId="11D35134" w14:textId="77777777" w:rsidR="001F570F" w:rsidRDefault="001F570F" w:rsidP="001F570F">
            <w:pPr>
              <w:pStyle w:val="NoSpacing"/>
            </w:pPr>
            <w:r>
              <w:t>UNEP,</w:t>
            </w:r>
          </w:p>
          <w:p w14:paraId="72DEE991" w14:textId="77777777" w:rsidR="001F570F" w:rsidRDefault="001F570F" w:rsidP="001F570F">
            <w:pPr>
              <w:pStyle w:val="NoSpacing"/>
            </w:pPr>
            <w:r>
              <w:t>CITES</w:t>
            </w:r>
          </w:p>
        </w:tc>
        <w:tc>
          <w:tcPr>
            <w:tcW w:w="0" w:type="auto"/>
          </w:tcPr>
          <w:p w14:paraId="6CB349EC" w14:textId="77777777" w:rsidR="001F570F" w:rsidRDefault="001F570F" w:rsidP="001F570F">
            <w:pPr>
              <w:ind w:left="970" w:hanging="970"/>
              <w:jc w:val="both"/>
              <w:rPr>
                <w:color w:val="0070C0"/>
                <w:sz w:val="30"/>
                <w:szCs w:val="30"/>
              </w:rPr>
            </w:pPr>
            <w:r>
              <w:t>Tier I</w:t>
            </w:r>
          </w:p>
        </w:tc>
        <w:tc>
          <w:tcPr>
            <w:tcW w:w="0" w:type="auto"/>
          </w:tcPr>
          <w:p w14:paraId="3527D274" w14:textId="77777777" w:rsidR="001F570F" w:rsidRPr="00B51D81" w:rsidRDefault="001F570F" w:rsidP="001F570F">
            <w:pPr>
              <w:pStyle w:val="NoSpacing"/>
              <w:rPr>
                <w:lang w:val="en-GB"/>
              </w:rPr>
            </w:pPr>
            <w:r w:rsidRPr="00B51D81">
              <w:rPr>
                <w:b/>
                <w:bCs/>
                <w:lang w:val="en-GB"/>
              </w:rPr>
              <w:t>Definition:</w:t>
            </w:r>
          </w:p>
          <w:p w14:paraId="53C17F63" w14:textId="77777777" w:rsidR="001F570F" w:rsidRPr="00B51D81" w:rsidRDefault="001F570F" w:rsidP="001F570F">
            <w:pPr>
              <w:pStyle w:val="NoSpacing"/>
              <w:rPr>
                <w:lang w:val="en-GB"/>
              </w:rPr>
            </w:pPr>
            <w:r w:rsidRPr="00B51D81">
              <w:rPr>
                <w:lang w:val="en-GB"/>
              </w:rPr>
              <w:t>The Red List Index measures change in aggregate extinction risk across groups of species. It is based on genuine changes in the number of species in each category of extinction risk on The IUCN Red List of Threatened Species (IUCN 2015) is expressed as changes in an index ranging from 0 to 1.</w:t>
            </w:r>
          </w:p>
          <w:p w14:paraId="4140CB3D" w14:textId="77777777" w:rsidR="001F570F" w:rsidRPr="00B51D81" w:rsidRDefault="001F570F" w:rsidP="001F570F">
            <w:pPr>
              <w:pStyle w:val="NoSpacing"/>
              <w:rPr>
                <w:lang w:val="en-GB"/>
              </w:rPr>
            </w:pPr>
            <w:r w:rsidRPr="00B51D81">
              <w:rPr>
                <w:b/>
                <w:bCs/>
                <w:lang w:val="en-GB"/>
              </w:rPr>
              <w:t>Concepts:</w:t>
            </w:r>
          </w:p>
          <w:p w14:paraId="6DC1A791" w14:textId="77777777" w:rsidR="001F570F" w:rsidRPr="00B51D81" w:rsidRDefault="001F570F" w:rsidP="001F570F">
            <w:pPr>
              <w:pStyle w:val="NoSpacing"/>
              <w:rPr>
                <w:lang w:val="en-GB"/>
              </w:rPr>
            </w:pPr>
            <w:r w:rsidRPr="00B51D81">
              <w:rPr>
                <w:lang w:val="en-GB"/>
              </w:rPr>
              <w:t>Threatened species are those listed on The IUCN Red List of Threatened Species in the categories Vulnerable, Endangered, or Critically Endangered (i.e., species that are facing a high, very high, or extremely high risk of extinction in the wild in the medium-term future). Changes over time in the proportion of species threatened with extinction are largely driven by improvements in knowledge and changing taxonomy. The indicator excludes such changes to yield a more informative indicator than the simple proportion of threatened species. It therefore measures change in aggregate extinction risk across groups of species over time, resulting from genuine improvements or deteriorations in the status of individual species. It can be calculated for any representative set of species that have been assessed for The IUCN Red List of Threatened Species at least twice (Butchart et al. 2004, 2005, 2007).</w:t>
            </w:r>
          </w:p>
          <w:p w14:paraId="39465FA9" w14:textId="77777777" w:rsidR="001F570F" w:rsidRPr="00B51D81" w:rsidRDefault="001F570F" w:rsidP="001F570F">
            <w:pPr>
              <w:pStyle w:val="NoSpacing"/>
              <w:rPr>
                <w:lang w:val="en-GB"/>
              </w:rPr>
            </w:pPr>
          </w:p>
          <w:p w14:paraId="5BD0A525" w14:textId="77777777" w:rsidR="001F570F" w:rsidRPr="00B51D81" w:rsidRDefault="001F570F" w:rsidP="001F570F">
            <w:pPr>
              <w:pStyle w:val="NoSpacing"/>
              <w:rPr>
                <w:b/>
                <w:bCs/>
                <w:lang w:val="en-GB"/>
              </w:rPr>
            </w:pPr>
            <w:r w:rsidRPr="00B51D81">
              <w:rPr>
                <w:b/>
                <w:bCs/>
                <w:lang w:val="en-GB"/>
              </w:rPr>
              <w:t>Comments and limitations:</w:t>
            </w:r>
          </w:p>
          <w:p w14:paraId="6E5C529B" w14:textId="77777777" w:rsidR="001F570F" w:rsidRPr="00B51D81" w:rsidRDefault="001F570F" w:rsidP="001F570F">
            <w:pPr>
              <w:pStyle w:val="NoSpacing"/>
              <w:rPr>
                <w:lang w:val="en-GB"/>
              </w:rPr>
            </w:pPr>
            <w:r w:rsidRPr="00B51D81">
              <w:rPr>
                <w:lang w:val="en-GB"/>
              </w:rPr>
              <w:t>There are four main sources of uncertainty associated with Red List Index values and trends.</w:t>
            </w:r>
          </w:p>
          <w:p w14:paraId="66DA002A" w14:textId="77777777" w:rsidR="001F570F" w:rsidRPr="00B51D81" w:rsidRDefault="001F570F" w:rsidP="001F570F">
            <w:pPr>
              <w:pStyle w:val="NoSpacing"/>
              <w:rPr>
                <w:lang w:val="en-GB"/>
              </w:rPr>
            </w:pPr>
          </w:p>
          <w:p w14:paraId="54452ED6" w14:textId="77777777" w:rsidR="001F570F" w:rsidRPr="00B51D81" w:rsidRDefault="001F570F" w:rsidP="001F570F">
            <w:pPr>
              <w:pStyle w:val="NoSpacing"/>
              <w:numPr>
                <w:ilvl w:val="0"/>
                <w:numId w:val="80"/>
              </w:numPr>
              <w:rPr>
                <w:lang w:val="en-GB"/>
              </w:rPr>
            </w:pPr>
            <w:r w:rsidRPr="00B51D81">
              <w:rPr>
                <w:lang w:val="en-GB"/>
              </w:rPr>
              <w:lastRenderedPageBreak/>
              <w:t>Inadequate, incomplete or inaccurate knowledge of a species’ status. This uncertainty is minimized by assigning estimates of extinction risk to categories that are broad in magnitude and timing.</w:t>
            </w:r>
          </w:p>
          <w:p w14:paraId="7D22B0F0" w14:textId="77777777" w:rsidR="001F570F" w:rsidRPr="00B51D81" w:rsidRDefault="001F570F" w:rsidP="001F570F">
            <w:pPr>
              <w:pStyle w:val="NoSpacing"/>
              <w:rPr>
                <w:lang w:val="en-GB"/>
              </w:rPr>
            </w:pPr>
          </w:p>
          <w:p w14:paraId="36EAE84A" w14:textId="77777777" w:rsidR="001F570F" w:rsidRPr="00B51D81" w:rsidRDefault="001F570F" w:rsidP="001F570F">
            <w:pPr>
              <w:pStyle w:val="NoSpacing"/>
              <w:numPr>
                <w:ilvl w:val="0"/>
                <w:numId w:val="80"/>
              </w:numPr>
              <w:rPr>
                <w:lang w:val="en-GB"/>
              </w:rPr>
            </w:pPr>
            <w:r w:rsidRPr="00B51D81">
              <w:rPr>
                <w:lang w:val="en-GB"/>
              </w:rPr>
              <w:t>Delays in knowledge about a species becoming available for assessment. Such delays apply to a small (and diminishing) proportion of status changes, and can be overcome in the Red List Index through back-casting.</w:t>
            </w:r>
          </w:p>
          <w:p w14:paraId="6CDE3785" w14:textId="77777777" w:rsidR="001F570F" w:rsidRPr="00B51D81" w:rsidRDefault="001F570F" w:rsidP="001F570F">
            <w:pPr>
              <w:pStyle w:val="NoSpacing"/>
              <w:rPr>
                <w:lang w:val="en-GB"/>
              </w:rPr>
            </w:pPr>
          </w:p>
          <w:p w14:paraId="2404E4F3" w14:textId="77777777" w:rsidR="001F570F" w:rsidRPr="00B51D81" w:rsidRDefault="001F570F" w:rsidP="001F570F">
            <w:pPr>
              <w:pStyle w:val="NoSpacing"/>
              <w:numPr>
                <w:ilvl w:val="0"/>
                <w:numId w:val="80"/>
              </w:numPr>
              <w:rPr>
                <w:lang w:val="en-GB"/>
              </w:rPr>
            </w:pPr>
            <w:r w:rsidRPr="00B51D81">
              <w:rPr>
                <w:lang w:val="en-GB"/>
              </w:rPr>
              <w:t>Inconsistency between species assessments. These can be minimized by the requirement to provide supporting documentation detailing the best available data, with justifications, sources, and estimates of uncertainty and data quality, which are checked and standardized by IUCN through Red List Authorities, a Red List Technical Working Group and an independent Standards and Petitions Sub-committee. Further, detailed Guidelines on the Application of the Categories and Criteria are maintained (IUCN SPSC 2016), as is an online training course (in English, Spanish and French).</w:t>
            </w:r>
          </w:p>
          <w:p w14:paraId="6AD00D06" w14:textId="77777777" w:rsidR="001F570F" w:rsidRPr="00B51D81" w:rsidRDefault="001F570F" w:rsidP="001F570F">
            <w:pPr>
              <w:pStyle w:val="NoSpacing"/>
              <w:rPr>
                <w:lang w:val="en-GB"/>
              </w:rPr>
            </w:pPr>
          </w:p>
          <w:p w14:paraId="4A909BB6" w14:textId="77777777" w:rsidR="001F570F" w:rsidRPr="00B51D81" w:rsidRDefault="001F570F" w:rsidP="001F570F">
            <w:pPr>
              <w:pStyle w:val="NoSpacing"/>
              <w:numPr>
                <w:ilvl w:val="0"/>
                <w:numId w:val="80"/>
              </w:numPr>
              <w:rPr>
                <w:lang w:val="en-GB"/>
              </w:rPr>
            </w:pPr>
            <w:r w:rsidRPr="00B51D81">
              <w:rPr>
                <w:lang w:val="en-GB"/>
              </w:rPr>
              <w:t>Species that are too poorly known for the Red List Criteria to be applied are assigned to the Data Deficient category, and excluded from the calculation of the Red List Index. For birds, only 0.8% of extant species are evaluated as Data Deficient, compared with 24% of amphibians. If Data Deficient species differ in the rate at which their extinction risk is changing, the Red List Index may give a biased picture of the changing extinction risk of the overall set of species. The degree of uncertainty this introduces is estimated through a bootstrapping procedure that randomly assigns each Data Deficient species a category based on the numbers of non-Data Deficient species in each Red List category for the set of species under consideration, and repeats this for 1,000 iterations, plotting the 2.5 and 97.5 percentiles as lower and upper confidence intervals for the median.</w:t>
            </w:r>
          </w:p>
          <w:p w14:paraId="28B26AC3" w14:textId="77777777" w:rsidR="001F570F" w:rsidRPr="00B51D81" w:rsidRDefault="001F570F" w:rsidP="001F570F">
            <w:pPr>
              <w:pStyle w:val="NoSpacing"/>
              <w:rPr>
                <w:lang w:val="en-GB"/>
              </w:rPr>
            </w:pPr>
          </w:p>
          <w:p w14:paraId="5FB685EB" w14:textId="77777777" w:rsidR="001F570F" w:rsidRPr="00B51D81" w:rsidRDefault="001F570F" w:rsidP="001F570F">
            <w:pPr>
              <w:pStyle w:val="NoSpacing"/>
              <w:rPr>
                <w:lang w:val="en-GB"/>
              </w:rPr>
            </w:pPr>
            <w:r w:rsidRPr="00B51D81">
              <w:rPr>
                <w:lang w:val="en-GB"/>
              </w:rPr>
              <w:t>The main limitation of the Red List Index is related to the fact that the Red List Categories are relatively broad measures of status, and thus the Red List Index for any individual taxonomic group can practically be updated at intervals of at least four years. As the overall index is aggregated across multiple taxonomic groups, it can be updated typically annually. In addition, the Red List Index does not capture particularly well the deteriorating status of common species that remain abundant and widespread but are declining slowly.</w:t>
            </w:r>
          </w:p>
          <w:p w14:paraId="783C625B" w14:textId="77777777" w:rsidR="001F570F" w:rsidRPr="00B51D81" w:rsidRDefault="001F570F" w:rsidP="001F570F">
            <w:pPr>
              <w:pStyle w:val="NoSpacing"/>
              <w:rPr>
                <w:b/>
                <w:bCs/>
                <w:lang w:val="en-GB"/>
              </w:rPr>
            </w:pPr>
          </w:p>
          <w:p w14:paraId="3F964308" w14:textId="77777777" w:rsidR="001F570F" w:rsidRPr="00B51D81" w:rsidRDefault="001F570F" w:rsidP="001F570F">
            <w:pPr>
              <w:pStyle w:val="NoSpacing"/>
              <w:rPr>
                <w:lang w:val="en-GB"/>
              </w:rPr>
            </w:pPr>
            <w:r w:rsidRPr="00B51D81">
              <w:rPr>
                <w:b/>
                <w:bCs/>
                <w:lang w:val="en-GB"/>
              </w:rPr>
              <w:t>Computation Method:</w:t>
            </w:r>
          </w:p>
          <w:p w14:paraId="02965B0F" w14:textId="77777777" w:rsidR="001F570F" w:rsidRPr="00B51D81" w:rsidRDefault="001F570F" w:rsidP="001F570F">
            <w:pPr>
              <w:pStyle w:val="NoSpacing"/>
              <w:rPr>
                <w:lang w:val="en-GB"/>
              </w:rPr>
            </w:pPr>
            <w:r w:rsidRPr="00B51D81">
              <w:rPr>
                <w:lang w:val="en-GB"/>
              </w:rPr>
              <w:lastRenderedPageBreak/>
              <w:t>The Red List Index is calculated at a point in time by first multiplying the number of species in each Red List Category by a weight (ranging from 1 for ‘Near Threatened’ to 5 for ‘Extinct’ and ‘Extinct in the Wild’) and summing these values. This is then divided by a maximum threat score which is the total number of species multiplied by the weight assigned to the ‘Extinct’ category. This final value is subtracted from 1 to give the Red List Index value.</w:t>
            </w:r>
          </w:p>
          <w:p w14:paraId="5D2FF70F" w14:textId="77777777" w:rsidR="001F570F" w:rsidRPr="00B51D81" w:rsidRDefault="001F570F" w:rsidP="001F570F">
            <w:pPr>
              <w:pStyle w:val="NoSpacing"/>
              <w:rPr>
                <w:lang w:val="en-GB"/>
              </w:rPr>
            </w:pPr>
          </w:p>
          <w:p w14:paraId="1425E587" w14:textId="77777777" w:rsidR="001F570F" w:rsidRPr="00B51D81" w:rsidRDefault="001F570F" w:rsidP="001F570F">
            <w:pPr>
              <w:pStyle w:val="NoSpacing"/>
              <w:rPr>
                <w:lang w:val="en-GB"/>
              </w:rPr>
            </w:pPr>
            <w:r w:rsidRPr="00B51D81">
              <w:rPr>
                <w:lang w:val="en-GB"/>
              </w:rPr>
              <w:t xml:space="preserve">Mathematically this calculation is expressed as: </w:t>
            </w:r>
          </w:p>
          <w:p w14:paraId="0CE325D1" w14:textId="77777777" w:rsidR="001F570F" w:rsidRPr="00B51D81" w:rsidRDefault="001F570F" w:rsidP="001F570F">
            <w:pPr>
              <w:pStyle w:val="NoSpacing"/>
              <w:rPr>
                <w:lang w:val="en-GB"/>
              </w:rPr>
            </w:pPr>
            <w:r w:rsidRPr="00B51D81">
              <w:rPr>
                <w:lang w:val="en-GB"/>
              </w:rPr>
              <w:t>RLIt = 1 – [(Ss Wc(t,s) / (WEX * N)]</w:t>
            </w:r>
          </w:p>
          <w:p w14:paraId="012E7821" w14:textId="77777777" w:rsidR="001F570F" w:rsidRPr="00B51D81" w:rsidRDefault="001F570F" w:rsidP="001F570F">
            <w:pPr>
              <w:pStyle w:val="NoSpacing"/>
              <w:rPr>
                <w:lang w:val="en-GB"/>
              </w:rPr>
            </w:pPr>
            <w:r w:rsidRPr="00B51D81">
              <w:rPr>
                <w:lang w:val="en-GB"/>
              </w:rPr>
              <w:t xml:space="preserve">Where </w:t>
            </w:r>
            <w:proofErr w:type="gramStart"/>
            <w:r w:rsidRPr="00B51D81">
              <w:rPr>
                <w:lang w:val="en-GB"/>
              </w:rPr>
              <w:t>Wc(</w:t>
            </w:r>
            <w:proofErr w:type="gramEnd"/>
            <w:r w:rsidRPr="00B51D81">
              <w:rPr>
                <w:lang w:val="en-GB"/>
              </w:rPr>
              <w:t>t,s) is the weight for category (c) at time (t) for species (s) (the weight for ‘Critically Endangered’ = 4, ‘Endangered’ = 3, ‘Vulnerable’ = 2, ‘Near Threatened’ = 1, ‘Least Concern’ = 0. ‘Critically Endangered’ species tagged as ‘Possibly Extinct’ or ‘Possibly Extinct in the Wild’ are assigned a weight of 5); WEX = 5, the weight assigned to ‘Extinct’ or ‘Extinct in the Wild’ species; and N is the total number of assessed species, excluding those assessed as Data Deficient in the current time period, and those considered to be ‘Extinct’ in the year the set of species was first assessed.</w:t>
            </w:r>
          </w:p>
          <w:p w14:paraId="6EC33C1D" w14:textId="77777777" w:rsidR="001F570F" w:rsidRPr="00B51D81" w:rsidRDefault="001F570F" w:rsidP="001F570F">
            <w:pPr>
              <w:pStyle w:val="NoSpacing"/>
              <w:rPr>
                <w:lang w:val="en-GB"/>
              </w:rPr>
            </w:pPr>
          </w:p>
          <w:p w14:paraId="52E6123B" w14:textId="77777777" w:rsidR="001F570F" w:rsidRPr="00B51D81" w:rsidRDefault="001F570F" w:rsidP="001F570F">
            <w:pPr>
              <w:pStyle w:val="NoSpacing"/>
              <w:rPr>
                <w:lang w:val="en-GB"/>
              </w:rPr>
            </w:pPr>
            <w:r w:rsidRPr="00B51D81">
              <w:rPr>
                <w:lang w:val="en-GB"/>
              </w:rPr>
              <w:t>The formula requires that:</w:t>
            </w:r>
          </w:p>
          <w:p w14:paraId="5F5643D0" w14:textId="77777777" w:rsidR="001F570F" w:rsidRPr="00B51D81" w:rsidRDefault="001F570F" w:rsidP="001F570F">
            <w:pPr>
              <w:pStyle w:val="NoSpacing"/>
              <w:numPr>
                <w:ilvl w:val="0"/>
                <w:numId w:val="79"/>
              </w:numPr>
              <w:rPr>
                <w:lang w:val="en-GB"/>
              </w:rPr>
            </w:pPr>
            <w:r w:rsidRPr="00B51D81">
              <w:rPr>
                <w:lang w:val="en-GB"/>
              </w:rPr>
              <w:t>Exactly the same set of species is included in all time periods, and</w:t>
            </w:r>
          </w:p>
          <w:p w14:paraId="0B746F5D" w14:textId="77777777" w:rsidR="001F570F" w:rsidRPr="00B51D81" w:rsidRDefault="001F570F" w:rsidP="001F570F">
            <w:pPr>
              <w:pStyle w:val="NoSpacing"/>
              <w:numPr>
                <w:ilvl w:val="0"/>
                <w:numId w:val="79"/>
              </w:numPr>
              <w:rPr>
                <w:lang w:val="en-GB"/>
              </w:rPr>
            </w:pPr>
            <w:r w:rsidRPr="00B51D81">
              <w:rPr>
                <w:lang w:val="en-GB"/>
              </w:rPr>
              <w:t>The only Red List Category changes are those resulting from genuine improvement or deterioration in status (i.e., excluding changes resulting from improved knowledge or taxonomic revisions), and</w:t>
            </w:r>
          </w:p>
          <w:p w14:paraId="0CE0EC60" w14:textId="77777777" w:rsidR="001F570F" w:rsidRPr="00B51D81" w:rsidRDefault="001F570F" w:rsidP="001F570F">
            <w:pPr>
              <w:pStyle w:val="NoSpacing"/>
              <w:numPr>
                <w:ilvl w:val="0"/>
                <w:numId w:val="79"/>
              </w:numPr>
              <w:rPr>
                <w:lang w:val="en-GB"/>
              </w:rPr>
            </w:pPr>
            <w:r w:rsidRPr="00B51D81">
              <w:rPr>
                <w:lang w:val="en-GB"/>
              </w:rPr>
              <w:t>Data Deficient species are excluded.</w:t>
            </w:r>
          </w:p>
          <w:p w14:paraId="2BD8CB16" w14:textId="77777777" w:rsidR="001F570F" w:rsidRPr="00B51D81" w:rsidRDefault="001F570F" w:rsidP="001F570F">
            <w:pPr>
              <w:pStyle w:val="NoSpacing"/>
              <w:rPr>
                <w:lang w:val="en-GB"/>
              </w:rPr>
            </w:pPr>
          </w:p>
          <w:p w14:paraId="36F3C4EA" w14:textId="77777777" w:rsidR="001F570F" w:rsidRPr="00B51D81" w:rsidRDefault="001F570F" w:rsidP="001F570F">
            <w:pPr>
              <w:pStyle w:val="NoSpacing"/>
              <w:rPr>
                <w:lang w:val="en-GB"/>
              </w:rPr>
            </w:pPr>
            <w:r w:rsidRPr="00B51D81">
              <w:rPr>
                <w:lang w:val="en-GB"/>
              </w:rPr>
              <w:t>In many cases, species lists will change slightly from one assessment to the next (e.g., owing to taxonomic revisions). The conditions can therefore be met by retrospectively adjusting earlier Red List categorizations using current information and taxonomy. This is achieved by assuming that the current Red List Categories for the taxa have applied since the set of species was first assessed for the Red List, unless there is information to the contrary that genuine status changes have occurred. Such information is often contextual (e.g., relating to the known history of habitat loss within the range of the species). If there is insufficient information available for a newly added species, it is not incorporated into the Red List Index until it is assessed for a second time, at which point earlier assessments are retrospectively corrected by extrapolating recent trends in population, range, habitat and threats, supported by additional information. To avoid spurious results from biased selection of species, Red List Indices are typically calculated only for taxonomic groups in which all species worldwide have been assessed for the Red List, or for samples of species that have been systematically or randomly selected.</w:t>
            </w:r>
          </w:p>
          <w:p w14:paraId="40D60825" w14:textId="77777777" w:rsidR="001F570F" w:rsidRPr="00B51D81" w:rsidRDefault="001F570F" w:rsidP="001F570F">
            <w:pPr>
              <w:pStyle w:val="NoSpacing"/>
              <w:rPr>
                <w:lang w:val="en-GB"/>
              </w:rPr>
            </w:pPr>
          </w:p>
          <w:p w14:paraId="6E0343B0" w14:textId="77777777" w:rsidR="001F570F" w:rsidRPr="00B51D81" w:rsidRDefault="001F570F" w:rsidP="001F570F">
            <w:pPr>
              <w:pStyle w:val="NoSpacing"/>
              <w:rPr>
                <w:lang w:val="en-GB"/>
              </w:rPr>
            </w:pPr>
            <w:r w:rsidRPr="00B51D81">
              <w:rPr>
                <w:lang w:val="en-GB"/>
              </w:rPr>
              <w:lastRenderedPageBreak/>
              <w:t xml:space="preserve">The methods and scientific basis for the Red List Index were described by Butchart et al. (2004, 2005, 2007, </w:t>
            </w:r>
            <w:proofErr w:type="gramStart"/>
            <w:r w:rsidRPr="00B51D81">
              <w:rPr>
                <w:lang w:val="en-GB"/>
              </w:rPr>
              <w:t>2010</w:t>
            </w:r>
            <w:proofErr w:type="gramEnd"/>
            <w:r w:rsidRPr="00B51D81">
              <w:rPr>
                <w:lang w:val="en-GB"/>
              </w:rPr>
              <w:t xml:space="preserve">). </w:t>
            </w:r>
          </w:p>
          <w:p w14:paraId="0E48A563" w14:textId="77777777" w:rsidR="001F570F" w:rsidRPr="00B51D81" w:rsidRDefault="001F570F" w:rsidP="001F570F">
            <w:pPr>
              <w:pStyle w:val="NoSpacing"/>
              <w:rPr>
                <w:lang w:val="en-GB"/>
              </w:rPr>
            </w:pPr>
          </w:p>
          <w:p w14:paraId="13FD708E" w14:textId="77777777" w:rsidR="001F570F" w:rsidRPr="00B51D81" w:rsidRDefault="001F570F" w:rsidP="001F570F">
            <w:pPr>
              <w:pStyle w:val="NoSpacing"/>
              <w:rPr>
                <w:lang w:val="en-GB"/>
              </w:rPr>
            </w:pPr>
            <w:r w:rsidRPr="00B51D81">
              <w:rPr>
                <w:lang w:val="en-GB"/>
              </w:rPr>
              <w:t xml:space="preserve">Butchart et al. (2010) also described the methods by which Red List Indices for different taxonomic groups are aggregated to produce a single multi-taxon Red List Index. Specifically, aggregated Red List Indices are calculated as the arithmetic mean of modelled Red List Indices. Red List Indices for each taxonomic group are interpolated linearly for years between data points and extrapolated linearly (with a slope equal to that between the two closest assessed points) to align them with years for which Red List Indices for other taxa are available. The Red List Indices for each taxonomic group for each year are modelled to take into account various sources of uncertainty: </w:t>
            </w:r>
          </w:p>
          <w:p w14:paraId="7CD3A3CA" w14:textId="77777777" w:rsidR="001F570F" w:rsidRPr="00B51D81" w:rsidRDefault="001F570F" w:rsidP="001F570F">
            <w:pPr>
              <w:pStyle w:val="NoSpacing"/>
              <w:rPr>
                <w:lang w:val="en-GB"/>
              </w:rPr>
            </w:pPr>
          </w:p>
          <w:p w14:paraId="5E3F8307" w14:textId="77777777" w:rsidR="001F570F" w:rsidRPr="00B51D81" w:rsidRDefault="001F570F" w:rsidP="001F570F">
            <w:pPr>
              <w:pStyle w:val="NoSpacing"/>
              <w:numPr>
                <w:ilvl w:val="0"/>
                <w:numId w:val="81"/>
              </w:numPr>
              <w:rPr>
                <w:lang w:val="en-GB"/>
              </w:rPr>
            </w:pPr>
            <w:r w:rsidRPr="00B51D81">
              <w:rPr>
                <w:lang w:val="en-GB"/>
              </w:rPr>
              <w:t xml:space="preserve">Data Deficiency: Red List categories (from Least Concern to Extinct) are assigned to all Data Deficient species, with a probability proportional to the number of species in non-Data Deficient categories for that taxonomic group; </w:t>
            </w:r>
          </w:p>
          <w:p w14:paraId="45928D1E" w14:textId="77777777" w:rsidR="001F570F" w:rsidRPr="00B51D81" w:rsidRDefault="001F570F" w:rsidP="001F570F">
            <w:pPr>
              <w:pStyle w:val="NoSpacing"/>
              <w:rPr>
                <w:lang w:val="en-GB"/>
              </w:rPr>
            </w:pPr>
          </w:p>
          <w:p w14:paraId="223C8F1E" w14:textId="77777777" w:rsidR="001F570F" w:rsidRPr="00B51D81" w:rsidRDefault="001F570F" w:rsidP="001F570F">
            <w:pPr>
              <w:pStyle w:val="NoSpacing"/>
              <w:numPr>
                <w:ilvl w:val="0"/>
                <w:numId w:val="81"/>
              </w:numPr>
              <w:rPr>
                <w:lang w:val="en-GB"/>
              </w:rPr>
            </w:pPr>
            <w:r w:rsidRPr="00B51D81">
              <w:rPr>
                <w:lang w:val="en-GB"/>
              </w:rPr>
              <w:t xml:space="preserve">Extrapolation uncertainty: although RLIs were extrapolated linearly based on the slope of the closest two assessed point, there is uncertainty about how accurate this slope may be. To incorporate this uncertainty, rather than extrapolating deterministically, the slope used for extrapolation is selected from a normal distribution with a probability equal to the slope of the closest two assessed points, and standard deviation equal to 60% of this slope (i.e., the CV is 60%); </w:t>
            </w:r>
          </w:p>
          <w:p w14:paraId="084B35DD" w14:textId="77777777" w:rsidR="001F570F" w:rsidRPr="00B51D81" w:rsidRDefault="001F570F" w:rsidP="001F570F">
            <w:pPr>
              <w:pStyle w:val="NoSpacing"/>
              <w:rPr>
                <w:lang w:val="en-GB"/>
              </w:rPr>
            </w:pPr>
          </w:p>
          <w:p w14:paraId="485E0918" w14:textId="77777777" w:rsidR="001F570F" w:rsidRPr="00B51D81" w:rsidRDefault="001F570F" w:rsidP="001F570F">
            <w:pPr>
              <w:pStyle w:val="NoSpacing"/>
              <w:numPr>
                <w:ilvl w:val="0"/>
                <w:numId w:val="81"/>
              </w:numPr>
              <w:rPr>
                <w:lang w:val="en-GB"/>
              </w:rPr>
            </w:pPr>
            <w:r w:rsidRPr="00B51D81">
              <w:rPr>
                <w:lang w:val="en-GB"/>
              </w:rPr>
              <w:t xml:space="preserve">Temporal variability: the ‘true’ Red List Index likely changes from year to year, but because assessments are repeated only at multi-year intervals, the precise value for any particular year is uncertain. </w:t>
            </w:r>
          </w:p>
          <w:p w14:paraId="5A8FC532" w14:textId="77777777" w:rsidR="001F570F" w:rsidRPr="00B51D81" w:rsidRDefault="001F570F" w:rsidP="001F570F">
            <w:pPr>
              <w:pStyle w:val="NoSpacing"/>
              <w:rPr>
                <w:lang w:val="en-GB"/>
              </w:rPr>
            </w:pPr>
          </w:p>
          <w:p w14:paraId="588CE315" w14:textId="77777777" w:rsidR="001F570F" w:rsidRPr="00B51D81" w:rsidRDefault="001F570F" w:rsidP="001F570F">
            <w:pPr>
              <w:pStyle w:val="NoSpacing"/>
              <w:rPr>
                <w:lang w:val="en-GB"/>
              </w:rPr>
            </w:pPr>
            <w:r w:rsidRPr="00B51D81">
              <w:rPr>
                <w:lang w:val="en-GB"/>
              </w:rPr>
              <w:t>To make this uncertainty explicit, the Red List Index value for a given taxonomic group in a given year is assigned from a moving window of five years, centred on the focal year (with the window set as 3-4 years for the first two and last two years in the series). Note that assessment uncertainty cannot yet be incorporated into the index. Practically, these uncertainties are incorporated into the aggregated Red List Indices as follows: Data Deficient species were allotted a category as described above, and a Red List Index for each taxonomic group was calculated interpolating and extrapolating as described above. A final Red List Index value was assigned to each taxonomic group for each year from a window of years as described above. Each such ‘run’ produced a Red List Index for the complete time period for each taxonomic group, incorporating the various sources of uncertainty. Ten thousand such runs are generated for each taxonomic group, and the mean is calculated.</w:t>
            </w:r>
          </w:p>
          <w:p w14:paraId="2FF08741" w14:textId="77777777" w:rsidR="001F570F" w:rsidRPr="00B51D81" w:rsidRDefault="001F570F" w:rsidP="001F570F">
            <w:pPr>
              <w:pStyle w:val="NoSpacing"/>
              <w:rPr>
                <w:lang w:val="en-GB"/>
              </w:rPr>
            </w:pPr>
          </w:p>
          <w:p w14:paraId="39818E4C" w14:textId="77777777" w:rsidR="001F570F" w:rsidRPr="00B51D81" w:rsidRDefault="001F570F" w:rsidP="001F570F">
            <w:pPr>
              <w:pStyle w:val="NoSpacing"/>
              <w:rPr>
                <w:lang w:val="en-GB"/>
              </w:rPr>
            </w:pPr>
            <w:r w:rsidRPr="00B51D81">
              <w:rPr>
                <w:lang w:val="en-GB"/>
              </w:rPr>
              <w:t>Methods for generating national disaggregations of the Red List Index are described below.</w:t>
            </w:r>
          </w:p>
          <w:p w14:paraId="3A3CD09A" w14:textId="77777777" w:rsidR="001F570F" w:rsidRPr="00B51D81" w:rsidRDefault="001F570F" w:rsidP="001F570F">
            <w:pPr>
              <w:pStyle w:val="NoSpacing"/>
            </w:pPr>
          </w:p>
        </w:tc>
        <w:tc>
          <w:tcPr>
            <w:tcW w:w="0" w:type="auto"/>
          </w:tcPr>
          <w:p w14:paraId="4A1B795D" w14:textId="77777777" w:rsidR="001F570F" w:rsidRPr="008A06A9" w:rsidRDefault="001F570F" w:rsidP="001F570F">
            <w:pPr>
              <w:pStyle w:val="NoSpacing"/>
            </w:pPr>
            <w:r w:rsidRPr="002325B5">
              <w:rPr>
                <w:lang w:eastAsia="en-GB"/>
              </w:rPr>
              <w:lastRenderedPageBreak/>
              <w:t>Data are gathered from published and unpublished sources, species experts, scientists, and conservationists through correspondence, workshops, and electronic fora.</w:t>
            </w:r>
          </w:p>
        </w:tc>
        <w:tc>
          <w:tcPr>
            <w:tcW w:w="0" w:type="auto"/>
          </w:tcPr>
          <w:p w14:paraId="1B0BC153" w14:textId="77777777" w:rsidR="001F570F" w:rsidRPr="0044302B" w:rsidRDefault="001F570F" w:rsidP="001F570F">
            <w:pPr>
              <w:pStyle w:val="NoSpacing"/>
            </w:pPr>
            <w:r w:rsidRPr="002325B5">
              <w:rPr>
                <w:lang w:eastAsia="en-GB"/>
              </w:rPr>
              <w:t>National agencies</w:t>
            </w:r>
          </w:p>
        </w:tc>
        <w:tc>
          <w:tcPr>
            <w:tcW w:w="0" w:type="auto"/>
          </w:tcPr>
          <w:p w14:paraId="1EF03C07" w14:textId="3489C703" w:rsidR="001F570F" w:rsidRDefault="001F570F" w:rsidP="001F570F">
            <w:pPr>
              <w:pStyle w:val="NoSpacing"/>
              <w:rPr>
                <w:rFonts w:eastAsia="Times New Roman" w:cs="Times New Roman"/>
                <w:color w:val="000000" w:themeColor="text1"/>
                <w:szCs w:val="20"/>
              </w:rPr>
            </w:pPr>
          </w:p>
          <w:p w14:paraId="013B989C" w14:textId="77777777" w:rsidR="001F570F" w:rsidRPr="00BC6F10" w:rsidRDefault="001F570F" w:rsidP="001F570F">
            <w:pPr>
              <w:pStyle w:val="NoSpacing"/>
            </w:pPr>
            <w:r>
              <w:rPr>
                <w:rFonts w:eastAsia="Times New Roman" w:cs="Times New Roman"/>
                <w:color w:val="000000" w:themeColor="text1"/>
                <w:szCs w:val="20"/>
              </w:rPr>
              <w:t>IUCN</w:t>
            </w:r>
          </w:p>
        </w:tc>
        <w:tc>
          <w:tcPr>
            <w:tcW w:w="0" w:type="auto"/>
          </w:tcPr>
          <w:p w14:paraId="665A57C2" w14:textId="3555F278" w:rsidR="001F570F" w:rsidRDefault="001F570F" w:rsidP="001F570F">
            <w:pPr>
              <w:pStyle w:val="NoSpacing"/>
            </w:pPr>
            <w:r w:rsidRPr="00BC6F10">
              <w:br/>
            </w:r>
            <w:r>
              <w:t>a</w:t>
            </w:r>
            <w:r w:rsidRPr="007B19A9">
              <w:t>) BFD,</w:t>
            </w:r>
            <w:r w:rsidRPr="00BC6F10">
              <w:t xml:space="preserve"> </w:t>
            </w:r>
            <w:r>
              <w:t>MoEFCC</w:t>
            </w:r>
          </w:p>
          <w:p w14:paraId="32E5AB6F" w14:textId="77777777" w:rsidR="001F570F" w:rsidRDefault="001F570F" w:rsidP="001F570F">
            <w:pPr>
              <w:pStyle w:val="NoSpacing"/>
            </w:pPr>
          </w:p>
          <w:p w14:paraId="2FEE8D3A" w14:textId="77777777" w:rsidR="001F570F" w:rsidRDefault="001F570F" w:rsidP="001F570F">
            <w:pPr>
              <w:pStyle w:val="NoSpacing"/>
              <w:rPr>
                <w:color w:val="0070C0"/>
                <w:sz w:val="30"/>
                <w:szCs w:val="30"/>
              </w:rPr>
            </w:pPr>
            <w:r>
              <w:t>Administrative Data</w:t>
            </w:r>
          </w:p>
        </w:tc>
        <w:tc>
          <w:tcPr>
            <w:tcW w:w="0" w:type="auto"/>
          </w:tcPr>
          <w:p w14:paraId="6DACC3FB"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division</w:t>
            </w:r>
          </w:p>
          <w:p w14:paraId="17E77331"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political division</w:t>
            </w:r>
          </w:p>
          <w:p w14:paraId="253ACDC8"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taxonomic subsets</w:t>
            </w:r>
          </w:p>
          <w:p w14:paraId="5BF54739"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suites of species relevant to particular international treaties or legislation</w:t>
            </w:r>
          </w:p>
          <w:p w14:paraId="6BBA402E"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by suites of species exposed to particular threatening processes</w:t>
            </w:r>
          </w:p>
          <w:p w14:paraId="633D02D2"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by suites of </w:t>
            </w:r>
            <w:r>
              <w:rPr>
                <w:rFonts w:ascii="Tw Cen MT Condensed" w:hAnsi="Tw Cen MT Condensed"/>
                <w:sz w:val="20"/>
                <w:szCs w:val="20"/>
              </w:rPr>
              <w:lastRenderedPageBreak/>
              <w:t>species that deliver particular ecosystem services, or have particular biological or life-history traits</w:t>
            </w:r>
          </w:p>
          <w:p w14:paraId="36A21186"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species</w:t>
            </w:r>
          </w:p>
          <w:p w14:paraId="0287165A"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ecosystem type </w:t>
            </w:r>
          </w:p>
          <w:p w14:paraId="137137EA"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habitat</w:t>
            </w:r>
          </w:p>
          <w:p w14:paraId="797ACED8"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geographic division</w:t>
            </w:r>
          </w:p>
          <w:p w14:paraId="775E2635" w14:textId="77777777" w:rsidR="001F570F" w:rsidRDefault="001F570F" w:rsidP="001F570F">
            <w:pPr>
              <w:ind w:left="970" w:hanging="970"/>
              <w:jc w:val="both"/>
              <w:rPr>
                <w:color w:val="0070C0"/>
                <w:sz w:val="30"/>
                <w:szCs w:val="30"/>
              </w:rPr>
            </w:pPr>
          </w:p>
        </w:tc>
        <w:tc>
          <w:tcPr>
            <w:tcW w:w="0" w:type="auto"/>
          </w:tcPr>
          <w:p w14:paraId="71ECB543" w14:textId="77777777" w:rsidR="001F570F" w:rsidRDefault="001F570F" w:rsidP="001F570F">
            <w:pPr>
              <w:ind w:left="970" w:hanging="970"/>
              <w:jc w:val="both"/>
              <w:rPr>
                <w:color w:val="0070C0"/>
                <w:sz w:val="30"/>
                <w:szCs w:val="30"/>
              </w:rPr>
            </w:pPr>
            <w:r w:rsidRPr="00BC6F10">
              <w:lastRenderedPageBreak/>
              <w:t>Annual</w:t>
            </w:r>
          </w:p>
        </w:tc>
        <w:tc>
          <w:tcPr>
            <w:tcW w:w="0" w:type="auto"/>
          </w:tcPr>
          <w:p w14:paraId="20F2CED7" w14:textId="77777777" w:rsidR="001F570F" w:rsidRDefault="001F570F" w:rsidP="001F570F">
            <w:pPr>
              <w:ind w:left="970" w:hanging="970"/>
              <w:jc w:val="both"/>
              <w:rPr>
                <w:color w:val="0070C0"/>
                <w:sz w:val="30"/>
                <w:szCs w:val="30"/>
              </w:rPr>
            </w:pPr>
            <w:r>
              <w:t>Group 1</w:t>
            </w:r>
          </w:p>
        </w:tc>
        <w:tc>
          <w:tcPr>
            <w:tcW w:w="0" w:type="auto"/>
          </w:tcPr>
          <w:p w14:paraId="1FC3A55F" w14:textId="77777777" w:rsidR="001F570F" w:rsidRDefault="001F570F" w:rsidP="001F570F">
            <w:pPr>
              <w:pStyle w:val="NoSpacing"/>
            </w:pPr>
            <w:r>
              <w:t>1</w:t>
            </w:r>
            <w:r w:rsidRPr="00013ACB">
              <w:rPr>
                <w:vertAlign w:val="superscript"/>
              </w:rPr>
              <w:t>st</w:t>
            </w:r>
            <w:r>
              <w:t xml:space="preserve"> Round:</w:t>
            </w:r>
          </w:p>
          <w:p w14:paraId="2FAC033B" w14:textId="77777777" w:rsidR="001F570F" w:rsidRDefault="001F570F" w:rsidP="001F570F">
            <w:pPr>
              <w:pStyle w:val="NoSpacing"/>
            </w:pPr>
            <w:r>
              <w:t>2015</w:t>
            </w:r>
          </w:p>
          <w:p w14:paraId="7504C07A" w14:textId="77777777" w:rsidR="001F570F" w:rsidRDefault="001F570F" w:rsidP="001F570F">
            <w:pPr>
              <w:pStyle w:val="NoSpacing"/>
            </w:pPr>
          </w:p>
          <w:p w14:paraId="5259048D" w14:textId="77777777" w:rsidR="001F570F" w:rsidRDefault="001F570F" w:rsidP="001F570F">
            <w:pPr>
              <w:pStyle w:val="NoSpacing"/>
            </w:pPr>
            <w:r>
              <w:t>2</w:t>
            </w:r>
            <w:r w:rsidRPr="00013ACB">
              <w:rPr>
                <w:vertAlign w:val="superscript"/>
              </w:rPr>
              <w:t>nd</w:t>
            </w:r>
            <w:r>
              <w:t xml:space="preserve"> Round:</w:t>
            </w:r>
          </w:p>
          <w:p w14:paraId="3C10755B" w14:textId="77777777" w:rsidR="001F570F" w:rsidRPr="00670519" w:rsidRDefault="001F570F" w:rsidP="001F570F">
            <w:pPr>
              <w:pStyle w:val="NoSpacing"/>
              <w:rPr>
                <w:b/>
              </w:rPr>
            </w:pPr>
            <w:r>
              <w:t xml:space="preserve"> </w:t>
            </w:r>
            <w:r w:rsidRPr="00670519">
              <w:t xml:space="preserve">December, </w:t>
            </w:r>
          </w:p>
          <w:p w14:paraId="5E72FF9F" w14:textId="77777777" w:rsidR="001F570F" w:rsidRDefault="001F570F" w:rsidP="001F570F">
            <w:pPr>
              <w:ind w:left="970" w:hanging="970"/>
              <w:jc w:val="both"/>
            </w:pPr>
            <w:r>
              <w:t>2020</w:t>
            </w:r>
          </w:p>
          <w:p w14:paraId="7CC54F40" w14:textId="77777777" w:rsidR="001F570F" w:rsidRDefault="001F570F" w:rsidP="001F570F">
            <w:pPr>
              <w:pStyle w:val="NoSpacing"/>
            </w:pPr>
          </w:p>
          <w:p w14:paraId="387E37F2" w14:textId="77777777" w:rsidR="001F570F" w:rsidRDefault="001F570F" w:rsidP="001F570F">
            <w:pPr>
              <w:pStyle w:val="NoSpacing"/>
            </w:pPr>
            <w:r>
              <w:t>3</w:t>
            </w:r>
            <w:r w:rsidRPr="00013ACB">
              <w:rPr>
                <w:vertAlign w:val="superscript"/>
              </w:rPr>
              <w:t>rd</w:t>
            </w:r>
            <w:r>
              <w:t xml:space="preserve"> Round: </w:t>
            </w:r>
          </w:p>
          <w:p w14:paraId="5D3515C1" w14:textId="77777777" w:rsidR="001F570F" w:rsidRPr="00670519" w:rsidRDefault="001F570F" w:rsidP="001F570F">
            <w:pPr>
              <w:pStyle w:val="NoSpacing"/>
              <w:rPr>
                <w:b/>
              </w:rPr>
            </w:pPr>
            <w:r w:rsidRPr="00670519">
              <w:t xml:space="preserve">December, </w:t>
            </w:r>
          </w:p>
          <w:p w14:paraId="58907AF5" w14:textId="77777777" w:rsidR="001F570F" w:rsidRDefault="001F570F" w:rsidP="001F570F">
            <w:pPr>
              <w:ind w:left="970" w:hanging="970"/>
              <w:jc w:val="both"/>
            </w:pPr>
            <w:r>
              <w:t>2021</w:t>
            </w:r>
          </w:p>
          <w:p w14:paraId="39C9EDC8" w14:textId="77777777" w:rsidR="001F570F" w:rsidRDefault="001F570F" w:rsidP="001F570F">
            <w:pPr>
              <w:pStyle w:val="NoSpacing"/>
            </w:pPr>
          </w:p>
          <w:p w14:paraId="12B3F743" w14:textId="77777777" w:rsidR="001F570F" w:rsidRDefault="001F570F" w:rsidP="001F570F">
            <w:pPr>
              <w:pStyle w:val="NoSpacing"/>
            </w:pPr>
            <w:r>
              <w:t>4</w:t>
            </w:r>
            <w:r w:rsidRPr="00013ACB">
              <w:rPr>
                <w:vertAlign w:val="superscript"/>
              </w:rPr>
              <w:t>th</w:t>
            </w:r>
            <w:r>
              <w:t xml:space="preserve"> Round: </w:t>
            </w:r>
          </w:p>
          <w:p w14:paraId="1D218482" w14:textId="77777777" w:rsidR="001F570F" w:rsidRPr="00670519" w:rsidRDefault="001F570F" w:rsidP="001F570F">
            <w:pPr>
              <w:pStyle w:val="NoSpacing"/>
              <w:rPr>
                <w:b/>
              </w:rPr>
            </w:pPr>
            <w:r w:rsidRPr="00670519">
              <w:t xml:space="preserve">December, </w:t>
            </w:r>
          </w:p>
          <w:p w14:paraId="29E5276D" w14:textId="77777777" w:rsidR="001F570F" w:rsidRDefault="001F570F" w:rsidP="001F570F">
            <w:pPr>
              <w:ind w:left="970" w:hanging="970"/>
              <w:jc w:val="both"/>
            </w:pPr>
            <w:r>
              <w:t>2022</w:t>
            </w:r>
          </w:p>
          <w:p w14:paraId="57263CEA" w14:textId="77777777" w:rsidR="001F570F" w:rsidRDefault="001F570F" w:rsidP="001F570F">
            <w:pPr>
              <w:pStyle w:val="NoSpacing"/>
            </w:pPr>
          </w:p>
          <w:p w14:paraId="70FBBF50" w14:textId="77777777" w:rsidR="001F570F" w:rsidRDefault="001F570F" w:rsidP="001F570F">
            <w:pPr>
              <w:pStyle w:val="NoSpacing"/>
            </w:pPr>
            <w:r>
              <w:t>5</w:t>
            </w:r>
            <w:r w:rsidRPr="00013ACB">
              <w:rPr>
                <w:vertAlign w:val="superscript"/>
              </w:rPr>
              <w:t>th</w:t>
            </w:r>
            <w:r>
              <w:t xml:space="preserve"> Round: </w:t>
            </w:r>
          </w:p>
          <w:p w14:paraId="04E745E5" w14:textId="77777777" w:rsidR="001F570F" w:rsidRPr="00670519" w:rsidRDefault="001F570F" w:rsidP="001F570F">
            <w:pPr>
              <w:pStyle w:val="NoSpacing"/>
              <w:rPr>
                <w:b/>
              </w:rPr>
            </w:pPr>
            <w:r w:rsidRPr="00670519">
              <w:t xml:space="preserve">December, </w:t>
            </w:r>
          </w:p>
          <w:p w14:paraId="37710FF9" w14:textId="77777777" w:rsidR="001F570F" w:rsidRDefault="001F570F" w:rsidP="001F570F">
            <w:pPr>
              <w:ind w:left="970" w:hanging="970"/>
              <w:jc w:val="both"/>
            </w:pPr>
            <w:r>
              <w:t>2023</w:t>
            </w:r>
          </w:p>
          <w:p w14:paraId="7C8E0F11" w14:textId="69F463ED" w:rsidR="001F570F" w:rsidRDefault="001F570F" w:rsidP="001F570F">
            <w:pPr>
              <w:ind w:left="970" w:hanging="970"/>
              <w:jc w:val="both"/>
              <w:rPr>
                <w:color w:val="0070C0"/>
                <w:sz w:val="30"/>
                <w:szCs w:val="30"/>
              </w:rPr>
            </w:pPr>
          </w:p>
        </w:tc>
        <w:tc>
          <w:tcPr>
            <w:tcW w:w="0" w:type="auto"/>
          </w:tcPr>
          <w:p w14:paraId="70E50020" w14:textId="77777777" w:rsidR="001F570F" w:rsidRDefault="001F570F" w:rsidP="001F570F">
            <w:pPr>
              <w:pStyle w:val="NoSpacing"/>
            </w:pPr>
            <w:r w:rsidRPr="00B6234F">
              <w:t>Data can be generated after another doing field survey</w:t>
            </w:r>
          </w:p>
          <w:p w14:paraId="1C42BCB2" w14:textId="77777777" w:rsidR="001F570F" w:rsidRPr="00B6234F" w:rsidRDefault="001F570F" w:rsidP="001F570F">
            <w:pPr>
              <w:pStyle w:val="NoSpacing"/>
              <w:rPr>
                <w:szCs w:val="20"/>
              </w:rPr>
            </w:pPr>
          </w:p>
          <w:p w14:paraId="474DAFE3" w14:textId="77777777" w:rsidR="001F570F" w:rsidRDefault="001F570F" w:rsidP="001F570F">
            <w:pPr>
              <w:pStyle w:val="NoSpacing"/>
            </w:pPr>
            <w:r>
              <w:t>Data availability reviewed in Nov. 2017 (classified as Tier I)</w:t>
            </w:r>
          </w:p>
          <w:p w14:paraId="0A616C4A" w14:textId="77777777" w:rsidR="001F570F" w:rsidRDefault="001F570F" w:rsidP="001F570F">
            <w:pPr>
              <w:pStyle w:val="NoSpacing"/>
            </w:pPr>
          </w:p>
          <w:p w14:paraId="5683F7AC" w14:textId="77777777" w:rsidR="001F570F" w:rsidRDefault="001F570F" w:rsidP="001F570F">
            <w:pPr>
              <w:pStyle w:val="NoSpacing"/>
            </w:pPr>
            <w:r>
              <w:t>IAEG-SDG 3rd meeting: Lack of sufficient data coverage (classified as Tier II)</w:t>
            </w:r>
          </w:p>
        </w:tc>
      </w:tr>
      <w:tr w:rsidR="001F570F" w14:paraId="67079F7B" w14:textId="77777777" w:rsidTr="00A64F0D">
        <w:tc>
          <w:tcPr>
            <w:tcW w:w="0" w:type="auto"/>
          </w:tcPr>
          <w:p w14:paraId="58EA6489" w14:textId="77777777" w:rsidR="001F570F" w:rsidRDefault="001F570F" w:rsidP="001F570F">
            <w:pPr>
              <w:ind w:left="970" w:hanging="970"/>
              <w:jc w:val="both"/>
              <w:rPr>
                <w:color w:val="0070C0"/>
                <w:sz w:val="30"/>
                <w:szCs w:val="30"/>
              </w:rPr>
            </w:pPr>
          </w:p>
        </w:tc>
        <w:tc>
          <w:tcPr>
            <w:tcW w:w="0" w:type="auto"/>
            <w:gridSpan w:val="12"/>
          </w:tcPr>
          <w:p w14:paraId="331FD3A8" w14:textId="77777777" w:rsidR="001F570F" w:rsidRDefault="001F570F" w:rsidP="001F570F">
            <w:pPr>
              <w:jc w:val="both"/>
              <w:rPr>
                <w:color w:val="0070C0"/>
                <w:sz w:val="48"/>
                <w:szCs w:val="48"/>
              </w:rPr>
            </w:pPr>
            <w:r>
              <w:rPr>
                <w:color w:val="0070C0"/>
                <w:sz w:val="30"/>
                <w:szCs w:val="30"/>
              </w:rPr>
              <w:t xml:space="preserve">Target </w:t>
            </w:r>
            <w:r w:rsidRPr="0098013D">
              <w:rPr>
                <w:color w:val="0070C0"/>
                <w:sz w:val="30"/>
                <w:szCs w:val="30"/>
              </w:rPr>
              <w:t>15.6 Promote fair and equitable sharing of the benefits arising from the utilization of genetic resources and promote appropriate access to such resources, as internationally agreed</w:t>
            </w:r>
          </w:p>
        </w:tc>
      </w:tr>
      <w:tr w:rsidR="001F570F" w14:paraId="5BA47A02" w14:textId="77777777" w:rsidTr="00A64F0D">
        <w:tc>
          <w:tcPr>
            <w:tcW w:w="0" w:type="auto"/>
          </w:tcPr>
          <w:p w14:paraId="2A7E2E84" w14:textId="77777777" w:rsidR="001F570F" w:rsidRDefault="001F570F" w:rsidP="001F570F">
            <w:pPr>
              <w:pStyle w:val="NoSpacing"/>
            </w:pPr>
            <w:r w:rsidRPr="00BA046C">
              <w:t>15.6.1 Number of countries that have adopted legislative, administrative and policy frameworks to ensure fair and equitable sharing of benefits</w:t>
            </w:r>
          </w:p>
        </w:tc>
        <w:tc>
          <w:tcPr>
            <w:tcW w:w="0" w:type="auto"/>
          </w:tcPr>
          <w:p w14:paraId="45CB48F5" w14:textId="77777777" w:rsidR="001F570F" w:rsidRDefault="001F570F" w:rsidP="001F570F">
            <w:pPr>
              <w:pStyle w:val="NoSpacing"/>
            </w:pPr>
            <w:r w:rsidRPr="005066A9">
              <w:t>CBD-Secretariat</w:t>
            </w:r>
          </w:p>
          <w:p w14:paraId="22BAB207" w14:textId="77777777" w:rsidR="001F570F" w:rsidRDefault="001F570F" w:rsidP="001F570F">
            <w:pPr>
              <w:rPr>
                <w:b/>
                <w:bCs/>
                <w:szCs w:val="20"/>
              </w:rPr>
            </w:pPr>
            <w:r w:rsidRPr="007243FC">
              <w:rPr>
                <w:b/>
                <w:bCs/>
                <w:szCs w:val="20"/>
              </w:rPr>
              <w:t>Partner Agencies:</w:t>
            </w:r>
          </w:p>
          <w:p w14:paraId="6F4C73E8" w14:textId="77777777" w:rsidR="001F570F" w:rsidRDefault="001F570F" w:rsidP="001F570F">
            <w:pPr>
              <w:pStyle w:val="NoSpacing"/>
            </w:pPr>
            <w:r>
              <w:t>FAO,</w:t>
            </w:r>
          </w:p>
          <w:p w14:paraId="6307826A" w14:textId="77777777" w:rsidR="001F570F" w:rsidRDefault="001F570F" w:rsidP="001F570F">
            <w:pPr>
              <w:pStyle w:val="NoSpacing"/>
            </w:pPr>
            <w:r>
              <w:t>UNEP</w:t>
            </w:r>
          </w:p>
        </w:tc>
        <w:tc>
          <w:tcPr>
            <w:tcW w:w="0" w:type="auto"/>
          </w:tcPr>
          <w:p w14:paraId="32231585" w14:textId="77777777" w:rsidR="001F570F" w:rsidRDefault="001F570F" w:rsidP="001F570F">
            <w:pPr>
              <w:ind w:left="970" w:hanging="970"/>
              <w:jc w:val="both"/>
              <w:rPr>
                <w:color w:val="0070C0"/>
                <w:sz w:val="30"/>
                <w:szCs w:val="30"/>
              </w:rPr>
            </w:pPr>
            <w:r>
              <w:t>Tier I</w:t>
            </w:r>
          </w:p>
        </w:tc>
        <w:tc>
          <w:tcPr>
            <w:tcW w:w="0" w:type="auto"/>
          </w:tcPr>
          <w:p w14:paraId="06FD5035" w14:textId="77777777" w:rsidR="001F570F" w:rsidRPr="00C72054" w:rsidRDefault="001F570F" w:rsidP="001F570F">
            <w:pPr>
              <w:pStyle w:val="NoSpacing"/>
              <w:rPr>
                <w:b/>
                <w:bCs/>
                <w:lang w:val="en-GB"/>
              </w:rPr>
            </w:pPr>
            <w:r w:rsidRPr="00C72054">
              <w:rPr>
                <w:b/>
                <w:bCs/>
                <w:lang w:val="en-GB"/>
              </w:rPr>
              <w:t>Definition</w:t>
            </w:r>
          </w:p>
          <w:p w14:paraId="3EFAC045" w14:textId="77777777" w:rsidR="001F570F" w:rsidRPr="00C72054" w:rsidRDefault="001F570F" w:rsidP="001F570F">
            <w:pPr>
              <w:pStyle w:val="NoSpacing"/>
              <w:rPr>
                <w:lang w:val="en-GB"/>
              </w:rPr>
            </w:pPr>
            <w:r w:rsidRPr="00C72054">
              <w:rPr>
                <w:lang w:val="en-GB"/>
              </w:rPr>
              <w:t>The indicator is defined as the number of countries that have adopted legislative, administrative and policy frameworks to ensure fair and equitable sharing of benefits.  It refers to the efforts by countries to implement the Nagoya Protocol on Access to Genetic Resources and the Fair and Equitable Sharing of Benefits Arising from their Utilization to the Convention on Biological Diversity</w:t>
            </w:r>
            <w:r w:rsidRPr="00C72054">
              <w:rPr>
                <w:i/>
                <w:lang w:val="en-GB"/>
              </w:rPr>
              <w:t xml:space="preserve"> </w:t>
            </w:r>
            <w:r w:rsidRPr="00C72054">
              <w:rPr>
                <w:lang w:val="en-GB"/>
              </w:rPr>
              <w:t>(2010) and the International Treaty on Plant Genetic Resources for Food and Agriculture (2001).</w:t>
            </w:r>
          </w:p>
          <w:p w14:paraId="34AEE7B1" w14:textId="77777777" w:rsidR="001F570F" w:rsidRPr="00C72054" w:rsidRDefault="001F570F" w:rsidP="001F570F">
            <w:pPr>
              <w:pStyle w:val="NoSpacing"/>
              <w:rPr>
                <w:lang w:val="en-GB"/>
              </w:rPr>
            </w:pPr>
          </w:p>
          <w:p w14:paraId="34FB35DC" w14:textId="77777777" w:rsidR="001F570F" w:rsidRPr="00C72054" w:rsidRDefault="001F570F" w:rsidP="001F570F">
            <w:pPr>
              <w:pStyle w:val="NoSpacing"/>
              <w:rPr>
                <w:lang w:val="en-GB"/>
              </w:rPr>
            </w:pPr>
            <w:r w:rsidRPr="00C72054">
              <w:rPr>
                <w:lang w:val="en-GB"/>
              </w:rPr>
              <w:t xml:space="preserve">The Nagoya Protocol covers genetic resources and traditional knowledge associated with genetic resources, as well as the benefits arising from their utilization by setting out core obligations for its contracting Parties to take measures in relation to access, benefit-sharing and compliance.  The objectives of the International Treaty are the conservation and sustainable use of plant genetic resources for food and agriculture and the fair and equitable sharing of the benefits arising out of their use, in harmony with the Convention on Biological Diversity.   </w:t>
            </w:r>
          </w:p>
          <w:p w14:paraId="244E1A7B" w14:textId="77777777" w:rsidR="001F570F" w:rsidRPr="00C72054" w:rsidRDefault="001F570F" w:rsidP="001F570F">
            <w:pPr>
              <w:pStyle w:val="NoSpacing"/>
              <w:rPr>
                <w:lang w:val="en-GB"/>
              </w:rPr>
            </w:pPr>
          </w:p>
          <w:p w14:paraId="635AA730" w14:textId="77777777" w:rsidR="001F570F" w:rsidRPr="00C72054" w:rsidRDefault="001F570F" w:rsidP="001F570F">
            <w:pPr>
              <w:pStyle w:val="NoSpacing"/>
              <w:rPr>
                <w:lang w:val="en-GB"/>
              </w:rPr>
            </w:pPr>
            <w:r w:rsidRPr="00C72054">
              <w:rPr>
                <w:lang w:val="en-GB"/>
              </w:rPr>
              <w:t xml:space="preserve">The Protocol provides greater legal certainty and transparency for both providers and users of genetic resources and associated traditional knowledge, and therefore, encourages the advancement of research on genetic resources which could lead to new discoveries for the benefit of all. </w:t>
            </w:r>
          </w:p>
          <w:p w14:paraId="27CCD9B8" w14:textId="77777777" w:rsidR="001F570F" w:rsidRPr="00C72054" w:rsidRDefault="001F570F" w:rsidP="001F570F">
            <w:pPr>
              <w:pStyle w:val="NoSpacing"/>
              <w:rPr>
                <w:lang w:val="en-GB"/>
              </w:rPr>
            </w:pPr>
            <w:r w:rsidRPr="00C72054">
              <w:rPr>
                <w:lang w:val="en-GB"/>
              </w:rPr>
              <w:t>The Nagoya Protocol also creates incentives to conserve and sustainably use genetic resources, and thereby enhances the contribution of biodiversity to development and human well-being. In addition, Parties to the Protocol are to encourage users and providers to direct benefits arising from the utilization of genetic resources towards the conservation of biological diversity and the sustainable use of its components.</w:t>
            </w:r>
          </w:p>
          <w:p w14:paraId="78C9364A" w14:textId="77777777" w:rsidR="001F570F" w:rsidRPr="00C72054" w:rsidRDefault="001F570F" w:rsidP="001F570F">
            <w:pPr>
              <w:pStyle w:val="NoSpacing"/>
              <w:rPr>
                <w:lang w:val="en-GB"/>
              </w:rPr>
            </w:pPr>
          </w:p>
          <w:p w14:paraId="5A34BBE7" w14:textId="77777777" w:rsidR="001F570F" w:rsidRPr="00C72054" w:rsidRDefault="001F570F" w:rsidP="001F570F">
            <w:pPr>
              <w:pStyle w:val="NoSpacing"/>
              <w:rPr>
                <w:lang w:val="en-GB"/>
              </w:rPr>
            </w:pPr>
            <w:r w:rsidRPr="00C72054">
              <w:rPr>
                <w:lang w:val="en-GB"/>
              </w:rPr>
              <w:t xml:space="preserve">The International Treaty has established the Multilateral System of Access and Benefit-sharing, which facilitates exchanges of plant genetic resources for purposes of agricultural research and breeding, by providing a transparent and reliable framework for the exchange of crop genetic resources. The Multilateral System is instrumental to achieving the conservation and sustainable use of plant genetic resources as well as the fair and equitable sharing of benefits arising from their use.  </w:t>
            </w:r>
          </w:p>
          <w:p w14:paraId="3419730C" w14:textId="77777777" w:rsidR="001F570F" w:rsidRPr="00C72054" w:rsidRDefault="001F570F" w:rsidP="001F570F">
            <w:pPr>
              <w:pStyle w:val="NoSpacing"/>
              <w:rPr>
                <w:lang w:val="en-GB"/>
              </w:rPr>
            </w:pPr>
          </w:p>
          <w:p w14:paraId="4F5F5CF0" w14:textId="77777777" w:rsidR="001F570F" w:rsidRPr="00C72054" w:rsidRDefault="001F570F" w:rsidP="001F570F">
            <w:pPr>
              <w:pStyle w:val="NoSpacing"/>
              <w:rPr>
                <w:b/>
                <w:bCs/>
                <w:lang w:val="en-GB"/>
              </w:rPr>
            </w:pPr>
            <w:r w:rsidRPr="00C72054">
              <w:rPr>
                <w:b/>
                <w:bCs/>
                <w:lang w:val="en-GB"/>
              </w:rPr>
              <w:t>Comments and limitations</w:t>
            </w:r>
          </w:p>
          <w:p w14:paraId="187D4B44" w14:textId="77777777" w:rsidR="001F570F" w:rsidRPr="00C72054" w:rsidRDefault="001F570F" w:rsidP="001F570F">
            <w:pPr>
              <w:pStyle w:val="NoSpacing"/>
              <w:rPr>
                <w:lang w:val="en-GB"/>
              </w:rPr>
            </w:pPr>
            <w:r w:rsidRPr="00C72054">
              <w:rPr>
                <w:lang w:val="en-GB"/>
              </w:rPr>
              <w:lastRenderedPageBreak/>
              <w:t>This indicator can be used to measure progress in adopting ABS legislative, administrative and policy frameworks over time.</w:t>
            </w:r>
          </w:p>
          <w:p w14:paraId="19BD2EA5" w14:textId="77777777" w:rsidR="001F570F" w:rsidRPr="00C72054" w:rsidRDefault="001F570F" w:rsidP="001F570F">
            <w:pPr>
              <w:pStyle w:val="NoSpacing"/>
              <w:rPr>
                <w:lang w:val="en-GB"/>
              </w:rPr>
            </w:pPr>
          </w:p>
          <w:p w14:paraId="09B33999" w14:textId="77777777" w:rsidR="001F570F" w:rsidRPr="00C72054" w:rsidRDefault="001F570F" w:rsidP="001F570F">
            <w:pPr>
              <w:pStyle w:val="NoSpacing"/>
              <w:rPr>
                <w:lang w:val="en-GB"/>
              </w:rPr>
            </w:pPr>
            <w:r w:rsidRPr="00C72054">
              <w:rPr>
                <w:lang w:val="en-GB"/>
              </w:rPr>
              <w:t xml:space="preserve">This indicator does not assess the scope or effectiveness of ABS legislative, administrative and policy frameworks. </w:t>
            </w:r>
          </w:p>
          <w:p w14:paraId="3BB56B43" w14:textId="77777777" w:rsidR="001F570F" w:rsidRPr="00C72054" w:rsidRDefault="001F570F" w:rsidP="001F570F">
            <w:pPr>
              <w:pStyle w:val="NoSpacing"/>
              <w:rPr>
                <w:lang w:val="en-GB"/>
              </w:rPr>
            </w:pPr>
          </w:p>
          <w:p w14:paraId="39E0CA86" w14:textId="77777777" w:rsidR="001F570F" w:rsidRPr="00C72054" w:rsidRDefault="001F570F" w:rsidP="001F570F">
            <w:pPr>
              <w:pStyle w:val="NoSpacing"/>
              <w:rPr>
                <w:lang w:val="en-GB"/>
              </w:rPr>
            </w:pPr>
            <w:r w:rsidRPr="00C72054">
              <w:rPr>
                <w:lang w:val="en-GB"/>
              </w:rPr>
              <w:t>The notion of framework suggests that there is a complete set of rules established on access and benefit-sharing. However, it is difficult to have a predefined idea of what constitutes an ABS framework. In the context of this indicator, the publication by a country of one or more ABS legislative, administrative and policy measure in the ABS Clearing-House would be considered progress by that country on having an ABS legislative, administrative and policy framework, and through the Online Reporting System on Compliance of the International Treaty in relation to plant genetic resources for food and agriculture.</w:t>
            </w:r>
          </w:p>
          <w:p w14:paraId="7FC640B5" w14:textId="77777777" w:rsidR="001F570F" w:rsidRPr="00C72054" w:rsidRDefault="001F570F" w:rsidP="001F570F">
            <w:pPr>
              <w:pStyle w:val="NoSpacing"/>
              <w:rPr>
                <w:lang w:val="en-GB"/>
              </w:rPr>
            </w:pPr>
          </w:p>
          <w:p w14:paraId="73AD4B46" w14:textId="77777777" w:rsidR="001F570F" w:rsidRPr="00C72054" w:rsidRDefault="001F570F" w:rsidP="001F570F">
            <w:pPr>
              <w:pStyle w:val="NoSpacing"/>
              <w:rPr>
                <w:b/>
                <w:bCs/>
                <w:lang w:val="en-GB"/>
              </w:rPr>
            </w:pPr>
            <w:r w:rsidRPr="00C72054">
              <w:rPr>
                <w:b/>
                <w:bCs/>
                <w:lang w:val="en-GB"/>
              </w:rPr>
              <w:t>Computation Method</w:t>
            </w:r>
          </w:p>
          <w:p w14:paraId="5A2DAF71" w14:textId="77777777" w:rsidR="001F570F" w:rsidRPr="00C72054" w:rsidRDefault="001F570F" w:rsidP="001F570F">
            <w:pPr>
              <w:pStyle w:val="NoSpacing"/>
              <w:rPr>
                <w:lang w:val="en-GB"/>
              </w:rPr>
            </w:pPr>
            <w:r w:rsidRPr="00C72054">
              <w:rPr>
                <w:lang w:val="en-GB"/>
              </w:rPr>
              <w:t>Summation of information made available by each Party to the Convention on Biological Diversity and to the International Treaty related to:</w:t>
            </w:r>
          </w:p>
          <w:p w14:paraId="25B07B5D" w14:textId="77777777" w:rsidR="001F570F" w:rsidRPr="00C72054" w:rsidRDefault="001F570F" w:rsidP="001F570F">
            <w:pPr>
              <w:pStyle w:val="NoSpacing"/>
              <w:numPr>
                <w:ilvl w:val="0"/>
                <w:numId w:val="82"/>
              </w:numPr>
              <w:rPr>
                <w:lang w:val="en-GB"/>
              </w:rPr>
            </w:pPr>
            <w:r w:rsidRPr="00C72054">
              <w:rPr>
                <w:lang w:val="en-GB"/>
              </w:rPr>
              <w:t xml:space="preserve">ABS </w:t>
            </w:r>
            <w:r w:rsidRPr="00C72054">
              <w:t xml:space="preserve">legislative, administrative or policy measures made available to the ABS Clearing-House and to the Online Reporting System on Compliance of the International Treaty in relation to plant genetic resources for food and agriculture (y/n); </w:t>
            </w:r>
          </w:p>
        </w:tc>
        <w:tc>
          <w:tcPr>
            <w:tcW w:w="0" w:type="auto"/>
          </w:tcPr>
          <w:p w14:paraId="7E79552E" w14:textId="77777777" w:rsidR="001F570F" w:rsidRDefault="001F570F" w:rsidP="001F570F">
            <w:pPr>
              <w:pStyle w:val="NoSpacing"/>
            </w:pPr>
            <w:r>
              <w:lastRenderedPageBreak/>
              <w:t>Convention on Biological Diversity.</w:t>
            </w:r>
          </w:p>
        </w:tc>
        <w:tc>
          <w:tcPr>
            <w:tcW w:w="0" w:type="auto"/>
          </w:tcPr>
          <w:p w14:paraId="0FC5C0F9" w14:textId="77777777" w:rsidR="001F570F" w:rsidRDefault="001F570F" w:rsidP="001F570F">
            <w:pPr>
              <w:pStyle w:val="NoSpacing"/>
            </w:pPr>
            <w:r>
              <w:t>ABS focal points</w:t>
            </w:r>
          </w:p>
        </w:tc>
        <w:tc>
          <w:tcPr>
            <w:tcW w:w="0" w:type="auto"/>
          </w:tcPr>
          <w:p w14:paraId="5420A5AD" w14:textId="28BC5C7E" w:rsidR="001F570F" w:rsidRDefault="001F570F" w:rsidP="001F570F">
            <w:pPr>
              <w:pStyle w:val="NoSpacing"/>
            </w:pPr>
          </w:p>
        </w:tc>
        <w:tc>
          <w:tcPr>
            <w:tcW w:w="0" w:type="auto"/>
          </w:tcPr>
          <w:p w14:paraId="0380D297" w14:textId="77777777" w:rsidR="001F570F" w:rsidRDefault="001F570F" w:rsidP="001F570F">
            <w:pPr>
              <w:ind w:left="970" w:hanging="970"/>
              <w:jc w:val="both"/>
              <w:rPr>
                <w:rFonts w:eastAsia="Times New Roman" w:cs="Times New Roman"/>
                <w:color w:val="000000" w:themeColor="text1"/>
                <w:szCs w:val="20"/>
              </w:rPr>
            </w:pPr>
            <w:r>
              <w:rPr>
                <w:rFonts w:eastAsia="Times New Roman" w:cs="Times New Roman"/>
                <w:color w:val="000000" w:themeColor="text1"/>
                <w:szCs w:val="20"/>
              </w:rPr>
              <w:t>MoEFCC</w:t>
            </w:r>
          </w:p>
          <w:p w14:paraId="001B9E30" w14:textId="77777777" w:rsidR="001F570F" w:rsidRDefault="001F570F" w:rsidP="001F570F">
            <w:pPr>
              <w:ind w:left="970" w:hanging="970"/>
              <w:jc w:val="both"/>
              <w:rPr>
                <w:rFonts w:eastAsia="Times New Roman" w:cs="Times New Roman"/>
                <w:color w:val="000000" w:themeColor="text1"/>
                <w:szCs w:val="20"/>
              </w:rPr>
            </w:pPr>
          </w:p>
          <w:p w14:paraId="3E9034CF" w14:textId="77777777" w:rsidR="001F570F" w:rsidRDefault="001F570F" w:rsidP="001F570F">
            <w:pPr>
              <w:pStyle w:val="NoSpacing"/>
            </w:pPr>
            <w:r>
              <w:rPr>
                <w:rFonts w:eastAsia="Times New Roman" w:cs="Times New Roman"/>
                <w:color w:val="000000" w:themeColor="text1"/>
                <w:szCs w:val="20"/>
              </w:rPr>
              <w:t>Administrative Data</w:t>
            </w:r>
          </w:p>
        </w:tc>
        <w:tc>
          <w:tcPr>
            <w:tcW w:w="0" w:type="auto"/>
          </w:tcPr>
          <w:p w14:paraId="3D46CAD5"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framework: legal framework/ administrative framework/policy framework</w:t>
            </w:r>
          </w:p>
          <w:p w14:paraId="5FE0293D"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regional group</w:t>
            </w:r>
          </w:p>
          <w:p w14:paraId="359AFD86"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membership to a specific regional organization</w:t>
            </w:r>
          </w:p>
          <w:p w14:paraId="15FCDAE5"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status as Parties or non-Parties to the Protocol</w:t>
            </w:r>
          </w:p>
          <w:p w14:paraId="2066352C" w14:textId="77777777" w:rsidR="001F570F" w:rsidRDefault="001F570F" w:rsidP="001F570F">
            <w:pPr>
              <w:ind w:left="970" w:hanging="970"/>
              <w:jc w:val="both"/>
              <w:rPr>
                <w:color w:val="0070C0"/>
                <w:sz w:val="30"/>
                <w:szCs w:val="30"/>
              </w:rPr>
            </w:pPr>
          </w:p>
        </w:tc>
        <w:tc>
          <w:tcPr>
            <w:tcW w:w="0" w:type="auto"/>
          </w:tcPr>
          <w:p w14:paraId="0C129262" w14:textId="77777777" w:rsidR="001F570F" w:rsidRDefault="001F570F" w:rsidP="001F570F">
            <w:pPr>
              <w:ind w:left="970" w:hanging="970"/>
              <w:jc w:val="both"/>
              <w:rPr>
                <w:color w:val="0070C0"/>
                <w:sz w:val="30"/>
                <w:szCs w:val="30"/>
              </w:rPr>
            </w:pPr>
            <w:r w:rsidRPr="00BC6F10">
              <w:t>Triennial</w:t>
            </w:r>
          </w:p>
        </w:tc>
        <w:tc>
          <w:tcPr>
            <w:tcW w:w="0" w:type="auto"/>
          </w:tcPr>
          <w:p w14:paraId="3F867253" w14:textId="77777777" w:rsidR="001F570F" w:rsidRDefault="001F570F" w:rsidP="001F570F">
            <w:pPr>
              <w:ind w:left="970" w:hanging="970"/>
              <w:jc w:val="both"/>
              <w:rPr>
                <w:color w:val="0070C0"/>
                <w:sz w:val="30"/>
                <w:szCs w:val="30"/>
              </w:rPr>
            </w:pPr>
            <w:r>
              <w:t>Group 2</w:t>
            </w:r>
          </w:p>
        </w:tc>
        <w:tc>
          <w:tcPr>
            <w:tcW w:w="0" w:type="auto"/>
          </w:tcPr>
          <w:p w14:paraId="7E7EDC42" w14:textId="77777777" w:rsidR="001F570F" w:rsidRDefault="001F570F" w:rsidP="001F570F">
            <w:pPr>
              <w:pStyle w:val="NoSpacing"/>
            </w:pPr>
            <w:r>
              <w:t>1</w:t>
            </w:r>
            <w:r w:rsidRPr="00013ACB">
              <w:rPr>
                <w:vertAlign w:val="superscript"/>
              </w:rPr>
              <w:t>st</w:t>
            </w:r>
            <w:r>
              <w:t xml:space="preserve"> Round:</w:t>
            </w:r>
          </w:p>
          <w:p w14:paraId="63D4BB6C" w14:textId="77777777" w:rsidR="001F570F" w:rsidRPr="00670519" w:rsidRDefault="001F570F" w:rsidP="001F570F">
            <w:pPr>
              <w:pStyle w:val="NoSpacing"/>
              <w:rPr>
                <w:b/>
              </w:rPr>
            </w:pPr>
            <w:r w:rsidRPr="00670519">
              <w:t xml:space="preserve">December, </w:t>
            </w:r>
          </w:p>
          <w:p w14:paraId="73270A5A" w14:textId="77777777" w:rsidR="001F570F" w:rsidRDefault="001F570F" w:rsidP="001F570F">
            <w:pPr>
              <w:pStyle w:val="NoSpacing"/>
            </w:pPr>
            <w:r w:rsidRPr="00670519">
              <w:t>2019</w:t>
            </w:r>
          </w:p>
          <w:p w14:paraId="3BC52305" w14:textId="77777777" w:rsidR="001F570F" w:rsidRDefault="001F570F" w:rsidP="001F570F">
            <w:pPr>
              <w:pStyle w:val="NoSpacing"/>
            </w:pPr>
          </w:p>
          <w:p w14:paraId="14DD4844" w14:textId="77777777" w:rsidR="001F570F" w:rsidRDefault="001F570F" w:rsidP="001F570F">
            <w:pPr>
              <w:pStyle w:val="NoSpacing"/>
            </w:pPr>
            <w:r>
              <w:t>2</w:t>
            </w:r>
            <w:r w:rsidRPr="00013ACB">
              <w:rPr>
                <w:vertAlign w:val="superscript"/>
              </w:rPr>
              <w:t>nd</w:t>
            </w:r>
            <w:r>
              <w:t xml:space="preserve"> Round:</w:t>
            </w:r>
          </w:p>
          <w:p w14:paraId="082A1D31" w14:textId="77777777" w:rsidR="001F570F" w:rsidRPr="00670519" w:rsidRDefault="001F570F" w:rsidP="001F570F">
            <w:pPr>
              <w:pStyle w:val="NoSpacing"/>
              <w:rPr>
                <w:b/>
              </w:rPr>
            </w:pPr>
            <w:r>
              <w:t xml:space="preserve"> </w:t>
            </w:r>
            <w:r w:rsidRPr="00670519">
              <w:t xml:space="preserve">December, </w:t>
            </w:r>
          </w:p>
          <w:p w14:paraId="52AE9506" w14:textId="77777777" w:rsidR="001F570F" w:rsidRDefault="001F570F" w:rsidP="001F570F">
            <w:pPr>
              <w:pStyle w:val="NoSpacing"/>
            </w:pPr>
            <w:r>
              <w:t>2022</w:t>
            </w:r>
          </w:p>
          <w:p w14:paraId="0E97F82D" w14:textId="77777777" w:rsidR="001F570F" w:rsidRDefault="001F570F" w:rsidP="001F570F">
            <w:pPr>
              <w:pStyle w:val="NoSpacing"/>
            </w:pPr>
          </w:p>
          <w:p w14:paraId="77188686" w14:textId="77777777" w:rsidR="001F570F" w:rsidRDefault="001F570F" w:rsidP="001F570F">
            <w:pPr>
              <w:pStyle w:val="NoSpacing"/>
            </w:pPr>
            <w:r>
              <w:t>3</w:t>
            </w:r>
            <w:r w:rsidRPr="00013ACB">
              <w:rPr>
                <w:vertAlign w:val="superscript"/>
              </w:rPr>
              <w:t>rd</w:t>
            </w:r>
            <w:r>
              <w:t xml:space="preserve"> Round: </w:t>
            </w:r>
          </w:p>
          <w:p w14:paraId="02EDBB05" w14:textId="77777777" w:rsidR="001F570F" w:rsidRPr="00670519" w:rsidRDefault="001F570F" w:rsidP="001F570F">
            <w:pPr>
              <w:pStyle w:val="NoSpacing"/>
              <w:rPr>
                <w:b/>
              </w:rPr>
            </w:pPr>
            <w:r w:rsidRPr="00670519">
              <w:t xml:space="preserve">December, </w:t>
            </w:r>
          </w:p>
          <w:p w14:paraId="752C5780" w14:textId="77777777" w:rsidR="001F570F" w:rsidRDefault="001F570F" w:rsidP="001F570F">
            <w:pPr>
              <w:pStyle w:val="NoSpacing"/>
            </w:pPr>
            <w:r>
              <w:t>2025</w:t>
            </w:r>
          </w:p>
          <w:p w14:paraId="4125BB8B" w14:textId="77777777" w:rsidR="001F570F" w:rsidRDefault="001F570F" w:rsidP="001F570F">
            <w:pPr>
              <w:pStyle w:val="NoSpacing"/>
            </w:pPr>
          </w:p>
          <w:p w14:paraId="5F989F95" w14:textId="77777777" w:rsidR="001F570F" w:rsidRDefault="001F570F" w:rsidP="001F570F">
            <w:pPr>
              <w:pStyle w:val="NoSpacing"/>
            </w:pPr>
            <w:r>
              <w:t>4</w:t>
            </w:r>
            <w:r w:rsidRPr="00013ACB">
              <w:rPr>
                <w:vertAlign w:val="superscript"/>
              </w:rPr>
              <w:t>th</w:t>
            </w:r>
            <w:r>
              <w:t xml:space="preserve"> Round: </w:t>
            </w:r>
          </w:p>
          <w:p w14:paraId="7D2EFA08" w14:textId="77777777" w:rsidR="001F570F" w:rsidRPr="00670519" w:rsidRDefault="001F570F" w:rsidP="001F570F">
            <w:pPr>
              <w:pStyle w:val="NoSpacing"/>
              <w:rPr>
                <w:b/>
              </w:rPr>
            </w:pPr>
            <w:r w:rsidRPr="00670519">
              <w:t xml:space="preserve">December, </w:t>
            </w:r>
          </w:p>
          <w:p w14:paraId="0E3AFC1F" w14:textId="77777777" w:rsidR="001F570F" w:rsidRDefault="001F570F" w:rsidP="001F570F">
            <w:pPr>
              <w:pStyle w:val="NoSpacing"/>
            </w:pPr>
            <w:r>
              <w:t>2028</w:t>
            </w:r>
          </w:p>
          <w:p w14:paraId="07E6E471" w14:textId="77777777" w:rsidR="001F570F" w:rsidRDefault="001F570F" w:rsidP="001F570F">
            <w:pPr>
              <w:pStyle w:val="NoSpacing"/>
            </w:pPr>
          </w:p>
          <w:p w14:paraId="3FD678DA" w14:textId="77777777" w:rsidR="001F570F" w:rsidRDefault="001F570F" w:rsidP="001F570F">
            <w:pPr>
              <w:pStyle w:val="NoSpacing"/>
            </w:pPr>
            <w:r>
              <w:t>5</w:t>
            </w:r>
            <w:r w:rsidRPr="00013ACB">
              <w:rPr>
                <w:vertAlign w:val="superscript"/>
              </w:rPr>
              <w:t>th</w:t>
            </w:r>
            <w:r>
              <w:t xml:space="preserve"> Round: </w:t>
            </w:r>
          </w:p>
          <w:p w14:paraId="21E706B5" w14:textId="77777777" w:rsidR="001F570F" w:rsidRPr="00670519" w:rsidRDefault="001F570F" w:rsidP="001F570F">
            <w:pPr>
              <w:pStyle w:val="NoSpacing"/>
              <w:rPr>
                <w:b/>
              </w:rPr>
            </w:pPr>
            <w:r w:rsidRPr="00670519">
              <w:t xml:space="preserve">December, </w:t>
            </w:r>
          </w:p>
          <w:p w14:paraId="36F91A7B" w14:textId="77777777" w:rsidR="001F570F" w:rsidRDefault="001F570F" w:rsidP="001F570F">
            <w:pPr>
              <w:pStyle w:val="NoSpacing"/>
            </w:pPr>
            <w:r>
              <w:t>2030</w:t>
            </w:r>
          </w:p>
          <w:p w14:paraId="6214E9EC" w14:textId="5A29901F" w:rsidR="001F570F" w:rsidRDefault="001F570F" w:rsidP="001F570F">
            <w:pPr>
              <w:pStyle w:val="NoSpacing"/>
            </w:pPr>
          </w:p>
        </w:tc>
        <w:tc>
          <w:tcPr>
            <w:tcW w:w="0" w:type="auto"/>
          </w:tcPr>
          <w:p w14:paraId="575EEB2F" w14:textId="77777777" w:rsidR="001F570F" w:rsidRDefault="001F570F" w:rsidP="001F570F">
            <w:pPr>
              <w:pStyle w:val="NoSpacing"/>
            </w:pPr>
            <w:r>
              <w:t>Data availability reviewed in Nov. 2017 (classified as Tier I)</w:t>
            </w:r>
          </w:p>
          <w:p w14:paraId="6F714BDA" w14:textId="77777777" w:rsidR="001F570F" w:rsidRDefault="001F570F" w:rsidP="001F570F">
            <w:pPr>
              <w:pStyle w:val="NoSpacing"/>
            </w:pPr>
          </w:p>
          <w:p w14:paraId="6877EBF8" w14:textId="77777777" w:rsidR="001F570F" w:rsidRDefault="001F570F" w:rsidP="001F570F">
            <w:pPr>
              <w:pStyle w:val="NoSpacing"/>
            </w:pPr>
            <w:r>
              <w:t>IAEG-SDG 4th meeting: There is an agreed methodology, but low data availability (classified as Tier II)</w:t>
            </w:r>
          </w:p>
        </w:tc>
      </w:tr>
      <w:tr w:rsidR="001F570F" w14:paraId="447B60B8" w14:textId="77777777" w:rsidTr="00A64F0D">
        <w:tc>
          <w:tcPr>
            <w:tcW w:w="0" w:type="auto"/>
          </w:tcPr>
          <w:p w14:paraId="4FE994AA" w14:textId="77777777" w:rsidR="001F570F" w:rsidRDefault="001F570F" w:rsidP="001F570F">
            <w:pPr>
              <w:ind w:left="970" w:hanging="970"/>
              <w:jc w:val="both"/>
              <w:rPr>
                <w:color w:val="0070C0"/>
                <w:sz w:val="30"/>
                <w:szCs w:val="30"/>
              </w:rPr>
            </w:pPr>
          </w:p>
        </w:tc>
        <w:tc>
          <w:tcPr>
            <w:tcW w:w="0" w:type="auto"/>
            <w:gridSpan w:val="12"/>
          </w:tcPr>
          <w:p w14:paraId="4EF913DA" w14:textId="77777777" w:rsidR="001F570F" w:rsidRDefault="001F570F" w:rsidP="001F570F">
            <w:pPr>
              <w:jc w:val="both"/>
              <w:rPr>
                <w:color w:val="0070C0"/>
                <w:sz w:val="48"/>
                <w:szCs w:val="48"/>
              </w:rPr>
            </w:pPr>
            <w:r>
              <w:rPr>
                <w:color w:val="0070C0"/>
                <w:sz w:val="30"/>
                <w:szCs w:val="30"/>
              </w:rPr>
              <w:t xml:space="preserve">Target </w:t>
            </w:r>
            <w:r w:rsidRPr="00DD1B91">
              <w:rPr>
                <w:color w:val="0070C0"/>
                <w:sz w:val="30"/>
                <w:szCs w:val="30"/>
              </w:rPr>
              <w:t>15.7 Take urgent action to end poaching and trafficking of protected species of flora and fauna and address both demand and supply of illegal wildlife products</w:t>
            </w:r>
          </w:p>
        </w:tc>
      </w:tr>
      <w:tr w:rsidR="001F570F" w14:paraId="69FE6D40" w14:textId="77777777" w:rsidTr="00A64F0D">
        <w:tc>
          <w:tcPr>
            <w:tcW w:w="0" w:type="auto"/>
          </w:tcPr>
          <w:p w14:paraId="4C3A5A78" w14:textId="77777777" w:rsidR="001F570F" w:rsidRPr="00BA046C" w:rsidRDefault="001F570F" w:rsidP="001F570F">
            <w:pPr>
              <w:pStyle w:val="NoSpacing"/>
            </w:pPr>
            <w:r w:rsidRPr="00BA046C">
              <w:t>15.7.1 Proportion of traded wildlife that was poached or illicitly trafficked</w:t>
            </w:r>
          </w:p>
        </w:tc>
        <w:tc>
          <w:tcPr>
            <w:tcW w:w="0" w:type="auto"/>
          </w:tcPr>
          <w:p w14:paraId="75AD8F72" w14:textId="77777777" w:rsidR="001F570F" w:rsidRDefault="001F570F" w:rsidP="001F570F">
            <w:pPr>
              <w:pStyle w:val="NoSpacing"/>
            </w:pPr>
            <w:r>
              <w:t>UNODC,</w:t>
            </w:r>
          </w:p>
          <w:p w14:paraId="1E651129" w14:textId="77777777" w:rsidR="001F570F" w:rsidRDefault="001F570F" w:rsidP="001F570F">
            <w:pPr>
              <w:pStyle w:val="NoSpacing"/>
            </w:pPr>
            <w:r>
              <w:t>CITES</w:t>
            </w:r>
          </w:p>
          <w:p w14:paraId="26501867" w14:textId="77777777" w:rsidR="001F570F" w:rsidRDefault="001F570F" w:rsidP="001F570F">
            <w:pPr>
              <w:rPr>
                <w:b/>
                <w:bCs/>
                <w:szCs w:val="20"/>
              </w:rPr>
            </w:pPr>
            <w:r w:rsidRPr="007243FC">
              <w:rPr>
                <w:b/>
                <w:bCs/>
                <w:szCs w:val="20"/>
              </w:rPr>
              <w:t>Partner Agencies:</w:t>
            </w:r>
          </w:p>
          <w:p w14:paraId="69C4FE55" w14:textId="77777777" w:rsidR="001F570F" w:rsidRDefault="001F570F" w:rsidP="001F570F">
            <w:pPr>
              <w:pStyle w:val="NoSpacing"/>
            </w:pPr>
            <w:r w:rsidRPr="005066A9">
              <w:t>UNEP</w:t>
            </w:r>
          </w:p>
        </w:tc>
        <w:tc>
          <w:tcPr>
            <w:tcW w:w="0" w:type="auto"/>
          </w:tcPr>
          <w:p w14:paraId="455DF7B1" w14:textId="77777777" w:rsidR="001F570F" w:rsidRDefault="001F570F" w:rsidP="001F570F">
            <w:pPr>
              <w:ind w:left="970" w:hanging="970"/>
              <w:jc w:val="both"/>
              <w:rPr>
                <w:color w:val="0070C0"/>
                <w:sz w:val="30"/>
                <w:szCs w:val="30"/>
              </w:rPr>
            </w:pPr>
            <w:r w:rsidRPr="00666BAB">
              <w:t>Tier II</w:t>
            </w:r>
          </w:p>
        </w:tc>
        <w:tc>
          <w:tcPr>
            <w:tcW w:w="0" w:type="auto"/>
          </w:tcPr>
          <w:p w14:paraId="40F421F5" w14:textId="77777777" w:rsidR="001F570F" w:rsidRPr="006251E2" w:rsidRDefault="001F570F" w:rsidP="001F570F">
            <w:pPr>
              <w:pStyle w:val="NoSpacing"/>
              <w:rPr>
                <w:lang w:val="en-GB"/>
              </w:rPr>
            </w:pPr>
            <w:r w:rsidRPr="006251E2">
              <w:rPr>
                <w:b/>
                <w:bCs/>
                <w:lang w:val="en-GB"/>
              </w:rPr>
              <w:t>Definition:</w:t>
            </w:r>
          </w:p>
          <w:p w14:paraId="70C799FB" w14:textId="77777777" w:rsidR="001F570F" w:rsidRPr="006251E2" w:rsidRDefault="001F570F" w:rsidP="001F570F">
            <w:pPr>
              <w:pStyle w:val="NoSpacing"/>
              <w:rPr>
                <w:lang w:val="en-GB"/>
              </w:rPr>
            </w:pPr>
          </w:p>
          <w:p w14:paraId="346B1431" w14:textId="77777777" w:rsidR="001F570F" w:rsidRPr="006251E2" w:rsidRDefault="001F570F" w:rsidP="001F570F">
            <w:pPr>
              <w:pStyle w:val="NoSpacing"/>
              <w:rPr>
                <w:lang w:val="en-GB"/>
              </w:rPr>
            </w:pPr>
            <w:r w:rsidRPr="006251E2">
              <w:rPr>
                <w:lang w:val="en-GB"/>
              </w:rPr>
              <w:t>The share of all trade in wildlife detected as being illegal</w:t>
            </w:r>
          </w:p>
          <w:p w14:paraId="0AF265C2" w14:textId="77777777" w:rsidR="001F570F" w:rsidRPr="006251E2" w:rsidRDefault="001F570F" w:rsidP="001F570F">
            <w:pPr>
              <w:pStyle w:val="NoSpacing"/>
              <w:rPr>
                <w:lang w:val="en-GB"/>
              </w:rPr>
            </w:pPr>
          </w:p>
          <w:p w14:paraId="103681AC" w14:textId="77777777" w:rsidR="001F570F" w:rsidRPr="006251E2" w:rsidRDefault="001F570F" w:rsidP="001F570F">
            <w:pPr>
              <w:pStyle w:val="NoSpacing"/>
              <w:rPr>
                <w:lang w:val="en-GB"/>
              </w:rPr>
            </w:pPr>
            <w:r w:rsidRPr="006251E2">
              <w:rPr>
                <w:b/>
                <w:bCs/>
                <w:lang w:val="en-GB"/>
              </w:rPr>
              <w:t>Concepts:</w:t>
            </w:r>
          </w:p>
          <w:p w14:paraId="16194DD2" w14:textId="77777777" w:rsidR="001F570F" w:rsidRPr="006251E2" w:rsidRDefault="001F570F" w:rsidP="001F570F">
            <w:pPr>
              <w:pStyle w:val="NoSpacing"/>
              <w:rPr>
                <w:lang w:val="en-GB"/>
              </w:rPr>
            </w:pPr>
          </w:p>
          <w:p w14:paraId="63CB3CD1" w14:textId="77777777" w:rsidR="001F570F" w:rsidRPr="006251E2" w:rsidRDefault="001F570F" w:rsidP="001F570F">
            <w:pPr>
              <w:pStyle w:val="NoSpacing"/>
              <w:rPr>
                <w:lang w:val="en-GB"/>
              </w:rPr>
            </w:pPr>
            <w:r w:rsidRPr="006251E2">
              <w:rPr>
                <w:lang w:val="en-GB"/>
              </w:rPr>
              <w:t>“All trade in wildlife” is the sum of the values of legal and illegal trade</w:t>
            </w:r>
          </w:p>
          <w:p w14:paraId="06E8FB5D" w14:textId="77777777" w:rsidR="001F570F" w:rsidRPr="006251E2" w:rsidRDefault="001F570F" w:rsidP="001F570F">
            <w:pPr>
              <w:pStyle w:val="NoSpacing"/>
              <w:rPr>
                <w:lang w:val="en-GB"/>
              </w:rPr>
            </w:pPr>
          </w:p>
          <w:p w14:paraId="32FFE5AB" w14:textId="77777777" w:rsidR="001F570F" w:rsidRPr="006251E2" w:rsidRDefault="001F570F" w:rsidP="001F570F">
            <w:pPr>
              <w:pStyle w:val="NoSpacing"/>
              <w:rPr>
                <w:lang w:val="en-GB"/>
              </w:rPr>
            </w:pPr>
            <w:r w:rsidRPr="006251E2">
              <w:rPr>
                <w:lang w:val="en-GB"/>
              </w:rPr>
              <w:t>“Legal trade” is the sum of the value of all shipments made in compliance with the Convention on International Trade in Endangered Species of Wild Fauna and Flora (CITES)</w:t>
            </w:r>
            <w:proofErr w:type="gramStart"/>
            <w:r w:rsidRPr="006251E2">
              <w:rPr>
                <w:lang w:val="en-GB"/>
              </w:rPr>
              <w:t>,</w:t>
            </w:r>
            <w:proofErr w:type="gramEnd"/>
            <w:r w:rsidRPr="006251E2">
              <w:rPr>
                <w:lang w:val="en-GB"/>
              </w:rPr>
              <w:t xml:space="preserve"> using valid CITES permits and certificates.</w:t>
            </w:r>
          </w:p>
          <w:p w14:paraId="1E1AA485" w14:textId="77777777" w:rsidR="001F570F" w:rsidRPr="006251E2" w:rsidRDefault="001F570F" w:rsidP="001F570F">
            <w:pPr>
              <w:pStyle w:val="NoSpacing"/>
              <w:rPr>
                <w:lang w:val="en-GB"/>
              </w:rPr>
            </w:pPr>
          </w:p>
          <w:p w14:paraId="7F263C28" w14:textId="77777777" w:rsidR="001F570F" w:rsidRPr="006251E2" w:rsidRDefault="001F570F" w:rsidP="001F570F">
            <w:pPr>
              <w:pStyle w:val="NoSpacing"/>
              <w:rPr>
                <w:lang w:val="en-GB"/>
              </w:rPr>
            </w:pPr>
            <w:r w:rsidRPr="006251E2">
              <w:rPr>
                <w:lang w:val="en-GB"/>
              </w:rPr>
              <w:t>“Illegal trade” is the sum of the value of all CITES/listed specimens seized.</w:t>
            </w:r>
          </w:p>
          <w:p w14:paraId="78DED36C" w14:textId="77777777" w:rsidR="001F570F" w:rsidRPr="006251E2" w:rsidRDefault="001F570F" w:rsidP="001F570F">
            <w:pPr>
              <w:pStyle w:val="NoSpacing"/>
              <w:rPr>
                <w:lang w:val="en-GB"/>
              </w:rPr>
            </w:pPr>
          </w:p>
          <w:p w14:paraId="1761D10B" w14:textId="77777777" w:rsidR="001F570F" w:rsidRPr="006251E2" w:rsidRDefault="001F570F" w:rsidP="001F570F">
            <w:pPr>
              <w:pStyle w:val="NoSpacing"/>
              <w:rPr>
                <w:lang w:val="en-GB"/>
              </w:rPr>
            </w:pPr>
            <w:r w:rsidRPr="006251E2">
              <w:rPr>
                <w:b/>
                <w:bCs/>
                <w:lang w:val="en-GB"/>
              </w:rPr>
              <w:t>Comments and limitations:</w:t>
            </w:r>
          </w:p>
          <w:p w14:paraId="1E9D61C0" w14:textId="77777777" w:rsidR="001F570F" w:rsidRPr="006251E2" w:rsidRDefault="001F570F" w:rsidP="001F570F">
            <w:pPr>
              <w:pStyle w:val="NoSpacing"/>
              <w:rPr>
                <w:lang w:val="en-GB"/>
              </w:rPr>
            </w:pPr>
          </w:p>
          <w:p w14:paraId="16BBB28F" w14:textId="77777777" w:rsidR="001F570F" w:rsidRPr="006251E2" w:rsidRDefault="001F570F" w:rsidP="001F570F">
            <w:pPr>
              <w:pStyle w:val="NoSpacing"/>
              <w:rPr>
                <w:lang w:val="en-GB"/>
              </w:rPr>
            </w:pPr>
            <w:r w:rsidRPr="006251E2">
              <w:rPr>
                <w:lang w:val="en-GB"/>
              </w:rPr>
              <w:lastRenderedPageBreak/>
              <w:t>Seizures are an incomplete indicator of trafficking, and subject to considerable volatility. Universal coverage is not presently available, although 120 countries are represented in the present database. Since the indicator looks at the relationship between two values, changes in the relationship could be due to changes in either value.</w:t>
            </w:r>
          </w:p>
          <w:p w14:paraId="39BDC714" w14:textId="77777777" w:rsidR="001F570F" w:rsidRPr="006251E2" w:rsidRDefault="001F570F" w:rsidP="001F570F">
            <w:pPr>
              <w:pStyle w:val="NoSpacing"/>
              <w:rPr>
                <w:b/>
                <w:bCs/>
                <w:lang w:val="en-GB"/>
              </w:rPr>
            </w:pPr>
          </w:p>
          <w:p w14:paraId="408B2DC5" w14:textId="77777777" w:rsidR="001F570F" w:rsidRPr="006251E2" w:rsidRDefault="001F570F" w:rsidP="001F570F">
            <w:pPr>
              <w:pStyle w:val="NoSpacing"/>
              <w:rPr>
                <w:lang w:val="en-GB"/>
              </w:rPr>
            </w:pPr>
            <w:r w:rsidRPr="006251E2">
              <w:rPr>
                <w:b/>
                <w:bCs/>
                <w:lang w:val="en-GB"/>
              </w:rPr>
              <w:t>Computation Method:</w:t>
            </w:r>
          </w:p>
          <w:p w14:paraId="3667C0CC" w14:textId="77777777" w:rsidR="001F570F" w:rsidRPr="006251E2" w:rsidRDefault="001F570F" w:rsidP="001F570F">
            <w:pPr>
              <w:pStyle w:val="NoSpacing"/>
              <w:rPr>
                <w:lang w:val="en-GB"/>
              </w:rPr>
            </w:pPr>
          </w:p>
          <w:p w14:paraId="455C30F8" w14:textId="77777777" w:rsidR="001F570F" w:rsidRPr="006251E2" w:rsidRDefault="001F570F" w:rsidP="001F570F">
            <w:pPr>
              <w:pStyle w:val="NoSpacing"/>
              <w:rPr>
                <w:lang w:val="en-GB"/>
              </w:rPr>
            </w:pPr>
            <w:r w:rsidRPr="006251E2">
              <w:rPr>
                <w:lang w:val="en-GB"/>
              </w:rPr>
              <w:t>The value of a species-product unit is derived from the weighted average of prices declared for legal imports of analogous species product units, as acquired from United States Law Enforcement Monitoring and Information System of the Fish and Wildlife Service.</w:t>
            </w:r>
          </w:p>
          <w:p w14:paraId="7CCF7248" w14:textId="77777777" w:rsidR="001F570F" w:rsidRPr="006251E2" w:rsidRDefault="001F570F" w:rsidP="001F570F">
            <w:pPr>
              <w:pStyle w:val="NoSpacing"/>
              <w:rPr>
                <w:lang w:val="en-GB"/>
              </w:rPr>
            </w:pPr>
          </w:p>
          <w:p w14:paraId="3D602C57" w14:textId="77777777" w:rsidR="001F570F" w:rsidRPr="006251E2" w:rsidRDefault="001F570F" w:rsidP="001F570F">
            <w:pPr>
              <w:pStyle w:val="NoSpacing"/>
              <w:rPr>
                <w:lang w:val="en-GB"/>
              </w:rPr>
            </w:pPr>
            <w:r w:rsidRPr="006251E2">
              <w:rPr>
                <w:lang w:val="en-GB"/>
              </w:rPr>
              <w:t>The value of legal trade is the sum of all species-product units documented in CITES export permits as reported in the CITES Annual Reports times the species-product unit prices as specified above.</w:t>
            </w:r>
          </w:p>
          <w:p w14:paraId="2D91ECEF" w14:textId="77777777" w:rsidR="001F570F" w:rsidRPr="006251E2" w:rsidRDefault="001F570F" w:rsidP="001F570F">
            <w:pPr>
              <w:pStyle w:val="NoSpacing"/>
              <w:rPr>
                <w:lang w:val="en-GB"/>
              </w:rPr>
            </w:pPr>
          </w:p>
          <w:p w14:paraId="523B52CE" w14:textId="77777777" w:rsidR="001F570F" w:rsidRPr="006251E2" w:rsidRDefault="001F570F" w:rsidP="001F570F">
            <w:pPr>
              <w:pStyle w:val="NoSpacing"/>
              <w:rPr>
                <w:lang w:val="en-GB"/>
              </w:rPr>
            </w:pPr>
            <w:r w:rsidRPr="006251E2">
              <w:rPr>
                <w:lang w:val="en-GB"/>
              </w:rPr>
              <w:t>The value of illegal trade is the sum of all species-product units documented in the World WISE seizure database times the species-product unit prices as specified above.</w:t>
            </w:r>
          </w:p>
          <w:p w14:paraId="48E49BB3" w14:textId="77777777" w:rsidR="001F570F" w:rsidRPr="006251E2" w:rsidRDefault="001F570F" w:rsidP="001F570F">
            <w:pPr>
              <w:pStyle w:val="NoSpacing"/>
              <w:rPr>
                <w:lang w:val="en-GB"/>
              </w:rPr>
            </w:pPr>
          </w:p>
          <w:p w14:paraId="05360D54" w14:textId="77777777" w:rsidR="001F570F" w:rsidRPr="006251E2" w:rsidRDefault="001F570F" w:rsidP="001F570F">
            <w:pPr>
              <w:pStyle w:val="NoSpacing"/>
              <w:rPr>
                <w:lang w:val="en-GB"/>
              </w:rPr>
            </w:pPr>
            <w:r w:rsidRPr="006251E2">
              <w:rPr>
                <w:lang w:val="en-GB"/>
              </w:rPr>
              <w:t>The indicator is value of illegal trade/(value of legal trade + value of illegal trade)</w:t>
            </w:r>
          </w:p>
          <w:p w14:paraId="05AA0731" w14:textId="77777777" w:rsidR="001F570F" w:rsidRPr="006251E2" w:rsidRDefault="001F570F" w:rsidP="001F570F">
            <w:pPr>
              <w:pStyle w:val="NoSpacing"/>
            </w:pPr>
          </w:p>
        </w:tc>
        <w:tc>
          <w:tcPr>
            <w:tcW w:w="0" w:type="auto"/>
          </w:tcPr>
          <w:p w14:paraId="66E294B3" w14:textId="77777777" w:rsidR="001F570F" w:rsidRPr="0009718C" w:rsidRDefault="001F570F" w:rsidP="001F570F">
            <w:pPr>
              <w:pStyle w:val="NoSpacing"/>
              <w:rPr>
                <w:lang w:eastAsia="en-GB"/>
              </w:rPr>
            </w:pPr>
            <w:r w:rsidRPr="0009718C">
              <w:rPr>
                <w:lang w:eastAsia="en-GB"/>
              </w:rPr>
              <w:lastRenderedPageBreak/>
              <w:t>The legal trade data are reported annually by Parties to CITES and stored in the CITES Trade Database, managed by the UNEP World Conservation Monitoring Centre in Cambridge.</w:t>
            </w:r>
          </w:p>
          <w:p w14:paraId="1D6F962F" w14:textId="77777777" w:rsidR="001F570F" w:rsidRDefault="001F570F" w:rsidP="001F570F">
            <w:pPr>
              <w:pStyle w:val="NoSpacing"/>
            </w:pPr>
          </w:p>
        </w:tc>
        <w:tc>
          <w:tcPr>
            <w:tcW w:w="0" w:type="auto"/>
          </w:tcPr>
          <w:p w14:paraId="5CE145EA" w14:textId="77777777" w:rsidR="001F570F" w:rsidRPr="0009718C" w:rsidRDefault="001F570F" w:rsidP="001F570F">
            <w:pPr>
              <w:pStyle w:val="NoSpacing"/>
              <w:rPr>
                <w:lang w:eastAsia="en-GB"/>
              </w:rPr>
            </w:pPr>
            <w:r w:rsidRPr="0009718C">
              <w:rPr>
                <w:lang w:eastAsia="en-GB"/>
              </w:rPr>
              <w:t>The CITES Management Authority of each country</w:t>
            </w:r>
          </w:p>
          <w:p w14:paraId="49440EBB" w14:textId="77777777" w:rsidR="001F570F" w:rsidRDefault="001F570F" w:rsidP="001F570F">
            <w:pPr>
              <w:pStyle w:val="NoSpacing"/>
            </w:pPr>
          </w:p>
        </w:tc>
        <w:tc>
          <w:tcPr>
            <w:tcW w:w="0" w:type="auto"/>
          </w:tcPr>
          <w:p w14:paraId="603CA1EF" w14:textId="74F29633" w:rsidR="001F570F" w:rsidRPr="007B19A9" w:rsidRDefault="001F570F" w:rsidP="001F570F">
            <w:pPr>
              <w:pStyle w:val="NoSpacing"/>
              <w:rPr>
                <w:color w:val="0070C0"/>
                <w:sz w:val="30"/>
                <w:szCs w:val="30"/>
              </w:rPr>
            </w:pPr>
          </w:p>
        </w:tc>
        <w:tc>
          <w:tcPr>
            <w:tcW w:w="0" w:type="auto"/>
          </w:tcPr>
          <w:p w14:paraId="111D3AD9" w14:textId="77777777" w:rsidR="001F570F" w:rsidRDefault="001F570F" w:rsidP="001F570F">
            <w:pPr>
              <w:pStyle w:val="NoSpacing"/>
            </w:pPr>
            <w:r w:rsidRPr="007B19A9">
              <w:t>BFD, MoEFCC</w:t>
            </w:r>
          </w:p>
          <w:p w14:paraId="29675553" w14:textId="77777777" w:rsidR="001F570F" w:rsidRDefault="001F570F" w:rsidP="001F570F">
            <w:pPr>
              <w:pStyle w:val="NoSpacing"/>
            </w:pPr>
          </w:p>
          <w:p w14:paraId="7C41175B" w14:textId="77777777" w:rsidR="001F570F" w:rsidRDefault="001F570F" w:rsidP="001F570F">
            <w:pPr>
              <w:pStyle w:val="NoSpacing"/>
              <w:rPr>
                <w:color w:val="0070C0"/>
                <w:sz w:val="30"/>
                <w:szCs w:val="30"/>
              </w:rPr>
            </w:pPr>
            <w:r>
              <w:t>Administrative Data</w:t>
            </w:r>
          </w:p>
        </w:tc>
        <w:tc>
          <w:tcPr>
            <w:tcW w:w="0" w:type="auto"/>
          </w:tcPr>
          <w:p w14:paraId="682A05D4"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Form of trade</w:t>
            </w:r>
          </w:p>
          <w:p w14:paraId="2F2E74F3" w14:textId="77777777" w:rsidR="001F570F" w:rsidRDefault="001F570F" w:rsidP="001F570F">
            <w:pPr>
              <w:ind w:left="970" w:hanging="970"/>
              <w:jc w:val="both"/>
              <w:rPr>
                <w:color w:val="0070C0"/>
                <w:sz w:val="30"/>
                <w:szCs w:val="30"/>
              </w:rPr>
            </w:pPr>
          </w:p>
        </w:tc>
        <w:tc>
          <w:tcPr>
            <w:tcW w:w="0" w:type="auto"/>
          </w:tcPr>
          <w:p w14:paraId="24496D70" w14:textId="77777777" w:rsidR="001F570F" w:rsidRDefault="001F570F" w:rsidP="001F570F">
            <w:pPr>
              <w:ind w:left="970" w:hanging="970"/>
              <w:jc w:val="both"/>
              <w:rPr>
                <w:color w:val="0070C0"/>
                <w:sz w:val="30"/>
                <w:szCs w:val="30"/>
              </w:rPr>
            </w:pPr>
            <w:r w:rsidRPr="00261A09">
              <w:t>Annual</w:t>
            </w:r>
          </w:p>
        </w:tc>
        <w:tc>
          <w:tcPr>
            <w:tcW w:w="0" w:type="auto"/>
          </w:tcPr>
          <w:p w14:paraId="2FF82F64" w14:textId="77777777" w:rsidR="001F570F" w:rsidRDefault="001F570F" w:rsidP="001F570F">
            <w:pPr>
              <w:ind w:left="970" w:hanging="970"/>
              <w:jc w:val="both"/>
              <w:rPr>
                <w:color w:val="0070C0"/>
                <w:sz w:val="30"/>
                <w:szCs w:val="30"/>
              </w:rPr>
            </w:pPr>
            <w:r>
              <w:t>Group 2</w:t>
            </w:r>
          </w:p>
        </w:tc>
        <w:tc>
          <w:tcPr>
            <w:tcW w:w="0" w:type="auto"/>
          </w:tcPr>
          <w:p w14:paraId="37B89038" w14:textId="77777777" w:rsidR="001F570F" w:rsidRDefault="001F570F" w:rsidP="001F570F">
            <w:pPr>
              <w:pStyle w:val="NoSpacing"/>
            </w:pPr>
            <w:r>
              <w:t>1</w:t>
            </w:r>
            <w:r w:rsidRPr="00013ACB">
              <w:rPr>
                <w:vertAlign w:val="superscript"/>
              </w:rPr>
              <w:t>st</w:t>
            </w:r>
            <w:r>
              <w:t xml:space="preserve"> Round:</w:t>
            </w:r>
          </w:p>
          <w:p w14:paraId="3E818019" w14:textId="77777777" w:rsidR="001F570F" w:rsidRPr="00670519" w:rsidRDefault="001F570F" w:rsidP="001F570F">
            <w:pPr>
              <w:pStyle w:val="NoSpacing"/>
              <w:rPr>
                <w:b/>
              </w:rPr>
            </w:pPr>
            <w:r w:rsidRPr="00670519">
              <w:t xml:space="preserve">December, </w:t>
            </w:r>
          </w:p>
          <w:p w14:paraId="091C0B10" w14:textId="77777777" w:rsidR="001F570F" w:rsidRDefault="001F570F" w:rsidP="001F570F">
            <w:pPr>
              <w:pStyle w:val="NoSpacing"/>
            </w:pPr>
            <w:r w:rsidRPr="00670519">
              <w:t>2019</w:t>
            </w:r>
          </w:p>
          <w:p w14:paraId="13E11F56" w14:textId="77777777" w:rsidR="001F570F" w:rsidRDefault="001F570F" w:rsidP="001F570F">
            <w:pPr>
              <w:pStyle w:val="NoSpacing"/>
            </w:pPr>
          </w:p>
          <w:p w14:paraId="3E7BD466" w14:textId="77777777" w:rsidR="001F570F" w:rsidRDefault="001F570F" w:rsidP="001F570F">
            <w:pPr>
              <w:pStyle w:val="NoSpacing"/>
            </w:pPr>
            <w:r>
              <w:t>2</w:t>
            </w:r>
            <w:r w:rsidRPr="00013ACB">
              <w:rPr>
                <w:vertAlign w:val="superscript"/>
              </w:rPr>
              <w:t>nd</w:t>
            </w:r>
            <w:r>
              <w:t xml:space="preserve"> Round:</w:t>
            </w:r>
          </w:p>
          <w:p w14:paraId="2F9022B3" w14:textId="77777777" w:rsidR="001F570F" w:rsidRPr="00670519" w:rsidRDefault="001F570F" w:rsidP="001F570F">
            <w:pPr>
              <w:pStyle w:val="NoSpacing"/>
              <w:rPr>
                <w:b/>
              </w:rPr>
            </w:pPr>
            <w:r>
              <w:t xml:space="preserve"> </w:t>
            </w:r>
            <w:r w:rsidRPr="00670519">
              <w:t xml:space="preserve">December, </w:t>
            </w:r>
          </w:p>
          <w:p w14:paraId="478FF81B" w14:textId="77777777" w:rsidR="001F570F" w:rsidRDefault="001F570F" w:rsidP="001F570F">
            <w:pPr>
              <w:pStyle w:val="NoSpacing"/>
            </w:pPr>
            <w:r>
              <w:t>2020</w:t>
            </w:r>
          </w:p>
          <w:p w14:paraId="792DFDCB" w14:textId="77777777" w:rsidR="001F570F" w:rsidRDefault="001F570F" w:rsidP="001F570F">
            <w:pPr>
              <w:pStyle w:val="NoSpacing"/>
            </w:pPr>
          </w:p>
          <w:p w14:paraId="746E5AB7" w14:textId="77777777" w:rsidR="001F570F" w:rsidRDefault="001F570F" w:rsidP="001F570F">
            <w:pPr>
              <w:pStyle w:val="NoSpacing"/>
            </w:pPr>
            <w:r>
              <w:t>3</w:t>
            </w:r>
            <w:r w:rsidRPr="00013ACB">
              <w:rPr>
                <w:vertAlign w:val="superscript"/>
              </w:rPr>
              <w:t>rd</w:t>
            </w:r>
            <w:r>
              <w:t xml:space="preserve"> Round: </w:t>
            </w:r>
          </w:p>
          <w:p w14:paraId="489B15FE" w14:textId="77777777" w:rsidR="001F570F" w:rsidRPr="00670519" w:rsidRDefault="001F570F" w:rsidP="001F570F">
            <w:pPr>
              <w:pStyle w:val="NoSpacing"/>
              <w:rPr>
                <w:b/>
              </w:rPr>
            </w:pPr>
            <w:r w:rsidRPr="00670519">
              <w:t xml:space="preserve">December, </w:t>
            </w:r>
          </w:p>
          <w:p w14:paraId="00A78054" w14:textId="77777777" w:rsidR="001F570F" w:rsidRDefault="001F570F" w:rsidP="001F570F">
            <w:pPr>
              <w:pStyle w:val="NoSpacing"/>
            </w:pPr>
            <w:r>
              <w:t>2021</w:t>
            </w:r>
          </w:p>
          <w:p w14:paraId="34F2BBD5" w14:textId="77777777" w:rsidR="001F570F" w:rsidRDefault="001F570F" w:rsidP="001F570F">
            <w:pPr>
              <w:pStyle w:val="NoSpacing"/>
            </w:pPr>
          </w:p>
          <w:p w14:paraId="5F1C9F63" w14:textId="77777777" w:rsidR="001F570F" w:rsidRDefault="001F570F" w:rsidP="001F570F">
            <w:pPr>
              <w:pStyle w:val="NoSpacing"/>
            </w:pPr>
            <w:r>
              <w:t>4</w:t>
            </w:r>
            <w:r w:rsidRPr="00013ACB">
              <w:rPr>
                <w:vertAlign w:val="superscript"/>
              </w:rPr>
              <w:t>th</w:t>
            </w:r>
            <w:r>
              <w:t xml:space="preserve"> Round: </w:t>
            </w:r>
          </w:p>
          <w:p w14:paraId="681B8978" w14:textId="77777777" w:rsidR="001F570F" w:rsidRPr="00670519" w:rsidRDefault="001F570F" w:rsidP="001F570F">
            <w:pPr>
              <w:pStyle w:val="NoSpacing"/>
              <w:rPr>
                <w:b/>
              </w:rPr>
            </w:pPr>
            <w:r w:rsidRPr="00670519">
              <w:t xml:space="preserve">December, </w:t>
            </w:r>
          </w:p>
          <w:p w14:paraId="0375A35A" w14:textId="77777777" w:rsidR="001F570F" w:rsidRDefault="001F570F" w:rsidP="001F570F">
            <w:pPr>
              <w:pStyle w:val="NoSpacing"/>
            </w:pPr>
            <w:r>
              <w:t>2022</w:t>
            </w:r>
          </w:p>
          <w:p w14:paraId="5308769B" w14:textId="77777777" w:rsidR="001F570F" w:rsidRDefault="001F570F" w:rsidP="001F570F">
            <w:pPr>
              <w:pStyle w:val="NoSpacing"/>
            </w:pPr>
          </w:p>
          <w:p w14:paraId="06BAFA05" w14:textId="77777777" w:rsidR="001F570F" w:rsidRDefault="001F570F" w:rsidP="001F570F">
            <w:pPr>
              <w:pStyle w:val="NoSpacing"/>
            </w:pPr>
            <w:r>
              <w:t>5</w:t>
            </w:r>
            <w:r w:rsidRPr="00013ACB">
              <w:rPr>
                <w:vertAlign w:val="superscript"/>
              </w:rPr>
              <w:t>th</w:t>
            </w:r>
            <w:r>
              <w:t xml:space="preserve"> Round: </w:t>
            </w:r>
          </w:p>
          <w:p w14:paraId="4E163FE6" w14:textId="77777777" w:rsidR="001F570F" w:rsidRPr="00670519" w:rsidRDefault="001F570F" w:rsidP="001F570F">
            <w:pPr>
              <w:pStyle w:val="NoSpacing"/>
              <w:rPr>
                <w:b/>
              </w:rPr>
            </w:pPr>
            <w:r w:rsidRPr="00670519">
              <w:t xml:space="preserve">December, </w:t>
            </w:r>
          </w:p>
          <w:p w14:paraId="469E293B" w14:textId="77777777" w:rsidR="001F570F" w:rsidRDefault="001F570F" w:rsidP="001F570F">
            <w:pPr>
              <w:pStyle w:val="NoSpacing"/>
            </w:pPr>
            <w:r>
              <w:t>2023</w:t>
            </w:r>
          </w:p>
          <w:p w14:paraId="07D7F296" w14:textId="5405D668" w:rsidR="001F570F" w:rsidRDefault="001F570F" w:rsidP="001F570F">
            <w:pPr>
              <w:pStyle w:val="NoSpacing"/>
            </w:pPr>
          </w:p>
        </w:tc>
        <w:tc>
          <w:tcPr>
            <w:tcW w:w="0" w:type="auto"/>
          </w:tcPr>
          <w:p w14:paraId="02821C65" w14:textId="77777777" w:rsidR="001F570F" w:rsidRDefault="001F570F" w:rsidP="001F570F">
            <w:pPr>
              <w:pStyle w:val="NoSpacing"/>
            </w:pPr>
            <w:r w:rsidRPr="00B6234F">
              <w:lastRenderedPageBreak/>
              <w:t>Data on traded wildlife not available</w:t>
            </w:r>
            <w:r>
              <w:t xml:space="preserve"> </w:t>
            </w:r>
          </w:p>
          <w:p w14:paraId="5487EF22" w14:textId="77777777" w:rsidR="001F570F" w:rsidRDefault="001F570F" w:rsidP="001F570F">
            <w:pPr>
              <w:pStyle w:val="NoSpacing"/>
            </w:pPr>
          </w:p>
          <w:p w14:paraId="7DEDDE24" w14:textId="77777777" w:rsidR="001F570F" w:rsidRDefault="001F570F" w:rsidP="001F570F">
            <w:pPr>
              <w:pStyle w:val="NoSpacing"/>
            </w:pPr>
            <w:r>
              <w:t>IAEG-SDG 3rd meeting: Lack of sufficient data coverage (classified as Tier II)</w:t>
            </w:r>
          </w:p>
          <w:p w14:paraId="29700669" w14:textId="77777777" w:rsidR="001F570F" w:rsidRDefault="001F570F" w:rsidP="001F570F">
            <w:pPr>
              <w:pStyle w:val="NoSpacing"/>
            </w:pPr>
          </w:p>
          <w:p w14:paraId="7F1C8851" w14:textId="7EFF479E" w:rsidR="003E5AFB" w:rsidRDefault="003E5AFB" w:rsidP="001F570F">
            <w:pPr>
              <w:pStyle w:val="NoSpacing"/>
            </w:pPr>
            <w:r>
              <w:t xml:space="preserve">Repeated </w:t>
            </w:r>
            <w:r w:rsidR="001F570F">
              <w:t>15.c.1</w:t>
            </w:r>
          </w:p>
          <w:p w14:paraId="065B393D" w14:textId="77777777" w:rsidR="003E5AFB" w:rsidRDefault="003E5AFB" w:rsidP="001F570F">
            <w:pPr>
              <w:pStyle w:val="NoSpacing"/>
            </w:pPr>
          </w:p>
          <w:p w14:paraId="49B2C362" w14:textId="226B718F" w:rsidR="001F570F" w:rsidRDefault="001F570F" w:rsidP="001F570F">
            <w:pPr>
              <w:pStyle w:val="NoSpacing"/>
            </w:pPr>
          </w:p>
        </w:tc>
      </w:tr>
      <w:tr w:rsidR="001F570F" w14:paraId="2099F87C" w14:textId="77777777" w:rsidTr="00A64F0D">
        <w:tc>
          <w:tcPr>
            <w:tcW w:w="0" w:type="auto"/>
          </w:tcPr>
          <w:p w14:paraId="60B22A9B" w14:textId="77777777" w:rsidR="001F570F" w:rsidRDefault="001F570F" w:rsidP="001F570F">
            <w:pPr>
              <w:ind w:left="970" w:hanging="970"/>
              <w:jc w:val="both"/>
              <w:rPr>
                <w:color w:val="0070C0"/>
                <w:sz w:val="30"/>
                <w:szCs w:val="30"/>
              </w:rPr>
            </w:pPr>
          </w:p>
        </w:tc>
        <w:tc>
          <w:tcPr>
            <w:tcW w:w="0" w:type="auto"/>
            <w:gridSpan w:val="12"/>
          </w:tcPr>
          <w:p w14:paraId="2E196DE7" w14:textId="77777777" w:rsidR="001F570F" w:rsidRDefault="001F570F" w:rsidP="001F570F">
            <w:pPr>
              <w:jc w:val="both"/>
              <w:rPr>
                <w:color w:val="0070C0"/>
                <w:sz w:val="48"/>
                <w:szCs w:val="48"/>
              </w:rPr>
            </w:pPr>
            <w:r>
              <w:rPr>
                <w:color w:val="0070C0"/>
                <w:sz w:val="30"/>
                <w:szCs w:val="30"/>
              </w:rPr>
              <w:t xml:space="preserve">Target </w:t>
            </w:r>
            <w:r w:rsidRPr="00DD1B91">
              <w:rPr>
                <w:color w:val="0070C0"/>
                <w:sz w:val="30"/>
                <w:szCs w:val="30"/>
              </w:rPr>
              <w:t>15.8 By 2020, introduce measures to prevent the introduction and significantly reduce the impact of invasive alien species on land and water ecosystems and control or eradicate the priority species</w:t>
            </w:r>
          </w:p>
        </w:tc>
      </w:tr>
      <w:tr w:rsidR="001F570F" w14:paraId="22A3CF2D" w14:textId="77777777" w:rsidTr="00A64F0D">
        <w:tc>
          <w:tcPr>
            <w:tcW w:w="0" w:type="auto"/>
          </w:tcPr>
          <w:p w14:paraId="4DDE5E0D" w14:textId="77777777" w:rsidR="001F570F" w:rsidRPr="00BA046C" w:rsidRDefault="001F570F" w:rsidP="001F570F">
            <w:pPr>
              <w:pStyle w:val="NoSpacing"/>
            </w:pPr>
            <w:r w:rsidRPr="00BA046C">
              <w:t>15.8.1 Proportion of countries adopting relevant national legislation and adequately resourcing the prevention or control of invasive alien species</w:t>
            </w:r>
          </w:p>
        </w:tc>
        <w:tc>
          <w:tcPr>
            <w:tcW w:w="0" w:type="auto"/>
          </w:tcPr>
          <w:p w14:paraId="66CAEA9E" w14:textId="77777777" w:rsidR="001F570F" w:rsidRDefault="001F570F" w:rsidP="001F570F">
            <w:pPr>
              <w:pStyle w:val="NoSpacing"/>
            </w:pPr>
            <w:r w:rsidRPr="005066A9">
              <w:t>IUCN</w:t>
            </w:r>
          </w:p>
          <w:p w14:paraId="11979DB2" w14:textId="77777777" w:rsidR="001F570F" w:rsidRDefault="001F570F" w:rsidP="001F570F">
            <w:pPr>
              <w:rPr>
                <w:b/>
                <w:bCs/>
                <w:szCs w:val="20"/>
              </w:rPr>
            </w:pPr>
            <w:r w:rsidRPr="007243FC">
              <w:rPr>
                <w:b/>
                <w:bCs/>
                <w:szCs w:val="20"/>
              </w:rPr>
              <w:t>Partner Agencies:</w:t>
            </w:r>
          </w:p>
          <w:p w14:paraId="00897788" w14:textId="77777777" w:rsidR="001F570F" w:rsidRDefault="001F570F" w:rsidP="001F570F">
            <w:pPr>
              <w:pStyle w:val="NoSpacing"/>
            </w:pPr>
            <w:r>
              <w:t>UNEP</w:t>
            </w:r>
          </w:p>
        </w:tc>
        <w:tc>
          <w:tcPr>
            <w:tcW w:w="0" w:type="auto"/>
          </w:tcPr>
          <w:p w14:paraId="34BB42EC" w14:textId="77777777" w:rsidR="001F570F" w:rsidRDefault="001F570F" w:rsidP="001F570F">
            <w:pPr>
              <w:pStyle w:val="NoSpacing"/>
              <w:rPr>
                <w:cs/>
                <w:lang w:bidi="bn-BD"/>
              </w:rPr>
            </w:pPr>
            <w:r w:rsidRPr="00666BAB">
              <w:t>Tier II</w:t>
            </w:r>
          </w:p>
        </w:tc>
        <w:tc>
          <w:tcPr>
            <w:tcW w:w="0" w:type="auto"/>
          </w:tcPr>
          <w:p w14:paraId="0F031927" w14:textId="77777777" w:rsidR="001F570F" w:rsidRPr="00D40E93" w:rsidRDefault="001F570F" w:rsidP="001F570F">
            <w:pPr>
              <w:pStyle w:val="NoSpacing"/>
              <w:rPr>
                <w:lang w:val="en-GB"/>
              </w:rPr>
            </w:pPr>
            <w:r w:rsidRPr="00D40E93">
              <w:rPr>
                <w:b/>
                <w:bCs/>
                <w:lang w:val="en-GB"/>
              </w:rPr>
              <w:t>Definition:</w:t>
            </w:r>
          </w:p>
          <w:p w14:paraId="04E89BBD" w14:textId="77777777" w:rsidR="001F570F" w:rsidRPr="00D40E93" w:rsidRDefault="001F570F" w:rsidP="001F570F">
            <w:pPr>
              <w:pStyle w:val="NoSpacing"/>
              <w:rPr>
                <w:lang w:val="en-GB"/>
              </w:rPr>
            </w:pPr>
            <w:r w:rsidRPr="00D40E93">
              <w:rPr>
                <w:lang w:val="en-GB"/>
              </w:rPr>
              <w:t xml:space="preserve">This indicator aims to quantify trends in: </w:t>
            </w:r>
          </w:p>
          <w:p w14:paraId="6AAB6415" w14:textId="77777777" w:rsidR="001F570F" w:rsidRPr="00D40E93" w:rsidRDefault="001F570F" w:rsidP="001F570F">
            <w:pPr>
              <w:pStyle w:val="NoSpacing"/>
              <w:rPr>
                <w:lang w:val="en-GB"/>
              </w:rPr>
            </w:pPr>
          </w:p>
          <w:p w14:paraId="4C2B6796" w14:textId="77777777" w:rsidR="001F570F" w:rsidRPr="00D40E93" w:rsidRDefault="001F570F" w:rsidP="001F570F">
            <w:pPr>
              <w:pStyle w:val="NoSpacing"/>
              <w:rPr>
                <w:lang w:val="en-GB"/>
              </w:rPr>
            </w:pPr>
            <w:r w:rsidRPr="00D40E93">
              <w:rPr>
                <w:lang w:val="en-GB"/>
              </w:rPr>
              <w:t>Part A: Commitment by countries to relevant multinational agreements, specifically:</w:t>
            </w:r>
          </w:p>
          <w:p w14:paraId="3831C181" w14:textId="77777777" w:rsidR="001F570F" w:rsidRPr="00D40E93" w:rsidRDefault="001F570F" w:rsidP="001F570F">
            <w:pPr>
              <w:pStyle w:val="NoSpacing"/>
              <w:rPr>
                <w:lang w:val="en-GB"/>
              </w:rPr>
            </w:pPr>
            <w:r w:rsidRPr="00D40E93">
              <w:rPr>
                <w:lang w:val="en-GB"/>
              </w:rPr>
              <w:t xml:space="preserve">(1) National adoption of invasive alien species-relevant international policy. </w:t>
            </w:r>
          </w:p>
          <w:p w14:paraId="67D94DCC" w14:textId="77777777" w:rsidR="001F570F" w:rsidRPr="00D40E93" w:rsidRDefault="001F570F" w:rsidP="001F570F">
            <w:pPr>
              <w:pStyle w:val="NoSpacing"/>
              <w:rPr>
                <w:lang w:val="en-GB"/>
              </w:rPr>
            </w:pPr>
            <w:r w:rsidRPr="00D40E93">
              <w:rPr>
                <w:lang w:val="en-GB"/>
              </w:rPr>
              <w:t xml:space="preserve">(2) Percentage of countries with </w:t>
            </w:r>
          </w:p>
          <w:p w14:paraId="168A8672" w14:textId="77777777" w:rsidR="001F570F" w:rsidRPr="00D40E93" w:rsidRDefault="001F570F" w:rsidP="001F570F">
            <w:pPr>
              <w:pStyle w:val="NoSpacing"/>
              <w:rPr>
                <w:lang w:val="en-GB"/>
              </w:rPr>
            </w:pPr>
            <w:r w:rsidRPr="00D40E93">
              <w:rPr>
                <w:lang w:val="en-GB"/>
              </w:rPr>
              <w:t xml:space="preserve">(a) national strategies for preventing and controlling invasive alien species; and </w:t>
            </w:r>
          </w:p>
          <w:p w14:paraId="5B547624" w14:textId="77777777" w:rsidR="001F570F" w:rsidRPr="00D40E93" w:rsidRDefault="001F570F" w:rsidP="001F570F">
            <w:pPr>
              <w:pStyle w:val="NoSpacing"/>
              <w:rPr>
                <w:lang w:val="en-GB"/>
              </w:rPr>
            </w:pPr>
            <w:r w:rsidRPr="00D40E93">
              <w:rPr>
                <w:lang w:val="en-GB"/>
              </w:rPr>
              <w:t xml:space="preserve">(b) </w:t>
            </w:r>
            <w:proofErr w:type="gramStart"/>
            <w:r w:rsidRPr="00D40E93">
              <w:rPr>
                <w:lang w:val="en-GB"/>
              </w:rPr>
              <w:t>national</w:t>
            </w:r>
            <w:proofErr w:type="gramEnd"/>
            <w:r w:rsidRPr="00D40E93">
              <w:rPr>
                <w:lang w:val="en-GB"/>
              </w:rPr>
              <w:t xml:space="preserve"> legislation and policy relevant to invasive alien species.</w:t>
            </w:r>
          </w:p>
          <w:p w14:paraId="52451BCB" w14:textId="77777777" w:rsidR="001F570F" w:rsidRPr="00D40E93" w:rsidRDefault="001F570F" w:rsidP="001F570F">
            <w:pPr>
              <w:pStyle w:val="NoSpacing"/>
              <w:rPr>
                <w:lang w:val="en-GB"/>
              </w:rPr>
            </w:pPr>
          </w:p>
          <w:p w14:paraId="404816FC" w14:textId="77777777" w:rsidR="001F570F" w:rsidRPr="00D40E93" w:rsidRDefault="001F570F" w:rsidP="001F570F">
            <w:pPr>
              <w:pStyle w:val="NoSpacing"/>
              <w:rPr>
                <w:lang w:val="en-GB"/>
              </w:rPr>
            </w:pPr>
            <w:r w:rsidRPr="00D40E93">
              <w:rPr>
                <w:lang w:val="en-GB"/>
              </w:rPr>
              <w:t>Part B: The translation of policy arrangements into action by countries to implement policy and actively prevent and control invasive alien species IAS and the resourcing of this action, specifically:</w:t>
            </w:r>
          </w:p>
          <w:p w14:paraId="28A68C07" w14:textId="77777777" w:rsidR="001F570F" w:rsidRPr="00D40E93" w:rsidRDefault="001F570F" w:rsidP="001F570F">
            <w:pPr>
              <w:pStyle w:val="NoSpacing"/>
              <w:rPr>
                <w:lang w:val="en-GB"/>
              </w:rPr>
            </w:pPr>
            <w:r w:rsidRPr="00D40E93">
              <w:rPr>
                <w:lang w:val="en-GB"/>
              </w:rPr>
              <w:t>(3) National allocation of resources towards the prevention or control of invasive alien species.</w:t>
            </w:r>
          </w:p>
          <w:p w14:paraId="1856B127" w14:textId="77777777" w:rsidR="001F570F" w:rsidRPr="00D40E93" w:rsidRDefault="001F570F" w:rsidP="001F570F">
            <w:pPr>
              <w:pStyle w:val="NoSpacing"/>
              <w:rPr>
                <w:lang w:val="en-GB"/>
              </w:rPr>
            </w:pPr>
          </w:p>
          <w:p w14:paraId="50D6D905" w14:textId="77777777" w:rsidR="001F570F" w:rsidRPr="00D40E93" w:rsidRDefault="001F570F" w:rsidP="001F570F">
            <w:pPr>
              <w:pStyle w:val="NoSpacing"/>
              <w:rPr>
                <w:lang w:val="en-GB"/>
              </w:rPr>
            </w:pPr>
            <w:r w:rsidRPr="00D40E93">
              <w:rPr>
                <w:b/>
                <w:bCs/>
                <w:lang w:val="en-GB"/>
              </w:rPr>
              <w:lastRenderedPageBreak/>
              <w:t>Concepts:</w:t>
            </w:r>
          </w:p>
          <w:p w14:paraId="5D5062F7" w14:textId="77777777" w:rsidR="001F570F" w:rsidRPr="00D40E93" w:rsidRDefault="001F570F" w:rsidP="001F570F">
            <w:pPr>
              <w:pStyle w:val="NoSpacing"/>
              <w:rPr>
                <w:lang w:val="en-GB"/>
              </w:rPr>
            </w:pPr>
            <w:r w:rsidRPr="00D40E93">
              <w:rPr>
                <w:lang w:val="en-GB"/>
              </w:rPr>
              <w:t>An “Alien” species is described as one which has been introduced outside its natural distribution range because of intentional or accidental dispersion by human activity. An alien species which has become established in a natural or semi-natural ecosystem or habitat, is an agent of change, and threatens native biological diversity is known as an “Invasive alien species” (Convention on Biological Diversity 2016).</w:t>
            </w:r>
          </w:p>
          <w:p w14:paraId="6FF188E0" w14:textId="77777777" w:rsidR="001F570F" w:rsidRPr="00D40E93" w:rsidRDefault="001F570F" w:rsidP="001F570F">
            <w:pPr>
              <w:pStyle w:val="NoSpacing"/>
              <w:rPr>
                <w:lang w:val="en-GB"/>
              </w:rPr>
            </w:pPr>
          </w:p>
          <w:p w14:paraId="201CEFD7" w14:textId="77777777" w:rsidR="001F570F" w:rsidRPr="00D40E93" w:rsidRDefault="001F570F" w:rsidP="001F570F">
            <w:pPr>
              <w:pStyle w:val="NoSpacing"/>
              <w:rPr>
                <w:lang w:val="en-GB"/>
              </w:rPr>
            </w:pPr>
            <w:r w:rsidRPr="00D40E93">
              <w:rPr>
                <w:lang w:val="en-GB"/>
              </w:rPr>
              <w:t>The introduction of an alien species can be intentional or unintentional /accidental. Alien species have been introduced intentionally for forestry, ornamental purposes, for aquaculture/mariculture, hunting, fisheries etc. Examples of unintentional or accidental introductions include: alien species that have escaped from gardens, aquaculture containment facilities, forestry, horticulture; pets and aquarium species that are released in the wild; transport contaminants and stowaways including in ballast water or as hull fouling organisms, and seeds carried in soil, equipment, vehicles etc.</w:t>
            </w:r>
          </w:p>
          <w:p w14:paraId="1129C554" w14:textId="77777777" w:rsidR="001F570F" w:rsidRPr="00D40E93" w:rsidRDefault="001F570F" w:rsidP="001F570F">
            <w:pPr>
              <w:pStyle w:val="NoSpacing"/>
              <w:rPr>
                <w:lang w:val="en-GB"/>
              </w:rPr>
            </w:pPr>
          </w:p>
          <w:p w14:paraId="0A83E02A" w14:textId="77777777" w:rsidR="001F570F" w:rsidRPr="00D40E93" w:rsidRDefault="001F570F" w:rsidP="001F570F">
            <w:pPr>
              <w:pStyle w:val="NoSpacing"/>
              <w:rPr>
                <w:lang w:val="en-GB"/>
              </w:rPr>
            </w:pPr>
            <w:r w:rsidRPr="00D40E93">
              <w:rPr>
                <w:lang w:val="en-GB"/>
              </w:rPr>
              <w:t>Mechanisms of impact of invasive species include competition, predation, hybridisation, and disease transmission, parasitism, herbivory and trampling and rooting. The outcomes of these impacts lead to biodiversity loss, habitat degradation, and loss of ecosystem services.</w:t>
            </w:r>
          </w:p>
          <w:p w14:paraId="003B6B07" w14:textId="77777777" w:rsidR="001F570F" w:rsidRPr="00D40E93" w:rsidRDefault="001F570F" w:rsidP="001F570F">
            <w:pPr>
              <w:pStyle w:val="NoSpacing"/>
              <w:rPr>
                <w:lang w:val="en-GB"/>
              </w:rPr>
            </w:pPr>
          </w:p>
          <w:p w14:paraId="02858EC3" w14:textId="77777777" w:rsidR="001F570F" w:rsidRPr="00D40E93" w:rsidRDefault="001F570F" w:rsidP="001F570F">
            <w:pPr>
              <w:pStyle w:val="NoSpacing"/>
              <w:rPr>
                <w:lang w:val="en-GB"/>
              </w:rPr>
            </w:pPr>
            <w:r w:rsidRPr="00D40E93">
              <w:rPr>
                <w:b/>
                <w:bCs/>
                <w:lang w:val="en-GB"/>
              </w:rPr>
              <w:t>Comments and limitations:</w:t>
            </w:r>
          </w:p>
          <w:p w14:paraId="58C2908D" w14:textId="77777777" w:rsidR="001F570F" w:rsidRPr="00D40E93" w:rsidRDefault="001F570F" w:rsidP="001F570F">
            <w:pPr>
              <w:pStyle w:val="NoSpacing"/>
              <w:rPr>
                <w:lang w:val="en-GB"/>
              </w:rPr>
            </w:pPr>
            <w:r w:rsidRPr="00D40E93">
              <w:rPr>
                <w:lang w:val="en-GB"/>
              </w:rPr>
              <w:t>The adoption of legislation does not necessarily indicate the existence of regulations or policy to implement the legislation or how successful such implementation has been on the ground. There remains a need for further indicator development to make this link clearer. Legislation does not necessarily capture all efforts against invasive alien species that are happening at the national level.</w:t>
            </w:r>
          </w:p>
          <w:p w14:paraId="3B3064E7" w14:textId="77777777" w:rsidR="001F570F" w:rsidRPr="00D40E93" w:rsidRDefault="001F570F" w:rsidP="001F570F">
            <w:pPr>
              <w:pStyle w:val="NoSpacing"/>
              <w:rPr>
                <w:lang w:val="en-GB"/>
              </w:rPr>
            </w:pPr>
          </w:p>
          <w:p w14:paraId="4A9BB6DA" w14:textId="77777777" w:rsidR="001F570F" w:rsidRPr="00D40E93" w:rsidRDefault="001F570F" w:rsidP="001F570F">
            <w:pPr>
              <w:pStyle w:val="NoSpacing"/>
              <w:rPr>
                <w:lang w:val="en-GB"/>
              </w:rPr>
            </w:pPr>
            <w:r w:rsidRPr="00D40E93">
              <w:rPr>
                <w:lang w:val="en-GB"/>
              </w:rPr>
              <w:t>Allocation of resources to facilitate the implementation of IAS management action is difficult to measure, particularly in a way that is comparable across countries. Proxies used to measure allocation of resources included- allocation of a budget line to invasive species management activities (including prevention, rapid response and active management); appointed staff to carry out any IAS related activities; active programmes/ projects etc.</w:t>
            </w:r>
          </w:p>
          <w:p w14:paraId="52C2A73B" w14:textId="77777777" w:rsidR="001F570F" w:rsidRDefault="001F570F" w:rsidP="001F570F">
            <w:pPr>
              <w:pStyle w:val="NoSpacing"/>
              <w:rPr>
                <w:b/>
                <w:bCs/>
                <w:lang w:val="en-GB"/>
              </w:rPr>
            </w:pPr>
          </w:p>
          <w:p w14:paraId="10965AB4" w14:textId="77777777" w:rsidR="001F570F" w:rsidRPr="00D40E93" w:rsidRDefault="001F570F" w:rsidP="001F570F">
            <w:pPr>
              <w:pStyle w:val="NoSpacing"/>
              <w:rPr>
                <w:b/>
                <w:bCs/>
                <w:lang w:val="en-GB"/>
              </w:rPr>
            </w:pPr>
          </w:p>
          <w:p w14:paraId="73225DD1" w14:textId="77777777" w:rsidR="001F570F" w:rsidRPr="00D40E93" w:rsidRDefault="001F570F" w:rsidP="001F570F">
            <w:pPr>
              <w:pStyle w:val="NoSpacing"/>
              <w:rPr>
                <w:lang w:val="en-GB"/>
              </w:rPr>
            </w:pPr>
            <w:r w:rsidRPr="00D40E93">
              <w:rPr>
                <w:b/>
                <w:bCs/>
                <w:lang w:val="en-GB"/>
              </w:rPr>
              <w:t>Computation Method:</w:t>
            </w:r>
          </w:p>
          <w:p w14:paraId="0875FE22" w14:textId="77777777" w:rsidR="001F570F" w:rsidRPr="00D40E93" w:rsidRDefault="001F570F" w:rsidP="001F570F">
            <w:pPr>
              <w:pStyle w:val="NoSpacing"/>
              <w:rPr>
                <w:lang w:val="en-NZ"/>
              </w:rPr>
            </w:pPr>
            <w:r w:rsidRPr="00D40E93">
              <w:rPr>
                <w:lang w:val="en-NZ"/>
              </w:rPr>
              <w:t>This indicator is calculated from data derived from four annually updated datasets.</w:t>
            </w:r>
          </w:p>
          <w:p w14:paraId="31A324B6" w14:textId="77777777" w:rsidR="001F570F" w:rsidRPr="00D40E93" w:rsidRDefault="001F570F" w:rsidP="001F570F">
            <w:pPr>
              <w:pStyle w:val="NoSpacing"/>
              <w:rPr>
                <w:lang w:val="en-NZ"/>
              </w:rPr>
            </w:pPr>
          </w:p>
          <w:p w14:paraId="5AC42319" w14:textId="77777777" w:rsidR="001F570F" w:rsidRPr="00D40E93" w:rsidRDefault="001F570F" w:rsidP="001F570F">
            <w:pPr>
              <w:pStyle w:val="NoSpacing"/>
              <w:rPr>
                <w:lang w:val="en-NZ"/>
              </w:rPr>
            </w:pPr>
            <w:r w:rsidRPr="00D40E93">
              <w:rPr>
                <w:lang w:val="en-NZ"/>
              </w:rPr>
              <w:t xml:space="preserve">Part A (1) Countries’ commitments to global conventions/ international agreements relevant to invasive alien species. </w:t>
            </w:r>
          </w:p>
          <w:p w14:paraId="31834CC6" w14:textId="77777777" w:rsidR="001F570F" w:rsidRPr="00D40E93" w:rsidRDefault="001F570F" w:rsidP="001F570F">
            <w:pPr>
              <w:pStyle w:val="NoSpacing"/>
              <w:rPr>
                <w:lang w:val="en-NZ"/>
              </w:rPr>
            </w:pPr>
          </w:p>
          <w:p w14:paraId="152527D7" w14:textId="77777777" w:rsidR="001F570F" w:rsidRPr="00D40E93" w:rsidRDefault="001F570F" w:rsidP="001F570F">
            <w:pPr>
              <w:pStyle w:val="NoSpacing"/>
              <w:rPr>
                <w:lang w:val="en-NZ"/>
              </w:rPr>
            </w:pPr>
            <w:r w:rsidRPr="00D40E93">
              <w:rPr>
                <w:lang w:val="en-NZ"/>
              </w:rPr>
              <w:t>Ten Multinational Environmental Agreements (MEAs) were used to quantify the trend of countries commitment to global conventions that were relevant to invasive alien species issues. The year of Accession and Ratification were noted. The ten MEAs are:</w:t>
            </w:r>
          </w:p>
          <w:p w14:paraId="4D7629C3" w14:textId="77777777" w:rsidR="001F570F" w:rsidRPr="00D40E93" w:rsidRDefault="001F570F" w:rsidP="001F570F">
            <w:pPr>
              <w:pStyle w:val="NoSpacing"/>
              <w:numPr>
                <w:ilvl w:val="0"/>
                <w:numId w:val="83"/>
              </w:numPr>
            </w:pPr>
            <w:r w:rsidRPr="00D40E93">
              <w:rPr>
                <w:lang w:val="en-GB"/>
              </w:rPr>
              <w:t>Convention on Biological Diversity (CBD)</w:t>
            </w:r>
          </w:p>
          <w:p w14:paraId="492D02B1" w14:textId="77777777" w:rsidR="001F570F" w:rsidRPr="00D40E93" w:rsidRDefault="001F570F" w:rsidP="001F570F">
            <w:pPr>
              <w:pStyle w:val="NoSpacing"/>
              <w:numPr>
                <w:ilvl w:val="0"/>
                <w:numId w:val="83"/>
              </w:numPr>
              <w:rPr>
                <w:lang w:val="en-GB"/>
              </w:rPr>
            </w:pPr>
            <w:r w:rsidRPr="00D40E93">
              <w:rPr>
                <w:lang w:val="en-GB"/>
              </w:rPr>
              <w:t>OIE- World Organization for Animal Health</w:t>
            </w:r>
          </w:p>
          <w:p w14:paraId="5ECD2CDF" w14:textId="77777777" w:rsidR="001F570F" w:rsidRPr="00D40E93" w:rsidRDefault="001F570F" w:rsidP="001F570F">
            <w:pPr>
              <w:pStyle w:val="NoSpacing"/>
              <w:numPr>
                <w:ilvl w:val="0"/>
                <w:numId w:val="83"/>
              </w:numPr>
              <w:rPr>
                <w:lang w:val="en-GB"/>
              </w:rPr>
            </w:pPr>
            <w:r w:rsidRPr="00D40E93">
              <w:rPr>
                <w:lang w:val="en-GB"/>
              </w:rPr>
              <w:t>The </w:t>
            </w:r>
            <w:r w:rsidRPr="00D40E93">
              <w:rPr>
                <w:bCs/>
                <w:i/>
                <w:iCs/>
                <w:lang w:val="en-GB"/>
              </w:rPr>
              <w:t>Convention on International Trade in Endangered Species</w:t>
            </w:r>
            <w:r w:rsidRPr="00D40E93">
              <w:rPr>
                <w:lang w:val="en-GB"/>
              </w:rPr>
              <w:t> of Wild Fauna and Flora (</w:t>
            </w:r>
            <w:r w:rsidRPr="00D40E93">
              <w:rPr>
                <w:bCs/>
                <w:i/>
                <w:iCs/>
                <w:lang w:val="en-GB"/>
              </w:rPr>
              <w:t>CITES</w:t>
            </w:r>
            <w:r w:rsidRPr="00D40E93">
              <w:rPr>
                <w:lang w:val="en-GB"/>
              </w:rPr>
              <w:t>) </w:t>
            </w:r>
          </w:p>
          <w:p w14:paraId="003F486C" w14:textId="77777777" w:rsidR="001F570F" w:rsidRPr="00D40E93" w:rsidRDefault="001F570F" w:rsidP="001F570F">
            <w:pPr>
              <w:pStyle w:val="NoSpacing"/>
              <w:numPr>
                <w:ilvl w:val="0"/>
                <w:numId w:val="83"/>
              </w:numPr>
              <w:rPr>
                <w:lang w:val="en-GB"/>
              </w:rPr>
            </w:pPr>
            <w:r w:rsidRPr="00D40E93">
              <w:rPr>
                <w:lang w:val="en-GB"/>
              </w:rPr>
              <w:t>International Plant Protection Convention (</w:t>
            </w:r>
            <w:r w:rsidRPr="00D40E93">
              <w:rPr>
                <w:bCs/>
                <w:i/>
                <w:iCs/>
                <w:lang w:val="en-GB"/>
              </w:rPr>
              <w:t>IPPC</w:t>
            </w:r>
            <w:r w:rsidRPr="00D40E93">
              <w:rPr>
                <w:lang w:val="en-GB"/>
              </w:rPr>
              <w:t>)</w:t>
            </w:r>
          </w:p>
          <w:p w14:paraId="16CA0FCF" w14:textId="77777777" w:rsidR="001F570F" w:rsidRPr="00D40E93" w:rsidRDefault="001F570F" w:rsidP="001F570F">
            <w:pPr>
              <w:pStyle w:val="NoSpacing"/>
              <w:numPr>
                <w:ilvl w:val="0"/>
                <w:numId w:val="83"/>
              </w:numPr>
              <w:rPr>
                <w:lang w:val="en-GB"/>
              </w:rPr>
            </w:pPr>
            <w:r w:rsidRPr="00D40E93">
              <w:rPr>
                <w:lang w:val="en-GB"/>
              </w:rPr>
              <w:t>The </w:t>
            </w:r>
            <w:r w:rsidRPr="00D40E93">
              <w:rPr>
                <w:bCs/>
                <w:i/>
                <w:iCs/>
                <w:lang w:val="en-GB"/>
              </w:rPr>
              <w:t>Ramsar</w:t>
            </w:r>
            <w:r w:rsidRPr="00D40E93">
              <w:rPr>
                <w:lang w:val="en-GB"/>
              </w:rPr>
              <w:t> Convention on Wetlands of International Importance</w:t>
            </w:r>
          </w:p>
          <w:p w14:paraId="60CD30FF" w14:textId="77777777" w:rsidR="001F570F" w:rsidRPr="00D40E93" w:rsidRDefault="001F570F" w:rsidP="001F570F">
            <w:pPr>
              <w:pStyle w:val="NoSpacing"/>
              <w:numPr>
                <w:ilvl w:val="0"/>
                <w:numId w:val="83"/>
              </w:numPr>
              <w:rPr>
                <w:lang w:val="en-GB"/>
              </w:rPr>
            </w:pPr>
            <w:r w:rsidRPr="00D40E93">
              <w:rPr>
                <w:lang w:val="en-GB"/>
              </w:rPr>
              <w:t>The Convention on Migratory </w:t>
            </w:r>
            <w:r w:rsidRPr="00D40E93">
              <w:rPr>
                <w:bCs/>
                <w:i/>
                <w:iCs/>
                <w:lang w:val="en-GB"/>
              </w:rPr>
              <w:t>Species of Wild Animals</w:t>
            </w:r>
          </w:p>
          <w:p w14:paraId="3ADD82B5" w14:textId="77777777" w:rsidR="001F570F" w:rsidRPr="00D40E93" w:rsidRDefault="001F570F" w:rsidP="001F570F">
            <w:pPr>
              <w:pStyle w:val="NoSpacing"/>
              <w:numPr>
                <w:ilvl w:val="0"/>
                <w:numId w:val="83"/>
              </w:numPr>
              <w:rPr>
                <w:lang w:val="en-GB"/>
              </w:rPr>
            </w:pPr>
            <w:r w:rsidRPr="00D40E93">
              <w:rPr>
                <w:lang w:val="en-GB"/>
              </w:rPr>
              <w:t>The </w:t>
            </w:r>
            <w:r w:rsidRPr="00D40E93">
              <w:rPr>
                <w:bCs/>
                <w:i/>
                <w:iCs/>
                <w:lang w:val="en-GB"/>
              </w:rPr>
              <w:t>Cartagena Protocol</w:t>
            </w:r>
            <w:r w:rsidRPr="00D40E93">
              <w:rPr>
                <w:lang w:val="en-GB"/>
              </w:rPr>
              <w:t> on Biosafety</w:t>
            </w:r>
          </w:p>
          <w:p w14:paraId="5EEC1E29" w14:textId="77777777" w:rsidR="001F570F" w:rsidRPr="00D40E93" w:rsidRDefault="001F570F" w:rsidP="001F570F">
            <w:pPr>
              <w:pStyle w:val="NoSpacing"/>
              <w:numPr>
                <w:ilvl w:val="0"/>
                <w:numId w:val="83"/>
              </w:numPr>
              <w:rPr>
                <w:lang w:val="en-GB"/>
              </w:rPr>
            </w:pPr>
            <w:r w:rsidRPr="00D40E93">
              <w:rPr>
                <w:lang w:val="en-GB"/>
              </w:rPr>
              <w:t>The International Convention for the Control and Management of Ships' Ballast Water and Sediments (BWM) </w:t>
            </w:r>
          </w:p>
          <w:p w14:paraId="234E04E1" w14:textId="77777777" w:rsidR="001F570F" w:rsidRPr="00D40E93" w:rsidRDefault="001F570F" w:rsidP="001F570F">
            <w:pPr>
              <w:pStyle w:val="NoSpacing"/>
              <w:numPr>
                <w:ilvl w:val="0"/>
                <w:numId w:val="83"/>
              </w:numPr>
              <w:rPr>
                <w:lang w:val="en-GB"/>
              </w:rPr>
            </w:pPr>
            <w:r w:rsidRPr="00D40E93">
              <w:rPr>
                <w:lang w:val="en-GB"/>
              </w:rPr>
              <w:t>WTO Sanitary and Phytosanitary or </w:t>
            </w:r>
            <w:r w:rsidRPr="00D40E93">
              <w:rPr>
                <w:bCs/>
                <w:i/>
                <w:iCs/>
                <w:lang w:val="en-GB"/>
              </w:rPr>
              <w:t>SPS</w:t>
            </w:r>
            <w:r w:rsidRPr="00D40E93">
              <w:rPr>
                <w:lang w:val="en-GB"/>
              </w:rPr>
              <w:t> measure</w:t>
            </w:r>
          </w:p>
          <w:p w14:paraId="031DFA7E" w14:textId="77777777" w:rsidR="001F570F" w:rsidRPr="00D40E93" w:rsidRDefault="001F570F" w:rsidP="001F570F">
            <w:pPr>
              <w:pStyle w:val="NoSpacing"/>
              <w:numPr>
                <w:ilvl w:val="0"/>
                <w:numId w:val="83"/>
              </w:numPr>
              <w:rPr>
                <w:lang w:val="en-GB"/>
              </w:rPr>
            </w:pPr>
            <w:r w:rsidRPr="00D40E93">
              <w:rPr>
                <w:lang w:val="en-GB"/>
              </w:rPr>
              <w:t>World Heritage Convention (WHC)</w:t>
            </w:r>
          </w:p>
          <w:p w14:paraId="301F6394" w14:textId="77777777" w:rsidR="001F570F" w:rsidRPr="00D40E93" w:rsidRDefault="001F570F" w:rsidP="001F570F">
            <w:pPr>
              <w:pStyle w:val="NoSpacing"/>
              <w:rPr>
                <w:lang w:val="en-GB"/>
              </w:rPr>
            </w:pPr>
          </w:p>
          <w:p w14:paraId="3F3BFA43" w14:textId="77777777" w:rsidR="001F570F" w:rsidRPr="00D40E93" w:rsidRDefault="001F570F" w:rsidP="001F570F">
            <w:pPr>
              <w:pStyle w:val="NoSpacing"/>
              <w:rPr>
                <w:lang w:val="en-NZ"/>
              </w:rPr>
            </w:pPr>
            <w:r w:rsidRPr="00D40E93">
              <w:rPr>
                <w:lang w:val="en-NZ"/>
              </w:rPr>
              <w:t>Part A (2</w:t>
            </w:r>
            <w:proofErr w:type="gramStart"/>
            <w:r w:rsidRPr="00D40E93">
              <w:rPr>
                <w:lang w:val="en-NZ"/>
              </w:rPr>
              <w:t>)(</w:t>
            </w:r>
            <w:proofErr w:type="gramEnd"/>
            <w:r w:rsidRPr="00D40E93">
              <w:rPr>
                <w:lang w:val="en-NZ"/>
              </w:rPr>
              <w:t xml:space="preserve">a) National Legislation considered relevant to the prevention of introduction of invasive alien species and control. </w:t>
            </w:r>
          </w:p>
          <w:p w14:paraId="7AFCB07B" w14:textId="77777777" w:rsidR="001F570F" w:rsidRPr="00D40E93" w:rsidRDefault="001F570F" w:rsidP="001F570F">
            <w:pPr>
              <w:pStyle w:val="NoSpacing"/>
              <w:rPr>
                <w:lang w:val="en-NZ"/>
              </w:rPr>
            </w:pPr>
          </w:p>
          <w:p w14:paraId="4B0B5E36" w14:textId="77777777" w:rsidR="001F570F" w:rsidRPr="00D40E93" w:rsidRDefault="001F570F" w:rsidP="001F570F">
            <w:pPr>
              <w:pStyle w:val="NoSpacing"/>
              <w:rPr>
                <w:lang w:val="en-NZ"/>
              </w:rPr>
            </w:pPr>
            <w:r w:rsidRPr="00D40E93">
              <w:rPr>
                <w:lang w:val="en-NZ"/>
              </w:rPr>
              <w:t>Any National Legislation, Act or regulation that had any relevance to alien and invasive alien species was recorded including annotations of relevant text of the Legislation, key words, and date of enactment. 196 countries were included. Legislation was considered relevant if it applied to alien and invasive alien species rather than solely on weeds, pests and diseases of agriculture. If more than one relevant piece of Legislation was enacted the date of the most recent one was recorded.</w:t>
            </w:r>
          </w:p>
          <w:p w14:paraId="0E2A1D74" w14:textId="77777777" w:rsidR="001F570F" w:rsidRPr="00D40E93" w:rsidRDefault="001F570F" w:rsidP="001F570F">
            <w:pPr>
              <w:pStyle w:val="NoSpacing"/>
              <w:rPr>
                <w:lang w:val="en-NZ"/>
              </w:rPr>
            </w:pPr>
          </w:p>
          <w:p w14:paraId="00B8AAD5" w14:textId="77777777" w:rsidR="001F570F" w:rsidRPr="00D40E93" w:rsidRDefault="001F570F" w:rsidP="001F570F">
            <w:pPr>
              <w:pStyle w:val="NoSpacing"/>
              <w:rPr>
                <w:lang w:val="en-NZ"/>
              </w:rPr>
            </w:pPr>
            <w:r w:rsidRPr="00D40E93">
              <w:rPr>
                <w:lang w:val="en-NZ"/>
              </w:rPr>
              <w:t>Part A (2)(b) National Biodiversity Strategy and Action Plan (NBSAP) targets alignment to Aichi Biodiversity target 9 set out in the Strategic Plan for Biodiversity 2011-2020.</w:t>
            </w:r>
          </w:p>
          <w:p w14:paraId="477E6FFD" w14:textId="77777777" w:rsidR="001F570F" w:rsidRPr="00D40E93" w:rsidRDefault="001F570F" w:rsidP="001F570F">
            <w:pPr>
              <w:pStyle w:val="NoSpacing"/>
              <w:rPr>
                <w:lang w:val="en-NZ"/>
              </w:rPr>
            </w:pPr>
          </w:p>
          <w:p w14:paraId="589B291B" w14:textId="77777777" w:rsidR="001F570F" w:rsidRPr="00D40E93" w:rsidRDefault="001F570F" w:rsidP="001F570F">
            <w:pPr>
              <w:pStyle w:val="NoSpacing"/>
              <w:rPr>
                <w:lang w:val="en-NZ"/>
              </w:rPr>
            </w:pPr>
            <w:r w:rsidRPr="00D40E93">
              <w:rPr>
                <w:lang w:val="en-NZ"/>
              </w:rPr>
              <w:t xml:space="preserve">Aichi Biodiversity Target 9 is focused on invasive alien species, it states that “By 2020, invasive alien species and pathways are identified and prioritized, priority species are controlled or eradicated, and measures are in place to manage pathways to prevent their introduction and establishment”. The Aichi Targets are timebound and measurable. The CBD encourages all its member states to revise their NBSAPS and integrate the Aichi Targets into their strategies. The NBSAP of all CBD member were studied and numbers of countries that had integrated the Aichi Biodiversity Target 9 into their NBSAP targets was noted </w:t>
            </w:r>
          </w:p>
          <w:p w14:paraId="5384E133" w14:textId="77777777" w:rsidR="001F570F" w:rsidRPr="00D40E93" w:rsidRDefault="001F570F" w:rsidP="001F570F">
            <w:pPr>
              <w:pStyle w:val="NoSpacing"/>
              <w:rPr>
                <w:lang w:val="en-NZ"/>
              </w:rPr>
            </w:pPr>
          </w:p>
          <w:p w14:paraId="2BC04D0D" w14:textId="77777777" w:rsidR="001F570F" w:rsidRPr="00D40E93" w:rsidRDefault="001F570F" w:rsidP="001F570F">
            <w:pPr>
              <w:pStyle w:val="NoSpacing"/>
              <w:rPr>
                <w:lang w:val="en-NZ"/>
              </w:rPr>
            </w:pPr>
            <w:r w:rsidRPr="00D40E93">
              <w:rPr>
                <w:lang w:val="en-NZ"/>
              </w:rPr>
              <w:t>Part B (3) Results of online survey on Policy responses, mandate, legal authority and resourcing to manage the threat of invasive alien species.</w:t>
            </w:r>
          </w:p>
          <w:p w14:paraId="0B58B84E" w14:textId="77777777" w:rsidR="001F570F" w:rsidRPr="00D40E93" w:rsidRDefault="001F570F" w:rsidP="001F570F">
            <w:pPr>
              <w:pStyle w:val="NoSpacing"/>
              <w:rPr>
                <w:lang w:val="en-NZ"/>
              </w:rPr>
            </w:pPr>
          </w:p>
          <w:p w14:paraId="65A32DDF" w14:textId="77777777" w:rsidR="001F570F" w:rsidRPr="00D40E93" w:rsidRDefault="001F570F" w:rsidP="001F570F">
            <w:pPr>
              <w:pStyle w:val="NoSpacing"/>
              <w:rPr>
                <w:lang w:val="en-NZ"/>
              </w:rPr>
            </w:pPr>
            <w:r w:rsidRPr="00D40E93">
              <w:rPr>
                <w:lang w:val="en-NZ"/>
              </w:rPr>
              <w:t xml:space="preserve">An online survey was developed and submitted to all CBD nodes and focal points to obtain an insight into the allocation of resources to the management of invasive alien species. Experts from 79 of the 196 countries completed the survey. Considering the difficulty in obtaining information on the level of national investment on invasive alien species issues, proxy indicators were used to measure the allocation of resources by individual countries, such as “does the country have a dedicated and staffed program for invasive alien species management”, “has the country applied for and obtained any funding from global funding mechanisms such as the GEF for projects related to alien and invasive alien species”, etc. </w:t>
            </w:r>
          </w:p>
          <w:p w14:paraId="4023C44A" w14:textId="77777777" w:rsidR="001F570F" w:rsidRPr="00D40E93" w:rsidRDefault="001F570F" w:rsidP="001F570F">
            <w:pPr>
              <w:pStyle w:val="NoSpacing"/>
              <w:rPr>
                <w:lang w:val="en-NZ"/>
              </w:rPr>
            </w:pPr>
          </w:p>
          <w:p w14:paraId="372E2386" w14:textId="77777777" w:rsidR="001F570F" w:rsidRPr="00D40E93" w:rsidRDefault="001F570F" w:rsidP="001F570F">
            <w:pPr>
              <w:pStyle w:val="NoSpacing"/>
              <w:rPr>
                <w:lang w:val="en-NZ"/>
              </w:rPr>
            </w:pPr>
            <w:r w:rsidRPr="00D40E93">
              <w:rPr>
                <w:lang w:val="en-NZ"/>
              </w:rPr>
              <w:t>Part A and Part B Indicators were calculated as follows:</w:t>
            </w:r>
          </w:p>
          <w:p w14:paraId="0015A0F4" w14:textId="77777777" w:rsidR="001F570F" w:rsidRPr="00D40E93" w:rsidRDefault="001F570F" w:rsidP="001F570F">
            <w:pPr>
              <w:pStyle w:val="NoSpacing"/>
              <w:rPr>
                <w:lang w:val="en-NZ"/>
              </w:rPr>
            </w:pPr>
          </w:p>
          <w:p w14:paraId="58CC58E0" w14:textId="77777777" w:rsidR="001F570F" w:rsidRPr="00D40E93" w:rsidRDefault="001F570F" w:rsidP="001F570F">
            <w:pPr>
              <w:pStyle w:val="NoSpacing"/>
              <w:rPr>
                <w:lang w:val="en-NZ"/>
              </w:rPr>
            </w:pPr>
            <w:r w:rsidRPr="00D40E93">
              <w:rPr>
                <w:lang w:val="en-NZ"/>
              </w:rPr>
              <w:t xml:space="preserve">Part </w:t>
            </w:r>
            <w:proofErr w:type="gramStart"/>
            <w:r w:rsidRPr="00D40E93">
              <w:rPr>
                <w:lang w:val="en-NZ"/>
              </w:rPr>
              <w:t>A</w:t>
            </w:r>
            <w:proofErr w:type="gramEnd"/>
            <w:r w:rsidRPr="00D40E93">
              <w:rPr>
                <w:lang w:val="en-NZ"/>
              </w:rPr>
              <w:t xml:space="preserve"> Indicator: </w:t>
            </w:r>
            <w:bookmarkStart w:id="22" w:name="_Hlk483927353"/>
            <w:r w:rsidRPr="00D40E93">
              <w:rPr>
                <w:lang w:val="en-NZ"/>
              </w:rPr>
              <w:t>Commitment by countries to relevant multinational agreements, and National strategies for preventing and controlling invasive alien species</w:t>
            </w:r>
            <w:bookmarkEnd w:id="22"/>
            <w:r w:rsidRPr="00D40E93">
              <w:rPr>
                <w:lang w:val="en-NZ"/>
              </w:rPr>
              <w:t xml:space="preserve">, underpinned by national policy and legislation for effective management of biological invasions. </w:t>
            </w:r>
          </w:p>
          <w:p w14:paraId="327A77F9" w14:textId="77777777" w:rsidR="001F570F" w:rsidRPr="00D40E93" w:rsidRDefault="001F570F" w:rsidP="001F570F">
            <w:pPr>
              <w:pStyle w:val="NoSpacing"/>
              <w:rPr>
                <w:lang w:val="en-NZ"/>
              </w:rPr>
            </w:pPr>
          </w:p>
          <w:p w14:paraId="1F595078" w14:textId="77777777" w:rsidR="001F570F" w:rsidRPr="00D40E93" w:rsidRDefault="001F570F" w:rsidP="001F570F">
            <w:pPr>
              <w:pStyle w:val="NoSpacing"/>
              <w:rPr>
                <w:lang w:val="en-NZ"/>
              </w:rPr>
            </w:pPr>
            <w:r w:rsidRPr="00D40E93">
              <w:rPr>
                <w:lang w:val="en-NZ"/>
              </w:rPr>
              <w:t>The components of this sub-indicator are calculated as, (1) the number of countries demonstrating adoption of invasive alien species-relevant international policy divided by the total number of countries (196 to date) for which data are available; (2) the number of countries with (a) national legislation and policy relevant to Invasive alien species concerns; and (b) national strategies for preventing and controlling invasive alien species, each divided by the total number of countries (196 to date) for which data are available. The first data point for components (1) and (2</w:t>
            </w:r>
            <w:proofErr w:type="gramStart"/>
            <w:r w:rsidRPr="00D40E93">
              <w:rPr>
                <w:lang w:val="en-NZ"/>
              </w:rPr>
              <w:t>)(</w:t>
            </w:r>
            <w:proofErr w:type="gramEnd"/>
            <w:r w:rsidRPr="00D40E93">
              <w:rPr>
                <w:lang w:val="en-NZ"/>
              </w:rPr>
              <w:t>a) of this sub-indicator is 2010; the first data point for component (2)(b) is 2017.</w:t>
            </w:r>
          </w:p>
          <w:p w14:paraId="4070CA3C" w14:textId="77777777" w:rsidR="001F570F" w:rsidRPr="00D40E93" w:rsidRDefault="001F570F" w:rsidP="001F570F">
            <w:pPr>
              <w:pStyle w:val="NoSpacing"/>
              <w:rPr>
                <w:lang w:val="en-NZ"/>
              </w:rPr>
            </w:pPr>
          </w:p>
          <w:p w14:paraId="420B33F1" w14:textId="77777777" w:rsidR="001F570F" w:rsidRPr="00D40E93" w:rsidRDefault="001F570F" w:rsidP="001F570F">
            <w:pPr>
              <w:pStyle w:val="NoSpacing"/>
              <w:rPr>
                <w:lang w:val="en-NZ"/>
              </w:rPr>
            </w:pPr>
            <w:r w:rsidRPr="00D40E93">
              <w:rPr>
                <w:lang w:val="en-NZ"/>
              </w:rPr>
              <w:t>Part B Indicator: (3) The translation of policy arrangements into action by countries to implement policy and actively prevent and control invasive alien species and the resourcing of this action.</w:t>
            </w:r>
          </w:p>
          <w:p w14:paraId="42D47DB7" w14:textId="77777777" w:rsidR="001F570F" w:rsidRPr="00D40E93" w:rsidRDefault="001F570F" w:rsidP="001F570F">
            <w:pPr>
              <w:pStyle w:val="NoSpacing"/>
              <w:rPr>
                <w:lang w:val="en-NZ"/>
              </w:rPr>
            </w:pPr>
          </w:p>
          <w:p w14:paraId="6CE7B529" w14:textId="77777777" w:rsidR="001F570F" w:rsidRPr="00D40E93" w:rsidRDefault="001F570F" w:rsidP="001F570F">
            <w:pPr>
              <w:pStyle w:val="NoSpacing"/>
              <w:rPr>
                <w:lang w:val="en-NZ"/>
              </w:rPr>
            </w:pPr>
            <w:r w:rsidRPr="00D40E93">
              <w:rPr>
                <w:lang w:val="en-NZ"/>
              </w:rPr>
              <w:t>This sub-indicator is calculated as the number of national respondents to the annual survey on invasive alien species response financing reporting availability of sufficient resources, divided by the total number of countries (79 to date) for which data are available. The first data point for this sub-indicator is 2017.</w:t>
            </w:r>
          </w:p>
          <w:p w14:paraId="101DE460" w14:textId="77777777" w:rsidR="001F570F" w:rsidRDefault="001F570F" w:rsidP="001F570F">
            <w:pPr>
              <w:pStyle w:val="NoSpacing"/>
            </w:pPr>
          </w:p>
        </w:tc>
        <w:tc>
          <w:tcPr>
            <w:tcW w:w="0" w:type="auto"/>
          </w:tcPr>
          <w:p w14:paraId="65CF01BA" w14:textId="77777777" w:rsidR="001F570F" w:rsidRPr="008A06A9" w:rsidRDefault="001F570F" w:rsidP="001F570F">
            <w:pPr>
              <w:pStyle w:val="NoSpacing"/>
            </w:pPr>
            <w:r w:rsidRPr="000061B3">
              <w:rPr>
                <w:lang w:eastAsia="en-GB"/>
              </w:rPr>
              <w:lastRenderedPageBreak/>
              <w:t>survey of relevant national agencies</w:t>
            </w:r>
          </w:p>
        </w:tc>
        <w:tc>
          <w:tcPr>
            <w:tcW w:w="0" w:type="auto"/>
          </w:tcPr>
          <w:p w14:paraId="51822804" w14:textId="77777777" w:rsidR="001F570F" w:rsidRPr="008A06A9" w:rsidRDefault="001F570F" w:rsidP="001F570F">
            <w:pPr>
              <w:pStyle w:val="NoSpacing"/>
            </w:pPr>
            <w:r>
              <w:rPr>
                <w:lang w:eastAsia="en-GB"/>
              </w:rPr>
              <w:t>N</w:t>
            </w:r>
            <w:r w:rsidRPr="000061B3">
              <w:rPr>
                <w:lang w:eastAsia="en-GB"/>
              </w:rPr>
              <w:t>ational Ministries of Environment or similar agencies.</w:t>
            </w:r>
          </w:p>
        </w:tc>
        <w:tc>
          <w:tcPr>
            <w:tcW w:w="0" w:type="auto"/>
          </w:tcPr>
          <w:p w14:paraId="7AD2534C" w14:textId="334DEDF0" w:rsidR="001F570F" w:rsidRPr="007B19A9" w:rsidRDefault="001F570F" w:rsidP="001F570F">
            <w:pPr>
              <w:pStyle w:val="NoSpacing"/>
            </w:pPr>
          </w:p>
        </w:tc>
        <w:tc>
          <w:tcPr>
            <w:tcW w:w="0" w:type="auto"/>
          </w:tcPr>
          <w:p w14:paraId="71D28D22" w14:textId="77777777" w:rsidR="001F570F" w:rsidRPr="007B19A9" w:rsidRDefault="001F570F" w:rsidP="001F570F">
            <w:pPr>
              <w:pStyle w:val="NoSpacing"/>
            </w:pPr>
            <w:r w:rsidRPr="007B19A9">
              <w:t>MoEFCC</w:t>
            </w:r>
          </w:p>
          <w:p w14:paraId="357D3B60" w14:textId="77777777" w:rsidR="001F570F" w:rsidRPr="007B19A9" w:rsidRDefault="001F570F" w:rsidP="001F570F">
            <w:pPr>
              <w:pStyle w:val="NoSpacing"/>
            </w:pPr>
          </w:p>
          <w:p w14:paraId="205BAC9E" w14:textId="77777777" w:rsidR="001F570F" w:rsidRPr="007B19A9" w:rsidRDefault="001F570F" w:rsidP="001F570F">
            <w:pPr>
              <w:pStyle w:val="NoSpacing"/>
            </w:pPr>
            <w:r w:rsidRPr="007B19A9">
              <w:t>Administrative Data</w:t>
            </w:r>
          </w:p>
        </w:tc>
        <w:tc>
          <w:tcPr>
            <w:tcW w:w="0" w:type="auto"/>
          </w:tcPr>
          <w:p w14:paraId="77F9DB99" w14:textId="77777777" w:rsidR="001F570F" w:rsidRDefault="001F570F" w:rsidP="001F570F">
            <w:pPr>
              <w:ind w:left="970" w:hanging="970"/>
              <w:jc w:val="both"/>
              <w:rPr>
                <w:color w:val="0070C0"/>
                <w:sz w:val="30"/>
                <w:szCs w:val="30"/>
              </w:rPr>
            </w:pPr>
            <w:r>
              <w:t>Not Applicable</w:t>
            </w:r>
          </w:p>
        </w:tc>
        <w:tc>
          <w:tcPr>
            <w:tcW w:w="0" w:type="auto"/>
          </w:tcPr>
          <w:p w14:paraId="476A713F" w14:textId="77777777" w:rsidR="001F570F" w:rsidRDefault="001F570F" w:rsidP="001F570F">
            <w:pPr>
              <w:ind w:left="970" w:hanging="970"/>
              <w:jc w:val="both"/>
              <w:rPr>
                <w:color w:val="0070C0"/>
                <w:sz w:val="30"/>
                <w:szCs w:val="30"/>
              </w:rPr>
            </w:pPr>
            <w:r w:rsidRPr="00BC6F10">
              <w:t>Triennial</w:t>
            </w:r>
          </w:p>
        </w:tc>
        <w:tc>
          <w:tcPr>
            <w:tcW w:w="0" w:type="auto"/>
          </w:tcPr>
          <w:p w14:paraId="598750AE" w14:textId="77777777" w:rsidR="001F570F" w:rsidRDefault="001F570F" w:rsidP="001F570F">
            <w:pPr>
              <w:ind w:left="970" w:hanging="970"/>
              <w:jc w:val="both"/>
              <w:rPr>
                <w:color w:val="0070C0"/>
                <w:sz w:val="30"/>
                <w:szCs w:val="30"/>
              </w:rPr>
            </w:pPr>
            <w:r>
              <w:t>Group 2</w:t>
            </w:r>
          </w:p>
        </w:tc>
        <w:tc>
          <w:tcPr>
            <w:tcW w:w="0" w:type="auto"/>
          </w:tcPr>
          <w:p w14:paraId="3CA08BA2" w14:textId="77777777" w:rsidR="001F570F" w:rsidRDefault="001F570F" w:rsidP="001F570F">
            <w:pPr>
              <w:pStyle w:val="NoSpacing"/>
            </w:pPr>
            <w:r>
              <w:t>1</w:t>
            </w:r>
            <w:r w:rsidRPr="00013ACB">
              <w:rPr>
                <w:vertAlign w:val="superscript"/>
              </w:rPr>
              <w:t>st</w:t>
            </w:r>
            <w:r>
              <w:t xml:space="preserve"> Round:</w:t>
            </w:r>
          </w:p>
          <w:p w14:paraId="76199F76" w14:textId="77777777" w:rsidR="001F570F" w:rsidRDefault="001F570F" w:rsidP="001F570F">
            <w:pPr>
              <w:pStyle w:val="NoSpacing"/>
            </w:pPr>
            <w:r>
              <w:t>June 2020</w:t>
            </w:r>
          </w:p>
          <w:p w14:paraId="50077B5C" w14:textId="77777777" w:rsidR="001F570F" w:rsidRDefault="001F570F" w:rsidP="001F570F">
            <w:pPr>
              <w:pStyle w:val="NoSpacing"/>
            </w:pPr>
          </w:p>
          <w:p w14:paraId="4A145E40" w14:textId="77777777" w:rsidR="001F570F" w:rsidRDefault="001F570F" w:rsidP="001F570F">
            <w:pPr>
              <w:pStyle w:val="NoSpacing"/>
            </w:pPr>
            <w:r>
              <w:t>2</w:t>
            </w:r>
            <w:r w:rsidRPr="00013ACB">
              <w:rPr>
                <w:vertAlign w:val="superscript"/>
              </w:rPr>
              <w:t>nd</w:t>
            </w:r>
            <w:r>
              <w:t xml:space="preserve"> Round:</w:t>
            </w:r>
          </w:p>
          <w:p w14:paraId="0A709153" w14:textId="77777777" w:rsidR="001F570F" w:rsidRDefault="001F570F" w:rsidP="001F570F">
            <w:pPr>
              <w:pStyle w:val="NoSpacing"/>
            </w:pPr>
            <w:r>
              <w:t xml:space="preserve"> June 2023</w:t>
            </w:r>
          </w:p>
          <w:p w14:paraId="1B83C8FD" w14:textId="77777777" w:rsidR="001F570F" w:rsidRDefault="001F570F" w:rsidP="001F570F">
            <w:pPr>
              <w:pStyle w:val="NoSpacing"/>
            </w:pPr>
          </w:p>
          <w:p w14:paraId="29C24F5A" w14:textId="77777777" w:rsidR="001F570F" w:rsidRDefault="001F570F" w:rsidP="001F570F">
            <w:pPr>
              <w:pStyle w:val="NoSpacing"/>
            </w:pPr>
            <w:r>
              <w:t>3</w:t>
            </w:r>
            <w:r w:rsidRPr="00013ACB">
              <w:rPr>
                <w:vertAlign w:val="superscript"/>
              </w:rPr>
              <w:t>rd</w:t>
            </w:r>
            <w:r>
              <w:t xml:space="preserve"> Round: </w:t>
            </w:r>
          </w:p>
          <w:p w14:paraId="1E6B0770" w14:textId="77777777" w:rsidR="001F570F" w:rsidRDefault="001F570F" w:rsidP="001F570F">
            <w:pPr>
              <w:pStyle w:val="NoSpacing"/>
            </w:pPr>
            <w:r>
              <w:t>June 2026</w:t>
            </w:r>
          </w:p>
          <w:p w14:paraId="0B092211" w14:textId="77777777" w:rsidR="001F570F" w:rsidRDefault="001F570F" w:rsidP="001F570F">
            <w:pPr>
              <w:pStyle w:val="NoSpacing"/>
            </w:pPr>
          </w:p>
          <w:p w14:paraId="786C9980" w14:textId="77777777" w:rsidR="001F570F" w:rsidRDefault="001F570F" w:rsidP="001F570F">
            <w:pPr>
              <w:pStyle w:val="NoSpacing"/>
            </w:pPr>
            <w:r>
              <w:t>4</w:t>
            </w:r>
            <w:r w:rsidRPr="00013ACB">
              <w:rPr>
                <w:vertAlign w:val="superscript"/>
              </w:rPr>
              <w:t>th</w:t>
            </w:r>
            <w:r>
              <w:t xml:space="preserve"> Round: </w:t>
            </w:r>
          </w:p>
          <w:p w14:paraId="7949AD98" w14:textId="77777777" w:rsidR="001F570F" w:rsidRDefault="001F570F" w:rsidP="001F570F">
            <w:pPr>
              <w:pStyle w:val="NoSpacing"/>
            </w:pPr>
            <w:r>
              <w:t>June 2029</w:t>
            </w:r>
          </w:p>
          <w:p w14:paraId="1A95A837" w14:textId="77777777" w:rsidR="001F570F" w:rsidRDefault="001F570F" w:rsidP="001F570F">
            <w:pPr>
              <w:pStyle w:val="NoSpacing"/>
            </w:pPr>
          </w:p>
          <w:p w14:paraId="7A631387" w14:textId="77777777" w:rsidR="001F570F" w:rsidRDefault="001F570F" w:rsidP="001F570F">
            <w:pPr>
              <w:pStyle w:val="NoSpacing"/>
            </w:pPr>
            <w:r>
              <w:t>5</w:t>
            </w:r>
            <w:r w:rsidRPr="00013ACB">
              <w:rPr>
                <w:vertAlign w:val="superscript"/>
              </w:rPr>
              <w:t>th</w:t>
            </w:r>
            <w:r>
              <w:t xml:space="preserve"> Round: </w:t>
            </w:r>
          </w:p>
          <w:p w14:paraId="45F1222C" w14:textId="77777777" w:rsidR="001F570F" w:rsidRDefault="001F570F" w:rsidP="001F570F">
            <w:pPr>
              <w:pStyle w:val="NoSpacing"/>
            </w:pPr>
            <w:r>
              <w:t>June 2030</w:t>
            </w:r>
          </w:p>
          <w:p w14:paraId="372F1866" w14:textId="77777777" w:rsidR="001F570F" w:rsidRDefault="001F570F" w:rsidP="001F570F">
            <w:pPr>
              <w:ind w:left="970" w:hanging="970"/>
              <w:jc w:val="both"/>
              <w:rPr>
                <w:color w:val="0070C0"/>
                <w:sz w:val="30"/>
                <w:szCs w:val="30"/>
              </w:rPr>
            </w:pPr>
          </w:p>
        </w:tc>
        <w:tc>
          <w:tcPr>
            <w:tcW w:w="0" w:type="auto"/>
          </w:tcPr>
          <w:p w14:paraId="24C7DE31" w14:textId="77777777" w:rsidR="001F570F" w:rsidRDefault="001F570F" w:rsidP="001F570F">
            <w:pPr>
              <w:pStyle w:val="NoSpacing"/>
            </w:pPr>
            <w:r w:rsidRPr="00B6234F">
              <w:t>Reviewed at 6th IAEG-SDG meeting (classified as Tier II)</w:t>
            </w:r>
          </w:p>
        </w:tc>
      </w:tr>
      <w:tr w:rsidR="001F570F" w14:paraId="7B552AE3" w14:textId="77777777" w:rsidTr="00A64F0D">
        <w:tc>
          <w:tcPr>
            <w:tcW w:w="0" w:type="auto"/>
          </w:tcPr>
          <w:p w14:paraId="014FAEDE" w14:textId="77777777" w:rsidR="001F570F" w:rsidRDefault="001F570F" w:rsidP="001F570F">
            <w:pPr>
              <w:ind w:left="970" w:hanging="970"/>
              <w:jc w:val="both"/>
              <w:rPr>
                <w:color w:val="0070C0"/>
                <w:sz w:val="30"/>
                <w:szCs w:val="30"/>
              </w:rPr>
            </w:pPr>
          </w:p>
        </w:tc>
        <w:tc>
          <w:tcPr>
            <w:tcW w:w="0" w:type="auto"/>
            <w:gridSpan w:val="12"/>
          </w:tcPr>
          <w:p w14:paraId="68F432FE" w14:textId="77777777" w:rsidR="001F570F" w:rsidRDefault="001F570F" w:rsidP="001F570F">
            <w:pPr>
              <w:jc w:val="both"/>
              <w:rPr>
                <w:color w:val="0070C0"/>
                <w:sz w:val="48"/>
                <w:szCs w:val="48"/>
              </w:rPr>
            </w:pPr>
            <w:r>
              <w:rPr>
                <w:color w:val="0070C0"/>
                <w:sz w:val="30"/>
                <w:szCs w:val="30"/>
              </w:rPr>
              <w:t xml:space="preserve">Target </w:t>
            </w:r>
            <w:r w:rsidRPr="00DD1B91">
              <w:rPr>
                <w:color w:val="0070C0"/>
                <w:sz w:val="30"/>
                <w:szCs w:val="30"/>
              </w:rPr>
              <w:t>15.9 By 2020, integrate ecosystem and biodiversity values into national and local planning, development processes, poverty reduction strategies and accounts</w:t>
            </w:r>
          </w:p>
        </w:tc>
      </w:tr>
      <w:tr w:rsidR="001F570F" w14:paraId="2ACF5FCC" w14:textId="77777777" w:rsidTr="00A64F0D">
        <w:tc>
          <w:tcPr>
            <w:tcW w:w="0" w:type="auto"/>
          </w:tcPr>
          <w:p w14:paraId="0D5B525C" w14:textId="77777777" w:rsidR="001F570F" w:rsidRPr="00BA046C" w:rsidRDefault="001F570F" w:rsidP="001F570F">
            <w:pPr>
              <w:pStyle w:val="NoSpacing"/>
            </w:pPr>
            <w:r w:rsidRPr="00BA046C">
              <w:lastRenderedPageBreak/>
              <w:t>15.9.1 (a) Number of countries that have established national targets in accordance with or similar to Aichi Biodiversity Target 2 of the Strategic Plan for Biodiversity 2011–2020 in their national biodiversity strategy and action plans and the progress reported towards these targets; and (b) integration of biodiversity into national accounting and reporting systems, defined as implementation of the System of Environmental-Economic Accounting</w:t>
            </w:r>
          </w:p>
        </w:tc>
        <w:tc>
          <w:tcPr>
            <w:tcW w:w="0" w:type="auto"/>
          </w:tcPr>
          <w:p w14:paraId="03734BB2" w14:textId="77777777" w:rsidR="001F570F" w:rsidRDefault="001F570F" w:rsidP="001F570F">
            <w:pPr>
              <w:ind w:left="970" w:hanging="970"/>
              <w:jc w:val="both"/>
              <w:rPr>
                <w:color w:val="0070C0"/>
                <w:sz w:val="30"/>
                <w:szCs w:val="30"/>
              </w:rPr>
            </w:pPr>
          </w:p>
          <w:p w14:paraId="792BAEF2" w14:textId="77777777" w:rsidR="001F570F" w:rsidRDefault="001F570F" w:rsidP="001F570F">
            <w:pPr>
              <w:pStyle w:val="NoSpacing"/>
            </w:pPr>
            <w:r>
              <w:t>CBD-Secretariat,</w:t>
            </w:r>
          </w:p>
          <w:p w14:paraId="1BE37E77" w14:textId="77777777" w:rsidR="001F570F" w:rsidRDefault="001F570F" w:rsidP="001F570F">
            <w:pPr>
              <w:pStyle w:val="NoSpacing"/>
            </w:pPr>
            <w:r>
              <w:t>UNEP</w:t>
            </w:r>
          </w:p>
        </w:tc>
        <w:tc>
          <w:tcPr>
            <w:tcW w:w="0" w:type="auto"/>
          </w:tcPr>
          <w:p w14:paraId="01775B26" w14:textId="77777777" w:rsidR="001F570F" w:rsidRDefault="001F570F" w:rsidP="001F570F">
            <w:pPr>
              <w:ind w:left="970" w:hanging="970"/>
              <w:jc w:val="both"/>
              <w:rPr>
                <w:color w:val="0070C0"/>
                <w:sz w:val="30"/>
                <w:szCs w:val="30"/>
              </w:rPr>
            </w:pPr>
            <w:r w:rsidRPr="00666BAB">
              <w:t>Tier II</w:t>
            </w:r>
          </w:p>
        </w:tc>
        <w:tc>
          <w:tcPr>
            <w:tcW w:w="0" w:type="auto"/>
          </w:tcPr>
          <w:p w14:paraId="5AF071F5" w14:textId="77777777" w:rsidR="001F570F" w:rsidRPr="008916A7" w:rsidRDefault="001F570F" w:rsidP="001F570F">
            <w:pPr>
              <w:pStyle w:val="NoSpacing"/>
            </w:pPr>
            <w:r w:rsidRPr="008916A7">
              <w:rPr>
                <w:b/>
              </w:rPr>
              <w:t>Definition:</w:t>
            </w:r>
            <w:r w:rsidRPr="008916A7">
              <w:t xml:space="preserve"> </w:t>
            </w:r>
          </w:p>
          <w:p w14:paraId="5550A3D6" w14:textId="77777777" w:rsidR="001F570F" w:rsidRPr="008916A7" w:rsidRDefault="001F570F" w:rsidP="001F570F">
            <w:pPr>
              <w:pStyle w:val="NoSpacing"/>
            </w:pPr>
            <w:r w:rsidRPr="008916A7">
              <w:t xml:space="preserve">This indicator aims to quantify progress towards national targets established in accordance with Aichi Target 2.  </w:t>
            </w:r>
          </w:p>
          <w:p w14:paraId="11AA3A43" w14:textId="77777777" w:rsidR="001F570F" w:rsidRPr="008916A7" w:rsidRDefault="001F570F" w:rsidP="001F570F">
            <w:pPr>
              <w:pStyle w:val="NoSpacing"/>
            </w:pPr>
            <w:r w:rsidRPr="008916A7">
              <w:t xml:space="preserve"> </w:t>
            </w:r>
          </w:p>
          <w:p w14:paraId="4A89D6EF" w14:textId="77777777" w:rsidR="001F570F" w:rsidRPr="008916A7" w:rsidRDefault="001F570F" w:rsidP="001F570F">
            <w:pPr>
              <w:pStyle w:val="NoSpacing"/>
            </w:pPr>
            <w:r w:rsidRPr="008916A7">
              <w:t xml:space="preserve">Aichi Biodiversity Target 2 states </w:t>
            </w:r>
            <w:r w:rsidRPr="008916A7">
              <w:rPr>
                <w:i/>
              </w:rPr>
              <w:t xml:space="preserve">“By 2020, at the latest, biodiversity values have been integrated into national and local development and poverty reduction strategies and planning processes and are being incorporated into national accounting, as appropriate, and reporting systems”. </w:t>
            </w:r>
            <w:r w:rsidRPr="008916A7">
              <w:t xml:space="preserve">As part of Strategic Goal A, Target 2 helps to </w:t>
            </w:r>
            <w:r w:rsidRPr="008916A7">
              <w:rPr>
                <w:i/>
              </w:rPr>
              <w:t>“Address the underlying causes of biodiversity loss by mainstreaming biodiversity across government and society”.</w:t>
            </w:r>
            <w:r w:rsidRPr="008916A7">
              <w:t xml:space="preserve"> </w:t>
            </w:r>
          </w:p>
          <w:p w14:paraId="25076A50" w14:textId="77777777" w:rsidR="001F570F" w:rsidRPr="008916A7" w:rsidRDefault="001F570F" w:rsidP="001F570F">
            <w:pPr>
              <w:pStyle w:val="NoSpacing"/>
            </w:pPr>
            <w:r w:rsidRPr="008916A7">
              <w:t xml:space="preserve"> </w:t>
            </w:r>
          </w:p>
          <w:p w14:paraId="28865096" w14:textId="77777777" w:rsidR="001F570F" w:rsidRPr="008916A7" w:rsidRDefault="001F570F" w:rsidP="001F570F">
            <w:pPr>
              <w:pStyle w:val="NoSpacing"/>
            </w:pPr>
            <w:r w:rsidRPr="008916A7">
              <w:t xml:space="preserve">This indicator is composed of two parts: </w:t>
            </w:r>
          </w:p>
          <w:p w14:paraId="43CE55F2" w14:textId="77777777" w:rsidR="001F570F" w:rsidRPr="008916A7" w:rsidRDefault="001F570F" w:rsidP="001F570F">
            <w:pPr>
              <w:pStyle w:val="NoSpacing"/>
            </w:pPr>
            <w:r w:rsidRPr="008916A7">
              <w:t xml:space="preserve"> </w:t>
            </w:r>
          </w:p>
          <w:p w14:paraId="5DC3FB61" w14:textId="77777777" w:rsidR="001F570F" w:rsidRPr="008916A7" w:rsidRDefault="001F570F" w:rsidP="001F570F">
            <w:pPr>
              <w:pStyle w:val="NoSpacing"/>
              <w:numPr>
                <w:ilvl w:val="0"/>
                <w:numId w:val="84"/>
              </w:numPr>
            </w:pPr>
            <w:r w:rsidRPr="008916A7">
              <w:t xml:space="preserve">Part A: Number of countries that established national targets in accordance with Aichi </w:t>
            </w:r>
          </w:p>
          <w:p w14:paraId="428FA99B" w14:textId="77777777" w:rsidR="001F570F" w:rsidRPr="008916A7" w:rsidRDefault="001F570F" w:rsidP="001F570F">
            <w:pPr>
              <w:pStyle w:val="NoSpacing"/>
            </w:pPr>
            <w:r w:rsidRPr="008916A7">
              <w:t xml:space="preserve">Biodiversity Target 2 of the Strategic Plan for Biodiversity 2011-2020 in their National Biodiversity </w:t>
            </w:r>
          </w:p>
          <w:p w14:paraId="1C6A7255" w14:textId="77777777" w:rsidR="001F570F" w:rsidRPr="008916A7" w:rsidRDefault="001F570F" w:rsidP="001F570F">
            <w:pPr>
              <w:pStyle w:val="NoSpacing"/>
            </w:pPr>
            <w:r w:rsidRPr="008916A7">
              <w:t xml:space="preserve">Strategy and Action Plans (NBSAP) and the progress reported towards these targets </w:t>
            </w:r>
          </w:p>
          <w:p w14:paraId="3AB0E43F" w14:textId="77777777" w:rsidR="001F570F" w:rsidRPr="008916A7" w:rsidRDefault="001F570F" w:rsidP="001F570F">
            <w:pPr>
              <w:pStyle w:val="NoSpacing"/>
              <w:numPr>
                <w:ilvl w:val="0"/>
                <w:numId w:val="84"/>
              </w:numPr>
            </w:pPr>
            <w:r w:rsidRPr="008916A7">
              <w:t xml:space="preserve">Part B: Integration of biodiversity values into national accounting and reporting systems, defined as implementation of the System of Environmental-Economic Accounting (SEEA). </w:t>
            </w:r>
          </w:p>
          <w:p w14:paraId="2F3115A9" w14:textId="77777777" w:rsidR="001F570F" w:rsidRPr="008916A7" w:rsidRDefault="001F570F" w:rsidP="001F570F">
            <w:pPr>
              <w:pStyle w:val="NoSpacing"/>
            </w:pPr>
            <w:r w:rsidRPr="008916A7">
              <w:t xml:space="preserve"> </w:t>
            </w:r>
          </w:p>
          <w:p w14:paraId="0918C6E5" w14:textId="77777777" w:rsidR="001F570F" w:rsidRPr="008916A7" w:rsidRDefault="001F570F" w:rsidP="001F570F">
            <w:pPr>
              <w:pStyle w:val="NoSpacing"/>
            </w:pPr>
            <w:r w:rsidRPr="008916A7">
              <w:rPr>
                <w:b/>
              </w:rPr>
              <w:t>Concepts:</w:t>
            </w:r>
            <w:r w:rsidRPr="008916A7">
              <w:t xml:space="preserve"> </w:t>
            </w:r>
          </w:p>
          <w:p w14:paraId="1692F225" w14:textId="77777777" w:rsidR="001F570F" w:rsidRPr="008916A7" w:rsidRDefault="001F570F" w:rsidP="001F570F">
            <w:pPr>
              <w:pStyle w:val="NoSpacing"/>
            </w:pPr>
            <w:r w:rsidRPr="008916A7">
              <w:t>According to the Convention for Biological Diversity, biological diversity, or biodiversity, means “</w:t>
            </w:r>
            <w:r w:rsidRPr="008916A7">
              <w:rPr>
                <w:i/>
              </w:rPr>
              <w:t>the variability among living organisms from all sources including, inter alia, terrestrial, marine and other aquatic ecosystems and the ecological complexes of which they are part; this includes diversity within species, between species and of ecosystems</w:t>
            </w:r>
            <w:r w:rsidRPr="008916A7">
              <w:t xml:space="preserve">” (CBD, 1992). Thus, biodiversity consists of variability between ecosystems, between species and within species. In addition, an ecosystem is designated as “a dynamic complex of plant, animal and micro-organism communities and their non-living environment interacting as a functional unit” (CBD, 1992).  </w:t>
            </w:r>
          </w:p>
          <w:p w14:paraId="1E603CB3" w14:textId="77777777" w:rsidR="001F570F" w:rsidRPr="008916A7" w:rsidRDefault="001F570F" w:rsidP="001F570F">
            <w:pPr>
              <w:pStyle w:val="NoSpacing"/>
            </w:pPr>
            <w:r w:rsidRPr="008916A7">
              <w:t xml:space="preserve"> </w:t>
            </w:r>
          </w:p>
          <w:p w14:paraId="6D056EE6" w14:textId="77777777" w:rsidR="001F570F" w:rsidRPr="008916A7" w:rsidRDefault="001F570F" w:rsidP="001F570F">
            <w:pPr>
              <w:pStyle w:val="NoSpacing"/>
            </w:pPr>
            <w:r w:rsidRPr="008916A7">
              <w:t xml:space="preserve">Part A: </w:t>
            </w:r>
          </w:p>
          <w:p w14:paraId="047C5F86" w14:textId="77777777" w:rsidR="001F570F" w:rsidRPr="008916A7" w:rsidRDefault="001F570F" w:rsidP="001F570F">
            <w:pPr>
              <w:pStyle w:val="NoSpacing"/>
            </w:pPr>
            <w:r w:rsidRPr="008916A7">
              <w:t xml:space="preserve">National Biodiversity Strategies and Action Plans are described in Article 6 of the Convention on General Measures for Conservation and Sustainable Use. The article states that:  </w:t>
            </w:r>
          </w:p>
          <w:p w14:paraId="326955CC" w14:textId="77777777" w:rsidR="001F570F" w:rsidRPr="008916A7" w:rsidRDefault="001F570F" w:rsidP="001F570F">
            <w:pPr>
              <w:pStyle w:val="NoSpacing"/>
            </w:pPr>
            <w:r w:rsidRPr="008916A7">
              <w:t xml:space="preserve"> </w:t>
            </w:r>
          </w:p>
          <w:p w14:paraId="0E0D3CD8" w14:textId="77777777" w:rsidR="001F570F" w:rsidRPr="008916A7" w:rsidRDefault="001F570F" w:rsidP="001F570F">
            <w:pPr>
              <w:pStyle w:val="NoSpacing"/>
            </w:pPr>
            <w:r w:rsidRPr="008916A7">
              <w:rPr>
                <w:i/>
              </w:rPr>
              <w:t xml:space="preserve">Each Contracting Party to the Convention shall, in accordance with its particular conditions and capabilities: </w:t>
            </w:r>
          </w:p>
          <w:p w14:paraId="2CE3D3C1" w14:textId="77777777" w:rsidR="001F570F" w:rsidRPr="008916A7" w:rsidRDefault="001F570F" w:rsidP="001F570F">
            <w:pPr>
              <w:pStyle w:val="NoSpacing"/>
              <w:numPr>
                <w:ilvl w:val="0"/>
                <w:numId w:val="85"/>
              </w:numPr>
            </w:pPr>
            <w:r w:rsidRPr="008916A7">
              <w:rPr>
                <w:i/>
              </w:rPr>
              <w:t xml:space="preserve">Develop national strategies, plans or programmes for the </w:t>
            </w:r>
            <w:r w:rsidRPr="008916A7">
              <w:rPr>
                <w:i/>
              </w:rPr>
              <w:lastRenderedPageBreak/>
              <w:t xml:space="preserve">conservation and sustainable use of biological diversity or adapt for the purpose existing strategies, plans or programmes which shall reflect, inter alia, the measures set out in this Convention relevant to the Contracting Party concerned; and  </w:t>
            </w:r>
          </w:p>
          <w:p w14:paraId="3B3F702D" w14:textId="77777777" w:rsidR="001F570F" w:rsidRPr="008916A7" w:rsidRDefault="001F570F" w:rsidP="001F570F">
            <w:pPr>
              <w:pStyle w:val="NoSpacing"/>
              <w:numPr>
                <w:ilvl w:val="0"/>
                <w:numId w:val="85"/>
              </w:numPr>
            </w:pPr>
            <w:r w:rsidRPr="008916A7">
              <w:rPr>
                <w:i/>
              </w:rPr>
              <w:t xml:space="preserve">Integrate, as far as possible and as appropriate, the conservation and sustainable use of biological diversity into relevant sectoral or cross-sectoral plans, programmes and policies. </w:t>
            </w:r>
          </w:p>
          <w:p w14:paraId="0BBF38C1" w14:textId="77777777" w:rsidR="001F570F" w:rsidRPr="008916A7" w:rsidRDefault="001F570F" w:rsidP="001F570F">
            <w:pPr>
              <w:pStyle w:val="NoSpacing"/>
            </w:pPr>
            <w:r w:rsidRPr="008916A7">
              <w:t xml:space="preserve"> </w:t>
            </w:r>
          </w:p>
          <w:p w14:paraId="41F105C0" w14:textId="77777777" w:rsidR="001F570F" w:rsidRPr="008916A7" w:rsidRDefault="001F570F" w:rsidP="001F570F">
            <w:pPr>
              <w:pStyle w:val="NoSpacing"/>
            </w:pPr>
            <w:r w:rsidRPr="008916A7">
              <w:t xml:space="preserve">Article 6 creates an obligation for national biodiversity planning. A national strategy will reflect how the country intends to fulfil the objectives of the Convention in light of specific national circumstances, and the related action plans will constitute the sequence of steps to be taken to meet these goals. Current NBSAPs are made available here: </w:t>
            </w:r>
            <w:hyperlink r:id="rId127">
              <w:r w:rsidRPr="008916A7">
                <w:rPr>
                  <w:rStyle w:val="Hyperlink"/>
                </w:rPr>
                <w:t>https://www.cbd.int/nbsap/</w:t>
              </w:r>
            </w:hyperlink>
            <w:hyperlink r:id="rId128">
              <w:r w:rsidRPr="008916A7">
                <w:rPr>
                  <w:rStyle w:val="Hyperlink"/>
                </w:rPr>
                <w:t xml:space="preserve"> </w:t>
              </w:r>
            </w:hyperlink>
          </w:p>
          <w:p w14:paraId="56767515" w14:textId="77777777" w:rsidR="001F570F" w:rsidRPr="008916A7" w:rsidRDefault="001F570F" w:rsidP="001F570F">
            <w:pPr>
              <w:pStyle w:val="NoSpacing"/>
            </w:pPr>
            <w:r w:rsidRPr="008916A7">
              <w:t xml:space="preserve"> </w:t>
            </w:r>
          </w:p>
          <w:p w14:paraId="19769AC5" w14:textId="77777777" w:rsidR="001F570F" w:rsidRPr="008916A7" w:rsidRDefault="001F570F" w:rsidP="001F570F">
            <w:pPr>
              <w:pStyle w:val="NoSpacing"/>
            </w:pPr>
            <w:r w:rsidRPr="008916A7">
              <w:t xml:space="preserve">National reports are described in Article 26 of the Convention on reports which states that” </w:t>
            </w:r>
          </w:p>
          <w:p w14:paraId="761C3FDF" w14:textId="77777777" w:rsidR="001F570F" w:rsidRPr="008916A7" w:rsidRDefault="001F570F" w:rsidP="001F570F">
            <w:pPr>
              <w:pStyle w:val="NoSpacing"/>
            </w:pPr>
            <w:r w:rsidRPr="008916A7">
              <w:t xml:space="preserve"> </w:t>
            </w:r>
          </w:p>
          <w:p w14:paraId="34CB32B7" w14:textId="77777777" w:rsidR="001F570F" w:rsidRPr="008916A7" w:rsidRDefault="001F570F" w:rsidP="001F570F">
            <w:pPr>
              <w:pStyle w:val="NoSpacing"/>
            </w:pPr>
            <w:r w:rsidRPr="008916A7">
              <w:rPr>
                <w:i/>
              </w:rPr>
              <w:t xml:space="preserve">Each Contracting Party shall, at intervals to be determined by the Conference of the Parties, present to the Conference of the Parties, reports on measures which it has taken for the </w:t>
            </w:r>
          </w:p>
          <w:p w14:paraId="7265751D" w14:textId="77777777" w:rsidR="001F570F" w:rsidRPr="008916A7" w:rsidRDefault="001F570F" w:rsidP="001F570F">
            <w:pPr>
              <w:pStyle w:val="NoSpacing"/>
            </w:pPr>
            <w:proofErr w:type="gramStart"/>
            <w:r w:rsidRPr="008916A7">
              <w:rPr>
                <w:i/>
              </w:rPr>
              <w:t>implementation</w:t>
            </w:r>
            <w:proofErr w:type="gramEnd"/>
            <w:r w:rsidRPr="008916A7">
              <w:rPr>
                <w:i/>
              </w:rPr>
              <w:t xml:space="preserve"> of the provisions of this Convention and their effectiveness in meeting the objectives of this Convention. </w:t>
            </w:r>
          </w:p>
          <w:p w14:paraId="394AC32F" w14:textId="77777777" w:rsidR="001F570F" w:rsidRPr="008916A7" w:rsidRDefault="001F570F" w:rsidP="001F570F">
            <w:pPr>
              <w:pStyle w:val="NoSpacing"/>
            </w:pPr>
            <w:r w:rsidRPr="008916A7">
              <w:rPr>
                <w:i/>
              </w:rPr>
              <w:t xml:space="preserve"> </w:t>
            </w:r>
          </w:p>
          <w:p w14:paraId="042EC06A" w14:textId="77777777" w:rsidR="001F570F" w:rsidRPr="008916A7" w:rsidRDefault="001F570F" w:rsidP="001F570F">
            <w:pPr>
              <w:pStyle w:val="NoSpacing"/>
            </w:pPr>
            <w:r w:rsidRPr="008916A7">
              <w:t xml:space="preserve">There have been sixth rounds of national reporting to date. The most recent round of national reporting had a deadline of 31 December 2018. The format for the sixth national reports requested that Parties, among other things, provide an assessment of their progress towards their national targets and/or the Aichi Biodiversity Targets. The progress assessment for Aichi Biodiversity Target 2 would thus provide critical information for indicator 15.9.2. </w:t>
            </w:r>
          </w:p>
          <w:p w14:paraId="109849EC" w14:textId="77777777" w:rsidR="001F570F" w:rsidRPr="008916A7" w:rsidRDefault="001F570F" w:rsidP="001F570F">
            <w:pPr>
              <w:pStyle w:val="NoSpacing"/>
            </w:pPr>
            <w:r w:rsidRPr="008916A7">
              <w:t xml:space="preserve"> </w:t>
            </w:r>
          </w:p>
          <w:p w14:paraId="3D58AB0A" w14:textId="77777777" w:rsidR="001F570F" w:rsidRPr="008916A7" w:rsidRDefault="001F570F" w:rsidP="001F570F">
            <w:pPr>
              <w:pStyle w:val="NoSpacing"/>
            </w:pPr>
            <w:r w:rsidRPr="008916A7">
              <w:t>The sixth national reports are accessible fro</w:t>
            </w:r>
            <w:hyperlink r:id="rId129">
              <w:r w:rsidRPr="008916A7">
                <w:rPr>
                  <w:rStyle w:val="Hyperlink"/>
                </w:rPr>
                <w:t xml:space="preserve">m </w:t>
              </w:r>
            </w:hyperlink>
            <w:hyperlink r:id="rId130">
              <w:r w:rsidRPr="008916A7">
                <w:rPr>
                  <w:rStyle w:val="Hyperlink"/>
                </w:rPr>
                <w:t>https://chm.cbd.int/search/reporting-map?filter=nr6</w:t>
              </w:r>
            </w:hyperlink>
            <w:hyperlink r:id="rId131">
              <w:r w:rsidRPr="008916A7">
                <w:rPr>
                  <w:rStyle w:val="Hyperlink"/>
                </w:rPr>
                <w:t xml:space="preserve"> </w:t>
              </w:r>
            </w:hyperlink>
            <w:r w:rsidRPr="008916A7">
              <w:t xml:space="preserve"> </w:t>
            </w:r>
          </w:p>
          <w:p w14:paraId="0DA68357" w14:textId="77777777" w:rsidR="001F570F" w:rsidRPr="008916A7" w:rsidRDefault="001F570F" w:rsidP="001F570F">
            <w:pPr>
              <w:pStyle w:val="NoSpacing"/>
            </w:pPr>
            <w:r w:rsidRPr="008916A7">
              <w:t xml:space="preserve"> </w:t>
            </w:r>
          </w:p>
          <w:p w14:paraId="480958E0" w14:textId="77777777" w:rsidR="001F570F" w:rsidRPr="008916A7" w:rsidRDefault="001F570F" w:rsidP="001F570F">
            <w:pPr>
              <w:pStyle w:val="NoSpacing"/>
            </w:pPr>
            <w:r w:rsidRPr="008916A7">
              <w:t xml:space="preserve">Part B: </w:t>
            </w:r>
          </w:p>
          <w:p w14:paraId="29A37307" w14:textId="77777777" w:rsidR="001F570F" w:rsidRPr="008916A7" w:rsidRDefault="001F570F" w:rsidP="001F570F">
            <w:pPr>
              <w:pStyle w:val="NoSpacing"/>
            </w:pPr>
            <w:r w:rsidRPr="008916A7">
              <w:t xml:space="preserve">There are two parts to the SEEA—the SEEA Central Framework (SEEA CF) and the SEEA Experimental </w:t>
            </w:r>
          </w:p>
          <w:p w14:paraId="7E808B5C" w14:textId="77777777" w:rsidR="001F570F" w:rsidRPr="008916A7" w:rsidRDefault="001F570F" w:rsidP="001F570F">
            <w:pPr>
              <w:pStyle w:val="NoSpacing"/>
            </w:pPr>
            <w:r w:rsidRPr="008916A7">
              <w:t xml:space="preserve">Ecosystem Accounting (SEEA EEA). The SEEA CF was adopted by the United Nations Statistical </w:t>
            </w:r>
          </w:p>
          <w:p w14:paraId="246F54FD" w14:textId="77777777" w:rsidR="001F570F" w:rsidRPr="008916A7" w:rsidRDefault="001F570F" w:rsidP="001F570F">
            <w:pPr>
              <w:pStyle w:val="NoSpacing"/>
            </w:pPr>
            <w:r w:rsidRPr="008916A7">
              <w:t xml:space="preserve">Commission as the first and only international standard for environmental-economic accounting in 2012. </w:t>
            </w:r>
          </w:p>
          <w:p w14:paraId="5E1C3E75" w14:textId="77777777" w:rsidR="001F570F" w:rsidRPr="008916A7" w:rsidRDefault="001F570F" w:rsidP="001F570F">
            <w:pPr>
              <w:pStyle w:val="NoSpacing"/>
            </w:pPr>
            <w:r w:rsidRPr="008916A7">
              <w:t xml:space="preserve">It was produced and released under the auspices of the United Nations, the European </w:t>
            </w:r>
            <w:r w:rsidRPr="008916A7">
              <w:lastRenderedPageBreak/>
              <w:t xml:space="preserve">Commission, the Food and Agriculture Organization of the United Nations, the Organisation for Economic Co-operation and Development, the International Monetary Fund and the World Bank Group. The SEEA CF describes the interactions between the economy and the environment, and the stocks and changes in stocks of individual environmental assets, such as water, energy, forests and fisheries resources. The SEEA CF also includes environmental activity accounts, which cover the areas of environmental protection expenditures, environmental goods and services and taxes and subsidies. </w:t>
            </w:r>
          </w:p>
          <w:p w14:paraId="7C94F274" w14:textId="77777777" w:rsidR="001F570F" w:rsidRPr="008916A7" w:rsidRDefault="001F570F" w:rsidP="001F570F">
            <w:pPr>
              <w:pStyle w:val="NoSpacing"/>
            </w:pPr>
            <w:r w:rsidRPr="008916A7">
              <w:t xml:space="preserve"> </w:t>
            </w:r>
          </w:p>
          <w:p w14:paraId="7926582E" w14:textId="77777777" w:rsidR="001F570F" w:rsidRPr="008916A7" w:rsidRDefault="001F570F" w:rsidP="001F570F">
            <w:pPr>
              <w:pStyle w:val="NoSpacing"/>
            </w:pPr>
            <w:r w:rsidRPr="008916A7">
              <w:t xml:space="preserve">The SEEA EEA complements the SEEA CF and represents international efforts toward a coherent accounting approach to the measurement of ecosystems. The SEEA EEA provides a framework which integrates measures of ecosystem extent, ecosystem condition and the flows of ecosystem services with measures of economic and other human activity. The SEEA EEA framework also contains species accounts. In March 2013, the United Nations Statistical Commission endorsed the SEEA EEA as the basis for commencing testing and further development of ecosystem accounting. The SEEA EEA was formally published in 2014 under the auspices of the United Nations, the European Commission, the Food and Agriculture Organization of the United Nations, the Organisation for Economic Co-operation and </w:t>
            </w:r>
          </w:p>
          <w:p w14:paraId="4F11C948" w14:textId="77777777" w:rsidR="001F570F" w:rsidRPr="008916A7" w:rsidRDefault="001F570F" w:rsidP="001F570F">
            <w:pPr>
              <w:pStyle w:val="NoSpacing"/>
            </w:pPr>
            <w:r w:rsidRPr="008916A7">
              <w:t xml:space="preserve">Development, the International Monetary Fund and the World Bank Group. Following the decision of the United Nations Statistical Commission in March 2017, a revision of the SEEA EEA is now taking place, with the intention to reach agreement on as many aspects of ecosystem accounting as possible by 2020.  </w:t>
            </w:r>
          </w:p>
          <w:p w14:paraId="7863B0A3" w14:textId="77777777" w:rsidR="001F570F" w:rsidRPr="008916A7" w:rsidRDefault="001F570F" w:rsidP="001F570F">
            <w:pPr>
              <w:pStyle w:val="NoSpacing"/>
            </w:pPr>
            <w:r w:rsidRPr="008916A7">
              <w:t xml:space="preserve"> </w:t>
            </w:r>
          </w:p>
          <w:p w14:paraId="237C431F" w14:textId="77777777" w:rsidR="001F570F" w:rsidRPr="008916A7" w:rsidRDefault="001F570F" w:rsidP="001F570F">
            <w:pPr>
              <w:pStyle w:val="NoSpacing"/>
            </w:pPr>
            <w:r w:rsidRPr="008916A7">
              <w:rPr>
                <w:b/>
              </w:rPr>
              <w:t>Comments and limitations:</w:t>
            </w:r>
            <w:r w:rsidRPr="008916A7">
              <w:t xml:space="preserve"> </w:t>
            </w:r>
          </w:p>
          <w:p w14:paraId="7127B0EF" w14:textId="77777777" w:rsidR="001F570F" w:rsidRPr="008916A7" w:rsidRDefault="001F570F" w:rsidP="001F570F">
            <w:pPr>
              <w:pStyle w:val="NoSpacing"/>
            </w:pPr>
            <w:r w:rsidRPr="008916A7">
              <w:t xml:space="preserve">Part A: </w:t>
            </w:r>
          </w:p>
          <w:p w14:paraId="1ABBB544" w14:textId="77777777" w:rsidR="001F570F" w:rsidRPr="008916A7" w:rsidRDefault="001F570F" w:rsidP="001F570F">
            <w:pPr>
              <w:pStyle w:val="NoSpacing"/>
            </w:pPr>
            <w:r w:rsidRPr="008916A7">
              <w:t xml:space="preserve">The national targets reflected in countries’ NBSAPs have various levels of alignment to Aichi Biodiversity Target. As such, a degree of interpretation may be required to determine to what extent the progress being reported nationally contributes to the global Aichi Biodiversity Target. Further, while the deadline for submitting the sixth national reports was 31 December 2018, not all Parties to the Convention have submitted their reports as of yet. .  </w:t>
            </w:r>
          </w:p>
          <w:p w14:paraId="2E25AFAC" w14:textId="77777777" w:rsidR="001F570F" w:rsidRPr="008916A7" w:rsidRDefault="001F570F" w:rsidP="001F570F">
            <w:pPr>
              <w:pStyle w:val="NoSpacing"/>
            </w:pPr>
            <w:r w:rsidRPr="008916A7">
              <w:t xml:space="preserve"> </w:t>
            </w:r>
          </w:p>
          <w:p w14:paraId="76D11546" w14:textId="77777777" w:rsidR="001F570F" w:rsidRPr="008916A7" w:rsidRDefault="001F570F" w:rsidP="001F570F">
            <w:pPr>
              <w:pStyle w:val="NoSpacing"/>
            </w:pPr>
            <w:r w:rsidRPr="008916A7">
              <w:t xml:space="preserve">Part B: </w:t>
            </w:r>
          </w:p>
          <w:p w14:paraId="4E2A1CAF" w14:textId="77777777" w:rsidR="001F570F" w:rsidRPr="008916A7" w:rsidRDefault="001F570F" w:rsidP="001F570F">
            <w:pPr>
              <w:pStyle w:val="NoSpacing"/>
            </w:pPr>
            <w:r w:rsidRPr="008916A7">
              <w:t xml:space="preserve">The SEEA covers the measurement of the relationship between the environment and economy according to a multitude of dimensions, including individual environmental assets, various aspects of ecosystems and their services and environmental activities. Thus, </w:t>
            </w:r>
            <w:proofErr w:type="gramStart"/>
            <w:r w:rsidRPr="008916A7">
              <w:t>depending</w:t>
            </w:r>
            <w:proofErr w:type="gramEnd"/>
            <w:r w:rsidRPr="008916A7">
              <w:t xml:space="preserve"> which modules of the SEEA CF or SEEA EEA a country has implemented, the specific biodiversity values being integrated into national accounting and reporting systems will vary.  </w:t>
            </w:r>
          </w:p>
          <w:p w14:paraId="409B41F6" w14:textId="77777777" w:rsidR="001F570F" w:rsidRPr="008916A7" w:rsidRDefault="001F570F" w:rsidP="001F570F">
            <w:pPr>
              <w:pStyle w:val="NoSpacing"/>
            </w:pPr>
            <w:r w:rsidRPr="008916A7">
              <w:t xml:space="preserve"> </w:t>
            </w:r>
          </w:p>
          <w:p w14:paraId="1F3E52C9" w14:textId="77777777" w:rsidR="001F570F" w:rsidRPr="008916A7" w:rsidRDefault="001F570F" w:rsidP="001F570F">
            <w:pPr>
              <w:pStyle w:val="NoSpacing"/>
            </w:pPr>
            <w:r w:rsidRPr="008916A7">
              <w:lastRenderedPageBreak/>
              <w:t xml:space="preserve">In addition, the degree of SEEA implementation varies between countries. While some countries, particularly developing countries, are just beginning to integrate biodiversity values into their national accounting and reporting systems through pilot SEEA accounts, other countries have established SEEA programmes and have regularly produced both SEEA CF and SEEA EEA accounts for several years.  </w:t>
            </w:r>
          </w:p>
          <w:p w14:paraId="34FAA962" w14:textId="77777777" w:rsidR="001F570F" w:rsidRPr="008916A7" w:rsidRDefault="001F570F" w:rsidP="001F570F">
            <w:pPr>
              <w:pStyle w:val="NoSpacing"/>
            </w:pPr>
            <w:r w:rsidRPr="008916A7">
              <w:t xml:space="preserve"> </w:t>
            </w:r>
          </w:p>
          <w:p w14:paraId="0F40EF91" w14:textId="77777777" w:rsidR="001F570F" w:rsidRPr="008916A7" w:rsidRDefault="001F570F" w:rsidP="001F570F">
            <w:pPr>
              <w:pStyle w:val="NoSpacing"/>
            </w:pPr>
            <w:r w:rsidRPr="008916A7">
              <w:rPr>
                <w:b/>
              </w:rPr>
              <w:t>Computation Method:</w:t>
            </w:r>
            <w:r w:rsidRPr="008916A7">
              <w:t xml:space="preserve"> </w:t>
            </w:r>
          </w:p>
          <w:p w14:paraId="493354C8" w14:textId="77777777" w:rsidR="001F570F" w:rsidRPr="008916A7" w:rsidRDefault="001F570F" w:rsidP="001F570F">
            <w:pPr>
              <w:pStyle w:val="NoSpacing"/>
            </w:pPr>
            <w:r w:rsidRPr="008916A7">
              <w:t xml:space="preserve"> </w:t>
            </w:r>
          </w:p>
          <w:p w14:paraId="514864F5" w14:textId="77777777" w:rsidR="001F570F" w:rsidRPr="008916A7" w:rsidRDefault="001F570F" w:rsidP="001F570F">
            <w:pPr>
              <w:pStyle w:val="NoSpacing"/>
            </w:pPr>
            <w:r w:rsidRPr="008916A7">
              <w:t xml:space="preserve">Part A:  National commitments (a target or targets) reflecting Aichi biodiversity Target 2 are identified within each submitted NBSAP and mapped against the components of this Aichi Biodiversity target. Parties in their national reports then provide an assessment of progress towards their national targets corresponding to Aichi Biodiversity Target 2 or to the Aichi Biodiversity Target itself. Parties are accessed to assess their progress using one of five categories:: </w:t>
            </w:r>
          </w:p>
          <w:p w14:paraId="6155DED9" w14:textId="77777777" w:rsidR="001F570F" w:rsidRPr="008916A7" w:rsidRDefault="001F570F" w:rsidP="001F570F">
            <w:pPr>
              <w:pStyle w:val="NoSpacing"/>
            </w:pPr>
            <w:r w:rsidRPr="008916A7">
              <w:t xml:space="preserve"> </w:t>
            </w:r>
          </w:p>
          <w:p w14:paraId="36530E7D" w14:textId="77777777" w:rsidR="001F570F" w:rsidRPr="008916A7" w:rsidRDefault="001F570F" w:rsidP="001F570F">
            <w:pPr>
              <w:pStyle w:val="NoSpacing"/>
            </w:pPr>
            <w:r w:rsidRPr="008916A7">
              <w:t xml:space="preserve"> </w:t>
            </w:r>
          </w:p>
          <w:p w14:paraId="2B5F9B37" w14:textId="77777777" w:rsidR="001F570F" w:rsidRPr="008916A7" w:rsidRDefault="001F570F" w:rsidP="001F570F">
            <w:pPr>
              <w:pStyle w:val="NoSpacing"/>
              <w:numPr>
                <w:ilvl w:val="0"/>
                <w:numId w:val="86"/>
              </w:numPr>
            </w:pPr>
            <w:r w:rsidRPr="008916A7">
              <w:t xml:space="preserve">On track to exceed target  </w:t>
            </w:r>
          </w:p>
          <w:p w14:paraId="0DD2639A" w14:textId="77777777" w:rsidR="001F570F" w:rsidRPr="008916A7" w:rsidRDefault="001F570F" w:rsidP="001F570F">
            <w:pPr>
              <w:pStyle w:val="NoSpacing"/>
              <w:numPr>
                <w:ilvl w:val="0"/>
                <w:numId w:val="86"/>
              </w:numPr>
            </w:pPr>
            <w:r w:rsidRPr="008916A7">
              <w:t xml:space="preserve">On track to achieve target  </w:t>
            </w:r>
          </w:p>
          <w:p w14:paraId="5B43BD85" w14:textId="77777777" w:rsidR="001F570F" w:rsidRPr="008916A7" w:rsidRDefault="001F570F" w:rsidP="001F570F">
            <w:pPr>
              <w:pStyle w:val="NoSpacing"/>
              <w:numPr>
                <w:ilvl w:val="0"/>
                <w:numId w:val="86"/>
              </w:numPr>
            </w:pPr>
            <w:r w:rsidRPr="008916A7">
              <w:t xml:space="preserve">Progress towards target but at an insufficient rate  </w:t>
            </w:r>
          </w:p>
          <w:p w14:paraId="50CA8875" w14:textId="77777777" w:rsidR="001F570F" w:rsidRPr="008916A7" w:rsidRDefault="001F570F" w:rsidP="001F570F">
            <w:pPr>
              <w:pStyle w:val="NoSpacing"/>
              <w:numPr>
                <w:ilvl w:val="0"/>
                <w:numId w:val="86"/>
              </w:numPr>
            </w:pPr>
            <w:r w:rsidRPr="008916A7">
              <w:t xml:space="preserve">No significant change  </w:t>
            </w:r>
          </w:p>
          <w:p w14:paraId="04E1D4FD" w14:textId="77777777" w:rsidR="001F570F" w:rsidRPr="008916A7" w:rsidRDefault="001F570F" w:rsidP="001F570F">
            <w:pPr>
              <w:pStyle w:val="NoSpacing"/>
              <w:numPr>
                <w:ilvl w:val="0"/>
                <w:numId w:val="86"/>
              </w:numPr>
            </w:pPr>
            <w:r w:rsidRPr="008916A7">
              <w:t xml:space="preserve">Moving away from target  </w:t>
            </w:r>
          </w:p>
          <w:p w14:paraId="66B49146" w14:textId="77777777" w:rsidR="001F570F" w:rsidRPr="008916A7" w:rsidRDefault="001F570F" w:rsidP="001F570F">
            <w:pPr>
              <w:pStyle w:val="NoSpacing"/>
              <w:numPr>
                <w:ilvl w:val="0"/>
                <w:numId w:val="86"/>
              </w:numPr>
            </w:pPr>
            <w:r w:rsidRPr="008916A7">
              <w:t xml:space="preserve">No information  </w:t>
            </w:r>
          </w:p>
          <w:p w14:paraId="38362071" w14:textId="77777777" w:rsidR="001F570F" w:rsidRPr="008916A7" w:rsidRDefault="001F570F" w:rsidP="001F570F">
            <w:pPr>
              <w:pStyle w:val="NoSpacing"/>
            </w:pPr>
            <w:r w:rsidRPr="008916A7">
              <w:t xml:space="preserve"> </w:t>
            </w:r>
          </w:p>
          <w:p w14:paraId="0F876C1D" w14:textId="77777777" w:rsidR="001F570F" w:rsidRPr="008916A7" w:rsidRDefault="001F570F" w:rsidP="001F570F">
            <w:pPr>
              <w:pStyle w:val="NoSpacing"/>
            </w:pPr>
            <w:r w:rsidRPr="008916A7">
              <w:t xml:space="preserve">The indicator provides aggregate numbers under these six categories.  </w:t>
            </w:r>
          </w:p>
          <w:p w14:paraId="594B5EF0" w14:textId="77777777" w:rsidR="001F570F" w:rsidRPr="008916A7" w:rsidRDefault="001F570F" w:rsidP="001F570F">
            <w:pPr>
              <w:pStyle w:val="NoSpacing"/>
            </w:pPr>
            <w:r w:rsidRPr="008916A7">
              <w:t xml:space="preserve"> </w:t>
            </w:r>
          </w:p>
          <w:p w14:paraId="3B860530" w14:textId="77777777" w:rsidR="001F570F" w:rsidRPr="008916A7" w:rsidRDefault="001F570F" w:rsidP="001F570F">
            <w:pPr>
              <w:pStyle w:val="NoSpacing"/>
            </w:pPr>
            <w:r w:rsidRPr="008916A7">
              <w:t xml:space="preserve">Part B: The number of countries implementing either the SEEA CF or SEEA EEA, where implementation can be in the form of compilation of pilot accounts or official accounts. Implementation includes compilation of accounts that have not yet been published.  </w:t>
            </w:r>
          </w:p>
          <w:p w14:paraId="1F81E0C6" w14:textId="77777777" w:rsidR="001F570F" w:rsidRDefault="001F570F" w:rsidP="001F570F">
            <w:pPr>
              <w:pStyle w:val="NoSpacing"/>
            </w:pPr>
          </w:p>
        </w:tc>
        <w:tc>
          <w:tcPr>
            <w:tcW w:w="0" w:type="auto"/>
          </w:tcPr>
          <w:p w14:paraId="5498D9B4" w14:textId="77777777" w:rsidR="001F570F" w:rsidRDefault="001F570F" w:rsidP="001F570F">
            <w:pPr>
              <w:pStyle w:val="NoSpacing"/>
            </w:pPr>
            <w:r>
              <w:lastRenderedPageBreak/>
              <w:t xml:space="preserve">Data are regularly collected from the submission of NBSAPs by the Secretariat of the CBD.  </w:t>
            </w:r>
          </w:p>
          <w:p w14:paraId="06E4BD10" w14:textId="77777777" w:rsidR="001F570F" w:rsidRDefault="001F570F" w:rsidP="001F570F">
            <w:pPr>
              <w:pStyle w:val="NoSpacing"/>
            </w:pPr>
          </w:p>
        </w:tc>
        <w:tc>
          <w:tcPr>
            <w:tcW w:w="0" w:type="auto"/>
          </w:tcPr>
          <w:p w14:paraId="1035CD28" w14:textId="77777777" w:rsidR="001F570F" w:rsidRDefault="001F570F" w:rsidP="001F570F">
            <w:pPr>
              <w:pStyle w:val="NoSpacing"/>
            </w:pPr>
            <w:r>
              <w:t>Ministries of environment or similar agencies</w:t>
            </w:r>
          </w:p>
        </w:tc>
        <w:tc>
          <w:tcPr>
            <w:tcW w:w="0" w:type="auto"/>
          </w:tcPr>
          <w:p w14:paraId="203B4499" w14:textId="394BD96C" w:rsidR="001F570F" w:rsidRDefault="001F570F" w:rsidP="001F570F">
            <w:pPr>
              <w:pStyle w:val="NoSpacing"/>
            </w:pPr>
          </w:p>
        </w:tc>
        <w:tc>
          <w:tcPr>
            <w:tcW w:w="0" w:type="auto"/>
          </w:tcPr>
          <w:p w14:paraId="1CC36F5C" w14:textId="77777777" w:rsidR="001F570F" w:rsidRDefault="001F570F" w:rsidP="001F570F">
            <w:pPr>
              <w:pStyle w:val="NoSpacing"/>
              <w:rPr>
                <w:rFonts w:eastAsia="Times New Roman" w:cs="Times New Roman"/>
                <w:color w:val="000000" w:themeColor="text1"/>
                <w:szCs w:val="20"/>
              </w:rPr>
            </w:pPr>
            <w:r w:rsidRPr="00BC6F10">
              <w:rPr>
                <w:rFonts w:eastAsia="Times New Roman" w:cs="Times New Roman"/>
                <w:color w:val="000000" w:themeColor="text1"/>
                <w:szCs w:val="20"/>
              </w:rPr>
              <w:t xml:space="preserve">a) </w:t>
            </w:r>
            <w:r>
              <w:rPr>
                <w:rFonts w:eastAsia="Times New Roman" w:cs="Times New Roman"/>
                <w:color w:val="000000" w:themeColor="text1"/>
                <w:szCs w:val="20"/>
              </w:rPr>
              <w:t>MoEFCC</w:t>
            </w:r>
            <w:r w:rsidRPr="00BC6F10">
              <w:rPr>
                <w:rFonts w:eastAsia="Times New Roman" w:cs="Times New Roman"/>
                <w:color w:val="000000" w:themeColor="text1"/>
                <w:szCs w:val="20"/>
              </w:rPr>
              <w:br/>
              <w:t xml:space="preserve">b) BFD, </w:t>
            </w:r>
            <w:r>
              <w:rPr>
                <w:rFonts w:eastAsia="Times New Roman" w:cs="Times New Roman"/>
                <w:color w:val="000000" w:themeColor="text1"/>
                <w:szCs w:val="20"/>
              </w:rPr>
              <w:t>MoEFCC</w:t>
            </w:r>
          </w:p>
          <w:p w14:paraId="1093E4BB" w14:textId="77777777" w:rsidR="001F570F" w:rsidRDefault="001F570F" w:rsidP="001F570F">
            <w:pPr>
              <w:pStyle w:val="NoSpacing"/>
              <w:rPr>
                <w:rFonts w:eastAsia="Times New Roman" w:cs="Times New Roman"/>
                <w:color w:val="000000" w:themeColor="text1"/>
                <w:szCs w:val="20"/>
              </w:rPr>
            </w:pPr>
          </w:p>
          <w:p w14:paraId="14BA9847" w14:textId="77777777" w:rsidR="001F570F" w:rsidRDefault="001F570F" w:rsidP="001F570F">
            <w:pPr>
              <w:pStyle w:val="NoSpacing"/>
              <w:rPr>
                <w:color w:val="0070C0"/>
                <w:sz w:val="30"/>
                <w:szCs w:val="30"/>
              </w:rPr>
            </w:pPr>
            <w:r w:rsidRPr="007B19A9">
              <w:t>Administrative Data</w:t>
            </w:r>
          </w:p>
        </w:tc>
        <w:tc>
          <w:tcPr>
            <w:tcW w:w="0" w:type="auto"/>
          </w:tcPr>
          <w:p w14:paraId="55709410" w14:textId="77777777" w:rsidR="001F570F" w:rsidRDefault="001F570F" w:rsidP="001F570F">
            <w:pPr>
              <w:ind w:left="970" w:hanging="970"/>
              <w:jc w:val="both"/>
              <w:rPr>
                <w:color w:val="0070C0"/>
                <w:sz w:val="30"/>
                <w:szCs w:val="30"/>
              </w:rPr>
            </w:pPr>
          </w:p>
        </w:tc>
        <w:tc>
          <w:tcPr>
            <w:tcW w:w="0" w:type="auto"/>
          </w:tcPr>
          <w:p w14:paraId="5AED1376" w14:textId="77777777" w:rsidR="001F570F" w:rsidRDefault="001F570F" w:rsidP="001F570F">
            <w:pPr>
              <w:ind w:left="970" w:hanging="970"/>
              <w:jc w:val="both"/>
              <w:rPr>
                <w:color w:val="0070C0"/>
                <w:sz w:val="30"/>
                <w:szCs w:val="30"/>
              </w:rPr>
            </w:pPr>
            <w:r w:rsidRPr="00BC6F10">
              <w:t>Triennial</w:t>
            </w:r>
          </w:p>
        </w:tc>
        <w:tc>
          <w:tcPr>
            <w:tcW w:w="0" w:type="auto"/>
          </w:tcPr>
          <w:p w14:paraId="5410740D" w14:textId="77777777" w:rsidR="001F570F" w:rsidRDefault="001F570F" w:rsidP="001F570F">
            <w:pPr>
              <w:ind w:left="970" w:hanging="970"/>
              <w:jc w:val="both"/>
              <w:rPr>
                <w:color w:val="0070C0"/>
                <w:sz w:val="30"/>
                <w:szCs w:val="30"/>
              </w:rPr>
            </w:pPr>
            <w:r>
              <w:t>Group 2</w:t>
            </w:r>
          </w:p>
        </w:tc>
        <w:tc>
          <w:tcPr>
            <w:tcW w:w="0" w:type="auto"/>
          </w:tcPr>
          <w:p w14:paraId="0E50662C" w14:textId="77777777" w:rsidR="001F570F" w:rsidRDefault="001F570F" w:rsidP="001F570F">
            <w:pPr>
              <w:pStyle w:val="NoSpacing"/>
            </w:pPr>
            <w:r>
              <w:t>1</w:t>
            </w:r>
            <w:r w:rsidRPr="00013ACB">
              <w:rPr>
                <w:vertAlign w:val="superscript"/>
              </w:rPr>
              <w:t>st</w:t>
            </w:r>
            <w:r>
              <w:t xml:space="preserve"> Round:</w:t>
            </w:r>
          </w:p>
          <w:p w14:paraId="3D6C5929" w14:textId="77777777" w:rsidR="001F570F" w:rsidRPr="00670519" w:rsidRDefault="001F570F" w:rsidP="001F570F">
            <w:pPr>
              <w:pStyle w:val="NoSpacing"/>
              <w:rPr>
                <w:b/>
              </w:rPr>
            </w:pPr>
            <w:r w:rsidRPr="00670519">
              <w:t xml:space="preserve">December, </w:t>
            </w:r>
          </w:p>
          <w:p w14:paraId="00A5560F" w14:textId="77777777" w:rsidR="001F570F" w:rsidRDefault="001F570F" w:rsidP="001F570F">
            <w:pPr>
              <w:pStyle w:val="NoSpacing"/>
            </w:pPr>
            <w:r>
              <w:t>2020</w:t>
            </w:r>
          </w:p>
          <w:p w14:paraId="61E340F5" w14:textId="77777777" w:rsidR="001F570F" w:rsidRDefault="001F570F" w:rsidP="001F570F">
            <w:pPr>
              <w:pStyle w:val="NoSpacing"/>
            </w:pPr>
          </w:p>
          <w:p w14:paraId="663FEA18" w14:textId="77777777" w:rsidR="001F570F" w:rsidRDefault="001F570F" w:rsidP="001F570F">
            <w:pPr>
              <w:pStyle w:val="NoSpacing"/>
            </w:pPr>
            <w:r>
              <w:t>2</w:t>
            </w:r>
            <w:r w:rsidRPr="00013ACB">
              <w:rPr>
                <w:vertAlign w:val="superscript"/>
              </w:rPr>
              <w:t>nd</w:t>
            </w:r>
            <w:r>
              <w:t xml:space="preserve"> Round:</w:t>
            </w:r>
          </w:p>
          <w:p w14:paraId="3D048006" w14:textId="77777777" w:rsidR="001F570F" w:rsidRPr="00670519" w:rsidRDefault="001F570F" w:rsidP="001F570F">
            <w:pPr>
              <w:pStyle w:val="NoSpacing"/>
              <w:rPr>
                <w:b/>
              </w:rPr>
            </w:pPr>
            <w:r>
              <w:t xml:space="preserve"> </w:t>
            </w:r>
            <w:r w:rsidRPr="00670519">
              <w:t xml:space="preserve">December, </w:t>
            </w:r>
          </w:p>
          <w:p w14:paraId="70B02FD5" w14:textId="77777777" w:rsidR="001F570F" w:rsidRDefault="001F570F" w:rsidP="001F570F">
            <w:pPr>
              <w:pStyle w:val="NoSpacing"/>
            </w:pPr>
            <w:r>
              <w:t>2023</w:t>
            </w:r>
          </w:p>
          <w:p w14:paraId="3227ED6C" w14:textId="77777777" w:rsidR="001F570F" w:rsidRDefault="001F570F" w:rsidP="001F570F">
            <w:pPr>
              <w:pStyle w:val="NoSpacing"/>
            </w:pPr>
          </w:p>
          <w:p w14:paraId="40CC2991" w14:textId="77777777" w:rsidR="001F570F" w:rsidRPr="00670519" w:rsidRDefault="001F570F" w:rsidP="001F570F">
            <w:pPr>
              <w:pStyle w:val="NoSpacing"/>
              <w:rPr>
                <w:b/>
              </w:rPr>
            </w:pPr>
            <w:r>
              <w:t>3</w:t>
            </w:r>
            <w:r w:rsidRPr="00013ACB">
              <w:rPr>
                <w:vertAlign w:val="superscript"/>
              </w:rPr>
              <w:t>rd</w:t>
            </w:r>
            <w:r>
              <w:t xml:space="preserve"> Rou</w:t>
            </w:r>
            <w:r w:rsidRPr="00670519">
              <w:t xml:space="preserve"> December, </w:t>
            </w:r>
          </w:p>
          <w:p w14:paraId="736377A4" w14:textId="77777777" w:rsidR="001F570F" w:rsidRDefault="001F570F" w:rsidP="001F570F">
            <w:pPr>
              <w:pStyle w:val="NoSpacing"/>
            </w:pPr>
            <w:r>
              <w:t>2026</w:t>
            </w:r>
          </w:p>
          <w:p w14:paraId="49F1B1DC" w14:textId="77777777" w:rsidR="001F570F" w:rsidRDefault="001F570F" w:rsidP="001F570F">
            <w:pPr>
              <w:pStyle w:val="NoSpacing"/>
            </w:pPr>
          </w:p>
          <w:p w14:paraId="58411252" w14:textId="77777777" w:rsidR="001F570F" w:rsidRDefault="001F570F" w:rsidP="001F570F">
            <w:pPr>
              <w:pStyle w:val="NoSpacing"/>
            </w:pPr>
            <w:r>
              <w:t>4</w:t>
            </w:r>
            <w:r w:rsidRPr="00013ACB">
              <w:rPr>
                <w:vertAlign w:val="superscript"/>
              </w:rPr>
              <w:t>th</w:t>
            </w:r>
            <w:r>
              <w:t xml:space="preserve"> Round: </w:t>
            </w:r>
          </w:p>
          <w:p w14:paraId="5368C5FB" w14:textId="77777777" w:rsidR="001F570F" w:rsidRPr="00670519" w:rsidRDefault="001F570F" w:rsidP="001F570F">
            <w:pPr>
              <w:pStyle w:val="NoSpacing"/>
              <w:rPr>
                <w:b/>
              </w:rPr>
            </w:pPr>
            <w:r w:rsidRPr="00670519">
              <w:t xml:space="preserve">December, </w:t>
            </w:r>
          </w:p>
          <w:p w14:paraId="75800120" w14:textId="77777777" w:rsidR="001F570F" w:rsidRDefault="001F570F" w:rsidP="001F570F">
            <w:pPr>
              <w:pStyle w:val="NoSpacing"/>
            </w:pPr>
            <w:r>
              <w:t>2029</w:t>
            </w:r>
          </w:p>
          <w:p w14:paraId="4AB82BC0" w14:textId="77777777" w:rsidR="001F570F" w:rsidRDefault="001F570F" w:rsidP="001F570F">
            <w:pPr>
              <w:pStyle w:val="NoSpacing"/>
            </w:pPr>
          </w:p>
          <w:p w14:paraId="167339CC" w14:textId="77777777" w:rsidR="001F570F" w:rsidRDefault="001F570F" w:rsidP="001F570F">
            <w:pPr>
              <w:pStyle w:val="NoSpacing"/>
            </w:pPr>
            <w:r>
              <w:t>5</w:t>
            </w:r>
            <w:r w:rsidRPr="00013ACB">
              <w:rPr>
                <w:vertAlign w:val="superscript"/>
              </w:rPr>
              <w:t>th</w:t>
            </w:r>
            <w:r>
              <w:t xml:space="preserve"> Round: </w:t>
            </w:r>
          </w:p>
          <w:p w14:paraId="5D7D00CD" w14:textId="77777777" w:rsidR="001F570F" w:rsidRPr="00670519" w:rsidRDefault="001F570F" w:rsidP="001F570F">
            <w:pPr>
              <w:pStyle w:val="NoSpacing"/>
              <w:rPr>
                <w:b/>
              </w:rPr>
            </w:pPr>
            <w:r w:rsidRPr="00670519">
              <w:t xml:space="preserve">December, </w:t>
            </w:r>
          </w:p>
          <w:p w14:paraId="1F94B36F" w14:textId="77777777" w:rsidR="001F570F" w:rsidRDefault="001F570F" w:rsidP="001F570F">
            <w:pPr>
              <w:pStyle w:val="NoSpacing"/>
            </w:pPr>
            <w:r>
              <w:t>2030</w:t>
            </w:r>
          </w:p>
          <w:p w14:paraId="5633E0A5" w14:textId="25F978FB" w:rsidR="001F570F" w:rsidRDefault="001F570F" w:rsidP="001F570F">
            <w:pPr>
              <w:pStyle w:val="NoSpacing"/>
            </w:pPr>
          </w:p>
        </w:tc>
        <w:tc>
          <w:tcPr>
            <w:tcW w:w="0" w:type="auto"/>
          </w:tcPr>
          <w:p w14:paraId="1F3DFDE6" w14:textId="77777777" w:rsidR="001F570F" w:rsidRDefault="001F570F" w:rsidP="001F570F">
            <w:pPr>
              <w:pStyle w:val="NoSpacing"/>
            </w:pPr>
            <w:r>
              <w:t>UNSC 51 revision included in the 2020 comprehensive review</w:t>
            </w:r>
          </w:p>
          <w:p w14:paraId="28421FDF" w14:textId="77777777" w:rsidR="001F570F" w:rsidRDefault="001F570F" w:rsidP="001F570F">
            <w:pPr>
              <w:pStyle w:val="NoSpacing"/>
            </w:pPr>
          </w:p>
          <w:p w14:paraId="0BCD7426" w14:textId="77777777" w:rsidR="001F570F" w:rsidRDefault="001F570F" w:rsidP="001F570F">
            <w:pPr>
              <w:pStyle w:val="NoSpacing"/>
            </w:pPr>
            <w:r>
              <w:t>Reviewed at 10th IAEG-SDG meeting</w:t>
            </w:r>
          </w:p>
          <w:p w14:paraId="63ED89E1" w14:textId="77777777" w:rsidR="001F570F" w:rsidRDefault="001F570F" w:rsidP="001F570F">
            <w:pPr>
              <w:pStyle w:val="NoSpacing"/>
            </w:pPr>
            <w:r>
              <w:t>(classified as Tier II)</w:t>
            </w:r>
          </w:p>
        </w:tc>
      </w:tr>
      <w:tr w:rsidR="001F570F" w14:paraId="0984156F" w14:textId="77777777" w:rsidTr="00A64F0D">
        <w:tc>
          <w:tcPr>
            <w:tcW w:w="0" w:type="auto"/>
          </w:tcPr>
          <w:p w14:paraId="709ACD87" w14:textId="77777777" w:rsidR="001F570F" w:rsidRDefault="001F570F" w:rsidP="001F570F">
            <w:pPr>
              <w:ind w:left="970" w:hanging="970"/>
              <w:jc w:val="both"/>
              <w:rPr>
                <w:color w:val="0070C0"/>
                <w:sz w:val="30"/>
                <w:szCs w:val="30"/>
              </w:rPr>
            </w:pPr>
          </w:p>
        </w:tc>
        <w:tc>
          <w:tcPr>
            <w:tcW w:w="0" w:type="auto"/>
            <w:gridSpan w:val="12"/>
          </w:tcPr>
          <w:p w14:paraId="7DCBABA0" w14:textId="77777777" w:rsidR="001F570F" w:rsidRDefault="001F570F" w:rsidP="001F570F">
            <w:pPr>
              <w:jc w:val="both"/>
              <w:rPr>
                <w:color w:val="0070C0"/>
                <w:sz w:val="48"/>
                <w:szCs w:val="48"/>
              </w:rPr>
            </w:pPr>
            <w:r>
              <w:rPr>
                <w:color w:val="0070C0"/>
                <w:sz w:val="30"/>
                <w:szCs w:val="30"/>
              </w:rPr>
              <w:t xml:space="preserve">Target </w:t>
            </w:r>
            <w:r w:rsidRPr="00DD1B91">
              <w:rPr>
                <w:color w:val="0070C0"/>
                <w:sz w:val="30"/>
                <w:szCs w:val="30"/>
              </w:rPr>
              <w:t>15.a Mobilize and significantly increase financial resources from all sources to conserve and sustainably use biodiversity and ecosystems</w:t>
            </w:r>
          </w:p>
        </w:tc>
      </w:tr>
      <w:tr w:rsidR="001F570F" w14:paraId="26154664" w14:textId="77777777" w:rsidTr="00A64F0D">
        <w:tc>
          <w:tcPr>
            <w:tcW w:w="0" w:type="auto"/>
          </w:tcPr>
          <w:p w14:paraId="2B3703FD" w14:textId="77777777" w:rsidR="001F570F" w:rsidRPr="00BA046C" w:rsidRDefault="001F570F" w:rsidP="001F570F">
            <w:pPr>
              <w:pStyle w:val="NoSpacing"/>
            </w:pPr>
            <w:r w:rsidRPr="00BA046C">
              <w:t xml:space="preserve">15.a.1 (a) Official development assistance on conservation and sustainable use of biodiversity; and (b) revenue </w:t>
            </w:r>
            <w:r w:rsidRPr="00BA046C">
              <w:lastRenderedPageBreak/>
              <w:t>generated and finance mobilized from biodiversity-relevant economic instruments</w:t>
            </w:r>
          </w:p>
        </w:tc>
        <w:tc>
          <w:tcPr>
            <w:tcW w:w="0" w:type="auto"/>
          </w:tcPr>
          <w:p w14:paraId="78A0D161" w14:textId="77777777" w:rsidR="001F570F" w:rsidRDefault="001F570F" w:rsidP="001F570F">
            <w:pPr>
              <w:rPr>
                <w:color w:val="0070C0"/>
                <w:sz w:val="30"/>
                <w:szCs w:val="30"/>
              </w:rPr>
            </w:pPr>
          </w:p>
        </w:tc>
        <w:tc>
          <w:tcPr>
            <w:tcW w:w="0" w:type="auto"/>
          </w:tcPr>
          <w:p w14:paraId="4C8D7996" w14:textId="6EA30DE5" w:rsidR="001F570F" w:rsidRPr="008916A7" w:rsidRDefault="00754676" w:rsidP="001F570F">
            <w:pPr>
              <w:pStyle w:val="NoSpacing"/>
              <w:rPr>
                <w:szCs w:val="20"/>
              </w:rPr>
            </w:pPr>
            <w:r>
              <w:rPr>
                <w:szCs w:val="20"/>
              </w:rPr>
              <w:t>TBD</w:t>
            </w:r>
          </w:p>
        </w:tc>
        <w:tc>
          <w:tcPr>
            <w:tcW w:w="0" w:type="auto"/>
          </w:tcPr>
          <w:p w14:paraId="6A7E595D"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Definition:</w:t>
            </w:r>
          </w:p>
          <w:p w14:paraId="0C3737E1" w14:textId="77777777" w:rsidR="001F570F" w:rsidRPr="008916A7" w:rsidRDefault="001F570F" w:rsidP="001F570F">
            <w:pPr>
              <w:shd w:val="clear" w:color="auto" w:fill="FFFFFF"/>
              <w:rPr>
                <w:rFonts w:eastAsia="Times New Roman" w:cs="Times New Roman"/>
                <w:color w:val="4A4A4A"/>
                <w:szCs w:val="20"/>
                <w:highlight w:val="yellow"/>
                <w:lang w:eastAsia="en-GB"/>
              </w:rPr>
            </w:pPr>
          </w:p>
          <w:p w14:paraId="3D676637"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This is a twin indicator consisting of:</w:t>
            </w:r>
          </w:p>
          <w:p w14:paraId="42C91DA7" w14:textId="77777777" w:rsidR="001F570F" w:rsidRPr="008916A7" w:rsidRDefault="001F570F" w:rsidP="001F570F">
            <w:pPr>
              <w:shd w:val="clear" w:color="auto" w:fill="FFFFFF"/>
              <w:jc w:val="both"/>
              <w:rPr>
                <w:rFonts w:eastAsia="Times New Roman" w:cs="Times New Roman"/>
                <w:bCs/>
                <w:color w:val="4A4A4A"/>
                <w:szCs w:val="20"/>
                <w:lang w:eastAsia="en-GB"/>
              </w:rPr>
            </w:pPr>
          </w:p>
          <w:p w14:paraId="3883690F" w14:textId="77777777" w:rsidR="001F570F" w:rsidRPr="008916A7" w:rsidRDefault="001F570F" w:rsidP="001F570F">
            <w:pPr>
              <w:rPr>
                <w:rFonts w:eastAsia="Times New Roman" w:cs="Times New Roman"/>
                <w:color w:val="4A4A4A"/>
                <w:szCs w:val="20"/>
                <w:highlight w:val="yellow"/>
                <w:lang w:eastAsia="en-GB"/>
              </w:rPr>
            </w:pPr>
            <w:r w:rsidRPr="008916A7">
              <w:rPr>
                <w:rFonts w:eastAsia="Times New Roman" w:cs="Times New Roman"/>
                <w:bCs/>
                <w:color w:val="4A4A4A"/>
                <w:szCs w:val="20"/>
                <w:lang w:eastAsia="en-GB"/>
              </w:rPr>
              <w:t xml:space="preserve">a) Official development assistance on conservation and sustainable use of biodiversity, defined as gross disbursements of total Official Development Assistance (ODA) from all donors for biodiversity. </w:t>
            </w:r>
          </w:p>
          <w:p w14:paraId="246232AD" w14:textId="77777777" w:rsidR="001F570F" w:rsidRPr="008916A7" w:rsidRDefault="001F570F" w:rsidP="001F570F">
            <w:pPr>
              <w:pStyle w:val="Default"/>
              <w:rPr>
                <w:rFonts w:ascii="Tw Cen MT Condensed" w:eastAsia="Times New Roman" w:hAnsi="Tw Cen MT Condensed" w:cs="Times New Roman"/>
                <w:bCs/>
                <w:color w:val="4A4A4A"/>
                <w:szCs w:val="20"/>
                <w:lang w:eastAsia="en-GB"/>
              </w:rPr>
            </w:pPr>
            <w:r w:rsidRPr="008916A7">
              <w:rPr>
                <w:rFonts w:ascii="Tw Cen MT Condensed" w:eastAsia="Times New Roman" w:hAnsi="Tw Cen MT Condensed" w:cs="Times New Roman"/>
                <w:bCs/>
                <w:color w:val="4A4A4A"/>
                <w:szCs w:val="20"/>
                <w:lang w:eastAsia="en-GB"/>
              </w:rPr>
              <w:lastRenderedPageBreak/>
              <w:t xml:space="preserve">b) </w:t>
            </w:r>
            <w:proofErr w:type="gramStart"/>
            <w:r w:rsidRPr="008916A7">
              <w:rPr>
                <w:rFonts w:ascii="Tw Cen MT Condensed" w:eastAsia="Times New Roman" w:hAnsi="Tw Cen MT Condensed" w:cs="Times New Roman"/>
                <w:bCs/>
                <w:color w:val="4A4A4A"/>
                <w:szCs w:val="20"/>
                <w:lang w:eastAsia="en-GB"/>
              </w:rPr>
              <w:t>revenue</w:t>
            </w:r>
            <w:proofErr w:type="gramEnd"/>
            <w:r w:rsidRPr="008916A7">
              <w:rPr>
                <w:rFonts w:ascii="Tw Cen MT Condensed" w:eastAsia="Times New Roman" w:hAnsi="Tw Cen MT Condensed" w:cs="Times New Roman"/>
                <w:bCs/>
                <w:color w:val="4A4A4A"/>
                <w:szCs w:val="20"/>
                <w:lang w:eastAsia="en-GB"/>
              </w:rPr>
              <w:t xml:space="preserve"> generated and finance mobilised from biodiversity-relevant economic instruments, defined as revenue generated and finance mobilised from biodiversity-relevant economic instruments, covering biodiversity-relevant taxes, fees and charges, and positive subsidies. (New on-going work is underway to collect data on payments for ecosystem services and biodiversity offsets -- including the finance they mobilise for biodiversity</w:t>
            </w:r>
            <w:r w:rsidRPr="008916A7">
              <w:rPr>
                <w:rFonts w:ascii="Tw Cen MT Condensed" w:hAnsi="Tw Cen MT Condensed"/>
                <w:szCs w:val="20"/>
              </w:rPr>
              <w:t>).</w:t>
            </w:r>
          </w:p>
          <w:p w14:paraId="663EE299" w14:textId="77777777" w:rsidR="001F570F" w:rsidRPr="008916A7" w:rsidRDefault="001F570F" w:rsidP="001F570F">
            <w:pPr>
              <w:shd w:val="clear" w:color="auto" w:fill="FFFFFF"/>
              <w:rPr>
                <w:rFonts w:eastAsia="Times New Roman" w:cs="Times New Roman"/>
                <w:color w:val="4A4A4A"/>
                <w:szCs w:val="20"/>
                <w:lang w:eastAsia="en-GB"/>
              </w:rPr>
            </w:pPr>
          </w:p>
          <w:p w14:paraId="1587F9ED"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Concepts:</w:t>
            </w:r>
          </w:p>
          <w:p w14:paraId="1C8BB39F" w14:textId="77777777" w:rsidR="001F570F" w:rsidRPr="008916A7" w:rsidRDefault="001F570F" w:rsidP="001F570F">
            <w:pPr>
              <w:shd w:val="clear" w:color="auto" w:fill="FFFFFF"/>
              <w:jc w:val="both"/>
              <w:rPr>
                <w:rFonts w:eastAsia="Times New Roman" w:cs="Times New Roman"/>
                <w:bCs/>
                <w:color w:val="4A4A4A"/>
                <w:szCs w:val="20"/>
                <w:lang w:eastAsia="en-GB"/>
              </w:rPr>
            </w:pPr>
          </w:p>
          <w:p w14:paraId="367688EB"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a) The Development Assistance Committee (DAC) defines ODA as those flows to countries and territories on the DAC list of ODA recipients and multilateral institutions which are:</w:t>
            </w:r>
          </w:p>
          <w:p w14:paraId="7C6F7503" w14:textId="77777777" w:rsidR="001F570F" w:rsidRPr="008916A7" w:rsidRDefault="001F570F" w:rsidP="001F570F">
            <w:pPr>
              <w:pStyle w:val="ListParagraph"/>
              <w:numPr>
                <w:ilvl w:val="0"/>
                <w:numId w:val="87"/>
              </w:numPr>
              <w:shd w:val="clear" w:color="auto" w:fill="FFFFFF"/>
              <w:spacing w:after="0"/>
              <w:jc w:val="both"/>
              <w:rPr>
                <w:rFonts w:ascii="Tw Cen MT Condensed" w:eastAsia="Times New Roman" w:hAnsi="Tw Cen MT Condensed" w:cs="Times New Roman"/>
                <w:bCs/>
                <w:color w:val="4A4A4A"/>
                <w:sz w:val="20"/>
                <w:szCs w:val="20"/>
                <w:lang w:eastAsia="en-GB"/>
              </w:rPr>
            </w:pPr>
            <w:r w:rsidRPr="008916A7">
              <w:rPr>
                <w:rFonts w:ascii="Tw Cen MT Condensed" w:eastAsia="Times New Roman" w:hAnsi="Tw Cen MT Condensed" w:cs="Times New Roman"/>
                <w:bCs/>
                <w:color w:val="4A4A4A"/>
                <w:sz w:val="20"/>
                <w:szCs w:val="20"/>
                <w:lang w:eastAsia="en-GB"/>
              </w:rPr>
              <w:t>Provided by official agencies, including state and local governments, or by their executive agencies; and</w:t>
            </w:r>
          </w:p>
          <w:p w14:paraId="5AE8E588" w14:textId="77777777" w:rsidR="001F570F" w:rsidRPr="008916A7" w:rsidRDefault="001F570F" w:rsidP="001F570F">
            <w:pPr>
              <w:pStyle w:val="ListParagraph"/>
              <w:numPr>
                <w:ilvl w:val="0"/>
                <w:numId w:val="87"/>
              </w:numPr>
              <w:shd w:val="clear" w:color="auto" w:fill="FFFFFF"/>
              <w:spacing w:after="0"/>
              <w:jc w:val="both"/>
              <w:rPr>
                <w:rFonts w:ascii="Tw Cen MT Condensed" w:eastAsia="Times New Roman" w:hAnsi="Tw Cen MT Condensed" w:cs="Times New Roman"/>
                <w:bCs/>
                <w:color w:val="4A4A4A"/>
                <w:sz w:val="20"/>
                <w:szCs w:val="20"/>
                <w:lang w:eastAsia="en-GB"/>
              </w:rPr>
            </w:pPr>
            <w:r w:rsidRPr="008916A7">
              <w:rPr>
                <w:rFonts w:ascii="Tw Cen MT Condensed" w:eastAsia="Times New Roman" w:hAnsi="Tw Cen MT Condensed" w:cs="Times New Roman"/>
                <w:bCs/>
                <w:color w:val="4A4A4A"/>
                <w:sz w:val="20"/>
                <w:szCs w:val="20"/>
                <w:lang w:eastAsia="en-GB"/>
              </w:rPr>
              <w:t>Each transaction of which:</w:t>
            </w:r>
          </w:p>
          <w:p w14:paraId="33BA6C8C" w14:textId="77777777" w:rsidR="001F570F" w:rsidRPr="008916A7" w:rsidRDefault="001F570F" w:rsidP="001F570F">
            <w:pPr>
              <w:pStyle w:val="ListParagraph"/>
              <w:numPr>
                <w:ilvl w:val="0"/>
                <w:numId w:val="88"/>
              </w:numPr>
              <w:shd w:val="clear" w:color="auto" w:fill="FFFFFF"/>
              <w:spacing w:after="0"/>
              <w:jc w:val="both"/>
              <w:rPr>
                <w:rFonts w:ascii="Tw Cen MT Condensed" w:eastAsia="Times New Roman" w:hAnsi="Tw Cen MT Condensed" w:cs="Times New Roman"/>
                <w:bCs/>
                <w:color w:val="4A4A4A"/>
                <w:sz w:val="20"/>
                <w:szCs w:val="20"/>
                <w:lang w:eastAsia="en-GB"/>
              </w:rPr>
            </w:pPr>
            <w:r w:rsidRPr="008916A7">
              <w:rPr>
                <w:rFonts w:ascii="Tw Cen MT Condensed" w:eastAsia="Times New Roman" w:hAnsi="Tw Cen MT Condensed" w:cs="Times New Roman"/>
                <w:bCs/>
                <w:color w:val="4A4A4A"/>
                <w:sz w:val="20"/>
                <w:szCs w:val="20"/>
                <w:lang w:eastAsia="en-GB"/>
              </w:rPr>
              <w:t xml:space="preserve"> is administered with the promotion of the economic development and welfare of developing countries as its main objective; and</w:t>
            </w:r>
          </w:p>
          <w:p w14:paraId="11E2FE0B" w14:textId="77777777" w:rsidR="001F570F" w:rsidRPr="008916A7" w:rsidRDefault="001F570F" w:rsidP="001F570F">
            <w:pPr>
              <w:pStyle w:val="ListParagraph"/>
              <w:numPr>
                <w:ilvl w:val="0"/>
                <w:numId w:val="88"/>
              </w:numPr>
              <w:shd w:val="clear" w:color="auto" w:fill="FFFFFF"/>
              <w:spacing w:after="0"/>
              <w:jc w:val="both"/>
              <w:rPr>
                <w:rFonts w:ascii="Tw Cen MT Condensed" w:eastAsia="Times New Roman" w:hAnsi="Tw Cen MT Condensed" w:cs="Times New Roman"/>
                <w:bCs/>
                <w:i/>
                <w:color w:val="4A4A4A"/>
                <w:sz w:val="20"/>
                <w:szCs w:val="20"/>
                <w:lang w:eastAsia="en-GB"/>
              </w:rPr>
            </w:pPr>
            <w:proofErr w:type="gramStart"/>
            <w:r w:rsidRPr="008916A7">
              <w:rPr>
                <w:rFonts w:ascii="Tw Cen MT Condensed" w:eastAsia="Times New Roman" w:hAnsi="Tw Cen MT Condensed" w:cs="Times New Roman"/>
                <w:bCs/>
                <w:color w:val="4A4A4A"/>
                <w:sz w:val="20"/>
                <w:szCs w:val="20"/>
                <w:lang w:eastAsia="en-GB"/>
              </w:rPr>
              <w:t>is</w:t>
            </w:r>
            <w:proofErr w:type="gramEnd"/>
            <w:r w:rsidRPr="008916A7">
              <w:rPr>
                <w:rFonts w:ascii="Tw Cen MT Condensed" w:eastAsia="Times New Roman" w:hAnsi="Tw Cen MT Condensed" w:cs="Times New Roman"/>
                <w:bCs/>
                <w:color w:val="4A4A4A"/>
                <w:sz w:val="20"/>
                <w:szCs w:val="20"/>
                <w:lang w:eastAsia="en-GB"/>
              </w:rPr>
              <w:t xml:space="preserve"> concessional in character.</w:t>
            </w:r>
          </w:p>
          <w:p w14:paraId="4C38B4E7"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Cs/>
                <w:i/>
                <w:color w:val="4A4A4A"/>
                <w:szCs w:val="20"/>
                <w:lang w:eastAsia="en-GB"/>
              </w:rPr>
              <w:t xml:space="preserve"> </w:t>
            </w:r>
            <w:r w:rsidRPr="008916A7">
              <w:rPr>
                <w:rFonts w:eastAsia="Times New Roman" w:cs="Times New Roman"/>
                <w:color w:val="4A4A4A"/>
                <w:szCs w:val="20"/>
                <w:lang w:eastAsia="en-GB"/>
              </w:rPr>
              <w:t xml:space="preserve">(See </w:t>
            </w:r>
            <w:hyperlink r:id="rId132" w:history="1">
              <w:r w:rsidRPr="008916A7">
                <w:rPr>
                  <w:rStyle w:val="Hyperlink"/>
                  <w:rFonts w:eastAsia="Times New Roman" w:cs="Times New Roman"/>
                  <w:szCs w:val="20"/>
                  <w:lang w:eastAsia="en-GB"/>
                </w:rPr>
                <w:t>http://www.oecd.org/dac/stats/officialdevelopmentassistancedefinitionandcoverage.htm</w:t>
              </w:r>
            </w:hyperlink>
            <w:r w:rsidRPr="008916A7">
              <w:rPr>
                <w:rFonts w:eastAsia="Times New Roman" w:cs="Times New Roman"/>
                <w:color w:val="4A4A4A"/>
                <w:szCs w:val="20"/>
                <w:lang w:eastAsia="en-GB"/>
              </w:rPr>
              <w:t>).</w:t>
            </w:r>
          </w:p>
          <w:p w14:paraId="3680D1A4" w14:textId="77777777" w:rsidR="001F570F" w:rsidRPr="008916A7" w:rsidRDefault="001F570F" w:rsidP="001F570F">
            <w:pPr>
              <w:shd w:val="clear" w:color="auto" w:fill="FFFFFF"/>
              <w:jc w:val="both"/>
              <w:rPr>
                <w:rFonts w:eastAsia="Times New Roman" w:cs="Times New Roman"/>
                <w:bCs/>
                <w:i/>
                <w:color w:val="4A4A4A"/>
                <w:szCs w:val="20"/>
                <w:lang w:eastAsia="en-GB"/>
              </w:rPr>
            </w:pPr>
          </w:p>
          <w:p w14:paraId="06F7649C" w14:textId="77777777" w:rsidR="001F570F" w:rsidRPr="008916A7" w:rsidRDefault="001F570F" w:rsidP="001F570F">
            <w:pPr>
              <w:pStyle w:val="ListParagraph"/>
              <w:shd w:val="clear" w:color="auto" w:fill="FFFFFF"/>
              <w:spacing w:after="0"/>
              <w:ind w:left="1080"/>
              <w:jc w:val="both"/>
              <w:rPr>
                <w:rFonts w:ascii="Tw Cen MT Condensed" w:eastAsia="Times New Roman" w:hAnsi="Tw Cen MT Condensed" w:cs="Times New Roman"/>
                <w:bCs/>
                <w:i/>
                <w:color w:val="4A4A4A"/>
                <w:sz w:val="20"/>
                <w:szCs w:val="20"/>
                <w:lang w:eastAsia="en-GB"/>
              </w:rPr>
            </w:pPr>
          </w:p>
          <w:p w14:paraId="5BDB7AF4"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 xml:space="preserve">b)  The Environmental Policy Committee (EPOC) collects data on Policy Instruments for the Environment, including biodiversity-relevant economic instruments. Currently more than 110 countries are contributing data. For 2018 data, see </w:t>
            </w:r>
            <w:hyperlink r:id="rId133" w:history="1">
              <w:r w:rsidRPr="008916A7">
                <w:rPr>
                  <w:rStyle w:val="Hyperlink"/>
                  <w:rFonts w:eastAsia="Times New Roman" w:cs="Times New Roman"/>
                  <w:bCs/>
                  <w:szCs w:val="20"/>
                  <w:lang w:eastAsia="en-GB"/>
                </w:rPr>
                <w:t>Tracking Economic Instruments and Finance for Biodiversity</w:t>
              </w:r>
            </w:hyperlink>
            <w:r w:rsidRPr="008916A7">
              <w:rPr>
                <w:rFonts w:eastAsia="Times New Roman" w:cs="Times New Roman"/>
                <w:bCs/>
                <w:color w:val="4A4A4A"/>
                <w:szCs w:val="20"/>
                <w:lang w:eastAsia="en-GB"/>
              </w:rPr>
              <w:t xml:space="preserve">. </w:t>
            </w:r>
          </w:p>
          <w:p w14:paraId="0E08CB05" w14:textId="77777777" w:rsidR="001F570F" w:rsidRPr="008916A7" w:rsidRDefault="001F570F" w:rsidP="001F570F">
            <w:pPr>
              <w:shd w:val="clear" w:color="auto" w:fill="FFFFFF"/>
              <w:jc w:val="both"/>
              <w:rPr>
                <w:rFonts w:eastAsia="Times New Roman" w:cs="Times New Roman"/>
                <w:bCs/>
                <w:color w:val="4A4A4A"/>
                <w:szCs w:val="20"/>
                <w:lang w:eastAsia="en-GB"/>
              </w:rPr>
            </w:pPr>
          </w:p>
          <w:p w14:paraId="02613345"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Comments and limitations:</w:t>
            </w:r>
          </w:p>
          <w:p w14:paraId="65F8973C" w14:textId="77777777" w:rsidR="001F570F" w:rsidRPr="008916A7" w:rsidRDefault="001F570F" w:rsidP="001F570F">
            <w:pPr>
              <w:shd w:val="clear" w:color="auto" w:fill="FFFFFF"/>
              <w:rPr>
                <w:rFonts w:eastAsia="Times New Roman" w:cs="Times New Roman"/>
                <w:color w:val="4A4A4A"/>
                <w:szCs w:val="20"/>
                <w:highlight w:val="yellow"/>
                <w:lang w:eastAsia="en-GB"/>
              </w:rPr>
            </w:pPr>
          </w:p>
          <w:p w14:paraId="0CCEC958"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a) OECD CRS data are available since 1973. However, the data coverage at an activity level is considered complete from 1995 for commitments and 2002 for disbursements. The Rio biodiversity marker was introduced in 2002.</w:t>
            </w:r>
          </w:p>
          <w:p w14:paraId="740EF8B3" w14:textId="77777777" w:rsidR="001F570F" w:rsidRPr="008916A7" w:rsidRDefault="001F570F" w:rsidP="001F570F">
            <w:pPr>
              <w:shd w:val="clear" w:color="auto" w:fill="FFFFFF"/>
              <w:rPr>
                <w:rFonts w:eastAsia="Times New Roman" w:cs="Times New Roman"/>
                <w:color w:val="4A4A4A"/>
                <w:szCs w:val="20"/>
                <w:highlight w:val="yellow"/>
                <w:lang w:eastAsia="en-GB"/>
              </w:rPr>
            </w:pPr>
          </w:p>
          <w:p w14:paraId="7D67F305" w14:textId="77777777" w:rsidR="001F570F" w:rsidRPr="008916A7" w:rsidRDefault="001F570F" w:rsidP="001F570F">
            <w:pPr>
              <w:autoSpaceDE w:val="0"/>
              <w:autoSpaceDN w:val="0"/>
              <w:adjustRightInd w:val="0"/>
              <w:rPr>
                <w:rFonts w:eastAsia="Times New Roman" w:cs="Times New Roman"/>
                <w:bCs/>
                <w:color w:val="4A4A4A"/>
                <w:szCs w:val="20"/>
                <w:lang w:eastAsia="en-GB"/>
              </w:rPr>
            </w:pPr>
            <w:r w:rsidRPr="008916A7">
              <w:rPr>
                <w:rFonts w:eastAsia="Times New Roman" w:cs="Times New Roman"/>
                <w:bCs/>
                <w:color w:val="4A4A4A"/>
                <w:szCs w:val="20"/>
                <w:lang w:eastAsia="en-GB"/>
              </w:rPr>
              <w:t xml:space="preserve">b) The database tracks the biodiversity-relevant economic instruments that countries have put in place, and countries are encouraged to also provide information on the revenue and finance channelled via each of the instruments. The comprehensiveness of data provided currently varies across the biodiversity-relevant economic instruments. The data on revenue generated by biodiversity-relevant taxes is currently the most comprehensive. For the data on biodiversity-relevant fees and charges, for example, of the total number of these </w:t>
            </w:r>
            <w:r w:rsidRPr="008916A7">
              <w:rPr>
                <w:rFonts w:eastAsia="Times New Roman" w:cs="Times New Roman"/>
                <w:bCs/>
                <w:color w:val="4A4A4A"/>
                <w:szCs w:val="20"/>
                <w:lang w:eastAsia="en-GB"/>
              </w:rPr>
              <w:lastRenderedPageBreak/>
              <w:t xml:space="preserve">instruments currently reported to the PINE database, 42% also include data on the finance they generate.   </w:t>
            </w:r>
          </w:p>
          <w:p w14:paraId="17E2FABC" w14:textId="77777777" w:rsidR="001F570F" w:rsidRPr="008916A7" w:rsidRDefault="001F570F" w:rsidP="001F570F">
            <w:pPr>
              <w:autoSpaceDE w:val="0"/>
              <w:autoSpaceDN w:val="0"/>
              <w:adjustRightInd w:val="0"/>
              <w:rPr>
                <w:rFonts w:eastAsia="Times New Roman" w:cs="Times New Roman"/>
                <w:bCs/>
                <w:color w:val="4A4A4A"/>
                <w:szCs w:val="20"/>
                <w:lang w:eastAsia="en-GB"/>
              </w:rPr>
            </w:pPr>
          </w:p>
          <w:p w14:paraId="79B9B1C5" w14:textId="77777777" w:rsidR="001F570F" w:rsidRPr="008916A7" w:rsidRDefault="001F570F" w:rsidP="001F570F">
            <w:pPr>
              <w:shd w:val="clear" w:color="auto" w:fill="FFFFFF"/>
              <w:rPr>
                <w:rFonts w:eastAsia="Times New Roman" w:cs="Times New Roman"/>
                <w:bCs/>
                <w:color w:val="4A4A4A"/>
                <w:szCs w:val="20"/>
                <w:lang w:eastAsia="en-GB"/>
              </w:rPr>
            </w:pPr>
            <w:r w:rsidRPr="008916A7">
              <w:rPr>
                <w:rFonts w:eastAsia="Times New Roman" w:cs="Times New Roman"/>
                <w:bCs/>
                <w:color w:val="4A4A4A"/>
                <w:szCs w:val="20"/>
                <w:lang w:eastAsia="en-GB"/>
              </w:rPr>
              <w:t>Like all data provided by a diffuse set of respondents, the data is subject to missing values, human error, and differences in interpretation of the provided definitions. However, all possible efforts have been made to ensure that the data is complete, accurate, and comparable across countries.</w:t>
            </w:r>
          </w:p>
          <w:p w14:paraId="63E5CA9A" w14:textId="77777777" w:rsidR="001F570F" w:rsidRPr="008916A7" w:rsidRDefault="001F570F" w:rsidP="001F570F">
            <w:pPr>
              <w:shd w:val="clear" w:color="auto" w:fill="FFFFFF"/>
              <w:rPr>
                <w:rFonts w:eastAsia="Times New Roman" w:cs="Times New Roman"/>
                <w:b/>
                <w:bCs/>
                <w:color w:val="4A4A4A"/>
                <w:szCs w:val="20"/>
                <w:lang w:eastAsia="en-GB"/>
              </w:rPr>
            </w:pPr>
          </w:p>
          <w:p w14:paraId="019A4F7D"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Computation Method:</w:t>
            </w:r>
          </w:p>
          <w:p w14:paraId="17E82436" w14:textId="77777777" w:rsidR="001F570F" w:rsidRPr="008916A7" w:rsidRDefault="001F570F" w:rsidP="001F570F">
            <w:pPr>
              <w:shd w:val="clear" w:color="auto" w:fill="FFFFFF"/>
              <w:rPr>
                <w:rFonts w:eastAsia="Times New Roman" w:cs="Times New Roman"/>
                <w:color w:val="4A4A4A"/>
                <w:szCs w:val="20"/>
                <w:lang w:eastAsia="en-GB"/>
              </w:rPr>
            </w:pPr>
          </w:p>
          <w:p w14:paraId="3FC1EF21" w14:textId="77777777" w:rsidR="001F570F" w:rsidRPr="008916A7" w:rsidRDefault="001F570F" w:rsidP="001F570F">
            <w:pPr>
              <w:shd w:val="clear" w:color="auto" w:fill="FFFFFF"/>
              <w:jc w:val="both"/>
              <w:rPr>
                <w:rFonts w:eastAsia="Times New Roman" w:cs="Times New Roman"/>
                <w:noProof/>
                <w:color w:val="4A4A4A"/>
                <w:szCs w:val="20"/>
                <w:lang w:eastAsia="en-GB"/>
              </w:rPr>
            </w:pPr>
            <w:r w:rsidRPr="008916A7">
              <w:rPr>
                <w:rFonts w:eastAsia="Times New Roman" w:cs="Times New Roman"/>
                <w:color w:val="4A4A4A"/>
                <w:szCs w:val="20"/>
                <w:lang w:eastAsia="en-GB"/>
              </w:rPr>
              <w:t xml:space="preserve">a) </w:t>
            </w:r>
            <w:r w:rsidRPr="008916A7">
              <w:rPr>
                <w:rFonts w:eastAsia="Times New Roman" w:cs="Times New Roman"/>
                <w:noProof/>
                <w:color w:val="4A4A4A"/>
                <w:szCs w:val="20"/>
                <w:lang w:eastAsia="en-GB"/>
              </w:rPr>
              <w:t>This indicator is calculated as the sum of all ODA flows from all donors to developing countries that have biodiversity as a principal or significant objective, thus marked with the Rio marker for biodiversity.</w:t>
            </w:r>
          </w:p>
          <w:p w14:paraId="0DFF9D38" w14:textId="77777777" w:rsidR="001F570F" w:rsidRPr="008916A7" w:rsidRDefault="001F570F" w:rsidP="001F570F">
            <w:pPr>
              <w:shd w:val="clear" w:color="auto" w:fill="FFFFFF"/>
              <w:jc w:val="both"/>
              <w:rPr>
                <w:rFonts w:eastAsia="Times New Roman" w:cs="Times New Roman"/>
                <w:noProof/>
                <w:color w:val="4A4A4A"/>
                <w:szCs w:val="20"/>
                <w:lang w:eastAsia="en-GB"/>
              </w:rPr>
            </w:pPr>
          </w:p>
          <w:p w14:paraId="223F2F6F" w14:textId="77777777" w:rsidR="001F570F" w:rsidRPr="008916A7" w:rsidRDefault="001F570F" w:rsidP="001F570F">
            <w:pPr>
              <w:shd w:val="clear" w:color="auto" w:fill="FFFFFF"/>
              <w:rPr>
                <w:szCs w:val="20"/>
              </w:rPr>
            </w:pPr>
            <w:r w:rsidRPr="008916A7">
              <w:rPr>
                <w:rFonts w:eastAsia="Times New Roman" w:cs="Times New Roman"/>
                <w:color w:val="4A4A4A"/>
                <w:szCs w:val="20"/>
                <w:lang w:eastAsia="en-GB"/>
              </w:rPr>
              <w:t xml:space="preserve">b) </w:t>
            </w:r>
            <w:r w:rsidRPr="008916A7">
              <w:rPr>
                <w:szCs w:val="20"/>
              </w:rPr>
              <w:t>Countries are requested to report on when the policy instrument was introduced, what it applies to, the geographical coverage, the environmental domain, the industries concerned; the revenues, costs or rates; whether the revenue is earmarked; and exemptions.</w:t>
            </w:r>
          </w:p>
          <w:p w14:paraId="6D0B70BD" w14:textId="77777777" w:rsidR="001F570F" w:rsidRPr="008916A7" w:rsidRDefault="001F570F" w:rsidP="001F570F">
            <w:pPr>
              <w:pStyle w:val="NoSpacing"/>
              <w:rPr>
                <w:szCs w:val="20"/>
              </w:rPr>
            </w:pPr>
          </w:p>
        </w:tc>
        <w:tc>
          <w:tcPr>
            <w:tcW w:w="0" w:type="auto"/>
          </w:tcPr>
          <w:p w14:paraId="6AF1046F" w14:textId="77777777" w:rsidR="001F570F" w:rsidRPr="00CE3810" w:rsidRDefault="001F570F" w:rsidP="001F570F">
            <w:pPr>
              <w:pStyle w:val="NoSpacing"/>
            </w:pPr>
            <w:r>
              <w:lastRenderedPageBreak/>
              <w:t>Via and annual questionnaire</w:t>
            </w:r>
          </w:p>
        </w:tc>
        <w:tc>
          <w:tcPr>
            <w:tcW w:w="0" w:type="auto"/>
          </w:tcPr>
          <w:p w14:paraId="3B44073E" w14:textId="77777777" w:rsidR="001F570F" w:rsidRPr="00CE3810" w:rsidRDefault="001F570F" w:rsidP="001F570F">
            <w:pPr>
              <w:pStyle w:val="NoSpacing"/>
            </w:pPr>
            <w:r>
              <w:t>Ministries of Finance and Environment, statistical institutes</w:t>
            </w:r>
          </w:p>
        </w:tc>
        <w:tc>
          <w:tcPr>
            <w:tcW w:w="0" w:type="auto"/>
          </w:tcPr>
          <w:p w14:paraId="27D57A71" w14:textId="424B1A6F" w:rsidR="001F570F" w:rsidRDefault="001F570F" w:rsidP="001F570F">
            <w:pPr>
              <w:pStyle w:val="NoSpacing"/>
              <w:rPr>
                <w:color w:val="0070C0"/>
                <w:sz w:val="30"/>
                <w:szCs w:val="30"/>
              </w:rPr>
            </w:pPr>
          </w:p>
        </w:tc>
        <w:tc>
          <w:tcPr>
            <w:tcW w:w="0" w:type="auto"/>
          </w:tcPr>
          <w:p w14:paraId="43C70ED4" w14:textId="77777777" w:rsidR="001F570F" w:rsidRPr="00BC6F10" w:rsidRDefault="001F570F" w:rsidP="001F570F">
            <w:pPr>
              <w:rPr>
                <w:rFonts w:eastAsia="Times New Roman" w:cs="Times New Roman"/>
                <w:color w:val="000000" w:themeColor="text1"/>
                <w:szCs w:val="20"/>
              </w:rPr>
            </w:pPr>
            <w:r w:rsidRPr="00BC6F10">
              <w:rPr>
                <w:rFonts w:eastAsia="Times New Roman" w:cs="Times New Roman"/>
                <w:color w:val="000000" w:themeColor="text1"/>
                <w:szCs w:val="20"/>
              </w:rPr>
              <w:t xml:space="preserve">a) </w:t>
            </w:r>
            <w:r>
              <w:rPr>
                <w:rFonts w:eastAsia="Times New Roman" w:cs="Times New Roman"/>
                <w:color w:val="000000" w:themeColor="text1"/>
                <w:szCs w:val="20"/>
              </w:rPr>
              <w:t>ERD</w:t>
            </w:r>
            <w:r>
              <w:rPr>
                <w:rFonts w:eastAsia="Times New Roman" w:cs="Times New Roman"/>
                <w:color w:val="000000" w:themeColor="text1"/>
                <w:szCs w:val="20"/>
              </w:rPr>
              <w:br/>
              <w:t>b</w:t>
            </w:r>
            <w:r w:rsidRPr="00BC6F10">
              <w:rPr>
                <w:rFonts w:eastAsia="Times New Roman" w:cs="Times New Roman"/>
                <w:color w:val="000000" w:themeColor="text1"/>
                <w:szCs w:val="20"/>
              </w:rPr>
              <w:t xml:space="preserve">) </w:t>
            </w:r>
            <w:r>
              <w:rPr>
                <w:rFonts w:eastAsia="Times New Roman" w:cs="Times New Roman"/>
                <w:color w:val="000000" w:themeColor="text1"/>
                <w:szCs w:val="20"/>
              </w:rPr>
              <w:t>MoEFCC</w:t>
            </w:r>
            <w:r>
              <w:rPr>
                <w:rFonts w:eastAsia="Times New Roman" w:cs="Times New Roman"/>
                <w:color w:val="000000" w:themeColor="text1"/>
                <w:szCs w:val="20"/>
              </w:rPr>
              <w:br/>
              <w:t>c</w:t>
            </w:r>
            <w:r w:rsidRPr="00BC6F10">
              <w:rPr>
                <w:rFonts w:eastAsia="Times New Roman" w:cs="Times New Roman"/>
                <w:color w:val="000000" w:themeColor="text1"/>
                <w:szCs w:val="20"/>
              </w:rPr>
              <w:t>) MoA</w:t>
            </w:r>
          </w:p>
          <w:p w14:paraId="4690A352" w14:textId="77777777" w:rsidR="001F570F" w:rsidRDefault="001F570F" w:rsidP="001F570F">
            <w:pPr>
              <w:ind w:left="970" w:hanging="970"/>
              <w:jc w:val="both"/>
              <w:rPr>
                <w:rFonts w:eastAsia="Times New Roman" w:cs="Times New Roman"/>
                <w:color w:val="000000" w:themeColor="text1"/>
                <w:szCs w:val="20"/>
              </w:rPr>
            </w:pPr>
            <w:r>
              <w:rPr>
                <w:rFonts w:eastAsia="Times New Roman" w:cs="Times New Roman"/>
                <w:color w:val="000000" w:themeColor="text1"/>
                <w:szCs w:val="20"/>
              </w:rPr>
              <w:t>d</w:t>
            </w:r>
            <w:r w:rsidRPr="00BC6F10">
              <w:rPr>
                <w:rFonts w:eastAsia="Times New Roman" w:cs="Times New Roman"/>
                <w:color w:val="000000" w:themeColor="text1"/>
                <w:szCs w:val="20"/>
              </w:rPr>
              <w:t xml:space="preserve">) </w:t>
            </w:r>
          </w:p>
          <w:p w14:paraId="35D6657E" w14:textId="77777777" w:rsidR="001F570F" w:rsidRDefault="001F570F" w:rsidP="001F570F">
            <w:pPr>
              <w:ind w:left="970" w:hanging="970"/>
              <w:jc w:val="both"/>
              <w:rPr>
                <w:rFonts w:eastAsia="Times New Roman" w:cs="Times New Roman"/>
                <w:color w:val="000000" w:themeColor="text1"/>
                <w:szCs w:val="20"/>
              </w:rPr>
            </w:pPr>
            <w:r w:rsidRPr="00BC6F10">
              <w:rPr>
                <w:rFonts w:eastAsia="Times New Roman" w:cs="Times New Roman"/>
                <w:color w:val="000000" w:themeColor="text1"/>
                <w:szCs w:val="20"/>
              </w:rPr>
              <w:t>UNSTATS</w:t>
            </w:r>
          </w:p>
          <w:p w14:paraId="7D007168" w14:textId="77777777" w:rsidR="001F570F" w:rsidRDefault="001F570F" w:rsidP="001F570F">
            <w:pPr>
              <w:ind w:left="970" w:hanging="970"/>
              <w:jc w:val="both"/>
              <w:rPr>
                <w:rFonts w:eastAsia="Times New Roman" w:cs="Times New Roman"/>
                <w:color w:val="000000" w:themeColor="text1"/>
                <w:szCs w:val="20"/>
              </w:rPr>
            </w:pPr>
          </w:p>
          <w:p w14:paraId="150B8C6F" w14:textId="77777777" w:rsidR="001F570F" w:rsidRDefault="001F570F" w:rsidP="001F570F">
            <w:pPr>
              <w:pStyle w:val="NoSpacing"/>
              <w:rPr>
                <w:color w:val="0070C0"/>
                <w:sz w:val="30"/>
                <w:szCs w:val="30"/>
              </w:rPr>
            </w:pPr>
            <w:r w:rsidRPr="007B19A9">
              <w:t xml:space="preserve">Administrative </w:t>
            </w:r>
            <w:r w:rsidRPr="007B19A9">
              <w:lastRenderedPageBreak/>
              <w:t>Data</w:t>
            </w:r>
          </w:p>
        </w:tc>
        <w:tc>
          <w:tcPr>
            <w:tcW w:w="0" w:type="auto"/>
          </w:tcPr>
          <w:p w14:paraId="7717364B"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donor country</w:t>
            </w:r>
          </w:p>
          <w:p w14:paraId="508ACF62" w14:textId="5D315E30"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recipient country</w:t>
            </w:r>
            <w:r w:rsidR="00F34A0F">
              <w:rPr>
                <w:rFonts w:ascii="Tw Cen MT Condensed" w:hAnsi="Tw Cen MT Condensed"/>
                <w:sz w:val="20"/>
                <w:szCs w:val="20"/>
              </w:rPr>
              <w:t xml:space="preserve"> (region)</w:t>
            </w:r>
          </w:p>
          <w:p w14:paraId="7842D16B"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finance</w:t>
            </w:r>
          </w:p>
          <w:p w14:paraId="3668E883"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aid</w:t>
            </w:r>
          </w:p>
          <w:p w14:paraId="71ACC021" w14:textId="77777777" w:rsidR="001F570F" w:rsidRDefault="001F570F" w:rsidP="001F570F">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sector </w:t>
            </w:r>
          </w:p>
          <w:p w14:paraId="1C02324B" w14:textId="49F74F53" w:rsidR="00F34A0F" w:rsidRPr="00F34A0F" w:rsidRDefault="00F34A0F" w:rsidP="001F570F">
            <w:pPr>
              <w:pStyle w:val="ListParagraph"/>
              <w:numPr>
                <w:ilvl w:val="0"/>
                <w:numId w:val="52"/>
              </w:numPr>
              <w:spacing w:after="0" w:line="240" w:lineRule="auto"/>
              <w:ind w:left="160" w:hanging="160"/>
              <w:jc w:val="both"/>
              <w:rPr>
                <w:rFonts w:ascii="Tw Cen MT Condensed" w:hAnsi="Tw Cen MT Condensed"/>
                <w:sz w:val="20"/>
                <w:szCs w:val="20"/>
              </w:rPr>
            </w:pPr>
            <w:r w:rsidRPr="00F34A0F">
              <w:rPr>
                <w:rFonts w:ascii="Tw Cen MT Condensed" w:eastAsia="Times New Roman" w:hAnsi="Tw Cen MT Condensed" w:cs="Times New Roman"/>
                <w:color w:val="4A4A4A"/>
                <w:sz w:val="21"/>
                <w:szCs w:val="21"/>
                <w:lang w:eastAsia="en-GB"/>
              </w:rPr>
              <w:lastRenderedPageBreak/>
              <w:t>by policy marker</w:t>
            </w:r>
            <w:r>
              <w:rPr>
                <w:rFonts w:ascii="Tw Cen MT Condensed" w:eastAsia="Times New Roman" w:hAnsi="Tw Cen MT Condensed" w:cs="Times New Roman"/>
                <w:color w:val="4A4A4A"/>
                <w:sz w:val="21"/>
                <w:szCs w:val="21"/>
                <w:lang w:eastAsia="en-GB"/>
              </w:rPr>
              <w:t xml:space="preserve"> (gender)</w:t>
            </w:r>
          </w:p>
          <w:p w14:paraId="0B53AA54" w14:textId="77777777" w:rsidR="001F570F" w:rsidRDefault="001F570F" w:rsidP="001F570F">
            <w:pPr>
              <w:ind w:left="970" w:hanging="970"/>
              <w:jc w:val="both"/>
              <w:rPr>
                <w:color w:val="0070C0"/>
                <w:sz w:val="30"/>
                <w:szCs w:val="30"/>
              </w:rPr>
            </w:pPr>
          </w:p>
        </w:tc>
        <w:tc>
          <w:tcPr>
            <w:tcW w:w="0" w:type="auto"/>
          </w:tcPr>
          <w:p w14:paraId="23BA0134" w14:textId="77777777" w:rsidR="001F570F" w:rsidRDefault="001F570F" w:rsidP="001F570F">
            <w:pPr>
              <w:ind w:left="970" w:hanging="970"/>
              <w:jc w:val="both"/>
              <w:rPr>
                <w:color w:val="0070C0"/>
                <w:sz w:val="30"/>
                <w:szCs w:val="30"/>
              </w:rPr>
            </w:pPr>
            <w:r w:rsidRPr="00261A09">
              <w:lastRenderedPageBreak/>
              <w:t>Annual</w:t>
            </w:r>
          </w:p>
        </w:tc>
        <w:tc>
          <w:tcPr>
            <w:tcW w:w="0" w:type="auto"/>
          </w:tcPr>
          <w:p w14:paraId="31CCF392" w14:textId="77777777" w:rsidR="001F570F" w:rsidRDefault="001F570F" w:rsidP="001F570F">
            <w:pPr>
              <w:ind w:left="970" w:hanging="970"/>
              <w:jc w:val="both"/>
              <w:rPr>
                <w:color w:val="0070C0"/>
                <w:sz w:val="30"/>
                <w:szCs w:val="30"/>
              </w:rPr>
            </w:pPr>
          </w:p>
        </w:tc>
        <w:tc>
          <w:tcPr>
            <w:tcW w:w="0" w:type="auto"/>
          </w:tcPr>
          <w:p w14:paraId="1331CB42" w14:textId="77777777" w:rsidR="001F570F" w:rsidRDefault="001F570F" w:rsidP="001F570F">
            <w:pPr>
              <w:pStyle w:val="NoSpacing"/>
            </w:pPr>
            <w:r>
              <w:t>1</w:t>
            </w:r>
            <w:r w:rsidRPr="00013ACB">
              <w:rPr>
                <w:vertAlign w:val="superscript"/>
              </w:rPr>
              <w:t>st</w:t>
            </w:r>
            <w:r>
              <w:t xml:space="preserve"> Round:</w:t>
            </w:r>
          </w:p>
          <w:p w14:paraId="784F6D74" w14:textId="77777777" w:rsidR="001F570F" w:rsidRDefault="001F570F" w:rsidP="001F570F">
            <w:pPr>
              <w:pStyle w:val="NoSpacing"/>
            </w:pPr>
            <w:r>
              <w:t>2015</w:t>
            </w:r>
          </w:p>
          <w:p w14:paraId="1A26EA1D" w14:textId="77777777" w:rsidR="001F570F" w:rsidRDefault="001F570F" w:rsidP="001F570F">
            <w:pPr>
              <w:pStyle w:val="NoSpacing"/>
            </w:pPr>
          </w:p>
          <w:p w14:paraId="61F00E75" w14:textId="77777777" w:rsidR="001F570F" w:rsidRDefault="001F570F" w:rsidP="001F570F">
            <w:pPr>
              <w:pStyle w:val="NoSpacing"/>
            </w:pPr>
            <w:r>
              <w:t>2</w:t>
            </w:r>
            <w:r w:rsidRPr="00013ACB">
              <w:rPr>
                <w:vertAlign w:val="superscript"/>
              </w:rPr>
              <w:t>nd</w:t>
            </w:r>
            <w:r>
              <w:t xml:space="preserve"> Round:</w:t>
            </w:r>
          </w:p>
          <w:p w14:paraId="516799FC" w14:textId="77777777" w:rsidR="001F570F" w:rsidRPr="00670519" w:rsidRDefault="001F570F" w:rsidP="001F570F">
            <w:pPr>
              <w:pStyle w:val="NoSpacing"/>
              <w:rPr>
                <w:b/>
              </w:rPr>
            </w:pPr>
            <w:r>
              <w:t xml:space="preserve"> </w:t>
            </w:r>
            <w:r w:rsidRPr="00670519">
              <w:t xml:space="preserve">December, </w:t>
            </w:r>
          </w:p>
          <w:p w14:paraId="0E8B3F94" w14:textId="77777777" w:rsidR="001F570F" w:rsidRDefault="001F570F" w:rsidP="001F570F">
            <w:pPr>
              <w:pStyle w:val="NoSpacing"/>
            </w:pPr>
            <w:r>
              <w:t>2020</w:t>
            </w:r>
          </w:p>
          <w:p w14:paraId="0F12BAE1" w14:textId="77777777" w:rsidR="001F570F" w:rsidRDefault="001F570F" w:rsidP="001F570F">
            <w:pPr>
              <w:pStyle w:val="NoSpacing"/>
            </w:pPr>
          </w:p>
          <w:p w14:paraId="5C98005C" w14:textId="77777777" w:rsidR="001F570F" w:rsidRDefault="001F570F" w:rsidP="001F570F">
            <w:pPr>
              <w:pStyle w:val="NoSpacing"/>
            </w:pPr>
            <w:r>
              <w:t>3</w:t>
            </w:r>
            <w:r w:rsidRPr="00013ACB">
              <w:rPr>
                <w:vertAlign w:val="superscript"/>
              </w:rPr>
              <w:t>rd</w:t>
            </w:r>
            <w:r>
              <w:t xml:space="preserve"> Round: </w:t>
            </w:r>
          </w:p>
          <w:p w14:paraId="4E52B338" w14:textId="77777777" w:rsidR="001F570F" w:rsidRPr="00670519" w:rsidRDefault="001F570F" w:rsidP="001F570F">
            <w:pPr>
              <w:pStyle w:val="NoSpacing"/>
              <w:rPr>
                <w:b/>
              </w:rPr>
            </w:pPr>
            <w:r w:rsidRPr="00670519">
              <w:t xml:space="preserve">December, </w:t>
            </w:r>
          </w:p>
          <w:p w14:paraId="55B25777" w14:textId="77777777" w:rsidR="001F570F" w:rsidRDefault="001F570F" w:rsidP="001F570F">
            <w:pPr>
              <w:pStyle w:val="NoSpacing"/>
            </w:pPr>
            <w:r>
              <w:t>2021</w:t>
            </w:r>
          </w:p>
          <w:p w14:paraId="35D24E31" w14:textId="77777777" w:rsidR="001F570F" w:rsidRDefault="001F570F" w:rsidP="001F570F">
            <w:pPr>
              <w:pStyle w:val="NoSpacing"/>
            </w:pPr>
          </w:p>
          <w:p w14:paraId="600E7F19" w14:textId="77777777" w:rsidR="001F570F" w:rsidRDefault="001F570F" w:rsidP="001F570F">
            <w:pPr>
              <w:pStyle w:val="NoSpacing"/>
            </w:pPr>
            <w:r>
              <w:t>4</w:t>
            </w:r>
            <w:r w:rsidRPr="00013ACB">
              <w:rPr>
                <w:vertAlign w:val="superscript"/>
              </w:rPr>
              <w:t>th</w:t>
            </w:r>
            <w:r>
              <w:t xml:space="preserve"> Round: </w:t>
            </w:r>
          </w:p>
          <w:p w14:paraId="272EBEFF" w14:textId="77777777" w:rsidR="001F570F" w:rsidRPr="00670519" w:rsidRDefault="001F570F" w:rsidP="001F570F">
            <w:pPr>
              <w:pStyle w:val="NoSpacing"/>
              <w:rPr>
                <w:b/>
              </w:rPr>
            </w:pPr>
            <w:r w:rsidRPr="00670519">
              <w:t xml:space="preserve">December, </w:t>
            </w:r>
          </w:p>
          <w:p w14:paraId="4761F91B" w14:textId="77777777" w:rsidR="001F570F" w:rsidRDefault="001F570F" w:rsidP="001F570F">
            <w:pPr>
              <w:pStyle w:val="NoSpacing"/>
            </w:pPr>
            <w:r>
              <w:t>2022</w:t>
            </w:r>
          </w:p>
          <w:p w14:paraId="149E4AB1" w14:textId="77777777" w:rsidR="001F570F" w:rsidRDefault="001F570F" w:rsidP="001F570F">
            <w:pPr>
              <w:pStyle w:val="NoSpacing"/>
            </w:pPr>
          </w:p>
          <w:p w14:paraId="17A41F87" w14:textId="77777777" w:rsidR="001F570F" w:rsidRDefault="001F570F" w:rsidP="001F570F">
            <w:pPr>
              <w:pStyle w:val="NoSpacing"/>
            </w:pPr>
            <w:r>
              <w:t>5</w:t>
            </w:r>
            <w:r w:rsidRPr="00013ACB">
              <w:rPr>
                <w:vertAlign w:val="superscript"/>
              </w:rPr>
              <w:t>th</w:t>
            </w:r>
            <w:r>
              <w:t xml:space="preserve"> Round: </w:t>
            </w:r>
          </w:p>
          <w:p w14:paraId="0E5A2C80" w14:textId="77777777" w:rsidR="001F570F" w:rsidRPr="00670519" w:rsidRDefault="001F570F" w:rsidP="001F570F">
            <w:pPr>
              <w:pStyle w:val="NoSpacing"/>
              <w:rPr>
                <w:b/>
              </w:rPr>
            </w:pPr>
            <w:r w:rsidRPr="00670519">
              <w:t xml:space="preserve">December, </w:t>
            </w:r>
          </w:p>
          <w:p w14:paraId="3469F5A7" w14:textId="77777777" w:rsidR="001F570F" w:rsidRDefault="001F570F" w:rsidP="001F570F">
            <w:pPr>
              <w:pStyle w:val="NoSpacing"/>
            </w:pPr>
            <w:r>
              <w:t>2023</w:t>
            </w:r>
          </w:p>
          <w:p w14:paraId="519ACA5D" w14:textId="3B070B2C" w:rsidR="001F570F" w:rsidRDefault="001F570F" w:rsidP="001F570F">
            <w:pPr>
              <w:pStyle w:val="NoSpacing"/>
            </w:pPr>
          </w:p>
        </w:tc>
        <w:tc>
          <w:tcPr>
            <w:tcW w:w="0" w:type="auto"/>
          </w:tcPr>
          <w:p w14:paraId="506DC75F" w14:textId="18445F4B" w:rsidR="00693862" w:rsidRDefault="001F570F" w:rsidP="001F570F">
            <w:pPr>
              <w:pStyle w:val="NoSpacing"/>
            </w:pPr>
            <w:r>
              <w:lastRenderedPageBreak/>
              <w:t>UNSC 51 replacement included in the 2020 comprehensive review</w:t>
            </w:r>
          </w:p>
          <w:p w14:paraId="1E866E3E" w14:textId="77777777" w:rsidR="00693862" w:rsidRDefault="00693862" w:rsidP="001F570F">
            <w:pPr>
              <w:pStyle w:val="NoSpacing"/>
            </w:pPr>
          </w:p>
          <w:p w14:paraId="263FF520" w14:textId="7EAB93BA" w:rsidR="00693862" w:rsidRDefault="00693862" w:rsidP="001F570F">
            <w:pPr>
              <w:pStyle w:val="NoSpacing"/>
            </w:pPr>
            <w:r>
              <w:lastRenderedPageBreak/>
              <w:t xml:space="preserve">Repeated </w:t>
            </w:r>
          </w:p>
          <w:p w14:paraId="3A067DCF" w14:textId="6AED1F20" w:rsidR="001F570F" w:rsidRDefault="001F570F">
            <w:pPr>
              <w:pStyle w:val="NoSpacing"/>
            </w:pPr>
            <w:r>
              <w:t xml:space="preserve">15.b.1 </w:t>
            </w:r>
          </w:p>
        </w:tc>
      </w:tr>
      <w:tr w:rsidR="001F570F" w14:paraId="448E8F56" w14:textId="77777777" w:rsidTr="00A64F0D">
        <w:tc>
          <w:tcPr>
            <w:tcW w:w="0" w:type="auto"/>
          </w:tcPr>
          <w:p w14:paraId="193A3C27" w14:textId="77777777" w:rsidR="001F570F" w:rsidRDefault="001F570F" w:rsidP="001F570F">
            <w:pPr>
              <w:ind w:left="970" w:hanging="970"/>
              <w:jc w:val="both"/>
              <w:rPr>
                <w:color w:val="0070C0"/>
                <w:sz w:val="30"/>
                <w:szCs w:val="30"/>
              </w:rPr>
            </w:pPr>
          </w:p>
        </w:tc>
        <w:tc>
          <w:tcPr>
            <w:tcW w:w="0" w:type="auto"/>
            <w:gridSpan w:val="12"/>
          </w:tcPr>
          <w:p w14:paraId="6A226521" w14:textId="77777777" w:rsidR="001F570F" w:rsidRDefault="001F570F" w:rsidP="001F570F">
            <w:pPr>
              <w:jc w:val="both"/>
              <w:rPr>
                <w:color w:val="0070C0"/>
                <w:sz w:val="48"/>
                <w:szCs w:val="48"/>
              </w:rPr>
            </w:pPr>
            <w:r>
              <w:rPr>
                <w:color w:val="0070C0"/>
                <w:sz w:val="30"/>
                <w:szCs w:val="30"/>
              </w:rPr>
              <w:t xml:space="preserve">Target </w:t>
            </w:r>
            <w:r w:rsidRPr="00DD1B91">
              <w:rPr>
                <w:color w:val="0070C0"/>
                <w:sz w:val="30"/>
                <w:szCs w:val="30"/>
              </w:rPr>
              <w:t>15.b Mobilize significant resources from all sources and at all levels to finance sustainable forest management and provide adequate incentives to developing countries to advance such management, including for conservation and reforestation</w:t>
            </w:r>
          </w:p>
        </w:tc>
      </w:tr>
      <w:tr w:rsidR="001F570F" w14:paraId="4A3428EF" w14:textId="77777777" w:rsidTr="00A64F0D">
        <w:tc>
          <w:tcPr>
            <w:tcW w:w="0" w:type="auto"/>
          </w:tcPr>
          <w:p w14:paraId="2C1DA2BF" w14:textId="77777777" w:rsidR="001F570F" w:rsidRPr="00BA046C" w:rsidRDefault="001F570F" w:rsidP="001F570F">
            <w:pPr>
              <w:pStyle w:val="NoSpacing"/>
            </w:pPr>
            <w:r w:rsidRPr="00BA046C">
              <w:t>15.b.1 (a) Official development assistance on conservation and sustainable use of biodiversity; and (b) revenue generated and finance mobilized from biodiversity-relevant economic instruments</w:t>
            </w:r>
          </w:p>
        </w:tc>
        <w:tc>
          <w:tcPr>
            <w:tcW w:w="0" w:type="auto"/>
          </w:tcPr>
          <w:p w14:paraId="07F93E53" w14:textId="77777777" w:rsidR="001F570F" w:rsidRDefault="001F570F" w:rsidP="001F570F">
            <w:pPr>
              <w:ind w:left="970" w:hanging="970"/>
              <w:jc w:val="both"/>
              <w:rPr>
                <w:color w:val="0070C0"/>
                <w:sz w:val="30"/>
                <w:szCs w:val="30"/>
              </w:rPr>
            </w:pPr>
          </w:p>
          <w:p w14:paraId="7FD8ADD2" w14:textId="77777777" w:rsidR="001F570F" w:rsidRDefault="001F570F" w:rsidP="001F570F">
            <w:pPr>
              <w:rPr>
                <w:b/>
                <w:bCs/>
                <w:szCs w:val="20"/>
              </w:rPr>
            </w:pPr>
          </w:p>
          <w:p w14:paraId="36914FEB" w14:textId="77777777" w:rsidR="001F570F" w:rsidRDefault="001F570F" w:rsidP="001F570F">
            <w:pPr>
              <w:ind w:left="970" w:hanging="970"/>
              <w:jc w:val="both"/>
              <w:rPr>
                <w:color w:val="0070C0"/>
                <w:sz w:val="30"/>
                <w:szCs w:val="30"/>
              </w:rPr>
            </w:pPr>
          </w:p>
        </w:tc>
        <w:tc>
          <w:tcPr>
            <w:tcW w:w="0" w:type="auto"/>
          </w:tcPr>
          <w:p w14:paraId="7FB3C34F" w14:textId="25CFF847" w:rsidR="001F570F" w:rsidRDefault="00754676" w:rsidP="001F570F">
            <w:pPr>
              <w:pStyle w:val="NoSpacing"/>
            </w:pPr>
            <w:r>
              <w:t>TBD</w:t>
            </w:r>
          </w:p>
        </w:tc>
        <w:tc>
          <w:tcPr>
            <w:tcW w:w="0" w:type="auto"/>
          </w:tcPr>
          <w:p w14:paraId="2E589ED8"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Definition:</w:t>
            </w:r>
          </w:p>
          <w:p w14:paraId="18D282BD" w14:textId="77777777" w:rsidR="001F570F" w:rsidRPr="008916A7" w:rsidRDefault="001F570F" w:rsidP="001F570F">
            <w:pPr>
              <w:shd w:val="clear" w:color="auto" w:fill="FFFFFF"/>
              <w:rPr>
                <w:rFonts w:eastAsia="Times New Roman" w:cs="Times New Roman"/>
                <w:color w:val="4A4A4A"/>
                <w:szCs w:val="20"/>
                <w:highlight w:val="yellow"/>
                <w:lang w:eastAsia="en-GB"/>
              </w:rPr>
            </w:pPr>
          </w:p>
          <w:p w14:paraId="5EEE3DF6"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This is a twin indicator consisting of:</w:t>
            </w:r>
          </w:p>
          <w:p w14:paraId="74CBF422" w14:textId="77777777" w:rsidR="001F570F" w:rsidRPr="008916A7" w:rsidRDefault="001F570F" w:rsidP="001F570F">
            <w:pPr>
              <w:shd w:val="clear" w:color="auto" w:fill="FFFFFF"/>
              <w:jc w:val="both"/>
              <w:rPr>
                <w:rFonts w:eastAsia="Times New Roman" w:cs="Times New Roman"/>
                <w:bCs/>
                <w:color w:val="4A4A4A"/>
                <w:szCs w:val="20"/>
                <w:lang w:eastAsia="en-GB"/>
              </w:rPr>
            </w:pPr>
          </w:p>
          <w:p w14:paraId="4F61C086" w14:textId="77777777" w:rsidR="001F570F" w:rsidRPr="008916A7" w:rsidRDefault="001F570F" w:rsidP="001F570F">
            <w:pPr>
              <w:rPr>
                <w:rFonts w:eastAsia="Times New Roman" w:cs="Times New Roman"/>
                <w:color w:val="4A4A4A"/>
                <w:szCs w:val="20"/>
                <w:highlight w:val="yellow"/>
                <w:lang w:eastAsia="en-GB"/>
              </w:rPr>
            </w:pPr>
            <w:r w:rsidRPr="008916A7">
              <w:rPr>
                <w:rFonts w:eastAsia="Times New Roman" w:cs="Times New Roman"/>
                <w:bCs/>
                <w:color w:val="4A4A4A"/>
                <w:szCs w:val="20"/>
                <w:lang w:eastAsia="en-GB"/>
              </w:rPr>
              <w:t xml:space="preserve">a) Official development assistance on conservation and sustainable use of biodiversity, defined as gross disbursements of total Official Development Assistance (ODA) from all donors for biodiversity. </w:t>
            </w:r>
          </w:p>
          <w:p w14:paraId="7423BE67" w14:textId="77777777" w:rsidR="001F570F" w:rsidRPr="008916A7" w:rsidRDefault="001F570F" w:rsidP="001F570F">
            <w:pPr>
              <w:pStyle w:val="Default"/>
              <w:rPr>
                <w:rFonts w:ascii="Tw Cen MT Condensed" w:eastAsia="Times New Roman" w:hAnsi="Tw Cen MT Condensed" w:cs="Times New Roman"/>
                <w:bCs/>
                <w:color w:val="4A4A4A"/>
                <w:szCs w:val="20"/>
                <w:lang w:eastAsia="en-GB"/>
              </w:rPr>
            </w:pPr>
            <w:r w:rsidRPr="008916A7">
              <w:rPr>
                <w:rFonts w:ascii="Tw Cen MT Condensed" w:eastAsia="Times New Roman" w:hAnsi="Tw Cen MT Condensed" w:cs="Times New Roman"/>
                <w:bCs/>
                <w:color w:val="4A4A4A"/>
                <w:szCs w:val="20"/>
                <w:lang w:eastAsia="en-GB"/>
              </w:rPr>
              <w:t xml:space="preserve">b) </w:t>
            </w:r>
            <w:proofErr w:type="gramStart"/>
            <w:r w:rsidRPr="008916A7">
              <w:rPr>
                <w:rFonts w:ascii="Tw Cen MT Condensed" w:eastAsia="Times New Roman" w:hAnsi="Tw Cen MT Condensed" w:cs="Times New Roman"/>
                <w:bCs/>
                <w:color w:val="4A4A4A"/>
                <w:szCs w:val="20"/>
                <w:lang w:eastAsia="en-GB"/>
              </w:rPr>
              <w:t>revenue</w:t>
            </w:r>
            <w:proofErr w:type="gramEnd"/>
            <w:r w:rsidRPr="008916A7">
              <w:rPr>
                <w:rFonts w:ascii="Tw Cen MT Condensed" w:eastAsia="Times New Roman" w:hAnsi="Tw Cen MT Condensed" w:cs="Times New Roman"/>
                <w:bCs/>
                <w:color w:val="4A4A4A"/>
                <w:szCs w:val="20"/>
                <w:lang w:eastAsia="en-GB"/>
              </w:rPr>
              <w:t xml:space="preserve"> generated and finance mobilised from biodiversity-relevant economic instruments, defined as revenue generated and finance mobilised from biodiversity-relevant economic instruments, covering biodiversity-relevant taxes, fees and charges, and positive subsidies. (New on-going work is underway to collect data on payments for ecosystem services and biodiversity offsets -- including the finance they mobilise for biodiversity</w:t>
            </w:r>
            <w:r w:rsidRPr="008916A7">
              <w:rPr>
                <w:rFonts w:ascii="Tw Cen MT Condensed" w:hAnsi="Tw Cen MT Condensed"/>
                <w:szCs w:val="20"/>
              </w:rPr>
              <w:t>).</w:t>
            </w:r>
          </w:p>
          <w:p w14:paraId="1A4C5A93" w14:textId="77777777" w:rsidR="001F570F" w:rsidRPr="008916A7" w:rsidRDefault="001F570F" w:rsidP="001F570F">
            <w:pPr>
              <w:shd w:val="clear" w:color="auto" w:fill="FFFFFF"/>
              <w:rPr>
                <w:rFonts w:eastAsia="Times New Roman" w:cs="Times New Roman"/>
                <w:color w:val="4A4A4A"/>
                <w:szCs w:val="20"/>
                <w:lang w:eastAsia="en-GB"/>
              </w:rPr>
            </w:pPr>
          </w:p>
          <w:p w14:paraId="7E3B7544"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Concepts:</w:t>
            </w:r>
          </w:p>
          <w:p w14:paraId="4A0EB6ED" w14:textId="77777777" w:rsidR="001F570F" w:rsidRPr="008916A7" w:rsidRDefault="001F570F" w:rsidP="001F570F">
            <w:pPr>
              <w:shd w:val="clear" w:color="auto" w:fill="FFFFFF"/>
              <w:jc w:val="both"/>
              <w:rPr>
                <w:rFonts w:eastAsia="Times New Roman" w:cs="Times New Roman"/>
                <w:bCs/>
                <w:color w:val="4A4A4A"/>
                <w:szCs w:val="20"/>
                <w:lang w:eastAsia="en-GB"/>
              </w:rPr>
            </w:pPr>
          </w:p>
          <w:p w14:paraId="318C7A70"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a) The Development Assistance Committee (DAC) defines ODA as those flows to countries and territories on the DAC list of ODA recipients and multilateral institutions which are:</w:t>
            </w:r>
          </w:p>
          <w:p w14:paraId="7541FA71" w14:textId="77777777" w:rsidR="001F570F" w:rsidRPr="008916A7" w:rsidRDefault="001F570F" w:rsidP="001F570F">
            <w:pPr>
              <w:pStyle w:val="ListParagraph"/>
              <w:numPr>
                <w:ilvl w:val="0"/>
                <w:numId w:val="87"/>
              </w:numPr>
              <w:shd w:val="clear" w:color="auto" w:fill="FFFFFF"/>
              <w:spacing w:after="0"/>
              <w:jc w:val="both"/>
              <w:rPr>
                <w:rFonts w:ascii="Tw Cen MT Condensed" w:eastAsia="Times New Roman" w:hAnsi="Tw Cen MT Condensed" w:cs="Times New Roman"/>
                <w:bCs/>
                <w:color w:val="4A4A4A"/>
                <w:sz w:val="20"/>
                <w:szCs w:val="20"/>
                <w:lang w:eastAsia="en-GB"/>
              </w:rPr>
            </w:pPr>
            <w:r w:rsidRPr="008916A7">
              <w:rPr>
                <w:rFonts w:ascii="Tw Cen MT Condensed" w:eastAsia="Times New Roman" w:hAnsi="Tw Cen MT Condensed" w:cs="Times New Roman"/>
                <w:bCs/>
                <w:color w:val="4A4A4A"/>
                <w:sz w:val="20"/>
                <w:szCs w:val="20"/>
                <w:lang w:eastAsia="en-GB"/>
              </w:rPr>
              <w:lastRenderedPageBreak/>
              <w:t>Provided by official agencies, including state and local governments, or by their executive agencies; and</w:t>
            </w:r>
          </w:p>
          <w:p w14:paraId="7F31C67F" w14:textId="77777777" w:rsidR="001F570F" w:rsidRPr="008916A7" w:rsidRDefault="001F570F" w:rsidP="001F570F">
            <w:pPr>
              <w:pStyle w:val="ListParagraph"/>
              <w:numPr>
                <w:ilvl w:val="0"/>
                <w:numId w:val="87"/>
              </w:numPr>
              <w:shd w:val="clear" w:color="auto" w:fill="FFFFFF"/>
              <w:spacing w:after="0"/>
              <w:jc w:val="both"/>
              <w:rPr>
                <w:rFonts w:ascii="Tw Cen MT Condensed" w:eastAsia="Times New Roman" w:hAnsi="Tw Cen MT Condensed" w:cs="Times New Roman"/>
                <w:bCs/>
                <w:color w:val="4A4A4A"/>
                <w:sz w:val="20"/>
                <w:szCs w:val="20"/>
                <w:lang w:eastAsia="en-GB"/>
              </w:rPr>
            </w:pPr>
            <w:r w:rsidRPr="008916A7">
              <w:rPr>
                <w:rFonts w:ascii="Tw Cen MT Condensed" w:eastAsia="Times New Roman" w:hAnsi="Tw Cen MT Condensed" w:cs="Times New Roman"/>
                <w:bCs/>
                <w:color w:val="4A4A4A"/>
                <w:sz w:val="20"/>
                <w:szCs w:val="20"/>
                <w:lang w:eastAsia="en-GB"/>
              </w:rPr>
              <w:t>Each transaction of which:</w:t>
            </w:r>
          </w:p>
          <w:p w14:paraId="3398E34F" w14:textId="77777777" w:rsidR="001F570F" w:rsidRPr="008916A7" w:rsidRDefault="001F570F" w:rsidP="001F570F">
            <w:pPr>
              <w:pStyle w:val="ListParagraph"/>
              <w:numPr>
                <w:ilvl w:val="0"/>
                <w:numId w:val="88"/>
              </w:numPr>
              <w:shd w:val="clear" w:color="auto" w:fill="FFFFFF"/>
              <w:spacing w:after="0"/>
              <w:jc w:val="both"/>
              <w:rPr>
                <w:rFonts w:ascii="Tw Cen MT Condensed" w:eastAsia="Times New Roman" w:hAnsi="Tw Cen MT Condensed" w:cs="Times New Roman"/>
                <w:bCs/>
                <w:color w:val="4A4A4A"/>
                <w:sz w:val="20"/>
                <w:szCs w:val="20"/>
                <w:lang w:eastAsia="en-GB"/>
              </w:rPr>
            </w:pPr>
            <w:r w:rsidRPr="008916A7">
              <w:rPr>
                <w:rFonts w:ascii="Tw Cen MT Condensed" w:eastAsia="Times New Roman" w:hAnsi="Tw Cen MT Condensed" w:cs="Times New Roman"/>
                <w:bCs/>
                <w:color w:val="4A4A4A"/>
                <w:sz w:val="20"/>
                <w:szCs w:val="20"/>
                <w:lang w:eastAsia="en-GB"/>
              </w:rPr>
              <w:t xml:space="preserve"> is administered with the promotion of the economic development and welfare of developing countries as its main objective; and</w:t>
            </w:r>
          </w:p>
          <w:p w14:paraId="0B551A34" w14:textId="77777777" w:rsidR="001F570F" w:rsidRPr="008916A7" w:rsidRDefault="001F570F" w:rsidP="001F570F">
            <w:pPr>
              <w:pStyle w:val="ListParagraph"/>
              <w:numPr>
                <w:ilvl w:val="0"/>
                <w:numId w:val="88"/>
              </w:numPr>
              <w:shd w:val="clear" w:color="auto" w:fill="FFFFFF"/>
              <w:spacing w:after="0"/>
              <w:jc w:val="both"/>
              <w:rPr>
                <w:rFonts w:ascii="Tw Cen MT Condensed" w:eastAsia="Times New Roman" w:hAnsi="Tw Cen MT Condensed" w:cs="Times New Roman"/>
                <w:bCs/>
                <w:i/>
                <w:color w:val="4A4A4A"/>
                <w:sz w:val="20"/>
                <w:szCs w:val="20"/>
                <w:lang w:eastAsia="en-GB"/>
              </w:rPr>
            </w:pPr>
            <w:proofErr w:type="gramStart"/>
            <w:r w:rsidRPr="008916A7">
              <w:rPr>
                <w:rFonts w:ascii="Tw Cen MT Condensed" w:eastAsia="Times New Roman" w:hAnsi="Tw Cen MT Condensed" w:cs="Times New Roman"/>
                <w:bCs/>
                <w:color w:val="4A4A4A"/>
                <w:sz w:val="20"/>
                <w:szCs w:val="20"/>
                <w:lang w:eastAsia="en-GB"/>
              </w:rPr>
              <w:t>is</w:t>
            </w:r>
            <w:proofErr w:type="gramEnd"/>
            <w:r w:rsidRPr="008916A7">
              <w:rPr>
                <w:rFonts w:ascii="Tw Cen MT Condensed" w:eastAsia="Times New Roman" w:hAnsi="Tw Cen MT Condensed" w:cs="Times New Roman"/>
                <w:bCs/>
                <w:color w:val="4A4A4A"/>
                <w:sz w:val="20"/>
                <w:szCs w:val="20"/>
                <w:lang w:eastAsia="en-GB"/>
              </w:rPr>
              <w:t xml:space="preserve"> concessional in character.</w:t>
            </w:r>
          </w:p>
          <w:p w14:paraId="5ADB01D3"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Cs/>
                <w:i/>
                <w:color w:val="4A4A4A"/>
                <w:szCs w:val="20"/>
                <w:lang w:eastAsia="en-GB"/>
              </w:rPr>
              <w:t xml:space="preserve"> </w:t>
            </w:r>
            <w:r w:rsidRPr="008916A7">
              <w:rPr>
                <w:rFonts w:eastAsia="Times New Roman" w:cs="Times New Roman"/>
                <w:color w:val="4A4A4A"/>
                <w:szCs w:val="20"/>
                <w:lang w:eastAsia="en-GB"/>
              </w:rPr>
              <w:t xml:space="preserve">(See </w:t>
            </w:r>
            <w:hyperlink r:id="rId134" w:history="1">
              <w:r w:rsidRPr="008916A7">
                <w:rPr>
                  <w:rStyle w:val="Hyperlink"/>
                  <w:rFonts w:eastAsia="Times New Roman" w:cs="Times New Roman"/>
                  <w:szCs w:val="20"/>
                  <w:lang w:eastAsia="en-GB"/>
                </w:rPr>
                <w:t>http://www.oecd.org/dac/stats/officialdevelopmentassistancedefinitionandcoverage.htm</w:t>
              </w:r>
            </w:hyperlink>
            <w:r w:rsidRPr="008916A7">
              <w:rPr>
                <w:rFonts w:eastAsia="Times New Roman" w:cs="Times New Roman"/>
                <w:color w:val="4A4A4A"/>
                <w:szCs w:val="20"/>
                <w:lang w:eastAsia="en-GB"/>
              </w:rPr>
              <w:t>).</w:t>
            </w:r>
          </w:p>
          <w:p w14:paraId="1EE1D9B1" w14:textId="77777777" w:rsidR="001F570F" w:rsidRPr="008916A7" w:rsidRDefault="001F570F" w:rsidP="001F570F">
            <w:pPr>
              <w:shd w:val="clear" w:color="auto" w:fill="FFFFFF"/>
              <w:jc w:val="both"/>
              <w:rPr>
                <w:rFonts w:eastAsia="Times New Roman" w:cs="Times New Roman"/>
                <w:bCs/>
                <w:i/>
                <w:color w:val="4A4A4A"/>
                <w:szCs w:val="20"/>
                <w:lang w:eastAsia="en-GB"/>
              </w:rPr>
            </w:pPr>
          </w:p>
          <w:p w14:paraId="59690D34" w14:textId="77777777" w:rsidR="001F570F" w:rsidRPr="008916A7" w:rsidRDefault="001F570F" w:rsidP="001F570F">
            <w:pPr>
              <w:pStyle w:val="ListParagraph"/>
              <w:shd w:val="clear" w:color="auto" w:fill="FFFFFF"/>
              <w:spacing w:after="0"/>
              <w:ind w:left="1080"/>
              <w:jc w:val="both"/>
              <w:rPr>
                <w:rFonts w:ascii="Tw Cen MT Condensed" w:eastAsia="Times New Roman" w:hAnsi="Tw Cen MT Condensed" w:cs="Times New Roman"/>
                <w:bCs/>
                <w:i/>
                <w:color w:val="4A4A4A"/>
                <w:sz w:val="20"/>
                <w:szCs w:val="20"/>
                <w:lang w:eastAsia="en-GB"/>
              </w:rPr>
            </w:pPr>
          </w:p>
          <w:p w14:paraId="2E2C5CAF"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 xml:space="preserve">b)  The Environmental Policy Committee (EPOC) collects data on Policy Instruments for the Environment, including biodiversity-relevant economic instruments. Currently more than 110 countries are contributing data. For 2018 data, see </w:t>
            </w:r>
            <w:hyperlink r:id="rId135" w:history="1">
              <w:r w:rsidRPr="008916A7">
                <w:rPr>
                  <w:rStyle w:val="Hyperlink"/>
                  <w:rFonts w:eastAsia="Times New Roman" w:cs="Times New Roman"/>
                  <w:bCs/>
                  <w:szCs w:val="20"/>
                  <w:lang w:eastAsia="en-GB"/>
                </w:rPr>
                <w:t>Tracking Economic Instruments and Finance for Biodiversity</w:t>
              </w:r>
            </w:hyperlink>
            <w:r w:rsidRPr="008916A7">
              <w:rPr>
                <w:rFonts w:eastAsia="Times New Roman" w:cs="Times New Roman"/>
                <w:bCs/>
                <w:color w:val="4A4A4A"/>
                <w:szCs w:val="20"/>
                <w:lang w:eastAsia="en-GB"/>
              </w:rPr>
              <w:t xml:space="preserve">. </w:t>
            </w:r>
          </w:p>
          <w:p w14:paraId="76EC626A" w14:textId="77777777" w:rsidR="001F570F" w:rsidRPr="008916A7" w:rsidRDefault="001F570F" w:rsidP="001F570F">
            <w:pPr>
              <w:shd w:val="clear" w:color="auto" w:fill="FFFFFF"/>
              <w:jc w:val="both"/>
              <w:rPr>
                <w:rFonts w:eastAsia="Times New Roman" w:cs="Times New Roman"/>
                <w:bCs/>
                <w:color w:val="4A4A4A"/>
                <w:szCs w:val="20"/>
                <w:lang w:eastAsia="en-GB"/>
              </w:rPr>
            </w:pPr>
          </w:p>
          <w:p w14:paraId="6588693A"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Comments and limitations:</w:t>
            </w:r>
          </w:p>
          <w:p w14:paraId="3D39C57D" w14:textId="77777777" w:rsidR="001F570F" w:rsidRPr="008916A7" w:rsidRDefault="001F570F" w:rsidP="001F570F">
            <w:pPr>
              <w:shd w:val="clear" w:color="auto" w:fill="FFFFFF"/>
              <w:rPr>
                <w:rFonts w:eastAsia="Times New Roman" w:cs="Times New Roman"/>
                <w:color w:val="4A4A4A"/>
                <w:szCs w:val="20"/>
                <w:highlight w:val="yellow"/>
                <w:lang w:eastAsia="en-GB"/>
              </w:rPr>
            </w:pPr>
          </w:p>
          <w:p w14:paraId="6C5A2A11" w14:textId="77777777" w:rsidR="001F570F" w:rsidRPr="008916A7" w:rsidRDefault="001F570F" w:rsidP="001F570F">
            <w:pPr>
              <w:shd w:val="clear" w:color="auto" w:fill="FFFFFF"/>
              <w:jc w:val="both"/>
              <w:rPr>
                <w:rFonts w:eastAsia="Times New Roman" w:cs="Times New Roman"/>
                <w:bCs/>
                <w:color w:val="4A4A4A"/>
                <w:szCs w:val="20"/>
                <w:lang w:eastAsia="en-GB"/>
              </w:rPr>
            </w:pPr>
            <w:r w:rsidRPr="008916A7">
              <w:rPr>
                <w:rFonts w:eastAsia="Times New Roman" w:cs="Times New Roman"/>
                <w:bCs/>
                <w:color w:val="4A4A4A"/>
                <w:szCs w:val="20"/>
                <w:lang w:eastAsia="en-GB"/>
              </w:rPr>
              <w:t>a) OECD CRS data are available since 1973. However, the data coverage at an activity level is considered complete from 1995 for commitments and 2002 for disbursements. The Rio biodiversity marker was introduced in 2002.</w:t>
            </w:r>
          </w:p>
          <w:p w14:paraId="5A0CD053" w14:textId="77777777" w:rsidR="001F570F" w:rsidRPr="008916A7" w:rsidRDefault="001F570F" w:rsidP="001F570F">
            <w:pPr>
              <w:shd w:val="clear" w:color="auto" w:fill="FFFFFF"/>
              <w:rPr>
                <w:rFonts w:eastAsia="Times New Roman" w:cs="Times New Roman"/>
                <w:color w:val="4A4A4A"/>
                <w:szCs w:val="20"/>
                <w:highlight w:val="yellow"/>
                <w:lang w:eastAsia="en-GB"/>
              </w:rPr>
            </w:pPr>
          </w:p>
          <w:p w14:paraId="38A0EDA0" w14:textId="77777777" w:rsidR="001F570F" w:rsidRPr="008916A7" w:rsidRDefault="001F570F" w:rsidP="001F570F">
            <w:pPr>
              <w:autoSpaceDE w:val="0"/>
              <w:autoSpaceDN w:val="0"/>
              <w:adjustRightInd w:val="0"/>
              <w:rPr>
                <w:rFonts w:eastAsia="Times New Roman" w:cs="Times New Roman"/>
                <w:bCs/>
                <w:color w:val="4A4A4A"/>
                <w:szCs w:val="20"/>
                <w:lang w:eastAsia="en-GB"/>
              </w:rPr>
            </w:pPr>
            <w:r w:rsidRPr="008916A7">
              <w:rPr>
                <w:rFonts w:eastAsia="Times New Roman" w:cs="Times New Roman"/>
                <w:bCs/>
                <w:color w:val="4A4A4A"/>
                <w:szCs w:val="20"/>
                <w:lang w:eastAsia="en-GB"/>
              </w:rPr>
              <w:t xml:space="preserve">b) The database tracks the biodiversity-relevant economic instruments that countries have put in place, and countries are encouraged to also provide information on the revenue and finance channelled via each of the instruments. The comprehensiveness of data provided currently varies across the biodiversity-relevant economic instruments. The data on revenue generated by biodiversity-relevant taxes is currently the most comprehensive. For the data on biodiversity-relevant fees and charges, for example, of the total number of these instruments currently reported to the PINE database, 42% also include data on the finance they generate.   </w:t>
            </w:r>
          </w:p>
          <w:p w14:paraId="10C8D511" w14:textId="77777777" w:rsidR="001F570F" w:rsidRPr="008916A7" w:rsidRDefault="001F570F" w:rsidP="001F570F">
            <w:pPr>
              <w:autoSpaceDE w:val="0"/>
              <w:autoSpaceDN w:val="0"/>
              <w:adjustRightInd w:val="0"/>
              <w:rPr>
                <w:rFonts w:eastAsia="Times New Roman" w:cs="Times New Roman"/>
                <w:bCs/>
                <w:color w:val="4A4A4A"/>
                <w:szCs w:val="20"/>
                <w:lang w:eastAsia="en-GB"/>
              </w:rPr>
            </w:pPr>
          </w:p>
          <w:p w14:paraId="03A29AA9" w14:textId="77777777" w:rsidR="001F570F" w:rsidRPr="008916A7" w:rsidRDefault="001F570F" w:rsidP="001F570F">
            <w:pPr>
              <w:shd w:val="clear" w:color="auto" w:fill="FFFFFF"/>
              <w:rPr>
                <w:rFonts w:eastAsia="Times New Roman" w:cs="Times New Roman"/>
                <w:bCs/>
                <w:color w:val="4A4A4A"/>
                <w:szCs w:val="20"/>
                <w:lang w:eastAsia="en-GB"/>
              </w:rPr>
            </w:pPr>
            <w:r w:rsidRPr="008916A7">
              <w:rPr>
                <w:rFonts w:eastAsia="Times New Roman" w:cs="Times New Roman"/>
                <w:bCs/>
                <w:color w:val="4A4A4A"/>
                <w:szCs w:val="20"/>
                <w:lang w:eastAsia="en-GB"/>
              </w:rPr>
              <w:t>Like all data provided by a diffuse set of respondents, the data is subject to missing values, human error, and differences in interpretation of the provided definitions. However, all possible efforts have been made to ensure that the data is complete, accurate, and comparable across countries.</w:t>
            </w:r>
          </w:p>
          <w:p w14:paraId="101402B0" w14:textId="77777777" w:rsidR="001F570F" w:rsidRPr="008916A7" w:rsidRDefault="001F570F" w:rsidP="001F570F">
            <w:pPr>
              <w:shd w:val="clear" w:color="auto" w:fill="FFFFFF"/>
              <w:rPr>
                <w:rFonts w:eastAsia="Times New Roman" w:cs="Times New Roman"/>
                <w:b/>
                <w:bCs/>
                <w:color w:val="4A4A4A"/>
                <w:szCs w:val="20"/>
                <w:lang w:eastAsia="en-GB"/>
              </w:rPr>
            </w:pPr>
          </w:p>
          <w:p w14:paraId="6AB7E3BD" w14:textId="77777777" w:rsidR="001F570F" w:rsidRPr="008916A7" w:rsidRDefault="001F570F" w:rsidP="001F570F">
            <w:pPr>
              <w:shd w:val="clear" w:color="auto" w:fill="FFFFFF"/>
              <w:rPr>
                <w:rFonts w:eastAsia="Times New Roman" w:cs="Times New Roman"/>
                <w:color w:val="4A4A4A"/>
                <w:szCs w:val="20"/>
                <w:lang w:eastAsia="en-GB"/>
              </w:rPr>
            </w:pPr>
            <w:r w:rsidRPr="008916A7">
              <w:rPr>
                <w:rFonts w:eastAsia="Times New Roman" w:cs="Times New Roman"/>
                <w:b/>
                <w:bCs/>
                <w:color w:val="4A4A4A"/>
                <w:szCs w:val="20"/>
                <w:lang w:eastAsia="en-GB"/>
              </w:rPr>
              <w:t>Computation Method:</w:t>
            </w:r>
          </w:p>
          <w:p w14:paraId="2BA8C6A4" w14:textId="77777777" w:rsidR="001F570F" w:rsidRPr="008916A7" w:rsidRDefault="001F570F" w:rsidP="001F570F">
            <w:pPr>
              <w:shd w:val="clear" w:color="auto" w:fill="FFFFFF"/>
              <w:rPr>
                <w:rFonts w:eastAsia="Times New Roman" w:cs="Times New Roman"/>
                <w:color w:val="4A4A4A"/>
                <w:szCs w:val="20"/>
                <w:lang w:eastAsia="en-GB"/>
              </w:rPr>
            </w:pPr>
          </w:p>
          <w:p w14:paraId="04D95A86" w14:textId="77777777" w:rsidR="001F570F" w:rsidRPr="008916A7" w:rsidRDefault="001F570F" w:rsidP="001F570F">
            <w:pPr>
              <w:shd w:val="clear" w:color="auto" w:fill="FFFFFF"/>
              <w:jc w:val="both"/>
              <w:rPr>
                <w:rFonts w:eastAsia="Times New Roman" w:cs="Times New Roman"/>
                <w:noProof/>
                <w:color w:val="4A4A4A"/>
                <w:szCs w:val="20"/>
                <w:lang w:eastAsia="en-GB"/>
              </w:rPr>
            </w:pPr>
            <w:r w:rsidRPr="008916A7">
              <w:rPr>
                <w:rFonts w:eastAsia="Times New Roman" w:cs="Times New Roman"/>
                <w:color w:val="4A4A4A"/>
                <w:szCs w:val="20"/>
                <w:lang w:eastAsia="en-GB"/>
              </w:rPr>
              <w:lastRenderedPageBreak/>
              <w:t xml:space="preserve">a) </w:t>
            </w:r>
            <w:r w:rsidRPr="008916A7">
              <w:rPr>
                <w:rFonts w:eastAsia="Times New Roman" w:cs="Times New Roman"/>
                <w:noProof/>
                <w:color w:val="4A4A4A"/>
                <w:szCs w:val="20"/>
                <w:lang w:eastAsia="en-GB"/>
              </w:rPr>
              <w:t>This indicator is calculated as the sum of all ODA flows from all donors to developing countries that have biodiversity as a principal or significant objective, thus marked with the Rio marker for biodiversity.</w:t>
            </w:r>
          </w:p>
          <w:p w14:paraId="21726B19" w14:textId="77777777" w:rsidR="001F570F" w:rsidRPr="008916A7" w:rsidRDefault="001F570F" w:rsidP="001F570F">
            <w:pPr>
              <w:shd w:val="clear" w:color="auto" w:fill="FFFFFF"/>
              <w:jc w:val="both"/>
              <w:rPr>
                <w:rFonts w:eastAsia="Times New Roman" w:cs="Times New Roman"/>
                <w:noProof/>
                <w:color w:val="4A4A4A"/>
                <w:szCs w:val="20"/>
                <w:lang w:eastAsia="en-GB"/>
              </w:rPr>
            </w:pPr>
          </w:p>
          <w:p w14:paraId="3D835C33" w14:textId="77777777" w:rsidR="001F570F" w:rsidRDefault="001F570F" w:rsidP="001F570F">
            <w:pPr>
              <w:pStyle w:val="NoSpacing"/>
            </w:pPr>
            <w:r w:rsidRPr="008916A7">
              <w:rPr>
                <w:rFonts w:eastAsia="Times New Roman" w:cs="Times New Roman"/>
                <w:color w:val="4A4A4A"/>
                <w:szCs w:val="20"/>
                <w:lang w:eastAsia="en-GB"/>
              </w:rPr>
              <w:t xml:space="preserve">b) </w:t>
            </w:r>
            <w:r w:rsidRPr="008916A7">
              <w:rPr>
                <w:szCs w:val="20"/>
              </w:rPr>
              <w:t>Countries are requested to report on when the policy instrument was introduced, what it applies to, the geographical coverage, the environmental domain, the industries concerned; the revenues</w:t>
            </w:r>
          </w:p>
        </w:tc>
        <w:tc>
          <w:tcPr>
            <w:tcW w:w="0" w:type="auto"/>
          </w:tcPr>
          <w:p w14:paraId="7374DA41" w14:textId="77777777" w:rsidR="001F570F" w:rsidRPr="00CE3810" w:rsidRDefault="001F570F" w:rsidP="001F570F">
            <w:pPr>
              <w:pStyle w:val="NoSpacing"/>
            </w:pPr>
            <w:r>
              <w:lastRenderedPageBreak/>
              <w:t>Via and annual questionnaire</w:t>
            </w:r>
          </w:p>
        </w:tc>
        <w:tc>
          <w:tcPr>
            <w:tcW w:w="0" w:type="auto"/>
          </w:tcPr>
          <w:p w14:paraId="64E5E5A0" w14:textId="77777777" w:rsidR="001F570F" w:rsidRPr="00CE3810" w:rsidRDefault="001F570F" w:rsidP="001F570F">
            <w:pPr>
              <w:pStyle w:val="NoSpacing"/>
            </w:pPr>
            <w:r>
              <w:t>Ministries of Finance and Environment, statistical institutes</w:t>
            </w:r>
          </w:p>
        </w:tc>
        <w:tc>
          <w:tcPr>
            <w:tcW w:w="0" w:type="auto"/>
          </w:tcPr>
          <w:p w14:paraId="7C041558" w14:textId="66BB5245" w:rsidR="001F570F" w:rsidRPr="00D96ECA" w:rsidRDefault="001F570F" w:rsidP="001F570F">
            <w:pPr>
              <w:pStyle w:val="NoSpacing"/>
            </w:pPr>
          </w:p>
        </w:tc>
        <w:tc>
          <w:tcPr>
            <w:tcW w:w="0" w:type="auto"/>
          </w:tcPr>
          <w:p w14:paraId="43B3C196" w14:textId="0776A679" w:rsidR="001F570F" w:rsidRPr="00BC6F10" w:rsidRDefault="001F570F" w:rsidP="001F570F">
            <w:pPr>
              <w:rPr>
                <w:rFonts w:eastAsia="Times New Roman" w:cs="Times New Roman"/>
                <w:color w:val="000000" w:themeColor="text1"/>
                <w:szCs w:val="20"/>
              </w:rPr>
            </w:pPr>
            <w:r w:rsidRPr="00BC6F10">
              <w:rPr>
                <w:rFonts w:eastAsia="Times New Roman" w:cs="Times New Roman"/>
                <w:color w:val="000000" w:themeColor="text1"/>
                <w:szCs w:val="20"/>
              </w:rPr>
              <w:t>a) ERD</w:t>
            </w:r>
            <w:r w:rsidRPr="00BC6F10">
              <w:rPr>
                <w:rFonts w:eastAsia="Times New Roman" w:cs="Times New Roman"/>
                <w:color w:val="000000" w:themeColor="text1"/>
                <w:szCs w:val="20"/>
              </w:rPr>
              <w:br/>
            </w:r>
            <w:r>
              <w:rPr>
                <w:rFonts w:eastAsia="Times New Roman" w:cs="Times New Roman"/>
                <w:color w:val="000000" w:themeColor="text1"/>
                <w:szCs w:val="20"/>
              </w:rPr>
              <w:t>b</w:t>
            </w:r>
            <w:r w:rsidRPr="00BC6F10">
              <w:rPr>
                <w:rFonts w:eastAsia="Times New Roman" w:cs="Times New Roman"/>
                <w:color w:val="000000" w:themeColor="text1"/>
                <w:szCs w:val="20"/>
              </w:rPr>
              <w:t xml:space="preserve">) </w:t>
            </w:r>
            <w:r>
              <w:rPr>
                <w:rFonts w:eastAsia="Times New Roman" w:cs="Times New Roman"/>
                <w:color w:val="000000" w:themeColor="text1"/>
                <w:szCs w:val="20"/>
              </w:rPr>
              <w:t>MoEFCC</w:t>
            </w:r>
            <w:r w:rsidRPr="00BC6F10">
              <w:rPr>
                <w:rFonts w:eastAsia="Times New Roman" w:cs="Times New Roman"/>
                <w:color w:val="000000" w:themeColor="text1"/>
                <w:szCs w:val="20"/>
              </w:rPr>
              <w:br/>
            </w:r>
            <w:r>
              <w:rPr>
                <w:rFonts w:eastAsia="Times New Roman" w:cs="Times New Roman"/>
                <w:color w:val="000000" w:themeColor="text1"/>
                <w:szCs w:val="20"/>
              </w:rPr>
              <w:t>c</w:t>
            </w:r>
            <w:r w:rsidRPr="00BC6F10">
              <w:rPr>
                <w:rFonts w:eastAsia="Times New Roman" w:cs="Times New Roman"/>
                <w:color w:val="000000" w:themeColor="text1"/>
                <w:szCs w:val="20"/>
              </w:rPr>
              <w:t>) MoA</w:t>
            </w:r>
          </w:p>
          <w:p w14:paraId="621671A1" w14:textId="6DDD2E4B" w:rsidR="001F570F" w:rsidRDefault="001F570F" w:rsidP="001F570F">
            <w:pPr>
              <w:pStyle w:val="NoSpacing"/>
            </w:pPr>
            <w:r>
              <w:t>d</w:t>
            </w:r>
            <w:r w:rsidRPr="00BC6F10">
              <w:t>) UNSTATS</w:t>
            </w:r>
          </w:p>
          <w:p w14:paraId="12121B09" w14:textId="77777777" w:rsidR="001F570F" w:rsidRDefault="001F570F" w:rsidP="001F570F">
            <w:pPr>
              <w:pStyle w:val="NoSpacing"/>
            </w:pPr>
            <w:r>
              <w:t>e) FD</w:t>
            </w:r>
          </w:p>
          <w:p w14:paraId="5BA3F12C" w14:textId="77777777" w:rsidR="001F570F" w:rsidRDefault="001F570F" w:rsidP="001F570F">
            <w:pPr>
              <w:pStyle w:val="NoSpacing"/>
            </w:pPr>
          </w:p>
          <w:p w14:paraId="3B681B12" w14:textId="77777777" w:rsidR="001F570F" w:rsidRDefault="001F570F" w:rsidP="001F570F">
            <w:pPr>
              <w:pStyle w:val="NoSpacing"/>
            </w:pPr>
            <w:r w:rsidRPr="007B19A9">
              <w:t>Administrative Data</w:t>
            </w:r>
          </w:p>
        </w:tc>
        <w:tc>
          <w:tcPr>
            <w:tcW w:w="0" w:type="auto"/>
          </w:tcPr>
          <w:p w14:paraId="2D5236F0" w14:textId="5945F83E" w:rsidR="00900566" w:rsidRDefault="00900566" w:rsidP="00900566">
            <w:pPr>
              <w:pStyle w:val="ListParagraph"/>
              <w:numPr>
                <w:ilvl w:val="0"/>
                <w:numId w:val="52"/>
              </w:numPr>
              <w:spacing w:after="0" w:line="240" w:lineRule="auto"/>
              <w:ind w:left="160" w:hanging="160"/>
              <w:jc w:val="both"/>
              <w:rPr>
                <w:rFonts w:ascii="Tw Cen MT Condensed" w:hAnsi="Tw Cen MT Condensed"/>
                <w:sz w:val="20"/>
                <w:szCs w:val="20"/>
              </w:rPr>
            </w:pPr>
          </w:p>
          <w:p w14:paraId="7D53EEAA" w14:textId="46125D45" w:rsidR="00900566" w:rsidRDefault="00900566" w:rsidP="00900566">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donor country</w:t>
            </w:r>
          </w:p>
          <w:p w14:paraId="17F7E686" w14:textId="77777777" w:rsidR="00900566" w:rsidRDefault="00900566" w:rsidP="00900566">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recipient country (region)</w:t>
            </w:r>
          </w:p>
          <w:p w14:paraId="1C535269" w14:textId="77777777" w:rsidR="00900566" w:rsidRDefault="00900566" w:rsidP="00900566">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finance</w:t>
            </w:r>
          </w:p>
          <w:p w14:paraId="438D54AB" w14:textId="77777777" w:rsidR="00900566" w:rsidRDefault="00900566" w:rsidP="00900566">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aid</w:t>
            </w:r>
          </w:p>
          <w:p w14:paraId="1FF60BC0" w14:textId="77777777" w:rsidR="00900566" w:rsidRDefault="00900566" w:rsidP="00900566">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sector </w:t>
            </w:r>
          </w:p>
          <w:p w14:paraId="3D2D803E" w14:textId="77777777" w:rsidR="00900566" w:rsidRPr="00F34A0F" w:rsidRDefault="00900566" w:rsidP="00900566">
            <w:pPr>
              <w:pStyle w:val="ListParagraph"/>
              <w:numPr>
                <w:ilvl w:val="0"/>
                <w:numId w:val="52"/>
              </w:numPr>
              <w:spacing w:after="0" w:line="240" w:lineRule="auto"/>
              <w:ind w:left="160" w:hanging="160"/>
              <w:jc w:val="both"/>
              <w:rPr>
                <w:rFonts w:ascii="Tw Cen MT Condensed" w:hAnsi="Tw Cen MT Condensed"/>
                <w:sz w:val="20"/>
                <w:szCs w:val="20"/>
              </w:rPr>
            </w:pPr>
            <w:r w:rsidRPr="00B721C2">
              <w:rPr>
                <w:rFonts w:ascii="Tw Cen MT Condensed" w:eastAsia="Times New Roman" w:hAnsi="Tw Cen MT Condensed" w:cs="Times New Roman"/>
                <w:color w:val="4A4A4A"/>
                <w:sz w:val="21"/>
                <w:szCs w:val="21"/>
                <w:lang w:eastAsia="en-GB"/>
              </w:rPr>
              <w:t>by policy marker</w:t>
            </w:r>
            <w:r>
              <w:rPr>
                <w:rFonts w:ascii="Tw Cen MT Condensed" w:eastAsia="Times New Roman" w:hAnsi="Tw Cen MT Condensed" w:cs="Times New Roman"/>
                <w:color w:val="4A4A4A"/>
                <w:sz w:val="21"/>
                <w:szCs w:val="21"/>
                <w:lang w:eastAsia="en-GB"/>
              </w:rPr>
              <w:t xml:space="preserve"> (gender)</w:t>
            </w:r>
          </w:p>
          <w:p w14:paraId="23E36592" w14:textId="77777777" w:rsidR="001F570F" w:rsidRDefault="001F570F" w:rsidP="001F570F">
            <w:pPr>
              <w:pStyle w:val="ListParagraph"/>
              <w:numPr>
                <w:ilvl w:val="0"/>
                <w:numId w:val="52"/>
              </w:numPr>
              <w:spacing w:after="160" w:line="256" w:lineRule="auto"/>
              <w:ind w:left="160" w:hanging="160"/>
              <w:jc w:val="both"/>
              <w:rPr>
                <w:rFonts w:ascii="Tw Cen MT Condensed" w:hAnsi="Tw Cen MT Condensed"/>
                <w:szCs w:val="20"/>
              </w:rPr>
            </w:pPr>
          </w:p>
          <w:p w14:paraId="65BC5852" w14:textId="77777777" w:rsidR="001F570F" w:rsidRDefault="001F570F" w:rsidP="001F570F">
            <w:pPr>
              <w:ind w:left="970" w:hanging="970"/>
              <w:jc w:val="both"/>
              <w:rPr>
                <w:color w:val="0070C0"/>
                <w:sz w:val="30"/>
                <w:szCs w:val="30"/>
              </w:rPr>
            </w:pPr>
          </w:p>
        </w:tc>
        <w:tc>
          <w:tcPr>
            <w:tcW w:w="0" w:type="auto"/>
          </w:tcPr>
          <w:p w14:paraId="05952A2B" w14:textId="77777777" w:rsidR="001F570F" w:rsidRDefault="001F570F" w:rsidP="001F570F">
            <w:pPr>
              <w:ind w:left="970" w:hanging="970"/>
              <w:jc w:val="both"/>
              <w:rPr>
                <w:color w:val="0070C0"/>
                <w:sz w:val="30"/>
                <w:szCs w:val="30"/>
              </w:rPr>
            </w:pPr>
            <w:r w:rsidRPr="00261A09">
              <w:t>Annual</w:t>
            </w:r>
          </w:p>
        </w:tc>
        <w:tc>
          <w:tcPr>
            <w:tcW w:w="0" w:type="auto"/>
          </w:tcPr>
          <w:p w14:paraId="467F6812" w14:textId="77777777" w:rsidR="001F570F" w:rsidRDefault="001F570F" w:rsidP="001F570F">
            <w:pPr>
              <w:ind w:left="970" w:hanging="970"/>
              <w:jc w:val="both"/>
              <w:rPr>
                <w:color w:val="0070C0"/>
                <w:sz w:val="30"/>
                <w:szCs w:val="30"/>
              </w:rPr>
            </w:pPr>
          </w:p>
        </w:tc>
        <w:tc>
          <w:tcPr>
            <w:tcW w:w="0" w:type="auto"/>
          </w:tcPr>
          <w:p w14:paraId="44461D9D" w14:textId="77777777" w:rsidR="001F570F" w:rsidRDefault="001F570F" w:rsidP="001F570F">
            <w:pPr>
              <w:pStyle w:val="NoSpacing"/>
            </w:pPr>
            <w:r>
              <w:t>1</w:t>
            </w:r>
            <w:r w:rsidRPr="00013ACB">
              <w:rPr>
                <w:vertAlign w:val="superscript"/>
              </w:rPr>
              <w:t>st</w:t>
            </w:r>
            <w:r>
              <w:t xml:space="preserve"> Round:</w:t>
            </w:r>
          </w:p>
          <w:p w14:paraId="50EAE18E" w14:textId="77777777" w:rsidR="001F570F" w:rsidRDefault="001F570F" w:rsidP="001F570F">
            <w:pPr>
              <w:pStyle w:val="NoSpacing"/>
            </w:pPr>
            <w:r>
              <w:t>2015</w:t>
            </w:r>
          </w:p>
          <w:p w14:paraId="5DDBF667" w14:textId="77777777" w:rsidR="001F570F" w:rsidRDefault="001F570F" w:rsidP="001F570F">
            <w:pPr>
              <w:pStyle w:val="NoSpacing"/>
            </w:pPr>
          </w:p>
          <w:p w14:paraId="5A88A3E2" w14:textId="77777777" w:rsidR="001F570F" w:rsidRDefault="001F570F" w:rsidP="001F570F">
            <w:pPr>
              <w:pStyle w:val="NoSpacing"/>
            </w:pPr>
            <w:r>
              <w:t>2</w:t>
            </w:r>
            <w:r w:rsidRPr="00013ACB">
              <w:rPr>
                <w:vertAlign w:val="superscript"/>
              </w:rPr>
              <w:t>nd</w:t>
            </w:r>
            <w:r>
              <w:t xml:space="preserve"> Round:</w:t>
            </w:r>
          </w:p>
          <w:p w14:paraId="47040678" w14:textId="77777777" w:rsidR="001F570F" w:rsidRDefault="001F570F" w:rsidP="001F570F">
            <w:pPr>
              <w:pStyle w:val="NoSpacing"/>
            </w:pPr>
            <w:r>
              <w:t xml:space="preserve"> </w:t>
            </w:r>
            <w:r w:rsidRPr="00C3536E">
              <w:t>July, 2019</w:t>
            </w:r>
          </w:p>
          <w:p w14:paraId="0078FC9E" w14:textId="77777777" w:rsidR="001F570F" w:rsidRDefault="001F570F" w:rsidP="001F570F">
            <w:pPr>
              <w:pStyle w:val="NoSpacing"/>
            </w:pPr>
          </w:p>
          <w:p w14:paraId="3C7FF6C4" w14:textId="77777777" w:rsidR="001F570F" w:rsidRDefault="001F570F" w:rsidP="001F570F">
            <w:pPr>
              <w:pStyle w:val="NoSpacing"/>
            </w:pPr>
            <w:r>
              <w:t>3</w:t>
            </w:r>
            <w:r w:rsidRPr="00013ACB">
              <w:rPr>
                <w:vertAlign w:val="superscript"/>
              </w:rPr>
              <w:t>rd</w:t>
            </w:r>
            <w:r>
              <w:t xml:space="preserve"> Round: </w:t>
            </w:r>
          </w:p>
          <w:p w14:paraId="142A8DFB" w14:textId="77777777" w:rsidR="001F570F" w:rsidRDefault="001F570F" w:rsidP="001F570F">
            <w:pPr>
              <w:pStyle w:val="NoSpacing"/>
            </w:pPr>
            <w:r>
              <w:t>July, 2020</w:t>
            </w:r>
          </w:p>
          <w:p w14:paraId="3F958DC8" w14:textId="77777777" w:rsidR="001F570F" w:rsidRDefault="001F570F" w:rsidP="001F570F">
            <w:pPr>
              <w:pStyle w:val="NoSpacing"/>
            </w:pPr>
          </w:p>
          <w:p w14:paraId="676D02F4" w14:textId="77777777" w:rsidR="001F570F" w:rsidRDefault="001F570F" w:rsidP="001F570F">
            <w:pPr>
              <w:pStyle w:val="NoSpacing"/>
            </w:pPr>
            <w:r>
              <w:t>4</w:t>
            </w:r>
            <w:r w:rsidRPr="00013ACB">
              <w:rPr>
                <w:vertAlign w:val="superscript"/>
              </w:rPr>
              <w:t>th</w:t>
            </w:r>
            <w:r>
              <w:t xml:space="preserve"> Round: </w:t>
            </w:r>
          </w:p>
          <w:p w14:paraId="5C17278D" w14:textId="77777777" w:rsidR="001F570F" w:rsidRDefault="001F570F" w:rsidP="001F570F">
            <w:pPr>
              <w:pStyle w:val="NoSpacing"/>
            </w:pPr>
            <w:r>
              <w:t>July, 2021</w:t>
            </w:r>
          </w:p>
          <w:p w14:paraId="7F552F0D" w14:textId="77777777" w:rsidR="001F570F" w:rsidRDefault="001F570F" w:rsidP="001F570F">
            <w:pPr>
              <w:pStyle w:val="NoSpacing"/>
            </w:pPr>
          </w:p>
          <w:p w14:paraId="01FAF5F8" w14:textId="77777777" w:rsidR="001F570F" w:rsidRDefault="001F570F" w:rsidP="001F570F">
            <w:pPr>
              <w:pStyle w:val="NoSpacing"/>
            </w:pPr>
            <w:r>
              <w:t>5</w:t>
            </w:r>
            <w:r w:rsidRPr="00013ACB">
              <w:rPr>
                <w:vertAlign w:val="superscript"/>
              </w:rPr>
              <w:t>th</w:t>
            </w:r>
            <w:r>
              <w:t xml:space="preserve"> Round: </w:t>
            </w:r>
          </w:p>
          <w:p w14:paraId="13BAE278" w14:textId="77777777" w:rsidR="001F570F" w:rsidRDefault="001F570F" w:rsidP="001F570F">
            <w:pPr>
              <w:pStyle w:val="NoSpacing"/>
            </w:pPr>
            <w:r>
              <w:t>July, 2022</w:t>
            </w:r>
          </w:p>
          <w:p w14:paraId="20C85A13" w14:textId="6C514C3F" w:rsidR="001F570F" w:rsidRDefault="001F570F" w:rsidP="001F570F">
            <w:pPr>
              <w:pStyle w:val="NoSpacing"/>
            </w:pPr>
          </w:p>
        </w:tc>
        <w:tc>
          <w:tcPr>
            <w:tcW w:w="0" w:type="auto"/>
          </w:tcPr>
          <w:p w14:paraId="41345515" w14:textId="77777777" w:rsidR="001F570F" w:rsidRDefault="001F570F" w:rsidP="001F570F">
            <w:pPr>
              <w:pStyle w:val="NoSpacing"/>
            </w:pPr>
            <w:r>
              <w:t>UNSC 51 replacement included in the 2020 comprehensive review</w:t>
            </w:r>
          </w:p>
          <w:p w14:paraId="0FB0D9BA" w14:textId="77777777" w:rsidR="001F570F" w:rsidRDefault="001F570F" w:rsidP="001F570F">
            <w:pPr>
              <w:pStyle w:val="NoSpacing"/>
            </w:pPr>
          </w:p>
          <w:p w14:paraId="741D6D4B" w14:textId="77777777" w:rsidR="00693862" w:rsidRDefault="00693862" w:rsidP="00693862">
            <w:pPr>
              <w:pStyle w:val="NoSpacing"/>
            </w:pPr>
            <w:r>
              <w:t xml:space="preserve">Repeated </w:t>
            </w:r>
          </w:p>
          <w:p w14:paraId="0E9D78E9" w14:textId="05E6F20B" w:rsidR="001F570F" w:rsidRDefault="00693862" w:rsidP="00693862">
            <w:pPr>
              <w:pStyle w:val="NoSpacing"/>
            </w:pPr>
            <w:r>
              <w:t>15.a.1</w:t>
            </w:r>
          </w:p>
        </w:tc>
      </w:tr>
      <w:tr w:rsidR="001F570F" w14:paraId="5E905E84" w14:textId="77777777" w:rsidTr="00A64F0D">
        <w:tc>
          <w:tcPr>
            <w:tcW w:w="0" w:type="auto"/>
          </w:tcPr>
          <w:p w14:paraId="4E132BB2" w14:textId="77777777" w:rsidR="001F570F" w:rsidRPr="00BA046C" w:rsidRDefault="001F570F" w:rsidP="001F570F">
            <w:pPr>
              <w:pStyle w:val="NoSpacing"/>
            </w:pPr>
          </w:p>
        </w:tc>
        <w:tc>
          <w:tcPr>
            <w:tcW w:w="0" w:type="auto"/>
            <w:gridSpan w:val="12"/>
          </w:tcPr>
          <w:p w14:paraId="50802175" w14:textId="77777777" w:rsidR="001F570F" w:rsidRDefault="001F570F" w:rsidP="001F570F">
            <w:pPr>
              <w:ind w:left="970" w:hanging="970"/>
              <w:jc w:val="both"/>
              <w:rPr>
                <w:color w:val="0070C0"/>
                <w:sz w:val="30"/>
                <w:szCs w:val="30"/>
              </w:rPr>
            </w:pPr>
            <w:r>
              <w:rPr>
                <w:color w:val="0070C0"/>
                <w:sz w:val="30"/>
                <w:szCs w:val="30"/>
              </w:rPr>
              <w:t xml:space="preserve">Target </w:t>
            </w:r>
            <w:r w:rsidRPr="00DD1B91">
              <w:rPr>
                <w:color w:val="0070C0"/>
                <w:sz w:val="30"/>
                <w:szCs w:val="30"/>
              </w:rPr>
              <w:t>15.c Enhance global support for efforts to combat poaching and trafficking of protected species, including by increasing the capacity of local communities to pursue sustainable livelihood opportunities</w:t>
            </w:r>
          </w:p>
        </w:tc>
      </w:tr>
      <w:tr w:rsidR="001F570F" w14:paraId="50A07B1B" w14:textId="77777777" w:rsidTr="00A64F0D">
        <w:tc>
          <w:tcPr>
            <w:tcW w:w="0" w:type="auto"/>
          </w:tcPr>
          <w:p w14:paraId="6386E610" w14:textId="77777777" w:rsidR="001F570F" w:rsidRPr="00BA046C" w:rsidRDefault="001F570F" w:rsidP="001F570F">
            <w:pPr>
              <w:pStyle w:val="NoSpacing"/>
            </w:pPr>
            <w:r w:rsidRPr="00A4218C">
              <w:t>15.c.1 Proportion of traded wildlife that was poached or illicitly trafficked</w:t>
            </w:r>
          </w:p>
        </w:tc>
        <w:tc>
          <w:tcPr>
            <w:tcW w:w="0" w:type="auto"/>
          </w:tcPr>
          <w:p w14:paraId="4934D42C" w14:textId="77777777" w:rsidR="001F570F" w:rsidRPr="00447CDC" w:rsidRDefault="001F570F" w:rsidP="001F570F">
            <w:pPr>
              <w:pStyle w:val="NoSpacing"/>
            </w:pPr>
            <w:r w:rsidRPr="00447CDC">
              <w:t>UNODC,</w:t>
            </w:r>
          </w:p>
          <w:p w14:paraId="0ABC6618" w14:textId="77777777" w:rsidR="001F570F" w:rsidRDefault="001F570F" w:rsidP="001F570F">
            <w:pPr>
              <w:pStyle w:val="NoSpacing"/>
            </w:pPr>
            <w:r w:rsidRPr="00447CDC">
              <w:t>CITES</w:t>
            </w:r>
          </w:p>
          <w:p w14:paraId="78A54C7B" w14:textId="77777777" w:rsidR="001F570F" w:rsidRDefault="001F570F" w:rsidP="001F570F">
            <w:pPr>
              <w:rPr>
                <w:b/>
                <w:bCs/>
                <w:szCs w:val="20"/>
              </w:rPr>
            </w:pPr>
            <w:r w:rsidRPr="007243FC">
              <w:rPr>
                <w:b/>
                <w:bCs/>
                <w:szCs w:val="20"/>
              </w:rPr>
              <w:t>Partner Agencies:</w:t>
            </w:r>
          </w:p>
          <w:p w14:paraId="7873F980" w14:textId="77777777" w:rsidR="001F570F" w:rsidRDefault="001F570F" w:rsidP="001F570F">
            <w:pPr>
              <w:pStyle w:val="NoSpacing"/>
            </w:pPr>
            <w:r>
              <w:t>UNEP</w:t>
            </w:r>
          </w:p>
        </w:tc>
        <w:tc>
          <w:tcPr>
            <w:tcW w:w="0" w:type="auto"/>
          </w:tcPr>
          <w:p w14:paraId="14379638" w14:textId="77777777" w:rsidR="001F570F" w:rsidRPr="007145C8" w:rsidRDefault="001F570F" w:rsidP="001F570F">
            <w:pPr>
              <w:pStyle w:val="NoSpacing"/>
            </w:pPr>
            <w:r w:rsidRPr="00447CDC">
              <w:t>Tier II</w:t>
            </w:r>
          </w:p>
        </w:tc>
        <w:tc>
          <w:tcPr>
            <w:tcW w:w="0" w:type="auto"/>
          </w:tcPr>
          <w:p w14:paraId="338A996B" w14:textId="77777777" w:rsidR="001F570F" w:rsidRPr="0052158F" w:rsidRDefault="001F570F" w:rsidP="001F570F">
            <w:pPr>
              <w:pStyle w:val="NoSpacing"/>
              <w:rPr>
                <w:lang w:val="en-GB"/>
              </w:rPr>
            </w:pPr>
            <w:r w:rsidRPr="0052158F">
              <w:rPr>
                <w:b/>
                <w:bCs/>
                <w:lang w:val="en-GB"/>
              </w:rPr>
              <w:t>Definition:</w:t>
            </w:r>
          </w:p>
          <w:p w14:paraId="672C64C0" w14:textId="77777777" w:rsidR="001F570F" w:rsidRPr="0052158F" w:rsidRDefault="001F570F" w:rsidP="001F570F">
            <w:pPr>
              <w:pStyle w:val="NoSpacing"/>
              <w:rPr>
                <w:lang w:val="en-GB"/>
              </w:rPr>
            </w:pPr>
          </w:p>
          <w:p w14:paraId="2D221383" w14:textId="77777777" w:rsidR="001F570F" w:rsidRPr="0052158F" w:rsidRDefault="001F570F" w:rsidP="001F570F">
            <w:pPr>
              <w:pStyle w:val="NoSpacing"/>
              <w:rPr>
                <w:lang w:val="en-GB"/>
              </w:rPr>
            </w:pPr>
            <w:r w:rsidRPr="0052158F">
              <w:rPr>
                <w:lang w:val="en-GB"/>
              </w:rPr>
              <w:t>The share of all trade in wildlife detected as being illegal</w:t>
            </w:r>
          </w:p>
          <w:p w14:paraId="0F534270" w14:textId="77777777" w:rsidR="001F570F" w:rsidRPr="0052158F" w:rsidRDefault="001F570F" w:rsidP="001F570F">
            <w:pPr>
              <w:pStyle w:val="NoSpacing"/>
              <w:rPr>
                <w:lang w:val="en-GB"/>
              </w:rPr>
            </w:pPr>
          </w:p>
          <w:p w14:paraId="08287EDC" w14:textId="77777777" w:rsidR="001F570F" w:rsidRPr="0052158F" w:rsidRDefault="001F570F" w:rsidP="001F570F">
            <w:pPr>
              <w:pStyle w:val="NoSpacing"/>
              <w:rPr>
                <w:lang w:val="en-GB"/>
              </w:rPr>
            </w:pPr>
            <w:r w:rsidRPr="0052158F">
              <w:rPr>
                <w:b/>
                <w:bCs/>
                <w:lang w:val="en-GB"/>
              </w:rPr>
              <w:t>Concepts:</w:t>
            </w:r>
          </w:p>
          <w:p w14:paraId="14976BEE" w14:textId="77777777" w:rsidR="001F570F" w:rsidRPr="0052158F" w:rsidRDefault="001F570F" w:rsidP="001F570F">
            <w:pPr>
              <w:pStyle w:val="NoSpacing"/>
              <w:rPr>
                <w:lang w:val="en-GB"/>
              </w:rPr>
            </w:pPr>
          </w:p>
          <w:p w14:paraId="1014512C" w14:textId="77777777" w:rsidR="001F570F" w:rsidRPr="0052158F" w:rsidRDefault="001F570F" w:rsidP="001F570F">
            <w:pPr>
              <w:pStyle w:val="NoSpacing"/>
              <w:rPr>
                <w:lang w:val="en-GB"/>
              </w:rPr>
            </w:pPr>
            <w:r w:rsidRPr="0052158F">
              <w:rPr>
                <w:lang w:val="en-GB"/>
              </w:rPr>
              <w:t>“All trade in wildlife” is the sum of the values of legal and illegal trade</w:t>
            </w:r>
          </w:p>
          <w:p w14:paraId="767AB1F0" w14:textId="77777777" w:rsidR="001F570F" w:rsidRPr="0052158F" w:rsidRDefault="001F570F" w:rsidP="001F570F">
            <w:pPr>
              <w:pStyle w:val="NoSpacing"/>
              <w:rPr>
                <w:lang w:val="en-GB"/>
              </w:rPr>
            </w:pPr>
          </w:p>
          <w:p w14:paraId="5C0943CA" w14:textId="77777777" w:rsidR="001F570F" w:rsidRPr="0052158F" w:rsidRDefault="001F570F" w:rsidP="001F570F">
            <w:pPr>
              <w:pStyle w:val="NoSpacing"/>
              <w:rPr>
                <w:lang w:val="en-GB"/>
              </w:rPr>
            </w:pPr>
            <w:r w:rsidRPr="0052158F">
              <w:rPr>
                <w:lang w:val="en-GB"/>
              </w:rPr>
              <w:t>“Legal trade” is the sum of the value of all shipments made in compliance with the Convention on International Trade in Endangered Species of Wild Fauna and Flora (CITES)</w:t>
            </w:r>
            <w:proofErr w:type="gramStart"/>
            <w:r w:rsidRPr="0052158F">
              <w:rPr>
                <w:lang w:val="en-GB"/>
              </w:rPr>
              <w:t>,</w:t>
            </w:r>
            <w:proofErr w:type="gramEnd"/>
            <w:r w:rsidRPr="0052158F">
              <w:rPr>
                <w:lang w:val="en-GB"/>
              </w:rPr>
              <w:t xml:space="preserve"> using valid CITES permits and certificates.</w:t>
            </w:r>
          </w:p>
          <w:p w14:paraId="6A7A831B" w14:textId="77777777" w:rsidR="001F570F" w:rsidRPr="0052158F" w:rsidRDefault="001F570F" w:rsidP="001F570F">
            <w:pPr>
              <w:pStyle w:val="NoSpacing"/>
              <w:rPr>
                <w:lang w:val="en-GB"/>
              </w:rPr>
            </w:pPr>
          </w:p>
          <w:p w14:paraId="7904A422" w14:textId="77777777" w:rsidR="001F570F" w:rsidRPr="0052158F" w:rsidRDefault="001F570F" w:rsidP="001F570F">
            <w:pPr>
              <w:pStyle w:val="NoSpacing"/>
              <w:rPr>
                <w:lang w:val="en-GB"/>
              </w:rPr>
            </w:pPr>
            <w:r w:rsidRPr="0052158F">
              <w:rPr>
                <w:lang w:val="en-GB"/>
              </w:rPr>
              <w:t>“Illegal trade” is the sum of the value of all CITES/listed specimens seized.</w:t>
            </w:r>
          </w:p>
          <w:p w14:paraId="421999D2" w14:textId="77777777" w:rsidR="001F570F" w:rsidRPr="0052158F" w:rsidRDefault="001F570F" w:rsidP="001F570F">
            <w:pPr>
              <w:pStyle w:val="NoSpacing"/>
              <w:rPr>
                <w:lang w:val="en-GB"/>
              </w:rPr>
            </w:pPr>
          </w:p>
          <w:p w14:paraId="6B2EF5A9" w14:textId="77777777" w:rsidR="001F570F" w:rsidRPr="0052158F" w:rsidRDefault="001F570F" w:rsidP="001F570F">
            <w:pPr>
              <w:pStyle w:val="NoSpacing"/>
              <w:rPr>
                <w:lang w:val="en-GB"/>
              </w:rPr>
            </w:pPr>
            <w:r w:rsidRPr="0052158F">
              <w:rPr>
                <w:b/>
                <w:bCs/>
                <w:lang w:val="en-GB"/>
              </w:rPr>
              <w:t>Comments and limitations:</w:t>
            </w:r>
          </w:p>
          <w:p w14:paraId="03935593" w14:textId="77777777" w:rsidR="001F570F" w:rsidRPr="0052158F" w:rsidRDefault="001F570F" w:rsidP="001F570F">
            <w:pPr>
              <w:pStyle w:val="NoSpacing"/>
              <w:rPr>
                <w:lang w:val="en-GB"/>
              </w:rPr>
            </w:pPr>
          </w:p>
          <w:p w14:paraId="4646A193" w14:textId="77777777" w:rsidR="001F570F" w:rsidRPr="0052158F" w:rsidRDefault="001F570F" w:rsidP="001F570F">
            <w:pPr>
              <w:pStyle w:val="NoSpacing"/>
              <w:rPr>
                <w:lang w:val="en-GB"/>
              </w:rPr>
            </w:pPr>
            <w:r w:rsidRPr="0052158F">
              <w:rPr>
                <w:lang w:val="en-GB"/>
              </w:rPr>
              <w:t>Seizures are an incomplete indicator of trafficking, and subject to considerable volatility. Universal coverage is not presently available, although 120 countries are represented in the present database. Since the indicator looks at the relationship between two values, changes in the relationship could be due to changes in either value.</w:t>
            </w:r>
          </w:p>
          <w:p w14:paraId="1EB14E95" w14:textId="77777777" w:rsidR="001F570F" w:rsidRPr="0052158F" w:rsidRDefault="001F570F" w:rsidP="001F570F">
            <w:pPr>
              <w:pStyle w:val="NoSpacing"/>
              <w:rPr>
                <w:b/>
                <w:bCs/>
                <w:lang w:val="en-GB"/>
              </w:rPr>
            </w:pPr>
          </w:p>
          <w:p w14:paraId="13207D3A" w14:textId="77777777" w:rsidR="001F570F" w:rsidRPr="0052158F" w:rsidRDefault="001F570F" w:rsidP="001F570F">
            <w:pPr>
              <w:pStyle w:val="NoSpacing"/>
              <w:rPr>
                <w:lang w:val="en-GB"/>
              </w:rPr>
            </w:pPr>
            <w:r w:rsidRPr="0052158F">
              <w:rPr>
                <w:b/>
                <w:bCs/>
                <w:lang w:val="en-GB"/>
              </w:rPr>
              <w:t>Computation Method:</w:t>
            </w:r>
          </w:p>
          <w:p w14:paraId="6070DE67" w14:textId="77777777" w:rsidR="001F570F" w:rsidRPr="0052158F" w:rsidRDefault="001F570F" w:rsidP="001F570F">
            <w:pPr>
              <w:pStyle w:val="NoSpacing"/>
              <w:rPr>
                <w:lang w:val="en-GB"/>
              </w:rPr>
            </w:pPr>
          </w:p>
          <w:p w14:paraId="6511086E" w14:textId="77777777" w:rsidR="001F570F" w:rsidRPr="0052158F" w:rsidRDefault="001F570F" w:rsidP="001F570F">
            <w:pPr>
              <w:pStyle w:val="NoSpacing"/>
              <w:rPr>
                <w:lang w:val="en-GB"/>
              </w:rPr>
            </w:pPr>
            <w:r w:rsidRPr="0052158F">
              <w:rPr>
                <w:lang w:val="en-GB"/>
              </w:rPr>
              <w:t>The value of a species-product unit is derived from the weighted average of prices declared for legal imports of analogous species product units, as acquired from United States Law Enforcement Monitoring and Information System of the Fish and Wildlife Service.</w:t>
            </w:r>
          </w:p>
          <w:p w14:paraId="597D5D32" w14:textId="77777777" w:rsidR="001F570F" w:rsidRPr="0052158F" w:rsidRDefault="001F570F" w:rsidP="001F570F">
            <w:pPr>
              <w:pStyle w:val="NoSpacing"/>
              <w:rPr>
                <w:lang w:val="en-GB"/>
              </w:rPr>
            </w:pPr>
          </w:p>
          <w:p w14:paraId="396D1CF5" w14:textId="77777777" w:rsidR="001F570F" w:rsidRPr="0052158F" w:rsidRDefault="001F570F" w:rsidP="001F570F">
            <w:pPr>
              <w:pStyle w:val="NoSpacing"/>
              <w:rPr>
                <w:lang w:val="en-GB"/>
              </w:rPr>
            </w:pPr>
            <w:r w:rsidRPr="0052158F">
              <w:rPr>
                <w:lang w:val="en-GB"/>
              </w:rPr>
              <w:t xml:space="preserve">The value of legal trade is the sum of all species-product units documented in CITES export </w:t>
            </w:r>
            <w:r w:rsidRPr="0052158F">
              <w:rPr>
                <w:lang w:val="en-GB"/>
              </w:rPr>
              <w:lastRenderedPageBreak/>
              <w:t>permits as reported in the CITES Annual Reports times the species-product unit prices as specified above.</w:t>
            </w:r>
          </w:p>
          <w:p w14:paraId="29FCBC05" w14:textId="77777777" w:rsidR="001F570F" w:rsidRPr="0052158F" w:rsidRDefault="001F570F" w:rsidP="001F570F">
            <w:pPr>
              <w:pStyle w:val="NoSpacing"/>
              <w:rPr>
                <w:lang w:val="en-GB"/>
              </w:rPr>
            </w:pPr>
          </w:p>
          <w:p w14:paraId="5FC5DD90" w14:textId="77777777" w:rsidR="001F570F" w:rsidRPr="0052158F" w:rsidRDefault="001F570F" w:rsidP="001F570F">
            <w:pPr>
              <w:pStyle w:val="NoSpacing"/>
              <w:rPr>
                <w:lang w:val="en-GB"/>
              </w:rPr>
            </w:pPr>
            <w:r w:rsidRPr="0052158F">
              <w:rPr>
                <w:lang w:val="en-GB"/>
              </w:rPr>
              <w:t>The value of illegal trade is the sum of all species-product units documented in the World WISE seizure database times the species-product unit prices as specified above.</w:t>
            </w:r>
          </w:p>
          <w:p w14:paraId="44D1BDAC" w14:textId="77777777" w:rsidR="001F570F" w:rsidRPr="0052158F" w:rsidRDefault="001F570F" w:rsidP="001F570F">
            <w:pPr>
              <w:pStyle w:val="NoSpacing"/>
              <w:rPr>
                <w:lang w:val="en-GB"/>
              </w:rPr>
            </w:pPr>
          </w:p>
          <w:p w14:paraId="3D663997" w14:textId="77777777" w:rsidR="001F570F" w:rsidRPr="0052158F" w:rsidRDefault="001F570F" w:rsidP="001F570F">
            <w:pPr>
              <w:pStyle w:val="NoSpacing"/>
              <w:rPr>
                <w:lang w:val="en-GB"/>
              </w:rPr>
            </w:pPr>
            <w:r w:rsidRPr="0052158F">
              <w:rPr>
                <w:lang w:val="en-GB"/>
              </w:rPr>
              <w:t>The indicator is value of illegal trade/(value of legal trade + value of illegal trade)</w:t>
            </w:r>
          </w:p>
          <w:p w14:paraId="15BC21FC" w14:textId="77777777" w:rsidR="001F570F" w:rsidRDefault="001F570F" w:rsidP="001F570F">
            <w:pPr>
              <w:pStyle w:val="NoSpacing"/>
            </w:pPr>
          </w:p>
        </w:tc>
        <w:tc>
          <w:tcPr>
            <w:tcW w:w="0" w:type="auto"/>
          </w:tcPr>
          <w:p w14:paraId="6D708900" w14:textId="77777777" w:rsidR="001F570F" w:rsidRDefault="001F570F" w:rsidP="001F570F">
            <w:pPr>
              <w:pStyle w:val="NoSpacing"/>
            </w:pPr>
            <w:r w:rsidRPr="0009718C">
              <w:rPr>
                <w:lang w:eastAsia="en-GB"/>
              </w:rPr>
              <w:lastRenderedPageBreak/>
              <w:t xml:space="preserve">adjustment/validation </w:t>
            </w:r>
            <w:r>
              <w:rPr>
                <w:lang w:eastAsia="en-GB"/>
              </w:rPr>
              <w:t>with</w:t>
            </w:r>
          </w:p>
          <w:p w14:paraId="1144B7A5" w14:textId="77777777" w:rsidR="001F570F" w:rsidRDefault="001F570F" w:rsidP="001F570F">
            <w:pPr>
              <w:pStyle w:val="NoSpacing"/>
            </w:pPr>
            <w:r w:rsidRPr="0009718C">
              <w:rPr>
                <w:lang w:eastAsia="en-GB"/>
              </w:rPr>
              <w:t xml:space="preserve">standardized codes </w:t>
            </w:r>
          </w:p>
          <w:p w14:paraId="1445E520" w14:textId="77777777" w:rsidR="001F570F" w:rsidRDefault="001F570F" w:rsidP="001F570F">
            <w:pPr>
              <w:pStyle w:val="NoSpacing"/>
            </w:pPr>
          </w:p>
        </w:tc>
        <w:tc>
          <w:tcPr>
            <w:tcW w:w="0" w:type="auto"/>
          </w:tcPr>
          <w:p w14:paraId="5873A83B" w14:textId="77777777" w:rsidR="001F570F" w:rsidRPr="0009718C" w:rsidRDefault="001F570F" w:rsidP="001F570F">
            <w:pPr>
              <w:pStyle w:val="NoSpacing"/>
              <w:rPr>
                <w:lang w:eastAsia="en-GB"/>
              </w:rPr>
            </w:pPr>
            <w:r w:rsidRPr="0009718C">
              <w:rPr>
                <w:lang w:eastAsia="en-GB"/>
              </w:rPr>
              <w:t>The CITES Management Authority of each country</w:t>
            </w:r>
          </w:p>
          <w:p w14:paraId="6809D4B2" w14:textId="77777777" w:rsidR="001F570F" w:rsidRDefault="001F570F" w:rsidP="001F570F">
            <w:pPr>
              <w:pStyle w:val="NoSpacing"/>
            </w:pPr>
          </w:p>
        </w:tc>
        <w:tc>
          <w:tcPr>
            <w:tcW w:w="0" w:type="auto"/>
          </w:tcPr>
          <w:p w14:paraId="5C3194C4" w14:textId="09CF2FA3" w:rsidR="001F570F" w:rsidRDefault="001F570F" w:rsidP="001F570F">
            <w:pPr>
              <w:pStyle w:val="NoSpacing"/>
            </w:pPr>
          </w:p>
        </w:tc>
        <w:tc>
          <w:tcPr>
            <w:tcW w:w="0" w:type="auto"/>
          </w:tcPr>
          <w:p w14:paraId="752516D1" w14:textId="77777777" w:rsidR="001F570F" w:rsidRDefault="001F570F" w:rsidP="001F570F">
            <w:pPr>
              <w:spacing w:line="276" w:lineRule="auto"/>
              <w:jc w:val="center"/>
            </w:pPr>
            <w:r w:rsidRPr="00447CDC">
              <w:t>BFD,</w:t>
            </w:r>
            <w:r>
              <w:t xml:space="preserve"> MoEFCC</w:t>
            </w:r>
            <w:r>
              <w:br/>
            </w:r>
            <w:r w:rsidRPr="007B19A9">
              <w:t>Administrative Data</w:t>
            </w:r>
          </w:p>
        </w:tc>
        <w:tc>
          <w:tcPr>
            <w:tcW w:w="0" w:type="auto"/>
            <w:vAlign w:val="center"/>
          </w:tcPr>
          <w:p w14:paraId="2AE9342E" w14:textId="77777777" w:rsidR="001F570F" w:rsidRPr="00447CDC" w:rsidRDefault="001F570F" w:rsidP="001F570F">
            <w:pPr>
              <w:pStyle w:val="NoSpacing"/>
            </w:pPr>
            <w:r w:rsidRPr="00447CDC">
              <w:t>Form of trade</w:t>
            </w:r>
          </w:p>
        </w:tc>
        <w:tc>
          <w:tcPr>
            <w:tcW w:w="0" w:type="auto"/>
          </w:tcPr>
          <w:p w14:paraId="4F83A40C" w14:textId="77777777" w:rsidR="001F570F" w:rsidRDefault="001F570F" w:rsidP="001F570F">
            <w:pPr>
              <w:spacing w:line="276" w:lineRule="auto"/>
              <w:jc w:val="center"/>
              <w:rPr>
                <w:sz w:val="22"/>
                <w:szCs w:val="28"/>
              </w:rPr>
            </w:pPr>
            <w:r>
              <w:t>Annual</w:t>
            </w:r>
          </w:p>
        </w:tc>
        <w:tc>
          <w:tcPr>
            <w:tcW w:w="0" w:type="auto"/>
          </w:tcPr>
          <w:p w14:paraId="08394A50" w14:textId="77777777" w:rsidR="001F570F" w:rsidRDefault="001F570F" w:rsidP="001F570F">
            <w:pPr>
              <w:ind w:left="970" w:hanging="970"/>
              <w:jc w:val="both"/>
              <w:rPr>
                <w:color w:val="0070C0"/>
                <w:sz w:val="30"/>
                <w:szCs w:val="30"/>
              </w:rPr>
            </w:pPr>
            <w:r>
              <w:t>Group 2</w:t>
            </w:r>
          </w:p>
        </w:tc>
        <w:tc>
          <w:tcPr>
            <w:tcW w:w="0" w:type="auto"/>
          </w:tcPr>
          <w:p w14:paraId="191AB0D4" w14:textId="77777777" w:rsidR="001F570F" w:rsidRDefault="001F570F" w:rsidP="001F570F">
            <w:pPr>
              <w:pStyle w:val="NoSpacing"/>
            </w:pPr>
            <w:r>
              <w:t>1</w:t>
            </w:r>
            <w:r w:rsidRPr="00013ACB">
              <w:rPr>
                <w:vertAlign w:val="superscript"/>
              </w:rPr>
              <w:t>st</w:t>
            </w:r>
            <w:r>
              <w:t xml:space="preserve"> Round:</w:t>
            </w:r>
          </w:p>
          <w:p w14:paraId="2FFE674B" w14:textId="77777777" w:rsidR="001F570F" w:rsidRDefault="001F570F" w:rsidP="001F570F">
            <w:pPr>
              <w:spacing w:line="276" w:lineRule="auto"/>
            </w:pPr>
            <w:r>
              <w:t>December, 2020</w:t>
            </w:r>
          </w:p>
          <w:p w14:paraId="4DCD7D84" w14:textId="77777777" w:rsidR="001F570F" w:rsidRDefault="001F570F" w:rsidP="001F570F">
            <w:pPr>
              <w:pStyle w:val="NoSpacing"/>
            </w:pPr>
          </w:p>
          <w:p w14:paraId="5F54FF8D" w14:textId="77777777" w:rsidR="001F570F" w:rsidRDefault="001F570F" w:rsidP="001F570F">
            <w:pPr>
              <w:pStyle w:val="NoSpacing"/>
            </w:pPr>
            <w:r>
              <w:t>2</w:t>
            </w:r>
            <w:r w:rsidRPr="00013ACB">
              <w:rPr>
                <w:vertAlign w:val="superscript"/>
              </w:rPr>
              <w:t>nd</w:t>
            </w:r>
            <w:r>
              <w:t xml:space="preserve"> Round:</w:t>
            </w:r>
          </w:p>
          <w:p w14:paraId="5ADCB2D1" w14:textId="77777777" w:rsidR="001F570F" w:rsidRDefault="001F570F" w:rsidP="001F570F">
            <w:pPr>
              <w:spacing w:line="276" w:lineRule="auto"/>
            </w:pPr>
            <w:r>
              <w:t xml:space="preserve"> December, 2021</w:t>
            </w:r>
          </w:p>
          <w:p w14:paraId="5FC4D9A9" w14:textId="77777777" w:rsidR="001F570F" w:rsidRDefault="001F570F" w:rsidP="001F570F">
            <w:pPr>
              <w:pStyle w:val="NoSpacing"/>
            </w:pPr>
          </w:p>
          <w:p w14:paraId="1DDF0B27" w14:textId="77777777" w:rsidR="001F570F" w:rsidRDefault="001F570F" w:rsidP="001F570F">
            <w:pPr>
              <w:pStyle w:val="NoSpacing"/>
            </w:pPr>
            <w:r>
              <w:t>3</w:t>
            </w:r>
            <w:r w:rsidRPr="00013ACB">
              <w:rPr>
                <w:vertAlign w:val="superscript"/>
              </w:rPr>
              <w:t>rd</w:t>
            </w:r>
            <w:r>
              <w:t xml:space="preserve"> Round: </w:t>
            </w:r>
          </w:p>
          <w:p w14:paraId="10BB9A15" w14:textId="77777777" w:rsidR="001F570F" w:rsidRDefault="001F570F" w:rsidP="001F570F">
            <w:pPr>
              <w:spacing w:line="276" w:lineRule="auto"/>
            </w:pPr>
            <w:r>
              <w:t>December, 2022</w:t>
            </w:r>
          </w:p>
          <w:p w14:paraId="0812D2FA" w14:textId="77777777" w:rsidR="001F570F" w:rsidRDefault="001F570F" w:rsidP="001F570F">
            <w:pPr>
              <w:pStyle w:val="NoSpacing"/>
            </w:pPr>
          </w:p>
          <w:p w14:paraId="55346EE6" w14:textId="77777777" w:rsidR="001F570F" w:rsidRDefault="001F570F" w:rsidP="001F570F">
            <w:pPr>
              <w:pStyle w:val="NoSpacing"/>
            </w:pPr>
            <w:r>
              <w:t>4</w:t>
            </w:r>
            <w:r w:rsidRPr="00013ACB">
              <w:rPr>
                <w:vertAlign w:val="superscript"/>
              </w:rPr>
              <w:t>th</w:t>
            </w:r>
            <w:r>
              <w:t xml:space="preserve"> Round: </w:t>
            </w:r>
          </w:p>
          <w:p w14:paraId="578F6297" w14:textId="77777777" w:rsidR="001F570F" w:rsidRDefault="001F570F" w:rsidP="001F570F">
            <w:pPr>
              <w:spacing w:line="276" w:lineRule="auto"/>
            </w:pPr>
            <w:r>
              <w:t>December, 2023</w:t>
            </w:r>
          </w:p>
          <w:p w14:paraId="32C6306B" w14:textId="77777777" w:rsidR="001F570F" w:rsidRDefault="001F570F" w:rsidP="001F570F">
            <w:pPr>
              <w:pStyle w:val="NoSpacing"/>
            </w:pPr>
          </w:p>
          <w:p w14:paraId="783C527B" w14:textId="77777777" w:rsidR="001F570F" w:rsidRDefault="001F570F" w:rsidP="001F570F">
            <w:pPr>
              <w:pStyle w:val="NoSpacing"/>
            </w:pPr>
            <w:r>
              <w:t>5</w:t>
            </w:r>
            <w:r w:rsidRPr="00013ACB">
              <w:rPr>
                <w:vertAlign w:val="superscript"/>
              </w:rPr>
              <w:t>th</w:t>
            </w:r>
            <w:r>
              <w:t xml:space="preserve"> Round: </w:t>
            </w:r>
          </w:p>
          <w:p w14:paraId="3D35422D" w14:textId="77777777" w:rsidR="001F570F" w:rsidRDefault="001F570F" w:rsidP="001F570F">
            <w:pPr>
              <w:spacing w:line="276" w:lineRule="auto"/>
            </w:pPr>
            <w:r>
              <w:t>December, 2024</w:t>
            </w:r>
          </w:p>
          <w:p w14:paraId="18E48C66" w14:textId="6C632BAC" w:rsidR="001F570F" w:rsidRDefault="001F570F" w:rsidP="001F570F">
            <w:pPr>
              <w:spacing w:line="276" w:lineRule="auto"/>
              <w:jc w:val="center"/>
              <w:rPr>
                <w:sz w:val="22"/>
                <w:szCs w:val="28"/>
              </w:rPr>
            </w:pPr>
          </w:p>
        </w:tc>
        <w:tc>
          <w:tcPr>
            <w:tcW w:w="0" w:type="auto"/>
          </w:tcPr>
          <w:p w14:paraId="12EAD46A" w14:textId="77777777" w:rsidR="001F570F" w:rsidRPr="00447CDC" w:rsidRDefault="001F570F" w:rsidP="001F570F">
            <w:pPr>
              <w:pStyle w:val="NoSpacing"/>
            </w:pPr>
            <w:r w:rsidRPr="00447CDC">
              <w:t>IAEG-SDG 3rd meeting: Lack of sufficient data coverage (classified as Tier II)</w:t>
            </w:r>
          </w:p>
          <w:p w14:paraId="55E39231" w14:textId="77777777" w:rsidR="001F570F" w:rsidRPr="00447CDC" w:rsidRDefault="001F570F" w:rsidP="001F570F">
            <w:pPr>
              <w:ind w:left="970" w:hanging="970"/>
              <w:jc w:val="both"/>
              <w:rPr>
                <w:color w:val="0070C0"/>
                <w:sz w:val="30"/>
                <w:szCs w:val="30"/>
              </w:rPr>
            </w:pPr>
          </w:p>
          <w:p w14:paraId="166C37AC" w14:textId="338F4CD0" w:rsidR="001F570F" w:rsidRDefault="003E5AFB" w:rsidP="001F570F">
            <w:pPr>
              <w:pStyle w:val="NoSpacing"/>
            </w:pPr>
            <w:r>
              <w:t>Repeated 15.7.1</w:t>
            </w:r>
          </w:p>
        </w:tc>
      </w:tr>
    </w:tbl>
    <w:p w14:paraId="379F886F" w14:textId="77777777" w:rsidR="003D2111" w:rsidRDefault="003D2111" w:rsidP="001C5F7A">
      <w:pPr>
        <w:jc w:val="both"/>
        <w:rPr>
          <w:color w:val="0070C0"/>
          <w:sz w:val="48"/>
          <w:szCs w:val="48"/>
        </w:rPr>
      </w:pPr>
    </w:p>
    <w:p w14:paraId="7E41EB0E" w14:textId="77777777" w:rsidR="00A67B35" w:rsidRDefault="00A67B35" w:rsidP="001C5F7A">
      <w:pPr>
        <w:jc w:val="both"/>
        <w:rPr>
          <w:color w:val="0070C0"/>
          <w:sz w:val="48"/>
          <w:szCs w:val="48"/>
        </w:rPr>
      </w:pPr>
    </w:p>
    <w:p w14:paraId="41E36508" w14:textId="77777777" w:rsidR="00A67B35" w:rsidRDefault="00A67B35" w:rsidP="001C5F7A">
      <w:pPr>
        <w:jc w:val="both"/>
        <w:rPr>
          <w:color w:val="0070C0"/>
          <w:sz w:val="48"/>
          <w:szCs w:val="48"/>
        </w:rPr>
      </w:pPr>
    </w:p>
    <w:p w14:paraId="4BA7C1F1" w14:textId="77777777" w:rsidR="00A67B35" w:rsidRDefault="00A67B35" w:rsidP="001C5F7A">
      <w:pPr>
        <w:jc w:val="both"/>
        <w:rPr>
          <w:color w:val="0070C0"/>
          <w:sz w:val="48"/>
          <w:szCs w:val="48"/>
        </w:rPr>
      </w:pPr>
    </w:p>
    <w:p w14:paraId="7DC812D0" w14:textId="77777777" w:rsidR="00A67B35" w:rsidRDefault="00A67B35" w:rsidP="001C5F7A">
      <w:pPr>
        <w:jc w:val="both"/>
        <w:rPr>
          <w:color w:val="0070C0"/>
          <w:sz w:val="48"/>
          <w:szCs w:val="48"/>
        </w:rPr>
      </w:pPr>
    </w:p>
    <w:p w14:paraId="7F86B4B6" w14:textId="77777777" w:rsidR="00A67B35" w:rsidRDefault="00A67B35" w:rsidP="001C5F7A">
      <w:pPr>
        <w:jc w:val="both"/>
        <w:rPr>
          <w:color w:val="0070C0"/>
          <w:sz w:val="48"/>
          <w:szCs w:val="48"/>
        </w:rPr>
      </w:pPr>
    </w:p>
    <w:p w14:paraId="6DCFB3C2" w14:textId="77777777" w:rsidR="00A67B35" w:rsidRDefault="00A67B35" w:rsidP="001C5F7A">
      <w:pPr>
        <w:jc w:val="both"/>
        <w:rPr>
          <w:color w:val="0070C0"/>
          <w:sz w:val="48"/>
          <w:szCs w:val="48"/>
        </w:rPr>
      </w:pPr>
    </w:p>
    <w:p w14:paraId="54300D3D" w14:textId="77777777" w:rsidR="0044723F" w:rsidRDefault="0044723F" w:rsidP="001C5F7A">
      <w:pPr>
        <w:jc w:val="both"/>
        <w:rPr>
          <w:color w:val="0070C0"/>
          <w:sz w:val="48"/>
          <w:szCs w:val="48"/>
        </w:rPr>
      </w:pPr>
    </w:p>
    <w:p w14:paraId="6000FD65" w14:textId="3A7D69AE" w:rsidR="003D2111" w:rsidRPr="006C6341" w:rsidRDefault="00BB3B57" w:rsidP="003D2111">
      <w:pPr>
        <w:jc w:val="both"/>
        <w:rPr>
          <w:color w:val="0070C0"/>
          <w:sz w:val="48"/>
          <w:szCs w:val="48"/>
        </w:rPr>
      </w:pPr>
      <w:r>
        <w:rPr>
          <w:color w:val="0070C0"/>
          <w:sz w:val="48"/>
          <w:szCs w:val="48"/>
        </w:rPr>
        <w:t>Action Plan and Methodological Guidelines towards Data Generation and Disaggregation for Monitoring and Evaluation of SDGs</w:t>
      </w:r>
    </w:p>
    <w:tbl>
      <w:tblPr>
        <w:tblStyle w:val="TableGrid"/>
        <w:tblW w:w="0" w:type="auto"/>
        <w:tblInd w:w="-5" w:type="dxa"/>
        <w:tblLook w:val="04A0" w:firstRow="1" w:lastRow="0" w:firstColumn="1" w:lastColumn="0" w:noHBand="0" w:noVBand="1"/>
      </w:tblPr>
      <w:tblGrid>
        <w:gridCol w:w="1956"/>
        <w:gridCol w:w="16985"/>
      </w:tblGrid>
      <w:tr w:rsidR="003D2111" w14:paraId="1410C06D" w14:textId="77777777" w:rsidTr="00A64F0D">
        <w:tc>
          <w:tcPr>
            <w:tcW w:w="0" w:type="auto"/>
            <w:tcBorders>
              <w:left w:val="single" w:sz="4" w:space="0" w:color="C00000"/>
              <w:bottom w:val="single" w:sz="4" w:space="0" w:color="C00000"/>
            </w:tcBorders>
          </w:tcPr>
          <w:p w14:paraId="2105E9CE" w14:textId="316EE5CE" w:rsidR="003D2111" w:rsidRDefault="00A64F0D" w:rsidP="00D91106">
            <w:pPr>
              <w:jc w:val="center"/>
              <w:rPr>
                <w:color w:val="C00000"/>
                <w:sz w:val="48"/>
                <w:szCs w:val="48"/>
              </w:rPr>
            </w:pPr>
            <w:r>
              <w:rPr>
                <w:noProof/>
                <w:color w:val="C00000"/>
                <w:sz w:val="48"/>
                <w:szCs w:val="48"/>
                <w:lang w:bidi="bn-BD"/>
              </w:rPr>
              <w:drawing>
                <wp:inline distT="0" distB="0" distL="0" distR="0" wp14:anchorId="0672D84C" wp14:editId="5E36E92E">
                  <wp:extent cx="1104900" cy="1104900"/>
                  <wp:effectExtent l="0" t="0" r="0" b="0"/>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oal16_menu_icon.jpg"/>
                          <pic:cNvPicPr/>
                        </pic:nvPicPr>
                        <pic:blipFill>
                          <a:blip r:embed="rId136">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c>
          <w:tcPr>
            <w:tcW w:w="0" w:type="auto"/>
            <w:shd w:val="clear" w:color="auto" w:fill="0070C0"/>
            <w:vAlign w:val="center"/>
          </w:tcPr>
          <w:p w14:paraId="7AE73CB4" w14:textId="77777777" w:rsidR="003D2111" w:rsidRPr="00214C29" w:rsidRDefault="003D2111" w:rsidP="00D91106">
            <w:pPr>
              <w:jc w:val="both"/>
              <w:rPr>
                <w:color w:val="FFFFFF" w:themeColor="background1"/>
                <w:sz w:val="62"/>
                <w:szCs w:val="62"/>
              </w:rPr>
            </w:pPr>
            <w:r w:rsidRPr="003D2111">
              <w:rPr>
                <w:color w:val="FFFFFF" w:themeColor="background1"/>
                <w:sz w:val="62"/>
                <w:szCs w:val="62"/>
              </w:rPr>
              <w:t>Promote peaceful and inclusive societies for sustainable development, provide access to justice for all and build effective, accountable and inclusive institutions at all levels</w:t>
            </w:r>
          </w:p>
        </w:tc>
      </w:tr>
    </w:tbl>
    <w:p w14:paraId="61B2D2F6" w14:textId="77777777" w:rsidR="0095033B" w:rsidRPr="003D2111" w:rsidRDefault="0095033B" w:rsidP="001C5F7A">
      <w:pPr>
        <w:jc w:val="both"/>
        <w:rPr>
          <w:color w:val="0070C0"/>
          <w:sz w:val="16"/>
          <w:szCs w:val="16"/>
        </w:rPr>
      </w:pPr>
    </w:p>
    <w:tbl>
      <w:tblPr>
        <w:tblStyle w:val="TableGrid"/>
        <w:tblW w:w="0" w:type="auto"/>
        <w:tblLook w:val="04A0" w:firstRow="1" w:lastRow="0" w:firstColumn="1" w:lastColumn="0" w:noHBand="0" w:noVBand="1"/>
      </w:tblPr>
      <w:tblGrid>
        <w:gridCol w:w="869"/>
        <w:gridCol w:w="691"/>
        <w:gridCol w:w="577"/>
        <w:gridCol w:w="7367"/>
        <w:gridCol w:w="1467"/>
        <w:gridCol w:w="1249"/>
        <w:gridCol w:w="853"/>
        <w:gridCol w:w="853"/>
        <w:gridCol w:w="1956"/>
        <w:gridCol w:w="713"/>
        <w:gridCol w:w="625"/>
        <w:gridCol w:w="706"/>
        <w:gridCol w:w="1010"/>
      </w:tblGrid>
      <w:tr w:rsidR="00410A9C" w14:paraId="4B77F0DC" w14:textId="77777777" w:rsidTr="00A64F0D">
        <w:trPr>
          <w:tblHeader/>
        </w:trPr>
        <w:tc>
          <w:tcPr>
            <w:tcW w:w="0" w:type="auto"/>
            <w:shd w:val="clear" w:color="auto" w:fill="B8CCE4" w:themeFill="accent1" w:themeFillTint="66"/>
            <w:vAlign w:val="center"/>
          </w:tcPr>
          <w:p w14:paraId="24541E81" w14:textId="77777777" w:rsidR="00410A9C" w:rsidRPr="00C766D7" w:rsidRDefault="00410A9C" w:rsidP="00410A9C">
            <w:pPr>
              <w:jc w:val="center"/>
              <w:rPr>
                <w:b/>
                <w:bCs/>
                <w:sz w:val="18"/>
                <w:szCs w:val="18"/>
              </w:rPr>
            </w:pPr>
            <w:r>
              <w:rPr>
                <w:b/>
                <w:bCs/>
                <w:sz w:val="18"/>
                <w:szCs w:val="18"/>
              </w:rPr>
              <w:lastRenderedPageBreak/>
              <w:t>T</w:t>
            </w:r>
            <w:r w:rsidRPr="00C766D7">
              <w:rPr>
                <w:b/>
                <w:bCs/>
                <w:sz w:val="18"/>
                <w:szCs w:val="18"/>
              </w:rPr>
              <w:t>argets and Indicators</w:t>
            </w:r>
          </w:p>
        </w:tc>
        <w:tc>
          <w:tcPr>
            <w:tcW w:w="0" w:type="auto"/>
            <w:shd w:val="clear" w:color="auto" w:fill="B8CCE4" w:themeFill="accent1" w:themeFillTint="66"/>
            <w:vAlign w:val="center"/>
          </w:tcPr>
          <w:p w14:paraId="4A230D5C" w14:textId="77777777" w:rsidR="00410A9C" w:rsidRPr="00C766D7" w:rsidRDefault="00410A9C" w:rsidP="00410A9C">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B8CCE4" w:themeFill="accent1" w:themeFillTint="66"/>
            <w:vAlign w:val="center"/>
          </w:tcPr>
          <w:p w14:paraId="3DC45BBD" w14:textId="77777777" w:rsidR="00410A9C" w:rsidRDefault="00410A9C" w:rsidP="00410A9C">
            <w:pPr>
              <w:jc w:val="center"/>
              <w:rPr>
                <w:b/>
                <w:bCs/>
                <w:sz w:val="18"/>
                <w:szCs w:val="18"/>
              </w:rPr>
            </w:pPr>
            <w:r w:rsidRPr="00C766D7">
              <w:rPr>
                <w:b/>
                <w:bCs/>
                <w:sz w:val="18"/>
                <w:szCs w:val="18"/>
              </w:rPr>
              <w:t xml:space="preserve">Tier </w:t>
            </w:r>
          </w:p>
          <w:p w14:paraId="310028EB" w14:textId="77777777" w:rsidR="00410A9C" w:rsidRDefault="00410A9C" w:rsidP="00410A9C">
            <w:pPr>
              <w:jc w:val="center"/>
              <w:rPr>
                <w:b/>
                <w:bCs/>
                <w:sz w:val="18"/>
                <w:szCs w:val="18"/>
              </w:rPr>
            </w:pPr>
            <w:r w:rsidRPr="00C766D7">
              <w:rPr>
                <w:b/>
                <w:bCs/>
                <w:sz w:val="18"/>
                <w:szCs w:val="18"/>
              </w:rPr>
              <w:t>Classifi</w:t>
            </w:r>
            <w:r>
              <w:rPr>
                <w:b/>
                <w:bCs/>
                <w:sz w:val="18"/>
                <w:szCs w:val="18"/>
              </w:rPr>
              <w:t>-</w:t>
            </w:r>
          </w:p>
          <w:p w14:paraId="6E2E8F3E" w14:textId="77777777" w:rsidR="00410A9C" w:rsidRPr="00C766D7" w:rsidRDefault="00410A9C" w:rsidP="00410A9C">
            <w:pPr>
              <w:jc w:val="center"/>
              <w:rPr>
                <w:b/>
                <w:bCs/>
                <w:sz w:val="18"/>
                <w:szCs w:val="18"/>
              </w:rPr>
            </w:pPr>
            <w:r w:rsidRPr="00C766D7">
              <w:rPr>
                <w:b/>
                <w:bCs/>
                <w:sz w:val="18"/>
                <w:szCs w:val="18"/>
              </w:rPr>
              <w:t>cations</w:t>
            </w:r>
          </w:p>
        </w:tc>
        <w:tc>
          <w:tcPr>
            <w:tcW w:w="0" w:type="auto"/>
            <w:shd w:val="clear" w:color="auto" w:fill="B8CCE4" w:themeFill="accent1" w:themeFillTint="66"/>
            <w:vAlign w:val="center"/>
          </w:tcPr>
          <w:p w14:paraId="0B3A2F7E" w14:textId="77777777" w:rsidR="00410A9C" w:rsidRPr="00C766D7" w:rsidRDefault="00410A9C" w:rsidP="00410A9C">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0" w:type="auto"/>
            <w:shd w:val="clear" w:color="auto" w:fill="B8CCE4" w:themeFill="accent1" w:themeFillTint="66"/>
            <w:vAlign w:val="center"/>
          </w:tcPr>
          <w:p w14:paraId="523CB2E3" w14:textId="77777777" w:rsidR="00410A9C" w:rsidRPr="00C766D7" w:rsidRDefault="00410A9C" w:rsidP="00410A9C">
            <w:pPr>
              <w:jc w:val="center"/>
              <w:rPr>
                <w:b/>
                <w:bCs/>
                <w:sz w:val="18"/>
                <w:szCs w:val="18"/>
              </w:rPr>
            </w:pPr>
            <w:r w:rsidRPr="00C766D7">
              <w:rPr>
                <w:b/>
                <w:bCs/>
                <w:sz w:val="18"/>
                <w:szCs w:val="18"/>
              </w:rPr>
              <w:t>UN Suggested activities of data generation</w:t>
            </w:r>
          </w:p>
        </w:tc>
        <w:tc>
          <w:tcPr>
            <w:tcW w:w="0" w:type="auto"/>
            <w:shd w:val="clear" w:color="auto" w:fill="B8CCE4" w:themeFill="accent1" w:themeFillTint="66"/>
            <w:vAlign w:val="center"/>
          </w:tcPr>
          <w:p w14:paraId="7DA79E8E" w14:textId="77777777" w:rsidR="00410A9C" w:rsidRPr="00C766D7" w:rsidRDefault="00410A9C" w:rsidP="00410A9C">
            <w:pPr>
              <w:jc w:val="center"/>
              <w:rPr>
                <w:b/>
                <w:bCs/>
                <w:sz w:val="18"/>
                <w:szCs w:val="18"/>
              </w:rPr>
            </w:pPr>
            <w:r w:rsidRPr="00C766D7">
              <w:rPr>
                <w:b/>
                <w:bCs/>
                <w:sz w:val="18"/>
                <w:szCs w:val="18"/>
              </w:rPr>
              <w:t>UN Suggested data provider</w:t>
            </w:r>
          </w:p>
        </w:tc>
        <w:tc>
          <w:tcPr>
            <w:tcW w:w="0" w:type="auto"/>
            <w:shd w:val="clear" w:color="auto" w:fill="B8CCE4" w:themeFill="accent1" w:themeFillTint="66"/>
            <w:vAlign w:val="center"/>
          </w:tcPr>
          <w:p w14:paraId="227AA39A" w14:textId="77777777" w:rsidR="00410A9C" w:rsidRPr="00C766D7" w:rsidRDefault="00410A9C" w:rsidP="00410A9C">
            <w:pPr>
              <w:jc w:val="center"/>
              <w:rPr>
                <w:b/>
                <w:bCs/>
                <w:sz w:val="18"/>
                <w:szCs w:val="18"/>
              </w:rPr>
            </w:pPr>
            <w:r w:rsidRPr="00C766D7">
              <w:rPr>
                <w:b/>
                <w:bCs/>
                <w:sz w:val="18"/>
                <w:szCs w:val="18"/>
              </w:rPr>
              <w:t>Recent Available Data Sources</w:t>
            </w:r>
          </w:p>
        </w:tc>
        <w:tc>
          <w:tcPr>
            <w:tcW w:w="0" w:type="auto"/>
            <w:shd w:val="clear" w:color="auto" w:fill="B8CCE4" w:themeFill="accent1" w:themeFillTint="66"/>
            <w:vAlign w:val="center"/>
          </w:tcPr>
          <w:p w14:paraId="55E301B8" w14:textId="77777777" w:rsidR="00410A9C" w:rsidRPr="00C766D7" w:rsidRDefault="00410A9C" w:rsidP="00410A9C">
            <w:pPr>
              <w:jc w:val="center"/>
              <w:rPr>
                <w:b/>
                <w:bCs/>
                <w:sz w:val="18"/>
                <w:szCs w:val="18"/>
              </w:rPr>
            </w:pPr>
            <w:r w:rsidRPr="00C766D7">
              <w:rPr>
                <w:b/>
                <w:bCs/>
                <w:sz w:val="18"/>
                <w:szCs w:val="18"/>
              </w:rPr>
              <w:t>Possible future Sources</w:t>
            </w:r>
          </w:p>
        </w:tc>
        <w:tc>
          <w:tcPr>
            <w:tcW w:w="0" w:type="auto"/>
            <w:shd w:val="clear" w:color="auto" w:fill="B8CCE4" w:themeFill="accent1" w:themeFillTint="66"/>
            <w:vAlign w:val="center"/>
          </w:tcPr>
          <w:p w14:paraId="00C5C138" w14:textId="77777777" w:rsidR="00410A9C" w:rsidRPr="00C766D7" w:rsidRDefault="00410A9C" w:rsidP="00410A9C">
            <w:pPr>
              <w:jc w:val="center"/>
              <w:rPr>
                <w:b/>
                <w:bCs/>
                <w:sz w:val="18"/>
                <w:szCs w:val="18"/>
              </w:rPr>
            </w:pPr>
            <w:r>
              <w:rPr>
                <w:b/>
                <w:bCs/>
                <w:sz w:val="18"/>
                <w:szCs w:val="18"/>
              </w:rPr>
              <w:t>Minimum Disaggregation Dimensions and Categories</w:t>
            </w:r>
          </w:p>
        </w:tc>
        <w:tc>
          <w:tcPr>
            <w:tcW w:w="0" w:type="auto"/>
            <w:shd w:val="clear" w:color="auto" w:fill="B8CCE4" w:themeFill="accent1" w:themeFillTint="66"/>
            <w:vAlign w:val="center"/>
          </w:tcPr>
          <w:p w14:paraId="3D923EDC" w14:textId="77777777" w:rsidR="00410A9C" w:rsidRPr="00C766D7" w:rsidRDefault="00410A9C" w:rsidP="00410A9C">
            <w:pPr>
              <w:jc w:val="center"/>
              <w:rPr>
                <w:b/>
                <w:bCs/>
                <w:sz w:val="18"/>
                <w:szCs w:val="18"/>
              </w:rPr>
            </w:pPr>
            <w:r w:rsidRPr="00C766D7">
              <w:rPr>
                <w:b/>
                <w:bCs/>
                <w:sz w:val="18"/>
                <w:szCs w:val="18"/>
              </w:rPr>
              <w:t>Frequency of data generation</w:t>
            </w:r>
          </w:p>
        </w:tc>
        <w:tc>
          <w:tcPr>
            <w:tcW w:w="0" w:type="auto"/>
            <w:shd w:val="clear" w:color="auto" w:fill="B8CCE4" w:themeFill="accent1" w:themeFillTint="66"/>
            <w:vAlign w:val="center"/>
          </w:tcPr>
          <w:p w14:paraId="2E825CA2" w14:textId="77777777" w:rsidR="00410A9C" w:rsidRPr="00C766D7" w:rsidRDefault="00410A9C" w:rsidP="00410A9C">
            <w:pPr>
              <w:jc w:val="center"/>
              <w:rPr>
                <w:b/>
                <w:bCs/>
                <w:sz w:val="18"/>
                <w:szCs w:val="18"/>
              </w:rPr>
            </w:pPr>
            <w:r w:rsidRPr="00C766D7">
              <w:rPr>
                <w:b/>
                <w:bCs/>
                <w:sz w:val="18"/>
                <w:szCs w:val="18"/>
              </w:rPr>
              <w:t>Local Indicator Group</w:t>
            </w:r>
          </w:p>
        </w:tc>
        <w:tc>
          <w:tcPr>
            <w:tcW w:w="0" w:type="auto"/>
            <w:shd w:val="clear" w:color="auto" w:fill="B8CCE4" w:themeFill="accent1" w:themeFillTint="66"/>
          </w:tcPr>
          <w:p w14:paraId="5A288891" w14:textId="77777777" w:rsidR="00410A9C" w:rsidRDefault="00410A9C" w:rsidP="00410A9C">
            <w:pPr>
              <w:jc w:val="center"/>
              <w:rPr>
                <w:b/>
                <w:bCs/>
                <w:sz w:val="18"/>
                <w:szCs w:val="18"/>
              </w:rPr>
            </w:pPr>
            <w:r w:rsidRPr="00BE3A94">
              <w:rPr>
                <w:b/>
                <w:bCs/>
                <w:sz w:val="18"/>
                <w:szCs w:val="18"/>
              </w:rPr>
              <w:t>Deadline for Data providing</w:t>
            </w:r>
          </w:p>
        </w:tc>
        <w:tc>
          <w:tcPr>
            <w:tcW w:w="0" w:type="auto"/>
            <w:shd w:val="clear" w:color="auto" w:fill="B8CCE4" w:themeFill="accent1" w:themeFillTint="66"/>
            <w:vAlign w:val="center"/>
          </w:tcPr>
          <w:p w14:paraId="600C1B15" w14:textId="77777777" w:rsidR="00410A9C" w:rsidRPr="00C766D7" w:rsidRDefault="00410A9C" w:rsidP="00410A9C">
            <w:pPr>
              <w:jc w:val="center"/>
              <w:rPr>
                <w:b/>
                <w:bCs/>
                <w:sz w:val="18"/>
                <w:szCs w:val="18"/>
              </w:rPr>
            </w:pPr>
            <w:r>
              <w:rPr>
                <w:b/>
                <w:bCs/>
                <w:sz w:val="18"/>
                <w:szCs w:val="18"/>
              </w:rPr>
              <w:t>Remarks</w:t>
            </w:r>
          </w:p>
        </w:tc>
      </w:tr>
      <w:tr w:rsidR="00410A9C" w:rsidRPr="00A67B35" w14:paraId="03DC0EEB" w14:textId="77777777" w:rsidTr="00A64F0D">
        <w:trPr>
          <w:tblHeader/>
        </w:trPr>
        <w:tc>
          <w:tcPr>
            <w:tcW w:w="0" w:type="auto"/>
            <w:shd w:val="clear" w:color="auto" w:fill="548DD4" w:themeFill="text2" w:themeFillTint="99"/>
          </w:tcPr>
          <w:p w14:paraId="536007E7" w14:textId="77777777" w:rsidR="003D2111" w:rsidRPr="00A67B35" w:rsidRDefault="003D2111" w:rsidP="003D2111">
            <w:pPr>
              <w:jc w:val="center"/>
              <w:rPr>
                <w:b/>
                <w:bCs/>
                <w:sz w:val="18"/>
                <w:szCs w:val="18"/>
              </w:rPr>
            </w:pPr>
            <w:r w:rsidRPr="00A67B35">
              <w:rPr>
                <w:b/>
                <w:bCs/>
                <w:sz w:val="18"/>
                <w:szCs w:val="18"/>
              </w:rPr>
              <w:t>1</w:t>
            </w:r>
          </w:p>
        </w:tc>
        <w:tc>
          <w:tcPr>
            <w:tcW w:w="0" w:type="auto"/>
            <w:shd w:val="clear" w:color="auto" w:fill="548DD4" w:themeFill="text2" w:themeFillTint="99"/>
          </w:tcPr>
          <w:p w14:paraId="261C1CE9" w14:textId="77777777" w:rsidR="003D2111" w:rsidRPr="00A67B35" w:rsidRDefault="003D2111" w:rsidP="003D2111">
            <w:pPr>
              <w:jc w:val="center"/>
              <w:rPr>
                <w:b/>
                <w:bCs/>
                <w:sz w:val="18"/>
                <w:szCs w:val="18"/>
              </w:rPr>
            </w:pPr>
            <w:r w:rsidRPr="00A67B35">
              <w:rPr>
                <w:b/>
                <w:bCs/>
                <w:sz w:val="18"/>
                <w:szCs w:val="18"/>
              </w:rPr>
              <w:t>2</w:t>
            </w:r>
          </w:p>
        </w:tc>
        <w:tc>
          <w:tcPr>
            <w:tcW w:w="0" w:type="auto"/>
            <w:shd w:val="clear" w:color="auto" w:fill="548DD4" w:themeFill="text2" w:themeFillTint="99"/>
          </w:tcPr>
          <w:p w14:paraId="1F8DD104" w14:textId="77777777" w:rsidR="003D2111" w:rsidRPr="00A67B35" w:rsidRDefault="003D2111" w:rsidP="003D2111">
            <w:pPr>
              <w:jc w:val="center"/>
              <w:rPr>
                <w:b/>
                <w:bCs/>
                <w:sz w:val="18"/>
                <w:szCs w:val="18"/>
              </w:rPr>
            </w:pPr>
            <w:r w:rsidRPr="00A67B35">
              <w:rPr>
                <w:b/>
                <w:bCs/>
                <w:sz w:val="18"/>
                <w:szCs w:val="18"/>
              </w:rPr>
              <w:t>3</w:t>
            </w:r>
          </w:p>
        </w:tc>
        <w:tc>
          <w:tcPr>
            <w:tcW w:w="0" w:type="auto"/>
            <w:shd w:val="clear" w:color="auto" w:fill="548DD4" w:themeFill="text2" w:themeFillTint="99"/>
          </w:tcPr>
          <w:p w14:paraId="1E984D0A" w14:textId="77777777" w:rsidR="003D2111" w:rsidRPr="00A67B35" w:rsidRDefault="003D2111" w:rsidP="003D2111">
            <w:pPr>
              <w:jc w:val="center"/>
              <w:rPr>
                <w:b/>
                <w:bCs/>
                <w:sz w:val="18"/>
                <w:szCs w:val="18"/>
              </w:rPr>
            </w:pPr>
            <w:r w:rsidRPr="00A67B35">
              <w:rPr>
                <w:b/>
                <w:bCs/>
                <w:sz w:val="18"/>
                <w:szCs w:val="18"/>
              </w:rPr>
              <w:t>4</w:t>
            </w:r>
          </w:p>
        </w:tc>
        <w:tc>
          <w:tcPr>
            <w:tcW w:w="0" w:type="auto"/>
            <w:shd w:val="clear" w:color="auto" w:fill="548DD4" w:themeFill="text2" w:themeFillTint="99"/>
          </w:tcPr>
          <w:p w14:paraId="53D03027" w14:textId="77777777" w:rsidR="003D2111" w:rsidRPr="00A67B35" w:rsidRDefault="003D2111" w:rsidP="003D2111">
            <w:pPr>
              <w:jc w:val="center"/>
              <w:rPr>
                <w:b/>
                <w:bCs/>
                <w:sz w:val="18"/>
                <w:szCs w:val="18"/>
              </w:rPr>
            </w:pPr>
            <w:r w:rsidRPr="00A67B35">
              <w:rPr>
                <w:b/>
                <w:bCs/>
                <w:sz w:val="18"/>
                <w:szCs w:val="18"/>
              </w:rPr>
              <w:t>5</w:t>
            </w:r>
          </w:p>
        </w:tc>
        <w:tc>
          <w:tcPr>
            <w:tcW w:w="0" w:type="auto"/>
            <w:shd w:val="clear" w:color="auto" w:fill="548DD4" w:themeFill="text2" w:themeFillTint="99"/>
          </w:tcPr>
          <w:p w14:paraId="74D438DB" w14:textId="77777777" w:rsidR="003D2111" w:rsidRPr="00A67B35" w:rsidRDefault="003D2111" w:rsidP="003D2111">
            <w:pPr>
              <w:jc w:val="center"/>
              <w:rPr>
                <w:b/>
                <w:bCs/>
                <w:sz w:val="18"/>
                <w:szCs w:val="18"/>
              </w:rPr>
            </w:pPr>
            <w:r w:rsidRPr="00A67B35">
              <w:rPr>
                <w:b/>
                <w:bCs/>
                <w:sz w:val="18"/>
                <w:szCs w:val="18"/>
              </w:rPr>
              <w:t>6</w:t>
            </w:r>
          </w:p>
        </w:tc>
        <w:tc>
          <w:tcPr>
            <w:tcW w:w="0" w:type="auto"/>
            <w:shd w:val="clear" w:color="auto" w:fill="548DD4" w:themeFill="text2" w:themeFillTint="99"/>
          </w:tcPr>
          <w:p w14:paraId="0C9630F5" w14:textId="77777777" w:rsidR="003D2111" w:rsidRPr="00A67B35" w:rsidRDefault="003D2111" w:rsidP="003D2111">
            <w:pPr>
              <w:jc w:val="center"/>
              <w:rPr>
                <w:b/>
                <w:bCs/>
                <w:sz w:val="18"/>
                <w:szCs w:val="18"/>
              </w:rPr>
            </w:pPr>
            <w:r w:rsidRPr="00A67B35">
              <w:rPr>
                <w:b/>
                <w:bCs/>
                <w:sz w:val="18"/>
                <w:szCs w:val="18"/>
              </w:rPr>
              <w:t>7</w:t>
            </w:r>
          </w:p>
        </w:tc>
        <w:tc>
          <w:tcPr>
            <w:tcW w:w="0" w:type="auto"/>
            <w:shd w:val="clear" w:color="auto" w:fill="548DD4" w:themeFill="text2" w:themeFillTint="99"/>
          </w:tcPr>
          <w:p w14:paraId="78E0E32B" w14:textId="77777777" w:rsidR="003D2111" w:rsidRPr="00A67B35" w:rsidRDefault="003D2111" w:rsidP="003D2111">
            <w:pPr>
              <w:jc w:val="center"/>
              <w:rPr>
                <w:b/>
                <w:bCs/>
                <w:sz w:val="18"/>
                <w:szCs w:val="18"/>
              </w:rPr>
            </w:pPr>
            <w:r w:rsidRPr="00A67B35">
              <w:rPr>
                <w:b/>
                <w:bCs/>
                <w:sz w:val="18"/>
                <w:szCs w:val="18"/>
              </w:rPr>
              <w:t>8</w:t>
            </w:r>
          </w:p>
        </w:tc>
        <w:tc>
          <w:tcPr>
            <w:tcW w:w="0" w:type="auto"/>
            <w:shd w:val="clear" w:color="auto" w:fill="548DD4" w:themeFill="text2" w:themeFillTint="99"/>
          </w:tcPr>
          <w:p w14:paraId="6677E35A" w14:textId="77777777" w:rsidR="003D2111" w:rsidRPr="00A67B35" w:rsidRDefault="003D2111" w:rsidP="003D2111">
            <w:pPr>
              <w:jc w:val="center"/>
              <w:rPr>
                <w:b/>
                <w:bCs/>
                <w:sz w:val="18"/>
                <w:szCs w:val="18"/>
              </w:rPr>
            </w:pPr>
            <w:r w:rsidRPr="00A67B35">
              <w:rPr>
                <w:b/>
                <w:bCs/>
                <w:sz w:val="18"/>
                <w:szCs w:val="18"/>
              </w:rPr>
              <w:t>9</w:t>
            </w:r>
          </w:p>
        </w:tc>
        <w:tc>
          <w:tcPr>
            <w:tcW w:w="0" w:type="auto"/>
            <w:shd w:val="clear" w:color="auto" w:fill="548DD4" w:themeFill="text2" w:themeFillTint="99"/>
          </w:tcPr>
          <w:p w14:paraId="2059E1EB" w14:textId="77777777" w:rsidR="003D2111" w:rsidRPr="00A67B35" w:rsidRDefault="003D2111" w:rsidP="003D2111">
            <w:pPr>
              <w:jc w:val="center"/>
              <w:rPr>
                <w:b/>
                <w:bCs/>
                <w:sz w:val="18"/>
                <w:szCs w:val="18"/>
              </w:rPr>
            </w:pPr>
            <w:r w:rsidRPr="00A67B35">
              <w:rPr>
                <w:b/>
                <w:bCs/>
                <w:sz w:val="18"/>
                <w:szCs w:val="18"/>
              </w:rPr>
              <w:t>10</w:t>
            </w:r>
          </w:p>
        </w:tc>
        <w:tc>
          <w:tcPr>
            <w:tcW w:w="0" w:type="auto"/>
            <w:shd w:val="clear" w:color="auto" w:fill="548DD4" w:themeFill="text2" w:themeFillTint="99"/>
          </w:tcPr>
          <w:p w14:paraId="333CAF44" w14:textId="77777777" w:rsidR="003D2111" w:rsidRPr="00A67B35" w:rsidRDefault="003D2111" w:rsidP="003D2111">
            <w:pPr>
              <w:jc w:val="center"/>
              <w:rPr>
                <w:b/>
                <w:bCs/>
                <w:sz w:val="18"/>
                <w:szCs w:val="18"/>
              </w:rPr>
            </w:pPr>
            <w:r w:rsidRPr="00A67B35">
              <w:rPr>
                <w:b/>
                <w:bCs/>
                <w:sz w:val="18"/>
                <w:szCs w:val="18"/>
              </w:rPr>
              <w:t>11</w:t>
            </w:r>
          </w:p>
        </w:tc>
        <w:tc>
          <w:tcPr>
            <w:tcW w:w="0" w:type="auto"/>
            <w:shd w:val="clear" w:color="auto" w:fill="548DD4" w:themeFill="text2" w:themeFillTint="99"/>
          </w:tcPr>
          <w:p w14:paraId="3A1C94B4" w14:textId="77777777" w:rsidR="003D2111" w:rsidRPr="00A67B35" w:rsidRDefault="003D2111" w:rsidP="003D2111">
            <w:pPr>
              <w:jc w:val="center"/>
              <w:rPr>
                <w:b/>
                <w:bCs/>
                <w:sz w:val="18"/>
                <w:szCs w:val="18"/>
                <w:lang w:bidi="bn-BD"/>
              </w:rPr>
            </w:pPr>
            <w:r w:rsidRPr="00A67B35">
              <w:rPr>
                <w:rFonts w:hint="cs"/>
                <w:b/>
                <w:bCs/>
                <w:sz w:val="18"/>
                <w:szCs w:val="18"/>
                <w:cs/>
                <w:lang w:bidi="bn-BD"/>
              </w:rPr>
              <w:t>12</w:t>
            </w:r>
          </w:p>
        </w:tc>
        <w:tc>
          <w:tcPr>
            <w:tcW w:w="0" w:type="auto"/>
            <w:shd w:val="clear" w:color="auto" w:fill="548DD4" w:themeFill="text2" w:themeFillTint="99"/>
          </w:tcPr>
          <w:p w14:paraId="75817E6D" w14:textId="77777777" w:rsidR="003D2111" w:rsidRPr="00A67B35" w:rsidRDefault="003D2111" w:rsidP="003D2111">
            <w:pPr>
              <w:jc w:val="center"/>
              <w:rPr>
                <w:b/>
                <w:bCs/>
                <w:sz w:val="18"/>
                <w:szCs w:val="18"/>
                <w:lang w:bidi="bn-BD"/>
              </w:rPr>
            </w:pPr>
            <w:r w:rsidRPr="00A67B35">
              <w:rPr>
                <w:b/>
                <w:bCs/>
                <w:sz w:val="18"/>
                <w:szCs w:val="18"/>
              </w:rPr>
              <w:t>1</w:t>
            </w:r>
            <w:r w:rsidRPr="00A67B35">
              <w:rPr>
                <w:rFonts w:hint="cs"/>
                <w:b/>
                <w:bCs/>
                <w:sz w:val="18"/>
                <w:szCs w:val="18"/>
                <w:cs/>
                <w:lang w:bidi="bn-BD"/>
              </w:rPr>
              <w:t>3</w:t>
            </w:r>
          </w:p>
        </w:tc>
      </w:tr>
      <w:tr w:rsidR="0025169C" w14:paraId="1C29759F" w14:textId="77777777" w:rsidTr="00A64F0D">
        <w:tc>
          <w:tcPr>
            <w:tcW w:w="0" w:type="auto"/>
          </w:tcPr>
          <w:p w14:paraId="2C34EF77" w14:textId="77777777" w:rsidR="0025169C" w:rsidRDefault="0025169C" w:rsidP="003D2111">
            <w:pPr>
              <w:ind w:left="970" w:hanging="970"/>
              <w:jc w:val="both"/>
              <w:rPr>
                <w:color w:val="0070C0"/>
                <w:sz w:val="30"/>
                <w:szCs w:val="30"/>
              </w:rPr>
            </w:pPr>
          </w:p>
        </w:tc>
        <w:tc>
          <w:tcPr>
            <w:tcW w:w="0" w:type="auto"/>
            <w:gridSpan w:val="12"/>
          </w:tcPr>
          <w:p w14:paraId="05D37483" w14:textId="77777777" w:rsidR="0025169C" w:rsidRDefault="0025169C" w:rsidP="003D2111">
            <w:pPr>
              <w:jc w:val="both"/>
              <w:rPr>
                <w:color w:val="0070C0"/>
                <w:sz w:val="48"/>
                <w:szCs w:val="48"/>
              </w:rPr>
            </w:pPr>
            <w:r>
              <w:rPr>
                <w:color w:val="0070C0"/>
                <w:sz w:val="30"/>
                <w:szCs w:val="30"/>
              </w:rPr>
              <w:t xml:space="preserve">Target </w:t>
            </w:r>
            <w:r w:rsidRPr="00DD1B91">
              <w:rPr>
                <w:color w:val="0070C0"/>
                <w:sz w:val="30"/>
                <w:szCs w:val="30"/>
              </w:rPr>
              <w:t>16.1 Significantly reduce all forms of violence and related death rates everywhere</w:t>
            </w:r>
          </w:p>
        </w:tc>
      </w:tr>
      <w:tr w:rsidR="00BD06C4" w14:paraId="13A63599" w14:textId="77777777" w:rsidTr="00A64F0D">
        <w:tc>
          <w:tcPr>
            <w:tcW w:w="0" w:type="auto"/>
          </w:tcPr>
          <w:p w14:paraId="7D9218CB" w14:textId="77777777" w:rsidR="00BD06C4" w:rsidRDefault="00BD06C4" w:rsidP="00BD06C4">
            <w:pPr>
              <w:pStyle w:val="NoSpacing"/>
            </w:pPr>
            <w:r w:rsidRPr="00BA046C">
              <w:t>16.1.1 Number of victims of intentional homicide per 100,000 population, by sex and age</w:t>
            </w:r>
          </w:p>
        </w:tc>
        <w:tc>
          <w:tcPr>
            <w:tcW w:w="0" w:type="auto"/>
          </w:tcPr>
          <w:p w14:paraId="68CE2140" w14:textId="77777777" w:rsidR="00BD06C4" w:rsidRDefault="00BD06C4" w:rsidP="00BD06C4">
            <w:pPr>
              <w:pStyle w:val="NoSpacing"/>
            </w:pPr>
            <w:r>
              <w:t>UNODC,</w:t>
            </w:r>
          </w:p>
          <w:p w14:paraId="46DE77AE" w14:textId="77777777" w:rsidR="00BD06C4" w:rsidRDefault="00BD06C4" w:rsidP="00BD06C4">
            <w:pPr>
              <w:pStyle w:val="NoSpacing"/>
            </w:pPr>
            <w:r>
              <w:t>WHO</w:t>
            </w:r>
          </w:p>
          <w:p w14:paraId="5FA22979" w14:textId="77777777" w:rsidR="00BD06C4" w:rsidRDefault="00BD06C4" w:rsidP="00BD06C4">
            <w:pPr>
              <w:rPr>
                <w:b/>
                <w:bCs/>
                <w:szCs w:val="20"/>
              </w:rPr>
            </w:pPr>
            <w:r w:rsidRPr="007243FC">
              <w:rPr>
                <w:b/>
                <w:bCs/>
                <w:szCs w:val="20"/>
              </w:rPr>
              <w:t>Partner Agencies:</w:t>
            </w:r>
          </w:p>
          <w:p w14:paraId="6B1DE9EF" w14:textId="77777777" w:rsidR="00BD06C4" w:rsidRDefault="00BD06C4" w:rsidP="00BD06C4">
            <w:pPr>
              <w:pStyle w:val="NoSpacing"/>
            </w:pPr>
            <w:r>
              <w:t xml:space="preserve">DESA Population Division, </w:t>
            </w:r>
          </w:p>
          <w:p w14:paraId="75A47400" w14:textId="77777777" w:rsidR="00BD06C4" w:rsidRDefault="00BD06C4" w:rsidP="00BD06C4">
            <w:pPr>
              <w:pStyle w:val="NoSpacing"/>
            </w:pPr>
            <w:r>
              <w:t>UNICEF</w:t>
            </w:r>
          </w:p>
        </w:tc>
        <w:tc>
          <w:tcPr>
            <w:tcW w:w="0" w:type="auto"/>
          </w:tcPr>
          <w:p w14:paraId="41031FB5" w14:textId="77777777" w:rsidR="00BD06C4" w:rsidRDefault="00BD06C4" w:rsidP="00BD06C4">
            <w:pPr>
              <w:ind w:left="970" w:hanging="970"/>
              <w:jc w:val="both"/>
              <w:rPr>
                <w:color w:val="0070C0"/>
                <w:sz w:val="30"/>
                <w:szCs w:val="30"/>
              </w:rPr>
            </w:pPr>
            <w:r>
              <w:t>Tier I</w:t>
            </w:r>
          </w:p>
        </w:tc>
        <w:tc>
          <w:tcPr>
            <w:tcW w:w="0" w:type="auto"/>
          </w:tcPr>
          <w:p w14:paraId="2FE43866" w14:textId="77777777" w:rsidR="00BD06C4" w:rsidRPr="00524988" w:rsidRDefault="00BD06C4" w:rsidP="00BD06C4">
            <w:pPr>
              <w:pStyle w:val="NoSpacing"/>
              <w:rPr>
                <w:lang w:eastAsia="en-GB"/>
              </w:rPr>
            </w:pPr>
            <w:r w:rsidRPr="00524988">
              <w:rPr>
                <w:lang w:eastAsia="en-GB"/>
              </w:rPr>
              <w:t>Definition:</w:t>
            </w:r>
          </w:p>
          <w:p w14:paraId="61546C22" w14:textId="77777777" w:rsidR="00BD06C4" w:rsidRPr="00524988" w:rsidRDefault="00BD06C4" w:rsidP="00BD06C4">
            <w:pPr>
              <w:pStyle w:val="NoSpacing"/>
              <w:rPr>
                <w:lang w:eastAsia="en-GB"/>
              </w:rPr>
            </w:pPr>
          </w:p>
          <w:p w14:paraId="7EC52E56" w14:textId="77777777" w:rsidR="00BD06C4" w:rsidRPr="00524988" w:rsidRDefault="00BD06C4" w:rsidP="00BD06C4">
            <w:pPr>
              <w:pStyle w:val="NoSpacing"/>
              <w:rPr>
                <w:lang w:eastAsia="en-GB"/>
              </w:rPr>
            </w:pPr>
            <w:r w:rsidRPr="00524988">
              <w:rPr>
                <w:lang w:eastAsia="en-GB"/>
              </w:rPr>
              <w:t xml:space="preserve">The indicator is defined as the total count of victims of intentional homicide divided by the total population, expressed per 100,000 </w:t>
            </w:r>
            <w:proofErr w:type="gramStart"/>
            <w:r w:rsidRPr="00524988">
              <w:rPr>
                <w:lang w:eastAsia="en-GB"/>
              </w:rPr>
              <w:t>population</w:t>
            </w:r>
            <w:proofErr w:type="gramEnd"/>
            <w:r w:rsidRPr="00524988">
              <w:rPr>
                <w:lang w:eastAsia="en-GB"/>
              </w:rPr>
              <w:t>.</w:t>
            </w:r>
          </w:p>
          <w:p w14:paraId="6D8F9F36" w14:textId="77777777" w:rsidR="00BD06C4" w:rsidRPr="00524988" w:rsidRDefault="00BD06C4" w:rsidP="00BD06C4">
            <w:pPr>
              <w:pStyle w:val="NoSpacing"/>
              <w:rPr>
                <w:rFonts w:eastAsia="Times New Roman" w:cs="Times New Roman"/>
                <w:color w:val="4A4A4A"/>
                <w:sz w:val="21"/>
                <w:szCs w:val="21"/>
                <w:lang w:eastAsia="en-GB"/>
              </w:rPr>
            </w:pPr>
          </w:p>
          <w:p w14:paraId="39DBD221" w14:textId="77777777" w:rsidR="00BD06C4" w:rsidRPr="00524988" w:rsidRDefault="00BD06C4" w:rsidP="00BD06C4">
            <w:pPr>
              <w:pStyle w:val="NoSpacing"/>
              <w:rPr>
                <w:lang w:eastAsia="en-GB"/>
              </w:rPr>
            </w:pPr>
            <w:r w:rsidRPr="00524988">
              <w:rPr>
                <w:lang w:eastAsia="en-GB"/>
              </w:rPr>
              <w:t>Intentional homicide is defined as the unlawful death inflicted upon a person with the intent to cause death or serious injury (Source: International Classification of Crime for Statistical Purposes, ICCS 2015); population refers to total resident population in a given country in a given year.</w:t>
            </w:r>
          </w:p>
          <w:p w14:paraId="41190B0A" w14:textId="77777777" w:rsidR="00BD06C4" w:rsidRPr="00524988" w:rsidRDefault="00BD06C4" w:rsidP="00BD06C4">
            <w:pPr>
              <w:pStyle w:val="NoSpacing"/>
              <w:rPr>
                <w:rFonts w:eastAsia="Times New Roman" w:cs="Times New Roman"/>
                <w:color w:val="4A4A4A"/>
                <w:sz w:val="21"/>
                <w:szCs w:val="21"/>
                <w:lang w:eastAsia="en-GB"/>
              </w:rPr>
            </w:pPr>
          </w:p>
          <w:p w14:paraId="78C94A4F" w14:textId="77777777" w:rsidR="00BD06C4" w:rsidRPr="00524988" w:rsidRDefault="00BD06C4" w:rsidP="00BD06C4">
            <w:pPr>
              <w:pStyle w:val="NoSpacing"/>
              <w:rPr>
                <w:rFonts w:eastAsia="Times New Roman" w:cs="Times New Roman"/>
                <w:color w:val="4A4A4A"/>
                <w:sz w:val="21"/>
                <w:szCs w:val="21"/>
                <w:lang w:eastAsia="en-GB"/>
              </w:rPr>
            </w:pPr>
            <w:r w:rsidRPr="00524988">
              <w:rPr>
                <w:rFonts w:eastAsia="Times New Roman" w:cs="Times New Roman"/>
                <w:b/>
                <w:bCs/>
                <w:color w:val="4A4A4A"/>
                <w:sz w:val="21"/>
                <w:szCs w:val="21"/>
                <w:lang w:eastAsia="en-GB"/>
              </w:rPr>
              <w:t>Concepts:</w:t>
            </w:r>
          </w:p>
          <w:p w14:paraId="5D34A412" w14:textId="77777777" w:rsidR="00BD06C4" w:rsidRPr="00524988" w:rsidRDefault="00BD06C4" w:rsidP="00BD06C4">
            <w:pPr>
              <w:pStyle w:val="NoSpacing"/>
              <w:rPr>
                <w:rFonts w:eastAsia="Times New Roman" w:cs="Times New Roman"/>
                <w:color w:val="4A4A4A"/>
                <w:sz w:val="21"/>
                <w:szCs w:val="21"/>
                <w:lang w:eastAsia="en-GB"/>
              </w:rPr>
            </w:pPr>
          </w:p>
          <w:p w14:paraId="47872B9E" w14:textId="77777777" w:rsidR="00BD06C4" w:rsidRPr="00524988" w:rsidRDefault="00BD06C4" w:rsidP="00BD06C4">
            <w:pPr>
              <w:pStyle w:val="NoSpacing"/>
              <w:rPr>
                <w:lang w:eastAsia="en-GB"/>
              </w:rPr>
            </w:pPr>
            <w:r w:rsidRPr="00524988">
              <w:rPr>
                <w:lang w:eastAsia="en-GB"/>
              </w:rPr>
              <w:t>In the ICCS intentional homicide is defined as the ‘‘Unlawful death inflicted upon a person with the intent to cause death or serious injury”. This definition contains three elements characterizing the killing of a person as intentional homicide:</w:t>
            </w:r>
          </w:p>
          <w:p w14:paraId="27A12783" w14:textId="77777777" w:rsidR="00BD06C4" w:rsidRPr="00524988" w:rsidRDefault="00BD06C4" w:rsidP="00BD06C4">
            <w:pPr>
              <w:pStyle w:val="NoSpacing"/>
              <w:rPr>
                <w:lang w:eastAsia="en-GB"/>
              </w:rPr>
            </w:pPr>
            <w:r w:rsidRPr="00524988">
              <w:rPr>
                <w:lang w:eastAsia="en-GB"/>
              </w:rPr>
              <w:t>1. The killing of a person by another person (objective element);</w:t>
            </w:r>
          </w:p>
          <w:p w14:paraId="6C75A1A2" w14:textId="77777777" w:rsidR="00BD06C4" w:rsidRPr="00524988" w:rsidRDefault="00BD06C4" w:rsidP="00BD06C4">
            <w:pPr>
              <w:pStyle w:val="NoSpacing"/>
              <w:rPr>
                <w:lang w:eastAsia="en-GB"/>
              </w:rPr>
            </w:pPr>
            <w:r w:rsidRPr="00524988">
              <w:rPr>
                <w:lang w:eastAsia="en-GB"/>
              </w:rPr>
              <w:t>2. The intent of the perpetrator to kill or seriously injure the victim (subjective element);</w:t>
            </w:r>
          </w:p>
          <w:p w14:paraId="77C6A3E8" w14:textId="77777777" w:rsidR="00BD06C4" w:rsidRPr="00524988" w:rsidRDefault="00BD06C4" w:rsidP="00BD06C4">
            <w:pPr>
              <w:pStyle w:val="NoSpacing"/>
              <w:rPr>
                <w:lang w:eastAsia="en-GB"/>
              </w:rPr>
            </w:pPr>
            <w:r w:rsidRPr="00524988">
              <w:rPr>
                <w:lang w:eastAsia="en-GB"/>
              </w:rPr>
              <w:t>3. The unlawfulness of the killing, which means that the law considers the perpetrator liable for the unlawful death (legal element).</w:t>
            </w:r>
          </w:p>
          <w:p w14:paraId="1A8AF664" w14:textId="77777777" w:rsidR="00BD06C4" w:rsidRPr="00524988" w:rsidRDefault="00BD06C4" w:rsidP="00BD06C4">
            <w:pPr>
              <w:pStyle w:val="NoSpacing"/>
              <w:rPr>
                <w:rFonts w:eastAsia="Times New Roman" w:cs="Times New Roman"/>
                <w:color w:val="4A4A4A"/>
                <w:sz w:val="21"/>
                <w:szCs w:val="21"/>
                <w:lang w:eastAsia="en-GB"/>
              </w:rPr>
            </w:pPr>
          </w:p>
          <w:p w14:paraId="601B1E96" w14:textId="77777777" w:rsidR="00BD06C4" w:rsidRPr="00524988" w:rsidRDefault="00BD06C4" w:rsidP="00BD06C4">
            <w:pPr>
              <w:pStyle w:val="NoSpacing"/>
              <w:rPr>
                <w:lang w:eastAsia="en-GB"/>
              </w:rPr>
            </w:pPr>
            <w:r w:rsidRPr="00524988">
              <w:rPr>
                <w:lang w:eastAsia="en-GB"/>
              </w:rPr>
              <w:t>This definition states that, for statistical purposes, all killings corresponding to the three criteria above should be considered as intentional homicides, irrespective of definitions provided by national legislations or practices.</w:t>
            </w:r>
          </w:p>
          <w:p w14:paraId="0B714C8B" w14:textId="77777777" w:rsidR="00BD06C4" w:rsidRPr="00524988" w:rsidRDefault="00BD06C4" w:rsidP="00BD06C4">
            <w:pPr>
              <w:pStyle w:val="NoSpacing"/>
              <w:rPr>
                <w:rFonts w:eastAsia="Times New Roman" w:cs="Times New Roman"/>
                <w:color w:val="4A4A4A"/>
                <w:sz w:val="21"/>
                <w:szCs w:val="21"/>
                <w:lang w:eastAsia="en-GB"/>
              </w:rPr>
            </w:pPr>
          </w:p>
          <w:p w14:paraId="14922121" w14:textId="77777777" w:rsidR="00BD06C4" w:rsidRPr="001E203D" w:rsidRDefault="00BD06C4" w:rsidP="00BD06C4">
            <w:pPr>
              <w:pStyle w:val="NoSpacing"/>
            </w:pPr>
            <w:r w:rsidRPr="001E203D">
              <w:t>Comments and limitations:</w:t>
            </w:r>
          </w:p>
          <w:p w14:paraId="450D9E0B" w14:textId="77777777" w:rsidR="00BD06C4" w:rsidRPr="001E203D" w:rsidRDefault="00BD06C4" w:rsidP="00BD06C4">
            <w:pPr>
              <w:pStyle w:val="NoSpacing"/>
            </w:pPr>
          </w:p>
          <w:p w14:paraId="3674E889" w14:textId="77777777" w:rsidR="00BD06C4" w:rsidRPr="001E203D" w:rsidRDefault="00BD06C4" w:rsidP="00BD06C4">
            <w:pPr>
              <w:pStyle w:val="NoSpacing"/>
            </w:pPr>
            <w:r w:rsidRPr="001E203D">
              <w:t>The ICCS provides important clarifications on the definition of intentional homicide. In particular, it states that the following killings are included in the count of homicide:</w:t>
            </w:r>
          </w:p>
          <w:p w14:paraId="3E098FC2" w14:textId="77777777" w:rsidR="00BD06C4" w:rsidRPr="001E203D" w:rsidRDefault="00BD06C4" w:rsidP="00BD06C4">
            <w:pPr>
              <w:pStyle w:val="NoSpacing"/>
            </w:pPr>
            <w:r w:rsidRPr="001E203D">
              <w:t>- Murder</w:t>
            </w:r>
          </w:p>
          <w:p w14:paraId="0FDCE3F7" w14:textId="77777777" w:rsidR="00BD06C4" w:rsidRPr="001E203D" w:rsidRDefault="00BD06C4" w:rsidP="00BD06C4">
            <w:pPr>
              <w:pStyle w:val="NoSpacing"/>
            </w:pPr>
            <w:r w:rsidRPr="001E203D">
              <w:t>- Honour killing</w:t>
            </w:r>
          </w:p>
          <w:p w14:paraId="28223015" w14:textId="77777777" w:rsidR="00BD06C4" w:rsidRPr="001E203D" w:rsidRDefault="00BD06C4" w:rsidP="00BD06C4">
            <w:pPr>
              <w:pStyle w:val="NoSpacing"/>
            </w:pPr>
            <w:r w:rsidRPr="001E203D">
              <w:t>- Serious assault leading to death</w:t>
            </w:r>
          </w:p>
          <w:p w14:paraId="429B55B1" w14:textId="77777777" w:rsidR="00BD06C4" w:rsidRPr="001E203D" w:rsidRDefault="00BD06C4" w:rsidP="00BD06C4">
            <w:pPr>
              <w:pStyle w:val="NoSpacing"/>
            </w:pPr>
            <w:r w:rsidRPr="001E203D">
              <w:t>- Death as a result of terrorist activities</w:t>
            </w:r>
          </w:p>
          <w:p w14:paraId="5C334CC1" w14:textId="77777777" w:rsidR="00BD06C4" w:rsidRPr="001E203D" w:rsidRDefault="00BD06C4" w:rsidP="00BD06C4">
            <w:pPr>
              <w:pStyle w:val="NoSpacing"/>
            </w:pPr>
            <w:r w:rsidRPr="001E203D">
              <w:t>- Dowry-related killings</w:t>
            </w:r>
          </w:p>
          <w:p w14:paraId="37145FB5" w14:textId="77777777" w:rsidR="00BD06C4" w:rsidRPr="001E203D" w:rsidRDefault="00BD06C4" w:rsidP="00BD06C4">
            <w:pPr>
              <w:pStyle w:val="NoSpacing"/>
            </w:pPr>
            <w:r w:rsidRPr="001E203D">
              <w:t>- Femicide</w:t>
            </w:r>
          </w:p>
          <w:p w14:paraId="23A86332" w14:textId="77777777" w:rsidR="00BD06C4" w:rsidRPr="001E203D" w:rsidRDefault="00BD06C4" w:rsidP="00BD06C4">
            <w:pPr>
              <w:pStyle w:val="NoSpacing"/>
            </w:pPr>
            <w:r w:rsidRPr="001E203D">
              <w:t>- Infanticide</w:t>
            </w:r>
          </w:p>
          <w:p w14:paraId="0DF230BC" w14:textId="77777777" w:rsidR="00BD06C4" w:rsidRPr="001E203D" w:rsidRDefault="00BD06C4" w:rsidP="00BD06C4">
            <w:pPr>
              <w:pStyle w:val="NoSpacing"/>
            </w:pPr>
            <w:r w:rsidRPr="001E203D">
              <w:t>- Voluntary manslaughter</w:t>
            </w:r>
          </w:p>
          <w:p w14:paraId="1F445F49" w14:textId="77777777" w:rsidR="00BD06C4" w:rsidRPr="001E203D" w:rsidRDefault="00BD06C4" w:rsidP="00BD06C4">
            <w:pPr>
              <w:pStyle w:val="NoSpacing"/>
            </w:pPr>
            <w:r w:rsidRPr="001E203D">
              <w:t>- Extrajudicial killings</w:t>
            </w:r>
          </w:p>
          <w:p w14:paraId="1D0835D5" w14:textId="77777777" w:rsidR="00BD06C4" w:rsidRPr="001E203D" w:rsidRDefault="00BD06C4" w:rsidP="00BD06C4">
            <w:pPr>
              <w:pStyle w:val="NoSpacing"/>
            </w:pPr>
            <w:r w:rsidRPr="001E203D">
              <w:t>- Killings caused by excessive force by law enforcement/state officials</w:t>
            </w:r>
          </w:p>
          <w:p w14:paraId="5F05FCB3" w14:textId="77777777" w:rsidR="00BD06C4" w:rsidRPr="001E203D" w:rsidRDefault="00BD06C4" w:rsidP="00BD06C4">
            <w:pPr>
              <w:pStyle w:val="NoSpacing"/>
            </w:pPr>
          </w:p>
          <w:p w14:paraId="03BC5472" w14:textId="77777777" w:rsidR="00BD06C4" w:rsidRPr="001E203D" w:rsidRDefault="00BD06C4" w:rsidP="00BD06C4">
            <w:pPr>
              <w:pStyle w:val="NoSpacing"/>
            </w:pPr>
            <w:r w:rsidRPr="001E203D">
              <w:lastRenderedPageBreak/>
              <w:t>Furthermore, the ICCS provides indications on how to distinguish between intentional homicides, killings directly related to war/conflict and other killings that amount to war crimes.</w:t>
            </w:r>
          </w:p>
          <w:p w14:paraId="6B003EBA" w14:textId="77777777" w:rsidR="00BD06C4" w:rsidRPr="001E203D" w:rsidRDefault="00BD06C4" w:rsidP="00BD06C4">
            <w:pPr>
              <w:pStyle w:val="NoSpacing"/>
            </w:pPr>
          </w:p>
          <w:p w14:paraId="037350F2" w14:textId="77777777" w:rsidR="00BD06C4" w:rsidRPr="001E203D" w:rsidRDefault="00BD06C4" w:rsidP="00BD06C4">
            <w:pPr>
              <w:pStyle w:val="NoSpacing"/>
            </w:pPr>
            <w:r w:rsidRPr="001E203D">
              <w:t>The fact that homicide data are typically produced by two separate and independent sources at national level (criminal justice and public health) represents a specific asset of this indicator, as the comparison of the two sources is a tool to assess accuracy of national data. Usually, for countries where data from both sources exist, a good level of matching between the sources is recorded (see UNODC Global Study on Homicide, 2013).</w:t>
            </w:r>
          </w:p>
          <w:p w14:paraId="79F512A0" w14:textId="77777777" w:rsidR="00BD06C4" w:rsidRPr="001E203D" w:rsidRDefault="00BD06C4" w:rsidP="00BD06C4">
            <w:pPr>
              <w:pStyle w:val="NoSpacing"/>
            </w:pPr>
          </w:p>
          <w:p w14:paraId="49D8859A" w14:textId="77777777" w:rsidR="00BD06C4" w:rsidRPr="001E203D" w:rsidRDefault="00BD06C4" w:rsidP="00BD06C4">
            <w:pPr>
              <w:pStyle w:val="NoSpacing"/>
            </w:pPr>
            <w:r w:rsidRPr="001E203D">
              <w:t>Data on homicides produced by public health authorities are guided by the International classification of diseases (ICD-10), which provides a definition of ‘</w:t>
            </w:r>
            <w:proofErr w:type="gramStart"/>
            <w:r w:rsidRPr="001E203D">
              <w:t>Death by assault’ that</w:t>
            </w:r>
            <w:proofErr w:type="gramEnd"/>
            <w:r w:rsidRPr="001E203D">
              <w:t xml:space="preserve"> is very close to the definition of intentional homicide of the ICCS.</w:t>
            </w:r>
          </w:p>
          <w:p w14:paraId="128A39FE" w14:textId="77777777" w:rsidR="00BD06C4" w:rsidRPr="001E203D" w:rsidRDefault="00BD06C4" w:rsidP="00BD06C4">
            <w:pPr>
              <w:pStyle w:val="NoSpacing"/>
            </w:pPr>
          </w:p>
          <w:p w14:paraId="5BDF7EF8" w14:textId="77777777" w:rsidR="00BD06C4" w:rsidRPr="001E203D" w:rsidRDefault="00BD06C4" w:rsidP="00BD06C4">
            <w:pPr>
              <w:pStyle w:val="NoSpacing"/>
              <w:rPr>
                <w:b/>
              </w:rPr>
            </w:pPr>
            <w:r w:rsidRPr="001E203D">
              <w:rPr>
                <w:b/>
              </w:rPr>
              <w:t>Computation Method:</w:t>
            </w:r>
          </w:p>
          <w:p w14:paraId="2816C4B1" w14:textId="77777777" w:rsidR="00BD06C4" w:rsidRPr="001E203D" w:rsidRDefault="00BD06C4" w:rsidP="00BD06C4">
            <w:pPr>
              <w:pStyle w:val="NoSpacing"/>
            </w:pPr>
          </w:p>
          <w:p w14:paraId="0C84708D" w14:textId="77777777" w:rsidR="00BD06C4" w:rsidRPr="001E203D" w:rsidRDefault="00BD06C4" w:rsidP="00BD06C4">
            <w:pPr>
              <w:pStyle w:val="NoSpacing"/>
            </w:pPr>
            <w:r w:rsidRPr="001E203D">
              <w:t>The indicator is calculated as the total number of victims of intentional homicide recorded in a given year divided by the total resident population in the same year, multiplied by 100,000.</w:t>
            </w:r>
          </w:p>
          <w:p w14:paraId="4FDE982E" w14:textId="77777777" w:rsidR="00BD06C4" w:rsidRPr="001E203D" w:rsidRDefault="00BD06C4" w:rsidP="00BD06C4">
            <w:pPr>
              <w:pStyle w:val="NoSpacing"/>
            </w:pPr>
          </w:p>
          <w:p w14:paraId="2980F713" w14:textId="77777777" w:rsidR="00BD06C4" w:rsidRPr="001E203D" w:rsidRDefault="00BD06C4" w:rsidP="00BD06C4">
            <w:pPr>
              <w:pStyle w:val="NoSpacing"/>
            </w:pPr>
            <w:r w:rsidRPr="001E203D">
              <w:t>In several countries, two separate sets of data on intentional homicide are produced, respectively from criminal justice and public health/civil registration systems. When existing, figures from both data sources are reported. Population data are derived from annual estimates produced by the UN Population Division.</w:t>
            </w:r>
          </w:p>
          <w:p w14:paraId="53936FFD" w14:textId="77777777" w:rsidR="00BD06C4" w:rsidRPr="006C512C" w:rsidRDefault="00BD06C4" w:rsidP="00BD06C4">
            <w:pPr>
              <w:pStyle w:val="NoSpacing"/>
            </w:pPr>
          </w:p>
        </w:tc>
        <w:tc>
          <w:tcPr>
            <w:tcW w:w="0" w:type="auto"/>
          </w:tcPr>
          <w:p w14:paraId="5A3C1FD0" w14:textId="77777777" w:rsidR="00BD06C4" w:rsidRPr="00873FDE" w:rsidRDefault="00BD06C4" w:rsidP="00BD06C4">
            <w:pPr>
              <w:pStyle w:val="NoSpacing"/>
              <w:rPr>
                <w:lang w:bidi="bn-IN"/>
              </w:rPr>
            </w:pPr>
            <w:r w:rsidRPr="00873FDE">
              <w:rPr>
                <w:lang w:bidi="bn-IN"/>
              </w:rPr>
              <w:lastRenderedPageBreak/>
              <w:t>National institutions responsible for data production in the area of crime and criminal justice (National Statistical Offices, Ministry of Interior, Ministry of Justice, etc.).</w:t>
            </w:r>
          </w:p>
        </w:tc>
        <w:tc>
          <w:tcPr>
            <w:tcW w:w="0" w:type="auto"/>
          </w:tcPr>
          <w:p w14:paraId="4F9D65C6" w14:textId="77777777" w:rsidR="00BD06C4" w:rsidRPr="00873FDE" w:rsidRDefault="00BD06C4" w:rsidP="00BD06C4">
            <w:pPr>
              <w:pStyle w:val="NoSpacing"/>
              <w:rPr>
                <w:lang w:bidi="bn-IN"/>
              </w:rPr>
            </w:pPr>
            <w:r w:rsidRPr="00873FDE">
              <w:rPr>
                <w:lang w:bidi="bn-IN"/>
              </w:rPr>
              <w:t xml:space="preserve">Data on intentional homicide are sent to UNODC by member states, usually through national UN-CTS Focal Points which in most cases are national institutions responsible for data production in the area of crime and criminal justice (National Statistical Offices, Ministry of Interior, Ministry of Justice, etc.). The primary source on intentional homicide is usually an institution of the criminal justice system (Police, Ministry of Interior, general Prosecutor Office, etc.). Data produced by public </w:t>
            </w:r>
            <w:r w:rsidRPr="00873FDE">
              <w:rPr>
                <w:lang w:bidi="bn-IN"/>
              </w:rPr>
              <w:lastRenderedPageBreak/>
              <w:t>health/civil registration system are sent to WHO through national health authorities.</w:t>
            </w:r>
          </w:p>
        </w:tc>
        <w:tc>
          <w:tcPr>
            <w:tcW w:w="0" w:type="auto"/>
          </w:tcPr>
          <w:p w14:paraId="64563664" w14:textId="77777777" w:rsidR="00BD06C4" w:rsidRDefault="00BD06C4" w:rsidP="00BD06C4">
            <w:pPr>
              <w:jc w:val="center"/>
              <w:rPr>
                <w:rFonts w:eastAsia="Times New Roman" w:cs="Times New Roman"/>
                <w:color w:val="000000" w:themeColor="text1"/>
                <w:szCs w:val="20"/>
              </w:rPr>
            </w:pPr>
            <w:r w:rsidRPr="00BC6F10">
              <w:rPr>
                <w:rFonts w:eastAsia="Times New Roman" w:cs="Times New Roman"/>
                <w:color w:val="000000" w:themeColor="text1"/>
                <w:szCs w:val="20"/>
              </w:rPr>
              <w:lastRenderedPageBreak/>
              <w:t>BP</w:t>
            </w:r>
          </w:p>
          <w:p w14:paraId="5A7195E2" w14:textId="77777777" w:rsidR="00BD06C4" w:rsidRPr="00BC6F10" w:rsidRDefault="00BD06C4" w:rsidP="00BD06C4">
            <w:pPr>
              <w:jc w:val="center"/>
              <w:rPr>
                <w:rFonts w:eastAsia="Times New Roman" w:cs="Times New Roman"/>
                <w:color w:val="000000" w:themeColor="text1"/>
                <w:szCs w:val="20"/>
              </w:rPr>
            </w:pPr>
            <w:r>
              <w:rPr>
                <w:rFonts w:eastAsia="Times New Roman" w:cs="Times New Roman"/>
                <w:color w:val="000000" w:themeColor="text1"/>
                <w:szCs w:val="20"/>
              </w:rPr>
              <w:t>Administrative Data</w:t>
            </w:r>
          </w:p>
        </w:tc>
        <w:tc>
          <w:tcPr>
            <w:tcW w:w="0" w:type="auto"/>
          </w:tcPr>
          <w:p w14:paraId="528FED18" w14:textId="77777777" w:rsidR="00BD06C4" w:rsidRDefault="00BD06C4" w:rsidP="00BD06C4">
            <w:pPr>
              <w:jc w:val="center"/>
              <w:rPr>
                <w:rFonts w:eastAsia="Times New Roman" w:cs="Times New Roman"/>
                <w:color w:val="000000" w:themeColor="text1"/>
                <w:szCs w:val="20"/>
              </w:rPr>
            </w:pPr>
            <w:r>
              <w:rPr>
                <w:rFonts w:eastAsia="Times New Roman" w:cs="Times New Roman"/>
                <w:color w:val="000000" w:themeColor="text1"/>
                <w:szCs w:val="20"/>
              </w:rPr>
              <w:t>BP,PSD</w:t>
            </w:r>
          </w:p>
          <w:p w14:paraId="7687A46E" w14:textId="77777777" w:rsidR="00BD06C4" w:rsidRPr="00BC6F10" w:rsidRDefault="00BD06C4" w:rsidP="00BD06C4">
            <w:pPr>
              <w:jc w:val="center"/>
              <w:rPr>
                <w:rFonts w:eastAsia="Times New Roman" w:cs="Times New Roman"/>
                <w:color w:val="000000" w:themeColor="text1"/>
                <w:szCs w:val="20"/>
              </w:rPr>
            </w:pPr>
            <w:r>
              <w:rPr>
                <w:rFonts w:eastAsia="Times New Roman" w:cs="Times New Roman"/>
                <w:color w:val="000000" w:themeColor="text1"/>
                <w:szCs w:val="20"/>
              </w:rPr>
              <w:t>Administrative Data</w:t>
            </w:r>
          </w:p>
        </w:tc>
        <w:tc>
          <w:tcPr>
            <w:tcW w:w="0" w:type="auto"/>
          </w:tcPr>
          <w:p w14:paraId="4CBC13A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664C070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0-14 yrs/15-24 yrs/25-64 yrs/ 64+ years</w:t>
            </w:r>
          </w:p>
          <w:p w14:paraId="0DB57075"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Relationship of victim and perpetrator: Spouse/Siblings/Spouse’ family member/ other family member/ security force/acquaintance</w:t>
            </w:r>
          </w:p>
          <w:p w14:paraId="04A7E9BC"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Means of perpetration: firearm/ Sharp object/blunt object/manual attack/poison</w:t>
            </w:r>
          </w:p>
          <w:p w14:paraId="38BE91BC"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Situational context/motivation: organized crime/ domestic violence/gun fight with security force</w:t>
            </w:r>
          </w:p>
          <w:p w14:paraId="01E9BB3B" w14:textId="77777777" w:rsidR="00BD06C4" w:rsidRDefault="00BD06C4" w:rsidP="00BD06C4">
            <w:pPr>
              <w:ind w:left="970" w:hanging="970"/>
              <w:jc w:val="both"/>
              <w:rPr>
                <w:color w:val="0070C0"/>
                <w:sz w:val="30"/>
                <w:szCs w:val="30"/>
              </w:rPr>
            </w:pPr>
          </w:p>
        </w:tc>
        <w:tc>
          <w:tcPr>
            <w:tcW w:w="0" w:type="auto"/>
          </w:tcPr>
          <w:p w14:paraId="7EC0896A" w14:textId="77777777" w:rsidR="00BD06C4" w:rsidRDefault="00BD06C4" w:rsidP="00BD06C4">
            <w:pPr>
              <w:ind w:left="970" w:hanging="970"/>
              <w:jc w:val="both"/>
              <w:rPr>
                <w:color w:val="0070C0"/>
                <w:sz w:val="30"/>
                <w:szCs w:val="30"/>
              </w:rPr>
            </w:pPr>
            <w:r>
              <w:t>Annual</w:t>
            </w:r>
          </w:p>
        </w:tc>
        <w:tc>
          <w:tcPr>
            <w:tcW w:w="0" w:type="auto"/>
          </w:tcPr>
          <w:p w14:paraId="3B64B68D" w14:textId="77777777" w:rsidR="00BD06C4" w:rsidRDefault="00BD06C4" w:rsidP="00BD06C4">
            <w:pPr>
              <w:ind w:left="970" w:hanging="970"/>
              <w:jc w:val="both"/>
              <w:rPr>
                <w:color w:val="0070C0"/>
                <w:sz w:val="30"/>
                <w:szCs w:val="30"/>
              </w:rPr>
            </w:pPr>
            <w:r>
              <w:t>Group 1</w:t>
            </w:r>
          </w:p>
        </w:tc>
        <w:tc>
          <w:tcPr>
            <w:tcW w:w="0" w:type="auto"/>
          </w:tcPr>
          <w:p w14:paraId="68D3970C" w14:textId="77777777" w:rsidR="00BD06C4" w:rsidRDefault="00BD06C4" w:rsidP="00BD06C4">
            <w:pPr>
              <w:pStyle w:val="NoSpacing"/>
            </w:pPr>
            <w:r>
              <w:t>1</w:t>
            </w:r>
            <w:r w:rsidRPr="00013ACB">
              <w:rPr>
                <w:vertAlign w:val="superscript"/>
              </w:rPr>
              <w:t>st</w:t>
            </w:r>
            <w:r>
              <w:t xml:space="preserve"> Round:</w:t>
            </w:r>
          </w:p>
          <w:p w14:paraId="18569176" w14:textId="77777777" w:rsidR="00BD06C4" w:rsidRDefault="00BD06C4" w:rsidP="00BD06C4">
            <w:pPr>
              <w:pStyle w:val="NoSpacing"/>
            </w:pPr>
            <w:r>
              <w:t>2015</w:t>
            </w:r>
          </w:p>
          <w:p w14:paraId="4C171723" w14:textId="77777777" w:rsidR="00BD06C4" w:rsidRDefault="00BD06C4" w:rsidP="00BD06C4">
            <w:pPr>
              <w:pStyle w:val="NoSpacing"/>
            </w:pPr>
          </w:p>
          <w:p w14:paraId="2CDF6731" w14:textId="77777777" w:rsidR="00BD06C4" w:rsidRDefault="00BD06C4" w:rsidP="00BD06C4">
            <w:pPr>
              <w:pStyle w:val="NoSpacing"/>
            </w:pPr>
            <w:r>
              <w:t>2</w:t>
            </w:r>
            <w:r w:rsidRPr="00013ACB">
              <w:rPr>
                <w:vertAlign w:val="superscript"/>
              </w:rPr>
              <w:t>nd</w:t>
            </w:r>
            <w:r>
              <w:t xml:space="preserve"> Round:</w:t>
            </w:r>
          </w:p>
          <w:p w14:paraId="1186959A" w14:textId="77777777" w:rsidR="00BD06C4" w:rsidRDefault="00BD06C4" w:rsidP="00BD06C4">
            <w:pPr>
              <w:pStyle w:val="NoSpacing"/>
            </w:pPr>
            <w:r>
              <w:t>December, 2018</w:t>
            </w:r>
          </w:p>
          <w:p w14:paraId="7325DD67" w14:textId="77777777" w:rsidR="00BD06C4" w:rsidRDefault="00BD06C4" w:rsidP="00BD06C4">
            <w:pPr>
              <w:pStyle w:val="NoSpacing"/>
            </w:pPr>
          </w:p>
          <w:p w14:paraId="0EABBBEC" w14:textId="77777777" w:rsidR="00BD06C4" w:rsidRDefault="00BD06C4" w:rsidP="00BD06C4">
            <w:pPr>
              <w:pStyle w:val="NoSpacing"/>
            </w:pPr>
            <w:r>
              <w:t>3</w:t>
            </w:r>
            <w:r w:rsidRPr="00013ACB">
              <w:rPr>
                <w:vertAlign w:val="superscript"/>
              </w:rPr>
              <w:t>rd</w:t>
            </w:r>
            <w:r>
              <w:t xml:space="preserve"> Round: </w:t>
            </w:r>
          </w:p>
          <w:p w14:paraId="6D54F7D1" w14:textId="77777777" w:rsidR="00BD06C4" w:rsidRDefault="00BD06C4" w:rsidP="00BD06C4">
            <w:pPr>
              <w:pStyle w:val="NoSpacing"/>
            </w:pPr>
            <w:r>
              <w:t>December, 2019</w:t>
            </w:r>
          </w:p>
          <w:p w14:paraId="6FB3F7C5" w14:textId="77777777" w:rsidR="00BD06C4" w:rsidRDefault="00BD06C4" w:rsidP="00BD06C4">
            <w:pPr>
              <w:pStyle w:val="NoSpacing"/>
            </w:pPr>
          </w:p>
          <w:p w14:paraId="663541AA" w14:textId="77777777" w:rsidR="00BD06C4" w:rsidRDefault="00BD06C4" w:rsidP="00BD06C4">
            <w:pPr>
              <w:pStyle w:val="NoSpacing"/>
            </w:pPr>
            <w:r>
              <w:t>4</w:t>
            </w:r>
            <w:r w:rsidRPr="00013ACB">
              <w:rPr>
                <w:vertAlign w:val="superscript"/>
              </w:rPr>
              <w:t>th</w:t>
            </w:r>
            <w:r>
              <w:t xml:space="preserve"> Round: </w:t>
            </w:r>
          </w:p>
          <w:p w14:paraId="242515C3" w14:textId="77777777" w:rsidR="00BD06C4" w:rsidRDefault="00BD06C4" w:rsidP="00BD06C4">
            <w:pPr>
              <w:pStyle w:val="NoSpacing"/>
            </w:pPr>
            <w:r>
              <w:t>December, 2020</w:t>
            </w:r>
          </w:p>
          <w:p w14:paraId="3DC0AF1C" w14:textId="77777777" w:rsidR="00BD06C4" w:rsidRDefault="00BD06C4" w:rsidP="00BD06C4">
            <w:pPr>
              <w:pStyle w:val="NoSpacing"/>
            </w:pPr>
          </w:p>
          <w:p w14:paraId="240A93C6" w14:textId="77777777" w:rsidR="00BD06C4" w:rsidRDefault="00BD06C4" w:rsidP="00BD06C4">
            <w:pPr>
              <w:pStyle w:val="NoSpacing"/>
            </w:pPr>
            <w:r>
              <w:t>5</w:t>
            </w:r>
            <w:r w:rsidRPr="00013ACB">
              <w:rPr>
                <w:vertAlign w:val="superscript"/>
              </w:rPr>
              <w:t>th</w:t>
            </w:r>
            <w:r>
              <w:t xml:space="preserve"> Round: </w:t>
            </w:r>
          </w:p>
          <w:p w14:paraId="44D3DB29" w14:textId="77777777" w:rsidR="00BD06C4" w:rsidRDefault="00BD06C4" w:rsidP="00BD06C4">
            <w:pPr>
              <w:pStyle w:val="NoSpacing"/>
            </w:pPr>
            <w:r>
              <w:t>December, 2021</w:t>
            </w:r>
          </w:p>
          <w:p w14:paraId="21BC0030" w14:textId="1B828D9F" w:rsidR="00BD06C4" w:rsidRDefault="00BD06C4" w:rsidP="00BD06C4">
            <w:pPr>
              <w:pStyle w:val="NoSpacing"/>
            </w:pPr>
          </w:p>
        </w:tc>
        <w:tc>
          <w:tcPr>
            <w:tcW w:w="0" w:type="auto"/>
          </w:tcPr>
          <w:p w14:paraId="445FF76C" w14:textId="77777777" w:rsidR="00BD06C4" w:rsidRDefault="00BD06C4" w:rsidP="00BD06C4">
            <w:pPr>
              <w:pStyle w:val="NoSpacing"/>
            </w:pPr>
            <w:r w:rsidRPr="007A02BD">
              <w:t>BP has recalculated the values with BBS Population data.</w:t>
            </w:r>
          </w:p>
          <w:p w14:paraId="30A3B6BD" w14:textId="77777777" w:rsidR="00BD06C4" w:rsidRPr="00B6234F" w:rsidRDefault="00BD06C4" w:rsidP="00BD06C4">
            <w:pPr>
              <w:pStyle w:val="NoSpacing"/>
            </w:pPr>
            <w:r>
              <w:t>Projected values for 2019 is: 2.28</w:t>
            </w:r>
          </w:p>
        </w:tc>
      </w:tr>
      <w:tr w:rsidR="00BD06C4" w14:paraId="2A561D2E" w14:textId="77777777" w:rsidTr="00A64F0D">
        <w:tc>
          <w:tcPr>
            <w:tcW w:w="0" w:type="auto"/>
          </w:tcPr>
          <w:p w14:paraId="6A62E640" w14:textId="77777777" w:rsidR="00BD06C4" w:rsidRDefault="00BD06C4" w:rsidP="00BD06C4">
            <w:pPr>
              <w:pStyle w:val="NoSpacing"/>
            </w:pPr>
            <w:r w:rsidRPr="00BA046C">
              <w:lastRenderedPageBreak/>
              <w:t>16.1.2 Conflict-related deaths per 100,000 population, by sex, age and cause</w:t>
            </w:r>
          </w:p>
        </w:tc>
        <w:tc>
          <w:tcPr>
            <w:tcW w:w="0" w:type="auto"/>
          </w:tcPr>
          <w:p w14:paraId="6F2823E0" w14:textId="77777777" w:rsidR="00BD06C4" w:rsidRDefault="00BD06C4" w:rsidP="00BD06C4">
            <w:pPr>
              <w:pStyle w:val="NoSpacing"/>
            </w:pPr>
            <w:r w:rsidRPr="007145C8">
              <w:t>OHCHR</w:t>
            </w:r>
          </w:p>
          <w:p w14:paraId="71F54787" w14:textId="77777777" w:rsidR="00BD06C4" w:rsidRDefault="00BD06C4" w:rsidP="00BD06C4">
            <w:pPr>
              <w:rPr>
                <w:b/>
                <w:bCs/>
                <w:szCs w:val="20"/>
              </w:rPr>
            </w:pPr>
            <w:r w:rsidRPr="007243FC">
              <w:rPr>
                <w:b/>
                <w:bCs/>
                <w:szCs w:val="20"/>
              </w:rPr>
              <w:t>Partner Agencies:</w:t>
            </w:r>
          </w:p>
          <w:p w14:paraId="69C5E952" w14:textId="77777777" w:rsidR="00BD06C4" w:rsidRDefault="00BD06C4" w:rsidP="00BD06C4">
            <w:pPr>
              <w:pStyle w:val="NoSpacing"/>
            </w:pPr>
            <w:r>
              <w:t xml:space="preserve">UNMAS,  </w:t>
            </w:r>
          </w:p>
          <w:p w14:paraId="6894E28D" w14:textId="77777777" w:rsidR="00BD06C4" w:rsidRDefault="00BD06C4" w:rsidP="00BD06C4">
            <w:pPr>
              <w:pStyle w:val="NoSpacing"/>
            </w:pPr>
            <w:r>
              <w:t>DESA Population Division</w:t>
            </w:r>
          </w:p>
        </w:tc>
        <w:tc>
          <w:tcPr>
            <w:tcW w:w="0" w:type="auto"/>
          </w:tcPr>
          <w:p w14:paraId="32C42D6A" w14:textId="77777777" w:rsidR="00BD06C4" w:rsidRDefault="00BD06C4" w:rsidP="00BD06C4">
            <w:pPr>
              <w:ind w:left="970" w:hanging="970"/>
              <w:jc w:val="both"/>
              <w:rPr>
                <w:color w:val="0070C0"/>
                <w:sz w:val="30"/>
                <w:szCs w:val="30"/>
              </w:rPr>
            </w:pPr>
            <w:r w:rsidRPr="00666BAB">
              <w:t>Tier II</w:t>
            </w:r>
          </w:p>
        </w:tc>
        <w:tc>
          <w:tcPr>
            <w:tcW w:w="0" w:type="auto"/>
          </w:tcPr>
          <w:p w14:paraId="2B0F0E74" w14:textId="77777777" w:rsidR="00BD06C4" w:rsidRPr="00AE40AB" w:rsidRDefault="00BD06C4" w:rsidP="00BD06C4">
            <w:pPr>
              <w:pStyle w:val="NoSpacing"/>
              <w:rPr>
                <w:lang w:val="en-GB"/>
              </w:rPr>
            </w:pPr>
            <w:r w:rsidRPr="00AE40AB">
              <w:rPr>
                <w:b/>
                <w:bCs/>
                <w:lang w:val="en-GB"/>
              </w:rPr>
              <w:t>Definition:</w:t>
            </w:r>
          </w:p>
          <w:p w14:paraId="7BAA54E6" w14:textId="77777777" w:rsidR="00BD06C4" w:rsidRPr="00AE40AB" w:rsidRDefault="00BD06C4" w:rsidP="00BD06C4">
            <w:pPr>
              <w:pStyle w:val="NoSpacing"/>
              <w:rPr>
                <w:lang w:val="en-GB"/>
              </w:rPr>
            </w:pPr>
            <w:r w:rsidRPr="00AE40AB">
              <w:rPr>
                <w:lang w:val="en-GB"/>
              </w:rPr>
              <w:t xml:space="preserve">This indicator is defined as the total count of conflict-related deaths divided by the total population, expressed per 100,000 </w:t>
            </w:r>
            <w:proofErr w:type="gramStart"/>
            <w:r w:rsidRPr="00AE40AB">
              <w:rPr>
                <w:lang w:val="en-GB"/>
              </w:rPr>
              <w:t>population</w:t>
            </w:r>
            <w:proofErr w:type="gramEnd"/>
            <w:r w:rsidRPr="00AE40AB">
              <w:rPr>
                <w:lang w:val="en-GB"/>
              </w:rPr>
              <w:t>.</w:t>
            </w:r>
          </w:p>
          <w:p w14:paraId="5087F6D0" w14:textId="77777777" w:rsidR="00BD06C4" w:rsidRPr="00AE40AB" w:rsidRDefault="00BD06C4" w:rsidP="00BD06C4">
            <w:pPr>
              <w:pStyle w:val="NoSpacing"/>
              <w:rPr>
                <w:lang w:val="en-GB"/>
              </w:rPr>
            </w:pPr>
          </w:p>
          <w:p w14:paraId="0B145BC3" w14:textId="77777777" w:rsidR="00BD06C4" w:rsidRPr="00AE40AB" w:rsidRDefault="00BD06C4" w:rsidP="00BD06C4">
            <w:pPr>
              <w:pStyle w:val="NoSpacing"/>
              <w:rPr>
                <w:lang w:val="en-GB"/>
              </w:rPr>
            </w:pPr>
            <w:r w:rsidRPr="00AE40AB">
              <w:rPr>
                <w:i/>
                <w:lang w:val="en-GB"/>
              </w:rPr>
              <w:t>‘Conflict’</w:t>
            </w:r>
            <w:r w:rsidRPr="00AE40AB">
              <w:rPr>
                <w:lang w:val="en-GB"/>
              </w:rPr>
              <w:t xml:space="preserve"> is defined as </w:t>
            </w:r>
            <w:r w:rsidRPr="00AE40AB">
              <w:rPr>
                <w:i/>
                <w:lang w:val="en-GB"/>
              </w:rPr>
              <w:t>‘armed conflict’</w:t>
            </w:r>
            <w:r w:rsidRPr="00AE40AB">
              <w:rPr>
                <w:lang w:val="en-GB"/>
              </w:rPr>
              <w:t xml:space="preserve"> in reference to a terminology enshrined in International Humanitarian Law (IHL), and applied to situations based on the assessment of the United Nations (UN) and other internationally mandated entities.  </w:t>
            </w:r>
            <w:r w:rsidRPr="00AE40AB">
              <w:rPr>
                <w:i/>
                <w:lang w:val="en-GB"/>
              </w:rPr>
              <w:t>‘Conflict-related deaths’</w:t>
            </w:r>
            <w:r w:rsidRPr="00AE40AB">
              <w:rPr>
                <w:lang w:val="en-GB"/>
              </w:rPr>
              <w:t xml:space="preserve"> refers to direct and indirect deaths associated to armed conflict.  </w:t>
            </w:r>
            <w:r w:rsidRPr="00AE40AB">
              <w:rPr>
                <w:i/>
                <w:lang w:val="en-GB"/>
              </w:rPr>
              <w:t>‘Population’</w:t>
            </w:r>
            <w:r w:rsidRPr="00AE40AB">
              <w:rPr>
                <w:lang w:val="en-GB"/>
              </w:rPr>
              <w:t xml:space="preserve"> refers to total resident population in a given situation of armed conflict included in the indicator, in a given year. Population data are derived from annual estimates produced by the UN Population Division.</w:t>
            </w:r>
          </w:p>
          <w:p w14:paraId="27110548" w14:textId="77777777" w:rsidR="00BD06C4" w:rsidRPr="00AE40AB" w:rsidRDefault="00BD06C4" w:rsidP="00BD06C4">
            <w:pPr>
              <w:pStyle w:val="NoSpacing"/>
              <w:rPr>
                <w:lang w:val="en-GB"/>
              </w:rPr>
            </w:pPr>
          </w:p>
          <w:p w14:paraId="530472E5" w14:textId="77777777" w:rsidR="00BD06C4" w:rsidRPr="00AE40AB" w:rsidRDefault="00BD06C4" w:rsidP="00BD06C4">
            <w:pPr>
              <w:pStyle w:val="NoSpacing"/>
              <w:rPr>
                <w:b/>
                <w:bCs/>
                <w:lang w:val="en-GB"/>
              </w:rPr>
            </w:pPr>
            <w:r w:rsidRPr="00AE40AB">
              <w:rPr>
                <w:b/>
                <w:bCs/>
                <w:lang w:val="en-GB"/>
              </w:rPr>
              <w:t>Concepts:</w:t>
            </w:r>
          </w:p>
          <w:p w14:paraId="6CB8AFED" w14:textId="77777777" w:rsidR="00BD06C4" w:rsidRPr="00AE40AB" w:rsidRDefault="00BD06C4" w:rsidP="00BD06C4">
            <w:pPr>
              <w:pStyle w:val="NoSpacing"/>
              <w:rPr>
                <w:i/>
                <w:lang w:val="en-GB"/>
              </w:rPr>
            </w:pPr>
            <w:r w:rsidRPr="00AE40AB">
              <w:rPr>
                <w:i/>
                <w:lang w:val="en-GB"/>
              </w:rPr>
              <w:t>‘Conflict’</w:t>
            </w:r>
          </w:p>
          <w:p w14:paraId="04421727" w14:textId="77777777" w:rsidR="00BD06C4" w:rsidRPr="00AE40AB" w:rsidRDefault="00BD06C4" w:rsidP="00BD06C4">
            <w:pPr>
              <w:pStyle w:val="NoSpacing"/>
              <w:rPr>
                <w:lang w:val="en-GB"/>
              </w:rPr>
            </w:pPr>
            <w:r w:rsidRPr="00AE40AB">
              <w:rPr>
                <w:lang w:val="en-GB"/>
              </w:rPr>
              <w:t xml:space="preserve">According to IHL, the branch of international law, which specifically focuses on armed conflicts, two types of armed conflicts </w:t>
            </w:r>
            <w:proofErr w:type="gramStart"/>
            <w:r w:rsidRPr="00AE40AB">
              <w:rPr>
                <w:lang w:val="en-GB"/>
              </w:rPr>
              <w:t>exist</w:t>
            </w:r>
            <w:proofErr w:type="gramEnd"/>
            <w:r w:rsidRPr="00AE40AB">
              <w:rPr>
                <w:lang w:val="en-GB"/>
              </w:rPr>
              <w:t xml:space="preserve">: international armed conflicts (IAC) and non-international armed conflicts (NIAC). </w:t>
            </w:r>
          </w:p>
          <w:p w14:paraId="767EF6FA" w14:textId="77777777" w:rsidR="00BD06C4" w:rsidRPr="00AE40AB" w:rsidRDefault="00BD06C4" w:rsidP="00BD06C4">
            <w:pPr>
              <w:pStyle w:val="NoSpacing"/>
              <w:rPr>
                <w:lang w:val="en-GB"/>
              </w:rPr>
            </w:pPr>
          </w:p>
          <w:p w14:paraId="7FD5BD6B" w14:textId="77777777" w:rsidR="00BD06C4" w:rsidRPr="00AE40AB" w:rsidRDefault="00BD06C4" w:rsidP="00BD06C4">
            <w:pPr>
              <w:pStyle w:val="NoSpacing"/>
              <w:rPr>
                <w:lang w:val="en-GB"/>
              </w:rPr>
            </w:pPr>
            <w:r w:rsidRPr="00AE40AB">
              <w:rPr>
                <w:lang w:val="en-GB"/>
              </w:rPr>
              <w:t xml:space="preserve">IAC exist whenever there is resort to armed force between two or more States. An IAC does not exist in cases in which </w:t>
            </w:r>
            <w:r w:rsidRPr="00AE40AB">
              <w:rPr>
                <w:lang w:val="en-GB"/>
              </w:rPr>
              <w:lastRenderedPageBreak/>
              <w:t xml:space="preserve">use of force is the result of an error (e.g. involuntary incursion into foreign territory, wrongly identifying the target); and when the territorial State has given its consent to an intervention. </w:t>
            </w:r>
          </w:p>
          <w:p w14:paraId="45D0A197" w14:textId="77777777" w:rsidR="00BD06C4" w:rsidRPr="00AE40AB" w:rsidRDefault="00BD06C4" w:rsidP="00BD06C4">
            <w:pPr>
              <w:pStyle w:val="NoSpacing"/>
              <w:rPr>
                <w:lang w:val="en-GB"/>
              </w:rPr>
            </w:pPr>
          </w:p>
          <w:p w14:paraId="6FD3F119" w14:textId="77777777" w:rsidR="00BD06C4" w:rsidRPr="00AE40AB" w:rsidRDefault="00BD06C4" w:rsidP="00BD06C4">
            <w:pPr>
              <w:pStyle w:val="NoSpacing"/>
              <w:rPr>
                <w:lang w:val="en-GB"/>
              </w:rPr>
            </w:pPr>
            <w:r w:rsidRPr="00AE40AB">
              <w:rPr>
                <w:lang w:val="en-GB"/>
              </w:rPr>
              <w:t xml:space="preserve">NIAC are protracted armed confrontations occurring between governmental armed forces and the forces of one or more armed groups, or between such groups arising on the territory of a State. The armed confrontation must reach a “minimum level of intensity” and the parties involved in the conflict must show a “minimum of organisation”.  </w:t>
            </w:r>
          </w:p>
          <w:p w14:paraId="30D544B8" w14:textId="77777777" w:rsidR="00BD06C4" w:rsidRPr="00AE40AB" w:rsidRDefault="00BD06C4" w:rsidP="00BD06C4">
            <w:pPr>
              <w:pStyle w:val="NoSpacing"/>
              <w:rPr>
                <w:lang w:val="en-GB"/>
              </w:rPr>
            </w:pPr>
          </w:p>
          <w:p w14:paraId="00BA0B68" w14:textId="77777777" w:rsidR="00BD06C4" w:rsidRPr="00AE40AB" w:rsidRDefault="00BD06C4" w:rsidP="00BD06C4">
            <w:pPr>
              <w:pStyle w:val="NoSpacing"/>
              <w:rPr>
                <w:i/>
                <w:lang w:val="en-GB"/>
              </w:rPr>
            </w:pPr>
            <w:r w:rsidRPr="00AE40AB">
              <w:rPr>
                <w:i/>
                <w:lang w:val="en-GB"/>
              </w:rPr>
              <w:t>‘Conflict-related deaths’</w:t>
            </w:r>
          </w:p>
          <w:p w14:paraId="7C544FF9" w14:textId="77777777" w:rsidR="00BD06C4" w:rsidRPr="00AE40AB" w:rsidRDefault="00BD06C4" w:rsidP="00BD06C4">
            <w:pPr>
              <w:pStyle w:val="NoSpacing"/>
              <w:rPr>
                <w:lang w:val="en-GB"/>
              </w:rPr>
            </w:pPr>
            <w:r w:rsidRPr="00AE40AB">
              <w:rPr>
                <w:lang w:val="en-GB"/>
              </w:rPr>
              <w:t xml:space="preserve">Direct deaths are deaths where there are reasonable grounds to believe that they resulted directly from war operations and that the acts, decisions and/or purposes that caused these deaths were in furtherance of or under the guise of armed conflict. </w:t>
            </w:r>
          </w:p>
          <w:p w14:paraId="498CF054" w14:textId="77777777" w:rsidR="00BD06C4" w:rsidRPr="00AE40AB" w:rsidRDefault="00BD06C4" w:rsidP="00BD06C4">
            <w:pPr>
              <w:pStyle w:val="NoSpacing"/>
              <w:rPr>
                <w:lang w:val="en-GB"/>
              </w:rPr>
            </w:pPr>
          </w:p>
          <w:p w14:paraId="3EECA90C" w14:textId="77777777" w:rsidR="00BD06C4" w:rsidRPr="00AE40AB" w:rsidRDefault="00BD06C4" w:rsidP="00BD06C4">
            <w:pPr>
              <w:pStyle w:val="NoSpacing"/>
              <w:rPr>
                <w:lang w:val="en-GB"/>
              </w:rPr>
            </w:pPr>
            <w:r w:rsidRPr="00AE40AB">
              <w:rPr>
                <w:lang w:val="en-GB"/>
              </w:rPr>
              <w:t>These deaths may have been caused by (i) the use of weapons or (ii) other means and methods.  Deaths caused by the use of weapons, include but are not limited to those inflicted by firearms, missiles, mines, and bladed weapons. It may also include deaths resulting from aerial attacks and bombardments (e.g. of military bases, cities and villages), crossfire, explosive remnants of war, targeted killings or assassinations, force protection incidents. Deaths caused by other means and methods may include deaths from torture or sexual and gender-based violence, intentional killing using starvation, depriving prisoners of access to health care or denying access to essential goods and services  (e.g. an ambulance stopped at a check point).</w:t>
            </w:r>
          </w:p>
          <w:p w14:paraId="181E05BB" w14:textId="77777777" w:rsidR="00BD06C4" w:rsidRPr="00AE40AB" w:rsidRDefault="00BD06C4" w:rsidP="00BD06C4">
            <w:pPr>
              <w:pStyle w:val="NoSpacing"/>
              <w:rPr>
                <w:lang w:val="en-GB"/>
              </w:rPr>
            </w:pPr>
          </w:p>
          <w:p w14:paraId="52CE9EA4" w14:textId="77777777" w:rsidR="00BD06C4" w:rsidRPr="00AE40AB" w:rsidRDefault="00BD06C4" w:rsidP="00BD06C4">
            <w:pPr>
              <w:pStyle w:val="NoSpacing"/>
              <w:rPr>
                <w:lang w:val="en-GB"/>
              </w:rPr>
            </w:pPr>
            <w:r w:rsidRPr="00AE40AB">
              <w:rPr>
                <w:lang w:val="en-GB"/>
              </w:rPr>
              <w:t>Indirect deaths are deaths resulting from a loss of access to essential goods and services (e.g. economic slowdown, shortages of medicines or reduced farming capacity that result in lack of access to adequate food, water, sanitation, health care and safe conditions of work) that are caused or aggravated by the situation of armed conflict.</w:t>
            </w:r>
          </w:p>
          <w:p w14:paraId="5BA8CCE6" w14:textId="77777777" w:rsidR="00BD06C4" w:rsidRPr="00AE40AB" w:rsidRDefault="00BD06C4" w:rsidP="00BD06C4">
            <w:pPr>
              <w:pStyle w:val="NoSpacing"/>
              <w:rPr>
                <w:lang w:val="en-GB"/>
              </w:rPr>
            </w:pPr>
          </w:p>
          <w:p w14:paraId="75C96CCB" w14:textId="77777777" w:rsidR="00BD06C4" w:rsidRPr="00AE40AB" w:rsidRDefault="00BD06C4" w:rsidP="00BD06C4">
            <w:pPr>
              <w:pStyle w:val="NoSpacing"/>
              <w:rPr>
                <w:lang w:val="en-GB"/>
              </w:rPr>
            </w:pPr>
            <w:r w:rsidRPr="00AE40AB">
              <w:rPr>
                <w:lang w:val="en-GB"/>
              </w:rPr>
              <w:t>By definition, these deaths should be separated from other violent deaths which are, in principle, not connected to the situation of armed conflict (e.g. intentional and non-intentional homicides, self-defence, self-inflicted), but are still relevant to the implementation and measurement of SDG target 16.1. The International Classification of Crime for Statistical Purposes (ICCS) provides definitional elements and classification of violent deaths both related and not related to armed conflict.  The ICCS provides indications on how to distinguish between intentional homicides, killings directly related to war/armed conflict and killings that amount to war crimes.</w:t>
            </w:r>
          </w:p>
          <w:p w14:paraId="4B5F8E66" w14:textId="77777777" w:rsidR="00BD06C4" w:rsidRPr="00AE40AB" w:rsidRDefault="00BD06C4" w:rsidP="00BD06C4">
            <w:pPr>
              <w:pStyle w:val="NoSpacing"/>
              <w:rPr>
                <w:lang w:val="en-GB"/>
              </w:rPr>
            </w:pPr>
          </w:p>
          <w:p w14:paraId="2BE6B333" w14:textId="77777777" w:rsidR="00BD06C4" w:rsidRPr="00AE40AB" w:rsidRDefault="00BD06C4" w:rsidP="00BD06C4">
            <w:pPr>
              <w:pStyle w:val="NoSpacing"/>
              <w:rPr>
                <w:lang w:val="en-GB"/>
              </w:rPr>
            </w:pPr>
            <w:r w:rsidRPr="00AE40AB">
              <w:rPr>
                <w:i/>
                <w:lang w:val="en-GB"/>
              </w:rPr>
              <w:t>‘Cause’</w:t>
            </w:r>
            <w:r w:rsidRPr="00AE40AB">
              <w:rPr>
                <w:lang w:val="en-GB"/>
              </w:rPr>
              <w:t xml:space="preserve"> refers to the weapons, means and methods that caused the conflict-related deaths.  The categories for the disaggregation of the ‘c</w:t>
            </w:r>
            <w:r w:rsidRPr="00AE40AB">
              <w:rPr>
                <w:i/>
                <w:lang w:val="en-GB"/>
              </w:rPr>
              <w:t>ause of death</w:t>
            </w:r>
            <w:r w:rsidRPr="00AE40AB">
              <w:rPr>
                <w:lang w:val="en-GB"/>
              </w:rPr>
              <w:t xml:space="preserve">’ for direct deaths build on the WHO International Classification of Diseases (ICD-11), ICCS, the International Committee of the Red Cross (ICRC) overview of weapons regulated by IHL, UN practice and OHCHR casualty recording.  </w:t>
            </w:r>
          </w:p>
          <w:p w14:paraId="4C7584B1" w14:textId="77777777" w:rsidR="00BD06C4" w:rsidRPr="00AE40AB" w:rsidRDefault="00BD06C4" w:rsidP="00BD06C4">
            <w:pPr>
              <w:pStyle w:val="NoSpacing"/>
              <w:rPr>
                <w:lang w:val="en-GB"/>
              </w:rPr>
            </w:pPr>
          </w:p>
          <w:p w14:paraId="537059FC" w14:textId="77777777" w:rsidR="00BD06C4" w:rsidRPr="00AE40AB" w:rsidRDefault="00BD06C4" w:rsidP="00BD06C4">
            <w:pPr>
              <w:pStyle w:val="NoSpacing"/>
              <w:rPr>
                <w:lang w:val="en-GB"/>
              </w:rPr>
            </w:pPr>
          </w:p>
          <w:p w14:paraId="1838F0AA" w14:textId="77777777" w:rsidR="00BD06C4" w:rsidRPr="00AE40AB" w:rsidRDefault="00BD06C4" w:rsidP="00BD06C4">
            <w:pPr>
              <w:pStyle w:val="NoSpacing"/>
              <w:rPr>
                <w:lang w:val="en-GB"/>
              </w:rPr>
            </w:pPr>
            <w:r w:rsidRPr="00AE40AB">
              <w:rPr>
                <w:b/>
                <w:bCs/>
                <w:lang w:val="en-GB"/>
              </w:rPr>
              <w:t>Comments and limitations:</w:t>
            </w:r>
          </w:p>
          <w:p w14:paraId="5B75749C" w14:textId="77777777" w:rsidR="00BD06C4" w:rsidRPr="00AE40AB" w:rsidRDefault="00BD06C4" w:rsidP="00BD06C4">
            <w:pPr>
              <w:pStyle w:val="NoSpacing"/>
              <w:rPr>
                <w:lang w:val="en-GB"/>
              </w:rPr>
            </w:pPr>
            <w:r w:rsidRPr="00AE40AB">
              <w:rPr>
                <w:lang w:val="en-GB"/>
              </w:rPr>
              <w:lastRenderedPageBreak/>
              <w:t xml:space="preserve">In situations of armed conflict, a large share of deaths may not be reported.  Often, normal registration systems are heavily affected by the presence of armed conflict. Additionally, actors on both sides of an armed conflict may have incentives for misreporting, deflating or inflating casualties. In most instances, the number of cases reported will depend on access to conflict zones, access to information, motivation and perseverance of both international and national actors, such as UN peace missions and other internationally mandated entities, national institutions (e.g. national statistical offices, national human rights institutions) and relevant civil society organizations.  </w:t>
            </w:r>
          </w:p>
          <w:p w14:paraId="4407701E" w14:textId="77777777" w:rsidR="00BD06C4" w:rsidRPr="00AE40AB" w:rsidRDefault="00BD06C4" w:rsidP="00BD06C4">
            <w:pPr>
              <w:pStyle w:val="NoSpacing"/>
              <w:rPr>
                <w:b/>
                <w:bCs/>
                <w:lang w:val="en-GB"/>
              </w:rPr>
            </w:pPr>
          </w:p>
          <w:p w14:paraId="6C651ADE" w14:textId="77777777" w:rsidR="00BD06C4" w:rsidRPr="00AE40AB" w:rsidRDefault="00BD06C4" w:rsidP="00BD06C4">
            <w:pPr>
              <w:pStyle w:val="NoSpacing"/>
              <w:rPr>
                <w:lang w:val="en-GB"/>
              </w:rPr>
            </w:pPr>
            <w:r w:rsidRPr="00AE40AB">
              <w:rPr>
                <w:b/>
                <w:bCs/>
                <w:lang w:val="en-GB"/>
              </w:rPr>
              <w:t>Computation Method:</w:t>
            </w:r>
          </w:p>
          <w:p w14:paraId="7DC4AD08" w14:textId="77777777" w:rsidR="00BD06C4" w:rsidRPr="00AE40AB" w:rsidRDefault="00BD06C4" w:rsidP="00BD06C4">
            <w:pPr>
              <w:pStyle w:val="NoSpacing"/>
              <w:rPr>
                <w:lang w:val="en-GB"/>
              </w:rPr>
            </w:pPr>
            <w:r w:rsidRPr="00AE40AB">
              <w:rPr>
                <w:lang w:val="en-GB"/>
              </w:rPr>
              <w:t xml:space="preserve">The indicator is calculated as the total count of conflict-related deaths divided by the total resident population in a given situation of armed conflict for the year, expressed per 100,000 </w:t>
            </w:r>
            <w:proofErr w:type="gramStart"/>
            <w:r w:rsidRPr="00AE40AB">
              <w:rPr>
                <w:lang w:val="en-GB"/>
              </w:rPr>
              <w:t>population</w:t>
            </w:r>
            <w:proofErr w:type="gramEnd"/>
            <w:r w:rsidRPr="00AE40AB">
              <w:rPr>
                <w:lang w:val="en-GB"/>
              </w:rPr>
              <w:t xml:space="preserve">, occurring within the preceding 12 months. </w:t>
            </w:r>
          </w:p>
          <w:p w14:paraId="7D2F0BCE" w14:textId="77777777" w:rsidR="00BD06C4" w:rsidRPr="00AE40AB" w:rsidRDefault="00BD06C4" w:rsidP="00BD06C4">
            <w:pPr>
              <w:pStyle w:val="NoSpacing"/>
              <w:rPr>
                <w:lang w:val="en-GB"/>
              </w:rPr>
            </w:pPr>
          </w:p>
          <w:p w14:paraId="10E4E070" w14:textId="77777777" w:rsidR="00BD06C4" w:rsidRPr="00AE40AB" w:rsidRDefault="00BD06C4" w:rsidP="00BD06C4">
            <w:pPr>
              <w:pStyle w:val="NoSpacing"/>
              <w:rPr>
                <w:bCs/>
                <w:lang w:val="en-GB"/>
              </w:rPr>
            </w:pPr>
            <w:r w:rsidRPr="00AE40AB">
              <w:rPr>
                <w:lang w:val="en-GB"/>
              </w:rPr>
              <w:t>The total count of conflict-related deaths includes first the total number of documented direct deaths, using all potentially relevant data sources (e.g. UN peace missions, national statistical offices, national human rights institutions, civil society organisations). Documented cases provide verified information on each direct conflict-related death.</w:t>
            </w:r>
            <w:r w:rsidRPr="00AE40AB">
              <w:rPr>
                <w:bCs/>
                <w:lang w:val="en-GB"/>
              </w:rPr>
              <w:t xml:space="preserve"> </w:t>
            </w:r>
          </w:p>
          <w:p w14:paraId="3782F33E" w14:textId="77777777" w:rsidR="00BD06C4" w:rsidRPr="00AE40AB" w:rsidRDefault="00BD06C4" w:rsidP="00BD06C4">
            <w:pPr>
              <w:pStyle w:val="NoSpacing"/>
              <w:rPr>
                <w:bCs/>
                <w:lang w:val="en-GB"/>
              </w:rPr>
            </w:pPr>
          </w:p>
          <w:p w14:paraId="35BA6119" w14:textId="77777777" w:rsidR="00BD06C4" w:rsidRPr="00AE40AB" w:rsidRDefault="00BD06C4" w:rsidP="00BD06C4">
            <w:pPr>
              <w:pStyle w:val="NoSpacing"/>
              <w:rPr>
                <w:lang w:val="en-GB"/>
              </w:rPr>
            </w:pPr>
            <w:r w:rsidRPr="00AE40AB">
              <w:rPr>
                <w:lang w:val="en-GB"/>
              </w:rPr>
              <w:t>Depending on the magnitude of conflict-related deaths, capacity of data providers, and other contextual and practical considerations, the methodology will seek to produce statistical estimates of undocumented deaths directly linked to the armed conflict.</w:t>
            </w:r>
            <w:r w:rsidRPr="00AE40AB">
              <w:rPr>
                <w:bCs/>
                <w:lang w:val="en-GB"/>
              </w:rPr>
              <w:t xml:space="preserve"> </w:t>
            </w:r>
            <w:r w:rsidRPr="00AE40AB">
              <w:rPr>
                <w:lang w:val="en-GB"/>
              </w:rPr>
              <w:t xml:space="preserve"> Further work will be needed to cover deaths indirectly linked to the armed conflict, e.g. loss of access to essential goods and services. Existing data must be updated regularly and retrospectively reflecting the emergence of new data over time.</w:t>
            </w:r>
          </w:p>
        </w:tc>
        <w:tc>
          <w:tcPr>
            <w:tcW w:w="0" w:type="auto"/>
          </w:tcPr>
          <w:p w14:paraId="4A2BD22D" w14:textId="77777777" w:rsidR="00BD06C4" w:rsidRPr="001E203D" w:rsidRDefault="00BD06C4" w:rsidP="00BD06C4">
            <w:pPr>
              <w:pStyle w:val="NoSpacing"/>
            </w:pPr>
            <w:r>
              <w:rPr>
                <w:lang w:eastAsia="en-GB"/>
              </w:rPr>
              <w:lastRenderedPageBreak/>
              <w:t xml:space="preserve">Data will be compiled from data providers that have been </w:t>
            </w:r>
            <w:r w:rsidRPr="008105DC">
              <w:rPr>
                <w:lang w:eastAsia="en-GB"/>
              </w:rPr>
              <w:t>systematically assess</w:t>
            </w:r>
            <w:r>
              <w:rPr>
                <w:lang w:eastAsia="en-GB"/>
              </w:rPr>
              <w:t>ed by OHCHR</w:t>
            </w:r>
          </w:p>
        </w:tc>
        <w:tc>
          <w:tcPr>
            <w:tcW w:w="0" w:type="auto"/>
          </w:tcPr>
          <w:p w14:paraId="0E2AD6E0" w14:textId="77777777" w:rsidR="00BD06C4" w:rsidRDefault="00BD06C4" w:rsidP="00BD06C4">
            <w:pPr>
              <w:pStyle w:val="NoSpacing"/>
              <w:rPr>
                <w:lang w:eastAsia="en-GB"/>
              </w:rPr>
            </w:pPr>
            <w:r>
              <w:rPr>
                <w:lang w:eastAsia="en-GB"/>
              </w:rPr>
              <w:t>P</w:t>
            </w:r>
            <w:r w:rsidRPr="00897A42">
              <w:rPr>
                <w:lang w:eastAsia="en-GB"/>
              </w:rPr>
              <w:t xml:space="preserve">eacekeeping operations, commissions of inquiry, humanitarian operations and human rights </w:t>
            </w:r>
            <w:r>
              <w:rPr>
                <w:lang w:eastAsia="en-GB"/>
              </w:rPr>
              <w:t>offices</w:t>
            </w:r>
            <w:r w:rsidRPr="00897A42">
              <w:rPr>
                <w:lang w:eastAsia="en-GB"/>
              </w:rPr>
              <w:t xml:space="preserve">, </w:t>
            </w:r>
          </w:p>
          <w:p w14:paraId="1C8210A4" w14:textId="77777777" w:rsidR="00BD06C4" w:rsidRDefault="00BD06C4" w:rsidP="00BD06C4">
            <w:pPr>
              <w:pStyle w:val="NoSpacing"/>
              <w:rPr>
                <w:lang w:eastAsia="en-GB"/>
              </w:rPr>
            </w:pPr>
          </w:p>
          <w:p w14:paraId="44C51F12" w14:textId="77777777" w:rsidR="00BD06C4" w:rsidRDefault="00BD06C4" w:rsidP="00BD06C4">
            <w:pPr>
              <w:pStyle w:val="NoSpacing"/>
              <w:rPr>
                <w:lang w:eastAsia="en-GB"/>
              </w:rPr>
            </w:pPr>
            <w:r>
              <w:rPr>
                <w:lang w:eastAsia="en-GB"/>
              </w:rPr>
              <w:t>N</w:t>
            </w:r>
            <w:r w:rsidRPr="00897A42">
              <w:rPr>
                <w:lang w:eastAsia="en-GB"/>
              </w:rPr>
              <w:t xml:space="preserve">ational </w:t>
            </w:r>
            <w:r>
              <w:rPr>
                <w:lang w:eastAsia="en-GB"/>
              </w:rPr>
              <w:t>h</w:t>
            </w:r>
            <w:r w:rsidRPr="00897A42">
              <w:rPr>
                <w:lang w:eastAsia="en-GB"/>
              </w:rPr>
              <w:t xml:space="preserve">uman </w:t>
            </w:r>
            <w:r>
              <w:rPr>
                <w:lang w:eastAsia="en-GB"/>
              </w:rPr>
              <w:t>r</w:t>
            </w:r>
            <w:r w:rsidRPr="00897A42">
              <w:rPr>
                <w:lang w:eastAsia="en-GB"/>
              </w:rPr>
              <w:t xml:space="preserve">ights </w:t>
            </w:r>
            <w:r>
              <w:rPr>
                <w:lang w:eastAsia="en-GB"/>
              </w:rPr>
              <w:t>i</w:t>
            </w:r>
            <w:r w:rsidRPr="00897A42">
              <w:rPr>
                <w:lang w:eastAsia="en-GB"/>
              </w:rPr>
              <w:t xml:space="preserve">nstitutions, </w:t>
            </w:r>
          </w:p>
          <w:p w14:paraId="5945D7EB" w14:textId="77777777" w:rsidR="00BD06C4" w:rsidRDefault="00BD06C4" w:rsidP="00BD06C4">
            <w:pPr>
              <w:pStyle w:val="NoSpacing"/>
              <w:rPr>
                <w:lang w:eastAsia="en-GB"/>
              </w:rPr>
            </w:pPr>
          </w:p>
          <w:p w14:paraId="67793F2A" w14:textId="77777777" w:rsidR="00BD06C4" w:rsidRDefault="00BD06C4" w:rsidP="00BD06C4">
            <w:pPr>
              <w:pStyle w:val="NoSpacing"/>
              <w:rPr>
                <w:lang w:eastAsia="en-GB"/>
              </w:rPr>
            </w:pPr>
            <w:r>
              <w:rPr>
                <w:lang w:eastAsia="en-GB"/>
              </w:rPr>
              <w:t>N</w:t>
            </w:r>
            <w:r w:rsidRPr="00897A42">
              <w:rPr>
                <w:lang w:eastAsia="en-GB"/>
              </w:rPr>
              <w:t xml:space="preserve">ational </w:t>
            </w:r>
            <w:r>
              <w:rPr>
                <w:lang w:eastAsia="en-GB"/>
              </w:rPr>
              <w:t>s</w:t>
            </w:r>
            <w:r w:rsidRPr="00897A42">
              <w:rPr>
                <w:lang w:eastAsia="en-GB"/>
              </w:rPr>
              <w:t xml:space="preserve">tatistical </w:t>
            </w:r>
            <w:r>
              <w:rPr>
                <w:lang w:eastAsia="en-GB"/>
              </w:rPr>
              <w:t>o</w:t>
            </w:r>
            <w:r w:rsidRPr="00897A42">
              <w:rPr>
                <w:lang w:eastAsia="en-GB"/>
              </w:rPr>
              <w:t>ffices</w:t>
            </w:r>
            <w:r>
              <w:rPr>
                <w:lang w:eastAsia="en-GB"/>
              </w:rPr>
              <w:t xml:space="preserve"> and relevant </w:t>
            </w:r>
            <w:r>
              <w:rPr>
                <w:lang w:eastAsia="en-GB"/>
              </w:rPr>
              <w:lastRenderedPageBreak/>
              <w:t xml:space="preserve">civil society organizations. </w:t>
            </w:r>
          </w:p>
          <w:p w14:paraId="31792492" w14:textId="77777777" w:rsidR="00BD06C4" w:rsidRDefault="00BD06C4" w:rsidP="00BD06C4">
            <w:pPr>
              <w:pStyle w:val="NoSpacing"/>
            </w:pPr>
          </w:p>
        </w:tc>
        <w:tc>
          <w:tcPr>
            <w:tcW w:w="0" w:type="auto"/>
          </w:tcPr>
          <w:p w14:paraId="0F7CC79D" w14:textId="77777777" w:rsidR="00BD06C4" w:rsidRDefault="00BD06C4" w:rsidP="00BD06C4">
            <w:pPr>
              <w:jc w:val="center"/>
              <w:rPr>
                <w:rFonts w:eastAsia="Times New Roman" w:cs="Times New Roman"/>
                <w:color w:val="000000" w:themeColor="text1"/>
                <w:szCs w:val="20"/>
              </w:rPr>
            </w:pPr>
            <w:r w:rsidRPr="00BC6F10">
              <w:rPr>
                <w:rFonts w:eastAsia="Times New Roman" w:cs="Times New Roman"/>
                <w:color w:val="000000" w:themeColor="text1"/>
                <w:szCs w:val="20"/>
              </w:rPr>
              <w:lastRenderedPageBreak/>
              <w:t>BP</w:t>
            </w:r>
          </w:p>
          <w:p w14:paraId="41028BF4" w14:textId="77777777" w:rsidR="00BD06C4" w:rsidRPr="00BC6F10" w:rsidRDefault="00BD06C4" w:rsidP="00BD06C4">
            <w:pPr>
              <w:jc w:val="center"/>
              <w:rPr>
                <w:rFonts w:eastAsia="Times New Roman" w:cs="Times New Roman"/>
                <w:color w:val="000000" w:themeColor="text1"/>
                <w:szCs w:val="20"/>
              </w:rPr>
            </w:pPr>
            <w:r>
              <w:rPr>
                <w:rFonts w:eastAsia="Times New Roman" w:cs="Times New Roman"/>
                <w:color w:val="000000" w:themeColor="text1"/>
                <w:szCs w:val="20"/>
              </w:rPr>
              <w:t>Administrative Data</w:t>
            </w:r>
          </w:p>
        </w:tc>
        <w:tc>
          <w:tcPr>
            <w:tcW w:w="0" w:type="auto"/>
          </w:tcPr>
          <w:p w14:paraId="19BFF924" w14:textId="77777777" w:rsidR="00BD06C4" w:rsidRDefault="00BD06C4" w:rsidP="00BD06C4">
            <w:pPr>
              <w:jc w:val="center"/>
              <w:rPr>
                <w:rFonts w:eastAsia="Times New Roman" w:cs="Times New Roman"/>
                <w:color w:val="000000" w:themeColor="text1"/>
                <w:szCs w:val="20"/>
              </w:rPr>
            </w:pPr>
            <w:r>
              <w:rPr>
                <w:rFonts w:eastAsia="Times New Roman" w:cs="Times New Roman"/>
                <w:color w:val="000000" w:themeColor="text1"/>
                <w:szCs w:val="20"/>
              </w:rPr>
              <w:t>BP, PSD</w:t>
            </w:r>
          </w:p>
          <w:p w14:paraId="74C5AA53" w14:textId="77777777" w:rsidR="00BD06C4" w:rsidRPr="00BC6F10" w:rsidRDefault="00BD06C4" w:rsidP="00BD06C4">
            <w:pPr>
              <w:jc w:val="center"/>
              <w:rPr>
                <w:rFonts w:eastAsia="Times New Roman" w:cs="Times New Roman"/>
                <w:color w:val="000000" w:themeColor="text1"/>
                <w:szCs w:val="20"/>
              </w:rPr>
            </w:pPr>
            <w:r>
              <w:rPr>
                <w:rFonts w:eastAsia="Times New Roman" w:cs="Times New Roman"/>
                <w:color w:val="000000" w:themeColor="text1"/>
                <w:szCs w:val="20"/>
              </w:rPr>
              <w:t>Administrative Data</w:t>
            </w:r>
          </w:p>
        </w:tc>
        <w:tc>
          <w:tcPr>
            <w:tcW w:w="0" w:type="auto"/>
          </w:tcPr>
          <w:p w14:paraId="5E242098"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 Location: rural/ peri-rural/ urban/peri-urban</w:t>
            </w:r>
          </w:p>
          <w:p w14:paraId="2B035D88"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Gender: Male/female</w:t>
            </w:r>
          </w:p>
          <w:p w14:paraId="3B27FCFA"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Disability: Disable/Non-disable</w:t>
            </w:r>
          </w:p>
          <w:p w14:paraId="0820E31B" w14:textId="77777777" w:rsidR="00BD06C4" w:rsidRDefault="00BD06C4" w:rsidP="00BD06C4">
            <w:pPr>
              <w:ind w:left="970" w:hanging="970"/>
              <w:jc w:val="both"/>
              <w:rPr>
                <w:color w:val="0070C0"/>
                <w:sz w:val="30"/>
                <w:szCs w:val="30"/>
              </w:rPr>
            </w:pPr>
          </w:p>
        </w:tc>
        <w:tc>
          <w:tcPr>
            <w:tcW w:w="0" w:type="auto"/>
          </w:tcPr>
          <w:p w14:paraId="70B545F1" w14:textId="77777777" w:rsidR="00BD06C4" w:rsidRDefault="00BD06C4" w:rsidP="00BD06C4">
            <w:pPr>
              <w:ind w:left="970" w:hanging="970"/>
              <w:jc w:val="both"/>
              <w:rPr>
                <w:color w:val="0070C0"/>
                <w:sz w:val="30"/>
                <w:szCs w:val="30"/>
              </w:rPr>
            </w:pPr>
            <w:r>
              <w:t>Annual</w:t>
            </w:r>
          </w:p>
        </w:tc>
        <w:tc>
          <w:tcPr>
            <w:tcW w:w="0" w:type="auto"/>
          </w:tcPr>
          <w:p w14:paraId="75492529" w14:textId="77777777" w:rsidR="00BD06C4" w:rsidRDefault="00BD06C4" w:rsidP="00BD06C4">
            <w:pPr>
              <w:ind w:left="970" w:hanging="970"/>
              <w:jc w:val="both"/>
              <w:rPr>
                <w:color w:val="0070C0"/>
                <w:sz w:val="30"/>
                <w:szCs w:val="30"/>
              </w:rPr>
            </w:pPr>
            <w:r>
              <w:t>Group 1</w:t>
            </w:r>
          </w:p>
        </w:tc>
        <w:tc>
          <w:tcPr>
            <w:tcW w:w="0" w:type="auto"/>
          </w:tcPr>
          <w:p w14:paraId="1B5EB03F" w14:textId="77777777" w:rsidR="00BD06C4" w:rsidRDefault="00BD06C4" w:rsidP="00BD06C4">
            <w:pPr>
              <w:pStyle w:val="NoSpacing"/>
            </w:pPr>
            <w:r>
              <w:t>1</w:t>
            </w:r>
            <w:r w:rsidRPr="00013ACB">
              <w:rPr>
                <w:vertAlign w:val="superscript"/>
              </w:rPr>
              <w:t>st</w:t>
            </w:r>
            <w:r>
              <w:t xml:space="preserve"> Round:</w:t>
            </w:r>
          </w:p>
          <w:p w14:paraId="1A9C23CD" w14:textId="77777777" w:rsidR="00BD06C4" w:rsidRDefault="00BD06C4" w:rsidP="00BD06C4">
            <w:pPr>
              <w:pStyle w:val="NoSpacing"/>
            </w:pPr>
            <w:r>
              <w:t>2015</w:t>
            </w:r>
          </w:p>
          <w:p w14:paraId="73162AD0" w14:textId="77777777" w:rsidR="00BD06C4" w:rsidRDefault="00BD06C4" w:rsidP="00BD06C4">
            <w:pPr>
              <w:pStyle w:val="NoSpacing"/>
            </w:pPr>
          </w:p>
          <w:p w14:paraId="3475685F" w14:textId="77777777" w:rsidR="00BD06C4" w:rsidRDefault="00BD06C4" w:rsidP="00BD06C4">
            <w:pPr>
              <w:pStyle w:val="NoSpacing"/>
            </w:pPr>
            <w:r>
              <w:t>2</w:t>
            </w:r>
            <w:r w:rsidRPr="00013ACB">
              <w:rPr>
                <w:vertAlign w:val="superscript"/>
              </w:rPr>
              <w:t>nd</w:t>
            </w:r>
            <w:r>
              <w:t xml:space="preserve"> Round:</w:t>
            </w:r>
          </w:p>
          <w:p w14:paraId="1731D344" w14:textId="77777777" w:rsidR="00BD06C4" w:rsidRDefault="00BD06C4" w:rsidP="00BD06C4">
            <w:pPr>
              <w:pStyle w:val="NoSpacing"/>
            </w:pPr>
            <w:r>
              <w:t>December, 2020</w:t>
            </w:r>
          </w:p>
          <w:p w14:paraId="6D828781" w14:textId="77777777" w:rsidR="00BD06C4" w:rsidRDefault="00BD06C4" w:rsidP="00BD06C4">
            <w:pPr>
              <w:pStyle w:val="NoSpacing"/>
            </w:pPr>
          </w:p>
          <w:p w14:paraId="43955BB8" w14:textId="77777777" w:rsidR="00BD06C4" w:rsidRDefault="00BD06C4" w:rsidP="00BD06C4">
            <w:pPr>
              <w:pStyle w:val="NoSpacing"/>
            </w:pPr>
            <w:r>
              <w:t>3</w:t>
            </w:r>
            <w:r w:rsidRPr="00013ACB">
              <w:rPr>
                <w:vertAlign w:val="superscript"/>
              </w:rPr>
              <w:t>rd</w:t>
            </w:r>
            <w:r>
              <w:t xml:space="preserve"> Round: </w:t>
            </w:r>
          </w:p>
          <w:p w14:paraId="53EC856C" w14:textId="77777777" w:rsidR="00BD06C4" w:rsidRDefault="00BD06C4" w:rsidP="00BD06C4">
            <w:pPr>
              <w:pStyle w:val="NoSpacing"/>
            </w:pPr>
            <w:r>
              <w:t>December, 2021</w:t>
            </w:r>
          </w:p>
          <w:p w14:paraId="33C7696F" w14:textId="77777777" w:rsidR="00BD06C4" w:rsidRDefault="00BD06C4" w:rsidP="00BD06C4">
            <w:pPr>
              <w:pStyle w:val="NoSpacing"/>
            </w:pPr>
          </w:p>
          <w:p w14:paraId="0424A211" w14:textId="77777777" w:rsidR="00BD06C4" w:rsidRDefault="00BD06C4" w:rsidP="00BD06C4">
            <w:pPr>
              <w:pStyle w:val="NoSpacing"/>
            </w:pPr>
            <w:r>
              <w:lastRenderedPageBreak/>
              <w:t>4</w:t>
            </w:r>
            <w:r w:rsidRPr="00013ACB">
              <w:rPr>
                <w:vertAlign w:val="superscript"/>
              </w:rPr>
              <w:t>th</w:t>
            </w:r>
            <w:r>
              <w:t xml:space="preserve"> Round: </w:t>
            </w:r>
          </w:p>
          <w:p w14:paraId="0C6A1862" w14:textId="77777777" w:rsidR="00BD06C4" w:rsidRDefault="00BD06C4" w:rsidP="00BD06C4">
            <w:pPr>
              <w:pStyle w:val="NoSpacing"/>
            </w:pPr>
            <w:r>
              <w:t>December, 2022</w:t>
            </w:r>
          </w:p>
          <w:p w14:paraId="5D360F89" w14:textId="77777777" w:rsidR="00BD06C4" w:rsidRDefault="00BD06C4" w:rsidP="00BD06C4">
            <w:pPr>
              <w:pStyle w:val="NoSpacing"/>
            </w:pPr>
          </w:p>
          <w:p w14:paraId="7DFEF3DA" w14:textId="77777777" w:rsidR="00BD06C4" w:rsidRDefault="00BD06C4" w:rsidP="00BD06C4">
            <w:pPr>
              <w:pStyle w:val="NoSpacing"/>
            </w:pPr>
            <w:r>
              <w:t>5</w:t>
            </w:r>
            <w:r w:rsidRPr="00013ACB">
              <w:rPr>
                <w:vertAlign w:val="superscript"/>
              </w:rPr>
              <w:t>th</w:t>
            </w:r>
            <w:r>
              <w:t xml:space="preserve"> Round: </w:t>
            </w:r>
          </w:p>
          <w:p w14:paraId="38DDE06A" w14:textId="77777777" w:rsidR="00BD06C4" w:rsidRDefault="00BD06C4" w:rsidP="00BD06C4">
            <w:pPr>
              <w:pStyle w:val="NoSpacing"/>
            </w:pPr>
            <w:r>
              <w:t>December, 2023</w:t>
            </w:r>
          </w:p>
          <w:p w14:paraId="1223846B" w14:textId="7A7FE03B" w:rsidR="00BD06C4" w:rsidRDefault="00BD06C4" w:rsidP="00BD06C4">
            <w:pPr>
              <w:pStyle w:val="NoSpacing"/>
            </w:pPr>
          </w:p>
        </w:tc>
        <w:tc>
          <w:tcPr>
            <w:tcW w:w="0" w:type="auto"/>
          </w:tcPr>
          <w:p w14:paraId="779BAD59" w14:textId="77777777" w:rsidR="00BD06C4" w:rsidRDefault="00BD06C4" w:rsidP="00BD06C4">
            <w:pPr>
              <w:ind w:left="970" w:hanging="970"/>
              <w:jc w:val="both"/>
              <w:rPr>
                <w:color w:val="0070C0"/>
                <w:sz w:val="30"/>
                <w:szCs w:val="30"/>
              </w:rPr>
            </w:pPr>
          </w:p>
        </w:tc>
      </w:tr>
      <w:tr w:rsidR="00BD06C4" w14:paraId="3D019894" w14:textId="77777777" w:rsidTr="00A64F0D">
        <w:tc>
          <w:tcPr>
            <w:tcW w:w="0" w:type="auto"/>
          </w:tcPr>
          <w:p w14:paraId="44AA2C47" w14:textId="77777777" w:rsidR="00BD06C4" w:rsidRDefault="00BD06C4" w:rsidP="00BD06C4">
            <w:pPr>
              <w:pStyle w:val="NoSpacing"/>
            </w:pPr>
            <w:r w:rsidRPr="00BA046C">
              <w:lastRenderedPageBreak/>
              <w:t xml:space="preserve">16.1.3 Proportion of population subjected to (a) physical violence, (b) psychological violence and (c) sexual violence in the </w:t>
            </w:r>
            <w:r w:rsidRPr="00BA046C">
              <w:lastRenderedPageBreak/>
              <w:t>previous 12 months</w:t>
            </w:r>
          </w:p>
        </w:tc>
        <w:tc>
          <w:tcPr>
            <w:tcW w:w="0" w:type="auto"/>
          </w:tcPr>
          <w:p w14:paraId="4F716CF8" w14:textId="77777777" w:rsidR="00BD06C4" w:rsidRDefault="00BD06C4" w:rsidP="00BD06C4">
            <w:pPr>
              <w:pStyle w:val="NoSpacing"/>
            </w:pPr>
            <w:r w:rsidRPr="007145C8">
              <w:lastRenderedPageBreak/>
              <w:t>UNODC</w:t>
            </w:r>
          </w:p>
          <w:p w14:paraId="4D6E4361" w14:textId="77777777" w:rsidR="00BD06C4" w:rsidRDefault="00BD06C4" w:rsidP="00BD06C4">
            <w:pPr>
              <w:rPr>
                <w:b/>
                <w:bCs/>
                <w:szCs w:val="20"/>
              </w:rPr>
            </w:pPr>
            <w:r w:rsidRPr="007243FC">
              <w:rPr>
                <w:b/>
                <w:bCs/>
                <w:szCs w:val="20"/>
              </w:rPr>
              <w:t>Partner Agencies:</w:t>
            </w:r>
          </w:p>
          <w:p w14:paraId="1A1BBF8D" w14:textId="77777777" w:rsidR="00BD06C4" w:rsidRDefault="00BD06C4" w:rsidP="00BD06C4">
            <w:pPr>
              <w:pStyle w:val="NoSpacing"/>
            </w:pPr>
            <w:r>
              <w:t xml:space="preserve">UN Women, UNFPA, </w:t>
            </w:r>
          </w:p>
          <w:p w14:paraId="3590397F" w14:textId="77777777" w:rsidR="00BD06C4" w:rsidRDefault="00BD06C4" w:rsidP="00BD06C4">
            <w:pPr>
              <w:pStyle w:val="NoSpacing"/>
            </w:pPr>
            <w:r>
              <w:t>WHO,</w:t>
            </w:r>
          </w:p>
          <w:p w14:paraId="78FA9C98" w14:textId="77777777" w:rsidR="00BD06C4" w:rsidRDefault="00BD06C4" w:rsidP="00BD06C4">
            <w:pPr>
              <w:pStyle w:val="NoSpacing"/>
            </w:pPr>
            <w:r>
              <w:t>UNICEF</w:t>
            </w:r>
          </w:p>
        </w:tc>
        <w:tc>
          <w:tcPr>
            <w:tcW w:w="0" w:type="auto"/>
          </w:tcPr>
          <w:p w14:paraId="41565CCB" w14:textId="77777777" w:rsidR="00BD06C4" w:rsidRDefault="00BD06C4" w:rsidP="00BD06C4">
            <w:pPr>
              <w:ind w:left="970" w:hanging="970"/>
              <w:jc w:val="both"/>
              <w:rPr>
                <w:color w:val="0070C0"/>
                <w:sz w:val="30"/>
                <w:szCs w:val="30"/>
              </w:rPr>
            </w:pPr>
            <w:r w:rsidRPr="00666BAB">
              <w:t>Tier II</w:t>
            </w:r>
          </w:p>
        </w:tc>
        <w:tc>
          <w:tcPr>
            <w:tcW w:w="0" w:type="auto"/>
          </w:tcPr>
          <w:p w14:paraId="2932AF0A" w14:textId="77777777" w:rsidR="00BD06C4" w:rsidRDefault="00BD06C4" w:rsidP="00BD06C4">
            <w:pPr>
              <w:pStyle w:val="NoSpacing"/>
              <w:rPr>
                <w:lang w:val="en-GB"/>
              </w:rPr>
            </w:pPr>
            <w:r w:rsidRPr="006C512C">
              <w:rPr>
                <w:b/>
                <w:bCs/>
                <w:lang w:val="en-GB"/>
              </w:rPr>
              <w:t>Definition:</w:t>
            </w:r>
          </w:p>
          <w:p w14:paraId="1871DD90" w14:textId="77777777" w:rsidR="00BD06C4" w:rsidRPr="006C512C" w:rsidRDefault="00BD06C4" w:rsidP="00BD06C4">
            <w:pPr>
              <w:pStyle w:val="NoSpacing"/>
              <w:rPr>
                <w:lang w:val="en-GB"/>
              </w:rPr>
            </w:pPr>
            <w:r w:rsidRPr="006C512C">
              <w:rPr>
                <w:lang w:val="en-GB"/>
              </w:rPr>
              <w:t>The total number of persons who have been victim of physical, psychological or sexual violence in the previous 12 months, as a share of the total population.</w:t>
            </w:r>
          </w:p>
          <w:p w14:paraId="634DA95D" w14:textId="77777777" w:rsidR="00BD06C4" w:rsidRPr="006C512C" w:rsidRDefault="00BD06C4" w:rsidP="00BD06C4">
            <w:pPr>
              <w:pStyle w:val="NoSpacing"/>
              <w:rPr>
                <w:lang w:val="en-GB"/>
              </w:rPr>
            </w:pPr>
          </w:p>
          <w:p w14:paraId="35673CA3" w14:textId="77777777" w:rsidR="00BD06C4" w:rsidRPr="006C512C" w:rsidRDefault="00BD06C4" w:rsidP="00BD06C4">
            <w:pPr>
              <w:pStyle w:val="NoSpacing"/>
              <w:rPr>
                <w:lang w:val="en-GB"/>
              </w:rPr>
            </w:pPr>
            <w:r w:rsidRPr="006C512C">
              <w:rPr>
                <w:b/>
                <w:bCs/>
                <w:lang w:val="en-GB"/>
              </w:rPr>
              <w:t>Concepts:</w:t>
            </w:r>
          </w:p>
          <w:p w14:paraId="548E099D" w14:textId="77777777" w:rsidR="00BD06C4" w:rsidRPr="006C512C" w:rsidRDefault="00BD06C4" w:rsidP="00BD06C4">
            <w:pPr>
              <w:pStyle w:val="NoSpacing"/>
              <w:rPr>
                <w:lang w:val="en-GB"/>
              </w:rPr>
            </w:pPr>
          </w:p>
          <w:p w14:paraId="6813A20D" w14:textId="77777777" w:rsidR="00BD06C4" w:rsidRPr="006C512C" w:rsidRDefault="00BD06C4" w:rsidP="00BD06C4">
            <w:pPr>
              <w:pStyle w:val="NoSpacing"/>
              <w:rPr>
                <w:lang w:val="en-GB"/>
              </w:rPr>
            </w:pPr>
            <w:r w:rsidRPr="006C512C">
              <w:rPr>
                <w:lang w:val="en-GB"/>
              </w:rPr>
              <w:t>This indicator measures the prevalence of victimization from physical, psychological or sexual violence</w:t>
            </w:r>
          </w:p>
          <w:p w14:paraId="543CBAA4" w14:textId="77777777" w:rsidR="00BD06C4" w:rsidRPr="006C512C" w:rsidRDefault="00BD06C4" w:rsidP="00BD06C4">
            <w:pPr>
              <w:pStyle w:val="NoSpacing"/>
              <w:rPr>
                <w:lang w:val="en-GB"/>
              </w:rPr>
            </w:pPr>
          </w:p>
          <w:p w14:paraId="38D11153" w14:textId="77777777" w:rsidR="00BD06C4" w:rsidRPr="006C512C" w:rsidRDefault="00BD06C4" w:rsidP="00BD06C4">
            <w:pPr>
              <w:pStyle w:val="NoSpacing"/>
              <w:rPr>
                <w:lang w:val="en-GB"/>
              </w:rPr>
            </w:pPr>
            <w:r w:rsidRPr="006C512C">
              <w:rPr>
                <w:lang w:val="en-GB"/>
              </w:rPr>
              <w:t>Physical violence: This concept is equivalent to the concept of physical assault, as defined in the International Classification of Crime for Statistical Purposes (ICCS): the intentional or reckless application of physical force inflicted upon the body of a person. This includes serious and minor bodily injuries and serious and minor physical force. According to the ICCS, these are defined as:</w:t>
            </w:r>
          </w:p>
          <w:p w14:paraId="47927EA2" w14:textId="77777777" w:rsidR="00BD06C4" w:rsidRPr="006C512C" w:rsidRDefault="00BD06C4" w:rsidP="00BD06C4">
            <w:pPr>
              <w:pStyle w:val="NoSpacing"/>
              <w:rPr>
                <w:lang w:val="en-GB"/>
              </w:rPr>
            </w:pPr>
          </w:p>
          <w:p w14:paraId="5A10F2C1" w14:textId="77777777" w:rsidR="00BD06C4" w:rsidRPr="006C512C" w:rsidRDefault="00BD06C4" w:rsidP="00BD06C4">
            <w:pPr>
              <w:pStyle w:val="NoSpacing"/>
              <w:rPr>
                <w:lang w:val="en-GB"/>
              </w:rPr>
            </w:pPr>
            <w:r w:rsidRPr="006C512C">
              <w:rPr>
                <w:lang w:val="en-GB"/>
              </w:rPr>
              <w:t>Serious bodily injury, at minimum, includes gunshot or bullet wounds; knife or stab wounds; severed limbs; broken bones or teeth knocked out; internal injuries; being knocked unconscious; and other severe or critical injuries.</w:t>
            </w:r>
          </w:p>
          <w:p w14:paraId="573DB126" w14:textId="77777777" w:rsidR="00BD06C4" w:rsidRPr="006C512C" w:rsidRDefault="00BD06C4" w:rsidP="00BD06C4">
            <w:pPr>
              <w:pStyle w:val="NoSpacing"/>
              <w:rPr>
                <w:lang w:val="en-GB"/>
              </w:rPr>
            </w:pPr>
          </w:p>
          <w:p w14:paraId="74C1F33E" w14:textId="77777777" w:rsidR="00BD06C4" w:rsidRPr="006C512C" w:rsidRDefault="00BD06C4" w:rsidP="00BD06C4">
            <w:pPr>
              <w:pStyle w:val="NoSpacing"/>
              <w:rPr>
                <w:lang w:val="en-GB"/>
              </w:rPr>
            </w:pPr>
            <w:r w:rsidRPr="006C512C">
              <w:rPr>
                <w:lang w:val="en-GB"/>
              </w:rPr>
              <w:lastRenderedPageBreak/>
              <w:t>Serious physical force, at minimum, includes being shot; stabbed or cut; hit by an object; hit by a thrown object; poisoning and other applications of force with the potential to cause serious bodily injury.</w:t>
            </w:r>
          </w:p>
          <w:p w14:paraId="4F9D75B4" w14:textId="77777777" w:rsidR="00BD06C4" w:rsidRPr="006C512C" w:rsidRDefault="00BD06C4" w:rsidP="00BD06C4">
            <w:pPr>
              <w:pStyle w:val="NoSpacing"/>
              <w:rPr>
                <w:lang w:val="en-GB"/>
              </w:rPr>
            </w:pPr>
          </w:p>
          <w:p w14:paraId="66B94EAF" w14:textId="77777777" w:rsidR="00BD06C4" w:rsidRPr="006C512C" w:rsidRDefault="00BD06C4" w:rsidP="00BD06C4">
            <w:pPr>
              <w:pStyle w:val="NoSpacing"/>
              <w:rPr>
                <w:lang w:val="en-GB"/>
              </w:rPr>
            </w:pPr>
            <w:r w:rsidRPr="006C512C">
              <w:rPr>
                <w:lang w:val="en-GB"/>
              </w:rPr>
              <w:t>Minor bodily injury, at minimum, includes bruises, cuts, scratches, chipped teeth, swelling, black eye and other minor injuries.</w:t>
            </w:r>
          </w:p>
          <w:p w14:paraId="6E0C76AC" w14:textId="77777777" w:rsidR="00BD06C4" w:rsidRPr="006C512C" w:rsidRDefault="00BD06C4" w:rsidP="00BD06C4">
            <w:pPr>
              <w:pStyle w:val="NoSpacing"/>
              <w:rPr>
                <w:lang w:val="en-GB"/>
              </w:rPr>
            </w:pPr>
          </w:p>
          <w:p w14:paraId="6F31A249" w14:textId="77777777" w:rsidR="00BD06C4" w:rsidRPr="006C512C" w:rsidRDefault="00BD06C4" w:rsidP="00BD06C4">
            <w:pPr>
              <w:pStyle w:val="NoSpacing"/>
              <w:rPr>
                <w:lang w:val="en-GB"/>
              </w:rPr>
            </w:pPr>
            <w:r w:rsidRPr="006C512C">
              <w:rPr>
                <w:lang w:val="en-GB"/>
              </w:rPr>
              <w:t>Minor physical force, at minimum, includes hitting, slapping, pushing, tripping, knocking down and other applications of force with the potential to cause minor bodily injury.</w:t>
            </w:r>
          </w:p>
          <w:p w14:paraId="5E2BC9D2" w14:textId="77777777" w:rsidR="00BD06C4" w:rsidRPr="006C512C" w:rsidRDefault="00BD06C4" w:rsidP="00BD06C4">
            <w:pPr>
              <w:pStyle w:val="NoSpacing"/>
              <w:rPr>
                <w:lang w:val="en-GB"/>
              </w:rPr>
            </w:pPr>
          </w:p>
          <w:p w14:paraId="50EA6E81" w14:textId="77777777" w:rsidR="00BD06C4" w:rsidRPr="006C512C" w:rsidRDefault="00BD06C4" w:rsidP="00BD06C4">
            <w:pPr>
              <w:pStyle w:val="NoSpacing"/>
              <w:rPr>
                <w:lang w:val="en-GB"/>
              </w:rPr>
            </w:pPr>
            <w:r w:rsidRPr="006C512C">
              <w:rPr>
                <w:lang w:val="en-GB"/>
              </w:rPr>
              <w:t>Sexual violence (ICCS): Unwanted sexual act, attempt to obtain a sexual act, or contact or communication with unwanted sexual attention without valid consent or with consent as a result of intimidation, force, fraud, coercion, threat, deception, use of drugs or alcohol, or abuse of power or of a position of vulnerability. This includes rape and other forms of sexual assault.</w:t>
            </w:r>
          </w:p>
          <w:p w14:paraId="4C9E364F" w14:textId="77777777" w:rsidR="00BD06C4" w:rsidRPr="006C512C" w:rsidRDefault="00BD06C4" w:rsidP="00BD06C4">
            <w:pPr>
              <w:pStyle w:val="NoSpacing"/>
              <w:rPr>
                <w:lang w:val="en-GB"/>
              </w:rPr>
            </w:pPr>
          </w:p>
          <w:p w14:paraId="6C9660AB" w14:textId="77777777" w:rsidR="00BD06C4" w:rsidRPr="006C512C" w:rsidRDefault="00BD06C4" w:rsidP="00BD06C4">
            <w:pPr>
              <w:pStyle w:val="NoSpacing"/>
              <w:rPr>
                <w:lang w:val="en-GB"/>
              </w:rPr>
            </w:pPr>
            <w:r w:rsidRPr="006C512C">
              <w:rPr>
                <w:lang w:val="en-GB"/>
              </w:rPr>
              <w:t>Psychological violence: There is as yet no consensus at the international level of the precise definition of psychological violence and there is as yet no generally well-established methodology to measure psychological violence.</w:t>
            </w:r>
          </w:p>
          <w:p w14:paraId="60077682" w14:textId="77777777" w:rsidR="00BD06C4" w:rsidRPr="006C512C" w:rsidRDefault="00BD06C4" w:rsidP="00BD06C4">
            <w:pPr>
              <w:pStyle w:val="NoSpacing"/>
              <w:rPr>
                <w:lang w:val="en-GB"/>
              </w:rPr>
            </w:pPr>
          </w:p>
          <w:p w14:paraId="195A32C5" w14:textId="77777777" w:rsidR="00BD06C4" w:rsidRPr="006C512C" w:rsidRDefault="00BD06C4" w:rsidP="00BD06C4">
            <w:pPr>
              <w:pStyle w:val="NoSpacing"/>
              <w:rPr>
                <w:lang w:val="en-GB"/>
              </w:rPr>
            </w:pPr>
            <w:r w:rsidRPr="006C512C">
              <w:rPr>
                <w:b/>
                <w:bCs/>
                <w:lang w:val="en-GB"/>
              </w:rPr>
              <w:t>Comments and limitations:</w:t>
            </w:r>
          </w:p>
          <w:p w14:paraId="345A655E" w14:textId="77777777" w:rsidR="00BD06C4" w:rsidRPr="006C512C" w:rsidRDefault="00BD06C4" w:rsidP="00BD06C4">
            <w:pPr>
              <w:pStyle w:val="NoSpacing"/>
              <w:rPr>
                <w:lang w:val="en-GB"/>
              </w:rPr>
            </w:pPr>
          </w:p>
          <w:p w14:paraId="0AEF8AAA" w14:textId="77777777" w:rsidR="00BD06C4" w:rsidRPr="006C512C" w:rsidRDefault="00BD06C4" w:rsidP="00BD06C4">
            <w:pPr>
              <w:pStyle w:val="NoSpacing"/>
              <w:rPr>
                <w:lang w:val="en-GB"/>
              </w:rPr>
            </w:pPr>
            <w:r w:rsidRPr="006C512C">
              <w:rPr>
                <w:lang w:val="en-GB"/>
              </w:rPr>
              <w:t>Crime victimization surveys are able to capture experience of violence suffered by adult population of both sexes; however, due to the complexity of collecting information on experiences of violence, it is likely that not all experiences of violence are duly covered by these surveys, which aim to cover several types of crime experience. Other dedicated surveys on violence usually focus on selected population groups (typically women, children or the elderly) or in specific contexts (domestic violence, schools, prisons, etc.), but they are not able to portray levels and trends of violence in the entire population.</w:t>
            </w:r>
          </w:p>
          <w:p w14:paraId="22A74220" w14:textId="77777777" w:rsidR="00BD06C4" w:rsidRPr="006C512C" w:rsidRDefault="00BD06C4" w:rsidP="00BD06C4">
            <w:pPr>
              <w:pStyle w:val="NoSpacing"/>
              <w:rPr>
                <w:lang w:val="en-GB"/>
              </w:rPr>
            </w:pPr>
          </w:p>
          <w:p w14:paraId="05A0791B" w14:textId="77777777" w:rsidR="00BD06C4" w:rsidRPr="006C512C" w:rsidRDefault="00BD06C4" w:rsidP="00BD06C4">
            <w:pPr>
              <w:pStyle w:val="NoSpacing"/>
              <w:rPr>
                <w:lang w:val="en-GB"/>
              </w:rPr>
            </w:pPr>
            <w:r w:rsidRPr="006C512C">
              <w:rPr>
                <w:lang w:val="en-GB"/>
              </w:rPr>
              <w:t>While there are already international standards on measuring physical and sexual violence through survey instruments, there is currently no international standard on the measurement of psychological violence. One practical option could be to limit psychological violence to threatening behaviour, which does have an established methodology of measurement in victimization surveys. Threatening behaviour, at minimum, is an intentional behaviour that causes fear of injury or harm.</w:t>
            </w:r>
          </w:p>
          <w:p w14:paraId="7852AC1D" w14:textId="77777777" w:rsidR="00BD06C4" w:rsidRPr="006C512C" w:rsidRDefault="00BD06C4" w:rsidP="00BD06C4">
            <w:pPr>
              <w:pStyle w:val="NoSpacing"/>
              <w:rPr>
                <w:lang w:val="en-GB"/>
              </w:rPr>
            </w:pPr>
          </w:p>
          <w:p w14:paraId="16A1D44A" w14:textId="77777777" w:rsidR="00BD06C4" w:rsidRPr="006C512C" w:rsidRDefault="00BD06C4" w:rsidP="00BD06C4">
            <w:pPr>
              <w:pStyle w:val="NoSpacing"/>
              <w:rPr>
                <w:lang w:val="en-GB"/>
              </w:rPr>
            </w:pPr>
            <w:r w:rsidRPr="006C512C">
              <w:rPr>
                <w:lang w:val="en-GB"/>
              </w:rPr>
              <w:t>Finally, indicators on prevalence of physical and sexual violence are usually produced and reported separately; the production of data on the prevalence of physical or sexual violence requires ad-hoc data collection.</w:t>
            </w:r>
          </w:p>
          <w:p w14:paraId="5959E92F" w14:textId="77777777" w:rsidR="00BD06C4" w:rsidRPr="006C512C" w:rsidRDefault="00BD06C4" w:rsidP="00BD06C4">
            <w:pPr>
              <w:pStyle w:val="NoSpacing"/>
              <w:rPr>
                <w:lang w:val="en-GB"/>
              </w:rPr>
            </w:pPr>
          </w:p>
          <w:p w14:paraId="695382CB" w14:textId="77777777" w:rsidR="00BD06C4" w:rsidRPr="006C512C" w:rsidRDefault="00BD06C4" w:rsidP="00BD06C4">
            <w:pPr>
              <w:pStyle w:val="NoSpacing"/>
              <w:rPr>
                <w:lang w:val="en-GB"/>
              </w:rPr>
            </w:pPr>
            <w:r w:rsidRPr="006C512C">
              <w:rPr>
                <w:lang w:val="en-GB"/>
              </w:rPr>
              <w:t>Victimization surveys (as dedicated surveys or as modules of household surveys) are usually restricted to the general population living in households above a certain age (typically 15 or 18 years of age), while sometimes an upper age limit is also applied (typically 65, 70 or 75 years of age).</w:t>
            </w:r>
          </w:p>
          <w:p w14:paraId="43CD93F7" w14:textId="77777777" w:rsidR="00BD06C4" w:rsidRPr="006C512C" w:rsidRDefault="00BD06C4" w:rsidP="00BD06C4">
            <w:pPr>
              <w:pStyle w:val="NoSpacing"/>
              <w:rPr>
                <w:b/>
                <w:bCs/>
                <w:lang w:val="en-GB"/>
              </w:rPr>
            </w:pPr>
          </w:p>
          <w:p w14:paraId="40B24BFD" w14:textId="77777777" w:rsidR="00BD06C4" w:rsidRPr="006C512C" w:rsidRDefault="00BD06C4" w:rsidP="00BD06C4">
            <w:pPr>
              <w:pStyle w:val="NoSpacing"/>
              <w:rPr>
                <w:lang w:val="en-GB"/>
              </w:rPr>
            </w:pPr>
            <w:r w:rsidRPr="006C512C">
              <w:rPr>
                <w:b/>
                <w:bCs/>
                <w:lang w:val="en-GB"/>
              </w:rPr>
              <w:t>Computation Method:</w:t>
            </w:r>
          </w:p>
          <w:p w14:paraId="1319F9E9" w14:textId="77777777" w:rsidR="00BD06C4" w:rsidRPr="006C512C" w:rsidRDefault="00BD06C4" w:rsidP="00BD06C4">
            <w:pPr>
              <w:pStyle w:val="NoSpacing"/>
              <w:rPr>
                <w:lang w:val="en-GB"/>
              </w:rPr>
            </w:pPr>
          </w:p>
          <w:p w14:paraId="669520AE" w14:textId="77777777" w:rsidR="00BD06C4" w:rsidRPr="006C512C" w:rsidRDefault="00BD06C4" w:rsidP="00BD06C4">
            <w:pPr>
              <w:pStyle w:val="NoSpacing"/>
              <w:rPr>
                <w:lang w:val="en-GB"/>
              </w:rPr>
            </w:pPr>
            <w:r w:rsidRPr="006C512C">
              <w:rPr>
                <w:lang w:val="en-GB"/>
              </w:rPr>
              <w:t>Number of survey respondents who have been victim of physical, psychological or sexual violence in the previous 12 months, divided by the total number of survey respondents.</w:t>
            </w:r>
          </w:p>
          <w:p w14:paraId="0213A688" w14:textId="77777777" w:rsidR="00BD06C4" w:rsidRDefault="00BD06C4" w:rsidP="00BD06C4">
            <w:pPr>
              <w:pStyle w:val="NoSpacing"/>
            </w:pPr>
          </w:p>
        </w:tc>
        <w:tc>
          <w:tcPr>
            <w:tcW w:w="0" w:type="auto"/>
          </w:tcPr>
          <w:p w14:paraId="46E8516C" w14:textId="77777777" w:rsidR="00BD06C4" w:rsidRPr="00873FDE" w:rsidRDefault="00BD06C4" w:rsidP="00BD06C4">
            <w:pPr>
              <w:rPr>
                <w:szCs w:val="22"/>
                <w:lang w:bidi="bn-IN"/>
              </w:rPr>
            </w:pPr>
            <w:r w:rsidRPr="00873FDE">
              <w:rPr>
                <w:szCs w:val="22"/>
                <w:lang w:bidi="bn-IN"/>
              </w:rPr>
              <w:lastRenderedPageBreak/>
              <w:t xml:space="preserve">There is a consolidated system of annual data collection on crime and criminal justice (UN- Crime Trends Survey, UN-CTS) which represents the basis of data on intentional homicide. The UN-CTS data collection is largely based on the network of national Focal Points, which are </w:t>
            </w:r>
            <w:r w:rsidRPr="00873FDE">
              <w:rPr>
                <w:szCs w:val="22"/>
                <w:lang w:bidi="bn-IN"/>
              </w:rPr>
              <w:lastRenderedPageBreak/>
              <w:t xml:space="preserve">institutions/officials appointed by countries and having the technical capacity and role to produce data on crime and criminal justice (around </w:t>
            </w:r>
            <w:r w:rsidRPr="00873FDE">
              <w:rPr>
                <w:rFonts w:cs="Vrinda"/>
                <w:szCs w:val="22"/>
                <w:cs/>
                <w:lang w:bidi="bn-IN"/>
              </w:rPr>
              <w:t>130</w:t>
            </w:r>
            <w:r w:rsidRPr="00873FDE">
              <w:rPr>
                <w:szCs w:val="22"/>
                <w:lang w:bidi="bn-IN"/>
              </w:rPr>
              <w:t xml:space="preserve"> appointed Focal Points as of </w:t>
            </w:r>
            <w:r w:rsidRPr="00873FDE">
              <w:rPr>
                <w:rFonts w:cs="Vrinda"/>
                <w:szCs w:val="22"/>
                <w:cs/>
                <w:lang w:bidi="bn-IN"/>
              </w:rPr>
              <w:t xml:space="preserve">2016). </w:t>
            </w:r>
          </w:p>
          <w:p w14:paraId="598887E8" w14:textId="77777777" w:rsidR="00BD06C4" w:rsidRPr="00873FDE" w:rsidRDefault="00BD06C4" w:rsidP="00BD06C4">
            <w:pPr>
              <w:rPr>
                <w:szCs w:val="22"/>
                <w:lang w:bidi="bn-IN"/>
              </w:rPr>
            </w:pPr>
            <w:r w:rsidRPr="00873FDE">
              <w:rPr>
                <w:rFonts w:cs="Vrinda"/>
                <w:szCs w:val="22"/>
                <w:cs/>
                <w:lang w:bidi="bn-IN"/>
              </w:rPr>
              <w:t xml:space="preserve"> </w:t>
            </w:r>
          </w:p>
          <w:p w14:paraId="65D2C0CC" w14:textId="77777777" w:rsidR="00BD06C4" w:rsidRPr="00873FDE" w:rsidRDefault="00BD06C4" w:rsidP="00BD06C4">
            <w:pPr>
              <w:rPr>
                <w:szCs w:val="22"/>
                <w:lang w:bidi="bn-IN"/>
              </w:rPr>
            </w:pPr>
            <w:r w:rsidRPr="00873FDE">
              <w:rPr>
                <w:szCs w:val="22"/>
                <w:lang w:bidi="bn-IN"/>
              </w:rPr>
              <w:t xml:space="preserve">The UN-CTS collects data on reporting rate by victims of “physical assault” and “sexual assault”. The current data collection will be reviewed to collect more precise data on this indicator. </w:t>
            </w:r>
          </w:p>
          <w:p w14:paraId="613B3311" w14:textId="77777777" w:rsidR="00BD06C4" w:rsidRPr="00873FDE" w:rsidRDefault="00BD06C4" w:rsidP="00BD06C4">
            <w:pPr>
              <w:rPr>
                <w:szCs w:val="22"/>
                <w:lang w:bidi="bn-IN"/>
              </w:rPr>
            </w:pPr>
            <w:r w:rsidRPr="00873FDE">
              <w:rPr>
                <w:rFonts w:cs="Vrinda"/>
                <w:szCs w:val="22"/>
                <w:cs/>
                <w:lang w:bidi="bn-IN"/>
              </w:rPr>
              <w:t xml:space="preserve"> </w:t>
            </w:r>
          </w:p>
          <w:p w14:paraId="3722EEAA" w14:textId="77777777" w:rsidR="00BD06C4" w:rsidRPr="00873FDE" w:rsidRDefault="00BD06C4" w:rsidP="00BD06C4">
            <w:pPr>
              <w:rPr>
                <w:szCs w:val="22"/>
                <w:lang w:bidi="bn-IN"/>
              </w:rPr>
            </w:pPr>
            <w:r w:rsidRPr="00873FDE">
              <w:rPr>
                <w:szCs w:val="22"/>
                <w:lang w:bidi="bn-IN"/>
              </w:rPr>
              <w:t>Data for SDG monitoring will be sent to countries for consultation prior to publication.</w:t>
            </w:r>
          </w:p>
        </w:tc>
        <w:tc>
          <w:tcPr>
            <w:tcW w:w="0" w:type="auto"/>
          </w:tcPr>
          <w:p w14:paraId="522AC147" w14:textId="77777777" w:rsidR="00BD06C4" w:rsidRPr="00873FDE" w:rsidRDefault="00BD06C4" w:rsidP="00BD06C4">
            <w:pPr>
              <w:rPr>
                <w:szCs w:val="22"/>
                <w:cs/>
                <w:lang w:bidi="bn-IN"/>
              </w:rPr>
            </w:pPr>
            <w:r w:rsidRPr="00873FDE">
              <w:rPr>
                <w:szCs w:val="22"/>
                <w:lang w:bidi="bn-IN"/>
              </w:rPr>
              <w:lastRenderedPageBreak/>
              <w:t>National Statistical Offices, Police, Ministry of Justice, Ministry of Interior, Prosecutor’s Office</w:t>
            </w:r>
          </w:p>
        </w:tc>
        <w:tc>
          <w:tcPr>
            <w:tcW w:w="0" w:type="auto"/>
          </w:tcPr>
          <w:p w14:paraId="4D45B29C" w14:textId="77777777" w:rsidR="00BD06C4" w:rsidRDefault="00BD06C4" w:rsidP="00BD06C4">
            <w:pPr>
              <w:spacing w:line="276" w:lineRule="auto"/>
              <w:jc w:val="center"/>
              <w:rPr>
                <w:szCs w:val="26"/>
              </w:rPr>
            </w:pPr>
            <w:r>
              <w:rPr>
                <w:szCs w:val="26"/>
              </w:rPr>
              <w:t>BBS</w:t>
            </w:r>
          </w:p>
          <w:p w14:paraId="05E1E125" w14:textId="16CA1E9D" w:rsidR="00BD06C4" w:rsidRPr="008C500F" w:rsidRDefault="00BD06C4" w:rsidP="00BD06C4">
            <w:pPr>
              <w:spacing w:line="276" w:lineRule="auto"/>
              <w:jc w:val="center"/>
              <w:rPr>
                <w:szCs w:val="26"/>
              </w:rPr>
            </w:pPr>
            <w:r>
              <w:rPr>
                <w:szCs w:val="26"/>
              </w:rPr>
              <w:t>VAWS</w:t>
            </w:r>
          </w:p>
        </w:tc>
        <w:tc>
          <w:tcPr>
            <w:tcW w:w="0" w:type="auto"/>
          </w:tcPr>
          <w:p w14:paraId="4586ED15" w14:textId="77777777" w:rsidR="00BD06C4" w:rsidRDefault="00BD06C4" w:rsidP="00BD06C4">
            <w:pPr>
              <w:spacing w:line="276" w:lineRule="auto"/>
              <w:jc w:val="center"/>
              <w:rPr>
                <w:szCs w:val="26"/>
              </w:rPr>
            </w:pPr>
            <w:r>
              <w:rPr>
                <w:szCs w:val="26"/>
              </w:rPr>
              <w:t>BBS</w:t>
            </w:r>
          </w:p>
          <w:p w14:paraId="644211A6" w14:textId="77777777" w:rsidR="00BD06C4" w:rsidRPr="008C500F" w:rsidRDefault="00BD06C4" w:rsidP="00BD06C4">
            <w:pPr>
              <w:spacing w:line="276" w:lineRule="auto"/>
              <w:jc w:val="center"/>
              <w:rPr>
                <w:szCs w:val="26"/>
              </w:rPr>
            </w:pPr>
            <w:r w:rsidRPr="0066738C">
              <w:rPr>
                <w:szCs w:val="26"/>
              </w:rPr>
              <w:t>VAW Survey/</w:t>
            </w:r>
            <w:r w:rsidRPr="008C500F">
              <w:rPr>
                <w:szCs w:val="26"/>
              </w:rPr>
              <w:t>GBVS</w:t>
            </w:r>
          </w:p>
        </w:tc>
        <w:tc>
          <w:tcPr>
            <w:tcW w:w="0" w:type="auto"/>
          </w:tcPr>
          <w:p w14:paraId="55ABF109"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Male, Female, Transgender </w:t>
            </w:r>
          </w:p>
          <w:p w14:paraId="404AB70B" w14:textId="2D669235"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w:t>
            </w:r>
            <w:r w:rsidR="002C5B88">
              <w:rPr>
                <w:rFonts w:ascii="Tw Cen MT Condensed" w:hAnsi="Tw Cen MT Condensed"/>
                <w:sz w:val="20"/>
                <w:szCs w:val="20"/>
              </w:rPr>
              <w:t xml:space="preserve"> 0-15 yrs, 16-24 yrs, 25-64 yrs, 64+ yrs</w:t>
            </w:r>
          </w:p>
          <w:p w14:paraId="0D5CF37F" w14:textId="5303D431"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 level</w:t>
            </w:r>
            <w:r w:rsidR="002C5B88">
              <w:rPr>
                <w:rFonts w:ascii="Tw Cen MT Condensed" w:hAnsi="Tw Cen MT Condensed"/>
                <w:sz w:val="20"/>
                <w:szCs w:val="20"/>
              </w:rPr>
              <w:t>: High/Medium/Low</w:t>
            </w:r>
          </w:p>
          <w:p w14:paraId="41F60217" w14:textId="10A7D6DE"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Education</w:t>
            </w:r>
            <w:r w:rsidR="002C5B88">
              <w:rPr>
                <w:rFonts w:ascii="Tw Cen MT Condensed" w:hAnsi="Tw Cen MT Condensed"/>
                <w:sz w:val="20"/>
                <w:szCs w:val="20"/>
              </w:rPr>
              <w:t>: Illiterate/Primary/Secondary/Higher</w:t>
            </w:r>
          </w:p>
          <w:p w14:paraId="15BAF39D" w14:textId="11EAB959"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Citizenship</w:t>
            </w:r>
            <w:r w:rsidR="002C5B88">
              <w:rPr>
                <w:rFonts w:ascii="Tw Cen MT Condensed" w:hAnsi="Tw Cen MT Condensed"/>
                <w:sz w:val="20"/>
                <w:szCs w:val="20"/>
              </w:rPr>
              <w:t>: Citizen/Non Citizen</w:t>
            </w:r>
          </w:p>
          <w:p w14:paraId="40209DE9" w14:textId="74D555BC"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Ethnicity</w:t>
            </w:r>
            <w:r w:rsidR="002C5B88">
              <w:rPr>
                <w:rFonts w:ascii="Tw Cen MT Condensed" w:hAnsi="Tw Cen MT Condensed"/>
                <w:sz w:val="20"/>
                <w:szCs w:val="20"/>
              </w:rPr>
              <w:t>: Ethnic/ Non Ethnic</w:t>
            </w:r>
          </w:p>
          <w:p w14:paraId="3E56BF3F" w14:textId="77777777" w:rsidR="00BD06C4" w:rsidRDefault="00BD06C4" w:rsidP="00BD06C4">
            <w:pPr>
              <w:ind w:left="970" w:hanging="970"/>
              <w:jc w:val="both"/>
              <w:rPr>
                <w:color w:val="0070C0"/>
                <w:sz w:val="30"/>
                <w:szCs w:val="30"/>
              </w:rPr>
            </w:pPr>
          </w:p>
        </w:tc>
        <w:tc>
          <w:tcPr>
            <w:tcW w:w="0" w:type="auto"/>
          </w:tcPr>
          <w:p w14:paraId="20F3B84B" w14:textId="77777777" w:rsidR="00BD06C4" w:rsidRDefault="00BD06C4" w:rsidP="00BD06C4">
            <w:pPr>
              <w:ind w:left="970" w:hanging="970"/>
              <w:jc w:val="both"/>
              <w:rPr>
                <w:color w:val="0070C0"/>
                <w:sz w:val="30"/>
                <w:szCs w:val="30"/>
              </w:rPr>
            </w:pPr>
            <w:r w:rsidRPr="008C500F">
              <w:rPr>
                <w:szCs w:val="26"/>
              </w:rPr>
              <w:t>Triennial</w:t>
            </w:r>
          </w:p>
        </w:tc>
        <w:tc>
          <w:tcPr>
            <w:tcW w:w="0" w:type="auto"/>
          </w:tcPr>
          <w:p w14:paraId="40F1D802" w14:textId="77777777" w:rsidR="00BD06C4" w:rsidRDefault="00BD06C4" w:rsidP="00BD06C4">
            <w:pPr>
              <w:ind w:left="970" w:hanging="970"/>
              <w:jc w:val="both"/>
              <w:rPr>
                <w:color w:val="0070C0"/>
                <w:sz w:val="30"/>
                <w:szCs w:val="30"/>
              </w:rPr>
            </w:pPr>
            <w:r>
              <w:t>Group 1</w:t>
            </w:r>
          </w:p>
        </w:tc>
        <w:tc>
          <w:tcPr>
            <w:tcW w:w="0" w:type="auto"/>
          </w:tcPr>
          <w:p w14:paraId="4E26C712" w14:textId="77777777" w:rsidR="00BD06C4" w:rsidRDefault="00BD06C4" w:rsidP="00BD06C4">
            <w:pPr>
              <w:pStyle w:val="NoSpacing"/>
            </w:pPr>
            <w:r>
              <w:t>1</w:t>
            </w:r>
            <w:r w:rsidRPr="00013ACB">
              <w:rPr>
                <w:vertAlign w:val="superscript"/>
              </w:rPr>
              <w:t>st</w:t>
            </w:r>
            <w:r>
              <w:t xml:space="preserve"> Round:</w:t>
            </w:r>
          </w:p>
          <w:p w14:paraId="40AFE0D2" w14:textId="77777777" w:rsidR="00BD06C4" w:rsidRDefault="00BD06C4" w:rsidP="00BD06C4">
            <w:pPr>
              <w:pStyle w:val="NoSpacing"/>
            </w:pPr>
            <w:r>
              <w:t>2015</w:t>
            </w:r>
          </w:p>
          <w:p w14:paraId="3650A59E" w14:textId="77777777" w:rsidR="00BD06C4" w:rsidRDefault="00BD06C4" w:rsidP="00BD06C4">
            <w:pPr>
              <w:pStyle w:val="NoSpacing"/>
            </w:pPr>
          </w:p>
          <w:p w14:paraId="4EEE6342" w14:textId="77777777" w:rsidR="00BD06C4" w:rsidRDefault="00BD06C4" w:rsidP="00BD06C4">
            <w:pPr>
              <w:pStyle w:val="NoSpacing"/>
            </w:pPr>
            <w:r>
              <w:t>2</w:t>
            </w:r>
            <w:r w:rsidRPr="00013ACB">
              <w:rPr>
                <w:vertAlign w:val="superscript"/>
              </w:rPr>
              <w:t>nd</w:t>
            </w:r>
            <w:r>
              <w:t xml:space="preserve"> Round:</w:t>
            </w:r>
          </w:p>
          <w:p w14:paraId="2A62B20B" w14:textId="77777777" w:rsidR="00BD06C4" w:rsidRDefault="00BD06C4" w:rsidP="00BD06C4">
            <w:pPr>
              <w:pStyle w:val="NoSpacing"/>
            </w:pPr>
            <w:r>
              <w:t xml:space="preserve"> </w:t>
            </w:r>
            <w:r w:rsidRPr="00C3536E">
              <w:t>July, 2020</w:t>
            </w:r>
          </w:p>
          <w:p w14:paraId="27552C62" w14:textId="77777777" w:rsidR="00BD06C4" w:rsidRDefault="00BD06C4" w:rsidP="00BD06C4">
            <w:pPr>
              <w:pStyle w:val="NoSpacing"/>
            </w:pPr>
          </w:p>
          <w:p w14:paraId="09948405" w14:textId="77777777" w:rsidR="00BD06C4" w:rsidRDefault="00BD06C4" w:rsidP="00BD06C4">
            <w:pPr>
              <w:pStyle w:val="NoSpacing"/>
            </w:pPr>
            <w:r>
              <w:t>3</w:t>
            </w:r>
            <w:r w:rsidRPr="00013ACB">
              <w:rPr>
                <w:vertAlign w:val="superscript"/>
              </w:rPr>
              <w:t>rd</w:t>
            </w:r>
            <w:r>
              <w:t xml:space="preserve"> Round: </w:t>
            </w:r>
          </w:p>
          <w:p w14:paraId="2199742F" w14:textId="77777777" w:rsidR="00BD06C4" w:rsidRDefault="00BD06C4" w:rsidP="00BD06C4">
            <w:pPr>
              <w:pStyle w:val="NoSpacing"/>
            </w:pPr>
            <w:r>
              <w:t>July, 2023</w:t>
            </w:r>
          </w:p>
          <w:p w14:paraId="170AE3AD" w14:textId="77777777" w:rsidR="00BD06C4" w:rsidRDefault="00BD06C4" w:rsidP="00BD06C4">
            <w:pPr>
              <w:pStyle w:val="NoSpacing"/>
            </w:pPr>
          </w:p>
          <w:p w14:paraId="17CD2AF5" w14:textId="77777777" w:rsidR="00BD06C4" w:rsidRDefault="00BD06C4" w:rsidP="00BD06C4">
            <w:pPr>
              <w:pStyle w:val="NoSpacing"/>
            </w:pPr>
            <w:r>
              <w:t>4</w:t>
            </w:r>
            <w:r w:rsidRPr="00013ACB">
              <w:rPr>
                <w:vertAlign w:val="superscript"/>
              </w:rPr>
              <w:t>th</w:t>
            </w:r>
            <w:r>
              <w:t xml:space="preserve"> Round: </w:t>
            </w:r>
          </w:p>
          <w:p w14:paraId="34F5BAF1" w14:textId="77777777" w:rsidR="00BD06C4" w:rsidRDefault="00BD06C4" w:rsidP="00BD06C4">
            <w:pPr>
              <w:pStyle w:val="NoSpacing"/>
            </w:pPr>
            <w:r>
              <w:lastRenderedPageBreak/>
              <w:t>July, 2026</w:t>
            </w:r>
          </w:p>
          <w:p w14:paraId="52118365" w14:textId="77777777" w:rsidR="00BD06C4" w:rsidRDefault="00BD06C4" w:rsidP="00BD06C4">
            <w:pPr>
              <w:pStyle w:val="NoSpacing"/>
            </w:pPr>
          </w:p>
          <w:p w14:paraId="04EA9D5A" w14:textId="77777777" w:rsidR="00BD06C4" w:rsidRDefault="00BD06C4" w:rsidP="00BD06C4">
            <w:pPr>
              <w:pStyle w:val="NoSpacing"/>
            </w:pPr>
            <w:r>
              <w:t>5</w:t>
            </w:r>
            <w:r w:rsidRPr="00013ACB">
              <w:rPr>
                <w:vertAlign w:val="superscript"/>
              </w:rPr>
              <w:t>th</w:t>
            </w:r>
            <w:r>
              <w:t xml:space="preserve"> Round: </w:t>
            </w:r>
          </w:p>
          <w:p w14:paraId="37A32923" w14:textId="77777777" w:rsidR="00BD06C4" w:rsidRDefault="00BD06C4" w:rsidP="00BD06C4">
            <w:pPr>
              <w:pStyle w:val="NoSpacing"/>
            </w:pPr>
            <w:r>
              <w:t>July, 2029</w:t>
            </w:r>
          </w:p>
          <w:p w14:paraId="18F89880" w14:textId="63052528" w:rsidR="00BD06C4" w:rsidRDefault="00BD06C4" w:rsidP="00BD06C4">
            <w:pPr>
              <w:pStyle w:val="NoSpacing"/>
            </w:pPr>
          </w:p>
        </w:tc>
        <w:tc>
          <w:tcPr>
            <w:tcW w:w="0" w:type="auto"/>
          </w:tcPr>
          <w:p w14:paraId="13FF1CD3" w14:textId="77777777" w:rsidR="00BD06C4" w:rsidRDefault="00BD06C4" w:rsidP="00BD06C4">
            <w:pPr>
              <w:ind w:left="970" w:hanging="970"/>
              <w:jc w:val="both"/>
              <w:rPr>
                <w:color w:val="0070C0"/>
                <w:sz w:val="30"/>
                <w:szCs w:val="30"/>
              </w:rPr>
            </w:pPr>
          </w:p>
        </w:tc>
      </w:tr>
      <w:tr w:rsidR="00BD06C4" w14:paraId="79DDCAA5" w14:textId="77777777" w:rsidTr="00A64F0D">
        <w:tc>
          <w:tcPr>
            <w:tcW w:w="0" w:type="auto"/>
          </w:tcPr>
          <w:p w14:paraId="01473C03" w14:textId="77777777" w:rsidR="00BD06C4" w:rsidRPr="00BA046C" w:rsidRDefault="00BD06C4" w:rsidP="00BD06C4">
            <w:pPr>
              <w:pStyle w:val="NoSpacing"/>
            </w:pPr>
            <w:r w:rsidRPr="00BA046C">
              <w:lastRenderedPageBreak/>
              <w:t>16.1.4 Proportion of population that feel safe walking alone around the area they live</w:t>
            </w:r>
          </w:p>
        </w:tc>
        <w:tc>
          <w:tcPr>
            <w:tcW w:w="0" w:type="auto"/>
          </w:tcPr>
          <w:p w14:paraId="24D5F531" w14:textId="77777777" w:rsidR="00BD06C4" w:rsidRDefault="00BD06C4" w:rsidP="00BD06C4">
            <w:pPr>
              <w:ind w:left="970" w:hanging="970"/>
              <w:jc w:val="both"/>
              <w:rPr>
                <w:color w:val="0070C0"/>
                <w:sz w:val="30"/>
                <w:szCs w:val="30"/>
              </w:rPr>
            </w:pPr>
          </w:p>
          <w:p w14:paraId="3F2C11D3" w14:textId="77777777" w:rsidR="00BD06C4" w:rsidRDefault="00BD06C4" w:rsidP="00BD06C4">
            <w:pPr>
              <w:pStyle w:val="NoSpacing"/>
            </w:pPr>
            <w:r w:rsidRPr="007145C8">
              <w:t>UNODC</w:t>
            </w:r>
          </w:p>
        </w:tc>
        <w:tc>
          <w:tcPr>
            <w:tcW w:w="0" w:type="auto"/>
          </w:tcPr>
          <w:p w14:paraId="18B49366" w14:textId="77777777" w:rsidR="00BD06C4" w:rsidRDefault="00BD06C4" w:rsidP="00BD06C4">
            <w:pPr>
              <w:ind w:left="970" w:hanging="970"/>
              <w:jc w:val="both"/>
              <w:rPr>
                <w:color w:val="0070C0"/>
                <w:sz w:val="30"/>
                <w:szCs w:val="30"/>
              </w:rPr>
            </w:pPr>
            <w:r w:rsidRPr="00666BAB">
              <w:t>Tier II</w:t>
            </w:r>
          </w:p>
        </w:tc>
        <w:tc>
          <w:tcPr>
            <w:tcW w:w="0" w:type="auto"/>
          </w:tcPr>
          <w:p w14:paraId="628773A3" w14:textId="77777777" w:rsidR="00BD06C4" w:rsidRPr="00473707" w:rsidRDefault="00BD06C4" w:rsidP="00BD06C4">
            <w:pPr>
              <w:pStyle w:val="NoSpacing"/>
              <w:rPr>
                <w:lang w:val="en-GB"/>
              </w:rPr>
            </w:pPr>
            <w:r w:rsidRPr="00473707">
              <w:rPr>
                <w:b/>
                <w:bCs/>
                <w:lang w:val="en-GB"/>
              </w:rPr>
              <w:t>Definition:</w:t>
            </w:r>
          </w:p>
          <w:p w14:paraId="016C2E47" w14:textId="77777777" w:rsidR="00BD06C4" w:rsidRPr="00473707" w:rsidRDefault="00BD06C4" w:rsidP="00BD06C4">
            <w:pPr>
              <w:pStyle w:val="NoSpacing"/>
              <w:rPr>
                <w:lang w:val="en-GB"/>
              </w:rPr>
            </w:pPr>
          </w:p>
          <w:p w14:paraId="2E380926" w14:textId="77777777" w:rsidR="00BD06C4" w:rsidRPr="00473707" w:rsidRDefault="00BD06C4" w:rsidP="00BD06C4">
            <w:pPr>
              <w:pStyle w:val="NoSpacing"/>
              <w:rPr>
                <w:lang w:val="en-GB"/>
              </w:rPr>
            </w:pPr>
            <w:r w:rsidRPr="00473707">
              <w:rPr>
                <w:lang w:val="en-GB"/>
              </w:rPr>
              <w:t>This indicator refers to the proportion of the population (adults) who feel safe walking alone in their neighbourhood.</w:t>
            </w:r>
          </w:p>
          <w:p w14:paraId="36C3C8DA" w14:textId="77777777" w:rsidR="00BD06C4" w:rsidRPr="00473707" w:rsidRDefault="00BD06C4" w:rsidP="00BD06C4">
            <w:pPr>
              <w:pStyle w:val="NoSpacing"/>
              <w:rPr>
                <w:lang w:val="en-GB"/>
              </w:rPr>
            </w:pPr>
          </w:p>
          <w:p w14:paraId="0FFD3491" w14:textId="77777777" w:rsidR="00BD06C4" w:rsidRPr="00473707" w:rsidRDefault="00BD06C4" w:rsidP="00BD06C4">
            <w:pPr>
              <w:pStyle w:val="NoSpacing"/>
              <w:rPr>
                <w:lang w:val="en-GB"/>
              </w:rPr>
            </w:pPr>
            <w:r w:rsidRPr="00473707">
              <w:rPr>
                <w:b/>
                <w:bCs/>
                <w:lang w:val="en-GB"/>
              </w:rPr>
              <w:t>Concepts:</w:t>
            </w:r>
          </w:p>
          <w:p w14:paraId="7FD666E7" w14:textId="77777777" w:rsidR="00BD06C4" w:rsidRPr="00473707" w:rsidRDefault="00BD06C4" w:rsidP="00BD06C4">
            <w:pPr>
              <w:pStyle w:val="NoSpacing"/>
              <w:rPr>
                <w:lang w:val="en-GB"/>
              </w:rPr>
            </w:pPr>
          </w:p>
          <w:p w14:paraId="5F36B004" w14:textId="77777777" w:rsidR="00BD06C4" w:rsidRPr="00473707" w:rsidRDefault="00BD06C4" w:rsidP="00BD06C4">
            <w:pPr>
              <w:pStyle w:val="NoSpacing"/>
              <w:rPr>
                <w:lang w:val="en-GB"/>
              </w:rPr>
            </w:pPr>
            <w:r w:rsidRPr="00473707">
              <w:rPr>
                <w:lang w:val="en-GB"/>
              </w:rPr>
              <w:t>The question measures the feeling of fear of crime in a context outside the house and refers to the immediate experience of this fear by the respondent by limiting the area in question to the “neighbourhood” or “your area” (various formulations depending on cultural, physical and language context).</w:t>
            </w:r>
          </w:p>
          <w:p w14:paraId="500B6C48" w14:textId="77777777" w:rsidR="00BD06C4" w:rsidRPr="00473707" w:rsidRDefault="00BD06C4" w:rsidP="00BD06C4">
            <w:pPr>
              <w:pStyle w:val="NoSpacing"/>
              <w:rPr>
                <w:lang w:val="en-GB"/>
              </w:rPr>
            </w:pPr>
          </w:p>
          <w:p w14:paraId="6145F666" w14:textId="77777777" w:rsidR="00BD06C4" w:rsidRPr="00473707" w:rsidRDefault="00BD06C4" w:rsidP="00BD06C4">
            <w:pPr>
              <w:pStyle w:val="NoSpacing"/>
              <w:rPr>
                <w:lang w:val="en-GB"/>
              </w:rPr>
            </w:pPr>
            <w:r w:rsidRPr="00473707">
              <w:rPr>
                <w:b/>
                <w:bCs/>
                <w:lang w:val="en-GB"/>
              </w:rPr>
              <w:t>Comments and limitations:</w:t>
            </w:r>
          </w:p>
          <w:p w14:paraId="540A84A4" w14:textId="77777777" w:rsidR="00BD06C4" w:rsidRPr="00473707" w:rsidRDefault="00BD06C4" w:rsidP="00BD06C4">
            <w:pPr>
              <w:pStyle w:val="NoSpacing"/>
              <w:rPr>
                <w:lang w:val="en-GB"/>
              </w:rPr>
            </w:pPr>
          </w:p>
          <w:p w14:paraId="328F5C66" w14:textId="77777777" w:rsidR="00BD06C4" w:rsidRPr="00473707" w:rsidRDefault="00BD06C4" w:rsidP="00BD06C4">
            <w:pPr>
              <w:pStyle w:val="NoSpacing"/>
              <w:rPr>
                <w:lang w:val="en-GB"/>
              </w:rPr>
            </w:pPr>
            <w:r w:rsidRPr="00473707">
              <w:rPr>
                <w:lang w:val="en-GB"/>
              </w:rPr>
              <w:t xml:space="preserve">While the measurement of fear of crime is widely applied in crime victimization surveys around the world, different practices exist in the operationalization of this indicator – for example, by not requiring the person to “walk alone” or limiting the walking to “at night”. Further guidance on measuring the indicator </w:t>
            </w:r>
            <w:proofErr w:type="gramStart"/>
            <w:r w:rsidRPr="00473707">
              <w:rPr>
                <w:lang w:val="en-GB"/>
              </w:rPr>
              <w:t>are</w:t>
            </w:r>
            <w:proofErr w:type="gramEnd"/>
            <w:r w:rsidRPr="00473707">
              <w:rPr>
                <w:lang w:val="en-GB"/>
              </w:rPr>
              <w:t xml:space="preserve"> currently elaborated by UNODC in collaboration with victimization survey experts.</w:t>
            </w:r>
          </w:p>
          <w:p w14:paraId="40D88035" w14:textId="77777777" w:rsidR="00BD06C4" w:rsidRPr="00473707" w:rsidRDefault="00BD06C4" w:rsidP="00BD06C4">
            <w:pPr>
              <w:pStyle w:val="NoSpacing"/>
              <w:rPr>
                <w:lang w:val="en-GB"/>
              </w:rPr>
            </w:pPr>
          </w:p>
          <w:p w14:paraId="4CBB5236" w14:textId="77777777" w:rsidR="00BD06C4" w:rsidRPr="00473707" w:rsidRDefault="00BD06C4" w:rsidP="00BD06C4">
            <w:pPr>
              <w:pStyle w:val="NoSpacing"/>
              <w:rPr>
                <w:lang w:val="en-GB"/>
              </w:rPr>
            </w:pPr>
            <w:r w:rsidRPr="00473707">
              <w:rPr>
                <w:lang w:val="en-GB"/>
              </w:rPr>
              <w:t>In 2010 UNODC-UNECE published a Manual on Victimization Surveys that provides technical guidance on the implementation of such surveys, on the basis of good practices developed at country level. UNODC-UNECE Manual on Victimization Surveys (2010), available at: https://www.unodc.org/documents/data-and-analysis/Crime-statistics/Manual_on_Victimization_surveys_2009_web.pdf</w:t>
            </w:r>
          </w:p>
          <w:p w14:paraId="494DBD1B" w14:textId="77777777" w:rsidR="00BD06C4" w:rsidRPr="00473707" w:rsidRDefault="00BD06C4" w:rsidP="00BD06C4">
            <w:pPr>
              <w:pStyle w:val="NoSpacing"/>
              <w:rPr>
                <w:lang w:val="en-GB"/>
              </w:rPr>
            </w:pPr>
          </w:p>
          <w:p w14:paraId="465C8655" w14:textId="77777777" w:rsidR="00BD06C4" w:rsidRPr="00473707" w:rsidRDefault="00BD06C4" w:rsidP="00BD06C4">
            <w:pPr>
              <w:pStyle w:val="NoSpacing"/>
              <w:rPr>
                <w:lang w:val="en-GB"/>
              </w:rPr>
            </w:pPr>
            <w:r w:rsidRPr="00473707">
              <w:rPr>
                <w:lang w:val="en-GB"/>
              </w:rPr>
              <w:t>Victimization surveys (as dedicated surveys or as modules of household surveys) are usually restricted to the general population living in households above a certain age (typically 15 or 18 years of age), while sometimes an upper age limit is also applied (typically 65, 70 or 75 years of age).</w:t>
            </w:r>
          </w:p>
          <w:p w14:paraId="669A3654" w14:textId="77777777" w:rsidR="00BD06C4" w:rsidRPr="00473707" w:rsidRDefault="00BD06C4" w:rsidP="00BD06C4">
            <w:pPr>
              <w:pStyle w:val="NoSpacing"/>
              <w:rPr>
                <w:b/>
                <w:bCs/>
                <w:lang w:val="en-GB"/>
              </w:rPr>
            </w:pPr>
          </w:p>
          <w:p w14:paraId="45233159" w14:textId="77777777" w:rsidR="00BD06C4" w:rsidRPr="00473707" w:rsidRDefault="00BD06C4" w:rsidP="00BD06C4">
            <w:pPr>
              <w:pStyle w:val="NoSpacing"/>
              <w:rPr>
                <w:lang w:val="en-GB"/>
              </w:rPr>
            </w:pPr>
            <w:r w:rsidRPr="00473707">
              <w:rPr>
                <w:b/>
                <w:bCs/>
                <w:lang w:val="en-GB"/>
              </w:rPr>
              <w:t>Computation Method:</w:t>
            </w:r>
          </w:p>
          <w:p w14:paraId="7228EE55" w14:textId="77777777" w:rsidR="00BD06C4" w:rsidRPr="00473707" w:rsidRDefault="00BD06C4" w:rsidP="00BD06C4">
            <w:pPr>
              <w:pStyle w:val="NoSpacing"/>
              <w:rPr>
                <w:lang w:val="en-GB"/>
              </w:rPr>
            </w:pPr>
          </w:p>
          <w:p w14:paraId="274C2C44" w14:textId="77777777" w:rsidR="00BD06C4" w:rsidRPr="00473707" w:rsidRDefault="00BD06C4" w:rsidP="00BD06C4">
            <w:pPr>
              <w:pStyle w:val="NoSpacing"/>
              <w:rPr>
                <w:lang w:val="en-GB"/>
              </w:rPr>
            </w:pPr>
            <w:r w:rsidRPr="00473707">
              <w:rPr>
                <w:lang w:val="en-GB"/>
              </w:rPr>
              <w:t xml:space="preserve">The question used in victimization surveys is: How safe do you feel walking alone in your area/neighbourhood? Answer: Very safe/fairly safe/bit unsafe/very unsafe/ I never walk alone after dark/don’t know. The proportion of population that feel safe is calculated by summing up the number of respondents who feel “very safe” and “fairly safe” </w:t>
            </w:r>
            <w:r w:rsidRPr="00473707">
              <w:rPr>
                <w:lang w:val="en-GB"/>
              </w:rPr>
              <w:lastRenderedPageBreak/>
              <w:t>and dividing the total by the total number of respondents.</w:t>
            </w:r>
          </w:p>
          <w:p w14:paraId="304AEA12" w14:textId="77777777" w:rsidR="00BD06C4" w:rsidRDefault="00BD06C4" w:rsidP="00BD06C4">
            <w:pPr>
              <w:pStyle w:val="NoSpacing"/>
            </w:pPr>
          </w:p>
        </w:tc>
        <w:tc>
          <w:tcPr>
            <w:tcW w:w="0" w:type="auto"/>
          </w:tcPr>
          <w:p w14:paraId="45028550" w14:textId="77777777" w:rsidR="00BD06C4" w:rsidRPr="00873FDE" w:rsidRDefault="00BD06C4" w:rsidP="00BD06C4">
            <w:pPr>
              <w:pStyle w:val="NoSpacing"/>
              <w:rPr>
                <w:lang w:bidi="bn-IN"/>
              </w:rPr>
            </w:pPr>
            <w:r w:rsidRPr="00873FDE">
              <w:lastRenderedPageBreak/>
              <w:t>There is a consolidated system of annual data collection on crime and criminal justice (UN- Crime Trends Survey, UN-CTS) managed by UNODC. The UN-CTS data collection is largely based on the network of national Focal Points, which are institutions/officials appointed by countries and having the technical capacity and role to produce data on crime and criminal justice (around 130 appointed Focal Points as of 2016). As decided in a recent meeting of Focal Points, the UN-CTS will be reviewed to include indicator 16.1.4</w:t>
            </w:r>
          </w:p>
        </w:tc>
        <w:tc>
          <w:tcPr>
            <w:tcW w:w="0" w:type="auto"/>
          </w:tcPr>
          <w:p w14:paraId="0CC12090" w14:textId="77777777" w:rsidR="00BD06C4" w:rsidRPr="00873FDE" w:rsidRDefault="00BD06C4" w:rsidP="00BD06C4">
            <w:pPr>
              <w:pStyle w:val="NoSpacing"/>
              <w:rPr>
                <w:lang w:bidi="bn-IN"/>
              </w:rPr>
            </w:pPr>
            <w:r w:rsidRPr="00873FDE">
              <w:t xml:space="preserve">Data are collected through sample surveys among the general population, most often through crime victimization surveys. UNODC collects data on crime and criminal justice through its annual data collection (UN-CTS). The data collection through the UN-CTS is facilitated by a network of over 130 national Focal Points appointed by responsible authorities. Data on ‘fear of crime’ are not yet collected in the UN-CTS, however, it is </w:t>
            </w:r>
            <w:r w:rsidRPr="00873FDE">
              <w:lastRenderedPageBreak/>
              <w:t>expected that data collection on this indicator can be included in the next major revision of the UN-CTS planned for 2017.</w:t>
            </w:r>
          </w:p>
        </w:tc>
        <w:tc>
          <w:tcPr>
            <w:tcW w:w="0" w:type="auto"/>
          </w:tcPr>
          <w:p w14:paraId="680AE743" w14:textId="77777777" w:rsidR="00BD06C4" w:rsidRDefault="00BD06C4" w:rsidP="00BD06C4">
            <w:pPr>
              <w:spacing w:line="276" w:lineRule="auto"/>
              <w:jc w:val="center"/>
              <w:rPr>
                <w:color w:val="000000" w:themeColor="text1"/>
                <w:szCs w:val="26"/>
              </w:rPr>
            </w:pPr>
            <w:r w:rsidRPr="008C500F">
              <w:rPr>
                <w:szCs w:val="26"/>
              </w:rPr>
              <w:lastRenderedPageBreak/>
              <w:t>BBS</w:t>
            </w:r>
            <w:r w:rsidRPr="00D96ECA">
              <w:rPr>
                <w:color w:val="000000" w:themeColor="text1"/>
                <w:szCs w:val="26"/>
              </w:rPr>
              <w:t xml:space="preserve"> </w:t>
            </w:r>
          </w:p>
          <w:p w14:paraId="0556E2F7" w14:textId="576F4B3E" w:rsidR="00BD06C4" w:rsidRPr="008C500F" w:rsidRDefault="00BD06C4" w:rsidP="00BD06C4">
            <w:pPr>
              <w:spacing w:line="276" w:lineRule="auto"/>
              <w:jc w:val="center"/>
              <w:rPr>
                <w:szCs w:val="26"/>
              </w:rPr>
            </w:pPr>
            <w:r w:rsidRPr="00D96ECA">
              <w:rPr>
                <w:color w:val="000000" w:themeColor="text1"/>
                <w:szCs w:val="26"/>
              </w:rPr>
              <w:t>CPHS</w:t>
            </w:r>
          </w:p>
        </w:tc>
        <w:tc>
          <w:tcPr>
            <w:tcW w:w="0" w:type="auto"/>
          </w:tcPr>
          <w:p w14:paraId="714DC73D" w14:textId="77777777" w:rsidR="00BD06C4" w:rsidRDefault="00BD06C4" w:rsidP="00BD06C4">
            <w:pPr>
              <w:spacing w:line="276" w:lineRule="auto"/>
              <w:jc w:val="center"/>
              <w:rPr>
                <w:color w:val="000000" w:themeColor="text1"/>
                <w:szCs w:val="26"/>
              </w:rPr>
            </w:pPr>
            <w:r>
              <w:rPr>
                <w:color w:val="000000" w:themeColor="text1"/>
                <w:szCs w:val="26"/>
              </w:rPr>
              <w:t>BBS</w:t>
            </w:r>
          </w:p>
          <w:p w14:paraId="4FE16120" w14:textId="77777777" w:rsidR="00BD06C4" w:rsidRDefault="00BD06C4" w:rsidP="00BD06C4">
            <w:pPr>
              <w:spacing w:line="276" w:lineRule="auto"/>
              <w:jc w:val="center"/>
              <w:rPr>
                <w:color w:val="000000" w:themeColor="text1"/>
                <w:szCs w:val="26"/>
              </w:rPr>
            </w:pPr>
          </w:p>
          <w:p w14:paraId="1457ED1B" w14:textId="63A66FF3" w:rsidR="00BD06C4" w:rsidRPr="00D96ECA" w:rsidRDefault="00BD06C4" w:rsidP="00BD06C4">
            <w:pPr>
              <w:spacing w:line="276" w:lineRule="auto"/>
              <w:jc w:val="center"/>
              <w:rPr>
                <w:color w:val="000000" w:themeColor="text1"/>
                <w:szCs w:val="26"/>
              </w:rPr>
            </w:pPr>
            <w:r w:rsidRPr="00D96ECA">
              <w:rPr>
                <w:color w:val="000000" w:themeColor="text1"/>
                <w:szCs w:val="26"/>
              </w:rPr>
              <w:t>CPHS</w:t>
            </w:r>
          </w:p>
        </w:tc>
        <w:tc>
          <w:tcPr>
            <w:tcW w:w="0" w:type="auto"/>
          </w:tcPr>
          <w:p w14:paraId="0C2FEE8B" w14:textId="77777777" w:rsidR="00BD06C4" w:rsidRDefault="00BD06C4" w:rsidP="00BD06C4">
            <w:pPr>
              <w:pStyle w:val="ListParagraph"/>
              <w:numPr>
                <w:ilvl w:val="0"/>
                <w:numId w:val="53"/>
              </w:numPr>
              <w:spacing w:after="0"/>
              <w:ind w:left="210" w:hanging="190"/>
              <w:jc w:val="both"/>
              <w:rPr>
                <w:rFonts w:ascii="Tw Cen MT Condensed" w:hAnsi="Tw Cen MT Condensed"/>
              </w:rPr>
            </w:pPr>
            <w:r>
              <w:rPr>
                <w:rFonts w:ascii="Tw Cen MT Condensed" w:hAnsi="Tw Cen MT Condensed"/>
              </w:rPr>
              <w:t>Sex: male/female</w:t>
            </w:r>
          </w:p>
          <w:p w14:paraId="25DEF3C9" w14:textId="77777777" w:rsidR="00BD06C4" w:rsidRDefault="00BD06C4" w:rsidP="00BD06C4">
            <w:pPr>
              <w:pStyle w:val="ListParagraph"/>
              <w:numPr>
                <w:ilvl w:val="0"/>
                <w:numId w:val="53"/>
              </w:numPr>
              <w:spacing w:after="0"/>
              <w:ind w:left="210" w:hanging="190"/>
              <w:jc w:val="both"/>
              <w:rPr>
                <w:rFonts w:ascii="Tw Cen MT Condensed" w:hAnsi="Tw Cen MT Condensed"/>
              </w:rPr>
            </w:pPr>
            <w:r>
              <w:rPr>
                <w:rFonts w:ascii="Tw Cen MT Condensed" w:hAnsi="Tw Cen MT Condensed"/>
              </w:rPr>
              <w:t>Location: Rural/Urban</w:t>
            </w:r>
          </w:p>
          <w:p w14:paraId="753B1CB7" w14:textId="77777777" w:rsidR="00BD06C4" w:rsidRDefault="00BD06C4" w:rsidP="00BD06C4">
            <w:pPr>
              <w:ind w:left="970" w:hanging="970"/>
              <w:jc w:val="both"/>
              <w:rPr>
                <w:color w:val="0070C0"/>
                <w:sz w:val="30"/>
                <w:szCs w:val="30"/>
              </w:rPr>
            </w:pPr>
          </w:p>
        </w:tc>
        <w:tc>
          <w:tcPr>
            <w:tcW w:w="0" w:type="auto"/>
          </w:tcPr>
          <w:p w14:paraId="77C9893F" w14:textId="77777777" w:rsidR="00BD06C4" w:rsidRDefault="00BD06C4" w:rsidP="00BD06C4">
            <w:pPr>
              <w:ind w:left="970" w:hanging="970"/>
              <w:jc w:val="both"/>
              <w:rPr>
                <w:color w:val="0070C0"/>
                <w:sz w:val="30"/>
                <w:szCs w:val="30"/>
              </w:rPr>
            </w:pPr>
            <w:r w:rsidRPr="008C500F">
              <w:rPr>
                <w:szCs w:val="26"/>
              </w:rPr>
              <w:t>Triennial</w:t>
            </w:r>
          </w:p>
        </w:tc>
        <w:tc>
          <w:tcPr>
            <w:tcW w:w="0" w:type="auto"/>
          </w:tcPr>
          <w:p w14:paraId="09A31DF7" w14:textId="77777777" w:rsidR="00BD06C4" w:rsidRDefault="00BD06C4" w:rsidP="00BD06C4">
            <w:pPr>
              <w:ind w:left="970" w:hanging="970"/>
              <w:jc w:val="both"/>
              <w:rPr>
                <w:color w:val="0070C0"/>
                <w:sz w:val="30"/>
                <w:szCs w:val="30"/>
              </w:rPr>
            </w:pPr>
            <w:r>
              <w:t>Group 1</w:t>
            </w:r>
          </w:p>
        </w:tc>
        <w:tc>
          <w:tcPr>
            <w:tcW w:w="0" w:type="auto"/>
          </w:tcPr>
          <w:p w14:paraId="5B2967D1" w14:textId="77777777" w:rsidR="00BD06C4" w:rsidRDefault="00BD06C4" w:rsidP="00BD06C4">
            <w:pPr>
              <w:pStyle w:val="NoSpacing"/>
            </w:pPr>
            <w:r>
              <w:t>1</w:t>
            </w:r>
            <w:r w:rsidRPr="00013ACB">
              <w:rPr>
                <w:vertAlign w:val="superscript"/>
              </w:rPr>
              <w:t>st</w:t>
            </w:r>
            <w:r>
              <w:t xml:space="preserve"> Round:</w:t>
            </w:r>
          </w:p>
          <w:p w14:paraId="5E80AE11" w14:textId="77777777" w:rsidR="00BD06C4" w:rsidRDefault="00BD06C4" w:rsidP="00BD06C4">
            <w:pPr>
              <w:pStyle w:val="NoSpacing"/>
            </w:pPr>
            <w:r>
              <w:t>2018</w:t>
            </w:r>
          </w:p>
          <w:p w14:paraId="09A2A6A9" w14:textId="77777777" w:rsidR="00BD06C4" w:rsidRDefault="00BD06C4" w:rsidP="00BD06C4">
            <w:pPr>
              <w:pStyle w:val="NoSpacing"/>
            </w:pPr>
          </w:p>
          <w:p w14:paraId="3FE044C3" w14:textId="77777777" w:rsidR="00BD06C4" w:rsidRDefault="00BD06C4" w:rsidP="00BD06C4">
            <w:pPr>
              <w:pStyle w:val="NoSpacing"/>
            </w:pPr>
            <w:r>
              <w:t>2</w:t>
            </w:r>
            <w:r w:rsidRPr="00013ACB">
              <w:rPr>
                <w:vertAlign w:val="superscript"/>
              </w:rPr>
              <w:t>nd</w:t>
            </w:r>
            <w:r>
              <w:t xml:space="preserve"> Round:</w:t>
            </w:r>
          </w:p>
          <w:p w14:paraId="19BABC7E" w14:textId="77777777" w:rsidR="00BD06C4" w:rsidRDefault="00BD06C4" w:rsidP="00BD06C4">
            <w:pPr>
              <w:pStyle w:val="NoSpacing"/>
            </w:pPr>
            <w:r>
              <w:t xml:space="preserve"> July, 2021</w:t>
            </w:r>
          </w:p>
          <w:p w14:paraId="2BDDE479" w14:textId="77777777" w:rsidR="00BD06C4" w:rsidRDefault="00BD06C4" w:rsidP="00BD06C4">
            <w:pPr>
              <w:pStyle w:val="NoSpacing"/>
            </w:pPr>
          </w:p>
          <w:p w14:paraId="7A92C05C" w14:textId="77777777" w:rsidR="00BD06C4" w:rsidRDefault="00BD06C4" w:rsidP="00BD06C4">
            <w:pPr>
              <w:pStyle w:val="NoSpacing"/>
            </w:pPr>
            <w:r>
              <w:t>3</w:t>
            </w:r>
            <w:r w:rsidRPr="00013ACB">
              <w:rPr>
                <w:vertAlign w:val="superscript"/>
              </w:rPr>
              <w:t>rd</w:t>
            </w:r>
            <w:r>
              <w:t xml:space="preserve"> Round: </w:t>
            </w:r>
          </w:p>
          <w:p w14:paraId="6AEA716C" w14:textId="77777777" w:rsidR="00BD06C4" w:rsidRDefault="00BD06C4" w:rsidP="00BD06C4">
            <w:pPr>
              <w:pStyle w:val="NoSpacing"/>
            </w:pPr>
            <w:r>
              <w:t>July, 2024</w:t>
            </w:r>
          </w:p>
          <w:p w14:paraId="3F0E1A92" w14:textId="77777777" w:rsidR="00BD06C4" w:rsidRDefault="00BD06C4" w:rsidP="00BD06C4">
            <w:pPr>
              <w:pStyle w:val="NoSpacing"/>
            </w:pPr>
          </w:p>
          <w:p w14:paraId="1B1E20E4" w14:textId="77777777" w:rsidR="00BD06C4" w:rsidRDefault="00BD06C4" w:rsidP="00BD06C4">
            <w:pPr>
              <w:pStyle w:val="NoSpacing"/>
            </w:pPr>
            <w:r>
              <w:t>4</w:t>
            </w:r>
            <w:r w:rsidRPr="00013ACB">
              <w:rPr>
                <w:vertAlign w:val="superscript"/>
              </w:rPr>
              <w:t>th</w:t>
            </w:r>
            <w:r>
              <w:t xml:space="preserve"> Round: </w:t>
            </w:r>
          </w:p>
          <w:p w14:paraId="6DE09A1A" w14:textId="77777777" w:rsidR="00BD06C4" w:rsidRDefault="00BD06C4" w:rsidP="00BD06C4">
            <w:pPr>
              <w:pStyle w:val="NoSpacing"/>
            </w:pPr>
            <w:r>
              <w:t>July, 2027</w:t>
            </w:r>
          </w:p>
          <w:p w14:paraId="5C84B807" w14:textId="77777777" w:rsidR="00BD06C4" w:rsidRDefault="00BD06C4" w:rsidP="00BD06C4">
            <w:pPr>
              <w:pStyle w:val="NoSpacing"/>
            </w:pPr>
          </w:p>
          <w:p w14:paraId="6A94C3A0" w14:textId="77777777" w:rsidR="00BD06C4" w:rsidRDefault="00BD06C4" w:rsidP="00BD06C4">
            <w:pPr>
              <w:pStyle w:val="NoSpacing"/>
            </w:pPr>
            <w:r>
              <w:t>5</w:t>
            </w:r>
            <w:r w:rsidRPr="00013ACB">
              <w:rPr>
                <w:vertAlign w:val="superscript"/>
              </w:rPr>
              <w:t>th</w:t>
            </w:r>
            <w:r>
              <w:t xml:space="preserve"> Round: </w:t>
            </w:r>
          </w:p>
          <w:p w14:paraId="6821BE38" w14:textId="77777777" w:rsidR="00BD06C4" w:rsidRDefault="00BD06C4" w:rsidP="00BD06C4">
            <w:pPr>
              <w:pStyle w:val="NoSpacing"/>
            </w:pPr>
            <w:r>
              <w:t>July, 2030</w:t>
            </w:r>
          </w:p>
          <w:p w14:paraId="51C14BBF" w14:textId="0321A2BC" w:rsidR="00BD06C4" w:rsidRDefault="00BD06C4" w:rsidP="00BD06C4">
            <w:pPr>
              <w:pStyle w:val="NoSpacing"/>
            </w:pPr>
          </w:p>
        </w:tc>
        <w:tc>
          <w:tcPr>
            <w:tcW w:w="0" w:type="auto"/>
          </w:tcPr>
          <w:p w14:paraId="7F83AF02" w14:textId="77777777" w:rsidR="00BD06C4" w:rsidRDefault="00BD06C4" w:rsidP="00BD06C4">
            <w:pPr>
              <w:ind w:left="970" w:hanging="970"/>
              <w:jc w:val="both"/>
              <w:rPr>
                <w:color w:val="0070C0"/>
                <w:sz w:val="30"/>
                <w:szCs w:val="30"/>
              </w:rPr>
            </w:pPr>
          </w:p>
        </w:tc>
      </w:tr>
      <w:tr w:rsidR="00BD06C4" w14:paraId="0D3EDB6D" w14:textId="77777777" w:rsidTr="00A64F0D">
        <w:tc>
          <w:tcPr>
            <w:tcW w:w="0" w:type="auto"/>
          </w:tcPr>
          <w:p w14:paraId="4CB423F0" w14:textId="77777777" w:rsidR="00BD06C4" w:rsidRDefault="00BD06C4" w:rsidP="00BD06C4">
            <w:pPr>
              <w:ind w:left="970" w:hanging="970"/>
              <w:jc w:val="both"/>
              <w:rPr>
                <w:color w:val="0070C0"/>
                <w:sz w:val="30"/>
                <w:szCs w:val="30"/>
              </w:rPr>
            </w:pPr>
          </w:p>
        </w:tc>
        <w:tc>
          <w:tcPr>
            <w:tcW w:w="0" w:type="auto"/>
            <w:gridSpan w:val="12"/>
          </w:tcPr>
          <w:p w14:paraId="35D37BBD"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16.2 End abuse, exploitation, trafficking and all forms of violence against and torture of children</w:t>
            </w:r>
          </w:p>
        </w:tc>
      </w:tr>
      <w:tr w:rsidR="00BD06C4" w14:paraId="0D363BF0" w14:textId="77777777" w:rsidTr="00A64F0D">
        <w:tc>
          <w:tcPr>
            <w:tcW w:w="0" w:type="auto"/>
          </w:tcPr>
          <w:p w14:paraId="3F74AF4D" w14:textId="77777777" w:rsidR="00BD06C4" w:rsidRDefault="00BD06C4" w:rsidP="00BD06C4">
            <w:pPr>
              <w:pStyle w:val="NoSpacing"/>
            </w:pPr>
            <w:r w:rsidRPr="00BA046C">
              <w:t>16.2.1 Proportion of children aged 1–17 years who experienced any physical punishment and/or psychological aggression by caregivers in the past month</w:t>
            </w:r>
          </w:p>
        </w:tc>
        <w:tc>
          <w:tcPr>
            <w:tcW w:w="0" w:type="auto"/>
          </w:tcPr>
          <w:p w14:paraId="7A75FA7B" w14:textId="77777777" w:rsidR="00BD06C4" w:rsidRDefault="00BD06C4" w:rsidP="00BD06C4">
            <w:pPr>
              <w:ind w:left="970" w:hanging="970"/>
              <w:jc w:val="both"/>
              <w:rPr>
                <w:color w:val="0070C0"/>
                <w:sz w:val="30"/>
                <w:szCs w:val="30"/>
              </w:rPr>
            </w:pPr>
          </w:p>
          <w:p w14:paraId="1B1734E6" w14:textId="77777777" w:rsidR="00BD06C4" w:rsidRDefault="00BD06C4" w:rsidP="00BD06C4">
            <w:pPr>
              <w:pStyle w:val="NoSpacing"/>
            </w:pPr>
            <w:r w:rsidRPr="007145C8">
              <w:t>UNICEF</w:t>
            </w:r>
          </w:p>
        </w:tc>
        <w:tc>
          <w:tcPr>
            <w:tcW w:w="0" w:type="auto"/>
          </w:tcPr>
          <w:p w14:paraId="64552AE7" w14:textId="77777777" w:rsidR="00BD06C4" w:rsidRDefault="00BD06C4" w:rsidP="00BD06C4">
            <w:pPr>
              <w:ind w:left="970" w:hanging="970"/>
              <w:jc w:val="both"/>
              <w:rPr>
                <w:color w:val="0070C0"/>
                <w:sz w:val="30"/>
                <w:szCs w:val="30"/>
              </w:rPr>
            </w:pPr>
            <w:r w:rsidRPr="00666BAB">
              <w:t>Tier II</w:t>
            </w:r>
          </w:p>
        </w:tc>
        <w:tc>
          <w:tcPr>
            <w:tcW w:w="0" w:type="auto"/>
          </w:tcPr>
          <w:p w14:paraId="325BC778" w14:textId="77777777" w:rsidR="00BD06C4" w:rsidRPr="00473707" w:rsidRDefault="00BD06C4" w:rsidP="00BD06C4">
            <w:pPr>
              <w:pStyle w:val="NoSpacing"/>
              <w:rPr>
                <w:lang w:val="en-GB"/>
              </w:rPr>
            </w:pPr>
            <w:r w:rsidRPr="00473707">
              <w:rPr>
                <w:b/>
                <w:bCs/>
                <w:lang w:val="en-GB"/>
              </w:rPr>
              <w:t>Definition:</w:t>
            </w:r>
          </w:p>
          <w:p w14:paraId="0600217C" w14:textId="77777777" w:rsidR="00BD06C4" w:rsidRPr="00473707" w:rsidRDefault="00BD06C4" w:rsidP="00BD06C4">
            <w:pPr>
              <w:pStyle w:val="NoSpacing"/>
              <w:rPr>
                <w:lang w:val="en-GB"/>
              </w:rPr>
            </w:pPr>
          </w:p>
          <w:p w14:paraId="4E11522F" w14:textId="77777777" w:rsidR="00BD06C4" w:rsidRPr="00473707" w:rsidRDefault="00BD06C4" w:rsidP="00BD06C4">
            <w:pPr>
              <w:pStyle w:val="NoSpacing"/>
              <w:rPr>
                <w:lang w:val="en-GB"/>
              </w:rPr>
            </w:pPr>
            <w:r w:rsidRPr="00473707">
              <w:rPr>
                <w:lang w:val="en-GB"/>
              </w:rPr>
              <w:t>Proportion of children aged 1-17 years who experienced any physical punishment and/or psychological aggression by caregivers in the past month is currently being measured by the Proportion of children aged 1-14 years who experienced any physical punishment and/or psychological aggression by caregivers in the past month.</w:t>
            </w:r>
          </w:p>
          <w:p w14:paraId="098AC180" w14:textId="77777777" w:rsidR="00BD06C4" w:rsidRPr="00473707" w:rsidRDefault="00BD06C4" w:rsidP="00BD06C4">
            <w:pPr>
              <w:pStyle w:val="NoSpacing"/>
              <w:rPr>
                <w:lang w:val="en-GB"/>
              </w:rPr>
            </w:pPr>
          </w:p>
          <w:p w14:paraId="2B2DF89C" w14:textId="77777777" w:rsidR="00BD06C4" w:rsidRPr="00473707" w:rsidRDefault="00BD06C4" w:rsidP="00BD06C4">
            <w:pPr>
              <w:pStyle w:val="NoSpacing"/>
              <w:rPr>
                <w:b/>
                <w:bCs/>
                <w:lang w:val="en-GB"/>
              </w:rPr>
            </w:pPr>
            <w:r w:rsidRPr="00473707">
              <w:rPr>
                <w:b/>
                <w:bCs/>
                <w:lang w:val="en-GB"/>
              </w:rPr>
              <w:t>Concepts:</w:t>
            </w:r>
          </w:p>
          <w:p w14:paraId="1DA7397D" w14:textId="77777777" w:rsidR="00BD06C4" w:rsidRPr="00473707" w:rsidRDefault="00BD06C4" w:rsidP="00BD06C4">
            <w:pPr>
              <w:pStyle w:val="NoSpacing"/>
              <w:rPr>
                <w:lang w:val="en-GB"/>
              </w:rPr>
            </w:pPr>
          </w:p>
          <w:p w14:paraId="33552875" w14:textId="77777777" w:rsidR="00BD06C4" w:rsidRPr="00473707" w:rsidRDefault="00BD06C4" w:rsidP="00BD06C4">
            <w:pPr>
              <w:pStyle w:val="NoSpacing"/>
              <w:rPr>
                <w:lang w:val="en-GB"/>
              </w:rPr>
            </w:pPr>
            <w:r w:rsidRPr="00473707">
              <w:rPr>
                <w:lang w:val="en-GB"/>
              </w:rPr>
              <w:t>In Multiple Indicator Cluster Surveys (MICS), psychological aggression refers to the action of shouting, yelling or screaming at a child, as well as calling a child offensive names, such as ‘dumb’ or ‘lazy’. Physical (or corporal) punishment is an action intended to cause physical pain or discomfort, but not injuries. Physical punishment is defined as shaking the child, hitting or slapping him/her on the hand/arm/leg, hitting him/her on the bottom or elsewhere on the body with a hard object, spanking or hitting him/her on the bottom with a bare hand, hitting or slapping him/her on the face, head or ears, and beating him/her over and over as hard as possible.</w:t>
            </w:r>
          </w:p>
          <w:p w14:paraId="64FDE53F" w14:textId="77777777" w:rsidR="00BD06C4" w:rsidRPr="00473707" w:rsidRDefault="00BD06C4" w:rsidP="00BD06C4">
            <w:pPr>
              <w:pStyle w:val="NoSpacing"/>
              <w:rPr>
                <w:lang w:val="en-GB"/>
              </w:rPr>
            </w:pPr>
          </w:p>
          <w:p w14:paraId="7B508C6E" w14:textId="77777777" w:rsidR="00BD06C4" w:rsidRPr="00473707" w:rsidRDefault="00BD06C4" w:rsidP="00BD06C4">
            <w:pPr>
              <w:pStyle w:val="NoSpacing"/>
              <w:rPr>
                <w:b/>
                <w:bCs/>
                <w:lang w:val="en-GB"/>
              </w:rPr>
            </w:pPr>
            <w:r w:rsidRPr="00473707">
              <w:rPr>
                <w:b/>
                <w:bCs/>
                <w:lang w:val="en-GB"/>
              </w:rPr>
              <w:t>Comments and limitations:</w:t>
            </w:r>
          </w:p>
          <w:p w14:paraId="5C286367" w14:textId="77777777" w:rsidR="00BD06C4" w:rsidRPr="00473707" w:rsidRDefault="00BD06C4" w:rsidP="00BD06C4">
            <w:pPr>
              <w:pStyle w:val="NoSpacing"/>
              <w:rPr>
                <w:lang w:val="en-GB"/>
              </w:rPr>
            </w:pPr>
          </w:p>
          <w:p w14:paraId="147A419C" w14:textId="77777777" w:rsidR="00BD06C4" w:rsidRPr="00473707" w:rsidRDefault="00BD06C4" w:rsidP="00BD06C4">
            <w:pPr>
              <w:pStyle w:val="NoSpacing"/>
              <w:rPr>
                <w:lang w:val="en-GB"/>
              </w:rPr>
            </w:pPr>
            <w:r w:rsidRPr="00473707">
              <w:rPr>
                <w:lang w:val="en-GB"/>
              </w:rPr>
              <w:t xml:space="preserve">There is an existing, standardized and validated measurement tool (the Parent-Child version of the Conflict Tactics Scale, or CTSPC) that is widely accepted and has been implemented in a large number of countries, including high-income countries. </w:t>
            </w:r>
          </w:p>
          <w:p w14:paraId="3133B352" w14:textId="77777777" w:rsidR="00BD06C4" w:rsidRPr="00473707" w:rsidRDefault="00BD06C4" w:rsidP="00BD06C4">
            <w:pPr>
              <w:pStyle w:val="NoSpacing"/>
              <w:rPr>
                <w:lang w:val="en-GB"/>
              </w:rPr>
            </w:pPr>
          </w:p>
          <w:p w14:paraId="27732CBA" w14:textId="77777777" w:rsidR="00BD06C4" w:rsidRPr="00473707" w:rsidRDefault="00BD06C4" w:rsidP="00BD06C4">
            <w:pPr>
              <w:pStyle w:val="NoSpacing"/>
              <w:rPr>
                <w:lang w:val="en-GB"/>
              </w:rPr>
            </w:pPr>
            <w:r w:rsidRPr="00473707">
              <w:rPr>
                <w:lang w:val="en-GB"/>
              </w:rPr>
              <w:t>Definitions of both physical punishment and psychological aggression will need to be very clearly defined for countries but this should not be a problem as there is a wealth of available literature and research on the violent punishment of children and General Comment No.13 on the Convention of the Rights of the Child (CRC) also provides a definition for “corporal” or “physical” punishment as well as "mental violence".</w:t>
            </w:r>
          </w:p>
          <w:p w14:paraId="0887B08B" w14:textId="77777777" w:rsidR="00BD06C4" w:rsidRPr="00473707" w:rsidRDefault="00BD06C4" w:rsidP="00BD06C4">
            <w:pPr>
              <w:pStyle w:val="NoSpacing"/>
              <w:rPr>
                <w:b/>
                <w:bCs/>
                <w:lang w:val="en-GB"/>
              </w:rPr>
            </w:pPr>
          </w:p>
          <w:p w14:paraId="588C7739" w14:textId="77777777" w:rsidR="00BD06C4" w:rsidRPr="00473707" w:rsidRDefault="00BD06C4" w:rsidP="00BD06C4">
            <w:pPr>
              <w:pStyle w:val="NoSpacing"/>
              <w:rPr>
                <w:lang w:val="en-GB"/>
              </w:rPr>
            </w:pPr>
            <w:r w:rsidRPr="00473707">
              <w:rPr>
                <w:b/>
                <w:bCs/>
                <w:lang w:val="en-GB"/>
              </w:rPr>
              <w:t>Computation Method:</w:t>
            </w:r>
          </w:p>
          <w:p w14:paraId="1FC69E6D" w14:textId="77777777" w:rsidR="00BD06C4" w:rsidRPr="00473707" w:rsidRDefault="00BD06C4" w:rsidP="00BD06C4">
            <w:pPr>
              <w:pStyle w:val="NoSpacing"/>
              <w:rPr>
                <w:lang w:val="en-GB"/>
              </w:rPr>
            </w:pPr>
          </w:p>
          <w:p w14:paraId="21B87179" w14:textId="77777777" w:rsidR="00BD06C4" w:rsidRPr="00473707" w:rsidRDefault="00BD06C4" w:rsidP="00BD06C4">
            <w:pPr>
              <w:pStyle w:val="NoSpacing"/>
              <w:rPr>
                <w:lang w:val="en-GB"/>
              </w:rPr>
            </w:pPr>
            <w:r w:rsidRPr="00473707">
              <w:rPr>
                <w:lang w:val="en-GB"/>
              </w:rPr>
              <w:lastRenderedPageBreak/>
              <w:t>Number of children aged 1-17 years who are reported to have experienced any physical punishment and/or psychological aggression by caregivers in the past month divided by the total number of children aged 1-17 in the population multiplied by 100</w:t>
            </w:r>
          </w:p>
          <w:p w14:paraId="3BE5F970" w14:textId="77777777" w:rsidR="00BD06C4" w:rsidRDefault="00BD06C4" w:rsidP="00BD06C4">
            <w:pPr>
              <w:pStyle w:val="NoSpacing"/>
            </w:pPr>
          </w:p>
        </w:tc>
        <w:tc>
          <w:tcPr>
            <w:tcW w:w="0" w:type="auto"/>
          </w:tcPr>
          <w:p w14:paraId="009F064C" w14:textId="77777777" w:rsidR="00BD06C4" w:rsidRPr="00873FDE" w:rsidRDefault="00BD06C4" w:rsidP="00BD06C4">
            <w:pPr>
              <w:rPr>
                <w:szCs w:val="22"/>
              </w:rPr>
            </w:pPr>
            <w:r w:rsidRPr="00873FDE">
              <w:rPr>
                <w:szCs w:val="22"/>
              </w:rPr>
              <w:lastRenderedPageBreak/>
              <w:t xml:space="preserve">UNICEF undertakes an annual process to update its global databases, called Country Reporting on Indicators for the Goals (CRING). This exercise is done in close collaboration with UNICEF country offices with the purpose of ensuring that UNICEF global databases contain updated and internationally comparable data. UNICEF Country Offices are invited to submit, through an online system, any updated data for a number of key indicators on the well-being of women and children. Updates sent by the country offices are </w:t>
            </w:r>
            <w:r w:rsidRPr="00873FDE">
              <w:rPr>
                <w:szCs w:val="22"/>
              </w:rPr>
              <w:lastRenderedPageBreak/>
              <w:t xml:space="preserve">then reviewed by sector specialists at UNICEF headquarters to check for consistency and overall data quality of the submitted estimates. This review is based on a set of objective criteria to ensure that only the most recent and reliable information is included in the databases. Once reviewed, feedback is made available on whether or not specific data points are accepted, and if not, the reasons why. New data points that are accepted are then entered into UNICEF’s global databases and published in the State of the World’s Children statistical tables, as well as in all other data-driven publications/material. The updated databases are also posted online at </w:t>
            </w:r>
            <w:r w:rsidRPr="00873FDE">
              <w:rPr>
                <w:szCs w:val="22"/>
              </w:rPr>
              <w:lastRenderedPageBreak/>
              <w:t>data.unicef.org. UNICEF also searches throughout the year for additional sources of data that are vetted by the UNICEF country office before they are included in the global databases.</w:t>
            </w:r>
          </w:p>
        </w:tc>
        <w:tc>
          <w:tcPr>
            <w:tcW w:w="0" w:type="auto"/>
          </w:tcPr>
          <w:p w14:paraId="6FC14575" w14:textId="77777777" w:rsidR="00BD06C4" w:rsidRPr="00873FDE" w:rsidRDefault="00BD06C4" w:rsidP="00BD06C4">
            <w:pPr>
              <w:rPr>
                <w:szCs w:val="22"/>
              </w:rPr>
            </w:pPr>
            <w:r w:rsidRPr="00873FDE">
              <w:rPr>
                <w:szCs w:val="22"/>
              </w:rPr>
              <w:lastRenderedPageBreak/>
              <w:t>National Statistical Offices (for the most part)</w:t>
            </w:r>
          </w:p>
        </w:tc>
        <w:tc>
          <w:tcPr>
            <w:tcW w:w="0" w:type="auto"/>
          </w:tcPr>
          <w:p w14:paraId="64928E04" w14:textId="77777777" w:rsidR="00BD06C4" w:rsidRDefault="00BD06C4" w:rsidP="00BD06C4">
            <w:pPr>
              <w:pStyle w:val="NoSpacing"/>
            </w:pPr>
            <w:r>
              <w:t>BBS</w:t>
            </w:r>
          </w:p>
          <w:p w14:paraId="655F2636" w14:textId="18D3459F" w:rsidR="00BD06C4" w:rsidRDefault="00BD06C4" w:rsidP="00BD06C4">
            <w:pPr>
              <w:pStyle w:val="NoSpacing"/>
            </w:pPr>
            <w:r w:rsidRPr="00BC6F10">
              <w:t>MICS</w:t>
            </w:r>
            <w:r>
              <w:t xml:space="preserve"> </w:t>
            </w:r>
          </w:p>
        </w:tc>
        <w:tc>
          <w:tcPr>
            <w:tcW w:w="0" w:type="auto"/>
          </w:tcPr>
          <w:p w14:paraId="0E49E200" w14:textId="77777777" w:rsidR="00BD06C4" w:rsidRDefault="00BD06C4" w:rsidP="00BD06C4">
            <w:pPr>
              <w:pStyle w:val="NoSpacing"/>
            </w:pPr>
            <w:r>
              <w:t>BBS</w:t>
            </w:r>
          </w:p>
          <w:p w14:paraId="436FE18E" w14:textId="7C229EAE" w:rsidR="00BD06C4" w:rsidRDefault="00BD06C4" w:rsidP="00BD06C4">
            <w:pPr>
              <w:pStyle w:val="NoSpacing"/>
              <w:rPr>
                <w:color w:val="0070C0"/>
                <w:sz w:val="30"/>
                <w:szCs w:val="30"/>
              </w:rPr>
            </w:pPr>
            <w:r w:rsidRPr="00BC6F10">
              <w:t>GBVS</w:t>
            </w:r>
            <w:r>
              <w:t>/</w:t>
            </w:r>
            <w:r w:rsidRPr="00BC6F10">
              <w:t>MICS</w:t>
            </w:r>
            <w:r>
              <w:t xml:space="preserve"> </w:t>
            </w:r>
          </w:p>
        </w:tc>
        <w:tc>
          <w:tcPr>
            <w:tcW w:w="0" w:type="auto"/>
          </w:tcPr>
          <w:p w14:paraId="362CF055" w14:textId="009E962B"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1-</w:t>
            </w:r>
            <w:r w:rsidR="002C5B88">
              <w:rPr>
                <w:rFonts w:ascii="Tw Cen MT Condensed" w:hAnsi="Tw Cen MT Condensed"/>
                <w:sz w:val="20"/>
                <w:szCs w:val="20"/>
              </w:rPr>
              <w:t>17</w:t>
            </w:r>
          </w:p>
          <w:p w14:paraId="750CCE5C"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07558554" w14:textId="554D3ED2"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w:t>
            </w:r>
            <w:r w:rsidR="002C5B88">
              <w:rPr>
                <w:rFonts w:ascii="Tw Cen MT Condensed" w:hAnsi="Tw Cen MT Condensed"/>
                <w:sz w:val="20"/>
                <w:szCs w:val="20"/>
              </w:rPr>
              <w:t xml:space="preserve"> High/Medium/Low</w:t>
            </w:r>
          </w:p>
          <w:p w14:paraId="76E89C30" w14:textId="0F6FDEBA"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Place of residence</w:t>
            </w:r>
            <w:r w:rsidR="002C5B88">
              <w:rPr>
                <w:rFonts w:ascii="Tw Cen MT Condensed" w:hAnsi="Tw Cen MT Condensed"/>
                <w:sz w:val="20"/>
                <w:szCs w:val="20"/>
              </w:rPr>
              <w:t>: Urban/Rural</w:t>
            </w:r>
          </w:p>
          <w:p w14:paraId="54BCD1E0" w14:textId="51C0304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Geographic location</w:t>
            </w:r>
            <w:r w:rsidR="002C5B88">
              <w:rPr>
                <w:rFonts w:ascii="Tw Cen MT Condensed" w:hAnsi="Tw Cen MT Condensed"/>
                <w:sz w:val="20"/>
                <w:szCs w:val="20"/>
              </w:rPr>
              <w:t>: Division</w:t>
            </w:r>
          </w:p>
          <w:p w14:paraId="6ACC62B4" w14:textId="77777777" w:rsidR="00BD06C4" w:rsidRDefault="00BD06C4" w:rsidP="00BD06C4">
            <w:pPr>
              <w:ind w:left="970" w:hanging="970"/>
              <w:jc w:val="both"/>
              <w:rPr>
                <w:color w:val="0070C0"/>
                <w:sz w:val="30"/>
                <w:szCs w:val="30"/>
              </w:rPr>
            </w:pPr>
          </w:p>
        </w:tc>
        <w:tc>
          <w:tcPr>
            <w:tcW w:w="0" w:type="auto"/>
          </w:tcPr>
          <w:p w14:paraId="3DF3758C" w14:textId="77777777" w:rsidR="00BD06C4" w:rsidRDefault="00BD06C4" w:rsidP="00BD06C4">
            <w:pPr>
              <w:ind w:left="970" w:hanging="970"/>
              <w:jc w:val="both"/>
              <w:rPr>
                <w:color w:val="0070C0"/>
                <w:sz w:val="30"/>
                <w:szCs w:val="30"/>
              </w:rPr>
            </w:pPr>
            <w:r w:rsidRPr="008C500F">
              <w:rPr>
                <w:szCs w:val="26"/>
              </w:rPr>
              <w:t>Triennial</w:t>
            </w:r>
          </w:p>
        </w:tc>
        <w:tc>
          <w:tcPr>
            <w:tcW w:w="0" w:type="auto"/>
          </w:tcPr>
          <w:p w14:paraId="3FF153E7" w14:textId="77777777" w:rsidR="00BD06C4" w:rsidRDefault="00BD06C4" w:rsidP="00BD06C4">
            <w:pPr>
              <w:ind w:left="970" w:hanging="970"/>
              <w:jc w:val="both"/>
              <w:rPr>
                <w:color w:val="0070C0"/>
                <w:sz w:val="30"/>
                <w:szCs w:val="30"/>
              </w:rPr>
            </w:pPr>
            <w:r>
              <w:t>Group 1</w:t>
            </w:r>
          </w:p>
        </w:tc>
        <w:tc>
          <w:tcPr>
            <w:tcW w:w="0" w:type="auto"/>
          </w:tcPr>
          <w:p w14:paraId="097571B6" w14:textId="77777777" w:rsidR="00BD06C4" w:rsidRDefault="00BD06C4" w:rsidP="00BD06C4">
            <w:pPr>
              <w:pStyle w:val="NoSpacing"/>
            </w:pPr>
            <w:r>
              <w:t>1</w:t>
            </w:r>
            <w:r w:rsidRPr="00013ACB">
              <w:rPr>
                <w:vertAlign w:val="superscript"/>
              </w:rPr>
              <w:t>st</w:t>
            </w:r>
            <w:r>
              <w:t xml:space="preserve"> Round:</w:t>
            </w:r>
          </w:p>
          <w:p w14:paraId="79980EAF" w14:textId="77777777" w:rsidR="00BD06C4" w:rsidRDefault="00BD06C4" w:rsidP="00BD06C4">
            <w:pPr>
              <w:pStyle w:val="NoSpacing"/>
            </w:pPr>
            <w:r>
              <w:t>2013</w:t>
            </w:r>
          </w:p>
          <w:p w14:paraId="597838EC" w14:textId="77777777" w:rsidR="00BD06C4" w:rsidRDefault="00BD06C4" w:rsidP="00BD06C4">
            <w:pPr>
              <w:pStyle w:val="NoSpacing"/>
            </w:pPr>
          </w:p>
          <w:p w14:paraId="742C9E8E" w14:textId="77777777" w:rsidR="00BD06C4" w:rsidRDefault="00BD06C4" w:rsidP="00BD06C4">
            <w:pPr>
              <w:pStyle w:val="NoSpacing"/>
            </w:pPr>
            <w:r>
              <w:t>2</w:t>
            </w:r>
            <w:r w:rsidRPr="00013ACB">
              <w:rPr>
                <w:vertAlign w:val="superscript"/>
              </w:rPr>
              <w:t>nd</w:t>
            </w:r>
            <w:r>
              <w:t xml:space="preserve"> Round:</w:t>
            </w:r>
          </w:p>
          <w:p w14:paraId="6ECBB235" w14:textId="77777777" w:rsidR="00BD06C4" w:rsidRDefault="00BD06C4" w:rsidP="00BD06C4">
            <w:pPr>
              <w:pStyle w:val="NoSpacing"/>
            </w:pPr>
            <w:r>
              <w:t xml:space="preserve"> July, 2019</w:t>
            </w:r>
          </w:p>
          <w:p w14:paraId="17808894" w14:textId="77777777" w:rsidR="00BD06C4" w:rsidRDefault="00BD06C4" w:rsidP="00BD06C4">
            <w:pPr>
              <w:pStyle w:val="NoSpacing"/>
            </w:pPr>
          </w:p>
          <w:p w14:paraId="390449D7" w14:textId="77777777" w:rsidR="00BD06C4" w:rsidRDefault="00BD06C4" w:rsidP="00BD06C4">
            <w:pPr>
              <w:pStyle w:val="NoSpacing"/>
            </w:pPr>
            <w:r>
              <w:t>3</w:t>
            </w:r>
            <w:r w:rsidRPr="00013ACB">
              <w:rPr>
                <w:vertAlign w:val="superscript"/>
              </w:rPr>
              <w:t>rd</w:t>
            </w:r>
            <w:r>
              <w:t xml:space="preserve"> Round: </w:t>
            </w:r>
          </w:p>
          <w:p w14:paraId="7491A028" w14:textId="77777777" w:rsidR="00BD06C4" w:rsidRDefault="00BD06C4" w:rsidP="00BD06C4">
            <w:pPr>
              <w:pStyle w:val="NoSpacing"/>
            </w:pPr>
            <w:r>
              <w:t>July, 2022</w:t>
            </w:r>
          </w:p>
          <w:p w14:paraId="11BA23AF" w14:textId="77777777" w:rsidR="00BD06C4" w:rsidRDefault="00BD06C4" w:rsidP="00BD06C4">
            <w:pPr>
              <w:pStyle w:val="NoSpacing"/>
            </w:pPr>
          </w:p>
          <w:p w14:paraId="2CF79B82" w14:textId="77777777" w:rsidR="00BD06C4" w:rsidRDefault="00BD06C4" w:rsidP="00BD06C4">
            <w:pPr>
              <w:pStyle w:val="NoSpacing"/>
            </w:pPr>
            <w:r>
              <w:t>4</w:t>
            </w:r>
            <w:r w:rsidRPr="00013ACB">
              <w:rPr>
                <w:vertAlign w:val="superscript"/>
              </w:rPr>
              <w:t>th</w:t>
            </w:r>
            <w:r>
              <w:t xml:space="preserve"> Round: </w:t>
            </w:r>
          </w:p>
          <w:p w14:paraId="3215A724" w14:textId="77777777" w:rsidR="00BD06C4" w:rsidRDefault="00BD06C4" w:rsidP="00BD06C4">
            <w:pPr>
              <w:pStyle w:val="NoSpacing"/>
            </w:pPr>
            <w:r>
              <w:t>July, 2025</w:t>
            </w:r>
          </w:p>
          <w:p w14:paraId="03B9CC8D" w14:textId="77777777" w:rsidR="00BD06C4" w:rsidRDefault="00BD06C4" w:rsidP="00BD06C4">
            <w:pPr>
              <w:pStyle w:val="NoSpacing"/>
            </w:pPr>
          </w:p>
          <w:p w14:paraId="09E8E0BE" w14:textId="77777777" w:rsidR="00BD06C4" w:rsidRDefault="00BD06C4" w:rsidP="00BD06C4">
            <w:pPr>
              <w:pStyle w:val="NoSpacing"/>
            </w:pPr>
            <w:r>
              <w:t>5</w:t>
            </w:r>
            <w:r w:rsidRPr="00013ACB">
              <w:rPr>
                <w:vertAlign w:val="superscript"/>
              </w:rPr>
              <w:t>th</w:t>
            </w:r>
            <w:r>
              <w:t xml:space="preserve"> Round: </w:t>
            </w:r>
          </w:p>
          <w:p w14:paraId="4602903F" w14:textId="77777777" w:rsidR="00BD06C4" w:rsidRDefault="00BD06C4" w:rsidP="00BD06C4">
            <w:pPr>
              <w:pStyle w:val="NoSpacing"/>
            </w:pPr>
            <w:r>
              <w:t>July, 2028</w:t>
            </w:r>
          </w:p>
          <w:p w14:paraId="282C88CE" w14:textId="572E62B5" w:rsidR="00BD06C4" w:rsidRDefault="00BD06C4" w:rsidP="00BD06C4">
            <w:pPr>
              <w:pStyle w:val="NoSpacing"/>
            </w:pPr>
          </w:p>
        </w:tc>
        <w:tc>
          <w:tcPr>
            <w:tcW w:w="0" w:type="auto"/>
          </w:tcPr>
          <w:p w14:paraId="4F89100A" w14:textId="77777777" w:rsidR="00BD06C4" w:rsidRPr="00D200E9" w:rsidRDefault="00BD06C4" w:rsidP="00BD06C4">
            <w:pPr>
              <w:spacing w:line="276" w:lineRule="auto"/>
              <w:rPr>
                <w:sz w:val="16"/>
                <w:szCs w:val="16"/>
              </w:rPr>
            </w:pPr>
            <w:r w:rsidRPr="00D200E9">
              <w:rPr>
                <w:sz w:val="16"/>
                <w:szCs w:val="16"/>
              </w:rPr>
              <w:t>Fully compliant with the Paris Principles: 79</w:t>
            </w:r>
          </w:p>
          <w:p w14:paraId="58393B3B" w14:textId="77777777" w:rsidR="00BD06C4" w:rsidRPr="00D200E9" w:rsidRDefault="00BD06C4" w:rsidP="00BD06C4">
            <w:pPr>
              <w:spacing w:line="276" w:lineRule="auto"/>
              <w:rPr>
                <w:sz w:val="16"/>
                <w:szCs w:val="16"/>
              </w:rPr>
            </w:pPr>
          </w:p>
          <w:p w14:paraId="26A219FB" w14:textId="77777777" w:rsidR="00BD06C4" w:rsidRPr="00D200E9" w:rsidRDefault="00BD06C4" w:rsidP="00BD06C4">
            <w:pPr>
              <w:spacing w:line="276" w:lineRule="auto"/>
              <w:rPr>
                <w:sz w:val="16"/>
                <w:szCs w:val="16"/>
              </w:rPr>
            </w:pPr>
            <w:r w:rsidRPr="00D200E9">
              <w:rPr>
                <w:sz w:val="16"/>
                <w:szCs w:val="16"/>
              </w:rPr>
              <w:t>Partially compliant with the Paris Principles: 33 (including Bangladesh)</w:t>
            </w:r>
          </w:p>
          <w:p w14:paraId="33CB79F7" w14:textId="77777777" w:rsidR="00BD06C4" w:rsidRPr="00D200E9" w:rsidRDefault="00BD06C4" w:rsidP="00BD06C4">
            <w:pPr>
              <w:spacing w:line="276" w:lineRule="auto"/>
              <w:rPr>
                <w:sz w:val="16"/>
                <w:szCs w:val="16"/>
              </w:rPr>
            </w:pPr>
          </w:p>
          <w:p w14:paraId="2012D305" w14:textId="77777777" w:rsidR="00BD06C4" w:rsidRDefault="00BD06C4" w:rsidP="00BD06C4">
            <w:pPr>
              <w:pStyle w:val="NoSpacing"/>
            </w:pPr>
            <w:r w:rsidRPr="00D200E9">
              <w:rPr>
                <w:sz w:val="16"/>
                <w:szCs w:val="16"/>
              </w:rPr>
              <w:t>Non-compliance with the Paris Principles: 10</w:t>
            </w:r>
          </w:p>
        </w:tc>
      </w:tr>
      <w:tr w:rsidR="00BD06C4" w14:paraId="642FF62C" w14:textId="77777777" w:rsidTr="00A64F0D">
        <w:tc>
          <w:tcPr>
            <w:tcW w:w="0" w:type="auto"/>
          </w:tcPr>
          <w:p w14:paraId="74A626D9" w14:textId="77777777" w:rsidR="00BD06C4" w:rsidRDefault="00BD06C4" w:rsidP="00BD06C4">
            <w:pPr>
              <w:pStyle w:val="NoSpacing"/>
            </w:pPr>
            <w:r w:rsidRPr="00BA046C">
              <w:lastRenderedPageBreak/>
              <w:t>16.2.2 Number of victims of human trafficking per 100,000 population, by sex, age and form of exploitation</w:t>
            </w:r>
          </w:p>
        </w:tc>
        <w:tc>
          <w:tcPr>
            <w:tcW w:w="0" w:type="auto"/>
          </w:tcPr>
          <w:p w14:paraId="252D49AC" w14:textId="77777777" w:rsidR="00BD06C4" w:rsidRDefault="00BD06C4" w:rsidP="00BD06C4">
            <w:pPr>
              <w:pStyle w:val="NoSpacing"/>
            </w:pPr>
            <w:r w:rsidRPr="007145C8">
              <w:t>UNODC</w:t>
            </w:r>
          </w:p>
          <w:p w14:paraId="55700242" w14:textId="77777777" w:rsidR="00BD06C4" w:rsidRDefault="00BD06C4" w:rsidP="00BD06C4">
            <w:pPr>
              <w:rPr>
                <w:b/>
                <w:bCs/>
                <w:szCs w:val="20"/>
              </w:rPr>
            </w:pPr>
            <w:r w:rsidRPr="007243FC">
              <w:rPr>
                <w:b/>
                <w:bCs/>
                <w:szCs w:val="20"/>
              </w:rPr>
              <w:t>Partner Agencies:</w:t>
            </w:r>
          </w:p>
          <w:p w14:paraId="45136F59" w14:textId="77777777" w:rsidR="00BD06C4" w:rsidRDefault="00BD06C4" w:rsidP="00BD06C4">
            <w:pPr>
              <w:pStyle w:val="NoSpacing"/>
            </w:pPr>
            <w:r w:rsidRPr="007145C8">
              <w:t>UNICEF</w:t>
            </w:r>
          </w:p>
        </w:tc>
        <w:tc>
          <w:tcPr>
            <w:tcW w:w="0" w:type="auto"/>
          </w:tcPr>
          <w:p w14:paraId="15A38D37" w14:textId="77777777" w:rsidR="00BD06C4" w:rsidRDefault="00BD06C4" w:rsidP="00BD06C4">
            <w:pPr>
              <w:ind w:left="970" w:hanging="970"/>
              <w:jc w:val="both"/>
              <w:rPr>
                <w:color w:val="0070C0"/>
                <w:sz w:val="30"/>
                <w:szCs w:val="30"/>
              </w:rPr>
            </w:pPr>
            <w:r w:rsidRPr="00666BAB">
              <w:t>Tier II</w:t>
            </w:r>
          </w:p>
        </w:tc>
        <w:tc>
          <w:tcPr>
            <w:tcW w:w="0" w:type="auto"/>
          </w:tcPr>
          <w:p w14:paraId="3E6D2F54" w14:textId="77777777" w:rsidR="00BD06C4" w:rsidRPr="00765837" w:rsidRDefault="00BD06C4" w:rsidP="00BD06C4">
            <w:pPr>
              <w:pStyle w:val="NoSpacing"/>
              <w:rPr>
                <w:lang w:val="en-GB"/>
              </w:rPr>
            </w:pPr>
            <w:r w:rsidRPr="00765837">
              <w:rPr>
                <w:b/>
                <w:bCs/>
                <w:lang w:val="en-GB"/>
              </w:rPr>
              <w:t>Definition:</w:t>
            </w:r>
          </w:p>
          <w:p w14:paraId="7DBD73C4" w14:textId="77777777" w:rsidR="00BD06C4" w:rsidRPr="00765837" w:rsidRDefault="00BD06C4" w:rsidP="00BD06C4">
            <w:pPr>
              <w:pStyle w:val="NoSpacing"/>
              <w:rPr>
                <w:lang w:val="en-GB"/>
              </w:rPr>
            </w:pPr>
          </w:p>
          <w:p w14:paraId="680F26A1" w14:textId="77777777" w:rsidR="00BD06C4" w:rsidRPr="00765837" w:rsidRDefault="00BD06C4" w:rsidP="00BD06C4">
            <w:pPr>
              <w:pStyle w:val="NoSpacing"/>
              <w:rPr>
                <w:lang w:val="en-GB"/>
              </w:rPr>
            </w:pPr>
            <w:r w:rsidRPr="00765837">
              <w:rPr>
                <w:lang w:val="en-GB"/>
              </w:rPr>
              <w:t>The indicator is defined as the ratio between the total number of victims of trafficking in persons detected or living in a country and the population resident in the country, expressed per 100,000 populations.</w:t>
            </w:r>
          </w:p>
          <w:p w14:paraId="2849D537" w14:textId="77777777" w:rsidR="00BD06C4" w:rsidRPr="00765837" w:rsidRDefault="00BD06C4" w:rsidP="00BD06C4">
            <w:pPr>
              <w:pStyle w:val="NoSpacing"/>
              <w:rPr>
                <w:lang w:val="en-GB"/>
              </w:rPr>
            </w:pPr>
          </w:p>
          <w:p w14:paraId="338579F2" w14:textId="77777777" w:rsidR="00BD06C4" w:rsidRPr="00765837" w:rsidRDefault="00BD06C4" w:rsidP="00BD06C4">
            <w:pPr>
              <w:pStyle w:val="NoSpacing"/>
              <w:rPr>
                <w:lang w:val="en-GB"/>
              </w:rPr>
            </w:pPr>
            <w:r w:rsidRPr="00765837">
              <w:rPr>
                <w:lang w:val="en-GB"/>
              </w:rPr>
              <w:t>According to Article 3, paragraph (a) of the UN Trafficking in Persons Protocol, trafficking in persons is defined as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22A40006" w14:textId="77777777" w:rsidR="00BD06C4" w:rsidRPr="00765837" w:rsidRDefault="00BD06C4" w:rsidP="00BD06C4">
            <w:pPr>
              <w:pStyle w:val="NoSpacing"/>
              <w:rPr>
                <w:lang w:val="en-GB"/>
              </w:rPr>
            </w:pPr>
          </w:p>
          <w:p w14:paraId="08A1A81F" w14:textId="77777777" w:rsidR="00BD06C4" w:rsidRPr="00765837" w:rsidRDefault="00BD06C4" w:rsidP="00BD06C4">
            <w:pPr>
              <w:pStyle w:val="NoSpacing"/>
              <w:rPr>
                <w:lang w:val="en-GB"/>
              </w:rPr>
            </w:pPr>
            <w:r w:rsidRPr="00765837">
              <w:rPr>
                <w:lang w:val="en-GB"/>
              </w:rPr>
              <w:t>Article 3, (b) states “the consent of a victim of trafficking in persons to the intended exploitation set forth in subparagraph (a) of this article shall be irrelevant where any of the means set forth in subparagraph (a) have been used”;</w:t>
            </w:r>
          </w:p>
          <w:p w14:paraId="3CBB5ABE" w14:textId="77777777" w:rsidR="00BD06C4" w:rsidRPr="00765837" w:rsidRDefault="00BD06C4" w:rsidP="00BD06C4">
            <w:pPr>
              <w:pStyle w:val="NoSpacing"/>
              <w:rPr>
                <w:lang w:val="en-GB"/>
              </w:rPr>
            </w:pPr>
          </w:p>
          <w:p w14:paraId="7A950EAD" w14:textId="77777777" w:rsidR="00BD06C4" w:rsidRPr="00765837" w:rsidRDefault="00BD06C4" w:rsidP="00BD06C4">
            <w:pPr>
              <w:pStyle w:val="NoSpacing"/>
              <w:rPr>
                <w:lang w:val="en-GB"/>
              </w:rPr>
            </w:pPr>
            <w:r w:rsidRPr="00765837">
              <w:rPr>
                <w:lang w:val="en-GB"/>
              </w:rPr>
              <w:t>Article 3, (c) states “the recruitment, transportation, transfer, harbouring or receipt of a child for the purpose of exploitation shall be considered trafficking in persons even if this does not involve any of the means set forth in subparagraph (a);"</w:t>
            </w:r>
          </w:p>
          <w:p w14:paraId="4360F304" w14:textId="77777777" w:rsidR="00BD06C4" w:rsidRPr="00765837" w:rsidRDefault="00BD06C4" w:rsidP="00BD06C4">
            <w:pPr>
              <w:pStyle w:val="NoSpacing"/>
              <w:rPr>
                <w:lang w:val="en-GB"/>
              </w:rPr>
            </w:pPr>
          </w:p>
          <w:p w14:paraId="7957B724" w14:textId="77777777" w:rsidR="00BD06C4" w:rsidRPr="00765837" w:rsidRDefault="00BD06C4" w:rsidP="00BD06C4">
            <w:pPr>
              <w:pStyle w:val="NoSpacing"/>
              <w:rPr>
                <w:lang w:val="en-GB"/>
              </w:rPr>
            </w:pPr>
            <w:r w:rsidRPr="00765837">
              <w:rPr>
                <w:b/>
                <w:bCs/>
                <w:lang w:val="en-GB"/>
              </w:rPr>
              <w:t>Concepts:</w:t>
            </w:r>
          </w:p>
          <w:p w14:paraId="3519E65A" w14:textId="77777777" w:rsidR="00BD06C4" w:rsidRPr="00765837" w:rsidRDefault="00BD06C4" w:rsidP="00BD06C4">
            <w:pPr>
              <w:pStyle w:val="NoSpacing"/>
              <w:rPr>
                <w:lang w:val="en-GB"/>
              </w:rPr>
            </w:pPr>
          </w:p>
          <w:p w14:paraId="3DA6D15A" w14:textId="77777777" w:rsidR="00BD06C4" w:rsidRPr="00765837" w:rsidRDefault="00BD06C4" w:rsidP="00BD06C4">
            <w:pPr>
              <w:pStyle w:val="NoSpacing"/>
              <w:rPr>
                <w:lang w:val="en-GB"/>
              </w:rPr>
            </w:pPr>
            <w:r w:rsidRPr="00765837">
              <w:rPr>
                <w:lang w:val="en-GB"/>
              </w:rPr>
              <w:t>According to the definition given in the Trafficking in Persons Protocol, trafficking in persons has three constituent elements; The Act (Recruitment, transportation, transfer, harbouring or receipt of persons), the Means</w:t>
            </w:r>
          </w:p>
          <w:p w14:paraId="43BA4E8D" w14:textId="77777777" w:rsidR="00BD06C4" w:rsidRPr="00765837" w:rsidRDefault="00BD06C4" w:rsidP="00BD06C4">
            <w:pPr>
              <w:pStyle w:val="NoSpacing"/>
              <w:rPr>
                <w:lang w:val="en-GB"/>
              </w:rPr>
            </w:pPr>
          </w:p>
          <w:p w14:paraId="5D643D6E" w14:textId="77777777" w:rsidR="00BD06C4" w:rsidRPr="00765837" w:rsidRDefault="00BD06C4" w:rsidP="00BD06C4">
            <w:pPr>
              <w:pStyle w:val="NoSpacing"/>
              <w:rPr>
                <w:lang w:val="en-GB"/>
              </w:rPr>
            </w:pPr>
            <w:r w:rsidRPr="00765837">
              <w:rPr>
                <w:lang w:val="en-GB"/>
              </w:rPr>
              <w:lastRenderedPageBreak/>
              <w:t>(Threat or use of force, coercion, abduction, fraud, deception, abuse of power or of a position of vulnerability, or giving payments or benefits to a person in control over another person) and the Purpose (at minimum exploiting the prostitution of others, sexual exploitation, forced labour, slavery or similar practices and the removal of organs).</w:t>
            </w:r>
          </w:p>
          <w:p w14:paraId="6995865E" w14:textId="77777777" w:rsidR="00BD06C4" w:rsidRPr="00765837" w:rsidRDefault="00BD06C4" w:rsidP="00BD06C4">
            <w:pPr>
              <w:pStyle w:val="NoSpacing"/>
              <w:rPr>
                <w:lang w:val="en-GB"/>
              </w:rPr>
            </w:pPr>
          </w:p>
          <w:p w14:paraId="2850A316" w14:textId="77777777" w:rsidR="00BD06C4" w:rsidRPr="00765837" w:rsidRDefault="00BD06C4" w:rsidP="00BD06C4">
            <w:pPr>
              <w:pStyle w:val="NoSpacing"/>
              <w:rPr>
                <w:lang w:val="en-GB"/>
              </w:rPr>
            </w:pPr>
            <w:r w:rsidRPr="00765837">
              <w:rPr>
                <w:lang w:val="en-GB"/>
              </w:rPr>
              <w:t>The definition implies that the exploitation does not need to be in place, as the intention by traffickers to exploit the victim is sufficient to define a trafficking offence. Furthermore, the list of exploitative forms is not limited, which means that other forms of exploitation may emerge and they could be considered to represent additional forms of trafficking offences.</w:t>
            </w:r>
          </w:p>
          <w:p w14:paraId="388D3BCA" w14:textId="77777777" w:rsidR="00BD06C4" w:rsidRPr="00765837" w:rsidRDefault="00BD06C4" w:rsidP="00BD06C4">
            <w:pPr>
              <w:pStyle w:val="NoSpacing"/>
              <w:rPr>
                <w:lang w:val="en-GB"/>
              </w:rPr>
            </w:pPr>
          </w:p>
          <w:p w14:paraId="1D3B8216" w14:textId="77777777" w:rsidR="00BD06C4" w:rsidRPr="00765837" w:rsidRDefault="00BD06C4" w:rsidP="00BD06C4">
            <w:pPr>
              <w:pStyle w:val="NoSpacing"/>
              <w:rPr>
                <w:lang w:val="en-GB"/>
              </w:rPr>
            </w:pPr>
            <w:r w:rsidRPr="00765837">
              <w:rPr>
                <w:b/>
                <w:bCs/>
                <w:lang w:val="en-GB"/>
              </w:rPr>
              <w:t>Comments and limitations:</w:t>
            </w:r>
          </w:p>
          <w:p w14:paraId="0EFA4755" w14:textId="77777777" w:rsidR="00BD06C4" w:rsidRPr="00765837" w:rsidRDefault="00BD06C4" w:rsidP="00BD06C4">
            <w:pPr>
              <w:pStyle w:val="NoSpacing"/>
              <w:rPr>
                <w:lang w:val="en-GB"/>
              </w:rPr>
            </w:pPr>
          </w:p>
          <w:p w14:paraId="328F4A57" w14:textId="77777777" w:rsidR="00BD06C4" w:rsidRPr="00765837" w:rsidRDefault="00BD06C4" w:rsidP="00BD06C4">
            <w:pPr>
              <w:pStyle w:val="NoSpacing"/>
              <w:rPr>
                <w:lang w:val="en-GB"/>
              </w:rPr>
            </w:pPr>
            <w:r w:rsidRPr="00765837">
              <w:rPr>
                <w:lang w:val="en-GB"/>
              </w:rPr>
              <w:t xml:space="preserve">The count of detected victims of trafficking has the benefit of referring to victims as defined by the UN Protocol where the act, the mean and the purpose of trafficking have been identified by the national authorities. However it does not cover the dark number of crime, i.e. the number of victims </w:t>
            </w:r>
            <w:proofErr w:type="gramStart"/>
            <w:r w:rsidRPr="00765837">
              <w:rPr>
                <w:lang w:val="en-GB"/>
              </w:rPr>
              <w:t>non</w:t>
            </w:r>
            <w:proofErr w:type="gramEnd"/>
            <w:r w:rsidRPr="00765837">
              <w:rPr>
                <w:lang w:val="en-GB"/>
              </w:rPr>
              <w:t xml:space="preserve"> detected by the authorities. While information on detected victims can provide valuable information to monitor sex and age profile of detected victims, as well as on forms of exploitation ,trafficking flows, the number of detected victims per se doesn’t monitor the level of trafficking of persons so interpretation of trends should be done with caution, as changes in detected victims of trafficking can be due to multiple factors such as intensity of trafficking flows but also to changes of law enforcement practices, changes in legislation, or changes in victims attitudes,.</w:t>
            </w:r>
          </w:p>
          <w:p w14:paraId="3E23C9DE" w14:textId="77777777" w:rsidR="00BD06C4" w:rsidRPr="00765837" w:rsidRDefault="00BD06C4" w:rsidP="00BD06C4">
            <w:pPr>
              <w:pStyle w:val="NoSpacing"/>
              <w:rPr>
                <w:b/>
                <w:bCs/>
                <w:lang w:val="en-GB"/>
              </w:rPr>
            </w:pPr>
          </w:p>
          <w:p w14:paraId="7E041074" w14:textId="77777777" w:rsidR="00BD06C4" w:rsidRPr="00765837" w:rsidRDefault="00BD06C4" w:rsidP="00BD06C4">
            <w:pPr>
              <w:pStyle w:val="NoSpacing"/>
              <w:rPr>
                <w:lang w:val="en-GB"/>
              </w:rPr>
            </w:pPr>
            <w:r w:rsidRPr="00765837">
              <w:rPr>
                <w:b/>
                <w:bCs/>
                <w:lang w:val="en-GB"/>
              </w:rPr>
              <w:t>Computation Method:</w:t>
            </w:r>
          </w:p>
          <w:p w14:paraId="7CF824ED" w14:textId="77777777" w:rsidR="00BD06C4" w:rsidRPr="00765837" w:rsidRDefault="00BD06C4" w:rsidP="00BD06C4">
            <w:pPr>
              <w:pStyle w:val="NoSpacing"/>
              <w:rPr>
                <w:lang w:val="en-GB"/>
              </w:rPr>
            </w:pPr>
          </w:p>
          <w:p w14:paraId="56ADA2CA" w14:textId="77777777" w:rsidR="00BD06C4" w:rsidRPr="00765837" w:rsidRDefault="00BD06C4" w:rsidP="00BD06C4">
            <w:pPr>
              <w:pStyle w:val="NoSpacing"/>
              <w:rPr>
                <w:lang w:val="en-GB"/>
              </w:rPr>
            </w:pPr>
            <w:r w:rsidRPr="00765837">
              <w:rPr>
                <w:lang w:val="en-GB"/>
              </w:rPr>
              <w:t>This numerator of this indicator is composed of two parts: detected and undetected victims of trafficking in persons. The detected part of trafficking victims, as resulting from investigation and prosecution activities of criminal justice system, is counted and reported by national law enforcement authorities.</w:t>
            </w:r>
          </w:p>
          <w:p w14:paraId="5E4B019D" w14:textId="77777777" w:rsidR="00BD06C4" w:rsidRPr="00765837" w:rsidRDefault="00BD06C4" w:rsidP="00BD06C4">
            <w:pPr>
              <w:pStyle w:val="NoSpacing"/>
              <w:rPr>
                <w:lang w:val="en-GB"/>
              </w:rPr>
            </w:pPr>
          </w:p>
          <w:p w14:paraId="7E89C2E4" w14:textId="77777777" w:rsidR="00BD06C4" w:rsidRPr="00765837" w:rsidRDefault="00BD06C4" w:rsidP="00BD06C4">
            <w:pPr>
              <w:pStyle w:val="NoSpacing"/>
              <w:rPr>
                <w:lang w:val="en-GB"/>
              </w:rPr>
            </w:pPr>
            <w:r w:rsidRPr="00765837">
              <w:rPr>
                <w:lang w:val="en-GB"/>
              </w:rPr>
              <w:t xml:space="preserve">Methodology to estimate the number of undetected victims of trafficking in persons is under development: some methods have been </w:t>
            </w:r>
            <w:proofErr w:type="gramStart"/>
            <w:r w:rsidRPr="00765837">
              <w:rPr>
                <w:lang w:val="en-GB"/>
              </w:rPr>
              <w:t>identified ,</w:t>
            </w:r>
            <w:proofErr w:type="gramEnd"/>
            <w:r w:rsidRPr="00765837">
              <w:rPr>
                <w:lang w:val="en-GB"/>
              </w:rPr>
              <w:t xml:space="preserve"> but further testing is needed to produce a consolidated and agreed upon approach. The method to estimate undetected victims will have to allow the estimation of </w:t>
            </w:r>
            <w:proofErr w:type="gramStart"/>
            <w:r w:rsidRPr="00765837">
              <w:rPr>
                <w:lang w:val="en-GB"/>
              </w:rPr>
              <w:t>victims</w:t>
            </w:r>
            <w:proofErr w:type="gramEnd"/>
            <w:r w:rsidRPr="00765837">
              <w:rPr>
                <w:lang w:val="en-GB"/>
              </w:rPr>
              <w:t xml:space="preserve"> characteristics (sex and age) and the forms of exploitation suffered.</w:t>
            </w:r>
          </w:p>
          <w:p w14:paraId="0606A363" w14:textId="77777777" w:rsidR="00BD06C4" w:rsidRPr="00765837" w:rsidRDefault="00BD06C4" w:rsidP="00BD06C4">
            <w:pPr>
              <w:pStyle w:val="NoSpacing"/>
              <w:rPr>
                <w:lang w:val="en-GB"/>
              </w:rPr>
            </w:pPr>
          </w:p>
          <w:p w14:paraId="47B6B87F" w14:textId="77777777" w:rsidR="00BD06C4" w:rsidRPr="00765837" w:rsidRDefault="00BD06C4" w:rsidP="00BD06C4">
            <w:pPr>
              <w:pStyle w:val="NoSpacing"/>
              <w:rPr>
                <w:lang w:val="en-GB"/>
              </w:rPr>
            </w:pPr>
            <w:r w:rsidRPr="00765837">
              <w:rPr>
                <w:lang w:val="en-GB"/>
              </w:rPr>
              <w:t>The indicator will be calculated as the ratio between the sum of detected and undetected victims of trafficking and the population resident in the country, multiplied by 100,000</w:t>
            </w:r>
          </w:p>
          <w:p w14:paraId="47D0CE6E" w14:textId="77777777" w:rsidR="00BD06C4" w:rsidRDefault="00BD06C4" w:rsidP="00BD06C4">
            <w:pPr>
              <w:pStyle w:val="NoSpacing"/>
            </w:pPr>
          </w:p>
        </w:tc>
        <w:tc>
          <w:tcPr>
            <w:tcW w:w="0" w:type="auto"/>
          </w:tcPr>
          <w:p w14:paraId="308C3A30" w14:textId="77777777" w:rsidR="00BD06C4" w:rsidRPr="00873FDE" w:rsidRDefault="00BD06C4" w:rsidP="00BD06C4">
            <w:pPr>
              <w:pStyle w:val="NoSpacing"/>
            </w:pPr>
            <w:r w:rsidRPr="00873FDE">
              <w:lastRenderedPageBreak/>
              <w:t>UNODC collects data from national authorities competent in detecting victims of trafficking through a common questionnaire. Once consolidated, before publication data are shared with countries to check their accuracy.</w:t>
            </w:r>
          </w:p>
        </w:tc>
        <w:tc>
          <w:tcPr>
            <w:tcW w:w="0" w:type="auto"/>
          </w:tcPr>
          <w:p w14:paraId="0EA11051" w14:textId="77777777" w:rsidR="00BD06C4" w:rsidRPr="00873FDE" w:rsidRDefault="00BD06C4" w:rsidP="00BD06C4">
            <w:pPr>
              <w:pStyle w:val="NoSpacing"/>
            </w:pPr>
            <w:r w:rsidRPr="00873FDE">
              <w:t>UNODC collects data from national authorities (normally designated by the Ministry of Foreign Affairs) competent in detecting victims of trafficking, either law enforcement institutions or national agencies responsible for assisting victims of trafficking</w:t>
            </w:r>
          </w:p>
        </w:tc>
        <w:tc>
          <w:tcPr>
            <w:tcW w:w="0" w:type="auto"/>
          </w:tcPr>
          <w:p w14:paraId="53FBB4D6" w14:textId="77777777" w:rsidR="00BD06C4" w:rsidRDefault="00BD06C4" w:rsidP="00BD06C4">
            <w:pPr>
              <w:pStyle w:val="NoSpacing"/>
            </w:pPr>
            <w:r w:rsidRPr="00BC6F10">
              <w:t>BP</w:t>
            </w:r>
          </w:p>
          <w:p w14:paraId="7A556588" w14:textId="77777777" w:rsidR="00BD06C4" w:rsidRPr="00BC6F10" w:rsidRDefault="00BD06C4" w:rsidP="00BD06C4">
            <w:pPr>
              <w:pStyle w:val="NoSpacing"/>
            </w:pPr>
            <w:r>
              <w:t>Administrative Data</w:t>
            </w:r>
          </w:p>
        </w:tc>
        <w:tc>
          <w:tcPr>
            <w:tcW w:w="0" w:type="auto"/>
          </w:tcPr>
          <w:p w14:paraId="392512E9" w14:textId="77777777" w:rsidR="00BD06C4" w:rsidRDefault="00BD06C4" w:rsidP="00BD06C4">
            <w:pPr>
              <w:pStyle w:val="NoSpacing"/>
            </w:pPr>
            <w:r>
              <w:t>BP, PSD</w:t>
            </w:r>
          </w:p>
          <w:p w14:paraId="5E533BE6" w14:textId="77777777" w:rsidR="00BD06C4" w:rsidRPr="00BC6F10" w:rsidRDefault="00BD06C4" w:rsidP="00BD06C4">
            <w:pPr>
              <w:pStyle w:val="NoSpacing"/>
            </w:pPr>
            <w:r>
              <w:t>Administrative Data</w:t>
            </w:r>
          </w:p>
        </w:tc>
        <w:tc>
          <w:tcPr>
            <w:tcW w:w="0" w:type="auto"/>
          </w:tcPr>
          <w:p w14:paraId="3A2DDCCB"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0C7C235A" w14:textId="6B9C87DB" w:rsidR="00BD06C4" w:rsidRPr="002C5B88" w:rsidRDefault="00BD06C4" w:rsidP="002C5B88">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w:t>
            </w:r>
            <w:r w:rsidR="002C5B88">
              <w:rPr>
                <w:rFonts w:ascii="Tw Cen MT Condensed" w:hAnsi="Tw Cen MT Condensed"/>
                <w:sz w:val="20"/>
                <w:szCs w:val="20"/>
              </w:rPr>
              <w:t>: 0-15 yrs, 16-24 yrs, 25-64 yrs, 64+ yrs</w:t>
            </w:r>
          </w:p>
          <w:p w14:paraId="1164F1BD"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form of exploitation</w:t>
            </w:r>
          </w:p>
          <w:p w14:paraId="689AA26B" w14:textId="77777777" w:rsidR="00BD06C4" w:rsidRDefault="00BD06C4" w:rsidP="00BD06C4">
            <w:pPr>
              <w:ind w:left="970" w:hanging="970"/>
              <w:jc w:val="both"/>
              <w:rPr>
                <w:color w:val="0070C0"/>
                <w:sz w:val="30"/>
                <w:szCs w:val="30"/>
              </w:rPr>
            </w:pPr>
          </w:p>
        </w:tc>
        <w:tc>
          <w:tcPr>
            <w:tcW w:w="0" w:type="auto"/>
          </w:tcPr>
          <w:p w14:paraId="0F55DD02" w14:textId="77777777" w:rsidR="00BD06C4" w:rsidRDefault="00BD06C4" w:rsidP="00BD06C4">
            <w:pPr>
              <w:ind w:left="970" w:hanging="970"/>
              <w:jc w:val="both"/>
              <w:rPr>
                <w:color w:val="0070C0"/>
                <w:sz w:val="30"/>
                <w:szCs w:val="30"/>
              </w:rPr>
            </w:pPr>
            <w:r>
              <w:t>Annual</w:t>
            </w:r>
          </w:p>
        </w:tc>
        <w:tc>
          <w:tcPr>
            <w:tcW w:w="0" w:type="auto"/>
          </w:tcPr>
          <w:p w14:paraId="6C0C4C0C" w14:textId="77777777" w:rsidR="00BD06C4" w:rsidRDefault="00BD06C4" w:rsidP="00BD06C4">
            <w:pPr>
              <w:ind w:left="970" w:hanging="970"/>
              <w:jc w:val="both"/>
              <w:rPr>
                <w:color w:val="0070C0"/>
                <w:sz w:val="30"/>
                <w:szCs w:val="30"/>
              </w:rPr>
            </w:pPr>
            <w:r>
              <w:t>Group 1</w:t>
            </w:r>
          </w:p>
        </w:tc>
        <w:tc>
          <w:tcPr>
            <w:tcW w:w="0" w:type="auto"/>
          </w:tcPr>
          <w:p w14:paraId="6A5D7384" w14:textId="77777777" w:rsidR="00BD06C4" w:rsidRDefault="00BD06C4" w:rsidP="00BD06C4">
            <w:pPr>
              <w:pStyle w:val="NoSpacing"/>
            </w:pPr>
          </w:p>
          <w:p w14:paraId="1E2582B8" w14:textId="77777777" w:rsidR="00BD06C4" w:rsidRDefault="00BD06C4" w:rsidP="00BD06C4">
            <w:pPr>
              <w:pStyle w:val="NoSpacing"/>
            </w:pPr>
            <w:r>
              <w:t>1</w:t>
            </w:r>
            <w:r w:rsidRPr="00013ACB">
              <w:rPr>
                <w:vertAlign w:val="superscript"/>
              </w:rPr>
              <w:t>st</w:t>
            </w:r>
            <w:r>
              <w:t xml:space="preserve"> Round:</w:t>
            </w:r>
          </w:p>
          <w:p w14:paraId="201498AC" w14:textId="77777777" w:rsidR="00BD06C4" w:rsidRDefault="00BD06C4" w:rsidP="00BD06C4">
            <w:pPr>
              <w:pStyle w:val="NoSpacing"/>
            </w:pPr>
            <w:r>
              <w:t>2015</w:t>
            </w:r>
          </w:p>
          <w:p w14:paraId="5131D16E" w14:textId="77777777" w:rsidR="00BD06C4" w:rsidRDefault="00BD06C4" w:rsidP="00BD06C4">
            <w:pPr>
              <w:pStyle w:val="NoSpacing"/>
            </w:pPr>
          </w:p>
          <w:p w14:paraId="7F3C45B8" w14:textId="77777777" w:rsidR="00BD06C4" w:rsidRDefault="00BD06C4" w:rsidP="00BD06C4">
            <w:pPr>
              <w:pStyle w:val="NoSpacing"/>
            </w:pPr>
            <w:r>
              <w:t>2</w:t>
            </w:r>
            <w:r w:rsidRPr="00013ACB">
              <w:rPr>
                <w:vertAlign w:val="superscript"/>
              </w:rPr>
              <w:t>nd</w:t>
            </w:r>
            <w:r>
              <w:t xml:space="preserve"> Round:</w:t>
            </w:r>
          </w:p>
          <w:p w14:paraId="464B9F1A" w14:textId="77777777" w:rsidR="00BD06C4" w:rsidRPr="00C3536E" w:rsidRDefault="00BD06C4" w:rsidP="00BD06C4">
            <w:pPr>
              <w:pStyle w:val="NoSpacing"/>
              <w:rPr>
                <w:b/>
              </w:rPr>
            </w:pPr>
            <w:r>
              <w:t xml:space="preserve"> </w:t>
            </w:r>
            <w:r w:rsidRPr="00C3536E">
              <w:t xml:space="preserve">December, </w:t>
            </w:r>
          </w:p>
          <w:p w14:paraId="5E237AA4" w14:textId="77777777" w:rsidR="00BD06C4" w:rsidRDefault="00BD06C4" w:rsidP="00BD06C4">
            <w:pPr>
              <w:pStyle w:val="NoSpacing"/>
            </w:pPr>
            <w:r w:rsidRPr="00C3536E">
              <w:t>2018</w:t>
            </w:r>
          </w:p>
          <w:p w14:paraId="1224C963" w14:textId="77777777" w:rsidR="00BD06C4" w:rsidRDefault="00BD06C4" w:rsidP="00BD06C4">
            <w:pPr>
              <w:pStyle w:val="NoSpacing"/>
            </w:pPr>
          </w:p>
          <w:p w14:paraId="284E8C58" w14:textId="77777777" w:rsidR="00BD06C4" w:rsidRDefault="00BD06C4" w:rsidP="00BD06C4">
            <w:pPr>
              <w:pStyle w:val="NoSpacing"/>
            </w:pPr>
            <w:r>
              <w:t>3</w:t>
            </w:r>
            <w:r w:rsidRPr="00013ACB">
              <w:rPr>
                <w:vertAlign w:val="superscript"/>
              </w:rPr>
              <w:t>rd</w:t>
            </w:r>
            <w:r>
              <w:t xml:space="preserve"> Round: </w:t>
            </w:r>
          </w:p>
          <w:p w14:paraId="686ADA57" w14:textId="77777777" w:rsidR="00BD06C4" w:rsidRPr="00C3536E" w:rsidRDefault="00BD06C4" w:rsidP="00BD06C4">
            <w:pPr>
              <w:pStyle w:val="NoSpacing"/>
              <w:rPr>
                <w:b/>
              </w:rPr>
            </w:pPr>
            <w:r w:rsidRPr="00C3536E">
              <w:t xml:space="preserve">December, </w:t>
            </w:r>
          </w:p>
          <w:p w14:paraId="66473BA8" w14:textId="77777777" w:rsidR="00BD06C4" w:rsidRDefault="00BD06C4" w:rsidP="00BD06C4">
            <w:pPr>
              <w:pStyle w:val="NoSpacing"/>
            </w:pPr>
            <w:r>
              <w:t>2019</w:t>
            </w:r>
          </w:p>
          <w:p w14:paraId="55C88621" w14:textId="77777777" w:rsidR="00BD06C4" w:rsidRDefault="00BD06C4" w:rsidP="00BD06C4">
            <w:pPr>
              <w:pStyle w:val="NoSpacing"/>
            </w:pPr>
          </w:p>
          <w:p w14:paraId="08CE81A0" w14:textId="77777777" w:rsidR="00BD06C4" w:rsidRDefault="00BD06C4" w:rsidP="00BD06C4">
            <w:pPr>
              <w:pStyle w:val="NoSpacing"/>
            </w:pPr>
            <w:r>
              <w:t>4</w:t>
            </w:r>
            <w:r w:rsidRPr="00013ACB">
              <w:rPr>
                <w:vertAlign w:val="superscript"/>
              </w:rPr>
              <w:t>th</w:t>
            </w:r>
            <w:r>
              <w:t xml:space="preserve"> Round: </w:t>
            </w:r>
          </w:p>
          <w:p w14:paraId="754F7E3C" w14:textId="77777777" w:rsidR="00BD06C4" w:rsidRPr="00C3536E" w:rsidRDefault="00BD06C4" w:rsidP="00BD06C4">
            <w:pPr>
              <w:pStyle w:val="NoSpacing"/>
              <w:rPr>
                <w:b/>
              </w:rPr>
            </w:pPr>
            <w:r w:rsidRPr="00C3536E">
              <w:t xml:space="preserve">December, </w:t>
            </w:r>
          </w:p>
          <w:p w14:paraId="05AABCF6" w14:textId="77777777" w:rsidR="00BD06C4" w:rsidRDefault="00BD06C4" w:rsidP="00BD06C4">
            <w:pPr>
              <w:pStyle w:val="NoSpacing"/>
            </w:pPr>
            <w:r>
              <w:t>2020</w:t>
            </w:r>
          </w:p>
          <w:p w14:paraId="021FD1E8" w14:textId="77777777" w:rsidR="00BD06C4" w:rsidRDefault="00BD06C4" w:rsidP="00BD06C4">
            <w:pPr>
              <w:pStyle w:val="NoSpacing"/>
            </w:pPr>
          </w:p>
          <w:p w14:paraId="19C46F06" w14:textId="77777777" w:rsidR="00BD06C4" w:rsidRDefault="00BD06C4" w:rsidP="00BD06C4">
            <w:pPr>
              <w:pStyle w:val="NoSpacing"/>
            </w:pPr>
            <w:r>
              <w:t>5</w:t>
            </w:r>
            <w:r w:rsidRPr="00013ACB">
              <w:rPr>
                <w:vertAlign w:val="superscript"/>
              </w:rPr>
              <w:t>th</w:t>
            </w:r>
            <w:r>
              <w:t xml:space="preserve"> Round: </w:t>
            </w:r>
          </w:p>
          <w:p w14:paraId="1FE4066F" w14:textId="77777777" w:rsidR="00BD06C4" w:rsidRPr="00C3536E" w:rsidRDefault="00BD06C4" w:rsidP="00BD06C4">
            <w:pPr>
              <w:pStyle w:val="NoSpacing"/>
              <w:rPr>
                <w:b/>
              </w:rPr>
            </w:pPr>
            <w:r w:rsidRPr="00C3536E">
              <w:lastRenderedPageBreak/>
              <w:t xml:space="preserve">December, </w:t>
            </w:r>
          </w:p>
          <w:p w14:paraId="09D7A539" w14:textId="77777777" w:rsidR="00BD06C4" w:rsidRDefault="00BD06C4" w:rsidP="00BD06C4">
            <w:pPr>
              <w:pStyle w:val="NoSpacing"/>
            </w:pPr>
            <w:r>
              <w:t>2021</w:t>
            </w:r>
          </w:p>
          <w:p w14:paraId="3DC5228C" w14:textId="3BB3CE3B" w:rsidR="00BD06C4" w:rsidRDefault="00BD06C4" w:rsidP="00BD06C4">
            <w:pPr>
              <w:pStyle w:val="NoSpacing"/>
            </w:pPr>
          </w:p>
        </w:tc>
        <w:tc>
          <w:tcPr>
            <w:tcW w:w="0" w:type="auto"/>
          </w:tcPr>
          <w:p w14:paraId="4ECB3152" w14:textId="77777777" w:rsidR="00BD06C4" w:rsidRDefault="00BD06C4" w:rsidP="00BD06C4">
            <w:pPr>
              <w:pStyle w:val="NoSpacing"/>
            </w:pPr>
            <w:r w:rsidRPr="00A41B47">
              <w:lastRenderedPageBreak/>
              <w:t>IAEG-SDG 3rd meeting: Lack of sufficient data coverage (classified as Tier II)</w:t>
            </w:r>
          </w:p>
        </w:tc>
      </w:tr>
      <w:tr w:rsidR="00BD06C4" w14:paraId="51ADFC0D" w14:textId="77777777" w:rsidTr="00A64F0D">
        <w:tc>
          <w:tcPr>
            <w:tcW w:w="0" w:type="auto"/>
          </w:tcPr>
          <w:p w14:paraId="1F03D898" w14:textId="77777777" w:rsidR="00BD06C4" w:rsidRDefault="00BD06C4" w:rsidP="00BD06C4">
            <w:pPr>
              <w:pStyle w:val="NoSpacing"/>
            </w:pPr>
            <w:r w:rsidRPr="00BA046C">
              <w:lastRenderedPageBreak/>
              <w:t xml:space="preserve">16.2.3 Proportion of young </w:t>
            </w:r>
            <w:r w:rsidRPr="00BA046C">
              <w:lastRenderedPageBreak/>
              <w:t>women and men aged 18–29 years who experienced sexual violence by age 18</w:t>
            </w:r>
          </w:p>
        </w:tc>
        <w:tc>
          <w:tcPr>
            <w:tcW w:w="0" w:type="auto"/>
          </w:tcPr>
          <w:p w14:paraId="7198F431" w14:textId="77777777" w:rsidR="00BD06C4" w:rsidRDefault="00BD06C4" w:rsidP="00BD06C4">
            <w:pPr>
              <w:pStyle w:val="NoSpacing"/>
            </w:pPr>
            <w:r w:rsidRPr="007145C8">
              <w:lastRenderedPageBreak/>
              <w:t>UNICEF</w:t>
            </w:r>
          </w:p>
          <w:p w14:paraId="13DCE5C1" w14:textId="77777777" w:rsidR="00BD06C4" w:rsidRDefault="00BD06C4" w:rsidP="00BD06C4">
            <w:pPr>
              <w:rPr>
                <w:b/>
                <w:bCs/>
                <w:szCs w:val="20"/>
              </w:rPr>
            </w:pPr>
            <w:r w:rsidRPr="007243FC">
              <w:rPr>
                <w:b/>
                <w:bCs/>
                <w:szCs w:val="20"/>
              </w:rPr>
              <w:t xml:space="preserve">Partner </w:t>
            </w:r>
            <w:r w:rsidRPr="007243FC">
              <w:rPr>
                <w:b/>
                <w:bCs/>
                <w:szCs w:val="20"/>
              </w:rPr>
              <w:lastRenderedPageBreak/>
              <w:t>Agencies:</w:t>
            </w:r>
          </w:p>
          <w:p w14:paraId="1C66CA99" w14:textId="77777777" w:rsidR="00BD06C4" w:rsidRDefault="00BD06C4" w:rsidP="00BD06C4">
            <w:pPr>
              <w:pStyle w:val="NoSpacing"/>
            </w:pPr>
            <w:r>
              <w:t xml:space="preserve">UNSD, </w:t>
            </w:r>
          </w:p>
          <w:p w14:paraId="2E770CE0" w14:textId="77777777" w:rsidR="00BD06C4" w:rsidRDefault="00BD06C4" w:rsidP="00BD06C4">
            <w:pPr>
              <w:pStyle w:val="NoSpacing"/>
            </w:pPr>
            <w:r>
              <w:t>UNODC</w:t>
            </w:r>
          </w:p>
        </w:tc>
        <w:tc>
          <w:tcPr>
            <w:tcW w:w="0" w:type="auto"/>
          </w:tcPr>
          <w:p w14:paraId="2835B72E" w14:textId="77777777" w:rsidR="00BD06C4" w:rsidRDefault="00BD06C4" w:rsidP="00BD06C4">
            <w:pPr>
              <w:ind w:left="970" w:hanging="970"/>
              <w:jc w:val="both"/>
              <w:rPr>
                <w:color w:val="0070C0"/>
                <w:sz w:val="30"/>
                <w:szCs w:val="30"/>
              </w:rPr>
            </w:pPr>
            <w:r w:rsidRPr="00666BAB">
              <w:lastRenderedPageBreak/>
              <w:t>Tier II</w:t>
            </w:r>
          </w:p>
        </w:tc>
        <w:tc>
          <w:tcPr>
            <w:tcW w:w="0" w:type="auto"/>
          </w:tcPr>
          <w:p w14:paraId="2FC13654" w14:textId="77777777" w:rsidR="00BD06C4" w:rsidRPr="00454838" w:rsidRDefault="00BD06C4" w:rsidP="00BD06C4">
            <w:pPr>
              <w:pStyle w:val="NoSpacing"/>
              <w:rPr>
                <w:lang w:val="en-GB"/>
              </w:rPr>
            </w:pPr>
            <w:r w:rsidRPr="00454838">
              <w:rPr>
                <w:b/>
                <w:bCs/>
                <w:lang w:val="en-GB"/>
              </w:rPr>
              <w:t>Definition:</w:t>
            </w:r>
          </w:p>
          <w:p w14:paraId="224E0D75" w14:textId="77777777" w:rsidR="00BD06C4" w:rsidRPr="00454838" w:rsidRDefault="00BD06C4" w:rsidP="00BD06C4">
            <w:pPr>
              <w:pStyle w:val="NoSpacing"/>
              <w:rPr>
                <w:lang w:val="en-GB"/>
              </w:rPr>
            </w:pPr>
          </w:p>
          <w:p w14:paraId="27670C49" w14:textId="77777777" w:rsidR="00BD06C4" w:rsidRPr="00454838" w:rsidRDefault="00BD06C4" w:rsidP="00BD06C4">
            <w:pPr>
              <w:pStyle w:val="NoSpacing"/>
              <w:rPr>
                <w:lang w:val="en-GB"/>
              </w:rPr>
            </w:pPr>
            <w:r w:rsidRPr="00454838">
              <w:rPr>
                <w:lang w:val="en-GB"/>
              </w:rPr>
              <w:t>Proportion of young women and men aged 18-29 years who experienced sexual violence by age 18</w:t>
            </w:r>
          </w:p>
          <w:p w14:paraId="374F0AA3" w14:textId="77777777" w:rsidR="00BD06C4" w:rsidRPr="00454838" w:rsidRDefault="00BD06C4" w:rsidP="00BD06C4">
            <w:pPr>
              <w:pStyle w:val="NoSpacing"/>
              <w:rPr>
                <w:lang w:val="en-GB"/>
              </w:rPr>
            </w:pPr>
            <w:r w:rsidRPr="00454838">
              <w:rPr>
                <w:b/>
                <w:bCs/>
                <w:lang w:val="en-GB"/>
              </w:rPr>
              <w:lastRenderedPageBreak/>
              <w:t>Concepts:</w:t>
            </w:r>
          </w:p>
          <w:p w14:paraId="6E57D8F1" w14:textId="77777777" w:rsidR="00BD06C4" w:rsidRPr="00454838" w:rsidRDefault="00BD06C4" w:rsidP="00BD06C4">
            <w:pPr>
              <w:pStyle w:val="NoSpacing"/>
              <w:rPr>
                <w:lang w:val="en-GB"/>
              </w:rPr>
            </w:pPr>
          </w:p>
          <w:p w14:paraId="3B2A8B90" w14:textId="77777777" w:rsidR="00BD06C4" w:rsidRPr="00454838" w:rsidRDefault="00BD06C4" w:rsidP="00BD06C4">
            <w:pPr>
              <w:pStyle w:val="NoSpacing"/>
              <w:rPr>
                <w:lang w:val="en-GB"/>
              </w:rPr>
            </w:pPr>
            <w:r w:rsidRPr="00454838">
              <w:rPr>
                <w:lang w:val="en-GB"/>
              </w:rPr>
              <w:t>Definition from General Comment No. 13 on the Convention of the Rights of the Child (CRC):</w:t>
            </w:r>
          </w:p>
          <w:p w14:paraId="6A38F072" w14:textId="77777777" w:rsidR="00BD06C4" w:rsidRPr="00454838" w:rsidRDefault="00BD06C4" w:rsidP="00BD06C4">
            <w:pPr>
              <w:pStyle w:val="NoSpacing"/>
              <w:rPr>
                <w:lang w:val="en-GB"/>
              </w:rPr>
            </w:pPr>
          </w:p>
          <w:p w14:paraId="256D3D27" w14:textId="77777777" w:rsidR="00BD06C4" w:rsidRPr="00454838" w:rsidRDefault="00BD06C4" w:rsidP="00BD06C4">
            <w:pPr>
              <w:pStyle w:val="NoSpacing"/>
              <w:rPr>
                <w:lang w:val="en-GB"/>
              </w:rPr>
            </w:pPr>
            <w:r w:rsidRPr="00454838">
              <w:rPr>
                <w:lang w:val="en-GB"/>
              </w:rPr>
              <w:t>Sexual violence comprises any sexual activities imposed by an adult on a child against which the child is entitled to protection by criminal law. This includes: (a) The inducement or coercion of a child to engage in any unlawful or psychologically harmful sexual activity; (b) The use of children in commercial sexual exploitation; (c) The use of children in audio or visual images of child sexual abuse; and (d) Child prostitution, sexual slavery, sexual exploitation in travel and tourism, trafficking for purposes of sexual exploitation (within and between countries), sale of children for sexual purposes and forced marriage. Sexual activities are also considered as abuse when committed against a child by another child if the offender is significantly older than the victim or uses power, threat or other means of pressure. Consensual sexual activities between children are not considered as sexual abuse if the children are older than the age limit defined by the State Party.</w:t>
            </w:r>
          </w:p>
          <w:p w14:paraId="6ACFBEAF" w14:textId="77777777" w:rsidR="00BD06C4" w:rsidRPr="00454838" w:rsidRDefault="00BD06C4" w:rsidP="00BD06C4">
            <w:pPr>
              <w:pStyle w:val="NoSpacing"/>
              <w:rPr>
                <w:lang w:val="en-GB"/>
              </w:rPr>
            </w:pPr>
          </w:p>
          <w:p w14:paraId="3ED31E49" w14:textId="77777777" w:rsidR="00BD06C4" w:rsidRPr="00454838" w:rsidRDefault="00BD06C4" w:rsidP="00BD06C4">
            <w:pPr>
              <w:pStyle w:val="NoSpacing"/>
              <w:rPr>
                <w:lang w:val="en-GB"/>
              </w:rPr>
            </w:pPr>
            <w:r w:rsidRPr="00454838">
              <w:rPr>
                <w:b/>
                <w:bCs/>
                <w:lang w:val="en-GB"/>
              </w:rPr>
              <w:t>Comments and limitations:</w:t>
            </w:r>
          </w:p>
          <w:p w14:paraId="443DA0C6" w14:textId="77777777" w:rsidR="00BD06C4" w:rsidRPr="00454838" w:rsidRDefault="00BD06C4" w:rsidP="00BD06C4">
            <w:pPr>
              <w:pStyle w:val="NoSpacing"/>
              <w:rPr>
                <w:lang w:val="en-GB"/>
              </w:rPr>
            </w:pPr>
          </w:p>
          <w:p w14:paraId="0B4DA5FF" w14:textId="77777777" w:rsidR="00BD06C4" w:rsidRPr="00454838" w:rsidRDefault="00BD06C4" w:rsidP="00BD06C4">
            <w:pPr>
              <w:pStyle w:val="NoSpacing"/>
              <w:rPr>
                <w:lang w:val="en-GB"/>
              </w:rPr>
            </w:pPr>
            <w:r w:rsidRPr="00454838">
              <w:rPr>
                <w:lang w:val="en-GB"/>
              </w:rPr>
              <w:t>The availability of comparable data remains a serious challenge in this area as many data collection efforts have relied on different study methodologies and designs, definitions of sexual violence, samples and questions to elicit information. A further challenge in this field is underreporting, especially when it comes to reporting on experiences of sexual violence among boys and men.</w:t>
            </w:r>
          </w:p>
          <w:p w14:paraId="3CE5E7DA" w14:textId="77777777" w:rsidR="00BD06C4" w:rsidRPr="00454838" w:rsidRDefault="00BD06C4" w:rsidP="00BD06C4">
            <w:pPr>
              <w:pStyle w:val="NoSpacing"/>
              <w:rPr>
                <w:b/>
                <w:bCs/>
                <w:lang w:val="en-GB"/>
              </w:rPr>
            </w:pPr>
          </w:p>
          <w:p w14:paraId="5AFC6338" w14:textId="77777777" w:rsidR="00BD06C4" w:rsidRPr="00454838" w:rsidRDefault="00BD06C4" w:rsidP="00BD06C4">
            <w:pPr>
              <w:pStyle w:val="NoSpacing"/>
              <w:rPr>
                <w:lang w:val="en-GB"/>
              </w:rPr>
            </w:pPr>
            <w:r w:rsidRPr="00454838">
              <w:rPr>
                <w:b/>
                <w:bCs/>
                <w:lang w:val="en-GB"/>
              </w:rPr>
              <w:t>Computation Method:</w:t>
            </w:r>
          </w:p>
          <w:p w14:paraId="1F77510F" w14:textId="77777777" w:rsidR="00BD06C4" w:rsidRPr="00454838" w:rsidRDefault="00BD06C4" w:rsidP="00BD06C4">
            <w:pPr>
              <w:pStyle w:val="NoSpacing"/>
              <w:rPr>
                <w:lang w:val="en-GB"/>
              </w:rPr>
            </w:pPr>
          </w:p>
          <w:p w14:paraId="3F6D6DA3" w14:textId="77777777" w:rsidR="00BD06C4" w:rsidRPr="00454838" w:rsidRDefault="00BD06C4" w:rsidP="00BD06C4">
            <w:pPr>
              <w:pStyle w:val="NoSpacing"/>
              <w:rPr>
                <w:lang w:val="en-GB"/>
              </w:rPr>
            </w:pPr>
            <w:r w:rsidRPr="00454838">
              <w:rPr>
                <w:lang w:val="en-GB"/>
              </w:rPr>
              <w:t>Number of young women and men aged 18-29 years who report having experienced any sexual violence by age 18 divided by the total number of young women and men aged 18-29 years, respectively, in the population multiplied by 100.</w:t>
            </w:r>
          </w:p>
          <w:p w14:paraId="6413E11A" w14:textId="77777777" w:rsidR="00BD06C4" w:rsidRPr="00454838" w:rsidRDefault="00BD06C4" w:rsidP="00BD06C4">
            <w:pPr>
              <w:pStyle w:val="NoSpacing"/>
            </w:pPr>
          </w:p>
        </w:tc>
        <w:tc>
          <w:tcPr>
            <w:tcW w:w="0" w:type="auto"/>
          </w:tcPr>
          <w:p w14:paraId="69AF88F2" w14:textId="77777777" w:rsidR="00BD06C4" w:rsidRPr="00873FDE" w:rsidRDefault="00BD06C4" w:rsidP="00BD06C4">
            <w:pPr>
              <w:pStyle w:val="NoSpacing"/>
            </w:pPr>
            <w:r w:rsidRPr="00873FDE">
              <w:lastRenderedPageBreak/>
              <w:t xml:space="preserve">UNICEF undertakes an annual process to update its global </w:t>
            </w:r>
            <w:r w:rsidRPr="00873FDE">
              <w:lastRenderedPageBreak/>
              <w:t xml:space="preserve">databases, called Country Reporting on Indicators for the Goals (CRING). This exercise is done in close collaboration with UNICEF country offices with the purpose of ensuring that UNICEF global databases contain updated and internationally comparable data. UNICEF Country Offices are invited to submit, through an online system, any updated data for a number of key indicators on the well-being of women and children. Updates sent by the country offices are then reviewed by sector specialists at UNICEF headquarters to check for consistency and overall data quality of the submitted estimates. This review is based on a set of objective criteria to ensure that only the most </w:t>
            </w:r>
            <w:r w:rsidRPr="00873FDE">
              <w:lastRenderedPageBreak/>
              <w:t>recent and reliable information is included in the databases. Once reviewed, feedback is made available on whether or not specific data points are accepted, and if not, the reasons why. New data points that are accepted are then entered into UNICEF’s global databases and published in the State of the World’s Children statistical tables, as well as in all other data-driven publications/material. The updated databases are also posted online at data.unicef.org. UNICEF also searches throughout the year for additional sources of data that are vetted by the UNICEF country office before they are included in the global databases.</w:t>
            </w:r>
          </w:p>
        </w:tc>
        <w:tc>
          <w:tcPr>
            <w:tcW w:w="0" w:type="auto"/>
          </w:tcPr>
          <w:p w14:paraId="0E259857" w14:textId="77777777" w:rsidR="00BD06C4" w:rsidRPr="00873FDE" w:rsidRDefault="00BD06C4" w:rsidP="00BD06C4">
            <w:pPr>
              <w:pStyle w:val="NoSpacing"/>
            </w:pPr>
            <w:r w:rsidRPr="00873FDE">
              <w:lastRenderedPageBreak/>
              <w:t xml:space="preserve">National Statistical Offices (for the most </w:t>
            </w:r>
            <w:r w:rsidRPr="00873FDE">
              <w:lastRenderedPageBreak/>
              <w:t>part) or line ministries/other government agencies that have conducted national surveys on sexual violence against women and men.</w:t>
            </w:r>
          </w:p>
        </w:tc>
        <w:tc>
          <w:tcPr>
            <w:tcW w:w="0" w:type="auto"/>
          </w:tcPr>
          <w:p w14:paraId="5351EEB6" w14:textId="77777777" w:rsidR="00BD06C4" w:rsidRDefault="00BD06C4" w:rsidP="00BD06C4">
            <w:pPr>
              <w:pStyle w:val="NoSpacing"/>
            </w:pPr>
            <w:r>
              <w:lastRenderedPageBreak/>
              <w:t>BBS</w:t>
            </w:r>
          </w:p>
          <w:p w14:paraId="093FA34C" w14:textId="7BFB7D3B" w:rsidR="00BD06C4" w:rsidRDefault="00BD06C4" w:rsidP="00BD06C4">
            <w:pPr>
              <w:ind w:left="970" w:hanging="970"/>
              <w:jc w:val="both"/>
            </w:pPr>
            <w:r w:rsidRPr="00BC6F10">
              <w:t xml:space="preserve"> VAW </w:t>
            </w:r>
          </w:p>
          <w:p w14:paraId="696852A7" w14:textId="77777777" w:rsidR="00BD06C4" w:rsidRDefault="00BD06C4" w:rsidP="00BD06C4">
            <w:pPr>
              <w:ind w:left="970" w:hanging="970"/>
              <w:jc w:val="both"/>
              <w:rPr>
                <w:color w:val="0070C0"/>
                <w:sz w:val="30"/>
                <w:szCs w:val="30"/>
              </w:rPr>
            </w:pPr>
            <w:r w:rsidRPr="00BC6F10">
              <w:t>Survey</w:t>
            </w:r>
          </w:p>
        </w:tc>
        <w:tc>
          <w:tcPr>
            <w:tcW w:w="0" w:type="auto"/>
          </w:tcPr>
          <w:p w14:paraId="6237CBC6" w14:textId="77777777" w:rsidR="00BD06C4" w:rsidRDefault="00BD06C4" w:rsidP="00BD06C4">
            <w:pPr>
              <w:pStyle w:val="NoSpacing"/>
            </w:pPr>
            <w:r>
              <w:t>BBS</w:t>
            </w:r>
          </w:p>
          <w:p w14:paraId="1191557B" w14:textId="77777777" w:rsidR="00BD06C4" w:rsidRDefault="00BD06C4" w:rsidP="00BD06C4">
            <w:pPr>
              <w:ind w:left="970" w:hanging="970"/>
              <w:jc w:val="both"/>
            </w:pPr>
            <w:r w:rsidRPr="0066738C">
              <w:t>VAW s</w:t>
            </w:r>
            <w:r w:rsidRPr="0066738C">
              <w:lastRenderedPageBreak/>
              <w:t xml:space="preserve">urvey </w:t>
            </w:r>
          </w:p>
          <w:p w14:paraId="0F890E67" w14:textId="77777777" w:rsidR="00BD06C4" w:rsidRDefault="00BD06C4" w:rsidP="00BD06C4">
            <w:pPr>
              <w:ind w:left="970" w:hanging="970"/>
              <w:jc w:val="both"/>
              <w:rPr>
                <w:color w:val="0070C0"/>
                <w:sz w:val="30"/>
                <w:szCs w:val="30"/>
              </w:rPr>
            </w:pPr>
            <w:r>
              <w:t>/</w:t>
            </w:r>
            <w:r w:rsidRPr="00BC6F10">
              <w:t>GBVS</w:t>
            </w:r>
          </w:p>
        </w:tc>
        <w:tc>
          <w:tcPr>
            <w:tcW w:w="0" w:type="auto"/>
          </w:tcPr>
          <w:p w14:paraId="17FA3A2C"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Sex: female, male, both</w:t>
            </w:r>
          </w:p>
          <w:p w14:paraId="759658A9"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18 - 29</w:t>
            </w:r>
          </w:p>
          <w:p w14:paraId="23D451D1" w14:textId="6F14D484"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w:t>
            </w:r>
            <w:r w:rsidR="002C5B88">
              <w:rPr>
                <w:rFonts w:ascii="Tw Cen MT Condensed" w:hAnsi="Tw Cen MT Condensed"/>
                <w:sz w:val="20"/>
                <w:szCs w:val="20"/>
              </w:rPr>
              <w:t xml:space="preserve">: High/ Medium/ </w:t>
            </w:r>
            <w:r w:rsidR="002C5B88">
              <w:rPr>
                <w:rFonts w:ascii="Tw Cen MT Condensed" w:hAnsi="Tw Cen MT Condensed"/>
                <w:sz w:val="20"/>
                <w:szCs w:val="20"/>
              </w:rPr>
              <w:lastRenderedPageBreak/>
              <w:t>Low</w:t>
            </w:r>
          </w:p>
          <w:p w14:paraId="235393AC" w14:textId="0D29C4D1"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Place of residence </w:t>
            </w:r>
            <w:r w:rsidR="002C5B88">
              <w:rPr>
                <w:rFonts w:ascii="Tw Cen MT Condensed" w:hAnsi="Tw Cen MT Condensed"/>
                <w:sz w:val="20"/>
                <w:szCs w:val="20"/>
              </w:rPr>
              <w:t>: Urban/Rural</w:t>
            </w:r>
          </w:p>
          <w:p w14:paraId="5854F1AB" w14:textId="167038F4"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 location</w:t>
            </w:r>
            <w:r w:rsidR="002C5B88">
              <w:rPr>
                <w:rFonts w:ascii="Tw Cen MT Condensed" w:hAnsi="Tw Cen MT Condensed"/>
                <w:sz w:val="20"/>
                <w:szCs w:val="20"/>
              </w:rPr>
              <w:t>: Division</w:t>
            </w:r>
          </w:p>
          <w:p w14:paraId="4DC81233" w14:textId="6A45B6DD"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Marital status</w:t>
            </w:r>
            <w:r w:rsidR="002C5B88">
              <w:rPr>
                <w:rFonts w:ascii="Tw Cen MT Condensed" w:hAnsi="Tw Cen MT Condensed"/>
                <w:sz w:val="20"/>
                <w:szCs w:val="20"/>
              </w:rPr>
              <w:t>: Married/ Unmarried</w:t>
            </w:r>
          </w:p>
          <w:p w14:paraId="0F6F09A5" w14:textId="161F41E3"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Education</w:t>
            </w:r>
            <w:r w:rsidR="002C5B88">
              <w:rPr>
                <w:rFonts w:ascii="Tw Cen MT Condensed" w:hAnsi="Tw Cen MT Condensed"/>
                <w:sz w:val="20"/>
                <w:szCs w:val="20"/>
              </w:rPr>
              <w:t xml:space="preserve">: </w:t>
            </w:r>
            <w:r w:rsidR="00382D17">
              <w:rPr>
                <w:rFonts w:ascii="Tw Cen MT Condensed" w:hAnsi="Tw Cen MT Condensed"/>
                <w:sz w:val="20"/>
                <w:szCs w:val="20"/>
              </w:rPr>
              <w:t>illiterate/</w:t>
            </w:r>
            <w:r w:rsidR="002C5B88">
              <w:rPr>
                <w:rFonts w:ascii="Tw Cen MT Condensed" w:hAnsi="Tw Cen MT Condensed"/>
                <w:sz w:val="20"/>
                <w:szCs w:val="20"/>
              </w:rPr>
              <w:t>Primary</w:t>
            </w:r>
            <w:r w:rsidR="00382D17">
              <w:rPr>
                <w:rFonts w:ascii="Tw Cen MT Condensed" w:hAnsi="Tw Cen MT Condensed"/>
                <w:sz w:val="20"/>
                <w:szCs w:val="20"/>
              </w:rPr>
              <w:t>/Secondary/ Higher</w:t>
            </w:r>
          </w:p>
          <w:p w14:paraId="31D1AD9F" w14:textId="77777777" w:rsidR="00BD06C4" w:rsidRDefault="00BD06C4" w:rsidP="00BD06C4">
            <w:pPr>
              <w:ind w:left="970" w:hanging="970"/>
              <w:jc w:val="both"/>
              <w:rPr>
                <w:color w:val="0070C0"/>
                <w:sz w:val="30"/>
                <w:szCs w:val="30"/>
              </w:rPr>
            </w:pPr>
          </w:p>
        </w:tc>
        <w:tc>
          <w:tcPr>
            <w:tcW w:w="0" w:type="auto"/>
          </w:tcPr>
          <w:p w14:paraId="53FE8CD2" w14:textId="77777777" w:rsidR="00BD06C4" w:rsidRDefault="00BD06C4" w:rsidP="00BD06C4">
            <w:pPr>
              <w:ind w:left="970" w:hanging="970"/>
              <w:jc w:val="both"/>
              <w:rPr>
                <w:color w:val="0070C0"/>
                <w:sz w:val="30"/>
                <w:szCs w:val="30"/>
              </w:rPr>
            </w:pPr>
            <w:r w:rsidRPr="008C500F">
              <w:rPr>
                <w:szCs w:val="26"/>
              </w:rPr>
              <w:lastRenderedPageBreak/>
              <w:t>Triennial</w:t>
            </w:r>
          </w:p>
        </w:tc>
        <w:tc>
          <w:tcPr>
            <w:tcW w:w="0" w:type="auto"/>
          </w:tcPr>
          <w:p w14:paraId="676D28E2" w14:textId="77777777" w:rsidR="00BD06C4" w:rsidRDefault="00BD06C4" w:rsidP="00BD06C4">
            <w:pPr>
              <w:ind w:left="970" w:hanging="970"/>
              <w:jc w:val="both"/>
              <w:rPr>
                <w:color w:val="0070C0"/>
                <w:sz w:val="30"/>
                <w:szCs w:val="30"/>
              </w:rPr>
            </w:pPr>
            <w:r>
              <w:t>Group 1</w:t>
            </w:r>
          </w:p>
        </w:tc>
        <w:tc>
          <w:tcPr>
            <w:tcW w:w="0" w:type="auto"/>
          </w:tcPr>
          <w:p w14:paraId="21F8DD12" w14:textId="77777777" w:rsidR="00BD06C4" w:rsidRDefault="00BD06C4" w:rsidP="00BD06C4">
            <w:pPr>
              <w:pStyle w:val="NoSpacing"/>
            </w:pPr>
            <w:r>
              <w:t>1</w:t>
            </w:r>
            <w:r w:rsidRPr="00013ACB">
              <w:rPr>
                <w:vertAlign w:val="superscript"/>
              </w:rPr>
              <w:t>st</w:t>
            </w:r>
            <w:r>
              <w:t xml:space="preserve"> Round:</w:t>
            </w:r>
          </w:p>
          <w:p w14:paraId="6345B109" w14:textId="77777777" w:rsidR="00BD06C4" w:rsidRDefault="00BD06C4" w:rsidP="00BD06C4">
            <w:pPr>
              <w:pStyle w:val="NoSpacing"/>
            </w:pPr>
            <w:r>
              <w:t>2015</w:t>
            </w:r>
          </w:p>
          <w:p w14:paraId="03A59AA3" w14:textId="77777777" w:rsidR="00BD06C4" w:rsidRDefault="00BD06C4" w:rsidP="00BD06C4">
            <w:pPr>
              <w:pStyle w:val="NoSpacing"/>
            </w:pPr>
          </w:p>
          <w:p w14:paraId="032A1611" w14:textId="77777777" w:rsidR="00BD06C4" w:rsidRDefault="00BD06C4" w:rsidP="00BD06C4">
            <w:pPr>
              <w:pStyle w:val="NoSpacing"/>
            </w:pPr>
            <w:r>
              <w:t>2</w:t>
            </w:r>
            <w:r w:rsidRPr="00013ACB">
              <w:rPr>
                <w:vertAlign w:val="superscript"/>
              </w:rPr>
              <w:t>nd</w:t>
            </w:r>
            <w:r>
              <w:t xml:space="preserve"> Round:</w:t>
            </w:r>
          </w:p>
          <w:p w14:paraId="009D3C28" w14:textId="77777777" w:rsidR="00BD06C4" w:rsidRDefault="00BD06C4" w:rsidP="00BD06C4">
            <w:pPr>
              <w:pStyle w:val="NoSpacing"/>
            </w:pPr>
            <w:r>
              <w:t xml:space="preserve"> </w:t>
            </w:r>
            <w:r w:rsidRPr="00C3536E">
              <w:t>June, 2020</w:t>
            </w:r>
          </w:p>
          <w:p w14:paraId="2B1983EE" w14:textId="77777777" w:rsidR="00BD06C4" w:rsidRDefault="00BD06C4" w:rsidP="00BD06C4">
            <w:pPr>
              <w:pStyle w:val="NoSpacing"/>
            </w:pPr>
          </w:p>
          <w:p w14:paraId="0CE7112F" w14:textId="77777777" w:rsidR="00BD06C4" w:rsidRDefault="00BD06C4" w:rsidP="00BD06C4">
            <w:pPr>
              <w:pStyle w:val="NoSpacing"/>
            </w:pPr>
            <w:r>
              <w:t>3</w:t>
            </w:r>
            <w:r w:rsidRPr="00013ACB">
              <w:rPr>
                <w:vertAlign w:val="superscript"/>
              </w:rPr>
              <w:t>rd</w:t>
            </w:r>
            <w:r>
              <w:t xml:space="preserve"> Round: </w:t>
            </w:r>
          </w:p>
          <w:p w14:paraId="178AE299" w14:textId="77777777" w:rsidR="00BD06C4" w:rsidRDefault="00BD06C4" w:rsidP="00BD06C4">
            <w:pPr>
              <w:pStyle w:val="NoSpacing"/>
            </w:pPr>
            <w:r>
              <w:t>June, 2023</w:t>
            </w:r>
          </w:p>
          <w:p w14:paraId="4623D159" w14:textId="77777777" w:rsidR="00BD06C4" w:rsidRDefault="00BD06C4" w:rsidP="00BD06C4">
            <w:pPr>
              <w:pStyle w:val="NoSpacing"/>
            </w:pPr>
          </w:p>
          <w:p w14:paraId="672329A5" w14:textId="77777777" w:rsidR="00BD06C4" w:rsidRDefault="00BD06C4" w:rsidP="00BD06C4">
            <w:pPr>
              <w:pStyle w:val="NoSpacing"/>
            </w:pPr>
            <w:r>
              <w:t>4</w:t>
            </w:r>
            <w:r w:rsidRPr="00013ACB">
              <w:rPr>
                <w:vertAlign w:val="superscript"/>
              </w:rPr>
              <w:t>th</w:t>
            </w:r>
            <w:r>
              <w:t xml:space="preserve"> Round: </w:t>
            </w:r>
          </w:p>
          <w:p w14:paraId="4B018D16" w14:textId="77777777" w:rsidR="00BD06C4" w:rsidRDefault="00BD06C4" w:rsidP="00BD06C4">
            <w:pPr>
              <w:pStyle w:val="NoSpacing"/>
            </w:pPr>
            <w:r>
              <w:t>June, 2026</w:t>
            </w:r>
          </w:p>
          <w:p w14:paraId="158E5F49" w14:textId="77777777" w:rsidR="00BD06C4" w:rsidRDefault="00BD06C4" w:rsidP="00BD06C4">
            <w:pPr>
              <w:pStyle w:val="NoSpacing"/>
            </w:pPr>
          </w:p>
          <w:p w14:paraId="11EA2247" w14:textId="77777777" w:rsidR="00BD06C4" w:rsidRDefault="00BD06C4" w:rsidP="00BD06C4">
            <w:pPr>
              <w:pStyle w:val="NoSpacing"/>
            </w:pPr>
            <w:r>
              <w:t>5</w:t>
            </w:r>
            <w:r w:rsidRPr="00013ACB">
              <w:rPr>
                <w:vertAlign w:val="superscript"/>
              </w:rPr>
              <w:t>th</w:t>
            </w:r>
            <w:r>
              <w:t xml:space="preserve"> Round: </w:t>
            </w:r>
          </w:p>
          <w:p w14:paraId="5E31BE74" w14:textId="77777777" w:rsidR="00BD06C4" w:rsidRDefault="00BD06C4" w:rsidP="00BD06C4">
            <w:pPr>
              <w:pStyle w:val="NoSpacing"/>
            </w:pPr>
            <w:r>
              <w:t>June, 2029</w:t>
            </w:r>
          </w:p>
          <w:p w14:paraId="61C642B6" w14:textId="7A002B6E" w:rsidR="00BD06C4" w:rsidRDefault="00BD06C4" w:rsidP="00BD06C4">
            <w:pPr>
              <w:pStyle w:val="NoSpacing"/>
            </w:pPr>
          </w:p>
        </w:tc>
        <w:tc>
          <w:tcPr>
            <w:tcW w:w="0" w:type="auto"/>
          </w:tcPr>
          <w:p w14:paraId="0DFA2D71" w14:textId="77777777" w:rsidR="00BD06C4" w:rsidRDefault="00BD06C4" w:rsidP="00BD06C4">
            <w:pPr>
              <w:ind w:left="970" w:hanging="970"/>
              <w:jc w:val="both"/>
              <w:rPr>
                <w:color w:val="0070C0"/>
                <w:sz w:val="30"/>
                <w:szCs w:val="30"/>
              </w:rPr>
            </w:pPr>
          </w:p>
        </w:tc>
      </w:tr>
      <w:tr w:rsidR="00BD06C4" w14:paraId="166FCEA9" w14:textId="77777777" w:rsidTr="00A64F0D">
        <w:tc>
          <w:tcPr>
            <w:tcW w:w="0" w:type="auto"/>
          </w:tcPr>
          <w:p w14:paraId="1AAB5AD0" w14:textId="77777777" w:rsidR="00BD06C4" w:rsidRDefault="00BD06C4" w:rsidP="00BD06C4">
            <w:pPr>
              <w:ind w:left="970" w:hanging="970"/>
              <w:jc w:val="both"/>
              <w:rPr>
                <w:color w:val="0070C0"/>
                <w:sz w:val="30"/>
                <w:szCs w:val="30"/>
              </w:rPr>
            </w:pPr>
          </w:p>
        </w:tc>
        <w:tc>
          <w:tcPr>
            <w:tcW w:w="0" w:type="auto"/>
            <w:gridSpan w:val="12"/>
          </w:tcPr>
          <w:p w14:paraId="3AC79A1B"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16.3 Promote the rule of law at the national and international levels and ensure equal access to justice for all</w:t>
            </w:r>
          </w:p>
        </w:tc>
      </w:tr>
      <w:tr w:rsidR="00BD06C4" w14:paraId="0408E3F0" w14:textId="77777777" w:rsidTr="00A64F0D">
        <w:tc>
          <w:tcPr>
            <w:tcW w:w="0" w:type="auto"/>
          </w:tcPr>
          <w:p w14:paraId="5A57DC7F" w14:textId="77777777" w:rsidR="00BD06C4" w:rsidRPr="00BA046C" w:rsidRDefault="00BD06C4" w:rsidP="00BD06C4">
            <w:pPr>
              <w:pStyle w:val="NoSpacing"/>
            </w:pPr>
            <w:r w:rsidRPr="00BA046C">
              <w:lastRenderedPageBreak/>
              <w:t>16.3.1 Proportion of victims of violence in the previous 12 months who reported their victimization to competent authorities or other officially recognized conflict resolution mechanisms</w:t>
            </w:r>
          </w:p>
        </w:tc>
        <w:tc>
          <w:tcPr>
            <w:tcW w:w="0" w:type="auto"/>
          </w:tcPr>
          <w:p w14:paraId="77B2C954" w14:textId="77777777" w:rsidR="00BD06C4" w:rsidRDefault="00BD06C4" w:rsidP="00BD06C4">
            <w:pPr>
              <w:ind w:left="970" w:hanging="970"/>
              <w:jc w:val="both"/>
              <w:rPr>
                <w:color w:val="0070C0"/>
                <w:sz w:val="30"/>
                <w:szCs w:val="30"/>
              </w:rPr>
            </w:pPr>
          </w:p>
          <w:p w14:paraId="20E28983" w14:textId="77777777" w:rsidR="00BD06C4" w:rsidRDefault="00BD06C4" w:rsidP="00BD06C4">
            <w:pPr>
              <w:pStyle w:val="NoSpacing"/>
            </w:pPr>
            <w:r w:rsidRPr="007145C8">
              <w:t>UNODC</w:t>
            </w:r>
          </w:p>
        </w:tc>
        <w:tc>
          <w:tcPr>
            <w:tcW w:w="0" w:type="auto"/>
          </w:tcPr>
          <w:p w14:paraId="2DC232F1" w14:textId="77777777" w:rsidR="00BD06C4" w:rsidRDefault="00BD06C4" w:rsidP="00BD06C4">
            <w:pPr>
              <w:ind w:left="970" w:hanging="970"/>
              <w:jc w:val="both"/>
              <w:rPr>
                <w:color w:val="0070C0"/>
                <w:sz w:val="30"/>
                <w:szCs w:val="30"/>
              </w:rPr>
            </w:pPr>
            <w:r w:rsidRPr="00666BAB">
              <w:t>Tier II</w:t>
            </w:r>
          </w:p>
        </w:tc>
        <w:tc>
          <w:tcPr>
            <w:tcW w:w="0" w:type="auto"/>
          </w:tcPr>
          <w:p w14:paraId="0E2924EA" w14:textId="77777777" w:rsidR="00BD06C4" w:rsidRPr="006A4DFB" w:rsidRDefault="00BD06C4" w:rsidP="00BD06C4">
            <w:pPr>
              <w:pStyle w:val="NoSpacing"/>
              <w:rPr>
                <w:lang w:val="en-GB"/>
              </w:rPr>
            </w:pPr>
            <w:r w:rsidRPr="006A4DFB">
              <w:rPr>
                <w:b/>
                <w:bCs/>
                <w:lang w:val="en-GB"/>
              </w:rPr>
              <w:t>Definition:</w:t>
            </w:r>
          </w:p>
          <w:p w14:paraId="5B79E4EC" w14:textId="77777777" w:rsidR="00BD06C4" w:rsidRPr="006A4DFB" w:rsidRDefault="00BD06C4" w:rsidP="00BD06C4">
            <w:pPr>
              <w:pStyle w:val="NoSpacing"/>
              <w:rPr>
                <w:lang w:val="en-GB"/>
              </w:rPr>
            </w:pPr>
          </w:p>
          <w:p w14:paraId="6E500940" w14:textId="77777777" w:rsidR="00BD06C4" w:rsidRPr="006A4DFB" w:rsidRDefault="00BD06C4" w:rsidP="00BD06C4">
            <w:pPr>
              <w:pStyle w:val="NoSpacing"/>
              <w:rPr>
                <w:lang w:val="en-GB"/>
              </w:rPr>
            </w:pPr>
            <w:r w:rsidRPr="006A4DFB">
              <w:rPr>
                <w:lang w:val="en-GB"/>
              </w:rPr>
              <w:t>Number of victims of violent crime in the previous 12 months who reported their victimization to competent authorities or other officially recognized conflict resolution mechanisms, as a percentage of all victims of violent crime in the previous 12 months</w:t>
            </w:r>
          </w:p>
          <w:p w14:paraId="0F7FBC16" w14:textId="77777777" w:rsidR="00BD06C4" w:rsidRPr="006A4DFB" w:rsidRDefault="00BD06C4" w:rsidP="00BD06C4">
            <w:pPr>
              <w:pStyle w:val="NoSpacing"/>
              <w:rPr>
                <w:lang w:val="en-GB"/>
              </w:rPr>
            </w:pPr>
          </w:p>
          <w:p w14:paraId="325F57C2" w14:textId="77777777" w:rsidR="00BD06C4" w:rsidRPr="006A4DFB" w:rsidRDefault="00BD06C4" w:rsidP="00BD06C4">
            <w:pPr>
              <w:pStyle w:val="NoSpacing"/>
              <w:rPr>
                <w:lang w:val="en-GB"/>
              </w:rPr>
            </w:pPr>
            <w:r w:rsidRPr="006A4DFB">
              <w:rPr>
                <w:b/>
                <w:bCs/>
                <w:lang w:val="en-GB"/>
              </w:rPr>
              <w:t>Concepts:</w:t>
            </w:r>
          </w:p>
          <w:p w14:paraId="0EB6770F" w14:textId="77777777" w:rsidR="00BD06C4" w:rsidRPr="006A4DFB" w:rsidRDefault="00BD06C4" w:rsidP="00BD06C4">
            <w:pPr>
              <w:pStyle w:val="NoSpacing"/>
              <w:rPr>
                <w:lang w:val="en-GB"/>
              </w:rPr>
            </w:pPr>
          </w:p>
          <w:p w14:paraId="09023C2A" w14:textId="77777777" w:rsidR="00BD06C4" w:rsidRPr="006A4DFB" w:rsidRDefault="00BD06C4" w:rsidP="00BD06C4">
            <w:pPr>
              <w:pStyle w:val="NoSpacing"/>
              <w:rPr>
                <w:lang w:val="en-GB"/>
              </w:rPr>
            </w:pPr>
            <w:r w:rsidRPr="006A4DFB">
              <w:rPr>
                <w:lang w:val="en-GB"/>
              </w:rPr>
              <w:t>Competent authorities includes police, prosecutors or other authorities with competencies to investigate relevant crimes, while ‘other officially recognized conflict resolution mechanisms´ may include a variety of institutions with a role in the informal justice or dispute resolution process (e.g. tribal or religious leaders, village elders, community leaders), provided their role is officially recognized by state authorities</w:t>
            </w:r>
          </w:p>
          <w:p w14:paraId="35CAD633" w14:textId="77777777" w:rsidR="00BD06C4" w:rsidRPr="006A4DFB" w:rsidRDefault="00BD06C4" w:rsidP="00BD06C4">
            <w:pPr>
              <w:pStyle w:val="NoSpacing"/>
              <w:rPr>
                <w:lang w:val="en-GB"/>
              </w:rPr>
            </w:pPr>
          </w:p>
          <w:p w14:paraId="41882C2F" w14:textId="77777777" w:rsidR="00BD06C4" w:rsidRPr="006A4DFB" w:rsidRDefault="00BD06C4" w:rsidP="00BD06C4">
            <w:pPr>
              <w:pStyle w:val="NoSpacing"/>
              <w:rPr>
                <w:lang w:val="en-GB"/>
              </w:rPr>
            </w:pPr>
            <w:r w:rsidRPr="006A4DFB">
              <w:rPr>
                <w:b/>
                <w:bCs/>
                <w:lang w:val="en-GB"/>
              </w:rPr>
              <w:t>Comments and limitations:</w:t>
            </w:r>
          </w:p>
          <w:p w14:paraId="2013CFC2" w14:textId="77777777" w:rsidR="00BD06C4" w:rsidRPr="006A4DFB" w:rsidRDefault="00BD06C4" w:rsidP="00BD06C4">
            <w:pPr>
              <w:pStyle w:val="NoSpacing"/>
              <w:rPr>
                <w:lang w:val="en-GB"/>
              </w:rPr>
            </w:pPr>
          </w:p>
          <w:p w14:paraId="3316004C" w14:textId="77777777" w:rsidR="00BD06C4" w:rsidRPr="006A4DFB" w:rsidRDefault="00BD06C4" w:rsidP="00BD06C4">
            <w:pPr>
              <w:pStyle w:val="NoSpacing"/>
              <w:rPr>
                <w:lang w:val="en-GB"/>
              </w:rPr>
            </w:pPr>
            <w:r w:rsidRPr="006A4DFB">
              <w:rPr>
                <w:lang w:val="en-GB"/>
              </w:rPr>
              <w:t>The target relates to the multidimensional concepts of rule of law and access to justice and at least two indicators are required to cover the main elements of access to justice and efficiency of the justice system. The indicator 16.3.1 covers an important aspect of victim’s access to criminal justice, while it doesn´t cover civil or administrative disputes. The indicator as formulated is a standard indicator widely published when a victimization survey is undertaken, but further work is required to enhance a consistent interpretation and application of this indicator. In particular, some important elements of this indicator needs methodological guidance, such as the type of violent crime to include beyond physical assault; counting rules regarding reporting rates (e.g. prevalence-based, incidence-based, based on last victimization experience) and the type of competent authorities to consider.</w:t>
            </w:r>
          </w:p>
          <w:p w14:paraId="6E162DA3" w14:textId="77777777" w:rsidR="00BD06C4" w:rsidRPr="006A4DFB" w:rsidRDefault="00BD06C4" w:rsidP="00BD06C4">
            <w:pPr>
              <w:pStyle w:val="NoSpacing"/>
              <w:rPr>
                <w:lang w:val="en-GB"/>
              </w:rPr>
            </w:pPr>
          </w:p>
          <w:p w14:paraId="63E1B1BC" w14:textId="77777777" w:rsidR="00BD06C4" w:rsidRPr="006A4DFB" w:rsidRDefault="00BD06C4" w:rsidP="00BD06C4">
            <w:pPr>
              <w:pStyle w:val="NoSpacing"/>
              <w:rPr>
                <w:lang w:val="en-GB"/>
              </w:rPr>
            </w:pPr>
            <w:r w:rsidRPr="006A4DFB">
              <w:rPr>
                <w:lang w:val="en-GB"/>
              </w:rPr>
              <w:t>Methodological guidance on these issues is currently under development.</w:t>
            </w:r>
          </w:p>
          <w:p w14:paraId="646C6C4F" w14:textId="77777777" w:rsidR="00BD06C4" w:rsidRPr="006A4DFB" w:rsidRDefault="00BD06C4" w:rsidP="00BD06C4">
            <w:pPr>
              <w:pStyle w:val="NoSpacing"/>
              <w:rPr>
                <w:b/>
                <w:bCs/>
                <w:lang w:val="en-GB"/>
              </w:rPr>
            </w:pPr>
          </w:p>
          <w:p w14:paraId="2E840BEF" w14:textId="77777777" w:rsidR="00BD06C4" w:rsidRPr="006A4DFB" w:rsidRDefault="00BD06C4" w:rsidP="00BD06C4">
            <w:pPr>
              <w:pStyle w:val="NoSpacing"/>
              <w:rPr>
                <w:lang w:val="en-GB"/>
              </w:rPr>
            </w:pPr>
            <w:r w:rsidRPr="006A4DFB">
              <w:rPr>
                <w:b/>
                <w:bCs/>
                <w:lang w:val="en-GB"/>
              </w:rPr>
              <w:t>Computation Method:</w:t>
            </w:r>
          </w:p>
          <w:p w14:paraId="1ACAA59F" w14:textId="77777777" w:rsidR="00BD06C4" w:rsidRPr="006A4DFB" w:rsidRDefault="00BD06C4" w:rsidP="00BD06C4">
            <w:pPr>
              <w:pStyle w:val="NoSpacing"/>
              <w:rPr>
                <w:lang w:val="en-GB"/>
              </w:rPr>
            </w:pPr>
          </w:p>
          <w:p w14:paraId="6B407769" w14:textId="77777777" w:rsidR="00BD06C4" w:rsidRPr="006A4DFB" w:rsidRDefault="00BD06C4" w:rsidP="00BD06C4">
            <w:pPr>
              <w:pStyle w:val="NoSpacing"/>
              <w:rPr>
                <w:lang w:val="en-GB"/>
              </w:rPr>
            </w:pPr>
            <w:r w:rsidRPr="006A4DFB">
              <w:rPr>
                <w:lang w:val="en-GB"/>
              </w:rPr>
              <w:t>Number of victims of violent crime in the previous 12 months who reported their victimization to competent authorities or other officially recognized conflict resolution mechanisms, divided by the number of all victims of violent crime in the previous 12 months (also called the ‘crime reporting rate’)</w:t>
            </w:r>
          </w:p>
          <w:p w14:paraId="2331EF42" w14:textId="77777777" w:rsidR="00BD06C4" w:rsidRPr="006A4DFB" w:rsidRDefault="00BD06C4" w:rsidP="00BD06C4">
            <w:pPr>
              <w:pStyle w:val="NoSpacing"/>
              <w:rPr>
                <w:lang w:val="en-GB"/>
              </w:rPr>
            </w:pPr>
          </w:p>
          <w:p w14:paraId="4DB4710C" w14:textId="77777777" w:rsidR="00BD06C4" w:rsidRPr="006A4DFB" w:rsidRDefault="00BD06C4" w:rsidP="00BD06C4">
            <w:pPr>
              <w:pStyle w:val="NoSpacing"/>
              <w:rPr>
                <w:lang w:val="en-GB"/>
              </w:rPr>
            </w:pPr>
            <w:r w:rsidRPr="006A4DFB">
              <w:rPr>
                <w:lang w:val="en-GB"/>
              </w:rPr>
              <w:t xml:space="preserve">Both the </w:t>
            </w:r>
            <w:proofErr w:type="gramStart"/>
            <w:r w:rsidRPr="006A4DFB">
              <w:rPr>
                <w:lang w:val="en-GB"/>
              </w:rPr>
              <w:t>number of victims of violent crime as well as the number of all victims of violent crime are</w:t>
            </w:r>
            <w:proofErr w:type="gramEnd"/>
            <w:r w:rsidRPr="006A4DFB">
              <w:rPr>
                <w:lang w:val="en-GB"/>
              </w:rPr>
              <w:t xml:space="preserve"> measured through sample surveys of the general population, most often dedicated crime victimization surveys.</w:t>
            </w:r>
          </w:p>
          <w:p w14:paraId="1E61AA6F" w14:textId="77777777" w:rsidR="00BD06C4" w:rsidRDefault="00BD06C4" w:rsidP="00BD06C4">
            <w:pPr>
              <w:pStyle w:val="NoSpacing"/>
            </w:pPr>
          </w:p>
        </w:tc>
        <w:tc>
          <w:tcPr>
            <w:tcW w:w="0" w:type="auto"/>
          </w:tcPr>
          <w:p w14:paraId="23D42C55" w14:textId="77777777" w:rsidR="00BD06C4" w:rsidRPr="00873FDE" w:rsidRDefault="00BD06C4" w:rsidP="00BD06C4">
            <w:pPr>
              <w:rPr>
                <w:szCs w:val="22"/>
              </w:rPr>
            </w:pPr>
            <w:r w:rsidRPr="00873FDE">
              <w:rPr>
                <w:szCs w:val="22"/>
              </w:rPr>
              <w:t xml:space="preserve">There is a consolidated system of annual data collection on crime and criminal justice (UN- Crime Trends Survey, UN-CTS) which represents the basis of data on intentional homicide, criminal justice outputs, penitentiary statistics and prevalence of victimization. The UN-CTS data collection is largely based on the network of national Focal Points, which are institutions/officials appointed by countries and have the technical capacity and role to produce data on crime and criminal justice (around 130 appointed Focal Points as of 2016). The UN-CTS collects data on reporting rate by victims respectively of “physical assault” and “sexual </w:t>
            </w:r>
            <w:r w:rsidRPr="00873FDE">
              <w:rPr>
                <w:szCs w:val="22"/>
              </w:rPr>
              <w:lastRenderedPageBreak/>
              <w:t>assault”. The current data collection is currently reviewed to collect data on this indicator. Data for SDG monitoring will be sent to countries for consultation prior to publication</w:t>
            </w:r>
          </w:p>
        </w:tc>
        <w:tc>
          <w:tcPr>
            <w:tcW w:w="0" w:type="auto"/>
          </w:tcPr>
          <w:p w14:paraId="1DB581B6" w14:textId="77777777" w:rsidR="00BD06C4" w:rsidRPr="00873FDE" w:rsidRDefault="00BD06C4" w:rsidP="00BD06C4">
            <w:pPr>
              <w:rPr>
                <w:szCs w:val="22"/>
              </w:rPr>
            </w:pPr>
            <w:r w:rsidRPr="00873FDE">
              <w:rPr>
                <w:szCs w:val="22"/>
              </w:rPr>
              <w:lastRenderedPageBreak/>
              <w:t>National Statistical Offices, Police, Ministry of Justice, Ministry of Interior, Prosecutor’s Office</w:t>
            </w:r>
          </w:p>
        </w:tc>
        <w:tc>
          <w:tcPr>
            <w:tcW w:w="0" w:type="auto"/>
          </w:tcPr>
          <w:p w14:paraId="573DEBDF" w14:textId="77777777" w:rsidR="00BD06C4" w:rsidRDefault="00BD06C4" w:rsidP="00BD06C4">
            <w:pPr>
              <w:pStyle w:val="NoSpacing"/>
            </w:pPr>
            <w:r>
              <w:t>BBS</w:t>
            </w:r>
          </w:p>
          <w:p w14:paraId="7D8EB229" w14:textId="77777777" w:rsidR="00BD06C4" w:rsidRDefault="00BD06C4" w:rsidP="00BD06C4">
            <w:pPr>
              <w:pStyle w:val="NoSpacing"/>
              <w:rPr>
                <w:color w:val="0070C0"/>
                <w:sz w:val="30"/>
                <w:szCs w:val="30"/>
              </w:rPr>
            </w:pPr>
            <w:r w:rsidRPr="00BC6F10">
              <w:t>GBVS</w:t>
            </w:r>
            <w:r>
              <w:t>/VAW Survey</w:t>
            </w:r>
          </w:p>
        </w:tc>
        <w:tc>
          <w:tcPr>
            <w:tcW w:w="0" w:type="auto"/>
          </w:tcPr>
          <w:p w14:paraId="6655BB2A" w14:textId="77777777" w:rsidR="00BD06C4" w:rsidRDefault="00BD06C4" w:rsidP="00BD06C4">
            <w:pPr>
              <w:pStyle w:val="NoSpacing"/>
            </w:pPr>
            <w:r>
              <w:t>BBS</w:t>
            </w:r>
          </w:p>
          <w:p w14:paraId="01FA263C" w14:textId="738F037C" w:rsidR="00BD06C4" w:rsidRDefault="00BD06C4" w:rsidP="00BD06C4">
            <w:pPr>
              <w:pStyle w:val="NoSpacing"/>
              <w:rPr>
                <w:color w:val="0070C0"/>
                <w:sz w:val="30"/>
                <w:szCs w:val="30"/>
              </w:rPr>
            </w:pPr>
            <w:r>
              <w:t xml:space="preserve"> VAWS</w:t>
            </w:r>
          </w:p>
        </w:tc>
        <w:tc>
          <w:tcPr>
            <w:tcW w:w="0" w:type="auto"/>
          </w:tcPr>
          <w:p w14:paraId="74997574" w14:textId="77777777" w:rsidR="00BD06C4" w:rsidRDefault="00BD06C4" w:rsidP="00BD06C4">
            <w:pPr>
              <w:pStyle w:val="ListParagraph"/>
              <w:numPr>
                <w:ilvl w:val="0"/>
                <w:numId w:val="52"/>
              </w:numPr>
              <w:spacing w:after="0" w:line="240" w:lineRule="auto"/>
              <w:jc w:val="both"/>
              <w:rPr>
                <w:rFonts w:ascii="Tw Cen MT Condensed" w:hAnsi="Tw Cen MT Condensed"/>
                <w:sz w:val="20"/>
                <w:szCs w:val="20"/>
              </w:rPr>
            </w:pPr>
            <w:r>
              <w:rPr>
                <w:rFonts w:ascii="Tw Cen MT Condensed" w:hAnsi="Tw Cen MT Condensed"/>
                <w:sz w:val="20"/>
                <w:szCs w:val="20"/>
              </w:rPr>
              <w:t>Sex: Male, Female, Transgender</w:t>
            </w:r>
          </w:p>
          <w:p w14:paraId="3E3BE30C" w14:textId="77777777" w:rsidR="00BD06C4" w:rsidRDefault="00BD06C4" w:rsidP="00BD06C4">
            <w:pPr>
              <w:pStyle w:val="ListParagraph"/>
              <w:numPr>
                <w:ilvl w:val="0"/>
                <w:numId w:val="52"/>
              </w:numPr>
              <w:spacing w:after="0" w:line="240" w:lineRule="auto"/>
              <w:jc w:val="both"/>
              <w:rPr>
                <w:rFonts w:ascii="Tw Cen MT Condensed" w:hAnsi="Tw Cen MT Condensed"/>
                <w:sz w:val="20"/>
                <w:szCs w:val="20"/>
              </w:rPr>
            </w:pPr>
            <w:r>
              <w:rPr>
                <w:rFonts w:ascii="Tw Cen MT Condensed" w:hAnsi="Tw Cen MT Condensed"/>
                <w:sz w:val="20"/>
                <w:szCs w:val="20"/>
              </w:rPr>
              <w:t>type of crime</w:t>
            </w:r>
          </w:p>
          <w:p w14:paraId="1A82102A" w14:textId="5B2AFB1A" w:rsidR="00BD06C4" w:rsidRDefault="00BD06C4" w:rsidP="00BD06C4">
            <w:pPr>
              <w:pStyle w:val="ListParagraph"/>
              <w:numPr>
                <w:ilvl w:val="0"/>
                <w:numId w:val="52"/>
              </w:numPr>
              <w:spacing w:after="0" w:line="240" w:lineRule="auto"/>
              <w:jc w:val="both"/>
              <w:rPr>
                <w:rFonts w:ascii="Tw Cen MT Condensed" w:hAnsi="Tw Cen MT Condensed"/>
                <w:sz w:val="20"/>
                <w:szCs w:val="20"/>
              </w:rPr>
            </w:pPr>
            <w:r>
              <w:rPr>
                <w:rFonts w:ascii="Tw Cen MT Condensed" w:hAnsi="Tw Cen MT Condensed"/>
                <w:sz w:val="20"/>
                <w:szCs w:val="20"/>
              </w:rPr>
              <w:t>ethnicity</w:t>
            </w:r>
            <w:r w:rsidR="00382D17">
              <w:rPr>
                <w:rFonts w:ascii="Tw Cen MT Condensed" w:hAnsi="Tw Cen MT Condensed"/>
                <w:sz w:val="20"/>
                <w:szCs w:val="20"/>
              </w:rPr>
              <w:t>: Ethnic/Non Ethnic</w:t>
            </w:r>
          </w:p>
          <w:p w14:paraId="0AB2D5B5" w14:textId="77777777" w:rsidR="00BD06C4" w:rsidRDefault="00BD06C4" w:rsidP="00BD06C4">
            <w:pPr>
              <w:pStyle w:val="ListParagraph"/>
              <w:numPr>
                <w:ilvl w:val="0"/>
                <w:numId w:val="52"/>
              </w:numPr>
              <w:spacing w:after="0" w:line="240" w:lineRule="auto"/>
              <w:jc w:val="both"/>
              <w:rPr>
                <w:rFonts w:ascii="Tw Cen MT Condensed" w:hAnsi="Tw Cen MT Condensed"/>
                <w:sz w:val="20"/>
                <w:szCs w:val="20"/>
              </w:rPr>
            </w:pPr>
            <w:r>
              <w:rPr>
                <w:rFonts w:ascii="Tw Cen MT Condensed" w:hAnsi="Tw Cen MT Condensed"/>
                <w:sz w:val="20"/>
                <w:szCs w:val="20"/>
              </w:rPr>
              <w:t>migration background</w:t>
            </w:r>
          </w:p>
          <w:p w14:paraId="09BD27F2" w14:textId="77777777" w:rsidR="00BD06C4" w:rsidRDefault="00BD06C4" w:rsidP="00BD06C4">
            <w:pPr>
              <w:pStyle w:val="NoSpacing"/>
            </w:pPr>
            <w:r>
              <w:rPr>
                <w:rFonts w:hint="cs"/>
                <w:cs/>
                <w:lang w:bidi="bn-BD"/>
              </w:rPr>
              <w:t xml:space="preserve">        </w:t>
            </w:r>
            <w:r>
              <w:t>citizenship</w:t>
            </w:r>
          </w:p>
          <w:p w14:paraId="38B22251" w14:textId="77777777" w:rsidR="00BD06C4" w:rsidRPr="00322832" w:rsidRDefault="00BD06C4" w:rsidP="00BD06C4">
            <w:pPr>
              <w:jc w:val="both"/>
              <w:rPr>
                <w:szCs w:val="20"/>
              </w:rPr>
            </w:pPr>
          </w:p>
        </w:tc>
        <w:tc>
          <w:tcPr>
            <w:tcW w:w="0" w:type="auto"/>
          </w:tcPr>
          <w:p w14:paraId="24DB4822" w14:textId="77777777" w:rsidR="00BD06C4" w:rsidRDefault="00BD06C4" w:rsidP="00BD06C4">
            <w:pPr>
              <w:ind w:left="970" w:hanging="970"/>
              <w:jc w:val="both"/>
              <w:rPr>
                <w:color w:val="0070C0"/>
                <w:sz w:val="30"/>
                <w:szCs w:val="30"/>
              </w:rPr>
            </w:pPr>
            <w:r w:rsidRPr="008C500F">
              <w:rPr>
                <w:szCs w:val="26"/>
              </w:rPr>
              <w:t>Triennial</w:t>
            </w:r>
          </w:p>
        </w:tc>
        <w:tc>
          <w:tcPr>
            <w:tcW w:w="0" w:type="auto"/>
          </w:tcPr>
          <w:p w14:paraId="0B6AF781" w14:textId="77777777" w:rsidR="00BD06C4" w:rsidRDefault="00BD06C4" w:rsidP="00BD06C4">
            <w:pPr>
              <w:ind w:left="970" w:hanging="970"/>
              <w:jc w:val="both"/>
              <w:rPr>
                <w:color w:val="0070C0"/>
                <w:sz w:val="30"/>
                <w:szCs w:val="30"/>
              </w:rPr>
            </w:pPr>
            <w:r>
              <w:t>Group 1</w:t>
            </w:r>
          </w:p>
        </w:tc>
        <w:tc>
          <w:tcPr>
            <w:tcW w:w="0" w:type="auto"/>
          </w:tcPr>
          <w:p w14:paraId="1BF9BDA3" w14:textId="77777777" w:rsidR="00BD06C4" w:rsidRDefault="00BD06C4" w:rsidP="00BD06C4">
            <w:pPr>
              <w:pStyle w:val="NoSpacing"/>
            </w:pPr>
            <w:r>
              <w:t>1</w:t>
            </w:r>
            <w:r w:rsidRPr="00013ACB">
              <w:rPr>
                <w:vertAlign w:val="superscript"/>
              </w:rPr>
              <w:t>st</w:t>
            </w:r>
            <w:r>
              <w:t xml:space="preserve"> Round:</w:t>
            </w:r>
          </w:p>
          <w:p w14:paraId="56ECDBF9" w14:textId="77777777" w:rsidR="00BD06C4" w:rsidRDefault="00BD06C4" w:rsidP="00BD06C4">
            <w:pPr>
              <w:pStyle w:val="NoSpacing"/>
            </w:pPr>
            <w:r>
              <w:t>2015</w:t>
            </w:r>
          </w:p>
          <w:p w14:paraId="57BFBD6A" w14:textId="77777777" w:rsidR="00BD06C4" w:rsidRDefault="00BD06C4" w:rsidP="00BD06C4">
            <w:pPr>
              <w:pStyle w:val="NoSpacing"/>
            </w:pPr>
          </w:p>
          <w:p w14:paraId="71D2832A" w14:textId="77777777" w:rsidR="00BD06C4" w:rsidRDefault="00BD06C4" w:rsidP="00BD06C4">
            <w:pPr>
              <w:pStyle w:val="NoSpacing"/>
            </w:pPr>
            <w:r>
              <w:t>2</w:t>
            </w:r>
            <w:r w:rsidRPr="00013ACB">
              <w:rPr>
                <w:vertAlign w:val="superscript"/>
              </w:rPr>
              <w:t>nd</w:t>
            </w:r>
            <w:r>
              <w:t xml:space="preserve"> Round:</w:t>
            </w:r>
          </w:p>
          <w:p w14:paraId="33FEE589" w14:textId="77777777" w:rsidR="00BD06C4" w:rsidRDefault="00BD06C4" w:rsidP="00BD06C4">
            <w:pPr>
              <w:pStyle w:val="NoSpacing"/>
            </w:pPr>
            <w:r>
              <w:t xml:space="preserve">December, </w:t>
            </w:r>
          </w:p>
          <w:p w14:paraId="54B8753C" w14:textId="77777777" w:rsidR="00BD06C4" w:rsidRDefault="00BD06C4" w:rsidP="00BD06C4">
            <w:pPr>
              <w:pStyle w:val="NoSpacing"/>
            </w:pPr>
            <w:r>
              <w:t>2019</w:t>
            </w:r>
          </w:p>
          <w:p w14:paraId="43766F0A" w14:textId="77777777" w:rsidR="00BD06C4" w:rsidRDefault="00BD06C4" w:rsidP="00BD06C4">
            <w:pPr>
              <w:pStyle w:val="NoSpacing"/>
            </w:pPr>
          </w:p>
          <w:p w14:paraId="318EB038" w14:textId="77777777" w:rsidR="00BD06C4" w:rsidRDefault="00BD06C4" w:rsidP="00BD06C4">
            <w:pPr>
              <w:pStyle w:val="NoSpacing"/>
            </w:pPr>
            <w:r>
              <w:t>3</w:t>
            </w:r>
            <w:r w:rsidRPr="00013ACB">
              <w:rPr>
                <w:vertAlign w:val="superscript"/>
              </w:rPr>
              <w:t>rd</w:t>
            </w:r>
            <w:r>
              <w:t xml:space="preserve"> Round: </w:t>
            </w:r>
          </w:p>
          <w:p w14:paraId="4A0B292A" w14:textId="77777777" w:rsidR="00BD06C4" w:rsidRDefault="00BD06C4" w:rsidP="00BD06C4">
            <w:pPr>
              <w:pStyle w:val="NoSpacing"/>
            </w:pPr>
            <w:r>
              <w:t xml:space="preserve">December, </w:t>
            </w:r>
          </w:p>
          <w:p w14:paraId="2936FB6A" w14:textId="77777777" w:rsidR="00BD06C4" w:rsidRDefault="00BD06C4" w:rsidP="00BD06C4">
            <w:pPr>
              <w:pStyle w:val="NoSpacing"/>
            </w:pPr>
            <w:r>
              <w:t>2022</w:t>
            </w:r>
          </w:p>
          <w:p w14:paraId="3D57CC1A" w14:textId="77777777" w:rsidR="00BD06C4" w:rsidRDefault="00BD06C4" w:rsidP="00BD06C4">
            <w:pPr>
              <w:pStyle w:val="NoSpacing"/>
            </w:pPr>
          </w:p>
          <w:p w14:paraId="6C3DDCEE" w14:textId="77777777" w:rsidR="00BD06C4" w:rsidRDefault="00BD06C4" w:rsidP="00BD06C4">
            <w:pPr>
              <w:pStyle w:val="NoSpacing"/>
            </w:pPr>
            <w:r>
              <w:t>4</w:t>
            </w:r>
            <w:r w:rsidRPr="00013ACB">
              <w:rPr>
                <w:vertAlign w:val="superscript"/>
              </w:rPr>
              <w:t>th</w:t>
            </w:r>
            <w:r>
              <w:t xml:space="preserve"> Round: </w:t>
            </w:r>
          </w:p>
          <w:p w14:paraId="1C518E59" w14:textId="77777777" w:rsidR="00BD06C4" w:rsidRDefault="00BD06C4" w:rsidP="00BD06C4">
            <w:pPr>
              <w:pStyle w:val="NoSpacing"/>
            </w:pPr>
            <w:r>
              <w:t xml:space="preserve">December, </w:t>
            </w:r>
          </w:p>
          <w:p w14:paraId="7FCEB7C8" w14:textId="77777777" w:rsidR="00BD06C4" w:rsidRDefault="00BD06C4" w:rsidP="00BD06C4">
            <w:pPr>
              <w:pStyle w:val="NoSpacing"/>
            </w:pPr>
            <w:r>
              <w:t>2025</w:t>
            </w:r>
          </w:p>
          <w:p w14:paraId="386D707D" w14:textId="77777777" w:rsidR="00BD06C4" w:rsidRDefault="00BD06C4" w:rsidP="00BD06C4">
            <w:pPr>
              <w:pStyle w:val="NoSpacing"/>
            </w:pPr>
          </w:p>
          <w:p w14:paraId="59813690" w14:textId="77777777" w:rsidR="00BD06C4" w:rsidRDefault="00BD06C4" w:rsidP="00BD06C4">
            <w:pPr>
              <w:pStyle w:val="NoSpacing"/>
            </w:pPr>
            <w:r>
              <w:t>5</w:t>
            </w:r>
            <w:r w:rsidRPr="00013ACB">
              <w:rPr>
                <w:vertAlign w:val="superscript"/>
              </w:rPr>
              <w:t>th</w:t>
            </w:r>
            <w:r>
              <w:t xml:space="preserve"> Round: </w:t>
            </w:r>
          </w:p>
          <w:p w14:paraId="4D171345" w14:textId="77777777" w:rsidR="00BD06C4" w:rsidRDefault="00BD06C4" w:rsidP="00BD06C4">
            <w:pPr>
              <w:pStyle w:val="NoSpacing"/>
            </w:pPr>
            <w:r>
              <w:t xml:space="preserve">December, </w:t>
            </w:r>
          </w:p>
          <w:p w14:paraId="094B198F" w14:textId="77777777" w:rsidR="00BD06C4" w:rsidRDefault="00BD06C4" w:rsidP="00BD06C4">
            <w:pPr>
              <w:pStyle w:val="NoSpacing"/>
            </w:pPr>
            <w:r>
              <w:t>2028</w:t>
            </w:r>
          </w:p>
          <w:p w14:paraId="6D77C6F8" w14:textId="2FAD0D59" w:rsidR="00BD06C4" w:rsidRPr="00C3536E" w:rsidRDefault="00BD06C4" w:rsidP="00BD06C4">
            <w:pPr>
              <w:pStyle w:val="NoSpacing"/>
            </w:pPr>
          </w:p>
        </w:tc>
        <w:tc>
          <w:tcPr>
            <w:tcW w:w="0" w:type="auto"/>
          </w:tcPr>
          <w:p w14:paraId="2718F8AE" w14:textId="77777777" w:rsidR="00BD06C4" w:rsidRDefault="00BD06C4" w:rsidP="00BD06C4">
            <w:pPr>
              <w:ind w:left="970" w:hanging="970"/>
              <w:jc w:val="both"/>
              <w:rPr>
                <w:color w:val="0070C0"/>
                <w:sz w:val="30"/>
                <w:szCs w:val="30"/>
              </w:rPr>
            </w:pPr>
          </w:p>
        </w:tc>
      </w:tr>
      <w:tr w:rsidR="00BD06C4" w14:paraId="74310C48" w14:textId="77777777" w:rsidTr="00A64F0D">
        <w:tc>
          <w:tcPr>
            <w:tcW w:w="0" w:type="auto"/>
          </w:tcPr>
          <w:p w14:paraId="641D0E8E" w14:textId="77777777" w:rsidR="00BD06C4" w:rsidRPr="00BA046C" w:rsidRDefault="00BD06C4" w:rsidP="00BD06C4">
            <w:pPr>
              <w:pStyle w:val="NoSpacing"/>
            </w:pPr>
            <w:r w:rsidRPr="00BA046C">
              <w:lastRenderedPageBreak/>
              <w:t>16.3.2 Unsentenced detainees as a proportion of overall prison population</w:t>
            </w:r>
          </w:p>
        </w:tc>
        <w:tc>
          <w:tcPr>
            <w:tcW w:w="0" w:type="auto"/>
          </w:tcPr>
          <w:p w14:paraId="49C44968" w14:textId="77777777" w:rsidR="00BD06C4" w:rsidRDefault="00BD06C4" w:rsidP="00BD06C4">
            <w:pPr>
              <w:ind w:left="970" w:hanging="970"/>
              <w:jc w:val="both"/>
              <w:rPr>
                <w:color w:val="0070C0"/>
                <w:sz w:val="30"/>
                <w:szCs w:val="30"/>
              </w:rPr>
            </w:pPr>
          </w:p>
          <w:p w14:paraId="0A41033C" w14:textId="77777777" w:rsidR="00BD06C4" w:rsidRDefault="00BD06C4" w:rsidP="00BD06C4">
            <w:pPr>
              <w:pStyle w:val="NoSpacing"/>
            </w:pPr>
            <w:r w:rsidRPr="007145C8">
              <w:t>UNODC</w:t>
            </w:r>
          </w:p>
        </w:tc>
        <w:tc>
          <w:tcPr>
            <w:tcW w:w="0" w:type="auto"/>
          </w:tcPr>
          <w:p w14:paraId="7B25D036" w14:textId="77777777" w:rsidR="00BD06C4" w:rsidRDefault="00BD06C4" w:rsidP="00BD06C4">
            <w:pPr>
              <w:ind w:left="970" w:hanging="970"/>
              <w:jc w:val="both"/>
              <w:rPr>
                <w:color w:val="0070C0"/>
                <w:sz w:val="30"/>
                <w:szCs w:val="30"/>
              </w:rPr>
            </w:pPr>
            <w:r>
              <w:t>Tier I</w:t>
            </w:r>
          </w:p>
        </w:tc>
        <w:tc>
          <w:tcPr>
            <w:tcW w:w="0" w:type="auto"/>
          </w:tcPr>
          <w:p w14:paraId="74B1A964" w14:textId="77777777" w:rsidR="00BD06C4" w:rsidRPr="00FB4347" w:rsidRDefault="00BD06C4" w:rsidP="00BD06C4">
            <w:pPr>
              <w:pStyle w:val="NoSpacing"/>
              <w:rPr>
                <w:lang w:val="en-GB"/>
              </w:rPr>
            </w:pPr>
            <w:r w:rsidRPr="00FB4347">
              <w:rPr>
                <w:b/>
                <w:bCs/>
                <w:lang w:val="en-GB"/>
              </w:rPr>
              <w:t>Definition:</w:t>
            </w:r>
          </w:p>
          <w:p w14:paraId="5EBC523E" w14:textId="77777777" w:rsidR="00BD06C4" w:rsidRPr="00FB4347" w:rsidRDefault="00BD06C4" w:rsidP="00BD06C4">
            <w:pPr>
              <w:pStyle w:val="NoSpacing"/>
              <w:rPr>
                <w:lang w:val="en-GB"/>
              </w:rPr>
            </w:pPr>
          </w:p>
          <w:p w14:paraId="79AC0A88" w14:textId="77777777" w:rsidR="00BD06C4" w:rsidRPr="00FB4347" w:rsidRDefault="00BD06C4" w:rsidP="00BD06C4">
            <w:pPr>
              <w:pStyle w:val="NoSpacing"/>
              <w:rPr>
                <w:lang w:val="en-GB"/>
              </w:rPr>
            </w:pPr>
            <w:r w:rsidRPr="00FB4347">
              <w:rPr>
                <w:lang w:val="en-GB"/>
              </w:rPr>
              <w:t>The total number of persons held in detention who have not yet been sentenced, as a percentage of the total number of persons held in detention, on a specified date.</w:t>
            </w:r>
          </w:p>
          <w:p w14:paraId="581D06D4" w14:textId="77777777" w:rsidR="00BD06C4" w:rsidRPr="00FB4347" w:rsidRDefault="00BD06C4" w:rsidP="00BD06C4">
            <w:pPr>
              <w:pStyle w:val="NoSpacing"/>
              <w:rPr>
                <w:lang w:val="en-GB"/>
              </w:rPr>
            </w:pPr>
          </w:p>
          <w:p w14:paraId="6C9BE3EE" w14:textId="77777777" w:rsidR="00BD06C4" w:rsidRPr="00FB4347" w:rsidRDefault="00BD06C4" w:rsidP="00BD06C4">
            <w:pPr>
              <w:pStyle w:val="NoSpacing"/>
              <w:rPr>
                <w:lang w:val="en-GB"/>
              </w:rPr>
            </w:pPr>
            <w:r w:rsidRPr="00FB4347">
              <w:rPr>
                <w:b/>
                <w:bCs/>
                <w:lang w:val="en-GB"/>
              </w:rPr>
              <w:t>Concepts:</w:t>
            </w:r>
          </w:p>
          <w:p w14:paraId="33841766" w14:textId="77777777" w:rsidR="00BD06C4" w:rsidRPr="00FB4347" w:rsidRDefault="00BD06C4" w:rsidP="00BD06C4">
            <w:pPr>
              <w:pStyle w:val="NoSpacing"/>
              <w:rPr>
                <w:lang w:val="en-GB"/>
              </w:rPr>
            </w:pPr>
          </w:p>
          <w:p w14:paraId="6D827A4B" w14:textId="77777777" w:rsidR="00BD06C4" w:rsidRPr="00FB4347" w:rsidRDefault="00BD06C4" w:rsidP="00BD06C4">
            <w:pPr>
              <w:pStyle w:val="NoSpacing"/>
              <w:rPr>
                <w:lang w:val="en-GB"/>
              </w:rPr>
            </w:pPr>
            <w:r w:rsidRPr="00FB4347">
              <w:rPr>
                <w:lang w:val="en-GB"/>
              </w:rPr>
              <w:t>‘Sentenced’ refers to persons subject to criminal proceedings who have received a decision from a competent authority regarding their conviction or acquittal. For the purposes of the indicator, persons who have received a ‘non-final’ decision (such as where a conviction is subject to appeal) are considered to be ‘sentenced’.</w:t>
            </w:r>
          </w:p>
          <w:p w14:paraId="419A9212" w14:textId="77777777" w:rsidR="00BD06C4" w:rsidRPr="00FB4347" w:rsidRDefault="00BD06C4" w:rsidP="00BD06C4">
            <w:pPr>
              <w:pStyle w:val="NoSpacing"/>
              <w:rPr>
                <w:lang w:val="en-GB"/>
              </w:rPr>
            </w:pPr>
          </w:p>
          <w:p w14:paraId="61E29C12" w14:textId="77777777" w:rsidR="00BD06C4" w:rsidRPr="00FB4347" w:rsidRDefault="00BD06C4" w:rsidP="00BD06C4">
            <w:pPr>
              <w:pStyle w:val="NoSpacing"/>
              <w:rPr>
                <w:lang w:val="en-GB"/>
              </w:rPr>
            </w:pPr>
            <w:r w:rsidRPr="00FB4347">
              <w:rPr>
                <w:b/>
                <w:bCs/>
                <w:lang w:val="en-GB"/>
              </w:rPr>
              <w:t>Comments and limitations:</w:t>
            </w:r>
          </w:p>
          <w:p w14:paraId="4D8A4F15" w14:textId="77777777" w:rsidR="00BD06C4" w:rsidRPr="00FB4347" w:rsidRDefault="00BD06C4" w:rsidP="00BD06C4">
            <w:pPr>
              <w:pStyle w:val="NoSpacing"/>
              <w:rPr>
                <w:lang w:val="en-GB"/>
              </w:rPr>
            </w:pPr>
          </w:p>
          <w:p w14:paraId="4E08ABB9" w14:textId="77777777" w:rsidR="00BD06C4" w:rsidRPr="00FB4347" w:rsidRDefault="00BD06C4" w:rsidP="00BD06C4">
            <w:pPr>
              <w:pStyle w:val="NoSpacing"/>
              <w:rPr>
                <w:lang w:val="en-GB"/>
              </w:rPr>
            </w:pPr>
            <w:r w:rsidRPr="00FB4347">
              <w:rPr>
                <w:lang w:val="en-GB"/>
              </w:rPr>
              <w:t>The target relates to the multidimensional concepts of rule of law and access to justice and at least two indicators are required to cover the main elements of access to justice and efficiency of the justice system. The proposed indicator 16.3.2 covers the efficiency of the justice system.</w:t>
            </w:r>
          </w:p>
          <w:p w14:paraId="3DB0C2E8" w14:textId="77777777" w:rsidR="00BD06C4" w:rsidRPr="00FB4347" w:rsidRDefault="00BD06C4" w:rsidP="00BD06C4">
            <w:pPr>
              <w:pStyle w:val="NoSpacing"/>
              <w:rPr>
                <w:b/>
                <w:bCs/>
                <w:lang w:val="en-GB"/>
              </w:rPr>
            </w:pPr>
          </w:p>
          <w:p w14:paraId="41320AEF" w14:textId="77777777" w:rsidR="00BD06C4" w:rsidRPr="00FB4347" w:rsidRDefault="00BD06C4" w:rsidP="00BD06C4">
            <w:pPr>
              <w:pStyle w:val="NoSpacing"/>
              <w:rPr>
                <w:lang w:val="en-GB"/>
              </w:rPr>
            </w:pPr>
            <w:r w:rsidRPr="00FB4347">
              <w:rPr>
                <w:b/>
                <w:bCs/>
                <w:lang w:val="en-GB"/>
              </w:rPr>
              <w:t>Computation Method:</w:t>
            </w:r>
          </w:p>
          <w:p w14:paraId="37DA45B2" w14:textId="77777777" w:rsidR="00BD06C4" w:rsidRPr="00FB4347" w:rsidRDefault="00BD06C4" w:rsidP="00BD06C4">
            <w:pPr>
              <w:pStyle w:val="NoSpacing"/>
              <w:rPr>
                <w:lang w:val="en-GB"/>
              </w:rPr>
            </w:pPr>
          </w:p>
          <w:p w14:paraId="4BB09375" w14:textId="77777777" w:rsidR="00BD06C4" w:rsidRPr="00FB4347" w:rsidRDefault="00BD06C4" w:rsidP="00BD06C4">
            <w:pPr>
              <w:pStyle w:val="NoSpacing"/>
              <w:rPr>
                <w:lang w:val="en-GB"/>
              </w:rPr>
            </w:pPr>
            <w:r w:rsidRPr="00FB4347">
              <w:rPr>
                <w:lang w:val="en-GB"/>
              </w:rPr>
              <w:t>The total number of unsentenced persons held in detention divided by the total number of persons held in detention, on a specified date.</w:t>
            </w:r>
          </w:p>
          <w:p w14:paraId="5015C885" w14:textId="77777777" w:rsidR="00BD06C4" w:rsidRDefault="00BD06C4" w:rsidP="00BD06C4">
            <w:pPr>
              <w:pStyle w:val="NoSpacing"/>
            </w:pPr>
          </w:p>
        </w:tc>
        <w:tc>
          <w:tcPr>
            <w:tcW w:w="0" w:type="auto"/>
          </w:tcPr>
          <w:p w14:paraId="6EBA6810" w14:textId="77777777" w:rsidR="00BD06C4" w:rsidRPr="00873FDE" w:rsidRDefault="00BD06C4" w:rsidP="00BD06C4">
            <w:pPr>
              <w:pStyle w:val="NoSpacing"/>
            </w:pPr>
            <w:r w:rsidRPr="00873FDE">
              <w:t xml:space="preserve">There is a consolidated system of annual data collection on crime and criminal justice (UN- Crime Trends Survey, UN-CTS) which represents the basis of data on unsentenced detainees. The UN-CTS data collection is largely based on the network of national Focal Points, which are institutions/officials appointed by countries and having the technical capacity and role to produce data on crime and criminal justice (around 130 appointed Focal Points as of 2016). In addition, these </w:t>
            </w:r>
            <w:r w:rsidRPr="00873FDE">
              <w:lastRenderedPageBreak/>
              <w:t>data are supplemented for countries with missing values with official data collected by the Institute for Criminal Policy Research (World Prison Brief), which collects data directly from national prison administrations or from the websites of Ministries of Justice or other official agencies. For future SDG reporting data will be sent to countries for consultation prior to publication.</w:t>
            </w:r>
          </w:p>
        </w:tc>
        <w:tc>
          <w:tcPr>
            <w:tcW w:w="0" w:type="auto"/>
          </w:tcPr>
          <w:p w14:paraId="00370E2D" w14:textId="77777777" w:rsidR="00BD06C4" w:rsidRPr="00873FDE" w:rsidRDefault="00BD06C4" w:rsidP="00BD06C4">
            <w:pPr>
              <w:pStyle w:val="NoSpacing"/>
            </w:pPr>
            <w:r w:rsidRPr="00873FDE">
              <w:lastRenderedPageBreak/>
              <w:t>National prison authority, through UN-CTS Focal Point</w:t>
            </w:r>
          </w:p>
        </w:tc>
        <w:tc>
          <w:tcPr>
            <w:tcW w:w="0" w:type="auto"/>
          </w:tcPr>
          <w:p w14:paraId="5B27783D" w14:textId="77777777" w:rsidR="00BD06C4" w:rsidRDefault="00BD06C4" w:rsidP="00BD06C4">
            <w:pPr>
              <w:pStyle w:val="NoSpacing"/>
            </w:pPr>
            <w:r>
              <w:t>DoP, SSD</w:t>
            </w:r>
          </w:p>
          <w:p w14:paraId="143C963A" w14:textId="77777777" w:rsidR="00BD06C4" w:rsidRDefault="00BD06C4" w:rsidP="00BD06C4">
            <w:pPr>
              <w:pStyle w:val="NoSpacing"/>
            </w:pPr>
            <w:r>
              <w:t>Administrative Data</w:t>
            </w:r>
          </w:p>
        </w:tc>
        <w:tc>
          <w:tcPr>
            <w:tcW w:w="0" w:type="auto"/>
          </w:tcPr>
          <w:p w14:paraId="735BFDAB" w14:textId="77777777" w:rsidR="00BD06C4" w:rsidRDefault="00BD06C4" w:rsidP="00BD06C4">
            <w:pPr>
              <w:pStyle w:val="NoSpacing"/>
            </w:pPr>
            <w:r>
              <w:t>DoP, SSD</w:t>
            </w:r>
          </w:p>
          <w:p w14:paraId="2B1F77B8" w14:textId="77777777" w:rsidR="00BD06C4" w:rsidRDefault="00BD06C4" w:rsidP="00BD06C4">
            <w:pPr>
              <w:pStyle w:val="NoSpacing"/>
              <w:rPr>
                <w:color w:val="0070C0"/>
                <w:sz w:val="30"/>
                <w:szCs w:val="30"/>
              </w:rPr>
            </w:pPr>
            <w:r>
              <w:t>Administrative Data</w:t>
            </w:r>
          </w:p>
        </w:tc>
        <w:tc>
          <w:tcPr>
            <w:tcW w:w="0" w:type="auto"/>
          </w:tcPr>
          <w:p w14:paraId="71408537"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0-4 yrs/5-17 yrs/18-29 yrs/30-59 yrs/60+ yrs</w:t>
            </w:r>
          </w:p>
          <w:p w14:paraId="534371BC"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male/female/transgender</w:t>
            </w:r>
          </w:p>
          <w:p w14:paraId="5D6F22B8"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Length of pre-trial (unsentenced) detention: 0-6 days/7-29 days/1-5 months/6-11 months/12 months and more</w:t>
            </w:r>
          </w:p>
          <w:p w14:paraId="0B93DC7E" w14:textId="77777777" w:rsidR="00BD06C4" w:rsidRDefault="00BD06C4" w:rsidP="00BD06C4">
            <w:pPr>
              <w:ind w:left="970" w:hanging="970"/>
              <w:jc w:val="both"/>
              <w:rPr>
                <w:color w:val="0070C0"/>
                <w:sz w:val="30"/>
                <w:szCs w:val="30"/>
              </w:rPr>
            </w:pPr>
          </w:p>
        </w:tc>
        <w:tc>
          <w:tcPr>
            <w:tcW w:w="0" w:type="auto"/>
          </w:tcPr>
          <w:p w14:paraId="427E739D" w14:textId="77777777" w:rsidR="00BD06C4" w:rsidRDefault="00BD06C4" w:rsidP="00BD06C4">
            <w:pPr>
              <w:ind w:left="970" w:hanging="970"/>
              <w:jc w:val="both"/>
              <w:rPr>
                <w:color w:val="0070C0"/>
                <w:sz w:val="30"/>
                <w:szCs w:val="30"/>
              </w:rPr>
            </w:pPr>
            <w:r>
              <w:t>Annual</w:t>
            </w:r>
          </w:p>
        </w:tc>
        <w:tc>
          <w:tcPr>
            <w:tcW w:w="0" w:type="auto"/>
          </w:tcPr>
          <w:p w14:paraId="08261D76" w14:textId="77777777" w:rsidR="00BD06C4" w:rsidRDefault="00BD06C4" w:rsidP="00BD06C4">
            <w:pPr>
              <w:ind w:left="970" w:hanging="970"/>
              <w:jc w:val="both"/>
              <w:rPr>
                <w:color w:val="0070C0"/>
                <w:sz w:val="30"/>
                <w:szCs w:val="30"/>
              </w:rPr>
            </w:pPr>
            <w:r>
              <w:t>Group 1</w:t>
            </w:r>
          </w:p>
        </w:tc>
        <w:tc>
          <w:tcPr>
            <w:tcW w:w="0" w:type="auto"/>
          </w:tcPr>
          <w:p w14:paraId="0C18D799" w14:textId="77777777" w:rsidR="00BD06C4" w:rsidRDefault="00BD06C4" w:rsidP="00BD06C4">
            <w:pPr>
              <w:pStyle w:val="NoSpacing"/>
            </w:pPr>
            <w:r>
              <w:t>1</w:t>
            </w:r>
            <w:r w:rsidRPr="00013ACB">
              <w:rPr>
                <w:vertAlign w:val="superscript"/>
              </w:rPr>
              <w:t>st</w:t>
            </w:r>
            <w:r>
              <w:t xml:space="preserve"> Round:</w:t>
            </w:r>
          </w:p>
          <w:p w14:paraId="3013AD39" w14:textId="77777777" w:rsidR="00BD06C4" w:rsidRDefault="00BD06C4" w:rsidP="00BD06C4">
            <w:pPr>
              <w:pStyle w:val="NoSpacing"/>
            </w:pPr>
            <w:r>
              <w:t>2016</w:t>
            </w:r>
          </w:p>
          <w:p w14:paraId="7DE936B9" w14:textId="77777777" w:rsidR="00BD06C4" w:rsidRDefault="00BD06C4" w:rsidP="00BD06C4">
            <w:pPr>
              <w:pStyle w:val="NoSpacing"/>
            </w:pPr>
          </w:p>
          <w:p w14:paraId="76E5614C" w14:textId="77777777" w:rsidR="00BD06C4" w:rsidRDefault="00BD06C4" w:rsidP="00BD06C4">
            <w:pPr>
              <w:pStyle w:val="NoSpacing"/>
            </w:pPr>
            <w:r>
              <w:t>2</w:t>
            </w:r>
            <w:r w:rsidRPr="00013ACB">
              <w:rPr>
                <w:vertAlign w:val="superscript"/>
              </w:rPr>
              <w:t>nd</w:t>
            </w:r>
            <w:r>
              <w:t xml:space="preserve"> Round:</w:t>
            </w:r>
          </w:p>
          <w:p w14:paraId="58D297D2" w14:textId="77777777" w:rsidR="00BD06C4" w:rsidRDefault="00BD06C4" w:rsidP="00BD06C4">
            <w:pPr>
              <w:pStyle w:val="NoSpacing"/>
            </w:pPr>
            <w:r>
              <w:t xml:space="preserve"> July, </w:t>
            </w:r>
          </w:p>
          <w:p w14:paraId="22172CD5" w14:textId="77777777" w:rsidR="00BD06C4" w:rsidRDefault="00BD06C4" w:rsidP="00BD06C4">
            <w:pPr>
              <w:pStyle w:val="NoSpacing"/>
            </w:pPr>
            <w:r>
              <w:t>2019</w:t>
            </w:r>
          </w:p>
          <w:p w14:paraId="6E1F9D2D" w14:textId="77777777" w:rsidR="00BD06C4" w:rsidRDefault="00BD06C4" w:rsidP="00BD06C4">
            <w:pPr>
              <w:pStyle w:val="NoSpacing"/>
            </w:pPr>
          </w:p>
          <w:p w14:paraId="4DDDB139" w14:textId="77777777" w:rsidR="00BD06C4" w:rsidRDefault="00BD06C4" w:rsidP="00BD06C4">
            <w:pPr>
              <w:pStyle w:val="NoSpacing"/>
            </w:pPr>
            <w:r>
              <w:t>3</w:t>
            </w:r>
            <w:r w:rsidRPr="00013ACB">
              <w:rPr>
                <w:vertAlign w:val="superscript"/>
              </w:rPr>
              <w:t>rd</w:t>
            </w:r>
            <w:r>
              <w:t xml:space="preserve"> Round: </w:t>
            </w:r>
          </w:p>
          <w:p w14:paraId="4CE4A482" w14:textId="77777777" w:rsidR="00BD06C4" w:rsidRDefault="00BD06C4" w:rsidP="00BD06C4">
            <w:pPr>
              <w:pStyle w:val="NoSpacing"/>
            </w:pPr>
            <w:r>
              <w:t xml:space="preserve">July, </w:t>
            </w:r>
          </w:p>
          <w:p w14:paraId="7A87F008" w14:textId="77777777" w:rsidR="00BD06C4" w:rsidRDefault="00BD06C4" w:rsidP="00BD06C4">
            <w:pPr>
              <w:pStyle w:val="NoSpacing"/>
            </w:pPr>
            <w:r>
              <w:t>2020</w:t>
            </w:r>
          </w:p>
          <w:p w14:paraId="4C1056D2" w14:textId="77777777" w:rsidR="00BD06C4" w:rsidRDefault="00BD06C4" w:rsidP="00BD06C4">
            <w:pPr>
              <w:pStyle w:val="NoSpacing"/>
            </w:pPr>
          </w:p>
          <w:p w14:paraId="29DF9021" w14:textId="77777777" w:rsidR="00BD06C4" w:rsidRDefault="00BD06C4" w:rsidP="00BD06C4">
            <w:pPr>
              <w:pStyle w:val="NoSpacing"/>
            </w:pPr>
            <w:r>
              <w:t>4</w:t>
            </w:r>
            <w:r w:rsidRPr="00013ACB">
              <w:rPr>
                <w:vertAlign w:val="superscript"/>
              </w:rPr>
              <w:t>th</w:t>
            </w:r>
            <w:r>
              <w:t xml:space="preserve"> Round: </w:t>
            </w:r>
          </w:p>
          <w:p w14:paraId="00A913AA" w14:textId="77777777" w:rsidR="00BD06C4" w:rsidRDefault="00BD06C4" w:rsidP="00BD06C4">
            <w:pPr>
              <w:pStyle w:val="NoSpacing"/>
            </w:pPr>
            <w:r>
              <w:t xml:space="preserve">July, </w:t>
            </w:r>
          </w:p>
          <w:p w14:paraId="716413C8" w14:textId="77777777" w:rsidR="00BD06C4" w:rsidRDefault="00BD06C4" w:rsidP="00BD06C4">
            <w:pPr>
              <w:pStyle w:val="NoSpacing"/>
            </w:pPr>
            <w:r>
              <w:t>2021</w:t>
            </w:r>
          </w:p>
          <w:p w14:paraId="2757D43F" w14:textId="77777777" w:rsidR="00BD06C4" w:rsidRDefault="00BD06C4" w:rsidP="00BD06C4">
            <w:pPr>
              <w:pStyle w:val="NoSpacing"/>
            </w:pPr>
          </w:p>
          <w:p w14:paraId="6F764C2D" w14:textId="77777777" w:rsidR="00BD06C4" w:rsidRDefault="00BD06C4" w:rsidP="00BD06C4">
            <w:pPr>
              <w:pStyle w:val="NoSpacing"/>
            </w:pPr>
            <w:r>
              <w:t>5</w:t>
            </w:r>
            <w:r w:rsidRPr="00013ACB">
              <w:rPr>
                <w:vertAlign w:val="superscript"/>
              </w:rPr>
              <w:t>th</w:t>
            </w:r>
            <w:r>
              <w:t xml:space="preserve"> Round: </w:t>
            </w:r>
          </w:p>
          <w:p w14:paraId="28554BA4" w14:textId="77777777" w:rsidR="00BD06C4" w:rsidRDefault="00BD06C4" w:rsidP="00BD06C4">
            <w:pPr>
              <w:pStyle w:val="NoSpacing"/>
            </w:pPr>
            <w:r>
              <w:t xml:space="preserve">July, </w:t>
            </w:r>
          </w:p>
          <w:p w14:paraId="6B439EA1" w14:textId="77777777" w:rsidR="00BD06C4" w:rsidRDefault="00BD06C4" w:rsidP="00BD06C4">
            <w:pPr>
              <w:pStyle w:val="NoSpacing"/>
            </w:pPr>
            <w:r>
              <w:t>2022</w:t>
            </w:r>
          </w:p>
          <w:p w14:paraId="271EBCF3" w14:textId="3960437A" w:rsidR="00BD06C4" w:rsidRDefault="00BD06C4" w:rsidP="00BD06C4">
            <w:pPr>
              <w:pStyle w:val="NoSpacing"/>
            </w:pPr>
          </w:p>
        </w:tc>
        <w:tc>
          <w:tcPr>
            <w:tcW w:w="0" w:type="auto"/>
          </w:tcPr>
          <w:p w14:paraId="614376CA" w14:textId="77777777" w:rsidR="00BD06C4" w:rsidRDefault="00BD06C4" w:rsidP="00BD06C4">
            <w:pPr>
              <w:ind w:left="970" w:hanging="970"/>
              <w:jc w:val="both"/>
              <w:rPr>
                <w:color w:val="0070C0"/>
                <w:sz w:val="30"/>
                <w:szCs w:val="30"/>
              </w:rPr>
            </w:pPr>
          </w:p>
        </w:tc>
      </w:tr>
      <w:tr w:rsidR="00BD06C4" w14:paraId="18ECAFBC" w14:textId="77777777" w:rsidTr="00A64F0D">
        <w:tc>
          <w:tcPr>
            <w:tcW w:w="0" w:type="auto"/>
          </w:tcPr>
          <w:p w14:paraId="18B10B63" w14:textId="77777777" w:rsidR="00BD06C4" w:rsidRPr="00BA046C" w:rsidRDefault="00BD06C4" w:rsidP="00BD06C4">
            <w:pPr>
              <w:pStyle w:val="NoSpacing"/>
            </w:pPr>
            <w:r w:rsidRPr="00BA046C">
              <w:lastRenderedPageBreak/>
              <w:t xml:space="preserve">16.3.3 Proportion of the population who have experienced a dispute in the past two years and who </w:t>
            </w:r>
            <w:r w:rsidRPr="00BA046C">
              <w:lastRenderedPageBreak/>
              <w:t>accessed a formal or informal dispute resolution mechanism, by type of mechanism</w:t>
            </w:r>
          </w:p>
        </w:tc>
        <w:tc>
          <w:tcPr>
            <w:tcW w:w="0" w:type="auto"/>
          </w:tcPr>
          <w:p w14:paraId="5B0E97BA" w14:textId="77777777" w:rsidR="00BD06C4" w:rsidRDefault="00BD06C4" w:rsidP="00BD06C4">
            <w:pPr>
              <w:ind w:left="970" w:hanging="970"/>
              <w:jc w:val="both"/>
              <w:rPr>
                <w:color w:val="0070C0"/>
                <w:sz w:val="30"/>
                <w:szCs w:val="30"/>
              </w:rPr>
            </w:pPr>
          </w:p>
          <w:p w14:paraId="59DF8E57" w14:textId="77777777" w:rsidR="00BD06C4" w:rsidRDefault="00BD06C4" w:rsidP="00BD06C4">
            <w:pPr>
              <w:rPr>
                <w:color w:val="0070C0"/>
                <w:sz w:val="30"/>
                <w:szCs w:val="30"/>
              </w:rPr>
            </w:pPr>
          </w:p>
        </w:tc>
        <w:tc>
          <w:tcPr>
            <w:tcW w:w="0" w:type="auto"/>
          </w:tcPr>
          <w:p w14:paraId="70647C4A" w14:textId="3D098406" w:rsidR="00BD06C4" w:rsidRDefault="00754676" w:rsidP="00BD06C4">
            <w:pPr>
              <w:pStyle w:val="NoSpacing"/>
            </w:pPr>
            <w:r>
              <w:t>TBD</w:t>
            </w:r>
          </w:p>
        </w:tc>
        <w:tc>
          <w:tcPr>
            <w:tcW w:w="0" w:type="auto"/>
          </w:tcPr>
          <w:p w14:paraId="5A01172C" w14:textId="77777777" w:rsidR="00BD06C4" w:rsidRPr="00120846" w:rsidRDefault="00BD06C4" w:rsidP="00BD06C4">
            <w:pPr>
              <w:pStyle w:val="NoSpacing"/>
            </w:pPr>
            <w:r w:rsidRPr="00120846">
              <w:rPr>
                <w:b/>
              </w:rPr>
              <w:t xml:space="preserve">Definition </w:t>
            </w:r>
          </w:p>
          <w:p w14:paraId="76E2C939" w14:textId="77777777" w:rsidR="00BD06C4" w:rsidRPr="00120846" w:rsidRDefault="00BD06C4" w:rsidP="00BD06C4">
            <w:pPr>
              <w:pStyle w:val="NoSpacing"/>
            </w:pPr>
            <w:r w:rsidRPr="00120846">
              <w:t xml:space="preserve">Number of persons who experienced a dispute during the past two years who accessed a formal or informal dispute resolution mechanism, as a percentage of all those who experienced a dispute in the past two years, by type of mechanism.  </w:t>
            </w:r>
          </w:p>
          <w:p w14:paraId="754E9287" w14:textId="77777777" w:rsidR="00BD06C4" w:rsidRPr="00120846" w:rsidRDefault="00BD06C4" w:rsidP="00BD06C4">
            <w:pPr>
              <w:pStyle w:val="NoSpacing"/>
            </w:pPr>
            <w:r w:rsidRPr="00120846">
              <w:rPr>
                <w:b/>
              </w:rPr>
              <w:t xml:space="preserve">Concepts </w:t>
            </w:r>
          </w:p>
          <w:p w14:paraId="62584AF0" w14:textId="77777777" w:rsidR="00BD06C4" w:rsidRPr="00120846" w:rsidRDefault="00BD06C4" w:rsidP="00BD06C4">
            <w:pPr>
              <w:pStyle w:val="NoSpacing"/>
            </w:pPr>
            <w:r w:rsidRPr="00120846">
              <w:t xml:space="preserve">A </w:t>
            </w:r>
            <w:r w:rsidRPr="00120846">
              <w:rPr>
                <w:u w:val="single"/>
              </w:rPr>
              <w:t>dispute</w:t>
            </w:r>
            <w:r w:rsidRPr="00120846">
              <w:t xml:space="preserve"> can be understood as a </w:t>
            </w:r>
            <w:r w:rsidRPr="00120846">
              <w:rPr>
                <w:u w:val="single"/>
              </w:rPr>
              <w:t>justiciable problem</w:t>
            </w:r>
            <w:r w:rsidRPr="00120846">
              <w:t xml:space="preserve"> between individuals or between individual(s) and an entity. Justiciable problems can be seen as the ones giving rise to legal issues, whether or not the problems are perceived as being “legal” by those who face them, and whether or not any legal action was taken as a result of the problem.</w:t>
            </w:r>
            <w:r w:rsidRPr="00120846">
              <w:rPr>
                <w:vertAlign w:val="superscript"/>
              </w:rPr>
              <w:footnoteReference w:id="49"/>
            </w:r>
            <w:r w:rsidRPr="00120846">
              <w:t xml:space="preserve"> </w:t>
            </w:r>
          </w:p>
          <w:p w14:paraId="703FC9CD" w14:textId="77777777" w:rsidR="00BD06C4" w:rsidRPr="00120846" w:rsidRDefault="00BD06C4" w:rsidP="00BD06C4">
            <w:pPr>
              <w:pStyle w:val="NoSpacing"/>
            </w:pPr>
            <w:r w:rsidRPr="00120846">
              <w:t>Categories of disputes can vary between countries depending on social, economic, political, legal, institutional and cultural factors. There are, however, a number of categories that have broad applicability across countries, such as problems or disputes related to:</w:t>
            </w:r>
            <w:r w:rsidRPr="00120846">
              <w:rPr>
                <w:vertAlign w:val="superscript"/>
              </w:rPr>
              <w:footnoteReference w:id="50"/>
            </w:r>
            <w:r w:rsidRPr="00120846">
              <w:t xml:space="preserve"> </w:t>
            </w:r>
          </w:p>
          <w:p w14:paraId="5A2DBDE6" w14:textId="77777777" w:rsidR="00BD06C4" w:rsidRPr="00120846" w:rsidRDefault="00BD06C4" w:rsidP="00BD06C4">
            <w:pPr>
              <w:pStyle w:val="NoSpacing"/>
              <w:numPr>
                <w:ilvl w:val="0"/>
                <w:numId w:val="127"/>
              </w:numPr>
            </w:pPr>
            <w:r w:rsidRPr="00120846">
              <w:lastRenderedPageBreak/>
              <w:t xml:space="preserve">Land or buying and selling property </w:t>
            </w:r>
          </w:p>
          <w:p w14:paraId="27DB0748" w14:textId="77777777" w:rsidR="00BD06C4" w:rsidRPr="00120846" w:rsidRDefault="00BD06C4" w:rsidP="00BD06C4">
            <w:pPr>
              <w:pStyle w:val="NoSpacing"/>
              <w:numPr>
                <w:ilvl w:val="0"/>
                <w:numId w:val="127"/>
              </w:numPr>
            </w:pPr>
            <w:r w:rsidRPr="00120846">
              <w:t xml:space="preserve">Family and relationship break ups </w:t>
            </w:r>
          </w:p>
          <w:p w14:paraId="18B3301F" w14:textId="77777777" w:rsidR="00BD06C4" w:rsidRPr="00120846" w:rsidRDefault="00BD06C4" w:rsidP="00BD06C4">
            <w:pPr>
              <w:pStyle w:val="NoSpacing"/>
              <w:numPr>
                <w:ilvl w:val="0"/>
                <w:numId w:val="127"/>
              </w:numPr>
            </w:pPr>
            <w:r w:rsidRPr="00120846">
              <w:t xml:space="preserve">Injuries caused by an intentional or unintentional act or omission of another person or entity </w:t>
            </w:r>
          </w:p>
          <w:p w14:paraId="2D49DC5F" w14:textId="77777777" w:rsidR="00BD06C4" w:rsidRPr="00120846" w:rsidRDefault="00BD06C4" w:rsidP="00BD06C4">
            <w:pPr>
              <w:pStyle w:val="NoSpacing"/>
              <w:numPr>
                <w:ilvl w:val="0"/>
                <w:numId w:val="127"/>
              </w:numPr>
            </w:pPr>
            <w:r w:rsidRPr="00120846">
              <w:t xml:space="preserve">Occupation/employment </w:t>
            </w:r>
          </w:p>
          <w:p w14:paraId="0597EA74" w14:textId="77777777" w:rsidR="00BD06C4" w:rsidRPr="00120846" w:rsidRDefault="00BD06C4" w:rsidP="00BD06C4">
            <w:pPr>
              <w:pStyle w:val="NoSpacing"/>
              <w:numPr>
                <w:ilvl w:val="0"/>
                <w:numId w:val="127"/>
              </w:numPr>
            </w:pPr>
            <w:r w:rsidRPr="00120846">
              <w:t xml:space="preserve">Commercial transactions (including defective or undelivered goods or services) </w:t>
            </w:r>
          </w:p>
          <w:p w14:paraId="300A11A0" w14:textId="77777777" w:rsidR="00BD06C4" w:rsidRPr="00120846" w:rsidRDefault="00BD06C4" w:rsidP="00BD06C4">
            <w:pPr>
              <w:pStyle w:val="NoSpacing"/>
              <w:numPr>
                <w:ilvl w:val="0"/>
                <w:numId w:val="127"/>
              </w:numPr>
            </w:pPr>
            <w:r w:rsidRPr="00120846">
              <w:t xml:space="preserve">Government and public services (including abuse by public officials) </w:t>
            </w:r>
          </w:p>
          <w:p w14:paraId="0D52E46B" w14:textId="77777777" w:rsidR="00BD06C4" w:rsidRPr="00120846" w:rsidRDefault="00BD06C4" w:rsidP="00BD06C4">
            <w:pPr>
              <w:pStyle w:val="NoSpacing"/>
              <w:numPr>
                <w:ilvl w:val="0"/>
                <w:numId w:val="127"/>
              </w:numPr>
            </w:pPr>
            <w:r w:rsidRPr="00120846">
              <w:t xml:space="preserve">Government payments  </w:t>
            </w:r>
          </w:p>
          <w:p w14:paraId="4011A6AD" w14:textId="77777777" w:rsidR="00BD06C4" w:rsidRPr="00120846" w:rsidRDefault="00BD06C4" w:rsidP="00BD06C4">
            <w:pPr>
              <w:pStyle w:val="NoSpacing"/>
              <w:numPr>
                <w:ilvl w:val="0"/>
                <w:numId w:val="127"/>
              </w:numPr>
            </w:pPr>
            <w:r w:rsidRPr="00120846">
              <w:t xml:space="preserve">Housing (Tenancy and landlord)  </w:t>
            </w:r>
          </w:p>
          <w:p w14:paraId="00341178" w14:textId="77777777" w:rsidR="00BD06C4" w:rsidRPr="00120846" w:rsidRDefault="00BD06C4" w:rsidP="00BD06C4">
            <w:pPr>
              <w:pStyle w:val="NoSpacing"/>
              <w:numPr>
                <w:ilvl w:val="0"/>
                <w:numId w:val="127"/>
              </w:numPr>
            </w:pPr>
            <w:r w:rsidRPr="00120846">
              <w:t xml:space="preserve">Debt, damage compensation, and other financial matters </w:t>
            </w:r>
          </w:p>
          <w:p w14:paraId="688EDB2B" w14:textId="77777777" w:rsidR="00BD06C4" w:rsidRPr="00120846" w:rsidRDefault="00BD06C4" w:rsidP="00BD06C4">
            <w:pPr>
              <w:pStyle w:val="NoSpacing"/>
            </w:pPr>
            <w:r w:rsidRPr="00120846">
              <w:t xml:space="preserve">Dispute resolution mechanisms can vary across countries around the world. While in many countries courts represent the main institution dealing with disputes of civil nature, the same may not be true in countries or societies where the first point of reference in such cases are informal systems, traditional or religious leaders. The </w:t>
            </w:r>
            <w:proofErr w:type="gramStart"/>
            <w:r w:rsidRPr="00120846">
              <w:t>formulation of the indicator, and the formulation of the questions in the survey, have</w:t>
            </w:r>
            <w:proofErr w:type="gramEnd"/>
            <w:r w:rsidRPr="00120846">
              <w:t xml:space="preserve"> to account for these differences and make sure to include all relevant institutions or mechanisms that are generally recognized and used. A list of dispute resolution mechanisms could include</w:t>
            </w:r>
            <w:r w:rsidRPr="00120846">
              <w:rPr>
                <w:vertAlign w:val="superscript"/>
              </w:rPr>
              <w:footnoteReference w:id="51"/>
            </w:r>
            <w:r w:rsidRPr="00120846">
              <w:t xml:space="preserve">:  </w:t>
            </w:r>
          </w:p>
          <w:p w14:paraId="4B7AF1C4" w14:textId="77777777" w:rsidR="00BD06C4" w:rsidRPr="00120846" w:rsidRDefault="00BD06C4" w:rsidP="00BD06C4">
            <w:pPr>
              <w:pStyle w:val="NoSpacing"/>
              <w:numPr>
                <w:ilvl w:val="0"/>
                <w:numId w:val="127"/>
              </w:numPr>
            </w:pPr>
            <w:r w:rsidRPr="00120846">
              <w:t xml:space="preserve">Lawyer or third-party mediation </w:t>
            </w:r>
          </w:p>
          <w:p w14:paraId="4699B8B4" w14:textId="77777777" w:rsidR="00BD06C4" w:rsidRPr="00120846" w:rsidRDefault="00BD06C4" w:rsidP="00BD06C4">
            <w:pPr>
              <w:pStyle w:val="NoSpacing"/>
              <w:numPr>
                <w:ilvl w:val="0"/>
                <w:numId w:val="127"/>
              </w:numPr>
            </w:pPr>
            <w:r w:rsidRPr="00120846">
              <w:t xml:space="preserve">Community or religious leaders or other customary law mechanisms  </w:t>
            </w:r>
          </w:p>
          <w:p w14:paraId="124FBCB1" w14:textId="77777777" w:rsidR="00BD06C4" w:rsidRPr="00120846" w:rsidRDefault="00BD06C4" w:rsidP="00BD06C4">
            <w:pPr>
              <w:pStyle w:val="NoSpacing"/>
              <w:numPr>
                <w:ilvl w:val="0"/>
                <w:numId w:val="127"/>
              </w:numPr>
            </w:pPr>
            <w:r w:rsidRPr="00120846">
              <w:t xml:space="preserve">A court or tribunal </w:t>
            </w:r>
          </w:p>
          <w:p w14:paraId="180689FA" w14:textId="77777777" w:rsidR="00BD06C4" w:rsidRPr="00120846" w:rsidRDefault="00BD06C4" w:rsidP="00BD06C4">
            <w:pPr>
              <w:pStyle w:val="NoSpacing"/>
              <w:numPr>
                <w:ilvl w:val="0"/>
                <w:numId w:val="127"/>
              </w:numPr>
            </w:pPr>
            <w:r w:rsidRPr="00120846">
              <w:t xml:space="preserve">The police </w:t>
            </w:r>
          </w:p>
          <w:p w14:paraId="4DE7EDB9" w14:textId="77777777" w:rsidR="00BD06C4" w:rsidRPr="00120846" w:rsidRDefault="00BD06C4" w:rsidP="00BD06C4">
            <w:pPr>
              <w:pStyle w:val="NoSpacing"/>
              <w:numPr>
                <w:ilvl w:val="0"/>
                <w:numId w:val="127"/>
              </w:numPr>
            </w:pPr>
            <w:r w:rsidRPr="00120846">
              <w:t xml:space="preserve">A government office or other formal designated authority or agency </w:t>
            </w:r>
          </w:p>
          <w:p w14:paraId="5597AAFF" w14:textId="77777777" w:rsidR="00BD06C4" w:rsidRPr="00120846" w:rsidRDefault="00BD06C4" w:rsidP="00BD06C4">
            <w:pPr>
              <w:pStyle w:val="NoSpacing"/>
              <w:numPr>
                <w:ilvl w:val="0"/>
                <w:numId w:val="127"/>
              </w:numPr>
            </w:pPr>
            <w:r w:rsidRPr="00120846">
              <w:t xml:space="preserve">Other formal complaints or appeal procedure  </w:t>
            </w:r>
          </w:p>
          <w:p w14:paraId="3687DBD8" w14:textId="77777777" w:rsidR="00BD06C4" w:rsidRPr="00120846" w:rsidRDefault="00BD06C4" w:rsidP="00BD06C4">
            <w:pPr>
              <w:pStyle w:val="NoSpacing"/>
            </w:pPr>
            <w:r w:rsidRPr="00120846">
              <w:t xml:space="preserve">To improve the accuracy of the indicator it is important to define precisely the denominator (the population at ‘risk’ of experiencing the event of interest, i.e. accessing a dispute-resolution mechanism) by identifying the ‘demand’ of dispute resolution mechanisms. This demand is composed of those who use dispute resolution mechanisms (users) and those who - despite needing them - do not have “access” to such mechanisms for various reasons such as lack of knowledge on how to access them, lack of trust in institutions, lack of legal advice/assistance, lack of awareness about justice mechanisms, geographical distance or financial costs, to mention a few. It is important to exclude from the demand those who experience disputes and do not turn to dispute resolution mechanisms because they do not need them (voluntarily self-excluded). This refers to cases where the dispute is simple or when respondents solve the issue with the other party through direct negotiation.  </w:t>
            </w:r>
          </w:p>
          <w:p w14:paraId="1509B3D4" w14:textId="77777777" w:rsidR="00BD06C4" w:rsidRPr="00120846" w:rsidRDefault="00BD06C4" w:rsidP="00BD06C4">
            <w:pPr>
              <w:pStyle w:val="NoSpacing"/>
            </w:pPr>
            <w:r w:rsidRPr="00120846">
              <w:rPr>
                <w:b/>
              </w:rPr>
              <w:t xml:space="preserve"> </w:t>
            </w:r>
          </w:p>
          <w:p w14:paraId="304494FF" w14:textId="77777777" w:rsidR="00BD06C4" w:rsidRPr="00120846" w:rsidRDefault="00BD06C4" w:rsidP="00BD06C4">
            <w:pPr>
              <w:pStyle w:val="NoSpacing"/>
            </w:pPr>
            <w:r w:rsidRPr="00120846">
              <w:rPr>
                <w:b/>
              </w:rPr>
              <w:t xml:space="preserve">Comments and limitations </w:t>
            </w:r>
          </w:p>
          <w:p w14:paraId="5214D154" w14:textId="77777777" w:rsidR="00BD06C4" w:rsidRPr="00120846" w:rsidRDefault="00BD06C4" w:rsidP="00BD06C4">
            <w:pPr>
              <w:pStyle w:val="NoSpacing"/>
            </w:pPr>
            <w:r w:rsidRPr="00120846">
              <w:lastRenderedPageBreak/>
              <w:t>A major challenge is that the concept of dispute (justiciable problem) is subject to different interpretations and the propensity to consider a disagreement or conflict in terms of a justiciable problem can vary greatly across individuals and between societies. A way to address this issue is to focus on a number of possible disputes that can be considered of justiciable nature across most countries, as for example the one listed in the section above</w:t>
            </w:r>
            <w:r w:rsidRPr="00120846">
              <w:rPr>
                <w:vertAlign w:val="superscript"/>
              </w:rPr>
              <w:footnoteReference w:id="52"/>
            </w:r>
            <w:r w:rsidRPr="00120846">
              <w:t xml:space="preserve">. Standardised descriptions of the most common types of disputes are also to be used in surveys in order to maximise comparability across different legal systems and countries.  </w:t>
            </w:r>
          </w:p>
          <w:p w14:paraId="03AF636E" w14:textId="77777777" w:rsidR="00BD06C4" w:rsidRPr="00120846" w:rsidRDefault="00BD06C4" w:rsidP="00BD06C4">
            <w:pPr>
              <w:pStyle w:val="NoSpacing"/>
            </w:pPr>
            <w:r w:rsidRPr="00120846">
              <w:t xml:space="preserve">In order to identify the group of people in demand of dispute resolution mechanism it is necessary to identify the group of people voluntarily self-excluded. A way to identify this group is by including an additional question about the reasons why people did not use a dispute resolution mechanism. This question would allow </w:t>
            </w:r>
            <w:proofErr w:type="gramStart"/>
            <w:r w:rsidRPr="00120846">
              <w:t>to differentiate cases of voluntary and involuntary exclusion and define</w:t>
            </w:r>
            <w:proofErr w:type="gramEnd"/>
            <w:r w:rsidRPr="00120846">
              <w:t xml:space="preserve"> the denominator as the population who experienced a problem minus the voluntarily self-excluded. </w:t>
            </w:r>
          </w:p>
          <w:p w14:paraId="7A861340" w14:textId="77777777" w:rsidR="00BD06C4" w:rsidRPr="00120846" w:rsidRDefault="00BD06C4" w:rsidP="00BD06C4">
            <w:pPr>
              <w:pStyle w:val="NoSpacing"/>
            </w:pPr>
            <w:r w:rsidRPr="00120846">
              <w:t xml:space="preserve">Another challenge refers to identifying possible dispute resolution mechanisms as they vary considerably in different countries around the world. The formulation of the questions in the survey has to take into account these different possibilities and make sure to include all relevant institutions generally recognized in the community. This proposed list of dispute resolution mechanisms identifies those that are common in most countries in the world but it can be adapted to the country context. </w:t>
            </w:r>
          </w:p>
          <w:p w14:paraId="049D8979" w14:textId="77777777" w:rsidR="00BD06C4" w:rsidRPr="00120846" w:rsidRDefault="00BD06C4" w:rsidP="00BD06C4">
            <w:pPr>
              <w:pStyle w:val="NoSpacing"/>
            </w:pPr>
            <w:r w:rsidRPr="00120846">
              <w:t xml:space="preserve">The share of population experiencing the disputes under investigation can be of relatively small size and this can influence the statistical significance of results. A way to address this is to increase the survey’s reference period, recognizing that respondents’ ability to recall specific issues becomes increasingly unreliable the further back in time it extends. For these reasons, this proposal follows the recommendation from the Legal Needs Surveys and Access to Justice methodological guidance and suggests a reference interval of two years. With such reference period resulting data would be suitable for monitoring recent changes in contexts/policies while being based on a sufficient number of cases to ensure statistical significance of </w:t>
            </w:r>
            <w:proofErr w:type="gramStart"/>
            <w:r w:rsidRPr="00120846">
              <w:t>analyses .</w:t>
            </w:r>
            <w:proofErr w:type="gramEnd"/>
            <w:r w:rsidRPr="00120846">
              <w:rPr>
                <w:vertAlign w:val="superscript"/>
              </w:rPr>
              <w:footnoteReference w:id="53"/>
            </w:r>
            <w:r w:rsidRPr="00120846">
              <w:t xml:space="preserve"> Possible telescoping effects (the effect of misplacement in time of events taking place in the past) need to be addressed properly by bounding in clear terms the time interval of reference in relevant questions.  </w:t>
            </w:r>
          </w:p>
          <w:p w14:paraId="2AAF86F4" w14:textId="77777777" w:rsidR="00BD06C4" w:rsidRPr="00120846" w:rsidRDefault="00BD06C4" w:rsidP="00BD06C4">
            <w:pPr>
              <w:pStyle w:val="NoSpacing"/>
            </w:pPr>
            <w:r w:rsidRPr="00120846">
              <w:t xml:space="preserve"> </w:t>
            </w:r>
          </w:p>
          <w:p w14:paraId="2AD9079F" w14:textId="77777777" w:rsidR="00BD06C4" w:rsidRPr="00120846" w:rsidRDefault="00BD06C4" w:rsidP="00BD06C4">
            <w:pPr>
              <w:pStyle w:val="NoSpacing"/>
            </w:pPr>
            <w:r w:rsidRPr="00120846">
              <w:rPr>
                <w:b/>
              </w:rPr>
              <w:t xml:space="preserve">Computation method: </w:t>
            </w:r>
          </w:p>
          <w:p w14:paraId="63063574" w14:textId="77777777" w:rsidR="00BD06C4" w:rsidRPr="00120846" w:rsidRDefault="00BD06C4" w:rsidP="00BD06C4">
            <w:pPr>
              <w:pStyle w:val="NoSpacing"/>
            </w:pPr>
            <w:r w:rsidRPr="00120846">
              <w:t xml:space="preserve">Number of persons who experienced a dispute during the past two years who accessed a formal or informal dispute resolution mechanism (numerator), divided by the number of those who experienced a dispute in the past two years minus those who are voluntarily self-excluded (denominator). The result would be multiplied by 100. </w:t>
            </w:r>
          </w:p>
          <w:p w14:paraId="003D830E" w14:textId="77777777" w:rsidR="00BD06C4" w:rsidRPr="00120846" w:rsidRDefault="00BD06C4" w:rsidP="00BD06C4">
            <w:pPr>
              <w:pStyle w:val="NoSpacing"/>
            </w:pPr>
            <w:r w:rsidRPr="00120846">
              <w:t xml:space="preserve"> </w:t>
            </w:r>
          </w:p>
          <w:p w14:paraId="52D95061" w14:textId="77777777" w:rsidR="00BD06C4" w:rsidRPr="00120846" w:rsidRDefault="00BD06C4" w:rsidP="00BD06C4">
            <w:pPr>
              <w:pStyle w:val="NoSpacing"/>
            </w:pPr>
            <w:r w:rsidRPr="00120846">
              <w:t xml:space="preserve">This is a survey-based indicator that emphasizes citizens’ experiences over general perceptions. Both numerator and denominator are measured through sample surveys of the general population. </w:t>
            </w:r>
          </w:p>
          <w:p w14:paraId="75ED7E17" w14:textId="77777777" w:rsidR="00BD06C4" w:rsidRPr="00120846" w:rsidRDefault="00BD06C4" w:rsidP="00BD06C4">
            <w:pPr>
              <w:pStyle w:val="NoSpacing"/>
            </w:pPr>
            <w:r w:rsidRPr="00120846">
              <w:t xml:space="preserve">The computation of this indicator requires the inclusion of a short module of four questions in a representative </w:t>
            </w:r>
            <w:r w:rsidRPr="00120846">
              <w:lastRenderedPageBreak/>
              <w:t xml:space="preserve">population survey. The following table illustrates the content of the four questions needed to compute the indicator. </w:t>
            </w:r>
          </w:p>
          <w:tbl>
            <w:tblPr>
              <w:tblW w:w="9208" w:type="dxa"/>
              <w:tblInd w:w="6" w:type="dxa"/>
              <w:tblCellMar>
                <w:right w:w="64" w:type="dxa"/>
              </w:tblCellMar>
              <w:tblLook w:val="04A0" w:firstRow="1" w:lastRow="0" w:firstColumn="1" w:lastColumn="0" w:noHBand="0" w:noVBand="1"/>
            </w:tblPr>
            <w:tblGrid>
              <w:gridCol w:w="6233"/>
              <w:gridCol w:w="2975"/>
            </w:tblGrid>
            <w:tr w:rsidR="00BD06C4" w:rsidRPr="00120846" w14:paraId="08D873AE" w14:textId="77777777" w:rsidTr="00A64F0D">
              <w:trPr>
                <w:trHeight w:val="253"/>
              </w:trPr>
              <w:tc>
                <w:tcPr>
                  <w:tcW w:w="6233" w:type="dxa"/>
                  <w:tcBorders>
                    <w:top w:val="single" w:sz="4" w:space="0" w:color="000000"/>
                    <w:left w:val="single" w:sz="4" w:space="0" w:color="000000"/>
                    <w:bottom w:val="single" w:sz="4" w:space="0" w:color="000000"/>
                    <w:right w:val="single" w:sz="4" w:space="0" w:color="000000"/>
                  </w:tcBorders>
                  <w:shd w:val="clear" w:color="auto" w:fill="BFBFBF"/>
                </w:tcPr>
                <w:p w14:paraId="330B3350" w14:textId="77777777" w:rsidR="00BD06C4" w:rsidRPr="00120846" w:rsidRDefault="00BD06C4" w:rsidP="00BD06C4">
                  <w:pPr>
                    <w:pStyle w:val="NoSpacing"/>
                  </w:pPr>
                  <w:r w:rsidRPr="00120846">
                    <w:rPr>
                      <w:b/>
                    </w:rPr>
                    <w:t xml:space="preserve">Content of question </w:t>
                  </w:r>
                </w:p>
              </w:tc>
              <w:tc>
                <w:tcPr>
                  <w:tcW w:w="2975" w:type="dxa"/>
                  <w:tcBorders>
                    <w:top w:val="single" w:sz="4" w:space="0" w:color="000000"/>
                    <w:left w:val="single" w:sz="4" w:space="0" w:color="000000"/>
                    <w:bottom w:val="single" w:sz="4" w:space="0" w:color="000000"/>
                    <w:right w:val="single" w:sz="4" w:space="0" w:color="000000"/>
                  </w:tcBorders>
                  <w:shd w:val="clear" w:color="auto" w:fill="BFBFBF"/>
                </w:tcPr>
                <w:p w14:paraId="4FBC60C0" w14:textId="77777777" w:rsidR="00BD06C4" w:rsidRPr="00120846" w:rsidRDefault="00BD06C4" w:rsidP="00BD06C4">
                  <w:pPr>
                    <w:pStyle w:val="NoSpacing"/>
                  </w:pPr>
                  <w:r w:rsidRPr="00120846">
                    <w:rPr>
                      <w:b/>
                    </w:rPr>
                    <w:t xml:space="preserve">Instruction </w:t>
                  </w:r>
                </w:p>
              </w:tc>
            </w:tr>
            <w:tr w:rsidR="00BD06C4" w:rsidRPr="00120846" w14:paraId="5724E175" w14:textId="77777777" w:rsidTr="00A64F0D">
              <w:trPr>
                <w:trHeight w:val="498"/>
              </w:trPr>
              <w:tc>
                <w:tcPr>
                  <w:tcW w:w="6233" w:type="dxa"/>
                  <w:tcBorders>
                    <w:top w:val="single" w:sz="4" w:space="0" w:color="000000"/>
                    <w:left w:val="single" w:sz="4" w:space="0" w:color="000000"/>
                    <w:bottom w:val="single" w:sz="4" w:space="0" w:color="000000"/>
                    <w:right w:val="single" w:sz="4" w:space="0" w:color="000000"/>
                  </w:tcBorders>
                  <w:shd w:val="clear" w:color="auto" w:fill="E5E5E5"/>
                </w:tcPr>
                <w:p w14:paraId="72DA8A16" w14:textId="77777777" w:rsidR="00BD06C4" w:rsidRPr="00120846" w:rsidRDefault="00BD06C4" w:rsidP="00BD06C4">
                  <w:pPr>
                    <w:pStyle w:val="NoSpacing"/>
                  </w:pPr>
                  <w:r w:rsidRPr="00120846">
                    <w:t xml:space="preserve">1. Experience of a dispute over past 2 years, by type of dispute </w:t>
                  </w:r>
                </w:p>
              </w:tc>
              <w:tc>
                <w:tcPr>
                  <w:tcW w:w="2975" w:type="dxa"/>
                  <w:tcBorders>
                    <w:top w:val="single" w:sz="4" w:space="0" w:color="000000"/>
                    <w:left w:val="single" w:sz="4" w:space="0" w:color="000000"/>
                    <w:bottom w:val="single" w:sz="4" w:space="0" w:color="000000"/>
                    <w:right w:val="single" w:sz="4" w:space="0" w:color="000000"/>
                  </w:tcBorders>
                  <w:shd w:val="clear" w:color="auto" w:fill="E5E5E5"/>
                </w:tcPr>
                <w:p w14:paraId="44F070D1" w14:textId="77777777" w:rsidR="00BD06C4" w:rsidRPr="00120846" w:rsidRDefault="00BD06C4" w:rsidP="00BD06C4">
                  <w:pPr>
                    <w:pStyle w:val="NoSpacing"/>
                  </w:pPr>
                  <w:r w:rsidRPr="00120846">
                    <w:t xml:space="preserve">If no dispute was experienced, skip to END, otherwise go to 2. </w:t>
                  </w:r>
                </w:p>
              </w:tc>
            </w:tr>
            <w:tr w:rsidR="00BD06C4" w:rsidRPr="00120846" w14:paraId="22CA75D7" w14:textId="77777777" w:rsidTr="00A64F0D">
              <w:trPr>
                <w:trHeight w:val="272"/>
              </w:trPr>
              <w:tc>
                <w:tcPr>
                  <w:tcW w:w="6233" w:type="dxa"/>
                  <w:tcBorders>
                    <w:top w:val="single" w:sz="4" w:space="0" w:color="000000"/>
                    <w:left w:val="single" w:sz="4" w:space="0" w:color="000000"/>
                    <w:bottom w:val="single" w:sz="4" w:space="0" w:color="000000"/>
                    <w:right w:val="single" w:sz="4" w:space="0" w:color="000000"/>
                  </w:tcBorders>
                  <w:shd w:val="clear" w:color="auto" w:fill="E5E5E5"/>
                </w:tcPr>
                <w:p w14:paraId="3CEA360C" w14:textId="77777777" w:rsidR="00BD06C4" w:rsidRPr="00120846" w:rsidRDefault="00BD06C4" w:rsidP="00BD06C4">
                  <w:pPr>
                    <w:pStyle w:val="NoSpacing"/>
                  </w:pPr>
                  <w:r w:rsidRPr="00120846">
                    <w:t xml:space="preserve">2. Most recent dispute experienced, by type of dispute </w:t>
                  </w:r>
                </w:p>
              </w:tc>
              <w:tc>
                <w:tcPr>
                  <w:tcW w:w="2975" w:type="dxa"/>
                  <w:tcBorders>
                    <w:top w:val="single" w:sz="4" w:space="0" w:color="000000"/>
                    <w:left w:val="single" w:sz="4" w:space="0" w:color="000000"/>
                    <w:bottom w:val="single" w:sz="4" w:space="0" w:color="000000"/>
                    <w:right w:val="single" w:sz="4" w:space="0" w:color="000000"/>
                  </w:tcBorders>
                  <w:shd w:val="clear" w:color="auto" w:fill="E5E5E5"/>
                </w:tcPr>
                <w:p w14:paraId="00283D76" w14:textId="77777777" w:rsidR="00BD06C4" w:rsidRPr="00120846" w:rsidRDefault="00BD06C4" w:rsidP="00BD06C4">
                  <w:pPr>
                    <w:pStyle w:val="NoSpacing"/>
                  </w:pPr>
                  <w:r w:rsidRPr="00120846">
                    <w:t xml:space="preserve">Continue with 3. </w:t>
                  </w:r>
                </w:p>
              </w:tc>
            </w:tr>
            <w:tr w:rsidR="00BD06C4" w:rsidRPr="00120846" w14:paraId="0A20B14C" w14:textId="77777777" w:rsidTr="00A64F0D">
              <w:trPr>
                <w:trHeight w:val="499"/>
              </w:trPr>
              <w:tc>
                <w:tcPr>
                  <w:tcW w:w="6233" w:type="dxa"/>
                  <w:tcBorders>
                    <w:top w:val="single" w:sz="4" w:space="0" w:color="000000"/>
                    <w:left w:val="single" w:sz="4" w:space="0" w:color="000000"/>
                    <w:bottom w:val="single" w:sz="4" w:space="0" w:color="000000"/>
                    <w:right w:val="single" w:sz="4" w:space="0" w:color="000000"/>
                  </w:tcBorders>
                  <w:shd w:val="clear" w:color="auto" w:fill="E5E5E5"/>
                </w:tcPr>
                <w:p w14:paraId="4C1785C2" w14:textId="77777777" w:rsidR="00BD06C4" w:rsidRPr="00120846" w:rsidRDefault="00BD06C4" w:rsidP="00BD06C4">
                  <w:pPr>
                    <w:pStyle w:val="NoSpacing"/>
                  </w:pPr>
                  <w:r w:rsidRPr="00120846">
                    <w:t xml:space="preserve">3. Access to dispute resolution mechanism, by type of mechanism </w:t>
                  </w:r>
                </w:p>
              </w:tc>
              <w:tc>
                <w:tcPr>
                  <w:tcW w:w="2975" w:type="dxa"/>
                  <w:tcBorders>
                    <w:top w:val="single" w:sz="4" w:space="0" w:color="000000"/>
                    <w:left w:val="single" w:sz="4" w:space="0" w:color="000000"/>
                    <w:bottom w:val="single" w:sz="4" w:space="0" w:color="000000"/>
                    <w:right w:val="single" w:sz="4" w:space="0" w:color="000000"/>
                  </w:tcBorders>
                  <w:shd w:val="clear" w:color="auto" w:fill="E5E5E5"/>
                </w:tcPr>
                <w:p w14:paraId="3D7344BC" w14:textId="77777777" w:rsidR="00BD06C4" w:rsidRPr="00120846" w:rsidRDefault="00BD06C4" w:rsidP="00BD06C4">
                  <w:pPr>
                    <w:pStyle w:val="NoSpacing"/>
                  </w:pPr>
                  <w:r w:rsidRPr="00120846">
                    <w:t xml:space="preserve">If no DRM was accessed go to 4., otherwise skip to END </w:t>
                  </w:r>
                </w:p>
              </w:tc>
            </w:tr>
            <w:tr w:rsidR="00BD06C4" w:rsidRPr="00120846" w14:paraId="23E83E5C" w14:textId="77777777" w:rsidTr="00A64F0D">
              <w:trPr>
                <w:trHeight w:val="272"/>
              </w:trPr>
              <w:tc>
                <w:tcPr>
                  <w:tcW w:w="6233" w:type="dxa"/>
                  <w:tcBorders>
                    <w:top w:val="single" w:sz="4" w:space="0" w:color="000000"/>
                    <w:left w:val="single" w:sz="4" w:space="0" w:color="000000"/>
                    <w:bottom w:val="single" w:sz="4" w:space="0" w:color="000000"/>
                    <w:right w:val="single" w:sz="4" w:space="0" w:color="000000"/>
                  </w:tcBorders>
                  <w:shd w:val="clear" w:color="auto" w:fill="E5E5E5"/>
                </w:tcPr>
                <w:p w14:paraId="233E71A6" w14:textId="77777777" w:rsidR="00BD06C4" w:rsidRPr="00120846" w:rsidRDefault="00BD06C4" w:rsidP="00BD06C4">
                  <w:pPr>
                    <w:pStyle w:val="NoSpacing"/>
                  </w:pPr>
                  <w:r w:rsidRPr="00120846">
                    <w:t xml:space="preserve">4. Reason why no dispute resolution mechanism was accessed </w:t>
                  </w:r>
                </w:p>
              </w:tc>
              <w:tc>
                <w:tcPr>
                  <w:tcW w:w="2975" w:type="dxa"/>
                  <w:tcBorders>
                    <w:top w:val="single" w:sz="4" w:space="0" w:color="000000"/>
                    <w:left w:val="single" w:sz="4" w:space="0" w:color="000000"/>
                    <w:bottom w:val="single" w:sz="4" w:space="0" w:color="000000"/>
                    <w:right w:val="single" w:sz="4" w:space="0" w:color="000000"/>
                  </w:tcBorders>
                  <w:shd w:val="clear" w:color="auto" w:fill="E5E5E5"/>
                </w:tcPr>
                <w:p w14:paraId="2D9ABA42" w14:textId="77777777" w:rsidR="00BD06C4" w:rsidRPr="00120846" w:rsidRDefault="00BD06C4" w:rsidP="00BD06C4">
                  <w:pPr>
                    <w:pStyle w:val="NoSpacing"/>
                  </w:pPr>
                  <w:r w:rsidRPr="00120846">
                    <w:t xml:space="preserve">Go to END. </w:t>
                  </w:r>
                </w:p>
              </w:tc>
            </w:tr>
          </w:tbl>
          <w:p w14:paraId="1FAD14BC" w14:textId="77777777" w:rsidR="00BD06C4" w:rsidRDefault="00BD06C4" w:rsidP="00BD06C4">
            <w:pPr>
              <w:pStyle w:val="NoSpacing"/>
            </w:pPr>
          </w:p>
        </w:tc>
        <w:tc>
          <w:tcPr>
            <w:tcW w:w="0" w:type="auto"/>
          </w:tcPr>
          <w:p w14:paraId="4E012472" w14:textId="77777777" w:rsidR="00BD06C4" w:rsidRDefault="00BD06C4" w:rsidP="00BD06C4">
            <w:pPr>
              <w:pStyle w:val="NoSpacing"/>
              <w:rPr>
                <w:color w:val="0070C0"/>
                <w:sz w:val="30"/>
                <w:szCs w:val="30"/>
              </w:rPr>
            </w:pPr>
            <w:r>
              <w:lastRenderedPageBreak/>
              <w:t>household survey</w:t>
            </w:r>
          </w:p>
        </w:tc>
        <w:tc>
          <w:tcPr>
            <w:tcW w:w="0" w:type="auto"/>
          </w:tcPr>
          <w:p w14:paraId="1CE01371" w14:textId="77777777" w:rsidR="00BD06C4" w:rsidRPr="002F72AB" w:rsidRDefault="00BD06C4" w:rsidP="00BD06C4">
            <w:pPr>
              <w:pStyle w:val="NoSpacing"/>
            </w:pPr>
            <w:r w:rsidRPr="002F72AB">
              <w:t xml:space="preserve">National Statistical Offices (NSOs </w:t>
            </w:r>
          </w:p>
          <w:p w14:paraId="5B568A59" w14:textId="77777777" w:rsidR="00BD06C4" w:rsidRPr="002F72AB" w:rsidRDefault="00BD06C4" w:rsidP="00BD06C4">
            <w:pPr>
              <w:pStyle w:val="NoSpacing"/>
            </w:pPr>
          </w:p>
          <w:p w14:paraId="2206704B" w14:textId="77777777" w:rsidR="00BD06C4" w:rsidRDefault="00BD06C4" w:rsidP="00BD06C4">
            <w:pPr>
              <w:pStyle w:val="NoSpacing"/>
            </w:pPr>
            <w:r w:rsidRPr="002F72AB">
              <w:t>other national  institutions or other entities</w:t>
            </w:r>
          </w:p>
        </w:tc>
        <w:tc>
          <w:tcPr>
            <w:tcW w:w="0" w:type="auto"/>
          </w:tcPr>
          <w:p w14:paraId="6C0EBFAA" w14:textId="77777777" w:rsidR="00BD06C4" w:rsidRDefault="00BD06C4" w:rsidP="00BD06C4">
            <w:pPr>
              <w:pStyle w:val="NoSpacing"/>
            </w:pPr>
            <w:r>
              <w:t>CPHS, BBS</w:t>
            </w:r>
          </w:p>
        </w:tc>
        <w:tc>
          <w:tcPr>
            <w:tcW w:w="0" w:type="auto"/>
          </w:tcPr>
          <w:p w14:paraId="0CDBD579" w14:textId="77777777" w:rsidR="00BD06C4" w:rsidRDefault="00BD06C4" w:rsidP="00BD06C4">
            <w:pPr>
              <w:pStyle w:val="NoSpacing"/>
              <w:rPr>
                <w:color w:val="0070C0"/>
                <w:sz w:val="30"/>
                <w:szCs w:val="30"/>
              </w:rPr>
            </w:pPr>
            <w:r>
              <w:t>CPHS, BBS</w:t>
            </w:r>
          </w:p>
        </w:tc>
        <w:tc>
          <w:tcPr>
            <w:tcW w:w="0" w:type="auto"/>
          </w:tcPr>
          <w:p w14:paraId="458D612C" w14:textId="77777777" w:rsidR="00396457" w:rsidRDefault="00396457" w:rsidP="00396457">
            <w:pPr>
              <w:ind w:left="970" w:hanging="970"/>
              <w:jc w:val="both"/>
              <w:rPr>
                <w:color w:val="0070C0"/>
                <w:szCs w:val="20"/>
              </w:rPr>
            </w:pPr>
            <w:r w:rsidRPr="00396457">
              <w:rPr>
                <w:color w:val="0070C0"/>
                <w:szCs w:val="20"/>
              </w:rPr>
              <w:t>- type of dispute</w:t>
            </w:r>
          </w:p>
          <w:p w14:paraId="1CA80FF3" w14:textId="5BD59EA3" w:rsidR="00396457" w:rsidRPr="000C4849" w:rsidRDefault="00396457" w:rsidP="000C4849">
            <w:pPr>
              <w:jc w:val="both"/>
              <w:rPr>
                <w:color w:val="0070C0"/>
                <w:szCs w:val="20"/>
              </w:rPr>
            </w:pPr>
            <w:r w:rsidRPr="000C4849">
              <w:rPr>
                <w:color w:val="0070C0"/>
                <w:szCs w:val="20"/>
              </w:rPr>
              <w:t>resolution mechanism</w:t>
            </w:r>
          </w:p>
          <w:p w14:paraId="7678AB20" w14:textId="1B3439BE" w:rsidR="00396457" w:rsidRPr="000C4849" w:rsidRDefault="00396457" w:rsidP="00396457">
            <w:pPr>
              <w:ind w:left="970" w:hanging="970"/>
              <w:jc w:val="both"/>
              <w:rPr>
                <w:color w:val="0070C0"/>
                <w:szCs w:val="20"/>
              </w:rPr>
            </w:pPr>
            <w:r w:rsidRPr="000C4849">
              <w:rPr>
                <w:color w:val="0070C0"/>
                <w:szCs w:val="20"/>
              </w:rPr>
              <w:t>- sex</w:t>
            </w:r>
            <w:r w:rsidR="00382D17">
              <w:rPr>
                <w:color w:val="0070C0"/>
                <w:szCs w:val="20"/>
              </w:rPr>
              <w:t>: Male/Female</w:t>
            </w:r>
          </w:p>
          <w:p w14:paraId="0E49E044" w14:textId="77777777" w:rsidR="00396457" w:rsidRDefault="00396457" w:rsidP="00396457">
            <w:pPr>
              <w:ind w:left="970" w:hanging="970"/>
              <w:jc w:val="both"/>
              <w:rPr>
                <w:color w:val="0070C0"/>
                <w:szCs w:val="20"/>
              </w:rPr>
            </w:pPr>
            <w:r w:rsidRPr="000C4849">
              <w:rPr>
                <w:color w:val="0070C0"/>
                <w:szCs w:val="20"/>
              </w:rPr>
              <w:t>- disability status</w:t>
            </w:r>
            <w:r w:rsidR="00382D17">
              <w:rPr>
                <w:color w:val="0070C0"/>
                <w:szCs w:val="20"/>
              </w:rPr>
              <w:t>:</w:t>
            </w:r>
          </w:p>
          <w:p w14:paraId="3D97E446" w14:textId="023D6855" w:rsidR="00382D17" w:rsidRPr="000C4849" w:rsidRDefault="00382D17" w:rsidP="00396457">
            <w:pPr>
              <w:ind w:left="970" w:hanging="970"/>
              <w:jc w:val="both"/>
              <w:rPr>
                <w:color w:val="0070C0"/>
                <w:szCs w:val="20"/>
              </w:rPr>
            </w:pPr>
            <w:r>
              <w:rPr>
                <w:color w:val="0070C0"/>
                <w:szCs w:val="20"/>
              </w:rPr>
              <w:t>Disable/ Non Disable</w:t>
            </w:r>
          </w:p>
          <w:p w14:paraId="432D4AEC" w14:textId="08D83A9B" w:rsidR="00396457" w:rsidRPr="000C4849" w:rsidRDefault="00396457" w:rsidP="00396457">
            <w:pPr>
              <w:ind w:left="970" w:hanging="970"/>
              <w:jc w:val="both"/>
              <w:rPr>
                <w:color w:val="0070C0"/>
                <w:szCs w:val="20"/>
              </w:rPr>
            </w:pPr>
            <w:r w:rsidRPr="000C4849">
              <w:rPr>
                <w:color w:val="0070C0"/>
                <w:szCs w:val="20"/>
              </w:rPr>
              <w:t>- ethnicity</w:t>
            </w:r>
            <w:r w:rsidR="00382D17">
              <w:rPr>
                <w:color w:val="0070C0"/>
                <w:szCs w:val="20"/>
              </w:rPr>
              <w:t>: Ethnic/ Non Ethnic</w:t>
            </w:r>
          </w:p>
          <w:p w14:paraId="3BA01EBE" w14:textId="77777777" w:rsidR="00396457" w:rsidRPr="000C4849" w:rsidRDefault="00396457" w:rsidP="00396457">
            <w:pPr>
              <w:ind w:left="970" w:hanging="970"/>
              <w:jc w:val="both"/>
              <w:rPr>
                <w:color w:val="0070C0"/>
                <w:szCs w:val="20"/>
              </w:rPr>
            </w:pPr>
            <w:r w:rsidRPr="000C4849">
              <w:rPr>
                <w:color w:val="0070C0"/>
                <w:szCs w:val="20"/>
              </w:rPr>
              <w:t>- migration background</w:t>
            </w:r>
          </w:p>
          <w:p w14:paraId="6899280B" w14:textId="08C84528" w:rsidR="00BD06C4" w:rsidRDefault="00396457" w:rsidP="00396457">
            <w:pPr>
              <w:ind w:left="970" w:hanging="970"/>
              <w:jc w:val="both"/>
              <w:rPr>
                <w:color w:val="0070C0"/>
                <w:sz w:val="30"/>
                <w:szCs w:val="30"/>
              </w:rPr>
            </w:pPr>
            <w:r w:rsidRPr="000C4849">
              <w:rPr>
                <w:color w:val="0070C0"/>
                <w:szCs w:val="20"/>
              </w:rPr>
              <w:t>- citizenship</w:t>
            </w:r>
          </w:p>
        </w:tc>
        <w:tc>
          <w:tcPr>
            <w:tcW w:w="0" w:type="auto"/>
          </w:tcPr>
          <w:p w14:paraId="56A22AD3" w14:textId="77777777" w:rsidR="00BD06C4" w:rsidRDefault="00BD06C4" w:rsidP="00BD06C4">
            <w:pPr>
              <w:jc w:val="both"/>
              <w:rPr>
                <w:color w:val="0070C0"/>
                <w:sz w:val="30"/>
                <w:szCs w:val="30"/>
              </w:rPr>
            </w:pPr>
          </w:p>
        </w:tc>
        <w:tc>
          <w:tcPr>
            <w:tcW w:w="0" w:type="auto"/>
          </w:tcPr>
          <w:p w14:paraId="2651D205" w14:textId="77777777" w:rsidR="00BD06C4" w:rsidRDefault="00BD06C4" w:rsidP="00BD06C4">
            <w:pPr>
              <w:ind w:left="970" w:hanging="970"/>
              <w:jc w:val="both"/>
              <w:rPr>
                <w:color w:val="0070C0"/>
                <w:sz w:val="30"/>
                <w:szCs w:val="30"/>
              </w:rPr>
            </w:pPr>
          </w:p>
        </w:tc>
        <w:tc>
          <w:tcPr>
            <w:tcW w:w="0" w:type="auto"/>
          </w:tcPr>
          <w:p w14:paraId="7C7AD026" w14:textId="77777777" w:rsidR="00BD06C4" w:rsidRDefault="00BD06C4" w:rsidP="00BD06C4">
            <w:pPr>
              <w:pStyle w:val="NoSpacing"/>
            </w:pPr>
            <w:r>
              <w:t>1</w:t>
            </w:r>
            <w:r w:rsidRPr="00013ACB">
              <w:rPr>
                <w:vertAlign w:val="superscript"/>
              </w:rPr>
              <w:t>st</w:t>
            </w:r>
            <w:r>
              <w:t xml:space="preserve"> Round:</w:t>
            </w:r>
          </w:p>
          <w:p w14:paraId="0E904C20" w14:textId="77777777" w:rsidR="00BD06C4" w:rsidRDefault="00BD06C4" w:rsidP="00BD06C4">
            <w:pPr>
              <w:ind w:left="970" w:hanging="970"/>
              <w:jc w:val="both"/>
              <w:rPr>
                <w:rFonts w:ascii="Tw Cen MT" w:eastAsia="Tw Cen MT" w:hAnsi="Tw Cen MT" w:cs="Tw Cen MT"/>
                <w:sz w:val="22"/>
              </w:rPr>
            </w:pPr>
            <w:r w:rsidRPr="001578D8">
              <w:rPr>
                <w:rFonts w:ascii="Tw Cen MT" w:eastAsia="Tw Cen MT" w:hAnsi="Tw Cen MT" w:cs="Tw Cen MT"/>
                <w:sz w:val="22"/>
              </w:rPr>
              <w:t>201</w:t>
            </w:r>
            <w:r>
              <w:rPr>
                <w:rFonts w:ascii="Tw Cen MT" w:eastAsia="Tw Cen MT" w:hAnsi="Tw Cen MT" w:cs="Tw Cen MT"/>
                <w:sz w:val="22"/>
              </w:rPr>
              <w:t>8</w:t>
            </w:r>
          </w:p>
          <w:p w14:paraId="50C52717" w14:textId="77777777" w:rsidR="00BD06C4" w:rsidRDefault="00BD06C4" w:rsidP="00BD06C4">
            <w:pPr>
              <w:pStyle w:val="NoSpacing"/>
            </w:pPr>
          </w:p>
          <w:p w14:paraId="3679716D" w14:textId="77777777" w:rsidR="00BD06C4" w:rsidRDefault="00BD06C4" w:rsidP="00BD06C4">
            <w:pPr>
              <w:pStyle w:val="NoSpacing"/>
            </w:pPr>
            <w:r>
              <w:t>2</w:t>
            </w:r>
            <w:r w:rsidRPr="00013ACB">
              <w:rPr>
                <w:vertAlign w:val="superscript"/>
              </w:rPr>
              <w:t>nd</w:t>
            </w:r>
            <w:r>
              <w:t xml:space="preserve"> Round:</w:t>
            </w:r>
          </w:p>
          <w:p w14:paraId="6C0134CB" w14:textId="77777777" w:rsidR="00BD06C4" w:rsidRDefault="00BD06C4" w:rsidP="00BD06C4">
            <w:pPr>
              <w:pStyle w:val="NoSpacing"/>
            </w:pPr>
            <w:r>
              <w:t xml:space="preserve"> June 2020</w:t>
            </w:r>
          </w:p>
          <w:p w14:paraId="0553338E" w14:textId="77777777" w:rsidR="00BD06C4" w:rsidRDefault="00BD06C4" w:rsidP="00BD06C4">
            <w:pPr>
              <w:pStyle w:val="NoSpacing"/>
            </w:pPr>
          </w:p>
          <w:p w14:paraId="63ED7FF6" w14:textId="77777777" w:rsidR="00BD06C4" w:rsidRDefault="00BD06C4" w:rsidP="00BD06C4">
            <w:pPr>
              <w:pStyle w:val="NoSpacing"/>
            </w:pPr>
            <w:r>
              <w:t>3</w:t>
            </w:r>
            <w:r w:rsidRPr="00013ACB">
              <w:rPr>
                <w:vertAlign w:val="superscript"/>
              </w:rPr>
              <w:t>rd</w:t>
            </w:r>
            <w:r>
              <w:t xml:space="preserve"> Round: </w:t>
            </w:r>
          </w:p>
          <w:p w14:paraId="2952F51B" w14:textId="77777777" w:rsidR="00BD06C4" w:rsidRDefault="00BD06C4" w:rsidP="00BD06C4">
            <w:pPr>
              <w:pStyle w:val="NoSpacing"/>
            </w:pPr>
            <w:r>
              <w:lastRenderedPageBreak/>
              <w:t>June 2023</w:t>
            </w:r>
          </w:p>
          <w:p w14:paraId="6E91E67F" w14:textId="77777777" w:rsidR="00BD06C4" w:rsidRDefault="00BD06C4" w:rsidP="00BD06C4">
            <w:pPr>
              <w:pStyle w:val="NoSpacing"/>
            </w:pPr>
          </w:p>
          <w:p w14:paraId="6E44803C" w14:textId="77777777" w:rsidR="00BD06C4" w:rsidRDefault="00BD06C4" w:rsidP="00BD06C4">
            <w:pPr>
              <w:pStyle w:val="NoSpacing"/>
            </w:pPr>
            <w:r>
              <w:t>4</w:t>
            </w:r>
            <w:r w:rsidRPr="00013ACB">
              <w:rPr>
                <w:vertAlign w:val="superscript"/>
              </w:rPr>
              <w:t>th</w:t>
            </w:r>
            <w:r>
              <w:t xml:space="preserve"> Round: </w:t>
            </w:r>
          </w:p>
          <w:p w14:paraId="54F85F6D" w14:textId="77777777" w:rsidR="00BD06C4" w:rsidRDefault="00BD06C4" w:rsidP="00BD06C4">
            <w:pPr>
              <w:pStyle w:val="NoSpacing"/>
            </w:pPr>
            <w:r>
              <w:t>June 2026</w:t>
            </w:r>
          </w:p>
          <w:p w14:paraId="5771CC83" w14:textId="77777777" w:rsidR="00BD06C4" w:rsidRDefault="00BD06C4" w:rsidP="00BD06C4">
            <w:pPr>
              <w:pStyle w:val="NoSpacing"/>
            </w:pPr>
          </w:p>
          <w:p w14:paraId="43BF975B" w14:textId="77777777" w:rsidR="00BD06C4" w:rsidRDefault="00BD06C4" w:rsidP="00BD06C4">
            <w:pPr>
              <w:pStyle w:val="NoSpacing"/>
            </w:pPr>
            <w:r>
              <w:t>5</w:t>
            </w:r>
            <w:r w:rsidRPr="00013ACB">
              <w:rPr>
                <w:vertAlign w:val="superscript"/>
              </w:rPr>
              <w:t>th</w:t>
            </w:r>
            <w:r>
              <w:t xml:space="preserve"> Round: </w:t>
            </w:r>
          </w:p>
          <w:p w14:paraId="281E48C4" w14:textId="77777777" w:rsidR="00BD06C4" w:rsidRDefault="00BD06C4" w:rsidP="00BD06C4">
            <w:pPr>
              <w:pStyle w:val="NoSpacing"/>
            </w:pPr>
            <w:r>
              <w:t>June 2029</w:t>
            </w:r>
          </w:p>
          <w:p w14:paraId="2BF2DCD7" w14:textId="311AB8D1" w:rsidR="00BD06C4" w:rsidRDefault="00BD06C4" w:rsidP="00BD06C4">
            <w:pPr>
              <w:ind w:left="970" w:hanging="970"/>
              <w:jc w:val="both"/>
              <w:rPr>
                <w:color w:val="0070C0"/>
                <w:sz w:val="30"/>
                <w:szCs w:val="30"/>
              </w:rPr>
            </w:pPr>
          </w:p>
        </w:tc>
        <w:tc>
          <w:tcPr>
            <w:tcW w:w="0" w:type="auto"/>
          </w:tcPr>
          <w:p w14:paraId="1F0EE179" w14:textId="77777777" w:rsidR="00BD06C4" w:rsidRDefault="00BD06C4" w:rsidP="00BD06C4">
            <w:pPr>
              <w:pStyle w:val="NoSpacing"/>
            </w:pPr>
            <w:r w:rsidRPr="00A41B47">
              <w:lastRenderedPageBreak/>
              <w:t>UNSC 51 addition included in the 2020 comprehensive review</w:t>
            </w:r>
          </w:p>
        </w:tc>
      </w:tr>
      <w:tr w:rsidR="00BD06C4" w14:paraId="143E4F0E" w14:textId="77777777" w:rsidTr="00A64F0D">
        <w:tc>
          <w:tcPr>
            <w:tcW w:w="0" w:type="auto"/>
          </w:tcPr>
          <w:p w14:paraId="4B1E6B6E" w14:textId="071D1864" w:rsidR="00BD06C4" w:rsidRDefault="00BD06C4" w:rsidP="00BD06C4">
            <w:pPr>
              <w:ind w:left="970" w:hanging="970"/>
              <w:jc w:val="both"/>
              <w:rPr>
                <w:color w:val="0070C0"/>
                <w:sz w:val="30"/>
                <w:szCs w:val="30"/>
              </w:rPr>
            </w:pPr>
          </w:p>
        </w:tc>
        <w:tc>
          <w:tcPr>
            <w:tcW w:w="0" w:type="auto"/>
            <w:gridSpan w:val="12"/>
          </w:tcPr>
          <w:p w14:paraId="690C3446"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16.4 By 2030, significantly reduce illicit financial and arms flows, strengthen the recovery and return of stolen assets and combat all forms of organized crime</w:t>
            </w:r>
          </w:p>
        </w:tc>
      </w:tr>
      <w:tr w:rsidR="00BD06C4" w14:paraId="5BB0A248" w14:textId="77777777" w:rsidTr="00A64F0D">
        <w:tc>
          <w:tcPr>
            <w:tcW w:w="0" w:type="auto"/>
          </w:tcPr>
          <w:p w14:paraId="356B7599" w14:textId="77777777" w:rsidR="00BD06C4" w:rsidRPr="00BA046C" w:rsidRDefault="00BD06C4" w:rsidP="00BD06C4">
            <w:pPr>
              <w:pStyle w:val="NoSpacing"/>
            </w:pPr>
            <w:r w:rsidRPr="00BA046C">
              <w:t>16.4.1 Total value of inward and outward illicit financial flows (in current United States dollars)</w:t>
            </w:r>
          </w:p>
        </w:tc>
        <w:tc>
          <w:tcPr>
            <w:tcW w:w="0" w:type="auto"/>
          </w:tcPr>
          <w:p w14:paraId="768B3A2F" w14:textId="77777777" w:rsidR="00BD06C4" w:rsidRDefault="00BD06C4" w:rsidP="00BD06C4">
            <w:pPr>
              <w:pStyle w:val="NoSpacing"/>
            </w:pPr>
            <w:r>
              <w:t>UNODC,</w:t>
            </w:r>
          </w:p>
          <w:p w14:paraId="5644017A" w14:textId="77777777" w:rsidR="00BD06C4" w:rsidRDefault="00BD06C4" w:rsidP="00BD06C4">
            <w:pPr>
              <w:pStyle w:val="NoSpacing"/>
            </w:pPr>
            <w:r>
              <w:t>UNCTAD</w:t>
            </w:r>
          </w:p>
          <w:p w14:paraId="09F98E73" w14:textId="77777777" w:rsidR="00BD06C4" w:rsidRDefault="00BD06C4" w:rsidP="00BD06C4">
            <w:pPr>
              <w:rPr>
                <w:color w:val="0070C0"/>
                <w:sz w:val="30"/>
                <w:szCs w:val="30"/>
              </w:rPr>
            </w:pPr>
          </w:p>
        </w:tc>
        <w:tc>
          <w:tcPr>
            <w:tcW w:w="0" w:type="auto"/>
          </w:tcPr>
          <w:p w14:paraId="45DA7F2F" w14:textId="77777777" w:rsidR="00BD06C4" w:rsidRDefault="00BD06C4" w:rsidP="00BD06C4">
            <w:pPr>
              <w:ind w:left="970" w:hanging="970"/>
              <w:jc w:val="both"/>
              <w:rPr>
                <w:color w:val="0070C0"/>
                <w:sz w:val="30"/>
                <w:szCs w:val="30"/>
              </w:rPr>
            </w:pPr>
            <w:r w:rsidRPr="00666BAB">
              <w:t>Tier II</w:t>
            </w:r>
          </w:p>
        </w:tc>
        <w:tc>
          <w:tcPr>
            <w:tcW w:w="0" w:type="auto"/>
          </w:tcPr>
          <w:p w14:paraId="6A4E0AC2" w14:textId="77777777" w:rsidR="00BD06C4" w:rsidRPr="009C40F4" w:rsidRDefault="00BD06C4" w:rsidP="00BD06C4">
            <w:pPr>
              <w:pStyle w:val="NoSpacing"/>
              <w:rPr>
                <w:lang w:val="en-GB"/>
              </w:rPr>
            </w:pPr>
            <w:r w:rsidRPr="009C40F4">
              <w:rPr>
                <w:b/>
                <w:bCs/>
                <w:lang w:val="en-GB"/>
              </w:rPr>
              <w:t>Definition:</w:t>
            </w:r>
          </w:p>
          <w:p w14:paraId="4EFFA8C4" w14:textId="77777777" w:rsidR="00BD06C4" w:rsidRPr="009C40F4" w:rsidRDefault="00BD06C4" w:rsidP="00BD06C4">
            <w:pPr>
              <w:pStyle w:val="NoSpacing"/>
              <w:rPr>
                <w:lang w:val="en-GB"/>
              </w:rPr>
            </w:pPr>
            <w:r w:rsidRPr="009C40F4">
              <w:rPr>
                <w:lang w:val="en-GB"/>
              </w:rPr>
              <w:t xml:space="preserve">The indicator measures the total value of inward and outward illicit financial flows (IFFs) in current United States dollars. IFFs are financial flows that are illicitly generated (e.g., originating in criminal activities or tax evasion), illicitly transferred (e.g., violating currency controls) or illicitly used (e.g., for financing terrorism). </w:t>
            </w:r>
          </w:p>
          <w:p w14:paraId="40FA3D72" w14:textId="77777777" w:rsidR="00BD06C4" w:rsidRPr="009C40F4" w:rsidRDefault="00BD06C4" w:rsidP="00BD06C4">
            <w:pPr>
              <w:pStyle w:val="NoSpacing"/>
              <w:rPr>
                <w:lang w:val="en-GB"/>
              </w:rPr>
            </w:pPr>
          </w:p>
          <w:p w14:paraId="5B141AE0" w14:textId="77777777" w:rsidR="00BD06C4" w:rsidRPr="009C40F4" w:rsidRDefault="00BD06C4" w:rsidP="00BD06C4">
            <w:pPr>
              <w:pStyle w:val="NoSpacing"/>
              <w:rPr>
                <w:b/>
                <w:bCs/>
                <w:lang w:val="en-GB"/>
              </w:rPr>
            </w:pPr>
            <w:r w:rsidRPr="009C40F4">
              <w:rPr>
                <w:b/>
                <w:bCs/>
                <w:lang w:val="en-GB"/>
              </w:rPr>
              <w:t>Concepts:</w:t>
            </w:r>
          </w:p>
          <w:p w14:paraId="2D57E2C3" w14:textId="77777777" w:rsidR="00BD06C4" w:rsidRPr="009C40F4" w:rsidRDefault="00BD06C4" w:rsidP="00BD06C4">
            <w:pPr>
              <w:pStyle w:val="NoSpacing"/>
              <w:rPr>
                <w:b/>
                <w:bCs/>
                <w:lang w:val="en-GB"/>
              </w:rPr>
            </w:pPr>
          </w:p>
          <w:p w14:paraId="1FA30F16" w14:textId="77777777" w:rsidR="00BD06C4" w:rsidRPr="009C40F4" w:rsidRDefault="00BD06C4" w:rsidP="00BD06C4">
            <w:pPr>
              <w:pStyle w:val="NoSpacing"/>
              <w:rPr>
                <w:lang w:val="en-GB"/>
              </w:rPr>
            </w:pPr>
            <w:r w:rsidRPr="009C40F4">
              <w:rPr>
                <w:lang w:val="en-GB"/>
              </w:rPr>
              <w:t>Illicit financial flows refer to activities that are considered as criminal offences and to a series of behaviours in the area of tax and commercial practices. The International Classification of Crime for Statistical Purposes (ICCS) provides definitions of relevant offences</w:t>
            </w:r>
            <w:r w:rsidRPr="009C40F4">
              <w:rPr>
                <w:vertAlign w:val="superscript"/>
                <w:lang w:val="en-GB"/>
              </w:rPr>
              <w:footnoteReference w:id="54"/>
            </w:r>
            <w:r w:rsidRPr="009C40F4">
              <w:rPr>
                <w:lang w:val="en-GB"/>
              </w:rPr>
              <w:t>.</w:t>
            </w:r>
          </w:p>
          <w:p w14:paraId="4D8673F7" w14:textId="77777777" w:rsidR="00BD06C4" w:rsidRPr="009C40F4" w:rsidRDefault="00BD06C4" w:rsidP="00BD06C4">
            <w:pPr>
              <w:pStyle w:val="NoSpacing"/>
              <w:rPr>
                <w:lang w:val="en-GB"/>
              </w:rPr>
            </w:pPr>
          </w:p>
          <w:p w14:paraId="3A1BB4AE" w14:textId="77777777" w:rsidR="00BD06C4" w:rsidRPr="009C40F4" w:rsidRDefault="00BD06C4" w:rsidP="00BD06C4">
            <w:pPr>
              <w:pStyle w:val="NoSpacing"/>
              <w:rPr>
                <w:lang w:val="en-GB"/>
              </w:rPr>
            </w:pPr>
            <w:r w:rsidRPr="009C40F4">
              <w:rPr>
                <w:lang w:val="en-GB"/>
              </w:rPr>
              <w:t>There are four main types of activities that can generate IFFs:</w:t>
            </w:r>
          </w:p>
          <w:p w14:paraId="53EF4AE8" w14:textId="77777777" w:rsidR="00BD06C4" w:rsidRPr="009C40F4" w:rsidRDefault="00BD06C4" w:rsidP="00BD06C4">
            <w:pPr>
              <w:pStyle w:val="NoSpacing"/>
              <w:numPr>
                <w:ilvl w:val="0"/>
                <w:numId w:val="145"/>
              </w:numPr>
              <w:rPr>
                <w:lang w:val="en-GB"/>
              </w:rPr>
            </w:pPr>
            <w:r w:rsidRPr="009C40F4">
              <w:rPr>
                <w:i/>
                <w:iCs/>
                <w:u w:val="single"/>
                <w:lang w:val="en-GB"/>
              </w:rPr>
              <w:t>Tax and commercial IFFs</w:t>
            </w:r>
            <w:r w:rsidRPr="009C40F4">
              <w:rPr>
                <w:lang w:val="en-GB"/>
              </w:rPr>
              <w:t xml:space="preserve">: These include illegal practices such as tariff, duty and revenue offences, tax evasion, corporate offences and market manipulation, and other selected practices. Some activities that are non-observed, hidden or informal or part of the so-called shadow, underground or grey economy may generate IFFs. The practices are typically motivated by increasing profits and avoiding taxes. Related activities included in the ICCS comprise tax evasion, tariff, duty and revenue offences, competition offences, import/export offences, acts against trade regulations, restrictions or embargoes and investment or stack/shares offences. In addition, tax avoidance includes transfer mispricing, debt shifting, relocation of intellectual property, tax treaty shopping, tax deferral and changing corporate structures and head quarter locations and other tax avoidance practices. When these activities directly or indirectly generate flows crossing country borders, they generate IFFs. </w:t>
            </w:r>
          </w:p>
          <w:p w14:paraId="1E197C00" w14:textId="77777777" w:rsidR="00BD06C4" w:rsidRPr="009C40F4" w:rsidRDefault="00BD06C4" w:rsidP="00BD06C4">
            <w:pPr>
              <w:pStyle w:val="NoSpacing"/>
              <w:numPr>
                <w:ilvl w:val="0"/>
                <w:numId w:val="145"/>
              </w:numPr>
              <w:rPr>
                <w:lang w:val="en-GB"/>
              </w:rPr>
            </w:pPr>
            <w:r w:rsidRPr="009C40F4">
              <w:rPr>
                <w:i/>
                <w:iCs/>
                <w:u w:val="single"/>
                <w:lang w:val="en-GB"/>
              </w:rPr>
              <w:t>IFFs from corruption</w:t>
            </w:r>
            <w:r w:rsidRPr="009C40F4">
              <w:rPr>
                <w:lang w:val="en-GB"/>
              </w:rPr>
              <w:t xml:space="preserve">: The United Nations Convention against Corruption (UNCAC) defines acts considered as corruption, and they are consistently defined in the ICCS, such as bribery, embezzlement, abuse of </w:t>
            </w:r>
            <w:r w:rsidRPr="009C40F4">
              <w:rPr>
                <w:lang w:val="en-GB"/>
              </w:rPr>
              <w:lastRenderedPageBreak/>
              <w:t xml:space="preserve">functions, trading in influence, illicit enrichment and other acts of corruption in the scope. When these acts – directly or indirectly - generate cross-border flows, they generate IFFs. </w:t>
            </w:r>
          </w:p>
          <w:p w14:paraId="52B6DE0C" w14:textId="77777777" w:rsidR="00BD06C4" w:rsidRPr="009C40F4" w:rsidRDefault="00BD06C4" w:rsidP="00BD06C4">
            <w:pPr>
              <w:pStyle w:val="NoSpacing"/>
              <w:numPr>
                <w:ilvl w:val="0"/>
                <w:numId w:val="145"/>
              </w:numPr>
              <w:rPr>
                <w:lang w:val="en-GB"/>
              </w:rPr>
            </w:pPr>
            <w:r w:rsidRPr="009C40F4">
              <w:rPr>
                <w:i/>
                <w:iCs/>
                <w:u w:val="single"/>
                <w:lang w:val="en-GB"/>
              </w:rPr>
              <w:t>Theft-type activities and financing of crime and terrorism</w:t>
            </w:r>
            <w:r w:rsidRPr="009C40F4">
              <w:rPr>
                <w:i/>
                <w:iCs/>
                <w:lang w:val="en-GB"/>
              </w:rPr>
              <w:t>:</w:t>
            </w:r>
            <w:r w:rsidRPr="009C40F4">
              <w:rPr>
                <w:lang w:val="en-GB"/>
              </w:rPr>
              <w:t xml:space="preserve"> Theft-type activities are non-productive activities that entail a forced, involuntary and illicit transfer of economic resources between two actors. Terrorism financing and financing of crime are illicit, voluntary transfers of funds between two actors. Examples of theft-type activities are theft, extortion, illicit enrichment, and kidnapping. When the related financial flows cross country borders, they constitute IFFs.</w:t>
            </w:r>
          </w:p>
          <w:p w14:paraId="4C71483A" w14:textId="77777777" w:rsidR="00BD06C4" w:rsidRPr="009C40F4" w:rsidRDefault="00BD06C4" w:rsidP="00BD06C4">
            <w:pPr>
              <w:pStyle w:val="NoSpacing"/>
              <w:numPr>
                <w:ilvl w:val="0"/>
                <w:numId w:val="145"/>
              </w:numPr>
              <w:rPr>
                <w:lang w:val="en-GB"/>
              </w:rPr>
            </w:pPr>
            <w:r w:rsidRPr="009C40F4">
              <w:rPr>
                <w:i/>
                <w:iCs/>
                <w:u w:val="single"/>
                <w:lang w:val="en-GB"/>
              </w:rPr>
              <w:t>IFFs from illegal markets</w:t>
            </w:r>
            <w:r w:rsidRPr="009C40F4">
              <w:rPr>
                <w:lang w:val="en-GB"/>
              </w:rPr>
              <w:t>: Domestic and international trade in illicit goods and services. Such processes often involve a degree of criminal organization and are aimed at creating profit. They include any type of trafficking in goods such as drugs, firearms, or services such as smuggling of migrants. IFFs are generated by the flows related to international trade of illicit goods and services, as well as by cross-border flows from managing the illicit income from such activities.</w:t>
            </w:r>
          </w:p>
          <w:p w14:paraId="30ECB90E" w14:textId="77777777" w:rsidR="00BD06C4" w:rsidRPr="009C40F4" w:rsidRDefault="00BD06C4" w:rsidP="00BD06C4">
            <w:pPr>
              <w:pStyle w:val="NoSpacing"/>
              <w:rPr>
                <w:lang w:val="en-GB"/>
              </w:rPr>
            </w:pPr>
          </w:p>
          <w:p w14:paraId="04841BB7" w14:textId="77777777" w:rsidR="00BD06C4" w:rsidRPr="009C40F4" w:rsidRDefault="00BD06C4" w:rsidP="00BD06C4">
            <w:pPr>
              <w:pStyle w:val="NoSpacing"/>
              <w:rPr>
                <w:lang w:val="en-GB"/>
              </w:rPr>
            </w:pPr>
            <w:r w:rsidRPr="009C40F4">
              <w:rPr>
                <w:i/>
                <w:iCs/>
                <w:u w:val="single"/>
                <w:lang w:val="en-GB"/>
              </w:rPr>
              <w:t>The UNODC (2015) International Classification of Crime for Statistical Purposes</w:t>
            </w:r>
            <w:r w:rsidRPr="009C40F4">
              <w:rPr>
                <w:lang w:val="en-GB"/>
              </w:rPr>
              <w:t xml:space="preserve"> (ICCS) provides definitions of a number of behaviours, events and activities which may generate IFFs such as theft-type activities and terrorism, illicit trafficking and corruption, as well as many activities related to tax and commercial practices.</w:t>
            </w:r>
            <w:r w:rsidRPr="009C40F4">
              <w:rPr>
                <w:vertAlign w:val="superscript"/>
                <w:lang w:val="en-GB"/>
              </w:rPr>
              <w:footnoteReference w:id="55"/>
            </w:r>
          </w:p>
          <w:p w14:paraId="5B27F5D9" w14:textId="77777777" w:rsidR="00BD06C4" w:rsidRPr="009C40F4" w:rsidRDefault="00BD06C4" w:rsidP="00BD06C4">
            <w:pPr>
              <w:pStyle w:val="NoSpacing"/>
              <w:rPr>
                <w:lang w:val="en-GB"/>
              </w:rPr>
            </w:pPr>
          </w:p>
          <w:p w14:paraId="270F72C8" w14:textId="77777777" w:rsidR="00BD06C4" w:rsidRPr="009C40F4" w:rsidRDefault="00BD06C4" w:rsidP="00BD06C4">
            <w:pPr>
              <w:pStyle w:val="NoSpacing"/>
              <w:rPr>
                <w:lang w:val="en-GB"/>
              </w:rPr>
            </w:pPr>
            <w:r w:rsidRPr="009C40F4">
              <w:rPr>
                <w:lang w:val="en-GB"/>
              </w:rPr>
              <w:t>Other relevant concepts include:</w:t>
            </w:r>
          </w:p>
          <w:p w14:paraId="16B31A2E" w14:textId="77777777" w:rsidR="00BD06C4" w:rsidRPr="009C40F4" w:rsidRDefault="00BD06C4" w:rsidP="00BD06C4">
            <w:pPr>
              <w:pStyle w:val="NoSpacing"/>
              <w:numPr>
                <w:ilvl w:val="0"/>
                <w:numId w:val="145"/>
              </w:numPr>
              <w:rPr>
                <w:lang w:val="en-GB"/>
              </w:rPr>
            </w:pPr>
            <w:r w:rsidRPr="009C40F4">
              <w:rPr>
                <w:i/>
                <w:iCs/>
                <w:u w:val="single"/>
                <w:lang w:val="en-GB"/>
              </w:rPr>
              <w:t>Inward IFFs</w:t>
            </w:r>
            <w:r w:rsidRPr="009C40F4">
              <w:rPr>
                <w:lang w:val="en-GB"/>
              </w:rPr>
              <w:t>: Illicit financial flows entering a country.</w:t>
            </w:r>
          </w:p>
          <w:p w14:paraId="7000210A" w14:textId="77777777" w:rsidR="00BD06C4" w:rsidRPr="009C40F4" w:rsidRDefault="00BD06C4" w:rsidP="00BD06C4">
            <w:pPr>
              <w:pStyle w:val="NoSpacing"/>
              <w:numPr>
                <w:ilvl w:val="0"/>
                <w:numId w:val="145"/>
              </w:numPr>
              <w:rPr>
                <w:lang w:val="en-GB"/>
              </w:rPr>
            </w:pPr>
            <w:r w:rsidRPr="009C40F4">
              <w:rPr>
                <w:i/>
                <w:iCs/>
                <w:u w:val="single"/>
                <w:lang w:val="en-GB"/>
              </w:rPr>
              <w:t>Outward IFFs</w:t>
            </w:r>
            <w:r w:rsidRPr="009C40F4">
              <w:rPr>
                <w:lang w:val="en-GB"/>
              </w:rPr>
              <w:t>: Illicit financial flows leaving a country.</w:t>
            </w:r>
          </w:p>
          <w:p w14:paraId="50005DAA" w14:textId="77777777" w:rsidR="00BD06C4" w:rsidRPr="009C40F4" w:rsidRDefault="00BD06C4" w:rsidP="00BD06C4">
            <w:pPr>
              <w:pStyle w:val="NoSpacing"/>
              <w:numPr>
                <w:ilvl w:val="0"/>
                <w:numId w:val="145"/>
              </w:numPr>
              <w:rPr>
                <w:lang w:val="en-GB"/>
              </w:rPr>
            </w:pPr>
            <w:r w:rsidRPr="009C40F4">
              <w:rPr>
                <w:i/>
                <w:iCs/>
                <w:u w:val="single"/>
                <w:lang w:val="en-GB"/>
              </w:rPr>
              <w:t>Illicit income generation</w:t>
            </w:r>
            <w:r w:rsidRPr="009C40F4">
              <w:rPr>
                <w:lang w:val="en-GB"/>
              </w:rPr>
              <w:t xml:space="preserve">: This refers to the set of transactions that either directly </w:t>
            </w:r>
            <w:proofErr w:type="gramStart"/>
            <w:r w:rsidRPr="009C40F4">
              <w:rPr>
                <w:lang w:val="en-GB"/>
              </w:rPr>
              <w:t>generate</w:t>
            </w:r>
            <w:proofErr w:type="gramEnd"/>
            <w:r w:rsidRPr="009C40F4">
              <w:rPr>
                <w:lang w:val="en-GB"/>
              </w:rPr>
              <w:t xml:space="preserve"> illicit income for an actor during a productive or non-productive illicit activity, or that are performed in the context of the production of illicit goods and services. A transaction constitutes an IFF when it crosses country borders.</w:t>
            </w:r>
          </w:p>
          <w:p w14:paraId="3916254A" w14:textId="77777777" w:rsidR="00BD06C4" w:rsidRPr="009C40F4" w:rsidRDefault="00BD06C4" w:rsidP="00BD06C4">
            <w:pPr>
              <w:pStyle w:val="NoSpacing"/>
              <w:numPr>
                <w:ilvl w:val="0"/>
                <w:numId w:val="145"/>
              </w:numPr>
              <w:rPr>
                <w:lang w:val="en-GB"/>
              </w:rPr>
            </w:pPr>
            <w:r w:rsidRPr="009C40F4">
              <w:rPr>
                <w:i/>
                <w:iCs/>
                <w:u w:val="single"/>
                <w:lang w:val="en-GB"/>
              </w:rPr>
              <w:t>Illicit income management</w:t>
            </w:r>
            <w:r w:rsidRPr="009C40F4">
              <w:rPr>
                <w:lang w:val="en-GB"/>
              </w:rPr>
              <w:t xml:space="preserve">: These transactions use illicit income to invest in (legal or illegal) financial and non-financial assets or to consume (legal or illegal) goods and services. A transaction constitutes </w:t>
            </w:r>
            <w:proofErr w:type="gramStart"/>
            <w:r w:rsidRPr="009C40F4">
              <w:rPr>
                <w:lang w:val="en-GB"/>
              </w:rPr>
              <w:t>an</w:t>
            </w:r>
            <w:proofErr w:type="gramEnd"/>
            <w:r w:rsidRPr="009C40F4">
              <w:rPr>
                <w:lang w:val="en-GB"/>
              </w:rPr>
              <w:t xml:space="preserve"> IFFs when it crosses country borders.</w:t>
            </w:r>
          </w:p>
          <w:p w14:paraId="21A15C41" w14:textId="77777777" w:rsidR="00BD06C4" w:rsidRPr="009C40F4" w:rsidRDefault="00BD06C4" w:rsidP="00BD06C4">
            <w:pPr>
              <w:pStyle w:val="NoSpacing"/>
              <w:numPr>
                <w:ilvl w:val="0"/>
                <w:numId w:val="145"/>
              </w:numPr>
              <w:rPr>
                <w:lang w:val="en-GB"/>
              </w:rPr>
            </w:pPr>
            <w:r w:rsidRPr="009C40F4">
              <w:rPr>
                <w:i/>
                <w:iCs/>
                <w:u w:val="single"/>
                <w:lang w:val="en-GB"/>
              </w:rPr>
              <w:t>Illicit markets</w:t>
            </w:r>
            <w:r w:rsidRPr="009C40F4">
              <w:rPr>
                <w:lang w:val="en-GB"/>
              </w:rPr>
              <w:t xml:space="preserve"> comprise all transactions related to the production and the trade with a certain illicit good or service. Regardless of the illicit nature, these market activities are considered as being economically productive, because value added is generated at each transaction. The value added describes the net increase in value (price </w:t>
            </w:r>
            <w:proofErr w:type="gramStart"/>
            <w:r w:rsidRPr="009C40F4">
              <w:rPr>
                <w:lang w:val="en-GB"/>
              </w:rPr>
              <w:t>times</w:t>
            </w:r>
            <w:proofErr w:type="gramEnd"/>
            <w:r w:rsidRPr="009C40F4">
              <w:rPr>
                <w:lang w:val="en-GB"/>
              </w:rPr>
              <w:t xml:space="preserve"> quantity) of the product at each transaction.</w:t>
            </w:r>
          </w:p>
          <w:p w14:paraId="465CF152" w14:textId="77777777" w:rsidR="00BD06C4" w:rsidRPr="009C40F4" w:rsidRDefault="00BD06C4" w:rsidP="00BD06C4">
            <w:pPr>
              <w:pStyle w:val="NoSpacing"/>
              <w:rPr>
                <w:lang w:val="en-GB"/>
              </w:rPr>
            </w:pPr>
          </w:p>
          <w:p w14:paraId="76A2AA1B" w14:textId="77777777" w:rsidR="00BD06C4" w:rsidRPr="009C40F4" w:rsidRDefault="00BD06C4" w:rsidP="00BD06C4">
            <w:pPr>
              <w:pStyle w:val="NoSpacing"/>
              <w:rPr>
                <w:u w:val="single"/>
                <w:lang w:val="en-GB"/>
              </w:rPr>
            </w:pPr>
            <w:r w:rsidRPr="009C40F4">
              <w:rPr>
                <w:u w:val="single"/>
                <w:lang w:val="en-GB"/>
              </w:rPr>
              <w:t xml:space="preserve">Bottom-up and direct measurement </w:t>
            </w:r>
          </w:p>
          <w:p w14:paraId="5964CD69" w14:textId="77777777" w:rsidR="00BD06C4" w:rsidRPr="009C40F4" w:rsidRDefault="00BD06C4" w:rsidP="00BD06C4">
            <w:pPr>
              <w:pStyle w:val="NoSpacing"/>
              <w:rPr>
                <w:lang w:val="en-GB"/>
              </w:rPr>
            </w:pPr>
            <w:r w:rsidRPr="009C40F4">
              <w:rPr>
                <w:lang w:val="en-GB"/>
              </w:rPr>
              <w:t xml:space="preserve">A bottom-up and direct measurement approach is proposed for constructing the indicator. Bottom-up methods estimate IFFs directly in relation to the four main activities and build them up departing from the overall economic income that </w:t>
            </w:r>
            <w:r w:rsidRPr="009C40F4">
              <w:rPr>
                <w:lang w:val="en-GB"/>
              </w:rPr>
              <w:lastRenderedPageBreak/>
              <w:t xml:space="preserve">illicit activities generate. </w:t>
            </w:r>
          </w:p>
          <w:p w14:paraId="0B291BE0" w14:textId="77777777" w:rsidR="00BD06C4" w:rsidRPr="009C40F4" w:rsidRDefault="00BD06C4" w:rsidP="00BD06C4">
            <w:pPr>
              <w:pStyle w:val="NoSpacing"/>
              <w:rPr>
                <w:lang w:val="en-GB"/>
              </w:rPr>
            </w:pPr>
          </w:p>
          <w:p w14:paraId="431F14FA" w14:textId="77777777" w:rsidR="00BD06C4" w:rsidRPr="009C40F4" w:rsidRDefault="00BD06C4" w:rsidP="00BD06C4">
            <w:pPr>
              <w:pStyle w:val="NoSpacing"/>
              <w:rPr>
                <w:lang w:val="en-GB"/>
              </w:rPr>
            </w:pPr>
            <w:r w:rsidRPr="009C40F4">
              <w:rPr>
                <w:lang w:val="en-GB"/>
              </w:rPr>
              <w:t>Direct refer to the fact that data referring to the various stages of the economic processes generating IFFs are individually measured (via surveys, administrative data or other transparent methods) and are not the exclusive result of model-based procedures. The measurement approach is in line with the “Eurostat Handbook on the compilation of statistics on illegal economic activities in national accounts and balance of payments”</w:t>
            </w:r>
            <w:r w:rsidRPr="009C40F4">
              <w:rPr>
                <w:vertAlign w:val="superscript"/>
                <w:lang w:val="en-GB"/>
              </w:rPr>
              <w:footnoteReference w:id="56"/>
            </w:r>
            <w:r w:rsidRPr="009C40F4">
              <w:rPr>
                <w:lang w:val="en-GB"/>
              </w:rPr>
              <w:t xml:space="preserve"> for the estimation of the contribution of illegal activities to the GDP. </w:t>
            </w:r>
            <w:r w:rsidRPr="009C40F4">
              <w:rPr>
                <w:vertAlign w:val="superscript"/>
                <w:lang w:val="en-GB"/>
              </w:rPr>
              <w:footnoteReference w:id="57"/>
            </w:r>
          </w:p>
          <w:p w14:paraId="1A7481EE" w14:textId="77777777" w:rsidR="00BD06C4" w:rsidRPr="000C4849" w:rsidRDefault="00BD06C4" w:rsidP="00BD06C4">
            <w:pPr>
              <w:pStyle w:val="NoSpacing"/>
              <w:rPr>
                <w:b/>
                <w:lang w:val="en-GB"/>
              </w:rPr>
            </w:pPr>
            <w:r w:rsidRPr="000C4849">
              <w:rPr>
                <w:b/>
                <w:lang w:val="en-GB"/>
              </w:rPr>
              <w:t>Computation Method:</w:t>
            </w:r>
          </w:p>
          <w:p w14:paraId="02A94967" w14:textId="77777777" w:rsidR="00BD06C4" w:rsidRPr="0021591B" w:rsidRDefault="00BD06C4" w:rsidP="00BD06C4">
            <w:pPr>
              <w:pStyle w:val="NoSpacing"/>
              <w:rPr>
                <w:lang w:val="en-GB"/>
              </w:rPr>
            </w:pPr>
            <w:r w:rsidRPr="0021591B">
              <w:rPr>
                <w:lang w:val="en-GB"/>
              </w:rPr>
              <w:t>The proposed computation method follows the principles developed in economic measurement frameworks such as the National Accounts and the Balance of Payments.</w:t>
            </w:r>
          </w:p>
          <w:p w14:paraId="3371A1E7" w14:textId="77777777" w:rsidR="00BD06C4" w:rsidRPr="0021591B" w:rsidRDefault="00BD06C4" w:rsidP="00BD06C4">
            <w:pPr>
              <w:pStyle w:val="NoSpacing"/>
              <w:rPr>
                <w:lang w:val="en-GB"/>
              </w:rPr>
            </w:pPr>
          </w:p>
          <w:p w14:paraId="295CD837" w14:textId="77777777" w:rsidR="00BD06C4" w:rsidRPr="0021591B" w:rsidRDefault="00BD06C4" w:rsidP="00BD06C4">
            <w:pPr>
              <w:pStyle w:val="NoSpacing"/>
              <w:rPr>
                <w:lang w:val="en-GB"/>
              </w:rPr>
            </w:pPr>
            <w:r w:rsidRPr="0021591B">
              <w:rPr>
                <w:lang w:val="en-GB"/>
              </w:rPr>
              <w:t xml:space="preserve"> A two-step process was developed that aids member states in calculating the indicator 16.4.1. The methodology has been tested in 5 countries. </w:t>
            </w:r>
          </w:p>
          <w:p w14:paraId="69DF706C" w14:textId="77777777" w:rsidR="00BD06C4" w:rsidRPr="0021591B" w:rsidRDefault="00BD06C4" w:rsidP="00BD06C4">
            <w:pPr>
              <w:pStyle w:val="NoSpacing"/>
              <w:rPr>
                <w:lang w:val="en-GB"/>
              </w:rPr>
            </w:pPr>
          </w:p>
          <w:p w14:paraId="3BE8D326" w14:textId="77777777" w:rsidR="00BD06C4" w:rsidRPr="0021591B" w:rsidRDefault="00BD06C4" w:rsidP="00BD06C4">
            <w:pPr>
              <w:pStyle w:val="NoSpacing"/>
              <w:rPr>
                <w:lang w:val="en-GB"/>
              </w:rPr>
            </w:pPr>
            <w:r w:rsidRPr="0021591B">
              <w:rPr>
                <w:lang w:val="en-GB"/>
              </w:rPr>
              <w:t>The methodology foresees:</w:t>
            </w:r>
          </w:p>
          <w:p w14:paraId="6DF93291" w14:textId="77777777" w:rsidR="00BD06C4" w:rsidRDefault="00BD06C4" w:rsidP="000C4849">
            <w:pPr>
              <w:pStyle w:val="NoSpacing"/>
              <w:numPr>
                <w:ilvl w:val="0"/>
                <w:numId w:val="177"/>
              </w:numPr>
              <w:rPr>
                <w:lang w:val="en-GB"/>
              </w:rPr>
            </w:pPr>
            <w:r w:rsidRPr="0021591B">
              <w:rPr>
                <w:lang w:val="en-GB"/>
              </w:rPr>
              <w:t xml:space="preserve">A risk assessment that identifies the major and most relevant sources of IFF in a country. This risk assessment can follow and build on existing risk assessments, e.g. the ones mandated by the Financial Action Task Force (FATF).  </w:t>
            </w:r>
          </w:p>
          <w:p w14:paraId="0C15D5BF" w14:textId="77777777" w:rsidR="00BD06C4" w:rsidRPr="009C40F4" w:rsidRDefault="00BD06C4" w:rsidP="000C4849">
            <w:pPr>
              <w:pStyle w:val="NoSpacing"/>
              <w:ind w:left="360"/>
              <w:rPr>
                <w:lang w:val="en-GB"/>
              </w:rPr>
            </w:pPr>
            <w:r w:rsidRPr="0021591B">
              <w:rPr>
                <w:lang w:val="en-GB"/>
              </w:rPr>
              <w:t>2)</w:t>
            </w:r>
            <w:r w:rsidRPr="0021591B">
              <w:rPr>
                <w:lang w:val="en-GB"/>
              </w:rPr>
              <w:tab/>
              <w:t>Once the activities that generate the most important flows are identified, the flows are estimated in a disaggregated manner.</w:t>
            </w:r>
          </w:p>
          <w:p w14:paraId="3CB5B79C" w14:textId="77777777" w:rsidR="00BD06C4" w:rsidRDefault="00BD06C4" w:rsidP="00BD06C4">
            <w:pPr>
              <w:pStyle w:val="NoSpacing"/>
            </w:pPr>
            <w:r>
              <w:t xml:space="preserve">Given the broad scope of activities generating IFF, each type of flow needs to be treated in a separate manner. </w:t>
            </w:r>
          </w:p>
          <w:p w14:paraId="2251B07E" w14:textId="77777777" w:rsidR="00BD06C4" w:rsidRDefault="00BD06C4" w:rsidP="00BD06C4">
            <w:pPr>
              <w:pStyle w:val="NoSpacing"/>
            </w:pPr>
          </w:p>
          <w:p w14:paraId="32EC9CED" w14:textId="77777777" w:rsidR="00BD06C4" w:rsidRDefault="00BD06C4" w:rsidP="00BD06C4">
            <w:pPr>
              <w:pStyle w:val="NoSpacing"/>
            </w:pPr>
            <w:r>
              <w:t>As a first step in constructing the IFF indicator is to focus, for each IFF type, on IFF generated during the Illicit income generation: this refers to the set of transactions – such as those related to international trade of illicit goods - that either directly generate illicit income for an actor during a productive or non-productive illicit activity, or that are performed in the context of the illicit production of goods and services.</w:t>
            </w:r>
          </w:p>
          <w:p w14:paraId="3A4D110E" w14:textId="77777777" w:rsidR="00BD06C4" w:rsidRDefault="00BD06C4" w:rsidP="00BD06C4">
            <w:pPr>
              <w:pStyle w:val="NoSpacing"/>
            </w:pPr>
          </w:p>
          <w:p w14:paraId="39942193" w14:textId="77777777" w:rsidR="00BD06C4" w:rsidRDefault="00BD06C4" w:rsidP="00BD06C4">
            <w:pPr>
              <w:pStyle w:val="NoSpacing"/>
            </w:pPr>
            <w:r>
              <w:t>Examples of IFFs related to selected illegal activities</w:t>
            </w:r>
          </w:p>
          <w:p w14:paraId="02D8D5EE" w14:textId="77777777" w:rsidR="00BD06C4" w:rsidRDefault="00BD06C4" w:rsidP="00BD06C4">
            <w:pPr>
              <w:pStyle w:val="NoSpacing"/>
            </w:pPr>
          </w:p>
          <w:p w14:paraId="5393B08D" w14:textId="77777777" w:rsidR="00BD06C4" w:rsidRDefault="00BD06C4" w:rsidP="00BD06C4">
            <w:pPr>
              <w:pStyle w:val="NoSpacing"/>
            </w:pPr>
          </w:p>
          <w:p w14:paraId="63E8E7B1" w14:textId="77777777" w:rsidR="00BD06C4" w:rsidRDefault="00BD06C4" w:rsidP="00BD06C4">
            <w:pPr>
              <w:pStyle w:val="NoSpacing"/>
            </w:pPr>
            <w:r>
              <w:t>IFF from drug trafficking</w:t>
            </w:r>
          </w:p>
          <w:p w14:paraId="790D534E" w14:textId="77777777" w:rsidR="00BD06C4" w:rsidRDefault="00BD06C4" w:rsidP="00BD06C4">
            <w:pPr>
              <w:pStyle w:val="NoSpacing"/>
            </w:pPr>
            <w:r>
              <w:t>In a drug producing country, the method to estimate IFFs derived from drug trafficking can be broadly described as follows:</w:t>
            </w:r>
          </w:p>
          <w:p w14:paraId="0F41C7A8" w14:textId="77777777" w:rsidR="00BD06C4" w:rsidRDefault="00BD06C4" w:rsidP="00BD06C4">
            <w:pPr>
              <w:pStyle w:val="NoSpacing"/>
            </w:pPr>
          </w:p>
          <w:p w14:paraId="6995364B" w14:textId="77777777" w:rsidR="00BD06C4" w:rsidRDefault="00BD06C4" w:rsidP="00BD06C4">
            <w:pPr>
              <w:pStyle w:val="NoSpacing"/>
            </w:pPr>
            <w:r>
              <w:lastRenderedPageBreak/>
              <w:t>All drug produced in the country is either consumed domestically (C), seized by law enforcement (S), exported (E) or lost (L).</w:t>
            </w:r>
          </w:p>
          <w:p w14:paraId="1C50D947" w14:textId="77777777" w:rsidR="00BD06C4" w:rsidRDefault="00BD06C4" w:rsidP="00BD06C4">
            <w:pPr>
              <w:pStyle w:val="NoSpacing"/>
            </w:pPr>
          </w:p>
          <w:p w14:paraId="64AC4033" w14:textId="77777777" w:rsidR="00BD06C4" w:rsidRDefault="00BD06C4" w:rsidP="00BD06C4">
            <w:pPr>
              <w:pStyle w:val="NoSpacing"/>
            </w:pPr>
            <w:r>
              <w:t>With that P=C+S+E+L.</w:t>
            </w:r>
          </w:p>
          <w:p w14:paraId="3F27C257" w14:textId="77777777" w:rsidR="00BD06C4" w:rsidRDefault="00BD06C4" w:rsidP="00BD06C4">
            <w:pPr>
              <w:pStyle w:val="NoSpacing"/>
            </w:pPr>
          </w:p>
          <w:p w14:paraId="735746F7" w14:textId="77777777" w:rsidR="00BD06C4" w:rsidRDefault="00BD06C4" w:rsidP="00BD06C4">
            <w:pPr>
              <w:pStyle w:val="NoSpacing"/>
            </w:pPr>
            <w:r>
              <w:t xml:space="preserve">Countries with extended illicit drug cultivation, normally collect data on P, C, and S. (losses cannot be estimated and are excluded from the calculations) and annual exports of drugs can be estimated. </w:t>
            </w:r>
          </w:p>
          <w:p w14:paraId="764A56E1" w14:textId="77777777" w:rsidR="00BD06C4" w:rsidRDefault="00BD06C4" w:rsidP="00BD06C4">
            <w:pPr>
              <w:pStyle w:val="NoSpacing"/>
            </w:pPr>
          </w:p>
          <w:p w14:paraId="1CF3FE56" w14:textId="77777777" w:rsidR="00BD06C4" w:rsidRDefault="00BD06C4" w:rsidP="00BD06C4">
            <w:pPr>
              <w:pStyle w:val="NoSpacing"/>
            </w:pPr>
            <w:r>
              <w:t>The value of exports can be measured by the wholesale value of the relevant drug in countries of destination of the drug produced in the country. These data can be retrieved from international data on seizures reported by other member states (which provide information on the country of origin) and price data, which is as well reported annually through the mandated Annual Report Questionnaire (ARQ) submitted to UNODC (see https://dataunodc.un.org/)</w:t>
            </w:r>
          </w:p>
          <w:p w14:paraId="5770E1D0" w14:textId="77777777" w:rsidR="00BD06C4" w:rsidRDefault="00BD06C4" w:rsidP="00BD06C4">
            <w:pPr>
              <w:pStyle w:val="NoSpacing"/>
            </w:pPr>
          </w:p>
          <w:p w14:paraId="2093C7B9" w14:textId="77777777" w:rsidR="00BD06C4" w:rsidRDefault="00BD06C4" w:rsidP="00BD06C4">
            <w:pPr>
              <w:pStyle w:val="NoSpacing"/>
            </w:pPr>
            <w:r>
              <w:t xml:space="preserve">This methodology has been applied in Peru and in </w:t>
            </w:r>
            <w:proofErr w:type="gramStart"/>
            <w:r>
              <w:t>Afghanistan  where</w:t>
            </w:r>
            <w:proofErr w:type="gramEnd"/>
            <w:r>
              <w:t xml:space="preserve"> certain portions of the income generated from drug production and trafficking are accounted for in the NA.</w:t>
            </w:r>
          </w:p>
          <w:p w14:paraId="6061D1E8" w14:textId="77777777" w:rsidR="00BD06C4" w:rsidRDefault="00BD06C4" w:rsidP="00BD06C4">
            <w:pPr>
              <w:pStyle w:val="NoSpacing"/>
            </w:pPr>
          </w:p>
          <w:p w14:paraId="23BE98FC" w14:textId="77777777" w:rsidR="00BD06C4" w:rsidRDefault="00BD06C4" w:rsidP="00BD06C4">
            <w:pPr>
              <w:pStyle w:val="NoSpacing"/>
            </w:pPr>
          </w:p>
          <w:p w14:paraId="61FFBE02" w14:textId="77777777" w:rsidR="00BD06C4" w:rsidRDefault="00BD06C4" w:rsidP="00BD06C4">
            <w:pPr>
              <w:pStyle w:val="NoSpacing"/>
            </w:pPr>
            <w:r>
              <w:t xml:space="preserve">IFFs from smuggling of migrants </w:t>
            </w:r>
          </w:p>
          <w:p w14:paraId="2B2930FD" w14:textId="77777777" w:rsidR="00BD06C4" w:rsidRDefault="00BD06C4" w:rsidP="00BD06C4">
            <w:pPr>
              <w:pStyle w:val="NoSpacing"/>
            </w:pPr>
          </w:p>
          <w:p w14:paraId="664920B7" w14:textId="77777777" w:rsidR="00BD06C4" w:rsidRDefault="00BD06C4" w:rsidP="00BD06C4">
            <w:pPr>
              <w:pStyle w:val="NoSpacing"/>
            </w:pPr>
            <w:r>
              <w:t>Following the Eurostat manual “Handbook on the compilation of statistics on illegal economic activities in national accounts and balance of payments” four types of smuggling transactions can be distinguished, two of which create IFF:</w:t>
            </w:r>
          </w:p>
          <w:p w14:paraId="1E78FF46" w14:textId="77777777" w:rsidR="00BD06C4" w:rsidRDefault="00BD06C4" w:rsidP="00BD06C4">
            <w:pPr>
              <w:pStyle w:val="NoSpacing"/>
            </w:pPr>
          </w:p>
          <w:p w14:paraId="22E5DE66" w14:textId="77777777" w:rsidR="00BD06C4" w:rsidRDefault="00BD06C4" w:rsidP="00BD06C4">
            <w:pPr>
              <w:pStyle w:val="NoSpacing"/>
            </w:pPr>
            <w:r>
              <w:t xml:space="preserve">Type I: Resident smugglers and resident migrants does not cover transnationality and illegal entry and does not create IFF </w:t>
            </w:r>
          </w:p>
          <w:p w14:paraId="6791AAD8" w14:textId="77777777" w:rsidR="00BD06C4" w:rsidRDefault="00BD06C4" w:rsidP="00BD06C4">
            <w:pPr>
              <w:pStyle w:val="NoSpacing"/>
            </w:pPr>
            <w:r>
              <w:t xml:space="preserve"> </w:t>
            </w:r>
          </w:p>
          <w:p w14:paraId="5A541EB9" w14:textId="77777777" w:rsidR="00BD06C4" w:rsidRDefault="00BD06C4" w:rsidP="00BD06C4">
            <w:pPr>
              <w:pStyle w:val="NoSpacing"/>
            </w:pPr>
            <w:r>
              <w:t>Type II: Resident smugglers and non-resident migrants</w:t>
            </w:r>
          </w:p>
          <w:p w14:paraId="682B7B84" w14:textId="77777777" w:rsidR="00BD06C4" w:rsidRDefault="00BD06C4" w:rsidP="00BD06C4">
            <w:pPr>
              <w:pStyle w:val="NoSpacing"/>
            </w:pPr>
            <w:r>
              <w:t>Constitutes an export of services and does incur an inward IFF:</w:t>
            </w:r>
          </w:p>
          <w:p w14:paraId="672E6EC3" w14:textId="77777777" w:rsidR="00BD06C4" w:rsidRDefault="00BD06C4" w:rsidP="00BD06C4">
            <w:pPr>
              <w:pStyle w:val="NoSpacing"/>
            </w:pPr>
            <w:r>
              <w:t>Export of transportation services = number of non-resident migrants smuggled by resident smugglers * prices</w:t>
            </w:r>
          </w:p>
          <w:p w14:paraId="7B5C19AF" w14:textId="77777777" w:rsidR="00BD06C4" w:rsidRDefault="00BD06C4" w:rsidP="00BD06C4">
            <w:pPr>
              <w:pStyle w:val="NoSpacing"/>
            </w:pPr>
          </w:p>
          <w:p w14:paraId="17524F87" w14:textId="77777777" w:rsidR="00BD06C4" w:rsidRDefault="00BD06C4" w:rsidP="00BD06C4">
            <w:pPr>
              <w:pStyle w:val="NoSpacing"/>
            </w:pPr>
            <w:r>
              <w:t>Type III: Non-resident smugglers and resident migrants</w:t>
            </w:r>
          </w:p>
          <w:p w14:paraId="4BC1B8BF" w14:textId="77777777" w:rsidR="00BD06C4" w:rsidRDefault="00BD06C4" w:rsidP="00BD06C4">
            <w:pPr>
              <w:pStyle w:val="NoSpacing"/>
            </w:pPr>
            <w:r>
              <w:t>Estimations recorded as import of illegal services and constitute and outward IFF:</w:t>
            </w:r>
          </w:p>
          <w:p w14:paraId="61D954E5" w14:textId="77777777" w:rsidR="00BD06C4" w:rsidRDefault="00BD06C4" w:rsidP="00BD06C4">
            <w:pPr>
              <w:pStyle w:val="NoSpacing"/>
            </w:pPr>
            <w:r>
              <w:t xml:space="preserve">Import of illegal transportation services = number of residents smuggled by non-resident smugglers * </w:t>
            </w:r>
          </w:p>
          <w:p w14:paraId="699AC967" w14:textId="77777777" w:rsidR="00BD06C4" w:rsidRDefault="00BD06C4" w:rsidP="00BD06C4">
            <w:pPr>
              <w:pStyle w:val="NoSpacing"/>
            </w:pPr>
            <w:r>
              <w:t>prices</w:t>
            </w:r>
          </w:p>
          <w:p w14:paraId="722D6A0D" w14:textId="77777777" w:rsidR="00BD06C4" w:rsidRDefault="00BD06C4" w:rsidP="00BD06C4">
            <w:pPr>
              <w:pStyle w:val="NoSpacing"/>
            </w:pPr>
          </w:p>
          <w:p w14:paraId="534A7BAB" w14:textId="77777777" w:rsidR="00BD06C4" w:rsidRDefault="00BD06C4" w:rsidP="00BD06C4">
            <w:pPr>
              <w:pStyle w:val="NoSpacing"/>
            </w:pPr>
            <w:r>
              <w:t>Type IV: Non-resident smugglers and non-resident migrants</w:t>
            </w:r>
          </w:p>
          <w:p w14:paraId="6B772E34" w14:textId="77777777" w:rsidR="00BD06C4" w:rsidRDefault="00BD06C4" w:rsidP="00BD06C4">
            <w:pPr>
              <w:pStyle w:val="NoSpacing"/>
            </w:pPr>
            <w:r>
              <w:t>No estimations recorded</w:t>
            </w:r>
          </w:p>
          <w:p w14:paraId="56346DFC" w14:textId="77777777" w:rsidR="00BD06C4" w:rsidRDefault="00BD06C4" w:rsidP="00BD06C4">
            <w:pPr>
              <w:pStyle w:val="NoSpacing"/>
            </w:pPr>
          </w:p>
          <w:p w14:paraId="346C485F" w14:textId="77777777" w:rsidR="00BD06C4" w:rsidRDefault="00BD06C4" w:rsidP="00BD06C4">
            <w:pPr>
              <w:pStyle w:val="NoSpacing"/>
            </w:pPr>
            <w:r>
              <w:t xml:space="preserve">The pilot studies found the methodology to be </w:t>
            </w:r>
            <w:proofErr w:type="gramStart"/>
            <w:r>
              <w:t>feasible,</w:t>
            </w:r>
            <w:proofErr w:type="gramEnd"/>
            <w:r>
              <w:t xml:space="preserve"> however, limitations on data exist, in particular on pricing.</w:t>
            </w:r>
          </w:p>
          <w:p w14:paraId="39212699" w14:textId="77777777" w:rsidR="00BD06C4" w:rsidRDefault="00BD06C4" w:rsidP="00BD06C4">
            <w:pPr>
              <w:pStyle w:val="NoSpacing"/>
            </w:pPr>
            <w:r w:rsidRPr="0021591B">
              <w:lastRenderedPageBreak/>
              <w:t>At a second stage, IFFs in relation to Illicit income management are estimated. These refer to IFFs generated when income generated from illegal activities is invested abroad (e.g., into property). To assess these flows, quantitative and qualitative information held by financial authorities, central banks and other entities concerned with money laundering and financial crimes can be used.</w:t>
            </w:r>
          </w:p>
        </w:tc>
        <w:tc>
          <w:tcPr>
            <w:tcW w:w="0" w:type="auto"/>
          </w:tcPr>
          <w:p w14:paraId="47D29D5D" w14:textId="77777777" w:rsidR="00BD06C4" w:rsidRPr="00706D31" w:rsidRDefault="00BD06C4" w:rsidP="00BD06C4">
            <w:pPr>
              <w:pStyle w:val="NoSpacing"/>
            </w:pPr>
            <w:r w:rsidRPr="009558DF">
              <w:lastRenderedPageBreak/>
              <w:t xml:space="preserve">The official counterparts at the country level </w:t>
            </w:r>
            <w:r>
              <w:t>assign</w:t>
            </w:r>
            <w:r w:rsidRPr="009558DF">
              <w:t xml:space="preserve"> designated Focal Points that are in charge of coordinating the data collection a</w:t>
            </w:r>
            <w:r>
              <w:t>mong different national institutions</w:t>
            </w:r>
          </w:p>
        </w:tc>
        <w:tc>
          <w:tcPr>
            <w:tcW w:w="0" w:type="auto"/>
          </w:tcPr>
          <w:p w14:paraId="75EBD432" w14:textId="77777777" w:rsidR="00BD06C4" w:rsidRPr="006B6981" w:rsidRDefault="00BD06C4" w:rsidP="00BD06C4">
            <w:pPr>
              <w:pStyle w:val="NoSpacing"/>
            </w:pPr>
            <w:r w:rsidRPr="002F287E">
              <w:rPr>
                <w:lang w:eastAsia="en-GB"/>
              </w:rPr>
              <w:t>Data providers include statistical offices, central banks, tax authorities, customs, law enforcement agencies, including police, military, etc</w:t>
            </w:r>
          </w:p>
        </w:tc>
        <w:tc>
          <w:tcPr>
            <w:tcW w:w="0" w:type="auto"/>
          </w:tcPr>
          <w:p w14:paraId="57A3BC47" w14:textId="1789B4AD" w:rsidR="00BD06C4" w:rsidRPr="00D96ECA" w:rsidRDefault="00BD06C4" w:rsidP="00BD06C4">
            <w:pPr>
              <w:pStyle w:val="NoSpacing"/>
            </w:pPr>
          </w:p>
        </w:tc>
        <w:tc>
          <w:tcPr>
            <w:tcW w:w="0" w:type="auto"/>
          </w:tcPr>
          <w:p w14:paraId="3F7ACCEE" w14:textId="77777777" w:rsidR="00BD06C4" w:rsidRPr="00D96ECA" w:rsidRDefault="00BD06C4" w:rsidP="00BD06C4">
            <w:pPr>
              <w:pStyle w:val="NoSpacing"/>
            </w:pPr>
            <w:r w:rsidRPr="00D96ECA">
              <w:t>BB</w:t>
            </w:r>
            <w:r>
              <w:t>, FID</w:t>
            </w:r>
          </w:p>
          <w:p w14:paraId="651497D5" w14:textId="77777777" w:rsidR="00BD06C4" w:rsidRPr="00D96ECA" w:rsidRDefault="00BD06C4" w:rsidP="00BD06C4">
            <w:pPr>
              <w:pStyle w:val="NoSpacing"/>
            </w:pPr>
            <w:r w:rsidRPr="00D96ECA">
              <w:t>Administrative Data</w:t>
            </w:r>
          </w:p>
        </w:tc>
        <w:tc>
          <w:tcPr>
            <w:tcW w:w="0" w:type="auto"/>
          </w:tcPr>
          <w:p w14:paraId="30B70E76" w14:textId="1CA13A0E" w:rsidR="00396457" w:rsidRPr="000C4849" w:rsidRDefault="00396457" w:rsidP="000C4849">
            <w:pPr>
              <w:jc w:val="both"/>
              <w:rPr>
                <w:color w:val="0070C0"/>
                <w:szCs w:val="20"/>
              </w:rPr>
            </w:pPr>
            <w:r>
              <w:rPr>
                <w:color w:val="0070C0"/>
                <w:szCs w:val="20"/>
              </w:rPr>
              <w:t>1.</w:t>
            </w:r>
            <w:r w:rsidRPr="000C4849">
              <w:rPr>
                <w:color w:val="0070C0"/>
                <w:szCs w:val="20"/>
              </w:rPr>
              <w:t xml:space="preserve">payment method (cash / trade flows </w:t>
            </w:r>
          </w:p>
          <w:p w14:paraId="68277435" w14:textId="79B2944A" w:rsidR="00396457" w:rsidRDefault="00396457" w:rsidP="00396457">
            <w:pPr>
              <w:ind w:left="970" w:hanging="970"/>
              <w:jc w:val="both"/>
              <w:rPr>
                <w:color w:val="0070C0"/>
                <w:szCs w:val="20"/>
              </w:rPr>
            </w:pPr>
            <w:r w:rsidRPr="000C4849">
              <w:rPr>
                <w:color w:val="0070C0"/>
                <w:szCs w:val="20"/>
              </w:rPr>
              <w:t>/ crypto currencies)</w:t>
            </w:r>
          </w:p>
          <w:p w14:paraId="20265A3C" w14:textId="77777777" w:rsidR="00396457" w:rsidRDefault="00396457" w:rsidP="00396457">
            <w:pPr>
              <w:ind w:left="970" w:hanging="970"/>
              <w:jc w:val="both"/>
              <w:rPr>
                <w:color w:val="0070C0"/>
                <w:szCs w:val="20"/>
              </w:rPr>
            </w:pPr>
          </w:p>
          <w:p w14:paraId="7A608609" w14:textId="77777777" w:rsidR="00396457" w:rsidRPr="000C4849" w:rsidRDefault="00396457" w:rsidP="00396457">
            <w:pPr>
              <w:ind w:left="970" w:hanging="970"/>
              <w:jc w:val="both"/>
              <w:rPr>
                <w:color w:val="0070C0"/>
                <w:szCs w:val="20"/>
              </w:rPr>
            </w:pPr>
          </w:p>
          <w:p w14:paraId="52EFC967" w14:textId="703CE00F" w:rsidR="00396457" w:rsidRDefault="00396457" w:rsidP="00396457">
            <w:pPr>
              <w:ind w:left="970" w:hanging="970"/>
              <w:jc w:val="both"/>
              <w:rPr>
                <w:color w:val="0070C0"/>
                <w:szCs w:val="20"/>
              </w:rPr>
            </w:pPr>
            <w:r>
              <w:rPr>
                <w:color w:val="0070C0"/>
                <w:szCs w:val="20"/>
              </w:rPr>
              <w:t>2.</w:t>
            </w:r>
            <w:r w:rsidRPr="000C4849">
              <w:rPr>
                <w:color w:val="0070C0"/>
                <w:szCs w:val="20"/>
              </w:rPr>
              <w:t xml:space="preserve">resulting assets </w:t>
            </w:r>
          </w:p>
          <w:p w14:paraId="436A10D2" w14:textId="77777777" w:rsidR="00396457" w:rsidRDefault="00396457" w:rsidP="00396457">
            <w:pPr>
              <w:ind w:left="970" w:hanging="970"/>
              <w:jc w:val="both"/>
              <w:rPr>
                <w:color w:val="0070C0"/>
                <w:szCs w:val="20"/>
              </w:rPr>
            </w:pPr>
            <w:r w:rsidRPr="000C4849">
              <w:rPr>
                <w:color w:val="0070C0"/>
                <w:szCs w:val="20"/>
              </w:rPr>
              <w:t xml:space="preserve">(offshore wealth </w:t>
            </w:r>
          </w:p>
          <w:p w14:paraId="4CA20545" w14:textId="57142D11" w:rsidR="00396457" w:rsidRDefault="00396457" w:rsidP="00396457">
            <w:pPr>
              <w:ind w:left="970" w:hanging="970"/>
              <w:jc w:val="both"/>
              <w:rPr>
                <w:color w:val="0070C0"/>
                <w:szCs w:val="20"/>
              </w:rPr>
            </w:pPr>
            <w:r w:rsidRPr="000C4849">
              <w:rPr>
                <w:color w:val="0070C0"/>
                <w:szCs w:val="20"/>
              </w:rPr>
              <w:t xml:space="preserve">/ </w:t>
            </w:r>
            <w:proofErr w:type="gramStart"/>
            <w:r w:rsidRPr="000C4849">
              <w:rPr>
                <w:color w:val="0070C0"/>
                <w:szCs w:val="20"/>
              </w:rPr>
              <w:t>real</w:t>
            </w:r>
            <w:proofErr w:type="gramEnd"/>
            <w:r w:rsidRPr="000C4849">
              <w:rPr>
                <w:color w:val="0070C0"/>
                <w:szCs w:val="20"/>
              </w:rPr>
              <w:t xml:space="preserve"> estate etc.)</w:t>
            </w:r>
          </w:p>
          <w:p w14:paraId="64030A18" w14:textId="77777777" w:rsidR="00396457" w:rsidRDefault="00396457" w:rsidP="00396457">
            <w:pPr>
              <w:ind w:left="970" w:hanging="970"/>
              <w:jc w:val="both"/>
              <w:rPr>
                <w:color w:val="0070C0"/>
                <w:szCs w:val="20"/>
              </w:rPr>
            </w:pPr>
          </w:p>
          <w:p w14:paraId="63A71A1A" w14:textId="77777777" w:rsidR="00396457" w:rsidRPr="000C4849" w:rsidRDefault="00396457" w:rsidP="00396457">
            <w:pPr>
              <w:ind w:left="970" w:hanging="970"/>
              <w:jc w:val="both"/>
              <w:rPr>
                <w:color w:val="0070C0"/>
                <w:szCs w:val="20"/>
              </w:rPr>
            </w:pPr>
          </w:p>
          <w:p w14:paraId="3C11CAC7" w14:textId="6A6C8965" w:rsidR="00396457" w:rsidRDefault="00396457" w:rsidP="00396457">
            <w:pPr>
              <w:ind w:left="970" w:hanging="970"/>
              <w:jc w:val="both"/>
              <w:rPr>
                <w:color w:val="0070C0"/>
                <w:szCs w:val="20"/>
              </w:rPr>
            </w:pPr>
            <w:r>
              <w:rPr>
                <w:color w:val="0070C0"/>
                <w:szCs w:val="20"/>
              </w:rPr>
              <w:t>3.</w:t>
            </w:r>
            <w:r w:rsidRPr="000C4849">
              <w:rPr>
                <w:color w:val="0070C0"/>
                <w:szCs w:val="20"/>
              </w:rPr>
              <w:t xml:space="preserve">actors (characters </w:t>
            </w:r>
          </w:p>
          <w:p w14:paraId="52F46BD9" w14:textId="77777777" w:rsidR="00396457" w:rsidRDefault="00396457" w:rsidP="00396457">
            <w:pPr>
              <w:ind w:left="970" w:hanging="970"/>
              <w:jc w:val="both"/>
              <w:rPr>
                <w:color w:val="0070C0"/>
                <w:szCs w:val="20"/>
              </w:rPr>
            </w:pPr>
            <w:r w:rsidRPr="000C4849">
              <w:rPr>
                <w:color w:val="0070C0"/>
                <w:szCs w:val="20"/>
              </w:rPr>
              <w:t xml:space="preserve">of individuals </w:t>
            </w:r>
          </w:p>
          <w:p w14:paraId="21CFF1E6" w14:textId="77777777" w:rsidR="00396457" w:rsidRDefault="00396457" w:rsidP="00396457">
            <w:pPr>
              <w:ind w:left="970" w:hanging="970"/>
              <w:jc w:val="both"/>
              <w:rPr>
                <w:color w:val="0070C0"/>
                <w:szCs w:val="20"/>
              </w:rPr>
            </w:pPr>
            <w:r w:rsidRPr="000C4849">
              <w:rPr>
                <w:color w:val="0070C0"/>
                <w:szCs w:val="20"/>
              </w:rPr>
              <w:t>/ types of businesses</w:t>
            </w:r>
          </w:p>
          <w:p w14:paraId="6211AA42" w14:textId="417FC405" w:rsidR="00BD06C4" w:rsidRDefault="00396457" w:rsidP="00396457">
            <w:pPr>
              <w:ind w:left="970" w:hanging="970"/>
              <w:jc w:val="both"/>
              <w:rPr>
                <w:color w:val="0070C0"/>
                <w:sz w:val="30"/>
                <w:szCs w:val="30"/>
              </w:rPr>
            </w:pPr>
            <w:r w:rsidRPr="000C4849">
              <w:rPr>
                <w:color w:val="0070C0"/>
                <w:szCs w:val="20"/>
              </w:rPr>
              <w:t xml:space="preserve"> </w:t>
            </w:r>
            <w:proofErr w:type="gramStart"/>
            <w:r w:rsidRPr="000C4849">
              <w:rPr>
                <w:color w:val="0070C0"/>
                <w:szCs w:val="20"/>
              </w:rPr>
              <w:t>etc</w:t>
            </w:r>
            <w:proofErr w:type="gramEnd"/>
            <w:r w:rsidRPr="000C4849">
              <w:rPr>
                <w:color w:val="0070C0"/>
                <w:szCs w:val="20"/>
              </w:rPr>
              <w:t>.)</w:t>
            </w:r>
          </w:p>
        </w:tc>
        <w:tc>
          <w:tcPr>
            <w:tcW w:w="0" w:type="auto"/>
          </w:tcPr>
          <w:p w14:paraId="5ABD84AF" w14:textId="77777777" w:rsidR="00BD06C4" w:rsidRDefault="00BD06C4" w:rsidP="00BD06C4">
            <w:pPr>
              <w:ind w:left="970" w:hanging="970"/>
              <w:jc w:val="both"/>
              <w:rPr>
                <w:color w:val="0070C0"/>
                <w:sz w:val="30"/>
                <w:szCs w:val="30"/>
              </w:rPr>
            </w:pPr>
            <w:r>
              <w:t>Annual</w:t>
            </w:r>
          </w:p>
        </w:tc>
        <w:tc>
          <w:tcPr>
            <w:tcW w:w="0" w:type="auto"/>
          </w:tcPr>
          <w:p w14:paraId="33981E31" w14:textId="77777777" w:rsidR="00BD06C4" w:rsidRDefault="00BD06C4" w:rsidP="00BD06C4">
            <w:pPr>
              <w:ind w:left="970" w:hanging="970"/>
              <w:jc w:val="both"/>
              <w:rPr>
                <w:color w:val="0070C0"/>
                <w:sz w:val="30"/>
                <w:szCs w:val="30"/>
              </w:rPr>
            </w:pPr>
            <w:r>
              <w:t>Group 2</w:t>
            </w:r>
          </w:p>
        </w:tc>
        <w:tc>
          <w:tcPr>
            <w:tcW w:w="0" w:type="auto"/>
          </w:tcPr>
          <w:p w14:paraId="4B96D08C" w14:textId="77777777" w:rsidR="00BD06C4" w:rsidRDefault="00BD06C4" w:rsidP="00BD06C4">
            <w:pPr>
              <w:pStyle w:val="NoSpacing"/>
            </w:pPr>
            <w:r>
              <w:t>1</w:t>
            </w:r>
            <w:r w:rsidRPr="00013ACB">
              <w:rPr>
                <w:vertAlign w:val="superscript"/>
              </w:rPr>
              <w:t>st</w:t>
            </w:r>
            <w:r>
              <w:t xml:space="preserve"> Round:</w:t>
            </w:r>
          </w:p>
          <w:p w14:paraId="73CB5A21" w14:textId="77777777" w:rsidR="00BD06C4" w:rsidRDefault="00BD06C4" w:rsidP="00BD06C4">
            <w:pPr>
              <w:pStyle w:val="NoSpacing"/>
            </w:pPr>
            <w:r>
              <w:t>June 2020</w:t>
            </w:r>
          </w:p>
          <w:p w14:paraId="5B4DAAEF" w14:textId="77777777" w:rsidR="00BD06C4" w:rsidRDefault="00BD06C4" w:rsidP="00BD06C4">
            <w:pPr>
              <w:pStyle w:val="NoSpacing"/>
            </w:pPr>
          </w:p>
          <w:p w14:paraId="4DA371E8" w14:textId="77777777" w:rsidR="00BD06C4" w:rsidRDefault="00BD06C4" w:rsidP="00BD06C4">
            <w:pPr>
              <w:pStyle w:val="NoSpacing"/>
            </w:pPr>
            <w:r>
              <w:t>2</w:t>
            </w:r>
            <w:r w:rsidRPr="00013ACB">
              <w:rPr>
                <w:vertAlign w:val="superscript"/>
              </w:rPr>
              <w:t>nd</w:t>
            </w:r>
            <w:r>
              <w:t xml:space="preserve"> Round:</w:t>
            </w:r>
          </w:p>
          <w:p w14:paraId="1255BE61" w14:textId="77777777" w:rsidR="00BD06C4" w:rsidRDefault="00BD06C4" w:rsidP="00BD06C4">
            <w:pPr>
              <w:pStyle w:val="NoSpacing"/>
            </w:pPr>
            <w:r>
              <w:t xml:space="preserve"> June 2021</w:t>
            </w:r>
          </w:p>
          <w:p w14:paraId="7E7554B1" w14:textId="77777777" w:rsidR="00BD06C4" w:rsidRDefault="00BD06C4" w:rsidP="00BD06C4">
            <w:pPr>
              <w:pStyle w:val="NoSpacing"/>
            </w:pPr>
          </w:p>
          <w:p w14:paraId="763F191C" w14:textId="77777777" w:rsidR="00BD06C4" w:rsidRDefault="00BD06C4" w:rsidP="00BD06C4">
            <w:pPr>
              <w:pStyle w:val="NoSpacing"/>
            </w:pPr>
            <w:r>
              <w:t>3</w:t>
            </w:r>
            <w:r w:rsidRPr="00013ACB">
              <w:rPr>
                <w:vertAlign w:val="superscript"/>
              </w:rPr>
              <w:t>rd</w:t>
            </w:r>
            <w:r>
              <w:t xml:space="preserve"> Round: </w:t>
            </w:r>
          </w:p>
          <w:p w14:paraId="6DB34F77" w14:textId="77777777" w:rsidR="00BD06C4" w:rsidRDefault="00BD06C4" w:rsidP="00BD06C4">
            <w:pPr>
              <w:pStyle w:val="NoSpacing"/>
            </w:pPr>
            <w:r>
              <w:t>June 2022</w:t>
            </w:r>
          </w:p>
          <w:p w14:paraId="12FC71A8" w14:textId="77777777" w:rsidR="00BD06C4" w:rsidRDefault="00BD06C4" w:rsidP="00BD06C4">
            <w:pPr>
              <w:pStyle w:val="NoSpacing"/>
            </w:pPr>
          </w:p>
          <w:p w14:paraId="79A10362" w14:textId="77777777" w:rsidR="00BD06C4" w:rsidRDefault="00BD06C4" w:rsidP="00BD06C4">
            <w:pPr>
              <w:pStyle w:val="NoSpacing"/>
            </w:pPr>
            <w:r>
              <w:t>4</w:t>
            </w:r>
            <w:r w:rsidRPr="00013ACB">
              <w:rPr>
                <w:vertAlign w:val="superscript"/>
              </w:rPr>
              <w:t>th</w:t>
            </w:r>
            <w:r>
              <w:t xml:space="preserve"> Round: </w:t>
            </w:r>
          </w:p>
          <w:p w14:paraId="310BC023" w14:textId="77777777" w:rsidR="00BD06C4" w:rsidRDefault="00BD06C4" w:rsidP="00BD06C4">
            <w:pPr>
              <w:pStyle w:val="NoSpacing"/>
            </w:pPr>
            <w:r>
              <w:t>June 2023</w:t>
            </w:r>
          </w:p>
          <w:p w14:paraId="2AD6CA2B" w14:textId="77777777" w:rsidR="00BD06C4" w:rsidRDefault="00BD06C4" w:rsidP="00BD06C4">
            <w:pPr>
              <w:pStyle w:val="NoSpacing"/>
            </w:pPr>
          </w:p>
          <w:p w14:paraId="0D16AA17" w14:textId="77777777" w:rsidR="00BD06C4" w:rsidRDefault="00BD06C4" w:rsidP="00BD06C4">
            <w:pPr>
              <w:pStyle w:val="NoSpacing"/>
            </w:pPr>
            <w:r>
              <w:t>5</w:t>
            </w:r>
            <w:r w:rsidRPr="00013ACB">
              <w:rPr>
                <w:vertAlign w:val="superscript"/>
              </w:rPr>
              <w:t>th</w:t>
            </w:r>
            <w:r>
              <w:t xml:space="preserve"> Round: </w:t>
            </w:r>
          </w:p>
          <w:p w14:paraId="3987FF5C" w14:textId="77777777" w:rsidR="00BD06C4" w:rsidRDefault="00BD06C4" w:rsidP="00BD06C4">
            <w:pPr>
              <w:pStyle w:val="NoSpacing"/>
            </w:pPr>
            <w:r>
              <w:t>June 2024</w:t>
            </w:r>
          </w:p>
          <w:p w14:paraId="6DCB17DD" w14:textId="18E52166" w:rsidR="00BD06C4" w:rsidRDefault="00BD06C4" w:rsidP="00BD06C4">
            <w:pPr>
              <w:pStyle w:val="NoSpacing"/>
            </w:pPr>
          </w:p>
        </w:tc>
        <w:tc>
          <w:tcPr>
            <w:tcW w:w="0" w:type="auto"/>
          </w:tcPr>
          <w:p w14:paraId="235F5FDD" w14:textId="77777777" w:rsidR="00BD06C4" w:rsidRDefault="00BD06C4" w:rsidP="00BD06C4">
            <w:pPr>
              <w:pStyle w:val="NoSpacing"/>
            </w:pPr>
            <w:r>
              <w:lastRenderedPageBreak/>
              <w:t>Reviewed at 10th IAEG-SDG meeting</w:t>
            </w:r>
          </w:p>
          <w:p w14:paraId="1CED6E64" w14:textId="77777777" w:rsidR="00BD06C4" w:rsidRDefault="00BD06C4" w:rsidP="00BD06C4">
            <w:pPr>
              <w:pStyle w:val="NoSpacing"/>
            </w:pPr>
            <w:r>
              <w:t>(classified as Tier II)</w:t>
            </w:r>
          </w:p>
        </w:tc>
      </w:tr>
      <w:tr w:rsidR="00BD06C4" w14:paraId="67220447" w14:textId="77777777" w:rsidTr="00A64F0D">
        <w:tc>
          <w:tcPr>
            <w:tcW w:w="0" w:type="auto"/>
          </w:tcPr>
          <w:p w14:paraId="224E8797" w14:textId="77777777" w:rsidR="00BD06C4" w:rsidRPr="00BA046C" w:rsidRDefault="00BD06C4" w:rsidP="00BD06C4">
            <w:pPr>
              <w:pStyle w:val="NoSpacing"/>
            </w:pPr>
            <w:r w:rsidRPr="00BA046C">
              <w:lastRenderedPageBreak/>
              <w:t>16.4.2 Proportion of seized, found or surrendered arms whose illicit origin or context has been traced or established by a competent authority in line with international instruments</w:t>
            </w:r>
          </w:p>
        </w:tc>
        <w:tc>
          <w:tcPr>
            <w:tcW w:w="0" w:type="auto"/>
          </w:tcPr>
          <w:p w14:paraId="39B460C1" w14:textId="77777777" w:rsidR="00BD06C4" w:rsidRDefault="00BD06C4" w:rsidP="00BD06C4">
            <w:pPr>
              <w:ind w:left="970" w:hanging="970"/>
              <w:jc w:val="both"/>
              <w:rPr>
                <w:color w:val="0070C0"/>
                <w:sz w:val="30"/>
                <w:szCs w:val="30"/>
              </w:rPr>
            </w:pPr>
          </w:p>
          <w:p w14:paraId="57F0AF18" w14:textId="77777777" w:rsidR="00BD06C4" w:rsidRPr="007145C8" w:rsidRDefault="00BD06C4" w:rsidP="00BD06C4">
            <w:pPr>
              <w:rPr>
                <w:b/>
                <w:bCs/>
                <w:szCs w:val="20"/>
              </w:rPr>
            </w:pPr>
            <w:r w:rsidRPr="007145C8">
              <w:rPr>
                <w:b/>
                <w:bCs/>
                <w:szCs w:val="20"/>
              </w:rPr>
              <w:t>UNODC,</w:t>
            </w:r>
          </w:p>
          <w:p w14:paraId="477A0389" w14:textId="77777777" w:rsidR="00BD06C4" w:rsidRDefault="00BD06C4" w:rsidP="00BD06C4">
            <w:pPr>
              <w:ind w:left="970" w:hanging="970"/>
              <w:jc w:val="both"/>
              <w:rPr>
                <w:color w:val="0070C0"/>
                <w:sz w:val="30"/>
                <w:szCs w:val="30"/>
              </w:rPr>
            </w:pPr>
            <w:r w:rsidRPr="007145C8">
              <w:rPr>
                <w:b/>
                <w:bCs/>
                <w:szCs w:val="20"/>
              </w:rPr>
              <w:t>UNODA</w:t>
            </w:r>
            <w:r w:rsidRPr="007145C8">
              <w:rPr>
                <w:b/>
                <w:bCs/>
                <w:color w:val="0070C0"/>
                <w:sz w:val="30"/>
                <w:szCs w:val="20"/>
              </w:rPr>
              <w:t xml:space="preserve"> </w:t>
            </w:r>
          </w:p>
        </w:tc>
        <w:tc>
          <w:tcPr>
            <w:tcW w:w="0" w:type="auto"/>
          </w:tcPr>
          <w:p w14:paraId="2EE6741D" w14:textId="77777777" w:rsidR="00BD06C4" w:rsidRDefault="00BD06C4" w:rsidP="00BD06C4">
            <w:pPr>
              <w:ind w:left="970" w:hanging="970"/>
              <w:jc w:val="both"/>
              <w:rPr>
                <w:color w:val="0070C0"/>
                <w:sz w:val="30"/>
                <w:szCs w:val="30"/>
              </w:rPr>
            </w:pPr>
            <w:r w:rsidRPr="00666BAB">
              <w:t>Tier II</w:t>
            </w:r>
          </w:p>
        </w:tc>
        <w:tc>
          <w:tcPr>
            <w:tcW w:w="0" w:type="auto"/>
          </w:tcPr>
          <w:p w14:paraId="5A01521A" w14:textId="77777777" w:rsidR="00BD06C4" w:rsidRPr="008869FE" w:rsidRDefault="00BD06C4" w:rsidP="00BD06C4">
            <w:pPr>
              <w:pStyle w:val="NoSpacing"/>
              <w:rPr>
                <w:b/>
                <w:bCs/>
                <w:lang w:val="en-GB"/>
              </w:rPr>
            </w:pPr>
            <w:r w:rsidRPr="008869FE">
              <w:rPr>
                <w:b/>
                <w:bCs/>
                <w:lang w:val="en-GB"/>
              </w:rPr>
              <w:t>Definition:</w:t>
            </w:r>
          </w:p>
          <w:p w14:paraId="7FB799EA" w14:textId="77777777" w:rsidR="00BD06C4" w:rsidRPr="008869FE" w:rsidRDefault="00BD06C4" w:rsidP="00BD06C4">
            <w:pPr>
              <w:pStyle w:val="NoSpacing"/>
              <w:rPr>
                <w:lang w:val="en-GB"/>
              </w:rPr>
            </w:pPr>
            <w:r w:rsidRPr="008869FE">
              <w:rPr>
                <w:lang w:val="en-GB"/>
              </w:rPr>
              <w:t>Proportion of seized, found or surrendered arms whose illicit origin or context has been traced or established by a competent authority in line with international instruments</w:t>
            </w:r>
          </w:p>
          <w:p w14:paraId="4198AA7B" w14:textId="77777777" w:rsidR="00BD06C4" w:rsidRPr="008869FE" w:rsidRDefault="00BD06C4" w:rsidP="00BD06C4">
            <w:pPr>
              <w:pStyle w:val="NoSpacing"/>
              <w:rPr>
                <w:lang w:val="en-GB"/>
              </w:rPr>
            </w:pPr>
          </w:p>
          <w:p w14:paraId="18D10FEC" w14:textId="77777777" w:rsidR="00BD06C4" w:rsidRPr="008869FE" w:rsidRDefault="00BD06C4" w:rsidP="00BD06C4">
            <w:pPr>
              <w:pStyle w:val="NoSpacing"/>
              <w:rPr>
                <w:b/>
                <w:bCs/>
                <w:lang w:val="en-GB"/>
              </w:rPr>
            </w:pPr>
            <w:r w:rsidRPr="008869FE">
              <w:rPr>
                <w:b/>
                <w:bCs/>
                <w:lang w:val="en-GB"/>
              </w:rPr>
              <w:t>Concepts:</w:t>
            </w:r>
          </w:p>
          <w:p w14:paraId="275C7F0B" w14:textId="77777777" w:rsidR="00BD06C4" w:rsidRPr="008869FE" w:rsidRDefault="00BD06C4" w:rsidP="00BD06C4">
            <w:pPr>
              <w:pStyle w:val="NoSpacing"/>
              <w:rPr>
                <w:lang w:val="en-GB"/>
              </w:rPr>
            </w:pPr>
            <w:r w:rsidRPr="008869FE">
              <w:rPr>
                <w:i/>
                <w:iCs/>
                <w:u w:val="single"/>
                <w:lang w:val="en-GB"/>
              </w:rPr>
              <w:t>Arms</w:t>
            </w:r>
            <w:r w:rsidRPr="008869FE">
              <w:rPr>
                <w:i/>
                <w:iCs/>
                <w:lang w:val="en-GB"/>
              </w:rPr>
              <w:t>:</w:t>
            </w:r>
            <w:r w:rsidRPr="008869FE">
              <w:rPr>
                <w:lang w:val="en-GB"/>
              </w:rPr>
              <w:t xml:space="preserve"> arms refer to ‘small arms and light weapons’, defined as any portable lethal weapon that expels or launches, is designed to expel or launch, or may be readily converted to expel or launch a shot, bullet or projectile by the action of an explosive, excluding antique small arms and light weapons or their replicas. Antique small arms and light weapons and their replicas will be defined in accordance with domestic law, and in no case will they include those manufactured after 1899. Arms include all firearms, as defined in the “Protocol against the illicit manufacturing of and trafficking in firearms, their parts and components and ammunition”. </w:t>
            </w:r>
          </w:p>
          <w:p w14:paraId="22828637" w14:textId="77777777" w:rsidR="00BD06C4" w:rsidRPr="008869FE" w:rsidRDefault="00BD06C4" w:rsidP="00BD06C4">
            <w:pPr>
              <w:pStyle w:val="NoSpacing"/>
              <w:rPr>
                <w:lang w:val="en-GB"/>
              </w:rPr>
            </w:pPr>
            <w:r w:rsidRPr="008869FE">
              <w:rPr>
                <w:lang w:val="en-GB"/>
              </w:rPr>
              <w:t xml:space="preserve">In particular, ‘small arms’ are, broadly speaking, weapons for individual use, including revolvers, pistols, rifles and carbines, shotguns, sub-machine guns and light machine guns. ‘Light weapons’ are, broadly speaking, weapons designed for use by two or three persons serving as a crew, although some may be carried and used by a single person. They </w:t>
            </w:r>
            <w:proofErr w:type="gramStart"/>
            <w:r w:rsidRPr="008869FE">
              <w:rPr>
                <w:lang w:val="en-GB"/>
              </w:rPr>
              <w:t>include,</w:t>
            </w:r>
            <w:proofErr w:type="gramEnd"/>
            <w:r w:rsidRPr="008869FE">
              <w:rPr>
                <w:lang w:val="en-GB"/>
              </w:rPr>
              <w:t xml:space="preserve"> heavy machine guns, hand-held under-barrel and mounted grenade launchers, portable anti-aircraft guns, portable anti-tank guns, recoilless rifles, portable launchers of anti-tank missile and rocket systems, portable launchers of anti-aircraft missile systems, and mortars of a calibre of less than 100 millimetres.</w:t>
            </w:r>
          </w:p>
          <w:p w14:paraId="0463AED2" w14:textId="77777777" w:rsidR="00BD06C4" w:rsidRPr="008869FE" w:rsidRDefault="00BD06C4" w:rsidP="00BD06C4">
            <w:pPr>
              <w:pStyle w:val="NoSpacing"/>
              <w:rPr>
                <w:lang w:val="en-GB"/>
              </w:rPr>
            </w:pPr>
            <w:r w:rsidRPr="008869FE">
              <w:rPr>
                <w:i/>
                <w:iCs/>
                <w:u w:val="single"/>
                <w:lang w:val="en-GB"/>
              </w:rPr>
              <w:t>Seized</w:t>
            </w:r>
            <w:r w:rsidRPr="008869FE">
              <w:rPr>
                <w:lang w:val="en-GB"/>
              </w:rPr>
              <w:t>: arms that have been physically apprehended during the reported period by a competent authority, whether temporarily or not, in relation to a suspected criminal offence or administrative violation related to these arms. For the purpose of the calculation of indicator 16.4.2, only arms that were seized due to criminal offences are considered.</w:t>
            </w:r>
          </w:p>
          <w:p w14:paraId="7F3662A9" w14:textId="77777777" w:rsidR="00BD06C4" w:rsidRPr="008869FE" w:rsidRDefault="00BD06C4" w:rsidP="00BD06C4">
            <w:pPr>
              <w:pStyle w:val="NoSpacing"/>
              <w:rPr>
                <w:lang w:val="en-GB"/>
              </w:rPr>
            </w:pPr>
            <w:r w:rsidRPr="008869FE">
              <w:rPr>
                <w:i/>
                <w:iCs/>
                <w:u w:val="single"/>
                <w:lang w:val="en-GB"/>
              </w:rPr>
              <w:t>Found</w:t>
            </w:r>
            <w:r w:rsidRPr="008869FE">
              <w:rPr>
                <w:lang w:val="en-GB"/>
              </w:rPr>
              <w:t xml:space="preserve">: arms apprehended by authorities that are not linked to an intentional or planned investigation or inspection, neither attributable to any apparent holder or owner, regardless of whether the items were reported lost or stolen. </w:t>
            </w:r>
          </w:p>
          <w:p w14:paraId="6473EC52" w14:textId="77777777" w:rsidR="00BD06C4" w:rsidRPr="008869FE" w:rsidRDefault="00BD06C4" w:rsidP="00BD06C4">
            <w:pPr>
              <w:pStyle w:val="NoSpacing"/>
              <w:rPr>
                <w:lang w:val="en-GB"/>
              </w:rPr>
            </w:pPr>
            <w:r w:rsidRPr="008869FE">
              <w:rPr>
                <w:i/>
                <w:iCs/>
                <w:u w:val="single"/>
                <w:lang w:val="en-GB"/>
              </w:rPr>
              <w:t>Surrendered</w:t>
            </w:r>
            <w:r w:rsidRPr="008869FE">
              <w:rPr>
                <w:lang w:val="en-GB"/>
              </w:rPr>
              <w:t>: arms willingly handed over to authorities that are not linked to a planned investigation or inspection. The surrender may occur as a personal initiative of a citizen in the context of a voluntary surrender campaign and disarmament, demobilisation and reintegration processes, inter alia.</w:t>
            </w:r>
          </w:p>
          <w:p w14:paraId="4E3DFA9A" w14:textId="77777777" w:rsidR="00BD06C4" w:rsidRPr="008869FE" w:rsidRDefault="00BD06C4" w:rsidP="00BD06C4">
            <w:pPr>
              <w:pStyle w:val="NoSpacing"/>
              <w:rPr>
                <w:lang w:val="en-GB"/>
              </w:rPr>
            </w:pPr>
            <w:r w:rsidRPr="008869FE">
              <w:rPr>
                <w:i/>
                <w:iCs/>
                <w:u w:val="single"/>
                <w:lang w:val="en-GB"/>
              </w:rPr>
              <w:t>Illicit origin</w:t>
            </w:r>
            <w:r w:rsidRPr="008869FE">
              <w:rPr>
                <w:lang w:val="en-GB"/>
              </w:rPr>
              <w:t>: Earliest point in time in the life of an arm where it was of an illicit nature. In order to establish the illicit origin, it is necessary to identify the point of diversion of the arm and the circumstances around it.</w:t>
            </w:r>
          </w:p>
          <w:p w14:paraId="3AC3C69A" w14:textId="77777777" w:rsidR="00BD06C4" w:rsidRPr="008869FE" w:rsidRDefault="00BD06C4" w:rsidP="00BD06C4">
            <w:pPr>
              <w:pStyle w:val="NoSpacing"/>
              <w:rPr>
                <w:lang w:val="en-GB"/>
              </w:rPr>
            </w:pPr>
            <w:r w:rsidRPr="008869FE">
              <w:rPr>
                <w:i/>
                <w:iCs/>
                <w:u w:val="single"/>
                <w:lang w:val="en-GB"/>
              </w:rPr>
              <w:t>Point of diversion</w:t>
            </w:r>
            <w:r w:rsidRPr="008869FE">
              <w:rPr>
                <w:lang w:val="en-GB"/>
              </w:rPr>
              <w:t xml:space="preserve">: the point in space and time and/or circumstances when arms left the licit circuit and entered the illicit one. If identified through tracing, the last legal record needs to be found. For arms illicitly manufactured, the point of diversion is the manufacture itself. </w:t>
            </w:r>
          </w:p>
          <w:p w14:paraId="03A6E7ED" w14:textId="77777777" w:rsidR="00BD06C4" w:rsidRPr="008869FE" w:rsidRDefault="00BD06C4" w:rsidP="00BD06C4">
            <w:pPr>
              <w:pStyle w:val="NoSpacing"/>
              <w:rPr>
                <w:lang w:val="en-GB"/>
              </w:rPr>
            </w:pPr>
            <w:r w:rsidRPr="008869FE">
              <w:rPr>
                <w:i/>
                <w:iCs/>
                <w:u w:val="single"/>
                <w:lang w:val="en-GB"/>
              </w:rPr>
              <w:t>Last legal record</w:t>
            </w:r>
            <w:r w:rsidRPr="008869FE">
              <w:rPr>
                <w:lang w:val="en-GB"/>
              </w:rPr>
              <w:t>: last recorded information available about the item, its status (deactivated, stolen, lost, seized, found, surrendered, sent for destruction, confiscated, in transit, etc.) and its legal end-user.  The identification of the last legal record may require the initiation of several individual tracing requests.</w:t>
            </w:r>
          </w:p>
          <w:p w14:paraId="351C2ABE" w14:textId="77777777" w:rsidR="00BD06C4" w:rsidRPr="008869FE" w:rsidRDefault="00BD06C4" w:rsidP="00BD06C4">
            <w:pPr>
              <w:pStyle w:val="NoSpacing"/>
              <w:rPr>
                <w:lang w:val="en-GB"/>
              </w:rPr>
            </w:pPr>
            <w:r w:rsidRPr="008869FE">
              <w:rPr>
                <w:i/>
                <w:iCs/>
                <w:u w:val="single"/>
                <w:lang w:val="en-GB"/>
              </w:rPr>
              <w:lastRenderedPageBreak/>
              <w:t>Tracing</w:t>
            </w:r>
            <w:r w:rsidRPr="008869FE">
              <w:rPr>
                <w:lang w:val="en-GB"/>
              </w:rPr>
              <w:t>: the systematic tracking of weapons and, where possible, their parts and components, and ammunition, at the national and/or international level for the purpose of assisting the competent authorities of States parties in detecting, investigating and analysing illicit manufacturing and illicit trafficking.</w:t>
            </w:r>
          </w:p>
          <w:p w14:paraId="14A084FB" w14:textId="77777777" w:rsidR="00BD06C4" w:rsidRPr="008869FE" w:rsidRDefault="00BD06C4" w:rsidP="00BD06C4">
            <w:pPr>
              <w:pStyle w:val="NoSpacing"/>
              <w:rPr>
                <w:lang w:val="en-GB"/>
              </w:rPr>
            </w:pPr>
            <w:r w:rsidRPr="008869FE">
              <w:rPr>
                <w:i/>
                <w:iCs/>
                <w:u w:val="single"/>
                <w:lang w:val="en-GB"/>
              </w:rPr>
              <w:t>Illicit origin established by a competent authority in line with international instruments</w:t>
            </w:r>
            <w:r w:rsidRPr="008869FE">
              <w:rPr>
                <w:lang w:val="en-GB"/>
              </w:rPr>
              <w:t xml:space="preserve">: illicit origin established through means other than tracing, e.g. through intelligence. In the case of arms that are not traceable, this is the only mean to establishing the illicit origin. </w:t>
            </w:r>
          </w:p>
          <w:p w14:paraId="6D1A4F5F" w14:textId="77777777" w:rsidR="00BD06C4" w:rsidRPr="008869FE" w:rsidRDefault="00BD06C4" w:rsidP="00BD06C4">
            <w:pPr>
              <w:pStyle w:val="NoSpacing"/>
              <w:rPr>
                <w:lang w:val="en-GB"/>
              </w:rPr>
            </w:pPr>
          </w:p>
          <w:p w14:paraId="2563E693" w14:textId="77777777" w:rsidR="00BD06C4" w:rsidRPr="008869FE" w:rsidRDefault="00BD06C4" w:rsidP="00BD06C4">
            <w:pPr>
              <w:pStyle w:val="NoSpacing"/>
              <w:rPr>
                <w:b/>
                <w:bCs/>
                <w:lang w:val="en-GB"/>
              </w:rPr>
            </w:pPr>
            <w:r w:rsidRPr="008869FE">
              <w:rPr>
                <w:b/>
                <w:bCs/>
                <w:lang w:val="en-GB"/>
              </w:rPr>
              <w:t>Comments and limitations:</w:t>
            </w:r>
          </w:p>
          <w:p w14:paraId="04916102" w14:textId="77777777" w:rsidR="00BD06C4" w:rsidRPr="008869FE" w:rsidRDefault="00BD06C4" w:rsidP="00BD06C4">
            <w:pPr>
              <w:pStyle w:val="NoSpacing"/>
              <w:rPr>
                <w:lang w:val="en-GB"/>
              </w:rPr>
            </w:pPr>
            <w:r w:rsidRPr="008869FE">
              <w:rPr>
                <w:lang w:val="en-GB"/>
              </w:rPr>
              <w:t>There are certain limitations to the methodology used in the calculation of indicator 16.4.2:</w:t>
            </w:r>
          </w:p>
          <w:p w14:paraId="584347C4" w14:textId="77777777" w:rsidR="00BD06C4" w:rsidRPr="008869FE" w:rsidRDefault="00BD06C4" w:rsidP="00BD06C4">
            <w:pPr>
              <w:pStyle w:val="NoSpacing"/>
              <w:numPr>
                <w:ilvl w:val="0"/>
                <w:numId w:val="89"/>
              </w:numPr>
              <w:rPr>
                <w:lang w:val="en-GB"/>
              </w:rPr>
            </w:pPr>
            <w:r w:rsidRPr="008869FE">
              <w:rPr>
                <w:lang w:val="en-GB"/>
              </w:rPr>
              <w:t>The pilot study and consultations with Member States revealed that countries could not properly provide information on the circumstances of illicit manufacture or altered / erased markings for arms nor uniquely identifiable. Therefore, information on the establishment of the illicit origin for these arms is not available.</w:t>
            </w:r>
          </w:p>
          <w:p w14:paraId="28251354" w14:textId="77777777" w:rsidR="00BD06C4" w:rsidRPr="008869FE" w:rsidRDefault="00BD06C4" w:rsidP="00BD06C4">
            <w:pPr>
              <w:pStyle w:val="NoSpacing"/>
              <w:numPr>
                <w:ilvl w:val="0"/>
                <w:numId w:val="89"/>
              </w:numPr>
              <w:rPr>
                <w:lang w:val="en-GB"/>
              </w:rPr>
            </w:pPr>
            <w:r w:rsidRPr="008869FE">
              <w:rPr>
                <w:lang w:val="en-GB"/>
              </w:rPr>
              <w:t>The values for indicator 16.4.2 may be affected by whether the country has a significant proportion of apprehended arms that are traceable, which is usually a consequence of the context of illicit arms trafficking in the country and is not related to its Law Enforcement efforts.</w:t>
            </w:r>
          </w:p>
          <w:p w14:paraId="31635149" w14:textId="77777777" w:rsidR="00BD06C4" w:rsidRPr="008869FE" w:rsidRDefault="00BD06C4" w:rsidP="00BD06C4">
            <w:pPr>
              <w:pStyle w:val="NoSpacing"/>
              <w:numPr>
                <w:ilvl w:val="0"/>
                <w:numId w:val="89"/>
              </w:numPr>
              <w:rPr>
                <w:lang w:val="en-GB"/>
              </w:rPr>
            </w:pPr>
            <w:r w:rsidRPr="008869FE">
              <w:rPr>
                <w:lang w:val="en-GB"/>
              </w:rPr>
              <w:t xml:space="preserve">The process of tracing firearms can be notably long, especially if several requests are involved. Therefore, the information on tracing results provided on the questionnaire for the reference year may be incomplete. While the fact that countries are requested to review the figures reported during the previous data collection cycle </w:t>
            </w:r>
            <w:proofErr w:type="gramStart"/>
            <w:r w:rsidRPr="008869FE">
              <w:rPr>
                <w:lang w:val="en-GB"/>
              </w:rPr>
              <w:t>may partially correct for this, there may</w:t>
            </w:r>
            <w:proofErr w:type="gramEnd"/>
            <w:r w:rsidRPr="008869FE">
              <w:rPr>
                <w:lang w:val="en-GB"/>
              </w:rPr>
              <w:t xml:space="preserve"> still be a bias in the calculation.</w:t>
            </w:r>
          </w:p>
          <w:p w14:paraId="4A323A35" w14:textId="77777777" w:rsidR="00BD06C4" w:rsidRPr="008869FE" w:rsidRDefault="00BD06C4" w:rsidP="00BD06C4">
            <w:pPr>
              <w:pStyle w:val="NoSpacing"/>
              <w:rPr>
                <w:lang w:val="en-GB"/>
              </w:rPr>
            </w:pPr>
            <w:r w:rsidRPr="008869FE">
              <w:rPr>
                <w:lang w:val="en-GB"/>
              </w:rPr>
              <w:t xml:space="preserve">In addition to indicator 16.4.2 as defined in this document, other non-official indicators may be of assistance when interpreting the reporting values. In particular, information is collected on the number of international tracing requests placed and responded to, and the total number of arms seized, found and surrendered by whether they are uniquely marked or not, the total number of arms that have been </w:t>
            </w:r>
            <w:proofErr w:type="gramStart"/>
            <w:r w:rsidRPr="008869FE">
              <w:rPr>
                <w:lang w:val="en-GB"/>
              </w:rPr>
              <w:t>marked,</w:t>
            </w:r>
            <w:proofErr w:type="gramEnd"/>
            <w:r w:rsidRPr="008869FE">
              <w:rPr>
                <w:lang w:val="en-GB"/>
              </w:rPr>
              <w:t xml:space="preserve"> recorded or destroyed. In addition, data on the number of individuals in contact with the police, prosecuted and convicted, in relation to illicit trafficking of arms is available. All these indicators could help complete the picture regarding the extent of Law Enforcement activities at the national level to counter illicit trafficking in arms.</w:t>
            </w:r>
          </w:p>
          <w:p w14:paraId="03EFD12F" w14:textId="77777777" w:rsidR="00BD06C4" w:rsidRPr="008869FE" w:rsidRDefault="00BD06C4" w:rsidP="00BD06C4">
            <w:pPr>
              <w:pStyle w:val="NoSpacing"/>
              <w:rPr>
                <w:b/>
                <w:bCs/>
                <w:lang w:val="en-GB"/>
              </w:rPr>
            </w:pPr>
          </w:p>
          <w:p w14:paraId="2238A7F5" w14:textId="77777777" w:rsidR="00BD06C4" w:rsidRPr="008869FE" w:rsidRDefault="00BD06C4" w:rsidP="00BD06C4">
            <w:pPr>
              <w:pStyle w:val="NoSpacing"/>
              <w:rPr>
                <w:b/>
                <w:bCs/>
                <w:lang w:val="en-GB"/>
              </w:rPr>
            </w:pPr>
            <w:r w:rsidRPr="008869FE">
              <w:rPr>
                <w:b/>
                <w:bCs/>
                <w:lang w:val="en-GB"/>
              </w:rPr>
              <w:t>Computation Method:</w:t>
            </w:r>
          </w:p>
          <w:p w14:paraId="72901819" w14:textId="77777777" w:rsidR="00BD06C4" w:rsidRPr="008869FE" w:rsidRDefault="00BD06C4" w:rsidP="00BD06C4">
            <w:pPr>
              <w:pStyle w:val="NoSpacing"/>
              <w:rPr>
                <w:lang w:val="en-GB"/>
              </w:rPr>
            </w:pPr>
            <w:r w:rsidRPr="008869FE">
              <w:rPr>
                <w:lang w:val="en-GB"/>
              </w:rPr>
              <w:t>The indicator is calculated as a proportion.</w:t>
            </w:r>
          </w:p>
          <w:p w14:paraId="1CF97CD5" w14:textId="77777777" w:rsidR="00BD06C4" w:rsidRPr="008869FE" w:rsidRDefault="00BD06C4" w:rsidP="00BD06C4">
            <w:pPr>
              <w:pStyle w:val="NoSpacing"/>
              <w:rPr>
                <w:lang w:val="en-GB"/>
              </w:rPr>
            </w:pPr>
            <w:r w:rsidRPr="008869FE">
              <w:rPr>
                <w:lang w:val="en-GB"/>
              </w:rPr>
              <w:t xml:space="preserve">The denominator of the proportion is the total number of arms seized, found and surrendered. </w:t>
            </w:r>
          </w:p>
          <w:p w14:paraId="2A36B3B3" w14:textId="77777777" w:rsidR="00BD06C4" w:rsidRPr="008869FE" w:rsidRDefault="00BD06C4" w:rsidP="00BD06C4">
            <w:pPr>
              <w:pStyle w:val="NoSpacing"/>
              <w:rPr>
                <w:lang w:val="en-GB"/>
              </w:rPr>
            </w:pPr>
            <w:r w:rsidRPr="008869FE">
              <w:rPr>
                <w:lang w:val="en-GB"/>
              </w:rPr>
              <w:t>The numerator will include all those arms for which the point of diversion was established / identified, either through tracing or by a competent authority (e.g. through intelligence).</w:t>
            </w:r>
          </w:p>
          <w:p w14:paraId="0F9895F9" w14:textId="77777777" w:rsidR="00BD06C4" w:rsidRDefault="00BD06C4" w:rsidP="00BD06C4">
            <w:pPr>
              <w:pStyle w:val="NoSpacing"/>
            </w:pPr>
          </w:p>
        </w:tc>
        <w:tc>
          <w:tcPr>
            <w:tcW w:w="0" w:type="auto"/>
          </w:tcPr>
          <w:p w14:paraId="6BBE30EB" w14:textId="77777777" w:rsidR="00BD06C4" w:rsidRDefault="00BD06C4" w:rsidP="00BD06C4">
            <w:pPr>
              <w:pStyle w:val="NoSpacing"/>
            </w:pPr>
            <w:r w:rsidRPr="009558DF">
              <w:lastRenderedPageBreak/>
              <w:t>The official counterparts at the country level are designated Focal Points that are in charge of coordinating the data collection a</w:t>
            </w:r>
            <w:r>
              <w:t>mong different national institutions</w:t>
            </w:r>
            <w:r w:rsidRPr="009558DF">
              <w:t xml:space="preserve">. </w:t>
            </w:r>
          </w:p>
          <w:p w14:paraId="7A67A1CD" w14:textId="77777777" w:rsidR="00BD06C4" w:rsidRPr="00706D31" w:rsidRDefault="00BD06C4" w:rsidP="00BD06C4">
            <w:pPr>
              <w:pStyle w:val="NoSpacing"/>
            </w:pPr>
          </w:p>
        </w:tc>
        <w:tc>
          <w:tcPr>
            <w:tcW w:w="0" w:type="auto"/>
          </w:tcPr>
          <w:p w14:paraId="74B72E2E" w14:textId="77777777" w:rsidR="00BD06C4" w:rsidRPr="009558DF" w:rsidRDefault="00BD06C4" w:rsidP="00BD06C4">
            <w:pPr>
              <w:pStyle w:val="NoSpacing"/>
              <w:rPr>
                <w:lang w:eastAsia="en-GB"/>
              </w:rPr>
            </w:pPr>
            <w:r w:rsidRPr="009558DF">
              <w:rPr>
                <w:lang w:eastAsia="en-GB"/>
              </w:rPr>
              <w:t xml:space="preserve">Most of the data providers are Law Enforcement Agencies, including </w:t>
            </w:r>
            <w:r>
              <w:rPr>
                <w:lang w:eastAsia="en-GB"/>
              </w:rPr>
              <w:t xml:space="preserve">National </w:t>
            </w:r>
            <w:r w:rsidRPr="009558DF">
              <w:rPr>
                <w:lang w:eastAsia="en-GB"/>
              </w:rPr>
              <w:t>Police,</w:t>
            </w:r>
            <w:r>
              <w:rPr>
                <w:lang w:eastAsia="en-GB"/>
              </w:rPr>
              <w:t xml:space="preserve"> Regional/State Police,</w:t>
            </w:r>
            <w:r w:rsidRPr="009558DF">
              <w:rPr>
                <w:lang w:eastAsia="en-GB"/>
              </w:rPr>
              <w:t xml:space="preserve"> Customs, </w:t>
            </w:r>
            <w:r>
              <w:rPr>
                <w:lang w:eastAsia="en-GB"/>
              </w:rPr>
              <w:t xml:space="preserve">Military, </w:t>
            </w:r>
            <w:r w:rsidRPr="009558DF">
              <w:rPr>
                <w:lang w:eastAsia="en-GB"/>
              </w:rPr>
              <w:t xml:space="preserve">etc. Focal Points at the national level are responsible for </w:t>
            </w:r>
            <w:r>
              <w:rPr>
                <w:lang w:eastAsia="en-GB"/>
              </w:rPr>
              <w:t>compiling</w:t>
            </w:r>
            <w:r w:rsidRPr="009558DF">
              <w:rPr>
                <w:lang w:eastAsia="en-GB"/>
              </w:rPr>
              <w:t xml:space="preserve"> the data and submitting it. </w:t>
            </w:r>
          </w:p>
          <w:p w14:paraId="32738C87" w14:textId="77777777" w:rsidR="00BD06C4" w:rsidRDefault="00BD06C4" w:rsidP="00BD06C4">
            <w:pPr>
              <w:pStyle w:val="NoSpacing"/>
            </w:pPr>
          </w:p>
        </w:tc>
        <w:tc>
          <w:tcPr>
            <w:tcW w:w="0" w:type="auto"/>
          </w:tcPr>
          <w:p w14:paraId="3F5E5521" w14:textId="3219B7E5" w:rsidR="00BD06C4" w:rsidRDefault="00BD06C4" w:rsidP="00BD06C4">
            <w:pPr>
              <w:pStyle w:val="NoSpacing"/>
            </w:pPr>
          </w:p>
        </w:tc>
        <w:tc>
          <w:tcPr>
            <w:tcW w:w="0" w:type="auto"/>
          </w:tcPr>
          <w:p w14:paraId="20F4B718" w14:textId="77777777" w:rsidR="00BD06C4" w:rsidRDefault="00BD06C4" w:rsidP="00BD06C4">
            <w:pPr>
              <w:jc w:val="both"/>
              <w:rPr>
                <w:rFonts w:eastAsia="Times New Roman" w:cs="Times New Roman"/>
                <w:color w:val="000000" w:themeColor="text1"/>
                <w:szCs w:val="20"/>
              </w:rPr>
            </w:pPr>
            <w:r>
              <w:rPr>
                <w:rFonts w:eastAsia="Times New Roman" w:cs="Times New Roman"/>
                <w:color w:val="000000" w:themeColor="text1"/>
                <w:szCs w:val="20"/>
              </w:rPr>
              <w:t>a) BP, MoHA</w:t>
            </w:r>
          </w:p>
          <w:p w14:paraId="6720E0F8" w14:textId="77777777" w:rsidR="00BD06C4" w:rsidRDefault="00BD06C4" w:rsidP="00BD06C4">
            <w:pPr>
              <w:pStyle w:val="NoSpacing"/>
            </w:pPr>
            <w:r>
              <w:t>b) MoD</w:t>
            </w:r>
          </w:p>
          <w:p w14:paraId="73636E58" w14:textId="77777777" w:rsidR="00BD06C4" w:rsidRDefault="00BD06C4" w:rsidP="00BD06C4">
            <w:pPr>
              <w:spacing w:line="276" w:lineRule="auto"/>
              <w:jc w:val="center"/>
            </w:pPr>
            <w:r>
              <w:t>Administrative Data</w:t>
            </w:r>
          </w:p>
        </w:tc>
        <w:tc>
          <w:tcPr>
            <w:tcW w:w="0" w:type="auto"/>
          </w:tcPr>
          <w:p w14:paraId="488D2785"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Means of recovery: arms seized/arms found /arms surrendered</w:t>
            </w:r>
          </w:p>
          <w:p w14:paraId="6A31F567"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Levels of tracing: still pending/ no attempt of trace</w:t>
            </w:r>
          </w:p>
          <w:p w14:paraId="19A05353"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Illicit Origin: Local/international</w:t>
            </w:r>
          </w:p>
          <w:p w14:paraId="36A96800" w14:textId="77777777" w:rsidR="00BD06C4" w:rsidRDefault="00BD06C4" w:rsidP="00BD06C4">
            <w:pPr>
              <w:ind w:left="970" w:hanging="970"/>
              <w:jc w:val="both"/>
              <w:rPr>
                <w:color w:val="0070C0"/>
                <w:sz w:val="30"/>
                <w:szCs w:val="30"/>
              </w:rPr>
            </w:pPr>
          </w:p>
        </w:tc>
        <w:tc>
          <w:tcPr>
            <w:tcW w:w="0" w:type="auto"/>
          </w:tcPr>
          <w:p w14:paraId="1C07A178" w14:textId="77777777" w:rsidR="00BD06C4" w:rsidRDefault="00BD06C4" w:rsidP="00BD06C4">
            <w:pPr>
              <w:ind w:left="970" w:hanging="970"/>
              <w:jc w:val="both"/>
              <w:rPr>
                <w:color w:val="0070C0"/>
                <w:sz w:val="30"/>
                <w:szCs w:val="30"/>
              </w:rPr>
            </w:pPr>
            <w:r>
              <w:t>Annual</w:t>
            </w:r>
          </w:p>
        </w:tc>
        <w:tc>
          <w:tcPr>
            <w:tcW w:w="0" w:type="auto"/>
          </w:tcPr>
          <w:p w14:paraId="6BCA276C" w14:textId="77777777" w:rsidR="00BD06C4" w:rsidRDefault="00BD06C4" w:rsidP="00BD06C4">
            <w:pPr>
              <w:ind w:left="970" w:hanging="970"/>
              <w:jc w:val="both"/>
              <w:rPr>
                <w:color w:val="0070C0"/>
                <w:sz w:val="30"/>
                <w:szCs w:val="30"/>
              </w:rPr>
            </w:pPr>
            <w:r>
              <w:t>Group 2</w:t>
            </w:r>
          </w:p>
        </w:tc>
        <w:tc>
          <w:tcPr>
            <w:tcW w:w="0" w:type="auto"/>
          </w:tcPr>
          <w:p w14:paraId="63A211D1" w14:textId="77777777" w:rsidR="00BD06C4" w:rsidRDefault="00BD06C4" w:rsidP="00BD06C4">
            <w:pPr>
              <w:pStyle w:val="NoSpacing"/>
            </w:pPr>
            <w:r>
              <w:t>1</w:t>
            </w:r>
            <w:r w:rsidRPr="00013ACB">
              <w:rPr>
                <w:vertAlign w:val="superscript"/>
              </w:rPr>
              <w:t>st</w:t>
            </w:r>
            <w:r>
              <w:t xml:space="preserve"> Round:</w:t>
            </w:r>
          </w:p>
          <w:p w14:paraId="5B926C8B" w14:textId="77777777" w:rsidR="00BD06C4" w:rsidRPr="00C3536E" w:rsidRDefault="00BD06C4" w:rsidP="00BD06C4">
            <w:pPr>
              <w:pStyle w:val="NoSpacing"/>
              <w:rPr>
                <w:b/>
              </w:rPr>
            </w:pPr>
            <w:r w:rsidRPr="00C3536E">
              <w:t xml:space="preserve">September, </w:t>
            </w:r>
          </w:p>
          <w:p w14:paraId="1B5B06BC" w14:textId="77777777" w:rsidR="00BD06C4" w:rsidRDefault="00BD06C4" w:rsidP="00BD06C4">
            <w:pPr>
              <w:pStyle w:val="NoSpacing"/>
            </w:pPr>
            <w:r w:rsidRPr="00C3536E">
              <w:t>2019</w:t>
            </w:r>
          </w:p>
          <w:p w14:paraId="0E1E25E7" w14:textId="77777777" w:rsidR="00BD06C4" w:rsidRDefault="00BD06C4" w:rsidP="00BD06C4">
            <w:pPr>
              <w:pStyle w:val="NoSpacing"/>
            </w:pPr>
          </w:p>
          <w:p w14:paraId="35A0CCF6" w14:textId="77777777" w:rsidR="00BD06C4" w:rsidRDefault="00BD06C4" w:rsidP="00BD06C4">
            <w:pPr>
              <w:pStyle w:val="NoSpacing"/>
            </w:pPr>
            <w:r>
              <w:t>2</w:t>
            </w:r>
            <w:r w:rsidRPr="00013ACB">
              <w:rPr>
                <w:vertAlign w:val="superscript"/>
              </w:rPr>
              <w:t>nd</w:t>
            </w:r>
            <w:r>
              <w:t xml:space="preserve"> Round:</w:t>
            </w:r>
          </w:p>
          <w:p w14:paraId="74E3BC20" w14:textId="77777777" w:rsidR="00BD06C4" w:rsidRPr="00C3536E" w:rsidRDefault="00BD06C4" w:rsidP="00BD06C4">
            <w:pPr>
              <w:pStyle w:val="NoSpacing"/>
              <w:rPr>
                <w:b/>
              </w:rPr>
            </w:pPr>
            <w:r>
              <w:t xml:space="preserve"> </w:t>
            </w:r>
            <w:r w:rsidRPr="00C3536E">
              <w:t xml:space="preserve">September, </w:t>
            </w:r>
          </w:p>
          <w:p w14:paraId="5FB511C2" w14:textId="77777777" w:rsidR="00BD06C4" w:rsidRDefault="00BD06C4" w:rsidP="00BD06C4">
            <w:pPr>
              <w:pStyle w:val="NoSpacing"/>
            </w:pPr>
            <w:r>
              <w:t>2020</w:t>
            </w:r>
          </w:p>
          <w:p w14:paraId="40771C50" w14:textId="77777777" w:rsidR="00BD06C4" w:rsidRDefault="00BD06C4" w:rsidP="00BD06C4">
            <w:pPr>
              <w:pStyle w:val="NoSpacing"/>
            </w:pPr>
          </w:p>
          <w:p w14:paraId="348604ED" w14:textId="77777777" w:rsidR="00BD06C4" w:rsidRDefault="00BD06C4" w:rsidP="00BD06C4">
            <w:pPr>
              <w:pStyle w:val="NoSpacing"/>
            </w:pPr>
            <w:r>
              <w:t>3</w:t>
            </w:r>
            <w:r w:rsidRPr="00013ACB">
              <w:rPr>
                <w:vertAlign w:val="superscript"/>
              </w:rPr>
              <w:t>rd</w:t>
            </w:r>
            <w:r>
              <w:t xml:space="preserve"> Round: </w:t>
            </w:r>
          </w:p>
          <w:p w14:paraId="1477C61A" w14:textId="77777777" w:rsidR="00BD06C4" w:rsidRPr="00C3536E" w:rsidRDefault="00BD06C4" w:rsidP="00BD06C4">
            <w:pPr>
              <w:pStyle w:val="NoSpacing"/>
              <w:rPr>
                <w:b/>
              </w:rPr>
            </w:pPr>
            <w:r w:rsidRPr="00C3536E">
              <w:t xml:space="preserve">September, </w:t>
            </w:r>
          </w:p>
          <w:p w14:paraId="51F78A4B" w14:textId="77777777" w:rsidR="00BD06C4" w:rsidRDefault="00BD06C4" w:rsidP="00BD06C4">
            <w:pPr>
              <w:pStyle w:val="NoSpacing"/>
            </w:pPr>
            <w:r>
              <w:t>2021</w:t>
            </w:r>
          </w:p>
          <w:p w14:paraId="20813797" w14:textId="77777777" w:rsidR="00BD06C4" w:rsidRDefault="00BD06C4" w:rsidP="00BD06C4">
            <w:pPr>
              <w:pStyle w:val="NoSpacing"/>
            </w:pPr>
          </w:p>
          <w:p w14:paraId="183E5541" w14:textId="77777777" w:rsidR="00BD06C4" w:rsidRDefault="00BD06C4" w:rsidP="00BD06C4">
            <w:pPr>
              <w:pStyle w:val="NoSpacing"/>
            </w:pPr>
            <w:r>
              <w:t>4</w:t>
            </w:r>
            <w:r w:rsidRPr="00013ACB">
              <w:rPr>
                <w:vertAlign w:val="superscript"/>
              </w:rPr>
              <w:t>th</w:t>
            </w:r>
            <w:r>
              <w:t xml:space="preserve"> Round: </w:t>
            </w:r>
          </w:p>
          <w:p w14:paraId="2A595756" w14:textId="77777777" w:rsidR="00BD06C4" w:rsidRPr="00C3536E" w:rsidRDefault="00BD06C4" w:rsidP="00BD06C4">
            <w:pPr>
              <w:pStyle w:val="NoSpacing"/>
              <w:rPr>
                <w:b/>
              </w:rPr>
            </w:pPr>
            <w:r w:rsidRPr="00C3536E">
              <w:t xml:space="preserve">September, </w:t>
            </w:r>
          </w:p>
          <w:p w14:paraId="407844FA" w14:textId="77777777" w:rsidR="00BD06C4" w:rsidRDefault="00BD06C4" w:rsidP="00BD06C4">
            <w:pPr>
              <w:pStyle w:val="NoSpacing"/>
            </w:pPr>
            <w:r>
              <w:t>2022</w:t>
            </w:r>
          </w:p>
          <w:p w14:paraId="60FAF047" w14:textId="77777777" w:rsidR="00BD06C4" w:rsidRDefault="00BD06C4" w:rsidP="00BD06C4">
            <w:pPr>
              <w:pStyle w:val="NoSpacing"/>
            </w:pPr>
          </w:p>
          <w:p w14:paraId="15E0BC3F" w14:textId="77777777" w:rsidR="00BD06C4" w:rsidRDefault="00BD06C4" w:rsidP="00BD06C4">
            <w:pPr>
              <w:pStyle w:val="NoSpacing"/>
            </w:pPr>
            <w:r>
              <w:t>5</w:t>
            </w:r>
            <w:r w:rsidRPr="00013ACB">
              <w:rPr>
                <w:vertAlign w:val="superscript"/>
              </w:rPr>
              <w:t>th</w:t>
            </w:r>
            <w:r>
              <w:t xml:space="preserve"> Round: </w:t>
            </w:r>
          </w:p>
          <w:p w14:paraId="69A2784D" w14:textId="77777777" w:rsidR="00BD06C4" w:rsidRPr="00C3536E" w:rsidRDefault="00BD06C4" w:rsidP="00BD06C4">
            <w:pPr>
              <w:pStyle w:val="NoSpacing"/>
              <w:rPr>
                <w:b/>
              </w:rPr>
            </w:pPr>
            <w:r w:rsidRPr="00C3536E">
              <w:t xml:space="preserve">September, </w:t>
            </w:r>
          </w:p>
          <w:p w14:paraId="18EE23C0" w14:textId="77777777" w:rsidR="00BD06C4" w:rsidRDefault="00BD06C4" w:rsidP="00BD06C4">
            <w:pPr>
              <w:pStyle w:val="NoSpacing"/>
            </w:pPr>
            <w:r>
              <w:t>2023</w:t>
            </w:r>
          </w:p>
          <w:p w14:paraId="407ACBC9" w14:textId="56F5518B" w:rsidR="00BD06C4" w:rsidRDefault="00BD06C4" w:rsidP="00BD06C4">
            <w:pPr>
              <w:pStyle w:val="NoSpacing"/>
            </w:pPr>
          </w:p>
        </w:tc>
        <w:tc>
          <w:tcPr>
            <w:tcW w:w="0" w:type="auto"/>
          </w:tcPr>
          <w:p w14:paraId="41E8BB61" w14:textId="77777777" w:rsidR="00BD06C4" w:rsidRDefault="00BD06C4" w:rsidP="00BD06C4">
            <w:pPr>
              <w:pStyle w:val="NoSpacing"/>
            </w:pPr>
            <w:r>
              <w:t xml:space="preserve">Data should follow the </w:t>
            </w:r>
            <w:r w:rsidRPr="00F063AA">
              <w:t>tables 5.1 to 5.3 of the IAFQ</w:t>
            </w:r>
            <w:r>
              <w:t xml:space="preserve"> report to UNODC.</w:t>
            </w:r>
          </w:p>
          <w:p w14:paraId="18695E85" w14:textId="77777777" w:rsidR="00BD06C4" w:rsidRDefault="00BD06C4" w:rsidP="00BD06C4">
            <w:pPr>
              <w:pStyle w:val="NoSpacing"/>
            </w:pPr>
          </w:p>
          <w:p w14:paraId="1D5BC579" w14:textId="77777777" w:rsidR="00BD06C4" w:rsidRDefault="00BD06C4" w:rsidP="00BD06C4">
            <w:pPr>
              <w:pStyle w:val="NoSpacing"/>
            </w:pPr>
            <w:r>
              <w:t>Reviewed at 8th IAEG-SDG meeting (classified as Tier II)</w:t>
            </w:r>
          </w:p>
          <w:p w14:paraId="64B36C6D" w14:textId="77777777" w:rsidR="00BD06C4" w:rsidRDefault="00BD06C4" w:rsidP="00BD06C4">
            <w:pPr>
              <w:pStyle w:val="NoSpacing"/>
            </w:pPr>
          </w:p>
          <w:p w14:paraId="525377A6" w14:textId="1C462048" w:rsidR="00BD06C4" w:rsidRDefault="00BD06C4" w:rsidP="00BD06C4">
            <w:pPr>
              <w:pStyle w:val="NoSpacing"/>
            </w:pPr>
            <w:r>
              <w:t xml:space="preserve">UNSC 48 refinement; Reviewed at 5th IAEG-SDG meeting (classified as </w:t>
            </w:r>
            <w:r w:rsidR="006B621F">
              <w:t>TBD</w:t>
            </w:r>
            <w:r>
              <w:t>)</w:t>
            </w:r>
          </w:p>
        </w:tc>
      </w:tr>
      <w:tr w:rsidR="00BD06C4" w14:paraId="45123648" w14:textId="77777777" w:rsidTr="00A64F0D">
        <w:tc>
          <w:tcPr>
            <w:tcW w:w="0" w:type="auto"/>
          </w:tcPr>
          <w:p w14:paraId="1F0B03FE" w14:textId="77777777" w:rsidR="00BD06C4" w:rsidRDefault="00BD06C4" w:rsidP="00BD06C4">
            <w:pPr>
              <w:ind w:left="970" w:hanging="970"/>
              <w:jc w:val="both"/>
              <w:rPr>
                <w:color w:val="0070C0"/>
                <w:sz w:val="30"/>
                <w:szCs w:val="30"/>
              </w:rPr>
            </w:pPr>
          </w:p>
        </w:tc>
        <w:tc>
          <w:tcPr>
            <w:tcW w:w="0" w:type="auto"/>
            <w:gridSpan w:val="12"/>
          </w:tcPr>
          <w:p w14:paraId="04A4E5D8"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16.5 Substantially reduce corruption and bribery in all their forms</w:t>
            </w:r>
          </w:p>
        </w:tc>
      </w:tr>
      <w:tr w:rsidR="00BD06C4" w14:paraId="2F3638F7" w14:textId="77777777" w:rsidTr="00A64F0D">
        <w:tc>
          <w:tcPr>
            <w:tcW w:w="0" w:type="auto"/>
          </w:tcPr>
          <w:p w14:paraId="66B94571" w14:textId="77777777" w:rsidR="00BD06C4" w:rsidRPr="00BA046C" w:rsidRDefault="00BD06C4" w:rsidP="00BD06C4">
            <w:pPr>
              <w:pStyle w:val="NoSpacing"/>
            </w:pPr>
            <w:r w:rsidRPr="00BA046C">
              <w:t xml:space="preserve">16.5.1 Proportion of persons </w:t>
            </w:r>
            <w:r w:rsidRPr="00BA046C">
              <w:lastRenderedPageBreak/>
              <w:t>who had at least one contact with a public official and who paid a bribe to a public official, or were asked for a bribe by those public officials, during the previous 12 months</w:t>
            </w:r>
          </w:p>
        </w:tc>
        <w:tc>
          <w:tcPr>
            <w:tcW w:w="0" w:type="auto"/>
          </w:tcPr>
          <w:p w14:paraId="6CA9DF5B" w14:textId="77777777" w:rsidR="00BD06C4" w:rsidRDefault="00BD06C4" w:rsidP="00BD06C4">
            <w:pPr>
              <w:pStyle w:val="NoSpacing"/>
              <w:rPr>
                <w:lang w:bidi="bn-BD"/>
              </w:rPr>
            </w:pPr>
            <w:r w:rsidRPr="007145C8">
              <w:rPr>
                <w:lang w:bidi="bn-BD"/>
              </w:rPr>
              <w:lastRenderedPageBreak/>
              <w:t>UNODC</w:t>
            </w:r>
          </w:p>
          <w:p w14:paraId="4BEAA80F" w14:textId="77777777" w:rsidR="00BD06C4" w:rsidRPr="007145C8" w:rsidRDefault="00BD06C4" w:rsidP="00BD06C4">
            <w:pPr>
              <w:pStyle w:val="NoSpacing"/>
            </w:pPr>
          </w:p>
        </w:tc>
        <w:tc>
          <w:tcPr>
            <w:tcW w:w="0" w:type="auto"/>
          </w:tcPr>
          <w:p w14:paraId="043E26FD" w14:textId="77777777" w:rsidR="00BD06C4" w:rsidRDefault="00BD06C4" w:rsidP="00BD06C4">
            <w:pPr>
              <w:ind w:left="970" w:hanging="970"/>
              <w:jc w:val="both"/>
              <w:rPr>
                <w:color w:val="0070C0"/>
                <w:sz w:val="30"/>
                <w:szCs w:val="30"/>
              </w:rPr>
            </w:pPr>
            <w:r w:rsidRPr="00666BAB">
              <w:t>Tier II</w:t>
            </w:r>
          </w:p>
        </w:tc>
        <w:tc>
          <w:tcPr>
            <w:tcW w:w="0" w:type="auto"/>
          </w:tcPr>
          <w:p w14:paraId="5F6A5BB9" w14:textId="77777777" w:rsidR="00BD06C4" w:rsidRPr="008869FE" w:rsidRDefault="00BD06C4" w:rsidP="00BD06C4">
            <w:pPr>
              <w:pStyle w:val="NoSpacing"/>
              <w:rPr>
                <w:lang w:val="en-GB"/>
              </w:rPr>
            </w:pPr>
            <w:r w:rsidRPr="008869FE">
              <w:rPr>
                <w:b/>
                <w:bCs/>
                <w:lang w:val="en-GB"/>
              </w:rPr>
              <w:t>Definition:</w:t>
            </w:r>
          </w:p>
          <w:p w14:paraId="0E4DC1AB" w14:textId="77777777" w:rsidR="00BD06C4" w:rsidRPr="008869FE" w:rsidRDefault="00BD06C4" w:rsidP="00BD06C4">
            <w:pPr>
              <w:pStyle w:val="NoSpacing"/>
              <w:rPr>
                <w:lang w:val="en-GB"/>
              </w:rPr>
            </w:pPr>
          </w:p>
          <w:p w14:paraId="580B8174" w14:textId="77777777" w:rsidR="00BD06C4" w:rsidRPr="008869FE" w:rsidRDefault="00BD06C4" w:rsidP="00BD06C4">
            <w:pPr>
              <w:pStyle w:val="NoSpacing"/>
              <w:rPr>
                <w:lang w:val="en-GB"/>
              </w:rPr>
            </w:pPr>
            <w:r w:rsidRPr="008869FE">
              <w:rPr>
                <w:lang w:val="en-GB"/>
              </w:rPr>
              <w:t xml:space="preserve">This indicator is defined as the percentage of persons who paid at least one bribe (gave a public official money, a gift or </w:t>
            </w:r>
            <w:r w:rsidRPr="008869FE">
              <w:rPr>
                <w:lang w:val="en-GB"/>
              </w:rPr>
              <w:lastRenderedPageBreak/>
              <w:t>counter favour) to a public official, or were asked for a bribe by these public officials, in the last 12 months, as a percentage of persons who had at least one contact with a public official in the same period.</w:t>
            </w:r>
          </w:p>
          <w:p w14:paraId="4C723228" w14:textId="77777777" w:rsidR="00BD06C4" w:rsidRPr="008869FE" w:rsidRDefault="00BD06C4" w:rsidP="00BD06C4">
            <w:pPr>
              <w:pStyle w:val="NoSpacing"/>
              <w:rPr>
                <w:lang w:val="en-GB"/>
              </w:rPr>
            </w:pPr>
          </w:p>
          <w:p w14:paraId="53FAFB67" w14:textId="77777777" w:rsidR="00BD06C4" w:rsidRPr="008869FE" w:rsidRDefault="00BD06C4" w:rsidP="00BD06C4">
            <w:pPr>
              <w:pStyle w:val="NoSpacing"/>
              <w:rPr>
                <w:lang w:val="en-GB"/>
              </w:rPr>
            </w:pPr>
            <w:r w:rsidRPr="008869FE">
              <w:rPr>
                <w:b/>
                <w:bCs/>
                <w:lang w:val="en-GB"/>
              </w:rPr>
              <w:t>Concepts:</w:t>
            </w:r>
          </w:p>
          <w:p w14:paraId="5E8B7436" w14:textId="77777777" w:rsidR="00BD06C4" w:rsidRPr="008869FE" w:rsidRDefault="00BD06C4" w:rsidP="00BD06C4">
            <w:pPr>
              <w:pStyle w:val="NoSpacing"/>
              <w:rPr>
                <w:lang w:val="en-GB"/>
              </w:rPr>
            </w:pPr>
          </w:p>
          <w:p w14:paraId="26F614A2" w14:textId="77777777" w:rsidR="00BD06C4" w:rsidRPr="008869FE" w:rsidRDefault="00BD06C4" w:rsidP="00BD06C4">
            <w:pPr>
              <w:pStyle w:val="NoSpacing"/>
              <w:rPr>
                <w:lang w:val="en-GB"/>
              </w:rPr>
            </w:pPr>
            <w:r w:rsidRPr="008869FE">
              <w:rPr>
                <w:lang w:val="en-GB"/>
              </w:rPr>
              <w:t>In the International Classification of Crime for Statistical Purposes (ICCS), bribery is defined as: ‘Promising, offering, giving, soliciting, or accepting an undue advantage to or from a public official or a person who directs or works in a private sector entity, directly or indirectly, in order that the person act or refrain from acting in the exercise of his or her official duties’. This definition is based on definitions of bribery of national public officials, bribery of foreign public officials and official of international organisations and bribery in the private sector that are contained in the United Nations Convention against Corruption (articles 15, 16, and 21).</w:t>
            </w:r>
          </w:p>
          <w:p w14:paraId="49825C99" w14:textId="77777777" w:rsidR="00BD06C4" w:rsidRPr="008869FE" w:rsidRDefault="00BD06C4" w:rsidP="00BD06C4">
            <w:pPr>
              <w:pStyle w:val="NoSpacing"/>
              <w:rPr>
                <w:lang w:val="en-GB"/>
              </w:rPr>
            </w:pPr>
          </w:p>
          <w:p w14:paraId="292739F1" w14:textId="77777777" w:rsidR="00BD06C4" w:rsidRPr="008869FE" w:rsidRDefault="00BD06C4" w:rsidP="00BD06C4">
            <w:pPr>
              <w:pStyle w:val="NoSpacing"/>
              <w:rPr>
                <w:lang w:val="en-GB"/>
              </w:rPr>
            </w:pPr>
            <w:r w:rsidRPr="008869FE">
              <w:rPr>
                <w:lang w:val="en-GB"/>
              </w:rPr>
              <w:t>While the concept of bribery is broader, as it includes also actions such as promising or offering, and it covers both public and private sector, this indicator focuses on specific forms of bribery that are more measurable (the giving and/or requesting of bribes) and it limits the scope to the public sector.</w:t>
            </w:r>
          </w:p>
          <w:p w14:paraId="60E69CA7" w14:textId="77777777" w:rsidR="00BD06C4" w:rsidRPr="008869FE" w:rsidRDefault="00BD06C4" w:rsidP="00BD06C4">
            <w:pPr>
              <w:pStyle w:val="NoSpacing"/>
              <w:rPr>
                <w:lang w:val="en-GB"/>
              </w:rPr>
            </w:pPr>
          </w:p>
          <w:p w14:paraId="0A14A529" w14:textId="77777777" w:rsidR="00BD06C4" w:rsidRPr="008869FE" w:rsidRDefault="00BD06C4" w:rsidP="00BD06C4">
            <w:pPr>
              <w:pStyle w:val="NoSpacing"/>
              <w:rPr>
                <w:lang w:val="en-GB"/>
              </w:rPr>
            </w:pPr>
            <w:r w:rsidRPr="008869FE">
              <w:rPr>
                <w:lang w:val="en-GB"/>
              </w:rPr>
              <w:t>The concept of undue advantage is operationalized by reference to giving of money, gifts or provision of a service requested/offered by/to a public official in exchange for a special treatment.</w:t>
            </w:r>
          </w:p>
          <w:p w14:paraId="5510DE59" w14:textId="77777777" w:rsidR="00BD06C4" w:rsidRPr="008869FE" w:rsidRDefault="00BD06C4" w:rsidP="00BD06C4">
            <w:pPr>
              <w:pStyle w:val="NoSpacing"/>
              <w:rPr>
                <w:lang w:val="en-GB"/>
              </w:rPr>
            </w:pPr>
          </w:p>
          <w:p w14:paraId="032EEEFA" w14:textId="77777777" w:rsidR="00BD06C4" w:rsidRPr="008869FE" w:rsidRDefault="00BD06C4" w:rsidP="00BD06C4">
            <w:pPr>
              <w:pStyle w:val="NoSpacing"/>
              <w:rPr>
                <w:lang w:val="en-GB"/>
              </w:rPr>
            </w:pPr>
            <w:r w:rsidRPr="008869FE">
              <w:rPr>
                <w:lang w:val="en-GB"/>
              </w:rPr>
              <w:t>This indicator captures the often called ‘administrative bribery’, which is often intended as the type of bribery affecting citizens in their dealings with public administrations and/or civil servants.</w:t>
            </w:r>
          </w:p>
          <w:p w14:paraId="3A929CDA" w14:textId="77777777" w:rsidR="00BD06C4" w:rsidRPr="008869FE" w:rsidRDefault="00BD06C4" w:rsidP="00BD06C4">
            <w:pPr>
              <w:pStyle w:val="NoSpacing"/>
              <w:rPr>
                <w:lang w:val="en-GB"/>
              </w:rPr>
            </w:pPr>
          </w:p>
          <w:p w14:paraId="25981B3C" w14:textId="77777777" w:rsidR="00BD06C4" w:rsidRPr="008869FE" w:rsidRDefault="00BD06C4" w:rsidP="00BD06C4">
            <w:pPr>
              <w:pStyle w:val="NoSpacing"/>
              <w:rPr>
                <w:lang w:val="en-GB"/>
              </w:rPr>
            </w:pPr>
            <w:r w:rsidRPr="008869FE">
              <w:rPr>
                <w:lang w:val="en-GB"/>
              </w:rPr>
              <w:t>For this indicator, public official refers to persons holding a legislative, executive, administrative or judicial office. In the operationalization of the indicator, a list of selected officials and civil servants is used.</w:t>
            </w:r>
          </w:p>
          <w:p w14:paraId="57599494" w14:textId="77777777" w:rsidR="00BD06C4" w:rsidRPr="008869FE" w:rsidRDefault="00BD06C4" w:rsidP="00BD06C4">
            <w:pPr>
              <w:pStyle w:val="NoSpacing"/>
              <w:rPr>
                <w:lang w:val="en-GB"/>
              </w:rPr>
            </w:pPr>
          </w:p>
          <w:p w14:paraId="22A5CC0E" w14:textId="77777777" w:rsidR="00BD06C4" w:rsidRPr="008869FE" w:rsidRDefault="00BD06C4" w:rsidP="00BD06C4">
            <w:pPr>
              <w:pStyle w:val="NoSpacing"/>
              <w:rPr>
                <w:lang w:val="en-GB"/>
              </w:rPr>
            </w:pPr>
            <w:r w:rsidRPr="008869FE">
              <w:rPr>
                <w:b/>
                <w:bCs/>
                <w:lang w:val="en-GB"/>
              </w:rPr>
              <w:t>Comments and limitations:</w:t>
            </w:r>
          </w:p>
          <w:p w14:paraId="4D920A34" w14:textId="77777777" w:rsidR="00BD06C4" w:rsidRPr="008869FE" w:rsidRDefault="00BD06C4" w:rsidP="00BD06C4">
            <w:pPr>
              <w:pStyle w:val="NoSpacing"/>
              <w:rPr>
                <w:lang w:val="en-GB"/>
              </w:rPr>
            </w:pPr>
          </w:p>
          <w:p w14:paraId="769E53EA" w14:textId="77777777" w:rsidR="00BD06C4" w:rsidRPr="008869FE" w:rsidRDefault="00BD06C4" w:rsidP="00BD06C4">
            <w:pPr>
              <w:pStyle w:val="NoSpacing"/>
              <w:rPr>
                <w:lang w:val="en-GB"/>
              </w:rPr>
            </w:pPr>
            <w:r w:rsidRPr="008869FE">
              <w:rPr>
                <w:lang w:val="en-GB"/>
              </w:rPr>
              <w:t>In the experience of several surveys conducted at national and international level, the so-called bribery prevalence rate is defined as the percentage of persons who paid at least one bribe (gave a public official money, a gift or counter favour) to a public official in the last 12 months, as a percentage of persons who had at least one contact with a public official in the same period. In this formulation the share of population who was asked a bribe but did not give it is not included. Available data at national and international level usually refers to this formulation, while the collection of data according to the formulation included in the SDG framework will depend on the adaptation of relevant survey tools and the calculation by national authorities. It is expected that data according to the current definition will become available gradually.</w:t>
            </w:r>
          </w:p>
          <w:p w14:paraId="33062ED8" w14:textId="77777777" w:rsidR="00BD06C4" w:rsidRPr="008869FE" w:rsidRDefault="00BD06C4" w:rsidP="00BD06C4">
            <w:pPr>
              <w:pStyle w:val="NoSpacing"/>
              <w:rPr>
                <w:lang w:val="en-GB"/>
              </w:rPr>
            </w:pPr>
          </w:p>
          <w:p w14:paraId="0F3FF19C" w14:textId="77777777" w:rsidR="00BD06C4" w:rsidRPr="008869FE" w:rsidRDefault="00BD06C4" w:rsidP="00BD06C4">
            <w:pPr>
              <w:pStyle w:val="NoSpacing"/>
              <w:rPr>
                <w:lang w:val="en-GB"/>
              </w:rPr>
            </w:pPr>
            <w:r w:rsidRPr="008869FE">
              <w:rPr>
                <w:lang w:val="en-GB"/>
              </w:rPr>
              <w:t xml:space="preserve">On a more general level, it should be noted that this indicator provides solid information on the experience of bribery occurring in the interaction between citizens and the public sector in the context of service delivery/transactions, while </w:t>
            </w:r>
            <w:r w:rsidRPr="008869FE">
              <w:rPr>
                <w:lang w:val="en-GB"/>
              </w:rPr>
              <w:lastRenderedPageBreak/>
              <w:t>it does not cover other forms of corruption, such as ´grand corruption´, trading in influence or abuse of power</w:t>
            </w:r>
          </w:p>
          <w:p w14:paraId="232498AF" w14:textId="77777777" w:rsidR="00BD06C4" w:rsidRPr="008869FE" w:rsidRDefault="00BD06C4" w:rsidP="00BD06C4">
            <w:pPr>
              <w:pStyle w:val="NoSpacing"/>
              <w:rPr>
                <w:b/>
                <w:bCs/>
                <w:lang w:val="en-GB"/>
              </w:rPr>
            </w:pPr>
          </w:p>
          <w:p w14:paraId="4E022F17" w14:textId="77777777" w:rsidR="00BD06C4" w:rsidRPr="008869FE" w:rsidRDefault="00BD06C4" w:rsidP="00BD06C4">
            <w:pPr>
              <w:pStyle w:val="NoSpacing"/>
              <w:rPr>
                <w:lang w:val="en-GB"/>
              </w:rPr>
            </w:pPr>
            <w:r w:rsidRPr="008869FE">
              <w:rPr>
                <w:b/>
                <w:bCs/>
                <w:lang w:val="en-GB"/>
              </w:rPr>
              <w:t>Computation Method:</w:t>
            </w:r>
          </w:p>
          <w:p w14:paraId="44D56411" w14:textId="77777777" w:rsidR="00BD06C4" w:rsidRPr="008869FE" w:rsidRDefault="00BD06C4" w:rsidP="00BD06C4">
            <w:pPr>
              <w:pStyle w:val="NoSpacing"/>
              <w:rPr>
                <w:lang w:val="en-GB"/>
              </w:rPr>
            </w:pPr>
          </w:p>
          <w:p w14:paraId="496CAA6E" w14:textId="77777777" w:rsidR="00BD06C4" w:rsidRPr="008869FE" w:rsidRDefault="00BD06C4" w:rsidP="00BD06C4">
            <w:pPr>
              <w:pStyle w:val="NoSpacing"/>
              <w:rPr>
                <w:lang w:val="en-GB"/>
              </w:rPr>
            </w:pPr>
            <w:r w:rsidRPr="008869FE">
              <w:rPr>
                <w:lang w:val="en-GB"/>
              </w:rPr>
              <w:t>The indicator is calculated as the total number of persons who paid at least one bribe to a public official in the last 12 months, or were asked for a bribe in the same period, over the total number of persons who had at least one contact with a public official in the same period, multiplied by 100.</w:t>
            </w:r>
          </w:p>
          <w:p w14:paraId="68D31806" w14:textId="77777777" w:rsidR="00BD06C4" w:rsidRDefault="00BD06C4" w:rsidP="00BD06C4">
            <w:pPr>
              <w:pStyle w:val="NoSpacing"/>
            </w:pPr>
          </w:p>
        </w:tc>
        <w:tc>
          <w:tcPr>
            <w:tcW w:w="0" w:type="auto"/>
          </w:tcPr>
          <w:p w14:paraId="054D84C3" w14:textId="77777777" w:rsidR="00BD06C4" w:rsidRPr="00873FDE" w:rsidRDefault="00BD06C4" w:rsidP="00BD06C4">
            <w:pPr>
              <w:rPr>
                <w:szCs w:val="22"/>
              </w:rPr>
            </w:pPr>
            <w:r w:rsidRPr="00873FDE">
              <w:rPr>
                <w:szCs w:val="22"/>
              </w:rPr>
              <w:lastRenderedPageBreak/>
              <w:t xml:space="preserve">At international level, data are collected by UNODC </w:t>
            </w:r>
            <w:r w:rsidRPr="00873FDE">
              <w:rPr>
                <w:szCs w:val="22"/>
              </w:rPr>
              <w:lastRenderedPageBreak/>
              <w:t xml:space="preserve">through the annual UN-CTS data collection. Data are on bribery indicator are sent to UNODC by member states, usually through national UN-CTS Focal Points (around 130 appointed Focal Points as of 2016) which in most cases are national institutions responsible for data production in the area of crime and criminal justice (National Statistical Offices, Ministry of Interior, Ministry of Justice, etc.). When necessary, other data sources are used, including from websites, publications, </w:t>
            </w:r>
            <w:proofErr w:type="gramStart"/>
            <w:r w:rsidRPr="00873FDE">
              <w:rPr>
                <w:szCs w:val="22"/>
              </w:rPr>
              <w:t>other</w:t>
            </w:r>
            <w:proofErr w:type="gramEnd"/>
            <w:r w:rsidRPr="00873FDE">
              <w:rPr>
                <w:szCs w:val="22"/>
              </w:rPr>
              <w:t xml:space="preserve"> forms of communication.</w:t>
            </w:r>
          </w:p>
        </w:tc>
        <w:tc>
          <w:tcPr>
            <w:tcW w:w="0" w:type="auto"/>
          </w:tcPr>
          <w:p w14:paraId="09EAD382" w14:textId="77777777" w:rsidR="00BD06C4" w:rsidRPr="00873FDE" w:rsidRDefault="00BD06C4" w:rsidP="00BD06C4">
            <w:pPr>
              <w:rPr>
                <w:szCs w:val="22"/>
              </w:rPr>
            </w:pPr>
            <w:r w:rsidRPr="00873FDE">
              <w:rPr>
                <w:szCs w:val="22"/>
              </w:rPr>
              <w:lastRenderedPageBreak/>
              <w:t xml:space="preserve">Data on bribery are sent to UNODC by </w:t>
            </w:r>
            <w:r w:rsidRPr="00873FDE">
              <w:rPr>
                <w:szCs w:val="22"/>
              </w:rPr>
              <w:lastRenderedPageBreak/>
              <w:t>member states, usually through national UN-CTS Focal Points which in most cases are national institutions responsible for data production in the area of crime and criminal justice (National Statistical Offices, Ministry of Interior, Ministry of Justice, etc.). The primary source of data on the indicator of bribery experience is usually the institution responsible for surveys on corruption/victimisation surveys (National Statistical Office, Anti-Corruption Agency, etc.).</w:t>
            </w:r>
          </w:p>
        </w:tc>
        <w:tc>
          <w:tcPr>
            <w:tcW w:w="0" w:type="auto"/>
          </w:tcPr>
          <w:p w14:paraId="10C0CB37" w14:textId="77777777" w:rsidR="00BD06C4" w:rsidRDefault="00BD06C4" w:rsidP="00BD06C4">
            <w:pPr>
              <w:pStyle w:val="NoSpacing"/>
            </w:pPr>
            <w:r>
              <w:lastRenderedPageBreak/>
              <w:t>BBS</w:t>
            </w:r>
          </w:p>
          <w:p w14:paraId="4F40BE2B" w14:textId="77777777" w:rsidR="00BD06C4" w:rsidRDefault="00BD06C4" w:rsidP="00BD06C4">
            <w:pPr>
              <w:pStyle w:val="NoSpacing"/>
            </w:pPr>
            <w:r>
              <w:t>CPHS</w:t>
            </w:r>
          </w:p>
        </w:tc>
        <w:tc>
          <w:tcPr>
            <w:tcW w:w="0" w:type="auto"/>
          </w:tcPr>
          <w:p w14:paraId="01CC5283" w14:textId="77777777" w:rsidR="00BD06C4" w:rsidRDefault="00BD06C4" w:rsidP="00BD06C4">
            <w:pPr>
              <w:pStyle w:val="NoSpacing"/>
            </w:pPr>
            <w:r>
              <w:t>BBS</w:t>
            </w:r>
          </w:p>
          <w:p w14:paraId="16862BBB" w14:textId="77777777" w:rsidR="00BD06C4" w:rsidRPr="00D96ECA" w:rsidRDefault="00BD06C4" w:rsidP="00BD06C4">
            <w:pPr>
              <w:pStyle w:val="NoSpacing"/>
              <w:rPr>
                <w:b/>
                <w:bCs/>
              </w:rPr>
            </w:pPr>
            <w:r>
              <w:t>CPHS</w:t>
            </w:r>
          </w:p>
        </w:tc>
        <w:tc>
          <w:tcPr>
            <w:tcW w:w="0" w:type="auto"/>
          </w:tcPr>
          <w:p w14:paraId="34486AF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Age of bribe givers: 15-24 yrs/25-59 yrs/60 and </w:t>
            </w:r>
            <w:r>
              <w:rPr>
                <w:rFonts w:ascii="Tw Cen MT Condensed" w:hAnsi="Tw Cen MT Condensed"/>
                <w:sz w:val="20"/>
                <w:szCs w:val="20"/>
              </w:rPr>
              <w:lastRenderedPageBreak/>
              <w:t>above</w:t>
            </w:r>
          </w:p>
          <w:p w14:paraId="593D7CB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of bribe givers: Male/Female</w:t>
            </w:r>
          </w:p>
          <w:p w14:paraId="26E7898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 level of bribe givers: Upper/middle/lower</w:t>
            </w:r>
          </w:p>
          <w:p w14:paraId="1B92AC6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Education attainment of bribe givers: Illiterate/primary completed/completed HSC/Bachelor and above</w:t>
            </w:r>
          </w:p>
          <w:p w14:paraId="64EB8D2E"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official: Officer/Staff</w:t>
            </w:r>
          </w:p>
          <w:p w14:paraId="3B94014B"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Sector: Education/Police/Court/Passport/Income tax/customs/land administration/district-upazila administration, etc.</w:t>
            </w:r>
          </w:p>
          <w:p w14:paraId="38025D15" w14:textId="77777777" w:rsidR="00BD06C4" w:rsidRDefault="00BD06C4" w:rsidP="00BD06C4">
            <w:pPr>
              <w:ind w:left="970" w:hanging="970"/>
              <w:jc w:val="both"/>
              <w:rPr>
                <w:color w:val="0070C0"/>
                <w:sz w:val="30"/>
                <w:szCs w:val="30"/>
              </w:rPr>
            </w:pPr>
          </w:p>
        </w:tc>
        <w:tc>
          <w:tcPr>
            <w:tcW w:w="0" w:type="auto"/>
          </w:tcPr>
          <w:p w14:paraId="4DB9C95E" w14:textId="77777777" w:rsidR="00BD06C4" w:rsidRDefault="00BD06C4" w:rsidP="00BD06C4">
            <w:pPr>
              <w:ind w:left="970" w:hanging="970"/>
              <w:jc w:val="both"/>
              <w:rPr>
                <w:color w:val="0070C0"/>
                <w:sz w:val="30"/>
                <w:szCs w:val="30"/>
              </w:rPr>
            </w:pPr>
            <w:r w:rsidRPr="00BC6F10">
              <w:lastRenderedPageBreak/>
              <w:t>Triennial</w:t>
            </w:r>
          </w:p>
        </w:tc>
        <w:tc>
          <w:tcPr>
            <w:tcW w:w="0" w:type="auto"/>
          </w:tcPr>
          <w:p w14:paraId="6B6EF3B6" w14:textId="77777777" w:rsidR="00BD06C4" w:rsidRDefault="00BD06C4" w:rsidP="00BD06C4">
            <w:pPr>
              <w:ind w:left="970" w:hanging="970"/>
              <w:jc w:val="both"/>
              <w:rPr>
                <w:color w:val="0070C0"/>
                <w:sz w:val="30"/>
                <w:szCs w:val="30"/>
              </w:rPr>
            </w:pPr>
            <w:r>
              <w:t>Group 1</w:t>
            </w:r>
          </w:p>
        </w:tc>
        <w:tc>
          <w:tcPr>
            <w:tcW w:w="0" w:type="auto"/>
          </w:tcPr>
          <w:p w14:paraId="24624AE9" w14:textId="77777777" w:rsidR="00BD06C4" w:rsidRDefault="00BD06C4" w:rsidP="00BD06C4">
            <w:pPr>
              <w:pStyle w:val="NoSpacing"/>
            </w:pPr>
            <w:r>
              <w:t>1</w:t>
            </w:r>
            <w:r w:rsidRPr="00013ACB">
              <w:rPr>
                <w:vertAlign w:val="superscript"/>
              </w:rPr>
              <w:t>st</w:t>
            </w:r>
            <w:r>
              <w:t xml:space="preserve"> Round:</w:t>
            </w:r>
          </w:p>
          <w:p w14:paraId="69E0A2BD" w14:textId="77777777" w:rsidR="00BD06C4" w:rsidRDefault="00BD06C4" w:rsidP="00BD06C4">
            <w:pPr>
              <w:pStyle w:val="NoSpacing"/>
            </w:pPr>
            <w:r>
              <w:t>2018</w:t>
            </w:r>
          </w:p>
          <w:p w14:paraId="69D01230" w14:textId="77777777" w:rsidR="00BD06C4" w:rsidRDefault="00BD06C4" w:rsidP="00BD06C4">
            <w:pPr>
              <w:pStyle w:val="NoSpacing"/>
            </w:pPr>
          </w:p>
          <w:p w14:paraId="6E5699FF" w14:textId="77777777" w:rsidR="00BD06C4" w:rsidRDefault="00BD06C4" w:rsidP="00BD06C4">
            <w:pPr>
              <w:pStyle w:val="NoSpacing"/>
            </w:pPr>
            <w:r>
              <w:t>2</w:t>
            </w:r>
            <w:r w:rsidRPr="00013ACB">
              <w:rPr>
                <w:vertAlign w:val="superscript"/>
              </w:rPr>
              <w:t>nd</w:t>
            </w:r>
            <w:r>
              <w:t xml:space="preserve"> Round:</w:t>
            </w:r>
          </w:p>
          <w:p w14:paraId="0B5EAE52" w14:textId="77777777" w:rsidR="00BD06C4" w:rsidRDefault="00BD06C4" w:rsidP="00BD06C4">
            <w:pPr>
              <w:pStyle w:val="NoSpacing"/>
            </w:pPr>
            <w:r>
              <w:t xml:space="preserve"> </w:t>
            </w:r>
            <w:r w:rsidRPr="00C3536E">
              <w:t>July, 2020</w:t>
            </w:r>
          </w:p>
          <w:p w14:paraId="4A523BCE" w14:textId="77777777" w:rsidR="00BD06C4" w:rsidRDefault="00BD06C4" w:rsidP="00BD06C4">
            <w:pPr>
              <w:pStyle w:val="NoSpacing"/>
            </w:pPr>
          </w:p>
          <w:p w14:paraId="4FCD3AA2" w14:textId="77777777" w:rsidR="00BD06C4" w:rsidRDefault="00BD06C4" w:rsidP="00BD06C4">
            <w:pPr>
              <w:pStyle w:val="NoSpacing"/>
            </w:pPr>
            <w:r>
              <w:t>3</w:t>
            </w:r>
            <w:r w:rsidRPr="00013ACB">
              <w:rPr>
                <w:vertAlign w:val="superscript"/>
              </w:rPr>
              <w:t>rd</w:t>
            </w:r>
            <w:r>
              <w:t xml:space="preserve"> Round: </w:t>
            </w:r>
          </w:p>
          <w:p w14:paraId="0F4F28CE" w14:textId="77777777" w:rsidR="00BD06C4" w:rsidRDefault="00BD06C4" w:rsidP="00BD06C4">
            <w:pPr>
              <w:pStyle w:val="NoSpacing"/>
            </w:pPr>
            <w:r>
              <w:t>July, 2023</w:t>
            </w:r>
          </w:p>
          <w:p w14:paraId="6ADD130B" w14:textId="77777777" w:rsidR="00BD06C4" w:rsidRDefault="00BD06C4" w:rsidP="00BD06C4">
            <w:pPr>
              <w:pStyle w:val="NoSpacing"/>
            </w:pPr>
          </w:p>
          <w:p w14:paraId="3E306D48" w14:textId="77777777" w:rsidR="00BD06C4" w:rsidRDefault="00BD06C4" w:rsidP="00BD06C4">
            <w:pPr>
              <w:pStyle w:val="NoSpacing"/>
            </w:pPr>
            <w:r>
              <w:t>4</w:t>
            </w:r>
            <w:r w:rsidRPr="00013ACB">
              <w:rPr>
                <w:vertAlign w:val="superscript"/>
              </w:rPr>
              <w:t>th</w:t>
            </w:r>
            <w:r>
              <w:t xml:space="preserve"> Round: </w:t>
            </w:r>
          </w:p>
          <w:p w14:paraId="62DD265D" w14:textId="77777777" w:rsidR="00BD06C4" w:rsidRDefault="00BD06C4" w:rsidP="00BD06C4">
            <w:pPr>
              <w:pStyle w:val="NoSpacing"/>
            </w:pPr>
            <w:r>
              <w:t>July, 2026</w:t>
            </w:r>
          </w:p>
          <w:p w14:paraId="5915BB5D" w14:textId="77777777" w:rsidR="00BD06C4" w:rsidRDefault="00BD06C4" w:rsidP="00BD06C4">
            <w:pPr>
              <w:pStyle w:val="NoSpacing"/>
            </w:pPr>
          </w:p>
          <w:p w14:paraId="31C1C91C" w14:textId="77777777" w:rsidR="00BD06C4" w:rsidRDefault="00BD06C4" w:rsidP="00BD06C4">
            <w:pPr>
              <w:pStyle w:val="NoSpacing"/>
            </w:pPr>
            <w:r>
              <w:t>5</w:t>
            </w:r>
            <w:r w:rsidRPr="00013ACB">
              <w:rPr>
                <w:vertAlign w:val="superscript"/>
              </w:rPr>
              <w:t>th</w:t>
            </w:r>
            <w:r>
              <w:t xml:space="preserve"> Round: </w:t>
            </w:r>
          </w:p>
          <w:p w14:paraId="724D0758" w14:textId="77777777" w:rsidR="00BD06C4" w:rsidRDefault="00BD06C4" w:rsidP="00BD06C4">
            <w:pPr>
              <w:pStyle w:val="NoSpacing"/>
            </w:pPr>
            <w:r>
              <w:t>July, 2029</w:t>
            </w:r>
          </w:p>
          <w:p w14:paraId="1A8881C8" w14:textId="49513B61" w:rsidR="00BD06C4" w:rsidRDefault="00BD06C4" w:rsidP="00BD06C4">
            <w:pPr>
              <w:pStyle w:val="NoSpacing"/>
            </w:pPr>
          </w:p>
        </w:tc>
        <w:tc>
          <w:tcPr>
            <w:tcW w:w="0" w:type="auto"/>
          </w:tcPr>
          <w:p w14:paraId="01E7A875" w14:textId="77777777" w:rsidR="00BD06C4" w:rsidRDefault="00BD06C4" w:rsidP="00BD06C4">
            <w:pPr>
              <w:ind w:left="970" w:hanging="970"/>
              <w:jc w:val="both"/>
              <w:rPr>
                <w:color w:val="0070C0"/>
                <w:sz w:val="30"/>
                <w:szCs w:val="30"/>
              </w:rPr>
            </w:pPr>
          </w:p>
        </w:tc>
      </w:tr>
      <w:tr w:rsidR="00BD06C4" w14:paraId="795EA9F5" w14:textId="77777777" w:rsidTr="00A64F0D">
        <w:tc>
          <w:tcPr>
            <w:tcW w:w="0" w:type="auto"/>
          </w:tcPr>
          <w:p w14:paraId="4E3438DE" w14:textId="77777777" w:rsidR="00BD06C4" w:rsidRPr="00BA046C" w:rsidRDefault="00BD06C4" w:rsidP="00BD06C4">
            <w:pPr>
              <w:pStyle w:val="NoSpacing"/>
            </w:pPr>
            <w:r w:rsidRPr="00BA046C">
              <w:lastRenderedPageBreak/>
              <w:t>16.5.2 Proportion of businesses that had at least one contact with a public official and that paid a bribe to a public official, or were asked for a bribe by those public officials during the previous 12 months</w:t>
            </w:r>
          </w:p>
        </w:tc>
        <w:tc>
          <w:tcPr>
            <w:tcW w:w="0" w:type="auto"/>
          </w:tcPr>
          <w:p w14:paraId="44768506" w14:textId="77777777" w:rsidR="00BD06C4" w:rsidRDefault="00BD06C4" w:rsidP="00BD06C4">
            <w:pPr>
              <w:pStyle w:val="NoSpacing"/>
            </w:pPr>
            <w:r>
              <w:t>World Bank,</w:t>
            </w:r>
          </w:p>
          <w:p w14:paraId="11DA11FF" w14:textId="77777777" w:rsidR="00BD06C4" w:rsidRDefault="00BD06C4" w:rsidP="00BD06C4">
            <w:pPr>
              <w:pStyle w:val="NoSpacing"/>
            </w:pPr>
            <w:r>
              <w:t>UNODC</w:t>
            </w:r>
          </w:p>
          <w:p w14:paraId="75F11CCE" w14:textId="77777777" w:rsidR="00BD06C4" w:rsidRDefault="00BD06C4" w:rsidP="00BD06C4">
            <w:pPr>
              <w:rPr>
                <w:color w:val="0070C0"/>
                <w:sz w:val="30"/>
                <w:szCs w:val="30"/>
              </w:rPr>
            </w:pPr>
          </w:p>
        </w:tc>
        <w:tc>
          <w:tcPr>
            <w:tcW w:w="0" w:type="auto"/>
          </w:tcPr>
          <w:p w14:paraId="3DEAFB61" w14:textId="77777777" w:rsidR="00BD06C4" w:rsidRDefault="00BD06C4" w:rsidP="00BD06C4">
            <w:pPr>
              <w:ind w:left="970" w:hanging="970"/>
              <w:jc w:val="both"/>
              <w:rPr>
                <w:color w:val="0070C0"/>
                <w:sz w:val="30"/>
                <w:szCs w:val="30"/>
              </w:rPr>
            </w:pPr>
            <w:r>
              <w:t>Tier I</w:t>
            </w:r>
          </w:p>
        </w:tc>
        <w:tc>
          <w:tcPr>
            <w:tcW w:w="0" w:type="auto"/>
          </w:tcPr>
          <w:p w14:paraId="7ABA8B7B" w14:textId="77777777" w:rsidR="00BD06C4" w:rsidRPr="009975C4" w:rsidRDefault="00BD06C4" w:rsidP="00BD06C4">
            <w:pPr>
              <w:pStyle w:val="NoSpacing"/>
              <w:rPr>
                <w:lang w:val="en-GB"/>
              </w:rPr>
            </w:pPr>
            <w:r w:rsidRPr="009975C4">
              <w:rPr>
                <w:b/>
                <w:bCs/>
                <w:lang w:val="en-GB"/>
              </w:rPr>
              <w:t>Definition:</w:t>
            </w:r>
          </w:p>
          <w:p w14:paraId="6185E651" w14:textId="77777777" w:rsidR="00BD06C4" w:rsidRPr="009975C4" w:rsidRDefault="00BD06C4" w:rsidP="00BD06C4">
            <w:pPr>
              <w:pStyle w:val="NoSpacing"/>
              <w:rPr>
                <w:lang w:val="en-GB"/>
              </w:rPr>
            </w:pPr>
          </w:p>
          <w:p w14:paraId="68E19C59" w14:textId="77777777" w:rsidR="00BD06C4" w:rsidRPr="009975C4" w:rsidRDefault="00BD06C4" w:rsidP="00BD06C4">
            <w:pPr>
              <w:pStyle w:val="NoSpacing"/>
              <w:rPr>
                <w:lang w:val="en-GB"/>
              </w:rPr>
            </w:pPr>
            <w:r w:rsidRPr="009975C4">
              <w:rPr>
                <w:lang w:val="en-GB"/>
              </w:rPr>
              <w:t xml:space="preserve">Proportion of firms asked for a gift or informal payment when meeting with tax officials. </w:t>
            </w:r>
          </w:p>
          <w:p w14:paraId="3237E3E4" w14:textId="77777777" w:rsidR="00BD06C4" w:rsidRPr="009975C4" w:rsidRDefault="00BD06C4" w:rsidP="00BD06C4">
            <w:pPr>
              <w:pStyle w:val="NoSpacing"/>
              <w:rPr>
                <w:lang w:val="en-GB"/>
              </w:rPr>
            </w:pPr>
          </w:p>
          <w:p w14:paraId="252E6856" w14:textId="77777777" w:rsidR="00BD06C4" w:rsidRPr="009975C4" w:rsidRDefault="00BD06C4" w:rsidP="00BD06C4">
            <w:pPr>
              <w:pStyle w:val="NoSpacing"/>
              <w:rPr>
                <w:lang w:val="en-GB"/>
              </w:rPr>
            </w:pPr>
            <w:r w:rsidRPr="009975C4">
              <w:rPr>
                <w:lang w:val="en-GB"/>
              </w:rPr>
              <w:t>In every Enterprise Survey (www.enterprisesurveys.org), there is a standard question which asks the survey respondent if they were inspected by or required to meet with tax officials. If the respondent indicates ‘yes’, then there is a follow-up question which asks if the respondent was expected to provide a gift or an informal payment during these inspections/meetings. The response options include “yes”, “no”, “don’t know”, and “refuse”.</w:t>
            </w:r>
          </w:p>
          <w:p w14:paraId="0065822A" w14:textId="77777777" w:rsidR="00BD06C4" w:rsidRPr="009975C4" w:rsidRDefault="00BD06C4" w:rsidP="00BD06C4">
            <w:pPr>
              <w:pStyle w:val="NoSpacing"/>
              <w:rPr>
                <w:lang w:val="en-GB"/>
              </w:rPr>
            </w:pPr>
          </w:p>
          <w:p w14:paraId="513F2D58" w14:textId="77777777" w:rsidR="00BD06C4" w:rsidRPr="009975C4" w:rsidRDefault="00BD06C4" w:rsidP="00BD06C4">
            <w:pPr>
              <w:pStyle w:val="NoSpacing"/>
              <w:rPr>
                <w:lang w:val="en-GB"/>
              </w:rPr>
            </w:pPr>
            <w:r w:rsidRPr="009975C4">
              <w:rPr>
                <w:lang w:val="en-GB"/>
              </w:rPr>
              <w:t>Enterprise Surveys are firm-level surveys conducted in World Bank client countries. The survey focuses on various aspects of the business environment as well as firm’s outcome measures such as annual sales, productivity, etc. The surveys are conducted via face-to-face interviews with the top manager or business owner. For each country, the survey is conducted approximately every 4-5 years.</w:t>
            </w:r>
          </w:p>
          <w:p w14:paraId="7FBB69A0" w14:textId="77777777" w:rsidR="00BD06C4" w:rsidRPr="009975C4" w:rsidRDefault="00BD06C4" w:rsidP="00BD06C4">
            <w:pPr>
              <w:pStyle w:val="NoSpacing"/>
              <w:rPr>
                <w:lang w:val="en-GB"/>
              </w:rPr>
            </w:pPr>
          </w:p>
          <w:p w14:paraId="53D0137D" w14:textId="77777777" w:rsidR="00BD06C4" w:rsidRPr="009975C4" w:rsidRDefault="00BD06C4" w:rsidP="00BD06C4">
            <w:pPr>
              <w:pStyle w:val="NoSpacing"/>
              <w:rPr>
                <w:lang w:val="en-GB"/>
              </w:rPr>
            </w:pPr>
            <w:r w:rsidRPr="009975C4">
              <w:rPr>
                <w:b/>
                <w:bCs/>
                <w:lang w:val="en-GB"/>
              </w:rPr>
              <w:t>Concepts:</w:t>
            </w:r>
          </w:p>
          <w:p w14:paraId="70887FB1" w14:textId="77777777" w:rsidR="00BD06C4" w:rsidRPr="009975C4" w:rsidRDefault="00BD06C4" w:rsidP="00BD06C4">
            <w:pPr>
              <w:pStyle w:val="NoSpacing"/>
              <w:rPr>
                <w:lang w:val="en-GB"/>
              </w:rPr>
            </w:pPr>
          </w:p>
          <w:p w14:paraId="3F97AEF9" w14:textId="77777777" w:rsidR="00BD06C4" w:rsidRPr="009975C4" w:rsidRDefault="00BD06C4" w:rsidP="00BD06C4">
            <w:pPr>
              <w:pStyle w:val="NoSpacing"/>
              <w:rPr>
                <w:lang w:val="en-GB"/>
              </w:rPr>
            </w:pPr>
            <w:r w:rsidRPr="009975C4">
              <w:rPr>
                <w:lang w:val="en-GB"/>
              </w:rPr>
              <w:t>The respondents to the Enterprise Survey are firms- either manufacturing or services establishments. These are registered (formal) firms with 5+ employees. The firms are either fully or partially private (100% state-owned firms are ineligible for the Enterprise Survey). More information on the survey methodology can be found on the Methodology page of the website: www.enterprisesurveys.org/methodology</w:t>
            </w:r>
          </w:p>
          <w:p w14:paraId="39206218" w14:textId="77777777" w:rsidR="00BD06C4" w:rsidRPr="009975C4" w:rsidRDefault="00BD06C4" w:rsidP="00BD06C4">
            <w:pPr>
              <w:pStyle w:val="NoSpacing"/>
              <w:rPr>
                <w:lang w:val="en-GB"/>
              </w:rPr>
            </w:pPr>
          </w:p>
          <w:p w14:paraId="2A60122E" w14:textId="77777777" w:rsidR="00BD06C4" w:rsidRPr="009975C4" w:rsidRDefault="00BD06C4" w:rsidP="00BD06C4">
            <w:pPr>
              <w:pStyle w:val="NoSpacing"/>
              <w:rPr>
                <w:lang w:val="en-GB"/>
              </w:rPr>
            </w:pPr>
            <w:r w:rsidRPr="009975C4">
              <w:rPr>
                <w:lang w:val="en-GB"/>
              </w:rPr>
              <w:t>A gift or an informal payment is considered a ‘bribe’.</w:t>
            </w:r>
          </w:p>
          <w:p w14:paraId="42A631EC" w14:textId="77777777" w:rsidR="00BD06C4" w:rsidRPr="009975C4" w:rsidRDefault="00BD06C4" w:rsidP="00BD06C4">
            <w:pPr>
              <w:pStyle w:val="NoSpacing"/>
              <w:rPr>
                <w:lang w:val="en-GB"/>
              </w:rPr>
            </w:pPr>
          </w:p>
          <w:p w14:paraId="7CD601F3" w14:textId="77777777" w:rsidR="00BD06C4" w:rsidRPr="009975C4" w:rsidRDefault="00BD06C4" w:rsidP="00BD06C4">
            <w:pPr>
              <w:pStyle w:val="NoSpacing"/>
              <w:rPr>
                <w:lang w:val="en-GB"/>
              </w:rPr>
            </w:pPr>
            <w:r w:rsidRPr="009975C4">
              <w:rPr>
                <w:b/>
                <w:bCs/>
                <w:lang w:val="en-GB"/>
              </w:rPr>
              <w:t>Comments and limitations:</w:t>
            </w:r>
          </w:p>
          <w:p w14:paraId="3915B19A" w14:textId="77777777" w:rsidR="00BD06C4" w:rsidRPr="009975C4" w:rsidRDefault="00BD06C4" w:rsidP="00BD06C4">
            <w:pPr>
              <w:pStyle w:val="NoSpacing"/>
              <w:rPr>
                <w:lang w:val="en-GB"/>
              </w:rPr>
            </w:pPr>
          </w:p>
          <w:p w14:paraId="104B3132" w14:textId="77777777" w:rsidR="00BD06C4" w:rsidRPr="009975C4" w:rsidRDefault="00BD06C4" w:rsidP="00BD06C4">
            <w:pPr>
              <w:pStyle w:val="NoSpacing"/>
              <w:rPr>
                <w:lang w:val="en-GB"/>
              </w:rPr>
            </w:pPr>
            <w:r w:rsidRPr="009975C4">
              <w:rPr>
                <w:lang w:val="en-GB"/>
              </w:rPr>
              <w:t>The key strength of the Enterprise Survey is that most of the questions in the survey pertain to the actual, day-to-day experiences of the firm; this question regarding corruption during tax inspections/meetings is not an opinion-based question but rather a question grounded in the firm’s reality.</w:t>
            </w:r>
          </w:p>
          <w:p w14:paraId="2FAB133F" w14:textId="77777777" w:rsidR="00BD06C4" w:rsidRPr="009975C4" w:rsidRDefault="00BD06C4" w:rsidP="00BD06C4">
            <w:pPr>
              <w:pStyle w:val="NoSpacing"/>
              <w:rPr>
                <w:lang w:val="en-GB"/>
              </w:rPr>
            </w:pPr>
          </w:p>
          <w:p w14:paraId="510E27AF" w14:textId="77777777" w:rsidR="00BD06C4" w:rsidRPr="009975C4" w:rsidRDefault="00BD06C4" w:rsidP="00BD06C4">
            <w:pPr>
              <w:pStyle w:val="NoSpacing"/>
              <w:rPr>
                <w:lang w:val="en-GB"/>
              </w:rPr>
            </w:pPr>
            <w:r w:rsidRPr="009975C4">
              <w:rPr>
                <w:lang w:val="en-GB"/>
              </w:rPr>
              <w:lastRenderedPageBreak/>
              <w:t>The limitations include that some countries’ data is almost 10 years old (e.g. South Africa and Brazil). This is due to the fact that these face-to-face survey projects can be expensive in some countries and hence due to budget limitations, the World Bank hasn’t been able to update some of the Enterprise Surveys data in a subset of countries. Another limitation is that the surveys are done mostly in World Bank client countries and hence most high-income countries are not covered by the surveys (US, Canada, Western European countries, Japan, GCC countries, etc.).</w:t>
            </w:r>
          </w:p>
          <w:p w14:paraId="27154F93" w14:textId="77777777" w:rsidR="00BD06C4" w:rsidRPr="009975C4" w:rsidRDefault="00BD06C4" w:rsidP="00BD06C4">
            <w:pPr>
              <w:pStyle w:val="NoSpacing"/>
              <w:rPr>
                <w:lang w:val="en-GB"/>
              </w:rPr>
            </w:pPr>
          </w:p>
          <w:p w14:paraId="779A7C90" w14:textId="77777777" w:rsidR="00BD06C4" w:rsidRPr="009975C4" w:rsidRDefault="00BD06C4" w:rsidP="00BD06C4">
            <w:pPr>
              <w:pStyle w:val="NoSpacing"/>
              <w:rPr>
                <w:lang w:val="en-GB"/>
              </w:rPr>
            </w:pPr>
            <w:r w:rsidRPr="009975C4">
              <w:rPr>
                <w:lang w:val="en-GB"/>
              </w:rPr>
              <w:t>Another limitation may be the sensitive nature of corruption. In some countries/cultures, firms may not be comfortable answering questions on corruption. Although the data is collected under the context of confidentiality, firms may refuse to answer the question if they have been subject to bribery solicitations. Hence, in some countries, the actual incidence of this particular type of corruption may be higher than the calculated indicator value.</w:t>
            </w:r>
          </w:p>
          <w:p w14:paraId="7CA9890F" w14:textId="77777777" w:rsidR="00BD06C4" w:rsidRPr="009975C4" w:rsidRDefault="00BD06C4" w:rsidP="00BD06C4">
            <w:pPr>
              <w:pStyle w:val="NoSpacing"/>
              <w:rPr>
                <w:b/>
                <w:bCs/>
                <w:lang w:val="en-GB"/>
              </w:rPr>
            </w:pPr>
          </w:p>
          <w:p w14:paraId="0EFC0242" w14:textId="77777777" w:rsidR="00BD06C4" w:rsidRPr="009975C4" w:rsidRDefault="00BD06C4" w:rsidP="00BD06C4">
            <w:pPr>
              <w:pStyle w:val="NoSpacing"/>
              <w:rPr>
                <w:lang w:val="en-GB"/>
              </w:rPr>
            </w:pPr>
            <w:r w:rsidRPr="009975C4">
              <w:rPr>
                <w:b/>
                <w:bCs/>
                <w:lang w:val="en-GB"/>
              </w:rPr>
              <w:t>Computation Method:</w:t>
            </w:r>
          </w:p>
          <w:p w14:paraId="74EF508D" w14:textId="77777777" w:rsidR="00BD06C4" w:rsidRPr="009975C4" w:rsidRDefault="00BD06C4" w:rsidP="00BD06C4">
            <w:pPr>
              <w:pStyle w:val="NoSpacing"/>
              <w:rPr>
                <w:lang w:val="en-GB"/>
              </w:rPr>
            </w:pPr>
          </w:p>
          <w:p w14:paraId="1BF2225E" w14:textId="77777777" w:rsidR="00BD06C4" w:rsidRPr="009975C4" w:rsidRDefault="00BD06C4" w:rsidP="00BD06C4">
            <w:pPr>
              <w:pStyle w:val="NoSpacing"/>
              <w:rPr>
                <w:lang w:val="en-GB"/>
              </w:rPr>
            </w:pPr>
            <w:r w:rsidRPr="009975C4">
              <w:rPr>
                <w:lang w:val="en-GB"/>
              </w:rPr>
              <w:t>The indicator is calculated for each country, by looking at the proportion of firms which answered ‘yes’ to the survey question. For all Enterprise Survey projects conducted since 2006, the resulting dataset has sampling weights. Hence the indicator value, which is computed using Stata, incorporates these sampling weights as well as the design strata.</w:t>
            </w:r>
          </w:p>
          <w:p w14:paraId="331D2E6A" w14:textId="77777777" w:rsidR="00BD06C4" w:rsidRDefault="00BD06C4" w:rsidP="00BD06C4">
            <w:pPr>
              <w:pStyle w:val="NoSpacing"/>
            </w:pPr>
          </w:p>
        </w:tc>
        <w:tc>
          <w:tcPr>
            <w:tcW w:w="0" w:type="auto"/>
          </w:tcPr>
          <w:p w14:paraId="018A702E" w14:textId="77777777" w:rsidR="00BD06C4" w:rsidRPr="00873FDE" w:rsidRDefault="00BD06C4" w:rsidP="00BD06C4">
            <w:pPr>
              <w:rPr>
                <w:szCs w:val="22"/>
              </w:rPr>
            </w:pPr>
            <w:r w:rsidRPr="00873FDE">
              <w:rPr>
                <w:szCs w:val="22"/>
              </w:rPr>
              <w:lastRenderedPageBreak/>
              <w:t>The World Bank conducts the Enterprise Surveys in client countries. The surveys are comparable as the survey methodology is applied in a consistent manner across countries: obtaining suitable sample frames, eligibility criteria for respondent firms, survey sample design, core questionnaire elements across every country, standardized QC checks on the received data, standardized computation of sampling weights, etc.</w:t>
            </w:r>
          </w:p>
        </w:tc>
        <w:tc>
          <w:tcPr>
            <w:tcW w:w="0" w:type="auto"/>
          </w:tcPr>
          <w:p w14:paraId="36FE35C1" w14:textId="77777777" w:rsidR="00BD06C4" w:rsidRPr="00873FDE" w:rsidRDefault="00BD06C4" w:rsidP="00BD06C4">
            <w:pPr>
              <w:rPr>
                <w:szCs w:val="22"/>
              </w:rPr>
            </w:pPr>
            <w:r w:rsidRPr="00873FDE">
              <w:rPr>
                <w:szCs w:val="22"/>
              </w:rPr>
              <w:t>The indicator is derived from Enterprise Surveys which are conducted by the World Bank. The World Bank usually hires a private contractor (typically a market research company) to conduct the survey fieldwork.</w:t>
            </w:r>
          </w:p>
        </w:tc>
        <w:tc>
          <w:tcPr>
            <w:tcW w:w="0" w:type="auto"/>
          </w:tcPr>
          <w:p w14:paraId="51610AED" w14:textId="77777777" w:rsidR="00BD06C4" w:rsidRDefault="00BD06C4" w:rsidP="00BD06C4">
            <w:pPr>
              <w:pStyle w:val="NoSpacing"/>
            </w:pPr>
            <w:r>
              <w:t>ES, WB</w:t>
            </w:r>
          </w:p>
          <w:p w14:paraId="12ECF4ED" w14:textId="77777777" w:rsidR="00BD06C4" w:rsidRDefault="00BD06C4" w:rsidP="00BD06C4">
            <w:pPr>
              <w:pStyle w:val="NoSpacing"/>
            </w:pPr>
            <w:r>
              <w:t>Enterprise Survey</w:t>
            </w:r>
          </w:p>
        </w:tc>
        <w:tc>
          <w:tcPr>
            <w:tcW w:w="0" w:type="auto"/>
          </w:tcPr>
          <w:p w14:paraId="277CDEDF" w14:textId="77777777" w:rsidR="00BD06C4" w:rsidRDefault="00BD06C4" w:rsidP="00BD06C4">
            <w:pPr>
              <w:pStyle w:val="NoSpacing"/>
            </w:pPr>
            <w:r>
              <w:t>ES, WB</w:t>
            </w:r>
          </w:p>
          <w:p w14:paraId="7C7EE261" w14:textId="77777777" w:rsidR="00BD06C4" w:rsidRDefault="00BD06C4" w:rsidP="00BD06C4">
            <w:pPr>
              <w:pStyle w:val="NoSpacing"/>
              <w:rPr>
                <w:color w:val="0070C0"/>
                <w:sz w:val="30"/>
                <w:szCs w:val="30"/>
              </w:rPr>
            </w:pPr>
            <w:r>
              <w:t>Enterprise Survey</w:t>
            </w:r>
          </w:p>
        </w:tc>
        <w:tc>
          <w:tcPr>
            <w:tcW w:w="0" w:type="auto"/>
          </w:tcPr>
          <w:p w14:paraId="2ABFAD7C"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Gender: Male, Female, Transgender </w:t>
            </w:r>
          </w:p>
          <w:p w14:paraId="166F2679"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Primary Business Activity of The Firm </w:t>
            </w:r>
          </w:p>
          <w:p w14:paraId="41239AD1"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Sub-National Location of The Firm</w:t>
            </w:r>
          </w:p>
          <w:p w14:paraId="0DF719D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Exporting Status</w:t>
            </w:r>
          </w:p>
          <w:p w14:paraId="5BA84099"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Number of Employees </w:t>
            </w:r>
          </w:p>
          <w:p w14:paraId="60C31D73"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Degree of Foreign Ownership</w:t>
            </w:r>
          </w:p>
          <w:p w14:paraId="384DA5E3" w14:textId="77777777" w:rsidR="00BD06C4" w:rsidRDefault="00BD06C4" w:rsidP="00BD06C4">
            <w:pPr>
              <w:ind w:left="970" w:hanging="970"/>
              <w:jc w:val="both"/>
              <w:rPr>
                <w:color w:val="0070C0"/>
                <w:sz w:val="30"/>
                <w:szCs w:val="30"/>
              </w:rPr>
            </w:pPr>
          </w:p>
        </w:tc>
        <w:tc>
          <w:tcPr>
            <w:tcW w:w="0" w:type="auto"/>
          </w:tcPr>
          <w:p w14:paraId="15E1B887" w14:textId="77777777" w:rsidR="00BD06C4" w:rsidRDefault="00BD06C4" w:rsidP="00BD06C4">
            <w:pPr>
              <w:ind w:left="970" w:hanging="970"/>
              <w:jc w:val="both"/>
              <w:rPr>
                <w:color w:val="0070C0"/>
                <w:sz w:val="30"/>
                <w:szCs w:val="30"/>
              </w:rPr>
            </w:pPr>
            <w:r w:rsidRPr="00BC6F10">
              <w:t>Triennial</w:t>
            </w:r>
          </w:p>
        </w:tc>
        <w:tc>
          <w:tcPr>
            <w:tcW w:w="0" w:type="auto"/>
          </w:tcPr>
          <w:p w14:paraId="0F70DC53" w14:textId="77777777" w:rsidR="00BD06C4" w:rsidRDefault="00BD06C4" w:rsidP="00BD06C4">
            <w:pPr>
              <w:ind w:left="970" w:hanging="970"/>
              <w:jc w:val="both"/>
              <w:rPr>
                <w:color w:val="0070C0"/>
                <w:sz w:val="30"/>
                <w:szCs w:val="30"/>
              </w:rPr>
            </w:pPr>
            <w:r>
              <w:t>Group 1</w:t>
            </w:r>
          </w:p>
        </w:tc>
        <w:tc>
          <w:tcPr>
            <w:tcW w:w="0" w:type="auto"/>
          </w:tcPr>
          <w:p w14:paraId="74314A6F" w14:textId="77777777" w:rsidR="00BD06C4" w:rsidRDefault="00BD06C4" w:rsidP="00BD06C4">
            <w:pPr>
              <w:pStyle w:val="NoSpacing"/>
            </w:pPr>
          </w:p>
          <w:p w14:paraId="2201820E" w14:textId="77777777" w:rsidR="00BD06C4" w:rsidRDefault="00BD06C4" w:rsidP="00BD06C4">
            <w:pPr>
              <w:pStyle w:val="NoSpacing"/>
            </w:pPr>
          </w:p>
          <w:p w14:paraId="2EE72522" w14:textId="77777777" w:rsidR="00BD06C4" w:rsidRDefault="00BD06C4" w:rsidP="00BD06C4">
            <w:pPr>
              <w:pStyle w:val="NoSpacing"/>
            </w:pPr>
            <w:r>
              <w:t>1</w:t>
            </w:r>
            <w:r w:rsidRPr="00013ACB">
              <w:rPr>
                <w:vertAlign w:val="superscript"/>
              </w:rPr>
              <w:t>st</w:t>
            </w:r>
            <w:r>
              <w:t xml:space="preserve"> Round:</w:t>
            </w:r>
          </w:p>
          <w:p w14:paraId="74885F37" w14:textId="77777777" w:rsidR="00BD06C4" w:rsidRDefault="00BD06C4" w:rsidP="00BD06C4">
            <w:pPr>
              <w:pStyle w:val="NoSpacing"/>
            </w:pPr>
            <w:r>
              <w:t>2013</w:t>
            </w:r>
          </w:p>
          <w:p w14:paraId="2EB9C754" w14:textId="77777777" w:rsidR="00BD06C4" w:rsidRDefault="00BD06C4" w:rsidP="00BD06C4">
            <w:pPr>
              <w:pStyle w:val="NoSpacing"/>
            </w:pPr>
          </w:p>
          <w:p w14:paraId="2820AF38" w14:textId="77777777" w:rsidR="00BD06C4" w:rsidRDefault="00BD06C4" w:rsidP="00BD06C4">
            <w:pPr>
              <w:pStyle w:val="NoSpacing"/>
            </w:pPr>
            <w:r>
              <w:t>2</w:t>
            </w:r>
            <w:r w:rsidRPr="00013ACB">
              <w:rPr>
                <w:vertAlign w:val="superscript"/>
              </w:rPr>
              <w:t>nd</w:t>
            </w:r>
            <w:r>
              <w:t xml:space="preserve"> Round:</w:t>
            </w:r>
          </w:p>
          <w:p w14:paraId="08EEB8AF" w14:textId="77777777" w:rsidR="00BD06C4" w:rsidRPr="00C3536E" w:rsidRDefault="00BD06C4" w:rsidP="00BD06C4">
            <w:pPr>
              <w:pStyle w:val="NoSpacing"/>
              <w:rPr>
                <w:b/>
              </w:rPr>
            </w:pPr>
            <w:r>
              <w:t xml:space="preserve"> </w:t>
            </w:r>
            <w:r w:rsidRPr="00C3536E">
              <w:t xml:space="preserve">December, </w:t>
            </w:r>
          </w:p>
          <w:p w14:paraId="492FD409" w14:textId="77777777" w:rsidR="00BD06C4" w:rsidRDefault="00BD06C4" w:rsidP="00BD06C4">
            <w:pPr>
              <w:pStyle w:val="NoSpacing"/>
            </w:pPr>
            <w:r w:rsidRPr="00C3536E">
              <w:t>2020</w:t>
            </w:r>
          </w:p>
          <w:p w14:paraId="4AE63B87" w14:textId="77777777" w:rsidR="00BD06C4" w:rsidRDefault="00BD06C4" w:rsidP="00BD06C4">
            <w:pPr>
              <w:pStyle w:val="NoSpacing"/>
            </w:pPr>
          </w:p>
          <w:p w14:paraId="7D869736" w14:textId="77777777" w:rsidR="00BD06C4" w:rsidRDefault="00BD06C4" w:rsidP="00BD06C4">
            <w:pPr>
              <w:pStyle w:val="NoSpacing"/>
            </w:pPr>
            <w:r>
              <w:t>3</w:t>
            </w:r>
            <w:r w:rsidRPr="00013ACB">
              <w:rPr>
                <w:vertAlign w:val="superscript"/>
              </w:rPr>
              <w:t>rd</w:t>
            </w:r>
            <w:r>
              <w:t xml:space="preserve"> Round: </w:t>
            </w:r>
          </w:p>
          <w:p w14:paraId="2F63E569" w14:textId="77777777" w:rsidR="00BD06C4" w:rsidRPr="00C3536E" w:rsidRDefault="00BD06C4" w:rsidP="00BD06C4">
            <w:pPr>
              <w:pStyle w:val="NoSpacing"/>
              <w:rPr>
                <w:b/>
              </w:rPr>
            </w:pPr>
            <w:r w:rsidRPr="00C3536E">
              <w:t xml:space="preserve">December, </w:t>
            </w:r>
          </w:p>
          <w:p w14:paraId="2664AB1D" w14:textId="77777777" w:rsidR="00BD06C4" w:rsidRDefault="00BD06C4" w:rsidP="00BD06C4">
            <w:pPr>
              <w:pStyle w:val="NoSpacing"/>
            </w:pPr>
            <w:r>
              <w:t>2023</w:t>
            </w:r>
          </w:p>
          <w:p w14:paraId="7F053353" w14:textId="77777777" w:rsidR="00BD06C4" w:rsidRDefault="00BD06C4" w:rsidP="00BD06C4">
            <w:pPr>
              <w:pStyle w:val="NoSpacing"/>
            </w:pPr>
          </w:p>
          <w:p w14:paraId="058EF569" w14:textId="77777777" w:rsidR="00BD06C4" w:rsidRDefault="00BD06C4" w:rsidP="00BD06C4">
            <w:pPr>
              <w:pStyle w:val="NoSpacing"/>
            </w:pPr>
            <w:r>
              <w:t>4</w:t>
            </w:r>
            <w:r w:rsidRPr="00013ACB">
              <w:rPr>
                <w:vertAlign w:val="superscript"/>
              </w:rPr>
              <w:t>th</w:t>
            </w:r>
            <w:r>
              <w:t xml:space="preserve"> Round: </w:t>
            </w:r>
          </w:p>
          <w:p w14:paraId="5869732B" w14:textId="77777777" w:rsidR="00BD06C4" w:rsidRPr="00C3536E" w:rsidRDefault="00BD06C4" w:rsidP="00BD06C4">
            <w:pPr>
              <w:pStyle w:val="NoSpacing"/>
              <w:rPr>
                <w:b/>
              </w:rPr>
            </w:pPr>
            <w:r w:rsidRPr="00C3536E">
              <w:t xml:space="preserve">December, </w:t>
            </w:r>
          </w:p>
          <w:p w14:paraId="60741109" w14:textId="77777777" w:rsidR="00BD06C4" w:rsidRDefault="00BD06C4" w:rsidP="00BD06C4">
            <w:pPr>
              <w:pStyle w:val="NoSpacing"/>
            </w:pPr>
            <w:r>
              <w:t>2026</w:t>
            </w:r>
          </w:p>
          <w:p w14:paraId="5FBE6CFF" w14:textId="77777777" w:rsidR="00BD06C4" w:rsidRDefault="00BD06C4" w:rsidP="00BD06C4">
            <w:pPr>
              <w:pStyle w:val="NoSpacing"/>
            </w:pPr>
          </w:p>
          <w:p w14:paraId="27684D9A" w14:textId="77777777" w:rsidR="00BD06C4" w:rsidRDefault="00BD06C4" w:rsidP="00BD06C4">
            <w:pPr>
              <w:pStyle w:val="NoSpacing"/>
            </w:pPr>
            <w:r>
              <w:t>5</w:t>
            </w:r>
            <w:r w:rsidRPr="00013ACB">
              <w:rPr>
                <w:vertAlign w:val="superscript"/>
              </w:rPr>
              <w:t>th</w:t>
            </w:r>
            <w:r>
              <w:t xml:space="preserve"> Round: </w:t>
            </w:r>
          </w:p>
          <w:p w14:paraId="6775D40D" w14:textId="77777777" w:rsidR="00BD06C4" w:rsidRPr="00C3536E" w:rsidRDefault="00BD06C4" w:rsidP="00BD06C4">
            <w:pPr>
              <w:pStyle w:val="NoSpacing"/>
              <w:rPr>
                <w:b/>
              </w:rPr>
            </w:pPr>
            <w:r w:rsidRPr="00C3536E">
              <w:t xml:space="preserve">December, </w:t>
            </w:r>
          </w:p>
          <w:p w14:paraId="2E54DF06" w14:textId="77777777" w:rsidR="00BD06C4" w:rsidRDefault="00BD06C4" w:rsidP="00BD06C4">
            <w:pPr>
              <w:pStyle w:val="NoSpacing"/>
            </w:pPr>
            <w:r>
              <w:lastRenderedPageBreak/>
              <w:t>2029</w:t>
            </w:r>
          </w:p>
          <w:p w14:paraId="4835FA7B" w14:textId="1275A1AA" w:rsidR="00BD06C4" w:rsidRDefault="00BD06C4" w:rsidP="00BD06C4">
            <w:pPr>
              <w:pStyle w:val="NoSpacing"/>
            </w:pPr>
          </w:p>
        </w:tc>
        <w:tc>
          <w:tcPr>
            <w:tcW w:w="0" w:type="auto"/>
          </w:tcPr>
          <w:p w14:paraId="59D72F34" w14:textId="77777777" w:rsidR="00BD06C4" w:rsidRDefault="00BD06C4" w:rsidP="00BD06C4">
            <w:pPr>
              <w:pStyle w:val="NoSpacing"/>
            </w:pPr>
            <w:r>
              <w:lastRenderedPageBreak/>
              <w:t>Globally WB is responsible to provide data</w:t>
            </w:r>
          </w:p>
          <w:p w14:paraId="2F3AB4A9" w14:textId="77777777" w:rsidR="00BD06C4" w:rsidRDefault="00BD06C4" w:rsidP="00BD06C4">
            <w:pPr>
              <w:pStyle w:val="NoSpacing"/>
            </w:pPr>
          </w:p>
          <w:p w14:paraId="7A3177E8" w14:textId="77777777" w:rsidR="00BD06C4" w:rsidRDefault="00BD06C4" w:rsidP="00BD06C4">
            <w:pPr>
              <w:pStyle w:val="NoSpacing"/>
            </w:pPr>
            <w:r>
              <w:t>Data availability reviewed in Oct. 2019</w:t>
            </w:r>
          </w:p>
          <w:p w14:paraId="56D1E82E" w14:textId="77777777" w:rsidR="00BD06C4" w:rsidRDefault="00BD06C4" w:rsidP="00BD06C4">
            <w:pPr>
              <w:pStyle w:val="NoSpacing"/>
            </w:pPr>
            <w:r>
              <w:t>(classified as Tier I)</w:t>
            </w:r>
          </w:p>
          <w:p w14:paraId="4DC511F0" w14:textId="77777777" w:rsidR="00BD06C4" w:rsidRDefault="00BD06C4" w:rsidP="00BD06C4">
            <w:pPr>
              <w:pStyle w:val="NoSpacing"/>
            </w:pPr>
          </w:p>
          <w:p w14:paraId="1C4E0D3D" w14:textId="77777777" w:rsidR="00BD06C4" w:rsidRDefault="00BD06C4" w:rsidP="00BD06C4">
            <w:pPr>
              <w:pStyle w:val="NoSpacing"/>
            </w:pPr>
            <w:r>
              <w:t>IAEG-SDG 3rd meeting: Lack of sufficient data coverage (classified as Tier II)</w:t>
            </w:r>
          </w:p>
        </w:tc>
      </w:tr>
      <w:tr w:rsidR="00BD06C4" w14:paraId="4B204B52" w14:textId="77777777" w:rsidTr="00A64F0D">
        <w:tc>
          <w:tcPr>
            <w:tcW w:w="0" w:type="auto"/>
          </w:tcPr>
          <w:p w14:paraId="3FAB232D" w14:textId="77777777" w:rsidR="00BD06C4" w:rsidRDefault="00BD06C4" w:rsidP="00BD06C4">
            <w:pPr>
              <w:ind w:left="970" w:hanging="970"/>
              <w:jc w:val="both"/>
              <w:rPr>
                <w:color w:val="0070C0"/>
                <w:sz w:val="30"/>
                <w:szCs w:val="30"/>
              </w:rPr>
            </w:pPr>
          </w:p>
        </w:tc>
        <w:tc>
          <w:tcPr>
            <w:tcW w:w="0" w:type="auto"/>
            <w:gridSpan w:val="12"/>
          </w:tcPr>
          <w:p w14:paraId="237142E7"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16.6 Develop effective, accountable and transparent institutions at all levels</w:t>
            </w:r>
          </w:p>
        </w:tc>
      </w:tr>
      <w:tr w:rsidR="00BD06C4" w14:paraId="13F3E2BE" w14:textId="77777777" w:rsidTr="00A64F0D">
        <w:tc>
          <w:tcPr>
            <w:tcW w:w="0" w:type="auto"/>
          </w:tcPr>
          <w:p w14:paraId="30F6537E" w14:textId="77777777" w:rsidR="00BD06C4" w:rsidRPr="00BA046C" w:rsidRDefault="00BD06C4" w:rsidP="00BD06C4">
            <w:pPr>
              <w:pStyle w:val="NoSpacing"/>
            </w:pPr>
            <w:r w:rsidRPr="00BA046C">
              <w:t>16.6.1 Primary government expenditures as a proportion of original approved budget, by sector (or by budget codes or similar)</w:t>
            </w:r>
          </w:p>
        </w:tc>
        <w:tc>
          <w:tcPr>
            <w:tcW w:w="0" w:type="auto"/>
          </w:tcPr>
          <w:p w14:paraId="74EDE648" w14:textId="77777777" w:rsidR="00BD06C4" w:rsidRDefault="00BD06C4" w:rsidP="00BD06C4">
            <w:pPr>
              <w:ind w:left="970" w:hanging="970"/>
              <w:jc w:val="both"/>
              <w:rPr>
                <w:color w:val="0070C0"/>
                <w:sz w:val="30"/>
                <w:szCs w:val="30"/>
              </w:rPr>
            </w:pPr>
          </w:p>
          <w:p w14:paraId="65A84C5E" w14:textId="77777777" w:rsidR="00BD06C4" w:rsidRDefault="00BD06C4" w:rsidP="00BD06C4">
            <w:pPr>
              <w:pStyle w:val="NoSpacing"/>
            </w:pPr>
            <w:r w:rsidRPr="007145C8">
              <w:t>World Bank</w:t>
            </w:r>
          </w:p>
        </w:tc>
        <w:tc>
          <w:tcPr>
            <w:tcW w:w="0" w:type="auto"/>
          </w:tcPr>
          <w:p w14:paraId="0486A7DD" w14:textId="77777777" w:rsidR="00BD06C4" w:rsidRDefault="00BD06C4" w:rsidP="00BD06C4">
            <w:pPr>
              <w:ind w:left="970" w:hanging="970"/>
              <w:jc w:val="both"/>
              <w:rPr>
                <w:color w:val="0070C0"/>
                <w:sz w:val="30"/>
                <w:szCs w:val="30"/>
              </w:rPr>
            </w:pPr>
            <w:r w:rsidRPr="00666BAB">
              <w:t>Tier II</w:t>
            </w:r>
          </w:p>
        </w:tc>
        <w:tc>
          <w:tcPr>
            <w:tcW w:w="0" w:type="auto"/>
          </w:tcPr>
          <w:p w14:paraId="3CE28A79" w14:textId="77777777" w:rsidR="00BD06C4" w:rsidRPr="009975C4" w:rsidRDefault="00BD06C4" w:rsidP="00BD06C4">
            <w:pPr>
              <w:pStyle w:val="NoSpacing"/>
              <w:rPr>
                <w:lang w:val="en-GB"/>
              </w:rPr>
            </w:pPr>
            <w:r w:rsidRPr="009975C4">
              <w:rPr>
                <w:b/>
                <w:bCs/>
                <w:lang w:val="en-GB"/>
              </w:rPr>
              <w:t>Definition:</w:t>
            </w:r>
          </w:p>
          <w:p w14:paraId="59E71ED8" w14:textId="77777777" w:rsidR="00BD06C4" w:rsidRPr="009975C4" w:rsidRDefault="00BD06C4" w:rsidP="00BD06C4">
            <w:pPr>
              <w:pStyle w:val="NoSpacing"/>
              <w:rPr>
                <w:lang w:val="en-GB"/>
              </w:rPr>
            </w:pPr>
          </w:p>
          <w:p w14:paraId="12972AF9" w14:textId="77777777" w:rsidR="00BD06C4" w:rsidRPr="009975C4" w:rsidRDefault="00BD06C4" w:rsidP="00BD06C4">
            <w:pPr>
              <w:pStyle w:val="NoSpacing"/>
              <w:rPr>
                <w:lang w:val="en-GB"/>
              </w:rPr>
            </w:pPr>
            <w:r w:rsidRPr="009975C4">
              <w:rPr>
                <w:lang w:val="en-GB"/>
              </w:rPr>
              <w:t>Primary government expenditures as a proportion of original approved budget</w:t>
            </w:r>
          </w:p>
          <w:p w14:paraId="4C585884" w14:textId="77777777" w:rsidR="00BD06C4" w:rsidRPr="009975C4" w:rsidRDefault="00BD06C4" w:rsidP="00BD06C4">
            <w:pPr>
              <w:pStyle w:val="NoSpacing"/>
              <w:rPr>
                <w:lang w:val="en-GB"/>
              </w:rPr>
            </w:pPr>
          </w:p>
          <w:p w14:paraId="7448936C" w14:textId="77777777" w:rsidR="00BD06C4" w:rsidRPr="009975C4" w:rsidRDefault="00BD06C4" w:rsidP="00BD06C4">
            <w:pPr>
              <w:pStyle w:val="NoSpacing"/>
              <w:rPr>
                <w:lang w:val="en-GB"/>
              </w:rPr>
            </w:pPr>
            <w:r w:rsidRPr="009975C4">
              <w:rPr>
                <w:lang w:val="en-GB"/>
              </w:rPr>
              <w:t>This indicator measures the extent to which aggregate budget expenditure outturn reflects the amount originally approved, as defined in government budget documentation and fiscal reports. The coverage is budgetary central government (BCG) and the time period covered is the last three completed fiscal years.</w:t>
            </w:r>
          </w:p>
          <w:p w14:paraId="1F4C7D6A" w14:textId="77777777" w:rsidR="00BD06C4" w:rsidRPr="009975C4" w:rsidRDefault="00BD06C4" w:rsidP="00BD06C4">
            <w:pPr>
              <w:pStyle w:val="NoSpacing"/>
              <w:rPr>
                <w:lang w:val="en-GB"/>
              </w:rPr>
            </w:pPr>
          </w:p>
          <w:p w14:paraId="547403A1" w14:textId="77777777" w:rsidR="00BD06C4" w:rsidRPr="009975C4" w:rsidRDefault="00BD06C4" w:rsidP="00BD06C4">
            <w:pPr>
              <w:pStyle w:val="NoSpacing"/>
              <w:rPr>
                <w:lang w:val="en-GB"/>
              </w:rPr>
            </w:pPr>
            <w:r w:rsidRPr="009975C4">
              <w:rPr>
                <w:b/>
                <w:bCs/>
                <w:lang w:val="en-GB"/>
              </w:rPr>
              <w:t>Concepts:</w:t>
            </w:r>
          </w:p>
          <w:p w14:paraId="01BC1334" w14:textId="77777777" w:rsidR="00BD06C4" w:rsidRPr="009975C4" w:rsidRDefault="00BD06C4" w:rsidP="00BD06C4">
            <w:pPr>
              <w:pStyle w:val="NoSpacing"/>
              <w:rPr>
                <w:lang w:val="en-GB"/>
              </w:rPr>
            </w:pPr>
          </w:p>
          <w:p w14:paraId="273971F5" w14:textId="77777777" w:rsidR="00BD06C4" w:rsidRPr="009975C4" w:rsidRDefault="00BD06C4" w:rsidP="00BD06C4">
            <w:pPr>
              <w:pStyle w:val="NoSpacing"/>
              <w:rPr>
                <w:lang w:val="en-GB"/>
              </w:rPr>
            </w:pPr>
            <w:r w:rsidRPr="009975C4">
              <w:rPr>
                <w:lang w:val="en-GB"/>
              </w:rPr>
              <w:t>Aggregate expenditure includes actual expenditures incorporating those incurred as a result of unplanned or exceptional events—for example, armed conflicts or natural disasters. Expenditures financed by windfall revenues, including privatization, should be included and noted in the supporting fiscal tables and narrative. Expenditures financed externally by loans or grants should be included, if covered by the budget, along with contingency vote(s) and interest on debt. Expenditure assigned to suspense accounts is not included in the aggregate. However, if amounts are held in suspense accounts at the end of any year that could affect the scores if included in the calculations, they can be included. In such cases the reason(s) for inclusion must be clearly stated.</w:t>
            </w:r>
          </w:p>
          <w:p w14:paraId="61D58318" w14:textId="77777777" w:rsidR="00BD06C4" w:rsidRPr="009975C4" w:rsidRDefault="00BD06C4" w:rsidP="00BD06C4">
            <w:pPr>
              <w:pStyle w:val="NoSpacing"/>
              <w:rPr>
                <w:lang w:val="en-GB"/>
              </w:rPr>
            </w:pPr>
          </w:p>
          <w:p w14:paraId="57131E50" w14:textId="77777777" w:rsidR="00BD06C4" w:rsidRPr="009975C4" w:rsidRDefault="00BD06C4" w:rsidP="00BD06C4">
            <w:pPr>
              <w:pStyle w:val="NoSpacing"/>
              <w:rPr>
                <w:lang w:val="en-GB"/>
              </w:rPr>
            </w:pPr>
            <w:r w:rsidRPr="009975C4">
              <w:rPr>
                <w:lang w:val="en-GB"/>
              </w:rPr>
              <w:t xml:space="preserve">Actual expenditure outturns can deviate from the originally approved budget for reasons unrelated to the accuracy of </w:t>
            </w:r>
            <w:r w:rsidRPr="009975C4">
              <w:rPr>
                <w:lang w:val="en-GB"/>
              </w:rPr>
              <w:lastRenderedPageBreak/>
              <w:t>forecasts—for example, as a result of a major macroeconomic shock. The calibration of this indicator accommodates one unusual or “outlier” year and focuses on deviations from the forecast which occur in two of the three years covered by the assessment.</w:t>
            </w:r>
          </w:p>
          <w:p w14:paraId="137EC0CD" w14:textId="77777777" w:rsidR="00BD06C4" w:rsidRPr="009975C4" w:rsidRDefault="00BD06C4" w:rsidP="00BD06C4">
            <w:pPr>
              <w:pStyle w:val="NoSpacing"/>
              <w:rPr>
                <w:lang w:val="en-GB"/>
              </w:rPr>
            </w:pPr>
          </w:p>
          <w:p w14:paraId="00B734DE" w14:textId="77777777" w:rsidR="00BD06C4" w:rsidRPr="009975C4" w:rsidRDefault="00BD06C4" w:rsidP="00BD06C4">
            <w:pPr>
              <w:pStyle w:val="NoSpacing"/>
              <w:rPr>
                <w:lang w:val="en-GB"/>
              </w:rPr>
            </w:pPr>
            <w:r w:rsidRPr="009975C4">
              <w:rPr>
                <w:lang w:val="en-GB"/>
              </w:rPr>
              <w:t>Very detailed resources are available at: http://www.pefa.org/en/content/pefa-2016-framework. The document “Framework for assessing public financial management” is extremely useful (https://www.pefa.org/sites/pefa.org/files/attachments/PEFA%20Framework_English.pdf). There are seven Public Expenditure and Financial Accountability (PEFA) Performance pillars containing a total of 31 indicators. The pillar containing this indicator is part of Pillar I which measures Budget reliability.</w:t>
            </w:r>
          </w:p>
          <w:p w14:paraId="0F73EB90" w14:textId="77777777" w:rsidR="00BD06C4" w:rsidRPr="009975C4" w:rsidRDefault="00BD06C4" w:rsidP="00BD06C4">
            <w:pPr>
              <w:pStyle w:val="NoSpacing"/>
              <w:rPr>
                <w:lang w:val="en-GB"/>
              </w:rPr>
            </w:pPr>
          </w:p>
          <w:p w14:paraId="6D20AEA8" w14:textId="77777777" w:rsidR="00BD06C4" w:rsidRPr="009975C4" w:rsidRDefault="00BD06C4" w:rsidP="00BD06C4">
            <w:pPr>
              <w:pStyle w:val="NoSpacing"/>
              <w:rPr>
                <w:lang w:val="en-GB"/>
              </w:rPr>
            </w:pPr>
            <w:r w:rsidRPr="009975C4">
              <w:rPr>
                <w:b/>
                <w:bCs/>
                <w:lang w:val="en-GB"/>
              </w:rPr>
              <w:t>Comments and limitations:</w:t>
            </w:r>
          </w:p>
          <w:p w14:paraId="19D942FB" w14:textId="77777777" w:rsidR="00BD06C4" w:rsidRPr="009975C4" w:rsidRDefault="00BD06C4" w:rsidP="00BD06C4">
            <w:pPr>
              <w:pStyle w:val="NoSpacing"/>
              <w:rPr>
                <w:lang w:val="en-GB"/>
              </w:rPr>
            </w:pPr>
          </w:p>
          <w:p w14:paraId="3EEB4E42" w14:textId="77777777" w:rsidR="00BD06C4" w:rsidRPr="009975C4" w:rsidRDefault="00BD06C4" w:rsidP="00BD06C4">
            <w:pPr>
              <w:pStyle w:val="NoSpacing"/>
              <w:rPr>
                <w:lang w:val="en-GB"/>
              </w:rPr>
            </w:pPr>
            <w:r w:rsidRPr="009975C4">
              <w:rPr>
                <w:lang w:val="en-GB"/>
              </w:rPr>
              <w:t>Although not all countries have used the methodology on an annual basis for this indicator, the methodology relies on standard data sets for approved and final budget outturns which are commonly produced at least annually in every country. The countries that have not used the methodology to date are primarily highly developed countries which would have less difficulty in providing the necessary data than those in the lower and middle income categories that have been primary users of Public Expenditure and Financial Accountability (PEFA) to date.</w:t>
            </w:r>
          </w:p>
          <w:p w14:paraId="642600DB" w14:textId="77777777" w:rsidR="00BD06C4" w:rsidRPr="009975C4" w:rsidRDefault="00BD06C4" w:rsidP="00BD06C4">
            <w:pPr>
              <w:pStyle w:val="NoSpacing"/>
              <w:rPr>
                <w:lang w:val="en-GB"/>
              </w:rPr>
            </w:pPr>
          </w:p>
          <w:p w14:paraId="20FBCB52" w14:textId="77777777" w:rsidR="00BD06C4" w:rsidRPr="009975C4" w:rsidRDefault="00BD06C4" w:rsidP="00BD06C4">
            <w:pPr>
              <w:pStyle w:val="NoSpacing"/>
              <w:rPr>
                <w:lang w:val="en-GB"/>
              </w:rPr>
            </w:pPr>
            <w:r w:rsidRPr="009975C4">
              <w:rPr>
                <w:lang w:val="en-GB"/>
              </w:rPr>
              <w:t>One limitation of the indicator is that it is an aggregate indicator of budget reliability. While it can be disaggregated across regions, it is not disaggregated across various budget subcomponents. Different indicators are used for assessing changes in expenditure composition in the PEFA framework. Also, while this indicator is intended to measure budget reliability it should be understood that actual expenditure outturns can deviate from the originally approved budget for reasons unrelated to the accuracy of forecasts—for example, as a result of a major macroeconomic shock. However, the calibration of this indicator accommodates one unusual or “outlier” year and focuses on deviations from the forecast which occur in two of the three years covered by the assessment. Therefore, single year shocks are discounted allowing a more balanced assessment.</w:t>
            </w:r>
          </w:p>
          <w:p w14:paraId="76B3C2A1" w14:textId="77777777" w:rsidR="00BD06C4" w:rsidRPr="009975C4" w:rsidRDefault="00BD06C4" w:rsidP="00BD06C4">
            <w:pPr>
              <w:pStyle w:val="NoSpacing"/>
              <w:rPr>
                <w:lang w:val="en-GB"/>
              </w:rPr>
            </w:pPr>
          </w:p>
          <w:p w14:paraId="693EA361" w14:textId="77777777" w:rsidR="00BD06C4" w:rsidRPr="009975C4" w:rsidRDefault="00BD06C4" w:rsidP="00BD06C4">
            <w:pPr>
              <w:pStyle w:val="NoSpacing"/>
              <w:rPr>
                <w:lang w:val="en-GB"/>
              </w:rPr>
            </w:pPr>
            <w:r w:rsidRPr="009975C4">
              <w:rPr>
                <w:lang w:val="en-GB"/>
              </w:rPr>
              <w:t>The broader context in which the indicator was developed is as follows. PEFA is a tool for assessing the status of public financial management and reporting on the strengths and weaknesses of Public Financial Management (PFM). A PEFA assessment provides a thorough, consistent and evidence-based analysis of PFM performance at a specific point in time and can be reapplied in successive assessments to track changes over time. The PEFA framework provides the foundation for evidence-based measurement of countries’ PFM systems using 31 performance indicators that are further disaggregated into 94 dimensions. A PEFA assessment measures the extent to which PFM systems, processes and institutions contribute to the achievement of desirable budget outcomes: aggregate fiscal discipline, strategic allocation of resources, and efficient service delivery.</w:t>
            </w:r>
          </w:p>
          <w:p w14:paraId="230EBB0C" w14:textId="77777777" w:rsidR="00BD06C4" w:rsidRPr="009975C4" w:rsidRDefault="00BD06C4" w:rsidP="00BD06C4">
            <w:pPr>
              <w:pStyle w:val="NoSpacing"/>
              <w:rPr>
                <w:b/>
                <w:bCs/>
                <w:lang w:val="en-GB"/>
              </w:rPr>
            </w:pPr>
          </w:p>
          <w:p w14:paraId="072A8A0A" w14:textId="77777777" w:rsidR="00BD06C4" w:rsidRPr="009975C4" w:rsidRDefault="00BD06C4" w:rsidP="00BD06C4">
            <w:pPr>
              <w:pStyle w:val="NoSpacing"/>
              <w:rPr>
                <w:lang w:val="en-GB"/>
              </w:rPr>
            </w:pPr>
            <w:r w:rsidRPr="009975C4">
              <w:rPr>
                <w:b/>
                <w:bCs/>
                <w:lang w:val="en-GB"/>
              </w:rPr>
              <w:t>Computation Method:</w:t>
            </w:r>
          </w:p>
          <w:p w14:paraId="05FE4A79" w14:textId="77777777" w:rsidR="00BD06C4" w:rsidRPr="009975C4" w:rsidRDefault="00BD06C4" w:rsidP="00BD06C4">
            <w:pPr>
              <w:pStyle w:val="NoSpacing"/>
              <w:rPr>
                <w:lang w:val="en-GB"/>
              </w:rPr>
            </w:pPr>
          </w:p>
          <w:p w14:paraId="077BB736" w14:textId="77777777" w:rsidR="00BD06C4" w:rsidRPr="009975C4" w:rsidRDefault="00BD06C4" w:rsidP="00BD06C4">
            <w:pPr>
              <w:pStyle w:val="NoSpacing"/>
              <w:rPr>
                <w:lang w:val="en-GB"/>
              </w:rPr>
            </w:pPr>
            <w:r w:rsidRPr="009975C4">
              <w:rPr>
                <w:lang w:val="en-GB"/>
              </w:rPr>
              <w:lastRenderedPageBreak/>
              <w:t>The methodology for calculating this indicator is provided in a spreadsheet (titled “En PI-1 and PI-2 Exp Calculation-Feb 1 2016 (xls)”) on the PEFA website (http://www.pefa.org/en/content/pefa-2016-framework). It is also detailed in part 2 of the document “Framework for assessing public financial management” (https://www.pefa.org/sites/pefa.org/files/attachments/PEFA%20Framework_English.pdf).</w:t>
            </w:r>
          </w:p>
          <w:p w14:paraId="30304F63" w14:textId="77777777" w:rsidR="00BD06C4" w:rsidRPr="009975C4" w:rsidRDefault="00BD06C4" w:rsidP="00BD06C4">
            <w:pPr>
              <w:pStyle w:val="NoSpacing"/>
              <w:rPr>
                <w:lang w:val="en-GB"/>
              </w:rPr>
            </w:pPr>
          </w:p>
          <w:p w14:paraId="4862485B" w14:textId="77777777" w:rsidR="00BD06C4" w:rsidRPr="009975C4" w:rsidRDefault="00BD06C4" w:rsidP="00BD06C4">
            <w:pPr>
              <w:pStyle w:val="NoSpacing"/>
              <w:rPr>
                <w:lang w:val="en-GB"/>
              </w:rPr>
            </w:pPr>
            <w:r w:rsidRPr="009975C4">
              <w:rPr>
                <w:lang w:val="en-GB"/>
              </w:rPr>
              <w:t xml:space="preserve">Scoring is at the heart of the indicator. A country is scored separately on a four-point ordinal scale: A, B, C, or D, according to precise criteria: </w:t>
            </w:r>
          </w:p>
          <w:p w14:paraId="7D7E9828" w14:textId="77777777" w:rsidR="00BD06C4" w:rsidRPr="009975C4" w:rsidRDefault="00BD06C4" w:rsidP="00BD06C4">
            <w:pPr>
              <w:pStyle w:val="NoSpacing"/>
              <w:rPr>
                <w:lang w:val="en-GB"/>
              </w:rPr>
            </w:pPr>
            <w:r w:rsidRPr="009975C4">
              <w:rPr>
                <w:lang w:val="en-GB"/>
              </w:rPr>
              <w:t>(A) Aggregate expenditure outturn was between 95% and 105% of the approved aggregate budgeted expenditure in at least two of the last three years.</w:t>
            </w:r>
          </w:p>
          <w:p w14:paraId="7CA03335" w14:textId="77777777" w:rsidR="00BD06C4" w:rsidRPr="009975C4" w:rsidRDefault="00BD06C4" w:rsidP="00BD06C4">
            <w:pPr>
              <w:pStyle w:val="NoSpacing"/>
              <w:rPr>
                <w:lang w:val="en-GB"/>
              </w:rPr>
            </w:pPr>
            <w:r w:rsidRPr="009975C4">
              <w:rPr>
                <w:lang w:val="en-GB"/>
              </w:rPr>
              <w:t>(B) Aggregate expenditure outturn was between 90% and 110% of the approved aggregate budgeted expenditure in at least two of the last three years.</w:t>
            </w:r>
          </w:p>
          <w:p w14:paraId="28D9820C" w14:textId="77777777" w:rsidR="00BD06C4" w:rsidRPr="009975C4" w:rsidRDefault="00BD06C4" w:rsidP="00BD06C4">
            <w:pPr>
              <w:pStyle w:val="NoSpacing"/>
              <w:rPr>
                <w:lang w:val="en-GB"/>
              </w:rPr>
            </w:pPr>
            <w:r w:rsidRPr="009975C4">
              <w:rPr>
                <w:lang w:val="en-GB"/>
              </w:rPr>
              <w:t>(C Aggregate expenditure outturn was between 85% and 115% of the approved aggregate budgeted expenditure in at least two of the last three years.</w:t>
            </w:r>
          </w:p>
          <w:p w14:paraId="3B5EE1B3" w14:textId="77777777" w:rsidR="00BD06C4" w:rsidRPr="009975C4" w:rsidRDefault="00BD06C4" w:rsidP="00BD06C4">
            <w:pPr>
              <w:pStyle w:val="NoSpacing"/>
              <w:rPr>
                <w:lang w:val="en-GB"/>
              </w:rPr>
            </w:pPr>
            <w:r w:rsidRPr="009975C4">
              <w:rPr>
                <w:lang w:val="en-GB"/>
              </w:rPr>
              <w:t>(D) Performance is less than required for a C score.</w:t>
            </w:r>
          </w:p>
          <w:p w14:paraId="4205539D" w14:textId="77777777" w:rsidR="00BD06C4" w:rsidRPr="009975C4" w:rsidRDefault="00BD06C4" w:rsidP="00BD06C4">
            <w:pPr>
              <w:pStyle w:val="NoSpacing"/>
              <w:rPr>
                <w:lang w:val="en-GB"/>
              </w:rPr>
            </w:pPr>
          </w:p>
          <w:p w14:paraId="616581BA" w14:textId="77777777" w:rsidR="00BD06C4" w:rsidRPr="009975C4" w:rsidRDefault="00BD06C4" w:rsidP="00BD06C4">
            <w:pPr>
              <w:pStyle w:val="NoSpacing"/>
              <w:rPr>
                <w:lang w:val="en-GB"/>
              </w:rPr>
            </w:pPr>
            <w:r w:rsidRPr="009975C4">
              <w:rPr>
                <w:lang w:val="en-GB"/>
              </w:rPr>
              <w:t>In order to justify a particular score, every aspect specified in the scoring requirements must be fulfilled. If the requirements are only partly met, the criteria are not satisfied and a lower score should be given that coincides with achievement of all requirements for the lower performance rating. A score of C reflects the basic level of performance for each indicator and dimension, consistent with good international practices. A score of D means that the feature being measured is present at less than the basic level of performance or is absent altogether, or that there is insufficient information to score the dimension.</w:t>
            </w:r>
          </w:p>
          <w:p w14:paraId="0E2EB8A8" w14:textId="77777777" w:rsidR="00BD06C4" w:rsidRPr="009975C4" w:rsidRDefault="00BD06C4" w:rsidP="00BD06C4">
            <w:pPr>
              <w:pStyle w:val="NoSpacing"/>
              <w:rPr>
                <w:lang w:val="en-GB"/>
              </w:rPr>
            </w:pPr>
          </w:p>
          <w:p w14:paraId="316EB0B7" w14:textId="77777777" w:rsidR="00BD06C4" w:rsidRPr="009975C4" w:rsidRDefault="00BD06C4" w:rsidP="00BD06C4">
            <w:pPr>
              <w:pStyle w:val="NoSpacing"/>
              <w:rPr>
                <w:lang w:val="en-GB"/>
              </w:rPr>
            </w:pPr>
            <w:r w:rsidRPr="009975C4">
              <w:rPr>
                <w:lang w:val="en-GB"/>
              </w:rPr>
              <w:t>The D score indicates performance that falls below the basic level. ‘D’ is applied if the performance observed is less than required for any higher score. For this reason, a D score is warranted when sufficient information is not available to establish the actual level of performance. A score of D due to insufficient information is distinguished from D scores for low-level performance by the use of an asterisk—that is, D* at the dimension level. The asterisk is not included at the indicator level.</w:t>
            </w:r>
          </w:p>
          <w:p w14:paraId="7E7E3258" w14:textId="77777777" w:rsidR="00BD06C4" w:rsidRPr="009975C4" w:rsidRDefault="00BD06C4" w:rsidP="00BD06C4">
            <w:pPr>
              <w:pStyle w:val="NoSpacing"/>
              <w:rPr>
                <w:lang w:val="en-GB"/>
              </w:rPr>
            </w:pPr>
          </w:p>
          <w:p w14:paraId="4A5E6051" w14:textId="77777777" w:rsidR="00BD06C4" w:rsidRPr="009975C4" w:rsidRDefault="00BD06C4" w:rsidP="00BD06C4">
            <w:pPr>
              <w:pStyle w:val="NoSpacing"/>
              <w:rPr>
                <w:lang w:val="en-GB"/>
              </w:rPr>
            </w:pPr>
            <w:r w:rsidRPr="009975C4">
              <w:rPr>
                <w:lang w:val="en-GB"/>
              </w:rPr>
              <w:t>The coverage is budgetary central government (BCG) and requires data for three consecutive years as a basis for assessment. The data would cover the most recent completed fiscal year for which data is available and the two immediately preceding years.</w:t>
            </w:r>
          </w:p>
          <w:p w14:paraId="21A1D121" w14:textId="77777777" w:rsidR="00BD06C4" w:rsidRDefault="00BD06C4" w:rsidP="00BD06C4">
            <w:pPr>
              <w:pStyle w:val="NoSpacing"/>
            </w:pPr>
          </w:p>
          <w:p w14:paraId="57E0A053" w14:textId="77777777" w:rsidR="00BD06C4" w:rsidRDefault="00BD06C4" w:rsidP="00BD06C4">
            <w:pPr>
              <w:pStyle w:val="NoSpacing"/>
            </w:pPr>
          </w:p>
        </w:tc>
        <w:tc>
          <w:tcPr>
            <w:tcW w:w="0" w:type="auto"/>
          </w:tcPr>
          <w:p w14:paraId="5F7378FA" w14:textId="77777777" w:rsidR="00BD06C4" w:rsidRPr="00873FDE" w:rsidRDefault="00BD06C4" w:rsidP="00BD06C4">
            <w:pPr>
              <w:rPr>
                <w:szCs w:val="22"/>
              </w:rPr>
            </w:pPr>
            <w:r w:rsidRPr="00873FDE">
              <w:rPr>
                <w:szCs w:val="22"/>
              </w:rPr>
              <w:lastRenderedPageBreak/>
              <w:t>Not applicable.</w:t>
            </w:r>
          </w:p>
        </w:tc>
        <w:tc>
          <w:tcPr>
            <w:tcW w:w="0" w:type="auto"/>
          </w:tcPr>
          <w:p w14:paraId="6BF4ED14" w14:textId="77777777" w:rsidR="00BD06C4" w:rsidRPr="00873FDE" w:rsidRDefault="00BD06C4" w:rsidP="00BD06C4">
            <w:pPr>
              <w:rPr>
                <w:szCs w:val="22"/>
              </w:rPr>
            </w:pPr>
            <w:r w:rsidRPr="00873FDE">
              <w:rPr>
                <w:szCs w:val="22"/>
              </w:rPr>
              <w:t>Ministry of Finances of countries</w:t>
            </w:r>
          </w:p>
        </w:tc>
        <w:tc>
          <w:tcPr>
            <w:tcW w:w="0" w:type="auto"/>
          </w:tcPr>
          <w:p w14:paraId="2E380570" w14:textId="77777777" w:rsidR="00BD06C4" w:rsidRDefault="00BD06C4" w:rsidP="00BD06C4">
            <w:pPr>
              <w:pStyle w:val="NoSpacing"/>
            </w:pPr>
            <w:r>
              <w:t>FD</w:t>
            </w:r>
          </w:p>
          <w:p w14:paraId="36356631" w14:textId="77777777" w:rsidR="00BD06C4" w:rsidRDefault="00BD06C4" w:rsidP="00BD06C4">
            <w:pPr>
              <w:pStyle w:val="NoSpacing"/>
            </w:pPr>
            <w:r>
              <w:t>Administrative Data</w:t>
            </w:r>
          </w:p>
        </w:tc>
        <w:tc>
          <w:tcPr>
            <w:tcW w:w="0" w:type="auto"/>
          </w:tcPr>
          <w:p w14:paraId="399E2ABC" w14:textId="77777777" w:rsidR="00BD06C4" w:rsidRDefault="00BD06C4" w:rsidP="00BD06C4">
            <w:pPr>
              <w:pStyle w:val="NoSpacing"/>
            </w:pPr>
            <w:r>
              <w:t>FD</w:t>
            </w:r>
          </w:p>
          <w:p w14:paraId="03DA4C56" w14:textId="77777777" w:rsidR="00BD06C4" w:rsidRDefault="00BD06C4" w:rsidP="00BD06C4">
            <w:pPr>
              <w:pStyle w:val="NoSpacing"/>
              <w:rPr>
                <w:color w:val="0070C0"/>
                <w:sz w:val="30"/>
                <w:szCs w:val="30"/>
              </w:rPr>
            </w:pPr>
            <w:r>
              <w:t>Administrative Data</w:t>
            </w:r>
          </w:p>
        </w:tc>
        <w:tc>
          <w:tcPr>
            <w:tcW w:w="0" w:type="auto"/>
          </w:tcPr>
          <w:p w14:paraId="68AF3124"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Budget code:</w:t>
            </w:r>
          </w:p>
          <w:p w14:paraId="23FD313C"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Sector: Education/Agriculture/Health/ SSNP/ICT/ Gender /etc.</w:t>
            </w:r>
          </w:p>
          <w:p w14:paraId="435687A4" w14:textId="77777777" w:rsidR="00BD06C4" w:rsidRDefault="00BD06C4" w:rsidP="00BD06C4">
            <w:pPr>
              <w:ind w:left="970" w:hanging="970"/>
              <w:jc w:val="both"/>
              <w:rPr>
                <w:color w:val="0070C0"/>
                <w:sz w:val="30"/>
                <w:szCs w:val="30"/>
              </w:rPr>
            </w:pPr>
          </w:p>
        </w:tc>
        <w:tc>
          <w:tcPr>
            <w:tcW w:w="0" w:type="auto"/>
          </w:tcPr>
          <w:p w14:paraId="699E64EF" w14:textId="77777777" w:rsidR="00BD06C4" w:rsidRDefault="00BD06C4" w:rsidP="00BD06C4">
            <w:pPr>
              <w:ind w:left="970" w:hanging="970"/>
              <w:jc w:val="both"/>
              <w:rPr>
                <w:color w:val="0070C0"/>
                <w:sz w:val="30"/>
                <w:szCs w:val="30"/>
              </w:rPr>
            </w:pPr>
            <w:r>
              <w:t>Annual</w:t>
            </w:r>
          </w:p>
        </w:tc>
        <w:tc>
          <w:tcPr>
            <w:tcW w:w="0" w:type="auto"/>
          </w:tcPr>
          <w:p w14:paraId="7C93142A" w14:textId="77777777" w:rsidR="00BD06C4" w:rsidRDefault="00BD06C4" w:rsidP="00BD06C4">
            <w:pPr>
              <w:ind w:left="970" w:hanging="970"/>
              <w:jc w:val="both"/>
              <w:rPr>
                <w:color w:val="0070C0"/>
                <w:sz w:val="30"/>
                <w:szCs w:val="30"/>
              </w:rPr>
            </w:pPr>
            <w:r>
              <w:t>Group 1</w:t>
            </w:r>
          </w:p>
        </w:tc>
        <w:tc>
          <w:tcPr>
            <w:tcW w:w="0" w:type="auto"/>
          </w:tcPr>
          <w:p w14:paraId="08FCBD07" w14:textId="77777777" w:rsidR="00BD06C4" w:rsidRDefault="00BD06C4" w:rsidP="00BD06C4">
            <w:pPr>
              <w:pStyle w:val="NoSpacing"/>
            </w:pPr>
            <w:r>
              <w:t>1</w:t>
            </w:r>
            <w:r w:rsidRPr="00013ACB">
              <w:rPr>
                <w:vertAlign w:val="superscript"/>
              </w:rPr>
              <w:t>st</w:t>
            </w:r>
            <w:r>
              <w:t xml:space="preserve"> Round:</w:t>
            </w:r>
          </w:p>
          <w:p w14:paraId="62EC72D5" w14:textId="77777777" w:rsidR="00BD06C4" w:rsidRPr="00D527C8" w:rsidRDefault="00BD06C4" w:rsidP="00BD06C4">
            <w:pPr>
              <w:ind w:left="970" w:hanging="970"/>
              <w:jc w:val="both"/>
              <w:rPr>
                <w:color w:val="000000" w:themeColor="text1"/>
                <w:sz w:val="22"/>
                <w:szCs w:val="30"/>
              </w:rPr>
            </w:pPr>
            <w:r w:rsidRPr="00D527C8">
              <w:rPr>
                <w:color w:val="000000" w:themeColor="text1"/>
                <w:sz w:val="22"/>
                <w:szCs w:val="30"/>
              </w:rPr>
              <w:t>2015</w:t>
            </w:r>
          </w:p>
          <w:p w14:paraId="23FE458C" w14:textId="77777777" w:rsidR="00BD06C4" w:rsidRDefault="00BD06C4" w:rsidP="00BD06C4">
            <w:pPr>
              <w:pStyle w:val="NoSpacing"/>
            </w:pPr>
          </w:p>
          <w:p w14:paraId="6CBEE279" w14:textId="77777777" w:rsidR="00BD06C4" w:rsidRDefault="00BD06C4" w:rsidP="00BD06C4">
            <w:pPr>
              <w:pStyle w:val="NoSpacing"/>
            </w:pPr>
            <w:r>
              <w:t>2</w:t>
            </w:r>
            <w:r w:rsidRPr="00013ACB">
              <w:rPr>
                <w:vertAlign w:val="superscript"/>
              </w:rPr>
              <w:t>nd</w:t>
            </w:r>
            <w:r>
              <w:t xml:space="preserve"> Round:</w:t>
            </w:r>
          </w:p>
          <w:p w14:paraId="72033B42" w14:textId="77777777" w:rsidR="00BD06C4" w:rsidRDefault="00BD06C4" w:rsidP="00BD06C4">
            <w:pPr>
              <w:pStyle w:val="NoSpacing"/>
            </w:pPr>
            <w:r>
              <w:t>June 2020</w:t>
            </w:r>
          </w:p>
          <w:p w14:paraId="01054433" w14:textId="77777777" w:rsidR="00BD06C4" w:rsidRDefault="00BD06C4" w:rsidP="00BD06C4">
            <w:pPr>
              <w:pStyle w:val="NoSpacing"/>
            </w:pPr>
          </w:p>
          <w:p w14:paraId="4215F753" w14:textId="77777777" w:rsidR="00BD06C4" w:rsidRDefault="00BD06C4" w:rsidP="00BD06C4">
            <w:pPr>
              <w:pStyle w:val="NoSpacing"/>
            </w:pPr>
            <w:r>
              <w:t>3</w:t>
            </w:r>
            <w:r w:rsidRPr="00013ACB">
              <w:rPr>
                <w:vertAlign w:val="superscript"/>
              </w:rPr>
              <w:t>rd</w:t>
            </w:r>
            <w:r>
              <w:t xml:space="preserve"> Round: </w:t>
            </w:r>
          </w:p>
          <w:p w14:paraId="5FBDF7BB" w14:textId="77777777" w:rsidR="00BD06C4" w:rsidRDefault="00BD06C4" w:rsidP="00BD06C4">
            <w:pPr>
              <w:pStyle w:val="NoSpacing"/>
            </w:pPr>
            <w:r>
              <w:t>June 2021</w:t>
            </w:r>
          </w:p>
          <w:p w14:paraId="15D5984E" w14:textId="77777777" w:rsidR="00BD06C4" w:rsidRDefault="00BD06C4" w:rsidP="00BD06C4">
            <w:pPr>
              <w:pStyle w:val="NoSpacing"/>
            </w:pPr>
          </w:p>
          <w:p w14:paraId="3E4093DF" w14:textId="77777777" w:rsidR="00BD06C4" w:rsidRDefault="00BD06C4" w:rsidP="00BD06C4">
            <w:pPr>
              <w:pStyle w:val="NoSpacing"/>
            </w:pPr>
            <w:r>
              <w:t>4</w:t>
            </w:r>
            <w:r w:rsidRPr="00013ACB">
              <w:rPr>
                <w:vertAlign w:val="superscript"/>
              </w:rPr>
              <w:t>th</w:t>
            </w:r>
            <w:r>
              <w:t xml:space="preserve"> Round: </w:t>
            </w:r>
          </w:p>
          <w:p w14:paraId="4E7599F1" w14:textId="77777777" w:rsidR="00BD06C4" w:rsidRDefault="00BD06C4" w:rsidP="00BD06C4">
            <w:pPr>
              <w:pStyle w:val="NoSpacing"/>
            </w:pPr>
            <w:r>
              <w:t>June 2022</w:t>
            </w:r>
          </w:p>
          <w:p w14:paraId="109F9AC7" w14:textId="77777777" w:rsidR="00BD06C4" w:rsidRDefault="00BD06C4" w:rsidP="00BD06C4">
            <w:pPr>
              <w:pStyle w:val="NoSpacing"/>
            </w:pPr>
          </w:p>
          <w:p w14:paraId="5601912B" w14:textId="77777777" w:rsidR="00BD06C4" w:rsidRDefault="00BD06C4" w:rsidP="00BD06C4">
            <w:pPr>
              <w:pStyle w:val="NoSpacing"/>
            </w:pPr>
            <w:r>
              <w:lastRenderedPageBreak/>
              <w:t>5</w:t>
            </w:r>
            <w:r w:rsidRPr="00013ACB">
              <w:rPr>
                <w:vertAlign w:val="superscript"/>
              </w:rPr>
              <w:t>th</w:t>
            </w:r>
            <w:r>
              <w:t xml:space="preserve"> Round: </w:t>
            </w:r>
          </w:p>
          <w:p w14:paraId="152B0666" w14:textId="77777777" w:rsidR="00BD06C4" w:rsidRDefault="00BD06C4" w:rsidP="00BD06C4">
            <w:pPr>
              <w:pStyle w:val="NoSpacing"/>
            </w:pPr>
            <w:r>
              <w:t>June 2023</w:t>
            </w:r>
          </w:p>
          <w:p w14:paraId="2EA1407C" w14:textId="77777777" w:rsidR="00BD06C4" w:rsidRPr="00D527C8" w:rsidRDefault="00BD06C4" w:rsidP="00BD06C4">
            <w:pPr>
              <w:ind w:left="970" w:hanging="970"/>
              <w:jc w:val="both"/>
              <w:rPr>
                <w:color w:val="000000" w:themeColor="text1"/>
                <w:sz w:val="22"/>
                <w:szCs w:val="30"/>
              </w:rPr>
            </w:pPr>
          </w:p>
          <w:p w14:paraId="31798C50" w14:textId="77777777" w:rsidR="00BD06C4" w:rsidRDefault="00BD06C4" w:rsidP="00BD06C4">
            <w:pPr>
              <w:ind w:left="970" w:hanging="970"/>
              <w:jc w:val="both"/>
              <w:rPr>
                <w:color w:val="0070C0"/>
                <w:sz w:val="30"/>
                <w:szCs w:val="30"/>
              </w:rPr>
            </w:pPr>
          </w:p>
        </w:tc>
        <w:tc>
          <w:tcPr>
            <w:tcW w:w="0" w:type="auto"/>
          </w:tcPr>
          <w:p w14:paraId="1F08B90C" w14:textId="77777777" w:rsidR="00BD06C4" w:rsidRDefault="00BD06C4" w:rsidP="00BD06C4">
            <w:pPr>
              <w:pStyle w:val="NoSpacing"/>
            </w:pPr>
            <w:r w:rsidRPr="008652FB">
              <w:lastRenderedPageBreak/>
              <w:t>Data should be provided as per SDG Metadata</w:t>
            </w:r>
          </w:p>
          <w:p w14:paraId="2CAFCEFD" w14:textId="77777777" w:rsidR="00BD06C4" w:rsidRDefault="00BD06C4" w:rsidP="00BD06C4">
            <w:pPr>
              <w:pStyle w:val="NoSpacing"/>
            </w:pPr>
          </w:p>
          <w:p w14:paraId="6FA47A47" w14:textId="77777777" w:rsidR="00BD06C4" w:rsidRPr="00B6234F" w:rsidRDefault="00BD06C4" w:rsidP="00BD06C4">
            <w:pPr>
              <w:pStyle w:val="NoSpacing"/>
            </w:pPr>
            <w:r w:rsidRPr="00A41B47">
              <w:t>Data availability reviewed in Oct. 2019 (classified as Tier II)</w:t>
            </w:r>
          </w:p>
        </w:tc>
      </w:tr>
      <w:tr w:rsidR="00BD06C4" w14:paraId="73B0645E" w14:textId="77777777" w:rsidTr="00A64F0D">
        <w:tc>
          <w:tcPr>
            <w:tcW w:w="0" w:type="auto"/>
          </w:tcPr>
          <w:p w14:paraId="0E4E4AB3" w14:textId="77777777" w:rsidR="00BD06C4" w:rsidRPr="00BA046C" w:rsidRDefault="00BD06C4" w:rsidP="00BD06C4">
            <w:pPr>
              <w:pStyle w:val="NoSpacing"/>
            </w:pPr>
            <w:r w:rsidRPr="00BA046C">
              <w:lastRenderedPageBreak/>
              <w:t xml:space="preserve">16.6.2 Proportion of population </w:t>
            </w:r>
            <w:r w:rsidRPr="00BA046C">
              <w:lastRenderedPageBreak/>
              <w:t>satisfied with their last experience of public services</w:t>
            </w:r>
          </w:p>
        </w:tc>
        <w:tc>
          <w:tcPr>
            <w:tcW w:w="0" w:type="auto"/>
          </w:tcPr>
          <w:p w14:paraId="6C9466ED" w14:textId="77777777" w:rsidR="00BD06C4" w:rsidRDefault="00BD06C4" w:rsidP="00BD06C4">
            <w:pPr>
              <w:ind w:left="970" w:hanging="970"/>
              <w:jc w:val="both"/>
              <w:rPr>
                <w:color w:val="0070C0"/>
                <w:sz w:val="30"/>
                <w:szCs w:val="30"/>
              </w:rPr>
            </w:pPr>
          </w:p>
          <w:p w14:paraId="143D9141" w14:textId="77777777" w:rsidR="00BD06C4" w:rsidRDefault="00BD06C4" w:rsidP="00BD06C4">
            <w:pPr>
              <w:pStyle w:val="NoSpacing"/>
            </w:pPr>
            <w:r w:rsidRPr="007145C8">
              <w:t>UNDP</w:t>
            </w:r>
          </w:p>
        </w:tc>
        <w:tc>
          <w:tcPr>
            <w:tcW w:w="0" w:type="auto"/>
          </w:tcPr>
          <w:p w14:paraId="18FA2788" w14:textId="77777777" w:rsidR="00BD06C4" w:rsidRDefault="00BD06C4" w:rsidP="00BD06C4">
            <w:pPr>
              <w:ind w:left="970" w:hanging="970"/>
              <w:jc w:val="both"/>
              <w:rPr>
                <w:color w:val="0070C0"/>
                <w:sz w:val="30"/>
                <w:szCs w:val="30"/>
              </w:rPr>
            </w:pPr>
            <w:r w:rsidRPr="00666BAB">
              <w:t>Tier II</w:t>
            </w:r>
          </w:p>
        </w:tc>
        <w:tc>
          <w:tcPr>
            <w:tcW w:w="0" w:type="auto"/>
          </w:tcPr>
          <w:p w14:paraId="4FCB59BB" w14:textId="77777777" w:rsidR="00BD06C4" w:rsidRPr="00DD4281" w:rsidRDefault="00BD06C4" w:rsidP="00BD06C4">
            <w:pPr>
              <w:pStyle w:val="NoSpacing"/>
            </w:pPr>
            <w:r w:rsidRPr="00DD4281">
              <w:rPr>
                <w:b/>
                <w:bCs/>
              </w:rPr>
              <w:t>Definition:</w:t>
            </w:r>
          </w:p>
          <w:p w14:paraId="473E4628" w14:textId="77777777" w:rsidR="00BD06C4" w:rsidRPr="00DD4281" w:rsidRDefault="00BD06C4" w:rsidP="00BD06C4">
            <w:pPr>
              <w:pStyle w:val="NoSpacing"/>
            </w:pPr>
          </w:p>
          <w:p w14:paraId="3B164399" w14:textId="77777777" w:rsidR="00BD06C4" w:rsidRPr="00DD4281" w:rsidRDefault="00BD06C4" w:rsidP="00BD06C4">
            <w:pPr>
              <w:pStyle w:val="NoSpacing"/>
            </w:pPr>
            <w:r w:rsidRPr="00DD4281">
              <w:t xml:space="preserve">This indicator measures levels of public satisfaction with people’s last experience with public services, in the three service areas of healthcare, education and government services (i.e. services to obtain government-issued </w:t>
            </w:r>
            <w:r w:rsidRPr="00DD4281">
              <w:lastRenderedPageBreak/>
              <w:t>identification documents and services for the civil registration of life events such as births, marriages and deaths)</w:t>
            </w:r>
            <w:r w:rsidRPr="00DD4281">
              <w:rPr>
                <w:vertAlign w:val="superscript"/>
              </w:rPr>
              <w:footnoteReference w:id="58"/>
            </w:r>
            <w:r w:rsidRPr="00DD4281">
              <w:t xml:space="preserve">. This is a survey-based indicator which emphasizes citizens’ </w:t>
            </w:r>
            <w:r w:rsidRPr="00DD4281">
              <w:rPr>
                <w:i/>
                <w:iCs/>
              </w:rPr>
              <w:t>experiences</w:t>
            </w:r>
            <w:r w:rsidRPr="00DD4281">
              <w:t xml:space="preserve"> over general perceptions, with an eye on measuring the availability and quality of services </w:t>
            </w:r>
            <w:r w:rsidRPr="00DD4281">
              <w:rPr>
                <w:i/>
                <w:iCs/>
              </w:rPr>
              <w:t>as they were actually delivered to survey respondents</w:t>
            </w:r>
            <w:r w:rsidRPr="00DD4281">
              <w:t xml:space="preserve">. </w:t>
            </w:r>
          </w:p>
          <w:p w14:paraId="602C20F8" w14:textId="77777777" w:rsidR="00BD06C4" w:rsidRPr="00DD4281" w:rsidRDefault="00BD06C4" w:rsidP="00BD06C4">
            <w:pPr>
              <w:pStyle w:val="NoSpacing"/>
            </w:pPr>
          </w:p>
          <w:p w14:paraId="17F9A283" w14:textId="77777777" w:rsidR="00BD06C4" w:rsidRPr="00DD4281" w:rsidRDefault="00BD06C4" w:rsidP="00BD06C4">
            <w:pPr>
              <w:pStyle w:val="NoSpacing"/>
            </w:pPr>
            <w:r w:rsidRPr="00DD4281">
              <w:t xml:space="preserve">Respondents are asked to reflect on their last experience with each service, and to provide a rating on five ‘attributes’, or service-specific standards, of healthcare, education and government services (such as access, affordability, quality of facilities, etc.). A final question asks respondents for their overall satisfaction level with each service. </w:t>
            </w:r>
          </w:p>
          <w:p w14:paraId="5EDC3BF4" w14:textId="77777777" w:rsidR="00BD06C4" w:rsidRPr="00DD4281" w:rsidRDefault="00BD06C4" w:rsidP="00BD06C4">
            <w:pPr>
              <w:pStyle w:val="NoSpacing"/>
            </w:pPr>
          </w:p>
          <w:p w14:paraId="41F4DA9B" w14:textId="77777777" w:rsidR="00BD06C4" w:rsidRPr="00DD4281" w:rsidRDefault="00BD06C4" w:rsidP="00BD06C4">
            <w:pPr>
              <w:pStyle w:val="NoSpacing"/>
            </w:pPr>
            <w:r w:rsidRPr="00DD4281">
              <w:t>It is recommended that survey results, at a minimum, be disaggregated by sex, income and place of residence (urban/rural, administrative regions). To the extent possible, all efforts should be made to also disaggregate results by disability status and by ‘nationally relevant population groups’.</w:t>
            </w:r>
          </w:p>
          <w:p w14:paraId="6973336A" w14:textId="77777777" w:rsidR="00BD06C4" w:rsidRPr="00DD4281" w:rsidRDefault="00BD06C4" w:rsidP="00BD06C4">
            <w:pPr>
              <w:pStyle w:val="NoSpacing"/>
              <w:rPr>
                <w:lang w:val="en-GB"/>
              </w:rPr>
            </w:pPr>
          </w:p>
          <w:p w14:paraId="038851D0" w14:textId="77777777" w:rsidR="00BD06C4" w:rsidRPr="00DD4281" w:rsidRDefault="00BD06C4" w:rsidP="00BD06C4">
            <w:pPr>
              <w:pStyle w:val="NoSpacing"/>
              <w:rPr>
                <w:b/>
                <w:bCs/>
              </w:rPr>
            </w:pPr>
            <w:r w:rsidRPr="00DD4281">
              <w:rPr>
                <w:b/>
                <w:bCs/>
              </w:rPr>
              <w:t>Concepts:</w:t>
            </w:r>
          </w:p>
          <w:p w14:paraId="1FB7460C" w14:textId="77777777" w:rsidR="00BD06C4" w:rsidRPr="00DD4281" w:rsidRDefault="00BD06C4" w:rsidP="00BD06C4">
            <w:pPr>
              <w:pStyle w:val="NoSpacing"/>
            </w:pPr>
          </w:p>
          <w:p w14:paraId="5506F7A6" w14:textId="77777777" w:rsidR="00BD06C4" w:rsidRPr="00DD4281" w:rsidRDefault="00BD06C4" w:rsidP="00BD06C4">
            <w:pPr>
              <w:pStyle w:val="NoSpacing"/>
              <w:numPr>
                <w:ilvl w:val="0"/>
                <w:numId w:val="92"/>
              </w:numPr>
              <w:rPr>
                <w:lang w:val="en-GB"/>
              </w:rPr>
            </w:pPr>
            <w:r w:rsidRPr="00DD4281">
              <w:rPr>
                <w:b/>
                <w:bCs/>
                <w:lang w:val="en-GB"/>
              </w:rPr>
              <w:t>Public services:</w:t>
            </w:r>
            <w:r w:rsidRPr="00DD4281">
              <w:rPr>
                <w:lang w:val="en-GB"/>
              </w:rPr>
              <w:t xml:space="preserve"> As stated by the United Nations High Commissioner for Human Rights, “States are responsible for delivering a variety of services to their populations, including education, health and social welfare services. The provision of these services is essential to the protection of human rights such as the right to housing, health, education and food. The role of the public sector as service provider or regulator of the private provision of services is crucial for the realization of all human rights, particularly social and economic rights.”</w:t>
            </w:r>
            <w:r w:rsidRPr="00DD4281">
              <w:rPr>
                <w:vertAlign w:val="superscript"/>
                <w:lang w:val="en-GB"/>
              </w:rPr>
              <w:footnoteReference w:id="59"/>
            </w:r>
            <w:r w:rsidRPr="00DD4281">
              <w:rPr>
                <w:lang w:val="en-GB"/>
              </w:rPr>
              <w:t xml:space="preserve"> </w:t>
            </w:r>
          </w:p>
          <w:p w14:paraId="07578B7A" w14:textId="77777777" w:rsidR="00BD06C4" w:rsidRPr="00DD4281" w:rsidRDefault="00BD06C4" w:rsidP="00BD06C4">
            <w:pPr>
              <w:pStyle w:val="NoSpacing"/>
              <w:rPr>
                <w:lang w:val="en-GB"/>
              </w:rPr>
            </w:pPr>
          </w:p>
          <w:p w14:paraId="448E7793" w14:textId="77777777" w:rsidR="00BD06C4" w:rsidRPr="00DD4281" w:rsidRDefault="00BD06C4" w:rsidP="00BD06C4">
            <w:pPr>
              <w:pStyle w:val="NoSpacing"/>
            </w:pPr>
            <w:r w:rsidRPr="00DD4281">
              <w:t xml:space="preserve">While several definitions of ‘public services’ exist, they tend to have in common a focus on ‘common interest' and on ‘government responsibility’. For instance, the European Commission defines such services as “Services </w:t>
            </w:r>
            <w:proofErr w:type="gramStart"/>
            <w:r w:rsidRPr="00DD4281">
              <w:t>that public authorities</w:t>
            </w:r>
            <w:proofErr w:type="gramEnd"/>
            <w:r w:rsidRPr="00DD4281">
              <w:t xml:space="preserve"> of the Member States clarify as being of general interest and, therefore, subject to specific public service obligations.”</w:t>
            </w:r>
            <w:r w:rsidRPr="00DD4281">
              <w:rPr>
                <w:vertAlign w:val="superscript"/>
              </w:rPr>
              <w:footnoteReference w:id="60"/>
            </w:r>
            <w:r w:rsidRPr="00DD4281">
              <w:t xml:space="preserve"> Similarly, the African Charter on Values and Principles of Public Service and Administration (African Union, 2011) defines a public service as “Any service or public-interest activity that is under the authority of the government administration”. </w:t>
            </w:r>
          </w:p>
          <w:p w14:paraId="288E1B58" w14:textId="77777777" w:rsidR="00BD06C4" w:rsidRPr="00DD4281" w:rsidRDefault="00BD06C4" w:rsidP="00BD06C4">
            <w:pPr>
              <w:pStyle w:val="NoSpacing"/>
              <w:rPr>
                <w:lang w:val="en-GB"/>
              </w:rPr>
            </w:pPr>
          </w:p>
          <w:p w14:paraId="6EBBC9BF" w14:textId="77777777" w:rsidR="00BD06C4" w:rsidRPr="00DD4281" w:rsidRDefault="00BD06C4" w:rsidP="00BD06C4">
            <w:pPr>
              <w:pStyle w:val="NoSpacing"/>
              <w:numPr>
                <w:ilvl w:val="0"/>
                <w:numId w:val="92"/>
              </w:numPr>
              <w:rPr>
                <w:lang w:val="en-GB"/>
              </w:rPr>
            </w:pPr>
            <w:r w:rsidRPr="00DD4281">
              <w:rPr>
                <w:b/>
                <w:bCs/>
                <w:lang w:val="en-GB"/>
              </w:rPr>
              <w:t xml:space="preserve">Public services </w:t>
            </w:r>
            <w:r w:rsidRPr="00DD4281">
              <w:rPr>
                <w:b/>
                <w:bCs/>
                <w:i/>
                <w:iCs/>
                <w:lang w:val="en-GB"/>
              </w:rPr>
              <w:t xml:space="preserve">‘of general interest’: </w:t>
            </w:r>
            <w:r w:rsidRPr="00DD4281">
              <w:rPr>
                <w:lang w:val="en-GB"/>
              </w:rPr>
              <w:t xml:space="preserve">The methodology for SDG 16.6.2 carefully defines the scope of healthcare and education services to ensure that the focus is placed on services that are truly </w:t>
            </w:r>
            <w:r w:rsidRPr="00DD4281">
              <w:rPr>
                <w:i/>
                <w:iCs/>
                <w:lang w:val="en-GB"/>
              </w:rPr>
              <w:t>of general interest</w:t>
            </w:r>
            <w:r w:rsidRPr="00DD4281">
              <w:rPr>
                <w:lang w:val="en-GB"/>
              </w:rPr>
              <w:t xml:space="preserve">. In the case of healthcare services, for instance, preventive and primary healthcare services can be said to be truly ‘of general interest’: these services are relevant to everyone and they are most commonly found in both urban and rural areas. This might not be the case for hospitals that provide tertiary care, and as such hospital </w:t>
            </w:r>
            <w:r w:rsidRPr="00DD4281">
              <w:rPr>
                <w:lang w:val="en-GB"/>
              </w:rPr>
              <w:lastRenderedPageBreak/>
              <w:t xml:space="preserve">and specialist care is excluded from the questions on healthcare services. Likewise, in the case of education services, primary and lower secondary education services can be said to be truly ‘of general interest’, given their universality. University education, however, is excluded from the questions on education services. </w:t>
            </w:r>
          </w:p>
          <w:p w14:paraId="353788DE" w14:textId="77777777" w:rsidR="00BD06C4" w:rsidRPr="00DD4281" w:rsidRDefault="00BD06C4" w:rsidP="00BD06C4">
            <w:pPr>
              <w:pStyle w:val="NoSpacing"/>
              <w:rPr>
                <w:lang w:val="en-GB"/>
              </w:rPr>
            </w:pPr>
          </w:p>
          <w:p w14:paraId="2E8A7674" w14:textId="77777777" w:rsidR="00BD06C4" w:rsidRPr="00DD4281" w:rsidRDefault="00BD06C4" w:rsidP="00BD06C4">
            <w:pPr>
              <w:pStyle w:val="NoSpacing"/>
              <w:numPr>
                <w:ilvl w:val="0"/>
                <w:numId w:val="92"/>
              </w:numPr>
              <w:rPr>
                <w:lang w:val="en-GB"/>
              </w:rPr>
            </w:pPr>
            <w:r w:rsidRPr="00DD4281">
              <w:rPr>
                <w:b/>
                <w:bCs/>
                <w:lang w:val="en-GB"/>
              </w:rPr>
              <w:t>‘Last experience’ of public services in the past 12 months:</w:t>
            </w:r>
            <w:r w:rsidRPr="00DD4281">
              <w:rPr>
                <w:lang w:val="en-GB"/>
              </w:rPr>
              <w:t xml:space="preserve"> Indicator 16.6.2 focuses on respondents’ ‘last experience of public services’, and specifies a reference period of “the past 12 months” to avoid telescoping effects and to minimize memory bias effects. This means that only respondents who will have used healthcare, education and government services in the past 12 months will proceed to answer the survey questions. </w:t>
            </w:r>
          </w:p>
          <w:p w14:paraId="10EF16C3" w14:textId="77777777" w:rsidR="00BD06C4" w:rsidRPr="00DD4281" w:rsidRDefault="00BD06C4" w:rsidP="00BD06C4">
            <w:pPr>
              <w:pStyle w:val="NoSpacing"/>
            </w:pPr>
          </w:p>
          <w:p w14:paraId="3F48E96B" w14:textId="77777777" w:rsidR="00BD06C4" w:rsidRPr="00DD4281" w:rsidRDefault="00BD06C4" w:rsidP="00BD06C4">
            <w:pPr>
              <w:pStyle w:val="NoSpacing"/>
              <w:numPr>
                <w:ilvl w:val="0"/>
                <w:numId w:val="92"/>
              </w:numPr>
              <w:rPr>
                <w:lang w:val="en-GB"/>
              </w:rPr>
            </w:pPr>
            <w:r w:rsidRPr="00DD4281">
              <w:rPr>
                <w:b/>
                <w:bCs/>
                <w:lang w:val="en-GB"/>
              </w:rPr>
              <w:t xml:space="preserve">Service-specific standards – or ‘attributes’: </w:t>
            </w:r>
            <w:r w:rsidRPr="00DD4281">
              <w:rPr>
                <w:lang w:val="en-GB"/>
              </w:rPr>
              <w:t>The United Nations High Commissioner for Human Rights explains that “A human rights-based approach to public services is integral to the design, delivery, implementation and monitoring of all public service provision. Firstly, the normative human rights framework provides an important legal yardstick for measuring how well public service is designed and delivered and whether the benefits reach rights-holders”</w:t>
            </w:r>
            <w:r w:rsidRPr="00DD4281">
              <w:rPr>
                <w:vertAlign w:val="superscript"/>
                <w:lang w:val="en-GB"/>
              </w:rPr>
              <w:footnoteReference w:id="61"/>
            </w:r>
            <w:r w:rsidRPr="00DD4281">
              <w:rPr>
                <w:lang w:val="en-GB"/>
              </w:rPr>
              <w:t>. For instance, the Committee on Economic, Social and Cultural Rights specifies that “The availability, accessibility, acceptability and quality of health-related services should be facilitated and controlled by States. This duty extends to a variety of health-related services ranging from controlling the spread of infectious diseases to ensuring maternal health and adequate facilities for children.”</w:t>
            </w:r>
            <w:r w:rsidRPr="00DD4281">
              <w:rPr>
                <w:vertAlign w:val="superscript"/>
                <w:lang w:val="en-GB"/>
              </w:rPr>
              <w:footnoteReference w:id="62"/>
            </w:r>
            <w:r w:rsidRPr="00DD4281">
              <w:rPr>
                <w:lang w:val="en-GB"/>
              </w:rPr>
              <w:t xml:space="preserve"> Similarly, with respect to education services, the same Committee underlines that “States should adopt a human rights approach to ensure that [education services are] of an adequate standard and do not exclude any child on the basis of race, religion, geographical location or any other defining characteristic.”</w:t>
            </w:r>
            <w:r w:rsidRPr="00DD4281">
              <w:rPr>
                <w:vertAlign w:val="superscript"/>
                <w:lang w:val="en-GB"/>
              </w:rPr>
              <w:footnoteReference w:id="63"/>
            </w:r>
            <w:r w:rsidRPr="00DD4281">
              <w:rPr>
                <w:lang w:val="en-GB"/>
              </w:rPr>
              <w:t xml:space="preserve">  </w:t>
            </w:r>
          </w:p>
          <w:p w14:paraId="6B2F78A6" w14:textId="77777777" w:rsidR="00BD06C4" w:rsidRPr="00DD4281" w:rsidRDefault="00BD06C4" w:rsidP="00BD06C4">
            <w:pPr>
              <w:pStyle w:val="NoSpacing"/>
              <w:rPr>
                <w:lang w:val="en-GB"/>
              </w:rPr>
            </w:pPr>
          </w:p>
          <w:p w14:paraId="17345CC9" w14:textId="77777777" w:rsidR="00BD06C4" w:rsidRPr="00DD4281" w:rsidRDefault="00BD06C4" w:rsidP="00BD06C4">
            <w:pPr>
              <w:pStyle w:val="NoSpacing"/>
              <w:numPr>
                <w:ilvl w:val="0"/>
                <w:numId w:val="92"/>
              </w:numPr>
              <w:rPr>
                <w:b/>
                <w:bCs/>
                <w:lang w:val="en-GB"/>
              </w:rPr>
            </w:pPr>
            <w:r w:rsidRPr="00DD4281">
              <w:rPr>
                <w:b/>
                <w:bCs/>
                <w:lang w:val="en-GB"/>
              </w:rPr>
              <w:t xml:space="preserve">Healthcare services: </w:t>
            </w:r>
            <w:r w:rsidRPr="00DD4281">
              <w:rPr>
                <w:lang w:val="en-GB"/>
              </w:rPr>
              <w:t xml:space="preserve">The questions on healthcare services focus on respondents’ experiences (or that of a child in their household who needed treatment and was accompanied by the respondent) with </w:t>
            </w:r>
            <w:r w:rsidRPr="00DD4281">
              <w:rPr>
                <w:i/>
                <w:iCs/>
                <w:lang w:val="en-GB"/>
              </w:rPr>
              <w:t xml:space="preserve">primary </w:t>
            </w:r>
            <w:r w:rsidRPr="00DD4281">
              <w:rPr>
                <w:lang w:val="en-GB"/>
              </w:rPr>
              <w:t xml:space="preserve">healthcare services (over the past 12 months) – that is, basic health care services provided by a government/public health clinic, or covered by a public health system. It can include health care services provided by private institutions, as long as such services are provided at reduced (or no) cost to beneficiaries, under a public health system. Respondents are specifically asked </w:t>
            </w:r>
            <w:r w:rsidRPr="00DD4281">
              <w:rPr>
                <w:i/>
                <w:iCs/>
                <w:lang w:val="en-GB"/>
              </w:rPr>
              <w:t xml:space="preserve">not </w:t>
            </w:r>
            <w:r w:rsidRPr="00DD4281">
              <w:rPr>
                <w:lang w:val="en-GB"/>
              </w:rPr>
              <w:t>to include in their answers any experience they might have had with hospital or specialist medical care services (for example, if they had a surgery), or with dental care and teeth exams (because in many countries, dental care is not covered by publicly funded healthcare systems). Attributes-based questions on healthcare services focus on 1) Accessibility (related to geographic proximity, delay in getting appointment, waiting time to see doctor on day of appointment); 2) Affordability; 3) Quality of facilities; 4) Equal treatment for everyone; and 5) Courtesy and treatment (attitude of healthcare staff).</w:t>
            </w:r>
          </w:p>
          <w:p w14:paraId="4ED854D3" w14:textId="77777777" w:rsidR="00BD06C4" w:rsidRPr="00DD4281" w:rsidRDefault="00BD06C4" w:rsidP="00BD06C4">
            <w:pPr>
              <w:pStyle w:val="NoSpacing"/>
              <w:rPr>
                <w:lang w:val="en-GB"/>
              </w:rPr>
            </w:pPr>
          </w:p>
          <w:p w14:paraId="5C3AF945" w14:textId="77777777" w:rsidR="00BD06C4" w:rsidRPr="00DD4281" w:rsidRDefault="00BD06C4" w:rsidP="00BD06C4">
            <w:pPr>
              <w:pStyle w:val="NoSpacing"/>
              <w:numPr>
                <w:ilvl w:val="0"/>
                <w:numId w:val="92"/>
              </w:numPr>
              <w:rPr>
                <w:lang w:val="en-GB"/>
              </w:rPr>
            </w:pPr>
            <w:r w:rsidRPr="00DD4281">
              <w:rPr>
                <w:b/>
                <w:bCs/>
                <w:lang w:val="en-GB"/>
              </w:rPr>
              <w:lastRenderedPageBreak/>
              <w:t xml:space="preserve">Education services: </w:t>
            </w:r>
            <w:r w:rsidRPr="00DD4281">
              <w:rPr>
                <w:lang w:val="en-GB"/>
              </w:rPr>
              <w:t xml:space="preserve">The questions on education services focuses on respondents’ experience with the </w:t>
            </w:r>
            <w:r w:rsidRPr="00DD4281">
              <w:rPr>
                <w:i/>
                <w:iCs/>
                <w:lang w:val="en-GB"/>
              </w:rPr>
              <w:t>public school system</w:t>
            </w:r>
            <w:r w:rsidRPr="00DD4281">
              <w:rPr>
                <w:lang w:val="en-GB"/>
              </w:rPr>
              <w:t xml:space="preserve"> over the past 12 months, that is, if there are children in their household whose age falls within the age range spanning primary and secondary education in the country. Public schools are defined as “those for which no private tuition fees or major payments must be paid by the parent or guardian of the child who is attending the school; they are state-funded schools.” Respondents are asked to respond separately for primary and secondary schools if children in their household attend school at different levels. Attributes-based questions on education services focus on 1) Accessibility (with a focus on geographic proximity); 2) Affordability; 3) Quality of facilities; 4) Equal treatment for everyone; and 5) Effective delivery of service (Quality of teaching).</w:t>
            </w:r>
          </w:p>
          <w:p w14:paraId="5D79A501" w14:textId="77777777" w:rsidR="00BD06C4" w:rsidRPr="00DD4281" w:rsidRDefault="00BD06C4" w:rsidP="00BD06C4">
            <w:pPr>
              <w:pStyle w:val="NoSpacing"/>
              <w:rPr>
                <w:b/>
                <w:lang w:val="en-GB"/>
              </w:rPr>
            </w:pPr>
          </w:p>
          <w:p w14:paraId="1EBC0882" w14:textId="77777777" w:rsidR="00BD06C4" w:rsidRPr="00DD4281" w:rsidRDefault="00BD06C4" w:rsidP="00BD06C4">
            <w:pPr>
              <w:pStyle w:val="NoSpacing"/>
              <w:numPr>
                <w:ilvl w:val="0"/>
                <w:numId w:val="92"/>
              </w:numPr>
              <w:rPr>
                <w:b/>
                <w:bCs/>
                <w:lang w:val="en-GB"/>
              </w:rPr>
            </w:pPr>
            <w:r w:rsidRPr="00DD4281">
              <w:rPr>
                <w:b/>
                <w:bCs/>
                <w:lang w:val="en-GB"/>
              </w:rPr>
              <w:t xml:space="preserve">Government services: </w:t>
            </w:r>
            <w:r w:rsidRPr="00DD4281">
              <w:rPr>
                <w:lang w:val="en-GB"/>
              </w:rPr>
              <w:t xml:space="preserve">The battery on government services focuses exclusively on two types of government services: 1) Services to obtain government-issued identification documents (such as national identity cards, passports, driver’s licenses and voter’s cards) and 2) services for the civil registration of life events such as births, marriages and deaths. This particular focus on these two types of services arises from the high frequency of use of these services. Attributes-based questions on government services focus on 1) Accessibility; 2) Affordability; 3) Equal treatment for everyone; 4) Effective delivery of service (delivery process is simple and easy to understand); and 5) Timeliness. </w:t>
            </w:r>
          </w:p>
          <w:p w14:paraId="2E9F2158" w14:textId="77777777" w:rsidR="00BD06C4" w:rsidRPr="00DD4281" w:rsidRDefault="00BD06C4" w:rsidP="00BD06C4">
            <w:pPr>
              <w:pStyle w:val="NoSpacing"/>
            </w:pPr>
          </w:p>
          <w:p w14:paraId="29CEF6B3" w14:textId="77777777" w:rsidR="00BD06C4" w:rsidRPr="00DD4281" w:rsidRDefault="00BD06C4" w:rsidP="00BD06C4">
            <w:pPr>
              <w:pStyle w:val="NoSpacing"/>
            </w:pPr>
          </w:p>
          <w:p w14:paraId="03DB00AE" w14:textId="77777777" w:rsidR="00BD06C4" w:rsidRPr="00DD4281" w:rsidRDefault="00BD06C4" w:rsidP="00BD06C4">
            <w:pPr>
              <w:pStyle w:val="NoSpacing"/>
            </w:pPr>
            <w:r w:rsidRPr="00DD4281">
              <w:rPr>
                <w:b/>
                <w:bCs/>
              </w:rPr>
              <w:t>Comments and limitations:</w:t>
            </w:r>
          </w:p>
          <w:p w14:paraId="03B5C9EA" w14:textId="77777777" w:rsidR="00BD06C4" w:rsidRPr="00DD4281" w:rsidRDefault="00BD06C4" w:rsidP="00BD06C4">
            <w:pPr>
              <w:pStyle w:val="NoSpacing"/>
            </w:pPr>
          </w:p>
          <w:p w14:paraId="700FBA0C" w14:textId="77777777" w:rsidR="00BD06C4" w:rsidRPr="00DD4281" w:rsidRDefault="00BD06C4" w:rsidP="00BD06C4">
            <w:pPr>
              <w:pStyle w:val="NoSpacing"/>
              <w:rPr>
                <w:b/>
                <w:lang w:val="en-GB"/>
              </w:rPr>
            </w:pPr>
            <w:r w:rsidRPr="00DD4281">
              <w:rPr>
                <w:b/>
                <w:lang w:val="en-GB"/>
              </w:rPr>
              <w:t>Recommended set of complementary questions to address selection 16.6.2 bias towards ‘</w:t>
            </w:r>
            <w:r w:rsidRPr="00DD4281">
              <w:rPr>
                <w:b/>
                <w:i/>
                <w:lang w:val="en-GB"/>
              </w:rPr>
              <w:t>users’</w:t>
            </w:r>
            <w:r w:rsidRPr="00DD4281">
              <w:rPr>
                <w:b/>
                <w:lang w:val="en-GB"/>
              </w:rPr>
              <w:t xml:space="preserve"> of public services </w:t>
            </w:r>
          </w:p>
          <w:p w14:paraId="2661465D" w14:textId="77777777" w:rsidR="00BD06C4" w:rsidRPr="00DD4281" w:rsidRDefault="00BD06C4" w:rsidP="00BD06C4">
            <w:pPr>
              <w:pStyle w:val="NoSpacing"/>
              <w:rPr>
                <w:b/>
                <w:lang w:val="en-GB"/>
              </w:rPr>
            </w:pPr>
          </w:p>
          <w:p w14:paraId="7CD515C1" w14:textId="77777777" w:rsidR="00BD06C4" w:rsidRPr="00DD4281" w:rsidRDefault="00BD06C4" w:rsidP="00BD06C4">
            <w:pPr>
              <w:pStyle w:val="NoSpacing"/>
              <w:numPr>
                <w:ilvl w:val="0"/>
                <w:numId w:val="95"/>
              </w:numPr>
              <w:rPr>
                <w:lang w:val="en-GB"/>
              </w:rPr>
            </w:pPr>
            <w:r w:rsidRPr="00DD4281">
              <w:rPr>
                <w:lang w:val="en-GB"/>
              </w:rPr>
              <w:t xml:space="preserve">Since SDG 16.6.2 refers to people’s ‘last experience’ with public services, the indicator needs to focus on user experiences rather than on non-user perceptions. The experience of users is important, but it is equally important to understand the experiences and perceptions of those who turn elsewhere for services, or who do not access services altogether. </w:t>
            </w:r>
          </w:p>
          <w:p w14:paraId="15B08141" w14:textId="77777777" w:rsidR="00BD06C4" w:rsidRPr="00DD4281" w:rsidRDefault="00BD06C4" w:rsidP="00BD06C4">
            <w:pPr>
              <w:pStyle w:val="NoSpacing"/>
              <w:rPr>
                <w:lang w:val="en-GB"/>
              </w:rPr>
            </w:pPr>
          </w:p>
          <w:p w14:paraId="2F5B6312" w14:textId="77777777" w:rsidR="00BD06C4" w:rsidRPr="00DD4281" w:rsidRDefault="00BD06C4" w:rsidP="00BD06C4">
            <w:pPr>
              <w:pStyle w:val="NoSpacing"/>
              <w:numPr>
                <w:ilvl w:val="0"/>
                <w:numId w:val="95"/>
              </w:numPr>
              <w:rPr>
                <w:lang w:val="en-GB"/>
              </w:rPr>
            </w:pPr>
            <w:r w:rsidRPr="00DD4281">
              <w:rPr>
                <w:lang w:val="en-GB"/>
              </w:rPr>
              <w:t xml:space="preserve">For each service area, NSOs are therefore strongly encouraged to administer three complementary questions (see Methodology section) </w:t>
            </w:r>
            <w:r w:rsidRPr="00DD4281">
              <w:rPr>
                <w:i/>
                <w:lang w:val="en-GB"/>
              </w:rPr>
              <w:t xml:space="preserve">prior </w:t>
            </w:r>
            <w:r w:rsidRPr="00DD4281">
              <w:rPr>
                <w:lang w:val="en-GB"/>
              </w:rPr>
              <w:t xml:space="preserve">to the two ‘priority questions’ to be used for global 16.6.2 reporting. These additional questions will help capture the experience of </w:t>
            </w:r>
            <w:r w:rsidRPr="00DD4281">
              <w:rPr>
                <w:i/>
                <w:lang w:val="en-GB"/>
              </w:rPr>
              <w:t>both</w:t>
            </w:r>
            <w:r w:rsidRPr="00DD4281">
              <w:rPr>
                <w:lang w:val="en-GB"/>
              </w:rPr>
              <w:t xml:space="preserve"> users </w:t>
            </w:r>
            <w:r w:rsidRPr="00DD4281">
              <w:rPr>
                <w:i/>
                <w:lang w:val="en-GB"/>
              </w:rPr>
              <w:t xml:space="preserve">and </w:t>
            </w:r>
            <w:r w:rsidRPr="00DD4281">
              <w:rPr>
                <w:lang w:val="en-GB"/>
              </w:rPr>
              <w:t xml:space="preserve">non-users of public services. They will help identify which population sub-groups who needed healthcare, education and government services did </w:t>
            </w:r>
            <w:r w:rsidRPr="00DD4281">
              <w:rPr>
                <w:i/>
                <w:lang w:val="en-GB"/>
              </w:rPr>
              <w:t xml:space="preserve">not </w:t>
            </w:r>
            <w:r w:rsidRPr="00DD4281">
              <w:rPr>
                <w:lang w:val="en-GB"/>
              </w:rPr>
              <w:t>access the services they needed, and what barriers prevented them from doing so. While the information generated by these additional questions is critical for policymakers to design service provision programmes that ‘leave no one behind’, it is left to the discretion of each country to integrate them or not, as some may already be collecting similar information through existing surveys.</w:t>
            </w:r>
          </w:p>
          <w:p w14:paraId="5FF475D0" w14:textId="77777777" w:rsidR="00BD06C4" w:rsidRPr="00DD4281" w:rsidRDefault="00BD06C4" w:rsidP="00BD06C4">
            <w:pPr>
              <w:pStyle w:val="NoSpacing"/>
              <w:rPr>
                <w:lang w:val="en-GB"/>
              </w:rPr>
            </w:pPr>
          </w:p>
          <w:p w14:paraId="4058A952" w14:textId="77777777" w:rsidR="00BD06C4" w:rsidRPr="00DD4281" w:rsidRDefault="00BD06C4" w:rsidP="00BD06C4">
            <w:pPr>
              <w:pStyle w:val="NoSpacing"/>
              <w:rPr>
                <w:b/>
                <w:bCs/>
              </w:rPr>
            </w:pPr>
            <w:r w:rsidRPr="00DD4281">
              <w:lastRenderedPageBreak/>
              <w:t xml:space="preserve">Otherwise, the selection bias inherent in SDG 16.6.2, with its focus on users, can result in mismeasurement due to underlying inequalities in the propensity of various groups to interact with state institutions. In other words, a focus on ‘the last experience with public services’ implicitly means that this indicator includes only those respondents who were privileged enough to access public services in the past year. This means that those (such as ethnic minorities, migrants, the elderly, undocumented workers) who have </w:t>
            </w:r>
            <w:r w:rsidRPr="00DD4281">
              <w:rPr>
                <w:i/>
              </w:rPr>
              <w:t xml:space="preserve">not </w:t>
            </w:r>
            <w:r w:rsidRPr="00DD4281">
              <w:t>been able – or willing – to access the healthcare, education or government services they needed in the past 12 months, often as a consequence of multiple social and economic barriers arising from overlapping forms of marginalization will be undercounted by this indicator. There is a risk therefore that overall satisfaction levels reported on 16.6.2 will over-represent the experience of more privileged groups for whom access to public services is easier, because they have the financial, logistical and intellectual means to do so, and they trust that it is in their interest to do so.</w:t>
            </w:r>
          </w:p>
          <w:p w14:paraId="246472D3" w14:textId="77777777" w:rsidR="00BD06C4" w:rsidRPr="00DD4281" w:rsidRDefault="00BD06C4" w:rsidP="00BD06C4">
            <w:pPr>
              <w:pStyle w:val="NoSpacing"/>
              <w:rPr>
                <w:b/>
                <w:bCs/>
              </w:rPr>
            </w:pPr>
          </w:p>
          <w:p w14:paraId="3C95DFCB" w14:textId="77777777" w:rsidR="00BD06C4" w:rsidRPr="00DD4281" w:rsidRDefault="00BD06C4" w:rsidP="00BD06C4">
            <w:pPr>
              <w:pStyle w:val="NoSpacing"/>
            </w:pPr>
            <w:r w:rsidRPr="00DD4281">
              <w:rPr>
                <w:b/>
                <w:bCs/>
              </w:rPr>
              <w:t>Answer scales:</w:t>
            </w:r>
            <w:r w:rsidRPr="00DD4281">
              <w:t xml:space="preserve"> </w:t>
            </w:r>
          </w:p>
          <w:p w14:paraId="5CB75219" w14:textId="77777777" w:rsidR="00BD06C4" w:rsidRPr="00DD4281" w:rsidRDefault="00BD06C4" w:rsidP="00BD06C4">
            <w:pPr>
              <w:pStyle w:val="NoSpacing"/>
            </w:pPr>
          </w:p>
          <w:p w14:paraId="7FD583BC" w14:textId="77777777" w:rsidR="00BD06C4" w:rsidRPr="00DD4281" w:rsidRDefault="00BD06C4" w:rsidP="00BD06C4">
            <w:pPr>
              <w:pStyle w:val="NoSpacing"/>
              <w:numPr>
                <w:ilvl w:val="0"/>
                <w:numId w:val="91"/>
              </w:numPr>
            </w:pPr>
            <w:r w:rsidRPr="00DD4281">
              <w:t>To ensure the consistency of measurement in an international context, a standardised approach to response format is required. Available evidence from piloting and other NSO experiences suggests that a four-point Likert-scale with verbal scale anchors is preferable over the alternatives. A four-point scale offers the optimal range of response options for the concepts at hand, in terms of capturing as much meaningful variation between responses as there exists, while remaining understandable for respondents who are not very numerate or literate. Piloting experiences have revealed that offering too few response options (such as a ‘yes/no’ binary response format) would not reveal much variation and might even frustrate some respondents, who might feel their satisfaction level cannot be accurately expressed. Furthermore, the Guidelines on Measuring Subjective Well-Being (OECD, 2013) caution against using “agree/disagree, true/false, and yes/no response formats in the measurement of subjective well-being due to the heightened risk of acquiescence and socially desirable responding”. Meanwhile, piloting experiences have shown that respondents would be equally burdened by too many response categories (such a 7- or 10-point scale)</w:t>
            </w:r>
            <w:proofErr w:type="gramStart"/>
            <w:r w:rsidRPr="00DD4281">
              <w:t>,</w:t>
            </w:r>
            <w:proofErr w:type="gramEnd"/>
            <w:r w:rsidRPr="00DD4281">
              <w:t xml:space="preserve"> especially if the categories are too close to distinguish between them cognitively. </w:t>
            </w:r>
          </w:p>
          <w:p w14:paraId="3D2BD0C3" w14:textId="77777777" w:rsidR="00BD06C4" w:rsidRPr="00DD4281" w:rsidRDefault="00BD06C4" w:rsidP="00BD06C4">
            <w:pPr>
              <w:pStyle w:val="NoSpacing"/>
            </w:pPr>
          </w:p>
          <w:p w14:paraId="54F4A048" w14:textId="77777777" w:rsidR="00BD06C4" w:rsidRPr="00DD4281" w:rsidRDefault="00BD06C4" w:rsidP="00BD06C4">
            <w:pPr>
              <w:pStyle w:val="NoSpacing"/>
              <w:numPr>
                <w:ilvl w:val="0"/>
                <w:numId w:val="91"/>
              </w:numPr>
              <w:rPr>
                <w:lang w:val="en-GB"/>
              </w:rPr>
            </w:pPr>
            <w:r w:rsidRPr="00DD4281">
              <w:rPr>
                <w:lang w:val="en-GB"/>
              </w:rPr>
              <w:t xml:space="preserve">There are different schools of thought on whether an odd or even number of categories is best when using Likert scales. While taking away the middle category forces respondents to voice a positive or negative opinion, and some respondents might find this approach frustrating, several NSOs in developing country contexts favor a Likert scale </w:t>
            </w:r>
            <w:r w:rsidRPr="00DD4281">
              <w:rPr>
                <w:i/>
                <w:lang w:val="en-GB"/>
              </w:rPr>
              <w:t xml:space="preserve">without </w:t>
            </w:r>
            <w:r w:rsidRPr="00DD4281">
              <w:rPr>
                <w:lang w:val="en-GB"/>
              </w:rPr>
              <w:t>a neutral value (such as “neither satisfied nor dissatisfied”). Their preference is motivated by their long-standing survey experience which has shown that when a neutral value is provided, a large proportion (often a majority)</w:t>
            </w:r>
            <w:r w:rsidRPr="00DD4281">
              <w:t xml:space="preserve"> </w:t>
            </w:r>
            <w:r w:rsidRPr="00DD4281">
              <w:rPr>
                <w:lang w:val="en-GB"/>
              </w:rPr>
              <w:t xml:space="preserve">of </w:t>
            </w:r>
            <w:r w:rsidRPr="00DD4281">
              <w:t xml:space="preserve">respondents </w:t>
            </w:r>
            <w:r w:rsidRPr="00DD4281">
              <w:rPr>
                <w:lang w:val="en-GB"/>
              </w:rPr>
              <w:t xml:space="preserve">will </w:t>
            </w:r>
            <w:r w:rsidRPr="00DD4281">
              <w:t>refrain from expressing their opinion</w:t>
            </w:r>
            <w:r w:rsidRPr="00DD4281">
              <w:rPr>
                <w:lang w:val="en-GB"/>
              </w:rPr>
              <w:t xml:space="preserve"> ‘hiding’ behind this middle-point. </w:t>
            </w:r>
          </w:p>
          <w:p w14:paraId="47B5C305" w14:textId="77777777" w:rsidR="00BD06C4" w:rsidRPr="00DD4281" w:rsidRDefault="00BD06C4" w:rsidP="00BD06C4">
            <w:pPr>
              <w:pStyle w:val="NoSpacing"/>
            </w:pPr>
          </w:p>
          <w:p w14:paraId="230780FE" w14:textId="77777777" w:rsidR="00BD06C4" w:rsidRPr="00DD4281" w:rsidRDefault="00BD06C4" w:rsidP="00BD06C4">
            <w:pPr>
              <w:pStyle w:val="NoSpacing"/>
              <w:numPr>
                <w:ilvl w:val="0"/>
                <w:numId w:val="91"/>
              </w:numPr>
              <w:rPr>
                <w:lang w:val="en-GB"/>
              </w:rPr>
            </w:pPr>
            <w:r w:rsidRPr="00DD4281">
              <w:rPr>
                <w:lang w:val="en-GB"/>
              </w:rPr>
              <w:t xml:space="preserve">The survey methodology for 16.6.2 therefore uses a 4-point bipolar Likert scale for all questions (for </w:t>
            </w:r>
            <w:r w:rsidRPr="00DD4281">
              <w:rPr>
                <w:lang w:val="en-GB"/>
              </w:rPr>
              <w:lastRenderedPageBreak/>
              <w:t xml:space="preserve">internal consistency), with the following scale labels: “strongly agree, agree, disagree, strongly disagree” for attributes-based questions, and “very satisfied, satisfied, dissatisfied, very dissatisfied” for overall satisfaction questions. “Don’t know” and “refuse to answer” options are also available, but </w:t>
            </w:r>
            <w:r w:rsidRPr="00DD4281">
              <w:rPr>
                <w:i/>
                <w:lang w:val="en-GB"/>
              </w:rPr>
              <w:t>should not be read out loud</w:t>
            </w:r>
            <w:r w:rsidRPr="00DD4281">
              <w:rPr>
                <w:lang w:val="en-GB"/>
              </w:rPr>
              <w:t>, so as to not provide an easy way for respondents to disengage from the subjects of the various questions. When respondents say they “don’t know”, enumerators should repeat the question and simply ask them to provide their best guess. The “don’t know” and “refuse to answer” options should be used only as a last resort.</w:t>
            </w:r>
            <w:r w:rsidRPr="00DD4281">
              <w:rPr>
                <w:b/>
                <w:lang w:val="en-GB"/>
              </w:rPr>
              <w:t xml:space="preserve"> </w:t>
            </w:r>
          </w:p>
          <w:p w14:paraId="71EC5282" w14:textId="77777777" w:rsidR="00BD06C4" w:rsidRPr="00DD4281" w:rsidRDefault="00BD06C4" w:rsidP="00BD06C4">
            <w:pPr>
              <w:pStyle w:val="NoSpacing"/>
              <w:rPr>
                <w:b/>
                <w:bCs/>
              </w:rPr>
            </w:pPr>
          </w:p>
          <w:p w14:paraId="122634F3" w14:textId="77777777" w:rsidR="00BD06C4" w:rsidRPr="00DD4281" w:rsidRDefault="00BD06C4" w:rsidP="00BD06C4">
            <w:pPr>
              <w:pStyle w:val="NoSpacing"/>
            </w:pPr>
          </w:p>
          <w:p w14:paraId="5EC9FB28" w14:textId="77777777" w:rsidR="00BD06C4" w:rsidRPr="00DD4281" w:rsidRDefault="00BD06C4" w:rsidP="00BD06C4">
            <w:pPr>
              <w:pStyle w:val="NoSpacing"/>
              <w:rPr>
                <w:lang w:val="en-GB"/>
              </w:rPr>
            </w:pPr>
            <w:r w:rsidRPr="00DD4281">
              <w:rPr>
                <w:b/>
                <w:bCs/>
              </w:rPr>
              <w:t xml:space="preserve">Selection of relevant disaggregation dimensions  </w:t>
            </w:r>
          </w:p>
          <w:p w14:paraId="05B5262B" w14:textId="77777777" w:rsidR="00BD06C4" w:rsidRPr="00DD4281" w:rsidRDefault="00BD06C4" w:rsidP="00BD06C4">
            <w:pPr>
              <w:pStyle w:val="NoSpacing"/>
            </w:pPr>
          </w:p>
          <w:p w14:paraId="11860409" w14:textId="77777777" w:rsidR="00BD06C4" w:rsidRPr="00DD4281" w:rsidRDefault="00BD06C4" w:rsidP="00BD06C4">
            <w:pPr>
              <w:pStyle w:val="NoSpacing"/>
              <w:numPr>
                <w:ilvl w:val="0"/>
                <w:numId w:val="94"/>
              </w:numPr>
              <w:rPr>
                <w:lang w:val="en-GB"/>
              </w:rPr>
            </w:pPr>
            <w:r w:rsidRPr="00DD4281">
              <w:rPr>
                <w:i/>
                <w:lang w:val="en-GB"/>
              </w:rPr>
              <w:t xml:space="preserve">Relevant international legal frameworks: </w:t>
            </w:r>
            <w:r w:rsidRPr="00DD4281">
              <w:rPr>
                <w:lang w:val="en-GB"/>
              </w:rPr>
              <w:t xml:space="preserve">Indicator 16.6.2 aims to provide a better understanding of how access to services and the quality of services differ across localities and across various demographic groups. This aim is supported by international human rights law:  </w:t>
            </w:r>
          </w:p>
          <w:p w14:paraId="5D557A86" w14:textId="77777777" w:rsidR="00BD06C4" w:rsidRPr="00DD4281" w:rsidRDefault="00BD06C4" w:rsidP="00BD06C4">
            <w:pPr>
              <w:pStyle w:val="NoSpacing"/>
            </w:pPr>
          </w:p>
          <w:p w14:paraId="334A5BCB" w14:textId="77777777" w:rsidR="00BD06C4" w:rsidRPr="00DD4281" w:rsidRDefault="00BD06C4" w:rsidP="00BD06C4">
            <w:pPr>
              <w:pStyle w:val="NoSpacing"/>
              <w:numPr>
                <w:ilvl w:val="0"/>
                <w:numId w:val="96"/>
              </w:numPr>
              <w:rPr>
                <w:lang w:val="en-GB"/>
              </w:rPr>
            </w:pPr>
            <w:r w:rsidRPr="00DD4281">
              <w:rPr>
                <w:lang w:val="en-GB"/>
              </w:rPr>
              <w:t xml:space="preserve">Article 25 (c) of the International Covenant on Civil and Political Rights provides for the right to </w:t>
            </w:r>
            <w:r w:rsidRPr="00DD4281">
              <w:rPr>
                <w:i/>
                <w:lang w:val="en-GB"/>
              </w:rPr>
              <w:t>equal access</w:t>
            </w:r>
            <w:r w:rsidRPr="00DD4281">
              <w:rPr>
                <w:lang w:val="en-GB"/>
              </w:rPr>
              <w:t xml:space="preserve"> to public service. In its report on the role of the public services as an essential component in the promotion and protection of human rights, the United Nations High Commissioner for Human Rights reminds that “States must bear in mind that there are demographic groups in every society that may be disadvantaged in their access to public services, namely women, children, migrants, persons with disabilities, indigenous persons and older persons. States need to ensure that the human rights of these groups are not undermined and that they receive adequate public services.”</w:t>
            </w:r>
            <w:r w:rsidRPr="00DD4281">
              <w:rPr>
                <w:vertAlign w:val="superscript"/>
                <w:lang w:val="en-GB"/>
              </w:rPr>
              <w:footnoteReference w:id="64"/>
            </w:r>
            <w:r w:rsidRPr="00DD4281">
              <w:rPr>
                <w:lang w:val="en-GB"/>
              </w:rPr>
              <w:t xml:space="preserve"> The High Commissioner also calls attention to the fact that “Poverty acts as a major barrier in relation to public services.”  </w:t>
            </w:r>
          </w:p>
          <w:p w14:paraId="46B050EA" w14:textId="77777777" w:rsidR="00BD06C4" w:rsidRPr="00DD4281" w:rsidRDefault="00BD06C4" w:rsidP="00BD06C4">
            <w:pPr>
              <w:pStyle w:val="NoSpacing"/>
              <w:rPr>
                <w:lang w:val="en-GB"/>
              </w:rPr>
            </w:pPr>
          </w:p>
          <w:p w14:paraId="751CF680" w14:textId="77777777" w:rsidR="00BD06C4" w:rsidRPr="00DD4281" w:rsidRDefault="00BD06C4" w:rsidP="00BD06C4">
            <w:pPr>
              <w:pStyle w:val="NoSpacing"/>
              <w:numPr>
                <w:ilvl w:val="0"/>
                <w:numId w:val="96"/>
              </w:numPr>
              <w:rPr>
                <w:lang w:val="en-GB"/>
              </w:rPr>
            </w:pPr>
            <w:r w:rsidRPr="00DD4281">
              <w:rPr>
                <w:lang w:val="en-GB"/>
              </w:rPr>
              <w:t>The obligations to ensure equality and non-discrimination are recognized in article 2 of the Universal Declaration of Human Rights and are encountered in many United Nations human rights instruments, such as the International Covenant on Civil and Political Rights (arts. 2 and 26), the International Covenant on Economic, Social and Cultural Rights</w:t>
            </w:r>
            <w:r w:rsidRPr="00DD4281" w:rsidDel="000F68D7">
              <w:rPr>
                <w:lang w:val="en-GB"/>
              </w:rPr>
              <w:t xml:space="preserve"> </w:t>
            </w:r>
            <w:r w:rsidRPr="00DD4281">
              <w:rPr>
                <w:lang w:val="en-GB"/>
              </w:rPr>
              <w:t>(art. 2 (2)), the Convention on the Rights of the Child (art. 2), the International Convention on the Protection of the Rights of All Migrant Workers and Members of Their Families (art. 7) and the Convention on the Rights of Persons with Disabilities (art. 5). In terms of public services, this means that States have an immediate obligation to ensure that deliberate, targeted measures are put into place to secure substantive equality and that all individuals have an equal opportunity to enjoy their right to access public services.</w:t>
            </w:r>
          </w:p>
          <w:p w14:paraId="73297001" w14:textId="77777777" w:rsidR="00BD06C4" w:rsidRPr="00DD4281" w:rsidRDefault="00BD06C4" w:rsidP="00BD06C4">
            <w:pPr>
              <w:pStyle w:val="NoSpacing"/>
            </w:pPr>
          </w:p>
          <w:p w14:paraId="17BAB899" w14:textId="77777777" w:rsidR="00BD06C4" w:rsidRPr="00DD4281" w:rsidRDefault="00BD06C4" w:rsidP="00BD06C4">
            <w:pPr>
              <w:pStyle w:val="NoSpacing"/>
              <w:numPr>
                <w:ilvl w:val="0"/>
                <w:numId w:val="94"/>
              </w:numPr>
              <w:rPr>
                <w:lang w:val="en-GB"/>
              </w:rPr>
            </w:pPr>
            <w:r w:rsidRPr="00DD4281">
              <w:rPr>
                <w:i/>
                <w:lang w:val="en-GB"/>
              </w:rPr>
              <w:t xml:space="preserve">Empirical analysis: </w:t>
            </w:r>
            <w:r w:rsidRPr="00DD4281">
              <w:rPr>
                <w:lang w:val="en-GB"/>
              </w:rPr>
              <w:t>Statistical analysis of available datasets on citizen satisfaction with healthcare and education services</w:t>
            </w:r>
            <w:r w:rsidRPr="00DD4281">
              <w:rPr>
                <w:vertAlign w:val="superscript"/>
                <w:lang w:val="en-GB"/>
              </w:rPr>
              <w:footnoteReference w:id="65"/>
            </w:r>
            <w:r w:rsidRPr="00DD4281">
              <w:rPr>
                <w:lang w:val="en-GB"/>
              </w:rPr>
              <w:t xml:space="preserve"> shows that the demographic variables that are most strongly correlated with satisfaction with healthcare and education services are (1) income (by far the strongest determinant of satisfaction levels), (2) sex, and (3) place of residence (rural/urban). There is no statistically significant association between the age of respondents and satisfaction levels. </w:t>
            </w:r>
          </w:p>
          <w:p w14:paraId="71487E26" w14:textId="77777777" w:rsidR="00BD06C4" w:rsidRPr="00DD4281" w:rsidRDefault="00BD06C4" w:rsidP="00BD06C4">
            <w:pPr>
              <w:pStyle w:val="NoSpacing"/>
            </w:pPr>
          </w:p>
          <w:p w14:paraId="051C7D55" w14:textId="77777777" w:rsidR="00BD06C4" w:rsidRPr="005452E6" w:rsidRDefault="00BD06C4" w:rsidP="00BD06C4">
            <w:pPr>
              <w:pStyle w:val="NoSpacing"/>
              <w:rPr>
                <w:b/>
                <w:bCs/>
              </w:rPr>
            </w:pPr>
            <w:r w:rsidRPr="005452E6">
              <w:rPr>
                <w:b/>
                <w:bCs/>
              </w:rPr>
              <w:t>Computation method</w:t>
            </w:r>
          </w:p>
          <w:p w14:paraId="3100CD5E" w14:textId="77777777" w:rsidR="00BD06C4" w:rsidRPr="005452E6" w:rsidRDefault="00BD06C4" w:rsidP="00BD06C4">
            <w:pPr>
              <w:pStyle w:val="NoSpacing"/>
              <w:rPr>
                <w:b/>
                <w:bCs/>
              </w:rPr>
            </w:pPr>
          </w:p>
          <w:p w14:paraId="06D35E6D" w14:textId="77777777" w:rsidR="00BD06C4" w:rsidRPr="000C4849" w:rsidRDefault="00BD06C4" w:rsidP="00BD06C4">
            <w:pPr>
              <w:pStyle w:val="NoSpacing"/>
              <w:rPr>
                <w:bCs/>
              </w:rPr>
            </w:pPr>
            <w:r w:rsidRPr="000C4849">
              <w:rPr>
                <w:bCs/>
              </w:rPr>
              <w:t>Reporting on SDG 16.6.2 should be done separately for each of the three service areas. (NB: questions on education may refer to either primary or secondary education – and separate computation of results is recommended for the two levels, resulting in de facto four service areas). Computation involves the computation and reporting of the following three estimates, for each service area:</w:t>
            </w:r>
          </w:p>
          <w:p w14:paraId="75DA35D0" w14:textId="77777777" w:rsidR="00BD06C4" w:rsidRPr="000C4849" w:rsidRDefault="00BD06C4" w:rsidP="00BD06C4">
            <w:pPr>
              <w:pStyle w:val="NoSpacing"/>
              <w:rPr>
                <w:bCs/>
              </w:rPr>
            </w:pPr>
          </w:p>
          <w:p w14:paraId="4F4F71EF" w14:textId="77777777" w:rsidR="00BD06C4" w:rsidRPr="000C4849" w:rsidRDefault="00BD06C4" w:rsidP="00BD06C4">
            <w:pPr>
              <w:pStyle w:val="NoSpacing"/>
              <w:rPr>
                <w:bCs/>
              </w:rPr>
            </w:pPr>
            <w:r w:rsidRPr="000C4849">
              <w:rPr>
                <w:bCs/>
              </w:rPr>
              <w:t>1)</w:t>
            </w:r>
            <w:r w:rsidRPr="000C4849">
              <w:rPr>
                <w:bCs/>
              </w:rPr>
              <w:tab/>
              <w:t>The share of respondents who responded positively (i.e. ‘strongly agree ‘ or ‘agree’) to each of the five attributes questions;</w:t>
            </w:r>
          </w:p>
          <w:p w14:paraId="35D2C3F4" w14:textId="77777777" w:rsidR="00BD06C4" w:rsidRPr="000C4849" w:rsidRDefault="00BD06C4" w:rsidP="00BD06C4">
            <w:pPr>
              <w:pStyle w:val="NoSpacing"/>
              <w:rPr>
                <w:bCs/>
              </w:rPr>
            </w:pPr>
            <w:r w:rsidRPr="000C4849">
              <w:rPr>
                <w:bCs/>
              </w:rPr>
              <w:t>2)</w:t>
            </w:r>
            <w:r w:rsidRPr="000C4849">
              <w:rPr>
                <w:bCs/>
              </w:rPr>
              <w:tab/>
              <w:t>The simple average of positive reponses for the five attribute questions combined; and</w:t>
            </w:r>
          </w:p>
          <w:p w14:paraId="71B43138" w14:textId="77777777" w:rsidR="00BD06C4" w:rsidRPr="000C4849" w:rsidRDefault="00BD06C4" w:rsidP="00BD06C4">
            <w:pPr>
              <w:pStyle w:val="NoSpacing"/>
              <w:rPr>
                <w:bCs/>
              </w:rPr>
            </w:pPr>
            <w:r w:rsidRPr="000C4849">
              <w:rPr>
                <w:bCs/>
              </w:rPr>
              <w:t>3)</w:t>
            </w:r>
            <w:r w:rsidRPr="000C4849">
              <w:rPr>
                <w:bCs/>
              </w:rPr>
              <w:tab/>
              <w:t>The share of respondents who say they are satisfied (i.e. those who responded ‘very satisfied’ or ‘satisfied’) in the overall satisfaction question.</w:t>
            </w:r>
          </w:p>
          <w:p w14:paraId="28D1196C" w14:textId="77777777" w:rsidR="00BD06C4" w:rsidRDefault="00BD06C4" w:rsidP="00BD06C4">
            <w:pPr>
              <w:pStyle w:val="NoSpacing"/>
              <w:rPr>
                <w:b/>
                <w:bCs/>
              </w:rPr>
            </w:pPr>
          </w:p>
          <w:p w14:paraId="78C9033F" w14:textId="77777777" w:rsidR="00BD06C4" w:rsidRPr="007E0AB8" w:rsidRDefault="00BD06C4" w:rsidP="00BD06C4">
            <w:pPr>
              <w:shd w:val="clear" w:color="auto" w:fill="FFFFFF" w:themeFill="background1"/>
              <w:rPr>
                <w:rFonts w:asciiTheme="minorHAnsi" w:hAnsiTheme="minorHAnsi" w:cstheme="minorBidi"/>
                <w:color w:val="000000" w:themeColor="text1"/>
                <w:sz w:val="21"/>
                <w:szCs w:val="21"/>
                <w:lang w:eastAsia="en-GB"/>
              </w:rPr>
            </w:pPr>
            <w:r w:rsidRPr="00A24226">
              <w:rPr>
                <w:rFonts w:asciiTheme="minorHAnsi" w:hAnsiTheme="minorHAnsi" w:cstheme="minorBidi"/>
                <w:bCs/>
                <w:color w:val="000000" w:themeColor="text1"/>
                <w:sz w:val="21"/>
                <w:szCs w:val="21"/>
                <w:lang w:eastAsia="en-GB"/>
              </w:rPr>
              <w:t xml:space="preserve">For instance: </w:t>
            </w:r>
            <w:r w:rsidRPr="007E0AB8">
              <w:rPr>
                <w:rFonts w:asciiTheme="minorHAnsi" w:hAnsiTheme="minorHAnsi" w:cstheme="minorBidi"/>
                <w:color w:val="000000" w:themeColor="text1"/>
                <w:sz w:val="21"/>
                <w:szCs w:val="21"/>
                <w:lang w:eastAsia="en-GB"/>
              </w:rPr>
              <w:t xml:space="preserve"> </w:t>
            </w:r>
          </w:p>
          <w:tbl>
            <w:tblPr>
              <w:tblStyle w:val="TableGrid"/>
              <w:tblW w:w="3503" w:type="dxa"/>
              <w:tblLook w:val="04A0" w:firstRow="1" w:lastRow="0" w:firstColumn="1" w:lastColumn="0" w:noHBand="0" w:noVBand="1"/>
            </w:tblPr>
            <w:tblGrid>
              <w:gridCol w:w="876"/>
              <w:gridCol w:w="1442"/>
              <w:gridCol w:w="876"/>
              <w:gridCol w:w="731"/>
              <w:gridCol w:w="876"/>
              <w:gridCol w:w="731"/>
              <w:gridCol w:w="878"/>
              <w:gridCol w:w="731"/>
            </w:tblGrid>
            <w:tr w:rsidR="00BD06C4" w:rsidRPr="00A24226" w14:paraId="00DE59D6" w14:textId="77777777" w:rsidTr="00A64F0D">
              <w:trPr>
                <w:trHeight w:val="873"/>
              </w:trPr>
              <w:tc>
                <w:tcPr>
                  <w:tcW w:w="634" w:type="pct"/>
                  <w:shd w:val="clear" w:color="auto" w:fill="D9D9D9" w:themeFill="background1" w:themeFillShade="D9"/>
                  <w:tcMar>
                    <w:left w:w="28" w:type="dxa"/>
                    <w:right w:w="28" w:type="dxa"/>
                  </w:tcMar>
                </w:tcPr>
                <w:p w14:paraId="528E7EDF"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Attributes of healthcare services</w:t>
                  </w:r>
                </w:p>
              </w:tc>
              <w:tc>
                <w:tcPr>
                  <w:tcW w:w="641" w:type="pct"/>
                  <w:shd w:val="clear" w:color="auto" w:fill="D9D9D9" w:themeFill="background1" w:themeFillShade="D9"/>
                  <w:tcMar>
                    <w:left w:w="28" w:type="dxa"/>
                    <w:right w:w="28" w:type="dxa"/>
                  </w:tcMar>
                </w:tcPr>
                <w:p w14:paraId="3FA61BEF"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val="en-GB" w:eastAsia="zh-CN"/>
                    </w:rPr>
                    <w:t>Positive responses</w:t>
                  </w:r>
                </w:p>
              </w:tc>
              <w:tc>
                <w:tcPr>
                  <w:tcW w:w="642" w:type="pct"/>
                  <w:shd w:val="clear" w:color="auto" w:fill="D9D9D9" w:themeFill="background1" w:themeFillShade="D9"/>
                  <w:tcMar>
                    <w:left w:w="28" w:type="dxa"/>
                    <w:right w:w="28" w:type="dxa"/>
                  </w:tcMar>
                </w:tcPr>
                <w:p w14:paraId="628A8161"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Attributes of primary education services</w:t>
                  </w:r>
                </w:p>
              </w:tc>
              <w:tc>
                <w:tcPr>
                  <w:tcW w:w="514" w:type="pct"/>
                  <w:shd w:val="clear" w:color="auto" w:fill="D9D9D9" w:themeFill="background1" w:themeFillShade="D9"/>
                  <w:tcMar>
                    <w:left w:w="28" w:type="dxa"/>
                    <w:right w:w="28" w:type="dxa"/>
                  </w:tcMar>
                </w:tcPr>
                <w:p w14:paraId="7692531B"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Positive responses</w:t>
                  </w:r>
                </w:p>
              </w:tc>
              <w:tc>
                <w:tcPr>
                  <w:tcW w:w="642" w:type="pct"/>
                  <w:shd w:val="clear" w:color="auto" w:fill="D9D9D9" w:themeFill="background1" w:themeFillShade="D9"/>
                  <w:tcMar>
                    <w:left w:w="28" w:type="dxa"/>
                    <w:right w:w="28" w:type="dxa"/>
                  </w:tcMar>
                </w:tcPr>
                <w:p w14:paraId="668B3016"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Attributes of secondary education services</w:t>
                  </w:r>
                </w:p>
              </w:tc>
              <w:tc>
                <w:tcPr>
                  <w:tcW w:w="642" w:type="pct"/>
                  <w:shd w:val="clear" w:color="auto" w:fill="D9D9D9" w:themeFill="background1" w:themeFillShade="D9"/>
                  <w:tcMar>
                    <w:left w:w="28" w:type="dxa"/>
                    <w:right w:w="28" w:type="dxa"/>
                  </w:tcMar>
                </w:tcPr>
                <w:p w14:paraId="04C0B0CF"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val="en-GB" w:eastAsia="zh-CN"/>
                    </w:rPr>
                    <w:t>Positive responses</w:t>
                  </w:r>
                </w:p>
              </w:tc>
              <w:tc>
                <w:tcPr>
                  <w:tcW w:w="655" w:type="pct"/>
                  <w:shd w:val="clear" w:color="auto" w:fill="D9D9D9" w:themeFill="background1" w:themeFillShade="D9"/>
                  <w:tcMar>
                    <w:left w:w="28" w:type="dxa"/>
                    <w:right w:w="28" w:type="dxa"/>
                  </w:tcMar>
                </w:tcPr>
                <w:p w14:paraId="6F4BAF7E"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Attributes of government services</w:t>
                  </w:r>
                </w:p>
              </w:tc>
              <w:tc>
                <w:tcPr>
                  <w:tcW w:w="629" w:type="pct"/>
                  <w:shd w:val="clear" w:color="auto" w:fill="D9D9D9" w:themeFill="background1" w:themeFillShade="D9"/>
                  <w:tcMar>
                    <w:left w:w="28" w:type="dxa"/>
                    <w:right w:w="28" w:type="dxa"/>
                  </w:tcMar>
                </w:tcPr>
                <w:p w14:paraId="45985AC0" w14:textId="77777777" w:rsidR="00BD06C4" w:rsidRPr="00A24226" w:rsidRDefault="00BD06C4" w:rsidP="00BD06C4">
                  <w:pPr>
                    <w:pStyle w:val="Default"/>
                    <w:jc w:val="center"/>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val="en-GB" w:eastAsia="zh-CN"/>
                    </w:rPr>
                    <w:t>Positive responses</w:t>
                  </w:r>
                </w:p>
              </w:tc>
            </w:tr>
            <w:tr w:rsidR="00BD06C4" w:rsidRPr="00A24226" w14:paraId="5ADFE783" w14:textId="77777777" w:rsidTr="00A64F0D">
              <w:trPr>
                <w:trHeight w:val="1099"/>
              </w:trPr>
              <w:tc>
                <w:tcPr>
                  <w:tcW w:w="634" w:type="pct"/>
                  <w:tcMar>
                    <w:left w:w="28" w:type="dxa"/>
                    <w:right w:w="28" w:type="dxa"/>
                  </w:tcMar>
                </w:tcPr>
                <w:p w14:paraId="6D29114D"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Accessibility</w:t>
                  </w:r>
                </w:p>
              </w:tc>
              <w:tc>
                <w:tcPr>
                  <w:tcW w:w="641" w:type="pct"/>
                  <w:tcMar>
                    <w:left w:w="28" w:type="dxa"/>
                    <w:right w:w="28" w:type="dxa"/>
                  </w:tcMar>
                </w:tcPr>
                <w:p w14:paraId="5B899768" w14:textId="77777777" w:rsidR="00BD06C4" w:rsidRPr="00A24226" w:rsidRDefault="00BD06C4" w:rsidP="00BD06C4">
                  <w:pPr>
                    <w:pStyle w:val="Default"/>
                    <w:rPr>
                      <w:rFonts w:asciiTheme="minorHAnsi" w:eastAsiaTheme="minorEastAsia" w:hAnsiTheme="minorHAnsi" w:cstheme="minorHAnsi"/>
                      <w:i/>
                      <w:sz w:val="18"/>
                      <w:szCs w:val="18"/>
                      <w:lang w:eastAsia="zh-CN"/>
                    </w:rPr>
                  </w:pPr>
                  <w:r w:rsidRPr="00A24226">
                    <w:rPr>
                      <w:rFonts w:asciiTheme="minorHAnsi" w:hAnsiTheme="minorHAnsi" w:cstheme="minorHAnsi"/>
                      <w:i/>
                      <w:sz w:val="18"/>
                      <w:szCs w:val="18"/>
                      <w:lang w:eastAsia="zh-CN"/>
                    </w:rPr>
                    <w:t>50% respondents 'strongly agree' or 'agree'</w:t>
                  </w:r>
                </w:p>
              </w:tc>
              <w:tc>
                <w:tcPr>
                  <w:tcW w:w="642" w:type="pct"/>
                  <w:tcMar>
                    <w:left w:w="28" w:type="dxa"/>
                    <w:right w:w="28" w:type="dxa"/>
                  </w:tcMar>
                </w:tcPr>
                <w:p w14:paraId="48824D78"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 xml:space="preserve">Accessibility </w:t>
                  </w:r>
                </w:p>
              </w:tc>
              <w:tc>
                <w:tcPr>
                  <w:tcW w:w="514" w:type="pct"/>
                  <w:tcMar>
                    <w:left w:w="28" w:type="dxa"/>
                    <w:right w:w="28" w:type="dxa"/>
                  </w:tcMar>
                </w:tcPr>
                <w:p w14:paraId="49E2C285"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42" w:type="pct"/>
                  <w:tcMar>
                    <w:left w:w="28" w:type="dxa"/>
                    <w:right w:w="28" w:type="dxa"/>
                  </w:tcMar>
                </w:tcPr>
                <w:p w14:paraId="1B4D3E90"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 xml:space="preserve">Accessibility </w:t>
                  </w:r>
                </w:p>
              </w:tc>
              <w:tc>
                <w:tcPr>
                  <w:tcW w:w="642" w:type="pct"/>
                  <w:tcMar>
                    <w:left w:w="28" w:type="dxa"/>
                    <w:right w:w="28" w:type="dxa"/>
                  </w:tcMar>
                </w:tcPr>
                <w:p w14:paraId="7D65D068"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55" w:type="pct"/>
                  <w:tcMar>
                    <w:left w:w="28" w:type="dxa"/>
                    <w:right w:w="28" w:type="dxa"/>
                  </w:tcMar>
                </w:tcPr>
                <w:p w14:paraId="45F92B87"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 xml:space="preserve">Accessibility </w:t>
                  </w:r>
                </w:p>
              </w:tc>
              <w:tc>
                <w:tcPr>
                  <w:tcW w:w="629" w:type="pct"/>
                  <w:tcMar>
                    <w:left w:w="28" w:type="dxa"/>
                    <w:right w:w="28" w:type="dxa"/>
                  </w:tcMar>
                </w:tcPr>
                <w:p w14:paraId="0307BCBA"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r>
            <w:tr w:rsidR="00BD06C4" w:rsidRPr="00A24226" w14:paraId="4A79688A" w14:textId="77777777" w:rsidTr="00A64F0D">
              <w:trPr>
                <w:trHeight w:val="1099"/>
              </w:trPr>
              <w:tc>
                <w:tcPr>
                  <w:tcW w:w="634" w:type="pct"/>
                  <w:tcMar>
                    <w:left w:w="28" w:type="dxa"/>
                    <w:right w:w="28" w:type="dxa"/>
                  </w:tcMar>
                </w:tcPr>
                <w:p w14:paraId="5AC1726B"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lastRenderedPageBreak/>
                    <w:t>Affordability</w:t>
                  </w:r>
                </w:p>
              </w:tc>
              <w:tc>
                <w:tcPr>
                  <w:tcW w:w="641" w:type="pct"/>
                  <w:tcMar>
                    <w:left w:w="28" w:type="dxa"/>
                    <w:right w:w="28" w:type="dxa"/>
                  </w:tcMar>
                </w:tcPr>
                <w:p w14:paraId="4A4F5DF1" w14:textId="77777777" w:rsidR="00BD06C4" w:rsidRPr="00A24226" w:rsidRDefault="00BD06C4" w:rsidP="00BD06C4">
                  <w:pPr>
                    <w:pStyle w:val="Default"/>
                    <w:rPr>
                      <w:rFonts w:asciiTheme="minorHAnsi" w:eastAsiaTheme="minorEastAsia" w:hAnsiTheme="minorHAnsi" w:cstheme="minorHAnsi"/>
                      <w:i/>
                      <w:sz w:val="18"/>
                      <w:szCs w:val="18"/>
                      <w:lang w:eastAsia="zh-CN"/>
                    </w:rPr>
                  </w:pPr>
                  <w:r w:rsidRPr="00A24226">
                    <w:rPr>
                      <w:rFonts w:asciiTheme="minorHAnsi" w:hAnsiTheme="minorHAnsi" w:cstheme="minorHAnsi"/>
                      <w:i/>
                      <w:sz w:val="18"/>
                      <w:szCs w:val="18"/>
                      <w:lang w:eastAsia="zh-CN"/>
                    </w:rPr>
                    <w:t>60% respondents 'strongly agree' or 'agree'</w:t>
                  </w:r>
                </w:p>
              </w:tc>
              <w:tc>
                <w:tcPr>
                  <w:tcW w:w="642" w:type="pct"/>
                  <w:tcMar>
                    <w:left w:w="28" w:type="dxa"/>
                    <w:right w:w="28" w:type="dxa"/>
                  </w:tcMar>
                </w:tcPr>
                <w:p w14:paraId="61D3D60B"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Affordability</w:t>
                  </w:r>
                </w:p>
              </w:tc>
              <w:tc>
                <w:tcPr>
                  <w:tcW w:w="514" w:type="pct"/>
                  <w:tcMar>
                    <w:left w:w="28" w:type="dxa"/>
                    <w:right w:w="28" w:type="dxa"/>
                  </w:tcMar>
                </w:tcPr>
                <w:p w14:paraId="16C748A1"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42" w:type="pct"/>
                  <w:tcMar>
                    <w:left w:w="28" w:type="dxa"/>
                    <w:right w:w="28" w:type="dxa"/>
                  </w:tcMar>
                </w:tcPr>
                <w:p w14:paraId="7639F9CA"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Affordability</w:t>
                  </w:r>
                </w:p>
              </w:tc>
              <w:tc>
                <w:tcPr>
                  <w:tcW w:w="642" w:type="pct"/>
                  <w:tcMar>
                    <w:left w:w="28" w:type="dxa"/>
                    <w:right w:w="28" w:type="dxa"/>
                  </w:tcMar>
                </w:tcPr>
                <w:p w14:paraId="2930A828"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55" w:type="pct"/>
                  <w:tcMar>
                    <w:left w:w="28" w:type="dxa"/>
                    <w:right w:w="28" w:type="dxa"/>
                  </w:tcMar>
                </w:tcPr>
                <w:p w14:paraId="4AAFBE0E"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Affordability</w:t>
                  </w:r>
                </w:p>
              </w:tc>
              <w:tc>
                <w:tcPr>
                  <w:tcW w:w="629" w:type="pct"/>
                  <w:tcMar>
                    <w:left w:w="28" w:type="dxa"/>
                    <w:right w:w="28" w:type="dxa"/>
                  </w:tcMar>
                </w:tcPr>
                <w:p w14:paraId="531AE96A"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r>
            <w:tr w:rsidR="00BD06C4" w:rsidRPr="00A24226" w14:paraId="18C80341" w14:textId="77777777" w:rsidTr="00A64F0D">
              <w:trPr>
                <w:trHeight w:val="1099"/>
              </w:trPr>
              <w:tc>
                <w:tcPr>
                  <w:tcW w:w="634" w:type="pct"/>
                  <w:tcMar>
                    <w:left w:w="28" w:type="dxa"/>
                    <w:right w:w="28" w:type="dxa"/>
                  </w:tcMar>
                </w:tcPr>
                <w:p w14:paraId="2EAC5897"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 xml:space="preserve">Quality of facilities </w:t>
                  </w:r>
                </w:p>
              </w:tc>
              <w:tc>
                <w:tcPr>
                  <w:tcW w:w="641" w:type="pct"/>
                  <w:tcMar>
                    <w:left w:w="28" w:type="dxa"/>
                    <w:right w:w="28" w:type="dxa"/>
                  </w:tcMar>
                </w:tcPr>
                <w:p w14:paraId="24CF6642" w14:textId="77777777" w:rsidR="00BD06C4" w:rsidRPr="00A24226" w:rsidRDefault="00BD06C4" w:rsidP="00BD06C4">
                  <w:pPr>
                    <w:pStyle w:val="Default"/>
                    <w:rPr>
                      <w:rFonts w:asciiTheme="minorHAnsi" w:eastAsiaTheme="minorEastAsia" w:hAnsiTheme="minorHAnsi" w:cstheme="minorHAnsi"/>
                      <w:i/>
                      <w:sz w:val="18"/>
                      <w:szCs w:val="18"/>
                      <w:lang w:eastAsia="zh-CN"/>
                    </w:rPr>
                  </w:pPr>
                  <w:r w:rsidRPr="00A24226">
                    <w:rPr>
                      <w:rFonts w:asciiTheme="minorHAnsi" w:hAnsiTheme="minorHAnsi" w:cstheme="minorHAnsi"/>
                      <w:i/>
                      <w:sz w:val="18"/>
                      <w:szCs w:val="18"/>
                      <w:lang w:eastAsia="zh-CN"/>
                    </w:rPr>
                    <w:t>73% respondents 'strongly agree' or 'agree'</w:t>
                  </w:r>
                </w:p>
              </w:tc>
              <w:tc>
                <w:tcPr>
                  <w:tcW w:w="642" w:type="pct"/>
                  <w:tcMar>
                    <w:left w:w="28" w:type="dxa"/>
                    <w:right w:w="28" w:type="dxa"/>
                  </w:tcMar>
                </w:tcPr>
                <w:p w14:paraId="4392BDCE"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 xml:space="preserve">Quality of facilities </w:t>
                  </w:r>
                </w:p>
              </w:tc>
              <w:tc>
                <w:tcPr>
                  <w:tcW w:w="514" w:type="pct"/>
                  <w:tcMar>
                    <w:left w:w="28" w:type="dxa"/>
                    <w:right w:w="28" w:type="dxa"/>
                  </w:tcMar>
                </w:tcPr>
                <w:p w14:paraId="6F885AC7"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42" w:type="pct"/>
                  <w:tcMar>
                    <w:left w:w="28" w:type="dxa"/>
                    <w:right w:w="28" w:type="dxa"/>
                  </w:tcMar>
                </w:tcPr>
                <w:p w14:paraId="5D0F876B"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 xml:space="preserve">Quality of facilities </w:t>
                  </w:r>
                </w:p>
              </w:tc>
              <w:tc>
                <w:tcPr>
                  <w:tcW w:w="642" w:type="pct"/>
                  <w:tcMar>
                    <w:left w:w="28" w:type="dxa"/>
                    <w:right w:w="28" w:type="dxa"/>
                  </w:tcMar>
                </w:tcPr>
                <w:p w14:paraId="37CAE8EA"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55" w:type="pct"/>
                  <w:tcMar>
                    <w:left w:w="28" w:type="dxa"/>
                    <w:right w:w="28" w:type="dxa"/>
                  </w:tcMar>
                </w:tcPr>
                <w:p w14:paraId="7E563910"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Effective service delivery process</w:t>
                  </w:r>
                </w:p>
              </w:tc>
              <w:tc>
                <w:tcPr>
                  <w:tcW w:w="629" w:type="pct"/>
                  <w:tcMar>
                    <w:left w:w="28" w:type="dxa"/>
                    <w:right w:w="28" w:type="dxa"/>
                  </w:tcMar>
                </w:tcPr>
                <w:p w14:paraId="4CD815C5"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r>
            <w:tr w:rsidR="00BD06C4" w:rsidRPr="00A24226" w14:paraId="55226143" w14:textId="77777777" w:rsidTr="00A64F0D">
              <w:trPr>
                <w:trHeight w:val="1099"/>
              </w:trPr>
              <w:tc>
                <w:tcPr>
                  <w:tcW w:w="634" w:type="pct"/>
                  <w:tcMar>
                    <w:left w:w="28" w:type="dxa"/>
                    <w:right w:w="28" w:type="dxa"/>
                  </w:tcMar>
                </w:tcPr>
                <w:p w14:paraId="4C31A28A"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 xml:space="preserve">Equal treatment for everyone </w:t>
                  </w:r>
                </w:p>
              </w:tc>
              <w:tc>
                <w:tcPr>
                  <w:tcW w:w="641" w:type="pct"/>
                  <w:tcMar>
                    <w:left w:w="28" w:type="dxa"/>
                    <w:right w:w="28" w:type="dxa"/>
                  </w:tcMar>
                </w:tcPr>
                <w:p w14:paraId="27355E61" w14:textId="77777777" w:rsidR="00BD06C4" w:rsidRPr="00A24226" w:rsidRDefault="00BD06C4" w:rsidP="00BD06C4">
                  <w:pPr>
                    <w:pStyle w:val="Default"/>
                    <w:rPr>
                      <w:rFonts w:asciiTheme="minorHAnsi" w:eastAsiaTheme="minorEastAsia" w:hAnsiTheme="minorHAnsi" w:cstheme="minorHAnsi"/>
                      <w:i/>
                      <w:sz w:val="18"/>
                      <w:szCs w:val="18"/>
                      <w:lang w:eastAsia="zh-CN"/>
                    </w:rPr>
                  </w:pPr>
                  <w:r w:rsidRPr="00A24226">
                    <w:rPr>
                      <w:rFonts w:asciiTheme="minorHAnsi" w:hAnsiTheme="minorHAnsi" w:cstheme="minorHAnsi"/>
                      <w:i/>
                      <w:sz w:val="18"/>
                      <w:szCs w:val="18"/>
                      <w:lang w:eastAsia="zh-CN"/>
                    </w:rPr>
                    <w:t>55% respondents 'strongly agree' or 'agree'</w:t>
                  </w:r>
                </w:p>
              </w:tc>
              <w:tc>
                <w:tcPr>
                  <w:tcW w:w="642" w:type="pct"/>
                  <w:tcMar>
                    <w:left w:w="28" w:type="dxa"/>
                    <w:right w:w="28" w:type="dxa"/>
                  </w:tcMar>
                </w:tcPr>
                <w:p w14:paraId="45726556"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Equal treatment for everyone</w:t>
                  </w:r>
                </w:p>
              </w:tc>
              <w:tc>
                <w:tcPr>
                  <w:tcW w:w="514" w:type="pct"/>
                  <w:tcMar>
                    <w:left w:w="28" w:type="dxa"/>
                    <w:right w:w="28" w:type="dxa"/>
                  </w:tcMar>
                </w:tcPr>
                <w:p w14:paraId="50A673A0"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42" w:type="pct"/>
                  <w:tcMar>
                    <w:left w:w="28" w:type="dxa"/>
                    <w:right w:w="28" w:type="dxa"/>
                  </w:tcMar>
                </w:tcPr>
                <w:p w14:paraId="1CAEA3BC"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Equal treatment for everyone</w:t>
                  </w:r>
                </w:p>
              </w:tc>
              <w:tc>
                <w:tcPr>
                  <w:tcW w:w="642" w:type="pct"/>
                  <w:tcMar>
                    <w:left w:w="28" w:type="dxa"/>
                    <w:right w:w="28" w:type="dxa"/>
                  </w:tcMar>
                </w:tcPr>
                <w:p w14:paraId="72CC1845" w14:textId="77777777" w:rsidR="00BD06C4" w:rsidRPr="00A24226" w:rsidRDefault="00BD06C4" w:rsidP="00BD06C4">
                  <w:pPr>
                    <w:pStyle w:val="Default"/>
                    <w:rPr>
                      <w:rFonts w:asciiTheme="minorHAnsi" w:eastAsiaTheme="minorEastAsia" w:hAnsiTheme="minorHAnsi" w:cstheme="minorHAnsi"/>
                      <w:sz w:val="18"/>
                      <w:szCs w:val="18"/>
                      <w:highlight w:val="yellow"/>
                      <w:lang w:eastAsia="zh-CN"/>
                    </w:rPr>
                  </w:pPr>
                </w:p>
              </w:tc>
              <w:tc>
                <w:tcPr>
                  <w:tcW w:w="655" w:type="pct"/>
                  <w:tcMar>
                    <w:left w:w="28" w:type="dxa"/>
                    <w:right w:w="28" w:type="dxa"/>
                  </w:tcMar>
                </w:tcPr>
                <w:p w14:paraId="1ACBF905"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Equal treatment for everyone</w:t>
                  </w:r>
                </w:p>
              </w:tc>
              <w:tc>
                <w:tcPr>
                  <w:tcW w:w="629" w:type="pct"/>
                  <w:tcMar>
                    <w:left w:w="28" w:type="dxa"/>
                    <w:right w:w="28" w:type="dxa"/>
                  </w:tcMar>
                </w:tcPr>
                <w:p w14:paraId="1E1CE24D" w14:textId="77777777" w:rsidR="00BD06C4" w:rsidRPr="00A24226" w:rsidRDefault="00BD06C4" w:rsidP="00BD06C4">
                  <w:pPr>
                    <w:pStyle w:val="Default"/>
                    <w:rPr>
                      <w:rFonts w:asciiTheme="minorHAnsi" w:eastAsiaTheme="minorEastAsia" w:hAnsiTheme="minorHAnsi" w:cstheme="minorHAnsi"/>
                      <w:sz w:val="18"/>
                      <w:szCs w:val="18"/>
                      <w:highlight w:val="yellow"/>
                      <w:lang w:eastAsia="zh-CN"/>
                    </w:rPr>
                  </w:pPr>
                </w:p>
              </w:tc>
            </w:tr>
            <w:tr w:rsidR="00BD06C4" w:rsidRPr="00A24226" w14:paraId="3F810C62" w14:textId="77777777" w:rsidTr="00A64F0D">
              <w:trPr>
                <w:trHeight w:val="1084"/>
              </w:trPr>
              <w:tc>
                <w:tcPr>
                  <w:tcW w:w="634" w:type="pct"/>
                  <w:tcMar>
                    <w:left w:w="28" w:type="dxa"/>
                    <w:right w:w="28" w:type="dxa"/>
                  </w:tcMar>
                </w:tcPr>
                <w:p w14:paraId="22FA3782"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eastAsiaTheme="minorEastAsia"/>
                      <w:sz w:val="18"/>
                      <w:szCs w:val="18"/>
                      <w:lang w:eastAsia="zh-CN"/>
                    </w:rPr>
                    <w:t>Courtesy and treatment (A</w:t>
                  </w:r>
                  <w:r w:rsidRPr="00A24226">
                    <w:rPr>
                      <w:rFonts w:asciiTheme="minorHAnsi" w:eastAsiaTheme="minorEastAsia" w:hAnsiTheme="minorHAnsi" w:cstheme="minorHAnsi"/>
                      <w:sz w:val="18"/>
                      <w:szCs w:val="18"/>
                      <w:lang w:eastAsia="zh-CN"/>
                    </w:rPr>
                    <w:t>ttitude of healthcare staff)</w:t>
                  </w:r>
                </w:p>
              </w:tc>
              <w:tc>
                <w:tcPr>
                  <w:tcW w:w="641" w:type="pct"/>
                  <w:tcMar>
                    <w:left w:w="28" w:type="dxa"/>
                    <w:right w:w="28" w:type="dxa"/>
                  </w:tcMar>
                </w:tcPr>
                <w:p w14:paraId="74304CD7" w14:textId="77777777" w:rsidR="00BD06C4" w:rsidRPr="00A24226" w:rsidRDefault="00BD06C4" w:rsidP="00BD06C4">
                  <w:pPr>
                    <w:pStyle w:val="Default"/>
                    <w:rPr>
                      <w:rFonts w:asciiTheme="minorHAnsi" w:eastAsiaTheme="minorEastAsia" w:hAnsiTheme="minorHAnsi" w:cstheme="minorHAnsi"/>
                      <w:i/>
                      <w:sz w:val="18"/>
                      <w:szCs w:val="18"/>
                      <w:lang w:eastAsia="zh-CN"/>
                    </w:rPr>
                  </w:pPr>
                  <w:r w:rsidRPr="00A24226">
                    <w:rPr>
                      <w:rFonts w:asciiTheme="minorHAnsi" w:hAnsiTheme="minorHAnsi" w:cstheme="minorHAnsi"/>
                      <w:i/>
                      <w:sz w:val="18"/>
                      <w:szCs w:val="18"/>
                      <w:lang w:eastAsia="zh-CN"/>
                    </w:rPr>
                    <w:t>42% respondents 'strongly agree' or 'agree'</w:t>
                  </w:r>
                </w:p>
              </w:tc>
              <w:tc>
                <w:tcPr>
                  <w:tcW w:w="642" w:type="pct"/>
                  <w:tcMar>
                    <w:left w:w="28" w:type="dxa"/>
                    <w:right w:w="28" w:type="dxa"/>
                  </w:tcMar>
                </w:tcPr>
                <w:p w14:paraId="7C00D368" w14:textId="77777777" w:rsidR="00BD06C4" w:rsidRPr="00A24226" w:rsidRDefault="00BD06C4" w:rsidP="00BD06C4">
                  <w:pPr>
                    <w:pStyle w:val="Default"/>
                    <w:rPr>
                      <w:rFonts w:eastAsiaTheme="minorEastAsia"/>
                      <w:sz w:val="18"/>
                      <w:szCs w:val="18"/>
                      <w:lang w:eastAsia="zh-CN"/>
                    </w:rPr>
                  </w:pPr>
                  <w:r w:rsidRPr="00A24226">
                    <w:rPr>
                      <w:rFonts w:eastAsiaTheme="minorEastAsia"/>
                      <w:sz w:val="18"/>
                      <w:szCs w:val="18"/>
                      <w:lang w:eastAsia="zh-CN"/>
                    </w:rPr>
                    <w:t>Effective delivery of service (</w:t>
                  </w:r>
                  <w:r w:rsidRPr="00A24226">
                    <w:rPr>
                      <w:rFonts w:asciiTheme="minorHAnsi" w:eastAsiaTheme="minorEastAsia" w:hAnsiTheme="minorHAnsi" w:cstheme="minorHAnsi"/>
                      <w:sz w:val="18"/>
                      <w:szCs w:val="18"/>
                      <w:lang w:eastAsia="zh-CN"/>
                    </w:rPr>
                    <w:t xml:space="preserve">Quality of teaching) </w:t>
                  </w:r>
                </w:p>
              </w:tc>
              <w:tc>
                <w:tcPr>
                  <w:tcW w:w="514" w:type="pct"/>
                  <w:tcMar>
                    <w:left w:w="28" w:type="dxa"/>
                    <w:right w:w="28" w:type="dxa"/>
                  </w:tcMar>
                </w:tcPr>
                <w:p w14:paraId="46BB2DFF" w14:textId="77777777" w:rsidR="00BD06C4" w:rsidRPr="00A24226" w:rsidRDefault="00BD06C4" w:rsidP="00BD06C4">
                  <w:pPr>
                    <w:pStyle w:val="Default"/>
                    <w:rPr>
                      <w:rFonts w:eastAsiaTheme="minorEastAsia"/>
                      <w:sz w:val="18"/>
                      <w:szCs w:val="18"/>
                      <w:lang w:eastAsia="zh-CN"/>
                    </w:rPr>
                  </w:pPr>
                </w:p>
              </w:tc>
              <w:tc>
                <w:tcPr>
                  <w:tcW w:w="642" w:type="pct"/>
                  <w:tcMar>
                    <w:left w:w="28" w:type="dxa"/>
                    <w:right w:w="28" w:type="dxa"/>
                  </w:tcMar>
                </w:tcPr>
                <w:p w14:paraId="15E07B29"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eastAsiaTheme="minorEastAsia"/>
                      <w:sz w:val="18"/>
                      <w:szCs w:val="18"/>
                      <w:lang w:eastAsia="zh-CN"/>
                    </w:rPr>
                    <w:t>Effective delivery of service (</w:t>
                  </w:r>
                  <w:r w:rsidRPr="00A24226">
                    <w:rPr>
                      <w:rFonts w:asciiTheme="minorHAnsi" w:eastAsiaTheme="minorEastAsia" w:hAnsiTheme="minorHAnsi" w:cstheme="minorHAnsi"/>
                      <w:sz w:val="18"/>
                      <w:szCs w:val="18"/>
                      <w:lang w:eastAsia="zh-CN"/>
                    </w:rPr>
                    <w:t xml:space="preserve">Quality of teaching) </w:t>
                  </w:r>
                </w:p>
              </w:tc>
              <w:tc>
                <w:tcPr>
                  <w:tcW w:w="642" w:type="pct"/>
                  <w:tcMar>
                    <w:left w:w="28" w:type="dxa"/>
                    <w:right w:w="28" w:type="dxa"/>
                  </w:tcMar>
                </w:tcPr>
                <w:p w14:paraId="5FE1A078"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55" w:type="pct"/>
                  <w:tcMar>
                    <w:left w:w="28" w:type="dxa"/>
                    <w:right w:w="28" w:type="dxa"/>
                  </w:tcMar>
                </w:tcPr>
                <w:p w14:paraId="6DD60DDB" w14:textId="77777777" w:rsidR="00BD06C4" w:rsidRPr="00A24226" w:rsidRDefault="00BD06C4" w:rsidP="00BD06C4">
                  <w:pPr>
                    <w:pStyle w:val="Default"/>
                    <w:rPr>
                      <w:rFonts w:asciiTheme="minorHAnsi" w:eastAsiaTheme="minorEastAsia" w:hAnsiTheme="minorHAnsi" w:cstheme="minorHAnsi"/>
                      <w:sz w:val="18"/>
                      <w:szCs w:val="18"/>
                      <w:lang w:eastAsia="zh-CN"/>
                    </w:rPr>
                  </w:pPr>
                  <w:r w:rsidRPr="00A24226">
                    <w:rPr>
                      <w:rFonts w:asciiTheme="minorHAnsi" w:eastAsiaTheme="minorEastAsia" w:hAnsiTheme="minorHAnsi" w:cstheme="minorHAnsi"/>
                      <w:sz w:val="18"/>
                      <w:szCs w:val="18"/>
                      <w:lang w:eastAsia="zh-CN"/>
                    </w:rPr>
                    <w:t>Timeliness</w:t>
                  </w:r>
                </w:p>
              </w:tc>
              <w:tc>
                <w:tcPr>
                  <w:tcW w:w="629" w:type="pct"/>
                  <w:tcMar>
                    <w:left w:w="28" w:type="dxa"/>
                    <w:right w:w="28" w:type="dxa"/>
                  </w:tcMar>
                </w:tcPr>
                <w:p w14:paraId="47DE8AD6"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r>
            <w:tr w:rsidR="00BD06C4" w:rsidRPr="00A24226" w14:paraId="1946BACC" w14:textId="77777777" w:rsidTr="00A64F0D">
              <w:trPr>
                <w:trHeight w:val="1551"/>
              </w:trPr>
              <w:tc>
                <w:tcPr>
                  <w:tcW w:w="634" w:type="pct"/>
                  <w:shd w:val="clear" w:color="auto" w:fill="D9D9D9" w:themeFill="background1" w:themeFillShade="D9"/>
                  <w:tcMar>
                    <w:left w:w="28" w:type="dxa"/>
                    <w:right w:w="28" w:type="dxa"/>
                  </w:tcMar>
                </w:tcPr>
                <w:p w14:paraId="54C4E0DE" w14:textId="77777777" w:rsidR="00BD06C4" w:rsidRPr="00A24226" w:rsidRDefault="00BD06C4" w:rsidP="00BD06C4">
                  <w:pPr>
                    <w:pStyle w:val="Default"/>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 xml:space="preserve">Average share of positive responses on attributes of healthcare services </w:t>
                  </w:r>
                </w:p>
              </w:tc>
              <w:tc>
                <w:tcPr>
                  <w:tcW w:w="641" w:type="pct"/>
                  <w:shd w:val="clear" w:color="auto" w:fill="D9D9D9" w:themeFill="background1" w:themeFillShade="D9"/>
                  <w:tcMar>
                    <w:left w:w="28" w:type="dxa"/>
                    <w:right w:w="28" w:type="dxa"/>
                  </w:tcMar>
                </w:tcPr>
                <w:p w14:paraId="1FF3999D" w14:textId="77777777" w:rsidR="00BD06C4" w:rsidRPr="00A24226" w:rsidRDefault="00BD06C4" w:rsidP="00BD06C4">
                  <w:pPr>
                    <w:pStyle w:val="Default"/>
                    <w:rPr>
                      <w:rFonts w:asciiTheme="minorHAnsi" w:eastAsiaTheme="minorEastAsia" w:hAnsiTheme="minorHAnsi" w:cstheme="minorHAnsi"/>
                      <w:i/>
                      <w:sz w:val="18"/>
                      <w:szCs w:val="18"/>
                      <w:lang w:eastAsia="zh-CN"/>
                    </w:rPr>
                  </w:pPr>
                  <w:r w:rsidRPr="00A24226">
                    <w:rPr>
                      <w:rFonts w:asciiTheme="minorHAnsi" w:eastAsiaTheme="minorEastAsia" w:hAnsiTheme="minorHAnsi" w:cstheme="minorHAnsi"/>
                      <w:i/>
                      <w:sz w:val="18"/>
                      <w:szCs w:val="18"/>
                      <w:lang w:eastAsia="zh-CN"/>
                    </w:rPr>
                    <w:t>(50+60+73+55+42)/5 = 56%</w:t>
                  </w:r>
                </w:p>
                <w:p w14:paraId="5F58E444" w14:textId="77777777" w:rsidR="00BD06C4" w:rsidRPr="00A24226" w:rsidRDefault="00BD06C4" w:rsidP="00BD06C4">
                  <w:pPr>
                    <w:pStyle w:val="Default"/>
                    <w:rPr>
                      <w:rFonts w:asciiTheme="minorHAnsi" w:eastAsiaTheme="minorEastAsia" w:hAnsiTheme="minorHAnsi" w:cstheme="minorHAnsi"/>
                      <w:i/>
                      <w:sz w:val="18"/>
                      <w:szCs w:val="18"/>
                      <w:lang w:eastAsia="zh-CN"/>
                    </w:rPr>
                  </w:pPr>
                  <w:r w:rsidRPr="00A24226">
                    <w:rPr>
                      <w:rFonts w:asciiTheme="minorHAnsi" w:eastAsiaTheme="minorEastAsia" w:hAnsiTheme="minorHAnsi" w:cstheme="minorHAnsi"/>
                      <w:i/>
                      <w:sz w:val="18"/>
                      <w:szCs w:val="18"/>
                      <w:lang w:eastAsia="zh-CN"/>
                    </w:rPr>
                    <w:t xml:space="preserve"> </w:t>
                  </w:r>
                </w:p>
              </w:tc>
              <w:tc>
                <w:tcPr>
                  <w:tcW w:w="642" w:type="pct"/>
                  <w:shd w:val="clear" w:color="auto" w:fill="D9D9D9" w:themeFill="background1" w:themeFillShade="D9"/>
                  <w:tcMar>
                    <w:left w:w="28" w:type="dxa"/>
                    <w:right w:w="28" w:type="dxa"/>
                  </w:tcMar>
                </w:tcPr>
                <w:p w14:paraId="7039E270" w14:textId="77777777" w:rsidR="00BD06C4" w:rsidRPr="00A24226" w:rsidRDefault="00BD06C4" w:rsidP="00BD06C4">
                  <w:pPr>
                    <w:pStyle w:val="Default"/>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 xml:space="preserve">Average share of positive responses on attributes of </w:t>
                  </w:r>
                  <w:r>
                    <w:rPr>
                      <w:rFonts w:asciiTheme="minorHAnsi" w:eastAsiaTheme="minorEastAsia" w:hAnsiTheme="minorHAnsi" w:cstheme="minorHAnsi"/>
                      <w:b/>
                      <w:sz w:val="18"/>
                      <w:szCs w:val="18"/>
                      <w:lang w:eastAsia="zh-CN"/>
                    </w:rPr>
                    <w:t>p</w:t>
                  </w:r>
                  <w:r>
                    <w:rPr>
                      <w:rFonts w:asciiTheme="minorHAnsi" w:hAnsiTheme="minorHAnsi" w:cstheme="minorHAnsi"/>
                      <w:b/>
                      <w:sz w:val="18"/>
                      <w:szCs w:val="18"/>
                      <w:lang w:eastAsia="zh-CN"/>
                    </w:rPr>
                    <w:t xml:space="preserve">rimary </w:t>
                  </w:r>
                  <w:r w:rsidRPr="00A24226">
                    <w:rPr>
                      <w:rFonts w:asciiTheme="minorHAnsi" w:eastAsiaTheme="minorEastAsia" w:hAnsiTheme="minorHAnsi" w:cstheme="minorHAnsi"/>
                      <w:b/>
                      <w:sz w:val="18"/>
                      <w:szCs w:val="18"/>
                      <w:lang w:eastAsia="zh-CN"/>
                    </w:rPr>
                    <w:t>education services</w:t>
                  </w:r>
                  <w:r w:rsidRPr="00A24226">
                    <w:rPr>
                      <w:rFonts w:asciiTheme="minorHAnsi" w:eastAsiaTheme="minorEastAsia" w:hAnsiTheme="minorHAnsi" w:cstheme="minorHAnsi"/>
                      <w:sz w:val="18"/>
                      <w:szCs w:val="18"/>
                      <w:lang w:eastAsia="zh-CN"/>
                    </w:rPr>
                    <w:t xml:space="preserve"> </w:t>
                  </w:r>
                </w:p>
              </w:tc>
              <w:tc>
                <w:tcPr>
                  <w:tcW w:w="514" w:type="pct"/>
                  <w:shd w:val="clear" w:color="auto" w:fill="D9D9D9" w:themeFill="background1" w:themeFillShade="D9"/>
                  <w:tcMar>
                    <w:left w:w="28" w:type="dxa"/>
                    <w:right w:w="28" w:type="dxa"/>
                  </w:tcMar>
                </w:tcPr>
                <w:p w14:paraId="77B0C571" w14:textId="77777777" w:rsidR="00BD06C4" w:rsidRPr="00A24226" w:rsidRDefault="00BD06C4" w:rsidP="00BD06C4">
                  <w:pPr>
                    <w:pStyle w:val="Default"/>
                    <w:rPr>
                      <w:rFonts w:asciiTheme="minorHAnsi" w:eastAsiaTheme="minorEastAsia" w:hAnsiTheme="minorHAnsi" w:cstheme="minorHAnsi"/>
                      <w:b/>
                      <w:sz w:val="18"/>
                      <w:szCs w:val="18"/>
                      <w:lang w:eastAsia="zh-CN"/>
                    </w:rPr>
                  </w:pPr>
                </w:p>
              </w:tc>
              <w:tc>
                <w:tcPr>
                  <w:tcW w:w="642" w:type="pct"/>
                  <w:shd w:val="clear" w:color="auto" w:fill="D9D9D9" w:themeFill="background1" w:themeFillShade="D9"/>
                  <w:tcMar>
                    <w:left w:w="28" w:type="dxa"/>
                    <w:right w:w="28" w:type="dxa"/>
                  </w:tcMar>
                </w:tcPr>
                <w:p w14:paraId="53936979" w14:textId="77777777" w:rsidR="00BD06C4" w:rsidRPr="00A24226" w:rsidRDefault="00BD06C4" w:rsidP="00BD06C4">
                  <w:pPr>
                    <w:pStyle w:val="Default"/>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 xml:space="preserve">Average share of positive responses on attributes of </w:t>
                  </w:r>
                  <w:r>
                    <w:rPr>
                      <w:rFonts w:asciiTheme="minorHAnsi" w:eastAsiaTheme="minorEastAsia" w:hAnsiTheme="minorHAnsi" w:cstheme="minorHAnsi"/>
                      <w:b/>
                      <w:sz w:val="18"/>
                      <w:szCs w:val="18"/>
                      <w:lang w:eastAsia="zh-CN"/>
                    </w:rPr>
                    <w:t>s</w:t>
                  </w:r>
                  <w:r>
                    <w:rPr>
                      <w:rFonts w:asciiTheme="minorHAnsi" w:hAnsiTheme="minorHAnsi" w:cstheme="minorHAnsi"/>
                      <w:b/>
                      <w:sz w:val="18"/>
                      <w:szCs w:val="18"/>
                      <w:lang w:eastAsia="zh-CN"/>
                    </w:rPr>
                    <w:t xml:space="preserve">econdary </w:t>
                  </w:r>
                  <w:r w:rsidRPr="00A24226">
                    <w:rPr>
                      <w:rFonts w:asciiTheme="minorHAnsi" w:eastAsiaTheme="minorEastAsia" w:hAnsiTheme="minorHAnsi" w:cstheme="minorHAnsi"/>
                      <w:b/>
                      <w:sz w:val="18"/>
                      <w:szCs w:val="18"/>
                      <w:lang w:eastAsia="zh-CN"/>
                    </w:rPr>
                    <w:t xml:space="preserve">education services </w:t>
                  </w:r>
                </w:p>
              </w:tc>
              <w:tc>
                <w:tcPr>
                  <w:tcW w:w="642" w:type="pct"/>
                  <w:shd w:val="clear" w:color="auto" w:fill="D9D9D9" w:themeFill="background1" w:themeFillShade="D9"/>
                  <w:tcMar>
                    <w:left w:w="28" w:type="dxa"/>
                    <w:right w:w="28" w:type="dxa"/>
                  </w:tcMar>
                </w:tcPr>
                <w:p w14:paraId="594236AD"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c>
                <w:tcPr>
                  <w:tcW w:w="655" w:type="pct"/>
                  <w:shd w:val="clear" w:color="auto" w:fill="D9D9D9" w:themeFill="background1" w:themeFillShade="D9"/>
                  <w:tcMar>
                    <w:left w:w="28" w:type="dxa"/>
                    <w:right w:w="28" w:type="dxa"/>
                  </w:tcMar>
                </w:tcPr>
                <w:p w14:paraId="5C385E04" w14:textId="77777777" w:rsidR="00BD06C4" w:rsidRPr="00A24226" w:rsidRDefault="00BD06C4" w:rsidP="00BD06C4">
                  <w:pPr>
                    <w:pStyle w:val="Default"/>
                    <w:rPr>
                      <w:rFonts w:asciiTheme="minorHAnsi" w:eastAsiaTheme="minorEastAsia" w:hAnsiTheme="minorHAnsi" w:cstheme="minorHAnsi"/>
                      <w:b/>
                      <w:sz w:val="18"/>
                      <w:szCs w:val="18"/>
                      <w:lang w:eastAsia="zh-CN"/>
                    </w:rPr>
                  </w:pPr>
                  <w:r w:rsidRPr="00A24226">
                    <w:rPr>
                      <w:rFonts w:asciiTheme="minorHAnsi" w:eastAsiaTheme="minorEastAsia" w:hAnsiTheme="minorHAnsi" w:cstheme="minorHAnsi"/>
                      <w:b/>
                      <w:sz w:val="18"/>
                      <w:szCs w:val="18"/>
                      <w:lang w:eastAsia="zh-CN"/>
                    </w:rPr>
                    <w:t xml:space="preserve">Average share of positive responses on attributes of government services </w:t>
                  </w:r>
                </w:p>
              </w:tc>
              <w:tc>
                <w:tcPr>
                  <w:tcW w:w="629" w:type="pct"/>
                  <w:shd w:val="clear" w:color="auto" w:fill="D9D9D9" w:themeFill="background1" w:themeFillShade="D9"/>
                  <w:tcMar>
                    <w:left w:w="28" w:type="dxa"/>
                    <w:right w:w="28" w:type="dxa"/>
                  </w:tcMar>
                </w:tcPr>
                <w:p w14:paraId="797BB11E" w14:textId="77777777" w:rsidR="00BD06C4" w:rsidRPr="00A24226" w:rsidRDefault="00BD06C4" w:rsidP="00BD06C4">
                  <w:pPr>
                    <w:pStyle w:val="Default"/>
                    <w:rPr>
                      <w:rFonts w:asciiTheme="minorHAnsi" w:eastAsiaTheme="minorEastAsia" w:hAnsiTheme="minorHAnsi" w:cstheme="minorHAnsi"/>
                      <w:sz w:val="18"/>
                      <w:szCs w:val="18"/>
                      <w:lang w:eastAsia="zh-CN"/>
                    </w:rPr>
                  </w:pPr>
                </w:p>
              </w:tc>
            </w:tr>
          </w:tbl>
          <w:p w14:paraId="4978D0FE" w14:textId="77777777" w:rsidR="00BD06C4" w:rsidRDefault="00BD06C4" w:rsidP="00BD06C4">
            <w:pPr>
              <w:pStyle w:val="NoSpacing"/>
              <w:rPr>
                <w:b/>
                <w:bCs/>
              </w:rPr>
            </w:pPr>
          </w:p>
          <w:tbl>
            <w:tblPr>
              <w:tblStyle w:val="TableGrid"/>
              <w:tblW w:w="0" w:type="auto"/>
              <w:tblLook w:val="04A0" w:firstRow="1" w:lastRow="0" w:firstColumn="1" w:lastColumn="0" w:noHBand="0" w:noVBand="1"/>
            </w:tblPr>
            <w:tblGrid>
              <w:gridCol w:w="1203"/>
              <w:gridCol w:w="1001"/>
              <w:gridCol w:w="1203"/>
              <w:gridCol w:w="433"/>
              <w:gridCol w:w="1203"/>
              <w:gridCol w:w="433"/>
              <w:gridCol w:w="1203"/>
              <w:gridCol w:w="433"/>
            </w:tblGrid>
            <w:tr w:rsidR="00BD06C4" w:rsidRPr="00A24226" w14:paraId="754080D1" w14:textId="77777777" w:rsidTr="00A64F0D">
              <w:trPr>
                <w:trHeight w:val="2048"/>
              </w:trPr>
              <w:tc>
                <w:tcPr>
                  <w:tcW w:w="433" w:type="dxa"/>
                  <w:shd w:val="clear" w:color="auto" w:fill="D9D9D9" w:themeFill="background1" w:themeFillShade="D9"/>
                </w:tcPr>
                <w:p w14:paraId="3AF6728C" w14:textId="77777777" w:rsidR="00BD06C4" w:rsidRPr="00A24226" w:rsidRDefault="00BD06C4" w:rsidP="00BD06C4">
                  <w:pPr>
                    <w:pStyle w:val="Default"/>
                    <w:rPr>
                      <w:rFonts w:asciiTheme="minorHAnsi" w:eastAsiaTheme="minorEastAsia" w:hAnsiTheme="minorHAnsi" w:cstheme="minorHAnsi"/>
                      <w:b/>
                      <w:sz w:val="19"/>
                      <w:szCs w:val="19"/>
                      <w:lang w:eastAsia="zh-CN"/>
                    </w:rPr>
                  </w:pPr>
                  <w:r w:rsidRPr="00A24226">
                    <w:rPr>
                      <w:rFonts w:asciiTheme="minorHAnsi" w:hAnsiTheme="minorHAnsi" w:cstheme="minorBidi"/>
                      <w:b/>
                      <w:bCs/>
                      <w:color w:val="000000" w:themeColor="text1"/>
                      <w:sz w:val="19"/>
                      <w:szCs w:val="19"/>
                      <w:lang w:eastAsia="en-GB"/>
                    </w:rPr>
                    <w:lastRenderedPageBreak/>
                    <w:t>Share of respondents satisfied with health</w:t>
                  </w:r>
                  <w:r>
                    <w:rPr>
                      <w:rFonts w:asciiTheme="minorHAnsi" w:hAnsiTheme="minorHAnsi" w:cstheme="minorBidi"/>
                      <w:b/>
                      <w:bCs/>
                      <w:color w:val="000000" w:themeColor="text1"/>
                      <w:sz w:val="19"/>
                      <w:szCs w:val="19"/>
                      <w:lang w:eastAsia="en-GB"/>
                    </w:rPr>
                    <w:t>care</w:t>
                  </w:r>
                  <w:r w:rsidRPr="00A24226">
                    <w:rPr>
                      <w:rFonts w:asciiTheme="minorHAnsi" w:hAnsiTheme="minorHAnsi" w:cstheme="minorBidi"/>
                      <w:b/>
                      <w:bCs/>
                      <w:color w:val="000000" w:themeColor="text1"/>
                      <w:sz w:val="19"/>
                      <w:szCs w:val="19"/>
                      <w:lang w:eastAsia="en-GB"/>
                    </w:rPr>
                    <w:t xml:space="preserve"> services overall</w:t>
                  </w:r>
                </w:p>
              </w:tc>
              <w:tc>
                <w:tcPr>
                  <w:tcW w:w="433" w:type="dxa"/>
                  <w:shd w:val="clear" w:color="auto" w:fill="D9D9D9" w:themeFill="background1" w:themeFillShade="D9"/>
                </w:tcPr>
                <w:p w14:paraId="1B952945" w14:textId="77777777" w:rsidR="00BD06C4" w:rsidRPr="00A24226" w:rsidRDefault="00BD06C4" w:rsidP="00BD06C4">
                  <w:pPr>
                    <w:pStyle w:val="Default"/>
                    <w:rPr>
                      <w:rFonts w:asciiTheme="minorHAnsi" w:eastAsiaTheme="minorEastAsia" w:hAnsiTheme="minorHAnsi" w:cstheme="minorHAnsi"/>
                      <w:i/>
                      <w:sz w:val="19"/>
                      <w:szCs w:val="19"/>
                      <w:lang w:eastAsia="zh-CN"/>
                    </w:rPr>
                  </w:pPr>
                  <w:r w:rsidRPr="00A24226">
                    <w:rPr>
                      <w:rFonts w:asciiTheme="minorHAnsi" w:eastAsiaTheme="minorEastAsia" w:hAnsiTheme="minorHAnsi" w:cstheme="minorHAnsi"/>
                      <w:i/>
                      <w:sz w:val="19"/>
                      <w:szCs w:val="19"/>
                      <w:lang w:eastAsia="zh-CN"/>
                    </w:rPr>
                    <w:t xml:space="preserve">(23% 'very satisfied' + 37% 'satisfied') = </w:t>
                  </w:r>
                  <w:r>
                    <w:rPr>
                      <w:rFonts w:asciiTheme="minorHAnsi" w:eastAsiaTheme="minorEastAsia" w:hAnsiTheme="minorHAnsi" w:cstheme="minorHAnsi"/>
                      <w:i/>
                      <w:sz w:val="19"/>
                      <w:szCs w:val="19"/>
                      <w:lang w:eastAsia="zh-CN"/>
                    </w:rPr>
                    <w:t>6</w:t>
                  </w:r>
                  <w:r w:rsidRPr="00A24226">
                    <w:rPr>
                      <w:rFonts w:asciiTheme="minorHAnsi" w:eastAsiaTheme="minorEastAsia" w:hAnsiTheme="minorHAnsi" w:cstheme="minorHAnsi"/>
                      <w:i/>
                      <w:sz w:val="19"/>
                      <w:szCs w:val="19"/>
                      <w:lang w:eastAsia="zh-CN"/>
                    </w:rPr>
                    <w:t>0%</w:t>
                  </w:r>
                </w:p>
                <w:p w14:paraId="445D0FB0" w14:textId="77777777" w:rsidR="00BD06C4" w:rsidRPr="00A24226" w:rsidRDefault="00BD06C4" w:rsidP="00BD06C4">
                  <w:pPr>
                    <w:pStyle w:val="Default"/>
                    <w:rPr>
                      <w:rFonts w:asciiTheme="minorHAnsi" w:eastAsiaTheme="minorEastAsia" w:hAnsiTheme="minorHAnsi" w:cstheme="minorHAnsi"/>
                      <w:b/>
                      <w:sz w:val="19"/>
                      <w:szCs w:val="19"/>
                      <w:lang w:eastAsia="zh-CN"/>
                    </w:rPr>
                  </w:pPr>
                </w:p>
              </w:tc>
              <w:tc>
                <w:tcPr>
                  <w:tcW w:w="433" w:type="dxa"/>
                  <w:shd w:val="clear" w:color="auto" w:fill="D9D9D9" w:themeFill="background1" w:themeFillShade="D9"/>
                </w:tcPr>
                <w:p w14:paraId="412FA1B0" w14:textId="77777777" w:rsidR="00BD06C4" w:rsidRPr="00A36A1C" w:rsidRDefault="00BD06C4" w:rsidP="00BD06C4">
                  <w:pPr>
                    <w:pStyle w:val="Default"/>
                    <w:rPr>
                      <w:rFonts w:asciiTheme="minorHAnsi" w:hAnsiTheme="minorHAnsi" w:cstheme="minorBidi"/>
                      <w:b/>
                      <w:bCs/>
                      <w:color w:val="000000" w:themeColor="text1"/>
                      <w:sz w:val="19"/>
                      <w:szCs w:val="19"/>
                      <w:lang w:eastAsia="en-GB"/>
                    </w:rPr>
                  </w:pPr>
                  <w:r w:rsidRPr="00A36A1C">
                    <w:rPr>
                      <w:rFonts w:asciiTheme="minorHAnsi" w:hAnsiTheme="minorHAnsi" w:cstheme="minorBidi"/>
                      <w:b/>
                      <w:bCs/>
                      <w:color w:val="000000" w:themeColor="text1"/>
                      <w:sz w:val="19"/>
                      <w:szCs w:val="19"/>
                      <w:lang w:eastAsia="en-GB"/>
                    </w:rPr>
                    <w:t xml:space="preserve">Share of respondents satisfied with </w:t>
                  </w:r>
                  <w:r>
                    <w:rPr>
                      <w:rFonts w:asciiTheme="minorHAnsi" w:hAnsiTheme="minorHAnsi" w:cstheme="minorBidi"/>
                      <w:b/>
                      <w:bCs/>
                      <w:color w:val="000000" w:themeColor="text1"/>
                      <w:sz w:val="19"/>
                      <w:szCs w:val="19"/>
                      <w:lang w:eastAsia="en-GB"/>
                    </w:rPr>
                    <w:t xml:space="preserve">primary </w:t>
                  </w:r>
                  <w:r w:rsidRPr="00A36A1C">
                    <w:rPr>
                      <w:rFonts w:asciiTheme="minorHAnsi" w:hAnsiTheme="minorHAnsi" w:cstheme="minorBidi"/>
                      <w:b/>
                      <w:bCs/>
                      <w:color w:val="000000" w:themeColor="text1"/>
                      <w:sz w:val="19"/>
                      <w:szCs w:val="19"/>
                      <w:lang w:eastAsia="en-GB"/>
                    </w:rPr>
                    <w:t>education services overall</w:t>
                  </w:r>
                </w:p>
              </w:tc>
              <w:tc>
                <w:tcPr>
                  <w:tcW w:w="433" w:type="dxa"/>
                  <w:shd w:val="clear" w:color="auto" w:fill="D9D9D9" w:themeFill="background1" w:themeFillShade="D9"/>
                </w:tcPr>
                <w:p w14:paraId="5B5AB31B" w14:textId="77777777" w:rsidR="00BD06C4" w:rsidRPr="00A36A1C" w:rsidRDefault="00BD06C4" w:rsidP="00BD06C4">
                  <w:pPr>
                    <w:pStyle w:val="Default"/>
                    <w:rPr>
                      <w:rFonts w:asciiTheme="minorHAnsi" w:hAnsiTheme="minorHAnsi" w:cstheme="minorBidi"/>
                      <w:b/>
                      <w:bCs/>
                      <w:color w:val="000000" w:themeColor="text1"/>
                      <w:sz w:val="19"/>
                      <w:szCs w:val="19"/>
                      <w:lang w:eastAsia="en-GB"/>
                    </w:rPr>
                  </w:pPr>
                </w:p>
              </w:tc>
              <w:tc>
                <w:tcPr>
                  <w:tcW w:w="433" w:type="dxa"/>
                  <w:shd w:val="clear" w:color="auto" w:fill="D9D9D9" w:themeFill="background1" w:themeFillShade="D9"/>
                </w:tcPr>
                <w:p w14:paraId="4195E84D" w14:textId="77777777" w:rsidR="00BD06C4" w:rsidRPr="00A24226" w:rsidRDefault="00BD06C4" w:rsidP="00BD06C4">
                  <w:pPr>
                    <w:pStyle w:val="Default"/>
                    <w:rPr>
                      <w:rFonts w:asciiTheme="minorHAnsi" w:eastAsiaTheme="minorEastAsia" w:hAnsiTheme="minorHAnsi" w:cstheme="minorHAnsi"/>
                      <w:b/>
                      <w:sz w:val="19"/>
                      <w:szCs w:val="19"/>
                      <w:lang w:eastAsia="zh-CN"/>
                    </w:rPr>
                  </w:pPr>
                  <w:r w:rsidRPr="00A36A1C">
                    <w:rPr>
                      <w:rFonts w:asciiTheme="minorHAnsi" w:hAnsiTheme="minorHAnsi" w:cstheme="minorBidi"/>
                      <w:b/>
                      <w:bCs/>
                      <w:color w:val="000000" w:themeColor="text1"/>
                      <w:sz w:val="19"/>
                      <w:szCs w:val="19"/>
                      <w:lang w:eastAsia="en-GB"/>
                    </w:rPr>
                    <w:t xml:space="preserve">Share of respondents satisfied with </w:t>
                  </w:r>
                  <w:r>
                    <w:rPr>
                      <w:rFonts w:asciiTheme="minorHAnsi" w:hAnsiTheme="minorHAnsi" w:cstheme="minorBidi"/>
                      <w:b/>
                      <w:bCs/>
                      <w:color w:val="000000" w:themeColor="text1"/>
                      <w:sz w:val="19"/>
                      <w:szCs w:val="19"/>
                      <w:lang w:eastAsia="en-GB"/>
                    </w:rPr>
                    <w:t xml:space="preserve">secondary </w:t>
                  </w:r>
                  <w:r w:rsidRPr="00A36A1C">
                    <w:rPr>
                      <w:rFonts w:asciiTheme="minorHAnsi" w:hAnsiTheme="minorHAnsi" w:cstheme="minorBidi"/>
                      <w:b/>
                      <w:bCs/>
                      <w:color w:val="000000" w:themeColor="text1"/>
                      <w:sz w:val="19"/>
                      <w:szCs w:val="19"/>
                      <w:lang w:eastAsia="en-GB"/>
                    </w:rPr>
                    <w:t>education services overall</w:t>
                  </w:r>
                </w:p>
              </w:tc>
              <w:tc>
                <w:tcPr>
                  <w:tcW w:w="433" w:type="dxa"/>
                  <w:shd w:val="clear" w:color="auto" w:fill="D9D9D9" w:themeFill="background1" w:themeFillShade="D9"/>
                </w:tcPr>
                <w:p w14:paraId="2EFDB57B" w14:textId="77777777" w:rsidR="00BD06C4" w:rsidRPr="00A24226" w:rsidRDefault="00BD06C4" w:rsidP="00BD06C4">
                  <w:pPr>
                    <w:pStyle w:val="Default"/>
                    <w:rPr>
                      <w:rFonts w:asciiTheme="minorHAnsi" w:eastAsiaTheme="minorEastAsia" w:hAnsiTheme="minorHAnsi" w:cstheme="minorHAnsi"/>
                      <w:b/>
                      <w:sz w:val="19"/>
                      <w:szCs w:val="19"/>
                      <w:lang w:eastAsia="zh-CN"/>
                    </w:rPr>
                  </w:pPr>
                </w:p>
              </w:tc>
              <w:tc>
                <w:tcPr>
                  <w:tcW w:w="433" w:type="dxa"/>
                  <w:shd w:val="clear" w:color="auto" w:fill="D9D9D9" w:themeFill="background1" w:themeFillShade="D9"/>
                </w:tcPr>
                <w:p w14:paraId="5627EB8D" w14:textId="77777777" w:rsidR="00BD06C4" w:rsidRPr="00A24226" w:rsidRDefault="00BD06C4" w:rsidP="00BD06C4">
                  <w:pPr>
                    <w:pStyle w:val="Default"/>
                    <w:rPr>
                      <w:rFonts w:asciiTheme="minorHAnsi" w:eastAsiaTheme="minorEastAsia" w:hAnsiTheme="minorHAnsi" w:cstheme="minorHAnsi"/>
                      <w:b/>
                      <w:sz w:val="19"/>
                      <w:szCs w:val="19"/>
                      <w:lang w:eastAsia="zh-CN"/>
                    </w:rPr>
                  </w:pPr>
                  <w:r w:rsidRPr="00A24226">
                    <w:rPr>
                      <w:rFonts w:asciiTheme="minorHAnsi" w:hAnsiTheme="minorHAnsi" w:cstheme="minorBidi"/>
                      <w:b/>
                      <w:bCs/>
                      <w:color w:val="000000" w:themeColor="text1"/>
                      <w:sz w:val="19"/>
                      <w:szCs w:val="19"/>
                      <w:lang w:eastAsia="en-GB"/>
                    </w:rPr>
                    <w:t>Share of respondents satisfied with government services overall</w:t>
                  </w:r>
                </w:p>
              </w:tc>
              <w:tc>
                <w:tcPr>
                  <w:tcW w:w="433" w:type="dxa"/>
                  <w:shd w:val="clear" w:color="auto" w:fill="D9D9D9" w:themeFill="background1" w:themeFillShade="D9"/>
                </w:tcPr>
                <w:p w14:paraId="54845F15" w14:textId="77777777" w:rsidR="00BD06C4" w:rsidRPr="00A24226" w:rsidRDefault="00BD06C4" w:rsidP="00BD06C4">
                  <w:pPr>
                    <w:pStyle w:val="Default"/>
                    <w:rPr>
                      <w:rFonts w:asciiTheme="minorHAnsi" w:eastAsiaTheme="minorEastAsia" w:hAnsiTheme="minorHAnsi" w:cstheme="minorHAnsi"/>
                      <w:b/>
                      <w:sz w:val="19"/>
                      <w:szCs w:val="19"/>
                      <w:lang w:eastAsia="zh-CN"/>
                    </w:rPr>
                  </w:pPr>
                </w:p>
              </w:tc>
            </w:tr>
          </w:tbl>
          <w:p w14:paraId="469ACA1C" w14:textId="77777777" w:rsidR="00BD06C4" w:rsidRDefault="00BD06C4" w:rsidP="00BD06C4">
            <w:pPr>
              <w:pStyle w:val="NoSpacing"/>
              <w:rPr>
                <w:b/>
                <w:bCs/>
              </w:rPr>
            </w:pPr>
          </w:p>
          <w:p w14:paraId="3B487B80" w14:textId="77777777" w:rsidR="00BD06C4" w:rsidRPr="000C4849" w:rsidRDefault="00BD06C4" w:rsidP="00BD06C4">
            <w:pPr>
              <w:pStyle w:val="NoSpacing"/>
              <w:rPr>
                <w:bCs/>
              </w:rPr>
            </w:pPr>
            <w:r w:rsidRPr="0054053F">
              <w:rPr>
                <w:b/>
                <w:bCs/>
              </w:rPr>
              <w:t>*</w:t>
            </w:r>
            <w:r w:rsidRPr="000C4849">
              <w:rPr>
                <w:bCs/>
              </w:rPr>
              <w:t>Note: It is important for NSOs to clearly report, for each question, the number of respondents who selected “don’t know” (DK), “not applicable” (NA) or “refuse to answer” (RA), and to exclude such respondents from the calculation of shares of positive responses. For instance, if 65 respondents out of 1000 respondents responded DK, NA or RA on the first attribute-based question, the share of positive responses for this attribute will be calculated out of a total of 935 respondents, and the reporting sheet will indicate that for this particular question, 65 respondents responded DK/NA/RA.</w:t>
            </w:r>
          </w:p>
          <w:p w14:paraId="66B6A37B" w14:textId="77777777" w:rsidR="00BD06C4" w:rsidRPr="000C4849" w:rsidRDefault="00BD06C4" w:rsidP="00BD06C4">
            <w:pPr>
              <w:pStyle w:val="NoSpacing"/>
              <w:rPr>
                <w:bCs/>
              </w:rPr>
            </w:pPr>
          </w:p>
          <w:p w14:paraId="07AA988D" w14:textId="77777777" w:rsidR="00BD06C4" w:rsidRPr="000C4849" w:rsidRDefault="00BD06C4" w:rsidP="00BD06C4">
            <w:pPr>
              <w:pStyle w:val="NoSpacing"/>
              <w:rPr>
                <w:bCs/>
              </w:rPr>
            </w:pPr>
            <w:r w:rsidRPr="000C4849">
              <w:rPr>
                <w:bCs/>
              </w:rPr>
              <w:t>While national-level reporting should cover all three estimates described above, global reporting on SDG indicator 16.6.2 will focus only on the last two estimates (i.e. the average share of positive responses across the five attribute questions; and the share of respondents who say they are satisfied in the overall satisfaction question), separately for each service area.</w:t>
            </w:r>
          </w:p>
          <w:p w14:paraId="36AB1E28" w14:textId="77777777" w:rsidR="00BD06C4" w:rsidRDefault="00BD06C4" w:rsidP="00BD06C4">
            <w:pPr>
              <w:pStyle w:val="NoSpacing"/>
              <w:rPr>
                <w:b/>
                <w:bCs/>
              </w:rPr>
            </w:pPr>
          </w:p>
          <w:p w14:paraId="6E9C269F" w14:textId="77777777" w:rsidR="00BD06C4" w:rsidRPr="00DD4281" w:rsidRDefault="00BD06C4" w:rsidP="000C4849">
            <w:pPr>
              <w:pStyle w:val="NoSpacing"/>
              <w:numPr>
                <w:ilvl w:val="0"/>
                <w:numId w:val="93"/>
              </w:numPr>
            </w:pPr>
          </w:p>
        </w:tc>
        <w:tc>
          <w:tcPr>
            <w:tcW w:w="0" w:type="auto"/>
          </w:tcPr>
          <w:p w14:paraId="77828A95" w14:textId="77777777" w:rsidR="00BD06C4" w:rsidRPr="00CE4B94" w:rsidRDefault="00BD06C4" w:rsidP="00BD06C4">
            <w:pPr>
              <w:pStyle w:val="NoSpacing"/>
              <w:rPr>
                <w:lang w:eastAsia="zh-CN"/>
              </w:rPr>
            </w:pPr>
            <w:r w:rsidRPr="00CE4B94">
              <w:rPr>
                <w:lang w:eastAsia="zh-CN"/>
              </w:rPr>
              <w:lastRenderedPageBreak/>
              <w:t xml:space="preserve">NSOs should identify suitable survey vehicles to incorporate the </w:t>
            </w:r>
            <w:r w:rsidRPr="00CE4B94">
              <w:rPr>
                <w:lang w:eastAsia="zh-CN"/>
              </w:rPr>
              <w:lastRenderedPageBreak/>
              <w:t xml:space="preserve">16.6.2 batteries of question. </w:t>
            </w:r>
            <w:r w:rsidRPr="00493FD4">
              <w:rPr>
                <w:lang w:eastAsia="zh-CN"/>
              </w:rPr>
              <w:t>Some countries may not have an integrated or unified survey covering various public services</w:t>
            </w:r>
            <w:r>
              <w:rPr>
                <w:lang w:eastAsia="zh-CN"/>
              </w:rPr>
              <w:t xml:space="preserve">. In countries where </w:t>
            </w:r>
            <w:r w:rsidRPr="00493FD4">
              <w:rPr>
                <w:lang w:eastAsia="zh-CN"/>
              </w:rPr>
              <w:t>each Ministry/Department/Agency conduct</w:t>
            </w:r>
            <w:r>
              <w:rPr>
                <w:lang w:eastAsia="zh-CN"/>
              </w:rPr>
              <w:t>s</w:t>
            </w:r>
            <w:r w:rsidRPr="00493FD4">
              <w:rPr>
                <w:lang w:eastAsia="zh-CN"/>
              </w:rPr>
              <w:t xml:space="preserve"> its respective satisfaction survey</w:t>
            </w:r>
            <w:r>
              <w:rPr>
                <w:lang w:eastAsia="zh-CN"/>
              </w:rPr>
              <w:t>, the NSO should liaise with each entity to harmonize existing survey questions with this metadata</w:t>
            </w:r>
            <w:r w:rsidRPr="00493FD4">
              <w:rPr>
                <w:lang w:eastAsia="zh-CN"/>
              </w:rPr>
              <w:t xml:space="preserve">. </w:t>
            </w:r>
          </w:p>
          <w:p w14:paraId="660B7AD3" w14:textId="77777777" w:rsidR="00BD06C4" w:rsidRDefault="00BD06C4" w:rsidP="00BD06C4">
            <w:pPr>
              <w:pStyle w:val="NoSpacing"/>
            </w:pPr>
          </w:p>
        </w:tc>
        <w:tc>
          <w:tcPr>
            <w:tcW w:w="0" w:type="auto"/>
          </w:tcPr>
          <w:p w14:paraId="6173E4DD" w14:textId="77777777" w:rsidR="00BD06C4" w:rsidRPr="00706D31" w:rsidRDefault="00BD06C4" w:rsidP="00BD06C4">
            <w:pPr>
              <w:pStyle w:val="NoSpacing"/>
            </w:pPr>
            <w:r w:rsidRPr="00DF3746">
              <w:rPr>
                <w:lang w:eastAsia="en-GB"/>
              </w:rPr>
              <w:lastRenderedPageBreak/>
              <w:t>National Statistical Offices</w:t>
            </w:r>
          </w:p>
        </w:tc>
        <w:tc>
          <w:tcPr>
            <w:tcW w:w="0" w:type="auto"/>
          </w:tcPr>
          <w:p w14:paraId="361FE7EC" w14:textId="77777777" w:rsidR="00BD06C4" w:rsidRDefault="00BD06C4" w:rsidP="00BD06C4">
            <w:pPr>
              <w:pStyle w:val="NoSpacing"/>
            </w:pPr>
            <w:r>
              <w:t>BBS</w:t>
            </w:r>
          </w:p>
          <w:p w14:paraId="01112952" w14:textId="77777777" w:rsidR="00BD06C4" w:rsidRDefault="00BD06C4" w:rsidP="00BD06C4">
            <w:pPr>
              <w:pStyle w:val="NoSpacing"/>
            </w:pPr>
            <w:r>
              <w:t>CPHS</w:t>
            </w:r>
          </w:p>
        </w:tc>
        <w:tc>
          <w:tcPr>
            <w:tcW w:w="0" w:type="auto"/>
          </w:tcPr>
          <w:p w14:paraId="0A6AE770" w14:textId="77777777" w:rsidR="00BD06C4" w:rsidRDefault="00BD06C4" w:rsidP="00BD06C4">
            <w:pPr>
              <w:pStyle w:val="NoSpacing"/>
            </w:pPr>
            <w:r>
              <w:t>BBS</w:t>
            </w:r>
          </w:p>
          <w:p w14:paraId="423D7374" w14:textId="77777777" w:rsidR="00BD06C4" w:rsidRPr="00D96ECA" w:rsidRDefault="00BD06C4" w:rsidP="00BD06C4">
            <w:pPr>
              <w:pStyle w:val="NoSpacing"/>
              <w:rPr>
                <w:b/>
                <w:bCs/>
              </w:rPr>
            </w:pPr>
            <w:r>
              <w:t>CPHS</w:t>
            </w:r>
          </w:p>
        </w:tc>
        <w:tc>
          <w:tcPr>
            <w:tcW w:w="0" w:type="auto"/>
          </w:tcPr>
          <w:p w14:paraId="4A82FE39"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1E5FA108"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Age; below 25 yrs/25-34 yrs/35-44 yrs/44-54 yrs/55-64 yrs/64 and </w:t>
            </w:r>
            <w:r>
              <w:rPr>
                <w:rFonts w:ascii="Tw Cen MT Condensed" w:hAnsi="Tw Cen MT Condensed"/>
                <w:sz w:val="20"/>
                <w:szCs w:val="20"/>
              </w:rPr>
              <w:lastRenderedPageBreak/>
              <w:t>above yrs</w:t>
            </w:r>
          </w:p>
          <w:p w14:paraId="55B17EF4"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 upper/middle/lower</w:t>
            </w:r>
          </w:p>
          <w:p w14:paraId="156048A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place of residence: rural/urban/division/district</w:t>
            </w:r>
          </w:p>
          <w:p w14:paraId="29D12696"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Education: primary/higher secondary/tertiary</w:t>
            </w:r>
          </w:p>
          <w:p w14:paraId="57C20722"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Disability: disable/not disable</w:t>
            </w:r>
          </w:p>
          <w:p w14:paraId="4998777F" w14:textId="77777777" w:rsidR="00BD06C4" w:rsidRDefault="00BD06C4" w:rsidP="00BD06C4">
            <w:pPr>
              <w:ind w:left="970" w:hanging="970"/>
              <w:jc w:val="both"/>
              <w:rPr>
                <w:color w:val="0070C0"/>
                <w:sz w:val="30"/>
                <w:szCs w:val="30"/>
              </w:rPr>
            </w:pPr>
          </w:p>
        </w:tc>
        <w:tc>
          <w:tcPr>
            <w:tcW w:w="0" w:type="auto"/>
          </w:tcPr>
          <w:p w14:paraId="792D1C4C" w14:textId="77777777" w:rsidR="00BD06C4" w:rsidRDefault="00BD06C4" w:rsidP="00BD06C4">
            <w:pPr>
              <w:ind w:left="970" w:hanging="970"/>
              <w:jc w:val="both"/>
              <w:rPr>
                <w:color w:val="0070C0"/>
                <w:sz w:val="30"/>
                <w:szCs w:val="30"/>
              </w:rPr>
            </w:pPr>
            <w:r w:rsidRPr="00BC6F10">
              <w:lastRenderedPageBreak/>
              <w:t>Triennial</w:t>
            </w:r>
          </w:p>
        </w:tc>
        <w:tc>
          <w:tcPr>
            <w:tcW w:w="0" w:type="auto"/>
          </w:tcPr>
          <w:p w14:paraId="52A395A8" w14:textId="77777777" w:rsidR="00BD06C4" w:rsidRDefault="00BD06C4" w:rsidP="00BD06C4">
            <w:pPr>
              <w:ind w:left="970" w:hanging="970"/>
              <w:jc w:val="both"/>
              <w:rPr>
                <w:color w:val="0070C0"/>
                <w:sz w:val="30"/>
                <w:szCs w:val="30"/>
              </w:rPr>
            </w:pPr>
            <w:r>
              <w:t>Group 1</w:t>
            </w:r>
          </w:p>
        </w:tc>
        <w:tc>
          <w:tcPr>
            <w:tcW w:w="0" w:type="auto"/>
          </w:tcPr>
          <w:p w14:paraId="08D48BA0" w14:textId="77777777" w:rsidR="00BD06C4" w:rsidRDefault="00BD06C4" w:rsidP="00BD06C4">
            <w:pPr>
              <w:pStyle w:val="NoSpacing"/>
            </w:pPr>
            <w:r>
              <w:t>1</w:t>
            </w:r>
            <w:r w:rsidRPr="00013ACB">
              <w:rPr>
                <w:vertAlign w:val="superscript"/>
              </w:rPr>
              <w:t>st</w:t>
            </w:r>
            <w:r>
              <w:t xml:space="preserve"> Round:</w:t>
            </w:r>
          </w:p>
          <w:p w14:paraId="5CFD1BD1" w14:textId="77777777" w:rsidR="00BD06C4" w:rsidRDefault="00BD06C4" w:rsidP="00BD06C4">
            <w:pPr>
              <w:pStyle w:val="NoSpacing"/>
            </w:pPr>
            <w:r>
              <w:t>2018</w:t>
            </w:r>
          </w:p>
          <w:p w14:paraId="7520FE95" w14:textId="77777777" w:rsidR="00BD06C4" w:rsidRDefault="00BD06C4" w:rsidP="00BD06C4">
            <w:pPr>
              <w:pStyle w:val="NoSpacing"/>
            </w:pPr>
          </w:p>
          <w:p w14:paraId="0DD39C48" w14:textId="77777777" w:rsidR="00BD06C4" w:rsidRDefault="00BD06C4" w:rsidP="00BD06C4">
            <w:pPr>
              <w:pStyle w:val="NoSpacing"/>
            </w:pPr>
            <w:r>
              <w:lastRenderedPageBreak/>
              <w:t>2</w:t>
            </w:r>
            <w:r w:rsidRPr="00013ACB">
              <w:rPr>
                <w:vertAlign w:val="superscript"/>
              </w:rPr>
              <w:t>nd</w:t>
            </w:r>
            <w:r>
              <w:t xml:space="preserve"> Round:</w:t>
            </w:r>
          </w:p>
          <w:p w14:paraId="0A1F3D44" w14:textId="77777777" w:rsidR="00BD06C4" w:rsidRDefault="00BD06C4" w:rsidP="00BD06C4">
            <w:pPr>
              <w:pStyle w:val="NoSpacing"/>
            </w:pPr>
            <w:r>
              <w:t xml:space="preserve"> </w:t>
            </w:r>
            <w:r w:rsidRPr="00C3536E">
              <w:t>July, 2020</w:t>
            </w:r>
          </w:p>
          <w:p w14:paraId="6B7E1BA3" w14:textId="77777777" w:rsidR="00BD06C4" w:rsidRDefault="00BD06C4" w:rsidP="00BD06C4">
            <w:pPr>
              <w:pStyle w:val="NoSpacing"/>
            </w:pPr>
          </w:p>
          <w:p w14:paraId="5FF7366C" w14:textId="77777777" w:rsidR="00BD06C4" w:rsidRDefault="00BD06C4" w:rsidP="00BD06C4">
            <w:pPr>
              <w:pStyle w:val="NoSpacing"/>
            </w:pPr>
            <w:r>
              <w:t>3</w:t>
            </w:r>
            <w:r w:rsidRPr="00013ACB">
              <w:rPr>
                <w:vertAlign w:val="superscript"/>
              </w:rPr>
              <w:t>rd</w:t>
            </w:r>
            <w:r>
              <w:t xml:space="preserve"> Round: </w:t>
            </w:r>
          </w:p>
          <w:p w14:paraId="29EFB0F7" w14:textId="77777777" w:rsidR="00BD06C4" w:rsidRDefault="00BD06C4" w:rsidP="00BD06C4">
            <w:pPr>
              <w:pStyle w:val="NoSpacing"/>
            </w:pPr>
            <w:r>
              <w:t>July, 2023</w:t>
            </w:r>
          </w:p>
          <w:p w14:paraId="6B64C480" w14:textId="77777777" w:rsidR="00BD06C4" w:rsidRDefault="00BD06C4" w:rsidP="00BD06C4">
            <w:pPr>
              <w:pStyle w:val="NoSpacing"/>
            </w:pPr>
          </w:p>
          <w:p w14:paraId="13D35B5D" w14:textId="77777777" w:rsidR="00BD06C4" w:rsidRDefault="00BD06C4" w:rsidP="00BD06C4">
            <w:pPr>
              <w:pStyle w:val="NoSpacing"/>
            </w:pPr>
            <w:r>
              <w:t>4</w:t>
            </w:r>
            <w:r w:rsidRPr="00013ACB">
              <w:rPr>
                <w:vertAlign w:val="superscript"/>
              </w:rPr>
              <w:t>th</w:t>
            </w:r>
            <w:r>
              <w:t xml:space="preserve"> Round: </w:t>
            </w:r>
          </w:p>
          <w:p w14:paraId="2E64B1D0" w14:textId="77777777" w:rsidR="00BD06C4" w:rsidRDefault="00BD06C4" w:rsidP="00BD06C4">
            <w:pPr>
              <w:pStyle w:val="NoSpacing"/>
            </w:pPr>
            <w:r>
              <w:t>July, 2026</w:t>
            </w:r>
          </w:p>
          <w:p w14:paraId="680646C9" w14:textId="77777777" w:rsidR="00BD06C4" w:rsidRDefault="00BD06C4" w:rsidP="00BD06C4">
            <w:pPr>
              <w:pStyle w:val="NoSpacing"/>
            </w:pPr>
          </w:p>
          <w:p w14:paraId="53D67F22" w14:textId="77777777" w:rsidR="00BD06C4" w:rsidRDefault="00BD06C4" w:rsidP="00BD06C4">
            <w:pPr>
              <w:pStyle w:val="NoSpacing"/>
            </w:pPr>
            <w:r>
              <w:t>5</w:t>
            </w:r>
            <w:r w:rsidRPr="00013ACB">
              <w:rPr>
                <w:vertAlign w:val="superscript"/>
              </w:rPr>
              <w:t>th</w:t>
            </w:r>
            <w:r>
              <w:t xml:space="preserve"> Round: </w:t>
            </w:r>
          </w:p>
          <w:p w14:paraId="66D82DB1" w14:textId="77777777" w:rsidR="00BD06C4" w:rsidRDefault="00BD06C4" w:rsidP="00BD06C4">
            <w:pPr>
              <w:pStyle w:val="NoSpacing"/>
            </w:pPr>
            <w:r>
              <w:t>July, 2029</w:t>
            </w:r>
          </w:p>
          <w:p w14:paraId="68B12638" w14:textId="47CB441A" w:rsidR="00BD06C4" w:rsidRDefault="00BD06C4" w:rsidP="00BD06C4">
            <w:pPr>
              <w:pStyle w:val="NoSpacing"/>
            </w:pPr>
          </w:p>
        </w:tc>
        <w:tc>
          <w:tcPr>
            <w:tcW w:w="0" w:type="auto"/>
          </w:tcPr>
          <w:p w14:paraId="6F142A87" w14:textId="77777777" w:rsidR="00BD06C4" w:rsidRDefault="00BD06C4" w:rsidP="00BD06C4">
            <w:pPr>
              <w:pStyle w:val="NoSpacing"/>
            </w:pPr>
            <w:r w:rsidRPr="00A41B47">
              <w:lastRenderedPageBreak/>
              <w:t xml:space="preserve">Reviewed at 9th IAEG-SDG meeting (classified as </w:t>
            </w:r>
            <w:r w:rsidRPr="00A41B47">
              <w:lastRenderedPageBreak/>
              <w:t>Tier II)</w:t>
            </w:r>
          </w:p>
        </w:tc>
      </w:tr>
      <w:tr w:rsidR="00BD06C4" w14:paraId="50B72C46" w14:textId="77777777" w:rsidTr="00A64F0D">
        <w:tc>
          <w:tcPr>
            <w:tcW w:w="0" w:type="auto"/>
          </w:tcPr>
          <w:p w14:paraId="51075692" w14:textId="77777777" w:rsidR="00BD06C4" w:rsidRDefault="00BD06C4" w:rsidP="00BD06C4">
            <w:pPr>
              <w:ind w:left="970" w:hanging="970"/>
              <w:jc w:val="both"/>
              <w:rPr>
                <w:color w:val="0070C0"/>
                <w:sz w:val="30"/>
                <w:szCs w:val="30"/>
              </w:rPr>
            </w:pPr>
          </w:p>
        </w:tc>
        <w:tc>
          <w:tcPr>
            <w:tcW w:w="0" w:type="auto"/>
            <w:gridSpan w:val="12"/>
          </w:tcPr>
          <w:p w14:paraId="2190F296"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16.7 Ensure responsive, inclusive, participatory and representative decision-making at all levels</w:t>
            </w:r>
          </w:p>
        </w:tc>
      </w:tr>
      <w:tr w:rsidR="00BD06C4" w14:paraId="13F80710" w14:textId="77777777" w:rsidTr="00A64F0D">
        <w:tc>
          <w:tcPr>
            <w:tcW w:w="0" w:type="auto"/>
          </w:tcPr>
          <w:p w14:paraId="1E2A53B8" w14:textId="77777777" w:rsidR="00BD06C4" w:rsidRPr="00BA046C" w:rsidRDefault="00BD06C4" w:rsidP="00BD06C4">
            <w:pPr>
              <w:pStyle w:val="NoSpacing"/>
            </w:pPr>
            <w:r w:rsidRPr="00BA046C">
              <w:t xml:space="preserve">16.7.1 Proportions of positions in national and local public institutions, including </w:t>
            </w:r>
            <w:r w:rsidRPr="00BA046C">
              <w:lastRenderedPageBreak/>
              <w:t>(a) the legislatures; (b) the public service; and (c) the judiciary, compared to national distributions, by sex, age, persons with disabilities and population groups</w:t>
            </w:r>
          </w:p>
        </w:tc>
        <w:tc>
          <w:tcPr>
            <w:tcW w:w="0" w:type="auto"/>
          </w:tcPr>
          <w:p w14:paraId="58DA8EF6" w14:textId="77777777" w:rsidR="00BD06C4" w:rsidRDefault="00BD06C4" w:rsidP="00BD06C4">
            <w:pPr>
              <w:pStyle w:val="NoSpacing"/>
            </w:pPr>
            <w:r>
              <w:lastRenderedPageBreak/>
              <w:t xml:space="preserve">IPU, </w:t>
            </w:r>
          </w:p>
          <w:p w14:paraId="53AB5A65" w14:textId="77777777" w:rsidR="00BD06C4" w:rsidRDefault="00BD06C4" w:rsidP="00BD06C4">
            <w:pPr>
              <w:pStyle w:val="NoSpacing"/>
            </w:pPr>
            <w:r>
              <w:t>UNDP</w:t>
            </w:r>
          </w:p>
          <w:p w14:paraId="6FB7A529" w14:textId="77777777" w:rsidR="00BD06C4" w:rsidRDefault="00BD06C4" w:rsidP="00BD06C4">
            <w:pPr>
              <w:rPr>
                <w:b/>
                <w:bCs/>
                <w:szCs w:val="20"/>
              </w:rPr>
            </w:pPr>
            <w:r w:rsidRPr="007243FC">
              <w:rPr>
                <w:b/>
                <w:bCs/>
                <w:szCs w:val="20"/>
              </w:rPr>
              <w:t>Partner Agencies:</w:t>
            </w:r>
          </w:p>
          <w:p w14:paraId="7348193E" w14:textId="77777777" w:rsidR="00BD06C4" w:rsidRDefault="00BD06C4" w:rsidP="00BD06C4">
            <w:pPr>
              <w:pStyle w:val="NoSpacing"/>
            </w:pPr>
            <w:r>
              <w:t>UN Women,</w:t>
            </w:r>
          </w:p>
          <w:p w14:paraId="2FFD4966" w14:textId="77777777" w:rsidR="00BD06C4" w:rsidRDefault="00BD06C4" w:rsidP="00BD06C4">
            <w:pPr>
              <w:pStyle w:val="NoSpacing"/>
            </w:pPr>
            <w:r>
              <w:t>OECD</w:t>
            </w:r>
          </w:p>
        </w:tc>
        <w:tc>
          <w:tcPr>
            <w:tcW w:w="0" w:type="auto"/>
          </w:tcPr>
          <w:p w14:paraId="22F59ADC" w14:textId="77777777" w:rsidR="00BD06C4" w:rsidRDefault="00BD06C4" w:rsidP="00BD06C4">
            <w:pPr>
              <w:ind w:left="970" w:hanging="970"/>
              <w:jc w:val="both"/>
              <w:rPr>
                <w:color w:val="0070C0"/>
                <w:sz w:val="30"/>
                <w:szCs w:val="30"/>
              </w:rPr>
            </w:pPr>
            <w:r w:rsidRPr="00666BAB">
              <w:t>Tier II</w:t>
            </w:r>
          </w:p>
        </w:tc>
        <w:tc>
          <w:tcPr>
            <w:tcW w:w="0" w:type="auto"/>
          </w:tcPr>
          <w:p w14:paraId="4342A45E" w14:textId="77777777" w:rsidR="00BD06C4" w:rsidRDefault="00BD06C4" w:rsidP="00BD06C4">
            <w:pPr>
              <w:pStyle w:val="NoSpacing"/>
              <w:rPr>
                <w:b/>
                <w:bCs/>
                <w:lang w:val="en-GB"/>
              </w:rPr>
            </w:pPr>
            <w:r w:rsidRPr="003F6848">
              <w:rPr>
                <w:b/>
              </w:rPr>
              <w:t>part (a) of this indicator</w:t>
            </w:r>
            <w:r w:rsidRPr="003F6848">
              <w:rPr>
                <w:b/>
                <w:bCs/>
                <w:lang w:val="en-GB"/>
              </w:rPr>
              <w:t xml:space="preserve"> </w:t>
            </w:r>
          </w:p>
          <w:p w14:paraId="6EA877B2" w14:textId="77777777" w:rsidR="00BD06C4" w:rsidRPr="003F6848" w:rsidRDefault="00BD06C4" w:rsidP="00BD06C4">
            <w:pPr>
              <w:pStyle w:val="NoSpacing"/>
              <w:rPr>
                <w:b/>
                <w:bCs/>
                <w:lang w:val="en-GB"/>
              </w:rPr>
            </w:pPr>
          </w:p>
          <w:p w14:paraId="5004E7CA" w14:textId="77777777" w:rsidR="00BD06C4" w:rsidRPr="000A4C02" w:rsidRDefault="00BD06C4" w:rsidP="00BD06C4">
            <w:pPr>
              <w:pStyle w:val="NoSpacing"/>
              <w:rPr>
                <w:b/>
                <w:bCs/>
                <w:lang w:val="en-GB"/>
              </w:rPr>
            </w:pPr>
            <w:r w:rsidRPr="000A4C02">
              <w:rPr>
                <w:b/>
                <w:bCs/>
                <w:lang w:val="en-GB"/>
              </w:rPr>
              <w:t>Definition:</w:t>
            </w:r>
          </w:p>
          <w:p w14:paraId="673D2199" w14:textId="77777777" w:rsidR="00BD06C4" w:rsidRPr="000A4C02" w:rsidRDefault="00BD06C4" w:rsidP="00BD06C4">
            <w:pPr>
              <w:pStyle w:val="NoSpacing"/>
            </w:pPr>
          </w:p>
          <w:p w14:paraId="2F3ED608" w14:textId="77777777" w:rsidR="00BD06C4" w:rsidRPr="000A4C02" w:rsidRDefault="00BD06C4" w:rsidP="00BD06C4">
            <w:pPr>
              <w:pStyle w:val="NoSpacing"/>
              <w:rPr>
                <w:lang w:val="en-GB"/>
              </w:rPr>
            </w:pPr>
            <w:r w:rsidRPr="000A4C02">
              <w:rPr>
                <w:lang w:val="en-GB"/>
              </w:rPr>
              <w:t xml:space="preserve">This metadata sheet is focused only on the first sub-component of indicator 16.7.1, namely on positions in national legislatures held by individuals of each target population (sex, age, persons with disabilities, and contextually relevant population groups). </w:t>
            </w:r>
          </w:p>
          <w:p w14:paraId="18A5B684" w14:textId="77777777" w:rsidR="00BD06C4" w:rsidRPr="000A4C02" w:rsidRDefault="00BD06C4" w:rsidP="00BD06C4">
            <w:pPr>
              <w:pStyle w:val="NoSpacing"/>
              <w:rPr>
                <w:lang w:val="en-GB"/>
              </w:rPr>
            </w:pPr>
          </w:p>
          <w:p w14:paraId="2857B5FA" w14:textId="77777777" w:rsidR="00BD06C4" w:rsidRPr="000A4C02" w:rsidRDefault="00BD06C4" w:rsidP="00BD06C4">
            <w:pPr>
              <w:pStyle w:val="NoSpacing"/>
              <w:rPr>
                <w:lang w:val="en-GB"/>
              </w:rPr>
            </w:pPr>
            <w:r w:rsidRPr="000A4C02">
              <w:rPr>
                <w:lang w:val="en-GB"/>
              </w:rPr>
              <w:t xml:space="preserve">The legislative sub-component of indicator 16.7.1 aims to measure how representative of the general population </w:t>
            </w:r>
            <w:proofErr w:type="gramStart"/>
            <w:r w:rsidRPr="000A4C02">
              <w:rPr>
                <w:lang w:val="en-GB"/>
              </w:rPr>
              <w:t>are</w:t>
            </w:r>
            <w:proofErr w:type="gramEnd"/>
            <w:r w:rsidRPr="000A4C02">
              <w:rPr>
                <w:lang w:val="en-GB"/>
              </w:rPr>
              <w:t xml:space="preserve"> the individuals occupying key decision-making positions in national legislatures. More specifically, this indicator </w:t>
            </w:r>
            <w:r w:rsidRPr="000A4C02">
              <w:rPr>
                <w:lang w:val="en-GB"/>
              </w:rPr>
              <w:lastRenderedPageBreak/>
              <w:t xml:space="preserve">measures the proportional representation of various demographic groups (women, age groups) in the national population amongst individuals occupying the following positions in national legislatures: (1) Members, (2) Speakers and (3) Chairs of permanent committees in charge of the following portfolios: Foreign Affairs, Defence, Finance, Human Rights and Gender Equality. Furthermore, it looks at the electoral and constitutional provisions adopted by countries to secure representation in national legislatures of persons with disabilities and contextually relevant population groups. </w:t>
            </w:r>
          </w:p>
          <w:p w14:paraId="47ED115C" w14:textId="77777777" w:rsidR="00BD06C4" w:rsidRPr="000A4C02" w:rsidRDefault="00BD06C4" w:rsidP="00BD06C4">
            <w:pPr>
              <w:pStyle w:val="NoSpacing"/>
            </w:pPr>
          </w:p>
          <w:p w14:paraId="6CBFD295" w14:textId="77777777" w:rsidR="00BD06C4" w:rsidRPr="000A4C02" w:rsidRDefault="00BD06C4" w:rsidP="00BD06C4">
            <w:pPr>
              <w:pStyle w:val="NoSpacing"/>
              <w:rPr>
                <w:b/>
                <w:bCs/>
                <w:lang w:val="en-GB"/>
              </w:rPr>
            </w:pPr>
            <w:r w:rsidRPr="000A4C02">
              <w:rPr>
                <w:b/>
                <w:bCs/>
                <w:lang w:val="en-GB"/>
              </w:rPr>
              <w:t>Concepts:</w:t>
            </w:r>
          </w:p>
          <w:p w14:paraId="15FE8801" w14:textId="77777777" w:rsidR="00BD06C4" w:rsidRPr="000A4C02" w:rsidRDefault="00BD06C4" w:rsidP="00BD06C4">
            <w:pPr>
              <w:pStyle w:val="NoSpacing"/>
            </w:pPr>
          </w:p>
          <w:p w14:paraId="60B45B2A" w14:textId="77777777" w:rsidR="00BD06C4" w:rsidRPr="000A4C02" w:rsidRDefault="00BD06C4" w:rsidP="00BD06C4">
            <w:pPr>
              <w:pStyle w:val="NoSpacing"/>
              <w:rPr>
                <w:lang w:val="en-GB"/>
              </w:rPr>
            </w:pPr>
            <w:r w:rsidRPr="000A4C02">
              <w:rPr>
                <w:lang w:val="en-GB"/>
              </w:rPr>
              <w:t xml:space="preserve">The indicator is based on the following key concepts and terms:  </w:t>
            </w:r>
          </w:p>
          <w:p w14:paraId="021A3B12" w14:textId="77777777" w:rsidR="00BD06C4" w:rsidRPr="000A4C02" w:rsidRDefault="00BD06C4" w:rsidP="00BD06C4">
            <w:pPr>
              <w:pStyle w:val="NoSpacing"/>
            </w:pPr>
          </w:p>
          <w:p w14:paraId="4358C8BA" w14:textId="77777777" w:rsidR="00BD06C4" w:rsidRPr="000A4C02" w:rsidRDefault="00BD06C4" w:rsidP="00BD06C4">
            <w:pPr>
              <w:pStyle w:val="NoSpacing"/>
              <w:numPr>
                <w:ilvl w:val="0"/>
                <w:numId w:val="97"/>
              </w:numPr>
              <w:rPr>
                <w:i/>
              </w:rPr>
            </w:pPr>
            <w:r w:rsidRPr="000A4C02">
              <w:rPr>
                <w:i/>
              </w:rPr>
              <w:t xml:space="preserve">National legislature: </w:t>
            </w:r>
            <w:r w:rsidRPr="000A4C02">
              <w:t xml:space="preserve">A legislature (alternatively called ‘assembly’ or ‘parliament’) is the multi-member branch of government that considers public issues, makes laws and oversees the executive.  </w:t>
            </w:r>
          </w:p>
          <w:p w14:paraId="40196156" w14:textId="77777777" w:rsidR="00BD06C4" w:rsidRPr="000A4C02" w:rsidRDefault="00BD06C4" w:rsidP="00BD06C4">
            <w:pPr>
              <w:pStyle w:val="NoSpacing"/>
              <w:numPr>
                <w:ilvl w:val="1"/>
                <w:numId w:val="97"/>
              </w:numPr>
              <w:rPr>
                <w:i/>
              </w:rPr>
            </w:pPr>
            <w:r w:rsidRPr="000A4C02">
              <w:rPr>
                <w:i/>
              </w:rPr>
              <w:t>Unicameral / bicameral parliaments:</w:t>
            </w:r>
            <w:r w:rsidRPr="000A4C02">
              <w:t xml:space="preserve"> A legislature may consist of a single chamber (unicameral parliament) or two chambers (bicameral parliament). The organization of a country’s legislature is prescribed by its constitution. Around the world, about 59% of all countries have unicameral legislatures, while the remaining 41% are bicameral</w:t>
            </w:r>
            <w:r w:rsidRPr="000A4C02">
              <w:rPr>
                <w:vertAlign w:val="superscript"/>
              </w:rPr>
              <w:footnoteReference w:id="66"/>
            </w:r>
            <w:r w:rsidRPr="000A4C02">
              <w:t>. To allow for a comprehensive analysis, this indicator will consider both chambers in bicameral parliaments.</w:t>
            </w:r>
          </w:p>
          <w:p w14:paraId="28B801F3" w14:textId="77777777" w:rsidR="00BD06C4" w:rsidRPr="000A4C02" w:rsidRDefault="00BD06C4" w:rsidP="00BD06C4">
            <w:pPr>
              <w:pStyle w:val="NoSpacing"/>
              <w:numPr>
                <w:ilvl w:val="0"/>
                <w:numId w:val="97"/>
              </w:numPr>
            </w:pPr>
            <w:bookmarkStart w:id="23" w:name="_gjdgxs" w:colFirst="0" w:colLast="0"/>
            <w:bookmarkEnd w:id="23"/>
            <w:r w:rsidRPr="000A4C02">
              <w:rPr>
                <w:i/>
              </w:rPr>
              <w:t xml:space="preserve">Member of Parliament (MP): </w:t>
            </w:r>
            <w:r w:rsidRPr="000A4C02">
              <w:t>A person who is formally an elected or appointed member of a national legislature. This metadata considers all members of lower and upper chamber regardless of the selection modality (direct election, indirect election and appointment).</w:t>
            </w:r>
          </w:p>
          <w:p w14:paraId="362F9BB9" w14:textId="77777777" w:rsidR="00BD06C4" w:rsidRPr="000A4C02" w:rsidRDefault="00BD06C4" w:rsidP="00BD06C4">
            <w:pPr>
              <w:pStyle w:val="NoSpacing"/>
              <w:numPr>
                <w:ilvl w:val="0"/>
                <w:numId w:val="97"/>
              </w:numPr>
            </w:pPr>
            <w:r w:rsidRPr="000A4C02">
              <w:t>Speaker: A Speaker (alternatively called ‘president’ or ‘chairperson’ of the legislature) is the presiding officer of the legislature.</w:t>
            </w:r>
          </w:p>
          <w:p w14:paraId="5B75D6E1" w14:textId="77777777" w:rsidR="00BD06C4" w:rsidRPr="000A4C02" w:rsidRDefault="00BD06C4" w:rsidP="00BD06C4">
            <w:pPr>
              <w:pStyle w:val="NoSpacing"/>
              <w:numPr>
                <w:ilvl w:val="0"/>
                <w:numId w:val="97"/>
              </w:numPr>
            </w:pPr>
            <w:r w:rsidRPr="000A4C02">
              <w:rPr>
                <w:i/>
              </w:rPr>
              <w:t xml:space="preserve">Permanent committee </w:t>
            </w:r>
            <w:r w:rsidRPr="000A4C02">
              <w:t>(alternatively called ‘standing committee’): established for the full duration of the legislature and generally aligned with the specific policy areas of key government departments. For the purpose of SDG indicator 16.7.1(a), the permanent committees in charge of five portfolios are being considered: Foreign Affairs, Defence, Finance, Human Rights and Gender Equality.</w:t>
            </w:r>
          </w:p>
          <w:p w14:paraId="52C16B4D" w14:textId="77777777" w:rsidR="00BD06C4" w:rsidRPr="000A4C02" w:rsidRDefault="00BD06C4" w:rsidP="00BD06C4">
            <w:pPr>
              <w:pStyle w:val="NoSpacing"/>
              <w:numPr>
                <w:ilvl w:val="0"/>
                <w:numId w:val="97"/>
              </w:numPr>
              <w:rPr>
                <w:i/>
              </w:rPr>
            </w:pPr>
            <w:r w:rsidRPr="000A4C02">
              <w:rPr>
                <w:i/>
              </w:rPr>
              <w:t>Permanent Committee Chair:</w:t>
            </w:r>
            <w:r w:rsidRPr="000A4C02">
              <w:t xml:space="preserve"> A person designated to preside over the work of a permanent committee, selected through nomination by political parties, election by MPs, appointment by the Speaker, or other means. </w:t>
            </w:r>
          </w:p>
          <w:p w14:paraId="613E4296" w14:textId="77777777" w:rsidR="00BD06C4" w:rsidRPr="000A4C02" w:rsidRDefault="00BD06C4" w:rsidP="00BD06C4">
            <w:pPr>
              <w:pStyle w:val="NoSpacing"/>
              <w:numPr>
                <w:ilvl w:val="0"/>
                <w:numId w:val="97"/>
              </w:numPr>
              <w:rPr>
                <w:i/>
              </w:rPr>
            </w:pPr>
            <w:r w:rsidRPr="000A4C02">
              <w:rPr>
                <w:i/>
              </w:rPr>
              <w:t xml:space="preserve">Disability: </w:t>
            </w:r>
            <w:r w:rsidRPr="000A4C02">
              <w:t>long-term physical, mental, intellectual or sensory impairments which in interaction with various barriers may hinder the full and effective participation of disabled persons in society on an equal basis with others.</w:t>
            </w:r>
            <w:r w:rsidRPr="000A4C02">
              <w:rPr>
                <w:vertAlign w:val="superscript"/>
              </w:rPr>
              <w:footnoteReference w:id="67"/>
            </w:r>
          </w:p>
          <w:p w14:paraId="2C8D57A0" w14:textId="77777777" w:rsidR="00BD06C4" w:rsidRPr="000A4C02" w:rsidRDefault="00BD06C4" w:rsidP="00BD06C4">
            <w:pPr>
              <w:pStyle w:val="NoSpacing"/>
              <w:numPr>
                <w:ilvl w:val="0"/>
                <w:numId w:val="97"/>
              </w:numPr>
            </w:pPr>
            <w:r w:rsidRPr="000A4C02">
              <w:rPr>
                <w:i/>
              </w:rPr>
              <w:t xml:space="preserve">Population group: </w:t>
            </w:r>
            <w:r w:rsidRPr="000A4C02">
              <w:t xml:space="preserve">The population of a country is a mosaic of different population groups that can be </w:t>
            </w:r>
            <w:r w:rsidRPr="000A4C02">
              <w:lastRenderedPageBreak/>
              <w:t>identified according to racial or ethnic, language, migration status, religious affiliation, sexual orientation, as well as disability status (UNECE). The indicator adopts a broad definition of population groups, not limited to minorities</w:t>
            </w:r>
            <w:r w:rsidRPr="000A4C02">
              <w:rPr>
                <w:vertAlign w:val="superscript"/>
              </w:rPr>
              <w:footnoteReference w:id="68"/>
            </w:r>
            <w:r w:rsidRPr="000A4C02">
              <w:t xml:space="preserve"> and indigenous peoples</w:t>
            </w:r>
            <w:r w:rsidRPr="000A4C02">
              <w:rPr>
                <w:vertAlign w:val="superscript"/>
              </w:rPr>
              <w:footnoteReference w:id="69"/>
            </w:r>
            <w:r w:rsidRPr="000A4C02">
              <w:t>, in order to capture all nationally relevant groups tracked by a given parliament, which depends on the constitutional and electoral measures in place to guarantee the representation of certain groups. Such measures sometimes extend to groups other than ‘minorities’, such as, for instance, occupational groups.</w:t>
            </w:r>
            <w:r w:rsidRPr="000A4C02">
              <w:rPr>
                <w:vertAlign w:val="superscript"/>
              </w:rPr>
              <w:footnoteReference w:id="70"/>
            </w:r>
          </w:p>
          <w:p w14:paraId="45675484" w14:textId="77777777" w:rsidR="00BD06C4" w:rsidRDefault="00BD06C4" w:rsidP="00BD06C4">
            <w:pPr>
              <w:pStyle w:val="NoSpacing"/>
            </w:pPr>
          </w:p>
          <w:p w14:paraId="2822190E" w14:textId="77777777" w:rsidR="00BD06C4" w:rsidRPr="000A4C02" w:rsidRDefault="00BD06C4" w:rsidP="00BD06C4">
            <w:pPr>
              <w:pStyle w:val="NoSpacing"/>
            </w:pPr>
          </w:p>
          <w:p w14:paraId="3F280467" w14:textId="77777777" w:rsidR="00BD06C4" w:rsidRPr="000A4C02" w:rsidRDefault="00BD06C4" w:rsidP="00BD06C4">
            <w:pPr>
              <w:pStyle w:val="NoSpacing"/>
              <w:rPr>
                <w:b/>
                <w:bCs/>
                <w:lang w:val="en-GB"/>
              </w:rPr>
            </w:pPr>
            <w:r w:rsidRPr="000A4C02">
              <w:rPr>
                <w:b/>
                <w:bCs/>
                <w:lang w:val="en-GB"/>
              </w:rPr>
              <w:t>Comments and limitations:</w:t>
            </w:r>
          </w:p>
          <w:p w14:paraId="7D3DC6D8" w14:textId="77777777" w:rsidR="00BD06C4" w:rsidRPr="000A4C02" w:rsidRDefault="00BD06C4" w:rsidP="00BD06C4">
            <w:pPr>
              <w:pStyle w:val="NoSpacing"/>
            </w:pPr>
          </w:p>
          <w:p w14:paraId="46024E18" w14:textId="77777777" w:rsidR="00BD06C4" w:rsidRPr="000A4C02" w:rsidRDefault="00BD06C4" w:rsidP="00BD06C4">
            <w:pPr>
              <w:pStyle w:val="NoSpacing"/>
              <w:rPr>
                <w:i/>
                <w:u w:val="single"/>
              </w:rPr>
            </w:pPr>
            <w:r w:rsidRPr="000A4C02">
              <w:rPr>
                <w:i/>
                <w:u w:val="single"/>
              </w:rPr>
              <w:t>Measuring representation</w:t>
            </w:r>
          </w:p>
          <w:p w14:paraId="617AD1D9" w14:textId="77777777" w:rsidR="00BD06C4" w:rsidRPr="000A4C02" w:rsidRDefault="00BD06C4" w:rsidP="00BD06C4">
            <w:pPr>
              <w:pStyle w:val="NoSpacing"/>
              <w:numPr>
                <w:ilvl w:val="0"/>
                <w:numId w:val="101"/>
              </w:numPr>
              <w:rPr>
                <w:lang w:val="en-GB"/>
              </w:rPr>
            </w:pPr>
            <w:r w:rsidRPr="000A4C02">
              <w:rPr>
                <w:lang w:val="en-GB"/>
              </w:rPr>
              <w:t>The significance of descriptive representation has been challenged in different ways. First, there is the question of what and who should be mirrored in the representative body; why be attentive to some groups (women, young people, minorities etc) but not others (the poor, LGBTI, "ethnic" groups who might not be officially recognized etc)? Second, the mirror notion of descriptive representation may be deemed dangerous if it precludes citizens from choosing representatives who do not look like them. One of the base tenets of democracy is freedom of choice at the ballot box and if one is corralled into having to vote for a candidate of your own sex or ethnicity, then that intrinsic liberty is constrained. Third, descriptive representation has the danger of ultimately becoming an end in itself. Concerns about effective representation should not end once parliament has the appropriate number of members for each minority groups. Indeed at this stage concerns about adequate political representation should be just beginning. These members should be able to articulate minority concerns and have the same opportunities to influence policy as other members. Nevertheless, if a parliament includes none, or very few, women, young people, minorities etc., that is probably a worrying sign that their interests are not being heard.</w:t>
            </w:r>
            <w:r w:rsidRPr="000A4C02">
              <w:rPr>
                <w:vertAlign w:val="superscript"/>
                <w:lang w:val="en-GB"/>
              </w:rPr>
              <w:t xml:space="preserve"> </w:t>
            </w:r>
            <w:r w:rsidRPr="000A4C02">
              <w:rPr>
                <w:vertAlign w:val="superscript"/>
                <w:lang w:val="en-GB"/>
              </w:rPr>
              <w:footnoteReference w:id="71"/>
            </w:r>
            <w:r w:rsidRPr="000A4C02">
              <w:rPr>
                <w:lang w:val="en-GB"/>
              </w:rPr>
              <w:t xml:space="preserve"> </w:t>
            </w:r>
          </w:p>
          <w:p w14:paraId="3FD15796" w14:textId="77777777" w:rsidR="00BD06C4" w:rsidRPr="000A4C02" w:rsidRDefault="00BD06C4" w:rsidP="00BD06C4">
            <w:pPr>
              <w:pStyle w:val="NoSpacing"/>
              <w:numPr>
                <w:ilvl w:val="0"/>
                <w:numId w:val="101"/>
              </w:numPr>
              <w:rPr>
                <w:lang w:val="en-GB"/>
              </w:rPr>
            </w:pPr>
            <w:r w:rsidRPr="000A4C02">
              <w:rPr>
                <w:lang w:val="en-GB"/>
              </w:rPr>
              <w:t xml:space="preserve">Representation needs to go hand in hand with participation, with both concepts being part of target 16.7. Without meaningful opportunities for citizens to participate in parliamentary decision-making, representation alone is unlikely to automatically lead to effective popular control of the government - one of the fundamental principles of democracy (International IDEA, 2013). </w:t>
            </w:r>
          </w:p>
          <w:p w14:paraId="5D19E298" w14:textId="77777777" w:rsidR="00BD06C4" w:rsidRPr="000A4C02" w:rsidRDefault="00BD06C4" w:rsidP="00BD06C4">
            <w:pPr>
              <w:pStyle w:val="NoSpacing"/>
              <w:numPr>
                <w:ilvl w:val="0"/>
                <w:numId w:val="101"/>
              </w:numPr>
              <w:rPr>
                <w:lang w:val="en-GB"/>
              </w:rPr>
            </w:pPr>
            <w:r w:rsidRPr="000A4C02">
              <w:rPr>
                <w:lang w:val="en-GB"/>
              </w:rPr>
              <w:t>The age and sex of individuals holding decision-making positions in parliament provide an indication at the symbolic level of the way in which power is shared within this institution. However, there is no certainty that because a Speaker or committee Chair is young (or old), a woman (or a man), or belongs to a minority group, s/he will bring to the fore issues of interest to groups with the same socio-demographic profile.</w:t>
            </w:r>
          </w:p>
          <w:p w14:paraId="4516B789" w14:textId="77777777" w:rsidR="00BD06C4" w:rsidRPr="000A4C02" w:rsidRDefault="00BD06C4" w:rsidP="00BD06C4">
            <w:pPr>
              <w:pStyle w:val="NoSpacing"/>
              <w:numPr>
                <w:ilvl w:val="0"/>
                <w:numId w:val="101"/>
              </w:numPr>
              <w:rPr>
                <w:lang w:val="en-GB"/>
              </w:rPr>
            </w:pPr>
            <w:r w:rsidRPr="000A4C02">
              <w:rPr>
                <w:lang w:val="en-GB"/>
              </w:rPr>
              <w:lastRenderedPageBreak/>
              <w:t xml:space="preserve">Tracking the age of MPs over time offers some measure of youth representation in parliament. However, in most parliaments around the world, leadership positions such as Speaker and permanent committee Chairs are considered senior functions which require considerable experience, and are awarded in recognition of parliamentary achievement. This means that such positions are by nature unlikely to be held by members below the ‘youth’ age bracket of ‘45 years old and under’. As such, for the positions of Speaker and committee Chairs, more relevant insights will be generated on the basis of sex disaggregation. </w:t>
            </w:r>
          </w:p>
          <w:p w14:paraId="138BE634" w14:textId="77777777" w:rsidR="00BD06C4" w:rsidRPr="000A4C02" w:rsidRDefault="00BD06C4" w:rsidP="00BD06C4">
            <w:pPr>
              <w:pStyle w:val="NoSpacing"/>
              <w:numPr>
                <w:ilvl w:val="0"/>
                <w:numId w:val="101"/>
              </w:numPr>
              <w:rPr>
                <w:lang w:val="en-GB"/>
              </w:rPr>
            </w:pPr>
            <w:r w:rsidRPr="000A4C02">
              <w:rPr>
                <w:lang w:val="en-GB"/>
              </w:rPr>
              <w:t>IPU studies on women in parliaments</w:t>
            </w:r>
            <w:r w:rsidRPr="000A4C02">
              <w:rPr>
                <w:vertAlign w:val="superscript"/>
                <w:lang w:val="en-GB"/>
              </w:rPr>
              <w:footnoteReference w:id="72"/>
            </w:r>
            <w:r w:rsidRPr="000A4C02">
              <w:rPr>
                <w:lang w:val="en-GB"/>
              </w:rPr>
              <w:t xml:space="preserve"> have found that committees representing the three ‘hard’ policy portfolios of Foreign Affairs, Defence and Finance are traditionally male-dominated. The two other committees tracked by this indicator, representing cross-cutting portfolios of Human Rights and Gender Equality, are also of interest given their specific areas of focus. Although not found in every parliament, the very existence of these two commitees suggests a particular commitment within parliament to safeguarding human rights and promoting gender equality. </w:t>
            </w:r>
          </w:p>
          <w:p w14:paraId="790B0DC9" w14:textId="77777777" w:rsidR="00BD06C4" w:rsidRPr="000A4C02" w:rsidRDefault="00BD06C4" w:rsidP="00BD06C4">
            <w:pPr>
              <w:pStyle w:val="NoSpacing"/>
              <w:numPr>
                <w:ilvl w:val="0"/>
                <w:numId w:val="101"/>
              </w:numPr>
              <w:rPr>
                <w:lang w:val="en-GB"/>
              </w:rPr>
            </w:pPr>
            <w:r w:rsidRPr="000A4C02">
              <w:rPr>
                <w:lang w:val="en-GB"/>
              </w:rPr>
              <w:t>In certain countries, particularly Small Island Developing States, the number of members of parliament may be very small. Consequently, there may not be a committee system, or the committee system may not contain the same distribution by areas of responsibility as observed in the majority of parliaments. In addition, in parliaments with a very small number of members, the addition or reduction of just one or two people to the number of women or the number of young MPs may have a significant impact on the overall percentage of representation of these groups.</w:t>
            </w:r>
          </w:p>
          <w:p w14:paraId="381CE15D" w14:textId="77777777" w:rsidR="00BD06C4" w:rsidRPr="000A4C02" w:rsidRDefault="00BD06C4" w:rsidP="00BD06C4">
            <w:pPr>
              <w:pStyle w:val="NoSpacing"/>
            </w:pPr>
          </w:p>
          <w:p w14:paraId="46FE84AD" w14:textId="77777777" w:rsidR="00BD06C4" w:rsidRPr="000A4C02" w:rsidRDefault="00BD06C4" w:rsidP="00BD06C4">
            <w:pPr>
              <w:pStyle w:val="NoSpacing"/>
              <w:rPr>
                <w:b/>
                <w:bCs/>
                <w:i/>
                <w:iCs/>
                <w:u w:val="single"/>
                <w:lang w:val="en-GB"/>
              </w:rPr>
            </w:pPr>
            <w:r w:rsidRPr="000A4C02">
              <w:rPr>
                <w:b/>
                <w:bCs/>
                <w:i/>
                <w:iCs/>
                <w:u w:val="single"/>
                <w:lang w:val="en-GB"/>
              </w:rPr>
              <w:t>Methodology</w:t>
            </w:r>
          </w:p>
          <w:p w14:paraId="2D34BD29" w14:textId="77777777" w:rsidR="00BD06C4" w:rsidRPr="000A4C02" w:rsidRDefault="00BD06C4" w:rsidP="00BD06C4">
            <w:pPr>
              <w:pStyle w:val="NoSpacing"/>
              <w:numPr>
                <w:ilvl w:val="0"/>
                <w:numId w:val="102"/>
              </w:numPr>
              <w:rPr>
                <w:lang w:val="en-GB"/>
              </w:rPr>
            </w:pPr>
            <w:r w:rsidRPr="000A4C02">
              <w:rPr>
                <w:lang w:val="en-GB"/>
              </w:rPr>
              <w:t>As regards the scope of ‘population groups’, while representation of minorities and indigenous peoples may be more often tracked by national parliaments due to the availability of internationally accepted definitions, the indicator also invites reporting on any other tracked population groups, including, for instance, occupational groups.</w:t>
            </w:r>
          </w:p>
          <w:p w14:paraId="5B499F57" w14:textId="77777777" w:rsidR="00BD06C4" w:rsidRPr="000A4C02" w:rsidRDefault="00BD06C4" w:rsidP="00BD06C4">
            <w:pPr>
              <w:pStyle w:val="NoSpacing"/>
              <w:numPr>
                <w:ilvl w:val="0"/>
                <w:numId w:val="102"/>
              </w:numPr>
              <w:rPr>
                <w:lang w:val="en-GB"/>
              </w:rPr>
            </w:pPr>
            <w:r w:rsidRPr="000A4C02">
              <w:rPr>
                <w:lang w:val="en-GB"/>
              </w:rPr>
              <w:t xml:space="preserve">An obvious limitation of this metadata is that it only considers members of parliament, in keeping with the focus of target 16.7 on ‘decision-making’. However, some parliaments may find it useful to also look at the composition of various staff categories such as clerks of the parliament, committee clerks or researchers, etc. </w:t>
            </w:r>
          </w:p>
          <w:p w14:paraId="3272B774" w14:textId="77777777" w:rsidR="00BD06C4" w:rsidRPr="000A4C02" w:rsidRDefault="00BD06C4" w:rsidP="00BD06C4">
            <w:pPr>
              <w:pStyle w:val="NoSpacing"/>
              <w:numPr>
                <w:ilvl w:val="0"/>
                <w:numId w:val="102"/>
              </w:numPr>
              <w:rPr>
                <w:lang w:val="en-GB"/>
              </w:rPr>
            </w:pPr>
            <w:r w:rsidRPr="000A4C02">
              <w:rPr>
                <w:lang w:val="en-GB"/>
              </w:rPr>
              <w:t>Who holds the Chairs of parliamentary committees is largely tributary to the overall distribution of seats within the parliament. For example, parliaments with no members under the age of 30 will not have any committee Chairs under that age. Since committee chairs are typically awarded on the basis of experience and seniority,</w:t>
            </w:r>
            <w:r w:rsidRPr="000A4C02">
              <w:rPr>
                <w:vertAlign w:val="superscript"/>
                <w:lang w:val="en-GB"/>
              </w:rPr>
              <w:footnoteReference w:id="73"/>
            </w:r>
            <w:r w:rsidRPr="000A4C02">
              <w:rPr>
                <w:lang w:val="en-GB"/>
              </w:rPr>
              <w:t xml:space="preserve">  higher age groups are expected to be common among committee Chairs and Speakers. </w:t>
            </w:r>
          </w:p>
          <w:p w14:paraId="75F4B7BA" w14:textId="77777777" w:rsidR="00BD06C4" w:rsidRPr="000A4C02" w:rsidRDefault="00BD06C4" w:rsidP="00BD06C4">
            <w:pPr>
              <w:pStyle w:val="NoSpacing"/>
            </w:pPr>
          </w:p>
          <w:p w14:paraId="48394B90" w14:textId="77777777" w:rsidR="00BD06C4" w:rsidRPr="000A4C02" w:rsidRDefault="00BD06C4" w:rsidP="00BD06C4">
            <w:pPr>
              <w:pStyle w:val="NoSpacing"/>
              <w:rPr>
                <w:b/>
                <w:bCs/>
                <w:i/>
                <w:iCs/>
                <w:u w:val="single"/>
                <w:lang w:val="en-GB"/>
              </w:rPr>
            </w:pPr>
            <w:r w:rsidRPr="000A4C02">
              <w:rPr>
                <w:b/>
                <w:bCs/>
                <w:i/>
                <w:iCs/>
                <w:u w:val="single"/>
                <w:lang w:val="en-GB"/>
              </w:rPr>
              <w:lastRenderedPageBreak/>
              <w:t>Data collection</w:t>
            </w:r>
          </w:p>
          <w:p w14:paraId="5914A9DA" w14:textId="77777777" w:rsidR="00BD06C4" w:rsidRPr="000A4C02" w:rsidRDefault="00BD06C4" w:rsidP="00BD06C4">
            <w:pPr>
              <w:pStyle w:val="NoSpacing"/>
              <w:numPr>
                <w:ilvl w:val="0"/>
                <w:numId w:val="103"/>
              </w:numPr>
              <w:rPr>
                <w:lang w:val="en-GB"/>
              </w:rPr>
            </w:pPr>
            <w:r w:rsidRPr="000A4C02">
              <w:rPr>
                <w:lang w:val="en-GB"/>
              </w:rPr>
              <w:t>In between reporting dates, it may be difficult to maintain up-to-date information on the results of by-elections held in selected constituencies to fill vacancies arising from the death or resignation of members.</w:t>
            </w:r>
          </w:p>
          <w:p w14:paraId="08C50889" w14:textId="77777777" w:rsidR="00BD06C4" w:rsidRPr="000A4C02" w:rsidRDefault="00BD06C4" w:rsidP="00BD06C4">
            <w:pPr>
              <w:pStyle w:val="NoSpacing"/>
              <w:numPr>
                <w:ilvl w:val="0"/>
                <w:numId w:val="103"/>
              </w:numPr>
              <w:rPr>
                <w:lang w:val="en-GB"/>
              </w:rPr>
            </w:pPr>
            <w:r w:rsidRPr="000A4C02">
              <w:rPr>
                <w:lang w:val="en-GB"/>
              </w:rPr>
              <w:t xml:space="preserve">From one year to another during any given parliamentary term (typically 4 or 5 years), some Members may fall into a different age group amongst those considered for this indicator. For this reason, age should be reported as that at the time of election to parliament (and in the case of Speakers and permanent committee Chairs, at the time of nomination to a given position). </w:t>
            </w:r>
          </w:p>
          <w:p w14:paraId="09E5184F" w14:textId="77777777" w:rsidR="00BD06C4" w:rsidRPr="000A4C02" w:rsidRDefault="00BD06C4" w:rsidP="00BD06C4">
            <w:pPr>
              <w:pStyle w:val="NoSpacing"/>
            </w:pPr>
          </w:p>
          <w:p w14:paraId="34E24C71" w14:textId="77777777" w:rsidR="00BD06C4" w:rsidRPr="000A4C02" w:rsidRDefault="00BD06C4" w:rsidP="00BD06C4">
            <w:pPr>
              <w:pStyle w:val="NoSpacing"/>
              <w:rPr>
                <w:i/>
                <w:iCs/>
                <w:u w:val="single"/>
                <w:lang w:val="en-GB"/>
              </w:rPr>
            </w:pPr>
            <w:r w:rsidRPr="000A4C02">
              <w:rPr>
                <w:i/>
                <w:iCs/>
                <w:u w:val="single"/>
                <w:lang w:val="en-GB"/>
              </w:rPr>
              <w:t>Recommended approach to monitoring disability and population groups:</w:t>
            </w:r>
          </w:p>
          <w:p w14:paraId="689B584D" w14:textId="77777777" w:rsidR="00BD06C4" w:rsidRPr="000A4C02" w:rsidRDefault="00BD06C4" w:rsidP="00BD06C4">
            <w:pPr>
              <w:pStyle w:val="NoSpacing"/>
              <w:rPr>
                <w:i/>
                <w:u w:val="single"/>
              </w:rPr>
            </w:pPr>
          </w:p>
          <w:p w14:paraId="2A97663A" w14:textId="77777777" w:rsidR="00BD06C4" w:rsidRPr="000A4C02" w:rsidRDefault="00BD06C4" w:rsidP="00BD06C4">
            <w:pPr>
              <w:pStyle w:val="NoSpacing"/>
              <w:rPr>
                <w:i/>
                <w:iCs/>
                <w:u w:val="single"/>
                <w:lang w:val="en-GB"/>
              </w:rPr>
            </w:pPr>
            <w:r w:rsidRPr="000A4C02">
              <w:rPr>
                <w:i/>
                <w:iCs/>
                <w:u w:val="single"/>
                <w:lang w:val="en-GB"/>
              </w:rPr>
              <w:t>1) Sensitivity of disability and population group data</w:t>
            </w:r>
          </w:p>
          <w:p w14:paraId="0D399A43" w14:textId="77777777" w:rsidR="00BD06C4" w:rsidRPr="000A4C02" w:rsidRDefault="00BD06C4" w:rsidP="00BD06C4">
            <w:pPr>
              <w:pStyle w:val="NoSpacing"/>
              <w:numPr>
                <w:ilvl w:val="0"/>
                <w:numId w:val="104"/>
              </w:numPr>
              <w:rPr>
                <w:lang w:val="en-GB"/>
              </w:rPr>
            </w:pPr>
            <w:r w:rsidRPr="000A4C02">
              <w:rPr>
                <w:lang w:val="en-GB"/>
              </w:rPr>
              <w:t>Efforts to promote inclusive parliaments presuppose recognition of ethno-cultural diversity</w:t>
            </w:r>
            <w:r w:rsidRPr="000A4C02">
              <w:rPr>
                <w:vertAlign w:val="superscript"/>
                <w:lang w:val="en-GB"/>
              </w:rPr>
              <w:footnoteReference w:id="74"/>
            </w:r>
            <w:r w:rsidRPr="000A4C02">
              <w:rPr>
                <w:lang w:val="en-GB"/>
              </w:rPr>
              <w:t xml:space="preserve">. In certain contexts, population group status may prove to be a sensitive and politically charged variable. For example, several countries actively restrict or ban identification of ethnic or religious status, in order to protect vulnerable populations or discourage inter-ethnic conflict. In addition, definitions of groups that constitute a minority vary greatly between countries. </w:t>
            </w:r>
          </w:p>
          <w:p w14:paraId="75DFB1FC" w14:textId="77777777" w:rsidR="00BD06C4" w:rsidRPr="000A4C02" w:rsidRDefault="00BD06C4" w:rsidP="00BD06C4">
            <w:pPr>
              <w:pStyle w:val="NoSpacing"/>
              <w:numPr>
                <w:ilvl w:val="0"/>
                <w:numId w:val="104"/>
              </w:numPr>
              <w:rPr>
                <w:lang w:val="en-GB"/>
              </w:rPr>
            </w:pPr>
            <w:r w:rsidRPr="000A4C02">
              <w:rPr>
                <w:lang w:val="en-GB"/>
              </w:rPr>
              <w:t xml:space="preserve">Furthermore, there is a strong human rights principle that individuals must be able to choose to identify themselves as members of a minority, or not. It would not be appropriate for parliaments (or any other body) to assume or to assign MPs’ membership of a particular population group. </w:t>
            </w:r>
          </w:p>
          <w:p w14:paraId="21BC12D9" w14:textId="77777777" w:rsidR="00BD06C4" w:rsidRPr="000A4C02" w:rsidRDefault="00BD06C4" w:rsidP="00BD06C4">
            <w:pPr>
              <w:pStyle w:val="NoSpacing"/>
              <w:numPr>
                <w:ilvl w:val="0"/>
                <w:numId w:val="104"/>
              </w:numPr>
              <w:rPr>
                <w:lang w:val="en-GB"/>
              </w:rPr>
            </w:pPr>
            <w:r w:rsidRPr="000A4C02">
              <w:rPr>
                <w:lang w:val="en-GB"/>
              </w:rPr>
              <w:t>Similarly, discriminatory perceptions and implicit bias against disability can make the collection of data by parliaments on this characteristic equally sensitive. This is partly because parliamentarians with disabilities, like everyone else, have a right to privacy and therefore are not under an obligation to reveal a disability. Moreover, in many states, information concerning disability falls under the umbrella of health data and is therefore confidential, thus preventing parliaments to release this information even on an anonymous basis.</w:t>
            </w:r>
            <w:r w:rsidRPr="000A4C02">
              <w:rPr>
                <w:vertAlign w:val="superscript"/>
                <w:lang w:val="en-GB"/>
              </w:rPr>
              <w:footnoteReference w:id="75"/>
            </w:r>
            <w:r w:rsidRPr="000A4C02" w:rsidDel="00B265B6">
              <w:rPr>
                <w:lang w:val="en-GB"/>
              </w:rPr>
              <w:t xml:space="preserve"> </w:t>
            </w:r>
          </w:p>
          <w:p w14:paraId="472BE3E0" w14:textId="77777777" w:rsidR="00BD06C4" w:rsidRPr="000A4C02" w:rsidRDefault="00BD06C4" w:rsidP="00BD06C4">
            <w:pPr>
              <w:pStyle w:val="NoSpacing"/>
              <w:numPr>
                <w:ilvl w:val="0"/>
                <w:numId w:val="104"/>
              </w:numPr>
              <w:rPr>
                <w:lang w:val="en-GB"/>
              </w:rPr>
            </w:pPr>
            <w:r w:rsidRPr="000A4C02">
              <w:rPr>
                <w:lang w:val="en-GB"/>
              </w:rPr>
              <w:t>As a result, currently, next to no countries systematically collect data on disability among members of parliaments. As pointed out by the European Union Agency for Fundamental Rights (FRA), while collecting reliable and accurate statistical data regarding the experiences of persons with disabilities presents numerous challenges, the lack of comparable data hinders the understanding of barriers to political participation.</w:t>
            </w:r>
            <w:r w:rsidRPr="000A4C02">
              <w:rPr>
                <w:vertAlign w:val="superscript"/>
                <w:lang w:val="en-GB"/>
              </w:rPr>
              <w:footnoteReference w:id="76"/>
            </w:r>
            <w:r w:rsidRPr="000A4C02">
              <w:rPr>
                <w:lang w:val="en-GB"/>
              </w:rPr>
              <w:t xml:space="preserve"> </w:t>
            </w:r>
          </w:p>
          <w:p w14:paraId="79D1E86E" w14:textId="77777777" w:rsidR="00BD06C4" w:rsidRPr="000A4C02" w:rsidRDefault="00BD06C4" w:rsidP="00BD06C4">
            <w:pPr>
              <w:pStyle w:val="NoSpacing"/>
            </w:pPr>
          </w:p>
          <w:p w14:paraId="04CEBEEC" w14:textId="77777777" w:rsidR="00BD06C4" w:rsidRPr="000A4C02" w:rsidRDefault="00BD06C4" w:rsidP="00BD06C4">
            <w:pPr>
              <w:pStyle w:val="NoSpacing"/>
              <w:rPr>
                <w:i/>
                <w:iCs/>
                <w:u w:val="single"/>
                <w:lang w:val="en-GB"/>
              </w:rPr>
            </w:pPr>
            <w:r w:rsidRPr="000A4C02">
              <w:rPr>
                <w:i/>
                <w:iCs/>
                <w:u w:val="single"/>
                <w:lang w:val="en-GB"/>
              </w:rPr>
              <w:t xml:space="preserve">2) Limitations of the descriptive representation approach to tracking disability and population group status </w:t>
            </w:r>
          </w:p>
          <w:p w14:paraId="0A7F1A10" w14:textId="77777777" w:rsidR="00BD06C4" w:rsidRPr="000A4C02" w:rsidRDefault="00BD06C4" w:rsidP="00BD06C4">
            <w:pPr>
              <w:pStyle w:val="NoSpacing"/>
              <w:numPr>
                <w:ilvl w:val="0"/>
                <w:numId w:val="105"/>
              </w:numPr>
              <w:rPr>
                <w:lang w:val="en-GB"/>
              </w:rPr>
            </w:pPr>
            <w:r w:rsidRPr="000A4C02">
              <w:rPr>
                <w:lang w:val="en-GB"/>
              </w:rPr>
              <w:lastRenderedPageBreak/>
              <w:t>Unlike for sex and age, monitoring the descriptive representation of members of parliament</w:t>
            </w:r>
            <w:r w:rsidRPr="000A4C02" w:rsidDel="008B3B1B">
              <w:rPr>
                <w:lang w:val="en-GB"/>
              </w:rPr>
              <w:t xml:space="preserve"> </w:t>
            </w:r>
            <w:r w:rsidRPr="000A4C02">
              <w:rPr>
                <w:lang w:val="en-GB"/>
              </w:rPr>
              <w:t>based on disability or population group status would be neither feasible nor meaningful.</w:t>
            </w:r>
          </w:p>
          <w:p w14:paraId="49177F60" w14:textId="77777777" w:rsidR="00BD06C4" w:rsidRPr="000A4C02" w:rsidRDefault="00BD06C4" w:rsidP="00BD06C4">
            <w:pPr>
              <w:pStyle w:val="NoSpacing"/>
              <w:numPr>
                <w:ilvl w:val="0"/>
                <w:numId w:val="105"/>
              </w:numPr>
              <w:rPr>
                <w:lang w:val="en-GB"/>
              </w:rPr>
            </w:pPr>
            <w:r w:rsidRPr="000A4C02">
              <w:rPr>
                <w:lang w:val="en-GB"/>
              </w:rPr>
              <w:t xml:space="preserve">Considering how broad the concept of disability is, encompassing various types of impairments and various degrees of severity, it would be unrealistic and unwarranted to expect a one-to-one ratio of representation in parliament. Furthermore, since national-level disability statistics are not always up-to-date, let alone available, the comparison between the share of disabled in the national population and in parliament could be unsound, or difficult to establish. </w:t>
            </w:r>
          </w:p>
          <w:p w14:paraId="257E5C1F" w14:textId="77777777" w:rsidR="00BD06C4" w:rsidRPr="000A4C02" w:rsidRDefault="00BD06C4" w:rsidP="00BD06C4">
            <w:pPr>
              <w:pStyle w:val="NoSpacing"/>
              <w:numPr>
                <w:ilvl w:val="0"/>
                <w:numId w:val="105"/>
              </w:numPr>
              <w:rPr>
                <w:lang w:val="en-GB"/>
              </w:rPr>
            </w:pPr>
            <w:r w:rsidRPr="000A4C02">
              <w:rPr>
                <w:lang w:val="en-GB"/>
              </w:rPr>
              <w:t xml:space="preserve">There are similar concerns with respect to monitoring the representation of various population groups. In countries whose populations are a mosaic of many diverse groups (some of which may account for less than 1 percent of the population) an exact reflection of such pluralism in the composition of parliament would be impossible and unnecessary. </w:t>
            </w:r>
          </w:p>
          <w:p w14:paraId="7BA0C75B" w14:textId="77777777" w:rsidR="00BD06C4" w:rsidRPr="000A4C02" w:rsidRDefault="00BD06C4" w:rsidP="00BD06C4">
            <w:pPr>
              <w:pStyle w:val="NoSpacing"/>
              <w:numPr>
                <w:ilvl w:val="0"/>
                <w:numId w:val="105"/>
              </w:numPr>
              <w:rPr>
                <w:lang w:val="en-GB"/>
              </w:rPr>
            </w:pPr>
            <w:r w:rsidRPr="000A4C02">
              <w:rPr>
                <w:lang w:val="en-GB"/>
              </w:rPr>
              <w:t xml:space="preserve">For ethical reasons, data on disability and population group status of MPs could only be collected through individual surveys that meet required standards of confidentiality. Seeing that such practice is currently not in place, the testing of this approach will be explored in the future to establish whether surveying the world’s 46,000 parliamentarians is feasible. </w:t>
            </w:r>
          </w:p>
          <w:p w14:paraId="620CF3CE" w14:textId="77777777" w:rsidR="00BD06C4" w:rsidRPr="000A4C02" w:rsidRDefault="00BD06C4" w:rsidP="00BD06C4">
            <w:pPr>
              <w:pStyle w:val="NoSpacing"/>
            </w:pPr>
          </w:p>
          <w:p w14:paraId="25F20885" w14:textId="77777777" w:rsidR="00BD06C4" w:rsidRPr="000A4C02" w:rsidRDefault="00BD06C4" w:rsidP="00BD06C4">
            <w:pPr>
              <w:pStyle w:val="NoSpacing"/>
              <w:rPr>
                <w:i/>
                <w:iCs/>
                <w:u w:val="single"/>
                <w:lang w:val="en-GB"/>
              </w:rPr>
            </w:pPr>
            <w:r w:rsidRPr="000A4C02">
              <w:rPr>
                <w:i/>
                <w:iCs/>
                <w:u w:val="single"/>
                <w:lang w:val="en-GB"/>
              </w:rPr>
              <w:t xml:space="preserve">3) Adopting an incremental approach </w:t>
            </w:r>
          </w:p>
          <w:p w14:paraId="513D9242" w14:textId="77777777" w:rsidR="00BD06C4" w:rsidRPr="000A4C02" w:rsidRDefault="00BD06C4" w:rsidP="00BD06C4">
            <w:pPr>
              <w:pStyle w:val="NoSpacing"/>
              <w:numPr>
                <w:ilvl w:val="0"/>
                <w:numId w:val="106"/>
              </w:numPr>
              <w:rPr>
                <w:lang w:val="en-GB"/>
              </w:rPr>
            </w:pPr>
            <w:r w:rsidRPr="000A4C02">
              <w:rPr>
                <w:lang w:val="en-GB"/>
              </w:rPr>
              <w:t xml:space="preserve">Given the perceived sensitivity of collecting data on disability and population group status and concerns related to the feasibility and usefulness of monitoring descriptive representation, it is proposed to take stock instead of electoral and constitutional provisions guaranteeing the representation of persons with disabilities and various population groups in national parliaments. </w:t>
            </w:r>
          </w:p>
          <w:p w14:paraId="4220D3CE" w14:textId="77777777" w:rsidR="00BD06C4" w:rsidRPr="000A4C02" w:rsidRDefault="00BD06C4" w:rsidP="00BD06C4">
            <w:pPr>
              <w:pStyle w:val="NoSpacing"/>
              <w:numPr>
                <w:ilvl w:val="0"/>
                <w:numId w:val="106"/>
              </w:numPr>
              <w:rPr>
                <w:lang w:val="en-GB"/>
              </w:rPr>
            </w:pPr>
            <w:r w:rsidRPr="000A4C02">
              <w:rPr>
                <w:b/>
                <w:lang w:val="en-GB"/>
              </w:rPr>
              <w:t>Reserved seats and quotas</w:t>
            </w:r>
            <w:r w:rsidRPr="000A4C02">
              <w:rPr>
                <w:lang w:val="en-GB"/>
              </w:rPr>
              <w:t xml:space="preserve"> are among the most commonly utilized electoral means to ensure representation of certain groups in the political process. Above and beyond guaranteeing a minimum number of seats held by persons with disabilities and certain population groups, the existence of such provisions substantiates a country’s commitment to the right to equal participation in public and political life.</w:t>
            </w:r>
          </w:p>
          <w:p w14:paraId="006A59E9" w14:textId="77777777" w:rsidR="00BD06C4" w:rsidRPr="000A4C02" w:rsidRDefault="00BD06C4" w:rsidP="00BD06C4">
            <w:pPr>
              <w:pStyle w:val="NoSpacing"/>
              <w:numPr>
                <w:ilvl w:val="0"/>
                <w:numId w:val="106"/>
              </w:numPr>
              <w:rPr>
                <w:lang w:val="en-GB"/>
              </w:rPr>
            </w:pPr>
            <w:r w:rsidRPr="000A4C02">
              <w:rPr>
                <w:lang w:val="en-GB"/>
              </w:rPr>
              <w:t xml:space="preserve">Provisions on quotas can be found in countries’ constitutions or electoral laws (i.e. </w:t>
            </w:r>
            <w:proofErr w:type="gramStart"/>
            <w:r w:rsidRPr="000A4C02">
              <w:rPr>
                <w:lang w:val="en-GB"/>
              </w:rPr>
              <w:t>legislated</w:t>
            </w:r>
            <w:proofErr w:type="gramEnd"/>
            <w:r w:rsidRPr="000A4C02">
              <w:rPr>
                <w:lang w:val="en-GB"/>
              </w:rPr>
              <w:t xml:space="preserve"> quotas).</w:t>
            </w:r>
            <w:r w:rsidRPr="000A4C02">
              <w:rPr>
                <w:vertAlign w:val="superscript"/>
                <w:lang w:val="en-GB"/>
              </w:rPr>
              <w:footnoteReference w:id="77"/>
            </w:r>
            <w:r w:rsidRPr="000A4C02">
              <w:rPr>
                <w:lang w:val="en-GB"/>
              </w:rPr>
              <w:t xml:space="preserve"> Such electoral measures are used to achieve equal or balanced access to political power by increasing access to political decision-making processes of certain sociodemographic groups. In 2010, the constitutions or electoral laws of more than 30 countries included electoral quotas for various groups (e.g. ethnic, religious) that commonly go under the name of ‘minority groups’. A few countries have similar provisions for persons with disabilities</w:t>
            </w:r>
            <w:r w:rsidRPr="000A4C02">
              <w:rPr>
                <w:vertAlign w:val="superscript"/>
                <w:lang w:val="en-GB"/>
              </w:rPr>
              <w:footnoteReference w:id="78"/>
            </w:r>
            <w:r w:rsidRPr="000A4C02">
              <w:rPr>
                <w:lang w:val="en-GB"/>
              </w:rPr>
              <w:t xml:space="preserve">. </w:t>
            </w:r>
          </w:p>
          <w:p w14:paraId="0B07EB7B" w14:textId="77777777" w:rsidR="00BD06C4" w:rsidRPr="000A4C02" w:rsidRDefault="00BD06C4" w:rsidP="00BD06C4">
            <w:pPr>
              <w:pStyle w:val="NoSpacing"/>
              <w:numPr>
                <w:ilvl w:val="0"/>
                <w:numId w:val="106"/>
              </w:numPr>
              <w:rPr>
                <w:lang w:val="en-GB"/>
              </w:rPr>
            </w:pPr>
            <w:r w:rsidRPr="000A4C02">
              <w:rPr>
                <w:lang w:val="en-GB"/>
              </w:rPr>
              <w:t>The impracticality of looking at descriptive</w:t>
            </w:r>
            <w:r w:rsidRPr="000A4C02" w:rsidDel="00917B0C">
              <w:rPr>
                <w:lang w:val="en-GB"/>
              </w:rPr>
              <w:t xml:space="preserve"> </w:t>
            </w:r>
            <w:r w:rsidRPr="000A4C02">
              <w:rPr>
                <w:lang w:val="en-GB"/>
              </w:rPr>
              <w:t xml:space="preserve">representation does not mean there is no merit in producing </w:t>
            </w:r>
            <w:r w:rsidRPr="000A4C02">
              <w:rPr>
                <w:lang w:val="en-GB"/>
              </w:rPr>
              <w:lastRenderedPageBreak/>
              <w:t xml:space="preserve">statistics on disability or population groups in parliament. Even an indicative number of MPs self-reporting disability could help parliamentary administrations around the world to better accommodate their special needs. It could also provide valuable information on the actual exercise (and not only the legal status) of the human right to equal opportunity to participate in the public and political life. When supported by concrete figures, such information can be valuable to a broad range of actors trying to identify and address barriers to political participation, including civil society, community advocates, researchers, development partners and political institutions themselves. </w:t>
            </w:r>
          </w:p>
          <w:p w14:paraId="49E18B20" w14:textId="77777777" w:rsidR="00BD06C4" w:rsidRPr="000A4C02" w:rsidRDefault="00BD06C4" w:rsidP="00BD06C4">
            <w:pPr>
              <w:pStyle w:val="NoSpacing"/>
              <w:numPr>
                <w:ilvl w:val="0"/>
                <w:numId w:val="106"/>
              </w:numPr>
              <w:rPr>
                <w:lang w:val="en-GB"/>
              </w:rPr>
            </w:pPr>
            <w:r w:rsidRPr="000A4C02">
              <w:rPr>
                <w:lang w:val="en-GB"/>
              </w:rPr>
              <w:t>In line with the proposed incremental approach, an ‘Inclusion Survey’ (see Annex and Data Sources) was developed to facilitate the collection of self-reported data on disability (using the Short Set of Questions on</w:t>
            </w:r>
            <w:r w:rsidRPr="000A4C02">
              <w:rPr>
                <w:b/>
                <w:lang w:val="en-GB"/>
              </w:rPr>
              <w:t xml:space="preserve"> </w:t>
            </w:r>
            <w:r w:rsidRPr="000A4C02">
              <w:rPr>
                <w:lang w:val="en-GB"/>
              </w:rPr>
              <w:t>Disability</w:t>
            </w:r>
            <w:r w:rsidRPr="000A4C02">
              <w:rPr>
                <w:b/>
                <w:lang w:val="en-GB"/>
              </w:rPr>
              <w:t xml:space="preserve"> </w:t>
            </w:r>
            <w:r w:rsidRPr="000A4C02">
              <w:rPr>
                <w:lang w:val="en-GB"/>
              </w:rPr>
              <w:t xml:space="preserve">elaborated by the Washington Group) and population group status by parliaments. This short survey module of 8 questions, developed specifically for the purpose of reporting on indicator 16.7.1(a), could be administered directly to all Members by a neutral sponsor such as a national statistical office or the IPU itself. Importantly, the introduction to the survey reassures respondents of the anonymity and confidentiality of their responses, which is essential to overcome individual reluctance to disclose sensitive personal information. </w:t>
            </w:r>
          </w:p>
          <w:p w14:paraId="6CA32DDD" w14:textId="77777777" w:rsidR="00BD06C4" w:rsidRPr="000A4C02" w:rsidRDefault="00BD06C4" w:rsidP="00BD06C4">
            <w:pPr>
              <w:pStyle w:val="NoSpacing"/>
            </w:pPr>
          </w:p>
          <w:p w14:paraId="4B237AB6" w14:textId="77777777" w:rsidR="00BD06C4" w:rsidRPr="000A4C02" w:rsidRDefault="00BD06C4" w:rsidP="00BD06C4">
            <w:pPr>
              <w:pStyle w:val="NoSpacing"/>
              <w:rPr>
                <w:i/>
                <w:u w:val="single"/>
              </w:rPr>
            </w:pPr>
          </w:p>
          <w:p w14:paraId="2B2762AC" w14:textId="77777777" w:rsidR="00BD06C4" w:rsidRPr="000A4C02" w:rsidRDefault="00BD06C4" w:rsidP="00BD06C4">
            <w:pPr>
              <w:pStyle w:val="NoSpacing"/>
              <w:rPr>
                <w:i/>
                <w:iCs/>
                <w:u w:val="single"/>
                <w:lang w:val="en-GB"/>
              </w:rPr>
            </w:pPr>
            <w:r w:rsidRPr="000A4C02">
              <w:rPr>
                <w:i/>
                <w:iCs/>
                <w:u w:val="single"/>
                <w:lang w:val="en-GB"/>
              </w:rPr>
              <w:t xml:space="preserve">Recommendations for reporting also on the composition of local parliaments  </w:t>
            </w:r>
          </w:p>
          <w:p w14:paraId="2101300F" w14:textId="77777777" w:rsidR="00BD06C4" w:rsidRPr="000A4C02" w:rsidRDefault="00BD06C4" w:rsidP="00BD06C4">
            <w:pPr>
              <w:pStyle w:val="NoSpacing"/>
              <w:rPr>
                <w:lang w:val="en-GB"/>
              </w:rPr>
            </w:pPr>
            <w:r w:rsidRPr="000A4C02">
              <w:rPr>
                <w:lang w:val="en-GB"/>
              </w:rPr>
              <w:t>While at present the indicator looks only at national parliaments, broadening its scope to include legislative bodies of local governments could be considered in the future, in line with target 16.7 which calls for decision-making to be representative “at all levels”. Local councils or assemblies hold important decision-making powers, including the ability to issue by-laws that influence the lives of their respective local communities. While it is premature at this stage to propose a global methodology to report on representation in local legislatures due to the varying quality of data collection systems in place at the local level, and to a number of methodological complexities (notably with regards to the need for disaggregated population statistics to be available for each administrative division, in order to compute representation ratios in each local parliament), countries should nonetheless be encouraged to track diversity in local parliaments, using methodologies appropriate to their local context. As far as global SDG reporting is concerned, a recommendation for the future inclusion of local legislatures in indicator 16.7.1(a) can be found in Annex 1 to the Methodology Development Narrative. A custodian for this part of the indicator on local legislatures remains to be identified.</w:t>
            </w:r>
          </w:p>
          <w:p w14:paraId="459D858B" w14:textId="77777777" w:rsidR="00BD06C4" w:rsidRPr="000A4C02" w:rsidRDefault="00BD06C4" w:rsidP="00BD06C4">
            <w:pPr>
              <w:pStyle w:val="NoSpacing"/>
              <w:rPr>
                <w:b/>
                <w:bCs/>
              </w:rPr>
            </w:pPr>
          </w:p>
          <w:p w14:paraId="4718F405" w14:textId="77777777" w:rsidR="00BD06C4" w:rsidRPr="000A4C02" w:rsidRDefault="00BD06C4" w:rsidP="00BD06C4">
            <w:pPr>
              <w:pStyle w:val="NoSpacing"/>
              <w:rPr>
                <w:b/>
                <w:bCs/>
                <w:lang w:val="en-GB"/>
              </w:rPr>
            </w:pPr>
            <w:r w:rsidRPr="000A4C02">
              <w:rPr>
                <w:b/>
                <w:bCs/>
                <w:lang w:val="en-GB"/>
              </w:rPr>
              <w:t>Computation Method:</w:t>
            </w:r>
          </w:p>
          <w:p w14:paraId="23564B72" w14:textId="77777777" w:rsidR="00BD06C4" w:rsidRPr="000A4C02" w:rsidRDefault="00BD06C4" w:rsidP="00BD06C4">
            <w:pPr>
              <w:pStyle w:val="NoSpacing"/>
            </w:pPr>
          </w:p>
          <w:p w14:paraId="40990FE8" w14:textId="77777777" w:rsidR="00BD06C4" w:rsidRPr="000A4C02" w:rsidRDefault="00BD06C4" w:rsidP="00BD06C4">
            <w:pPr>
              <w:pStyle w:val="NoSpacing"/>
              <w:numPr>
                <w:ilvl w:val="0"/>
                <w:numId w:val="107"/>
              </w:numPr>
              <w:rPr>
                <w:lang w:val="en-GB"/>
              </w:rPr>
            </w:pPr>
            <w:r w:rsidRPr="000A4C02">
              <w:rPr>
                <w:lang w:val="en-GB"/>
              </w:rPr>
              <w:t>Members:</w:t>
            </w:r>
          </w:p>
          <w:p w14:paraId="4B0419A9" w14:textId="77777777" w:rsidR="00BD06C4" w:rsidRPr="000A4C02" w:rsidRDefault="00BD06C4" w:rsidP="00BD06C4">
            <w:pPr>
              <w:pStyle w:val="NoSpacing"/>
              <w:rPr>
                <w:lang w:val="en-GB"/>
              </w:rPr>
            </w:pPr>
            <w:r w:rsidRPr="000A4C02">
              <w:rPr>
                <w:lang w:val="en-GB"/>
              </w:rPr>
              <w:t xml:space="preserve">Indicator 16.7.1(a) aims to compare the proportion of various demographic groups (by sex and age) represented in national parliaments, relative to the proportion of these same groups in the national population above the age of eligibility. </w:t>
            </w:r>
          </w:p>
          <w:p w14:paraId="77595530" w14:textId="77777777" w:rsidR="00BD06C4" w:rsidRPr="000A4C02" w:rsidRDefault="00BD06C4" w:rsidP="00BD06C4">
            <w:pPr>
              <w:pStyle w:val="NoSpacing"/>
              <w:rPr>
                <w:lang w:val="en-GB"/>
              </w:rPr>
            </w:pPr>
          </w:p>
          <w:p w14:paraId="392608C0" w14:textId="77777777" w:rsidR="00BD06C4" w:rsidRPr="000A4C02" w:rsidRDefault="00BD06C4" w:rsidP="00BD06C4">
            <w:pPr>
              <w:pStyle w:val="NoSpacing"/>
              <w:rPr>
                <w:lang w:val="en-GB"/>
              </w:rPr>
            </w:pPr>
            <w:r w:rsidRPr="000A4C02">
              <w:rPr>
                <w:lang w:val="en-GB"/>
              </w:rPr>
              <w:t xml:space="preserve">To report on indicator 16.7.1(a), two ratios must be calculated, namely: </w:t>
            </w:r>
          </w:p>
          <w:p w14:paraId="032A8066" w14:textId="77777777" w:rsidR="00BD06C4" w:rsidRPr="000A4C02" w:rsidRDefault="00BD06C4" w:rsidP="00BD06C4">
            <w:pPr>
              <w:pStyle w:val="NoSpacing"/>
              <w:numPr>
                <w:ilvl w:val="0"/>
                <w:numId w:val="108"/>
              </w:numPr>
              <w:rPr>
                <w:lang w:val="en-GB"/>
              </w:rPr>
            </w:pPr>
            <w:r w:rsidRPr="000A4C02">
              <w:rPr>
                <w:lang w:val="en-GB"/>
              </w:rPr>
              <w:t xml:space="preserve">For ‘young’ MPs (aged 45 and below) </w:t>
            </w:r>
          </w:p>
          <w:p w14:paraId="108C89F2" w14:textId="77777777" w:rsidR="00BD06C4" w:rsidRPr="000A4C02" w:rsidRDefault="00BD06C4" w:rsidP="00BD06C4">
            <w:pPr>
              <w:pStyle w:val="NoSpacing"/>
              <w:numPr>
                <w:ilvl w:val="0"/>
                <w:numId w:val="108"/>
              </w:numPr>
              <w:rPr>
                <w:lang w:val="en-GB"/>
              </w:rPr>
            </w:pPr>
            <w:r w:rsidRPr="000A4C02">
              <w:rPr>
                <w:lang w:val="en-GB"/>
              </w:rPr>
              <w:t xml:space="preserve">For female MPs </w:t>
            </w:r>
          </w:p>
          <w:p w14:paraId="7A94C7EE" w14:textId="77777777" w:rsidR="00BD06C4" w:rsidRPr="000A4C02" w:rsidRDefault="00BD06C4" w:rsidP="00BD06C4">
            <w:pPr>
              <w:pStyle w:val="NoSpacing"/>
              <w:rPr>
                <w:lang w:val="en-GB"/>
              </w:rPr>
            </w:pPr>
            <w:r w:rsidRPr="000A4C02">
              <w:rPr>
                <w:lang w:val="en-GB"/>
              </w:rPr>
              <w:t xml:space="preserve">When comparing ratios of ‘young’ MPs and female MPs with corresponding shares of the national population that is aged 45 and below (for the first ratio) and female (for the second ratio), </w:t>
            </w:r>
            <w:r w:rsidRPr="000A4C02">
              <w:rPr>
                <w:i/>
                <w:lang w:val="en-GB"/>
              </w:rPr>
              <w:t xml:space="preserve">it is important to consider the population </w:t>
            </w:r>
            <w:r w:rsidRPr="000A4C02">
              <w:rPr>
                <w:i/>
                <w:u w:val="single"/>
                <w:lang w:val="en-GB"/>
              </w:rPr>
              <w:t>of, or above, the age of eligibility</w:t>
            </w:r>
            <w:r w:rsidRPr="000A4C02">
              <w:rPr>
                <w:lang w:val="en-GB"/>
              </w:rPr>
              <w:t>, the latter being, by definition, the lowest possible age of members of parliament. In other words, if the age of eligibility in a given country is 18 years old, the national population to be used as a comparator for the first ratio (for ‘young’ MPs) will be the national population aged 18-45 (</w:t>
            </w:r>
            <w:r w:rsidRPr="000A4C02">
              <w:rPr>
                <w:i/>
                <w:lang w:val="en-GB"/>
              </w:rPr>
              <w:t xml:space="preserve">not </w:t>
            </w:r>
            <w:r w:rsidRPr="000A4C02">
              <w:rPr>
                <w:lang w:val="en-GB"/>
              </w:rPr>
              <w:t xml:space="preserve">0-45), and for the second ratio (for female MPs), the female population aged 18 and above. </w:t>
            </w:r>
          </w:p>
          <w:p w14:paraId="38C6DD16" w14:textId="77777777" w:rsidR="00BD06C4" w:rsidRPr="000A4C02" w:rsidRDefault="00BD06C4" w:rsidP="00BD06C4">
            <w:pPr>
              <w:pStyle w:val="NoSpacing"/>
              <w:rPr>
                <w:lang w:val="en-GB"/>
              </w:rPr>
            </w:pPr>
          </w:p>
          <w:p w14:paraId="401C76EC" w14:textId="77777777" w:rsidR="00BD06C4" w:rsidRPr="000A4C02" w:rsidRDefault="00BD06C4" w:rsidP="00BD06C4">
            <w:pPr>
              <w:pStyle w:val="NoSpacing"/>
              <w:numPr>
                <w:ilvl w:val="0"/>
                <w:numId w:val="111"/>
              </w:numPr>
              <w:rPr>
                <w:lang w:val="en-GB"/>
              </w:rPr>
            </w:pPr>
            <w:r w:rsidRPr="000A4C02">
              <w:rPr>
                <w:lang w:val="en-GB"/>
              </w:rPr>
              <w:t xml:space="preserve">To calculate the ratio for ‘young’ MPs (aged 45 and below), the following formula is to be used: </w:t>
            </w:r>
          </w:p>
          <w:p w14:paraId="1F0B2516" w14:textId="77777777" w:rsidR="00BD06C4" w:rsidRPr="000A4C02" w:rsidRDefault="00BD06C4" w:rsidP="00BD06C4">
            <w:pPr>
              <w:pStyle w:val="NoSpacing"/>
              <w:rPr>
                <w:lang w:val="en-GB"/>
              </w:rPr>
            </w:pPr>
          </w:p>
          <w:p w14:paraId="099A7F4F" w14:textId="77777777" w:rsidR="00BD06C4" w:rsidRPr="000A4C02" w:rsidRDefault="00BD06C4" w:rsidP="00BD06C4">
            <w:pPr>
              <w:pStyle w:val="NoSpacing"/>
              <w:rPr>
                <w:b/>
                <w:lang w:val="en-GB"/>
              </w:rPr>
            </w:pPr>
            <w:r w:rsidRPr="000A4C02">
              <w:rPr>
                <w:b/>
                <w:lang w:val="en-GB"/>
              </w:rPr>
              <w:t xml:space="preserve">Ratio 1 =  </w:t>
            </w:r>
            <w:r w:rsidRPr="000A4C02">
              <w:rPr>
                <w:b/>
                <w:u w:val="single"/>
                <w:lang w:val="en-GB"/>
              </w:rPr>
              <w:t>Proportion of MPs aged 45 and below in parliament</w:t>
            </w:r>
          </w:p>
          <w:p w14:paraId="0712A3AA" w14:textId="77777777" w:rsidR="00BD06C4" w:rsidRPr="000A4C02" w:rsidRDefault="00BD06C4" w:rsidP="00BD06C4">
            <w:pPr>
              <w:pStyle w:val="NoSpacing"/>
              <w:rPr>
                <w:b/>
                <w:lang w:val="en-GB"/>
              </w:rPr>
            </w:pPr>
            <w:r w:rsidRPr="000A4C02">
              <w:rPr>
                <w:b/>
                <w:lang w:val="en-GB"/>
              </w:rPr>
              <w:t xml:space="preserve">                     Proportion of the national population aged 45 and below</w:t>
            </w:r>
          </w:p>
          <w:p w14:paraId="711D5971" w14:textId="77777777" w:rsidR="00BD06C4" w:rsidRPr="000A4C02" w:rsidRDefault="00BD06C4" w:rsidP="00BD06C4">
            <w:pPr>
              <w:pStyle w:val="NoSpacing"/>
              <w:rPr>
                <w:i/>
                <w:lang w:val="en-GB"/>
              </w:rPr>
            </w:pPr>
            <w:r w:rsidRPr="000A4C02">
              <w:rPr>
                <w:i/>
                <w:lang w:val="en-GB"/>
              </w:rPr>
              <w:t>(with the age of eligibility as a lower boundary)</w:t>
            </w:r>
          </w:p>
          <w:p w14:paraId="0DFD3618" w14:textId="77777777" w:rsidR="00BD06C4" w:rsidRPr="000A4C02" w:rsidRDefault="00BD06C4" w:rsidP="00BD06C4">
            <w:pPr>
              <w:pStyle w:val="NoSpacing"/>
              <w:rPr>
                <w:b/>
                <w:lang w:val="en-GB"/>
              </w:rPr>
            </w:pPr>
          </w:p>
          <w:p w14:paraId="4610FBE1" w14:textId="77777777" w:rsidR="00BD06C4" w:rsidRPr="000A4C02" w:rsidRDefault="00BD06C4" w:rsidP="00BD06C4">
            <w:pPr>
              <w:pStyle w:val="NoSpacing"/>
              <w:rPr>
                <w:lang w:val="en-GB"/>
              </w:rPr>
            </w:pPr>
            <w:r w:rsidRPr="000A4C02">
              <w:rPr>
                <w:lang w:val="en-GB"/>
              </w:rPr>
              <w:t xml:space="preserve">Where: </w:t>
            </w:r>
          </w:p>
          <w:p w14:paraId="149BB351" w14:textId="77777777" w:rsidR="00BD06C4" w:rsidRPr="000A4C02" w:rsidRDefault="00BD06C4" w:rsidP="00BD06C4">
            <w:pPr>
              <w:pStyle w:val="NoSpacing"/>
              <w:numPr>
                <w:ilvl w:val="0"/>
                <w:numId w:val="109"/>
              </w:numPr>
              <w:rPr>
                <w:lang w:val="en-GB"/>
              </w:rPr>
            </w:pPr>
            <w:r w:rsidRPr="000A4C02">
              <w:rPr>
                <w:lang w:val="en-GB"/>
              </w:rPr>
              <w:t>The numerator is the number of seats held by MPs aged 45 and below, divided by the total number of members in parliament</w:t>
            </w:r>
          </w:p>
          <w:p w14:paraId="343AF654" w14:textId="77777777" w:rsidR="00BD06C4" w:rsidRPr="000A4C02" w:rsidRDefault="00BD06C4" w:rsidP="00BD06C4">
            <w:pPr>
              <w:pStyle w:val="NoSpacing"/>
              <w:numPr>
                <w:ilvl w:val="0"/>
                <w:numId w:val="109"/>
              </w:numPr>
              <w:rPr>
                <w:lang w:val="en-GB"/>
              </w:rPr>
            </w:pPr>
            <w:r w:rsidRPr="000A4C02">
              <w:rPr>
                <w:lang w:val="en-GB"/>
              </w:rPr>
              <w:t xml:space="preserve">The denominator can be computed using national population figures as follows: </w:t>
            </w:r>
          </w:p>
          <w:p w14:paraId="5508CE6E" w14:textId="77777777" w:rsidR="00BD06C4" w:rsidRPr="000A4C02" w:rsidRDefault="00BD06C4" w:rsidP="00BD06C4">
            <w:pPr>
              <w:pStyle w:val="NoSpacing"/>
              <w:rPr>
                <w:i/>
                <w:u w:val="single"/>
                <w:lang w:val="en-GB"/>
              </w:rPr>
            </w:pPr>
            <w:r w:rsidRPr="000A4C02">
              <w:rPr>
                <w:i/>
                <w:u w:val="single"/>
                <w:lang w:val="en-GB"/>
              </w:rPr>
              <w:t>[Size of national population &lt; or = to 45] – [Size of national population &lt; to age of eligibility]</w:t>
            </w:r>
          </w:p>
          <w:p w14:paraId="4DE42A9A" w14:textId="77777777" w:rsidR="00BD06C4" w:rsidRPr="000A4C02" w:rsidRDefault="00BD06C4" w:rsidP="00BD06C4">
            <w:pPr>
              <w:pStyle w:val="NoSpacing"/>
              <w:rPr>
                <w:lang w:val="en-GB"/>
              </w:rPr>
            </w:pPr>
            <w:r w:rsidRPr="000A4C02">
              <w:rPr>
                <w:i/>
                <w:lang w:val="en-GB"/>
              </w:rPr>
              <w:t>Size of the national population</w:t>
            </w:r>
          </w:p>
          <w:p w14:paraId="45432B37" w14:textId="77777777" w:rsidR="00BD06C4" w:rsidRPr="000A4C02" w:rsidRDefault="00BD06C4" w:rsidP="00BD06C4">
            <w:pPr>
              <w:pStyle w:val="NoSpacing"/>
              <w:rPr>
                <w:lang w:val="en-GB"/>
              </w:rPr>
            </w:pPr>
          </w:p>
          <w:p w14:paraId="3CDDAB95" w14:textId="77777777" w:rsidR="00BD06C4" w:rsidRPr="000A4C02" w:rsidRDefault="00BD06C4" w:rsidP="00BD06C4">
            <w:pPr>
              <w:pStyle w:val="NoSpacing"/>
              <w:rPr>
                <w:lang w:val="en-GB"/>
              </w:rPr>
            </w:pPr>
            <w:r w:rsidRPr="000A4C02">
              <w:rPr>
                <w:lang w:val="en-GB"/>
              </w:rPr>
              <w:t xml:space="preserve">The resulting ratio can then be interpreted as follows:  </w:t>
            </w:r>
          </w:p>
          <w:p w14:paraId="1F0C3B5D" w14:textId="77777777" w:rsidR="00BD06C4" w:rsidRPr="000A4C02" w:rsidRDefault="00BD06C4" w:rsidP="00BD06C4">
            <w:pPr>
              <w:pStyle w:val="NoSpacing"/>
              <w:rPr>
                <w:lang w:val="en-GB"/>
              </w:rPr>
            </w:pPr>
          </w:p>
          <w:p w14:paraId="334E1629" w14:textId="77777777" w:rsidR="00BD06C4" w:rsidRPr="000A4C02" w:rsidRDefault="00BD06C4" w:rsidP="00BD06C4">
            <w:pPr>
              <w:pStyle w:val="NoSpacing"/>
              <w:numPr>
                <w:ilvl w:val="0"/>
                <w:numId w:val="110"/>
              </w:numPr>
              <w:rPr>
                <w:lang w:val="en-GB"/>
              </w:rPr>
            </w:pPr>
            <w:r w:rsidRPr="000A4C02">
              <w:rPr>
                <w:lang w:val="en-GB"/>
              </w:rPr>
              <w:t xml:space="preserve">0 means no representation at all of ‘youth’ (45 years and below) in parliament </w:t>
            </w:r>
          </w:p>
          <w:p w14:paraId="55B4DF49" w14:textId="77777777" w:rsidR="00BD06C4" w:rsidRPr="000A4C02" w:rsidRDefault="00BD06C4" w:rsidP="00BD06C4">
            <w:pPr>
              <w:pStyle w:val="NoSpacing"/>
              <w:numPr>
                <w:ilvl w:val="0"/>
                <w:numId w:val="110"/>
              </w:numPr>
              <w:rPr>
                <w:lang w:val="en-GB"/>
              </w:rPr>
            </w:pPr>
            <w:r w:rsidRPr="000A4C02">
              <w:rPr>
                <w:lang w:val="en-GB"/>
              </w:rPr>
              <w:t xml:space="preserve">1 means perfectly proportional representation of ‘youth’ (45 years and below) in parliament </w:t>
            </w:r>
          </w:p>
          <w:p w14:paraId="16E6DCCC" w14:textId="77777777" w:rsidR="00BD06C4" w:rsidRPr="000A4C02" w:rsidRDefault="00BD06C4" w:rsidP="00BD06C4">
            <w:pPr>
              <w:pStyle w:val="NoSpacing"/>
              <w:numPr>
                <w:ilvl w:val="0"/>
                <w:numId w:val="110"/>
              </w:numPr>
              <w:rPr>
                <w:lang w:val="en-GB"/>
              </w:rPr>
            </w:pPr>
            <w:r w:rsidRPr="000A4C02">
              <w:rPr>
                <w:lang w:val="en-GB"/>
              </w:rPr>
              <w:t xml:space="preserve">&lt;1 means under-representation of ‘youth’ (45 years and below) in parliament </w:t>
            </w:r>
          </w:p>
          <w:p w14:paraId="31B13974" w14:textId="77777777" w:rsidR="00BD06C4" w:rsidRPr="000A4C02" w:rsidRDefault="00BD06C4" w:rsidP="00BD06C4">
            <w:pPr>
              <w:pStyle w:val="NoSpacing"/>
              <w:numPr>
                <w:ilvl w:val="0"/>
                <w:numId w:val="110"/>
              </w:numPr>
              <w:rPr>
                <w:lang w:val="en-GB"/>
              </w:rPr>
            </w:pPr>
            <w:r w:rsidRPr="000A4C02">
              <w:rPr>
                <w:lang w:val="en-GB"/>
              </w:rPr>
              <w:t>&gt;1 means over-representation of ‘youth’ (45 years and below) in parliament </w:t>
            </w:r>
          </w:p>
          <w:p w14:paraId="76F5EB95" w14:textId="77777777" w:rsidR="00BD06C4" w:rsidRPr="000A4C02" w:rsidRDefault="00BD06C4" w:rsidP="00BD06C4">
            <w:pPr>
              <w:pStyle w:val="NoSpacing"/>
              <w:rPr>
                <w:lang w:val="en-GB"/>
              </w:rPr>
            </w:pPr>
          </w:p>
          <w:p w14:paraId="535BA82B" w14:textId="77777777" w:rsidR="00BD06C4" w:rsidRPr="000A4C02" w:rsidRDefault="00BD06C4" w:rsidP="00BD06C4">
            <w:pPr>
              <w:pStyle w:val="NoSpacing"/>
              <w:rPr>
                <w:lang w:val="en-GB"/>
              </w:rPr>
            </w:pPr>
            <w:r w:rsidRPr="000A4C02">
              <w:rPr>
                <w:lang w:val="en-GB"/>
              </w:rPr>
              <w:t>While a simple proportion of ‘young’ MPs</w:t>
            </w:r>
            <w:r w:rsidRPr="000A4C02">
              <w:rPr>
                <w:bCs/>
                <w:lang w:val="en-GB"/>
              </w:rPr>
              <w:t xml:space="preserve"> in parliament is not internationally comparable, a </w:t>
            </w:r>
            <w:r w:rsidRPr="000A4C02">
              <w:rPr>
                <w:lang w:val="en-GB"/>
              </w:rPr>
              <w:t xml:space="preserve">ratio computed using the above formula is. </w:t>
            </w:r>
            <w:r w:rsidRPr="000A4C02">
              <w:rPr>
                <w:bCs/>
                <w:lang w:val="en-GB"/>
              </w:rPr>
              <w:t xml:space="preserve">For instance, </w:t>
            </w:r>
            <w:r w:rsidRPr="000A4C02">
              <w:rPr>
                <w:lang w:val="en-GB"/>
              </w:rPr>
              <w:t>48% of ‘young’ MPs (45 years old or younger) may be an overrepresentation of youth in country A where only 30% of the national population above eligibility age falls in this age bracket (Ratio = 48/30 = 1.6), but in country B where 70% of the national population is 45 years old or younger, the same 48% would be interpreted as under-representation (Ratio = 48/70 = 0.69). In this example, the figure of 48% is not internationally comparable in relation to the national population (it means over-representation in one country and under-</w:t>
            </w:r>
            <w:r w:rsidRPr="000A4C02">
              <w:rPr>
                <w:lang w:val="en-GB"/>
              </w:rPr>
              <w:lastRenderedPageBreak/>
              <w:t xml:space="preserve">representation in another), but the ratios 1.6 and 0.69 </w:t>
            </w:r>
            <w:r w:rsidRPr="000A4C02">
              <w:rPr>
                <w:i/>
                <w:lang w:val="en-GB"/>
              </w:rPr>
              <w:t xml:space="preserve">are </w:t>
            </w:r>
            <w:r w:rsidRPr="000A4C02">
              <w:rPr>
                <w:lang w:val="en-GB"/>
              </w:rPr>
              <w:t xml:space="preserve">internationally comparable. They help us understand whether 48% of MPs aged 45 years old or less is close to, or far from, proportional representation of this age group in the national population. </w:t>
            </w:r>
          </w:p>
          <w:p w14:paraId="7E4F48F7" w14:textId="77777777" w:rsidR="00BD06C4" w:rsidRPr="000A4C02" w:rsidRDefault="00BD06C4" w:rsidP="00BD06C4">
            <w:pPr>
              <w:pStyle w:val="NoSpacing"/>
              <w:rPr>
                <w:u w:val="single"/>
              </w:rPr>
            </w:pPr>
          </w:p>
          <w:p w14:paraId="42AF39A5" w14:textId="77777777" w:rsidR="00BD06C4" w:rsidRPr="000A4C02" w:rsidRDefault="00BD06C4" w:rsidP="00BD06C4">
            <w:pPr>
              <w:pStyle w:val="NoSpacing"/>
              <w:numPr>
                <w:ilvl w:val="0"/>
                <w:numId w:val="111"/>
              </w:numPr>
              <w:rPr>
                <w:lang w:val="en-GB"/>
              </w:rPr>
            </w:pPr>
            <w:r w:rsidRPr="000A4C02">
              <w:rPr>
                <w:lang w:val="en-GB"/>
              </w:rPr>
              <w:t xml:space="preserve">To calulate the ratio for female MPs, the following formula is to be used: </w:t>
            </w:r>
          </w:p>
          <w:p w14:paraId="574349FA" w14:textId="77777777" w:rsidR="00BD06C4" w:rsidRPr="000A4C02" w:rsidRDefault="00BD06C4" w:rsidP="00BD06C4">
            <w:pPr>
              <w:pStyle w:val="NoSpacing"/>
            </w:pPr>
          </w:p>
          <w:p w14:paraId="4B79F042" w14:textId="77777777" w:rsidR="00BD06C4" w:rsidRPr="000A4C02" w:rsidRDefault="00BD06C4" w:rsidP="00BD06C4">
            <w:pPr>
              <w:pStyle w:val="NoSpacing"/>
              <w:rPr>
                <w:b/>
              </w:rPr>
            </w:pPr>
            <w:r w:rsidRPr="000A4C02">
              <w:rPr>
                <w:b/>
              </w:rPr>
              <w:t xml:space="preserve">Ratio 2 = </w:t>
            </w:r>
            <w:r w:rsidRPr="000A4C02">
              <w:rPr>
                <w:b/>
              </w:rPr>
              <w:tab/>
              <w:t xml:space="preserve"> </w:t>
            </w:r>
            <w:r w:rsidRPr="000A4C02">
              <w:rPr>
                <w:b/>
                <w:u w:val="single"/>
              </w:rPr>
              <w:tab/>
            </w:r>
            <w:r w:rsidRPr="000A4C02">
              <w:rPr>
                <w:b/>
                <w:u w:val="single"/>
              </w:rPr>
              <w:tab/>
              <w:t xml:space="preserve"> </w:t>
            </w:r>
            <w:r w:rsidRPr="000A4C02">
              <w:rPr>
                <w:b/>
                <w:u w:val="single"/>
              </w:rPr>
              <w:tab/>
              <w:t>Proportion of women in parliament</w:t>
            </w:r>
            <w:r w:rsidRPr="000A4C02">
              <w:rPr>
                <w:b/>
                <w:u w:val="single"/>
              </w:rPr>
              <w:tab/>
            </w:r>
            <w:r w:rsidRPr="000A4C02">
              <w:rPr>
                <w:b/>
                <w:u w:val="single"/>
              </w:rPr>
              <w:tab/>
            </w:r>
            <w:r w:rsidRPr="000A4C02">
              <w:rPr>
                <w:b/>
                <w:u w:val="single"/>
              </w:rPr>
              <w:tab/>
              <w:t xml:space="preserve">     </w:t>
            </w:r>
            <w:r w:rsidRPr="000A4C02">
              <w:rPr>
                <w:b/>
              </w:rPr>
              <w:t xml:space="preserve"> Proportion of women in the national population </w:t>
            </w:r>
          </w:p>
          <w:p w14:paraId="2002F828" w14:textId="77777777" w:rsidR="00BD06C4" w:rsidRPr="000A4C02" w:rsidRDefault="00BD06C4" w:rsidP="00BD06C4">
            <w:pPr>
              <w:pStyle w:val="NoSpacing"/>
              <w:rPr>
                <w:i/>
              </w:rPr>
            </w:pPr>
            <w:r w:rsidRPr="000A4C02">
              <w:rPr>
                <w:i/>
              </w:rPr>
              <w:t>(with the age of eligibility as a lower boundary)</w:t>
            </w:r>
          </w:p>
          <w:p w14:paraId="2CF6EAC1" w14:textId="77777777" w:rsidR="00BD06C4" w:rsidRPr="000A4C02" w:rsidRDefault="00BD06C4" w:rsidP="00BD06C4">
            <w:pPr>
              <w:pStyle w:val="NoSpacing"/>
              <w:rPr>
                <w:i/>
              </w:rPr>
            </w:pPr>
          </w:p>
          <w:p w14:paraId="1798A7E3" w14:textId="77777777" w:rsidR="00BD06C4" w:rsidRPr="000A4C02" w:rsidRDefault="00BD06C4" w:rsidP="00BD06C4">
            <w:pPr>
              <w:pStyle w:val="NoSpacing"/>
            </w:pPr>
            <w:r w:rsidRPr="000A4C02">
              <w:t xml:space="preserve">Where: </w:t>
            </w:r>
          </w:p>
          <w:p w14:paraId="566D64AA" w14:textId="77777777" w:rsidR="00BD06C4" w:rsidRPr="000A4C02" w:rsidRDefault="00BD06C4" w:rsidP="00BD06C4">
            <w:pPr>
              <w:pStyle w:val="NoSpacing"/>
              <w:numPr>
                <w:ilvl w:val="0"/>
                <w:numId w:val="99"/>
              </w:numPr>
              <w:rPr>
                <w:lang w:val="en-GB"/>
              </w:rPr>
            </w:pPr>
            <w:r w:rsidRPr="000A4C02">
              <w:rPr>
                <w:lang w:val="en-GB"/>
              </w:rPr>
              <w:t>The numerator is the number of seats held by female MPs, divided by the total number of members in parliament</w:t>
            </w:r>
          </w:p>
          <w:p w14:paraId="3DBBA640" w14:textId="77777777" w:rsidR="00BD06C4" w:rsidRPr="000A4C02" w:rsidRDefault="00BD06C4" w:rsidP="00BD06C4">
            <w:pPr>
              <w:pStyle w:val="NoSpacing"/>
              <w:numPr>
                <w:ilvl w:val="0"/>
                <w:numId w:val="99"/>
              </w:numPr>
              <w:rPr>
                <w:lang w:val="en-GB"/>
              </w:rPr>
            </w:pPr>
            <w:r w:rsidRPr="000A4C02">
              <w:rPr>
                <w:lang w:val="en-GB"/>
              </w:rPr>
              <w:t xml:space="preserve">The denominator </w:t>
            </w:r>
            <w:r w:rsidRPr="000A4C02">
              <w:rPr>
                <w:bCs/>
                <w:lang w:val="en-GB"/>
              </w:rPr>
              <w:t xml:space="preserve">can be computed using national population figures as follows: </w:t>
            </w:r>
          </w:p>
          <w:p w14:paraId="62E5AC94" w14:textId="77777777" w:rsidR="00BD06C4" w:rsidRPr="000A4C02" w:rsidRDefault="00BD06C4" w:rsidP="00BD06C4">
            <w:pPr>
              <w:pStyle w:val="NoSpacing"/>
              <w:rPr>
                <w:bCs/>
                <w:i/>
                <w:u w:val="single"/>
              </w:rPr>
            </w:pPr>
            <w:r w:rsidRPr="000A4C02">
              <w:rPr>
                <w:bCs/>
                <w:i/>
                <w:u w:val="single"/>
              </w:rPr>
              <w:t>[Size of female national population &gt; or = to age of eligibility]</w:t>
            </w:r>
          </w:p>
          <w:p w14:paraId="201AA6F9" w14:textId="77777777" w:rsidR="00BD06C4" w:rsidRPr="000A4C02" w:rsidRDefault="00BD06C4" w:rsidP="00BD06C4">
            <w:pPr>
              <w:pStyle w:val="NoSpacing"/>
            </w:pPr>
            <w:r w:rsidRPr="000A4C02">
              <w:rPr>
                <w:bCs/>
                <w:i/>
              </w:rPr>
              <w:t>Size of the national population &gt; or = to age of eligibility</w:t>
            </w:r>
          </w:p>
          <w:p w14:paraId="398465F0" w14:textId="77777777" w:rsidR="00BD06C4" w:rsidRPr="000A4C02" w:rsidRDefault="00BD06C4" w:rsidP="00BD06C4">
            <w:pPr>
              <w:pStyle w:val="NoSpacing"/>
            </w:pPr>
          </w:p>
          <w:p w14:paraId="27478CF8" w14:textId="77777777" w:rsidR="00BD06C4" w:rsidRPr="000A4C02" w:rsidRDefault="00BD06C4" w:rsidP="00BD06C4">
            <w:pPr>
              <w:pStyle w:val="NoSpacing"/>
              <w:rPr>
                <w:lang w:val="en-GB"/>
              </w:rPr>
            </w:pPr>
            <w:r w:rsidRPr="000A4C02">
              <w:rPr>
                <w:bCs/>
                <w:u w:val="single"/>
                <w:lang w:val="en-GB"/>
              </w:rPr>
              <w:t>Note</w:t>
            </w:r>
            <w:r w:rsidRPr="000A4C02">
              <w:rPr>
                <w:bCs/>
                <w:lang w:val="en-GB"/>
              </w:rPr>
              <w:t xml:space="preserve">: This denominator </w:t>
            </w:r>
            <w:r w:rsidRPr="000A4C02">
              <w:rPr>
                <w:lang w:val="en-GB"/>
              </w:rPr>
              <w:t>can be set at 50 in most countries</w:t>
            </w:r>
            <w:r w:rsidRPr="000A4C02">
              <w:rPr>
                <w:bCs/>
                <w:lang w:val="en-GB"/>
              </w:rPr>
              <w:t xml:space="preserve">, </w:t>
            </w:r>
            <w:r w:rsidRPr="000A4C02">
              <w:rPr>
                <w:lang w:val="en-GB"/>
              </w:rPr>
              <w:t xml:space="preserve">as women generally represent around 50% of the national population in any given age bracket. </w:t>
            </w:r>
          </w:p>
          <w:p w14:paraId="7EF7C554" w14:textId="77777777" w:rsidR="00BD06C4" w:rsidRPr="000A4C02" w:rsidRDefault="00BD06C4" w:rsidP="00BD06C4">
            <w:pPr>
              <w:pStyle w:val="NoSpacing"/>
            </w:pPr>
            <w:r w:rsidRPr="000A4C02">
              <w:t>The resulting ratio can be:</w:t>
            </w:r>
          </w:p>
          <w:p w14:paraId="025A3369" w14:textId="77777777" w:rsidR="00BD06C4" w:rsidRPr="000A4C02" w:rsidRDefault="00BD06C4" w:rsidP="00BD06C4">
            <w:pPr>
              <w:pStyle w:val="NoSpacing"/>
              <w:numPr>
                <w:ilvl w:val="0"/>
                <w:numId w:val="100"/>
              </w:numPr>
            </w:pPr>
            <w:r w:rsidRPr="000A4C02">
              <w:t>0, when there is no representation of women at all in parliament</w:t>
            </w:r>
          </w:p>
          <w:p w14:paraId="5972FB6A" w14:textId="77777777" w:rsidR="00BD06C4" w:rsidRPr="000A4C02" w:rsidRDefault="00BD06C4" w:rsidP="00BD06C4">
            <w:pPr>
              <w:pStyle w:val="NoSpacing"/>
              <w:numPr>
                <w:ilvl w:val="0"/>
                <w:numId w:val="100"/>
              </w:numPr>
            </w:pPr>
            <w:r w:rsidRPr="000A4C02">
              <w:t xml:space="preserve">&lt;1, when the proportion of women in parliament is lower than that in the national population </w:t>
            </w:r>
          </w:p>
          <w:p w14:paraId="2B23FB29" w14:textId="77777777" w:rsidR="00BD06C4" w:rsidRPr="000A4C02" w:rsidRDefault="00BD06C4" w:rsidP="00BD06C4">
            <w:pPr>
              <w:pStyle w:val="NoSpacing"/>
              <w:numPr>
                <w:ilvl w:val="0"/>
                <w:numId w:val="100"/>
              </w:numPr>
            </w:pPr>
            <w:r w:rsidRPr="000A4C02">
              <w:t>=1, when the proportion of women in parliament equals that in the national population</w:t>
            </w:r>
          </w:p>
          <w:p w14:paraId="1E6722B9" w14:textId="77777777" w:rsidR="00BD06C4" w:rsidRPr="000A4C02" w:rsidRDefault="00BD06C4" w:rsidP="00BD06C4">
            <w:pPr>
              <w:pStyle w:val="NoSpacing"/>
              <w:numPr>
                <w:ilvl w:val="0"/>
                <w:numId w:val="100"/>
              </w:numPr>
            </w:pPr>
            <w:r w:rsidRPr="000A4C02">
              <w:t>&gt;1, when the proportion of women in parliament is higher than that in the national population</w:t>
            </w:r>
          </w:p>
          <w:p w14:paraId="75ABC9FA" w14:textId="77777777" w:rsidR="00BD06C4" w:rsidRPr="000A4C02" w:rsidRDefault="00BD06C4" w:rsidP="00BD06C4">
            <w:pPr>
              <w:pStyle w:val="NoSpacing"/>
            </w:pPr>
          </w:p>
          <w:p w14:paraId="5A70738E" w14:textId="77777777" w:rsidR="00BD06C4" w:rsidRPr="000A4C02" w:rsidRDefault="00BD06C4" w:rsidP="00BD06C4">
            <w:pPr>
              <w:pStyle w:val="NoSpacing"/>
              <w:numPr>
                <w:ilvl w:val="0"/>
                <w:numId w:val="98"/>
              </w:numPr>
            </w:pPr>
            <w:r w:rsidRPr="000A4C02">
              <w:rPr>
                <w:i/>
              </w:rPr>
              <w:t>Speakers:</w:t>
            </w:r>
            <w:r w:rsidRPr="000A4C02">
              <w:t xml:space="preserve"> No computation, as most parliaments will only have one Speaker per parliament in unicameral parliaments or one Speaker per chamber in bicameral parliaments</w:t>
            </w:r>
            <w:r w:rsidRPr="000A4C02">
              <w:rPr>
                <w:vertAlign w:val="superscript"/>
              </w:rPr>
              <w:footnoteReference w:id="79"/>
            </w:r>
            <w:r w:rsidRPr="000A4C02">
              <w:t xml:space="preserve">. Personal characteristics of the individual(s) holding the </w:t>
            </w:r>
            <w:proofErr w:type="gramStart"/>
            <w:r w:rsidRPr="000A4C02">
              <w:t>position of Speaker are</w:t>
            </w:r>
            <w:proofErr w:type="gramEnd"/>
            <w:r w:rsidRPr="000A4C02">
              <w:t xml:space="preserve"> recorded (i.e. age group and sex).</w:t>
            </w:r>
          </w:p>
          <w:p w14:paraId="270DF29E" w14:textId="77777777" w:rsidR="00BD06C4" w:rsidRPr="000A4C02" w:rsidRDefault="00BD06C4" w:rsidP="00BD06C4">
            <w:pPr>
              <w:pStyle w:val="NoSpacing"/>
              <w:numPr>
                <w:ilvl w:val="0"/>
                <w:numId w:val="98"/>
              </w:numPr>
            </w:pPr>
            <w:r w:rsidRPr="000A4C02">
              <w:rPr>
                <w:i/>
              </w:rPr>
              <w:t>Chairs of permanent committees on Foreign Affairs, Defence, Finance, Human Rights and Gender Equality:</w:t>
            </w:r>
            <w:r w:rsidRPr="000A4C02">
              <w:t xml:space="preserve"> No computation, as data is collected only on five committee Chairs. Personal characteristics of the five individuals chairing these three committees are recorded (i.e. age group and sex).</w:t>
            </w:r>
          </w:p>
          <w:p w14:paraId="5D215DAE" w14:textId="77777777" w:rsidR="00BD06C4" w:rsidRPr="000A4C02" w:rsidRDefault="00BD06C4" w:rsidP="00BD06C4">
            <w:pPr>
              <w:pStyle w:val="NoSpacing"/>
            </w:pPr>
            <w:r w:rsidRPr="000A4C02">
              <w:t xml:space="preserve"> </w:t>
            </w:r>
          </w:p>
          <w:p w14:paraId="6413C496" w14:textId="77777777" w:rsidR="00BD06C4" w:rsidRPr="000A4C02" w:rsidRDefault="00BD06C4" w:rsidP="00BD06C4">
            <w:pPr>
              <w:pStyle w:val="NoSpacing"/>
              <w:rPr>
                <w:i/>
                <w:u w:val="single"/>
              </w:rPr>
            </w:pPr>
            <w:r w:rsidRPr="000A4C02">
              <w:rPr>
                <w:i/>
                <w:u w:val="single"/>
              </w:rPr>
              <w:t>Computation in bicameral legislatures</w:t>
            </w:r>
          </w:p>
          <w:p w14:paraId="6569894E" w14:textId="77777777" w:rsidR="00BD06C4" w:rsidRPr="000A4C02" w:rsidRDefault="00BD06C4" w:rsidP="00BD06C4">
            <w:pPr>
              <w:pStyle w:val="NoSpacing"/>
            </w:pPr>
            <w:r w:rsidRPr="000A4C02">
              <w:t xml:space="preserve">In bicameral parliaments, data will be collected and computed separately for the same set of positions in each chamber.  </w:t>
            </w:r>
          </w:p>
          <w:p w14:paraId="1CC554DF" w14:textId="77777777" w:rsidR="00BD06C4" w:rsidRDefault="00BD06C4" w:rsidP="00BD06C4">
            <w:pPr>
              <w:pStyle w:val="NoSpacing"/>
            </w:pPr>
          </w:p>
          <w:p w14:paraId="5955B931" w14:textId="77777777" w:rsidR="00BD06C4" w:rsidRPr="00921DAB" w:rsidRDefault="00BD06C4" w:rsidP="00BD06C4">
            <w:pPr>
              <w:pStyle w:val="NoSpacing"/>
              <w:rPr>
                <w:bCs/>
                <w:lang w:val="en-GB"/>
              </w:rPr>
            </w:pPr>
            <w:r w:rsidRPr="00921DAB">
              <w:lastRenderedPageBreak/>
              <w:t>part (b) of this indicator</w:t>
            </w:r>
            <w:r w:rsidRPr="00921DAB">
              <w:rPr>
                <w:bCs/>
                <w:lang w:val="en-GB"/>
              </w:rPr>
              <w:t xml:space="preserve"> </w:t>
            </w:r>
          </w:p>
          <w:p w14:paraId="48AE5FE5" w14:textId="77777777" w:rsidR="00BD06C4" w:rsidRPr="00921DAB" w:rsidRDefault="00BD06C4" w:rsidP="00BD06C4">
            <w:pPr>
              <w:pStyle w:val="NoSpacing"/>
            </w:pPr>
            <w:r w:rsidRPr="00921DAB">
              <w:rPr>
                <w:b/>
                <w:bCs/>
              </w:rPr>
              <w:t>Definition:</w:t>
            </w:r>
          </w:p>
          <w:p w14:paraId="64A1BEE3" w14:textId="77777777" w:rsidR="00BD06C4" w:rsidRPr="00921DAB" w:rsidRDefault="00BD06C4" w:rsidP="00BD06C4">
            <w:pPr>
              <w:pStyle w:val="NoSpacing"/>
            </w:pPr>
          </w:p>
          <w:p w14:paraId="2C24FD7B" w14:textId="77777777" w:rsidR="00BD06C4" w:rsidRPr="00921DAB" w:rsidRDefault="00BD06C4" w:rsidP="00BD06C4">
            <w:pPr>
              <w:pStyle w:val="NoSpacing"/>
            </w:pPr>
            <w:r w:rsidRPr="00921DAB">
              <w:t xml:space="preserve">This metadata is focused only on the public service sub-component of indicator 16.7.1. It measures representation in the public service with respect to the sex, age, disability and population group status of public servants, and assesses how these correspond to the proportion of these groups in society as a whole. </w:t>
            </w:r>
          </w:p>
          <w:p w14:paraId="221D2A8E" w14:textId="77777777" w:rsidR="00BD06C4" w:rsidRPr="00921DAB" w:rsidRDefault="00BD06C4" w:rsidP="00BD06C4">
            <w:pPr>
              <w:pStyle w:val="NoSpacing"/>
            </w:pPr>
          </w:p>
          <w:p w14:paraId="53F65F61" w14:textId="77777777" w:rsidR="00BD06C4" w:rsidRPr="00921DAB" w:rsidRDefault="00BD06C4" w:rsidP="00BD06C4">
            <w:pPr>
              <w:pStyle w:val="NoSpacing"/>
            </w:pPr>
            <w:r w:rsidRPr="00921DAB">
              <w:t xml:space="preserve">More specifically, this indicator measures the proportional representation of various demographic groups (women, youth, persons with disability, and nationally relevant population groups) across various occupational categories as well as across two administrative levels (national and sub-national). </w:t>
            </w:r>
          </w:p>
          <w:p w14:paraId="2DB5E541" w14:textId="77777777" w:rsidR="00BD06C4" w:rsidRPr="00921DAB" w:rsidRDefault="00BD06C4" w:rsidP="00BD06C4">
            <w:pPr>
              <w:pStyle w:val="NoSpacing"/>
              <w:rPr>
                <w:lang w:val="en-GB"/>
              </w:rPr>
            </w:pPr>
          </w:p>
          <w:p w14:paraId="3628C05C" w14:textId="77777777" w:rsidR="00BD06C4" w:rsidRPr="00921DAB" w:rsidRDefault="00BD06C4" w:rsidP="00BD06C4">
            <w:pPr>
              <w:pStyle w:val="NoSpacing"/>
              <w:rPr>
                <w:b/>
                <w:bCs/>
              </w:rPr>
            </w:pPr>
            <w:r w:rsidRPr="00921DAB">
              <w:rPr>
                <w:b/>
                <w:bCs/>
              </w:rPr>
              <w:t>Concepts:</w:t>
            </w:r>
          </w:p>
          <w:p w14:paraId="546869C7" w14:textId="77777777" w:rsidR="00BD06C4" w:rsidRPr="00921DAB" w:rsidRDefault="00BD06C4" w:rsidP="00BD06C4">
            <w:pPr>
              <w:pStyle w:val="NoSpacing"/>
              <w:rPr>
                <w:b/>
                <w:bCs/>
              </w:rPr>
            </w:pPr>
          </w:p>
          <w:p w14:paraId="44AEE7C3" w14:textId="77777777" w:rsidR="00BD06C4" w:rsidRPr="00921DAB" w:rsidRDefault="00BD06C4" w:rsidP="00BD06C4">
            <w:pPr>
              <w:pStyle w:val="NoSpacing"/>
              <w:rPr>
                <w:lang w:val="en-GB"/>
              </w:rPr>
            </w:pPr>
            <w:r w:rsidRPr="00921DAB">
              <w:rPr>
                <w:lang w:val="en-GB"/>
              </w:rPr>
              <w:t>This indicator builds on various concepts and terms from international statistical standards and classifications as well as normative frameworks:</w:t>
            </w:r>
          </w:p>
          <w:p w14:paraId="04FDEFF9" w14:textId="77777777" w:rsidR="00BD06C4" w:rsidRPr="00921DAB" w:rsidRDefault="00BD06C4" w:rsidP="00BD06C4">
            <w:pPr>
              <w:pStyle w:val="NoSpacing"/>
              <w:rPr>
                <w:lang w:val="en-GB"/>
              </w:rPr>
            </w:pPr>
          </w:p>
          <w:p w14:paraId="1CEBC58D" w14:textId="77777777" w:rsidR="00BD06C4" w:rsidRPr="00921DAB" w:rsidRDefault="00BD06C4" w:rsidP="00BD06C4">
            <w:pPr>
              <w:pStyle w:val="NoSpacing"/>
              <w:numPr>
                <w:ilvl w:val="0"/>
                <w:numId w:val="114"/>
              </w:numPr>
              <w:rPr>
                <w:lang w:val="en-GB"/>
              </w:rPr>
            </w:pPr>
            <w:r w:rsidRPr="00921DAB">
              <w:rPr>
                <w:b/>
                <w:bCs/>
                <w:i/>
                <w:iCs/>
                <w:lang w:val="en-GB"/>
              </w:rPr>
              <w:t>Institutional units covered:</w:t>
            </w:r>
            <w:r w:rsidRPr="00921DAB">
              <w:rPr>
                <w:i/>
                <w:iCs/>
                <w:lang w:val="en-GB"/>
              </w:rPr>
              <w:t xml:space="preserve"> </w:t>
            </w:r>
            <w:r w:rsidRPr="00921DAB">
              <w:rPr>
                <w:lang w:val="en-GB"/>
              </w:rPr>
              <w:t>The concepts of ‘General Government Sector’ and ‘General Governmment Employment’</w:t>
            </w:r>
            <w:r w:rsidRPr="00921DAB">
              <w:rPr>
                <w:vertAlign w:val="superscript"/>
                <w:lang w:val="en-GB"/>
              </w:rPr>
              <w:footnoteReference w:id="80"/>
            </w:r>
            <w:r w:rsidRPr="00921DAB">
              <w:rPr>
                <w:lang w:val="en-GB"/>
              </w:rPr>
              <w:t>,</w:t>
            </w:r>
            <w:r w:rsidRPr="00921DAB">
              <w:rPr>
                <w:b/>
                <w:bCs/>
                <w:lang w:val="en-GB"/>
              </w:rPr>
              <w:t xml:space="preserve"> </w:t>
            </w:r>
            <w:r w:rsidRPr="00921DAB">
              <w:rPr>
                <w:lang w:val="en-GB"/>
              </w:rPr>
              <w:t>as found in the 2008 System of National Accounts (SNA) but with some minor modifications</w:t>
            </w:r>
            <w:r w:rsidRPr="00921DAB">
              <w:rPr>
                <w:vertAlign w:val="superscript"/>
                <w:lang w:val="en-GB"/>
              </w:rPr>
              <w:footnoteReference w:id="81"/>
            </w:r>
            <w:r w:rsidRPr="00921DAB">
              <w:rPr>
                <w:lang w:val="en-GB"/>
              </w:rPr>
              <w:t xml:space="preserve">, define the boundaries of the institutional units covered under this indicator. </w:t>
            </w:r>
          </w:p>
          <w:p w14:paraId="1C067E81" w14:textId="77777777" w:rsidR="00BD06C4" w:rsidRPr="00921DAB" w:rsidRDefault="00BD06C4" w:rsidP="00BD06C4">
            <w:pPr>
              <w:pStyle w:val="NoSpacing"/>
              <w:numPr>
                <w:ilvl w:val="1"/>
                <w:numId w:val="114"/>
              </w:numPr>
              <w:rPr>
                <w:lang w:val="en-GB"/>
              </w:rPr>
            </w:pPr>
            <w:r w:rsidRPr="00921DAB">
              <w:rPr>
                <w:lang w:val="en-GB"/>
              </w:rPr>
              <w:t>The following institutional units should be included: All units of central and “state” (or equivalent sub-central level) government, i.e. all ministries, agencies, departments and non-profit institutions that are controlled by public authorities.</w:t>
            </w:r>
          </w:p>
          <w:p w14:paraId="402FCAE5" w14:textId="77777777" w:rsidR="00BD06C4" w:rsidRPr="00921DAB" w:rsidRDefault="00BD06C4" w:rsidP="00BD06C4">
            <w:pPr>
              <w:pStyle w:val="NoSpacing"/>
              <w:numPr>
                <w:ilvl w:val="1"/>
                <w:numId w:val="114"/>
              </w:numPr>
              <w:rPr>
                <w:lang w:val="en-GB"/>
              </w:rPr>
            </w:pPr>
            <w:r w:rsidRPr="00921DAB">
              <w:rPr>
                <w:lang w:val="en-GB"/>
              </w:rPr>
              <w:t>The following institutional units should be excluded: local government units</w:t>
            </w:r>
            <w:r w:rsidRPr="00921DAB">
              <w:rPr>
                <w:vertAlign w:val="superscript"/>
                <w:lang w:val="en-GB"/>
              </w:rPr>
              <w:footnoteReference w:id="82"/>
            </w:r>
            <w:r w:rsidRPr="00921DAB">
              <w:rPr>
                <w:lang w:val="en-GB"/>
              </w:rPr>
              <w:t>, the military, social security funds, public corporations and quasi-corporations that are owned and controlled by government units.</w:t>
            </w:r>
          </w:p>
          <w:p w14:paraId="0487773B" w14:textId="77777777" w:rsidR="00BD06C4" w:rsidRPr="00921DAB" w:rsidRDefault="00BD06C4" w:rsidP="00BD06C4">
            <w:pPr>
              <w:pStyle w:val="NoSpacing"/>
            </w:pPr>
          </w:p>
          <w:p w14:paraId="5BF5C336" w14:textId="77777777" w:rsidR="00BD06C4" w:rsidRPr="00921DAB" w:rsidRDefault="00BD06C4" w:rsidP="00BD06C4">
            <w:pPr>
              <w:pStyle w:val="NoSpacing"/>
              <w:numPr>
                <w:ilvl w:val="0"/>
                <w:numId w:val="112"/>
              </w:numPr>
              <w:rPr>
                <w:lang w:val="en-GB"/>
              </w:rPr>
            </w:pPr>
            <w:r w:rsidRPr="00921DAB">
              <w:rPr>
                <w:b/>
                <w:i/>
                <w:lang w:val="en-GB"/>
              </w:rPr>
              <w:t xml:space="preserve">Administrative levels: </w:t>
            </w:r>
            <w:r w:rsidRPr="00921DAB">
              <w:rPr>
                <w:lang w:val="en-GB"/>
              </w:rPr>
              <w:t xml:space="preserve">As outlined above, this indicator covers employment at both central and sub-central levels of government (but excludes local government). Employment data will therefore be collected at two levels: </w:t>
            </w:r>
          </w:p>
          <w:p w14:paraId="7E4ED1F8" w14:textId="77777777" w:rsidR="00BD06C4" w:rsidRPr="00921DAB" w:rsidRDefault="00BD06C4" w:rsidP="00BD06C4">
            <w:pPr>
              <w:pStyle w:val="NoSpacing"/>
              <w:numPr>
                <w:ilvl w:val="1"/>
                <w:numId w:val="112"/>
              </w:numPr>
              <w:rPr>
                <w:lang w:val="en-GB"/>
              </w:rPr>
            </w:pPr>
            <w:r w:rsidRPr="00921DAB">
              <w:rPr>
                <w:lang w:val="en-GB"/>
              </w:rPr>
              <w:t xml:space="preserve">Employment in national/central government; and </w:t>
            </w:r>
          </w:p>
          <w:p w14:paraId="30DA11C1" w14:textId="77777777" w:rsidR="00BD06C4" w:rsidRPr="00921DAB" w:rsidRDefault="00BD06C4" w:rsidP="00BD06C4">
            <w:pPr>
              <w:pStyle w:val="NoSpacing"/>
              <w:numPr>
                <w:ilvl w:val="1"/>
                <w:numId w:val="112"/>
              </w:numPr>
              <w:rPr>
                <w:lang w:val="en-GB"/>
              </w:rPr>
            </w:pPr>
            <w:r w:rsidRPr="00921DAB">
              <w:rPr>
                <w:lang w:val="en-GB"/>
              </w:rPr>
              <w:t xml:space="preserve">Employment in ‘state government </w:t>
            </w:r>
            <w:proofErr w:type="gramStart"/>
            <w:r w:rsidRPr="00921DAB">
              <w:rPr>
                <w:lang w:val="en-GB"/>
              </w:rPr>
              <w:t>units’,</w:t>
            </w:r>
            <w:proofErr w:type="gramEnd"/>
            <w:r w:rsidRPr="00921DAB">
              <w:rPr>
                <w:lang w:val="en-GB"/>
              </w:rPr>
              <w:t xml:space="preserve"> described in the 2008 SNA as “institutional units whose fiscal, legislative and executive authority extends only over the individual ‘states’ into which the country as a whole may be divided”.</w:t>
            </w:r>
            <w:r w:rsidRPr="00921DAB">
              <w:rPr>
                <w:vertAlign w:val="superscript"/>
                <w:lang w:val="en-GB"/>
              </w:rPr>
              <w:footnoteReference w:id="83"/>
            </w:r>
            <w:r w:rsidRPr="00921DAB">
              <w:rPr>
                <w:lang w:val="en-GB"/>
              </w:rPr>
              <w:t xml:space="preserve"> </w:t>
            </w:r>
          </w:p>
          <w:p w14:paraId="38E7D9ED" w14:textId="77777777" w:rsidR="00BD06C4" w:rsidRPr="00921DAB" w:rsidRDefault="00BD06C4" w:rsidP="00BD06C4">
            <w:pPr>
              <w:pStyle w:val="NoSpacing"/>
            </w:pPr>
          </w:p>
          <w:p w14:paraId="31A03782" w14:textId="77777777" w:rsidR="00BD06C4" w:rsidRPr="00921DAB" w:rsidRDefault="00BD06C4" w:rsidP="00BD06C4">
            <w:pPr>
              <w:pStyle w:val="NoSpacing"/>
              <w:numPr>
                <w:ilvl w:val="0"/>
                <w:numId w:val="113"/>
              </w:numPr>
              <w:rPr>
                <w:lang w:val="en-GB"/>
              </w:rPr>
            </w:pPr>
            <w:r w:rsidRPr="00921DAB">
              <w:rPr>
                <w:b/>
                <w:i/>
                <w:lang w:val="en-GB"/>
              </w:rPr>
              <w:t xml:space="preserve">Occupational categories in the public service: </w:t>
            </w:r>
            <w:r w:rsidRPr="00921DAB">
              <w:rPr>
                <w:lang w:val="en-GB"/>
              </w:rPr>
              <w:t xml:space="preserve">Target 16.7 calls for responsive, inclusive, participatory and representative decision-making </w:t>
            </w:r>
            <w:r w:rsidRPr="00921DAB">
              <w:rPr>
                <w:i/>
                <w:lang w:val="en-GB"/>
              </w:rPr>
              <w:t>at all levels.</w:t>
            </w:r>
            <w:r w:rsidRPr="00921DAB">
              <w:rPr>
                <w:lang w:val="en-GB"/>
              </w:rPr>
              <w:t xml:space="preserve"> As such, reporting on indicator 16.7.1(b) needs to be done separately for various levels of decision-making. Since there is no international definition of ‘positions’ in the public service and therefore most countries have their own national classification for public service positions, </w:t>
            </w:r>
            <w:r w:rsidRPr="00921DAB">
              <w:rPr>
                <w:lang w:val="en-CA"/>
              </w:rPr>
              <w:t xml:space="preserve">a harmonized set of occupational categories in the public service is needed to ensure the comparability of data reported for this indicator. </w:t>
            </w:r>
            <w:r w:rsidRPr="00921DAB">
              <w:rPr>
                <w:lang w:val="en-GB"/>
              </w:rPr>
              <w:t xml:space="preserve"> </w:t>
            </w:r>
            <w:r w:rsidRPr="00921DAB">
              <w:rPr>
                <w:lang w:val="en-CA"/>
              </w:rPr>
              <w:t xml:space="preserve"> </w:t>
            </w:r>
          </w:p>
          <w:p w14:paraId="6A7E4AF8" w14:textId="77777777" w:rsidR="00BD06C4" w:rsidRPr="00921DAB" w:rsidRDefault="00BD06C4" w:rsidP="00BD06C4">
            <w:pPr>
              <w:pStyle w:val="NoSpacing"/>
              <w:numPr>
                <w:ilvl w:val="1"/>
                <w:numId w:val="113"/>
              </w:numPr>
            </w:pPr>
            <w:r w:rsidRPr="00921DAB">
              <w:rPr>
                <w:lang w:val="en-CA"/>
              </w:rPr>
              <w:t>The International Standard Classification of Occupations (ISCO-08) was used to identify four ‘core’ occupational categories in the public service</w:t>
            </w:r>
            <w:r w:rsidRPr="00921DAB">
              <w:rPr>
                <w:vertAlign w:val="superscript"/>
              </w:rPr>
              <w:footnoteReference w:id="84"/>
            </w:r>
            <w:r w:rsidRPr="00921DAB">
              <w:rPr>
                <w:lang w:val="en-CA"/>
              </w:rPr>
              <w:t xml:space="preserve"> found to be </w:t>
            </w:r>
            <w:r w:rsidRPr="00921DAB">
              <w:t>relatively typical in every government,</w:t>
            </w:r>
            <w:r w:rsidRPr="00921DAB">
              <w:rPr>
                <w:lang w:val="en-CA"/>
              </w:rPr>
              <w:t xml:space="preserve"> namely Managers (ISCO-08 Major Group 1), Professionals (ISCO-08 Major Group 2), Technicians and Associate Professionals (ISCO-08 Major Group 3) and Clerical Support Workers (ISCO-08 Major Group 4)</w:t>
            </w:r>
            <w:r w:rsidRPr="00921DAB">
              <w:t>.</w:t>
            </w:r>
            <w:r w:rsidRPr="00921DAB">
              <w:rPr>
                <w:lang w:val="en-CA"/>
              </w:rPr>
              <w:t xml:space="preserve"> </w:t>
            </w:r>
          </w:p>
          <w:p w14:paraId="0A0EF6A5" w14:textId="77777777" w:rsidR="00BD06C4" w:rsidRPr="00921DAB" w:rsidRDefault="00BD06C4" w:rsidP="00BD06C4">
            <w:pPr>
              <w:pStyle w:val="NoSpacing"/>
              <w:numPr>
                <w:ilvl w:val="1"/>
                <w:numId w:val="113"/>
              </w:numPr>
            </w:pPr>
            <w:r w:rsidRPr="00921DAB">
              <w:rPr>
                <w:lang w:val="en-CA"/>
              </w:rPr>
              <w:t>Moreover, the rationale of this indicator places a particular focus on ‘front-line service workers’ which frequently interact directly with the public,</w:t>
            </w:r>
            <w:r w:rsidRPr="00921DAB">
              <w:rPr>
                <w:vertAlign w:val="superscript"/>
                <w:lang w:val="en-CA"/>
              </w:rPr>
              <w:footnoteReference w:id="85"/>
            </w:r>
            <w:r w:rsidRPr="00921DAB">
              <w:rPr>
                <w:lang w:val="en-CA"/>
              </w:rPr>
              <w:t xml:space="preserve"> such as police personnel, education personnel, health personnel and front-desk administrative personnel. While this list of front-line public service jobs is not exhaustive, these four categories were selected given the substantial portion of public service jobs they account for, and the frequent direct interaction these public servants have with the public. </w:t>
            </w:r>
          </w:p>
          <w:p w14:paraId="7B18D6A7" w14:textId="77777777" w:rsidR="00BD06C4" w:rsidRPr="00921DAB" w:rsidRDefault="00BD06C4" w:rsidP="00BD06C4">
            <w:pPr>
              <w:pStyle w:val="NoSpacing"/>
            </w:pPr>
          </w:p>
          <w:p w14:paraId="02EFC626" w14:textId="77777777" w:rsidR="00BD06C4" w:rsidRPr="00921DAB" w:rsidRDefault="00BD06C4" w:rsidP="00BD06C4">
            <w:pPr>
              <w:pStyle w:val="NoSpacing"/>
              <w:numPr>
                <w:ilvl w:val="0"/>
                <w:numId w:val="113"/>
              </w:numPr>
            </w:pPr>
            <w:r w:rsidRPr="00921DAB">
              <w:rPr>
                <w:b/>
                <w:bCs/>
                <w:i/>
                <w:iCs/>
              </w:rPr>
              <w:t>Appointed/elected positions:</w:t>
            </w:r>
            <w:r w:rsidRPr="00921DAB">
              <w:rPr>
                <w:b/>
                <w:bCs/>
              </w:rPr>
              <w:t xml:space="preserve"> </w:t>
            </w:r>
            <w:r w:rsidRPr="00921DAB">
              <w:t xml:space="preserve">In order to ensure consistent reporting, it is important to distinguish positions that are appointed (or elected) by the government or the head of government, and career public servant positions obtained on the basis of merit and seniority. This indicator only considers the latter – i.e. positions held by career public servants, obtained on the basis of merit and seniority. NB: This consideration is most likely to affect positions in the ‘managers’ occupational category. </w:t>
            </w:r>
            <w:r w:rsidRPr="00921DAB">
              <w:rPr>
                <w:vertAlign w:val="superscript"/>
              </w:rPr>
              <w:footnoteReference w:id="86"/>
            </w:r>
            <w:r w:rsidRPr="00921DAB">
              <w:t xml:space="preserve"> </w:t>
            </w:r>
          </w:p>
          <w:p w14:paraId="43914E7C" w14:textId="77777777" w:rsidR="00BD06C4" w:rsidRPr="00921DAB" w:rsidRDefault="00BD06C4" w:rsidP="00BD06C4">
            <w:pPr>
              <w:pStyle w:val="NoSpacing"/>
            </w:pPr>
          </w:p>
          <w:p w14:paraId="387CCB1C" w14:textId="77777777" w:rsidR="00BD06C4" w:rsidRPr="00921DAB" w:rsidRDefault="00BD06C4" w:rsidP="00BD06C4">
            <w:pPr>
              <w:pStyle w:val="NoSpacing"/>
              <w:numPr>
                <w:ilvl w:val="0"/>
                <w:numId w:val="113"/>
              </w:numPr>
              <w:rPr>
                <w:lang w:val="en-CA"/>
              </w:rPr>
            </w:pPr>
            <w:r w:rsidRPr="00921DAB">
              <w:rPr>
                <w:b/>
                <w:bCs/>
                <w:i/>
                <w:lang w:val="en-GB"/>
              </w:rPr>
              <w:t>Disability status:</w:t>
            </w:r>
            <w:r w:rsidRPr="00921DAB">
              <w:rPr>
                <w:b/>
                <w:bCs/>
                <w:lang w:val="en-GB"/>
              </w:rPr>
              <w:t xml:space="preserve"> </w:t>
            </w:r>
            <w:r w:rsidRPr="00921DAB">
              <w:rPr>
                <w:lang w:val="en-GB"/>
              </w:rPr>
              <w:t xml:space="preserve">To disaggregate public servant data by disability status, it is recommended that countries use the </w:t>
            </w:r>
            <w:hyperlink r:id="rId137" w:history="1">
              <w:r w:rsidRPr="00921DAB">
                <w:rPr>
                  <w:rStyle w:val="Hyperlink"/>
                  <w:lang w:val="en-GB"/>
                </w:rPr>
                <w:t>Short Set of Questions on</w:t>
              </w:r>
              <w:r w:rsidRPr="00921DAB">
                <w:rPr>
                  <w:rStyle w:val="Hyperlink"/>
                  <w:b/>
                  <w:lang w:val="en-GB"/>
                </w:rPr>
                <w:t xml:space="preserve"> </w:t>
              </w:r>
              <w:r w:rsidRPr="00921DAB">
                <w:rPr>
                  <w:rStyle w:val="Hyperlink"/>
                  <w:lang w:val="en-GB"/>
                </w:rPr>
                <w:t>Disability</w:t>
              </w:r>
              <w:r w:rsidRPr="00921DAB">
                <w:rPr>
                  <w:rStyle w:val="Hyperlink"/>
                  <w:b/>
                  <w:lang w:val="en-GB"/>
                </w:rPr>
                <w:t xml:space="preserve"> </w:t>
              </w:r>
              <w:r w:rsidRPr="00921DAB">
                <w:rPr>
                  <w:rStyle w:val="Hyperlink"/>
                  <w:lang w:val="en-GB"/>
                </w:rPr>
                <w:t>elaborated by the Washington Group</w:t>
              </w:r>
            </w:hyperlink>
            <w:r w:rsidRPr="00921DAB">
              <w:rPr>
                <w:u w:val="single"/>
                <w:lang w:val="en-GB"/>
              </w:rPr>
              <w:t>.</w:t>
            </w:r>
            <w:r w:rsidRPr="00921DAB">
              <w:rPr>
                <w:vertAlign w:val="superscript"/>
                <w:lang w:val="en-GB"/>
              </w:rPr>
              <w:footnoteReference w:id="87"/>
            </w:r>
            <w:r w:rsidRPr="00921DAB">
              <w:rPr>
                <w:lang w:val="en-GB"/>
              </w:rPr>
              <w:t xml:space="preserve"> </w:t>
            </w:r>
          </w:p>
          <w:p w14:paraId="2688B668" w14:textId="77777777" w:rsidR="00BD06C4" w:rsidRPr="00921DAB" w:rsidRDefault="00BD06C4" w:rsidP="00BD06C4">
            <w:pPr>
              <w:pStyle w:val="NoSpacing"/>
            </w:pPr>
          </w:p>
          <w:p w14:paraId="65CA8753" w14:textId="77777777" w:rsidR="00BD06C4" w:rsidRPr="00921DAB" w:rsidRDefault="00BD06C4" w:rsidP="00BD06C4">
            <w:pPr>
              <w:pStyle w:val="NoSpacing"/>
              <w:rPr>
                <w:b/>
                <w:bCs/>
              </w:rPr>
            </w:pPr>
            <w:r w:rsidRPr="00921DAB">
              <w:rPr>
                <w:b/>
                <w:bCs/>
              </w:rPr>
              <w:br w:type="page"/>
            </w:r>
          </w:p>
          <w:p w14:paraId="25B6694D" w14:textId="77777777" w:rsidR="00BD06C4" w:rsidRPr="00921DAB" w:rsidRDefault="00BD06C4" w:rsidP="00BD06C4">
            <w:pPr>
              <w:pStyle w:val="NoSpacing"/>
            </w:pPr>
            <w:r w:rsidRPr="00921DAB">
              <w:rPr>
                <w:b/>
                <w:bCs/>
              </w:rPr>
              <w:t>Comments and limitations:</w:t>
            </w:r>
          </w:p>
          <w:p w14:paraId="61F262E5" w14:textId="77777777" w:rsidR="00BD06C4" w:rsidRPr="00921DAB" w:rsidRDefault="00BD06C4" w:rsidP="00BD06C4">
            <w:pPr>
              <w:pStyle w:val="NoSpacing"/>
            </w:pPr>
          </w:p>
          <w:p w14:paraId="2AC8E6AD" w14:textId="77777777" w:rsidR="00BD06C4" w:rsidRPr="00921DAB" w:rsidRDefault="00BD06C4" w:rsidP="00BD06C4">
            <w:pPr>
              <w:pStyle w:val="NoSpacing"/>
              <w:numPr>
                <w:ilvl w:val="0"/>
                <w:numId w:val="97"/>
              </w:numPr>
            </w:pPr>
            <w:r w:rsidRPr="00921DAB">
              <w:rPr>
                <w:b/>
                <w:bCs/>
                <w:i/>
                <w:iCs/>
              </w:rPr>
              <w:lastRenderedPageBreak/>
              <w:t xml:space="preserve">Measuring representation: </w:t>
            </w:r>
            <w:r w:rsidRPr="00921DAB">
              <w:t>The significance of ‘descriptive’ or ‘proportional’ representation has been challenged in different ways:</w:t>
            </w:r>
          </w:p>
          <w:p w14:paraId="78463B82" w14:textId="77777777" w:rsidR="00BD06C4" w:rsidRPr="00921DAB" w:rsidRDefault="00BD06C4" w:rsidP="00BD06C4">
            <w:pPr>
              <w:pStyle w:val="NoSpacing"/>
              <w:numPr>
                <w:ilvl w:val="1"/>
                <w:numId w:val="97"/>
              </w:numPr>
            </w:pPr>
            <w:r w:rsidRPr="00921DAB">
              <w:t>There is the question of why be attentive to some groups (women, young people, minorities, etc.) but not others (the poor, LGBTI, "ethnic" groups who might not be officially recognized, etc.). Moreover, in countries whose populations are a mosaic of many diverse groups (some of which may account for less than 1 percent of the population)</w:t>
            </w:r>
            <w:proofErr w:type="gramStart"/>
            <w:r w:rsidRPr="00921DAB">
              <w:t>,</w:t>
            </w:r>
            <w:proofErr w:type="gramEnd"/>
            <w:r w:rsidRPr="00921DAB">
              <w:t xml:space="preserve"> an exact reflection of such pluralism in the composition of the public service would be impossible and unnecessary. Finally, descriptive representation has the danger of ultimately becoming an end in itself. Concerns about effective representation should not end once the public service has the appropriate number of public servants representing each minority groups. These public servants should be able to articulate minority concerns and should have the same opportunities as others to have some influence on policy formulation and implementation. Nevertheless, if a public service includes none, or very few, women, young people or </w:t>
            </w:r>
            <w:proofErr w:type="gramStart"/>
            <w:r w:rsidRPr="00921DAB">
              <w:t>minorities, that</w:t>
            </w:r>
            <w:proofErr w:type="gramEnd"/>
            <w:r w:rsidRPr="00921DAB">
              <w:t xml:space="preserve"> is probably a worrying sign that the interests of these particular groups are not being heard. </w:t>
            </w:r>
          </w:p>
          <w:p w14:paraId="3965E110" w14:textId="77777777" w:rsidR="00BD06C4" w:rsidRPr="00921DAB" w:rsidRDefault="00BD06C4" w:rsidP="00BD06C4">
            <w:pPr>
              <w:pStyle w:val="NoSpacing"/>
              <w:numPr>
                <w:ilvl w:val="1"/>
                <w:numId w:val="97"/>
              </w:numPr>
            </w:pPr>
            <w:r w:rsidRPr="00921DAB">
              <w:t>The age, sex, disability and population group status of individuals holding positions at various levels of decision-making in the public service provide an indication at the symbolic level of the way in which power is shared within an institution. However, there is no certainty that because a Manager is young (or old), a woman (or a man), or belongs to a minority group, s/he will bring to the fore issues of interest to groups with the same socio-demographic profile.</w:t>
            </w:r>
          </w:p>
          <w:p w14:paraId="1477FFF4" w14:textId="77777777" w:rsidR="00BD06C4" w:rsidRPr="00921DAB" w:rsidRDefault="00BD06C4" w:rsidP="00BD06C4">
            <w:pPr>
              <w:pStyle w:val="NoSpacing"/>
              <w:numPr>
                <w:ilvl w:val="1"/>
                <w:numId w:val="97"/>
              </w:numPr>
              <w:rPr>
                <w:lang w:val="en-CA"/>
              </w:rPr>
            </w:pPr>
            <w:r w:rsidRPr="00921DAB">
              <w:t xml:space="preserve">Tracking the age of public servants offers some measure of youth representation in the public service. However, in most ministries and agencies constituting the public service around the world, leadership positions such as those falling in the category of ‘Managers’ are considered senior functions which require considerable experience, and are awarded on the basis of seniority. This means that such positions are by nature unlikely to be held by individuals in the younger age brackets. As such, for positions falling in the category of ‘Managers’, more relevant insights will be generated on the basis of sex disaggregation, or disaggregation based on disability or population group status. </w:t>
            </w:r>
          </w:p>
          <w:p w14:paraId="5AA2DEA6" w14:textId="77777777" w:rsidR="00BD06C4" w:rsidRPr="00921DAB" w:rsidRDefault="00BD06C4" w:rsidP="00BD06C4">
            <w:pPr>
              <w:pStyle w:val="NoSpacing"/>
              <w:numPr>
                <w:ilvl w:val="1"/>
                <w:numId w:val="97"/>
              </w:numPr>
              <w:rPr>
                <w:lang w:val="en-CA"/>
              </w:rPr>
            </w:pPr>
            <w:r w:rsidRPr="00921DAB">
              <w:rPr>
                <w:lang w:val="en-CA"/>
              </w:rPr>
              <w:t xml:space="preserve">Finally, governments use various ways to deliver public services, including through a range of partnerships with the private or not-for-profit sectors, and this indicator does not account for the staffing composition of other such entities which may have been contracted by the government to deliver public services. While in several countries, the large majority of health care providers, teachers and emergency workers are directly employed by the government, in others, public-private service delivery arrangements are in place, which means that many of these professionals are employed by organisations that are not state-owned, or by private contractors. Since this indicator does not account for the outsourcing of public service provision by the government, it may not give a complete picture of the representativeness of those who provide public services – irrespective of who their employer is. </w:t>
            </w:r>
          </w:p>
          <w:p w14:paraId="35446A2F" w14:textId="77777777" w:rsidR="00BD06C4" w:rsidRPr="00921DAB" w:rsidRDefault="00BD06C4" w:rsidP="00BD06C4">
            <w:pPr>
              <w:pStyle w:val="NoSpacing"/>
            </w:pPr>
          </w:p>
          <w:p w14:paraId="1CAA6BC9" w14:textId="77777777" w:rsidR="00BD06C4" w:rsidRPr="00921DAB" w:rsidRDefault="00BD06C4" w:rsidP="00BD06C4">
            <w:pPr>
              <w:pStyle w:val="NoSpacing"/>
              <w:numPr>
                <w:ilvl w:val="0"/>
                <w:numId w:val="97"/>
              </w:numPr>
              <w:rPr>
                <w:lang w:val="en-GB"/>
              </w:rPr>
            </w:pPr>
            <w:r w:rsidRPr="00921DAB">
              <w:rPr>
                <w:b/>
                <w:bCs/>
                <w:i/>
                <w:lang w:val="en-GB"/>
              </w:rPr>
              <w:t xml:space="preserve">Rationale for computing ratios rather than proportions: </w:t>
            </w:r>
            <w:r w:rsidRPr="00921DAB">
              <w:rPr>
                <w:iCs/>
                <w:lang w:val="en-GB"/>
              </w:rPr>
              <w:t>It may be noted that the below computation methods lead to ratios rather than simple proportions. The rationale for this is simple: while a simple proportion of ‘young’ public servants is not internationally comparable. For instance, 32% of ‘young’ public servants (34 years old or younger) may be an over-representation of youth in country A where only 20% of the national population (above eligibility age for a public service job) falls in this age bracket (Ratio 3 = 38/20 = 1.6), but in country B where 40% of the national population is 34 years old or younger (and above eligibility age for a public service job), the same 32% would be interpreted as under-representation (Ratio = 32/40 = 0.8). In this example, the figure of 32% is not internationally comparable (it means over-representation in one country and under-representation in another), but the ratios 1.6 and 0.8 are internationally comparable. They help us understand whether 32% of public servants aged 34 years old or less is close to, or far from, proportional representation of this age group in the national population.</w:t>
            </w:r>
            <w:r w:rsidRPr="00921DAB">
              <w:rPr>
                <w:b/>
                <w:bCs/>
                <w:i/>
                <w:lang w:val="en-GB"/>
              </w:rPr>
              <w:t xml:space="preserve"> </w:t>
            </w:r>
          </w:p>
          <w:p w14:paraId="50F5C846" w14:textId="77777777" w:rsidR="00BD06C4" w:rsidRPr="00921DAB" w:rsidRDefault="00BD06C4" w:rsidP="00BD06C4">
            <w:pPr>
              <w:pStyle w:val="NoSpacing"/>
              <w:rPr>
                <w:lang w:val="en-GB"/>
              </w:rPr>
            </w:pPr>
          </w:p>
          <w:p w14:paraId="0010FF7F" w14:textId="77777777" w:rsidR="00BD06C4" w:rsidRPr="00921DAB" w:rsidRDefault="00BD06C4" w:rsidP="00BD06C4">
            <w:pPr>
              <w:pStyle w:val="NoSpacing"/>
              <w:numPr>
                <w:ilvl w:val="0"/>
                <w:numId w:val="97"/>
              </w:numPr>
              <w:rPr>
                <w:lang w:val="en-GB"/>
              </w:rPr>
            </w:pPr>
            <w:r w:rsidRPr="00921DAB">
              <w:rPr>
                <w:b/>
                <w:bCs/>
                <w:i/>
                <w:lang w:val="en-GB"/>
              </w:rPr>
              <w:t xml:space="preserve">Sensitivity of collecting disability and population group data in the public service: </w:t>
            </w:r>
            <w:r w:rsidRPr="00921DAB">
              <w:rPr>
                <w:lang w:val="en-GB"/>
              </w:rPr>
              <w:t>In certain contexts, population group status may prove to be a sensitive and politically charged variable. For example, several countries actively restrict or ban identification of ethnic or religious status, in order to protect vulnerable populations or discourage inter-ethnic conflict. In addition, definitions of groups that constitute a minority vary greatly between countries.  Furthermore, there is a strong human rights principle that individuals must be able to choose to identify themselves as members of a minority, or not. It would not be appropriate for public service bodies (or any other body) to assume or to assign public servants a certain membership of a particular population group. As such, administrative data collection systems in the public service should allow public servants to self-report on membership of nationally relevant population groups. Similarly, discriminatory perceptions and implicit bias against disability can make the collection of data by public service bodies on this characteristic equally sensitive. This is partly because public servants with disabilities, like everyone else, have a right to privacy and therefore are not under an obligation to reveal a disability. Moreover, in many states, information concerning disability falls under the umbrella of health data and is therefore confidential, thus preventing public service bodies to release this information even on an anonymous basis.</w:t>
            </w:r>
            <w:r w:rsidRPr="00921DAB">
              <w:rPr>
                <w:vertAlign w:val="superscript"/>
                <w:lang w:val="en-GB"/>
              </w:rPr>
              <w:footnoteReference w:id="88"/>
            </w:r>
            <w:r w:rsidRPr="00921DAB" w:rsidDel="00B265B6">
              <w:rPr>
                <w:lang w:val="en-GB"/>
              </w:rPr>
              <w:t xml:space="preserve"> </w:t>
            </w:r>
            <w:r w:rsidRPr="00921DAB">
              <w:rPr>
                <w:lang w:val="en-GB"/>
              </w:rPr>
              <w:t xml:space="preserve"> </w:t>
            </w:r>
          </w:p>
          <w:p w14:paraId="27266B5A" w14:textId="77777777" w:rsidR="00BD06C4" w:rsidRPr="00921DAB" w:rsidRDefault="00BD06C4" w:rsidP="00BD06C4">
            <w:pPr>
              <w:pStyle w:val="NoSpacing"/>
              <w:rPr>
                <w:b/>
                <w:bCs/>
                <w:i/>
                <w:lang w:val="en-GB"/>
              </w:rPr>
            </w:pPr>
          </w:p>
          <w:p w14:paraId="07F128BA" w14:textId="77777777" w:rsidR="00BD06C4" w:rsidRPr="00921DAB" w:rsidRDefault="00BD06C4" w:rsidP="00BD06C4">
            <w:pPr>
              <w:pStyle w:val="NoSpacing"/>
              <w:numPr>
                <w:ilvl w:val="0"/>
                <w:numId w:val="113"/>
              </w:numPr>
              <w:rPr>
                <w:lang w:val="en-GB"/>
              </w:rPr>
            </w:pPr>
            <w:r w:rsidRPr="00921DAB">
              <w:rPr>
                <w:b/>
                <w:i/>
                <w:lang w:val="en-GB"/>
              </w:rPr>
              <w:t xml:space="preserve">Normative framework: </w:t>
            </w:r>
            <w:r w:rsidRPr="00921DAB">
              <w:rPr>
                <w:lang w:val="en-GB"/>
              </w:rPr>
              <w:t xml:space="preserve">The indicator calls for disaggregation of positions by age, sex, nationally relevant population groups and disability status. The following international human rights instruments contain provisions on enhancing opportunities for participation by individuals and groups holding such characteristics:  </w:t>
            </w:r>
          </w:p>
          <w:p w14:paraId="49B41E31" w14:textId="77777777" w:rsidR="00BD06C4" w:rsidRPr="00921DAB" w:rsidRDefault="00BD06C4" w:rsidP="00BD06C4">
            <w:pPr>
              <w:pStyle w:val="NoSpacing"/>
              <w:numPr>
                <w:ilvl w:val="1"/>
                <w:numId w:val="113"/>
              </w:numPr>
              <w:rPr>
                <w:lang w:val="en-GB"/>
              </w:rPr>
            </w:pPr>
            <w:r w:rsidRPr="00921DAB">
              <w:rPr>
                <w:i/>
                <w:lang w:val="en-GB"/>
              </w:rPr>
              <w:t xml:space="preserve">The universal right and opportunity to participate in public affairs: </w:t>
            </w:r>
            <w:r w:rsidRPr="00921DAB">
              <w:rPr>
                <w:lang w:val="en-GB"/>
              </w:rPr>
              <w:t xml:space="preserve">Article 25 of the </w:t>
            </w:r>
            <w:r w:rsidRPr="00921DAB">
              <w:rPr>
                <w:lang w:val="en-GB"/>
              </w:rPr>
              <w:lastRenderedPageBreak/>
              <w:t>International Covenant on Civil and Political Rights (ICCPR) recognizes “the right and opportunity, without distinction of any kind such as race, color, sex, language, religion, political or other opinion, national or social origin, property, birth or other status to take part in the conduct of public affairs, directly or through freely chosen representatives”. General Comment 25 of the Human Rights Committee elaborates that access to public service employment should be based on equal opportunity and general principles of merit, and that the provision of secured tenure would ensure that persons holding public service positions are free from political interference or pressures.</w:t>
            </w:r>
          </w:p>
          <w:p w14:paraId="1DF7279A" w14:textId="77777777" w:rsidR="00BD06C4" w:rsidRPr="00921DAB" w:rsidRDefault="00BD06C4" w:rsidP="00BD06C4">
            <w:pPr>
              <w:pStyle w:val="NoSpacing"/>
              <w:numPr>
                <w:ilvl w:val="1"/>
                <w:numId w:val="113"/>
              </w:numPr>
              <w:rPr>
                <w:lang w:val="en-CA"/>
              </w:rPr>
            </w:pPr>
            <w:r w:rsidRPr="00921DAB">
              <w:rPr>
                <w:i/>
                <w:lang w:val="en-GB"/>
              </w:rPr>
              <w:t xml:space="preserve">Sex: </w:t>
            </w:r>
            <w:r w:rsidRPr="00921DAB">
              <w:rPr>
                <w:lang w:val="en-GB"/>
              </w:rPr>
              <w:t xml:space="preserve">The 1979 Convention on the Elimination of All Forms of Discrimination against Women (CEDAW) provides the basis for realizing equality between women and men through ensuring women's equal access to, and equal opportunities in, political and public life, including the </w:t>
            </w:r>
            <w:r w:rsidRPr="00921DAB">
              <w:rPr>
                <w:lang w:val="en-CA"/>
              </w:rPr>
              <w:t>right to participate in the formulation of government policy and the implementation thereof and to hold public office and perform all public functions at all levels of government</w:t>
            </w:r>
            <w:r w:rsidRPr="00921DAB">
              <w:rPr>
                <w:lang w:val="en-GB"/>
              </w:rPr>
              <w:t xml:space="preserve"> (Article 7). States parties agree to take all appropriate measures to overcome historical discrimination against women and obstacles to women’s participation in decision-making processes (Article 8), including legislation and temporary special measures (Article 4). </w:t>
            </w:r>
            <w:r w:rsidRPr="00921DAB">
              <w:rPr>
                <w:lang w:val="en-CA"/>
              </w:rPr>
              <w:t xml:space="preserve">The Beijing Declaration and </w:t>
            </w:r>
            <w:r w:rsidRPr="00921DAB">
              <w:rPr>
                <w:lang w:val="en-GB"/>
              </w:rPr>
              <w:t>Platform for Action also call for women’s equal access to public service jobs, by setting a target of a minimum of 30 percent of women in leadership positions.</w:t>
            </w:r>
          </w:p>
          <w:p w14:paraId="2DB704B4" w14:textId="77777777" w:rsidR="00BD06C4" w:rsidRPr="00921DAB" w:rsidRDefault="00BD06C4" w:rsidP="00BD06C4">
            <w:pPr>
              <w:pStyle w:val="NoSpacing"/>
              <w:numPr>
                <w:ilvl w:val="1"/>
                <w:numId w:val="113"/>
              </w:numPr>
              <w:rPr>
                <w:lang w:val="en-GB"/>
              </w:rPr>
            </w:pPr>
            <w:r w:rsidRPr="00921DAB">
              <w:rPr>
                <w:i/>
                <w:lang w:val="en-GB"/>
              </w:rPr>
              <w:t xml:space="preserve">Age: </w:t>
            </w:r>
            <w:r w:rsidRPr="00921DAB">
              <w:rPr>
                <w:lang w:val="en-GB"/>
              </w:rPr>
              <w:t xml:space="preserve">The 2015 Security Council Resolution 2250 urges Member States to consider ways to increase inclusive representation of </w:t>
            </w:r>
            <w:r w:rsidRPr="00921DAB">
              <w:rPr>
                <w:i/>
                <w:lang w:val="en-GB"/>
              </w:rPr>
              <w:t>youth</w:t>
            </w:r>
            <w:r w:rsidRPr="00921DAB">
              <w:rPr>
                <w:lang w:val="en-GB"/>
              </w:rPr>
              <w:t xml:space="preserve"> in decision-making at all levels in local, national, regional and international institutions and mechanisms to prevent and resolve conflict and counter violent extremism. </w:t>
            </w:r>
          </w:p>
          <w:p w14:paraId="613C4B59" w14:textId="77777777" w:rsidR="00BD06C4" w:rsidRPr="00921DAB" w:rsidRDefault="00BD06C4" w:rsidP="00BD06C4">
            <w:pPr>
              <w:pStyle w:val="NoSpacing"/>
              <w:numPr>
                <w:ilvl w:val="1"/>
                <w:numId w:val="113"/>
              </w:numPr>
              <w:rPr>
                <w:lang w:val="en-GB"/>
              </w:rPr>
            </w:pPr>
            <w:r w:rsidRPr="00921DAB">
              <w:rPr>
                <w:i/>
                <w:lang w:val="en-GB"/>
              </w:rPr>
              <w:t xml:space="preserve">‘Population group’ status: </w:t>
            </w:r>
            <w:r w:rsidRPr="00921DAB">
              <w:rPr>
                <w:lang w:val="en-GB"/>
              </w:rPr>
              <w:t xml:space="preserve">The Declaration on the Rights of Persons belonging to National or Ethnic, Religious and Linguistic Minorities (1992) and the Declaration on the Rights of Indigenous Peoples (2007) provide that persons belonging to minorities and indigenous peoples have the right to participate in the political, economic, social and cultural life of the State. </w:t>
            </w:r>
          </w:p>
          <w:p w14:paraId="61238CFE" w14:textId="77777777" w:rsidR="00BD06C4" w:rsidRPr="00921DAB" w:rsidRDefault="00BD06C4" w:rsidP="00BD06C4">
            <w:pPr>
              <w:pStyle w:val="NoSpacing"/>
              <w:numPr>
                <w:ilvl w:val="1"/>
                <w:numId w:val="113"/>
              </w:numPr>
              <w:rPr>
                <w:lang w:val="en-GB"/>
              </w:rPr>
            </w:pPr>
            <w:r w:rsidRPr="00921DAB">
              <w:rPr>
                <w:i/>
                <w:lang w:val="en-GB"/>
              </w:rPr>
              <w:t xml:space="preserve">Disability status: </w:t>
            </w:r>
            <w:r w:rsidRPr="00921DAB">
              <w:rPr>
                <w:lang w:val="en-GB"/>
              </w:rPr>
              <w:t xml:space="preserve">The United Nations Convention on the Rights of Persons with Disabilities (2006) calls upon State Parties to ensure that persons with disabilities can effectively and fully participate in political and public life on an equal basis with others. Under Article 31 of the Convention, State Parties commit to collecting disaggregated information, including statistical and research data to give effect to the Convention, and assume responsibility for the dissemination of these statistics. </w:t>
            </w:r>
          </w:p>
          <w:p w14:paraId="2BE4C930" w14:textId="77777777" w:rsidR="00BD06C4" w:rsidRPr="00921DAB" w:rsidRDefault="00BD06C4" w:rsidP="00BD06C4">
            <w:pPr>
              <w:pStyle w:val="NoSpacing"/>
            </w:pPr>
          </w:p>
          <w:p w14:paraId="0306F2E9" w14:textId="77777777" w:rsidR="00BD06C4" w:rsidRPr="00921DAB" w:rsidRDefault="00BD06C4" w:rsidP="00BD06C4">
            <w:pPr>
              <w:pStyle w:val="NoSpacing"/>
              <w:numPr>
                <w:ilvl w:val="0"/>
                <w:numId w:val="113"/>
              </w:numPr>
            </w:pPr>
            <w:r w:rsidRPr="00921DAB">
              <w:rPr>
                <w:b/>
                <w:bCs/>
                <w:i/>
                <w:iCs/>
              </w:rPr>
              <w:t>Transposing national classifications of public service jobs into ISCO-08 based occupational</w:t>
            </w:r>
            <w:r w:rsidRPr="00921DAB">
              <w:rPr>
                <w:b/>
                <w:bCs/>
                <w:i/>
              </w:rPr>
              <w:t xml:space="preserve"> categories for the public service: </w:t>
            </w:r>
            <w:r w:rsidRPr="00921DAB">
              <w:t xml:space="preserve">The ISCO-08 based occupational categories proposed above for </w:t>
            </w:r>
            <w:proofErr w:type="gramStart"/>
            <w:r w:rsidRPr="00921DAB">
              <w:t>this indicator are</w:t>
            </w:r>
            <w:proofErr w:type="gramEnd"/>
            <w:r w:rsidRPr="00921DAB">
              <w:t xml:space="preserve"> meant to be broad enough to accommodate considerable diversity among national classifications. When transposing their national classifications, countries should strive to respect the </w:t>
            </w:r>
            <w:r w:rsidRPr="00921DAB">
              <w:lastRenderedPageBreak/>
              <w:t xml:space="preserve">criteria listed for each occupational category and the references provided to specific ISCO-08 codes, while noting any divergence when reporting. A list of specific criteria is provided below to guide the transposition from national classifications to the ISCO-08-based occupational categories in the public service prioritized for this indicator.     </w:t>
            </w:r>
          </w:p>
          <w:p w14:paraId="3CA17829" w14:textId="77777777" w:rsidR="00BD06C4" w:rsidRDefault="00BD06C4" w:rsidP="00BD06C4">
            <w:pPr>
              <w:pStyle w:val="NoSpacing"/>
            </w:pPr>
          </w:p>
          <w:p w14:paraId="198B9A7C" w14:textId="77777777" w:rsidR="00BD06C4" w:rsidRDefault="00BD06C4" w:rsidP="00BD06C4">
            <w:pPr>
              <w:pStyle w:val="NoSpacing"/>
            </w:pPr>
            <w:r>
              <w:t>Computation Method:</w:t>
            </w:r>
          </w:p>
          <w:p w14:paraId="1BB24C82" w14:textId="77777777" w:rsidR="00BD06C4" w:rsidRDefault="00BD06C4" w:rsidP="00BD06C4">
            <w:pPr>
              <w:pStyle w:val="NoSpacing"/>
            </w:pPr>
          </w:p>
          <w:p w14:paraId="222DD951" w14:textId="77777777" w:rsidR="00BD06C4" w:rsidRDefault="00BD06C4" w:rsidP="00BD06C4">
            <w:pPr>
              <w:pStyle w:val="NoSpacing"/>
            </w:pPr>
            <w:r>
              <w:t xml:space="preserve">Indicator 16.7.1(b) aims to compare the proportion of various demographic groups (by sex, age, disability and population groups) represented in the public service, with the proportion of these same groups in the national population. More specifically, the proportional representation of these demographic groups is assessed across various occupational categories as well as across two administrative levels. </w:t>
            </w:r>
          </w:p>
          <w:p w14:paraId="53F6B3D8" w14:textId="77777777" w:rsidR="00BD06C4" w:rsidRDefault="00BD06C4" w:rsidP="00BD06C4">
            <w:pPr>
              <w:pStyle w:val="NoSpacing"/>
            </w:pPr>
          </w:p>
          <w:p w14:paraId="3A5E40E2" w14:textId="77777777" w:rsidR="00BD06C4" w:rsidRDefault="00BD06C4" w:rsidP="00BD06C4">
            <w:pPr>
              <w:pStyle w:val="NoSpacing"/>
            </w:pPr>
            <w:r>
              <w:t>When computing these proportions, all the considerations detailed above in the section “concepts and definitions” should be respected, including on institutional units covered, administrative levels, occupational categories and appointed/elected positions.</w:t>
            </w:r>
          </w:p>
          <w:p w14:paraId="4CEBE8A8" w14:textId="77777777" w:rsidR="00BD06C4" w:rsidRDefault="00BD06C4" w:rsidP="00BD06C4">
            <w:pPr>
              <w:pStyle w:val="NoSpacing"/>
            </w:pPr>
          </w:p>
          <w:p w14:paraId="1149449C" w14:textId="77777777" w:rsidR="00BD06C4" w:rsidRDefault="00BD06C4" w:rsidP="00BD06C4">
            <w:pPr>
              <w:pStyle w:val="NoSpacing"/>
            </w:pPr>
            <w:r>
              <w:t>•</w:t>
            </w:r>
            <w:r>
              <w:tab/>
              <w:t xml:space="preserve">An online SDG 16 Data Reporting Platform (https://sdg16reporting.undp.org – to be launched in April 2020) was developed by custodian agency UNDP to assist countries in reporting on this indicator, at the level of both national and sub-national government, and on the basis of sex, location (urban/rural), income or expenditure quintiles, age groups, nationally relevant population groups and disability status. Countries should use the online data forms and accompanying guidance provided on this platform to report on this indicator. </w:t>
            </w:r>
          </w:p>
          <w:p w14:paraId="42D9C467" w14:textId="77777777" w:rsidR="00BD06C4" w:rsidRDefault="00BD06C4" w:rsidP="00BD06C4">
            <w:pPr>
              <w:pStyle w:val="NoSpacing"/>
            </w:pPr>
            <w:r>
              <w:t>•</w:t>
            </w:r>
            <w:r>
              <w:tab/>
              <w:t xml:space="preserve">Countries are encouraged to report data that is available, understanding that public servant disaggregated data for disability status and nationally-relevant population groups may not be currently available in many jurisdictions. Countries are encouraged to build additional capacities to disaggregate data by these demographic groups.  </w:t>
            </w:r>
          </w:p>
          <w:p w14:paraId="375071F2" w14:textId="77777777" w:rsidR="00BD06C4" w:rsidRDefault="00BD06C4" w:rsidP="00BD06C4">
            <w:pPr>
              <w:pStyle w:val="NoSpacing"/>
            </w:pPr>
            <w:r>
              <w:t>•</w:t>
            </w:r>
            <w:r>
              <w:tab/>
              <w:t>Information for part-time positions should be given in full-time equivalents and should be counted only for permanent posts actually filled. It is important to consider the part-time or full-time status of posts to address the risk that some target groups may be underemployed and over-reported (e.g. If women are more likely to receive part-time posts than full-time posts, there might be a false impression that women are equally represented in those posts, when in reality they work less than their male counterparts due to their part-time status).</w:t>
            </w:r>
          </w:p>
          <w:p w14:paraId="2430122E" w14:textId="77777777" w:rsidR="00BD06C4" w:rsidRDefault="00BD06C4" w:rsidP="00BD06C4">
            <w:pPr>
              <w:pStyle w:val="NoSpacing"/>
            </w:pPr>
          </w:p>
          <w:p w14:paraId="63362A34" w14:textId="77777777" w:rsidR="00BD06C4" w:rsidRPr="0037164C" w:rsidRDefault="00BD06C4" w:rsidP="00BD06C4">
            <w:pPr>
              <w:pStyle w:val="NoSpacing"/>
              <w:rPr>
                <w:bCs/>
                <w:lang w:val="en-GB"/>
              </w:rPr>
            </w:pPr>
            <w:r>
              <w:t>part (c</w:t>
            </w:r>
            <w:r w:rsidRPr="00921DAB">
              <w:t>) of this indicator</w:t>
            </w:r>
            <w:r>
              <w:rPr>
                <w:bCs/>
                <w:lang w:val="en-GB"/>
              </w:rPr>
              <w:t xml:space="preserve"> </w:t>
            </w:r>
          </w:p>
          <w:p w14:paraId="2FFDEF46" w14:textId="77777777" w:rsidR="00BD06C4" w:rsidRDefault="00BD06C4" w:rsidP="00BD06C4">
            <w:pPr>
              <w:pStyle w:val="NoSpacing"/>
            </w:pPr>
          </w:p>
          <w:p w14:paraId="3BD116DD" w14:textId="77777777" w:rsidR="00BD06C4" w:rsidRPr="00921DAB" w:rsidRDefault="00BD06C4" w:rsidP="00BD06C4">
            <w:pPr>
              <w:pStyle w:val="NoSpacing"/>
              <w:rPr>
                <w:lang w:val="en-GB"/>
              </w:rPr>
            </w:pPr>
            <w:r w:rsidRPr="00921DAB">
              <w:rPr>
                <w:b/>
                <w:bCs/>
                <w:lang w:val="en-GB"/>
              </w:rPr>
              <w:t>Definition:</w:t>
            </w:r>
          </w:p>
          <w:p w14:paraId="5F66EC3B" w14:textId="77777777" w:rsidR="00BD06C4" w:rsidRPr="00921DAB" w:rsidRDefault="00BD06C4" w:rsidP="00BD06C4">
            <w:pPr>
              <w:pStyle w:val="NoSpacing"/>
              <w:rPr>
                <w:lang w:val="en-GB"/>
              </w:rPr>
            </w:pPr>
          </w:p>
          <w:p w14:paraId="0A818C5F" w14:textId="77777777" w:rsidR="00BD06C4" w:rsidRPr="00921DAB" w:rsidRDefault="00BD06C4" w:rsidP="00BD06C4">
            <w:pPr>
              <w:pStyle w:val="NoSpacing"/>
              <w:rPr>
                <w:lang w:val="en-GB"/>
              </w:rPr>
            </w:pPr>
            <w:r w:rsidRPr="00921DAB">
              <w:rPr>
                <w:lang w:val="en-GB"/>
              </w:rPr>
              <w:t xml:space="preserve">This metadata is focused only on the judiciary sub-component of indicator 16.7.1. It measures representation in the judiciary with respect to the sex, age, disability and population group status, and assesses how these correspond to the proportion of these groups in society as a whole. </w:t>
            </w:r>
          </w:p>
          <w:p w14:paraId="26F2D26F" w14:textId="77777777" w:rsidR="00BD06C4" w:rsidRPr="00921DAB" w:rsidRDefault="00BD06C4" w:rsidP="00BD06C4">
            <w:pPr>
              <w:pStyle w:val="NoSpacing"/>
              <w:rPr>
                <w:lang w:val="en-GB"/>
              </w:rPr>
            </w:pPr>
            <w:r w:rsidRPr="00921DAB">
              <w:rPr>
                <w:lang w:val="en-GB"/>
              </w:rPr>
              <w:lastRenderedPageBreak/>
              <w:t>More specifically, this indicator measures the proportional representation of various demographic groups (women, youth, persons with disability, and nationally relevant population groups) across two key decision-making positions in the judiciary (judges and registrars) as well as across three ‘levels’ of courts, namely ‘supreme/constitutional courts,’ ‘higher-level courts’ and ‘lower-level courts’.</w:t>
            </w:r>
          </w:p>
          <w:p w14:paraId="4C7FAF76" w14:textId="77777777" w:rsidR="00BD06C4" w:rsidRPr="00921DAB" w:rsidRDefault="00BD06C4" w:rsidP="00BD06C4">
            <w:pPr>
              <w:pStyle w:val="NoSpacing"/>
              <w:rPr>
                <w:b/>
                <w:bCs/>
                <w:lang w:val="en-GB"/>
              </w:rPr>
            </w:pPr>
          </w:p>
          <w:p w14:paraId="597B121D" w14:textId="77777777" w:rsidR="00BD06C4" w:rsidRPr="00921DAB" w:rsidRDefault="00BD06C4" w:rsidP="00BD06C4">
            <w:pPr>
              <w:pStyle w:val="NoSpacing"/>
              <w:rPr>
                <w:lang w:val="en-GB"/>
              </w:rPr>
            </w:pPr>
            <w:r w:rsidRPr="00921DAB">
              <w:rPr>
                <w:b/>
                <w:bCs/>
                <w:lang w:val="en-GB"/>
              </w:rPr>
              <w:t>Concepts:</w:t>
            </w:r>
          </w:p>
          <w:p w14:paraId="6172D0FA" w14:textId="77777777" w:rsidR="00BD06C4" w:rsidRPr="00921DAB" w:rsidRDefault="00BD06C4" w:rsidP="00BD06C4">
            <w:pPr>
              <w:pStyle w:val="NoSpacing"/>
              <w:rPr>
                <w:lang w:val="en-GB"/>
              </w:rPr>
            </w:pPr>
          </w:p>
          <w:p w14:paraId="0CC7FCFC" w14:textId="77777777" w:rsidR="00BD06C4" w:rsidRPr="00921DAB" w:rsidRDefault="00BD06C4" w:rsidP="00BD06C4">
            <w:pPr>
              <w:pStyle w:val="NoSpacing"/>
              <w:rPr>
                <w:lang w:val="en-GB"/>
              </w:rPr>
            </w:pPr>
            <w:r w:rsidRPr="00921DAB">
              <w:rPr>
                <w:lang w:val="en-GB"/>
              </w:rPr>
              <w:t>This indicator builds on various concepts and terms from international statistical standards and classifications as well as normative frameworks. The concepts and terms used for this indicator reflect general features of judiciaries around the world, while recognizing that different countries have their own legal systems informed by their specific histories and cultures, which in turn determine the specific functions and form of the judiciary in a given country. The below concepts and definitions were elaborated with a view to being broad enough to accommodate these national specificities:</w:t>
            </w:r>
          </w:p>
          <w:p w14:paraId="6F41142E" w14:textId="77777777" w:rsidR="00BD06C4" w:rsidRPr="00921DAB" w:rsidRDefault="00BD06C4" w:rsidP="00BD06C4">
            <w:pPr>
              <w:pStyle w:val="NoSpacing"/>
              <w:rPr>
                <w:lang w:val="en-GB"/>
              </w:rPr>
            </w:pPr>
          </w:p>
          <w:p w14:paraId="2EB0113D" w14:textId="77777777" w:rsidR="00BD06C4" w:rsidRPr="00921DAB" w:rsidRDefault="00BD06C4" w:rsidP="00BD06C4">
            <w:pPr>
              <w:pStyle w:val="NoSpacing"/>
              <w:numPr>
                <w:ilvl w:val="0"/>
                <w:numId w:val="117"/>
              </w:numPr>
              <w:rPr>
                <w:lang w:val="en-GB"/>
              </w:rPr>
            </w:pPr>
            <w:r w:rsidRPr="00921DAB">
              <w:rPr>
                <w:b/>
                <w:bCs/>
                <w:i/>
                <w:iCs/>
                <w:lang w:val="en-GB"/>
              </w:rPr>
              <w:t xml:space="preserve">Focus on formal court system: </w:t>
            </w:r>
            <w:r w:rsidRPr="00921DAB">
              <w:rPr>
                <w:lang w:val="en-GB"/>
              </w:rPr>
              <w:t xml:space="preserve">The </w:t>
            </w:r>
            <w:r w:rsidRPr="00921DAB">
              <w:rPr>
                <w:i/>
                <w:lang w:val="en-GB"/>
              </w:rPr>
              <w:t>judiciary</w:t>
            </w:r>
            <w:r w:rsidRPr="00921DAB">
              <w:rPr>
                <w:lang w:val="en-GB"/>
              </w:rPr>
              <w:t xml:space="preserve"> is the system of courts that constitutes the branch of central authority in a country concerned with the administration of justice. The judiciary sub-component of SDG indicator 16.7.1 focuses on the </w:t>
            </w:r>
            <w:r w:rsidRPr="00921DAB">
              <w:rPr>
                <w:i/>
                <w:lang w:val="en-GB"/>
              </w:rPr>
              <w:t xml:space="preserve">formal </w:t>
            </w:r>
            <w:r w:rsidRPr="00921DAB">
              <w:rPr>
                <w:lang w:val="en-GB"/>
              </w:rPr>
              <w:t xml:space="preserve">court system and does not include within its scope informal mechanisms (e.g., religious, tribal, or traditional dispute resolution mechanisms). </w:t>
            </w:r>
          </w:p>
          <w:p w14:paraId="3392139F" w14:textId="77777777" w:rsidR="00BD06C4" w:rsidRPr="00921DAB" w:rsidRDefault="00BD06C4" w:rsidP="00BD06C4">
            <w:pPr>
              <w:pStyle w:val="NoSpacing"/>
              <w:rPr>
                <w:lang w:val="en-GB"/>
              </w:rPr>
            </w:pPr>
          </w:p>
          <w:p w14:paraId="06079906" w14:textId="77777777" w:rsidR="00BD06C4" w:rsidRPr="00921DAB" w:rsidRDefault="00BD06C4" w:rsidP="00BD06C4">
            <w:pPr>
              <w:pStyle w:val="NoSpacing"/>
              <w:numPr>
                <w:ilvl w:val="0"/>
                <w:numId w:val="117"/>
              </w:numPr>
              <w:rPr>
                <w:lang w:val="en-GB"/>
              </w:rPr>
            </w:pPr>
            <w:r w:rsidRPr="00921DAB">
              <w:rPr>
                <w:b/>
                <w:bCs/>
                <w:i/>
                <w:iCs/>
                <w:lang w:val="en-GB"/>
              </w:rPr>
              <w:t xml:space="preserve">Levels of courts: </w:t>
            </w:r>
            <w:r w:rsidRPr="00921DAB">
              <w:rPr>
                <w:lang w:val="en-GB"/>
              </w:rPr>
              <w:t>The indicator disaggregates between three ‘levels’ of courts to reflect the way in which courts are used, namely ‘supreme/constitutional courts,’ ‘higher-level courts’ (courts that handle national issues or appeals), and ‘lower-level courts’ (courts – typically of first instance – that commonly handle local issues, such as disputes involving family, land, and government benefits and services). This broad categorization is elaborated to encompass the diversity of judicial systems across the world, including across different types of legal systems (common law, civil law, etc.) and across different types of government (unitary, federal, etc.):</w:t>
            </w:r>
          </w:p>
          <w:p w14:paraId="6C8641FC" w14:textId="77777777" w:rsidR="00BD06C4" w:rsidRPr="00921DAB" w:rsidRDefault="00BD06C4" w:rsidP="00BD06C4">
            <w:pPr>
              <w:pStyle w:val="NoSpacing"/>
              <w:numPr>
                <w:ilvl w:val="0"/>
                <w:numId w:val="115"/>
              </w:numPr>
              <w:rPr>
                <w:lang w:val="en-GB"/>
              </w:rPr>
            </w:pPr>
            <w:r w:rsidRPr="00921DAB">
              <w:rPr>
                <w:bCs/>
                <w:i/>
                <w:lang w:val="en-GB"/>
              </w:rPr>
              <w:t>Supreme/constitutional</w:t>
            </w:r>
            <w:r w:rsidRPr="00921DAB">
              <w:rPr>
                <w:bCs/>
                <w:lang w:val="en-GB"/>
              </w:rPr>
              <w:t xml:space="preserve"> </w:t>
            </w:r>
            <w:r w:rsidRPr="00921DAB">
              <w:rPr>
                <w:bCs/>
                <w:i/>
                <w:lang w:val="en-GB"/>
              </w:rPr>
              <w:t>courts</w:t>
            </w:r>
            <w:r w:rsidRPr="00921DAB">
              <w:rPr>
                <w:bCs/>
                <w:lang w:val="en-GB"/>
              </w:rPr>
              <w:t>:</w:t>
            </w:r>
            <w:r w:rsidRPr="00921DAB">
              <w:rPr>
                <w:lang w:val="en-GB"/>
              </w:rPr>
              <w:t xml:space="preserve"> Supreme/constitutional courts are the courts within a country with the highest authority to interpret the law. The category includes both supreme courts (i.e., the highest judicial bodies in the domain of civil and criminal jurisdiction) and constitutional courts (i.e., the legal bodies responsible for ensuring the compatibility of legislation with the provisions and principles of the constitution in each country, in particular to protect constitutionally-established rights and freedoms). Constitutional courts include those courts that sit only on constitutional issues, as well as courts that sit as constitutional courts only on occasion when constitutional issues arise. In federal court systems, </w:t>
            </w:r>
            <w:proofErr w:type="gramStart"/>
            <w:r w:rsidRPr="00921DAB">
              <w:rPr>
                <w:lang w:val="en-GB"/>
              </w:rPr>
              <w:t>highest courts include supreme courts and constitutional courts at the national level, but excludes</w:t>
            </w:r>
            <w:proofErr w:type="gramEnd"/>
            <w:r w:rsidRPr="00921DAB">
              <w:rPr>
                <w:lang w:val="en-GB"/>
              </w:rPr>
              <w:t xml:space="preserve"> any supreme courts that may exist at sub-national levels, as these should be included within the category of higher-level courts. In certain jurisdictions, the </w:t>
            </w:r>
            <w:proofErr w:type="gramStart"/>
            <w:r w:rsidRPr="00921DAB">
              <w:rPr>
                <w:lang w:val="en-GB"/>
              </w:rPr>
              <w:t>supreme court</w:t>
            </w:r>
            <w:proofErr w:type="gramEnd"/>
            <w:r w:rsidRPr="00921DAB">
              <w:rPr>
                <w:lang w:val="en-GB"/>
              </w:rPr>
              <w:t xml:space="preserve"> and constitutional court might be </w:t>
            </w:r>
            <w:r w:rsidRPr="00921DAB">
              <w:rPr>
                <w:lang w:val="en-GB"/>
              </w:rPr>
              <w:lastRenderedPageBreak/>
              <w:t>one and the same and therefore there would be just one court for the category of supreme/constitutional courts.</w:t>
            </w:r>
          </w:p>
          <w:p w14:paraId="759E5356" w14:textId="77777777" w:rsidR="00BD06C4" w:rsidRPr="00921DAB" w:rsidRDefault="00BD06C4" w:rsidP="00BD06C4">
            <w:pPr>
              <w:pStyle w:val="NoSpacing"/>
              <w:numPr>
                <w:ilvl w:val="0"/>
                <w:numId w:val="115"/>
              </w:numPr>
              <w:rPr>
                <w:lang w:val="en-GB"/>
              </w:rPr>
            </w:pPr>
            <w:r w:rsidRPr="00921DAB">
              <w:rPr>
                <w:bCs/>
                <w:i/>
                <w:lang w:val="en-GB"/>
              </w:rPr>
              <w:t>Higher-level courts</w:t>
            </w:r>
            <w:r w:rsidRPr="00921DAB">
              <w:rPr>
                <w:bCs/>
                <w:lang w:val="en-GB"/>
              </w:rPr>
              <w:t>:</w:t>
            </w:r>
            <w:r w:rsidRPr="00921DAB">
              <w:rPr>
                <w:lang w:val="en-GB"/>
              </w:rPr>
              <w:t xml:space="preserve"> Higher-level courts include other high courts, high-level courts, and courts of appeal. In federal court systems, higher-level courts include higher-level courts at both the national and sub-national levels, and also include supreme courts at sub-national levels.</w:t>
            </w:r>
          </w:p>
          <w:p w14:paraId="55EFEE92" w14:textId="77777777" w:rsidR="00BD06C4" w:rsidRPr="00921DAB" w:rsidRDefault="00BD06C4" w:rsidP="00BD06C4">
            <w:pPr>
              <w:pStyle w:val="NoSpacing"/>
              <w:numPr>
                <w:ilvl w:val="0"/>
                <w:numId w:val="115"/>
              </w:numPr>
              <w:rPr>
                <w:lang w:val="en-GB"/>
              </w:rPr>
            </w:pPr>
            <w:r w:rsidRPr="00921DAB">
              <w:rPr>
                <w:bCs/>
                <w:i/>
                <w:lang w:val="en-GB"/>
              </w:rPr>
              <w:t>Lower-level courts</w:t>
            </w:r>
            <w:r w:rsidRPr="00921DAB">
              <w:rPr>
                <w:bCs/>
                <w:lang w:val="en-GB"/>
              </w:rPr>
              <w:t>:</w:t>
            </w:r>
            <w:r w:rsidRPr="00921DAB">
              <w:rPr>
                <w:lang w:val="en-GB"/>
              </w:rPr>
              <w:t xml:space="preserve"> Lower-level courts encompass first-instance or frontline courts of local jurisdiction. This category includes local courts, district courts, magisterial courts, and magistrate courts. In federal court systems, lower-level courts include lower-level courts of both national and sub-national court systems.  </w:t>
            </w:r>
          </w:p>
          <w:p w14:paraId="70A03944" w14:textId="77777777" w:rsidR="00BD06C4" w:rsidRPr="00921DAB" w:rsidRDefault="00BD06C4" w:rsidP="00BD06C4">
            <w:pPr>
              <w:pStyle w:val="NoSpacing"/>
              <w:numPr>
                <w:ilvl w:val="0"/>
                <w:numId w:val="115"/>
              </w:numPr>
              <w:rPr>
                <w:bCs/>
                <w:iCs/>
                <w:lang w:val="en-GB"/>
              </w:rPr>
            </w:pPr>
            <w:r w:rsidRPr="00921DAB">
              <w:rPr>
                <w:bCs/>
                <w:iCs/>
                <w:lang w:val="en-GB"/>
              </w:rPr>
              <w:t xml:space="preserve">Finally, a note about </w:t>
            </w:r>
            <w:r w:rsidRPr="00921DAB">
              <w:rPr>
                <w:bCs/>
                <w:i/>
                <w:lang w:val="en-GB"/>
              </w:rPr>
              <w:t>specialized courts</w:t>
            </w:r>
            <w:r w:rsidRPr="00921DAB">
              <w:rPr>
                <w:bCs/>
                <w:iCs/>
                <w:lang w:val="en-GB"/>
              </w:rPr>
              <w:t xml:space="preserve"> is in order: The determination of whether specialized courts or tribunals, or a subset thereof, fall within supreme/constitutional, higher-level, or lower-level courts is left to the discretion of countries. Specialized courts are courts that have limited jurisdiction over a specialized subject matter, and may include, but are not limited to, war crimes courts, gender-based violence courts, commercial courts, finance courts, labour courts, family courts, property courts, military courts, administrative courts, social welfare courts, juvenile courts, courts for organized crime, narcotics, and corruption, etc. In many jurisdictions, specialized courts are considered higher-level courts. In such jurisdictions, these specialized courts might have exclusive or original jurisdiction over certain claims, and therefore act in the first instance for those claims, but are nevertheless considered higher-level courts. In other jurisdictions, specialized courts might be considered lower-level courts or supreme courts. Some jurisdictions might categorize a subset of specialized courts as higher-level courts and another subset as lower-level courts. </w:t>
            </w:r>
          </w:p>
          <w:p w14:paraId="4DC1EAED" w14:textId="77777777" w:rsidR="00BD06C4" w:rsidRPr="00921DAB" w:rsidRDefault="00BD06C4" w:rsidP="00BD06C4">
            <w:pPr>
              <w:pStyle w:val="NoSpacing"/>
              <w:rPr>
                <w:bCs/>
                <w:iCs/>
                <w:lang w:val="en-GB"/>
              </w:rPr>
            </w:pPr>
          </w:p>
          <w:p w14:paraId="235E5E71" w14:textId="77777777" w:rsidR="00BD06C4" w:rsidRPr="00921DAB" w:rsidRDefault="00BD06C4" w:rsidP="00BD06C4">
            <w:pPr>
              <w:pStyle w:val="NoSpacing"/>
              <w:numPr>
                <w:ilvl w:val="0"/>
                <w:numId w:val="117"/>
              </w:numPr>
              <w:rPr>
                <w:lang w:val="en-GB"/>
              </w:rPr>
            </w:pPr>
            <w:r w:rsidRPr="00921DAB">
              <w:rPr>
                <w:b/>
                <w:bCs/>
                <w:lang w:val="en-GB"/>
              </w:rPr>
              <w:t xml:space="preserve">Decision-making positions: </w:t>
            </w:r>
            <w:r w:rsidRPr="00921DAB">
              <w:rPr>
                <w:lang w:val="en-GB"/>
              </w:rPr>
              <w:t xml:space="preserve">Target 16.7 focuses on ‘decision-making’ and the extent to which it is responsive, inclusive, and representative. In the judiciary, decision-making power and leadership roles are essentially held by individuals in two types of positions, namely judges and registrars. Judges play important roles in decision-making by carrying out their core functions of interpreting laws and adjudicating controversies over the application of laws to particular circumstances. Registrars assist judges in performing their functions and play an important role in case management, including by scheduling hearing dates, registering court documents, receiving fees emanating from court matters, preparing case files, drafting decisions, and executing court decisions. Additionally, in certain circumstances, they can perform judicial or quasi-judicial functions themselves, including making decisions on interlocutory applications, assessment of damages, and applications for the entry of default judgments. The judiciary sub-component of SDG indicator 16.7.1 does not cover other positions such as: court-annexed alternative dispute resolution professionals (individuals appointed by the state to decide upon an adjudicatory dispute resolution process, such as arbitrators and mediators); non-legal court personnel (part-time or full-time individuals paid by the state to support the administration of the judicial system, such as bailiffs, tipstaff, </w:t>
            </w:r>
            <w:r w:rsidRPr="00921DAB">
              <w:rPr>
                <w:lang w:val="en-GB"/>
              </w:rPr>
              <w:lastRenderedPageBreak/>
              <w:t>secretaries, notaries, paralegals, and administrators); or state-funded legal professionals within the justice sector (individuals paid by the state to carry out the representation or prosecution of an individual in a legal proceeding, including prosecutors, public defenders, and legal aid service providers). While these individuals play some role in the functioning of the justice system as a whole and are supported by state funds, they do not constitute the judiciary as it is understood by most countries. Additionally, they are typically accounted for in the public service sub-component of SDG indicator 16.7.1 (i.e. SDG 16.7.1b).</w:t>
            </w:r>
          </w:p>
          <w:p w14:paraId="7659CE71" w14:textId="77777777" w:rsidR="00BD06C4" w:rsidRPr="00921DAB" w:rsidRDefault="00BD06C4" w:rsidP="00BD06C4">
            <w:pPr>
              <w:pStyle w:val="NoSpacing"/>
              <w:numPr>
                <w:ilvl w:val="0"/>
                <w:numId w:val="116"/>
              </w:numPr>
              <w:rPr>
                <w:lang w:val="en-GB"/>
              </w:rPr>
            </w:pPr>
            <w:r w:rsidRPr="00921DAB">
              <w:rPr>
                <w:bCs/>
                <w:i/>
                <w:lang w:val="en-GB"/>
              </w:rPr>
              <w:t>Judge</w:t>
            </w:r>
            <w:r w:rsidRPr="00921DAB">
              <w:rPr>
                <w:i/>
                <w:lang w:val="en-GB"/>
              </w:rPr>
              <w:t xml:space="preserve"> </w:t>
            </w:r>
            <w:r w:rsidRPr="00921DAB">
              <w:rPr>
                <w:lang w:val="en-GB"/>
              </w:rPr>
              <w:t xml:space="preserve">(alternatively called </w:t>
            </w:r>
            <w:proofErr w:type="gramStart"/>
            <w:r w:rsidRPr="00921DAB">
              <w:rPr>
                <w:lang w:val="en-GB"/>
              </w:rPr>
              <w:t>‘justice’, ‘magistrate’,</w:t>
            </w:r>
            <w:proofErr w:type="gramEnd"/>
            <w:r w:rsidRPr="00921DAB">
              <w:rPr>
                <w:lang w:val="en-GB"/>
              </w:rPr>
              <w:t xml:space="preserve"> or ‘jurist’): A judge is a person authorized to decide cases in a court of law. UN DESA’s Manual for the Development of a System of Criminal Justice Statistics defines ‘professional judges or magistrates’ as both full-time and part-time officials authorized to hear civil, criminal, and other cases, including in appeal courts, and to make dispositions in a court of law. This category includes associate judges and magistrates who may be so authorized.</w:t>
            </w:r>
            <w:r w:rsidRPr="00921DAB">
              <w:rPr>
                <w:vertAlign w:val="superscript"/>
                <w:lang w:val="en-GB"/>
              </w:rPr>
              <w:footnoteReference w:id="89"/>
            </w:r>
            <w:r w:rsidRPr="00921DAB">
              <w:rPr>
                <w:lang w:val="en-GB"/>
              </w:rPr>
              <w:t xml:space="preserve"> </w:t>
            </w:r>
          </w:p>
          <w:p w14:paraId="6E51CA7F" w14:textId="77777777" w:rsidR="00BD06C4" w:rsidRPr="00921DAB" w:rsidRDefault="00BD06C4" w:rsidP="00BD06C4">
            <w:pPr>
              <w:pStyle w:val="NoSpacing"/>
              <w:numPr>
                <w:ilvl w:val="0"/>
                <w:numId w:val="116"/>
              </w:numPr>
              <w:rPr>
                <w:lang w:val="en-GB"/>
              </w:rPr>
            </w:pPr>
            <w:r w:rsidRPr="00921DAB">
              <w:rPr>
                <w:bCs/>
                <w:i/>
                <w:lang w:val="en-GB"/>
              </w:rPr>
              <w:t>Registrar</w:t>
            </w:r>
            <w:r w:rsidRPr="00921DAB">
              <w:rPr>
                <w:i/>
                <w:lang w:val="en-GB"/>
              </w:rPr>
              <w:t xml:space="preserve"> </w:t>
            </w:r>
            <w:r w:rsidRPr="00921DAB">
              <w:rPr>
                <w:lang w:val="en-GB"/>
              </w:rPr>
              <w:t>(alternatively called ‘clerk’, ‘judicial officer’, ‘</w:t>
            </w:r>
            <w:r w:rsidRPr="00921DAB">
              <w:rPr>
                <w:i/>
                <w:lang w:val="en-GB"/>
              </w:rPr>
              <w:t>Rechtspfleger</w:t>
            </w:r>
            <w:r w:rsidRPr="00921DAB">
              <w:rPr>
                <w:lang w:val="en-GB"/>
              </w:rPr>
              <w:t>’, ‘</w:t>
            </w:r>
            <w:r w:rsidRPr="00921DAB">
              <w:rPr>
                <w:i/>
                <w:lang w:val="en-GB"/>
              </w:rPr>
              <w:t>secretario de estudio y cuenta</w:t>
            </w:r>
            <w:r w:rsidRPr="00921DAB">
              <w:rPr>
                <w:lang w:val="en-GB"/>
              </w:rPr>
              <w:t>’, ‘</w:t>
            </w:r>
            <w:r w:rsidRPr="00921DAB">
              <w:rPr>
                <w:i/>
                <w:lang w:val="en-GB"/>
              </w:rPr>
              <w:t>secretario general</w:t>
            </w:r>
            <w:r w:rsidRPr="00921DAB">
              <w:rPr>
                <w:lang w:val="en-GB"/>
              </w:rPr>
              <w:t>’, ‘</w:t>
            </w:r>
            <w:r w:rsidRPr="00921DAB">
              <w:rPr>
                <w:i/>
                <w:lang w:val="en-GB"/>
              </w:rPr>
              <w:t>secretario de acuerdos</w:t>
            </w:r>
            <w:r w:rsidRPr="00921DAB">
              <w:rPr>
                <w:lang w:val="en-GB"/>
              </w:rPr>
              <w:t>’, ‘</w:t>
            </w:r>
            <w:r w:rsidRPr="00921DAB">
              <w:rPr>
                <w:i/>
                <w:lang w:val="en-GB"/>
              </w:rPr>
              <w:t>greffiers’</w:t>
            </w:r>
            <w:r w:rsidRPr="00921DAB">
              <w:rPr>
                <w:lang w:val="en-GB"/>
              </w:rPr>
              <w:t>, ‘</w:t>
            </w:r>
            <w:r w:rsidRPr="00921DAB">
              <w:rPr>
                <w:rFonts w:ascii="Arial" w:hAnsi="Arial" w:cs="Arial"/>
                <w:szCs w:val="20"/>
                <w:rtl/>
              </w:rPr>
              <w:t>المسجلون</w:t>
            </w:r>
            <w:r w:rsidRPr="00921DAB">
              <w:rPr>
                <w:lang w:val="en-GB"/>
              </w:rPr>
              <w:t>’): A registrar is a judicial officer of the court entrusted with judicial or quasi-judicial functions who has autonomous competence. A registrar’s decisions may be subject to appeal in certain circumstances.</w:t>
            </w:r>
          </w:p>
          <w:p w14:paraId="52D2574E" w14:textId="77777777" w:rsidR="00BD06C4" w:rsidRPr="00921DAB" w:rsidRDefault="00BD06C4" w:rsidP="00BD06C4">
            <w:pPr>
              <w:pStyle w:val="NoSpacing"/>
              <w:rPr>
                <w:lang w:val="en-GB"/>
              </w:rPr>
            </w:pPr>
          </w:p>
          <w:p w14:paraId="6A6C3E33" w14:textId="77777777" w:rsidR="00BD06C4" w:rsidRPr="00921DAB" w:rsidRDefault="00BD06C4" w:rsidP="00BD06C4">
            <w:pPr>
              <w:pStyle w:val="NoSpacing"/>
              <w:numPr>
                <w:ilvl w:val="0"/>
                <w:numId w:val="117"/>
              </w:numPr>
              <w:rPr>
                <w:bCs/>
                <w:lang w:val="en-GB"/>
              </w:rPr>
            </w:pPr>
            <w:r w:rsidRPr="00921DAB">
              <w:rPr>
                <w:b/>
                <w:i/>
                <w:iCs/>
                <w:lang w:val="en-GB"/>
              </w:rPr>
              <w:t>Definition of “youth”:</w:t>
            </w:r>
            <w:r w:rsidRPr="00921DAB">
              <w:rPr>
                <w:bCs/>
                <w:lang w:val="en-GB"/>
              </w:rPr>
              <w:t xml:space="preserve"> youth for the purpose of this indicator is defined as 44 years old and below, because positions in the judiciary require training and experience. This cutoff also provides consistency with sub-component (a) of SDG 16.7.1 on parliaments which uses a similar cutoff for ‘youth’, based on the Interparliamentary Union’s definition of ‘young MPs’ as MPs aged 45 and below (see metadata for SDG indicator 16.7.1(a)).</w:t>
            </w:r>
          </w:p>
          <w:p w14:paraId="559B15D3" w14:textId="77777777" w:rsidR="00BD06C4" w:rsidRPr="00921DAB" w:rsidRDefault="00BD06C4" w:rsidP="00BD06C4">
            <w:pPr>
              <w:pStyle w:val="NoSpacing"/>
              <w:rPr>
                <w:bCs/>
                <w:lang w:val="en-GB"/>
              </w:rPr>
            </w:pPr>
          </w:p>
          <w:p w14:paraId="39A11DB0" w14:textId="77777777" w:rsidR="00BD06C4" w:rsidRPr="00921DAB" w:rsidRDefault="00BD06C4" w:rsidP="00BD06C4">
            <w:pPr>
              <w:pStyle w:val="NoSpacing"/>
              <w:numPr>
                <w:ilvl w:val="0"/>
                <w:numId w:val="117"/>
              </w:numPr>
              <w:rPr>
                <w:bCs/>
                <w:lang w:val="en-GB"/>
              </w:rPr>
            </w:pPr>
            <w:r w:rsidRPr="00921DAB">
              <w:rPr>
                <w:b/>
                <w:i/>
                <w:iCs/>
                <w:lang w:val="en-GB"/>
              </w:rPr>
              <w:t>Information for part-time positions should be given in full-time equivalents</w:t>
            </w:r>
            <w:r w:rsidRPr="00921DAB">
              <w:rPr>
                <w:bCs/>
                <w:lang w:val="en-GB"/>
              </w:rPr>
              <w:t xml:space="preserve"> and should be counted only for permanent posts actually filled. </w:t>
            </w:r>
            <w:r w:rsidRPr="00921DAB">
              <w:rPr>
                <w:bCs/>
                <w:i/>
                <w:lang w:val="en-GB"/>
              </w:rPr>
              <w:t>It is important to consider the part-time or full-time status of posts</w:t>
            </w:r>
            <w:r w:rsidRPr="00921DAB">
              <w:rPr>
                <w:bCs/>
                <w:lang w:val="en-GB"/>
              </w:rPr>
              <w:t xml:space="preserve"> to address the risk that some target groups may be underemployed and over-reported (e.g., if women are more likely to receive part-time posts than full-time posts, there might be a false impression that women are equally represented in those posts, when in reality they adjudicate a smaller portion of cases than their male counterparts due to their part-time status).  </w:t>
            </w:r>
          </w:p>
          <w:p w14:paraId="74FCC133" w14:textId="77777777" w:rsidR="00BD06C4" w:rsidRPr="00921DAB" w:rsidRDefault="00BD06C4" w:rsidP="00BD06C4">
            <w:pPr>
              <w:pStyle w:val="NoSpacing"/>
              <w:rPr>
                <w:bCs/>
                <w:lang w:val="en-GB"/>
              </w:rPr>
            </w:pPr>
          </w:p>
          <w:p w14:paraId="1F8CC0AF" w14:textId="77777777" w:rsidR="00BD06C4" w:rsidRPr="00921DAB" w:rsidRDefault="00BD06C4" w:rsidP="00BD06C4">
            <w:pPr>
              <w:pStyle w:val="NoSpacing"/>
              <w:numPr>
                <w:ilvl w:val="0"/>
                <w:numId w:val="117"/>
              </w:numPr>
              <w:rPr>
                <w:lang w:val="en-GB"/>
              </w:rPr>
            </w:pPr>
            <w:r w:rsidRPr="00921DAB">
              <w:rPr>
                <w:b/>
                <w:bCs/>
                <w:i/>
              </w:rPr>
              <w:t>D</w:t>
            </w:r>
            <w:r w:rsidRPr="00921DAB">
              <w:rPr>
                <w:b/>
                <w:bCs/>
                <w:i/>
                <w:lang w:val="en-GB"/>
              </w:rPr>
              <w:t>isability status:</w:t>
            </w:r>
            <w:r w:rsidRPr="00921DAB">
              <w:rPr>
                <w:b/>
                <w:bCs/>
                <w:lang w:val="en-GB"/>
              </w:rPr>
              <w:t xml:space="preserve"> </w:t>
            </w:r>
            <w:r w:rsidRPr="00921DAB">
              <w:t xml:space="preserve">To disaggregate data on judges and registrars by disability status, it is recommended that countries use the </w:t>
            </w:r>
            <w:hyperlink r:id="rId138" w:history="1">
              <w:r w:rsidRPr="00921DAB">
                <w:rPr>
                  <w:rStyle w:val="Hyperlink"/>
                </w:rPr>
                <w:t>Short Set of Questions on</w:t>
              </w:r>
              <w:r w:rsidRPr="00921DAB">
                <w:rPr>
                  <w:rStyle w:val="Hyperlink"/>
                  <w:b/>
                </w:rPr>
                <w:t xml:space="preserve"> </w:t>
              </w:r>
              <w:r w:rsidRPr="00921DAB">
                <w:rPr>
                  <w:rStyle w:val="Hyperlink"/>
                </w:rPr>
                <w:t>Disability</w:t>
              </w:r>
              <w:r w:rsidRPr="00921DAB">
                <w:rPr>
                  <w:rStyle w:val="Hyperlink"/>
                  <w:b/>
                </w:rPr>
                <w:t xml:space="preserve"> </w:t>
              </w:r>
              <w:r w:rsidRPr="00921DAB">
                <w:rPr>
                  <w:rStyle w:val="Hyperlink"/>
                </w:rPr>
                <w:t>elaborated by the Washington Group</w:t>
              </w:r>
            </w:hyperlink>
            <w:r w:rsidRPr="00921DAB">
              <w:rPr>
                <w:u w:val="single"/>
              </w:rPr>
              <w:t>.</w:t>
            </w:r>
            <w:r w:rsidRPr="00921DAB">
              <w:rPr>
                <w:vertAlign w:val="superscript"/>
              </w:rPr>
              <w:footnoteReference w:id="90"/>
            </w:r>
          </w:p>
          <w:p w14:paraId="75C8B67D" w14:textId="77777777" w:rsidR="00BD06C4" w:rsidRPr="00921DAB" w:rsidRDefault="00BD06C4" w:rsidP="00BD06C4">
            <w:pPr>
              <w:pStyle w:val="NoSpacing"/>
              <w:rPr>
                <w:lang w:val="en-GB"/>
              </w:rPr>
            </w:pPr>
          </w:p>
          <w:p w14:paraId="300DCD1A" w14:textId="77777777" w:rsidR="00BD06C4" w:rsidRPr="00921DAB" w:rsidRDefault="00BD06C4" w:rsidP="00BD06C4">
            <w:pPr>
              <w:pStyle w:val="NoSpacing"/>
              <w:rPr>
                <w:lang w:val="en-GB"/>
              </w:rPr>
            </w:pPr>
          </w:p>
          <w:p w14:paraId="1C82234F" w14:textId="77777777" w:rsidR="00BD06C4" w:rsidRPr="00921DAB" w:rsidRDefault="00BD06C4" w:rsidP="00BD06C4">
            <w:pPr>
              <w:pStyle w:val="NoSpacing"/>
              <w:rPr>
                <w:lang w:val="en-GB"/>
              </w:rPr>
            </w:pPr>
            <w:r w:rsidRPr="00921DAB">
              <w:rPr>
                <w:b/>
                <w:bCs/>
                <w:lang w:val="en-GB"/>
              </w:rPr>
              <w:t>Comments and limitations:</w:t>
            </w:r>
          </w:p>
          <w:p w14:paraId="47913E67" w14:textId="77777777" w:rsidR="00BD06C4" w:rsidRPr="00921DAB" w:rsidRDefault="00BD06C4" w:rsidP="00BD06C4">
            <w:pPr>
              <w:pStyle w:val="NoSpacing"/>
              <w:rPr>
                <w:lang w:val="en-GB"/>
              </w:rPr>
            </w:pPr>
          </w:p>
          <w:p w14:paraId="2A13D1CE" w14:textId="77777777" w:rsidR="00BD06C4" w:rsidRPr="00921DAB" w:rsidRDefault="00BD06C4" w:rsidP="00BD06C4">
            <w:pPr>
              <w:pStyle w:val="NoSpacing"/>
              <w:numPr>
                <w:ilvl w:val="0"/>
                <w:numId w:val="117"/>
              </w:numPr>
              <w:rPr>
                <w:lang w:val="en-GB"/>
              </w:rPr>
            </w:pPr>
            <w:r w:rsidRPr="00921DAB">
              <w:rPr>
                <w:b/>
                <w:bCs/>
                <w:i/>
                <w:iCs/>
                <w:lang w:val="en-GB"/>
              </w:rPr>
              <w:t>Tokenism:</w:t>
            </w:r>
            <w:r w:rsidRPr="00921DAB">
              <w:rPr>
                <w:lang w:val="en-GB"/>
              </w:rPr>
              <w:t xml:space="preserve"> While the indicator provides a good measure of progress in overcoming historical or ongoing discrimination, it cannot detect tokenism where official job titles mask a lack of influence in practice or other forms of discrimination within the judiciary that may affect the ability of certain judges or registrars to participate in decision-making. For example, women in the judiciary may face institutional, cultural, or other constraints that restrict them from exercising their decision-making power.</w:t>
            </w:r>
            <w:r w:rsidRPr="00921DAB">
              <w:rPr>
                <w:vertAlign w:val="superscript"/>
                <w:lang w:val="en-GB"/>
              </w:rPr>
              <w:footnoteReference w:id="91"/>
            </w:r>
            <w:r w:rsidRPr="00921DAB">
              <w:rPr>
                <w:lang w:val="en-GB"/>
              </w:rPr>
              <w:t xml:space="preserve"> IDLO’s Women Delivering Justice Report (2018) notes that stereotypes in certain jurisdictions might dictate that women can rule on family court cases, but that they are not suited to decide criminal cases because of the perceived danger of such roles.</w:t>
            </w:r>
            <w:r w:rsidRPr="00921DAB">
              <w:rPr>
                <w:vertAlign w:val="superscript"/>
                <w:lang w:val="en-GB"/>
              </w:rPr>
              <w:footnoteReference w:id="92"/>
            </w:r>
            <w:r w:rsidRPr="00921DAB">
              <w:rPr>
                <w:lang w:val="en-GB"/>
              </w:rPr>
              <w:t xml:space="preserve"> </w:t>
            </w:r>
          </w:p>
          <w:p w14:paraId="5564A440" w14:textId="77777777" w:rsidR="00BD06C4" w:rsidRPr="00921DAB" w:rsidRDefault="00BD06C4" w:rsidP="00BD06C4">
            <w:pPr>
              <w:pStyle w:val="NoSpacing"/>
              <w:rPr>
                <w:lang w:val="en-GB"/>
              </w:rPr>
            </w:pPr>
          </w:p>
          <w:p w14:paraId="10FE11FB" w14:textId="77777777" w:rsidR="00BD06C4" w:rsidRPr="00921DAB" w:rsidRDefault="00BD06C4" w:rsidP="00BD06C4">
            <w:pPr>
              <w:pStyle w:val="NoSpacing"/>
              <w:numPr>
                <w:ilvl w:val="0"/>
                <w:numId w:val="117"/>
              </w:numPr>
              <w:rPr>
                <w:lang w:val="en-GB"/>
              </w:rPr>
            </w:pPr>
            <w:r w:rsidRPr="00921DAB">
              <w:rPr>
                <w:b/>
                <w:i/>
                <w:iCs/>
                <w:lang w:val="en-GB"/>
              </w:rPr>
              <w:t xml:space="preserve">Rationale for computing ratios rather than proportions: </w:t>
            </w:r>
            <w:r w:rsidRPr="00921DAB">
              <w:rPr>
                <w:bCs/>
                <w:lang w:val="en-GB"/>
              </w:rPr>
              <w:t>It may be noted that the below computation methods lead to ratios rather than simple proportions. The rationale for this is simple:</w:t>
            </w:r>
            <w:r w:rsidRPr="00921DAB">
              <w:rPr>
                <w:bCs/>
                <w:i/>
                <w:iCs/>
                <w:lang w:val="en-GB"/>
              </w:rPr>
              <w:t xml:space="preserve">  </w:t>
            </w:r>
            <w:r w:rsidRPr="00921DAB">
              <w:rPr>
                <w:bCs/>
                <w:lang w:val="en-GB"/>
              </w:rPr>
              <w:t>While a simple proportion of ‘young’ judges in the judiciary is not internationally comparable, a ratio computed using the above formula is. For instance, 48% of ‘young’ judges (aged 44 or below) may be an</w:t>
            </w:r>
            <w:r w:rsidRPr="00921DAB">
              <w:rPr>
                <w:lang w:val="en-GB"/>
              </w:rPr>
              <w:t xml:space="preserve"> overrepresentation of youth in country A where only 30% of the national population of working-age falls in this age bracket (Ratio = 48/30 = 1.6), but in country B where 70% of the national population of working-age is aged 44 and below, the same 48% would be interpreted as under-representation (Ratio = 48/70 = 0.69). In this example, the figure of 48% is not internationally comparable in relation to the national population (it means over-representation in one country and under-representation in another), but the ratios 1.6 and 0.69 </w:t>
            </w:r>
            <w:r w:rsidRPr="00921DAB">
              <w:rPr>
                <w:i/>
                <w:lang w:val="en-GB"/>
              </w:rPr>
              <w:t xml:space="preserve">are </w:t>
            </w:r>
            <w:r w:rsidRPr="00921DAB">
              <w:rPr>
                <w:lang w:val="en-GB"/>
              </w:rPr>
              <w:t xml:space="preserve">internationally comparable. They help us understand whether 48% of judges aged 44 and below is close to, or far from, proportional representation of this age group in the national population. </w:t>
            </w:r>
          </w:p>
          <w:p w14:paraId="7E047EC8" w14:textId="77777777" w:rsidR="00BD06C4" w:rsidRPr="00921DAB" w:rsidRDefault="00BD06C4" w:rsidP="00BD06C4">
            <w:pPr>
              <w:pStyle w:val="NoSpacing"/>
              <w:rPr>
                <w:lang w:val="en-GB"/>
              </w:rPr>
            </w:pPr>
          </w:p>
          <w:p w14:paraId="0D80AC21" w14:textId="77777777" w:rsidR="00BD06C4" w:rsidRPr="00921DAB" w:rsidRDefault="00BD06C4" w:rsidP="00BD06C4">
            <w:pPr>
              <w:pStyle w:val="NoSpacing"/>
              <w:numPr>
                <w:ilvl w:val="0"/>
                <w:numId w:val="117"/>
              </w:numPr>
              <w:rPr>
                <w:lang w:val="en-GB"/>
              </w:rPr>
            </w:pPr>
            <w:r w:rsidRPr="00921DAB">
              <w:rPr>
                <w:b/>
                <w:bCs/>
                <w:i/>
                <w:iCs/>
                <w:lang w:val="en-GB"/>
              </w:rPr>
              <w:t>Sensitivity of collecting disability and population group data</w:t>
            </w:r>
            <w:r w:rsidRPr="00921DAB">
              <w:rPr>
                <w:lang w:val="en-GB"/>
              </w:rPr>
              <w:t>:</w:t>
            </w:r>
            <w:r w:rsidRPr="00921DAB" w:rsidDel="00A55C04">
              <w:rPr>
                <w:lang w:val="en-GB"/>
              </w:rPr>
              <w:t xml:space="preserve"> </w:t>
            </w:r>
            <w:r w:rsidRPr="00921DAB">
              <w:rPr>
                <w:lang w:val="en-GB"/>
              </w:rPr>
              <w:t xml:space="preserve">Data disaggregated by disability and population group may not be readily available in many countries. Collecting this data for judges and registrars may therefore require additional investment in data collection systems, with a corresponding investment in human capacity to analyse the data and use the information generated in recruitment and human resources policies for the judiciary. Moreover, some countries may impose legal restrictions on collecting data on certain target groups (e.g. disability often falls under the umbrella of health data, and is therefore confidential, thus preventing Judicial Services Commissions, Ministries of Justice, or other similar competent bodies from releasing this information even on an anonymous basis; likewise, several countries actively restrict or ban identification of ethnic or religious status, in order to protect vulnerable populations </w:t>
            </w:r>
            <w:r w:rsidRPr="00921DAB">
              <w:rPr>
                <w:lang w:val="en-GB"/>
              </w:rPr>
              <w:lastRenderedPageBreak/>
              <w:t>or discourage inter-ethnic conflict. As such, it is left to the discretion of each country to determine which groups should be highlighted when disaggregating totals for judges and registrars).</w:t>
            </w:r>
            <w:r w:rsidRPr="00921DAB">
              <w:rPr>
                <w:vertAlign w:val="superscript"/>
                <w:lang w:val="en-GB"/>
              </w:rPr>
              <w:footnoteReference w:id="93"/>
            </w:r>
            <w:r w:rsidRPr="00921DAB">
              <w:rPr>
                <w:lang w:val="en-GB"/>
              </w:rPr>
              <w:t xml:space="preserve"> Collecting disaggregated data should be subject to the legality of compiling such data in a particular national context and to a careful assessment of the potential risks of collecting such data for the safety and privacy of respondents. Meanwhile, most countries already produce sex-disaggregated data on judges and registrars and therefore countries are expected at a minimum to be able to report sex-disaggregated data for overall totals of individuals occupying these two positions, as well as for overall totals disaggregated by the three levels of courts cited above.</w:t>
            </w:r>
          </w:p>
          <w:p w14:paraId="1C583001" w14:textId="77777777" w:rsidR="00BD06C4" w:rsidRPr="00921DAB" w:rsidRDefault="00BD06C4" w:rsidP="00BD06C4">
            <w:pPr>
              <w:pStyle w:val="NoSpacing"/>
              <w:rPr>
                <w:lang w:val="en-GB"/>
              </w:rPr>
            </w:pPr>
          </w:p>
          <w:p w14:paraId="7E364ACF" w14:textId="77777777" w:rsidR="00BD06C4" w:rsidRPr="00921DAB" w:rsidRDefault="00BD06C4" w:rsidP="00BD06C4">
            <w:pPr>
              <w:pStyle w:val="NoSpacing"/>
              <w:numPr>
                <w:ilvl w:val="0"/>
                <w:numId w:val="117"/>
              </w:numPr>
              <w:rPr>
                <w:lang w:val="en-GB"/>
              </w:rPr>
            </w:pPr>
            <w:r w:rsidRPr="00921DAB">
              <w:rPr>
                <w:b/>
                <w:bCs/>
                <w:i/>
                <w:iCs/>
                <w:lang w:val="en-GB"/>
              </w:rPr>
              <w:t xml:space="preserve">Rationale for the age disaggregation: </w:t>
            </w:r>
            <w:r w:rsidRPr="00921DAB">
              <w:rPr>
                <w:lang w:val="en-GB"/>
              </w:rPr>
              <w:t xml:space="preserve">The number of young persons in the judiciary tends to be relatively small, particularly in contexts where judges typically assume their position based on seniority. While in such contexts disaggregation on the basis of age may not be very insightful, in others contexts, such as that of new democracies where judges are typically younger, age-disaggregation can be a more meaningful measure of representation. The presence of a large proportion of ‘young’ judges in post-conflict countries, for example, can indicate a country’s investment in its justice system. Even if null values for the number of ‘young’ judges are likely to be common in many countries, there is an inherent awareness-raising value in tracking representation of ‘young’ judges and registrars, to help call attention to the challenges faced by younger age-brackets in accessing decision-making positions. Additionally, age-disaggregated data becomes particularly relevant when considering the intersectionality of age with other demographic variables (e.g. a growing proportion of ‘young’ female judges could signal that a country is making concerted efforts to invest in increasing female participation in decision-making positions over the longer-term). </w:t>
            </w:r>
          </w:p>
          <w:p w14:paraId="03E0ED1A" w14:textId="77777777" w:rsidR="00BD06C4" w:rsidRPr="00921DAB" w:rsidRDefault="00BD06C4" w:rsidP="00BD06C4">
            <w:pPr>
              <w:pStyle w:val="NoSpacing"/>
              <w:rPr>
                <w:lang w:val="en-GB"/>
              </w:rPr>
            </w:pPr>
          </w:p>
          <w:p w14:paraId="66F4A255" w14:textId="77777777" w:rsidR="00BD06C4" w:rsidRPr="00921DAB" w:rsidRDefault="00BD06C4" w:rsidP="00BD06C4">
            <w:pPr>
              <w:pStyle w:val="NoSpacing"/>
              <w:numPr>
                <w:ilvl w:val="0"/>
                <w:numId w:val="117"/>
              </w:numPr>
              <w:rPr>
                <w:lang w:val="en-GB"/>
              </w:rPr>
            </w:pPr>
            <w:r w:rsidRPr="00921DAB">
              <w:rPr>
                <w:b/>
                <w:bCs/>
                <w:i/>
                <w:iCs/>
                <w:lang w:val="en-GB"/>
              </w:rPr>
              <w:t xml:space="preserve">Normative framework: </w:t>
            </w:r>
            <w:r w:rsidRPr="00921DAB">
              <w:rPr>
                <w:lang w:val="en-GB"/>
              </w:rPr>
              <w:t xml:space="preserve">Global reporting on this indicator includes data disaggregated by sex, age, disability, and population group. Disaggregated data that allows for comparison of these target groups to understand the situations of specific groups are central </w:t>
            </w:r>
            <w:proofErr w:type="gramStart"/>
            <w:r w:rsidRPr="00921DAB">
              <w:rPr>
                <w:lang w:val="en-GB"/>
              </w:rPr>
              <w:t>to a human-rights</w:t>
            </w:r>
            <w:proofErr w:type="gramEnd"/>
            <w:r w:rsidRPr="00921DAB">
              <w:rPr>
                <w:lang w:val="en-GB"/>
              </w:rPr>
              <w:t xml:space="preserve"> based approach to data and form part of countries’ obligations under international human rights treaties. OHCHR guidance on data collection and disaggregation for SDG monitoring urges that capacities and partnerships be developed to enable countries to meet their obligation to collect and publish disaggregated data:</w:t>
            </w:r>
            <w:r w:rsidRPr="00921DAB">
              <w:rPr>
                <w:vertAlign w:val="superscript"/>
                <w:lang w:val="en-GB"/>
              </w:rPr>
              <w:footnoteReference w:id="94"/>
            </w:r>
          </w:p>
          <w:p w14:paraId="5204974E" w14:textId="77777777" w:rsidR="00BD06C4" w:rsidRPr="00921DAB" w:rsidRDefault="00BD06C4" w:rsidP="00BD06C4">
            <w:pPr>
              <w:pStyle w:val="NoSpacing"/>
              <w:numPr>
                <w:ilvl w:val="1"/>
                <w:numId w:val="117"/>
              </w:numPr>
              <w:rPr>
                <w:lang w:val="en-GB"/>
              </w:rPr>
            </w:pPr>
            <w:r w:rsidRPr="00921DAB">
              <w:rPr>
                <w:lang w:val="en-GB"/>
              </w:rPr>
              <w:t>Sex is an important component of SDG indicator 16.7.1(c), as it tracks the extent to which judiciaries are inclusive and representative of women with a view to achieving equal representation of women and men. Women are largely underrepresented in judiciaries, particularly in the highest-level positions, according to A Practitioner’s Toolkit on Women’s Access to Justice Programming (2018), published by UN Women, UNDP, UNODC, and OHCHR. Sex-</w:t>
            </w:r>
            <w:r w:rsidRPr="00921DAB">
              <w:rPr>
                <w:lang w:val="en-GB"/>
              </w:rPr>
              <w:lastRenderedPageBreak/>
              <w:t xml:space="preserve">disaggregated data on individuals occupying decision-making and leadership positions in the judiciary can shed light on the existence of gender-based inequalities in accessing such positions. The Convention on the Elimination of All Forms of Discrimination Against Women (1979) provides the basis for realizing equality between women and men through ensuring women's equal access to, and equal opportunities in, political and public life, including the right to participate in the formulation of government policy and the implementation thereof and to hold public office and perform all public functions at all levels of government (Article 7). States parties agree to take all appropriate measures to overcome historical discrimination against women and obstacles to women’s participation in decision-making processes (Article 8), including legislation and temporary special measures (Article 4). The Beijing Declaration and Platform for Action (1995) also calls on governments to ensure women’s equal access to and full participation in power structures and decision-making, including in the judiciary, by setting specific targets and implementing measures to substantially increase the number of women in all governmental positions. </w:t>
            </w:r>
          </w:p>
          <w:p w14:paraId="152D71EA" w14:textId="77777777" w:rsidR="00BD06C4" w:rsidRPr="00921DAB" w:rsidRDefault="00BD06C4" w:rsidP="00BD06C4">
            <w:pPr>
              <w:pStyle w:val="NoSpacing"/>
              <w:numPr>
                <w:ilvl w:val="1"/>
                <w:numId w:val="117"/>
              </w:numPr>
              <w:rPr>
                <w:lang w:val="en-GB"/>
              </w:rPr>
            </w:pPr>
            <w:r w:rsidRPr="00921DAB">
              <w:rPr>
                <w:lang w:val="en-GB"/>
              </w:rPr>
              <w:t>Age: Security Council Resolution 2250 of 2015 urges Member States to consider ways to increase inclusive representation of youth in decision-making at all levels in local, national, regional, and international institutions and mechanisms for the prevention and resolution of conflict and to counter violent extremism.</w:t>
            </w:r>
          </w:p>
          <w:p w14:paraId="0B77EB0A" w14:textId="77777777" w:rsidR="00BD06C4" w:rsidRPr="00921DAB" w:rsidRDefault="00BD06C4" w:rsidP="00BD06C4">
            <w:pPr>
              <w:pStyle w:val="NoSpacing"/>
              <w:numPr>
                <w:ilvl w:val="1"/>
                <w:numId w:val="117"/>
              </w:numPr>
              <w:rPr>
                <w:lang w:val="en-GB"/>
              </w:rPr>
            </w:pPr>
            <w:r w:rsidRPr="00921DAB">
              <w:rPr>
                <w:lang w:val="en-GB"/>
              </w:rPr>
              <w:t>Disability: The United Nations Convention on the Rights of Persons with Disabilities (2006) calls upon State Parties to ensure that persons with disabilities</w:t>
            </w:r>
            <w:r w:rsidRPr="00921DAB">
              <w:rPr>
                <w:vertAlign w:val="superscript"/>
              </w:rPr>
              <w:footnoteReference w:id="95"/>
            </w:r>
            <w:r w:rsidRPr="00921DAB">
              <w:rPr>
                <w:lang w:val="en-GB"/>
              </w:rPr>
              <w:t xml:space="preserve"> can effectively and fully participate in political and public life on an equal basis with others. General Comment No. 7 (2018) on Article 4.3 and 33.3 on the participation of persons with disabilities in the implementation and monitoring of the Convention, drafted by the Committee on the Rights of Persons with Disabilities, acknowledges the positive impact that the participation of persons with disabilities has on decision-making processes. Their involvement in all forms of decision-making empowers persons with disability to convey their views and lived experiences, enabling them to advocate for their rights and realize their aspirations. Moreover, participation of persons with disability is a critical component of good governance and democracy, as it helps to hold authorities accountable to their commitments in this area, to make them more responsive to the requirements of persons with disability, and to promote and protect the rights of such persons. Persons with disabilities are consistently under-represented in decision-making processes, as is noted in UNDP’s Disability Inclusive Development Report: Guidance and Entry Points (2018). Persons with disabilities face significant challenges and barriers to their inclusion and ability to fully participate in society. Employment rates for persons with disability are lower than for persons without disabilities, and equal and effective access to justice can be a </w:t>
            </w:r>
            <w:r w:rsidRPr="00921DAB">
              <w:rPr>
                <w:lang w:val="en-GB"/>
              </w:rPr>
              <w:lastRenderedPageBreak/>
              <w:t xml:space="preserve">significant obstacle for persons with disabilities. As part of the emphasis across the 2030 Agenda to ‘leave no one behind,’ participation and representation of persons with disability in public institutions and decision-making processes, including in the judiciary, is crucial to reaching those that are often left furthest behind. </w:t>
            </w:r>
          </w:p>
          <w:p w14:paraId="1280879F" w14:textId="77777777" w:rsidR="00BD06C4" w:rsidRPr="00921DAB" w:rsidRDefault="00BD06C4" w:rsidP="00BD06C4">
            <w:pPr>
              <w:pStyle w:val="NoSpacing"/>
              <w:numPr>
                <w:ilvl w:val="1"/>
                <w:numId w:val="117"/>
              </w:numPr>
              <w:rPr>
                <w:lang w:val="en-GB"/>
              </w:rPr>
            </w:pPr>
            <w:r w:rsidRPr="00921DAB">
              <w:rPr>
                <w:lang w:val="en-GB"/>
              </w:rPr>
              <w:t>Population groups: The collection of data on relevant population groups</w:t>
            </w:r>
            <w:r w:rsidRPr="00921DAB">
              <w:rPr>
                <w:vertAlign w:val="superscript"/>
                <w:lang w:val="en-GB"/>
              </w:rPr>
              <w:footnoteReference w:id="96"/>
            </w:r>
            <w:r w:rsidRPr="00921DAB">
              <w:rPr>
                <w:lang w:val="en-GB"/>
              </w:rPr>
              <w:t xml:space="preserve"> occupying decision-making and leadership positions in the judiciary is critical to assessing the inclusivity and representativeness of judiciaries. Increased judicial diversity with respect to populations groups strengthens the ability of judicial mechanisms to consider and respond to varied social contexts and experiences, which improves the justice sector’s responses to the needs of vulnerable and marginalized groups. When various national population groups are well-represented among judges and registrars, this can in turn improve access to justice by these various groups. Representative decision-making builds confidence among population groups and supports social cohesion and the ‘sustaining peace’ framework.</w:t>
            </w:r>
            <w:r w:rsidRPr="00921DAB">
              <w:rPr>
                <w:vertAlign w:val="superscript"/>
                <w:lang w:val="en-GB"/>
              </w:rPr>
              <w:footnoteReference w:id="97"/>
            </w:r>
            <w:r w:rsidRPr="00921DAB">
              <w:rPr>
                <w:lang w:val="en-GB"/>
              </w:rPr>
              <w:t xml:space="preserve"> Notably, the World Bank’s Pathways for Peace study stressed the centrality of inclusion in the justice and security sectors to the prevention of conflict. The International Convention on the Elimination of All Forms of Racial Discrimination (1965); Declaration on the Rights of Persons belonging to National or Ethnic, Religious and Linguistic Minorities (1992); and the Declaration on the Rights of Indigenous Peoples (2007) provide that persons belonging to racial and minority groups and indigenous peoples have the right to participate in the political, economic, social, and cultural life of the State. </w:t>
            </w:r>
          </w:p>
          <w:p w14:paraId="67DF9FF2" w14:textId="77777777" w:rsidR="00BD06C4" w:rsidRDefault="00BD06C4" w:rsidP="00BD06C4">
            <w:pPr>
              <w:pStyle w:val="NoSpacing"/>
            </w:pPr>
            <w:r>
              <w:t>Computation Method:</w:t>
            </w:r>
          </w:p>
          <w:p w14:paraId="0908082B" w14:textId="77777777" w:rsidR="00BD06C4" w:rsidRDefault="00BD06C4" w:rsidP="00BD06C4">
            <w:pPr>
              <w:pStyle w:val="NoSpacing"/>
            </w:pPr>
          </w:p>
          <w:p w14:paraId="142E19C3" w14:textId="77777777" w:rsidR="00BD06C4" w:rsidRPr="000A4C02" w:rsidRDefault="00BD06C4" w:rsidP="00BD06C4">
            <w:pPr>
              <w:pStyle w:val="NoSpacing"/>
            </w:pPr>
            <w:r>
              <w:t>Indicator 16.7.1(c) aims to compare the proportion of various demographic groups (by sex, age, disability status, and population group) represented in the judiciary, with the proportion of these same groups in the national population. More specifically, the proportional representation of these groups assessed across two key decision-making positions in the judiciary (judges and registrars) as well as across three ‘levels’ of courts.</w:t>
            </w:r>
          </w:p>
        </w:tc>
        <w:tc>
          <w:tcPr>
            <w:tcW w:w="0" w:type="auto"/>
          </w:tcPr>
          <w:p w14:paraId="479F13E6" w14:textId="77777777" w:rsidR="00BD06C4" w:rsidRDefault="00BD06C4" w:rsidP="00BD06C4">
            <w:pPr>
              <w:pStyle w:val="NoSpacing"/>
            </w:pPr>
            <w:r>
              <w:lastRenderedPageBreak/>
              <w:t>For (a)</w:t>
            </w:r>
          </w:p>
          <w:p w14:paraId="3CCB3206" w14:textId="77777777" w:rsidR="00BD06C4" w:rsidRDefault="00BD06C4" w:rsidP="00BD06C4">
            <w:pPr>
              <w:pStyle w:val="NoSpacing"/>
            </w:pPr>
          </w:p>
          <w:p w14:paraId="5A4AF75B" w14:textId="77777777" w:rsidR="00BD06C4" w:rsidRPr="00670478" w:rsidRDefault="00BD06C4" w:rsidP="00BD06C4">
            <w:pPr>
              <w:pStyle w:val="NoSpacing"/>
            </w:pPr>
            <w:r w:rsidRPr="00670478">
              <w:t>The compilation of data by the Inter-Parliamentary Union uses the following mechanisms:</w:t>
            </w:r>
          </w:p>
          <w:p w14:paraId="09003C79" w14:textId="77777777" w:rsidR="00BD06C4" w:rsidRPr="00670478" w:rsidRDefault="00BD06C4" w:rsidP="00BD06C4">
            <w:pPr>
              <w:pStyle w:val="NoSpacing"/>
            </w:pPr>
            <w:r w:rsidRPr="00670478">
              <w:t>data collection forms sent to Parliaments</w:t>
            </w:r>
            <w:r w:rsidRPr="00670478">
              <w:rPr>
                <w:rStyle w:val="FootnoteReference"/>
                <w:vertAlign w:val="baseline"/>
              </w:rPr>
              <w:footnoteReference w:id="98"/>
            </w:r>
            <w:r w:rsidRPr="00670478">
              <w:t xml:space="preserve"> </w:t>
            </w:r>
          </w:p>
          <w:p w14:paraId="691C9C56" w14:textId="77777777" w:rsidR="00BD06C4" w:rsidRPr="00670478" w:rsidRDefault="00BD06C4" w:rsidP="00BD06C4">
            <w:pPr>
              <w:pStyle w:val="NoSpacing"/>
            </w:pPr>
            <w:r w:rsidRPr="00670478">
              <w:lastRenderedPageBreak/>
              <w:t xml:space="preserve">internal review and validation of data obtained from national parliaments by the IPU </w:t>
            </w:r>
          </w:p>
          <w:p w14:paraId="09A679CB" w14:textId="77777777" w:rsidR="00BD06C4" w:rsidRPr="00670478" w:rsidRDefault="00BD06C4" w:rsidP="00BD06C4">
            <w:pPr>
              <w:pStyle w:val="NoSpacing"/>
            </w:pPr>
            <w:r w:rsidRPr="00670478">
              <w:t>on-line dissemination of data by IPU on New PARLINE</w:t>
            </w:r>
          </w:p>
          <w:p w14:paraId="529B1F76" w14:textId="77777777" w:rsidR="00BD06C4" w:rsidRPr="00670478" w:rsidRDefault="00BD06C4" w:rsidP="00BD06C4">
            <w:pPr>
              <w:pStyle w:val="NoSpacing"/>
            </w:pPr>
            <w:r w:rsidRPr="00670478">
              <w:t xml:space="preserve">For </w:t>
            </w:r>
          </w:p>
          <w:p w14:paraId="2412CCFB" w14:textId="77777777" w:rsidR="00BD06C4" w:rsidRDefault="00BD06C4" w:rsidP="00BD06C4">
            <w:pPr>
              <w:pStyle w:val="NoSpacing"/>
            </w:pPr>
          </w:p>
          <w:p w14:paraId="004E8E3B" w14:textId="77777777" w:rsidR="00BD06C4" w:rsidRDefault="00BD06C4" w:rsidP="00BD06C4">
            <w:pPr>
              <w:pStyle w:val="NoSpacing"/>
            </w:pPr>
          </w:p>
          <w:p w14:paraId="60B32720" w14:textId="77777777" w:rsidR="00BD06C4" w:rsidRDefault="00BD06C4" w:rsidP="00BD06C4">
            <w:pPr>
              <w:pStyle w:val="NoSpacing"/>
            </w:pPr>
          </w:p>
          <w:p w14:paraId="53F0F195" w14:textId="77777777" w:rsidR="00BD06C4" w:rsidRDefault="00BD06C4" w:rsidP="00BD06C4">
            <w:pPr>
              <w:pStyle w:val="NoSpacing"/>
            </w:pPr>
          </w:p>
          <w:p w14:paraId="5D70CC20" w14:textId="77777777" w:rsidR="00BD06C4" w:rsidRDefault="00BD06C4" w:rsidP="00BD06C4">
            <w:pPr>
              <w:pStyle w:val="NoSpacing"/>
            </w:pPr>
          </w:p>
          <w:p w14:paraId="4B53D026" w14:textId="77777777" w:rsidR="00BD06C4" w:rsidRDefault="00BD06C4" w:rsidP="00BD06C4">
            <w:pPr>
              <w:pStyle w:val="NoSpacing"/>
            </w:pPr>
          </w:p>
          <w:p w14:paraId="69652A8D" w14:textId="77777777" w:rsidR="00BD06C4" w:rsidRDefault="00BD06C4" w:rsidP="00BD06C4">
            <w:pPr>
              <w:pStyle w:val="NoSpacing"/>
            </w:pPr>
          </w:p>
          <w:p w14:paraId="691E60E0" w14:textId="77777777" w:rsidR="00BD06C4" w:rsidRDefault="00BD06C4" w:rsidP="00BD06C4">
            <w:pPr>
              <w:pStyle w:val="NoSpacing"/>
            </w:pPr>
          </w:p>
          <w:p w14:paraId="4D7762AB" w14:textId="77777777" w:rsidR="00BD06C4" w:rsidRDefault="00BD06C4" w:rsidP="00BD06C4">
            <w:pPr>
              <w:pStyle w:val="NoSpacing"/>
            </w:pPr>
          </w:p>
          <w:p w14:paraId="7811062C" w14:textId="77777777" w:rsidR="00BD06C4" w:rsidRDefault="00BD06C4" w:rsidP="00BD06C4">
            <w:pPr>
              <w:pStyle w:val="NoSpacing"/>
            </w:pPr>
          </w:p>
          <w:p w14:paraId="4026ADD6" w14:textId="77777777" w:rsidR="00BD06C4" w:rsidRDefault="00BD06C4" w:rsidP="00BD06C4">
            <w:pPr>
              <w:pStyle w:val="NoSpacing"/>
            </w:pPr>
          </w:p>
          <w:p w14:paraId="26E7BB4B" w14:textId="77777777" w:rsidR="00BD06C4" w:rsidRDefault="00BD06C4" w:rsidP="00BD06C4">
            <w:pPr>
              <w:pStyle w:val="NoSpacing"/>
            </w:pPr>
          </w:p>
          <w:p w14:paraId="2308E9D7" w14:textId="77777777" w:rsidR="00BD06C4" w:rsidRDefault="00BD06C4" w:rsidP="00BD06C4">
            <w:pPr>
              <w:pStyle w:val="NoSpacing"/>
            </w:pPr>
          </w:p>
          <w:p w14:paraId="27FF9C6C" w14:textId="77777777" w:rsidR="00BD06C4" w:rsidRDefault="00BD06C4" w:rsidP="00BD06C4">
            <w:pPr>
              <w:pStyle w:val="NoSpacing"/>
            </w:pPr>
          </w:p>
          <w:p w14:paraId="1420A15F" w14:textId="77777777" w:rsidR="00BD06C4" w:rsidRDefault="00BD06C4" w:rsidP="00BD06C4">
            <w:pPr>
              <w:pStyle w:val="NoSpacing"/>
            </w:pPr>
          </w:p>
          <w:p w14:paraId="42DB6D96" w14:textId="77777777" w:rsidR="00BD06C4" w:rsidRDefault="00BD06C4" w:rsidP="00BD06C4">
            <w:pPr>
              <w:pStyle w:val="NoSpacing"/>
            </w:pPr>
          </w:p>
          <w:p w14:paraId="7707F68B" w14:textId="77777777" w:rsidR="00BD06C4" w:rsidRDefault="00BD06C4" w:rsidP="00BD06C4">
            <w:pPr>
              <w:pStyle w:val="NoSpacing"/>
            </w:pPr>
          </w:p>
          <w:p w14:paraId="078A37A6" w14:textId="77777777" w:rsidR="00BD06C4" w:rsidRPr="00670478" w:rsidRDefault="00BD06C4" w:rsidP="00BD06C4">
            <w:pPr>
              <w:pStyle w:val="NoSpacing"/>
            </w:pPr>
          </w:p>
          <w:p w14:paraId="5C85863D" w14:textId="77777777" w:rsidR="00BD06C4" w:rsidRPr="00670478" w:rsidRDefault="00BD06C4" w:rsidP="00BD06C4">
            <w:pPr>
              <w:pStyle w:val="NoSpacing"/>
            </w:pPr>
          </w:p>
          <w:p w14:paraId="097BAF13" w14:textId="77777777" w:rsidR="00BD06C4" w:rsidRPr="00670478" w:rsidRDefault="00BD06C4" w:rsidP="00BD06C4">
            <w:pPr>
              <w:pStyle w:val="NoSpacing"/>
            </w:pPr>
            <w:r w:rsidRPr="00670478">
              <w:t>For (b)</w:t>
            </w:r>
          </w:p>
          <w:p w14:paraId="68F8285E" w14:textId="77777777" w:rsidR="00BD06C4" w:rsidRPr="00670478" w:rsidRDefault="00BD06C4" w:rsidP="00BD06C4">
            <w:pPr>
              <w:pStyle w:val="NoSpacing"/>
            </w:pPr>
            <w:r w:rsidRPr="00670478">
              <w:t xml:space="preserve">NSOs should coordinate with primary data-producing entities at </w:t>
            </w:r>
            <w:r w:rsidRPr="00670478">
              <w:lastRenderedPageBreak/>
              <w:t>national and sub-national levels:</w:t>
            </w:r>
          </w:p>
          <w:p w14:paraId="13318E65" w14:textId="77777777" w:rsidR="00BD06C4" w:rsidRPr="00670478" w:rsidRDefault="00BD06C4" w:rsidP="00BD06C4">
            <w:pPr>
              <w:pStyle w:val="NoSpacing"/>
            </w:pPr>
            <w:r w:rsidRPr="00670478">
              <w:t>Public Service Commissions (or responsible bodies producing public servant data) should submit all relevant data to the NSO. If a different institution produces public service data at sub-national level (such as a Ministry of Local Government or a Ministry of Municipal Affairs), this institution should submit all relevant data to the NSO.</w:t>
            </w:r>
          </w:p>
          <w:p w14:paraId="6F306FE9" w14:textId="77777777" w:rsidR="00BD06C4" w:rsidRPr="00670478" w:rsidRDefault="00BD06C4" w:rsidP="00BD06C4">
            <w:pPr>
              <w:pStyle w:val="NoSpacing"/>
            </w:pPr>
            <w:r w:rsidRPr="00670478">
              <w:t>Similarly, if a different institution produces data on police personnel (such as a Police Services Commission or the like), this institution should also submit all relevant data to the NSO.</w:t>
            </w:r>
          </w:p>
          <w:p w14:paraId="304238D4" w14:textId="77777777" w:rsidR="00BD06C4" w:rsidRPr="00670478" w:rsidRDefault="00BD06C4" w:rsidP="00BD06C4">
            <w:pPr>
              <w:pStyle w:val="NoSpacing"/>
            </w:pPr>
            <w:r w:rsidRPr="00670478">
              <w:lastRenderedPageBreak/>
              <w:t xml:space="preserve">NSOs, as the main coordinator of the national statistical system, should quality assure the content of the Data Reporting Form before submitting it for SDG reporting at the international level. </w:t>
            </w:r>
          </w:p>
          <w:p w14:paraId="778AE82A" w14:textId="77777777" w:rsidR="00BD06C4" w:rsidRDefault="00BD06C4" w:rsidP="00BD06C4">
            <w:pPr>
              <w:pStyle w:val="NoSpacing"/>
            </w:pPr>
          </w:p>
          <w:p w14:paraId="26F99A95" w14:textId="77777777" w:rsidR="00BD06C4" w:rsidRDefault="00BD06C4" w:rsidP="00BD06C4">
            <w:pPr>
              <w:pStyle w:val="NoSpacing"/>
            </w:pPr>
          </w:p>
          <w:p w14:paraId="50ABFB67" w14:textId="77777777" w:rsidR="00BD06C4" w:rsidRDefault="00BD06C4" w:rsidP="00BD06C4">
            <w:pPr>
              <w:pStyle w:val="NoSpacing"/>
            </w:pPr>
          </w:p>
          <w:p w14:paraId="70D87DE0" w14:textId="77777777" w:rsidR="00BD06C4" w:rsidRDefault="00BD06C4" w:rsidP="00BD06C4">
            <w:pPr>
              <w:pStyle w:val="NoSpacing"/>
            </w:pPr>
          </w:p>
          <w:p w14:paraId="3C61E3F3" w14:textId="77777777" w:rsidR="00BD06C4" w:rsidRDefault="00BD06C4" w:rsidP="00BD06C4">
            <w:pPr>
              <w:pStyle w:val="NoSpacing"/>
            </w:pPr>
            <w:r>
              <w:t>For (c)</w:t>
            </w:r>
          </w:p>
          <w:p w14:paraId="1272B892" w14:textId="77777777" w:rsidR="00BD06C4" w:rsidRPr="00670478" w:rsidRDefault="00BD06C4" w:rsidP="00BD06C4">
            <w:pPr>
              <w:pStyle w:val="NoSpacing"/>
              <w:rPr>
                <w:lang w:val="en-GB"/>
              </w:rPr>
            </w:pPr>
            <w:r w:rsidRPr="00670478">
              <w:rPr>
                <w:lang w:val="en-GB"/>
              </w:rPr>
              <w:t xml:space="preserve">NSOs should coordinate with primary data-producing entities to report on this indicator. Data obtained from national judiciaries will be compiled, reviewed and validated by NSOs. </w:t>
            </w:r>
          </w:p>
          <w:p w14:paraId="561F83F7" w14:textId="77777777" w:rsidR="00BD06C4" w:rsidRPr="00670478" w:rsidRDefault="00BD06C4" w:rsidP="00BD06C4">
            <w:pPr>
              <w:pStyle w:val="NoSpacing"/>
            </w:pPr>
          </w:p>
        </w:tc>
        <w:tc>
          <w:tcPr>
            <w:tcW w:w="0" w:type="auto"/>
          </w:tcPr>
          <w:p w14:paraId="12168D26" w14:textId="77777777" w:rsidR="00BD06C4" w:rsidRDefault="00BD06C4" w:rsidP="00BD06C4">
            <w:pPr>
              <w:pStyle w:val="NoSpacing"/>
            </w:pPr>
            <w:r>
              <w:lastRenderedPageBreak/>
              <w:t>For (a)</w:t>
            </w:r>
          </w:p>
          <w:p w14:paraId="0631AC4C" w14:textId="77777777" w:rsidR="00BD06C4" w:rsidRDefault="00BD06C4" w:rsidP="00BD06C4">
            <w:pPr>
              <w:pStyle w:val="NoSpacing"/>
            </w:pPr>
          </w:p>
          <w:p w14:paraId="3AAB89A5" w14:textId="77777777" w:rsidR="00BD06C4" w:rsidRPr="00572966" w:rsidRDefault="00BD06C4" w:rsidP="00BD06C4">
            <w:pPr>
              <w:pStyle w:val="NoSpacing"/>
            </w:pPr>
            <w:r w:rsidRPr="00572966">
              <w:t xml:space="preserve">The Inter-Parliamentary Union is responsible for the provision of data on all dimensions of the indicator. </w:t>
            </w:r>
            <w:r w:rsidRPr="00572966">
              <w:lastRenderedPageBreak/>
              <w:t xml:space="preserve">Most part of the data is already available on New Parline, directly provided by national parliaments. The few remaining data points (on the age and sex of the Chairs of permanent committees on Foreign Affairs, Defence and Finance) will be added to the Platform once the indicator will be upgraded to Tier II. </w:t>
            </w:r>
          </w:p>
          <w:p w14:paraId="61CC54F5" w14:textId="77777777" w:rsidR="00BD06C4" w:rsidRDefault="00BD06C4" w:rsidP="00BD06C4">
            <w:pPr>
              <w:pStyle w:val="NoSpacing"/>
            </w:pPr>
          </w:p>
          <w:p w14:paraId="76E428EC" w14:textId="77777777" w:rsidR="00BD06C4" w:rsidRDefault="00BD06C4" w:rsidP="00BD06C4">
            <w:pPr>
              <w:pStyle w:val="NoSpacing"/>
            </w:pPr>
          </w:p>
          <w:p w14:paraId="2A02D17C" w14:textId="77777777" w:rsidR="00BD06C4" w:rsidRPr="00706D31" w:rsidRDefault="00BD06C4" w:rsidP="00BD06C4">
            <w:pPr>
              <w:pStyle w:val="NoSpacing"/>
            </w:pPr>
            <w:r w:rsidRPr="00706D31">
              <w:t>For (b)</w:t>
            </w:r>
          </w:p>
          <w:p w14:paraId="492B3D51" w14:textId="77777777" w:rsidR="00BD06C4" w:rsidRPr="00B651BD" w:rsidRDefault="00BD06C4" w:rsidP="00BD06C4">
            <w:pPr>
              <w:pStyle w:val="NoSpacing"/>
              <w:rPr>
                <w:rFonts w:ascii="Calibri" w:hAnsi="Calibri" w:cs="Calibri"/>
                <w:iCs/>
                <w:lang w:eastAsia="en-GB"/>
              </w:rPr>
            </w:pPr>
            <w:r w:rsidRPr="00706D31">
              <w:t>National Statistical Offices with relevant primary</w:t>
            </w:r>
            <w:r w:rsidRPr="00B651BD">
              <w:t xml:space="preserve"> data-producing entities at national and sub-national levels</w:t>
            </w:r>
            <w:r>
              <w:t>.</w:t>
            </w:r>
          </w:p>
          <w:p w14:paraId="1ADC19E7" w14:textId="77777777" w:rsidR="00BD06C4" w:rsidRDefault="00BD06C4" w:rsidP="00BD06C4">
            <w:pPr>
              <w:pStyle w:val="NoSpacing"/>
            </w:pPr>
          </w:p>
          <w:p w14:paraId="08DA85B8" w14:textId="77777777" w:rsidR="00BD06C4" w:rsidRDefault="00BD06C4" w:rsidP="00BD06C4">
            <w:pPr>
              <w:pStyle w:val="NoSpacing"/>
            </w:pPr>
          </w:p>
          <w:p w14:paraId="42488C4E" w14:textId="77777777" w:rsidR="00BD06C4" w:rsidRDefault="00BD06C4" w:rsidP="00BD06C4">
            <w:pPr>
              <w:pStyle w:val="NoSpacing"/>
            </w:pPr>
          </w:p>
          <w:p w14:paraId="743B6978" w14:textId="77777777" w:rsidR="00BD06C4" w:rsidRDefault="00BD06C4" w:rsidP="00BD06C4">
            <w:pPr>
              <w:pStyle w:val="NoSpacing"/>
            </w:pPr>
            <w:r>
              <w:t>For (c)</w:t>
            </w:r>
          </w:p>
          <w:p w14:paraId="264A1855" w14:textId="77777777" w:rsidR="00BD06C4" w:rsidRDefault="00BD06C4" w:rsidP="00BD06C4">
            <w:pPr>
              <w:pStyle w:val="NoSpacing"/>
            </w:pPr>
          </w:p>
          <w:p w14:paraId="0394328D" w14:textId="77777777" w:rsidR="00BD06C4" w:rsidRPr="00670478" w:rsidRDefault="00BD06C4" w:rsidP="00BD06C4">
            <w:pPr>
              <w:pStyle w:val="NoSpacing"/>
              <w:rPr>
                <w:lang w:val="en-GB"/>
              </w:rPr>
            </w:pPr>
            <w:r w:rsidRPr="00670478">
              <w:rPr>
                <w:lang w:val="en-GB"/>
              </w:rPr>
              <w:t xml:space="preserve">National Statistical Offices with relevant primary data-producing entities (Judicial Services Commissions - also referred to as Councils of Justice, Councils of the Judiciary, Judicial Offices, Federal Judicial Centres, Ministries of Justice, or other similar competent bodies managing human resources for the judiciary, handling the appointment of judges and registrars, or otherwise having some </w:t>
            </w:r>
            <w:r w:rsidRPr="00670478">
              <w:rPr>
                <w:lang w:val="en-GB"/>
              </w:rPr>
              <w:lastRenderedPageBreak/>
              <w:t xml:space="preserve">oversight role over the judiciary). </w:t>
            </w:r>
          </w:p>
          <w:p w14:paraId="6763EB24" w14:textId="77777777" w:rsidR="00BD06C4" w:rsidRPr="00706D31" w:rsidRDefault="00BD06C4" w:rsidP="00BD06C4">
            <w:pPr>
              <w:pStyle w:val="NoSpacing"/>
            </w:pPr>
          </w:p>
        </w:tc>
        <w:tc>
          <w:tcPr>
            <w:tcW w:w="0" w:type="auto"/>
          </w:tcPr>
          <w:p w14:paraId="7F40AC73" w14:textId="5C007083" w:rsidR="00BD06C4" w:rsidRDefault="00BD06C4" w:rsidP="00BD06C4">
            <w:pPr>
              <w:pStyle w:val="NoSpacing"/>
            </w:pPr>
            <w:r w:rsidRPr="00BC6F10">
              <w:lastRenderedPageBreak/>
              <w:t>a) MoPA</w:t>
            </w:r>
            <w:r w:rsidRPr="00BC6F10">
              <w:br/>
            </w:r>
            <w:r w:rsidRPr="00BC6F10">
              <w:br/>
              <w:t>c) LJD</w:t>
            </w:r>
          </w:p>
          <w:p w14:paraId="6F24B8F3" w14:textId="77777777" w:rsidR="00BD06C4" w:rsidRPr="00BC6F10" w:rsidRDefault="00BD06C4" w:rsidP="00BD06C4">
            <w:pPr>
              <w:pStyle w:val="NoSpacing"/>
            </w:pPr>
            <w:r>
              <w:t>Administrative Data</w:t>
            </w:r>
          </w:p>
        </w:tc>
        <w:tc>
          <w:tcPr>
            <w:tcW w:w="0" w:type="auto"/>
          </w:tcPr>
          <w:p w14:paraId="6ED8482C" w14:textId="77777777" w:rsidR="00BD06C4" w:rsidRDefault="00BD06C4" w:rsidP="00BD06C4">
            <w:pPr>
              <w:pStyle w:val="NoSpacing"/>
            </w:pPr>
            <w:r w:rsidRPr="00BC6F10">
              <w:t>a) MoPA</w:t>
            </w:r>
            <w:r w:rsidRPr="00BC6F10">
              <w:br/>
              <w:t>b) LGD</w:t>
            </w:r>
            <w:r w:rsidRPr="00BC6F10">
              <w:br/>
              <w:t>c) LJD</w:t>
            </w:r>
          </w:p>
          <w:p w14:paraId="7A55B099" w14:textId="77777777" w:rsidR="00BD06C4" w:rsidRPr="00BC6F10" w:rsidRDefault="00BD06C4" w:rsidP="00BD06C4">
            <w:pPr>
              <w:pStyle w:val="NoSpacing"/>
            </w:pPr>
            <w:r>
              <w:t>Administrative Data</w:t>
            </w:r>
          </w:p>
        </w:tc>
        <w:tc>
          <w:tcPr>
            <w:tcW w:w="0" w:type="auto"/>
          </w:tcPr>
          <w:p w14:paraId="4464DE16"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6CA8B93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Age; below 25 yrs/25-34 yrs/35-44 yrs/44-54 yrs/55-64 yrs/64 and above yrs</w:t>
            </w:r>
          </w:p>
          <w:p w14:paraId="1FD79C2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disability: disable/not disable</w:t>
            </w:r>
          </w:p>
          <w:p w14:paraId="2D8D4361"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Religion: Muslim/Hindu/Budhhist/C</w:t>
            </w:r>
            <w:r>
              <w:rPr>
                <w:rFonts w:ascii="Tw Cen MT Condensed" w:hAnsi="Tw Cen MT Condensed"/>
                <w:sz w:val="20"/>
                <w:szCs w:val="20"/>
              </w:rPr>
              <w:lastRenderedPageBreak/>
              <w:t>hristian/others</w:t>
            </w:r>
          </w:p>
          <w:p w14:paraId="1F5EAC38"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Ethnic minority: Ethnic/Non-ethnic</w:t>
            </w:r>
          </w:p>
          <w:p w14:paraId="0E019ADE"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Type of public institution: Civil/Judiciary/Local government</w:t>
            </w:r>
          </w:p>
          <w:p w14:paraId="6E9EE4CD" w14:textId="77777777" w:rsidR="00BD06C4" w:rsidRDefault="00BD06C4" w:rsidP="00BD06C4">
            <w:pPr>
              <w:ind w:left="970" w:hanging="970"/>
              <w:jc w:val="both"/>
              <w:rPr>
                <w:color w:val="0070C0"/>
                <w:sz w:val="30"/>
                <w:szCs w:val="30"/>
              </w:rPr>
            </w:pPr>
          </w:p>
        </w:tc>
        <w:tc>
          <w:tcPr>
            <w:tcW w:w="0" w:type="auto"/>
          </w:tcPr>
          <w:p w14:paraId="60BC887A" w14:textId="77777777" w:rsidR="00BD06C4" w:rsidRDefault="00BD06C4" w:rsidP="00BD06C4">
            <w:pPr>
              <w:ind w:left="970" w:hanging="970"/>
              <w:jc w:val="both"/>
              <w:rPr>
                <w:color w:val="0070C0"/>
                <w:sz w:val="30"/>
                <w:szCs w:val="30"/>
              </w:rPr>
            </w:pPr>
            <w:r>
              <w:lastRenderedPageBreak/>
              <w:t>Annual</w:t>
            </w:r>
          </w:p>
        </w:tc>
        <w:tc>
          <w:tcPr>
            <w:tcW w:w="0" w:type="auto"/>
          </w:tcPr>
          <w:p w14:paraId="3BCCA1D6" w14:textId="77777777" w:rsidR="00BD06C4" w:rsidRDefault="00BD06C4" w:rsidP="00BD06C4">
            <w:pPr>
              <w:ind w:left="970" w:hanging="970"/>
              <w:jc w:val="both"/>
              <w:rPr>
                <w:color w:val="0070C0"/>
                <w:sz w:val="30"/>
                <w:szCs w:val="30"/>
              </w:rPr>
            </w:pPr>
            <w:r>
              <w:t>Group 1</w:t>
            </w:r>
          </w:p>
        </w:tc>
        <w:tc>
          <w:tcPr>
            <w:tcW w:w="0" w:type="auto"/>
          </w:tcPr>
          <w:p w14:paraId="55576C5D" w14:textId="77777777" w:rsidR="00BD06C4" w:rsidRDefault="00BD06C4" w:rsidP="00BD06C4">
            <w:pPr>
              <w:pStyle w:val="NoSpacing"/>
            </w:pPr>
            <w:r>
              <w:t>1</w:t>
            </w:r>
            <w:r w:rsidRPr="00013ACB">
              <w:rPr>
                <w:vertAlign w:val="superscript"/>
              </w:rPr>
              <w:t>st</w:t>
            </w:r>
            <w:r>
              <w:t xml:space="preserve"> Round:</w:t>
            </w:r>
          </w:p>
          <w:p w14:paraId="15E505C7" w14:textId="77777777" w:rsidR="00BD06C4" w:rsidRDefault="00BD06C4" w:rsidP="00BD06C4">
            <w:pPr>
              <w:pStyle w:val="NoSpacing"/>
            </w:pPr>
            <w:r>
              <w:t>2017</w:t>
            </w:r>
          </w:p>
          <w:p w14:paraId="0E1B5C8B" w14:textId="77777777" w:rsidR="00BD06C4" w:rsidRDefault="00BD06C4" w:rsidP="00BD06C4">
            <w:pPr>
              <w:pStyle w:val="NoSpacing"/>
            </w:pPr>
          </w:p>
          <w:p w14:paraId="4AB9EB48" w14:textId="77777777" w:rsidR="00BD06C4" w:rsidRDefault="00BD06C4" w:rsidP="00BD06C4">
            <w:pPr>
              <w:pStyle w:val="NoSpacing"/>
            </w:pPr>
            <w:r>
              <w:t>2</w:t>
            </w:r>
            <w:r w:rsidRPr="00013ACB">
              <w:rPr>
                <w:vertAlign w:val="superscript"/>
              </w:rPr>
              <w:t>nd</w:t>
            </w:r>
            <w:r>
              <w:t xml:space="preserve"> Round:</w:t>
            </w:r>
          </w:p>
          <w:p w14:paraId="5983F821" w14:textId="77777777" w:rsidR="00BD06C4" w:rsidRPr="00C3536E" w:rsidRDefault="00BD06C4" w:rsidP="00BD06C4">
            <w:pPr>
              <w:pStyle w:val="NoSpacing"/>
              <w:rPr>
                <w:b/>
              </w:rPr>
            </w:pPr>
            <w:r>
              <w:t xml:space="preserve"> </w:t>
            </w:r>
            <w:r w:rsidRPr="00C3536E">
              <w:t xml:space="preserve">January, </w:t>
            </w:r>
          </w:p>
          <w:p w14:paraId="36D2F510" w14:textId="77777777" w:rsidR="00BD06C4" w:rsidRDefault="00BD06C4" w:rsidP="00BD06C4">
            <w:pPr>
              <w:pStyle w:val="NoSpacing"/>
            </w:pPr>
            <w:r w:rsidRPr="00C3536E">
              <w:t>2019</w:t>
            </w:r>
          </w:p>
          <w:p w14:paraId="56102FF1" w14:textId="77777777" w:rsidR="00BD06C4" w:rsidRDefault="00BD06C4" w:rsidP="00BD06C4">
            <w:pPr>
              <w:pStyle w:val="NoSpacing"/>
            </w:pPr>
          </w:p>
          <w:p w14:paraId="460C152E" w14:textId="77777777" w:rsidR="00BD06C4" w:rsidRDefault="00BD06C4" w:rsidP="00BD06C4">
            <w:pPr>
              <w:pStyle w:val="NoSpacing"/>
            </w:pPr>
            <w:r>
              <w:t>3</w:t>
            </w:r>
            <w:r w:rsidRPr="00013ACB">
              <w:rPr>
                <w:vertAlign w:val="superscript"/>
              </w:rPr>
              <w:t>rd</w:t>
            </w:r>
            <w:r>
              <w:t xml:space="preserve"> Round: </w:t>
            </w:r>
          </w:p>
          <w:p w14:paraId="58955D60" w14:textId="77777777" w:rsidR="00BD06C4" w:rsidRDefault="00BD06C4" w:rsidP="00BD06C4">
            <w:pPr>
              <w:pStyle w:val="NoSpacing"/>
            </w:pPr>
            <w:r>
              <w:t>June 2020</w:t>
            </w:r>
          </w:p>
          <w:p w14:paraId="752C19A4" w14:textId="77777777" w:rsidR="00BD06C4" w:rsidRDefault="00BD06C4" w:rsidP="00BD06C4">
            <w:pPr>
              <w:pStyle w:val="NoSpacing"/>
            </w:pPr>
          </w:p>
          <w:p w14:paraId="37E0ACC1" w14:textId="77777777" w:rsidR="00BD06C4" w:rsidRDefault="00BD06C4" w:rsidP="00BD06C4">
            <w:pPr>
              <w:pStyle w:val="NoSpacing"/>
            </w:pPr>
            <w:r>
              <w:t>4</w:t>
            </w:r>
            <w:r w:rsidRPr="00013ACB">
              <w:rPr>
                <w:vertAlign w:val="superscript"/>
              </w:rPr>
              <w:t>th</w:t>
            </w:r>
            <w:r>
              <w:t xml:space="preserve"> Round: </w:t>
            </w:r>
          </w:p>
          <w:p w14:paraId="41502B79" w14:textId="77777777" w:rsidR="00BD06C4" w:rsidRDefault="00BD06C4" w:rsidP="00BD06C4">
            <w:pPr>
              <w:pStyle w:val="NoSpacing"/>
            </w:pPr>
            <w:r>
              <w:t>June 2021</w:t>
            </w:r>
          </w:p>
          <w:p w14:paraId="3BA0A61C" w14:textId="77777777" w:rsidR="00BD06C4" w:rsidRDefault="00BD06C4" w:rsidP="00BD06C4">
            <w:pPr>
              <w:pStyle w:val="NoSpacing"/>
            </w:pPr>
          </w:p>
          <w:p w14:paraId="1D116241" w14:textId="77777777" w:rsidR="00BD06C4" w:rsidRDefault="00BD06C4" w:rsidP="00BD06C4">
            <w:pPr>
              <w:pStyle w:val="NoSpacing"/>
            </w:pPr>
            <w:r>
              <w:t>5</w:t>
            </w:r>
            <w:r w:rsidRPr="00013ACB">
              <w:rPr>
                <w:vertAlign w:val="superscript"/>
              </w:rPr>
              <w:t>th</w:t>
            </w:r>
            <w:r>
              <w:t xml:space="preserve"> Round: </w:t>
            </w:r>
          </w:p>
          <w:p w14:paraId="3EF32889" w14:textId="77777777" w:rsidR="00BD06C4" w:rsidRDefault="00BD06C4" w:rsidP="00BD06C4">
            <w:pPr>
              <w:pStyle w:val="NoSpacing"/>
            </w:pPr>
            <w:r>
              <w:t>June 2022</w:t>
            </w:r>
          </w:p>
          <w:p w14:paraId="4BEF0184" w14:textId="6795A83C" w:rsidR="00BD06C4" w:rsidRDefault="00BD06C4" w:rsidP="00BD06C4">
            <w:pPr>
              <w:pStyle w:val="NoSpacing"/>
            </w:pPr>
          </w:p>
        </w:tc>
        <w:tc>
          <w:tcPr>
            <w:tcW w:w="0" w:type="auto"/>
          </w:tcPr>
          <w:p w14:paraId="2B19F67A" w14:textId="77777777" w:rsidR="00BD06C4" w:rsidRDefault="00BD06C4" w:rsidP="00BD06C4">
            <w:pPr>
              <w:pStyle w:val="NoSpacing"/>
            </w:pPr>
            <w:r>
              <w:lastRenderedPageBreak/>
              <w:t xml:space="preserve">Parts (b) and (c) reviewed at 9th IAEG-SDG meeting (classified as Tier II) </w:t>
            </w:r>
          </w:p>
          <w:p w14:paraId="1E1171C7" w14:textId="77777777" w:rsidR="00BD06C4" w:rsidRDefault="00BD06C4" w:rsidP="00BD06C4">
            <w:pPr>
              <w:pStyle w:val="NoSpacing"/>
            </w:pPr>
          </w:p>
          <w:p w14:paraId="1E468F66" w14:textId="77777777" w:rsidR="00BD06C4" w:rsidRDefault="00BD06C4" w:rsidP="00BD06C4">
            <w:pPr>
              <w:pStyle w:val="NoSpacing"/>
            </w:pPr>
            <w:r>
              <w:t xml:space="preserve">UNSC 50 refinement; Part (a) </w:t>
            </w:r>
            <w:r>
              <w:lastRenderedPageBreak/>
              <w:t>reviewed at 8th IAEG-SDG meeting (classified as Tier II)</w:t>
            </w:r>
          </w:p>
        </w:tc>
      </w:tr>
      <w:tr w:rsidR="00BD06C4" w14:paraId="0E4A370B" w14:textId="77777777" w:rsidTr="00A64F0D">
        <w:tc>
          <w:tcPr>
            <w:tcW w:w="0" w:type="auto"/>
          </w:tcPr>
          <w:p w14:paraId="2D339D79" w14:textId="77777777" w:rsidR="00BD06C4" w:rsidRPr="00BA046C" w:rsidRDefault="00BD06C4" w:rsidP="00BD06C4">
            <w:pPr>
              <w:pStyle w:val="NoSpacing"/>
            </w:pPr>
            <w:r w:rsidRPr="00BA046C">
              <w:lastRenderedPageBreak/>
              <w:t xml:space="preserve">16.7.2 Proportion of population who believe decision-making is </w:t>
            </w:r>
            <w:r w:rsidRPr="00BA046C">
              <w:lastRenderedPageBreak/>
              <w:t>inclusive and responsive, by sex, age, disability and population group</w:t>
            </w:r>
          </w:p>
        </w:tc>
        <w:tc>
          <w:tcPr>
            <w:tcW w:w="0" w:type="auto"/>
          </w:tcPr>
          <w:p w14:paraId="302CE853" w14:textId="77777777" w:rsidR="00BD06C4" w:rsidRDefault="00BD06C4" w:rsidP="00BD06C4">
            <w:pPr>
              <w:ind w:left="970" w:hanging="970"/>
              <w:jc w:val="both"/>
              <w:rPr>
                <w:color w:val="0070C0"/>
                <w:sz w:val="30"/>
                <w:szCs w:val="30"/>
              </w:rPr>
            </w:pPr>
          </w:p>
          <w:p w14:paraId="45D988ED" w14:textId="77777777" w:rsidR="00BD06C4" w:rsidRDefault="00BD06C4" w:rsidP="00BD06C4">
            <w:pPr>
              <w:pStyle w:val="NoSpacing"/>
            </w:pPr>
            <w:r w:rsidRPr="007145C8">
              <w:t>UNDP</w:t>
            </w:r>
          </w:p>
        </w:tc>
        <w:tc>
          <w:tcPr>
            <w:tcW w:w="0" w:type="auto"/>
          </w:tcPr>
          <w:p w14:paraId="4566BE98" w14:textId="77777777" w:rsidR="00BD06C4" w:rsidRDefault="00BD06C4" w:rsidP="00BD06C4">
            <w:pPr>
              <w:ind w:left="970" w:hanging="970"/>
              <w:jc w:val="both"/>
              <w:rPr>
                <w:color w:val="0070C0"/>
                <w:sz w:val="30"/>
                <w:szCs w:val="30"/>
              </w:rPr>
            </w:pPr>
            <w:r w:rsidRPr="00666BAB">
              <w:t>Tier II</w:t>
            </w:r>
          </w:p>
        </w:tc>
        <w:tc>
          <w:tcPr>
            <w:tcW w:w="0" w:type="auto"/>
          </w:tcPr>
          <w:p w14:paraId="11AAA689" w14:textId="77777777" w:rsidR="00BD06C4" w:rsidRPr="0037164C" w:rsidRDefault="00BD06C4" w:rsidP="00BD06C4">
            <w:pPr>
              <w:pStyle w:val="NoSpacing"/>
            </w:pPr>
            <w:r w:rsidRPr="0037164C">
              <w:rPr>
                <w:b/>
                <w:bCs/>
              </w:rPr>
              <w:t>Definition:</w:t>
            </w:r>
          </w:p>
          <w:p w14:paraId="5AC39D06" w14:textId="77777777" w:rsidR="00BD06C4" w:rsidRPr="0037164C" w:rsidRDefault="00BD06C4" w:rsidP="00BD06C4">
            <w:pPr>
              <w:pStyle w:val="NoSpacing"/>
            </w:pPr>
          </w:p>
          <w:p w14:paraId="1D6BE56B" w14:textId="77777777" w:rsidR="00BD06C4" w:rsidRPr="0037164C" w:rsidRDefault="00BD06C4" w:rsidP="00BD06C4">
            <w:pPr>
              <w:pStyle w:val="NoSpacing"/>
            </w:pPr>
            <w:r w:rsidRPr="0037164C">
              <w:t xml:space="preserve">This survey-based indicator measures self-reported levels of ‘external political efficacy’, that is, the extent to which people think that politicians and/or political institutions will listen to, and act on, the opinions of ordinary citizens. </w:t>
            </w:r>
          </w:p>
          <w:p w14:paraId="4F4D0579" w14:textId="77777777" w:rsidR="00BD06C4" w:rsidRPr="0037164C" w:rsidRDefault="00BD06C4" w:rsidP="00BD06C4">
            <w:pPr>
              <w:pStyle w:val="NoSpacing"/>
            </w:pPr>
          </w:p>
          <w:p w14:paraId="58D7D75C" w14:textId="77777777" w:rsidR="00BD06C4" w:rsidRPr="0037164C" w:rsidRDefault="00BD06C4" w:rsidP="00BD06C4">
            <w:pPr>
              <w:pStyle w:val="NoSpacing"/>
            </w:pPr>
            <w:r w:rsidRPr="0037164C">
              <w:t>To address both dimensions covered by this indicator, SDG i</w:t>
            </w:r>
            <w:r w:rsidRPr="0037164C">
              <w:rPr>
                <w:lang w:val="en-GB"/>
              </w:rPr>
              <w:t xml:space="preserve">ndicator 16.7.2 </w:t>
            </w:r>
            <w:r w:rsidRPr="0037164C">
              <w:t xml:space="preserve">uses two well-established survey questions, namely: 1) one question measuring the extent to which people feel they </w:t>
            </w:r>
            <w:r w:rsidRPr="0037164C">
              <w:rPr>
                <w:i/>
                <w:iCs/>
              </w:rPr>
              <w:t>have a say</w:t>
            </w:r>
            <w:r w:rsidRPr="0037164C">
              <w:t xml:space="preserve"> in what the government does (focus on </w:t>
            </w:r>
            <w:r w:rsidRPr="0037164C">
              <w:rPr>
                <w:i/>
                <w:iCs/>
              </w:rPr>
              <w:t>inclusive</w:t>
            </w:r>
            <w:r w:rsidRPr="0037164C">
              <w:t xml:space="preserve"> participation in decision-making) and 2) another question measuring the extent to which people feel the </w:t>
            </w:r>
            <w:r w:rsidRPr="0037164C">
              <w:lastRenderedPageBreak/>
              <w:t xml:space="preserve">political system allows them to have an </w:t>
            </w:r>
            <w:r w:rsidRPr="0037164C">
              <w:rPr>
                <w:i/>
                <w:iCs/>
              </w:rPr>
              <w:t xml:space="preserve">influence </w:t>
            </w:r>
            <w:r w:rsidRPr="0037164C">
              <w:t xml:space="preserve">on politics (focus on </w:t>
            </w:r>
            <w:r w:rsidRPr="0037164C">
              <w:rPr>
                <w:i/>
                <w:iCs/>
              </w:rPr>
              <w:t xml:space="preserve">responsive </w:t>
            </w:r>
            <w:r w:rsidRPr="0037164C">
              <w:t>decision-making).</w:t>
            </w:r>
          </w:p>
          <w:p w14:paraId="6B6DCD8B" w14:textId="77777777" w:rsidR="00BD06C4" w:rsidRPr="0037164C" w:rsidRDefault="00BD06C4" w:rsidP="00BD06C4">
            <w:pPr>
              <w:pStyle w:val="NoSpacing"/>
            </w:pPr>
          </w:p>
          <w:p w14:paraId="6E7347A0" w14:textId="77777777" w:rsidR="00BD06C4" w:rsidRDefault="00BD06C4" w:rsidP="00BD06C4">
            <w:pPr>
              <w:pStyle w:val="NoSpacing"/>
            </w:pPr>
            <w:r w:rsidRPr="0037164C">
              <w:t>All efforts should be made to disaggregate survey results on these two questions by sex, age group, income level, education level, place of residence (administrative region e.g. province, state, district; urban/rural), disability status, and nationally relevant population groups.</w:t>
            </w:r>
          </w:p>
          <w:p w14:paraId="578FC853" w14:textId="77777777" w:rsidR="00BD06C4" w:rsidRPr="0037164C" w:rsidRDefault="00BD06C4" w:rsidP="00BD06C4">
            <w:pPr>
              <w:pStyle w:val="NoSpacing"/>
            </w:pPr>
          </w:p>
          <w:p w14:paraId="4204F417" w14:textId="77777777" w:rsidR="00BD06C4" w:rsidRPr="0037164C" w:rsidRDefault="00BD06C4" w:rsidP="00BD06C4">
            <w:pPr>
              <w:pStyle w:val="NoSpacing"/>
              <w:rPr>
                <w:b/>
                <w:bCs/>
              </w:rPr>
            </w:pPr>
            <w:r w:rsidRPr="0037164C">
              <w:rPr>
                <w:b/>
                <w:bCs/>
              </w:rPr>
              <w:t>Concepts</w:t>
            </w:r>
          </w:p>
          <w:p w14:paraId="5314EB53" w14:textId="77777777" w:rsidR="00BD06C4" w:rsidRPr="0037164C" w:rsidRDefault="00BD06C4" w:rsidP="00BD06C4">
            <w:pPr>
              <w:pStyle w:val="NoSpacing"/>
            </w:pPr>
          </w:p>
          <w:p w14:paraId="6494A83D" w14:textId="77777777" w:rsidR="00BD06C4" w:rsidRPr="0037164C" w:rsidRDefault="00BD06C4" w:rsidP="00BD06C4">
            <w:pPr>
              <w:pStyle w:val="NoSpacing"/>
            </w:pPr>
            <w:r w:rsidRPr="0037164C">
              <w:rPr>
                <w:b/>
              </w:rPr>
              <w:t>Decision-making:</w:t>
            </w:r>
            <w:r w:rsidRPr="0037164C">
              <w:t xml:space="preserve"> It is implicit in indicator 16.7.2 that ‘decision-making’ refers to decision-making in the public governance realm (and not all decision-making). </w:t>
            </w:r>
          </w:p>
          <w:p w14:paraId="36072B3D" w14:textId="77777777" w:rsidR="00BD06C4" w:rsidRPr="0037164C" w:rsidRDefault="00BD06C4" w:rsidP="00BD06C4">
            <w:pPr>
              <w:pStyle w:val="NoSpacing"/>
            </w:pPr>
          </w:p>
          <w:p w14:paraId="4C129F65" w14:textId="77777777" w:rsidR="00BD06C4" w:rsidRPr="0037164C" w:rsidRDefault="00BD06C4" w:rsidP="00BD06C4">
            <w:pPr>
              <w:pStyle w:val="NoSpacing"/>
            </w:pPr>
            <w:r w:rsidRPr="0037164C">
              <w:rPr>
                <w:b/>
                <w:bCs/>
                <w:i/>
                <w:iCs/>
              </w:rPr>
              <w:t xml:space="preserve">Inclusive </w:t>
            </w:r>
            <w:r w:rsidRPr="0037164C">
              <w:rPr>
                <w:b/>
                <w:bCs/>
              </w:rPr>
              <w:t xml:space="preserve">decision-making: </w:t>
            </w:r>
            <w:r w:rsidRPr="0037164C">
              <w:t xml:space="preserve">Decision-making processes which provide people with an opportunity to ‘have a say’, that is, to voice their demands, opinions and/or preferences to decision-makers. </w:t>
            </w:r>
          </w:p>
          <w:p w14:paraId="0179D68A" w14:textId="77777777" w:rsidR="00BD06C4" w:rsidRPr="0037164C" w:rsidRDefault="00BD06C4" w:rsidP="00BD06C4">
            <w:pPr>
              <w:pStyle w:val="NoSpacing"/>
            </w:pPr>
          </w:p>
          <w:p w14:paraId="3A280E60" w14:textId="77777777" w:rsidR="00BD06C4" w:rsidRPr="0037164C" w:rsidRDefault="00BD06C4" w:rsidP="00BD06C4">
            <w:pPr>
              <w:pStyle w:val="NoSpacing"/>
            </w:pPr>
            <w:r w:rsidRPr="0037164C">
              <w:rPr>
                <w:b/>
                <w:bCs/>
                <w:i/>
                <w:iCs/>
              </w:rPr>
              <w:t xml:space="preserve">Responsive </w:t>
            </w:r>
            <w:r w:rsidRPr="0037164C">
              <w:rPr>
                <w:b/>
                <w:bCs/>
              </w:rPr>
              <w:t>decision-making:</w:t>
            </w:r>
            <w:r w:rsidRPr="0037164C">
              <w:t xml:space="preserve"> Decision-making processes where politicians and/or political institutions listen to and act on the stated demands, opinions and/or preferences of people.</w:t>
            </w:r>
          </w:p>
          <w:p w14:paraId="2DBC5317" w14:textId="77777777" w:rsidR="00BD06C4" w:rsidRPr="0037164C" w:rsidRDefault="00BD06C4" w:rsidP="00BD06C4">
            <w:pPr>
              <w:pStyle w:val="NoSpacing"/>
            </w:pPr>
          </w:p>
          <w:p w14:paraId="2CCC72F9" w14:textId="77777777" w:rsidR="00BD06C4" w:rsidRPr="0037164C" w:rsidRDefault="00BD06C4" w:rsidP="00BD06C4">
            <w:pPr>
              <w:pStyle w:val="NoSpacing"/>
              <w:rPr>
                <w:b/>
                <w:bCs/>
              </w:rPr>
            </w:pPr>
          </w:p>
          <w:p w14:paraId="3A637739" w14:textId="77777777" w:rsidR="00BD06C4" w:rsidRPr="0037164C" w:rsidRDefault="00BD06C4" w:rsidP="00BD06C4">
            <w:pPr>
              <w:pStyle w:val="NoSpacing"/>
            </w:pPr>
            <w:r w:rsidRPr="0037164C">
              <w:rPr>
                <w:b/>
                <w:bCs/>
              </w:rPr>
              <w:t>Comments and limitations:</w:t>
            </w:r>
          </w:p>
          <w:p w14:paraId="14E1AB76" w14:textId="77777777" w:rsidR="00BD06C4" w:rsidRPr="0037164C" w:rsidRDefault="00BD06C4" w:rsidP="00BD06C4">
            <w:pPr>
              <w:pStyle w:val="NoSpacing"/>
            </w:pPr>
          </w:p>
          <w:p w14:paraId="307B9AF8" w14:textId="77777777" w:rsidR="00BD06C4" w:rsidRPr="0037164C" w:rsidRDefault="00BD06C4" w:rsidP="00BD06C4">
            <w:pPr>
              <w:pStyle w:val="NoSpacing"/>
              <w:rPr>
                <w:b/>
                <w:lang w:val="en-GB"/>
              </w:rPr>
            </w:pPr>
            <w:r w:rsidRPr="0037164C">
              <w:rPr>
                <w:b/>
                <w:lang w:val="en-GB"/>
              </w:rPr>
              <w:t xml:space="preserve">Excludes measurement of ‘internal political efficacy’ </w:t>
            </w:r>
          </w:p>
          <w:p w14:paraId="10F4F26A" w14:textId="77777777" w:rsidR="00BD06C4" w:rsidRPr="0037164C" w:rsidRDefault="00BD06C4" w:rsidP="00BD06C4">
            <w:pPr>
              <w:pStyle w:val="NoSpacing"/>
            </w:pPr>
            <w:r w:rsidRPr="0037164C">
              <w:t>As discussed in detail above, there are two dimensions to political efficacy. First, subjective competence, or ‘internal efficacy’, and second, system responsiveness, or ‘external efficacy’. This methodology stops short of measuring ‘internal political efficacy’ (also called ‘subjective competence’), which can be defined as the confidence or belief that an individual has in his or her own abilities to understand politics and to participate in the political process. Subjective competence is expected to be correlated with political interest (ESS, 2016). Higher levels of subjective competence are also expected to be associated with higher levels of political participation, including voting in elections. As such, policymakers interested in identifying factors driving high or low levels of political participation should not base their diagnostics solely on levels of external efficacy measured by SDG 16.7.2, as levels of internal efficacy (</w:t>
            </w:r>
            <w:r w:rsidRPr="0037164C">
              <w:rPr>
                <w:i/>
              </w:rPr>
              <w:t xml:space="preserve">not </w:t>
            </w:r>
            <w:r w:rsidRPr="0037164C">
              <w:t xml:space="preserve">measured by SDG 16.7.2) also come into play. </w:t>
            </w:r>
          </w:p>
          <w:p w14:paraId="20048994" w14:textId="77777777" w:rsidR="00BD06C4" w:rsidRPr="0037164C" w:rsidRDefault="00BD06C4" w:rsidP="00BD06C4">
            <w:pPr>
              <w:pStyle w:val="NoSpacing"/>
              <w:rPr>
                <w:b/>
                <w:lang w:val="en-GB"/>
              </w:rPr>
            </w:pPr>
          </w:p>
          <w:p w14:paraId="691EA7AA" w14:textId="77777777" w:rsidR="00BD06C4" w:rsidRPr="0037164C" w:rsidRDefault="00BD06C4" w:rsidP="00BD06C4">
            <w:pPr>
              <w:pStyle w:val="NoSpacing"/>
              <w:rPr>
                <w:b/>
                <w:lang w:val="en-GB"/>
              </w:rPr>
            </w:pPr>
            <w:r w:rsidRPr="0037164C">
              <w:rPr>
                <w:b/>
                <w:lang w:val="en-GB"/>
              </w:rPr>
              <w:t>Translation challenges</w:t>
            </w:r>
          </w:p>
          <w:p w14:paraId="581307BD" w14:textId="77777777" w:rsidR="00BD06C4" w:rsidRPr="0037164C" w:rsidRDefault="00BD06C4" w:rsidP="00BD06C4">
            <w:pPr>
              <w:pStyle w:val="NoSpacing"/>
              <w:rPr>
                <w:lang w:val="en-GB"/>
              </w:rPr>
            </w:pPr>
            <w:r w:rsidRPr="0037164C">
              <w:rPr>
                <w:lang w:val="en-GB"/>
              </w:rPr>
              <w:t xml:space="preserve">The idiom ‘having a say’ can be difficult to translate into other languages, given it can also have various meanings in English (such as expressing one’s views, or being in command, among others). To ensure global comparability of results on this question, getting good quality local language translations is a critical step in the measurement of SDG 16.7.2. To ensure the best possible quality of local language translations, </w:t>
            </w:r>
            <w:r w:rsidRPr="0037164C">
              <w:rPr>
                <w:bCs/>
                <w:lang w:val="en-GB"/>
              </w:rPr>
              <w:t xml:space="preserve">NSOs should be </w:t>
            </w:r>
            <w:r w:rsidRPr="0037164C">
              <w:rPr>
                <w:lang w:val="en-GB"/>
              </w:rPr>
              <w:t xml:space="preserve">cautious not to use formal or ‘academically correct’ versions of the local languages; rather, they should focus on the </w:t>
            </w:r>
            <w:r w:rsidRPr="0037164C">
              <w:rPr>
                <w:bCs/>
                <w:lang w:val="en-GB"/>
              </w:rPr>
              <w:t>everyday (colloquial) use of the language</w:t>
            </w:r>
            <w:r w:rsidRPr="0037164C">
              <w:rPr>
                <w:lang w:val="en-GB"/>
              </w:rPr>
              <w:t xml:space="preserve">. </w:t>
            </w:r>
          </w:p>
          <w:p w14:paraId="6D1CB579" w14:textId="77777777" w:rsidR="00BD06C4" w:rsidRPr="0037164C" w:rsidRDefault="00BD06C4" w:rsidP="00BD06C4">
            <w:pPr>
              <w:pStyle w:val="NoSpacing"/>
            </w:pPr>
          </w:p>
          <w:p w14:paraId="016ADEAB" w14:textId="77777777" w:rsidR="00BD06C4" w:rsidRPr="0037164C" w:rsidRDefault="00BD06C4" w:rsidP="00BD06C4">
            <w:pPr>
              <w:pStyle w:val="NoSpacing"/>
            </w:pPr>
            <w:r w:rsidRPr="0037164C">
              <w:t xml:space="preserve">To ensure equivalence of meaning during translation, the following protocol is recommended: </w:t>
            </w:r>
          </w:p>
          <w:p w14:paraId="7BECF566" w14:textId="77777777" w:rsidR="00BD06C4" w:rsidRPr="0037164C" w:rsidRDefault="00BD06C4" w:rsidP="00BD06C4">
            <w:pPr>
              <w:pStyle w:val="NoSpacing"/>
            </w:pPr>
          </w:p>
          <w:p w14:paraId="4C8F3B7F" w14:textId="77777777" w:rsidR="00BD06C4" w:rsidRPr="0037164C" w:rsidRDefault="00BD06C4" w:rsidP="00BD06C4">
            <w:pPr>
              <w:pStyle w:val="NoSpacing"/>
              <w:numPr>
                <w:ilvl w:val="0"/>
                <w:numId w:val="122"/>
              </w:numPr>
              <w:rPr>
                <w:lang w:val="en-GB"/>
              </w:rPr>
            </w:pPr>
            <w:r w:rsidRPr="0037164C">
              <w:rPr>
                <w:lang w:val="en-GB"/>
              </w:rPr>
              <w:t xml:space="preserve">NSOs should make sure that translators understand the concepts, rationale and meaning behind each question before they embark on translating. </w:t>
            </w:r>
          </w:p>
          <w:p w14:paraId="2DEA5CAA" w14:textId="77777777" w:rsidR="00BD06C4" w:rsidRPr="0037164C" w:rsidRDefault="00BD06C4" w:rsidP="00BD06C4">
            <w:pPr>
              <w:pStyle w:val="NoSpacing"/>
              <w:numPr>
                <w:ilvl w:val="0"/>
                <w:numId w:val="122"/>
              </w:numPr>
              <w:rPr>
                <w:lang w:val="en-GB"/>
              </w:rPr>
            </w:pPr>
            <w:r w:rsidRPr="0037164C">
              <w:rPr>
                <w:lang w:val="en-GB"/>
              </w:rPr>
              <w:t xml:space="preserve">Initial drafts of each local language translations should be given to independent reviewers for </w:t>
            </w:r>
            <w:r w:rsidRPr="0037164C">
              <w:rPr>
                <w:bCs/>
                <w:lang w:val="en-GB"/>
              </w:rPr>
              <w:t xml:space="preserve">blind back translation </w:t>
            </w:r>
            <w:r w:rsidRPr="0037164C">
              <w:rPr>
                <w:lang w:val="en-GB"/>
              </w:rPr>
              <w:t xml:space="preserve">back into the national language. These translators should not have seen the original language version of the questionnaire. </w:t>
            </w:r>
          </w:p>
          <w:p w14:paraId="12F1C452" w14:textId="77777777" w:rsidR="00BD06C4" w:rsidRPr="0037164C" w:rsidRDefault="00BD06C4" w:rsidP="00BD06C4">
            <w:pPr>
              <w:pStyle w:val="NoSpacing"/>
              <w:numPr>
                <w:ilvl w:val="0"/>
                <w:numId w:val="122"/>
              </w:numPr>
              <w:rPr>
                <w:lang w:val="en-GB"/>
              </w:rPr>
            </w:pPr>
            <w:r w:rsidRPr="0037164C">
              <w:rPr>
                <w:lang w:val="en-GB"/>
              </w:rPr>
              <w:t xml:space="preserve">The original team of translators should then further refine their translations based on the review of the back translations. </w:t>
            </w:r>
          </w:p>
          <w:p w14:paraId="60053A1B" w14:textId="77777777" w:rsidR="00BD06C4" w:rsidRPr="0037164C" w:rsidRDefault="00BD06C4" w:rsidP="00BD06C4">
            <w:pPr>
              <w:pStyle w:val="NoSpacing"/>
              <w:numPr>
                <w:ilvl w:val="0"/>
                <w:numId w:val="122"/>
              </w:numPr>
              <w:rPr>
                <w:lang w:val="en-GB"/>
              </w:rPr>
            </w:pPr>
            <w:r w:rsidRPr="0037164C">
              <w:rPr>
                <w:lang w:val="en-GB"/>
              </w:rPr>
              <w:t xml:space="preserve">These revised translations should then be </w:t>
            </w:r>
            <w:r w:rsidRPr="0037164C">
              <w:rPr>
                <w:bCs/>
                <w:lang w:val="en-GB"/>
              </w:rPr>
              <w:t>pre-tested</w:t>
            </w:r>
            <w:r w:rsidRPr="0037164C">
              <w:rPr>
                <w:lang w:val="en-GB"/>
              </w:rPr>
              <w:t xml:space="preserve">. Feedback from the pre-tests should lead to final refinements of the translations to produce the final versions that will go to the field. </w:t>
            </w:r>
          </w:p>
          <w:p w14:paraId="4393001D" w14:textId="77777777" w:rsidR="00BD06C4" w:rsidRPr="0037164C" w:rsidRDefault="00BD06C4" w:rsidP="00BD06C4">
            <w:pPr>
              <w:pStyle w:val="NoSpacing"/>
            </w:pPr>
          </w:p>
          <w:p w14:paraId="79783E5C" w14:textId="77777777" w:rsidR="00BD06C4" w:rsidRPr="0037164C" w:rsidRDefault="00BD06C4" w:rsidP="00BD06C4">
            <w:pPr>
              <w:pStyle w:val="NoSpacing"/>
            </w:pPr>
            <w:r w:rsidRPr="0037164C">
              <w:t xml:space="preserve">It is important to recognize that it takes time to go through these steps and get good quality translations. NSOs should start this process well ahead of the planned fieldwork dates so that the procedures can be carefully followed. </w:t>
            </w:r>
          </w:p>
          <w:p w14:paraId="14FD49DC" w14:textId="77777777" w:rsidR="00BD06C4" w:rsidRPr="0037164C" w:rsidRDefault="00BD06C4" w:rsidP="00BD06C4">
            <w:pPr>
              <w:pStyle w:val="NoSpacing"/>
              <w:rPr>
                <w:lang w:val="en-GB"/>
              </w:rPr>
            </w:pPr>
          </w:p>
          <w:p w14:paraId="540728E7" w14:textId="77777777" w:rsidR="00BD06C4" w:rsidRPr="0037164C" w:rsidRDefault="00BD06C4" w:rsidP="00BD06C4">
            <w:pPr>
              <w:pStyle w:val="NoSpacing"/>
              <w:rPr>
                <w:lang w:val="en-GB"/>
              </w:rPr>
            </w:pPr>
            <w:r w:rsidRPr="0037164C">
              <w:rPr>
                <w:lang w:val="en-GB"/>
              </w:rPr>
              <w:t xml:space="preserve">Translation for the two questions is readily available in all languages used by the 29 European countries covered by the European Social Survey, as well as in Arabic, Catalan, </w:t>
            </w:r>
            <w:proofErr w:type="gramStart"/>
            <w:r w:rsidRPr="0037164C">
              <w:rPr>
                <w:lang w:val="en-GB"/>
              </w:rPr>
              <w:t>Malay, Chinese/</w:t>
            </w:r>
            <w:proofErr w:type="gramEnd"/>
            <w:r w:rsidRPr="0037164C">
              <w:rPr>
                <w:lang w:val="en-GB"/>
              </w:rPr>
              <w:t xml:space="preserve"> Mandarin, Hausa, Igbo, Yoruba, Indonesian, Urdu, Bengali, Russian, Swahili and Kazakh languages.</w:t>
            </w:r>
          </w:p>
          <w:p w14:paraId="31B917A9" w14:textId="77777777" w:rsidR="00BD06C4" w:rsidRPr="0037164C" w:rsidRDefault="00BD06C4" w:rsidP="00BD06C4">
            <w:pPr>
              <w:pStyle w:val="NoSpacing"/>
              <w:rPr>
                <w:lang w:val="en-GB"/>
              </w:rPr>
            </w:pPr>
          </w:p>
          <w:p w14:paraId="24CD7DE5" w14:textId="77777777" w:rsidR="00BD06C4" w:rsidRPr="0037164C" w:rsidRDefault="00BD06C4" w:rsidP="00BD06C4">
            <w:pPr>
              <w:pStyle w:val="NoSpacing"/>
              <w:rPr>
                <w:b/>
                <w:lang w:val="en-GB"/>
              </w:rPr>
            </w:pPr>
            <w:r w:rsidRPr="0037164C">
              <w:rPr>
                <w:b/>
                <w:lang w:val="en-GB"/>
              </w:rPr>
              <w:t>Social desirability bias</w:t>
            </w:r>
          </w:p>
          <w:p w14:paraId="7A638950" w14:textId="77777777" w:rsidR="00BD06C4" w:rsidRPr="0037164C" w:rsidRDefault="00BD06C4" w:rsidP="00BD06C4">
            <w:pPr>
              <w:pStyle w:val="NoSpacing"/>
              <w:rPr>
                <w:lang w:val="en-GB"/>
              </w:rPr>
            </w:pPr>
            <w:r w:rsidRPr="0037164C">
              <w:rPr>
                <w:lang w:val="en-GB"/>
              </w:rPr>
              <w:t>Surveys are the most common and most reliable method of gathering public opinion data representative of the population from which the sample is drawn. However, when studying public opinion with surveys, the researcher assumes that respondents answer truthfully to the questions that interviewers pose. It has been shown that this assumption does not hold in many instances. Survey measures of self-reported voter turnout for example are highly biased in that a significant portion of survey respondents in the US have been found to state they have voted, when they have in fact not.</w:t>
            </w:r>
            <w:r w:rsidRPr="0037164C">
              <w:rPr>
                <w:vertAlign w:val="superscript"/>
                <w:lang w:val="en-GB"/>
              </w:rPr>
              <w:footnoteReference w:id="99"/>
            </w:r>
            <w:r w:rsidRPr="0037164C">
              <w:rPr>
                <w:lang w:val="en-GB"/>
              </w:rPr>
              <w:t xml:space="preserve"> Similarly, social scientists have determined that many common survey items are plagued by such bias such as those that probe for an individual’s attitude towards race relations</w:t>
            </w:r>
            <w:r w:rsidRPr="0037164C">
              <w:rPr>
                <w:vertAlign w:val="superscript"/>
                <w:lang w:val="en-GB"/>
              </w:rPr>
              <w:footnoteReference w:id="100"/>
            </w:r>
            <w:r w:rsidRPr="0037164C">
              <w:rPr>
                <w:lang w:val="en-GB"/>
              </w:rPr>
              <w:t>, corruption, and electoral support.</w:t>
            </w:r>
          </w:p>
          <w:p w14:paraId="5797BB12" w14:textId="77777777" w:rsidR="00BD06C4" w:rsidRPr="0037164C" w:rsidRDefault="00BD06C4" w:rsidP="00BD06C4">
            <w:pPr>
              <w:pStyle w:val="NoSpacing"/>
              <w:rPr>
                <w:lang w:val="en-GB"/>
              </w:rPr>
            </w:pPr>
          </w:p>
          <w:p w14:paraId="72F088DD" w14:textId="77777777" w:rsidR="00BD06C4" w:rsidRPr="0037164C" w:rsidRDefault="00BD06C4" w:rsidP="00BD06C4">
            <w:pPr>
              <w:pStyle w:val="NoSpacing"/>
              <w:rPr>
                <w:lang w:val="en-GB"/>
              </w:rPr>
            </w:pPr>
            <w:r w:rsidRPr="0037164C">
              <w:rPr>
                <w:lang w:val="en-GB"/>
              </w:rPr>
              <w:t xml:space="preserve">‘Social desirability bias’, as this is known in the literature, arises whenever survey respondents do not reveal their true beliefs but rather provide a response that they believe to be more socially acceptable, or the response that they </w:t>
            </w:r>
            <w:r w:rsidRPr="0037164C">
              <w:rPr>
                <w:lang w:val="en-GB"/>
              </w:rPr>
              <w:lastRenderedPageBreak/>
              <w:t>believe the interviewers wish to hear. Naturally, this poses a threat to the reliability and validity of survey items.</w:t>
            </w:r>
          </w:p>
          <w:p w14:paraId="10BF72A2" w14:textId="77777777" w:rsidR="00BD06C4" w:rsidRPr="0037164C" w:rsidRDefault="00BD06C4" w:rsidP="00BD06C4">
            <w:pPr>
              <w:pStyle w:val="NoSpacing"/>
              <w:rPr>
                <w:lang w:val="en-GB"/>
              </w:rPr>
            </w:pPr>
          </w:p>
          <w:p w14:paraId="1B9D7D81" w14:textId="77777777" w:rsidR="00BD06C4" w:rsidRPr="0037164C" w:rsidRDefault="00BD06C4" w:rsidP="00BD06C4">
            <w:pPr>
              <w:pStyle w:val="NoSpacing"/>
              <w:rPr>
                <w:lang w:val="en-GB"/>
              </w:rPr>
            </w:pPr>
            <w:r w:rsidRPr="0037164C">
              <w:rPr>
                <w:lang w:val="en-GB"/>
              </w:rPr>
              <w:t xml:space="preserve">It is possible that the two questions used to measure SDG indicator 16.7.2 could be affected by social desirability bias. However, pilot-testing of the two questions across all regions and diverse national contexts, as well as statistical analysis of existing survey results on these two questions (using national datasets from the ESS), have not detected any systematic occurrence of social desirability bias. A useful way of detecting more positive results inflated by social desirability bias is to compare the results obtained by an NSO to results obtained by different entities (e.g. by independent researchers from the WVSA or the ESS), provided the time lag between the two data collection efforts is not too wide. It is useful also to keep in mind that </w:t>
            </w:r>
            <w:r w:rsidRPr="0037164C">
              <w:t>h</w:t>
            </w:r>
            <w:r w:rsidRPr="0037164C">
              <w:rPr>
                <w:lang w:val="en-GB"/>
              </w:rPr>
              <w:t>igh levels of ‘don’t know’ or ‘refuse to answer’ in a national dataset may be a possible sign that respondents do not feel comfortable revealing their true opinion on the questions posed.</w:t>
            </w:r>
          </w:p>
          <w:p w14:paraId="03E490BD" w14:textId="77777777" w:rsidR="00BD06C4" w:rsidRPr="0037164C" w:rsidRDefault="00BD06C4" w:rsidP="00BD06C4">
            <w:pPr>
              <w:pStyle w:val="NoSpacing"/>
              <w:rPr>
                <w:lang w:val="en-GB"/>
              </w:rPr>
            </w:pPr>
          </w:p>
          <w:p w14:paraId="72915216" w14:textId="77777777" w:rsidR="00BD06C4" w:rsidRPr="0037164C" w:rsidRDefault="00BD06C4" w:rsidP="00BD06C4">
            <w:pPr>
              <w:pStyle w:val="NoSpacing"/>
              <w:rPr>
                <w:lang w:val="en-GB"/>
              </w:rPr>
            </w:pPr>
          </w:p>
          <w:p w14:paraId="4C07155F" w14:textId="77777777" w:rsidR="00BD06C4" w:rsidRPr="0037164C" w:rsidRDefault="00BD06C4" w:rsidP="00BD06C4">
            <w:pPr>
              <w:pStyle w:val="NoSpacing"/>
            </w:pPr>
            <w:r w:rsidRPr="0037164C">
              <w:rPr>
                <w:b/>
                <w:bCs/>
              </w:rPr>
              <w:t>Normative framework for selection of disaggregation dimensions</w:t>
            </w:r>
          </w:p>
          <w:p w14:paraId="46CBAF42" w14:textId="77777777" w:rsidR="00BD06C4" w:rsidRPr="0037164C" w:rsidRDefault="00BD06C4" w:rsidP="00BD06C4">
            <w:pPr>
              <w:pStyle w:val="NoSpacing"/>
            </w:pPr>
            <w:r w:rsidRPr="0037164C">
              <w:t xml:space="preserve">People’s perceived capacity to shape government decisions is affected by their personal characteristics and socio-economic background. As such, the indicator calls for disaggregation of survey results by age, sex, nationally relevant population groups and disability status. The following international human rights instruments contain provisions on enhancing opportunities for participation by individuals and groups holding such characteristics: </w:t>
            </w:r>
          </w:p>
          <w:p w14:paraId="0F0F5756" w14:textId="77777777" w:rsidR="00BD06C4" w:rsidRPr="0037164C" w:rsidRDefault="00BD06C4" w:rsidP="00BD06C4">
            <w:pPr>
              <w:pStyle w:val="NoSpacing"/>
              <w:numPr>
                <w:ilvl w:val="0"/>
                <w:numId w:val="124"/>
              </w:numPr>
              <w:rPr>
                <w:lang w:val="en-GB"/>
              </w:rPr>
            </w:pPr>
            <w:r w:rsidRPr="0037164C">
              <w:rPr>
                <w:i/>
                <w:iCs/>
                <w:lang w:val="en-GB"/>
              </w:rPr>
              <w:t xml:space="preserve">The universal right and opportunity to participate in public affairs: </w:t>
            </w:r>
            <w:r w:rsidRPr="0037164C">
              <w:rPr>
                <w:lang w:val="en-GB"/>
              </w:rPr>
              <w:t xml:space="preserve">Article 25 of the International Covenant on Civil and Political Rights (ICCPR) recognizes “the right and opportunity, without distinction of any kind such as race, color, sex, language, religion, political or other opinion, national or social origin, property, birth or other status to take part in the conduct of public affairs, directly or through freely chosen representatives”. </w:t>
            </w:r>
          </w:p>
          <w:p w14:paraId="5A964858" w14:textId="77777777" w:rsidR="00BD06C4" w:rsidRPr="0037164C" w:rsidRDefault="00BD06C4" w:rsidP="00BD06C4">
            <w:pPr>
              <w:pStyle w:val="NoSpacing"/>
              <w:numPr>
                <w:ilvl w:val="0"/>
                <w:numId w:val="124"/>
              </w:numPr>
              <w:rPr>
                <w:b/>
                <w:bCs/>
                <w:i/>
                <w:iCs/>
                <w:lang w:val="en-GB"/>
              </w:rPr>
            </w:pPr>
            <w:r w:rsidRPr="0037164C">
              <w:rPr>
                <w:i/>
                <w:iCs/>
                <w:lang w:val="en-GB"/>
              </w:rPr>
              <w:t xml:space="preserve">Sex: </w:t>
            </w:r>
            <w:r w:rsidRPr="0037164C">
              <w:rPr>
                <w:lang w:val="en-GB"/>
              </w:rPr>
              <w:t xml:space="preserve">The 1979 Convention on the Elimination of All Forms of Discrimination against Women (CEDAW) provides the basis for realizing equality between women and men through ensuring women's equal access to, and equal opportunities in, political and public life, including the </w:t>
            </w:r>
            <w:r w:rsidRPr="0037164C">
              <w:rPr>
                <w:lang w:val="en-CA"/>
              </w:rPr>
              <w:t>right to participate in the formulation of government policy and the implementation thereof and to hold public office and perform all public functions at all levels of government</w:t>
            </w:r>
            <w:r w:rsidRPr="0037164C">
              <w:rPr>
                <w:lang w:val="en-GB"/>
              </w:rPr>
              <w:t xml:space="preserve"> (Article 7). States parties agree to take all appropriate measures to overcome historical discrimination against women and obstacles to women’s participation in decision-making processes (Article 8), including legislation and temporary special measures (Article 4). </w:t>
            </w:r>
            <w:r w:rsidRPr="0037164C">
              <w:rPr>
                <w:lang w:val="en-CA"/>
              </w:rPr>
              <w:t xml:space="preserve">The Beijing Declaration and </w:t>
            </w:r>
            <w:r w:rsidRPr="0037164C">
              <w:rPr>
                <w:lang w:val="en-GB"/>
              </w:rPr>
              <w:t>Platform for Action also call for women’s equal access to public service jobs, by setting a target of a minimum of 30 percent of women in leadership positions.</w:t>
            </w:r>
          </w:p>
          <w:p w14:paraId="52624A75" w14:textId="77777777" w:rsidR="00BD06C4" w:rsidRPr="0037164C" w:rsidRDefault="00BD06C4" w:rsidP="00BD06C4">
            <w:pPr>
              <w:pStyle w:val="NoSpacing"/>
              <w:numPr>
                <w:ilvl w:val="0"/>
                <w:numId w:val="124"/>
              </w:numPr>
              <w:rPr>
                <w:lang w:val="en-GB"/>
              </w:rPr>
            </w:pPr>
            <w:r w:rsidRPr="0037164C">
              <w:rPr>
                <w:i/>
                <w:iCs/>
                <w:lang w:val="en-GB"/>
              </w:rPr>
              <w:t xml:space="preserve">Age: </w:t>
            </w:r>
            <w:r w:rsidRPr="0037164C">
              <w:rPr>
                <w:lang w:val="en-GB"/>
              </w:rPr>
              <w:t xml:space="preserve">The 2015 Security Council Resolution 2250 urges Member States to consider ways to increase inclusive representation of </w:t>
            </w:r>
            <w:r w:rsidRPr="0037164C">
              <w:rPr>
                <w:i/>
                <w:iCs/>
                <w:lang w:val="en-GB"/>
              </w:rPr>
              <w:t>youth</w:t>
            </w:r>
            <w:r w:rsidRPr="0037164C">
              <w:rPr>
                <w:lang w:val="en-GB"/>
              </w:rPr>
              <w:t xml:space="preserve"> in decision-making at all levels in local, national, regional and international institutions and mechanisms to prevent and resolve conflict and counter violent extremism. Furthermore, the Madrid International Plan of Action on Ageing and the Political Declaration, adopted by the international community at the Second World Assembly on Ageing in April 2002, recognize for the first time in history that “ageing has profound consequences for every aspect of individual, community, national and </w:t>
            </w:r>
            <w:r w:rsidRPr="0037164C">
              <w:rPr>
                <w:lang w:val="en-GB"/>
              </w:rPr>
              <w:lastRenderedPageBreak/>
              <w:t>international life”.</w:t>
            </w:r>
            <w:r w:rsidRPr="0037164C">
              <w:rPr>
                <w:vertAlign w:val="superscript"/>
                <w:lang w:val="en-GB"/>
              </w:rPr>
              <w:footnoteReference w:id="101"/>
            </w:r>
            <w:r w:rsidRPr="0037164C">
              <w:rPr>
                <w:lang w:val="en-GB"/>
              </w:rPr>
              <w:t xml:space="preserve"> The Madrid Plan of Action in particular stresses the importance of research, data collection and analysis in supporting policy and programme development as a key priority for national Governments and international assistance. Following the adoption of the Plan of Action, the General Assembly, at successive sessions, has called for the international community and the United Nations system to “support national efforts to provide funding for research and data-collection initiatives on ageing” (see, e.g., Assembly resolution 69/146, para. 38).</w:t>
            </w:r>
          </w:p>
          <w:p w14:paraId="1FCF5953" w14:textId="77777777" w:rsidR="00BD06C4" w:rsidRPr="0037164C" w:rsidRDefault="00BD06C4" w:rsidP="00BD06C4">
            <w:pPr>
              <w:pStyle w:val="NoSpacing"/>
              <w:numPr>
                <w:ilvl w:val="0"/>
                <w:numId w:val="124"/>
              </w:numPr>
              <w:rPr>
                <w:lang w:val="en-GB"/>
              </w:rPr>
            </w:pPr>
            <w:r w:rsidRPr="0037164C">
              <w:rPr>
                <w:i/>
                <w:iCs/>
                <w:lang w:val="en-GB"/>
              </w:rPr>
              <w:t xml:space="preserve">‘Population group’ status: </w:t>
            </w:r>
            <w:r w:rsidRPr="0037164C">
              <w:rPr>
                <w:lang w:val="en-GB"/>
              </w:rPr>
              <w:t xml:space="preserve">The Declaration on the Rights of Persons belonging to National or Ethnic, Religious and Linguistic Minorities (1992) and the Declaration on the Rights of Indigenous Peoples (2007) provide that persons belonging to minorities and indigenous peoples have the right to participate in the political, economic, social and cultural life of the State. </w:t>
            </w:r>
          </w:p>
          <w:p w14:paraId="70A2916D" w14:textId="77777777" w:rsidR="00BD06C4" w:rsidRPr="0037164C" w:rsidRDefault="00BD06C4" w:rsidP="00BD06C4">
            <w:pPr>
              <w:pStyle w:val="NoSpacing"/>
              <w:numPr>
                <w:ilvl w:val="0"/>
                <w:numId w:val="124"/>
              </w:numPr>
              <w:rPr>
                <w:lang w:val="en-GB"/>
              </w:rPr>
            </w:pPr>
            <w:r w:rsidRPr="0037164C">
              <w:rPr>
                <w:i/>
                <w:iCs/>
                <w:lang w:val="en-GB"/>
              </w:rPr>
              <w:t xml:space="preserve">Disability status: </w:t>
            </w:r>
            <w:r w:rsidRPr="0037164C">
              <w:rPr>
                <w:lang w:val="en-GB"/>
              </w:rPr>
              <w:t xml:space="preserve">The United Nations Convention on the Rights of Persons with Disabilities (2006) calls upon State Parties to ensure that persons with disabilities can effectively and fully participate in political and public life on an equal basis with others. Under Article 31 of the Convention, State Parties commit to collecting disaggregated information, including statistical and research data to give effect to the Convention, and assume responsibility for the dissemination of these statistics. </w:t>
            </w:r>
          </w:p>
          <w:p w14:paraId="27B1FF5B" w14:textId="77777777" w:rsidR="00BD06C4" w:rsidRPr="0037164C" w:rsidRDefault="00BD06C4" w:rsidP="00BD06C4">
            <w:pPr>
              <w:pStyle w:val="NoSpacing"/>
            </w:pPr>
          </w:p>
          <w:p w14:paraId="729E0A2A" w14:textId="77777777" w:rsidR="00BD06C4" w:rsidRPr="0037164C" w:rsidRDefault="00BD06C4" w:rsidP="00BD06C4">
            <w:pPr>
              <w:pStyle w:val="NoSpacing"/>
              <w:rPr>
                <w:b/>
                <w:bCs/>
              </w:rPr>
            </w:pPr>
          </w:p>
          <w:p w14:paraId="061F3FB4" w14:textId="58EFF24E" w:rsidR="00BD06C4" w:rsidRPr="0037164C" w:rsidRDefault="00BD06C4" w:rsidP="00BD06C4">
            <w:pPr>
              <w:pStyle w:val="NoSpacing"/>
            </w:pPr>
            <w:r w:rsidRPr="0037164C">
              <w:t xml:space="preserve"> </w:t>
            </w:r>
          </w:p>
          <w:p w14:paraId="77DB7DE1" w14:textId="77777777" w:rsidR="00BD06C4" w:rsidRPr="0037164C" w:rsidRDefault="00BD06C4" w:rsidP="00BD06C4">
            <w:pPr>
              <w:pStyle w:val="NoSpacing"/>
            </w:pPr>
          </w:p>
          <w:p w14:paraId="3A79285C" w14:textId="77777777" w:rsidR="00BD06C4" w:rsidRPr="0037164C" w:rsidRDefault="00BD06C4" w:rsidP="00BD06C4">
            <w:pPr>
              <w:pStyle w:val="NoSpacing"/>
              <w:rPr>
                <w:lang w:val="en-GB"/>
              </w:rPr>
            </w:pPr>
          </w:p>
          <w:p w14:paraId="550E2291" w14:textId="77777777" w:rsidR="00BD06C4" w:rsidRPr="0037164C" w:rsidRDefault="00BD06C4" w:rsidP="00BD06C4">
            <w:pPr>
              <w:pStyle w:val="NoSpacing"/>
              <w:rPr>
                <w:b/>
                <w:bCs/>
              </w:rPr>
            </w:pPr>
          </w:p>
          <w:p w14:paraId="1A510A04" w14:textId="77777777" w:rsidR="00BD06C4" w:rsidRPr="0037164C" w:rsidRDefault="00BD06C4" w:rsidP="00BD06C4">
            <w:pPr>
              <w:pStyle w:val="NoSpacing"/>
            </w:pPr>
            <w:r w:rsidRPr="0037164C">
              <w:rPr>
                <w:b/>
                <w:bCs/>
              </w:rPr>
              <w:t>Computation method</w:t>
            </w:r>
          </w:p>
          <w:p w14:paraId="31FA002A" w14:textId="77777777" w:rsidR="00BD06C4" w:rsidRPr="0037164C" w:rsidRDefault="00BD06C4" w:rsidP="00BD06C4">
            <w:pPr>
              <w:pStyle w:val="NoSpacing"/>
              <w:rPr>
                <w:bCs/>
              </w:rPr>
            </w:pPr>
          </w:p>
          <w:p w14:paraId="5EE51463" w14:textId="77777777" w:rsidR="00BD06C4" w:rsidRPr="0037164C" w:rsidRDefault="00BD06C4" w:rsidP="00BD06C4">
            <w:pPr>
              <w:pStyle w:val="NoSpacing"/>
              <w:numPr>
                <w:ilvl w:val="0"/>
                <w:numId w:val="123"/>
              </w:numPr>
              <w:rPr>
                <w:lang w:val="en-GB"/>
              </w:rPr>
            </w:pPr>
            <w:r w:rsidRPr="0037164C">
              <w:rPr>
                <w:lang w:val="en-GB"/>
              </w:rPr>
              <w:t>NSOs first need to calculate the share of respondents who responded positively to each question (i.e. the cumulative percentage of respondents who responded 3-'some', 4-'a lot' or 5-'a great deal').</w:t>
            </w:r>
            <w:r w:rsidRPr="0037164C">
              <w:rPr>
                <w:vertAlign w:val="superscript"/>
                <w:lang w:val="en-GB"/>
              </w:rPr>
              <w:footnoteReference w:id="102"/>
            </w:r>
            <w:r w:rsidRPr="0037164C">
              <w:rPr>
                <w:lang w:val="en-GB"/>
              </w:rPr>
              <w:t xml:space="preserve"> </w:t>
            </w:r>
          </w:p>
          <w:p w14:paraId="154BFE99" w14:textId="77777777" w:rsidR="00BD06C4" w:rsidRPr="0037164C" w:rsidRDefault="00BD06C4" w:rsidP="00BD06C4">
            <w:pPr>
              <w:pStyle w:val="NoSpacing"/>
            </w:pPr>
            <w:r w:rsidRPr="0037164C">
              <w:t xml:space="preserve">For instance: </w:t>
            </w:r>
          </w:p>
          <w:p w14:paraId="1F72E4E3" w14:textId="77777777" w:rsidR="00BD06C4" w:rsidRPr="0037164C" w:rsidRDefault="00BD06C4" w:rsidP="00BD06C4">
            <w:pPr>
              <w:pStyle w:val="NoSpacing"/>
            </w:pPr>
          </w:p>
          <w:tbl>
            <w:tblPr>
              <w:tblStyle w:val="TableGrid"/>
              <w:tblW w:w="0" w:type="auto"/>
              <w:jc w:val="center"/>
              <w:tblLook w:val="04A0" w:firstRow="1" w:lastRow="0" w:firstColumn="1" w:lastColumn="0" w:noHBand="0" w:noVBand="1"/>
            </w:tblPr>
            <w:tblGrid>
              <w:gridCol w:w="1743"/>
              <w:gridCol w:w="1875"/>
              <w:gridCol w:w="14"/>
              <w:gridCol w:w="1730"/>
              <w:gridCol w:w="1779"/>
            </w:tblGrid>
            <w:tr w:rsidR="00BD06C4" w:rsidRPr="0037164C" w14:paraId="7DA76102" w14:textId="77777777" w:rsidTr="00A64F0D">
              <w:trPr>
                <w:jc w:val="center"/>
              </w:trPr>
              <w:tc>
                <w:tcPr>
                  <w:tcW w:w="3972" w:type="dxa"/>
                  <w:gridSpan w:val="3"/>
                </w:tcPr>
                <w:p w14:paraId="15C39FE0" w14:textId="77777777" w:rsidR="00BD06C4" w:rsidRPr="0037164C" w:rsidRDefault="00BD06C4" w:rsidP="00BD06C4">
                  <w:pPr>
                    <w:pStyle w:val="NoSpacing"/>
                  </w:pPr>
                  <w:r w:rsidRPr="0037164C">
                    <w:rPr>
                      <w:bCs/>
                      <w:i/>
                      <w:iCs/>
                      <w:lang w:val="en-GB"/>
                    </w:rPr>
                    <w:t xml:space="preserve">1. How much would you say the political system in [country X] allows people like you to </w:t>
                  </w:r>
                  <w:r w:rsidRPr="0037164C">
                    <w:rPr>
                      <w:bCs/>
                      <w:i/>
                      <w:iCs/>
                      <w:u w:val="single"/>
                      <w:lang w:val="en-GB"/>
                    </w:rPr>
                    <w:t>have a say</w:t>
                  </w:r>
                  <w:r w:rsidRPr="0037164C">
                    <w:rPr>
                      <w:bCs/>
                      <w:i/>
                      <w:iCs/>
                      <w:lang w:val="en-GB"/>
                    </w:rPr>
                    <w:t xml:space="preserve"> in what the government does? </w:t>
                  </w:r>
                </w:p>
              </w:tc>
              <w:tc>
                <w:tcPr>
                  <w:tcW w:w="3820" w:type="dxa"/>
                  <w:gridSpan w:val="2"/>
                </w:tcPr>
                <w:p w14:paraId="0CD90BD3" w14:textId="77777777" w:rsidR="00BD06C4" w:rsidRPr="0037164C" w:rsidRDefault="00BD06C4" w:rsidP="00BD06C4">
                  <w:pPr>
                    <w:pStyle w:val="NoSpacing"/>
                  </w:pPr>
                  <w:r w:rsidRPr="0037164C">
                    <w:rPr>
                      <w:bCs/>
                      <w:i/>
                      <w:iCs/>
                      <w:lang w:val="en-GB"/>
                    </w:rPr>
                    <w:t xml:space="preserve">2. And how much would you say that the political system in [country] allows people like you to </w:t>
                  </w:r>
                  <w:r w:rsidRPr="0037164C">
                    <w:rPr>
                      <w:bCs/>
                      <w:i/>
                      <w:iCs/>
                      <w:u w:val="single"/>
                      <w:lang w:val="en-GB"/>
                    </w:rPr>
                    <w:t>have an influence</w:t>
                  </w:r>
                  <w:r w:rsidRPr="0037164C">
                    <w:rPr>
                      <w:bCs/>
                      <w:i/>
                      <w:iCs/>
                      <w:lang w:val="en-GB"/>
                    </w:rPr>
                    <w:t xml:space="preserve"> on politics?</w:t>
                  </w:r>
                </w:p>
              </w:tc>
            </w:tr>
            <w:tr w:rsidR="00BD06C4" w:rsidRPr="0037164C" w14:paraId="118C5521" w14:textId="77777777" w:rsidTr="00A64F0D">
              <w:trPr>
                <w:jc w:val="center"/>
              </w:trPr>
              <w:tc>
                <w:tcPr>
                  <w:tcW w:w="1979" w:type="dxa"/>
                </w:tcPr>
                <w:p w14:paraId="1941953F" w14:textId="77777777" w:rsidR="00BD06C4" w:rsidRPr="0037164C" w:rsidRDefault="00BD06C4" w:rsidP="00BD06C4">
                  <w:pPr>
                    <w:pStyle w:val="NoSpacing"/>
                  </w:pPr>
                  <w:r w:rsidRPr="0037164C">
                    <w:rPr>
                      <w:bCs/>
                    </w:rPr>
                    <w:t xml:space="preserve">1- </w:t>
                  </w:r>
                  <w:r w:rsidRPr="0037164C">
                    <w:rPr>
                      <w:bCs/>
                      <w:i/>
                      <w:iCs/>
                      <w:lang w:val="en-GB"/>
                    </w:rPr>
                    <w:t>Not at all</w:t>
                  </w:r>
                </w:p>
              </w:tc>
              <w:tc>
                <w:tcPr>
                  <w:tcW w:w="1979" w:type="dxa"/>
                </w:tcPr>
                <w:p w14:paraId="04074DC2" w14:textId="77777777" w:rsidR="00BD06C4" w:rsidRPr="0037164C" w:rsidRDefault="00BD06C4" w:rsidP="00BD06C4">
                  <w:pPr>
                    <w:pStyle w:val="NoSpacing"/>
                  </w:pPr>
                  <w:r w:rsidRPr="0037164C">
                    <w:t>8%</w:t>
                  </w:r>
                </w:p>
              </w:tc>
              <w:tc>
                <w:tcPr>
                  <w:tcW w:w="1979" w:type="dxa"/>
                  <w:gridSpan w:val="2"/>
                </w:tcPr>
                <w:p w14:paraId="273EC3F9" w14:textId="77777777" w:rsidR="00BD06C4" w:rsidRPr="0037164C" w:rsidRDefault="00BD06C4" w:rsidP="00BD06C4">
                  <w:pPr>
                    <w:pStyle w:val="NoSpacing"/>
                  </w:pPr>
                  <w:r w:rsidRPr="0037164C">
                    <w:rPr>
                      <w:bCs/>
                    </w:rPr>
                    <w:t xml:space="preserve">1- </w:t>
                  </w:r>
                  <w:r w:rsidRPr="0037164C">
                    <w:rPr>
                      <w:bCs/>
                      <w:i/>
                      <w:iCs/>
                      <w:lang w:val="en-GB"/>
                    </w:rPr>
                    <w:t>Not at all</w:t>
                  </w:r>
                </w:p>
              </w:tc>
              <w:tc>
                <w:tcPr>
                  <w:tcW w:w="1855" w:type="dxa"/>
                </w:tcPr>
                <w:p w14:paraId="2DF0FFA6" w14:textId="77777777" w:rsidR="00BD06C4" w:rsidRPr="0037164C" w:rsidRDefault="00BD06C4" w:rsidP="00BD06C4">
                  <w:pPr>
                    <w:pStyle w:val="NoSpacing"/>
                  </w:pPr>
                  <w:r w:rsidRPr="0037164C">
                    <w:t>16%</w:t>
                  </w:r>
                </w:p>
              </w:tc>
            </w:tr>
            <w:tr w:rsidR="00BD06C4" w:rsidRPr="0037164C" w14:paraId="221D6546" w14:textId="77777777" w:rsidTr="00A64F0D">
              <w:trPr>
                <w:jc w:val="center"/>
              </w:trPr>
              <w:tc>
                <w:tcPr>
                  <w:tcW w:w="1979" w:type="dxa"/>
                </w:tcPr>
                <w:p w14:paraId="4FAA93F3" w14:textId="77777777" w:rsidR="00BD06C4" w:rsidRPr="0037164C" w:rsidRDefault="00BD06C4" w:rsidP="00BD06C4">
                  <w:pPr>
                    <w:pStyle w:val="NoSpacing"/>
                  </w:pPr>
                  <w:r w:rsidRPr="0037164C">
                    <w:rPr>
                      <w:bCs/>
                    </w:rPr>
                    <w:t xml:space="preserve">2- </w:t>
                  </w:r>
                  <w:r w:rsidRPr="0037164C">
                    <w:rPr>
                      <w:bCs/>
                      <w:i/>
                      <w:iCs/>
                      <w:lang w:val="en-GB"/>
                    </w:rPr>
                    <w:t>Very little</w:t>
                  </w:r>
                </w:p>
              </w:tc>
              <w:tc>
                <w:tcPr>
                  <w:tcW w:w="1979" w:type="dxa"/>
                </w:tcPr>
                <w:p w14:paraId="5DFABD9F" w14:textId="77777777" w:rsidR="00BD06C4" w:rsidRPr="0037164C" w:rsidRDefault="00BD06C4" w:rsidP="00BD06C4">
                  <w:pPr>
                    <w:pStyle w:val="NoSpacing"/>
                  </w:pPr>
                  <w:r w:rsidRPr="0037164C">
                    <w:t>22%</w:t>
                  </w:r>
                </w:p>
              </w:tc>
              <w:tc>
                <w:tcPr>
                  <w:tcW w:w="1979" w:type="dxa"/>
                  <w:gridSpan w:val="2"/>
                </w:tcPr>
                <w:p w14:paraId="77496FA0" w14:textId="77777777" w:rsidR="00BD06C4" w:rsidRPr="0037164C" w:rsidRDefault="00BD06C4" w:rsidP="00BD06C4">
                  <w:pPr>
                    <w:pStyle w:val="NoSpacing"/>
                  </w:pPr>
                  <w:r w:rsidRPr="0037164C">
                    <w:rPr>
                      <w:bCs/>
                    </w:rPr>
                    <w:t xml:space="preserve">2- </w:t>
                  </w:r>
                  <w:r w:rsidRPr="0037164C">
                    <w:rPr>
                      <w:bCs/>
                      <w:i/>
                      <w:iCs/>
                      <w:lang w:val="en-GB"/>
                    </w:rPr>
                    <w:t>Very little</w:t>
                  </w:r>
                </w:p>
              </w:tc>
              <w:tc>
                <w:tcPr>
                  <w:tcW w:w="1855" w:type="dxa"/>
                </w:tcPr>
                <w:p w14:paraId="574C386C" w14:textId="77777777" w:rsidR="00BD06C4" w:rsidRPr="0037164C" w:rsidRDefault="00BD06C4" w:rsidP="00BD06C4">
                  <w:pPr>
                    <w:pStyle w:val="NoSpacing"/>
                  </w:pPr>
                  <w:r w:rsidRPr="0037164C">
                    <w:t>30%</w:t>
                  </w:r>
                </w:p>
              </w:tc>
            </w:tr>
            <w:tr w:rsidR="00BD06C4" w:rsidRPr="0037164C" w14:paraId="2A216A5B" w14:textId="77777777" w:rsidTr="00A64F0D">
              <w:trPr>
                <w:jc w:val="center"/>
              </w:trPr>
              <w:tc>
                <w:tcPr>
                  <w:tcW w:w="1979" w:type="dxa"/>
                </w:tcPr>
                <w:p w14:paraId="5CC2E055" w14:textId="77777777" w:rsidR="00BD06C4" w:rsidRPr="0037164C" w:rsidRDefault="00BD06C4" w:rsidP="00BD06C4">
                  <w:pPr>
                    <w:pStyle w:val="NoSpacing"/>
                  </w:pPr>
                  <w:r w:rsidRPr="0037164C">
                    <w:rPr>
                      <w:bCs/>
                    </w:rPr>
                    <w:t xml:space="preserve">3- </w:t>
                  </w:r>
                  <w:r w:rsidRPr="0037164C">
                    <w:rPr>
                      <w:bCs/>
                      <w:i/>
                      <w:iCs/>
                      <w:lang w:val="en-GB"/>
                    </w:rPr>
                    <w:t>Some</w:t>
                  </w:r>
                </w:p>
              </w:tc>
              <w:tc>
                <w:tcPr>
                  <w:tcW w:w="1979" w:type="dxa"/>
                </w:tcPr>
                <w:p w14:paraId="3B24F5AB" w14:textId="77777777" w:rsidR="00BD06C4" w:rsidRPr="0037164C" w:rsidRDefault="00BD06C4" w:rsidP="00BD06C4">
                  <w:pPr>
                    <w:pStyle w:val="NoSpacing"/>
                  </w:pPr>
                  <w:r w:rsidRPr="0037164C">
                    <w:t>26%</w:t>
                  </w:r>
                </w:p>
              </w:tc>
              <w:tc>
                <w:tcPr>
                  <w:tcW w:w="1979" w:type="dxa"/>
                  <w:gridSpan w:val="2"/>
                </w:tcPr>
                <w:p w14:paraId="13F18454" w14:textId="77777777" w:rsidR="00BD06C4" w:rsidRPr="0037164C" w:rsidRDefault="00BD06C4" w:rsidP="00BD06C4">
                  <w:pPr>
                    <w:pStyle w:val="NoSpacing"/>
                  </w:pPr>
                  <w:r w:rsidRPr="0037164C">
                    <w:rPr>
                      <w:bCs/>
                    </w:rPr>
                    <w:t xml:space="preserve">3- </w:t>
                  </w:r>
                  <w:r w:rsidRPr="0037164C">
                    <w:rPr>
                      <w:bCs/>
                      <w:i/>
                      <w:iCs/>
                      <w:lang w:val="en-GB"/>
                    </w:rPr>
                    <w:t>Some</w:t>
                  </w:r>
                </w:p>
              </w:tc>
              <w:tc>
                <w:tcPr>
                  <w:tcW w:w="1855" w:type="dxa"/>
                </w:tcPr>
                <w:p w14:paraId="336E50E0" w14:textId="77777777" w:rsidR="00BD06C4" w:rsidRPr="0037164C" w:rsidRDefault="00BD06C4" w:rsidP="00BD06C4">
                  <w:pPr>
                    <w:pStyle w:val="NoSpacing"/>
                  </w:pPr>
                  <w:r w:rsidRPr="0037164C">
                    <w:t>26%</w:t>
                  </w:r>
                </w:p>
              </w:tc>
            </w:tr>
            <w:tr w:rsidR="00BD06C4" w:rsidRPr="0037164C" w14:paraId="09589CFA" w14:textId="77777777" w:rsidTr="00A64F0D">
              <w:trPr>
                <w:jc w:val="center"/>
              </w:trPr>
              <w:tc>
                <w:tcPr>
                  <w:tcW w:w="1979" w:type="dxa"/>
                </w:tcPr>
                <w:p w14:paraId="5EF9FBC0" w14:textId="77777777" w:rsidR="00BD06C4" w:rsidRPr="0037164C" w:rsidRDefault="00BD06C4" w:rsidP="00BD06C4">
                  <w:pPr>
                    <w:pStyle w:val="NoSpacing"/>
                  </w:pPr>
                  <w:r w:rsidRPr="0037164C">
                    <w:rPr>
                      <w:bCs/>
                    </w:rPr>
                    <w:t xml:space="preserve">4- </w:t>
                  </w:r>
                  <w:r w:rsidRPr="0037164C">
                    <w:rPr>
                      <w:bCs/>
                      <w:i/>
                      <w:iCs/>
                      <w:lang w:val="en-GB"/>
                    </w:rPr>
                    <w:t>A lot</w:t>
                  </w:r>
                </w:p>
              </w:tc>
              <w:tc>
                <w:tcPr>
                  <w:tcW w:w="1979" w:type="dxa"/>
                </w:tcPr>
                <w:p w14:paraId="373BD4A9" w14:textId="77777777" w:rsidR="00BD06C4" w:rsidRPr="0037164C" w:rsidRDefault="00BD06C4" w:rsidP="00BD06C4">
                  <w:pPr>
                    <w:pStyle w:val="NoSpacing"/>
                  </w:pPr>
                  <w:r w:rsidRPr="0037164C">
                    <w:t>34%</w:t>
                  </w:r>
                </w:p>
              </w:tc>
              <w:tc>
                <w:tcPr>
                  <w:tcW w:w="1979" w:type="dxa"/>
                  <w:gridSpan w:val="2"/>
                </w:tcPr>
                <w:p w14:paraId="0D5A1E0E" w14:textId="77777777" w:rsidR="00BD06C4" w:rsidRPr="0037164C" w:rsidRDefault="00BD06C4" w:rsidP="00BD06C4">
                  <w:pPr>
                    <w:pStyle w:val="NoSpacing"/>
                  </w:pPr>
                  <w:r w:rsidRPr="0037164C">
                    <w:rPr>
                      <w:bCs/>
                    </w:rPr>
                    <w:t xml:space="preserve">4- </w:t>
                  </w:r>
                  <w:r w:rsidRPr="0037164C">
                    <w:rPr>
                      <w:bCs/>
                      <w:i/>
                      <w:iCs/>
                      <w:lang w:val="en-GB"/>
                    </w:rPr>
                    <w:t>A lot</w:t>
                  </w:r>
                </w:p>
              </w:tc>
              <w:tc>
                <w:tcPr>
                  <w:tcW w:w="1855" w:type="dxa"/>
                </w:tcPr>
                <w:p w14:paraId="553FBD93" w14:textId="77777777" w:rsidR="00BD06C4" w:rsidRPr="0037164C" w:rsidRDefault="00BD06C4" w:rsidP="00BD06C4">
                  <w:pPr>
                    <w:pStyle w:val="NoSpacing"/>
                  </w:pPr>
                  <w:r w:rsidRPr="0037164C">
                    <w:t>14%</w:t>
                  </w:r>
                </w:p>
              </w:tc>
            </w:tr>
            <w:tr w:rsidR="00BD06C4" w:rsidRPr="0037164C" w14:paraId="71DACF03" w14:textId="77777777" w:rsidTr="00A64F0D">
              <w:trPr>
                <w:jc w:val="center"/>
              </w:trPr>
              <w:tc>
                <w:tcPr>
                  <w:tcW w:w="1979" w:type="dxa"/>
                </w:tcPr>
                <w:p w14:paraId="278ADDDE" w14:textId="77777777" w:rsidR="00BD06C4" w:rsidRPr="0037164C" w:rsidRDefault="00BD06C4" w:rsidP="00BD06C4">
                  <w:pPr>
                    <w:pStyle w:val="NoSpacing"/>
                  </w:pPr>
                  <w:r w:rsidRPr="0037164C">
                    <w:rPr>
                      <w:bCs/>
                    </w:rPr>
                    <w:lastRenderedPageBreak/>
                    <w:t xml:space="preserve">5- </w:t>
                  </w:r>
                  <w:r w:rsidRPr="0037164C">
                    <w:rPr>
                      <w:bCs/>
                      <w:i/>
                      <w:iCs/>
                      <w:lang w:val="en-GB"/>
                    </w:rPr>
                    <w:t>A great deal</w:t>
                  </w:r>
                </w:p>
              </w:tc>
              <w:tc>
                <w:tcPr>
                  <w:tcW w:w="1979" w:type="dxa"/>
                </w:tcPr>
                <w:p w14:paraId="156E4639" w14:textId="77777777" w:rsidR="00BD06C4" w:rsidRPr="0037164C" w:rsidRDefault="00BD06C4" w:rsidP="00BD06C4">
                  <w:pPr>
                    <w:pStyle w:val="NoSpacing"/>
                  </w:pPr>
                  <w:r w:rsidRPr="0037164C">
                    <w:t>10%</w:t>
                  </w:r>
                </w:p>
              </w:tc>
              <w:tc>
                <w:tcPr>
                  <w:tcW w:w="1979" w:type="dxa"/>
                  <w:gridSpan w:val="2"/>
                </w:tcPr>
                <w:p w14:paraId="4288B181" w14:textId="77777777" w:rsidR="00BD06C4" w:rsidRPr="0037164C" w:rsidRDefault="00BD06C4" w:rsidP="00BD06C4">
                  <w:pPr>
                    <w:pStyle w:val="NoSpacing"/>
                  </w:pPr>
                  <w:r w:rsidRPr="0037164C">
                    <w:rPr>
                      <w:bCs/>
                    </w:rPr>
                    <w:t xml:space="preserve">5- </w:t>
                  </w:r>
                  <w:r w:rsidRPr="0037164C">
                    <w:rPr>
                      <w:bCs/>
                      <w:i/>
                      <w:iCs/>
                      <w:lang w:val="en-GB"/>
                    </w:rPr>
                    <w:t>A great deal</w:t>
                  </w:r>
                </w:p>
              </w:tc>
              <w:tc>
                <w:tcPr>
                  <w:tcW w:w="1855" w:type="dxa"/>
                </w:tcPr>
                <w:p w14:paraId="110E6F91" w14:textId="77777777" w:rsidR="00BD06C4" w:rsidRPr="0037164C" w:rsidRDefault="00BD06C4" w:rsidP="00BD06C4">
                  <w:pPr>
                    <w:pStyle w:val="NoSpacing"/>
                  </w:pPr>
                  <w:r w:rsidRPr="0037164C">
                    <w:t>14%</w:t>
                  </w:r>
                </w:p>
              </w:tc>
            </w:tr>
            <w:tr w:rsidR="00BD06C4" w:rsidRPr="0037164C" w14:paraId="5DB47DE5" w14:textId="77777777" w:rsidTr="00A64F0D">
              <w:trPr>
                <w:jc w:val="center"/>
              </w:trPr>
              <w:tc>
                <w:tcPr>
                  <w:tcW w:w="1979" w:type="dxa"/>
                </w:tcPr>
                <w:p w14:paraId="72448EE9" w14:textId="77777777" w:rsidR="00BD06C4" w:rsidRPr="0037164C" w:rsidRDefault="00BD06C4" w:rsidP="00BD06C4">
                  <w:pPr>
                    <w:pStyle w:val="NoSpacing"/>
                    <w:rPr>
                      <w:b/>
                    </w:rPr>
                  </w:pPr>
                  <w:r w:rsidRPr="0037164C">
                    <w:rPr>
                      <w:b/>
                    </w:rPr>
                    <w:t>% of those who responded positively (i.e. answer choices 3, 4 or 5)</w:t>
                  </w:r>
                </w:p>
              </w:tc>
              <w:tc>
                <w:tcPr>
                  <w:tcW w:w="1979" w:type="dxa"/>
                </w:tcPr>
                <w:p w14:paraId="4B2B8558" w14:textId="77777777" w:rsidR="00BD06C4" w:rsidRPr="0037164C" w:rsidRDefault="00BD06C4" w:rsidP="00BD06C4">
                  <w:pPr>
                    <w:pStyle w:val="NoSpacing"/>
                    <w:rPr>
                      <w:b/>
                    </w:rPr>
                  </w:pPr>
                  <w:r w:rsidRPr="0037164C">
                    <w:rPr>
                      <w:b/>
                    </w:rPr>
                    <w:t>(26%+34%+10%) = 70%  </w:t>
                  </w:r>
                </w:p>
              </w:tc>
              <w:tc>
                <w:tcPr>
                  <w:tcW w:w="1979" w:type="dxa"/>
                  <w:gridSpan w:val="2"/>
                </w:tcPr>
                <w:p w14:paraId="5FA74ED1" w14:textId="77777777" w:rsidR="00BD06C4" w:rsidRPr="0037164C" w:rsidRDefault="00BD06C4" w:rsidP="00BD06C4">
                  <w:pPr>
                    <w:pStyle w:val="NoSpacing"/>
                    <w:rPr>
                      <w:b/>
                    </w:rPr>
                  </w:pPr>
                  <w:r w:rsidRPr="0037164C">
                    <w:rPr>
                      <w:b/>
                    </w:rPr>
                    <w:t>% of those who responded positively (i.e. answer choices 3, 4 or 5)</w:t>
                  </w:r>
                </w:p>
              </w:tc>
              <w:tc>
                <w:tcPr>
                  <w:tcW w:w="1855" w:type="dxa"/>
                </w:tcPr>
                <w:p w14:paraId="30879D91" w14:textId="77777777" w:rsidR="00BD06C4" w:rsidRPr="0037164C" w:rsidRDefault="00BD06C4" w:rsidP="00BD06C4">
                  <w:pPr>
                    <w:pStyle w:val="NoSpacing"/>
                    <w:rPr>
                      <w:b/>
                    </w:rPr>
                  </w:pPr>
                  <w:r w:rsidRPr="0037164C">
                    <w:rPr>
                      <w:b/>
                    </w:rPr>
                    <w:t>(26%+14%+14%) = 54%</w:t>
                  </w:r>
                </w:p>
              </w:tc>
            </w:tr>
          </w:tbl>
          <w:p w14:paraId="704E9933" w14:textId="77777777" w:rsidR="00BD06C4" w:rsidRPr="0037164C" w:rsidRDefault="00BD06C4" w:rsidP="00BD06C4">
            <w:pPr>
              <w:pStyle w:val="NoSpacing"/>
            </w:pPr>
          </w:p>
          <w:p w14:paraId="12581FA8" w14:textId="77777777" w:rsidR="00BD06C4" w:rsidRPr="0037164C" w:rsidRDefault="00BD06C4" w:rsidP="00BD06C4">
            <w:pPr>
              <w:pStyle w:val="NoSpacing"/>
              <w:numPr>
                <w:ilvl w:val="0"/>
                <w:numId w:val="123"/>
              </w:numPr>
              <w:rPr>
                <w:lang w:val="en-GB"/>
              </w:rPr>
            </w:pPr>
            <w:r w:rsidRPr="0037164C">
              <w:rPr>
                <w:lang w:val="en-GB"/>
              </w:rPr>
              <w:t xml:space="preserve">Secondly, NSOs need to calculate the simple average of these two cumulative percentages. Continuing with the above example: </w:t>
            </w:r>
          </w:p>
          <w:p w14:paraId="59C339AF" w14:textId="77777777" w:rsidR="00BD06C4" w:rsidRPr="0037164C" w:rsidRDefault="00BD06C4" w:rsidP="00BD06C4">
            <w:pPr>
              <w:pStyle w:val="NoSpacing"/>
              <w:rPr>
                <w:bCs/>
              </w:rPr>
            </w:pPr>
            <w:r w:rsidRPr="0037164C">
              <w:rPr>
                <w:bCs/>
              </w:rPr>
              <w:t>(70% + 54%) / 2 = 62%</w:t>
            </w:r>
          </w:p>
          <w:p w14:paraId="3188DD9F" w14:textId="77777777" w:rsidR="00BD06C4" w:rsidRPr="0037164C" w:rsidRDefault="00BD06C4" w:rsidP="00BD06C4">
            <w:pPr>
              <w:pStyle w:val="NoSpacing"/>
            </w:pPr>
          </w:p>
          <w:p w14:paraId="6AAAD794" w14:textId="77777777" w:rsidR="00BD06C4" w:rsidRPr="0037164C" w:rsidRDefault="00BD06C4" w:rsidP="00BD06C4">
            <w:pPr>
              <w:pStyle w:val="NoSpacing"/>
              <w:rPr>
                <w:i/>
                <w:iCs/>
              </w:rPr>
            </w:pPr>
            <w:r w:rsidRPr="0037164C">
              <w:rPr>
                <w:i/>
                <w:iCs/>
              </w:rPr>
              <w:t>*</w:t>
            </w:r>
            <w:r w:rsidRPr="0037164C">
              <w:rPr>
                <w:i/>
                <w:iCs/>
                <w:u w:val="single"/>
              </w:rPr>
              <w:t>Note:</w:t>
            </w:r>
            <w:r w:rsidRPr="0037164C">
              <w:rPr>
                <w:i/>
                <w:iCs/>
              </w:rPr>
              <w:t xml:space="preserve"> It is important for NSOs to clearly report, for each question, the number of respondents who selected “don’t know” (DK), “no answer” (NA) or “refuse to answer” (RA), and to exclude such respondents from the calculation of cumulative shares of positive responses. For instance, if 65 out of 1000 respondents responded either one of these three options on the first question, the cumulative share of positive responses on this first question will be calculated out of a total of 935 respondents, and the reporting sheet will indicate that for this particular question, x respondents responded DK, y responded NA, and z responded RA.</w:t>
            </w:r>
          </w:p>
          <w:p w14:paraId="371D3929" w14:textId="77777777" w:rsidR="00BD06C4" w:rsidRPr="0037164C" w:rsidRDefault="00BD06C4" w:rsidP="00BD06C4">
            <w:pPr>
              <w:pStyle w:val="NoSpacing"/>
            </w:pPr>
          </w:p>
          <w:p w14:paraId="77269F0D" w14:textId="77777777" w:rsidR="00BD06C4" w:rsidRPr="0037164C" w:rsidRDefault="00BD06C4" w:rsidP="00BD06C4">
            <w:pPr>
              <w:pStyle w:val="NoSpacing"/>
            </w:pPr>
            <w:r w:rsidRPr="0037164C">
              <w:t xml:space="preserve">Overall, global reporting on SDG 16.7.2 will require: </w:t>
            </w:r>
          </w:p>
          <w:p w14:paraId="1FB0A8AA" w14:textId="77777777" w:rsidR="00BD06C4" w:rsidRPr="0037164C" w:rsidRDefault="00BD06C4" w:rsidP="00BD06C4">
            <w:pPr>
              <w:pStyle w:val="NoSpacing"/>
              <w:numPr>
                <w:ilvl w:val="0"/>
                <w:numId w:val="125"/>
              </w:numPr>
              <w:rPr>
                <w:lang w:val="en-GB"/>
              </w:rPr>
            </w:pPr>
            <w:r w:rsidRPr="0037164C">
              <w:rPr>
                <w:lang w:val="en-GB"/>
              </w:rPr>
              <w:t>Distributions of answers across all answer options, for each one of the two questions;</w:t>
            </w:r>
          </w:p>
          <w:p w14:paraId="57434DCF" w14:textId="77777777" w:rsidR="00BD06C4" w:rsidRPr="0037164C" w:rsidRDefault="00BD06C4" w:rsidP="00BD06C4">
            <w:pPr>
              <w:pStyle w:val="NoSpacing"/>
              <w:numPr>
                <w:ilvl w:val="0"/>
                <w:numId w:val="125"/>
              </w:numPr>
              <w:rPr>
                <w:lang w:val="en-GB"/>
              </w:rPr>
            </w:pPr>
            <w:r w:rsidRPr="0037164C">
              <w:rPr>
                <w:lang w:val="en-GB"/>
              </w:rPr>
              <w:t xml:space="preserve">Cumulative share of respondents who responded positively to each question (i.e. the cumulative percentage of respondents who responded 3-'some', 4-'a lot' or 5-'a great deal'); and </w:t>
            </w:r>
          </w:p>
          <w:p w14:paraId="4C0CE60D" w14:textId="77777777" w:rsidR="00BD06C4" w:rsidRPr="0037164C" w:rsidRDefault="00BD06C4" w:rsidP="00BD06C4">
            <w:pPr>
              <w:pStyle w:val="NoSpacing"/>
              <w:numPr>
                <w:ilvl w:val="0"/>
                <w:numId w:val="125"/>
              </w:numPr>
              <w:rPr>
                <w:lang w:val="en-GB"/>
              </w:rPr>
            </w:pPr>
            <w:proofErr w:type="gramStart"/>
            <w:r w:rsidRPr="0037164C">
              <w:rPr>
                <w:lang w:val="en-GB"/>
              </w:rPr>
              <w:t>simple</w:t>
            </w:r>
            <w:proofErr w:type="gramEnd"/>
            <w:r w:rsidRPr="0037164C">
              <w:rPr>
                <w:lang w:val="en-GB"/>
              </w:rPr>
              <w:t xml:space="preserve"> average of these two cumulative percentages.</w:t>
            </w:r>
          </w:p>
          <w:p w14:paraId="25E2511F" w14:textId="77777777" w:rsidR="00BD06C4" w:rsidRDefault="00BD06C4" w:rsidP="00BD06C4">
            <w:pPr>
              <w:pStyle w:val="NoSpacing"/>
            </w:pPr>
          </w:p>
        </w:tc>
        <w:tc>
          <w:tcPr>
            <w:tcW w:w="0" w:type="auto"/>
          </w:tcPr>
          <w:p w14:paraId="764EE847" w14:textId="77777777" w:rsidR="00BD06C4" w:rsidRPr="00670478" w:rsidRDefault="00BD06C4" w:rsidP="00BD06C4">
            <w:pPr>
              <w:pStyle w:val="NoSpacing"/>
            </w:pPr>
            <w:r w:rsidRPr="00C35EC4">
              <w:lastRenderedPageBreak/>
              <w:t>NSOs should identify suitable survey vehicles</w:t>
            </w:r>
          </w:p>
        </w:tc>
        <w:tc>
          <w:tcPr>
            <w:tcW w:w="0" w:type="auto"/>
          </w:tcPr>
          <w:p w14:paraId="4C31D9B6" w14:textId="77777777" w:rsidR="00BD06C4" w:rsidRPr="000175CD" w:rsidRDefault="00BD06C4" w:rsidP="00BD06C4">
            <w:pPr>
              <w:pStyle w:val="NoSpacing"/>
              <w:rPr>
                <w:lang w:eastAsia="en-GB"/>
              </w:rPr>
            </w:pPr>
            <w:r w:rsidRPr="000175CD">
              <w:rPr>
                <w:lang w:eastAsia="en-GB"/>
              </w:rPr>
              <w:t xml:space="preserve">National Statistical Offices </w:t>
            </w:r>
          </w:p>
          <w:p w14:paraId="2F7A06F1" w14:textId="77777777" w:rsidR="00BD06C4" w:rsidRDefault="00BD06C4" w:rsidP="00BD06C4">
            <w:pPr>
              <w:pStyle w:val="NoSpacing"/>
            </w:pPr>
          </w:p>
        </w:tc>
        <w:tc>
          <w:tcPr>
            <w:tcW w:w="0" w:type="auto"/>
          </w:tcPr>
          <w:p w14:paraId="143D0800" w14:textId="21FB57D4" w:rsidR="00BD06C4" w:rsidRPr="00D91C6A" w:rsidRDefault="00BD06C4" w:rsidP="00BD06C4">
            <w:pPr>
              <w:pStyle w:val="NoSpacing"/>
            </w:pPr>
          </w:p>
        </w:tc>
        <w:tc>
          <w:tcPr>
            <w:tcW w:w="0" w:type="auto"/>
          </w:tcPr>
          <w:p w14:paraId="04689D21" w14:textId="77777777" w:rsidR="00BD06C4" w:rsidRPr="00D91C6A" w:rsidRDefault="00BD06C4" w:rsidP="00BD06C4">
            <w:pPr>
              <w:pStyle w:val="NoSpacing"/>
            </w:pPr>
            <w:r w:rsidRPr="00D91C6A">
              <w:t>BBS</w:t>
            </w:r>
          </w:p>
          <w:p w14:paraId="3C60A626" w14:textId="77777777" w:rsidR="00BD06C4" w:rsidRPr="00D91C6A" w:rsidRDefault="00BD06C4" w:rsidP="00BD06C4">
            <w:pPr>
              <w:pStyle w:val="NoSpacing"/>
            </w:pPr>
            <w:r w:rsidRPr="00D91C6A">
              <w:t>CPHS</w:t>
            </w:r>
          </w:p>
        </w:tc>
        <w:tc>
          <w:tcPr>
            <w:tcW w:w="0" w:type="auto"/>
          </w:tcPr>
          <w:p w14:paraId="62D2CB41"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4BCC7972" w14:textId="6A4D08DA"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w:t>
            </w:r>
            <w:r w:rsidR="00382D17">
              <w:rPr>
                <w:rFonts w:ascii="Tw Cen MT Condensed" w:hAnsi="Tw Cen MT Condensed"/>
                <w:sz w:val="20"/>
                <w:szCs w:val="20"/>
              </w:rPr>
              <w:t>: 15-24 yrs, 25-64 yrs, 64+ yrs</w:t>
            </w:r>
          </w:p>
          <w:p w14:paraId="7E5BD56A" w14:textId="28597B0A"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Disability </w:t>
            </w:r>
            <w:r w:rsidR="00382D17">
              <w:rPr>
                <w:rFonts w:ascii="Tw Cen MT Condensed" w:hAnsi="Tw Cen MT Condensed"/>
                <w:sz w:val="20"/>
                <w:szCs w:val="20"/>
              </w:rPr>
              <w:t>:  Disable/ non Disable</w:t>
            </w:r>
          </w:p>
          <w:p w14:paraId="24173CE5"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Population Group</w:t>
            </w:r>
          </w:p>
          <w:p w14:paraId="2A87DA8F" w14:textId="77777777" w:rsidR="00BD06C4" w:rsidRDefault="00BD06C4" w:rsidP="00BD06C4">
            <w:pPr>
              <w:ind w:left="970" w:hanging="970"/>
              <w:jc w:val="both"/>
              <w:rPr>
                <w:color w:val="0070C0"/>
                <w:sz w:val="30"/>
                <w:szCs w:val="30"/>
              </w:rPr>
            </w:pPr>
          </w:p>
        </w:tc>
        <w:tc>
          <w:tcPr>
            <w:tcW w:w="0" w:type="auto"/>
          </w:tcPr>
          <w:p w14:paraId="38D870B9" w14:textId="77777777" w:rsidR="00BD06C4" w:rsidRDefault="00BD06C4" w:rsidP="00BD06C4">
            <w:pPr>
              <w:ind w:left="970" w:hanging="970"/>
              <w:jc w:val="both"/>
              <w:rPr>
                <w:color w:val="0070C0"/>
                <w:sz w:val="30"/>
                <w:szCs w:val="30"/>
              </w:rPr>
            </w:pPr>
            <w:r>
              <w:rPr>
                <w:color w:val="0070C0"/>
                <w:sz w:val="30"/>
                <w:szCs w:val="30"/>
              </w:rPr>
              <w:lastRenderedPageBreak/>
              <w:t>-</w:t>
            </w:r>
          </w:p>
        </w:tc>
        <w:tc>
          <w:tcPr>
            <w:tcW w:w="0" w:type="auto"/>
          </w:tcPr>
          <w:p w14:paraId="62693BB4" w14:textId="77777777" w:rsidR="00BD06C4" w:rsidRDefault="00BD06C4" w:rsidP="00BD06C4">
            <w:pPr>
              <w:ind w:left="970" w:hanging="970"/>
              <w:jc w:val="both"/>
              <w:rPr>
                <w:color w:val="0070C0"/>
                <w:sz w:val="30"/>
                <w:szCs w:val="30"/>
              </w:rPr>
            </w:pPr>
            <w:r>
              <w:t>Group 2</w:t>
            </w:r>
          </w:p>
        </w:tc>
        <w:tc>
          <w:tcPr>
            <w:tcW w:w="0" w:type="auto"/>
          </w:tcPr>
          <w:p w14:paraId="1166F035" w14:textId="77777777" w:rsidR="00BD06C4" w:rsidRDefault="00BD06C4" w:rsidP="00BD06C4">
            <w:pPr>
              <w:pStyle w:val="NoSpacing"/>
            </w:pPr>
            <w:r>
              <w:t>1</w:t>
            </w:r>
            <w:r w:rsidRPr="00013ACB">
              <w:rPr>
                <w:vertAlign w:val="superscript"/>
              </w:rPr>
              <w:t>st</w:t>
            </w:r>
            <w:r>
              <w:t xml:space="preserve"> Round:</w:t>
            </w:r>
          </w:p>
          <w:p w14:paraId="3519CBF7" w14:textId="77777777" w:rsidR="00BD06C4" w:rsidRDefault="00BD06C4" w:rsidP="00BD06C4">
            <w:pPr>
              <w:pStyle w:val="NoSpacing"/>
            </w:pPr>
            <w:r>
              <w:t>June 2020</w:t>
            </w:r>
          </w:p>
          <w:p w14:paraId="39B28ABD" w14:textId="77777777" w:rsidR="00BD06C4" w:rsidRDefault="00BD06C4" w:rsidP="00BD06C4">
            <w:pPr>
              <w:pStyle w:val="NoSpacing"/>
            </w:pPr>
          </w:p>
          <w:p w14:paraId="11813D7E" w14:textId="77777777" w:rsidR="00BD06C4" w:rsidRDefault="00BD06C4" w:rsidP="00BD06C4">
            <w:pPr>
              <w:pStyle w:val="NoSpacing"/>
            </w:pPr>
            <w:r>
              <w:t>2</w:t>
            </w:r>
            <w:r w:rsidRPr="00013ACB">
              <w:rPr>
                <w:vertAlign w:val="superscript"/>
              </w:rPr>
              <w:t>nd</w:t>
            </w:r>
            <w:r>
              <w:t xml:space="preserve"> Round:</w:t>
            </w:r>
          </w:p>
          <w:p w14:paraId="2620D388" w14:textId="77777777" w:rsidR="00BD06C4" w:rsidRDefault="00BD06C4" w:rsidP="00BD06C4">
            <w:pPr>
              <w:pStyle w:val="NoSpacing"/>
            </w:pPr>
            <w:r>
              <w:t xml:space="preserve">June </w:t>
            </w:r>
            <w:r>
              <w:lastRenderedPageBreak/>
              <w:t>2021</w:t>
            </w:r>
          </w:p>
          <w:p w14:paraId="545FCA31" w14:textId="77777777" w:rsidR="00BD06C4" w:rsidRDefault="00BD06C4" w:rsidP="00BD06C4">
            <w:pPr>
              <w:pStyle w:val="NoSpacing"/>
            </w:pPr>
          </w:p>
          <w:p w14:paraId="79DCA612" w14:textId="77777777" w:rsidR="00BD06C4" w:rsidRDefault="00BD06C4" w:rsidP="00BD06C4">
            <w:pPr>
              <w:pStyle w:val="NoSpacing"/>
            </w:pPr>
            <w:r>
              <w:t>3</w:t>
            </w:r>
            <w:r w:rsidRPr="00013ACB">
              <w:rPr>
                <w:vertAlign w:val="superscript"/>
              </w:rPr>
              <w:t>rd</w:t>
            </w:r>
            <w:r>
              <w:t xml:space="preserve"> Round: June 2022</w:t>
            </w:r>
          </w:p>
          <w:p w14:paraId="20DBEC70" w14:textId="77777777" w:rsidR="00BD06C4" w:rsidRDefault="00BD06C4" w:rsidP="00BD06C4">
            <w:pPr>
              <w:pStyle w:val="NoSpacing"/>
            </w:pPr>
          </w:p>
          <w:p w14:paraId="300A4DBE" w14:textId="77777777" w:rsidR="00BD06C4" w:rsidRDefault="00BD06C4" w:rsidP="00BD06C4">
            <w:pPr>
              <w:pStyle w:val="NoSpacing"/>
            </w:pPr>
            <w:r>
              <w:t>4</w:t>
            </w:r>
            <w:r w:rsidRPr="00013ACB">
              <w:rPr>
                <w:vertAlign w:val="superscript"/>
              </w:rPr>
              <w:t>th</w:t>
            </w:r>
            <w:r>
              <w:t xml:space="preserve"> Round: </w:t>
            </w:r>
          </w:p>
          <w:p w14:paraId="16554FB0" w14:textId="77777777" w:rsidR="00BD06C4" w:rsidRDefault="00BD06C4" w:rsidP="00BD06C4">
            <w:pPr>
              <w:pStyle w:val="NoSpacing"/>
            </w:pPr>
            <w:r>
              <w:t>June 2023</w:t>
            </w:r>
          </w:p>
          <w:p w14:paraId="61DEC85C" w14:textId="77777777" w:rsidR="00BD06C4" w:rsidRDefault="00BD06C4" w:rsidP="00BD06C4">
            <w:pPr>
              <w:pStyle w:val="NoSpacing"/>
            </w:pPr>
          </w:p>
          <w:p w14:paraId="3AB95ED1" w14:textId="77777777" w:rsidR="00BD06C4" w:rsidRDefault="00BD06C4" w:rsidP="00BD06C4">
            <w:pPr>
              <w:pStyle w:val="NoSpacing"/>
            </w:pPr>
            <w:r>
              <w:t>5</w:t>
            </w:r>
            <w:r w:rsidRPr="00013ACB">
              <w:rPr>
                <w:vertAlign w:val="superscript"/>
              </w:rPr>
              <w:t>th</w:t>
            </w:r>
            <w:r>
              <w:t xml:space="preserve"> Round: </w:t>
            </w:r>
          </w:p>
          <w:p w14:paraId="74775941" w14:textId="77777777" w:rsidR="00BD06C4" w:rsidRDefault="00BD06C4" w:rsidP="00BD06C4">
            <w:pPr>
              <w:pStyle w:val="NoSpacing"/>
            </w:pPr>
            <w:r>
              <w:t>June 2024</w:t>
            </w:r>
          </w:p>
          <w:p w14:paraId="21A810F2" w14:textId="77777777" w:rsidR="00BD06C4" w:rsidRDefault="00BD06C4" w:rsidP="00BD06C4">
            <w:pPr>
              <w:ind w:left="970" w:hanging="970"/>
              <w:jc w:val="both"/>
              <w:rPr>
                <w:color w:val="0070C0"/>
                <w:sz w:val="30"/>
                <w:szCs w:val="30"/>
              </w:rPr>
            </w:pPr>
          </w:p>
          <w:p w14:paraId="7A2441B4" w14:textId="77777777" w:rsidR="00BD06C4" w:rsidRDefault="00BD06C4" w:rsidP="00BD06C4">
            <w:pPr>
              <w:ind w:left="970" w:hanging="970"/>
              <w:jc w:val="both"/>
              <w:rPr>
                <w:color w:val="0070C0"/>
                <w:sz w:val="30"/>
                <w:szCs w:val="30"/>
              </w:rPr>
            </w:pPr>
          </w:p>
        </w:tc>
        <w:tc>
          <w:tcPr>
            <w:tcW w:w="0" w:type="auto"/>
          </w:tcPr>
          <w:p w14:paraId="5BF98402" w14:textId="77777777" w:rsidR="00BD06C4" w:rsidRDefault="00BD06C4" w:rsidP="00BD06C4">
            <w:pPr>
              <w:pStyle w:val="NoSpacing"/>
            </w:pPr>
            <w:r w:rsidRPr="00A41B47">
              <w:lastRenderedPageBreak/>
              <w:t>Reviewed at 9th IAEG-SDG meeting (classified as Tier II)</w:t>
            </w:r>
          </w:p>
        </w:tc>
      </w:tr>
      <w:tr w:rsidR="00BD06C4" w14:paraId="192B157C" w14:textId="77777777" w:rsidTr="00A64F0D">
        <w:tc>
          <w:tcPr>
            <w:tcW w:w="0" w:type="auto"/>
          </w:tcPr>
          <w:p w14:paraId="502E4D34" w14:textId="77777777" w:rsidR="00BD06C4" w:rsidRDefault="00BD06C4" w:rsidP="00BD06C4">
            <w:pPr>
              <w:ind w:left="970" w:hanging="970"/>
              <w:jc w:val="both"/>
              <w:rPr>
                <w:color w:val="0070C0"/>
                <w:sz w:val="30"/>
                <w:szCs w:val="30"/>
              </w:rPr>
            </w:pPr>
          </w:p>
        </w:tc>
        <w:tc>
          <w:tcPr>
            <w:tcW w:w="0" w:type="auto"/>
            <w:gridSpan w:val="12"/>
          </w:tcPr>
          <w:p w14:paraId="1B54A42D"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16.8 Broaden and strengthen the participation of developing countries in the institutions of global governance</w:t>
            </w:r>
          </w:p>
        </w:tc>
      </w:tr>
      <w:tr w:rsidR="00BD06C4" w14:paraId="1F23AC3F" w14:textId="77777777" w:rsidTr="00A64F0D">
        <w:tc>
          <w:tcPr>
            <w:tcW w:w="0" w:type="auto"/>
          </w:tcPr>
          <w:p w14:paraId="24E4064C" w14:textId="77777777" w:rsidR="00BD06C4" w:rsidRPr="00BA046C" w:rsidRDefault="00BD06C4" w:rsidP="00BD06C4">
            <w:pPr>
              <w:pStyle w:val="NoSpacing"/>
            </w:pPr>
            <w:r w:rsidRPr="00BA046C">
              <w:t xml:space="preserve">16.8.1 Proportion of members and voting rights of developing countries in international </w:t>
            </w:r>
            <w:r w:rsidRPr="00BA046C">
              <w:lastRenderedPageBreak/>
              <w:t>organizations</w:t>
            </w:r>
          </w:p>
        </w:tc>
        <w:tc>
          <w:tcPr>
            <w:tcW w:w="0" w:type="auto"/>
          </w:tcPr>
          <w:p w14:paraId="5AD259B0" w14:textId="77777777" w:rsidR="00BD06C4" w:rsidRDefault="00BD06C4" w:rsidP="00BD06C4">
            <w:pPr>
              <w:ind w:left="970" w:hanging="970"/>
              <w:jc w:val="both"/>
              <w:rPr>
                <w:color w:val="0070C0"/>
                <w:sz w:val="30"/>
                <w:szCs w:val="30"/>
              </w:rPr>
            </w:pPr>
          </w:p>
          <w:p w14:paraId="52C7AB19" w14:textId="77777777" w:rsidR="00BD06C4" w:rsidRDefault="00BD06C4" w:rsidP="00BD06C4">
            <w:pPr>
              <w:pStyle w:val="NoSpacing"/>
            </w:pPr>
            <w:r w:rsidRPr="007145C8">
              <w:t>DESA/FFDO</w:t>
            </w:r>
          </w:p>
        </w:tc>
        <w:tc>
          <w:tcPr>
            <w:tcW w:w="0" w:type="auto"/>
          </w:tcPr>
          <w:p w14:paraId="50FBC914" w14:textId="77777777" w:rsidR="00BD06C4" w:rsidRDefault="00BD06C4" w:rsidP="00BD06C4">
            <w:pPr>
              <w:ind w:left="970" w:hanging="970"/>
              <w:jc w:val="both"/>
              <w:rPr>
                <w:color w:val="0070C0"/>
                <w:sz w:val="30"/>
                <w:szCs w:val="30"/>
              </w:rPr>
            </w:pPr>
            <w:r>
              <w:t>Tier I</w:t>
            </w:r>
          </w:p>
        </w:tc>
        <w:tc>
          <w:tcPr>
            <w:tcW w:w="0" w:type="auto"/>
          </w:tcPr>
          <w:p w14:paraId="665DECCA"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b/>
                <w:bCs/>
                <w:color w:val="000000" w:themeColor="text1"/>
                <w:sz w:val="21"/>
                <w:szCs w:val="21"/>
                <w:lang w:eastAsia="en-GB"/>
              </w:rPr>
              <w:t>Definition:</w:t>
            </w:r>
          </w:p>
          <w:p w14:paraId="3C51EA22"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p>
          <w:p w14:paraId="2D8FF1A5"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color w:val="000000" w:themeColor="text1"/>
                <w:sz w:val="21"/>
                <w:szCs w:val="21"/>
                <w:lang w:eastAsia="en-GB"/>
              </w:rPr>
              <w:t>The indicator Proportion of members and voting rights of developing countries in international organizations has two components, the developing country proportion of voting rights and the developing country proportion of membership in international organisations. In some institutions these two components are identical.</w:t>
            </w:r>
          </w:p>
          <w:p w14:paraId="063611E0"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p>
          <w:p w14:paraId="63586410"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color w:val="000000" w:themeColor="text1"/>
                <w:sz w:val="21"/>
                <w:szCs w:val="21"/>
                <w:lang w:eastAsia="en-GB"/>
              </w:rPr>
              <w:t>The indicator is calculated independently for eleven different international institutions: The United Nations General Assembly, the United Nations Security Council, the United Nations Economic and Social Council, the International Monetary Fund, the International Bank for Reconstruction and Development, the International Finance Corporation, the African Development Bank, the Asian Development Bank, the Inter-American Development Bank, the World Trade Organisation, and the Financial Stability Board.</w:t>
            </w:r>
          </w:p>
          <w:p w14:paraId="5103A1AA" w14:textId="77777777" w:rsidR="00BD06C4" w:rsidRPr="00882EAD" w:rsidRDefault="00BD06C4" w:rsidP="00BD06C4">
            <w:pPr>
              <w:shd w:val="clear" w:color="auto" w:fill="FFFFFF"/>
              <w:contextualSpacing/>
              <w:rPr>
                <w:rFonts w:eastAsia="Times New Roman" w:cs="Times New Roman"/>
                <w:b/>
                <w:bCs/>
                <w:color w:val="000000" w:themeColor="text1"/>
                <w:sz w:val="21"/>
                <w:szCs w:val="21"/>
                <w:lang w:eastAsia="en-GB"/>
              </w:rPr>
            </w:pPr>
          </w:p>
          <w:p w14:paraId="135DC729"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b/>
                <w:bCs/>
                <w:color w:val="000000" w:themeColor="text1"/>
                <w:sz w:val="21"/>
                <w:szCs w:val="21"/>
                <w:lang w:eastAsia="en-GB"/>
              </w:rPr>
              <w:lastRenderedPageBreak/>
              <w:t>Concepts:</w:t>
            </w:r>
          </w:p>
          <w:p w14:paraId="0FAE1F8D"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p>
          <w:p w14:paraId="25FD2BC8"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color w:val="000000" w:themeColor="text1"/>
                <w:sz w:val="21"/>
                <w:szCs w:val="21"/>
                <w:lang w:eastAsia="en-GB"/>
              </w:rPr>
              <w:t>There is no established convention for the designation of "developed" and "developing" countries or areas in the United Nations system. In common practice, Japan in Asia, Canada and the United States in Northern America, Australia and New Zealand in Oceania, and Europe are considered "developed" regions or areas. The aggregation across all institutions is currently done according to the United Nations M.49 statistical standard which includes designation of “developed regions” and “developing regions”, while an ongoing review seeks to reach agreement on how to define these terms for the purposes of SDG monitoring. The designations "developed" and developing" are intended for statistical convenience and do not necessarily express a judgement about the stage reached by a particular country or area in the development process.</w:t>
            </w:r>
          </w:p>
          <w:p w14:paraId="7C855D09" w14:textId="77777777" w:rsidR="00BD06C4" w:rsidRPr="00882EAD" w:rsidRDefault="00BD06C4" w:rsidP="00BD06C4">
            <w:pPr>
              <w:shd w:val="clear" w:color="auto" w:fill="FFFFFF"/>
              <w:contextualSpacing/>
              <w:rPr>
                <w:rFonts w:eastAsia="Times New Roman" w:cs="Times New Roman"/>
                <w:b/>
                <w:bCs/>
                <w:color w:val="000000" w:themeColor="text1"/>
                <w:sz w:val="21"/>
                <w:szCs w:val="21"/>
                <w:lang w:eastAsia="en-GB"/>
              </w:rPr>
            </w:pPr>
          </w:p>
          <w:p w14:paraId="234F2A1E"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b/>
                <w:bCs/>
                <w:color w:val="000000" w:themeColor="text1"/>
                <w:sz w:val="21"/>
                <w:szCs w:val="21"/>
                <w:lang w:eastAsia="en-GB"/>
              </w:rPr>
              <w:t>Comments and limitations:</w:t>
            </w:r>
          </w:p>
          <w:p w14:paraId="2F0F8084"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p>
          <w:p w14:paraId="00C2039A"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color w:val="000000" w:themeColor="text1"/>
                <w:sz w:val="21"/>
                <w:szCs w:val="21"/>
                <w:lang w:eastAsia="en-GB"/>
              </w:rPr>
              <w:t>Cross institutional comparisons needs to pay attention to the different membership of the institutions. Voting rights and membership in their institutions are agreed by the Member States themselves. As a structural indicator, there will be only small changes over time to reflect agreement on new States joining as Members, suspension of voting rights, membership withdrawal and negotiated voting rights changes.</w:t>
            </w:r>
          </w:p>
          <w:p w14:paraId="2E10CE8A" w14:textId="77777777" w:rsidR="00BD06C4" w:rsidRPr="00882EAD" w:rsidRDefault="00BD06C4" w:rsidP="00BD06C4">
            <w:pPr>
              <w:shd w:val="clear" w:color="auto" w:fill="FFFFFF"/>
              <w:contextualSpacing/>
              <w:rPr>
                <w:rFonts w:eastAsia="Times New Roman" w:cs="Times New Roman"/>
                <w:b/>
                <w:bCs/>
                <w:color w:val="000000" w:themeColor="text1"/>
                <w:sz w:val="21"/>
                <w:szCs w:val="21"/>
                <w:lang w:eastAsia="en-GB"/>
              </w:rPr>
            </w:pPr>
          </w:p>
          <w:p w14:paraId="55D04253" w14:textId="77777777" w:rsidR="00BD06C4" w:rsidRPr="00882EAD"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b/>
                <w:bCs/>
                <w:color w:val="000000" w:themeColor="text1"/>
                <w:sz w:val="21"/>
                <w:szCs w:val="21"/>
                <w:lang w:eastAsia="en-GB"/>
              </w:rPr>
              <w:t>Computation Method:</w:t>
            </w:r>
          </w:p>
          <w:p w14:paraId="318D465A" w14:textId="77777777" w:rsidR="00BD06C4" w:rsidRDefault="00BD06C4" w:rsidP="00BD06C4">
            <w:pPr>
              <w:shd w:val="clear" w:color="auto" w:fill="FFFFFF"/>
              <w:contextualSpacing/>
              <w:rPr>
                <w:rFonts w:eastAsia="Times New Roman" w:cs="Times New Roman"/>
                <w:color w:val="000000" w:themeColor="text1"/>
                <w:sz w:val="21"/>
                <w:szCs w:val="21"/>
                <w:lang w:eastAsia="en-GB"/>
              </w:rPr>
            </w:pPr>
            <w:r w:rsidRPr="00882EAD">
              <w:rPr>
                <w:rFonts w:eastAsia="Times New Roman" w:cs="Times New Roman"/>
                <w:color w:val="000000" w:themeColor="text1"/>
                <w:sz w:val="21"/>
                <w:szCs w:val="21"/>
                <w:lang w:eastAsia="en-GB"/>
              </w:rPr>
              <w:t>The computation uses each institutions’ own published membership and voting rights data from their respective annual reports. The proportion of voting rights is computed as the number of voting rights allocated to developing countries, divided by the total number of voting rights. The proportion of membership is calculated by taking the number of developing country members, divided by the total number of members.</w:t>
            </w:r>
          </w:p>
          <w:p w14:paraId="13D0C4E9" w14:textId="77777777" w:rsidR="00BD06C4" w:rsidRPr="00AF289B" w:rsidRDefault="00BD06C4" w:rsidP="00BD06C4">
            <w:pPr>
              <w:shd w:val="clear" w:color="auto" w:fill="FFFFFF"/>
              <w:contextualSpacing/>
              <w:rPr>
                <w:rFonts w:eastAsia="Times New Roman" w:cs="Times New Roman"/>
                <w:color w:val="4A4A4A"/>
                <w:sz w:val="21"/>
                <w:szCs w:val="21"/>
                <w:lang w:eastAsia="en-GB"/>
              </w:rPr>
            </w:pPr>
          </w:p>
        </w:tc>
        <w:tc>
          <w:tcPr>
            <w:tcW w:w="0" w:type="auto"/>
          </w:tcPr>
          <w:p w14:paraId="4B1EECCB" w14:textId="77777777" w:rsidR="00BD06C4" w:rsidRPr="00361E79" w:rsidRDefault="00BD06C4" w:rsidP="00BD06C4">
            <w:pPr>
              <w:pStyle w:val="NoSpacing"/>
              <w:rPr>
                <w:lang w:eastAsia="en-GB"/>
              </w:rPr>
            </w:pPr>
            <w:r w:rsidRPr="00361E79">
              <w:rPr>
                <w:lang w:eastAsia="en-GB"/>
              </w:rPr>
              <w:lastRenderedPageBreak/>
              <w:t xml:space="preserve">General Assembly website; Report of the Security Council; Report of the Economic and Social Council, Report of the International Monetary Fund; IBRD's Management’s Discussion &amp; Analysis and </w:t>
            </w:r>
            <w:r w:rsidRPr="00361E79">
              <w:rPr>
                <w:lang w:eastAsia="en-GB"/>
              </w:rPr>
              <w:lastRenderedPageBreak/>
              <w:t>Financial Statements; IFC Annual Report (volume 2); AfDB Annual Report; ADB Annual Report; IADB Annual Report; WTO Annual Report; Charters of the Financial Stability Board</w:t>
            </w:r>
          </w:p>
          <w:p w14:paraId="7C6F12E4" w14:textId="77777777" w:rsidR="00BD06C4" w:rsidRPr="00670478" w:rsidRDefault="00BD06C4" w:rsidP="00BD06C4">
            <w:pPr>
              <w:pStyle w:val="NoSpacing"/>
            </w:pPr>
          </w:p>
        </w:tc>
        <w:tc>
          <w:tcPr>
            <w:tcW w:w="0" w:type="auto"/>
          </w:tcPr>
          <w:p w14:paraId="4C34AB4A" w14:textId="77777777" w:rsidR="00BD06C4" w:rsidRPr="00873FDE" w:rsidRDefault="00BD06C4" w:rsidP="00BD06C4">
            <w:pPr>
              <w:pStyle w:val="NoSpacing"/>
            </w:pPr>
            <w:r w:rsidRPr="00873FDE">
              <w:lastRenderedPageBreak/>
              <w:t>UNGA, UNSC, ECOSOC, IMF, IBRD, IFC, AfDB, ADB, IADB, WTO, FSB.</w:t>
            </w:r>
          </w:p>
        </w:tc>
        <w:tc>
          <w:tcPr>
            <w:tcW w:w="0" w:type="auto"/>
          </w:tcPr>
          <w:p w14:paraId="1B9C1678" w14:textId="77777777" w:rsidR="00BD06C4" w:rsidRPr="00D049DE" w:rsidRDefault="00BD06C4" w:rsidP="00BD06C4">
            <w:pPr>
              <w:pStyle w:val="NoSpacing"/>
            </w:pPr>
            <w:r w:rsidRPr="00D049DE">
              <w:t>a) ERD</w:t>
            </w:r>
          </w:p>
          <w:p w14:paraId="57C0B449" w14:textId="77777777" w:rsidR="00BD06C4" w:rsidRPr="00D91C6A" w:rsidRDefault="00BD06C4" w:rsidP="00BD06C4">
            <w:pPr>
              <w:pStyle w:val="NoSpacing"/>
            </w:pPr>
            <w:r w:rsidRPr="00D049DE">
              <w:t>Administrative Data</w:t>
            </w:r>
          </w:p>
        </w:tc>
        <w:tc>
          <w:tcPr>
            <w:tcW w:w="0" w:type="auto"/>
          </w:tcPr>
          <w:p w14:paraId="16D14477" w14:textId="77777777" w:rsidR="00BD06C4" w:rsidRPr="00D049DE" w:rsidRDefault="00BD06C4" w:rsidP="00BD06C4">
            <w:pPr>
              <w:pStyle w:val="NoSpacing"/>
            </w:pPr>
            <w:r w:rsidRPr="00D049DE">
              <w:t>a) ERD</w:t>
            </w:r>
          </w:p>
          <w:p w14:paraId="753C4AF1" w14:textId="77777777" w:rsidR="00BD06C4" w:rsidRDefault="00BD06C4" w:rsidP="00BD06C4">
            <w:pPr>
              <w:pStyle w:val="NoSpacing"/>
            </w:pPr>
            <w:r w:rsidRPr="00D049DE">
              <w:t>b) MoFA</w:t>
            </w:r>
          </w:p>
          <w:p w14:paraId="2513E4DB" w14:textId="77777777" w:rsidR="00BD06C4" w:rsidRPr="00D049DE" w:rsidRDefault="00BD06C4" w:rsidP="00BD06C4">
            <w:pPr>
              <w:pStyle w:val="NoSpacing"/>
            </w:pPr>
            <w:r w:rsidRPr="00D049DE">
              <w:t>Administrative Data</w:t>
            </w:r>
          </w:p>
        </w:tc>
        <w:tc>
          <w:tcPr>
            <w:tcW w:w="0" w:type="auto"/>
          </w:tcPr>
          <w:p w14:paraId="073F6F38" w14:textId="77777777" w:rsidR="00BD06C4" w:rsidRDefault="00BD06C4" w:rsidP="00BD06C4">
            <w:pPr>
              <w:pStyle w:val="NoSpacing"/>
              <w:rPr>
                <w:color w:val="0070C0"/>
                <w:sz w:val="30"/>
                <w:szCs w:val="30"/>
              </w:rPr>
            </w:pPr>
            <w:r>
              <w:t>Institutional Organization</w:t>
            </w:r>
          </w:p>
        </w:tc>
        <w:tc>
          <w:tcPr>
            <w:tcW w:w="0" w:type="auto"/>
          </w:tcPr>
          <w:p w14:paraId="279A59AA" w14:textId="77777777" w:rsidR="00BD06C4" w:rsidRPr="00D049DE" w:rsidRDefault="00BD06C4" w:rsidP="00BD06C4">
            <w:pPr>
              <w:pStyle w:val="NoSpacing"/>
            </w:pPr>
            <w:r w:rsidRPr="00D049DE">
              <w:t>a)  Annually (Tri-Annually)</w:t>
            </w:r>
          </w:p>
          <w:p w14:paraId="676E8993" w14:textId="77777777" w:rsidR="00BD06C4" w:rsidRPr="00D049DE" w:rsidRDefault="00BD06C4" w:rsidP="00BD06C4">
            <w:pPr>
              <w:pStyle w:val="NoSpacing"/>
            </w:pPr>
            <w:r w:rsidRPr="00D049DE">
              <w:t>b) Annually</w:t>
            </w:r>
          </w:p>
          <w:p w14:paraId="16A0BCCC" w14:textId="77777777" w:rsidR="00BD06C4" w:rsidRPr="00D049DE" w:rsidRDefault="00BD06C4" w:rsidP="00BD06C4">
            <w:pPr>
              <w:pStyle w:val="NoSpacing"/>
            </w:pPr>
            <w:r w:rsidRPr="00D049DE">
              <w:t>c) Annually</w:t>
            </w:r>
          </w:p>
          <w:p w14:paraId="2F77A345" w14:textId="77777777" w:rsidR="00BD06C4" w:rsidRPr="00D049DE" w:rsidRDefault="00BD06C4" w:rsidP="00BD06C4">
            <w:pPr>
              <w:pStyle w:val="NoSpacing"/>
            </w:pPr>
            <w:r w:rsidRPr="00D049DE">
              <w:t xml:space="preserve">d) (As </w:t>
            </w:r>
            <w:r w:rsidRPr="00D049DE">
              <w:lastRenderedPageBreak/>
              <w:t>per IDA-18) Tri-Annually</w:t>
            </w:r>
          </w:p>
          <w:p w14:paraId="1BBF5AA5" w14:textId="77777777" w:rsidR="00BD06C4" w:rsidRPr="00D049DE" w:rsidRDefault="00BD06C4" w:rsidP="00BD06C4">
            <w:pPr>
              <w:pStyle w:val="NoSpacing"/>
            </w:pPr>
          </w:p>
          <w:p w14:paraId="170537D9" w14:textId="77777777" w:rsidR="00BD06C4" w:rsidRPr="00D049DE" w:rsidRDefault="00BD06C4" w:rsidP="00BD06C4">
            <w:pPr>
              <w:pStyle w:val="NoSpacing"/>
            </w:pPr>
            <w:r w:rsidRPr="00D049DE">
              <w:t>f)  02 years</w:t>
            </w:r>
          </w:p>
        </w:tc>
        <w:tc>
          <w:tcPr>
            <w:tcW w:w="0" w:type="auto"/>
          </w:tcPr>
          <w:p w14:paraId="3E3C3362" w14:textId="77777777" w:rsidR="00BD06C4" w:rsidRDefault="00BD06C4" w:rsidP="00BD06C4">
            <w:pPr>
              <w:ind w:left="970" w:hanging="970"/>
              <w:jc w:val="both"/>
              <w:rPr>
                <w:color w:val="0070C0"/>
                <w:sz w:val="30"/>
                <w:szCs w:val="30"/>
              </w:rPr>
            </w:pPr>
            <w:r>
              <w:lastRenderedPageBreak/>
              <w:t>Group 1</w:t>
            </w:r>
          </w:p>
        </w:tc>
        <w:tc>
          <w:tcPr>
            <w:tcW w:w="0" w:type="auto"/>
          </w:tcPr>
          <w:p w14:paraId="32C40873" w14:textId="77777777" w:rsidR="00BD06C4" w:rsidRDefault="00BD06C4" w:rsidP="00BD06C4">
            <w:pPr>
              <w:pStyle w:val="NoSpacing"/>
            </w:pPr>
          </w:p>
          <w:p w14:paraId="2584E065" w14:textId="77777777" w:rsidR="00BD06C4" w:rsidRDefault="00BD06C4" w:rsidP="00BD06C4">
            <w:pPr>
              <w:pStyle w:val="NoSpacing"/>
            </w:pPr>
          </w:p>
          <w:p w14:paraId="75A15A81" w14:textId="77777777" w:rsidR="00BD06C4" w:rsidRDefault="00BD06C4" w:rsidP="00BD06C4">
            <w:pPr>
              <w:pStyle w:val="NoSpacing"/>
            </w:pPr>
            <w:r>
              <w:t>1</w:t>
            </w:r>
            <w:r w:rsidRPr="00013ACB">
              <w:rPr>
                <w:vertAlign w:val="superscript"/>
              </w:rPr>
              <w:t>st</w:t>
            </w:r>
            <w:r>
              <w:t xml:space="preserve"> Round:</w:t>
            </w:r>
          </w:p>
          <w:p w14:paraId="4A1A0292" w14:textId="77777777" w:rsidR="00BD06C4" w:rsidRDefault="00BD06C4" w:rsidP="00BD06C4">
            <w:pPr>
              <w:pStyle w:val="NoSpacing"/>
            </w:pPr>
            <w:r>
              <w:t>2018</w:t>
            </w:r>
          </w:p>
          <w:p w14:paraId="62E170AE" w14:textId="77777777" w:rsidR="00BD06C4" w:rsidRDefault="00BD06C4" w:rsidP="00BD06C4">
            <w:pPr>
              <w:pStyle w:val="NoSpacing"/>
            </w:pPr>
          </w:p>
          <w:p w14:paraId="7DACB4A6" w14:textId="77777777" w:rsidR="00BD06C4" w:rsidRDefault="00BD06C4" w:rsidP="00BD06C4">
            <w:pPr>
              <w:pStyle w:val="NoSpacing"/>
            </w:pPr>
            <w:r>
              <w:t>2</w:t>
            </w:r>
            <w:r w:rsidRPr="00013ACB">
              <w:rPr>
                <w:vertAlign w:val="superscript"/>
              </w:rPr>
              <w:t>nd</w:t>
            </w:r>
            <w:r>
              <w:t xml:space="preserve"> Round:</w:t>
            </w:r>
          </w:p>
          <w:p w14:paraId="659B44A8" w14:textId="77777777" w:rsidR="00BD06C4" w:rsidRDefault="00BD06C4" w:rsidP="00BD06C4">
            <w:pPr>
              <w:pStyle w:val="NoSpacing"/>
            </w:pPr>
            <w:r>
              <w:t xml:space="preserve"> </w:t>
            </w:r>
            <w:r w:rsidRPr="00C3536E">
              <w:t>July, 2019</w:t>
            </w:r>
          </w:p>
          <w:p w14:paraId="10A5C0B8" w14:textId="77777777" w:rsidR="00BD06C4" w:rsidRDefault="00BD06C4" w:rsidP="00BD06C4">
            <w:pPr>
              <w:pStyle w:val="NoSpacing"/>
            </w:pPr>
          </w:p>
          <w:p w14:paraId="41DF0499" w14:textId="77777777" w:rsidR="00BD06C4" w:rsidRDefault="00BD06C4" w:rsidP="00BD06C4">
            <w:pPr>
              <w:pStyle w:val="NoSpacing"/>
            </w:pPr>
            <w:r>
              <w:t>3</w:t>
            </w:r>
            <w:r w:rsidRPr="00013ACB">
              <w:rPr>
                <w:vertAlign w:val="superscript"/>
              </w:rPr>
              <w:t>rd</w:t>
            </w:r>
            <w:r>
              <w:t xml:space="preserve"> </w:t>
            </w:r>
            <w:r>
              <w:lastRenderedPageBreak/>
              <w:t xml:space="preserve">Round: </w:t>
            </w:r>
          </w:p>
          <w:p w14:paraId="23C02C70" w14:textId="77777777" w:rsidR="00BD06C4" w:rsidRDefault="00BD06C4" w:rsidP="00BD06C4">
            <w:pPr>
              <w:pStyle w:val="NoSpacing"/>
            </w:pPr>
            <w:r>
              <w:t>July, 2020</w:t>
            </w:r>
          </w:p>
          <w:p w14:paraId="1E7589C6" w14:textId="77777777" w:rsidR="00BD06C4" w:rsidRDefault="00BD06C4" w:rsidP="00BD06C4">
            <w:pPr>
              <w:pStyle w:val="NoSpacing"/>
            </w:pPr>
          </w:p>
          <w:p w14:paraId="1E33368A" w14:textId="77777777" w:rsidR="00BD06C4" w:rsidRDefault="00BD06C4" w:rsidP="00BD06C4">
            <w:pPr>
              <w:pStyle w:val="NoSpacing"/>
            </w:pPr>
            <w:r>
              <w:t>4</w:t>
            </w:r>
            <w:r w:rsidRPr="00013ACB">
              <w:rPr>
                <w:vertAlign w:val="superscript"/>
              </w:rPr>
              <w:t>th</w:t>
            </w:r>
            <w:r>
              <w:t xml:space="preserve"> Round: </w:t>
            </w:r>
          </w:p>
          <w:p w14:paraId="2DC01C28" w14:textId="77777777" w:rsidR="00BD06C4" w:rsidRDefault="00BD06C4" w:rsidP="00BD06C4">
            <w:pPr>
              <w:pStyle w:val="NoSpacing"/>
            </w:pPr>
            <w:r>
              <w:t>July, 2021</w:t>
            </w:r>
          </w:p>
          <w:p w14:paraId="3E050412" w14:textId="77777777" w:rsidR="00BD06C4" w:rsidRDefault="00BD06C4" w:rsidP="00BD06C4">
            <w:pPr>
              <w:pStyle w:val="NoSpacing"/>
            </w:pPr>
          </w:p>
          <w:p w14:paraId="617A02B3" w14:textId="77777777" w:rsidR="00BD06C4" w:rsidRDefault="00BD06C4" w:rsidP="00BD06C4">
            <w:pPr>
              <w:pStyle w:val="NoSpacing"/>
            </w:pPr>
            <w:r>
              <w:t>5</w:t>
            </w:r>
            <w:r w:rsidRPr="00013ACB">
              <w:rPr>
                <w:vertAlign w:val="superscript"/>
              </w:rPr>
              <w:t>th</w:t>
            </w:r>
            <w:r>
              <w:t xml:space="preserve"> Round: </w:t>
            </w:r>
          </w:p>
          <w:p w14:paraId="20C676E7" w14:textId="77777777" w:rsidR="00BD06C4" w:rsidRDefault="00BD06C4" w:rsidP="00BD06C4">
            <w:pPr>
              <w:pStyle w:val="NoSpacing"/>
            </w:pPr>
            <w:r>
              <w:t>July, 2022</w:t>
            </w:r>
          </w:p>
          <w:p w14:paraId="268C0F3E" w14:textId="5FE7A8E0" w:rsidR="00BD06C4" w:rsidRDefault="00BD06C4" w:rsidP="00BD06C4">
            <w:pPr>
              <w:pStyle w:val="NoSpacing"/>
            </w:pPr>
          </w:p>
        </w:tc>
        <w:tc>
          <w:tcPr>
            <w:tcW w:w="0" w:type="auto"/>
            <w:vAlign w:val="center"/>
          </w:tcPr>
          <w:p w14:paraId="663192CA" w14:textId="77777777" w:rsidR="00BD06C4" w:rsidRPr="00D049DE" w:rsidRDefault="00BD06C4" w:rsidP="00BD06C4">
            <w:pPr>
              <w:pStyle w:val="NoSpacing"/>
            </w:pPr>
            <w:r w:rsidRPr="00D049DE">
              <w:lastRenderedPageBreak/>
              <w:t xml:space="preserve">a)  International Bank for Reconstruction (IBRD) Subscription and Voting Power (GCI &amp; SCI have tri-annual payment schedule </w:t>
            </w:r>
            <w:r w:rsidRPr="00D049DE">
              <w:lastRenderedPageBreak/>
              <w:t>that Bangladesh has pledged to pay year by year)</w:t>
            </w:r>
          </w:p>
          <w:p w14:paraId="16D94459" w14:textId="77777777" w:rsidR="00BD06C4" w:rsidRPr="00D049DE" w:rsidRDefault="00BD06C4" w:rsidP="00BD06C4">
            <w:pPr>
              <w:pStyle w:val="NoSpacing"/>
            </w:pPr>
            <w:r w:rsidRPr="00D049DE">
              <w:t>b)  Multilateral Investment Guarantee Agency (MIGA) Subscription and Voting Power</w:t>
            </w:r>
          </w:p>
          <w:p w14:paraId="281FD291" w14:textId="77777777" w:rsidR="00BD06C4" w:rsidRPr="00D049DE" w:rsidRDefault="00BD06C4" w:rsidP="00BD06C4">
            <w:pPr>
              <w:pStyle w:val="NoSpacing"/>
            </w:pPr>
            <w:r w:rsidRPr="00D049DE">
              <w:t>c)  International Finance Corporation (IFC) Subscription and Voting Power</w:t>
            </w:r>
          </w:p>
          <w:p w14:paraId="67DDBC0C" w14:textId="77777777" w:rsidR="00BD06C4" w:rsidRPr="00D049DE" w:rsidRDefault="00BD06C4" w:rsidP="00BD06C4">
            <w:pPr>
              <w:pStyle w:val="NoSpacing"/>
            </w:pPr>
            <w:r w:rsidRPr="00D049DE">
              <w:t>d) International Development Association (IDA) Subscription and Voting Power</w:t>
            </w:r>
          </w:p>
          <w:p w14:paraId="4083FB1D" w14:textId="77777777" w:rsidR="00BD06C4" w:rsidRPr="00D049DE" w:rsidRDefault="00BD06C4" w:rsidP="00BD06C4">
            <w:pPr>
              <w:pStyle w:val="NoSpacing"/>
            </w:pPr>
            <w:r w:rsidRPr="00D049DE">
              <w:t>e) AIIB</w:t>
            </w:r>
          </w:p>
          <w:p w14:paraId="224570D0" w14:textId="77777777" w:rsidR="00BD06C4" w:rsidRDefault="00BD06C4" w:rsidP="00BD06C4">
            <w:pPr>
              <w:pStyle w:val="NoSpacing"/>
            </w:pPr>
            <w:r w:rsidRPr="00D049DE">
              <w:t>f)  Voted for the post of Director/Executive Director on April 28, 2019.</w:t>
            </w:r>
          </w:p>
          <w:p w14:paraId="5D0596E7" w14:textId="77777777" w:rsidR="00BD06C4" w:rsidRDefault="00BD06C4" w:rsidP="00BD06C4">
            <w:pPr>
              <w:pStyle w:val="NoSpacing"/>
            </w:pPr>
          </w:p>
          <w:p w14:paraId="3A7B16BA" w14:textId="55468845" w:rsidR="00BD06C4" w:rsidRPr="00D049DE" w:rsidRDefault="003E5AFB" w:rsidP="00BD06C4">
            <w:pPr>
              <w:pStyle w:val="NoSpacing"/>
            </w:pPr>
            <w:r>
              <w:t>Repeated 10.6</w:t>
            </w:r>
            <w:r w:rsidRPr="00B950AC">
              <w:t>.1</w:t>
            </w:r>
          </w:p>
        </w:tc>
      </w:tr>
      <w:tr w:rsidR="00BD06C4" w14:paraId="054A2A71" w14:textId="77777777" w:rsidTr="00A64F0D">
        <w:tc>
          <w:tcPr>
            <w:tcW w:w="0" w:type="auto"/>
          </w:tcPr>
          <w:p w14:paraId="3693BC16" w14:textId="77777777" w:rsidR="00BD06C4" w:rsidRDefault="00BD06C4" w:rsidP="00BD06C4">
            <w:pPr>
              <w:ind w:left="970" w:hanging="970"/>
              <w:jc w:val="both"/>
              <w:rPr>
                <w:color w:val="0070C0"/>
                <w:sz w:val="30"/>
                <w:szCs w:val="30"/>
              </w:rPr>
            </w:pPr>
          </w:p>
        </w:tc>
        <w:tc>
          <w:tcPr>
            <w:tcW w:w="0" w:type="auto"/>
            <w:gridSpan w:val="12"/>
          </w:tcPr>
          <w:p w14:paraId="5CA3719B"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16.9 By 2030, provide legal identity for all, including birth registration</w:t>
            </w:r>
          </w:p>
        </w:tc>
      </w:tr>
      <w:tr w:rsidR="00BD06C4" w14:paraId="4C686C4F" w14:textId="77777777" w:rsidTr="00A64F0D">
        <w:tc>
          <w:tcPr>
            <w:tcW w:w="0" w:type="auto"/>
          </w:tcPr>
          <w:p w14:paraId="094AF072" w14:textId="77777777" w:rsidR="00BD06C4" w:rsidRPr="00BA046C" w:rsidRDefault="00BD06C4" w:rsidP="00BD06C4">
            <w:pPr>
              <w:pStyle w:val="NoSpacing"/>
            </w:pPr>
            <w:r w:rsidRPr="00BA046C">
              <w:t>16.9.1 Proportion of children under 5 years of age whose births have been registered with a civil authority, by age</w:t>
            </w:r>
          </w:p>
        </w:tc>
        <w:tc>
          <w:tcPr>
            <w:tcW w:w="0" w:type="auto"/>
          </w:tcPr>
          <w:p w14:paraId="1AF6EC28" w14:textId="77777777" w:rsidR="00BD06C4" w:rsidRDefault="00BD06C4" w:rsidP="00BD06C4">
            <w:pPr>
              <w:pStyle w:val="NoSpacing"/>
            </w:pPr>
            <w:r>
              <w:t>UNSD,</w:t>
            </w:r>
          </w:p>
          <w:p w14:paraId="0DCE6A7D" w14:textId="77777777" w:rsidR="00BD06C4" w:rsidRDefault="00BD06C4" w:rsidP="00BD06C4">
            <w:pPr>
              <w:pStyle w:val="NoSpacing"/>
            </w:pPr>
            <w:r>
              <w:t>UNICEF</w:t>
            </w:r>
          </w:p>
          <w:p w14:paraId="42D7FA7A" w14:textId="77777777" w:rsidR="00BD06C4" w:rsidRDefault="00BD06C4" w:rsidP="00BD06C4">
            <w:pPr>
              <w:rPr>
                <w:b/>
                <w:bCs/>
                <w:szCs w:val="20"/>
              </w:rPr>
            </w:pPr>
            <w:r w:rsidRPr="007243FC">
              <w:rPr>
                <w:b/>
                <w:bCs/>
                <w:szCs w:val="20"/>
              </w:rPr>
              <w:t>Partner Agencies:</w:t>
            </w:r>
          </w:p>
          <w:p w14:paraId="72B0F595" w14:textId="77777777" w:rsidR="00BD06C4" w:rsidRDefault="00BD06C4" w:rsidP="00BD06C4">
            <w:pPr>
              <w:pStyle w:val="NoSpacing"/>
            </w:pPr>
            <w:r>
              <w:t xml:space="preserve">UNFPA,  </w:t>
            </w:r>
          </w:p>
          <w:p w14:paraId="09CA381D" w14:textId="77777777" w:rsidR="00BD06C4" w:rsidRDefault="00BD06C4" w:rsidP="00BD06C4">
            <w:pPr>
              <w:pStyle w:val="NoSpacing"/>
            </w:pPr>
            <w:r>
              <w:t>DESA Population Division</w:t>
            </w:r>
          </w:p>
        </w:tc>
        <w:tc>
          <w:tcPr>
            <w:tcW w:w="0" w:type="auto"/>
          </w:tcPr>
          <w:p w14:paraId="2DD76210" w14:textId="77777777" w:rsidR="00BD06C4" w:rsidRDefault="00BD06C4" w:rsidP="00BD06C4">
            <w:pPr>
              <w:ind w:left="970" w:hanging="970"/>
              <w:jc w:val="both"/>
              <w:rPr>
                <w:color w:val="0070C0"/>
                <w:sz w:val="30"/>
                <w:szCs w:val="30"/>
              </w:rPr>
            </w:pPr>
            <w:r>
              <w:t>Tier I</w:t>
            </w:r>
          </w:p>
        </w:tc>
        <w:tc>
          <w:tcPr>
            <w:tcW w:w="0" w:type="auto"/>
          </w:tcPr>
          <w:p w14:paraId="3AD9DC20" w14:textId="77777777" w:rsidR="00BD06C4" w:rsidRPr="00AF289B" w:rsidRDefault="00BD06C4" w:rsidP="00BD06C4">
            <w:pPr>
              <w:pStyle w:val="NoSpacing"/>
              <w:rPr>
                <w:lang w:val="en-GB"/>
              </w:rPr>
            </w:pPr>
            <w:r w:rsidRPr="00AF289B">
              <w:rPr>
                <w:b/>
                <w:bCs/>
                <w:lang w:val="en-GB"/>
              </w:rPr>
              <w:t>Definition:</w:t>
            </w:r>
          </w:p>
          <w:p w14:paraId="52DE8912" w14:textId="77777777" w:rsidR="00BD06C4" w:rsidRPr="00AF289B" w:rsidRDefault="00BD06C4" w:rsidP="00BD06C4">
            <w:pPr>
              <w:pStyle w:val="NoSpacing"/>
              <w:rPr>
                <w:lang w:val="en-GB"/>
              </w:rPr>
            </w:pPr>
          </w:p>
          <w:p w14:paraId="3E3D6263" w14:textId="77777777" w:rsidR="00BD06C4" w:rsidRPr="00AF289B" w:rsidRDefault="00BD06C4" w:rsidP="00BD06C4">
            <w:pPr>
              <w:pStyle w:val="NoSpacing"/>
              <w:rPr>
                <w:lang w:val="en-GB"/>
              </w:rPr>
            </w:pPr>
            <w:r w:rsidRPr="00AF289B">
              <w:rPr>
                <w:lang w:val="en-GB"/>
              </w:rPr>
              <w:t>Proportion of children under 5 years of age whose births have been registered with a civil authority.</w:t>
            </w:r>
          </w:p>
          <w:p w14:paraId="53F44A8D" w14:textId="77777777" w:rsidR="00BD06C4" w:rsidRPr="00AF289B" w:rsidRDefault="00BD06C4" w:rsidP="00BD06C4">
            <w:pPr>
              <w:pStyle w:val="NoSpacing"/>
              <w:rPr>
                <w:b/>
                <w:bCs/>
                <w:lang w:val="en-GB"/>
              </w:rPr>
            </w:pPr>
          </w:p>
          <w:p w14:paraId="5DDCF437" w14:textId="77777777" w:rsidR="00BD06C4" w:rsidRPr="00AF289B" w:rsidRDefault="00BD06C4" w:rsidP="00BD06C4">
            <w:pPr>
              <w:pStyle w:val="NoSpacing"/>
              <w:rPr>
                <w:b/>
                <w:bCs/>
                <w:lang w:val="en-GB"/>
              </w:rPr>
            </w:pPr>
            <w:r w:rsidRPr="00AF289B">
              <w:rPr>
                <w:b/>
                <w:bCs/>
                <w:lang w:val="en-GB"/>
              </w:rPr>
              <w:t>Comments and limitations:</w:t>
            </w:r>
          </w:p>
          <w:p w14:paraId="0091B887" w14:textId="77777777" w:rsidR="00BD06C4" w:rsidRPr="00AF289B" w:rsidRDefault="00BD06C4" w:rsidP="00BD06C4">
            <w:pPr>
              <w:pStyle w:val="NoSpacing"/>
              <w:rPr>
                <w:lang w:val="en-GB"/>
              </w:rPr>
            </w:pPr>
          </w:p>
          <w:p w14:paraId="7160BEA6" w14:textId="77777777" w:rsidR="00BD06C4" w:rsidRPr="00AF289B" w:rsidRDefault="00BD06C4" w:rsidP="00BD06C4">
            <w:pPr>
              <w:pStyle w:val="NoSpacing"/>
              <w:rPr>
                <w:lang w:val="en-GB"/>
              </w:rPr>
            </w:pPr>
            <w:r w:rsidRPr="00AF289B">
              <w:rPr>
                <w:lang w:val="en-GB"/>
              </w:rPr>
              <w:t>The number of children who have acquired their right to a legal identity is collected mainly through censuses, civil registration systems and household surveys. Civil registration systems that are functioning effectively compile vital statistics that are used to compare the estimated total number of births in a country with the absolute number of registered births during a given period. However, the systematic recording of births in many countries remains a serious challenge. In the absence of reliable administrative data, household surveys have become a key source of data to monitor levels and trends in birth registration. In most low- and middle-income countries, such surveys represent the sole source of this information.</w:t>
            </w:r>
          </w:p>
          <w:p w14:paraId="277EDB92" w14:textId="77777777" w:rsidR="00BD06C4" w:rsidRPr="00AF289B" w:rsidRDefault="00BD06C4" w:rsidP="00BD06C4">
            <w:pPr>
              <w:pStyle w:val="NoSpacing"/>
              <w:rPr>
                <w:b/>
                <w:bCs/>
                <w:lang w:val="en-GB"/>
              </w:rPr>
            </w:pPr>
          </w:p>
          <w:p w14:paraId="48BA3965" w14:textId="77777777" w:rsidR="00BD06C4" w:rsidRPr="00AF289B" w:rsidRDefault="00BD06C4" w:rsidP="00BD06C4">
            <w:pPr>
              <w:pStyle w:val="NoSpacing"/>
              <w:rPr>
                <w:lang w:val="en-GB"/>
              </w:rPr>
            </w:pPr>
            <w:r w:rsidRPr="00AF289B">
              <w:rPr>
                <w:b/>
                <w:bCs/>
                <w:lang w:val="en-GB"/>
              </w:rPr>
              <w:t>Computation Method:</w:t>
            </w:r>
          </w:p>
          <w:p w14:paraId="2B38AADD" w14:textId="77777777" w:rsidR="00BD06C4" w:rsidRPr="00AF289B" w:rsidRDefault="00BD06C4" w:rsidP="00BD06C4">
            <w:pPr>
              <w:pStyle w:val="NoSpacing"/>
              <w:rPr>
                <w:lang w:val="en-GB"/>
              </w:rPr>
            </w:pPr>
          </w:p>
          <w:p w14:paraId="37FFAB97" w14:textId="77777777" w:rsidR="00BD06C4" w:rsidRPr="00AF289B" w:rsidRDefault="00BD06C4" w:rsidP="00BD06C4">
            <w:pPr>
              <w:pStyle w:val="NoSpacing"/>
              <w:rPr>
                <w:lang w:val="en-GB"/>
              </w:rPr>
            </w:pPr>
            <w:r w:rsidRPr="00AF289B">
              <w:rPr>
                <w:lang w:val="en-GB"/>
              </w:rPr>
              <w:t>Number of children under age of five whose births are reported as being registered with the relevant national civil authorities divided by the total number of children under the age of five in the population multiplied by 100</w:t>
            </w:r>
          </w:p>
          <w:p w14:paraId="66668862" w14:textId="77777777" w:rsidR="00BD06C4" w:rsidRDefault="00BD06C4" w:rsidP="00BD06C4">
            <w:pPr>
              <w:pStyle w:val="NoSpacing"/>
            </w:pPr>
          </w:p>
        </w:tc>
        <w:tc>
          <w:tcPr>
            <w:tcW w:w="0" w:type="auto"/>
          </w:tcPr>
          <w:p w14:paraId="068B1137" w14:textId="77777777" w:rsidR="00BD06C4" w:rsidRPr="00873FDE" w:rsidRDefault="00BD06C4" w:rsidP="00BD06C4">
            <w:pPr>
              <w:rPr>
                <w:szCs w:val="22"/>
              </w:rPr>
            </w:pPr>
            <w:r w:rsidRPr="00873FDE">
              <w:rPr>
                <w:szCs w:val="22"/>
              </w:rPr>
              <w:t xml:space="preserve">UNICEF undertakes an annual process to update its global databases, called Country Reporting on Indicators for the Goals (CRING). This exercise is done in close collaboration with UNICEF country offices with the purpose of ensuring that UNICEF global databases contain updated and internationally comparable data. UNICEF Country Offices are invited to submit, through an online system, any updated data for a number of key indicators on the well-being of women and children. Updates sent by the country offices are then reviewed by sector specialists at UNICEF headquarters to check for </w:t>
            </w:r>
            <w:r w:rsidRPr="00873FDE">
              <w:rPr>
                <w:szCs w:val="22"/>
              </w:rPr>
              <w:lastRenderedPageBreak/>
              <w:t xml:space="preserve">consistency and overall data quality of the submitted estimates. This review is based on a set of objective criteria to ensure that only the most recent and reliable information is included in the databases. Once reviewed, feedback is made available on whether or not specific data points are accepted, and if not, the reasons why. New data points that are accepted are then entered into UNICEF’s global databases and published in the State of the World’s Children statistical tables, as well as in all other data-driven publications/material. The updated databases are also posted online at data.unicef.org. UNICEF also searches throughout the year for additional sources of </w:t>
            </w:r>
            <w:r w:rsidRPr="00873FDE">
              <w:rPr>
                <w:szCs w:val="22"/>
              </w:rPr>
              <w:lastRenderedPageBreak/>
              <w:t>data that are vetted by the UNICEF country office before they are included in the global databases.</w:t>
            </w:r>
          </w:p>
        </w:tc>
        <w:tc>
          <w:tcPr>
            <w:tcW w:w="0" w:type="auto"/>
          </w:tcPr>
          <w:p w14:paraId="202016E4" w14:textId="77777777" w:rsidR="00BD06C4" w:rsidRPr="00873FDE" w:rsidRDefault="00BD06C4" w:rsidP="00BD06C4">
            <w:pPr>
              <w:rPr>
                <w:szCs w:val="22"/>
              </w:rPr>
            </w:pPr>
            <w:r w:rsidRPr="00873FDE">
              <w:rPr>
                <w:szCs w:val="22"/>
              </w:rPr>
              <w:lastRenderedPageBreak/>
              <w:t>National Statistical Offices (for the most part) and line ministries/other government agencies responsible for maintaining national vital registration systems</w:t>
            </w:r>
          </w:p>
        </w:tc>
        <w:tc>
          <w:tcPr>
            <w:tcW w:w="0" w:type="auto"/>
          </w:tcPr>
          <w:p w14:paraId="0A1AED3E" w14:textId="77777777" w:rsidR="00BD06C4" w:rsidRDefault="00BD06C4" w:rsidP="00BD06C4">
            <w:pPr>
              <w:pStyle w:val="NoSpacing"/>
            </w:pPr>
            <w:r w:rsidRPr="004E6FA2">
              <w:t>BBS</w:t>
            </w:r>
          </w:p>
          <w:p w14:paraId="460C10C8" w14:textId="77777777" w:rsidR="00BD06C4" w:rsidRPr="004E6FA2" w:rsidRDefault="00BD06C4" w:rsidP="00BD06C4">
            <w:pPr>
              <w:pStyle w:val="NoSpacing"/>
            </w:pPr>
            <w:r w:rsidRPr="004E6FA2">
              <w:t>MICS</w:t>
            </w:r>
          </w:p>
        </w:tc>
        <w:tc>
          <w:tcPr>
            <w:tcW w:w="0" w:type="auto"/>
          </w:tcPr>
          <w:p w14:paraId="57EC9768" w14:textId="77777777" w:rsidR="00BD06C4" w:rsidRDefault="00BD06C4" w:rsidP="00BD06C4">
            <w:pPr>
              <w:pStyle w:val="NoSpacing"/>
            </w:pPr>
            <w:r>
              <w:t xml:space="preserve">a. </w:t>
            </w:r>
            <w:r w:rsidRPr="004E6FA2">
              <w:t>BBS</w:t>
            </w:r>
          </w:p>
          <w:p w14:paraId="2A7946F3" w14:textId="77777777" w:rsidR="00BD06C4" w:rsidRDefault="00BD06C4" w:rsidP="00BD06C4">
            <w:pPr>
              <w:pStyle w:val="NoSpacing"/>
            </w:pPr>
            <w:r w:rsidRPr="004E6FA2">
              <w:t>MICS</w:t>
            </w:r>
          </w:p>
          <w:p w14:paraId="09A3ADC6" w14:textId="77777777" w:rsidR="00BD06C4" w:rsidRPr="004E6FA2" w:rsidRDefault="00BD06C4" w:rsidP="00BD06C4">
            <w:pPr>
              <w:pStyle w:val="NoSpacing"/>
            </w:pPr>
            <w:r>
              <w:t>b. ORG, LG</w:t>
            </w:r>
          </w:p>
        </w:tc>
        <w:tc>
          <w:tcPr>
            <w:tcW w:w="0" w:type="auto"/>
          </w:tcPr>
          <w:p w14:paraId="674E4212"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40498EC5"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 Under 5 Years</w:t>
            </w:r>
          </w:p>
          <w:p w14:paraId="60F6FA6D" w14:textId="4598F73D"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 Location</w:t>
            </w:r>
            <w:r w:rsidR="00382D17">
              <w:rPr>
                <w:rFonts w:ascii="Tw Cen MT Condensed" w:hAnsi="Tw Cen MT Condensed"/>
                <w:sz w:val="20"/>
                <w:szCs w:val="20"/>
              </w:rPr>
              <w:t>: Division</w:t>
            </w:r>
          </w:p>
          <w:p w14:paraId="7DF1FFC9" w14:textId="368108F6"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Income </w:t>
            </w:r>
            <w:r w:rsidR="00382D17">
              <w:rPr>
                <w:rFonts w:ascii="Tw Cen MT Condensed" w:hAnsi="Tw Cen MT Condensed"/>
                <w:sz w:val="20"/>
                <w:szCs w:val="20"/>
              </w:rPr>
              <w:t>: High/medium/low</w:t>
            </w:r>
          </w:p>
          <w:p w14:paraId="47EEBA34" w14:textId="7E134DB4"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Place Of Residence</w:t>
            </w:r>
            <w:r w:rsidR="00382D17">
              <w:rPr>
                <w:rFonts w:ascii="Tw Cen MT Condensed" w:hAnsi="Tw Cen MT Condensed"/>
                <w:sz w:val="20"/>
                <w:szCs w:val="20"/>
              </w:rPr>
              <w:t>: Urban/Rural</w:t>
            </w:r>
          </w:p>
          <w:p w14:paraId="2C6A4438" w14:textId="77777777" w:rsidR="00BD06C4" w:rsidRDefault="00BD06C4" w:rsidP="00BD06C4">
            <w:pPr>
              <w:ind w:left="970" w:hanging="970"/>
              <w:jc w:val="both"/>
              <w:rPr>
                <w:color w:val="0070C0"/>
                <w:sz w:val="30"/>
                <w:szCs w:val="30"/>
              </w:rPr>
            </w:pPr>
          </w:p>
        </w:tc>
        <w:tc>
          <w:tcPr>
            <w:tcW w:w="0" w:type="auto"/>
          </w:tcPr>
          <w:p w14:paraId="03C7DE55" w14:textId="77777777" w:rsidR="00BD06C4" w:rsidRDefault="00BD06C4" w:rsidP="00BD06C4">
            <w:pPr>
              <w:ind w:left="970" w:hanging="970"/>
              <w:jc w:val="both"/>
              <w:rPr>
                <w:color w:val="0070C0"/>
                <w:sz w:val="30"/>
                <w:szCs w:val="30"/>
              </w:rPr>
            </w:pPr>
            <w:r w:rsidRPr="004E6FA2">
              <w:t>Triennial</w:t>
            </w:r>
          </w:p>
        </w:tc>
        <w:tc>
          <w:tcPr>
            <w:tcW w:w="0" w:type="auto"/>
          </w:tcPr>
          <w:p w14:paraId="25A90905" w14:textId="77777777" w:rsidR="00BD06C4" w:rsidRDefault="00BD06C4" w:rsidP="00BD06C4">
            <w:pPr>
              <w:ind w:left="970" w:hanging="970"/>
              <w:jc w:val="both"/>
              <w:rPr>
                <w:color w:val="0070C0"/>
                <w:sz w:val="30"/>
                <w:szCs w:val="30"/>
              </w:rPr>
            </w:pPr>
            <w:r>
              <w:t>Group 1</w:t>
            </w:r>
          </w:p>
        </w:tc>
        <w:tc>
          <w:tcPr>
            <w:tcW w:w="0" w:type="auto"/>
          </w:tcPr>
          <w:p w14:paraId="5AE884C6" w14:textId="77777777" w:rsidR="00BD06C4" w:rsidRDefault="00BD06C4" w:rsidP="00BD06C4">
            <w:pPr>
              <w:pStyle w:val="NoSpacing"/>
            </w:pPr>
            <w:r>
              <w:t>1</w:t>
            </w:r>
            <w:r w:rsidRPr="00013ACB">
              <w:rPr>
                <w:vertAlign w:val="superscript"/>
              </w:rPr>
              <w:t>st</w:t>
            </w:r>
            <w:r>
              <w:t xml:space="preserve"> Round:</w:t>
            </w:r>
          </w:p>
          <w:p w14:paraId="253A908D" w14:textId="77777777" w:rsidR="00BD06C4" w:rsidRDefault="00BD06C4" w:rsidP="00BD06C4">
            <w:pPr>
              <w:pStyle w:val="NoSpacing"/>
            </w:pPr>
            <w:r>
              <w:t>2013</w:t>
            </w:r>
          </w:p>
          <w:p w14:paraId="52C824EC" w14:textId="77777777" w:rsidR="00BD06C4" w:rsidRDefault="00BD06C4" w:rsidP="00BD06C4">
            <w:pPr>
              <w:pStyle w:val="NoSpacing"/>
            </w:pPr>
          </w:p>
          <w:p w14:paraId="633D584F" w14:textId="77777777" w:rsidR="00BD06C4" w:rsidRDefault="00BD06C4" w:rsidP="00BD06C4">
            <w:pPr>
              <w:pStyle w:val="NoSpacing"/>
            </w:pPr>
            <w:r>
              <w:t>2</w:t>
            </w:r>
            <w:r w:rsidRPr="00013ACB">
              <w:rPr>
                <w:vertAlign w:val="superscript"/>
              </w:rPr>
              <w:t>nd</w:t>
            </w:r>
            <w:r>
              <w:t xml:space="preserve"> Round:</w:t>
            </w:r>
          </w:p>
          <w:p w14:paraId="4371C217" w14:textId="77777777" w:rsidR="00BD06C4" w:rsidRPr="00C3536E" w:rsidRDefault="00BD06C4" w:rsidP="00BD06C4">
            <w:pPr>
              <w:pStyle w:val="NoSpacing"/>
              <w:rPr>
                <w:b/>
              </w:rPr>
            </w:pPr>
            <w:r>
              <w:t xml:space="preserve"> </w:t>
            </w:r>
            <w:r w:rsidRPr="00C3536E">
              <w:t xml:space="preserve">December, </w:t>
            </w:r>
          </w:p>
          <w:p w14:paraId="7E2FBBB3" w14:textId="77777777" w:rsidR="00BD06C4" w:rsidRDefault="00BD06C4" w:rsidP="00BD06C4">
            <w:pPr>
              <w:pStyle w:val="NoSpacing"/>
            </w:pPr>
            <w:r w:rsidRPr="00C3536E">
              <w:t>2020</w:t>
            </w:r>
          </w:p>
          <w:p w14:paraId="0840CFF2" w14:textId="77777777" w:rsidR="00BD06C4" w:rsidRDefault="00BD06C4" w:rsidP="00BD06C4">
            <w:pPr>
              <w:pStyle w:val="NoSpacing"/>
            </w:pPr>
          </w:p>
          <w:p w14:paraId="39762B97" w14:textId="77777777" w:rsidR="00BD06C4" w:rsidRDefault="00BD06C4" w:rsidP="00BD06C4">
            <w:pPr>
              <w:pStyle w:val="NoSpacing"/>
            </w:pPr>
            <w:r>
              <w:t>3</w:t>
            </w:r>
            <w:r w:rsidRPr="00013ACB">
              <w:rPr>
                <w:vertAlign w:val="superscript"/>
              </w:rPr>
              <w:t>rd</w:t>
            </w:r>
            <w:r>
              <w:t xml:space="preserve"> Round: </w:t>
            </w:r>
          </w:p>
          <w:p w14:paraId="05730DEF" w14:textId="77777777" w:rsidR="00BD06C4" w:rsidRPr="00C3536E" w:rsidRDefault="00BD06C4" w:rsidP="00BD06C4">
            <w:pPr>
              <w:pStyle w:val="NoSpacing"/>
              <w:rPr>
                <w:b/>
              </w:rPr>
            </w:pPr>
            <w:r w:rsidRPr="00C3536E">
              <w:t xml:space="preserve">December, </w:t>
            </w:r>
          </w:p>
          <w:p w14:paraId="29EA47A4" w14:textId="77777777" w:rsidR="00BD06C4" w:rsidRDefault="00BD06C4" w:rsidP="00BD06C4">
            <w:pPr>
              <w:pStyle w:val="NoSpacing"/>
            </w:pPr>
            <w:r>
              <w:t>2023</w:t>
            </w:r>
          </w:p>
          <w:p w14:paraId="1BCB32CD" w14:textId="77777777" w:rsidR="00BD06C4" w:rsidRDefault="00BD06C4" w:rsidP="00BD06C4">
            <w:pPr>
              <w:pStyle w:val="NoSpacing"/>
            </w:pPr>
          </w:p>
          <w:p w14:paraId="5D689C3E" w14:textId="77777777" w:rsidR="00BD06C4" w:rsidRDefault="00BD06C4" w:rsidP="00BD06C4">
            <w:pPr>
              <w:pStyle w:val="NoSpacing"/>
            </w:pPr>
            <w:r>
              <w:t>4</w:t>
            </w:r>
            <w:r w:rsidRPr="00013ACB">
              <w:rPr>
                <w:vertAlign w:val="superscript"/>
              </w:rPr>
              <w:t>th</w:t>
            </w:r>
            <w:r>
              <w:t xml:space="preserve"> Round: </w:t>
            </w:r>
          </w:p>
          <w:p w14:paraId="113ED217" w14:textId="77777777" w:rsidR="00BD06C4" w:rsidRPr="00C3536E" w:rsidRDefault="00BD06C4" w:rsidP="00BD06C4">
            <w:pPr>
              <w:pStyle w:val="NoSpacing"/>
              <w:rPr>
                <w:b/>
              </w:rPr>
            </w:pPr>
            <w:r w:rsidRPr="00C3536E">
              <w:t xml:space="preserve">December, </w:t>
            </w:r>
          </w:p>
          <w:p w14:paraId="320E6E7C" w14:textId="77777777" w:rsidR="00BD06C4" w:rsidRDefault="00BD06C4" w:rsidP="00BD06C4">
            <w:pPr>
              <w:pStyle w:val="NoSpacing"/>
            </w:pPr>
            <w:r>
              <w:t>2026</w:t>
            </w:r>
          </w:p>
          <w:p w14:paraId="6EB15260" w14:textId="77777777" w:rsidR="00BD06C4" w:rsidRDefault="00BD06C4" w:rsidP="00BD06C4">
            <w:pPr>
              <w:pStyle w:val="NoSpacing"/>
            </w:pPr>
          </w:p>
          <w:p w14:paraId="23B22A15" w14:textId="77777777" w:rsidR="00BD06C4" w:rsidRDefault="00BD06C4" w:rsidP="00BD06C4">
            <w:pPr>
              <w:pStyle w:val="NoSpacing"/>
            </w:pPr>
            <w:r>
              <w:t>5</w:t>
            </w:r>
            <w:r w:rsidRPr="00013ACB">
              <w:rPr>
                <w:vertAlign w:val="superscript"/>
              </w:rPr>
              <w:t>th</w:t>
            </w:r>
            <w:r>
              <w:t xml:space="preserve"> Round: </w:t>
            </w:r>
          </w:p>
          <w:p w14:paraId="05052F30" w14:textId="77777777" w:rsidR="00BD06C4" w:rsidRPr="00C3536E" w:rsidRDefault="00BD06C4" w:rsidP="00BD06C4">
            <w:pPr>
              <w:pStyle w:val="NoSpacing"/>
              <w:rPr>
                <w:b/>
              </w:rPr>
            </w:pPr>
            <w:r w:rsidRPr="00C3536E">
              <w:t xml:space="preserve">December, </w:t>
            </w:r>
          </w:p>
          <w:p w14:paraId="32F009D2" w14:textId="77777777" w:rsidR="00BD06C4" w:rsidRDefault="00BD06C4" w:rsidP="00BD06C4">
            <w:pPr>
              <w:pStyle w:val="NoSpacing"/>
            </w:pPr>
            <w:r>
              <w:t>2029</w:t>
            </w:r>
          </w:p>
          <w:p w14:paraId="0507A8CA" w14:textId="6187D955" w:rsidR="00BD06C4" w:rsidRDefault="00BD06C4" w:rsidP="00BD06C4">
            <w:pPr>
              <w:pStyle w:val="NoSpacing"/>
            </w:pPr>
          </w:p>
        </w:tc>
        <w:tc>
          <w:tcPr>
            <w:tcW w:w="0" w:type="auto"/>
          </w:tcPr>
          <w:p w14:paraId="11E2FF4A" w14:textId="77777777" w:rsidR="00BD06C4" w:rsidRPr="00B6234F" w:rsidRDefault="00BD06C4" w:rsidP="00BD06C4">
            <w:pPr>
              <w:pStyle w:val="NoSpacing"/>
            </w:pPr>
            <w:r w:rsidRPr="004A229E">
              <w:t>Registration Data includes duplicate registrations also.</w:t>
            </w:r>
          </w:p>
        </w:tc>
      </w:tr>
      <w:tr w:rsidR="00BD06C4" w14:paraId="2E4EDB8F" w14:textId="77777777" w:rsidTr="00A64F0D">
        <w:tc>
          <w:tcPr>
            <w:tcW w:w="0" w:type="auto"/>
          </w:tcPr>
          <w:p w14:paraId="5D0FF5E7" w14:textId="77777777" w:rsidR="00BD06C4" w:rsidRDefault="00BD06C4" w:rsidP="00BD06C4">
            <w:pPr>
              <w:ind w:left="970" w:hanging="970"/>
              <w:jc w:val="both"/>
              <w:rPr>
                <w:color w:val="0070C0"/>
                <w:sz w:val="30"/>
                <w:szCs w:val="30"/>
              </w:rPr>
            </w:pPr>
          </w:p>
        </w:tc>
        <w:tc>
          <w:tcPr>
            <w:tcW w:w="0" w:type="auto"/>
            <w:gridSpan w:val="12"/>
          </w:tcPr>
          <w:p w14:paraId="48598BA4" w14:textId="77777777" w:rsidR="00BD06C4" w:rsidRDefault="00BD06C4" w:rsidP="00BD06C4">
            <w:pPr>
              <w:jc w:val="both"/>
              <w:rPr>
                <w:color w:val="0070C0"/>
                <w:sz w:val="48"/>
                <w:szCs w:val="48"/>
              </w:rPr>
            </w:pPr>
            <w:r>
              <w:rPr>
                <w:color w:val="0070C0"/>
                <w:sz w:val="30"/>
                <w:szCs w:val="30"/>
              </w:rPr>
              <w:t xml:space="preserve">Target </w:t>
            </w:r>
            <w:r w:rsidRPr="00DD1B91">
              <w:rPr>
                <w:color w:val="0070C0"/>
                <w:sz w:val="30"/>
                <w:szCs w:val="30"/>
              </w:rPr>
              <w:t>16.10 Ensure public access to information and protect fundamental freedoms, in accordance with national legislation and international agreements</w:t>
            </w:r>
          </w:p>
        </w:tc>
      </w:tr>
      <w:tr w:rsidR="00BD06C4" w14:paraId="6D2B72AF" w14:textId="77777777" w:rsidTr="00A64F0D">
        <w:tc>
          <w:tcPr>
            <w:tcW w:w="0" w:type="auto"/>
          </w:tcPr>
          <w:p w14:paraId="2249D3A5" w14:textId="77777777" w:rsidR="00BD06C4" w:rsidRPr="00BA046C" w:rsidRDefault="00BD06C4" w:rsidP="00BD06C4">
            <w:pPr>
              <w:pStyle w:val="NoSpacing"/>
            </w:pPr>
            <w:r w:rsidRPr="00BA046C">
              <w:t>16.10.1 Number of verified cases of killing, kidnapping, enforced disappearance, arbitrary detention and torture of journalists, associated media personnel, trade unionists and human rights advocates in the previous 12 months</w:t>
            </w:r>
          </w:p>
        </w:tc>
        <w:tc>
          <w:tcPr>
            <w:tcW w:w="0" w:type="auto"/>
          </w:tcPr>
          <w:p w14:paraId="05491A7E" w14:textId="77777777" w:rsidR="00BD06C4" w:rsidRDefault="00BD06C4" w:rsidP="00BD06C4">
            <w:pPr>
              <w:pStyle w:val="NoSpacing"/>
            </w:pPr>
            <w:r w:rsidRPr="007145C8">
              <w:t>OHCHR</w:t>
            </w:r>
          </w:p>
          <w:p w14:paraId="6089F411" w14:textId="77777777" w:rsidR="00BD06C4" w:rsidRDefault="00BD06C4" w:rsidP="00BD06C4">
            <w:pPr>
              <w:rPr>
                <w:b/>
                <w:bCs/>
                <w:szCs w:val="20"/>
              </w:rPr>
            </w:pPr>
            <w:r w:rsidRPr="007243FC">
              <w:rPr>
                <w:b/>
                <w:bCs/>
                <w:szCs w:val="20"/>
              </w:rPr>
              <w:t>Partner Agencies:</w:t>
            </w:r>
          </w:p>
          <w:p w14:paraId="27651508" w14:textId="77777777" w:rsidR="00BD06C4" w:rsidRDefault="00BD06C4" w:rsidP="00BD06C4">
            <w:pPr>
              <w:pStyle w:val="NoSpacing"/>
            </w:pPr>
            <w:r>
              <w:t xml:space="preserve">ILO, </w:t>
            </w:r>
          </w:p>
          <w:p w14:paraId="6BE49A1D" w14:textId="77777777" w:rsidR="00BD06C4" w:rsidRDefault="00BD06C4" w:rsidP="00BD06C4">
            <w:pPr>
              <w:pStyle w:val="NoSpacing"/>
            </w:pPr>
            <w:r>
              <w:t>UNESCO-UIS</w:t>
            </w:r>
          </w:p>
        </w:tc>
        <w:tc>
          <w:tcPr>
            <w:tcW w:w="0" w:type="auto"/>
          </w:tcPr>
          <w:p w14:paraId="3BF92BF1" w14:textId="77777777" w:rsidR="00BD06C4" w:rsidRDefault="00BD06C4" w:rsidP="00BD06C4">
            <w:pPr>
              <w:ind w:left="970" w:hanging="970"/>
              <w:jc w:val="both"/>
              <w:rPr>
                <w:color w:val="0070C0"/>
                <w:sz w:val="30"/>
                <w:szCs w:val="30"/>
              </w:rPr>
            </w:pPr>
            <w:r w:rsidRPr="00666BAB">
              <w:t>Tier II</w:t>
            </w:r>
          </w:p>
        </w:tc>
        <w:tc>
          <w:tcPr>
            <w:tcW w:w="0" w:type="auto"/>
          </w:tcPr>
          <w:p w14:paraId="61179B7C" w14:textId="77777777" w:rsidR="00BD06C4" w:rsidRPr="00AF289B" w:rsidRDefault="00BD06C4" w:rsidP="00BD06C4">
            <w:pPr>
              <w:pStyle w:val="NoSpacing"/>
              <w:rPr>
                <w:b/>
                <w:lang w:bidi="en-GB"/>
              </w:rPr>
            </w:pPr>
            <w:r w:rsidRPr="00AF289B">
              <w:rPr>
                <w:b/>
                <w:lang w:bidi="en-GB"/>
              </w:rPr>
              <w:t>Definition:</w:t>
            </w:r>
          </w:p>
          <w:p w14:paraId="61B4C334" w14:textId="77777777" w:rsidR="00BD06C4" w:rsidRPr="00AF289B" w:rsidRDefault="00BD06C4" w:rsidP="00BD06C4">
            <w:pPr>
              <w:pStyle w:val="NoSpacing"/>
              <w:rPr>
                <w:lang w:bidi="en-GB"/>
              </w:rPr>
            </w:pPr>
          </w:p>
          <w:p w14:paraId="6EB195F4" w14:textId="77777777" w:rsidR="00BD06C4" w:rsidRPr="00AF289B" w:rsidRDefault="00BD06C4" w:rsidP="00BD06C4">
            <w:pPr>
              <w:pStyle w:val="NoSpacing"/>
              <w:rPr>
                <w:lang w:bidi="en-GB"/>
              </w:rPr>
            </w:pPr>
            <w:r w:rsidRPr="00AF289B">
              <w:rPr>
                <w:lang w:bidi="en-GB"/>
              </w:rPr>
              <w:t>This indicator is defined as the number of verified cases of killing, enforced disappearance, torture, arbitrary detention, kidnapping and other harmful acts committed against journalists, trade unionists and human rights defenders on an annual basis.</w:t>
            </w:r>
          </w:p>
          <w:p w14:paraId="2DD29958" w14:textId="77777777" w:rsidR="00BD06C4" w:rsidRPr="00AF289B" w:rsidRDefault="00BD06C4" w:rsidP="00BD06C4">
            <w:pPr>
              <w:pStyle w:val="NoSpacing"/>
              <w:rPr>
                <w:lang w:bidi="en-GB"/>
              </w:rPr>
            </w:pPr>
          </w:p>
          <w:p w14:paraId="0351876F" w14:textId="77777777" w:rsidR="00BD06C4" w:rsidRPr="00AF289B" w:rsidRDefault="00BD06C4" w:rsidP="00BD06C4">
            <w:pPr>
              <w:pStyle w:val="NoSpacing"/>
              <w:rPr>
                <w:lang w:bidi="en-GB"/>
              </w:rPr>
            </w:pPr>
            <w:r w:rsidRPr="00AF289B">
              <w:rPr>
                <w:i/>
                <w:lang w:bidi="en-GB"/>
              </w:rPr>
              <w:t xml:space="preserve">‘Journalists’ </w:t>
            </w:r>
            <w:r w:rsidRPr="00AF289B">
              <w:rPr>
                <w:lang w:bidi="en-GB"/>
              </w:rPr>
              <w:t>refers to everyone who observes, describes, documents and analyses events, statements, policies, and any propositionsthat can affect society, with the purpose of systematizing such information and gathering of facts and analyses to inform sectors of society or soci ety as a whole, and others who share these journalistic functions, including all media workers and support</w:t>
            </w:r>
          </w:p>
          <w:p w14:paraId="69C56538" w14:textId="77777777" w:rsidR="00BD06C4" w:rsidRPr="00AF289B" w:rsidRDefault="00BD06C4" w:rsidP="00BD06C4">
            <w:pPr>
              <w:pStyle w:val="NoSpacing"/>
              <w:rPr>
                <w:lang w:val="en-GB" w:bidi="en-GB"/>
              </w:rPr>
            </w:pPr>
            <w:r w:rsidRPr="00AF289B">
              <w:rPr>
                <w:lang w:bidi="en-GB"/>
              </w:rPr>
              <w:t>staff,   as   well  as   community   media  workers   and   so-called  “citizen journalists”  when  they</w:t>
            </w:r>
            <w:r>
              <w:rPr>
                <w:lang w:bidi="en-GB"/>
              </w:rPr>
              <w:t xml:space="preserve"> </w:t>
            </w:r>
            <w:r w:rsidRPr="00AF289B">
              <w:rPr>
                <w:lang w:val="en-GB" w:bidi="en-GB"/>
              </w:rPr>
              <w:t>momentarily play that role,2 professional full-time reporters and analysts, as well as bloggers and others who engage in forms of self-publication in print, on the internet or elsewhere.3</w:t>
            </w:r>
          </w:p>
          <w:p w14:paraId="54C90284" w14:textId="77777777" w:rsidR="00BD06C4" w:rsidRPr="00AF289B" w:rsidRDefault="00BD06C4" w:rsidP="00BD06C4">
            <w:pPr>
              <w:pStyle w:val="NoSpacing"/>
              <w:rPr>
                <w:lang w:val="en-GB" w:bidi="en-GB"/>
              </w:rPr>
            </w:pPr>
          </w:p>
          <w:p w14:paraId="3E726562" w14:textId="77777777" w:rsidR="00BD06C4" w:rsidRPr="00AF289B" w:rsidRDefault="00BD06C4" w:rsidP="00BD06C4">
            <w:pPr>
              <w:pStyle w:val="NoSpacing"/>
              <w:rPr>
                <w:lang w:val="en-GB" w:bidi="en-GB"/>
              </w:rPr>
            </w:pPr>
            <w:r w:rsidRPr="00AF289B">
              <w:rPr>
                <w:i/>
                <w:lang w:val="en-GB" w:bidi="en-GB"/>
              </w:rPr>
              <w:t xml:space="preserve">‘Trade unionists’ </w:t>
            </w:r>
            <w:r w:rsidRPr="00AF289B">
              <w:rPr>
                <w:lang w:val="en-GB" w:bidi="en-GB"/>
              </w:rPr>
              <w:t>refers to everyone exercising their right to form and to join trade unions for the protection of their interests.4 A trade union is an association of workers organized to protect and promote their common interests.5</w:t>
            </w:r>
          </w:p>
          <w:p w14:paraId="45A83BDD" w14:textId="77777777" w:rsidR="00BD06C4" w:rsidRPr="00AF289B" w:rsidRDefault="00BD06C4" w:rsidP="00BD06C4">
            <w:pPr>
              <w:pStyle w:val="NoSpacing"/>
              <w:rPr>
                <w:lang w:val="en-GB" w:bidi="en-GB"/>
              </w:rPr>
            </w:pPr>
          </w:p>
          <w:p w14:paraId="620D7044" w14:textId="77777777" w:rsidR="00BD06C4" w:rsidRPr="00AF289B" w:rsidRDefault="00BD06C4" w:rsidP="00BD06C4">
            <w:pPr>
              <w:pStyle w:val="NoSpacing"/>
              <w:rPr>
                <w:lang w:val="en-GB" w:bidi="en-GB"/>
              </w:rPr>
            </w:pPr>
            <w:r w:rsidRPr="00AF289B">
              <w:rPr>
                <w:i/>
                <w:lang w:val="en-GB" w:bidi="en-GB"/>
              </w:rPr>
              <w:t xml:space="preserve">‘Human rights defenders’ </w:t>
            </w:r>
            <w:r w:rsidRPr="00AF289B">
              <w:rPr>
                <w:lang w:val="en-GB" w:bidi="en-GB"/>
              </w:rPr>
              <w:t>refers to everyone exercising their right, individually and in association with others, to promote and to strive for the protection and realization of human rights and fundamental freedoms at national and international levels,6 including some journalists and trade unionists. While the term ‘human rights advocate’ is broadly speaking a synonymous of ‘human rights defender,’ the latter is preferred as it is more consistent with internationally agreed human rights standards and established practice.</w:t>
            </w:r>
          </w:p>
          <w:p w14:paraId="3898B885" w14:textId="77777777" w:rsidR="00BD06C4" w:rsidRPr="00AF289B" w:rsidRDefault="00BD06C4" w:rsidP="00BD06C4">
            <w:pPr>
              <w:pStyle w:val="NoSpacing"/>
              <w:rPr>
                <w:lang w:val="en-GB" w:bidi="en-GB"/>
              </w:rPr>
            </w:pPr>
          </w:p>
          <w:p w14:paraId="55EB9BA9" w14:textId="77777777" w:rsidR="00BD06C4" w:rsidRPr="00AF289B" w:rsidRDefault="00BD06C4" w:rsidP="00BD06C4">
            <w:pPr>
              <w:pStyle w:val="NoSpacing"/>
              <w:rPr>
                <w:lang w:val="en-GB" w:bidi="en-GB"/>
              </w:rPr>
            </w:pPr>
            <w:r w:rsidRPr="00AF289B">
              <w:rPr>
                <w:lang w:val="en-GB" w:bidi="en-GB"/>
              </w:rPr>
              <w:t>The different categories of violations tracked by the indicator have been defined in accordance with international law and methodological standards and monitoring practices developed by the OHCHR and other international mechanisms and classified drawing on the International Classification of Crime for Statistical Purposes (ICCS) disseminated by the UN Office of Drugs and Crime (UNODC). As such:</w:t>
            </w:r>
          </w:p>
          <w:p w14:paraId="4ABF77F6" w14:textId="77777777" w:rsidR="00BD06C4" w:rsidRPr="00AF289B" w:rsidRDefault="00BD06C4" w:rsidP="00BD06C4">
            <w:pPr>
              <w:pStyle w:val="NoSpacing"/>
              <w:rPr>
                <w:lang w:val="en-GB" w:bidi="en-GB"/>
              </w:rPr>
            </w:pPr>
          </w:p>
          <w:p w14:paraId="2E6A02D7" w14:textId="77777777" w:rsidR="00BD06C4" w:rsidRPr="00AF289B" w:rsidRDefault="00BD06C4" w:rsidP="00BD06C4">
            <w:pPr>
              <w:pStyle w:val="NoSpacing"/>
              <w:numPr>
                <w:ilvl w:val="0"/>
                <w:numId w:val="126"/>
              </w:numPr>
              <w:rPr>
                <w:lang w:val="en-GB" w:bidi="en-GB"/>
              </w:rPr>
            </w:pPr>
            <w:r w:rsidRPr="00AF289B">
              <w:rPr>
                <w:i/>
                <w:lang w:val="en-GB" w:bidi="en-GB"/>
              </w:rPr>
              <w:t xml:space="preserve">‘Killing’ </w:t>
            </w:r>
            <w:r w:rsidRPr="00AF289B">
              <w:rPr>
                <w:lang w:val="en-GB" w:bidi="en-GB"/>
              </w:rPr>
              <w:t xml:space="preserve">is defined as any extrajudicial execution or other unlawful killing by State actors or other actors acting with the State’s permission, support or acquiescence that were motivated by the victim, </w:t>
            </w:r>
            <w:r w:rsidRPr="00AF289B">
              <w:rPr>
                <w:lang w:val="en-GB" w:bidi="en-GB"/>
              </w:rPr>
              <w:lastRenderedPageBreak/>
              <w:t>or someone associated with the victim, engaging in activities as a journalist, trade unionist or human rights defender; or while the victim was engaged in such activities; or by persons or groups not acting with the support or acquiescence of the State whose harmful acts were either motivated by the victim engaging in activities as a journalist, trade unionist or human rights defender, and/or met by a failure of due diligence on the part of the State in responding to these harmful acts, such a failu re motivated by the victim or associate engaging in activities as a journalist, trade unionist or human rights defender; and other unlawful attacks and destruction in violation of</w:t>
            </w:r>
          </w:p>
          <w:p w14:paraId="33FBD037" w14:textId="77777777" w:rsidR="00BD06C4" w:rsidRPr="00AF289B" w:rsidRDefault="00BD06C4" w:rsidP="00BD06C4">
            <w:pPr>
              <w:pStyle w:val="NoSpacing"/>
              <w:rPr>
                <w:lang w:val="en-GB" w:bidi="en-GB"/>
              </w:rPr>
            </w:pPr>
            <w:r w:rsidRPr="00AF289B">
              <w:rPr>
                <w:lang w:val="en-GB" w:bidi="en-GB"/>
              </w:rPr>
              <w:t>international humanitarian law leading to or intending to cause the victim’s death., corresponding to ICCS codes 0101, 0102 and 110139 and coded herein as A [0101, 0102</w:t>
            </w:r>
          </w:p>
          <w:p w14:paraId="5E6FAD36" w14:textId="77777777" w:rsidR="00BD06C4" w:rsidRPr="00AF289B" w:rsidRDefault="00BD06C4" w:rsidP="00BD06C4">
            <w:pPr>
              <w:pStyle w:val="NoSpacing"/>
              <w:rPr>
                <w:lang w:val="en-GB" w:bidi="en-GB"/>
              </w:rPr>
            </w:pPr>
            <w:proofErr w:type="gramStart"/>
            <w:r w:rsidRPr="00AF289B">
              <w:rPr>
                <w:lang w:val="en-GB" w:bidi="en-GB"/>
              </w:rPr>
              <w:t>and</w:t>
            </w:r>
            <w:proofErr w:type="gramEnd"/>
            <w:r w:rsidRPr="00AF289B">
              <w:rPr>
                <w:lang w:val="en-GB" w:bidi="en-GB"/>
              </w:rPr>
              <w:t xml:space="preserve"> 110139].</w:t>
            </w:r>
          </w:p>
          <w:p w14:paraId="7D54EBA5" w14:textId="77777777" w:rsidR="00BD06C4" w:rsidRPr="00AF289B" w:rsidRDefault="00BD06C4" w:rsidP="00BD06C4">
            <w:pPr>
              <w:pStyle w:val="NoSpacing"/>
              <w:rPr>
                <w:lang w:val="en-GB" w:bidi="en-GB"/>
              </w:rPr>
            </w:pPr>
          </w:p>
          <w:p w14:paraId="3DE122E3" w14:textId="77777777" w:rsidR="00BD06C4" w:rsidRPr="00023EAD" w:rsidRDefault="00BD06C4" w:rsidP="00BD06C4">
            <w:pPr>
              <w:pStyle w:val="NoSpacing"/>
              <w:numPr>
                <w:ilvl w:val="0"/>
                <w:numId w:val="126"/>
              </w:numPr>
              <w:rPr>
                <w:szCs w:val="20"/>
                <w:lang w:val="en-GB" w:bidi="en-GB"/>
              </w:rPr>
            </w:pPr>
            <w:r w:rsidRPr="00AF289B">
              <w:rPr>
                <w:i/>
                <w:lang w:val="en-GB" w:bidi="en-GB"/>
              </w:rPr>
              <w:t xml:space="preserve">`Enforced disappearance’ </w:t>
            </w:r>
            <w:r w:rsidRPr="00AF289B">
              <w:rPr>
                <w:lang w:val="en-GB" w:bidi="en-GB"/>
              </w:rPr>
              <w:t xml:space="preserve">refers to the arrest, detention, abduction or any other </w:t>
            </w:r>
            <w:r w:rsidRPr="00023EAD">
              <w:rPr>
                <w:szCs w:val="20"/>
                <w:lang w:val="en-GB" w:bidi="en-GB"/>
              </w:rPr>
              <w:t>form of deprivation of liberty of a victim by agents of the State or by persons or groups of persons acting with the authorization, support or acquiescence of the State, motivated by the victim, or someone associated with the victim, engaging in activities as a journalist, trade unionist or human rights defender, followed by a refusal to acknowledge the deprivation</w:t>
            </w:r>
          </w:p>
          <w:p w14:paraId="01042161" w14:textId="77777777" w:rsidR="00BD06C4" w:rsidRPr="00023EAD" w:rsidRDefault="00BD06C4" w:rsidP="00BD06C4">
            <w:pPr>
              <w:pStyle w:val="BodyText"/>
              <w:spacing w:before="25" w:line="242" w:lineRule="auto"/>
              <w:ind w:left="1039" w:right="606"/>
              <w:rPr>
                <w:rFonts w:ascii="Tw Cen MT Condensed" w:hAnsi="Tw Cen MT Condensed"/>
                <w:sz w:val="20"/>
                <w:szCs w:val="20"/>
              </w:rPr>
            </w:pPr>
            <w:r w:rsidRPr="00023EAD">
              <w:rPr>
                <w:rFonts w:ascii="Tw Cen MT Condensed" w:hAnsi="Tw Cen MT Condensed"/>
                <w:sz w:val="20"/>
                <w:szCs w:val="20"/>
              </w:rPr>
              <w:t>of liberty or by concealment of the fate or whereabouts of the victim, which places the victim outside the protection of the law, corresponding to ICCS code 020222 (forced disappearance) and coded herein as B [02022ED]</w:t>
            </w:r>
          </w:p>
          <w:p w14:paraId="16814196" w14:textId="77777777" w:rsidR="00BD06C4" w:rsidRPr="00023EAD" w:rsidRDefault="00BD06C4" w:rsidP="00BD06C4">
            <w:pPr>
              <w:pStyle w:val="BodyText"/>
              <w:spacing w:before="3"/>
              <w:rPr>
                <w:rFonts w:ascii="Tw Cen MT Condensed" w:hAnsi="Tw Cen MT Condensed"/>
                <w:sz w:val="20"/>
                <w:szCs w:val="20"/>
              </w:rPr>
            </w:pPr>
          </w:p>
          <w:p w14:paraId="77BDC592" w14:textId="77777777" w:rsidR="00BD06C4" w:rsidRPr="00023EAD" w:rsidRDefault="00BD06C4" w:rsidP="00BD06C4">
            <w:pPr>
              <w:pStyle w:val="ListParagraph"/>
              <w:widowControl w:val="0"/>
              <w:numPr>
                <w:ilvl w:val="0"/>
                <w:numId w:val="126"/>
              </w:numPr>
              <w:tabs>
                <w:tab w:val="left" w:pos="1038"/>
                <w:tab w:val="left" w:pos="1039"/>
              </w:tabs>
              <w:autoSpaceDE w:val="0"/>
              <w:autoSpaceDN w:val="0"/>
              <w:spacing w:before="1" w:after="0" w:line="240" w:lineRule="auto"/>
              <w:ind w:right="365"/>
              <w:contextualSpacing w:val="0"/>
              <w:rPr>
                <w:rFonts w:ascii="Tw Cen MT Condensed" w:hAnsi="Tw Cen MT Condensed"/>
                <w:sz w:val="20"/>
                <w:szCs w:val="20"/>
              </w:rPr>
            </w:pPr>
            <w:r w:rsidRPr="00023EAD">
              <w:rPr>
                <w:rFonts w:ascii="Tw Cen MT Condensed" w:hAnsi="Tw Cen MT Condensed"/>
                <w:i/>
                <w:sz w:val="20"/>
                <w:szCs w:val="20"/>
              </w:rPr>
              <w:t xml:space="preserve">‘Torture’ </w:t>
            </w:r>
            <w:r w:rsidRPr="00023EAD">
              <w:rPr>
                <w:rFonts w:ascii="Tw Cen MT Condensed" w:hAnsi="Tw Cen MT Condensed"/>
                <w:sz w:val="20"/>
                <w:szCs w:val="20"/>
              </w:rPr>
              <w:t xml:space="preserve">refers to any </w:t>
            </w:r>
            <w:r w:rsidRPr="00023EAD">
              <w:rPr>
                <w:rFonts w:ascii="Tw Cen MT Condensed" w:hAnsi="Tw Cen MT Condensed"/>
                <w:spacing w:val="-3"/>
                <w:sz w:val="20"/>
                <w:szCs w:val="20"/>
              </w:rPr>
              <w:t xml:space="preserve">act </w:t>
            </w:r>
            <w:r w:rsidRPr="00023EAD">
              <w:rPr>
                <w:rFonts w:ascii="Tw Cen MT Condensed" w:hAnsi="Tw Cen MT Condensed"/>
                <w:sz w:val="20"/>
                <w:szCs w:val="20"/>
              </w:rPr>
              <w:t xml:space="preserve">by which severe pain or suffering, </w:t>
            </w:r>
            <w:r w:rsidRPr="00023EAD">
              <w:rPr>
                <w:rFonts w:ascii="Tw Cen MT Condensed" w:hAnsi="Tw Cen MT Condensed"/>
                <w:spacing w:val="1"/>
                <w:sz w:val="20"/>
                <w:szCs w:val="20"/>
              </w:rPr>
              <w:t xml:space="preserve">whether </w:t>
            </w:r>
            <w:r w:rsidRPr="00023EAD">
              <w:rPr>
                <w:rFonts w:ascii="Tw Cen MT Condensed" w:hAnsi="Tw Cen MT Condensed"/>
                <w:sz w:val="20"/>
                <w:szCs w:val="20"/>
              </w:rPr>
              <w:t xml:space="preserve">physical or mental, </w:t>
            </w:r>
            <w:r w:rsidRPr="00023EAD">
              <w:rPr>
                <w:rFonts w:ascii="Tw Cen MT Condensed" w:hAnsi="Tw Cen MT Condensed"/>
                <w:spacing w:val="2"/>
                <w:sz w:val="20"/>
                <w:szCs w:val="20"/>
              </w:rPr>
              <w:t xml:space="preserve">is </w:t>
            </w:r>
            <w:r w:rsidRPr="00023EAD">
              <w:rPr>
                <w:rFonts w:ascii="Tw Cen MT Condensed" w:hAnsi="Tw Cen MT Condensed"/>
                <w:spacing w:val="1"/>
                <w:sz w:val="20"/>
                <w:szCs w:val="20"/>
              </w:rPr>
              <w:t xml:space="preserve">intentionally </w:t>
            </w:r>
            <w:r w:rsidRPr="00023EAD">
              <w:rPr>
                <w:rFonts w:ascii="Tw Cen MT Condensed" w:hAnsi="Tw Cen MT Condensed"/>
                <w:sz w:val="20"/>
                <w:szCs w:val="20"/>
              </w:rPr>
              <w:t xml:space="preserve">inflicted on a journalist, trade unionist or human rights </w:t>
            </w:r>
            <w:r w:rsidRPr="00023EAD">
              <w:rPr>
                <w:rFonts w:ascii="Tw Cen MT Condensed" w:hAnsi="Tw Cen MT Condensed"/>
                <w:spacing w:val="1"/>
                <w:sz w:val="20"/>
                <w:szCs w:val="20"/>
              </w:rPr>
              <w:t xml:space="preserve">defender, </w:t>
            </w:r>
            <w:r w:rsidRPr="00023EAD">
              <w:rPr>
                <w:rFonts w:ascii="Tw Cen MT Condensed" w:hAnsi="Tw Cen MT Condensed"/>
                <w:sz w:val="20"/>
                <w:szCs w:val="20"/>
              </w:rPr>
              <w:t xml:space="preserve">for such purposes as obtaining from them or a third person information or a confession, punishing them, </w:t>
            </w:r>
            <w:r w:rsidRPr="00023EAD">
              <w:rPr>
                <w:rFonts w:ascii="Tw Cen MT Condensed" w:hAnsi="Tw Cen MT Condensed"/>
                <w:spacing w:val="1"/>
                <w:sz w:val="20"/>
                <w:szCs w:val="20"/>
              </w:rPr>
              <w:t xml:space="preserve">intimidating </w:t>
            </w:r>
            <w:r w:rsidRPr="00023EAD">
              <w:rPr>
                <w:rFonts w:ascii="Tw Cen MT Condensed" w:hAnsi="Tw Cen MT Condensed"/>
                <w:sz w:val="20"/>
                <w:szCs w:val="20"/>
              </w:rPr>
              <w:t xml:space="preserve">them or coercing them, or for any reason based on discrimination of any kind, </w:t>
            </w:r>
            <w:r w:rsidRPr="00023EAD">
              <w:rPr>
                <w:rFonts w:ascii="Tw Cen MT Condensed" w:hAnsi="Tw Cen MT Condensed"/>
                <w:spacing w:val="1"/>
                <w:sz w:val="20"/>
                <w:szCs w:val="20"/>
              </w:rPr>
              <w:t xml:space="preserve">when </w:t>
            </w:r>
            <w:r w:rsidRPr="00023EAD">
              <w:rPr>
                <w:rFonts w:ascii="Tw Cen MT Condensed" w:hAnsi="Tw Cen MT Condensed"/>
                <w:sz w:val="20"/>
                <w:szCs w:val="20"/>
              </w:rPr>
              <w:t xml:space="preserve">such pain or </w:t>
            </w:r>
            <w:r w:rsidRPr="00023EAD">
              <w:rPr>
                <w:rFonts w:ascii="Tw Cen MT Condensed" w:hAnsi="Tw Cen MT Condensed"/>
                <w:spacing w:val="1"/>
                <w:sz w:val="20"/>
                <w:szCs w:val="20"/>
              </w:rPr>
              <w:t xml:space="preserve">suffering </w:t>
            </w:r>
            <w:r w:rsidRPr="00023EAD">
              <w:rPr>
                <w:rFonts w:ascii="Tw Cen MT Condensed" w:hAnsi="Tw Cen MT Condensed"/>
                <w:spacing w:val="2"/>
                <w:sz w:val="20"/>
                <w:szCs w:val="20"/>
              </w:rPr>
              <w:t xml:space="preserve">is </w:t>
            </w:r>
            <w:r w:rsidRPr="00023EAD">
              <w:rPr>
                <w:rFonts w:ascii="Tw Cen MT Condensed" w:hAnsi="Tw Cen MT Condensed"/>
                <w:spacing w:val="1"/>
                <w:sz w:val="20"/>
                <w:szCs w:val="20"/>
              </w:rPr>
              <w:t xml:space="preserve">inflicted </w:t>
            </w:r>
            <w:r w:rsidRPr="00023EAD">
              <w:rPr>
                <w:rFonts w:ascii="Tw Cen MT Condensed" w:hAnsi="Tw Cen MT Condensed"/>
                <w:sz w:val="20"/>
                <w:szCs w:val="20"/>
              </w:rPr>
              <w:t xml:space="preserve">by or at the instigation of or </w:t>
            </w:r>
            <w:r w:rsidRPr="00023EAD">
              <w:rPr>
                <w:rFonts w:ascii="Tw Cen MT Condensed" w:hAnsi="Tw Cen MT Condensed"/>
                <w:spacing w:val="1"/>
                <w:sz w:val="20"/>
                <w:szCs w:val="20"/>
              </w:rPr>
              <w:t xml:space="preserve">with </w:t>
            </w:r>
            <w:r w:rsidRPr="00023EAD">
              <w:rPr>
                <w:rFonts w:ascii="Tw Cen MT Condensed" w:hAnsi="Tw Cen MT Condensed"/>
                <w:sz w:val="20"/>
                <w:szCs w:val="20"/>
              </w:rPr>
              <w:t xml:space="preserve">the consent or acquiescence of a </w:t>
            </w:r>
            <w:r w:rsidRPr="00023EAD">
              <w:rPr>
                <w:rFonts w:ascii="Tw Cen MT Condensed" w:hAnsi="Tw Cen MT Condensed"/>
                <w:spacing w:val="1"/>
                <w:sz w:val="20"/>
                <w:szCs w:val="20"/>
              </w:rPr>
              <w:t xml:space="preserve">public </w:t>
            </w:r>
            <w:r w:rsidRPr="00023EAD">
              <w:rPr>
                <w:rFonts w:ascii="Tw Cen MT Condensed" w:hAnsi="Tw Cen MT Condensed"/>
                <w:sz w:val="20"/>
                <w:szCs w:val="20"/>
              </w:rPr>
              <w:t xml:space="preserve">official or </w:t>
            </w:r>
            <w:r w:rsidRPr="00023EAD">
              <w:rPr>
                <w:rFonts w:ascii="Tw Cen MT Condensed" w:hAnsi="Tw Cen MT Condensed"/>
                <w:spacing w:val="3"/>
                <w:sz w:val="20"/>
                <w:szCs w:val="20"/>
              </w:rPr>
              <w:t xml:space="preserve">other </w:t>
            </w:r>
            <w:r w:rsidRPr="00023EAD">
              <w:rPr>
                <w:rFonts w:ascii="Tw Cen MT Condensed" w:hAnsi="Tw Cen MT Condensed"/>
                <w:sz w:val="20"/>
                <w:szCs w:val="20"/>
              </w:rPr>
              <w:t xml:space="preserve">persons acting </w:t>
            </w:r>
            <w:r w:rsidRPr="00023EAD">
              <w:rPr>
                <w:rFonts w:ascii="Tw Cen MT Condensed" w:hAnsi="Tw Cen MT Condensed"/>
                <w:spacing w:val="2"/>
                <w:sz w:val="20"/>
                <w:szCs w:val="20"/>
              </w:rPr>
              <w:t xml:space="preserve">in </w:t>
            </w:r>
            <w:r w:rsidRPr="00023EAD">
              <w:rPr>
                <w:rFonts w:ascii="Tw Cen MT Condensed" w:hAnsi="Tw Cen MT Condensed"/>
                <w:sz w:val="20"/>
                <w:szCs w:val="20"/>
              </w:rPr>
              <w:t xml:space="preserve">an official capacity, corresponding to ICCS code </w:t>
            </w:r>
            <w:r w:rsidRPr="00023EAD">
              <w:rPr>
                <w:rFonts w:ascii="Tw Cen MT Condensed" w:hAnsi="Tw Cen MT Condensed"/>
                <w:spacing w:val="-8"/>
                <w:sz w:val="20"/>
                <w:szCs w:val="20"/>
              </w:rPr>
              <w:t xml:space="preserve">11011 </w:t>
            </w:r>
            <w:r w:rsidRPr="00023EAD">
              <w:rPr>
                <w:rFonts w:ascii="Tw Cen MT Condensed" w:hAnsi="Tw Cen MT Condensed"/>
                <w:sz w:val="20"/>
                <w:szCs w:val="20"/>
              </w:rPr>
              <w:t xml:space="preserve">and coded </w:t>
            </w:r>
            <w:r w:rsidRPr="00023EAD">
              <w:rPr>
                <w:rFonts w:ascii="Tw Cen MT Condensed" w:hAnsi="Tw Cen MT Condensed"/>
                <w:spacing w:val="1"/>
                <w:sz w:val="20"/>
                <w:szCs w:val="20"/>
              </w:rPr>
              <w:t xml:space="preserve">herein </w:t>
            </w:r>
            <w:r w:rsidRPr="00023EAD">
              <w:rPr>
                <w:rFonts w:ascii="Tw Cen MT Condensed" w:hAnsi="Tw Cen MT Condensed"/>
                <w:sz w:val="20"/>
                <w:szCs w:val="20"/>
              </w:rPr>
              <w:t>as C</w:t>
            </w:r>
            <w:r w:rsidRPr="00023EAD">
              <w:rPr>
                <w:rFonts w:ascii="Tw Cen MT Condensed" w:hAnsi="Tw Cen MT Condensed"/>
                <w:spacing w:val="-4"/>
                <w:sz w:val="20"/>
                <w:szCs w:val="20"/>
              </w:rPr>
              <w:t xml:space="preserve"> </w:t>
            </w:r>
            <w:r w:rsidRPr="00023EAD">
              <w:rPr>
                <w:rFonts w:ascii="Tw Cen MT Condensed" w:hAnsi="Tw Cen MT Condensed"/>
                <w:spacing w:val="-5"/>
                <w:sz w:val="20"/>
                <w:szCs w:val="20"/>
              </w:rPr>
              <w:t>[11011].</w:t>
            </w:r>
          </w:p>
          <w:p w14:paraId="46517294" w14:textId="77777777" w:rsidR="00BD06C4" w:rsidRPr="00023EAD" w:rsidRDefault="00BD06C4" w:rsidP="00BD06C4">
            <w:pPr>
              <w:pStyle w:val="BodyText"/>
              <w:spacing w:before="3"/>
              <w:rPr>
                <w:rFonts w:ascii="Tw Cen MT Condensed" w:hAnsi="Tw Cen MT Condensed"/>
                <w:sz w:val="20"/>
                <w:szCs w:val="20"/>
              </w:rPr>
            </w:pPr>
          </w:p>
          <w:p w14:paraId="3DA575A7" w14:textId="77777777" w:rsidR="00BD06C4" w:rsidRPr="00023EAD" w:rsidRDefault="00BD06C4" w:rsidP="00BD06C4">
            <w:pPr>
              <w:pStyle w:val="ListParagraph"/>
              <w:widowControl w:val="0"/>
              <w:numPr>
                <w:ilvl w:val="0"/>
                <w:numId w:val="126"/>
              </w:numPr>
              <w:tabs>
                <w:tab w:val="left" w:pos="1038"/>
                <w:tab w:val="left" w:pos="1039"/>
              </w:tabs>
              <w:autoSpaceDE w:val="0"/>
              <w:autoSpaceDN w:val="0"/>
              <w:spacing w:before="1" w:after="0" w:line="237" w:lineRule="auto"/>
              <w:ind w:right="408"/>
              <w:contextualSpacing w:val="0"/>
              <w:rPr>
                <w:rFonts w:ascii="Tw Cen MT Condensed" w:hAnsi="Tw Cen MT Condensed"/>
                <w:sz w:val="20"/>
                <w:szCs w:val="20"/>
              </w:rPr>
            </w:pPr>
            <w:r w:rsidRPr="00023EAD">
              <w:rPr>
                <w:rFonts w:ascii="Tw Cen MT Condensed" w:hAnsi="Tw Cen MT Condensed"/>
                <w:i/>
                <w:sz w:val="20"/>
                <w:szCs w:val="20"/>
              </w:rPr>
              <w:t xml:space="preserve">‘Arbitrary detention’ </w:t>
            </w:r>
            <w:r w:rsidRPr="00023EAD">
              <w:rPr>
                <w:rFonts w:ascii="Tw Cen MT Condensed" w:hAnsi="Tw Cen MT Condensed"/>
                <w:sz w:val="20"/>
                <w:szCs w:val="20"/>
              </w:rPr>
              <w:t xml:space="preserve">refers to any arrest or </w:t>
            </w:r>
            <w:r w:rsidRPr="00023EAD">
              <w:rPr>
                <w:rFonts w:ascii="Tw Cen MT Condensed" w:hAnsi="Tw Cen MT Condensed"/>
                <w:spacing w:val="1"/>
                <w:sz w:val="20"/>
                <w:szCs w:val="20"/>
              </w:rPr>
              <w:t xml:space="preserve">detention </w:t>
            </w:r>
            <w:r w:rsidRPr="00023EAD">
              <w:rPr>
                <w:rFonts w:ascii="Tw Cen MT Condensed" w:hAnsi="Tw Cen MT Condensed"/>
                <w:sz w:val="20"/>
                <w:szCs w:val="20"/>
              </w:rPr>
              <w:t xml:space="preserve">not </w:t>
            </w:r>
            <w:r w:rsidRPr="00023EAD">
              <w:rPr>
                <w:rFonts w:ascii="Tw Cen MT Condensed" w:hAnsi="Tw Cen MT Condensed"/>
                <w:spacing w:val="2"/>
                <w:sz w:val="20"/>
                <w:szCs w:val="20"/>
              </w:rPr>
              <w:t xml:space="preserve">in </w:t>
            </w:r>
            <w:r w:rsidRPr="00023EAD">
              <w:rPr>
                <w:rFonts w:ascii="Tw Cen MT Condensed" w:hAnsi="Tw Cen MT Condensed"/>
                <w:spacing w:val="-3"/>
                <w:sz w:val="20"/>
                <w:szCs w:val="20"/>
              </w:rPr>
              <w:t xml:space="preserve">accordance </w:t>
            </w:r>
            <w:r w:rsidRPr="00023EAD">
              <w:rPr>
                <w:rFonts w:ascii="Tw Cen MT Condensed" w:hAnsi="Tw Cen MT Condensed"/>
                <w:spacing w:val="1"/>
                <w:sz w:val="20"/>
                <w:szCs w:val="20"/>
              </w:rPr>
              <w:t xml:space="preserve">with </w:t>
            </w:r>
            <w:r w:rsidRPr="00023EAD">
              <w:rPr>
                <w:rFonts w:ascii="Tw Cen MT Condensed" w:hAnsi="Tw Cen MT Condensed"/>
                <w:sz w:val="20"/>
                <w:szCs w:val="20"/>
              </w:rPr>
              <w:t>national laws,</w:t>
            </w:r>
            <w:r w:rsidRPr="00023EAD">
              <w:rPr>
                <w:rFonts w:ascii="Tw Cen MT Condensed" w:hAnsi="Tw Cen MT Condensed"/>
                <w:spacing w:val="-16"/>
                <w:sz w:val="20"/>
                <w:szCs w:val="20"/>
              </w:rPr>
              <w:t xml:space="preserve"> </w:t>
            </w:r>
            <w:r w:rsidRPr="00023EAD">
              <w:rPr>
                <w:rFonts w:ascii="Tw Cen MT Condensed" w:hAnsi="Tw Cen MT Condensed"/>
                <w:sz w:val="20"/>
                <w:szCs w:val="20"/>
              </w:rPr>
              <w:t>because</w:t>
            </w:r>
            <w:r w:rsidRPr="00023EAD">
              <w:rPr>
                <w:rFonts w:ascii="Tw Cen MT Condensed" w:hAnsi="Tw Cen MT Condensed"/>
                <w:spacing w:val="6"/>
                <w:sz w:val="20"/>
                <w:szCs w:val="20"/>
              </w:rPr>
              <w:t xml:space="preserve"> </w:t>
            </w:r>
            <w:r w:rsidRPr="00023EAD">
              <w:rPr>
                <w:rFonts w:ascii="Tw Cen MT Condensed" w:hAnsi="Tw Cen MT Condensed"/>
                <w:spacing w:val="2"/>
                <w:sz w:val="20"/>
                <w:szCs w:val="20"/>
              </w:rPr>
              <w:t>it</w:t>
            </w:r>
            <w:r w:rsidRPr="00023EAD">
              <w:rPr>
                <w:rFonts w:ascii="Tw Cen MT Condensed" w:hAnsi="Tw Cen MT Condensed"/>
                <w:spacing w:val="-3"/>
                <w:sz w:val="20"/>
                <w:szCs w:val="20"/>
              </w:rPr>
              <w:t xml:space="preserve"> </w:t>
            </w:r>
            <w:r w:rsidRPr="00023EAD">
              <w:rPr>
                <w:rFonts w:ascii="Tw Cen MT Condensed" w:hAnsi="Tw Cen MT Condensed"/>
                <w:spacing w:val="2"/>
                <w:sz w:val="20"/>
                <w:szCs w:val="20"/>
              </w:rPr>
              <w:t>is</w:t>
            </w:r>
            <w:r w:rsidRPr="00023EAD">
              <w:rPr>
                <w:rFonts w:ascii="Tw Cen MT Condensed" w:hAnsi="Tw Cen MT Condensed"/>
                <w:spacing w:val="-18"/>
                <w:sz w:val="20"/>
                <w:szCs w:val="20"/>
              </w:rPr>
              <w:t xml:space="preserve"> </w:t>
            </w:r>
            <w:r w:rsidRPr="00023EAD">
              <w:rPr>
                <w:rFonts w:ascii="Tw Cen MT Condensed" w:hAnsi="Tw Cen MT Condensed"/>
                <w:sz w:val="20"/>
                <w:szCs w:val="20"/>
              </w:rPr>
              <w:t>not</w:t>
            </w:r>
            <w:r w:rsidRPr="00023EAD">
              <w:rPr>
                <w:rFonts w:ascii="Tw Cen MT Condensed" w:hAnsi="Tw Cen MT Condensed"/>
                <w:spacing w:val="13"/>
                <w:sz w:val="20"/>
                <w:szCs w:val="20"/>
              </w:rPr>
              <w:t xml:space="preserve"> </w:t>
            </w:r>
            <w:r w:rsidRPr="00023EAD">
              <w:rPr>
                <w:rFonts w:ascii="Tw Cen MT Condensed" w:hAnsi="Tw Cen MT Condensed"/>
                <w:sz w:val="20"/>
                <w:szCs w:val="20"/>
              </w:rPr>
              <w:t>properly</w:t>
            </w:r>
            <w:r w:rsidRPr="00023EAD">
              <w:rPr>
                <w:rFonts w:ascii="Tw Cen MT Condensed" w:hAnsi="Tw Cen MT Condensed"/>
                <w:spacing w:val="-17"/>
                <w:sz w:val="20"/>
                <w:szCs w:val="20"/>
              </w:rPr>
              <w:t xml:space="preserve"> </w:t>
            </w:r>
            <w:r w:rsidRPr="00023EAD">
              <w:rPr>
                <w:rFonts w:ascii="Tw Cen MT Condensed" w:hAnsi="Tw Cen MT Condensed"/>
                <w:sz w:val="20"/>
                <w:szCs w:val="20"/>
              </w:rPr>
              <w:t>based</w:t>
            </w:r>
            <w:r w:rsidRPr="00023EAD">
              <w:rPr>
                <w:rFonts w:ascii="Tw Cen MT Condensed" w:hAnsi="Tw Cen MT Condensed"/>
                <w:spacing w:val="-18"/>
                <w:sz w:val="20"/>
                <w:szCs w:val="20"/>
              </w:rPr>
              <w:t xml:space="preserve"> </w:t>
            </w:r>
            <w:r w:rsidRPr="00023EAD">
              <w:rPr>
                <w:rFonts w:ascii="Tw Cen MT Condensed" w:hAnsi="Tw Cen MT Condensed"/>
                <w:sz w:val="20"/>
                <w:szCs w:val="20"/>
              </w:rPr>
              <w:t>on</w:t>
            </w:r>
            <w:r w:rsidRPr="00023EAD">
              <w:rPr>
                <w:rFonts w:ascii="Tw Cen MT Condensed" w:hAnsi="Tw Cen MT Condensed"/>
                <w:spacing w:val="15"/>
                <w:sz w:val="20"/>
                <w:szCs w:val="20"/>
              </w:rPr>
              <w:t xml:space="preserve"> </w:t>
            </w:r>
            <w:r w:rsidRPr="00023EAD">
              <w:rPr>
                <w:rFonts w:ascii="Tw Cen MT Condensed" w:hAnsi="Tw Cen MT Condensed"/>
                <w:sz w:val="20"/>
                <w:szCs w:val="20"/>
              </w:rPr>
              <w:t>grounds</w:t>
            </w:r>
            <w:r w:rsidRPr="00023EAD">
              <w:rPr>
                <w:rFonts w:ascii="Tw Cen MT Condensed" w:hAnsi="Tw Cen MT Condensed"/>
                <w:spacing w:val="-1"/>
                <w:sz w:val="20"/>
                <w:szCs w:val="20"/>
              </w:rPr>
              <w:t xml:space="preserve"> </w:t>
            </w:r>
            <w:r w:rsidRPr="00023EAD">
              <w:rPr>
                <w:rFonts w:ascii="Tw Cen MT Condensed" w:hAnsi="Tw Cen MT Condensed"/>
                <w:spacing w:val="3"/>
                <w:sz w:val="20"/>
                <w:szCs w:val="20"/>
              </w:rPr>
              <w:t>established</w:t>
            </w:r>
            <w:r w:rsidRPr="00023EAD">
              <w:rPr>
                <w:rFonts w:ascii="Tw Cen MT Condensed" w:hAnsi="Tw Cen MT Condensed"/>
                <w:spacing w:val="-18"/>
                <w:sz w:val="20"/>
                <w:szCs w:val="20"/>
              </w:rPr>
              <w:t xml:space="preserve"> </w:t>
            </w:r>
            <w:r w:rsidRPr="00023EAD">
              <w:rPr>
                <w:rFonts w:ascii="Tw Cen MT Condensed" w:hAnsi="Tw Cen MT Condensed"/>
                <w:sz w:val="20"/>
                <w:szCs w:val="20"/>
              </w:rPr>
              <w:t>by</w:t>
            </w:r>
            <w:r w:rsidRPr="00023EAD">
              <w:rPr>
                <w:rFonts w:ascii="Tw Cen MT Condensed" w:hAnsi="Tw Cen MT Condensed"/>
                <w:spacing w:val="-17"/>
                <w:sz w:val="20"/>
                <w:szCs w:val="20"/>
              </w:rPr>
              <w:t xml:space="preserve"> </w:t>
            </w:r>
            <w:r w:rsidRPr="00023EAD">
              <w:rPr>
                <w:rFonts w:ascii="Tw Cen MT Condensed" w:hAnsi="Tw Cen MT Condensed"/>
                <w:sz w:val="20"/>
                <w:szCs w:val="20"/>
              </w:rPr>
              <w:t>law,</w:t>
            </w:r>
            <w:r w:rsidRPr="00023EAD">
              <w:rPr>
                <w:rFonts w:ascii="Tw Cen MT Condensed" w:hAnsi="Tw Cen MT Condensed"/>
                <w:spacing w:val="-16"/>
                <w:sz w:val="20"/>
                <w:szCs w:val="20"/>
              </w:rPr>
              <w:t xml:space="preserve"> </w:t>
            </w:r>
            <w:r w:rsidRPr="00023EAD">
              <w:rPr>
                <w:rFonts w:ascii="Tw Cen MT Condensed" w:hAnsi="Tw Cen MT Condensed"/>
                <w:sz w:val="20"/>
                <w:szCs w:val="20"/>
              </w:rPr>
              <w:t>or</w:t>
            </w:r>
            <w:r w:rsidRPr="00023EAD">
              <w:rPr>
                <w:rFonts w:ascii="Tw Cen MT Condensed" w:hAnsi="Tw Cen MT Condensed"/>
                <w:spacing w:val="10"/>
                <w:sz w:val="20"/>
                <w:szCs w:val="20"/>
              </w:rPr>
              <w:t xml:space="preserve"> </w:t>
            </w:r>
            <w:r w:rsidRPr="00023EAD">
              <w:rPr>
                <w:rFonts w:ascii="Tw Cen MT Condensed" w:hAnsi="Tw Cen MT Condensed"/>
                <w:sz w:val="20"/>
                <w:szCs w:val="20"/>
              </w:rPr>
              <w:t>does</w:t>
            </w:r>
            <w:r w:rsidRPr="00023EAD">
              <w:rPr>
                <w:rFonts w:ascii="Tw Cen MT Condensed" w:hAnsi="Tw Cen MT Condensed"/>
                <w:spacing w:val="-18"/>
                <w:sz w:val="20"/>
                <w:szCs w:val="20"/>
              </w:rPr>
              <w:t xml:space="preserve"> </w:t>
            </w:r>
            <w:r w:rsidRPr="00023EAD">
              <w:rPr>
                <w:rFonts w:ascii="Tw Cen MT Condensed" w:hAnsi="Tw Cen MT Condensed"/>
                <w:sz w:val="20"/>
                <w:szCs w:val="20"/>
              </w:rPr>
              <w:t>not</w:t>
            </w:r>
            <w:r w:rsidRPr="00023EAD">
              <w:rPr>
                <w:rFonts w:ascii="Tw Cen MT Condensed" w:hAnsi="Tw Cen MT Condensed"/>
                <w:spacing w:val="-3"/>
                <w:sz w:val="20"/>
                <w:szCs w:val="20"/>
              </w:rPr>
              <w:t xml:space="preserve"> </w:t>
            </w:r>
            <w:r w:rsidRPr="00023EAD">
              <w:rPr>
                <w:rFonts w:ascii="Tw Cen MT Condensed" w:hAnsi="Tw Cen MT Condensed"/>
                <w:sz w:val="20"/>
                <w:szCs w:val="20"/>
              </w:rPr>
              <w:t xml:space="preserve">conform to the procedures </w:t>
            </w:r>
            <w:r w:rsidRPr="00023EAD">
              <w:rPr>
                <w:rFonts w:ascii="Tw Cen MT Condensed" w:hAnsi="Tw Cen MT Condensed"/>
                <w:spacing w:val="1"/>
                <w:sz w:val="20"/>
                <w:szCs w:val="20"/>
              </w:rPr>
              <w:t xml:space="preserve">established </w:t>
            </w:r>
            <w:r w:rsidRPr="00023EAD">
              <w:rPr>
                <w:rFonts w:ascii="Tw Cen MT Condensed" w:hAnsi="Tw Cen MT Condensed"/>
                <w:sz w:val="20"/>
                <w:szCs w:val="20"/>
              </w:rPr>
              <w:t xml:space="preserve">by law, or </w:t>
            </w:r>
            <w:r w:rsidRPr="00023EAD">
              <w:rPr>
                <w:rFonts w:ascii="Tw Cen MT Condensed" w:hAnsi="Tw Cen MT Condensed"/>
                <w:spacing w:val="2"/>
                <w:sz w:val="20"/>
                <w:szCs w:val="20"/>
              </w:rPr>
              <w:t xml:space="preserve">is </w:t>
            </w:r>
            <w:r w:rsidRPr="00023EAD">
              <w:rPr>
                <w:rFonts w:ascii="Tw Cen MT Condensed" w:hAnsi="Tw Cen MT Condensed"/>
                <w:sz w:val="20"/>
                <w:szCs w:val="20"/>
              </w:rPr>
              <w:t xml:space="preserve">otherwise </w:t>
            </w:r>
            <w:r w:rsidRPr="00023EAD">
              <w:rPr>
                <w:rFonts w:ascii="Tw Cen MT Condensed" w:hAnsi="Tw Cen MT Condensed"/>
                <w:spacing w:val="2"/>
                <w:sz w:val="20"/>
                <w:szCs w:val="20"/>
              </w:rPr>
              <w:t xml:space="preserve">deemed </w:t>
            </w:r>
            <w:r w:rsidRPr="00023EAD">
              <w:rPr>
                <w:rFonts w:ascii="Tw Cen MT Condensed" w:hAnsi="Tw Cen MT Condensed"/>
                <w:sz w:val="20"/>
                <w:szCs w:val="20"/>
              </w:rPr>
              <w:t xml:space="preserve">arbitrary </w:t>
            </w:r>
            <w:r w:rsidRPr="00023EAD">
              <w:rPr>
                <w:rFonts w:ascii="Tw Cen MT Condensed" w:hAnsi="Tw Cen MT Condensed"/>
                <w:spacing w:val="2"/>
                <w:sz w:val="20"/>
                <w:szCs w:val="20"/>
              </w:rPr>
              <w:t xml:space="preserve">in </w:t>
            </w:r>
            <w:r w:rsidRPr="00023EAD">
              <w:rPr>
                <w:rFonts w:ascii="Tw Cen MT Condensed" w:hAnsi="Tw Cen MT Condensed"/>
                <w:sz w:val="20"/>
                <w:szCs w:val="20"/>
              </w:rPr>
              <w:t xml:space="preserve">the sense of </w:t>
            </w:r>
            <w:r w:rsidRPr="00023EAD">
              <w:rPr>
                <w:rFonts w:ascii="Tw Cen MT Condensed" w:hAnsi="Tw Cen MT Condensed"/>
                <w:spacing w:val="1"/>
                <w:sz w:val="20"/>
                <w:szCs w:val="20"/>
              </w:rPr>
              <w:t xml:space="preserve">being </w:t>
            </w:r>
            <w:r w:rsidRPr="00023EAD">
              <w:rPr>
                <w:rFonts w:ascii="Tw Cen MT Condensed" w:hAnsi="Tw Cen MT Condensed"/>
                <w:sz w:val="20"/>
                <w:szCs w:val="20"/>
              </w:rPr>
              <w:t xml:space="preserve">inappropriate, unjust, unreasonable or unnecessary </w:t>
            </w:r>
            <w:r w:rsidRPr="00023EAD">
              <w:rPr>
                <w:rFonts w:ascii="Tw Cen MT Condensed" w:hAnsi="Tw Cen MT Condensed"/>
                <w:spacing w:val="2"/>
                <w:sz w:val="20"/>
                <w:szCs w:val="20"/>
              </w:rPr>
              <w:t xml:space="preserve">in </w:t>
            </w:r>
            <w:r w:rsidRPr="00023EAD">
              <w:rPr>
                <w:rFonts w:ascii="Tw Cen MT Condensed" w:hAnsi="Tw Cen MT Condensed"/>
                <w:sz w:val="20"/>
                <w:szCs w:val="20"/>
              </w:rPr>
              <w:t>the circumstances, and motivated</w:t>
            </w:r>
            <w:r w:rsidRPr="00023EAD">
              <w:rPr>
                <w:rFonts w:ascii="Tw Cen MT Condensed" w:hAnsi="Tw Cen MT Condensed"/>
                <w:spacing w:val="-17"/>
                <w:sz w:val="20"/>
                <w:szCs w:val="20"/>
              </w:rPr>
              <w:t xml:space="preserve"> </w:t>
            </w:r>
            <w:r w:rsidRPr="00023EAD">
              <w:rPr>
                <w:rFonts w:ascii="Tw Cen MT Condensed" w:hAnsi="Tw Cen MT Condensed"/>
                <w:sz w:val="20"/>
                <w:szCs w:val="20"/>
              </w:rPr>
              <w:t>by</w:t>
            </w:r>
            <w:r w:rsidRPr="00023EAD">
              <w:rPr>
                <w:rFonts w:ascii="Tw Cen MT Condensed" w:hAnsi="Tw Cen MT Condensed"/>
                <w:spacing w:val="1"/>
                <w:sz w:val="20"/>
                <w:szCs w:val="20"/>
              </w:rPr>
              <w:t xml:space="preserve"> </w:t>
            </w:r>
            <w:r w:rsidRPr="00023EAD">
              <w:rPr>
                <w:rFonts w:ascii="Tw Cen MT Condensed" w:hAnsi="Tw Cen MT Condensed"/>
                <w:sz w:val="20"/>
                <w:szCs w:val="20"/>
              </w:rPr>
              <w:t>the</w:t>
            </w:r>
            <w:r w:rsidRPr="00023EAD">
              <w:rPr>
                <w:rFonts w:ascii="Tw Cen MT Condensed" w:hAnsi="Tw Cen MT Condensed"/>
                <w:spacing w:val="8"/>
                <w:sz w:val="20"/>
                <w:szCs w:val="20"/>
              </w:rPr>
              <w:t xml:space="preserve"> </w:t>
            </w:r>
            <w:r w:rsidRPr="00023EAD">
              <w:rPr>
                <w:rFonts w:ascii="Tw Cen MT Condensed" w:hAnsi="Tw Cen MT Condensed"/>
                <w:sz w:val="20"/>
                <w:szCs w:val="20"/>
              </w:rPr>
              <w:t>victim,</w:t>
            </w:r>
            <w:r w:rsidRPr="00023EAD">
              <w:rPr>
                <w:rFonts w:ascii="Tw Cen MT Condensed" w:hAnsi="Tw Cen MT Condensed"/>
                <w:spacing w:val="-15"/>
                <w:sz w:val="20"/>
                <w:szCs w:val="20"/>
              </w:rPr>
              <w:t xml:space="preserve"> </w:t>
            </w:r>
            <w:r w:rsidRPr="00023EAD">
              <w:rPr>
                <w:rFonts w:ascii="Tw Cen MT Condensed" w:hAnsi="Tw Cen MT Condensed"/>
                <w:sz w:val="20"/>
                <w:szCs w:val="20"/>
              </w:rPr>
              <w:t>or</w:t>
            </w:r>
            <w:r w:rsidRPr="00023EAD">
              <w:rPr>
                <w:rFonts w:ascii="Tw Cen MT Condensed" w:hAnsi="Tw Cen MT Condensed"/>
                <w:spacing w:val="11"/>
                <w:sz w:val="20"/>
                <w:szCs w:val="20"/>
              </w:rPr>
              <w:t xml:space="preserve"> </w:t>
            </w:r>
            <w:r w:rsidRPr="00023EAD">
              <w:rPr>
                <w:rFonts w:ascii="Tw Cen MT Condensed" w:hAnsi="Tw Cen MT Condensed"/>
                <w:sz w:val="20"/>
                <w:szCs w:val="20"/>
              </w:rPr>
              <w:t>someone</w:t>
            </w:r>
            <w:r w:rsidRPr="00023EAD">
              <w:rPr>
                <w:rFonts w:ascii="Tw Cen MT Condensed" w:hAnsi="Tw Cen MT Condensed"/>
                <w:spacing w:val="-10"/>
                <w:sz w:val="20"/>
                <w:szCs w:val="20"/>
              </w:rPr>
              <w:t xml:space="preserve"> </w:t>
            </w:r>
            <w:r w:rsidRPr="00023EAD">
              <w:rPr>
                <w:rFonts w:ascii="Tw Cen MT Condensed" w:hAnsi="Tw Cen MT Condensed"/>
                <w:sz w:val="20"/>
                <w:szCs w:val="20"/>
              </w:rPr>
              <w:t>associated</w:t>
            </w:r>
            <w:r w:rsidRPr="00023EAD">
              <w:rPr>
                <w:rFonts w:ascii="Tw Cen MT Condensed" w:hAnsi="Tw Cen MT Condensed"/>
                <w:spacing w:val="-17"/>
                <w:sz w:val="20"/>
                <w:szCs w:val="20"/>
              </w:rPr>
              <w:t xml:space="preserve"> </w:t>
            </w:r>
            <w:r w:rsidRPr="00023EAD">
              <w:rPr>
                <w:rFonts w:ascii="Tw Cen MT Condensed" w:hAnsi="Tw Cen MT Condensed"/>
                <w:spacing w:val="1"/>
                <w:sz w:val="20"/>
                <w:szCs w:val="20"/>
              </w:rPr>
              <w:t>with</w:t>
            </w:r>
            <w:r w:rsidRPr="00023EAD">
              <w:rPr>
                <w:rFonts w:ascii="Tw Cen MT Condensed" w:hAnsi="Tw Cen MT Condensed"/>
                <w:spacing w:val="-17"/>
                <w:sz w:val="20"/>
                <w:szCs w:val="20"/>
              </w:rPr>
              <w:t xml:space="preserve"> </w:t>
            </w:r>
            <w:r w:rsidRPr="00023EAD">
              <w:rPr>
                <w:rFonts w:ascii="Tw Cen MT Condensed" w:hAnsi="Tw Cen MT Condensed"/>
                <w:sz w:val="20"/>
                <w:szCs w:val="20"/>
              </w:rPr>
              <w:t>the</w:t>
            </w:r>
            <w:r w:rsidRPr="00023EAD">
              <w:rPr>
                <w:rFonts w:ascii="Tw Cen MT Condensed" w:hAnsi="Tw Cen MT Condensed"/>
                <w:spacing w:val="25"/>
                <w:sz w:val="20"/>
                <w:szCs w:val="20"/>
              </w:rPr>
              <w:t xml:space="preserve"> </w:t>
            </w:r>
            <w:r w:rsidRPr="00023EAD">
              <w:rPr>
                <w:rFonts w:ascii="Tw Cen MT Condensed" w:hAnsi="Tw Cen MT Condensed"/>
                <w:sz w:val="20"/>
                <w:szCs w:val="20"/>
              </w:rPr>
              <w:t>victim,</w:t>
            </w:r>
            <w:r w:rsidRPr="00023EAD">
              <w:rPr>
                <w:rFonts w:ascii="Tw Cen MT Condensed" w:hAnsi="Tw Cen MT Condensed"/>
                <w:spacing w:val="-15"/>
                <w:sz w:val="20"/>
                <w:szCs w:val="20"/>
              </w:rPr>
              <w:t xml:space="preserve"> </w:t>
            </w:r>
            <w:r w:rsidRPr="00023EAD">
              <w:rPr>
                <w:rFonts w:ascii="Tw Cen MT Condensed" w:hAnsi="Tw Cen MT Condensed"/>
                <w:sz w:val="20"/>
                <w:szCs w:val="20"/>
              </w:rPr>
              <w:t>engaging</w:t>
            </w:r>
            <w:r w:rsidRPr="00023EAD">
              <w:rPr>
                <w:rFonts w:ascii="Tw Cen MT Condensed" w:hAnsi="Tw Cen MT Condensed"/>
                <w:spacing w:val="-2"/>
                <w:sz w:val="20"/>
                <w:szCs w:val="20"/>
              </w:rPr>
              <w:t xml:space="preserve"> </w:t>
            </w:r>
            <w:r w:rsidRPr="00023EAD">
              <w:rPr>
                <w:rFonts w:ascii="Tw Cen MT Condensed" w:hAnsi="Tw Cen MT Condensed"/>
                <w:spacing w:val="2"/>
                <w:sz w:val="20"/>
                <w:szCs w:val="20"/>
              </w:rPr>
              <w:t>in</w:t>
            </w:r>
            <w:r w:rsidRPr="00023EAD">
              <w:rPr>
                <w:rFonts w:ascii="Tw Cen MT Condensed" w:hAnsi="Tw Cen MT Condensed"/>
                <w:sz w:val="20"/>
                <w:szCs w:val="20"/>
              </w:rPr>
              <w:t xml:space="preserve"> </w:t>
            </w:r>
            <w:r w:rsidRPr="00023EAD">
              <w:rPr>
                <w:rFonts w:ascii="Tw Cen MT Condensed" w:hAnsi="Tw Cen MT Condensed"/>
                <w:spacing w:val="1"/>
                <w:sz w:val="20"/>
                <w:szCs w:val="20"/>
              </w:rPr>
              <w:t>activities</w:t>
            </w:r>
            <w:r w:rsidRPr="00023EAD">
              <w:rPr>
                <w:rFonts w:ascii="Tw Cen MT Condensed" w:hAnsi="Tw Cen MT Condensed"/>
                <w:spacing w:val="-17"/>
                <w:sz w:val="20"/>
                <w:szCs w:val="20"/>
              </w:rPr>
              <w:t xml:space="preserve"> </w:t>
            </w:r>
            <w:r w:rsidRPr="00023EAD">
              <w:rPr>
                <w:rFonts w:ascii="Tw Cen MT Condensed" w:hAnsi="Tw Cen MT Condensed"/>
                <w:sz w:val="20"/>
                <w:szCs w:val="20"/>
              </w:rPr>
              <w:t>as</w:t>
            </w:r>
            <w:r w:rsidRPr="00023EAD">
              <w:rPr>
                <w:rFonts w:ascii="Tw Cen MT Condensed" w:hAnsi="Tw Cen MT Condensed"/>
                <w:spacing w:val="-17"/>
                <w:sz w:val="20"/>
                <w:szCs w:val="20"/>
              </w:rPr>
              <w:t xml:space="preserve"> </w:t>
            </w:r>
            <w:r w:rsidRPr="00023EAD">
              <w:rPr>
                <w:rFonts w:ascii="Tw Cen MT Condensed" w:hAnsi="Tw Cen MT Condensed"/>
                <w:sz w:val="20"/>
                <w:szCs w:val="20"/>
              </w:rPr>
              <w:t xml:space="preserve">a journalist, trade unionist or human rights </w:t>
            </w:r>
            <w:r w:rsidRPr="00023EAD">
              <w:rPr>
                <w:rFonts w:ascii="Tw Cen MT Condensed" w:hAnsi="Tw Cen MT Condensed"/>
                <w:spacing w:val="1"/>
                <w:sz w:val="20"/>
                <w:szCs w:val="20"/>
              </w:rPr>
              <w:t xml:space="preserve">defender, </w:t>
            </w:r>
            <w:r w:rsidRPr="00023EAD">
              <w:rPr>
                <w:rFonts w:ascii="Tw Cen MT Condensed" w:hAnsi="Tw Cen MT Condensed"/>
                <w:sz w:val="20"/>
                <w:szCs w:val="20"/>
              </w:rPr>
              <w:t xml:space="preserve">corresponding to ICCS code </w:t>
            </w:r>
            <w:r w:rsidRPr="00023EAD">
              <w:rPr>
                <w:rFonts w:ascii="Tw Cen MT Condensed" w:hAnsi="Tw Cen MT Condensed"/>
                <w:spacing w:val="-5"/>
                <w:sz w:val="20"/>
                <w:szCs w:val="20"/>
              </w:rPr>
              <w:t xml:space="preserve">020222 </w:t>
            </w:r>
            <w:r w:rsidRPr="00023EAD">
              <w:rPr>
                <w:rFonts w:ascii="Tw Cen MT Condensed" w:hAnsi="Tw Cen MT Condensed"/>
                <w:sz w:val="20"/>
                <w:szCs w:val="20"/>
              </w:rPr>
              <w:t>(unlawful</w:t>
            </w:r>
            <w:r w:rsidRPr="00023EAD">
              <w:rPr>
                <w:rFonts w:ascii="Tw Cen MT Condensed" w:hAnsi="Tw Cen MT Condensed"/>
                <w:spacing w:val="-13"/>
                <w:sz w:val="20"/>
                <w:szCs w:val="20"/>
              </w:rPr>
              <w:t xml:space="preserve"> </w:t>
            </w:r>
            <w:r w:rsidRPr="00023EAD">
              <w:rPr>
                <w:rFonts w:ascii="Tw Cen MT Condensed" w:hAnsi="Tw Cen MT Condensed"/>
                <w:sz w:val="20"/>
                <w:szCs w:val="20"/>
              </w:rPr>
              <w:t>deprivation</w:t>
            </w:r>
            <w:r w:rsidRPr="00023EAD">
              <w:rPr>
                <w:rFonts w:ascii="Tw Cen MT Condensed" w:hAnsi="Tw Cen MT Condensed"/>
                <w:spacing w:val="-21"/>
                <w:sz w:val="20"/>
                <w:szCs w:val="20"/>
              </w:rPr>
              <w:t xml:space="preserve"> </w:t>
            </w:r>
            <w:r w:rsidRPr="00023EAD">
              <w:rPr>
                <w:rFonts w:ascii="Tw Cen MT Condensed" w:hAnsi="Tw Cen MT Condensed"/>
                <w:sz w:val="20"/>
                <w:szCs w:val="20"/>
              </w:rPr>
              <w:t>of</w:t>
            </w:r>
            <w:r w:rsidRPr="00023EAD">
              <w:rPr>
                <w:rFonts w:ascii="Tw Cen MT Condensed" w:hAnsi="Tw Cen MT Condensed"/>
                <w:spacing w:val="-15"/>
                <w:sz w:val="20"/>
                <w:szCs w:val="20"/>
              </w:rPr>
              <w:t xml:space="preserve"> </w:t>
            </w:r>
            <w:r w:rsidRPr="00023EAD">
              <w:rPr>
                <w:rFonts w:ascii="Tw Cen MT Condensed" w:hAnsi="Tw Cen MT Condensed"/>
                <w:spacing w:val="2"/>
                <w:sz w:val="20"/>
                <w:szCs w:val="20"/>
              </w:rPr>
              <w:t>liberty)</w:t>
            </w:r>
            <w:r w:rsidRPr="00023EAD">
              <w:rPr>
                <w:rFonts w:ascii="Tw Cen MT Condensed" w:hAnsi="Tw Cen MT Condensed"/>
                <w:spacing w:val="-15"/>
                <w:sz w:val="20"/>
                <w:szCs w:val="20"/>
              </w:rPr>
              <w:t xml:space="preserve"> </w:t>
            </w:r>
            <w:r w:rsidRPr="00023EAD">
              <w:rPr>
                <w:rFonts w:ascii="Tw Cen MT Condensed" w:hAnsi="Tw Cen MT Condensed"/>
                <w:sz w:val="20"/>
                <w:szCs w:val="20"/>
              </w:rPr>
              <w:t>and</w:t>
            </w:r>
            <w:r w:rsidRPr="00023EAD">
              <w:rPr>
                <w:rFonts w:ascii="Tw Cen MT Condensed" w:hAnsi="Tw Cen MT Condensed"/>
                <w:spacing w:val="-21"/>
                <w:sz w:val="20"/>
                <w:szCs w:val="20"/>
              </w:rPr>
              <w:t xml:space="preserve"> </w:t>
            </w:r>
            <w:r w:rsidRPr="00023EAD">
              <w:rPr>
                <w:rFonts w:ascii="Tw Cen MT Condensed" w:hAnsi="Tw Cen MT Condensed"/>
                <w:sz w:val="20"/>
                <w:szCs w:val="20"/>
              </w:rPr>
              <w:t>coded</w:t>
            </w:r>
            <w:r w:rsidRPr="00023EAD">
              <w:rPr>
                <w:rFonts w:ascii="Tw Cen MT Condensed" w:hAnsi="Tw Cen MT Condensed"/>
                <w:spacing w:val="-4"/>
                <w:sz w:val="20"/>
                <w:szCs w:val="20"/>
              </w:rPr>
              <w:t xml:space="preserve"> </w:t>
            </w:r>
            <w:r w:rsidRPr="00023EAD">
              <w:rPr>
                <w:rFonts w:ascii="Tw Cen MT Condensed" w:hAnsi="Tw Cen MT Condensed"/>
                <w:spacing w:val="1"/>
                <w:sz w:val="20"/>
                <w:szCs w:val="20"/>
              </w:rPr>
              <w:t>herein</w:t>
            </w:r>
            <w:r w:rsidRPr="00023EAD">
              <w:rPr>
                <w:rFonts w:ascii="Tw Cen MT Condensed" w:hAnsi="Tw Cen MT Condensed"/>
                <w:spacing w:val="-21"/>
                <w:sz w:val="20"/>
                <w:szCs w:val="20"/>
              </w:rPr>
              <w:t xml:space="preserve"> </w:t>
            </w:r>
            <w:r w:rsidRPr="00023EAD">
              <w:rPr>
                <w:rFonts w:ascii="Tw Cen MT Condensed" w:hAnsi="Tw Cen MT Condensed"/>
                <w:sz w:val="20"/>
                <w:szCs w:val="20"/>
              </w:rPr>
              <w:t>as</w:t>
            </w:r>
            <w:r w:rsidRPr="00023EAD">
              <w:rPr>
                <w:rFonts w:ascii="Tw Cen MT Condensed" w:hAnsi="Tw Cen MT Condensed"/>
                <w:spacing w:val="-4"/>
                <w:sz w:val="20"/>
                <w:szCs w:val="20"/>
              </w:rPr>
              <w:t xml:space="preserve"> </w:t>
            </w:r>
            <w:r w:rsidRPr="00023EAD">
              <w:rPr>
                <w:rFonts w:ascii="Tw Cen MT Condensed" w:hAnsi="Tw Cen MT Condensed"/>
                <w:sz w:val="20"/>
                <w:szCs w:val="20"/>
              </w:rPr>
              <w:t>D</w:t>
            </w:r>
            <w:r w:rsidRPr="00023EAD">
              <w:rPr>
                <w:rFonts w:ascii="Tw Cen MT Condensed" w:hAnsi="Tw Cen MT Condensed"/>
                <w:spacing w:val="5"/>
                <w:sz w:val="20"/>
                <w:szCs w:val="20"/>
              </w:rPr>
              <w:t xml:space="preserve"> </w:t>
            </w:r>
            <w:r w:rsidRPr="00023EAD">
              <w:rPr>
                <w:rFonts w:ascii="Tw Cen MT Condensed" w:hAnsi="Tw Cen MT Condensed"/>
                <w:spacing w:val="-6"/>
                <w:sz w:val="20"/>
                <w:szCs w:val="20"/>
              </w:rPr>
              <w:t>[020222AD]</w:t>
            </w:r>
          </w:p>
          <w:p w14:paraId="0F9F5200" w14:textId="77777777" w:rsidR="00BD06C4" w:rsidRPr="00023EAD" w:rsidRDefault="00BD06C4" w:rsidP="00BD06C4">
            <w:pPr>
              <w:pStyle w:val="BodyText"/>
              <w:spacing w:before="5"/>
              <w:rPr>
                <w:rFonts w:ascii="Tw Cen MT Condensed" w:hAnsi="Tw Cen MT Condensed"/>
                <w:sz w:val="20"/>
                <w:szCs w:val="20"/>
              </w:rPr>
            </w:pPr>
          </w:p>
          <w:p w14:paraId="6E1984AB" w14:textId="77777777" w:rsidR="00BD06C4" w:rsidRPr="00023EAD" w:rsidRDefault="00BD06C4" w:rsidP="00BD06C4">
            <w:pPr>
              <w:pStyle w:val="ListParagraph"/>
              <w:widowControl w:val="0"/>
              <w:numPr>
                <w:ilvl w:val="0"/>
                <w:numId w:val="126"/>
              </w:numPr>
              <w:tabs>
                <w:tab w:val="left" w:pos="1038"/>
                <w:tab w:val="left" w:pos="1039"/>
              </w:tabs>
              <w:autoSpaceDE w:val="0"/>
              <w:autoSpaceDN w:val="0"/>
              <w:spacing w:after="0" w:line="237" w:lineRule="auto"/>
              <w:ind w:right="407"/>
              <w:contextualSpacing w:val="0"/>
              <w:rPr>
                <w:rFonts w:ascii="Tw Cen MT Condensed" w:hAnsi="Tw Cen MT Condensed"/>
                <w:sz w:val="20"/>
                <w:szCs w:val="20"/>
              </w:rPr>
            </w:pPr>
            <w:r w:rsidRPr="00023EAD">
              <w:rPr>
                <w:rFonts w:ascii="Tw Cen MT Condensed" w:hAnsi="Tw Cen MT Condensed"/>
                <w:i/>
                <w:sz w:val="20"/>
                <w:szCs w:val="20"/>
              </w:rPr>
              <w:lastRenderedPageBreak/>
              <w:t xml:space="preserve">‘Kidnapping’ </w:t>
            </w:r>
            <w:r w:rsidRPr="00023EAD">
              <w:rPr>
                <w:rFonts w:ascii="Tw Cen MT Condensed" w:hAnsi="Tw Cen MT Condensed"/>
                <w:sz w:val="20"/>
                <w:szCs w:val="20"/>
              </w:rPr>
              <w:t xml:space="preserve">refers to </w:t>
            </w:r>
            <w:r w:rsidRPr="00023EAD">
              <w:rPr>
                <w:rFonts w:ascii="Tw Cen MT Condensed" w:hAnsi="Tw Cen MT Condensed"/>
                <w:spacing w:val="1"/>
                <w:sz w:val="20"/>
                <w:szCs w:val="20"/>
              </w:rPr>
              <w:t xml:space="preserve">unlawfully </w:t>
            </w:r>
            <w:r w:rsidRPr="00023EAD">
              <w:rPr>
                <w:rFonts w:ascii="Tw Cen MT Condensed" w:hAnsi="Tw Cen MT Condensed"/>
                <w:sz w:val="20"/>
                <w:szCs w:val="20"/>
              </w:rPr>
              <w:t xml:space="preserve">detaining, taking away and/or confining a victim without </w:t>
            </w:r>
            <w:r w:rsidRPr="00023EAD">
              <w:rPr>
                <w:rFonts w:ascii="Tw Cen MT Condensed" w:hAnsi="Tw Cen MT Condensed"/>
                <w:spacing w:val="1"/>
                <w:sz w:val="20"/>
                <w:szCs w:val="20"/>
              </w:rPr>
              <w:t xml:space="preserve">their </w:t>
            </w:r>
            <w:r w:rsidRPr="00023EAD">
              <w:rPr>
                <w:rFonts w:ascii="Tw Cen MT Condensed" w:hAnsi="Tw Cen MT Condensed"/>
                <w:sz w:val="20"/>
                <w:szCs w:val="20"/>
              </w:rPr>
              <w:t xml:space="preserve">consent by persons or groups not acting </w:t>
            </w:r>
            <w:r w:rsidRPr="00023EAD">
              <w:rPr>
                <w:rFonts w:ascii="Tw Cen MT Condensed" w:hAnsi="Tw Cen MT Condensed"/>
                <w:spacing w:val="1"/>
                <w:sz w:val="20"/>
                <w:szCs w:val="20"/>
              </w:rPr>
              <w:t xml:space="preserve">with </w:t>
            </w:r>
            <w:r w:rsidRPr="00023EAD">
              <w:rPr>
                <w:rFonts w:ascii="Tw Cen MT Condensed" w:hAnsi="Tw Cen MT Condensed"/>
                <w:sz w:val="20"/>
                <w:szCs w:val="20"/>
              </w:rPr>
              <w:t xml:space="preserve">the support or acquiescence of the State, and the unlawful </w:t>
            </w:r>
            <w:r w:rsidRPr="00023EAD">
              <w:rPr>
                <w:rFonts w:ascii="Tw Cen MT Condensed" w:hAnsi="Tw Cen MT Condensed"/>
                <w:spacing w:val="1"/>
                <w:sz w:val="20"/>
                <w:szCs w:val="20"/>
              </w:rPr>
              <w:t xml:space="preserve">detention </w:t>
            </w:r>
            <w:r w:rsidRPr="00023EAD">
              <w:rPr>
                <w:rFonts w:ascii="Tw Cen MT Condensed" w:hAnsi="Tw Cen MT Condensed"/>
                <w:sz w:val="20"/>
                <w:szCs w:val="20"/>
              </w:rPr>
              <w:t xml:space="preserve">and/or confinement was </w:t>
            </w:r>
            <w:r w:rsidRPr="00023EAD">
              <w:rPr>
                <w:rFonts w:ascii="Tw Cen MT Condensed" w:hAnsi="Tw Cen MT Condensed"/>
                <w:spacing w:val="1"/>
                <w:sz w:val="20"/>
                <w:szCs w:val="20"/>
              </w:rPr>
              <w:t xml:space="preserve">met </w:t>
            </w:r>
            <w:r w:rsidRPr="00023EAD">
              <w:rPr>
                <w:rFonts w:ascii="Tw Cen MT Condensed" w:hAnsi="Tw Cen MT Condensed"/>
                <w:sz w:val="20"/>
                <w:szCs w:val="20"/>
              </w:rPr>
              <w:t xml:space="preserve">by a failure of due </w:t>
            </w:r>
            <w:r w:rsidRPr="00023EAD">
              <w:rPr>
                <w:rFonts w:ascii="Tw Cen MT Condensed" w:hAnsi="Tw Cen MT Condensed"/>
                <w:spacing w:val="1"/>
                <w:sz w:val="20"/>
                <w:szCs w:val="20"/>
              </w:rPr>
              <w:t xml:space="preserve">diligence </w:t>
            </w:r>
            <w:r w:rsidRPr="00023EAD">
              <w:rPr>
                <w:rFonts w:ascii="Tw Cen MT Condensed" w:hAnsi="Tw Cen MT Condensed"/>
                <w:sz w:val="20"/>
                <w:szCs w:val="20"/>
              </w:rPr>
              <w:t xml:space="preserve">on the part of the State </w:t>
            </w:r>
            <w:r w:rsidRPr="00023EAD">
              <w:rPr>
                <w:rFonts w:ascii="Tw Cen MT Condensed" w:hAnsi="Tw Cen MT Condensed"/>
                <w:spacing w:val="2"/>
                <w:sz w:val="20"/>
                <w:szCs w:val="20"/>
              </w:rPr>
              <w:t xml:space="preserve">in </w:t>
            </w:r>
            <w:r w:rsidRPr="00023EAD">
              <w:rPr>
                <w:rFonts w:ascii="Tw Cen MT Condensed" w:hAnsi="Tw Cen MT Condensed"/>
                <w:sz w:val="20"/>
                <w:szCs w:val="20"/>
              </w:rPr>
              <w:t>responding to the unlawful detention, such a failure motivated</w:t>
            </w:r>
            <w:r w:rsidRPr="00023EAD">
              <w:rPr>
                <w:rFonts w:ascii="Tw Cen MT Condensed" w:hAnsi="Tw Cen MT Condensed"/>
                <w:spacing w:val="-17"/>
                <w:sz w:val="20"/>
                <w:szCs w:val="20"/>
              </w:rPr>
              <w:t xml:space="preserve"> </w:t>
            </w:r>
            <w:r w:rsidRPr="00023EAD">
              <w:rPr>
                <w:rFonts w:ascii="Tw Cen MT Condensed" w:hAnsi="Tw Cen MT Condensed"/>
                <w:sz w:val="20"/>
                <w:szCs w:val="20"/>
              </w:rPr>
              <w:t>by</w:t>
            </w:r>
            <w:r w:rsidRPr="00023EAD">
              <w:rPr>
                <w:rFonts w:ascii="Tw Cen MT Condensed" w:hAnsi="Tw Cen MT Condensed"/>
                <w:spacing w:val="1"/>
                <w:sz w:val="20"/>
                <w:szCs w:val="20"/>
              </w:rPr>
              <w:t xml:space="preserve"> </w:t>
            </w:r>
            <w:r w:rsidRPr="00023EAD">
              <w:rPr>
                <w:rFonts w:ascii="Tw Cen MT Condensed" w:hAnsi="Tw Cen MT Condensed"/>
                <w:sz w:val="20"/>
                <w:szCs w:val="20"/>
              </w:rPr>
              <w:t>the</w:t>
            </w:r>
            <w:r w:rsidRPr="00023EAD">
              <w:rPr>
                <w:rFonts w:ascii="Tw Cen MT Condensed" w:hAnsi="Tw Cen MT Condensed"/>
                <w:spacing w:val="8"/>
                <w:sz w:val="20"/>
                <w:szCs w:val="20"/>
              </w:rPr>
              <w:t xml:space="preserve"> </w:t>
            </w:r>
            <w:r w:rsidRPr="00023EAD">
              <w:rPr>
                <w:rFonts w:ascii="Tw Cen MT Condensed" w:hAnsi="Tw Cen MT Condensed"/>
                <w:sz w:val="20"/>
                <w:szCs w:val="20"/>
              </w:rPr>
              <w:t>victim</w:t>
            </w:r>
            <w:r w:rsidRPr="00023EAD">
              <w:rPr>
                <w:rFonts w:ascii="Tw Cen MT Condensed" w:hAnsi="Tw Cen MT Condensed"/>
                <w:spacing w:val="-18"/>
                <w:sz w:val="20"/>
                <w:szCs w:val="20"/>
              </w:rPr>
              <w:t xml:space="preserve"> </w:t>
            </w:r>
            <w:r w:rsidRPr="00023EAD">
              <w:rPr>
                <w:rFonts w:ascii="Tw Cen MT Condensed" w:hAnsi="Tw Cen MT Condensed"/>
                <w:sz w:val="20"/>
                <w:szCs w:val="20"/>
              </w:rPr>
              <w:t>or</w:t>
            </w:r>
            <w:r w:rsidRPr="00023EAD">
              <w:rPr>
                <w:rFonts w:ascii="Tw Cen MT Condensed" w:hAnsi="Tw Cen MT Condensed"/>
                <w:spacing w:val="11"/>
                <w:sz w:val="20"/>
                <w:szCs w:val="20"/>
              </w:rPr>
              <w:t xml:space="preserve"> </w:t>
            </w:r>
            <w:r w:rsidRPr="00023EAD">
              <w:rPr>
                <w:rFonts w:ascii="Tw Cen MT Condensed" w:hAnsi="Tw Cen MT Condensed"/>
                <w:sz w:val="20"/>
                <w:szCs w:val="20"/>
              </w:rPr>
              <w:t>associate</w:t>
            </w:r>
            <w:r w:rsidRPr="00023EAD">
              <w:rPr>
                <w:rFonts w:ascii="Tw Cen MT Condensed" w:hAnsi="Tw Cen MT Condensed"/>
                <w:spacing w:val="6"/>
                <w:sz w:val="20"/>
                <w:szCs w:val="20"/>
              </w:rPr>
              <w:t xml:space="preserve"> </w:t>
            </w:r>
            <w:r w:rsidRPr="00023EAD">
              <w:rPr>
                <w:rFonts w:ascii="Tw Cen MT Condensed" w:hAnsi="Tw Cen MT Condensed"/>
                <w:sz w:val="20"/>
                <w:szCs w:val="20"/>
              </w:rPr>
              <w:t>engaging</w:t>
            </w:r>
            <w:r w:rsidRPr="00023EAD">
              <w:rPr>
                <w:rFonts w:ascii="Tw Cen MT Condensed" w:hAnsi="Tw Cen MT Condensed"/>
                <w:spacing w:val="-21"/>
                <w:sz w:val="20"/>
                <w:szCs w:val="20"/>
              </w:rPr>
              <w:t xml:space="preserve"> </w:t>
            </w:r>
            <w:r w:rsidRPr="00023EAD">
              <w:rPr>
                <w:rFonts w:ascii="Tw Cen MT Condensed" w:hAnsi="Tw Cen MT Condensed"/>
                <w:spacing w:val="2"/>
                <w:sz w:val="20"/>
                <w:szCs w:val="20"/>
              </w:rPr>
              <w:t>in</w:t>
            </w:r>
            <w:r w:rsidRPr="00023EAD">
              <w:rPr>
                <w:rFonts w:ascii="Tw Cen MT Condensed" w:hAnsi="Tw Cen MT Condensed"/>
                <w:sz w:val="20"/>
                <w:szCs w:val="20"/>
              </w:rPr>
              <w:t xml:space="preserve"> </w:t>
            </w:r>
            <w:r w:rsidRPr="00023EAD">
              <w:rPr>
                <w:rFonts w:ascii="Tw Cen MT Condensed" w:hAnsi="Tw Cen MT Condensed"/>
                <w:spacing w:val="1"/>
                <w:sz w:val="20"/>
                <w:szCs w:val="20"/>
              </w:rPr>
              <w:t>activities</w:t>
            </w:r>
            <w:r w:rsidRPr="00023EAD">
              <w:rPr>
                <w:rFonts w:ascii="Tw Cen MT Condensed" w:hAnsi="Tw Cen MT Condensed"/>
                <w:spacing w:val="-17"/>
                <w:sz w:val="20"/>
                <w:szCs w:val="20"/>
              </w:rPr>
              <w:t xml:space="preserve"> </w:t>
            </w:r>
            <w:r w:rsidRPr="00023EAD">
              <w:rPr>
                <w:rFonts w:ascii="Tw Cen MT Condensed" w:hAnsi="Tw Cen MT Condensed"/>
                <w:sz w:val="20"/>
                <w:szCs w:val="20"/>
              </w:rPr>
              <w:t>as</w:t>
            </w:r>
            <w:r w:rsidRPr="00023EAD">
              <w:rPr>
                <w:rFonts w:ascii="Tw Cen MT Condensed" w:hAnsi="Tw Cen MT Condensed"/>
                <w:spacing w:val="-17"/>
                <w:sz w:val="20"/>
                <w:szCs w:val="20"/>
              </w:rPr>
              <w:t xml:space="preserve"> </w:t>
            </w:r>
            <w:r w:rsidRPr="00023EAD">
              <w:rPr>
                <w:rFonts w:ascii="Tw Cen MT Condensed" w:hAnsi="Tw Cen MT Condensed"/>
                <w:sz w:val="20"/>
                <w:szCs w:val="20"/>
              </w:rPr>
              <w:t>a</w:t>
            </w:r>
            <w:r w:rsidRPr="00023EAD">
              <w:rPr>
                <w:rFonts w:ascii="Tw Cen MT Condensed" w:hAnsi="Tw Cen MT Condensed"/>
                <w:spacing w:val="12"/>
                <w:sz w:val="20"/>
                <w:szCs w:val="20"/>
              </w:rPr>
              <w:t xml:space="preserve"> </w:t>
            </w:r>
            <w:r w:rsidRPr="00023EAD">
              <w:rPr>
                <w:rFonts w:ascii="Tw Cen MT Condensed" w:hAnsi="Tw Cen MT Condensed"/>
                <w:sz w:val="20"/>
                <w:szCs w:val="20"/>
              </w:rPr>
              <w:t>journalist,</w:t>
            </w:r>
            <w:r w:rsidRPr="00023EAD">
              <w:rPr>
                <w:rFonts w:ascii="Tw Cen MT Condensed" w:hAnsi="Tw Cen MT Condensed"/>
                <w:spacing w:val="-15"/>
                <w:sz w:val="20"/>
                <w:szCs w:val="20"/>
              </w:rPr>
              <w:t xml:space="preserve"> </w:t>
            </w:r>
            <w:r w:rsidRPr="00023EAD">
              <w:rPr>
                <w:rFonts w:ascii="Tw Cen MT Condensed" w:hAnsi="Tw Cen MT Condensed"/>
                <w:sz w:val="20"/>
                <w:szCs w:val="20"/>
              </w:rPr>
              <w:t>trade</w:t>
            </w:r>
            <w:r w:rsidRPr="00023EAD">
              <w:rPr>
                <w:rFonts w:ascii="Tw Cen MT Condensed" w:hAnsi="Tw Cen MT Condensed"/>
                <w:spacing w:val="8"/>
                <w:sz w:val="20"/>
                <w:szCs w:val="20"/>
              </w:rPr>
              <w:t xml:space="preserve"> </w:t>
            </w:r>
            <w:r w:rsidRPr="00023EAD">
              <w:rPr>
                <w:rFonts w:ascii="Tw Cen MT Condensed" w:hAnsi="Tw Cen MT Condensed"/>
                <w:sz w:val="20"/>
                <w:szCs w:val="20"/>
              </w:rPr>
              <w:t>unionist</w:t>
            </w:r>
            <w:r w:rsidRPr="00023EAD">
              <w:rPr>
                <w:rFonts w:ascii="Tw Cen MT Condensed" w:hAnsi="Tw Cen MT Condensed"/>
                <w:spacing w:val="-20"/>
                <w:sz w:val="20"/>
                <w:szCs w:val="20"/>
              </w:rPr>
              <w:t xml:space="preserve"> </w:t>
            </w:r>
            <w:r w:rsidRPr="00023EAD">
              <w:rPr>
                <w:rFonts w:ascii="Tw Cen MT Condensed" w:hAnsi="Tw Cen MT Condensed"/>
                <w:sz w:val="20"/>
                <w:szCs w:val="20"/>
              </w:rPr>
              <w:t xml:space="preserve">or human rights </w:t>
            </w:r>
            <w:r w:rsidRPr="00023EAD">
              <w:rPr>
                <w:rFonts w:ascii="Tw Cen MT Condensed" w:hAnsi="Tw Cen MT Condensed"/>
                <w:spacing w:val="1"/>
                <w:sz w:val="20"/>
                <w:szCs w:val="20"/>
              </w:rPr>
              <w:t xml:space="preserve">defender, </w:t>
            </w:r>
            <w:r w:rsidRPr="00023EAD">
              <w:rPr>
                <w:rFonts w:ascii="Tw Cen MT Condensed" w:hAnsi="Tw Cen MT Condensed"/>
                <w:sz w:val="20"/>
                <w:szCs w:val="20"/>
              </w:rPr>
              <w:t xml:space="preserve">corresponding to ICCS codes </w:t>
            </w:r>
            <w:r w:rsidRPr="00023EAD">
              <w:rPr>
                <w:rFonts w:ascii="Tw Cen MT Condensed" w:hAnsi="Tw Cen MT Condensed"/>
                <w:spacing w:val="-9"/>
                <w:sz w:val="20"/>
                <w:szCs w:val="20"/>
              </w:rPr>
              <w:t xml:space="preserve">020221 </w:t>
            </w:r>
            <w:r w:rsidRPr="00023EAD">
              <w:rPr>
                <w:rFonts w:ascii="Tw Cen MT Condensed" w:hAnsi="Tw Cen MT Condensed"/>
                <w:sz w:val="20"/>
                <w:szCs w:val="20"/>
              </w:rPr>
              <w:t xml:space="preserve">and coded </w:t>
            </w:r>
            <w:r w:rsidRPr="00023EAD">
              <w:rPr>
                <w:rFonts w:ascii="Tw Cen MT Condensed" w:hAnsi="Tw Cen MT Condensed"/>
                <w:spacing w:val="1"/>
                <w:sz w:val="20"/>
                <w:szCs w:val="20"/>
              </w:rPr>
              <w:t xml:space="preserve">herein </w:t>
            </w:r>
            <w:r w:rsidRPr="00023EAD">
              <w:rPr>
                <w:rFonts w:ascii="Tw Cen MT Condensed" w:hAnsi="Tw Cen MT Condensed"/>
                <w:sz w:val="20"/>
                <w:szCs w:val="20"/>
              </w:rPr>
              <w:t xml:space="preserve">as E </w:t>
            </w:r>
            <w:r w:rsidRPr="00023EAD">
              <w:rPr>
                <w:rFonts w:ascii="Tw Cen MT Condensed" w:hAnsi="Tw Cen MT Condensed"/>
                <w:spacing w:val="-7"/>
                <w:sz w:val="20"/>
                <w:szCs w:val="20"/>
              </w:rPr>
              <w:t>[020221]</w:t>
            </w:r>
          </w:p>
          <w:p w14:paraId="64037693" w14:textId="77777777" w:rsidR="00BD06C4" w:rsidRPr="00023EAD" w:rsidRDefault="00BD06C4" w:rsidP="00BD06C4">
            <w:pPr>
              <w:pStyle w:val="BodyText"/>
              <w:spacing w:before="4"/>
              <w:rPr>
                <w:rFonts w:ascii="Tw Cen MT Condensed" w:hAnsi="Tw Cen MT Condensed"/>
                <w:sz w:val="20"/>
                <w:szCs w:val="20"/>
              </w:rPr>
            </w:pPr>
          </w:p>
          <w:p w14:paraId="73E8D950" w14:textId="77777777" w:rsidR="00BD06C4" w:rsidRPr="00023EAD" w:rsidRDefault="00BD06C4" w:rsidP="00BD06C4">
            <w:pPr>
              <w:pStyle w:val="ListParagraph"/>
              <w:widowControl w:val="0"/>
              <w:numPr>
                <w:ilvl w:val="0"/>
                <w:numId w:val="126"/>
              </w:numPr>
              <w:tabs>
                <w:tab w:val="left" w:pos="1038"/>
                <w:tab w:val="left" w:pos="1039"/>
              </w:tabs>
              <w:autoSpaceDE w:val="0"/>
              <w:autoSpaceDN w:val="0"/>
              <w:spacing w:after="0" w:line="303" w:lineRule="exact"/>
              <w:contextualSpacing w:val="0"/>
              <w:rPr>
                <w:rFonts w:ascii="Tw Cen MT Condensed" w:hAnsi="Tw Cen MT Condensed"/>
                <w:sz w:val="20"/>
                <w:szCs w:val="20"/>
              </w:rPr>
            </w:pPr>
            <w:r w:rsidRPr="00023EAD">
              <w:rPr>
                <w:rFonts w:ascii="Tw Cen MT Condensed" w:hAnsi="Tw Cen MT Condensed"/>
                <w:i/>
                <w:sz w:val="20"/>
                <w:szCs w:val="20"/>
              </w:rPr>
              <w:t xml:space="preserve">‘Other harmful acts’ </w:t>
            </w:r>
            <w:r w:rsidRPr="00023EAD">
              <w:rPr>
                <w:rFonts w:ascii="Tw Cen MT Condensed" w:hAnsi="Tw Cen MT Condensed"/>
                <w:sz w:val="20"/>
                <w:szCs w:val="20"/>
              </w:rPr>
              <w:t xml:space="preserve">refers to other </w:t>
            </w:r>
            <w:r w:rsidRPr="00023EAD">
              <w:rPr>
                <w:rFonts w:ascii="Tw Cen MT Condensed" w:hAnsi="Tw Cen MT Condensed"/>
                <w:spacing w:val="-3"/>
                <w:sz w:val="20"/>
                <w:szCs w:val="20"/>
              </w:rPr>
              <w:t xml:space="preserve">acts </w:t>
            </w:r>
            <w:r w:rsidRPr="00023EAD">
              <w:rPr>
                <w:rFonts w:ascii="Tw Cen MT Condensed" w:hAnsi="Tw Cen MT Condensed"/>
                <w:sz w:val="20"/>
                <w:szCs w:val="20"/>
              </w:rPr>
              <w:t xml:space="preserve">by State </w:t>
            </w:r>
            <w:r w:rsidRPr="00023EAD">
              <w:rPr>
                <w:rFonts w:ascii="Tw Cen MT Condensed" w:hAnsi="Tw Cen MT Condensed"/>
                <w:spacing w:val="-3"/>
                <w:sz w:val="20"/>
                <w:szCs w:val="20"/>
              </w:rPr>
              <w:t xml:space="preserve">actors </w:t>
            </w:r>
            <w:r w:rsidRPr="00023EAD">
              <w:rPr>
                <w:rFonts w:ascii="Tw Cen MT Condensed" w:hAnsi="Tw Cen MT Condensed"/>
                <w:sz w:val="20"/>
                <w:szCs w:val="20"/>
              </w:rPr>
              <w:t xml:space="preserve">or other </w:t>
            </w:r>
            <w:r w:rsidRPr="00023EAD">
              <w:rPr>
                <w:rFonts w:ascii="Tw Cen MT Condensed" w:hAnsi="Tw Cen MT Condensed"/>
                <w:spacing w:val="-3"/>
                <w:sz w:val="20"/>
                <w:szCs w:val="20"/>
              </w:rPr>
              <w:t xml:space="preserve">actors </w:t>
            </w:r>
            <w:r w:rsidRPr="00023EAD">
              <w:rPr>
                <w:rFonts w:ascii="Tw Cen MT Condensed" w:hAnsi="Tw Cen MT Condensed"/>
                <w:sz w:val="20"/>
                <w:szCs w:val="20"/>
              </w:rPr>
              <w:t xml:space="preserve">acting </w:t>
            </w:r>
            <w:r w:rsidRPr="00023EAD">
              <w:rPr>
                <w:rFonts w:ascii="Tw Cen MT Condensed" w:hAnsi="Tw Cen MT Condensed"/>
                <w:spacing w:val="1"/>
                <w:sz w:val="20"/>
                <w:szCs w:val="20"/>
              </w:rPr>
              <w:t>with</w:t>
            </w:r>
            <w:r w:rsidRPr="00023EAD">
              <w:rPr>
                <w:rFonts w:ascii="Tw Cen MT Condensed" w:hAnsi="Tw Cen MT Condensed"/>
                <w:spacing w:val="-16"/>
                <w:sz w:val="20"/>
                <w:szCs w:val="20"/>
              </w:rPr>
              <w:t xml:space="preserve"> </w:t>
            </w:r>
            <w:r w:rsidRPr="00023EAD">
              <w:rPr>
                <w:rFonts w:ascii="Tw Cen MT Condensed" w:hAnsi="Tw Cen MT Condensed"/>
                <w:sz w:val="20"/>
                <w:szCs w:val="20"/>
              </w:rPr>
              <w:t>the</w:t>
            </w:r>
          </w:p>
          <w:p w14:paraId="46E5D231" w14:textId="77777777" w:rsidR="00BD06C4" w:rsidRPr="00023EAD" w:rsidRDefault="00BD06C4" w:rsidP="00BD06C4">
            <w:pPr>
              <w:pStyle w:val="BodyText"/>
              <w:spacing w:line="242" w:lineRule="auto"/>
              <w:ind w:left="1039" w:right="360"/>
              <w:rPr>
                <w:rFonts w:ascii="Tw Cen MT Condensed" w:hAnsi="Tw Cen MT Condensed"/>
                <w:sz w:val="20"/>
                <w:szCs w:val="20"/>
              </w:rPr>
            </w:pPr>
            <w:r w:rsidRPr="00023EAD">
              <w:rPr>
                <w:rFonts w:ascii="Tw Cen MT Condensed" w:hAnsi="Tw Cen MT Condensed"/>
                <w:sz w:val="20"/>
                <w:szCs w:val="20"/>
              </w:rPr>
              <w:t>State’s permission, support or acquiescence causing harm or intending to cause harm and motivated by the victim engaging in activities as a journalist, trade unionist or human rights defender, corresponding to ICCS codes 0301, 0219, 110133, 02012, 0205, 0208,</w:t>
            </w:r>
          </w:p>
          <w:p w14:paraId="79BD6CA7" w14:textId="77777777" w:rsidR="00BD06C4" w:rsidRPr="00023EAD" w:rsidRDefault="00BD06C4" w:rsidP="00BD06C4">
            <w:pPr>
              <w:pStyle w:val="BodyText"/>
              <w:spacing w:line="284" w:lineRule="exact"/>
              <w:ind w:left="1039"/>
              <w:rPr>
                <w:rFonts w:ascii="Tw Cen MT Condensed" w:hAnsi="Tw Cen MT Condensed"/>
                <w:sz w:val="20"/>
                <w:szCs w:val="20"/>
              </w:rPr>
            </w:pPr>
            <w:r w:rsidRPr="00023EAD">
              <w:rPr>
                <w:rFonts w:ascii="Tw Cen MT Condensed" w:hAnsi="Tw Cen MT Condensed"/>
                <w:sz w:val="20"/>
                <w:szCs w:val="20"/>
              </w:rPr>
              <w:t>0210 and 0211, and coded herein as F [0301, 0219, 110133, 02012, 0205, 0208, 0210 and</w:t>
            </w:r>
          </w:p>
          <w:p w14:paraId="72FE2E1D" w14:textId="77777777" w:rsidR="00BD06C4" w:rsidRPr="00023EAD" w:rsidRDefault="00BD06C4" w:rsidP="00BD06C4">
            <w:pPr>
              <w:pStyle w:val="BodyText"/>
              <w:spacing w:line="290" w:lineRule="exact"/>
              <w:ind w:left="1039"/>
              <w:rPr>
                <w:rFonts w:ascii="Tw Cen MT Condensed" w:hAnsi="Tw Cen MT Condensed"/>
                <w:sz w:val="20"/>
                <w:szCs w:val="20"/>
              </w:rPr>
            </w:pPr>
            <w:r w:rsidRPr="00023EAD">
              <w:rPr>
                <w:rFonts w:ascii="Tw Cen MT Condensed" w:hAnsi="Tw Cen MT Condensed"/>
                <w:sz w:val="20"/>
                <w:szCs w:val="20"/>
              </w:rPr>
              <w:t>0211].</w:t>
            </w:r>
          </w:p>
          <w:p w14:paraId="1C3BFAA9" w14:textId="77777777" w:rsidR="00BD06C4" w:rsidRPr="00023EAD" w:rsidRDefault="00BD06C4" w:rsidP="00BD06C4">
            <w:pPr>
              <w:pStyle w:val="BodyText"/>
              <w:spacing w:before="5"/>
              <w:rPr>
                <w:rFonts w:ascii="Tw Cen MT Condensed" w:hAnsi="Tw Cen MT Condensed"/>
                <w:sz w:val="20"/>
                <w:szCs w:val="20"/>
              </w:rPr>
            </w:pPr>
          </w:p>
          <w:p w14:paraId="440BDD11" w14:textId="77777777" w:rsidR="00BD06C4" w:rsidRPr="00023EAD" w:rsidRDefault="00BD06C4" w:rsidP="00BD06C4">
            <w:pPr>
              <w:pStyle w:val="BodyText"/>
              <w:ind w:left="318" w:right="606"/>
              <w:rPr>
                <w:rFonts w:ascii="Tw Cen MT Condensed" w:hAnsi="Tw Cen MT Condensed"/>
                <w:sz w:val="20"/>
                <w:szCs w:val="20"/>
              </w:rPr>
            </w:pPr>
            <w:r w:rsidRPr="00023EAD">
              <w:rPr>
                <w:rFonts w:ascii="Tw Cen MT Condensed" w:hAnsi="Tw Cen MT Condensed"/>
                <w:i/>
                <w:sz w:val="20"/>
                <w:szCs w:val="20"/>
              </w:rPr>
              <w:t xml:space="preserve">‘Verified cases’ </w:t>
            </w:r>
            <w:r w:rsidRPr="00023EAD">
              <w:rPr>
                <w:rFonts w:ascii="Tw Cen MT Condensed" w:hAnsi="Tw Cen MT Condensed"/>
                <w:sz w:val="20"/>
                <w:szCs w:val="20"/>
              </w:rPr>
              <w:t>refer to reported cases that contain a minimum set of relevant information on particular persons and circumstances, which have been reviewed by mandated bodies, mechanisms, and institutions, and provided them with reasonable grounds to believe those persons were victims of the above-mentioned human rights violations or abuses.</w:t>
            </w:r>
          </w:p>
          <w:p w14:paraId="162CAD72" w14:textId="33A97CA7" w:rsidR="00BD06C4" w:rsidRDefault="00BD06C4" w:rsidP="00BD06C4">
            <w:pPr>
              <w:pStyle w:val="NoSpacing"/>
            </w:pPr>
          </w:p>
          <w:p w14:paraId="4B06A0D7" w14:textId="77777777" w:rsidR="00BD06C4" w:rsidRDefault="00BD06C4" w:rsidP="00BD06C4">
            <w:pPr>
              <w:pStyle w:val="NoSpacing"/>
            </w:pPr>
            <w:r>
              <w:t>Concepts:</w:t>
            </w:r>
          </w:p>
          <w:p w14:paraId="58553B4F" w14:textId="77777777" w:rsidR="00BD06C4" w:rsidRDefault="00BD06C4" w:rsidP="00BD06C4">
            <w:pPr>
              <w:pStyle w:val="NoSpacing"/>
            </w:pPr>
          </w:p>
          <w:p w14:paraId="58D1326B" w14:textId="77777777" w:rsidR="00BD06C4" w:rsidRDefault="00BD06C4" w:rsidP="00BD06C4">
            <w:pPr>
              <w:pStyle w:val="NoSpacing"/>
            </w:pPr>
            <w:r>
              <w:t>The operational definitions of the cases, victims and other elements of the indicator have been patterned as far as practicable after corresponding categories in ICCS. The task of classifying cases entails observing events from both statistical standards and international law perspectives. For example, intentional homicide (ICCS code 0101) is included as a component of the violation type ‘killing’ and is in turn supplemented by applicable human rights standards:</w:t>
            </w:r>
          </w:p>
          <w:p w14:paraId="6C882236" w14:textId="77777777" w:rsidR="00BD06C4" w:rsidRDefault="00BD06C4" w:rsidP="00BD06C4">
            <w:pPr>
              <w:pStyle w:val="NoSpacing"/>
            </w:pPr>
          </w:p>
          <w:p w14:paraId="3D956EAC" w14:textId="77777777" w:rsidR="00BD06C4" w:rsidRDefault="00BD06C4" w:rsidP="00BD06C4">
            <w:pPr>
              <w:pStyle w:val="NoSpacing"/>
            </w:pPr>
            <w:r>
              <w:t>•</w:t>
            </w:r>
            <w:r>
              <w:tab/>
              <w:t>0101 Intentional homicide. Inclusions: murder; serious assault leading to death; femicide ; honour killing; voluntary manslaughter; killings caused by excessive use of force by law enforcement officials; extrajudicial and extra-legal, summary or arbitrary executions. [human rights standards added in italics]</w:t>
            </w:r>
          </w:p>
          <w:p w14:paraId="28C39C78" w14:textId="77777777" w:rsidR="00BD06C4" w:rsidRDefault="00BD06C4" w:rsidP="00BD06C4">
            <w:pPr>
              <w:pStyle w:val="NoSpacing"/>
            </w:pPr>
          </w:p>
          <w:p w14:paraId="73567537" w14:textId="77777777" w:rsidR="00BD06C4" w:rsidRDefault="00BD06C4" w:rsidP="00BD06C4">
            <w:pPr>
              <w:pStyle w:val="NoSpacing"/>
            </w:pPr>
            <w:r>
              <w:t>This conceptual approach is necessitated by the confluence of three factors. First is the principle that all the violent acts tracked by the indicator are motivated by the exercise of fundamental freedoms that are guaranteed by human rights law to all persons. Second, while human rights abuses are not always explicitly criminalized in domestic jurisdictions, ICCS has achieved a certain level of success in terms of integrating human rights elements in the classification of crimes.</w:t>
            </w:r>
          </w:p>
          <w:p w14:paraId="56DBC613" w14:textId="77777777" w:rsidR="00BD06C4" w:rsidRDefault="00BD06C4" w:rsidP="00BD06C4">
            <w:pPr>
              <w:pStyle w:val="NoSpacing"/>
            </w:pPr>
            <w:r>
              <w:lastRenderedPageBreak/>
              <w:t>Third, irrespective of definitions provided by national legislation or practices, all events – whether ordinary crimes or human rights violations – that meet the elements provided in the definitional framework will be counted for statistical purposes.</w:t>
            </w:r>
          </w:p>
          <w:p w14:paraId="484AB3EC" w14:textId="77777777" w:rsidR="00BD06C4" w:rsidRDefault="00BD06C4" w:rsidP="00BD06C4">
            <w:pPr>
              <w:pStyle w:val="NoSpacing"/>
            </w:pPr>
          </w:p>
          <w:p w14:paraId="74E54996" w14:textId="77777777" w:rsidR="00BD06C4" w:rsidRDefault="00BD06C4" w:rsidP="00BD06C4">
            <w:pPr>
              <w:pStyle w:val="NoSpacing"/>
            </w:pPr>
            <w:r>
              <w:t>Comments and limitations:</w:t>
            </w:r>
          </w:p>
          <w:p w14:paraId="1B44EC11" w14:textId="77777777" w:rsidR="00BD06C4" w:rsidRDefault="00BD06C4" w:rsidP="00BD06C4">
            <w:pPr>
              <w:pStyle w:val="NoSpacing"/>
            </w:pPr>
          </w:p>
          <w:p w14:paraId="3E21034B" w14:textId="77777777" w:rsidR="00BD06C4" w:rsidRDefault="00BD06C4" w:rsidP="00BD06C4">
            <w:pPr>
              <w:pStyle w:val="NoSpacing"/>
            </w:pPr>
            <w:r>
              <w:t>As for other crime statistics and other statistics based on administrative sources, this indicator is sensitive to the completeness of reporting of individual events. There is a real but manageable risk of underreporting. Moreover, reporting rates and statistical accuracy are influenced by various factors, including changes and biases in victim reporting behaviour, changes in police and recording practices or rules, new laws, processing errors and non-responsive institutions.</w:t>
            </w:r>
          </w:p>
          <w:p w14:paraId="13883A27" w14:textId="77777777" w:rsidR="00BD06C4" w:rsidRDefault="00BD06C4" w:rsidP="00BD06C4">
            <w:pPr>
              <w:pStyle w:val="NoSpacing"/>
            </w:pPr>
            <w:r>
              <w:t xml:space="preserve">Regional and global aggregates may underestimate the true incidence and vol ume of victimization, overcompensate for robust and inclusive national data collection </w:t>
            </w:r>
            <w:proofErr w:type="gramStart"/>
            <w:r>
              <w:t>systems .</w:t>
            </w:r>
            <w:proofErr w:type="gramEnd"/>
            <w:r>
              <w:t xml:space="preserve"> In most instances, the number of cases reported will depend on the access to information, motivation and perseverance of national stakeholders, of human rights defenders themselves, and the corresponding support of the international community.</w:t>
            </w:r>
          </w:p>
          <w:p w14:paraId="6C2B9ED7" w14:textId="77777777" w:rsidR="00BD06C4" w:rsidRDefault="00BD06C4" w:rsidP="00BD06C4">
            <w:pPr>
              <w:pStyle w:val="NoSpacing"/>
            </w:pPr>
          </w:p>
          <w:p w14:paraId="6079928B" w14:textId="77777777" w:rsidR="00BD06C4" w:rsidRDefault="00BD06C4" w:rsidP="00BD06C4">
            <w:pPr>
              <w:pStyle w:val="NoSpacing"/>
            </w:pPr>
            <w:r>
              <w:t>Computation Method:</w:t>
            </w:r>
          </w:p>
          <w:p w14:paraId="32F7C2D4" w14:textId="77777777" w:rsidR="00BD06C4" w:rsidRDefault="00BD06C4" w:rsidP="00BD06C4">
            <w:pPr>
              <w:pStyle w:val="NoSpacing"/>
            </w:pPr>
          </w:p>
          <w:p w14:paraId="65F9FACE" w14:textId="77777777" w:rsidR="00BD06C4" w:rsidRDefault="00BD06C4" w:rsidP="00BD06C4">
            <w:pPr>
              <w:pStyle w:val="NoSpacing"/>
            </w:pPr>
            <w:r>
              <w:t>The indicator is calculated as the total count of victims of reported incidents occurring within the preceding 12 months.</w:t>
            </w:r>
          </w:p>
          <w:p w14:paraId="4217AF17" w14:textId="77777777" w:rsidR="00BD06C4" w:rsidRDefault="00BD06C4" w:rsidP="00BD06C4">
            <w:pPr>
              <w:pStyle w:val="NoSpacing"/>
            </w:pPr>
          </w:p>
          <w:p w14:paraId="21A4E1AB" w14:textId="77777777" w:rsidR="00BD06C4" w:rsidRDefault="00BD06C4" w:rsidP="00BD06C4">
            <w:pPr>
              <w:pStyle w:val="NoSpacing"/>
            </w:pPr>
            <w:r>
              <w:t>Drawing on the ICCS, which is an incidents-based international classification system, the indicator counts victims on the basis of cases of violations or abuses using a classification framework developed for the purposes of the indicator.</w:t>
            </w:r>
          </w:p>
          <w:p w14:paraId="4D722E91" w14:textId="77777777" w:rsidR="00BD06C4" w:rsidRDefault="00BD06C4" w:rsidP="00BD06C4">
            <w:pPr>
              <w:pStyle w:val="NoSpacing"/>
            </w:pPr>
          </w:p>
          <w:p w14:paraId="30715B86" w14:textId="77777777" w:rsidR="00BD06C4" w:rsidRDefault="00BD06C4" w:rsidP="00BD06C4">
            <w:pPr>
              <w:pStyle w:val="NoSpacing"/>
            </w:pPr>
            <w:r>
              <w:t>For reporting purposes, the recorded offences will be ordered taking into account a hierarchy of violations or abuses drawing on the “most serious offence” rule commonly applied in crime statistics:</w:t>
            </w:r>
          </w:p>
          <w:p w14:paraId="07D0FE46" w14:textId="77777777" w:rsidR="00BD06C4" w:rsidRDefault="00BD06C4" w:rsidP="00BD06C4">
            <w:pPr>
              <w:pStyle w:val="NoSpacing"/>
            </w:pPr>
          </w:p>
          <w:p w14:paraId="77B767B1" w14:textId="77777777" w:rsidR="00BD06C4" w:rsidRDefault="00BD06C4" w:rsidP="00BD06C4">
            <w:pPr>
              <w:pStyle w:val="NoSpacing"/>
            </w:pPr>
            <w:r>
              <w:t>1.</w:t>
            </w:r>
            <w:r>
              <w:tab/>
              <w:t>Killing</w:t>
            </w:r>
          </w:p>
          <w:p w14:paraId="5211EE35" w14:textId="77777777" w:rsidR="00BD06C4" w:rsidRDefault="00BD06C4" w:rsidP="00BD06C4">
            <w:pPr>
              <w:pStyle w:val="NoSpacing"/>
            </w:pPr>
            <w:r>
              <w:t>2.</w:t>
            </w:r>
            <w:r>
              <w:tab/>
              <w:t>Torture</w:t>
            </w:r>
          </w:p>
          <w:p w14:paraId="14EC394E" w14:textId="77777777" w:rsidR="00BD06C4" w:rsidRDefault="00BD06C4" w:rsidP="00BD06C4">
            <w:pPr>
              <w:pStyle w:val="NoSpacing"/>
            </w:pPr>
            <w:r>
              <w:t>3.</w:t>
            </w:r>
            <w:r>
              <w:tab/>
              <w:t>Enforced disappearance</w:t>
            </w:r>
          </w:p>
          <w:p w14:paraId="455F14D7" w14:textId="77777777" w:rsidR="00BD06C4" w:rsidRDefault="00BD06C4" w:rsidP="00BD06C4">
            <w:pPr>
              <w:pStyle w:val="NoSpacing"/>
            </w:pPr>
            <w:r>
              <w:t>4.</w:t>
            </w:r>
            <w:r>
              <w:tab/>
              <w:t>Arbitrary detention</w:t>
            </w:r>
          </w:p>
          <w:p w14:paraId="6BAF5C16" w14:textId="77777777" w:rsidR="00BD06C4" w:rsidRDefault="00BD06C4" w:rsidP="00BD06C4">
            <w:pPr>
              <w:pStyle w:val="NoSpacing"/>
            </w:pPr>
            <w:r>
              <w:t>5.</w:t>
            </w:r>
            <w:r>
              <w:tab/>
              <w:t>Kidnapping</w:t>
            </w:r>
          </w:p>
          <w:p w14:paraId="416CABFB" w14:textId="77777777" w:rsidR="00BD06C4" w:rsidRDefault="00BD06C4" w:rsidP="00BD06C4">
            <w:pPr>
              <w:pStyle w:val="NoSpacing"/>
            </w:pPr>
            <w:r>
              <w:t>6.</w:t>
            </w:r>
            <w:r>
              <w:tab/>
              <w:t>Other harmful acts</w:t>
            </w:r>
          </w:p>
          <w:p w14:paraId="010E9CEC" w14:textId="77777777" w:rsidR="00BD06C4" w:rsidRDefault="00BD06C4" w:rsidP="00BD06C4">
            <w:pPr>
              <w:pStyle w:val="NoSpacing"/>
            </w:pPr>
          </w:p>
          <w:p w14:paraId="28A6A9F5" w14:textId="77777777" w:rsidR="00BD06C4" w:rsidRDefault="00BD06C4" w:rsidP="00BD06C4">
            <w:pPr>
              <w:pStyle w:val="NoSpacing"/>
            </w:pPr>
            <w:r>
              <w:t>If an incident incorporates elements of more than one category, it is coded to the higher category. Thus for an incident in which the victim was subjected to prolonged incommunicado detention without medical access in the course of an unlawful detainment, the violation would be counted under torture.</w:t>
            </w:r>
          </w:p>
          <w:p w14:paraId="1CD2D388" w14:textId="77777777" w:rsidR="00BD06C4" w:rsidRPr="00023EAD" w:rsidRDefault="00BD06C4" w:rsidP="00BD06C4">
            <w:pPr>
              <w:pStyle w:val="NoSpacing"/>
            </w:pPr>
          </w:p>
        </w:tc>
        <w:tc>
          <w:tcPr>
            <w:tcW w:w="0" w:type="auto"/>
          </w:tcPr>
          <w:p w14:paraId="5F09B7DF" w14:textId="77777777" w:rsidR="00BD06C4" w:rsidRDefault="00BD06C4" w:rsidP="00BD06C4">
            <w:pPr>
              <w:pStyle w:val="NoSpacing"/>
            </w:pPr>
            <w:r>
              <w:lastRenderedPageBreak/>
              <w:t>Data will be compiled from administrative data produced by OHCHR, ILO, UNESCO and other UN agencies or entities in accordance with their respective mandates and procedures.</w:t>
            </w:r>
          </w:p>
          <w:p w14:paraId="12DFD5B2" w14:textId="77777777" w:rsidR="00BD06C4" w:rsidRPr="00F15BC8" w:rsidRDefault="00BD06C4" w:rsidP="00BD06C4">
            <w:pPr>
              <w:pStyle w:val="NoSpacing"/>
            </w:pPr>
          </w:p>
        </w:tc>
        <w:tc>
          <w:tcPr>
            <w:tcW w:w="0" w:type="auto"/>
          </w:tcPr>
          <w:p w14:paraId="3015CA35" w14:textId="77777777" w:rsidR="00BD06C4" w:rsidRPr="00F15BC8" w:rsidRDefault="00BD06C4" w:rsidP="00BD06C4">
            <w:pPr>
              <w:pStyle w:val="NoSpacing"/>
            </w:pPr>
            <w:r w:rsidRPr="00F15BC8">
              <w:t>International data providers: OHCHR, UNESCO and ILO</w:t>
            </w:r>
          </w:p>
          <w:p w14:paraId="4EFB241A" w14:textId="77777777" w:rsidR="00BD06C4" w:rsidRPr="00F15BC8" w:rsidRDefault="00BD06C4" w:rsidP="00BD06C4">
            <w:pPr>
              <w:pStyle w:val="NoSpacing"/>
            </w:pPr>
          </w:p>
          <w:p w14:paraId="13A4D2EA" w14:textId="77777777" w:rsidR="00BD06C4" w:rsidRPr="00F15BC8" w:rsidRDefault="00BD06C4" w:rsidP="00BD06C4">
            <w:pPr>
              <w:pStyle w:val="NoSpacing"/>
            </w:pPr>
            <w:r w:rsidRPr="00F15BC8">
              <w:t>National data providers: national human rights institutions compliant with the Paris Principles and other relevant institutions at national level.</w:t>
            </w:r>
          </w:p>
          <w:p w14:paraId="353C09D7" w14:textId="77777777" w:rsidR="00BD06C4" w:rsidRPr="00F15BC8" w:rsidRDefault="00BD06C4" w:rsidP="00BD06C4">
            <w:pPr>
              <w:pStyle w:val="NoSpacing"/>
            </w:pPr>
          </w:p>
        </w:tc>
        <w:tc>
          <w:tcPr>
            <w:tcW w:w="0" w:type="auto"/>
          </w:tcPr>
          <w:p w14:paraId="7E23D302" w14:textId="4AD273A2" w:rsidR="00BD06C4" w:rsidRPr="004E6FA2" w:rsidRDefault="00BD06C4" w:rsidP="00BD06C4"/>
        </w:tc>
        <w:tc>
          <w:tcPr>
            <w:tcW w:w="0" w:type="auto"/>
          </w:tcPr>
          <w:p w14:paraId="3F62F773" w14:textId="77777777" w:rsidR="00BD06C4" w:rsidRDefault="00BD06C4" w:rsidP="00BD06C4">
            <w:pPr>
              <w:pStyle w:val="NoSpacing"/>
            </w:pPr>
            <w:r>
              <w:t xml:space="preserve">a) </w:t>
            </w:r>
            <w:r w:rsidRPr="00D91C6A">
              <w:t>BP</w:t>
            </w:r>
            <w:r>
              <w:t>, MoHA</w:t>
            </w:r>
            <w:r w:rsidRPr="00D91C6A">
              <w:br/>
              <w:t>b) NHRC</w:t>
            </w:r>
          </w:p>
          <w:p w14:paraId="52BBDD34" w14:textId="77777777" w:rsidR="00BD06C4" w:rsidRPr="00D91C6A" w:rsidRDefault="00BD06C4" w:rsidP="00BD06C4">
            <w:pPr>
              <w:pStyle w:val="NoSpacing"/>
            </w:pPr>
            <w:r>
              <w:t xml:space="preserve">c) </w:t>
            </w:r>
            <w:r w:rsidRPr="005924BB">
              <w:t>Registrar, Supreme Court</w:t>
            </w:r>
          </w:p>
          <w:p w14:paraId="0C21F959" w14:textId="77777777" w:rsidR="00BD06C4" w:rsidRPr="004E6FA2" w:rsidRDefault="00BD06C4" w:rsidP="00BD06C4">
            <w:pPr>
              <w:pStyle w:val="NoSpacing"/>
            </w:pPr>
            <w:r w:rsidRPr="004E6FA2">
              <w:t>Administrative Data</w:t>
            </w:r>
          </w:p>
        </w:tc>
        <w:tc>
          <w:tcPr>
            <w:tcW w:w="0" w:type="auto"/>
          </w:tcPr>
          <w:p w14:paraId="0E677C90" w14:textId="55CAAC48" w:rsidR="00BD06C4" w:rsidRDefault="00BD06C4" w:rsidP="007C56E0">
            <w:pPr>
              <w:pStyle w:val="ListParagraph"/>
              <w:numPr>
                <w:ilvl w:val="0"/>
                <w:numId w:val="52"/>
              </w:numPr>
              <w:spacing w:after="0" w:line="240" w:lineRule="auto"/>
              <w:jc w:val="both"/>
              <w:rPr>
                <w:rFonts w:ascii="Tw Cen MT Condensed" w:hAnsi="Tw Cen MT Condensed"/>
                <w:sz w:val="20"/>
                <w:szCs w:val="20"/>
              </w:rPr>
            </w:pPr>
            <w:r>
              <w:rPr>
                <w:rFonts w:ascii="Tw Cen MT Condensed" w:hAnsi="Tw Cen MT Condensed"/>
                <w:sz w:val="20"/>
                <w:szCs w:val="20"/>
              </w:rPr>
              <w:t xml:space="preserve">Type Of Violation </w:t>
            </w:r>
            <w:r w:rsidR="007C56E0">
              <w:rPr>
                <w:rFonts w:ascii="Tw Cen MT Condensed" w:hAnsi="Tw Cen MT Condensed"/>
                <w:sz w:val="20"/>
                <w:szCs w:val="20"/>
              </w:rPr>
              <w:t xml:space="preserve">: </w:t>
            </w:r>
            <w:r w:rsidR="007C56E0" w:rsidRPr="007C56E0">
              <w:rPr>
                <w:rFonts w:ascii="Tw Cen MT Condensed" w:hAnsi="Tw Cen MT Condensed"/>
                <w:sz w:val="20"/>
                <w:szCs w:val="20"/>
              </w:rPr>
              <w:t>killing, enforced disappearance, torture, arbitrary detention, kidnapping and other</w:t>
            </w:r>
          </w:p>
          <w:p w14:paraId="332260C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Profession/Area Of Work</w:t>
            </w:r>
          </w:p>
          <w:p w14:paraId="48E687AE" w14:textId="5B403B91"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Ethnicity</w:t>
            </w:r>
            <w:r w:rsidR="007C56E0">
              <w:rPr>
                <w:rFonts w:ascii="Tw Cen MT Condensed" w:hAnsi="Tw Cen MT Condensed"/>
                <w:sz w:val="20"/>
                <w:szCs w:val="20"/>
              </w:rPr>
              <w:t>: Ethnic/ non Ethnic</w:t>
            </w:r>
          </w:p>
          <w:p w14:paraId="695EE19F" w14:textId="4A3A1BB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w:t>
            </w:r>
            <w:r w:rsidR="007C56E0">
              <w:rPr>
                <w:rFonts w:ascii="Tw Cen MT Condensed" w:hAnsi="Tw Cen MT Condensed"/>
                <w:sz w:val="20"/>
                <w:szCs w:val="20"/>
              </w:rPr>
              <w:t>: 15-24 yrs, 25 and above</w:t>
            </w:r>
          </w:p>
          <w:p w14:paraId="78028772" w14:textId="706490FC"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Income </w:t>
            </w:r>
            <w:r w:rsidR="007C56E0">
              <w:rPr>
                <w:rFonts w:ascii="Tw Cen MT Condensed" w:hAnsi="Tw Cen MT Condensed"/>
                <w:sz w:val="20"/>
                <w:szCs w:val="20"/>
              </w:rPr>
              <w:t>: High/Medium/Low</w:t>
            </w:r>
          </w:p>
          <w:p w14:paraId="141315D4" w14:textId="5D1B120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 Location</w:t>
            </w:r>
            <w:r w:rsidR="007C56E0">
              <w:rPr>
                <w:rFonts w:ascii="Tw Cen MT Condensed" w:hAnsi="Tw Cen MT Condensed"/>
                <w:sz w:val="20"/>
                <w:szCs w:val="20"/>
              </w:rPr>
              <w:t>: Urban/Rural, Division</w:t>
            </w:r>
          </w:p>
          <w:p w14:paraId="3B3931C5" w14:textId="43D69430"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Disability</w:t>
            </w:r>
            <w:r w:rsidR="007C56E0">
              <w:rPr>
                <w:rFonts w:ascii="Tw Cen MT Condensed" w:hAnsi="Tw Cen MT Condensed"/>
                <w:sz w:val="20"/>
                <w:szCs w:val="20"/>
              </w:rPr>
              <w:t>: Disable/ Non Disable</w:t>
            </w:r>
          </w:p>
          <w:p w14:paraId="1C371E8C" w14:textId="02C51726"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Religion</w:t>
            </w:r>
            <w:r w:rsidR="007C56E0">
              <w:rPr>
                <w:rFonts w:ascii="Tw Cen MT Condensed" w:hAnsi="Tw Cen MT Condensed"/>
                <w:sz w:val="20"/>
                <w:szCs w:val="20"/>
              </w:rPr>
              <w:t>: Islam, Hindu, othrs</w:t>
            </w:r>
          </w:p>
          <w:p w14:paraId="099B9B62" w14:textId="5E15BF3B"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Migratory Or Displacement Status</w:t>
            </w:r>
            <w:r w:rsidR="007C56E0">
              <w:rPr>
                <w:rFonts w:ascii="Tw Cen MT Condensed" w:hAnsi="Tw Cen MT Condensed"/>
                <w:sz w:val="20"/>
                <w:szCs w:val="20"/>
              </w:rPr>
              <w:t>: Migrant/Non Migrant</w:t>
            </w:r>
          </w:p>
          <w:p w14:paraId="31A4ACC2"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Gender: Male, Female, Transgender  </w:t>
            </w:r>
          </w:p>
          <w:p w14:paraId="1584641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Minority Or Indigenous Status</w:t>
            </w:r>
          </w:p>
          <w:p w14:paraId="1301C458"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Relevant Characteristics Of The Perpetrator</w:t>
            </w:r>
          </w:p>
          <w:p w14:paraId="45D61798"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lastRenderedPageBreak/>
              <w:t>Sexual Orientation</w:t>
            </w:r>
          </w:p>
          <w:p w14:paraId="415401D4" w14:textId="77777777" w:rsidR="00BD06C4" w:rsidRDefault="00BD06C4" w:rsidP="00BD06C4">
            <w:pPr>
              <w:ind w:left="970" w:hanging="970"/>
              <w:jc w:val="both"/>
              <w:rPr>
                <w:color w:val="0070C0"/>
                <w:sz w:val="30"/>
                <w:szCs w:val="30"/>
              </w:rPr>
            </w:pPr>
          </w:p>
        </w:tc>
        <w:tc>
          <w:tcPr>
            <w:tcW w:w="0" w:type="auto"/>
          </w:tcPr>
          <w:p w14:paraId="4ED6F32A" w14:textId="77777777" w:rsidR="00BD06C4" w:rsidRDefault="00BD06C4" w:rsidP="00BD06C4">
            <w:pPr>
              <w:ind w:left="970" w:hanging="970"/>
              <w:jc w:val="both"/>
              <w:rPr>
                <w:color w:val="0070C0"/>
                <w:sz w:val="30"/>
                <w:szCs w:val="30"/>
              </w:rPr>
            </w:pPr>
            <w:r w:rsidRPr="004E6FA2">
              <w:lastRenderedPageBreak/>
              <w:t>Annual</w:t>
            </w:r>
          </w:p>
        </w:tc>
        <w:tc>
          <w:tcPr>
            <w:tcW w:w="0" w:type="auto"/>
          </w:tcPr>
          <w:p w14:paraId="273B613C" w14:textId="77777777" w:rsidR="00BD06C4" w:rsidRDefault="00BD06C4" w:rsidP="00BD06C4">
            <w:pPr>
              <w:ind w:left="970" w:hanging="970"/>
              <w:jc w:val="both"/>
              <w:rPr>
                <w:color w:val="0070C0"/>
                <w:sz w:val="30"/>
                <w:szCs w:val="30"/>
              </w:rPr>
            </w:pPr>
            <w:r>
              <w:t>Group 2</w:t>
            </w:r>
          </w:p>
        </w:tc>
        <w:tc>
          <w:tcPr>
            <w:tcW w:w="0" w:type="auto"/>
          </w:tcPr>
          <w:p w14:paraId="7B98D177" w14:textId="77777777" w:rsidR="00BD06C4" w:rsidRDefault="00BD06C4" w:rsidP="00BD06C4">
            <w:pPr>
              <w:pStyle w:val="NoSpacing"/>
            </w:pPr>
            <w:r>
              <w:t>1</w:t>
            </w:r>
            <w:r w:rsidRPr="00013ACB">
              <w:rPr>
                <w:vertAlign w:val="superscript"/>
              </w:rPr>
              <w:t>st</w:t>
            </w:r>
            <w:r>
              <w:t xml:space="preserve"> Round:</w:t>
            </w:r>
          </w:p>
          <w:p w14:paraId="30A8C3A2" w14:textId="77777777" w:rsidR="00BD06C4" w:rsidRDefault="00BD06C4" w:rsidP="00BD06C4">
            <w:pPr>
              <w:pStyle w:val="NoSpacing"/>
            </w:pPr>
            <w:r w:rsidRPr="00C3536E">
              <w:t>July, 2019</w:t>
            </w:r>
          </w:p>
          <w:p w14:paraId="5565EC00" w14:textId="77777777" w:rsidR="00BD06C4" w:rsidRDefault="00BD06C4" w:rsidP="00BD06C4">
            <w:pPr>
              <w:pStyle w:val="NoSpacing"/>
            </w:pPr>
          </w:p>
          <w:p w14:paraId="421BA726" w14:textId="77777777" w:rsidR="00BD06C4" w:rsidRDefault="00BD06C4" w:rsidP="00BD06C4">
            <w:pPr>
              <w:pStyle w:val="NoSpacing"/>
            </w:pPr>
            <w:r>
              <w:t>2</w:t>
            </w:r>
            <w:r w:rsidRPr="00013ACB">
              <w:rPr>
                <w:vertAlign w:val="superscript"/>
              </w:rPr>
              <w:t>nd</w:t>
            </w:r>
            <w:r>
              <w:t xml:space="preserve"> Round:</w:t>
            </w:r>
          </w:p>
          <w:p w14:paraId="39E82CE7" w14:textId="77777777" w:rsidR="00BD06C4" w:rsidRDefault="00BD06C4" w:rsidP="00BD06C4">
            <w:pPr>
              <w:pStyle w:val="NoSpacing"/>
            </w:pPr>
            <w:r>
              <w:t>July, 2020</w:t>
            </w:r>
          </w:p>
          <w:p w14:paraId="1B0F7A6E" w14:textId="77777777" w:rsidR="00BD06C4" w:rsidRDefault="00BD06C4" w:rsidP="00BD06C4">
            <w:pPr>
              <w:pStyle w:val="NoSpacing"/>
            </w:pPr>
          </w:p>
          <w:p w14:paraId="3BD87FA4" w14:textId="77777777" w:rsidR="00BD06C4" w:rsidRDefault="00BD06C4" w:rsidP="00BD06C4">
            <w:pPr>
              <w:pStyle w:val="NoSpacing"/>
            </w:pPr>
            <w:r>
              <w:t>3</w:t>
            </w:r>
            <w:r w:rsidRPr="00013ACB">
              <w:rPr>
                <w:vertAlign w:val="superscript"/>
              </w:rPr>
              <w:t>rd</w:t>
            </w:r>
            <w:r>
              <w:t xml:space="preserve"> Round: </w:t>
            </w:r>
          </w:p>
          <w:p w14:paraId="7BA57A76" w14:textId="77777777" w:rsidR="00BD06C4" w:rsidRDefault="00BD06C4" w:rsidP="00BD06C4">
            <w:pPr>
              <w:pStyle w:val="NoSpacing"/>
            </w:pPr>
            <w:r>
              <w:t>July, 2021</w:t>
            </w:r>
          </w:p>
          <w:p w14:paraId="1657F070" w14:textId="77777777" w:rsidR="00BD06C4" w:rsidRDefault="00BD06C4" w:rsidP="00BD06C4">
            <w:pPr>
              <w:pStyle w:val="NoSpacing"/>
            </w:pPr>
          </w:p>
          <w:p w14:paraId="46AFBDFF" w14:textId="77777777" w:rsidR="00BD06C4" w:rsidRDefault="00BD06C4" w:rsidP="00BD06C4">
            <w:pPr>
              <w:pStyle w:val="NoSpacing"/>
            </w:pPr>
            <w:r>
              <w:t>4</w:t>
            </w:r>
            <w:r w:rsidRPr="00013ACB">
              <w:rPr>
                <w:vertAlign w:val="superscript"/>
              </w:rPr>
              <w:t>th</w:t>
            </w:r>
            <w:r>
              <w:t xml:space="preserve"> Round: </w:t>
            </w:r>
          </w:p>
          <w:p w14:paraId="5F18BA26" w14:textId="77777777" w:rsidR="00BD06C4" w:rsidRDefault="00BD06C4" w:rsidP="00BD06C4">
            <w:pPr>
              <w:pStyle w:val="NoSpacing"/>
            </w:pPr>
            <w:r>
              <w:t>July, 2022</w:t>
            </w:r>
          </w:p>
          <w:p w14:paraId="52AA2DD4" w14:textId="77777777" w:rsidR="00BD06C4" w:rsidRDefault="00BD06C4" w:rsidP="00BD06C4">
            <w:pPr>
              <w:pStyle w:val="NoSpacing"/>
            </w:pPr>
          </w:p>
          <w:p w14:paraId="65ACF8AD" w14:textId="77777777" w:rsidR="00BD06C4" w:rsidRDefault="00BD06C4" w:rsidP="00BD06C4">
            <w:pPr>
              <w:pStyle w:val="NoSpacing"/>
            </w:pPr>
            <w:r>
              <w:t>5</w:t>
            </w:r>
            <w:r w:rsidRPr="00013ACB">
              <w:rPr>
                <w:vertAlign w:val="superscript"/>
              </w:rPr>
              <w:t>th</w:t>
            </w:r>
            <w:r>
              <w:t xml:space="preserve"> Round: </w:t>
            </w:r>
          </w:p>
          <w:p w14:paraId="37CCFCCF" w14:textId="77777777" w:rsidR="00BD06C4" w:rsidRDefault="00BD06C4" w:rsidP="00BD06C4">
            <w:pPr>
              <w:pStyle w:val="NoSpacing"/>
            </w:pPr>
            <w:r>
              <w:t>July, 2023</w:t>
            </w:r>
          </w:p>
          <w:p w14:paraId="2C0DFF82" w14:textId="06AAE406" w:rsidR="00BD06C4" w:rsidRDefault="00BD06C4" w:rsidP="00BD06C4">
            <w:pPr>
              <w:pStyle w:val="NoSpacing"/>
            </w:pPr>
          </w:p>
        </w:tc>
        <w:tc>
          <w:tcPr>
            <w:tcW w:w="0" w:type="auto"/>
          </w:tcPr>
          <w:p w14:paraId="300FE75C" w14:textId="77777777" w:rsidR="00BD06C4" w:rsidRDefault="00BD06C4" w:rsidP="00BD06C4">
            <w:pPr>
              <w:pStyle w:val="NoSpacing"/>
            </w:pPr>
            <w:r w:rsidRPr="00A41B47">
              <w:t>Reviewed at 6th IAEG-SDG meeting (classified as Tier II)</w:t>
            </w:r>
          </w:p>
        </w:tc>
      </w:tr>
      <w:tr w:rsidR="00BD06C4" w14:paraId="3E114B4D" w14:textId="77777777" w:rsidTr="00A64F0D">
        <w:tc>
          <w:tcPr>
            <w:tcW w:w="0" w:type="auto"/>
          </w:tcPr>
          <w:p w14:paraId="36DBA19B" w14:textId="77777777" w:rsidR="00BD06C4" w:rsidRPr="00BA046C" w:rsidRDefault="00BD06C4" w:rsidP="00BD06C4">
            <w:pPr>
              <w:pStyle w:val="NoSpacing"/>
            </w:pPr>
            <w:r w:rsidRPr="00BB562B">
              <w:lastRenderedPageBreak/>
              <w:t>16.10.2 Number of countries that adopt and implement constitutional, statutory and/or policy guarantees for public access to information</w:t>
            </w:r>
          </w:p>
        </w:tc>
        <w:tc>
          <w:tcPr>
            <w:tcW w:w="0" w:type="auto"/>
          </w:tcPr>
          <w:p w14:paraId="22D37EDE" w14:textId="77777777" w:rsidR="00BD06C4" w:rsidRDefault="00BD06C4" w:rsidP="00BD06C4">
            <w:pPr>
              <w:pStyle w:val="NoSpacing"/>
            </w:pPr>
            <w:r w:rsidRPr="007145C8">
              <w:t>UNESCO-UIS</w:t>
            </w:r>
          </w:p>
          <w:p w14:paraId="26B6D009" w14:textId="77777777" w:rsidR="00BD06C4" w:rsidRDefault="00BD06C4" w:rsidP="00BD06C4">
            <w:pPr>
              <w:rPr>
                <w:b/>
                <w:bCs/>
                <w:szCs w:val="20"/>
              </w:rPr>
            </w:pPr>
            <w:r w:rsidRPr="007243FC">
              <w:rPr>
                <w:b/>
                <w:bCs/>
                <w:szCs w:val="20"/>
              </w:rPr>
              <w:t>Partner Agencies:</w:t>
            </w:r>
          </w:p>
          <w:p w14:paraId="4E57A463" w14:textId="77777777" w:rsidR="00BD06C4" w:rsidRDefault="00BD06C4" w:rsidP="00BD06C4">
            <w:pPr>
              <w:pStyle w:val="NoSpacing"/>
            </w:pPr>
            <w:r>
              <w:t xml:space="preserve">World Bank, </w:t>
            </w:r>
          </w:p>
          <w:p w14:paraId="134A4FDF" w14:textId="77777777" w:rsidR="00BD06C4" w:rsidRDefault="00BD06C4" w:rsidP="00BD06C4">
            <w:pPr>
              <w:pStyle w:val="NoSpacing"/>
            </w:pPr>
            <w:r>
              <w:t>UNEP</w:t>
            </w:r>
          </w:p>
        </w:tc>
        <w:tc>
          <w:tcPr>
            <w:tcW w:w="0" w:type="auto"/>
          </w:tcPr>
          <w:p w14:paraId="24E6D2B0" w14:textId="77777777" w:rsidR="00BD06C4" w:rsidRDefault="00BD06C4" w:rsidP="00BD06C4">
            <w:pPr>
              <w:ind w:left="970" w:hanging="970"/>
              <w:jc w:val="both"/>
              <w:rPr>
                <w:color w:val="0070C0"/>
                <w:sz w:val="30"/>
                <w:szCs w:val="30"/>
              </w:rPr>
            </w:pPr>
            <w:r>
              <w:t>Tier I</w:t>
            </w:r>
          </w:p>
        </w:tc>
        <w:tc>
          <w:tcPr>
            <w:tcW w:w="0" w:type="auto"/>
          </w:tcPr>
          <w:p w14:paraId="462D7803" w14:textId="77777777" w:rsidR="00BD06C4" w:rsidRPr="00120846" w:rsidRDefault="00BD06C4" w:rsidP="00BD06C4">
            <w:pPr>
              <w:pStyle w:val="NoSpacing"/>
              <w:rPr>
                <w:b/>
                <w:bCs/>
                <w:lang w:val="en-GB"/>
              </w:rPr>
            </w:pPr>
            <w:r w:rsidRPr="00120846">
              <w:rPr>
                <w:b/>
                <w:bCs/>
                <w:lang w:val="en-GB"/>
              </w:rPr>
              <w:t>Definition:</w:t>
            </w:r>
          </w:p>
          <w:p w14:paraId="5961EF45" w14:textId="77777777" w:rsidR="00BD06C4" w:rsidRPr="00120846" w:rsidRDefault="00BD06C4" w:rsidP="00BD06C4">
            <w:pPr>
              <w:pStyle w:val="NoSpacing"/>
              <w:rPr>
                <w:lang w:val="en-GB"/>
              </w:rPr>
            </w:pPr>
          </w:p>
          <w:p w14:paraId="1D24FE4A" w14:textId="77777777" w:rsidR="00BD06C4" w:rsidRPr="00120846" w:rsidRDefault="00BD06C4" w:rsidP="00BD06C4">
            <w:pPr>
              <w:pStyle w:val="NoSpacing"/>
              <w:rPr>
                <w:lang w:val="en-GB"/>
              </w:rPr>
            </w:pPr>
            <w:r w:rsidRPr="00120846">
              <w:rPr>
                <w:lang w:val="en-GB"/>
              </w:rPr>
              <w:t>Number of countries that adopt and implement constitutional, statutory and/or policy guarantees for public access to information</w:t>
            </w:r>
          </w:p>
          <w:p w14:paraId="2F3C16A7" w14:textId="77777777" w:rsidR="00BD06C4" w:rsidRPr="00120846" w:rsidRDefault="00BD06C4" w:rsidP="00BD06C4">
            <w:pPr>
              <w:pStyle w:val="NoSpacing"/>
              <w:rPr>
                <w:lang w:val="en-GB"/>
              </w:rPr>
            </w:pPr>
          </w:p>
          <w:p w14:paraId="2F3DE03B" w14:textId="77777777" w:rsidR="00BD06C4" w:rsidRPr="00120846" w:rsidRDefault="00BD06C4" w:rsidP="00BD06C4">
            <w:pPr>
              <w:pStyle w:val="NoSpacing"/>
              <w:rPr>
                <w:lang w:val="en-GB"/>
              </w:rPr>
            </w:pPr>
            <w:r w:rsidRPr="00120846">
              <w:rPr>
                <w:lang w:val="en-GB"/>
              </w:rPr>
              <w:t xml:space="preserve">The focus of this indicator is thus on the status of adoption and implementation of constitutional, statutory and/or policy guarantees for public access to information. The definition relates directly to “public access to information”, which is wider than, but is also very much based upon, the established fundamental freedoms of expression and association. Conversely, these freedoms also both impact on the environment for public access to information. </w:t>
            </w:r>
          </w:p>
          <w:p w14:paraId="73D00FEC" w14:textId="77777777" w:rsidR="00BD06C4" w:rsidRPr="00120846" w:rsidRDefault="00BD06C4" w:rsidP="00BD06C4">
            <w:pPr>
              <w:pStyle w:val="NoSpacing"/>
              <w:rPr>
                <w:lang w:val="en-GB"/>
              </w:rPr>
            </w:pPr>
          </w:p>
          <w:p w14:paraId="0FFFBE6F" w14:textId="77777777" w:rsidR="00BD06C4" w:rsidRPr="00120846" w:rsidRDefault="00BD06C4" w:rsidP="00BD06C4">
            <w:pPr>
              <w:pStyle w:val="NoSpacing"/>
              <w:rPr>
                <w:b/>
                <w:bCs/>
                <w:lang w:val="en-GB"/>
              </w:rPr>
            </w:pPr>
            <w:r w:rsidRPr="00120846">
              <w:rPr>
                <w:b/>
                <w:bCs/>
                <w:lang w:val="en-GB"/>
              </w:rPr>
              <w:t>Concepts:</w:t>
            </w:r>
          </w:p>
          <w:p w14:paraId="613958CD" w14:textId="77777777" w:rsidR="00BD06C4" w:rsidRPr="00120846" w:rsidRDefault="00BD06C4" w:rsidP="00BD06C4">
            <w:pPr>
              <w:pStyle w:val="NoSpacing"/>
              <w:rPr>
                <w:lang w:val="en-GB"/>
              </w:rPr>
            </w:pPr>
          </w:p>
          <w:p w14:paraId="70109E51" w14:textId="77777777" w:rsidR="00BD06C4" w:rsidRPr="00120846" w:rsidRDefault="00BD06C4" w:rsidP="00BD06C4">
            <w:pPr>
              <w:pStyle w:val="NoSpacing"/>
              <w:rPr>
                <w:lang w:val="en-GB"/>
              </w:rPr>
            </w:pPr>
            <w:r w:rsidRPr="00120846">
              <w:rPr>
                <w:lang w:val="en-GB"/>
              </w:rPr>
              <w:t xml:space="preserve">Conceptually, ‘public access to information’ refers to “the presence of a robust system through which information is made available to citizens and others.” Such a system represents a combination of intellectual, physical, and social elements that affect the availability of information to individuals. In other words, in discussing the issue of public access to information, it is important to recognize that any measurement of its practical outworking needs to take into account how individuals perceive the quality of information in the public domain, the nature of the communicative infrastructure in place to facilitate access, and how that information is ultimately utilized by individuals as members of a particular polity. </w:t>
            </w:r>
          </w:p>
          <w:p w14:paraId="48966E34" w14:textId="77777777" w:rsidR="00BD06C4" w:rsidRPr="00120846" w:rsidRDefault="00BD06C4" w:rsidP="00BD06C4">
            <w:pPr>
              <w:pStyle w:val="NoSpacing"/>
              <w:rPr>
                <w:lang w:val="en-GB"/>
              </w:rPr>
            </w:pPr>
          </w:p>
          <w:p w14:paraId="4E0EA691" w14:textId="77777777" w:rsidR="00BD06C4" w:rsidRPr="00120846" w:rsidRDefault="00BD06C4" w:rsidP="00BD06C4">
            <w:pPr>
              <w:pStyle w:val="NoSpacing"/>
              <w:rPr>
                <w:lang w:val="en-GB"/>
              </w:rPr>
            </w:pPr>
            <w:r w:rsidRPr="00120846">
              <w:rPr>
                <w:lang w:val="en-GB"/>
              </w:rPr>
              <w:t xml:space="preserve">In general, then, these are the issues that go into legislation and policy on public access. More specifically, such legislation and policy take the form of Freedom of Information laws (FOI laws) which are aimed at allowing access by the general public to data held by national governments and, increasingly, by private companies whose work intersect with government operations. </w:t>
            </w:r>
          </w:p>
          <w:p w14:paraId="2318F52D" w14:textId="77777777" w:rsidR="00BD06C4" w:rsidRPr="00120846" w:rsidRDefault="00BD06C4" w:rsidP="00BD06C4">
            <w:pPr>
              <w:pStyle w:val="NoSpacing"/>
              <w:rPr>
                <w:lang w:val="en-GB"/>
              </w:rPr>
            </w:pPr>
          </w:p>
          <w:p w14:paraId="0F82736D" w14:textId="77777777" w:rsidR="00BD06C4" w:rsidRPr="00120846" w:rsidRDefault="00BD06C4" w:rsidP="00BD06C4">
            <w:pPr>
              <w:pStyle w:val="NoSpacing"/>
              <w:rPr>
                <w:lang w:val="en-GB"/>
              </w:rPr>
            </w:pPr>
            <w:r w:rsidRPr="00120846">
              <w:rPr>
                <w:lang w:val="en-GB"/>
              </w:rPr>
              <w:t>The emergence of freedom of information legislation was a response to increasing dissatisfaction with the secrecy surrounding government policy development and decision making. They establish a "right-to-know" legal process by which requests may be made for government-held information, to be received freely or at minimal cost, barring standard exceptions.</w:t>
            </w:r>
          </w:p>
          <w:p w14:paraId="1A92D94B" w14:textId="77777777" w:rsidR="00BD06C4" w:rsidRPr="00120846" w:rsidRDefault="00BD06C4" w:rsidP="00BD06C4">
            <w:pPr>
              <w:pStyle w:val="NoSpacing"/>
              <w:rPr>
                <w:lang w:val="en-GB"/>
              </w:rPr>
            </w:pPr>
          </w:p>
          <w:p w14:paraId="0EA6CAAC" w14:textId="77777777" w:rsidR="00BD06C4" w:rsidRPr="00120846" w:rsidRDefault="00BD06C4" w:rsidP="00BD06C4">
            <w:pPr>
              <w:pStyle w:val="NoSpacing"/>
              <w:rPr>
                <w:lang w:val="en-GB"/>
              </w:rPr>
            </w:pPr>
            <w:r w:rsidRPr="00120846">
              <w:rPr>
                <w:lang w:val="en-GB"/>
              </w:rPr>
              <w:t>Such a formulation has a basis in international agreements. For example, the right to freedom of expression, which is not only recognized as a basic human right in the Universal Declaration of Human Rights (1948), is also upheld in the International Covenant on Civil and Political Rights (1966), the European Convention on Human Rights (1950), the American Convention on Human Rights (1969) and the African Charter on Human and Peoples’ Rights (1981), thus lending itself to universal political recognition and application. More specifically, in the European context, reference may be made to the Council of Europe Convention on Access to Official Documents, adopted on 18 June 2009. In the Americas, the Organization of American States’ Inter-American Juridical Committee developed a set of Principles on the Right of Access to Information in 2008.</w:t>
            </w:r>
          </w:p>
          <w:p w14:paraId="2FB9D358" w14:textId="77777777" w:rsidR="00BD06C4" w:rsidRPr="00120846" w:rsidRDefault="00BD06C4" w:rsidP="00BD06C4">
            <w:pPr>
              <w:pStyle w:val="NoSpacing"/>
              <w:rPr>
                <w:lang w:val="en-GB"/>
              </w:rPr>
            </w:pPr>
          </w:p>
          <w:p w14:paraId="06EDACEA" w14:textId="77777777" w:rsidR="00BD06C4" w:rsidRPr="00120846" w:rsidRDefault="00BD06C4" w:rsidP="00BD06C4">
            <w:pPr>
              <w:pStyle w:val="NoSpacing"/>
              <w:rPr>
                <w:b/>
                <w:bCs/>
                <w:lang w:val="en-GB"/>
              </w:rPr>
            </w:pPr>
            <w:r w:rsidRPr="00120846">
              <w:rPr>
                <w:b/>
                <w:bCs/>
                <w:lang w:val="en-GB"/>
              </w:rPr>
              <w:t>Comments and limitations:</w:t>
            </w:r>
          </w:p>
          <w:p w14:paraId="670F4D98" w14:textId="77777777" w:rsidR="00BD06C4" w:rsidRPr="00120846" w:rsidRDefault="00BD06C4" w:rsidP="00BD06C4">
            <w:pPr>
              <w:pStyle w:val="NoSpacing"/>
              <w:rPr>
                <w:lang w:val="en-GB"/>
              </w:rPr>
            </w:pPr>
          </w:p>
          <w:p w14:paraId="5120B016" w14:textId="77777777" w:rsidR="00BD06C4" w:rsidRPr="00120846" w:rsidRDefault="00BD06C4" w:rsidP="00BD06C4">
            <w:pPr>
              <w:pStyle w:val="NoSpacing"/>
              <w:rPr>
                <w:lang w:val="en-GB"/>
              </w:rPr>
            </w:pPr>
            <w:r w:rsidRPr="00120846">
              <w:rPr>
                <w:lang w:val="en-GB"/>
              </w:rPr>
              <w:t>This indicator does not assess the totality of “public access to information” component of the full Target of 16.10. Nevertheless, it focusses on a key determinant of the wider information environment.</w:t>
            </w:r>
          </w:p>
          <w:p w14:paraId="6E101D19" w14:textId="77777777" w:rsidR="00BD06C4" w:rsidRPr="00120846" w:rsidRDefault="00BD06C4" w:rsidP="00BD06C4">
            <w:pPr>
              <w:pStyle w:val="NoSpacing"/>
              <w:rPr>
                <w:b/>
                <w:bCs/>
                <w:lang w:val="en-GB"/>
              </w:rPr>
            </w:pPr>
          </w:p>
          <w:p w14:paraId="7B393181" w14:textId="77777777" w:rsidR="00BD06C4" w:rsidRPr="00120846" w:rsidRDefault="00BD06C4" w:rsidP="00BD06C4">
            <w:pPr>
              <w:pStyle w:val="NoSpacing"/>
              <w:rPr>
                <w:b/>
                <w:bCs/>
                <w:lang w:val="en-GB"/>
              </w:rPr>
            </w:pPr>
            <w:r w:rsidRPr="00120846">
              <w:rPr>
                <w:b/>
                <w:bCs/>
                <w:lang w:val="en-GB"/>
              </w:rPr>
              <w:t>Computation Method:</w:t>
            </w:r>
          </w:p>
          <w:p w14:paraId="5C2D1194" w14:textId="77777777" w:rsidR="00BD06C4" w:rsidRPr="00120846" w:rsidRDefault="00BD06C4" w:rsidP="00BD06C4">
            <w:pPr>
              <w:pStyle w:val="NoSpacing"/>
              <w:rPr>
                <w:lang w:val="en-GB"/>
              </w:rPr>
            </w:pPr>
          </w:p>
          <w:p w14:paraId="48085460" w14:textId="77777777" w:rsidR="00BD06C4" w:rsidRPr="00120846" w:rsidRDefault="00BD06C4" w:rsidP="00BD06C4">
            <w:pPr>
              <w:pStyle w:val="NoSpacing"/>
              <w:rPr>
                <w:lang w:val="en-GB"/>
              </w:rPr>
            </w:pPr>
            <w:r w:rsidRPr="00120846">
              <w:rPr>
                <w:lang w:val="en-GB"/>
              </w:rPr>
              <w:t xml:space="preserve">The method of computation is both quantitative and qualitative, with data generated from a global review of existing surveys (e.g. UNESCO's World Trends in Freedom of Expression &amp; Media Development reports, etc.), administrative records, expert assessments (e.g. World Justice Open Government Index), etc. More specifically, the following key variables will be assessed: </w:t>
            </w:r>
          </w:p>
          <w:p w14:paraId="0299B926" w14:textId="77777777" w:rsidR="00BD06C4" w:rsidRPr="00120846" w:rsidRDefault="00BD06C4" w:rsidP="00BD06C4">
            <w:pPr>
              <w:pStyle w:val="NoSpacing"/>
              <w:rPr>
                <w:lang w:val="en-GB"/>
              </w:rPr>
            </w:pPr>
          </w:p>
          <w:p w14:paraId="5E60AB36" w14:textId="77777777" w:rsidR="00BD06C4" w:rsidRPr="00120846" w:rsidRDefault="00BD06C4" w:rsidP="00BD06C4">
            <w:pPr>
              <w:pStyle w:val="NoSpacing"/>
              <w:rPr>
                <w:lang w:val="en-GB"/>
              </w:rPr>
            </w:pPr>
            <w:r w:rsidRPr="00120846">
              <w:rPr>
                <w:lang w:val="en-GB"/>
              </w:rPr>
              <w:t>1. Does a country have constitutional, statutory and/or policy guarantees for public access to information?</w:t>
            </w:r>
          </w:p>
          <w:p w14:paraId="3D95309A" w14:textId="77777777" w:rsidR="00BD06C4" w:rsidRPr="00120846" w:rsidRDefault="00BD06C4" w:rsidP="00BD06C4">
            <w:pPr>
              <w:pStyle w:val="NoSpacing"/>
              <w:rPr>
                <w:lang w:val="en-GB"/>
              </w:rPr>
            </w:pPr>
            <w:r w:rsidRPr="00120846">
              <w:rPr>
                <w:lang w:val="en-GB"/>
              </w:rPr>
              <w:t>2. Do those constitutional, statutory and/or policy guarantees reflect known international agreements (e.g. the Universal Declaration of Human Rights, the International Covenant on Civil and Political Rights, etc.)?</w:t>
            </w:r>
          </w:p>
          <w:p w14:paraId="1F7669B3" w14:textId="77777777" w:rsidR="00BD06C4" w:rsidRPr="00120846" w:rsidRDefault="00BD06C4" w:rsidP="00BD06C4">
            <w:pPr>
              <w:pStyle w:val="NoSpacing"/>
              <w:rPr>
                <w:lang w:val="en-GB"/>
              </w:rPr>
            </w:pPr>
            <w:r w:rsidRPr="00120846">
              <w:rPr>
                <w:lang w:val="en-GB"/>
              </w:rPr>
              <w:t>3. What implementation mechanisms are in place to ensure that such guarantees work optimally?</w:t>
            </w:r>
          </w:p>
          <w:p w14:paraId="1CC1C522" w14:textId="77777777" w:rsidR="00BD06C4" w:rsidRPr="00120846" w:rsidRDefault="00BD06C4" w:rsidP="00BD06C4">
            <w:pPr>
              <w:pStyle w:val="NoSpacing"/>
              <w:rPr>
                <w:lang w:val="en-GB"/>
              </w:rPr>
            </w:pPr>
          </w:p>
          <w:p w14:paraId="50B4594E" w14:textId="77777777" w:rsidR="00BD06C4" w:rsidRPr="00120846" w:rsidRDefault="00BD06C4" w:rsidP="00BD06C4">
            <w:pPr>
              <w:pStyle w:val="NoSpacing"/>
              <w:rPr>
                <w:lang w:val="en-GB"/>
              </w:rPr>
            </w:pPr>
            <w:r w:rsidRPr="00120846">
              <w:rPr>
                <w:lang w:val="en-GB"/>
              </w:rPr>
              <w:t>To address these questions, the following will serve as performance sub-indicators:</w:t>
            </w:r>
          </w:p>
          <w:p w14:paraId="31D2E8C4" w14:textId="77777777" w:rsidR="00BD06C4" w:rsidRPr="00120846" w:rsidRDefault="00BD06C4" w:rsidP="00BD06C4">
            <w:pPr>
              <w:pStyle w:val="NoSpacing"/>
              <w:rPr>
                <w:lang w:val="en-GB"/>
              </w:rPr>
            </w:pPr>
            <w:r w:rsidRPr="00120846">
              <w:rPr>
                <w:lang w:val="en-GB"/>
              </w:rPr>
              <w:t>- National law or constitutional guarantee on the right to information</w:t>
            </w:r>
          </w:p>
          <w:p w14:paraId="03388278" w14:textId="77777777" w:rsidR="00BD06C4" w:rsidRPr="00120846" w:rsidRDefault="00BD06C4" w:rsidP="00BD06C4">
            <w:pPr>
              <w:pStyle w:val="NoSpacing"/>
              <w:rPr>
                <w:lang w:val="en-GB"/>
              </w:rPr>
            </w:pPr>
            <w:r w:rsidRPr="00120846">
              <w:rPr>
                <w:lang w:val="en-GB"/>
              </w:rPr>
              <w:t>- Country has signed and ratified relevant treaty obligations, with no significant exemptions, and these are reflected, to the extent possible, in domestic FOI legislation</w:t>
            </w:r>
          </w:p>
          <w:p w14:paraId="29F1F236" w14:textId="77777777" w:rsidR="00BD06C4" w:rsidRPr="00120846" w:rsidRDefault="00BD06C4" w:rsidP="00BD06C4">
            <w:pPr>
              <w:pStyle w:val="NoSpacing"/>
              <w:rPr>
                <w:lang w:val="en-GB"/>
              </w:rPr>
            </w:pPr>
            <w:r w:rsidRPr="00120846">
              <w:rPr>
                <w:lang w:val="en-GB"/>
              </w:rPr>
              <w:t>- Public is aware of and exercises right to access official information</w:t>
            </w:r>
          </w:p>
          <w:p w14:paraId="41E5D970" w14:textId="77777777" w:rsidR="00BD06C4" w:rsidRPr="00120846" w:rsidRDefault="00BD06C4" w:rsidP="00BD06C4">
            <w:pPr>
              <w:pStyle w:val="NoSpacing"/>
              <w:rPr>
                <w:lang w:val="en-GB"/>
              </w:rPr>
            </w:pPr>
            <w:r w:rsidRPr="00120846">
              <w:rPr>
                <w:lang w:val="en-GB"/>
              </w:rPr>
              <w:t>- Public bodies release information both pro-actively and on demand</w:t>
            </w:r>
          </w:p>
          <w:p w14:paraId="29D363AC" w14:textId="77777777" w:rsidR="00BD06C4" w:rsidRPr="00120846" w:rsidRDefault="00BD06C4" w:rsidP="00BD06C4">
            <w:pPr>
              <w:pStyle w:val="NoSpacing"/>
              <w:rPr>
                <w:lang w:val="en-GB"/>
              </w:rPr>
            </w:pPr>
            <w:r w:rsidRPr="00120846">
              <w:rPr>
                <w:lang w:val="en-GB"/>
              </w:rPr>
              <w:t>- Effective and efficient appeals mechanism via independent administrative body e.g. information commissioner or ombudsman</w:t>
            </w:r>
          </w:p>
          <w:p w14:paraId="2DA389FD" w14:textId="77777777" w:rsidR="00BD06C4" w:rsidRPr="00120846" w:rsidRDefault="00BD06C4" w:rsidP="00BD06C4">
            <w:pPr>
              <w:pStyle w:val="NoSpacing"/>
              <w:rPr>
                <w:lang w:val="en-GB"/>
              </w:rPr>
            </w:pPr>
            <w:r w:rsidRPr="00120846">
              <w:rPr>
                <w:lang w:val="en-GB"/>
              </w:rPr>
              <w:t xml:space="preserve">- Any restriction on grounds of protection of personal privacy is narrowly defined so as to exclude information in which there is no justifiable public interest. </w:t>
            </w:r>
          </w:p>
          <w:p w14:paraId="75F173D7" w14:textId="77777777" w:rsidR="00BD06C4" w:rsidRPr="00120846" w:rsidRDefault="00BD06C4" w:rsidP="00BD06C4">
            <w:pPr>
              <w:pStyle w:val="NoSpacing"/>
              <w:rPr>
                <w:lang w:val="en-GB"/>
              </w:rPr>
            </w:pPr>
          </w:p>
          <w:p w14:paraId="4AF60381" w14:textId="77777777" w:rsidR="00BD06C4" w:rsidRPr="00120846" w:rsidRDefault="00BD06C4" w:rsidP="00BD06C4">
            <w:pPr>
              <w:pStyle w:val="NoSpacing"/>
              <w:rPr>
                <w:lang w:val="en-GB"/>
              </w:rPr>
            </w:pPr>
            <w:r w:rsidRPr="00120846">
              <w:rPr>
                <w:lang w:val="en-GB"/>
              </w:rPr>
              <w:t>The means of verification will include:</w:t>
            </w:r>
          </w:p>
          <w:p w14:paraId="5AF14434" w14:textId="77777777" w:rsidR="00BD06C4" w:rsidRPr="00120846" w:rsidRDefault="00BD06C4" w:rsidP="00BD06C4">
            <w:pPr>
              <w:pStyle w:val="NoSpacing"/>
              <w:rPr>
                <w:lang w:val="en-GB"/>
              </w:rPr>
            </w:pPr>
            <w:r w:rsidRPr="00120846">
              <w:rPr>
                <w:lang w:val="en-GB"/>
              </w:rPr>
              <w:t>- Any law or policy on right to information that accords with international standards</w:t>
            </w:r>
          </w:p>
          <w:p w14:paraId="74D25EA5" w14:textId="77777777" w:rsidR="00BD06C4" w:rsidRPr="00120846" w:rsidRDefault="00BD06C4" w:rsidP="00BD06C4">
            <w:pPr>
              <w:pStyle w:val="NoSpacing"/>
              <w:rPr>
                <w:lang w:val="en-GB"/>
              </w:rPr>
            </w:pPr>
            <w:r w:rsidRPr="00120846">
              <w:rPr>
                <w:lang w:val="en-GB"/>
              </w:rPr>
              <w:t>- Reports from credible agencies/experts about right to information guarantees and the extent to which they reflect international standards/agreements</w:t>
            </w:r>
          </w:p>
          <w:p w14:paraId="4585E564" w14:textId="77777777" w:rsidR="00BD06C4" w:rsidRPr="00120846" w:rsidRDefault="00BD06C4" w:rsidP="00BD06C4">
            <w:pPr>
              <w:pStyle w:val="NoSpacing"/>
              <w:rPr>
                <w:lang w:val="en-GB"/>
              </w:rPr>
            </w:pPr>
            <w:r w:rsidRPr="00120846">
              <w:rPr>
                <w:lang w:val="en-GB"/>
              </w:rPr>
              <w:t>- Policies of public bodies concerning release of information (which ensure readily, freely available public access to information, including online)</w:t>
            </w:r>
          </w:p>
          <w:p w14:paraId="3CBDF423" w14:textId="77777777" w:rsidR="00BD06C4" w:rsidRPr="00120846" w:rsidRDefault="00BD06C4" w:rsidP="00BD06C4">
            <w:pPr>
              <w:pStyle w:val="NoSpacing"/>
              <w:rPr>
                <w:lang w:val="en-GB"/>
              </w:rPr>
            </w:pPr>
            <w:r w:rsidRPr="00120846">
              <w:rPr>
                <w:lang w:val="en-GB"/>
              </w:rPr>
              <w:t>- Evidence of state commitment to open government e.g. publication and dissemination of laws, court decisions, parliamentary proceedings, spending programmes (vis-à-vis SDG undertakings)</w:t>
            </w:r>
          </w:p>
          <w:p w14:paraId="5E4BAF24" w14:textId="77777777" w:rsidR="00BD06C4" w:rsidRPr="00120846" w:rsidRDefault="00BD06C4" w:rsidP="00BD06C4">
            <w:pPr>
              <w:pStyle w:val="NoSpacing"/>
              <w:rPr>
                <w:lang w:val="en-GB"/>
              </w:rPr>
            </w:pPr>
            <w:r w:rsidRPr="00120846">
              <w:rPr>
                <w:lang w:val="en-GB"/>
              </w:rPr>
              <w:t>- Statistical information about public requests for official information and their fulfilment or rejection</w:t>
            </w:r>
          </w:p>
          <w:p w14:paraId="188ADC69" w14:textId="77777777" w:rsidR="00BD06C4" w:rsidRPr="00120846" w:rsidRDefault="00BD06C4" w:rsidP="00BD06C4">
            <w:pPr>
              <w:pStyle w:val="NoSpacing"/>
              <w:rPr>
                <w:lang w:val="en-GB"/>
              </w:rPr>
            </w:pPr>
            <w:r w:rsidRPr="00120846">
              <w:rPr>
                <w:lang w:val="en-GB"/>
              </w:rPr>
              <w:lastRenderedPageBreak/>
              <w:t>- Statistical information about appeals or complaints over information requests that have been refused</w:t>
            </w:r>
          </w:p>
          <w:p w14:paraId="223663F1" w14:textId="77777777" w:rsidR="00BD06C4" w:rsidRDefault="00BD06C4" w:rsidP="00BD06C4">
            <w:pPr>
              <w:pStyle w:val="NoSpacing"/>
            </w:pPr>
          </w:p>
        </w:tc>
        <w:tc>
          <w:tcPr>
            <w:tcW w:w="0" w:type="auto"/>
          </w:tcPr>
          <w:p w14:paraId="1BA4C615" w14:textId="77777777" w:rsidR="00BD06C4" w:rsidRPr="00873FDE" w:rsidRDefault="00BD06C4" w:rsidP="00BD06C4">
            <w:pPr>
              <w:jc w:val="both"/>
              <w:rPr>
                <w:szCs w:val="22"/>
              </w:rPr>
            </w:pPr>
            <w:r w:rsidRPr="00873FDE">
              <w:rPr>
                <w:szCs w:val="22"/>
              </w:rPr>
              <w:lastRenderedPageBreak/>
              <w:t xml:space="preserve">UNESCO uses a triangulated method to compare data for global monitoring, which includes (I) databases maintained by other international agencies; (2) own international surveys carried out in countries by independent entities and (3) modelled and estimated data, based on other data sources. More specifically, UNESCO analyses data inputs from a variety of sources to produce a consensus list of countries with freedom of information laws or equivalent. Among those organizations and experts that make available their data are: Freedominfo.org, Fringe Special by Robert Vleugels, Open Society Justice Initiative, Right to Information Rating, by Access Info Europe and the </w:t>
            </w:r>
            <w:r w:rsidRPr="00873FDE">
              <w:rPr>
                <w:szCs w:val="22"/>
              </w:rPr>
              <w:lastRenderedPageBreak/>
              <w:t>Centre for Law and Democracy, ARTICLE 19. Others include international agencies and UN bodies, such as: The World Bank, The Office of the High Commissioner for Human Rights, The UN Special Rapporteur on the Promotion and Protection of the Right to Freedom of Opinion and Expression.</w:t>
            </w:r>
          </w:p>
        </w:tc>
        <w:tc>
          <w:tcPr>
            <w:tcW w:w="0" w:type="auto"/>
          </w:tcPr>
          <w:p w14:paraId="1B4FC994" w14:textId="77777777" w:rsidR="00BD06C4" w:rsidRPr="00873FDE" w:rsidRDefault="00BD06C4" w:rsidP="00BD06C4">
            <w:pPr>
              <w:rPr>
                <w:szCs w:val="22"/>
              </w:rPr>
            </w:pPr>
            <w:r w:rsidRPr="00873FDE">
              <w:rPr>
                <w:szCs w:val="22"/>
              </w:rPr>
              <w:lastRenderedPageBreak/>
              <w:t>UNESCO, World Bank, UNDP, and other UN bodies; National bodies, Academic and research institutions, Media support NGOs</w:t>
            </w:r>
          </w:p>
        </w:tc>
        <w:tc>
          <w:tcPr>
            <w:tcW w:w="0" w:type="auto"/>
          </w:tcPr>
          <w:p w14:paraId="7E608DD1" w14:textId="1DCDB020" w:rsidR="00BD06C4" w:rsidRPr="008D2CF4" w:rsidRDefault="00BD06C4" w:rsidP="00BD06C4">
            <w:pPr>
              <w:pStyle w:val="NoSpacing"/>
            </w:pPr>
          </w:p>
        </w:tc>
        <w:tc>
          <w:tcPr>
            <w:tcW w:w="0" w:type="auto"/>
          </w:tcPr>
          <w:p w14:paraId="696078BD" w14:textId="79061B00" w:rsidR="00BD06C4" w:rsidRDefault="00BD06C4" w:rsidP="00BD06C4">
            <w:pPr>
              <w:pStyle w:val="NoSpacing"/>
              <w:rPr>
                <w:szCs w:val="20"/>
              </w:rPr>
            </w:pPr>
          </w:p>
          <w:p w14:paraId="3504DC2D" w14:textId="77777777" w:rsidR="00BD06C4" w:rsidRDefault="00BD06C4" w:rsidP="00BD06C4">
            <w:pPr>
              <w:pStyle w:val="NoSpacing"/>
              <w:rPr>
                <w:szCs w:val="20"/>
              </w:rPr>
            </w:pPr>
            <w:r>
              <w:rPr>
                <w:szCs w:val="20"/>
              </w:rPr>
              <w:t>a) IC, Molnf</w:t>
            </w:r>
          </w:p>
          <w:p w14:paraId="167F8B4F" w14:textId="77777777" w:rsidR="00BD06C4" w:rsidRDefault="00BD06C4" w:rsidP="00BD06C4">
            <w:pPr>
              <w:pStyle w:val="NoSpacing"/>
              <w:rPr>
                <w:szCs w:val="20"/>
              </w:rPr>
            </w:pPr>
            <w:r>
              <w:rPr>
                <w:szCs w:val="20"/>
              </w:rPr>
              <w:t>b) UPR, MoFA</w:t>
            </w:r>
          </w:p>
          <w:p w14:paraId="36100AD3" w14:textId="77777777" w:rsidR="00BD06C4" w:rsidRDefault="00BD06C4" w:rsidP="00BD06C4">
            <w:pPr>
              <w:pStyle w:val="NoSpacing"/>
              <w:rPr>
                <w:szCs w:val="20"/>
              </w:rPr>
            </w:pPr>
          </w:p>
          <w:p w14:paraId="207C122D" w14:textId="77777777" w:rsidR="00BD06C4" w:rsidRPr="008D2CF4" w:rsidRDefault="00BD06C4" w:rsidP="00BD06C4">
            <w:pPr>
              <w:pStyle w:val="NoSpacing"/>
            </w:pPr>
            <w:r w:rsidRPr="008D2CF4">
              <w:rPr>
                <w:szCs w:val="20"/>
              </w:rPr>
              <w:t>Administrative Data</w:t>
            </w:r>
          </w:p>
        </w:tc>
        <w:tc>
          <w:tcPr>
            <w:tcW w:w="0" w:type="auto"/>
          </w:tcPr>
          <w:p w14:paraId="52D213CD"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 location: rural, peri-rural, urban, peri-urban</w:t>
            </w:r>
          </w:p>
          <w:p w14:paraId="604E75F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Gender: Male, Female, Transgender </w:t>
            </w:r>
          </w:p>
          <w:p w14:paraId="3D0F698E" w14:textId="19BBF9F1"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Disability</w:t>
            </w:r>
            <w:r w:rsidR="007C56E0">
              <w:rPr>
                <w:rFonts w:ascii="Tw Cen MT Condensed" w:hAnsi="Tw Cen MT Condensed"/>
                <w:sz w:val="20"/>
                <w:szCs w:val="20"/>
              </w:rPr>
              <w:t>: Disable/ non Disable</w:t>
            </w:r>
          </w:p>
          <w:p w14:paraId="13513F9C" w14:textId="77777777" w:rsidR="00BD06C4" w:rsidRDefault="00BD06C4" w:rsidP="00BD06C4">
            <w:pPr>
              <w:ind w:left="970" w:hanging="970"/>
              <w:jc w:val="both"/>
              <w:rPr>
                <w:color w:val="0070C0"/>
                <w:sz w:val="30"/>
                <w:szCs w:val="30"/>
              </w:rPr>
            </w:pPr>
          </w:p>
        </w:tc>
        <w:tc>
          <w:tcPr>
            <w:tcW w:w="0" w:type="auto"/>
          </w:tcPr>
          <w:p w14:paraId="2F02010A" w14:textId="77777777" w:rsidR="00BD06C4" w:rsidRDefault="00BD06C4" w:rsidP="00BD06C4">
            <w:pPr>
              <w:ind w:left="970" w:hanging="970"/>
              <w:jc w:val="both"/>
              <w:rPr>
                <w:color w:val="0070C0"/>
                <w:sz w:val="30"/>
                <w:szCs w:val="30"/>
              </w:rPr>
            </w:pPr>
            <w:r w:rsidRPr="004E6FA2">
              <w:t>Triennial</w:t>
            </w:r>
          </w:p>
        </w:tc>
        <w:tc>
          <w:tcPr>
            <w:tcW w:w="0" w:type="auto"/>
          </w:tcPr>
          <w:p w14:paraId="7AEEAD67" w14:textId="77777777" w:rsidR="00BD06C4" w:rsidRDefault="00BD06C4" w:rsidP="00BD06C4">
            <w:pPr>
              <w:ind w:left="970" w:hanging="970"/>
              <w:jc w:val="both"/>
              <w:rPr>
                <w:color w:val="0070C0"/>
                <w:sz w:val="30"/>
                <w:szCs w:val="30"/>
              </w:rPr>
            </w:pPr>
            <w:r>
              <w:t>Group 2</w:t>
            </w:r>
          </w:p>
        </w:tc>
        <w:tc>
          <w:tcPr>
            <w:tcW w:w="0" w:type="auto"/>
          </w:tcPr>
          <w:p w14:paraId="25F99D1C" w14:textId="77777777" w:rsidR="00BD06C4" w:rsidRDefault="00BD06C4" w:rsidP="00BD06C4">
            <w:pPr>
              <w:pStyle w:val="NoSpacing"/>
            </w:pPr>
            <w:r>
              <w:t>1</w:t>
            </w:r>
            <w:r w:rsidRPr="00013ACB">
              <w:rPr>
                <w:vertAlign w:val="superscript"/>
              </w:rPr>
              <w:t>st</w:t>
            </w:r>
            <w:r>
              <w:t xml:space="preserve"> Round:</w:t>
            </w:r>
          </w:p>
          <w:p w14:paraId="740D068C" w14:textId="77777777" w:rsidR="00BD06C4" w:rsidRDefault="00BD06C4" w:rsidP="00BD06C4">
            <w:pPr>
              <w:pStyle w:val="NoSpacing"/>
            </w:pPr>
            <w:r w:rsidRPr="00C3536E">
              <w:t>July, 2019</w:t>
            </w:r>
          </w:p>
          <w:p w14:paraId="32C11EB9" w14:textId="77777777" w:rsidR="00BD06C4" w:rsidRDefault="00BD06C4" w:rsidP="00BD06C4">
            <w:pPr>
              <w:pStyle w:val="NoSpacing"/>
            </w:pPr>
          </w:p>
          <w:p w14:paraId="35C46E68" w14:textId="77777777" w:rsidR="00BD06C4" w:rsidRDefault="00BD06C4" w:rsidP="00BD06C4">
            <w:pPr>
              <w:pStyle w:val="NoSpacing"/>
            </w:pPr>
            <w:r>
              <w:t>2</w:t>
            </w:r>
            <w:r w:rsidRPr="00013ACB">
              <w:rPr>
                <w:vertAlign w:val="superscript"/>
              </w:rPr>
              <w:t>nd</w:t>
            </w:r>
            <w:r>
              <w:t xml:space="preserve"> Round:</w:t>
            </w:r>
          </w:p>
          <w:p w14:paraId="4BCC6565" w14:textId="77777777" w:rsidR="00BD06C4" w:rsidRDefault="00BD06C4" w:rsidP="00BD06C4">
            <w:pPr>
              <w:pStyle w:val="NoSpacing"/>
            </w:pPr>
            <w:r>
              <w:t>July, 2022</w:t>
            </w:r>
          </w:p>
          <w:p w14:paraId="7B5AB6D1" w14:textId="77777777" w:rsidR="00BD06C4" w:rsidRDefault="00BD06C4" w:rsidP="00BD06C4">
            <w:pPr>
              <w:pStyle w:val="NoSpacing"/>
            </w:pPr>
          </w:p>
          <w:p w14:paraId="62247C0A" w14:textId="77777777" w:rsidR="00BD06C4" w:rsidRDefault="00BD06C4" w:rsidP="00BD06C4">
            <w:pPr>
              <w:pStyle w:val="NoSpacing"/>
            </w:pPr>
            <w:r>
              <w:t>3</w:t>
            </w:r>
            <w:r w:rsidRPr="00013ACB">
              <w:rPr>
                <w:vertAlign w:val="superscript"/>
              </w:rPr>
              <w:t>rd</w:t>
            </w:r>
            <w:r>
              <w:t xml:space="preserve"> Round: </w:t>
            </w:r>
          </w:p>
          <w:p w14:paraId="2CB77F40" w14:textId="77777777" w:rsidR="00BD06C4" w:rsidRDefault="00BD06C4" w:rsidP="00BD06C4">
            <w:pPr>
              <w:pStyle w:val="NoSpacing"/>
            </w:pPr>
            <w:r>
              <w:t>July, 2025</w:t>
            </w:r>
          </w:p>
          <w:p w14:paraId="16997825" w14:textId="77777777" w:rsidR="00BD06C4" w:rsidRDefault="00BD06C4" w:rsidP="00BD06C4">
            <w:pPr>
              <w:pStyle w:val="NoSpacing"/>
            </w:pPr>
          </w:p>
          <w:p w14:paraId="18A2D845" w14:textId="77777777" w:rsidR="00BD06C4" w:rsidRDefault="00BD06C4" w:rsidP="00BD06C4">
            <w:pPr>
              <w:pStyle w:val="NoSpacing"/>
            </w:pPr>
            <w:r>
              <w:t>4</w:t>
            </w:r>
            <w:r w:rsidRPr="00013ACB">
              <w:rPr>
                <w:vertAlign w:val="superscript"/>
              </w:rPr>
              <w:t>th</w:t>
            </w:r>
            <w:r>
              <w:t xml:space="preserve"> Round: </w:t>
            </w:r>
          </w:p>
          <w:p w14:paraId="3A4F84B7" w14:textId="77777777" w:rsidR="00BD06C4" w:rsidRDefault="00BD06C4" w:rsidP="00BD06C4">
            <w:pPr>
              <w:pStyle w:val="NoSpacing"/>
            </w:pPr>
            <w:r>
              <w:t>July, 2028</w:t>
            </w:r>
          </w:p>
          <w:p w14:paraId="17A33C6C" w14:textId="77777777" w:rsidR="00BD06C4" w:rsidRDefault="00BD06C4" w:rsidP="00BD06C4">
            <w:pPr>
              <w:pStyle w:val="NoSpacing"/>
            </w:pPr>
          </w:p>
          <w:p w14:paraId="6C51A9D6" w14:textId="77777777" w:rsidR="00BD06C4" w:rsidRDefault="00BD06C4" w:rsidP="00BD06C4">
            <w:pPr>
              <w:pStyle w:val="NoSpacing"/>
            </w:pPr>
            <w:r>
              <w:t>5</w:t>
            </w:r>
            <w:r w:rsidRPr="00013ACB">
              <w:rPr>
                <w:vertAlign w:val="superscript"/>
              </w:rPr>
              <w:t>th</w:t>
            </w:r>
            <w:r>
              <w:t xml:space="preserve"> Round: </w:t>
            </w:r>
          </w:p>
          <w:p w14:paraId="13ED7633" w14:textId="77777777" w:rsidR="00BD06C4" w:rsidRDefault="00BD06C4" w:rsidP="00BD06C4">
            <w:pPr>
              <w:pStyle w:val="NoSpacing"/>
            </w:pPr>
            <w:r>
              <w:t>July, 2030</w:t>
            </w:r>
          </w:p>
          <w:p w14:paraId="317F4147" w14:textId="7A46C4A2" w:rsidR="00BD06C4" w:rsidRDefault="00BD06C4" w:rsidP="00BD06C4">
            <w:pPr>
              <w:pStyle w:val="NoSpacing"/>
            </w:pPr>
          </w:p>
        </w:tc>
        <w:tc>
          <w:tcPr>
            <w:tcW w:w="0" w:type="auto"/>
          </w:tcPr>
          <w:p w14:paraId="79F81A2E" w14:textId="77777777" w:rsidR="00BD06C4" w:rsidRDefault="00BD06C4" w:rsidP="00BD06C4">
            <w:pPr>
              <w:pStyle w:val="NoSpacing"/>
            </w:pPr>
            <w:r w:rsidRPr="00A41B47">
              <w:rPr>
                <w:szCs w:val="20"/>
              </w:rPr>
              <w:t>Data on the existence of freedom of information laws are available for at least 195 countries. However, for future data collection and analysis, efforts are underway to ensure that the data is analysed to yield information on aspects relating to how FOI laws are actually "implemented", rather than just their existence</w:t>
            </w:r>
            <w:r w:rsidRPr="00D200E9">
              <w:rPr>
                <w:sz w:val="18"/>
                <w:szCs w:val="18"/>
              </w:rPr>
              <w:t>.</w:t>
            </w:r>
          </w:p>
        </w:tc>
      </w:tr>
      <w:tr w:rsidR="00433EA3" w14:paraId="34142EBE" w14:textId="77777777" w:rsidTr="00D52BCB">
        <w:tc>
          <w:tcPr>
            <w:tcW w:w="0" w:type="auto"/>
            <w:gridSpan w:val="13"/>
          </w:tcPr>
          <w:p w14:paraId="04906F8D" w14:textId="77777777" w:rsidR="00433EA3" w:rsidRDefault="00433EA3" w:rsidP="00BD06C4">
            <w:pPr>
              <w:jc w:val="both"/>
              <w:rPr>
                <w:color w:val="0070C0"/>
                <w:sz w:val="48"/>
                <w:szCs w:val="48"/>
              </w:rPr>
            </w:pPr>
            <w:r>
              <w:rPr>
                <w:color w:val="0070C0"/>
                <w:sz w:val="30"/>
                <w:szCs w:val="30"/>
              </w:rPr>
              <w:lastRenderedPageBreak/>
              <w:t xml:space="preserve">Target </w:t>
            </w:r>
            <w:r w:rsidRPr="00DD1B91">
              <w:rPr>
                <w:color w:val="0070C0"/>
                <w:sz w:val="30"/>
                <w:szCs w:val="30"/>
              </w:rPr>
              <w:t>16.a Strengthen relevant national institutions, including through international cooperation, for building capacity at all levels, in particular in developing countries, to prevent violence and combat terrorism and crime</w:t>
            </w:r>
          </w:p>
        </w:tc>
      </w:tr>
      <w:tr w:rsidR="00BD06C4" w14:paraId="79105039" w14:textId="77777777" w:rsidTr="00A64F0D">
        <w:tc>
          <w:tcPr>
            <w:tcW w:w="0" w:type="auto"/>
          </w:tcPr>
          <w:p w14:paraId="0552038C" w14:textId="77777777" w:rsidR="00BD06C4" w:rsidRPr="00BA046C" w:rsidRDefault="00BD06C4" w:rsidP="00BD06C4">
            <w:pPr>
              <w:pStyle w:val="NoSpacing"/>
            </w:pPr>
            <w:r w:rsidRPr="00BB562B">
              <w:t>16.a.1 Existence of independent national human rights institutions in compliance with the Paris Principles</w:t>
            </w:r>
          </w:p>
        </w:tc>
        <w:tc>
          <w:tcPr>
            <w:tcW w:w="0" w:type="auto"/>
          </w:tcPr>
          <w:p w14:paraId="365EC124" w14:textId="77777777" w:rsidR="00BD06C4" w:rsidRDefault="00BD06C4" w:rsidP="00BD06C4">
            <w:pPr>
              <w:rPr>
                <w:b/>
                <w:bCs/>
                <w:szCs w:val="20"/>
              </w:rPr>
            </w:pPr>
          </w:p>
          <w:p w14:paraId="6C244D27" w14:textId="77777777" w:rsidR="00BD06C4" w:rsidRDefault="00BD06C4" w:rsidP="00BD06C4">
            <w:pPr>
              <w:pStyle w:val="NoSpacing"/>
            </w:pPr>
            <w:r w:rsidRPr="007145C8">
              <w:t>OHCHR</w:t>
            </w:r>
          </w:p>
        </w:tc>
        <w:tc>
          <w:tcPr>
            <w:tcW w:w="0" w:type="auto"/>
          </w:tcPr>
          <w:p w14:paraId="47B0D185" w14:textId="77777777" w:rsidR="00BD06C4" w:rsidRDefault="00BD06C4" w:rsidP="00BD06C4">
            <w:pPr>
              <w:ind w:left="970" w:hanging="970"/>
              <w:jc w:val="both"/>
              <w:rPr>
                <w:color w:val="0070C0"/>
                <w:sz w:val="30"/>
                <w:szCs w:val="30"/>
              </w:rPr>
            </w:pPr>
            <w:r>
              <w:t>Tier I</w:t>
            </w:r>
          </w:p>
        </w:tc>
        <w:tc>
          <w:tcPr>
            <w:tcW w:w="0" w:type="auto"/>
          </w:tcPr>
          <w:p w14:paraId="6562BAFF" w14:textId="77777777" w:rsidR="00BD06C4" w:rsidRPr="00120846" w:rsidRDefault="00BD06C4" w:rsidP="00BD06C4">
            <w:pPr>
              <w:pStyle w:val="NoSpacing"/>
              <w:rPr>
                <w:b/>
                <w:bCs/>
                <w:lang w:val="en-GB"/>
              </w:rPr>
            </w:pPr>
            <w:r w:rsidRPr="00120846">
              <w:rPr>
                <w:b/>
                <w:bCs/>
                <w:lang w:val="en-GB"/>
              </w:rPr>
              <w:t>Definition:</w:t>
            </w:r>
          </w:p>
          <w:p w14:paraId="17ACC71E" w14:textId="77777777" w:rsidR="00BD06C4" w:rsidRPr="00120846" w:rsidRDefault="00BD06C4" w:rsidP="00BD06C4">
            <w:pPr>
              <w:pStyle w:val="NoSpacing"/>
              <w:rPr>
                <w:lang w:val="en-GB"/>
              </w:rPr>
            </w:pPr>
          </w:p>
          <w:p w14:paraId="5A5F94C0" w14:textId="77777777" w:rsidR="00BD06C4" w:rsidRPr="00120846" w:rsidRDefault="00BD06C4" w:rsidP="00BD06C4">
            <w:pPr>
              <w:pStyle w:val="NoSpacing"/>
              <w:rPr>
                <w:lang w:val="en-GB"/>
              </w:rPr>
            </w:pPr>
            <w:r w:rsidRPr="00120846">
              <w:rPr>
                <w:lang w:val="en-GB"/>
              </w:rPr>
              <w:t>This indicator Existence of independent national human rights institutions in compliance with the Paris Principles measures the compliance of existing national human rights institutions with the Principles relating to the Status of National Institutions (The Paris Principles), which were adopted by the General Assembly (resolution 48/134) based on the rules of procedure of the Global Alliance of National Human Rights Institutions (GANHRI, formerly the International Coordinating Committee of National Institutions for the Promotion and Protection of Human Rights or ICC).</w:t>
            </w:r>
          </w:p>
          <w:p w14:paraId="1FDA7533" w14:textId="77777777" w:rsidR="00BD06C4" w:rsidRPr="00120846" w:rsidRDefault="00BD06C4" w:rsidP="00BD06C4">
            <w:pPr>
              <w:pStyle w:val="NoSpacing"/>
              <w:rPr>
                <w:b/>
                <w:bCs/>
                <w:lang w:val="en-GB"/>
              </w:rPr>
            </w:pPr>
          </w:p>
          <w:p w14:paraId="1ACEEB23" w14:textId="77777777" w:rsidR="00BD06C4" w:rsidRPr="00120846" w:rsidRDefault="00BD06C4" w:rsidP="00BD06C4">
            <w:pPr>
              <w:pStyle w:val="NoSpacing"/>
              <w:rPr>
                <w:b/>
                <w:bCs/>
                <w:lang w:val="en-GB"/>
              </w:rPr>
            </w:pPr>
            <w:r w:rsidRPr="00120846">
              <w:rPr>
                <w:b/>
                <w:bCs/>
                <w:lang w:val="en-GB"/>
              </w:rPr>
              <w:t>Concepts:</w:t>
            </w:r>
          </w:p>
          <w:p w14:paraId="0F1F6DBE" w14:textId="77777777" w:rsidR="00BD06C4" w:rsidRPr="00120846" w:rsidRDefault="00BD06C4" w:rsidP="00BD06C4">
            <w:pPr>
              <w:pStyle w:val="NoSpacing"/>
              <w:rPr>
                <w:lang w:val="en-GB"/>
              </w:rPr>
            </w:pPr>
          </w:p>
          <w:p w14:paraId="43C1C533" w14:textId="77777777" w:rsidR="00BD06C4" w:rsidRPr="00120846" w:rsidRDefault="00BD06C4" w:rsidP="00BD06C4">
            <w:pPr>
              <w:pStyle w:val="NoSpacing"/>
              <w:rPr>
                <w:lang w:val="en-GB"/>
              </w:rPr>
            </w:pPr>
            <w:r w:rsidRPr="00120846">
              <w:rPr>
                <w:lang w:val="en-GB"/>
              </w:rPr>
              <w:t xml:space="preserve">A National Human Rights Institution is an independent administrative body set up by a State to promote and protect human rights. NHRIs are State bodies with a constitutional and/or legislative mandate to protect and promote human rights. They are part of the State apparatus and are funded by the State. However, they operate and function independently from government. While their specific mandate may vary, the general role of NHRIs is to address discrimination in all its forms, as well as to promote the protection of civil, political, economic, social and cultural rights. Core functions of NHRIs include complaint handling, human rights education and making recommendations on law reform. Effective NHRIs are an important link between government and civil society, in so far as they help bridge the 'protection gap' between the rights of individuals and the responsibilities of the State. Six models of NHRIs exist across all regions of the world today, namely: Human rights commissions, Human rights ombudsman institutions, Hybrid institutions, Consultative and advisory bodies, Institutes and centers and multiple institutions. An Independent NHRI is an institution with ‘A level’ accreditation status as benchmarked against the Paris Principles. The process of accreditation is conducted through peer review by the Sub-Committee on Accreditation (SCA) of the GAHNRI. There are three possible types of accreditation: </w:t>
            </w:r>
          </w:p>
          <w:p w14:paraId="7BB711B0" w14:textId="77777777" w:rsidR="00BD06C4" w:rsidRPr="00120846" w:rsidRDefault="00BD06C4" w:rsidP="00BD06C4">
            <w:pPr>
              <w:pStyle w:val="NoSpacing"/>
              <w:rPr>
                <w:lang w:val="en-GB"/>
              </w:rPr>
            </w:pPr>
          </w:p>
          <w:p w14:paraId="392E76D0" w14:textId="77777777" w:rsidR="00BD06C4" w:rsidRPr="00120846" w:rsidRDefault="00BD06C4" w:rsidP="00BD06C4">
            <w:pPr>
              <w:pStyle w:val="NoSpacing"/>
              <w:rPr>
                <w:lang w:val="en-GB"/>
              </w:rPr>
            </w:pPr>
            <w:r w:rsidRPr="00120846">
              <w:rPr>
                <w:lang w:val="en-GB"/>
              </w:rPr>
              <w:t xml:space="preserve">A: Compliance with Paris Principles </w:t>
            </w:r>
          </w:p>
          <w:p w14:paraId="4690D65D" w14:textId="77777777" w:rsidR="00BD06C4" w:rsidRPr="00120846" w:rsidRDefault="00BD06C4" w:rsidP="00BD06C4">
            <w:pPr>
              <w:pStyle w:val="NoSpacing"/>
              <w:rPr>
                <w:lang w:val="en-GB"/>
              </w:rPr>
            </w:pPr>
            <w:r w:rsidRPr="00120846">
              <w:rPr>
                <w:lang w:val="en-GB"/>
              </w:rPr>
              <w:t xml:space="preserve">B: Observer Status – Not fully in compliance with the Paris Principles or insufficient information provided to make a determination </w:t>
            </w:r>
          </w:p>
          <w:p w14:paraId="3D7C8E98" w14:textId="77777777" w:rsidR="00BD06C4" w:rsidRPr="00120846" w:rsidRDefault="00BD06C4" w:rsidP="00BD06C4">
            <w:pPr>
              <w:pStyle w:val="NoSpacing"/>
              <w:rPr>
                <w:lang w:val="en-GB"/>
              </w:rPr>
            </w:pPr>
            <w:r w:rsidRPr="00120846">
              <w:rPr>
                <w:lang w:val="en-GB"/>
              </w:rPr>
              <w:t xml:space="preserve">C: Non-compliant with the Paris Principles </w:t>
            </w:r>
          </w:p>
          <w:p w14:paraId="6E772AC4" w14:textId="77777777" w:rsidR="00BD06C4" w:rsidRPr="00120846" w:rsidRDefault="00BD06C4" w:rsidP="00BD06C4">
            <w:pPr>
              <w:pStyle w:val="NoSpacing"/>
              <w:rPr>
                <w:lang w:val="en-GB"/>
              </w:rPr>
            </w:pPr>
          </w:p>
          <w:p w14:paraId="6CB0A154" w14:textId="77777777" w:rsidR="00BD06C4" w:rsidRPr="00120846" w:rsidRDefault="00BD06C4" w:rsidP="00BD06C4">
            <w:pPr>
              <w:pStyle w:val="NoSpacing"/>
              <w:rPr>
                <w:lang w:val="en-GB"/>
              </w:rPr>
            </w:pPr>
            <w:r w:rsidRPr="00120846">
              <w:rPr>
                <w:lang w:val="en-GB"/>
              </w:rPr>
              <w:t xml:space="preserve">Accreditation by the GANHRI entails a determination whether the NHRI is compliant, both in law and practice, with the Paris principles, the principal source of the normative standards for NHRIs, as well as with the General Observations developed by the SCA. Other international standards may also be taken into account by the SCA, including the </w:t>
            </w:r>
            <w:r w:rsidRPr="00120846">
              <w:rPr>
                <w:lang w:val="en-GB"/>
              </w:rPr>
              <w:lastRenderedPageBreak/>
              <w:t>provisions related to the establishment of national mechanisms in the Optional Protocol to the Convention against Torture and other Cruel, Inhuman or Degrading Treatment or Punishment as well as in the International Convention on the Rights of Persons with Disabilities. Likewise, the SCA looks at any NHRI-related recommendation from the international human rights mechanisms, notably, the Treaty Bodies, Universal Periodic Review (UPR) and special procedures. The process also looks into the effectiveness and level of engagement with international human rights systems.</w:t>
            </w:r>
          </w:p>
          <w:p w14:paraId="4F2A04BB" w14:textId="77777777" w:rsidR="00BD06C4" w:rsidRPr="00120846" w:rsidRDefault="00BD06C4" w:rsidP="00BD06C4">
            <w:pPr>
              <w:pStyle w:val="NoSpacing"/>
              <w:rPr>
                <w:lang w:val="en-GB"/>
              </w:rPr>
            </w:pPr>
          </w:p>
          <w:p w14:paraId="1A046575" w14:textId="77777777" w:rsidR="00BD06C4" w:rsidRPr="00120846" w:rsidRDefault="00BD06C4" w:rsidP="00BD06C4">
            <w:pPr>
              <w:pStyle w:val="NoSpacing"/>
              <w:rPr>
                <w:lang w:val="en-GB"/>
              </w:rPr>
            </w:pPr>
            <w:r w:rsidRPr="00120846">
              <w:rPr>
                <w:lang w:val="en-GB"/>
              </w:rPr>
              <w:t>The Principles relating to the Status of National Institutions (The Paris Principles) adopted by General Assembly, Resolution 48/134 of 20 December 1993 provide the international benchmarks against which NHRIs can be accredited by the GANHRI.</w:t>
            </w:r>
          </w:p>
          <w:p w14:paraId="35B50615" w14:textId="77777777" w:rsidR="00BD06C4" w:rsidRPr="00120846" w:rsidRDefault="00BD06C4" w:rsidP="00BD06C4">
            <w:pPr>
              <w:pStyle w:val="NoSpacing"/>
              <w:rPr>
                <w:lang w:val="en-GB"/>
              </w:rPr>
            </w:pPr>
          </w:p>
          <w:p w14:paraId="7CB71F87" w14:textId="77777777" w:rsidR="00BD06C4" w:rsidRPr="00120846" w:rsidRDefault="00BD06C4" w:rsidP="00BD06C4">
            <w:pPr>
              <w:pStyle w:val="NoSpacing"/>
              <w:rPr>
                <w:lang w:val="en-GB"/>
              </w:rPr>
            </w:pPr>
            <w:r w:rsidRPr="00120846">
              <w:rPr>
                <w:b/>
                <w:bCs/>
                <w:lang w:val="en-GB"/>
              </w:rPr>
              <w:t>Comments and limitations:</w:t>
            </w:r>
          </w:p>
          <w:p w14:paraId="18417E53" w14:textId="77777777" w:rsidR="00BD06C4" w:rsidRPr="00120846" w:rsidRDefault="00BD06C4" w:rsidP="00BD06C4">
            <w:pPr>
              <w:pStyle w:val="NoSpacing"/>
              <w:rPr>
                <w:lang w:val="en-GB"/>
              </w:rPr>
            </w:pPr>
            <w:r w:rsidRPr="00120846">
              <w:rPr>
                <w:lang w:val="en-GB"/>
              </w:rPr>
              <w:t xml:space="preserve">The important and constructive role of national institutions for the promotion and protection of human rights has been acknowledged in different United Nations instruments and resolutions, including the Final Document and Programme of Action of the 1993 World Conference on Human Rights in Vienna, GA resolutions A/RES/63/172 (2008) and A/RES/64/161 (2009) on National institutions for the promotion and protection of human rights. In addition, creation and strengthening of NHRIs have also been encouraged. For example, the 1993 GA resolution 48/134 ‘affirms the priority that should be accorded to the development of appropriate arrangements at the national level to ensure the effective implementation of international human rights standards’ while the 2008 GA resolution A/RES/63/169 encouraged states ‘to consider the creation or the strengthening of independent and autonomous Ombudsman, mediator and other national human rights institutions’. The Human Rights Council (HRC resolution 5/1, 2007) also called for the effective participation of national human rights institutions in its institution building package, which provides elements to guide its future work. </w:t>
            </w:r>
          </w:p>
          <w:p w14:paraId="2397E86E" w14:textId="77777777" w:rsidR="00BD06C4" w:rsidRPr="00120846" w:rsidRDefault="00BD06C4" w:rsidP="00BD06C4">
            <w:pPr>
              <w:pStyle w:val="NoSpacing"/>
              <w:rPr>
                <w:lang w:val="en-GB"/>
              </w:rPr>
            </w:pPr>
          </w:p>
          <w:p w14:paraId="15BC993B" w14:textId="77777777" w:rsidR="00BD06C4" w:rsidRPr="00120846" w:rsidRDefault="00BD06C4" w:rsidP="00BD06C4">
            <w:pPr>
              <w:pStyle w:val="NoSpacing"/>
              <w:rPr>
                <w:lang w:val="en-GB"/>
              </w:rPr>
            </w:pPr>
            <w:r w:rsidRPr="00120846">
              <w:rPr>
                <w:lang w:val="en-GB"/>
              </w:rPr>
              <w:t xml:space="preserve">UN treaty bodies have also recognized the crucial role that NHRIs represent in the effective implementation of treaty obligations and encouraged their creation (e.g. CERD General Comment 17, A/48/18 (1993); CESCR General Comment 10, E/C.12/1998/25; and CRC General Comment 2, CRC/GC/2002/2). A compilation of various recommendations and concluding observations relevant to NHRIs emanating from the international human rights mechanisms in the United Nations is available at: http://www.universalhumanrightsindex.org/. </w:t>
            </w:r>
          </w:p>
          <w:p w14:paraId="7F4F3B08" w14:textId="77777777" w:rsidR="00BD06C4" w:rsidRPr="00120846" w:rsidRDefault="00BD06C4" w:rsidP="00BD06C4">
            <w:pPr>
              <w:pStyle w:val="NoSpacing"/>
              <w:rPr>
                <w:lang w:val="en-GB"/>
              </w:rPr>
            </w:pPr>
          </w:p>
          <w:p w14:paraId="1D989081" w14:textId="77777777" w:rsidR="00BD06C4" w:rsidRPr="00120846" w:rsidRDefault="00BD06C4" w:rsidP="00BD06C4">
            <w:pPr>
              <w:pStyle w:val="NoSpacing"/>
              <w:rPr>
                <w:lang w:val="en-GB"/>
              </w:rPr>
            </w:pPr>
            <w:r w:rsidRPr="00120846">
              <w:rPr>
                <w:lang w:val="en-GB"/>
              </w:rPr>
              <w:t xml:space="preserve">The GANHRI is an international association of NHRIs which promotes and strengthens NHRIs to be in accordance with the Paris Principles and provides leadership in the promotion and protection of human rights (ICC Statute, Art. 5). Decisions on the classifications of NHRIs are based on their submitted documents such as: 1) copy of legislation or other instrument by which it is established and empowered in its official or published format (e.g. statute, and /or constitutional provisions, and/or presidential decree, 2) outline of organizational structure including details of staff and annual budget, 3) copy of recent published annual report; 4) detailed statement showing how it complies with the Paris Principles. NHRIs that hold ‘A’ and ‘B’ status are reviewed every five years. Civil society organizations may also provide relevant information to OHCHR pertaining to any accreditation matter. </w:t>
            </w:r>
          </w:p>
          <w:p w14:paraId="00EC5C3D" w14:textId="77777777" w:rsidR="00BD06C4" w:rsidRPr="00120846" w:rsidRDefault="00BD06C4" w:rsidP="00BD06C4">
            <w:pPr>
              <w:pStyle w:val="NoSpacing"/>
              <w:rPr>
                <w:lang w:val="en-GB"/>
              </w:rPr>
            </w:pPr>
          </w:p>
          <w:p w14:paraId="069B4C8E" w14:textId="77777777" w:rsidR="00BD06C4" w:rsidRPr="00120846" w:rsidRDefault="00BD06C4" w:rsidP="00BD06C4">
            <w:pPr>
              <w:pStyle w:val="NoSpacing"/>
              <w:rPr>
                <w:lang w:val="en-GB"/>
              </w:rPr>
            </w:pPr>
            <w:r w:rsidRPr="00120846">
              <w:rPr>
                <w:lang w:val="en-GB"/>
              </w:rPr>
              <w:lastRenderedPageBreak/>
              <w:t>Accreditation of NHRIs shows that the government supports human rights work in the country. However their effectiveness should also be measured based on their ability to gain public trust and the quality of their human rights work. In this context, it would also be worthwhile to look into the responses of the NHRI to the recommendations of the GANHRI. Likewise, the inputs from the NHRI while engaging with the international human rights mechanisms (i.e. submissions to the Human Rights Council, including UPR, and to the treaty bodies) represent a valuable source of information on how NHRIs carry out their mandate in reference to international human rights instruments.</w:t>
            </w:r>
          </w:p>
          <w:p w14:paraId="0ED4A680" w14:textId="77777777" w:rsidR="00BD06C4" w:rsidRDefault="00BD06C4" w:rsidP="00BD06C4">
            <w:pPr>
              <w:pStyle w:val="NoSpacing"/>
              <w:rPr>
                <w:b/>
                <w:bCs/>
                <w:lang w:val="en-GB"/>
              </w:rPr>
            </w:pPr>
          </w:p>
          <w:p w14:paraId="0F044358" w14:textId="77777777" w:rsidR="00BD06C4" w:rsidRDefault="00BD06C4" w:rsidP="00BD06C4">
            <w:pPr>
              <w:pStyle w:val="NoSpacing"/>
              <w:rPr>
                <w:b/>
                <w:bCs/>
                <w:lang w:val="en-GB"/>
              </w:rPr>
            </w:pPr>
          </w:p>
          <w:p w14:paraId="31983C13" w14:textId="77777777" w:rsidR="00BD06C4" w:rsidRDefault="00BD06C4" w:rsidP="00BD06C4">
            <w:pPr>
              <w:pStyle w:val="NoSpacing"/>
              <w:rPr>
                <w:b/>
                <w:bCs/>
                <w:lang w:val="en-GB"/>
              </w:rPr>
            </w:pPr>
          </w:p>
          <w:p w14:paraId="38457E46" w14:textId="77777777" w:rsidR="00BD06C4" w:rsidRPr="00120846" w:rsidRDefault="00BD06C4" w:rsidP="00BD06C4">
            <w:pPr>
              <w:pStyle w:val="NoSpacing"/>
              <w:rPr>
                <w:b/>
                <w:bCs/>
                <w:lang w:val="en-GB"/>
              </w:rPr>
            </w:pPr>
          </w:p>
          <w:p w14:paraId="5D0A1985" w14:textId="77777777" w:rsidR="00BD06C4" w:rsidRPr="00120846" w:rsidRDefault="00BD06C4" w:rsidP="00BD06C4">
            <w:pPr>
              <w:pStyle w:val="NoSpacing"/>
              <w:rPr>
                <w:lang w:val="en-GB"/>
              </w:rPr>
            </w:pPr>
            <w:r w:rsidRPr="00120846">
              <w:rPr>
                <w:b/>
                <w:bCs/>
                <w:lang w:val="en-GB"/>
              </w:rPr>
              <w:t>Computation Method:</w:t>
            </w:r>
          </w:p>
          <w:p w14:paraId="6781F834" w14:textId="77777777" w:rsidR="00BD06C4" w:rsidRPr="00882EAD" w:rsidRDefault="00BD06C4" w:rsidP="00BD06C4">
            <w:pPr>
              <w:pStyle w:val="NoSpacing"/>
              <w:rPr>
                <w:lang w:val="en-GB"/>
              </w:rPr>
            </w:pPr>
            <w:r w:rsidRPr="00120846">
              <w:rPr>
                <w:lang w:val="en-GB"/>
              </w:rPr>
              <w:t>In terms of method of computation, the indicator is computed as the accreditation classification</w:t>
            </w:r>
            <w:r>
              <w:rPr>
                <w:lang w:val="en-GB"/>
              </w:rPr>
              <w:t>, namely A, B or C of the NHRI.</w:t>
            </w:r>
          </w:p>
        </w:tc>
        <w:tc>
          <w:tcPr>
            <w:tcW w:w="0" w:type="auto"/>
          </w:tcPr>
          <w:p w14:paraId="001BCA85" w14:textId="77777777" w:rsidR="00BD06C4" w:rsidRPr="00873FDE" w:rsidRDefault="00BD06C4" w:rsidP="00BD06C4">
            <w:pPr>
              <w:rPr>
                <w:szCs w:val="22"/>
              </w:rPr>
            </w:pPr>
            <w:r w:rsidRPr="00873FDE">
              <w:rPr>
                <w:szCs w:val="22"/>
              </w:rPr>
              <w:lastRenderedPageBreak/>
              <w:t xml:space="preserve">An international survey is sent to national human rights institution, which fill it in and send it back to the international mechanism. The latter also use complementary information, if available, received from civil society organizations. National human rights institutions seeking accreditation have to submit detailed information about their practices and how they directly promote compliance with the Paris Principles, namely the Principles relating to the Status of National Institutions that were adopted by the General Assembly (resolution 48/134). </w:t>
            </w:r>
            <w:r w:rsidRPr="00873FDE">
              <w:rPr>
                <w:szCs w:val="22"/>
              </w:rPr>
              <w:lastRenderedPageBreak/>
              <w:t xml:space="preserve">Information to be submitted relates to: 1) Guarantee of tenure for members of the National Human Rights Institution decision-making body; 2) full-time members of a National Human Rights Institution; 3) Guarantee of functional immunity; 4) Recruitment and retention of National Human Rights Institution staff; 5) Staffing of the National Human Rights Institution by secondment; 6) National Human Rights Institutions during the situation of a coup d’état or a state of emergency; 7) Limitation of power of National Human Rights Institutions due to national security; 8) Administrative regulation of National Human Rights Institutions; 9) Assessing National Human Rights Institutions </w:t>
            </w:r>
            <w:r w:rsidRPr="00873FDE">
              <w:rPr>
                <w:szCs w:val="22"/>
              </w:rPr>
              <w:lastRenderedPageBreak/>
              <w:t>as National Preventive and National Monitoring Mechanisms; 10) The quasi-judicial competency of National Human Rights Institutions (complaints-handling). Based on the information received, the process of accreditation is conducted through peer review by the Sub-Committee on Accreditation (SCA) of GANHRI.</w:t>
            </w:r>
          </w:p>
        </w:tc>
        <w:tc>
          <w:tcPr>
            <w:tcW w:w="0" w:type="auto"/>
          </w:tcPr>
          <w:p w14:paraId="45350BCF" w14:textId="77777777" w:rsidR="00BD06C4" w:rsidRPr="00873FDE" w:rsidRDefault="00BD06C4" w:rsidP="00BD06C4">
            <w:pPr>
              <w:rPr>
                <w:szCs w:val="22"/>
              </w:rPr>
            </w:pPr>
            <w:r w:rsidRPr="00873FDE">
              <w:rPr>
                <w:szCs w:val="22"/>
              </w:rPr>
              <w:lastRenderedPageBreak/>
              <w:t>National human rights institution</w:t>
            </w:r>
          </w:p>
        </w:tc>
        <w:tc>
          <w:tcPr>
            <w:tcW w:w="0" w:type="auto"/>
          </w:tcPr>
          <w:p w14:paraId="3324B6F3" w14:textId="4ED36EAD" w:rsidR="00BD06C4" w:rsidRPr="00D91C6A" w:rsidRDefault="00BD06C4" w:rsidP="00BD06C4">
            <w:pPr>
              <w:pStyle w:val="NoSpacing"/>
            </w:pPr>
          </w:p>
        </w:tc>
        <w:tc>
          <w:tcPr>
            <w:tcW w:w="0" w:type="auto"/>
          </w:tcPr>
          <w:p w14:paraId="228B536F" w14:textId="77777777" w:rsidR="00BD06C4" w:rsidRPr="00D91C6A" w:rsidRDefault="00BD06C4" w:rsidP="00BD06C4">
            <w:pPr>
              <w:pStyle w:val="NoSpacing"/>
            </w:pPr>
            <w:r w:rsidRPr="00D91C6A">
              <w:t>MoFA (UPR)</w:t>
            </w:r>
            <w:r w:rsidRPr="00D91C6A">
              <w:br/>
              <w:t>b) NHRC</w:t>
            </w:r>
          </w:p>
          <w:p w14:paraId="560C83EB" w14:textId="77777777" w:rsidR="00BD06C4" w:rsidRPr="00D91C6A" w:rsidRDefault="00BD06C4" w:rsidP="00BD06C4">
            <w:pPr>
              <w:pStyle w:val="NoSpacing"/>
            </w:pPr>
            <w:r w:rsidRPr="00D91C6A">
              <w:t>Administrative Data</w:t>
            </w:r>
          </w:p>
        </w:tc>
        <w:tc>
          <w:tcPr>
            <w:tcW w:w="0" w:type="auto"/>
          </w:tcPr>
          <w:p w14:paraId="392DA9DC" w14:textId="02FEE253" w:rsidR="00BD06C4" w:rsidRDefault="007D6E99" w:rsidP="00BD06C4">
            <w:pPr>
              <w:ind w:left="970" w:hanging="970"/>
              <w:jc w:val="both"/>
              <w:rPr>
                <w:color w:val="0070C0"/>
                <w:sz w:val="30"/>
                <w:szCs w:val="30"/>
              </w:rPr>
            </w:pPr>
            <w:r w:rsidRPr="000C4849">
              <w:rPr>
                <w:color w:val="0070C0"/>
                <w:szCs w:val="30"/>
              </w:rPr>
              <w:t>Not Applicable</w:t>
            </w:r>
          </w:p>
        </w:tc>
        <w:tc>
          <w:tcPr>
            <w:tcW w:w="0" w:type="auto"/>
          </w:tcPr>
          <w:p w14:paraId="27DA2E72" w14:textId="77777777" w:rsidR="00BD06C4" w:rsidRDefault="00BD06C4" w:rsidP="00BD06C4">
            <w:pPr>
              <w:ind w:left="970" w:hanging="970"/>
              <w:jc w:val="both"/>
              <w:rPr>
                <w:color w:val="0070C0"/>
                <w:sz w:val="30"/>
                <w:szCs w:val="30"/>
              </w:rPr>
            </w:pPr>
            <w:r w:rsidRPr="004E6FA2">
              <w:t>Triennial</w:t>
            </w:r>
          </w:p>
        </w:tc>
        <w:tc>
          <w:tcPr>
            <w:tcW w:w="0" w:type="auto"/>
          </w:tcPr>
          <w:p w14:paraId="783496DD" w14:textId="77777777" w:rsidR="00BD06C4" w:rsidRDefault="00BD06C4" w:rsidP="00BD06C4">
            <w:pPr>
              <w:ind w:left="970" w:hanging="970"/>
              <w:jc w:val="both"/>
              <w:rPr>
                <w:color w:val="0070C0"/>
                <w:sz w:val="30"/>
                <w:szCs w:val="30"/>
              </w:rPr>
            </w:pPr>
            <w:r>
              <w:t>Group 2</w:t>
            </w:r>
          </w:p>
        </w:tc>
        <w:tc>
          <w:tcPr>
            <w:tcW w:w="0" w:type="auto"/>
          </w:tcPr>
          <w:p w14:paraId="75E857D8" w14:textId="77777777" w:rsidR="00BD06C4" w:rsidRDefault="00BD06C4" w:rsidP="00BD06C4">
            <w:pPr>
              <w:pStyle w:val="NoSpacing"/>
            </w:pPr>
            <w:r>
              <w:t>1</w:t>
            </w:r>
            <w:r w:rsidRPr="00013ACB">
              <w:rPr>
                <w:vertAlign w:val="superscript"/>
              </w:rPr>
              <w:t>st</w:t>
            </w:r>
            <w:r>
              <w:t xml:space="preserve"> Round:</w:t>
            </w:r>
          </w:p>
          <w:p w14:paraId="6D7EE630" w14:textId="77777777" w:rsidR="00BD06C4" w:rsidRDefault="00BD06C4" w:rsidP="00BD06C4">
            <w:pPr>
              <w:pStyle w:val="NoSpacing"/>
            </w:pPr>
            <w:r w:rsidRPr="00C3536E">
              <w:t>July, 2019</w:t>
            </w:r>
          </w:p>
          <w:p w14:paraId="3851AEDB" w14:textId="77777777" w:rsidR="00BD06C4" w:rsidRDefault="00BD06C4" w:rsidP="00BD06C4">
            <w:pPr>
              <w:pStyle w:val="NoSpacing"/>
            </w:pPr>
          </w:p>
          <w:p w14:paraId="30ADE54C" w14:textId="77777777" w:rsidR="00BD06C4" w:rsidRDefault="00BD06C4" w:rsidP="00BD06C4">
            <w:pPr>
              <w:pStyle w:val="NoSpacing"/>
            </w:pPr>
            <w:r>
              <w:t>2</w:t>
            </w:r>
            <w:r w:rsidRPr="00013ACB">
              <w:rPr>
                <w:vertAlign w:val="superscript"/>
              </w:rPr>
              <w:t>nd</w:t>
            </w:r>
            <w:r>
              <w:t xml:space="preserve"> Round:</w:t>
            </w:r>
          </w:p>
          <w:p w14:paraId="1A425101" w14:textId="77777777" w:rsidR="00BD06C4" w:rsidRDefault="00BD06C4" w:rsidP="00BD06C4">
            <w:pPr>
              <w:pStyle w:val="NoSpacing"/>
            </w:pPr>
            <w:r>
              <w:t xml:space="preserve"> July 2022</w:t>
            </w:r>
          </w:p>
          <w:p w14:paraId="7D2A5645" w14:textId="77777777" w:rsidR="00BD06C4" w:rsidRDefault="00BD06C4" w:rsidP="00BD06C4">
            <w:pPr>
              <w:pStyle w:val="NoSpacing"/>
            </w:pPr>
          </w:p>
          <w:p w14:paraId="5C3C9D23" w14:textId="77777777" w:rsidR="00BD06C4" w:rsidRDefault="00BD06C4" w:rsidP="00BD06C4">
            <w:pPr>
              <w:pStyle w:val="NoSpacing"/>
            </w:pPr>
            <w:r>
              <w:t>3</w:t>
            </w:r>
            <w:r w:rsidRPr="00013ACB">
              <w:rPr>
                <w:vertAlign w:val="superscript"/>
              </w:rPr>
              <w:t>rd</w:t>
            </w:r>
            <w:r>
              <w:t xml:space="preserve"> Round: </w:t>
            </w:r>
          </w:p>
          <w:p w14:paraId="1C651C29" w14:textId="77777777" w:rsidR="00BD06C4" w:rsidRDefault="00BD06C4" w:rsidP="00BD06C4">
            <w:pPr>
              <w:pStyle w:val="NoSpacing"/>
            </w:pPr>
            <w:r>
              <w:t>July 2025</w:t>
            </w:r>
          </w:p>
          <w:p w14:paraId="6DF61F91" w14:textId="77777777" w:rsidR="00BD06C4" w:rsidRDefault="00BD06C4" w:rsidP="00BD06C4">
            <w:pPr>
              <w:pStyle w:val="NoSpacing"/>
            </w:pPr>
          </w:p>
          <w:p w14:paraId="1625F33E" w14:textId="77777777" w:rsidR="00BD06C4" w:rsidRDefault="00BD06C4" w:rsidP="00BD06C4">
            <w:pPr>
              <w:pStyle w:val="NoSpacing"/>
            </w:pPr>
            <w:r>
              <w:t>4</w:t>
            </w:r>
            <w:r w:rsidRPr="00013ACB">
              <w:rPr>
                <w:vertAlign w:val="superscript"/>
              </w:rPr>
              <w:t>th</w:t>
            </w:r>
            <w:r>
              <w:t xml:space="preserve"> Round: </w:t>
            </w:r>
          </w:p>
          <w:p w14:paraId="48F144D9" w14:textId="77777777" w:rsidR="00BD06C4" w:rsidRDefault="00BD06C4" w:rsidP="00BD06C4">
            <w:pPr>
              <w:pStyle w:val="NoSpacing"/>
            </w:pPr>
            <w:r>
              <w:t>July 2028</w:t>
            </w:r>
          </w:p>
          <w:p w14:paraId="6AEB22EE" w14:textId="77777777" w:rsidR="00BD06C4" w:rsidRDefault="00BD06C4" w:rsidP="00BD06C4">
            <w:pPr>
              <w:pStyle w:val="NoSpacing"/>
            </w:pPr>
          </w:p>
          <w:p w14:paraId="59A7E617" w14:textId="77777777" w:rsidR="00BD06C4" w:rsidRDefault="00BD06C4" w:rsidP="00BD06C4">
            <w:pPr>
              <w:pStyle w:val="NoSpacing"/>
            </w:pPr>
            <w:r>
              <w:t>5</w:t>
            </w:r>
            <w:r w:rsidRPr="00013ACB">
              <w:rPr>
                <w:vertAlign w:val="superscript"/>
              </w:rPr>
              <w:t>th</w:t>
            </w:r>
            <w:r>
              <w:t xml:space="preserve"> Round: </w:t>
            </w:r>
          </w:p>
          <w:p w14:paraId="148C991E" w14:textId="2049CF92" w:rsidR="00BD06C4" w:rsidRDefault="00BD06C4" w:rsidP="00BD06C4">
            <w:pPr>
              <w:pStyle w:val="NoSpacing"/>
            </w:pPr>
            <w:r>
              <w:t>July 2030</w:t>
            </w:r>
          </w:p>
        </w:tc>
        <w:tc>
          <w:tcPr>
            <w:tcW w:w="0" w:type="auto"/>
          </w:tcPr>
          <w:p w14:paraId="70DADF0D" w14:textId="77777777" w:rsidR="00BD06C4" w:rsidRPr="00D200E9" w:rsidRDefault="00BD06C4" w:rsidP="00BD06C4">
            <w:pPr>
              <w:spacing w:line="276" w:lineRule="auto"/>
              <w:rPr>
                <w:sz w:val="16"/>
                <w:szCs w:val="16"/>
              </w:rPr>
            </w:pPr>
            <w:r w:rsidRPr="00D200E9">
              <w:rPr>
                <w:sz w:val="16"/>
                <w:szCs w:val="16"/>
              </w:rPr>
              <w:t>Fully compliant with the Paris Principles: 79</w:t>
            </w:r>
          </w:p>
          <w:p w14:paraId="17ABD6AF" w14:textId="77777777" w:rsidR="00BD06C4" w:rsidRPr="00D200E9" w:rsidRDefault="00BD06C4" w:rsidP="00BD06C4">
            <w:pPr>
              <w:spacing w:line="276" w:lineRule="auto"/>
              <w:rPr>
                <w:sz w:val="16"/>
                <w:szCs w:val="16"/>
              </w:rPr>
            </w:pPr>
          </w:p>
          <w:p w14:paraId="3657ACD9" w14:textId="77777777" w:rsidR="00BD06C4" w:rsidRPr="00D200E9" w:rsidRDefault="00BD06C4" w:rsidP="00BD06C4">
            <w:pPr>
              <w:spacing w:line="276" w:lineRule="auto"/>
              <w:rPr>
                <w:sz w:val="16"/>
                <w:szCs w:val="16"/>
              </w:rPr>
            </w:pPr>
            <w:r w:rsidRPr="00D200E9">
              <w:rPr>
                <w:sz w:val="16"/>
                <w:szCs w:val="16"/>
              </w:rPr>
              <w:t>Partially compliant with the Paris Principles: 33 (including Bangladesh)</w:t>
            </w:r>
          </w:p>
          <w:p w14:paraId="5C8EE04A" w14:textId="77777777" w:rsidR="00BD06C4" w:rsidRPr="00D200E9" w:rsidRDefault="00BD06C4" w:rsidP="00BD06C4">
            <w:pPr>
              <w:spacing w:line="276" w:lineRule="auto"/>
              <w:rPr>
                <w:sz w:val="16"/>
                <w:szCs w:val="16"/>
              </w:rPr>
            </w:pPr>
          </w:p>
          <w:p w14:paraId="703F6074" w14:textId="77777777" w:rsidR="00BD06C4" w:rsidRDefault="00BD06C4" w:rsidP="00BD06C4">
            <w:pPr>
              <w:pStyle w:val="NoSpacing"/>
              <w:rPr>
                <w:sz w:val="16"/>
                <w:szCs w:val="16"/>
              </w:rPr>
            </w:pPr>
            <w:r w:rsidRPr="00D200E9">
              <w:rPr>
                <w:sz w:val="16"/>
                <w:szCs w:val="16"/>
              </w:rPr>
              <w:t>Non-compliance with the Paris Principles: 10</w:t>
            </w:r>
          </w:p>
          <w:p w14:paraId="4A643FB8" w14:textId="77777777" w:rsidR="00BD06C4" w:rsidRDefault="00BD06C4" w:rsidP="00BD06C4">
            <w:pPr>
              <w:pStyle w:val="NoSpacing"/>
              <w:rPr>
                <w:sz w:val="16"/>
                <w:szCs w:val="16"/>
              </w:rPr>
            </w:pPr>
          </w:p>
          <w:p w14:paraId="02ED602C" w14:textId="77777777" w:rsidR="00BD06C4" w:rsidRDefault="00BD06C4" w:rsidP="00BD06C4">
            <w:pPr>
              <w:pStyle w:val="NoSpacing"/>
            </w:pPr>
            <w:r>
              <w:t>Data availability reviewed in Oct. 2019</w:t>
            </w:r>
          </w:p>
          <w:p w14:paraId="678F21CB" w14:textId="77777777" w:rsidR="00BD06C4" w:rsidRDefault="00BD06C4" w:rsidP="00BD06C4">
            <w:pPr>
              <w:pStyle w:val="NoSpacing"/>
            </w:pPr>
            <w:r>
              <w:t>(classified as Tier I)</w:t>
            </w:r>
          </w:p>
        </w:tc>
      </w:tr>
      <w:tr w:rsidR="00771CB6" w14:paraId="67DA99BD" w14:textId="77777777" w:rsidTr="00771CB6">
        <w:tc>
          <w:tcPr>
            <w:tcW w:w="0" w:type="auto"/>
            <w:gridSpan w:val="13"/>
          </w:tcPr>
          <w:p w14:paraId="6A2D531E" w14:textId="77777777" w:rsidR="00771CB6" w:rsidRDefault="00771CB6" w:rsidP="00BD06C4">
            <w:pPr>
              <w:jc w:val="both"/>
              <w:rPr>
                <w:color w:val="0070C0"/>
                <w:sz w:val="48"/>
                <w:szCs w:val="48"/>
              </w:rPr>
            </w:pPr>
            <w:r>
              <w:rPr>
                <w:color w:val="0070C0"/>
                <w:sz w:val="30"/>
                <w:szCs w:val="30"/>
              </w:rPr>
              <w:lastRenderedPageBreak/>
              <w:t xml:space="preserve">Target </w:t>
            </w:r>
            <w:r w:rsidRPr="00DD1B91">
              <w:rPr>
                <w:color w:val="0070C0"/>
                <w:sz w:val="30"/>
                <w:szCs w:val="30"/>
              </w:rPr>
              <w:t>16.b Promote and enforce non-discriminatory laws and policies for sustainable development</w:t>
            </w:r>
          </w:p>
        </w:tc>
      </w:tr>
      <w:tr w:rsidR="00BD06C4" w14:paraId="6A5E9192" w14:textId="77777777" w:rsidTr="00A64F0D">
        <w:tc>
          <w:tcPr>
            <w:tcW w:w="0" w:type="auto"/>
          </w:tcPr>
          <w:p w14:paraId="4848D175" w14:textId="77777777" w:rsidR="00BD06C4" w:rsidRPr="00BB562B" w:rsidRDefault="00BD06C4" w:rsidP="00BD06C4">
            <w:pPr>
              <w:pStyle w:val="NoSpacing"/>
            </w:pPr>
            <w:r w:rsidRPr="00BB562B">
              <w:t xml:space="preserve">16.b.1 Proportion of population reporting having personally felt discriminated against or harassed </w:t>
            </w:r>
            <w:r w:rsidRPr="00BB562B">
              <w:lastRenderedPageBreak/>
              <w:t>in the previous 12 months on the basis of a ground of discrimination prohibited under international human rights law</w:t>
            </w:r>
          </w:p>
        </w:tc>
        <w:tc>
          <w:tcPr>
            <w:tcW w:w="0" w:type="auto"/>
          </w:tcPr>
          <w:p w14:paraId="2C9861A0" w14:textId="77777777" w:rsidR="00BD06C4" w:rsidRDefault="00BD06C4" w:rsidP="00BD06C4">
            <w:pPr>
              <w:ind w:left="970" w:hanging="970"/>
              <w:jc w:val="both"/>
              <w:rPr>
                <w:color w:val="0070C0"/>
                <w:sz w:val="30"/>
                <w:szCs w:val="30"/>
              </w:rPr>
            </w:pPr>
          </w:p>
          <w:p w14:paraId="6CE61515" w14:textId="77777777" w:rsidR="00BD06C4" w:rsidRDefault="00BD06C4" w:rsidP="00BD06C4">
            <w:pPr>
              <w:pStyle w:val="NoSpacing"/>
            </w:pPr>
            <w:r w:rsidRPr="007145C8">
              <w:t>OHCHR</w:t>
            </w:r>
          </w:p>
        </w:tc>
        <w:tc>
          <w:tcPr>
            <w:tcW w:w="0" w:type="auto"/>
          </w:tcPr>
          <w:p w14:paraId="51C3BE4A" w14:textId="77777777" w:rsidR="00BD06C4" w:rsidRDefault="00BD06C4" w:rsidP="00BD06C4">
            <w:pPr>
              <w:ind w:left="970" w:hanging="970"/>
              <w:jc w:val="both"/>
              <w:rPr>
                <w:color w:val="0070C0"/>
                <w:sz w:val="30"/>
                <w:szCs w:val="30"/>
              </w:rPr>
            </w:pPr>
            <w:r w:rsidRPr="00666BAB">
              <w:t>Tier II</w:t>
            </w:r>
          </w:p>
        </w:tc>
        <w:tc>
          <w:tcPr>
            <w:tcW w:w="0" w:type="auto"/>
          </w:tcPr>
          <w:p w14:paraId="5D67F9DE" w14:textId="77777777" w:rsidR="00BD06C4" w:rsidRPr="009C40F4" w:rsidRDefault="00BD06C4" w:rsidP="00BD06C4">
            <w:pPr>
              <w:pStyle w:val="NoSpacing"/>
              <w:rPr>
                <w:lang w:val="en-GB"/>
              </w:rPr>
            </w:pPr>
            <w:r w:rsidRPr="009C40F4">
              <w:rPr>
                <w:b/>
                <w:bCs/>
                <w:lang w:val="en-GB"/>
              </w:rPr>
              <w:t>Definition:</w:t>
            </w:r>
          </w:p>
          <w:p w14:paraId="78E9A372" w14:textId="77777777" w:rsidR="00BD06C4" w:rsidRPr="009C40F4" w:rsidRDefault="00BD06C4" w:rsidP="00BD06C4">
            <w:pPr>
              <w:pStyle w:val="NoSpacing"/>
              <w:rPr>
                <w:lang w:val="en-GB"/>
              </w:rPr>
            </w:pPr>
            <w:r w:rsidRPr="009C40F4">
              <w:rPr>
                <w:lang w:val="en-GB"/>
              </w:rPr>
              <w:t>This indicator is defined as the proportion of the population (adults) who self-report that they personally experienced discrimination or harassment during the last 12 months based on ground(s) prohibited by international human rights law. International human rights law refers to the body of international legal instruments aiming to promote and protect human rights, including the Universal Declaration of Human Rights and subsequent international human rights treaties adopted by the United Nations.</w:t>
            </w:r>
          </w:p>
          <w:p w14:paraId="36303889" w14:textId="77777777" w:rsidR="00BD06C4" w:rsidRPr="009C40F4" w:rsidRDefault="00BD06C4" w:rsidP="00BD06C4">
            <w:pPr>
              <w:pStyle w:val="NoSpacing"/>
              <w:rPr>
                <w:b/>
                <w:bCs/>
                <w:lang w:val="en-GB"/>
              </w:rPr>
            </w:pPr>
          </w:p>
          <w:p w14:paraId="72F5BDCD" w14:textId="77777777" w:rsidR="00BD06C4" w:rsidRPr="009C40F4" w:rsidRDefault="00BD06C4" w:rsidP="00BD06C4">
            <w:pPr>
              <w:pStyle w:val="NoSpacing"/>
              <w:rPr>
                <w:lang w:val="en-GB"/>
              </w:rPr>
            </w:pPr>
            <w:r w:rsidRPr="009C40F4">
              <w:rPr>
                <w:b/>
                <w:bCs/>
                <w:lang w:val="en-GB"/>
              </w:rPr>
              <w:t>Concepts:</w:t>
            </w:r>
          </w:p>
          <w:p w14:paraId="587F601A" w14:textId="77777777" w:rsidR="00BD06C4" w:rsidRPr="009C40F4" w:rsidRDefault="00BD06C4" w:rsidP="00BD06C4">
            <w:pPr>
              <w:pStyle w:val="NoSpacing"/>
              <w:rPr>
                <w:lang w:val="en-GB"/>
              </w:rPr>
            </w:pPr>
            <w:r w:rsidRPr="009C40F4">
              <w:rPr>
                <w:lang w:val="en-GB"/>
              </w:rPr>
              <w:t>Discrimination is any distinction, exclusion, restriction or preference or other differential treatment that is directly or indirectly based on prohibited grounds of discrimination, and which has the intention or effect of nullifying or impairing the recognition, enjoyment or exercise, on an equal footing, of human rights and fundamental freedoms in the political, economic, social, cultural or any other field of public life.</w:t>
            </w:r>
            <w:r w:rsidRPr="009C40F4">
              <w:rPr>
                <w:vertAlign w:val="superscript"/>
                <w:lang w:val="en-GB"/>
              </w:rPr>
              <w:footnoteReference w:id="103"/>
            </w:r>
            <w:r w:rsidRPr="009C40F4">
              <w:rPr>
                <w:lang w:val="en-GB"/>
              </w:rPr>
              <w:t xml:space="preserve">  Harassment is a form of discrimination when it is also </w:t>
            </w:r>
            <w:r w:rsidRPr="009C40F4">
              <w:rPr>
                <w:lang w:val="en-GB"/>
              </w:rPr>
              <w:lastRenderedPageBreak/>
              <w:t>based on prohibited grounds of discrimination. Harassment may take the form of words, gestures or actions, which tend to annoy, alarm, abuse, demean, intimidate, belittle, humiliate or embarrass another or which create an intimidating, hostile or offensive environment. While generally involving a pattern of behaviours, harassment can take the form of a single incident.</w:t>
            </w:r>
            <w:r w:rsidRPr="009C40F4">
              <w:rPr>
                <w:vertAlign w:val="superscript"/>
                <w:lang w:val="en-GB"/>
              </w:rPr>
              <w:footnoteReference w:id="104"/>
            </w:r>
          </w:p>
          <w:p w14:paraId="29969E63" w14:textId="77777777" w:rsidR="00BD06C4" w:rsidRPr="009C40F4" w:rsidRDefault="00BD06C4" w:rsidP="00BD06C4">
            <w:pPr>
              <w:pStyle w:val="NoSpacing"/>
              <w:rPr>
                <w:lang w:val="en-GB"/>
              </w:rPr>
            </w:pPr>
          </w:p>
          <w:p w14:paraId="124706BF" w14:textId="77777777" w:rsidR="00BD06C4" w:rsidRPr="009C40F4" w:rsidRDefault="00BD06C4" w:rsidP="00BD06C4">
            <w:pPr>
              <w:pStyle w:val="NoSpacing"/>
              <w:rPr>
                <w:lang w:val="en-GB"/>
              </w:rPr>
            </w:pPr>
            <w:r w:rsidRPr="009C40F4">
              <w:rPr>
                <w:lang w:val="en-GB"/>
              </w:rPr>
              <w:t xml:space="preserve">International human rights law provides lists of the prohibited grounds of discrimination. The </w:t>
            </w:r>
            <w:proofErr w:type="gramStart"/>
            <w:r w:rsidRPr="009C40F4">
              <w:rPr>
                <w:lang w:val="en-GB"/>
              </w:rPr>
              <w:t>inclusion of “other status” in these lists indicate</w:t>
            </w:r>
            <w:proofErr w:type="gramEnd"/>
            <w:r w:rsidRPr="009C40F4">
              <w:rPr>
                <w:lang w:val="en-GB"/>
              </w:rPr>
              <w:t xml:space="preserve"> that they are not exhaustive and that other grounds may be recognized by international human rights mechanisms. A review of the international human rights normative framework helps identify a list of grounds that includes race, colour, sex, language, religion, political or other opinion, national origin, social origin, property, birth status, disability, age, nationality, marital and family status, sexual orientation, gender identity, health status, place of residence, economic and social situation, pregnancy, indigenous status, afro-descent and other status.</w:t>
            </w:r>
            <w:r w:rsidRPr="009C40F4">
              <w:rPr>
                <w:vertAlign w:val="superscript"/>
                <w:lang w:val="en-GB"/>
              </w:rPr>
              <w:footnoteReference w:id="105"/>
            </w:r>
            <w:r w:rsidRPr="009C40F4">
              <w:rPr>
                <w:lang w:val="en-GB"/>
              </w:rPr>
              <w:t xml:space="preserve"> In practice, it will be difficult to include all potentially relevant grounds of discrimination in household survey questions. For this reason, it is recommended that data collectors identify contextually relevant and feasible lists of grounds, drawing on the illustrative list and formulation of prohibited grounds of discrimination outlined in the methodology section below, and add an “other” category to reflect other grounds that may not have been listed explicitly.</w:t>
            </w:r>
          </w:p>
          <w:p w14:paraId="49DA8B81" w14:textId="77777777" w:rsidR="00BD06C4" w:rsidRPr="009C40F4" w:rsidRDefault="00BD06C4" w:rsidP="00BD06C4">
            <w:pPr>
              <w:pStyle w:val="NoSpacing"/>
              <w:rPr>
                <w:lang w:val="en-GB"/>
              </w:rPr>
            </w:pPr>
          </w:p>
          <w:p w14:paraId="60269D97" w14:textId="77777777" w:rsidR="00BD06C4" w:rsidRPr="009C40F4" w:rsidRDefault="00BD06C4" w:rsidP="00BD06C4">
            <w:pPr>
              <w:pStyle w:val="NoSpacing"/>
              <w:rPr>
                <w:lang w:val="en-GB"/>
              </w:rPr>
            </w:pPr>
            <w:r w:rsidRPr="009C40F4">
              <w:rPr>
                <w:b/>
                <w:bCs/>
                <w:lang w:val="en-GB"/>
              </w:rPr>
              <w:t>Comments and limitations:</w:t>
            </w:r>
          </w:p>
          <w:p w14:paraId="44789FDE" w14:textId="77777777" w:rsidR="00BD06C4" w:rsidRPr="009C40F4" w:rsidRDefault="00BD06C4" w:rsidP="00BD06C4">
            <w:pPr>
              <w:pStyle w:val="NoSpacing"/>
              <w:rPr>
                <w:lang w:val="en-GB"/>
              </w:rPr>
            </w:pPr>
            <w:r w:rsidRPr="009C40F4">
              <w:rPr>
                <w:lang w:val="en-GB"/>
              </w:rPr>
              <w:t>The indicator measures an overall population prevalence of discrimination and harassment in the total population at the national level. The indicator will not necessarily inform on the prevalence of discrimination within specific population groups. This will depend on sample frames. For example, if disability is included within the selected grounds, the resulting data for discrimination on the ground of disability will represent only the proportion of the total population who feel that they had personally experienced discrimination against on the ground of disability. Unless the sample design provides adequate coverage of people with disability to allow disaggregation on this characteristic, the data cannot be understood as an indication of the prevalence of discrimination (on the ground of disability) within the population of people with a disability.</w:t>
            </w:r>
          </w:p>
          <w:p w14:paraId="6299E4B5" w14:textId="77777777" w:rsidR="00BD06C4" w:rsidRPr="009C40F4" w:rsidRDefault="00BD06C4" w:rsidP="00BD06C4">
            <w:pPr>
              <w:pStyle w:val="NoSpacing"/>
              <w:rPr>
                <w:lang w:val="en-GB"/>
              </w:rPr>
            </w:pPr>
          </w:p>
          <w:p w14:paraId="44E7E485" w14:textId="77777777" w:rsidR="00BD06C4" w:rsidRPr="009C40F4" w:rsidRDefault="00BD06C4" w:rsidP="00BD06C4">
            <w:pPr>
              <w:pStyle w:val="NoSpacing"/>
              <w:rPr>
                <w:lang w:val="en-GB"/>
              </w:rPr>
            </w:pPr>
            <w:r w:rsidRPr="009C40F4">
              <w:rPr>
                <w:lang w:val="en-GB"/>
              </w:rPr>
              <w:t xml:space="preserve">The indicator is not measuring a general perception of respondents on the overall prevalence of discrimination in a country. It is based on personal experience self-reported by individual respondents. The indicator does not provide a legal determination of any alleged or proven cases of discrimination. The indicator will also not capture the cases of discrimination or harassment the respondents are not personally aware off or willing to disclose to data collectors. The indicator should be a starting point for further efforts to understand patterns of discrimination and harassment (e.g. location/context of incidents, relationship of the respondent to the person or entity responsible for discrimination or </w:t>
            </w:r>
            <w:r w:rsidRPr="009C40F4">
              <w:rPr>
                <w:lang w:val="en-GB"/>
              </w:rPr>
              <w:lastRenderedPageBreak/>
              <w:t>harassment, and frequency and severity of incidents). More survey questions will be needed for examining policy and legislative impact and responses.</w:t>
            </w:r>
          </w:p>
          <w:p w14:paraId="0F36AA52" w14:textId="77777777" w:rsidR="00BD06C4" w:rsidRPr="009C40F4" w:rsidRDefault="00BD06C4" w:rsidP="00BD06C4">
            <w:pPr>
              <w:pStyle w:val="NoSpacing"/>
              <w:rPr>
                <w:lang w:val="en-GB"/>
              </w:rPr>
            </w:pPr>
          </w:p>
          <w:p w14:paraId="3F30C3C3" w14:textId="77777777" w:rsidR="00BD06C4" w:rsidRPr="009C40F4" w:rsidRDefault="00BD06C4" w:rsidP="00BD06C4">
            <w:pPr>
              <w:pStyle w:val="NoSpacing"/>
              <w:rPr>
                <w:lang w:val="en-GB"/>
              </w:rPr>
            </w:pPr>
            <w:r w:rsidRPr="009C40F4">
              <w:rPr>
                <w:lang w:val="en-GB"/>
              </w:rPr>
              <w:t xml:space="preserve">OHCHR advises that data collectors engage in participatory processes to identify contextually relevant grounds and formulations. The process should be guided by the principles outlined in OHCHR’s </w:t>
            </w:r>
            <w:hyperlink r:id="rId139" w:history="1">
              <w:r w:rsidRPr="009C40F4">
                <w:rPr>
                  <w:rStyle w:val="Hyperlink"/>
                  <w:lang w:val="en-GB"/>
                </w:rPr>
                <w:t>Human Rights-Based Approaches to Data</w:t>
              </w:r>
            </w:hyperlink>
            <w:r w:rsidRPr="009C40F4">
              <w:rPr>
                <w:lang w:val="en-GB"/>
              </w:rPr>
              <w:t xml:space="preserve"> (HRBAD), which stems from internationally agreed human rights and statistics standards. National Institutions with mandates related to human rights or non-discrimination and equality are ideal partners for these activities. Data collectors are also strongly encouraged to work with civil society organisations that are the representatives of or have better access to groups more are risk of being discriminated or left behind. </w:t>
            </w:r>
          </w:p>
          <w:p w14:paraId="4CD2DD9D" w14:textId="77777777" w:rsidR="00BD06C4" w:rsidRPr="009C40F4" w:rsidRDefault="00BD06C4" w:rsidP="00BD06C4">
            <w:pPr>
              <w:pStyle w:val="NoSpacing"/>
              <w:rPr>
                <w:b/>
                <w:bCs/>
                <w:lang w:val="en-GB"/>
              </w:rPr>
            </w:pPr>
          </w:p>
          <w:p w14:paraId="508CBEB4" w14:textId="77777777" w:rsidR="00BD06C4" w:rsidRPr="009C40F4" w:rsidRDefault="00BD06C4" w:rsidP="00BD06C4">
            <w:pPr>
              <w:pStyle w:val="NoSpacing"/>
              <w:rPr>
                <w:lang w:val="en-GB"/>
              </w:rPr>
            </w:pPr>
            <w:r w:rsidRPr="009C40F4">
              <w:rPr>
                <w:b/>
                <w:bCs/>
                <w:lang w:val="en-GB"/>
              </w:rPr>
              <w:t>Computation Method:</w:t>
            </w:r>
          </w:p>
          <w:p w14:paraId="427CE418" w14:textId="77777777" w:rsidR="00BD06C4" w:rsidRPr="009C40F4" w:rsidRDefault="00BD06C4" w:rsidP="00BD06C4">
            <w:pPr>
              <w:pStyle w:val="NoSpacing"/>
              <w:rPr>
                <w:lang w:val="en-GB"/>
              </w:rPr>
            </w:pPr>
            <w:r w:rsidRPr="009C40F4">
              <w:rPr>
                <w:lang w:val="en-GB"/>
              </w:rPr>
              <w:t>Number of survey respondents who felt that they personally experienced discrimination or harassment on one or more prohibited grounds of discrimination during the last 12 months, divided by the total number of survey respondents, multiplied by 100.</w:t>
            </w:r>
          </w:p>
          <w:p w14:paraId="4C474B5A" w14:textId="77777777" w:rsidR="00BD06C4" w:rsidRPr="009C40F4" w:rsidRDefault="00BD06C4" w:rsidP="00BD06C4">
            <w:pPr>
              <w:pStyle w:val="NoSpacing"/>
              <w:rPr>
                <w:lang w:val="en-GB"/>
              </w:rPr>
            </w:pPr>
          </w:p>
          <w:p w14:paraId="6622A558" w14:textId="77777777" w:rsidR="00BD06C4" w:rsidRPr="009C40F4" w:rsidRDefault="00BD06C4" w:rsidP="00BD06C4">
            <w:pPr>
              <w:pStyle w:val="NoSpacing"/>
              <w:rPr>
                <w:lang w:val="en-GB"/>
              </w:rPr>
            </w:pPr>
            <w:r w:rsidRPr="009C40F4">
              <w:rPr>
                <w:lang w:val="en-GB"/>
              </w:rPr>
              <w:t xml:space="preserve">To minimize the effect of </w:t>
            </w:r>
            <w:r w:rsidRPr="009C40F4">
              <w:rPr>
                <w:i/>
                <w:lang w:val="en-GB"/>
              </w:rPr>
              <w:t>forward telescoping</w:t>
            </w:r>
            <w:r w:rsidRPr="009C40F4">
              <w:rPr>
                <w:i/>
                <w:vertAlign w:val="superscript"/>
                <w:lang w:val="en-GB"/>
              </w:rPr>
              <w:footnoteReference w:id="106"/>
            </w:r>
            <w:r w:rsidRPr="009C40F4">
              <w:rPr>
                <w:lang w:val="en-GB"/>
              </w:rPr>
              <w:t>, the module asks two questions: a first question about the respondent’s experience over the last 5 years, and a second question about the last 12 months:</w:t>
            </w:r>
          </w:p>
          <w:p w14:paraId="5A2DFF27" w14:textId="77777777" w:rsidR="00BD06C4" w:rsidRPr="009C40F4" w:rsidRDefault="00BD06C4" w:rsidP="00BD06C4">
            <w:pPr>
              <w:pStyle w:val="NoSpacing"/>
              <w:numPr>
                <w:ilvl w:val="0"/>
                <w:numId w:val="146"/>
              </w:numPr>
              <w:rPr>
                <w:lang w:val="en-GB"/>
              </w:rPr>
            </w:pPr>
            <w:r w:rsidRPr="009C40F4">
              <w:rPr>
                <w:lang w:val="en-GB"/>
              </w:rPr>
              <w:t>Question 1: In [COUNTRY], do you feel that you personally experienced any form of discrimination or harassment during the last 5 years, namely since [YEAR OF INTERVIEW MINUS 5] (or since you have been in the country), on the following grounds?</w:t>
            </w:r>
          </w:p>
          <w:p w14:paraId="31A2615F" w14:textId="77777777" w:rsidR="00BD06C4" w:rsidRPr="009C40F4" w:rsidRDefault="00BD06C4" w:rsidP="00BD06C4">
            <w:pPr>
              <w:pStyle w:val="NoSpacing"/>
              <w:numPr>
                <w:ilvl w:val="0"/>
                <w:numId w:val="146"/>
              </w:numPr>
              <w:rPr>
                <w:lang w:val="en-GB"/>
              </w:rPr>
            </w:pPr>
            <w:r w:rsidRPr="009C40F4">
              <w:rPr>
                <w:lang w:val="en-GB"/>
              </w:rPr>
              <w:t xml:space="preserve">Question 2: In [COUNTRY], do you feel that </w:t>
            </w:r>
            <w:proofErr w:type="gramStart"/>
            <w:r w:rsidRPr="009C40F4">
              <w:rPr>
                <w:lang w:val="en-GB"/>
              </w:rPr>
              <w:t>you  personally</w:t>
            </w:r>
            <w:proofErr w:type="gramEnd"/>
            <w:r w:rsidRPr="009C40F4">
              <w:rPr>
                <w:lang w:val="en-GB"/>
              </w:rPr>
              <w:t xml:space="preserve"> experienced any form of discrimination or harassment during the past 12 months, namely since [MONTH OF INTERVIEW] [YEAR OF INTERVIEW MINUS 1], on any of these grounds?</w:t>
            </w:r>
          </w:p>
          <w:p w14:paraId="3D7E4A0F" w14:textId="77777777" w:rsidR="00BD06C4" w:rsidRPr="009C40F4" w:rsidRDefault="00BD06C4" w:rsidP="00BD06C4">
            <w:pPr>
              <w:pStyle w:val="NoSpacing"/>
              <w:rPr>
                <w:lang w:val="en-GB"/>
              </w:rPr>
            </w:pPr>
          </w:p>
          <w:p w14:paraId="30EC0568" w14:textId="77777777" w:rsidR="00BD06C4" w:rsidRPr="009C40F4" w:rsidRDefault="00BD06C4" w:rsidP="00BD06C4">
            <w:pPr>
              <w:pStyle w:val="NoSpacing"/>
              <w:rPr>
                <w:lang w:val="en-GB"/>
              </w:rPr>
            </w:pPr>
            <w:r w:rsidRPr="009C40F4">
              <w:rPr>
                <w:lang w:val="en-GB"/>
              </w:rPr>
              <w:t xml:space="preserve">The proposed survey module recommends that interviewer reads or the data collection mechanism provides a short definition of discrimination/harassment to the respondent before asking the questions. Providing respondents with a basic introduction to these notions helps improve their comprehension and recall of incidents. Following consultations with experts and complementary cognitive testing, the following introductory text is recommended: </w:t>
            </w:r>
          </w:p>
          <w:p w14:paraId="69982618" w14:textId="77777777" w:rsidR="00BD06C4" w:rsidRPr="009C40F4" w:rsidRDefault="00BD06C4" w:rsidP="00BD06C4">
            <w:pPr>
              <w:pStyle w:val="NoSpacing"/>
              <w:rPr>
                <w:i/>
                <w:lang w:val="en-GB"/>
              </w:rPr>
            </w:pPr>
            <w:r w:rsidRPr="009C40F4">
              <w:rPr>
                <w:i/>
                <w:lang w:val="en-GB"/>
              </w:rPr>
              <w:t>Discrimination happens when you are treated less favourably compared to others or harassed because of the way you look, where you come from, what you believe or for other reasons. You may be refused equal access to work, housing, healthcare, education, marriage or family life, the police or justice system, shops, restaurants, or any other services or opportunities. You may also encounter comments, gestures or other behaviours that make you feel offended, threatened or insulted, or have to stay away from places or activities to avoid such behaviours.</w:t>
            </w:r>
          </w:p>
          <w:p w14:paraId="0CFA5338" w14:textId="77777777" w:rsidR="00BD06C4" w:rsidRPr="009C40F4" w:rsidRDefault="00BD06C4" w:rsidP="00BD06C4">
            <w:pPr>
              <w:pStyle w:val="NoSpacing"/>
              <w:rPr>
                <w:lang w:val="en-GB"/>
              </w:rPr>
            </w:pPr>
            <w:r w:rsidRPr="009C40F4">
              <w:rPr>
                <w:lang w:val="en-GB"/>
              </w:rPr>
              <w:t xml:space="preserve">The proposed survey module also recommends that a list of grounds is provided to respondents to facilitate comprehension and recall of incidents. As a starting point, OHCHR recommends the use of the following list of grounds </w:t>
            </w:r>
            <w:r w:rsidRPr="009C40F4">
              <w:rPr>
                <w:lang w:val="en-GB"/>
              </w:rPr>
              <w:lastRenderedPageBreak/>
              <w:t>prohibited by international human rights law and adding an “any other ground” category to capture grounds that are not explicitly listed. The module recommends that the following illustrative list is reviewed and contextualised at national level through a participatory process (see HRBAD and accompanying guidance) to reflect specific population groups and data collection/disaggregation needs:</w:t>
            </w:r>
          </w:p>
          <w:p w14:paraId="7A573F6A" w14:textId="77777777" w:rsidR="00BD06C4" w:rsidRPr="009C40F4" w:rsidRDefault="00BD06C4" w:rsidP="00BD06C4">
            <w:pPr>
              <w:pStyle w:val="NoSpacing"/>
              <w:rPr>
                <w:lang w:val="en-GB"/>
              </w:rPr>
            </w:pPr>
          </w:p>
          <w:p w14:paraId="0028CEEE" w14:textId="77777777" w:rsidR="00BD06C4" w:rsidRPr="009C40F4" w:rsidRDefault="00BD06C4" w:rsidP="00BD06C4">
            <w:pPr>
              <w:pStyle w:val="NoSpacing"/>
              <w:rPr>
                <w:lang w:val="en-GB"/>
              </w:rPr>
            </w:pPr>
            <w:r w:rsidRPr="009C40F4">
              <w:rPr>
                <w:lang w:val="en-GB"/>
              </w:rPr>
              <w:t>1. SEX: such as being a woman or a man</w:t>
            </w:r>
          </w:p>
          <w:p w14:paraId="38973908" w14:textId="77777777" w:rsidR="00BD06C4" w:rsidRPr="009C40F4" w:rsidRDefault="00BD06C4" w:rsidP="00BD06C4">
            <w:pPr>
              <w:pStyle w:val="NoSpacing"/>
              <w:rPr>
                <w:lang w:val="en-GB"/>
              </w:rPr>
            </w:pPr>
            <w:r w:rsidRPr="009C40F4">
              <w:rPr>
                <w:lang w:val="en-GB"/>
              </w:rPr>
              <w:t>2. AGE: such as being perceived to be too young or too old</w:t>
            </w:r>
          </w:p>
          <w:p w14:paraId="1C73C712" w14:textId="77777777" w:rsidR="00BD06C4" w:rsidRPr="009C40F4" w:rsidRDefault="00BD06C4" w:rsidP="00BD06C4">
            <w:pPr>
              <w:pStyle w:val="NoSpacing"/>
              <w:rPr>
                <w:lang w:val="en-GB"/>
              </w:rPr>
            </w:pPr>
            <w:r w:rsidRPr="009C40F4">
              <w:rPr>
                <w:lang w:val="en-GB"/>
              </w:rPr>
              <w:t>3. DISABILITY OR HEALTH STATUS: such as having difficulty in seeing, hearing, walking or moving, concentrating or communicating, having a disease or other health conditions and no reasonable accommodation provided for it</w:t>
            </w:r>
          </w:p>
          <w:p w14:paraId="20A8B344" w14:textId="77777777" w:rsidR="00BD06C4" w:rsidRPr="009C40F4" w:rsidRDefault="00BD06C4" w:rsidP="00BD06C4">
            <w:pPr>
              <w:pStyle w:val="NoSpacing"/>
              <w:rPr>
                <w:lang w:val="en-GB"/>
              </w:rPr>
            </w:pPr>
            <w:r w:rsidRPr="009C40F4">
              <w:rPr>
                <w:lang w:val="en-GB"/>
              </w:rPr>
              <w:t xml:space="preserve">4. ETHNICITY, COLOUR OR LANGUAGE: such as skin colour or physical appearance, ethnic origin or way of dressing, culture, traditions, native language, indigenous status, or being of African descent </w:t>
            </w:r>
          </w:p>
          <w:p w14:paraId="02F1F440" w14:textId="77777777" w:rsidR="00BD06C4" w:rsidRPr="009C40F4" w:rsidRDefault="00BD06C4" w:rsidP="00BD06C4">
            <w:pPr>
              <w:pStyle w:val="NoSpacing"/>
              <w:rPr>
                <w:lang w:val="en-GB"/>
              </w:rPr>
            </w:pPr>
            <w:r w:rsidRPr="009C40F4">
              <w:rPr>
                <w:lang w:val="en-GB"/>
              </w:rPr>
              <w:t>5. MIGRATION STATUS: such as nationality or national origin, country of birth, refugees, asylum seekers, migrant status, undocumented migrants or stateless persons</w:t>
            </w:r>
          </w:p>
          <w:p w14:paraId="1733E5BD" w14:textId="77777777" w:rsidR="00BD06C4" w:rsidRPr="009C40F4" w:rsidRDefault="00BD06C4" w:rsidP="00BD06C4">
            <w:pPr>
              <w:pStyle w:val="NoSpacing"/>
              <w:rPr>
                <w:lang w:val="en-GB"/>
              </w:rPr>
            </w:pPr>
            <w:r w:rsidRPr="009C40F4">
              <w:rPr>
                <w:lang w:val="en-GB"/>
              </w:rPr>
              <w:t xml:space="preserve">6. SOCIO-ECONOMIC STATUS: such as wealth or education level, being perceived to be from a lower or different social or economic group or class, land or home ownership or not </w:t>
            </w:r>
          </w:p>
          <w:p w14:paraId="3D0136C4" w14:textId="77777777" w:rsidR="00BD06C4" w:rsidRPr="009C40F4" w:rsidRDefault="00BD06C4" w:rsidP="00BD06C4">
            <w:pPr>
              <w:pStyle w:val="NoSpacing"/>
              <w:rPr>
                <w:lang w:val="en-GB"/>
              </w:rPr>
            </w:pPr>
            <w:r w:rsidRPr="009C40F4">
              <w:rPr>
                <w:lang w:val="en-GB"/>
              </w:rPr>
              <w:t>7. GEOGRAPHIC LOCATION OR PLACE OF RESIDENCE: such as living in urban or rural areas, formal or informal settlements</w:t>
            </w:r>
          </w:p>
          <w:p w14:paraId="729EC309" w14:textId="77777777" w:rsidR="00BD06C4" w:rsidRPr="009C40F4" w:rsidRDefault="00BD06C4" w:rsidP="00BD06C4">
            <w:pPr>
              <w:pStyle w:val="NoSpacing"/>
              <w:rPr>
                <w:lang w:val="en-GB"/>
              </w:rPr>
            </w:pPr>
            <w:r w:rsidRPr="009C40F4">
              <w:rPr>
                <w:lang w:val="en-GB"/>
              </w:rPr>
              <w:t>8. RELIGION: such as having or not a religion or religious beliefs</w:t>
            </w:r>
          </w:p>
          <w:p w14:paraId="4FAD1533" w14:textId="77777777" w:rsidR="00BD06C4" w:rsidRPr="009C40F4" w:rsidRDefault="00BD06C4" w:rsidP="00BD06C4">
            <w:pPr>
              <w:pStyle w:val="NoSpacing"/>
              <w:rPr>
                <w:lang w:val="en-GB"/>
              </w:rPr>
            </w:pPr>
            <w:r w:rsidRPr="009C40F4">
              <w:rPr>
                <w:lang w:val="en-GB"/>
              </w:rPr>
              <w:t>9. MARITAL AND FAMILY STATUS: such as being single, married, divorced, widowed, pregnant, with or without children, orphan or born from unmarried parents</w:t>
            </w:r>
          </w:p>
          <w:p w14:paraId="3E1312C7" w14:textId="77777777" w:rsidR="00BD06C4" w:rsidRPr="009C40F4" w:rsidRDefault="00BD06C4" w:rsidP="00BD06C4">
            <w:pPr>
              <w:pStyle w:val="NoSpacing"/>
              <w:rPr>
                <w:lang w:val="en-GB"/>
              </w:rPr>
            </w:pPr>
            <w:r w:rsidRPr="009C40F4">
              <w:rPr>
                <w:lang w:val="en-GB"/>
              </w:rPr>
              <w:t xml:space="preserve">10. SEXUAL ORIENTATION OR GENDER IDENTITY: such as being attracted to person of the same sex, self-identifying differently from sex assigned at birth or as being either sexually, bodily and/or gender diverse </w:t>
            </w:r>
          </w:p>
          <w:p w14:paraId="7CC4408B" w14:textId="77777777" w:rsidR="00BD06C4" w:rsidRPr="009C40F4" w:rsidRDefault="00BD06C4" w:rsidP="00BD06C4">
            <w:pPr>
              <w:pStyle w:val="NoSpacing"/>
              <w:rPr>
                <w:lang w:val="en-GB"/>
              </w:rPr>
            </w:pPr>
            <w:r w:rsidRPr="009C40F4">
              <w:rPr>
                <w:lang w:val="en-GB"/>
              </w:rPr>
              <w:t>11. POLITICAL OPINION: such as expressing political views, defending the rights of others, being a member or not of a political party or trade union</w:t>
            </w:r>
          </w:p>
          <w:p w14:paraId="0FED160D" w14:textId="77777777" w:rsidR="00BD06C4" w:rsidRPr="009C40F4" w:rsidRDefault="00BD06C4" w:rsidP="00BD06C4">
            <w:pPr>
              <w:pStyle w:val="NoSpacing"/>
              <w:rPr>
                <w:lang w:val="en-GB"/>
              </w:rPr>
            </w:pPr>
            <w:r w:rsidRPr="009C40F4">
              <w:rPr>
                <w:lang w:val="en-GB"/>
              </w:rPr>
              <w:t>12. OTHER GROUNDS</w:t>
            </w:r>
          </w:p>
          <w:p w14:paraId="1573A673" w14:textId="77777777" w:rsidR="00BD06C4" w:rsidRDefault="00BD06C4" w:rsidP="00BD06C4">
            <w:pPr>
              <w:pStyle w:val="NoSpacing"/>
            </w:pPr>
          </w:p>
        </w:tc>
        <w:tc>
          <w:tcPr>
            <w:tcW w:w="0" w:type="auto"/>
          </w:tcPr>
          <w:p w14:paraId="10C54653" w14:textId="77777777" w:rsidR="00BD06C4" w:rsidRDefault="00BD06C4" w:rsidP="00BD06C4">
            <w:pPr>
              <w:pStyle w:val="NoSpacing"/>
              <w:rPr>
                <w:lang w:eastAsia="en-GB"/>
              </w:rPr>
            </w:pPr>
            <w:r w:rsidRPr="00612622">
              <w:rPr>
                <w:lang w:eastAsia="en-GB"/>
              </w:rPr>
              <w:lastRenderedPageBreak/>
              <w:t>Household surveys, such as MICS, victimisation surveys and other social surveys, are the main data source for this indicator.</w:t>
            </w:r>
          </w:p>
          <w:p w14:paraId="7B2788A2" w14:textId="77777777" w:rsidR="00BD06C4" w:rsidRPr="00F15BC8" w:rsidRDefault="00BD06C4" w:rsidP="00BD06C4">
            <w:pPr>
              <w:pStyle w:val="NoSpacing"/>
            </w:pPr>
          </w:p>
        </w:tc>
        <w:tc>
          <w:tcPr>
            <w:tcW w:w="0" w:type="auto"/>
          </w:tcPr>
          <w:p w14:paraId="36B1AEAE" w14:textId="77777777" w:rsidR="00BD06C4" w:rsidRDefault="00BD06C4" w:rsidP="00BD06C4">
            <w:pPr>
              <w:pStyle w:val="NoSpacing"/>
              <w:rPr>
                <w:lang w:eastAsia="en-GB"/>
              </w:rPr>
            </w:pPr>
            <w:r w:rsidRPr="00612622">
              <w:rPr>
                <w:lang w:eastAsia="en-GB"/>
              </w:rPr>
              <w:t xml:space="preserve">National Statistical Offices. If the data are not collected by the NSO but another source, they will be sent to the NSO for consultation prior to their publication in </w:t>
            </w:r>
            <w:r w:rsidRPr="00612622">
              <w:rPr>
                <w:lang w:eastAsia="en-GB"/>
              </w:rPr>
              <w:lastRenderedPageBreak/>
              <w:t>global SDG databases.</w:t>
            </w:r>
          </w:p>
          <w:p w14:paraId="59871E8E" w14:textId="77777777" w:rsidR="00BD06C4" w:rsidRPr="00F15BC8" w:rsidRDefault="00BD06C4" w:rsidP="00BD06C4">
            <w:pPr>
              <w:pStyle w:val="NoSpacing"/>
            </w:pPr>
          </w:p>
        </w:tc>
        <w:tc>
          <w:tcPr>
            <w:tcW w:w="0" w:type="auto"/>
          </w:tcPr>
          <w:p w14:paraId="2FAC0328" w14:textId="77777777" w:rsidR="00BD06C4" w:rsidRDefault="00BD06C4" w:rsidP="00BD06C4">
            <w:pPr>
              <w:pStyle w:val="NoSpacing"/>
            </w:pPr>
            <w:r>
              <w:lastRenderedPageBreak/>
              <w:t>BBS</w:t>
            </w:r>
          </w:p>
          <w:p w14:paraId="7501D9A3" w14:textId="77777777" w:rsidR="00BD06C4" w:rsidRDefault="00BD06C4" w:rsidP="00BD06C4">
            <w:pPr>
              <w:pStyle w:val="NoSpacing"/>
            </w:pPr>
            <w:r>
              <w:t>CPHS</w:t>
            </w:r>
          </w:p>
        </w:tc>
        <w:tc>
          <w:tcPr>
            <w:tcW w:w="0" w:type="auto"/>
          </w:tcPr>
          <w:p w14:paraId="630746B0" w14:textId="77777777" w:rsidR="00BD06C4" w:rsidRDefault="00BD06C4" w:rsidP="00BD06C4">
            <w:pPr>
              <w:pStyle w:val="NoSpacing"/>
            </w:pPr>
            <w:r>
              <w:t>BBS</w:t>
            </w:r>
          </w:p>
          <w:p w14:paraId="292FAD2C" w14:textId="77777777" w:rsidR="00BD06C4" w:rsidRDefault="00BD06C4" w:rsidP="00BD06C4">
            <w:pPr>
              <w:pStyle w:val="NoSpacing"/>
            </w:pPr>
            <w:r>
              <w:t>CPHS</w:t>
            </w:r>
          </w:p>
        </w:tc>
        <w:tc>
          <w:tcPr>
            <w:tcW w:w="0" w:type="auto"/>
          </w:tcPr>
          <w:p w14:paraId="251345A8"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rPr>
            </w:pPr>
            <w:r>
              <w:rPr>
                <w:rFonts w:ascii="Tw Cen MT Condensed" w:hAnsi="Tw Cen MT Condensed"/>
                <w:sz w:val="20"/>
                <w:szCs w:val="20"/>
              </w:rPr>
              <w:t>income</w:t>
            </w:r>
          </w:p>
          <w:p w14:paraId="6F63FB3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rPr>
            </w:pPr>
            <w:r>
              <w:rPr>
                <w:rFonts w:ascii="Tw Cen MT Condensed" w:hAnsi="Tw Cen MT Condensed"/>
                <w:sz w:val="20"/>
                <w:szCs w:val="20"/>
              </w:rPr>
              <w:t>gender/Sex: Male, Female, Transgender</w:t>
            </w:r>
          </w:p>
          <w:p w14:paraId="69AA8915" w14:textId="61D5854D" w:rsidR="00BD06C4" w:rsidRDefault="00BD06C4" w:rsidP="00BD06C4">
            <w:pPr>
              <w:pStyle w:val="ListParagraph"/>
              <w:numPr>
                <w:ilvl w:val="0"/>
                <w:numId w:val="52"/>
              </w:numPr>
              <w:spacing w:after="0" w:line="240" w:lineRule="auto"/>
              <w:ind w:left="160" w:hanging="160"/>
              <w:jc w:val="both"/>
              <w:rPr>
                <w:rFonts w:ascii="Tw Cen MT Condensed" w:hAnsi="Tw Cen MT Condensed"/>
              </w:rPr>
            </w:pPr>
            <w:r>
              <w:rPr>
                <w:rFonts w:ascii="Tw Cen MT Condensed" w:hAnsi="Tw Cen MT Condensed"/>
                <w:sz w:val="20"/>
                <w:szCs w:val="20"/>
              </w:rPr>
              <w:t xml:space="preserve"> age</w:t>
            </w:r>
            <w:r w:rsidR="000969FA">
              <w:rPr>
                <w:rFonts w:ascii="Tw Cen MT Condensed" w:hAnsi="Tw Cen MT Condensed"/>
                <w:sz w:val="20"/>
                <w:szCs w:val="20"/>
              </w:rPr>
              <w:t>: 15-24 yrs, 25 and above</w:t>
            </w:r>
          </w:p>
          <w:p w14:paraId="4E59EBBB" w14:textId="5767D7BA" w:rsidR="00BD06C4" w:rsidRDefault="00BD06C4" w:rsidP="00BD06C4">
            <w:pPr>
              <w:pStyle w:val="ListParagraph"/>
              <w:numPr>
                <w:ilvl w:val="0"/>
                <w:numId w:val="52"/>
              </w:numPr>
              <w:spacing w:after="0" w:line="240" w:lineRule="auto"/>
              <w:ind w:left="160" w:hanging="160"/>
              <w:jc w:val="both"/>
              <w:rPr>
                <w:rFonts w:ascii="Tw Cen MT Condensed" w:hAnsi="Tw Cen MT Condensed"/>
              </w:rPr>
            </w:pPr>
            <w:r>
              <w:rPr>
                <w:rFonts w:ascii="Tw Cen MT Condensed" w:hAnsi="Tw Cen MT Condensed"/>
                <w:sz w:val="20"/>
                <w:szCs w:val="20"/>
              </w:rPr>
              <w:t xml:space="preserve"> Residence</w:t>
            </w:r>
            <w:r w:rsidR="000969FA">
              <w:rPr>
                <w:rFonts w:ascii="Tw Cen MT Condensed" w:hAnsi="Tw Cen MT Condensed"/>
                <w:sz w:val="20"/>
                <w:szCs w:val="20"/>
              </w:rPr>
              <w:t>: Urban/Rural</w:t>
            </w:r>
          </w:p>
          <w:p w14:paraId="6AB53D7F" w14:textId="4886A676" w:rsidR="00BD06C4" w:rsidRDefault="000969FA" w:rsidP="00BD06C4">
            <w:pPr>
              <w:pStyle w:val="ListParagraph"/>
              <w:numPr>
                <w:ilvl w:val="0"/>
                <w:numId w:val="52"/>
              </w:numPr>
              <w:spacing w:after="0" w:line="240" w:lineRule="auto"/>
              <w:ind w:left="160" w:hanging="160"/>
              <w:jc w:val="both"/>
              <w:rPr>
                <w:rFonts w:ascii="Tw Cen MT Condensed" w:hAnsi="Tw Cen MT Condensed"/>
              </w:rPr>
            </w:pPr>
            <w:r>
              <w:rPr>
                <w:rFonts w:ascii="Tw Cen MT Condensed" w:hAnsi="Tw Cen MT Condensed"/>
                <w:sz w:val="20"/>
                <w:szCs w:val="20"/>
              </w:rPr>
              <w:t>E</w:t>
            </w:r>
            <w:r w:rsidR="00BD06C4">
              <w:rPr>
                <w:rFonts w:ascii="Tw Cen MT Condensed" w:hAnsi="Tw Cen MT Condensed"/>
                <w:sz w:val="20"/>
                <w:szCs w:val="20"/>
              </w:rPr>
              <w:t>thnicity</w:t>
            </w:r>
            <w:r>
              <w:rPr>
                <w:rFonts w:ascii="Tw Cen MT Condensed" w:hAnsi="Tw Cen MT Condensed"/>
                <w:sz w:val="20"/>
                <w:szCs w:val="20"/>
              </w:rPr>
              <w:t>: Ethnic/Non Ethnic</w:t>
            </w:r>
          </w:p>
          <w:p w14:paraId="460525CD" w14:textId="70ACE3F7" w:rsidR="00BD06C4" w:rsidRDefault="00BD06C4" w:rsidP="00BD06C4">
            <w:pPr>
              <w:pStyle w:val="ListParagraph"/>
              <w:numPr>
                <w:ilvl w:val="0"/>
                <w:numId w:val="52"/>
              </w:numPr>
              <w:spacing w:after="0" w:line="240" w:lineRule="auto"/>
              <w:ind w:left="160" w:hanging="160"/>
              <w:jc w:val="both"/>
              <w:rPr>
                <w:rFonts w:ascii="Tw Cen MT Condensed" w:hAnsi="Tw Cen MT Condensed"/>
              </w:rPr>
            </w:pPr>
            <w:r>
              <w:rPr>
                <w:rFonts w:ascii="Tw Cen MT Condensed" w:hAnsi="Tw Cen MT Condensed"/>
                <w:sz w:val="20"/>
                <w:szCs w:val="20"/>
              </w:rPr>
              <w:t>migratory status</w:t>
            </w:r>
            <w:r w:rsidR="000969FA">
              <w:rPr>
                <w:rFonts w:ascii="Tw Cen MT Condensed" w:hAnsi="Tw Cen MT Condensed"/>
                <w:sz w:val="20"/>
                <w:szCs w:val="20"/>
              </w:rPr>
              <w:t>: Migrant/ Non Migrant</w:t>
            </w:r>
          </w:p>
          <w:p w14:paraId="4E87FC31" w14:textId="60C6F8B5" w:rsidR="00BD06C4" w:rsidRDefault="00BD06C4" w:rsidP="00BD06C4">
            <w:pPr>
              <w:pStyle w:val="ListParagraph"/>
              <w:numPr>
                <w:ilvl w:val="0"/>
                <w:numId w:val="52"/>
              </w:numPr>
              <w:spacing w:after="0" w:line="240" w:lineRule="auto"/>
              <w:ind w:left="160" w:hanging="160"/>
              <w:jc w:val="both"/>
              <w:rPr>
                <w:rFonts w:ascii="Tw Cen MT Condensed" w:hAnsi="Tw Cen MT Condensed"/>
              </w:rPr>
            </w:pPr>
            <w:r>
              <w:rPr>
                <w:rFonts w:ascii="Tw Cen MT Condensed" w:hAnsi="Tw Cen MT Condensed"/>
                <w:sz w:val="20"/>
                <w:szCs w:val="20"/>
              </w:rPr>
              <w:t>disability</w:t>
            </w:r>
            <w:r w:rsidR="000969FA">
              <w:rPr>
                <w:rFonts w:ascii="Tw Cen MT Condensed" w:hAnsi="Tw Cen MT Condensed"/>
                <w:sz w:val="20"/>
                <w:szCs w:val="20"/>
              </w:rPr>
              <w:t xml:space="preserve">: Disable/ Non </w:t>
            </w:r>
            <w:r w:rsidR="000969FA">
              <w:rPr>
                <w:rFonts w:ascii="Tw Cen MT Condensed" w:hAnsi="Tw Cen MT Condensed"/>
                <w:sz w:val="20"/>
                <w:szCs w:val="20"/>
              </w:rPr>
              <w:lastRenderedPageBreak/>
              <w:t>Disable</w:t>
            </w:r>
          </w:p>
          <w:p w14:paraId="51E2D205" w14:textId="546DBDAB" w:rsidR="00BD06C4" w:rsidRDefault="00BD06C4"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geographic location</w:t>
            </w:r>
            <w:r w:rsidR="000969FA">
              <w:rPr>
                <w:rFonts w:ascii="Tw Cen MT Condensed" w:hAnsi="Tw Cen MT Condensed"/>
                <w:sz w:val="20"/>
                <w:szCs w:val="20"/>
              </w:rPr>
              <w:t>: Division</w:t>
            </w:r>
          </w:p>
          <w:p w14:paraId="059FEB14" w14:textId="77777777" w:rsidR="00BD06C4" w:rsidRPr="00F65688" w:rsidRDefault="00BD06C4" w:rsidP="00BD06C4">
            <w:pPr>
              <w:ind w:left="970" w:hanging="970"/>
              <w:jc w:val="both"/>
              <w:rPr>
                <w:b/>
                <w:bCs/>
                <w:color w:val="0070C0"/>
                <w:sz w:val="30"/>
                <w:szCs w:val="30"/>
              </w:rPr>
            </w:pPr>
          </w:p>
        </w:tc>
        <w:tc>
          <w:tcPr>
            <w:tcW w:w="0" w:type="auto"/>
          </w:tcPr>
          <w:p w14:paraId="630A08E6" w14:textId="77777777" w:rsidR="00BD06C4" w:rsidRDefault="00BD06C4" w:rsidP="00BD06C4">
            <w:pPr>
              <w:ind w:left="970" w:hanging="970"/>
              <w:jc w:val="both"/>
              <w:rPr>
                <w:color w:val="0070C0"/>
                <w:sz w:val="30"/>
                <w:szCs w:val="30"/>
              </w:rPr>
            </w:pPr>
            <w:r w:rsidRPr="008D2CF4">
              <w:rPr>
                <w:szCs w:val="20"/>
              </w:rPr>
              <w:lastRenderedPageBreak/>
              <w:t>Triennial</w:t>
            </w:r>
          </w:p>
        </w:tc>
        <w:tc>
          <w:tcPr>
            <w:tcW w:w="0" w:type="auto"/>
          </w:tcPr>
          <w:p w14:paraId="130446F5" w14:textId="77777777" w:rsidR="00BD06C4" w:rsidRDefault="00BD06C4" w:rsidP="00BD06C4">
            <w:pPr>
              <w:ind w:left="970" w:hanging="970"/>
              <w:jc w:val="both"/>
              <w:rPr>
                <w:color w:val="0070C0"/>
                <w:sz w:val="30"/>
                <w:szCs w:val="30"/>
              </w:rPr>
            </w:pPr>
            <w:r>
              <w:t>Group 1</w:t>
            </w:r>
          </w:p>
        </w:tc>
        <w:tc>
          <w:tcPr>
            <w:tcW w:w="0" w:type="auto"/>
          </w:tcPr>
          <w:p w14:paraId="56DEBA15" w14:textId="77777777" w:rsidR="00BD06C4" w:rsidRDefault="00BD06C4" w:rsidP="00BD06C4">
            <w:pPr>
              <w:pStyle w:val="NoSpacing"/>
            </w:pPr>
            <w:r>
              <w:t>1</w:t>
            </w:r>
            <w:r w:rsidRPr="00013ACB">
              <w:rPr>
                <w:vertAlign w:val="superscript"/>
              </w:rPr>
              <w:t>st</w:t>
            </w:r>
            <w:r>
              <w:t xml:space="preserve"> Round:</w:t>
            </w:r>
          </w:p>
          <w:p w14:paraId="39959524" w14:textId="77777777" w:rsidR="00BD06C4" w:rsidRDefault="00BD06C4" w:rsidP="00BD06C4">
            <w:pPr>
              <w:pStyle w:val="NoSpacing"/>
            </w:pPr>
            <w:r>
              <w:t>2018</w:t>
            </w:r>
          </w:p>
          <w:p w14:paraId="3A8753EE" w14:textId="77777777" w:rsidR="00BD06C4" w:rsidRDefault="00BD06C4" w:rsidP="00BD06C4">
            <w:pPr>
              <w:pStyle w:val="NoSpacing"/>
            </w:pPr>
          </w:p>
          <w:p w14:paraId="74ABA0BB" w14:textId="77777777" w:rsidR="00BD06C4" w:rsidRDefault="00BD06C4" w:rsidP="00BD06C4">
            <w:pPr>
              <w:pStyle w:val="NoSpacing"/>
            </w:pPr>
            <w:r>
              <w:t>2</w:t>
            </w:r>
            <w:r w:rsidRPr="00013ACB">
              <w:rPr>
                <w:vertAlign w:val="superscript"/>
              </w:rPr>
              <w:t>nd</w:t>
            </w:r>
            <w:r>
              <w:t xml:space="preserve"> Round:</w:t>
            </w:r>
          </w:p>
          <w:p w14:paraId="77422CE0" w14:textId="77777777" w:rsidR="00BD06C4" w:rsidRDefault="00BD06C4" w:rsidP="00BD06C4">
            <w:pPr>
              <w:pStyle w:val="NoSpacing"/>
            </w:pPr>
            <w:r>
              <w:t xml:space="preserve"> </w:t>
            </w:r>
            <w:r w:rsidRPr="00C3536E">
              <w:t>July, 2019</w:t>
            </w:r>
          </w:p>
          <w:p w14:paraId="40C092D3" w14:textId="77777777" w:rsidR="00BD06C4" w:rsidRDefault="00BD06C4" w:rsidP="00BD06C4">
            <w:pPr>
              <w:pStyle w:val="NoSpacing"/>
            </w:pPr>
          </w:p>
          <w:p w14:paraId="36CD6F76" w14:textId="77777777" w:rsidR="00BD06C4" w:rsidRDefault="00BD06C4" w:rsidP="00BD06C4">
            <w:pPr>
              <w:pStyle w:val="NoSpacing"/>
            </w:pPr>
            <w:r>
              <w:t>3</w:t>
            </w:r>
            <w:r w:rsidRPr="00013ACB">
              <w:rPr>
                <w:vertAlign w:val="superscript"/>
              </w:rPr>
              <w:t>rd</w:t>
            </w:r>
            <w:r>
              <w:t xml:space="preserve"> Round: </w:t>
            </w:r>
          </w:p>
          <w:p w14:paraId="0239CE4C" w14:textId="77777777" w:rsidR="00BD06C4" w:rsidRDefault="00BD06C4" w:rsidP="00BD06C4">
            <w:pPr>
              <w:pStyle w:val="NoSpacing"/>
            </w:pPr>
            <w:r>
              <w:t xml:space="preserve">July, </w:t>
            </w:r>
            <w:r>
              <w:lastRenderedPageBreak/>
              <w:t>2022</w:t>
            </w:r>
          </w:p>
          <w:p w14:paraId="7EABF792" w14:textId="77777777" w:rsidR="00BD06C4" w:rsidRDefault="00BD06C4" w:rsidP="00BD06C4">
            <w:pPr>
              <w:pStyle w:val="NoSpacing"/>
            </w:pPr>
          </w:p>
          <w:p w14:paraId="2645A490" w14:textId="77777777" w:rsidR="00BD06C4" w:rsidRDefault="00BD06C4" w:rsidP="00BD06C4">
            <w:pPr>
              <w:pStyle w:val="NoSpacing"/>
            </w:pPr>
            <w:r>
              <w:t>4</w:t>
            </w:r>
            <w:r w:rsidRPr="00013ACB">
              <w:rPr>
                <w:vertAlign w:val="superscript"/>
              </w:rPr>
              <w:t>th</w:t>
            </w:r>
            <w:r>
              <w:t xml:space="preserve"> Round: </w:t>
            </w:r>
          </w:p>
          <w:p w14:paraId="58C6F0EB" w14:textId="77777777" w:rsidR="00BD06C4" w:rsidRDefault="00BD06C4" w:rsidP="00BD06C4">
            <w:pPr>
              <w:pStyle w:val="NoSpacing"/>
            </w:pPr>
            <w:r>
              <w:t>July, 2025</w:t>
            </w:r>
          </w:p>
          <w:p w14:paraId="63154195" w14:textId="77777777" w:rsidR="00BD06C4" w:rsidRDefault="00BD06C4" w:rsidP="00BD06C4">
            <w:pPr>
              <w:pStyle w:val="NoSpacing"/>
            </w:pPr>
          </w:p>
          <w:p w14:paraId="4181E5A5" w14:textId="77777777" w:rsidR="00BD06C4" w:rsidRDefault="00BD06C4" w:rsidP="00BD06C4">
            <w:pPr>
              <w:pStyle w:val="NoSpacing"/>
            </w:pPr>
            <w:r>
              <w:t>5</w:t>
            </w:r>
            <w:r w:rsidRPr="00013ACB">
              <w:rPr>
                <w:vertAlign w:val="superscript"/>
              </w:rPr>
              <w:t>th</w:t>
            </w:r>
            <w:r>
              <w:t xml:space="preserve"> Round: </w:t>
            </w:r>
          </w:p>
          <w:p w14:paraId="2F53AFBA" w14:textId="77777777" w:rsidR="00BD06C4" w:rsidRDefault="00BD06C4" w:rsidP="00BD06C4">
            <w:pPr>
              <w:pStyle w:val="NoSpacing"/>
            </w:pPr>
            <w:r>
              <w:t>July, 2028</w:t>
            </w:r>
          </w:p>
          <w:p w14:paraId="2622F1F5" w14:textId="4AACDD05" w:rsidR="00BD06C4" w:rsidRDefault="00BD06C4" w:rsidP="00BD06C4">
            <w:pPr>
              <w:pStyle w:val="NoSpacing"/>
            </w:pPr>
          </w:p>
        </w:tc>
        <w:tc>
          <w:tcPr>
            <w:tcW w:w="0" w:type="auto"/>
          </w:tcPr>
          <w:p w14:paraId="25A90C63" w14:textId="77777777" w:rsidR="00BD06C4" w:rsidRDefault="00BD06C4" w:rsidP="00BD06C4">
            <w:pPr>
              <w:pStyle w:val="NoSpacing"/>
            </w:pPr>
            <w:r>
              <w:lastRenderedPageBreak/>
              <w:t>Reviewed at 9th IAEG-SDG meeting (classified as Tier II)</w:t>
            </w:r>
          </w:p>
          <w:p w14:paraId="614CF746" w14:textId="77777777" w:rsidR="00BD06C4" w:rsidRDefault="00BD06C4" w:rsidP="00BD06C4">
            <w:pPr>
              <w:pStyle w:val="NoSpacing"/>
            </w:pPr>
          </w:p>
          <w:p w14:paraId="60B712F1" w14:textId="64A7DF82" w:rsidR="00BD06C4" w:rsidRDefault="003E5AFB" w:rsidP="00BD06C4">
            <w:pPr>
              <w:pStyle w:val="NoSpacing"/>
            </w:pPr>
            <w:r>
              <w:t>Repeated 10.3.1</w:t>
            </w:r>
          </w:p>
        </w:tc>
      </w:tr>
    </w:tbl>
    <w:p w14:paraId="49038F11" w14:textId="77777777" w:rsidR="003D2111" w:rsidRDefault="003D2111" w:rsidP="001C5F7A">
      <w:pPr>
        <w:jc w:val="both"/>
        <w:rPr>
          <w:color w:val="0070C0"/>
          <w:sz w:val="48"/>
          <w:szCs w:val="48"/>
        </w:rPr>
      </w:pPr>
    </w:p>
    <w:p w14:paraId="662DF226" w14:textId="77777777" w:rsidR="00771CB6" w:rsidRDefault="00771CB6">
      <w:pPr>
        <w:rPr>
          <w:color w:val="0070C0"/>
          <w:sz w:val="48"/>
          <w:szCs w:val="48"/>
        </w:rPr>
      </w:pPr>
      <w:r>
        <w:rPr>
          <w:color w:val="0070C0"/>
          <w:sz w:val="48"/>
          <w:szCs w:val="48"/>
        </w:rPr>
        <w:br w:type="page"/>
      </w:r>
    </w:p>
    <w:p w14:paraId="25224F56" w14:textId="1A15461F" w:rsidR="00D91106" w:rsidRPr="006C6341" w:rsidRDefault="00BB3B57" w:rsidP="00D91106">
      <w:pPr>
        <w:jc w:val="both"/>
        <w:rPr>
          <w:color w:val="0070C0"/>
          <w:sz w:val="48"/>
          <w:szCs w:val="48"/>
        </w:rPr>
      </w:pPr>
      <w:r>
        <w:rPr>
          <w:color w:val="0070C0"/>
          <w:sz w:val="48"/>
          <w:szCs w:val="48"/>
        </w:rPr>
        <w:lastRenderedPageBreak/>
        <w:t>Action Plan and Methodological Guidelines towards Data Generation and Disaggregation for Monitoring and Evaluation of SDGs</w:t>
      </w:r>
    </w:p>
    <w:tbl>
      <w:tblPr>
        <w:tblStyle w:val="TableGrid"/>
        <w:tblW w:w="0" w:type="auto"/>
        <w:tblInd w:w="-5" w:type="dxa"/>
        <w:tblLook w:val="04A0" w:firstRow="1" w:lastRow="0" w:firstColumn="1" w:lastColumn="0" w:noHBand="0" w:noVBand="1"/>
      </w:tblPr>
      <w:tblGrid>
        <w:gridCol w:w="1278"/>
        <w:gridCol w:w="17663"/>
      </w:tblGrid>
      <w:tr w:rsidR="00D91106" w14:paraId="67939569" w14:textId="77777777" w:rsidTr="00A64F0D">
        <w:tc>
          <w:tcPr>
            <w:tcW w:w="0" w:type="auto"/>
            <w:tcBorders>
              <w:left w:val="single" w:sz="4" w:space="0" w:color="C00000"/>
              <w:bottom w:val="single" w:sz="4" w:space="0" w:color="C00000"/>
            </w:tcBorders>
          </w:tcPr>
          <w:p w14:paraId="304A5ACE" w14:textId="66479682" w:rsidR="00D91106" w:rsidRDefault="00A64F0D" w:rsidP="00D91106">
            <w:pPr>
              <w:jc w:val="center"/>
              <w:rPr>
                <w:color w:val="C00000"/>
                <w:sz w:val="48"/>
                <w:szCs w:val="48"/>
              </w:rPr>
            </w:pPr>
            <w:r>
              <w:rPr>
                <w:noProof/>
                <w:color w:val="C00000"/>
                <w:sz w:val="48"/>
                <w:szCs w:val="48"/>
                <w:lang w:bidi="bn-BD"/>
              </w:rPr>
              <w:drawing>
                <wp:inline distT="0" distB="0" distL="0" distR="0" wp14:anchorId="6365DCCE" wp14:editId="7B9C66D8">
                  <wp:extent cx="674370" cy="674370"/>
                  <wp:effectExtent l="0" t="0" r="0" b="0"/>
                  <wp:docPr id="59" name="Picture 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oal17_menu_icon.jpg"/>
                          <pic:cNvPicPr/>
                        </pic:nvPicPr>
                        <pic:blipFill>
                          <a:blip r:embed="rId140">
                            <a:extLst>
                              <a:ext uri="{28A0092B-C50C-407E-A947-70E740481C1C}">
                                <a14:useLocalDpi xmlns:a14="http://schemas.microsoft.com/office/drawing/2010/main" val="0"/>
                              </a:ext>
                            </a:extLst>
                          </a:blip>
                          <a:stretch>
                            <a:fillRect/>
                          </a:stretch>
                        </pic:blipFill>
                        <pic:spPr>
                          <a:xfrm>
                            <a:off x="0" y="0"/>
                            <a:ext cx="674370" cy="674370"/>
                          </a:xfrm>
                          <a:prstGeom prst="rect">
                            <a:avLst/>
                          </a:prstGeom>
                        </pic:spPr>
                      </pic:pic>
                    </a:graphicData>
                  </a:graphic>
                </wp:inline>
              </w:drawing>
            </w:r>
          </w:p>
        </w:tc>
        <w:tc>
          <w:tcPr>
            <w:tcW w:w="0" w:type="auto"/>
            <w:shd w:val="clear" w:color="auto" w:fill="0070C0"/>
            <w:vAlign w:val="center"/>
          </w:tcPr>
          <w:p w14:paraId="2F8A4C08" w14:textId="77777777" w:rsidR="00D91106" w:rsidRPr="00214C29" w:rsidRDefault="00D91106" w:rsidP="00D91106">
            <w:pPr>
              <w:jc w:val="both"/>
              <w:rPr>
                <w:color w:val="FFFFFF" w:themeColor="background1"/>
                <w:sz w:val="62"/>
                <w:szCs w:val="62"/>
              </w:rPr>
            </w:pPr>
            <w:r w:rsidRPr="00D91106">
              <w:rPr>
                <w:color w:val="FFFFFF" w:themeColor="background1"/>
                <w:sz w:val="62"/>
                <w:szCs w:val="62"/>
              </w:rPr>
              <w:t>Strengthen the means of implementation and revitalize the Global Partnership for Sustainable Development</w:t>
            </w:r>
          </w:p>
        </w:tc>
      </w:tr>
    </w:tbl>
    <w:p w14:paraId="23D7DA6D" w14:textId="77777777" w:rsidR="0095033B" w:rsidRPr="00D91106" w:rsidRDefault="0095033B" w:rsidP="001C5F7A">
      <w:pPr>
        <w:jc w:val="both"/>
        <w:rPr>
          <w:color w:val="0070C0"/>
          <w:sz w:val="14"/>
          <w:szCs w:val="14"/>
        </w:rPr>
      </w:pPr>
    </w:p>
    <w:tbl>
      <w:tblPr>
        <w:tblStyle w:val="TableGrid"/>
        <w:tblW w:w="0" w:type="auto"/>
        <w:tblLook w:val="04A0" w:firstRow="1" w:lastRow="0" w:firstColumn="1" w:lastColumn="0" w:noHBand="0" w:noVBand="1"/>
      </w:tblPr>
      <w:tblGrid>
        <w:gridCol w:w="900"/>
        <w:gridCol w:w="786"/>
        <w:gridCol w:w="565"/>
        <w:gridCol w:w="5978"/>
        <w:gridCol w:w="3129"/>
        <w:gridCol w:w="1274"/>
        <w:gridCol w:w="858"/>
        <w:gridCol w:w="1621"/>
        <w:gridCol w:w="1007"/>
        <w:gridCol w:w="696"/>
        <w:gridCol w:w="611"/>
        <w:gridCol w:w="664"/>
        <w:gridCol w:w="847"/>
      </w:tblGrid>
      <w:tr w:rsidR="0025169C" w14:paraId="100282D8" w14:textId="77777777" w:rsidTr="00586441">
        <w:trPr>
          <w:tblHeader/>
        </w:trPr>
        <w:tc>
          <w:tcPr>
            <w:tcW w:w="0" w:type="auto"/>
            <w:shd w:val="clear" w:color="auto" w:fill="B8CCE4" w:themeFill="accent1" w:themeFillTint="66"/>
            <w:vAlign w:val="center"/>
          </w:tcPr>
          <w:p w14:paraId="2AE3560D" w14:textId="77777777" w:rsidR="00D91106" w:rsidRPr="00C766D7" w:rsidRDefault="00D91106" w:rsidP="00D91106">
            <w:pPr>
              <w:jc w:val="center"/>
              <w:rPr>
                <w:b/>
                <w:bCs/>
                <w:sz w:val="18"/>
                <w:szCs w:val="18"/>
              </w:rPr>
            </w:pPr>
            <w:r>
              <w:rPr>
                <w:b/>
                <w:bCs/>
                <w:sz w:val="18"/>
                <w:szCs w:val="18"/>
              </w:rPr>
              <w:t>T</w:t>
            </w:r>
            <w:r w:rsidRPr="00C766D7">
              <w:rPr>
                <w:b/>
                <w:bCs/>
                <w:sz w:val="18"/>
                <w:szCs w:val="18"/>
              </w:rPr>
              <w:t>argets and Indicators</w:t>
            </w:r>
          </w:p>
        </w:tc>
        <w:tc>
          <w:tcPr>
            <w:tcW w:w="0" w:type="auto"/>
            <w:shd w:val="clear" w:color="auto" w:fill="B8CCE4" w:themeFill="accent1" w:themeFillTint="66"/>
            <w:vAlign w:val="center"/>
          </w:tcPr>
          <w:p w14:paraId="6E68EB04" w14:textId="77777777" w:rsidR="00D91106" w:rsidRPr="00C766D7" w:rsidRDefault="00D91106" w:rsidP="00D91106">
            <w:pPr>
              <w:jc w:val="center"/>
              <w:rPr>
                <w:b/>
                <w:bCs/>
                <w:sz w:val="18"/>
                <w:szCs w:val="18"/>
              </w:rPr>
            </w:pPr>
            <w:r w:rsidRPr="00C766D7">
              <w:rPr>
                <w:b/>
                <w:bCs/>
                <w:sz w:val="18"/>
                <w:szCs w:val="18"/>
              </w:rPr>
              <w:t>Custodian Agency</w:t>
            </w:r>
            <w:r>
              <w:rPr>
                <w:b/>
                <w:bCs/>
                <w:sz w:val="18"/>
                <w:szCs w:val="18"/>
              </w:rPr>
              <w:t xml:space="preserve"> </w:t>
            </w:r>
            <w:r w:rsidRPr="00C766D7">
              <w:rPr>
                <w:b/>
                <w:bCs/>
                <w:sz w:val="18"/>
                <w:szCs w:val="18"/>
              </w:rPr>
              <w:t>(ies)</w:t>
            </w:r>
          </w:p>
        </w:tc>
        <w:tc>
          <w:tcPr>
            <w:tcW w:w="0" w:type="auto"/>
            <w:shd w:val="clear" w:color="auto" w:fill="B8CCE4" w:themeFill="accent1" w:themeFillTint="66"/>
            <w:vAlign w:val="center"/>
          </w:tcPr>
          <w:p w14:paraId="4A0CDE6E" w14:textId="77777777" w:rsidR="00D91106" w:rsidRPr="00C766D7" w:rsidRDefault="00D91106" w:rsidP="00D91106">
            <w:pPr>
              <w:jc w:val="center"/>
              <w:rPr>
                <w:b/>
                <w:bCs/>
                <w:sz w:val="18"/>
                <w:szCs w:val="18"/>
              </w:rPr>
            </w:pPr>
            <w:r w:rsidRPr="00C766D7">
              <w:rPr>
                <w:b/>
                <w:bCs/>
                <w:sz w:val="18"/>
                <w:szCs w:val="18"/>
              </w:rPr>
              <w:t>Tier Classifi</w:t>
            </w:r>
            <w:r>
              <w:rPr>
                <w:b/>
                <w:bCs/>
                <w:sz w:val="18"/>
                <w:szCs w:val="18"/>
              </w:rPr>
              <w:t>-</w:t>
            </w:r>
            <w:r w:rsidRPr="00C766D7">
              <w:rPr>
                <w:b/>
                <w:bCs/>
                <w:sz w:val="18"/>
                <w:szCs w:val="18"/>
              </w:rPr>
              <w:t>cations</w:t>
            </w:r>
          </w:p>
        </w:tc>
        <w:tc>
          <w:tcPr>
            <w:tcW w:w="0" w:type="auto"/>
            <w:shd w:val="clear" w:color="auto" w:fill="B8CCE4" w:themeFill="accent1" w:themeFillTint="66"/>
            <w:vAlign w:val="center"/>
          </w:tcPr>
          <w:p w14:paraId="6ABE040A" w14:textId="77777777" w:rsidR="00D91106" w:rsidRPr="00C766D7" w:rsidRDefault="00D91106" w:rsidP="00D91106">
            <w:pPr>
              <w:jc w:val="center"/>
              <w:rPr>
                <w:b/>
                <w:bCs/>
                <w:sz w:val="18"/>
                <w:szCs w:val="18"/>
              </w:rPr>
            </w:pPr>
            <w:r>
              <w:rPr>
                <w:b/>
                <w:bCs/>
                <w:sz w:val="18"/>
                <w:szCs w:val="18"/>
              </w:rPr>
              <w:t xml:space="preserve">Definition, </w:t>
            </w:r>
            <w:r w:rsidRPr="00C766D7">
              <w:rPr>
                <w:b/>
                <w:bCs/>
                <w:sz w:val="18"/>
                <w:szCs w:val="18"/>
              </w:rPr>
              <w:t>Concept</w:t>
            </w:r>
            <w:r>
              <w:rPr>
                <w:b/>
                <w:bCs/>
                <w:sz w:val="18"/>
                <w:szCs w:val="18"/>
              </w:rPr>
              <w:t>, Computation Methods and</w:t>
            </w:r>
            <w:r w:rsidRPr="00C766D7">
              <w:rPr>
                <w:b/>
                <w:bCs/>
                <w:sz w:val="18"/>
                <w:szCs w:val="18"/>
              </w:rPr>
              <w:t xml:space="preserve"> formula</w:t>
            </w:r>
          </w:p>
        </w:tc>
        <w:tc>
          <w:tcPr>
            <w:tcW w:w="2835" w:type="dxa"/>
            <w:shd w:val="clear" w:color="auto" w:fill="B8CCE4" w:themeFill="accent1" w:themeFillTint="66"/>
            <w:vAlign w:val="center"/>
          </w:tcPr>
          <w:p w14:paraId="16ADEAEC" w14:textId="77777777" w:rsidR="00D91106" w:rsidRPr="00C766D7" w:rsidRDefault="00D91106" w:rsidP="00D91106">
            <w:pPr>
              <w:jc w:val="center"/>
              <w:rPr>
                <w:b/>
                <w:bCs/>
                <w:sz w:val="18"/>
                <w:szCs w:val="18"/>
              </w:rPr>
            </w:pPr>
            <w:r w:rsidRPr="00C766D7">
              <w:rPr>
                <w:b/>
                <w:bCs/>
                <w:sz w:val="18"/>
                <w:szCs w:val="18"/>
              </w:rPr>
              <w:t>UN Suggested activities of data generation</w:t>
            </w:r>
          </w:p>
        </w:tc>
        <w:tc>
          <w:tcPr>
            <w:tcW w:w="1167" w:type="dxa"/>
            <w:shd w:val="clear" w:color="auto" w:fill="B8CCE4" w:themeFill="accent1" w:themeFillTint="66"/>
            <w:vAlign w:val="center"/>
          </w:tcPr>
          <w:p w14:paraId="291A19CE" w14:textId="77777777" w:rsidR="00D91106" w:rsidRPr="00C766D7" w:rsidRDefault="00D91106" w:rsidP="00D91106">
            <w:pPr>
              <w:jc w:val="center"/>
              <w:rPr>
                <w:b/>
                <w:bCs/>
                <w:sz w:val="18"/>
                <w:szCs w:val="18"/>
              </w:rPr>
            </w:pPr>
            <w:r w:rsidRPr="00C766D7">
              <w:rPr>
                <w:b/>
                <w:bCs/>
                <w:sz w:val="18"/>
                <w:szCs w:val="18"/>
              </w:rPr>
              <w:t>UN Suggested data provider</w:t>
            </w:r>
          </w:p>
        </w:tc>
        <w:tc>
          <w:tcPr>
            <w:tcW w:w="0" w:type="auto"/>
            <w:shd w:val="clear" w:color="auto" w:fill="B8CCE4" w:themeFill="accent1" w:themeFillTint="66"/>
            <w:vAlign w:val="center"/>
          </w:tcPr>
          <w:p w14:paraId="695CC4E8" w14:textId="77777777" w:rsidR="00D91106" w:rsidRPr="00C766D7" w:rsidRDefault="00D91106" w:rsidP="00D91106">
            <w:pPr>
              <w:jc w:val="center"/>
              <w:rPr>
                <w:b/>
                <w:bCs/>
                <w:sz w:val="18"/>
                <w:szCs w:val="18"/>
              </w:rPr>
            </w:pPr>
            <w:r w:rsidRPr="00C766D7">
              <w:rPr>
                <w:b/>
                <w:bCs/>
                <w:sz w:val="18"/>
                <w:szCs w:val="18"/>
              </w:rPr>
              <w:t>Recent Available Data Sources</w:t>
            </w:r>
          </w:p>
        </w:tc>
        <w:tc>
          <w:tcPr>
            <w:tcW w:w="0" w:type="auto"/>
            <w:shd w:val="clear" w:color="auto" w:fill="B8CCE4" w:themeFill="accent1" w:themeFillTint="66"/>
            <w:vAlign w:val="center"/>
          </w:tcPr>
          <w:p w14:paraId="26FAE6A7" w14:textId="77777777" w:rsidR="00D91106" w:rsidRPr="00C766D7" w:rsidRDefault="00D91106" w:rsidP="00D91106">
            <w:pPr>
              <w:jc w:val="center"/>
              <w:rPr>
                <w:b/>
                <w:bCs/>
                <w:sz w:val="18"/>
                <w:szCs w:val="18"/>
              </w:rPr>
            </w:pPr>
            <w:r w:rsidRPr="00C766D7">
              <w:rPr>
                <w:b/>
                <w:bCs/>
                <w:sz w:val="18"/>
                <w:szCs w:val="18"/>
              </w:rPr>
              <w:t>Possible future Sources</w:t>
            </w:r>
          </w:p>
        </w:tc>
        <w:tc>
          <w:tcPr>
            <w:tcW w:w="0" w:type="auto"/>
            <w:shd w:val="clear" w:color="auto" w:fill="B8CCE4" w:themeFill="accent1" w:themeFillTint="66"/>
            <w:vAlign w:val="center"/>
          </w:tcPr>
          <w:p w14:paraId="026F5D81" w14:textId="77777777" w:rsidR="00D91106" w:rsidRPr="00C766D7" w:rsidRDefault="00D91106" w:rsidP="00D91106">
            <w:pPr>
              <w:jc w:val="center"/>
              <w:rPr>
                <w:b/>
                <w:bCs/>
                <w:sz w:val="18"/>
                <w:szCs w:val="18"/>
              </w:rPr>
            </w:pPr>
            <w:r>
              <w:rPr>
                <w:b/>
                <w:bCs/>
                <w:sz w:val="18"/>
                <w:szCs w:val="18"/>
              </w:rPr>
              <w:t>Minimum Disaggregation Dimensions and Categories</w:t>
            </w:r>
          </w:p>
        </w:tc>
        <w:tc>
          <w:tcPr>
            <w:tcW w:w="1078" w:type="dxa"/>
            <w:shd w:val="clear" w:color="auto" w:fill="B8CCE4" w:themeFill="accent1" w:themeFillTint="66"/>
            <w:vAlign w:val="center"/>
          </w:tcPr>
          <w:p w14:paraId="0562C042" w14:textId="77777777" w:rsidR="00D91106" w:rsidRPr="00C766D7" w:rsidRDefault="00D91106" w:rsidP="00D91106">
            <w:pPr>
              <w:jc w:val="center"/>
              <w:rPr>
                <w:b/>
                <w:bCs/>
                <w:sz w:val="18"/>
                <w:szCs w:val="18"/>
              </w:rPr>
            </w:pPr>
            <w:r w:rsidRPr="00C766D7">
              <w:rPr>
                <w:b/>
                <w:bCs/>
                <w:sz w:val="18"/>
                <w:szCs w:val="18"/>
              </w:rPr>
              <w:t>Frequency of data generation</w:t>
            </w:r>
          </w:p>
        </w:tc>
        <w:tc>
          <w:tcPr>
            <w:tcW w:w="872" w:type="dxa"/>
            <w:shd w:val="clear" w:color="auto" w:fill="B8CCE4" w:themeFill="accent1" w:themeFillTint="66"/>
            <w:vAlign w:val="center"/>
          </w:tcPr>
          <w:p w14:paraId="387665C4" w14:textId="77777777" w:rsidR="00D91106" w:rsidRPr="00C766D7" w:rsidRDefault="00D91106" w:rsidP="00D91106">
            <w:pPr>
              <w:jc w:val="center"/>
              <w:rPr>
                <w:b/>
                <w:bCs/>
                <w:sz w:val="18"/>
                <w:szCs w:val="18"/>
              </w:rPr>
            </w:pPr>
            <w:r w:rsidRPr="00C766D7">
              <w:rPr>
                <w:b/>
                <w:bCs/>
                <w:sz w:val="18"/>
                <w:szCs w:val="18"/>
              </w:rPr>
              <w:t>Local Indicator Group</w:t>
            </w:r>
          </w:p>
        </w:tc>
        <w:tc>
          <w:tcPr>
            <w:tcW w:w="619" w:type="dxa"/>
            <w:shd w:val="clear" w:color="auto" w:fill="B8CCE4" w:themeFill="accent1" w:themeFillTint="66"/>
          </w:tcPr>
          <w:p w14:paraId="312AED1B" w14:textId="77777777" w:rsidR="00D91106" w:rsidRDefault="00D91106" w:rsidP="00D91106">
            <w:pPr>
              <w:jc w:val="center"/>
              <w:rPr>
                <w:b/>
                <w:bCs/>
                <w:sz w:val="18"/>
                <w:szCs w:val="18"/>
              </w:rPr>
            </w:pPr>
            <w:r w:rsidRPr="00BE3A94">
              <w:rPr>
                <w:b/>
                <w:bCs/>
                <w:sz w:val="18"/>
                <w:szCs w:val="18"/>
              </w:rPr>
              <w:t>Deadline for Data providing</w:t>
            </w:r>
          </w:p>
        </w:tc>
        <w:tc>
          <w:tcPr>
            <w:tcW w:w="0" w:type="auto"/>
            <w:shd w:val="clear" w:color="auto" w:fill="B8CCE4" w:themeFill="accent1" w:themeFillTint="66"/>
            <w:vAlign w:val="center"/>
          </w:tcPr>
          <w:p w14:paraId="56D6F85A" w14:textId="77777777" w:rsidR="00D91106" w:rsidRPr="00C766D7" w:rsidRDefault="00D91106" w:rsidP="00D91106">
            <w:pPr>
              <w:jc w:val="center"/>
              <w:rPr>
                <w:b/>
                <w:bCs/>
                <w:sz w:val="18"/>
                <w:szCs w:val="18"/>
              </w:rPr>
            </w:pPr>
            <w:r>
              <w:rPr>
                <w:b/>
                <w:bCs/>
                <w:sz w:val="18"/>
                <w:szCs w:val="18"/>
              </w:rPr>
              <w:t>Remarks</w:t>
            </w:r>
          </w:p>
        </w:tc>
      </w:tr>
      <w:tr w:rsidR="00A67B35" w14:paraId="5F06F8B5" w14:textId="77777777" w:rsidTr="00586441">
        <w:trPr>
          <w:tblHeader/>
        </w:trPr>
        <w:tc>
          <w:tcPr>
            <w:tcW w:w="0" w:type="auto"/>
            <w:shd w:val="clear" w:color="auto" w:fill="548DD4" w:themeFill="text2" w:themeFillTint="99"/>
          </w:tcPr>
          <w:p w14:paraId="4B624C65" w14:textId="77777777" w:rsidR="00D91106" w:rsidRPr="00A67B35" w:rsidRDefault="00D91106" w:rsidP="00D91106">
            <w:pPr>
              <w:jc w:val="center"/>
              <w:rPr>
                <w:b/>
                <w:bCs/>
                <w:sz w:val="18"/>
                <w:szCs w:val="18"/>
              </w:rPr>
            </w:pPr>
            <w:r w:rsidRPr="00A67B35">
              <w:rPr>
                <w:b/>
                <w:bCs/>
                <w:sz w:val="18"/>
                <w:szCs w:val="18"/>
              </w:rPr>
              <w:t>1</w:t>
            </w:r>
          </w:p>
        </w:tc>
        <w:tc>
          <w:tcPr>
            <w:tcW w:w="0" w:type="auto"/>
            <w:shd w:val="clear" w:color="auto" w:fill="548DD4" w:themeFill="text2" w:themeFillTint="99"/>
          </w:tcPr>
          <w:p w14:paraId="151993D0" w14:textId="77777777" w:rsidR="00D91106" w:rsidRPr="00A67B35" w:rsidRDefault="00D91106" w:rsidP="00D91106">
            <w:pPr>
              <w:jc w:val="center"/>
              <w:rPr>
                <w:b/>
                <w:bCs/>
                <w:sz w:val="18"/>
                <w:szCs w:val="18"/>
              </w:rPr>
            </w:pPr>
            <w:r w:rsidRPr="00A67B35">
              <w:rPr>
                <w:b/>
                <w:bCs/>
                <w:sz w:val="18"/>
                <w:szCs w:val="18"/>
              </w:rPr>
              <w:t>2</w:t>
            </w:r>
          </w:p>
        </w:tc>
        <w:tc>
          <w:tcPr>
            <w:tcW w:w="0" w:type="auto"/>
            <w:shd w:val="clear" w:color="auto" w:fill="548DD4" w:themeFill="text2" w:themeFillTint="99"/>
          </w:tcPr>
          <w:p w14:paraId="1148533B" w14:textId="77777777" w:rsidR="00D91106" w:rsidRPr="00A67B35" w:rsidRDefault="00D91106" w:rsidP="00D91106">
            <w:pPr>
              <w:jc w:val="center"/>
              <w:rPr>
                <w:b/>
                <w:bCs/>
                <w:sz w:val="18"/>
                <w:szCs w:val="18"/>
              </w:rPr>
            </w:pPr>
            <w:r w:rsidRPr="00A67B35">
              <w:rPr>
                <w:b/>
                <w:bCs/>
                <w:sz w:val="18"/>
                <w:szCs w:val="18"/>
              </w:rPr>
              <w:t>3</w:t>
            </w:r>
          </w:p>
        </w:tc>
        <w:tc>
          <w:tcPr>
            <w:tcW w:w="0" w:type="auto"/>
            <w:shd w:val="clear" w:color="auto" w:fill="548DD4" w:themeFill="text2" w:themeFillTint="99"/>
          </w:tcPr>
          <w:p w14:paraId="1EADA88C" w14:textId="77777777" w:rsidR="00D91106" w:rsidRPr="00A67B35" w:rsidRDefault="00D91106" w:rsidP="00D91106">
            <w:pPr>
              <w:jc w:val="center"/>
              <w:rPr>
                <w:b/>
                <w:bCs/>
                <w:sz w:val="18"/>
                <w:szCs w:val="18"/>
              </w:rPr>
            </w:pPr>
            <w:r w:rsidRPr="00A67B35">
              <w:rPr>
                <w:b/>
                <w:bCs/>
                <w:sz w:val="18"/>
                <w:szCs w:val="18"/>
              </w:rPr>
              <w:t>4</w:t>
            </w:r>
          </w:p>
        </w:tc>
        <w:tc>
          <w:tcPr>
            <w:tcW w:w="2835" w:type="dxa"/>
            <w:shd w:val="clear" w:color="auto" w:fill="548DD4" w:themeFill="text2" w:themeFillTint="99"/>
          </w:tcPr>
          <w:p w14:paraId="0727B97C" w14:textId="77777777" w:rsidR="00D91106" w:rsidRPr="00A67B35" w:rsidRDefault="00D91106" w:rsidP="00D91106">
            <w:pPr>
              <w:jc w:val="center"/>
              <w:rPr>
                <w:b/>
                <w:bCs/>
                <w:sz w:val="18"/>
                <w:szCs w:val="18"/>
              </w:rPr>
            </w:pPr>
            <w:r w:rsidRPr="00A67B35">
              <w:rPr>
                <w:b/>
                <w:bCs/>
                <w:sz w:val="18"/>
                <w:szCs w:val="18"/>
              </w:rPr>
              <w:t>5</w:t>
            </w:r>
          </w:p>
        </w:tc>
        <w:tc>
          <w:tcPr>
            <w:tcW w:w="1167" w:type="dxa"/>
            <w:shd w:val="clear" w:color="auto" w:fill="548DD4" w:themeFill="text2" w:themeFillTint="99"/>
          </w:tcPr>
          <w:p w14:paraId="1A038D7C" w14:textId="77777777" w:rsidR="00D91106" w:rsidRPr="00A67B35" w:rsidRDefault="00D91106" w:rsidP="00D91106">
            <w:pPr>
              <w:jc w:val="center"/>
              <w:rPr>
                <w:b/>
                <w:bCs/>
                <w:sz w:val="18"/>
                <w:szCs w:val="18"/>
              </w:rPr>
            </w:pPr>
            <w:r w:rsidRPr="00A67B35">
              <w:rPr>
                <w:b/>
                <w:bCs/>
                <w:sz w:val="18"/>
                <w:szCs w:val="18"/>
              </w:rPr>
              <w:t>6</w:t>
            </w:r>
          </w:p>
        </w:tc>
        <w:tc>
          <w:tcPr>
            <w:tcW w:w="0" w:type="auto"/>
            <w:shd w:val="clear" w:color="auto" w:fill="548DD4" w:themeFill="text2" w:themeFillTint="99"/>
          </w:tcPr>
          <w:p w14:paraId="155793CF" w14:textId="77777777" w:rsidR="00D91106" w:rsidRPr="00A67B35" w:rsidRDefault="00D91106" w:rsidP="00D91106">
            <w:pPr>
              <w:jc w:val="center"/>
              <w:rPr>
                <w:b/>
                <w:bCs/>
                <w:sz w:val="18"/>
                <w:szCs w:val="18"/>
              </w:rPr>
            </w:pPr>
            <w:r w:rsidRPr="00A67B35">
              <w:rPr>
                <w:b/>
                <w:bCs/>
                <w:sz w:val="18"/>
                <w:szCs w:val="18"/>
              </w:rPr>
              <w:t>7</w:t>
            </w:r>
          </w:p>
        </w:tc>
        <w:tc>
          <w:tcPr>
            <w:tcW w:w="0" w:type="auto"/>
            <w:shd w:val="clear" w:color="auto" w:fill="548DD4" w:themeFill="text2" w:themeFillTint="99"/>
          </w:tcPr>
          <w:p w14:paraId="5BCE23CB" w14:textId="77777777" w:rsidR="00D91106" w:rsidRPr="00A67B35" w:rsidRDefault="00D91106" w:rsidP="00D91106">
            <w:pPr>
              <w:jc w:val="center"/>
              <w:rPr>
                <w:b/>
                <w:bCs/>
                <w:sz w:val="18"/>
                <w:szCs w:val="18"/>
              </w:rPr>
            </w:pPr>
            <w:r w:rsidRPr="00A67B35">
              <w:rPr>
                <w:b/>
                <w:bCs/>
                <w:sz w:val="18"/>
                <w:szCs w:val="18"/>
              </w:rPr>
              <w:t>8</w:t>
            </w:r>
          </w:p>
        </w:tc>
        <w:tc>
          <w:tcPr>
            <w:tcW w:w="0" w:type="auto"/>
            <w:shd w:val="clear" w:color="auto" w:fill="548DD4" w:themeFill="text2" w:themeFillTint="99"/>
          </w:tcPr>
          <w:p w14:paraId="0E401A69" w14:textId="77777777" w:rsidR="00D91106" w:rsidRPr="00A67B35" w:rsidRDefault="00D91106" w:rsidP="00D91106">
            <w:pPr>
              <w:jc w:val="center"/>
              <w:rPr>
                <w:b/>
                <w:bCs/>
                <w:sz w:val="18"/>
                <w:szCs w:val="18"/>
              </w:rPr>
            </w:pPr>
            <w:r w:rsidRPr="00A67B35">
              <w:rPr>
                <w:b/>
                <w:bCs/>
                <w:sz w:val="18"/>
                <w:szCs w:val="18"/>
              </w:rPr>
              <w:t>9</w:t>
            </w:r>
          </w:p>
        </w:tc>
        <w:tc>
          <w:tcPr>
            <w:tcW w:w="1078" w:type="dxa"/>
            <w:shd w:val="clear" w:color="auto" w:fill="548DD4" w:themeFill="text2" w:themeFillTint="99"/>
          </w:tcPr>
          <w:p w14:paraId="4C41E4B1" w14:textId="77777777" w:rsidR="00D91106" w:rsidRPr="00A67B35" w:rsidRDefault="00D91106" w:rsidP="00D91106">
            <w:pPr>
              <w:jc w:val="center"/>
              <w:rPr>
                <w:b/>
                <w:bCs/>
                <w:sz w:val="18"/>
                <w:szCs w:val="18"/>
              </w:rPr>
            </w:pPr>
            <w:r w:rsidRPr="00A67B35">
              <w:rPr>
                <w:b/>
                <w:bCs/>
                <w:sz w:val="18"/>
                <w:szCs w:val="18"/>
              </w:rPr>
              <w:t>10</w:t>
            </w:r>
          </w:p>
        </w:tc>
        <w:tc>
          <w:tcPr>
            <w:tcW w:w="872" w:type="dxa"/>
            <w:shd w:val="clear" w:color="auto" w:fill="548DD4" w:themeFill="text2" w:themeFillTint="99"/>
          </w:tcPr>
          <w:p w14:paraId="16EF3D22" w14:textId="77777777" w:rsidR="00D91106" w:rsidRPr="00A67B35" w:rsidRDefault="00D91106" w:rsidP="00D91106">
            <w:pPr>
              <w:jc w:val="center"/>
              <w:rPr>
                <w:b/>
                <w:bCs/>
                <w:sz w:val="18"/>
                <w:szCs w:val="18"/>
              </w:rPr>
            </w:pPr>
            <w:r w:rsidRPr="00A67B35">
              <w:rPr>
                <w:b/>
                <w:bCs/>
                <w:sz w:val="18"/>
                <w:szCs w:val="18"/>
              </w:rPr>
              <w:t>11</w:t>
            </w:r>
          </w:p>
        </w:tc>
        <w:tc>
          <w:tcPr>
            <w:tcW w:w="619" w:type="dxa"/>
            <w:shd w:val="clear" w:color="auto" w:fill="548DD4" w:themeFill="text2" w:themeFillTint="99"/>
          </w:tcPr>
          <w:p w14:paraId="73090B3A" w14:textId="77777777" w:rsidR="00D91106" w:rsidRPr="00A67B35" w:rsidRDefault="00D91106" w:rsidP="00D91106">
            <w:pPr>
              <w:jc w:val="center"/>
              <w:rPr>
                <w:b/>
                <w:bCs/>
                <w:sz w:val="18"/>
                <w:szCs w:val="18"/>
                <w:lang w:bidi="bn-BD"/>
              </w:rPr>
            </w:pPr>
            <w:r w:rsidRPr="00A67B35">
              <w:rPr>
                <w:rFonts w:hint="cs"/>
                <w:b/>
                <w:bCs/>
                <w:sz w:val="18"/>
                <w:szCs w:val="18"/>
                <w:cs/>
                <w:lang w:bidi="bn-BD"/>
              </w:rPr>
              <w:t>12</w:t>
            </w:r>
          </w:p>
        </w:tc>
        <w:tc>
          <w:tcPr>
            <w:tcW w:w="0" w:type="auto"/>
            <w:shd w:val="clear" w:color="auto" w:fill="548DD4" w:themeFill="text2" w:themeFillTint="99"/>
          </w:tcPr>
          <w:p w14:paraId="3D00B405" w14:textId="77777777" w:rsidR="00D91106" w:rsidRPr="00A67B35" w:rsidRDefault="00D91106" w:rsidP="00D91106">
            <w:pPr>
              <w:jc w:val="center"/>
              <w:rPr>
                <w:b/>
                <w:bCs/>
                <w:sz w:val="18"/>
                <w:szCs w:val="18"/>
                <w:lang w:bidi="bn-BD"/>
              </w:rPr>
            </w:pPr>
            <w:r w:rsidRPr="00A67B35">
              <w:rPr>
                <w:b/>
                <w:bCs/>
                <w:sz w:val="18"/>
                <w:szCs w:val="18"/>
              </w:rPr>
              <w:t>1</w:t>
            </w:r>
            <w:r w:rsidRPr="00A67B35">
              <w:rPr>
                <w:rFonts w:hint="cs"/>
                <w:b/>
                <w:bCs/>
                <w:sz w:val="18"/>
                <w:szCs w:val="18"/>
                <w:cs/>
                <w:lang w:bidi="bn-BD"/>
              </w:rPr>
              <w:t>3</w:t>
            </w:r>
          </w:p>
        </w:tc>
      </w:tr>
      <w:tr w:rsidR="0025169C" w14:paraId="3F46C280" w14:textId="77777777" w:rsidTr="00586441">
        <w:tc>
          <w:tcPr>
            <w:tcW w:w="0" w:type="auto"/>
          </w:tcPr>
          <w:p w14:paraId="2980303E" w14:textId="77777777" w:rsidR="0025169C" w:rsidRDefault="0025169C" w:rsidP="00D91106">
            <w:pPr>
              <w:ind w:left="970" w:hanging="970"/>
              <w:jc w:val="both"/>
              <w:rPr>
                <w:color w:val="0070C0"/>
                <w:sz w:val="30"/>
                <w:szCs w:val="30"/>
              </w:rPr>
            </w:pPr>
          </w:p>
        </w:tc>
        <w:tc>
          <w:tcPr>
            <w:tcW w:w="17879" w:type="dxa"/>
            <w:gridSpan w:val="12"/>
          </w:tcPr>
          <w:p w14:paraId="35C770FF" w14:textId="77777777" w:rsidR="0025169C" w:rsidRDefault="0025169C" w:rsidP="00D91106">
            <w:pPr>
              <w:jc w:val="both"/>
              <w:rPr>
                <w:color w:val="0070C0"/>
                <w:sz w:val="48"/>
                <w:szCs w:val="48"/>
              </w:rPr>
            </w:pPr>
            <w:r>
              <w:rPr>
                <w:color w:val="0070C0"/>
                <w:sz w:val="30"/>
                <w:szCs w:val="30"/>
              </w:rPr>
              <w:t xml:space="preserve">Target </w:t>
            </w:r>
            <w:r w:rsidRPr="00306900">
              <w:rPr>
                <w:color w:val="0070C0"/>
                <w:sz w:val="30"/>
                <w:szCs w:val="30"/>
              </w:rPr>
              <w:t>17.1 Strengthen domestic resource mobilization, including through international support to developing countries, to improve domestic capacity for tax and other revenue collection</w:t>
            </w:r>
          </w:p>
        </w:tc>
      </w:tr>
      <w:tr w:rsidR="00BD06C4" w14:paraId="76F58DFC" w14:textId="77777777" w:rsidTr="00586441">
        <w:tc>
          <w:tcPr>
            <w:tcW w:w="0" w:type="auto"/>
          </w:tcPr>
          <w:p w14:paraId="18A07681" w14:textId="77777777" w:rsidR="00BD06C4" w:rsidRDefault="00BD06C4" w:rsidP="00BD06C4">
            <w:pPr>
              <w:pStyle w:val="NoSpacing"/>
            </w:pPr>
            <w:r w:rsidRPr="00BB536A">
              <w:t>17.1.1 Total government revenue as a proportion of GDP, by source</w:t>
            </w:r>
          </w:p>
        </w:tc>
        <w:tc>
          <w:tcPr>
            <w:tcW w:w="0" w:type="auto"/>
          </w:tcPr>
          <w:p w14:paraId="5EEEE9B6" w14:textId="77777777" w:rsidR="00BD06C4" w:rsidRDefault="00BD06C4" w:rsidP="00BD06C4">
            <w:pPr>
              <w:pStyle w:val="NoSpacing"/>
            </w:pPr>
            <w:r w:rsidRPr="0085065B">
              <w:t>IMF</w:t>
            </w:r>
          </w:p>
          <w:p w14:paraId="0E88C376" w14:textId="77777777" w:rsidR="00BD06C4" w:rsidRDefault="00BD06C4" w:rsidP="00BD06C4">
            <w:pPr>
              <w:rPr>
                <w:b/>
                <w:bCs/>
                <w:szCs w:val="20"/>
              </w:rPr>
            </w:pPr>
            <w:r w:rsidRPr="007243FC">
              <w:rPr>
                <w:b/>
                <w:bCs/>
                <w:szCs w:val="20"/>
              </w:rPr>
              <w:t>Partner Agencies:</w:t>
            </w:r>
          </w:p>
          <w:p w14:paraId="2FBF3F43" w14:textId="77777777" w:rsidR="00BD06C4" w:rsidRDefault="00BD06C4" w:rsidP="00BD06C4">
            <w:pPr>
              <w:pStyle w:val="NoSpacing"/>
            </w:pPr>
            <w:r>
              <w:t xml:space="preserve">OECD, </w:t>
            </w:r>
          </w:p>
          <w:p w14:paraId="56EACC6C" w14:textId="77777777" w:rsidR="00BD06C4" w:rsidRDefault="00BD06C4" w:rsidP="00BD06C4">
            <w:pPr>
              <w:pStyle w:val="NoSpacing"/>
            </w:pPr>
            <w:r>
              <w:t>World Bank</w:t>
            </w:r>
          </w:p>
        </w:tc>
        <w:tc>
          <w:tcPr>
            <w:tcW w:w="0" w:type="auto"/>
          </w:tcPr>
          <w:p w14:paraId="08B13855" w14:textId="77777777" w:rsidR="00BD06C4" w:rsidRDefault="00BD06C4" w:rsidP="00BD06C4">
            <w:pPr>
              <w:ind w:left="970" w:hanging="970"/>
              <w:jc w:val="both"/>
              <w:rPr>
                <w:color w:val="0070C0"/>
                <w:sz w:val="30"/>
                <w:szCs w:val="30"/>
              </w:rPr>
            </w:pPr>
            <w:r>
              <w:t>Tier I</w:t>
            </w:r>
          </w:p>
        </w:tc>
        <w:tc>
          <w:tcPr>
            <w:tcW w:w="0" w:type="auto"/>
          </w:tcPr>
          <w:p w14:paraId="11CADA57" w14:textId="77777777" w:rsidR="00BD06C4" w:rsidRPr="00882EAD" w:rsidRDefault="00BD06C4" w:rsidP="00BD06C4">
            <w:pPr>
              <w:pStyle w:val="NoSpacing"/>
              <w:rPr>
                <w:lang w:val="en-GB"/>
              </w:rPr>
            </w:pPr>
            <w:r w:rsidRPr="00882EAD">
              <w:rPr>
                <w:b/>
                <w:lang w:val="en-GB"/>
              </w:rPr>
              <w:t xml:space="preserve">Definition: </w:t>
            </w:r>
            <w:r w:rsidRPr="00882EAD">
              <w:rPr>
                <w:lang w:val="en-GB"/>
              </w:rPr>
              <w:t xml:space="preserve">Revenue is defined in Chapter 4 (paragraph 4.23) of </w:t>
            </w:r>
            <w:r w:rsidRPr="00882EAD">
              <w:rPr>
                <w:i/>
                <w:lang w:val="en-GB"/>
              </w:rPr>
              <w:t>GFSM 2014</w:t>
            </w:r>
            <w:r w:rsidRPr="00882EAD">
              <w:rPr>
                <w:lang w:val="en-GB"/>
              </w:rPr>
              <w:t xml:space="preserve"> an increase in net worth resulting from a transaction. It is a fiscal indicator for assessing the sustainability of fiscal activities. General government units have four types of revenue. The major types of revenue are taxes (GFS code 11), social contributions (GFS code 12), grants (GFS code 13), and other revenue (GFS code 14). Of these, compulsory levies and transfers are the main sources of revenue for most general government units. In particular, taxes are compulsory, unrequited amounts receivable by government units from institutional units. Social contributions are </w:t>
            </w:r>
            <w:proofErr w:type="gramStart"/>
            <w:r w:rsidRPr="00882EAD">
              <w:rPr>
                <w:lang w:val="en-GB"/>
              </w:rPr>
              <w:t>actual</w:t>
            </w:r>
            <w:proofErr w:type="gramEnd"/>
            <w:r w:rsidRPr="00882EAD">
              <w:rPr>
                <w:lang w:val="en-GB"/>
              </w:rPr>
              <w:t xml:space="preserve"> or imputed revenue receivable by social insurance schemes to make provision for social insurance benefits payable. Grants are transfers receivable by government units from other resident or nonresident government units or international organizations, and that do not meet the definition of a tax, subsidy, or social contribution. Other revenue is all revenue receivable excluding taxes, social contributions, and grants. Other revenue comprises: (i) property income; (ii) sales of goods and services; (iii) fines, penalties, and forfeits; (iv) transfers not elsewhere classified; and (v) premiums, fees, and claims related to nonlife insurance and standardized guarantee schemes.</w:t>
            </w:r>
          </w:p>
          <w:p w14:paraId="2E26FDB2" w14:textId="77777777" w:rsidR="00BD06C4" w:rsidRPr="00882EAD" w:rsidRDefault="00BD06C4" w:rsidP="00BD06C4">
            <w:pPr>
              <w:pStyle w:val="NoSpacing"/>
              <w:rPr>
                <w:lang w:val="en-GB"/>
              </w:rPr>
            </w:pPr>
          </w:p>
          <w:p w14:paraId="28DF5115" w14:textId="77777777" w:rsidR="00BD06C4" w:rsidRPr="00882EAD" w:rsidRDefault="00BD06C4" w:rsidP="00586441">
            <w:pPr>
              <w:pStyle w:val="NoSpacing"/>
              <w:jc w:val="both"/>
              <w:rPr>
                <w:lang w:val="en-GB"/>
              </w:rPr>
            </w:pPr>
            <w:r w:rsidRPr="00882EAD">
              <w:rPr>
                <w:b/>
                <w:lang w:val="en-GB"/>
              </w:rPr>
              <w:t xml:space="preserve">Concepts: </w:t>
            </w:r>
            <w:r w:rsidRPr="00882EAD">
              <w:rPr>
                <w:lang w:val="en-GB"/>
              </w:rPr>
              <w:t xml:space="preserve">The transactions and the associated classifications are detailed in Chapter 5 of </w:t>
            </w:r>
            <w:r w:rsidRPr="00882EAD">
              <w:rPr>
                <w:i/>
                <w:lang w:val="en-GB"/>
              </w:rPr>
              <w:t>GFSM 2014</w:t>
            </w:r>
            <w:r w:rsidRPr="00882EAD">
              <w:rPr>
                <w:lang w:val="en-GB"/>
              </w:rPr>
              <w:t xml:space="preserve"> and are structured to demonstrate how general government (and public sector) units raise revenue. Only those taxes and social insurance contributions that are evidenced by tax assessments and declarations, customs declarations, and similar documents are considered to create revenue for government units. Thus, the difference between assessments and expected collections represents a claim that has no real value and should not be recorded as revenue (see </w:t>
            </w:r>
            <w:r w:rsidRPr="00882EAD">
              <w:rPr>
                <w:i/>
                <w:lang w:val="en-GB"/>
              </w:rPr>
              <w:t>GFSM 2014</w:t>
            </w:r>
            <w:r w:rsidRPr="00882EAD">
              <w:rPr>
                <w:lang w:val="en-GB"/>
              </w:rPr>
              <w:t xml:space="preserve"> paragraph 5.20). The analytic framework of </w:t>
            </w:r>
            <w:r w:rsidRPr="00882EAD">
              <w:rPr>
                <w:i/>
                <w:lang w:val="en-GB"/>
              </w:rPr>
              <w:t>GFSM 2014</w:t>
            </w:r>
            <w:r w:rsidRPr="00882EAD">
              <w:rPr>
                <w:lang w:val="en-GB"/>
              </w:rPr>
              <w:t xml:space="preserve"> (like that of the </w:t>
            </w:r>
            <w:r w:rsidRPr="00882EAD">
              <w:rPr>
                <w:i/>
                <w:lang w:val="en-GB"/>
              </w:rPr>
              <w:t>GFSM 2001</w:t>
            </w:r>
            <w:r w:rsidRPr="00882EAD">
              <w:rPr>
                <w:lang w:val="en-GB"/>
              </w:rPr>
              <w:t xml:space="preserve">) builds on the </w:t>
            </w:r>
            <w:r w:rsidRPr="00882EAD">
              <w:rPr>
                <w:i/>
                <w:lang w:val="en-GB"/>
              </w:rPr>
              <w:t>GFSM 1986</w:t>
            </w:r>
            <w:r w:rsidRPr="00882EAD">
              <w:rPr>
                <w:lang w:val="en-GB"/>
              </w:rPr>
              <w:t xml:space="preserve"> framework, and extends it by incorporating additional elements that are useful in assessing fiscal policy. An important example is the treatment of nonfinancial assets, where the sale of such assets is no longer included in revenue. The disposal of a </w:t>
            </w:r>
            <w:r w:rsidRPr="00882EAD">
              <w:rPr>
                <w:lang w:val="en-GB"/>
              </w:rPr>
              <w:lastRenderedPageBreak/>
              <w:t xml:space="preserve">nonfinancial asset by sale or barter is not revenue because it has no effect on net worth. Rather, it changes the composition of the balance sheet by exchanging one asset (the nonfinancial asset) for another (the proceeds of the sale). Similarly, amounts receivable from loan repayments and loan disbursements are not revenue. In general, transactions that increase net worth result from current operations. Capital transfers are an exception. In </w:t>
            </w:r>
            <w:r w:rsidRPr="00882EAD">
              <w:rPr>
                <w:i/>
                <w:lang w:val="en-GB"/>
              </w:rPr>
              <w:t>GFSM 2014</w:t>
            </w:r>
            <w:r w:rsidRPr="00882EAD">
              <w:rPr>
                <w:lang w:val="en-GB"/>
              </w:rPr>
              <w:t xml:space="preserve">, capital transfers receivable are classified as revenue because they increase the recipient’s net worth and they are often indistinguishable from current transfers in their effect on government operations. In recording cash-based accounting revenue transactions, data representing the tax payments received by government, net of refunds paid out during the period covered should be reported. These data will include taxes paid after the original assessment, taxes paid or refunds deducted from taxes after subsequent assessments, and taxes paid or refunds deducted after any subsequent reopening of the accounts. Therefore, total tax revenue could be presented on a gross basis as the total amount of all taxes accrued, or on a net basis as the gross amount minus tax refunds. Revenue categories are presented gross of expense categories for the same or related category. In particular, interest revenue is presented gross rather than as net interest expense or net interest revenue. Similarly, social benefits and social contributions, grant revenue and expense, and rent revenue and expense are presented gross. Also, sales of goods and services are presented gross of the expenses incurred in their production. In cases of erroneous or unauthorized transactions, revenue categories are presented net of refunds of the relevant revenue, and expense categories are presented net of inflows from the recovery of the expense. For example, refunds of income taxes may be paid when the amount of taxes withheld or otherwise paid in advance of the final determination exceeds the actual tax due. Such refunds are recorded as a reduction in tax revenue. For this reason, tax revenue is presented net of non-payable tax credits (see </w:t>
            </w:r>
            <w:r w:rsidRPr="00882EAD">
              <w:rPr>
                <w:i/>
                <w:lang w:val="en-GB"/>
              </w:rPr>
              <w:t>GFSM 2014</w:t>
            </w:r>
            <w:r w:rsidRPr="00882EAD">
              <w:rPr>
                <w:lang w:val="en-GB"/>
              </w:rPr>
              <w:t xml:space="preserve"> paragraphs 5.29–5.32).</w:t>
            </w:r>
          </w:p>
          <w:p w14:paraId="1A366E0B" w14:textId="77777777" w:rsidR="00BD06C4" w:rsidRPr="00882EAD" w:rsidRDefault="00BD06C4" w:rsidP="00BD06C4">
            <w:pPr>
              <w:pStyle w:val="NoSpacing"/>
              <w:rPr>
                <w:b/>
                <w:lang w:val="en-GB"/>
              </w:rPr>
            </w:pPr>
          </w:p>
          <w:p w14:paraId="3528668D" w14:textId="77777777" w:rsidR="00BD06C4" w:rsidRPr="00882EAD" w:rsidRDefault="00BD06C4" w:rsidP="00BD06C4">
            <w:pPr>
              <w:pStyle w:val="NoSpacing"/>
              <w:rPr>
                <w:lang w:val="en-GB"/>
              </w:rPr>
            </w:pPr>
            <w:r w:rsidRPr="00882EAD">
              <w:rPr>
                <w:lang w:val="en-GB"/>
              </w:rPr>
              <w:t>Rational and interpretation</w:t>
            </w:r>
          </w:p>
          <w:p w14:paraId="69F2FECB" w14:textId="77777777" w:rsidR="00BD06C4" w:rsidRPr="00882EAD" w:rsidRDefault="00BD06C4" w:rsidP="00BD06C4">
            <w:pPr>
              <w:pStyle w:val="NoSpacing"/>
              <w:rPr>
                <w:b/>
                <w:lang w:val="en-GB"/>
              </w:rPr>
            </w:pPr>
          </w:p>
          <w:p w14:paraId="2A25AE34" w14:textId="77777777" w:rsidR="00BD06C4" w:rsidRPr="00882EAD" w:rsidRDefault="00BD06C4" w:rsidP="00586441">
            <w:pPr>
              <w:pStyle w:val="NoSpacing"/>
              <w:jc w:val="both"/>
              <w:rPr>
                <w:lang w:val="en-GB"/>
              </w:rPr>
            </w:pPr>
            <w:r w:rsidRPr="00882EAD">
              <w:rPr>
                <w:lang w:val="en-GB"/>
              </w:rPr>
              <w:t xml:space="preserve">Fiscal policy is the use of the level and composition of the general government and public sectors’ spending and revenue—and the related accumulation of government assets and liabilities—to achieve such goals as the stabilization of the economy, the reallocation of resources, and the redistribution of income. In addition to revenue mobilization, government units may also finance a portion of their activities in a specific period by borrowing or by acquiring funds from sources other than compulsory transfers—for example, interest revenue, incidental sales of goods and services, or the rent of subsoil assets. Indicator 17.1.1 </w:t>
            </w:r>
            <w:r w:rsidRPr="00882EAD">
              <w:rPr>
                <w:i/>
                <w:lang w:val="en-GB"/>
              </w:rPr>
              <w:t xml:space="preserve">Total government revenue as a proportion of GDP, by source </w:t>
            </w:r>
            <w:r w:rsidRPr="00882EAD">
              <w:rPr>
                <w:lang w:val="en-GB"/>
              </w:rPr>
              <w:t>supports understanding countries’ domestic revenue mobilization in the form of tax and nontax sources. The indicator will provide analysts with a cross-country comparable dataset that highlights the r</w:t>
            </w:r>
            <w:bookmarkStart w:id="24" w:name="_Hlk505925709"/>
            <w:r w:rsidRPr="00882EAD">
              <w:rPr>
                <w:lang w:val="en-GB"/>
              </w:rPr>
              <w:t xml:space="preserve">elationship between the </w:t>
            </w:r>
            <w:r w:rsidRPr="00882EAD">
              <w:rPr>
                <w:lang w:val="en-GB"/>
              </w:rPr>
              <w:lastRenderedPageBreak/>
              <w:t>four main types of revenue as well as the relative "tax burden" (revenue in the form of taxes) and</w:t>
            </w:r>
            <w:bookmarkEnd w:id="24"/>
            <w:r w:rsidRPr="00882EAD">
              <w:rPr>
                <w:lang w:val="en-GB"/>
              </w:rPr>
              <w:t xml:space="preserve"> “fiscal burden” (revenue in the form of taxes plus social contributions).</w:t>
            </w:r>
          </w:p>
          <w:p w14:paraId="0298CF6B" w14:textId="77777777" w:rsidR="00BD06C4" w:rsidRPr="00882EAD" w:rsidRDefault="00BD06C4" w:rsidP="00586441">
            <w:pPr>
              <w:pStyle w:val="NoSpacing"/>
              <w:jc w:val="both"/>
              <w:rPr>
                <w:lang w:val="en-GB"/>
              </w:rPr>
            </w:pPr>
          </w:p>
          <w:p w14:paraId="3B59FD22" w14:textId="77777777" w:rsidR="00BD06C4" w:rsidRPr="00882EAD" w:rsidRDefault="00BD06C4" w:rsidP="00586441">
            <w:pPr>
              <w:pStyle w:val="NoSpacing"/>
              <w:jc w:val="both"/>
            </w:pPr>
            <w:r w:rsidRPr="00882EAD">
              <w:t>Methodology</w:t>
            </w:r>
          </w:p>
          <w:p w14:paraId="0650E337" w14:textId="77777777" w:rsidR="00BD06C4" w:rsidRPr="00882EAD" w:rsidRDefault="00BD06C4" w:rsidP="00586441">
            <w:pPr>
              <w:pStyle w:val="NoSpacing"/>
              <w:jc w:val="both"/>
              <w:rPr>
                <w:lang w:val="en-GB"/>
              </w:rPr>
            </w:pPr>
            <w:r w:rsidRPr="00882EAD">
              <w:rPr>
                <w:b/>
                <w:lang w:val="en-GB"/>
              </w:rPr>
              <w:t>Method of computation:</w:t>
            </w:r>
            <w:r w:rsidRPr="00882EAD">
              <w:rPr>
                <w:lang w:val="en-GB"/>
              </w:rPr>
              <w:t xml:space="preserve"> Indicator 17.1.1 will be derived using series that are basic to the GFS reporting framework. GFS revenue series maintained by the IMF Statistics Department are collected in Table 1 of the standard annual data questionnaire. Each revenue transaction is classified according to whether it is a tax or another type of revenue. GFS revenue aggregates are summations of individual entries and elements in this particular class of flows and allow for these data to be arranged in a manageable and analytically useful way. For example, tax revenue is the sum of all flows that are classified as taxes. Conceptually, the value </w:t>
            </w:r>
            <w:proofErr w:type="gramStart"/>
            <w:r w:rsidRPr="00882EAD">
              <w:rPr>
                <w:lang w:val="en-GB"/>
              </w:rPr>
              <w:t>for each main revenue</w:t>
            </w:r>
            <w:proofErr w:type="gramEnd"/>
            <w:r w:rsidRPr="00882EAD">
              <w:rPr>
                <w:lang w:val="en-GB"/>
              </w:rPr>
              <w:t xml:space="preserve"> aggregate is the sum of the values for all items in the relevant category. The annual GFS series for monitoring Indicator 17.1.1will be derived from the data reported by the national authorities (in national currency) expressed as a percent of Gross Domestic Product (GDP), where GDP is derived from the IMF </w:t>
            </w:r>
            <w:r w:rsidRPr="00882EAD">
              <w:rPr>
                <w:i/>
                <w:lang w:val="en-GB"/>
              </w:rPr>
              <w:t>World Economic Outlook</w:t>
            </w:r>
            <w:r w:rsidRPr="00882EAD">
              <w:rPr>
                <w:lang w:val="en-GB"/>
              </w:rPr>
              <w:t xml:space="preserve"> database (no adjustments and/or weighting techniques will be applied). Mixed sources are not being used nor will the calculation change over time (i.e., there are no discontinuities in the underlying series as these are key aggregates/ components in all country reported GFS series). The presentation will closely align with that currently contained in World Table 4 from the hard-copy </w:t>
            </w:r>
            <w:r w:rsidRPr="00882EAD">
              <w:rPr>
                <w:i/>
                <w:lang w:val="en-GB"/>
              </w:rPr>
              <w:t>GFS Yearbook</w:t>
            </w:r>
            <w:r w:rsidRPr="00882EAD">
              <w:rPr>
                <w:lang w:val="en-GB"/>
              </w:rPr>
              <w:t xml:space="preserve">: </w:t>
            </w:r>
          </w:p>
          <w:p w14:paraId="682961A3" w14:textId="77777777" w:rsidR="00BD06C4" w:rsidRPr="00882EAD" w:rsidRDefault="00BD06C4" w:rsidP="00586441">
            <w:pPr>
              <w:pStyle w:val="NoSpacing"/>
              <w:jc w:val="both"/>
              <w:rPr>
                <w:lang w:val="en-GB"/>
              </w:rPr>
            </w:pPr>
            <w:r w:rsidRPr="00882EAD">
              <w:rPr>
                <w:lang w:val="en-GB"/>
              </w:rPr>
              <w:br/>
            </w:r>
            <w:r w:rsidRPr="00882EAD">
              <w:rPr>
                <w:noProof/>
                <w:lang w:bidi="bn-BD"/>
              </w:rPr>
              <w:drawing>
                <wp:inline distT="0" distB="0" distL="0" distR="0" wp14:anchorId="710D4A37" wp14:editId="3A226434">
                  <wp:extent cx="5238750" cy="699444"/>
                  <wp:effectExtent l="0" t="0" r="0" b="5715"/>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82240" cy="705251"/>
                          </a:xfrm>
                          <a:prstGeom prst="rect">
                            <a:avLst/>
                          </a:prstGeom>
                          <a:noFill/>
                          <a:ln>
                            <a:noFill/>
                          </a:ln>
                        </pic:spPr>
                      </pic:pic>
                    </a:graphicData>
                  </a:graphic>
                </wp:inline>
              </w:drawing>
            </w:r>
            <w:r w:rsidRPr="00882EAD">
              <w:rPr>
                <w:lang w:val="en-GB"/>
              </w:rPr>
              <w:br/>
            </w:r>
            <w:r w:rsidRPr="00882EAD">
              <w:rPr>
                <w:lang w:val="en-GB"/>
              </w:rPr>
              <w:br/>
            </w:r>
            <w:bookmarkStart w:id="25" w:name="_Hlk505925560"/>
            <w:r w:rsidRPr="00882EAD">
              <w:rPr>
                <w:lang w:val="en-GB"/>
              </w:rPr>
              <w:t xml:space="preserve">Historic series have been aligned with </w:t>
            </w:r>
            <w:r w:rsidRPr="00882EAD">
              <w:rPr>
                <w:i/>
                <w:lang w:val="en-GB"/>
              </w:rPr>
              <w:t>GFSM 2014</w:t>
            </w:r>
            <w:r w:rsidRPr="00882EAD">
              <w:rPr>
                <w:lang w:val="en-GB"/>
              </w:rPr>
              <w:t xml:space="preserve"> classifications. This enhances the comparability of data across countries and ensures establishing robust analytical findings to support SDG monitoring using fiscal data.</w:t>
            </w:r>
            <w:bookmarkEnd w:id="25"/>
          </w:p>
          <w:p w14:paraId="16938DF2" w14:textId="77777777" w:rsidR="00BD06C4" w:rsidRDefault="00BD06C4" w:rsidP="00BD06C4">
            <w:pPr>
              <w:pStyle w:val="NoSpacing"/>
            </w:pPr>
          </w:p>
        </w:tc>
        <w:tc>
          <w:tcPr>
            <w:tcW w:w="2835" w:type="dxa"/>
          </w:tcPr>
          <w:p w14:paraId="35B94DB0" w14:textId="77777777" w:rsidR="00BD06C4" w:rsidRDefault="00BD06C4" w:rsidP="00BD06C4">
            <w:pPr>
              <w:pStyle w:val="NoSpacing"/>
            </w:pPr>
            <w:r w:rsidRPr="00CC0CD3">
              <w:rPr>
                <w:rFonts w:cstheme="minorHAnsi"/>
              </w:rPr>
              <w:lastRenderedPageBreak/>
              <w:t>fiscal statistics</w:t>
            </w:r>
          </w:p>
        </w:tc>
        <w:tc>
          <w:tcPr>
            <w:tcW w:w="1167" w:type="dxa"/>
          </w:tcPr>
          <w:p w14:paraId="20E62B70" w14:textId="77777777" w:rsidR="00BD06C4" w:rsidRPr="00531ED0" w:rsidRDefault="00BD06C4" w:rsidP="00BD06C4">
            <w:pPr>
              <w:pStyle w:val="NoSpacing"/>
            </w:pPr>
            <w:r w:rsidRPr="00CC0CD3">
              <w:t>Ministries of Finance, Central Banks, National Statistics Offices,</w:t>
            </w:r>
          </w:p>
        </w:tc>
        <w:tc>
          <w:tcPr>
            <w:tcW w:w="0" w:type="auto"/>
          </w:tcPr>
          <w:p w14:paraId="2C93CCD6" w14:textId="1C7AC05E" w:rsidR="00BD06C4" w:rsidRDefault="00BD06C4" w:rsidP="00BD06C4">
            <w:pPr>
              <w:pStyle w:val="NoSpacing"/>
            </w:pPr>
            <w:r w:rsidRPr="00BC6F10">
              <w:t>FD</w:t>
            </w:r>
          </w:p>
          <w:p w14:paraId="3D25FD9E" w14:textId="77777777" w:rsidR="00BD06C4" w:rsidRPr="00BC6F10" w:rsidRDefault="00BD06C4" w:rsidP="00BD06C4">
            <w:pPr>
              <w:pStyle w:val="NoSpacing"/>
            </w:pPr>
            <w:r>
              <w:t>Administrative Data</w:t>
            </w:r>
          </w:p>
        </w:tc>
        <w:tc>
          <w:tcPr>
            <w:tcW w:w="0" w:type="auto"/>
          </w:tcPr>
          <w:p w14:paraId="757F6200" w14:textId="77777777" w:rsidR="00BD06C4" w:rsidRPr="00BC6F10" w:rsidRDefault="00BD06C4" w:rsidP="00BD06C4">
            <w:pPr>
              <w:pStyle w:val="NoSpacing"/>
            </w:pPr>
            <w:r w:rsidRPr="00BC6F10">
              <w:t>a) NBR, IRD</w:t>
            </w:r>
          </w:p>
          <w:p w14:paraId="32DF7E68" w14:textId="77777777" w:rsidR="00BD06C4" w:rsidRDefault="00BD06C4" w:rsidP="00BD06C4">
            <w:pPr>
              <w:pStyle w:val="NoSpacing"/>
            </w:pPr>
            <w:r w:rsidRPr="00BC6F10">
              <w:t>b) FD</w:t>
            </w:r>
          </w:p>
          <w:p w14:paraId="43011E8B" w14:textId="77777777" w:rsidR="00BD06C4" w:rsidRPr="004527E3" w:rsidRDefault="00BD06C4" w:rsidP="00BD06C4">
            <w:pPr>
              <w:pStyle w:val="NoSpacing"/>
              <w:rPr>
                <w:szCs w:val="25"/>
              </w:rPr>
            </w:pPr>
            <w:r>
              <w:t>Administrative Data</w:t>
            </w:r>
          </w:p>
        </w:tc>
        <w:tc>
          <w:tcPr>
            <w:tcW w:w="0" w:type="auto"/>
          </w:tcPr>
          <w:p w14:paraId="1CFD8E45" w14:textId="77777777" w:rsidR="00BD06C4" w:rsidRDefault="00BD06C4" w:rsidP="00586441">
            <w:pPr>
              <w:pStyle w:val="ListParagraph"/>
              <w:numPr>
                <w:ilvl w:val="0"/>
                <w:numId w:val="52"/>
              </w:numPr>
              <w:spacing w:after="0" w:line="240" w:lineRule="auto"/>
              <w:ind w:left="160" w:hanging="160"/>
              <w:rPr>
                <w:rFonts w:ascii="Tw Cen MT Condensed" w:hAnsi="Tw Cen MT Condensed"/>
                <w:sz w:val="20"/>
                <w:szCs w:val="20"/>
              </w:rPr>
            </w:pPr>
            <w:r>
              <w:rPr>
                <w:rFonts w:ascii="Tw Cen MT Condensed" w:hAnsi="Tw Cen MT Condensed"/>
                <w:sz w:val="20"/>
                <w:szCs w:val="20"/>
              </w:rPr>
              <w:t xml:space="preserve">source of support </w:t>
            </w:r>
          </w:p>
          <w:p w14:paraId="4647A364" w14:textId="77777777" w:rsidR="00BD06C4" w:rsidRDefault="00BD06C4" w:rsidP="00586441">
            <w:pPr>
              <w:pStyle w:val="ListParagraph"/>
              <w:numPr>
                <w:ilvl w:val="0"/>
                <w:numId w:val="52"/>
              </w:numPr>
              <w:spacing w:after="0" w:line="240" w:lineRule="auto"/>
              <w:ind w:left="160" w:hanging="160"/>
              <w:rPr>
                <w:rFonts w:ascii="Tw Cen MT Condensed" w:hAnsi="Tw Cen MT Condensed"/>
                <w:sz w:val="20"/>
                <w:szCs w:val="20"/>
              </w:rPr>
            </w:pPr>
            <w:r>
              <w:rPr>
                <w:rFonts w:ascii="Tw Cen MT Condensed" w:hAnsi="Tw Cen MT Condensed"/>
                <w:sz w:val="20"/>
                <w:szCs w:val="20"/>
              </w:rPr>
              <w:t>donor</w:t>
            </w:r>
          </w:p>
          <w:p w14:paraId="45540141" w14:textId="77777777" w:rsidR="00BD06C4" w:rsidRDefault="00BD06C4" w:rsidP="00586441">
            <w:pPr>
              <w:pStyle w:val="ListParagraph"/>
              <w:numPr>
                <w:ilvl w:val="0"/>
                <w:numId w:val="52"/>
              </w:numPr>
              <w:spacing w:after="0" w:line="240" w:lineRule="auto"/>
              <w:ind w:left="160" w:hanging="160"/>
              <w:rPr>
                <w:rFonts w:ascii="Tw Cen MT Condensed" w:hAnsi="Tw Cen MT Condensed"/>
                <w:sz w:val="20"/>
                <w:szCs w:val="20"/>
              </w:rPr>
            </w:pPr>
            <w:r>
              <w:rPr>
                <w:rFonts w:ascii="Tw Cen MT Condensed" w:hAnsi="Tw Cen MT Condensed"/>
                <w:sz w:val="20"/>
                <w:szCs w:val="20"/>
              </w:rPr>
              <w:t xml:space="preserve">recipient country </w:t>
            </w:r>
          </w:p>
          <w:p w14:paraId="42C0F0DB" w14:textId="77777777" w:rsidR="00BD06C4" w:rsidRDefault="00BD06C4" w:rsidP="00586441">
            <w:pPr>
              <w:pStyle w:val="ListParagraph"/>
              <w:numPr>
                <w:ilvl w:val="0"/>
                <w:numId w:val="52"/>
              </w:numPr>
              <w:spacing w:after="0" w:line="240" w:lineRule="auto"/>
              <w:ind w:left="160" w:hanging="160"/>
              <w:rPr>
                <w:rFonts w:ascii="Tw Cen MT Condensed" w:hAnsi="Tw Cen MT Condensed"/>
                <w:sz w:val="20"/>
                <w:szCs w:val="20"/>
              </w:rPr>
            </w:pPr>
            <w:r>
              <w:rPr>
                <w:rFonts w:ascii="Tw Cen MT Condensed" w:hAnsi="Tw Cen MT Condensed"/>
                <w:sz w:val="20"/>
                <w:szCs w:val="20"/>
              </w:rPr>
              <w:t xml:space="preserve">type of finance </w:t>
            </w:r>
          </w:p>
          <w:p w14:paraId="7EE4DE04" w14:textId="77777777" w:rsidR="00BD06C4" w:rsidRDefault="00BD06C4" w:rsidP="00586441">
            <w:pPr>
              <w:pStyle w:val="ListParagraph"/>
              <w:numPr>
                <w:ilvl w:val="0"/>
                <w:numId w:val="52"/>
              </w:numPr>
              <w:spacing w:after="160" w:line="256" w:lineRule="auto"/>
              <w:ind w:left="160" w:hanging="160"/>
              <w:rPr>
                <w:rFonts w:ascii="Tw Cen MT Condensed" w:hAnsi="Tw Cen MT Condensed"/>
                <w:szCs w:val="20"/>
              </w:rPr>
            </w:pPr>
            <w:r>
              <w:rPr>
                <w:rFonts w:ascii="Tw Cen MT Condensed" w:hAnsi="Tw Cen MT Condensed"/>
                <w:sz w:val="20"/>
                <w:szCs w:val="20"/>
              </w:rPr>
              <w:t>type of aid</w:t>
            </w:r>
          </w:p>
          <w:p w14:paraId="2D264534" w14:textId="77777777" w:rsidR="00BD06C4" w:rsidRDefault="00BD06C4" w:rsidP="00BD06C4">
            <w:pPr>
              <w:ind w:left="970" w:hanging="970"/>
              <w:jc w:val="both"/>
              <w:rPr>
                <w:color w:val="0070C0"/>
                <w:sz w:val="30"/>
                <w:szCs w:val="30"/>
              </w:rPr>
            </w:pPr>
          </w:p>
        </w:tc>
        <w:tc>
          <w:tcPr>
            <w:tcW w:w="1078" w:type="dxa"/>
          </w:tcPr>
          <w:p w14:paraId="30399836" w14:textId="77777777" w:rsidR="00BD06C4" w:rsidRDefault="00BD06C4" w:rsidP="00BD06C4">
            <w:pPr>
              <w:ind w:left="970" w:hanging="970"/>
              <w:jc w:val="both"/>
              <w:rPr>
                <w:color w:val="0070C0"/>
                <w:sz w:val="30"/>
                <w:szCs w:val="30"/>
              </w:rPr>
            </w:pPr>
            <w:r w:rsidRPr="00BC6F10">
              <w:rPr>
                <w:szCs w:val="20"/>
              </w:rPr>
              <w:t>Annual</w:t>
            </w:r>
          </w:p>
        </w:tc>
        <w:tc>
          <w:tcPr>
            <w:tcW w:w="872" w:type="dxa"/>
          </w:tcPr>
          <w:p w14:paraId="2C910B90" w14:textId="77777777" w:rsidR="00BD06C4" w:rsidRDefault="00BD06C4" w:rsidP="00BD06C4">
            <w:pPr>
              <w:ind w:left="970" w:hanging="970"/>
              <w:jc w:val="both"/>
              <w:rPr>
                <w:color w:val="0070C0"/>
                <w:sz w:val="30"/>
                <w:szCs w:val="30"/>
              </w:rPr>
            </w:pPr>
            <w:r>
              <w:t>Group 1</w:t>
            </w:r>
          </w:p>
        </w:tc>
        <w:tc>
          <w:tcPr>
            <w:tcW w:w="619" w:type="dxa"/>
          </w:tcPr>
          <w:p w14:paraId="33058DFF" w14:textId="77777777" w:rsidR="00BD06C4" w:rsidRDefault="00BD06C4" w:rsidP="00BD06C4">
            <w:pPr>
              <w:pStyle w:val="NoSpacing"/>
            </w:pPr>
          </w:p>
          <w:p w14:paraId="772549EC" w14:textId="77777777" w:rsidR="00BD06C4" w:rsidRDefault="00BD06C4" w:rsidP="00BD06C4">
            <w:pPr>
              <w:pStyle w:val="NoSpacing"/>
            </w:pPr>
            <w:r>
              <w:t>1</w:t>
            </w:r>
            <w:r w:rsidRPr="00013ACB">
              <w:rPr>
                <w:vertAlign w:val="superscript"/>
              </w:rPr>
              <w:t>st</w:t>
            </w:r>
            <w:r>
              <w:t xml:space="preserve"> Round:</w:t>
            </w:r>
          </w:p>
          <w:p w14:paraId="6C91DE37" w14:textId="77777777" w:rsidR="00BD06C4" w:rsidRDefault="00BD06C4" w:rsidP="00BD06C4">
            <w:pPr>
              <w:pStyle w:val="NoSpacing"/>
            </w:pPr>
            <w:r>
              <w:t>2015</w:t>
            </w:r>
          </w:p>
          <w:p w14:paraId="3306CB02" w14:textId="77777777" w:rsidR="00BD06C4" w:rsidRDefault="00BD06C4" w:rsidP="00BD06C4">
            <w:pPr>
              <w:pStyle w:val="NoSpacing"/>
            </w:pPr>
          </w:p>
          <w:p w14:paraId="26A6DC47" w14:textId="77777777" w:rsidR="00BD06C4" w:rsidRDefault="00BD06C4" w:rsidP="00BD06C4">
            <w:pPr>
              <w:pStyle w:val="NoSpacing"/>
            </w:pPr>
            <w:r>
              <w:t>2</w:t>
            </w:r>
            <w:r w:rsidRPr="00013ACB">
              <w:rPr>
                <w:vertAlign w:val="superscript"/>
              </w:rPr>
              <w:t>nd</w:t>
            </w:r>
            <w:r>
              <w:t xml:space="preserve"> Round:</w:t>
            </w:r>
          </w:p>
          <w:p w14:paraId="6A5D4D62" w14:textId="77777777" w:rsidR="00BD06C4" w:rsidRDefault="00BD06C4" w:rsidP="00BD06C4">
            <w:pPr>
              <w:pStyle w:val="NoSpacing"/>
            </w:pPr>
            <w:r>
              <w:t xml:space="preserve"> January </w:t>
            </w:r>
          </w:p>
          <w:p w14:paraId="186E8E48" w14:textId="77777777" w:rsidR="00BD06C4" w:rsidRDefault="00BD06C4" w:rsidP="00BD06C4">
            <w:pPr>
              <w:pStyle w:val="NoSpacing"/>
            </w:pPr>
            <w:r>
              <w:t>2019</w:t>
            </w:r>
          </w:p>
          <w:p w14:paraId="6455264A" w14:textId="77777777" w:rsidR="00BD06C4" w:rsidRDefault="00BD06C4" w:rsidP="00BD06C4">
            <w:pPr>
              <w:pStyle w:val="NoSpacing"/>
            </w:pPr>
          </w:p>
          <w:p w14:paraId="31AABF53" w14:textId="77777777" w:rsidR="00BD06C4" w:rsidRDefault="00BD06C4" w:rsidP="00BD06C4">
            <w:pPr>
              <w:pStyle w:val="NoSpacing"/>
            </w:pPr>
            <w:r>
              <w:t>3</w:t>
            </w:r>
            <w:r w:rsidRPr="00013ACB">
              <w:rPr>
                <w:vertAlign w:val="superscript"/>
              </w:rPr>
              <w:t>rd</w:t>
            </w:r>
            <w:r>
              <w:t xml:space="preserve"> Round: </w:t>
            </w:r>
          </w:p>
          <w:p w14:paraId="7E7A8FD7" w14:textId="77777777" w:rsidR="00BD06C4" w:rsidRDefault="00BD06C4" w:rsidP="00BD06C4">
            <w:pPr>
              <w:pStyle w:val="NoSpacing"/>
            </w:pPr>
            <w:r>
              <w:t xml:space="preserve">January </w:t>
            </w:r>
          </w:p>
          <w:p w14:paraId="3EED3041" w14:textId="77777777" w:rsidR="00BD06C4" w:rsidRDefault="00BD06C4" w:rsidP="00BD06C4">
            <w:pPr>
              <w:pStyle w:val="NoSpacing"/>
            </w:pPr>
            <w:r>
              <w:t>2020</w:t>
            </w:r>
          </w:p>
          <w:p w14:paraId="2C60FEE9" w14:textId="77777777" w:rsidR="00BD06C4" w:rsidRDefault="00BD06C4" w:rsidP="00BD06C4">
            <w:pPr>
              <w:pStyle w:val="NoSpacing"/>
            </w:pPr>
          </w:p>
          <w:p w14:paraId="20200D8F" w14:textId="77777777" w:rsidR="00BD06C4" w:rsidRDefault="00BD06C4" w:rsidP="00BD06C4">
            <w:pPr>
              <w:pStyle w:val="NoSpacing"/>
            </w:pPr>
            <w:r>
              <w:t>4</w:t>
            </w:r>
            <w:r w:rsidRPr="00013ACB">
              <w:rPr>
                <w:vertAlign w:val="superscript"/>
              </w:rPr>
              <w:t>th</w:t>
            </w:r>
            <w:r>
              <w:t xml:space="preserve"> Round: </w:t>
            </w:r>
          </w:p>
          <w:p w14:paraId="08B4E36C" w14:textId="77777777" w:rsidR="00BD06C4" w:rsidRDefault="00BD06C4" w:rsidP="00BD06C4">
            <w:pPr>
              <w:pStyle w:val="NoSpacing"/>
            </w:pPr>
            <w:r>
              <w:t xml:space="preserve">January </w:t>
            </w:r>
          </w:p>
          <w:p w14:paraId="1E8549C1" w14:textId="77777777" w:rsidR="00BD06C4" w:rsidRDefault="00BD06C4" w:rsidP="00BD06C4">
            <w:pPr>
              <w:pStyle w:val="NoSpacing"/>
            </w:pPr>
            <w:r>
              <w:t>2021</w:t>
            </w:r>
          </w:p>
          <w:p w14:paraId="7A6B2855" w14:textId="77777777" w:rsidR="00BD06C4" w:rsidRDefault="00BD06C4" w:rsidP="00BD06C4">
            <w:pPr>
              <w:pStyle w:val="NoSpacing"/>
            </w:pPr>
          </w:p>
          <w:p w14:paraId="7BF7400F" w14:textId="77777777" w:rsidR="00BD06C4" w:rsidRDefault="00BD06C4" w:rsidP="00BD06C4">
            <w:pPr>
              <w:pStyle w:val="NoSpacing"/>
            </w:pPr>
            <w:r>
              <w:t>5</w:t>
            </w:r>
            <w:r w:rsidRPr="00013ACB">
              <w:rPr>
                <w:vertAlign w:val="superscript"/>
              </w:rPr>
              <w:t>th</w:t>
            </w:r>
            <w:r>
              <w:t xml:space="preserve"> Round: </w:t>
            </w:r>
          </w:p>
          <w:p w14:paraId="576170F7" w14:textId="77777777" w:rsidR="00BD06C4" w:rsidRDefault="00BD06C4" w:rsidP="00BD06C4">
            <w:pPr>
              <w:pStyle w:val="NoSpacing"/>
            </w:pPr>
            <w:r>
              <w:lastRenderedPageBreak/>
              <w:t xml:space="preserve">January </w:t>
            </w:r>
          </w:p>
          <w:p w14:paraId="503794C3" w14:textId="77777777" w:rsidR="00BD06C4" w:rsidRDefault="00BD06C4" w:rsidP="00BD06C4">
            <w:pPr>
              <w:pStyle w:val="NoSpacing"/>
            </w:pPr>
            <w:r>
              <w:t>2022</w:t>
            </w:r>
          </w:p>
          <w:p w14:paraId="56F5705D" w14:textId="2CA53078" w:rsidR="00BD06C4" w:rsidRPr="00C3536E" w:rsidRDefault="00BD06C4" w:rsidP="00BD06C4">
            <w:pPr>
              <w:pStyle w:val="NoSpacing"/>
            </w:pPr>
          </w:p>
        </w:tc>
        <w:tc>
          <w:tcPr>
            <w:tcW w:w="0" w:type="auto"/>
          </w:tcPr>
          <w:p w14:paraId="20E471FC" w14:textId="77777777" w:rsidR="00BD06C4" w:rsidRDefault="00BD06C4" w:rsidP="00BD06C4">
            <w:pPr>
              <w:ind w:left="970" w:hanging="970"/>
              <w:jc w:val="both"/>
              <w:rPr>
                <w:color w:val="0070C0"/>
                <w:sz w:val="30"/>
                <w:szCs w:val="30"/>
              </w:rPr>
            </w:pPr>
          </w:p>
        </w:tc>
      </w:tr>
      <w:tr w:rsidR="00BD06C4" w14:paraId="0A2362AD" w14:textId="77777777" w:rsidTr="00586441">
        <w:tc>
          <w:tcPr>
            <w:tcW w:w="0" w:type="auto"/>
          </w:tcPr>
          <w:p w14:paraId="4554FAA7" w14:textId="77777777" w:rsidR="00BD06C4" w:rsidRDefault="00BD06C4" w:rsidP="00BD06C4">
            <w:pPr>
              <w:pStyle w:val="NoSpacing"/>
            </w:pPr>
            <w:r w:rsidRPr="00BB536A">
              <w:lastRenderedPageBreak/>
              <w:t xml:space="preserve">17.1.2 Proportion of domestic budget </w:t>
            </w:r>
            <w:r w:rsidRPr="00BB536A">
              <w:lastRenderedPageBreak/>
              <w:t>funded by domestic taxes</w:t>
            </w:r>
          </w:p>
        </w:tc>
        <w:tc>
          <w:tcPr>
            <w:tcW w:w="0" w:type="auto"/>
          </w:tcPr>
          <w:p w14:paraId="6820A71E" w14:textId="77777777" w:rsidR="00BD06C4" w:rsidRDefault="00BD06C4" w:rsidP="00BD06C4">
            <w:pPr>
              <w:pStyle w:val="NoSpacing"/>
            </w:pPr>
            <w:r w:rsidRPr="0085065B">
              <w:lastRenderedPageBreak/>
              <w:t>IMF</w:t>
            </w:r>
          </w:p>
          <w:p w14:paraId="47B80A8E" w14:textId="77777777" w:rsidR="00BD06C4" w:rsidRDefault="00BD06C4" w:rsidP="00BD06C4">
            <w:pPr>
              <w:rPr>
                <w:b/>
                <w:bCs/>
                <w:szCs w:val="20"/>
              </w:rPr>
            </w:pPr>
            <w:r w:rsidRPr="007243FC">
              <w:rPr>
                <w:b/>
                <w:bCs/>
                <w:szCs w:val="20"/>
              </w:rPr>
              <w:t>Partner Agencies:</w:t>
            </w:r>
          </w:p>
          <w:p w14:paraId="7A79CF8F" w14:textId="77777777" w:rsidR="00BD06C4" w:rsidRDefault="00BD06C4" w:rsidP="00BD06C4">
            <w:pPr>
              <w:ind w:left="970" w:hanging="970"/>
              <w:jc w:val="both"/>
              <w:rPr>
                <w:color w:val="0070C0"/>
                <w:sz w:val="30"/>
                <w:szCs w:val="30"/>
              </w:rPr>
            </w:pPr>
          </w:p>
        </w:tc>
        <w:tc>
          <w:tcPr>
            <w:tcW w:w="0" w:type="auto"/>
          </w:tcPr>
          <w:p w14:paraId="2E1CA952" w14:textId="77777777" w:rsidR="00BD06C4" w:rsidRDefault="00BD06C4" w:rsidP="00BD06C4">
            <w:pPr>
              <w:ind w:left="970" w:hanging="970"/>
              <w:jc w:val="both"/>
              <w:rPr>
                <w:color w:val="0070C0"/>
                <w:sz w:val="30"/>
                <w:szCs w:val="30"/>
              </w:rPr>
            </w:pPr>
            <w:r>
              <w:t>Tier I</w:t>
            </w:r>
          </w:p>
        </w:tc>
        <w:tc>
          <w:tcPr>
            <w:tcW w:w="0" w:type="auto"/>
          </w:tcPr>
          <w:p w14:paraId="1C9878BF" w14:textId="77777777" w:rsidR="00BD06C4" w:rsidRPr="00882EAD" w:rsidRDefault="00BD06C4" w:rsidP="00BD06C4">
            <w:pPr>
              <w:pStyle w:val="NoSpacing"/>
              <w:rPr>
                <w:b/>
                <w:lang w:val="en-GB"/>
              </w:rPr>
            </w:pPr>
            <w:r w:rsidRPr="00882EAD">
              <w:rPr>
                <w:b/>
                <w:lang w:val="en-GB"/>
              </w:rPr>
              <w:t xml:space="preserve">Definition: </w:t>
            </w:r>
          </w:p>
          <w:p w14:paraId="205CF594" w14:textId="77777777" w:rsidR="00BD06C4" w:rsidRPr="00882EAD" w:rsidRDefault="00BD06C4" w:rsidP="00586441">
            <w:pPr>
              <w:pStyle w:val="NoSpacing"/>
              <w:jc w:val="both"/>
              <w:rPr>
                <w:lang w:val="en-GB"/>
              </w:rPr>
            </w:pPr>
            <w:r w:rsidRPr="00882EAD">
              <w:rPr>
                <w:lang w:val="en-GB"/>
              </w:rPr>
              <w:t>The precise definition of the indicator is the</w:t>
            </w:r>
            <w:r w:rsidRPr="00882EAD">
              <w:rPr>
                <w:i/>
                <w:lang w:val="en-GB"/>
              </w:rPr>
              <w:t xml:space="preserve"> Proportion of domestic budgetary central government expenditure funded by taxes</w:t>
            </w:r>
            <w:r w:rsidRPr="00882EAD">
              <w:rPr>
                <w:lang w:val="en-GB"/>
              </w:rPr>
              <w:t xml:space="preserve">. Budgetary central government, described in </w:t>
            </w:r>
            <w:r w:rsidRPr="00882EAD">
              <w:rPr>
                <w:i/>
                <w:lang w:val="en-GB"/>
              </w:rPr>
              <w:t>GFSM 2014</w:t>
            </w:r>
            <w:r w:rsidRPr="00882EAD">
              <w:rPr>
                <w:lang w:val="en-GB"/>
              </w:rPr>
              <w:t xml:space="preserve"> (paragraph 2.81) is an institutional unit of the general government sector particularly important in terms of size and power, particularly the power to exercise control over many </w:t>
            </w:r>
            <w:r w:rsidRPr="00882EAD">
              <w:rPr>
                <w:lang w:val="en-GB"/>
              </w:rPr>
              <w:lastRenderedPageBreak/>
              <w:t xml:space="preserve">other units and entities. The budgetary central government is often a single unit of the central government that encompasses the fundamental activities of the national executive, legislative, and judiciary powers. This component of general government is usually covered by the main (or general) budget. The budgetary central government’s revenue (and expense) are normally regulated and controlled by a ministry of finance, or its functional equivalent, by means of a budget approved by the legislature. Most of the ministries, departments, agencies, boards, commissions, judicial authorities, legislative bodies, and other entities that make up the budgetary central government are not separate institutional units. This is because they generally do not have the authority to own assets, incur liabilities, or engage in transactions in their own right (see </w:t>
            </w:r>
            <w:r w:rsidRPr="00882EAD">
              <w:rPr>
                <w:i/>
                <w:lang w:val="en-GB"/>
              </w:rPr>
              <w:t>GFSM 2014</w:t>
            </w:r>
            <w:r w:rsidRPr="00882EAD">
              <w:rPr>
                <w:lang w:val="en-GB"/>
              </w:rPr>
              <w:t xml:space="preserve"> paragraph 2.42).  </w:t>
            </w:r>
            <w:proofErr w:type="gramStart"/>
            <w:r w:rsidRPr="00882EAD">
              <w:rPr>
                <w:lang w:val="en-GB"/>
              </w:rPr>
              <w:t>including</w:t>
            </w:r>
            <w:proofErr w:type="gramEnd"/>
            <w:r w:rsidRPr="00882EAD">
              <w:rPr>
                <w:lang w:val="en-GB"/>
              </w:rPr>
              <w:t xml:space="preserve"> references to standards and classifications, preferably relying on international agreed definitions. The indicator definition should be unambiguous and expressed in universally applicable terms. It must clearly express the unit of measurement (proportion, dollars, number of people, etc.).</w:t>
            </w:r>
          </w:p>
          <w:p w14:paraId="2945FF77" w14:textId="77777777" w:rsidR="00BD06C4" w:rsidRPr="00882EAD" w:rsidRDefault="00BD06C4" w:rsidP="00586441">
            <w:pPr>
              <w:pStyle w:val="NoSpacing"/>
              <w:jc w:val="both"/>
            </w:pPr>
          </w:p>
          <w:p w14:paraId="7D6643C1" w14:textId="77777777" w:rsidR="00BD06C4" w:rsidRPr="00882EAD" w:rsidRDefault="00BD06C4" w:rsidP="00586441">
            <w:pPr>
              <w:pStyle w:val="NoSpacing"/>
              <w:jc w:val="both"/>
              <w:rPr>
                <w:lang w:val="en-GB"/>
              </w:rPr>
            </w:pPr>
            <w:r w:rsidRPr="00882EAD">
              <w:rPr>
                <w:b/>
                <w:lang w:val="en-GB"/>
              </w:rPr>
              <w:t xml:space="preserve">Concepts: </w:t>
            </w:r>
            <w:r w:rsidRPr="00882EAD">
              <w:rPr>
                <w:lang w:val="en-GB"/>
              </w:rPr>
              <w:t xml:space="preserve">The key concepts and terms associated with the indicator are outlined in </w:t>
            </w:r>
            <w:r w:rsidRPr="00882EAD">
              <w:rPr>
                <w:i/>
                <w:lang w:val="en-GB"/>
              </w:rPr>
              <w:t>GFSM 2014</w:t>
            </w:r>
            <w:r w:rsidRPr="00882EAD">
              <w:rPr>
                <w:lang w:val="en-GB"/>
              </w:rPr>
              <w:t>, as are the associated classifications. Revenue is defined in Chapter 4 (paragraph 4.23) and the associated classifications are detailed in Chapter 5. Expenditure is also defined in Chapter 4 (paragraph 4.21) while the associated detailed classifications and concepts used for calculating this aggregate are outlined in Chapter 6 - 8.</w:t>
            </w:r>
          </w:p>
          <w:p w14:paraId="574246E9" w14:textId="77777777" w:rsidR="00BD06C4" w:rsidRPr="00882EAD" w:rsidRDefault="00BD06C4" w:rsidP="00BD06C4">
            <w:pPr>
              <w:pStyle w:val="NoSpacing"/>
            </w:pPr>
          </w:p>
          <w:p w14:paraId="24A745F8" w14:textId="77777777" w:rsidR="00BD06C4" w:rsidRPr="00882EAD" w:rsidRDefault="00BD06C4" w:rsidP="00BD06C4">
            <w:pPr>
              <w:pStyle w:val="NoSpacing"/>
              <w:rPr>
                <w:lang w:val="en-GB"/>
              </w:rPr>
            </w:pPr>
            <w:r w:rsidRPr="00882EAD">
              <w:rPr>
                <w:lang w:val="en-GB"/>
              </w:rPr>
              <w:t>Methodology</w:t>
            </w:r>
          </w:p>
          <w:p w14:paraId="4033EF18" w14:textId="77777777" w:rsidR="00BD06C4" w:rsidRPr="00882EAD" w:rsidRDefault="00BD06C4" w:rsidP="00586441">
            <w:pPr>
              <w:pStyle w:val="NoSpacing"/>
              <w:jc w:val="both"/>
              <w:rPr>
                <w:lang w:val="en-GB"/>
              </w:rPr>
            </w:pPr>
            <w:r w:rsidRPr="00882EAD">
              <w:rPr>
                <w:b/>
                <w:lang w:val="en-GB"/>
              </w:rPr>
              <w:t xml:space="preserve">Method of computation: </w:t>
            </w:r>
            <w:r w:rsidRPr="00882EAD">
              <w:rPr>
                <w:lang w:val="en-GB"/>
              </w:rPr>
              <w:t xml:space="preserve">GFS budgetary central government revenue series - collected in Table 1 of the annual data questionnaire provided to all countries - will be combined with series on budgetary central government expenditure (actual execution of the main budget) on “expense” plus the “net acquisition of nonfinancial assets”, as defined in </w:t>
            </w:r>
            <w:r w:rsidRPr="00882EAD">
              <w:rPr>
                <w:i/>
                <w:lang w:val="en-GB"/>
              </w:rPr>
              <w:t>GFSM 2014</w:t>
            </w:r>
            <w:r w:rsidRPr="00882EAD">
              <w:rPr>
                <w:lang w:val="en-GB"/>
              </w:rPr>
              <w:t xml:space="preserve">).  GFS Expenditure series are reported by the economic classification in Tables </w:t>
            </w:r>
            <w:proofErr w:type="gramStart"/>
            <w:r w:rsidRPr="00882EAD">
              <w:rPr>
                <w:lang w:val="en-GB"/>
              </w:rPr>
              <w:t>2,</w:t>
            </w:r>
            <w:proofErr w:type="gramEnd"/>
            <w:r w:rsidRPr="00882EAD">
              <w:rPr>
                <w:lang w:val="en-GB"/>
              </w:rPr>
              <w:t xml:space="preserve"> and 3 (items under code 31). Alternatively, for those countries that report total expenditure according to the functional classification (COFOG) in GFS Table 7, a similar calculation can be made. The </w:t>
            </w:r>
            <w:r w:rsidRPr="00882EAD">
              <w:rPr>
                <w:i/>
                <w:lang w:val="en-GB"/>
              </w:rPr>
              <w:t>Proportion of domestic budgetary central government expenditure funded by taxes</w:t>
            </w:r>
            <w:r w:rsidRPr="00882EAD">
              <w:rPr>
                <w:lang w:val="en-GB"/>
              </w:rPr>
              <w:t xml:space="preserve"> will be calculated as (Taxes / Expenditure expressed as a %) using the following data series:</w:t>
            </w:r>
            <w:r w:rsidRPr="00882EAD">
              <w:rPr>
                <w:lang w:val="en-GB"/>
              </w:rPr>
              <w:br/>
            </w:r>
          </w:p>
          <w:p w14:paraId="236847CF" w14:textId="77777777" w:rsidR="00BD06C4" w:rsidRPr="00882EAD" w:rsidRDefault="00BD06C4" w:rsidP="00BD06C4">
            <w:pPr>
              <w:pStyle w:val="NoSpacing"/>
            </w:pPr>
            <w:r w:rsidRPr="00882EAD">
              <w:rPr>
                <w:noProof/>
                <w:lang w:bidi="bn-BD"/>
              </w:rPr>
              <w:lastRenderedPageBreak/>
              <w:drawing>
                <wp:inline distT="0" distB="0" distL="0" distR="0" wp14:anchorId="620ABD14" wp14:editId="5E1E2C81">
                  <wp:extent cx="3213980" cy="1117571"/>
                  <wp:effectExtent l="0" t="0" r="5715" b="6985"/>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23999" cy="1121055"/>
                          </a:xfrm>
                          <a:prstGeom prst="rect">
                            <a:avLst/>
                          </a:prstGeom>
                          <a:noFill/>
                          <a:ln>
                            <a:noFill/>
                          </a:ln>
                        </pic:spPr>
                      </pic:pic>
                    </a:graphicData>
                  </a:graphic>
                </wp:inline>
              </w:drawing>
            </w:r>
          </w:p>
          <w:p w14:paraId="72978CBD" w14:textId="77777777" w:rsidR="00BD06C4" w:rsidRPr="00882EAD" w:rsidRDefault="00BD06C4" w:rsidP="00BD06C4">
            <w:pPr>
              <w:pStyle w:val="NoSpacing"/>
            </w:pPr>
          </w:p>
          <w:p w14:paraId="3AFF25DF" w14:textId="77777777" w:rsidR="00BD06C4" w:rsidRPr="00882EAD" w:rsidRDefault="00BD06C4" w:rsidP="00586441">
            <w:pPr>
              <w:pStyle w:val="NoSpacing"/>
              <w:jc w:val="both"/>
              <w:rPr>
                <w:lang w:val="en-GB"/>
              </w:rPr>
            </w:pPr>
            <w:r w:rsidRPr="00882EAD">
              <w:rPr>
                <w:lang w:val="en-GB"/>
              </w:rPr>
              <w:t>Consistency across countries will be ensured through the underlying structure of the IMF GFS database and application of one simple mathematical formulas to make computations on the country reported source data used to produce the indicator (no adjustments and/or weighting techniques will be applied). Mixed sources are not being used nor will the calculation change over time (i.e., there are no discontinuities in the underlying series as these are key aggregates/ components in all country reported GFS series).</w:t>
            </w:r>
          </w:p>
          <w:p w14:paraId="695CB58D" w14:textId="77777777" w:rsidR="00BD06C4" w:rsidRDefault="00BD06C4" w:rsidP="00BD06C4">
            <w:pPr>
              <w:pStyle w:val="NoSpacing"/>
            </w:pPr>
          </w:p>
        </w:tc>
        <w:tc>
          <w:tcPr>
            <w:tcW w:w="2835" w:type="dxa"/>
          </w:tcPr>
          <w:p w14:paraId="24ADBE63" w14:textId="77777777" w:rsidR="00BD06C4" w:rsidRPr="00DD4502" w:rsidRDefault="00BD06C4" w:rsidP="00BD06C4">
            <w:pPr>
              <w:pStyle w:val="NoSpacing"/>
            </w:pPr>
            <w:r w:rsidRPr="008C78FF">
              <w:lastRenderedPageBreak/>
              <w:t>fiscal statistics</w:t>
            </w:r>
          </w:p>
        </w:tc>
        <w:tc>
          <w:tcPr>
            <w:tcW w:w="1167" w:type="dxa"/>
          </w:tcPr>
          <w:p w14:paraId="386D9F7A" w14:textId="77777777" w:rsidR="00BD06C4" w:rsidRDefault="00BD06C4" w:rsidP="00BD06C4">
            <w:pPr>
              <w:pStyle w:val="NoSpacing"/>
            </w:pPr>
            <w:r>
              <w:t xml:space="preserve">Identification of national data provider, specifying the organization </w:t>
            </w:r>
            <w:r>
              <w:lastRenderedPageBreak/>
              <w:t>responsible for producing the data at national</w:t>
            </w:r>
            <w:r w:rsidRPr="006F71AB">
              <w:rPr>
                <w:spacing w:val="-4"/>
              </w:rPr>
              <w:t xml:space="preserve"> </w:t>
            </w:r>
            <w:r>
              <w:t>level (see attached Excel file).</w:t>
            </w:r>
          </w:p>
          <w:p w14:paraId="608BD80C" w14:textId="77777777" w:rsidR="00BD06C4" w:rsidRDefault="00BD06C4" w:rsidP="00BD06C4">
            <w:pPr>
              <w:pStyle w:val="NoSpacing"/>
            </w:pPr>
          </w:p>
        </w:tc>
        <w:tc>
          <w:tcPr>
            <w:tcW w:w="0" w:type="auto"/>
          </w:tcPr>
          <w:p w14:paraId="6FEC1E32" w14:textId="77777777" w:rsidR="00BD06C4" w:rsidRDefault="00BD06C4" w:rsidP="00BD06C4">
            <w:pPr>
              <w:rPr>
                <w:rFonts w:eastAsia="Times New Roman" w:cs="Times New Roman"/>
                <w:color w:val="000000" w:themeColor="text1"/>
                <w:szCs w:val="20"/>
              </w:rPr>
            </w:pPr>
            <w:r w:rsidRPr="00BC6F10">
              <w:rPr>
                <w:rFonts w:eastAsia="Times New Roman" w:cs="Times New Roman"/>
                <w:color w:val="000000" w:themeColor="text1"/>
                <w:szCs w:val="20"/>
              </w:rPr>
              <w:lastRenderedPageBreak/>
              <w:t>FD</w:t>
            </w:r>
          </w:p>
          <w:p w14:paraId="504F5C33" w14:textId="77777777" w:rsidR="00BD06C4" w:rsidRPr="00BC6F10" w:rsidRDefault="00BD06C4" w:rsidP="00BD06C4">
            <w:pPr>
              <w:pStyle w:val="NoSpacing"/>
            </w:pPr>
            <w:r>
              <w:t>Administrative Data</w:t>
            </w:r>
          </w:p>
        </w:tc>
        <w:tc>
          <w:tcPr>
            <w:tcW w:w="0" w:type="auto"/>
          </w:tcPr>
          <w:p w14:paraId="0F90EA12" w14:textId="77777777" w:rsidR="00BD06C4" w:rsidRDefault="00BD06C4" w:rsidP="00BD06C4">
            <w:pPr>
              <w:rPr>
                <w:rFonts w:eastAsia="Times New Roman" w:cs="Times New Roman"/>
                <w:color w:val="000000" w:themeColor="text1"/>
                <w:szCs w:val="20"/>
              </w:rPr>
            </w:pPr>
            <w:r w:rsidRPr="00BC6F10">
              <w:rPr>
                <w:rFonts w:eastAsia="Times New Roman" w:cs="Times New Roman"/>
                <w:color w:val="000000" w:themeColor="text1"/>
                <w:szCs w:val="20"/>
              </w:rPr>
              <w:t>FD</w:t>
            </w:r>
          </w:p>
          <w:p w14:paraId="45706A56" w14:textId="77777777" w:rsidR="00BD06C4" w:rsidRPr="00BC6F10" w:rsidRDefault="00BD06C4" w:rsidP="00BD06C4">
            <w:pPr>
              <w:pStyle w:val="NoSpacing"/>
              <w:rPr>
                <w:rFonts w:eastAsia="Times New Roman" w:cs="Times New Roman"/>
                <w:color w:val="000000" w:themeColor="text1"/>
                <w:szCs w:val="20"/>
              </w:rPr>
            </w:pPr>
            <w:r>
              <w:t>Administrative Data</w:t>
            </w:r>
          </w:p>
        </w:tc>
        <w:tc>
          <w:tcPr>
            <w:tcW w:w="0" w:type="auto"/>
          </w:tcPr>
          <w:p w14:paraId="04AC4F1F"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Main source of income: Taxes, Social </w:t>
            </w:r>
            <w:r>
              <w:rPr>
                <w:rFonts w:ascii="Tw Cen MT Condensed" w:hAnsi="Tw Cen MT Condensed"/>
                <w:sz w:val="20"/>
                <w:szCs w:val="20"/>
              </w:rPr>
              <w:lastRenderedPageBreak/>
              <w:t>contributions, Grants, Other revenue</w:t>
            </w:r>
          </w:p>
          <w:p w14:paraId="6163FEA0" w14:textId="77777777" w:rsidR="00BD06C4" w:rsidRDefault="00BD06C4" w:rsidP="00BD06C4">
            <w:pPr>
              <w:pStyle w:val="ListParagraph"/>
              <w:numPr>
                <w:ilvl w:val="0"/>
                <w:numId w:val="52"/>
              </w:numPr>
              <w:spacing w:after="160" w:line="256" w:lineRule="auto"/>
              <w:ind w:left="166" w:hanging="166"/>
              <w:jc w:val="both"/>
              <w:rPr>
                <w:rFonts w:ascii="Tw Cen MT Condensed" w:hAnsi="Tw Cen MT Condensed"/>
                <w:szCs w:val="20"/>
              </w:rPr>
            </w:pPr>
            <w:r>
              <w:rPr>
                <w:rFonts w:ascii="Tw Cen MT Condensed" w:hAnsi="Tw Cen MT Condensed"/>
                <w:sz w:val="20"/>
                <w:szCs w:val="20"/>
              </w:rPr>
              <w:t xml:space="preserve">Expense type: compensation of employees, use of goods and services, and consumption of fixed capital all relate to the costs of producing nonmarket (and, in certain instances, market) goods and services by government. Subsidies, grants, </w:t>
            </w:r>
            <w:r>
              <w:rPr>
                <w:rFonts w:ascii="Tw Cen MT Condensed" w:hAnsi="Tw Cen MT Condensed"/>
                <w:sz w:val="20"/>
                <w:szCs w:val="20"/>
              </w:rPr>
              <w:lastRenderedPageBreak/>
              <w:t>social benefits, and transfers other than grants relate to transfers in cash or in kind, and are aimed at redistributing income and wealth</w:t>
            </w:r>
          </w:p>
          <w:p w14:paraId="542C19F7" w14:textId="77777777" w:rsidR="00BD06C4" w:rsidRDefault="00BD06C4" w:rsidP="00BD06C4">
            <w:pPr>
              <w:ind w:left="970" w:hanging="970"/>
              <w:jc w:val="both"/>
              <w:rPr>
                <w:color w:val="0070C0"/>
                <w:sz w:val="30"/>
                <w:szCs w:val="30"/>
              </w:rPr>
            </w:pPr>
          </w:p>
        </w:tc>
        <w:tc>
          <w:tcPr>
            <w:tcW w:w="1078" w:type="dxa"/>
          </w:tcPr>
          <w:p w14:paraId="3AECEA67" w14:textId="77777777" w:rsidR="00BD06C4" w:rsidRDefault="00BD06C4" w:rsidP="00BD06C4">
            <w:pPr>
              <w:ind w:left="970" w:hanging="970"/>
              <w:jc w:val="both"/>
              <w:rPr>
                <w:color w:val="0070C0"/>
                <w:sz w:val="30"/>
                <w:szCs w:val="30"/>
              </w:rPr>
            </w:pPr>
            <w:r w:rsidRPr="00BC6F10">
              <w:rPr>
                <w:szCs w:val="20"/>
              </w:rPr>
              <w:lastRenderedPageBreak/>
              <w:t>Annual</w:t>
            </w:r>
          </w:p>
        </w:tc>
        <w:tc>
          <w:tcPr>
            <w:tcW w:w="872" w:type="dxa"/>
          </w:tcPr>
          <w:p w14:paraId="2DE94ACF" w14:textId="77777777" w:rsidR="00BD06C4" w:rsidRDefault="00BD06C4" w:rsidP="00BD06C4">
            <w:pPr>
              <w:ind w:left="970" w:hanging="970"/>
              <w:jc w:val="both"/>
              <w:rPr>
                <w:color w:val="0070C0"/>
                <w:sz w:val="30"/>
                <w:szCs w:val="30"/>
              </w:rPr>
            </w:pPr>
            <w:r>
              <w:t>Group 1</w:t>
            </w:r>
          </w:p>
        </w:tc>
        <w:tc>
          <w:tcPr>
            <w:tcW w:w="619" w:type="dxa"/>
          </w:tcPr>
          <w:p w14:paraId="294D3403" w14:textId="77777777" w:rsidR="00BD06C4" w:rsidRDefault="00BD06C4" w:rsidP="00BD06C4">
            <w:pPr>
              <w:pStyle w:val="NoSpacing"/>
            </w:pPr>
            <w:r>
              <w:t>1</w:t>
            </w:r>
            <w:r w:rsidRPr="00013ACB">
              <w:rPr>
                <w:vertAlign w:val="superscript"/>
              </w:rPr>
              <w:t>st</w:t>
            </w:r>
            <w:r>
              <w:t xml:space="preserve"> Round:</w:t>
            </w:r>
          </w:p>
          <w:p w14:paraId="11D122FF" w14:textId="77777777" w:rsidR="00BD06C4" w:rsidRDefault="00BD06C4" w:rsidP="00BD06C4">
            <w:pPr>
              <w:pStyle w:val="NoSpacing"/>
            </w:pPr>
            <w:r>
              <w:t>2015</w:t>
            </w:r>
          </w:p>
          <w:p w14:paraId="1F384431" w14:textId="77777777" w:rsidR="00BD06C4" w:rsidRDefault="00BD06C4" w:rsidP="00BD06C4">
            <w:pPr>
              <w:pStyle w:val="NoSpacing"/>
            </w:pPr>
          </w:p>
          <w:p w14:paraId="4C9CBE14" w14:textId="77777777" w:rsidR="00BD06C4" w:rsidRDefault="00BD06C4" w:rsidP="00BD06C4">
            <w:pPr>
              <w:pStyle w:val="NoSpacing"/>
            </w:pPr>
            <w:r>
              <w:t>2</w:t>
            </w:r>
            <w:r w:rsidRPr="00013ACB">
              <w:rPr>
                <w:vertAlign w:val="superscript"/>
              </w:rPr>
              <w:t>nd</w:t>
            </w:r>
            <w:r>
              <w:t xml:space="preserve"> </w:t>
            </w:r>
            <w:r>
              <w:lastRenderedPageBreak/>
              <w:t>Round:</w:t>
            </w:r>
          </w:p>
          <w:p w14:paraId="3434DA89" w14:textId="77777777" w:rsidR="00BD06C4" w:rsidRDefault="00BD06C4" w:rsidP="00BD06C4">
            <w:pPr>
              <w:pStyle w:val="NoSpacing"/>
            </w:pPr>
            <w:r>
              <w:t xml:space="preserve"> July 2019</w:t>
            </w:r>
          </w:p>
          <w:p w14:paraId="6AB0885E" w14:textId="77777777" w:rsidR="00BD06C4" w:rsidRDefault="00BD06C4" w:rsidP="00BD06C4">
            <w:pPr>
              <w:pStyle w:val="NoSpacing"/>
            </w:pPr>
          </w:p>
          <w:p w14:paraId="116C6CBF" w14:textId="77777777" w:rsidR="00BD06C4" w:rsidRDefault="00BD06C4" w:rsidP="00BD06C4">
            <w:pPr>
              <w:pStyle w:val="NoSpacing"/>
            </w:pPr>
            <w:r>
              <w:t>3</w:t>
            </w:r>
            <w:r w:rsidRPr="00013ACB">
              <w:rPr>
                <w:vertAlign w:val="superscript"/>
              </w:rPr>
              <w:t>rd</w:t>
            </w:r>
            <w:r>
              <w:t xml:space="preserve"> Round: </w:t>
            </w:r>
          </w:p>
          <w:p w14:paraId="079492C3" w14:textId="77777777" w:rsidR="00BD06C4" w:rsidRDefault="00BD06C4" w:rsidP="00BD06C4">
            <w:pPr>
              <w:pStyle w:val="NoSpacing"/>
            </w:pPr>
            <w:r>
              <w:t>July 2020</w:t>
            </w:r>
          </w:p>
          <w:p w14:paraId="69CEFF3B" w14:textId="77777777" w:rsidR="00BD06C4" w:rsidRDefault="00BD06C4" w:rsidP="00BD06C4">
            <w:pPr>
              <w:pStyle w:val="NoSpacing"/>
            </w:pPr>
          </w:p>
          <w:p w14:paraId="452263B5" w14:textId="77777777" w:rsidR="00BD06C4" w:rsidRDefault="00BD06C4" w:rsidP="00BD06C4">
            <w:pPr>
              <w:pStyle w:val="NoSpacing"/>
            </w:pPr>
            <w:r>
              <w:t>4</w:t>
            </w:r>
            <w:r w:rsidRPr="00013ACB">
              <w:rPr>
                <w:vertAlign w:val="superscript"/>
              </w:rPr>
              <w:t>th</w:t>
            </w:r>
            <w:r>
              <w:t xml:space="preserve"> Round: </w:t>
            </w:r>
          </w:p>
          <w:p w14:paraId="5357F876" w14:textId="77777777" w:rsidR="00BD06C4" w:rsidRDefault="00BD06C4" w:rsidP="00BD06C4">
            <w:pPr>
              <w:pStyle w:val="NoSpacing"/>
            </w:pPr>
            <w:r>
              <w:t>July 2021</w:t>
            </w:r>
          </w:p>
          <w:p w14:paraId="70E39B4F" w14:textId="77777777" w:rsidR="00BD06C4" w:rsidRDefault="00BD06C4" w:rsidP="00BD06C4">
            <w:pPr>
              <w:pStyle w:val="NoSpacing"/>
            </w:pPr>
          </w:p>
          <w:p w14:paraId="66CA1ABC" w14:textId="77777777" w:rsidR="00BD06C4" w:rsidRDefault="00BD06C4" w:rsidP="00BD06C4">
            <w:pPr>
              <w:pStyle w:val="NoSpacing"/>
            </w:pPr>
            <w:r>
              <w:t>5</w:t>
            </w:r>
            <w:r w:rsidRPr="00013ACB">
              <w:rPr>
                <w:vertAlign w:val="superscript"/>
              </w:rPr>
              <w:t>th</w:t>
            </w:r>
            <w:r>
              <w:t xml:space="preserve"> Round: </w:t>
            </w:r>
          </w:p>
          <w:p w14:paraId="69E7B56C" w14:textId="5841242A" w:rsidR="00BD06C4" w:rsidRPr="00C3536E" w:rsidRDefault="00BD06C4" w:rsidP="00BD06C4">
            <w:pPr>
              <w:pStyle w:val="NoSpacing"/>
            </w:pPr>
            <w:r>
              <w:t>July 2022</w:t>
            </w:r>
          </w:p>
        </w:tc>
        <w:tc>
          <w:tcPr>
            <w:tcW w:w="0" w:type="auto"/>
          </w:tcPr>
          <w:p w14:paraId="7927E259" w14:textId="77777777" w:rsidR="00BD06C4" w:rsidRDefault="00BD06C4" w:rsidP="00BD06C4">
            <w:pPr>
              <w:ind w:left="970" w:hanging="970"/>
              <w:jc w:val="both"/>
              <w:rPr>
                <w:color w:val="0070C0"/>
                <w:sz w:val="30"/>
                <w:szCs w:val="30"/>
              </w:rPr>
            </w:pPr>
          </w:p>
        </w:tc>
      </w:tr>
      <w:tr w:rsidR="00586441" w14:paraId="601B548B" w14:textId="77777777" w:rsidTr="0085651F">
        <w:tc>
          <w:tcPr>
            <w:tcW w:w="18710" w:type="dxa"/>
            <w:gridSpan w:val="13"/>
          </w:tcPr>
          <w:p w14:paraId="68174768" w14:textId="77777777" w:rsidR="00586441" w:rsidRDefault="00586441" w:rsidP="00BD06C4">
            <w:pPr>
              <w:jc w:val="both"/>
              <w:rPr>
                <w:color w:val="0070C0"/>
                <w:sz w:val="48"/>
                <w:szCs w:val="48"/>
              </w:rPr>
            </w:pPr>
            <w:r>
              <w:rPr>
                <w:color w:val="0070C0"/>
                <w:sz w:val="30"/>
                <w:szCs w:val="30"/>
              </w:rPr>
              <w:lastRenderedPageBreak/>
              <w:t xml:space="preserve">Target </w:t>
            </w:r>
            <w:r w:rsidRPr="00306900">
              <w:rPr>
                <w:color w:val="0070C0"/>
                <w:sz w:val="30"/>
                <w:szCs w:val="30"/>
              </w:rPr>
              <w:t>17.2 Developed countries to implement fully their official development assistance commitments, including the commitment by many developed countries to achieve the target of 0.7 per cent of gross national income for official development assistance (ODA/GNI) to developing countries and 0.15 to 0.20 per cent of ODA/GNI to least developed countries; ODA providers are encouraged to consider setting a target to provide at least 0.20 per cent of ODA/GNI to least developed countries</w:t>
            </w:r>
          </w:p>
        </w:tc>
      </w:tr>
      <w:tr w:rsidR="00BD06C4" w14:paraId="76F15F98" w14:textId="77777777" w:rsidTr="00586441">
        <w:tc>
          <w:tcPr>
            <w:tcW w:w="0" w:type="auto"/>
          </w:tcPr>
          <w:p w14:paraId="13874AB1" w14:textId="77777777" w:rsidR="00BD06C4" w:rsidRPr="00BB536A" w:rsidRDefault="00BD06C4" w:rsidP="00BD06C4">
            <w:pPr>
              <w:pStyle w:val="NoSpacing"/>
            </w:pPr>
            <w:r w:rsidRPr="00BB536A">
              <w:t xml:space="preserve">17.2.1 Net official development assistance, total and to least developed countries, as a proportion of the </w:t>
            </w:r>
            <w:r w:rsidRPr="00BB536A">
              <w:lastRenderedPageBreak/>
              <w:t>Organization for Economic Cooperation and Development (OECD) Development Assistance Committee donors’ gross national income (GNI)</w:t>
            </w:r>
          </w:p>
        </w:tc>
        <w:tc>
          <w:tcPr>
            <w:tcW w:w="0" w:type="auto"/>
          </w:tcPr>
          <w:p w14:paraId="484914E2" w14:textId="77777777" w:rsidR="00BD06C4" w:rsidRDefault="00BD06C4" w:rsidP="00BD06C4">
            <w:pPr>
              <w:pStyle w:val="NoSpacing"/>
            </w:pPr>
            <w:r w:rsidRPr="0085065B">
              <w:lastRenderedPageBreak/>
              <w:t>OECD</w:t>
            </w:r>
          </w:p>
          <w:p w14:paraId="36B2FEDD" w14:textId="77777777" w:rsidR="00BD06C4" w:rsidRDefault="00BD06C4" w:rsidP="00BD06C4">
            <w:pPr>
              <w:rPr>
                <w:b/>
                <w:bCs/>
                <w:szCs w:val="20"/>
              </w:rPr>
            </w:pPr>
            <w:r w:rsidRPr="007243FC">
              <w:rPr>
                <w:b/>
                <w:bCs/>
                <w:szCs w:val="20"/>
              </w:rPr>
              <w:t>Partner Agencies:</w:t>
            </w:r>
          </w:p>
          <w:p w14:paraId="0BE8392F" w14:textId="77777777" w:rsidR="00BD06C4" w:rsidRDefault="00BD06C4" w:rsidP="00BD06C4">
            <w:pPr>
              <w:ind w:left="970" w:hanging="970"/>
              <w:jc w:val="both"/>
              <w:rPr>
                <w:color w:val="0070C0"/>
                <w:sz w:val="30"/>
                <w:szCs w:val="30"/>
              </w:rPr>
            </w:pPr>
          </w:p>
        </w:tc>
        <w:tc>
          <w:tcPr>
            <w:tcW w:w="0" w:type="auto"/>
          </w:tcPr>
          <w:p w14:paraId="66E66BD5" w14:textId="77777777" w:rsidR="00BD06C4" w:rsidRDefault="00BD06C4" w:rsidP="00BD06C4">
            <w:pPr>
              <w:ind w:left="970" w:hanging="970"/>
              <w:jc w:val="both"/>
              <w:rPr>
                <w:color w:val="0070C0"/>
                <w:sz w:val="30"/>
                <w:szCs w:val="30"/>
              </w:rPr>
            </w:pPr>
            <w:r>
              <w:t>Tier I</w:t>
            </w:r>
          </w:p>
        </w:tc>
        <w:tc>
          <w:tcPr>
            <w:tcW w:w="0" w:type="auto"/>
          </w:tcPr>
          <w:p w14:paraId="30C3A737" w14:textId="77777777" w:rsidR="00BD06C4" w:rsidRPr="00882EAD" w:rsidRDefault="00BD06C4" w:rsidP="00BD06C4">
            <w:pPr>
              <w:pStyle w:val="NoSpacing"/>
              <w:rPr>
                <w:lang w:val="en-GB"/>
              </w:rPr>
            </w:pPr>
            <w:r w:rsidRPr="00882EAD">
              <w:rPr>
                <w:b/>
                <w:bCs/>
                <w:lang w:val="en-GB"/>
              </w:rPr>
              <w:t>Definition:</w:t>
            </w:r>
          </w:p>
          <w:p w14:paraId="5CF2C4D7" w14:textId="77777777" w:rsidR="00BD06C4" w:rsidRPr="00882EAD" w:rsidRDefault="00BD06C4" w:rsidP="00BD06C4">
            <w:pPr>
              <w:pStyle w:val="NoSpacing"/>
              <w:rPr>
                <w:lang w:val="en-GB"/>
              </w:rPr>
            </w:pPr>
          </w:p>
          <w:p w14:paraId="68766078" w14:textId="77777777" w:rsidR="00BD06C4" w:rsidRPr="00882EAD" w:rsidRDefault="00BD06C4" w:rsidP="00BD06C4">
            <w:pPr>
              <w:pStyle w:val="NoSpacing"/>
              <w:rPr>
                <w:lang w:val="en-GB"/>
              </w:rPr>
            </w:pPr>
            <w:r w:rsidRPr="00882EAD">
              <w:rPr>
                <w:lang w:val="en-GB"/>
              </w:rPr>
              <w:t>The indicator Net official development assistance, total and to least developed countries, as a proportion of the Organization for Economic Cooperation and Development (OECD) Development Assistance Committee donors' gross national income (GNI) is defined as Net ODA disbursements as a per cent of GNI.</w:t>
            </w:r>
          </w:p>
          <w:p w14:paraId="205FB8CF" w14:textId="77777777" w:rsidR="00BD06C4" w:rsidRPr="00882EAD" w:rsidRDefault="00BD06C4" w:rsidP="00BD06C4">
            <w:pPr>
              <w:pStyle w:val="NoSpacing"/>
              <w:rPr>
                <w:lang w:val="en-GB"/>
              </w:rPr>
            </w:pPr>
          </w:p>
          <w:p w14:paraId="13418F2E" w14:textId="77777777" w:rsidR="00BD06C4" w:rsidRPr="00882EAD" w:rsidRDefault="00BD06C4" w:rsidP="00BD06C4">
            <w:pPr>
              <w:pStyle w:val="NoSpacing"/>
              <w:rPr>
                <w:lang w:val="en-GB"/>
              </w:rPr>
            </w:pPr>
            <w:r w:rsidRPr="00882EAD">
              <w:rPr>
                <w:b/>
                <w:bCs/>
                <w:lang w:val="en-GB"/>
              </w:rPr>
              <w:t>Concepts:</w:t>
            </w:r>
          </w:p>
          <w:p w14:paraId="551E911B" w14:textId="77777777" w:rsidR="00BD06C4" w:rsidRPr="00882EAD" w:rsidRDefault="00BD06C4" w:rsidP="00BD06C4">
            <w:pPr>
              <w:pStyle w:val="NoSpacing"/>
              <w:rPr>
                <w:lang w:val="en-GB"/>
              </w:rPr>
            </w:pPr>
          </w:p>
          <w:p w14:paraId="10B197E5" w14:textId="77777777" w:rsidR="00BD06C4" w:rsidRPr="00882EAD" w:rsidRDefault="00BD06C4" w:rsidP="00BD06C4">
            <w:pPr>
              <w:pStyle w:val="NoSpacing"/>
              <w:rPr>
                <w:lang w:val="en-GB"/>
              </w:rPr>
            </w:pPr>
            <w:r w:rsidRPr="00882EAD">
              <w:rPr>
                <w:lang w:val="en-GB"/>
              </w:rPr>
              <w:t xml:space="preserve">ODA: The DAC defines ODA as “those flows to countries and territories on the DAC List of ODA Recipients and to multilateral institutions which are i) provided by official agencies, including state and local governments, or by their executive agencies; and ii) each transaction is </w:t>
            </w:r>
            <w:r w:rsidRPr="00882EAD">
              <w:rPr>
                <w:lang w:val="en-GB"/>
              </w:rPr>
              <w:lastRenderedPageBreak/>
              <w:t>administered with the promotion of the economic development and welfare of developing countries as its main objective; and</w:t>
            </w:r>
          </w:p>
          <w:p w14:paraId="081CF2ED" w14:textId="77777777" w:rsidR="00BD06C4" w:rsidRPr="00882EAD" w:rsidRDefault="00BD06C4" w:rsidP="00BD06C4">
            <w:pPr>
              <w:pStyle w:val="NoSpacing"/>
              <w:rPr>
                <w:lang w:val="en-GB"/>
              </w:rPr>
            </w:pPr>
          </w:p>
          <w:p w14:paraId="59A0338E" w14:textId="77777777" w:rsidR="00BD06C4" w:rsidRPr="00882EAD" w:rsidRDefault="00BD06C4" w:rsidP="00BD06C4">
            <w:pPr>
              <w:pStyle w:val="NoSpacing"/>
              <w:rPr>
                <w:lang w:val="en-GB"/>
              </w:rPr>
            </w:pPr>
            <w:proofErr w:type="gramStart"/>
            <w:r w:rsidRPr="00882EAD">
              <w:rPr>
                <w:lang w:val="en-GB"/>
              </w:rPr>
              <w:t>is</w:t>
            </w:r>
            <w:proofErr w:type="gramEnd"/>
            <w:r w:rsidRPr="00882EAD">
              <w:rPr>
                <w:lang w:val="en-GB"/>
              </w:rPr>
              <w:t xml:space="preserve"> concessional in character and conveys a grant element of at least 25 per cent (calculated at a rate of discount of 10 per cent). (See http://www.oecd.org/dac/stats/officialdevelopmentassistancedefinitionandcoverage.htm)</w:t>
            </w:r>
          </w:p>
          <w:p w14:paraId="71E6B709" w14:textId="77777777" w:rsidR="00BD06C4" w:rsidRPr="00882EAD" w:rsidRDefault="00BD06C4" w:rsidP="00BD06C4">
            <w:pPr>
              <w:pStyle w:val="NoSpacing"/>
              <w:rPr>
                <w:lang w:val="en-GB"/>
              </w:rPr>
            </w:pPr>
          </w:p>
          <w:p w14:paraId="3B08B60D" w14:textId="77777777" w:rsidR="00BD06C4" w:rsidRPr="00882EAD" w:rsidRDefault="00BD06C4" w:rsidP="00BD06C4">
            <w:pPr>
              <w:pStyle w:val="NoSpacing"/>
              <w:rPr>
                <w:lang w:val="en-GB"/>
              </w:rPr>
            </w:pPr>
            <w:r w:rsidRPr="00882EAD">
              <w:rPr>
                <w:lang w:val="en-GB"/>
              </w:rPr>
              <w:t>GNI is obtained by DAC reporters from their national statistical offices.</w:t>
            </w:r>
          </w:p>
          <w:p w14:paraId="583CEC35" w14:textId="77777777" w:rsidR="00BD06C4" w:rsidRPr="00882EAD" w:rsidRDefault="00BD06C4" w:rsidP="00BD06C4">
            <w:pPr>
              <w:pStyle w:val="NoSpacing"/>
              <w:rPr>
                <w:lang w:val="en-GB"/>
              </w:rPr>
            </w:pPr>
          </w:p>
          <w:p w14:paraId="343EA524" w14:textId="77777777" w:rsidR="00BD06C4" w:rsidRPr="00882EAD" w:rsidRDefault="00BD06C4" w:rsidP="00BD06C4">
            <w:pPr>
              <w:pStyle w:val="NoSpacing"/>
              <w:rPr>
                <w:lang w:val="en-GB"/>
              </w:rPr>
            </w:pPr>
            <w:r w:rsidRPr="00882EAD">
              <w:rPr>
                <w:b/>
                <w:bCs/>
                <w:lang w:val="en-GB"/>
              </w:rPr>
              <w:t>Comments and limitations:</w:t>
            </w:r>
          </w:p>
          <w:p w14:paraId="62522187" w14:textId="77777777" w:rsidR="00BD06C4" w:rsidRPr="00882EAD" w:rsidRDefault="00BD06C4" w:rsidP="00BD06C4">
            <w:pPr>
              <w:pStyle w:val="NoSpacing"/>
              <w:rPr>
                <w:lang w:val="en-GB"/>
              </w:rPr>
            </w:pPr>
          </w:p>
          <w:p w14:paraId="03DD34E1" w14:textId="77777777" w:rsidR="00BD06C4" w:rsidRPr="00882EAD" w:rsidRDefault="00BD06C4" w:rsidP="00BD06C4">
            <w:pPr>
              <w:pStyle w:val="NoSpacing"/>
              <w:rPr>
                <w:lang w:val="en-GB"/>
              </w:rPr>
            </w:pPr>
            <w:r w:rsidRPr="00882EAD">
              <w:rPr>
                <w:lang w:val="en-GB"/>
              </w:rPr>
              <w:t>Data are available from 1960.</w:t>
            </w:r>
          </w:p>
          <w:p w14:paraId="58424061" w14:textId="77777777" w:rsidR="00BD06C4" w:rsidRPr="00882EAD" w:rsidRDefault="00BD06C4" w:rsidP="00BD06C4">
            <w:pPr>
              <w:pStyle w:val="NoSpacing"/>
              <w:rPr>
                <w:b/>
                <w:bCs/>
                <w:lang w:val="en-GB"/>
              </w:rPr>
            </w:pPr>
          </w:p>
          <w:p w14:paraId="00AC9C43" w14:textId="77777777" w:rsidR="00BD06C4" w:rsidRPr="00882EAD" w:rsidRDefault="00BD06C4" w:rsidP="00BD06C4">
            <w:pPr>
              <w:pStyle w:val="NoSpacing"/>
              <w:rPr>
                <w:lang w:val="en-GB"/>
              </w:rPr>
            </w:pPr>
            <w:r w:rsidRPr="00882EAD">
              <w:rPr>
                <w:b/>
                <w:bCs/>
                <w:lang w:val="en-GB"/>
              </w:rPr>
              <w:t>Computation Method:</w:t>
            </w:r>
          </w:p>
          <w:p w14:paraId="78F373B4" w14:textId="77777777" w:rsidR="00BD06C4" w:rsidRPr="00882EAD" w:rsidRDefault="00BD06C4" w:rsidP="00BD06C4">
            <w:pPr>
              <w:pStyle w:val="NoSpacing"/>
              <w:rPr>
                <w:lang w:val="en-GB"/>
              </w:rPr>
            </w:pPr>
          </w:p>
          <w:p w14:paraId="2EAAB787" w14:textId="77777777" w:rsidR="00BD06C4" w:rsidRPr="00882EAD" w:rsidRDefault="00BD06C4" w:rsidP="00BD06C4">
            <w:pPr>
              <w:pStyle w:val="NoSpacing"/>
              <w:rPr>
                <w:lang w:val="en-GB"/>
              </w:rPr>
            </w:pPr>
            <w:r w:rsidRPr="00882EAD">
              <w:rPr>
                <w:lang w:val="en-GB"/>
              </w:rPr>
              <w:t>Net ODA disbursements as a per cent of GNI.</w:t>
            </w:r>
          </w:p>
        </w:tc>
        <w:tc>
          <w:tcPr>
            <w:tcW w:w="2835" w:type="dxa"/>
          </w:tcPr>
          <w:p w14:paraId="664F9413" w14:textId="77777777" w:rsidR="00BD06C4" w:rsidRPr="00873FDE" w:rsidRDefault="00BD06C4" w:rsidP="00BD06C4">
            <w:pPr>
              <w:rPr>
                <w:szCs w:val="22"/>
              </w:rPr>
            </w:pPr>
            <w:r w:rsidRPr="00873FDE">
              <w:rPr>
                <w:szCs w:val="22"/>
              </w:rPr>
              <w:lastRenderedPageBreak/>
              <w:t>A statistical reporter is responsible for the collection of DAC statistics in each providing country/agency. This reporter is usually located in the national aid agency, Ministry of Foreign Affairs or Finance etc.</w:t>
            </w:r>
          </w:p>
        </w:tc>
        <w:tc>
          <w:tcPr>
            <w:tcW w:w="1167" w:type="dxa"/>
          </w:tcPr>
          <w:p w14:paraId="15F09B89" w14:textId="77777777" w:rsidR="00BD06C4" w:rsidRPr="00873FDE" w:rsidRDefault="00BD06C4" w:rsidP="00BD06C4">
            <w:pPr>
              <w:rPr>
                <w:szCs w:val="22"/>
              </w:rPr>
            </w:pPr>
            <w:r w:rsidRPr="00873FDE">
              <w:rPr>
                <w:szCs w:val="22"/>
              </w:rPr>
              <w:t>Data are reported on an annual calendar year basis by statistical reporters in national administrations (aid agencies, Ministries of Foreign Affairs or Finance, etc.</w:t>
            </w:r>
          </w:p>
        </w:tc>
        <w:tc>
          <w:tcPr>
            <w:tcW w:w="0" w:type="auto"/>
          </w:tcPr>
          <w:p w14:paraId="4A8B8932" w14:textId="77777777" w:rsidR="00BD06C4" w:rsidRDefault="00BD06C4" w:rsidP="00BD06C4">
            <w:pPr>
              <w:pStyle w:val="NoSpacing"/>
            </w:pPr>
            <w:r w:rsidRPr="00BC6F10">
              <w:rPr>
                <w:rFonts w:eastAsia="Times New Roman" w:cs="Times New Roman"/>
                <w:color w:val="000000" w:themeColor="text1"/>
                <w:szCs w:val="20"/>
              </w:rPr>
              <w:t xml:space="preserve">OECD &amp; </w:t>
            </w:r>
          </w:p>
          <w:p w14:paraId="661B265E" w14:textId="77777777" w:rsidR="00BD06C4" w:rsidRDefault="00BD06C4" w:rsidP="00BD06C4">
            <w:pPr>
              <w:pStyle w:val="NoSpacing"/>
            </w:pPr>
            <w:r w:rsidRPr="00BC6F10">
              <w:t>ERD</w:t>
            </w:r>
          </w:p>
          <w:p w14:paraId="3A9BD0DF" w14:textId="77777777" w:rsidR="00BD06C4" w:rsidRPr="00BC6F10" w:rsidRDefault="00BD06C4" w:rsidP="00BD06C4">
            <w:pPr>
              <w:pStyle w:val="NoSpacing"/>
            </w:pPr>
            <w:r>
              <w:t>Administrative Data</w:t>
            </w:r>
          </w:p>
        </w:tc>
        <w:tc>
          <w:tcPr>
            <w:tcW w:w="0" w:type="auto"/>
          </w:tcPr>
          <w:p w14:paraId="06A8C3FF" w14:textId="77777777" w:rsidR="00BD06C4" w:rsidRDefault="00BD06C4" w:rsidP="00BD06C4">
            <w:pPr>
              <w:pStyle w:val="NoSpacing"/>
            </w:pPr>
            <w:r w:rsidRPr="00BC6F10">
              <w:t>ERD</w:t>
            </w:r>
          </w:p>
          <w:p w14:paraId="1373BDF8" w14:textId="77777777" w:rsidR="00BD06C4" w:rsidRPr="00BC6F10" w:rsidRDefault="00BD06C4" w:rsidP="00BD06C4">
            <w:pPr>
              <w:pStyle w:val="NoSpacing"/>
            </w:pPr>
            <w:r>
              <w:t>Administrative Data</w:t>
            </w:r>
          </w:p>
        </w:tc>
        <w:tc>
          <w:tcPr>
            <w:tcW w:w="0" w:type="auto"/>
          </w:tcPr>
          <w:p w14:paraId="5A4B8CA3"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source of support</w:t>
            </w:r>
          </w:p>
          <w:p w14:paraId="1F5F363D"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donor</w:t>
            </w:r>
          </w:p>
          <w:p w14:paraId="22B080A7"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recipient country</w:t>
            </w:r>
          </w:p>
          <w:p w14:paraId="68444CE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finance</w:t>
            </w:r>
          </w:p>
          <w:p w14:paraId="1F460EC9"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aid</w:t>
            </w:r>
          </w:p>
          <w:p w14:paraId="5DB1ED97"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sub-sector</w:t>
            </w:r>
          </w:p>
          <w:p w14:paraId="0DF49905" w14:textId="77777777" w:rsidR="00BD06C4" w:rsidRDefault="00BD06C4" w:rsidP="00BD06C4">
            <w:pPr>
              <w:ind w:left="970" w:hanging="970"/>
              <w:jc w:val="both"/>
              <w:rPr>
                <w:color w:val="0070C0"/>
                <w:sz w:val="30"/>
                <w:szCs w:val="30"/>
              </w:rPr>
            </w:pPr>
          </w:p>
        </w:tc>
        <w:tc>
          <w:tcPr>
            <w:tcW w:w="1078" w:type="dxa"/>
          </w:tcPr>
          <w:p w14:paraId="7B9EFC27" w14:textId="77777777" w:rsidR="00BD06C4" w:rsidRDefault="00BD06C4" w:rsidP="00BD06C4">
            <w:pPr>
              <w:ind w:left="970" w:hanging="970"/>
              <w:jc w:val="both"/>
              <w:rPr>
                <w:color w:val="0070C0"/>
                <w:sz w:val="30"/>
                <w:szCs w:val="30"/>
              </w:rPr>
            </w:pPr>
            <w:r w:rsidRPr="00BC6F10">
              <w:rPr>
                <w:szCs w:val="20"/>
              </w:rPr>
              <w:lastRenderedPageBreak/>
              <w:t>Annual</w:t>
            </w:r>
          </w:p>
        </w:tc>
        <w:tc>
          <w:tcPr>
            <w:tcW w:w="872" w:type="dxa"/>
          </w:tcPr>
          <w:p w14:paraId="1D3C4BDF" w14:textId="77777777" w:rsidR="00BD06C4" w:rsidRDefault="00BD06C4" w:rsidP="00BD06C4">
            <w:pPr>
              <w:ind w:left="970" w:hanging="970"/>
              <w:jc w:val="both"/>
              <w:rPr>
                <w:color w:val="0070C0"/>
                <w:sz w:val="30"/>
                <w:szCs w:val="30"/>
              </w:rPr>
            </w:pPr>
            <w:r>
              <w:t>Group 1</w:t>
            </w:r>
          </w:p>
        </w:tc>
        <w:tc>
          <w:tcPr>
            <w:tcW w:w="619" w:type="dxa"/>
          </w:tcPr>
          <w:p w14:paraId="63FE3774" w14:textId="77777777" w:rsidR="00BD06C4" w:rsidRDefault="00BD06C4" w:rsidP="00BD06C4">
            <w:pPr>
              <w:pStyle w:val="NoSpacing"/>
            </w:pPr>
            <w:r>
              <w:t>1</w:t>
            </w:r>
            <w:r w:rsidRPr="00013ACB">
              <w:rPr>
                <w:vertAlign w:val="superscript"/>
              </w:rPr>
              <w:t>st</w:t>
            </w:r>
            <w:r>
              <w:t xml:space="preserve"> Round:</w:t>
            </w:r>
          </w:p>
          <w:p w14:paraId="2AA24152" w14:textId="77777777" w:rsidR="00BD06C4" w:rsidRDefault="00BD06C4" w:rsidP="00BD06C4">
            <w:pPr>
              <w:pStyle w:val="NoSpacing"/>
            </w:pPr>
            <w:r>
              <w:t>2015</w:t>
            </w:r>
          </w:p>
          <w:p w14:paraId="2DB0BB03" w14:textId="77777777" w:rsidR="00BD06C4" w:rsidRDefault="00BD06C4" w:rsidP="00BD06C4">
            <w:pPr>
              <w:pStyle w:val="NoSpacing"/>
            </w:pPr>
          </w:p>
          <w:p w14:paraId="70031BDB" w14:textId="77777777" w:rsidR="00BD06C4" w:rsidRDefault="00BD06C4" w:rsidP="00BD06C4">
            <w:pPr>
              <w:pStyle w:val="NoSpacing"/>
            </w:pPr>
            <w:r>
              <w:t>2</w:t>
            </w:r>
            <w:r w:rsidRPr="00013ACB">
              <w:rPr>
                <w:vertAlign w:val="superscript"/>
              </w:rPr>
              <w:t>nd</w:t>
            </w:r>
            <w:r>
              <w:t xml:space="preserve"> Round:</w:t>
            </w:r>
          </w:p>
          <w:p w14:paraId="4250A27C" w14:textId="77777777" w:rsidR="00BD06C4" w:rsidRDefault="00BD06C4" w:rsidP="00BD06C4">
            <w:pPr>
              <w:pStyle w:val="NoSpacing"/>
            </w:pPr>
            <w:r>
              <w:t xml:space="preserve">September </w:t>
            </w:r>
          </w:p>
          <w:p w14:paraId="2A7647B0" w14:textId="77777777" w:rsidR="00BD06C4" w:rsidRDefault="00BD06C4" w:rsidP="00BD06C4">
            <w:pPr>
              <w:pStyle w:val="NoSpacing"/>
            </w:pPr>
            <w:r>
              <w:t>2019</w:t>
            </w:r>
          </w:p>
          <w:p w14:paraId="16A90035" w14:textId="77777777" w:rsidR="00BD06C4" w:rsidRDefault="00BD06C4" w:rsidP="00BD06C4">
            <w:pPr>
              <w:pStyle w:val="NoSpacing"/>
            </w:pPr>
          </w:p>
          <w:p w14:paraId="6C79BFDA" w14:textId="77777777" w:rsidR="00BD06C4" w:rsidRDefault="00BD06C4" w:rsidP="00BD06C4">
            <w:pPr>
              <w:pStyle w:val="NoSpacing"/>
            </w:pPr>
            <w:r>
              <w:t>3</w:t>
            </w:r>
            <w:r w:rsidRPr="00013ACB">
              <w:rPr>
                <w:vertAlign w:val="superscript"/>
              </w:rPr>
              <w:t>rd</w:t>
            </w:r>
            <w:r>
              <w:t xml:space="preserve"> Round: </w:t>
            </w:r>
          </w:p>
          <w:p w14:paraId="15C1FCCB" w14:textId="77777777" w:rsidR="00BD06C4" w:rsidRDefault="00BD06C4" w:rsidP="00BD06C4">
            <w:pPr>
              <w:pStyle w:val="NoSpacing"/>
            </w:pPr>
            <w:r>
              <w:lastRenderedPageBreak/>
              <w:t xml:space="preserve">September </w:t>
            </w:r>
          </w:p>
          <w:p w14:paraId="4E0BAF1E" w14:textId="77777777" w:rsidR="00BD06C4" w:rsidRDefault="00BD06C4" w:rsidP="00BD06C4">
            <w:pPr>
              <w:pStyle w:val="NoSpacing"/>
            </w:pPr>
            <w:r>
              <w:t>2020</w:t>
            </w:r>
          </w:p>
          <w:p w14:paraId="3149F4A8" w14:textId="77777777" w:rsidR="00BD06C4" w:rsidRDefault="00BD06C4" w:rsidP="00BD06C4">
            <w:pPr>
              <w:pStyle w:val="NoSpacing"/>
            </w:pPr>
          </w:p>
          <w:p w14:paraId="7D3B93F0" w14:textId="77777777" w:rsidR="00BD06C4" w:rsidRDefault="00BD06C4" w:rsidP="00BD06C4">
            <w:pPr>
              <w:pStyle w:val="NoSpacing"/>
            </w:pPr>
            <w:r>
              <w:t>4</w:t>
            </w:r>
            <w:r w:rsidRPr="00013ACB">
              <w:rPr>
                <w:vertAlign w:val="superscript"/>
              </w:rPr>
              <w:t>th</w:t>
            </w:r>
            <w:r>
              <w:t xml:space="preserve"> Round: </w:t>
            </w:r>
          </w:p>
          <w:p w14:paraId="71A76641" w14:textId="77777777" w:rsidR="00BD06C4" w:rsidRDefault="00BD06C4" w:rsidP="00BD06C4">
            <w:pPr>
              <w:pStyle w:val="NoSpacing"/>
            </w:pPr>
            <w:r>
              <w:t xml:space="preserve">September </w:t>
            </w:r>
          </w:p>
          <w:p w14:paraId="3E0AC66C" w14:textId="77777777" w:rsidR="00BD06C4" w:rsidRDefault="00BD06C4" w:rsidP="00BD06C4">
            <w:pPr>
              <w:pStyle w:val="NoSpacing"/>
            </w:pPr>
            <w:r>
              <w:t>2021</w:t>
            </w:r>
          </w:p>
          <w:p w14:paraId="3E6AEBFC" w14:textId="77777777" w:rsidR="00BD06C4" w:rsidRDefault="00BD06C4" w:rsidP="00BD06C4">
            <w:pPr>
              <w:pStyle w:val="NoSpacing"/>
            </w:pPr>
          </w:p>
          <w:p w14:paraId="26EBF8B7" w14:textId="77777777" w:rsidR="00BD06C4" w:rsidRDefault="00BD06C4" w:rsidP="00BD06C4">
            <w:pPr>
              <w:pStyle w:val="NoSpacing"/>
            </w:pPr>
            <w:r>
              <w:t>5</w:t>
            </w:r>
            <w:r w:rsidRPr="00013ACB">
              <w:rPr>
                <w:vertAlign w:val="superscript"/>
              </w:rPr>
              <w:t>th</w:t>
            </w:r>
            <w:r>
              <w:t xml:space="preserve"> Round: </w:t>
            </w:r>
          </w:p>
          <w:p w14:paraId="45B159F9" w14:textId="77777777" w:rsidR="00BD06C4" w:rsidRDefault="00BD06C4" w:rsidP="00BD06C4">
            <w:pPr>
              <w:pStyle w:val="NoSpacing"/>
            </w:pPr>
            <w:r>
              <w:t xml:space="preserve">September </w:t>
            </w:r>
          </w:p>
          <w:p w14:paraId="3FD588F6" w14:textId="77777777" w:rsidR="00BD06C4" w:rsidRDefault="00BD06C4" w:rsidP="00BD06C4">
            <w:pPr>
              <w:pStyle w:val="NoSpacing"/>
            </w:pPr>
            <w:r>
              <w:t>2022</w:t>
            </w:r>
          </w:p>
          <w:p w14:paraId="42493C38" w14:textId="08085C93" w:rsidR="00BD06C4" w:rsidRPr="00C3536E" w:rsidRDefault="00BD06C4" w:rsidP="00BD06C4">
            <w:pPr>
              <w:pStyle w:val="NoSpacing"/>
            </w:pPr>
          </w:p>
        </w:tc>
        <w:tc>
          <w:tcPr>
            <w:tcW w:w="0" w:type="auto"/>
          </w:tcPr>
          <w:p w14:paraId="0E97F728" w14:textId="77777777" w:rsidR="00BD06C4" w:rsidRDefault="00BD06C4" w:rsidP="00BD06C4">
            <w:pPr>
              <w:ind w:left="970" w:hanging="970"/>
              <w:jc w:val="both"/>
              <w:rPr>
                <w:color w:val="0070C0"/>
                <w:sz w:val="30"/>
                <w:szCs w:val="30"/>
              </w:rPr>
            </w:pPr>
          </w:p>
        </w:tc>
      </w:tr>
      <w:tr w:rsidR="00BD06C4" w14:paraId="685AB836" w14:textId="77777777" w:rsidTr="00586441">
        <w:tc>
          <w:tcPr>
            <w:tcW w:w="0" w:type="auto"/>
          </w:tcPr>
          <w:p w14:paraId="24ED2E8D" w14:textId="77777777" w:rsidR="00BD06C4" w:rsidRDefault="00BD06C4" w:rsidP="00BD06C4">
            <w:pPr>
              <w:ind w:left="970" w:hanging="970"/>
              <w:jc w:val="both"/>
              <w:rPr>
                <w:color w:val="0070C0"/>
                <w:sz w:val="30"/>
                <w:szCs w:val="30"/>
              </w:rPr>
            </w:pPr>
          </w:p>
        </w:tc>
        <w:tc>
          <w:tcPr>
            <w:tcW w:w="17879" w:type="dxa"/>
            <w:gridSpan w:val="12"/>
          </w:tcPr>
          <w:p w14:paraId="3A1F9317"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17.3 Mobilize additional financial resources for developing countries from multiple sources</w:t>
            </w:r>
          </w:p>
        </w:tc>
      </w:tr>
      <w:tr w:rsidR="00BD06C4" w14:paraId="74B6320A" w14:textId="77777777" w:rsidTr="00586441">
        <w:tc>
          <w:tcPr>
            <w:tcW w:w="0" w:type="auto"/>
          </w:tcPr>
          <w:p w14:paraId="7B59EE2B" w14:textId="77777777" w:rsidR="00BD06C4" w:rsidRPr="00BB536A" w:rsidRDefault="00BD06C4" w:rsidP="00BD06C4">
            <w:pPr>
              <w:pStyle w:val="NoSpacing"/>
            </w:pPr>
            <w:r w:rsidRPr="00BB536A">
              <w:t>17.3.1 Foreign direct investment, official development assistance and South-South cooperation as a proportion of gross national income</w:t>
            </w:r>
          </w:p>
        </w:tc>
        <w:tc>
          <w:tcPr>
            <w:tcW w:w="0" w:type="auto"/>
          </w:tcPr>
          <w:p w14:paraId="4412DFCE" w14:textId="77777777" w:rsidR="00BD06C4" w:rsidRDefault="00BD06C4" w:rsidP="00BD06C4">
            <w:pPr>
              <w:ind w:left="970" w:hanging="970"/>
              <w:jc w:val="both"/>
              <w:rPr>
                <w:color w:val="0070C0"/>
                <w:sz w:val="30"/>
                <w:szCs w:val="30"/>
              </w:rPr>
            </w:pPr>
          </w:p>
          <w:p w14:paraId="2320C92A" w14:textId="77777777" w:rsidR="00BD06C4" w:rsidRDefault="00BD06C4" w:rsidP="00BD06C4">
            <w:pPr>
              <w:pStyle w:val="NoSpacing"/>
            </w:pPr>
          </w:p>
        </w:tc>
        <w:tc>
          <w:tcPr>
            <w:tcW w:w="0" w:type="auto"/>
          </w:tcPr>
          <w:p w14:paraId="3BD2163E" w14:textId="3EF81F7C" w:rsidR="00BD06C4" w:rsidRDefault="00754676" w:rsidP="00BD06C4">
            <w:pPr>
              <w:pStyle w:val="NoSpacing"/>
            </w:pPr>
            <w:r>
              <w:t>TBD</w:t>
            </w:r>
          </w:p>
        </w:tc>
        <w:tc>
          <w:tcPr>
            <w:tcW w:w="0" w:type="auto"/>
          </w:tcPr>
          <w:p w14:paraId="05AC1507" w14:textId="77777777" w:rsidR="00BD06C4" w:rsidRPr="00882EAD" w:rsidRDefault="00BD06C4" w:rsidP="00BD06C4">
            <w:pPr>
              <w:pStyle w:val="NoSpacing"/>
              <w:rPr>
                <w:lang w:val="en-GB"/>
              </w:rPr>
            </w:pPr>
            <w:r w:rsidRPr="00882EAD">
              <w:rPr>
                <w:b/>
                <w:bCs/>
                <w:lang w:val="en-GB"/>
              </w:rPr>
              <w:t>Definition:</w:t>
            </w:r>
          </w:p>
          <w:p w14:paraId="50F9CB53" w14:textId="3B74B8A3" w:rsidR="00BD06C4" w:rsidRDefault="002750C6" w:rsidP="00BD06C4">
            <w:pPr>
              <w:pStyle w:val="NoSpacing"/>
              <w:rPr>
                <w:lang w:val="en-GB"/>
              </w:rPr>
            </w:pPr>
            <w:r w:rsidRPr="002750C6">
              <w:rPr>
                <w:lang w:val="en-GB"/>
              </w:rPr>
              <w:t>FDI part: FDI inflows (expressed in millions of US dollars)</w:t>
            </w:r>
          </w:p>
          <w:p w14:paraId="07DC0EB9" w14:textId="77777777" w:rsidR="002750C6" w:rsidRPr="00882EAD" w:rsidRDefault="002750C6" w:rsidP="00BD06C4">
            <w:pPr>
              <w:pStyle w:val="NoSpacing"/>
              <w:rPr>
                <w:lang w:val="en-GB"/>
              </w:rPr>
            </w:pPr>
          </w:p>
          <w:p w14:paraId="19FA07F2" w14:textId="77777777" w:rsidR="00BD06C4" w:rsidRPr="00882EAD" w:rsidRDefault="00BD06C4" w:rsidP="00BD06C4">
            <w:pPr>
              <w:pStyle w:val="NoSpacing"/>
              <w:rPr>
                <w:lang w:val="en-GB"/>
              </w:rPr>
            </w:pPr>
            <w:r w:rsidRPr="00882EAD">
              <w:rPr>
                <w:b/>
                <w:bCs/>
                <w:lang w:val="en-GB"/>
              </w:rPr>
              <w:t>Concepts:</w:t>
            </w:r>
          </w:p>
          <w:p w14:paraId="524375B9" w14:textId="147F9449" w:rsidR="00BD06C4" w:rsidRDefault="002750C6" w:rsidP="002750C6">
            <w:pPr>
              <w:pStyle w:val="NoSpacing"/>
              <w:rPr>
                <w:lang w:val="en-GB"/>
              </w:rPr>
            </w:pPr>
            <w:r w:rsidRPr="002750C6">
              <w:rPr>
                <w:lang w:val="en-GB"/>
              </w:rPr>
              <w:t>Foreign direct investment (FDI) is defined as an investment involving a long-term relationship</w:t>
            </w:r>
            <w:r>
              <w:rPr>
                <w:lang w:val="en-GB"/>
              </w:rPr>
              <w:t xml:space="preserve"> </w:t>
            </w:r>
            <w:r w:rsidRPr="002750C6">
              <w:rPr>
                <w:lang w:val="en-GB"/>
              </w:rPr>
              <w:t>and reflecting a lasting interest and control by a resident entity in one economy (foreign</w:t>
            </w:r>
            <w:r>
              <w:rPr>
                <w:lang w:val="en-GB"/>
              </w:rPr>
              <w:t xml:space="preserve"> </w:t>
            </w:r>
            <w:r w:rsidRPr="002750C6">
              <w:rPr>
                <w:lang w:val="en-GB"/>
              </w:rPr>
              <w:t>direct investor or parent enterprise) in an enterprise resident in an economy other than</w:t>
            </w:r>
            <w:r>
              <w:rPr>
                <w:lang w:val="en-GB"/>
              </w:rPr>
              <w:t xml:space="preserve"> </w:t>
            </w:r>
            <w:r w:rsidRPr="002750C6">
              <w:rPr>
                <w:lang w:val="en-GB"/>
              </w:rPr>
              <w:t>that of the foreign direct investor (FDI enterprise or affiliate enterprise or foreign affiliate). Please see the Methodological Note of UNCTAD’s World Investment Report (</w:t>
            </w:r>
            <w:hyperlink r:id="rId143" w:history="1">
              <w:r w:rsidRPr="00A97035">
                <w:rPr>
                  <w:rStyle w:val="Hyperlink"/>
                  <w:lang w:val="en-GB"/>
                </w:rPr>
                <w:t>https://unctad.org/en/PublicationChapters/wir2019chMethodNote_en.pdf</w:t>
              </w:r>
            </w:hyperlink>
            <w:r w:rsidRPr="002750C6">
              <w:rPr>
                <w:lang w:val="en-GB"/>
              </w:rPr>
              <w:t xml:space="preserve">). </w:t>
            </w:r>
          </w:p>
          <w:p w14:paraId="71FE1F97" w14:textId="77777777" w:rsidR="002750C6" w:rsidRPr="00882EAD" w:rsidRDefault="002750C6" w:rsidP="002750C6">
            <w:pPr>
              <w:pStyle w:val="NoSpacing"/>
              <w:rPr>
                <w:lang w:val="en-GB"/>
              </w:rPr>
            </w:pPr>
          </w:p>
          <w:p w14:paraId="0108110E" w14:textId="77777777" w:rsidR="00BD06C4" w:rsidRPr="00882EAD" w:rsidRDefault="00BD06C4" w:rsidP="00BD06C4">
            <w:pPr>
              <w:pStyle w:val="NoSpacing"/>
              <w:rPr>
                <w:lang w:val="en-GB"/>
              </w:rPr>
            </w:pPr>
            <w:r w:rsidRPr="00882EAD">
              <w:rPr>
                <w:b/>
                <w:bCs/>
                <w:lang w:val="en-GB"/>
              </w:rPr>
              <w:t>Comments and limitations:</w:t>
            </w:r>
          </w:p>
          <w:p w14:paraId="2D82E735" w14:textId="77777777" w:rsidR="00BD06C4" w:rsidRPr="00882EAD" w:rsidRDefault="00BD06C4" w:rsidP="00BD06C4">
            <w:pPr>
              <w:pStyle w:val="NoSpacing"/>
              <w:rPr>
                <w:lang w:val="en-GB"/>
              </w:rPr>
            </w:pPr>
          </w:p>
          <w:p w14:paraId="3CF6833A" w14:textId="71D22237" w:rsidR="00BD06C4" w:rsidRDefault="002750C6" w:rsidP="00BD06C4">
            <w:pPr>
              <w:pStyle w:val="NoSpacing"/>
              <w:rPr>
                <w:lang w:val="en-GB"/>
              </w:rPr>
            </w:pPr>
            <w:r w:rsidRPr="002750C6">
              <w:rPr>
                <w:lang w:val="en-GB"/>
              </w:rPr>
              <w:t xml:space="preserve">FDI inflows are available from 1980 onwards.  </w:t>
            </w:r>
          </w:p>
          <w:p w14:paraId="25778E4B" w14:textId="77777777" w:rsidR="002750C6" w:rsidRPr="00882EAD" w:rsidRDefault="002750C6" w:rsidP="00BD06C4">
            <w:pPr>
              <w:pStyle w:val="NoSpacing"/>
              <w:rPr>
                <w:lang w:val="en-GB"/>
              </w:rPr>
            </w:pPr>
          </w:p>
          <w:p w14:paraId="581515E2" w14:textId="477A4F2D" w:rsidR="00BD06C4" w:rsidRPr="002750C6" w:rsidRDefault="00BD06C4" w:rsidP="00BD06C4">
            <w:pPr>
              <w:pStyle w:val="NoSpacing"/>
              <w:rPr>
                <w:b/>
                <w:bCs/>
                <w:lang w:val="en-GB"/>
              </w:rPr>
            </w:pPr>
            <w:r w:rsidRPr="002750C6">
              <w:rPr>
                <w:b/>
                <w:bCs/>
                <w:lang w:val="en-GB"/>
              </w:rPr>
              <w:t>Methodology</w:t>
            </w:r>
            <w:r w:rsidR="002750C6" w:rsidRPr="002750C6">
              <w:rPr>
                <w:b/>
                <w:bCs/>
                <w:lang w:val="en-GB"/>
              </w:rPr>
              <w:t>:</w:t>
            </w:r>
          </w:p>
          <w:p w14:paraId="4264EEEA" w14:textId="64915119" w:rsidR="00BD06C4" w:rsidRPr="002750C6" w:rsidRDefault="002750C6" w:rsidP="002750C6">
            <w:pPr>
              <w:pStyle w:val="NoSpacing"/>
              <w:jc w:val="both"/>
              <w:rPr>
                <w:lang w:val="en-GB"/>
              </w:rPr>
            </w:pPr>
            <w:r w:rsidRPr="002750C6">
              <w:rPr>
                <w:lang w:val="en-GB"/>
              </w:rPr>
              <w:t>UNCTAD regularly collects published and unpublished national official FDI data flows</w:t>
            </w:r>
            <w:r>
              <w:rPr>
                <w:lang w:val="en-GB"/>
              </w:rPr>
              <w:t xml:space="preserve"> </w:t>
            </w:r>
            <w:r w:rsidRPr="002750C6">
              <w:rPr>
                <w:lang w:val="en-GB"/>
              </w:rPr>
              <w:t>directly from central banks, statistical offices or national authorities.</w:t>
            </w:r>
          </w:p>
        </w:tc>
        <w:tc>
          <w:tcPr>
            <w:tcW w:w="2835" w:type="dxa"/>
          </w:tcPr>
          <w:p w14:paraId="352E50AA" w14:textId="77777777" w:rsidR="00BD06C4" w:rsidRPr="00873FDE" w:rsidRDefault="00BD06C4" w:rsidP="00BD06C4">
            <w:pPr>
              <w:rPr>
                <w:szCs w:val="22"/>
              </w:rPr>
            </w:pPr>
            <w:r w:rsidRPr="00873FDE">
              <w:rPr>
                <w:szCs w:val="22"/>
              </w:rPr>
              <w:t>ODA DATA: A statistical reporter is responsible for the collection of DAC statistics in each providing country/agency. This reporter is usually located in the national aid agency, Ministry of Foreign Affairs or Finance etc.</w:t>
            </w:r>
          </w:p>
        </w:tc>
        <w:tc>
          <w:tcPr>
            <w:tcW w:w="1167" w:type="dxa"/>
          </w:tcPr>
          <w:p w14:paraId="4CD95270" w14:textId="77777777" w:rsidR="00BD06C4" w:rsidRPr="00873FDE" w:rsidRDefault="00BD06C4" w:rsidP="00BD06C4">
            <w:pPr>
              <w:rPr>
                <w:szCs w:val="22"/>
              </w:rPr>
            </w:pPr>
            <w:r w:rsidRPr="00873FDE">
              <w:rPr>
                <w:szCs w:val="22"/>
              </w:rPr>
              <w:t>Data are reported on an annual calendar year basis by statistical reporters in national administrations (aid agencies, Ministries of Foreign Affairs or Finance, etc.</w:t>
            </w:r>
          </w:p>
        </w:tc>
        <w:tc>
          <w:tcPr>
            <w:tcW w:w="0" w:type="auto"/>
          </w:tcPr>
          <w:p w14:paraId="7EA0861B" w14:textId="77777777" w:rsidR="00BD06C4" w:rsidRPr="00BC6F10" w:rsidRDefault="00BD06C4" w:rsidP="00BD06C4">
            <w:pPr>
              <w:pStyle w:val="NoSpacing"/>
            </w:pPr>
          </w:p>
        </w:tc>
        <w:tc>
          <w:tcPr>
            <w:tcW w:w="0" w:type="auto"/>
          </w:tcPr>
          <w:p w14:paraId="6F45AC39" w14:textId="77777777" w:rsidR="00BD06C4" w:rsidRDefault="00BD06C4" w:rsidP="00BD06C4">
            <w:pPr>
              <w:pStyle w:val="NoSpacing"/>
            </w:pPr>
            <w:r w:rsidRPr="00BC6F10">
              <w:t>a) BIDA, PMO                                    b) ERD</w:t>
            </w:r>
          </w:p>
          <w:p w14:paraId="5EECEEA2" w14:textId="77777777" w:rsidR="00BD06C4" w:rsidRDefault="00BD06C4" w:rsidP="00BD06C4">
            <w:pPr>
              <w:pStyle w:val="NoSpacing"/>
            </w:pPr>
            <w:r>
              <w:t>c) BB, FID</w:t>
            </w:r>
          </w:p>
          <w:p w14:paraId="428B944B" w14:textId="77777777" w:rsidR="00BD06C4" w:rsidRDefault="00BD06C4" w:rsidP="00BD06C4">
            <w:pPr>
              <w:pStyle w:val="NoSpacing"/>
            </w:pPr>
            <w:r>
              <w:t>Administrative Data</w:t>
            </w:r>
          </w:p>
          <w:p w14:paraId="7FC4DA1C" w14:textId="77777777" w:rsidR="00BD06C4" w:rsidRPr="00BC6F10" w:rsidRDefault="00BD06C4" w:rsidP="00BD06C4">
            <w:pPr>
              <w:pStyle w:val="NoSpacing"/>
            </w:pPr>
          </w:p>
        </w:tc>
        <w:tc>
          <w:tcPr>
            <w:tcW w:w="0" w:type="auto"/>
          </w:tcPr>
          <w:p w14:paraId="3DF04E59" w14:textId="77777777" w:rsidR="00BD06C4" w:rsidRPr="000C4849" w:rsidRDefault="00BD06C4"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type of flow: FDI/ ODA/ SSC</w:t>
            </w:r>
          </w:p>
          <w:p w14:paraId="10EE0A94" w14:textId="77777777"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By donor</w:t>
            </w:r>
          </w:p>
          <w:p w14:paraId="17188617" w14:textId="2AC55E57"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Recipient country</w:t>
            </w:r>
          </w:p>
          <w:p w14:paraId="70C0EBD9" w14:textId="38EC7632"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Type of finance</w:t>
            </w:r>
          </w:p>
          <w:p w14:paraId="627F4189" w14:textId="2542FED8"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Type of aid</w:t>
            </w:r>
          </w:p>
          <w:p w14:paraId="163762F6" w14:textId="4D3311CF" w:rsidR="00296C9A" w:rsidRDefault="00296C9A"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sector</w:t>
            </w:r>
          </w:p>
          <w:p w14:paraId="46FA6EA5" w14:textId="77777777" w:rsidR="00BD06C4" w:rsidRDefault="00BD06C4" w:rsidP="00BD06C4">
            <w:pPr>
              <w:ind w:left="970" w:hanging="970"/>
              <w:jc w:val="both"/>
              <w:rPr>
                <w:color w:val="0070C0"/>
                <w:sz w:val="30"/>
                <w:szCs w:val="30"/>
              </w:rPr>
            </w:pPr>
          </w:p>
        </w:tc>
        <w:tc>
          <w:tcPr>
            <w:tcW w:w="1078" w:type="dxa"/>
          </w:tcPr>
          <w:p w14:paraId="10738045" w14:textId="77777777" w:rsidR="00BD06C4" w:rsidRDefault="00BD06C4" w:rsidP="00BD06C4">
            <w:pPr>
              <w:ind w:left="970" w:hanging="970"/>
              <w:jc w:val="both"/>
              <w:rPr>
                <w:color w:val="0070C0"/>
                <w:sz w:val="30"/>
                <w:szCs w:val="30"/>
              </w:rPr>
            </w:pPr>
            <w:r w:rsidRPr="00BC6F10">
              <w:rPr>
                <w:szCs w:val="20"/>
              </w:rPr>
              <w:t>Annual</w:t>
            </w:r>
          </w:p>
        </w:tc>
        <w:tc>
          <w:tcPr>
            <w:tcW w:w="872" w:type="dxa"/>
          </w:tcPr>
          <w:p w14:paraId="3A0C7FC1" w14:textId="77777777" w:rsidR="00BD06C4" w:rsidRDefault="00BD06C4" w:rsidP="00BD06C4">
            <w:pPr>
              <w:ind w:left="970" w:hanging="970"/>
              <w:jc w:val="both"/>
              <w:rPr>
                <w:color w:val="0070C0"/>
                <w:sz w:val="30"/>
                <w:szCs w:val="30"/>
              </w:rPr>
            </w:pPr>
          </w:p>
        </w:tc>
        <w:tc>
          <w:tcPr>
            <w:tcW w:w="619" w:type="dxa"/>
          </w:tcPr>
          <w:p w14:paraId="05E48265" w14:textId="77777777" w:rsidR="00BD06C4" w:rsidRDefault="00BD06C4" w:rsidP="00BD06C4">
            <w:pPr>
              <w:pStyle w:val="NoSpacing"/>
            </w:pPr>
            <w:r>
              <w:t>1</w:t>
            </w:r>
            <w:r w:rsidRPr="00013ACB">
              <w:rPr>
                <w:vertAlign w:val="superscript"/>
              </w:rPr>
              <w:t>st</w:t>
            </w:r>
            <w:r>
              <w:t xml:space="preserve"> Round:</w:t>
            </w:r>
          </w:p>
          <w:p w14:paraId="2A6B1617" w14:textId="77777777" w:rsidR="00BD06C4" w:rsidRDefault="00BD06C4" w:rsidP="00BD06C4">
            <w:pPr>
              <w:pStyle w:val="NoSpacing"/>
            </w:pPr>
            <w:r>
              <w:t xml:space="preserve">September </w:t>
            </w:r>
          </w:p>
          <w:p w14:paraId="693B2913" w14:textId="77777777" w:rsidR="00BD06C4" w:rsidRDefault="00BD06C4" w:rsidP="00BD06C4">
            <w:pPr>
              <w:pStyle w:val="NoSpacing"/>
            </w:pPr>
            <w:r>
              <w:t>2019</w:t>
            </w:r>
          </w:p>
          <w:p w14:paraId="1DA3AB00" w14:textId="77777777" w:rsidR="00BD06C4" w:rsidRDefault="00BD06C4" w:rsidP="00BD06C4">
            <w:pPr>
              <w:pStyle w:val="NoSpacing"/>
            </w:pPr>
          </w:p>
          <w:p w14:paraId="2AE3E476" w14:textId="77777777" w:rsidR="00BD06C4" w:rsidRDefault="00BD06C4" w:rsidP="00BD06C4">
            <w:pPr>
              <w:pStyle w:val="NoSpacing"/>
            </w:pPr>
            <w:r>
              <w:t>2</w:t>
            </w:r>
            <w:r w:rsidRPr="00013ACB">
              <w:rPr>
                <w:vertAlign w:val="superscript"/>
              </w:rPr>
              <w:t>nd</w:t>
            </w:r>
            <w:r>
              <w:t xml:space="preserve"> Round:</w:t>
            </w:r>
          </w:p>
          <w:p w14:paraId="03C044F5" w14:textId="77777777" w:rsidR="00BD06C4" w:rsidRDefault="00BD06C4" w:rsidP="00BD06C4">
            <w:pPr>
              <w:pStyle w:val="NoSpacing"/>
            </w:pPr>
            <w:r>
              <w:t xml:space="preserve">September </w:t>
            </w:r>
          </w:p>
          <w:p w14:paraId="0222266D" w14:textId="77777777" w:rsidR="00BD06C4" w:rsidRDefault="00BD06C4" w:rsidP="00BD06C4">
            <w:pPr>
              <w:pStyle w:val="NoSpacing"/>
            </w:pPr>
            <w:r>
              <w:t>2020</w:t>
            </w:r>
          </w:p>
          <w:p w14:paraId="7328D8A5" w14:textId="77777777" w:rsidR="00BD06C4" w:rsidRDefault="00BD06C4" w:rsidP="00BD06C4">
            <w:pPr>
              <w:pStyle w:val="NoSpacing"/>
            </w:pPr>
          </w:p>
          <w:p w14:paraId="010C22DD" w14:textId="77777777" w:rsidR="00BD06C4" w:rsidRDefault="00BD06C4" w:rsidP="00BD06C4">
            <w:pPr>
              <w:pStyle w:val="NoSpacing"/>
            </w:pPr>
            <w:r>
              <w:t>3</w:t>
            </w:r>
            <w:r w:rsidRPr="00013ACB">
              <w:rPr>
                <w:vertAlign w:val="superscript"/>
              </w:rPr>
              <w:t>rd</w:t>
            </w:r>
            <w:r>
              <w:t xml:space="preserve"> Round: </w:t>
            </w:r>
          </w:p>
          <w:p w14:paraId="49A23880" w14:textId="77777777" w:rsidR="00BD06C4" w:rsidRDefault="00BD06C4" w:rsidP="00BD06C4">
            <w:pPr>
              <w:pStyle w:val="NoSpacing"/>
            </w:pPr>
            <w:r>
              <w:t xml:space="preserve">September </w:t>
            </w:r>
          </w:p>
          <w:p w14:paraId="6F5E5386" w14:textId="77777777" w:rsidR="00BD06C4" w:rsidRDefault="00BD06C4" w:rsidP="00BD06C4">
            <w:pPr>
              <w:pStyle w:val="NoSpacing"/>
            </w:pPr>
            <w:r>
              <w:t>2021</w:t>
            </w:r>
          </w:p>
          <w:p w14:paraId="10B73CDC" w14:textId="77777777" w:rsidR="00BD06C4" w:rsidRDefault="00BD06C4" w:rsidP="00BD06C4">
            <w:pPr>
              <w:pStyle w:val="NoSpacing"/>
            </w:pPr>
          </w:p>
          <w:p w14:paraId="60A67D17" w14:textId="77777777" w:rsidR="00BD06C4" w:rsidRDefault="00BD06C4" w:rsidP="00BD06C4">
            <w:pPr>
              <w:pStyle w:val="NoSpacing"/>
            </w:pPr>
            <w:r>
              <w:t>4</w:t>
            </w:r>
            <w:r w:rsidRPr="00013ACB">
              <w:rPr>
                <w:vertAlign w:val="superscript"/>
              </w:rPr>
              <w:t>th</w:t>
            </w:r>
            <w:r>
              <w:t xml:space="preserve"> </w:t>
            </w:r>
            <w:r>
              <w:lastRenderedPageBreak/>
              <w:t xml:space="preserve">Round: </w:t>
            </w:r>
          </w:p>
          <w:p w14:paraId="6E19CBE5" w14:textId="77777777" w:rsidR="00BD06C4" w:rsidRDefault="00BD06C4" w:rsidP="00BD06C4">
            <w:pPr>
              <w:pStyle w:val="NoSpacing"/>
            </w:pPr>
            <w:r>
              <w:t xml:space="preserve">September </w:t>
            </w:r>
          </w:p>
          <w:p w14:paraId="6EB009A6" w14:textId="77777777" w:rsidR="00BD06C4" w:rsidRDefault="00BD06C4" w:rsidP="00BD06C4">
            <w:pPr>
              <w:pStyle w:val="NoSpacing"/>
            </w:pPr>
            <w:r>
              <w:t>2022</w:t>
            </w:r>
          </w:p>
          <w:p w14:paraId="726F1013" w14:textId="77777777" w:rsidR="00BD06C4" w:rsidRDefault="00BD06C4" w:rsidP="00BD06C4">
            <w:pPr>
              <w:pStyle w:val="NoSpacing"/>
            </w:pPr>
          </w:p>
          <w:p w14:paraId="29C8A2F6" w14:textId="77777777" w:rsidR="00BD06C4" w:rsidRDefault="00BD06C4" w:rsidP="00BD06C4">
            <w:pPr>
              <w:pStyle w:val="NoSpacing"/>
            </w:pPr>
            <w:r>
              <w:t>5</w:t>
            </w:r>
            <w:r w:rsidRPr="00013ACB">
              <w:rPr>
                <w:vertAlign w:val="superscript"/>
              </w:rPr>
              <w:t>th</w:t>
            </w:r>
            <w:r>
              <w:t xml:space="preserve"> Round: </w:t>
            </w:r>
          </w:p>
          <w:p w14:paraId="11208D2A" w14:textId="77777777" w:rsidR="00BD06C4" w:rsidRDefault="00BD06C4" w:rsidP="00BD06C4">
            <w:pPr>
              <w:pStyle w:val="NoSpacing"/>
            </w:pPr>
            <w:r>
              <w:t xml:space="preserve">September </w:t>
            </w:r>
          </w:p>
          <w:p w14:paraId="28D436E9" w14:textId="77777777" w:rsidR="00BD06C4" w:rsidRDefault="00BD06C4" w:rsidP="00BD06C4">
            <w:pPr>
              <w:pStyle w:val="NoSpacing"/>
            </w:pPr>
            <w:r>
              <w:t>2023</w:t>
            </w:r>
          </w:p>
          <w:p w14:paraId="390F62C1" w14:textId="1C0580CC" w:rsidR="00BD06C4" w:rsidRDefault="00BD06C4" w:rsidP="00BD06C4">
            <w:pPr>
              <w:pStyle w:val="NoSpacing"/>
            </w:pPr>
          </w:p>
        </w:tc>
        <w:tc>
          <w:tcPr>
            <w:tcW w:w="0" w:type="auto"/>
          </w:tcPr>
          <w:p w14:paraId="1E4C6B1E" w14:textId="77777777" w:rsidR="00BD06C4" w:rsidRDefault="00BD06C4" w:rsidP="00BD06C4">
            <w:pPr>
              <w:pStyle w:val="NoSpacing"/>
            </w:pPr>
            <w:r w:rsidRPr="00A41B47">
              <w:lastRenderedPageBreak/>
              <w:t>UNSC 51 replacement included in the 2020 comprehensive review</w:t>
            </w:r>
          </w:p>
        </w:tc>
      </w:tr>
      <w:tr w:rsidR="00BD06C4" w14:paraId="3E4390E8" w14:textId="77777777" w:rsidTr="00586441">
        <w:tc>
          <w:tcPr>
            <w:tcW w:w="0" w:type="auto"/>
          </w:tcPr>
          <w:p w14:paraId="0CAAA92A" w14:textId="65DC3D93" w:rsidR="00BD06C4" w:rsidRPr="00BB536A" w:rsidRDefault="00BD06C4" w:rsidP="00BD06C4">
            <w:pPr>
              <w:pStyle w:val="NoSpacing"/>
            </w:pPr>
            <w:r w:rsidRPr="00BB536A">
              <w:lastRenderedPageBreak/>
              <w:t>17.3.2 Volume of remittances (in United States dollars) as a proportion of total GDP</w:t>
            </w:r>
          </w:p>
        </w:tc>
        <w:tc>
          <w:tcPr>
            <w:tcW w:w="0" w:type="auto"/>
          </w:tcPr>
          <w:p w14:paraId="0A2869BB" w14:textId="77777777" w:rsidR="00BD06C4" w:rsidRDefault="00BD06C4" w:rsidP="00BD06C4">
            <w:pPr>
              <w:pStyle w:val="NoSpacing"/>
            </w:pPr>
            <w:r w:rsidRPr="0085065B">
              <w:t>World Bank</w:t>
            </w:r>
          </w:p>
          <w:p w14:paraId="4B6CEA9F" w14:textId="77777777" w:rsidR="00BD06C4" w:rsidRDefault="00BD06C4" w:rsidP="00BD06C4">
            <w:pPr>
              <w:rPr>
                <w:b/>
                <w:bCs/>
                <w:szCs w:val="20"/>
              </w:rPr>
            </w:pPr>
            <w:r w:rsidRPr="007243FC">
              <w:rPr>
                <w:b/>
                <w:bCs/>
                <w:szCs w:val="20"/>
              </w:rPr>
              <w:t>Partner Agencies:</w:t>
            </w:r>
          </w:p>
          <w:p w14:paraId="2C71BEBD" w14:textId="77777777" w:rsidR="00BD06C4" w:rsidRDefault="00BD06C4" w:rsidP="00BD06C4">
            <w:pPr>
              <w:ind w:left="970" w:hanging="970"/>
              <w:jc w:val="both"/>
              <w:rPr>
                <w:color w:val="0070C0"/>
                <w:sz w:val="30"/>
                <w:szCs w:val="30"/>
              </w:rPr>
            </w:pPr>
          </w:p>
        </w:tc>
        <w:tc>
          <w:tcPr>
            <w:tcW w:w="0" w:type="auto"/>
          </w:tcPr>
          <w:p w14:paraId="22AF1E7F" w14:textId="77777777" w:rsidR="00BD06C4" w:rsidRDefault="00BD06C4" w:rsidP="00BD06C4">
            <w:pPr>
              <w:ind w:left="970" w:hanging="970"/>
              <w:jc w:val="both"/>
              <w:rPr>
                <w:color w:val="0070C0"/>
                <w:sz w:val="30"/>
                <w:szCs w:val="30"/>
              </w:rPr>
            </w:pPr>
            <w:r>
              <w:t>Tier I</w:t>
            </w:r>
          </w:p>
        </w:tc>
        <w:tc>
          <w:tcPr>
            <w:tcW w:w="0" w:type="auto"/>
          </w:tcPr>
          <w:p w14:paraId="3331ACB4" w14:textId="77777777" w:rsidR="00BD06C4" w:rsidRPr="006D544D" w:rsidRDefault="00BD06C4" w:rsidP="00BD06C4">
            <w:pPr>
              <w:pStyle w:val="NoSpacing"/>
              <w:rPr>
                <w:lang w:val="en-GB"/>
              </w:rPr>
            </w:pPr>
            <w:r w:rsidRPr="006D544D">
              <w:rPr>
                <w:b/>
                <w:bCs/>
                <w:lang w:val="en-GB"/>
              </w:rPr>
              <w:t>Definition:</w:t>
            </w:r>
          </w:p>
          <w:p w14:paraId="13BB4292" w14:textId="77777777" w:rsidR="00BD06C4" w:rsidRPr="006D544D" w:rsidRDefault="00BD06C4" w:rsidP="00BD06C4">
            <w:pPr>
              <w:pStyle w:val="NoSpacing"/>
              <w:rPr>
                <w:lang w:val="en-GB"/>
              </w:rPr>
            </w:pPr>
          </w:p>
          <w:p w14:paraId="11F591F7" w14:textId="77777777" w:rsidR="00BD06C4" w:rsidRPr="006D544D" w:rsidRDefault="00BD06C4" w:rsidP="00BD06C4">
            <w:pPr>
              <w:pStyle w:val="NoSpacing"/>
              <w:rPr>
                <w:lang w:val="en-GB"/>
              </w:rPr>
            </w:pPr>
            <w:r w:rsidRPr="006D544D">
              <w:rPr>
                <w:lang w:val="en-GB"/>
              </w:rPr>
              <w:t xml:space="preserve">Personal remittances received as proportion of GDP is the inflow of personal remittances expressed as a percentage of Gross Domestic Product (GDP). </w:t>
            </w:r>
          </w:p>
          <w:p w14:paraId="14ED69AE" w14:textId="77777777" w:rsidR="00BD06C4" w:rsidRPr="006D544D" w:rsidRDefault="00BD06C4" w:rsidP="00BD06C4">
            <w:pPr>
              <w:pStyle w:val="NoSpacing"/>
              <w:rPr>
                <w:lang w:val="en-GB"/>
              </w:rPr>
            </w:pPr>
          </w:p>
          <w:p w14:paraId="72FBED7B" w14:textId="77777777" w:rsidR="00BD06C4" w:rsidRPr="006D544D" w:rsidRDefault="00BD06C4" w:rsidP="00BD06C4">
            <w:pPr>
              <w:pStyle w:val="NoSpacing"/>
              <w:rPr>
                <w:lang w:val="en-GB"/>
              </w:rPr>
            </w:pPr>
            <w:r w:rsidRPr="006D544D">
              <w:rPr>
                <w:b/>
                <w:bCs/>
                <w:lang w:val="en-GB"/>
              </w:rPr>
              <w:t>Concepts:</w:t>
            </w:r>
          </w:p>
          <w:p w14:paraId="45D28D81" w14:textId="77777777" w:rsidR="00BD06C4" w:rsidRPr="006D544D" w:rsidRDefault="00BD06C4" w:rsidP="00BD06C4">
            <w:pPr>
              <w:pStyle w:val="NoSpacing"/>
              <w:rPr>
                <w:lang w:val="en-GB"/>
              </w:rPr>
            </w:pPr>
          </w:p>
          <w:p w14:paraId="398B7796" w14:textId="77777777" w:rsidR="00BD06C4" w:rsidRPr="006D544D" w:rsidRDefault="00BD06C4" w:rsidP="00BD06C4">
            <w:pPr>
              <w:pStyle w:val="NoSpacing"/>
              <w:rPr>
                <w:lang w:val="en-GB"/>
              </w:rPr>
            </w:pPr>
            <w:r w:rsidRPr="006D544D">
              <w:rPr>
                <w:lang w:val="en-GB"/>
              </w:rPr>
              <w:t>Personal remittances comprise of personal transfers and compensation of employees. Personal transfers consist of all current transfers in cash or in kind made or received by resident households to or from non-resident households. Personal transfers thus include all current transfers between resident and non-resident individuals. Compensation of employees refers to the income of border, seasonal, and other short-term workers who are employed in an economy where they are not resident and of residents employed by non-resident entities. Data are the sum of two items defined in the sixth edition of the IMF's Balance of Payments Manual: personal transfers and compensation of employees.</w:t>
            </w:r>
          </w:p>
          <w:p w14:paraId="36779AA5" w14:textId="77777777" w:rsidR="00BD06C4" w:rsidRPr="006D544D" w:rsidRDefault="00BD06C4" w:rsidP="00BD06C4">
            <w:pPr>
              <w:pStyle w:val="NoSpacing"/>
              <w:rPr>
                <w:lang w:val="en-GB"/>
              </w:rPr>
            </w:pPr>
          </w:p>
          <w:p w14:paraId="25748E06" w14:textId="77777777" w:rsidR="00BD06C4" w:rsidRPr="006D544D" w:rsidRDefault="00BD06C4" w:rsidP="00BD06C4">
            <w:pPr>
              <w:pStyle w:val="NoSpacing"/>
              <w:rPr>
                <w:lang w:val="en-GB"/>
              </w:rPr>
            </w:pPr>
            <w:r w:rsidRPr="006D544D">
              <w:rPr>
                <w:lang w:val="en-GB"/>
              </w:rPr>
              <w:t>The concepts used are in line with the Sixth Edition of the IMF's Balance of Payments and International Investment Position Manual (BPM6).</w:t>
            </w:r>
          </w:p>
          <w:p w14:paraId="03794D1B" w14:textId="77777777" w:rsidR="00BD06C4" w:rsidRPr="006D544D" w:rsidRDefault="00BD06C4" w:rsidP="00BD06C4">
            <w:pPr>
              <w:pStyle w:val="NoSpacing"/>
              <w:rPr>
                <w:b/>
                <w:bCs/>
                <w:lang w:val="en-GB"/>
              </w:rPr>
            </w:pPr>
          </w:p>
          <w:p w14:paraId="5F8FBEE0" w14:textId="77777777" w:rsidR="00BD06C4" w:rsidRPr="006D544D" w:rsidRDefault="00BD06C4" w:rsidP="00BD06C4">
            <w:pPr>
              <w:pStyle w:val="NoSpacing"/>
              <w:rPr>
                <w:lang w:val="en-GB"/>
              </w:rPr>
            </w:pPr>
            <w:r w:rsidRPr="006D544D">
              <w:rPr>
                <w:b/>
                <w:bCs/>
                <w:lang w:val="en-GB"/>
              </w:rPr>
              <w:t>Computation Method:</w:t>
            </w:r>
          </w:p>
          <w:p w14:paraId="289A8ED0" w14:textId="77777777" w:rsidR="00BD06C4" w:rsidRPr="006D544D" w:rsidRDefault="00BD06C4" w:rsidP="00BD06C4">
            <w:pPr>
              <w:pStyle w:val="NoSpacing"/>
              <w:rPr>
                <w:lang w:val="en-GB"/>
              </w:rPr>
            </w:pPr>
          </w:p>
          <w:p w14:paraId="4C658991" w14:textId="77777777" w:rsidR="00BD06C4" w:rsidRPr="006D544D" w:rsidRDefault="00BD06C4" w:rsidP="00BD06C4">
            <w:pPr>
              <w:pStyle w:val="NoSpacing"/>
              <w:rPr>
                <w:lang w:val="en-GB"/>
              </w:rPr>
            </w:pPr>
            <w:r w:rsidRPr="006D544D">
              <w:rPr>
                <w:lang w:val="en-GB"/>
              </w:rPr>
              <w:t>Personal remittances are the sum of two items defined in the sixth edition of the IMF's Balance of Payments Manual: personal transfers and compensation of employees. World Bank staff estimates on the volume of personal remittances data are used for gap-filling purposes. GDP data, sourced from the World Bank’s World Development Indicators (WDI) database, are then used to express the indicator as a percentage of GDP.</w:t>
            </w:r>
          </w:p>
        </w:tc>
        <w:tc>
          <w:tcPr>
            <w:tcW w:w="2835" w:type="dxa"/>
          </w:tcPr>
          <w:p w14:paraId="6E5B6EDE" w14:textId="77777777" w:rsidR="00BD06C4" w:rsidRPr="000F25CC" w:rsidRDefault="00BD06C4" w:rsidP="00BD06C4">
            <w:pPr>
              <w:pStyle w:val="form-control-static"/>
              <w:shd w:val="clear" w:color="auto" w:fill="FFFFFF"/>
              <w:spacing w:before="0" w:beforeAutospacing="0" w:after="0" w:afterAutospacing="0"/>
              <w:rPr>
                <w:rFonts w:asciiTheme="minorHAnsi" w:hAnsiTheme="minorHAnsi"/>
                <w:color w:val="4A4A4A"/>
                <w:sz w:val="21"/>
                <w:szCs w:val="21"/>
              </w:rPr>
            </w:pPr>
            <w:r w:rsidRPr="000F25CC">
              <w:rPr>
                <w:rFonts w:asciiTheme="minorHAnsi" w:hAnsiTheme="minorHAnsi"/>
                <w:color w:val="4A4A4A"/>
                <w:sz w:val="21"/>
                <w:szCs w:val="21"/>
              </w:rPr>
              <w:t xml:space="preserve">Volume of personal remittances data are sourced from IMF’s Balance of Payments Statistics database and then gap-filled with World Bank staff estimates. </w:t>
            </w:r>
          </w:p>
          <w:p w14:paraId="44B929C4" w14:textId="77777777" w:rsidR="00BD06C4" w:rsidRPr="000F25CC" w:rsidRDefault="00BD06C4" w:rsidP="00BD06C4">
            <w:pPr>
              <w:pStyle w:val="form-control-static"/>
              <w:shd w:val="clear" w:color="auto" w:fill="FFFFFF"/>
              <w:spacing w:before="0" w:beforeAutospacing="0" w:after="0" w:afterAutospacing="0"/>
              <w:rPr>
                <w:rFonts w:asciiTheme="minorHAnsi" w:hAnsiTheme="minorHAnsi"/>
                <w:color w:val="4A4A4A"/>
                <w:sz w:val="21"/>
                <w:szCs w:val="21"/>
              </w:rPr>
            </w:pPr>
          </w:p>
          <w:p w14:paraId="0E842C6F" w14:textId="77777777" w:rsidR="00BD06C4" w:rsidRPr="000F25CC" w:rsidRDefault="00BD06C4" w:rsidP="00BD06C4">
            <w:pPr>
              <w:pStyle w:val="NoSpacing"/>
            </w:pPr>
            <w:r w:rsidRPr="000F25CC">
              <w:t>GDP data, sourced from the World Bank’s World Development Indicators (WDI) database is used as the denominator.</w:t>
            </w:r>
            <w:r>
              <w:t xml:space="preserve"> </w:t>
            </w:r>
            <w:r w:rsidRPr="000F25CC">
              <w:t>GDP data collection is conducted from national and international sources through an annual survey of economists in the Bank’s country office network – the World Bank’s principal mechanism for gathering quantitative macroeconomic information on its member countries.</w:t>
            </w:r>
          </w:p>
          <w:p w14:paraId="7FA944D5" w14:textId="77777777" w:rsidR="00BD06C4" w:rsidRDefault="00BD06C4" w:rsidP="00BD06C4">
            <w:pPr>
              <w:pStyle w:val="NoSpacing"/>
            </w:pPr>
          </w:p>
        </w:tc>
        <w:tc>
          <w:tcPr>
            <w:tcW w:w="1167" w:type="dxa"/>
          </w:tcPr>
          <w:p w14:paraId="1BC2AD85" w14:textId="77777777" w:rsidR="00BD06C4" w:rsidRPr="00873FDE" w:rsidRDefault="00BD06C4" w:rsidP="00BD06C4">
            <w:pPr>
              <w:rPr>
                <w:szCs w:val="22"/>
              </w:rPr>
            </w:pPr>
            <w:r w:rsidRPr="00873FDE">
              <w:rPr>
                <w:szCs w:val="22"/>
              </w:rPr>
              <w:t xml:space="preserve">The national data provider of personal remittances is the institution in charge of the collection and compilation of the Balance of Payments statistics. This responsibility varies and is country specific (i.e. Central Bank). World Bank staff estimates for personal remittances data are used for gap-filling purposes. Personal remittances data are not reported directly to the </w:t>
            </w:r>
            <w:r w:rsidRPr="00873FDE">
              <w:rPr>
                <w:szCs w:val="22"/>
              </w:rPr>
              <w:lastRenderedPageBreak/>
              <w:t xml:space="preserve">World Bank from the national data provider. They are reported to the International Monetary Fund (IMF), which is the institution in charge of overseeing balance of payment stability as part of its institutional mandate. GDP data are sourced from the World Bank’s World Development Indicators (WDI) database and are compiled in accordance to the System of National Accounts, 2008 (2008 SNA) methodology. GDP data collection is conducted through the Unified Survey process, the World Bank’s principal mechanism for </w:t>
            </w:r>
            <w:r w:rsidRPr="00873FDE">
              <w:rPr>
                <w:szCs w:val="22"/>
              </w:rPr>
              <w:lastRenderedPageBreak/>
              <w:t>gathering quantitative macroeconomic information on its member countries.</w:t>
            </w:r>
          </w:p>
        </w:tc>
        <w:tc>
          <w:tcPr>
            <w:tcW w:w="0" w:type="auto"/>
          </w:tcPr>
          <w:p w14:paraId="168790D3" w14:textId="77777777" w:rsidR="00BD06C4" w:rsidRDefault="00BD06C4" w:rsidP="00BD06C4">
            <w:pPr>
              <w:pStyle w:val="NoSpacing"/>
            </w:pPr>
            <w:r>
              <w:lastRenderedPageBreak/>
              <w:t>BB</w:t>
            </w:r>
          </w:p>
          <w:p w14:paraId="69CBA965" w14:textId="77777777" w:rsidR="00BD06C4" w:rsidRDefault="00BD06C4" w:rsidP="00BD06C4">
            <w:pPr>
              <w:pStyle w:val="NoSpacing"/>
            </w:pPr>
            <w:r>
              <w:t>Administrative Data</w:t>
            </w:r>
          </w:p>
        </w:tc>
        <w:tc>
          <w:tcPr>
            <w:tcW w:w="0" w:type="auto"/>
          </w:tcPr>
          <w:p w14:paraId="452E711E" w14:textId="77777777" w:rsidR="00BD06C4" w:rsidRDefault="00BD06C4" w:rsidP="00BD06C4">
            <w:pPr>
              <w:pStyle w:val="NoSpacing"/>
            </w:pPr>
            <w:r>
              <w:t>BB, FID</w:t>
            </w:r>
          </w:p>
          <w:p w14:paraId="21B6552E" w14:textId="77777777" w:rsidR="00BD06C4" w:rsidRDefault="00BD06C4" w:rsidP="00BD06C4">
            <w:pPr>
              <w:pStyle w:val="NoSpacing"/>
              <w:rPr>
                <w:color w:val="0070C0"/>
                <w:sz w:val="30"/>
                <w:szCs w:val="30"/>
              </w:rPr>
            </w:pPr>
            <w:r>
              <w:t>Administrative Data</w:t>
            </w:r>
          </w:p>
        </w:tc>
        <w:tc>
          <w:tcPr>
            <w:tcW w:w="0" w:type="auto"/>
          </w:tcPr>
          <w:p w14:paraId="6AEE91E9" w14:textId="77777777" w:rsidR="00BD06C4" w:rsidRDefault="00BD06C4" w:rsidP="00BD06C4">
            <w:pPr>
              <w:ind w:left="970" w:hanging="970"/>
              <w:jc w:val="both"/>
              <w:rPr>
                <w:color w:val="0070C0"/>
                <w:sz w:val="30"/>
                <w:szCs w:val="30"/>
              </w:rPr>
            </w:pPr>
            <w:r>
              <w:t>Not Applicable</w:t>
            </w:r>
          </w:p>
        </w:tc>
        <w:tc>
          <w:tcPr>
            <w:tcW w:w="1078" w:type="dxa"/>
          </w:tcPr>
          <w:p w14:paraId="5D608D6E" w14:textId="77777777" w:rsidR="00BD06C4" w:rsidRDefault="00BD06C4" w:rsidP="00BD06C4">
            <w:pPr>
              <w:ind w:left="970" w:hanging="970"/>
              <w:jc w:val="both"/>
              <w:rPr>
                <w:color w:val="0070C0"/>
                <w:sz w:val="30"/>
                <w:szCs w:val="30"/>
              </w:rPr>
            </w:pPr>
            <w:r w:rsidRPr="00BC6F10">
              <w:rPr>
                <w:szCs w:val="20"/>
              </w:rPr>
              <w:t>Annual</w:t>
            </w:r>
          </w:p>
        </w:tc>
        <w:tc>
          <w:tcPr>
            <w:tcW w:w="872" w:type="dxa"/>
          </w:tcPr>
          <w:p w14:paraId="5C1EA37B" w14:textId="77777777" w:rsidR="00BD06C4" w:rsidRDefault="00BD06C4" w:rsidP="00BD06C4">
            <w:pPr>
              <w:ind w:left="970" w:hanging="970"/>
              <w:jc w:val="both"/>
              <w:rPr>
                <w:color w:val="0070C0"/>
                <w:sz w:val="30"/>
                <w:szCs w:val="30"/>
              </w:rPr>
            </w:pPr>
            <w:r>
              <w:t>Group 1</w:t>
            </w:r>
          </w:p>
        </w:tc>
        <w:tc>
          <w:tcPr>
            <w:tcW w:w="619" w:type="dxa"/>
          </w:tcPr>
          <w:p w14:paraId="0989C032" w14:textId="77777777" w:rsidR="00BD06C4" w:rsidRDefault="00BD06C4" w:rsidP="00BD06C4">
            <w:pPr>
              <w:pStyle w:val="NoSpacing"/>
            </w:pPr>
            <w:r>
              <w:t>1</w:t>
            </w:r>
            <w:r w:rsidRPr="00013ACB">
              <w:rPr>
                <w:vertAlign w:val="superscript"/>
              </w:rPr>
              <w:t>st</w:t>
            </w:r>
            <w:r>
              <w:t xml:space="preserve"> Round:</w:t>
            </w:r>
          </w:p>
          <w:p w14:paraId="049EF1DE" w14:textId="77777777" w:rsidR="00BD06C4" w:rsidRDefault="00BD06C4" w:rsidP="00BD06C4">
            <w:pPr>
              <w:pStyle w:val="NoSpacing"/>
            </w:pPr>
            <w:r>
              <w:t>2016</w:t>
            </w:r>
          </w:p>
          <w:p w14:paraId="60B191DC" w14:textId="77777777" w:rsidR="00BD06C4" w:rsidRDefault="00BD06C4" w:rsidP="00BD06C4">
            <w:pPr>
              <w:pStyle w:val="NoSpacing"/>
            </w:pPr>
          </w:p>
          <w:p w14:paraId="17359850" w14:textId="77777777" w:rsidR="00BD06C4" w:rsidRDefault="00BD06C4" w:rsidP="00BD06C4">
            <w:pPr>
              <w:pStyle w:val="NoSpacing"/>
            </w:pPr>
            <w:r>
              <w:t>2</w:t>
            </w:r>
            <w:r w:rsidRPr="00013ACB">
              <w:rPr>
                <w:vertAlign w:val="superscript"/>
              </w:rPr>
              <w:t>nd</w:t>
            </w:r>
            <w:r>
              <w:t xml:space="preserve"> Round:</w:t>
            </w:r>
          </w:p>
          <w:p w14:paraId="7E210468" w14:textId="77777777" w:rsidR="00BD06C4" w:rsidRDefault="00BD06C4" w:rsidP="00BD06C4">
            <w:pPr>
              <w:pStyle w:val="NoSpacing"/>
            </w:pPr>
            <w:r>
              <w:t xml:space="preserve"> July,</w:t>
            </w:r>
          </w:p>
          <w:p w14:paraId="53B317B2" w14:textId="77777777" w:rsidR="00BD06C4" w:rsidRDefault="00BD06C4" w:rsidP="00BD06C4">
            <w:pPr>
              <w:pStyle w:val="NoSpacing"/>
            </w:pPr>
            <w:r>
              <w:t>2019</w:t>
            </w:r>
          </w:p>
          <w:p w14:paraId="18A0E2B4" w14:textId="77777777" w:rsidR="00BD06C4" w:rsidRDefault="00BD06C4" w:rsidP="00BD06C4">
            <w:pPr>
              <w:pStyle w:val="NoSpacing"/>
            </w:pPr>
          </w:p>
          <w:p w14:paraId="6F25E177" w14:textId="77777777" w:rsidR="00BD06C4" w:rsidRDefault="00BD06C4" w:rsidP="00BD06C4">
            <w:pPr>
              <w:pStyle w:val="NoSpacing"/>
            </w:pPr>
            <w:r>
              <w:t>3</w:t>
            </w:r>
            <w:r w:rsidRPr="00013ACB">
              <w:rPr>
                <w:vertAlign w:val="superscript"/>
              </w:rPr>
              <w:t>rd</w:t>
            </w:r>
            <w:r>
              <w:t xml:space="preserve"> Round: </w:t>
            </w:r>
          </w:p>
          <w:p w14:paraId="1B47766A" w14:textId="77777777" w:rsidR="00BD06C4" w:rsidRDefault="00BD06C4" w:rsidP="00BD06C4">
            <w:pPr>
              <w:pStyle w:val="NoSpacing"/>
            </w:pPr>
            <w:r>
              <w:t>July,</w:t>
            </w:r>
          </w:p>
          <w:p w14:paraId="1F966E71" w14:textId="77777777" w:rsidR="00BD06C4" w:rsidRDefault="00BD06C4" w:rsidP="00BD06C4">
            <w:pPr>
              <w:pStyle w:val="NoSpacing"/>
            </w:pPr>
            <w:r>
              <w:t>2020</w:t>
            </w:r>
          </w:p>
          <w:p w14:paraId="6917A5C9" w14:textId="77777777" w:rsidR="00BD06C4" w:rsidRDefault="00BD06C4" w:rsidP="00BD06C4">
            <w:pPr>
              <w:pStyle w:val="NoSpacing"/>
            </w:pPr>
          </w:p>
          <w:p w14:paraId="4B400DD3" w14:textId="77777777" w:rsidR="00BD06C4" w:rsidRDefault="00BD06C4" w:rsidP="00BD06C4">
            <w:pPr>
              <w:pStyle w:val="NoSpacing"/>
            </w:pPr>
            <w:r>
              <w:t>4</w:t>
            </w:r>
            <w:r w:rsidRPr="00013ACB">
              <w:rPr>
                <w:vertAlign w:val="superscript"/>
              </w:rPr>
              <w:t>th</w:t>
            </w:r>
            <w:r>
              <w:t xml:space="preserve"> Round: </w:t>
            </w:r>
          </w:p>
          <w:p w14:paraId="735F3084" w14:textId="77777777" w:rsidR="00BD06C4" w:rsidRDefault="00BD06C4" w:rsidP="00BD06C4">
            <w:pPr>
              <w:pStyle w:val="NoSpacing"/>
            </w:pPr>
            <w:r>
              <w:t>July,</w:t>
            </w:r>
          </w:p>
          <w:p w14:paraId="25D52221" w14:textId="77777777" w:rsidR="00BD06C4" w:rsidRDefault="00BD06C4" w:rsidP="00BD06C4">
            <w:pPr>
              <w:pStyle w:val="NoSpacing"/>
            </w:pPr>
            <w:r>
              <w:t>2021</w:t>
            </w:r>
          </w:p>
          <w:p w14:paraId="7C8B0E4C" w14:textId="77777777" w:rsidR="00BD06C4" w:rsidRDefault="00BD06C4" w:rsidP="00BD06C4">
            <w:pPr>
              <w:pStyle w:val="NoSpacing"/>
            </w:pPr>
          </w:p>
          <w:p w14:paraId="7DB0704B" w14:textId="77777777" w:rsidR="00BD06C4" w:rsidRDefault="00BD06C4" w:rsidP="00BD06C4">
            <w:pPr>
              <w:pStyle w:val="NoSpacing"/>
            </w:pPr>
            <w:r>
              <w:t>5</w:t>
            </w:r>
            <w:r w:rsidRPr="00013ACB">
              <w:rPr>
                <w:vertAlign w:val="superscript"/>
              </w:rPr>
              <w:t>th</w:t>
            </w:r>
            <w:r>
              <w:t xml:space="preserve"> Round: </w:t>
            </w:r>
          </w:p>
          <w:p w14:paraId="74D0E2A8" w14:textId="77777777" w:rsidR="00BD06C4" w:rsidRDefault="00BD06C4" w:rsidP="00BD06C4">
            <w:pPr>
              <w:pStyle w:val="NoSpacing"/>
            </w:pPr>
            <w:r>
              <w:t>July,</w:t>
            </w:r>
          </w:p>
          <w:p w14:paraId="0C943927" w14:textId="77777777" w:rsidR="00BD06C4" w:rsidRDefault="00BD06C4" w:rsidP="00BD06C4">
            <w:pPr>
              <w:pStyle w:val="NoSpacing"/>
            </w:pPr>
            <w:r>
              <w:t>2022</w:t>
            </w:r>
          </w:p>
          <w:p w14:paraId="291D2EA8" w14:textId="75A02086" w:rsidR="00BD06C4" w:rsidRDefault="00BD06C4" w:rsidP="00BD06C4">
            <w:pPr>
              <w:pStyle w:val="NoSpacing"/>
              <w:rPr>
                <w:color w:val="0070C0"/>
                <w:sz w:val="30"/>
                <w:szCs w:val="30"/>
              </w:rPr>
            </w:pPr>
          </w:p>
        </w:tc>
        <w:tc>
          <w:tcPr>
            <w:tcW w:w="0" w:type="auto"/>
          </w:tcPr>
          <w:p w14:paraId="5F93A591" w14:textId="77777777" w:rsidR="00BD06C4" w:rsidRDefault="00BD06C4" w:rsidP="00BD06C4">
            <w:pPr>
              <w:ind w:left="970" w:hanging="970"/>
              <w:jc w:val="both"/>
              <w:rPr>
                <w:color w:val="0070C0"/>
                <w:sz w:val="30"/>
                <w:szCs w:val="30"/>
              </w:rPr>
            </w:pPr>
          </w:p>
        </w:tc>
      </w:tr>
      <w:tr w:rsidR="00BD06C4" w14:paraId="7EE995FF" w14:textId="77777777" w:rsidTr="00586441">
        <w:tc>
          <w:tcPr>
            <w:tcW w:w="0" w:type="auto"/>
          </w:tcPr>
          <w:p w14:paraId="411AD6F8" w14:textId="77777777" w:rsidR="00BD06C4" w:rsidRDefault="00BD06C4" w:rsidP="00BD06C4">
            <w:pPr>
              <w:ind w:left="970" w:hanging="970"/>
              <w:jc w:val="both"/>
              <w:rPr>
                <w:color w:val="0070C0"/>
                <w:sz w:val="30"/>
                <w:szCs w:val="30"/>
              </w:rPr>
            </w:pPr>
          </w:p>
        </w:tc>
        <w:tc>
          <w:tcPr>
            <w:tcW w:w="17879" w:type="dxa"/>
            <w:gridSpan w:val="12"/>
          </w:tcPr>
          <w:p w14:paraId="3DB5B4E5"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17.4 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r>
      <w:tr w:rsidR="00BD06C4" w14:paraId="743C219D" w14:textId="77777777" w:rsidTr="00586441">
        <w:tc>
          <w:tcPr>
            <w:tcW w:w="0" w:type="auto"/>
          </w:tcPr>
          <w:p w14:paraId="622C4B8D" w14:textId="77777777" w:rsidR="00BD06C4" w:rsidRPr="00BB536A" w:rsidRDefault="00BD06C4" w:rsidP="00BD06C4">
            <w:pPr>
              <w:pStyle w:val="NoSpacing"/>
            </w:pPr>
            <w:r w:rsidRPr="00BB536A">
              <w:t>17.4.1 Debt service as a proportion of exports of goods and services</w:t>
            </w:r>
          </w:p>
        </w:tc>
        <w:tc>
          <w:tcPr>
            <w:tcW w:w="0" w:type="auto"/>
          </w:tcPr>
          <w:p w14:paraId="585B3A0F" w14:textId="77777777" w:rsidR="00BD06C4" w:rsidRDefault="00BD06C4" w:rsidP="00BD06C4">
            <w:pPr>
              <w:pStyle w:val="NoSpacing"/>
            </w:pPr>
            <w:r w:rsidRPr="0085065B">
              <w:t>World Bank</w:t>
            </w:r>
          </w:p>
          <w:p w14:paraId="3ECF497C" w14:textId="77777777" w:rsidR="00BD06C4" w:rsidRDefault="00BD06C4" w:rsidP="00BD06C4">
            <w:pPr>
              <w:rPr>
                <w:b/>
                <w:bCs/>
                <w:szCs w:val="20"/>
              </w:rPr>
            </w:pPr>
            <w:r w:rsidRPr="007243FC">
              <w:rPr>
                <w:b/>
                <w:bCs/>
                <w:szCs w:val="20"/>
              </w:rPr>
              <w:t>Partner Agencies:</w:t>
            </w:r>
          </w:p>
          <w:p w14:paraId="3142F370" w14:textId="77777777" w:rsidR="00BD06C4" w:rsidRDefault="00BD06C4" w:rsidP="00BD06C4">
            <w:pPr>
              <w:pStyle w:val="NoSpacing"/>
            </w:pPr>
            <w:r w:rsidRPr="005867D7">
              <w:t>UNCTAD</w:t>
            </w:r>
          </w:p>
        </w:tc>
        <w:tc>
          <w:tcPr>
            <w:tcW w:w="0" w:type="auto"/>
          </w:tcPr>
          <w:p w14:paraId="7081DDE9" w14:textId="77777777" w:rsidR="00BD06C4" w:rsidRDefault="00BD06C4" w:rsidP="00BD06C4">
            <w:pPr>
              <w:ind w:left="970" w:hanging="970"/>
              <w:jc w:val="both"/>
              <w:rPr>
                <w:color w:val="0070C0"/>
                <w:sz w:val="30"/>
                <w:szCs w:val="30"/>
              </w:rPr>
            </w:pPr>
            <w:r>
              <w:t>Tier I</w:t>
            </w:r>
          </w:p>
        </w:tc>
        <w:tc>
          <w:tcPr>
            <w:tcW w:w="0" w:type="auto"/>
          </w:tcPr>
          <w:p w14:paraId="412B25C3" w14:textId="77777777" w:rsidR="00BD06C4" w:rsidRPr="006D544D" w:rsidRDefault="00BD06C4" w:rsidP="00BD06C4">
            <w:pPr>
              <w:pStyle w:val="NoSpacing"/>
              <w:rPr>
                <w:lang w:val="en-GB"/>
              </w:rPr>
            </w:pPr>
            <w:r w:rsidRPr="006D544D">
              <w:rPr>
                <w:b/>
                <w:bCs/>
                <w:lang w:val="en-GB"/>
              </w:rPr>
              <w:t>Definition:</w:t>
            </w:r>
          </w:p>
          <w:p w14:paraId="2F5475E5" w14:textId="77777777" w:rsidR="00BD06C4" w:rsidRPr="006D544D" w:rsidRDefault="00BD06C4" w:rsidP="00BD06C4">
            <w:pPr>
              <w:pStyle w:val="NoSpacing"/>
              <w:rPr>
                <w:lang w:val="en-GB"/>
              </w:rPr>
            </w:pPr>
          </w:p>
          <w:p w14:paraId="563B93AD" w14:textId="77777777" w:rsidR="00BD06C4" w:rsidRPr="006D544D" w:rsidRDefault="00BD06C4" w:rsidP="00BD06C4">
            <w:pPr>
              <w:pStyle w:val="NoSpacing"/>
              <w:rPr>
                <w:lang w:val="en-GB"/>
              </w:rPr>
            </w:pPr>
            <w:r w:rsidRPr="006D544D">
              <w:rPr>
                <w:lang w:val="en-GB"/>
              </w:rPr>
              <w:t>Debt service as proportion of exports of goods and services is the percentage of debt services (principle and interest payments) to the exports of goods and services. Debt services covered in this indicator refer only to public and publicly guaranteed debt</w:t>
            </w:r>
            <w:proofErr w:type="gramStart"/>
            <w:r w:rsidRPr="006D544D">
              <w:rPr>
                <w:lang w:val="en-GB"/>
              </w:rPr>
              <w:t>..</w:t>
            </w:r>
            <w:proofErr w:type="gramEnd"/>
          </w:p>
          <w:p w14:paraId="469D4A9C" w14:textId="77777777" w:rsidR="00BD06C4" w:rsidRPr="006D544D" w:rsidRDefault="00BD06C4" w:rsidP="00BD06C4">
            <w:pPr>
              <w:pStyle w:val="NoSpacing"/>
              <w:rPr>
                <w:lang w:val="en-GB"/>
              </w:rPr>
            </w:pPr>
          </w:p>
          <w:p w14:paraId="1B4418B1" w14:textId="77777777" w:rsidR="00BD06C4" w:rsidRPr="006D544D" w:rsidRDefault="00BD06C4" w:rsidP="00BD06C4">
            <w:pPr>
              <w:pStyle w:val="NoSpacing"/>
              <w:rPr>
                <w:lang w:val="en-GB"/>
              </w:rPr>
            </w:pPr>
            <w:r w:rsidRPr="006D544D">
              <w:rPr>
                <w:b/>
                <w:bCs/>
                <w:lang w:val="en-GB"/>
              </w:rPr>
              <w:t>Concepts:</w:t>
            </w:r>
          </w:p>
          <w:p w14:paraId="1E7405DC" w14:textId="77777777" w:rsidR="00BD06C4" w:rsidRPr="006D544D" w:rsidRDefault="00BD06C4" w:rsidP="00BD06C4">
            <w:pPr>
              <w:pStyle w:val="NoSpacing"/>
              <w:rPr>
                <w:lang w:val="en-GB"/>
              </w:rPr>
            </w:pPr>
          </w:p>
          <w:p w14:paraId="64118E4E" w14:textId="77777777" w:rsidR="00BD06C4" w:rsidRPr="006D544D" w:rsidRDefault="00BD06C4" w:rsidP="00BD06C4">
            <w:pPr>
              <w:pStyle w:val="NoSpacing"/>
              <w:rPr>
                <w:lang w:val="en-GB"/>
              </w:rPr>
            </w:pPr>
            <w:r w:rsidRPr="006D544D">
              <w:rPr>
                <w:lang w:val="en-GB"/>
              </w:rPr>
              <w:t>Concepts of public and publicly guaranteed external debt data are in accordance with the sixth edition of the Balance of Payments and International Investment Position Manual (BPM6) methodology.</w:t>
            </w:r>
          </w:p>
          <w:p w14:paraId="108D27D2" w14:textId="77777777" w:rsidR="00BD06C4" w:rsidRPr="006D544D" w:rsidRDefault="00BD06C4" w:rsidP="00BD06C4">
            <w:pPr>
              <w:pStyle w:val="NoSpacing"/>
              <w:rPr>
                <w:lang w:val="en-GB"/>
              </w:rPr>
            </w:pPr>
          </w:p>
          <w:p w14:paraId="123D62D5" w14:textId="77777777" w:rsidR="00BD06C4" w:rsidRPr="006D544D" w:rsidRDefault="00BD06C4" w:rsidP="00BD06C4">
            <w:pPr>
              <w:pStyle w:val="NoSpacing"/>
              <w:rPr>
                <w:lang w:val="en-GB"/>
              </w:rPr>
            </w:pPr>
            <w:r w:rsidRPr="006D544D">
              <w:rPr>
                <w:lang w:val="en-GB"/>
              </w:rPr>
              <w:t>“Exports of goods and services” data concepts are in accordance with the sixth edition of the Balance of Payments and International Investment Position Manual (BPM6).</w:t>
            </w:r>
          </w:p>
          <w:p w14:paraId="58053A0D" w14:textId="77777777" w:rsidR="00BD06C4" w:rsidRDefault="00BD06C4" w:rsidP="00BD06C4">
            <w:pPr>
              <w:pStyle w:val="NoSpacing"/>
              <w:rPr>
                <w:lang w:val="en-GB"/>
              </w:rPr>
            </w:pPr>
          </w:p>
          <w:p w14:paraId="5B90F929" w14:textId="77777777" w:rsidR="00BD06C4" w:rsidRDefault="00BD06C4" w:rsidP="00BD06C4">
            <w:pPr>
              <w:pStyle w:val="NoSpacing"/>
              <w:rPr>
                <w:lang w:val="en-GB"/>
              </w:rPr>
            </w:pPr>
          </w:p>
          <w:p w14:paraId="63B37E12" w14:textId="77777777" w:rsidR="00BD06C4" w:rsidRDefault="00BD06C4" w:rsidP="00BD06C4">
            <w:pPr>
              <w:pStyle w:val="NoSpacing"/>
              <w:rPr>
                <w:lang w:val="en-GB"/>
              </w:rPr>
            </w:pPr>
          </w:p>
          <w:p w14:paraId="77F8731E" w14:textId="77777777" w:rsidR="00BD06C4" w:rsidRPr="006D544D" w:rsidRDefault="00BD06C4" w:rsidP="00BD06C4">
            <w:pPr>
              <w:pStyle w:val="NoSpacing"/>
              <w:rPr>
                <w:b/>
                <w:bCs/>
                <w:lang w:val="en-GB"/>
              </w:rPr>
            </w:pPr>
          </w:p>
          <w:p w14:paraId="11654C66" w14:textId="77777777" w:rsidR="00BD06C4" w:rsidRPr="006D544D" w:rsidRDefault="00BD06C4" w:rsidP="00BD06C4">
            <w:pPr>
              <w:pStyle w:val="NoSpacing"/>
              <w:rPr>
                <w:lang w:val="en-GB"/>
              </w:rPr>
            </w:pPr>
            <w:r w:rsidRPr="006D544D">
              <w:rPr>
                <w:b/>
                <w:bCs/>
                <w:lang w:val="en-GB"/>
              </w:rPr>
              <w:t>Computation Method:</w:t>
            </w:r>
          </w:p>
          <w:p w14:paraId="76309A53" w14:textId="77777777" w:rsidR="00BD06C4" w:rsidRPr="006D544D" w:rsidRDefault="00BD06C4" w:rsidP="00BD06C4">
            <w:pPr>
              <w:pStyle w:val="NoSpacing"/>
              <w:rPr>
                <w:lang w:val="en-GB"/>
              </w:rPr>
            </w:pPr>
          </w:p>
          <w:p w14:paraId="419D67F9" w14:textId="77777777" w:rsidR="00BD06C4" w:rsidRPr="006D544D" w:rsidRDefault="00BD06C4" w:rsidP="00BD06C4">
            <w:pPr>
              <w:pStyle w:val="NoSpacing"/>
              <w:rPr>
                <w:lang w:val="en-GB"/>
              </w:rPr>
            </w:pPr>
            <w:r w:rsidRPr="006D544D">
              <w:rPr>
                <w:lang w:val="en-GB"/>
              </w:rPr>
              <w:t xml:space="preserve">Public and publicly guaranteed external debt data are compiled by the World Bank based on the World Bank Debtor Reporting System Manual, dated January 2000 which sets out the reporting procedures to be used by countries. The data are provided by the countries on a loan by loan basis. </w:t>
            </w:r>
          </w:p>
          <w:p w14:paraId="4EAAA52E" w14:textId="77777777" w:rsidR="00BD06C4" w:rsidRPr="006D544D" w:rsidRDefault="00BD06C4" w:rsidP="00BD06C4">
            <w:pPr>
              <w:pStyle w:val="NoSpacing"/>
              <w:rPr>
                <w:lang w:val="en-GB"/>
              </w:rPr>
            </w:pPr>
          </w:p>
          <w:p w14:paraId="038FBADE" w14:textId="77777777" w:rsidR="00BD06C4" w:rsidRPr="006D544D" w:rsidRDefault="00BD06C4" w:rsidP="00BD06C4">
            <w:pPr>
              <w:pStyle w:val="NoSpacing"/>
              <w:rPr>
                <w:lang w:val="en-GB"/>
              </w:rPr>
            </w:pPr>
            <w:r w:rsidRPr="006D544D">
              <w:rPr>
                <w:lang w:val="en-GB"/>
              </w:rPr>
              <w:t xml:space="preserve">“Exports of goods and services” data are sourced from IMF’s Balance of Payments Statistics database and then gap-filled with World Bank staff estimates in accordance with the sixth edition of the Balance of Payments and International Investment Position Manual (BPM6) </w:t>
            </w:r>
          </w:p>
          <w:p w14:paraId="3C00925E" w14:textId="77777777" w:rsidR="00BD06C4" w:rsidRPr="006D544D" w:rsidRDefault="00BD06C4" w:rsidP="00BD06C4">
            <w:pPr>
              <w:pStyle w:val="NoSpacing"/>
              <w:rPr>
                <w:lang w:val="en-GB"/>
              </w:rPr>
            </w:pPr>
          </w:p>
          <w:p w14:paraId="7CFBF111" w14:textId="77777777" w:rsidR="00BD06C4" w:rsidRPr="006D544D" w:rsidRDefault="00BD06C4" w:rsidP="00BD06C4">
            <w:pPr>
              <w:pStyle w:val="NoSpacing"/>
              <w:rPr>
                <w:lang w:val="en-GB"/>
              </w:rPr>
            </w:pPr>
            <w:r w:rsidRPr="006D544D">
              <w:rPr>
                <w:lang w:val="en-GB"/>
              </w:rPr>
              <w:t>Both components are used to express the indicator in percentage terms.</w:t>
            </w:r>
          </w:p>
          <w:p w14:paraId="685C1FF8" w14:textId="77777777" w:rsidR="00BD06C4" w:rsidRDefault="00BD06C4" w:rsidP="00BD06C4">
            <w:pPr>
              <w:pStyle w:val="NoSpacing"/>
            </w:pPr>
          </w:p>
        </w:tc>
        <w:tc>
          <w:tcPr>
            <w:tcW w:w="2835" w:type="dxa"/>
          </w:tcPr>
          <w:p w14:paraId="3143649B" w14:textId="77777777" w:rsidR="00BD06C4" w:rsidRPr="00873FDE" w:rsidRDefault="00BD06C4" w:rsidP="00BD06C4">
            <w:pPr>
              <w:rPr>
                <w:szCs w:val="22"/>
              </w:rPr>
            </w:pPr>
            <w:r w:rsidRPr="00873FDE">
              <w:rPr>
                <w:szCs w:val="22"/>
              </w:rPr>
              <w:lastRenderedPageBreak/>
              <w:t>Public and publicly guaranteed debt is reported on a quarterly basis through form 1 and form 2. Specifically, the new loan commitments are reported on Form 1 and when appropriate, Form 1a (Schedule of Drawings and Principal and Interest Payments); the loan transactions are reported once a year on Form 2 (Current Status and Transactions). Form 3 is used to report corrections to data originally reported in Forms 1 and 2. Forms 1 and 1A are submitted quarterly, within 30 days of the close of the quarter. Form 2 is submitted annually, by March 31 of the year following that for which the report is made.</w:t>
            </w:r>
          </w:p>
        </w:tc>
        <w:tc>
          <w:tcPr>
            <w:tcW w:w="1167" w:type="dxa"/>
          </w:tcPr>
          <w:p w14:paraId="01775D4A" w14:textId="77777777" w:rsidR="00BD06C4" w:rsidRPr="00873FDE" w:rsidRDefault="00BD06C4" w:rsidP="00BD06C4">
            <w:pPr>
              <w:rPr>
                <w:szCs w:val="22"/>
              </w:rPr>
            </w:pPr>
            <w:r w:rsidRPr="00873FDE">
              <w:rPr>
                <w:szCs w:val="22"/>
              </w:rPr>
              <w:t xml:space="preserve">The agency in charge of producing the debt statistics at the national level is the World Bank with the data sourced by government agencies on a loan by loan basis. The national data provider of “Exports of </w:t>
            </w:r>
            <w:proofErr w:type="gramStart"/>
            <w:r w:rsidRPr="00873FDE">
              <w:rPr>
                <w:szCs w:val="22"/>
              </w:rPr>
              <w:t>Goods,</w:t>
            </w:r>
            <w:proofErr w:type="gramEnd"/>
            <w:r w:rsidRPr="00873FDE">
              <w:rPr>
                <w:szCs w:val="22"/>
              </w:rPr>
              <w:t xml:space="preserve"> and Services” is the institution in charge of the collection and compilation of the Balance of Payments statistics. This responsibility varies and is country specific (i.e. Central </w:t>
            </w:r>
            <w:r w:rsidRPr="00873FDE">
              <w:rPr>
                <w:szCs w:val="22"/>
              </w:rPr>
              <w:lastRenderedPageBreak/>
              <w:t>Bank). World Bank staff estimates for “Exports of Goods and Services” data are used for gap filling purposes. “Exports of Goods and Services” data are not reported directly to the World Bank from the national data provider. They are reported to the International Monetary Fund (IMF), which is the institution in charge of overseeing balance of payment stability as part of its institutional mandate.</w:t>
            </w:r>
          </w:p>
        </w:tc>
        <w:tc>
          <w:tcPr>
            <w:tcW w:w="0" w:type="auto"/>
          </w:tcPr>
          <w:p w14:paraId="5B427E3A" w14:textId="77777777" w:rsidR="00BD06C4" w:rsidRDefault="00BD06C4" w:rsidP="00BD06C4">
            <w:pPr>
              <w:pStyle w:val="NoSpacing"/>
            </w:pPr>
            <w:r w:rsidRPr="00BC6F10">
              <w:lastRenderedPageBreak/>
              <w:t xml:space="preserve">a) ERD </w:t>
            </w:r>
            <w:r w:rsidRPr="00BC6F10">
              <w:br/>
              <w:t xml:space="preserve">b) </w:t>
            </w:r>
            <w:r>
              <w:t>BB</w:t>
            </w:r>
          </w:p>
          <w:p w14:paraId="20F16691" w14:textId="77777777" w:rsidR="00BD06C4" w:rsidRDefault="00BD06C4" w:rsidP="00BD06C4">
            <w:pPr>
              <w:pStyle w:val="NoSpacing"/>
            </w:pPr>
          </w:p>
          <w:p w14:paraId="67F89267" w14:textId="77777777" w:rsidR="00BD06C4" w:rsidRDefault="00BD06C4" w:rsidP="00BD06C4">
            <w:pPr>
              <w:pStyle w:val="NoSpacing"/>
            </w:pPr>
            <w:r>
              <w:t>Flows of External Resources</w:t>
            </w:r>
          </w:p>
          <w:p w14:paraId="46156F6E" w14:textId="77777777" w:rsidR="00BD06C4" w:rsidRPr="00BC6F10" w:rsidRDefault="00BD06C4" w:rsidP="00BD06C4">
            <w:pPr>
              <w:pStyle w:val="NoSpacing"/>
            </w:pPr>
            <w:r>
              <w:t>(</w:t>
            </w:r>
            <w:r w:rsidRPr="004527E3">
              <w:t>Administrative Data</w:t>
            </w:r>
            <w:r>
              <w:t>)</w:t>
            </w:r>
          </w:p>
        </w:tc>
        <w:tc>
          <w:tcPr>
            <w:tcW w:w="0" w:type="auto"/>
          </w:tcPr>
          <w:p w14:paraId="3F60AC06" w14:textId="77777777" w:rsidR="00BD06C4" w:rsidRDefault="00BD06C4" w:rsidP="00BD06C4">
            <w:pPr>
              <w:pStyle w:val="NoSpacing"/>
            </w:pPr>
            <w:r w:rsidRPr="00BC6F10">
              <w:t xml:space="preserve">a) ERD </w:t>
            </w:r>
            <w:r w:rsidRPr="00BC6F10">
              <w:br/>
              <w:t xml:space="preserve">b) </w:t>
            </w:r>
            <w:r>
              <w:t>BB, FID</w:t>
            </w:r>
          </w:p>
          <w:p w14:paraId="7AB42C95" w14:textId="77777777" w:rsidR="00BD06C4" w:rsidRDefault="00BD06C4" w:rsidP="00BD06C4">
            <w:pPr>
              <w:pStyle w:val="NoSpacing"/>
            </w:pPr>
          </w:p>
          <w:p w14:paraId="6D1F3820" w14:textId="77777777" w:rsidR="00BD06C4" w:rsidRDefault="00BD06C4" w:rsidP="00BD06C4">
            <w:pPr>
              <w:pStyle w:val="NoSpacing"/>
            </w:pPr>
            <w:r>
              <w:t>Flows of External Resources</w:t>
            </w:r>
          </w:p>
          <w:p w14:paraId="61B92852" w14:textId="77777777" w:rsidR="00BD06C4" w:rsidRPr="004527E3" w:rsidRDefault="00BD06C4" w:rsidP="00BD06C4">
            <w:pPr>
              <w:pStyle w:val="NoSpacing"/>
            </w:pPr>
            <w:r>
              <w:t>(</w:t>
            </w:r>
            <w:r w:rsidRPr="004527E3">
              <w:t>Administrative Data</w:t>
            </w:r>
            <w:r>
              <w:t>)</w:t>
            </w:r>
          </w:p>
        </w:tc>
        <w:tc>
          <w:tcPr>
            <w:tcW w:w="0" w:type="auto"/>
          </w:tcPr>
          <w:p w14:paraId="174CC601" w14:textId="77777777" w:rsidR="00BD06C4" w:rsidRDefault="00BD06C4" w:rsidP="00BD06C4">
            <w:pPr>
              <w:ind w:left="970" w:hanging="970"/>
              <w:jc w:val="both"/>
              <w:rPr>
                <w:color w:val="0070C0"/>
                <w:sz w:val="30"/>
                <w:szCs w:val="30"/>
              </w:rPr>
            </w:pPr>
            <w:r>
              <w:t>Not Applicable</w:t>
            </w:r>
          </w:p>
        </w:tc>
        <w:tc>
          <w:tcPr>
            <w:tcW w:w="1078" w:type="dxa"/>
          </w:tcPr>
          <w:p w14:paraId="7754E3A2" w14:textId="77777777" w:rsidR="00BD06C4" w:rsidRDefault="00BD06C4" w:rsidP="00BD06C4">
            <w:pPr>
              <w:ind w:left="970" w:hanging="970"/>
              <w:jc w:val="both"/>
              <w:rPr>
                <w:color w:val="0070C0"/>
                <w:sz w:val="30"/>
                <w:szCs w:val="30"/>
              </w:rPr>
            </w:pPr>
            <w:r w:rsidRPr="00BC6F10">
              <w:rPr>
                <w:szCs w:val="20"/>
              </w:rPr>
              <w:t>Annual</w:t>
            </w:r>
          </w:p>
        </w:tc>
        <w:tc>
          <w:tcPr>
            <w:tcW w:w="872" w:type="dxa"/>
          </w:tcPr>
          <w:p w14:paraId="0EADC4CD" w14:textId="77777777" w:rsidR="00BD06C4" w:rsidRDefault="00BD06C4" w:rsidP="00BD06C4">
            <w:pPr>
              <w:ind w:left="970" w:hanging="970"/>
              <w:jc w:val="both"/>
              <w:rPr>
                <w:color w:val="0070C0"/>
                <w:sz w:val="30"/>
                <w:szCs w:val="30"/>
              </w:rPr>
            </w:pPr>
            <w:r>
              <w:t>Group 1</w:t>
            </w:r>
          </w:p>
        </w:tc>
        <w:tc>
          <w:tcPr>
            <w:tcW w:w="619" w:type="dxa"/>
          </w:tcPr>
          <w:p w14:paraId="7569038A" w14:textId="77777777" w:rsidR="00BD06C4" w:rsidRDefault="00BD06C4" w:rsidP="00BD06C4">
            <w:pPr>
              <w:pStyle w:val="NoSpacing"/>
            </w:pPr>
            <w:r>
              <w:t>1</w:t>
            </w:r>
            <w:r w:rsidRPr="00013ACB">
              <w:rPr>
                <w:vertAlign w:val="superscript"/>
              </w:rPr>
              <w:t>st</w:t>
            </w:r>
            <w:r>
              <w:t xml:space="preserve"> Round:</w:t>
            </w:r>
          </w:p>
          <w:p w14:paraId="58B9C183" w14:textId="77777777" w:rsidR="00BD06C4" w:rsidRDefault="00BD06C4" w:rsidP="00BD06C4">
            <w:pPr>
              <w:pStyle w:val="NoSpacing"/>
            </w:pPr>
            <w:r>
              <w:t>2016</w:t>
            </w:r>
          </w:p>
          <w:p w14:paraId="6941AC82" w14:textId="77777777" w:rsidR="00BD06C4" w:rsidRDefault="00BD06C4" w:rsidP="00BD06C4">
            <w:pPr>
              <w:pStyle w:val="NoSpacing"/>
            </w:pPr>
          </w:p>
          <w:p w14:paraId="1783E2FA" w14:textId="77777777" w:rsidR="00BD06C4" w:rsidRDefault="00BD06C4" w:rsidP="00BD06C4">
            <w:pPr>
              <w:pStyle w:val="NoSpacing"/>
            </w:pPr>
            <w:r>
              <w:t>2</w:t>
            </w:r>
            <w:r w:rsidRPr="00013ACB">
              <w:rPr>
                <w:vertAlign w:val="superscript"/>
              </w:rPr>
              <w:t>nd</w:t>
            </w:r>
            <w:r>
              <w:t xml:space="preserve"> Round:</w:t>
            </w:r>
          </w:p>
          <w:p w14:paraId="39A74BF0" w14:textId="77777777" w:rsidR="00BD06C4" w:rsidRDefault="00BD06C4" w:rsidP="00BD06C4">
            <w:pPr>
              <w:pStyle w:val="NoSpacing"/>
            </w:pPr>
            <w:r>
              <w:t xml:space="preserve"> September </w:t>
            </w:r>
          </w:p>
          <w:p w14:paraId="62191C17" w14:textId="77777777" w:rsidR="00BD06C4" w:rsidRDefault="00BD06C4" w:rsidP="00BD06C4">
            <w:pPr>
              <w:ind w:left="970" w:hanging="970"/>
              <w:jc w:val="both"/>
            </w:pPr>
            <w:r>
              <w:t>2019</w:t>
            </w:r>
          </w:p>
          <w:p w14:paraId="78577964" w14:textId="77777777" w:rsidR="00BD06C4" w:rsidRDefault="00BD06C4" w:rsidP="00BD06C4">
            <w:pPr>
              <w:pStyle w:val="NoSpacing"/>
            </w:pPr>
          </w:p>
          <w:p w14:paraId="4ED8E5C4" w14:textId="77777777" w:rsidR="00BD06C4" w:rsidRDefault="00BD06C4" w:rsidP="00BD06C4">
            <w:pPr>
              <w:pStyle w:val="NoSpacing"/>
            </w:pPr>
            <w:r>
              <w:t>3</w:t>
            </w:r>
            <w:r w:rsidRPr="00013ACB">
              <w:rPr>
                <w:vertAlign w:val="superscript"/>
              </w:rPr>
              <w:t>rd</w:t>
            </w:r>
            <w:r>
              <w:t xml:space="preserve"> Round: </w:t>
            </w:r>
          </w:p>
          <w:p w14:paraId="71F37488" w14:textId="77777777" w:rsidR="00BD06C4" w:rsidRDefault="00BD06C4" w:rsidP="00BD06C4">
            <w:pPr>
              <w:pStyle w:val="NoSpacing"/>
            </w:pPr>
            <w:r>
              <w:t xml:space="preserve">September </w:t>
            </w:r>
          </w:p>
          <w:p w14:paraId="23CA6790" w14:textId="77777777" w:rsidR="00BD06C4" w:rsidRDefault="00BD06C4" w:rsidP="00BD06C4">
            <w:pPr>
              <w:ind w:left="970" w:hanging="970"/>
              <w:jc w:val="both"/>
            </w:pPr>
            <w:r>
              <w:t>2020</w:t>
            </w:r>
          </w:p>
          <w:p w14:paraId="26F3D75B" w14:textId="77777777" w:rsidR="00BD06C4" w:rsidRDefault="00BD06C4" w:rsidP="00BD06C4">
            <w:pPr>
              <w:pStyle w:val="NoSpacing"/>
            </w:pPr>
          </w:p>
          <w:p w14:paraId="739981F1" w14:textId="77777777" w:rsidR="00BD06C4" w:rsidRDefault="00BD06C4" w:rsidP="00BD06C4">
            <w:pPr>
              <w:pStyle w:val="NoSpacing"/>
            </w:pPr>
            <w:r>
              <w:t>4</w:t>
            </w:r>
            <w:r w:rsidRPr="00013ACB">
              <w:rPr>
                <w:vertAlign w:val="superscript"/>
              </w:rPr>
              <w:t>th</w:t>
            </w:r>
            <w:r>
              <w:t xml:space="preserve"> Round: </w:t>
            </w:r>
          </w:p>
          <w:p w14:paraId="631AEA1E" w14:textId="77777777" w:rsidR="00BD06C4" w:rsidRDefault="00BD06C4" w:rsidP="00BD06C4">
            <w:pPr>
              <w:pStyle w:val="NoSpacing"/>
            </w:pPr>
            <w:r>
              <w:t xml:space="preserve">September </w:t>
            </w:r>
          </w:p>
          <w:p w14:paraId="1A946C93" w14:textId="77777777" w:rsidR="00BD06C4" w:rsidRDefault="00BD06C4" w:rsidP="00BD06C4">
            <w:pPr>
              <w:ind w:left="970" w:hanging="970"/>
              <w:jc w:val="both"/>
            </w:pPr>
            <w:r>
              <w:t>2021</w:t>
            </w:r>
          </w:p>
          <w:p w14:paraId="4B15F78D" w14:textId="77777777" w:rsidR="00BD06C4" w:rsidRDefault="00BD06C4" w:rsidP="00BD06C4">
            <w:pPr>
              <w:ind w:left="970" w:hanging="970"/>
              <w:jc w:val="both"/>
            </w:pPr>
          </w:p>
          <w:p w14:paraId="24C6C640" w14:textId="77777777" w:rsidR="00BD06C4" w:rsidRDefault="00BD06C4" w:rsidP="00BD06C4">
            <w:pPr>
              <w:pStyle w:val="NoSpacing"/>
            </w:pPr>
            <w:r>
              <w:t>5</w:t>
            </w:r>
            <w:r w:rsidRPr="00013ACB">
              <w:rPr>
                <w:vertAlign w:val="superscript"/>
              </w:rPr>
              <w:t>th</w:t>
            </w:r>
            <w:r>
              <w:t xml:space="preserve"> Round: </w:t>
            </w:r>
          </w:p>
          <w:p w14:paraId="78B0398C" w14:textId="77777777" w:rsidR="00BD06C4" w:rsidRDefault="00BD06C4" w:rsidP="00BD06C4">
            <w:pPr>
              <w:pStyle w:val="NoSpacing"/>
            </w:pPr>
            <w:r>
              <w:t xml:space="preserve">September </w:t>
            </w:r>
          </w:p>
          <w:p w14:paraId="1B9CA7D2" w14:textId="77777777" w:rsidR="00BD06C4" w:rsidRDefault="00BD06C4" w:rsidP="00BD06C4">
            <w:pPr>
              <w:ind w:left="970" w:hanging="970"/>
              <w:jc w:val="both"/>
            </w:pPr>
            <w:r>
              <w:t>2022</w:t>
            </w:r>
          </w:p>
          <w:p w14:paraId="78C535E5" w14:textId="142BF870" w:rsidR="00BD06C4" w:rsidRDefault="00BD06C4" w:rsidP="00BD06C4">
            <w:pPr>
              <w:ind w:left="970" w:hanging="970"/>
              <w:jc w:val="both"/>
              <w:rPr>
                <w:color w:val="0070C0"/>
                <w:sz w:val="30"/>
                <w:szCs w:val="30"/>
              </w:rPr>
            </w:pPr>
          </w:p>
        </w:tc>
        <w:tc>
          <w:tcPr>
            <w:tcW w:w="0" w:type="auto"/>
          </w:tcPr>
          <w:p w14:paraId="40B17E03" w14:textId="77777777" w:rsidR="00BD06C4" w:rsidRDefault="00BD06C4" w:rsidP="00BD06C4">
            <w:pPr>
              <w:ind w:left="970" w:hanging="970"/>
              <w:jc w:val="both"/>
              <w:rPr>
                <w:color w:val="0070C0"/>
                <w:sz w:val="30"/>
                <w:szCs w:val="30"/>
              </w:rPr>
            </w:pPr>
          </w:p>
        </w:tc>
      </w:tr>
      <w:tr w:rsidR="00BD06C4" w14:paraId="52C0B1BB" w14:textId="77777777" w:rsidTr="00586441">
        <w:tc>
          <w:tcPr>
            <w:tcW w:w="0" w:type="auto"/>
          </w:tcPr>
          <w:p w14:paraId="41E26CC9" w14:textId="77777777" w:rsidR="00BD06C4" w:rsidRDefault="00BD06C4" w:rsidP="00BD06C4">
            <w:pPr>
              <w:ind w:left="970" w:hanging="970"/>
              <w:jc w:val="both"/>
              <w:rPr>
                <w:color w:val="0070C0"/>
                <w:sz w:val="30"/>
                <w:szCs w:val="30"/>
              </w:rPr>
            </w:pPr>
          </w:p>
        </w:tc>
        <w:tc>
          <w:tcPr>
            <w:tcW w:w="17879" w:type="dxa"/>
            <w:gridSpan w:val="12"/>
          </w:tcPr>
          <w:p w14:paraId="26743276"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17.5 Adopt and implement investment promotion regimes for least developed countries</w:t>
            </w:r>
          </w:p>
        </w:tc>
      </w:tr>
      <w:tr w:rsidR="00BD06C4" w14:paraId="5C7A9559" w14:textId="77777777" w:rsidTr="00586441">
        <w:tc>
          <w:tcPr>
            <w:tcW w:w="0" w:type="auto"/>
          </w:tcPr>
          <w:p w14:paraId="456F3D1B" w14:textId="77777777" w:rsidR="00BD06C4" w:rsidRPr="00BB536A" w:rsidRDefault="00BD06C4" w:rsidP="00BD06C4">
            <w:pPr>
              <w:pStyle w:val="NoSpacing"/>
            </w:pPr>
            <w:r w:rsidRPr="00BB536A">
              <w:t xml:space="preserve">17.5.1 Number of countries that adopt and implement investment </w:t>
            </w:r>
            <w:r w:rsidRPr="00BB536A">
              <w:lastRenderedPageBreak/>
              <w:t>promotion regimes for developing countries, including the least developed countries</w:t>
            </w:r>
          </w:p>
        </w:tc>
        <w:tc>
          <w:tcPr>
            <w:tcW w:w="0" w:type="auto"/>
          </w:tcPr>
          <w:p w14:paraId="57881D68" w14:textId="77777777" w:rsidR="00BD06C4" w:rsidRDefault="00BD06C4" w:rsidP="00BD06C4">
            <w:pPr>
              <w:ind w:left="970" w:hanging="970"/>
              <w:jc w:val="both"/>
              <w:rPr>
                <w:color w:val="0070C0"/>
                <w:sz w:val="30"/>
                <w:szCs w:val="30"/>
              </w:rPr>
            </w:pPr>
          </w:p>
          <w:p w14:paraId="1BDD0E80" w14:textId="77777777" w:rsidR="00BD06C4" w:rsidRDefault="00BD06C4" w:rsidP="00BD06C4">
            <w:pPr>
              <w:pStyle w:val="NoSpacing"/>
            </w:pPr>
            <w:r w:rsidRPr="005867D7">
              <w:t>UNCTAD</w:t>
            </w:r>
          </w:p>
        </w:tc>
        <w:tc>
          <w:tcPr>
            <w:tcW w:w="0" w:type="auto"/>
          </w:tcPr>
          <w:p w14:paraId="0A8217AD" w14:textId="77777777" w:rsidR="00BD06C4" w:rsidRDefault="00BD06C4" w:rsidP="00BD06C4">
            <w:pPr>
              <w:ind w:left="970" w:hanging="970"/>
              <w:jc w:val="both"/>
              <w:rPr>
                <w:color w:val="0070C0"/>
                <w:sz w:val="30"/>
                <w:szCs w:val="30"/>
              </w:rPr>
            </w:pPr>
            <w:r w:rsidRPr="00666BAB">
              <w:t>Tier II</w:t>
            </w:r>
          </w:p>
        </w:tc>
        <w:tc>
          <w:tcPr>
            <w:tcW w:w="0" w:type="auto"/>
          </w:tcPr>
          <w:p w14:paraId="3BD2ECCA" w14:textId="77777777" w:rsidR="00BD06C4" w:rsidRPr="00B20ADF" w:rsidRDefault="00BD06C4" w:rsidP="00BD06C4">
            <w:pPr>
              <w:pStyle w:val="NoSpacing"/>
              <w:rPr>
                <w:lang w:val="en-GB"/>
              </w:rPr>
            </w:pPr>
            <w:r w:rsidRPr="00B20ADF">
              <w:rPr>
                <w:b/>
                <w:bCs/>
                <w:lang w:val="en-GB"/>
              </w:rPr>
              <w:t>Definition:</w:t>
            </w:r>
          </w:p>
          <w:p w14:paraId="25D2C9EA" w14:textId="77777777" w:rsidR="00BD06C4" w:rsidRPr="00B20ADF" w:rsidRDefault="00BD06C4" w:rsidP="00BD06C4">
            <w:pPr>
              <w:pStyle w:val="NoSpacing"/>
              <w:rPr>
                <w:lang w:val="en-GB"/>
              </w:rPr>
            </w:pPr>
            <w:r w:rsidRPr="00B20ADF">
              <w:rPr>
                <w:lang w:val="en-GB"/>
              </w:rPr>
              <w:t xml:space="preserve">The indicator provides the number of countries </w:t>
            </w:r>
            <w:bookmarkStart w:id="26" w:name="_Hlk20845058"/>
            <w:r w:rsidRPr="00B20ADF">
              <w:rPr>
                <w:lang w:val="en-GB"/>
              </w:rPr>
              <w:t>that have adopted and implemented investment promotion regimes</w:t>
            </w:r>
            <w:bookmarkEnd w:id="26"/>
            <w:r w:rsidRPr="00B20ADF">
              <w:rPr>
                <w:lang w:val="en-GB"/>
              </w:rPr>
              <w:t xml:space="preserve"> for developing countries, including least developed countries. </w:t>
            </w:r>
          </w:p>
          <w:p w14:paraId="2298E941" w14:textId="77777777" w:rsidR="00BD06C4" w:rsidRPr="00B20ADF" w:rsidRDefault="00BD06C4" w:rsidP="00BD06C4">
            <w:pPr>
              <w:pStyle w:val="NoSpacing"/>
              <w:rPr>
                <w:b/>
                <w:bCs/>
                <w:lang w:val="en-GB"/>
              </w:rPr>
            </w:pPr>
            <w:r w:rsidRPr="00B20ADF">
              <w:rPr>
                <w:b/>
                <w:bCs/>
                <w:lang w:val="en-GB"/>
              </w:rPr>
              <w:t>Concepts:</w:t>
            </w:r>
          </w:p>
          <w:p w14:paraId="5F3934E2" w14:textId="77777777" w:rsidR="00BD06C4" w:rsidRPr="00B20ADF" w:rsidRDefault="00BD06C4" w:rsidP="00BD06C4">
            <w:pPr>
              <w:pStyle w:val="NoSpacing"/>
              <w:rPr>
                <w:lang w:val="en-GB"/>
              </w:rPr>
            </w:pPr>
            <w:r w:rsidRPr="00B20ADF">
              <w:rPr>
                <w:u w:val="single"/>
                <w:lang w:val="en-GB"/>
              </w:rPr>
              <w:t>Investment promotion regimes</w:t>
            </w:r>
            <w:r w:rsidRPr="00B20ADF">
              <w:rPr>
                <w:lang w:val="en-GB"/>
              </w:rPr>
              <w:t xml:space="preserve"> can be defined as those instruments that directly aim at encouraging outward or inward foreign investment through particular measures of the home or host countries of investment. </w:t>
            </w:r>
          </w:p>
          <w:p w14:paraId="30AEACE0" w14:textId="77777777" w:rsidR="00BD06C4" w:rsidRPr="00B20ADF" w:rsidRDefault="00BD06C4" w:rsidP="00BD06C4">
            <w:pPr>
              <w:pStyle w:val="NoSpacing"/>
              <w:rPr>
                <w:lang w:val="en-GB"/>
              </w:rPr>
            </w:pPr>
            <w:r w:rsidRPr="00B20ADF">
              <w:rPr>
                <w:lang w:val="en-GB"/>
              </w:rPr>
              <w:lastRenderedPageBreak/>
              <w:t xml:space="preserve">Investment promotion regimes for LDCs are those instruments that </w:t>
            </w:r>
            <w:r w:rsidRPr="00B20ADF">
              <w:rPr>
                <w:i/>
                <w:iCs/>
                <w:lang w:val="en-GB"/>
              </w:rPr>
              <w:t>home countries</w:t>
            </w:r>
            <w:r w:rsidRPr="00B20ADF">
              <w:rPr>
                <w:lang w:val="en-GB"/>
              </w:rPr>
              <w:t xml:space="preserve"> of investors have put in place to </w:t>
            </w:r>
            <w:r w:rsidRPr="00B20ADF">
              <w:rPr>
                <w:i/>
                <w:iCs/>
                <w:lang w:val="en-GB"/>
              </w:rPr>
              <w:t xml:space="preserve">encourage outward investment in LDCs directly or through measures intended for developing countries. </w:t>
            </w:r>
          </w:p>
          <w:p w14:paraId="382AE0FF" w14:textId="77777777" w:rsidR="00BD06C4" w:rsidRPr="00B20ADF" w:rsidRDefault="00BD06C4" w:rsidP="00BD06C4">
            <w:pPr>
              <w:pStyle w:val="NoSpacing"/>
              <w:rPr>
                <w:lang w:val="en-GB"/>
              </w:rPr>
            </w:pPr>
            <w:r w:rsidRPr="00B20ADF">
              <w:rPr>
                <w:u w:val="single"/>
                <w:lang w:val="en-GB"/>
              </w:rPr>
              <w:t>Home country</w:t>
            </w:r>
            <w:r w:rsidRPr="00B20ADF">
              <w:rPr>
                <w:lang w:val="en-GB"/>
              </w:rPr>
              <w:t xml:space="preserve"> refers to donor countries that put in place investment promotion regimes to encourage outward investment in developing countries, including LDCs. </w:t>
            </w:r>
          </w:p>
          <w:p w14:paraId="60066562" w14:textId="77777777" w:rsidR="00BD06C4" w:rsidRPr="00B20ADF" w:rsidRDefault="00BD06C4" w:rsidP="00BD06C4">
            <w:pPr>
              <w:pStyle w:val="NoSpacing"/>
              <w:rPr>
                <w:lang w:val="en-GB"/>
              </w:rPr>
            </w:pPr>
            <w:r w:rsidRPr="00B20ADF">
              <w:rPr>
                <w:u w:val="single"/>
                <w:lang w:val="en-GB"/>
              </w:rPr>
              <w:t>Foreign direct investment</w:t>
            </w:r>
            <w:r w:rsidRPr="00B20ADF">
              <w:rPr>
                <w:lang w:val="en-GB"/>
              </w:rPr>
              <w:t xml:space="preserve"> involves a long-term relationship and reflects a lasting interest and control by a resident entity in one economy (foreign direct investor or parent enterprise) in an enterprise resident in an economy other than that of the foreign direct investor (FDI enterprise or affiliate enterprise or foreign affiliate).</w:t>
            </w:r>
          </w:p>
          <w:p w14:paraId="706C5D21" w14:textId="77777777" w:rsidR="00BD06C4" w:rsidRPr="00B20ADF" w:rsidRDefault="00BD06C4" w:rsidP="00BD06C4">
            <w:pPr>
              <w:pStyle w:val="NoSpacing"/>
              <w:rPr>
                <w:lang w:val="en-GB"/>
              </w:rPr>
            </w:pPr>
            <w:r w:rsidRPr="00B20ADF">
              <w:rPr>
                <w:u w:val="single"/>
                <w:lang w:val="en-GB"/>
              </w:rPr>
              <w:t>Adoption</w:t>
            </w:r>
            <w:r w:rsidRPr="00B20ADF">
              <w:rPr>
                <w:lang w:val="en-GB"/>
              </w:rPr>
              <w:t xml:space="preserve"> means that a country has put in place such a system i.e. through the formal adoption of a law, regulation or programme to encourage investment in developing countries, including LDCs. </w:t>
            </w:r>
          </w:p>
          <w:p w14:paraId="083DB6D9" w14:textId="77777777" w:rsidR="00BD06C4" w:rsidRPr="00B20ADF" w:rsidRDefault="00BD06C4" w:rsidP="00BD06C4">
            <w:pPr>
              <w:pStyle w:val="NoSpacing"/>
              <w:rPr>
                <w:lang w:val="en-GB"/>
              </w:rPr>
            </w:pPr>
            <w:r w:rsidRPr="00B20ADF">
              <w:rPr>
                <w:u w:val="single"/>
                <w:lang w:val="en-GB"/>
              </w:rPr>
              <w:t>Implementation</w:t>
            </w:r>
            <w:r w:rsidRPr="00B20ADF">
              <w:rPr>
                <w:lang w:val="en-GB"/>
              </w:rPr>
              <w:t xml:space="preserve"> means that a country has actually started to promote individual investments in developing countries, including LDCs, on the basis of the relevant legislation. </w:t>
            </w:r>
          </w:p>
          <w:p w14:paraId="429C600C" w14:textId="77777777" w:rsidR="00BD06C4" w:rsidRPr="00B20ADF" w:rsidRDefault="00BD06C4" w:rsidP="00BD06C4">
            <w:pPr>
              <w:pStyle w:val="NoSpacing"/>
              <w:rPr>
                <w:lang w:val="en-GB"/>
              </w:rPr>
            </w:pPr>
            <w:r w:rsidRPr="00B20ADF">
              <w:rPr>
                <w:u w:val="single"/>
                <w:lang w:val="en-GB"/>
              </w:rPr>
              <w:t>Instruments</w:t>
            </w:r>
            <w:r w:rsidRPr="00B20ADF">
              <w:rPr>
                <w:lang w:val="en-GB"/>
              </w:rPr>
              <w:t xml:space="preserve"> used under investment promotion regimes include investment guarantees, financial or fiscal support for outward investors as well as the conclusion of international investment agreements between the home and the host country of the investor. Besides these legal instruments, countries often also provide information and other advisory services for their outward investors. </w:t>
            </w:r>
          </w:p>
          <w:p w14:paraId="041D9590" w14:textId="77777777" w:rsidR="00BD06C4" w:rsidRPr="00B20ADF" w:rsidRDefault="00BD06C4" w:rsidP="00BD06C4">
            <w:pPr>
              <w:pStyle w:val="NoSpacing"/>
              <w:rPr>
                <w:u w:val="single"/>
                <w:lang w:val="en-GB"/>
              </w:rPr>
            </w:pPr>
            <w:r w:rsidRPr="00B20ADF">
              <w:rPr>
                <w:u w:val="single"/>
                <w:lang w:val="en-GB"/>
              </w:rPr>
              <w:t>Investment guarantee</w:t>
            </w:r>
            <w:r w:rsidRPr="00B20ADF">
              <w:rPr>
                <w:lang w:val="en-GB"/>
              </w:rPr>
              <w:t xml:space="preserve"> is </w:t>
            </w:r>
            <w:proofErr w:type="gramStart"/>
            <w:r w:rsidRPr="00B20ADF">
              <w:rPr>
                <w:lang w:val="en-GB"/>
              </w:rPr>
              <w:t>an insurance</w:t>
            </w:r>
            <w:proofErr w:type="gramEnd"/>
            <w:r w:rsidRPr="00B20ADF">
              <w:rPr>
                <w:lang w:val="en-GB"/>
              </w:rPr>
              <w:t>, offered by governments of the home country or other institutions, to investors to protect against certain political risks in host countries, such as the risk of discrimination, expropriation, transfer restrictions or breach of contract</w:t>
            </w:r>
            <w:r w:rsidRPr="00B20ADF">
              <w:rPr>
                <w:u w:val="single"/>
                <w:lang w:val="en-GB"/>
              </w:rPr>
              <w:t>.</w:t>
            </w:r>
          </w:p>
          <w:p w14:paraId="7DFF69AF" w14:textId="77777777" w:rsidR="00BD06C4" w:rsidRPr="00B20ADF" w:rsidRDefault="00BD06C4" w:rsidP="00BD06C4">
            <w:pPr>
              <w:pStyle w:val="NoSpacing"/>
              <w:rPr>
                <w:lang w:val="en-GB"/>
              </w:rPr>
            </w:pPr>
            <w:r w:rsidRPr="00B20ADF">
              <w:rPr>
                <w:u w:val="single"/>
                <w:lang w:val="en-GB"/>
              </w:rPr>
              <w:t>International investment agreement</w:t>
            </w:r>
            <w:r w:rsidRPr="00B20ADF">
              <w:rPr>
                <w:lang w:val="en-GB"/>
              </w:rPr>
              <w:t xml:space="preserve"> is a treaty between two or more countries regarding the promotion and protection of investments made by investors from one country in the other country’s territory, which commits the host country government to grant certain standards of treatment and protection to foreign investors (nationals and companies of the other country) and their investments.</w:t>
            </w:r>
          </w:p>
          <w:p w14:paraId="4A865D81" w14:textId="77777777" w:rsidR="00BD06C4" w:rsidRPr="00B20ADF" w:rsidRDefault="00BD06C4" w:rsidP="00BD06C4">
            <w:pPr>
              <w:pStyle w:val="NoSpacing"/>
              <w:rPr>
                <w:lang w:val="en-GB"/>
              </w:rPr>
            </w:pPr>
          </w:p>
          <w:p w14:paraId="1FBDEC51" w14:textId="77777777" w:rsidR="00BD06C4" w:rsidRPr="00B20ADF" w:rsidRDefault="00BD06C4" w:rsidP="00BD06C4">
            <w:pPr>
              <w:pStyle w:val="NoSpacing"/>
              <w:rPr>
                <w:lang w:val="en-GB"/>
              </w:rPr>
            </w:pPr>
            <w:r w:rsidRPr="00B20ADF">
              <w:rPr>
                <w:b/>
                <w:bCs/>
                <w:lang w:val="en-GB"/>
              </w:rPr>
              <w:t>Comments and limitations:</w:t>
            </w:r>
          </w:p>
          <w:p w14:paraId="541F99B8" w14:textId="77777777" w:rsidR="00BD06C4" w:rsidRPr="00B20ADF" w:rsidRDefault="00BD06C4" w:rsidP="00BD06C4">
            <w:pPr>
              <w:pStyle w:val="NoSpacing"/>
              <w:rPr>
                <w:lang w:val="en-GB"/>
              </w:rPr>
            </w:pPr>
            <w:r w:rsidRPr="00B20ADF">
              <w:rPr>
                <w:lang w:val="en-GB"/>
              </w:rPr>
              <w:t xml:space="preserve">SDG indicator 17.5.1 calls for the measurement of both adoption and implementation of investment promotion regimes. The </w:t>
            </w:r>
            <w:r w:rsidRPr="00B20ADF">
              <w:rPr>
                <w:i/>
                <w:iCs/>
                <w:lang w:val="en-GB"/>
              </w:rPr>
              <w:t>adoption</w:t>
            </w:r>
            <w:r w:rsidRPr="00B20ADF">
              <w:rPr>
                <w:lang w:val="en-GB"/>
              </w:rPr>
              <w:t xml:space="preserve"> of investment promotion regimes for LDCs is an important yet not sufficient means for strengthening the global partnership for the SGDs (Goal 17). Subsequent </w:t>
            </w:r>
            <w:r w:rsidRPr="00B20ADF">
              <w:rPr>
                <w:i/>
                <w:iCs/>
                <w:lang w:val="en-GB"/>
              </w:rPr>
              <w:t>implementation</w:t>
            </w:r>
            <w:r w:rsidRPr="00B20ADF">
              <w:rPr>
                <w:lang w:val="en-GB"/>
              </w:rPr>
              <w:t xml:space="preserve"> of these regimes is necessary for making the tool effective. </w:t>
            </w:r>
          </w:p>
          <w:p w14:paraId="5B590DD2" w14:textId="77777777" w:rsidR="00BD06C4" w:rsidRPr="00B20ADF" w:rsidRDefault="00BD06C4" w:rsidP="00BD06C4">
            <w:pPr>
              <w:pStyle w:val="NoSpacing"/>
              <w:rPr>
                <w:lang w:val="en-GB"/>
              </w:rPr>
            </w:pPr>
            <w:r w:rsidRPr="00B20ADF">
              <w:rPr>
                <w:lang w:val="en-GB"/>
              </w:rPr>
              <w:t xml:space="preserve">However, getting comprehensive and reliable data on the implementation stage (i.e. how many investments in LDCs have actually been promoted through the promotion regime?) will be very difficult. These data are usually not publicly available. However, to some extent, data may exist in aggregate form (see below). </w:t>
            </w:r>
          </w:p>
          <w:p w14:paraId="0274134D" w14:textId="77777777" w:rsidR="00BD06C4" w:rsidRPr="00B20ADF" w:rsidRDefault="00BD06C4" w:rsidP="00BD06C4">
            <w:pPr>
              <w:pStyle w:val="NoSpacing"/>
              <w:rPr>
                <w:lang w:val="en-GB"/>
              </w:rPr>
            </w:pPr>
            <w:r w:rsidRPr="00B20ADF">
              <w:rPr>
                <w:b/>
                <w:bCs/>
                <w:lang w:val="en-GB"/>
              </w:rPr>
              <w:lastRenderedPageBreak/>
              <w:t>Computation Method:</w:t>
            </w:r>
          </w:p>
          <w:p w14:paraId="3A151490" w14:textId="77777777" w:rsidR="00BD06C4" w:rsidRPr="00B20ADF" w:rsidRDefault="00BD06C4" w:rsidP="00BD06C4">
            <w:pPr>
              <w:pStyle w:val="NoSpacing"/>
              <w:rPr>
                <w:lang w:val="en-GB"/>
              </w:rPr>
            </w:pPr>
            <w:r w:rsidRPr="00B20ADF">
              <w:rPr>
                <w:lang w:val="en-GB"/>
              </w:rPr>
              <w:t xml:space="preserve">The proposed computation method includes the following in the compilation of SDG indicator 17.5.1: </w:t>
            </w:r>
          </w:p>
          <w:p w14:paraId="55C2BCDE" w14:textId="77777777" w:rsidR="00BD06C4" w:rsidRPr="00B20ADF" w:rsidRDefault="00BD06C4" w:rsidP="00BD06C4">
            <w:pPr>
              <w:pStyle w:val="NoSpacing"/>
              <w:numPr>
                <w:ilvl w:val="0"/>
                <w:numId w:val="147"/>
              </w:numPr>
              <w:rPr>
                <w:b/>
                <w:i/>
                <w:lang w:val="en-GB"/>
              </w:rPr>
            </w:pPr>
            <w:r w:rsidRPr="00B20ADF">
              <w:rPr>
                <w:b/>
                <w:i/>
                <w:lang w:val="en-GB"/>
              </w:rPr>
              <w:t xml:space="preserve">Target countries of outward investment promotion regimes </w:t>
            </w:r>
          </w:p>
          <w:p w14:paraId="2AD4785A" w14:textId="77777777" w:rsidR="00BD06C4" w:rsidRPr="00B20ADF" w:rsidRDefault="00BD06C4" w:rsidP="00BD06C4">
            <w:pPr>
              <w:pStyle w:val="NoSpacing"/>
              <w:rPr>
                <w:lang w:val="en-GB"/>
              </w:rPr>
            </w:pPr>
            <w:r w:rsidRPr="00B20ADF">
              <w:rPr>
                <w:lang w:val="en-GB"/>
              </w:rPr>
              <w:t xml:space="preserve">The indicator methodology covers both: </w:t>
            </w:r>
          </w:p>
          <w:p w14:paraId="3419D728" w14:textId="77777777" w:rsidR="00BD06C4" w:rsidRPr="00B20ADF" w:rsidRDefault="00BD06C4" w:rsidP="00BD06C4">
            <w:pPr>
              <w:pStyle w:val="NoSpacing"/>
              <w:numPr>
                <w:ilvl w:val="0"/>
                <w:numId w:val="148"/>
              </w:numPr>
              <w:rPr>
                <w:lang w:val="en-GB"/>
              </w:rPr>
            </w:pPr>
            <w:r w:rsidRPr="00B20ADF">
              <w:rPr>
                <w:lang w:val="en-GB"/>
              </w:rPr>
              <w:t xml:space="preserve">Specific investment promotion regimes targeted for LDCs only; </w:t>
            </w:r>
          </w:p>
          <w:p w14:paraId="5E5FF7CA" w14:textId="77777777" w:rsidR="00BD06C4" w:rsidRPr="00B20ADF" w:rsidRDefault="00BD06C4" w:rsidP="00BD06C4">
            <w:pPr>
              <w:pStyle w:val="NoSpacing"/>
              <w:numPr>
                <w:ilvl w:val="0"/>
                <w:numId w:val="148"/>
              </w:numPr>
              <w:rPr>
                <w:lang w:val="en-GB"/>
              </w:rPr>
            </w:pPr>
            <w:r w:rsidRPr="00B20ADF">
              <w:rPr>
                <w:lang w:val="en-GB"/>
              </w:rPr>
              <w:t xml:space="preserve">Investment promotion regimes for developing countries in general, including LDCs. </w:t>
            </w:r>
          </w:p>
          <w:p w14:paraId="22B1ED8E" w14:textId="77777777" w:rsidR="00BD06C4" w:rsidRPr="00B20ADF" w:rsidRDefault="00BD06C4" w:rsidP="00BD06C4">
            <w:pPr>
              <w:pStyle w:val="NoSpacing"/>
              <w:rPr>
                <w:lang w:val="en-GB"/>
              </w:rPr>
            </w:pPr>
            <w:r w:rsidRPr="00B20ADF">
              <w:rPr>
                <w:lang w:val="en-GB"/>
              </w:rPr>
              <w:t>The measurement should include investment promotion regimes for all developing countries. Only this approach ensures getting a full picture of outward investment promotion with LDCs as beneficiaries, which is better aligned with Target 17.5. By contrast, limiting the research to specific promotion regimes for LDCs only would result in partial information, because the number of LDCs that receive support through investment promotion regimes for all developing countries is likely to be much higher than the number of LDCs that benefit from LDC-specific promotion regimes. Therefore, both types are included when identifying the countries that have adopted and implemented investment promotion regimes for developing countries, including least developed countries.</w:t>
            </w:r>
          </w:p>
          <w:p w14:paraId="1EF32D04" w14:textId="77777777" w:rsidR="00BD06C4" w:rsidRPr="00B20ADF" w:rsidRDefault="00BD06C4" w:rsidP="00BD06C4">
            <w:pPr>
              <w:pStyle w:val="NoSpacing"/>
              <w:numPr>
                <w:ilvl w:val="0"/>
                <w:numId w:val="147"/>
              </w:numPr>
              <w:rPr>
                <w:b/>
                <w:i/>
                <w:lang w:val="en-GB"/>
              </w:rPr>
            </w:pPr>
            <w:r w:rsidRPr="00B20ADF">
              <w:rPr>
                <w:b/>
                <w:i/>
                <w:lang w:val="en-GB"/>
              </w:rPr>
              <w:t xml:space="preserve">Types of outward investment promotion regimes </w:t>
            </w:r>
          </w:p>
          <w:p w14:paraId="7212B06B" w14:textId="77777777" w:rsidR="00BD06C4" w:rsidRPr="00B20ADF" w:rsidRDefault="00BD06C4" w:rsidP="00BD06C4">
            <w:pPr>
              <w:pStyle w:val="NoSpacing"/>
              <w:rPr>
                <w:lang w:val="en-GB"/>
              </w:rPr>
            </w:pPr>
            <w:r w:rsidRPr="00B20ADF">
              <w:rPr>
                <w:lang w:val="en-GB"/>
              </w:rPr>
              <w:t xml:space="preserve">Based on consultations and feasibility studies on </w:t>
            </w:r>
            <w:r w:rsidRPr="00B20ADF">
              <w:rPr>
                <w:i/>
                <w:lang w:val="en-GB"/>
              </w:rPr>
              <w:t>what types</w:t>
            </w:r>
            <w:r w:rsidRPr="00B20ADF">
              <w:rPr>
                <w:lang w:val="en-GB"/>
              </w:rPr>
              <w:t xml:space="preserve"> of investment promotion regimes to look at, the following methodology is suggested: </w:t>
            </w:r>
          </w:p>
          <w:p w14:paraId="5206DB07" w14:textId="77777777" w:rsidR="00BD06C4" w:rsidRPr="00B20ADF" w:rsidRDefault="00BD06C4" w:rsidP="00BD06C4">
            <w:pPr>
              <w:pStyle w:val="NoSpacing"/>
              <w:rPr>
                <w:lang w:val="en-GB"/>
              </w:rPr>
            </w:pPr>
            <w:r w:rsidRPr="00B20ADF">
              <w:rPr>
                <w:lang w:val="en-GB"/>
              </w:rPr>
              <w:t xml:space="preserve">Countries use various means to promote foreign investment abroad (see above “Concepts”). Indicator 17.5.1 will focus on the legal investment instruments, since relevant information is – to various degrees - usually publicly available, and thus feasible to compile. </w:t>
            </w:r>
          </w:p>
          <w:p w14:paraId="6C0D7395" w14:textId="77777777" w:rsidR="00BD06C4" w:rsidRPr="00B20ADF" w:rsidRDefault="00BD06C4" w:rsidP="00BD06C4">
            <w:pPr>
              <w:pStyle w:val="NoSpacing"/>
              <w:rPr>
                <w:lang w:val="en-GB"/>
              </w:rPr>
            </w:pPr>
            <w:r w:rsidRPr="00B20ADF">
              <w:rPr>
                <w:lang w:val="en-GB"/>
              </w:rPr>
              <w:t>Information is less frequently available on informal and ad-hoc means of outward investment promotion, such as advisory services. The availability of reliable information on such measures would vary greatly across countries. Thus, including such information would hamper the international comparability of the indicator.</w:t>
            </w:r>
          </w:p>
          <w:p w14:paraId="5B180560" w14:textId="77777777" w:rsidR="00BD06C4" w:rsidRPr="00B20ADF" w:rsidRDefault="00BD06C4" w:rsidP="00BD06C4">
            <w:pPr>
              <w:pStyle w:val="NoSpacing"/>
              <w:rPr>
                <w:lang w:val="en-GB"/>
              </w:rPr>
            </w:pPr>
            <w:r w:rsidRPr="00B20ADF">
              <w:rPr>
                <w:lang w:val="en-GB"/>
              </w:rPr>
              <w:t>To be included in the number of countries that have adopted and implemented investment promotion regimes, the existence of at least one type of promotion instrument (e.g. an investment guarantee scheme or IIAs with LDCs) would be sufficient.</w:t>
            </w:r>
          </w:p>
          <w:p w14:paraId="43932398" w14:textId="77777777" w:rsidR="00BD06C4" w:rsidRPr="00B20ADF" w:rsidRDefault="00BD06C4" w:rsidP="00BD06C4">
            <w:pPr>
              <w:pStyle w:val="NoSpacing"/>
              <w:numPr>
                <w:ilvl w:val="0"/>
                <w:numId w:val="147"/>
              </w:numPr>
              <w:rPr>
                <w:b/>
                <w:i/>
                <w:lang w:val="en-GB"/>
              </w:rPr>
            </w:pPr>
            <w:r w:rsidRPr="00B20ADF">
              <w:rPr>
                <w:b/>
                <w:i/>
                <w:lang w:val="en-GB"/>
              </w:rPr>
              <w:t xml:space="preserve">Adoption vs. implementation of outward investment promotion regimes </w:t>
            </w:r>
          </w:p>
          <w:p w14:paraId="7EC95163" w14:textId="77777777" w:rsidR="00BD06C4" w:rsidRPr="00B20ADF" w:rsidRDefault="00BD06C4" w:rsidP="00BD06C4">
            <w:pPr>
              <w:pStyle w:val="NoSpacing"/>
              <w:rPr>
                <w:lang w:val="en-GB"/>
              </w:rPr>
            </w:pPr>
            <w:bookmarkStart w:id="27" w:name="_Hlk20752100"/>
            <w:r w:rsidRPr="00B20ADF">
              <w:rPr>
                <w:lang w:val="en-GB"/>
              </w:rPr>
              <w:t xml:space="preserve">Consultations and feasibility studies were carried out on whether – in addition to the existence of an outward investment promotion regime – it would also be feasible to examine as to what extent the regime was actually </w:t>
            </w:r>
            <w:r w:rsidRPr="00B20ADF">
              <w:rPr>
                <w:i/>
                <w:iCs/>
                <w:lang w:val="en-GB"/>
              </w:rPr>
              <w:t>implemented</w:t>
            </w:r>
            <w:r w:rsidRPr="00B20ADF">
              <w:rPr>
                <w:lang w:val="en-GB"/>
              </w:rPr>
              <w:t xml:space="preserve"> (i.e. whether an LDC </w:t>
            </w:r>
            <w:r w:rsidRPr="00B20ADF">
              <w:rPr>
                <w:i/>
                <w:iCs/>
                <w:lang w:val="en-GB"/>
              </w:rPr>
              <w:t>actually benefitted</w:t>
            </w:r>
            <w:r w:rsidRPr="00B20ADF">
              <w:rPr>
                <w:lang w:val="en-GB"/>
              </w:rPr>
              <w:t xml:space="preserve"> from it, e.g., by receiving a foreign investment promoted by an investment guarantee). It was concluded to focus the research on the </w:t>
            </w:r>
            <w:r w:rsidRPr="00B20ADF">
              <w:rPr>
                <w:i/>
                <w:iCs/>
                <w:lang w:val="en-GB"/>
              </w:rPr>
              <w:t>adoption</w:t>
            </w:r>
            <w:r w:rsidRPr="00B20ADF">
              <w:rPr>
                <w:lang w:val="en-GB"/>
              </w:rPr>
              <w:t xml:space="preserve"> of a promotion system as such. Information on the actual </w:t>
            </w:r>
            <w:r w:rsidRPr="00B20ADF">
              <w:rPr>
                <w:lang w:val="en-GB"/>
              </w:rPr>
              <w:lastRenderedPageBreak/>
              <w:t>stage of implementation in individual countries is usually not publicly available; scattered data about the situation in some countries could not provide a comprehensive and reliable picture of the overall situation. However, it may be possible to come up with some aggregate data at the regional or global level (see below).</w:t>
            </w:r>
            <w:bookmarkEnd w:id="27"/>
          </w:p>
          <w:p w14:paraId="0C4434A2" w14:textId="77777777" w:rsidR="00BD06C4" w:rsidRPr="00B20ADF" w:rsidRDefault="00BD06C4" w:rsidP="00BD06C4">
            <w:pPr>
              <w:pStyle w:val="NoSpacing"/>
              <w:numPr>
                <w:ilvl w:val="0"/>
                <w:numId w:val="147"/>
              </w:numPr>
              <w:rPr>
                <w:b/>
                <w:i/>
                <w:lang w:val="en-GB"/>
              </w:rPr>
            </w:pPr>
            <w:r w:rsidRPr="00B20ADF">
              <w:rPr>
                <w:b/>
                <w:i/>
                <w:lang w:val="en-GB"/>
              </w:rPr>
              <w:t xml:space="preserve">Coverage of home countries of outward investment promotion regimes </w:t>
            </w:r>
          </w:p>
          <w:p w14:paraId="2FA3F375" w14:textId="77777777" w:rsidR="00BD06C4" w:rsidRPr="00B20ADF" w:rsidRDefault="00BD06C4" w:rsidP="00BD06C4">
            <w:pPr>
              <w:pStyle w:val="NoSpacing"/>
              <w:rPr>
                <w:lang w:val="en-GB"/>
              </w:rPr>
            </w:pPr>
            <w:r w:rsidRPr="00B20ADF">
              <w:rPr>
                <w:lang w:val="en-GB"/>
              </w:rPr>
              <w:t xml:space="preserve">There is also a question of </w:t>
            </w:r>
            <w:r w:rsidRPr="00B20ADF">
              <w:rPr>
                <w:i/>
                <w:iCs/>
                <w:lang w:val="en-GB"/>
              </w:rPr>
              <w:t>which countries</w:t>
            </w:r>
            <w:r w:rsidRPr="00B20ADF">
              <w:rPr>
                <w:lang w:val="en-GB"/>
              </w:rPr>
              <w:t xml:space="preserve"> should be included in the measure as home countries of outward investment promotion regimes. The indicator will not only include measures put in place by developed countries but also by emerging economies, thus measuring South-South cooperation in this respect in addition. </w:t>
            </w:r>
          </w:p>
          <w:p w14:paraId="3FBFA9B8" w14:textId="77777777" w:rsidR="00BD06C4" w:rsidRDefault="00BD06C4" w:rsidP="00BD06C4">
            <w:pPr>
              <w:pStyle w:val="NoSpacing"/>
            </w:pPr>
          </w:p>
        </w:tc>
        <w:tc>
          <w:tcPr>
            <w:tcW w:w="2835" w:type="dxa"/>
          </w:tcPr>
          <w:p w14:paraId="36DEC5FF" w14:textId="77777777" w:rsidR="00BD06C4" w:rsidRPr="00DD4502" w:rsidRDefault="00BD06C4" w:rsidP="00BD06C4">
            <w:pPr>
              <w:pStyle w:val="NoSpacing"/>
            </w:pPr>
            <w:r w:rsidRPr="00DD4502">
              <w:lastRenderedPageBreak/>
              <w:t xml:space="preserve">Data will be collected through the following means: </w:t>
            </w:r>
          </w:p>
          <w:p w14:paraId="1B5E8C6C" w14:textId="77777777" w:rsidR="00BD06C4" w:rsidRPr="00DD4502" w:rsidRDefault="00BD06C4" w:rsidP="00BD06C4">
            <w:pPr>
              <w:pStyle w:val="NoSpacing"/>
            </w:pPr>
            <w:r w:rsidRPr="00DD4502">
              <w:t>An in-depth pilot survey where a limited number of countries that offer outward investment promotion are contacted and asked for detailed information;</w:t>
            </w:r>
          </w:p>
          <w:p w14:paraId="153DDB56" w14:textId="77777777" w:rsidR="00BD06C4" w:rsidRPr="00DD4502" w:rsidRDefault="00BD06C4" w:rsidP="00BD06C4">
            <w:pPr>
              <w:pStyle w:val="NoSpacing"/>
            </w:pPr>
            <w:r w:rsidRPr="00DD4502">
              <w:t xml:space="preserve">A less detailed online questionnaire for all </w:t>
            </w:r>
            <w:r w:rsidRPr="00DD4502">
              <w:lastRenderedPageBreak/>
              <w:t xml:space="preserve">outward investment promotion agencies; </w:t>
            </w:r>
          </w:p>
          <w:p w14:paraId="01142C64" w14:textId="77777777" w:rsidR="00BD06C4" w:rsidRPr="00DD4502" w:rsidRDefault="00BD06C4" w:rsidP="00BD06C4">
            <w:pPr>
              <w:pStyle w:val="NoSpacing"/>
            </w:pPr>
            <w:r w:rsidRPr="00DD4502">
              <w:t>Internet research carried out by UNCTAD;</w:t>
            </w:r>
          </w:p>
          <w:p w14:paraId="7DF7AA01" w14:textId="77777777" w:rsidR="00BD06C4" w:rsidRPr="00DD4502" w:rsidRDefault="00BD06C4" w:rsidP="00BD06C4">
            <w:pPr>
              <w:pStyle w:val="NoSpacing"/>
            </w:pPr>
            <w:r w:rsidRPr="00DD4502">
              <w:t>UNCTAD database on international investment agreements.</w:t>
            </w:r>
          </w:p>
          <w:p w14:paraId="2141D29D" w14:textId="77777777" w:rsidR="00BD06C4" w:rsidRPr="00DD4502" w:rsidRDefault="00BD06C4" w:rsidP="00BD06C4">
            <w:pPr>
              <w:pStyle w:val="NoSpacing"/>
            </w:pPr>
          </w:p>
        </w:tc>
        <w:tc>
          <w:tcPr>
            <w:tcW w:w="1167" w:type="dxa"/>
          </w:tcPr>
          <w:p w14:paraId="7539A5C7" w14:textId="77777777" w:rsidR="00BD06C4" w:rsidRPr="00235FA9" w:rsidRDefault="00BD06C4" w:rsidP="00BD06C4">
            <w:pPr>
              <w:pStyle w:val="NoSpacing"/>
            </w:pPr>
            <w:r w:rsidRPr="00235FA9">
              <w:lastRenderedPageBreak/>
              <w:t xml:space="preserve">Data providers include national ministries, outward investment promotion agencies and </w:t>
            </w:r>
            <w:r w:rsidRPr="00235FA9">
              <w:lastRenderedPageBreak/>
              <w:t xml:space="preserve">other international organisations. </w:t>
            </w:r>
          </w:p>
          <w:p w14:paraId="3F99ADD7" w14:textId="77777777" w:rsidR="00BD06C4" w:rsidRDefault="00BD06C4" w:rsidP="00BD06C4">
            <w:pPr>
              <w:pStyle w:val="NoSpacing"/>
            </w:pPr>
          </w:p>
        </w:tc>
        <w:tc>
          <w:tcPr>
            <w:tcW w:w="0" w:type="auto"/>
          </w:tcPr>
          <w:p w14:paraId="242D03EE" w14:textId="6A74F414" w:rsidR="00BD06C4" w:rsidRPr="00BC6F10" w:rsidRDefault="00BD06C4" w:rsidP="00BD06C4">
            <w:pPr>
              <w:pStyle w:val="NoSpacing"/>
            </w:pPr>
          </w:p>
        </w:tc>
        <w:tc>
          <w:tcPr>
            <w:tcW w:w="0" w:type="auto"/>
          </w:tcPr>
          <w:p w14:paraId="6DFC8E43" w14:textId="77777777" w:rsidR="00BD06C4" w:rsidRDefault="00BD06C4" w:rsidP="00BD06C4">
            <w:pPr>
              <w:pStyle w:val="NoSpacing"/>
            </w:pPr>
            <w:r w:rsidRPr="00BC6F10">
              <w:t>a) BIDA, PMO</w:t>
            </w:r>
            <w:r w:rsidRPr="00BC6F10">
              <w:br/>
              <w:t>b) NBR, IRD</w:t>
            </w:r>
          </w:p>
          <w:p w14:paraId="0CEA8127" w14:textId="77777777" w:rsidR="00BD06C4" w:rsidRPr="00BC6F10" w:rsidRDefault="00BD06C4" w:rsidP="00BD06C4">
            <w:pPr>
              <w:pStyle w:val="NoSpacing"/>
            </w:pPr>
            <w:r>
              <w:t>Administrative Data</w:t>
            </w:r>
          </w:p>
        </w:tc>
        <w:tc>
          <w:tcPr>
            <w:tcW w:w="0" w:type="auto"/>
          </w:tcPr>
          <w:p w14:paraId="5272360A" w14:textId="77777777" w:rsidR="00296C9A" w:rsidRDefault="00296C9A" w:rsidP="00296C9A">
            <w:pPr>
              <w:ind w:left="970" w:hanging="970"/>
              <w:jc w:val="both"/>
              <w:rPr>
                <w:color w:val="0070C0"/>
                <w:szCs w:val="20"/>
              </w:rPr>
            </w:pPr>
            <w:r w:rsidRPr="000C4849">
              <w:rPr>
                <w:color w:val="0070C0"/>
                <w:szCs w:val="20"/>
              </w:rPr>
              <w:t>By type</w:t>
            </w:r>
            <w:r>
              <w:rPr>
                <w:color w:val="0070C0"/>
                <w:szCs w:val="20"/>
              </w:rPr>
              <w:t xml:space="preserve"> </w:t>
            </w:r>
            <w:r w:rsidRPr="00296C9A">
              <w:rPr>
                <w:color w:val="0070C0"/>
                <w:szCs w:val="20"/>
              </w:rPr>
              <w:t>O</w:t>
            </w:r>
            <w:r w:rsidRPr="000C4849">
              <w:rPr>
                <w:color w:val="0070C0"/>
                <w:szCs w:val="20"/>
              </w:rPr>
              <w:t>f</w:t>
            </w:r>
            <w:r>
              <w:rPr>
                <w:color w:val="0070C0"/>
                <w:szCs w:val="20"/>
              </w:rPr>
              <w:t xml:space="preserve"> </w:t>
            </w:r>
          </w:p>
          <w:p w14:paraId="1B695C5C" w14:textId="02900A48" w:rsidR="00BD06C4" w:rsidRPr="000C4849" w:rsidRDefault="00296C9A" w:rsidP="00296C9A">
            <w:pPr>
              <w:ind w:left="970" w:hanging="970"/>
              <w:jc w:val="both"/>
              <w:rPr>
                <w:color w:val="0070C0"/>
                <w:szCs w:val="20"/>
              </w:rPr>
            </w:pPr>
            <w:r w:rsidRPr="000C4849">
              <w:rPr>
                <w:color w:val="0070C0"/>
                <w:szCs w:val="20"/>
              </w:rPr>
              <w:t xml:space="preserve"> investment</w:t>
            </w:r>
          </w:p>
        </w:tc>
        <w:tc>
          <w:tcPr>
            <w:tcW w:w="1078" w:type="dxa"/>
          </w:tcPr>
          <w:p w14:paraId="3408E8D3" w14:textId="77777777" w:rsidR="00BD06C4" w:rsidRPr="000C4849" w:rsidRDefault="00BD06C4" w:rsidP="00BD06C4">
            <w:pPr>
              <w:ind w:left="970" w:hanging="970"/>
              <w:jc w:val="both"/>
              <w:rPr>
                <w:color w:val="0070C0"/>
                <w:szCs w:val="20"/>
              </w:rPr>
            </w:pPr>
            <w:r w:rsidRPr="00296C9A">
              <w:rPr>
                <w:szCs w:val="20"/>
              </w:rPr>
              <w:t>Triennial</w:t>
            </w:r>
          </w:p>
        </w:tc>
        <w:tc>
          <w:tcPr>
            <w:tcW w:w="872" w:type="dxa"/>
          </w:tcPr>
          <w:p w14:paraId="54D8B15B" w14:textId="77777777" w:rsidR="00BD06C4" w:rsidRDefault="00BD06C4" w:rsidP="00BD06C4">
            <w:pPr>
              <w:ind w:left="970" w:hanging="970"/>
              <w:jc w:val="both"/>
              <w:rPr>
                <w:color w:val="0070C0"/>
                <w:sz w:val="30"/>
                <w:szCs w:val="30"/>
              </w:rPr>
            </w:pPr>
            <w:r>
              <w:t>Group 2</w:t>
            </w:r>
          </w:p>
        </w:tc>
        <w:tc>
          <w:tcPr>
            <w:tcW w:w="619" w:type="dxa"/>
          </w:tcPr>
          <w:p w14:paraId="2A751F80" w14:textId="77777777" w:rsidR="00BD06C4" w:rsidRDefault="00BD06C4" w:rsidP="00BD06C4">
            <w:pPr>
              <w:pStyle w:val="NoSpacing"/>
            </w:pPr>
            <w:r>
              <w:t>1</w:t>
            </w:r>
            <w:r w:rsidRPr="00013ACB">
              <w:rPr>
                <w:vertAlign w:val="superscript"/>
              </w:rPr>
              <w:t>st</w:t>
            </w:r>
            <w:r>
              <w:t xml:space="preserve"> Round:</w:t>
            </w:r>
          </w:p>
          <w:p w14:paraId="6A464172" w14:textId="77777777" w:rsidR="00BD06C4" w:rsidRDefault="00BD06C4" w:rsidP="00BD06C4">
            <w:pPr>
              <w:pStyle w:val="NoSpacing"/>
            </w:pPr>
            <w:r>
              <w:t>July,</w:t>
            </w:r>
          </w:p>
          <w:p w14:paraId="2449AB5A" w14:textId="77777777" w:rsidR="00BD06C4" w:rsidRDefault="00BD06C4" w:rsidP="00BD06C4">
            <w:pPr>
              <w:pStyle w:val="NoSpacing"/>
            </w:pPr>
            <w:r>
              <w:t>2019</w:t>
            </w:r>
          </w:p>
          <w:p w14:paraId="393F559E" w14:textId="77777777" w:rsidR="00BD06C4" w:rsidRDefault="00BD06C4" w:rsidP="00BD06C4">
            <w:pPr>
              <w:pStyle w:val="NoSpacing"/>
            </w:pPr>
          </w:p>
          <w:p w14:paraId="4DC45189" w14:textId="77777777" w:rsidR="00BD06C4" w:rsidRDefault="00BD06C4" w:rsidP="00BD06C4">
            <w:pPr>
              <w:pStyle w:val="NoSpacing"/>
            </w:pPr>
            <w:r>
              <w:t>2</w:t>
            </w:r>
            <w:r w:rsidRPr="00013ACB">
              <w:rPr>
                <w:vertAlign w:val="superscript"/>
              </w:rPr>
              <w:t>nd</w:t>
            </w:r>
            <w:r>
              <w:t xml:space="preserve"> Round:</w:t>
            </w:r>
          </w:p>
          <w:p w14:paraId="7F78C504" w14:textId="77777777" w:rsidR="00BD06C4" w:rsidRDefault="00BD06C4" w:rsidP="00BD06C4">
            <w:pPr>
              <w:pStyle w:val="NoSpacing"/>
            </w:pPr>
            <w:r>
              <w:lastRenderedPageBreak/>
              <w:t>July,</w:t>
            </w:r>
          </w:p>
          <w:p w14:paraId="572B18E5" w14:textId="77777777" w:rsidR="00BD06C4" w:rsidRDefault="00BD06C4" w:rsidP="00BD06C4">
            <w:pPr>
              <w:pStyle w:val="NoSpacing"/>
            </w:pPr>
            <w:r>
              <w:t>2022</w:t>
            </w:r>
          </w:p>
          <w:p w14:paraId="2B66FF81" w14:textId="77777777" w:rsidR="00BD06C4" w:rsidRDefault="00BD06C4" w:rsidP="00BD06C4">
            <w:pPr>
              <w:pStyle w:val="NoSpacing"/>
            </w:pPr>
          </w:p>
          <w:p w14:paraId="2964CA70" w14:textId="77777777" w:rsidR="00BD06C4" w:rsidRDefault="00BD06C4" w:rsidP="00BD06C4">
            <w:pPr>
              <w:pStyle w:val="NoSpacing"/>
            </w:pPr>
            <w:r>
              <w:t>3</w:t>
            </w:r>
            <w:r w:rsidRPr="00013ACB">
              <w:rPr>
                <w:vertAlign w:val="superscript"/>
              </w:rPr>
              <w:t>rd</w:t>
            </w:r>
            <w:r>
              <w:t xml:space="preserve"> Round: </w:t>
            </w:r>
          </w:p>
          <w:p w14:paraId="1AB6E49C" w14:textId="77777777" w:rsidR="00BD06C4" w:rsidRDefault="00BD06C4" w:rsidP="00BD06C4">
            <w:pPr>
              <w:pStyle w:val="NoSpacing"/>
            </w:pPr>
            <w:r>
              <w:t>July,</w:t>
            </w:r>
          </w:p>
          <w:p w14:paraId="756CF7CE" w14:textId="77777777" w:rsidR="00BD06C4" w:rsidRDefault="00BD06C4" w:rsidP="00BD06C4">
            <w:pPr>
              <w:pStyle w:val="NoSpacing"/>
            </w:pPr>
            <w:r>
              <w:t>2025</w:t>
            </w:r>
          </w:p>
          <w:p w14:paraId="706B9072" w14:textId="77777777" w:rsidR="00BD06C4" w:rsidRDefault="00BD06C4" w:rsidP="00BD06C4">
            <w:pPr>
              <w:pStyle w:val="NoSpacing"/>
            </w:pPr>
          </w:p>
          <w:p w14:paraId="699153EE" w14:textId="77777777" w:rsidR="00BD06C4" w:rsidRDefault="00BD06C4" w:rsidP="00BD06C4">
            <w:pPr>
              <w:pStyle w:val="NoSpacing"/>
            </w:pPr>
            <w:r>
              <w:t>4</w:t>
            </w:r>
            <w:r w:rsidRPr="00013ACB">
              <w:rPr>
                <w:vertAlign w:val="superscript"/>
              </w:rPr>
              <w:t>th</w:t>
            </w:r>
            <w:r>
              <w:t xml:space="preserve"> Round: </w:t>
            </w:r>
          </w:p>
          <w:p w14:paraId="074DCEAB" w14:textId="77777777" w:rsidR="00BD06C4" w:rsidRDefault="00BD06C4" w:rsidP="00BD06C4">
            <w:pPr>
              <w:pStyle w:val="NoSpacing"/>
            </w:pPr>
            <w:r>
              <w:t>July,</w:t>
            </w:r>
          </w:p>
          <w:p w14:paraId="4EFE3D9A" w14:textId="77777777" w:rsidR="00BD06C4" w:rsidRDefault="00BD06C4" w:rsidP="00BD06C4">
            <w:pPr>
              <w:pStyle w:val="NoSpacing"/>
            </w:pPr>
            <w:r>
              <w:t>2028</w:t>
            </w:r>
          </w:p>
          <w:p w14:paraId="0A8E21BA" w14:textId="77777777" w:rsidR="00BD06C4" w:rsidRDefault="00BD06C4" w:rsidP="00BD06C4">
            <w:pPr>
              <w:pStyle w:val="NoSpacing"/>
            </w:pPr>
          </w:p>
          <w:p w14:paraId="09B09BD0" w14:textId="77777777" w:rsidR="00BD06C4" w:rsidRDefault="00BD06C4" w:rsidP="00BD06C4">
            <w:pPr>
              <w:pStyle w:val="NoSpacing"/>
            </w:pPr>
            <w:r>
              <w:t>5</w:t>
            </w:r>
            <w:r w:rsidRPr="00013ACB">
              <w:rPr>
                <w:vertAlign w:val="superscript"/>
              </w:rPr>
              <w:t>th</w:t>
            </w:r>
            <w:r>
              <w:t xml:space="preserve"> Round: </w:t>
            </w:r>
          </w:p>
          <w:p w14:paraId="575639BA" w14:textId="77777777" w:rsidR="00BD06C4" w:rsidRDefault="00BD06C4" w:rsidP="00BD06C4">
            <w:pPr>
              <w:pStyle w:val="NoSpacing"/>
            </w:pPr>
            <w:r>
              <w:t>July,</w:t>
            </w:r>
          </w:p>
          <w:p w14:paraId="21F17322" w14:textId="77777777" w:rsidR="00BD06C4" w:rsidRDefault="00BD06C4" w:rsidP="00BD06C4">
            <w:pPr>
              <w:pStyle w:val="NoSpacing"/>
            </w:pPr>
            <w:r>
              <w:t>2030</w:t>
            </w:r>
          </w:p>
          <w:p w14:paraId="0A9327E5" w14:textId="0CA45A20" w:rsidR="00BD06C4" w:rsidRDefault="00BD06C4" w:rsidP="00BD06C4">
            <w:pPr>
              <w:pStyle w:val="NoSpacing"/>
              <w:rPr>
                <w:color w:val="0070C0"/>
                <w:sz w:val="30"/>
                <w:szCs w:val="30"/>
              </w:rPr>
            </w:pPr>
          </w:p>
        </w:tc>
        <w:tc>
          <w:tcPr>
            <w:tcW w:w="0" w:type="auto"/>
          </w:tcPr>
          <w:p w14:paraId="4A6E251A" w14:textId="77777777" w:rsidR="00BD06C4" w:rsidRDefault="00BD06C4" w:rsidP="00BD06C4">
            <w:pPr>
              <w:pStyle w:val="NoSpacing"/>
            </w:pPr>
            <w:r>
              <w:lastRenderedPageBreak/>
              <w:t xml:space="preserve">UNSC 51 revision included in the 2020 comprehensive </w:t>
            </w:r>
            <w:r>
              <w:lastRenderedPageBreak/>
              <w:t>review</w:t>
            </w:r>
          </w:p>
          <w:p w14:paraId="7E923706" w14:textId="77777777" w:rsidR="00BD06C4" w:rsidRDefault="00BD06C4" w:rsidP="00BD06C4">
            <w:pPr>
              <w:pStyle w:val="NoSpacing"/>
            </w:pPr>
          </w:p>
          <w:p w14:paraId="4A55E68D" w14:textId="77777777" w:rsidR="00BD06C4" w:rsidRDefault="00BD06C4" w:rsidP="00BD06C4">
            <w:pPr>
              <w:pStyle w:val="NoSpacing"/>
            </w:pPr>
            <w:r>
              <w:t>Reviewed at Nov./Dec. 2019 WebEx meeting (classified as Tier II)</w:t>
            </w:r>
          </w:p>
        </w:tc>
      </w:tr>
      <w:tr w:rsidR="00BD06C4" w14:paraId="34B9CA2B" w14:textId="77777777" w:rsidTr="00586441">
        <w:tc>
          <w:tcPr>
            <w:tcW w:w="0" w:type="auto"/>
          </w:tcPr>
          <w:p w14:paraId="65C06746" w14:textId="77777777" w:rsidR="00BD06C4" w:rsidRDefault="00BD06C4" w:rsidP="00BD06C4">
            <w:pPr>
              <w:ind w:left="970" w:hanging="970"/>
              <w:jc w:val="both"/>
              <w:rPr>
                <w:color w:val="0070C0"/>
                <w:sz w:val="30"/>
                <w:szCs w:val="30"/>
              </w:rPr>
            </w:pPr>
          </w:p>
        </w:tc>
        <w:tc>
          <w:tcPr>
            <w:tcW w:w="17879" w:type="dxa"/>
            <w:gridSpan w:val="12"/>
          </w:tcPr>
          <w:p w14:paraId="2146D082"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17.6 Enhance North-South, South-South and triangular regional and international cooperation on and access to science, technology and innovation and enhance knowledge-sharing on mutually agreed terms, including through improved coordination among existing mechanisms, in particular at the United Nations level, and through a global technology facilitation mechanism</w:t>
            </w:r>
          </w:p>
        </w:tc>
      </w:tr>
      <w:tr w:rsidR="00BD06C4" w14:paraId="77F9F477" w14:textId="77777777" w:rsidTr="00586441">
        <w:tc>
          <w:tcPr>
            <w:tcW w:w="0" w:type="auto"/>
          </w:tcPr>
          <w:p w14:paraId="568D9D46" w14:textId="77777777" w:rsidR="00BD06C4" w:rsidRPr="00BB536A" w:rsidRDefault="00BD06C4" w:rsidP="00BD06C4">
            <w:pPr>
              <w:pStyle w:val="NoSpacing"/>
            </w:pPr>
            <w:r w:rsidRPr="00BB536A">
              <w:t>17.6.1 Fixed Internet broadband subscriptions per 100 inhabitants, by speed</w:t>
            </w:r>
          </w:p>
        </w:tc>
        <w:tc>
          <w:tcPr>
            <w:tcW w:w="0" w:type="auto"/>
          </w:tcPr>
          <w:p w14:paraId="11D7757A" w14:textId="77777777" w:rsidR="00BD06C4" w:rsidRDefault="00BD06C4" w:rsidP="00BD06C4">
            <w:pPr>
              <w:ind w:left="970" w:hanging="970"/>
              <w:jc w:val="both"/>
              <w:rPr>
                <w:color w:val="0070C0"/>
                <w:sz w:val="30"/>
                <w:szCs w:val="30"/>
              </w:rPr>
            </w:pPr>
          </w:p>
          <w:p w14:paraId="11C28424" w14:textId="77777777" w:rsidR="00BD06C4" w:rsidRDefault="00BD06C4" w:rsidP="00BD06C4">
            <w:pPr>
              <w:pStyle w:val="NoSpacing"/>
            </w:pPr>
            <w:r w:rsidRPr="005867D7">
              <w:t>ITU</w:t>
            </w:r>
          </w:p>
          <w:p w14:paraId="6E54231B" w14:textId="77777777" w:rsidR="00BD06C4" w:rsidRDefault="00BD06C4" w:rsidP="00BD06C4">
            <w:pPr>
              <w:ind w:left="970" w:hanging="970"/>
              <w:jc w:val="both"/>
              <w:rPr>
                <w:color w:val="0070C0"/>
                <w:sz w:val="30"/>
                <w:szCs w:val="30"/>
              </w:rPr>
            </w:pPr>
          </w:p>
        </w:tc>
        <w:tc>
          <w:tcPr>
            <w:tcW w:w="0" w:type="auto"/>
          </w:tcPr>
          <w:p w14:paraId="2CD3AE55" w14:textId="77777777" w:rsidR="00BD06C4" w:rsidRDefault="00BD06C4" w:rsidP="00BD06C4">
            <w:pPr>
              <w:ind w:left="970" w:hanging="970"/>
              <w:jc w:val="both"/>
              <w:rPr>
                <w:color w:val="0070C0"/>
                <w:sz w:val="30"/>
                <w:szCs w:val="30"/>
              </w:rPr>
            </w:pPr>
            <w:r>
              <w:t>Tier I</w:t>
            </w:r>
          </w:p>
        </w:tc>
        <w:tc>
          <w:tcPr>
            <w:tcW w:w="0" w:type="auto"/>
          </w:tcPr>
          <w:p w14:paraId="4FD3BF88" w14:textId="77777777" w:rsidR="00BD06C4" w:rsidRPr="00F25A71" w:rsidRDefault="00BD06C4" w:rsidP="00BD06C4">
            <w:pPr>
              <w:pStyle w:val="NoSpacing"/>
              <w:rPr>
                <w:lang w:val="en-GB"/>
              </w:rPr>
            </w:pPr>
            <w:r w:rsidRPr="00F25A71">
              <w:rPr>
                <w:b/>
                <w:bCs/>
                <w:lang w:val="en-GB"/>
              </w:rPr>
              <w:t>Definition:</w:t>
            </w:r>
          </w:p>
          <w:p w14:paraId="09679748" w14:textId="77777777" w:rsidR="00BD06C4" w:rsidRPr="00F25A71" w:rsidRDefault="00BD06C4" w:rsidP="00BD06C4">
            <w:pPr>
              <w:pStyle w:val="NoSpacing"/>
              <w:rPr>
                <w:lang w:val="en-GB"/>
              </w:rPr>
            </w:pPr>
          </w:p>
          <w:p w14:paraId="66235495" w14:textId="77777777" w:rsidR="00BD06C4" w:rsidRPr="00F25A71" w:rsidRDefault="00BD06C4" w:rsidP="00BD06C4">
            <w:pPr>
              <w:pStyle w:val="NoSpacing"/>
              <w:rPr>
                <w:lang w:val="en-GB"/>
              </w:rPr>
            </w:pPr>
            <w:r w:rsidRPr="00F25A71">
              <w:rPr>
                <w:lang w:val="en-GB"/>
              </w:rPr>
              <w:t>The indicator fixed Internet broadband subscriptions, by speed, refers to the number of fixed-broadband subscriptions to the public Internet, split by advertised download speed.</w:t>
            </w:r>
          </w:p>
          <w:p w14:paraId="7470D781" w14:textId="77777777" w:rsidR="00BD06C4" w:rsidRPr="00F25A71" w:rsidRDefault="00BD06C4" w:rsidP="00BD06C4">
            <w:pPr>
              <w:pStyle w:val="NoSpacing"/>
              <w:rPr>
                <w:lang w:val="en-GB"/>
              </w:rPr>
            </w:pPr>
          </w:p>
          <w:p w14:paraId="280867FA" w14:textId="77777777" w:rsidR="00BD06C4" w:rsidRPr="00F25A71" w:rsidRDefault="00BD06C4" w:rsidP="00BD06C4">
            <w:pPr>
              <w:pStyle w:val="NoSpacing"/>
              <w:rPr>
                <w:lang w:val="en-GB"/>
              </w:rPr>
            </w:pPr>
            <w:r w:rsidRPr="00F25A71">
              <w:rPr>
                <w:lang w:val="en-GB"/>
              </w:rPr>
              <w:t>The indicator is currently broken down by the following subscription speeds:</w:t>
            </w:r>
          </w:p>
          <w:p w14:paraId="65899BE3" w14:textId="77777777" w:rsidR="00BD06C4" w:rsidRPr="00F25A71" w:rsidRDefault="00BD06C4" w:rsidP="00BD06C4">
            <w:pPr>
              <w:pStyle w:val="NoSpacing"/>
              <w:rPr>
                <w:lang w:val="en-GB"/>
              </w:rPr>
            </w:pPr>
          </w:p>
          <w:p w14:paraId="6B2E4AE6" w14:textId="77777777" w:rsidR="00BD06C4" w:rsidRPr="00F25A71" w:rsidRDefault="00BD06C4" w:rsidP="00BD06C4">
            <w:pPr>
              <w:pStyle w:val="NoSpacing"/>
              <w:rPr>
                <w:lang w:val="en-GB"/>
              </w:rPr>
            </w:pPr>
            <w:r w:rsidRPr="00F25A71">
              <w:rPr>
                <w:lang w:val="en-GB"/>
              </w:rPr>
              <w:t xml:space="preserve">- 256 kbit/s to less than 2 Mbit/s subscriptions: Refers to all fixed broadband Internet subscriptions with advertised downstream speeds equal </w:t>
            </w:r>
            <w:proofErr w:type="gramStart"/>
            <w:r w:rsidRPr="00F25A71">
              <w:rPr>
                <w:lang w:val="en-GB"/>
              </w:rPr>
              <w:t>to,</w:t>
            </w:r>
            <w:proofErr w:type="gramEnd"/>
            <w:r w:rsidRPr="00F25A71">
              <w:rPr>
                <w:lang w:val="en-GB"/>
              </w:rPr>
              <w:t xml:space="preserve"> or greater than, 256 kbit/s and less than 2 Mbit/s.</w:t>
            </w:r>
          </w:p>
          <w:p w14:paraId="69FC47EC" w14:textId="77777777" w:rsidR="00BD06C4" w:rsidRPr="00F25A71" w:rsidRDefault="00BD06C4" w:rsidP="00BD06C4">
            <w:pPr>
              <w:pStyle w:val="NoSpacing"/>
              <w:rPr>
                <w:lang w:val="en-GB"/>
              </w:rPr>
            </w:pPr>
          </w:p>
          <w:p w14:paraId="0E601802" w14:textId="77777777" w:rsidR="00BD06C4" w:rsidRPr="00F25A71" w:rsidRDefault="00BD06C4" w:rsidP="00BD06C4">
            <w:pPr>
              <w:pStyle w:val="NoSpacing"/>
              <w:rPr>
                <w:lang w:val="en-GB"/>
              </w:rPr>
            </w:pPr>
            <w:r w:rsidRPr="00F25A71">
              <w:rPr>
                <w:lang w:val="en-GB"/>
              </w:rPr>
              <w:t xml:space="preserve">- 2 Mbit/s to less than 10 Mbit/s subscriptions: Refers to all fixed -broadband Internet subscriptions with advertised downstream speeds equal </w:t>
            </w:r>
            <w:proofErr w:type="gramStart"/>
            <w:r w:rsidRPr="00F25A71">
              <w:rPr>
                <w:lang w:val="en-GB"/>
              </w:rPr>
              <w:t>to,</w:t>
            </w:r>
            <w:proofErr w:type="gramEnd"/>
            <w:r w:rsidRPr="00F25A71">
              <w:rPr>
                <w:lang w:val="en-GB"/>
              </w:rPr>
              <w:t xml:space="preserve"> or greater than, 2 Mbit/s and less than 10 Mbit/s.</w:t>
            </w:r>
          </w:p>
          <w:p w14:paraId="1785AE17" w14:textId="77777777" w:rsidR="00BD06C4" w:rsidRPr="00F25A71" w:rsidRDefault="00BD06C4" w:rsidP="00BD06C4">
            <w:pPr>
              <w:pStyle w:val="NoSpacing"/>
              <w:rPr>
                <w:lang w:val="en-GB"/>
              </w:rPr>
            </w:pPr>
          </w:p>
          <w:p w14:paraId="7E746605" w14:textId="77777777" w:rsidR="00BD06C4" w:rsidRPr="00F25A71" w:rsidRDefault="00BD06C4" w:rsidP="00BD06C4">
            <w:pPr>
              <w:pStyle w:val="NoSpacing"/>
              <w:rPr>
                <w:lang w:val="en-GB"/>
              </w:rPr>
            </w:pPr>
            <w:r w:rsidRPr="00F25A71">
              <w:rPr>
                <w:lang w:val="en-GB"/>
              </w:rPr>
              <w:t>- Equal to or above 10 Mbit/s subscriptions (4213_G10). Refers to all fixed -broadband Internet subscriptions with advertised downstream speeds equal to, or greater than, 10 Mbit/s.</w:t>
            </w:r>
          </w:p>
          <w:p w14:paraId="527ABA76" w14:textId="77777777" w:rsidR="00BD06C4" w:rsidRPr="00F25A71" w:rsidRDefault="00BD06C4" w:rsidP="00BD06C4">
            <w:pPr>
              <w:pStyle w:val="NoSpacing"/>
              <w:rPr>
                <w:lang w:val="en-GB"/>
              </w:rPr>
            </w:pPr>
          </w:p>
          <w:p w14:paraId="49502964" w14:textId="77777777" w:rsidR="00BD06C4" w:rsidRPr="00F25A71" w:rsidRDefault="00BD06C4" w:rsidP="00BD06C4">
            <w:pPr>
              <w:pStyle w:val="NoSpacing"/>
              <w:rPr>
                <w:lang w:val="en-GB"/>
              </w:rPr>
            </w:pPr>
            <w:r w:rsidRPr="00F25A71">
              <w:rPr>
                <w:b/>
                <w:bCs/>
                <w:lang w:val="en-GB"/>
              </w:rPr>
              <w:t>Concepts:</w:t>
            </w:r>
          </w:p>
          <w:p w14:paraId="2350CA14" w14:textId="77777777" w:rsidR="00BD06C4" w:rsidRPr="00F25A71" w:rsidRDefault="00BD06C4" w:rsidP="00BD06C4">
            <w:pPr>
              <w:pStyle w:val="NoSpacing"/>
              <w:rPr>
                <w:lang w:val="en-GB"/>
              </w:rPr>
            </w:pPr>
          </w:p>
          <w:p w14:paraId="6D65388E" w14:textId="77777777" w:rsidR="00BD06C4" w:rsidRPr="00F25A71" w:rsidRDefault="00BD06C4" w:rsidP="00BD06C4">
            <w:pPr>
              <w:pStyle w:val="NoSpacing"/>
              <w:rPr>
                <w:lang w:val="en-GB"/>
              </w:rPr>
            </w:pPr>
            <w:r w:rsidRPr="00F25A71">
              <w:rPr>
                <w:lang w:val="en-GB"/>
              </w:rPr>
              <w:t xml:space="preserve">Fixed Internet broadband subscriptions refer to subscriptions to high-speed access to the public Internet (a TCP/IP connection), at downstream speeds equal to, or greater than, 256 kbit/s. This includes cable modem, DSL, fibre-to-the-home/building, other fixed (wired)-broadband subscriptions, satellite broadband and terrestrial fixed wireless broadband. This total is </w:t>
            </w:r>
            <w:r w:rsidRPr="00F25A71">
              <w:rPr>
                <w:lang w:val="en-GB"/>
              </w:rPr>
              <w:lastRenderedPageBreak/>
              <w:t>measured irrespective of the method of payment. It excludes subscriptions that have access to data communications (including the Internet) via mobile-cellular networks. It should include fixed WiMAX and any other fixed wireless technologies. It includes both residential subscriptions and subscriptions for organizations.</w:t>
            </w:r>
          </w:p>
          <w:p w14:paraId="5F3790E0" w14:textId="77777777" w:rsidR="00BD06C4" w:rsidRPr="00F25A71" w:rsidRDefault="00BD06C4" w:rsidP="00BD06C4">
            <w:pPr>
              <w:pStyle w:val="NoSpacing"/>
              <w:rPr>
                <w:lang w:val="en-GB"/>
              </w:rPr>
            </w:pPr>
          </w:p>
          <w:p w14:paraId="71BDD3CA" w14:textId="77777777" w:rsidR="00BD06C4" w:rsidRPr="00F25A71" w:rsidRDefault="00BD06C4" w:rsidP="00BD06C4">
            <w:pPr>
              <w:pStyle w:val="NoSpacing"/>
              <w:rPr>
                <w:lang w:val="en-GB"/>
              </w:rPr>
            </w:pPr>
            <w:r w:rsidRPr="00F25A71">
              <w:rPr>
                <w:lang w:val="en-GB"/>
              </w:rPr>
              <w:t>The Internet is a worldwide public computer network. It provides access to a number of communication services including the World Wide Web and carries e-mail, news, entertainment and data files.</w:t>
            </w:r>
          </w:p>
          <w:p w14:paraId="1A72D43C" w14:textId="77777777" w:rsidR="00BD06C4" w:rsidRPr="00F25A71" w:rsidRDefault="00BD06C4" w:rsidP="00BD06C4">
            <w:pPr>
              <w:pStyle w:val="NoSpacing"/>
              <w:rPr>
                <w:lang w:val="en-GB"/>
              </w:rPr>
            </w:pPr>
          </w:p>
          <w:p w14:paraId="4244D258" w14:textId="77777777" w:rsidR="00BD06C4" w:rsidRPr="00F25A71" w:rsidRDefault="00BD06C4" w:rsidP="00BD06C4">
            <w:pPr>
              <w:pStyle w:val="NoSpacing"/>
              <w:rPr>
                <w:lang w:val="en-GB"/>
              </w:rPr>
            </w:pPr>
            <w:r w:rsidRPr="00F25A71">
              <w:rPr>
                <w:b/>
                <w:bCs/>
                <w:lang w:val="en-GB"/>
              </w:rPr>
              <w:t>Comments and limitations:</w:t>
            </w:r>
          </w:p>
          <w:p w14:paraId="65465DEC" w14:textId="77777777" w:rsidR="00BD06C4" w:rsidRPr="00F25A71" w:rsidRDefault="00BD06C4" w:rsidP="00BD06C4">
            <w:pPr>
              <w:pStyle w:val="NoSpacing"/>
              <w:rPr>
                <w:lang w:val="en-GB"/>
              </w:rPr>
            </w:pPr>
          </w:p>
          <w:p w14:paraId="578E0C69" w14:textId="77777777" w:rsidR="00BD06C4" w:rsidRPr="00F25A71" w:rsidRDefault="00BD06C4" w:rsidP="00BD06C4">
            <w:pPr>
              <w:pStyle w:val="NoSpacing"/>
              <w:rPr>
                <w:lang w:val="en-GB"/>
              </w:rPr>
            </w:pPr>
            <w:r w:rsidRPr="00F25A71">
              <w:rPr>
                <w:lang w:val="en-GB"/>
              </w:rPr>
              <w:t>Since most Internet service providers offer plans linked to download speed, the indicator is relatively straightforward to collect. Countries may use packages that do not align with the speeds used for this group of indicators. Countries are encouraged to collect the data in more speed categories so as to allow aggregation of the data according to the split shown above. In the future, ITU might start to include higher-speed categories, reflecting the increasing demand and availability of higher-speed broadband subscriptions.</w:t>
            </w:r>
          </w:p>
          <w:p w14:paraId="7F7F04A3" w14:textId="77777777" w:rsidR="00BD06C4" w:rsidRPr="00F25A71" w:rsidRDefault="00BD06C4" w:rsidP="00BD06C4">
            <w:pPr>
              <w:pStyle w:val="NoSpacing"/>
              <w:rPr>
                <w:b/>
                <w:bCs/>
                <w:lang w:val="en-GB"/>
              </w:rPr>
            </w:pPr>
          </w:p>
          <w:p w14:paraId="46E1E204" w14:textId="77777777" w:rsidR="00BD06C4" w:rsidRPr="00F25A71" w:rsidRDefault="00BD06C4" w:rsidP="00BD06C4">
            <w:pPr>
              <w:pStyle w:val="NoSpacing"/>
              <w:rPr>
                <w:lang w:val="en-GB"/>
              </w:rPr>
            </w:pPr>
            <w:r w:rsidRPr="00F25A71">
              <w:rPr>
                <w:b/>
                <w:bCs/>
                <w:lang w:val="en-GB"/>
              </w:rPr>
              <w:t>Computation Method:</w:t>
            </w:r>
          </w:p>
          <w:p w14:paraId="62A89695" w14:textId="77777777" w:rsidR="00BD06C4" w:rsidRPr="00F25A71" w:rsidRDefault="00BD06C4" w:rsidP="00BD06C4">
            <w:pPr>
              <w:pStyle w:val="NoSpacing"/>
              <w:rPr>
                <w:lang w:val="en-GB"/>
              </w:rPr>
            </w:pPr>
          </w:p>
          <w:p w14:paraId="78A5B7E1" w14:textId="77777777" w:rsidR="00BD06C4" w:rsidRPr="00F25A71" w:rsidRDefault="00BD06C4" w:rsidP="00BD06C4">
            <w:pPr>
              <w:pStyle w:val="NoSpacing"/>
              <w:rPr>
                <w:lang w:val="en-GB"/>
              </w:rPr>
            </w:pPr>
            <w:r w:rsidRPr="00F25A71">
              <w:rPr>
                <w:lang w:val="en-GB"/>
              </w:rPr>
              <w:t>ITU collects data for this indicator through an annual questionnaire from national regulatory authorities or Information and Communication Technology (ICT) Ministries, who collect the data from national Internet service providers. The data can be collected by asking each Internet service provider in the country to provide the number of their fixed-broadband subscriptions by the speeds indicated. The data are then added up to obtain the country totals.</w:t>
            </w:r>
          </w:p>
        </w:tc>
        <w:tc>
          <w:tcPr>
            <w:tcW w:w="2835" w:type="dxa"/>
          </w:tcPr>
          <w:p w14:paraId="088C2635" w14:textId="77777777" w:rsidR="00BD06C4" w:rsidRPr="000B43F9" w:rsidRDefault="00BD06C4" w:rsidP="00BD06C4">
            <w:pPr>
              <w:pStyle w:val="NoSpacing"/>
              <w:rPr>
                <w:lang w:eastAsia="en-GB"/>
              </w:rPr>
            </w:pPr>
            <w:r w:rsidRPr="000B43F9">
              <w:rPr>
                <w:lang w:eastAsia="en-GB"/>
              </w:rPr>
              <w:lastRenderedPageBreak/>
              <w:t>ITU collects data for this indicator through an annual questionnaire from national regulatory authorities or Information and Communication Technology Ministries, who collect the data from Internet service providers.</w:t>
            </w:r>
          </w:p>
          <w:p w14:paraId="03A26F49" w14:textId="77777777" w:rsidR="00BD06C4" w:rsidRDefault="00BD06C4" w:rsidP="00BD06C4">
            <w:pPr>
              <w:pStyle w:val="NoSpacing"/>
            </w:pPr>
          </w:p>
        </w:tc>
        <w:tc>
          <w:tcPr>
            <w:tcW w:w="1167" w:type="dxa"/>
          </w:tcPr>
          <w:p w14:paraId="0994078F" w14:textId="77777777" w:rsidR="00BD06C4" w:rsidRPr="000B43F9" w:rsidRDefault="00BD06C4" w:rsidP="00BD06C4">
            <w:pPr>
              <w:pStyle w:val="NoSpacing"/>
              <w:rPr>
                <w:lang w:eastAsia="en-GB"/>
              </w:rPr>
            </w:pPr>
            <w:r w:rsidRPr="000B43F9">
              <w:rPr>
                <w:lang w:eastAsia="en-GB"/>
              </w:rPr>
              <w:t>The telecommunication/ICT regulatory authority or the Ministry in charge of ICTs within each country, who collect the data from Internet Service Providers (ISPs).</w:t>
            </w:r>
          </w:p>
          <w:p w14:paraId="0EF2A9BB" w14:textId="77777777" w:rsidR="00BD06C4" w:rsidRDefault="00BD06C4" w:rsidP="00BD06C4">
            <w:pPr>
              <w:pStyle w:val="NoSpacing"/>
            </w:pPr>
          </w:p>
        </w:tc>
        <w:tc>
          <w:tcPr>
            <w:tcW w:w="0" w:type="auto"/>
          </w:tcPr>
          <w:p w14:paraId="00168365" w14:textId="77777777" w:rsidR="00BD06C4" w:rsidRDefault="00BD06C4" w:rsidP="00BD06C4">
            <w:pPr>
              <w:pStyle w:val="NoSpacing"/>
            </w:pPr>
            <w:r>
              <w:t>BTRC</w:t>
            </w:r>
          </w:p>
          <w:p w14:paraId="7ABB7A6D" w14:textId="77777777" w:rsidR="00BD06C4" w:rsidRPr="00BC6F10" w:rsidRDefault="00BD06C4" w:rsidP="00BD06C4">
            <w:pPr>
              <w:pStyle w:val="NoSpacing"/>
            </w:pPr>
            <w:r>
              <w:t>Administrative Data</w:t>
            </w:r>
          </w:p>
        </w:tc>
        <w:tc>
          <w:tcPr>
            <w:tcW w:w="0" w:type="auto"/>
          </w:tcPr>
          <w:p w14:paraId="1B5A46FF" w14:textId="77777777" w:rsidR="00BD06C4" w:rsidRDefault="00BD06C4" w:rsidP="00BD06C4">
            <w:pPr>
              <w:pStyle w:val="NoSpacing"/>
            </w:pPr>
            <w:r>
              <w:t>BTRC, PTD</w:t>
            </w:r>
          </w:p>
          <w:p w14:paraId="716271A9" w14:textId="77777777" w:rsidR="00BD06C4" w:rsidRPr="00BC6F10" w:rsidRDefault="00BD06C4" w:rsidP="00BD06C4">
            <w:pPr>
              <w:pStyle w:val="NoSpacing"/>
              <w:rPr>
                <w:rFonts w:eastAsia="Times New Roman" w:cs="Times New Roman"/>
                <w:color w:val="000000" w:themeColor="text1"/>
                <w:szCs w:val="20"/>
              </w:rPr>
            </w:pPr>
            <w:r>
              <w:t>Administrative Data</w:t>
            </w:r>
          </w:p>
        </w:tc>
        <w:tc>
          <w:tcPr>
            <w:tcW w:w="0" w:type="auto"/>
          </w:tcPr>
          <w:p w14:paraId="5539328D" w14:textId="7ABF1D7E" w:rsidR="00296C9A" w:rsidRPr="000C4849" w:rsidRDefault="00296C9A" w:rsidP="000C4849">
            <w:pPr>
              <w:pStyle w:val="ListParagraph"/>
              <w:numPr>
                <w:ilvl w:val="0"/>
                <w:numId w:val="48"/>
              </w:numPr>
              <w:spacing w:after="0" w:line="240" w:lineRule="auto"/>
              <w:ind w:left="160" w:hanging="160"/>
              <w:rPr>
                <w:color w:val="0070C0"/>
                <w:sz w:val="30"/>
                <w:szCs w:val="30"/>
              </w:rPr>
            </w:pPr>
          </w:p>
          <w:p w14:paraId="3D513557" w14:textId="0E553F71" w:rsidR="00296C9A" w:rsidRPr="000C4849" w:rsidRDefault="00296C9A" w:rsidP="000C4849">
            <w:pPr>
              <w:pStyle w:val="ListParagraph"/>
              <w:numPr>
                <w:ilvl w:val="0"/>
                <w:numId w:val="48"/>
              </w:numPr>
              <w:spacing w:after="0" w:line="240" w:lineRule="auto"/>
              <w:ind w:left="160" w:hanging="160"/>
              <w:rPr>
                <w:color w:val="0070C0"/>
                <w:sz w:val="30"/>
                <w:szCs w:val="30"/>
              </w:rPr>
            </w:pPr>
            <w:r w:rsidRPr="00C37F69">
              <w:rPr>
                <w:rFonts w:ascii="Tw Cen MT Condensed" w:hAnsi="Tw Cen MT Condensed"/>
                <w:sz w:val="20"/>
                <w:szCs w:val="20"/>
              </w:rPr>
              <w:t>Speed: 10 MB/ 265KL2M/ 2L10MB</w:t>
            </w:r>
          </w:p>
          <w:p w14:paraId="68AF561B" w14:textId="6F7812FC" w:rsidR="00296C9A" w:rsidRDefault="00296C9A" w:rsidP="000C4849">
            <w:pPr>
              <w:pStyle w:val="ListParagraph"/>
              <w:numPr>
                <w:ilvl w:val="0"/>
                <w:numId w:val="48"/>
              </w:numPr>
              <w:spacing w:after="0" w:line="240" w:lineRule="auto"/>
              <w:ind w:left="160" w:hanging="160"/>
              <w:rPr>
                <w:color w:val="0070C0"/>
                <w:sz w:val="30"/>
                <w:szCs w:val="30"/>
              </w:rPr>
            </w:pPr>
            <w:r w:rsidRPr="00C37F69">
              <w:rPr>
                <w:rFonts w:ascii="Tw Cen MT Condensed" w:hAnsi="Tw Cen MT Condensed"/>
                <w:sz w:val="20"/>
                <w:szCs w:val="20"/>
              </w:rPr>
              <w:t>Geographic location: urban, rural</w:t>
            </w:r>
          </w:p>
        </w:tc>
        <w:tc>
          <w:tcPr>
            <w:tcW w:w="1078" w:type="dxa"/>
          </w:tcPr>
          <w:p w14:paraId="29873170" w14:textId="77777777" w:rsidR="00BD06C4" w:rsidRDefault="00BD06C4" w:rsidP="00BD06C4">
            <w:pPr>
              <w:ind w:left="970" w:hanging="970"/>
              <w:jc w:val="both"/>
              <w:rPr>
                <w:color w:val="0070C0"/>
                <w:sz w:val="30"/>
                <w:szCs w:val="30"/>
              </w:rPr>
            </w:pPr>
            <w:r w:rsidRPr="00BC6F10">
              <w:rPr>
                <w:szCs w:val="20"/>
              </w:rPr>
              <w:t>Triennial</w:t>
            </w:r>
          </w:p>
        </w:tc>
        <w:tc>
          <w:tcPr>
            <w:tcW w:w="872" w:type="dxa"/>
          </w:tcPr>
          <w:p w14:paraId="4280512E" w14:textId="77777777" w:rsidR="00BD06C4" w:rsidRDefault="00BD06C4" w:rsidP="00BD06C4">
            <w:pPr>
              <w:ind w:left="970" w:hanging="970"/>
              <w:jc w:val="both"/>
              <w:rPr>
                <w:color w:val="0070C0"/>
                <w:sz w:val="30"/>
                <w:szCs w:val="30"/>
              </w:rPr>
            </w:pPr>
            <w:r>
              <w:t>Group 2</w:t>
            </w:r>
          </w:p>
        </w:tc>
        <w:tc>
          <w:tcPr>
            <w:tcW w:w="619" w:type="dxa"/>
          </w:tcPr>
          <w:p w14:paraId="5A79286D" w14:textId="77777777" w:rsidR="00BD06C4" w:rsidRDefault="00BD06C4" w:rsidP="00BD06C4">
            <w:pPr>
              <w:pStyle w:val="NoSpacing"/>
            </w:pPr>
            <w:r>
              <w:t>1</w:t>
            </w:r>
            <w:r w:rsidRPr="00013ACB">
              <w:rPr>
                <w:vertAlign w:val="superscript"/>
              </w:rPr>
              <w:t>st</w:t>
            </w:r>
            <w:r>
              <w:t xml:space="preserve"> Round:</w:t>
            </w:r>
          </w:p>
          <w:p w14:paraId="7510B1AA" w14:textId="77777777" w:rsidR="00BD06C4" w:rsidRDefault="00BD06C4" w:rsidP="00BD06C4">
            <w:pPr>
              <w:pStyle w:val="NoSpacing"/>
            </w:pPr>
            <w:r>
              <w:t>2015</w:t>
            </w:r>
          </w:p>
          <w:p w14:paraId="1C7CBF52" w14:textId="77777777" w:rsidR="00BD06C4" w:rsidRDefault="00BD06C4" w:rsidP="00BD06C4">
            <w:pPr>
              <w:pStyle w:val="NoSpacing"/>
            </w:pPr>
          </w:p>
          <w:p w14:paraId="78C46A4D" w14:textId="77777777" w:rsidR="00BD06C4" w:rsidRDefault="00BD06C4" w:rsidP="00BD06C4">
            <w:pPr>
              <w:pStyle w:val="NoSpacing"/>
            </w:pPr>
            <w:r>
              <w:t>2</w:t>
            </w:r>
            <w:r w:rsidRPr="00013ACB">
              <w:rPr>
                <w:vertAlign w:val="superscript"/>
              </w:rPr>
              <w:t>nd</w:t>
            </w:r>
            <w:r>
              <w:t xml:space="preserve"> Round:</w:t>
            </w:r>
          </w:p>
          <w:p w14:paraId="222F110C" w14:textId="77777777" w:rsidR="00BD06C4" w:rsidRDefault="00BD06C4" w:rsidP="00BD06C4">
            <w:pPr>
              <w:pStyle w:val="NoSpacing"/>
            </w:pPr>
            <w:r>
              <w:t xml:space="preserve"> July,</w:t>
            </w:r>
          </w:p>
          <w:p w14:paraId="02ADC39E" w14:textId="77777777" w:rsidR="00BD06C4" w:rsidRDefault="00BD06C4" w:rsidP="00BD06C4">
            <w:pPr>
              <w:pStyle w:val="NoSpacing"/>
            </w:pPr>
            <w:r>
              <w:t>2019</w:t>
            </w:r>
          </w:p>
          <w:p w14:paraId="5F363819" w14:textId="77777777" w:rsidR="00BD06C4" w:rsidRDefault="00BD06C4" w:rsidP="00BD06C4">
            <w:pPr>
              <w:pStyle w:val="NoSpacing"/>
            </w:pPr>
          </w:p>
          <w:p w14:paraId="3E12FDA9" w14:textId="77777777" w:rsidR="00BD06C4" w:rsidRDefault="00BD06C4" w:rsidP="00BD06C4">
            <w:pPr>
              <w:pStyle w:val="NoSpacing"/>
            </w:pPr>
            <w:r>
              <w:t>3</w:t>
            </w:r>
            <w:r w:rsidRPr="00013ACB">
              <w:rPr>
                <w:vertAlign w:val="superscript"/>
              </w:rPr>
              <w:t>rd</w:t>
            </w:r>
            <w:r>
              <w:t xml:space="preserve"> Round: </w:t>
            </w:r>
          </w:p>
          <w:p w14:paraId="799A206C" w14:textId="77777777" w:rsidR="00BD06C4" w:rsidRDefault="00BD06C4" w:rsidP="00BD06C4">
            <w:pPr>
              <w:pStyle w:val="NoSpacing"/>
            </w:pPr>
            <w:r>
              <w:t>July,</w:t>
            </w:r>
          </w:p>
          <w:p w14:paraId="28DABBE2" w14:textId="77777777" w:rsidR="00BD06C4" w:rsidRDefault="00BD06C4" w:rsidP="00BD06C4">
            <w:pPr>
              <w:pStyle w:val="NoSpacing"/>
            </w:pPr>
            <w:r>
              <w:t>2020</w:t>
            </w:r>
          </w:p>
          <w:p w14:paraId="6A668F43" w14:textId="77777777" w:rsidR="00BD06C4" w:rsidRDefault="00BD06C4" w:rsidP="00BD06C4">
            <w:pPr>
              <w:pStyle w:val="NoSpacing"/>
            </w:pPr>
          </w:p>
          <w:p w14:paraId="7B92E616" w14:textId="77777777" w:rsidR="00BD06C4" w:rsidRDefault="00BD06C4" w:rsidP="00BD06C4">
            <w:pPr>
              <w:pStyle w:val="NoSpacing"/>
            </w:pPr>
            <w:r>
              <w:t>4</w:t>
            </w:r>
            <w:r w:rsidRPr="00013ACB">
              <w:rPr>
                <w:vertAlign w:val="superscript"/>
              </w:rPr>
              <w:t>th</w:t>
            </w:r>
            <w:r>
              <w:t xml:space="preserve"> Round: </w:t>
            </w:r>
          </w:p>
          <w:p w14:paraId="4D91D7A5" w14:textId="77777777" w:rsidR="00BD06C4" w:rsidRDefault="00BD06C4" w:rsidP="00BD06C4">
            <w:pPr>
              <w:pStyle w:val="NoSpacing"/>
            </w:pPr>
            <w:r>
              <w:t>July,</w:t>
            </w:r>
          </w:p>
          <w:p w14:paraId="6F0AC64E" w14:textId="77777777" w:rsidR="00BD06C4" w:rsidRDefault="00BD06C4" w:rsidP="00BD06C4">
            <w:pPr>
              <w:pStyle w:val="NoSpacing"/>
            </w:pPr>
            <w:r>
              <w:t>2021</w:t>
            </w:r>
          </w:p>
          <w:p w14:paraId="0B6697B9" w14:textId="77777777" w:rsidR="00BD06C4" w:rsidRDefault="00BD06C4" w:rsidP="00BD06C4">
            <w:pPr>
              <w:pStyle w:val="NoSpacing"/>
            </w:pPr>
          </w:p>
          <w:p w14:paraId="79D75192" w14:textId="77777777" w:rsidR="00BD06C4" w:rsidRDefault="00BD06C4" w:rsidP="00BD06C4">
            <w:pPr>
              <w:pStyle w:val="NoSpacing"/>
            </w:pPr>
            <w:r>
              <w:t>5</w:t>
            </w:r>
            <w:r w:rsidRPr="00013ACB">
              <w:rPr>
                <w:vertAlign w:val="superscript"/>
              </w:rPr>
              <w:t>th</w:t>
            </w:r>
            <w:r>
              <w:t xml:space="preserve"> Round: </w:t>
            </w:r>
          </w:p>
          <w:p w14:paraId="5461452D" w14:textId="77777777" w:rsidR="00BD06C4" w:rsidRDefault="00BD06C4" w:rsidP="00BD06C4">
            <w:pPr>
              <w:pStyle w:val="NoSpacing"/>
            </w:pPr>
            <w:r>
              <w:t>July,</w:t>
            </w:r>
          </w:p>
          <w:p w14:paraId="32A7A1FF" w14:textId="77777777" w:rsidR="00BD06C4" w:rsidRDefault="00BD06C4" w:rsidP="00BD06C4">
            <w:pPr>
              <w:pStyle w:val="NoSpacing"/>
            </w:pPr>
            <w:r>
              <w:t>2022</w:t>
            </w:r>
          </w:p>
          <w:p w14:paraId="42564327" w14:textId="492E7266" w:rsidR="00BD06C4" w:rsidRDefault="00BD06C4" w:rsidP="00BD06C4">
            <w:pPr>
              <w:pStyle w:val="NoSpacing"/>
              <w:rPr>
                <w:color w:val="0070C0"/>
                <w:sz w:val="30"/>
                <w:szCs w:val="30"/>
              </w:rPr>
            </w:pPr>
          </w:p>
        </w:tc>
        <w:tc>
          <w:tcPr>
            <w:tcW w:w="0" w:type="auto"/>
          </w:tcPr>
          <w:p w14:paraId="025AFF1F" w14:textId="77777777" w:rsidR="00BD06C4" w:rsidRDefault="00BD06C4" w:rsidP="00BD06C4">
            <w:pPr>
              <w:pStyle w:val="NoSpacing"/>
            </w:pPr>
            <w:r w:rsidRPr="00A41B47">
              <w:lastRenderedPageBreak/>
              <w:t>The current indicator 17.6.1 was previously listed as 17.6.2; previous indicator 17.6.1 was deleted during UNSC 51 included in the 2020 comprehensive review.</w:t>
            </w:r>
          </w:p>
        </w:tc>
      </w:tr>
      <w:tr w:rsidR="00BD06C4" w14:paraId="1709E2EC" w14:textId="77777777" w:rsidTr="00586441">
        <w:tc>
          <w:tcPr>
            <w:tcW w:w="0" w:type="auto"/>
          </w:tcPr>
          <w:p w14:paraId="4B247FE1" w14:textId="77777777" w:rsidR="00BD06C4" w:rsidRDefault="00BD06C4" w:rsidP="00BD06C4">
            <w:pPr>
              <w:ind w:left="970" w:hanging="970"/>
              <w:jc w:val="both"/>
              <w:rPr>
                <w:color w:val="0070C0"/>
                <w:sz w:val="30"/>
                <w:szCs w:val="30"/>
              </w:rPr>
            </w:pPr>
          </w:p>
        </w:tc>
        <w:tc>
          <w:tcPr>
            <w:tcW w:w="17879" w:type="dxa"/>
            <w:gridSpan w:val="12"/>
          </w:tcPr>
          <w:p w14:paraId="524AB4E0"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17.7 Promote the development, transfer, dissemination and diffusion of environmentally sound technologies to developing countries on favourable terms, including on concessional and preferential terms, as mutually agreed</w:t>
            </w:r>
          </w:p>
        </w:tc>
      </w:tr>
      <w:tr w:rsidR="00BD06C4" w14:paraId="06CC734E" w14:textId="77777777" w:rsidTr="00586441">
        <w:tc>
          <w:tcPr>
            <w:tcW w:w="0" w:type="auto"/>
          </w:tcPr>
          <w:p w14:paraId="715340A3" w14:textId="77777777" w:rsidR="00BD06C4" w:rsidRPr="00BB536A" w:rsidRDefault="00BD06C4" w:rsidP="00BD06C4">
            <w:pPr>
              <w:pStyle w:val="NoSpacing"/>
            </w:pPr>
            <w:r w:rsidRPr="00BB536A">
              <w:t>17.7.1 Total amount of funding for developing countries to promote the developme</w:t>
            </w:r>
            <w:r w:rsidRPr="00BB536A">
              <w:lastRenderedPageBreak/>
              <w:t>nt, transfer, dissemination and diffusion of environmentally sound technologies</w:t>
            </w:r>
          </w:p>
        </w:tc>
        <w:tc>
          <w:tcPr>
            <w:tcW w:w="0" w:type="auto"/>
          </w:tcPr>
          <w:p w14:paraId="21E3A34E" w14:textId="77777777" w:rsidR="00BD06C4" w:rsidRDefault="00BD06C4" w:rsidP="00BD06C4">
            <w:pPr>
              <w:pStyle w:val="NoSpacing"/>
            </w:pPr>
            <w:r w:rsidRPr="005867D7">
              <w:lastRenderedPageBreak/>
              <w:t>UNEP-CTCN</w:t>
            </w:r>
          </w:p>
          <w:p w14:paraId="34FCA501" w14:textId="77777777" w:rsidR="00BD06C4" w:rsidRDefault="00BD06C4" w:rsidP="00BD06C4">
            <w:pPr>
              <w:rPr>
                <w:b/>
                <w:bCs/>
                <w:szCs w:val="20"/>
              </w:rPr>
            </w:pPr>
            <w:r w:rsidRPr="007243FC">
              <w:rPr>
                <w:b/>
                <w:bCs/>
                <w:szCs w:val="20"/>
              </w:rPr>
              <w:t>Partner Agencies:</w:t>
            </w:r>
          </w:p>
          <w:p w14:paraId="5B52DDA5" w14:textId="77777777" w:rsidR="00BD06C4" w:rsidRDefault="00BD06C4" w:rsidP="00BD06C4">
            <w:pPr>
              <w:pStyle w:val="NoSpacing"/>
            </w:pPr>
            <w:r w:rsidRPr="005867D7">
              <w:t>OECD</w:t>
            </w:r>
          </w:p>
        </w:tc>
        <w:tc>
          <w:tcPr>
            <w:tcW w:w="0" w:type="auto"/>
          </w:tcPr>
          <w:p w14:paraId="150DEB52" w14:textId="77777777" w:rsidR="00BD06C4" w:rsidRDefault="00BD06C4" w:rsidP="00BD06C4">
            <w:pPr>
              <w:ind w:left="970" w:hanging="970"/>
              <w:jc w:val="both"/>
              <w:rPr>
                <w:color w:val="0070C0"/>
                <w:sz w:val="30"/>
                <w:szCs w:val="30"/>
              </w:rPr>
            </w:pPr>
            <w:r w:rsidRPr="00666BAB">
              <w:t>Tier II</w:t>
            </w:r>
          </w:p>
        </w:tc>
        <w:tc>
          <w:tcPr>
            <w:tcW w:w="0" w:type="auto"/>
          </w:tcPr>
          <w:p w14:paraId="52095D3D" w14:textId="77777777" w:rsidR="00BD06C4" w:rsidRPr="00B20ADF" w:rsidRDefault="00BD06C4" w:rsidP="00BD06C4">
            <w:pPr>
              <w:pStyle w:val="NoSpacing"/>
              <w:rPr>
                <w:lang w:val="en-GB"/>
              </w:rPr>
            </w:pPr>
            <w:r w:rsidRPr="00B20ADF">
              <w:rPr>
                <w:b/>
                <w:bCs/>
                <w:lang w:val="en-GB"/>
              </w:rPr>
              <w:t>Definition:</w:t>
            </w:r>
          </w:p>
          <w:p w14:paraId="4C4ACCB1" w14:textId="77777777" w:rsidR="00BD06C4" w:rsidRPr="00B20ADF" w:rsidRDefault="00BD06C4" w:rsidP="00BD06C4">
            <w:pPr>
              <w:pStyle w:val="NoSpacing"/>
              <w:rPr>
                <w:lang w:val="en-GB"/>
              </w:rPr>
            </w:pPr>
            <w:r w:rsidRPr="00B20ADF">
              <w:rPr>
                <w:lang w:val="en-GB"/>
              </w:rPr>
              <w:t xml:space="preserve">The purpose of this indicator is to develop a methodology for tracking the total amount of approved funding to promote the development, transfer, dissemination and diffusion of environmentally sound technologies. A two-pronged approach is suggested: </w:t>
            </w:r>
          </w:p>
          <w:p w14:paraId="6C9B92D7" w14:textId="77777777" w:rsidR="00BD06C4" w:rsidRPr="00B20ADF" w:rsidRDefault="00BD06C4" w:rsidP="00BD06C4">
            <w:pPr>
              <w:pStyle w:val="NoSpacing"/>
            </w:pPr>
            <w:r w:rsidRPr="00B20ADF">
              <w:t xml:space="preserve">Level 1. Use globally available data to create a proxy of funding flowing to developing countries for environmentally sound technologies, or of trade in environmentally sound technologies </w:t>
            </w:r>
          </w:p>
          <w:p w14:paraId="275D3B91" w14:textId="77777777" w:rsidR="00BD06C4" w:rsidRPr="00B20ADF" w:rsidRDefault="00BD06C4" w:rsidP="00BD06C4">
            <w:pPr>
              <w:pStyle w:val="NoSpacing"/>
            </w:pPr>
            <w:r w:rsidRPr="00B20ADF">
              <w:t>Leve2. Collect national data on investment in environmentally sound technologies.</w:t>
            </w:r>
          </w:p>
          <w:p w14:paraId="3EC2EE16" w14:textId="77777777" w:rsidR="00BD06C4" w:rsidRDefault="00BD06C4" w:rsidP="00BD06C4">
            <w:pPr>
              <w:pStyle w:val="NoSpacing"/>
              <w:rPr>
                <w:b/>
                <w:bCs/>
                <w:lang w:val="en-GB"/>
              </w:rPr>
            </w:pPr>
          </w:p>
          <w:p w14:paraId="5734959C" w14:textId="77777777" w:rsidR="00BD06C4" w:rsidRPr="00B20ADF" w:rsidRDefault="00BD06C4" w:rsidP="00BD06C4">
            <w:pPr>
              <w:pStyle w:val="NoSpacing"/>
              <w:rPr>
                <w:b/>
                <w:bCs/>
                <w:lang w:val="en-GB"/>
              </w:rPr>
            </w:pPr>
            <w:r w:rsidRPr="00B20ADF">
              <w:rPr>
                <w:b/>
                <w:bCs/>
                <w:lang w:val="en-GB"/>
              </w:rPr>
              <w:t>Concepts:</w:t>
            </w:r>
          </w:p>
          <w:p w14:paraId="175C76CA" w14:textId="77777777" w:rsidR="00BD06C4" w:rsidRPr="00B20ADF" w:rsidRDefault="00BD06C4" w:rsidP="00BD06C4">
            <w:pPr>
              <w:pStyle w:val="NoSpacing"/>
              <w:rPr>
                <w:lang w:val="en-GB"/>
              </w:rPr>
            </w:pPr>
            <w:r w:rsidRPr="00B20ADF">
              <w:rPr>
                <w:b/>
                <w:lang w:val="en-GB"/>
              </w:rPr>
              <w:lastRenderedPageBreak/>
              <w:t>UNEP definition</w:t>
            </w:r>
            <w:r w:rsidRPr="00B20ADF">
              <w:rPr>
                <w:lang w:val="en-GB"/>
              </w:rPr>
              <w:t xml:space="preserve"> </w:t>
            </w:r>
          </w:p>
          <w:p w14:paraId="5145D330" w14:textId="77777777" w:rsidR="00BD06C4" w:rsidRPr="00B20ADF" w:rsidRDefault="00BD06C4" w:rsidP="00BD06C4">
            <w:pPr>
              <w:pStyle w:val="NoSpacing"/>
              <w:rPr>
                <w:lang w:val="en-GB"/>
              </w:rPr>
            </w:pPr>
            <w:r w:rsidRPr="00B20ADF">
              <w:rPr>
                <w:lang w:val="en-GB"/>
              </w:rPr>
              <w:t xml:space="preserve">Environmentally Sound Technologies (ESTs) are technologies that have the potential for significantly improved environmental performance relative to other technologies. ESTs protect the environment, are less polluting, use resources in a sustainable manner, recycle more of their wastes and products, and handle all residual wastes in a more environmentally acceptable way than the technologies for which they are substitutes. ESTs are not just individual technologies. They can also be defined as total systems that include know-how, procedures, goods and services, and equipment, as well as organizational and managerial procedures for promoting environmental sustainability. This means that any attempt to provide an assessment of investment into ESTs on either a global or national level must incorporate ways to track funding flows into both hard and soft technologies. </w:t>
            </w:r>
          </w:p>
          <w:p w14:paraId="7EC3ADED" w14:textId="77777777" w:rsidR="00BD06C4" w:rsidRPr="00B20ADF" w:rsidRDefault="00BD06C4" w:rsidP="00BD06C4">
            <w:pPr>
              <w:pStyle w:val="NoSpacing"/>
              <w:rPr>
                <w:b/>
                <w:lang w:val="en-GB"/>
              </w:rPr>
            </w:pPr>
            <w:r w:rsidRPr="00B20ADF">
              <w:rPr>
                <w:b/>
                <w:lang w:val="en-GB"/>
              </w:rPr>
              <w:t>The definition of an environmentally sound technology (EST) to be used to track SDG 17.1</w:t>
            </w:r>
          </w:p>
          <w:p w14:paraId="33F466F7" w14:textId="77777777" w:rsidR="00BD06C4" w:rsidRPr="00B20ADF" w:rsidRDefault="00BD06C4" w:rsidP="00BD06C4">
            <w:pPr>
              <w:pStyle w:val="NoSpacing"/>
              <w:rPr>
                <w:lang w:val="en-GB"/>
              </w:rPr>
            </w:pPr>
            <w:r w:rsidRPr="00B20ADF">
              <w:rPr>
                <w:lang w:val="en-GB"/>
              </w:rPr>
              <w:t>Include both hardware and software, including total systems that include know- how, procedures, processes, goods and services, equipment, as well as organisational and managerial procedures for promoting environmental sustainability.</w:t>
            </w:r>
          </w:p>
          <w:p w14:paraId="421EF3F6" w14:textId="77777777" w:rsidR="00BD06C4" w:rsidRPr="00B20ADF" w:rsidRDefault="00BD06C4" w:rsidP="00BD06C4">
            <w:pPr>
              <w:pStyle w:val="NoSpacing"/>
              <w:rPr>
                <w:b/>
                <w:lang w:val="en-GB"/>
              </w:rPr>
            </w:pPr>
            <w:r w:rsidRPr="00B20ADF">
              <w:rPr>
                <w:b/>
                <w:lang w:val="en-GB"/>
              </w:rPr>
              <w:t>EST definition at national level</w:t>
            </w:r>
          </w:p>
          <w:p w14:paraId="3882033A" w14:textId="77777777" w:rsidR="00BD06C4" w:rsidRPr="00B20ADF" w:rsidRDefault="00BD06C4" w:rsidP="00BD06C4">
            <w:pPr>
              <w:pStyle w:val="NoSpacing"/>
              <w:rPr>
                <w:lang w:val="en-GB"/>
              </w:rPr>
            </w:pPr>
            <w:r w:rsidRPr="00B20ADF">
              <w:rPr>
                <w:lang w:val="en-GB"/>
              </w:rPr>
              <w:t xml:space="preserve">In deciding which technologies are most appropriate, there will always be trade-offs between cost and a range of economic, social, health and environmental impacts, to be determined based on national or local contexts and priorities. It would also not be feasible for all countries to strive towards the best available technologies globally if these are not appropriate in a domestic context.  Given the highly contextual nature of ESTs, it is therefore something that is better defined at the national level, taking into account the national context and mainstream technologies nationally. However, there is a real need to support national, sub-national governments and other actors with decision-making and defining the most nationally or locally appropriate technologies.    </w:t>
            </w:r>
          </w:p>
          <w:p w14:paraId="6EC2A042" w14:textId="77777777" w:rsidR="00BD06C4" w:rsidRPr="00B20ADF" w:rsidRDefault="00BD06C4" w:rsidP="00BD06C4">
            <w:pPr>
              <w:pStyle w:val="NoSpacing"/>
              <w:rPr>
                <w:b/>
                <w:bCs/>
                <w:lang w:val="en-GB"/>
              </w:rPr>
            </w:pPr>
          </w:p>
          <w:p w14:paraId="3B8AFC2A" w14:textId="77777777" w:rsidR="00BD06C4" w:rsidRPr="00B20ADF" w:rsidRDefault="00BD06C4" w:rsidP="00BD06C4">
            <w:pPr>
              <w:pStyle w:val="NoSpacing"/>
              <w:rPr>
                <w:b/>
                <w:bCs/>
                <w:lang w:val="en-GB"/>
              </w:rPr>
            </w:pPr>
            <w:r w:rsidRPr="00B20ADF">
              <w:rPr>
                <w:b/>
                <w:bCs/>
                <w:lang w:val="en-GB"/>
              </w:rPr>
              <w:t>Comments and limitations:</w:t>
            </w:r>
          </w:p>
          <w:p w14:paraId="5DF89838" w14:textId="77777777" w:rsidR="00BD06C4" w:rsidRPr="00B20ADF" w:rsidRDefault="00BD06C4" w:rsidP="00BD06C4">
            <w:pPr>
              <w:pStyle w:val="NoSpacing"/>
              <w:rPr>
                <w:lang w:val="en-GB"/>
              </w:rPr>
            </w:pPr>
            <w:r w:rsidRPr="00B20ADF">
              <w:rPr>
                <w:lang w:val="en-GB"/>
              </w:rPr>
              <w:t>Various definitions of ‘environmentally sound technology’ exist and are in use. Terms such as ‘environmental technology’, ‘clean technology’, ‘and cleantech ’or ‘low- carbon technology’ are sometimes used, although low-carbon technology can be considered as a sub-set of green technology. Other less commonly used terms include climate-smart and climate-friendly technology.</w:t>
            </w:r>
          </w:p>
          <w:p w14:paraId="24F488B1" w14:textId="77777777" w:rsidR="00BD06C4" w:rsidRPr="00B20ADF" w:rsidRDefault="00BD06C4" w:rsidP="00BD06C4">
            <w:pPr>
              <w:pStyle w:val="NoSpacing"/>
              <w:rPr>
                <w:lang w:val="en-GB"/>
              </w:rPr>
            </w:pPr>
            <w:r w:rsidRPr="00B20ADF">
              <w:rPr>
                <w:lang w:val="en-GB"/>
              </w:rPr>
              <w:t>Additional limitation include: different baseline years in numerous available databases, and the different purposes of available databases.</w:t>
            </w:r>
          </w:p>
          <w:p w14:paraId="542CBACD" w14:textId="77777777" w:rsidR="00BD06C4" w:rsidRPr="00B20ADF" w:rsidRDefault="00BD06C4" w:rsidP="00BD06C4">
            <w:pPr>
              <w:pStyle w:val="NoSpacing"/>
              <w:rPr>
                <w:lang w:val="en-GB"/>
              </w:rPr>
            </w:pPr>
            <w:r w:rsidRPr="00B20ADF">
              <w:rPr>
                <w:lang w:val="en-GB"/>
              </w:rPr>
              <w:t xml:space="preserve">Many national statistical systems lack the capacity to compile information on “Total amount of approved funding to promote the development, transfer, dissemination and diffusion of </w:t>
            </w:r>
            <w:r w:rsidRPr="00B20ADF">
              <w:rPr>
                <w:lang w:val="en-GB"/>
              </w:rPr>
              <w:lastRenderedPageBreak/>
              <w:t xml:space="preserve">environmentally sound technologies”. Compiling data on this indicator presents a challenge in terms of consistent definitions and approaches. However, this methodology recognizes these difficulties and provides an approach that can allow </w:t>
            </w:r>
            <w:proofErr w:type="gramStart"/>
            <w:r w:rsidRPr="00B20ADF">
              <w:rPr>
                <w:lang w:val="en-GB"/>
              </w:rPr>
              <w:t>a comparability</w:t>
            </w:r>
            <w:proofErr w:type="gramEnd"/>
            <w:r w:rsidRPr="00B20ADF">
              <w:rPr>
                <w:lang w:val="en-GB"/>
              </w:rPr>
              <w:t xml:space="preserve"> among countries.</w:t>
            </w:r>
          </w:p>
          <w:p w14:paraId="530735C5" w14:textId="77777777" w:rsidR="00BD06C4" w:rsidRPr="00B20ADF" w:rsidRDefault="00BD06C4" w:rsidP="00BD06C4">
            <w:pPr>
              <w:pStyle w:val="NoSpacing"/>
              <w:rPr>
                <w:lang w:val="en-GB"/>
              </w:rPr>
            </w:pPr>
            <w:r w:rsidRPr="00B20ADF">
              <w:rPr>
                <w:lang w:val="en-GB"/>
              </w:rPr>
              <w:t>Methodology</w:t>
            </w:r>
          </w:p>
          <w:p w14:paraId="56A6A49A" w14:textId="77777777" w:rsidR="00BD06C4" w:rsidRPr="00B20ADF" w:rsidRDefault="00BD06C4" w:rsidP="00BD06C4">
            <w:pPr>
              <w:pStyle w:val="NoSpacing"/>
              <w:rPr>
                <w:b/>
                <w:bCs/>
                <w:lang w:val="en-GB"/>
              </w:rPr>
            </w:pPr>
            <w:r w:rsidRPr="00B20ADF">
              <w:rPr>
                <w:b/>
                <w:bCs/>
                <w:lang w:val="en-GB"/>
              </w:rPr>
              <w:t>Computation Method:</w:t>
            </w:r>
          </w:p>
          <w:p w14:paraId="52058036" w14:textId="77777777" w:rsidR="00BD06C4" w:rsidRPr="00B20ADF" w:rsidRDefault="00BD06C4" w:rsidP="00BD06C4">
            <w:pPr>
              <w:pStyle w:val="NoSpacing"/>
              <w:rPr>
                <w:lang w:val="en-GB"/>
              </w:rPr>
            </w:pPr>
            <w:r w:rsidRPr="00B20ADF">
              <w:rPr>
                <w:lang w:val="en-GB"/>
              </w:rPr>
              <w:t xml:space="preserve">The methodology for tracking the total amount of approved funding to promote the development, transfer, dissemination and diffusion of environmentally sound technologies has a two-pronged approach: </w:t>
            </w:r>
          </w:p>
          <w:p w14:paraId="38147068" w14:textId="15E796B6" w:rsidR="00BD06C4" w:rsidRPr="00B20ADF" w:rsidRDefault="00BD06C4" w:rsidP="00BD06C4">
            <w:pPr>
              <w:pStyle w:val="NoSpacing"/>
            </w:pPr>
            <w:r w:rsidRPr="00B20ADF">
              <w:rPr>
                <w:b/>
                <w:lang w:val="en-GB"/>
              </w:rPr>
              <w:t>Level 1</w:t>
            </w:r>
            <w:r w:rsidRPr="00B20ADF">
              <w:t>. Use globally available data to create a proxy of funding flowing to developing countries for environmentally sound technologies, or of trade in environmentally sound technologies.</w:t>
            </w:r>
          </w:p>
          <w:p w14:paraId="032928FE" w14:textId="77777777" w:rsidR="00BD06C4" w:rsidRPr="00B20ADF" w:rsidRDefault="00BD06C4" w:rsidP="00BD06C4">
            <w:pPr>
              <w:pStyle w:val="NoSpacing"/>
              <w:rPr>
                <w:lang w:val="en-GB"/>
              </w:rPr>
            </w:pPr>
            <w:r w:rsidRPr="00B20ADF">
              <w:rPr>
                <w:lang w:val="en-GB"/>
              </w:rPr>
              <w:t xml:space="preserve">The international proxy that provides the closest indicator of investment flows is that of trade (e.g. traded goods and services that have been internationally agreed to have a positive environmental benefit), using HS codes, preferably more than 6-digit level. </w:t>
            </w:r>
          </w:p>
          <w:p w14:paraId="5D163844" w14:textId="77777777" w:rsidR="00BD06C4" w:rsidRPr="00B20ADF" w:rsidRDefault="00BD06C4" w:rsidP="00BD06C4">
            <w:pPr>
              <w:pStyle w:val="NoSpacing"/>
              <w:rPr>
                <w:lang w:val="en-GB"/>
              </w:rPr>
            </w:pPr>
            <w:r w:rsidRPr="00B20ADF">
              <w:rPr>
                <w:lang w:val="en-GB"/>
              </w:rPr>
              <w:t>The sectors deemed to be ESTs through historical research include:</w:t>
            </w:r>
          </w:p>
          <w:p w14:paraId="3879780D" w14:textId="77777777" w:rsidR="00BD06C4" w:rsidRPr="00B20ADF" w:rsidRDefault="00BD06C4" w:rsidP="00BD06C4">
            <w:pPr>
              <w:pStyle w:val="NoSpacing"/>
              <w:numPr>
                <w:ilvl w:val="0"/>
                <w:numId w:val="152"/>
              </w:numPr>
              <w:rPr>
                <w:lang w:val="en-GB"/>
              </w:rPr>
            </w:pPr>
            <w:r w:rsidRPr="00B20ADF">
              <w:rPr>
                <w:lang w:val="en-GB"/>
              </w:rPr>
              <w:t>Air pollution control (APC)</w:t>
            </w:r>
          </w:p>
          <w:p w14:paraId="26FF520E" w14:textId="77777777" w:rsidR="00BD06C4" w:rsidRPr="00B20ADF" w:rsidRDefault="00BD06C4" w:rsidP="00BD06C4">
            <w:pPr>
              <w:pStyle w:val="NoSpacing"/>
              <w:numPr>
                <w:ilvl w:val="0"/>
                <w:numId w:val="152"/>
              </w:numPr>
              <w:rPr>
                <w:lang w:val="en-GB"/>
              </w:rPr>
            </w:pPr>
            <w:r w:rsidRPr="00B20ADF">
              <w:rPr>
                <w:lang w:val="en-GB"/>
              </w:rPr>
              <w:t>Wastewater management (WWM),</w:t>
            </w:r>
          </w:p>
          <w:p w14:paraId="2BFBB9EE" w14:textId="77777777" w:rsidR="00BD06C4" w:rsidRPr="00B20ADF" w:rsidRDefault="00BD06C4" w:rsidP="00BD06C4">
            <w:pPr>
              <w:pStyle w:val="NoSpacing"/>
              <w:numPr>
                <w:ilvl w:val="0"/>
                <w:numId w:val="152"/>
              </w:numPr>
              <w:rPr>
                <w:lang w:val="en-GB"/>
              </w:rPr>
            </w:pPr>
            <w:r w:rsidRPr="00B20ADF">
              <w:rPr>
                <w:lang w:val="en-GB"/>
              </w:rPr>
              <w:t>Solid and Hazardous waste management (SHWM),</w:t>
            </w:r>
          </w:p>
          <w:p w14:paraId="7318A6F1" w14:textId="77777777" w:rsidR="00BD06C4" w:rsidRPr="00B20ADF" w:rsidRDefault="00BD06C4" w:rsidP="00BD06C4">
            <w:pPr>
              <w:pStyle w:val="NoSpacing"/>
              <w:numPr>
                <w:ilvl w:val="0"/>
                <w:numId w:val="152"/>
              </w:numPr>
              <w:rPr>
                <w:lang w:val="en-GB"/>
              </w:rPr>
            </w:pPr>
            <w:r w:rsidRPr="00B20ADF">
              <w:rPr>
                <w:lang w:val="en-GB"/>
              </w:rPr>
              <w:t>Renewable Energy (RE),</w:t>
            </w:r>
          </w:p>
          <w:p w14:paraId="13C95055" w14:textId="77777777" w:rsidR="00BD06C4" w:rsidRPr="00B20ADF" w:rsidRDefault="00BD06C4" w:rsidP="00BD06C4">
            <w:pPr>
              <w:pStyle w:val="NoSpacing"/>
              <w:numPr>
                <w:ilvl w:val="0"/>
                <w:numId w:val="152"/>
              </w:numPr>
              <w:rPr>
                <w:lang w:val="en-GB"/>
              </w:rPr>
            </w:pPr>
            <w:r w:rsidRPr="00B20ADF">
              <w:rPr>
                <w:lang w:val="en-GB"/>
              </w:rPr>
              <w:t>Environmentally Preferable Products (EPPs)</w:t>
            </w:r>
          </w:p>
          <w:p w14:paraId="2D1B8C32" w14:textId="77777777" w:rsidR="00BD06C4" w:rsidRPr="00B20ADF" w:rsidRDefault="00BD06C4" w:rsidP="00BD06C4">
            <w:pPr>
              <w:pStyle w:val="NoSpacing"/>
              <w:numPr>
                <w:ilvl w:val="0"/>
                <w:numId w:val="152"/>
              </w:numPr>
              <w:rPr>
                <w:lang w:val="en-GB"/>
              </w:rPr>
            </w:pPr>
            <w:r w:rsidRPr="00B20ADF">
              <w:rPr>
                <w:lang w:val="en-GB"/>
              </w:rPr>
              <w:t>Water Supply &amp; Sanitation (relating to indicators for #6 and #11)</w:t>
            </w:r>
          </w:p>
          <w:p w14:paraId="14DE204D" w14:textId="77777777" w:rsidR="00BD06C4" w:rsidRPr="00B20ADF" w:rsidRDefault="00BD06C4" w:rsidP="00BD06C4">
            <w:pPr>
              <w:pStyle w:val="NoSpacing"/>
              <w:numPr>
                <w:ilvl w:val="0"/>
                <w:numId w:val="152"/>
              </w:numPr>
              <w:rPr>
                <w:lang w:val="en-GB"/>
              </w:rPr>
            </w:pPr>
            <w:r w:rsidRPr="00B20ADF">
              <w:rPr>
                <w:noProof/>
                <w:lang w:bidi="bn-BD"/>
              </w:rPr>
              <w:lastRenderedPageBreak/>
              <mc:AlternateContent>
                <mc:Choice Requires="wps">
                  <w:drawing>
                    <wp:anchor distT="0" distB="0" distL="0" distR="0" simplePos="0" relativeHeight="251669504" behindDoc="1" locked="0" layoutInCell="1" allowOverlap="1" wp14:anchorId="37365E01" wp14:editId="285BDE05">
                      <wp:simplePos x="0" y="0"/>
                      <wp:positionH relativeFrom="page">
                        <wp:posOffset>0</wp:posOffset>
                      </wp:positionH>
                      <wp:positionV relativeFrom="paragraph">
                        <wp:posOffset>154940</wp:posOffset>
                      </wp:positionV>
                      <wp:extent cx="3295650" cy="2152650"/>
                      <wp:effectExtent l="0" t="0" r="19050" b="19050"/>
                      <wp:wrapTopAndBottom/>
                      <wp:docPr id="12786" name="Text Box 1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52650"/>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F6DC2C" w14:textId="77777777" w:rsidR="00D20077" w:rsidRPr="000C040F" w:rsidRDefault="00D20077" w:rsidP="003F6A4C">
                                  <w:pPr>
                                    <w:pStyle w:val="ListParagraph"/>
                                    <w:widowControl w:val="0"/>
                                    <w:numPr>
                                      <w:ilvl w:val="0"/>
                                      <w:numId w:val="150"/>
                                    </w:numPr>
                                    <w:tabs>
                                      <w:tab w:val="left" w:pos="362"/>
                                    </w:tabs>
                                    <w:autoSpaceDE w:val="0"/>
                                    <w:autoSpaceDN w:val="0"/>
                                    <w:spacing w:before="72" w:after="0" w:line="240" w:lineRule="auto"/>
                                    <w:rPr>
                                      <w:color w:val="006FC0"/>
                                    </w:rPr>
                                  </w:pPr>
                                  <w:r w:rsidRPr="000C040F">
                                    <w:rPr>
                                      <w:color w:val="006FC0"/>
                                      <w:sz w:val="20"/>
                                    </w:rPr>
                                    <w:t>Environmental</w:t>
                                  </w:r>
                                  <w:r w:rsidRPr="000C040F">
                                    <w:rPr>
                                      <w:color w:val="006FC0"/>
                                      <w:spacing w:val="-2"/>
                                      <w:sz w:val="20"/>
                                    </w:rPr>
                                    <w:t xml:space="preserve"> </w:t>
                                  </w:r>
                                  <w:r w:rsidRPr="000C040F">
                                    <w:rPr>
                                      <w:color w:val="006FC0"/>
                                      <w:sz w:val="20"/>
                                    </w:rPr>
                                    <w:t>considerations:</w:t>
                                  </w:r>
                                </w:p>
                                <w:p w14:paraId="63696E15" w14:textId="77777777" w:rsidR="00D20077" w:rsidRDefault="00D20077" w:rsidP="003F6A4C">
                                  <w:pPr>
                                    <w:widowControl w:val="0"/>
                                    <w:numPr>
                                      <w:ilvl w:val="1"/>
                                      <w:numId w:val="149"/>
                                    </w:numPr>
                                    <w:tabs>
                                      <w:tab w:val="left" w:pos="2305"/>
                                      <w:tab w:val="left" w:pos="2306"/>
                                    </w:tabs>
                                    <w:autoSpaceDE w:val="0"/>
                                    <w:autoSpaceDN w:val="0"/>
                                    <w:spacing w:before="2"/>
                                    <w:ind w:right="488"/>
                                  </w:pPr>
                                  <w:r>
                                    <w:t>Performance of the technology and operational data – Can the technology achieve the environmental objective (e.g. this could be compliance with</w:t>
                                  </w:r>
                                  <w:r>
                                    <w:rPr>
                                      <w:spacing w:val="-33"/>
                                    </w:rPr>
                                    <w:t xml:space="preserve"> </w:t>
                                  </w:r>
                                  <w:r>
                                    <w:t>local environmental law)</w:t>
                                  </w:r>
                                </w:p>
                                <w:p w14:paraId="5EB0FD42" w14:textId="77777777" w:rsidR="00D20077" w:rsidRDefault="00D20077" w:rsidP="003F6A4C">
                                  <w:pPr>
                                    <w:widowControl w:val="0"/>
                                    <w:numPr>
                                      <w:ilvl w:val="1"/>
                                      <w:numId w:val="149"/>
                                    </w:numPr>
                                    <w:tabs>
                                      <w:tab w:val="left" w:pos="2305"/>
                                      <w:tab w:val="left" w:pos="2306"/>
                                    </w:tabs>
                                    <w:autoSpaceDE w:val="0"/>
                                    <w:autoSpaceDN w:val="0"/>
                                    <w:spacing w:line="244" w:lineRule="exact"/>
                                    <w:ind w:hanging="361"/>
                                  </w:pPr>
                                  <w:r>
                                    <w:t>Cross-media effects – Does the technology has negative environmental</w:t>
                                  </w:r>
                                  <w:r>
                                    <w:rPr>
                                      <w:spacing w:val="-21"/>
                                    </w:rPr>
                                    <w:t xml:space="preserve"> </w:t>
                                  </w:r>
                                  <w:r>
                                    <w:t>impacts?</w:t>
                                  </w:r>
                                </w:p>
                                <w:p w14:paraId="46F0C0D1" w14:textId="77777777" w:rsidR="00D20077" w:rsidRDefault="00D20077" w:rsidP="00B20ADF">
                                  <w:pPr>
                                    <w:widowControl w:val="0"/>
                                    <w:tabs>
                                      <w:tab w:val="left" w:pos="340"/>
                                    </w:tabs>
                                    <w:autoSpaceDE w:val="0"/>
                                    <w:autoSpaceDN w:val="0"/>
                                    <w:spacing w:before="1" w:line="243" w:lineRule="exact"/>
                                    <w:ind w:left="145"/>
                                    <w:rPr>
                                      <w:color w:val="006FC0"/>
                                    </w:rPr>
                                  </w:pPr>
                                  <w:r>
                                    <w:rPr>
                                      <w:color w:val="006FC0"/>
                                    </w:rPr>
                                    <w:t xml:space="preserve">2. Local considerations </w:t>
                                  </w:r>
                                  <w:r>
                                    <w:t>– Is the technology suitable for the local</w:t>
                                  </w:r>
                                  <w:r>
                                    <w:rPr>
                                      <w:spacing w:val="-11"/>
                                    </w:rPr>
                                    <w:t xml:space="preserve"> </w:t>
                                  </w:r>
                                  <w:r>
                                    <w:t>market?</w:t>
                                  </w:r>
                                </w:p>
                                <w:p w14:paraId="1D21E4B9" w14:textId="77777777" w:rsidR="00D20077" w:rsidRDefault="00D20077" w:rsidP="003F6A4C">
                                  <w:pPr>
                                    <w:widowControl w:val="0"/>
                                    <w:numPr>
                                      <w:ilvl w:val="1"/>
                                      <w:numId w:val="149"/>
                                    </w:numPr>
                                    <w:tabs>
                                      <w:tab w:val="left" w:pos="2305"/>
                                      <w:tab w:val="left" w:pos="2306"/>
                                    </w:tabs>
                                    <w:autoSpaceDE w:val="0"/>
                                    <w:autoSpaceDN w:val="0"/>
                                    <w:spacing w:line="243" w:lineRule="exact"/>
                                    <w:ind w:hanging="361"/>
                                  </w:pPr>
                                  <w:r>
                                    <w:t>Economics impacts – Capital and operating</w:t>
                                  </w:r>
                                  <w:r>
                                    <w:rPr>
                                      <w:spacing w:val="2"/>
                                    </w:rPr>
                                    <w:t xml:space="preserve"> </w:t>
                                  </w:r>
                                  <w:r>
                                    <w:t>costs</w:t>
                                  </w:r>
                                </w:p>
                                <w:p w14:paraId="38505C08" w14:textId="77777777" w:rsidR="00D20077" w:rsidRDefault="00D20077" w:rsidP="003F6A4C">
                                  <w:pPr>
                                    <w:widowControl w:val="0"/>
                                    <w:numPr>
                                      <w:ilvl w:val="1"/>
                                      <w:numId w:val="149"/>
                                    </w:numPr>
                                    <w:tabs>
                                      <w:tab w:val="left" w:pos="2305"/>
                                      <w:tab w:val="left" w:pos="2306"/>
                                    </w:tabs>
                                    <w:autoSpaceDE w:val="0"/>
                                    <w:autoSpaceDN w:val="0"/>
                                    <w:spacing w:before="1"/>
                                    <w:ind w:hanging="361"/>
                                  </w:pPr>
                                  <w:r>
                                    <w:t>Market considerations – Local market availability and</w:t>
                                  </w:r>
                                  <w:r>
                                    <w:rPr>
                                      <w:spacing w:val="-5"/>
                                    </w:rPr>
                                    <w:t xml:space="preserve"> </w:t>
                                  </w:r>
                                  <w:r>
                                    <w:t>suitability</w:t>
                                  </w:r>
                                </w:p>
                                <w:p w14:paraId="7DE77C0A" w14:textId="77777777" w:rsidR="00D20077" w:rsidRDefault="00D20077" w:rsidP="003F6A4C">
                                  <w:pPr>
                                    <w:widowControl w:val="0"/>
                                    <w:numPr>
                                      <w:ilvl w:val="1"/>
                                      <w:numId w:val="149"/>
                                    </w:numPr>
                                    <w:tabs>
                                      <w:tab w:val="left" w:pos="2305"/>
                                      <w:tab w:val="left" w:pos="2306"/>
                                    </w:tabs>
                                    <w:autoSpaceDE w:val="0"/>
                                    <w:autoSpaceDN w:val="0"/>
                                    <w:ind w:hanging="361"/>
                                  </w:pPr>
                                  <w:r>
                                    <w:t>Suitability for the local natural</w:t>
                                  </w:r>
                                  <w:r>
                                    <w:rPr>
                                      <w:spacing w:val="-1"/>
                                    </w:rPr>
                                    <w:t xml:space="preserve"> </w:t>
                                  </w:r>
                                  <w: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365E01" id="Text Box 12786" o:spid="_x0000_s1035" type="#_x0000_t202" style="position:absolute;left:0;text-align:left;margin-left:0;margin-top:12.2pt;width:259.5pt;height:169.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" filled="f" strokecolor="#41709c" strokeweight="1pt">
                      <v:textbox inset="0,0,0,0">
                        <w:txbxContent>
                          <w:p w14:paraId="52F6DC2C" w14:textId="77777777" w:rsidR="00D20077" w:rsidRPr="000C040F" w:rsidRDefault="00D20077" w:rsidP="003F6A4C">
                            <w:pPr>
                              <w:pStyle w:val="ListParagraph"/>
                              <w:widowControl w:val="0"/>
                              <w:numPr>
                                <w:ilvl w:val="0"/>
                                <w:numId w:val="150"/>
                              </w:numPr>
                              <w:tabs>
                                <w:tab w:val="left" w:pos="362"/>
                              </w:tabs>
                              <w:autoSpaceDE w:val="0"/>
                              <w:autoSpaceDN w:val="0"/>
                              <w:spacing w:before="72" w:after="0" w:line="240" w:lineRule="auto"/>
                              <w:rPr>
                                <w:color w:val="006FC0"/>
                              </w:rPr>
                            </w:pPr>
                            <w:r w:rsidRPr="000C040F">
                              <w:rPr>
                                <w:color w:val="006FC0"/>
                                <w:sz w:val="20"/>
                              </w:rPr>
                              <w:t>Environmental</w:t>
                            </w:r>
                            <w:r w:rsidRPr="000C040F">
                              <w:rPr>
                                <w:color w:val="006FC0"/>
                                <w:spacing w:val="-2"/>
                                <w:sz w:val="20"/>
                              </w:rPr>
                              <w:t xml:space="preserve"> </w:t>
                            </w:r>
                            <w:r w:rsidRPr="000C040F">
                              <w:rPr>
                                <w:color w:val="006FC0"/>
                                <w:sz w:val="20"/>
                              </w:rPr>
                              <w:t>considerations:</w:t>
                            </w:r>
                          </w:p>
                          <w:p w14:paraId="63696E15" w14:textId="77777777" w:rsidR="00D20077" w:rsidRDefault="00D20077" w:rsidP="003F6A4C">
                            <w:pPr>
                              <w:widowControl w:val="0"/>
                              <w:numPr>
                                <w:ilvl w:val="1"/>
                                <w:numId w:val="149"/>
                              </w:numPr>
                              <w:tabs>
                                <w:tab w:val="left" w:pos="2305"/>
                                <w:tab w:val="left" w:pos="2306"/>
                              </w:tabs>
                              <w:autoSpaceDE w:val="0"/>
                              <w:autoSpaceDN w:val="0"/>
                              <w:spacing w:before="2"/>
                              <w:ind w:right="488"/>
                            </w:pPr>
                            <w:r>
                              <w:t>Performance of the technology and operational data – Can the technology achieve the environmental objective (e.g. this could be compliance with</w:t>
                            </w:r>
                            <w:r>
                              <w:rPr>
                                <w:spacing w:val="-33"/>
                              </w:rPr>
                              <w:t xml:space="preserve"> </w:t>
                            </w:r>
                            <w:r>
                              <w:t>local environmental law)</w:t>
                            </w:r>
                          </w:p>
                          <w:p w14:paraId="5EB0FD42" w14:textId="77777777" w:rsidR="00D20077" w:rsidRDefault="00D20077" w:rsidP="003F6A4C">
                            <w:pPr>
                              <w:widowControl w:val="0"/>
                              <w:numPr>
                                <w:ilvl w:val="1"/>
                                <w:numId w:val="149"/>
                              </w:numPr>
                              <w:tabs>
                                <w:tab w:val="left" w:pos="2305"/>
                                <w:tab w:val="left" w:pos="2306"/>
                              </w:tabs>
                              <w:autoSpaceDE w:val="0"/>
                              <w:autoSpaceDN w:val="0"/>
                              <w:spacing w:line="244" w:lineRule="exact"/>
                              <w:ind w:hanging="361"/>
                            </w:pPr>
                            <w:r>
                              <w:t>Cross-media effects – Does the technology has negative environmental</w:t>
                            </w:r>
                            <w:r>
                              <w:rPr>
                                <w:spacing w:val="-21"/>
                              </w:rPr>
                              <w:t xml:space="preserve"> </w:t>
                            </w:r>
                            <w:r>
                              <w:t>impacts?</w:t>
                            </w:r>
                          </w:p>
                          <w:p w14:paraId="46F0C0D1" w14:textId="77777777" w:rsidR="00D20077" w:rsidRDefault="00D20077" w:rsidP="00B20ADF">
                            <w:pPr>
                              <w:widowControl w:val="0"/>
                              <w:tabs>
                                <w:tab w:val="left" w:pos="340"/>
                              </w:tabs>
                              <w:autoSpaceDE w:val="0"/>
                              <w:autoSpaceDN w:val="0"/>
                              <w:spacing w:before="1" w:line="243" w:lineRule="exact"/>
                              <w:ind w:left="145"/>
                              <w:rPr>
                                <w:color w:val="006FC0"/>
                              </w:rPr>
                            </w:pPr>
                            <w:r>
                              <w:rPr>
                                <w:color w:val="006FC0"/>
                              </w:rPr>
                              <w:t xml:space="preserve">2. Local considerations </w:t>
                            </w:r>
                            <w:r>
                              <w:t>– Is the technology suitable for the local</w:t>
                            </w:r>
                            <w:r>
                              <w:rPr>
                                <w:spacing w:val="-11"/>
                              </w:rPr>
                              <w:t xml:space="preserve"> </w:t>
                            </w:r>
                            <w:r>
                              <w:t>market?</w:t>
                            </w:r>
                          </w:p>
                          <w:p w14:paraId="1D21E4B9" w14:textId="77777777" w:rsidR="00D20077" w:rsidRDefault="00D20077" w:rsidP="003F6A4C">
                            <w:pPr>
                              <w:widowControl w:val="0"/>
                              <w:numPr>
                                <w:ilvl w:val="1"/>
                                <w:numId w:val="149"/>
                              </w:numPr>
                              <w:tabs>
                                <w:tab w:val="left" w:pos="2305"/>
                                <w:tab w:val="left" w:pos="2306"/>
                              </w:tabs>
                              <w:autoSpaceDE w:val="0"/>
                              <w:autoSpaceDN w:val="0"/>
                              <w:spacing w:line="243" w:lineRule="exact"/>
                              <w:ind w:hanging="361"/>
                            </w:pPr>
                            <w:r>
                              <w:t>Economics impacts – Capital and operating</w:t>
                            </w:r>
                            <w:r>
                              <w:rPr>
                                <w:spacing w:val="2"/>
                              </w:rPr>
                              <w:t xml:space="preserve"> </w:t>
                            </w:r>
                            <w:r>
                              <w:t>costs</w:t>
                            </w:r>
                          </w:p>
                          <w:p w14:paraId="38505C08" w14:textId="77777777" w:rsidR="00D20077" w:rsidRDefault="00D20077" w:rsidP="003F6A4C">
                            <w:pPr>
                              <w:widowControl w:val="0"/>
                              <w:numPr>
                                <w:ilvl w:val="1"/>
                                <w:numId w:val="149"/>
                              </w:numPr>
                              <w:tabs>
                                <w:tab w:val="left" w:pos="2305"/>
                                <w:tab w:val="left" w:pos="2306"/>
                              </w:tabs>
                              <w:autoSpaceDE w:val="0"/>
                              <w:autoSpaceDN w:val="0"/>
                              <w:spacing w:before="1"/>
                              <w:ind w:hanging="361"/>
                            </w:pPr>
                            <w:r>
                              <w:t>Market considerations – Local market availability and</w:t>
                            </w:r>
                            <w:r>
                              <w:rPr>
                                <w:spacing w:val="-5"/>
                              </w:rPr>
                              <w:t xml:space="preserve"> </w:t>
                            </w:r>
                            <w:r>
                              <w:t>suitability</w:t>
                            </w:r>
                          </w:p>
                          <w:p w14:paraId="7DE77C0A" w14:textId="77777777" w:rsidR="00D20077" w:rsidRDefault="00D20077" w:rsidP="003F6A4C">
                            <w:pPr>
                              <w:widowControl w:val="0"/>
                              <w:numPr>
                                <w:ilvl w:val="1"/>
                                <w:numId w:val="149"/>
                              </w:numPr>
                              <w:tabs>
                                <w:tab w:val="left" w:pos="2305"/>
                                <w:tab w:val="left" w:pos="2306"/>
                              </w:tabs>
                              <w:autoSpaceDE w:val="0"/>
                              <w:autoSpaceDN w:val="0"/>
                              <w:ind w:hanging="361"/>
                            </w:pPr>
                            <w:r>
                              <w:t>Suitability for the local natural</w:t>
                            </w:r>
                            <w:r>
                              <w:rPr>
                                <w:spacing w:val="-1"/>
                              </w:rPr>
                              <w:t xml:space="preserve"> </w:t>
                            </w:r>
                            <w:r>
                              <w:t>conditions</w:t>
                            </w:r>
                          </w:p>
                        </w:txbxContent>
                      </v:textbox>
                      <w10:wrap type="topAndBottom" anchorx="page"/>
                    </v:shape>
                  </w:pict>
                </mc:Fallback>
              </mc:AlternateContent>
            </w:r>
            <w:r w:rsidRPr="00B20ADF">
              <w:rPr>
                <w:lang w:val="en-GB"/>
              </w:rPr>
              <w:t>Energy Storage &amp; Distribution (relating to indicators for #7 and #13)</w:t>
            </w:r>
          </w:p>
          <w:p w14:paraId="2889DE0D" w14:textId="77777777" w:rsidR="00BD06C4" w:rsidRPr="00B20ADF" w:rsidRDefault="00BD06C4" w:rsidP="00BD06C4">
            <w:pPr>
              <w:pStyle w:val="NoSpacing"/>
              <w:numPr>
                <w:ilvl w:val="0"/>
                <w:numId w:val="152"/>
              </w:numPr>
              <w:rPr>
                <w:lang w:val="en-GB"/>
              </w:rPr>
            </w:pPr>
            <w:r w:rsidRPr="00B20ADF">
              <w:rPr>
                <w:lang w:val="en-GB"/>
              </w:rPr>
              <w:t>Land &amp; Water Protection &amp; Remediation (relating to indicators for #14 and #15</w:t>
            </w:r>
          </w:p>
          <w:p w14:paraId="4C18556A" w14:textId="77777777" w:rsidR="00BD06C4" w:rsidRPr="00B20ADF" w:rsidRDefault="00BD06C4" w:rsidP="00BD06C4">
            <w:pPr>
              <w:pStyle w:val="NoSpacing"/>
              <w:rPr>
                <w:lang w:val="en-GB"/>
              </w:rPr>
            </w:pPr>
          </w:p>
          <w:p w14:paraId="5C91A24A" w14:textId="77777777" w:rsidR="00BD06C4" w:rsidRPr="00B20ADF" w:rsidRDefault="00BD06C4" w:rsidP="00BD06C4">
            <w:pPr>
              <w:pStyle w:val="NoSpacing"/>
              <w:rPr>
                <w:lang w:val="en-GB"/>
              </w:rPr>
            </w:pPr>
            <w:r w:rsidRPr="00B20ADF">
              <w:rPr>
                <w:lang w:val="en-GB"/>
              </w:rPr>
              <w:t xml:space="preserve">There are two key sub-indicators which are initially to be tracked by proxy of trade in agreed/approved ESTs: </w:t>
            </w:r>
          </w:p>
          <w:p w14:paraId="5A0BE878" w14:textId="77777777" w:rsidR="00BD06C4" w:rsidRPr="00B20ADF" w:rsidRDefault="00BD06C4" w:rsidP="00BD06C4">
            <w:pPr>
              <w:pStyle w:val="NoSpacing"/>
              <w:numPr>
                <w:ilvl w:val="0"/>
                <w:numId w:val="151"/>
              </w:numPr>
              <w:rPr>
                <w:lang w:val="en-GB"/>
              </w:rPr>
            </w:pPr>
            <w:r w:rsidRPr="00B20ADF">
              <w:rPr>
                <w:lang w:val="en-GB"/>
              </w:rPr>
              <w:t>global and b) national</w:t>
            </w:r>
          </w:p>
          <w:p w14:paraId="15E2198A" w14:textId="77777777" w:rsidR="00BD06C4" w:rsidRPr="00B20ADF" w:rsidRDefault="00BD06C4" w:rsidP="00BD06C4">
            <w:pPr>
              <w:pStyle w:val="NoSpacing"/>
            </w:pPr>
            <w:r w:rsidRPr="00B20ADF">
              <w:rPr>
                <w:b/>
                <w:lang w:val="en-GB"/>
              </w:rPr>
              <w:t>Level 2.</w:t>
            </w:r>
            <w:r w:rsidRPr="00B20ADF">
              <w:t xml:space="preserve"> Collect national data on investment in environmentally sound technologies.</w:t>
            </w:r>
          </w:p>
          <w:p w14:paraId="1DFA83B9" w14:textId="77777777" w:rsidR="00BD06C4" w:rsidRPr="00B20ADF" w:rsidRDefault="00BD06C4" w:rsidP="00BD06C4">
            <w:pPr>
              <w:pStyle w:val="NoSpacing"/>
              <w:rPr>
                <w:lang w:val="en-GB"/>
              </w:rPr>
            </w:pPr>
            <w:r w:rsidRPr="00B20ADF">
              <w:rPr>
                <w:lang w:val="en-GB"/>
              </w:rPr>
              <w:t>Identifying ESTs at the national/ sub-national level should be a simple process based on a set of criteria and simple analysis tool (excel form), which could be used to evaluate if the environmental objective is achieved and if the technology is suitable for the local market.</w:t>
            </w:r>
          </w:p>
          <w:p w14:paraId="2E9C19B7" w14:textId="77777777" w:rsidR="00BD06C4" w:rsidRPr="00B20ADF" w:rsidRDefault="00BD06C4" w:rsidP="00BD06C4">
            <w:pPr>
              <w:pStyle w:val="NoSpacing"/>
              <w:rPr>
                <w:lang w:val="en-GB"/>
              </w:rPr>
            </w:pPr>
          </w:p>
          <w:p w14:paraId="35933C3A" w14:textId="77777777" w:rsidR="00BD06C4" w:rsidRPr="00B20ADF" w:rsidRDefault="00BD06C4" w:rsidP="00BD06C4">
            <w:pPr>
              <w:pStyle w:val="NoSpacing"/>
              <w:rPr>
                <w:lang w:val="en-GB"/>
              </w:rPr>
            </w:pPr>
            <w:r w:rsidRPr="00B20ADF">
              <w:rPr>
                <w:lang w:val="en-GB"/>
              </w:rPr>
              <w:t>The environmental objective can be assessed with the performance and operational data (in relevance to the environmental objective) and if the technology has any negative environmental impact (cross- media effects). Suitability of the technology for the national market could involve assessments on criteria related to economics, market considerations and suitability to local natural conditions.</w:t>
            </w:r>
          </w:p>
          <w:p w14:paraId="6C7A4021" w14:textId="77777777" w:rsidR="00BD06C4" w:rsidRPr="00B20ADF" w:rsidRDefault="00BD06C4" w:rsidP="00BD06C4">
            <w:pPr>
              <w:pStyle w:val="NoSpacing"/>
            </w:pPr>
          </w:p>
          <w:p w14:paraId="28FB21A2" w14:textId="77777777" w:rsidR="00BD06C4" w:rsidRPr="00B20ADF" w:rsidRDefault="00BD06C4" w:rsidP="00BD06C4">
            <w:pPr>
              <w:pStyle w:val="NoSpacing"/>
            </w:pPr>
          </w:p>
          <w:p w14:paraId="45461034" w14:textId="77777777" w:rsidR="00BD06C4" w:rsidRPr="00B20ADF" w:rsidRDefault="00BD06C4" w:rsidP="00BD06C4">
            <w:pPr>
              <w:pStyle w:val="NoSpacing"/>
            </w:pPr>
            <w:r w:rsidRPr="00B20ADF">
              <w:t xml:space="preserve">The guidelines: steps to identify, assess and priorities ESTs at the national or sub-national level </w:t>
            </w:r>
          </w:p>
          <w:p w14:paraId="2BE87841" w14:textId="77777777" w:rsidR="00BD06C4" w:rsidRDefault="00BD06C4" w:rsidP="00BD06C4">
            <w:pPr>
              <w:pStyle w:val="NoSpacing"/>
            </w:pPr>
          </w:p>
        </w:tc>
        <w:tc>
          <w:tcPr>
            <w:tcW w:w="2835" w:type="dxa"/>
          </w:tcPr>
          <w:p w14:paraId="105A1588" w14:textId="77777777" w:rsidR="00BD06C4" w:rsidRDefault="00BD06C4" w:rsidP="00BD06C4">
            <w:pPr>
              <w:shd w:val="clear" w:color="auto" w:fill="FFFFFF"/>
            </w:pPr>
            <w:r>
              <w:lastRenderedPageBreak/>
              <w:t xml:space="preserve">Data will be collected at national levels through a Questionnaire </w:t>
            </w:r>
            <w:r w:rsidRPr="00310C95">
              <w:t xml:space="preserve">sent out to </w:t>
            </w:r>
            <w:r>
              <w:t>national governments every two years.</w:t>
            </w:r>
          </w:p>
          <w:p w14:paraId="6AF8B38F" w14:textId="77777777" w:rsidR="00BD06C4" w:rsidRDefault="00BD06C4" w:rsidP="00BD06C4">
            <w:pPr>
              <w:pStyle w:val="NoSpacing"/>
            </w:pPr>
          </w:p>
        </w:tc>
        <w:tc>
          <w:tcPr>
            <w:tcW w:w="1167" w:type="dxa"/>
          </w:tcPr>
          <w:p w14:paraId="620D54C8" w14:textId="77777777" w:rsidR="00BD06C4" w:rsidRPr="00E8754D" w:rsidRDefault="00BD06C4" w:rsidP="00BD06C4">
            <w:pPr>
              <w:pStyle w:val="NoSpacing"/>
              <w:rPr>
                <w:lang w:eastAsia="en-GB"/>
              </w:rPr>
            </w:pPr>
            <w:r w:rsidRPr="00AD5B4C">
              <w:rPr>
                <w:lang w:eastAsia="en-GB"/>
              </w:rPr>
              <w:t>NSOs and other members of the NSS, complemented by global modelling</w:t>
            </w:r>
          </w:p>
          <w:p w14:paraId="347A62C9" w14:textId="77777777" w:rsidR="00BD06C4" w:rsidRDefault="00BD06C4" w:rsidP="00BD06C4">
            <w:pPr>
              <w:pStyle w:val="NoSpacing"/>
            </w:pPr>
          </w:p>
        </w:tc>
        <w:tc>
          <w:tcPr>
            <w:tcW w:w="0" w:type="auto"/>
          </w:tcPr>
          <w:p w14:paraId="049B0FA9" w14:textId="018A6D5B" w:rsidR="00BD06C4" w:rsidRDefault="00BD06C4" w:rsidP="00BD06C4">
            <w:pPr>
              <w:pStyle w:val="NoSpacing"/>
            </w:pPr>
          </w:p>
        </w:tc>
        <w:tc>
          <w:tcPr>
            <w:tcW w:w="0" w:type="auto"/>
          </w:tcPr>
          <w:p w14:paraId="4BB48555" w14:textId="77777777" w:rsidR="00BD06C4" w:rsidRDefault="00BD06C4" w:rsidP="00BD06C4">
            <w:pPr>
              <w:pStyle w:val="NoSpacing"/>
            </w:pPr>
            <w:r>
              <w:t>ERD</w:t>
            </w:r>
          </w:p>
          <w:p w14:paraId="676BFDE5" w14:textId="77777777" w:rsidR="00BD06C4" w:rsidRDefault="00BD06C4" w:rsidP="00BD06C4">
            <w:pPr>
              <w:pStyle w:val="NoSpacing"/>
              <w:rPr>
                <w:color w:val="0070C0"/>
                <w:sz w:val="30"/>
                <w:szCs w:val="30"/>
              </w:rPr>
            </w:pPr>
            <w:r>
              <w:t>Administrative Data</w:t>
            </w:r>
          </w:p>
        </w:tc>
        <w:tc>
          <w:tcPr>
            <w:tcW w:w="0" w:type="auto"/>
          </w:tcPr>
          <w:p w14:paraId="34F8293C" w14:textId="77777777" w:rsidR="00BD06C4" w:rsidRDefault="00BD06C4" w:rsidP="00BD06C4">
            <w:pPr>
              <w:ind w:left="970" w:hanging="970"/>
              <w:jc w:val="both"/>
              <w:rPr>
                <w:color w:val="0070C0"/>
                <w:sz w:val="30"/>
                <w:szCs w:val="30"/>
              </w:rPr>
            </w:pPr>
          </w:p>
        </w:tc>
        <w:tc>
          <w:tcPr>
            <w:tcW w:w="1078" w:type="dxa"/>
          </w:tcPr>
          <w:p w14:paraId="2F52C3FB" w14:textId="77777777" w:rsidR="00BD06C4" w:rsidRDefault="00BD06C4" w:rsidP="00BD06C4">
            <w:pPr>
              <w:ind w:left="970" w:hanging="970"/>
              <w:jc w:val="both"/>
              <w:rPr>
                <w:color w:val="0070C0"/>
                <w:sz w:val="30"/>
                <w:szCs w:val="30"/>
              </w:rPr>
            </w:pPr>
            <w:r w:rsidRPr="00C37F69">
              <w:rPr>
                <w:szCs w:val="20"/>
              </w:rPr>
              <w:t>Annual</w:t>
            </w:r>
          </w:p>
        </w:tc>
        <w:tc>
          <w:tcPr>
            <w:tcW w:w="872" w:type="dxa"/>
          </w:tcPr>
          <w:p w14:paraId="15353E37" w14:textId="77777777" w:rsidR="00BD06C4" w:rsidRDefault="00BD06C4" w:rsidP="00BD06C4">
            <w:pPr>
              <w:ind w:left="970" w:hanging="970"/>
              <w:jc w:val="both"/>
              <w:rPr>
                <w:color w:val="0070C0"/>
                <w:sz w:val="30"/>
                <w:szCs w:val="30"/>
              </w:rPr>
            </w:pPr>
            <w:r>
              <w:t>Group 2</w:t>
            </w:r>
          </w:p>
        </w:tc>
        <w:tc>
          <w:tcPr>
            <w:tcW w:w="619" w:type="dxa"/>
          </w:tcPr>
          <w:p w14:paraId="33C91E0F" w14:textId="77777777" w:rsidR="00BD06C4" w:rsidRDefault="00BD06C4" w:rsidP="00BD06C4">
            <w:pPr>
              <w:pStyle w:val="NoSpacing"/>
            </w:pPr>
            <w:r>
              <w:t>1</w:t>
            </w:r>
            <w:r w:rsidRPr="00013ACB">
              <w:rPr>
                <w:vertAlign w:val="superscript"/>
              </w:rPr>
              <w:t>st</w:t>
            </w:r>
            <w:r>
              <w:t xml:space="preserve"> Round:</w:t>
            </w:r>
          </w:p>
          <w:p w14:paraId="4592F612" w14:textId="77777777" w:rsidR="00BD06C4" w:rsidRDefault="00BD06C4" w:rsidP="00BD06C4">
            <w:pPr>
              <w:pStyle w:val="NoSpacing"/>
            </w:pPr>
            <w:r>
              <w:t>June 2020</w:t>
            </w:r>
          </w:p>
          <w:p w14:paraId="31F6FB77" w14:textId="77777777" w:rsidR="00BD06C4" w:rsidRDefault="00BD06C4" w:rsidP="00BD06C4">
            <w:pPr>
              <w:pStyle w:val="NoSpacing"/>
            </w:pPr>
          </w:p>
          <w:p w14:paraId="6B19BF6C" w14:textId="77777777" w:rsidR="00BD06C4" w:rsidRDefault="00BD06C4" w:rsidP="00BD06C4">
            <w:pPr>
              <w:pStyle w:val="NoSpacing"/>
            </w:pPr>
            <w:r>
              <w:t>2</w:t>
            </w:r>
            <w:r w:rsidRPr="00013ACB">
              <w:rPr>
                <w:vertAlign w:val="superscript"/>
              </w:rPr>
              <w:t>nd</w:t>
            </w:r>
            <w:r>
              <w:t xml:space="preserve"> Round:</w:t>
            </w:r>
          </w:p>
          <w:p w14:paraId="55D17F1B" w14:textId="77777777" w:rsidR="00BD06C4" w:rsidRDefault="00BD06C4" w:rsidP="00BD06C4">
            <w:pPr>
              <w:pStyle w:val="NoSpacing"/>
            </w:pPr>
            <w:r>
              <w:t>June 2021</w:t>
            </w:r>
          </w:p>
          <w:p w14:paraId="610605CC" w14:textId="77777777" w:rsidR="00BD06C4" w:rsidRDefault="00BD06C4" w:rsidP="00BD06C4">
            <w:pPr>
              <w:pStyle w:val="NoSpacing"/>
            </w:pPr>
          </w:p>
          <w:p w14:paraId="3F195EE4" w14:textId="77777777" w:rsidR="00BD06C4" w:rsidRDefault="00BD06C4" w:rsidP="00BD06C4">
            <w:pPr>
              <w:pStyle w:val="NoSpacing"/>
            </w:pPr>
            <w:r>
              <w:t>3</w:t>
            </w:r>
            <w:r w:rsidRPr="00013ACB">
              <w:rPr>
                <w:vertAlign w:val="superscript"/>
              </w:rPr>
              <w:t>rd</w:t>
            </w:r>
            <w:r>
              <w:t xml:space="preserve"> Round: </w:t>
            </w:r>
          </w:p>
          <w:p w14:paraId="4B5A2D5D" w14:textId="77777777" w:rsidR="00BD06C4" w:rsidRDefault="00BD06C4" w:rsidP="00BD06C4">
            <w:pPr>
              <w:pStyle w:val="NoSpacing"/>
            </w:pPr>
            <w:r>
              <w:t>June 2022</w:t>
            </w:r>
          </w:p>
          <w:p w14:paraId="5D8B2F23" w14:textId="77777777" w:rsidR="00BD06C4" w:rsidRDefault="00BD06C4" w:rsidP="00BD06C4">
            <w:pPr>
              <w:pStyle w:val="NoSpacing"/>
            </w:pPr>
          </w:p>
          <w:p w14:paraId="3F9C3033" w14:textId="77777777" w:rsidR="00BD06C4" w:rsidRDefault="00BD06C4" w:rsidP="00BD06C4">
            <w:pPr>
              <w:pStyle w:val="NoSpacing"/>
            </w:pPr>
            <w:r>
              <w:t>4</w:t>
            </w:r>
            <w:r w:rsidRPr="00013ACB">
              <w:rPr>
                <w:vertAlign w:val="superscript"/>
              </w:rPr>
              <w:t>th</w:t>
            </w:r>
            <w:r>
              <w:t xml:space="preserve"> Round: </w:t>
            </w:r>
          </w:p>
          <w:p w14:paraId="65F1F03D" w14:textId="77777777" w:rsidR="00BD06C4" w:rsidRDefault="00BD06C4" w:rsidP="00BD06C4">
            <w:pPr>
              <w:pStyle w:val="NoSpacing"/>
            </w:pPr>
            <w:r>
              <w:t>June 2023</w:t>
            </w:r>
          </w:p>
          <w:p w14:paraId="0D9A3A97" w14:textId="77777777" w:rsidR="00BD06C4" w:rsidRDefault="00BD06C4" w:rsidP="00BD06C4">
            <w:pPr>
              <w:pStyle w:val="NoSpacing"/>
            </w:pPr>
          </w:p>
          <w:p w14:paraId="70C671F1" w14:textId="77777777" w:rsidR="00BD06C4" w:rsidRDefault="00BD06C4" w:rsidP="00BD06C4">
            <w:pPr>
              <w:pStyle w:val="NoSpacing"/>
            </w:pPr>
            <w:r>
              <w:t>5</w:t>
            </w:r>
            <w:r w:rsidRPr="00013ACB">
              <w:rPr>
                <w:vertAlign w:val="superscript"/>
              </w:rPr>
              <w:t>th</w:t>
            </w:r>
            <w:r>
              <w:t xml:space="preserve"> Round: </w:t>
            </w:r>
          </w:p>
          <w:p w14:paraId="080E2882" w14:textId="77777777" w:rsidR="00BD06C4" w:rsidRDefault="00BD06C4" w:rsidP="00BD06C4">
            <w:pPr>
              <w:pStyle w:val="NoSpacing"/>
            </w:pPr>
            <w:r>
              <w:t>June 2024</w:t>
            </w:r>
          </w:p>
          <w:p w14:paraId="36A08924" w14:textId="3691EEA3" w:rsidR="00BD06C4" w:rsidRDefault="00BD06C4" w:rsidP="00BD06C4">
            <w:pPr>
              <w:pStyle w:val="NoSpacing"/>
            </w:pPr>
          </w:p>
        </w:tc>
        <w:tc>
          <w:tcPr>
            <w:tcW w:w="0" w:type="auto"/>
          </w:tcPr>
          <w:p w14:paraId="47B9F6A8" w14:textId="77777777" w:rsidR="00BD06C4" w:rsidRDefault="00BD06C4" w:rsidP="00BD06C4">
            <w:pPr>
              <w:pStyle w:val="NoSpacing"/>
            </w:pPr>
            <w:r>
              <w:lastRenderedPageBreak/>
              <w:t>UNSC 51 refinement</w:t>
            </w:r>
          </w:p>
          <w:p w14:paraId="443856EF" w14:textId="77777777" w:rsidR="00BD06C4" w:rsidRDefault="00BD06C4" w:rsidP="00BD06C4">
            <w:pPr>
              <w:pStyle w:val="NoSpacing"/>
            </w:pPr>
          </w:p>
          <w:p w14:paraId="406BE8BD" w14:textId="77777777" w:rsidR="00BD06C4" w:rsidRDefault="00BD06C4" w:rsidP="00BD06C4">
            <w:pPr>
              <w:pStyle w:val="NoSpacing"/>
            </w:pPr>
            <w:r>
              <w:t xml:space="preserve">Reviewed at Nov./Dec. 2019 WebEx </w:t>
            </w:r>
            <w:r>
              <w:lastRenderedPageBreak/>
              <w:t>meeting (classified as Tier II)</w:t>
            </w:r>
          </w:p>
        </w:tc>
      </w:tr>
      <w:tr w:rsidR="00BD06C4" w14:paraId="03EA7EEF" w14:textId="77777777" w:rsidTr="00586441">
        <w:tc>
          <w:tcPr>
            <w:tcW w:w="0" w:type="auto"/>
          </w:tcPr>
          <w:p w14:paraId="6C70263D" w14:textId="77777777" w:rsidR="00BD06C4" w:rsidRDefault="00BD06C4" w:rsidP="00BD06C4">
            <w:pPr>
              <w:ind w:left="970" w:hanging="970"/>
              <w:jc w:val="both"/>
              <w:rPr>
                <w:color w:val="0070C0"/>
                <w:sz w:val="30"/>
                <w:szCs w:val="30"/>
              </w:rPr>
            </w:pPr>
          </w:p>
        </w:tc>
        <w:tc>
          <w:tcPr>
            <w:tcW w:w="17879" w:type="dxa"/>
            <w:gridSpan w:val="12"/>
          </w:tcPr>
          <w:p w14:paraId="2577E720"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17.8 Fully operationalize the technology bank and science, technology and innovation capacity-building mechanism for least developed countries by 2017 and enhance the use of enabling technology, in particular information and communications technology</w:t>
            </w:r>
          </w:p>
        </w:tc>
      </w:tr>
      <w:tr w:rsidR="00BD06C4" w14:paraId="4BD1CD12" w14:textId="77777777" w:rsidTr="00586441">
        <w:tc>
          <w:tcPr>
            <w:tcW w:w="0" w:type="auto"/>
          </w:tcPr>
          <w:p w14:paraId="5614552A" w14:textId="77777777" w:rsidR="00BD06C4" w:rsidRPr="00BB536A" w:rsidRDefault="00BD06C4" w:rsidP="00BD06C4">
            <w:pPr>
              <w:pStyle w:val="NoSpacing"/>
            </w:pPr>
            <w:r w:rsidRPr="00BB536A">
              <w:t>17.8.1 Proportion of individuals using the Internet</w:t>
            </w:r>
          </w:p>
        </w:tc>
        <w:tc>
          <w:tcPr>
            <w:tcW w:w="0" w:type="auto"/>
          </w:tcPr>
          <w:p w14:paraId="65140AE4" w14:textId="77777777" w:rsidR="00BD06C4" w:rsidRDefault="00BD06C4" w:rsidP="00BD06C4">
            <w:pPr>
              <w:ind w:left="970" w:hanging="970"/>
              <w:jc w:val="both"/>
              <w:rPr>
                <w:color w:val="0070C0"/>
                <w:sz w:val="30"/>
                <w:szCs w:val="30"/>
              </w:rPr>
            </w:pPr>
          </w:p>
          <w:p w14:paraId="4CF2B67A" w14:textId="77777777" w:rsidR="00BD06C4" w:rsidRDefault="00BD06C4" w:rsidP="00BD06C4">
            <w:pPr>
              <w:pStyle w:val="NoSpacing"/>
            </w:pPr>
            <w:r w:rsidRPr="005867D7">
              <w:t>ITU</w:t>
            </w:r>
          </w:p>
        </w:tc>
        <w:tc>
          <w:tcPr>
            <w:tcW w:w="0" w:type="auto"/>
          </w:tcPr>
          <w:p w14:paraId="164F4482" w14:textId="77777777" w:rsidR="00BD06C4" w:rsidRDefault="00BD06C4" w:rsidP="00BD06C4">
            <w:pPr>
              <w:ind w:left="970" w:hanging="970"/>
              <w:jc w:val="both"/>
              <w:rPr>
                <w:color w:val="0070C0"/>
                <w:sz w:val="30"/>
                <w:szCs w:val="30"/>
              </w:rPr>
            </w:pPr>
            <w:r>
              <w:t>Tier I</w:t>
            </w:r>
          </w:p>
        </w:tc>
        <w:tc>
          <w:tcPr>
            <w:tcW w:w="0" w:type="auto"/>
          </w:tcPr>
          <w:p w14:paraId="7A03EF10" w14:textId="77777777" w:rsidR="00BD06C4" w:rsidRPr="00F25A71" w:rsidRDefault="00BD06C4" w:rsidP="00BD06C4">
            <w:pPr>
              <w:pStyle w:val="NoSpacing"/>
              <w:rPr>
                <w:lang w:val="en-GB"/>
              </w:rPr>
            </w:pPr>
            <w:r w:rsidRPr="00F25A71">
              <w:rPr>
                <w:b/>
                <w:bCs/>
                <w:lang w:val="en-GB"/>
              </w:rPr>
              <w:t>Definition:</w:t>
            </w:r>
          </w:p>
          <w:p w14:paraId="03F72FBA" w14:textId="77777777" w:rsidR="00BD06C4" w:rsidRPr="00F25A71" w:rsidRDefault="00BD06C4" w:rsidP="00BD06C4">
            <w:pPr>
              <w:pStyle w:val="NoSpacing"/>
              <w:rPr>
                <w:lang w:val="en-GB"/>
              </w:rPr>
            </w:pPr>
          </w:p>
          <w:p w14:paraId="3CEEB03D" w14:textId="77777777" w:rsidR="00BD06C4" w:rsidRPr="00F25A71" w:rsidRDefault="00BD06C4" w:rsidP="00BD06C4">
            <w:pPr>
              <w:pStyle w:val="NoSpacing"/>
              <w:rPr>
                <w:lang w:val="en-GB"/>
              </w:rPr>
            </w:pPr>
            <w:r w:rsidRPr="00F25A71">
              <w:rPr>
                <w:lang w:val="en-GB"/>
              </w:rPr>
              <w:t>The indicator proportion of individuals using the Internet is defined as the proportion of individuals who used the Internet from any location in the last three months.</w:t>
            </w:r>
          </w:p>
          <w:p w14:paraId="2BEBDA72" w14:textId="77777777" w:rsidR="00BD06C4" w:rsidRPr="00F25A71" w:rsidRDefault="00BD06C4" w:rsidP="00BD06C4">
            <w:pPr>
              <w:pStyle w:val="NoSpacing"/>
              <w:rPr>
                <w:lang w:val="en-GB"/>
              </w:rPr>
            </w:pPr>
          </w:p>
          <w:p w14:paraId="1228096E" w14:textId="77777777" w:rsidR="00BD06C4" w:rsidRPr="00F25A71" w:rsidRDefault="00BD06C4" w:rsidP="00BD06C4">
            <w:pPr>
              <w:pStyle w:val="NoSpacing"/>
              <w:rPr>
                <w:lang w:val="en-GB"/>
              </w:rPr>
            </w:pPr>
            <w:r w:rsidRPr="00F25A71">
              <w:rPr>
                <w:b/>
                <w:bCs/>
                <w:lang w:val="en-GB"/>
              </w:rPr>
              <w:t>Concepts:</w:t>
            </w:r>
          </w:p>
          <w:p w14:paraId="24FE756A" w14:textId="77777777" w:rsidR="00BD06C4" w:rsidRPr="00F25A71" w:rsidRDefault="00BD06C4" w:rsidP="00BD06C4">
            <w:pPr>
              <w:pStyle w:val="NoSpacing"/>
              <w:rPr>
                <w:lang w:val="en-GB"/>
              </w:rPr>
            </w:pPr>
          </w:p>
          <w:p w14:paraId="50EB1CAD" w14:textId="77777777" w:rsidR="00BD06C4" w:rsidRPr="00F25A71" w:rsidRDefault="00BD06C4" w:rsidP="00BD06C4">
            <w:pPr>
              <w:pStyle w:val="NoSpacing"/>
              <w:rPr>
                <w:lang w:val="en-GB"/>
              </w:rPr>
            </w:pPr>
            <w:r w:rsidRPr="00F25A71">
              <w:rPr>
                <w:lang w:val="en-GB"/>
              </w:rPr>
              <w:t>The Internet is a worldwide public computer network. It provides access to a number of communication services including the World Wide Web and carries e-mail, news, entertainment and data files, irrespective of the device used (not assumed to be only via a computer - it may also be by mobile telephone, tablet, PDA, games machine, digital TV etc.). Access can be via a fixed or mobile network.</w:t>
            </w:r>
          </w:p>
          <w:p w14:paraId="66B80963" w14:textId="77777777" w:rsidR="00BD06C4" w:rsidRPr="00F25A71" w:rsidRDefault="00BD06C4" w:rsidP="00BD06C4">
            <w:pPr>
              <w:pStyle w:val="NoSpacing"/>
              <w:rPr>
                <w:lang w:val="en-GB"/>
              </w:rPr>
            </w:pPr>
          </w:p>
          <w:p w14:paraId="3D4D146D" w14:textId="77777777" w:rsidR="00BD06C4" w:rsidRPr="00F25A71" w:rsidRDefault="00BD06C4" w:rsidP="00BD06C4">
            <w:pPr>
              <w:pStyle w:val="NoSpacing"/>
              <w:rPr>
                <w:lang w:val="en-GB"/>
              </w:rPr>
            </w:pPr>
            <w:r w:rsidRPr="00F25A71">
              <w:rPr>
                <w:b/>
                <w:bCs/>
                <w:lang w:val="en-GB"/>
              </w:rPr>
              <w:t>Comments and limitations:</w:t>
            </w:r>
          </w:p>
          <w:p w14:paraId="51155DEE" w14:textId="77777777" w:rsidR="00BD06C4" w:rsidRPr="00F25A71" w:rsidRDefault="00BD06C4" w:rsidP="00BD06C4">
            <w:pPr>
              <w:pStyle w:val="NoSpacing"/>
              <w:rPr>
                <w:lang w:val="en-GB"/>
              </w:rPr>
            </w:pPr>
          </w:p>
          <w:p w14:paraId="3BC1667A" w14:textId="77777777" w:rsidR="00BD06C4" w:rsidRPr="00F25A71" w:rsidRDefault="00BD06C4" w:rsidP="00BD06C4">
            <w:pPr>
              <w:pStyle w:val="NoSpacing"/>
              <w:rPr>
                <w:lang w:val="en-GB"/>
              </w:rPr>
            </w:pPr>
            <w:r w:rsidRPr="00F25A71">
              <w:rPr>
                <w:lang w:val="en-GB"/>
              </w:rPr>
              <w:t>While the data on the percentage of individuals using the Internet are very reliable for countries that have collected the data through official household surveys, they are less reliable in cases where the number of Internet users is estimated by ITU. ITU is encouraging all countries to collect data on this indicator through official surveys and the number of countries with official data for this indicator is increasing.</w:t>
            </w:r>
          </w:p>
          <w:p w14:paraId="05852932" w14:textId="77777777" w:rsidR="00BD06C4" w:rsidRPr="00F25A71" w:rsidRDefault="00BD06C4" w:rsidP="00BD06C4">
            <w:pPr>
              <w:pStyle w:val="NoSpacing"/>
              <w:rPr>
                <w:b/>
                <w:bCs/>
                <w:lang w:val="en-GB"/>
              </w:rPr>
            </w:pPr>
          </w:p>
          <w:p w14:paraId="608A1298" w14:textId="77777777" w:rsidR="00BD06C4" w:rsidRPr="00F25A71" w:rsidRDefault="00BD06C4" w:rsidP="00BD06C4">
            <w:pPr>
              <w:pStyle w:val="NoSpacing"/>
              <w:rPr>
                <w:lang w:val="en-GB"/>
              </w:rPr>
            </w:pPr>
            <w:r w:rsidRPr="00F25A71">
              <w:rPr>
                <w:b/>
                <w:bCs/>
                <w:lang w:val="en-GB"/>
              </w:rPr>
              <w:t>Computation Method:</w:t>
            </w:r>
          </w:p>
          <w:p w14:paraId="2BF82A3C" w14:textId="77777777" w:rsidR="00BD06C4" w:rsidRPr="00F25A71" w:rsidRDefault="00BD06C4" w:rsidP="00BD06C4">
            <w:pPr>
              <w:pStyle w:val="NoSpacing"/>
              <w:rPr>
                <w:lang w:val="en-GB"/>
              </w:rPr>
            </w:pPr>
          </w:p>
          <w:p w14:paraId="6A79118B" w14:textId="77777777" w:rsidR="00BD06C4" w:rsidRPr="00F25A71" w:rsidRDefault="00BD06C4" w:rsidP="00BD06C4">
            <w:pPr>
              <w:pStyle w:val="NoSpacing"/>
              <w:rPr>
                <w:lang w:val="en-GB"/>
              </w:rPr>
            </w:pPr>
            <w:r w:rsidRPr="00F25A71">
              <w:rPr>
                <w:lang w:val="en-GB"/>
              </w:rPr>
              <w:t>For countries that collect data on this indicator through an official survey, this indicator is calculated by dividing the total number of in-scope individuals using the Internet (from any location) in the last 3 months by the total number of in-scope individuals. For countries that have not carried out a survey, data are estimated (by ITU) based on the number of Internet subscriptions and other socioeconomic indicators (GNI per capita) and on the time series data.</w:t>
            </w:r>
          </w:p>
          <w:p w14:paraId="41A2E1DB" w14:textId="77777777" w:rsidR="00BD06C4" w:rsidRDefault="00BD06C4" w:rsidP="00BD06C4">
            <w:pPr>
              <w:pStyle w:val="NoSpacing"/>
            </w:pPr>
          </w:p>
        </w:tc>
        <w:tc>
          <w:tcPr>
            <w:tcW w:w="2835" w:type="dxa"/>
          </w:tcPr>
          <w:p w14:paraId="20BF58AA" w14:textId="77777777" w:rsidR="00BD06C4" w:rsidRPr="00873FDE" w:rsidRDefault="00BD06C4" w:rsidP="00BD06C4">
            <w:pPr>
              <w:rPr>
                <w:szCs w:val="22"/>
              </w:rPr>
            </w:pPr>
            <w:r w:rsidRPr="00873FDE">
              <w:rPr>
                <w:szCs w:val="22"/>
              </w:rPr>
              <w:t>Data on individuals using the Internet are collected through an annual questionnaire that ITU sends to national statistical offices (NSO). In this questionnaire ITU collects absolute values. The percentages are calculated a-posteriori. The survey methodology is verified to ensure that it meets adequate statistical standards. The data are verified to ensure consistency with previous years’ data and situation of the country for other related indicators (ICT and economic).</w:t>
            </w:r>
          </w:p>
        </w:tc>
        <w:tc>
          <w:tcPr>
            <w:tcW w:w="1167" w:type="dxa"/>
          </w:tcPr>
          <w:p w14:paraId="67B93DE2" w14:textId="77777777" w:rsidR="00BD06C4" w:rsidRPr="00873FDE" w:rsidRDefault="00BD06C4" w:rsidP="00BD06C4">
            <w:pPr>
              <w:rPr>
                <w:szCs w:val="22"/>
              </w:rPr>
            </w:pPr>
            <w:r w:rsidRPr="00873FDE">
              <w:rPr>
                <w:szCs w:val="22"/>
              </w:rPr>
              <w:t>National Statistical Office (NSO).</w:t>
            </w:r>
          </w:p>
        </w:tc>
        <w:tc>
          <w:tcPr>
            <w:tcW w:w="0" w:type="auto"/>
          </w:tcPr>
          <w:p w14:paraId="3F68E87C" w14:textId="1E38FB0F" w:rsidR="00BD06C4" w:rsidRDefault="00BD06C4" w:rsidP="00BD06C4">
            <w:pPr>
              <w:pStyle w:val="NoSpacing"/>
            </w:pPr>
          </w:p>
        </w:tc>
        <w:tc>
          <w:tcPr>
            <w:tcW w:w="0" w:type="auto"/>
          </w:tcPr>
          <w:p w14:paraId="36ABA115" w14:textId="77777777" w:rsidR="00BD06C4" w:rsidRDefault="00BD06C4" w:rsidP="00BD06C4">
            <w:pPr>
              <w:pStyle w:val="NoSpacing"/>
            </w:pPr>
            <w:r>
              <w:t>BBS</w:t>
            </w:r>
          </w:p>
          <w:p w14:paraId="714F79C5" w14:textId="77777777" w:rsidR="00BD06C4" w:rsidRDefault="00BD06C4" w:rsidP="00BD06C4">
            <w:pPr>
              <w:pStyle w:val="NoSpacing"/>
            </w:pPr>
          </w:p>
          <w:p w14:paraId="10FF5DED" w14:textId="77777777" w:rsidR="00BD06C4" w:rsidRDefault="00BD06C4" w:rsidP="00BD06C4">
            <w:pPr>
              <w:pStyle w:val="NoSpacing"/>
              <w:rPr>
                <w:color w:val="0070C0"/>
                <w:sz w:val="30"/>
                <w:szCs w:val="30"/>
              </w:rPr>
            </w:pPr>
            <w:r>
              <w:t>SVRS/MICS (female partial)/LFS/CPHS/ICTUS</w:t>
            </w:r>
            <w:r>
              <w:rPr>
                <w:szCs w:val="20"/>
              </w:rPr>
              <w:t>/PHC/HIES</w:t>
            </w:r>
          </w:p>
        </w:tc>
        <w:tc>
          <w:tcPr>
            <w:tcW w:w="0" w:type="auto"/>
          </w:tcPr>
          <w:p w14:paraId="2FC2FB2E"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Division: Dhaka, Chattogram, Rajshahi, Khulna, Barishal, Sylhet, Rangpur, Mymensingh</w:t>
            </w:r>
          </w:p>
          <w:p w14:paraId="662AE262"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 location urban, rural</w:t>
            </w:r>
          </w:p>
          <w:p w14:paraId="163BBF2B"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0D2187E0"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w:t>
            </w:r>
          </w:p>
          <w:p w14:paraId="5A665924"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labour force status</w:t>
            </w:r>
          </w:p>
          <w:p w14:paraId="23769FD5"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educational level</w:t>
            </w:r>
          </w:p>
          <w:p w14:paraId="18DE7B7C"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occupation</w:t>
            </w:r>
          </w:p>
          <w:p w14:paraId="2A33F401" w14:textId="77777777" w:rsidR="00BD06C4" w:rsidRDefault="00BD06C4" w:rsidP="00BD06C4">
            <w:pPr>
              <w:ind w:left="970" w:hanging="970"/>
              <w:jc w:val="both"/>
              <w:rPr>
                <w:color w:val="0070C0"/>
                <w:sz w:val="30"/>
                <w:szCs w:val="30"/>
              </w:rPr>
            </w:pPr>
          </w:p>
        </w:tc>
        <w:tc>
          <w:tcPr>
            <w:tcW w:w="1078" w:type="dxa"/>
          </w:tcPr>
          <w:p w14:paraId="2624876F" w14:textId="77777777" w:rsidR="00BD06C4" w:rsidRDefault="00BD06C4" w:rsidP="00BD06C4">
            <w:pPr>
              <w:ind w:left="970" w:hanging="970"/>
              <w:jc w:val="both"/>
              <w:rPr>
                <w:color w:val="0070C0"/>
                <w:sz w:val="30"/>
                <w:szCs w:val="30"/>
              </w:rPr>
            </w:pPr>
            <w:r w:rsidRPr="00C37F69">
              <w:rPr>
                <w:szCs w:val="20"/>
              </w:rPr>
              <w:t>Annual</w:t>
            </w:r>
          </w:p>
        </w:tc>
        <w:tc>
          <w:tcPr>
            <w:tcW w:w="872" w:type="dxa"/>
          </w:tcPr>
          <w:p w14:paraId="626C6239" w14:textId="77777777" w:rsidR="00BD06C4" w:rsidRDefault="00BD06C4" w:rsidP="00BD06C4">
            <w:pPr>
              <w:ind w:left="970" w:hanging="970"/>
              <w:jc w:val="both"/>
              <w:rPr>
                <w:color w:val="0070C0"/>
                <w:sz w:val="30"/>
                <w:szCs w:val="30"/>
              </w:rPr>
            </w:pPr>
            <w:r>
              <w:t>Group 2</w:t>
            </w:r>
          </w:p>
        </w:tc>
        <w:tc>
          <w:tcPr>
            <w:tcW w:w="619" w:type="dxa"/>
          </w:tcPr>
          <w:p w14:paraId="6442DD2D" w14:textId="77777777" w:rsidR="00BD06C4" w:rsidRDefault="00BD06C4" w:rsidP="00BD06C4">
            <w:pPr>
              <w:pStyle w:val="NoSpacing"/>
            </w:pPr>
            <w:r>
              <w:t>1</w:t>
            </w:r>
            <w:r w:rsidRPr="00013ACB">
              <w:rPr>
                <w:vertAlign w:val="superscript"/>
              </w:rPr>
              <w:t>st</w:t>
            </w:r>
            <w:r>
              <w:t xml:space="preserve"> Round:</w:t>
            </w:r>
          </w:p>
          <w:p w14:paraId="742BF065" w14:textId="77777777" w:rsidR="00BD06C4" w:rsidRDefault="00BD06C4" w:rsidP="00BD06C4">
            <w:pPr>
              <w:pStyle w:val="NoSpacing"/>
            </w:pPr>
            <w:r>
              <w:t xml:space="preserve">December </w:t>
            </w:r>
          </w:p>
          <w:p w14:paraId="54B245DB" w14:textId="77777777" w:rsidR="00BD06C4" w:rsidRDefault="00BD06C4" w:rsidP="00BD06C4">
            <w:pPr>
              <w:pStyle w:val="NoSpacing"/>
            </w:pPr>
            <w:r>
              <w:t>2020</w:t>
            </w:r>
          </w:p>
          <w:p w14:paraId="562EC371" w14:textId="77777777" w:rsidR="00BD06C4" w:rsidRDefault="00BD06C4" w:rsidP="00BD06C4">
            <w:pPr>
              <w:pStyle w:val="NoSpacing"/>
            </w:pPr>
          </w:p>
          <w:p w14:paraId="5B0C9A92" w14:textId="77777777" w:rsidR="00BD06C4" w:rsidRDefault="00BD06C4" w:rsidP="00BD06C4">
            <w:pPr>
              <w:pStyle w:val="NoSpacing"/>
            </w:pPr>
            <w:r>
              <w:t>2</w:t>
            </w:r>
            <w:r w:rsidRPr="00013ACB">
              <w:rPr>
                <w:vertAlign w:val="superscript"/>
              </w:rPr>
              <w:t>nd</w:t>
            </w:r>
            <w:r>
              <w:t xml:space="preserve"> Round:</w:t>
            </w:r>
          </w:p>
          <w:p w14:paraId="0D92A8AF" w14:textId="77777777" w:rsidR="00BD06C4" w:rsidRDefault="00BD06C4" w:rsidP="00BD06C4">
            <w:pPr>
              <w:pStyle w:val="NoSpacing"/>
            </w:pPr>
            <w:r>
              <w:t xml:space="preserve"> December </w:t>
            </w:r>
          </w:p>
          <w:p w14:paraId="4E5E0CA7" w14:textId="77777777" w:rsidR="00BD06C4" w:rsidRDefault="00BD06C4" w:rsidP="00BD06C4">
            <w:pPr>
              <w:pStyle w:val="NoSpacing"/>
            </w:pPr>
            <w:r>
              <w:t>2021</w:t>
            </w:r>
          </w:p>
          <w:p w14:paraId="09183CA9" w14:textId="77777777" w:rsidR="00BD06C4" w:rsidRDefault="00BD06C4" w:rsidP="00BD06C4">
            <w:pPr>
              <w:pStyle w:val="NoSpacing"/>
            </w:pPr>
          </w:p>
          <w:p w14:paraId="01DBD8A5" w14:textId="77777777" w:rsidR="00BD06C4" w:rsidRDefault="00BD06C4" w:rsidP="00BD06C4">
            <w:pPr>
              <w:pStyle w:val="NoSpacing"/>
            </w:pPr>
            <w:r>
              <w:t>3</w:t>
            </w:r>
            <w:r w:rsidRPr="00013ACB">
              <w:rPr>
                <w:vertAlign w:val="superscript"/>
              </w:rPr>
              <w:t>rd</w:t>
            </w:r>
            <w:r>
              <w:t xml:space="preserve"> Round: </w:t>
            </w:r>
          </w:p>
          <w:p w14:paraId="6A12DCB9" w14:textId="77777777" w:rsidR="00BD06C4" w:rsidRDefault="00BD06C4" w:rsidP="00BD06C4">
            <w:pPr>
              <w:pStyle w:val="NoSpacing"/>
            </w:pPr>
            <w:r>
              <w:t xml:space="preserve">December </w:t>
            </w:r>
          </w:p>
          <w:p w14:paraId="70AA9A8B" w14:textId="77777777" w:rsidR="00BD06C4" w:rsidRDefault="00BD06C4" w:rsidP="00BD06C4">
            <w:pPr>
              <w:pStyle w:val="NoSpacing"/>
            </w:pPr>
            <w:r>
              <w:t>2022</w:t>
            </w:r>
          </w:p>
          <w:p w14:paraId="5BF7C892" w14:textId="77777777" w:rsidR="00BD06C4" w:rsidRDefault="00BD06C4" w:rsidP="00BD06C4">
            <w:pPr>
              <w:pStyle w:val="NoSpacing"/>
            </w:pPr>
          </w:p>
          <w:p w14:paraId="4BD66F77" w14:textId="77777777" w:rsidR="00BD06C4" w:rsidRDefault="00BD06C4" w:rsidP="00BD06C4">
            <w:pPr>
              <w:pStyle w:val="NoSpacing"/>
            </w:pPr>
            <w:r>
              <w:t>4</w:t>
            </w:r>
            <w:r w:rsidRPr="00013ACB">
              <w:rPr>
                <w:vertAlign w:val="superscript"/>
              </w:rPr>
              <w:t>th</w:t>
            </w:r>
            <w:r>
              <w:t xml:space="preserve"> Round: </w:t>
            </w:r>
          </w:p>
          <w:p w14:paraId="7C7F0DAE" w14:textId="77777777" w:rsidR="00BD06C4" w:rsidRDefault="00BD06C4" w:rsidP="00BD06C4">
            <w:pPr>
              <w:pStyle w:val="NoSpacing"/>
            </w:pPr>
            <w:r>
              <w:t xml:space="preserve">December </w:t>
            </w:r>
          </w:p>
          <w:p w14:paraId="313CCA2B" w14:textId="77777777" w:rsidR="00BD06C4" w:rsidRDefault="00BD06C4" w:rsidP="00BD06C4">
            <w:pPr>
              <w:pStyle w:val="NoSpacing"/>
            </w:pPr>
            <w:r>
              <w:t>2023</w:t>
            </w:r>
          </w:p>
          <w:p w14:paraId="04249423" w14:textId="77777777" w:rsidR="00BD06C4" w:rsidRDefault="00BD06C4" w:rsidP="00BD06C4">
            <w:pPr>
              <w:pStyle w:val="NoSpacing"/>
            </w:pPr>
          </w:p>
          <w:p w14:paraId="0A53C541" w14:textId="77777777" w:rsidR="00BD06C4" w:rsidRDefault="00BD06C4" w:rsidP="00BD06C4">
            <w:pPr>
              <w:pStyle w:val="NoSpacing"/>
            </w:pPr>
            <w:r>
              <w:t>5</w:t>
            </w:r>
            <w:r w:rsidRPr="00013ACB">
              <w:rPr>
                <w:vertAlign w:val="superscript"/>
              </w:rPr>
              <w:t>th</w:t>
            </w:r>
            <w:r>
              <w:t xml:space="preserve"> Round: </w:t>
            </w:r>
          </w:p>
          <w:p w14:paraId="4AC30D7A" w14:textId="77777777" w:rsidR="00BD06C4" w:rsidRDefault="00BD06C4" w:rsidP="00BD06C4">
            <w:pPr>
              <w:pStyle w:val="NoSpacing"/>
            </w:pPr>
            <w:r>
              <w:t xml:space="preserve">December </w:t>
            </w:r>
          </w:p>
          <w:p w14:paraId="37E8EA5F" w14:textId="77777777" w:rsidR="00BD06C4" w:rsidRDefault="00BD06C4" w:rsidP="00BD06C4">
            <w:pPr>
              <w:pStyle w:val="NoSpacing"/>
            </w:pPr>
            <w:r>
              <w:t>2024</w:t>
            </w:r>
          </w:p>
          <w:p w14:paraId="0990C2C2" w14:textId="3A4E1EFC" w:rsidR="00BD06C4" w:rsidRPr="00AA35EE" w:rsidRDefault="00BD06C4" w:rsidP="00BD06C4">
            <w:pPr>
              <w:pStyle w:val="NoSpacing"/>
            </w:pPr>
          </w:p>
        </w:tc>
        <w:tc>
          <w:tcPr>
            <w:tcW w:w="0" w:type="auto"/>
          </w:tcPr>
          <w:p w14:paraId="118C3B76" w14:textId="77777777" w:rsidR="00BD06C4" w:rsidRDefault="00BD06C4" w:rsidP="00BD06C4">
            <w:pPr>
              <w:ind w:left="970" w:hanging="970"/>
              <w:jc w:val="both"/>
              <w:rPr>
                <w:color w:val="0070C0"/>
                <w:sz w:val="30"/>
                <w:szCs w:val="30"/>
              </w:rPr>
            </w:pPr>
          </w:p>
        </w:tc>
      </w:tr>
      <w:tr w:rsidR="00BD06C4" w14:paraId="2C5D36C3" w14:textId="77777777" w:rsidTr="00586441">
        <w:tc>
          <w:tcPr>
            <w:tcW w:w="0" w:type="auto"/>
          </w:tcPr>
          <w:p w14:paraId="4AB51603" w14:textId="77777777" w:rsidR="00BD06C4" w:rsidRDefault="00BD06C4" w:rsidP="00BD06C4">
            <w:pPr>
              <w:ind w:left="970" w:hanging="970"/>
              <w:jc w:val="both"/>
              <w:rPr>
                <w:color w:val="0070C0"/>
                <w:sz w:val="30"/>
                <w:szCs w:val="30"/>
              </w:rPr>
            </w:pPr>
          </w:p>
        </w:tc>
        <w:tc>
          <w:tcPr>
            <w:tcW w:w="17879" w:type="dxa"/>
            <w:gridSpan w:val="12"/>
          </w:tcPr>
          <w:p w14:paraId="201A4F34"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 xml:space="preserve">17.9 Enhance international support for implementing effective and targeted capacity-building in developing countries to support national plans to implement all the Sustainable Development </w:t>
            </w:r>
            <w:r w:rsidRPr="00306900">
              <w:rPr>
                <w:color w:val="0070C0"/>
                <w:sz w:val="30"/>
                <w:szCs w:val="30"/>
              </w:rPr>
              <w:lastRenderedPageBreak/>
              <w:t>Goals, including through North-South, South-South and triangular cooperation</w:t>
            </w:r>
          </w:p>
        </w:tc>
      </w:tr>
      <w:tr w:rsidR="00BD06C4" w14:paraId="03D73439" w14:textId="77777777" w:rsidTr="00586441">
        <w:tc>
          <w:tcPr>
            <w:tcW w:w="0" w:type="auto"/>
          </w:tcPr>
          <w:p w14:paraId="0F0AAB83" w14:textId="77777777" w:rsidR="00BD06C4" w:rsidRPr="00BB536A" w:rsidRDefault="00BD06C4" w:rsidP="00BD06C4">
            <w:pPr>
              <w:pStyle w:val="NoSpacing"/>
            </w:pPr>
            <w:r w:rsidRPr="00BB536A">
              <w:lastRenderedPageBreak/>
              <w:t>17.9.1 Dollar value of financial and technical assistance (including through North-South, South</w:t>
            </w:r>
            <w:r w:rsidRPr="00BB536A">
              <w:rPr>
                <w:rFonts w:ascii="Cambria Math" w:hAnsi="Cambria Math" w:cs="Cambria Math"/>
              </w:rPr>
              <w:t>‑</w:t>
            </w:r>
            <w:r w:rsidRPr="00BB536A">
              <w:t>South and triangular cooperation) committed to developing countries</w:t>
            </w:r>
          </w:p>
        </w:tc>
        <w:tc>
          <w:tcPr>
            <w:tcW w:w="0" w:type="auto"/>
          </w:tcPr>
          <w:p w14:paraId="27627DCF" w14:textId="77777777" w:rsidR="00BD06C4" w:rsidRDefault="00BD06C4" w:rsidP="00BD06C4">
            <w:pPr>
              <w:ind w:left="970" w:hanging="970"/>
              <w:jc w:val="both"/>
              <w:rPr>
                <w:color w:val="0070C0"/>
                <w:sz w:val="30"/>
                <w:szCs w:val="30"/>
              </w:rPr>
            </w:pPr>
          </w:p>
          <w:p w14:paraId="0881310A" w14:textId="77777777" w:rsidR="00BD06C4" w:rsidRDefault="00BD06C4" w:rsidP="00BD06C4">
            <w:pPr>
              <w:pStyle w:val="NoSpacing"/>
            </w:pPr>
            <w:r w:rsidRPr="005867D7">
              <w:t>OECD</w:t>
            </w:r>
          </w:p>
        </w:tc>
        <w:tc>
          <w:tcPr>
            <w:tcW w:w="0" w:type="auto"/>
          </w:tcPr>
          <w:p w14:paraId="5F430102" w14:textId="77777777" w:rsidR="00BD06C4" w:rsidRDefault="00BD06C4" w:rsidP="00BD06C4">
            <w:pPr>
              <w:ind w:left="970" w:hanging="970"/>
              <w:jc w:val="both"/>
              <w:rPr>
                <w:color w:val="0070C0"/>
                <w:sz w:val="30"/>
                <w:szCs w:val="30"/>
              </w:rPr>
            </w:pPr>
            <w:r>
              <w:t>Tier I</w:t>
            </w:r>
          </w:p>
        </w:tc>
        <w:tc>
          <w:tcPr>
            <w:tcW w:w="0" w:type="auto"/>
          </w:tcPr>
          <w:p w14:paraId="288A824B" w14:textId="77777777" w:rsidR="00BD06C4" w:rsidRPr="00F25A71" w:rsidRDefault="00BD06C4" w:rsidP="00BD06C4">
            <w:pPr>
              <w:pStyle w:val="NoSpacing"/>
              <w:rPr>
                <w:lang w:val="en-GB"/>
              </w:rPr>
            </w:pPr>
            <w:r w:rsidRPr="00F25A71">
              <w:rPr>
                <w:b/>
                <w:bCs/>
                <w:lang w:val="en-GB"/>
              </w:rPr>
              <w:t>Definition:</w:t>
            </w:r>
          </w:p>
          <w:p w14:paraId="64B5458B" w14:textId="77777777" w:rsidR="00BD06C4" w:rsidRPr="00F25A71" w:rsidRDefault="00BD06C4" w:rsidP="00BD06C4">
            <w:pPr>
              <w:pStyle w:val="NoSpacing"/>
              <w:rPr>
                <w:lang w:val="en-GB"/>
              </w:rPr>
            </w:pPr>
          </w:p>
          <w:p w14:paraId="1939DE95" w14:textId="77777777" w:rsidR="00BD06C4" w:rsidRPr="00F25A71" w:rsidRDefault="00BD06C4" w:rsidP="00BD06C4">
            <w:pPr>
              <w:pStyle w:val="NoSpacing"/>
              <w:rPr>
                <w:lang w:val="en-GB"/>
              </w:rPr>
            </w:pPr>
            <w:r w:rsidRPr="00F25A71">
              <w:rPr>
                <w:lang w:val="en-GB"/>
              </w:rPr>
              <w:t>Gross disbursements of total ODA and other official flows from all donors for capacity building and national planning.</w:t>
            </w:r>
          </w:p>
          <w:p w14:paraId="5C1CC1FC" w14:textId="77777777" w:rsidR="00BD06C4" w:rsidRDefault="00BD06C4" w:rsidP="00BD06C4">
            <w:pPr>
              <w:pStyle w:val="NoSpacing"/>
              <w:rPr>
                <w:lang w:val="en-GB"/>
              </w:rPr>
            </w:pPr>
          </w:p>
          <w:p w14:paraId="564AC1CE" w14:textId="77777777" w:rsidR="00BD06C4" w:rsidRDefault="00BD06C4" w:rsidP="00BD06C4">
            <w:pPr>
              <w:pStyle w:val="NoSpacing"/>
              <w:rPr>
                <w:lang w:val="en-GB"/>
              </w:rPr>
            </w:pPr>
          </w:p>
          <w:p w14:paraId="0CF9CCD6" w14:textId="77777777" w:rsidR="00BD06C4" w:rsidRPr="00F25A71" w:rsidRDefault="00BD06C4" w:rsidP="00BD06C4">
            <w:pPr>
              <w:pStyle w:val="NoSpacing"/>
              <w:rPr>
                <w:lang w:val="en-GB"/>
              </w:rPr>
            </w:pPr>
          </w:p>
          <w:p w14:paraId="6633EEC7" w14:textId="77777777" w:rsidR="00BD06C4" w:rsidRPr="00F25A71" w:rsidRDefault="00BD06C4" w:rsidP="00BD06C4">
            <w:pPr>
              <w:pStyle w:val="NoSpacing"/>
              <w:rPr>
                <w:lang w:val="en-GB"/>
              </w:rPr>
            </w:pPr>
            <w:r w:rsidRPr="00F25A71">
              <w:rPr>
                <w:b/>
                <w:bCs/>
                <w:lang w:val="en-GB"/>
              </w:rPr>
              <w:t>Concepts:</w:t>
            </w:r>
          </w:p>
          <w:p w14:paraId="715C3B9B" w14:textId="77777777" w:rsidR="00BD06C4" w:rsidRPr="00F25A71" w:rsidRDefault="00BD06C4" w:rsidP="00BD06C4">
            <w:pPr>
              <w:pStyle w:val="NoSpacing"/>
              <w:rPr>
                <w:lang w:val="en-GB"/>
              </w:rPr>
            </w:pPr>
          </w:p>
          <w:p w14:paraId="7A67980D" w14:textId="77777777" w:rsidR="00BD06C4" w:rsidRPr="00F25A71" w:rsidRDefault="00BD06C4" w:rsidP="00BD06C4">
            <w:pPr>
              <w:pStyle w:val="NoSpacing"/>
              <w:rPr>
                <w:lang w:val="en-GB"/>
              </w:rPr>
            </w:pPr>
            <w:r w:rsidRPr="00F25A71">
              <w:rPr>
                <w:lang w:val="en-GB"/>
              </w:rPr>
              <w:t xml:space="preserve">ODA: The DAC defines ODA as “those flows to countries and territories on the DAC List of ODA Recipients and to multilateral institutions which are </w:t>
            </w:r>
          </w:p>
          <w:p w14:paraId="7341168B" w14:textId="77777777" w:rsidR="00BD06C4" w:rsidRPr="00F25A71" w:rsidRDefault="00BD06C4" w:rsidP="00BD06C4">
            <w:pPr>
              <w:pStyle w:val="NoSpacing"/>
              <w:numPr>
                <w:ilvl w:val="0"/>
                <w:numId w:val="128"/>
              </w:numPr>
              <w:rPr>
                <w:lang w:val="en-GB"/>
              </w:rPr>
            </w:pPr>
            <w:r w:rsidRPr="00F25A71">
              <w:rPr>
                <w:lang w:val="en-GB"/>
              </w:rPr>
              <w:t xml:space="preserve">provided by official agencies, including state and local governments, or by their executive agencies; and </w:t>
            </w:r>
          </w:p>
          <w:p w14:paraId="230ABB06" w14:textId="77777777" w:rsidR="00BD06C4" w:rsidRPr="00F25A71" w:rsidRDefault="00BD06C4" w:rsidP="00BD06C4">
            <w:pPr>
              <w:pStyle w:val="NoSpacing"/>
              <w:numPr>
                <w:ilvl w:val="0"/>
                <w:numId w:val="128"/>
              </w:numPr>
              <w:rPr>
                <w:lang w:val="en-GB"/>
              </w:rPr>
            </w:pPr>
            <w:r w:rsidRPr="00F25A71">
              <w:rPr>
                <w:lang w:val="en-GB"/>
              </w:rPr>
              <w:t>each transaction   is administered with the promotion of the economic development and welfare of developing countries as its main objective; and</w:t>
            </w:r>
          </w:p>
          <w:p w14:paraId="6DB597A3" w14:textId="77777777" w:rsidR="00BD06C4" w:rsidRPr="00F25A71" w:rsidRDefault="00BD06C4" w:rsidP="00BD06C4">
            <w:pPr>
              <w:pStyle w:val="NoSpacing"/>
              <w:rPr>
                <w:lang w:val="en-GB"/>
              </w:rPr>
            </w:pPr>
            <w:proofErr w:type="gramStart"/>
            <w:r w:rsidRPr="00F25A71">
              <w:rPr>
                <w:lang w:val="en-GB"/>
              </w:rPr>
              <w:t>is</w:t>
            </w:r>
            <w:proofErr w:type="gramEnd"/>
            <w:r w:rsidRPr="00F25A71">
              <w:rPr>
                <w:lang w:val="en-GB"/>
              </w:rPr>
              <w:t xml:space="preserve"> concessional in character and conveys a grant element of at least 25 per cent (calculated at a rate of discount of 10 per cent). </w:t>
            </w:r>
          </w:p>
          <w:p w14:paraId="6A874CD6" w14:textId="77777777" w:rsidR="00BD06C4" w:rsidRPr="00F25A71" w:rsidRDefault="00BD06C4" w:rsidP="00BD06C4">
            <w:pPr>
              <w:pStyle w:val="NoSpacing"/>
              <w:rPr>
                <w:lang w:val="en-GB"/>
              </w:rPr>
            </w:pPr>
            <w:r w:rsidRPr="00F25A71">
              <w:rPr>
                <w:lang w:val="en-GB"/>
              </w:rPr>
              <w:t xml:space="preserve">(See </w:t>
            </w:r>
            <w:hyperlink r:id="rId144" w:history="1">
              <w:r w:rsidRPr="00F25A71">
                <w:rPr>
                  <w:rStyle w:val="Hyperlink"/>
                  <w:lang w:val="en-GB"/>
                </w:rPr>
                <w:t>http://www.oecd.org/dac/stats/officialdevelopmentassistancedefinitionandcoverage.htm</w:t>
              </w:r>
            </w:hyperlink>
            <w:r w:rsidRPr="00F25A71">
              <w:rPr>
                <w:lang w:val="en-GB"/>
              </w:rPr>
              <w:t>)</w:t>
            </w:r>
          </w:p>
          <w:p w14:paraId="639B9B10" w14:textId="77777777" w:rsidR="00BD06C4" w:rsidRPr="00F25A71" w:rsidRDefault="00BD06C4" w:rsidP="00BD06C4">
            <w:pPr>
              <w:pStyle w:val="NoSpacing"/>
              <w:rPr>
                <w:lang w:val="en-GB"/>
              </w:rPr>
            </w:pPr>
          </w:p>
          <w:p w14:paraId="63988F2D" w14:textId="77777777" w:rsidR="00BD06C4" w:rsidRPr="00F25A71" w:rsidRDefault="00BD06C4" w:rsidP="00BD06C4">
            <w:pPr>
              <w:pStyle w:val="NoSpacing"/>
              <w:rPr>
                <w:lang w:val="en-GB"/>
              </w:rPr>
            </w:pPr>
            <w:r w:rsidRPr="00F25A71">
              <w:rPr>
                <w:lang w:val="en-GB"/>
              </w:rPr>
              <w:t>Other official flows (OOF): Other official flows (excluding officially supported export credits) are defined as transactions by the official sector which do not meet the conditions for eligibility as ODA, either because they are not primarily aimed at development, or because they are not sufficiently concessional.</w:t>
            </w:r>
          </w:p>
          <w:p w14:paraId="6EB98D6F" w14:textId="77777777" w:rsidR="00BD06C4" w:rsidRPr="00F25A71" w:rsidRDefault="00BD06C4" w:rsidP="00BD06C4">
            <w:pPr>
              <w:pStyle w:val="NoSpacing"/>
              <w:rPr>
                <w:lang w:val="en-GB"/>
              </w:rPr>
            </w:pPr>
            <w:r w:rsidRPr="00F25A71">
              <w:rPr>
                <w:lang w:val="en-GB"/>
              </w:rPr>
              <w:t xml:space="preserve">(See </w:t>
            </w:r>
            <w:hyperlink r:id="rId145" w:history="1">
              <w:r w:rsidRPr="00F25A71">
                <w:rPr>
                  <w:rStyle w:val="Hyperlink"/>
                  <w:lang w:val="en-GB"/>
                </w:rPr>
                <w:t>http://www.oecd.org/dac/stats/documentupload/DCDDAC(2016)3FINAL.pdf</w:t>
              </w:r>
            </w:hyperlink>
            <w:proofErr w:type="gramStart"/>
            <w:r w:rsidRPr="00F25A71">
              <w:rPr>
                <w:lang w:val="en-GB"/>
              </w:rPr>
              <w:t>,  Para</w:t>
            </w:r>
            <w:proofErr w:type="gramEnd"/>
            <w:r w:rsidRPr="00F25A71">
              <w:rPr>
                <w:lang w:val="en-GB"/>
              </w:rPr>
              <w:t xml:space="preserve"> 24).</w:t>
            </w:r>
          </w:p>
          <w:p w14:paraId="5F73BE3A" w14:textId="77777777" w:rsidR="00BD06C4" w:rsidRPr="00F25A71" w:rsidRDefault="00BD06C4" w:rsidP="00BD06C4">
            <w:pPr>
              <w:pStyle w:val="NoSpacing"/>
              <w:rPr>
                <w:lang w:val="en-GB"/>
              </w:rPr>
            </w:pPr>
            <w:r w:rsidRPr="00F25A71">
              <w:rPr>
                <w:lang w:val="en-GB"/>
              </w:rPr>
              <w:t xml:space="preserve"> </w:t>
            </w:r>
          </w:p>
          <w:p w14:paraId="7655AE47" w14:textId="77777777" w:rsidR="00BD06C4" w:rsidRPr="00F25A71" w:rsidRDefault="00BD06C4" w:rsidP="00BD06C4">
            <w:pPr>
              <w:pStyle w:val="NoSpacing"/>
              <w:rPr>
                <w:lang w:val="en-GB"/>
              </w:rPr>
            </w:pPr>
          </w:p>
          <w:p w14:paraId="500BD99F" w14:textId="77777777" w:rsidR="00BD06C4" w:rsidRPr="00F25A71" w:rsidRDefault="00BD06C4" w:rsidP="00BD06C4">
            <w:pPr>
              <w:pStyle w:val="NoSpacing"/>
              <w:rPr>
                <w:lang w:val="en-GB"/>
              </w:rPr>
            </w:pPr>
            <w:r w:rsidRPr="00F25A71">
              <w:rPr>
                <w:b/>
                <w:bCs/>
                <w:lang w:val="en-GB"/>
              </w:rPr>
              <w:t>Comments and limitations:</w:t>
            </w:r>
          </w:p>
          <w:p w14:paraId="71A87E1A" w14:textId="77777777" w:rsidR="00BD06C4" w:rsidRPr="00F25A71" w:rsidRDefault="00BD06C4" w:rsidP="00BD06C4">
            <w:pPr>
              <w:pStyle w:val="NoSpacing"/>
              <w:rPr>
                <w:lang w:val="en-GB"/>
              </w:rPr>
            </w:pPr>
          </w:p>
          <w:p w14:paraId="67FAA760" w14:textId="77777777" w:rsidR="00BD06C4" w:rsidRPr="00F25A71" w:rsidRDefault="00BD06C4" w:rsidP="00BD06C4">
            <w:pPr>
              <w:pStyle w:val="NoSpacing"/>
              <w:rPr>
                <w:lang w:val="en-GB"/>
              </w:rPr>
            </w:pPr>
            <w:r w:rsidRPr="00F25A71">
              <w:rPr>
                <w:lang w:val="en-GB"/>
              </w:rPr>
              <w:t>Data in the Creditor Reporting System are available from 1973.  However, the data coverage is considered complete since 1995 for commitments at an activity level and 2002 for disbursements.</w:t>
            </w:r>
          </w:p>
          <w:p w14:paraId="15F3F880" w14:textId="77777777" w:rsidR="00BD06C4" w:rsidRPr="00F25A71" w:rsidRDefault="00BD06C4" w:rsidP="00BD06C4">
            <w:pPr>
              <w:pStyle w:val="NoSpacing"/>
              <w:rPr>
                <w:b/>
                <w:bCs/>
                <w:lang w:val="en-GB"/>
              </w:rPr>
            </w:pPr>
          </w:p>
          <w:p w14:paraId="4B910C2F" w14:textId="77777777" w:rsidR="00BD06C4" w:rsidRPr="00F25A71" w:rsidRDefault="00BD06C4" w:rsidP="00BD06C4">
            <w:pPr>
              <w:pStyle w:val="NoSpacing"/>
              <w:rPr>
                <w:lang w:val="en-GB"/>
              </w:rPr>
            </w:pPr>
            <w:r w:rsidRPr="00F25A71">
              <w:rPr>
                <w:b/>
                <w:bCs/>
                <w:lang w:val="en-GB"/>
              </w:rPr>
              <w:t>Computation Method:</w:t>
            </w:r>
          </w:p>
          <w:p w14:paraId="168D3E12" w14:textId="77777777" w:rsidR="00BD06C4" w:rsidRPr="00F25A71" w:rsidRDefault="00BD06C4" w:rsidP="00BD06C4">
            <w:pPr>
              <w:pStyle w:val="NoSpacing"/>
              <w:rPr>
                <w:lang w:val="en-GB"/>
              </w:rPr>
            </w:pPr>
          </w:p>
          <w:p w14:paraId="4392E798" w14:textId="77777777" w:rsidR="00BD06C4" w:rsidRPr="00F25A71" w:rsidRDefault="00BD06C4" w:rsidP="00BD06C4">
            <w:pPr>
              <w:pStyle w:val="NoSpacing"/>
              <w:rPr>
                <w:lang w:val="en-GB"/>
              </w:rPr>
            </w:pPr>
            <w:r w:rsidRPr="00F25A71">
              <w:rPr>
                <w:lang w:val="en-GB"/>
              </w:rPr>
              <w:t xml:space="preserve">The sum of ODA and OOF flows from all donors to developing countries for capacity building and </w:t>
            </w:r>
            <w:r w:rsidRPr="00F25A71">
              <w:rPr>
                <w:lang w:val="en-GB"/>
              </w:rPr>
              <w:lastRenderedPageBreak/>
              <w:t>national planning.</w:t>
            </w:r>
          </w:p>
          <w:p w14:paraId="75CB8EC1" w14:textId="77777777" w:rsidR="00BD06C4" w:rsidRDefault="00BD06C4" w:rsidP="00BD06C4">
            <w:pPr>
              <w:pStyle w:val="NoSpacing"/>
            </w:pPr>
          </w:p>
        </w:tc>
        <w:tc>
          <w:tcPr>
            <w:tcW w:w="2835" w:type="dxa"/>
          </w:tcPr>
          <w:p w14:paraId="1D306878" w14:textId="77777777" w:rsidR="00BD06C4" w:rsidRPr="00873FDE" w:rsidRDefault="00BD06C4" w:rsidP="00BD06C4">
            <w:pPr>
              <w:rPr>
                <w:szCs w:val="22"/>
              </w:rPr>
            </w:pPr>
            <w:r w:rsidRPr="00873FDE">
              <w:rPr>
                <w:szCs w:val="22"/>
              </w:rPr>
              <w:lastRenderedPageBreak/>
              <w:t>A statistical reporter is responsible for the collection of DAC statistics in each providing country/agency. This reporter is usually located in the national aid agency, Ministry of Foreign Affairs or Finance etc.</w:t>
            </w:r>
          </w:p>
        </w:tc>
        <w:tc>
          <w:tcPr>
            <w:tcW w:w="1167" w:type="dxa"/>
          </w:tcPr>
          <w:p w14:paraId="65247BDD" w14:textId="77777777" w:rsidR="00BD06C4" w:rsidRPr="00873FDE" w:rsidRDefault="00BD06C4" w:rsidP="00BD06C4">
            <w:pPr>
              <w:rPr>
                <w:szCs w:val="22"/>
              </w:rPr>
            </w:pPr>
            <w:r w:rsidRPr="00873FDE">
              <w:rPr>
                <w:szCs w:val="22"/>
              </w:rPr>
              <w:t>Data are reported on an annual calendar year basis by statistical reporters in national administrations (aid agencies, Ministries of Foreign Affairs or Finance, etc.</w:t>
            </w:r>
          </w:p>
        </w:tc>
        <w:tc>
          <w:tcPr>
            <w:tcW w:w="0" w:type="auto"/>
          </w:tcPr>
          <w:p w14:paraId="43B0B6EF" w14:textId="77777777" w:rsidR="00BD06C4" w:rsidRPr="00102214" w:rsidRDefault="00BD06C4" w:rsidP="00BD06C4">
            <w:pPr>
              <w:pStyle w:val="NoSpacing"/>
            </w:pPr>
            <w:r w:rsidRPr="00102214">
              <w:t>ERD</w:t>
            </w:r>
          </w:p>
          <w:p w14:paraId="6D66CD02" w14:textId="77777777" w:rsidR="00BD06C4" w:rsidRPr="00102214" w:rsidRDefault="00BD06C4" w:rsidP="00BD06C4">
            <w:pPr>
              <w:pStyle w:val="NoSpacing"/>
            </w:pPr>
            <w:r w:rsidRPr="00102214">
              <w:t>Administrative Data</w:t>
            </w:r>
          </w:p>
        </w:tc>
        <w:tc>
          <w:tcPr>
            <w:tcW w:w="0" w:type="auto"/>
          </w:tcPr>
          <w:p w14:paraId="1BD3ABEE" w14:textId="77777777" w:rsidR="00BD06C4" w:rsidRPr="00102214" w:rsidRDefault="00BD06C4" w:rsidP="00BD06C4">
            <w:pPr>
              <w:pStyle w:val="NoSpacing"/>
            </w:pPr>
            <w:r w:rsidRPr="00102214">
              <w:t>ERD</w:t>
            </w:r>
          </w:p>
          <w:p w14:paraId="22779A03" w14:textId="77777777" w:rsidR="00BD06C4" w:rsidRPr="00102214" w:rsidRDefault="00BD06C4" w:rsidP="00BD06C4">
            <w:pPr>
              <w:pStyle w:val="NoSpacing"/>
            </w:pPr>
            <w:r w:rsidRPr="00102214">
              <w:t>Administrative Data</w:t>
            </w:r>
          </w:p>
        </w:tc>
        <w:tc>
          <w:tcPr>
            <w:tcW w:w="0" w:type="auto"/>
          </w:tcPr>
          <w:p w14:paraId="615C22AE"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cooperation: North-South cooperation/South-South cooperation/ triangular cooperation</w:t>
            </w:r>
          </w:p>
          <w:p w14:paraId="26AB52E4"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flow: ODA, OOF</w:t>
            </w:r>
          </w:p>
          <w:p w14:paraId="1597BAF7"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donor</w:t>
            </w:r>
          </w:p>
          <w:p w14:paraId="78EC49CD"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recipient country</w:t>
            </w:r>
          </w:p>
          <w:p w14:paraId="1BD846E5"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finance</w:t>
            </w:r>
          </w:p>
          <w:p w14:paraId="532477C3"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aid</w:t>
            </w:r>
          </w:p>
          <w:p w14:paraId="39135300"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sector</w:t>
            </w:r>
          </w:p>
          <w:p w14:paraId="3563F4B4" w14:textId="77777777" w:rsidR="00BD06C4" w:rsidRDefault="00BD06C4" w:rsidP="00BD06C4">
            <w:pPr>
              <w:ind w:left="970" w:hanging="970"/>
              <w:jc w:val="both"/>
              <w:rPr>
                <w:color w:val="0070C0"/>
                <w:sz w:val="30"/>
                <w:szCs w:val="30"/>
              </w:rPr>
            </w:pPr>
          </w:p>
        </w:tc>
        <w:tc>
          <w:tcPr>
            <w:tcW w:w="1078" w:type="dxa"/>
          </w:tcPr>
          <w:p w14:paraId="56AF5EBA" w14:textId="77777777" w:rsidR="00BD06C4" w:rsidRDefault="00BD06C4" w:rsidP="00BD06C4">
            <w:pPr>
              <w:ind w:left="970" w:hanging="970"/>
              <w:jc w:val="both"/>
              <w:rPr>
                <w:color w:val="0070C0"/>
                <w:sz w:val="30"/>
                <w:szCs w:val="30"/>
              </w:rPr>
            </w:pPr>
            <w:r w:rsidRPr="00C37F69">
              <w:rPr>
                <w:szCs w:val="20"/>
              </w:rPr>
              <w:t>Annual</w:t>
            </w:r>
          </w:p>
        </w:tc>
        <w:tc>
          <w:tcPr>
            <w:tcW w:w="872" w:type="dxa"/>
          </w:tcPr>
          <w:p w14:paraId="20D1EE66" w14:textId="77777777" w:rsidR="00BD06C4" w:rsidRDefault="00BD06C4" w:rsidP="00BD06C4">
            <w:pPr>
              <w:ind w:left="970" w:hanging="970"/>
              <w:jc w:val="both"/>
              <w:rPr>
                <w:color w:val="0070C0"/>
                <w:sz w:val="30"/>
                <w:szCs w:val="30"/>
              </w:rPr>
            </w:pPr>
            <w:r>
              <w:t>Group 1</w:t>
            </w:r>
          </w:p>
        </w:tc>
        <w:tc>
          <w:tcPr>
            <w:tcW w:w="619" w:type="dxa"/>
          </w:tcPr>
          <w:p w14:paraId="05402491" w14:textId="77777777" w:rsidR="00BD06C4" w:rsidRDefault="00BD06C4" w:rsidP="00BD06C4">
            <w:pPr>
              <w:pStyle w:val="NoSpacing"/>
            </w:pPr>
            <w:r>
              <w:t>1</w:t>
            </w:r>
            <w:r w:rsidRPr="00013ACB">
              <w:rPr>
                <w:vertAlign w:val="superscript"/>
              </w:rPr>
              <w:t>st</w:t>
            </w:r>
            <w:r>
              <w:t xml:space="preserve"> Round:</w:t>
            </w:r>
          </w:p>
          <w:p w14:paraId="08C78215" w14:textId="77777777" w:rsidR="00BD06C4" w:rsidRDefault="00BD06C4" w:rsidP="00BD06C4">
            <w:pPr>
              <w:pStyle w:val="NoSpacing"/>
            </w:pPr>
            <w:r>
              <w:t>2015</w:t>
            </w:r>
          </w:p>
          <w:p w14:paraId="68D603F8" w14:textId="77777777" w:rsidR="00BD06C4" w:rsidRDefault="00BD06C4" w:rsidP="00BD06C4">
            <w:pPr>
              <w:pStyle w:val="NoSpacing"/>
            </w:pPr>
            <w:r>
              <w:t>2</w:t>
            </w:r>
            <w:r w:rsidRPr="00013ACB">
              <w:rPr>
                <w:vertAlign w:val="superscript"/>
              </w:rPr>
              <w:t>nd</w:t>
            </w:r>
            <w:r>
              <w:t xml:space="preserve"> Round:</w:t>
            </w:r>
          </w:p>
          <w:p w14:paraId="75631E9A" w14:textId="77777777" w:rsidR="00BD06C4" w:rsidRDefault="00BD06C4" w:rsidP="00BD06C4">
            <w:pPr>
              <w:pStyle w:val="NoSpacing"/>
            </w:pPr>
            <w:r>
              <w:t xml:space="preserve"> July,</w:t>
            </w:r>
          </w:p>
          <w:p w14:paraId="7699EE28" w14:textId="77777777" w:rsidR="00BD06C4" w:rsidRDefault="00BD06C4" w:rsidP="00BD06C4">
            <w:pPr>
              <w:pStyle w:val="NoSpacing"/>
            </w:pPr>
            <w:r>
              <w:t>2019</w:t>
            </w:r>
          </w:p>
          <w:p w14:paraId="0A526A3F" w14:textId="77777777" w:rsidR="00BD06C4" w:rsidRDefault="00BD06C4" w:rsidP="00BD06C4">
            <w:pPr>
              <w:pStyle w:val="NoSpacing"/>
            </w:pPr>
          </w:p>
          <w:p w14:paraId="16C2B427" w14:textId="77777777" w:rsidR="00BD06C4" w:rsidRDefault="00BD06C4" w:rsidP="00BD06C4">
            <w:pPr>
              <w:pStyle w:val="NoSpacing"/>
            </w:pPr>
            <w:r>
              <w:t>3</w:t>
            </w:r>
            <w:r w:rsidRPr="00013ACB">
              <w:rPr>
                <w:vertAlign w:val="superscript"/>
              </w:rPr>
              <w:t>rd</w:t>
            </w:r>
            <w:r>
              <w:t xml:space="preserve"> Round: </w:t>
            </w:r>
          </w:p>
          <w:p w14:paraId="4685F7A9" w14:textId="77777777" w:rsidR="00BD06C4" w:rsidRDefault="00BD06C4" w:rsidP="00BD06C4">
            <w:pPr>
              <w:pStyle w:val="NoSpacing"/>
            </w:pPr>
            <w:r>
              <w:t>July,</w:t>
            </w:r>
          </w:p>
          <w:p w14:paraId="1C7AF0C7" w14:textId="77777777" w:rsidR="00BD06C4" w:rsidRDefault="00BD06C4" w:rsidP="00BD06C4">
            <w:pPr>
              <w:pStyle w:val="NoSpacing"/>
            </w:pPr>
            <w:r>
              <w:t>2020</w:t>
            </w:r>
          </w:p>
          <w:p w14:paraId="3373C8BA" w14:textId="77777777" w:rsidR="00BD06C4" w:rsidRDefault="00BD06C4" w:rsidP="00BD06C4">
            <w:pPr>
              <w:pStyle w:val="NoSpacing"/>
            </w:pPr>
          </w:p>
          <w:p w14:paraId="7BE85784" w14:textId="77777777" w:rsidR="00BD06C4" w:rsidRDefault="00BD06C4" w:rsidP="00BD06C4">
            <w:pPr>
              <w:pStyle w:val="NoSpacing"/>
            </w:pPr>
            <w:r>
              <w:t>4</w:t>
            </w:r>
            <w:r w:rsidRPr="00013ACB">
              <w:rPr>
                <w:vertAlign w:val="superscript"/>
              </w:rPr>
              <w:t>th</w:t>
            </w:r>
            <w:r>
              <w:t xml:space="preserve"> Round: </w:t>
            </w:r>
          </w:p>
          <w:p w14:paraId="1B725BE4" w14:textId="77777777" w:rsidR="00BD06C4" w:rsidRDefault="00BD06C4" w:rsidP="00BD06C4">
            <w:pPr>
              <w:pStyle w:val="NoSpacing"/>
            </w:pPr>
            <w:r>
              <w:t>July,</w:t>
            </w:r>
          </w:p>
          <w:p w14:paraId="0D3BF3E7" w14:textId="77777777" w:rsidR="00BD06C4" w:rsidRDefault="00BD06C4" w:rsidP="00BD06C4">
            <w:pPr>
              <w:pStyle w:val="NoSpacing"/>
            </w:pPr>
            <w:r>
              <w:t>2021</w:t>
            </w:r>
          </w:p>
          <w:p w14:paraId="50088FA0" w14:textId="77777777" w:rsidR="00BD06C4" w:rsidRDefault="00BD06C4" w:rsidP="00BD06C4">
            <w:pPr>
              <w:pStyle w:val="NoSpacing"/>
            </w:pPr>
          </w:p>
          <w:p w14:paraId="737ADB7E" w14:textId="77777777" w:rsidR="00BD06C4" w:rsidRDefault="00BD06C4" w:rsidP="00BD06C4">
            <w:pPr>
              <w:pStyle w:val="NoSpacing"/>
            </w:pPr>
            <w:r>
              <w:t>5</w:t>
            </w:r>
            <w:r w:rsidRPr="00013ACB">
              <w:rPr>
                <w:vertAlign w:val="superscript"/>
              </w:rPr>
              <w:t>th</w:t>
            </w:r>
            <w:r>
              <w:t xml:space="preserve"> Round: </w:t>
            </w:r>
          </w:p>
          <w:p w14:paraId="4B435FF7" w14:textId="77777777" w:rsidR="00BD06C4" w:rsidRDefault="00BD06C4" w:rsidP="00BD06C4">
            <w:pPr>
              <w:pStyle w:val="NoSpacing"/>
            </w:pPr>
            <w:r>
              <w:t>July,</w:t>
            </w:r>
          </w:p>
          <w:p w14:paraId="72C575D9" w14:textId="77777777" w:rsidR="00BD06C4" w:rsidRDefault="00BD06C4" w:rsidP="00BD06C4">
            <w:pPr>
              <w:pStyle w:val="NoSpacing"/>
            </w:pPr>
            <w:r>
              <w:t>2022</w:t>
            </w:r>
          </w:p>
          <w:p w14:paraId="6FE73572" w14:textId="52B5FC40" w:rsidR="00BD06C4" w:rsidRDefault="00BD06C4" w:rsidP="00BD06C4">
            <w:pPr>
              <w:pStyle w:val="NoSpacing"/>
            </w:pPr>
          </w:p>
        </w:tc>
        <w:tc>
          <w:tcPr>
            <w:tcW w:w="0" w:type="auto"/>
          </w:tcPr>
          <w:p w14:paraId="13FA4935" w14:textId="77777777" w:rsidR="00BD06C4" w:rsidRDefault="00BD06C4" w:rsidP="00BD06C4">
            <w:pPr>
              <w:ind w:left="970" w:hanging="970"/>
              <w:jc w:val="both"/>
              <w:rPr>
                <w:color w:val="0070C0"/>
                <w:sz w:val="30"/>
                <w:szCs w:val="30"/>
              </w:rPr>
            </w:pPr>
          </w:p>
        </w:tc>
      </w:tr>
      <w:tr w:rsidR="00BD06C4" w14:paraId="78D800B6" w14:textId="77777777" w:rsidTr="00586441">
        <w:tc>
          <w:tcPr>
            <w:tcW w:w="0" w:type="auto"/>
          </w:tcPr>
          <w:p w14:paraId="71FB2A7F" w14:textId="77777777" w:rsidR="00BD06C4" w:rsidRDefault="00BD06C4" w:rsidP="00BD06C4">
            <w:pPr>
              <w:ind w:left="970" w:hanging="970"/>
              <w:jc w:val="both"/>
              <w:rPr>
                <w:color w:val="0070C0"/>
                <w:sz w:val="30"/>
                <w:szCs w:val="30"/>
              </w:rPr>
            </w:pPr>
          </w:p>
        </w:tc>
        <w:tc>
          <w:tcPr>
            <w:tcW w:w="17879" w:type="dxa"/>
            <w:gridSpan w:val="12"/>
          </w:tcPr>
          <w:p w14:paraId="4B9A4864"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17.10 Promote a universal, rules-based, open, non</w:t>
            </w:r>
            <w:r w:rsidRPr="00306900">
              <w:rPr>
                <w:rFonts w:ascii="Cambria Math" w:hAnsi="Cambria Math" w:cs="Cambria Math"/>
                <w:color w:val="0070C0"/>
                <w:sz w:val="30"/>
                <w:szCs w:val="30"/>
              </w:rPr>
              <w:t>‑</w:t>
            </w:r>
            <w:r w:rsidRPr="00306900">
              <w:rPr>
                <w:color w:val="0070C0"/>
                <w:sz w:val="30"/>
                <w:szCs w:val="30"/>
              </w:rPr>
              <w:t>discriminatory and equitable multilateral trading system under the World Trade Organization, including through the conclusion of negotiations under its Doha Development Agenda</w:t>
            </w:r>
          </w:p>
        </w:tc>
      </w:tr>
      <w:tr w:rsidR="00BD06C4" w14:paraId="006F7070" w14:textId="77777777" w:rsidTr="00586441">
        <w:tc>
          <w:tcPr>
            <w:tcW w:w="0" w:type="auto"/>
          </w:tcPr>
          <w:p w14:paraId="11A044E6" w14:textId="77777777" w:rsidR="00BD06C4" w:rsidRPr="00BB536A" w:rsidRDefault="00BD06C4" w:rsidP="00BD06C4">
            <w:pPr>
              <w:pStyle w:val="NoSpacing"/>
            </w:pPr>
            <w:r w:rsidRPr="00BB536A">
              <w:t>17.10.1 Worldwide weighted tariff-average</w:t>
            </w:r>
          </w:p>
        </w:tc>
        <w:tc>
          <w:tcPr>
            <w:tcW w:w="0" w:type="auto"/>
          </w:tcPr>
          <w:p w14:paraId="4C7FEBEB" w14:textId="77777777" w:rsidR="00BD06C4" w:rsidRDefault="00BD06C4" w:rsidP="00BD06C4">
            <w:pPr>
              <w:ind w:left="970" w:hanging="970"/>
              <w:jc w:val="both"/>
              <w:rPr>
                <w:color w:val="0070C0"/>
                <w:sz w:val="30"/>
                <w:szCs w:val="30"/>
              </w:rPr>
            </w:pPr>
          </w:p>
          <w:p w14:paraId="628A7155" w14:textId="77777777" w:rsidR="00BD06C4" w:rsidRDefault="00BD06C4" w:rsidP="00BD06C4">
            <w:pPr>
              <w:pStyle w:val="NoSpacing"/>
            </w:pPr>
            <w:r>
              <w:t>WTO,</w:t>
            </w:r>
          </w:p>
          <w:p w14:paraId="742AB759" w14:textId="77777777" w:rsidR="00BD06C4" w:rsidRDefault="00BD06C4" w:rsidP="00BD06C4">
            <w:pPr>
              <w:pStyle w:val="NoSpacing"/>
            </w:pPr>
            <w:r>
              <w:t>ITC,</w:t>
            </w:r>
          </w:p>
          <w:p w14:paraId="25C8B9A2" w14:textId="77777777" w:rsidR="00BD06C4" w:rsidRDefault="00BD06C4" w:rsidP="00BD06C4">
            <w:pPr>
              <w:pStyle w:val="NoSpacing"/>
            </w:pPr>
            <w:r>
              <w:t>UNCTAD</w:t>
            </w:r>
          </w:p>
        </w:tc>
        <w:tc>
          <w:tcPr>
            <w:tcW w:w="0" w:type="auto"/>
          </w:tcPr>
          <w:p w14:paraId="20864FB3" w14:textId="77777777" w:rsidR="00BD06C4" w:rsidRDefault="00BD06C4" w:rsidP="00BD06C4">
            <w:pPr>
              <w:ind w:left="970" w:hanging="970"/>
              <w:jc w:val="both"/>
              <w:rPr>
                <w:color w:val="0070C0"/>
                <w:sz w:val="30"/>
                <w:szCs w:val="30"/>
              </w:rPr>
            </w:pPr>
            <w:r>
              <w:t>Tier I</w:t>
            </w:r>
          </w:p>
        </w:tc>
        <w:tc>
          <w:tcPr>
            <w:tcW w:w="0" w:type="auto"/>
          </w:tcPr>
          <w:p w14:paraId="5BAC4351" w14:textId="77777777" w:rsidR="00BD06C4" w:rsidRPr="00F25A71" w:rsidRDefault="00BD06C4" w:rsidP="00BD06C4">
            <w:pPr>
              <w:pStyle w:val="NoSpacing"/>
              <w:rPr>
                <w:lang w:val="en-GB"/>
              </w:rPr>
            </w:pPr>
            <w:r w:rsidRPr="00F25A71">
              <w:rPr>
                <w:b/>
                <w:bCs/>
                <w:lang w:val="en-GB"/>
              </w:rPr>
              <w:t>Definition:</w:t>
            </w:r>
          </w:p>
          <w:p w14:paraId="7A9F6A97" w14:textId="77777777" w:rsidR="00BD06C4" w:rsidRPr="00F25A71" w:rsidRDefault="00BD06C4" w:rsidP="00BD06C4">
            <w:pPr>
              <w:pStyle w:val="NoSpacing"/>
              <w:rPr>
                <w:lang w:val="en-GB"/>
              </w:rPr>
            </w:pPr>
          </w:p>
          <w:p w14:paraId="50C91FD6" w14:textId="77777777" w:rsidR="00BD06C4" w:rsidRPr="00F25A71" w:rsidRDefault="00BD06C4" w:rsidP="00BD06C4">
            <w:pPr>
              <w:pStyle w:val="NoSpacing"/>
              <w:rPr>
                <w:lang w:val="en-GB"/>
              </w:rPr>
            </w:pPr>
            <w:r w:rsidRPr="00F25A71">
              <w:rPr>
                <w:lang w:val="en-GB"/>
              </w:rPr>
              <w:t>Value in percentage of weighted average tariffs applied to the imports of goods in HS chapter 01-97.</w:t>
            </w:r>
          </w:p>
          <w:p w14:paraId="4ED72DAE" w14:textId="77777777" w:rsidR="00BD06C4" w:rsidRPr="00F25A71" w:rsidRDefault="00BD06C4" w:rsidP="00BD06C4">
            <w:pPr>
              <w:pStyle w:val="NoSpacing"/>
              <w:rPr>
                <w:lang w:val="en-GB"/>
              </w:rPr>
            </w:pPr>
          </w:p>
          <w:p w14:paraId="30005D5B" w14:textId="77777777" w:rsidR="00BD06C4" w:rsidRPr="00F25A71" w:rsidRDefault="00BD06C4" w:rsidP="00BD06C4">
            <w:pPr>
              <w:pStyle w:val="NoSpacing"/>
              <w:rPr>
                <w:lang w:val="en-GB"/>
              </w:rPr>
            </w:pPr>
            <w:r w:rsidRPr="00F25A71">
              <w:rPr>
                <w:b/>
                <w:bCs/>
                <w:lang w:val="en-GB"/>
              </w:rPr>
              <w:t>Concepts:</w:t>
            </w:r>
          </w:p>
          <w:p w14:paraId="190A2A2D" w14:textId="77777777" w:rsidR="00BD06C4" w:rsidRPr="00F25A71" w:rsidRDefault="00BD06C4" w:rsidP="00BD06C4">
            <w:pPr>
              <w:pStyle w:val="NoSpacing"/>
              <w:rPr>
                <w:lang w:val="en-GB"/>
              </w:rPr>
            </w:pPr>
          </w:p>
          <w:p w14:paraId="3600CA14" w14:textId="77777777" w:rsidR="00BD06C4" w:rsidRPr="00F25A71" w:rsidRDefault="00BD06C4" w:rsidP="00BD06C4">
            <w:pPr>
              <w:pStyle w:val="NoSpacing"/>
              <w:rPr>
                <w:lang w:val="en-GB"/>
              </w:rPr>
            </w:pPr>
            <w:r w:rsidRPr="00F25A71">
              <w:rPr>
                <w:lang w:val="en-GB"/>
              </w:rPr>
              <w:t>Weighted average: In order to aggregate tariff value for country groups it is recommended to make use of a weighting methodology based on the value of goods imported.</w:t>
            </w:r>
          </w:p>
          <w:p w14:paraId="575530EA" w14:textId="77777777" w:rsidR="00BD06C4" w:rsidRPr="00F25A71" w:rsidRDefault="00BD06C4" w:rsidP="00BD06C4">
            <w:pPr>
              <w:pStyle w:val="NoSpacing"/>
              <w:rPr>
                <w:lang w:val="en-GB"/>
              </w:rPr>
            </w:pPr>
          </w:p>
          <w:p w14:paraId="7A425E11" w14:textId="77777777" w:rsidR="00BD06C4" w:rsidRPr="00F25A71" w:rsidRDefault="00BD06C4" w:rsidP="00BD06C4">
            <w:pPr>
              <w:pStyle w:val="NoSpacing"/>
              <w:rPr>
                <w:lang w:val="en-GB"/>
              </w:rPr>
            </w:pPr>
            <w:r w:rsidRPr="00F25A71">
              <w:rPr>
                <w:lang w:val="en-GB"/>
              </w:rPr>
              <w:t>Tariffs: Tariffs are customs duties on merchandise imports, levied either on an ad valorem basis (percentage of value) or on a specific basis (e.g. $7 per 100 kg). Tariffs can be used to create a price advantage for similar locally-produced goods and for raising government revenues. Trade remedy measures and taxes are not considered to be tariffs.</w:t>
            </w:r>
          </w:p>
          <w:p w14:paraId="5F1FA2F1" w14:textId="77777777" w:rsidR="00BD06C4" w:rsidRPr="00F25A71" w:rsidRDefault="00BD06C4" w:rsidP="00BD06C4">
            <w:pPr>
              <w:pStyle w:val="NoSpacing"/>
              <w:rPr>
                <w:lang w:val="en-GB"/>
              </w:rPr>
            </w:pPr>
          </w:p>
          <w:p w14:paraId="5BBADFA0" w14:textId="77777777" w:rsidR="00BD06C4" w:rsidRPr="00F25A71" w:rsidRDefault="00BD06C4" w:rsidP="00BD06C4">
            <w:pPr>
              <w:pStyle w:val="NoSpacing"/>
              <w:rPr>
                <w:lang w:val="en-GB"/>
              </w:rPr>
            </w:pPr>
            <w:r w:rsidRPr="00F25A71">
              <w:rPr>
                <w:b/>
                <w:bCs/>
                <w:lang w:val="en-GB"/>
              </w:rPr>
              <w:t>Comments and limitations:</w:t>
            </w:r>
          </w:p>
          <w:p w14:paraId="2B21E26E" w14:textId="77777777" w:rsidR="00BD06C4" w:rsidRPr="00F25A71" w:rsidRDefault="00BD06C4" w:rsidP="00BD06C4">
            <w:pPr>
              <w:pStyle w:val="NoSpacing"/>
              <w:rPr>
                <w:lang w:val="en-GB"/>
              </w:rPr>
            </w:pPr>
          </w:p>
          <w:p w14:paraId="4DF85F9D" w14:textId="77777777" w:rsidR="00BD06C4" w:rsidRPr="00F25A71" w:rsidRDefault="00BD06C4" w:rsidP="00BD06C4">
            <w:pPr>
              <w:pStyle w:val="NoSpacing"/>
              <w:rPr>
                <w:lang w:val="en-GB"/>
              </w:rPr>
            </w:pPr>
            <w:r w:rsidRPr="00F25A71">
              <w:rPr>
                <w:lang w:val="en-GB"/>
              </w:rPr>
              <w:t>Tariffs are only part of the factors that can explain the degree of openness and transparency in the international trade arena. However, accurate estimates on non-tariff measures or of transparency indicator do not exist.</w:t>
            </w:r>
          </w:p>
          <w:p w14:paraId="4C78F914" w14:textId="77777777" w:rsidR="00BD06C4" w:rsidRPr="00F25A71" w:rsidRDefault="00BD06C4" w:rsidP="00BD06C4">
            <w:pPr>
              <w:pStyle w:val="NoSpacing"/>
              <w:rPr>
                <w:lang w:val="en-GB"/>
              </w:rPr>
            </w:pPr>
          </w:p>
          <w:p w14:paraId="57F85572" w14:textId="77777777" w:rsidR="00BD06C4" w:rsidRPr="00F25A71" w:rsidRDefault="00BD06C4" w:rsidP="00BD06C4">
            <w:pPr>
              <w:pStyle w:val="NoSpacing"/>
              <w:rPr>
                <w:lang w:val="en-GB"/>
              </w:rPr>
            </w:pPr>
            <w:r w:rsidRPr="00F25A71">
              <w:rPr>
                <w:lang w:val="en-GB"/>
              </w:rPr>
              <w:t>To further refine the quality of the information, additional sub-measurements could be calculated including: a) Tariff peaks (i.e. % of tariffs on some products that are considerably higher than usual, defined as above 15 per cent) and b) Tariff escalation (i.e. wherein a country applies a higher tariff rate to products at the later stages of production). These calculations were already provided by ITC as part of the MDG Gap Task Force Report. See the report for further information on the methodology at http://www.un.org/en/development/desa/policy/mdg_gap/mdg_gap2014/2014GAP_FULL_EN.pdf</w:t>
            </w:r>
          </w:p>
          <w:p w14:paraId="6CF2E6CE" w14:textId="77777777" w:rsidR="00BD06C4" w:rsidRDefault="00BD06C4" w:rsidP="00BD06C4">
            <w:pPr>
              <w:pStyle w:val="NoSpacing"/>
              <w:rPr>
                <w:lang w:val="en-GB"/>
              </w:rPr>
            </w:pPr>
          </w:p>
          <w:p w14:paraId="3D8D585C" w14:textId="77777777" w:rsidR="00BD06C4" w:rsidRPr="00F25A71" w:rsidRDefault="00BD06C4" w:rsidP="00BD06C4">
            <w:pPr>
              <w:pStyle w:val="NoSpacing"/>
              <w:rPr>
                <w:lang w:val="en-GB"/>
              </w:rPr>
            </w:pPr>
            <w:r w:rsidRPr="00F25A71">
              <w:rPr>
                <w:b/>
                <w:bCs/>
                <w:lang w:val="en-GB"/>
              </w:rPr>
              <w:t>Computation Method:</w:t>
            </w:r>
          </w:p>
          <w:p w14:paraId="72838E12" w14:textId="77777777" w:rsidR="00BD06C4" w:rsidRPr="00F25A71" w:rsidRDefault="00BD06C4" w:rsidP="00BD06C4">
            <w:pPr>
              <w:pStyle w:val="NoSpacing"/>
              <w:rPr>
                <w:lang w:val="en-GB"/>
              </w:rPr>
            </w:pPr>
          </w:p>
          <w:p w14:paraId="3BEE41C6" w14:textId="77777777" w:rsidR="00BD06C4" w:rsidRPr="00F25A71" w:rsidRDefault="00BD06C4" w:rsidP="00BD06C4">
            <w:pPr>
              <w:pStyle w:val="NoSpacing"/>
              <w:rPr>
                <w:lang w:val="en-GB"/>
              </w:rPr>
            </w:pPr>
            <w:r w:rsidRPr="00F25A71">
              <w:rPr>
                <w:lang w:val="en-GB"/>
              </w:rPr>
              <w:t>In order to include all tariffs into the calculation, some rates which are not expressed in ad valorem form (e.g., specific duties) are converted in ad valorem equivalents (i.e. in per cent of the import value)</w:t>
            </w:r>
            <w:proofErr w:type="gramStart"/>
            <w:r w:rsidRPr="00F25A71">
              <w:rPr>
                <w:lang w:val="en-GB"/>
              </w:rPr>
              <w:t>,</w:t>
            </w:r>
            <w:proofErr w:type="gramEnd"/>
            <w:r w:rsidRPr="00F25A71">
              <w:rPr>
                <w:lang w:val="en-GB"/>
              </w:rPr>
              <w:t xml:space="preserve"> The conversion is made at the tariff line level for each importer by using the unit value method. Import unit values are calculated from import values and quantities. Only a limited number of non-ad valorem tariff rates (i.e. technical duties) cannot be provided with ad valorem equivalents (AVE) and are excluded from the calculation. This methodology also allows for cross-country comparisons.</w:t>
            </w:r>
          </w:p>
          <w:p w14:paraId="3E5E1EDF" w14:textId="77777777" w:rsidR="00BD06C4" w:rsidRDefault="00BD06C4" w:rsidP="00BD06C4">
            <w:pPr>
              <w:pStyle w:val="NoSpacing"/>
            </w:pPr>
          </w:p>
        </w:tc>
        <w:tc>
          <w:tcPr>
            <w:tcW w:w="2835" w:type="dxa"/>
          </w:tcPr>
          <w:p w14:paraId="3BD337F7" w14:textId="77777777" w:rsidR="00BD06C4" w:rsidRPr="00873FDE" w:rsidRDefault="00BD06C4" w:rsidP="00BD06C4">
            <w:pPr>
              <w:rPr>
                <w:szCs w:val="22"/>
              </w:rPr>
            </w:pPr>
            <w:r w:rsidRPr="00873FDE">
              <w:rPr>
                <w:szCs w:val="22"/>
              </w:rPr>
              <w:lastRenderedPageBreak/>
              <w:t>Time series: Yearly data from 2005 to latest year</w:t>
            </w:r>
          </w:p>
          <w:p w14:paraId="3116C83D" w14:textId="77777777" w:rsidR="00BD06C4" w:rsidRPr="00873FDE" w:rsidRDefault="00BD06C4" w:rsidP="00BD06C4">
            <w:pPr>
              <w:rPr>
                <w:szCs w:val="22"/>
              </w:rPr>
            </w:pPr>
          </w:p>
          <w:p w14:paraId="520C86E7" w14:textId="77777777" w:rsidR="00BD06C4" w:rsidRPr="00873FDE" w:rsidRDefault="00BD06C4" w:rsidP="00BD06C4">
            <w:pPr>
              <w:rPr>
                <w:szCs w:val="22"/>
              </w:rPr>
            </w:pPr>
            <w:r w:rsidRPr="00873FDE">
              <w:rPr>
                <w:szCs w:val="22"/>
              </w:rPr>
              <w:t>Data collection: Continuously update all year round</w:t>
            </w:r>
          </w:p>
        </w:tc>
        <w:tc>
          <w:tcPr>
            <w:tcW w:w="1167" w:type="dxa"/>
          </w:tcPr>
          <w:p w14:paraId="45A03558" w14:textId="77777777" w:rsidR="00BD06C4" w:rsidRPr="00873FDE" w:rsidRDefault="00BD06C4" w:rsidP="00BD06C4">
            <w:pPr>
              <w:rPr>
                <w:szCs w:val="22"/>
              </w:rPr>
            </w:pPr>
            <w:r w:rsidRPr="00873FDE">
              <w:rPr>
                <w:szCs w:val="22"/>
              </w:rPr>
              <w:t xml:space="preserve">The main information used to calculate indicators 17.10.1 is import tariff data. Information on import tariffs might be retrieved by contacting directly National statistical offices, permanent country missions to the UN, regional organizations or focal points within the customs, ministries in charge of customs revenues (Ministry of economy/finance and related revenue authorities) or, alternatively, the </w:t>
            </w:r>
            <w:r w:rsidRPr="00873FDE">
              <w:rPr>
                <w:szCs w:val="22"/>
              </w:rPr>
              <w:lastRenderedPageBreak/>
              <w:t xml:space="preserve">Ministry of trade. Tariff data for the calculation of this indicator are retrieved from ITC (MAcMap) - http://www.macmap.org/ - WTO (IDB) - http://tao.wto.org - and UNCTAD (TRAINS) databases. Import tariff data included in the ITC (MAcMap) database are collected by contacting directly focal points in line national agencies or regional organizations (in the case of custom unions or regional economic communities). When available, data are downloaded from national or regional official websites. In some cases, data are purchased </w:t>
            </w:r>
            <w:r w:rsidRPr="00873FDE">
              <w:rPr>
                <w:szCs w:val="22"/>
              </w:rPr>
              <w:lastRenderedPageBreak/>
              <w:t>from private companies. Import tariff data included in the WTO (IDB) database are sourced from official notifications of WTO members. Import tariff included in the UNCTAD (TRAINS) database are collected from official sources, including official country or regional organizations websites.</w:t>
            </w:r>
          </w:p>
        </w:tc>
        <w:tc>
          <w:tcPr>
            <w:tcW w:w="0" w:type="auto"/>
          </w:tcPr>
          <w:p w14:paraId="2E2B3A40" w14:textId="77777777" w:rsidR="00BD06C4" w:rsidRDefault="00BD06C4" w:rsidP="00BD06C4">
            <w:pPr>
              <w:pStyle w:val="NoSpacing"/>
            </w:pPr>
            <w:r>
              <w:lastRenderedPageBreak/>
              <w:t>BTC, MoC</w:t>
            </w:r>
          </w:p>
          <w:p w14:paraId="4B667574" w14:textId="77777777" w:rsidR="00BD06C4" w:rsidRDefault="00BD06C4" w:rsidP="00BD06C4">
            <w:pPr>
              <w:pStyle w:val="NoSpacing"/>
            </w:pPr>
            <w:r>
              <w:t>Administrative Data</w:t>
            </w:r>
          </w:p>
        </w:tc>
        <w:tc>
          <w:tcPr>
            <w:tcW w:w="0" w:type="auto"/>
          </w:tcPr>
          <w:p w14:paraId="34B4B291" w14:textId="77777777" w:rsidR="00BD06C4" w:rsidRDefault="00BD06C4" w:rsidP="00BD06C4">
            <w:pPr>
              <w:pStyle w:val="NoSpacing"/>
            </w:pPr>
            <w:r>
              <w:t>a)BTC, MoC</w:t>
            </w:r>
          </w:p>
          <w:p w14:paraId="13332CD6" w14:textId="77777777" w:rsidR="00BD06C4" w:rsidRDefault="00BD06C4" w:rsidP="00BD06C4">
            <w:pPr>
              <w:pStyle w:val="NoSpacing"/>
            </w:pPr>
            <w:r w:rsidRPr="001F0005">
              <w:rPr>
                <w:color w:val="0070C0"/>
                <w:szCs w:val="20"/>
              </w:rPr>
              <w:t>b) WTO Cell, MoC</w:t>
            </w:r>
          </w:p>
          <w:p w14:paraId="2D4BBE26" w14:textId="77777777" w:rsidR="00BD06C4" w:rsidRDefault="00BD06C4" w:rsidP="00BD06C4">
            <w:pPr>
              <w:pStyle w:val="NoSpacing"/>
            </w:pPr>
            <w:r>
              <w:t>Administrative Data</w:t>
            </w:r>
          </w:p>
        </w:tc>
        <w:tc>
          <w:tcPr>
            <w:tcW w:w="0" w:type="auto"/>
          </w:tcPr>
          <w:p w14:paraId="4DCA7851"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product sector: Agriculture, Textile, Environmental</w:t>
            </w:r>
          </w:p>
          <w:p w14:paraId="6B76A453" w14:textId="5CD33770"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 location</w:t>
            </w:r>
            <w:r w:rsidR="009C3F91">
              <w:rPr>
                <w:rFonts w:ascii="Tw Cen MT Condensed" w:hAnsi="Tw Cen MT Condensed"/>
                <w:sz w:val="20"/>
                <w:szCs w:val="20"/>
              </w:rPr>
              <w:t>: Division</w:t>
            </w:r>
            <w:r>
              <w:rPr>
                <w:rFonts w:ascii="Tw Cen MT Condensed" w:hAnsi="Tw Cen MT Condensed"/>
                <w:sz w:val="20"/>
                <w:szCs w:val="20"/>
              </w:rPr>
              <w:t xml:space="preserve"> </w:t>
            </w:r>
          </w:p>
          <w:p w14:paraId="418AE961"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type of country: Developed, Developing, LDCs</w:t>
            </w:r>
          </w:p>
          <w:p w14:paraId="0928175E" w14:textId="77777777" w:rsidR="00BD06C4" w:rsidRDefault="00BD06C4" w:rsidP="00BD06C4">
            <w:pPr>
              <w:ind w:left="970" w:hanging="970"/>
              <w:jc w:val="both"/>
              <w:rPr>
                <w:color w:val="0070C0"/>
                <w:sz w:val="30"/>
                <w:szCs w:val="30"/>
              </w:rPr>
            </w:pPr>
          </w:p>
        </w:tc>
        <w:tc>
          <w:tcPr>
            <w:tcW w:w="1078" w:type="dxa"/>
          </w:tcPr>
          <w:p w14:paraId="62151E8E" w14:textId="77777777" w:rsidR="00BD06C4" w:rsidRDefault="00BD06C4" w:rsidP="00BD06C4">
            <w:pPr>
              <w:ind w:left="970" w:hanging="970"/>
              <w:jc w:val="both"/>
              <w:rPr>
                <w:color w:val="0070C0"/>
                <w:sz w:val="30"/>
                <w:szCs w:val="30"/>
              </w:rPr>
            </w:pPr>
            <w:r w:rsidRPr="00C37F69">
              <w:rPr>
                <w:szCs w:val="20"/>
              </w:rPr>
              <w:t>Annual</w:t>
            </w:r>
          </w:p>
        </w:tc>
        <w:tc>
          <w:tcPr>
            <w:tcW w:w="872" w:type="dxa"/>
          </w:tcPr>
          <w:p w14:paraId="5F420A45" w14:textId="77777777" w:rsidR="00BD06C4" w:rsidRDefault="00BD06C4" w:rsidP="00BD06C4">
            <w:pPr>
              <w:ind w:left="970" w:hanging="970"/>
              <w:jc w:val="both"/>
              <w:rPr>
                <w:color w:val="0070C0"/>
                <w:sz w:val="30"/>
                <w:szCs w:val="30"/>
              </w:rPr>
            </w:pPr>
            <w:r>
              <w:t>Group 1</w:t>
            </w:r>
          </w:p>
        </w:tc>
        <w:tc>
          <w:tcPr>
            <w:tcW w:w="619" w:type="dxa"/>
          </w:tcPr>
          <w:p w14:paraId="1C46EDFC" w14:textId="77777777" w:rsidR="00BD06C4" w:rsidRDefault="00BD06C4" w:rsidP="00BD06C4">
            <w:pPr>
              <w:pStyle w:val="NoSpacing"/>
            </w:pPr>
            <w:r>
              <w:t>1</w:t>
            </w:r>
            <w:r w:rsidRPr="00013ACB">
              <w:rPr>
                <w:vertAlign w:val="superscript"/>
              </w:rPr>
              <w:t>st</w:t>
            </w:r>
            <w:r>
              <w:t xml:space="preserve"> Round:</w:t>
            </w:r>
          </w:p>
          <w:p w14:paraId="6824A29A" w14:textId="77777777" w:rsidR="00BD06C4" w:rsidRPr="00D527C8" w:rsidRDefault="00BD06C4" w:rsidP="00BD06C4">
            <w:pPr>
              <w:ind w:left="970" w:hanging="970"/>
              <w:rPr>
                <w:color w:val="000000" w:themeColor="text1"/>
                <w:sz w:val="22"/>
                <w:szCs w:val="30"/>
              </w:rPr>
            </w:pPr>
            <w:r w:rsidRPr="00D527C8">
              <w:rPr>
                <w:color w:val="000000" w:themeColor="text1"/>
                <w:sz w:val="22"/>
                <w:szCs w:val="30"/>
              </w:rPr>
              <w:t>2015</w:t>
            </w:r>
          </w:p>
          <w:p w14:paraId="607EE7C7" w14:textId="77777777" w:rsidR="00BD06C4" w:rsidRDefault="00BD06C4" w:rsidP="00BD06C4">
            <w:pPr>
              <w:pStyle w:val="NoSpacing"/>
            </w:pPr>
          </w:p>
          <w:p w14:paraId="7F8EA477" w14:textId="77777777" w:rsidR="00BD06C4" w:rsidRDefault="00BD06C4" w:rsidP="00BD06C4">
            <w:pPr>
              <w:pStyle w:val="NoSpacing"/>
            </w:pPr>
            <w:r>
              <w:t>2</w:t>
            </w:r>
            <w:r w:rsidRPr="00013ACB">
              <w:rPr>
                <w:vertAlign w:val="superscript"/>
              </w:rPr>
              <w:t>nd</w:t>
            </w:r>
            <w:r>
              <w:t xml:space="preserve"> Round:</w:t>
            </w:r>
          </w:p>
          <w:p w14:paraId="1E486E01" w14:textId="77777777" w:rsidR="00BD06C4" w:rsidRDefault="00BD06C4" w:rsidP="00BD06C4">
            <w:pPr>
              <w:ind w:left="970" w:hanging="970"/>
              <w:rPr>
                <w:color w:val="000000" w:themeColor="text1"/>
                <w:sz w:val="22"/>
                <w:szCs w:val="30"/>
              </w:rPr>
            </w:pPr>
            <w:r>
              <w:rPr>
                <w:color w:val="000000" w:themeColor="text1"/>
                <w:sz w:val="22"/>
                <w:szCs w:val="30"/>
              </w:rPr>
              <w:t>June</w:t>
            </w:r>
          </w:p>
          <w:p w14:paraId="5BB0F11B" w14:textId="77777777" w:rsidR="00BD06C4" w:rsidRPr="00D527C8" w:rsidRDefault="00BD06C4" w:rsidP="00BD06C4">
            <w:pPr>
              <w:rPr>
                <w:color w:val="000000" w:themeColor="text1"/>
                <w:sz w:val="22"/>
                <w:szCs w:val="30"/>
              </w:rPr>
            </w:pPr>
            <w:r>
              <w:rPr>
                <w:color w:val="000000" w:themeColor="text1"/>
                <w:sz w:val="22"/>
                <w:szCs w:val="30"/>
              </w:rPr>
              <w:t>2020</w:t>
            </w:r>
          </w:p>
          <w:p w14:paraId="2E1E835C" w14:textId="77777777" w:rsidR="00BD06C4" w:rsidRDefault="00BD06C4" w:rsidP="00BD06C4">
            <w:pPr>
              <w:pStyle w:val="NoSpacing"/>
            </w:pPr>
          </w:p>
          <w:p w14:paraId="63A21F23" w14:textId="77777777" w:rsidR="00BD06C4" w:rsidRDefault="00BD06C4" w:rsidP="00BD06C4">
            <w:pPr>
              <w:pStyle w:val="NoSpacing"/>
            </w:pPr>
            <w:r>
              <w:t>3</w:t>
            </w:r>
            <w:r w:rsidRPr="00013ACB">
              <w:rPr>
                <w:vertAlign w:val="superscript"/>
              </w:rPr>
              <w:t>rd</w:t>
            </w:r>
            <w:r>
              <w:t xml:space="preserve"> Round: </w:t>
            </w:r>
          </w:p>
          <w:p w14:paraId="5D915CD3" w14:textId="77777777" w:rsidR="00BD06C4" w:rsidRDefault="00BD06C4" w:rsidP="00BD06C4">
            <w:pPr>
              <w:ind w:left="970" w:hanging="970"/>
              <w:rPr>
                <w:color w:val="000000" w:themeColor="text1"/>
                <w:sz w:val="22"/>
                <w:szCs w:val="30"/>
              </w:rPr>
            </w:pPr>
            <w:r>
              <w:rPr>
                <w:color w:val="000000" w:themeColor="text1"/>
                <w:sz w:val="22"/>
                <w:szCs w:val="30"/>
              </w:rPr>
              <w:t>June</w:t>
            </w:r>
          </w:p>
          <w:p w14:paraId="2CA30610" w14:textId="77777777" w:rsidR="00BD06C4" w:rsidRPr="00D527C8" w:rsidRDefault="00BD06C4" w:rsidP="00BD06C4">
            <w:pPr>
              <w:rPr>
                <w:color w:val="000000" w:themeColor="text1"/>
                <w:sz w:val="22"/>
                <w:szCs w:val="30"/>
              </w:rPr>
            </w:pPr>
            <w:r>
              <w:rPr>
                <w:color w:val="000000" w:themeColor="text1"/>
                <w:sz w:val="22"/>
                <w:szCs w:val="30"/>
              </w:rPr>
              <w:t>2021</w:t>
            </w:r>
          </w:p>
          <w:p w14:paraId="052C4D83" w14:textId="77777777" w:rsidR="00BD06C4" w:rsidRDefault="00BD06C4" w:rsidP="00BD06C4">
            <w:pPr>
              <w:pStyle w:val="NoSpacing"/>
            </w:pPr>
          </w:p>
          <w:p w14:paraId="0FA648D3" w14:textId="77777777" w:rsidR="00BD06C4" w:rsidRDefault="00BD06C4" w:rsidP="00BD06C4">
            <w:pPr>
              <w:pStyle w:val="NoSpacing"/>
            </w:pPr>
            <w:r>
              <w:t>4</w:t>
            </w:r>
            <w:r w:rsidRPr="00013ACB">
              <w:rPr>
                <w:vertAlign w:val="superscript"/>
              </w:rPr>
              <w:t>th</w:t>
            </w:r>
            <w:r>
              <w:t xml:space="preserve"> Round: </w:t>
            </w:r>
          </w:p>
          <w:p w14:paraId="79447CE6" w14:textId="77777777" w:rsidR="00BD06C4" w:rsidRDefault="00BD06C4" w:rsidP="00BD06C4">
            <w:pPr>
              <w:ind w:left="970" w:hanging="970"/>
              <w:rPr>
                <w:color w:val="000000" w:themeColor="text1"/>
                <w:sz w:val="22"/>
                <w:szCs w:val="30"/>
              </w:rPr>
            </w:pPr>
            <w:r>
              <w:rPr>
                <w:color w:val="000000" w:themeColor="text1"/>
                <w:sz w:val="22"/>
                <w:szCs w:val="30"/>
              </w:rPr>
              <w:t>June</w:t>
            </w:r>
          </w:p>
          <w:p w14:paraId="537870E0" w14:textId="77777777" w:rsidR="00BD06C4" w:rsidRPr="00D527C8" w:rsidRDefault="00BD06C4" w:rsidP="00BD06C4">
            <w:pPr>
              <w:rPr>
                <w:color w:val="000000" w:themeColor="text1"/>
                <w:sz w:val="22"/>
                <w:szCs w:val="30"/>
              </w:rPr>
            </w:pPr>
            <w:r>
              <w:rPr>
                <w:color w:val="000000" w:themeColor="text1"/>
                <w:sz w:val="22"/>
                <w:szCs w:val="30"/>
              </w:rPr>
              <w:t>2022</w:t>
            </w:r>
          </w:p>
          <w:p w14:paraId="4E8F1BD0" w14:textId="77777777" w:rsidR="00BD06C4" w:rsidRDefault="00BD06C4" w:rsidP="00BD06C4">
            <w:pPr>
              <w:pStyle w:val="NoSpacing"/>
            </w:pPr>
          </w:p>
          <w:p w14:paraId="632ADD9E" w14:textId="77777777" w:rsidR="00BD06C4" w:rsidRDefault="00BD06C4" w:rsidP="00BD06C4">
            <w:pPr>
              <w:pStyle w:val="NoSpacing"/>
            </w:pPr>
            <w:r>
              <w:t>5</w:t>
            </w:r>
            <w:r w:rsidRPr="00013ACB">
              <w:rPr>
                <w:vertAlign w:val="superscript"/>
              </w:rPr>
              <w:t>th</w:t>
            </w:r>
            <w:r>
              <w:t xml:space="preserve"> Round: </w:t>
            </w:r>
          </w:p>
          <w:p w14:paraId="7E84D52E" w14:textId="77777777" w:rsidR="00BD06C4" w:rsidRDefault="00BD06C4" w:rsidP="00BD06C4">
            <w:pPr>
              <w:ind w:left="970" w:hanging="970"/>
              <w:rPr>
                <w:color w:val="000000" w:themeColor="text1"/>
                <w:sz w:val="22"/>
                <w:szCs w:val="30"/>
              </w:rPr>
            </w:pPr>
            <w:r>
              <w:rPr>
                <w:color w:val="000000" w:themeColor="text1"/>
                <w:sz w:val="22"/>
                <w:szCs w:val="30"/>
              </w:rPr>
              <w:t>June</w:t>
            </w:r>
          </w:p>
          <w:p w14:paraId="48F33D4C" w14:textId="77777777" w:rsidR="00BD06C4" w:rsidRPr="00D527C8" w:rsidRDefault="00BD06C4" w:rsidP="00BD06C4">
            <w:pPr>
              <w:rPr>
                <w:color w:val="000000" w:themeColor="text1"/>
                <w:sz w:val="22"/>
                <w:szCs w:val="30"/>
              </w:rPr>
            </w:pPr>
            <w:r>
              <w:rPr>
                <w:color w:val="000000" w:themeColor="text1"/>
                <w:sz w:val="22"/>
                <w:szCs w:val="30"/>
              </w:rPr>
              <w:t>2023</w:t>
            </w:r>
          </w:p>
          <w:p w14:paraId="0390ED5C" w14:textId="77777777" w:rsidR="00BD06C4" w:rsidRDefault="00BD06C4" w:rsidP="00BD06C4">
            <w:pPr>
              <w:ind w:left="970" w:hanging="970"/>
              <w:jc w:val="both"/>
              <w:rPr>
                <w:color w:val="0070C0"/>
                <w:sz w:val="30"/>
                <w:szCs w:val="30"/>
              </w:rPr>
            </w:pPr>
          </w:p>
        </w:tc>
        <w:tc>
          <w:tcPr>
            <w:tcW w:w="0" w:type="auto"/>
          </w:tcPr>
          <w:p w14:paraId="69EE924C" w14:textId="77777777" w:rsidR="00BD06C4" w:rsidRPr="00A41B47" w:rsidRDefault="00BD06C4" w:rsidP="00BD06C4">
            <w:pPr>
              <w:pStyle w:val="NoSpacing"/>
            </w:pPr>
            <w:r w:rsidRPr="006C0500">
              <w:t>Estimated from Data available from Bangladesh Bank and National Board of Revenue</w:t>
            </w:r>
          </w:p>
        </w:tc>
      </w:tr>
      <w:tr w:rsidR="00BD06C4" w14:paraId="1C03E33A" w14:textId="77777777" w:rsidTr="00586441">
        <w:tc>
          <w:tcPr>
            <w:tcW w:w="0" w:type="auto"/>
          </w:tcPr>
          <w:p w14:paraId="4E3931B5" w14:textId="77777777" w:rsidR="00BD06C4" w:rsidRDefault="00BD06C4" w:rsidP="00BD06C4">
            <w:pPr>
              <w:ind w:left="970" w:hanging="970"/>
              <w:jc w:val="both"/>
              <w:rPr>
                <w:color w:val="0070C0"/>
                <w:sz w:val="30"/>
                <w:szCs w:val="30"/>
              </w:rPr>
            </w:pPr>
          </w:p>
        </w:tc>
        <w:tc>
          <w:tcPr>
            <w:tcW w:w="17879" w:type="dxa"/>
            <w:gridSpan w:val="12"/>
          </w:tcPr>
          <w:p w14:paraId="0334CF5D"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17.11 Significantly increase the exports of developing countries, in particular with a view to doubling the least developed countries’ share of global exports by 2020</w:t>
            </w:r>
          </w:p>
        </w:tc>
      </w:tr>
      <w:tr w:rsidR="00BD06C4" w14:paraId="7A71CB11" w14:textId="77777777" w:rsidTr="00586441">
        <w:tc>
          <w:tcPr>
            <w:tcW w:w="0" w:type="auto"/>
          </w:tcPr>
          <w:p w14:paraId="5C30E3A4" w14:textId="77777777" w:rsidR="00BD06C4" w:rsidRPr="00BB536A" w:rsidRDefault="00BD06C4" w:rsidP="00BD06C4">
            <w:pPr>
              <w:pStyle w:val="NoSpacing"/>
            </w:pPr>
            <w:r w:rsidRPr="00BB536A">
              <w:t>17.11.1 Developing countries’ and least developed countries’ share of global exports</w:t>
            </w:r>
          </w:p>
        </w:tc>
        <w:tc>
          <w:tcPr>
            <w:tcW w:w="0" w:type="auto"/>
          </w:tcPr>
          <w:p w14:paraId="5A99E491" w14:textId="77777777" w:rsidR="00BD06C4" w:rsidRDefault="00BD06C4" w:rsidP="00BD06C4">
            <w:pPr>
              <w:ind w:left="970" w:hanging="970"/>
              <w:jc w:val="both"/>
              <w:rPr>
                <w:color w:val="0070C0"/>
                <w:sz w:val="30"/>
                <w:szCs w:val="30"/>
              </w:rPr>
            </w:pPr>
          </w:p>
          <w:p w14:paraId="5CE26E48" w14:textId="77777777" w:rsidR="00BD06C4" w:rsidRDefault="00BD06C4" w:rsidP="00BD06C4">
            <w:pPr>
              <w:pStyle w:val="NoSpacing"/>
            </w:pPr>
            <w:r>
              <w:t>WTO,</w:t>
            </w:r>
          </w:p>
          <w:p w14:paraId="75ADB7AA" w14:textId="77777777" w:rsidR="00BD06C4" w:rsidRDefault="00BD06C4" w:rsidP="00BD06C4">
            <w:pPr>
              <w:pStyle w:val="NoSpacing"/>
            </w:pPr>
            <w:r>
              <w:t>ITC,</w:t>
            </w:r>
          </w:p>
          <w:p w14:paraId="246BEA19" w14:textId="77777777" w:rsidR="00BD06C4" w:rsidRDefault="00BD06C4" w:rsidP="00BD06C4">
            <w:pPr>
              <w:pStyle w:val="NoSpacing"/>
            </w:pPr>
            <w:r>
              <w:t>UNCTAD</w:t>
            </w:r>
          </w:p>
        </w:tc>
        <w:tc>
          <w:tcPr>
            <w:tcW w:w="0" w:type="auto"/>
          </w:tcPr>
          <w:p w14:paraId="5B0085F1" w14:textId="77777777" w:rsidR="00BD06C4" w:rsidRDefault="00BD06C4" w:rsidP="00BD06C4">
            <w:pPr>
              <w:ind w:left="970" w:hanging="970"/>
              <w:jc w:val="both"/>
              <w:rPr>
                <w:color w:val="0070C0"/>
                <w:sz w:val="30"/>
                <w:szCs w:val="30"/>
              </w:rPr>
            </w:pPr>
            <w:r>
              <w:t>Tier I</w:t>
            </w:r>
          </w:p>
        </w:tc>
        <w:tc>
          <w:tcPr>
            <w:tcW w:w="0" w:type="auto"/>
          </w:tcPr>
          <w:p w14:paraId="3E1F459E" w14:textId="77777777" w:rsidR="00BD06C4" w:rsidRPr="00F25A71" w:rsidRDefault="00BD06C4" w:rsidP="00BD06C4">
            <w:pPr>
              <w:pStyle w:val="NoSpacing"/>
              <w:rPr>
                <w:lang w:val="en-GB"/>
              </w:rPr>
            </w:pPr>
            <w:r w:rsidRPr="00F25A71">
              <w:rPr>
                <w:b/>
                <w:bCs/>
                <w:lang w:val="en-GB"/>
              </w:rPr>
              <w:t>Definition:</w:t>
            </w:r>
          </w:p>
          <w:p w14:paraId="50BE9AC9" w14:textId="77777777" w:rsidR="00BD06C4" w:rsidRPr="00F25A71" w:rsidRDefault="00BD06C4" w:rsidP="00BD06C4">
            <w:pPr>
              <w:pStyle w:val="NoSpacing"/>
              <w:rPr>
                <w:lang w:val="en-GB"/>
              </w:rPr>
            </w:pPr>
          </w:p>
          <w:p w14:paraId="3B44E96F" w14:textId="77777777" w:rsidR="00BD06C4" w:rsidRPr="00F25A71" w:rsidRDefault="00BD06C4" w:rsidP="00BD06C4">
            <w:pPr>
              <w:pStyle w:val="NoSpacing"/>
              <w:rPr>
                <w:lang w:val="en-GB"/>
              </w:rPr>
            </w:pPr>
            <w:r w:rsidRPr="00F25A71">
              <w:rPr>
                <w:lang w:val="en-GB"/>
              </w:rPr>
              <w:t>Exports by developing countries and LDCs as a share of global exports of goods and services</w:t>
            </w:r>
          </w:p>
          <w:p w14:paraId="5DBC2E0D" w14:textId="77777777" w:rsidR="00BD06C4" w:rsidRPr="00F25A71" w:rsidRDefault="00BD06C4" w:rsidP="00BD06C4">
            <w:pPr>
              <w:pStyle w:val="NoSpacing"/>
              <w:rPr>
                <w:lang w:val="en-GB"/>
              </w:rPr>
            </w:pPr>
          </w:p>
          <w:p w14:paraId="173F83B0" w14:textId="77777777" w:rsidR="00BD06C4" w:rsidRPr="00F25A71" w:rsidRDefault="00BD06C4" w:rsidP="00BD06C4">
            <w:pPr>
              <w:pStyle w:val="NoSpacing"/>
              <w:rPr>
                <w:lang w:val="en-GB"/>
              </w:rPr>
            </w:pPr>
            <w:r w:rsidRPr="00F25A71">
              <w:rPr>
                <w:b/>
                <w:bCs/>
                <w:lang w:val="en-GB"/>
              </w:rPr>
              <w:t>Concepts:</w:t>
            </w:r>
          </w:p>
          <w:p w14:paraId="7AABBE0B" w14:textId="77777777" w:rsidR="00BD06C4" w:rsidRPr="00F25A71" w:rsidRDefault="00BD06C4" w:rsidP="00BD06C4">
            <w:pPr>
              <w:pStyle w:val="NoSpacing"/>
              <w:rPr>
                <w:lang w:val="en-GB"/>
              </w:rPr>
            </w:pPr>
          </w:p>
          <w:p w14:paraId="29A6944C" w14:textId="77777777" w:rsidR="00BD06C4" w:rsidRPr="00F25A71" w:rsidRDefault="00BD06C4" w:rsidP="00BD06C4">
            <w:pPr>
              <w:pStyle w:val="NoSpacing"/>
              <w:rPr>
                <w:lang w:val="en-GB"/>
              </w:rPr>
            </w:pPr>
            <w:r w:rsidRPr="00F25A71">
              <w:rPr>
                <w:lang w:val="en-GB"/>
              </w:rPr>
              <w:t>Harmonized System (HS): Is the international classification used to categorize products that are traded (merchandise trade)</w:t>
            </w:r>
          </w:p>
          <w:p w14:paraId="7693FB73" w14:textId="77777777" w:rsidR="00BD06C4" w:rsidRPr="00F25A71" w:rsidRDefault="00BD06C4" w:rsidP="00BD06C4">
            <w:pPr>
              <w:pStyle w:val="NoSpacing"/>
              <w:rPr>
                <w:lang w:val="en-GB"/>
              </w:rPr>
            </w:pPr>
          </w:p>
          <w:p w14:paraId="262274CC" w14:textId="77777777" w:rsidR="00BD06C4" w:rsidRPr="00F25A71" w:rsidRDefault="00BD06C4" w:rsidP="00BD06C4">
            <w:pPr>
              <w:pStyle w:val="NoSpacing"/>
              <w:rPr>
                <w:lang w:val="en-GB"/>
              </w:rPr>
            </w:pPr>
            <w:r w:rsidRPr="00F25A71">
              <w:rPr>
                <w:lang w:val="en-GB"/>
              </w:rPr>
              <w:t>Balance of Payments (BoP): Services are classified according to the items presented in the Balance of Payments as defined by the IMF in t the Balance of Payments Manual.</w:t>
            </w:r>
          </w:p>
          <w:p w14:paraId="12E78011" w14:textId="77777777" w:rsidR="00BD06C4" w:rsidRPr="00F25A71" w:rsidRDefault="00BD06C4" w:rsidP="00BD06C4">
            <w:pPr>
              <w:pStyle w:val="NoSpacing"/>
              <w:rPr>
                <w:lang w:val="en-GB"/>
              </w:rPr>
            </w:pPr>
          </w:p>
          <w:p w14:paraId="5628CA5E" w14:textId="77777777" w:rsidR="00BD06C4" w:rsidRPr="00F25A71" w:rsidRDefault="00BD06C4" w:rsidP="00BD06C4">
            <w:pPr>
              <w:pStyle w:val="NoSpacing"/>
              <w:rPr>
                <w:lang w:val="en-GB"/>
              </w:rPr>
            </w:pPr>
            <w:r w:rsidRPr="00F25A71">
              <w:rPr>
                <w:b/>
                <w:bCs/>
                <w:lang w:val="en-GB"/>
              </w:rPr>
              <w:t>Comments and limitations:</w:t>
            </w:r>
          </w:p>
          <w:p w14:paraId="75E848D8" w14:textId="77777777" w:rsidR="00BD06C4" w:rsidRPr="00F25A71" w:rsidRDefault="00BD06C4" w:rsidP="00BD06C4">
            <w:pPr>
              <w:pStyle w:val="NoSpacing"/>
              <w:rPr>
                <w:lang w:val="en-GB"/>
              </w:rPr>
            </w:pPr>
          </w:p>
          <w:p w14:paraId="6B3F785C" w14:textId="77777777" w:rsidR="00BD06C4" w:rsidRPr="00F25A71" w:rsidRDefault="00BD06C4" w:rsidP="00BD06C4">
            <w:pPr>
              <w:pStyle w:val="NoSpacing"/>
              <w:rPr>
                <w:lang w:val="en-GB"/>
              </w:rPr>
            </w:pPr>
            <w:r w:rsidRPr="00F25A71">
              <w:rPr>
                <w:lang w:val="en-GB"/>
              </w:rPr>
              <w:lastRenderedPageBreak/>
              <w:t>Export shares need to be analysed from different angles in order to infer whether a particular country or region made improvements in its trade performance. First of all, exports value should be always kept into account in order to observe whether changes in export shares are originating from increasing developing and LDCs exports or from a decrease of other countries exported values. Secondly, and in order to foster trade that is beneficial for the other SDGs, it would be useful to analyze the composition of the export basket by the level of processing of the goods that are traded. This will allow understanding whether progress are made in terms of the quality and value added of the products exported. In addition to that, while some exports like arms, oil and other natural resources would require a separate analysis, the calculation of export diversification indicators would be recommended to assess the progress made by developing and LDCs in terms of productivity and improvement of their export portfolio.</w:t>
            </w:r>
          </w:p>
          <w:p w14:paraId="7CF93EDB" w14:textId="77777777" w:rsidR="00BD06C4" w:rsidRPr="00F25A71" w:rsidRDefault="00BD06C4" w:rsidP="00BD06C4">
            <w:pPr>
              <w:pStyle w:val="NoSpacing"/>
              <w:rPr>
                <w:lang w:val="en-GB"/>
              </w:rPr>
            </w:pPr>
          </w:p>
          <w:p w14:paraId="00ED44E2" w14:textId="77777777" w:rsidR="00BD06C4" w:rsidRPr="00F25A71" w:rsidRDefault="00BD06C4" w:rsidP="00BD06C4">
            <w:pPr>
              <w:pStyle w:val="NoSpacing"/>
              <w:rPr>
                <w:lang w:val="en-GB"/>
              </w:rPr>
            </w:pPr>
            <w:r w:rsidRPr="00F25A71">
              <w:rPr>
                <w:lang w:val="en-GB"/>
              </w:rPr>
              <w:t>For what concerns trade in services, it could be necessary to draw on supplementary data from migration, tourism, multinational companies (MNC) and labour market statistics, in order to provide detailed figures for Travel and Government services n.i.e. A typical area of interest for international trade in services relates to the data that may be maintained by governments on education and health services provided to or by non-residents (travel; personal, cultural and recreational services). Information obtained from partner countries is useful in order to validate and improve statistics of the compiling economy. Data from international organizations can be useful for aid recipient countries to compile data on technical assistance services.</w:t>
            </w:r>
          </w:p>
          <w:p w14:paraId="2978462E" w14:textId="77777777" w:rsidR="00BD06C4" w:rsidRPr="00F25A71" w:rsidRDefault="00BD06C4" w:rsidP="00BD06C4">
            <w:pPr>
              <w:pStyle w:val="NoSpacing"/>
              <w:rPr>
                <w:b/>
                <w:bCs/>
                <w:lang w:val="en-GB"/>
              </w:rPr>
            </w:pPr>
          </w:p>
          <w:p w14:paraId="06290F68" w14:textId="77777777" w:rsidR="00BD06C4" w:rsidRPr="00F25A71" w:rsidRDefault="00BD06C4" w:rsidP="00BD06C4">
            <w:pPr>
              <w:pStyle w:val="NoSpacing"/>
              <w:rPr>
                <w:lang w:val="en-GB"/>
              </w:rPr>
            </w:pPr>
            <w:r w:rsidRPr="00F25A71">
              <w:rPr>
                <w:b/>
                <w:bCs/>
                <w:lang w:val="en-GB"/>
              </w:rPr>
              <w:t>Computation Method:</w:t>
            </w:r>
          </w:p>
          <w:p w14:paraId="7040CCB3" w14:textId="77777777" w:rsidR="00BD06C4" w:rsidRPr="00F25A71" w:rsidRDefault="00BD06C4" w:rsidP="00BD06C4">
            <w:pPr>
              <w:pStyle w:val="NoSpacing"/>
              <w:rPr>
                <w:lang w:val="en-GB"/>
              </w:rPr>
            </w:pPr>
          </w:p>
          <w:p w14:paraId="00F9F544" w14:textId="77777777" w:rsidR="00BD06C4" w:rsidRPr="00F25A71" w:rsidRDefault="00BD06C4" w:rsidP="00BD06C4">
            <w:pPr>
              <w:pStyle w:val="NoSpacing"/>
              <w:rPr>
                <w:lang w:val="en-GB"/>
              </w:rPr>
            </w:pPr>
            <w:r w:rsidRPr="00F25A71">
              <w:rPr>
                <w:lang w:val="en-GB"/>
              </w:rPr>
              <w:t>Share of global trade is intended of a particular group of country fraction of total trade.</w:t>
            </w:r>
          </w:p>
          <w:p w14:paraId="1042E1BC" w14:textId="77777777" w:rsidR="00BD06C4" w:rsidRPr="00F25A71" w:rsidRDefault="00BD06C4" w:rsidP="00BD06C4">
            <w:pPr>
              <w:pStyle w:val="NoSpacing"/>
              <w:rPr>
                <w:lang w:val="en-GB"/>
              </w:rPr>
            </w:pPr>
          </w:p>
          <w:p w14:paraId="70DAAD55" w14:textId="77777777" w:rsidR="00BD06C4" w:rsidRPr="00F25A71" w:rsidRDefault="00BD06C4" w:rsidP="00BD06C4">
            <w:pPr>
              <w:pStyle w:val="NoSpacing"/>
              <w:rPr>
                <w:lang w:val="en-GB"/>
              </w:rPr>
            </w:pPr>
            <w:r w:rsidRPr="00F25A71">
              <w:rPr>
                <w:lang w:val="en-GB"/>
              </w:rPr>
              <w:t>While for merchandise trade data are consistent through he time series (2000-current), for services trade there might be difficulties related to lack of harmonization for data previous to 2005. Before 2005 data are reported according the 5th Balance of Payments Manual. After 2005, data have been converted according to the categories and principles established by the 6th edition of the Balance of Payments Manual.</w:t>
            </w:r>
          </w:p>
          <w:p w14:paraId="10387886" w14:textId="77777777" w:rsidR="00BD06C4" w:rsidRDefault="00BD06C4" w:rsidP="00BD06C4">
            <w:pPr>
              <w:pStyle w:val="NoSpacing"/>
            </w:pPr>
          </w:p>
        </w:tc>
        <w:tc>
          <w:tcPr>
            <w:tcW w:w="2835" w:type="dxa"/>
          </w:tcPr>
          <w:p w14:paraId="6174786E" w14:textId="77777777" w:rsidR="00BD06C4" w:rsidRPr="00873FDE" w:rsidRDefault="00BD06C4" w:rsidP="00BD06C4">
            <w:pPr>
              <w:rPr>
                <w:szCs w:val="22"/>
              </w:rPr>
            </w:pPr>
            <w:r w:rsidRPr="00873FDE">
              <w:rPr>
                <w:szCs w:val="22"/>
              </w:rPr>
              <w:lastRenderedPageBreak/>
              <w:t>Time series: Yearly data from 2000 to latest year</w:t>
            </w:r>
          </w:p>
          <w:p w14:paraId="4C3D064D" w14:textId="77777777" w:rsidR="00BD06C4" w:rsidRPr="00873FDE" w:rsidRDefault="00BD06C4" w:rsidP="00BD06C4">
            <w:pPr>
              <w:rPr>
                <w:szCs w:val="22"/>
              </w:rPr>
            </w:pPr>
          </w:p>
          <w:p w14:paraId="5C2798DB" w14:textId="77777777" w:rsidR="00BD06C4" w:rsidRPr="00873FDE" w:rsidRDefault="00BD06C4" w:rsidP="00BD06C4">
            <w:pPr>
              <w:rPr>
                <w:szCs w:val="22"/>
              </w:rPr>
            </w:pPr>
            <w:r w:rsidRPr="00873FDE">
              <w:rPr>
                <w:szCs w:val="22"/>
              </w:rPr>
              <w:t>Data collection: Collection of trade data (import and export flow) occurs all year round.</w:t>
            </w:r>
          </w:p>
        </w:tc>
        <w:tc>
          <w:tcPr>
            <w:tcW w:w="1167" w:type="dxa"/>
          </w:tcPr>
          <w:p w14:paraId="761FDE13" w14:textId="77777777" w:rsidR="00BD06C4" w:rsidRPr="00873FDE" w:rsidRDefault="00BD06C4" w:rsidP="00BD06C4">
            <w:pPr>
              <w:rPr>
                <w:szCs w:val="22"/>
              </w:rPr>
            </w:pPr>
            <w:r w:rsidRPr="00873FDE">
              <w:rPr>
                <w:szCs w:val="22"/>
              </w:rPr>
              <w:t xml:space="preserve">"Trade in goods data included in the ITC (Trade Map) database </w:t>
            </w:r>
            <w:proofErr w:type="gramStart"/>
            <w:r w:rsidRPr="00873FDE">
              <w:rPr>
                <w:szCs w:val="22"/>
              </w:rPr>
              <w:t>are</w:t>
            </w:r>
            <w:proofErr w:type="gramEnd"/>
            <w:r w:rsidRPr="00873FDE">
              <w:rPr>
                <w:szCs w:val="22"/>
              </w:rPr>
              <w:t xml:space="preserve"> collected by contacting directly focal points in national agencies or regional organizations (in the case of custom unions or regional </w:t>
            </w:r>
            <w:r w:rsidRPr="00873FDE">
              <w:rPr>
                <w:szCs w:val="22"/>
              </w:rPr>
              <w:lastRenderedPageBreak/>
              <w:t xml:space="preserve">economic communities). Trade in goods data included in the WTO (IDB) database </w:t>
            </w:r>
            <w:proofErr w:type="gramStart"/>
            <w:r w:rsidRPr="00873FDE">
              <w:rPr>
                <w:szCs w:val="22"/>
              </w:rPr>
              <w:t>are</w:t>
            </w:r>
            <w:proofErr w:type="gramEnd"/>
            <w:r w:rsidRPr="00873FDE">
              <w:rPr>
                <w:szCs w:val="22"/>
              </w:rPr>
              <w:t xml:space="preserve"> sourced from official notifications of WTO members. Trade in goods data are complemented, when needed using the UN COMTRADE database. Trade in services data are sourced from a joint ITC/UNCTAD/WTO database, prevalently based on balance of payments accounts data maintained by the IMF, OECD and EUROSTAT. In some cases WTO jointly with UNCTAD collects information from national sources. Trade in services data can be retrieved by </w:t>
            </w:r>
            <w:r w:rsidRPr="00873FDE">
              <w:rPr>
                <w:szCs w:val="22"/>
              </w:rPr>
              <w:lastRenderedPageBreak/>
              <w:t>domestic banks and/or national statistic offices from one or more of the following sources: International Transaction Reporting System (ITRS). In this case, international payments channelled through domestic banks are collected, generally, under the responsibility of the national central bank. Payments are used as a proxy of transactions. Enterprise surveys. Generally, under the responsibility of the national statistical office.</w:t>
            </w:r>
          </w:p>
        </w:tc>
        <w:tc>
          <w:tcPr>
            <w:tcW w:w="0" w:type="auto"/>
          </w:tcPr>
          <w:p w14:paraId="315307CD" w14:textId="1A4D661A" w:rsidR="00BD06C4" w:rsidRDefault="00BD06C4" w:rsidP="00BD06C4">
            <w:pPr>
              <w:pStyle w:val="NoSpacing"/>
            </w:pPr>
          </w:p>
          <w:p w14:paraId="595EFE11" w14:textId="77777777" w:rsidR="00BD06C4" w:rsidRDefault="00BD06C4" w:rsidP="00BD06C4">
            <w:pPr>
              <w:pStyle w:val="NoSpacing"/>
            </w:pPr>
            <w:r w:rsidRPr="00BC6F10">
              <w:rPr>
                <w:szCs w:val="20"/>
              </w:rPr>
              <w:t>UNSTATS</w:t>
            </w:r>
          </w:p>
        </w:tc>
        <w:tc>
          <w:tcPr>
            <w:tcW w:w="0" w:type="auto"/>
          </w:tcPr>
          <w:p w14:paraId="2C45ADAA" w14:textId="77777777" w:rsidR="00BD06C4" w:rsidRDefault="00BD06C4" w:rsidP="00BD06C4">
            <w:pPr>
              <w:pStyle w:val="NoSpacing"/>
            </w:pPr>
            <w:r>
              <w:t>BTC, MoC</w:t>
            </w:r>
          </w:p>
          <w:p w14:paraId="08242449" w14:textId="77777777" w:rsidR="00BD06C4" w:rsidRDefault="00BD06C4" w:rsidP="00BD06C4">
            <w:pPr>
              <w:pStyle w:val="NoSpacing"/>
            </w:pPr>
            <w:r>
              <w:t>Administrative Data</w:t>
            </w:r>
          </w:p>
        </w:tc>
        <w:tc>
          <w:tcPr>
            <w:tcW w:w="0" w:type="auto"/>
          </w:tcPr>
          <w:p w14:paraId="6D90A99B"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product sector (e.g. Agriculture, Textile, Environmental goods), </w:t>
            </w:r>
          </w:p>
          <w:p w14:paraId="61C79C23"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0"/>
              </w:rPr>
            </w:pPr>
            <w:r>
              <w:rPr>
                <w:rFonts w:ascii="Tw Cen MT Condensed" w:hAnsi="Tw Cen MT Condensed"/>
                <w:sz w:val="20"/>
                <w:szCs w:val="20"/>
              </w:rPr>
              <w:t>level of goods processing</w:t>
            </w:r>
          </w:p>
          <w:p w14:paraId="41BDDC3B" w14:textId="77777777" w:rsidR="00BD06C4" w:rsidRDefault="00BD06C4" w:rsidP="00BD06C4">
            <w:pPr>
              <w:ind w:left="970" w:hanging="970"/>
              <w:jc w:val="both"/>
              <w:rPr>
                <w:color w:val="0070C0"/>
                <w:sz w:val="30"/>
                <w:szCs w:val="30"/>
              </w:rPr>
            </w:pPr>
          </w:p>
        </w:tc>
        <w:tc>
          <w:tcPr>
            <w:tcW w:w="1078" w:type="dxa"/>
          </w:tcPr>
          <w:p w14:paraId="2BB6A464" w14:textId="77777777" w:rsidR="00BD06C4" w:rsidRDefault="00BD06C4" w:rsidP="00BD06C4">
            <w:pPr>
              <w:ind w:left="970" w:hanging="970"/>
              <w:jc w:val="both"/>
              <w:rPr>
                <w:color w:val="0070C0"/>
                <w:sz w:val="30"/>
                <w:szCs w:val="30"/>
              </w:rPr>
            </w:pPr>
            <w:r w:rsidRPr="00C37F69">
              <w:rPr>
                <w:szCs w:val="20"/>
              </w:rPr>
              <w:lastRenderedPageBreak/>
              <w:t>Annual</w:t>
            </w:r>
          </w:p>
        </w:tc>
        <w:tc>
          <w:tcPr>
            <w:tcW w:w="872" w:type="dxa"/>
          </w:tcPr>
          <w:p w14:paraId="18CD6BD1" w14:textId="77777777" w:rsidR="00BD06C4" w:rsidRDefault="00BD06C4" w:rsidP="00BD06C4">
            <w:pPr>
              <w:ind w:left="970" w:hanging="970"/>
              <w:jc w:val="both"/>
              <w:rPr>
                <w:color w:val="0070C0"/>
                <w:sz w:val="30"/>
                <w:szCs w:val="30"/>
              </w:rPr>
            </w:pPr>
            <w:r>
              <w:t>Group 1</w:t>
            </w:r>
          </w:p>
        </w:tc>
        <w:tc>
          <w:tcPr>
            <w:tcW w:w="619" w:type="dxa"/>
          </w:tcPr>
          <w:p w14:paraId="3810C94E" w14:textId="77777777" w:rsidR="00BD06C4" w:rsidRDefault="00BD06C4" w:rsidP="00BD06C4">
            <w:pPr>
              <w:pStyle w:val="NoSpacing"/>
            </w:pPr>
            <w:r>
              <w:t>1</w:t>
            </w:r>
            <w:r w:rsidRPr="00013ACB">
              <w:rPr>
                <w:vertAlign w:val="superscript"/>
              </w:rPr>
              <w:t>st</w:t>
            </w:r>
            <w:r>
              <w:t xml:space="preserve"> Round:</w:t>
            </w:r>
          </w:p>
          <w:p w14:paraId="77077865" w14:textId="77777777" w:rsidR="00BD06C4" w:rsidRDefault="00BD06C4" w:rsidP="00BD06C4">
            <w:pPr>
              <w:pStyle w:val="NoSpacing"/>
            </w:pPr>
            <w:r>
              <w:t>2015</w:t>
            </w:r>
          </w:p>
          <w:p w14:paraId="74A2AA55" w14:textId="77777777" w:rsidR="00BD06C4" w:rsidRDefault="00BD06C4" w:rsidP="00BD06C4">
            <w:pPr>
              <w:pStyle w:val="NoSpacing"/>
            </w:pPr>
          </w:p>
          <w:p w14:paraId="1F6D7199" w14:textId="77777777" w:rsidR="00BD06C4" w:rsidRDefault="00BD06C4" w:rsidP="00BD06C4">
            <w:pPr>
              <w:pStyle w:val="NoSpacing"/>
            </w:pPr>
            <w:r>
              <w:t>2</w:t>
            </w:r>
            <w:r w:rsidRPr="00013ACB">
              <w:rPr>
                <w:vertAlign w:val="superscript"/>
              </w:rPr>
              <w:t>nd</w:t>
            </w:r>
            <w:r>
              <w:t xml:space="preserve"> Round:</w:t>
            </w:r>
          </w:p>
          <w:p w14:paraId="44ABB1A8" w14:textId="77777777" w:rsidR="00BD06C4" w:rsidRDefault="00BD06C4" w:rsidP="00BD06C4">
            <w:pPr>
              <w:pStyle w:val="NoSpacing"/>
            </w:pPr>
            <w:r>
              <w:t xml:space="preserve"> September </w:t>
            </w:r>
          </w:p>
          <w:p w14:paraId="09CB40EB" w14:textId="77777777" w:rsidR="00BD06C4" w:rsidRDefault="00BD06C4" w:rsidP="00BD06C4">
            <w:pPr>
              <w:pStyle w:val="NoSpacing"/>
            </w:pPr>
            <w:r>
              <w:t>2019</w:t>
            </w:r>
          </w:p>
          <w:p w14:paraId="55862467" w14:textId="77777777" w:rsidR="00BD06C4" w:rsidRDefault="00BD06C4" w:rsidP="00BD06C4">
            <w:pPr>
              <w:pStyle w:val="NoSpacing"/>
            </w:pPr>
          </w:p>
          <w:p w14:paraId="162F63A1" w14:textId="77777777" w:rsidR="00BD06C4" w:rsidRDefault="00BD06C4" w:rsidP="00BD06C4">
            <w:pPr>
              <w:pStyle w:val="NoSpacing"/>
            </w:pPr>
            <w:r>
              <w:t>3</w:t>
            </w:r>
            <w:r w:rsidRPr="00013ACB">
              <w:rPr>
                <w:vertAlign w:val="superscript"/>
              </w:rPr>
              <w:t>rd</w:t>
            </w:r>
            <w:r>
              <w:t xml:space="preserve"> Round: </w:t>
            </w:r>
          </w:p>
          <w:p w14:paraId="330DD3A8" w14:textId="77777777" w:rsidR="00BD06C4" w:rsidRDefault="00BD06C4" w:rsidP="00BD06C4">
            <w:pPr>
              <w:pStyle w:val="NoSpacing"/>
            </w:pPr>
            <w:r>
              <w:t>Septem</w:t>
            </w:r>
            <w:r>
              <w:lastRenderedPageBreak/>
              <w:t xml:space="preserve">ber </w:t>
            </w:r>
          </w:p>
          <w:p w14:paraId="347DA867" w14:textId="77777777" w:rsidR="00BD06C4" w:rsidRDefault="00BD06C4" w:rsidP="00BD06C4">
            <w:pPr>
              <w:pStyle w:val="NoSpacing"/>
            </w:pPr>
            <w:r>
              <w:t>2020</w:t>
            </w:r>
          </w:p>
          <w:p w14:paraId="53B23F20" w14:textId="77777777" w:rsidR="00BD06C4" w:rsidRDefault="00BD06C4" w:rsidP="00BD06C4">
            <w:pPr>
              <w:pStyle w:val="NoSpacing"/>
            </w:pPr>
          </w:p>
          <w:p w14:paraId="782C81F1" w14:textId="77777777" w:rsidR="00BD06C4" w:rsidRDefault="00BD06C4" w:rsidP="00BD06C4">
            <w:pPr>
              <w:pStyle w:val="NoSpacing"/>
            </w:pPr>
            <w:r>
              <w:t>4</w:t>
            </w:r>
            <w:r w:rsidRPr="00013ACB">
              <w:rPr>
                <w:vertAlign w:val="superscript"/>
              </w:rPr>
              <w:t>th</w:t>
            </w:r>
            <w:r>
              <w:t xml:space="preserve"> Round: </w:t>
            </w:r>
          </w:p>
          <w:p w14:paraId="5E81FA27" w14:textId="77777777" w:rsidR="00BD06C4" w:rsidRDefault="00BD06C4" w:rsidP="00BD06C4">
            <w:pPr>
              <w:pStyle w:val="NoSpacing"/>
            </w:pPr>
            <w:r>
              <w:t xml:space="preserve">September </w:t>
            </w:r>
          </w:p>
          <w:p w14:paraId="3B6690E5" w14:textId="77777777" w:rsidR="00BD06C4" w:rsidRDefault="00BD06C4" w:rsidP="00BD06C4">
            <w:pPr>
              <w:pStyle w:val="NoSpacing"/>
            </w:pPr>
            <w:r>
              <w:t>2021</w:t>
            </w:r>
          </w:p>
          <w:p w14:paraId="68D17C27" w14:textId="77777777" w:rsidR="00BD06C4" w:rsidRDefault="00BD06C4" w:rsidP="00BD06C4">
            <w:pPr>
              <w:pStyle w:val="NoSpacing"/>
            </w:pPr>
          </w:p>
          <w:p w14:paraId="4794D1A3" w14:textId="77777777" w:rsidR="00BD06C4" w:rsidRDefault="00BD06C4" w:rsidP="00BD06C4">
            <w:pPr>
              <w:pStyle w:val="NoSpacing"/>
            </w:pPr>
            <w:r>
              <w:t>5</w:t>
            </w:r>
            <w:r w:rsidRPr="00013ACB">
              <w:rPr>
                <w:vertAlign w:val="superscript"/>
              </w:rPr>
              <w:t>th</w:t>
            </w:r>
            <w:r>
              <w:t xml:space="preserve"> Round: </w:t>
            </w:r>
          </w:p>
          <w:p w14:paraId="333B4284" w14:textId="77777777" w:rsidR="00BD06C4" w:rsidRDefault="00BD06C4" w:rsidP="00BD06C4">
            <w:pPr>
              <w:pStyle w:val="NoSpacing"/>
            </w:pPr>
            <w:r>
              <w:t xml:space="preserve">September </w:t>
            </w:r>
          </w:p>
          <w:p w14:paraId="037395CD" w14:textId="77777777" w:rsidR="00BD06C4" w:rsidRDefault="00BD06C4" w:rsidP="00BD06C4">
            <w:pPr>
              <w:pStyle w:val="NoSpacing"/>
            </w:pPr>
            <w:r>
              <w:t>2022</w:t>
            </w:r>
          </w:p>
          <w:p w14:paraId="7DA0C13A" w14:textId="4F9D7215" w:rsidR="00BD06C4" w:rsidRPr="00AA35EE" w:rsidRDefault="00BD06C4" w:rsidP="00BD06C4">
            <w:pPr>
              <w:pStyle w:val="NoSpacing"/>
            </w:pPr>
          </w:p>
        </w:tc>
        <w:tc>
          <w:tcPr>
            <w:tcW w:w="0" w:type="auto"/>
          </w:tcPr>
          <w:p w14:paraId="1B21CAE7" w14:textId="77777777" w:rsidR="00BD06C4" w:rsidRDefault="00BD06C4" w:rsidP="00BD06C4">
            <w:pPr>
              <w:ind w:left="970" w:hanging="970"/>
              <w:jc w:val="both"/>
              <w:rPr>
                <w:color w:val="0070C0"/>
                <w:sz w:val="30"/>
                <w:szCs w:val="30"/>
              </w:rPr>
            </w:pPr>
          </w:p>
        </w:tc>
      </w:tr>
      <w:tr w:rsidR="00771CB6" w14:paraId="39046477" w14:textId="77777777" w:rsidTr="00586441">
        <w:tc>
          <w:tcPr>
            <w:tcW w:w="18710" w:type="dxa"/>
            <w:gridSpan w:val="13"/>
          </w:tcPr>
          <w:p w14:paraId="5AD1ADC6" w14:textId="77777777" w:rsidR="00771CB6" w:rsidRDefault="00771CB6" w:rsidP="00BD06C4">
            <w:pPr>
              <w:jc w:val="both"/>
              <w:rPr>
                <w:color w:val="0070C0"/>
                <w:sz w:val="48"/>
                <w:szCs w:val="48"/>
              </w:rPr>
            </w:pPr>
            <w:r>
              <w:rPr>
                <w:color w:val="0070C0"/>
                <w:sz w:val="30"/>
                <w:szCs w:val="30"/>
              </w:rPr>
              <w:lastRenderedPageBreak/>
              <w:t xml:space="preserve">Target </w:t>
            </w:r>
            <w:r w:rsidRPr="00306900">
              <w:rPr>
                <w:color w:val="0070C0"/>
                <w:sz w:val="30"/>
                <w:szCs w:val="30"/>
              </w:rPr>
              <w:t>17.12 Realize timely implementation of duty-free and quota-free market access on a lasting basis for all least developed countries, consistent with World Trade Organization decisions, including by ensuring that preferential rules of origin applicable to imports from least developed countries are transparent and simple, and contribute to facilitating market access</w:t>
            </w:r>
          </w:p>
        </w:tc>
      </w:tr>
      <w:tr w:rsidR="00BD06C4" w14:paraId="00C07E65" w14:textId="77777777" w:rsidTr="00586441">
        <w:tc>
          <w:tcPr>
            <w:tcW w:w="0" w:type="auto"/>
          </w:tcPr>
          <w:p w14:paraId="788EF368" w14:textId="77777777" w:rsidR="00BD06C4" w:rsidRPr="00BB536A" w:rsidRDefault="00BD06C4" w:rsidP="00BD06C4">
            <w:pPr>
              <w:pStyle w:val="NoSpacing"/>
            </w:pPr>
            <w:r w:rsidRPr="00BB536A">
              <w:t xml:space="preserve">17.12.1 Weighted average tariffs </w:t>
            </w:r>
            <w:r w:rsidRPr="00BB536A">
              <w:lastRenderedPageBreak/>
              <w:t>faced by developing countries, least developed countries and small island developing States</w:t>
            </w:r>
          </w:p>
        </w:tc>
        <w:tc>
          <w:tcPr>
            <w:tcW w:w="0" w:type="auto"/>
          </w:tcPr>
          <w:p w14:paraId="1F1CD63E" w14:textId="77777777" w:rsidR="00BD06C4" w:rsidRDefault="00BD06C4" w:rsidP="00BD06C4">
            <w:pPr>
              <w:ind w:left="970" w:hanging="970"/>
              <w:jc w:val="both"/>
              <w:rPr>
                <w:color w:val="0070C0"/>
                <w:sz w:val="30"/>
                <w:szCs w:val="30"/>
              </w:rPr>
            </w:pPr>
          </w:p>
          <w:p w14:paraId="3053CCEF" w14:textId="77777777" w:rsidR="00BD06C4" w:rsidRDefault="00BD06C4" w:rsidP="00BD06C4">
            <w:pPr>
              <w:pStyle w:val="NoSpacing"/>
            </w:pPr>
            <w:r>
              <w:t>WTO,</w:t>
            </w:r>
          </w:p>
          <w:p w14:paraId="19E9C072" w14:textId="77777777" w:rsidR="00BD06C4" w:rsidRDefault="00BD06C4" w:rsidP="00BD06C4">
            <w:pPr>
              <w:pStyle w:val="NoSpacing"/>
            </w:pPr>
            <w:r>
              <w:t>ITC,</w:t>
            </w:r>
          </w:p>
          <w:p w14:paraId="3788A42A" w14:textId="77777777" w:rsidR="00BD06C4" w:rsidRDefault="00BD06C4" w:rsidP="00BD06C4">
            <w:pPr>
              <w:pStyle w:val="NoSpacing"/>
            </w:pPr>
            <w:r>
              <w:lastRenderedPageBreak/>
              <w:t>UNCTAD</w:t>
            </w:r>
          </w:p>
        </w:tc>
        <w:tc>
          <w:tcPr>
            <w:tcW w:w="0" w:type="auto"/>
          </w:tcPr>
          <w:p w14:paraId="100EB56E" w14:textId="77777777" w:rsidR="00BD06C4" w:rsidRDefault="00BD06C4" w:rsidP="00BD06C4">
            <w:pPr>
              <w:ind w:left="970" w:hanging="970"/>
              <w:jc w:val="both"/>
              <w:rPr>
                <w:color w:val="0070C0"/>
                <w:sz w:val="30"/>
                <w:szCs w:val="30"/>
              </w:rPr>
            </w:pPr>
            <w:r>
              <w:lastRenderedPageBreak/>
              <w:t>Tier I</w:t>
            </w:r>
          </w:p>
        </w:tc>
        <w:tc>
          <w:tcPr>
            <w:tcW w:w="0" w:type="auto"/>
          </w:tcPr>
          <w:p w14:paraId="1F52EC18" w14:textId="77777777" w:rsidR="00BD06C4" w:rsidRPr="00F25A71" w:rsidRDefault="00BD06C4" w:rsidP="00BD06C4">
            <w:pPr>
              <w:pStyle w:val="NoSpacing"/>
              <w:rPr>
                <w:lang w:val="en-GB"/>
              </w:rPr>
            </w:pPr>
            <w:r w:rsidRPr="00F25A71">
              <w:rPr>
                <w:b/>
                <w:bCs/>
                <w:lang w:val="en-GB"/>
              </w:rPr>
              <w:t>Definition:</w:t>
            </w:r>
          </w:p>
          <w:p w14:paraId="4B3811DC" w14:textId="77777777" w:rsidR="00BD06C4" w:rsidRPr="00F25A71" w:rsidRDefault="00BD06C4" w:rsidP="00BD06C4">
            <w:pPr>
              <w:pStyle w:val="NoSpacing"/>
              <w:rPr>
                <w:lang w:val="en-GB"/>
              </w:rPr>
            </w:pPr>
          </w:p>
          <w:p w14:paraId="41120727" w14:textId="77777777" w:rsidR="00BD06C4" w:rsidRPr="00F25A71" w:rsidRDefault="00BD06C4" w:rsidP="00BD06C4">
            <w:pPr>
              <w:pStyle w:val="NoSpacing"/>
              <w:rPr>
                <w:lang w:val="en-GB"/>
              </w:rPr>
            </w:pPr>
            <w:r w:rsidRPr="00F25A71">
              <w:rPr>
                <w:lang w:val="en-GB"/>
              </w:rPr>
              <w:t>Average import tariffs (in per cent) faced by products exported from developing countries and least developed countries.</w:t>
            </w:r>
          </w:p>
          <w:p w14:paraId="6BA94206" w14:textId="77777777" w:rsidR="00BD06C4" w:rsidRPr="00F25A71" w:rsidRDefault="00BD06C4" w:rsidP="00BD06C4">
            <w:pPr>
              <w:pStyle w:val="NoSpacing"/>
              <w:rPr>
                <w:lang w:val="en-GB"/>
              </w:rPr>
            </w:pPr>
            <w:r w:rsidRPr="00F25A71">
              <w:rPr>
                <w:b/>
                <w:bCs/>
                <w:lang w:val="en-GB"/>
              </w:rPr>
              <w:lastRenderedPageBreak/>
              <w:t>Concepts:</w:t>
            </w:r>
          </w:p>
          <w:p w14:paraId="5756DEBC" w14:textId="77777777" w:rsidR="00BD06C4" w:rsidRPr="00F25A71" w:rsidRDefault="00BD06C4" w:rsidP="00BD06C4">
            <w:pPr>
              <w:pStyle w:val="NoSpacing"/>
              <w:rPr>
                <w:lang w:val="en-GB"/>
              </w:rPr>
            </w:pPr>
          </w:p>
          <w:p w14:paraId="3AABA432" w14:textId="77777777" w:rsidR="00BD06C4" w:rsidRPr="00F25A71" w:rsidRDefault="00BD06C4" w:rsidP="00BD06C4">
            <w:pPr>
              <w:pStyle w:val="NoSpacing"/>
              <w:rPr>
                <w:lang w:val="en-GB"/>
              </w:rPr>
            </w:pPr>
            <w:r w:rsidRPr="00F25A71">
              <w:rPr>
                <w:lang w:val="en-GB"/>
              </w:rPr>
              <w:t>Tariffs: Tariffs are customs duties on merchandise imports, levied either on an ad valorem basis (percentage of value) or on a specific basis (e.g. $7 per 100 kg). Tariffs can be used to create a price advantage for similar locally-produced goods and for raising government revenues. Trade remedy measures and taxes are not considered to be tariffs. Tariff in HS chapters 01-97 is taken into consideration.</w:t>
            </w:r>
          </w:p>
          <w:p w14:paraId="65C6DA18" w14:textId="77777777" w:rsidR="00BD06C4" w:rsidRPr="00F25A71" w:rsidRDefault="00BD06C4" w:rsidP="00BD06C4">
            <w:pPr>
              <w:pStyle w:val="NoSpacing"/>
              <w:rPr>
                <w:lang w:val="en-GB"/>
              </w:rPr>
            </w:pPr>
          </w:p>
          <w:p w14:paraId="18A9B2F2" w14:textId="77777777" w:rsidR="00BD06C4" w:rsidRPr="00F25A71" w:rsidRDefault="00BD06C4" w:rsidP="00BD06C4">
            <w:pPr>
              <w:pStyle w:val="NoSpacing"/>
              <w:rPr>
                <w:lang w:val="en-GB"/>
              </w:rPr>
            </w:pPr>
            <w:r w:rsidRPr="00F25A71">
              <w:rPr>
                <w:lang w:val="en-GB"/>
              </w:rPr>
              <w:t>Tariff line or National Tariff lines (NTL): National Tariff Line codes refer to the classification codes, applied to merchandise goods by individual countries that are longer than the HS six digit level. Countries are free to introduce national distinctions for tariffs and many other purposes.</w:t>
            </w:r>
          </w:p>
          <w:p w14:paraId="4142BACA" w14:textId="77777777" w:rsidR="00BD06C4" w:rsidRPr="00F25A71" w:rsidRDefault="00BD06C4" w:rsidP="00BD06C4">
            <w:pPr>
              <w:pStyle w:val="NoSpacing"/>
              <w:rPr>
                <w:lang w:val="en-GB"/>
              </w:rPr>
            </w:pPr>
          </w:p>
          <w:p w14:paraId="3804BF29" w14:textId="77777777" w:rsidR="00BD06C4" w:rsidRPr="00F25A71" w:rsidRDefault="00BD06C4" w:rsidP="00BD06C4">
            <w:pPr>
              <w:pStyle w:val="NoSpacing"/>
              <w:rPr>
                <w:lang w:val="en-GB"/>
              </w:rPr>
            </w:pPr>
            <w:r w:rsidRPr="00F25A71">
              <w:rPr>
                <w:lang w:val="en-GB"/>
              </w:rPr>
              <w:t>The national tariff line codes are based on the HS system but are longer than six digits. For example, the six digit HS code 010120 refers to Asses, mules and hinnies, live, whereas the US National Tariff line code 010120.10 refers to live purebred breeding asses, 010120.20 refers to live asses other than purebred breeding asses and 010120.30 refers to mules and hinnies imported for immediate slaughter.</w:t>
            </w:r>
          </w:p>
          <w:p w14:paraId="29265153" w14:textId="77777777" w:rsidR="00BD06C4" w:rsidRPr="00F25A71" w:rsidRDefault="00BD06C4" w:rsidP="00BD06C4">
            <w:pPr>
              <w:pStyle w:val="NoSpacing"/>
              <w:rPr>
                <w:lang w:val="en-GB"/>
              </w:rPr>
            </w:pPr>
          </w:p>
          <w:p w14:paraId="3E0AB74B" w14:textId="77777777" w:rsidR="00BD06C4" w:rsidRPr="00F25A71" w:rsidRDefault="00BD06C4" w:rsidP="00BD06C4">
            <w:pPr>
              <w:pStyle w:val="NoSpacing"/>
              <w:rPr>
                <w:lang w:val="en-GB"/>
              </w:rPr>
            </w:pPr>
            <w:r w:rsidRPr="00F25A71">
              <w:rPr>
                <w:b/>
                <w:bCs/>
                <w:lang w:val="en-GB"/>
              </w:rPr>
              <w:t>Comments and limitations:</w:t>
            </w:r>
          </w:p>
          <w:p w14:paraId="3C267F6E" w14:textId="77777777" w:rsidR="00BD06C4" w:rsidRPr="00F25A71" w:rsidRDefault="00BD06C4" w:rsidP="00BD06C4">
            <w:pPr>
              <w:pStyle w:val="NoSpacing"/>
              <w:rPr>
                <w:lang w:val="en-GB"/>
              </w:rPr>
            </w:pPr>
          </w:p>
          <w:p w14:paraId="2BF367DE" w14:textId="77777777" w:rsidR="00BD06C4" w:rsidRPr="00F25A71" w:rsidRDefault="00BD06C4" w:rsidP="00BD06C4">
            <w:pPr>
              <w:pStyle w:val="NoSpacing"/>
              <w:rPr>
                <w:lang w:val="en-GB"/>
              </w:rPr>
            </w:pPr>
            <w:r w:rsidRPr="00F25A71">
              <w:rPr>
                <w:lang w:val="en-GB"/>
              </w:rPr>
              <w:t>"The reduction of average tariffs on key sector as agriculture can represent a proxy of the level of commitment of developed country to improve market access conditions.</w:t>
            </w:r>
          </w:p>
          <w:p w14:paraId="33E47F60" w14:textId="77777777" w:rsidR="00BD06C4" w:rsidRPr="00F25A71" w:rsidRDefault="00BD06C4" w:rsidP="00BD06C4">
            <w:pPr>
              <w:pStyle w:val="NoSpacing"/>
              <w:rPr>
                <w:lang w:val="en-GB"/>
              </w:rPr>
            </w:pPr>
          </w:p>
          <w:p w14:paraId="5FF7438A" w14:textId="77777777" w:rsidR="00BD06C4" w:rsidRPr="00F25A71" w:rsidRDefault="00BD06C4" w:rsidP="00BD06C4">
            <w:pPr>
              <w:pStyle w:val="NoSpacing"/>
              <w:rPr>
                <w:lang w:val="en-GB"/>
              </w:rPr>
            </w:pPr>
            <w:r w:rsidRPr="00F25A71">
              <w:rPr>
                <w:lang w:val="en-GB"/>
              </w:rPr>
              <w:t>In terms of limitations:</w:t>
            </w:r>
          </w:p>
          <w:p w14:paraId="2BE6F1C8" w14:textId="77777777" w:rsidR="00BD06C4" w:rsidRPr="00F25A71" w:rsidRDefault="00BD06C4" w:rsidP="00BD06C4">
            <w:pPr>
              <w:pStyle w:val="NoSpacing"/>
              <w:rPr>
                <w:lang w:val="en-GB"/>
              </w:rPr>
            </w:pPr>
            <w:r w:rsidRPr="00F25A71">
              <w:rPr>
                <w:lang w:val="en-GB"/>
              </w:rPr>
              <w:t>Tariffs are only part of the trade limitation factors to the implementation of duty-free and quota-free market access, especially when looking at exports of developing or least developed countries under non-reciprocal preferential treatment that set criteria for eligibility. Accurate estimates on non-tariff measures do not exist, thus the calculations on market access are limited to tariffs only.</w:t>
            </w:r>
          </w:p>
          <w:p w14:paraId="55D647AB" w14:textId="77777777" w:rsidR="00BD06C4" w:rsidRPr="00F25A71" w:rsidRDefault="00BD06C4" w:rsidP="00BD06C4">
            <w:pPr>
              <w:pStyle w:val="NoSpacing"/>
              <w:rPr>
                <w:lang w:val="en-GB"/>
              </w:rPr>
            </w:pPr>
          </w:p>
          <w:p w14:paraId="188845F0" w14:textId="77777777" w:rsidR="00BD06C4" w:rsidRPr="00F25A71" w:rsidRDefault="00BD06C4" w:rsidP="00BD06C4">
            <w:pPr>
              <w:pStyle w:val="NoSpacing"/>
              <w:rPr>
                <w:lang w:val="en-GB"/>
              </w:rPr>
            </w:pPr>
            <w:r w:rsidRPr="00F25A71">
              <w:rPr>
                <w:lang w:val="en-GB"/>
              </w:rPr>
              <w:t>A full coverage of preferential schemes of developed countries has been used for the computation, but preferential treatment may not be fully used by developing countries' exporters for different reasons such as the inability of certain exporters to meet eligibility criteria (i.e., complying with rules of origin)."</w:t>
            </w:r>
          </w:p>
          <w:p w14:paraId="3EEFC15C" w14:textId="77777777" w:rsidR="00BD06C4" w:rsidRPr="00F25A71" w:rsidRDefault="00BD06C4" w:rsidP="00BD06C4">
            <w:pPr>
              <w:pStyle w:val="NoSpacing"/>
              <w:rPr>
                <w:b/>
                <w:bCs/>
                <w:lang w:val="en-GB"/>
              </w:rPr>
            </w:pPr>
          </w:p>
          <w:p w14:paraId="0ED9B09B" w14:textId="77777777" w:rsidR="00BD06C4" w:rsidRPr="00F25A71" w:rsidRDefault="00BD06C4" w:rsidP="00BD06C4">
            <w:pPr>
              <w:pStyle w:val="NoSpacing"/>
              <w:rPr>
                <w:lang w:val="en-GB"/>
              </w:rPr>
            </w:pPr>
            <w:r w:rsidRPr="00F25A71">
              <w:rPr>
                <w:b/>
                <w:bCs/>
                <w:lang w:val="en-GB"/>
              </w:rPr>
              <w:t>Computation Method:</w:t>
            </w:r>
          </w:p>
          <w:p w14:paraId="5058D70A" w14:textId="77777777" w:rsidR="00BD06C4" w:rsidRPr="00F25A71" w:rsidRDefault="00BD06C4" w:rsidP="00BD06C4">
            <w:pPr>
              <w:pStyle w:val="NoSpacing"/>
              <w:rPr>
                <w:lang w:val="en-GB"/>
              </w:rPr>
            </w:pPr>
          </w:p>
          <w:p w14:paraId="7B3E8554" w14:textId="77777777" w:rsidR="00BD06C4" w:rsidRPr="00F25A71" w:rsidRDefault="00BD06C4" w:rsidP="00BD06C4">
            <w:pPr>
              <w:pStyle w:val="NoSpacing"/>
              <w:rPr>
                <w:lang w:val="en-GB"/>
              </w:rPr>
            </w:pPr>
            <w:r w:rsidRPr="00F25A71">
              <w:rPr>
                <w:lang w:val="en-GB"/>
              </w:rPr>
              <w:lastRenderedPageBreak/>
              <w:t>Some tariff rates which are not expressed in ad valorem form (e.g., specific duties) need to be converted in ad valorem equivalents (i.e. in per cent of the import value). The conversion is made at the tariff line level for each importer by using the unit value method. Import unit values are calculated from import values and quantities. Only a limited number of non-ad valorem tariff rates (i.e. technical duties) cannot be provided with ad valorem equivalents (AVE) and are excluded from the calculation. This methodology also allows for cross-country comparisons.</w:t>
            </w:r>
          </w:p>
          <w:p w14:paraId="288DDA88" w14:textId="77777777" w:rsidR="00BD06C4" w:rsidRDefault="00BD06C4" w:rsidP="00BD06C4">
            <w:pPr>
              <w:pStyle w:val="NoSpacing"/>
            </w:pPr>
          </w:p>
        </w:tc>
        <w:tc>
          <w:tcPr>
            <w:tcW w:w="2835" w:type="dxa"/>
          </w:tcPr>
          <w:p w14:paraId="6505665A" w14:textId="77777777" w:rsidR="00BD06C4" w:rsidRPr="00873FDE" w:rsidRDefault="00BD06C4" w:rsidP="00BD06C4">
            <w:pPr>
              <w:rPr>
                <w:szCs w:val="22"/>
              </w:rPr>
            </w:pPr>
            <w:r w:rsidRPr="00873FDE">
              <w:rPr>
                <w:szCs w:val="22"/>
              </w:rPr>
              <w:lastRenderedPageBreak/>
              <w:t>Time series: Yearly data from 2005 to latest year</w:t>
            </w:r>
          </w:p>
          <w:p w14:paraId="1B346776" w14:textId="77777777" w:rsidR="00BD06C4" w:rsidRPr="00873FDE" w:rsidRDefault="00BD06C4" w:rsidP="00BD06C4">
            <w:pPr>
              <w:rPr>
                <w:szCs w:val="22"/>
              </w:rPr>
            </w:pPr>
            <w:r w:rsidRPr="00873FDE">
              <w:rPr>
                <w:szCs w:val="22"/>
              </w:rPr>
              <w:t>Continuously updated all year round</w:t>
            </w:r>
          </w:p>
        </w:tc>
        <w:tc>
          <w:tcPr>
            <w:tcW w:w="1167" w:type="dxa"/>
          </w:tcPr>
          <w:p w14:paraId="4471C866" w14:textId="77777777" w:rsidR="00BD06C4" w:rsidRPr="00873FDE" w:rsidRDefault="00BD06C4" w:rsidP="00BD06C4">
            <w:pPr>
              <w:rPr>
                <w:szCs w:val="22"/>
              </w:rPr>
            </w:pPr>
            <w:r w:rsidRPr="00873FDE">
              <w:rPr>
                <w:szCs w:val="22"/>
              </w:rPr>
              <w:t xml:space="preserve">The main information used to calculate indicators </w:t>
            </w:r>
            <w:r w:rsidRPr="00873FDE">
              <w:rPr>
                <w:szCs w:val="22"/>
              </w:rPr>
              <w:lastRenderedPageBreak/>
              <w:t>17.12.1 is import tariff data. Information on import tariffs might be retrieved by contacting directly National statistical offices, permanent country missions to the UN, regional organizations or focal points within the customs, ministries in charge of customs revenues (Ministry of economy/finance and related revenue authorities) or, alternatively, the Ministry of trade. Tariff data for the calculation of this indicator are retrieved from ITC (MAcMap) - http://www.macmap.org/ - WTO (IDB) - http://tao.wto.or</w:t>
            </w:r>
            <w:r w:rsidRPr="00873FDE">
              <w:rPr>
                <w:szCs w:val="22"/>
              </w:rPr>
              <w:lastRenderedPageBreak/>
              <w:t xml:space="preserve">g - and UNCTAD (TRAINS) databases. Import tariff data included in the ITC (MAcMap) database are collected by contacting directly focal points in line national agencies or regional organizations (in the case of custom unions or regional economic communities). When available, data are downloaded from national or regional official websites. In some cases, data are purchased from private companies. Import tariff data included in the WTO (IDB) database are sourced from official notifications of WTO members. </w:t>
            </w:r>
            <w:r w:rsidRPr="00873FDE">
              <w:rPr>
                <w:szCs w:val="22"/>
              </w:rPr>
              <w:lastRenderedPageBreak/>
              <w:t>Import tariff included in the UNCTAD (TRAINS) database are collected from official sources, including official country or regional organizations websites.</w:t>
            </w:r>
          </w:p>
        </w:tc>
        <w:tc>
          <w:tcPr>
            <w:tcW w:w="0" w:type="auto"/>
          </w:tcPr>
          <w:p w14:paraId="5C21C32D" w14:textId="77777777" w:rsidR="00BD06C4" w:rsidRDefault="00BD06C4" w:rsidP="00BD06C4">
            <w:pPr>
              <w:pStyle w:val="NoSpacing"/>
            </w:pPr>
            <w:r>
              <w:lastRenderedPageBreak/>
              <w:t>BTC, WITS</w:t>
            </w:r>
          </w:p>
          <w:p w14:paraId="16497230" w14:textId="662E698A" w:rsidR="00BD06C4" w:rsidRDefault="00BD06C4" w:rsidP="00BD06C4">
            <w:pPr>
              <w:pStyle w:val="NoSpacing"/>
            </w:pPr>
          </w:p>
          <w:p w14:paraId="1AAE50F0" w14:textId="77777777" w:rsidR="00BD06C4" w:rsidRDefault="00BD06C4" w:rsidP="00BD06C4">
            <w:pPr>
              <w:pStyle w:val="NoSpacing"/>
            </w:pPr>
            <w:r>
              <w:t>Administrative Data</w:t>
            </w:r>
          </w:p>
        </w:tc>
        <w:tc>
          <w:tcPr>
            <w:tcW w:w="0" w:type="auto"/>
          </w:tcPr>
          <w:p w14:paraId="2C63D530" w14:textId="77777777" w:rsidR="00BD06C4" w:rsidRDefault="00BD06C4" w:rsidP="00BD06C4">
            <w:pPr>
              <w:pStyle w:val="NoSpacing"/>
            </w:pPr>
            <w:r>
              <w:t>BTC, MoC</w:t>
            </w:r>
          </w:p>
          <w:p w14:paraId="0CF66FA7" w14:textId="77777777" w:rsidR="00BD06C4" w:rsidRDefault="00BD06C4" w:rsidP="00BD06C4">
            <w:pPr>
              <w:pStyle w:val="NoSpacing"/>
            </w:pPr>
            <w:r>
              <w:t>Administrative Data</w:t>
            </w:r>
          </w:p>
        </w:tc>
        <w:tc>
          <w:tcPr>
            <w:tcW w:w="0" w:type="auto"/>
          </w:tcPr>
          <w:p w14:paraId="65260BA5"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type of country: Develope</w:t>
            </w:r>
            <w:r>
              <w:rPr>
                <w:rFonts w:ascii="Tw Cen MT Condensed" w:hAnsi="Tw Cen MT Condensed"/>
                <w:sz w:val="20"/>
                <w:szCs w:val="20"/>
              </w:rPr>
              <w:lastRenderedPageBreak/>
              <w:t>d, Developing, LDCs</w:t>
            </w:r>
          </w:p>
          <w:p w14:paraId="59B92157" w14:textId="4CF1627E" w:rsidR="00BD06C4" w:rsidRPr="00771CB6" w:rsidRDefault="00BD06C4" w:rsidP="00771CB6">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product sector</w:t>
            </w:r>
          </w:p>
        </w:tc>
        <w:tc>
          <w:tcPr>
            <w:tcW w:w="1078" w:type="dxa"/>
          </w:tcPr>
          <w:p w14:paraId="2E40F966" w14:textId="77777777" w:rsidR="00BD06C4" w:rsidRDefault="00BD06C4" w:rsidP="00BD06C4">
            <w:pPr>
              <w:ind w:left="970" w:hanging="970"/>
              <w:jc w:val="both"/>
              <w:rPr>
                <w:color w:val="0070C0"/>
                <w:sz w:val="30"/>
                <w:szCs w:val="30"/>
              </w:rPr>
            </w:pPr>
            <w:r w:rsidRPr="00C37F69">
              <w:rPr>
                <w:szCs w:val="20"/>
              </w:rPr>
              <w:lastRenderedPageBreak/>
              <w:t>Annual</w:t>
            </w:r>
          </w:p>
        </w:tc>
        <w:tc>
          <w:tcPr>
            <w:tcW w:w="872" w:type="dxa"/>
          </w:tcPr>
          <w:p w14:paraId="0DAC7C06" w14:textId="77777777" w:rsidR="00BD06C4" w:rsidRDefault="00BD06C4" w:rsidP="00BD06C4">
            <w:pPr>
              <w:ind w:left="970" w:hanging="970"/>
              <w:jc w:val="both"/>
              <w:rPr>
                <w:color w:val="0070C0"/>
                <w:sz w:val="30"/>
                <w:szCs w:val="30"/>
              </w:rPr>
            </w:pPr>
            <w:r>
              <w:t>Group 1</w:t>
            </w:r>
          </w:p>
        </w:tc>
        <w:tc>
          <w:tcPr>
            <w:tcW w:w="619" w:type="dxa"/>
          </w:tcPr>
          <w:p w14:paraId="1D9DCE59" w14:textId="77777777" w:rsidR="00BD06C4" w:rsidRDefault="00BD06C4" w:rsidP="00BD06C4">
            <w:pPr>
              <w:pStyle w:val="NoSpacing"/>
            </w:pPr>
            <w:r>
              <w:t>1</w:t>
            </w:r>
            <w:r w:rsidRPr="00013ACB">
              <w:rPr>
                <w:vertAlign w:val="superscript"/>
              </w:rPr>
              <w:t>st</w:t>
            </w:r>
            <w:r>
              <w:t xml:space="preserve"> Round:</w:t>
            </w:r>
          </w:p>
          <w:p w14:paraId="4A01DEE9" w14:textId="77777777" w:rsidR="00BD06C4" w:rsidRDefault="00BD06C4" w:rsidP="00BD06C4">
            <w:pPr>
              <w:pStyle w:val="NoSpacing"/>
            </w:pPr>
            <w:r>
              <w:t>2014</w:t>
            </w:r>
          </w:p>
          <w:p w14:paraId="44D15B6C" w14:textId="77777777" w:rsidR="00BD06C4" w:rsidRDefault="00BD06C4" w:rsidP="00BD06C4">
            <w:pPr>
              <w:pStyle w:val="NoSpacing"/>
            </w:pPr>
          </w:p>
          <w:p w14:paraId="2EAD22B7" w14:textId="77777777" w:rsidR="00BD06C4" w:rsidRDefault="00BD06C4" w:rsidP="00BD06C4">
            <w:pPr>
              <w:pStyle w:val="NoSpacing"/>
            </w:pPr>
            <w:r>
              <w:lastRenderedPageBreak/>
              <w:t>2</w:t>
            </w:r>
            <w:r w:rsidRPr="00013ACB">
              <w:rPr>
                <w:vertAlign w:val="superscript"/>
              </w:rPr>
              <w:t>nd</w:t>
            </w:r>
            <w:r>
              <w:t xml:space="preserve"> Round:</w:t>
            </w:r>
          </w:p>
          <w:p w14:paraId="43199036" w14:textId="77777777" w:rsidR="00BD06C4" w:rsidRDefault="00BD06C4" w:rsidP="00BD06C4">
            <w:pPr>
              <w:pStyle w:val="NoSpacing"/>
            </w:pPr>
            <w:r>
              <w:t xml:space="preserve"> July,</w:t>
            </w:r>
          </w:p>
          <w:p w14:paraId="46BE3744" w14:textId="77777777" w:rsidR="00BD06C4" w:rsidRDefault="00BD06C4" w:rsidP="00BD06C4">
            <w:pPr>
              <w:pStyle w:val="NoSpacing"/>
            </w:pPr>
            <w:r>
              <w:t>2019</w:t>
            </w:r>
          </w:p>
          <w:p w14:paraId="0A5B08C5" w14:textId="77777777" w:rsidR="00BD06C4" w:rsidRDefault="00BD06C4" w:rsidP="00BD06C4">
            <w:pPr>
              <w:pStyle w:val="NoSpacing"/>
            </w:pPr>
          </w:p>
          <w:p w14:paraId="616C119B" w14:textId="77777777" w:rsidR="00BD06C4" w:rsidRDefault="00BD06C4" w:rsidP="00BD06C4">
            <w:pPr>
              <w:pStyle w:val="NoSpacing"/>
            </w:pPr>
            <w:r>
              <w:t>3</w:t>
            </w:r>
            <w:r w:rsidRPr="00013ACB">
              <w:rPr>
                <w:vertAlign w:val="superscript"/>
              </w:rPr>
              <w:t>rd</w:t>
            </w:r>
            <w:r>
              <w:t xml:space="preserve"> Round: </w:t>
            </w:r>
          </w:p>
          <w:p w14:paraId="09EC4F50" w14:textId="77777777" w:rsidR="00BD06C4" w:rsidRDefault="00BD06C4" w:rsidP="00BD06C4">
            <w:pPr>
              <w:pStyle w:val="NoSpacing"/>
            </w:pPr>
            <w:r>
              <w:t>July,</w:t>
            </w:r>
          </w:p>
          <w:p w14:paraId="49AB6809" w14:textId="77777777" w:rsidR="00BD06C4" w:rsidRDefault="00BD06C4" w:rsidP="00BD06C4">
            <w:pPr>
              <w:pStyle w:val="NoSpacing"/>
            </w:pPr>
            <w:r>
              <w:t>2020</w:t>
            </w:r>
          </w:p>
          <w:p w14:paraId="4FC2EF0B" w14:textId="77777777" w:rsidR="00BD06C4" w:rsidRDefault="00BD06C4" w:rsidP="00BD06C4">
            <w:pPr>
              <w:pStyle w:val="NoSpacing"/>
            </w:pPr>
          </w:p>
          <w:p w14:paraId="045967AB" w14:textId="77777777" w:rsidR="00BD06C4" w:rsidRDefault="00BD06C4" w:rsidP="00BD06C4">
            <w:pPr>
              <w:pStyle w:val="NoSpacing"/>
            </w:pPr>
            <w:r>
              <w:t>4</w:t>
            </w:r>
            <w:r w:rsidRPr="00013ACB">
              <w:rPr>
                <w:vertAlign w:val="superscript"/>
              </w:rPr>
              <w:t>th</w:t>
            </w:r>
            <w:r>
              <w:t xml:space="preserve"> Round: </w:t>
            </w:r>
          </w:p>
          <w:p w14:paraId="74EAC975" w14:textId="77777777" w:rsidR="00BD06C4" w:rsidRDefault="00BD06C4" w:rsidP="00BD06C4">
            <w:pPr>
              <w:pStyle w:val="NoSpacing"/>
            </w:pPr>
            <w:r>
              <w:t>July,</w:t>
            </w:r>
          </w:p>
          <w:p w14:paraId="6E3F9280" w14:textId="77777777" w:rsidR="00BD06C4" w:rsidRDefault="00BD06C4" w:rsidP="00BD06C4">
            <w:pPr>
              <w:pStyle w:val="NoSpacing"/>
            </w:pPr>
            <w:r>
              <w:t>2021</w:t>
            </w:r>
          </w:p>
          <w:p w14:paraId="17E4223A" w14:textId="77777777" w:rsidR="00BD06C4" w:rsidRDefault="00BD06C4" w:rsidP="00BD06C4">
            <w:pPr>
              <w:pStyle w:val="NoSpacing"/>
            </w:pPr>
          </w:p>
          <w:p w14:paraId="2601C9F0" w14:textId="77777777" w:rsidR="00BD06C4" w:rsidRDefault="00BD06C4" w:rsidP="00BD06C4">
            <w:pPr>
              <w:pStyle w:val="NoSpacing"/>
            </w:pPr>
            <w:r>
              <w:t>5</w:t>
            </w:r>
            <w:r w:rsidRPr="00013ACB">
              <w:rPr>
                <w:vertAlign w:val="superscript"/>
              </w:rPr>
              <w:t>th</w:t>
            </w:r>
            <w:r>
              <w:t xml:space="preserve"> Round: </w:t>
            </w:r>
          </w:p>
          <w:p w14:paraId="2DACBEE0" w14:textId="77777777" w:rsidR="00BD06C4" w:rsidRDefault="00BD06C4" w:rsidP="00BD06C4">
            <w:pPr>
              <w:pStyle w:val="NoSpacing"/>
            </w:pPr>
            <w:r>
              <w:t>July,</w:t>
            </w:r>
          </w:p>
          <w:p w14:paraId="5723642D" w14:textId="77777777" w:rsidR="00BD06C4" w:rsidRDefault="00BD06C4" w:rsidP="00BD06C4">
            <w:pPr>
              <w:pStyle w:val="NoSpacing"/>
            </w:pPr>
            <w:r>
              <w:t>2022</w:t>
            </w:r>
          </w:p>
          <w:p w14:paraId="0D05015A" w14:textId="4AF15DFC" w:rsidR="00BD06C4" w:rsidRDefault="00BD06C4" w:rsidP="00BD06C4">
            <w:pPr>
              <w:pStyle w:val="NoSpacing"/>
            </w:pPr>
          </w:p>
        </w:tc>
        <w:tc>
          <w:tcPr>
            <w:tcW w:w="0" w:type="auto"/>
          </w:tcPr>
          <w:p w14:paraId="14118FA6" w14:textId="77777777" w:rsidR="00BD06C4" w:rsidRDefault="00BD06C4" w:rsidP="00BD06C4">
            <w:pPr>
              <w:pStyle w:val="NoSpacing"/>
            </w:pPr>
            <w:r w:rsidRPr="00A41B47">
              <w:lastRenderedPageBreak/>
              <w:t>UNSC 51 refinement</w:t>
            </w:r>
          </w:p>
        </w:tc>
      </w:tr>
      <w:tr w:rsidR="00BD06C4" w14:paraId="48B11269" w14:textId="77777777" w:rsidTr="00586441">
        <w:tc>
          <w:tcPr>
            <w:tcW w:w="0" w:type="auto"/>
          </w:tcPr>
          <w:p w14:paraId="73BD86CF" w14:textId="77777777" w:rsidR="00BD06C4" w:rsidRDefault="00BD06C4" w:rsidP="00BD06C4">
            <w:pPr>
              <w:ind w:left="970" w:hanging="970"/>
              <w:jc w:val="both"/>
              <w:rPr>
                <w:color w:val="0070C0"/>
                <w:sz w:val="30"/>
                <w:szCs w:val="30"/>
              </w:rPr>
            </w:pPr>
          </w:p>
        </w:tc>
        <w:tc>
          <w:tcPr>
            <w:tcW w:w="17879" w:type="dxa"/>
            <w:gridSpan w:val="12"/>
          </w:tcPr>
          <w:p w14:paraId="48E9B427" w14:textId="77777777" w:rsidR="00BD06C4" w:rsidRDefault="00BD06C4" w:rsidP="00BD06C4">
            <w:pPr>
              <w:jc w:val="both"/>
              <w:rPr>
                <w:color w:val="0070C0"/>
                <w:sz w:val="48"/>
                <w:szCs w:val="48"/>
              </w:rPr>
            </w:pPr>
            <w:r>
              <w:rPr>
                <w:color w:val="0070C0"/>
                <w:sz w:val="30"/>
                <w:szCs w:val="30"/>
              </w:rPr>
              <w:t xml:space="preserve">Target </w:t>
            </w:r>
            <w:r w:rsidRPr="00306900">
              <w:rPr>
                <w:color w:val="0070C0"/>
                <w:sz w:val="30"/>
                <w:szCs w:val="30"/>
              </w:rPr>
              <w:t>17.13 Enhance global macroeconomic stability, including through policy coordination and policy coherence</w:t>
            </w:r>
          </w:p>
        </w:tc>
      </w:tr>
      <w:tr w:rsidR="00BD06C4" w14:paraId="1027A771" w14:textId="77777777" w:rsidTr="00586441">
        <w:tc>
          <w:tcPr>
            <w:tcW w:w="0" w:type="auto"/>
          </w:tcPr>
          <w:p w14:paraId="4C1C229B" w14:textId="77777777" w:rsidR="00BD06C4" w:rsidRPr="00BB536A" w:rsidRDefault="00BD06C4" w:rsidP="00BD06C4">
            <w:pPr>
              <w:pStyle w:val="NoSpacing"/>
            </w:pPr>
            <w:r w:rsidRPr="00BB536A">
              <w:t>17.13.1 Macroeconomic Dashboard</w:t>
            </w:r>
          </w:p>
        </w:tc>
        <w:tc>
          <w:tcPr>
            <w:tcW w:w="0" w:type="auto"/>
          </w:tcPr>
          <w:p w14:paraId="6E6873B1" w14:textId="77777777" w:rsidR="00BD06C4" w:rsidRDefault="00BD06C4" w:rsidP="00BD06C4">
            <w:pPr>
              <w:ind w:left="970" w:hanging="970"/>
              <w:jc w:val="both"/>
              <w:rPr>
                <w:color w:val="0070C0"/>
                <w:sz w:val="30"/>
                <w:szCs w:val="30"/>
              </w:rPr>
            </w:pPr>
          </w:p>
          <w:p w14:paraId="382B2FE8" w14:textId="77777777" w:rsidR="00BD06C4" w:rsidRDefault="00BD06C4" w:rsidP="00BD06C4">
            <w:pPr>
              <w:pStyle w:val="NoSpacing"/>
            </w:pPr>
            <w:r w:rsidRPr="005867D7">
              <w:t>World Bank</w:t>
            </w:r>
          </w:p>
        </w:tc>
        <w:tc>
          <w:tcPr>
            <w:tcW w:w="0" w:type="auto"/>
          </w:tcPr>
          <w:p w14:paraId="6BD9B29E" w14:textId="77777777" w:rsidR="00BD06C4" w:rsidRDefault="00BD06C4" w:rsidP="00BD06C4">
            <w:pPr>
              <w:ind w:left="970" w:hanging="970"/>
              <w:jc w:val="both"/>
              <w:rPr>
                <w:color w:val="0070C0"/>
                <w:sz w:val="30"/>
                <w:szCs w:val="30"/>
              </w:rPr>
            </w:pPr>
            <w:r w:rsidRPr="00666BAB">
              <w:t>Tier II</w:t>
            </w:r>
          </w:p>
        </w:tc>
        <w:tc>
          <w:tcPr>
            <w:tcW w:w="0" w:type="auto"/>
          </w:tcPr>
          <w:p w14:paraId="19A6415A" w14:textId="77777777" w:rsidR="00BD06C4" w:rsidRPr="00C27110" w:rsidRDefault="00BD06C4" w:rsidP="00BD06C4">
            <w:pPr>
              <w:rPr>
                <w:b/>
              </w:rPr>
            </w:pPr>
            <w:r w:rsidRPr="00C27110">
              <w:rPr>
                <w:b/>
              </w:rPr>
              <w:t>Objective:</w:t>
            </w:r>
          </w:p>
          <w:p w14:paraId="1A25C72E" w14:textId="77777777" w:rsidR="00BD06C4" w:rsidRDefault="00BD06C4" w:rsidP="00BD06C4">
            <w:pPr>
              <w:autoSpaceDE w:val="0"/>
              <w:autoSpaceDN w:val="0"/>
              <w:adjustRightInd w:val="0"/>
            </w:pPr>
            <w:r>
              <w:t xml:space="preserve">To provide a standardized instrument to monitor the macroeconomic stability of countries, the World Bank has designed a Macroeconomic dashboard including important macroeconomic indicators covering the </w:t>
            </w:r>
            <w:r w:rsidRPr="00E744AC">
              <w:t>external, financial, fiscal, and real sector</w:t>
            </w:r>
            <w:r>
              <w:t xml:space="preserve">s. The indicator selection builds on existing macroeconomic monitoring frameworks developed and used by international and regional agencies, such as the IMF, the WB, the ECB and the OECD. </w:t>
            </w:r>
          </w:p>
          <w:p w14:paraId="3656ED01" w14:textId="77777777" w:rsidR="00BD06C4" w:rsidRDefault="00BD06C4" w:rsidP="00BD06C4">
            <w:pPr>
              <w:autoSpaceDE w:val="0"/>
              <w:autoSpaceDN w:val="0"/>
              <w:adjustRightInd w:val="0"/>
            </w:pPr>
            <w:r>
              <w:t xml:space="preserve">The Macroeconomic dashboard has selected indicators covering the above-mentioned topics, annual data for the ten most recent years, and will be maintained </w:t>
            </w:r>
            <w:r w:rsidRPr="00033FDB">
              <w:t xml:space="preserve">for </w:t>
            </w:r>
            <w:r>
              <w:t>all countries</w:t>
            </w:r>
            <w:r w:rsidRPr="00033FDB">
              <w:t xml:space="preserve">. The </w:t>
            </w:r>
            <w:r>
              <w:t>dashboard</w:t>
            </w:r>
            <w:r w:rsidRPr="00033FDB">
              <w:t xml:space="preserve"> </w:t>
            </w:r>
            <w:r>
              <w:t>will be</w:t>
            </w:r>
            <w:r w:rsidRPr="00033FDB">
              <w:t xml:space="preserve"> updated </w:t>
            </w:r>
            <w:r>
              <w:t xml:space="preserve">quarterly, and will be published on the World Bank’s Data site (Data.WorldBank.org) as well as </w:t>
            </w:r>
            <w:r w:rsidRPr="00033FDB">
              <w:t>on th</w:t>
            </w:r>
            <w:r>
              <w:t>e UN SDG website</w:t>
            </w:r>
            <w:r w:rsidRPr="00033FDB">
              <w:t>.</w:t>
            </w:r>
            <w:r>
              <w:t xml:space="preserve"> </w:t>
            </w:r>
          </w:p>
          <w:p w14:paraId="3FCF092B" w14:textId="77777777" w:rsidR="00BD06C4" w:rsidRDefault="00BD06C4" w:rsidP="00BD06C4">
            <w:pPr>
              <w:autoSpaceDE w:val="0"/>
              <w:autoSpaceDN w:val="0"/>
              <w:adjustRightInd w:val="0"/>
              <w:rPr>
                <w:b/>
              </w:rPr>
            </w:pPr>
            <w:r w:rsidRPr="00E744AC">
              <w:rPr>
                <w:b/>
              </w:rPr>
              <w:t xml:space="preserve">External Sector </w:t>
            </w:r>
          </w:p>
          <w:p w14:paraId="049F8D3E" w14:textId="77777777" w:rsidR="00BD06C4" w:rsidRDefault="00BD06C4" w:rsidP="00BD06C4">
            <w:pPr>
              <w:autoSpaceDE w:val="0"/>
              <w:autoSpaceDN w:val="0"/>
              <w:adjustRightInd w:val="0"/>
              <w:rPr>
                <w:u w:val="single"/>
              </w:rPr>
            </w:pPr>
            <w:r>
              <w:t xml:space="preserve">To monitor each country’s trade and balance of payments situation, the dashboard will include indicators for the current and capital &amp; financial accounts.  </w:t>
            </w:r>
            <w:r>
              <w:br/>
            </w:r>
          </w:p>
          <w:p w14:paraId="77FA3619" w14:textId="77777777" w:rsidR="00BD06C4" w:rsidRDefault="00BD06C4" w:rsidP="00BD06C4">
            <w:pPr>
              <w:autoSpaceDE w:val="0"/>
              <w:autoSpaceDN w:val="0"/>
              <w:adjustRightInd w:val="0"/>
            </w:pPr>
            <w:r w:rsidRPr="000B70ED">
              <w:rPr>
                <w:u w:val="single"/>
              </w:rPr>
              <w:t>Current Account</w:t>
            </w:r>
            <w:r>
              <w:t>: The current account balance is an important indicator of an economy’s health</w:t>
            </w:r>
            <w:r w:rsidRPr="0042296F">
              <w:rPr>
                <w:rFonts w:cs="FuturaBT-Light"/>
              </w:rPr>
              <w:t>.</w:t>
            </w:r>
            <w:r>
              <w:rPr>
                <w:rFonts w:cs="FuturaBT-Light"/>
              </w:rPr>
              <w:t xml:space="preserve"> It is defined as the sum of the resource balance (exports less imports of goods and services), net primary income and secondary income</w:t>
            </w:r>
            <w:r w:rsidRPr="0042296F">
              <w:rPr>
                <w:rFonts w:cs="FuturaBT-Light"/>
              </w:rPr>
              <w:t xml:space="preserve">. </w:t>
            </w:r>
            <w:r>
              <w:t>In addition, the dashboard includes indicators such as merchandise trade as a share of GDP</w:t>
            </w:r>
            <w:r w:rsidRPr="00681D0F">
              <w:t xml:space="preserve"> </w:t>
            </w:r>
            <w:r w:rsidRPr="00D00A85">
              <w:t>to</w:t>
            </w:r>
            <w:r>
              <w:t xml:space="preserve"> monitor the trade openness of the country, and data on personal remittances, which have become an important integral part of many developing economies, since any changes to these flows may have major impact on developing countries’ current account balances. </w:t>
            </w:r>
            <w:r>
              <w:rPr>
                <w:rFonts w:cs="FuturaBT-Light"/>
              </w:rPr>
              <w:t>The current account balance is also defined as the savings-investment gap for an economy.</w:t>
            </w:r>
          </w:p>
          <w:p w14:paraId="54FA4E39" w14:textId="77777777" w:rsidR="00BD06C4" w:rsidRPr="00D00A85" w:rsidRDefault="00BD06C4" w:rsidP="00BD06C4">
            <w:pPr>
              <w:autoSpaceDE w:val="0"/>
              <w:autoSpaceDN w:val="0"/>
              <w:adjustRightInd w:val="0"/>
            </w:pPr>
            <w:r w:rsidRPr="000B70ED">
              <w:rPr>
                <w:u w:val="single"/>
              </w:rPr>
              <w:t xml:space="preserve">Capital </w:t>
            </w:r>
            <w:r>
              <w:rPr>
                <w:u w:val="single"/>
              </w:rPr>
              <w:t xml:space="preserve">and Financial </w:t>
            </w:r>
            <w:r w:rsidRPr="000B70ED">
              <w:rPr>
                <w:u w:val="single"/>
              </w:rPr>
              <w:t>Account</w:t>
            </w:r>
            <w:r>
              <w:rPr>
                <w:u w:val="single"/>
              </w:rPr>
              <w:t>s:</w:t>
            </w:r>
            <w:r>
              <w:t xml:space="preserve"> Data on capital and financial flows are </w:t>
            </w:r>
            <w:proofErr w:type="gramStart"/>
            <w:r>
              <w:t>key</w:t>
            </w:r>
            <w:proofErr w:type="gramEnd"/>
            <w:r>
              <w:t xml:space="preserve"> for monitoring </w:t>
            </w:r>
            <w:r w:rsidRPr="00D00A85">
              <w:t>vulnerability to shocks</w:t>
            </w:r>
            <w:r>
              <w:t xml:space="preserve"> and</w:t>
            </w:r>
            <w:r w:rsidRPr="00D00A85">
              <w:t xml:space="preserve"> constraints on fiscal and monetary polic</w:t>
            </w:r>
            <w:r>
              <w:t>ies</w:t>
            </w:r>
            <w:r w:rsidRPr="00D00A85">
              <w:t xml:space="preserve">. </w:t>
            </w:r>
            <w:r>
              <w:t>F</w:t>
            </w:r>
            <w:r w:rsidRPr="005E7598">
              <w:t xml:space="preserve">inancing trade deficits </w:t>
            </w:r>
            <w:r w:rsidRPr="005E7598">
              <w:lastRenderedPageBreak/>
              <w:t xml:space="preserve">or other current imbalances through </w:t>
            </w:r>
            <w:r>
              <w:t>capital and financial flows</w:t>
            </w:r>
            <w:r w:rsidRPr="005E7598">
              <w:t xml:space="preserve"> is a </w:t>
            </w:r>
            <w:r>
              <w:t xml:space="preserve">reasonable </w:t>
            </w:r>
            <w:r w:rsidRPr="005E7598">
              <w:t>way to achieve consumption smoothing of emerging economies</w:t>
            </w:r>
            <w:r>
              <w:t>. FDI equity</w:t>
            </w:r>
            <w:r w:rsidRPr="0042296F">
              <w:t xml:space="preserve"> are a preferred method of financing external current account deficits since </w:t>
            </w:r>
            <w:r>
              <w:t>these</w:t>
            </w:r>
            <w:r w:rsidRPr="0042296F">
              <w:t xml:space="preserve"> flows are non – debt – creating.</w:t>
            </w:r>
            <w:r>
              <w:t xml:space="preserve"> Portfolio investment inflows measure the exposure of foreign investors to developing country bond and equity markets.  </w:t>
            </w:r>
          </w:p>
          <w:p w14:paraId="2197C557" w14:textId="77777777" w:rsidR="00BD06C4" w:rsidRDefault="00BD06C4" w:rsidP="00BD06C4">
            <w:pPr>
              <w:autoSpaceDE w:val="0"/>
              <w:autoSpaceDN w:val="0"/>
              <w:adjustRightInd w:val="0"/>
            </w:pPr>
            <w:r>
              <w:t>The sustainability of the balance of payments depends on both the current account and the capital and financial account balances, including foreign reserves.</w:t>
            </w:r>
          </w:p>
          <w:p w14:paraId="567A4BE8" w14:textId="77777777" w:rsidR="00BD06C4" w:rsidRDefault="00BD06C4" w:rsidP="00BD06C4">
            <w:pPr>
              <w:autoSpaceDE w:val="0"/>
              <w:autoSpaceDN w:val="0"/>
              <w:adjustRightInd w:val="0"/>
              <w:rPr>
                <w:u w:val="single"/>
              </w:rPr>
            </w:pPr>
            <w:r w:rsidRPr="0063553F">
              <w:t xml:space="preserve">External indebtedness affects a country's creditworthiness and investor perceptions. Nonreporting countries might have outstanding debt with the World Bank, other international financial institutions, or private creditors. Total debt service is contrasted with countries' ability to obtain foreign exchange through exports of goods, services, primary income, and </w:t>
            </w:r>
            <w:r>
              <w:t>personal</w:t>
            </w:r>
            <w:r w:rsidRPr="0063553F">
              <w:t xml:space="preserve"> remittances.</w:t>
            </w:r>
            <w:r>
              <w:t xml:space="preserve"> </w:t>
            </w:r>
            <w:r w:rsidRPr="0063553F">
              <w:t xml:space="preserve">Debt ratios are used to assess the sustainability of a country's debt service obligations, but no absolute rules determine what values are too high. </w:t>
            </w:r>
          </w:p>
          <w:p w14:paraId="2CBEF10D" w14:textId="77777777" w:rsidR="00BD06C4" w:rsidRDefault="00BD06C4" w:rsidP="00BD06C4">
            <w:pPr>
              <w:autoSpaceDE w:val="0"/>
              <w:autoSpaceDN w:val="0"/>
              <w:adjustRightInd w:val="0"/>
            </w:pPr>
            <w:r w:rsidRPr="001B4C10">
              <w:rPr>
                <w:u w:val="single"/>
              </w:rPr>
              <w:t>Exchange Rate</w:t>
            </w:r>
            <w:r>
              <w:rPr>
                <w:u w:val="single"/>
              </w:rPr>
              <w:t>s</w:t>
            </w:r>
            <w:r>
              <w:t>:  Sharp devaluations are usually associated with significant declines in equity markets, capital flows, and reserves. The dashboard will present official average exchange rates.</w:t>
            </w:r>
          </w:p>
          <w:p w14:paraId="34325D89" w14:textId="77777777" w:rsidR="00BD06C4" w:rsidRDefault="00BD06C4" w:rsidP="00BD06C4">
            <w:pPr>
              <w:autoSpaceDE w:val="0"/>
              <w:autoSpaceDN w:val="0"/>
              <w:adjustRightInd w:val="0"/>
              <w:rPr>
                <w:b/>
              </w:rPr>
            </w:pPr>
            <w:r>
              <w:rPr>
                <w:b/>
              </w:rPr>
              <w:t>Financial Sector</w:t>
            </w:r>
          </w:p>
          <w:p w14:paraId="0B3B1422" w14:textId="77777777" w:rsidR="00BD06C4" w:rsidRDefault="00BD06C4" w:rsidP="00BD06C4">
            <w:pPr>
              <w:autoSpaceDE w:val="0"/>
              <w:autoSpaceDN w:val="0"/>
              <w:adjustRightInd w:val="0"/>
            </w:pPr>
            <w:r>
              <w:t xml:space="preserve">Financial sector indicators are essential for measuring countries’ financial market stability, and in-turn economic stability of the country. </w:t>
            </w:r>
            <w:r w:rsidRPr="0063553F">
              <w:t xml:space="preserve">Money and the financial accounts that record the supply of money lie at the heart of a country’s financial system. There are several commonly used definitions of the money supply. </w:t>
            </w:r>
            <w:r>
              <w:t xml:space="preserve">To assess the monetary base and stability, the dashboard will present broad money growth and broad money to total reserve ratios. Stronger financial institutions play a very important role in a country’s economic performance. The strength of these institutions will be evaluated through bank capital assets ratios and non-performing loans to total gross loans ratios. </w:t>
            </w:r>
          </w:p>
          <w:p w14:paraId="74801B23" w14:textId="77777777" w:rsidR="00BD06C4" w:rsidRPr="009045BB" w:rsidRDefault="00BD06C4" w:rsidP="00BD06C4">
            <w:pPr>
              <w:autoSpaceDE w:val="0"/>
              <w:autoSpaceDN w:val="0"/>
              <w:adjustRightInd w:val="0"/>
              <w:rPr>
                <w:b/>
              </w:rPr>
            </w:pPr>
            <w:r>
              <w:rPr>
                <w:b/>
              </w:rPr>
              <w:t>Fiscal Sector</w:t>
            </w:r>
          </w:p>
          <w:p w14:paraId="719E1628" w14:textId="77777777" w:rsidR="00BD06C4" w:rsidRDefault="00BD06C4" w:rsidP="00BD06C4">
            <w:pPr>
              <w:autoSpaceDE w:val="0"/>
              <w:autoSpaceDN w:val="0"/>
              <w:adjustRightInd w:val="0"/>
            </w:pPr>
            <w:r>
              <w:t xml:space="preserve">For a country to have a sustainable economic growth path, sustainable fiscal policy is must. To monitor the fiscal policy issues, the dashboard will include government revenues to measure the impact of economic growth and changes in commodity prices. The dashboard will also include tax revenue, overall fiscal balance, </w:t>
            </w:r>
            <w:proofErr w:type="gramStart"/>
            <w:r>
              <w:t>public</w:t>
            </w:r>
            <w:proofErr w:type="gramEnd"/>
            <w:r>
              <w:t xml:space="preserve"> debt as a share of GDP. </w:t>
            </w:r>
          </w:p>
          <w:p w14:paraId="58C4F3E4" w14:textId="77777777" w:rsidR="00BD06C4" w:rsidRDefault="00BD06C4" w:rsidP="00BD06C4">
            <w:pPr>
              <w:autoSpaceDE w:val="0"/>
              <w:autoSpaceDN w:val="0"/>
              <w:adjustRightInd w:val="0"/>
            </w:pPr>
            <w:r w:rsidRPr="003D7046">
              <w:rPr>
                <w:b/>
              </w:rPr>
              <w:t>Real Sector</w:t>
            </w:r>
            <w:r>
              <w:rPr>
                <w:b/>
              </w:rPr>
              <w:t xml:space="preserve"> and Prices </w:t>
            </w:r>
          </w:p>
          <w:p w14:paraId="16CD594F" w14:textId="77777777" w:rsidR="00BD06C4" w:rsidRDefault="00BD06C4" w:rsidP="00BD06C4">
            <w:pPr>
              <w:keepNext/>
              <w:keepLines/>
              <w:autoSpaceDE w:val="0"/>
              <w:autoSpaceDN w:val="0"/>
              <w:adjustRightInd w:val="0"/>
            </w:pPr>
            <w:r w:rsidRPr="006158B3">
              <w:t>GDP measures the nation’s total output of goods and services. For m</w:t>
            </w:r>
            <w:r>
              <w:t>any decades</w:t>
            </w:r>
            <w:r w:rsidRPr="006158B3">
              <w:t xml:space="preserve">, it has </w:t>
            </w:r>
            <w:r>
              <w:t xml:space="preserve">been </w:t>
            </w:r>
            <w:r w:rsidRPr="006158B3">
              <w:t xml:space="preserve">a comprehensive measure of market activity </w:t>
            </w:r>
            <w:r>
              <w:t>used</w:t>
            </w:r>
            <w:r w:rsidRPr="006158B3">
              <w:t xml:space="preserve"> for a wide variety of </w:t>
            </w:r>
            <w:r>
              <w:t xml:space="preserve">analytical </w:t>
            </w:r>
            <w:r w:rsidRPr="006158B3">
              <w:t xml:space="preserve">purposes such as measuring productivity, conducting monetary policy, and projecting tax revenues. </w:t>
            </w:r>
            <w:r>
              <w:t>The Dashboard groups indicators for the real sector into two sets, national accounts and prices.</w:t>
            </w:r>
          </w:p>
          <w:p w14:paraId="5EE7D941" w14:textId="77777777" w:rsidR="00BD06C4" w:rsidRDefault="00BD06C4" w:rsidP="00BD06C4">
            <w:pPr>
              <w:autoSpaceDE w:val="0"/>
              <w:autoSpaceDN w:val="0"/>
              <w:adjustRightInd w:val="0"/>
            </w:pPr>
            <w:r>
              <w:rPr>
                <w:u w:val="single"/>
              </w:rPr>
              <w:t>National Accounts</w:t>
            </w:r>
            <w:r>
              <w:t xml:space="preserve">: </w:t>
            </w:r>
            <w:r w:rsidRPr="0063553F">
              <w:t xml:space="preserve">An economy's growth is measured by the change in the volume of its output or in the real incomes of its residents. The 2008 United Nations System of National Accounts </w:t>
            </w:r>
            <w:r w:rsidRPr="0063553F">
              <w:lastRenderedPageBreak/>
              <w:t>(2008 SNA) offers three plausible indicators for calculating growth: the volume of gross domestic product (GDP), real gross domestic income, and real gross national income. The volume of GDP is the sum of value added, measured at constant prices, by households, government, and industries operating in the economy. GDP accounts for all domestic production, regardless of whether the income accrues to domestic or foreign institutions.</w:t>
            </w:r>
          </w:p>
          <w:p w14:paraId="7F867D3C" w14:textId="77777777" w:rsidR="00BD06C4" w:rsidRDefault="00BD06C4" w:rsidP="00BD06C4">
            <w:pPr>
              <w:autoSpaceDE w:val="0"/>
              <w:autoSpaceDN w:val="0"/>
              <w:adjustRightInd w:val="0"/>
            </w:pPr>
            <w:r>
              <w:t xml:space="preserve">In this section, we monitor growth trends of GDP; Gross domestic capital formation; Exports of goods and services; Imports of goods and services; Household consumption; and Government consumption. </w:t>
            </w:r>
          </w:p>
          <w:p w14:paraId="657F52D7" w14:textId="77777777" w:rsidR="00BD06C4" w:rsidRDefault="00BD06C4" w:rsidP="00BD06C4">
            <w:pPr>
              <w:autoSpaceDE w:val="0"/>
              <w:autoSpaceDN w:val="0"/>
              <w:adjustRightInd w:val="0"/>
              <w:rPr>
                <w:u w:val="single"/>
              </w:rPr>
            </w:pPr>
            <w:r>
              <w:rPr>
                <w:u w:val="single"/>
              </w:rPr>
              <w:t xml:space="preserve">Prices: </w:t>
            </w:r>
          </w:p>
          <w:p w14:paraId="6099FF9C" w14:textId="77777777" w:rsidR="00BD06C4" w:rsidRDefault="00BD06C4" w:rsidP="00BD06C4">
            <w:pPr>
              <w:autoSpaceDE w:val="0"/>
              <w:autoSpaceDN w:val="0"/>
              <w:adjustRightInd w:val="0"/>
              <w:ind w:firstLine="720"/>
            </w:pPr>
            <w:r>
              <w:rPr>
                <w:u w:val="single"/>
              </w:rPr>
              <w:t>Consumer Price Index:</w:t>
            </w:r>
            <w:r w:rsidRPr="00512C95">
              <w:t xml:space="preserve"> </w:t>
            </w:r>
            <w:r>
              <w:t xml:space="preserve"> The dashboard will include CPI to monitor the price trends.</w:t>
            </w:r>
          </w:p>
          <w:p w14:paraId="0EEFE708" w14:textId="77777777" w:rsidR="00BD06C4" w:rsidRDefault="00BD06C4" w:rsidP="00BD06C4">
            <w:pPr>
              <w:autoSpaceDE w:val="0"/>
              <w:autoSpaceDN w:val="0"/>
              <w:adjustRightInd w:val="0"/>
              <w:ind w:left="720"/>
            </w:pPr>
            <w:r w:rsidRPr="001B4C10">
              <w:rPr>
                <w:u w:val="single"/>
              </w:rPr>
              <w:t>International Commodity Prices</w:t>
            </w:r>
            <w:r>
              <w:t xml:space="preserve">: Primary commodities most relevant to each country will be identified and most recent price data for these commodities will be included in the proposed dashboard. </w:t>
            </w:r>
          </w:p>
          <w:p w14:paraId="247ECBD7" w14:textId="77777777" w:rsidR="00BD06C4" w:rsidRDefault="00BD06C4" w:rsidP="00BD06C4">
            <w:pPr>
              <w:autoSpaceDE w:val="0"/>
              <w:autoSpaceDN w:val="0"/>
              <w:adjustRightInd w:val="0"/>
            </w:pPr>
            <w:r w:rsidRPr="00FA33CC">
              <w:rPr>
                <w:b/>
              </w:rPr>
              <w:t>Unemployment</w:t>
            </w:r>
          </w:p>
          <w:p w14:paraId="2F5EB7D8" w14:textId="77777777" w:rsidR="00BD06C4" w:rsidRPr="0063553F" w:rsidRDefault="00BD06C4" w:rsidP="00BD06C4">
            <w:pPr>
              <w:rPr>
                <w:rFonts w:ascii="Verdana" w:eastAsia="Times New Roman" w:hAnsi="Verdana" w:cs="Calibri"/>
                <w:sz w:val="16"/>
                <w:szCs w:val="16"/>
              </w:rPr>
            </w:pPr>
            <w:r w:rsidRPr="0063553F">
              <w:t>Unemployment is a key measure to monitor whether a country is on track to achieve the Sustainable Development Goal of promoting sustained, inclusive and sustainable economic growth, full and productive employment and decent work for all. [SDG Indicator 8.5.2]</w:t>
            </w:r>
            <w:r>
              <w:t xml:space="preserve">. Trends in unemployment rate data are a very important indicator for the analysis of the long-term economic development of a country. Stronger and sustainable economic growth will result in lower unemployment rates. The dashboard will include time series data on total unemployment.  </w:t>
            </w:r>
            <w:r w:rsidRPr="0063553F">
              <w:rPr>
                <w:rFonts w:ascii="Verdana" w:eastAsia="Times New Roman" w:hAnsi="Verdana" w:cs="Calibri"/>
                <w:sz w:val="16"/>
                <w:szCs w:val="16"/>
              </w:rPr>
              <w:br/>
            </w:r>
          </w:p>
          <w:p w14:paraId="5FBFB0E9" w14:textId="77777777" w:rsidR="00BD06C4" w:rsidRDefault="00BD06C4" w:rsidP="00BD06C4">
            <w:r>
              <w:br w:type="page"/>
            </w:r>
          </w:p>
          <w:p w14:paraId="57F2B382" w14:textId="77777777" w:rsidR="00BD06C4" w:rsidRDefault="00BD06C4" w:rsidP="00BD06C4">
            <w:pPr>
              <w:autoSpaceDE w:val="0"/>
              <w:autoSpaceDN w:val="0"/>
              <w:adjustRightInd w:val="0"/>
            </w:pPr>
          </w:p>
          <w:p w14:paraId="14DD6C67" w14:textId="77777777" w:rsidR="00BD06C4" w:rsidRDefault="00BD06C4" w:rsidP="00BD06C4">
            <w:pPr>
              <w:autoSpaceDE w:val="0"/>
              <w:autoSpaceDN w:val="0"/>
              <w:adjustRightInd w:val="0"/>
              <w:rPr>
                <w:b/>
              </w:rPr>
            </w:pPr>
            <w:r w:rsidRPr="00144A50">
              <w:rPr>
                <w:b/>
              </w:rPr>
              <w:t>Annex I</w:t>
            </w:r>
            <w:r>
              <w:rPr>
                <w:b/>
              </w:rPr>
              <w:t xml:space="preserve"> Definitions </w:t>
            </w:r>
          </w:p>
          <w:p w14:paraId="0D946DA8" w14:textId="77777777" w:rsidR="00BD06C4" w:rsidRPr="00144A50" w:rsidRDefault="00BD06C4" w:rsidP="00BD06C4">
            <w:pPr>
              <w:autoSpaceDE w:val="0"/>
              <w:autoSpaceDN w:val="0"/>
              <w:adjustRightInd w:val="0"/>
              <w:rPr>
                <w:b/>
                <w:u w:val="single"/>
              </w:rPr>
            </w:pPr>
            <w:r w:rsidRPr="00144A50">
              <w:rPr>
                <w:b/>
              </w:rPr>
              <w:t xml:space="preserve">   </w:t>
            </w:r>
            <w:r w:rsidRPr="00144A50">
              <w:rPr>
                <w:b/>
              </w:rPr>
              <w:br/>
            </w:r>
            <w:r w:rsidRPr="00144A50">
              <w:rPr>
                <w:b/>
                <w:u w:val="single"/>
              </w:rPr>
              <w:t>External Sector</w:t>
            </w:r>
          </w:p>
          <w:p w14:paraId="123F8F64" w14:textId="77777777" w:rsidR="00BD06C4" w:rsidRPr="00703902" w:rsidRDefault="00BD06C4" w:rsidP="00BD06C4">
            <w:pPr>
              <w:autoSpaceDE w:val="0"/>
              <w:autoSpaceDN w:val="0"/>
              <w:adjustRightInd w:val="0"/>
              <w:rPr>
                <w:b/>
              </w:rPr>
            </w:pPr>
            <w:r>
              <w:rPr>
                <w:b/>
              </w:rPr>
              <w:t>Merchandise trade</w:t>
            </w:r>
            <w:r w:rsidRPr="00D66DBC">
              <w:rPr>
                <w:b/>
              </w:rPr>
              <w:t xml:space="preserve"> (% of GDP)</w:t>
            </w:r>
            <w:r>
              <w:rPr>
                <w:b/>
              </w:rPr>
              <w:t xml:space="preserve">: </w:t>
            </w:r>
            <w:r>
              <w:t xml:space="preserve">This indicator is used as measurement for the Trade Openness of a country. </w:t>
            </w:r>
            <w:r w:rsidRPr="00C27110">
              <w:t>Merchandise trade as a share of GDP is the sum of merchandise exports and imports divided by the value of GDP.</w:t>
            </w:r>
            <w:r>
              <w:t xml:space="preserve"> </w:t>
            </w:r>
            <w:r>
              <w:rPr>
                <w:b/>
              </w:rPr>
              <w:t xml:space="preserve"> </w:t>
            </w:r>
            <w:r>
              <w:t>Source: (</w:t>
            </w:r>
            <w:r w:rsidRPr="00D66DBC">
              <w:t xml:space="preserve">World Trade </w:t>
            </w:r>
            <w:proofErr w:type="gramStart"/>
            <w:r w:rsidRPr="00D66DBC">
              <w:t>Organizatio</w:t>
            </w:r>
            <w:r>
              <w:t>n,</w:t>
            </w:r>
            <w:proofErr w:type="gramEnd"/>
            <w:r>
              <w:t xml:space="preserve"> and World Bank GDP estimates). </w:t>
            </w:r>
            <w:r>
              <w:rPr>
                <w:b/>
              </w:rPr>
              <w:br/>
            </w:r>
            <w:r>
              <w:rPr>
                <w:b/>
              </w:rPr>
              <w:br/>
              <w:t>Personal remittances</w:t>
            </w:r>
            <w:r w:rsidRPr="00D66DBC">
              <w:rPr>
                <w:b/>
              </w:rPr>
              <w:t>, received (% of GDP)</w:t>
            </w:r>
            <w:r>
              <w:rPr>
                <w:b/>
              </w:rPr>
              <w:t>:</w:t>
            </w:r>
            <w:r w:rsidRPr="00D66DBC">
              <w:t xml:space="preserve"> C</w:t>
            </w:r>
            <w:r w:rsidRPr="00C27110">
              <w:t>omprise personal transfers and compensation of employees</w:t>
            </w:r>
            <w:r>
              <w:t xml:space="preserve">, as </w:t>
            </w:r>
            <w:r w:rsidRPr="00C27110">
              <w:t xml:space="preserve">defined in the sixth edition of the IMF's Balance of Payments Manual. Personal transfers consist of all current transfers in cash or in kind made or received by resident households to or from nonresident households. Personal transfers thus include all current transfers between resident and nonresident individuals. Compensation of employees refers to the income of border, seasonal, and other short-term workers who are employed in an </w:t>
            </w:r>
            <w:r w:rsidRPr="00C27110">
              <w:lastRenderedPageBreak/>
              <w:t>economy where they are not resident and of residents employed by nonresident entities.</w:t>
            </w:r>
            <w:r>
              <w:t xml:space="preserve"> Source: (</w:t>
            </w:r>
            <w:r w:rsidRPr="00D66DBC">
              <w:t>World Bank staff estimates based on IMF balance of payments data, and World Bank and OECD GDP estimates</w:t>
            </w:r>
            <w:r>
              <w:t xml:space="preserve">). </w:t>
            </w:r>
          </w:p>
          <w:p w14:paraId="2B6C9C23" w14:textId="77777777" w:rsidR="00BD06C4" w:rsidRDefault="00BD06C4" w:rsidP="00BD06C4">
            <w:pPr>
              <w:autoSpaceDE w:val="0"/>
              <w:autoSpaceDN w:val="0"/>
              <w:adjustRightInd w:val="0"/>
            </w:pPr>
            <w:r w:rsidRPr="00E11DC5">
              <w:rPr>
                <w:b/>
              </w:rPr>
              <w:t>Current account balance (% of GDP)</w:t>
            </w:r>
            <w:r>
              <w:rPr>
                <w:b/>
              </w:rPr>
              <w:t xml:space="preserve">:  </w:t>
            </w:r>
            <w:r w:rsidRPr="00E11DC5">
              <w:t>Current account balance is the sum of net exports of goods and services, net primary income, and net secondary income.</w:t>
            </w:r>
            <w:r>
              <w:t xml:space="preserve"> Source: (</w:t>
            </w:r>
            <w:r w:rsidRPr="00D66DBC">
              <w:t>International Monetary Fund, Balance of Payments Statistics Yearbook and data files, and World Bank and OECD GDP estimates</w:t>
            </w:r>
            <w:r>
              <w:t xml:space="preserve">). </w:t>
            </w:r>
          </w:p>
          <w:p w14:paraId="00AEB606" w14:textId="77777777" w:rsidR="00BD06C4" w:rsidRDefault="00BD06C4" w:rsidP="00BD06C4">
            <w:pPr>
              <w:autoSpaceDE w:val="0"/>
              <w:autoSpaceDN w:val="0"/>
              <w:adjustRightInd w:val="0"/>
            </w:pPr>
            <w:r>
              <w:rPr>
                <w:b/>
              </w:rPr>
              <w:br/>
            </w:r>
            <w:r w:rsidRPr="00D66DBC">
              <w:rPr>
                <w:b/>
              </w:rPr>
              <w:t>Foreign direct investment, net inflows (% of GDP)</w:t>
            </w:r>
            <w:r>
              <w:rPr>
                <w:b/>
              </w:rPr>
              <w:t xml:space="preserve">: </w:t>
            </w:r>
            <w:r w:rsidRPr="00A24BCC">
              <w:t>Comprise</w:t>
            </w:r>
            <w:r>
              <w:t>s</w:t>
            </w:r>
            <w:r w:rsidRPr="00A24BCC">
              <w:t xml:space="preserve"> </w:t>
            </w:r>
            <w:r w:rsidRPr="00C27110">
              <w:t xml:space="preserve">the net inflows of </w:t>
            </w:r>
            <w:r>
              <w:t xml:space="preserve">foreign direct </w:t>
            </w:r>
            <w:r w:rsidRPr="00C27110">
              <w:t xml:space="preserve">investment to acquire a lasting management interest (10 percent or more of voting stock) in an enterprise operating in an economy other than that of the investor. </w:t>
            </w:r>
            <w:r>
              <w:t xml:space="preserve">FDI </w:t>
            </w:r>
            <w:r w:rsidRPr="00C27110">
              <w:t>is the sum of equity capital, reinvestment of earnings, other long-term capital, and short-term capital as shown in the balance of payments. This series shows net inflows (new investment inflows less disinvestment) in the reporting economy from foreign investors, and is divided by GDP.</w:t>
            </w:r>
            <w:r>
              <w:rPr>
                <w:b/>
              </w:rPr>
              <w:t xml:space="preserve"> </w:t>
            </w:r>
            <w:r>
              <w:t>Source: (</w:t>
            </w:r>
            <w:r w:rsidRPr="00D66DBC">
              <w:t>International Monetary Fund, International Financial Statistics and Balance of Payments databases, World Bank, International Debt Statistics, and Wo</w:t>
            </w:r>
            <w:r>
              <w:t xml:space="preserve">rld Bank and OECD GDP estimates). </w:t>
            </w:r>
          </w:p>
          <w:p w14:paraId="4989A659" w14:textId="77777777" w:rsidR="00BD06C4" w:rsidRDefault="00BD06C4" w:rsidP="00BD06C4">
            <w:pPr>
              <w:autoSpaceDE w:val="0"/>
              <w:autoSpaceDN w:val="0"/>
              <w:adjustRightInd w:val="0"/>
            </w:pPr>
            <w:r w:rsidRPr="00D66DBC">
              <w:rPr>
                <w:b/>
              </w:rPr>
              <w:t>Portfolio Investment, net (Bo</w:t>
            </w:r>
            <w:r>
              <w:rPr>
                <w:b/>
              </w:rPr>
              <w:t>p</w:t>
            </w:r>
            <w:r w:rsidRPr="00D66DBC">
              <w:rPr>
                <w:b/>
              </w:rPr>
              <w:t>, current US$)</w:t>
            </w:r>
            <w:r>
              <w:rPr>
                <w:b/>
              </w:rPr>
              <w:t xml:space="preserve">: </w:t>
            </w:r>
            <w:r>
              <w:t xml:space="preserve"> </w:t>
            </w:r>
            <w:r w:rsidRPr="00D66DBC">
              <w:t>Portfolio investment covers transactions in equity securities and debt securities. Data are in current U.S. dollars.</w:t>
            </w:r>
            <w:r>
              <w:t xml:space="preserve"> Source: (</w:t>
            </w:r>
            <w:r w:rsidRPr="00D66DBC">
              <w:t>International Monetary Fund, Balance of Payments Statistics Yearbook and data files</w:t>
            </w:r>
            <w:r>
              <w:t xml:space="preserve">). </w:t>
            </w:r>
          </w:p>
          <w:p w14:paraId="40BF7794" w14:textId="77777777" w:rsidR="00BD06C4" w:rsidRDefault="00BD06C4" w:rsidP="00BD06C4">
            <w:pPr>
              <w:autoSpaceDE w:val="0"/>
              <w:autoSpaceDN w:val="0"/>
              <w:adjustRightInd w:val="0"/>
            </w:pPr>
            <w:r w:rsidRPr="00127E74">
              <w:rPr>
                <w:b/>
              </w:rPr>
              <w:t>Total reserves in months of imports</w:t>
            </w:r>
            <w:r>
              <w:rPr>
                <w:b/>
              </w:rPr>
              <w:t xml:space="preserve">: </w:t>
            </w:r>
            <w:r w:rsidRPr="00127E74">
              <w:t>Total reserves comprise holdings of monetary gold, special drawing rights, reserves of IMF members held by the IMF, and holdings of foreign exchange under the control of monetary authorities. The gold component of these reserves is valued at year-end (December 31) London prices. This item shows reserves expressed in terms of the number of months of imports of goods and services they could pay for [Reserves</w:t>
            </w:r>
            <w:proofErr w:type="gramStart"/>
            <w:r w:rsidRPr="00127E74">
              <w:t>/(</w:t>
            </w:r>
            <w:proofErr w:type="gramEnd"/>
            <w:r w:rsidRPr="00127E74">
              <w:t>Imports/12)].</w:t>
            </w:r>
            <w:r>
              <w:t xml:space="preserve"> Source: (</w:t>
            </w:r>
            <w:r w:rsidRPr="00D66DBC">
              <w:t>International Monetary Fund, International Financial Statistics and data files</w:t>
            </w:r>
            <w:r>
              <w:t xml:space="preserve">). </w:t>
            </w:r>
          </w:p>
          <w:p w14:paraId="0C5B4681" w14:textId="77777777" w:rsidR="00BD06C4" w:rsidRDefault="00BD06C4" w:rsidP="00BD06C4">
            <w:pPr>
              <w:autoSpaceDE w:val="0"/>
              <w:autoSpaceDN w:val="0"/>
              <w:adjustRightInd w:val="0"/>
              <w:rPr>
                <w:b/>
              </w:rPr>
            </w:pPr>
            <w:r w:rsidRPr="0063553F">
              <w:rPr>
                <w:b/>
              </w:rPr>
              <w:t>Debt service (PPG and IMF only, % of exports of goods, services and primary income)</w:t>
            </w:r>
            <w:r w:rsidRPr="00C27110">
              <w:rPr>
                <w:b/>
              </w:rPr>
              <w:t xml:space="preserve">: </w:t>
            </w:r>
            <w:r w:rsidRPr="0063553F">
              <w:t>Debt service is the sum of principle repayments and interest actually paid in currency, goods, or services. This series differs from the standard debt to exports series. It covers only long-term public and publicly guaranteed debt and repayments (repurchases and charges) to the IMF. Data for Heavily Indebted Poor Countries (HIPC) are from HIPC Initiative's Status of Implementation Report.</w:t>
            </w:r>
            <w:r>
              <w:t xml:space="preserve"> Source: (</w:t>
            </w:r>
            <w:r w:rsidRPr="00D66DBC">
              <w:t>World Bank, International Debt Statistics</w:t>
            </w:r>
            <w:r>
              <w:t>).</w:t>
            </w:r>
            <w:r>
              <w:rPr>
                <w:b/>
              </w:rPr>
              <w:br/>
            </w:r>
          </w:p>
          <w:p w14:paraId="24AC7F42" w14:textId="77777777" w:rsidR="00BD06C4" w:rsidRPr="0063553F" w:rsidRDefault="00BD06C4" w:rsidP="00BD06C4">
            <w:pPr>
              <w:autoSpaceDE w:val="0"/>
              <w:autoSpaceDN w:val="0"/>
              <w:adjustRightInd w:val="0"/>
            </w:pPr>
            <w:r w:rsidRPr="0063553F">
              <w:rPr>
                <w:b/>
              </w:rPr>
              <w:t>External debt stocks (% of GNI)</w:t>
            </w:r>
            <w:r>
              <w:rPr>
                <w:b/>
              </w:rPr>
              <w:t xml:space="preserve">: </w:t>
            </w:r>
            <w:r w:rsidRPr="0063553F">
              <w:t xml:space="preserve">Total external debt is debt owed to nonresidents repayable in currency, goods, or services. Total external debt is the sum of public, publicly guaranteed, and private nonguaranteed long-term debt, use of IMF credit, and short-term debt. Short-term debt includes all debt having an original maturity of one year or less and interest in </w:t>
            </w:r>
            <w:r w:rsidRPr="0063553F">
              <w:lastRenderedPageBreak/>
              <w:t>arrears on long-term debt. GNI (formerly GNP) is the sum of value added by all resident producers plus any product taxes (less subsidies) not included in the valuation of output plus net receipts of primary income (compensation of employees and property income) from abroad.</w:t>
            </w:r>
          </w:p>
          <w:p w14:paraId="089AC9E4" w14:textId="77777777" w:rsidR="00BD06C4" w:rsidRDefault="00BD06C4" w:rsidP="00BD06C4">
            <w:pPr>
              <w:autoSpaceDE w:val="0"/>
              <w:autoSpaceDN w:val="0"/>
              <w:adjustRightInd w:val="0"/>
            </w:pPr>
            <w:r w:rsidRPr="007A5D7F">
              <w:rPr>
                <w:b/>
              </w:rPr>
              <w:t>Official exchange rate (LCU per US$, period average</w:t>
            </w:r>
            <w:r>
              <w:rPr>
                <w:b/>
              </w:rPr>
              <w:t xml:space="preserve"> annual</w:t>
            </w:r>
            <w:r w:rsidRPr="007A5D7F">
              <w:rPr>
                <w:b/>
              </w:rPr>
              <w:t>)</w:t>
            </w:r>
            <w:r>
              <w:rPr>
                <w:b/>
              </w:rPr>
              <w:t xml:space="preserve">: </w:t>
            </w:r>
            <w:r w:rsidRPr="007A5D7F">
              <w:t>Official exchange rate refers to the exchange rate determined by national authorities or to the rate determined in the legally sanctioned exchange market. It is calculated as an annual average based on monthly averages (local currency units relative to the U.S. dollar).</w:t>
            </w:r>
            <w:r>
              <w:t xml:space="preserve"> Source: (</w:t>
            </w:r>
            <w:r w:rsidRPr="00D66DBC">
              <w:t>International Monetary Fund, International Financial Statistics</w:t>
            </w:r>
            <w:r>
              <w:t xml:space="preserve">). </w:t>
            </w:r>
          </w:p>
          <w:p w14:paraId="353FEB2C" w14:textId="77777777" w:rsidR="00BD06C4" w:rsidRDefault="00BD06C4" w:rsidP="00BD06C4">
            <w:pPr>
              <w:autoSpaceDE w:val="0"/>
              <w:autoSpaceDN w:val="0"/>
              <w:adjustRightInd w:val="0"/>
              <w:rPr>
                <w:b/>
              </w:rPr>
            </w:pPr>
            <w:r w:rsidRPr="00CA4991">
              <w:rPr>
                <w:b/>
                <w:u w:val="single"/>
              </w:rPr>
              <w:t>Financial Sector</w:t>
            </w:r>
            <w:r>
              <w:rPr>
                <w:b/>
              </w:rPr>
              <w:br/>
            </w:r>
          </w:p>
          <w:p w14:paraId="702DCB6D" w14:textId="77777777" w:rsidR="00BD06C4" w:rsidRDefault="00BD06C4" w:rsidP="00BD06C4">
            <w:pPr>
              <w:autoSpaceDE w:val="0"/>
              <w:autoSpaceDN w:val="0"/>
              <w:adjustRightInd w:val="0"/>
            </w:pPr>
            <w:r w:rsidRPr="00157625">
              <w:rPr>
                <w:b/>
              </w:rPr>
              <w:t>Broad money growth (annual %</w:t>
            </w:r>
            <w:r>
              <w:rPr>
                <w:b/>
              </w:rPr>
              <w:t xml:space="preserve"> growth</w:t>
            </w:r>
            <w:r w:rsidRPr="00157625">
              <w:rPr>
                <w:b/>
              </w:rPr>
              <w:t>)</w:t>
            </w:r>
            <w:r>
              <w:rPr>
                <w:b/>
              </w:rPr>
              <w:t xml:space="preserve">: </w:t>
            </w:r>
            <w:r w:rsidRPr="00157625">
              <w:t>Broad money is the sum of currency outside banks; demand deposits other than those of the central government; the time, savings, and foreign currency deposits of resident sectors other than the central government; bank and traveler’s checks; and other securities such as certificates of deposit and commercial paper.</w:t>
            </w:r>
            <w:r>
              <w:t xml:space="preserve"> Source: (</w:t>
            </w:r>
            <w:r w:rsidRPr="00D66DBC">
              <w:t>International Monetary Fund, International Financial Statistics and data files</w:t>
            </w:r>
            <w:r>
              <w:t xml:space="preserve">). </w:t>
            </w:r>
          </w:p>
          <w:p w14:paraId="27E209A3" w14:textId="77777777" w:rsidR="00BD06C4" w:rsidRPr="00D66DBC" w:rsidRDefault="00BD06C4" w:rsidP="00BD06C4">
            <w:pPr>
              <w:autoSpaceDE w:val="0"/>
              <w:autoSpaceDN w:val="0"/>
              <w:adjustRightInd w:val="0"/>
              <w:rPr>
                <w:b/>
              </w:rPr>
            </w:pPr>
            <w:r w:rsidRPr="00157625">
              <w:rPr>
                <w:b/>
              </w:rPr>
              <w:t>Broad money to total reserves ratio</w:t>
            </w:r>
            <w:r>
              <w:rPr>
                <w:b/>
              </w:rPr>
              <w:t xml:space="preserve">: </w:t>
            </w:r>
            <w:r w:rsidRPr="00157625">
              <w:t>Broad money (IFS line 35L</w:t>
            </w:r>
            <w:proofErr w:type="gramStart"/>
            <w:r w:rsidRPr="00157625">
              <w:t>..</w:t>
            </w:r>
            <w:proofErr w:type="gramEnd"/>
            <w:r w:rsidRPr="00157625">
              <w:t>ZK) is the sum of currency outside banks; demand deposits other than those of the central government; the time, savings, and foreign currency deposits of resident sectors other than the central government; bank and traveler’s checks; and other securities such as certificates of deposit and commercial paper</w:t>
            </w:r>
            <w:r>
              <w:t>.</w:t>
            </w:r>
            <w:r w:rsidRPr="00C27110">
              <w:t xml:space="preserve"> Source: (International Monetary Fund, International Financial Statistics and data files). </w:t>
            </w:r>
          </w:p>
          <w:p w14:paraId="25988191" w14:textId="77777777" w:rsidR="00BD06C4" w:rsidRDefault="00BD06C4" w:rsidP="00BD06C4">
            <w:pPr>
              <w:autoSpaceDE w:val="0"/>
              <w:autoSpaceDN w:val="0"/>
              <w:adjustRightInd w:val="0"/>
            </w:pPr>
            <w:r w:rsidRPr="002D39B3">
              <w:rPr>
                <w:b/>
              </w:rPr>
              <w:t>Bank nonperforming loans to total gross loans</w:t>
            </w:r>
            <w:r>
              <w:rPr>
                <w:b/>
              </w:rPr>
              <w:t xml:space="preserve"> ratio (%): </w:t>
            </w:r>
            <w:r w:rsidRPr="002D39B3">
              <w:t xml:space="preserve">Bank nonperforming loans to total gross loans </w:t>
            </w:r>
            <w:r>
              <w:t xml:space="preserve">is </w:t>
            </w:r>
            <w:r w:rsidRPr="002D39B3">
              <w:t>the value of nonperforming loans divided by the total value of the loan portfolio (including nonperforming loans before the deduction of specific loan-loss provisions). The loan amount recorded as nonperforming should be the gross value of the loan as recorded on the balance sheet, not just the amount that is overdue.</w:t>
            </w:r>
            <w:r>
              <w:t xml:space="preserve"> Source: (International</w:t>
            </w:r>
            <w:r w:rsidRPr="00D66DBC">
              <w:t xml:space="preserve"> Monetary Fund, Global Financial Stability Report</w:t>
            </w:r>
            <w:r>
              <w:t>).</w:t>
            </w:r>
          </w:p>
          <w:p w14:paraId="66AF58DD" w14:textId="77777777" w:rsidR="00BD06C4" w:rsidRPr="00D66DBC" w:rsidRDefault="00BD06C4" w:rsidP="00BD06C4">
            <w:pPr>
              <w:autoSpaceDE w:val="0"/>
              <w:autoSpaceDN w:val="0"/>
              <w:adjustRightInd w:val="0"/>
            </w:pPr>
            <w:r w:rsidRPr="00A3677A">
              <w:rPr>
                <w:b/>
              </w:rPr>
              <w:t>Bank capital to assets ratio (%)</w:t>
            </w:r>
            <w:r>
              <w:rPr>
                <w:b/>
              </w:rPr>
              <w:t xml:space="preserve">:  </w:t>
            </w:r>
            <w:r w:rsidRPr="00A3677A">
              <w:t>Bank capital to assets is the ratio of bank capital and reserves to total assets. Capital and reserves include funds contributed by owners, retained earnings, general and special reserves, provisions, and valuation adjustments. Capital</w:t>
            </w:r>
            <w:r>
              <w:t xml:space="preserve"> consists of</w:t>
            </w:r>
            <w:r w:rsidRPr="00A3677A">
              <w:t xml:space="preserve"> tier 1 capital (paid-up shares and common stock), which is a common feature in all countries' banking systems, and total regulatory capital, which includes several specified types of subordinated debt instruments that need not be repaid if the funds are required to maintain minimum capital levels (these comprise tier 2 and tier 3 capital). Total assets include all nonfinancial and financial assets.</w:t>
            </w:r>
            <w:r>
              <w:t xml:space="preserve"> </w:t>
            </w:r>
            <w:r w:rsidRPr="00D66DBC">
              <w:t>Source: (International Monetary Fund, Global Financial Stability Report).</w:t>
            </w:r>
          </w:p>
          <w:p w14:paraId="6FF0F12C" w14:textId="77777777" w:rsidR="00BD06C4" w:rsidRPr="00681FE4" w:rsidRDefault="00BD06C4" w:rsidP="00BD06C4">
            <w:pPr>
              <w:autoSpaceDE w:val="0"/>
              <w:autoSpaceDN w:val="0"/>
              <w:adjustRightInd w:val="0"/>
              <w:rPr>
                <w:b/>
                <w:u w:val="single"/>
              </w:rPr>
            </w:pPr>
            <w:r w:rsidRPr="00681FE4">
              <w:rPr>
                <w:b/>
                <w:u w:val="single"/>
              </w:rPr>
              <w:t>Fiscal Sector</w:t>
            </w:r>
          </w:p>
          <w:p w14:paraId="09610B7D" w14:textId="77777777" w:rsidR="00BD06C4" w:rsidRPr="00211853" w:rsidRDefault="00BD06C4" w:rsidP="00BD06C4">
            <w:pPr>
              <w:autoSpaceDE w:val="0"/>
              <w:autoSpaceDN w:val="0"/>
              <w:adjustRightInd w:val="0"/>
              <w:rPr>
                <w:color w:val="000000" w:themeColor="text1"/>
              </w:rPr>
            </w:pPr>
            <w:r w:rsidRPr="00211853">
              <w:rPr>
                <w:b/>
                <w:color w:val="000000" w:themeColor="text1"/>
              </w:rPr>
              <w:t>Revenue (% of GDP):</w:t>
            </w:r>
            <w:r w:rsidRPr="00211853">
              <w:rPr>
                <w:color w:val="000000" w:themeColor="text1"/>
              </w:rPr>
              <w:t xml:space="preserve"> Revenue is cash receipts from taxes, social contributions, and other </w:t>
            </w:r>
            <w:r w:rsidRPr="00211853">
              <w:rPr>
                <w:color w:val="000000" w:themeColor="text1"/>
              </w:rPr>
              <w:lastRenderedPageBreak/>
              <w:t>revenues such as fines, fees, rent, and income from property or sales. Grants are also considered as revenue.</w:t>
            </w:r>
          </w:p>
          <w:p w14:paraId="6B028077" w14:textId="77777777" w:rsidR="00BD06C4" w:rsidRDefault="00BD06C4" w:rsidP="00BD06C4">
            <w:pPr>
              <w:autoSpaceDE w:val="0"/>
              <w:autoSpaceDN w:val="0"/>
              <w:adjustRightInd w:val="0"/>
            </w:pPr>
            <w:r w:rsidRPr="00EA0741">
              <w:rPr>
                <w:b/>
              </w:rPr>
              <w:t>Tax revenue (% of GDP)</w:t>
            </w:r>
            <w:r>
              <w:rPr>
                <w:b/>
              </w:rPr>
              <w:t xml:space="preserve">: </w:t>
            </w:r>
            <w:r w:rsidRPr="00EA0741">
              <w:t>Tax revenue refers to compulsory transfers to the central government for public purposes. Certain compulsory transfers such as fines, penalties, and most social security contributions are excluded. Refunds and corrections of erroneously collected tax revenue are treated as negative revenue.</w:t>
            </w:r>
            <w:r>
              <w:t xml:space="preserve"> Source: (</w:t>
            </w:r>
            <w:r w:rsidRPr="00D66DBC">
              <w:t>International Monetary Fund, Government Finance Statistics Yearbook and data files, and World Bank and OECD GDP estimates</w:t>
            </w:r>
            <w:r>
              <w:t xml:space="preserve">). </w:t>
            </w:r>
          </w:p>
          <w:p w14:paraId="5A074F10" w14:textId="77777777" w:rsidR="00BD06C4" w:rsidRPr="00CA4991" w:rsidRDefault="00BD06C4" w:rsidP="00BD06C4">
            <w:pPr>
              <w:autoSpaceDE w:val="0"/>
              <w:autoSpaceDN w:val="0"/>
              <w:adjustRightInd w:val="0"/>
              <w:rPr>
                <w:b/>
              </w:rPr>
            </w:pPr>
            <w:r w:rsidRPr="00C27110">
              <w:rPr>
                <w:b/>
              </w:rPr>
              <w:t>Overall Fiscal Balance (% of GDP):</w:t>
            </w:r>
            <w:r w:rsidRPr="00812FCC">
              <w:rPr>
                <w:color w:val="1F497D"/>
              </w:rPr>
              <w:t xml:space="preserve"> </w:t>
            </w:r>
            <w:r w:rsidRPr="00812FCC">
              <w:t>is difference between national government revenues and expenditures, expressed as a percent of GDP</w:t>
            </w:r>
            <w:r>
              <w:t xml:space="preserve">. </w:t>
            </w:r>
          </w:p>
          <w:p w14:paraId="65710023" w14:textId="77777777" w:rsidR="00BD06C4" w:rsidRPr="000B05BB" w:rsidRDefault="00BD06C4" w:rsidP="00BD06C4">
            <w:pPr>
              <w:autoSpaceDE w:val="0"/>
              <w:autoSpaceDN w:val="0"/>
              <w:adjustRightInd w:val="0"/>
            </w:pPr>
            <w:r>
              <w:rPr>
                <w:b/>
              </w:rPr>
              <w:t xml:space="preserve">D2 gross government and public sector debt (% of GDP): </w:t>
            </w:r>
            <w:r w:rsidRPr="00812FCC">
              <w:t xml:space="preserve">  The D2 coverage of instruments according to this classification includes (1) debt securities, (2) loans, (3) special drawing rights and (4) currency and deposits as percentage of GDP.</w:t>
            </w:r>
            <w:r>
              <w:t xml:space="preserve"> Source: (</w:t>
            </w:r>
            <w:r w:rsidRPr="000B05BB">
              <w:t>The Public Sector Debt Statistics (PSD) database</w:t>
            </w:r>
            <w:r>
              <w:t xml:space="preserve"> developed by the World Bank and the International Monetary Fund). </w:t>
            </w:r>
          </w:p>
          <w:p w14:paraId="3B1F2B10" w14:textId="77777777" w:rsidR="00BD06C4" w:rsidRDefault="00BD06C4" w:rsidP="00BD06C4">
            <w:pPr>
              <w:autoSpaceDE w:val="0"/>
              <w:autoSpaceDN w:val="0"/>
              <w:adjustRightInd w:val="0"/>
            </w:pPr>
          </w:p>
          <w:p w14:paraId="35C3D151" w14:textId="77777777" w:rsidR="00BD06C4" w:rsidRPr="004C1760" w:rsidRDefault="00BD06C4" w:rsidP="00BD06C4">
            <w:pPr>
              <w:autoSpaceDE w:val="0"/>
              <w:autoSpaceDN w:val="0"/>
              <w:adjustRightInd w:val="0"/>
              <w:rPr>
                <w:b/>
              </w:rPr>
            </w:pPr>
          </w:p>
          <w:p w14:paraId="3441D55C" w14:textId="77777777" w:rsidR="00BD06C4" w:rsidRPr="004C1760" w:rsidRDefault="00BD06C4" w:rsidP="00BD06C4">
            <w:pPr>
              <w:autoSpaceDE w:val="0"/>
              <w:autoSpaceDN w:val="0"/>
              <w:adjustRightInd w:val="0"/>
              <w:rPr>
                <w:b/>
                <w:u w:val="single"/>
              </w:rPr>
            </w:pPr>
            <w:r w:rsidRPr="004C1760">
              <w:rPr>
                <w:b/>
                <w:u w:val="single"/>
              </w:rPr>
              <w:t xml:space="preserve">Real Sector and Prices </w:t>
            </w:r>
          </w:p>
          <w:p w14:paraId="5CA30875" w14:textId="77777777" w:rsidR="00BD06C4" w:rsidRDefault="00BD06C4" w:rsidP="00BD06C4">
            <w:pPr>
              <w:autoSpaceDE w:val="0"/>
              <w:autoSpaceDN w:val="0"/>
              <w:adjustRightInd w:val="0"/>
            </w:pPr>
            <w:r w:rsidRPr="004C1760">
              <w:rPr>
                <w:b/>
              </w:rPr>
              <w:br/>
              <w:t>G</w:t>
            </w:r>
            <w:r>
              <w:rPr>
                <w:b/>
              </w:rPr>
              <w:t>ross domestic product (annual % change</w:t>
            </w:r>
            <w:proofErr w:type="gramStart"/>
            <w:r>
              <w:rPr>
                <w:b/>
              </w:rPr>
              <w:t>)</w:t>
            </w:r>
            <w:r w:rsidRPr="004C1760">
              <w:rPr>
                <w:b/>
              </w:rPr>
              <w:t xml:space="preserve"> </w:t>
            </w:r>
            <w:r>
              <w:rPr>
                <w:b/>
              </w:rPr>
              <w:t>:</w:t>
            </w:r>
            <w:proofErr w:type="gramEnd"/>
            <w:r>
              <w:rPr>
                <w:b/>
              </w:rPr>
              <w:t xml:space="preserve"> </w:t>
            </w:r>
            <w:r w:rsidRPr="004C1760">
              <w:t>GDP is the sum of gross value added by all resident producers in the economy plus any product taxes and minus any subsidies not included in the value of the products. It is calculated without making deductions for depreciation of fabricated assets or for depletion and degradation of natural resources.</w:t>
            </w:r>
            <w:r>
              <w:t xml:space="preserve"> Source: (</w:t>
            </w:r>
            <w:r w:rsidRPr="00D66DBC">
              <w:t xml:space="preserve">World Bank national accounts </w:t>
            </w:r>
            <w:proofErr w:type="gramStart"/>
            <w:r w:rsidRPr="00D66DBC">
              <w:t>data,</w:t>
            </w:r>
            <w:proofErr w:type="gramEnd"/>
            <w:r w:rsidRPr="00D66DBC">
              <w:t xml:space="preserve"> and OECD National Accounts data files</w:t>
            </w:r>
            <w:r>
              <w:t>).</w:t>
            </w:r>
          </w:p>
          <w:p w14:paraId="758848C4" w14:textId="77777777" w:rsidR="00BD06C4" w:rsidRPr="00D66DBC" w:rsidRDefault="00BD06C4" w:rsidP="00BD06C4">
            <w:pPr>
              <w:autoSpaceDE w:val="0"/>
              <w:autoSpaceDN w:val="0"/>
              <w:adjustRightInd w:val="0"/>
            </w:pPr>
            <w:r w:rsidRPr="004C1760">
              <w:rPr>
                <w:b/>
              </w:rPr>
              <w:t>Gross capital formation</w:t>
            </w:r>
            <w:r>
              <w:rPr>
                <w:b/>
              </w:rPr>
              <w:t xml:space="preserve"> (annual % change</w:t>
            </w:r>
            <w:proofErr w:type="gramStart"/>
            <w:r>
              <w:rPr>
                <w:b/>
              </w:rPr>
              <w:t>)</w:t>
            </w:r>
            <w:r w:rsidRPr="004C1760">
              <w:rPr>
                <w:b/>
              </w:rPr>
              <w:t xml:space="preserve"> </w:t>
            </w:r>
            <w:r>
              <w:rPr>
                <w:b/>
              </w:rPr>
              <w:t>:</w:t>
            </w:r>
            <w:proofErr w:type="gramEnd"/>
            <w:r>
              <w:rPr>
                <w:b/>
              </w:rPr>
              <w:t xml:space="preserve"> </w:t>
            </w:r>
            <w:r w:rsidRPr="004C1760">
              <w:t xml:space="preserve">Gross capital formation (formerly gross domestic investment) consists of outlays on additions to the fixed assets of the economy plus net changes in the level of inventories. Fixed assets include land improvements (fences, ditches, drains, and so on); plant, machinery, and equipment purchases; and the construction of roads, railways, and the like, including schools, offices, hospitals, private residential dwellings, and commercial and industrial buildings. Inventories are stocks of goods held by firms to meet temporary or unexpected fluctuations in production or sales, and "work in progress." According to the </w:t>
            </w:r>
            <w:r>
              <w:t>2008</w:t>
            </w:r>
            <w:r w:rsidRPr="004C1760">
              <w:t xml:space="preserve"> SNA, net acquisitions of valuables are also considered capital formation.</w:t>
            </w:r>
            <w:r>
              <w:t xml:space="preserve"> </w:t>
            </w:r>
            <w:r w:rsidRPr="00D66DBC">
              <w:t xml:space="preserve">Source: (World Bank national accounts </w:t>
            </w:r>
            <w:proofErr w:type="gramStart"/>
            <w:r w:rsidRPr="00D66DBC">
              <w:t>data,</w:t>
            </w:r>
            <w:proofErr w:type="gramEnd"/>
            <w:r w:rsidRPr="00D66DBC">
              <w:t xml:space="preserve"> and OECD National Accounts data files).</w:t>
            </w:r>
          </w:p>
          <w:p w14:paraId="085C865C" w14:textId="77777777" w:rsidR="00BD06C4" w:rsidRPr="00D66DBC" w:rsidRDefault="00BD06C4" w:rsidP="00BD06C4">
            <w:pPr>
              <w:autoSpaceDE w:val="0"/>
              <w:autoSpaceDN w:val="0"/>
              <w:adjustRightInd w:val="0"/>
            </w:pPr>
            <w:r w:rsidRPr="004C1760">
              <w:rPr>
                <w:b/>
              </w:rPr>
              <w:t>Household final consumption expenditure</w:t>
            </w:r>
            <w:r>
              <w:rPr>
                <w:b/>
              </w:rPr>
              <w:t xml:space="preserve"> (annual % change): </w:t>
            </w:r>
            <w:r w:rsidRPr="004C1760">
              <w:t xml:space="preserve">Household final consumption expenditure (formerly private consumption) is the market value of all goods and services, including durable products (such as cars, washing machines, and home computers), purchased by households. It excludes purchases of dwellings but includes imputed rent for owner-occupied dwellings. It also includes payments and fees to governments to obtain permits </w:t>
            </w:r>
            <w:r w:rsidRPr="004C1760">
              <w:lastRenderedPageBreak/>
              <w:t xml:space="preserve">and licenses. </w:t>
            </w:r>
            <w:r>
              <w:t>In WDI,</w:t>
            </w:r>
            <w:r w:rsidRPr="004C1760">
              <w:t xml:space="preserve"> household consumption expenditure includes the expenditures of nonprofit institutions serving households, even when reported separately by the country. This item also includes any statistical discrepancy in the use of resources relative to the supply of resources.</w:t>
            </w:r>
            <w:r>
              <w:t xml:space="preserve"> </w:t>
            </w:r>
            <w:r w:rsidRPr="00D66DBC">
              <w:t xml:space="preserve">Source: (World Bank national accounts </w:t>
            </w:r>
            <w:proofErr w:type="gramStart"/>
            <w:r w:rsidRPr="00D66DBC">
              <w:t>data,</w:t>
            </w:r>
            <w:proofErr w:type="gramEnd"/>
            <w:r w:rsidRPr="00D66DBC">
              <w:t xml:space="preserve"> and OECD National Accounts data files).</w:t>
            </w:r>
          </w:p>
          <w:p w14:paraId="609B3456" w14:textId="77777777" w:rsidR="00BD06C4" w:rsidRPr="00D66DBC" w:rsidRDefault="00BD06C4" w:rsidP="00BD06C4">
            <w:pPr>
              <w:autoSpaceDE w:val="0"/>
              <w:autoSpaceDN w:val="0"/>
              <w:adjustRightInd w:val="0"/>
            </w:pPr>
            <w:r w:rsidRPr="009751E9">
              <w:rPr>
                <w:b/>
              </w:rPr>
              <w:t>General government final consumption expenditure</w:t>
            </w:r>
            <w:r>
              <w:rPr>
                <w:b/>
              </w:rPr>
              <w:t xml:space="preserve"> (annual % change): </w:t>
            </w:r>
            <w:r w:rsidRPr="009751E9">
              <w:t xml:space="preserve">General government final consumption expenditure (formerly general government consumption) includes all government current expenditures for purchases of goods and services (including compensation of employees). It also includes most </w:t>
            </w:r>
            <w:proofErr w:type="gramStart"/>
            <w:r w:rsidRPr="009751E9">
              <w:t>expenditures</w:t>
            </w:r>
            <w:proofErr w:type="gramEnd"/>
            <w:r w:rsidRPr="009751E9">
              <w:t xml:space="preserve"> on national defense and security, but excludes government military expenditures that are part of government capital formation.</w:t>
            </w:r>
            <w:r>
              <w:t xml:space="preserve">  </w:t>
            </w:r>
            <w:r w:rsidRPr="00D66DBC">
              <w:t xml:space="preserve">Source: (World Bank national accounts </w:t>
            </w:r>
            <w:proofErr w:type="gramStart"/>
            <w:r w:rsidRPr="00D66DBC">
              <w:t>data,</w:t>
            </w:r>
            <w:proofErr w:type="gramEnd"/>
            <w:r w:rsidRPr="00D66DBC">
              <w:t xml:space="preserve"> and OECD National Accounts data files).</w:t>
            </w:r>
          </w:p>
          <w:p w14:paraId="3D33BAEF" w14:textId="77777777" w:rsidR="00BD06C4" w:rsidRPr="00D66DBC" w:rsidRDefault="00BD06C4" w:rsidP="00BD06C4">
            <w:pPr>
              <w:autoSpaceDE w:val="0"/>
              <w:autoSpaceDN w:val="0"/>
              <w:adjustRightInd w:val="0"/>
            </w:pPr>
            <w:r w:rsidRPr="009751E9">
              <w:rPr>
                <w:b/>
              </w:rPr>
              <w:t>Exports of goods and services</w:t>
            </w:r>
            <w:r>
              <w:rPr>
                <w:b/>
              </w:rPr>
              <w:t xml:space="preserve"> (annual % change): </w:t>
            </w:r>
            <w:r w:rsidRPr="009751E9">
              <w:t xml:space="preserve">Exports of goods and services represent the value of all goods and other market services provided to the rest of the world. They include the value of merchandise, freight, insurance, transport, travel, royalties, license fees, and other services, such as communication, construction, financial, information, business, personal, and government services. </w:t>
            </w:r>
            <w:r w:rsidRPr="00D66DBC">
              <w:t xml:space="preserve">Source: (World Bank national accounts </w:t>
            </w:r>
            <w:proofErr w:type="gramStart"/>
            <w:r w:rsidRPr="00D66DBC">
              <w:t>data,</w:t>
            </w:r>
            <w:proofErr w:type="gramEnd"/>
            <w:r w:rsidRPr="00D66DBC">
              <w:t xml:space="preserve"> and OECD National Accounts data files).</w:t>
            </w:r>
          </w:p>
          <w:p w14:paraId="049727B0" w14:textId="77777777" w:rsidR="00BD06C4" w:rsidRPr="00D66DBC" w:rsidRDefault="00BD06C4" w:rsidP="00BD06C4">
            <w:pPr>
              <w:autoSpaceDE w:val="0"/>
              <w:autoSpaceDN w:val="0"/>
              <w:adjustRightInd w:val="0"/>
            </w:pPr>
            <w:r w:rsidRPr="009751E9">
              <w:rPr>
                <w:b/>
              </w:rPr>
              <w:t>Imports of goods and services</w:t>
            </w:r>
            <w:r>
              <w:rPr>
                <w:b/>
              </w:rPr>
              <w:t xml:space="preserve"> (annual % change): </w:t>
            </w:r>
            <w:r w:rsidRPr="009751E9">
              <w:t>Imports of goods and services represent the value of all goods and other market services received from the rest of the world. They include the value of merchandise, freight, insurance, transport, travel, royalties, license fees, and other services, such as communication, construction, financial, information, business, personal, and government services</w:t>
            </w:r>
            <w:r>
              <w:t xml:space="preserve">. </w:t>
            </w:r>
            <w:r w:rsidRPr="00D66DBC">
              <w:t xml:space="preserve">Source: (World Bank national accounts </w:t>
            </w:r>
            <w:proofErr w:type="gramStart"/>
            <w:r w:rsidRPr="00D66DBC">
              <w:t>data,</w:t>
            </w:r>
            <w:proofErr w:type="gramEnd"/>
            <w:r w:rsidRPr="00D66DBC">
              <w:t xml:space="preserve"> and OECD National Accounts data files).</w:t>
            </w:r>
          </w:p>
          <w:p w14:paraId="35DA3BA4" w14:textId="77777777" w:rsidR="00BD06C4" w:rsidRDefault="00BD06C4" w:rsidP="00BD06C4">
            <w:pPr>
              <w:autoSpaceDE w:val="0"/>
              <w:autoSpaceDN w:val="0"/>
              <w:adjustRightInd w:val="0"/>
            </w:pPr>
            <w:r>
              <w:rPr>
                <w:b/>
              </w:rPr>
              <w:t xml:space="preserve">Inflation, </w:t>
            </w:r>
            <w:r w:rsidRPr="009751E9">
              <w:rPr>
                <w:b/>
              </w:rPr>
              <w:t>Consumer price index</w:t>
            </w:r>
            <w:r>
              <w:rPr>
                <w:b/>
              </w:rPr>
              <w:t xml:space="preserve"> (annual % change): </w:t>
            </w:r>
            <w:r w:rsidRPr="009751E9">
              <w:t>Consumer price index reflects changes in the cost to the average consumer of acquiring a basket of goods and services that may be fixed or changed at specified intervals, such as yearly. The Laspeyres formula is generally used. Data are period averages.</w:t>
            </w:r>
            <w:r>
              <w:t xml:space="preserve"> Source: (</w:t>
            </w:r>
            <w:r w:rsidRPr="00D66DBC">
              <w:t>International Monetary Fund, International Financial Statistics and data files</w:t>
            </w:r>
            <w:r>
              <w:t xml:space="preserve">). </w:t>
            </w:r>
          </w:p>
          <w:p w14:paraId="102EDEF8" w14:textId="77777777" w:rsidR="00BD06C4" w:rsidRDefault="00BD06C4" w:rsidP="00BD06C4">
            <w:pPr>
              <w:autoSpaceDE w:val="0"/>
              <w:autoSpaceDN w:val="0"/>
              <w:adjustRightInd w:val="0"/>
            </w:pPr>
            <w:r w:rsidRPr="009751E9">
              <w:rPr>
                <w:b/>
              </w:rPr>
              <w:t>Unemployment, total (% of total labor force) (national estimate)</w:t>
            </w:r>
            <w:r>
              <w:rPr>
                <w:b/>
              </w:rPr>
              <w:t xml:space="preserve">: </w:t>
            </w:r>
            <w:r w:rsidRPr="009751E9">
              <w:t>Unemployment refers to the share of the labor force that is without work but available for and seeking employment. Definitions of labor force and unemployment differ by country.</w:t>
            </w:r>
            <w:r>
              <w:t xml:space="preserve"> Source: (</w:t>
            </w:r>
            <w:r w:rsidRPr="00D66DBC">
              <w:t>International Labor Organization, ILOSTAT database</w:t>
            </w:r>
            <w:r>
              <w:t xml:space="preserve">). </w:t>
            </w:r>
          </w:p>
        </w:tc>
        <w:tc>
          <w:tcPr>
            <w:tcW w:w="2835" w:type="dxa"/>
          </w:tcPr>
          <w:p w14:paraId="712C8225" w14:textId="77777777" w:rsidR="00BD06C4" w:rsidRDefault="00BD06C4" w:rsidP="00BD06C4">
            <w:pPr>
              <w:pStyle w:val="NoSpacing"/>
            </w:pPr>
            <w:r>
              <w:lastRenderedPageBreak/>
              <w:t>Not Available</w:t>
            </w:r>
          </w:p>
        </w:tc>
        <w:tc>
          <w:tcPr>
            <w:tcW w:w="1167" w:type="dxa"/>
          </w:tcPr>
          <w:p w14:paraId="5389AC2B" w14:textId="77777777" w:rsidR="00BD06C4" w:rsidRDefault="00BD06C4" w:rsidP="00BD06C4">
            <w:pPr>
              <w:pStyle w:val="NoSpacing"/>
            </w:pPr>
            <w:r>
              <w:t>Not Available</w:t>
            </w:r>
          </w:p>
        </w:tc>
        <w:tc>
          <w:tcPr>
            <w:tcW w:w="0" w:type="auto"/>
          </w:tcPr>
          <w:p w14:paraId="5D84C978" w14:textId="7BBDFC00" w:rsidR="00BD06C4" w:rsidRDefault="00BD06C4" w:rsidP="00BD06C4">
            <w:pPr>
              <w:pStyle w:val="NoSpacing"/>
            </w:pPr>
          </w:p>
        </w:tc>
        <w:tc>
          <w:tcPr>
            <w:tcW w:w="0" w:type="auto"/>
          </w:tcPr>
          <w:p w14:paraId="4A31E4C6" w14:textId="77777777" w:rsidR="00BD06C4" w:rsidRDefault="00BD06C4" w:rsidP="00BD06C4">
            <w:pPr>
              <w:pStyle w:val="NoSpacing"/>
            </w:pPr>
            <w:r>
              <w:t>WB,</w:t>
            </w:r>
          </w:p>
          <w:p w14:paraId="77225425" w14:textId="77777777" w:rsidR="00BD06C4" w:rsidRDefault="00BD06C4" w:rsidP="00BD06C4">
            <w:pPr>
              <w:pStyle w:val="NoSpacing"/>
              <w:rPr>
                <w:color w:val="0070C0"/>
                <w:sz w:val="30"/>
                <w:szCs w:val="30"/>
              </w:rPr>
            </w:pPr>
            <w:r>
              <w:t>Administrative Data</w:t>
            </w:r>
          </w:p>
        </w:tc>
        <w:tc>
          <w:tcPr>
            <w:tcW w:w="0" w:type="auto"/>
          </w:tcPr>
          <w:p w14:paraId="7B0315EF" w14:textId="77777777" w:rsidR="00BD06C4" w:rsidRDefault="00BD06C4" w:rsidP="00BD06C4">
            <w:pPr>
              <w:pStyle w:val="NoSpacing"/>
              <w:rPr>
                <w:color w:val="0070C0"/>
                <w:sz w:val="30"/>
                <w:szCs w:val="30"/>
              </w:rPr>
            </w:pPr>
            <w:r>
              <w:t>Not Applicable</w:t>
            </w:r>
          </w:p>
        </w:tc>
        <w:tc>
          <w:tcPr>
            <w:tcW w:w="1078" w:type="dxa"/>
          </w:tcPr>
          <w:p w14:paraId="406D73D3" w14:textId="77777777" w:rsidR="00BD06C4" w:rsidRDefault="00BD06C4" w:rsidP="00BD06C4">
            <w:pPr>
              <w:ind w:left="970" w:hanging="970"/>
              <w:jc w:val="both"/>
              <w:rPr>
                <w:color w:val="0070C0"/>
                <w:sz w:val="30"/>
                <w:szCs w:val="30"/>
              </w:rPr>
            </w:pPr>
            <w:r w:rsidRPr="00C37F69">
              <w:rPr>
                <w:szCs w:val="20"/>
              </w:rPr>
              <w:t>Annual</w:t>
            </w:r>
          </w:p>
        </w:tc>
        <w:tc>
          <w:tcPr>
            <w:tcW w:w="872" w:type="dxa"/>
          </w:tcPr>
          <w:p w14:paraId="42014530" w14:textId="77777777" w:rsidR="00BD06C4" w:rsidRDefault="00BD06C4" w:rsidP="00BD06C4">
            <w:pPr>
              <w:ind w:left="970" w:hanging="970"/>
              <w:jc w:val="both"/>
              <w:rPr>
                <w:color w:val="0070C0"/>
                <w:sz w:val="30"/>
                <w:szCs w:val="30"/>
              </w:rPr>
            </w:pPr>
            <w:r>
              <w:t>Group 2</w:t>
            </w:r>
          </w:p>
        </w:tc>
        <w:tc>
          <w:tcPr>
            <w:tcW w:w="619" w:type="dxa"/>
          </w:tcPr>
          <w:p w14:paraId="60C7E664" w14:textId="77777777" w:rsidR="00BD06C4" w:rsidRDefault="00BD06C4" w:rsidP="00BD06C4">
            <w:pPr>
              <w:pStyle w:val="NoSpacing"/>
            </w:pPr>
            <w:r>
              <w:t>1</w:t>
            </w:r>
            <w:r w:rsidRPr="00013ACB">
              <w:rPr>
                <w:vertAlign w:val="superscript"/>
              </w:rPr>
              <w:t>st</w:t>
            </w:r>
            <w:r>
              <w:t xml:space="preserve"> Round:</w:t>
            </w:r>
          </w:p>
          <w:p w14:paraId="6FDE7B65" w14:textId="77777777" w:rsidR="00BD06C4" w:rsidRDefault="00BD06C4" w:rsidP="00BD06C4">
            <w:pPr>
              <w:pStyle w:val="NoSpacing"/>
            </w:pPr>
            <w:r>
              <w:t>July,</w:t>
            </w:r>
          </w:p>
          <w:p w14:paraId="4530C634" w14:textId="77777777" w:rsidR="00BD06C4" w:rsidRDefault="00BD06C4" w:rsidP="00BD06C4">
            <w:pPr>
              <w:pStyle w:val="NoSpacing"/>
            </w:pPr>
            <w:r>
              <w:t>2019</w:t>
            </w:r>
          </w:p>
          <w:p w14:paraId="7B30A41C" w14:textId="77777777" w:rsidR="00BD06C4" w:rsidRDefault="00BD06C4" w:rsidP="00BD06C4">
            <w:pPr>
              <w:pStyle w:val="NoSpacing"/>
            </w:pPr>
          </w:p>
          <w:p w14:paraId="1414C39B" w14:textId="77777777" w:rsidR="00BD06C4" w:rsidRDefault="00BD06C4" w:rsidP="00BD06C4">
            <w:pPr>
              <w:pStyle w:val="NoSpacing"/>
            </w:pPr>
            <w:r>
              <w:t>2</w:t>
            </w:r>
            <w:r w:rsidRPr="00013ACB">
              <w:rPr>
                <w:vertAlign w:val="superscript"/>
              </w:rPr>
              <w:t>nd</w:t>
            </w:r>
            <w:r>
              <w:t xml:space="preserve"> Round:</w:t>
            </w:r>
          </w:p>
          <w:p w14:paraId="7BA0C77A" w14:textId="77777777" w:rsidR="00BD06C4" w:rsidRDefault="00BD06C4" w:rsidP="00BD06C4">
            <w:pPr>
              <w:pStyle w:val="NoSpacing"/>
            </w:pPr>
            <w:r>
              <w:t xml:space="preserve"> July,</w:t>
            </w:r>
          </w:p>
          <w:p w14:paraId="6211A009" w14:textId="77777777" w:rsidR="00BD06C4" w:rsidRDefault="00BD06C4" w:rsidP="00BD06C4">
            <w:pPr>
              <w:pStyle w:val="NoSpacing"/>
            </w:pPr>
            <w:r>
              <w:t>2020</w:t>
            </w:r>
          </w:p>
          <w:p w14:paraId="593557E7" w14:textId="77777777" w:rsidR="00BD06C4" w:rsidRDefault="00BD06C4" w:rsidP="00BD06C4">
            <w:pPr>
              <w:pStyle w:val="NoSpacing"/>
            </w:pPr>
          </w:p>
          <w:p w14:paraId="6E7A2290" w14:textId="77777777" w:rsidR="00BD06C4" w:rsidRDefault="00BD06C4" w:rsidP="00BD06C4">
            <w:pPr>
              <w:pStyle w:val="NoSpacing"/>
            </w:pPr>
            <w:r>
              <w:t>3</w:t>
            </w:r>
            <w:r w:rsidRPr="00013ACB">
              <w:rPr>
                <w:vertAlign w:val="superscript"/>
              </w:rPr>
              <w:t>rd</w:t>
            </w:r>
            <w:r>
              <w:t xml:space="preserve"> Round: </w:t>
            </w:r>
          </w:p>
          <w:p w14:paraId="5E8CF2DC" w14:textId="77777777" w:rsidR="00BD06C4" w:rsidRDefault="00BD06C4" w:rsidP="00BD06C4">
            <w:pPr>
              <w:pStyle w:val="NoSpacing"/>
            </w:pPr>
            <w:r>
              <w:t>July,</w:t>
            </w:r>
          </w:p>
          <w:p w14:paraId="604DC833" w14:textId="77777777" w:rsidR="00BD06C4" w:rsidRDefault="00BD06C4" w:rsidP="00BD06C4">
            <w:pPr>
              <w:pStyle w:val="NoSpacing"/>
            </w:pPr>
            <w:r>
              <w:t>2021</w:t>
            </w:r>
          </w:p>
          <w:p w14:paraId="2306240C" w14:textId="77777777" w:rsidR="00BD06C4" w:rsidRDefault="00BD06C4" w:rsidP="00BD06C4">
            <w:pPr>
              <w:pStyle w:val="NoSpacing"/>
            </w:pPr>
          </w:p>
          <w:p w14:paraId="3DA199D4" w14:textId="77777777" w:rsidR="00BD06C4" w:rsidRDefault="00BD06C4" w:rsidP="00BD06C4">
            <w:pPr>
              <w:pStyle w:val="NoSpacing"/>
            </w:pPr>
            <w:r>
              <w:t>4</w:t>
            </w:r>
            <w:r w:rsidRPr="00013ACB">
              <w:rPr>
                <w:vertAlign w:val="superscript"/>
              </w:rPr>
              <w:t>th</w:t>
            </w:r>
            <w:r>
              <w:t xml:space="preserve"> Round: </w:t>
            </w:r>
          </w:p>
          <w:p w14:paraId="7B974011" w14:textId="77777777" w:rsidR="00BD06C4" w:rsidRDefault="00BD06C4" w:rsidP="00BD06C4">
            <w:pPr>
              <w:pStyle w:val="NoSpacing"/>
            </w:pPr>
            <w:r>
              <w:t>July,</w:t>
            </w:r>
          </w:p>
          <w:p w14:paraId="7481B526" w14:textId="77777777" w:rsidR="00BD06C4" w:rsidRDefault="00BD06C4" w:rsidP="00BD06C4">
            <w:pPr>
              <w:pStyle w:val="NoSpacing"/>
            </w:pPr>
            <w:r>
              <w:t>2022</w:t>
            </w:r>
          </w:p>
          <w:p w14:paraId="2F0F5F14" w14:textId="77777777" w:rsidR="00BD06C4" w:rsidRDefault="00BD06C4" w:rsidP="00BD06C4">
            <w:pPr>
              <w:pStyle w:val="NoSpacing"/>
            </w:pPr>
          </w:p>
          <w:p w14:paraId="7BBF47DF" w14:textId="77777777" w:rsidR="00BD06C4" w:rsidRDefault="00BD06C4" w:rsidP="00BD06C4">
            <w:pPr>
              <w:pStyle w:val="NoSpacing"/>
            </w:pPr>
            <w:r>
              <w:t>5</w:t>
            </w:r>
            <w:r w:rsidRPr="00013ACB">
              <w:rPr>
                <w:vertAlign w:val="superscript"/>
              </w:rPr>
              <w:t>th</w:t>
            </w:r>
            <w:r>
              <w:t xml:space="preserve"> Round: </w:t>
            </w:r>
          </w:p>
          <w:p w14:paraId="74352C65" w14:textId="77777777" w:rsidR="00BD06C4" w:rsidRDefault="00BD06C4" w:rsidP="00BD06C4">
            <w:pPr>
              <w:pStyle w:val="NoSpacing"/>
            </w:pPr>
            <w:r>
              <w:t>July,</w:t>
            </w:r>
          </w:p>
          <w:p w14:paraId="36F51E98" w14:textId="77777777" w:rsidR="00BD06C4" w:rsidRDefault="00BD06C4" w:rsidP="00BD06C4">
            <w:pPr>
              <w:pStyle w:val="NoSpacing"/>
            </w:pPr>
            <w:r>
              <w:t>2023</w:t>
            </w:r>
          </w:p>
          <w:p w14:paraId="2698DC7F" w14:textId="4D5A8952" w:rsidR="00BD06C4" w:rsidRDefault="00BD06C4" w:rsidP="00BD06C4">
            <w:pPr>
              <w:pStyle w:val="NoSpacing"/>
            </w:pPr>
          </w:p>
        </w:tc>
        <w:tc>
          <w:tcPr>
            <w:tcW w:w="0" w:type="auto"/>
          </w:tcPr>
          <w:p w14:paraId="514FB878" w14:textId="77777777" w:rsidR="00BD06C4" w:rsidRDefault="00BD06C4" w:rsidP="00BD06C4">
            <w:pPr>
              <w:pStyle w:val="NoSpacing"/>
            </w:pPr>
            <w:r w:rsidRPr="009348D3">
              <w:lastRenderedPageBreak/>
              <w:t>WB has already published.</w:t>
            </w:r>
          </w:p>
          <w:p w14:paraId="7A64C69B" w14:textId="77777777" w:rsidR="00BD06C4" w:rsidRDefault="00BD06C4" w:rsidP="00BD06C4">
            <w:pPr>
              <w:pStyle w:val="NoSpacing"/>
            </w:pPr>
          </w:p>
          <w:p w14:paraId="0724218C" w14:textId="77777777" w:rsidR="00BD06C4" w:rsidRPr="00A41B47" w:rsidRDefault="00BD06C4" w:rsidP="00BD06C4">
            <w:pPr>
              <w:pStyle w:val="NoSpacing"/>
            </w:pPr>
            <w:r w:rsidRPr="00A41B47">
              <w:t>Reviewed at 8th IAEG-SDG meeting (classified as Tier II)</w:t>
            </w:r>
          </w:p>
        </w:tc>
      </w:tr>
      <w:tr w:rsidR="00D46636" w14:paraId="393079BD" w14:textId="77777777" w:rsidTr="00586441">
        <w:tc>
          <w:tcPr>
            <w:tcW w:w="18710" w:type="dxa"/>
            <w:gridSpan w:val="13"/>
          </w:tcPr>
          <w:p w14:paraId="6B550F15" w14:textId="77777777" w:rsidR="00D46636" w:rsidRDefault="00D46636" w:rsidP="00BD06C4">
            <w:pPr>
              <w:jc w:val="both"/>
              <w:rPr>
                <w:color w:val="0070C0"/>
                <w:sz w:val="48"/>
                <w:szCs w:val="48"/>
              </w:rPr>
            </w:pPr>
            <w:r>
              <w:rPr>
                <w:color w:val="0070C0"/>
                <w:sz w:val="30"/>
                <w:szCs w:val="30"/>
              </w:rPr>
              <w:lastRenderedPageBreak/>
              <w:t xml:space="preserve">Target </w:t>
            </w:r>
            <w:r w:rsidRPr="00306900">
              <w:rPr>
                <w:color w:val="0070C0"/>
                <w:sz w:val="30"/>
                <w:szCs w:val="30"/>
              </w:rPr>
              <w:t>17.14 Enhance policy coherence for sustainable development</w:t>
            </w:r>
          </w:p>
        </w:tc>
      </w:tr>
      <w:tr w:rsidR="00BD06C4" w14:paraId="66E32953" w14:textId="77777777" w:rsidTr="00586441">
        <w:tc>
          <w:tcPr>
            <w:tcW w:w="0" w:type="auto"/>
          </w:tcPr>
          <w:p w14:paraId="13BB0AB9" w14:textId="77777777" w:rsidR="00BD06C4" w:rsidRPr="00BB536A" w:rsidRDefault="00BD06C4" w:rsidP="00BD06C4">
            <w:pPr>
              <w:pStyle w:val="NoSpacing"/>
            </w:pPr>
            <w:r w:rsidRPr="00BB536A">
              <w:t xml:space="preserve">17.14.1 Number of countries with </w:t>
            </w:r>
            <w:r w:rsidRPr="00BB536A">
              <w:lastRenderedPageBreak/>
              <w:t>mechanisms in place to enhance policy coherence of sustainable development</w:t>
            </w:r>
          </w:p>
        </w:tc>
        <w:tc>
          <w:tcPr>
            <w:tcW w:w="0" w:type="auto"/>
          </w:tcPr>
          <w:p w14:paraId="065F9B9E" w14:textId="77777777" w:rsidR="00BD06C4" w:rsidRDefault="00BD06C4" w:rsidP="00BD06C4">
            <w:pPr>
              <w:pStyle w:val="NoSpacing"/>
            </w:pPr>
            <w:r w:rsidRPr="005867D7">
              <w:lastRenderedPageBreak/>
              <w:t>UNEP</w:t>
            </w:r>
          </w:p>
        </w:tc>
        <w:tc>
          <w:tcPr>
            <w:tcW w:w="0" w:type="auto"/>
            <w:tcBorders>
              <w:right w:val="single" w:sz="4" w:space="0" w:color="auto"/>
            </w:tcBorders>
          </w:tcPr>
          <w:p w14:paraId="1CE1A576" w14:textId="77777777" w:rsidR="00BD06C4" w:rsidRDefault="00BD06C4" w:rsidP="00BD06C4">
            <w:pPr>
              <w:ind w:left="970" w:hanging="970"/>
              <w:jc w:val="both"/>
              <w:rPr>
                <w:color w:val="0070C0"/>
                <w:sz w:val="30"/>
                <w:szCs w:val="30"/>
              </w:rPr>
            </w:pPr>
            <w:r w:rsidRPr="00666BAB">
              <w:t>Tier II</w:t>
            </w:r>
          </w:p>
        </w:tc>
        <w:tc>
          <w:tcPr>
            <w:tcW w:w="0" w:type="auto"/>
            <w:tcBorders>
              <w:left w:val="single" w:sz="4" w:space="0" w:color="auto"/>
            </w:tcBorders>
          </w:tcPr>
          <w:p w14:paraId="17956807" w14:textId="77777777" w:rsidR="00BD06C4" w:rsidRDefault="00BD06C4" w:rsidP="00BD06C4">
            <w:pPr>
              <w:jc w:val="both"/>
              <w:rPr>
                <w:color w:val="0070C0"/>
                <w:sz w:val="30"/>
                <w:szCs w:val="30"/>
              </w:rPr>
            </w:pPr>
          </w:p>
        </w:tc>
        <w:tc>
          <w:tcPr>
            <w:tcW w:w="2835" w:type="dxa"/>
          </w:tcPr>
          <w:p w14:paraId="59C484F2" w14:textId="77777777" w:rsidR="00BD06C4" w:rsidRDefault="00BD06C4" w:rsidP="00BD06C4">
            <w:pPr>
              <w:pStyle w:val="NoSpacing"/>
            </w:pPr>
            <w:r>
              <w:t>Not Available</w:t>
            </w:r>
          </w:p>
        </w:tc>
        <w:tc>
          <w:tcPr>
            <w:tcW w:w="1167" w:type="dxa"/>
          </w:tcPr>
          <w:p w14:paraId="632D1ECA" w14:textId="77777777" w:rsidR="00BD06C4" w:rsidRDefault="00BD06C4" w:rsidP="00BD06C4">
            <w:pPr>
              <w:pStyle w:val="NoSpacing"/>
            </w:pPr>
            <w:r>
              <w:t>Not Available</w:t>
            </w:r>
          </w:p>
        </w:tc>
        <w:tc>
          <w:tcPr>
            <w:tcW w:w="0" w:type="auto"/>
          </w:tcPr>
          <w:p w14:paraId="67DEDFA6" w14:textId="68D56E77" w:rsidR="00BD06C4" w:rsidRPr="00BC6F10" w:rsidRDefault="00BD06C4" w:rsidP="00BD06C4">
            <w:pPr>
              <w:pStyle w:val="NoSpacing"/>
            </w:pPr>
          </w:p>
        </w:tc>
        <w:tc>
          <w:tcPr>
            <w:tcW w:w="0" w:type="auto"/>
          </w:tcPr>
          <w:p w14:paraId="6C36D69E" w14:textId="77777777" w:rsidR="00BD06C4" w:rsidRDefault="00BD06C4" w:rsidP="00BD06C4">
            <w:pPr>
              <w:pStyle w:val="NoSpacing"/>
            </w:pPr>
            <w:r w:rsidRPr="00BC6F10">
              <w:t>a) GED</w:t>
            </w:r>
            <w:r w:rsidRPr="00BC6F10">
              <w:br/>
              <w:t xml:space="preserve">b) </w:t>
            </w:r>
            <w:r>
              <w:t xml:space="preserve">MoEFCC </w:t>
            </w:r>
          </w:p>
          <w:p w14:paraId="0ED45A25" w14:textId="77777777" w:rsidR="00BD06C4" w:rsidRDefault="00BD06C4" w:rsidP="00BD06C4">
            <w:pPr>
              <w:pStyle w:val="NoSpacing"/>
            </w:pPr>
          </w:p>
          <w:p w14:paraId="039302E7" w14:textId="77777777" w:rsidR="00BD06C4" w:rsidRPr="00BC6F10" w:rsidRDefault="00BD06C4" w:rsidP="00BD06C4">
            <w:pPr>
              <w:pStyle w:val="NoSpacing"/>
            </w:pPr>
            <w:r>
              <w:t>Administrative Data</w:t>
            </w:r>
          </w:p>
        </w:tc>
        <w:tc>
          <w:tcPr>
            <w:tcW w:w="0" w:type="auto"/>
          </w:tcPr>
          <w:p w14:paraId="39E31A01" w14:textId="32F31C65" w:rsidR="00BD06C4" w:rsidRDefault="00634250" w:rsidP="000C4849">
            <w:pPr>
              <w:ind w:left="970" w:hanging="970"/>
              <w:jc w:val="center"/>
              <w:rPr>
                <w:color w:val="0070C0"/>
                <w:sz w:val="30"/>
                <w:szCs w:val="30"/>
              </w:rPr>
            </w:pPr>
            <w:r>
              <w:rPr>
                <w:color w:val="0070C0"/>
                <w:sz w:val="30"/>
                <w:szCs w:val="30"/>
              </w:rPr>
              <w:t>-</w:t>
            </w:r>
          </w:p>
        </w:tc>
        <w:tc>
          <w:tcPr>
            <w:tcW w:w="1078" w:type="dxa"/>
          </w:tcPr>
          <w:p w14:paraId="58697A25" w14:textId="77777777" w:rsidR="00BD06C4" w:rsidRDefault="00BD06C4" w:rsidP="00BD06C4">
            <w:pPr>
              <w:ind w:left="970" w:hanging="970"/>
              <w:jc w:val="both"/>
              <w:rPr>
                <w:color w:val="0070C0"/>
                <w:sz w:val="30"/>
                <w:szCs w:val="30"/>
              </w:rPr>
            </w:pPr>
            <w:r w:rsidRPr="00BC6F10">
              <w:t>Triennial</w:t>
            </w:r>
          </w:p>
        </w:tc>
        <w:tc>
          <w:tcPr>
            <w:tcW w:w="872" w:type="dxa"/>
          </w:tcPr>
          <w:p w14:paraId="617FB8DA" w14:textId="77777777" w:rsidR="00BD06C4" w:rsidRDefault="00BD06C4" w:rsidP="00BD06C4">
            <w:pPr>
              <w:ind w:left="970" w:hanging="970"/>
              <w:jc w:val="both"/>
              <w:rPr>
                <w:color w:val="0070C0"/>
                <w:sz w:val="30"/>
                <w:szCs w:val="30"/>
              </w:rPr>
            </w:pPr>
            <w:r>
              <w:t>Group 2</w:t>
            </w:r>
          </w:p>
        </w:tc>
        <w:tc>
          <w:tcPr>
            <w:tcW w:w="619" w:type="dxa"/>
          </w:tcPr>
          <w:p w14:paraId="7CEDE74D" w14:textId="77777777" w:rsidR="00BD06C4" w:rsidRDefault="00BD06C4" w:rsidP="00BD06C4">
            <w:pPr>
              <w:pStyle w:val="NoSpacing"/>
            </w:pPr>
            <w:r>
              <w:t>1</w:t>
            </w:r>
            <w:r w:rsidRPr="00013ACB">
              <w:rPr>
                <w:vertAlign w:val="superscript"/>
              </w:rPr>
              <w:t>st</w:t>
            </w:r>
            <w:r>
              <w:t xml:space="preserve"> Round:</w:t>
            </w:r>
          </w:p>
          <w:p w14:paraId="4DCF5D1F" w14:textId="77777777" w:rsidR="00BD06C4" w:rsidRDefault="00BD06C4" w:rsidP="00BD06C4">
            <w:pPr>
              <w:pStyle w:val="NoSpacing"/>
            </w:pPr>
            <w:r>
              <w:t xml:space="preserve">December </w:t>
            </w:r>
          </w:p>
          <w:p w14:paraId="27345AAF" w14:textId="77777777" w:rsidR="00BD06C4" w:rsidRDefault="00BD06C4" w:rsidP="00BD06C4">
            <w:pPr>
              <w:pStyle w:val="NoSpacing"/>
            </w:pPr>
            <w:r>
              <w:lastRenderedPageBreak/>
              <w:t>2020</w:t>
            </w:r>
          </w:p>
          <w:p w14:paraId="1E87BF0C" w14:textId="77777777" w:rsidR="00BD06C4" w:rsidRDefault="00BD06C4" w:rsidP="00BD06C4">
            <w:pPr>
              <w:pStyle w:val="NoSpacing"/>
            </w:pPr>
          </w:p>
          <w:p w14:paraId="58B8F02C" w14:textId="77777777" w:rsidR="00BD06C4" w:rsidRDefault="00BD06C4" w:rsidP="00BD06C4">
            <w:pPr>
              <w:pStyle w:val="NoSpacing"/>
            </w:pPr>
            <w:r>
              <w:t>2</w:t>
            </w:r>
            <w:r w:rsidRPr="00013ACB">
              <w:rPr>
                <w:vertAlign w:val="superscript"/>
              </w:rPr>
              <w:t>nd</w:t>
            </w:r>
            <w:r>
              <w:t xml:space="preserve"> Round:</w:t>
            </w:r>
          </w:p>
          <w:p w14:paraId="49E2A665" w14:textId="77777777" w:rsidR="00BD06C4" w:rsidRDefault="00BD06C4" w:rsidP="00BD06C4">
            <w:pPr>
              <w:pStyle w:val="NoSpacing"/>
            </w:pPr>
            <w:r>
              <w:t xml:space="preserve"> December </w:t>
            </w:r>
          </w:p>
          <w:p w14:paraId="17164570" w14:textId="77777777" w:rsidR="00BD06C4" w:rsidRDefault="00BD06C4" w:rsidP="00BD06C4">
            <w:pPr>
              <w:pStyle w:val="NoSpacing"/>
            </w:pPr>
            <w:r>
              <w:t>2023</w:t>
            </w:r>
          </w:p>
          <w:p w14:paraId="4C729DDF" w14:textId="77777777" w:rsidR="00BD06C4" w:rsidRDefault="00BD06C4" w:rsidP="00BD06C4">
            <w:pPr>
              <w:pStyle w:val="NoSpacing"/>
            </w:pPr>
          </w:p>
          <w:p w14:paraId="641F5917" w14:textId="77777777" w:rsidR="00BD06C4" w:rsidRDefault="00BD06C4" w:rsidP="00BD06C4">
            <w:pPr>
              <w:pStyle w:val="NoSpacing"/>
            </w:pPr>
            <w:r>
              <w:t>3</w:t>
            </w:r>
            <w:r w:rsidRPr="00013ACB">
              <w:rPr>
                <w:vertAlign w:val="superscript"/>
              </w:rPr>
              <w:t>rd</w:t>
            </w:r>
            <w:r>
              <w:t xml:space="preserve"> Round: </w:t>
            </w:r>
          </w:p>
          <w:p w14:paraId="21A9A278" w14:textId="77777777" w:rsidR="00BD06C4" w:rsidRDefault="00BD06C4" w:rsidP="00BD06C4">
            <w:pPr>
              <w:pStyle w:val="NoSpacing"/>
            </w:pPr>
            <w:r>
              <w:t xml:space="preserve">December </w:t>
            </w:r>
          </w:p>
          <w:p w14:paraId="03CAAAA4" w14:textId="77777777" w:rsidR="00BD06C4" w:rsidRDefault="00BD06C4" w:rsidP="00BD06C4">
            <w:pPr>
              <w:pStyle w:val="NoSpacing"/>
            </w:pPr>
            <w:r>
              <w:t>2026</w:t>
            </w:r>
          </w:p>
          <w:p w14:paraId="11010F47" w14:textId="77777777" w:rsidR="00BD06C4" w:rsidRDefault="00BD06C4" w:rsidP="00BD06C4">
            <w:pPr>
              <w:pStyle w:val="NoSpacing"/>
            </w:pPr>
          </w:p>
          <w:p w14:paraId="70B3C505" w14:textId="77777777" w:rsidR="00BD06C4" w:rsidRDefault="00BD06C4" w:rsidP="00BD06C4">
            <w:pPr>
              <w:pStyle w:val="NoSpacing"/>
            </w:pPr>
            <w:r>
              <w:t>4</w:t>
            </w:r>
            <w:r w:rsidRPr="00013ACB">
              <w:rPr>
                <w:vertAlign w:val="superscript"/>
              </w:rPr>
              <w:t>th</w:t>
            </w:r>
            <w:r>
              <w:t xml:space="preserve"> Round: </w:t>
            </w:r>
          </w:p>
          <w:p w14:paraId="3B9A53CB" w14:textId="77777777" w:rsidR="00BD06C4" w:rsidRDefault="00BD06C4" w:rsidP="00BD06C4">
            <w:pPr>
              <w:pStyle w:val="NoSpacing"/>
            </w:pPr>
            <w:r>
              <w:t xml:space="preserve">December </w:t>
            </w:r>
          </w:p>
          <w:p w14:paraId="2A8D59B4" w14:textId="77777777" w:rsidR="00BD06C4" w:rsidRDefault="00BD06C4" w:rsidP="00BD06C4">
            <w:pPr>
              <w:pStyle w:val="NoSpacing"/>
            </w:pPr>
            <w:r>
              <w:t>2029</w:t>
            </w:r>
          </w:p>
          <w:p w14:paraId="0BB728C2" w14:textId="77777777" w:rsidR="00BD06C4" w:rsidRDefault="00BD06C4" w:rsidP="00BD06C4">
            <w:pPr>
              <w:pStyle w:val="NoSpacing"/>
            </w:pPr>
          </w:p>
          <w:p w14:paraId="0CA35034" w14:textId="77777777" w:rsidR="00BD06C4" w:rsidRDefault="00BD06C4" w:rsidP="00BD06C4">
            <w:pPr>
              <w:pStyle w:val="NoSpacing"/>
            </w:pPr>
            <w:r>
              <w:t>5</w:t>
            </w:r>
            <w:r w:rsidRPr="00013ACB">
              <w:rPr>
                <w:vertAlign w:val="superscript"/>
              </w:rPr>
              <w:t>th</w:t>
            </w:r>
            <w:r>
              <w:t xml:space="preserve"> Round: </w:t>
            </w:r>
          </w:p>
          <w:p w14:paraId="7048976E" w14:textId="77777777" w:rsidR="00BD06C4" w:rsidRDefault="00BD06C4" w:rsidP="00BD06C4">
            <w:pPr>
              <w:pStyle w:val="NoSpacing"/>
            </w:pPr>
            <w:r>
              <w:t xml:space="preserve">December </w:t>
            </w:r>
          </w:p>
          <w:p w14:paraId="2BE64E2C" w14:textId="77777777" w:rsidR="00BD06C4" w:rsidRDefault="00BD06C4" w:rsidP="00BD06C4">
            <w:pPr>
              <w:pStyle w:val="NoSpacing"/>
            </w:pPr>
            <w:r>
              <w:t>2030</w:t>
            </w:r>
          </w:p>
          <w:p w14:paraId="5FEA4C1B" w14:textId="7A11D184" w:rsidR="00BD06C4" w:rsidRDefault="00BD06C4" w:rsidP="00BD06C4">
            <w:pPr>
              <w:pStyle w:val="NoSpacing"/>
            </w:pPr>
          </w:p>
        </w:tc>
        <w:tc>
          <w:tcPr>
            <w:tcW w:w="0" w:type="auto"/>
          </w:tcPr>
          <w:p w14:paraId="3A76A46A" w14:textId="77777777" w:rsidR="00BD06C4" w:rsidRDefault="00BD06C4" w:rsidP="00BD06C4">
            <w:pPr>
              <w:pStyle w:val="NoSpacing"/>
            </w:pPr>
            <w:r w:rsidRPr="009A558E">
              <w:lastRenderedPageBreak/>
              <w:t xml:space="preserve">IAEG awaiting results of pilots to </w:t>
            </w:r>
            <w:r w:rsidRPr="009A558E">
              <w:lastRenderedPageBreak/>
              <w:t>make determination on tier classification</w:t>
            </w:r>
          </w:p>
          <w:p w14:paraId="748E52F7" w14:textId="77777777" w:rsidR="00BD06C4" w:rsidRDefault="00BD06C4" w:rsidP="00BD06C4">
            <w:pPr>
              <w:pStyle w:val="NoSpacing"/>
            </w:pPr>
          </w:p>
          <w:p w14:paraId="1311D37B" w14:textId="77777777" w:rsidR="00BD06C4" w:rsidRDefault="00BD06C4" w:rsidP="00BD06C4">
            <w:pPr>
              <w:pStyle w:val="NoSpacing"/>
            </w:pPr>
            <w:r>
              <w:t>Reviewed at Feb. 2020 WebEx meeting</w:t>
            </w:r>
          </w:p>
          <w:p w14:paraId="2DEAD201" w14:textId="77777777" w:rsidR="00BD06C4" w:rsidRDefault="00BD06C4" w:rsidP="00BD06C4">
            <w:pPr>
              <w:pStyle w:val="NoSpacing"/>
            </w:pPr>
            <w:r>
              <w:t>(classified as Tier II)</w:t>
            </w:r>
          </w:p>
          <w:p w14:paraId="24872C4F" w14:textId="77777777" w:rsidR="00BD06C4" w:rsidRDefault="00BD06C4" w:rsidP="00BD06C4">
            <w:pPr>
              <w:pStyle w:val="NoSpacing"/>
            </w:pPr>
          </w:p>
          <w:p w14:paraId="70BB9229" w14:textId="189F9BD5" w:rsidR="00BD06C4" w:rsidRDefault="00BD06C4" w:rsidP="00BD06C4">
            <w:pPr>
              <w:pStyle w:val="NoSpacing"/>
            </w:pPr>
            <w:r>
              <w:t xml:space="preserve">Reviewed at Nov./Dec. 2019 WebEx meeting: IAEG awaiting results of pilots to make determination on tier classification (classified as </w:t>
            </w:r>
            <w:r w:rsidR="006B621F">
              <w:t>TBD</w:t>
            </w:r>
            <w:r>
              <w:t>)</w:t>
            </w:r>
          </w:p>
        </w:tc>
      </w:tr>
      <w:tr w:rsidR="00D46636" w14:paraId="319C6342" w14:textId="77777777" w:rsidTr="00586441">
        <w:tc>
          <w:tcPr>
            <w:tcW w:w="18710" w:type="dxa"/>
            <w:gridSpan w:val="13"/>
          </w:tcPr>
          <w:p w14:paraId="4D78E2AA" w14:textId="77777777" w:rsidR="00D46636" w:rsidRDefault="00D46636" w:rsidP="00BD06C4">
            <w:pPr>
              <w:jc w:val="both"/>
              <w:rPr>
                <w:color w:val="0070C0"/>
                <w:sz w:val="48"/>
                <w:szCs w:val="48"/>
              </w:rPr>
            </w:pPr>
            <w:r>
              <w:rPr>
                <w:color w:val="0070C0"/>
                <w:sz w:val="30"/>
                <w:szCs w:val="30"/>
              </w:rPr>
              <w:lastRenderedPageBreak/>
              <w:t xml:space="preserve">Target </w:t>
            </w:r>
            <w:r w:rsidRPr="00306900">
              <w:rPr>
                <w:color w:val="0070C0"/>
                <w:sz w:val="30"/>
                <w:szCs w:val="30"/>
              </w:rPr>
              <w:t>17.15 Respect each country’s policy space and leadership to establish and implement policies for poverty eradication and sustainable development</w:t>
            </w:r>
          </w:p>
        </w:tc>
      </w:tr>
      <w:tr w:rsidR="00BD06C4" w14:paraId="194F3751" w14:textId="77777777" w:rsidTr="00586441">
        <w:tc>
          <w:tcPr>
            <w:tcW w:w="0" w:type="auto"/>
          </w:tcPr>
          <w:p w14:paraId="5798AA1A" w14:textId="77777777" w:rsidR="00BD06C4" w:rsidRPr="00BB536A" w:rsidRDefault="00BD06C4" w:rsidP="00BD06C4">
            <w:pPr>
              <w:pStyle w:val="NoSpacing"/>
            </w:pPr>
            <w:r w:rsidRPr="00BB536A">
              <w:t xml:space="preserve">17.15.1 Extent of </w:t>
            </w:r>
            <w:r w:rsidRPr="00BB536A">
              <w:lastRenderedPageBreak/>
              <w:t>use of country-owned results frameworks and planning tools by providers of development cooperation</w:t>
            </w:r>
          </w:p>
        </w:tc>
        <w:tc>
          <w:tcPr>
            <w:tcW w:w="0" w:type="auto"/>
          </w:tcPr>
          <w:p w14:paraId="3DD2AB9B" w14:textId="77777777" w:rsidR="00BD06C4" w:rsidRDefault="00BD06C4" w:rsidP="00BD06C4">
            <w:pPr>
              <w:pStyle w:val="NoSpacing"/>
            </w:pPr>
            <w:r>
              <w:lastRenderedPageBreak/>
              <w:t xml:space="preserve">OECD, </w:t>
            </w:r>
          </w:p>
          <w:p w14:paraId="560E3EB0" w14:textId="77777777" w:rsidR="00BD06C4" w:rsidRDefault="00BD06C4" w:rsidP="00BD06C4">
            <w:pPr>
              <w:pStyle w:val="NoSpacing"/>
            </w:pPr>
            <w:r>
              <w:t>UNDP</w:t>
            </w:r>
          </w:p>
        </w:tc>
        <w:tc>
          <w:tcPr>
            <w:tcW w:w="0" w:type="auto"/>
          </w:tcPr>
          <w:p w14:paraId="7B87B68F" w14:textId="77777777" w:rsidR="00BD06C4" w:rsidRDefault="00BD06C4" w:rsidP="00BD06C4">
            <w:pPr>
              <w:ind w:left="970" w:hanging="970"/>
              <w:jc w:val="both"/>
              <w:rPr>
                <w:color w:val="0070C0"/>
                <w:sz w:val="30"/>
                <w:szCs w:val="30"/>
              </w:rPr>
            </w:pPr>
            <w:r w:rsidRPr="00666BAB">
              <w:t>Tier I</w:t>
            </w:r>
            <w:r w:rsidRPr="00666BAB">
              <w:lastRenderedPageBreak/>
              <w:t>I</w:t>
            </w:r>
          </w:p>
        </w:tc>
        <w:tc>
          <w:tcPr>
            <w:tcW w:w="0" w:type="auto"/>
          </w:tcPr>
          <w:p w14:paraId="207376E0" w14:textId="77777777" w:rsidR="00BD06C4" w:rsidRPr="008621B4" w:rsidRDefault="00BD06C4" w:rsidP="00BD06C4">
            <w:pPr>
              <w:pStyle w:val="NoSpacing"/>
              <w:rPr>
                <w:lang w:val="en-GB"/>
              </w:rPr>
            </w:pPr>
            <w:r w:rsidRPr="008621B4">
              <w:rPr>
                <w:b/>
                <w:bCs/>
                <w:lang w:val="en-GB"/>
              </w:rPr>
              <w:lastRenderedPageBreak/>
              <w:t>Definition:</w:t>
            </w:r>
          </w:p>
          <w:p w14:paraId="08A42AA6" w14:textId="77777777" w:rsidR="00BD06C4" w:rsidRPr="008621B4" w:rsidRDefault="00BD06C4" w:rsidP="00BD06C4">
            <w:pPr>
              <w:pStyle w:val="NoSpacing"/>
              <w:rPr>
                <w:lang w:val="en-GB"/>
              </w:rPr>
            </w:pPr>
          </w:p>
          <w:p w14:paraId="1D04C96B" w14:textId="77777777" w:rsidR="00BD06C4" w:rsidRPr="008621B4" w:rsidRDefault="00BD06C4" w:rsidP="00BD06C4">
            <w:pPr>
              <w:pStyle w:val="NoSpacing"/>
              <w:rPr>
                <w:lang w:val="en-GB"/>
              </w:rPr>
            </w:pPr>
            <w:r w:rsidRPr="008621B4">
              <w:rPr>
                <w:lang w:val="en-GB"/>
              </w:rPr>
              <w:lastRenderedPageBreak/>
              <w:t xml:space="preserve">This indicator measures the extent to which, and the ways in which, all concerned development partners use country-led results frameworks (CRFs) to plan development cooperation efforts and assess their performance.  </w:t>
            </w:r>
          </w:p>
          <w:p w14:paraId="5BAFE0AA" w14:textId="77777777" w:rsidR="00BD06C4" w:rsidRPr="008621B4" w:rsidRDefault="00BD06C4" w:rsidP="00BD06C4">
            <w:pPr>
              <w:pStyle w:val="NoSpacing"/>
              <w:rPr>
                <w:lang w:val="en-GB"/>
              </w:rPr>
            </w:pPr>
          </w:p>
          <w:p w14:paraId="054ACEF3" w14:textId="77777777" w:rsidR="00BD06C4" w:rsidRPr="008621B4" w:rsidRDefault="00BD06C4" w:rsidP="00BD06C4">
            <w:pPr>
              <w:pStyle w:val="NoSpacing"/>
              <w:rPr>
                <w:lang w:val="en-GB"/>
              </w:rPr>
            </w:pPr>
            <w:r w:rsidRPr="008621B4">
              <w:rPr>
                <w:lang w:val="en-GB"/>
              </w:rPr>
              <w:t xml:space="preserve">The indicator assesses the degree to which providers of development cooperation (i.e. development partners) design their interventions by relying on objectives and results indicators that are drawn from country government-led results frameworks reflecting the country’s development priorities and goals.  </w:t>
            </w:r>
          </w:p>
          <w:p w14:paraId="21F1F70D" w14:textId="77777777" w:rsidR="00BD06C4" w:rsidRPr="008621B4" w:rsidRDefault="00BD06C4" w:rsidP="00BD06C4">
            <w:pPr>
              <w:pStyle w:val="NoSpacing"/>
              <w:rPr>
                <w:lang w:val="en-GB"/>
              </w:rPr>
            </w:pPr>
          </w:p>
          <w:p w14:paraId="5A9F7F18" w14:textId="77777777" w:rsidR="00BD06C4" w:rsidRPr="008621B4" w:rsidRDefault="00BD06C4" w:rsidP="00BD06C4">
            <w:pPr>
              <w:pStyle w:val="NoSpacing"/>
              <w:rPr>
                <w:lang w:val="en-GB"/>
              </w:rPr>
            </w:pPr>
            <w:r w:rsidRPr="008621B4">
              <w:rPr>
                <w:b/>
                <w:bCs/>
                <w:lang w:val="en-GB"/>
              </w:rPr>
              <w:t>Concepts:</w:t>
            </w:r>
          </w:p>
          <w:p w14:paraId="33DB9F99" w14:textId="77777777" w:rsidR="00BD06C4" w:rsidRPr="008621B4" w:rsidRDefault="00BD06C4" w:rsidP="00BD06C4">
            <w:pPr>
              <w:pStyle w:val="NoSpacing"/>
              <w:rPr>
                <w:lang w:val="en-GB"/>
              </w:rPr>
            </w:pPr>
          </w:p>
          <w:p w14:paraId="0B868F4B" w14:textId="77777777" w:rsidR="00BD06C4" w:rsidRPr="008621B4" w:rsidRDefault="00BD06C4" w:rsidP="00BD06C4">
            <w:pPr>
              <w:pStyle w:val="NoSpacing"/>
              <w:rPr>
                <w:lang w:val="en-GB"/>
              </w:rPr>
            </w:pPr>
            <w:r w:rsidRPr="008621B4">
              <w:rPr>
                <w:lang w:val="en-GB"/>
              </w:rPr>
              <w:t xml:space="preserve">Country results frameworks (CRFs) define a country’s approach to results and its associated monitoring and evaluation systems focusing on performance and achievement of development results. Using a minimal definition, these results frameworks include agreed objectives and results indicators (i.e. output, outcome, and/or impact). They also set targets to measure progress in achieving the objectives defined in the government’s planning documents. </w:t>
            </w:r>
          </w:p>
          <w:p w14:paraId="4433FA80" w14:textId="77777777" w:rsidR="00BD06C4" w:rsidRPr="008621B4" w:rsidRDefault="00BD06C4" w:rsidP="00BD06C4">
            <w:pPr>
              <w:pStyle w:val="NoSpacing"/>
              <w:rPr>
                <w:lang w:val="en-GB"/>
              </w:rPr>
            </w:pPr>
            <w:r w:rsidRPr="008621B4">
              <w:rPr>
                <w:lang w:val="en-GB"/>
              </w:rPr>
              <w:t>The definition of country-led results framework used for this indicator allows the possibility to use equivalent priority-setting mechanisms at the country level since not all countries articulate their priorities through consistent, integrated CRFs.</w:t>
            </w:r>
          </w:p>
          <w:p w14:paraId="191DDA91" w14:textId="77777777" w:rsidR="00BD06C4" w:rsidRPr="008621B4" w:rsidRDefault="00BD06C4" w:rsidP="00BD06C4">
            <w:pPr>
              <w:pStyle w:val="NoSpacing"/>
              <w:rPr>
                <w:lang w:val="en-GB"/>
              </w:rPr>
            </w:pPr>
          </w:p>
          <w:p w14:paraId="2956ACE4" w14:textId="77777777" w:rsidR="00BD06C4" w:rsidRPr="008621B4" w:rsidRDefault="00BD06C4" w:rsidP="00BD06C4">
            <w:pPr>
              <w:pStyle w:val="NoSpacing"/>
              <w:rPr>
                <w:lang w:val="en-GB"/>
              </w:rPr>
            </w:pPr>
            <w:r w:rsidRPr="008621B4">
              <w:rPr>
                <w:lang w:val="en-GB"/>
              </w:rPr>
              <w:t>In practice, government-led results frameworks defined at the country level are often broadly stated (e.g. long-term vision plans, national development strategies) and operationalised in more detail at the sector level (e.g. sector strategies), where specific targets and indicators are set for a given timeframe.</w:t>
            </w:r>
          </w:p>
          <w:p w14:paraId="7D3373DA" w14:textId="77777777" w:rsidR="00BD06C4" w:rsidRPr="008621B4" w:rsidRDefault="00BD06C4" w:rsidP="00BD06C4">
            <w:pPr>
              <w:pStyle w:val="NoSpacing"/>
              <w:rPr>
                <w:lang w:val="en-GB"/>
              </w:rPr>
            </w:pPr>
          </w:p>
          <w:p w14:paraId="39F067E9" w14:textId="77777777" w:rsidR="00BD06C4" w:rsidRPr="008621B4" w:rsidRDefault="00BD06C4" w:rsidP="00BD06C4">
            <w:pPr>
              <w:pStyle w:val="NoSpacing"/>
              <w:rPr>
                <w:lang w:val="en-GB"/>
              </w:rPr>
            </w:pPr>
            <w:r w:rsidRPr="008621B4">
              <w:rPr>
                <w:lang w:val="en-GB"/>
              </w:rPr>
              <w:t>Some examples of CRFs are long-term vision plans; national development strategies; joint government-multi-donor plans; government’s sector strategies, policies and plans; subnational planning instruments, as well as other frameworks (e.g. budget support performance matrices, sector-wide approaches). In contrast, planning and priority setting documents produced outside the government, such as country strategies prepared by development partners, are not considered CRFs.</w:t>
            </w:r>
          </w:p>
          <w:p w14:paraId="56CF16E8" w14:textId="77777777" w:rsidR="00BD06C4" w:rsidRPr="008621B4" w:rsidRDefault="00BD06C4" w:rsidP="00BD06C4">
            <w:pPr>
              <w:pStyle w:val="NoSpacing"/>
              <w:rPr>
                <w:lang w:val="en-GB"/>
              </w:rPr>
            </w:pPr>
          </w:p>
          <w:p w14:paraId="61AEA423" w14:textId="77777777" w:rsidR="00BD06C4" w:rsidRPr="008621B4" w:rsidRDefault="00BD06C4" w:rsidP="00BD06C4">
            <w:pPr>
              <w:pStyle w:val="NoSpacing"/>
              <w:rPr>
                <w:lang w:val="en-GB"/>
              </w:rPr>
            </w:pPr>
            <w:r w:rsidRPr="008621B4">
              <w:rPr>
                <w:b/>
                <w:bCs/>
                <w:lang w:val="en-GB"/>
              </w:rPr>
              <w:t>Comments and limitations:</w:t>
            </w:r>
          </w:p>
          <w:p w14:paraId="03DBB51A" w14:textId="77777777" w:rsidR="00BD06C4" w:rsidRPr="008621B4" w:rsidRDefault="00BD06C4" w:rsidP="00BD06C4">
            <w:pPr>
              <w:pStyle w:val="NoSpacing"/>
              <w:rPr>
                <w:lang w:val="en-GB"/>
              </w:rPr>
            </w:pPr>
          </w:p>
          <w:p w14:paraId="1EBF4684" w14:textId="77777777" w:rsidR="00BD06C4" w:rsidRPr="008621B4" w:rsidRDefault="00BD06C4" w:rsidP="00BD06C4">
            <w:pPr>
              <w:pStyle w:val="NoSpacing"/>
              <w:rPr>
                <w:lang w:val="en-GB"/>
              </w:rPr>
            </w:pPr>
            <w:r w:rsidRPr="008621B4">
              <w:rPr>
                <w:lang w:val="en-GB"/>
              </w:rPr>
              <w:t xml:space="preserve">Data collection covered about 80 low and middle-income countries for the 2015-2016 </w:t>
            </w:r>
            <w:proofErr w:type="gramStart"/>
            <w:r w:rsidRPr="008621B4">
              <w:rPr>
                <w:lang w:val="en-GB"/>
              </w:rPr>
              <w:t>period</w:t>
            </w:r>
            <w:proofErr w:type="gramEnd"/>
            <w:r w:rsidRPr="008621B4">
              <w:rPr>
                <w:lang w:val="en-GB"/>
              </w:rPr>
              <w:t xml:space="preserve">. The number of countries covered is expected to increase for the period 2018 and beyond. The estimates for high-income countries are generated taking as a reference their role as </w:t>
            </w:r>
            <w:r w:rsidRPr="008621B4">
              <w:rPr>
                <w:lang w:val="en-GB"/>
              </w:rPr>
              <w:lastRenderedPageBreak/>
              <w:t>development cooperation providers.</w:t>
            </w:r>
          </w:p>
          <w:p w14:paraId="2B0105E7" w14:textId="77777777" w:rsidR="00BD06C4" w:rsidRPr="008621B4" w:rsidRDefault="00BD06C4" w:rsidP="00BD06C4">
            <w:pPr>
              <w:pStyle w:val="NoSpacing"/>
              <w:rPr>
                <w:lang w:val="en-GB"/>
              </w:rPr>
            </w:pPr>
          </w:p>
          <w:p w14:paraId="614C417D" w14:textId="77777777" w:rsidR="00BD06C4" w:rsidRPr="008621B4" w:rsidRDefault="00BD06C4" w:rsidP="00BD06C4">
            <w:pPr>
              <w:pStyle w:val="NoSpacing"/>
              <w:rPr>
                <w:lang w:val="en-GB"/>
              </w:rPr>
            </w:pPr>
            <w:r w:rsidRPr="008621B4">
              <w:rPr>
                <w:lang w:val="en-GB"/>
              </w:rPr>
              <w:t xml:space="preserve">The monitoring exercise collects data beyond the scope of the proposed indicator, including additional aspects such as government of development partners’ engagement in planning project/programme evaluations. </w:t>
            </w:r>
          </w:p>
          <w:p w14:paraId="457938B1" w14:textId="77777777" w:rsidR="00BD06C4" w:rsidRPr="008621B4" w:rsidRDefault="00BD06C4" w:rsidP="00BD06C4">
            <w:pPr>
              <w:pStyle w:val="NoSpacing"/>
              <w:rPr>
                <w:lang w:val="en-GB"/>
              </w:rPr>
            </w:pPr>
          </w:p>
          <w:p w14:paraId="5680C7CC" w14:textId="77777777" w:rsidR="00BD06C4" w:rsidRPr="008621B4" w:rsidRDefault="00BD06C4" w:rsidP="00BD06C4">
            <w:pPr>
              <w:pStyle w:val="NoSpacing"/>
              <w:rPr>
                <w:lang w:val="en-GB"/>
              </w:rPr>
            </w:pPr>
            <w:r w:rsidRPr="008621B4">
              <w:rPr>
                <w:b/>
                <w:bCs/>
                <w:lang w:val="en-GB"/>
              </w:rPr>
              <w:t>Computation Method:</w:t>
            </w:r>
          </w:p>
          <w:p w14:paraId="257DD3B9" w14:textId="77777777" w:rsidR="00BD06C4" w:rsidRPr="008621B4" w:rsidRDefault="00BD06C4" w:rsidP="00BD06C4">
            <w:pPr>
              <w:pStyle w:val="NoSpacing"/>
              <w:rPr>
                <w:lang w:val="en-GB"/>
              </w:rPr>
            </w:pPr>
          </w:p>
          <w:p w14:paraId="67302849" w14:textId="77777777" w:rsidR="00BD06C4" w:rsidRPr="008621B4" w:rsidRDefault="00BD06C4" w:rsidP="00BD06C4">
            <w:pPr>
              <w:pStyle w:val="NoSpacing"/>
              <w:rPr>
                <w:lang w:val="en-GB"/>
              </w:rPr>
            </w:pPr>
            <w:r w:rsidRPr="008621B4">
              <w:rPr>
                <w:lang w:val="en-GB"/>
              </w:rPr>
              <w:t>To provide a comprehensive measure on the extent of use of country-owned results frameworks and other government-led planning tools, the indicator calculates the degree to which objectives, results indicators and monitoring frameworks associated with new development interventions are drawn from government sources –including national, sector and subnational planning tools.</w:t>
            </w:r>
          </w:p>
          <w:p w14:paraId="3D866EAF" w14:textId="77777777" w:rsidR="00BD06C4" w:rsidRPr="008621B4" w:rsidRDefault="00BD06C4" w:rsidP="00BD06C4">
            <w:pPr>
              <w:pStyle w:val="NoSpacing"/>
              <w:rPr>
                <w:lang w:val="en-GB"/>
              </w:rPr>
            </w:pPr>
          </w:p>
          <w:p w14:paraId="6950F435" w14:textId="77777777" w:rsidR="00BD06C4" w:rsidRPr="008621B4" w:rsidRDefault="00BD06C4" w:rsidP="00BD06C4">
            <w:pPr>
              <w:pStyle w:val="NoSpacing"/>
              <w:rPr>
                <w:lang w:val="en-GB"/>
              </w:rPr>
            </w:pPr>
            <w:r w:rsidRPr="008621B4">
              <w:rPr>
                <w:lang w:val="en-GB"/>
              </w:rPr>
              <w:t>For each development intervention of significant size (US$ 100,000 and above) approved during the year of reference, the following dimensions are assessed:</w:t>
            </w:r>
          </w:p>
          <w:p w14:paraId="61B57DC7" w14:textId="77777777" w:rsidR="00BD06C4" w:rsidRPr="008621B4" w:rsidRDefault="00BD06C4" w:rsidP="00BD06C4">
            <w:pPr>
              <w:pStyle w:val="NoSpacing"/>
              <w:rPr>
                <w:lang w:val="en-GB"/>
              </w:rPr>
            </w:pPr>
          </w:p>
          <w:p w14:paraId="0AA7240C" w14:textId="77777777" w:rsidR="00BD06C4" w:rsidRPr="008621B4" w:rsidRDefault="00BD06C4" w:rsidP="00BD06C4">
            <w:pPr>
              <w:pStyle w:val="NoSpacing"/>
              <w:numPr>
                <w:ilvl w:val="0"/>
                <w:numId w:val="129"/>
              </w:numPr>
              <w:rPr>
                <w:lang w:val="en-GB"/>
              </w:rPr>
            </w:pPr>
            <w:r w:rsidRPr="008621B4">
              <w:rPr>
                <w:lang w:val="en-GB"/>
              </w:rPr>
              <w:t>Q1. Whether objectives are drawn from government-led results frameworks, plans and strategies 0/1</w:t>
            </w:r>
          </w:p>
          <w:p w14:paraId="491E914A" w14:textId="77777777" w:rsidR="00BD06C4" w:rsidRPr="008621B4" w:rsidRDefault="00BD06C4" w:rsidP="00BD06C4">
            <w:pPr>
              <w:pStyle w:val="NoSpacing"/>
              <w:rPr>
                <w:lang w:val="en-GB"/>
              </w:rPr>
            </w:pPr>
          </w:p>
          <w:p w14:paraId="34B88ED0" w14:textId="77777777" w:rsidR="00BD06C4" w:rsidRPr="008621B4" w:rsidRDefault="00BD06C4" w:rsidP="00BD06C4">
            <w:pPr>
              <w:pStyle w:val="NoSpacing"/>
              <w:numPr>
                <w:ilvl w:val="0"/>
                <w:numId w:val="129"/>
              </w:numPr>
              <w:rPr>
                <w:lang w:val="en-GB"/>
              </w:rPr>
            </w:pPr>
            <w:r w:rsidRPr="008621B4">
              <w:rPr>
                <w:lang w:val="en-GB"/>
              </w:rPr>
              <w:t>Q2. Share of results (outcome) indicators that are drawn from government-led results frameworks, plans and strategies %</w:t>
            </w:r>
          </w:p>
          <w:p w14:paraId="274B8D9E" w14:textId="77777777" w:rsidR="00BD06C4" w:rsidRPr="008621B4" w:rsidRDefault="00BD06C4" w:rsidP="00BD06C4">
            <w:pPr>
              <w:pStyle w:val="NoSpacing"/>
              <w:rPr>
                <w:lang w:val="en-GB"/>
              </w:rPr>
            </w:pPr>
          </w:p>
          <w:p w14:paraId="1884A7E3" w14:textId="77777777" w:rsidR="00BD06C4" w:rsidRPr="008621B4" w:rsidRDefault="00BD06C4" w:rsidP="00BD06C4">
            <w:pPr>
              <w:pStyle w:val="NoSpacing"/>
              <w:numPr>
                <w:ilvl w:val="0"/>
                <w:numId w:val="129"/>
              </w:numPr>
              <w:rPr>
                <w:lang w:val="en-GB"/>
              </w:rPr>
            </w:pPr>
            <w:r w:rsidRPr="008621B4">
              <w:rPr>
                <w:lang w:val="en-GB"/>
              </w:rPr>
              <w:t>Q3. Share of results (outcome) indicators that will rely on sources of data provided by existing country-led monitoring systems or national statistical services to track project progress %</w:t>
            </w:r>
          </w:p>
          <w:p w14:paraId="34297FDD" w14:textId="77777777" w:rsidR="00BD06C4" w:rsidRPr="008621B4" w:rsidRDefault="00BD06C4" w:rsidP="00BD06C4">
            <w:pPr>
              <w:pStyle w:val="NoSpacing"/>
              <w:rPr>
                <w:lang w:val="en-GB"/>
              </w:rPr>
            </w:pPr>
          </w:p>
          <w:p w14:paraId="371B174E" w14:textId="77777777" w:rsidR="00BD06C4" w:rsidRPr="008621B4" w:rsidRDefault="00BD06C4" w:rsidP="00BD06C4">
            <w:pPr>
              <w:pStyle w:val="NoSpacing"/>
              <w:rPr>
                <w:lang w:val="en-GB"/>
              </w:rPr>
            </w:pPr>
            <w:r w:rsidRPr="008621B4">
              <w:rPr>
                <w:lang w:val="en-GB"/>
              </w:rPr>
              <w:t xml:space="preserve">Aggregated averages per partner country will provide an assessment of the country’s available policy space and leadership. </w:t>
            </w:r>
          </w:p>
          <w:p w14:paraId="2559D2E5" w14:textId="77777777" w:rsidR="00BD06C4" w:rsidRPr="008621B4" w:rsidRDefault="00BD06C4" w:rsidP="00BD06C4">
            <w:pPr>
              <w:pStyle w:val="NoSpacing"/>
              <w:rPr>
                <w:lang w:val="en-GB"/>
              </w:rPr>
            </w:pPr>
            <w:r w:rsidRPr="008621B4">
              <w:rPr>
                <w:lang w:val="en-GB"/>
              </w:rPr>
              <w:t xml:space="preserve">All formulas are available at: </w:t>
            </w:r>
            <w:hyperlink r:id="rId146" w:history="1">
              <w:r w:rsidRPr="008621B4">
                <w:rPr>
                  <w:rStyle w:val="Hyperlink"/>
                  <w:lang w:val="en-GB"/>
                </w:rPr>
                <w:t>http://unstats.un.org/sdgs/files/metadata-compilation/Metadata-Goal-17.pdf</w:t>
              </w:r>
            </w:hyperlink>
          </w:p>
          <w:p w14:paraId="01FC6094" w14:textId="77777777" w:rsidR="00BD06C4" w:rsidRPr="008621B4" w:rsidRDefault="00BD06C4" w:rsidP="00BD06C4">
            <w:pPr>
              <w:pStyle w:val="NoSpacing"/>
              <w:rPr>
                <w:lang w:val="en-GB"/>
              </w:rPr>
            </w:pPr>
          </w:p>
          <w:p w14:paraId="4A11C8E2" w14:textId="77777777" w:rsidR="00BD06C4" w:rsidRPr="008621B4" w:rsidRDefault="00BD06C4" w:rsidP="00BD06C4">
            <w:pPr>
              <w:pStyle w:val="NoSpacing"/>
              <w:rPr>
                <w:lang w:val="en-GB"/>
              </w:rPr>
            </w:pPr>
            <w:r w:rsidRPr="008621B4">
              <w:rPr>
                <w:lang w:val="en-GB"/>
              </w:rPr>
              <w:t xml:space="preserve">Aggregated averages per development partner will indicate the percentage of alignment with country-led priority setting mechanisms. Formulas are available at: </w:t>
            </w:r>
            <w:hyperlink r:id="rId147" w:history="1">
              <w:r w:rsidRPr="008621B4">
                <w:rPr>
                  <w:rStyle w:val="Hyperlink"/>
                  <w:lang w:val="en-GB"/>
                </w:rPr>
                <w:t>http://unstats.un.org/sdgs/files/metadata-compilation/Metadata-Goal-17.pdf</w:t>
              </w:r>
            </w:hyperlink>
          </w:p>
          <w:p w14:paraId="27546C02" w14:textId="77777777" w:rsidR="00BD06C4" w:rsidRPr="008621B4" w:rsidRDefault="00BD06C4" w:rsidP="00BD06C4">
            <w:pPr>
              <w:pStyle w:val="NoSpacing"/>
              <w:rPr>
                <w:lang w:val="en-GB"/>
              </w:rPr>
            </w:pPr>
          </w:p>
          <w:p w14:paraId="6CC05467" w14:textId="77777777" w:rsidR="00BD06C4" w:rsidRPr="008621B4" w:rsidRDefault="00BD06C4" w:rsidP="00BD06C4">
            <w:pPr>
              <w:pStyle w:val="NoSpacing"/>
              <w:rPr>
                <w:lang w:val="en-GB"/>
              </w:rPr>
            </w:pPr>
            <w:r w:rsidRPr="008621B4">
              <w:rPr>
                <w:lang w:val="en-GB"/>
              </w:rPr>
              <w:lastRenderedPageBreak/>
              <w:t xml:space="preserve">Note that data to weight the results by development partner’s actual contributions in terms of development finance is available, if requested by the IAEG SDG / UN Statistical Commission. </w:t>
            </w:r>
          </w:p>
          <w:p w14:paraId="2972DECB" w14:textId="77777777" w:rsidR="00BD06C4" w:rsidRPr="008621B4" w:rsidRDefault="00BD06C4" w:rsidP="00BD06C4">
            <w:pPr>
              <w:pStyle w:val="NoSpacing"/>
              <w:rPr>
                <w:lang w:val="en-GB"/>
              </w:rPr>
            </w:pPr>
          </w:p>
          <w:p w14:paraId="36D9D076" w14:textId="77777777" w:rsidR="00BD06C4" w:rsidRPr="008621B4" w:rsidRDefault="00BD06C4" w:rsidP="00BD06C4">
            <w:pPr>
              <w:pStyle w:val="NoSpacing"/>
              <w:rPr>
                <w:lang w:val="en-GB"/>
              </w:rPr>
            </w:pPr>
            <w:r w:rsidRPr="008621B4">
              <w:rPr>
                <w:lang w:val="en-GB"/>
              </w:rPr>
              <w:t xml:space="preserve">A global aggregate for the indicator is obtained by averaging the three dimensions of alignment with country’s priorities and goals across all new interventions for the reporting year. Formulas are available at: </w:t>
            </w:r>
            <w:hyperlink r:id="rId148" w:history="1">
              <w:r w:rsidRPr="008621B4">
                <w:rPr>
                  <w:rStyle w:val="Hyperlink"/>
                  <w:lang w:val="en-GB"/>
                </w:rPr>
                <w:t>http://unstats.un.org/sdgs/files/metadata-compilation/Metadata-Goal-17.pdf</w:t>
              </w:r>
            </w:hyperlink>
          </w:p>
          <w:p w14:paraId="5D1F19FB" w14:textId="77777777" w:rsidR="00BD06C4" w:rsidRPr="008621B4" w:rsidRDefault="00BD06C4" w:rsidP="00BD06C4">
            <w:pPr>
              <w:pStyle w:val="NoSpacing"/>
              <w:rPr>
                <w:lang w:val="en-GB"/>
              </w:rPr>
            </w:pPr>
          </w:p>
          <w:p w14:paraId="0D34873B" w14:textId="77777777" w:rsidR="00BD06C4" w:rsidRPr="008621B4" w:rsidRDefault="00BD06C4" w:rsidP="00BD06C4">
            <w:pPr>
              <w:pStyle w:val="NoSpacing"/>
              <w:rPr>
                <w:lang w:val="en-GB"/>
              </w:rPr>
            </w:pPr>
            <w:r w:rsidRPr="008621B4">
              <w:rPr>
                <w:lang w:val="en-GB"/>
              </w:rPr>
              <w:t>When aggregating, the size of the project/ intervention is not considered as weight in order to give the same level of importance to the extent of use of country-owned results frameworks and planning tools in medium-sized vs. larger projects, as the indicator tries to capture the overall behaviour of development partners in designing new interventions in a given country. Weighting by project size would otherwise over represent infrastructure projects and underrepresent interventions focused on influencing policies and institutional arrangements. Nevertheless, data on project size is available.</w:t>
            </w:r>
          </w:p>
          <w:p w14:paraId="33349C21" w14:textId="77777777" w:rsidR="00BD06C4" w:rsidRDefault="00BD06C4" w:rsidP="00BD06C4">
            <w:pPr>
              <w:pStyle w:val="NoSpacing"/>
            </w:pPr>
          </w:p>
        </w:tc>
        <w:tc>
          <w:tcPr>
            <w:tcW w:w="2835" w:type="dxa"/>
          </w:tcPr>
          <w:p w14:paraId="04567296" w14:textId="77777777" w:rsidR="00BD06C4" w:rsidRPr="00873FDE" w:rsidRDefault="00BD06C4" w:rsidP="00BD06C4">
            <w:pPr>
              <w:rPr>
                <w:szCs w:val="22"/>
              </w:rPr>
            </w:pPr>
            <w:r w:rsidRPr="00873FDE">
              <w:rPr>
                <w:szCs w:val="22"/>
              </w:rPr>
              <w:lastRenderedPageBreak/>
              <w:t xml:space="preserve">The data collection process is as follows: (i) A representative from the country government </w:t>
            </w:r>
            <w:r w:rsidRPr="00873FDE">
              <w:rPr>
                <w:szCs w:val="22"/>
              </w:rPr>
              <w:lastRenderedPageBreak/>
              <w:t xml:space="preserve">referred to as a national coordinator </w:t>
            </w:r>
            <w:proofErr w:type="gramStart"/>
            <w:r w:rsidRPr="00873FDE">
              <w:rPr>
                <w:szCs w:val="22"/>
              </w:rPr>
              <w:t>is</w:t>
            </w:r>
            <w:proofErr w:type="gramEnd"/>
            <w:r w:rsidRPr="00873FDE">
              <w:rPr>
                <w:szCs w:val="22"/>
              </w:rPr>
              <w:t xml:space="preserve"> first identified. (ii) The national coordinator collects inputs from providers of development cooperation. The data is submitted to the OECD and UNDP monitoring team and subsequently undergoes a validation round with the headquarters offices of providers of development cooperation. (iii) No adjustments are made to the data after they have undergone the validation process.</w:t>
            </w:r>
          </w:p>
        </w:tc>
        <w:tc>
          <w:tcPr>
            <w:tcW w:w="1167" w:type="dxa"/>
          </w:tcPr>
          <w:p w14:paraId="03769ABF" w14:textId="77777777" w:rsidR="00BD06C4" w:rsidRPr="00873FDE" w:rsidRDefault="00BD06C4" w:rsidP="00BD06C4">
            <w:pPr>
              <w:rPr>
                <w:szCs w:val="22"/>
              </w:rPr>
            </w:pPr>
            <w:r w:rsidRPr="00873FDE">
              <w:rPr>
                <w:szCs w:val="22"/>
              </w:rPr>
              <w:lastRenderedPageBreak/>
              <w:t xml:space="preserve">Country government </w:t>
            </w:r>
            <w:r w:rsidRPr="00873FDE">
              <w:rPr>
                <w:szCs w:val="22"/>
              </w:rPr>
              <w:lastRenderedPageBreak/>
              <w:t>representatives (usually from the Ministry of Planning or the Ministry of Finance) are responsible for data collection. These representatives consolidate inputs from providers of development cooperation.</w:t>
            </w:r>
          </w:p>
        </w:tc>
        <w:tc>
          <w:tcPr>
            <w:tcW w:w="0" w:type="auto"/>
          </w:tcPr>
          <w:p w14:paraId="4659448C" w14:textId="77777777" w:rsidR="00BD06C4" w:rsidRDefault="00BD06C4" w:rsidP="00BD06C4">
            <w:pPr>
              <w:pStyle w:val="NoSpacing"/>
            </w:pPr>
            <w:r w:rsidRPr="00BC6F10">
              <w:rPr>
                <w:szCs w:val="20"/>
              </w:rPr>
              <w:lastRenderedPageBreak/>
              <w:t>OECD &amp; UNDP</w:t>
            </w:r>
          </w:p>
          <w:p w14:paraId="69A78B18" w14:textId="77777777" w:rsidR="00BD06C4" w:rsidRPr="00BC6F10" w:rsidRDefault="00BD06C4" w:rsidP="00BD06C4">
            <w:pPr>
              <w:pStyle w:val="NoSpacing"/>
            </w:pPr>
            <w:r>
              <w:lastRenderedPageBreak/>
              <w:t>Administrative Data</w:t>
            </w:r>
          </w:p>
        </w:tc>
        <w:tc>
          <w:tcPr>
            <w:tcW w:w="0" w:type="auto"/>
          </w:tcPr>
          <w:p w14:paraId="5B90088F" w14:textId="77777777" w:rsidR="00BD06C4" w:rsidRDefault="00BD06C4" w:rsidP="00BD06C4">
            <w:pPr>
              <w:pStyle w:val="NoSpacing"/>
            </w:pPr>
            <w:r w:rsidRPr="00BC6F10">
              <w:rPr>
                <w:rFonts w:eastAsia="Times New Roman" w:cs="Times New Roman"/>
                <w:color w:val="000000" w:themeColor="text1"/>
                <w:szCs w:val="20"/>
              </w:rPr>
              <w:lastRenderedPageBreak/>
              <w:t>a) GED</w:t>
            </w:r>
            <w:r w:rsidRPr="00BC6F10">
              <w:rPr>
                <w:rFonts w:eastAsia="Times New Roman" w:cs="Times New Roman"/>
                <w:color w:val="000000" w:themeColor="text1"/>
                <w:szCs w:val="20"/>
              </w:rPr>
              <w:br/>
              <w:t>b) ERD</w:t>
            </w:r>
            <w:r>
              <w:t xml:space="preserve"> </w:t>
            </w:r>
          </w:p>
          <w:p w14:paraId="3FA544EB" w14:textId="77777777" w:rsidR="00BD06C4" w:rsidRDefault="00BD06C4" w:rsidP="00BD06C4">
            <w:pPr>
              <w:pStyle w:val="NoSpacing"/>
            </w:pPr>
          </w:p>
          <w:p w14:paraId="4251C596" w14:textId="77777777" w:rsidR="00BD06C4" w:rsidRPr="00BC6F10" w:rsidRDefault="00BD06C4" w:rsidP="00BD06C4">
            <w:pPr>
              <w:jc w:val="center"/>
              <w:rPr>
                <w:rFonts w:eastAsia="Times New Roman" w:cs="Times New Roman"/>
                <w:color w:val="000000" w:themeColor="text1"/>
                <w:szCs w:val="20"/>
              </w:rPr>
            </w:pPr>
            <w:r>
              <w:t>Administrative Data</w:t>
            </w:r>
          </w:p>
        </w:tc>
        <w:tc>
          <w:tcPr>
            <w:tcW w:w="0" w:type="auto"/>
          </w:tcPr>
          <w:p w14:paraId="5615D9A4"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 xml:space="preserve">provider </w:t>
            </w:r>
          </w:p>
          <w:p w14:paraId="1F4B53BA"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sector</w:t>
            </w:r>
          </w:p>
          <w:p w14:paraId="27D7D6AC"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lastRenderedPageBreak/>
              <w:t>development project</w:t>
            </w:r>
          </w:p>
          <w:p w14:paraId="1E533EA2" w14:textId="77777777" w:rsidR="00BD06C4" w:rsidRDefault="00BD06C4" w:rsidP="00BD06C4">
            <w:pPr>
              <w:ind w:left="970" w:hanging="970"/>
              <w:jc w:val="both"/>
              <w:rPr>
                <w:color w:val="0070C0"/>
                <w:sz w:val="30"/>
                <w:szCs w:val="30"/>
              </w:rPr>
            </w:pPr>
          </w:p>
        </w:tc>
        <w:tc>
          <w:tcPr>
            <w:tcW w:w="1078" w:type="dxa"/>
          </w:tcPr>
          <w:p w14:paraId="7A967E87" w14:textId="77777777" w:rsidR="00BD06C4" w:rsidRDefault="00BD06C4" w:rsidP="00BD06C4">
            <w:pPr>
              <w:ind w:left="970" w:hanging="970"/>
              <w:jc w:val="both"/>
              <w:rPr>
                <w:color w:val="0070C0"/>
                <w:sz w:val="30"/>
                <w:szCs w:val="30"/>
              </w:rPr>
            </w:pPr>
            <w:r w:rsidRPr="00BC6F10">
              <w:lastRenderedPageBreak/>
              <w:t>Bi-a</w:t>
            </w:r>
            <w:r w:rsidRPr="00BC6F10">
              <w:lastRenderedPageBreak/>
              <w:t>nnual</w:t>
            </w:r>
          </w:p>
        </w:tc>
        <w:tc>
          <w:tcPr>
            <w:tcW w:w="872" w:type="dxa"/>
          </w:tcPr>
          <w:p w14:paraId="7A80EB4A" w14:textId="77777777" w:rsidR="00BD06C4" w:rsidRDefault="00BD06C4" w:rsidP="00BD06C4">
            <w:pPr>
              <w:ind w:left="970" w:hanging="970"/>
              <w:jc w:val="both"/>
              <w:rPr>
                <w:color w:val="0070C0"/>
                <w:sz w:val="30"/>
                <w:szCs w:val="30"/>
              </w:rPr>
            </w:pPr>
            <w:r>
              <w:lastRenderedPageBreak/>
              <w:t>Group 1</w:t>
            </w:r>
          </w:p>
        </w:tc>
        <w:tc>
          <w:tcPr>
            <w:tcW w:w="619" w:type="dxa"/>
          </w:tcPr>
          <w:p w14:paraId="57E490FA" w14:textId="77777777" w:rsidR="00BD06C4" w:rsidRDefault="00BD06C4" w:rsidP="00BD06C4">
            <w:pPr>
              <w:pStyle w:val="NoSpacing"/>
            </w:pPr>
            <w:r>
              <w:t>1</w:t>
            </w:r>
            <w:r w:rsidRPr="00013ACB">
              <w:rPr>
                <w:vertAlign w:val="superscript"/>
              </w:rPr>
              <w:t>st</w:t>
            </w:r>
            <w:r>
              <w:t xml:space="preserve"> Round:</w:t>
            </w:r>
          </w:p>
          <w:p w14:paraId="769AB9E8" w14:textId="77777777" w:rsidR="00BD06C4" w:rsidRDefault="00BD06C4" w:rsidP="00BD06C4">
            <w:pPr>
              <w:pStyle w:val="NoSpacing"/>
            </w:pPr>
            <w:r>
              <w:lastRenderedPageBreak/>
              <w:t>2017</w:t>
            </w:r>
          </w:p>
          <w:p w14:paraId="28DAF97C" w14:textId="77777777" w:rsidR="00BD06C4" w:rsidRDefault="00BD06C4" w:rsidP="00BD06C4">
            <w:pPr>
              <w:pStyle w:val="NoSpacing"/>
            </w:pPr>
            <w:r>
              <w:t>2</w:t>
            </w:r>
            <w:r w:rsidRPr="00013ACB">
              <w:rPr>
                <w:vertAlign w:val="superscript"/>
              </w:rPr>
              <w:t>nd</w:t>
            </w:r>
            <w:r>
              <w:t xml:space="preserve"> Round:</w:t>
            </w:r>
          </w:p>
          <w:p w14:paraId="73A1DBCA" w14:textId="77777777" w:rsidR="00BD06C4" w:rsidRDefault="00BD06C4" w:rsidP="00BD06C4">
            <w:pPr>
              <w:pStyle w:val="NoSpacing"/>
            </w:pPr>
            <w:r>
              <w:t xml:space="preserve">September </w:t>
            </w:r>
          </w:p>
          <w:p w14:paraId="2379DB1B" w14:textId="77777777" w:rsidR="00BD06C4" w:rsidRDefault="00BD06C4" w:rsidP="00BD06C4">
            <w:pPr>
              <w:pStyle w:val="NoSpacing"/>
            </w:pPr>
            <w:r>
              <w:t>2019</w:t>
            </w:r>
          </w:p>
          <w:p w14:paraId="14D76511" w14:textId="77777777" w:rsidR="00BD06C4" w:rsidRDefault="00BD06C4" w:rsidP="00BD06C4">
            <w:pPr>
              <w:pStyle w:val="NoSpacing"/>
            </w:pPr>
          </w:p>
          <w:p w14:paraId="264CF0E1" w14:textId="77777777" w:rsidR="00BD06C4" w:rsidRDefault="00BD06C4" w:rsidP="00BD06C4">
            <w:pPr>
              <w:pStyle w:val="NoSpacing"/>
            </w:pPr>
            <w:r>
              <w:t>3</w:t>
            </w:r>
            <w:r w:rsidRPr="00013ACB">
              <w:rPr>
                <w:vertAlign w:val="superscript"/>
              </w:rPr>
              <w:t>rd</w:t>
            </w:r>
            <w:r>
              <w:t xml:space="preserve"> Round: </w:t>
            </w:r>
          </w:p>
          <w:p w14:paraId="70C1A7F3" w14:textId="77777777" w:rsidR="00BD06C4" w:rsidRDefault="00BD06C4" w:rsidP="00BD06C4">
            <w:pPr>
              <w:pStyle w:val="NoSpacing"/>
            </w:pPr>
            <w:r>
              <w:t xml:space="preserve">September </w:t>
            </w:r>
          </w:p>
          <w:p w14:paraId="505508AB" w14:textId="77777777" w:rsidR="00BD06C4" w:rsidRDefault="00BD06C4" w:rsidP="00BD06C4">
            <w:pPr>
              <w:pStyle w:val="NoSpacing"/>
            </w:pPr>
            <w:r>
              <w:t>2021</w:t>
            </w:r>
          </w:p>
          <w:p w14:paraId="693A5778" w14:textId="77777777" w:rsidR="00BD06C4" w:rsidRDefault="00BD06C4" w:rsidP="00BD06C4">
            <w:pPr>
              <w:pStyle w:val="NoSpacing"/>
            </w:pPr>
          </w:p>
          <w:p w14:paraId="7E3A7E24" w14:textId="77777777" w:rsidR="00BD06C4" w:rsidRDefault="00BD06C4" w:rsidP="00BD06C4">
            <w:pPr>
              <w:pStyle w:val="NoSpacing"/>
            </w:pPr>
            <w:r>
              <w:t>4</w:t>
            </w:r>
            <w:r w:rsidRPr="00013ACB">
              <w:rPr>
                <w:vertAlign w:val="superscript"/>
              </w:rPr>
              <w:t>th</w:t>
            </w:r>
            <w:r>
              <w:t xml:space="preserve"> Round: </w:t>
            </w:r>
          </w:p>
          <w:p w14:paraId="25062C55" w14:textId="77777777" w:rsidR="00BD06C4" w:rsidRDefault="00BD06C4" w:rsidP="00BD06C4">
            <w:pPr>
              <w:pStyle w:val="NoSpacing"/>
            </w:pPr>
            <w:r>
              <w:t xml:space="preserve">September </w:t>
            </w:r>
          </w:p>
          <w:p w14:paraId="78DF7917" w14:textId="77777777" w:rsidR="00BD06C4" w:rsidRDefault="00BD06C4" w:rsidP="00BD06C4">
            <w:pPr>
              <w:pStyle w:val="NoSpacing"/>
            </w:pPr>
            <w:r>
              <w:t>2023</w:t>
            </w:r>
          </w:p>
          <w:p w14:paraId="30355ABF" w14:textId="77777777" w:rsidR="00BD06C4" w:rsidRDefault="00BD06C4" w:rsidP="00BD06C4">
            <w:pPr>
              <w:pStyle w:val="NoSpacing"/>
            </w:pPr>
          </w:p>
          <w:p w14:paraId="09E720BD" w14:textId="77777777" w:rsidR="00BD06C4" w:rsidRDefault="00BD06C4" w:rsidP="00BD06C4">
            <w:pPr>
              <w:pStyle w:val="NoSpacing"/>
            </w:pPr>
            <w:r>
              <w:t>5</w:t>
            </w:r>
            <w:r w:rsidRPr="00013ACB">
              <w:rPr>
                <w:vertAlign w:val="superscript"/>
              </w:rPr>
              <w:t>th</w:t>
            </w:r>
            <w:r>
              <w:t xml:space="preserve"> Round: </w:t>
            </w:r>
          </w:p>
          <w:p w14:paraId="02DFB3DA" w14:textId="77777777" w:rsidR="00BD06C4" w:rsidRDefault="00BD06C4" w:rsidP="00BD06C4">
            <w:pPr>
              <w:pStyle w:val="NoSpacing"/>
            </w:pPr>
            <w:r>
              <w:t xml:space="preserve">September </w:t>
            </w:r>
          </w:p>
          <w:p w14:paraId="5B0366B8" w14:textId="77777777" w:rsidR="00BD06C4" w:rsidRDefault="00BD06C4" w:rsidP="00BD06C4">
            <w:pPr>
              <w:pStyle w:val="NoSpacing"/>
            </w:pPr>
            <w:r>
              <w:t>2025</w:t>
            </w:r>
          </w:p>
          <w:p w14:paraId="35799831" w14:textId="2B0F6BE6" w:rsidR="00BD06C4" w:rsidRDefault="00BD06C4" w:rsidP="00BD06C4">
            <w:pPr>
              <w:pStyle w:val="NoSpacing"/>
            </w:pPr>
          </w:p>
        </w:tc>
        <w:tc>
          <w:tcPr>
            <w:tcW w:w="0" w:type="auto"/>
          </w:tcPr>
          <w:p w14:paraId="14D06213" w14:textId="77777777" w:rsidR="00BD06C4" w:rsidRDefault="00BD06C4" w:rsidP="00BD06C4">
            <w:pPr>
              <w:ind w:left="970" w:hanging="970"/>
              <w:jc w:val="both"/>
              <w:rPr>
                <w:color w:val="0070C0"/>
                <w:sz w:val="30"/>
                <w:szCs w:val="30"/>
              </w:rPr>
            </w:pPr>
          </w:p>
        </w:tc>
      </w:tr>
      <w:tr w:rsidR="00D46636" w14:paraId="42069152" w14:textId="77777777" w:rsidTr="00586441">
        <w:tc>
          <w:tcPr>
            <w:tcW w:w="18710" w:type="dxa"/>
            <w:gridSpan w:val="13"/>
          </w:tcPr>
          <w:p w14:paraId="05D7C754" w14:textId="77777777" w:rsidR="00D46636" w:rsidRDefault="00D46636" w:rsidP="00BD06C4">
            <w:pPr>
              <w:jc w:val="both"/>
              <w:rPr>
                <w:color w:val="0070C0"/>
                <w:sz w:val="48"/>
                <w:szCs w:val="48"/>
              </w:rPr>
            </w:pPr>
            <w:r>
              <w:rPr>
                <w:color w:val="0070C0"/>
                <w:sz w:val="30"/>
                <w:szCs w:val="30"/>
              </w:rPr>
              <w:lastRenderedPageBreak/>
              <w:t xml:space="preserve">Target </w:t>
            </w:r>
            <w:r w:rsidRPr="00306900">
              <w:rPr>
                <w:color w:val="0070C0"/>
                <w:sz w:val="30"/>
                <w:szCs w:val="30"/>
              </w:rPr>
              <w:t>17.16 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r>
      <w:tr w:rsidR="00BD06C4" w14:paraId="6D4EE1F4" w14:textId="77777777" w:rsidTr="00586441">
        <w:tc>
          <w:tcPr>
            <w:tcW w:w="0" w:type="auto"/>
          </w:tcPr>
          <w:p w14:paraId="1101CC49" w14:textId="77777777" w:rsidR="00BD06C4" w:rsidRPr="00BB536A" w:rsidRDefault="00BD06C4" w:rsidP="00BD06C4">
            <w:pPr>
              <w:pStyle w:val="NoSpacing"/>
            </w:pPr>
            <w:r w:rsidRPr="00BB536A">
              <w:t>17.16.1 Number of countries reporting progress in multi-stakeholder development effectiveness monitoring frameworks that support the achievement of the sustainabl</w:t>
            </w:r>
            <w:r w:rsidRPr="00BB536A">
              <w:lastRenderedPageBreak/>
              <w:t>e development goals</w:t>
            </w:r>
          </w:p>
        </w:tc>
        <w:tc>
          <w:tcPr>
            <w:tcW w:w="0" w:type="auto"/>
          </w:tcPr>
          <w:p w14:paraId="0D06C9AA" w14:textId="77777777" w:rsidR="00BD06C4" w:rsidRDefault="00BD06C4" w:rsidP="00BD06C4">
            <w:pPr>
              <w:pStyle w:val="NoSpacing"/>
            </w:pPr>
            <w:r>
              <w:lastRenderedPageBreak/>
              <w:t xml:space="preserve">OECD, </w:t>
            </w:r>
          </w:p>
          <w:p w14:paraId="58733AA0" w14:textId="77777777" w:rsidR="00BD06C4" w:rsidRDefault="00BD06C4" w:rsidP="00BD06C4">
            <w:pPr>
              <w:pStyle w:val="NoSpacing"/>
            </w:pPr>
            <w:r>
              <w:t>UNDP</w:t>
            </w:r>
          </w:p>
          <w:p w14:paraId="579CEAFC" w14:textId="77777777" w:rsidR="00BD06C4" w:rsidRDefault="00BD06C4" w:rsidP="00BD06C4">
            <w:pPr>
              <w:rPr>
                <w:b/>
                <w:bCs/>
                <w:szCs w:val="20"/>
              </w:rPr>
            </w:pPr>
            <w:r w:rsidRPr="007243FC">
              <w:rPr>
                <w:b/>
                <w:bCs/>
                <w:szCs w:val="20"/>
              </w:rPr>
              <w:t>Partner Agencies:</w:t>
            </w:r>
          </w:p>
          <w:p w14:paraId="39EF9DBD" w14:textId="77777777" w:rsidR="00BD06C4" w:rsidRDefault="00BD06C4" w:rsidP="00BD06C4">
            <w:pPr>
              <w:pStyle w:val="NoSpacing"/>
            </w:pPr>
            <w:r w:rsidRPr="005867D7">
              <w:t>UNEP</w:t>
            </w:r>
          </w:p>
        </w:tc>
        <w:tc>
          <w:tcPr>
            <w:tcW w:w="0" w:type="auto"/>
          </w:tcPr>
          <w:p w14:paraId="38832D7C" w14:textId="77777777" w:rsidR="00BD06C4" w:rsidRDefault="00BD06C4" w:rsidP="00BD06C4">
            <w:pPr>
              <w:ind w:left="970" w:hanging="970"/>
              <w:jc w:val="both"/>
              <w:rPr>
                <w:color w:val="0070C0"/>
                <w:sz w:val="30"/>
                <w:szCs w:val="30"/>
              </w:rPr>
            </w:pPr>
            <w:r w:rsidRPr="00666BAB">
              <w:t>Tier II</w:t>
            </w:r>
          </w:p>
        </w:tc>
        <w:tc>
          <w:tcPr>
            <w:tcW w:w="0" w:type="auto"/>
          </w:tcPr>
          <w:p w14:paraId="1B74AF03" w14:textId="77777777" w:rsidR="00BD06C4" w:rsidRPr="008621B4" w:rsidRDefault="00BD06C4" w:rsidP="00BD06C4">
            <w:pPr>
              <w:pStyle w:val="NoSpacing"/>
              <w:rPr>
                <w:b/>
                <w:bCs/>
                <w:lang w:val="en-GB"/>
              </w:rPr>
            </w:pPr>
            <w:r w:rsidRPr="008621B4">
              <w:rPr>
                <w:b/>
                <w:bCs/>
                <w:lang w:val="en-GB"/>
              </w:rPr>
              <w:t>Definition:</w:t>
            </w:r>
          </w:p>
          <w:p w14:paraId="666ACC12" w14:textId="77777777" w:rsidR="00BD06C4" w:rsidRPr="008621B4" w:rsidRDefault="00BD06C4" w:rsidP="00BD06C4">
            <w:pPr>
              <w:pStyle w:val="NoSpacing"/>
              <w:rPr>
                <w:lang w:val="en-GB"/>
              </w:rPr>
            </w:pPr>
          </w:p>
          <w:p w14:paraId="2A23C168" w14:textId="77777777" w:rsidR="00BD06C4" w:rsidRPr="008621B4" w:rsidRDefault="00BD06C4" w:rsidP="00BD06C4">
            <w:pPr>
              <w:pStyle w:val="NoSpacing"/>
              <w:rPr>
                <w:lang w:val="en-GB"/>
              </w:rPr>
            </w:pPr>
            <w:r w:rsidRPr="008621B4">
              <w:rPr>
                <w:lang w:val="en-GB"/>
              </w:rPr>
              <w:t xml:space="preserve">The indicator tracks the number of countries reporting progress in multi stakeholder monitoring frameworks that track the implementation of development effectiveness commitments supporting the achievement of sustainable development goals (SDGs).  </w:t>
            </w:r>
          </w:p>
          <w:p w14:paraId="38BF77B7" w14:textId="77777777" w:rsidR="00BD06C4" w:rsidRPr="008621B4" w:rsidRDefault="00BD06C4" w:rsidP="00BD06C4">
            <w:pPr>
              <w:pStyle w:val="NoSpacing"/>
              <w:rPr>
                <w:lang w:val="en-GB"/>
              </w:rPr>
            </w:pPr>
          </w:p>
          <w:p w14:paraId="24608584" w14:textId="77777777" w:rsidR="00BD06C4" w:rsidRPr="008621B4" w:rsidRDefault="00BD06C4" w:rsidP="00BD06C4">
            <w:pPr>
              <w:pStyle w:val="NoSpacing"/>
              <w:rPr>
                <w:b/>
                <w:bCs/>
                <w:lang w:val="en-GB"/>
              </w:rPr>
            </w:pPr>
            <w:r w:rsidRPr="008621B4">
              <w:rPr>
                <w:b/>
                <w:bCs/>
                <w:lang w:val="en-GB"/>
              </w:rPr>
              <w:t>Concepts:</w:t>
            </w:r>
          </w:p>
          <w:p w14:paraId="25EEF138" w14:textId="77777777" w:rsidR="00BD06C4" w:rsidRPr="008621B4" w:rsidRDefault="00BD06C4" w:rsidP="00BD06C4">
            <w:pPr>
              <w:pStyle w:val="NoSpacing"/>
              <w:rPr>
                <w:lang w:val="en-GB"/>
              </w:rPr>
            </w:pPr>
          </w:p>
          <w:p w14:paraId="5AA8CA22" w14:textId="77777777" w:rsidR="00BD06C4" w:rsidRPr="008621B4" w:rsidRDefault="00BD06C4" w:rsidP="00BD06C4">
            <w:pPr>
              <w:pStyle w:val="NoSpacing"/>
              <w:rPr>
                <w:lang w:val="en-GB"/>
              </w:rPr>
            </w:pPr>
            <w:r w:rsidRPr="008621B4">
              <w:rPr>
                <w:lang w:val="en-GB"/>
              </w:rPr>
              <w:t xml:space="preserve">“Multi-stakeholder development effectiveness monitoring frameworks” that track effective development cooperation are monitoring frameworks: </w:t>
            </w:r>
          </w:p>
          <w:p w14:paraId="185F5D8F" w14:textId="77777777" w:rsidR="00BD06C4" w:rsidRPr="008621B4" w:rsidRDefault="00BD06C4" w:rsidP="00BD06C4">
            <w:pPr>
              <w:pStyle w:val="NoSpacing"/>
              <w:numPr>
                <w:ilvl w:val="0"/>
                <w:numId w:val="132"/>
              </w:numPr>
              <w:rPr>
                <w:lang w:val="en-GB"/>
              </w:rPr>
            </w:pPr>
            <w:r w:rsidRPr="008621B4">
              <w:rPr>
                <w:lang w:val="en-GB"/>
              </w:rPr>
              <w:t xml:space="preserve">whose indicators have been agreed on a voluntary basis; whose indicators measure the strength of the relationship between development actors; </w:t>
            </w:r>
          </w:p>
          <w:p w14:paraId="1D94FD4F" w14:textId="77777777" w:rsidR="00BD06C4" w:rsidRPr="008621B4" w:rsidRDefault="00BD06C4" w:rsidP="00BD06C4">
            <w:pPr>
              <w:pStyle w:val="NoSpacing"/>
              <w:numPr>
                <w:ilvl w:val="0"/>
                <w:numId w:val="132"/>
              </w:numPr>
              <w:rPr>
                <w:lang w:val="en-GB"/>
              </w:rPr>
            </w:pPr>
            <w:proofErr w:type="gramStart"/>
            <w:r w:rsidRPr="008621B4">
              <w:rPr>
                <w:lang w:val="en-GB"/>
              </w:rPr>
              <w:t>where</w:t>
            </w:r>
            <w:proofErr w:type="gramEnd"/>
            <w:r w:rsidRPr="008621B4">
              <w:rPr>
                <w:lang w:val="en-GB"/>
              </w:rPr>
              <w:t xml:space="preserve"> data collection and review is led by the countries themselves; and where participation in data collection and review involves relevant multi-stakeholder representing, at minimum, the public sector, the private sector and civil society organizations.</w:t>
            </w:r>
          </w:p>
          <w:p w14:paraId="77C688AD" w14:textId="77777777" w:rsidR="00BD06C4" w:rsidRPr="008621B4" w:rsidRDefault="00BD06C4" w:rsidP="00BD06C4">
            <w:pPr>
              <w:pStyle w:val="NoSpacing"/>
              <w:rPr>
                <w:lang w:val="en-GB"/>
              </w:rPr>
            </w:pPr>
          </w:p>
          <w:p w14:paraId="167651E8" w14:textId="77777777" w:rsidR="00BD06C4" w:rsidRPr="008621B4" w:rsidRDefault="00BD06C4" w:rsidP="00BD06C4">
            <w:pPr>
              <w:pStyle w:val="NoSpacing"/>
              <w:rPr>
                <w:lang w:val="en-GB"/>
              </w:rPr>
            </w:pPr>
            <w:r w:rsidRPr="008621B4">
              <w:rPr>
                <w:lang w:val="en-GB"/>
              </w:rPr>
              <w:t xml:space="preserve">The indicator takes into account the need to capture the respective roles and responsibilities of </w:t>
            </w:r>
            <w:r w:rsidRPr="008621B4">
              <w:rPr>
                <w:lang w:val="en-GB"/>
              </w:rPr>
              <w:lastRenderedPageBreak/>
              <w:t xml:space="preserve">all parties involved in multi-stakeholder partnerships for development. It does so by looking at development effectiveness frameworks that are led by countries but include the participation of all relevant development partners. </w:t>
            </w:r>
          </w:p>
          <w:p w14:paraId="5430EAE6" w14:textId="77777777" w:rsidR="00BD06C4" w:rsidRPr="008621B4" w:rsidRDefault="00BD06C4" w:rsidP="00BD06C4">
            <w:pPr>
              <w:pStyle w:val="NoSpacing"/>
              <w:rPr>
                <w:lang w:val="en-GB"/>
              </w:rPr>
            </w:pPr>
          </w:p>
          <w:p w14:paraId="73B06D8A" w14:textId="77777777" w:rsidR="00BD06C4" w:rsidRPr="008621B4" w:rsidRDefault="00BD06C4" w:rsidP="00BD06C4">
            <w:pPr>
              <w:pStyle w:val="NoSpacing"/>
              <w:rPr>
                <w:lang w:val="en-GB"/>
              </w:rPr>
            </w:pPr>
            <w:r w:rsidRPr="008621B4">
              <w:rPr>
                <w:lang w:val="en-GB"/>
              </w:rPr>
              <w:t xml:space="preserve">The </w:t>
            </w:r>
            <w:r w:rsidRPr="008621B4">
              <w:rPr>
                <w:i/>
                <w:lang w:val="en-GB"/>
              </w:rPr>
              <w:t>Global Partnership for Effective Development Cooperation</w:t>
            </w:r>
            <w:r w:rsidRPr="008621B4">
              <w:rPr>
                <w:lang w:val="en-GB"/>
              </w:rPr>
              <w:t xml:space="preserve"> (Global Partnership) monitoring framework is an example of existing development effectiveness monitoring frameworks. There are other complementary efforts, such as the </w:t>
            </w:r>
            <w:r w:rsidRPr="008621B4">
              <w:rPr>
                <w:i/>
                <w:lang w:val="en-GB"/>
              </w:rPr>
              <w:t>ECOSOC Development Cooperation Forum</w:t>
            </w:r>
            <w:r w:rsidRPr="008621B4">
              <w:rPr>
                <w:lang w:val="en-GB"/>
              </w:rPr>
              <w:t xml:space="preserve"> (DCF) mutual accountability survey. Emerging and future monitoring frameworks that fit the above definition, such as recent efforts to track South-South Cooperation by </w:t>
            </w:r>
            <w:r w:rsidRPr="008621B4">
              <w:rPr>
                <w:i/>
                <w:lang w:val="en-GB"/>
              </w:rPr>
              <w:t>SEGIB</w:t>
            </w:r>
            <w:r w:rsidRPr="008621B4">
              <w:rPr>
                <w:lang w:val="en-GB"/>
              </w:rPr>
              <w:t>, could also be considered.</w:t>
            </w:r>
          </w:p>
          <w:p w14:paraId="52674E3A" w14:textId="77777777" w:rsidR="00BD06C4" w:rsidRPr="008621B4" w:rsidRDefault="00BD06C4" w:rsidP="00BD06C4">
            <w:pPr>
              <w:pStyle w:val="NoSpacing"/>
              <w:rPr>
                <w:lang w:val="en-GB"/>
              </w:rPr>
            </w:pPr>
          </w:p>
          <w:p w14:paraId="6030F417" w14:textId="77777777" w:rsidR="00BD06C4" w:rsidRPr="008621B4" w:rsidRDefault="00BD06C4" w:rsidP="00BD06C4">
            <w:pPr>
              <w:pStyle w:val="NoSpacing"/>
              <w:rPr>
                <w:b/>
                <w:bCs/>
                <w:lang w:val="en-GB"/>
              </w:rPr>
            </w:pPr>
            <w:r w:rsidRPr="008621B4">
              <w:rPr>
                <w:b/>
                <w:bCs/>
                <w:lang w:val="en-GB"/>
              </w:rPr>
              <w:t>Comments and limitations:</w:t>
            </w:r>
          </w:p>
          <w:p w14:paraId="5110FB35" w14:textId="77777777" w:rsidR="00BD06C4" w:rsidRPr="008621B4" w:rsidRDefault="00BD06C4" w:rsidP="00BD06C4">
            <w:pPr>
              <w:pStyle w:val="NoSpacing"/>
              <w:rPr>
                <w:lang w:val="en-GB"/>
              </w:rPr>
            </w:pPr>
          </w:p>
          <w:p w14:paraId="13820CD4" w14:textId="77777777" w:rsidR="00BD06C4" w:rsidRPr="008621B4" w:rsidRDefault="00BD06C4" w:rsidP="00BD06C4">
            <w:pPr>
              <w:pStyle w:val="NoSpacing"/>
              <w:rPr>
                <w:lang w:val="en-GB"/>
              </w:rPr>
            </w:pPr>
            <w:r w:rsidRPr="008621B4">
              <w:rPr>
                <w:lang w:val="en-GB"/>
              </w:rPr>
              <w:t xml:space="preserve">The design of the indicator has practical benefits:  </w:t>
            </w:r>
          </w:p>
          <w:p w14:paraId="7F32DC0E" w14:textId="77777777" w:rsidR="00BD06C4" w:rsidRPr="008621B4" w:rsidRDefault="00BD06C4" w:rsidP="00BD06C4">
            <w:pPr>
              <w:pStyle w:val="NoSpacing"/>
              <w:rPr>
                <w:lang w:val="en-GB"/>
              </w:rPr>
            </w:pPr>
          </w:p>
          <w:p w14:paraId="5D310A62" w14:textId="77777777" w:rsidR="00BD06C4" w:rsidRPr="008621B4" w:rsidRDefault="00BD06C4" w:rsidP="00BD06C4">
            <w:pPr>
              <w:pStyle w:val="NoSpacing"/>
              <w:numPr>
                <w:ilvl w:val="0"/>
                <w:numId w:val="133"/>
              </w:numPr>
              <w:rPr>
                <w:lang w:val="en-GB"/>
              </w:rPr>
            </w:pPr>
            <w:r w:rsidRPr="008621B4">
              <w:rPr>
                <w:lang w:val="en-GB"/>
              </w:rPr>
              <w:t>the indicator allows for relevant monitoring frameworks to be updated in line with evolving commitments and country specific context without affecting the spirit of the indicator;</w:t>
            </w:r>
          </w:p>
          <w:p w14:paraId="3D6830D6" w14:textId="77777777" w:rsidR="00BD06C4" w:rsidRPr="008621B4" w:rsidRDefault="00BD06C4" w:rsidP="00BD06C4">
            <w:pPr>
              <w:pStyle w:val="NoSpacing"/>
              <w:rPr>
                <w:lang w:val="en-GB"/>
              </w:rPr>
            </w:pPr>
          </w:p>
          <w:p w14:paraId="61265669" w14:textId="77777777" w:rsidR="00BD06C4" w:rsidRPr="008621B4" w:rsidRDefault="00BD06C4" w:rsidP="00BD06C4">
            <w:pPr>
              <w:pStyle w:val="NoSpacing"/>
              <w:numPr>
                <w:ilvl w:val="0"/>
                <w:numId w:val="133"/>
              </w:numPr>
              <w:rPr>
                <w:lang w:val="en-GB"/>
              </w:rPr>
            </w:pPr>
            <w:r w:rsidRPr="008621B4">
              <w:rPr>
                <w:lang w:val="en-GB"/>
              </w:rPr>
              <w:t>the indicator does not presume a globally-set multi-stakeholder framework, acknowledging the diversity of complementary efforts supporting effective development cooperation;</w:t>
            </w:r>
          </w:p>
          <w:p w14:paraId="16CDDDBA" w14:textId="77777777" w:rsidR="00BD06C4" w:rsidRPr="008621B4" w:rsidRDefault="00BD06C4" w:rsidP="00BD06C4">
            <w:pPr>
              <w:pStyle w:val="NoSpacing"/>
              <w:rPr>
                <w:lang w:val="en-GB"/>
              </w:rPr>
            </w:pPr>
          </w:p>
          <w:p w14:paraId="72BFEB67" w14:textId="77777777" w:rsidR="00BD06C4" w:rsidRPr="008621B4" w:rsidRDefault="00BD06C4" w:rsidP="00BD06C4">
            <w:pPr>
              <w:pStyle w:val="NoSpacing"/>
              <w:numPr>
                <w:ilvl w:val="0"/>
                <w:numId w:val="133"/>
              </w:numPr>
              <w:rPr>
                <w:lang w:val="en-GB"/>
              </w:rPr>
            </w:pPr>
            <w:proofErr w:type="gramStart"/>
            <w:r w:rsidRPr="008621B4">
              <w:rPr>
                <w:lang w:val="en-GB"/>
              </w:rPr>
              <w:t>the</w:t>
            </w:r>
            <w:proofErr w:type="gramEnd"/>
            <w:r w:rsidRPr="008621B4">
              <w:rPr>
                <w:lang w:val="en-GB"/>
              </w:rPr>
              <w:t xml:space="preserve"> indicator allows participating countries to choose whether they would like to report as a provider of development co-operation, as a recipient, or both. </w:t>
            </w:r>
          </w:p>
          <w:p w14:paraId="47B6CF85" w14:textId="77777777" w:rsidR="00BD06C4" w:rsidRPr="008621B4" w:rsidRDefault="00BD06C4" w:rsidP="00BD06C4">
            <w:pPr>
              <w:pStyle w:val="NoSpacing"/>
              <w:rPr>
                <w:lang w:val="en-GB"/>
              </w:rPr>
            </w:pPr>
          </w:p>
          <w:p w14:paraId="4B43F9F5" w14:textId="77777777" w:rsidR="00BD06C4" w:rsidRPr="008621B4" w:rsidRDefault="00BD06C4" w:rsidP="00BD06C4">
            <w:pPr>
              <w:pStyle w:val="NoSpacing"/>
              <w:rPr>
                <w:lang w:val="en-GB"/>
              </w:rPr>
            </w:pPr>
            <w:r w:rsidRPr="008621B4">
              <w:rPr>
                <w:lang w:val="en-GB"/>
              </w:rPr>
              <w:t xml:space="preserve">Data collection for the Global Partnership monitoring framework is led by </w:t>
            </w:r>
            <w:r w:rsidRPr="008621B4">
              <w:rPr>
                <w:bCs/>
                <w:lang w:val="en-GB"/>
              </w:rPr>
              <w:t>low and middle-income</w:t>
            </w:r>
            <w:r w:rsidRPr="008621B4">
              <w:rPr>
                <w:lang w:val="en-GB"/>
              </w:rPr>
              <w:t xml:space="preserve"> countries </w:t>
            </w:r>
            <w:r w:rsidRPr="008621B4">
              <w:rPr>
                <w:bCs/>
                <w:lang w:val="en-GB"/>
              </w:rPr>
              <w:t>receiving development co-operation</w:t>
            </w:r>
            <w:r w:rsidRPr="008621B4">
              <w:rPr>
                <w:lang w:val="en-GB"/>
              </w:rPr>
              <w:t xml:space="preserve">. Progress of countries </w:t>
            </w:r>
            <w:r w:rsidRPr="008621B4">
              <w:rPr>
                <w:bCs/>
                <w:lang w:val="en-GB"/>
              </w:rPr>
              <w:t>providing development co-operation</w:t>
            </w:r>
            <w:r w:rsidRPr="008621B4">
              <w:rPr>
                <w:lang w:val="en-GB"/>
              </w:rPr>
              <w:t xml:space="preserve"> in implementing development effectiveness commitments is captured through their partnership behaviour in those </w:t>
            </w:r>
            <w:r w:rsidRPr="008621B4">
              <w:rPr>
                <w:bCs/>
                <w:lang w:val="en-GB"/>
              </w:rPr>
              <w:t>low and middle-income</w:t>
            </w:r>
            <w:r w:rsidRPr="008621B4">
              <w:rPr>
                <w:lang w:val="en-GB"/>
              </w:rPr>
              <w:t xml:space="preserve"> countries. Depending on each case, middle income countries that currently are both recipient and providers of development cooperation opt to report in their role as recipient and/or provider of development cooperation.</w:t>
            </w:r>
          </w:p>
          <w:p w14:paraId="09D90147" w14:textId="77777777" w:rsidR="00BD06C4" w:rsidRPr="008621B4" w:rsidRDefault="00BD06C4" w:rsidP="00BD06C4">
            <w:pPr>
              <w:pStyle w:val="NoSpacing"/>
              <w:rPr>
                <w:b/>
                <w:bCs/>
                <w:lang w:val="en-GB"/>
              </w:rPr>
            </w:pPr>
          </w:p>
          <w:p w14:paraId="6512A907" w14:textId="77777777" w:rsidR="00BD06C4" w:rsidRPr="008621B4" w:rsidRDefault="00BD06C4" w:rsidP="00BD06C4">
            <w:pPr>
              <w:pStyle w:val="NoSpacing"/>
              <w:rPr>
                <w:b/>
                <w:bCs/>
                <w:lang w:val="en-GB"/>
              </w:rPr>
            </w:pPr>
            <w:r w:rsidRPr="008621B4">
              <w:rPr>
                <w:b/>
                <w:bCs/>
                <w:lang w:val="en-GB"/>
              </w:rPr>
              <w:t>Computation Method:</w:t>
            </w:r>
          </w:p>
          <w:p w14:paraId="17EB6024" w14:textId="77777777" w:rsidR="00BD06C4" w:rsidRPr="008621B4" w:rsidRDefault="00BD06C4" w:rsidP="00BD06C4">
            <w:pPr>
              <w:pStyle w:val="NoSpacing"/>
              <w:rPr>
                <w:lang w:val="en-GB"/>
              </w:rPr>
            </w:pPr>
          </w:p>
          <w:p w14:paraId="3BD3FC73" w14:textId="77777777" w:rsidR="00BD06C4" w:rsidRPr="008621B4" w:rsidRDefault="00BD06C4" w:rsidP="00BD06C4">
            <w:pPr>
              <w:pStyle w:val="NoSpacing"/>
              <w:rPr>
                <w:lang w:val="en-GB"/>
              </w:rPr>
            </w:pPr>
            <w:r w:rsidRPr="008621B4">
              <w:rPr>
                <w:lang w:val="en-GB"/>
              </w:rPr>
              <w:lastRenderedPageBreak/>
              <w:t>To reflect the universal nature of target 17.16 this indicator is presented as the global aggregate number of countries reporting progress. For any country reporting towards one (or more) multi-stakeholder development effectiveness framework(s), the country is considered to be reporting progress when, for the year of reference, the number of indicators within the framework(s) that show a positive trend is greater than the number of indicators that show a negative trend.</w:t>
            </w:r>
          </w:p>
          <w:p w14:paraId="4E88AA88" w14:textId="77777777" w:rsidR="00BD06C4" w:rsidRPr="008621B4" w:rsidRDefault="00BD06C4" w:rsidP="00BD06C4">
            <w:pPr>
              <w:pStyle w:val="NoSpacing"/>
              <w:rPr>
                <w:lang w:val="en-GB"/>
              </w:rPr>
            </w:pPr>
          </w:p>
          <w:p w14:paraId="6C030CAE" w14:textId="77777777" w:rsidR="00BD06C4" w:rsidRPr="008621B4" w:rsidRDefault="00BD06C4" w:rsidP="00BD06C4">
            <w:pPr>
              <w:pStyle w:val="NoSpacing"/>
              <w:rPr>
                <w:lang w:val="en-GB"/>
              </w:rPr>
            </w:pPr>
            <w:r w:rsidRPr="008621B4">
              <w:rPr>
                <w:u w:val="single"/>
                <w:lang w:val="en-GB"/>
              </w:rPr>
              <w:t>Countries providing development co-operation funding</w:t>
            </w:r>
            <w:r w:rsidRPr="008621B4">
              <w:rPr>
                <w:lang w:val="en-GB"/>
              </w:rPr>
              <w:t xml:space="preserve"> and reporting in multi-stakeholder development effectiveness monitoring frameworks are assessed against the following elements: </w:t>
            </w:r>
          </w:p>
          <w:p w14:paraId="4C0A50EB" w14:textId="77777777" w:rsidR="00BD06C4" w:rsidRPr="008621B4" w:rsidRDefault="00BD06C4" w:rsidP="00BD06C4">
            <w:pPr>
              <w:pStyle w:val="NoSpacing"/>
              <w:rPr>
                <w:lang w:val="en-GB"/>
              </w:rPr>
            </w:pPr>
          </w:p>
          <w:p w14:paraId="42CF1BD1" w14:textId="77777777" w:rsidR="00BD06C4" w:rsidRPr="008621B4" w:rsidRDefault="00BD06C4" w:rsidP="00BD06C4">
            <w:pPr>
              <w:pStyle w:val="NoSpacing"/>
              <w:numPr>
                <w:ilvl w:val="0"/>
                <w:numId w:val="131"/>
              </w:numPr>
              <w:rPr>
                <w:lang w:val="en-GB"/>
              </w:rPr>
            </w:pPr>
            <w:r w:rsidRPr="008621B4">
              <w:rPr>
                <w:i/>
                <w:lang w:val="en-GB"/>
              </w:rPr>
              <w:t xml:space="preserve">Aligning to country-defined development objectives: </w:t>
            </w:r>
            <w:r w:rsidRPr="008621B4">
              <w:rPr>
                <w:lang w:val="en-GB"/>
              </w:rPr>
              <w:t>Percentage of new development interventions whose objectives are drawn from country-led results frameworks.</w:t>
            </w:r>
          </w:p>
          <w:p w14:paraId="1E6AEF9A" w14:textId="77777777" w:rsidR="00BD06C4" w:rsidRPr="008621B4" w:rsidRDefault="00BD06C4" w:rsidP="00BD06C4">
            <w:pPr>
              <w:pStyle w:val="NoSpacing"/>
              <w:numPr>
                <w:ilvl w:val="0"/>
                <w:numId w:val="131"/>
              </w:numPr>
              <w:rPr>
                <w:lang w:val="en-GB"/>
              </w:rPr>
            </w:pPr>
            <w:r w:rsidRPr="008621B4">
              <w:rPr>
                <w:i/>
                <w:lang w:val="en-GB"/>
              </w:rPr>
              <w:t xml:space="preserve">Using country-led results frameworks: </w:t>
            </w:r>
            <w:r w:rsidRPr="008621B4">
              <w:rPr>
                <w:lang w:val="en-GB"/>
              </w:rPr>
              <w:t>Percentage of results indicators contained in new development interventions which are drawn from country-led results frameworks.</w:t>
            </w:r>
          </w:p>
          <w:p w14:paraId="0776B626" w14:textId="77777777" w:rsidR="00BD06C4" w:rsidRPr="008621B4" w:rsidRDefault="00BD06C4" w:rsidP="00BD06C4">
            <w:pPr>
              <w:pStyle w:val="NoSpacing"/>
              <w:numPr>
                <w:ilvl w:val="0"/>
                <w:numId w:val="131"/>
              </w:numPr>
              <w:rPr>
                <w:lang w:val="en-GB"/>
              </w:rPr>
            </w:pPr>
            <w:r w:rsidRPr="008621B4">
              <w:rPr>
                <w:i/>
                <w:lang w:val="en-GB"/>
              </w:rPr>
              <w:t xml:space="preserve">Using national monitoring and statistical systems: </w:t>
            </w:r>
            <w:r w:rsidRPr="008621B4">
              <w:rPr>
                <w:lang w:val="en-GB"/>
              </w:rPr>
              <w:t>Percentage of results indicators in new development interventions which will be monitored using government sources and monitoring systems.</w:t>
            </w:r>
          </w:p>
          <w:p w14:paraId="7036830E" w14:textId="77777777" w:rsidR="00BD06C4" w:rsidRPr="008621B4" w:rsidRDefault="00BD06C4" w:rsidP="00BD06C4">
            <w:pPr>
              <w:pStyle w:val="NoSpacing"/>
              <w:numPr>
                <w:ilvl w:val="0"/>
                <w:numId w:val="131"/>
              </w:numPr>
              <w:rPr>
                <w:lang w:val="en-GB"/>
              </w:rPr>
            </w:pPr>
            <w:r w:rsidRPr="008621B4">
              <w:rPr>
                <w:i/>
                <w:lang w:val="en-GB"/>
              </w:rPr>
              <w:t xml:space="preserve">Using national evaluation systems: </w:t>
            </w:r>
            <w:r w:rsidRPr="008621B4">
              <w:rPr>
                <w:lang w:val="en-GB"/>
              </w:rPr>
              <w:t>Percentage of new interventions that plan a final evaluation with country government involvement.</w:t>
            </w:r>
          </w:p>
          <w:p w14:paraId="764E9337" w14:textId="77777777" w:rsidR="00BD06C4" w:rsidRPr="008621B4" w:rsidRDefault="00BD06C4" w:rsidP="00BD06C4">
            <w:pPr>
              <w:pStyle w:val="NoSpacing"/>
              <w:numPr>
                <w:ilvl w:val="0"/>
                <w:numId w:val="131"/>
              </w:numPr>
              <w:rPr>
                <w:lang w:val="en-GB"/>
              </w:rPr>
            </w:pPr>
            <w:r w:rsidRPr="008621B4">
              <w:rPr>
                <w:i/>
                <w:lang w:val="en-GB"/>
              </w:rPr>
              <w:t>Transparency of development co-operation</w:t>
            </w:r>
            <w:r w:rsidRPr="008621B4">
              <w:rPr>
                <w:lang w:val="en-GB"/>
              </w:rPr>
              <w:t>: Public availability of information on development co</w:t>
            </w:r>
            <w:r w:rsidRPr="008621B4">
              <w:rPr>
                <w:rFonts w:ascii="Cambria Math" w:hAnsi="Cambria Math" w:cs="Cambria Math"/>
                <w:lang w:val="en-GB"/>
              </w:rPr>
              <w:t>‑</w:t>
            </w:r>
            <w:r w:rsidRPr="008621B4">
              <w:rPr>
                <w:lang w:val="en-GB"/>
              </w:rPr>
              <w:t xml:space="preserve">operation according to international reporting standards. </w:t>
            </w:r>
          </w:p>
          <w:p w14:paraId="3F728ACF" w14:textId="77777777" w:rsidR="00BD06C4" w:rsidRPr="008621B4" w:rsidRDefault="00BD06C4" w:rsidP="00BD06C4">
            <w:pPr>
              <w:pStyle w:val="NoSpacing"/>
              <w:numPr>
                <w:ilvl w:val="0"/>
                <w:numId w:val="131"/>
              </w:numPr>
              <w:rPr>
                <w:lang w:val="en-GB"/>
              </w:rPr>
            </w:pPr>
            <w:r w:rsidRPr="008621B4">
              <w:rPr>
                <w:i/>
                <w:lang w:val="en-GB"/>
              </w:rPr>
              <w:t>Annual predictability of development co-operation</w:t>
            </w:r>
            <w:r w:rsidRPr="008621B4">
              <w:rPr>
                <w:lang w:val="en-GB"/>
              </w:rPr>
              <w:t xml:space="preserve">: Proportion of development co-operation disbursed as development partners had scheduled at the beginning of the year. </w:t>
            </w:r>
          </w:p>
          <w:p w14:paraId="2843FB58" w14:textId="77777777" w:rsidR="00BD06C4" w:rsidRPr="008621B4" w:rsidRDefault="00BD06C4" w:rsidP="00BD06C4">
            <w:pPr>
              <w:pStyle w:val="NoSpacing"/>
              <w:numPr>
                <w:ilvl w:val="0"/>
                <w:numId w:val="131"/>
              </w:numPr>
              <w:rPr>
                <w:lang w:val="en-GB"/>
              </w:rPr>
            </w:pPr>
            <w:r w:rsidRPr="008621B4">
              <w:rPr>
                <w:i/>
                <w:lang w:val="en-GB"/>
              </w:rPr>
              <w:t xml:space="preserve">Medium-term predictability of development co-operation: </w:t>
            </w:r>
            <w:r w:rsidRPr="008621B4">
              <w:rPr>
                <w:lang w:val="en-GB"/>
              </w:rPr>
              <w:t xml:space="preserve">forward-looking spending plans made available to the partner government (indicative annual amounts of development co-operation support to be provided over the one-to-three years. </w:t>
            </w:r>
          </w:p>
          <w:p w14:paraId="530E3822" w14:textId="77777777" w:rsidR="00BD06C4" w:rsidRPr="008621B4" w:rsidRDefault="00BD06C4" w:rsidP="00BD06C4">
            <w:pPr>
              <w:pStyle w:val="NoSpacing"/>
              <w:numPr>
                <w:ilvl w:val="0"/>
                <w:numId w:val="131"/>
              </w:numPr>
              <w:rPr>
                <w:lang w:val="en-GB"/>
              </w:rPr>
            </w:pPr>
            <w:r w:rsidRPr="008621B4">
              <w:rPr>
                <w:i/>
                <w:lang w:val="en-GB"/>
              </w:rPr>
              <w:t xml:space="preserve">Development co-operation on budgets subject to parliamentary oversight: share </w:t>
            </w:r>
            <w:r w:rsidRPr="008621B4">
              <w:rPr>
                <w:lang w:val="en-GB"/>
              </w:rPr>
              <w:t>of development co-operation funds planned to/for the country’s public sevtor that are recorded in the annual budget submitted for legislative approval.</w:t>
            </w:r>
          </w:p>
          <w:p w14:paraId="638C5008" w14:textId="77777777" w:rsidR="00BD06C4" w:rsidRPr="008621B4" w:rsidRDefault="00BD06C4" w:rsidP="00BD06C4">
            <w:pPr>
              <w:pStyle w:val="NoSpacing"/>
              <w:numPr>
                <w:ilvl w:val="0"/>
                <w:numId w:val="131"/>
              </w:numPr>
              <w:rPr>
                <w:lang w:val="en-GB"/>
              </w:rPr>
            </w:pPr>
            <w:r w:rsidRPr="008621B4">
              <w:rPr>
                <w:i/>
                <w:lang w:val="en-GB"/>
              </w:rPr>
              <w:t xml:space="preserve">Development co-operation delivered through country systems: </w:t>
            </w:r>
            <w:r w:rsidRPr="008621B4">
              <w:rPr>
                <w:lang w:val="en-GB"/>
              </w:rPr>
              <w:t xml:space="preserve">Proportion of development co-operation disbursed to a give country according to national </w:t>
            </w:r>
            <w:r w:rsidRPr="008621B4">
              <w:rPr>
                <w:lang w:val="en-GB"/>
              </w:rPr>
              <w:lastRenderedPageBreak/>
              <w:t>regulations and systems for public financial management (i.e. budgeting, financial reporting, auditing) and procurement.</w:t>
            </w:r>
          </w:p>
          <w:p w14:paraId="18E74163" w14:textId="77777777" w:rsidR="00BD06C4" w:rsidRPr="008621B4" w:rsidRDefault="00BD06C4" w:rsidP="00BD06C4">
            <w:pPr>
              <w:pStyle w:val="NoSpacing"/>
              <w:numPr>
                <w:ilvl w:val="0"/>
                <w:numId w:val="131"/>
              </w:numPr>
              <w:rPr>
                <w:lang w:val="en-GB"/>
              </w:rPr>
            </w:pPr>
            <w:r w:rsidRPr="008621B4">
              <w:rPr>
                <w:i/>
                <w:lang w:val="en-GB"/>
              </w:rPr>
              <w:t xml:space="preserve">Untied Aid: </w:t>
            </w:r>
            <w:r w:rsidRPr="008621B4">
              <w:rPr>
                <w:lang w:val="en-GB"/>
              </w:rPr>
              <w:t>Proportion of development co-operation that is untied</w:t>
            </w:r>
            <w:r w:rsidRPr="008621B4">
              <w:rPr>
                <w:vertAlign w:val="superscript"/>
                <w:lang w:val="en-GB"/>
              </w:rPr>
              <w:footnoteReference w:id="107"/>
            </w:r>
          </w:p>
          <w:p w14:paraId="7AC43DD1" w14:textId="77777777" w:rsidR="00BD06C4" w:rsidRPr="008621B4" w:rsidRDefault="00BD06C4" w:rsidP="00BD06C4">
            <w:pPr>
              <w:pStyle w:val="NoSpacing"/>
              <w:rPr>
                <w:lang w:val="en-GB"/>
              </w:rPr>
            </w:pPr>
          </w:p>
          <w:p w14:paraId="5584665F" w14:textId="77777777" w:rsidR="00BD06C4" w:rsidRPr="008621B4" w:rsidRDefault="00BD06C4" w:rsidP="00BD06C4">
            <w:pPr>
              <w:pStyle w:val="NoSpacing"/>
              <w:rPr>
                <w:u w:val="single"/>
                <w:lang w:val="en-GB"/>
              </w:rPr>
            </w:pPr>
            <w:r w:rsidRPr="008621B4">
              <w:rPr>
                <w:u w:val="single"/>
                <w:lang w:val="en-GB"/>
              </w:rPr>
              <w:t>Countries receiving development co-operation funding</w:t>
            </w:r>
            <w:r w:rsidRPr="008621B4">
              <w:rPr>
                <w:lang w:val="en-GB"/>
              </w:rPr>
              <w:t xml:space="preserve"> and reporting in multi-stakeholder development effectiveness monitoring frameworks are assessed against the following elements:</w:t>
            </w:r>
            <w:r w:rsidRPr="008621B4">
              <w:rPr>
                <w:u w:val="single"/>
                <w:lang w:val="en-GB"/>
              </w:rPr>
              <w:t xml:space="preserve"> </w:t>
            </w:r>
          </w:p>
          <w:p w14:paraId="535836A2" w14:textId="77777777" w:rsidR="00BD06C4" w:rsidRPr="008621B4" w:rsidRDefault="00BD06C4" w:rsidP="00BD06C4">
            <w:pPr>
              <w:pStyle w:val="NoSpacing"/>
              <w:numPr>
                <w:ilvl w:val="0"/>
                <w:numId w:val="130"/>
              </w:numPr>
              <w:rPr>
                <w:lang w:val="en-GB"/>
              </w:rPr>
            </w:pPr>
            <w:r w:rsidRPr="008621B4">
              <w:rPr>
                <w:i/>
                <w:lang w:val="en-GB"/>
              </w:rPr>
              <w:t xml:space="preserve">Leading in setting up national priorities: Countries strengthen their </w:t>
            </w:r>
            <w:r w:rsidRPr="008621B4">
              <w:rPr>
                <w:lang w:val="en-GB"/>
              </w:rPr>
              <w:t>national results frameworks.</w:t>
            </w:r>
          </w:p>
          <w:p w14:paraId="7A34C2CF" w14:textId="77777777" w:rsidR="00BD06C4" w:rsidRPr="008621B4" w:rsidRDefault="00BD06C4" w:rsidP="00BD06C4">
            <w:pPr>
              <w:pStyle w:val="NoSpacing"/>
              <w:numPr>
                <w:ilvl w:val="0"/>
                <w:numId w:val="130"/>
              </w:numPr>
              <w:rPr>
                <w:u w:val="single"/>
                <w:lang w:val="en-GB"/>
              </w:rPr>
            </w:pPr>
            <w:r w:rsidRPr="008621B4">
              <w:rPr>
                <w:i/>
                <w:lang w:val="en-GB"/>
              </w:rPr>
              <w:t xml:space="preserve">Creating an enabling environment for civil society organisations: </w:t>
            </w:r>
            <w:r w:rsidRPr="008621B4">
              <w:rPr>
                <w:lang w:val="en-GB"/>
              </w:rPr>
              <w:t>Civil society organizations operate within an environment that maximises their engagement in and contribution to development.</w:t>
            </w:r>
          </w:p>
          <w:p w14:paraId="552276DC" w14:textId="77777777" w:rsidR="00BD06C4" w:rsidRPr="008621B4" w:rsidRDefault="00BD06C4" w:rsidP="00BD06C4">
            <w:pPr>
              <w:pStyle w:val="NoSpacing"/>
              <w:numPr>
                <w:ilvl w:val="0"/>
                <w:numId w:val="130"/>
              </w:numPr>
              <w:rPr>
                <w:u w:val="single"/>
                <w:lang w:val="en-GB"/>
              </w:rPr>
            </w:pPr>
            <w:r w:rsidRPr="008621B4">
              <w:rPr>
                <w:i/>
                <w:lang w:val="en-GB"/>
              </w:rPr>
              <w:t xml:space="preserve">Promoting private sector engagement and contribution to development: </w:t>
            </w:r>
            <w:r w:rsidRPr="008621B4">
              <w:rPr>
                <w:lang w:val="en-GB"/>
              </w:rPr>
              <w:t xml:space="preserve">Quality of public-private dialogue </w:t>
            </w:r>
          </w:p>
          <w:p w14:paraId="2636B2E9" w14:textId="77777777" w:rsidR="00BD06C4" w:rsidRPr="008621B4" w:rsidRDefault="00BD06C4" w:rsidP="00BD06C4">
            <w:pPr>
              <w:pStyle w:val="NoSpacing"/>
              <w:numPr>
                <w:ilvl w:val="0"/>
                <w:numId w:val="130"/>
              </w:numPr>
              <w:rPr>
                <w:lang w:val="en-GB"/>
              </w:rPr>
            </w:pPr>
            <w:r w:rsidRPr="008621B4">
              <w:rPr>
                <w:i/>
                <w:lang w:val="en-GB"/>
              </w:rPr>
              <w:t>Recording development co-operation on budgets subject to parliamentary oversight</w:t>
            </w:r>
            <w:r w:rsidRPr="008621B4">
              <w:rPr>
                <w:lang w:val="en-GB"/>
              </w:rPr>
              <w:t xml:space="preserve">: Share of development co-operation funds planned to/for the country’s public </w:t>
            </w:r>
            <w:proofErr w:type="gramStart"/>
            <w:r w:rsidRPr="008621B4">
              <w:rPr>
                <w:lang w:val="en-GB"/>
              </w:rPr>
              <w:t>sector that are</w:t>
            </w:r>
            <w:proofErr w:type="gramEnd"/>
            <w:r w:rsidRPr="008621B4">
              <w:rPr>
                <w:lang w:val="en-GB"/>
              </w:rPr>
              <w:t xml:space="preserve"> recorded in the annual budget submitted for legislative approval.</w:t>
            </w:r>
          </w:p>
          <w:p w14:paraId="1B7A5815" w14:textId="77777777" w:rsidR="00BD06C4" w:rsidRPr="008621B4" w:rsidRDefault="00BD06C4" w:rsidP="00BD06C4">
            <w:pPr>
              <w:pStyle w:val="NoSpacing"/>
              <w:numPr>
                <w:ilvl w:val="0"/>
                <w:numId w:val="130"/>
              </w:numPr>
              <w:rPr>
                <w:lang w:val="en-GB"/>
              </w:rPr>
            </w:pPr>
            <w:r w:rsidRPr="008621B4">
              <w:rPr>
                <w:i/>
                <w:lang w:val="en-GB"/>
              </w:rPr>
              <w:t xml:space="preserve">Strengthening mutual accountability: </w:t>
            </w:r>
            <w:r w:rsidRPr="008621B4">
              <w:rPr>
                <w:lang w:val="en-GB"/>
              </w:rPr>
              <w:t>Mutual accountability among development actors is strengthened through inclusive reviews.</w:t>
            </w:r>
          </w:p>
          <w:p w14:paraId="3F91E363" w14:textId="77777777" w:rsidR="00BD06C4" w:rsidRPr="008621B4" w:rsidRDefault="00BD06C4" w:rsidP="00BD06C4">
            <w:pPr>
              <w:pStyle w:val="NoSpacing"/>
              <w:numPr>
                <w:ilvl w:val="0"/>
                <w:numId w:val="130"/>
              </w:numPr>
              <w:rPr>
                <w:lang w:val="en-GB"/>
              </w:rPr>
            </w:pPr>
            <w:r w:rsidRPr="008621B4">
              <w:rPr>
                <w:i/>
                <w:lang w:val="en-GB"/>
              </w:rPr>
              <w:t xml:space="preserve">Strengthening gender equality and women’s empowerment: </w:t>
            </w:r>
            <w:r w:rsidRPr="008621B4">
              <w:rPr>
                <w:lang w:val="en-GB"/>
              </w:rPr>
              <w:t xml:space="preserve">Existence of transparent government systems to track public allocations for gender equality and women’s empowerment </w:t>
            </w:r>
          </w:p>
          <w:p w14:paraId="5ACD2AEC" w14:textId="77777777" w:rsidR="00BD06C4" w:rsidRPr="008621B4" w:rsidRDefault="00BD06C4" w:rsidP="00BD06C4">
            <w:pPr>
              <w:pStyle w:val="NoSpacing"/>
              <w:numPr>
                <w:ilvl w:val="0"/>
                <w:numId w:val="130"/>
              </w:numPr>
              <w:rPr>
                <w:lang w:val="en-GB"/>
              </w:rPr>
            </w:pPr>
            <w:r w:rsidRPr="008621B4">
              <w:rPr>
                <w:i/>
                <w:lang w:val="en-GB"/>
              </w:rPr>
              <w:t xml:space="preserve">Strengthening domestic institutions: </w:t>
            </w:r>
            <w:r w:rsidRPr="008621B4">
              <w:rPr>
                <w:lang w:val="en-GB"/>
              </w:rPr>
              <w:t>Quality of the country’s budgetary and public financial management.</w:t>
            </w:r>
          </w:p>
          <w:p w14:paraId="0BF49766" w14:textId="77777777" w:rsidR="00BD06C4" w:rsidRPr="008621B4" w:rsidRDefault="00BD06C4" w:rsidP="00BD06C4">
            <w:pPr>
              <w:pStyle w:val="NoSpacing"/>
              <w:rPr>
                <w:lang w:val="en-GB"/>
              </w:rPr>
            </w:pPr>
            <w:r w:rsidRPr="008621B4">
              <w:rPr>
                <w:lang w:val="en-GB"/>
              </w:rPr>
              <w:t>Countries providing and receiving development co-operation funding are invited to select whether they would like to report against provider-specific commitments, against recipient-specific commitments, or against both sets of commitments.</w:t>
            </w:r>
          </w:p>
          <w:p w14:paraId="4160DA9A" w14:textId="77777777" w:rsidR="00BD06C4" w:rsidRPr="008621B4" w:rsidRDefault="00BD06C4" w:rsidP="00BD06C4">
            <w:pPr>
              <w:pStyle w:val="NoSpacing"/>
              <w:rPr>
                <w:lang w:val="en-GB"/>
              </w:rPr>
            </w:pPr>
          </w:p>
          <w:p w14:paraId="3BAF28C7" w14:textId="77777777" w:rsidR="00BD06C4" w:rsidRPr="008621B4" w:rsidRDefault="00BD06C4" w:rsidP="00BD06C4">
            <w:pPr>
              <w:pStyle w:val="NoSpacing"/>
              <w:rPr>
                <w:lang w:val="en-GB"/>
              </w:rPr>
            </w:pPr>
            <w:r w:rsidRPr="008621B4">
              <w:rPr>
                <w:lang w:val="en-GB"/>
              </w:rPr>
              <w:t xml:space="preserve">For countries reporting both as providers and recipients of development co-operation, progress is calculated separately based on the respective set of indicators described above. Disaggregated results will show the detailed performance in each category. For the ultimate count of the number of countries making progress, dual countries are accounted as making progress if progress is made as recipient </w:t>
            </w:r>
            <w:r w:rsidRPr="008621B4">
              <w:rPr>
                <w:b/>
                <w:lang w:val="en-GB"/>
              </w:rPr>
              <w:t>or</w:t>
            </w:r>
            <w:r w:rsidRPr="008621B4">
              <w:rPr>
                <w:lang w:val="en-GB"/>
              </w:rPr>
              <w:t xml:space="preserve"> as provider of development co-operation.  </w:t>
            </w:r>
          </w:p>
          <w:p w14:paraId="49BC242C" w14:textId="77777777" w:rsidR="00BD06C4" w:rsidRPr="008621B4" w:rsidRDefault="00BD06C4" w:rsidP="00BD06C4">
            <w:pPr>
              <w:pStyle w:val="NoSpacing"/>
              <w:rPr>
                <w:lang w:val="en-GB"/>
              </w:rPr>
            </w:pPr>
          </w:p>
          <w:p w14:paraId="51C48992" w14:textId="77777777" w:rsidR="00BD06C4" w:rsidRPr="008621B4" w:rsidRDefault="00BD06C4" w:rsidP="00BD06C4">
            <w:pPr>
              <w:pStyle w:val="NoSpacing"/>
              <w:rPr>
                <w:lang w:val="en-GB"/>
              </w:rPr>
            </w:pPr>
            <w:r w:rsidRPr="008621B4">
              <w:rPr>
                <w:lang w:val="en-GB"/>
              </w:rPr>
              <w:lastRenderedPageBreak/>
              <w:t>The baseline for counting progress is the latest measurement available for each specific country, dating back to 2010</w:t>
            </w:r>
            <w:r w:rsidRPr="008621B4">
              <w:rPr>
                <w:vertAlign w:val="superscript"/>
                <w:lang w:val="en-GB"/>
              </w:rPr>
              <w:footnoteRef/>
            </w:r>
            <w:r w:rsidRPr="008621B4">
              <w:rPr>
                <w:lang w:val="en-GB"/>
              </w:rPr>
              <w:t>. When no baseline exists for a country, the first measurement available for an indicator constitutes the baseline for future measurements of progress.</w:t>
            </w:r>
          </w:p>
          <w:p w14:paraId="7BDE7ADB" w14:textId="77777777" w:rsidR="00BD06C4" w:rsidRPr="008621B4" w:rsidRDefault="00BD06C4" w:rsidP="00BD06C4">
            <w:pPr>
              <w:pStyle w:val="NoSpacing"/>
              <w:rPr>
                <w:lang w:val="en-GB"/>
              </w:rPr>
            </w:pPr>
          </w:p>
          <w:p w14:paraId="211C1514" w14:textId="77777777" w:rsidR="00BD06C4" w:rsidRPr="008621B4" w:rsidRDefault="00BD06C4" w:rsidP="00BD06C4">
            <w:pPr>
              <w:pStyle w:val="NoSpacing"/>
              <w:rPr>
                <w:lang w:val="en-GB"/>
              </w:rPr>
            </w:pPr>
            <w:r w:rsidRPr="008621B4">
              <w:rPr>
                <w:lang w:val="en-GB"/>
              </w:rPr>
              <w:t xml:space="preserve">When a country meets and sustains all targets for the indicators it reports on (i.e. it is logically impossible to make further progress) it is considered as “making progress”. </w:t>
            </w:r>
          </w:p>
          <w:p w14:paraId="4D615AEF" w14:textId="77777777" w:rsidR="00BD06C4" w:rsidRDefault="00BD06C4" w:rsidP="00BD06C4">
            <w:pPr>
              <w:pStyle w:val="NoSpacing"/>
            </w:pPr>
          </w:p>
        </w:tc>
        <w:tc>
          <w:tcPr>
            <w:tcW w:w="2835" w:type="dxa"/>
          </w:tcPr>
          <w:p w14:paraId="2AEA6548" w14:textId="77777777" w:rsidR="00BD06C4" w:rsidRPr="00873FDE" w:rsidRDefault="00BD06C4" w:rsidP="00BD06C4">
            <w:pPr>
              <w:rPr>
                <w:szCs w:val="22"/>
              </w:rPr>
            </w:pPr>
            <w:r w:rsidRPr="00873FDE">
              <w:rPr>
                <w:szCs w:val="22"/>
              </w:rPr>
              <w:lastRenderedPageBreak/>
              <w:t>(i) For the data collection process of the Global Partnership's monitoring exercise, a national coordinator is assigned from the country government. S/he typically comes from the Ministry of Foreign Affairs, the Ministry of Finance, or the Ministry of Planning. (ii) The national coordinator in turn consults with other stakeholders (including country offices of providers of development co-operation, Civil Society Organisations, the private sector, and trade unions) to gather and validate data. The data is then validated by headquarters offices of providers of development co-operation. (iii) No adjustments are made to submitted data, given that the validation process needs to stay at country level. However, inconsistencies or possible problematic values are highlighted and sent back to national co-ordinators for revision.</w:t>
            </w:r>
          </w:p>
        </w:tc>
        <w:tc>
          <w:tcPr>
            <w:tcW w:w="1167" w:type="dxa"/>
          </w:tcPr>
          <w:p w14:paraId="7D3C488E" w14:textId="77777777" w:rsidR="00BD06C4" w:rsidRPr="00873FDE" w:rsidRDefault="00BD06C4" w:rsidP="00BD06C4">
            <w:pPr>
              <w:rPr>
                <w:szCs w:val="22"/>
              </w:rPr>
            </w:pPr>
            <w:r w:rsidRPr="00873FDE">
              <w:rPr>
                <w:szCs w:val="22"/>
              </w:rPr>
              <w:t>Leading central ministry from reporting countries. Typically the ministry of finance, the ministry of planning, ministry of development, or the ministry of foreign affairs, depending on the division of labour within each government.</w:t>
            </w:r>
          </w:p>
        </w:tc>
        <w:tc>
          <w:tcPr>
            <w:tcW w:w="0" w:type="auto"/>
          </w:tcPr>
          <w:p w14:paraId="188BE23E" w14:textId="07A0220A" w:rsidR="00BD06C4" w:rsidRDefault="00BD06C4" w:rsidP="00BD06C4">
            <w:pPr>
              <w:pStyle w:val="NoSpacing"/>
            </w:pPr>
          </w:p>
        </w:tc>
        <w:tc>
          <w:tcPr>
            <w:tcW w:w="0" w:type="auto"/>
          </w:tcPr>
          <w:p w14:paraId="49731AEC" w14:textId="77777777" w:rsidR="00BD06C4" w:rsidRDefault="00BD06C4" w:rsidP="00BD06C4">
            <w:pPr>
              <w:pStyle w:val="NoSpacing"/>
            </w:pPr>
            <w:r>
              <w:t>ERD</w:t>
            </w:r>
          </w:p>
          <w:p w14:paraId="5FDCA4A0" w14:textId="77777777" w:rsidR="00BD06C4" w:rsidRDefault="00BD06C4" w:rsidP="00BD06C4">
            <w:pPr>
              <w:pStyle w:val="NoSpacing"/>
              <w:rPr>
                <w:color w:val="0070C0"/>
                <w:sz w:val="30"/>
                <w:szCs w:val="30"/>
              </w:rPr>
            </w:pPr>
            <w:r>
              <w:t>Administrative Data</w:t>
            </w:r>
          </w:p>
        </w:tc>
        <w:tc>
          <w:tcPr>
            <w:tcW w:w="0" w:type="auto"/>
          </w:tcPr>
          <w:p w14:paraId="2EA4869C" w14:textId="77777777" w:rsidR="00BD06C4" w:rsidRDefault="00BD06C4" w:rsidP="00BD06C4">
            <w:pPr>
              <w:jc w:val="both"/>
            </w:pPr>
            <w:r>
              <w:t>Not Applicable</w:t>
            </w:r>
          </w:p>
          <w:p w14:paraId="78CCEB81" w14:textId="77777777" w:rsidR="00BD06C4" w:rsidRDefault="00BD06C4" w:rsidP="00BD06C4">
            <w:pPr>
              <w:ind w:left="970" w:hanging="970"/>
              <w:jc w:val="both"/>
              <w:rPr>
                <w:color w:val="0070C0"/>
                <w:sz w:val="30"/>
                <w:szCs w:val="30"/>
              </w:rPr>
            </w:pPr>
          </w:p>
        </w:tc>
        <w:tc>
          <w:tcPr>
            <w:tcW w:w="1078" w:type="dxa"/>
          </w:tcPr>
          <w:p w14:paraId="6873B616" w14:textId="77777777" w:rsidR="00BD06C4" w:rsidRDefault="00BD06C4" w:rsidP="00BD06C4">
            <w:pPr>
              <w:ind w:left="970" w:hanging="970"/>
              <w:jc w:val="both"/>
              <w:rPr>
                <w:color w:val="0070C0"/>
                <w:sz w:val="30"/>
                <w:szCs w:val="30"/>
              </w:rPr>
            </w:pPr>
            <w:r w:rsidRPr="00BC6F10">
              <w:t>Bi-annual</w:t>
            </w:r>
          </w:p>
        </w:tc>
        <w:tc>
          <w:tcPr>
            <w:tcW w:w="872" w:type="dxa"/>
          </w:tcPr>
          <w:p w14:paraId="3A1D5E82" w14:textId="77777777" w:rsidR="00BD06C4" w:rsidRDefault="00BD06C4" w:rsidP="00BD06C4">
            <w:pPr>
              <w:ind w:left="970" w:hanging="970"/>
              <w:jc w:val="both"/>
              <w:rPr>
                <w:color w:val="0070C0"/>
                <w:sz w:val="30"/>
                <w:szCs w:val="30"/>
              </w:rPr>
            </w:pPr>
            <w:r>
              <w:t>Group 2</w:t>
            </w:r>
          </w:p>
        </w:tc>
        <w:tc>
          <w:tcPr>
            <w:tcW w:w="619" w:type="dxa"/>
          </w:tcPr>
          <w:p w14:paraId="530F7318" w14:textId="77777777" w:rsidR="00BD06C4" w:rsidRDefault="00BD06C4" w:rsidP="00BD06C4">
            <w:pPr>
              <w:pStyle w:val="NoSpacing"/>
            </w:pPr>
            <w:r>
              <w:t>1</w:t>
            </w:r>
            <w:r w:rsidRPr="00013ACB">
              <w:rPr>
                <w:vertAlign w:val="superscript"/>
              </w:rPr>
              <w:t>st</w:t>
            </w:r>
            <w:r>
              <w:t xml:space="preserve"> Round:</w:t>
            </w:r>
          </w:p>
          <w:p w14:paraId="12BF47B9" w14:textId="77777777" w:rsidR="00BD06C4" w:rsidRDefault="00BD06C4" w:rsidP="00BD06C4">
            <w:pPr>
              <w:pStyle w:val="NoSpacing"/>
            </w:pPr>
            <w:r>
              <w:t xml:space="preserve">September </w:t>
            </w:r>
          </w:p>
          <w:p w14:paraId="4F2F3C2E" w14:textId="77777777" w:rsidR="00BD06C4" w:rsidRDefault="00BD06C4" w:rsidP="00BD06C4">
            <w:pPr>
              <w:pStyle w:val="NoSpacing"/>
            </w:pPr>
            <w:r>
              <w:t>2019</w:t>
            </w:r>
          </w:p>
          <w:p w14:paraId="62247E7C" w14:textId="77777777" w:rsidR="00BD06C4" w:rsidRDefault="00BD06C4" w:rsidP="00BD06C4">
            <w:pPr>
              <w:pStyle w:val="NoSpacing"/>
            </w:pPr>
          </w:p>
          <w:p w14:paraId="2D1549B8" w14:textId="77777777" w:rsidR="00BD06C4" w:rsidRDefault="00BD06C4" w:rsidP="00BD06C4">
            <w:pPr>
              <w:pStyle w:val="NoSpacing"/>
            </w:pPr>
            <w:r>
              <w:t>2</w:t>
            </w:r>
            <w:r w:rsidRPr="00013ACB">
              <w:rPr>
                <w:vertAlign w:val="superscript"/>
              </w:rPr>
              <w:t>nd</w:t>
            </w:r>
            <w:r>
              <w:t xml:space="preserve"> Round:</w:t>
            </w:r>
          </w:p>
          <w:p w14:paraId="24B9D630" w14:textId="77777777" w:rsidR="00BD06C4" w:rsidRDefault="00BD06C4" w:rsidP="00BD06C4">
            <w:pPr>
              <w:pStyle w:val="NoSpacing"/>
            </w:pPr>
            <w:r>
              <w:t xml:space="preserve"> September </w:t>
            </w:r>
          </w:p>
          <w:p w14:paraId="085AA7B6" w14:textId="77777777" w:rsidR="00BD06C4" w:rsidRDefault="00BD06C4" w:rsidP="00BD06C4">
            <w:pPr>
              <w:pStyle w:val="NoSpacing"/>
            </w:pPr>
            <w:r>
              <w:t>2021</w:t>
            </w:r>
          </w:p>
          <w:p w14:paraId="18E0B468" w14:textId="77777777" w:rsidR="00BD06C4" w:rsidRDefault="00BD06C4" w:rsidP="00BD06C4">
            <w:pPr>
              <w:pStyle w:val="NoSpacing"/>
            </w:pPr>
          </w:p>
          <w:p w14:paraId="7F75B199" w14:textId="77777777" w:rsidR="00BD06C4" w:rsidRDefault="00BD06C4" w:rsidP="00BD06C4">
            <w:pPr>
              <w:pStyle w:val="NoSpacing"/>
            </w:pPr>
            <w:r>
              <w:t>3</w:t>
            </w:r>
            <w:r w:rsidRPr="00013ACB">
              <w:rPr>
                <w:vertAlign w:val="superscript"/>
              </w:rPr>
              <w:t>rd</w:t>
            </w:r>
            <w:r>
              <w:t xml:space="preserve"> Round: </w:t>
            </w:r>
          </w:p>
          <w:p w14:paraId="612B4725" w14:textId="77777777" w:rsidR="00BD06C4" w:rsidRDefault="00BD06C4" w:rsidP="00BD06C4">
            <w:pPr>
              <w:pStyle w:val="NoSpacing"/>
            </w:pPr>
            <w:r>
              <w:t xml:space="preserve">September </w:t>
            </w:r>
          </w:p>
          <w:p w14:paraId="54554D5A" w14:textId="77777777" w:rsidR="00BD06C4" w:rsidRDefault="00BD06C4" w:rsidP="00BD06C4">
            <w:pPr>
              <w:pStyle w:val="NoSpacing"/>
            </w:pPr>
            <w:r>
              <w:t>2023</w:t>
            </w:r>
          </w:p>
          <w:p w14:paraId="678559A6" w14:textId="77777777" w:rsidR="00BD06C4" w:rsidRDefault="00BD06C4" w:rsidP="00BD06C4">
            <w:pPr>
              <w:pStyle w:val="NoSpacing"/>
            </w:pPr>
          </w:p>
          <w:p w14:paraId="01CD1AFD" w14:textId="77777777" w:rsidR="00BD06C4" w:rsidRDefault="00BD06C4" w:rsidP="00BD06C4">
            <w:pPr>
              <w:pStyle w:val="NoSpacing"/>
            </w:pPr>
            <w:r>
              <w:lastRenderedPageBreak/>
              <w:t>4</w:t>
            </w:r>
            <w:r w:rsidRPr="00013ACB">
              <w:rPr>
                <w:vertAlign w:val="superscript"/>
              </w:rPr>
              <w:t>th</w:t>
            </w:r>
            <w:r>
              <w:t xml:space="preserve"> Round: </w:t>
            </w:r>
          </w:p>
          <w:p w14:paraId="3490FBAE" w14:textId="77777777" w:rsidR="00BD06C4" w:rsidRDefault="00BD06C4" w:rsidP="00BD06C4">
            <w:pPr>
              <w:pStyle w:val="NoSpacing"/>
            </w:pPr>
            <w:r>
              <w:t xml:space="preserve">September </w:t>
            </w:r>
          </w:p>
          <w:p w14:paraId="39141CA7" w14:textId="77777777" w:rsidR="00BD06C4" w:rsidRDefault="00BD06C4" w:rsidP="00BD06C4">
            <w:pPr>
              <w:pStyle w:val="NoSpacing"/>
            </w:pPr>
            <w:r>
              <w:t>2025</w:t>
            </w:r>
          </w:p>
          <w:p w14:paraId="539C065D" w14:textId="77777777" w:rsidR="00BD06C4" w:rsidRDefault="00BD06C4" w:rsidP="00BD06C4">
            <w:pPr>
              <w:pStyle w:val="NoSpacing"/>
            </w:pPr>
          </w:p>
          <w:p w14:paraId="23ACF381" w14:textId="77777777" w:rsidR="00BD06C4" w:rsidRDefault="00BD06C4" w:rsidP="00BD06C4">
            <w:pPr>
              <w:pStyle w:val="NoSpacing"/>
            </w:pPr>
            <w:r>
              <w:t>5</w:t>
            </w:r>
            <w:r w:rsidRPr="00013ACB">
              <w:rPr>
                <w:vertAlign w:val="superscript"/>
              </w:rPr>
              <w:t>th</w:t>
            </w:r>
            <w:r>
              <w:t xml:space="preserve"> Round: </w:t>
            </w:r>
          </w:p>
          <w:p w14:paraId="3D066DE9" w14:textId="77777777" w:rsidR="00BD06C4" w:rsidRDefault="00BD06C4" w:rsidP="00BD06C4">
            <w:pPr>
              <w:pStyle w:val="NoSpacing"/>
            </w:pPr>
            <w:r>
              <w:t xml:space="preserve">September </w:t>
            </w:r>
          </w:p>
          <w:p w14:paraId="3AB35983" w14:textId="77777777" w:rsidR="00BD06C4" w:rsidRDefault="00BD06C4" w:rsidP="00BD06C4">
            <w:pPr>
              <w:pStyle w:val="NoSpacing"/>
            </w:pPr>
            <w:r>
              <w:t>2027</w:t>
            </w:r>
          </w:p>
          <w:p w14:paraId="30B95130" w14:textId="1EF0B93A" w:rsidR="00BD06C4" w:rsidRDefault="00BD06C4" w:rsidP="00BD06C4">
            <w:pPr>
              <w:pStyle w:val="NoSpacing"/>
            </w:pPr>
          </w:p>
        </w:tc>
        <w:tc>
          <w:tcPr>
            <w:tcW w:w="0" w:type="auto"/>
          </w:tcPr>
          <w:p w14:paraId="506C7EF2" w14:textId="77777777" w:rsidR="00BD06C4" w:rsidRDefault="00BD06C4" w:rsidP="00BD06C4">
            <w:pPr>
              <w:ind w:left="970" w:hanging="970"/>
              <w:jc w:val="both"/>
              <w:rPr>
                <w:color w:val="0070C0"/>
                <w:sz w:val="30"/>
                <w:szCs w:val="30"/>
              </w:rPr>
            </w:pPr>
          </w:p>
        </w:tc>
      </w:tr>
      <w:tr w:rsidR="00D46636" w14:paraId="0F97B13F" w14:textId="77777777" w:rsidTr="00586441">
        <w:tc>
          <w:tcPr>
            <w:tcW w:w="18710" w:type="dxa"/>
            <w:gridSpan w:val="13"/>
          </w:tcPr>
          <w:p w14:paraId="424FEF2F" w14:textId="77777777" w:rsidR="00D46636" w:rsidRDefault="00D46636" w:rsidP="00BD06C4">
            <w:pPr>
              <w:jc w:val="both"/>
              <w:rPr>
                <w:color w:val="0070C0"/>
                <w:sz w:val="48"/>
                <w:szCs w:val="48"/>
              </w:rPr>
            </w:pPr>
            <w:r>
              <w:rPr>
                <w:color w:val="0070C0"/>
                <w:sz w:val="30"/>
                <w:szCs w:val="30"/>
              </w:rPr>
              <w:lastRenderedPageBreak/>
              <w:t xml:space="preserve">Target </w:t>
            </w:r>
            <w:r w:rsidRPr="00306900">
              <w:rPr>
                <w:color w:val="0070C0"/>
                <w:sz w:val="30"/>
                <w:szCs w:val="30"/>
              </w:rPr>
              <w:t>17.17 Encourage and promote effective public, public-private and civil society partnerships, building on the experience and resourcing strategies of partnerships</w:t>
            </w:r>
          </w:p>
        </w:tc>
      </w:tr>
      <w:tr w:rsidR="00BD06C4" w14:paraId="6AED3327" w14:textId="77777777" w:rsidTr="00586441">
        <w:tc>
          <w:tcPr>
            <w:tcW w:w="0" w:type="auto"/>
          </w:tcPr>
          <w:p w14:paraId="49778930" w14:textId="77777777" w:rsidR="00BD06C4" w:rsidRPr="00BB536A" w:rsidRDefault="00BD06C4" w:rsidP="00BD06C4">
            <w:pPr>
              <w:pStyle w:val="NoSpacing"/>
            </w:pPr>
            <w:r w:rsidRPr="00BB536A">
              <w:t>17.17.1 Amount in United States dollars committed to public-private partnerships for infrastructure</w:t>
            </w:r>
          </w:p>
        </w:tc>
        <w:tc>
          <w:tcPr>
            <w:tcW w:w="0" w:type="auto"/>
          </w:tcPr>
          <w:p w14:paraId="09D6E556" w14:textId="77777777" w:rsidR="00BD06C4" w:rsidRDefault="00BD06C4" w:rsidP="00BD06C4">
            <w:pPr>
              <w:ind w:left="970" w:hanging="970"/>
              <w:jc w:val="both"/>
              <w:rPr>
                <w:color w:val="0070C0"/>
                <w:sz w:val="30"/>
                <w:szCs w:val="30"/>
              </w:rPr>
            </w:pPr>
          </w:p>
          <w:p w14:paraId="1428C121" w14:textId="77777777" w:rsidR="00BD06C4" w:rsidRDefault="00BD06C4" w:rsidP="00BD06C4">
            <w:pPr>
              <w:pStyle w:val="NoSpacing"/>
            </w:pPr>
          </w:p>
        </w:tc>
        <w:tc>
          <w:tcPr>
            <w:tcW w:w="0" w:type="auto"/>
          </w:tcPr>
          <w:p w14:paraId="7A85BAE5" w14:textId="13FE98CD" w:rsidR="00BD06C4" w:rsidRDefault="00754676" w:rsidP="00BD06C4">
            <w:pPr>
              <w:pStyle w:val="NoSpacing"/>
            </w:pPr>
            <w:r>
              <w:t>TBD</w:t>
            </w:r>
          </w:p>
        </w:tc>
        <w:tc>
          <w:tcPr>
            <w:tcW w:w="0" w:type="auto"/>
          </w:tcPr>
          <w:p w14:paraId="775FCDF6" w14:textId="77777777" w:rsidR="00BD06C4" w:rsidRPr="00BB56A4" w:rsidRDefault="00BD06C4" w:rsidP="00BD06C4">
            <w:pPr>
              <w:pStyle w:val="NoSpacing"/>
              <w:rPr>
                <w:b/>
              </w:rPr>
            </w:pPr>
            <w:r w:rsidRPr="00BB56A4">
              <w:rPr>
                <w:b/>
              </w:rPr>
              <w:t>Definition:</w:t>
            </w:r>
            <w:r w:rsidRPr="00BB56A4">
              <w:t xml:space="preserve"> </w:t>
            </w:r>
          </w:p>
          <w:p w14:paraId="316D506D" w14:textId="77777777" w:rsidR="00BD06C4" w:rsidRPr="00BB56A4" w:rsidRDefault="00BD06C4" w:rsidP="00BD06C4">
            <w:pPr>
              <w:pStyle w:val="NoSpacing"/>
            </w:pPr>
            <w:r w:rsidRPr="00BB56A4">
              <w:rPr>
                <w:i/>
              </w:rPr>
              <w:t>Indicator proposed based on WBG data: “Amount of United States dollars committed to public-private partnerships in Infrastructure</w:t>
            </w:r>
            <w:r w:rsidRPr="00BB56A4">
              <w:t xml:space="preserve">.” </w:t>
            </w:r>
          </w:p>
          <w:p w14:paraId="49B33B64" w14:textId="77777777" w:rsidR="00BD06C4" w:rsidRPr="00BB56A4" w:rsidRDefault="00BD06C4" w:rsidP="00BD06C4">
            <w:pPr>
              <w:pStyle w:val="NoSpacing"/>
            </w:pPr>
            <w:r w:rsidRPr="00BB56A4">
              <w:t>The proposed indicator by the World Bank Group defines the term Public-Private Partnership (PPPs) as “</w:t>
            </w:r>
            <w:r w:rsidRPr="00BB56A4">
              <w:rPr>
                <w:i/>
              </w:rPr>
              <w:t>any contractual arrangement between a public entity or authority and a private entity, for providing a public asset or service, in which the private party bears significant risk and management responsibility</w:t>
            </w:r>
            <w:r w:rsidRPr="00BB56A4">
              <w:t>.”</w:t>
            </w:r>
            <w:r w:rsidRPr="00BB56A4">
              <w:rPr>
                <w:b/>
                <w:i/>
              </w:rPr>
              <w:t xml:space="preserve">  </w:t>
            </w:r>
            <w:r w:rsidRPr="00BB56A4">
              <w:t xml:space="preserve">The term infrastructure refers to: </w:t>
            </w:r>
          </w:p>
          <w:p w14:paraId="7BFA4457" w14:textId="77777777" w:rsidR="00BD06C4" w:rsidRPr="00BB56A4" w:rsidRDefault="00BD06C4" w:rsidP="00BD06C4">
            <w:pPr>
              <w:pStyle w:val="NoSpacing"/>
              <w:numPr>
                <w:ilvl w:val="0"/>
                <w:numId w:val="157"/>
              </w:numPr>
            </w:pPr>
            <w:r w:rsidRPr="00BB56A4">
              <w:t xml:space="preserve">Energy: electricity generation, transmission, and distribution, and natural gas transmission and distribution pipelines </w:t>
            </w:r>
          </w:p>
          <w:p w14:paraId="4B1CB5B7" w14:textId="77777777" w:rsidR="00BD06C4" w:rsidRPr="00BB56A4" w:rsidRDefault="00BD06C4" w:rsidP="00BD06C4">
            <w:pPr>
              <w:pStyle w:val="NoSpacing"/>
              <w:numPr>
                <w:ilvl w:val="0"/>
                <w:numId w:val="157"/>
              </w:numPr>
            </w:pPr>
            <w:r w:rsidRPr="00BB56A4">
              <w:t xml:space="preserve">Information and communications technology (ICT): ICT backbone infrastructure </w:t>
            </w:r>
          </w:p>
          <w:p w14:paraId="27740DEA" w14:textId="77777777" w:rsidR="00BD06C4" w:rsidRPr="00BB56A4" w:rsidRDefault="00BD06C4" w:rsidP="00BD06C4">
            <w:pPr>
              <w:pStyle w:val="NoSpacing"/>
              <w:numPr>
                <w:ilvl w:val="0"/>
                <w:numId w:val="157"/>
              </w:numPr>
            </w:pPr>
            <w:r w:rsidRPr="00BB56A4">
              <w:t xml:space="preserve">Transport: Airports, railways, ports, and roads. </w:t>
            </w:r>
          </w:p>
          <w:p w14:paraId="2A469B15" w14:textId="77777777" w:rsidR="00BD06C4" w:rsidRPr="00BB56A4" w:rsidRDefault="00BD06C4" w:rsidP="00BD06C4">
            <w:pPr>
              <w:pStyle w:val="NoSpacing"/>
              <w:numPr>
                <w:ilvl w:val="0"/>
                <w:numId w:val="157"/>
              </w:numPr>
            </w:pPr>
            <w:r w:rsidRPr="00BB56A4">
              <w:t xml:space="preserve">Water: potable water treatment and distribution, and sewerage collection and treatment. </w:t>
            </w:r>
          </w:p>
          <w:p w14:paraId="71B83CA2" w14:textId="77777777" w:rsidR="00BD06C4" w:rsidRPr="00BB56A4" w:rsidRDefault="00BD06C4" w:rsidP="00BD06C4">
            <w:pPr>
              <w:pStyle w:val="NoSpacing"/>
            </w:pPr>
            <w:r w:rsidRPr="00BB56A4">
              <w:t xml:space="preserve"> </w:t>
            </w:r>
          </w:p>
          <w:p w14:paraId="43FB020C" w14:textId="77777777" w:rsidR="00BD06C4" w:rsidRPr="00BB56A4" w:rsidRDefault="00BD06C4" w:rsidP="00BD06C4">
            <w:pPr>
              <w:pStyle w:val="NoSpacing"/>
            </w:pPr>
            <w:r w:rsidRPr="00BB56A4">
              <w:t xml:space="preserve"> </w:t>
            </w:r>
          </w:p>
          <w:p w14:paraId="0F8A4F1E" w14:textId="77777777" w:rsidR="00BD06C4" w:rsidRPr="00BB56A4" w:rsidRDefault="00BD06C4" w:rsidP="00BD06C4">
            <w:pPr>
              <w:pStyle w:val="NoSpacing"/>
              <w:rPr>
                <w:b/>
              </w:rPr>
            </w:pPr>
            <w:r w:rsidRPr="00BB56A4">
              <w:rPr>
                <w:b/>
              </w:rPr>
              <w:t>Concepts:</w:t>
            </w:r>
            <w:r w:rsidRPr="00BB56A4">
              <w:t xml:space="preserve"> </w:t>
            </w:r>
          </w:p>
          <w:p w14:paraId="4809F3AF" w14:textId="77777777" w:rsidR="00BD06C4" w:rsidRPr="00BB56A4" w:rsidRDefault="00BD06C4" w:rsidP="00BD06C4">
            <w:pPr>
              <w:pStyle w:val="NoSpacing"/>
            </w:pPr>
            <w:proofErr w:type="gramStart"/>
            <w:r w:rsidRPr="00BB56A4">
              <w:t>PPPs is</w:t>
            </w:r>
            <w:proofErr w:type="gramEnd"/>
            <w:r w:rsidRPr="00BB56A4">
              <w:t xml:space="preserve"> defined as “</w:t>
            </w:r>
            <w:r w:rsidRPr="00BB56A4">
              <w:rPr>
                <w:i/>
              </w:rPr>
              <w:t>any contractual arrangement between a public entity or authority and a private entity, for providing a public asset or service, in which the private party bears significant risk and management responsibility</w:t>
            </w:r>
            <w:r w:rsidRPr="00BB56A4">
              <w:t>.”</w:t>
            </w:r>
            <w:r w:rsidRPr="00BB56A4">
              <w:rPr>
                <w:b/>
                <w:i/>
              </w:rPr>
              <w:t xml:space="preserve">  </w:t>
            </w:r>
          </w:p>
          <w:p w14:paraId="40D66CD9" w14:textId="77777777" w:rsidR="00BD06C4" w:rsidRPr="00BB56A4" w:rsidRDefault="00BD06C4" w:rsidP="00BD06C4">
            <w:pPr>
              <w:pStyle w:val="NoSpacing"/>
            </w:pPr>
            <w:r w:rsidRPr="00BB56A4">
              <w:t xml:space="preserve">The term infrastructure refers to: </w:t>
            </w:r>
          </w:p>
          <w:p w14:paraId="7D1A865D" w14:textId="77777777" w:rsidR="00BD06C4" w:rsidRPr="00BB56A4" w:rsidRDefault="00BD06C4" w:rsidP="00BD06C4">
            <w:pPr>
              <w:pStyle w:val="NoSpacing"/>
              <w:numPr>
                <w:ilvl w:val="0"/>
                <w:numId w:val="158"/>
              </w:numPr>
            </w:pPr>
            <w:r w:rsidRPr="00BB56A4">
              <w:t xml:space="preserve">Energy: electricity generation, transmission, and distribution, and natural gas transmission and distribution pipelines </w:t>
            </w:r>
          </w:p>
          <w:p w14:paraId="7DA18D33" w14:textId="77777777" w:rsidR="00BD06C4" w:rsidRPr="00BB56A4" w:rsidRDefault="00BD06C4" w:rsidP="00BD06C4">
            <w:pPr>
              <w:pStyle w:val="NoSpacing"/>
              <w:numPr>
                <w:ilvl w:val="0"/>
                <w:numId w:val="158"/>
              </w:numPr>
            </w:pPr>
            <w:r w:rsidRPr="00BB56A4">
              <w:t xml:space="preserve">Information and communications technology (ICT): ICT backbone infrastructure </w:t>
            </w:r>
          </w:p>
          <w:p w14:paraId="39B2E1A0" w14:textId="77777777" w:rsidR="00BD06C4" w:rsidRPr="00BB56A4" w:rsidRDefault="00BD06C4" w:rsidP="00BD06C4">
            <w:pPr>
              <w:pStyle w:val="NoSpacing"/>
              <w:numPr>
                <w:ilvl w:val="0"/>
                <w:numId w:val="158"/>
              </w:numPr>
            </w:pPr>
            <w:r w:rsidRPr="00BB56A4">
              <w:t xml:space="preserve">Transport: Airports, railways, ports, and roads. </w:t>
            </w:r>
          </w:p>
          <w:p w14:paraId="1E8699F5" w14:textId="77777777" w:rsidR="00BD06C4" w:rsidRPr="00BB56A4" w:rsidRDefault="00BD06C4" w:rsidP="00BD06C4">
            <w:pPr>
              <w:pStyle w:val="NoSpacing"/>
              <w:numPr>
                <w:ilvl w:val="0"/>
                <w:numId w:val="158"/>
              </w:numPr>
            </w:pPr>
            <w:r w:rsidRPr="00BB56A4">
              <w:t xml:space="preserve">Water: potable water treatment and distribution, and sewerage collection and treatment. </w:t>
            </w:r>
          </w:p>
          <w:p w14:paraId="2CCD15E2" w14:textId="77777777" w:rsidR="00BD06C4" w:rsidRPr="00BB56A4" w:rsidRDefault="00BD06C4" w:rsidP="00BD06C4">
            <w:pPr>
              <w:pStyle w:val="NoSpacing"/>
            </w:pPr>
            <w:r w:rsidRPr="00BB56A4">
              <w:lastRenderedPageBreak/>
              <w:t xml:space="preserve"> </w:t>
            </w:r>
          </w:p>
          <w:p w14:paraId="52CD5CB0" w14:textId="77777777" w:rsidR="00BD06C4" w:rsidRPr="00BB56A4" w:rsidRDefault="00BD06C4" w:rsidP="00BD06C4">
            <w:pPr>
              <w:pStyle w:val="NoSpacing"/>
              <w:numPr>
                <w:ilvl w:val="0"/>
                <w:numId w:val="157"/>
              </w:numPr>
              <w:rPr>
                <w:b/>
              </w:rPr>
            </w:pPr>
            <w:r w:rsidRPr="00BB56A4">
              <w:rPr>
                <w:b/>
              </w:rPr>
              <w:t>Comments and limitations:</w:t>
            </w:r>
            <w:r w:rsidRPr="00BB56A4">
              <w:t xml:space="preserve"> </w:t>
            </w:r>
          </w:p>
          <w:p w14:paraId="2B69A0C2" w14:textId="77777777" w:rsidR="00BD06C4" w:rsidRPr="00BB56A4" w:rsidRDefault="00BD06C4" w:rsidP="00BD06C4">
            <w:pPr>
              <w:pStyle w:val="NoSpacing"/>
            </w:pPr>
            <w:r w:rsidRPr="00BB56A4">
              <w:t xml:space="preserve">The limitations of the proposed indicator is that it does not account for other sectors such as education and health may account for a significant part of PPPs but they are not captured by the database. Expanding the data to include PPPs in other sector beyond infrastructure is something that the World Bank is considering but it is currently limited by budget constraints. </w:t>
            </w:r>
          </w:p>
          <w:p w14:paraId="0E48FDA2" w14:textId="77777777" w:rsidR="00BD06C4" w:rsidRPr="00BB56A4" w:rsidRDefault="00BD06C4" w:rsidP="00BD06C4">
            <w:pPr>
              <w:pStyle w:val="NoSpacing"/>
            </w:pPr>
            <w:r w:rsidRPr="00BB56A4">
              <w:t xml:space="preserve">Unfortunately, PPI database does not collect data on civil society partnerships and this will not fit the currently methodology of data gathering and is outside the present work’s scope. </w:t>
            </w:r>
          </w:p>
          <w:p w14:paraId="2136EA73" w14:textId="77777777" w:rsidR="00BD06C4" w:rsidRPr="00BB56A4" w:rsidRDefault="00BD06C4" w:rsidP="00BD06C4">
            <w:pPr>
              <w:pStyle w:val="NoSpacing"/>
            </w:pPr>
            <w:r w:rsidRPr="00BB56A4">
              <w:t xml:space="preserve"> </w:t>
            </w:r>
            <w:r w:rsidRPr="00BB56A4">
              <w:rPr>
                <w:b/>
              </w:rPr>
              <w:t>Computation Method:</w:t>
            </w:r>
            <w:r w:rsidRPr="00BB56A4">
              <w:t xml:space="preserve"> </w:t>
            </w:r>
          </w:p>
          <w:p w14:paraId="52CCF2E7" w14:textId="77777777" w:rsidR="00BD06C4" w:rsidRPr="00BB56A4" w:rsidRDefault="00BD06C4" w:rsidP="00BD06C4">
            <w:pPr>
              <w:pStyle w:val="NoSpacing"/>
            </w:pPr>
            <w:r w:rsidRPr="00BB56A4">
              <w:t xml:space="preserve">The indicator has a established methodology that is available at the website </w:t>
            </w:r>
            <w:hyperlink r:id="rId149">
              <w:r w:rsidRPr="00BB56A4">
                <w:rPr>
                  <w:rStyle w:val="Hyperlink"/>
                </w:rPr>
                <w:t xml:space="preserve">http://ppi.worldbank.org/methodology/ppi-methodology </w:t>
              </w:r>
            </w:hyperlink>
            <w:r w:rsidRPr="00BB56A4">
              <w:rPr>
                <w:u w:val="single"/>
              </w:rPr>
              <w:t>and the data collection process is as</w:t>
            </w:r>
            <w:r w:rsidRPr="00BB56A4">
              <w:t xml:space="preserve"> </w:t>
            </w:r>
            <w:r w:rsidRPr="00BB56A4">
              <w:rPr>
                <w:u w:val="single"/>
              </w:rPr>
              <w:t>follows:</w:t>
            </w:r>
            <w:r w:rsidRPr="00BB56A4">
              <w:t xml:space="preserve"> </w:t>
            </w:r>
          </w:p>
          <w:p w14:paraId="1B8F5971" w14:textId="77777777" w:rsidR="00BD06C4" w:rsidRPr="00BB56A4" w:rsidRDefault="00BD06C4" w:rsidP="00BD06C4">
            <w:pPr>
              <w:pStyle w:val="NoSpacing"/>
              <w:numPr>
                <w:ilvl w:val="0"/>
                <w:numId w:val="159"/>
              </w:numPr>
            </w:pPr>
            <w:r w:rsidRPr="00BB56A4">
              <w:t xml:space="preserve">Team of researcher gather data for each of the regions using public sources (from government and MDBs websites); commercial news databases ( such as Factiva, Business </w:t>
            </w:r>
          </w:p>
          <w:p w14:paraId="65670F80" w14:textId="77777777" w:rsidR="00BD06C4" w:rsidRPr="00BB56A4" w:rsidRDefault="00BD06C4" w:rsidP="00BD06C4">
            <w:pPr>
              <w:pStyle w:val="NoSpacing"/>
            </w:pPr>
            <w:r w:rsidRPr="00BB56A4">
              <w:t xml:space="preserve">News America, ISI Emerging markets, and the Economist Intelligence Unit’s databases) as well as from commercial specialized and industry publications/subscriptions (Thomson </w:t>
            </w:r>
          </w:p>
          <w:p w14:paraId="3DCA9E55" w14:textId="77777777" w:rsidR="00BD06C4" w:rsidRPr="00BB56A4" w:rsidRDefault="00BD06C4" w:rsidP="00BD06C4">
            <w:pPr>
              <w:pStyle w:val="NoSpacing"/>
            </w:pPr>
            <w:r w:rsidRPr="00BB56A4">
              <w:t xml:space="preserve">Financial’s Project Finance International, Euromoney’s Project Finance, Media Analytics’ </w:t>
            </w:r>
          </w:p>
          <w:p w14:paraId="2128EDE2" w14:textId="77777777" w:rsidR="00BD06C4" w:rsidRPr="00BB56A4" w:rsidRDefault="00BD06C4" w:rsidP="00BD06C4">
            <w:pPr>
              <w:pStyle w:val="NoSpacing"/>
            </w:pPr>
            <w:r w:rsidRPr="00BB56A4">
              <w:t xml:space="preserve">Global Water Intelligence, Pisent Masons’ Water Yearbooks, and Platt’s Power in Asia, etc.), specialist portal (such as Privatization, IPAnet, and Privatization Barometer), Internet resources (such as web sites of project companies, privatization or PPP agencies, and regulatory agencies) sponsor information (primarily through their Web sites, annual reports, press releases, and financial reports such as 10K and 20F forms submitted to the NYSE) and multilateral development agencies primarily through information on their Websites, annual reports, and other studies. </w:t>
            </w:r>
          </w:p>
          <w:p w14:paraId="3A3ACA1F" w14:textId="77777777" w:rsidR="00BD06C4" w:rsidRPr="00BB56A4" w:rsidRDefault="00BD06C4" w:rsidP="00BD06C4">
            <w:pPr>
              <w:pStyle w:val="NoSpacing"/>
              <w:numPr>
                <w:ilvl w:val="0"/>
                <w:numId w:val="159"/>
              </w:numPr>
            </w:pPr>
            <w:r w:rsidRPr="00BB56A4">
              <w:t xml:space="preserve">Data is uploaded to an administrative website through a template to make sure data is standardized. </w:t>
            </w:r>
          </w:p>
          <w:p w14:paraId="7C68EAFD" w14:textId="77777777" w:rsidR="00BD06C4" w:rsidRPr="00BB56A4" w:rsidRDefault="00BD06C4" w:rsidP="00BD06C4">
            <w:pPr>
              <w:pStyle w:val="NoSpacing"/>
              <w:numPr>
                <w:ilvl w:val="0"/>
                <w:numId w:val="159"/>
              </w:numPr>
            </w:pPr>
            <w:r w:rsidRPr="00BB56A4">
              <w:t xml:space="preserve">Data is validated by a group of experts in Singapore. </w:t>
            </w:r>
          </w:p>
          <w:p w14:paraId="600BE30B" w14:textId="77777777" w:rsidR="00BD06C4" w:rsidRPr="00BB56A4" w:rsidRDefault="00BD06C4" w:rsidP="00BD06C4">
            <w:pPr>
              <w:pStyle w:val="NoSpacing"/>
              <w:numPr>
                <w:ilvl w:val="0"/>
                <w:numId w:val="159"/>
              </w:numPr>
            </w:pPr>
            <w:r w:rsidRPr="00BB56A4">
              <w:t xml:space="preserve">Data is later uploaded to the public website (www.ppi.worldbank.org) and make it available free of charge. </w:t>
            </w:r>
          </w:p>
          <w:p w14:paraId="43121601" w14:textId="77777777" w:rsidR="00BD06C4" w:rsidRPr="00BB56A4" w:rsidRDefault="00BD06C4" w:rsidP="00BD06C4">
            <w:pPr>
              <w:pStyle w:val="NoSpacing"/>
            </w:pPr>
            <w:r w:rsidRPr="00BB56A4">
              <w:t xml:space="preserve">The limitations of the proposed indicator is that it does not account for other sectors such as education and health may account for a significant part of PPPs but they are not captured by the database. Expanding the data to include PPPs in other sector beyond infrastructure is something that the World Bank is considering but it is currently limited by budget constraints. </w:t>
            </w:r>
          </w:p>
          <w:p w14:paraId="27E30B9E" w14:textId="77777777" w:rsidR="00BD06C4" w:rsidRPr="00BB56A4" w:rsidRDefault="00BD06C4" w:rsidP="00BD06C4">
            <w:pPr>
              <w:pStyle w:val="NoSpacing"/>
            </w:pPr>
            <w:r w:rsidRPr="00BB56A4">
              <w:t xml:space="preserve">Unfortunately, PPI database does not collect data on civil society partnerships and this will not fit the currently methodology of data gathering and is outside the present work’s scope. </w:t>
            </w:r>
          </w:p>
          <w:p w14:paraId="4C416B6A" w14:textId="77777777" w:rsidR="00BD06C4" w:rsidRDefault="00BD06C4" w:rsidP="00BD06C4">
            <w:pPr>
              <w:pStyle w:val="NoSpacing"/>
            </w:pPr>
          </w:p>
        </w:tc>
        <w:tc>
          <w:tcPr>
            <w:tcW w:w="2835" w:type="dxa"/>
          </w:tcPr>
          <w:p w14:paraId="04C29222" w14:textId="77777777" w:rsidR="00BD06C4" w:rsidRPr="00BB56A4" w:rsidRDefault="00BD06C4" w:rsidP="00BD06C4">
            <w:pPr>
              <w:pStyle w:val="NoSpacing"/>
            </w:pPr>
            <w:r>
              <w:lastRenderedPageBreak/>
              <w:t>A Team of researcher gather data for each of the regions using public sources (from government and MDBs websites); and commercial news databases.</w:t>
            </w:r>
          </w:p>
        </w:tc>
        <w:tc>
          <w:tcPr>
            <w:tcW w:w="1167" w:type="dxa"/>
          </w:tcPr>
          <w:p w14:paraId="376CE6E9" w14:textId="77777777" w:rsidR="00BD06C4" w:rsidRDefault="00BD06C4" w:rsidP="00BD06C4">
            <w:pPr>
              <w:pStyle w:val="NoSpacing"/>
            </w:pPr>
            <w:r>
              <w:t xml:space="preserve">While the data is currently collected by the World Bank Group, PPP units at national and subnational level </w:t>
            </w:r>
            <w:proofErr w:type="gramStart"/>
            <w:r>
              <w:t>are  identified</w:t>
            </w:r>
            <w:proofErr w:type="gramEnd"/>
            <w:r>
              <w:t xml:space="preserve"> as national data providers that could directly provide data on projects financially closed each year or they could actively validate data collected by World Bank group. </w:t>
            </w:r>
          </w:p>
          <w:p w14:paraId="67E35A33" w14:textId="77777777" w:rsidR="00BD06C4" w:rsidRDefault="00BD06C4" w:rsidP="00BD06C4">
            <w:pPr>
              <w:pStyle w:val="NoSpacing"/>
            </w:pPr>
          </w:p>
        </w:tc>
        <w:tc>
          <w:tcPr>
            <w:tcW w:w="0" w:type="auto"/>
            <w:vAlign w:val="center"/>
          </w:tcPr>
          <w:p w14:paraId="18084367" w14:textId="77777777" w:rsidR="00BD06C4" w:rsidRPr="00BC6F10" w:rsidDel="002D5A26" w:rsidRDefault="00BD06C4" w:rsidP="00BD06C4">
            <w:pPr>
              <w:pStyle w:val="NoSpacing"/>
            </w:pPr>
            <w:r w:rsidRPr="00BC6F10">
              <w:t>a) NGOAB, PMO</w:t>
            </w:r>
            <w:r w:rsidRPr="00BC6F10">
              <w:br/>
            </w:r>
          </w:p>
          <w:p w14:paraId="15F6FCE9" w14:textId="7CCB54E3" w:rsidR="00BD06C4" w:rsidRDefault="00BD06C4" w:rsidP="00BD06C4">
            <w:pPr>
              <w:pStyle w:val="NoSpacing"/>
            </w:pPr>
          </w:p>
          <w:p w14:paraId="3F5130F0" w14:textId="77777777" w:rsidR="00BD06C4" w:rsidRPr="00BC6F10" w:rsidRDefault="00BD06C4" w:rsidP="00BD06C4">
            <w:pPr>
              <w:pStyle w:val="NoSpacing"/>
            </w:pPr>
            <w:r>
              <w:t>Administrative Data</w:t>
            </w:r>
          </w:p>
        </w:tc>
        <w:tc>
          <w:tcPr>
            <w:tcW w:w="0" w:type="auto"/>
            <w:vAlign w:val="center"/>
          </w:tcPr>
          <w:p w14:paraId="28CF4D2B" w14:textId="77777777" w:rsidR="00BD06C4" w:rsidRPr="00102214" w:rsidRDefault="00BD06C4" w:rsidP="00BD06C4">
            <w:pPr>
              <w:pStyle w:val="NoSpacing"/>
            </w:pPr>
            <w:r w:rsidRPr="00102214">
              <w:t>a) NGOAB, PMO</w:t>
            </w:r>
            <w:r w:rsidRPr="00102214">
              <w:br/>
              <w:t>b) PPPA, PMO</w:t>
            </w:r>
          </w:p>
          <w:p w14:paraId="33D02644" w14:textId="77777777" w:rsidR="00BD06C4" w:rsidRPr="00102214" w:rsidRDefault="00BD06C4" w:rsidP="00BD06C4">
            <w:pPr>
              <w:pStyle w:val="NoSpacing"/>
            </w:pPr>
            <w:r w:rsidRPr="00102214">
              <w:t>c) ERD</w:t>
            </w:r>
          </w:p>
          <w:p w14:paraId="5358C8A8" w14:textId="77777777" w:rsidR="00BD06C4" w:rsidRPr="00102214" w:rsidRDefault="00BD06C4" w:rsidP="00BD06C4">
            <w:pPr>
              <w:pStyle w:val="NoSpacing"/>
            </w:pPr>
            <w:r w:rsidRPr="00102214">
              <w:t>Administrative Data</w:t>
            </w:r>
          </w:p>
        </w:tc>
        <w:tc>
          <w:tcPr>
            <w:tcW w:w="0" w:type="auto"/>
          </w:tcPr>
          <w:p w14:paraId="4C0AE8AB" w14:textId="382E9475"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p>
          <w:p w14:paraId="079BE6EA" w14:textId="598CD823"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Pr>
                <w:rFonts w:ascii="Tw Cen MT Condensed" w:hAnsi="Tw Cen MT Condensed"/>
                <w:sz w:val="20"/>
                <w:szCs w:val="20"/>
              </w:rPr>
              <w:t>Sector</w:t>
            </w:r>
          </w:p>
          <w:p w14:paraId="02F6436D" w14:textId="0AB6D646"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sidRPr="000C4849">
              <w:rPr>
                <w:rFonts w:ascii="Tw Cen MT Condensed" w:hAnsi="Tw Cen MT Condensed" w:cs="Calibri"/>
                <w:color w:val="4A4A4A"/>
                <w:sz w:val="21"/>
                <w:szCs w:val="21"/>
              </w:rPr>
              <w:t>geographical location</w:t>
            </w:r>
          </w:p>
          <w:p w14:paraId="2346E910" w14:textId="148B2590"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sidRPr="000C4849">
              <w:rPr>
                <w:rFonts w:ascii="Tw Cen MT Condensed" w:hAnsi="Tw Cen MT Condensed" w:cs="Calibri"/>
                <w:color w:val="4A4A4A"/>
                <w:sz w:val="21"/>
                <w:szCs w:val="21"/>
              </w:rPr>
              <w:t>municipality</w:t>
            </w:r>
          </w:p>
          <w:p w14:paraId="392CB664" w14:textId="7E3403B1" w:rsidR="00296C9A" w:rsidRPr="000C4849" w:rsidRDefault="00296C9A" w:rsidP="00BD06C4">
            <w:pPr>
              <w:pStyle w:val="ListParagraph"/>
              <w:numPr>
                <w:ilvl w:val="0"/>
                <w:numId w:val="52"/>
              </w:numPr>
              <w:spacing w:after="160" w:line="256" w:lineRule="auto"/>
              <w:ind w:left="160" w:hanging="160"/>
              <w:jc w:val="both"/>
              <w:rPr>
                <w:rFonts w:ascii="Tw Cen MT Condensed" w:hAnsi="Tw Cen MT Condensed"/>
              </w:rPr>
            </w:pPr>
            <w:r w:rsidRPr="000C4849">
              <w:rPr>
                <w:rFonts w:ascii="Tw Cen MT Condensed" w:hAnsi="Tw Cen MT Condensed" w:cs="Calibri"/>
                <w:color w:val="4A4A4A"/>
                <w:sz w:val="21"/>
                <w:szCs w:val="21"/>
              </w:rPr>
              <w:t>provice</w:t>
            </w:r>
          </w:p>
          <w:p w14:paraId="2C7E93C4" w14:textId="48068E3E" w:rsidR="00296C9A" w:rsidRPr="00296C9A" w:rsidRDefault="00296C9A" w:rsidP="00BD06C4">
            <w:pPr>
              <w:pStyle w:val="ListParagraph"/>
              <w:numPr>
                <w:ilvl w:val="0"/>
                <w:numId w:val="52"/>
              </w:numPr>
              <w:spacing w:after="160" w:line="256" w:lineRule="auto"/>
              <w:ind w:left="160" w:hanging="160"/>
              <w:jc w:val="both"/>
              <w:rPr>
                <w:rFonts w:ascii="Tw Cen MT Condensed" w:hAnsi="Tw Cen MT Condensed"/>
              </w:rPr>
            </w:pPr>
            <w:r w:rsidRPr="000C4849">
              <w:rPr>
                <w:rFonts w:ascii="Tw Cen MT Condensed" w:hAnsi="Tw Cen MT Condensed" w:cs="Calibri"/>
                <w:color w:val="4A4A4A"/>
                <w:sz w:val="21"/>
                <w:szCs w:val="21"/>
              </w:rPr>
              <w:t>country or region</w:t>
            </w:r>
          </w:p>
          <w:p w14:paraId="52DA8030" w14:textId="77777777" w:rsidR="00BD06C4" w:rsidRDefault="00BD06C4" w:rsidP="00BD06C4">
            <w:pPr>
              <w:ind w:left="970" w:hanging="970"/>
              <w:jc w:val="both"/>
              <w:rPr>
                <w:color w:val="0070C0"/>
                <w:sz w:val="30"/>
                <w:szCs w:val="30"/>
              </w:rPr>
            </w:pPr>
          </w:p>
        </w:tc>
        <w:tc>
          <w:tcPr>
            <w:tcW w:w="1078" w:type="dxa"/>
          </w:tcPr>
          <w:p w14:paraId="2374A355" w14:textId="77777777" w:rsidR="00BD06C4" w:rsidRDefault="00BD06C4" w:rsidP="00BD06C4">
            <w:pPr>
              <w:ind w:left="970" w:hanging="970"/>
              <w:jc w:val="both"/>
              <w:rPr>
                <w:color w:val="0070C0"/>
                <w:sz w:val="30"/>
                <w:szCs w:val="30"/>
              </w:rPr>
            </w:pPr>
            <w:r w:rsidRPr="00BC6F10">
              <w:t>Annual</w:t>
            </w:r>
          </w:p>
        </w:tc>
        <w:tc>
          <w:tcPr>
            <w:tcW w:w="872" w:type="dxa"/>
          </w:tcPr>
          <w:p w14:paraId="4CAAAAF3" w14:textId="77777777" w:rsidR="00BD06C4" w:rsidRDefault="00BD06C4" w:rsidP="00BD06C4">
            <w:pPr>
              <w:jc w:val="both"/>
              <w:rPr>
                <w:color w:val="0070C0"/>
                <w:sz w:val="30"/>
                <w:szCs w:val="30"/>
              </w:rPr>
            </w:pPr>
          </w:p>
        </w:tc>
        <w:tc>
          <w:tcPr>
            <w:tcW w:w="619" w:type="dxa"/>
          </w:tcPr>
          <w:p w14:paraId="4B1E5446" w14:textId="77777777" w:rsidR="00BD06C4" w:rsidRDefault="00BD06C4" w:rsidP="00BD06C4">
            <w:pPr>
              <w:pStyle w:val="NoSpacing"/>
            </w:pPr>
            <w:r>
              <w:t>1</w:t>
            </w:r>
            <w:r w:rsidRPr="00013ACB">
              <w:rPr>
                <w:vertAlign w:val="superscript"/>
              </w:rPr>
              <w:t>st</w:t>
            </w:r>
            <w:r>
              <w:t xml:space="preserve"> Round:</w:t>
            </w:r>
          </w:p>
          <w:p w14:paraId="6593EE60" w14:textId="77777777" w:rsidR="00BD06C4" w:rsidRDefault="00BD06C4" w:rsidP="00BD06C4">
            <w:pPr>
              <w:pStyle w:val="NoSpacing"/>
            </w:pPr>
            <w:r>
              <w:t>2016</w:t>
            </w:r>
          </w:p>
          <w:p w14:paraId="772CB6C2" w14:textId="77777777" w:rsidR="00BD06C4" w:rsidRDefault="00BD06C4" w:rsidP="00BD06C4">
            <w:pPr>
              <w:pStyle w:val="NoSpacing"/>
            </w:pPr>
          </w:p>
          <w:p w14:paraId="096C212C" w14:textId="77777777" w:rsidR="00BD06C4" w:rsidRDefault="00BD06C4" w:rsidP="00BD06C4">
            <w:pPr>
              <w:pStyle w:val="NoSpacing"/>
            </w:pPr>
            <w:r>
              <w:t>2</w:t>
            </w:r>
            <w:r w:rsidRPr="00013ACB">
              <w:rPr>
                <w:vertAlign w:val="superscript"/>
              </w:rPr>
              <w:t>nd</w:t>
            </w:r>
            <w:r>
              <w:t xml:space="preserve"> Round:</w:t>
            </w:r>
          </w:p>
          <w:p w14:paraId="14414FA8" w14:textId="77777777" w:rsidR="00BD06C4" w:rsidRDefault="00BD06C4" w:rsidP="00BD06C4">
            <w:pPr>
              <w:pStyle w:val="NoSpacing"/>
            </w:pPr>
            <w:r>
              <w:t xml:space="preserve">September </w:t>
            </w:r>
          </w:p>
          <w:p w14:paraId="28999C20" w14:textId="77777777" w:rsidR="00BD06C4" w:rsidRDefault="00BD06C4" w:rsidP="00BD06C4">
            <w:pPr>
              <w:pStyle w:val="NoSpacing"/>
            </w:pPr>
            <w:r>
              <w:t>2019</w:t>
            </w:r>
          </w:p>
          <w:p w14:paraId="28074507" w14:textId="77777777" w:rsidR="00BD06C4" w:rsidRDefault="00BD06C4" w:rsidP="00BD06C4">
            <w:pPr>
              <w:pStyle w:val="NoSpacing"/>
            </w:pPr>
          </w:p>
          <w:p w14:paraId="39EFE95F" w14:textId="77777777" w:rsidR="00BD06C4" w:rsidRDefault="00BD06C4" w:rsidP="00BD06C4">
            <w:pPr>
              <w:pStyle w:val="NoSpacing"/>
            </w:pPr>
            <w:r>
              <w:t>3</w:t>
            </w:r>
            <w:r w:rsidRPr="00013ACB">
              <w:rPr>
                <w:vertAlign w:val="superscript"/>
              </w:rPr>
              <w:t>rd</w:t>
            </w:r>
            <w:r>
              <w:t xml:space="preserve"> Round: </w:t>
            </w:r>
          </w:p>
          <w:p w14:paraId="43D8B475" w14:textId="77777777" w:rsidR="00BD06C4" w:rsidRDefault="00BD06C4" w:rsidP="00BD06C4">
            <w:pPr>
              <w:pStyle w:val="NoSpacing"/>
            </w:pPr>
            <w:r>
              <w:t xml:space="preserve">September </w:t>
            </w:r>
          </w:p>
          <w:p w14:paraId="6B8FC943" w14:textId="77777777" w:rsidR="00BD06C4" w:rsidRDefault="00BD06C4" w:rsidP="00BD06C4">
            <w:pPr>
              <w:pStyle w:val="NoSpacing"/>
            </w:pPr>
            <w:r>
              <w:t>2020</w:t>
            </w:r>
          </w:p>
          <w:p w14:paraId="06290A9A" w14:textId="77777777" w:rsidR="00BD06C4" w:rsidRDefault="00BD06C4" w:rsidP="00BD06C4">
            <w:pPr>
              <w:pStyle w:val="NoSpacing"/>
            </w:pPr>
          </w:p>
          <w:p w14:paraId="6F8861C7" w14:textId="77777777" w:rsidR="00BD06C4" w:rsidRDefault="00BD06C4" w:rsidP="00BD06C4">
            <w:pPr>
              <w:pStyle w:val="NoSpacing"/>
            </w:pPr>
            <w:r>
              <w:t>4</w:t>
            </w:r>
            <w:r w:rsidRPr="00013ACB">
              <w:rPr>
                <w:vertAlign w:val="superscript"/>
              </w:rPr>
              <w:t>th</w:t>
            </w:r>
            <w:r>
              <w:t xml:space="preserve"> Round: </w:t>
            </w:r>
          </w:p>
          <w:p w14:paraId="5E1BF319" w14:textId="77777777" w:rsidR="00BD06C4" w:rsidRDefault="00BD06C4" w:rsidP="00BD06C4">
            <w:pPr>
              <w:pStyle w:val="NoSpacing"/>
            </w:pPr>
            <w:r>
              <w:t xml:space="preserve">September </w:t>
            </w:r>
          </w:p>
          <w:p w14:paraId="7149DDD2" w14:textId="77777777" w:rsidR="00BD06C4" w:rsidRDefault="00BD06C4" w:rsidP="00BD06C4">
            <w:pPr>
              <w:pStyle w:val="NoSpacing"/>
            </w:pPr>
            <w:r>
              <w:t>2021</w:t>
            </w:r>
          </w:p>
          <w:p w14:paraId="39CFB607" w14:textId="77777777" w:rsidR="00BD06C4" w:rsidRDefault="00BD06C4" w:rsidP="00BD06C4">
            <w:pPr>
              <w:pStyle w:val="NoSpacing"/>
            </w:pPr>
          </w:p>
          <w:p w14:paraId="70870461" w14:textId="77777777" w:rsidR="00BD06C4" w:rsidRDefault="00BD06C4" w:rsidP="00BD06C4">
            <w:pPr>
              <w:pStyle w:val="NoSpacing"/>
            </w:pPr>
            <w:r>
              <w:t>5</w:t>
            </w:r>
            <w:r w:rsidRPr="00013ACB">
              <w:rPr>
                <w:vertAlign w:val="superscript"/>
              </w:rPr>
              <w:t>th</w:t>
            </w:r>
            <w:r>
              <w:t xml:space="preserve"> Round: </w:t>
            </w:r>
          </w:p>
          <w:p w14:paraId="06BFF547" w14:textId="77777777" w:rsidR="00BD06C4" w:rsidRDefault="00BD06C4" w:rsidP="00BD06C4">
            <w:pPr>
              <w:pStyle w:val="NoSpacing"/>
            </w:pPr>
            <w:r>
              <w:t xml:space="preserve">September </w:t>
            </w:r>
          </w:p>
          <w:p w14:paraId="0D3157F9" w14:textId="77777777" w:rsidR="00BD06C4" w:rsidRDefault="00BD06C4" w:rsidP="00BD06C4">
            <w:pPr>
              <w:pStyle w:val="NoSpacing"/>
            </w:pPr>
            <w:r>
              <w:t>2022</w:t>
            </w:r>
          </w:p>
          <w:p w14:paraId="5678FD13" w14:textId="5FEB1927" w:rsidR="00BD06C4" w:rsidRDefault="00BD06C4" w:rsidP="00BD06C4">
            <w:pPr>
              <w:pStyle w:val="NoSpacing"/>
            </w:pPr>
          </w:p>
        </w:tc>
        <w:tc>
          <w:tcPr>
            <w:tcW w:w="0" w:type="auto"/>
          </w:tcPr>
          <w:p w14:paraId="7A91A21B" w14:textId="77777777" w:rsidR="00BD06C4" w:rsidRDefault="00BD06C4" w:rsidP="00BD06C4">
            <w:pPr>
              <w:pStyle w:val="NoSpacing"/>
            </w:pPr>
            <w:r>
              <w:t>UNSC 51 replacement included in the 2020 comprehensive review</w:t>
            </w:r>
          </w:p>
          <w:p w14:paraId="4004EEB4" w14:textId="77777777" w:rsidR="00BD06C4" w:rsidRDefault="00BD06C4" w:rsidP="00BD06C4">
            <w:pPr>
              <w:pStyle w:val="NoSpacing"/>
            </w:pPr>
          </w:p>
          <w:p w14:paraId="184643D6" w14:textId="42070A1A" w:rsidR="00BD06C4" w:rsidRDefault="00BD06C4" w:rsidP="00BD06C4">
            <w:pPr>
              <w:pStyle w:val="NoSpacing"/>
            </w:pPr>
            <w:r>
              <w:t xml:space="preserve">Part (a) reviewed at Dec. 2018 WebEx meeting: remain as </w:t>
            </w:r>
            <w:r w:rsidR="006B621F">
              <w:t>TBD</w:t>
            </w:r>
            <w:r>
              <w:t xml:space="preserve"> until all components of part (a) can be included (i.e. infrastructure, education and </w:t>
            </w:r>
            <w:r>
              <w:lastRenderedPageBreak/>
              <w:t xml:space="preserve">health)  (classified as </w:t>
            </w:r>
            <w:r w:rsidR="006B621F">
              <w:t>TBD</w:t>
            </w:r>
            <w:r>
              <w:t>)</w:t>
            </w:r>
          </w:p>
          <w:p w14:paraId="5AA5376A" w14:textId="77777777" w:rsidR="00BD06C4" w:rsidRDefault="00BD06C4" w:rsidP="00BD06C4">
            <w:pPr>
              <w:pStyle w:val="NoSpacing"/>
            </w:pPr>
          </w:p>
          <w:p w14:paraId="0F4BD313" w14:textId="77777777" w:rsidR="00BD06C4" w:rsidRDefault="00BD06C4" w:rsidP="00BD06C4">
            <w:pPr>
              <w:pStyle w:val="NoSpacing"/>
            </w:pPr>
            <w:r>
              <w:t>IAEG-SDG 6th meeting: need to develop methodology to measure amount of dollars committed to civil society partnerships</w:t>
            </w:r>
          </w:p>
        </w:tc>
      </w:tr>
      <w:tr w:rsidR="00D46636" w14:paraId="1803F3C3" w14:textId="77777777" w:rsidTr="00586441">
        <w:tc>
          <w:tcPr>
            <w:tcW w:w="18710" w:type="dxa"/>
            <w:gridSpan w:val="13"/>
          </w:tcPr>
          <w:p w14:paraId="588C4370" w14:textId="77777777" w:rsidR="00D46636" w:rsidRDefault="00D46636" w:rsidP="00BD06C4">
            <w:pPr>
              <w:jc w:val="both"/>
              <w:rPr>
                <w:color w:val="0070C0"/>
                <w:sz w:val="48"/>
                <w:szCs w:val="48"/>
              </w:rPr>
            </w:pPr>
            <w:r>
              <w:rPr>
                <w:color w:val="0070C0"/>
                <w:sz w:val="30"/>
                <w:szCs w:val="30"/>
              </w:rPr>
              <w:lastRenderedPageBreak/>
              <w:t xml:space="preserve">Target </w:t>
            </w:r>
            <w:r w:rsidRPr="00306900">
              <w:rPr>
                <w:color w:val="0070C0"/>
                <w:sz w:val="30"/>
                <w:szCs w:val="30"/>
              </w:rPr>
              <w:t>17.18 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p>
        </w:tc>
      </w:tr>
      <w:tr w:rsidR="00BD06C4" w14:paraId="77AF72D7" w14:textId="77777777" w:rsidTr="00586441">
        <w:tc>
          <w:tcPr>
            <w:tcW w:w="0" w:type="auto"/>
          </w:tcPr>
          <w:p w14:paraId="6AAB2BAC" w14:textId="77777777" w:rsidR="00BD06C4" w:rsidRPr="00BB536A" w:rsidRDefault="00BD06C4" w:rsidP="00BD06C4">
            <w:pPr>
              <w:pStyle w:val="NoSpacing"/>
            </w:pPr>
            <w:r w:rsidRPr="00BB536A">
              <w:t>17.18.1 Statistical capacity indicator for Sustainable Development Goal monitoring</w:t>
            </w:r>
          </w:p>
        </w:tc>
        <w:tc>
          <w:tcPr>
            <w:tcW w:w="0" w:type="auto"/>
          </w:tcPr>
          <w:p w14:paraId="43B7494A" w14:textId="77777777" w:rsidR="00BD06C4" w:rsidRDefault="00BD06C4" w:rsidP="00BD06C4">
            <w:pPr>
              <w:ind w:left="970" w:hanging="970"/>
              <w:jc w:val="both"/>
              <w:rPr>
                <w:color w:val="0070C0"/>
                <w:sz w:val="30"/>
                <w:szCs w:val="30"/>
              </w:rPr>
            </w:pPr>
          </w:p>
          <w:p w14:paraId="6983739F" w14:textId="77777777" w:rsidR="00BD06C4" w:rsidRDefault="00BD06C4" w:rsidP="00BD06C4">
            <w:pPr>
              <w:rPr>
                <w:color w:val="0070C0"/>
                <w:sz w:val="30"/>
                <w:szCs w:val="30"/>
              </w:rPr>
            </w:pPr>
          </w:p>
        </w:tc>
        <w:tc>
          <w:tcPr>
            <w:tcW w:w="0" w:type="auto"/>
          </w:tcPr>
          <w:p w14:paraId="72F78F7F" w14:textId="231B60FD" w:rsidR="00BD06C4" w:rsidRDefault="00754676" w:rsidP="00BD06C4">
            <w:pPr>
              <w:pStyle w:val="NoSpacing"/>
            </w:pPr>
            <w:r>
              <w:t>TBD</w:t>
            </w:r>
          </w:p>
        </w:tc>
        <w:tc>
          <w:tcPr>
            <w:tcW w:w="0" w:type="auto"/>
          </w:tcPr>
          <w:p w14:paraId="1E48FB31" w14:textId="77777777" w:rsidR="00BD06C4" w:rsidRDefault="00BD06C4" w:rsidP="00BD06C4">
            <w:pPr>
              <w:ind w:left="970" w:hanging="970"/>
              <w:jc w:val="both"/>
              <w:rPr>
                <w:color w:val="0070C0"/>
                <w:sz w:val="30"/>
                <w:szCs w:val="30"/>
              </w:rPr>
            </w:pPr>
          </w:p>
        </w:tc>
        <w:tc>
          <w:tcPr>
            <w:tcW w:w="2835" w:type="dxa"/>
          </w:tcPr>
          <w:p w14:paraId="70D94A9C" w14:textId="77777777" w:rsidR="00BD06C4" w:rsidRDefault="00BD06C4" w:rsidP="00BD06C4">
            <w:pPr>
              <w:pStyle w:val="NoSpacing"/>
            </w:pPr>
            <w:r>
              <w:t xml:space="preserve">Not Available </w:t>
            </w:r>
          </w:p>
        </w:tc>
        <w:tc>
          <w:tcPr>
            <w:tcW w:w="1167" w:type="dxa"/>
          </w:tcPr>
          <w:p w14:paraId="5B102B45" w14:textId="77777777" w:rsidR="00BD06C4" w:rsidRDefault="00BD06C4" w:rsidP="00BD06C4">
            <w:pPr>
              <w:pStyle w:val="NoSpacing"/>
              <w:rPr>
                <w:color w:val="0070C0"/>
                <w:sz w:val="30"/>
                <w:szCs w:val="30"/>
              </w:rPr>
            </w:pPr>
            <w:r>
              <w:t>Not Available</w:t>
            </w:r>
          </w:p>
        </w:tc>
        <w:tc>
          <w:tcPr>
            <w:tcW w:w="0" w:type="auto"/>
          </w:tcPr>
          <w:p w14:paraId="6B742330" w14:textId="66842CA0" w:rsidR="00BD06C4" w:rsidRPr="00BC6F10" w:rsidRDefault="00BD06C4" w:rsidP="00BD06C4">
            <w:pPr>
              <w:pStyle w:val="NoSpacing"/>
            </w:pPr>
          </w:p>
        </w:tc>
        <w:tc>
          <w:tcPr>
            <w:tcW w:w="0" w:type="auto"/>
          </w:tcPr>
          <w:p w14:paraId="6176DA1A" w14:textId="77777777" w:rsidR="00BD06C4" w:rsidRDefault="00BD06C4" w:rsidP="00BD06C4">
            <w:pPr>
              <w:spacing w:line="276" w:lineRule="auto"/>
              <w:jc w:val="center"/>
            </w:pPr>
            <w:r>
              <w:t>SDG Cell, SID</w:t>
            </w:r>
          </w:p>
          <w:p w14:paraId="279A066A" w14:textId="77777777" w:rsidR="00BD06C4" w:rsidRPr="00BC6F10" w:rsidRDefault="00BD06C4" w:rsidP="00BD06C4">
            <w:pPr>
              <w:jc w:val="center"/>
              <w:rPr>
                <w:rFonts w:eastAsia="Times New Roman" w:cs="Times New Roman"/>
                <w:color w:val="000000" w:themeColor="text1"/>
                <w:szCs w:val="20"/>
              </w:rPr>
            </w:pPr>
            <w:r>
              <w:t>Administrative Data</w:t>
            </w:r>
          </w:p>
        </w:tc>
        <w:tc>
          <w:tcPr>
            <w:tcW w:w="0" w:type="auto"/>
          </w:tcPr>
          <w:p w14:paraId="5AF4EAB8" w14:textId="77777777" w:rsidR="00BD06C4" w:rsidRDefault="00BD06C4" w:rsidP="00BD06C4">
            <w:pPr>
              <w:ind w:left="970" w:hanging="970"/>
              <w:jc w:val="both"/>
              <w:rPr>
                <w:color w:val="0070C0"/>
                <w:sz w:val="30"/>
                <w:szCs w:val="30"/>
              </w:rPr>
            </w:pPr>
          </w:p>
        </w:tc>
        <w:tc>
          <w:tcPr>
            <w:tcW w:w="1078" w:type="dxa"/>
          </w:tcPr>
          <w:p w14:paraId="00DD895D" w14:textId="77777777" w:rsidR="00BD06C4" w:rsidRDefault="00BD06C4" w:rsidP="00BD06C4">
            <w:pPr>
              <w:ind w:left="970" w:hanging="970"/>
              <w:jc w:val="both"/>
              <w:rPr>
                <w:color w:val="0070C0"/>
                <w:sz w:val="30"/>
                <w:szCs w:val="30"/>
              </w:rPr>
            </w:pPr>
            <w:r w:rsidRPr="00BC6F10">
              <w:t>5-yearly</w:t>
            </w:r>
          </w:p>
        </w:tc>
        <w:tc>
          <w:tcPr>
            <w:tcW w:w="872" w:type="dxa"/>
          </w:tcPr>
          <w:p w14:paraId="4DEB5335" w14:textId="77777777" w:rsidR="00BD06C4" w:rsidRDefault="00BD06C4" w:rsidP="00BD06C4">
            <w:pPr>
              <w:ind w:left="970" w:hanging="970"/>
              <w:jc w:val="both"/>
              <w:rPr>
                <w:color w:val="0070C0"/>
                <w:sz w:val="30"/>
                <w:szCs w:val="30"/>
              </w:rPr>
            </w:pPr>
          </w:p>
        </w:tc>
        <w:tc>
          <w:tcPr>
            <w:tcW w:w="619" w:type="dxa"/>
          </w:tcPr>
          <w:p w14:paraId="14C79C24" w14:textId="77777777" w:rsidR="00BD06C4" w:rsidRDefault="00BD06C4" w:rsidP="00BD06C4">
            <w:pPr>
              <w:pStyle w:val="NoSpacing"/>
            </w:pPr>
          </w:p>
          <w:p w14:paraId="48BDC48E" w14:textId="77777777" w:rsidR="00BD06C4" w:rsidRDefault="00BD06C4" w:rsidP="00BD06C4">
            <w:pPr>
              <w:pStyle w:val="NoSpacing"/>
            </w:pPr>
            <w:r>
              <w:t>1</w:t>
            </w:r>
            <w:r w:rsidRPr="00013ACB">
              <w:rPr>
                <w:vertAlign w:val="superscript"/>
              </w:rPr>
              <w:t>st</w:t>
            </w:r>
            <w:r>
              <w:t xml:space="preserve"> Round:</w:t>
            </w:r>
          </w:p>
          <w:p w14:paraId="332A4D42" w14:textId="77777777" w:rsidR="00BD06C4" w:rsidRDefault="00BD06C4" w:rsidP="00BD06C4">
            <w:pPr>
              <w:pStyle w:val="NoSpacing"/>
            </w:pPr>
            <w:r>
              <w:t>2019</w:t>
            </w:r>
          </w:p>
          <w:p w14:paraId="78E2B65D" w14:textId="77777777" w:rsidR="00BD06C4" w:rsidRDefault="00BD06C4" w:rsidP="00BD06C4">
            <w:pPr>
              <w:pStyle w:val="NoSpacing"/>
            </w:pPr>
          </w:p>
          <w:p w14:paraId="2C7B0260" w14:textId="77777777" w:rsidR="00BD06C4" w:rsidRDefault="00BD06C4" w:rsidP="00BD06C4">
            <w:pPr>
              <w:pStyle w:val="NoSpacing"/>
            </w:pPr>
            <w:r>
              <w:t>2</w:t>
            </w:r>
            <w:r w:rsidRPr="00013ACB">
              <w:rPr>
                <w:vertAlign w:val="superscript"/>
              </w:rPr>
              <w:t>nd</w:t>
            </w:r>
            <w:r>
              <w:t xml:space="preserve"> Round:</w:t>
            </w:r>
          </w:p>
          <w:p w14:paraId="0616E8A2" w14:textId="77777777" w:rsidR="00BD06C4" w:rsidRDefault="00BD06C4" w:rsidP="00BD06C4">
            <w:pPr>
              <w:pStyle w:val="NoSpacing"/>
            </w:pPr>
            <w:r>
              <w:t xml:space="preserve"> December </w:t>
            </w:r>
          </w:p>
          <w:p w14:paraId="37E73477" w14:textId="77777777" w:rsidR="00BD06C4" w:rsidRDefault="00BD06C4" w:rsidP="00BD06C4">
            <w:pPr>
              <w:pStyle w:val="NoSpacing"/>
            </w:pPr>
            <w:r>
              <w:t>2020</w:t>
            </w:r>
          </w:p>
          <w:p w14:paraId="3BD49A1D" w14:textId="77777777" w:rsidR="00BD06C4" w:rsidRDefault="00BD06C4" w:rsidP="00BD06C4">
            <w:pPr>
              <w:pStyle w:val="NoSpacing"/>
            </w:pPr>
          </w:p>
          <w:p w14:paraId="66291F0D" w14:textId="77777777" w:rsidR="00BD06C4" w:rsidRDefault="00BD06C4" w:rsidP="00BD06C4">
            <w:pPr>
              <w:pStyle w:val="NoSpacing"/>
            </w:pPr>
            <w:r>
              <w:t>3</w:t>
            </w:r>
            <w:r w:rsidRPr="00013ACB">
              <w:rPr>
                <w:vertAlign w:val="superscript"/>
              </w:rPr>
              <w:t>rd</w:t>
            </w:r>
            <w:r>
              <w:t xml:space="preserve"> Round: </w:t>
            </w:r>
          </w:p>
          <w:p w14:paraId="529931BA" w14:textId="77777777" w:rsidR="00BD06C4" w:rsidRDefault="00BD06C4" w:rsidP="00BD06C4">
            <w:pPr>
              <w:pStyle w:val="NoSpacing"/>
            </w:pPr>
            <w:r>
              <w:t xml:space="preserve">December </w:t>
            </w:r>
          </w:p>
          <w:p w14:paraId="5A159E03" w14:textId="77777777" w:rsidR="00BD06C4" w:rsidRDefault="00BD06C4" w:rsidP="00BD06C4">
            <w:pPr>
              <w:pStyle w:val="NoSpacing"/>
            </w:pPr>
            <w:r>
              <w:t>2025</w:t>
            </w:r>
          </w:p>
          <w:p w14:paraId="0A5BB315" w14:textId="77777777" w:rsidR="00BD06C4" w:rsidRDefault="00BD06C4" w:rsidP="00BD06C4">
            <w:pPr>
              <w:pStyle w:val="NoSpacing"/>
            </w:pPr>
          </w:p>
          <w:p w14:paraId="7AF1E5DF" w14:textId="77777777" w:rsidR="00BD06C4" w:rsidRDefault="00BD06C4" w:rsidP="00BD06C4">
            <w:pPr>
              <w:pStyle w:val="NoSpacing"/>
            </w:pPr>
            <w:r>
              <w:t>4</w:t>
            </w:r>
            <w:r w:rsidRPr="00013ACB">
              <w:rPr>
                <w:vertAlign w:val="superscript"/>
              </w:rPr>
              <w:t>th</w:t>
            </w:r>
            <w:r>
              <w:t xml:space="preserve"> Round: </w:t>
            </w:r>
          </w:p>
          <w:p w14:paraId="2D0C9386" w14:textId="77777777" w:rsidR="00BD06C4" w:rsidRDefault="00BD06C4" w:rsidP="00BD06C4">
            <w:pPr>
              <w:pStyle w:val="NoSpacing"/>
            </w:pPr>
            <w:r>
              <w:t xml:space="preserve">December </w:t>
            </w:r>
          </w:p>
          <w:p w14:paraId="56844ABA" w14:textId="77777777" w:rsidR="00BD06C4" w:rsidRDefault="00BD06C4" w:rsidP="00BD06C4">
            <w:pPr>
              <w:pStyle w:val="NoSpacing"/>
            </w:pPr>
            <w:r>
              <w:t>2030</w:t>
            </w:r>
          </w:p>
          <w:p w14:paraId="2C33B39D" w14:textId="77777777" w:rsidR="00BD06C4" w:rsidRDefault="00BD06C4" w:rsidP="00BD06C4">
            <w:pPr>
              <w:pStyle w:val="NoSpacing"/>
            </w:pPr>
          </w:p>
          <w:p w14:paraId="5D55B0AA" w14:textId="58F29CB0" w:rsidR="00BD06C4" w:rsidRPr="00AA35EE" w:rsidRDefault="00BD06C4" w:rsidP="00BD06C4">
            <w:pPr>
              <w:pStyle w:val="NoSpacing"/>
            </w:pPr>
          </w:p>
        </w:tc>
        <w:tc>
          <w:tcPr>
            <w:tcW w:w="0" w:type="auto"/>
          </w:tcPr>
          <w:p w14:paraId="3B676025" w14:textId="77777777" w:rsidR="00BD06C4" w:rsidRDefault="00BD06C4" w:rsidP="00BD06C4">
            <w:pPr>
              <w:pStyle w:val="NoSpacing"/>
            </w:pPr>
            <w:r>
              <w:t>Considered at least one disaggregation</w:t>
            </w:r>
          </w:p>
          <w:p w14:paraId="07E044FC" w14:textId="77777777" w:rsidR="00BD06C4" w:rsidRDefault="00BD06C4" w:rsidP="00BD06C4">
            <w:pPr>
              <w:pStyle w:val="NoSpacing"/>
            </w:pPr>
          </w:p>
          <w:p w14:paraId="41C32D58" w14:textId="77777777" w:rsidR="00BD06C4" w:rsidRDefault="00BD06C4" w:rsidP="00BD06C4">
            <w:pPr>
              <w:pStyle w:val="NoSpacing"/>
            </w:pPr>
            <w:r w:rsidRPr="00A41B47">
              <w:t>UNSC 51 replacement included in the 2020 comprehensive review</w:t>
            </w:r>
          </w:p>
        </w:tc>
      </w:tr>
      <w:tr w:rsidR="00BD06C4" w14:paraId="6087EC49" w14:textId="77777777" w:rsidTr="00586441">
        <w:tc>
          <w:tcPr>
            <w:tcW w:w="0" w:type="auto"/>
          </w:tcPr>
          <w:p w14:paraId="20D59533" w14:textId="77777777" w:rsidR="00BD06C4" w:rsidRPr="00BB536A" w:rsidRDefault="00BD06C4" w:rsidP="00BD06C4">
            <w:pPr>
              <w:pStyle w:val="NoSpacing"/>
            </w:pPr>
            <w:r w:rsidRPr="00BB536A">
              <w:t xml:space="preserve">17.18.2 Number of countries that have national statistical legislation that complies </w:t>
            </w:r>
            <w:r w:rsidRPr="00BB536A">
              <w:lastRenderedPageBreak/>
              <w:t>with the Fundamental Principles of Official Statistics</w:t>
            </w:r>
          </w:p>
        </w:tc>
        <w:tc>
          <w:tcPr>
            <w:tcW w:w="0" w:type="auto"/>
          </w:tcPr>
          <w:p w14:paraId="3CC97901" w14:textId="77777777" w:rsidR="00BD06C4" w:rsidRDefault="00BD06C4" w:rsidP="00BD06C4">
            <w:pPr>
              <w:ind w:left="970" w:hanging="970"/>
              <w:jc w:val="both"/>
              <w:rPr>
                <w:color w:val="0070C0"/>
                <w:sz w:val="30"/>
                <w:szCs w:val="30"/>
              </w:rPr>
            </w:pPr>
          </w:p>
          <w:p w14:paraId="1833ED0A" w14:textId="77777777" w:rsidR="00BD06C4" w:rsidRDefault="00BD06C4" w:rsidP="00BD06C4">
            <w:pPr>
              <w:pStyle w:val="NoSpacing"/>
            </w:pPr>
            <w:r w:rsidRPr="005867D7">
              <w:t>PARIS21</w:t>
            </w:r>
          </w:p>
        </w:tc>
        <w:tc>
          <w:tcPr>
            <w:tcW w:w="0" w:type="auto"/>
          </w:tcPr>
          <w:p w14:paraId="1B194BA9" w14:textId="77777777" w:rsidR="00BD06C4" w:rsidRDefault="00BD06C4" w:rsidP="00BD06C4">
            <w:pPr>
              <w:ind w:left="970" w:hanging="970"/>
              <w:jc w:val="both"/>
              <w:rPr>
                <w:color w:val="0070C0"/>
                <w:sz w:val="30"/>
                <w:szCs w:val="30"/>
              </w:rPr>
            </w:pPr>
            <w:r>
              <w:t>Tier I</w:t>
            </w:r>
          </w:p>
        </w:tc>
        <w:tc>
          <w:tcPr>
            <w:tcW w:w="0" w:type="auto"/>
          </w:tcPr>
          <w:p w14:paraId="3478609F" w14:textId="77777777" w:rsidR="00BD06C4" w:rsidRPr="008621B4" w:rsidRDefault="00BD06C4" w:rsidP="00BD06C4">
            <w:pPr>
              <w:pStyle w:val="NoSpacing"/>
              <w:rPr>
                <w:lang w:val="en-GB"/>
              </w:rPr>
            </w:pPr>
            <w:r w:rsidRPr="008621B4">
              <w:rPr>
                <w:b/>
                <w:bCs/>
                <w:lang w:val="en-GB"/>
              </w:rPr>
              <w:t>Definition:</w:t>
            </w:r>
          </w:p>
          <w:p w14:paraId="091F7F85" w14:textId="77777777" w:rsidR="00BD06C4" w:rsidRPr="008621B4" w:rsidRDefault="00BD06C4" w:rsidP="00BD06C4">
            <w:pPr>
              <w:pStyle w:val="NoSpacing"/>
              <w:rPr>
                <w:lang w:val="en-GB"/>
              </w:rPr>
            </w:pPr>
            <w:r w:rsidRPr="008621B4">
              <w:rPr>
                <w:lang w:val="en-GB"/>
              </w:rPr>
              <w:t>The indicator refers to the number of countries that have national statistical legislation that complies with the Fundamental Principles of Official Statistics. This refers to the number of countries that have a statistical legislation which respects the principles of UNFOP.</w:t>
            </w:r>
          </w:p>
          <w:p w14:paraId="186BB6EF" w14:textId="77777777" w:rsidR="00BD06C4" w:rsidRPr="008621B4" w:rsidRDefault="00BD06C4" w:rsidP="00BD06C4">
            <w:pPr>
              <w:pStyle w:val="NoSpacing"/>
              <w:rPr>
                <w:lang w:val="en-GB"/>
              </w:rPr>
            </w:pPr>
          </w:p>
          <w:p w14:paraId="7755A957" w14:textId="77777777" w:rsidR="00BD06C4" w:rsidRPr="008621B4" w:rsidRDefault="00BD06C4" w:rsidP="00BD06C4">
            <w:pPr>
              <w:pStyle w:val="NoSpacing"/>
              <w:rPr>
                <w:lang w:val="en-GB"/>
              </w:rPr>
            </w:pPr>
            <w:r w:rsidRPr="008621B4">
              <w:rPr>
                <w:b/>
                <w:bCs/>
                <w:lang w:val="en-GB"/>
              </w:rPr>
              <w:t>Concepts:</w:t>
            </w:r>
          </w:p>
          <w:p w14:paraId="2C4E697D" w14:textId="77777777" w:rsidR="00BD06C4" w:rsidRPr="008621B4" w:rsidRDefault="00BD06C4" w:rsidP="00BD06C4">
            <w:pPr>
              <w:pStyle w:val="NoSpacing"/>
              <w:rPr>
                <w:lang w:val="en-GB"/>
              </w:rPr>
            </w:pPr>
            <w:r w:rsidRPr="008621B4">
              <w:rPr>
                <w:lang w:val="en-GB"/>
              </w:rPr>
              <w:t>National statistical legislation: The statistics law defines rules, regulation, measures with regard to the</w:t>
            </w:r>
          </w:p>
          <w:p w14:paraId="5731B60D" w14:textId="77777777" w:rsidR="00BD06C4" w:rsidRPr="008621B4" w:rsidRDefault="00BD06C4" w:rsidP="00BD06C4">
            <w:pPr>
              <w:pStyle w:val="NoSpacing"/>
              <w:rPr>
                <w:lang w:val="en-GB"/>
              </w:rPr>
            </w:pPr>
            <w:r w:rsidRPr="008621B4">
              <w:rPr>
                <w:lang w:val="en-GB"/>
              </w:rPr>
              <w:t xml:space="preserve">organization, management, monitoring and inspection of the statistical activities in a systematic </w:t>
            </w:r>
            <w:r w:rsidRPr="008621B4">
              <w:rPr>
                <w:lang w:val="en-GB"/>
              </w:rPr>
              <w:lastRenderedPageBreak/>
              <w:t>way, strength, effectiveness and efficiency to assure the full coverage, accuracy and consistency with facts in order to provide reference for policy direction, socio economic planning, and contribute to the</w:t>
            </w:r>
          </w:p>
          <w:p w14:paraId="2922022A" w14:textId="77777777" w:rsidR="00BD06C4" w:rsidRPr="008621B4" w:rsidRDefault="00BD06C4" w:rsidP="00BD06C4">
            <w:pPr>
              <w:pStyle w:val="NoSpacing"/>
              <w:rPr>
                <w:lang w:val="en-GB"/>
              </w:rPr>
            </w:pPr>
            <w:proofErr w:type="gramStart"/>
            <w:r w:rsidRPr="008621B4">
              <w:rPr>
                <w:lang w:val="en-GB"/>
              </w:rPr>
              <w:t>country’s</w:t>
            </w:r>
            <w:proofErr w:type="gramEnd"/>
            <w:r w:rsidRPr="008621B4">
              <w:rPr>
                <w:lang w:val="en-GB"/>
              </w:rPr>
              <w:t xml:space="preserve"> development to achieve wealth, culture, well-being and equity.</w:t>
            </w:r>
          </w:p>
          <w:p w14:paraId="18B9DF40" w14:textId="77777777" w:rsidR="00BD06C4" w:rsidRPr="008621B4" w:rsidRDefault="00BD06C4" w:rsidP="00BD06C4">
            <w:pPr>
              <w:pStyle w:val="NoSpacing"/>
              <w:rPr>
                <w:lang w:val="en-GB"/>
              </w:rPr>
            </w:pPr>
          </w:p>
          <w:p w14:paraId="2DB6537F" w14:textId="77777777" w:rsidR="00BD06C4" w:rsidRPr="008621B4" w:rsidRDefault="00BD06C4" w:rsidP="00BD06C4">
            <w:pPr>
              <w:pStyle w:val="NoSpacing"/>
              <w:rPr>
                <w:lang w:val="en-GB"/>
              </w:rPr>
            </w:pPr>
            <w:r w:rsidRPr="008621B4">
              <w:rPr>
                <w:lang w:val="en-GB"/>
              </w:rPr>
              <w:t xml:space="preserve">UN Fundamental Principles of Official Statistics </w:t>
            </w:r>
          </w:p>
          <w:p w14:paraId="46AE0049" w14:textId="77777777" w:rsidR="00BD06C4" w:rsidRPr="008621B4" w:rsidRDefault="00BD06C4" w:rsidP="00BD06C4">
            <w:pPr>
              <w:pStyle w:val="NoSpacing"/>
              <w:rPr>
                <w:lang w:val="en-GB"/>
              </w:rPr>
            </w:pPr>
            <w:r w:rsidRPr="008621B4">
              <w:rPr>
                <w:lang w:val="en-GB"/>
              </w:rPr>
              <w:t>The Fundamental Principles for Official Statistics adopted by the United Nations Statistical Commission, in its Special Session of 11-15 April 1994 are:</w:t>
            </w:r>
          </w:p>
          <w:p w14:paraId="1C4DBF7F" w14:textId="77777777" w:rsidR="00BD06C4" w:rsidRPr="008621B4" w:rsidRDefault="00BD06C4" w:rsidP="00BD06C4">
            <w:pPr>
              <w:pStyle w:val="NoSpacing"/>
              <w:rPr>
                <w:lang w:val="en-GB"/>
              </w:rPr>
            </w:pPr>
          </w:p>
          <w:p w14:paraId="6DB82FD8" w14:textId="77777777" w:rsidR="00BD06C4" w:rsidRPr="008621B4" w:rsidRDefault="00BD06C4" w:rsidP="00BD06C4">
            <w:pPr>
              <w:pStyle w:val="NoSpacing"/>
              <w:rPr>
                <w:lang w:val="en-GB"/>
              </w:rPr>
            </w:pPr>
            <w:r w:rsidRPr="008621B4">
              <w:rPr>
                <w:lang w:val="en-GB"/>
              </w:rPr>
              <w:t>Principle 1. Official statistics provide an indispensable element in the information system of a society, serving the government, the economy and the public with data about the economic, demographic, social and environmental situation. To this end, official statistics that meet the test of practical utility are to be compiled and made available on an impartial basis by official statistical agencies to honour citizens’ entitlement to public information.</w:t>
            </w:r>
          </w:p>
          <w:p w14:paraId="4E1060F6" w14:textId="77777777" w:rsidR="00BD06C4" w:rsidRPr="008621B4" w:rsidRDefault="00BD06C4" w:rsidP="00BD06C4">
            <w:pPr>
              <w:pStyle w:val="NoSpacing"/>
              <w:rPr>
                <w:lang w:val="en-GB"/>
              </w:rPr>
            </w:pPr>
          </w:p>
          <w:p w14:paraId="6564A1FE" w14:textId="77777777" w:rsidR="00BD06C4" w:rsidRPr="008621B4" w:rsidRDefault="00BD06C4" w:rsidP="00BD06C4">
            <w:pPr>
              <w:pStyle w:val="NoSpacing"/>
              <w:rPr>
                <w:lang w:val="en-GB"/>
              </w:rPr>
            </w:pPr>
            <w:r w:rsidRPr="008621B4">
              <w:rPr>
                <w:lang w:val="en-GB"/>
              </w:rPr>
              <w:t>Principle 2. To retain trust in official statistics, the statistical agencies need to decide according to strictly professional considerations, including scientific principles and professional ethics, on the methods and procedures for the collection, processing, storage and presentation of statistical data.</w:t>
            </w:r>
          </w:p>
          <w:p w14:paraId="60A78B4D" w14:textId="77777777" w:rsidR="00BD06C4" w:rsidRPr="008621B4" w:rsidRDefault="00BD06C4" w:rsidP="00BD06C4">
            <w:pPr>
              <w:pStyle w:val="NoSpacing"/>
              <w:rPr>
                <w:lang w:val="en-GB"/>
              </w:rPr>
            </w:pPr>
          </w:p>
          <w:p w14:paraId="1697F6BF" w14:textId="77777777" w:rsidR="00BD06C4" w:rsidRPr="008621B4" w:rsidRDefault="00BD06C4" w:rsidP="00BD06C4">
            <w:pPr>
              <w:pStyle w:val="NoSpacing"/>
              <w:rPr>
                <w:lang w:val="en-GB"/>
              </w:rPr>
            </w:pPr>
            <w:r w:rsidRPr="008621B4">
              <w:rPr>
                <w:lang w:val="en-GB"/>
              </w:rPr>
              <w:t>Principle 3. To facilitate a correct interpretation of the data, the statistical agencies are to present information according to scientific standards on the sources, methods and procedures of the statistics.</w:t>
            </w:r>
          </w:p>
          <w:p w14:paraId="5EE1B4D5" w14:textId="77777777" w:rsidR="00BD06C4" w:rsidRPr="008621B4" w:rsidRDefault="00BD06C4" w:rsidP="00BD06C4">
            <w:pPr>
              <w:pStyle w:val="NoSpacing"/>
              <w:rPr>
                <w:lang w:val="en-GB"/>
              </w:rPr>
            </w:pPr>
          </w:p>
          <w:p w14:paraId="13E3391B" w14:textId="77777777" w:rsidR="00BD06C4" w:rsidRPr="008621B4" w:rsidRDefault="00BD06C4" w:rsidP="00BD06C4">
            <w:pPr>
              <w:pStyle w:val="NoSpacing"/>
              <w:rPr>
                <w:lang w:val="en-GB"/>
              </w:rPr>
            </w:pPr>
            <w:r w:rsidRPr="008621B4">
              <w:rPr>
                <w:lang w:val="en-GB"/>
              </w:rPr>
              <w:t xml:space="preserve">Principle 4. The statistical agencies are entitled to comment on erroneous interpretation and misuse of statistics. </w:t>
            </w:r>
          </w:p>
          <w:p w14:paraId="0F127F9A" w14:textId="77777777" w:rsidR="00BD06C4" w:rsidRPr="008621B4" w:rsidRDefault="00BD06C4" w:rsidP="00BD06C4">
            <w:pPr>
              <w:pStyle w:val="NoSpacing"/>
              <w:rPr>
                <w:lang w:val="en-GB"/>
              </w:rPr>
            </w:pPr>
          </w:p>
          <w:p w14:paraId="53B5F2AA" w14:textId="77777777" w:rsidR="00BD06C4" w:rsidRPr="008621B4" w:rsidRDefault="00BD06C4" w:rsidP="00BD06C4">
            <w:pPr>
              <w:pStyle w:val="NoSpacing"/>
              <w:rPr>
                <w:lang w:val="en-GB"/>
              </w:rPr>
            </w:pPr>
            <w:r w:rsidRPr="008621B4">
              <w:rPr>
                <w:lang w:val="en-GB"/>
              </w:rPr>
              <w:t xml:space="preserve">Principle 5. Data for statistical purposes may be drawn from all types of sources, be they statistical surveys or administrative records. Statistical agencies are to choose the source with regard to quality, timeliness, costs and the burden on respondents. </w:t>
            </w:r>
          </w:p>
          <w:p w14:paraId="062B34AF" w14:textId="77777777" w:rsidR="00BD06C4" w:rsidRPr="008621B4" w:rsidRDefault="00BD06C4" w:rsidP="00BD06C4">
            <w:pPr>
              <w:pStyle w:val="NoSpacing"/>
              <w:rPr>
                <w:lang w:val="en-GB"/>
              </w:rPr>
            </w:pPr>
          </w:p>
          <w:p w14:paraId="4290D7A5" w14:textId="77777777" w:rsidR="00BD06C4" w:rsidRPr="008621B4" w:rsidRDefault="00BD06C4" w:rsidP="00BD06C4">
            <w:pPr>
              <w:pStyle w:val="NoSpacing"/>
              <w:rPr>
                <w:lang w:val="en-GB"/>
              </w:rPr>
            </w:pPr>
            <w:r w:rsidRPr="008621B4">
              <w:rPr>
                <w:lang w:val="en-GB"/>
              </w:rPr>
              <w:t xml:space="preserve">Principle 6. Individual data collected by statistical agencies for statistical compilation, whether they refer to natural or legal persons, are to be strictly confidential and used exclusively for statistical purposes. </w:t>
            </w:r>
          </w:p>
          <w:p w14:paraId="49ADA603" w14:textId="77777777" w:rsidR="00BD06C4" w:rsidRPr="008621B4" w:rsidRDefault="00BD06C4" w:rsidP="00BD06C4">
            <w:pPr>
              <w:pStyle w:val="NoSpacing"/>
              <w:rPr>
                <w:lang w:val="en-GB"/>
              </w:rPr>
            </w:pPr>
          </w:p>
          <w:p w14:paraId="25C6AF76" w14:textId="77777777" w:rsidR="00BD06C4" w:rsidRPr="008621B4" w:rsidRDefault="00BD06C4" w:rsidP="00BD06C4">
            <w:pPr>
              <w:pStyle w:val="NoSpacing"/>
              <w:rPr>
                <w:lang w:val="en-GB"/>
              </w:rPr>
            </w:pPr>
            <w:r w:rsidRPr="008621B4">
              <w:rPr>
                <w:lang w:val="en-GB"/>
              </w:rPr>
              <w:t xml:space="preserve">Principle 7. The laws, regulations and measures under which the statistical systems operate are to be made public. </w:t>
            </w:r>
          </w:p>
          <w:p w14:paraId="52460AB2" w14:textId="77777777" w:rsidR="00BD06C4" w:rsidRPr="008621B4" w:rsidRDefault="00BD06C4" w:rsidP="00BD06C4">
            <w:pPr>
              <w:pStyle w:val="NoSpacing"/>
              <w:rPr>
                <w:lang w:val="en-GB"/>
              </w:rPr>
            </w:pPr>
          </w:p>
          <w:p w14:paraId="64153DC8" w14:textId="77777777" w:rsidR="00BD06C4" w:rsidRPr="008621B4" w:rsidRDefault="00BD06C4" w:rsidP="00BD06C4">
            <w:pPr>
              <w:pStyle w:val="NoSpacing"/>
              <w:rPr>
                <w:lang w:val="en-GB"/>
              </w:rPr>
            </w:pPr>
            <w:r w:rsidRPr="008621B4">
              <w:rPr>
                <w:lang w:val="en-GB"/>
              </w:rPr>
              <w:t xml:space="preserve">Principle 8. Coordination among statistical agencies within countries is essential to achieve consistency and efficiency in the statistical system. </w:t>
            </w:r>
          </w:p>
          <w:p w14:paraId="1DF009CF" w14:textId="77777777" w:rsidR="00BD06C4" w:rsidRPr="008621B4" w:rsidRDefault="00BD06C4" w:rsidP="00BD06C4">
            <w:pPr>
              <w:pStyle w:val="NoSpacing"/>
              <w:rPr>
                <w:lang w:val="en-GB"/>
              </w:rPr>
            </w:pPr>
          </w:p>
          <w:p w14:paraId="1CB5101C" w14:textId="77777777" w:rsidR="00BD06C4" w:rsidRPr="008621B4" w:rsidRDefault="00BD06C4" w:rsidP="00BD06C4">
            <w:pPr>
              <w:pStyle w:val="NoSpacing"/>
              <w:rPr>
                <w:lang w:val="en-GB"/>
              </w:rPr>
            </w:pPr>
            <w:r w:rsidRPr="008621B4">
              <w:rPr>
                <w:lang w:val="en-GB"/>
              </w:rPr>
              <w:t xml:space="preserve">Principle 9. The use by statistical agencies in each country of international concepts, classifications and methods promotes the consistency and efficiency of statistical systems at all official levels. </w:t>
            </w:r>
          </w:p>
          <w:p w14:paraId="6937C7B4" w14:textId="77777777" w:rsidR="00BD06C4" w:rsidRPr="008621B4" w:rsidRDefault="00BD06C4" w:rsidP="00BD06C4">
            <w:pPr>
              <w:pStyle w:val="NoSpacing"/>
              <w:rPr>
                <w:lang w:val="en-GB"/>
              </w:rPr>
            </w:pPr>
          </w:p>
          <w:p w14:paraId="1BF533D0" w14:textId="77777777" w:rsidR="00BD06C4" w:rsidRPr="008621B4" w:rsidRDefault="00BD06C4" w:rsidP="00BD06C4">
            <w:pPr>
              <w:pStyle w:val="NoSpacing"/>
              <w:rPr>
                <w:lang w:val="en-GB"/>
              </w:rPr>
            </w:pPr>
            <w:r w:rsidRPr="008621B4">
              <w:rPr>
                <w:lang w:val="en-GB"/>
              </w:rPr>
              <w:t>Principle 10. Bilateral and multilateral cooperation in statistics contributes to the improvement of systems of official statistics in all countries.</w:t>
            </w:r>
          </w:p>
          <w:p w14:paraId="28D169DC" w14:textId="77777777" w:rsidR="00BD06C4" w:rsidRPr="008621B4" w:rsidRDefault="00BD06C4" w:rsidP="00BD06C4">
            <w:pPr>
              <w:pStyle w:val="NoSpacing"/>
              <w:rPr>
                <w:b/>
                <w:bCs/>
                <w:lang w:val="en-GB"/>
              </w:rPr>
            </w:pPr>
          </w:p>
          <w:p w14:paraId="04D6F8B7" w14:textId="77777777" w:rsidR="00BD06C4" w:rsidRPr="008621B4" w:rsidRDefault="00BD06C4" w:rsidP="00BD06C4">
            <w:pPr>
              <w:pStyle w:val="NoSpacing"/>
              <w:rPr>
                <w:lang w:val="en-GB"/>
              </w:rPr>
            </w:pPr>
            <w:r w:rsidRPr="008621B4">
              <w:rPr>
                <w:b/>
                <w:bCs/>
                <w:lang w:val="en-GB"/>
              </w:rPr>
              <w:t>Comments and limitations:</w:t>
            </w:r>
          </w:p>
          <w:p w14:paraId="46102526" w14:textId="77777777" w:rsidR="00BD06C4" w:rsidRPr="008621B4" w:rsidRDefault="00BD06C4" w:rsidP="00BD06C4">
            <w:pPr>
              <w:pStyle w:val="NoSpacing"/>
              <w:rPr>
                <w:lang w:val="en-GB"/>
              </w:rPr>
            </w:pPr>
            <w:r w:rsidRPr="008621B4">
              <w:rPr>
                <w:lang w:val="en-GB"/>
              </w:rPr>
              <w:t>Information on the indicator is collected through a survey of NSOs. The low response rate (37%) means that interpretation of the data is subject to caution.</w:t>
            </w:r>
          </w:p>
          <w:p w14:paraId="746E0422" w14:textId="77777777" w:rsidR="00BD06C4" w:rsidRPr="008621B4" w:rsidRDefault="00BD06C4" w:rsidP="00BD06C4">
            <w:pPr>
              <w:pStyle w:val="NoSpacing"/>
              <w:rPr>
                <w:b/>
                <w:bCs/>
                <w:lang w:val="en-GB"/>
              </w:rPr>
            </w:pPr>
          </w:p>
          <w:p w14:paraId="3BA18AAE" w14:textId="77777777" w:rsidR="00BD06C4" w:rsidRPr="008621B4" w:rsidRDefault="00BD06C4" w:rsidP="00BD06C4">
            <w:pPr>
              <w:pStyle w:val="NoSpacing"/>
              <w:rPr>
                <w:lang w:val="en-GB"/>
              </w:rPr>
            </w:pPr>
            <w:r w:rsidRPr="008621B4">
              <w:rPr>
                <w:b/>
                <w:bCs/>
                <w:lang w:val="en-GB"/>
              </w:rPr>
              <w:t>Computation Method:</w:t>
            </w:r>
          </w:p>
          <w:p w14:paraId="3F5218A4" w14:textId="77777777" w:rsidR="00BD06C4" w:rsidRPr="008621B4" w:rsidRDefault="00BD06C4" w:rsidP="00BD06C4">
            <w:pPr>
              <w:pStyle w:val="NoSpacing"/>
              <w:rPr>
                <w:lang w:val="en-GB"/>
              </w:rPr>
            </w:pPr>
            <w:r w:rsidRPr="008621B4">
              <w:rPr>
                <w:lang w:val="en-GB"/>
              </w:rPr>
              <w:t>Indicator 17.18.2 = ∑countries of which the law has provisions relating to all the ten Principles</w:t>
            </w:r>
          </w:p>
          <w:p w14:paraId="4B8826D7" w14:textId="77777777" w:rsidR="00BD06C4" w:rsidRDefault="00BD06C4" w:rsidP="00BD06C4">
            <w:pPr>
              <w:pStyle w:val="NoSpacing"/>
            </w:pPr>
          </w:p>
        </w:tc>
        <w:tc>
          <w:tcPr>
            <w:tcW w:w="2835" w:type="dxa"/>
          </w:tcPr>
          <w:p w14:paraId="4146E916" w14:textId="77777777" w:rsidR="00BD06C4" w:rsidRPr="00873FDE" w:rsidRDefault="00BD06C4" w:rsidP="00BD06C4">
            <w:pPr>
              <w:rPr>
                <w:szCs w:val="22"/>
              </w:rPr>
            </w:pPr>
            <w:r w:rsidRPr="00873FDE">
              <w:rPr>
                <w:szCs w:val="22"/>
              </w:rPr>
              <w:lastRenderedPageBreak/>
              <w:t>Online survey The Director General(DG) of NSO</w:t>
            </w:r>
          </w:p>
        </w:tc>
        <w:tc>
          <w:tcPr>
            <w:tcW w:w="1167" w:type="dxa"/>
          </w:tcPr>
          <w:p w14:paraId="5868C8CF" w14:textId="77777777" w:rsidR="00BD06C4" w:rsidRPr="00873FDE" w:rsidRDefault="00BD06C4" w:rsidP="00BD06C4">
            <w:pPr>
              <w:rPr>
                <w:szCs w:val="22"/>
              </w:rPr>
            </w:pPr>
            <w:r w:rsidRPr="00873FDE">
              <w:rPr>
                <w:szCs w:val="22"/>
              </w:rPr>
              <w:t>National Statistics Offices (NSO) of countries.</w:t>
            </w:r>
          </w:p>
        </w:tc>
        <w:tc>
          <w:tcPr>
            <w:tcW w:w="0" w:type="auto"/>
          </w:tcPr>
          <w:p w14:paraId="7A58E410" w14:textId="5E16D338" w:rsidR="00BD06C4" w:rsidRPr="00BC6F10" w:rsidRDefault="00BD06C4" w:rsidP="00BD06C4">
            <w:pPr>
              <w:pStyle w:val="NoSpacing"/>
            </w:pPr>
            <w:r>
              <w:t>BBS</w:t>
            </w:r>
          </w:p>
        </w:tc>
        <w:tc>
          <w:tcPr>
            <w:tcW w:w="0" w:type="auto"/>
          </w:tcPr>
          <w:p w14:paraId="3F322449" w14:textId="77777777" w:rsidR="00BD06C4" w:rsidRDefault="00BD06C4" w:rsidP="00BD06C4">
            <w:pPr>
              <w:pStyle w:val="NoSpacing"/>
            </w:pPr>
            <w:r>
              <w:t>SDG Cell, SID</w:t>
            </w:r>
          </w:p>
          <w:p w14:paraId="01A6E2B5" w14:textId="77777777" w:rsidR="00BD06C4" w:rsidRPr="00BC6F10" w:rsidRDefault="00BD06C4" w:rsidP="00BD06C4">
            <w:pPr>
              <w:pStyle w:val="NoSpacing"/>
              <w:rPr>
                <w:rFonts w:eastAsia="Times New Roman" w:cs="Times New Roman"/>
                <w:color w:val="000000" w:themeColor="text1"/>
                <w:szCs w:val="20"/>
              </w:rPr>
            </w:pPr>
            <w:r>
              <w:t>Administrative Data</w:t>
            </w:r>
          </w:p>
        </w:tc>
        <w:tc>
          <w:tcPr>
            <w:tcW w:w="0" w:type="auto"/>
          </w:tcPr>
          <w:p w14:paraId="7A53F997" w14:textId="77777777" w:rsidR="00BD06C4" w:rsidRDefault="00BD06C4" w:rsidP="00BD06C4">
            <w:pPr>
              <w:ind w:left="970" w:hanging="970"/>
              <w:jc w:val="both"/>
              <w:rPr>
                <w:color w:val="0070C0"/>
                <w:sz w:val="30"/>
                <w:szCs w:val="30"/>
              </w:rPr>
            </w:pPr>
            <w:r>
              <w:t>Not Applicab</w:t>
            </w:r>
            <w:r>
              <w:lastRenderedPageBreak/>
              <w:t>le</w:t>
            </w:r>
          </w:p>
        </w:tc>
        <w:tc>
          <w:tcPr>
            <w:tcW w:w="1078" w:type="dxa"/>
          </w:tcPr>
          <w:p w14:paraId="029B0CC6" w14:textId="77777777" w:rsidR="00BD06C4" w:rsidRDefault="00BD06C4" w:rsidP="00BD06C4">
            <w:pPr>
              <w:ind w:left="970" w:hanging="970"/>
              <w:jc w:val="both"/>
              <w:rPr>
                <w:color w:val="0070C0"/>
                <w:sz w:val="30"/>
                <w:szCs w:val="30"/>
              </w:rPr>
            </w:pPr>
            <w:r w:rsidRPr="00BC6F10">
              <w:lastRenderedPageBreak/>
              <w:t>5-yearly</w:t>
            </w:r>
          </w:p>
        </w:tc>
        <w:tc>
          <w:tcPr>
            <w:tcW w:w="872" w:type="dxa"/>
          </w:tcPr>
          <w:p w14:paraId="1145AAC6" w14:textId="77777777" w:rsidR="00BD06C4" w:rsidRDefault="00BD06C4" w:rsidP="00BD06C4">
            <w:pPr>
              <w:ind w:left="970" w:hanging="970"/>
              <w:jc w:val="both"/>
              <w:rPr>
                <w:color w:val="0070C0"/>
                <w:sz w:val="30"/>
                <w:szCs w:val="30"/>
              </w:rPr>
            </w:pPr>
            <w:r>
              <w:t>Group 1</w:t>
            </w:r>
          </w:p>
        </w:tc>
        <w:tc>
          <w:tcPr>
            <w:tcW w:w="619" w:type="dxa"/>
          </w:tcPr>
          <w:p w14:paraId="316D7E25" w14:textId="77777777" w:rsidR="00BD06C4" w:rsidRDefault="00BD06C4" w:rsidP="00BD06C4">
            <w:pPr>
              <w:pStyle w:val="NoSpacing"/>
            </w:pPr>
            <w:r>
              <w:t>1</w:t>
            </w:r>
            <w:r w:rsidRPr="00013ACB">
              <w:rPr>
                <w:vertAlign w:val="superscript"/>
              </w:rPr>
              <w:t>st</w:t>
            </w:r>
            <w:r>
              <w:t xml:space="preserve"> Round:</w:t>
            </w:r>
          </w:p>
          <w:p w14:paraId="508D2A9B" w14:textId="77777777" w:rsidR="00BD06C4" w:rsidRDefault="00BD06C4" w:rsidP="00BD06C4">
            <w:pPr>
              <w:pStyle w:val="NoSpacing"/>
            </w:pPr>
            <w:r>
              <w:t>2018</w:t>
            </w:r>
          </w:p>
          <w:p w14:paraId="52A85BFE" w14:textId="77777777" w:rsidR="00BD06C4" w:rsidRDefault="00BD06C4" w:rsidP="00BD06C4">
            <w:pPr>
              <w:pStyle w:val="NoSpacing"/>
            </w:pPr>
          </w:p>
          <w:p w14:paraId="1FDDF764" w14:textId="77777777" w:rsidR="00BD06C4" w:rsidRDefault="00BD06C4" w:rsidP="00BD06C4">
            <w:pPr>
              <w:pStyle w:val="NoSpacing"/>
            </w:pPr>
            <w:r>
              <w:t>2</w:t>
            </w:r>
            <w:r w:rsidRPr="00013ACB">
              <w:rPr>
                <w:vertAlign w:val="superscript"/>
              </w:rPr>
              <w:t>nd</w:t>
            </w:r>
            <w:r>
              <w:t xml:space="preserve"> Round:</w:t>
            </w:r>
          </w:p>
          <w:p w14:paraId="2168822F" w14:textId="77777777" w:rsidR="00BD06C4" w:rsidRDefault="00BD06C4" w:rsidP="00BD06C4">
            <w:pPr>
              <w:pStyle w:val="NoSpacing"/>
            </w:pPr>
            <w:r>
              <w:t xml:space="preserve"> December </w:t>
            </w:r>
          </w:p>
          <w:p w14:paraId="41570A29" w14:textId="77777777" w:rsidR="00BD06C4" w:rsidRDefault="00BD06C4" w:rsidP="00BD06C4">
            <w:pPr>
              <w:ind w:left="970" w:hanging="970"/>
              <w:jc w:val="both"/>
            </w:pPr>
            <w:r>
              <w:lastRenderedPageBreak/>
              <w:t>2019</w:t>
            </w:r>
          </w:p>
          <w:p w14:paraId="432D8C81" w14:textId="77777777" w:rsidR="00BD06C4" w:rsidRDefault="00BD06C4" w:rsidP="00BD06C4">
            <w:pPr>
              <w:pStyle w:val="NoSpacing"/>
            </w:pPr>
          </w:p>
          <w:p w14:paraId="457400E3" w14:textId="77777777" w:rsidR="00BD06C4" w:rsidRDefault="00BD06C4" w:rsidP="00BD06C4">
            <w:pPr>
              <w:pStyle w:val="NoSpacing"/>
            </w:pPr>
            <w:r>
              <w:t>3</w:t>
            </w:r>
            <w:r w:rsidRPr="00013ACB">
              <w:rPr>
                <w:vertAlign w:val="superscript"/>
              </w:rPr>
              <w:t>rd</w:t>
            </w:r>
            <w:r>
              <w:t xml:space="preserve"> Round: </w:t>
            </w:r>
          </w:p>
          <w:p w14:paraId="0E52DE02" w14:textId="77777777" w:rsidR="00BD06C4" w:rsidRDefault="00BD06C4" w:rsidP="00BD06C4">
            <w:pPr>
              <w:pStyle w:val="NoSpacing"/>
            </w:pPr>
            <w:r>
              <w:t xml:space="preserve">December </w:t>
            </w:r>
          </w:p>
          <w:p w14:paraId="1C1BA887" w14:textId="77777777" w:rsidR="00BD06C4" w:rsidRDefault="00BD06C4" w:rsidP="00BD06C4">
            <w:pPr>
              <w:ind w:left="970" w:hanging="970"/>
              <w:jc w:val="both"/>
            </w:pPr>
            <w:r>
              <w:t>2024</w:t>
            </w:r>
          </w:p>
          <w:p w14:paraId="6C1D068D" w14:textId="77777777" w:rsidR="00BD06C4" w:rsidRDefault="00BD06C4" w:rsidP="00BD06C4">
            <w:pPr>
              <w:pStyle w:val="NoSpacing"/>
            </w:pPr>
          </w:p>
          <w:p w14:paraId="30914250" w14:textId="77777777" w:rsidR="00BD06C4" w:rsidRDefault="00BD06C4" w:rsidP="00BD06C4">
            <w:pPr>
              <w:pStyle w:val="NoSpacing"/>
            </w:pPr>
            <w:r>
              <w:t>4</w:t>
            </w:r>
            <w:r w:rsidRPr="00013ACB">
              <w:rPr>
                <w:vertAlign w:val="superscript"/>
              </w:rPr>
              <w:t>th</w:t>
            </w:r>
            <w:r>
              <w:t xml:space="preserve"> Round: </w:t>
            </w:r>
          </w:p>
          <w:p w14:paraId="4FA9D0E7" w14:textId="77777777" w:rsidR="00BD06C4" w:rsidRDefault="00BD06C4" w:rsidP="00BD06C4">
            <w:pPr>
              <w:pStyle w:val="NoSpacing"/>
            </w:pPr>
            <w:r>
              <w:t xml:space="preserve">December </w:t>
            </w:r>
          </w:p>
          <w:p w14:paraId="40BFFF97" w14:textId="77777777" w:rsidR="00BD06C4" w:rsidRDefault="00BD06C4" w:rsidP="00BD06C4">
            <w:pPr>
              <w:ind w:left="970" w:hanging="970"/>
              <w:jc w:val="both"/>
            </w:pPr>
            <w:r>
              <w:t>2029</w:t>
            </w:r>
          </w:p>
          <w:p w14:paraId="20BD1D3F" w14:textId="77777777" w:rsidR="00BD06C4" w:rsidRDefault="00BD06C4" w:rsidP="00BD06C4">
            <w:pPr>
              <w:pStyle w:val="NoSpacing"/>
            </w:pPr>
          </w:p>
          <w:p w14:paraId="1217C81D" w14:textId="77777777" w:rsidR="00BD06C4" w:rsidRDefault="00BD06C4" w:rsidP="00BD06C4">
            <w:pPr>
              <w:pStyle w:val="NoSpacing"/>
            </w:pPr>
            <w:r>
              <w:t>5</w:t>
            </w:r>
            <w:r w:rsidRPr="00013ACB">
              <w:rPr>
                <w:vertAlign w:val="superscript"/>
              </w:rPr>
              <w:t>th</w:t>
            </w:r>
            <w:r>
              <w:t xml:space="preserve"> Round: </w:t>
            </w:r>
          </w:p>
          <w:p w14:paraId="3564CC4A" w14:textId="77777777" w:rsidR="00BD06C4" w:rsidRDefault="00BD06C4" w:rsidP="00BD06C4">
            <w:pPr>
              <w:pStyle w:val="NoSpacing"/>
            </w:pPr>
            <w:r>
              <w:t xml:space="preserve">December </w:t>
            </w:r>
          </w:p>
          <w:p w14:paraId="76FDFEDB" w14:textId="77777777" w:rsidR="00BD06C4" w:rsidRDefault="00BD06C4" w:rsidP="00BD06C4">
            <w:pPr>
              <w:ind w:left="970" w:hanging="970"/>
              <w:jc w:val="both"/>
            </w:pPr>
            <w:r>
              <w:t>2030</w:t>
            </w:r>
          </w:p>
          <w:p w14:paraId="1A78BCCF" w14:textId="42558F5B" w:rsidR="00BD06C4" w:rsidRDefault="00BD06C4" w:rsidP="00BD06C4">
            <w:pPr>
              <w:ind w:left="970" w:hanging="970"/>
              <w:jc w:val="both"/>
              <w:rPr>
                <w:color w:val="0070C0"/>
                <w:sz w:val="30"/>
                <w:szCs w:val="30"/>
              </w:rPr>
            </w:pPr>
          </w:p>
        </w:tc>
        <w:tc>
          <w:tcPr>
            <w:tcW w:w="0" w:type="auto"/>
          </w:tcPr>
          <w:p w14:paraId="24F00FEB" w14:textId="77777777" w:rsidR="00BD06C4" w:rsidRDefault="00BD06C4" w:rsidP="00BD06C4">
            <w:pPr>
              <w:pStyle w:val="NoSpacing"/>
            </w:pPr>
            <w:r>
              <w:lastRenderedPageBreak/>
              <w:t>Data availability reviewed in Oct. 2019</w:t>
            </w:r>
          </w:p>
          <w:p w14:paraId="289F5F1F" w14:textId="77777777" w:rsidR="00BD06C4" w:rsidRDefault="00BD06C4" w:rsidP="00BD06C4">
            <w:pPr>
              <w:pStyle w:val="NoSpacing"/>
            </w:pPr>
            <w:r>
              <w:t>(classified as Tier I)</w:t>
            </w:r>
          </w:p>
          <w:p w14:paraId="0510FD4F" w14:textId="77777777" w:rsidR="00BD06C4" w:rsidRDefault="00BD06C4" w:rsidP="00BD06C4">
            <w:pPr>
              <w:pStyle w:val="NoSpacing"/>
            </w:pPr>
          </w:p>
          <w:p w14:paraId="77D27964" w14:textId="77777777" w:rsidR="00BD06C4" w:rsidRDefault="00BD06C4" w:rsidP="00BD06C4">
            <w:pPr>
              <w:pStyle w:val="NoSpacing"/>
            </w:pPr>
            <w:r>
              <w:lastRenderedPageBreak/>
              <w:t>Reviewed at 6th IAEG-SDG meeting (classified as Tier II)</w:t>
            </w:r>
          </w:p>
        </w:tc>
      </w:tr>
      <w:tr w:rsidR="00BD06C4" w14:paraId="39EBD492" w14:textId="77777777" w:rsidTr="00586441">
        <w:tc>
          <w:tcPr>
            <w:tcW w:w="0" w:type="auto"/>
          </w:tcPr>
          <w:p w14:paraId="59808934" w14:textId="77777777" w:rsidR="00BD06C4" w:rsidRPr="00BB536A" w:rsidRDefault="00BD06C4" w:rsidP="00BD06C4">
            <w:pPr>
              <w:pStyle w:val="NoSpacing"/>
            </w:pPr>
            <w:r w:rsidRPr="00BB536A">
              <w:lastRenderedPageBreak/>
              <w:t>17.18.3 Number of countries with a national statistical plan that is fully funded and under implementation, by source of funding</w:t>
            </w:r>
          </w:p>
        </w:tc>
        <w:tc>
          <w:tcPr>
            <w:tcW w:w="0" w:type="auto"/>
          </w:tcPr>
          <w:p w14:paraId="331C842E" w14:textId="77777777" w:rsidR="00BD06C4" w:rsidRDefault="00BD06C4" w:rsidP="00BD06C4">
            <w:pPr>
              <w:pStyle w:val="NoSpacing"/>
            </w:pPr>
            <w:r w:rsidRPr="005867D7">
              <w:t>PARIS21</w:t>
            </w:r>
          </w:p>
          <w:p w14:paraId="6807AEF4" w14:textId="77777777" w:rsidR="00BD06C4" w:rsidRDefault="00BD06C4" w:rsidP="00BD06C4">
            <w:pPr>
              <w:rPr>
                <w:b/>
                <w:bCs/>
                <w:szCs w:val="20"/>
              </w:rPr>
            </w:pPr>
            <w:r w:rsidRPr="007243FC">
              <w:rPr>
                <w:b/>
                <w:bCs/>
                <w:szCs w:val="20"/>
              </w:rPr>
              <w:t>Partner Agencies:</w:t>
            </w:r>
          </w:p>
          <w:p w14:paraId="09CFA31B" w14:textId="77777777" w:rsidR="00BD06C4" w:rsidRDefault="00BD06C4" w:rsidP="00BD06C4">
            <w:pPr>
              <w:pStyle w:val="NoSpacing"/>
            </w:pPr>
            <w:r>
              <w:t>UNSD,</w:t>
            </w:r>
          </w:p>
          <w:p w14:paraId="7DB0FBD3" w14:textId="77777777" w:rsidR="00BD06C4" w:rsidRDefault="00BD06C4" w:rsidP="00BD06C4">
            <w:pPr>
              <w:pStyle w:val="NoSpacing"/>
            </w:pPr>
            <w:r>
              <w:t>Regional Commissions,</w:t>
            </w:r>
          </w:p>
          <w:p w14:paraId="09B9D6A0" w14:textId="77777777" w:rsidR="00BD06C4" w:rsidRPr="00984EC8" w:rsidRDefault="00BD06C4" w:rsidP="00BD06C4">
            <w:pPr>
              <w:pStyle w:val="NoSpacing"/>
            </w:pPr>
            <w:r>
              <w:t>World Bank</w:t>
            </w:r>
          </w:p>
        </w:tc>
        <w:tc>
          <w:tcPr>
            <w:tcW w:w="0" w:type="auto"/>
          </w:tcPr>
          <w:p w14:paraId="396B6D1A" w14:textId="77777777" w:rsidR="00BD06C4" w:rsidRDefault="00BD06C4" w:rsidP="00BD06C4">
            <w:pPr>
              <w:ind w:left="970" w:hanging="970"/>
              <w:jc w:val="both"/>
              <w:rPr>
                <w:color w:val="0070C0"/>
                <w:sz w:val="30"/>
                <w:szCs w:val="30"/>
              </w:rPr>
            </w:pPr>
            <w:r>
              <w:t>Tier I</w:t>
            </w:r>
          </w:p>
        </w:tc>
        <w:tc>
          <w:tcPr>
            <w:tcW w:w="0" w:type="auto"/>
          </w:tcPr>
          <w:p w14:paraId="69454207" w14:textId="77777777" w:rsidR="00BD06C4" w:rsidRPr="008621B4" w:rsidRDefault="00BD06C4" w:rsidP="00BD06C4">
            <w:pPr>
              <w:pStyle w:val="NoSpacing"/>
              <w:rPr>
                <w:lang w:val="en-GB"/>
              </w:rPr>
            </w:pPr>
            <w:r w:rsidRPr="008621B4">
              <w:rPr>
                <w:b/>
                <w:bCs/>
                <w:lang w:val="en-GB"/>
              </w:rPr>
              <w:t>Definition:</w:t>
            </w:r>
          </w:p>
          <w:p w14:paraId="2103009A" w14:textId="77777777" w:rsidR="00BD06C4" w:rsidRPr="008621B4" w:rsidRDefault="00BD06C4" w:rsidP="00BD06C4">
            <w:pPr>
              <w:pStyle w:val="NoSpacing"/>
              <w:rPr>
                <w:lang w:val="en-GB"/>
              </w:rPr>
            </w:pPr>
          </w:p>
          <w:p w14:paraId="0B3AE9AB" w14:textId="77777777" w:rsidR="00BD06C4" w:rsidRPr="008621B4" w:rsidRDefault="00BD06C4" w:rsidP="00BD06C4">
            <w:pPr>
              <w:pStyle w:val="NoSpacing"/>
              <w:rPr>
                <w:lang w:val="en-GB"/>
              </w:rPr>
            </w:pPr>
            <w:r w:rsidRPr="008621B4">
              <w:rPr>
                <w:lang w:val="en-GB"/>
              </w:rPr>
              <w:t xml:space="preserve">The indicator Number of countries with a national statistical plan that is fully funded and under implementation is based on the annual Status Report on National Strategies for the Development of Statistics (NSDS). In collaboration with its partners, PARIS21 reports on country progress in designing and implementing national statistical plans. The indicator is a count of countries that are </w:t>
            </w:r>
            <w:proofErr w:type="gramStart"/>
            <w:r w:rsidRPr="008621B4">
              <w:rPr>
                <w:lang w:val="en-GB"/>
              </w:rPr>
              <w:t>either (i) implementing</w:t>
            </w:r>
            <w:proofErr w:type="gramEnd"/>
            <w:r w:rsidRPr="008621B4">
              <w:rPr>
                <w:lang w:val="en-GB"/>
              </w:rPr>
              <w:t xml:space="preserve"> a strategy, (ii) designing one or (iii) awaiting adoption of the strategy in the current year.</w:t>
            </w:r>
          </w:p>
          <w:p w14:paraId="6E22F0CD" w14:textId="77777777" w:rsidR="00BD06C4" w:rsidRPr="008621B4" w:rsidRDefault="00BD06C4" w:rsidP="00BD06C4">
            <w:pPr>
              <w:pStyle w:val="NoSpacing"/>
              <w:rPr>
                <w:b/>
                <w:bCs/>
                <w:lang w:val="en-GB"/>
              </w:rPr>
            </w:pPr>
          </w:p>
          <w:p w14:paraId="4D7CE4B4" w14:textId="77777777" w:rsidR="00BD06C4" w:rsidRPr="008621B4" w:rsidRDefault="00BD06C4" w:rsidP="00BD06C4">
            <w:pPr>
              <w:pStyle w:val="NoSpacing"/>
              <w:rPr>
                <w:lang w:val="en-GB"/>
              </w:rPr>
            </w:pPr>
            <w:r w:rsidRPr="008621B4">
              <w:rPr>
                <w:b/>
                <w:bCs/>
                <w:lang w:val="en-GB"/>
              </w:rPr>
              <w:t>Computation Method:</w:t>
            </w:r>
          </w:p>
          <w:p w14:paraId="4B5EAD86" w14:textId="77777777" w:rsidR="00BD06C4" w:rsidRPr="008621B4" w:rsidRDefault="00BD06C4" w:rsidP="00BD06C4">
            <w:pPr>
              <w:pStyle w:val="NoSpacing"/>
              <w:rPr>
                <w:lang w:val="en-GB"/>
              </w:rPr>
            </w:pPr>
          </w:p>
          <w:p w14:paraId="0A33C93F" w14:textId="77777777" w:rsidR="00BD06C4" w:rsidRPr="008621B4" w:rsidRDefault="00BD06C4" w:rsidP="00BD06C4">
            <w:pPr>
              <w:pStyle w:val="NoSpacing"/>
              <w:rPr>
                <w:lang w:val="en-GB"/>
              </w:rPr>
            </w:pPr>
            <w:r w:rsidRPr="008621B4">
              <w:rPr>
                <w:lang w:val="en-GB"/>
              </w:rPr>
              <w:t xml:space="preserve">Simple count of countries that are </w:t>
            </w:r>
            <w:proofErr w:type="gramStart"/>
            <w:r w:rsidRPr="008621B4">
              <w:rPr>
                <w:lang w:val="en-GB"/>
              </w:rPr>
              <w:t>either (i) implementing</w:t>
            </w:r>
            <w:proofErr w:type="gramEnd"/>
            <w:r w:rsidRPr="008621B4">
              <w:rPr>
                <w:lang w:val="en-GB"/>
              </w:rPr>
              <w:t xml:space="preserve"> a strategy, (ii) designing one or (iii) awaiting adoption of the strategy in the current year.</w:t>
            </w:r>
          </w:p>
          <w:p w14:paraId="7FBC2803" w14:textId="77777777" w:rsidR="00BD06C4" w:rsidRDefault="00BD06C4" w:rsidP="00BD06C4">
            <w:pPr>
              <w:pStyle w:val="NoSpacing"/>
            </w:pPr>
          </w:p>
        </w:tc>
        <w:tc>
          <w:tcPr>
            <w:tcW w:w="2835" w:type="dxa"/>
          </w:tcPr>
          <w:p w14:paraId="7057E8C8" w14:textId="77777777" w:rsidR="00BD06C4" w:rsidRPr="00B14CED" w:rsidRDefault="00BD06C4" w:rsidP="00BD06C4">
            <w:pPr>
              <w:pStyle w:val="NoSpacing"/>
              <w:rPr>
                <w:lang w:eastAsia="en-GB"/>
              </w:rPr>
            </w:pPr>
            <w:r w:rsidRPr="00B14CED">
              <w:rPr>
                <w:lang w:eastAsia="en-GB"/>
              </w:rPr>
              <w:t>Data is provided by the National Statistical Offices. The information is collected annually and verified by direct email correspondence with the national focal point for the country's NSDS (National Strategy for Development of Statistics).</w:t>
            </w:r>
          </w:p>
          <w:p w14:paraId="778A3DDC" w14:textId="77777777" w:rsidR="00BD06C4" w:rsidRDefault="00BD06C4" w:rsidP="00BD06C4">
            <w:pPr>
              <w:pStyle w:val="NoSpacing"/>
            </w:pPr>
          </w:p>
        </w:tc>
        <w:tc>
          <w:tcPr>
            <w:tcW w:w="1167" w:type="dxa"/>
          </w:tcPr>
          <w:p w14:paraId="69F1E0A3" w14:textId="6BCC06C8" w:rsidR="00BD06C4" w:rsidRDefault="00BD06C4" w:rsidP="00BD06C4">
            <w:pPr>
              <w:rPr>
                <w:szCs w:val="22"/>
              </w:rPr>
            </w:pPr>
          </w:p>
          <w:p w14:paraId="0D740ED8" w14:textId="7201E4D5" w:rsidR="00C7698E" w:rsidRPr="00873FDE" w:rsidRDefault="00C7698E" w:rsidP="00BD06C4">
            <w:pPr>
              <w:rPr>
                <w:szCs w:val="22"/>
              </w:rPr>
            </w:pPr>
            <w:r>
              <w:rPr>
                <w:rFonts w:eastAsia="Times New Roman" w:cs="Times New Roman"/>
                <w:color w:val="4A4A4A"/>
                <w:sz w:val="21"/>
                <w:szCs w:val="21"/>
                <w:lang w:eastAsia="en-GB"/>
              </w:rPr>
              <w:t>National Statistical Offices</w:t>
            </w:r>
          </w:p>
        </w:tc>
        <w:tc>
          <w:tcPr>
            <w:tcW w:w="0" w:type="auto"/>
          </w:tcPr>
          <w:p w14:paraId="386A39EE" w14:textId="0D2D1089" w:rsidR="00BD06C4" w:rsidRPr="00B14CED" w:rsidRDefault="00BD06C4" w:rsidP="00BD06C4">
            <w:pPr>
              <w:pStyle w:val="NoSpacing"/>
              <w:rPr>
                <w:lang w:eastAsia="en-GB"/>
              </w:rPr>
            </w:pPr>
            <w:r>
              <w:rPr>
                <w:lang w:eastAsia="en-GB"/>
              </w:rPr>
              <w:t>BBS</w:t>
            </w:r>
          </w:p>
          <w:p w14:paraId="5E3D218C" w14:textId="77777777" w:rsidR="00BD06C4" w:rsidRPr="0033576F" w:rsidRDefault="00BD06C4" w:rsidP="00BD06C4">
            <w:pPr>
              <w:pStyle w:val="NoSpacing"/>
            </w:pPr>
          </w:p>
        </w:tc>
        <w:tc>
          <w:tcPr>
            <w:tcW w:w="0" w:type="auto"/>
          </w:tcPr>
          <w:p w14:paraId="6A3CD9A3" w14:textId="77777777" w:rsidR="00BD06C4" w:rsidRDefault="00BD06C4" w:rsidP="00BD06C4">
            <w:pPr>
              <w:spacing w:line="276" w:lineRule="auto"/>
              <w:jc w:val="center"/>
            </w:pPr>
            <w:r>
              <w:t>SDG Cell, SID</w:t>
            </w:r>
          </w:p>
          <w:p w14:paraId="3B7643FE" w14:textId="77777777" w:rsidR="00BD06C4" w:rsidRPr="00BC6F10" w:rsidRDefault="00BD06C4" w:rsidP="00BD06C4">
            <w:pPr>
              <w:jc w:val="center"/>
              <w:rPr>
                <w:rFonts w:eastAsia="Times New Roman" w:cs="Times New Roman"/>
                <w:color w:val="000000" w:themeColor="text1"/>
                <w:szCs w:val="20"/>
              </w:rPr>
            </w:pPr>
            <w:r>
              <w:t>Administrative Data</w:t>
            </w:r>
          </w:p>
        </w:tc>
        <w:tc>
          <w:tcPr>
            <w:tcW w:w="0" w:type="auto"/>
          </w:tcPr>
          <w:p w14:paraId="431B31D4" w14:textId="77777777" w:rsidR="00BD06C4" w:rsidRDefault="00BD06C4" w:rsidP="00BD06C4">
            <w:pPr>
              <w:ind w:left="970" w:hanging="970"/>
              <w:jc w:val="both"/>
              <w:rPr>
                <w:color w:val="0070C0"/>
                <w:sz w:val="30"/>
                <w:szCs w:val="30"/>
              </w:rPr>
            </w:pPr>
            <w:r>
              <w:t>Not Applicable</w:t>
            </w:r>
          </w:p>
        </w:tc>
        <w:tc>
          <w:tcPr>
            <w:tcW w:w="1078" w:type="dxa"/>
          </w:tcPr>
          <w:p w14:paraId="05536198" w14:textId="77777777" w:rsidR="00BD06C4" w:rsidRDefault="00BD06C4" w:rsidP="00BD06C4">
            <w:pPr>
              <w:ind w:left="970" w:hanging="970"/>
              <w:jc w:val="both"/>
              <w:rPr>
                <w:color w:val="0070C0"/>
                <w:sz w:val="30"/>
                <w:szCs w:val="30"/>
              </w:rPr>
            </w:pPr>
            <w:r w:rsidRPr="00BC6F10">
              <w:t>5-yearly</w:t>
            </w:r>
          </w:p>
        </w:tc>
        <w:tc>
          <w:tcPr>
            <w:tcW w:w="872" w:type="dxa"/>
          </w:tcPr>
          <w:p w14:paraId="6AD3B3F2" w14:textId="77777777" w:rsidR="00BD06C4" w:rsidRDefault="00BD06C4" w:rsidP="00BD06C4">
            <w:pPr>
              <w:ind w:left="970" w:hanging="970"/>
              <w:jc w:val="both"/>
              <w:rPr>
                <w:color w:val="0070C0"/>
                <w:sz w:val="30"/>
                <w:szCs w:val="30"/>
              </w:rPr>
            </w:pPr>
            <w:r>
              <w:t>Group 1</w:t>
            </w:r>
          </w:p>
        </w:tc>
        <w:tc>
          <w:tcPr>
            <w:tcW w:w="619" w:type="dxa"/>
          </w:tcPr>
          <w:p w14:paraId="696BED92" w14:textId="77777777" w:rsidR="00BD06C4" w:rsidRDefault="00BD06C4" w:rsidP="00BD06C4">
            <w:pPr>
              <w:pStyle w:val="NoSpacing"/>
            </w:pPr>
            <w:r>
              <w:t>1</w:t>
            </w:r>
            <w:r w:rsidRPr="00013ACB">
              <w:rPr>
                <w:vertAlign w:val="superscript"/>
              </w:rPr>
              <w:t>st</w:t>
            </w:r>
            <w:r>
              <w:t xml:space="preserve"> Round:</w:t>
            </w:r>
          </w:p>
          <w:p w14:paraId="6C85E75B" w14:textId="77777777" w:rsidR="00BD06C4" w:rsidRDefault="00BD06C4" w:rsidP="00BD06C4">
            <w:pPr>
              <w:pStyle w:val="NoSpacing"/>
            </w:pPr>
            <w:r>
              <w:t>2018</w:t>
            </w:r>
          </w:p>
          <w:p w14:paraId="68098EC9" w14:textId="77777777" w:rsidR="00BD06C4" w:rsidRDefault="00BD06C4" w:rsidP="00BD06C4">
            <w:pPr>
              <w:pStyle w:val="NoSpacing"/>
            </w:pPr>
          </w:p>
          <w:p w14:paraId="51B79141" w14:textId="77777777" w:rsidR="00BD06C4" w:rsidRDefault="00BD06C4" w:rsidP="00BD06C4">
            <w:pPr>
              <w:pStyle w:val="NoSpacing"/>
            </w:pPr>
            <w:r>
              <w:t>2</w:t>
            </w:r>
            <w:r w:rsidRPr="00013ACB">
              <w:rPr>
                <w:vertAlign w:val="superscript"/>
              </w:rPr>
              <w:t>nd</w:t>
            </w:r>
            <w:r>
              <w:t xml:space="preserve"> Round:</w:t>
            </w:r>
          </w:p>
          <w:p w14:paraId="0A4C5B75" w14:textId="77777777" w:rsidR="00BD06C4" w:rsidRDefault="00BD06C4" w:rsidP="00BD06C4">
            <w:pPr>
              <w:pStyle w:val="NoSpacing"/>
            </w:pPr>
            <w:r>
              <w:t xml:space="preserve"> January </w:t>
            </w:r>
          </w:p>
          <w:p w14:paraId="2E5D601C" w14:textId="77777777" w:rsidR="00BD06C4" w:rsidRDefault="00BD06C4" w:rsidP="00BD06C4">
            <w:pPr>
              <w:pStyle w:val="NoSpacing"/>
            </w:pPr>
            <w:r>
              <w:t>2019</w:t>
            </w:r>
          </w:p>
          <w:p w14:paraId="4F3CEC63" w14:textId="77777777" w:rsidR="00BD06C4" w:rsidRDefault="00BD06C4" w:rsidP="00BD06C4">
            <w:pPr>
              <w:pStyle w:val="NoSpacing"/>
            </w:pPr>
          </w:p>
          <w:p w14:paraId="6F45601D" w14:textId="77777777" w:rsidR="00BD06C4" w:rsidRDefault="00BD06C4" w:rsidP="00BD06C4">
            <w:pPr>
              <w:pStyle w:val="NoSpacing"/>
            </w:pPr>
            <w:r>
              <w:t>3</w:t>
            </w:r>
            <w:r w:rsidRPr="00013ACB">
              <w:rPr>
                <w:vertAlign w:val="superscript"/>
              </w:rPr>
              <w:t>rd</w:t>
            </w:r>
            <w:r>
              <w:t xml:space="preserve"> Round: </w:t>
            </w:r>
          </w:p>
          <w:p w14:paraId="538523AF" w14:textId="77777777" w:rsidR="00BD06C4" w:rsidRDefault="00BD06C4" w:rsidP="00BD06C4">
            <w:pPr>
              <w:pStyle w:val="NoSpacing"/>
            </w:pPr>
            <w:r>
              <w:t xml:space="preserve">January </w:t>
            </w:r>
          </w:p>
          <w:p w14:paraId="35B6C0D3" w14:textId="77777777" w:rsidR="00BD06C4" w:rsidRDefault="00BD06C4" w:rsidP="00BD06C4">
            <w:pPr>
              <w:pStyle w:val="NoSpacing"/>
            </w:pPr>
            <w:r>
              <w:t>2024</w:t>
            </w:r>
          </w:p>
          <w:p w14:paraId="3F1026BC" w14:textId="77777777" w:rsidR="00BD06C4" w:rsidRDefault="00BD06C4" w:rsidP="00BD06C4">
            <w:pPr>
              <w:pStyle w:val="NoSpacing"/>
            </w:pPr>
          </w:p>
          <w:p w14:paraId="69AACA18" w14:textId="77777777" w:rsidR="00BD06C4" w:rsidRDefault="00BD06C4" w:rsidP="00BD06C4">
            <w:pPr>
              <w:pStyle w:val="NoSpacing"/>
            </w:pPr>
            <w:r>
              <w:t>4</w:t>
            </w:r>
            <w:r w:rsidRPr="00013ACB">
              <w:rPr>
                <w:vertAlign w:val="superscript"/>
              </w:rPr>
              <w:t>th</w:t>
            </w:r>
            <w:r>
              <w:t xml:space="preserve"> Round: </w:t>
            </w:r>
          </w:p>
          <w:p w14:paraId="5817E5B7" w14:textId="77777777" w:rsidR="00BD06C4" w:rsidRDefault="00BD06C4" w:rsidP="00BD06C4">
            <w:pPr>
              <w:pStyle w:val="NoSpacing"/>
            </w:pPr>
            <w:r>
              <w:lastRenderedPageBreak/>
              <w:t xml:space="preserve">January </w:t>
            </w:r>
          </w:p>
          <w:p w14:paraId="27D48602" w14:textId="77777777" w:rsidR="00BD06C4" w:rsidRDefault="00BD06C4" w:rsidP="00BD06C4">
            <w:pPr>
              <w:pStyle w:val="NoSpacing"/>
            </w:pPr>
            <w:r>
              <w:t>2029</w:t>
            </w:r>
          </w:p>
          <w:p w14:paraId="1F25BD1E" w14:textId="77777777" w:rsidR="00BD06C4" w:rsidRDefault="00BD06C4" w:rsidP="00BD06C4">
            <w:pPr>
              <w:pStyle w:val="NoSpacing"/>
            </w:pPr>
          </w:p>
          <w:p w14:paraId="05D4D8D5" w14:textId="77777777" w:rsidR="00BD06C4" w:rsidRDefault="00BD06C4" w:rsidP="00BD06C4">
            <w:pPr>
              <w:pStyle w:val="NoSpacing"/>
            </w:pPr>
            <w:r>
              <w:t>5</w:t>
            </w:r>
            <w:r w:rsidRPr="00013ACB">
              <w:rPr>
                <w:vertAlign w:val="superscript"/>
              </w:rPr>
              <w:t>th</w:t>
            </w:r>
            <w:r>
              <w:t xml:space="preserve"> Round: </w:t>
            </w:r>
          </w:p>
          <w:p w14:paraId="518F07F1" w14:textId="77777777" w:rsidR="00BD06C4" w:rsidRDefault="00BD06C4" w:rsidP="00BD06C4">
            <w:pPr>
              <w:pStyle w:val="NoSpacing"/>
            </w:pPr>
            <w:r>
              <w:t xml:space="preserve">January </w:t>
            </w:r>
          </w:p>
          <w:p w14:paraId="77309AF7" w14:textId="77777777" w:rsidR="00BD06C4" w:rsidRDefault="00BD06C4" w:rsidP="00BD06C4">
            <w:pPr>
              <w:pStyle w:val="NoSpacing"/>
            </w:pPr>
            <w:r>
              <w:t>2030</w:t>
            </w:r>
          </w:p>
          <w:p w14:paraId="02BB831A" w14:textId="7028180F" w:rsidR="00BD06C4" w:rsidRPr="00AA35EE" w:rsidRDefault="00BD06C4" w:rsidP="00BD06C4">
            <w:pPr>
              <w:pStyle w:val="NoSpacing"/>
            </w:pPr>
          </w:p>
        </w:tc>
        <w:tc>
          <w:tcPr>
            <w:tcW w:w="0" w:type="auto"/>
          </w:tcPr>
          <w:p w14:paraId="6EA137F0" w14:textId="77777777" w:rsidR="00BD06C4" w:rsidRDefault="00BD06C4" w:rsidP="00BD06C4">
            <w:pPr>
              <w:ind w:left="970" w:hanging="970"/>
              <w:jc w:val="both"/>
              <w:rPr>
                <w:color w:val="0070C0"/>
                <w:sz w:val="30"/>
                <w:szCs w:val="30"/>
              </w:rPr>
            </w:pPr>
          </w:p>
        </w:tc>
      </w:tr>
      <w:tr w:rsidR="00D46636" w14:paraId="635F6349" w14:textId="77777777" w:rsidTr="00586441">
        <w:tc>
          <w:tcPr>
            <w:tcW w:w="18710" w:type="dxa"/>
            <w:gridSpan w:val="13"/>
          </w:tcPr>
          <w:p w14:paraId="609F8933" w14:textId="77777777" w:rsidR="00D46636" w:rsidRDefault="00D46636" w:rsidP="00BD06C4">
            <w:pPr>
              <w:jc w:val="both"/>
              <w:rPr>
                <w:color w:val="0070C0"/>
                <w:sz w:val="48"/>
                <w:szCs w:val="48"/>
              </w:rPr>
            </w:pPr>
            <w:r>
              <w:rPr>
                <w:color w:val="0070C0"/>
                <w:sz w:val="30"/>
                <w:szCs w:val="30"/>
              </w:rPr>
              <w:lastRenderedPageBreak/>
              <w:t xml:space="preserve">Target </w:t>
            </w:r>
            <w:r w:rsidRPr="00306900">
              <w:rPr>
                <w:color w:val="0070C0"/>
                <w:sz w:val="30"/>
                <w:szCs w:val="30"/>
              </w:rPr>
              <w:t xml:space="preserve">17.19 By 2030, build on existing initiatives to develop measurements of progress on sustainable development that complement gross domestic product, and support statistical </w:t>
            </w:r>
            <w:r>
              <w:rPr>
                <w:color w:val="0070C0"/>
                <w:sz w:val="30"/>
                <w:szCs w:val="30"/>
              </w:rPr>
              <w:t xml:space="preserve">       </w:t>
            </w:r>
            <w:r w:rsidRPr="00306900">
              <w:rPr>
                <w:color w:val="0070C0"/>
                <w:sz w:val="30"/>
                <w:szCs w:val="30"/>
              </w:rPr>
              <w:t>capacity-building in developing countries</w:t>
            </w:r>
          </w:p>
        </w:tc>
      </w:tr>
      <w:tr w:rsidR="00BD06C4" w14:paraId="5D0EE05E" w14:textId="77777777" w:rsidTr="00586441">
        <w:tc>
          <w:tcPr>
            <w:tcW w:w="0" w:type="auto"/>
          </w:tcPr>
          <w:p w14:paraId="5D70C7BA" w14:textId="77777777" w:rsidR="00BD06C4" w:rsidRPr="00BB536A" w:rsidRDefault="00BD06C4" w:rsidP="00BD06C4">
            <w:pPr>
              <w:pStyle w:val="NoSpacing"/>
            </w:pPr>
            <w:r w:rsidRPr="00BB536A">
              <w:t>17.19.1 Dollar value of all resources made available to strengthen statistical capacity in developing countries</w:t>
            </w:r>
          </w:p>
        </w:tc>
        <w:tc>
          <w:tcPr>
            <w:tcW w:w="0" w:type="auto"/>
          </w:tcPr>
          <w:p w14:paraId="4AAB0D1A" w14:textId="77777777" w:rsidR="00BD06C4" w:rsidRDefault="00BD06C4" w:rsidP="00BD06C4">
            <w:pPr>
              <w:pStyle w:val="NoSpacing"/>
            </w:pPr>
            <w:r w:rsidRPr="005867D7">
              <w:t>PARIS21</w:t>
            </w:r>
          </w:p>
          <w:p w14:paraId="1F2272D1" w14:textId="77777777" w:rsidR="00BD06C4" w:rsidRDefault="00BD06C4" w:rsidP="00BD06C4">
            <w:pPr>
              <w:rPr>
                <w:b/>
                <w:bCs/>
                <w:szCs w:val="20"/>
              </w:rPr>
            </w:pPr>
            <w:r w:rsidRPr="007243FC">
              <w:rPr>
                <w:b/>
                <w:bCs/>
                <w:szCs w:val="20"/>
              </w:rPr>
              <w:t>Partner Agencies:</w:t>
            </w:r>
          </w:p>
          <w:p w14:paraId="079B83A3" w14:textId="77777777" w:rsidR="00BD06C4" w:rsidRDefault="00BD06C4" w:rsidP="00BD06C4">
            <w:pPr>
              <w:pStyle w:val="NoSpacing"/>
            </w:pPr>
            <w:r>
              <w:t>UNSD,</w:t>
            </w:r>
          </w:p>
          <w:p w14:paraId="7415B12B" w14:textId="77777777" w:rsidR="00BD06C4" w:rsidRDefault="00BD06C4" w:rsidP="00BD06C4">
            <w:pPr>
              <w:pStyle w:val="NoSpacing"/>
            </w:pPr>
            <w:r>
              <w:t>Regional Commissions,</w:t>
            </w:r>
          </w:p>
          <w:p w14:paraId="7F3ABE38" w14:textId="77777777" w:rsidR="00BD06C4" w:rsidRDefault="00BD06C4" w:rsidP="00BD06C4">
            <w:pPr>
              <w:pStyle w:val="NoSpacing"/>
            </w:pPr>
            <w:r>
              <w:t>World Bank</w:t>
            </w:r>
          </w:p>
        </w:tc>
        <w:tc>
          <w:tcPr>
            <w:tcW w:w="0" w:type="auto"/>
          </w:tcPr>
          <w:p w14:paraId="0BA07770" w14:textId="77777777" w:rsidR="00BD06C4" w:rsidRDefault="00BD06C4" w:rsidP="00BD06C4">
            <w:pPr>
              <w:ind w:left="970" w:hanging="970"/>
              <w:jc w:val="both"/>
              <w:rPr>
                <w:color w:val="0070C0"/>
                <w:sz w:val="30"/>
                <w:szCs w:val="30"/>
              </w:rPr>
            </w:pPr>
            <w:r>
              <w:t>Tier I</w:t>
            </w:r>
          </w:p>
        </w:tc>
        <w:tc>
          <w:tcPr>
            <w:tcW w:w="0" w:type="auto"/>
          </w:tcPr>
          <w:p w14:paraId="2612B85D" w14:textId="77777777" w:rsidR="00BD06C4" w:rsidRPr="008621B4" w:rsidRDefault="00BD06C4" w:rsidP="00BD06C4">
            <w:pPr>
              <w:pStyle w:val="NoSpacing"/>
              <w:rPr>
                <w:b/>
                <w:bCs/>
                <w:lang w:val="en-GB"/>
              </w:rPr>
            </w:pPr>
            <w:r w:rsidRPr="008621B4">
              <w:rPr>
                <w:b/>
                <w:bCs/>
                <w:lang w:val="en-GB"/>
              </w:rPr>
              <w:t>Definition:</w:t>
            </w:r>
          </w:p>
          <w:p w14:paraId="373795DC" w14:textId="77777777" w:rsidR="00BD06C4" w:rsidRPr="008621B4" w:rsidRDefault="00BD06C4" w:rsidP="00BD06C4">
            <w:pPr>
              <w:pStyle w:val="NoSpacing"/>
              <w:rPr>
                <w:lang w:val="en-GB"/>
              </w:rPr>
            </w:pPr>
          </w:p>
          <w:p w14:paraId="6A7CFD19" w14:textId="77777777" w:rsidR="00BD06C4" w:rsidRPr="008621B4" w:rsidRDefault="00BD06C4" w:rsidP="00BD06C4">
            <w:pPr>
              <w:pStyle w:val="NoSpacing"/>
              <w:rPr>
                <w:lang w:val="en-GB"/>
              </w:rPr>
            </w:pPr>
            <w:r w:rsidRPr="008621B4">
              <w:rPr>
                <w:lang w:val="en-GB"/>
              </w:rPr>
              <w:t>The indicator Dollar value of all resources made available to strengthen statistical capacity in developing countries is based on the Partner Report on Support to Statistics (PRESS) that is designed and administered by PARIS21 to provide a snapshot of the US dollar value of ongoing statistical support in developing countries.</w:t>
            </w:r>
          </w:p>
          <w:p w14:paraId="5806A2AA" w14:textId="77777777" w:rsidR="00BD06C4" w:rsidRDefault="00BD06C4" w:rsidP="00BD06C4">
            <w:pPr>
              <w:pStyle w:val="NoSpacing"/>
              <w:rPr>
                <w:b/>
                <w:bCs/>
                <w:lang w:val="en-GB"/>
              </w:rPr>
            </w:pPr>
          </w:p>
          <w:p w14:paraId="119B33E5" w14:textId="77777777" w:rsidR="00BD06C4" w:rsidRPr="008621B4" w:rsidRDefault="00BD06C4" w:rsidP="00BD06C4">
            <w:pPr>
              <w:pStyle w:val="NoSpacing"/>
              <w:rPr>
                <w:lang w:val="en-GB"/>
              </w:rPr>
            </w:pPr>
          </w:p>
          <w:p w14:paraId="6A970DD1" w14:textId="56C1665D" w:rsidR="00BD06C4" w:rsidRPr="008621B4" w:rsidRDefault="00BD06C4" w:rsidP="00BD06C4">
            <w:pPr>
              <w:pStyle w:val="NoSpacing"/>
              <w:rPr>
                <w:lang w:val="en-GB"/>
              </w:rPr>
            </w:pPr>
            <w:r w:rsidRPr="008621B4">
              <w:rPr>
                <w:b/>
                <w:bCs/>
                <w:lang w:val="en-GB"/>
              </w:rPr>
              <w:t>Comments and limitations:</w:t>
            </w:r>
          </w:p>
          <w:p w14:paraId="3FF9F89F" w14:textId="77777777" w:rsidR="00BD06C4" w:rsidRPr="008621B4" w:rsidRDefault="00BD06C4" w:rsidP="00BD06C4">
            <w:pPr>
              <w:pStyle w:val="NoSpacing"/>
              <w:rPr>
                <w:lang w:val="en-GB"/>
              </w:rPr>
            </w:pPr>
            <w:r w:rsidRPr="008621B4">
              <w:rPr>
                <w:lang w:val="en-GB"/>
              </w:rPr>
              <w:t>Measuring support to statistics comes with many methodological challenges. The financial figures presented in the PRESS therefore need to be interpreted with these challenges in mind. For instance, PRESS numbers rely on the Creditor Reporting System (CRS) for ODA commitments supplemented by voluntary reporting from additional donors. Yet, full coverage of all programs cannot be guaranteed. Furthermore, the reported commitments can be seen as an upper bound to the actual support to statistics for mainly three reasons. First, double counting of projects may occur when the donor and project implementer report on the same project or when all project co-financers report project totals. Second, the reported numbers may be inflated by working with project totals for multi-sector projects, which comprise only a small statistics component. Finally, the PRESS reports on donor-side commitments which do not always translate to actual disbursements to the recipient countries.</w:t>
            </w:r>
          </w:p>
          <w:p w14:paraId="73C3C29A" w14:textId="77777777" w:rsidR="00BD06C4" w:rsidRPr="008621B4" w:rsidRDefault="00BD06C4" w:rsidP="00BD06C4">
            <w:pPr>
              <w:pStyle w:val="NoSpacing"/>
              <w:rPr>
                <w:lang w:val="en-GB"/>
              </w:rPr>
            </w:pPr>
          </w:p>
          <w:p w14:paraId="380D7BCA" w14:textId="77777777" w:rsidR="00BD06C4" w:rsidRPr="008621B4" w:rsidRDefault="00BD06C4" w:rsidP="00BD06C4">
            <w:pPr>
              <w:pStyle w:val="NoSpacing"/>
              <w:rPr>
                <w:lang w:val="en-GB"/>
              </w:rPr>
            </w:pPr>
            <w:r w:rsidRPr="008621B4">
              <w:rPr>
                <w:lang w:val="en-GB"/>
              </w:rPr>
              <w:t>The indicator only captures international support to statistics and does not account for domestic resources.</w:t>
            </w:r>
          </w:p>
          <w:p w14:paraId="7852D94F" w14:textId="77777777" w:rsidR="00BD06C4" w:rsidRPr="008621B4" w:rsidRDefault="00BD06C4" w:rsidP="00BD06C4">
            <w:pPr>
              <w:pStyle w:val="NoSpacing"/>
              <w:rPr>
                <w:b/>
                <w:bCs/>
                <w:lang w:val="en-GB"/>
              </w:rPr>
            </w:pPr>
          </w:p>
          <w:p w14:paraId="1D679F3E" w14:textId="77777777" w:rsidR="00BD06C4" w:rsidRPr="008621B4" w:rsidRDefault="00BD06C4" w:rsidP="00BD06C4">
            <w:pPr>
              <w:pStyle w:val="NoSpacing"/>
              <w:rPr>
                <w:lang w:val="en-GB"/>
              </w:rPr>
            </w:pPr>
            <w:r w:rsidRPr="008621B4">
              <w:rPr>
                <w:b/>
                <w:bCs/>
                <w:lang w:val="en-GB"/>
              </w:rPr>
              <w:lastRenderedPageBreak/>
              <w:t>Computation Method:</w:t>
            </w:r>
          </w:p>
          <w:p w14:paraId="2B54C499" w14:textId="77777777" w:rsidR="00BD06C4" w:rsidRPr="008621B4" w:rsidRDefault="00BD06C4" w:rsidP="00BD06C4">
            <w:pPr>
              <w:pStyle w:val="NoSpacing"/>
              <w:rPr>
                <w:lang w:val="en-GB"/>
              </w:rPr>
            </w:pPr>
          </w:p>
          <w:p w14:paraId="1A10F0A1" w14:textId="0552DBA8" w:rsidR="00BD06C4" w:rsidRDefault="00BD06C4" w:rsidP="00433EA3">
            <w:pPr>
              <w:pStyle w:val="NoSpacing"/>
            </w:pPr>
            <w:r w:rsidRPr="008621B4">
              <w:rPr>
                <w:lang w:val="en-GB"/>
              </w:rPr>
              <w:t>The financial amounts were converted to US dollars by using the period average exchange rate of the commitment year of the project/program. In cases where the disbursement amounts were reported, the exchange rate used was the period average of the disbursement year.</w:t>
            </w:r>
          </w:p>
        </w:tc>
        <w:tc>
          <w:tcPr>
            <w:tcW w:w="2835" w:type="dxa"/>
          </w:tcPr>
          <w:p w14:paraId="16EC0A69" w14:textId="77777777" w:rsidR="00BD06C4" w:rsidRPr="00200666" w:rsidRDefault="00BD06C4" w:rsidP="00BD06C4">
            <w:pPr>
              <w:pStyle w:val="NoSpacing"/>
              <w:rPr>
                <w:lang w:eastAsia="en-GB"/>
              </w:rPr>
            </w:pPr>
            <w:r w:rsidRPr="00200666">
              <w:rPr>
                <w:lang w:eastAsia="en-GB"/>
              </w:rPr>
              <w:lastRenderedPageBreak/>
              <w:t>OECD Creditor Reporting System (CRS), PARIS21</w:t>
            </w:r>
          </w:p>
          <w:p w14:paraId="78582147" w14:textId="77777777" w:rsidR="00BD06C4" w:rsidRDefault="00BD06C4" w:rsidP="00BD06C4">
            <w:pPr>
              <w:pStyle w:val="NoSpacing"/>
            </w:pPr>
          </w:p>
        </w:tc>
        <w:tc>
          <w:tcPr>
            <w:tcW w:w="1167" w:type="dxa"/>
          </w:tcPr>
          <w:p w14:paraId="68019767" w14:textId="77777777" w:rsidR="00BD06C4" w:rsidRPr="00200666" w:rsidRDefault="00BD06C4" w:rsidP="00BD06C4">
            <w:pPr>
              <w:pStyle w:val="NoSpacing"/>
              <w:rPr>
                <w:lang w:eastAsia="en-GB"/>
              </w:rPr>
            </w:pPr>
            <w:r w:rsidRPr="00200666">
              <w:rPr>
                <w:lang w:eastAsia="en-GB"/>
              </w:rPr>
              <w:t>PARIS21/OECD</w:t>
            </w:r>
          </w:p>
          <w:p w14:paraId="201A38F1" w14:textId="77777777" w:rsidR="00BD06C4" w:rsidRDefault="00BD06C4" w:rsidP="00BD06C4">
            <w:pPr>
              <w:pStyle w:val="NoSpacing"/>
            </w:pPr>
          </w:p>
        </w:tc>
        <w:tc>
          <w:tcPr>
            <w:tcW w:w="0" w:type="auto"/>
          </w:tcPr>
          <w:p w14:paraId="1247E885" w14:textId="426528A0" w:rsidR="00BD06C4" w:rsidRPr="00BC6F10" w:rsidRDefault="00BD06C4" w:rsidP="00BD06C4">
            <w:pPr>
              <w:pStyle w:val="NoSpacing"/>
            </w:pPr>
          </w:p>
        </w:tc>
        <w:tc>
          <w:tcPr>
            <w:tcW w:w="0" w:type="auto"/>
          </w:tcPr>
          <w:p w14:paraId="6BAFF8DA" w14:textId="77777777" w:rsidR="00BD06C4" w:rsidRDefault="00BD06C4" w:rsidP="00BD06C4">
            <w:pPr>
              <w:spacing w:line="276" w:lineRule="auto"/>
              <w:jc w:val="center"/>
            </w:pPr>
            <w:r>
              <w:t>SDG Cell, SID</w:t>
            </w:r>
          </w:p>
          <w:p w14:paraId="58EAA86C" w14:textId="77777777" w:rsidR="00BD06C4" w:rsidRPr="00BC6F10" w:rsidRDefault="00BD06C4" w:rsidP="00BD06C4">
            <w:pPr>
              <w:jc w:val="center"/>
              <w:rPr>
                <w:rFonts w:eastAsia="Times New Roman" w:cs="Times New Roman"/>
                <w:color w:val="000000" w:themeColor="text1"/>
                <w:szCs w:val="20"/>
              </w:rPr>
            </w:pPr>
            <w:r>
              <w:t>Administrative Data</w:t>
            </w:r>
          </w:p>
        </w:tc>
        <w:tc>
          <w:tcPr>
            <w:tcW w:w="0" w:type="auto"/>
          </w:tcPr>
          <w:p w14:paraId="3D4C205C"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Geographical Area</w:t>
            </w:r>
          </w:p>
          <w:p w14:paraId="2C823D31"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ODA Sectors</w:t>
            </w:r>
          </w:p>
          <w:p w14:paraId="1B725D7D"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 xml:space="preserve">Area of Statistics </w:t>
            </w:r>
          </w:p>
          <w:p w14:paraId="0D795257"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Method of Financing: Grant, Loan</w:t>
            </w:r>
          </w:p>
          <w:p w14:paraId="0258837D" w14:textId="77777777" w:rsidR="00BD06C4" w:rsidRDefault="00BD06C4" w:rsidP="00BD06C4">
            <w:pPr>
              <w:ind w:left="970" w:hanging="970"/>
              <w:jc w:val="both"/>
              <w:rPr>
                <w:color w:val="0070C0"/>
                <w:sz w:val="30"/>
                <w:szCs w:val="30"/>
              </w:rPr>
            </w:pPr>
          </w:p>
        </w:tc>
        <w:tc>
          <w:tcPr>
            <w:tcW w:w="1078" w:type="dxa"/>
          </w:tcPr>
          <w:p w14:paraId="18B90883" w14:textId="77777777" w:rsidR="00BD06C4" w:rsidRDefault="00BD06C4" w:rsidP="00BD06C4">
            <w:pPr>
              <w:ind w:left="970" w:hanging="970"/>
              <w:jc w:val="both"/>
              <w:rPr>
                <w:color w:val="0070C0"/>
                <w:sz w:val="30"/>
                <w:szCs w:val="30"/>
              </w:rPr>
            </w:pPr>
            <w:r w:rsidRPr="00BC6F10">
              <w:t>Annual</w:t>
            </w:r>
          </w:p>
        </w:tc>
        <w:tc>
          <w:tcPr>
            <w:tcW w:w="872" w:type="dxa"/>
          </w:tcPr>
          <w:p w14:paraId="0D88429E" w14:textId="77777777" w:rsidR="00BD06C4" w:rsidRDefault="00BD06C4" w:rsidP="00BD06C4">
            <w:pPr>
              <w:ind w:left="970" w:hanging="970"/>
              <w:jc w:val="both"/>
              <w:rPr>
                <w:color w:val="0070C0"/>
                <w:sz w:val="30"/>
                <w:szCs w:val="30"/>
              </w:rPr>
            </w:pPr>
            <w:r>
              <w:t>Group 2</w:t>
            </w:r>
          </w:p>
        </w:tc>
        <w:tc>
          <w:tcPr>
            <w:tcW w:w="619" w:type="dxa"/>
          </w:tcPr>
          <w:p w14:paraId="42026DAD" w14:textId="77777777" w:rsidR="00BD06C4" w:rsidRDefault="00BD06C4" w:rsidP="00BD06C4">
            <w:pPr>
              <w:pStyle w:val="NoSpacing"/>
            </w:pPr>
          </w:p>
          <w:p w14:paraId="723669CD" w14:textId="77777777" w:rsidR="00BD06C4" w:rsidRDefault="00BD06C4" w:rsidP="00BD06C4">
            <w:pPr>
              <w:pStyle w:val="NoSpacing"/>
            </w:pPr>
            <w:r>
              <w:t>1</w:t>
            </w:r>
            <w:r w:rsidRPr="00013ACB">
              <w:rPr>
                <w:vertAlign w:val="superscript"/>
              </w:rPr>
              <w:t>st</w:t>
            </w:r>
            <w:r>
              <w:t xml:space="preserve"> Round:</w:t>
            </w:r>
          </w:p>
          <w:p w14:paraId="2C85C327" w14:textId="77777777" w:rsidR="00BD06C4" w:rsidRDefault="00BD06C4" w:rsidP="00BD06C4">
            <w:pPr>
              <w:pStyle w:val="NoSpacing"/>
            </w:pPr>
            <w:r>
              <w:t>July 2019</w:t>
            </w:r>
          </w:p>
          <w:p w14:paraId="229C7561" w14:textId="77777777" w:rsidR="00BD06C4" w:rsidRDefault="00BD06C4" w:rsidP="00BD06C4">
            <w:pPr>
              <w:pStyle w:val="NoSpacing"/>
            </w:pPr>
          </w:p>
          <w:p w14:paraId="674FC548" w14:textId="77777777" w:rsidR="00BD06C4" w:rsidRDefault="00BD06C4" w:rsidP="00BD06C4">
            <w:pPr>
              <w:pStyle w:val="NoSpacing"/>
            </w:pPr>
            <w:r>
              <w:t>2</w:t>
            </w:r>
            <w:r w:rsidRPr="00013ACB">
              <w:rPr>
                <w:vertAlign w:val="superscript"/>
              </w:rPr>
              <w:t>nd</w:t>
            </w:r>
            <w:r>
              <w:t xml:space="preserve"> Round:</w:t>
            </w:r>
          </w:p>
          <w:p w14:paraId="7A503A16" w14:textId="77777777" w:rsidR="00BD06C4" w:rsidRDefault="00BD06C4" w:rsidP="00BD06C4">
            <w:pPr>
              <w:pStyle w:val="NoSpacing"/>
            </w:pPr>
            <w:r>
              <w:t xml:space="preserve"> July 2020</w:t>
            </w:r>
          </w:p>
          <w:p w14:paraId="72D16383" w14:textId="77777777" w:rsidR="00BD06C4" w:rsidRDefault="00BD06C4" w:rsidP="00BD06C4">
            <w:pPr>
              <w:pStyle w:val="NoSpacing"/>
            </w:pPr>
          </w:p>
          <w:p w14:paraId="65E38CCD" w14:textId="77777777" w:rsidR="00BD06C4" w:rsidRDefault="00BD06C4" w:rsidP="00BD06C4">
            <w:pPr>
              <w:pStyle w:val="NoSpacing"/>
            </w:pPr>
            <w:r>
              <w:t>3</w:t>
            </w:r>
            <w:r w:rsidRPr="00013ACB">
              <w:rPr>
                <w:vertAlign w:val="superscript"/>
              </w:rPr>
              <w:t>rd</w:t>
            </w:r>
            <w:r>
              <w:t xml:space="preserve"> Round: </w:t>
            </w:r>
          </w:p>
          <w:p w14:paraId="659D8A2F" w14:textId="77777777" w:rsidR="00BD06C4" w:rsidRDefault="00BD06C4" w:rsidP="00BD06C4">
            <w:pPr>
              <w:pStyle w:val="NoSpacing"/>
            </w:pPr>
            <w:r>
              <w:t>July 2021</w:t>
            </w:r>
          </w:p>
          <w:p w14:paraId="67CB149F" w14:textId="77777777" w:rsidR="00BD06C4" w:rsidRDefault="00BD06C4" w:rsidP="00BD06C4">
            <w:pPr>
              <w:pStyle w:val="NoSpacing"/>
            </w:pPr>
          </w:p>
          <w:p w14:paraId="74E31903" w14:textId="77777777" w:rsidR="00BD06C4" w:rsidRDefault="00BD06C4" w:rsidP="00BD06C4">
            <w:pPr>
              <w:pStyle w:val="NoSpacing"/>
            </w:pPr>
            <w:r>
              <w:t>4</w:t>
            </w:r>
            <w:r w:rsidRPr="00013ACB">
              <w:rPr>
                <w:vertAlign w:val="superscript"/>
              </w:rPr>
              <w:t>th</w:t>
            </w:r>
            <w:r>
              <w:t xml:space="preserve"> Round: </w:t>
            </w:r>
          </w:p>
          <w:p w14:paraId="47436E97" w14:textId="77777777" w:rsidR="00BD06C4" w:rsidRDefault="00BD06C4" w:rsidP="00BD06C4">
            <w:pPr>
              <w:pStyle w:val="NoSpacing"/>
            </w:pPr>
            <w:r>
              <w:t>July 2022</w:t>
            </w:r>
          </w:p>
          <w:p w14:paraId="00F68348" w14:textId="77777777" w:rsidR="00BD06C4" w:rsidRDefault="00BD06C4" w:rsidP="00BD06C4">
            <w:pPr>
              <w:pStyle w:val="NoSpacing"/>
            </w:pPr>
          </w:p>
          <w:p w14:paraId="0C170E44" w14:textId="77777777" w:rsidR="00BD06C4" w:rsidRDefault="00BD06C4" w:rsidP="00BD06C4">
            <w:pPr>
              <w:pStyle w:val="NoSpacing"/>
            </w:pPr>
            <w:r>
              <w:t>5</w:t>
            </w:r>
            <w:r w:rsidRPr="00013ACB">
              <w:rPr>
                <w:vertAlign w:val="superscript"/>
              </w:rPr>
              <w:t>th</w:t>
            </w:r>
            <w:r>
              <w:t xml:space="preserve"> Round: </w:t>
            </w:r>
          </w:p>
          <w:p w14:paraId="6B8B0784" w14:textId="77777777" w:rsidR="00BD06C4" w:rsidRDefault="00BD06C4" w:rsidP="00BD06C4">
            <w:pPr>
              <w:pStyle w:val="NoSpacing"/>
            </w:pPr>
            <w:r>
              <w:t xml:space="preserve">July </w:t>
            </w:r>
            <w:r>
              <w:lastRenderedPageBreak/>
              <w:t>2023</w:t>
            </w:r>
          </w:p>
          <w:p w14:paraId="3F705448" w14:textId="3DD453CC" w:rsidR="00BD06C4" w:rsidRPr="00AA35EE" w:rsidRDefault="00BD06C4" w:rsidP="00BD06C4">
            <w:pPr>
              <w:pStyle w:val="NoSpacing"/>
            </w:pPr>
          </w:p>
        </w:tc>
        <w:tc>
          <w:tcPr>
            <w:tcW w:w="0" w:type="auto"/>
          </w:tcPr>
          <w:p w14:paraId="535E206D" w14:textId="77777777" w:rsidR="00BD06C4" w:rsidRDefault="00BD06C4" w:rsidP="00BD06C4">
            <w:pPr>
              <w:ind w:left="970" w:hanging="970"/>
              <w:jc w:val="both"/>
              <w:rPr>
                <w:color w:val="0070C0"/>
                <w:sz w:val="30"/>
                <w:szCs w:val="30"/>
              </w:rPr>
            </w:pPr>
          </w:p>
        </w:tc>
      </w:tr>
      <w:tr w:rsidR="00BD06C4" w14:paraId="6DF5461A" w14:textId="77777777" w:rsidTr="00586441">
        <w:tc>
          <w:tcPr>
            <w:tcW w:w="0" w:type="auto"/>
          </w:tcPr>
          <w:p w14:paraId="1EC27022" w14:textId="77777777" w:rsidR="00BD06C4" w:rsidRPr="00BB536A" w:rsidRDefault="00BD06C4" w:rsidP="00BD06C4">
            <w:pPr>
              <w:pStyle w:val="NoSpacing"/>
            </w:pPr>
            <w:r w:rsidRPr="00BB536A">
              <w:lastRenderedPageBreak/>
              <w:t>17.19.2 Proportion of countries that (a) have conducted at least one population and housing census in the last 10 years; and (b) have achieved 100 per cent birth registration and 80 per cent death registration</w:t>
            </w:r>
          </w:p>
        </w:tc>
        <w:tc>
          <w:tcPr>
            <w:tcW w:w="0" w:type="auto"/>
          </w:tcPr>
          <w:p w14:paraId="2454971A" w14:textId="77777777" w:rsidR="00BD06C4" w:rsidRDefault="00BD06C4" w:rsidP="00BD06C4">
            <w:pPr>
              <w:pStyle w:val="NoSpacing"/>
            </w:pPr>
            <w:r w:rsidRPr="005867D7">
              <w:t>UNSD</w:t>
            </w:r>
          </w:p>
          <w:p w14:paraId="5C35969D" w14:textId="77777777" w:rsidR="00BD06C4" w:rsidRDefault="00BD06C4" w:rsidP="00BD06C4">
            <w:pPr>
              <w:rPr>
                <w:b/>
                <w:bCs/>
                <w:szCs w:val="20"/>
              </w:rPr>
            </w:pPr>
            <w:r w:rsidRPr="007243FC">
              <w:rPr>
                <w:b/>
                <w:bCs/>
                <w:szCs w:val="20"/>
              </w:rPr>
              <w:t>Partner Agencies:</w:t>
            </w:r>
          </w:p>
          <w:p w14:paraId="0EDFDA88" w14:textId="77777777" w:rsidR="00BD06C4" w:rsidRDefault="00BD06C4" w:rsidP="00BD06C4">
            <w:pPr>
              <w:pStyle w:val="NoSpacing"/>
            </w:pPr>
            <w:r>
              <w:t>UNFPA,</w:t>
            </w:r>
          </w:p>
          <w:p w14:paraId="3CCF508C" w14:textId="77777777" w:rsidR="00BD06C4" w:rsidRDefault="00BD06C4" w:rsidP="00BD06C4">
            <w:pPr>
              <w:pStyle w:val="NoSpacing"/>
            </w:pPr>
            <w:r>
              <w:t>DESA Population Division,</w:t>
            </w:r>
          </w:p>
          <w:p w14:paraId="7851ED16" w14:textId="77777777" w:rsidR="00BD06C4" w:rsidRDefault="00BD06C4" w:rsidP="00BD06C4">
            <w:pPr>
              <w:pStyle w:val="NoSpacing"/>
            </w:pPr>
            <w:r>
              <w:t>other involved agencies in the inter-agency group on CRVS</w:t>
            </w:r>
          </w:p>
        </w:tc>
        <w:tc>
          <w:tcPr>
            <w:tcW w:w="0" w:type="auto"/>
          </w:tcPr>
          <w:p w14:paraId="7A016A36" w14:textId="77777777" w:rsidR="00BD06C4" w:rsidRDefault="00BD06C4" w:rsidP="00BD06C4">
            <w:pPr>
              <w:ind w:left="970" w:hanging="970"/>
              <w:jc w:val="both"/>
              <w:rPr>
                <w:color w:val="0070C0"/>
                <w:sz w:val="30"/>
                <w:szCs w:val="30"/>
              </w:rPr>
            </w:pPr>
            <w:r>
              <w:t>Tier I</w:t>
            </w:r>
          </w:p>
        </w:tc>
        <w:tc>
          <w:tcPr>
            <w:tcW w:w="0" w:type="auto"/>
          </w:tcPr>
          <w:p w14:paraId="23549853" w14:textId="77777777" w:rsidR="00BD06C4" w:rsidRPr="00981A1B" w:rsidRDefault="00BD06C4" w:rsidP="00BD06C4">
            <w:pPr>
              <w:pStyle w:val="NoSpacing"/>
              <w:rPr>
                <w:b/>
                <w:sz w:val="22"/>
                <w:lang w:val="en-GB"/>
              </w:rPr>
            </w:pPr>
            <w:r w:rsidRPr="00981A1B">
              <w:rPr>
                <w:b/>
                <w:sz w:val="22"/>
                <w:lang w:val="en-GB"/>
              </w:rPr>
              <w:t xml:space="preserve">This information only refers to 17.19.2 (a) </w:t>
            </w:r>
          </w:p>
          <w:p w14:paraId="7F64619E" w14:textId="77777777" w:rsidR="00BD06C4" w:rsidRDefault="00BD06C4" w:rsidP="00BD06C4">
            <w:pPr>
              <w:pStyle w:val="NoSpacing"/>
              <w:rPr>
                <w:b/>
                <w:bCs/>
                <w:lang w:val="en-GB"/>
              </w:rPr>
            </w:pPr>
          </w:p>
          <w:p w14:paraId="4901F6D0" w14:textId="77777777" w:rsidR="00BD06C4" w:rsidRPr="008621B4" w:rsidRDefault="00BD06C4" w:rsidP="00BD06C4">
            <w:pPr>
              <w:pStyle w:val="NoSpacing"/>
              <w:rPr>
                <w:lang w:val="en-GB"/>
              </w:rPr>
            </w:pPr>
            <w:r w:rsidRPr="008621B4">
              <w:rPr>
                <w:b/>
                <w:bCs/>
                <w:lang w:val="en-GB"/>
              </w:rPr>
              <w:t>Definition:</w:t>
            </w:r>
          </w:p>
          <w:p w14:paraId="6B6672AF" w14:textId="77777777" w:rsidR="00BD06C4" w:rsidRPr="008621B4" w:rsidRDefault="00BD06C4" w:rsidP="00BD06C4">
            <w:pPr>
              <w:pStyle w:val="NoSpacing"/>
              <w:rPr>
                <w:lang w:val="en-GB"/>
              </w:rPr>
            </w:pPr>
          </w:p>
          <w:p w14:paraId="544A9DB5" w14:textId="77777777" w:rsidR="00BD06C4" w:rsidRPr="008621B4" w:rsidRDefault="00BD06C4" w:rsidP="00BD06C4">
            <w:pPr>
              <w:pStyle w:val="NoSpacing"/>
              <w:rPr>
                <w:lang w:val="en-GB"/>
              </w:rPr>
            </w:pPr>
            <w:r w:rsidRPr="008621B4">
              <w:rPr>
                <w:lang w:val="en-GB"/>
              </w:rPr>
              <w:t>The indicator tracks the proportion of countries that have conducted at least one population and housing census in the last 10 years. This also includes countries which compile their detailed population and housing statistics from population registers, administrative records, sample surveys or other sources or a combination of those sources.</w:t>
            </w:r>
          </w:p>
          <w:p w14:paraId="4D910597" w14:textId="77777777" w:rsidR="00BD06C4" w:rsidRPr="008621B4" w:rsidRDefault="00BD06C4" w:rsidP="00BD06C4">
            <w:pPr>
              <w:pStyle w:val="NoSpacing"/>
              <w:rPr>
                <w:lang w:val="en-GB"/>
              </w:rPr>
            </w:pPr>
          </w:p>
          <w:p w14:paraId="4F904DB8" w14:textId="77777777" w:rsidR="00BD06C4" w:rsidRPr="008621B4" w:rsidRDefault="00BD06C4" w:rsidP="00BD06C4">
            <w:pPr>
              <w:pStyle w:val="NoSpacing"/>
              <w:rPr>
                <w:lang w:val="en-GB"/>
              </w:rPr>
            </w:pPr>
            <w:r w:rsidRPr="008621B4">
              <w:rPr>
                <w:b/>
                <w:bCs/>
                <w:lang w:val="en-GB"/>
              </w:rPr>
              <w:t>Rationale:</w:t>
            </w:r>
          </w:p>
          <w:p w14:paraId="6E0259D7" w14:textId="77777777" w:rsidR="00BD06C4" w:rsidRPr="008621B4" w:rsidRDefault="00BD06C4" w:rsidP="00BD06C4">
            <w:pPr>
              <w:pStyle w:val="NoSpacing"/>
              <w:rPr>
                <w:lang w:val="en-GB"/>
              </w:rPr>
            </w:pPr>
          </w:p>
          <w:p w14:paraId="6B3D90AD" w14:textId="77777777" w:rsidR="00BD06C4" w:rsidRPr="008621B4" w:rsidRDefault="00BD06C4" w:rsidP="00BD06C4">
            <w:pPr>
              <w:pStyle w:val="NoSpacing"/>
              <w:rPr>
                <w:lang w:val="en-GB"/>
              </w:rPr>
            </w:pPr>
            <w:r w:rsidRPr="008621B4">
              <w:rPr>
                <w:lang w:val="en-GB"/>
              </w:rPr>
              <w:t>Population and housing censuses are one of the primary sources of data needed for formulating, implementing and monitoring policies and programmes aimed at inclusive socioeconomic development and environmental sustainability. Population and housing censuses are an important source for supplying disaggregated data needed for the measurement of progress of the 2030 Agenda for Sustainable Development, especially in the context of assessing the situation of people by income, sex, age, race, ethnicity, migratory status, disability and geographic location, or other characteristics.</w:t>
            </w:r>
          </w:p>
          <w:p w14:paraId="33E43B8D" w14:textId="77777777" w:rsidR="00BD06C4" w:rsidRPr="008621B4" w:rsidRDefault="00BD06C4" w:rsidP="00BD06C4">
            <w:pPr>
              <w:pStyle w:val="NoSpacing"/>
              <w:rPr>
                <w:lang w:val="en-GB"/>
              </w:rPr>
            </w:pPr>
          </w:p>
          <w:p w14:paraId="55CD700E" w14:textId="77777777" w:rsidR="00BD06C4" w:rsidRPr="008621B4" w:rsidRDefault="00BD06C4" w:rsidP="00BD06C4">
            <w:pPr>
              <w:pStyle w:val="NoSpacing"/>
              <w:rPr>
                <w:lang w:val="en-GB"/>
              </w:rPr>
            </w:pPr>
            <w:r w:rsidRPr="008621B4">
              <w:rPr>
                <w:lang w:val="en-GB"/>
              </w:rPr>
              <w:t>In recognition of the above, the ECOSOC resolution E/RES/2015/10 establishing the 2020 World Population and Housing Census Programme urges Member States to conduct at least one population and housing census during the period from 2015 to 2024, taking into account international and regional recommendations relating to population and housing censuses and giving particular attention to advance planning, cost efficiency, coverage and the timely dissemination of, and easy access to, census results for national stakeholders, the United Nations and other appropriate intergovernmental organizations in order to inform decisions and facilitate the effective implementation of development plans and programmes.</w:t>
            </w:r>
          </w:p>
          <w:p w14:paraId="4550AF23" w14:textId="77777777" w:rsidR="00BD06C4" w:rsidRPr="008621B4" w:rsidRDefault="00BD06C4" w:rsidP="00BD06C4">
            <w:pPr>
              <w:pStyle w:val="NoSpacing"/>
              <w:rPr>
                <w:lang w:val="en-GB"/>
              </w:rPr>
            </w:pPr>
          </w:p>
          <w:p w14:paraId="435BBAB1" w14:textId="77777777" w:rsidR="00BD06C4" w:rsidRPr="008621B4" w:rsidRDefault="00BD06C4" w:rsidP="00BD06C4">
            <w:pPr>
              <w:pStyle w:val="NoSpacing"/>
              <w:rPr>
                <w:lang w:val="en-GB"/>
              </w:rPr>
            </w:pPr>
            <w:r w:rsidRPr="008621B4">
              <w:rPr>
                <w:lang w:val="en-GB"/>
              </w:rPr>
              <w:t xml:space="preserve">The indicator tracks the proportion of countries that have conducted at least one population and housing census in the last 10 years and hence provides information on the availability of disaggregated population and housing data needed for the measurement of progress of the </w:t>
            </w:r>
            <w:r w:rsidRPr="008621B4">
              <w:rPr>
                <w:lang w:val="en-GB"/>
              </w:rPr>
              <w:lastRenderedPageBreak/>
              <w:t>2030 Agenda for Sustainable Development,.</w:t>
            </w:r>
          </w:p>
          <w:p w14:paraId="3115DE23" w14:textId="77777777" w:rsidR="00BD06C4" w:rsidRPr="008621B4" w:rsidRDefault="00BD06C4" w:rsidP="00BD06C4">
            <w:pPr>
              <w:pStyle w:val="NoSpacing"/>
              <w:rPr>
                <w:b/>
                <w:bCs/>
                <w:lang w:val="en-GB"/>
              </w:rPr>
            </w:pPr>
          </w:p>
          <w:p w14:paraId="2EF7A348" w14:textId="77777777" w:rsidR="00BD06C4" w:rsidRPr="008621B4" w:rsidRDefault="00BD06C4" w:rsidP="00BD06C4">
            <w:pPr>
              <w:pStyle w:val="NoSpacing"/>
              <w:rPr>
                <w:lang w:val="en-GB"/>
              </w:rPr>
            </w:pPr>
            <w:r w:rsidRPr="008621B4">
              <w:rPr>
                <w:b/>
                <w:bCs/>
                <w:lang w:val="en-GB"/>
              </w:rPr>
              <w:t>Disaggregation:</w:t>
            </w:r>
          </w:p>
          <w:p w14:paraId="6D3FCE54" w14:textId="77777777" w:rsidR="00BD06C4" w:rsidRPr="008621B4" w:rsidRDefault="00BD06C4" w:rsidP="00BD06C4">
            <w:pPr>
              <w:pStyle w:val="NoSpacing"/>
              <w:rPr>
                <w:lang w:val="en-GB"/>
              </w:rPr>
            </w:pPr>
          </w:p>
          <w:p w14:paraId="43DB702A" w14:textId="77777777" w:rsidR="00BD06C4" w:rsidRPr="008621B4" w:rsidRDefault="00BD06C4" w:rsidP="00BD06C4">
            <w:pPr>
              <w:pStyle w:val="NoSpacing"/>
              <w:rPr>
                <w:lang w:val="en-GB"/>
              </w:rPr>
            </w:pPr>
            <w:r w:rsidRPr="008621B4">
              <w:rPr>
                <w:lang w:val="en-GB"/>
              </w:rPr>
              <w:t>The indicator could be disaggregated by geographic region.</w:t>
            </w:r>
          </w:p>
          <w:p w14:paraId="546ADAA4" w14:textId="77777777" w:rsidR="00BD06C4" w:rsidRDefault="00BD06C4" w:rsidP="00BD06C4">
            <w:pPr>
              <w:pStyle w:val="NoSpacing"/>
            </w:pPr>
          </w:p>
          <w:p w14:paraId="2252A830" w14:textId="77777777" w:rsidR="00BD06C4" w:rsidRDefault="00BD06C4" w:rsidP="00BD06C4">
            <w:pPr>
              <w:pStyle w:val="NoSpacing"/>
            </w:pPr>
          </w:p>
          <w:p w14:paraId="580AEE69" w14:textId="77777777" w:rsidR="00BD06C4" w:rsidRPr="00981A1B" w:rsidRDefault="00BD06C4" w:rsidP="00BD06C4">
            <w:pPr>
              <w:pStyle w:val="NoSpacing"/>
              <w:rPr>
                <w:b/>
                <w:sz w:val="22"/>
                <w:lang w:val="en-GB"/>
              </w:rPr>
            </w:pPr>
            <w:r w:rsidRPr="00981A1B">
              <w:rPr>
                <w:b/>
                <w:sz w:val="22"/>
                <w:lang w:val="en-GB"/>
              </w:rPr>
              <w:t>This information only refers to 17.19.2 (b)</w:t>
            </w:r>
          </w:p>
          <w:p w14:paraId="36691C18" w14:textId="77777777" w:rsidR="00BD06C4" w:rsidRDefault="00BD06C4" w:rsidP="00BD06C4">
            <w:pPr>
              <w:pStyle w:val="NoSpacing"/>
            </w:pPr>
          </w:p>
          <w:p w14:paraId="79679869" w14:textId="77777777" w:rsidR="00BD06C4" w:rsidRPr="00981A1B" w:rsidRDefault="00BD06C4" w:rsidP="00BD06C4">
            <w:pPr>
              <w:pStyle w:val="NoSpacing"/>
              <w:rPr>
                <w:b/>
                <w:bCs/>
                <w:lang w:val="en-GB"/>
              </w:rPr>
            </w:pPr>
            <w:r w:rsidRPr="00981A1B">
              <w:rPr>
                <w:b/>
                <w:bCs/>
                <w:lang w:val="en-GB"/>
              </w:rPr>
              <w:t>Definition:</w:t>
            </w:r>
          </w:p>
          <w:p w14:paraId="164EF03B" w14:textId="77777777" w:rsidR="00BD06C4" w:rsidRPr="00981A1B" w:rsidRDefault="00BD06C4" w:rsidP="00BD06C4">
            <w:pPr>
              <w:pStyle w:val="NoSpacing"/>
              <w:rPr>
                <w:b/>
                <w:bCs/>
                <w:lang w:val="en-GB"/>
              </w:rPr>
            </w:pPr>
          </w:p>
          <w:p w14:paraId="6D62B31D" w14:textId="77777777" w:rsidR="00BD06C4" w:rsidRPr="00981A1B" w:rsidRDefault="00BD06C4" w:rsidP="00BD06C4">
            <w:pPr>
              <w:pStyle w:val="NoSpacing"/>
              <w:rPr>
                <w:lang w:val="en-GB"/>
              </w:rPr>
            </w:pPr>
            <w:r w:rsidRPr="00981A1B">
              <w:rPr>
                <w:lang w:val="en-GB"/>
              </w:rPr>
              <w:t>According to the Principles and Recommendations for a Vital Statistics System, Revision 3 (</w:t>
            </w:r>
            <w:hyperlink r:id="rId150" w:history="1">
              <w:r w:rsidRPr="00981A1B">
                <w:rPr>
                  <w:rStyle w:val="Hyperlink"/>
                  <w:lang w:val="en-GB"/>
                </w:rPr>
                <w:t>https://unstats.un.org/unsd/demographic/standmeth/principles/M19Rev3en.pdf</w:t>
              </w:r>
            </w:hyperlink>
            <w:r w:rsidRPr="00981A1B">
              <w:rPr>
                <w:lang w:val="en-GB"/>
              </w:rPr>
              <w:t>), a complete civil registration is defined as:  “The registration in the civil registration system of every vital event that has occurred to the members of the population of a particular country (or area), within a specified period as a result of which every such event has a vital registration record and the system has attained 100 per cent coverage.”</w:t>
            </w:r>
          </w:p>
          <w:p w14:paraId="7E7E5BC3" w14:textId="77777777" w:rsidR="00BD06C4" w:rsidRPr="00981A1B" w:rsidRDefault="00BD06C4" w:rsidP="00BD06C4">
            <w:pPr>
              <w:pStyle w:val="NoSpacing"/>
              <w:rPr>
                <w:lang w:val="en-GB"/>
              </w:rPr>
            </w:pPr>
          </w:p>
          <w:p w14:paraId="50934E56" w14:textId="77777777" w:rsidR="00BD06C4" w:rsidRPr="00981A1B" w:rsidRDefault="00BD06C4" w:rsidP="00BD06C4">
            <w:pPr>
              <w:pStyle w:val="NoSpacing"/>
              <w:rPr>
                <w:lang w:val="en-GB"/>
              </w:rPr>
            </w:pPr>
            <w:r w:rsidRPr="00981A1B">
              <w:rPr>
                <w:lang w:val="en-GB"/>
              </w:rPr>
              <w:t xml:space="preserve">In a given country or area, the level of completeness of birth registration can be different from the level of completeness of death registration. </w:t>
            </w:r>
          </w:p>
          <w:p w14:paraId="3E3114E1" w14:textId="77777777" w:rsidR="00BD06C4" w:rsidRPr="00981A1B" w:rsidRDefault="00BD06C4" w:rsidP="00BD06C4">
            <w:pPr>
              <w:pStyle w:val="NoSpacing"/>
              <w:rPr>
                <w:lang w:val="en-GB"/>
              </w:rPr>
            </w:pPr>
          </w:p>
          <w:p w14:paraId="7BFADB32" w14:textId="77777777" w:rsidR="00BD06C4" w:rsidRPr="00981A1B" w:rsidRDefault="00BD06C4" w:rsidP="00BD06C4">
            <w:pPr>
              <w:pStyle w:val="NoSpacing"/>
              <w:rPr>
                <w:lang w:val="en-GB"/>
              </w:rPr>
            </w:pPr>
            <w:r w:rsidRPr="00981A1B">
              <w:rPr>
                <w:lang w:val="en-GB"/>
              </w:rPr>
              <w:t xml:space="preserve">There exist several methods for the evaluation of completeness of birth or death registration systems. </w:t>
            </w:r>
          </w:p>
          <w:p w14:paraId="61B7F6BC" w14:textId="77777777" w:rsidR="00BD06C4" w:rsidRPr="00981A1B" w:rsidRDefault="00BD06C4" w:rsidP="00BD06C4">
            <w:pPr>
              <w:pStyle w:val="NoSpacing"/>
              <w:rPr>
                <w:lang w:val="en-GB"/>
              </w:rPr>
            </w:pPr>
            <w:r w:rsidRPr="00981A1B">
              <w:rPr>
                <w:lang w:val="en-GB"/>
              </w:rPr>
              <w:t>An elaboration of these methods is available at Principles and Recommendations for a Vital Statistics System, Revision 3.  The evaluation and monitoring of quality and completeness  of birth and death registration systems are addressed in Part three, sub-Chapters: D. Quality assessment methods; E. Direct versus indirect assessment,  and F. Choosing appropriate methods for assessing completeness and qualitative accuracy of registration and register-based vital statistics (para 579 to 622).</w:t>
            </w:r>
          </w:p>
          <w:p w14:paraId="698187F3" w14:textId="77777777" w:rsidR="00BD06C4" w:rsidRPr="00981A1B" w:rsidRDefault="00BD06C4" w:rsidP="00BD06C4">
            <w:pPr>
              <w:pStyle w:val="NoSpacing"/>
              <w:rPr>
                <w:lang w:val="en-GB"/>
              </w:rPr>
            </w:pPr>
          </w:p>
          <w:p w14:paraId="29496692" w14:textId="77777777" w:rsidR="00BD06C4" w:rsidRPr="00981A1B" w:rsidRDefault="00BD06C4" w:rsidP="00BD06C4">
            <w:pPr>
              <w:pStyle w:val="NoSpacing"/>
              <w:rPr>
                <w:lang w:val="en-GB"/>
              </w:rPr>
            </w:pPr>
            <w:r w:rsidRPr="00981A1B">
              <w:rPr>
                <w:lang w:val="en-GB"/>
              </w:rPr>
              <w:t xml:space="preserve">Indicator 17.19.2(b) has two parts; the first concerning the birth registration and the second concerning the death registration of each individual country or area.  </w:t>
            </w:r>
          </w:p>
          <w:p w14:paraId="7FF0BB16" w14:textId="77777777" w:rsidR="00BD06C4" w:rsidRPr="00981A1B" w:rsidRDefault="00BD06C4" w:rsidP="00BD06C4">
            <w:pPr>
              <w:pStyle w:val="NoSpacing"/>
              <w:rPr>
                <w:b/>
                <w:bCs/>
                <w:lang w:val="en-GB"/>
              </w:rPr>
            </w:pPr>
          </w:p>
          <w:p w14:paraId="51464935" w14:textId="77777777" w:rsidR="00BD06C4" w:rsidRPr="00981A1B" w:rsidRDefault="00BD06C4" w:rsidP="00BD06C4">
            <w:pPr>
              <w:pStyle w:val="NoSpacing"/>
              <w:rPr>
                <w:b/>
                <w:bCs/>
                <w:lang w:val="en-GB"/>
              </w:rPr>
            </w:pPr>
            <w:r w:rsidRPr="00981A1B">
              <w:rPr>
                <w:b/>
                <w:bCs/>
                <w:lang w:val="en-GB"/>
              </w:rPr>
              <w:t>Computation Method:</w:t>
            </w:r>
          </w:p>
          <w:p w14:paraId="107346CE" w14:textId="77777777" w:rsidR="00BD06C4" w:rsidRPr="00981A1B" w:rsidRDefault="00BD06C4" w:rsidP="00BD06C4">
            <w:pPr>
              <w:pStyle w:val="NoSpacing"/>
              <w:rPr>
                <w:lang w:val="en-GB"/>
              </w:rPr>
            </w:pPr>
          </w:p>
          <w:p w14:paraId="31700A6E" w14:textId="77777777" w:rsidR="00BD06C4" w:rsidRPr="00981A1B" w:rsidRDefault="00BD06C4" w:rsidP="00BD06C4">
            <w:pPr>
              <w:pStyle w:val="NoSpacing"/>
              <w:rPr>
                <w:lang w:val="en-GB"/>
              </w:rPr>
            </w:pPr>
            <w:r w:rsidRPr="00981A1B">
              <w:rPr>
                <w:lang w:val="en-GB"/>
              </w:rPr>
              <w:t xml:space="preserve">The two sub-indicators of the indicator 17.19.2(b) are expressed as proportions: at the global level, the proportion of countries that have achieved 100 per cent birth registration is measured </w:t>
            </w:r>
            <w:r w:rsidRPr="00981A1B">
              <w:rPr>
                <w:lang w:val="en-GB"/>
              </w:rPr>
              <w:lastRenderedPageBreak/>
              <w:t xml:space="preserve">as the number of countries that have achieved 100 per cent birth registration to the total number of countries. The computation is done in an analogous manner for the death registration part as well as for the regional measurements of both birth and death registration sub-indicators. </w:t>
            </w:r>
          </w:p>
          <w:p w14:paraId="324CDD47" w14:textId="77777777" w:rsidR="00BD06C4" w:rsidRPr="00981A1B" w:rsidRDefault="00BD06C4" w:rsidP="00BD06C4">
            <w:pPr>
              <w:pStyle w:val="NoSpacing"/>
              <w:rPr>
                <w:lang w:val="en-GB"/>
              </w:rPr>
            </w:pPr>
          </w:p>
          <w:p w14:paraId="49D1B2ED" w14:textId="77777777" w:rsidR="00BD06C4" w:rsidRPr="00981A1B" w:rsidRDefault="00BD06C4" w:rsidP="00BD06C4">
            <w:pPr>
              <w:pStyle w:val="NoSpacing"/>
              <w:rPr>
                <w:lang w:val="en-GB"/>
              </w:rPr>
            </w:pPr>
            <w:r w:rsidRPr="00981A1B">
              <w:rPr>
                <w:lang w:val="en-GB"/>
              </w:rPr>
              <w:t xml:space="preserve">The latest compiled data for this indicator are part of the Statistical Annex to the 2017 SG’s progress report, available at </w:t>
            </w:r>
            <w:hyperlink r:id="rId151" w:history="1">
              <w:r w:rsidRPr="00981A1B">
                <w:rPr>
                  <w:rStyle w:val="Hyperlink"/>
                  <w:lang w:val="en-GB"/>
                </w:rPr>
                <w:t>https://unstats.un.org/sdgs/files/report/2017/secretary-general-sdg-report-2017--Statistical-Annex.pdf</w:t>
              </w:r>
            </w:hyperlink>
            <w:r w:rsidRPr="00981A1B">
              <w:rPr>
                <w:lang w:val="en-GB"/>
              </w:rPr>
              <w:t xml:space="preserve"> (please refer to the last two pages). These data are compiled using the country-reported information on availability and completeness of birth and death registration data at the country level, to the United Nations </w:t>
            </w:r>
            <w:r w:rsidRPr="00981A1B">
              <w:rPr>
                <w:i/>
                <w:lang w:val="en-GB"/>
              </w:rPr>
              <w:t>Demographic Yearbook</w:t>
            </w:r>
            <w:r w:rsidRPr="00981A1B">
              <w:rPr>
                <w:lang w:val="en-GB"/>
              </w:rPr>
              <w:t xml:space="preserve">, via the </w:t>
            </w:r>
            <w:r w:rsidRPr="00981A1B">
              <w:rPr>
                <w:i/>
                <w:lang w:val="en-GB"/>
              </w:rPr>
              <w:t xml:space="preserve">Demographic Yearbook </w:t>
            </w:r>
            <w:r w:rsidRPr="00981A1B">
              <w:rPr>
                <w:lang w:val="en-GB"/>
              </w:rPr>
              <w:t xml:space="preserve">Vital Statistics questionnaire and accompanying metadata. United Nations </w:t>
            </w:r>
            <w:r w:rsidRPr="00981A1B">
              <w:rPr>
                <w:i/>
                <w:lang w:val="en-GB"/>
              </w:rPr>
              <w:t xml:space="preserve">Demographic Yearbook </w:t>
            </w:r>
            <w:r w:rsidRPr="00981A1B">
              <w:rPr>
                <w:lang w:val="en-GB"/>
              </w:rPr>
              <w:t xml:space="preserve">collection and associated online compilations are published by the United Nations Statistics Division of the Department of Economic and Social Affairs. Please refer to: </w:t>
            </w:r>
            <w:hyperlink r:id="rId152" w:history="1">
              <w:r w:rsidRPr="00981A1B">
                <w:rPr>
                  <w:rStyle w:val="Hyperlink"/>
                  <w:lang w:val="en-GB"/>
                </w:rPr>
                <w:t>https://unstats.un.org/unsd/demographic/products/dyb/default.htm</w:t>
              </w:r>
            </w:hyperlink>
            <w:r w:rsidRPr="00981A1B">
              <w:rPr>
                <w:lang w:val="en-GB"/>
              </w:rPr>
              <w:t xml:space="preserve"> </w:t>
            </w:r>
          </w:p>
          <w:p w14:paraId="0CCA088A" w14:textId="77777777" w:rsidR="00BD06C4" w:rsidRPr="00981A1B" w:rsidRDefault="00BD06C4" w:rsidP="00BD06C4">
            <w:pPr>
              <w:pStyle w:val="NoSpacing"/>
              <w:rPr>
                <w:lang w:val="en-GB"/>
              </w:rPr>
            </w:pPr>
          </w:p>
          <w:p w14:paraId="3DB652D3" w14:textId="77777777" w:rsidR="00BD06C4" w:rsidRPr="00981A1B" w:rsidRDefault="00BD06C4" w:rsidP="00BD06C4">
            <w:pPr>
              <w:pStyle w:val="NoSpacing"/>
              <w:rPr>
                <w:lang w:val="en-GB"/>
              </w:rPr>
            </w:pPr>
            <w:r w:rsidRPr="00981A1B">
              <w:rPr>
                <w:lang w:val="en-GB"/>
              </w:rPr>
              <w:t xml:space="preserve">At the present time, the thresholds used for compiling the data for the indicator 17.19.2(b) are 90 per cent for birth registration and 75 per cent for death registration, due to the classification that has been used in the </w:t>
            </w:r>
            <w:r w:rsidRPr="00981A1B">
              <w:rPr>
                <w:i/>
                <w:lang w:val="en-GB"/>
              </w:rPr>
              <w:t>Demographic Yearbook</w:t>
            </w:r>
            <w:r w:rsidRPr="00981A1B">
              <w:rPr>
                <w:lang w:val="en-GB"/>
              </w:rPr>
              <w:t xml:space="preserve"> metadata questionnaire on vital statistics. This classification has currently been modified to enable reporting according to the exact formulation of the indicator 17.19.2(b).</w:t>
            </w:r>
          </w:p>
          <w:p w14:paraId="16944771" w14:textId="77777777" w:rsidR="00BD06C4" w:rsidRDefault="00BD06C4" w:rsidP="00BD06C4">
            <w:pPr>
              <w:pStyle w:val="NoSpacing"/>
            </w:pPr>
          </w:p>
        </w:tc>
        <w:tc>
          <w:tcPr>
            <w:tcW w:w="2835" w:type="dxa"/>
          </w:tcPr>
          <w:p w14:paraId="518564E9" w14:textId="77777777" w:rsidR="00BD06C4" w:rsidRPr="00873FDE" w:rsidRDefault="00BD06C4" w:rsidP="00BD06C4">
            <w:pPr>
              <w:rPr>
                <w:szCs w:val="22"/>
              </w:rPr>
            </w:pPr>
            <w:r w:rsidRPr="00873FDE">
              <w:rPr>
                <w:szCs w:val="22"/>
              </w:rPr>
              <w:lastRenderedPageBreak/>
              <w:t>The national level of completeness of birth and death registration is provided by the National Statistical Offices of all countries and areas to the United Nations Statistics Division as part of the annual data collection for the United Nations Demographic Yearbook. This information is usually reported as part of the metadata worksheets of the Vital Statistics questionnaire. The template of this questionnaire is available at: https://unstats.un.org/unsd/demographic/products/dyb/dybquest.htm</w:t>
            </w:r>
          </w:p>
        </w:tc>
        <w:tc>
          <w:tcPr>
            <w:tcW w:w="1167" w:type="dxa"/>
          </w:tcPr>
          <w:p w14:paraId="057D1497" w14:textId="77777777" w:rsidR="00BD06C4" w:rsidRPr="00991211" w:rsidRDefault="00BD06C4" w:rsidP="00BD06C4">
            <w:pPr>
              <w:pStyle w:val="NoSpacing"/>
              <w:rPr>
                <w:lang w:eastAsia="en-GB"/>
              </w:rPr>
            </w:pPr>
            <w:r w:rsidRPr="00991211">
              <w:rPr>
                <w:lang w:eastAsia="en-GB"/>
              </w:rPr>
              <w:t>National Statistical Office or Census Agency</w:t>
            </w:r>
          </w:p>
          <w:p w14:paraId="2A8BA572" w14:textId="77777777" w:rsidR="00BD06C4" w:rsidRPr="00873FDE" w:rsidRDefault="00BD06C4" w:rsidP="00BD06C4">
            <w:pPr>
              <w:pStyle w:val="NoSpacing"/>
              <w:rPr>
                <w:szCs w:val="22"/>
              </w:rPr>
            </w:pPr>
          </w:p>
        </w:tc>
        <w:tc>
          <w:tcPr>
            <w:tcW w:w="0" w:type="auto"/>
          </w:tcPr>
          <w:p w14:paraId="4A56CFEB" w14:textId="77777777" w:rsidR="00BD06C4" w:rsidRDefault="00BD06C4" w:rsidP="00BD06C4">
            <w:pPr>
              <w:spacing w:line="276" w:lineRule="auto"/>
              <w:jc w:val="both"/>
            </w:pPr>
            <w:r>
              <w:t xml:space="preserve">(a) </w:t>
            </w:r>
            <w:r w:rsidRPr="00BC6F10">
              <w:t>BBS</w:t>
            </w:r>
          </w:p>
          <w:p w14:paraId="7F734B7A" w14:textId="159F9280" w:rsidR="00BD06C4" w:rsidRDefault="00BD06C4" w:rsidP="00BD06C4">
            <w:pPr>
              <w:spacing w:line="276" w:lineRule="auto"/>
              <w:jc w:val="both"/>
            </w:pPr>
          </w:p>
          <w:p w14:paraId="052370C0" w14:textId="77777777" w:rsidR="00BD06C4" w:rsidRPr="00BC6F10" w:rsidRDefault="00BD06C4" w:rsidP="00BD06C4">
            <w:pPr>
              <w:pStyle w:val="NoSpacing"/>
            </w:pPr>
            <w:r>
              <w:t>Administrative Data</w:t>
            </w:r>
          </w:p>
        </w:tc>
        <w:tc>
          <w:tcPr>
            <w:tcW w:w="0" w:type="auto"/>
          </w:tcPr>
          <w:p w14:paraId="3BA918BE" w14:textId="77777777" w:rsidR="00BD06C4" w:rsidRDefault="00BD06C4" w:rsidP="00BD06C4">
            <w:pPr>
              <w:spacing w:line="276" w:lineRule="auto"/>
              <w:jc w:val="both"/>
            </w:pPr>
            <w:r>
              <w:t xml:space="preserve">(a) </w:t>
            </w:r>
            <w:r w:rsidRPr="00BC6F10">
              <w:t>BBS</w:t>
            </w:r>
            <w:r>
              <w:t xml:space="preserve"> (PHC), SID</w:t>
            </w:r>
          </w:p>
          <w:p w14:paraId="61270431" w14:textId="77777777" w:rsidR="00BD06C4" w:rsidRDefault="00BD06C4" w:rsidP="00BD06C4">
            <w:pPr>
              <w:spacing w:line="276" w:lineRule="auto"/>
              <w:jc w:val="both"/>
            </w:pPr>
            <w:r>
              <w:t>(b) ORG, LGD</w:t>
            </w:r>
          </w:p>
          <w:p w14:paraId="30D8BD78" w14:textId="77777777" w:rsidR="00BD06C4" w:rsidRPr="00BC6F10" w:rsidRDefault="00BD06C4" w:rsidP="00BD06C4">
            <w:pPr>
              <w:spacing w:line="276" w:lineRule="auto"/>
              <w:jc w:val="center"/>
            </w:pPr>
            <w:r>
              <w:t>Administrative Data</w:t>
            </w:r>
          </w:p>
        </w:tc>
        <w:tc>
          <w:tcPr>
            <w:tcW w:w="0" w:type="auto"/>
          </w:tcPr>
          <w:p w14:paraId="05E96D21"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Sub-National Administrative Areas</w:t>
            </w:r>
          </w:p>
          <w:p w14:paraId="670C37DE"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Income</w:t>
            </w:r>
          </w:p>
          <w:p w14:paraId="5AC83848"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Geographical Location</w:t>
            </w:r>
          </w:p>
          <w:p w14:paraId="4E240CEE"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Sex: Male/Female</w:t>
            </w:r>
          </w:p>
          <w:p w14:paraId="5810DA14" w14:textId="77777777" w:rsidR="00BD06C4" w:rsidRDefault="00BD06C4" w:rsidP="00BD06C4">
            <w:pPr>
              <w:pStyle w:val="ListParagraph"/>
              <w:numPr>
                <w:ilvl w:val="0"/>
                <w:numId w:val="52"/>
              </w:numPr>
              <w:spacing w:after="0" w:line="240" w:lineRule="auto"/>
              <w:ind w:left="160" w:hanging="160"/>
              <w:jc w:val="both"/>
              <w:rPr>
                <w:rFonts w:ascii="Tw Cen MT Condensed" w:hAnsi="Tw Cen MT Condensed"/>
                <w:sz w:val="20"/>
                <w:szCs w:val="20"/>
              </w:rPr>
            </w:pPr>
            <w:r>
              <w:rPr>
                <w:rFonts w:ascii="Tw Cen MT Condensed" w:hAnsi="Tw Cen MT Condensed"/>
                <w:sz w:val="20"/>
                <w:szCs w:val="20"/>
              </w:rPr>
              <w:t>Age</w:t>
            </w:r>
          </w:p>
          <w:p w14:paraId="198B2662" w14:textId="77777777" w:rsidR="00BD06C4" w:rsidRDefault="00BD06C4" w:rsidP="00BD06C4">
            <w:pPr>
              <w:pStyle w:val="ListParagraph"/>
              <w:numPr>
                <w:ilvl w:val="0"/>
                <w:numId w:val="52"/>
              </w:numPr>
              <w:spacing w:after="160" w:line="256" w:lineRule="auto"/>
              <w:ind w:left="160" w:hanging="160"/>
              <w:jc w:val="both"/>
              <w:rPr>
                <w:rFonts w:ascii="Tw Cen MT Condensed" w:hAnsi="Tw Cen MT Condensed"/>
                <w:szCs w:val="28"/>
              </w:rPr>
            </w:pPr>
            <w:r>
              <w:rPr>
                <w:rFonts w:ascii="Tw Cen MT Condensed" w:hAnsi="Tw Cen MT Condensed"/>
                <w:sz w:val="20"/>
                <w:szCs w:val="20"/>
              </w:rPr>
              <w:t>Disability</w:t>
            </w:r>
          </w:p>
          <w:p w14:paraId="0A4C2D69" w14:textId="77777777" w:rsidR="00BD06C4" w:rsidRDefault="00BD06C4" w:rsidP="00BD06C4">
            <w:pPr>
              <w:ind w:left="970" w:hanging="970"/>
              <w:jc w:val="both"/>
              <w:rPr>
                <w:color w:val="0070C0"/>
                <w:sz w:val="30"/>
                <w:szCs w:val="30"/>
              </w:rPr>
            </w:pPr>
          </w:p>
        </w:tc>
        <w:tc>
          <w:tcPr>
            <w:tcW w:w="1078" w:type="dxa"/>
          </w:tcPr>
          <w:p w14:paraId="2776C447" w14:textId="77777777" w:rsidR="00BD06C4" w:rsidRDefault="00BD06C4" w:rsidP="00BD06C4">
            <w:pPr>
              <w:ind w:left="970" w:hanging="970"/>
              <w:jc w:val="both"/>
              <w:rPr>
                <w:color w:val="0070C0"/>
                <w:sz w:val="30"/>
                <w:szCs w:val="30"/>
              </w:rPr>
            </w:pPr>
            <w:r w:rsidRPr="00BC6F10">
              <w:t>Annual</w:t>
            </w:r>
          </w:p>
        </w:tc>
        <w:tc>
          <w:tcPr>
            <w:tcW w:w="872" w:type="dxa"/>
          </w:tcPr>
          <w:p w14:paraId="125494F0" w14:textId="77777777" w:rsidR="00BD06C4" w:rsidRDefault="00BD06C4" w:rsidP="00BD06C4">
            <w:pPr>
              <w:ind w:left="970" w:hanging="970"/>
              <w:jc w:val="both"/>
              <w:rPr>
                <w:color w:val="0070C0"/>
                <w:sz w:val="30"/>
                <w:szCs w:val="30"/>
              </w:rPr>
            </w:pPr>
            <w:r>
              <w:t>Group 1</w:t>
            </w:r>
          </w:p>
        </w:tc>
        <w:tc>
          <w:tcPr>
            <w:tcW w:w="619" w:type="dxa"/>
          </w:tcPr>
          <w:p w14:paraId="1DA7CDB8" w14:textId="77777777" w:rsidR="00BD06C4" w:rsidRDefault="00BD06C4" w:rsidP="00BD06C4">
            <w:pPr>
              <w:pStyle w:val="NoSpacing"/>
            </w:pPr>
            <w:r>
              <w:t>1</w:t>
            </w:r>
            <w:r w:rsidRPr="00013ACB">
              <w:rPr>
                <w:vertAlign w:val="superscript"/>
              </w:rPr>
              <w:t>st</w:t>
            </w:r>
            <w:r>
              <w:t xml:space="preserve"> Round:</w:t>
            </w:r>
          </w:p>
          <w:p w14:paraId="498BC0BE" w14:textId="77777777" w:rsidR="00BD06C4" w:rsidRDefault="00BD06C4" w:rsidP="00BD06C4">
            <w:pPr>
              <w:pStyle w:val="NoSpacing"/>
            </w:pPr>
            <w:r>
              <w:t>2018</w:t>
            </w:r>
          </w:p>
          <w:p w14:paraId="116E1C02" w14:textId="77777777" w:rsidR="00BD06C4" w:rsidRDefault="00BD06C4" w:rsidP="00BD06C4">
            <w:pPr>
              <w:pStyle w:val="NoSpacing"/>
            </w:pPr>
          </w:p>
          <w:p w14:paraId="48352A2E" w14:textId="77777777" w:rsidR="00BD06C4" w:rsidRDefault="00BD06C4" w:rsidP="00BD06C4">
            <w:pPr>
              <w:pStyle w:val="NoSpacing"/>
            </w:pPr>
            <w:r>
              <w:t>2</w:t>
            </w:r>
            <w:r w:rsidRPr="00013ACB">
              <w:rPr>
                <w:vertAlign w:val="superscript"/>
              </w:rPr>
              <w:t>nd</w:t>
            </w:r>
            <w:r>
              <w:t xml:space="preserve"> Round:</w:t>
            </w:r>
          </w:p>
          <w:p w14:paraId="3A9FFC0E" w14:textId="77777777" w:rsidR="00BD06C4" w:rsidRDefault="00BD06C4" w:rsidP="00BD06C4">
            <w:pPr>
              <w:pStyle w:val="NoSpacing"/>
            </w:pPr>
            <w:r>
              <w:t xml:space="preserve"> July 2019</w:t>
            </w:r>
          </w:p>
          <w:p w14:paraId="26957AA8" w14:textId="77777777" w:rsidR="00BD06C4" w:rsidRDefault="00BD06C4" w:rsidP="00BD06C4">
            <w:pPr>
              <w:pStyle w:val="NoSpacing"/>
            </w:pPr>
          </w:p>
          <w:p w14:paraId="4F8F4324" w14:textId="77777777" w:rsidR="00BD06C4" w:rsidRDefault="00BD06C4" w:rsidP="00BD06C4">
            <w:pPr>
              <w:pStyle w:val="NoSpacing"/>
            </w:pPr>
            <w:r>
              <w:t>3</w:t>
            </w:r>
            <w:r w:rsidRPr="00013ACB">
              <w:rPr>
                <w:vertAlign w:val="superscript"/>
              </w:rPr>
              <w:t>rd</w:t>
            </w:r>
            <w:r>
              <w:t xml:space="preserve"> Round: </w:t>
            </w:r>
          </w:p>
          <w:p w14:paraId="460F9A30" w14:textId="77777777" w:rsidR="00BD06C4" w:rsidRDefault="00BD06C4" w:rsidP="00BD06C4">
            <w:pPr>
              <w:pStyle w:val="NoSpacing"/>
            </w:pPr>
            <w:r>
              <w:t>July 2020</w:t>
            </w:r>
          </w:p>
          <w:p w14:paraId="5F9B02AB" w14:textId="77777777" w:rsidR="00BD06C4" w:rsidRDefault="00BD06C4" w:rsidP="00BD06C4">
            <w:pPr>
              <w:pStyle w:val="NoSpacing"/>
            </w:pPr>
          </w:p>
          <w:p w14:paraId="58C25527" w14:textId="77777777" w:rsidR="00BD06C4" w:rsidRDefault="00BD06C4" w:rsidP="00BD06C4">
            <w:pPr>
              <w:pStyle w:val="NoSpacing"/>
            </w:pPr>
            <w:r>
              <w:t>4</w:t>
            </w:r>
            <w:r w:rsidRPr="00013ACB">
              <w:rPr>
                <w:vertAlign w:val="superscript"/>
              </w:rPr>
              <w:t>th</w:t>
            </w:r>
            <w:r>
              <w:t xml:space="preserve"> Round: </w:t>
            </w:r>
          </w:p>
          <w:p w14:paraId="32499CC0" w14:textId="77777777" w:rsidR="00BD06C4" w:rsidRDefault="00BD06C4" w:rsidP="00BD06C4">
            <w:pPr>
              <w:pStyle w:val="NoSpacing"/>
            </w:pPr>
            <w:r>
              <w:t>July 2021</w:t>
            </w:r>
          </w:p>
          <w:p w14:paraId="4D0F3496" w14:textId="77777777" w:rsidR="00BD06C4" w:rsidRDefault="00BD06C4" w:rsidP="00BD06C4">
            <w:pPr>
              <w:pStyle w:val="NoSpacing"/>
            </w:pPr>
          </w:p>
          <w:p w14:paraId="5B61393B" w14:textId="77777777" w:rsidR="00BD06C4" w:rsidRDefault="00BD06C4" w:rsidP="00BD06C4">
            <w:pPr>
              <w:pStyle w:val="NoSpacing"/>
            </w:pPr>
            <w:r>
              <w:t>5</w:t>
            </w:r>
            <w:r w:rsidRPr="00013ACB">
              <w:rPr>
                <w:vertAlign w:val="superscript"/>
              </w:rPr>
              <w:t>th</w:t>
            </w:r>
            <w:r>
              <w:t xml:space="preserve"> Round: </w:t>
            </w:r>
          </w:p>
          <w:p w14:paraId="3BDD6500" w14:textId="77777777" w:rsidR="00BD06C4" w:rsidRDefault="00BD06C4" w:rsidP="00BD06C4">
            <w:pPr>
              <w:pStyle w:val="NoSpacing"/>
            </w:pPr>
            <w:r>
              <w:t>July 2022</w:t>
            </w:r>
          </w:p>
          <w:p w14:paraId="51E2770E" w14:textId="25C406BA" w:rsidR="00BD06C4" w:rsidRPr="00AA35EE" w:rsidRDefault="00BD06C4" w:rsidP="00BD06C4">
            <w:pPr>
              <w:pStyle w:val="NoSpacing"/>
            </w:pPr>
          </w:p>
        </w:tc>
        <w:tc>
          <w:tcPr>
            <w:tcW w:w="0" w:type="auto"/>
          </w:tcPr>
          <w:p w14:paraId="77FE32F1" w14:textId="77777777" w:rsidR="00BD06C4" w:rsidRDefault="00BD06C4" w:rsidP="00BD06C4">
            <w:pPr>
              <w:ind w:left="970" w:hanging="970"/>
              <w:jc w:val="both"/>
              <w:rPr>
                <w:color w:val="0070C0"/>
                <w:sz w:val="30"/>
                <w:szCs w:val="30"/>
              </w:rPr>
            </w:pPr>
          </w:p>
        </w:tc>
      </w:tr>
    </w:tbl>
    <w:p w14:paraId="758F4BB4" w14:textId="77777777" w:rsidR="00327D55" w:rsidRDefault="00327D55" w:rsidP="007F71CB">
      <w:pPr>
        <w:rPr>
          <w:color w:val="FF0000"/>
          <w:sz w:val="32"/>
          <w:szCs w:val="32"/>
        </w:rPr>
        <w:sectPr w:rsidR="00327D55" w:rsidSect="001F0FD8">
          <w:pgSz w:w="20160" w:h="12240" w:orient="landscape" w:code="5"/>
          <w:pgMar w:top="1440" w:right="720" w:bottom="1440" w:left="720" w:header="720" w:footer="720" w:gutter="0"/>
          <w:cols w:space="720"/>
          <w:docGrid w:linePitch="360"/>
        </w:sectPr>
      </w:pPr>
      <w:bookmarkStart w:id="28" w:name="_GoBack"/>
      <w:bookmarkEnd w:id="28"/>
    </w:p>
    <w:p w14:paraId="155826C3" w14:textId="77777777" w:rsidR="00491BFA" w:rsidRDefault="00491BFA" w:rsidP="000618B2">
      <w:pPr>
        <w:rPr>
          <w:sz w:val="22"/>
          <w:szCs w:val="22"/>
        </w:rPr>
      </w:pPr>
    </w:p>
    <w:sectPr w:rsidR="00491BFA" w:rsidSect="001F0FD8">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341FD" w14:textId="77777777" w:rsidR="004B4A24" w:rsidRDefault="004B4A24" w:rsidP="00477F99">
      <w:r>
        <w:separator/>
      </w:r>
    </w:p>
  </w:endnote>
  <w:endnote w:type="continuationSeparator" w:id="0">
    <w:p w14:paraId="7BCC7891" w14:textId="77777777" w:rsidR="004B4A24" w:rsidRDefault="004B4A24" w:rsidP="0047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Vrinda">
    <w:panose1 w:val="02000500020000020004"/>
    <w:charset w:val="00"/>
    <w:family w:val="auto"/>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Shonar Bangla">
    <w:panose1 w:val="020B0502040204020203"/>
    <w:charset w:val="00"/>
    <w:family w:val="swiss"/>
    <w:pitch w:val="variable"/>
    <w:sig w:usb0="00010003" w:usb1="00000000" w:usb2="00000000" w:usb3="00000000" w:csb0="00000001" w:csb1="00000000"/>
  </w:font>
  <w:font w:name="Noto Sans Symbols">
    <w:altName w:val="Calibri"/>
    <w:charset w:val="00"/>
    <w:family w:val="auto"/>
    <w:pitch w:val="default"/>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wCenMT-CondensedBold">
    <w:altName w:val="Cambria"/>
    <w:panose1 w:val="00000000000000000000"/>
    <w:charset w:val="00"/>
    <w:family w:val="roman"/>
    <w:notTrueType/>
    <w:pitch w:val="default"/>
  </w:font>
  <w:font w:name="Frutiger LT Std 45 Light">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Pro-Regular">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wCenMT-Condensed">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swiss"/>
    <w:pitch w:val="default"/>
    <w:sig w:usb0="00000003" w:usb1="00000000" w:usb2="00000000" w:usb3="00000000" w:csb0="00000001" w:csb1="00000000"/>
  </w:font>
  <w:font w:name="FuturaBT-Ligh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864695"/>
      <w:docPartObj>
        <w:docPartGallery w:val="Page Numbers (Bottom of Page)"/>
        <w:docPartUnique/>
      </w:docPartObj>
    </w:sdtPr>
    <w:sdtEndPr/>
    <w:sdtContent>
      <w:p w14:paraId="6124A797" w14:textId="25D65AEB" w:rsidR="00D20077" w:rsidRDefault="00D20077">
        <w:pPr>
          <w:pStyle w:val="Footer"/>
        </w:pPr>
        <w:r>
          <w:rPr>
            <w:noProof/>
            <w:lang w:bidi="bn-BD"/>
          </w:rPr>
          <mc:AlternateContent>
            <mc:Choice Requires="wps">
              <w:drawing>
                <wp:anchor distT="0" distB="0" distL="114300" distR="114300" simplePos="0" relativeHeight="251660288" behindDoc="0" locked="0" layoutInCell="1" allowOverlap="1" wp14:anchorId="0CF468C2" wp14:editId="24322036">
                  <wp:simplePos x="0" y="0"/>
                  <wp:positionH relativeFrom="page">
                    <wp:posOffset>433705</wp:posOffset>
                  </wp:positionH>
                  <wp:positionV relativeFrom="page">
                    <wp:posOffset>6852122</wp:posOffset>
                  </wp:positionV>
                  <wp:extent cx="1079500" cy="751437"/>
                  <wp:effectExtent l="0" t="0" r="0" b="0"/>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79500" cy="751437"/>
                          </a:xfrm>
                          <a:prstGeom prst="triangle">
                            <a:avLst>
                              <a:gd name="adj" fmla="val 100000"/>
                            </a:avLst>
                          </a:prstGeom>
                          <a:noFill/>
                          <a:ln>
                            <a:noFill/>
                          </a:ln>
                          <a:extLst>
                            <a:ext uri="{909E8E84-426E-40DD-AFC4-6F175D3DCCD1}">
                              <a14:hiddenFill xmlns:a14="http://schemas.microsoft.com/office/drawing/2010/main">
                                <a:solidFill>
                                  <a:srgbClr val="D2EA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57FF" w14:textId="77777777" w:rsidR="00D20077" w:rsidRPr="0084764E" w:rsidRDefault="00D20077" w:rsidP="00BD42B1">
                              <w:pPr>
                                <w:jc w:val="center"/>
                                <w:rPr>
                                  <w:b/>
                                  <w:bCs/>
                                  <w:color w:val="0070C0"/>
                                  <w:sz w:val="48"/>
                                  <w:szCs w:val="48"/>
                                </w:rPr>
                              </w:pPr>
                              <w:r w:rsidRPr="0084764E">
                                <w:rPr>
                                  <w:rFonts w:eastAsiaTheme="minorEastAsia" w:cs="Times New Roman"/>
                                  <w:b/>
                                  <w:bCs/>
                                  <w:color w:val="0070C0"/>
                                  <w:sz w:val="48"/>
                                  <w:szCs w:val="48"/>
                                </w:rPr>
                                <w:fldChar w:fldCharType="begin"/>
                              </w:r>
                              <w:r w:rsidRPr="0084764E">
                                <w:rPr>
                                  <w:b/>
                                  <w:bCs/>
                                  <w:color w:val="0070C0"/>
                                  <w:sz w:val="48"/>
                                  <w:szCs w:val="48"/>
                                </w:rPr>
                                <w:instrText xml:space="preserve"> PAGE    \* MERGEFORMAT </w:instrText>
                              </w:r>
                              <w:r w:rsidRPr="0084764E">
                                <w:rPr>
                                  <w:rFonts w:eastAsiaTheme="minorEastAsia" w:cs="Times New Roman"/>
                                  <w:b/>
                                  <w:bCs/>
                                  <w:color w:val="0070C0"/>
                                  <w:sz w:val="48"/>
                                  <w:szCs w:val="48"/>
                                </w:rPr>
                                <w:fldChar w:fldCharType="separate"/>
                              </w:r>
                              <w:r w:rsidR="00E853B0" w:rsidRPr="00E853B0">
                                <w:rPr>
                                  <w:rFonts w:cs="Times New Roman"/>
                                  <w:b/>
                                  <w:bCs/>
                                  <w:noProof/>
                                  <w:color w:val="0070C0"/>
                                  <w:sz w:val="48"/>
                                  <w:szCs w:val="48"/>
                                </w:rPr>
                                <w:t>575</w:t>
                              </w:r>
                              <w:r w:rsidRPr="0084764E">
                                <w:rPr>
                                  <w:rFonts w:eastAsiaTheme="majorEastAsia" w:cstheme="majorBidi"/>
                                  <w:b/>
                                  <w:bCs/>
                                  <w:noProof/>
                                  <w:color w:val="0070C0"/>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36" type="#_x0000_t5" style="position:absolute;margin-left:34.15pt;margin-top:539.55pt;width:85pt;height:59.1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" adj="21600" filled="f" fillcolor="#d2eaf1" stroked="f">
                  <v:textbox>
                    <w:txbxContent>
                      <w:p w14:paraId="2C9857FF" w14:textId="77777777" w:rsidR="00D20077" w:rsidRPr="0084764E" w:rsidRDefault="00D20077" w:rsidP="00BD42B1">
                        <w:pPr>
                          <w:jc w:val="center"/>
                          <w:rPr>
                            <w:b/>
                            <w:bCs/>
                            <w:color w:val="0070C0"/>
                            <w:sz w:val="48"/>
                            <w:szCs w:val="48"/>
                          </w:rPr>
                        </w:pPr>
                        <w:r w:rsidRPr="0084764E">
                          <w:rPr>
                            <w:rFonts w:eastAsiaTheme="minorEastAsia" w:cs="Times New Roman"/>
                            <w:b/>
                            <w:bCs/>
                            <w:color w:val="0070C0"/>
                            <w:sz w:val="48"/>
                            <w:szCs w:val="48"/>
                          </w:rPr>
                          <w:fldChar w:fldCharType="begin"/>
                        </w:r>
                        <w:r w:rsidRPr="0084764E">
                          <w:rPr>
                            <w:b/>
                            <w:bCs/>
                            <w:color w:val="0070C0"/>
                            <w:sz w:val="48"/>
                            <w:szCs w:val="48"/>
                          </w:rPr>
                          <w:instrText xml:space="preserve"> PAGE    \* MERGEFORMAT </w:instrText>
                        </w:r>
                        <w:r w:rsidRPr="0084764E">
                          <w:rPr>
                            <w:rFonts w:eastAsiaTheme="minorEastAsia" w:cs="Times New Roman"/>
                            <w:b/>
                            <w:bCs/>
                            <w:color w:val="0070C0"/>
                            <w:sz w:val="48"/>
                            <w:szCs w:val="48"/>
                          </w:rPr>
                          <w:fldChar w:fldCharType="separate"/>
                        </w:r>
                        <w:r w:rsidR="00E853B0" w:rsidRPr="00E853B0">
                          <w:rPr>
                            <w:rFonts w:cs="Times New Roman"/>
                            <w:b/>
                            <w:bCs/>
                            <w:noProof/>
                            <w:color w:val="0070C0"/>
                            <w:sz w:val="48"/>
                            <w:szCs w:val="48"/>
                          </w:rPr>
                          <w:t>575</w:t>
                        </w:r>
                        <w:r w:rsidRPr="0084764E">
                          <w:rPr>
                            <w:rFonts w:eastAsiaTheme="majorEastAsia" w:cstheme="majorBidi"/>
                            <w:b/>
                            <w:bCs/>
                            <w:noProof/>
                            <w:color w:val="0070C0"/>
                            <w:sz w:val="48"/>
                            <w:szCs w:val="48"/>
                          </w:rPr>
                          <w:fldChar w:fldCharType="end"/>
                        </w:r>
                      </w:p>
                    </w:txbxContent>
                  </v:textbox>
                  <w10:wrap anchorx="page" anchory="page"/>
                </v:shape>
              </w:pict>
            </mc:Fallback>
          </mc:AlternateContent>
        </w:r>
        <w:r>
          <w:rPr>
            <w:noProof/>
            <w:lang w:bidi="bn-BD"/>
          </w:rPr>
          <w:drawing>
            <wp:anchor distT="0" distB="0" distL="114300" distR="114300" simplePos="0" relativeHeight="251656192" behindDoc="1" locked="0" layoutInCell="1" allowOverlap="1" wp14:anchorId="6060C5C9" wp14:editId="2B6AB354">
              <wp:simplePos x="0" y="0"/>
              <wp:positionH relativeFrom="page">
                <wp:posOffset>317500</wp:posOffset>
              </wp:positionH>
              <wp:positionV relativeFrom="paragraph">
                <wp:posOffset>-217805</wp:posOffset>
              </wp:positionV>
              <wp:extent cx="850900" cy="850900"/>
              <wp:effectExtent l="0" t="0" r="6350" b="6350"/>
              <wp:wrapNone/>
              <wp:docPr id="61152" name="Picture 6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DG Circle Logo.jpg"/>
                      <pic:cNvPicPr/>
                    </pic:nvPicPr>
                    <pic:blipFill>
                      <a:blip r:embed="rId1">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8D412" w14:textId="77777777" w:rsidR="004B4A24" w:rsidRDefault="004B4A24" w:rsidP="00477F99">
      <w:r>
        <w:separator/>
      </w:r>
    </w:p>
  </w:footnote>
  <w:footnote w:type="continuationSeparator" w:id="0">
    <w:p w14:paraId="54818BC2" w14:textId="77777777" w:rsidR="004B4A24" w:rsidRDefault="004B4A24" w:rsidP="00477F99">
      <w:r>
        <w:continuationSeparator/>
      </w:r>
    </w:p>
  </w:footnote>
  <w:footnote w:id="1">
    <w:p w14:paraId="76FC40F0" w14:textId="77777777" w:rsidR="00D20077" w:rsidRDefault="00D20077" w:rsidP="002B7E20">
      <w:pPr>
        <w:pStyle w:val="FootnoteText"/>
      </w:pPr>
      <w:r>
        <w:rPr>
          <w:rStyle w:val="FootnoteReference"/>
        </w:rPr>
        <w:footnoteRef/>
      </w:r>
      <w:r>
        <w:t xml:space="preserve"> </w:t>
      </w:r>
      <w:r w:rsidRPr="00111C47">
        <w:t>State or communal land used by farm holdings is not included, see discus</w:t>
      </w:r>
      <w:r>
        <w:t xml:space="preserve">sion in section “Spatial scope: </w:t>
      </w:r>
      <w:r w:rsidRPr="00111C47">
        <w:t>the denominator”</w:t>
      </w:r>
      <w:r>
        <w:t xml:space="preserve"> in this detailed </w:t>
      </w:r>
      <w:hyperlink r:id="rId1" w:history="1">
        <w:r w:rsidRPr="00B323E6">
          <w:rPr>
            <w:rStyle w:val="Hyperlink"/>
            <w:iCs/>
          </w:rPr>
          <w:t>methodological document</w:t>
        </w:r>
      </w:hyperlink>
      <w:r>
        <w:t xml:space="preserve"> prepared by FAO</w:t>
      </w:r>
      <w:r w:rsidRPr="00111C47">
        <w:t>.</w:t>
      </w:r>
    </w:p>
  </w:footnote>
  <w:footnote w:id="2">
    <w:p w14:paraId="46543A16" w14:textId="77777777" w:rsidR="00D20077" w:rsidRPr="008062C9" w:rsidRDefault="00D20077" w:rsidP="00DD1E5F">
      <w:pPr>
        <w:rPr>
          <w:sz w:val="18"/>
          <w:szCs w:val="18"/>
        </w:rPr>
      </w:pPr>
      <w:r w:rsidRPr="008062C9">
        <w:rPr>
          <w:rStyle w:val="FootnoteReference"/>
          <w:sz w:val="18"/>
          <w:szCs w:val="18"/>
        </w:rPr>
        <w:footnoteRef/>
      </w:r>
      <w:r w:rsidRPr="008062C9">
        <w:rPr>
          <w:sz w:val="18"/>
          <w:szCs w:val="18"/>
        </w:rPr>
        <w:t xml:space="preserve"> In order to maintain consistency with the terminology used in SEEA-Water, the terms water use and water abstraction are utilized in this text. In particular, “water abstraction” must be considered synonym of “water withdrawal, as expressed in both AQUASTAT and the statement of the SDG target 6.4.</w:t>
      </w:r>
    </w:p>
  </w:footnote>
  <w:footnote w:id="3">
    <w:p w14:paraId="2845446C" w14:textId="77777777" w:rsidR="00D20077" w:rsidRPr="000620DF" w:rsidRDefault="00D20077" w:rsidP="00DD1E5F">
      <w:pPr>
        <w:rPr>
          <w:sz w:val="18"/>
          <w:szCs w:val="18"/>
        </w:rPr>
      </w:pPr>
      <w:r w:rsidRPr="000620DF">
        <w:rPr>
          <w:rStyle w:val="FootnoteReference"/>
          <w:sz w:val="18"/>
          <w:szCs w:val="18"/>
        </w:rPr>
        <w:footnoteRef/>
      </w:r>
      <w:r w:rsidRPr="000620DF">
        <w:rPr>
          <w:sz w:val="18"/>
          <w:szCs w:val="18"/>
        </w:rPr>
        <w:t xml:space="preserve"> In AQUASTAT, as well as in the World Bank databank and in other national and international datasets, the MIMEC sector is referred to as “Industry”. Also, SEEA-Water uses the term “industrial use” of water.</w:t>
      </w:r>
    </w:p>
  </w:footnote>
  <w:footnote w:id="4">
    <w:p w14:paraId="57B32BAD" w14:textId="77777777" w:rsidR="00D20077" w:rsidRPr="00952B58" w:rsidRDefault="00D20077" w:rsidP="00081C8E">
      <w:pPr>
        <w:contextualSpacing/>
        <w:rPr>
          <w:i/>
          <w:szCs w:val="20"/>
        </w:rPr>
      </w:pPr>
      <w:r w:rsidRPr="006D299B">
        <w:rPr>
          <w:rStyle w:val="FootnoteReference"/>
        </w:rPr>
        <w:footnoteRef/>
      </w:r>
      <w:r w:rsidRPr="006D299B">
        <w:rPr>
          <w:szCs w:val="20"/>
        </w:rPr>
        <w:t xml:space="preserve"> </w:t>
      </w:r>
      <w:r w:rsidRPr="002417C2">
        <w:rPr>
          <w:szCs w:val="20"/>
        </w:rPr>
        <w:t>The related body of comments of the ILO supervisory bodies are:</w:t>
      </w:r>
      <w:r w:rsidRPr="00AE7103">
        <w:rPr>
          <w:szCs w:val="20"/>
        </w:rPr>
        <w:t xml:space="preserve"> </w:t>
      </w:r>
      <w:r w:rsidRPr="00AE7103">
        <w:rPr>
          <w:i/>
          <w:szCs w:val="20"/>
        </w:rPr>
        <w:t>Digest</w:t>
      </w:r>
      <w:r w:rsidRPr="000D21F4">
        <w:rPr>
          <w:i/>
          <w:szCs w:val="20"/>
        </w:rPr>
        <w:t xml:space="preserve"> of Decisions and Principles of the Freedom of Association Committee of the Governing Body of</w:t>
      </w:r>
      <w:r w:rsidRPr="006D299B">
        <w:rPr>
          <w:i/>
          <w:szCs w:val="20"/>
        </w:rPr>
        <w:t xml:space="preserve"> the ILO</w:t>
      </w:r>
      <w:r w:rsidRPr="006D299B">
        <w:rPr>
          <w:szCs w:val="20"/>
        </w:rPr>
        <w:t xml:space="preserve"> (ILO, 2006); </w:t>
      </w:r>
      <w:r w:rsidRPr="006D299B">
        <w:rPr>
          <w:i/>
          <w:iCs/>
          <w:szCs w:val="20"/>
        </w:rPr>
        <w:t>Freedom</w:t>
      </w:r>
      <w:r w:rsidRPr="009B6C4C">
        <w:rPr>
          <w:i/>
          <w:iCs/>
          <w:szCs w:val="20"/>
        </w:rPr>
        <w:t xml:space="preserve"> of </w:t>
      </w:r>
      <w:r>
        <w:rPr>
          <w:i/>
          <w:iCs/>
          <w:szCs w:val="20"/>
        </w:rPr>
        <w:t>A</w:t>
      </w:r>
      <w:r w:rsidRPr="009B6C4C">
        <w:rPr>
          <w:i/>
          <w:iCs/>
          <w:szCs w:val="20"/>
        </w:rPr>
        <w:t xml:space="preserve">ssociation and </w:t>
      </w:r>
      <w:r>
        <w:rPr>
          <w:i/>
          <w:iCs/>
          <w:szCs w:val="20"/>
        </w:rPr>
        <w:t>C</w:t>
      </w:r>
      <w:r w:rsidRPr="009B6C4C">
        <w:rPr>
          <w:i/>
          <w:iCs/>
          <w:szCs w:val="20"/>
        </w:rPr>
        <w:t xml:space="preserve">ollective </w:t>
      </w:r>
      <w:r>
        <w:rPr>
          <w:i/>
          <w:iCs/>
          <w:szCs w:val="20"/>
        </w:rPr>
        <w:t>B</w:t>
      </w:r>
      <w:r w:rsidRPr="009B6C4C">
        <w:rPr>
          <w:i/>
          <w:iCs/>
          <w:szCs w:val="20"/>
        </w:rPr>
        <w:t xml:space="preserve">argaining: General Survey of the </w:t>
      </w:r>
      <w:r>
        <w:rPr>
          <w:i/>
          <w:iCs/>
          <w:szCs w:val="20"/>
        </w:rPr>
        <w:t>R</w:t>
      </w:r>
      <w:r w:rsidRPr="009B6C4C">
        <w:rPr>
          <w:i/>
          <w:iCs/>
          <w:szCs w:val="20"/>
        </w:rPr>
        <w:t>eports on the Freedom of Association and the Right to Organise Convention (No. 87), 1948, and the Right to Organise and Collective Bargaining Convention (No. 98)</w:t>
      </w:r>
      <w:r w:rsidRPr="009B6C4C">
        <w:rPr>
          <w:iCs/>
          <w:szCs w:val="20"/>
        </w:rPr>
        <w:t xml:space="preserve"> (ILO, 1994); </w:t>
      </w:r>
      <w:r w:rsidRPr="009B6C4C">
        <w:rPr>
          <w:i/>
          <w:szCs w:val="20"/>
        </w:rPr>
        <w:t xml:space="preserve">General Survey on the </w:t>
      </w:r>
      <w:r>
        <w:rPr>
          <w:i/>
          <w:szCs w:val="20"/>
        </w:rPr>
        <w:t>F</w:t>
      </w:r>
      <w:r w:rsidRPr="009B6C4C">
        <w:rPr>
          <w:i/>
          <w:szCs w:val="20"/>
        </w:rPr>
        <w:t xml:space="preserve">undamental Conventions </w:t>
      </w:r>
      <w:r>
        <w:rPr>
          <w:i/>
          <w:szCs w:val="20"/>
        </w:rPr>
        <w:t>C</w:t>
      </w:r>
      <w:r w:rsidRPr="009B6C4C">
        <w:rPr>
          <w:i/>
          <w:szCs w:val="20"/>
        </w:rPr>
        <w:t xml:space="preserve">oncerning </w:t>
      </w:r>
      <w:r>
        <w:rPr>
          <w:i/>
          <w:szCs w:val="20"/>
        </w:rPr>
        <w:t>R</w:t>
      </w:r>
      <w:r w:rsidRPr="009B6C4C">
        <w:rPr>
          <w:i/>
          <w:szCs w:val="20"/>
        </w:rPr>
        <w:t xml:space="preserve">ights at </w:t>
      </w:r>
      <w:r>
        <w:rPr>
          <w:i/>
          <w:szCs w:val="20"/>
        </w:rPr>
        <w:t>W</w:t>
      </w:r>
      <w:r w:rsidRPr="009B6C4C">
        <w:rPr>
          <w:i/>
          <w:szCs w:val="20"/>
        </w:rPr>
        <w:t xml:space="preserve">ork in </w:t>
      </w:r>
      <w:r>
        <w:rPr>
          <w:i/>
          <w:szCs w:val="20"/>
        </w:rPr>
        <w:t>L</w:t>
      </w:r>
      <w:r w:rsidRPr="009B6C4C">
        <w:rPr>
          <w:i/>
          <w:szCs w:val="20"/>
        </w:rPr>
        <w:t>ight of the ILO Declaration on Social Justice for a Fair Globalization, 2008</w:t>
      </w:r>
      <w:r w:rsidRPr="00C140AD">
        <w:rPr>
          <w:szCs w:val="20"/>
        </w:rPr>
        <w:t xml:space="preserve"> (ILO, 2012).</w:t>
      </w:r>
    </w:p>
    <w:p w14:paraId="0F9F7E57" w14:textId="77777777" w:rsidR="00D20077" w:rsidRPr="00952B58" w:rsidRDefault="00D20077" w:rsidP="00081C8E">
      <w:pPr>
        <w:pStyle w:val="FootnoteText"/>
        <w:contextualSpacing/>
      </w:pPr>
    </w:p>
  </w:footnote>
  <w:footnote w:id="5">
    <w:p w14:paraId="74BE980F" w14:textId="77777777" w:rsidR="00D20077" w:rsidRPr="00B91D1B" w:rsidRDefault="00D20077" w:rsidP="00081C8E">
      <w:pPr>
        <w:pStyle w:val="FootnoteText"/>
        <w:rPr>
          <w:rStyle w:val="FootnoteReference"/>
        </w:rPr>
      </w:pPr>
      <w:r>
        <w:rPr>
          <w:rStyle w:val="FootnoteReference"/>
        </w:rPr>
        <w:footnoteRef/>
      </w:r>
      <w:r w:rsidRPr="00B91D1B">
        <w:rPr>
          <w:rStyle w:val="FootnoteReference"/>
        </w:rPr>
        <w:t xml:space="preserve"> </w:t>
      </w:r>
      <w:r>
        <w:t xml:space="preserve">In cases where there </w:t>
      </w:r>
      <w:r w:rsidRPr="00CA07E9">
        <w:t>is no relevant national legislation, violations in practice refer to acts committed in violation of FACB rights as defined by the ILO.</w:t>
      </w:r>
    </w:p>
  </w:footnote>
  <w:footnote w:id="6">
    <w:p w14:paraId="4EDC6A17" w14:textId="77777777" w:rsidR="00D20077" w:rsidRPr="003D41B0" w:rsidRDefault="00D20077" w:rsidP="00081C8E">
      <w:pPr>
        <w:pStyle w:val="FootnoteText"/>
        <w:contextualSpacing/>
      </w:pPr>
      <w:r w:rsidRPr="003D41B0">
        <w:rPr>
          <w:rStyle w:val="FootnoteReference"/>
        </w:rPr>
        <w:footnoteRef/>
      </w:r>
      <w:r w:rsidRPr="003D41B0">
        <w:t xml:space="preserve"> The formula is thus: (x*10/95), where x = the weighted non-normalized score for a given country and year and is capped at 95.</w:t>
      </w:r>
    </w:p>
  </w:footnote>
  <w:footnote w:id="7">
    <w:p w14:paraId="0552F97B" w14:textId="77777777" w:rsidR="00D20077" w:rsidRPr="008A5FDB" w:rsidRDefault="00D20077" w:rsidP="00B20ADF">
      <w:pPr>
        <w:pStyle w:val="FootnoteText"/>
      </w:pPr>
      <w:r w:rsidRPr="008A5FDB">
        <w:rPr>
          <w:rStyle w:val="FootnoteReference"/>
        </w:rPr>
        <w:footnoteRef/>
      </w:r>
      <w:r w:rsidRPr="008A5FDB">
        <w:t xml:space="preserve"> See, for instance, Art. </w:t>
      </w:r>
      <w:proofErr w:type="gramStart"/>
      <w:r w:rsidRPr="008A5FDB">
        <w:t>1 of the International Convention on the Elimination of All Forms of Racial Discrimination (ICERD); Art.</w:t>
      </w:r>
      <w:proofErr w:type="gramEnd"/>
      <w:r w:rsidRPr="008A5FDB">
        <w:t xml:space="preserve"> </w:t>
      </w:r>
      <w:proofErr w:type="gramStart"/>
      <w:r w:rsidRPr="008A5FDB">
        <w:t>1 of the Convention on the Elimination of All Forms of Discrimination against Women (CEDAW); Art.</w:t>
      </w:r>
      <w:proofErr w:type="gramEnd"/>
      <w:r w:rsidRPr="008A5FDB">
        <w:t xml:space="preserve"> 2 of the Convention on the Rights of Persons with Disabilities (CRPD); General Comment 18 of the Human Rights Committee (paragraphs 6 and 7) and General Comment 20 of the Committee on Economic, Social and Cultural Rights (paragraph 7).</w:t>
      </w:r>
    </w:p>
  </w:footnote>
  <w:footnote w:id="8">
    <w:p w14:paraId="5B39A5FE" w14:textId="77777777" w:rsidR="00D20077" w:rsidRPr="004E2209" w:rsidRDefault="00D20077" w:rsidP="00B20ADF">
      <w:pPr>
        <w:pStyle w:val="FootnoteText"/>
        <w:jc w:val="both"/>
      </w:pPr>
      <w:r w:rsidRPr="004E2209">
        <w:rPr>
          <w:rStyle w:val="FootnoteReference"/>
        </w:rPr>
        <w:footnoteRef/>
      </w:r>
      <w:r w:rsidRPr="004E2209">
        <w:t xml:space="preserve"> </w:t>
      </w:r>
      <w:r>
        <w:t>See, for instance, G</w:t>
      </w:r>
      <w:r w:rsidRPr="008A5FDB">
        <w:t>eneral Comment 20 of the Committee on Economic, Social and Cultural Rights</w:t>
      </w:r>
      <w:r>
        <w:t xml:space="preserve">, and </w:t>
      </w:r>
      <w:r w:rsidRPr="004E2209">
        <w:t>United Nations Secretary-Gen</w:t>
      </w:r>
      <w:r>
        <w:t>eral’s bulletin (ST/SGB/2008/5) on</w:t>
      </w:r>
      <w:r w:rsidRPr="004E2209">
        <w:t xml:space="preserve"> Prohibition of discrimination, harassment, including sexual harassment, and abuse of authority</w:t>
      </w:r>
      <w:r>
        <w:t>.</w:t>
      </w:r>
    </w:p>
  </w:footnote>
  <w:footnote w:id="9">
    <w:p w14:paraId="4DA1F7F6" w14:textId="77777777" w:rsidR="00D20077" w:rsidRPr="008A5FDB" w:rsidRDefault="00D20077" w:rsidP="00B20ADF">
      <w:pPr>
        <w:pStyle w:val="FootnoteText"/>
      </w:pPr>
      <w:r w:rsidRPr="008A5FDB">
        <w:rPr>
          <w:rStyle w:val="FootnoteReference"/>
        </w:rPr>
        <w:footnoteRef/>
      </w:r>
      <w:r>
        <w:t xml:space="preserve"> More </w:t>
      </w:r>
      <w:r w:rsidRPr="008A5FDB">
        <w:t xml:space="preserve">information on the grounds of discrimination prohibited by international human rights law </w:t>
      </w:r>
      <w:r>
        <w:t>is available</w:t>
      </w:r>
      <w:r w:rsidRPr="008A5FDB">
        <w:t xml:space="preserve"> at: </w:t>
      </w:r>
      <w:hyperlink r:id="rId2" w:history="1">
        <w:r w:rsidRPr="009E510E">
          <w:rPr>
            <w:rStyle w:val="Hyperlink"/>
          </w:rPr>
          <w:t>http://www.ohchr.org/Documents/Issues/HRIndicators/HumanRightsStandards.pdf</w:t>
        </w:r>
      </w:hyperlink>
      <w:r>
        <w:t xml:space="preserve"> </w:t>
      </w:r>
    </w:p>
  </w:footnote>
  <w:footnote w:id="10">
    <w:p w14:paraId="59B2676A" w14:textId="77777777" w:rsidR="00D20077" w:rsidRPr="00F558F9" w:rsidRDefault="00D20077" w:rsidP="00B20ADF">
      <w:pPr>
        <w:pStyle w:val="FootnoteText"/>
      </w:pPr>
      <w:r>
        <w:rPr>
          <w:rStyle w:val="FootnoteReference"/>
        </w:rPr>
        <w:footnoteRef/>
      </w:r>
      <w:r>
        <w:t xml:space="preserve"> </w:t>
      </w:r>
      <w:proofErr w:type="gramStart"/>
      <w:r>
        <w:t>P</w:t>
      </w:r>
      <w:r w:rsidRPr="00F558F9">
        <w:t>attern of reporting events as having occurred more recently that they actually did</w:t>
      </w:r>
      <w:r>
        <w:t>.</w:t>
      </w:r>
      <w:proofErr w:type="gramEnd"/>
      <w:r>
        <w:t xml:space="preserve"> This is a phenomenon commonly observed in </w:t>
      </w:r>
      <w:r w:rsidRPr="00F558F9">
        <w:t>crime victimization surveys</w:t>
      </w:r>
      <w:r>
        <w:t>.</w:t>
      </w:r>
    </w:p>
  </w:footnote>
  <w:footnote w:id="11">
    <w:p w14:paraId="2C363F8D" w14:textId="77777777" w:rsidR="00D20077" w:rsidRPr="009048CF" w:rsidRDefault="00D20077" w:rsidP="001155B8">
      <w:pPr>
        <w:pStyle w:val="FootnoteText"/>
        <w:rPr>
          <w:sz w:val="18"/>
          <w:szCs w:val="18"/>
        </w:rPr>
      </w:pPr>
    </w:p>
  </w:footnote>
  <w:footnote w:id="12">
    <w:p w14:paraId="3830C93B" w14:textId="77777777" w:rsidR="00D20077" w:rsidRPr="00163BDE" w:rsidRDefault="00D20077" w:rsidP="001155B8">
      <w:pPr>
        <w:pStyle w:val="FootnoteText"/>
        <w:rPr>
          <w:rStyle w:val="A19"/>
          <w:rFonts w:cs="Times New Roman"/>
        </w:rPr>
      </w:pPr>
    </w:p>
  </w:footnote>
  <w:footnote w:id="13">
    <w:p w14:paraId="42A4C170" w14:textId="77777777" w:rsidR="00D20077" w:rsidRPr="009048CF" w:rsidRDefault="00D20077" w:rsidP="001155B8">
      <w:pPr>
        <w:pStyle w:val="FootnoteText"/>
        <w:rPr>
          <w:rStyle w:val="A19"/>
          <w:rFonts w:cs="Times New Roman"/>
          <w:sz w:val="18"/>
          <w:szCs w:val="18"/>
        </w:rPr>
      </w:pPr>
    </w:p>
  </w:footnote>
  <w:footnote w:id="14">
    <w:p w14:paraId="459DB9D5" w14:textId="77777777" w:rsidR="00D20077" w:rsidRPr="009048CF" w:rsidRDefault="00D20077" w:rsidP="001155B8">
      <w:pPr>
        <w:pStyle w:val="FootnoteText"/>
        <w:rPr>
          <w:rStyle w:val="MTextChar"/>
          <w:rFonts w:eastAsiaTheme="majorEastAsia"/>
        </w:rPr>
      </w:pPr>
    </w:p>
  </w:footnote>
  <w:footnote w:id="15">
    <w:p w14:paraId="4EEEF98B" w14:textId="77777777" w:rsidR="00D20077" w:rsidRPr="009048CF" w:rsidRDefault="00D20077" w:rsidP="00A37283">
      <w:pPr>
        <w:pStyle w:val="MText"/>
        <w:rPr>
          <w:rStyle w:val="A19"/>
          <w:rFonts w:eastAsiaTheme="majorEastAsia"/>
          <w:sz w:val="18"/>
          <w:szCs w:val="18"/>
          <w:lang w:eastAsia="en-US"/>
        </w:rPr>
      </w:pPr>
    </w:p>
  </w:footnote>
  <w:footnote w:id="16">
    <w:p w14:paraId="40E8292E" w14:textId="77777777" w:rsidR="00D20077" w:rsidRPr="00F02BFB" w:rsidRDefault="00D20077" w:rsidP="00FE0945">
      <w:pPr>
        <w:pStyle w:val="FootnoteText"/>
      </w:pPr>
    </w:p>
  </w:footnote>
  <w:footnote w:id="17">
    <w:p w14:paraId="2580A1D4" w14:textId="77777777" w:rsidR="00D20077" w:rsidRPr="00B521BC" w:rsidRDefault="00D20077" w:rsidP="00F51844">
      <w:pPr>
        <w:pStyle w:val="FootnoteText"/>
      </w:pPr>
      <w:r>
        <w:rPr>
          <w:rStyle w:val="FootnoteReference"/>
        </w:rPr>
        <w:footnoteRef/>
      </w:r>
      <w:r>
        <w:t xml:space="preserve"> </w:t>
      </w:r>
      <w:r w:rsidRPr="00B521BC">
        <w:t>Landsat Imagery is made up of several spectral bands that can be used to identify impervious surfaces roughly corresponding to built-up areas, making it possible to classify them by human-assisted algorithms into several classes with a high degree of accuracy.</w:t>
      </w:r>
    </w:p>
  </w:footnote>
  <w:footnote w:id="18">
    <w:p w14:paraId="52CD0CDE" w14:textId="068236DB" w:rsidR="00D20077" w:rsidRDefault="00D20077" w:rsidP="009217DB">
      <w:pPr>
        <w:pStyle w:val="FootnoteText"/>
      </w:pPr>
      <w:r>
        <w:t>.</w:t>
      </w:r>
    </w:p>
  </w:footnote>
  <w:footnote w:id="19">
    <w:p w14:paraId="1F738C19" w14:textId="4A7216FB" w:rsidR="00D20077" w:rsidRDefault="00D20077" w:rsidP="009217DB">
      <w:pPr>
        <w:pStyle w:val="FootnoteText"/>
      </w:pPr>
    </w:p>
  </w:footnote>
  <w:footnote w:id="20">
    <w:p w14:paraId="2ED260B1" w14:textId="77777777" w:rsidR="00D20077" w:rsidRDefault="00D20077" w:rsidP="002464A2">
      <w:pPr>
        <w:pStyle w:val="FootnoteText"/>
      </w:pPr>
      <w:r w:rsidRPr="001156D7">
        <w:rPr>
          <w:rStyle w:val="FootnoteReference"/>
          <w:rFonts w:ascii="Calibri Light" w:hAnsi="Calibri Light"/>
        </w:rPr>
        <w:footnoteRef/>
      </w:r>
      <w:r w:rsidRPr="001156D7">
        <w:rPr>
          <w:rFonts w:ascii="Calibri Light" w:hAnsi="Calibri Light"/>
        </w:rPr>
        <w:t xml:space="preserve"> </w:t>
      </w:r>
      <w:proofErr w:type="gramStart"/>
      <w:r w:rsidRPr="00F03491">
        <w:rPr>
          <w:rFonts w:eastAsia="Times New Roman" w:cs="Times New Roman"/>
          <w:i/>
          <w:color w:val="4A4A4A"/>
          <w:sz w:val="21"/>
          <w:szCs w:val="21"/>
          <w:lang w:eastAsia="en-GB"/>
        </w:rPr>
        <w:t>UNEP (2010).</w:t>
      </w:r>
      <w:proofErr w:type="gramEnd"/>
      <w:r w:rsidRPr="00F03491">
        <w:rPr>
          <w:rFonts w:eastAsia="Times New Roman" w:cs="Times New Roman"/>
          <w:i/>
          <w:color w:val="4A4A4A"/>
          <w:sz w:val="21"/>
          <w:szCs w:val="21"/>
          <w:lang w:eastAsia="en-GB"/>
        </w:rPr>
        <w:t xml:space="preserve"> ABC of SCP: Clarifying Concepts on Sustainable Consumption and Production.</w:t>
      </w:r>
      <w:r>
        <w:rPr>
          <w:sz w:val="18"/>
          <w:szCs w:val="18"/>
        </w:rPr>
        <w:t xml:space="preserve"> </w:t>
      </w:r>
      <w:r>
        <w:t xml:space="preserve"> </w:t>
      </w:r>
    </w:p>
  </w:footnote>
  <w:footnote w:id="21">
    <w:p w14:paraId="57D43653" w14:textId="77777777" w:rsidR="00D20077" w:rsidRDefault="00D20077" w:rsidP="00D932A2">
      <w:pPr>
        <w:pStyle w:val="FootnoteText"/>
        <w:ind w:left="720"/>
      </w:pPr>
      <w:r>
        <w:rPr>
          <w:rStyle w:val="FootnoteReference"/>
        </w:rPr>
        <w:footnoteRef/>
      </w:r>
      <w:r>
        <w:t xml:space="preserve"> The method for compiling international dollar prices is described in FAO (1993)</w:t>
      </w:r>
    </w:p>
  </w:footnote>
  <w:footnote w:id="22">
    <w:p w14:paraId="0334E7B2" w14:textId="58595D59" w:rsidR="00D20077" w:rsidRPr="008C4056" w:rsidRDefault="00D20077" w:rsidP="00276C55">
      <w:pPr>
        <w:pStyle w:val="FootnoteText"/>
        <w:jc w:val="both"/>
        <w:rPr>
          <w:sz w:val="18"/>
          <w:szCs w:val="18"/>
        </w:rPr>
      </w:pPr>
    </w:p>
  </w:footnote>
  <w:footnote w:id="23">
    <w:p w14:paraId="1FA94D77" w14:textId="77777777" w:rsidR="00D20077" w:rsidRDefault="00D20077" w:rsidP="00276C55">
      <w:pPr>
        <w:pStyle w:val="FootnoteText"/>
        <w:jc w:val="both"/>
      </w:pPr>
      <w:r w:rsidRPr="00A318D3">
        <w:rPr>
          <w:rFonts w:eastAsia="Times New Roman" w:cs="Times New Roman"/>
          <w:color w:val="595959" w:themeColor="text1" w:themeTint="A6"/>
          <w:sz w:val="18"/>
          <w:szCs w:val="18"/>
          <w:vertAlign w:val="superscript"/>
          <w:lang w:eastAsia="en-GB"/>
        </w:rPr>
        <w:footnoteRef/>
      </w:r>
      <w:r w:rsidRPr="00A318D3">
        <w:rPr>
          <w:rFonts w:eastAsia="Times New Roman" w:cs="Times New Roman"/>
          <w:color w:val="595959" w:themeColor="text1" w:themeTint="A6"/>
          <w:sz w:val="18"/>
          <w:szCs w:val="18"/>
          <w:u w:val="single"/>
          <w:lang w:eastAsia="en-GB"/>
        </w:rPr>
        <w:t xml:space="preserve"> Applicable to Parties bound by the amendments to the Stockholm Convention.  Parties that are not bound by the amendments will by default receive one point for each such amendment.</w:t>
      </w:r>
      <w:r>
        <w:rPr>
          <w:sz w:val="18"/>
        </w:rPr>
        <w:t xml:space="preserve"> </w:t>
      </w:r>
    </w:p>
  </w:footnote>
  <w:footnote w:id="24">
    <w:p w14:paraId="3D0D91BE" w14:textId="77777777" w:rsidR="00D20077" w:rsidRDefault="00D20077" w:rsidP="00872524">
      <w:pPr>
        <w:pStyle w:val="FootnoteText"/>
        <w:tabs>
          <w:tab w:val="left" w:pos="0"/>
        </w:tabs>
      </w:pPr>
      <w:r>
        <w:rPr>
          <w:rStyle w:val="FootnoteReference"/>
        </w:rPr>
        <w:footnoteRef/>
      </w:r>
      <w:proofErr w:type="gramStart"/>
      <w:r w:rsidRPr="00B534F8">
        <w:t>NOAA.</w:t>
      </w:r>
      <w:proofErr w:type="gramEnd"/>
      <w:r w:rsidRPr="00B534F8">
        <w:t xml:space="preserve"> What is ocean acidification? National Ocean Service website </w:t>
      </w:r>
      <w:hyperlink r:id="rId3" w:history="1">
        <w:r w:rsidRPr="00B534F8">
          <w:rPr>
            <w:rStyle w:val="Hyperlink"/>
          </w:rPr>
          <w:t>https://oceanservice.noaa.gov/facts/acidification.html</w:t>
        </w:r>
      </w:hyperlink>
      <w:r w:rsidRPr="00B534F8">
        <w:t>, 06/25/18</w:t>
      </w:r>
    </w:p>
  </w:footnote>
  <w:footnote w:id="25">
    <w:p w14:paraId="4C9D09C1" w14:textId="4DBC8034" w:rsidR="00D20077" w:rsidRDefault="00D20077" w:rsidP="007C1364">
      <w:pPr>
        <w:pStyle w:val="FootnoteText"/>
        <w:rPr>
          <w:szCs w:val="12"/>
        </w:rPr>
      </w:pPr>
    </w:p>
    <w:p w14:paraId="3F8C01E3" w14:textId="538F19DD" w:rsidR="00D20077" w:rsidRPr="00C855D1" w:rsidRDefault="00D20077" w:rsidP="007C1364">
      <w:pPr>
        <w:pStyle w:val="FootnoteText"/>
        <w:rPr>
          <w:szCs w:val="12"/>
        </w:rPr>
      </w:pPr>
    </w:p>
  </w:footnote>
  <w:footnote w:id="26">
    <w:p w14:paraId="793133F5" w14:textId="2BBE8BDD" w:rsidR="00D20077" w:rsidRPr="00C855D1" w:rsidRDefault="00D20077" w:rsidP="007C1364">
      <w:pPr>
        <w:pStyle w:val="FootnoteText"/>
        <w:rPr>
          <w:szCs w:val="12"/>
        </w:rPr>
      </w:pPr>
    </w:p>
  </w:footnote>
  <w:footnote w:id="27">
    <w:p w14:paraId="6FA33DAE" w14:textId="0A2FC7AE" w:rsidR="00D20077" w:rsidRPr="000254CA" w:rsidRDefault="00D20077" w:rsidP="007C1364">
      <w:pPr>
        <w:pStyle w:val="FootnoteText"/>
        <w:rPr>
          <w:szCs w:val="12"/>
          <w:lang w:val="fr-CH"/>
        </w:rPr>
      </w:pPr>
    </w:p>
  </w:footnote>
  <w:footnote w:id="28">
    <w:p w14:paraId="648229D4" w14:textId="5AF5F875" w:rsidR="00D20077" w:rsidRPr="000C6C94" w:rsidRDefault="00D20077" w:rsidP="007C1364">
      <w:pPr>
        <w:pStyle w:val="FootnoteText"/>
        <w:rPr>
          <w:sz w:val="16"/>
          <w:szCs w:val="16"/>
        </w:rPr>
      </w:pPr>
      <w:r w:rsidRPr="000C6C94">
        <w:rPr>
          <w:sz w:val="16"/>
          <w:szCs w:val="16"/>
        </w:rPr>
        <w:t xml:space="preserve">  </w:t>
      </w:r>
    </w:p>
  </w:footnote>
  <w:footnote w:id="29">
    <w:p w14:paraId="708BA053" w14:textId="3A4AEFDC" w:rsidR="00D20077" w:rsidRDefault="00D20077" w:rsidP="007C1364">
      <w:pPr>
        <w:pStyle w:val="FootnoteText"/>
      </w:pPr>
    </w:p>
  </w:footnote>
  <w:footnote w:id="30">
    <w:p w14:paraId="37928916" w14:textId="0F4A31A7" w:rsidR="00D20077" w:rsidRPr="00680812" w:rsidRDefault="00D20077" w:rsidP="002C1AEC">
      <w:pPr>
        <w:pStyle w:val="FootnoteText"/>
        <w:rPr>
          <w:sz w:val="16"/>
          <w:szCs w:val="16"/>
        </w:rPr>
      </w:pPr>
      <w:r w:rsidRPr="00680812">
        <w:rPr>
          <w:rStyle w:val="FootnoteReference"/>
          <w:sz w:val="16"/>
          <w:szCs w:val="16"/>
        </w:rPr>
        <w:footnoteRef/>
      </w:r>
      <w:r w:rsidRPr="00680812">
        <w:rPr>
          <w:sz w:val="16"/>
          <w:szCs w:val="16"/>
        </w:rPr>
        <w:t xml:space="preserve"> </w:t>
      </w:r>
    </w:p>
  </w:footnote>
  <w:footnote w:id="31">
    <w:p w14:paraId="0BA1F16E" w14:textId="37150B61" w:rsidR="00D20077" w:rsidRPr="00F83798" w:rsidRDefault="00D20077" w:rsidP="002C1AEC">
      <w:pPr>
        <w:pStyle w:val="FootnoteText"/>
        <w:rPr>
          <w:sz w:val="16"/>
          <w:szCs w:val="16"/>
        </w:rPr>
      </w:pPr>
    </w:p>
  </w:footnote>
  <w:footnote w:id="32">
    <w:p w14:paraId="5EB7B3AB" w14:textId="6ECD4DF2" w:rsidR="00D20077" w:rsidRPr="00F60CE7" w:rsidRDefault="00D20077" w:rsidP="002C1AEC">
      <w:pPr>
        <w:pStyle w:val="FootnoteText"/>
        <w:rPr>
          <w:color w:val="404040" w:themeColor="text1" w:themeTint="BF"/>
          <w:sz w:val="16"/>
          <w:szCs w:val="16"/>
        </w:rPr>
      </w:pPr>
    </w:p>
  </w:footnote>
  <w:footnote w:id="33">
    <w:p w14:paraId="4874957E" w14:textId="477946AA" w:rsidR="00D20077" w:rsidRPr="00680812" w:rsidRDefault="00D20077" w:rsidP="002C1AEC">
      <w:pPr>
        <w:pStyle w:val="FootnoteText"/>
        <w:rPr>
          <w:sz w:val="16"/>
          <w:szCs w:val="16"/>
        </w:rPr>
      </w:pPr>
      <w:r w:rsidRPr="00680812">
        <w:rPr>
          <w:sz w:val="16"/>
          <w:szCs w:val="16"/>
        </w:rPr>
        <w:br/>
      </w:r>
    </w:p>
  </w:footnote>
  <w:footnote w:id="34">
    <w:p w14:paraId="3B97CB9B" w14:textId="440C02B9" w:rsidR="00D20077" w:rsidRPr="00680812" w:rsidRDefault="00D20077" w:rsidP="002C1AEC">
      <w:pPr>
        <w:pStyle w:val="FootnoteText"/>
        <w:rPr>
          <w:sz w:val="16"/>
          <w:szCs w:val="16"/>
        </w:rPr>
      </w:pPr>
    </w:p>
  </w:footnote>
  <w:footnote w:id="35">
    <w:p w14:paraId="496AC210" w14:textId="6887A41D" w:rsidR="00D20077" w:rsidRPr="00680812" w:rsidRDefault="00D20077" w:rsidP="002C1AEC">
      <w:pPr>
        <w:pStyle w:val="FootnoteText"/>
        <w:rPr>
          <w:sz w:val="16"/>
          <w:szCs w:val="16"/>
        </w:rPr>
      </w:pPr>
    </w:p>
  </w:footnote>
  <w:footnote w:id="36">
    <w:p w14:paraId="1FA3C7F7" w14:textId="13AFDC24" w:rsidR="00D20077" w:rsidRPr="00F60CE7" w:rsidRDefault="00D20077" w:rsidP="002C1AEC">
      <w:pPr>
        <w:pStyle w:val="FootnoteText"/>
        <w:rPr>
          <w:color w:val="404040" w:themeColor="text1" w:themeTint="BF"/>
          <w:sz w:val="16"/>
          <w:szCs w:val="16"/>
        </w:rPr>
      </w:pPr>
      <w:r w:rsidRPr="00F60CE7">
        <w:rPr>
          <w:rStyle w:val="FootnoteReference"/>
          <w:color w:val="404040" w:themeColor="text1" w:themeTint="BF"/>
          <w:sz w:val="16"/>
          <w:szCs w:val="16"/>
        </w:rPr>
        <w:footnoteRef/>
      </w:r>
      <w:r w:rsidRPr="00F60CE7">
        <w:rPr>
          <w:color w:val="404040" w:themeColor="text1" w:themeTint="BF"/>
          <w:sz w:val="16"/>
          <w:szCs w:val="16"/>
        </w:rPr>
        <w:t xml:space="preserve"> </w:t>
      </w:r>
    </w:p>
  </w:footnote>
  <w:footnote w:id="37">
    <w:p w14:paraId="693B14A3" w14:textId="2B3FBFAB" w:rsidR="00D20077" w:rsidRPr="00680812" w:rsidRDefault="00D20077" w:rsidP="002C1AEC">
      <w:pPr>
        <w:pStyle w:val="FootnoteText"/>
        <w:rPr>
          <w:sz w:val="16"/>
          <w:szCs w:val="16"/>
        </w:rPr>
      </w:pPr>
    </w:p>
  </w:footnote>
  <w:footnote w:id="38">
    <w:p w14:paraId="1A939D1D" w14:textId="7D1E20C0" w:rsidR="00D20077" w:rsidRPr="00680812" w:rsidRDefault="00D20077" w:rsidP="002C1AEC">
      <w:pPr>
        <w:pStyle w:val="FootnoteText"/>
        <w:rPr>
          <w:sz w:val="16"/>
          <w:szCs w:val="16"/>
        </w:rPr>
      </w:pPr>
    </w:p>
  </w:footnote>
  <w:footnote w:id="39">
    <w:p w14:paraId="2BFF2A97" w14:textId="62061653" w:rsidR="00D20077" w:rsidRPr="00F60CE7" w:rsidRDefault="00D20077" w:rsidP="002C1AEC">
      <w:pPr>
        <w:pStyle w:val="FootnoteText"/>
        <w:rPr>
          <w:color w:val="404040" w:themeColor="text1" w:themeTint="BF"/>
          <w:sz w:val="16"/>
          <w:szCs w:val="16"/>
        </w:rPr>
      </w:pPr>
    </w:p>
  </w:footnote>
  <w:footnote w:id="40">
    <w:p w14:paraId="7711C083" w14:textId="287089DE" w:rsidR="00D20077" w:rsidRPr="00F60CE7" w:rsidRDefault="00D20077" w:rsidP="002C1AEC">
      <w:pPr>
        <w:pStyle w:val="FootnoteText"/>
        <w:rPr>
          <w:color w:val="404040" w:themeColor="text1" w:themeTint="BF"/>
          <w:sz w:val="16"/>
          <w:szCs w:val="16"/>
        </w:rPr>
      </w:pPr>
    </w:p>
  </w:footnote>
  <w:footnote w:id="41">
    <w:p w14:paraId="7F1363BD" w14:textId="3CF8D32B" w:rsidR="00D20077" w:rsidRPr="003B58DD" w:rsidRDefault="00D20077" w:rsidP="002C1AEC">
      <w:pPr>
        <w:pStyle w:val="FootnoteText"/>
        <w:rPr>
          <w:sz w:val="16"/>
          <w:szCs w:val="16"/>
        </w:rPr>
      </w:pPr>
    </w:p>
  </w:footnote>
  <w:footnote w:id="42">
    <w:p w14:paraId="25E63722" w14:textId="05D9D832" w:rsidR="00D20077" w:rsidRPr="003B58DD" w:rsidRDefault="00D20077" w:rsidP="002C1AEC">
      <w:pPr>
        <w:pStyle w:val="FootnoteText"/>
        <w:rPr>
          <w:sz w:val="16"/>
          <w:szCs w:val="16"/>
        </w:rPr>
      </w:pPr>
      <w:r w:rsidRPr="003B58DD">
        <w:rPr>
          <w:sz w:val="16"/>
          <w:szCs w:val="16"/>
        </w:rPr>
        <w:t xml:space="preserve">    </w:t>
      </w:r>
    </w:p>
  </w:footnote>
  <w:footnote w:id="43">
    <w:p w14:paraId="0BDDD55E" w14:textId="2A786B18" w:rsidR="00D20077" w:rsidRPr="00F60CE7" w:rsidRDefault="00D20077" w:rsidP="002C1AEC">
      <w:pPr>
        <w:pStyle w:val="FootnoteText"/>
        <w:rPr>
          <w:color w:val="404040" w:themeColor="text1" w:themeTint="BF"/>
          <w:sz w:val="16"/>
          <w:szCs w:val="16"/>
        </w:rPr>
      </w:pPr>
    </w:p>
  </w:footnote>
  <w:footnote w:id="44">
    <w:p w14:paraId="584F2B99" w14:textId="3F2F065A" w:rsidR="00D20077" w:rsidRPr="00F60CE7" w:rsidRDefault="00D20077" w:rsidP="002C1AEC">
      <w:pPr>
        <w:pStyle w:val="FootnoteText"/>
        <w:rPr>
          <w:color w:val="404040" w:themeColor="text1" w:themeTint="BF"/>
          <w:sz w:val="16"/>
          <w:szCs w:val="16"/>
        </w:rPr>
      </w:pPr>
    </w:p>
  </w:footnote>
  <w:footnote w:id="45">
    <w:p w14:paraId="70486C1D" w14:textId="2B90B945" w:rsidR="00D20077" w:rsidRPr="003B58DD" w:rsidRDefault="00D20077" w:rsidP="002C1AEC">
      <w:pPr>
        <w:pStyle w:val="FootnoteText"/>
        <w:rPr>
          <w:sz w:val="16"/>
          <w:szCs w:val="16"/>
        </w:rPr>
      </w:pPr>
    </w:p>
  </w:footnote>
  <w:footnote w:id="46">
    <w:p w14:paraId="25688514" w14:textId="03310952" w:rsidR="00D20077" w:rsidRPr="003B58DD" w:rsidRDefault="00D20077" w:rsidP="002C1AEC">
      <w:pPr>
        <w:pStyle w:val="FootnoteText"/>
        <w:rPr>
          <w:sz w:val="16"/>
          <w:szCs w:val="16"/>
        </w:rPr>
      </w:pPr>
    </w:p>
  </w:footnote>
  <w:footnote w:id="47">
    <w:p w14:paraId="35C62383" w14:textId="314A41A1" w:rsidR="00D20077" w:rsidRPr="00680812" w:rsidRDefault="00D20077" w:rsidP="002C1AEC">
      <w:pPr>
        <w:pStyle w:val="FootnoteText"/>
        <w:rPr>
          <w:sz w:val="16"/>
          <w:szCs w:val="16"/>
        </w:rPr>
      </w:pPr>
    </w:p>
  </w:footnote>
  <w:footnote w:id="48">
    <w:p w14:paraId="0D4D2ADD" w14:textId="037FC08D" w:rsidR="00D20077" w:rsidRPr="00680812" w:rsidRDefault="00D20077" w:rsidP="002C1AEC">
      <w:pPr>
        <w:pStyle w:val="FootnoteText"/>
        <w:rPr>
          <w:sz w:val="16"/>
          <w:szCs w:val="16"/>
        </w:rPr>
      </w:pPr>
    </w:p>
  </w:footnote>
  <w:footnote w:id="49">
    <w:p w14:paraId="3A3FF736" w14:textId="77777777" w:rsidR="00D20077" w:rsidRDefault="00D20077" w:rsidP="00120846">
      <w:r>
        <w:footnoteRef/>
      </w:r>
      <w:r>
        <w:t xml:space="preserve"> Genn, G, </w:t>
      </w:r>
      <w:r>
        <w:rPr>
          <w:rFonts w:ascii="Calibri" w:eastAsia="Calibri" w:hAnsi="Calibri" w:cs="Calibri"/>
          <w:i/>
        </w:rPr>
        <w:t xml:space="preserve">Paths to Justice: What People Do and Think </w:t>
      </w:r>
      <w:proofErr w:type="gramStart"/>
      <w:r>
        <w:rPr>
          <w:rFonts w:ascii="Calibri" w:eastAsia="Calibri" w:hAnsi="Calibri" w:cs="Calibri"/>
          <w:i/>
        </w:rPr>
        <w:t>About</w:t>
      </w:r>
      <w:proofErr w:type="gramEnd"/>
      <w:r>
        <w:rPr>
          <w:rFonts w:ascii="Calibri" w:eastAsia="Calibri" w:hAnsi="Calibri" w:cs="Calibri"/>
          <w:i/>
        </w:rPr>
        <w:t xml:space="preserve"> Going to Law </w:t>
      </w:r>
      <w:r>
        <w:t>(Oxford: Hart, 1999), 12.</w:t>
      </w:r>
      <w:r>
        <w:rPr>
          <w:rFonts w:ascii="Calibri" w:eastAsia="Calibri" w:hAnsi="Calibri" w:cs="Calibri"/>
          <w:i/>
        </w:rPr>
        <w:t xml:space="preserve"> </w:t>
      </w:r>
    </w:p>
  </w:footnote>
  <w:footnote w:id="50">
    <w:p w14:paraId="42FB9A8C" w14:textId="77777777" w:rsidR="00D20077" w:rsidRDefault="00D20077" w:rsidP="00120846">
      <w:pPr>
        <w:spacing w:after="278"/>
      </w:pPr>
      <w:r>
        <w:footnoteRef/>
      </w:r>
      <w:r>
        <w:t xml:space="preserve"> See </w:t>
      </w:r>
      <w:hyperlink r:id="rId4">
        <w:r>
          <w:rPr>
            <w:rFonts w:ascii="Calibri" w:eastAsia="Calibri" w:hAnsi="Calibri" w:cs="Calibri"/>
            <w:i/>
            <w:color w:val="0563C1"/>
            <w:u w:val="single" w:color="0563C1"/>
          </w:rPr>
          <w:t>Legal Needs Surveys and Access to Justice</w:t>
        </w:r>
      </w:hyperlink>
      <w:hyperlink r:id="rId5">
        <w:r>
          <w:rPr>
            <w:rFonts w:ascii="Calibri" w:eastAsia="Calibri" w:hAnsi="Calibri" w:cs="Calibri"/>
            <w:i/>
          </w:rPr>
          <w:t xml:space="preserve"> </w:t>
        </w:r>
      </w:hyperlink>
      <w:r>
        <w:t>, OECD (2019)</w:t>
      </w:r>
      <w:r>
        <w:rPr>
          <w:sz w:val="21"/>
        </w:rPr>
        <w:t xml:space="preserve">  </w:t>
      </w:r>
    </w:p>
  </w:footnote>
  <w:footnote w:id="51">
    <w:p w14:paraId="4964D516" w14:textId="77777777" w:rsidR="00D20077" w:rsidRDefault="00D20077" w:rsidP="00120846">
      <w:r>
        <w:footnoteRef/>
      </w:r>
      <w:r>
        <w:t xml:space="preserve"> See Question I5 in Annex A for more information. </w:t>
      </w:r>
    </w:p>
  </w:footnote>
  <w:footnote w:id="52">
    <w:p w14:paraId="3C4F79DF" w14:textId="77777777" w:rsidR="00D20077" w:rsidRDefault="00D20077" w:rsidP="00120846">
      <w:pPr>
        <w:spacing w:after="29" w:line="254" w:lineRule="auto"/>
      </w:pPr>
      <w:r>
        <w:footnoteRef/>
      </w:r>
      <w:r>
        <w:t xml:space="preserve"> These types of disputes have broad applicability across countries as reflected in </w:t>
      </w:r>
      <w:hyperlink r:id="rId6">
        <w:r>
          <w:rPr>
            <w:rFonts w:ascii="Calibri" w:eastAsia="Calibri" w:hAnsi="Calibri" w:cs="Calibri"/>
            <w:i/>
            <w:color w:val="0563C1"/>
            <w:u w:val="single" w:color="0563C1"/>
          </w:rPr>
          <w:t>Legal Needs Surveys and</w:t>
        </w:r>
      </w:hyperlink>
      <w:hyperlink r:id="rId7">
        <w:r>
          <w:rPr>
            <w:rFonts w:ascii="Calibri" w:eastAsia="Calibri" w:hAnsi="Calibri" w:cs="Calibri"/>
            <w:i/>
            <w:color w:val="0563C1"/>
          </w:rPr>
          <w:t xml:space="preserve"> </w:t>
        </w:r>
      </w:hyperlink>
      <w:hyperlink r:id="rId8">
        <w:r>
          <w:rPr>
            <w:rFonts w:ascii="Calibri" w:eastAsia="Calibri" w:hAnsi="Calibri" w:cs="Calibri"/>
            <w:i/>
            <w:color w:val="0563C1"/>
            <w:u w:val="single" w:color="0563C1"/>
          </w:rPr>
          <w:t>Access to Justice</w:t>
        </w:r>
      </w:hyperlink>
      <w:hyperlink r:id="rId9">
        <w:r>
          <w:rPr>
            <w:rFonts w:ascii="Calibri" w:eastAsia="Calibri" w:hAnsi="Calibri" w:cs="Calibri"/>
            <w:i/>
          </w:rPr>
          <w:t xml:space="preserve"> </w:t>
        </w:r>
      </w:hyperlink>
      <w:r>
        <w:t xml:space="preserve">, OECD (2019), which builds upon a review of more than 60 large-scale legal need surveys conducted over the past 25 years. </w:t>
      </w:r>
    </w:p>
  </w:footnote>
  <w:footnote w:id="53">
    <w:p w14:paraId="5003216C" w14:textId="77777777" w:rsidR="00D20077" w:rsidRDefault="00D20077" w:rsidP="00120846">
      <w:pPr>
        <w:spacing w:line="274" w:lineRule="auto"/>
      </w:pPr>
      <w:r>
        <w:footnoteRef/>
      </w:r>
      <w:r>
        <w:t xml:space="preserve"> </w:t>
      </w:r>
      <w:r>
        <w:rPr>
          <w:rFonts w:ascii="Calibri" w:eastAsia="Calibri" w:hAnsi="Calibri" w:cs="Calibri"/>
        </w:rPr>
        <w:t xml:space="preserve">Experimental evidence indicates that increasing a legal needs survey’s reference period from one to three years has only “a fairly modest” impact on problem </w:t>
      </w:r>
      <w:r>
        <w:t>reporting [Pleasence et al. (2016)]</w:t>
      </w:r>
      <w:r>
        <w:rPr>
          <w:rFonts w:ascii="Times New Roman" w:eastAsia="Times New Roman" w:hAnsi="Times New Roman" w:cs="Times New Roman"/>
        </w:rPr>
        <w:t xml:space="preserve"> </w:t>
      </w:r>
    </w:p>
  </w:footnote>
  <w:footnote w:id="54">
    <w:p w14:paraId="23261C08" w14:textId="12F1A1CF" w:rsidR="00D20077" w:rsidRPr="00DF7644" w:rsidRDefault="00D20077" w:rsidP="009C40F4">
      <w:pPr>
        <w:pStyle w:val="FootnoteText"/>
      </w:pPr>
    </w:p>
  </w:footnote>
  <w:footnote w:id="55">
    <w:p w14:paraId="080E12AF" w14:textId="4228B8F0" w:rsidR="00D20077" w:rsidRDefault="00D20077" w:rsidP="009C40F4">
      <w:pPr>
        <w:pStyle w:val="FootnoteText"/>
      </w:pPr>
    </w:p>
  </w:footnote>
  <w:footnote w:id="56">
    <w:p w14:paraId="1EEF8AC2" w14:textId="73771FFE" w:rsidR="00D20077" w:rsidRPr="00A43896" w:rsidRDefault="00D20077" w:rsidP="009C40F4">
      <w:pPr>
        <w:pStyle w:val="FootnoteText"/>
      </w:pPr>
    </w:p>
  </w:footnote>
  <w:footnote w:id="57">
    <w:p w14:paraId="66AAFD61" w14:textId="796F6D1B" w:rsidR="00D20077" w:rsidRPr="00C0021D" w:rsidRDefault="00D20077" w:rsidP="009C40F4">
      <w:pPr>
        <w:pStyle w:val="FootnoteText"/>
      </w:pPr>
    </w:p>
  </w:footnote>
  <w:footnote w:id="58">
    <w:p w14:paraId="48C76853" w14:textId="77777777" w:rsidR="00D20077" w:rsidRPr="00A24226" w:rsidRDefault="00D20077" w:rsidP="00DD4281">
      <w:pPr>
        <w:pStyle w:val="FootnoteText"/>
        <w:rPr>
          <w:sz w:val="18"/>
          <w:szCs w:val="18"/>
        </w:rPr>
      </w:pPr>
      <w:r w:rsidRPr="00A24226">
        <w:rPr>
          <w:rStyle w:val="FootnoteReference"/>
          <w:sz w:val="18"/>
          <w:szCs w:val="18"/>
        </w:rPr>
        <w:footnoteRef/>
      </w:r>
      <w:r w:rsidRPr="00A24226">
        <w:rPr>
          <w:sz w:val="18"/>
          <w:szCs w:val="18"/>
        </w:rPr>
        <w:t xml:space="preserve"> </w:t>
      </w:r>
      <w:r w:rsidRPr="00A24226">
        <w:rPr>
          <w:rFonts w:cstheme="minorHAnsi"/>
          <w:sz w:val="18"/>
          <w:szCs w:val="18"/>
        </w:rPr>
        <w:t xml:space="preserve">The formulation ‘government services’ (also commonly called ‘administrative services’) is used in this metadata to mirror this more colloquial language used in the survey questionnaire. </w:t>
      </w:r>
    </w:p>
  </w:footnote>
  <w:footnote w:id="59">
    <w:p w14:paraId="24FA1C2F" w14:textId="77777777" w:rsidR="00D20077" w:rsidRPr="00A24226" w:rsidRDefault="00D20077" w:rsidP="00DD4281">
      <w:pPr>
        <w:pStyle w:val="FootnoteText"/>
        <w:rPr>
          <w:sz w:val="18"/>
          <w:szCs w:val="18"/>
        </w:rPr>
      </w:pPr>
      <w:r w:rsidRPr="00A24226">
        <w:rPr>
          <w:rStyle w:val="FootnoteReference"/>
          <w:sz w:val="18"/>
          <w:szCs w:val="18"/>
        </w:rPr>
        <w:footnoteRef/>
      </w:r>
      <w:r w:rsidRPr="00A24226">
        <w:rPr>
          <w:sz w:val="18"/>
          <w:szCs w:val="18"/>
        </w:rPr>
        <w:t xml:space="preserve"> </w:t>
      </w:r>
      <w:r w:rsidRPr="00A24226">
        <w:rPr>
          <w:i/>
          <w:iCs/>
          <w:sz w:val="18"/>
          <w:szCs w:val="18"/>
        </w:rPr>
        <w:t>Good Governance Practices for the Protection of Human Rights</w:t>
      </w:r>
      <w:r w:rsidRPr="00A24226">
        <w:rPr>
          <w:sz w:val="18"/>
          <w:szCs w:val="18"/>
        </w:rPr>
        <w:t xml:space="preserve"> (United Nations publication, Sales No. E.07.XIV.10), p. 38 – cited in </w:t>
      </w:r>
      <w:r w:rsidRPr="00A24226">
        <w:rPr>
          <w:rFonts w:cstheme="minorHAnsi"/>
          <w:sz w:val="18"/>
          <w:szCs w:val="18"/>
        </w:rPr>
        <w:t>Report of the United Nations High Commissioner for Human Rights on the role of the public service as an essential component of good governance in the promotion and protection of human rights, Human Rights Council, 25</w:t>
      </w:r>
      <w:r w:rsidRPr="00A24226">
        <w:rPr>
          <w:rFonts w:cstheme="minorHAnsi"/>
          <w:sz w:val="18"/>
          <w:szCs w:val="18"/>
          <w:vertAlign w:val="superscript"/>
        </w:rPr>
        <w:t>th</w:t>
      </w:r>
      <w:r w:rsidRPr="00A24226">
        <w:rPr>
          <w:rFonts w:cstheme="minorHAnsi"/>
          <w:sz w:val="18"/>
          <w:szCs w:val="18"/>
        </w:rPr>
        <w:t xml:space="preserve"> Session, 23 December 2013, A/HRC/25/27  </w:t>
      </w:r>
    </w:p>
  </w:footnote>
  <w:footnote w:id="60">
    <w:p w14:paraId="2A17FD5C" w14:textId="77777777" w:rsidR="00D20077" w:rsidRPr="00A24226" w:rsidRDefault="00D20077" w:rsidP="00DD4281">
      <w:pPr>
        <w:shd w:val="clear" w:color="auto" w:fill="FFFFFF" w:themeFill="background1"/>
        <w:rPr>
          <w:rFonts w:asciiTheme="minorHAnsi" w:hAnsiTheme="minorHAnsi" w:cstheme="minorBidi"/>
          <w:sz w:val="18"/>
          <w:szCs w:val="18"/>
          <w:lang w:eastAsia="en-GB"/>
        </w:rPr>
      </w:pPr>
      <w:r w:rsidRPr="00A24226">
        <w:rPr>
          <w:rStyle w:val="FootnoteReference"/>
          <w:rFonts w:asciiTheme="minorHAnsi" w:hAnsiTheme="minorHAnsi" w:cstheme="minorBidi"/>
          <w:sz w:val="18"/>
          <w:szCs w:val="18"/>
        </w:rPr>
        <w:footnoteRef/>
      </w:r>
      <w:r w:rsidRPr="00A24226">
        <w:rPr>
          <w:rFonts w:asciiTheme="minorHAnsi" w:hAnsiTheme="minorHAnsi" w:cstheme="minorBidi"/>
          <w:sz w:val="18"/>
          <w:szCs w:val="18"/>
        </w:rPr>
        <w:t xml:space="preserve"> </w:t>
      </w:r>
      <w:r w:rsidRPr="00A24226">
        <w:rPr>
          <w:rFonts w:asciiTheme="minorHAnsi" w:hAnsiTheme="minorHAnsi" w:cstheme="minorBidi"/>
          <w:sz w:val="18"/>
          <w:szCs w:val="18"/>
          <w:lang w:eastAsia="en-GB"/>
        </w:rPr>
        <w:t>European Commission’s 2011 Communication regarding ‘</w:t>
      </w:r>
      <w:r w:rsidRPr="00A24226">
        <w:rPr>
          <w:rFonts w:asciiTheme="minorHAnsi" w:eastAsiaTheme="minorEastAsia" w:hAnsiTheme="minorHAnsi" w:cstheme="minorBidi"/>
          <w:sz w:val="18"/>
          <w:szCs w:val="18"/>
          <w:lang w:eastAsia="zh-CN"/>
        </w:rPr>
        <w:t xml:space="preserve">A Quality Framework for Services of General Interest in Europe’, p. 3 </w:t>
      </w:r>
    </w:p>
  </w:footnote>
  <w:footnote w:id="61">
    <w:p w14:paraId="755F746E" w14:textId="4E686AA4" w:rsidR="00D20077" w:rsidRPr="00A24226" w:rsidRDefault="00D20077" w:rsidP="00DD4281">
      <w:pPr>
        <w:pStyle w:val="FootnoteText"/>
        <w:rPr>
          <w:sz w:val="18"/>
          <w:szCs w:val="18"/>
        </w:rPr>
      </w:pPr>
      <w:r w:rsidRPr="00A24226">
        <w:rPr>
          <w:rFonts w:cstheme="minorHAnsi"/>
          <w:sz w:val="18"/>
          <w:szCs w:val="18"/>
        </w:rPr>
        <w:t xml:space="preserve">  </w:t>
      </w:r>
    </w:p>
  </w:footnote>
  <w:footnote w:id="62">
    <w:p w14:paraId="6A02A123" w14:textId="6C656195" w:rsidR="00D20077" w:rsidRPr="00A24226" w:rsidRDefault="00D20077" w:rsidP="00DD4281">
      <w:pPr>
        <w:pStyle w:val="FootnoteText"/>
        <w:rPr>
          <w:sz w:val="18"/>
          <w:szCs w:val="18"/>
        </w:rPr>
      </w:pPr>
      <w:r w:rsidRPr="00A24226">
        <w:rPr>
          <w:sz w:val="18"/>
          <w:szCs w:val="18"/>
        </w:rPr>
        <w:t xml:space="preserve">  </w:t>
      </w:r>
    </w:p>
  </w:footnote>
  <w:footnote w:id="63">
    <w:p w14:paraId="01EC9B41" w14:textId="04AC48F3" w:rsidR="00D20077" w:rsidRPr="00A24226" w:rsidRDefault="00D20077" w:rsidP="00DD4281">
      <w:pPr>
        <w:pStyle w:val="FootnoteText"/>
        <w:rPr>
          <w:sz w:val="18"/>
          <w:szCs w:val="18"/>
        </w:rPr>
      </w:pPr>
    </w:p>
  </w:footnote>
  <w:footnote w:id="64">
    <w:p w14:paraId="6D0CB06D" w14:textId="0DB68FAA" w:rsidR="00D20077" w:rsidRPr="00A24226" w:rsidRDefault="00D20077" w:rsidP="00DD4281">
      <w:pPr>
        <w:pStyle w:val="FootnoteText"/>
        <w:rPr>
          <w:sz w:val="18"/>
          <w:szCs w:val="18"/>
        </w:rPr>
      </w:pPr>
      <w:r w:rsidRPr="00A24226">
        <w:rPr>
          <w:rFonts w:cstheme="minorHAnsi"/>
          <w:sz w:val="18"/>
          <w:szCs w:val="18"/>
        </w:rPr>
        <w:t xml:space="preserve">  </w:t>
      </w:r>
    </w:p>
  </w:footnote>
  <w:footnote w:id="65">
    <w:p w14:paraId="1AD93F10" w14:textId="134CE138" w:rsidR="00D20077" w:rsidRPr="00A24226" w:rsidRDefault="00D20077" w:rsidP="00DD4281">
      <w:pPr>
        <w:pStyle w:val="FootnoteText"/>
        <w:rPr>
          <w:sz w:val="18"/>
          <w:szCs w:val="18"/>
        </w:rPr>
      </w:pPr>
    </w:p>
  </w:footnote>
  <w:footnote w:id="66">
    <w:p w14:paraId="2698F1F8" w14:textId="424E25EA" w:rsidR="00D20077" w:rsidRPr="00572966" w:rsidRDefault="00D20077" w:rsidP="000A4C02">
      <w:pPr>
        <w:pStyle w:val="FootnoteText"/>
        <w:rPr>
          <w:sz w:val="18"/>
          <w:szCs w:val="18"/>
        </w:rPr>
      </w:pPr>
    </w:p>
  </w:footnote>
  <w:footnote w:id="67">
    <w:p w14:paraId="54878ACA" w14:textId="49916640" w:rsidR="00D20077" w:rsidRPr="00572966" w:rsidRDefault="00D20077" w:rsidP="000A4C02">
      <w:pPr>
        <w:pStyle w:val="FootnoteText"/>
        <w:rPr>
          <w:sz w:val="18"/>
          <w:szCs w:val="18"/>
        </w:rPr>
      </w:pPr>
      <w:r w:rsidRPr="00572966">
        <w:rPr>
          <w:rStyle w:val="FootnoteReference"/>
          <w:sz w:val="18"/>
          <w:szCs w:val="18"/>
        </w:rPr>
        <w:footnoteRef/>
      </w:r>
      <w:r w:rsidRPr="00572966">
        <w:rPr>
          <w:sz w:val="18"/>
          <w:szCs w:val="18"/>
        </w:rPr>
        <w:t xml:space="preserve"> </w:t>
      </w:r>
    </w:p>
  </w:footnote>
  <w:footnote w:id="68">
    <w:p w14:paraId="6EE43D19" w14:textId="133EA0B0" w:rsidR="00D20077" w:rsidRPr="00BE5D03" w:rsidRDefault="00D20077" w:rsidP="000A4C02">
      <w:pPr>
        <w:rPr>
          <w:rFonts w:ascii="Calibri" w:hAnsi="Calibri" w:cs="Calibri"/>
          <w:sz w:val="18"/>
          <w:szCs w:val="18"/>
        </w:rPr>
      </w:pPr>
    </w:p>
  </w:footnote>
  <w:footnote w:id="69">
    <w:p w14:paraId="4508E07E" w14:textId="5DCECB86" w:rsidR="00D20077" w:rsidRPr="00BE5D03" w:rsidRDefault="00D20077" w:rsidP="000A4C02">
      <w:pPr>
        <w:pStyle w:val="FootnoteText"/>
        <w:rPr>
          <w:sz w:val="18"/>
          <w:szCs w:val="18"/>
        </w:rPr>
      </w:pPr>
    </w:p>
  </w:footnote>
  <w:footnote w:id="70">
    <w:p w14:paraId="009917B8" w14:textId="23178870" w:rsidR="00D20077" w:rsidRPr="00BE5D03" w:rsidRDefault="00D20077" w:rsidP="000A4C02">
      <w:pPr>
        <w:pStyle w:val="FootnoteText"/>
        <w:rPr>
          <w:sz w:val="18"/>
          <w:szCs w:val="18"/>
        </w:rPr>
      </w:pPr>
    </w:p>
  </w:footnote>
  <w:footnote w:id="71">
    <w:p w14:paraId="0C2FAE6F" w14:textId="65ABB928" w:rsidR="00D20077" w:rsidRPr="00BE5D03" w:rsidRDefault="00D20077" w:rsidP="000A4C02">
      <w:pPr>
        <w:pStyle w:val="FootnoteText"/>
        <w:rPr>
          <w:sz w:val="18"/>
          <w:szCs w:val="18"/>
        </w:rPr>
      </w:pPr>
    </w:p>
  </w:footnote>
  <w:footnote w:id="72">
    <w:p w14:paraId="1C43A1D5" w14:textId="75B14378" w:rsidR="00D20077" w:rsidRPr="00BE5D03" w:rsidRDefault="00D20077" w:rsidP="000A4C02">
      <w:pPr>
        <w:pStyle w:val="FootnoteText"/>
        <w:rPr>
          <w:sz w:val="18"/>
          <w:szCs w:val="18"/>
        </w:rPr>
      </w:pPr>
    </w:p>
  </w:footnote>
  <w:footnote w:id="73">
    <w:p w14:paraId="69A42E9F" w14:textId="5A1825D0" w:rsidR="00D20077" w:rsidRPr="00B00E75" w:rsidRDefault="00D20077" w:rsidP="000A4C02">
      <w:pPr>
        <w:pStyle w:val="FootnoteText"/>
      </w:pPr>
    </w:p>
  </w:footnote>
  <w:footnote w:id="74">
    <w:p w14:paraId="5A9D81D5" w14:textId="39022D25" w:rsidR="00D20077" w:rsidRPr="00BE5D03" w:rsidRDefault="00D20077" w:rsidP="000A4C02">
      <w:pPr>
        <w:pStyle w:val="FootnoteText"/>
        <w:rPr>
          <w:sz w:val="18"/>
          <w:szCs w:val="18"/>
        </w:rPr>
      </w:pPr>
    </w:p>
  </w:footnote>
  <w:footnote w:id="75">
    <w:p w14:paraId="678AB878" w14:textId="1DF1B37A" w:rsidR="00D20077" w:rsidRPr="00BE5D03" w:rsidRDefault="00D20077" w:rsidP="000A4C02">
      <w:pPr>
        <w:pStyle w:val="FootnoteText"/>
        <w:rPr>
          <w:sz w:val="18"/>
          <w:szCs w:val="18"/>
        </w:rPr>
      </w:pPr>
    </w:p>
  </w:footnote>
  <w:footnote w:id="76">
    <w:p w14:paraId="4FD3C99B" w14:textId="4CD5FBC7" w:rsidR="00D20077" w:rsidRPr="00BE5D03" w:rsidRDefault="00D20077" w:rsidP="000A4C02">
      <w:pPr>
        <w:pStyle w:val="FootnoteText"/>
        <w:rPr>
          <w:sz w:val="18"/>
          <w:szCs w:val="18"/>
        </w:rPr>
      </w:pPr>
    </w:p>
  </w:footnote>
  <w:footnote w:id="77">
    <w:p w14:paraId="0AEA1C60" w14:textId="61408679" w:rsidR="00D20077" w:rsidRPr="00BE5D03" w:rsidRDefault="00D20077" w:rsidP="000A4C02">
      <w:pPr>
        <w:pStyle w:val="FootnoteText"/>
        <w:rPr>
          <w:sz w:val="18"/>
          <w:szCs w:val="18"/>
        </w:rPr>
      </w:pPr>
    </w:p>
  </w:footnote>
  <w:footnote w:id="78">
    <w:p w14:paraId="524F32EA" w14:textId="5A17FEA7" w:rsidR="00D20077" w:rsidRPr="00BE5D03" w:rsidRDefault="00D20077" w:rsidP="000A4C02">
      <w:pPr>
        <w:pStyle w:val="FootnoteText"/>
        <w:rPr>
          <w:sz w:val="18"/>
          <w:szCs w:val="18"/>
        </w:rPr>
      </w:pPr>
      <w:r w:rsidRPr="00BE5D03">
        <w:rPr>
          <w:color w:val="4A4A4A"/>
          <w:sz w:val="18"/>
          <w:szCs w:val="18"/>
          <w:lang w:eastAsia="en-GB"/>
        </w:rPr>
        <w:t>.</w:t>
      </w:r>
    </w:p>
  </w:footnote>
  <w:footnote w:id="79">
    <w:p w14:paraId="43612302" w14:textId="7771133D" w:rsidR="00D20077" w:rsidRPr="00BE5D03" w:rsidRDefault="00D20077" w:rsidP="000A4C02">
      <w:pPr>
        <w:pStyle w:val="FootnoteText"/>
        <w:rPr>
          <w:color w:val="595959" w:themeColor="text1" w:themeTint="A6"/>
          <w:sz w:val="18"/>
          <w:szCs w:val="18"/>
        </w:rPr>
      </w:pPr>
      <w:r w:rsidRPr="00BE5D03">
        <w:rPr>
          <w:rStyle w:val="FootnoteReference"/>
          <w:color w:val="595959" w:themeColor="text1" w:themeTint="A6"/>
          <w:sz w:val="18"/>
          <w:szCs w:val="18"/>
        </w:rPr>
        <w:footnoteRef/>
      </w:r>
      <w:r w:rsidRPr="00BE5D03">
        <w:rPr>
          <w:color w:val="595959" w:themeColor="text1" w:themeTint="A6"/>
          <w:sz w:val="18"/>
          <w:szCs w:val="18"/>
        </w:rPr>
        <w:t xml:space="preserve">. </w:t>
      </w:r>
    </w:p>
  </w:footnote>
  <w:footnote w:id="80">
    <w:p w14:paraId="0088E211" w14:textId="67BD94E3" w:rsidR="00D20077" w:rsidRPr="0009775D" w:rsidRDefault="00D20077" w:rsidP="00921DAB">
      <w:pPr>
        <w:pStyle w:val="FootnoteText"/>
        <w:rPr>
          <w:sz w:val="18"/>
          <w:szCs w:val="18"/>
        </w:rPr>
      </w:pPr>
    </w:p>
  </w:footnote>
  <w:footnote w:id="81">
    <w:p w14:paraId="1E554D97" w14:textId="36534244" w:rsidR="00D20077" w:rsidRPr="0009775D" w:rsidRDefault="00D20077" w:rsidP="00921DAB">
      <w:pPr>
        <w:pStyle w:val="FootnoteText"/>
        <w:rPr>
          <w:sz w:val="18"/>
          <w:szCs w:val="18"/>
        </w:rPr>
      </w:pPr>
      <w:r w:rsidRPr="0009775D">
        <w:rPr>
          <w:sz w:val="18"/>
          <w:szCs w:val="18"/>
        </w:rPr>
        <w:t>.</w:t>
      </w:r>
    </w:p>
  </w:footnote>
  <w:footnote w:id="82">
    <w:p w14:paraId="498E622A" w14:textId="6E20EE42" w:rsidR="00D20077" w:rsidRPr="0009775D" w:rsidRDefault="00D20077" w:rsidP="00921DAB">
      <w:pPr>
        <w:pStyle w:val="FootnoteText"/>
        <w:rPr>
          <w:sz w:val="18"/>
          <w:szCs w:val="18"/>
        </w:rPr>
      </w:pPr>
      <w:r w:rsidRPr="0009775D">
        <w:rPr>
          <w:color w:val="000000" w:themeColor="text1"/>
          <w:sz w:val="18"/>
          <w:szCs w:val="18"/>
          <w:lang w:eastAsia="en-GB"/>
        </w:rPr>
        <w:t xml:space="preserve"> </w:t>
      </w:r>
      <w:r w:rsidRPr="0009775D">
        <w:rPr>
          <w:rFonts w:ascii="TimesNewRomanPSMT" w:hAnsi="TimesNewRomanPSMT"/>
          <w:sz w:val="18"/>
          <w:szCs w:val="18"/>
        </w:rPr>
        <w:t xml:space="preserve"> </w:t>
      </w:r>
    </w:p>
  </w:footnote>
  <w:footnote w:id="83">
    <w:p w14:paraId="7658AF19" w14:textId="42A4B93C" w:rsidR="00D20077" w:rsidRPr="0009775D" w:rsidRDefault="00D20077" w:rsidP="00921DAB">
      <w:pPr>
        <w:pStyle w:val="FootnoteText"/>
        <w:rPr>
          <w:sz w:val="18"/>
          <w:szCs w:val="18"/>
        </w:rPr>
      </w:pPr>
    </w:p>
  </w:footnote>
  <w:footnote w:id="84">
    <w:p w14:paraId="43423F54" w14:textId="221E4781" w:rsidR="00D20077" w:rsidRPr="00BA3CCB" w:rsidRDefault="00D20077" w:rsidP="00921DAB">
      <w:pPr>
        <w:pStyle w:val="FootnoteText"/>
        <w:rPr>
          <w:sz w:val="18"/>
          <w:szCs w:val="18"/>
        </w:rPr>
      </w:pPr>
      <w:r w:rsidRPr="00BA3CCB">
        <w:rPr>
          <w:sz w:val="18"/>
          <w:szCs w:val="18"/>
        </w:rPr>
        <w:t xml:space="preserve">  </w:t>
      </w:r>
    </w:p>
  </w:footnote>
  <w:footnote w:id="85">
    <w:p w14:paraId="5F844D0F" w14:textId="4E40760C" w:rsidR="00D20077" w:rsidRPr="0009775D" w:rsidRDefault="00D20077" w:rsidP="00921DAB">
      <w:pPr>
        <w:pStyle w:val="FootnoteText"/>
        <w:rPr>
          <w:sz w:val="18"/>
          <w:szCs w:val="18"/>
        </w:rPr>
      </w:pPr>
    </w:p>
  </w:footnote>
  <w:footnote w:id="86">
    <w:p w14:paraId="718D2697" w14:textId="0B6E9A3A" w:rsidR="00D20077" w:rsidRPr="0009775D" w:rsidRDefault="00D20077" w:rsidP="00921DAB">
      <w:pPr>
        <w:pStyle w:val="FootnoteText"/>
        <w:rPr>
          <w:sz w:val="18"/>
          <w:szCs w:val="18"/>
        </w:rPr>
      </w:pPr>
    </w:p>
  </w:footnote>
  <w:footnote w:id="87">
    <w:p w14:paraId="4F0E6F82" w14:textId="5CCC6EE5" w:rsidR="00D20077" w:rsidRPr="0009775D" w:rsidRDefault="00D20077" w:rsidP="00921DAB">
      <w:pPr>
        <w:pStyle w:val="FootnoteText"/>
        <w:rPr>
          <w:sz w:val="18"/>
          <w:szCs w:val="18"/>
        </w:rPr>
      </w:pPr>
    </w:p>
  </w:footnote>
  <w:footnote w:id="88">
    <w:p w14:paraId="77D8A36B" w14:textId="0464D30C" w:rsidR="00D20077" w:rsidRPr="0009775D" w:rsidRDefault="00D20077" w:rsidP="00921DAB">
      <w:pPr>
        <w:pStyle w:val="FootnoteText"/>
        <w:rPr>
          <w:sz w:val="18"/>
          <w:szCs w:val="18"/>
        </w:rPr>
      </w:pPr>
    </w:p>
  </w:footnote>
  <w:footnote w:id="89">
    <w:p w14:paraId="4D022DDE" w14:textId="505DE855" w:rsidR="00D20077" w:rsidRPr="00AD5891" w:rsidRDefault="00D20077" w:rsidP="00921DAB">
      <w:pPr>
        <w:pStyle w:val="FootnoteText"/>
        <w:rPr>
          <w:color w:val="404040" w:themeColor="text1" w:themeTint="BF"/>
          <w:sz w:val="18"/>
          <w:szCs w:val="18"/>
        </w:rPr>
      </w:pPr>
      <w:r w:rsidRPr="00AD5891">
        <w:rPr>
          <w:rStyle w:val="FootnoteReference"/>
          <w:color w:val="404040" w:themeColor="text1" w:themeTint="BF"/>
          <w:sz w:val="18"/>
          <w:szCs w:val="18"/>
        </w:rPr>
        <w:footnoteRef/>
      </w:r>
      <w:r w:rsidRPr="00AD5891">
        <w:rPr>
          <w:color w:val="404040" w:themeColor="text1" w:themeTint="BF"/>
          <w:sz w:val="18"/>
          <w:szCs w:val="18"/>
        </w:rPr>
        <w:t xml:space="preserve"> </w:t>
      </w:r>
    </w:p>
  </w:footnote>
  <w:footnote w:id="90">
    <w:p w14:paraId="67A66A00" w14:textId="71C70CC7" w:rsidR="00D20077" w:rsidRPr="00AD5891" w:rsidRDefault="00D20077" w:rsidP="00921DAB">
      <w:pPr>
        <w:pStyle w:val="FootnoteText"/>
        <w:jc w:val="both"/>
        <w:rPr>
          <w:rFonts w:cstheme="minorHAnsi"/>
          <w:color w:val="404040" w:themeColor="text1" w:themeTint="BF"/>
          <w:sz w:val="18"/>
          <w:szCs w:val="18"/>
        </w:rPr>
      </w:pPr>
      <w:r w:rsidRPr="00AD5891">
        <w:rPr>
          <w:rFonts w:cstheme="minorHAnsi"/>
          <w:color w:val="404040" w:themeColor="text1" w:themeTint="BF"/>
          <w:sz w:val="18"/>
          <w:szCs w:val="18"/>
          <w:lang w:eastAsia="en-GB"/>
        </w:rPr>
        <w:t>.</w:t>
      </w:r>
    </w:p>
  </w:footnote>
  <w:footnote w:id="91">
    <w:p w14:paraId="763D5F5C" w14:textId="1C08300D" w:rsidR="00D20077" w:rsidRPr="00AD5891" w:rsidRDefault="00D20077" w:rsidP="00921DAB">
      <w:pPr>
        <w:pStyle w:val="FootnoteText"/>
        <w:jc w:val="both"/>
        <w:rPr>
          <w:color w:val="404040" w:themeColor="text1" w:themeTint="BF"/>
          <w:sz w:val="18"/>
          <w:szCs w:val="18"/>
        </w:rPr>
      </w:pPr>
    </w:p>
  </w:footnote>
  <w:footnote w:id="92">
    <w:p w14:paraId="2B8032B3" w14:textId="21203833" w:rsidR="00D20077" w:rsidRPr="00AD5891" w:rsidRDefault="00D20077" w:rsidP="00921DAB">
      <w:pPr>
        <w:pStyle w:val="FootnoteText"/>
        <w:rPr>
          <w:color w:val="404040" w:themeColor="text1" w:themeTint="BF"/>
          <w:sz w:val="18"/>
          <w:szCs w:val="18"/>
        </w:rPr>
      </w:pPr>
    </w:p>
  </w:footnote>
  <w:footnote w:id="93">
    <w:p w14:paraId="7025D49E" w14:textId="6E3A88CD" w:rsidR="00D20077" w:rsidRPr="00AD5891" w:rsidRDefault="00D20077" w:rsidP="00921DAB">
      <w:pPr>
        <w:pStyle w:val="FootnoteText"/>
        <w:jc w:val="both"/>
        <w:rPr>
          <w:color w:val="404040" w:themeColor="text1" w:themeTint="BF"/>
          <w:sz w:val="18"/>
          <w:szCs w:val="18"/>
        </w:rPr>
      </w:pPr>
    </w:p>
  </w:footnote>
  <w:footnote w:id="94">
    <w:p w14:paraId="765A9832" w14:textId="7E6D6E2A" w:rsidR="00D20077" w:rsidRPr="00AD5891" w:rsidRDefault="00D20077" w:rsidP="00921DAB">
      <w:pPr>
        <w:pStyle w:val="FootnoteText"/>
        <w:jc w:val="both"/>
        <w:rPr>
          <w:color w:val="404040" w:themeColor="text1" w:themeTint="BF"/>
          <w:sz w:val="18"/>
          <w:szCs w:val="18"/>
        </w:rPr>
      </w:pPr>
      <w:r w:rsidRPr="00AD5891">
        <w:rPr>
          <w:rStyle w:val="FootnoteReference"/>
          <w:color w:val="404040" w:themeColor="text1" w:themeTint="BF"/>
          <w:sz w:val="18"/>
          <w:szCs w:val="18"/>
        </w:rPr>
        <w:footnoteRef/>
      </w:r>
      <w:r w:rsidRPr="00AD5891">
        <w:rPr>
          <w:color w:val="404040" w:themeColor="text1" w:themeTint="BF"/>
          <w:sz w:val="18"/>
          <w:szCs w:val="18"/>
        </w:rPr>
        <w:t xml:space="preserve"> </w:t>
      </w:r>
    </w:p>
  </w:footnote>
  <w:footnote w:id="95">
    <w:p w14:paraId="0C8DBE76" w14:textId="470FEF9A" w:rsidR="00D20077" w:rsidRPr="00AD5891" w:rsidRDefault="00D20077" w:rsidP="00921DAB">
      <w:pPr>
        <w:pStyle w:val="FootnoteText"/>
        <w:jc w:val="both"/>
        <w:rPr>
          <w:rFonts w:cstheme="minorHAnsi"/>
          <w:color w:val="404040" w:themeColor="text1" w:themeTint="BF"/>
          <w:sz w:val="18"/>
          <w:szCs w:val="18"/>
        </w:rPr>
      </w:pPr>
    </w:p>
  </w:footnote>
  <w:footnote w:id="96">
    <w:p w14:paraId="34D077EE" w14:textId="3C7317DB" w:rsidR="00D20077" w:rsidRPr="00AD5891" w:rsidRDefault="00D20077" w:rsidP="00921DAB">
      <w:pPr>
        <w:jc w:val="both"/>
        <w:rPr>
          <w:rFonts w:cs="Calibri"/>
          <w:color w:val="404040" w:themeColor="text1" w:themeTint="BF"/>
          <w:sz w:val="18"/>
          <w:szCs w:val="18"/>
        </w:rPr>
      </w:pPr>
    </w:p>
  </w:footnote>
  <w:footnote w:id="97">
    <w:p w14:paraId="3C95AEBE" w14:textId="77777777" w:rsidR="00D20077" w:rsidRPr="00AD5891" w:rsidRDefault="00D20077" w:rsidP="00921DAB">
      <w:pPr>
        <w:pStyle w:val="FootnoteText"/>
        <w:jc w:val="both"/>
        <w:rPr>
          <w:color w:val="404040" w:themeColor="text1" w:themeTint="BF"/>
          <w:sz w:val="18"/>
          <w:szCs w:val="18"/>
        </w:rPr>
      </w:pPr>
      <w:r w:rsidRPr="00AD5891">
        <w:rPr>
          <w:rStyle w:val="FootnoteReference"/>
          <w:color w:val="404040" w:themeColor="text1" w:themeTint="BF"/>
          <w:sz w:val="18"/>
          <w:szCs w:val="18"/>
        </w:rPr>
        <w:footnoteRef/>
      </w:r>
      <w:r w:rsidRPr="00AD5891">
        <w:rPr>
          <w:color w:val="404040" w:themeColor="text1" w:themeTint="BF"/>
          <w:sz w:val="18"/>
          <w:szCs w:val="18"/>
        </w:rPr>
        <w:t xml:space="preserve"> </w:t>
      </w:r>
      <w:proofErr w:type="gramStart"/>
      <w:r w:rsidRPr="00AD5891">
        <w:rPr>
          <w:rFonts w:cstheme="minorHAnsi"/>
          <w:color w:val="404040" w:themeColor="text1" w:themeTint="BF"/>
          <w:sz w:val="18"/>
          <w:szCs w:val="18"/>
        </w:rPr>
        <w:t xml:space="preserve">UN General Assembly, Resolution on Review of the United Nations Peacebuilding Architecture, </w:t>
      </w:r>
      <w:r w:rsidRPr="00AD5891">
        <w:rPr>
          <w:color w:val="404040" w:themeColor="text1" w:themeTint="BF"/>
          <w:sz w:val="18"/>
          <w:szCs w:val="18"/>
        </w:rPr>
        <w:t>A/RES/70/262 (12 May 2016); UN Security Council, Resolution 2282, S/RES/2282 (2016).</w:t>
      </w:r>
      <w:proofErr w:type="gramEnd"/>
    </w:p>
  </w:footnote>
  <w:footnote w:id="98">
    <w:p w14:paraId="555D7B39" w14:textId="77777777" w:rsidR="00D20077" w:rsidRPr="00BE5D03" w:rsidRDefault="00D20077" w:rsidP="00706D31">
      <w:pPr>
        <w:pStyle w:val="FootnoteText"/>
        <w:rPr>
          <w:sz w:val="18"/>
          <w:szCs w:val="18"/>
        </w:rPr>
      </w:pPr>
      <w:r w:rsidRPr="00BE5D03">
        <w:rPr>
          <w:rStyle w:val="FootnoteReference"/>
          <w:sz w:val="18"/>
          <w:szCs w:val="18"/>
        </w:rPr>
        <w:footnoteRef/>
      </w:r>
      <w:r w:rsidRPr="00BE5D03">
        <w:rPr>
          <w:sz w:val="18"/>
          <w:szCs w:val="18"/>
        </w:rPr>
        <w:t xml:space="preserve"> In case of bicameral parliaments, data will be obtained separately from the secretariat of each chamber, except where the two chambers share a secretariat / contact point.</w:t>
      </w:r>
    </w:p>
  </w:footnote>
  <w:footnote w:id="99">
    <w:p w14:paraId="7E4D2F7E" w14:textId="77777777" w:rsidR="00D20077" w:rsidRPr="00767BC4" w:rsidRDefault="00D20077" w:rsidP="0037164C">
      <w:pPr>
        <w:autoSpaceDE w:val="0"/>
        <w:autoSpaceDN w:val="0"/>
        <w:adjustRightInd w:val="0"/>
        <w:rPr>
          <w:rFonts w:asciiTheme="minorHAnsi" w:eastAsiaTheme="minorEastAsia" w:hAnsiTheme="minorHAnsi"/>
          <w:color w:val="00000A"/>
          <w:sz w:val="18"/>
          <w:szCs w:val="18"/>
          <w:lang w:eastAsia="zh-CN"/>
        </w:rPr>
      </w:pPr>
      <w:r w:rsidRPr="00767BC4">
        <w:rPr>
          <w:rStyle w:val="FootnoteReference"/>
          <w:rFonts w:asciiTheme="minorHAnsi" w:hAnsiTheme="minorHAnsi"/>
          <w:sz w:val="18"/>
          <w:szCs w:val="18"/>
        </w:rPr>
        <w:footnoteRef/>
      </w:r>
      <w:r w:rsidRPr="00767BC4">
        <w:rPr>
          <w:rFonts w:asciiTheme="minorHAnsi" w:hAnsiTheme="minorHAnsi"/>
          <w:sz w:val="18"/>
          <w:szCs w:val="18"/>
        </w:rPr>
        <w:t xml:space="preserve"> </w:t>
      </w:r>
      <w:r w:rsidRPr="00767BC4">
        <w:rPr>
          <w:rFonts w:asciiTheme="minorHAnsi" w:eastAsiaTheme="minorEastAsia" w:hAnsiTheme="minorHAnsi"/>
          <w:sz w:val="18"/>
          <w:szCs w:val="18"/>
          <w:lang w:eastAsia="zh-CN"/>
        </w:rPr>
        <w:t xml:space="preserve">See </w:t>
      </w:r>
      <w:r w:rsidRPr="00767BC4">
        <w:rPr>
          <w:rFonts w:asciiTheme="minorHAnsi" w:eastAsiaTheme="minorEastAsia" w:hAnsiTheme="minorHAnsi"/>
          <w:color w:val="00000A"/>
          <w:sz w:val="18"/>
          <w:szCs w:val="18"/>
          <w:lang w:eastAsia="zh-CN"/>
        </w:rPr>
        <w:t>Holbrook, A. L., &amp; Krosnick, J. A. (2010). Social desirability bias in voter turnout reports tests using the</w:t>
      </w:r>
    </w:p>
    <w:p w14:paraId="7223E34A" w14:textId="77777777" w:rsidR="00D20077" w:rsidRPr="00767BC4" w:rsidRDefault="00D20077" w:rsidP="0037164C">
      <w:pPr>
        <w:pStyle w:val="FootnoteText"/>
        <w:rPr>
          <w:sz w:val="18"/>
          <w:szCs w:val="18"/>
        </w:rPr>
      </w:pPr>
      <w:proofErr w:type="gramStart"/>
      <w:r w:rsidRPr="00767BC4">
        <w:rPr>
          <w:rFonts w:eastAsiaTheme="minorEastAsia"/>
          <w:color w:val="00000A"/>
          <w:sz w:val="18"/>
          <w:szCs w:val="18"/>
          <w:lang w:eastAsia="zh-CN"/>
        </w:rPr>
        <w:t>item</w:t>
      </w:r>
      <w:proofErr w:type="gramEnd"/>
      <w:r w:rsidRPr="00767BC4">
        <w:rPr>
          <w:rFonts w:eastAsiaTheme="minorEastAsia"/>
          <w:color w:val="00000A"/>
          <w:sz w:val="18"/>
          <w:szCs w:val="18"/>
          <w:lang w:eastAsia="zh-CN"/>
        </w:rPr>
        <w:t xml:space="preserve"> count technique. </w:t>
      </w:r>
      <w:proofErr w:type="gramStart"/>
      <w:r w:rsidRPr="00767BC4">
        <w:rPr>
          <w:rFonts w:eastAsiaTheme="minorEastAsia"/>
          <w:color w:val="00000A"/>
          <w:sz w:val="18"/>
          <w:szCs w:val="18"/>
          <w:lang w:eastAsia="zh-CN"/>
        </w:rPr>
        <w:t>Public Opinion Quarterly, 74 (1), 37{67}.</w:t>
      </w:r>
      <w:proofErr w:type="gramEnd"/>
    </w:p>
  </w:footnote>
  <w:footnote w:id="100">
    <w:p w14:paraId="65D38B16" w14:textId="77777777" w:rsidR="00D20077" w:rsidRPr="00767BC4" w:rsidRDefault="00D20077" w:rsidP="0037164C">
      <w:pPr>
        <w:autoSpaceDE w:val="0"/>
        <w:autoSpaceDN w:val="0"/>
        <w:adjustRightInd w:val="0"/>
        <w:rPr>
          <w:rFonts w:asciiTheme="minorHAnsi" w:eastAsiaTheme="minorEastAsia" w:hAnsiTheme="minorHAnsi"/>
          <w:color w:val="00000A"/>
          <w:sz w:val="18"/>
          <w:szCs w:val="18"/>
          <w:lang w:eastAsia="zh-CN"/>
        </w:rPr>
      </w:pPr>
      <w:r w:rsidRPr="00767BC4">
        <w:rPr>
          <w:rStyle w:val="FootnoteReference"/>
          <w:rFonts w:asciiTheme="minorHAnsi" w:hAnsiTheme="minorHAnsi"/>
          <w:sz w:val="18"/>
          <w:szCs w:val="18"/>
        </w:rPr>
        <w:footnoteRef/>
      </w:r>
      <w:r w:rsidRPr="00767BC4">
        <w:rPr>
          <w:rFonts w:asciiTheme="minorHAnsi" w:hAnsiTheme="minorHAnsi"/>
          <w:sz w:val="18"/>
          <w:szCs w:val="18"/>
          <w:lang w:val="nb-NO"/>
        </w:rPr>
        <w:t xml:space="preserve"> </w:t>
      </w:r>
      <w:r w:rsidRPr="00767BC4">
        <w:rPr>
          <w:rFonts w:asciiTheme="minorHAnsi" w:eastAsiaTheme="minorEastAsia" w:hAnsiTheme="minorHAnsi"/>
          <w:sz w:val="18"/>
          <w:szCs w:val="18"/>
          <w:lang w:val="nb-NO" w:eastAsia="zh-CN"/>
        </w:rPr>
        <w:t xml:space="preserve">See </w:t>
      </w:r>
      <w:r w:rsidRPr="00767BC4">
        <w:rPr>
          <w:rFonts w:asciiTheme="minorHAnsi" w:eastAsiaTheme="minorEastAsia" w:hAnsiTheme="minorHAnsi"/>
          <w:color w:val="00000A"/>
          <w:sz w:val="18"/>
          <w:szCs w:val="18"/>
          <w:lang w:val="nb-NO" w:eastAsia="zh-CN"/>
        </w:rPr>
        <w:t xml:space="preserve">Kuklinski, J. H., Cobb, M. D., &amp; Gilens, M. (1997). </w:t>
      </w:r>
      <w:proofErr w:type="gramStart"/>
      <w:r w:rsidRPr="00767BC4">
        <w:rPr>
          <w:rFonts w:asciiTheme="minorHAnsi" w:eastAsiaTheme="minorEastAsia" w:hAnsiTheme="minorHAnsi"/>
          <w:color w:val="00000A"/>
          <w:sz w:val="18"/>
          <w:szCs w:val="18"/>
          <w:lang w:eastAsia="zh-CN"/>
        </w:rPr>
        <w:t>Racial attitudes and the new south.</w:t>
      </w:r>
      <w:proofErr w:type="gramEnd"/>
      <w:r w:rsidRPr="00767BC4">
        <w:rPr>
          <w:rFonts w:asciiTheme="minorHAnsi" w:eastAsiaTheme="minorEastAsia" w:hAnsiTheme="minorHAnsi"/>
          <w:color w:val="00000A"/>
          <w:sz w:val="18"/>
          <w:szCs w:val="18"/>
          <w:lang w:eastAsia="zh-CN"/>
        </w:rPr>
        <w:t xml:space="preserve"> The Journal of</w:t>
      </w:r>
    </w:p>
    <w:p w14:paraId="7F8BB8E9" w14:textId="77777777" w:rsidR="00D20077" w:rsidRPr="00767BC4" w:rsidRDefault="00D20077" w:rsidP="0037164C">
      <w:pPr>
        <w:pStyle w:val="FootnoteText"/>
        <w:rPr>
          <w:sz w:val="18"/>
          <w:szCs w:val="18"/>
        </w:rPr>
      </w:pPr>
      <w:proofErr w:type="gramStart"/>
      <w:r w:rsidRPr="00767BC4">
        <w:rPr>
          <w:rFonts w:eastAsiaTheme="minorEastAsia"/>
          <w:color w:val="00000A"/>
          <w:sz w:val="18"/>
          <w:szCs w:val="18"/>
          <w:lang w:eastAsia="zh-CN"/>
        </w:rPr>
        <w:t>Politics, 59 (02), 323{349}.</w:t>
      </w:r>
      <w:proofErr w:type="gramEnd"/>
    </w:p>
  </w:footnote>
  <w:footnote w:id="101">
    <w:p w14:paraId="2E41AE65" w14:textId="77777777" w:rsidR="00D20077" w:rsidRPr="00767BC4" w:rsidRDefault="00D20077" w:rsidP="0037164C">
      <w:pPr>
        <w:rPr>
          <w:rFonts w:asciiTheme="minorHAnsi" w:eastAsiaTheme="minorEastAsia" w:hAnsiTheme="minorHAnsi" w:cstheme="minorBidi"/>
          <w:sz w:val="18"/>
          <w:szCs w:val="18"/>
        </w:rPr>
      </w:pPr>
      <w:r w:rsidRPr="00767BC4">
        <w:rPr>
          <w:rFonts w:asciiTheme="minorHAnsi" w:eastAsiaTheme="minorEastAsia" w:hAnsiTheme="minorHAnsi" w:cstheme="minorBidi"/>
          <w:sz w:val="18"/>
          <w:szCs w:val="18"/>
        </w:rPr>
        <w:footnoteRef/>
      </w:r>
      <w:r w:rsidRPr="00767BC4">
        <w:rPr>
          <w:rFonts w:asciiTheme="minorHAnsi" w:eastAsiaTheme="minorEastAsia" w:hAnsiTheme="minorHAnsi" w:cstheme="minorBidi"/>
          <w:sz w:val="18"/>
          <w:szCs w:val="18"/>
        </w:rPr>
        <w:t xml:space="preserve"> See https://www.un.org/development/desa/ageing/wp-content/uploads/sites/24/2018/03/Report-of-the-United-Kingdom-of-Great-Britain-and-Northern-Ireland-on-ageing-related-statistics-and-age-disaggregated-data.pdf  </w:t>
      </w:r>
    </w:p>
  </w:footnote>
  <w:footnote w:id="102">
    <w:p w14:paraId="28CC13F6" w14:textId="77777777" w:rsidR="00D20077" w:rsidRPr="00C35EC4" w:rsidRDefault="00D20077" w:rsidP="0037164C">
      <w:pPr>
        <w:pStyle w:val="FootnoteText"/>
        <w:rPr>
          <w:sz w:val="18"/>
          <w:szCs w:val="18"/>
        </w:rPr>
      </w:pPr>
      <w:r w:rsidRPr="00C35EC4">
        <w:rPr>
          <w:rStyle w:val="FootnoteReference"/>
          <w:sz w:val="18"/>
          <w:szCs w:val="18"/>
        </w:rPr>
        <w:footnoteRef/>
      </w:r>
      <w:r w:rsidRPr="00C35EC4">
        <w:rPr>
          <w:sz w:val="18"/>
          <w:szCs w:val="18"/>
        </w:rPr>
        <w:t xml:space="preserve"> If this indicator is being calculated from an existing survey that uses a non-standard response scale, please contact UNDP </w:t>
      </w:r>
      <w:r>
        <w:rPr>
          <w:sz w:val="18"/>
          <w:szCs w:val="18"/>
        </w:rPr>
        <w:t xml:space="preserve">at </w:t>
      </w:r>
      <w:hyperlink r:id="rId10" w:history="1">
        <w:r w:rsidRPr="00270F6D">
          <w:rPr>
            <w:rStyle w:val="Hyperlink"/>
            <w:sz w:val="18"/>
            <w:szCs w:val="18"/>
          </w:rPr>
          <w:t>sdg16indicators@undp.org</w:t>
        </w:r>
      </w:hyperlink>
      <w:r>
        <w:rPr>
          <w:sz w:val="18"/>
          <w:szCs w:val="18"/>
        </w:rPr>
        <w:t xml:space="preserve"> </w:t>
      </w:r>
      <w:r w:rsidRPr="00C35EC4">
        <w:rPr>
          <w:sz w:val="18"/>
          <w:szCs w:val="18"/>
        </w:rPr>
        <w:t>for guidance on identifying “positive” responses in non-standard response scales</w:t>
      </w:r>
      <w:r>
        <w:rPr>
          <w:sz w:val="18"/>
          <w:szCs w:val="18"/>
        </w:rPr>
        <w:t>.</w:t>
      </w:r>
    </w:p>
  </w:footnote>
  <w:footnote w:id="103">
    <w:p w14:paraId="382691D8" w14:textId="77777777" w:rsidR="00D20077" w:rsidRPr="008A5FDB" w:rsidRDefault="00D20077" w:rsidP="009C40F4">
      <w:pPr>
        <w:pStyle w:val="FootnoteText"/>
      </w:pPr>
      <w:r w:rsidRPr="008A5FDB">
        <w:rPr>
          <w:rStyle w:val="FootnoteReference"/>
        </w:rPr>
        <w:footnoteRef/>
      </w:r>
      <w:r w:rsidRPr="008A5FDB">
        <w:t xml:space="preserve"> See, for instance, Art. </w:t>
      </w:r>
      <w:proofErr w:type="gramStart"/>
      <w:r w:rsidRPr="008A5FDB">
        <w:t>1 of the International Convention on the Elimination of All Forms of Racial Discrimination (ICERD); Art.</w:t>
      </w:r>
      <w:proofErr w:type="gramEnd"/>
      <w:r w:rsidRPr="008A5FDB">
        <w:t xml:space="preserve"> </w:t>
      </w:r>
      <w:proofErr w:type="gramStart"/>
      <w:r w:rsidRPr="008A5FDB">
        <w:t>1 of the Convention on the Elimination of All Forms of Discrimination against Women (CEDAW); Art.</w:t>
      </w:r>
      <w:proofErr w:type="gramEnd"/>
      <w:r w:rsidRPr="008A5FDB">
        <w:t xml:space="preserve"> 2 of the Convention on the Rights of Persons with Disabilities (CRPD); General Comment 18 of the Human Rights Committee (paragraphs 6 and 7) and General Comment 20 of the Committee on Economic, Social and Cultural Rights (paragraph 7).</w:t>
      </w:r>
    </w:p>
  </w:footnote>
  <w:footnote w:id="104">
    <w:p w14:paraId="3AB5DE44" w14:textId="77777777" w:rsidR="00D20077" w:rsidRPr="004E2209" w:rsidRDefault="00D20077" w:rsidP="009C40F4">
      <w:pPr>
        <w:pStyle w:val="FootnoteText"/>
        <w:jc w:val="both"/>
      </w:pPr>
      <w:r w:rsidRPr="004E2209">
        <w:rPr>
          <w:rStyle w:val="FootnoteReference"/>
        </w:rPr>
        <w:footnoteRef/>
      </w:r>
      <w:r w:rsidRPr="004E2209">
        <w:t xml:space="preserve"> </w:t>
      </w:r>
      <w:r>
        <w:t>See, for instance, G</w:t>
      </w:r>
      <w:r w:rsidRPr="008A5FDB">
        <w:t>eneral Comment 20 of the Committee on Economic, Social and Cultural Rights</w:t>
      </w:r>
      <w:r>
        <w:t xml:space="preserve">, and </w:t>
      </w:r>
      <w:r w:rsidRPr="004E2209">
        <w:t>United Nations Secretary-Gen</w:t>
      </w:r>
      <w:r>
        <w:t>eral’s bulletin (ST/SGB/2008/5) on</w:t>
      </w:r>
      <w:r w:rsidRPr="004E2209">
        <w:t xml:space="preserve"> Prohibition of discrimination, harassment, including sexual harassment, and abuse of authority</w:t>
      </w:r>
      <w:r>
        <w:t>.</w:t>
      </w:r>
    </w:p>
  </w:footnote>
  <w:footnote w:id="105">
    <w:p w14:paraId="6E1CA586" w14:textId="77777777" w:rsidR="00D20077" w:rsidRPr="008A5FDB" w:rsidRDefault="00D20077" w:rsidP="009C40F4">
      <w:pPr>
        <w:pStyle w:val="FootnoteText"/>
      </w:pPr>
      <w:r w:rsidRPr="008A5FDB">
        <w:rPr>
          <w:rStyle w:val="FootnoteReference"/>
        </w:rPr>
        <w:footnoteRef/>
      </w:r>
      <w:r>
        <w:t xml:space="preserve"> More </w:t>
      </w:r>
      <w:r w:rsidRPr="008A5FDB">
        <w:t xml:space="preserve">information on the grounds of discrimination prohibited by international human rights law </w:t>
      </w:r>
      <w:r>
        <w:t>is available</w:t>
      </w:r>
      <w:r w:rsidRPr="008A5FDB">
        <w:t xml:space="preserve"> at: </w:t>
      </w:r>
      <w:hyperlink r:id="rId11" w:history="1">
        <w:r w:rsidRPr="009E510E">
          <w:rPr>
            <w:rStyle w:val="Hyperlink"/>
          </w:rPr>
          <w:t>http://www.ohchr.org/Documents/Issues/HRIndicators/HumanRightsStandards.pdf</w:t>
        </w:r>
      </w:hyperlink>
      <w:r>
        <w:t xml:space="preserve"> </w:t>
      </w:r>
    </w:p>
  </w:footnote>
  <w:footnote w:id="106">
    <w:p w14:paraId="5C07092D" w14:textId="77777777" w:rsidR="00D20077" w:rsidRPr="00F558F9" w:rsidRDefault="00D20077" w:rsidP="009C40F4">
      <w:pPr>
        <w:pStyle w:val="FootnoteText"/>
      </w:pPr>
      <w:r>
        <w:rPr>
          <w:rStyle w:val="FootnoteReference"/>
        </w:rPr>
        <w:footnoteRef/>
      </w:r>
      <w:r>
        <w:t xml:space="preserve"> </w:t>
      </w:r>
      <w:proofErr w:type="gramStart"/>
      <w:r>
        <w:t>P</w:t>
      </w:r>
      <w:r w:rsidRPr="00F558F9">
        <w:t>attern of reporting events as having occurred more recently that they actually did</w:t>
      </w:r>
      <w:r>
        <w:t>.</w:t>
      </w:r>
      <w:proofErr w:type="gramEnd"/>
      <w:r>
        <w:t xml:space="preserve"> This is a phenomenon commonly observed in </w:t>
      </w:r>
      <w:r w:rsidRPr="00F558F9">
        <w:t>crime victimization surveys</w:t>
      </w:r>
      <w:r>
        <w:t>.</w:t>
      </w:r>
    </w:p>
  </w:footnote>
  <w:footnote w:id="107">
    <w:p w14:paraId="2FB808AB" w14:textId="77777777" w:rsidR="00D20077" w:rsidRDefault="00D20077" w:rsidP="008621B4">
      <w:pPr>
        <w:pStyle w:val="FootnoteText"/>
      </w:pPr>
      <w:r>
        <w:rPr>
          <w:rStyle w:val="FootnoteReference"/>
        </w:rPr>
        <w:footnoteRef/>
      </w:r>
      <w:r>
        <w:t xml:space="preserve"> </w:t>
      </w:r>
      <w:proofErr w:type="gramStart"/>
      <w:r>
        <w:t>Estimates currently available for countries that are members of the OECD Development Assistance Committee.</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6D43"/>
    <w:multiLevelType w:val="hybridMultilevel"/>
    <w:tmpl w:val="F566ED2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01A24400"/>
    <w:multiLevelType w:val="hybridMultilevel"/>
    <w:tmpl w:val="F98ACCD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80C5F"/>
    <w:multiLevelType w:val="hybridMultilevel"/>
    <w:tmpl w:val="9BBABB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35021"/>
    <w:multiLevelType w:val="multilevel"/>
    <w:tmpl w:val="7AE638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897023"/>
    <w:multiLevelType w:val="hybridMultilevel"/>
    <w:tmpl w:val="76949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0E5623"/>
    <w:multiLevelType w:val="hybridMultilevel"/>
    <w:tmpl w:val="95EE4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35D38B3"/>
    <w:multiLevelType w:val="multilevel"/>
    <w:tmpl w:val="04090025"/>
    <w:lvl w:ilvl="0">
      <w:start w:val="1"/>
      <w:numFmt w:val="decimal"/>
      <w:pStyle w:val="Heading1"/>
      <w:lvlText w:val="%1"/>
      <w:lvlJc w:val="left"/>
      <w:pPr>
        <w:ind w:left="286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03BC662A"/>
    <w:multiLevelType w:val="hybridMultilevel"/>
    <w:tmpl w:val="52307F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03C54020"/>
    <w:multiLevelType w:val="hybridMultilevel"/>
    <w:tmpl w:val="A31C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C71420"/>
    <w:multiLevelType w:val="hybridMultilevel"/>
    <w:tmpl w:val="6CA4313E"/>
    <w:lvl w:ilvl="0" w:tplc="B96E56D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42A5C29"/>
    <w:multiLevelType w:val="hybridMultilevel"/>
    <w:tmpl w:val="4B624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4C0828"/>
    <w:multiLevelType w:val="hybridMultilevel"/>
    <w:tmpl w:val="BC8CEE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3321B8"/>
    <w:multiLevelType w:val="hybridMultilevel"/>
    <w:tmpl w:val="6F8CCFFA"/>
    <w:lvl w:ilvl="0" w:tplc="3030EA8A">
      <w:start w:val="1"/>
      <w:numFmt w:val="bullet"/>
      <w:lvlText w:val="•"/>
      <w:lvlJc w:val="left"/>
      <w:pPr>
        <w:ind w:left="1789"/>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710C5BC2">
      <w:start w:val="1"/>
      <w:numFmt w:val="bullet"/>
      <w:lvlText w:val="o"/>
      <w:lvlJc w:val="left"/>
      <w:pPr>
        <w:ind w:left="250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8A5C79C2">
      <w:start w:val="1"/>
      <w:numFmt w:val="bullet"/>
      <w:lvlText w:val="▪"/>
      <w:lvlJc w:val="left"/>
      <w:pPr>
        <w:ind w:left="322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CDA054A">
      <w:start w:val="1"/>
      <w:numFmt w:val="bullet"/>
      <w:lvlText w:val="•"/>
      <w:lvlJc w:val="left"/>
      <w:pPr>
        <w:ind w:left="394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4008F98E">
      <w:start w:val="1"/>
      <w:numFmt w:val="bullet"/>
      <w:lvlText w:val="o"/>
      <w:lvlJc w:val="left"/>
      <w:pPr>
        <w:ind w:left="466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7BE0A4E0">
      <w:start w:val="1"/>
      <w:numFmt w:val="bullet"/>
      <w:lvlText w:val="▪"/>
      <w:lvlJc w:val="left"/>
      <w:pPr>
        <w:ind w:left="538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C26414E2">
      <w:start w:val="1"/>
      <w:numFmt w:val="bullet"/>
      <w:lvlText w:val="•"/>
      <w:lvlJc w:val="left"/>
      <w:pPr>
        <w:ind w:left="610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6004CCAE">
      <w:start w:val="1"/>
      <w:numFmt w:val="bullet"/>
      <w:lvlText w:val="o"/>
      <w:lvlJc w:val="left"/>
      <w:pPr>
        <w:ind w:left="682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B8B8122E">
      <w:start w:val="1"/>
      <w:numFmt w:val="bullet"/>
      <w:lvlText w:val="▪"/>
      <w:lvlJc w:val="left"/>
      <w:pPr>
        <w:ind w:left="754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3">
    <w:nsid w:val="05703794"/>
    <w:multiLevelType w:val="multilevel"/>
    <w:tmpl w:val="F39A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CA33CA"/>
    <w:multiLevelType w:val="hybridMultilevel"/>
    <w:tmpl w:val="8814E8B8"/>
    <w:lvl w:ilvl="0" w:tplc="EA9E3452">
      <w:start w:val="1"/>
      <w:numFmt w:val="lowerLetter"/>
      <w:lvlText w:val="%1)"/>
      <w:lvlJc w:val="left"/>
      <w:pPr>
        <w:ind w:left="720" w:hanging="360"/>
      </w:pPr>
      <w:rPr>
        <w:rFonts w:eastAsia="Times New Roman" w:cs="Times New Roman" w:hint="default"/>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0C3A8A"/>
    <w:multiLevelType w:val="hybridMultilevel"/>
    <w:tmpl w:val="3372F2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8F5A26"/>
    <w:multiLevelType w:val="hybridMultilevel"/>
    <w:tmpl w:val="5C7EA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6906750"/>
    <w:multiLevelType w:val="hybridMultilevel"/>
    <w:tmpl w:val="60C25F86"/>
    <w:lvl w:ilvl="0" w:tplc="EDDA446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A2954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E8898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0A712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9EF9B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B4B8E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D6929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A25E1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8124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078A6E24"/>
    <w:multiLevelType w:val="hybridMultilevel"/>
    <w:tmpl w:val="64163A14"/>
    <w:lvl w:ilvl="0" w:tplc="61D0074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78B068A"/>
    <w:multiLevelType w:val="hybridMultilevel"/>
    <w:tmpl w:val="16EE2CCA"/>
    <w:lvl w:ilvl="0" w:tplc="973AF6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8445C20"/>
    <w:multiLevelType w:val="hybridMultilevel"/>
    <w:tmpl w:val="18FAA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98C025B"/>
    <w:multiLevelType w:val="hybridMultilevel"/>
    <w:tmpl w:val="3AB0E83C"/>
    <w:lvl w:ilvl="0" w:tplc="D2B4EAB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F212EE"/>
    <w:multiLevelType w:val="hybridMultilevel"/>
    <w:tmpl w:val="E3082D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B810763"/>
    <w:multiLevelType w:val="hybridMultilevel"/>
    <w:tmpl w:val="23DAB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0BAE4BFD"/>
    <w:multiLevelType w:val="hybridMultilevel"/>
    <w:tmpl w:val="F69C59F0"/>
    <w:lvl w:ilvl="0" w:tplc="A3B045C4">
      <w:start w:val="1"/>
      <w:numFmt w:val="bullet"/>
      <w:lvlText w:val="-"/>
      <w:lvlJc w:val="left"/>
      <w:pPr>
        <w:ind w:left="36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1" w:tplc="E124D394">
      <w:start w:val="1"/>
      <w:numFmt w:val="lowerLetter"/>
      <w:lvlText w:val="%2)"/>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6DABD88">
      <w:start w:val="1"/>
      <w:numFmt w:val="lowerRoman"/>
      <w:lvlText w:val="%3"/>
      <w:lvlJc w:val="left"/>
      <w:pPr>
        <w:ind w:left="14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8F4CDB5A">
      <w:start w:val="1"/>
      <w:numFmt w:val="decimal"/>
      <w:lvlText w:val="%4"/>
      <w:lvlJc w:val="left"/>
      <w:pPr>
        <w:ind w:left="21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93686BE">
      <w:start w:val="1"/>
      <w:numFmt w:val="lowerLetter"/>
      <w:lvlText w:val="%5"/>
      <w:lvlJc w:val="left"/>
      <w:pPr>
        <w:ind w:left="28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B7A48398">
      <w:start w:val="1"/>
      <w:numFmt w:val="lowerRoman"/>
      <w:lvlText w:val="%6"/>
      <w:lvlJc w:val="left"/>
      <w:pPr>
        <w:ind w:left="36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02DABCC0">
      <w:start w:val="1"/>
      <w:numFmt w:val="decimal"/>
      <w:lvlText w:val="%7"/>
      <w:lvlJc w:val="left"/>
      <w:pPr>
        <w:ind w:left="43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8954D8CC">
      <w:start w:val="1"/>
      <w:numFmt w:val="lowerLetter"/>
      <w:lvlText w:val="%8"/>
      <w:lvlJc w:val="left"/>
      <w:pPr>
        <w:ind w:left="50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BC12A0AA">
      <w:start w:val="1"/>
      <w:numFmt w:val="lowerRoman"/>
      <w:lvlText w:val="%9"/>
      <w:lvlJc w:val="left"/>
      <w:pPr>
        <w:ind w:left="57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5">
    <w:nsid w:val="0BF67FA3"/>
    <w:multiLevelType w:val="hybridMultilevel"/>
    <w:tmpl w:val="CA18AEF0"/>
    <w:lvl w:ilvl="0" w:tplc="B7EC9284">
      <w:start w:val="1"/>
      <w:numFmt w:val="bullet"/>
      <w:lvlText w:val="-"/>
      <w:lvlJc w:val="left"/>
      <w:pPr>
        <w:ind w:left="7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6D305B94">
      <w:start w:val="1"/>
      <w:numFmt w:val="bullet"/>
      <w:lvlText w:val="o"/>
      <w:lvlJc w:val="left"/>
      <w:pPr>
        <w:ind w:left="14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A712C6A8">
      <w:start w:val="1"/>
      <w:numFmt w:val="bullet"/>
      <w:lvlText w:val="▪"/>
      <w:lvlJc w:val="left"/>
      <w:pPr>
        <w:ind w:left="21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B038C204">
      <w:start w:val="1"/>
      <w:numFmt w:val="bullet"/>
      <w:lvlText w:val="•"/>
      <w:lvlJc w:val="left"/>
      <w:pPr>
        <w:ind w:left="28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8E803886">
      <w:start w:val="1"/>
      <w:numFmt w:val="bullet"/>
      <w:lvlText w:val="o"/>
      <w:lvlJc w:val="left"/>
      <w:pPr>
        <w:ind w:left="36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D76AB540">
      <w:start w:val="1"/>
      <w:numFmt w:val="bullet"/>
      <w:lvlText w:val="▪"/>
      <w:lvlJc w:val="left"/>
      <w:pPr>
        <w:ind w:left="43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CB088E2C">
      <w:start w:val="1"/>
      <w:numFmt w:val="bullet"/>
      <w:lvlText w:val="•"/>
      <w:lvlJc w:val="left"/>
      <w:pPr>
        <w:ind w:left="50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C4AA2E9E">
      <w:start w:val="1"/>
      <w:numFmt w:val="bullet"/>
      <w:lvlText w:val="o"/>
      <w:lvlJc w:val="left"/>
      <w:pPr>
        <w:ind w:left="57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CD6E9FB2">
      <w:start w:val="1"/>
      <w:numFmt w:val="bullet"/>
      <w:lvlText w:val="▪"/>
      <w:lvlJc w:val="left"/>
      <w:pPr>
        <w:ind w:left="64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26">
    <w:nsid w:val="0C302EE6"/>
    <w:multiLevelType w:val="hybridMultilevel"/>
    <w:tmpl w:val="DA50A724"/>
    <w:lvl w:ilvl="0" w:tplc="8892D2B0">
      <w:start w:val="1"/>
      <w:numFmt w:val="bullet"/>
      <w:lvlText w:val="•"/>
      <w:lvlJc w:val="left"/>
      <w:pPr>
        <w:ind w:left="2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46283DE">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B64364">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B74BC1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11C19C8">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41AAABE">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D40E142">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C32EDE0">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100F8DE">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
    <w:nsid w:val="0D4E093E"/>
    <w:multiLevelType w:val="hybridMultilevel"/>
    <w:tmpl w:val="8A94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D581EB8"/>
    <w:multiLevelType w:val="hybridMultilevel"/>
    <w:tmpl w:val="847866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1F70A1"/>
    <w:multiLevelType w:val="hybridMultilevel"/>
    <w:tmpl w:val="3FE22536"/>
    <w:lvl w:ilvl="0" w:tplc="5C5C951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E947CD4"/>
    <w:multiLevelType w:val="hybridMultilevel"/>
    <w:tmpl w:val="4D10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F794212"/>
    <w:multiLevelType w:val="hybridMultilevel"/>
    <w:tmpl w:val="D9926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0FF5540C"/>
    <w:multiLevelType w:val="hybridMultilevel"/>
    <w:tmpl w:val="4B4ABBC2"/>
    <w:lvl w:ilvl="0" w:tplc="863405E4">
      <w:start w:val="1"/>
      <w:numFmt w:val="lowerRoman"/>
      <w:lvlText w:val="(%1)"/>
      <w:lvlJc w:val="left"/>
      <w:pPr>
        <w:ind w:left="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1322EEA">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FE80E20">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806775A">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2F0CFD6">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1EAD2A8">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68C3A86">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B30A3DEE">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8EAC678">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3">
    <w:nsid w:val="11E77EEB"/>
    <w:multiLevelType w:val="hybridMultilevel"/>
    <w:tmpl w:val="C6788E26"/>
    <w:lvl w:ilvl="0" w:tplc="D38656A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F630F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78A21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0A7B0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3CF2F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E0043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EC815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14EEF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96C1C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nsid w:val="1403693C"/>
    <w:multiLevelType w:val="hybridMultilevel"/>
    <w:tmpl w:val="49A81F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5B73C01"/>
    <w:multiLevelType w:val="hybridMultilevel"/>
    <w:tmpl w:val="F8FECEC0"/>
    <w:lvl w:ilvl="0" w:tplc="5FA473EC">
      <w:start w:val="1"/>
      <w:numFmt w:val="lowerLetter"/>
      <w:lvlText w:val="%1."/>
      <w:lvlJc w:val="left"/>
      <w:pPr>
        <w:ind w:left="720" w:hanging="360"/>
      </w:pPr>
      <w:rPr>
        <w:rFonts w:hint="default"/>
        <w:u w:val="none"/>
      </w:rPr>
    </w:lvl>
    <w:lvl w:ilvl="1" w:tplc="500EAFE8">
      <w:start w:val="1"/>
      <w:numFmt w:val="bullet"/>
      <w:lvlText w:val="-"/>
      <w:lvlJc w:val="left"/>
      <w:pPr>
        <w:ind w:left="1440" w:hanging="360"/>
      </w:pPr>
      <w:rPr>
        <w:rFonts w:ascii="Courier New" w:hAnsi="Courier New" w:hint="default"/>
      </w:rPr>
    </w:lvl>
    <w:lvl w:ilvl="2" w:tplc="500EAFE8">
      <w:start w:val="1"/>
      <w:numFmt w:val="bullet"/>
      <w:lvlText w:val="-"/>
      <w:lvlJc w:val="left"/>
      <w:pPr>
        <w:ind w:left="2160" w:hanging="360"/>
      </w:pPr>
      <w:rPr>
        <w:rFonts w:ascii="Courier New" w:hAnsi="Courier New" w:hint="default"/>
      </w:rPr>
    </w:lvl>
    <w:lvl w:ilvl="3" w:tplc="500EAFE8">
      <w:start w:val="1"/>
      <w:numFmt w:val="bullet"/>
      <w:lvlText w:val="-"/>
      <w:lvlJc w:val="left"/>
      <w:pPr>
        <w:ind w:left="2880" w:hanging="360"/>
      </w:pPr>
      <w:rPr>
        <w:rFonts w:ascii="Courier New" w:hAnsi="Courier New" w:hint="default"/>
      </w:rPr>
    </w:lvl>
    <w:lvl w:ilvl="4" w:tplc="500EAFE8">
      <w:start w:val="1"/>
      <w:numFmt w:val="bullet"/>
      <w:lvlText w:val="-"/>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7497404"/>
    <w:multiLevelType w:val="hybridMultilevel"/>
    <w:tmpl w:val="F86AADB2"/>
    <w:lvl w:ilvl="0" w:tplc="219819E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06367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344A3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AE0D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DA6A3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14CAC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7A3F7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4C8D5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8E84B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nsid w:val="17F006A6"/>
    <w:multiLevelType w:val="hybridMultilevel"/>
    <w:tmpl w:val="B296C4CE"/>
    <w:lvl w:ilvl="0" w:tplc="0CCA278E">
      <w:start w:val="2"/>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7F2559D"/>
    <w:multiLevelType w:val="hybridMultilevel"/>
    <w:tmpl w:val="5C6E70BA"/>
    <w:lvl w:ilvl="0" w:tplc="F89AD218">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B86E28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DCEF1B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122DB0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A46D0E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7949EE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6BACC5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6817F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E02A8B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
    <w:nsid w:val="17FE2AF9"/>
    <w:multiLevelType w:val="hybridMultilevel"/>
    <w:tmpl w:val="81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8A53196"/>
    <w:multiLevelType w:val="hybridMultilevel"/>
    <w:tmpl w:val="11AC6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AB0E98"/>
    <w:multiLevelType w:val="multilevel"/>
    <w:tmpl w:val="0F88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8AC4110"/>
    <w:multiLevelType w:val="hybridMultilevel"/>
    <w:tmpl w:val="75B89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9260829"/>
    <w:multiLevelType w:val="hybridMultilevel"/>
    <w:tmpl w:val="9CD638A4"/>
    <w:lvl w:ilvl="0" w:tplc="973AF6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B4A13A4"/>
    <w:multiLevelType w:val="hybridMultilevel"/>
    <w:tmpl w:val="3E6E9244"/>
    <w:lvl w:ilvl="0" w:tplc="BE928D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C121AB4"/>
    <w:multiLevelType w:val="hybridMultilevel"/>
    <w:tmpl w:val="5B9C0560"/>
    <w:lvl w:ilvl="0" w:tplc="F2AE8540">
      <w:start w:val="2"/>
      <w:numFmt w:val="bullet"/>
      <w:lvlText w:val="•"/>
      <w:lvlJc w:val="left"/>
      <w:pPr>
        <w:ind w:left="720" w:hanging="360"/>
      </w:pPr>
      <w:rPr>
        <w:rFonts w:ascii="Tw Cen MT Condensed" w:eastAsiaTheme="minorHAnsi" w:hAnsi="Tw Cen MT Condensed" w:cs="Shonar Bang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C3C66B1"/>
    <w:multiLevelType w:val="hybridMultilevel"/>
    <w:tmpl w:val="4B1A8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C7022CE"/>
    <w:multiLevelType w:val="hybridMultilevel"/>
    <w:tmpl w:val="C9D0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D4636A4"/>
    <w:multiLevelType w:val="hybridMultilevel"/>
    <w:tmpl w:val="EE04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E0C56F7"/>
    <w:multiLevelType w:val="hybridMultilevel"/>
    <w:tmpl w:val="16BA34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1F437D7B"/>
    <w:multiLevelType w:val="hybridMultilevel"/>
    <w:tmpl w:val="2FC62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F442F9C"/>
    <w:multiLevelType w:val="hybridMultilevel"/>
    <w:tmpl w:val="7728BC32"/>
    <w:lvl w:ilvl="0" w:tplc="FFFFFFFF">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FB049F5"/>
    <w:multiLevelType w:val="hybridMultilevel"/>
    <w:tmpl w:val="AFE68026"/>
    <w:lvl w:ilvl="0" w:tplc="FFF8578E">
      <w:start w:val="1"/>
      <w:numFmt w:val="bullet"/>
      <w:lvlText w:val=""/>
      <w:lvlJc w:val="left"/>
      <w:pPr>
        <w:ind w:left="720" w:hanging="360"/>
      </w:pPr>
      <w:rPr>
        <w:rFonts w:ascii="Symbol" w:hAnsi="Symbol" w:hint="default"/>
        <w:color w:val="auto"/>
      </w:rPr>
    </w:lvl>
    <w:lvl w:ilvl="1" w:tplc="A328A47A">
      <w:start w:val="1"/>
      <w:numFmt w:val="bullet"/>
      <w:lvlText w:val="–"/>
      <w:lvlJc w:val="left"/>
      <w:pPr>
        <w:ind w:left="1440" w:hanging="360"/>
      </w:pPr>
      <w:rPr>
        <w:rFonts w:ascii="Tw Cen MT Condensed" w:eastAsiaTheme="minorHAnsi" w:hAnsi="Tw Cen MT Condensed" w:cs="Shonar Bangl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FF64791"/>
    <w:multiLevelType w:val="hybridMultilevel"/>
    <w:tmpl w:val="A7C6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0A467E1"/>
    <w:multiLevelType w:val="hybridMultilevel"/>
    <w:tmpl w:val="CFF2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0C67FB7"/>
    <w:multiLevelType w:val="hybridMultilevel"/>
    <w:tmpl w:val="E21C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1101DC4"/>
    <w:multiLevelType w:val="hybridMultilevel"/>
    <w:tmpl w:val="E236B716"/>
    <w:lvl w:ilvl="0" w:tplc="02F0F086">
      <w:start w:val="1"/>
      <w:numFmt w:val="decimal"/>
      <w:lvlText w:val="%1."/>
      <w:lvlJc w:val="left"/>
      <w:pPr>
        <w:ind w:left="505" w:hanging="360"/>
      </w:pPr>
      <w:rPr>
        <w:rFonts w:hint="default"/>
        <w:sz w:val="20"/>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57">
    <w:nsid w:val="217412A2"/>
    <w:multiLevelType w:val="hybridMultilevel"/>
    <w:tmpl w:val="0E505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1986FCF"/>
    <w:multiLevelType w:val="hybridMultilevel"/>
    <w:tmpl w:val="3AF4F380"/>
    <w:lvl w:ilvl="0" w:tplc="0212ACE6">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EB48A3E">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6108EC6">
      <w:start w:val="1"/>
      <w:numFmt w:val="bullet"/>
      <w:lvlText w:val="▪"/>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BDC5E04">
      <w:start w:val="1"/>
      <w:numFmt w:val="bullet"/>
      <w:lvlText w:val="•"/>
      <w:lvlJc w:val="left"/>
      <w:pPr>
        <w:ind w:left="21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6D4AAAA">
      <w:start w:val="1"/>
      <w:numFmt w:val="bullet"/>
      <w:lvlText w:val="o"/>
      <w:lvlJc w:val="left"/>
      <w:pPr>
        <w:ind w:left="28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A1C1090">
      <w:start w:val="1"/>
      <w:numFmt w:val="bullet"/>
      <w:lvlText w:val="▪"/>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58267C8">
      <w:start w:val="1"/>
      <w:numFmt w:val="bullet"/>
      <w:lvlText w:val="•"/>
      <w:lvlJc w:val="left"/>
      <w:pPr>
        <w:ind w:left="43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A90F296">
      <w:start w:val="1"/>
      <w:numFmt w:val="bullet"/>
      <w:lvlText w:val="o"/>
      <w:lvlJc w:val="left"/>
      <w:pPr>
        <w:ind w:left="50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6981F62">
      <w:start w:val="1"/>
      <w:numFmt w:val="bullet"/>
      <w:lvlText w:val="▪"/>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9">
    <w:nsid w:val="23192600"/>
    <w:multiLevelType w:val="hybridMultilevel"/>
    <w:tmpl w:val="2A52FA5E"/>
    <w:lvl w:ilvl="0" w:tplc="FFF857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239C43B6"/>
    <w:multiLevelType w:val="hybridMultilevel"/>
    <w:tmpl w:val="C422C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23FB7F31"/>
    <w:multiLevelType w:val="hybridMultilevel"/>
    <w:tmpl w:val="9B7E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48B216C"/>
    <w:multiLevelType w:val="hybridMultilevel"/>
    <w:tmpl w:val="8968C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8B658B"/>
    <w:multiLevelType w:val="hybridMultilevel"/>
    <w:tmpl w:val="22989428"/>
    <w:lvl w:ilvl="0" w:tplc="1AAA5810">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6EA21F4"/>
    <w:multiLevelType w:val="hybridMultilevel"/>
    <w:tmpl w:val="9F60AA14"/>
    <w:lvl w:ilvl="0" w:tplc="739ED41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9A525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9C4AD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B4C07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0A8CC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ACBEA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AA3ED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46DE9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7444E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nsid w:val="26F41F5B"/>
    <w:multiLevelType w:val="hybridMultilevel"/>
    <w:tmpl w:val="3D9E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90156F1"/>
    <w:multiLevelType w:val="hybridMultilevel"/>
    <w:tmpl w:val="55F2B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29891A42"/>
    <w:multiLevelType w:val="hybridMultilevel"/>
    <w:tmpl w:val="0184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C53167A"/>
    <w:multiLevelType w:val="hybridMultilevel"/>
    <w:tmpl w:val="E174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2C7B225D"/>
    <w:multiLevelType w:val="hybridMultilevel"/>
    <w:tmpl w:val="05EA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1C562A"/>
    <w:multiLevelType w:val="hybridMultilevel"/>
    <w:tmpl w:val="D3028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E774C2F"/>
    <w:multiLevelType w:val="hybridMultilevel"/>
    <w:tmpl w:val="C8480C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E775032"/>
    <w:multiLevelType w:val="hybridMultilevel"/>
    <w:tmpl w:val="C270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E860CC0"/>
    <w:multiLevelType w:val="hybridMultilevel"/>
    <w:tmpl w:val="A1B89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DF5B1B"/>
    <w:multiLevelType w:val="hybridMultilevel"/>
    <w:tmpl w:val="C3C84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F4533C6"/>
    <w:multiLevelType w:val="hybridMultilevel"/>
    <w:tmpl w:val="D3281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2FC41E81"/>
    <w:multiLevelType w:val="hybridMultilevel"/>
    <w:tmpl w:val="D458B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FD959B3"/>
    <w:multiLevelType w:val="hybridMultilevel"/>
    <w:tmpl w:val="11647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30BB24D3"/>
    <w:multiLevelType w:val="multilevel"/>
    <w:tmpl w:val="E7F676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nsid w:val="313156F8"/>
    <w:multiLevelType w:val="hybridMultilevel"/>
    <w:tmpl w:val="C3E601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314A0F59"/>
    <w:multiLevelType w:val="hybridMultilevel"/>
    <w:tmpl w:val="FBEEA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32716237"/>
    <w:multiLevelType w:val="hybridMultilevel"/>
    <w:tmpl w:val="5A6C33C4"/>
    <w:lvl w:ilvl="0" w:tplc="390016D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467CDC">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2FA7A0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4D66B5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5D2075C">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7E080C8">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32E0E2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8461F52">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CE8FE0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2">
    <w:nsid w:val="32F93E91"/>
    <w:multiLevelType w:val="hybridMultilevel"/>
    <w:tmpl w:val="4C34DE24"/>
    <w:lvl w:ilvl="0" w:tplc="08090017">
      <w:start w:val="1"/>
      <w:numFmt w:val="lowerLetter"/>
      <w:lvlText w:val="%1)"/>
      <w:lvlJc w:val="left"/>
      <w:pPr>
        <w:ind w:left="720" w:hanging="360"/>
      </w:pPr>
      <w:rPr>
        <w:rFonts w:hint="default"/>
      </w:rPr>
    </w:lvl>
    <w:lvl w:ilvl="1" w:tplc="CCE86E32">
      <w:numFmt w:val="bullet"/>
      <w:lvlText w:val="-"/>
      <w:lvlJc w:val="left"/>
      <w:pPr>
        <w:ind w:left="1440" w:hanging="360"/>
      </w:pPr>
      <w:rPr>
        <w:rFonts w:ascii="Tw Cen MT Condensed" w:eastAsiaTheme="minorHAnsi" w:hAnsi="Tw Cen MT Condensed" w:cs="Shonar Bangl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3521B58"/>
    <w:multiLevelType w:val="hybridMultilevel"/>
    <w:tmpl w:val="2604DE68"/>
    <w:lvl w:ilvl="0" w:tplc="61D0074A">
      <w:start w:val="1"/>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35E6ACA"/>
    <w:multiLevelType w:val="hybridMultilevel"/>
    <w:tmpl w:val="CC9886CE"/>
    <w:lvl w:ilvl="0" w:tplc="0F186C1C">
      <w:start w:val="1"/>
      <w:numFmt w:val="lowerLetter"/>
      <w:lvlText w:val="%1)"/>
      <w:lvlJc w:val="left"/>
      <w:pPr>
        <w:ind w:left="431" w:hanging="360"/>
      </w:pPr>
      <w:rPr>
        <w:rFonts w:ascii="Tw Cen MT Condensed" w:eastAsiaTheme="minorHAnsi" w:hAnsi="Tw Cen MT Condensed" w:cstheme="minorBidi"/>
      </w:rPr>
    </w:lvl>
    <w:lvl w:ilvl="1" w:tplc="08090019" w:tentative="1">
      <w:start w:val="1"/>
      <w:numFmt w:val="lowerLetter"/>
      <w:lvlText w:val="%2."/>
      <w:lvlJc w:val="left"/>
      <w:pPr>
        <w:ind w:left="1151" w:hanging="360"/>
      </w:pPr>
    </w:lvl>
    <w:lvl w:ilvl="2" w:tplc="0809001B" w:tentative="1">
      <w:start w:val="1"/>
      <w:numFmt w:val="lowerRoman"/>
      <w:lvlText w:val="%3."/>
      <w:lvlJc w:val="right"/>
      <w:pPr>
        <w:ind w:left="1871" w:hanging="180"/>
      </w:pPr>
    </w:lvl>
    <w:lvl w:ilvl="3" w:tplc="0809000F" w:tentative="1">
      <w:start w:val="1"/>
      <w:numFmt w:val="decimal"/>
      <w:lvlText w:val="%4."/>
      <w:lvlJc w:val="left"/>
      <w:pPr>
        <w:ind w:left="2591" w:hanging="360"/>
      </w:pPr>
    </w:lvl>
    <w:lvl w:ilvl="4" w:tplc="08090019" w:tentative="1">
      <w:start w:val="1"/>
      <w:numFmt w:val="lowerLetter"/>
      <w:lvlText w:val="%5."/>
      <w:lvlJc w:val="left"/>
      <w:pPr>
        <w:ind w:left="3311" w:hanging="360"/>
      </w:pPr>
    </w:lvl>
    <w:lvl w:ilvl="5" w:tplc="0809001B" w:tentative="1">
      <w:start w:val="1"/>
      <w:numFmt w:val="lowerRoman"/>
      <w:lvlText w:val="%6."/>
      <w:lvlJc w:val="right"/>
      <w:pPr>
        <w:ind w:left="4031" w:hanging="180"/>
      </w:pPr>
    </w:lvl>
    <w:lvl w:ilvl="6" w:tplc="0809000F" w:tentative="1">
      <w:start w:val="1"/>
      <w:numFmt w:val="decimal"/>
      <w:lvlText w:val="%7."/>
      <w:lvlJc w:val="left"/>
      <w:pPr>
        <w:ind w:left="4751" w:hanging="360"/>
      </w:pPr>
    </w:lvl>
    <w:lvl w:ilvl="7" w:tplc="08090019" w:tentative="1">
      <w:start w:val="1"/>
      <w:numFmt w:val="lowerLetter"/>
      <w:lvlText w:val="%8."/>
      <w:lvlJc w:val="left"/>
      <w:pPr>
        <w:ind w:left="5471" w:hanging="360"/>
      </w:pPr>
    </w:lvl>
    <w:lvl w:ilvl="8" w:tplc="0809001B" w:tentative="1">
      <w:start w:val="1"/>
      <w:numFmt w:val="lowerRoman"/>
      <w:lvlText w:val="%9."/>
      <w:lvlJc w:val="right"/>
      <w:pPr>
        <w:ind w:left="6191" w:hanging="180"/>
      </w:pPr>
    </w:lvl>
  </w:abstractNum>
  <w:abstractNum w:abstractNumId="85">
    <w:nsid w:val="33D830ED"/>
    <w:multiLevelType w:val="hybridMultilevel"/>
    <w:tmpl w:val="5784CC32"/>
    <w:lvl w:ilvl="0" w:tplc="AEE2855C">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357C0F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3583337B"/>
    <w:multiLevelType w:val="hybridMultilevel"/>
    <w:tmpl w:val="6A72335E"/>
    <w:lvl w:ilvl="0" w:tplc="2D58D4F2">
      <w:start w:val="1"/>
      <w:numFmt w:val="bullet"/>
      <w:lvlText w:val="•"/>
      <w:lvlJc w:val="left"/>
      <w:pPr>
        <w:ind w:left="720"/>
      </w:pPr>
      <w:rPr>
        <w:rFonts w:ascii="Arial" w:eastAsia="Arial" w:hAnsi="Arial" w:cs="Arial"/>
        <w:b w:val="0"/>
        <w:i w:val="0"/>
        <w:strike w:val="0"/>
        <w:dstrike w:val="0"/>
        <w:color w:val="4A4A4A"/>
        <w:sz w:val="21"/>
        <w:u w:val="none" w:color="000000"/>
        <w:bdr w:val="none" w:sz="0" w:space="0" w:color="auto"/>
        <w:shd w:val="clear" w:color="auto" w:fill="auto"/>
        <w:vertAlign w:val="baseline"/>
      </w:rPr>
    </w:lvl>
    <w:lvl w:ilvl="1" w:tplc="CFEC2574">
      <w:start w:val="1"/>
      <w:numFmt w:val="bullet"/>
      <w:lvlText w:val="o"/>
      <w:lvlJc w:val="left"/>
      <w:pPr>
        <w:ind w:left="144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2" w:tplc="57D4FB0C">
      <w:start w:val="1"/>
      <w:numFmt w:val="bullet"/>
      <w:lvlText w:val="▪"/>
      <w:lvlJc w:val="left"/>
      <w:pPr>
        <w:ind w:left="216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3" w:tplc="8C040704">
      <w:start w:val="1"/>
      <w:numFmt w:val="bullet"/>
      <w:lvlText w:val="•"/>
      <w:lvlJc w:val="left"/>
      <w:pPr>
        <w:ind w:left="2880"/>
      </w:pPr>
      <w:rPr>
        <w:rFonts w:ascii="Arial" w:eastAsia="Arial" w:hAnsi="Arial" w:cs="Arial"/>
        <w:b w:val="0"/>
        <w:i w:val="0"/>
        <w:strike w:val="0"/>
        <w:dstrike w:val="0"/>
        <w:color w:val="4A4A4A"/>
        <w:sz w:val="21"/>
        <w:u w:val="none" w:color="000000"/>
        <w:bdr w:val="none" w:sz="0" w:space="0" w:color="auto"/>
        <w:shd w:val="clear" w:color="auto" w:fill="auto"/>
        <w:vertAlign w:val="baseline"/>
      </w:rPr>
    </w:lvl>
    <w:lvl w:ilvl="4" w:tplc="A106FD0A">
      <w:start w:val="1"/>
      <w:numFmt w:val="bullet"/>
      <w:lvlText w:val="o"/>
      <w:lvlJc w:val="left"/>
      <w:pPr>
        <w:ind w:left="360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5" w:tplc="ECAAFBBC">
      <w:start w:val="1"/>
      <w:numFmt w:val="bullet"/>
      <w:lvlText w:val="▪"/>
      <w:lvlJc w:val="left"/>
      <w:pPr>
        <w:ind w:left="432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6" w:tplc="007CD94C">
      <w:start w:val="1"/>
      <w:numFmt w:val="bullet"/>
      <w:lvlText w:val="•"/>
      <w:lvlJc w:val="left"/>
      <w:pPr>
        <w:ind w:left="5040"/>
      </w:pPr>
      <w:rPr>
        <w:rFonts w:ascii="Arial" w:eastAsia="Arial" w:hAnsi="Arial" w:cs="Arial"/>
        <w:b w:val="0"/>
        <w:i w:val="0"/>
        <w:strike w:val="0"/>
        <w:dstrike w:val="0"/>
        <w:color w:val="4A4A4A"/>
        <w:sz w:val="21"/>
        <w:u w:val="none" w:color="000000"/>
        <w:bdr w:val="none" w:sz="0" w:space="0" w:color="auto"/>
        <w:shd w:val="clear" w:color="auto" w:fill="auto"/>
        <w:vertAlign w:val="baseline"/>
      </w:rPr>
    </w:lvl>
    <w:lvl w:ilvl="7" w:tplc="B1408108">
      <w:start w:val="1"/>
      <w:numFmt w:val="bullet"/>
      <w:lvlText w:val="o"/>
      <w:lvlJc w:val="left"/>
      <w:pPr>
        <w:ind w:left="576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8" w:tplc="7A548C44">
      <w:start w:val="1"/>
      <w:numFmt w:val="bullet"/>
      <w:lvlText w:val="▪"/>
      <w:lvlJc w:val="left"/>
      <w:pPr>
        <w:ind w:left="648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abstractNum>
  <w:abstractNum w:abstractNumId="88">
    <w:nsid w:val="362A3805"/>
    <w:multiLevelType w:val="hybridMultilevel"/>
    <w:tmpl w:val="95A2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704596C"/>
    <w:multiLevelType w:val="hybridMultilevel"/>
    <w:tmpl w:val="82DCCB6E"/>
    <w:lvl w:ilvl="0" w:tplc="E06AD23E">
      <w:start w:val="1"/>
      <w:numFmt w:val="bullet"/>
      <w:lvlText w:val="-"/>
      <w:lvlJc w:val="left"/>
      <w:pPr>
        <w:ind w:left="7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FBE93EA">
      <w:start w:val="1"/>
      <w:numFmt w:val="bullet"/>
      <w:lvlText w:val="o"/>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84C611C">
      <w:start w:val="1"/>
      <w:numFmt w:val="bullet"/>
      <w:lvlText w:val="▪"/>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166A228">
      <w:start w:val="1"/>
      <w:numFmt w:val="bullet"/>
      <w:lvlText w:val="•"/>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FD27014">
      <w:start w:val="1"/>
      <w:numFmt w:val="bullet"/>
      <w:lvlText w:val="o"/>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E4E8756">
      <w:start w:val="1"/>
      <w:numFmt w:val="bullet"/>
      <w:lvlText w:val="▪"/>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97CC01A">
      <w:start w:val="1"/>
      <w:numFmt w:val="bullet"/>
      <w:lvlText w:val="•"/>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F1861E6">
      <w:start w:val="1"/>
      <w:numFmt w:val="bullet"/>
      <w:lvlText w:val="o"/>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924D5C6">
      <w:start w:val="1"/>
      <w:numFmt w:val="bullet"/>
      <w:lvlText w:val="▪"/>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90">
    <w:nsid w:val="379D3A55"/>
    <w:multiLevelType w:val="hybridMultilevel"/>
    <w:tmpl w:val="21B0BFEC"/>
    <w:lvl w:ilvl="0" w:tplc="973AF6F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383B6BC5"/>
    <w:multiLevelType w:val="hybridMultilevel"/>
    <w:tmpl w:val="8A821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396B0FBC"/>
    <w:multiLevelType w:val="hybridMultilevel"/>
    <w:tmpl w:val="BA003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3A5B6C9F"/>
    <w:multiLevelType w:val="hybridMultilevel"/>
    <w:tmpl w:val="1F2C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A896518"/>
    <w:multiLevelType w:val="hybridMultilevel"/>
    <w:tmpl w:val="186059BE"/>
    <w:lvl w:ilvl="0" w:tplc="973AF6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3AB608EA"/>
    <w:multiLevelType w:val="hybridMultilevel"/>
    <w:tmpl w:val="81AC3098"/>
    <w:lvl w:ilvl="0" w:tplc="B2EC7850">
      <w:start w:val="1"/>
      <w:numFmt w:val="decimal"/>
      <w:lvlText w:val="%1."/>
      <w:lvlJc w:val="left"/>
      <w:pPr>
        <w:ind w:left="1080" w:hanging="360"/>
      </w:pPr>
      <w:rPr>
        <w:rFonts w:ascii="Calibri" w:hAnsi="Calibri" w:hint="default"/>
        <w:b/>
        <w:i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E922D76"/>
    <w:multiLevelType w:val="hybridMultilevel"/>
    <w:tmpl w:val="1654E6EC"/>
    <w:lvl w:ilvl="0" w:tplc="77B262D6">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40246CD0"/>
    <w:multiLevelType w:val="hybridMultilevel"/>
    <w:tmpl w:val="1812B870"/>
    <w:lvl w:ilvl="0" w:tplc="CC38FDB8">
      <w:start w:val="3"/>
      <w:numFmt w:val="bullet"/>
      <w:lvlText w:val="-"/>
      <w:lvlJc w:val="left"/>
      <w:pPr>
        <w:ind w:left="720" w:hanging="360"/>
      </w:pPr>
      <w:rPr>
        <w:rFonts w:ascii="Calibri" w:eastAsia="Times New Roman"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0583FA7"/>
    <w:multiLevelType w:val="hybridMultilevel"/>
    <w:tmpl w:val="45121CF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405F3089"/>
    <w:multiLevelType w:val="hybridMultilevel"/>
    <w:tmpl w:val="698E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15C39CC"/>
    <w:multiLevelType w:val="hybridMultilevel"/>
    <w:tmpl w:val="E70EB3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1">
    <w:nsid w:val="43A8563E"/>
    <w:multiLevelType w:val="hybridMultilevel"/>
    <w:tmpl w:val="E0E096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nsid w:val="447D2207"/>
    <w:multiLevelType w:val="hybridMultilevel"/>
    <w:tmpl w:val="46766994"/>
    <w:lvl w:ilvl="0" w:tplc="04090001">
      <w:start w:val="1"/>
      <w:numFmt w:val="bullet"/>
      <w:lvlText w:val=""/>
      <w:lvlJc w:val="left"/>
      <w:pPr>
        <w:ind w:left="360" w:hanging="360"/>
      </w:pPr>
      <w:rPr>
        <w:rFonts w:ascii="Symbol" w:hAnsi="Symbol" w:hint="default"/>
      </w:rPr>
    </w:lvl>
    <w:lvl w:ilvl="1" w:tplc="982667E6">
      <w:numFmt w:val="bullet"/>
      <w:lvlText w:val="•"/>
      <w:lvlJc w:val="left"/>
      <w:pPr>
        <w:ind w:left="1440" w:hanging="720"/>
      </w:pPr>
      <w:rPr>
        <w:rFonts w:ascii="Calibri" w:eastAsia="MS PGothic" w:hAnsi="Calibri"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44AB1C22"/>
    <w:multiLevelType w:val="hybridMultilevel"/>
    <w:tmpl w:val="120A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56A2623"/>
    <w:multiLevelType w:val="hybridMultilevel"/>
    <w:tmpl w:val="3C74A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5940082"/>
    <w:multiLevelType w:val="hybridMultilevel"/>
    <w:tmpl w:val="F4609B16"/>
    <w:lvl w:ilvl="0" w:tplc="6622A1DC">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45A45DBD"/>
    <w:multiLevelType w:val="hybridMultilevel"/>
    <w:tmpl w:val="49A81F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45F50ADB"/>
    <w:multiLevelType w:val="hybridMultilevel"/>
    <w:tmpl w:val="3496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7635DCC"/>
    <w:multiLevelType w:val="hybridMultilevel"/>
    <w:tmpl w:val="58A4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7D501FC"/>
    <w:multiLevelType w:val="hybridMultilevel"/>
    <w:tmpl w:val="3F8408C0"/>
    <w:lvl w:ilvl="0" w:tplc="EF38CEB2">
      <w:start w:val="1"/>
      <w:numFmt w:val="decimal"/>
      <w:lvlText w:val="%1."/>
      <w:lvlJc w:val="left"/>
      <w:pPr>
        <w:ind w:left="720" w:hanging="360"/>
      </w:pPr>
      <w:rPr>
        <w:rFonts w:ascii="Calibri" w:hAnsi="Calibri"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8FE6E01"/>
    <w:multiLevelType w:val="multilevel"/>
    <w:tmpl w:val="B844A50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nsid w:val="4B554215"/>
    <w:multiLevelType w:val="hybridMultilevel"/>
    <w:tmpl w:val="D5DC01D8"/>
    <w:lvl w:ilvl="0" w:tplc="FFF8578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4B6112AB"/>
    <w:multiLevelType w:val="hybridMultilevel"/>
    <w:tmpl w:val="25E2BBF6"/>
    <w:lvl w:ilvl="0" w:tplc="18F6E93C">
      <w:start w:val="1"/>
      <w:numFmt w:val="decimal"/>
      <w:lvlText w:val="(%1)"/>
      <w:lvlJc w:val="left"/>
      <w:pPr>
        <w:ind w:left="1080" w:hanging="360"/>
      </w:pPr>
      <w:rPr>
        <w:rFonts w:ascii="Calibri" w:hAnsi="Calibri" w:hint="default"/>
        <w:b/>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4BB46E11"/>
    <w:multiLevelType w:val="hybridMultilevel"/>
    <w:tmpl w:val="A178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D1E37F9"/>
    <w:multiLevelType w:val="hybridMultilevel"/>
    <w:tmpl w:val="1436D44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EB23B8E"/>
    <w:multiLevelType w:val="hybridMultilevel"/>
    <w:tmpl w:val="A642BE80"/>
    <w:lvl w:ilvl="0" w:tplc="E4063E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4F9B29FA"/>
    <w:multiLevelType w:val="hybridMultilevel"/>
    <w:tmpl w:val="42563380"/>
    <w:lvl w:ilvl="0" w:tplc="AE5C74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0436CCA"/>
    <w:multiLevelType w:val="hybridMultilevel"/>
    <w:tmpl w:val="1EC83F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51200224"/>
    <w:multiLevelType w:val="hybridMultilevel"/>
    <w:tmpl w:val="9B8A8116"/>
    <w:lvl w:ilvl="0" w:tplc="B9C659BC">
      <w:start w:val="1"/>
      <w:numFmt w:val="bullet"/>
      <w:lvlText w:val="•"/>
      <w:lvlJc w:val="left"/>
      <w:pPr>
        <w:ind w:left="1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C92915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BA8B18">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29EC722">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19A812A">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89C986A">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EBEB9B6">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FC05114">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ACE45C2">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9">
    <w:nsid w:val="51631504"/>
    <w:multiLevelType w:val="hybridMultilevel"/>
    <w:tmpl w:val="F120F9D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51F73CB0"/>
    <w:multiLevelType w:val="hybridMultilevel"/>
    <w:tmpl w:val="A6929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20E251C"/>
    <w:multiLevelType w:val="hybridMultilevel"/>
    <w:tmpl w:val="D672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531F0D5F"/>
    <w:multiLevelType w:val="hybridMultilevel"/>
    <w:tmpl w:val="EF2C0296"/>
    <w:lvl w:ilvl="0" w:tplc="EE2CBC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53594C64"/>
    <w:multiLevelType w:val="hybridMultilevel"/>
    <w:tmpl w:val="B9A0E954"/>
    <w:lvl w:ilvl="0" w:tplc="BF001716">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6F08342">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E61316">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C4CC0C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BB6463C">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F9ABDA4">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2C44A2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8C8B8CC">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5E6BF9A">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4">
    <w:nsid w:val="54312627"/>
    <w:multiLevelType w:val="hybridMultilevel"/>
    <w:tmpl w:val="B09A9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545344F4"/>
    <w:multiLevelType w:val="multilevel"/>
    <w:tmpl w:val="2AF8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62173C8"/>
    <w:multiLevelType w:val="hybridMultilevel"/>
    <w:tmpl w:val="08004B5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68B61A0"/>
    <w:multiLevelType w:val="hybridMultilevel"/>
    <w:tmpl w:val="32066C5A"/>
    <w:lvl w:ilvl="0" w:tplc="61D0074A">
      <w:start w:val="1"/>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6F9444A"/>
    <w:multiLevelType w:val="hybridMultilevel"/>
    <w:tmpl w:val="BAD86194"/>
    <w:lvl w:ilvl="0" w:tplc="A59E1B60">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8E05AEE"/>
    <w:multiLevelType w:val="hybridMultilevel"/>
    <w:tmpl w:val="6D28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A663E47"/>
    <w:multiLevelType w:val="hybridMultilevel"/>
    <w:tmpl w:val="C2AAA252"/>
    <w:lvl w:ilvl="0" w:tplc="FC669C8C">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A7745D5"/>
    <w:multiLevelType w:val="hybridMultilevel"/>
    <w:tmpl w:val="006A265C"/>
    <w:lvl w:ilvl="0" w:tplc="748CC21A">
      <w:start w:val="1"/>
      <w:numFmt w:val="lowerLetter"/>
      <w:lvlText w:val="%1)"/>
      <w:lvlJc w:val="left"/>
      <w:pPr>
        <w:ind w:left="343" w:hanging="360"/>
      </w:pPr>
      <w:rPr>
        <w:rFonts w:hint="default"/>
      </w:rPr>
    </w:lvl>
    <w:lvl w:ilvl="1" w:tplc="08090019" w:tentative="1">
      <w:start w:val="1"/>
      <w:numFmt w:val="lowerLetter"/>
      <w:lvlText w:val="%2."/>
      <w:lvlJc w:val="left"/>
      <w:pPr>
        <w:ind w:left="1063" w:hanging="360"/>
      </w:pPr>
    </w:lvl>
    <w:lvl w:ilvl="2" w:tplc="0809001B" w:tentative="1">
      <w:start w:val="1"/>
      <w:numFmt w:val="lowerRoman"/>
      <w:lvlText w:val="%3."/>
      <w:lvlJc w:val="right"/>
      <w:pPr>
        <w:ind w:left="1783" w:hanging="180"/>
      </w:pPr>
    </w:lvl>
    <w:lvl w:ilvl="3" w:tplc="0809000F" w:tentative="1">
      <w:start w:val="1"/>
      <w:numFmt w:val="decimal"/>
      <w:lvlText w:val="%4."/>
      <w:lvlJc w:val="left"/>
      <w:pPr>
        <w:ind w:left="2503" w:hanging="360"/>
      </w:pPr>
    </w:lvl>
    <w:lvl w:ilvl="4" w:tplc="08090019" w:tentative="1">
      <w:start w:val="1"/>
      <w:numFmt w:val="lowerLetter"/>
      <w:lvlText w:val="%5."/>
      <w:lvlJc w:val="left"/>
      <w:pPr>
        <w:ind w:left="3223" w:hanging="360"/>
      </w:pPr>
    </w:lvl>
    <w:lvl w:ilvl="5" w:tplc="0809001B" w:tentative="1">
      <w:start w:val="1"/>
      <w:numFmt w:val="lowerRoman"/>
      <w:lvlText w:val="%6."/>
      <w:lvlJc w:val="right"/>
      <w:pPr>
        <w:ind w:left="3943" w:hanging="180"/>
      </w:pPr>
    </w:lvl>
    <w:lvl w:ilvl="6" w:tplc="0809000F" w:tentative="1">
      <w:start w:val="1"/>
      <w:numFmt w:val="decimal"/>
      <w:lvlText w:val="%7."/>
      <w:lvlJc w:val="left"/>
      <w:pPr>
        <w:ind w:left="4663" w:hanging="360"/>
      </w:pPr>
    </w:lvl>
    <w:lvl w:ilvl="7" w:tplc="08090019" w:tentative="1">
      <w:start w:val="1"/>
      <w:numFmt w:val="lowerLetter"/>
      <w:lvlText w:val="%8."/>
      <w:lvlJc w:val="left"/>
      <w:pPr>
        <w:ind w:left="5383" w:hanging="360"/>
      </w:pPr>
    </w:lvl>
    <w:lvl w:ilvl="8" w:tplc="0809001B" w:tentative="1">
      <w:start w:val="1"/>
      <w:numFmt w:val="lowerRoman"/>
      <w:lvlText w:val="%9."/>
      <w:lvlJc w:val="right"/>
      <w:pPr>
        <w:ind w:left="6103" w:hanging="180"/>
      </w:pPr>
    </w:lvl>
  </w:abstractNum>
  <w:abstractNum w:abstractNumId="132">
    <w:nsid w:val="5ACB7722"/>
    <w:multiLevelType w:val="hybridMultilevel"/>
    <w:tmpl w:val="731096B4"/>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33">
    <w:nsid w:val="5AF23F17"/>
    <w:multiLevelType w:val="hybridMultilevel"/>
    <w:tmpl w:val="42BCA7C0"/>
    <w:lvl w:ilvl="0" w:tplc="61D0074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AFA7B41"/>
    <w:multiLevelType w:val="hybridMultilevel"/>
    <w:tmpl w:val="690429D6"/>
    <w:lvl w:ilvl="0" w:tplc="0FDCC1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5B4652B3"/>
    <w:multiLevelType w:val="hybridMultilevel"/>
    <w:tmpl w:val="C65EA4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5B4F1D25"/>
    <w:multiLevelType w:val="hybridMultilevel"/>
    <w:tmpl w:val="A8681344"/>
    <w:lvl w:ilvl="0" w:tplc="76B2EC54">
      <w:start w:val="1"/>
      <w:numFmt w:val="bullet"/>
      <w:lvlText w:val="•"/>
      <w:lvlJc w:val="left"/>
      <w:pPr>
        <w:ind w:left="2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0A881F8">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D1C3D28">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2D0C3AA">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E016E0">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CCE9136">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AFCDD3A">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108C78">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022A99C">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7">
    <w:nsid w:val="5C0D2C28"/>
    <w:multiLevelType w:val="hybridMultilevel"/>
    <w:tmpl w:val="A92A1D40"/>
    <w:lvl w:ilvl="0" w:tplc="07A46364">
      <w:numFmt w:val="bullet"/>
      <w:lvlText w:val="•"/>
      <w:lvlJc w:val="left"/>
      <w:pPr>
        <w:ind w:left="1080" w:hanging="720"/>
      </w:pPr>
      <w:rPr>
        <w:rFonts w:ascii="Calibri" w:eastAsia="Times New Roman" w:hAnsi="Calibri" w:cs="Calibri" w:hint="default"/>
      </w:rPr>
    </w:lvl>
    <w:lvl w:ilvl="1" w:tplc="A2705052">
      <w:numFmt w:val="bullet"/>
      <w:lvlText w:val=""/>
      <w:lvlJc w:val="left"/>
      <w:pPr>
        <w:ind w:left="1800" w:hanging="720"/>
      </w:pPr>
      <w:rPr>
        <w:rFonts w:ascii="Symbol" w:eastAsia="Times New Roman" w:hAnsi="Symbol"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C1C6476"/>
    <w:multiLevelType w:val="hybridMultilevel"/>
    <w:tmpl w:val="79E27682"/>
    <w:lvl w:ilvl="0" w:tplc="E9667F26">
      <w:start w:val="1"/>
      <w:numFmt w:val="lowerLetter"/>
      <w:lvlText w:val="(%1)"/>
      <w:lvlJc w:val="left"/>
      <w:pPr>
        <w:ind w:left="88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1" w:tplc="6644A5F0">
      <w:start w:val="1"/>
      <w:numFmt w:val="lowerLetter"/>
      <w:lvlText w:val="%2"/>
      <w:lvlJc w:val="left"/>
      <w:pPr>
        <w:ind w:left="160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2" w:tplc="68922E54">
      <w:start w:val="1"/>
      <w:numFmt w:val="lowerRoman"/>
      <w:lvlText w:val="%3"/>
      <w:lvlJc w:val="left"/>
      <w:pPr>
        <w:ind w:left="232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3" w:tplc="D48A6B24">
      <w:start w:val="1"/>
      <w:numFmt w:val="decimal"/>
      <w:lvlText w:val="%4"/>
      <w:lvlJc w:val="left"/>
      <w:pPr>
        <w:ind w:left="304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4" w:tplc="AA981556">
      <w:start w:val="1"/>
      <w:numFmt w:val="lowerLetter"/>
      <w:lvlText w:val="%5"/>
      <w:lvlJc w:val="left"/>
      <w:pPr>
        <w:ind w:left="376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5" w:tplc="C8864FA2">
      <w:start w:val="1"/>
      <w:numFmt w:val="lowerRoman"/>
      <w:lvlText w:val="%6"/>
      <w:lvlJc w:val="left"/>
      <w:pPr>
        <w:ind w:left="448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6" w:tplc="83C48460">
      <w:start w:val="1"/>
      <w:numFmt w:val="decimal"/>
      <w:lvlText w:val="%7"/>
      <w:lvlJc w:val="left"/>
      <w:pPr>
        <w:ind w:left="520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7" w:tplc="E57E9D5E">
      <w:start w:val="1"/>
      <w:numFmt w:val="lowerLetter"/>
      <w:lvlText w:val="%8"/>
      <w:lvlJc w:val="left"/>
      <w:pPr>
        <w:ind w:left="592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lvl w:ilvl="8" w:tplc="9CFE2ABA">
      <w:start w:val="1"/>
      <w:numFmt w:val="lowerRoman"/>
      <w:lvlText w:val="%9"/>
      <w:lvlJc w:val="left"/>
      <w:pPr>
        <w:ind w:left="6645"/>
      </w:pPr>
      <w:rPr>
        <w:rFonts w:ascii="Calibri" w:eastAsia="Calibri" w:hAnsi="Calibri" w:cs="Calibri"/>
        <w:b w:val="0"/>
        <w:i/>
        <w:strike w:val="0"/>
        <w:dstrike w:val="0"/>
        <w:color w:val="4A4A4A"/>
        <w:sz w:val="21"/>
        <w:u w:val="none" w:color="000000"/>
        <w:bdr w:val="none" w:sz="0" w:space="0" w:color="auto"/>
        <w:shd w:val="clear" w:color="auto" w:fill="auto"/>
        <w:vertAlign w:val="baseline"/>
      </w:rPr>
    </w:lvl>
  </w:abstractNum>
  <w:abstractNum w:abstractNumId="139">
    <w:nsid w:val="5C5E5A76"/>
    <w:multiLevelType w:val="hybridMultilevel"/>
    <w:tmpl w:val="C34006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CBE2B22"/>
    <w:multiLevelType w:val="hybridMultilevel"/>
    <w:tmpl w:val="F75E82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1">
    <w:nsid w:val="5E4B2D94"/>
    <w:multiLevelType w:val="hybridMultilevel"/>
    <w:tmpl w:val="A5B80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5E7C73C8"/>
    <w:multiLevelType w:val="hybridMultilevel"/>
    <w:tmpl w:val="DD162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5E971E0F"/>
    <w:multiLevelType w:val="hybridMultilevel"/>
    <w:tmpl w:val="B88C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EC14AA7"/>
    <w:multiLevelType w:val="hybridMultilevel"/>
    <w:tmpl w:val="616E3602"/>
    <w:lvl w:ilvl="0" w:tplc="61D0074A">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ED14D3D"/>
    <w:multiLevelType w:val="hybridMultilevel"/>
    <w:tmpl w:val="CF266886"/>
    <w:lvl w:ilvl="0" w:tplc="FC669C8C">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EF108BF"/>
    <w:multiLevelType w:val="hybridMultilevel"/>
    <w:tmpl w:val="8760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5F1B5BC7"/>
    <w:multiLevelType w:val="multilevel"/>
    <w:tmpl w:val="58868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nsid w:val="5F83761E"/>
    <w:multiLevelType w:val="hybridMultilevel"/>
    <w:tmpl w:val="4918AA2C"/>
    <w:lvl w:ilvl="0" w:tplc="F2AE8540">
      <w:start w:val="2"/>
      <w:numFmt w:val="bullet"/>
      <w:lvlText w:val="•"/>
      <w:lvlJc w:val="left"/>
      <w:pPr>
        <w:ind w:left="360" w:hanging="360"/>
      </w:pPr>
      <w:rPr>
        <w:rFonts w:ascii="Tw Cen MT Condensed" w:eastAsiaTheme="minorHAnsi" w:hAnsi="Tw Cen MT Condensed" w:cs="Shonar Bangl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nsid w:val="603A640C"/>
    <w:multiLevelType w:val="multilevel"/>
    <w:tmpl w:val="C1CE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1D85BBC"/>
    <w:multiLevelType w:val="hybridMultilevel"/>
    <w:tmpl w:val="FE96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62FF12D9"/>
    <w:multiLevelType w:val="hybridMultilevel"/>
    <w:tmpl w:val="8DA209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
    <w:nsid w:val="632545FA"/>
    <w:multiLevelType w:val="hybridMultilevel"/>
    <w:tmpl w:val="94D8A8E4"/>
    <w:lvl w:ilvl="0" w:tplc="038EC9D6">
      <w:start w:val="1"/>
      <w:numFmt w:val="lowerLetter"/>
      <w:lvlText w:val="%1)"/>
      <w:lvlJc w:val="left"/>
      <w:pPr>
        <w:ind w:left="720" w:hanging="360"/>
      </w:pPr>
      <w:rPr>
        <w:rFonts w:eastAsia="Times New Roman" w:cs="Times New Roman" w:hint="default"/>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A924A1"/>
    <w:multiLevelType w:val="hybridMultilevel"/>
    <w:tmpl w:val="B66CFF1A"/>
    <w:lvl w:ilvl="0" w:tplc="3F669B6A">
      <w:start w:val="1"/>
      <w:numFmt w:val="bullet"/>
      <w:lvlText w:val="•"/>
      <w:lvlJc w:val="left"/>
      <w:pPr>
        <w:ind w:left="2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FDCD01A">
      <w:start w:val="1"/>
      <w:numFmt w:val="bullet"/>
      <w:lvlText w:val="o"/>
      <w:lvlJc w:val="left"/>
      <w:pPr>
        <w:ind w:left="11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CACEF1C">
      <w:start w:val="1"/>
      <w:numFmt w:val="bullet"/>
      <w:lvlText w:val="▪"/>
      <w:lvlJc w:val="left"/>
      <w:pPr>
        <w:ind w:left="183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3DAD7B8">
      <w:start w:val="1"/>
      <w:numFmt w:val="bullet"/>
      <w:lvlText w:val="•"/>
      <w:lvlJc w:val="left"/>
      <w:pPr>
        <w:ind w:left="25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E5C0C5E">
      <w:start w:val="1"/>
      <w:numFmt w:val="bullet"/>
      <w:lvlText w:val="o"/>
      <w:lvlJc w:val="left"/>
      <w:pPr>
        <w:ind w:left="32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C5E9A2C">
      <w:start w:val="1"/>
      <w:numFmt w:val="bullet"/>
      <w:lvlText w:val="▪"/>
      <w:lvlJc w:val="left"/>
      <w:pPr>
        <w:ind w:left="399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6B0CF82">
      <w:start w:val="1"/>
      <w:numFmt w:val="bullet"/>
      <w:lvlText w:val="•"/>
      <w:lvlJc w:val="left"/>
      <w:pPr>
        <w:ind w:left="471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D467E18">
      <w:start w:val="1"/>
      <w:numFmt w:val="bullet"/>
      <w:lvlText w:val="o"/>
      <w:lvlJc w:val="left"/>
      <w:pPr>
        <w:ind w:left="543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D2AA652">
      <w:start w:val="1"/>
      <w:numFmt w:val="bullet"/>
      <w:lvlText w:val="▪"/>
      <w:lvlJc w:val="left"/>
      <w:pPr>
        <w:ind w:left="615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4">
    <w:nsid w:val="664526FB"/>
    <w:multiLevelType w:val="hybridMultilevel"/>
    <w:tmpl w:val="3920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653490B"/>
    <w:multiLevelType w:val="hybridMultilevel"/>
    <w:tmpl w:val="D552469C"/>
    <w:lvl w:ilvl="0" w:tplc="1D5CD35E">
      <w:start w:val="1"/>
      <w:numFmt w:val="bullet"/>
      <w:lvlText w:val="•"/>
      <w:lvlJc w:val="left"/>
      <w:pPr>
        <w:ind w:left="1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58D928">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A9404A2">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AB0D420">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962EB96">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A20E83A">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6D80780">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8EFB88">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C421652">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6">
    <w:nsid w:val="67AE3D74"/>
    <w:multiLevelType w:val="hybridMultilevel"/>
    <w:tmpl w:val="CE7AB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67D77C50"/>
    <w:multiLevelType w:val="hybridMultilevel"/>
    <w:tmpl w:val="4C34DE24"/>
    <w:lvl w:ilvl="0" w:tplc="08090017">
      <w:start w:val="1"/>
      <w:numFmt w:val="lowerLetter"/>
      <w:lvlText w:val="%1)"/>
      <w:lvlJc w:val="left"/>
      <w:pPr>
        <w:ind w:left="720" w:hanging="360"/>
      </w:pPr>
      <w:rPr>
        <w:rFonts w:hint="default"/>
      </w:rPr>
    </w:lvl>
    <w:lvl w:ilvl="1" w:tplc="CCE86E32">
      <w:numFmt w:val="bullet"/>
      <w:lvlText w:val="-"/>
      <w:lvlJc w:val="left"/>
      <w:pPr>
        <w:ind w:left="1440" w:hanging="360"/>
      </w:pPr>
      <w:rPr>
        <w:rFonts w:ascii="Tw Cen MT Condensed" w:eastAsiaTheme="minorHAnsi" w:hAnsi="Tw Cen MT Condensed" w:cs="Shonar Bangl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67EF78E7"/>
    <w:multiLevelType w:val="hybridMultilevel"/>
    <w:tmpl w:val="CAB2BC2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nsid w:val="69703570"/>
    <w:multiLevelType w:val="hybridMultilevel"/>
    <w:tmpl w:val="AA365C3A"/>
    <w:lvl w:ilvl="0" w:tplc="973AF6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69C61683"/>
    <w:multiLevelType w:val="hybridMultilevel"/>
    <w:tmpl w:val="458A4A9E"/>
    <w:lvl w:ilvl="0" w:tplc="FC669C8C">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A9229E7"/>
    <w:multiLevelType w:val="hybridMultilevel"/>
    <w:tmpl w:val="6BD6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B5C0063"/>
    <w:multiLevelType w:val="hybridMultilevel"/>
    <w:tmpl w:val="7C10D584"/>
    <w:lvl w:ilvl="0" w:tplc="FA44B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BD93C37"/>
    <w:multiLevelType w:val="hybridMultilevel"/>
    <w:tmpl w:val="50F63F6C"/>
    <w:lvl w:ilvl="0" w:tplc="F5289D98">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6CC81142"/>
    <w:multiLevelType w:val="hybridMultilevel"/>
    <w:tmpl w:val="9F203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6D727561"/>
    <w:multiLevelType w:val="hybridMultilevel"/>
    <w:tmpl w:val="971ED34C"/>
    <w:lvl w:ilvl="0" w:tplc="8F32FD74">
      <w:numFmt w:val="bullet"/>
      <w:lvlText w:val=""/>
      <w:lvlJc w:val="left"/>
      <w:pPr>
        <w:ind w:left="1039" w:hanging="353"/>
      </w:pPr>
      <w:rPr>
        <w:rFonts w:ascii="Symbol" w:eastAsia="Symbol" w:hAnsi="Symbol" w:cs="Symbol" w:hint="default"/>
        <w:w w:val="100"/>
        <w:sz w:val="24"/>
        <w:szCs w:val="24"/>
        <w:lang w:val="en-GB" w:eastAsia="en-GB" w:bidi="en-GB"/>
      </w:rPr>
    </w:lvl>
    <w:lvl w:ilvl="1" w:tplc="16D6848A">
      <w:numFmt w:val="bullet"/>
      <w:lvlText w:val="o"/>
      <w:lvlJc w:val="left"/>
      <w:pPr>
        <w:ind w:left="1760" w:hanging="353"/>
      </w:pPr>
      <w:rPr>
        <w:rFonts w:ascii="Courier New" w:eastAsia="Courier New" w:hAnsi="Courier New" w:cs="Courier New" w:hint="default"/>
        <w:w w:val="100"/>
        <w:sz w:val="24"/>
        <w:szCs w:val="24"/>
        <w:lang w:val="en-GB" w:eastAsia="en-GB" w:bidi="en-GB"/>
      </w:rPr>
    </w:lvl>
    <w:lvl w:ilvl="2" w:tplc="35C2CE5A">
      <w:numFmt w:val="bullet"/>
      <w:lvlText w:val=""/>
      <w:lvlJc w:val="left"/>
      <w:pPr>
        <w:ind w:left="2480" w:hanging="353"/>
      </w:pPr>
      <w:rPr>
        <w:rFonts w:ascii="Wingdings" w:eastAsia="Wingdings" w:hAnsi="Wingdings" w:cs="Wingdings" w:hint="default"/>
        <w:w w:val="100"/>
        <w:sz w:val="24"/>
        <w:szCs w:val="24"/>
        <w:lang w:val="en-GB" w:eastAsia="en-GB" w:bidi="en-GB"/>
      </w:rPr>
    </w:lvl>
    <w:lvl w:ilvl="3" w:tplc="EC94A0DA">
      <w:numFmt w:val="bullet"/>
      <w:lvlText w:val="•"/>
      <w:lvlJc w:val="left"/>
      <w:pPr>
        <w:ind w:left="3448" w:hanging="353"/>
      </w:pPr>
      <w:rPr>
        <w:rFonts w:hint="default"/>
        <w:lang w:val="en-GB" w:eastAsia="en-GB" w:bidi="en-GB"/>
      </w:rPr>
    </w:lvl>
    <w:lvl w:ilvl="4" w:tplc="5B5E7A42">
      <w:numFmt w:val="bullet"/>
      <w:lvlText w:val="•"/>
      <w:lvlJc w:val="left"/>
      <w:pPr>
        <w:ind w:left="4416" w:hanging="353"/>
      </w:pPr>
      <w:rPr>
        <w:rFonts w:hint="default"/>
        <w:lang w:val="en-GB" w:eastAsia="en-GB" w:bidi="en-GB"/>
      </w:rPr>
    </w:lvl>
    <w:lvl w:ilvl="5" w:tplc="D8A4CD50">
      <w:numFmt w:val="bullet"/>
      <w:lvlText w:val="•"/>
      <w:lvlJc w:val="left"/>
      <w:pPr>
        <w:ind w:left="5384" w:hanging="353"/>
      </w:pPr>
      <w:rPr>
        <w:rFonts w:hint="default"/>
        <w:lang w:val="en-GB" w:eastAsia="en-GB" w:bidi="en-GB"/>
      </w:rPr>
    </w:lvl>
    <w:lvl w:ilvl="6" w:tplc="0F30046C">
      <w:numFmt w:val="bullet"/>
      <w:lvlText w:val="•"/>
      <w:lvlJc w:val="left"/>
      <w:pPr>
        <w:ind w:left="6352" w:hanging="353"/>
      </w:pPr>
      <w:rPr>
        <w:rFonts w:hint="default"/>
        <w:lang w:val="en-GB" w:eastAsia="en-GB" w:bidi="en-GB"/>
      </w:rPr>
    </w:lvl>
    <w:lvl w:ilvl="7" w:tplc="0D806A94">
      <w:numFmt w:val="bullet"/>
      <w:lvlText w:val="•"/>
      <w:lvlJc w:val="left"/>
      <w:pPr>
        <w:ind w:left="7320" w:hanging="353"/>
      </w:pPr>
      <w:rPr>
        <w:rFonts w:hint="default"/>
        <w:lang w:val="en-GB" w:eastAsia="en-GB" w:bidi="en-GB"/>
      </w:rPr>
    </w:lvl>
    <w:lvl w:ilvl="8" w:tplc="3EE4279E">
      <w:numFmt w:val="bullet"/>
      <w:lvlText w:val="•"/>
      <w:lvlJc w:val="left"/>
      <w:pPr>
        <w:ind w:left="8288" w:hanging="353"/>
      </w:pPr>
      <w:rPr>
        <w:rFonts w:hint="default"/>
        <w:lang w:val="en-GB" w:eastAsia="en-GB" w:bidi="en-GB"/>
      </w:rPr>
    </w:lvl>
  </w:abstractNum>
  <w:abstractNum w:abstractNumId="166">
    <w:nsid w:val="6D774F92"/>
    <w:multiLevelType w:val="hybridMultilevel"/>
    <w:tmpl w:val="25E2BBF6"/>
    <w:lvl w:ilvl="0" w:tplc="18F6E93C">
      <w:start w:val="1"/>
      <w:numFmt w:val="decimal"/>
      <w:lvlText w:val="(%1)"/>
      <w:lvlJc w:val="left"/>
      <w:pPr>
        <w:ind w:left="1080" w:hanging="360"/>
      </w:pPr>
      <w:rPr>
        <w:rFonts w:ascii="Calibri" w:hAnsi="Calibri" w:hint="default"/>
        <w:b/>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6D911EAD"/>
    <w:multiLevelType w:val="hybridMultilevel"/>
    <w:tmpl w:val="A2BEE8FC"/>
    <w:lvl w:ilvl="0" w:tplc="F1BC6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DEE0CA1"/>
    <w:multiLevelType w:val="hybridMultilevel"/>
    <w:tmpl w:val="005C38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E7D71C8"/>
    <w:multiLevelType w:val="hybridMultilevel"/>
    <w:tmpl w:val="C1126BD6"/>
    <w:lvl w:ilvl="0" w:tplc="08090001">
      <w:start w:val="1"/>
      <w:numFmt w:val="bullet"/>
      <w:lvlText w:val=""/>
      <w:lvlJc w:val="left"/>
      <w:pPr>
        <w:ind w:left="684" w:hanging="360"/>
      </w:pPr>
      <w:rPr>
        <w:rFonts w:ascii="Symbol" w:hAnsi="Symbol" w:hint="default"/>
      </w:rPr>
    </w:lvl>
    <w:lvl w:ilvl="1" w:tplc="08090003" w:tentative="1">
      <w:start w:val="1"/>
      <w:numFmt w:val="bullet"/>
      <w:lvlText w:val="o"/>
      <w:lvlJc w:val="left"/>
      <w:pPr>
        <w:ind w:left="1404" w:hanging="360"/>
      </w:pPr>
      <w:rPr>
        <w:rFonts w:ascii="Courier New" w:hAnsi="Courier New" w:cs="Courier New" w:hint="default"/>
      </w:rPr>
    </w:lvl>
    <w:lvl w:ilvl="2" w:tplc="08090005" w:tentative="1">
      <w:start w:val="1"/>
      <w:numFmt w:val="bullet"/>
      <w:lvlText w:val=""/>
      <w:lvlJc w:val="left"/>
      <w:pPr>
        <w:ind w:left="2124" w:hanging="360"/>
      </w:pPr>
      <w:rPr>
        <w:rFonts w:ascii="Wingdings" w:hAnsi="Wingdings" w:hint="default"/>
      </w:rPr>
    </w:lvl>
    <w:lvl w:ilvl="3" w:tplc="08090001" w:tentative="1">
      <w:start w:val="1"/>
      <w:numFmt w:val="bullet"/>
      <w:lvlText w:val=""/>
      <w:lvlJc w:val="left"/>
      <w:pPr>
        <w:ind w:left="2844" w:hanging="360"/>
      </w:pPr>
      <w:rPr>
        <w:rFonts w:ascii="Symbol" w:hAnsi="Symbol" w:hint="default"/>
      </w:rPr>
    </w:lvl>
    <w:lvl w:ilvl="4" w:tplc="08090003" w:tentative="1">
      <w:start w:val="1"/>
      <w:numFmt w:val="bullet"/>
      <w:lvlText w:val="o"/>
      <w:lvlJc w:val="left"/>
      <w:pPr>
        <w:ind w:left="3564" w:hanging="360"/>
      </w:pPr>
      <w:rPr>
        <w:rFonts w:ascii="Courier New" w:hAnsi="Courier New" w:cs="Courier New" w:hint="default"/>
      </w:rPr>
    </w:lvl>
    <w:lvl w:ilvl="5" w:tplc="08090005" w:tentative="1">
      <w:start w:val="1"/>
      <w:numFmt w:val="bullet"/>
      <w:lvlText w:val=""/>
      <w:lvlJc w:val="left"/>
      <w:pPr>
        <w:ind w:left="4284" w:hanging="360"/>
      </w:pPr>
      <w:rPr>
        <w:rFonts w:ascii="Wingdings" w:hAnsi="Wingdings" w:hint="default"/>
      </w:rPr>
    </w:lvl>
    <w:lvl w:ilvl="6" w:tplc="08090001" w:tentative="1">
      <w:start w:val="1"/>
      <w:numFmt w:val="bullet"/>
      <w:lvlText w:val=""/>
      <w:lvlJc w:val="left"/>
      <w:pPr>
        <w:ind w:left="5004" w:hanging="360"/>
      </w:pPr>
      <w:rPr>
        <w:rFonts w:ascii="Symbol" w:hAnsi="Symbol" w:hint="default"/>
      </w:rPr>
    </w:lvl>
    <w:lvl w:ilvl="7" w:tplc="08090003" w:tentative="1">
      <w:start w:val="1"/>
      <w:numFmt w:val="bullet"/>
      <w:lvlText w:val="o"/>
      <w:lvlJc w:val="left"/>
      <w:pPr>
        <w:ind w:left="5724" w:hanging="360"/>
      </w:pPr>
      <w:rPr>
        <w:rFonts w:ascii="Courier New" w:hAnsi="Courier New" w:cs="Courier New" w:hint="default"/>
      </w:rPr>
    </w:lvl>
    <w:lvl w:ilvl="8" w:tplc="08090005" w:tentative="1">
      <w:start w:val="1"/>
      <w:numFmt w:val="bullet"/>
      <w:lvlText w:val=""/>
      <w:lvlJc w:val="left"/>
      <w:pPr>
        <w:ind w:left="6444" w:hanging="360"/>
      </w:pPr>
      <w:rPr>
        <w:rFonts w:ascii="Wingdings" w:hAnsi="Wingdings" w:hint="default"/>
      </w:rPr>
    </w:lvl>
  </w:abstractNum>
  <w:abstractNum w:abstractNumId="170">
    <w:nsid w:val="6E9E04D9"/>
    <w:multiLevelType w:val="hybridMultilevel"/>
    <w:tmpl w:val="CD9C8E42"/>
    <w:lvl w:ilvl="0" w:tplc="EAFED254">
      <w:start w:val="1"/>
      <w:numFmt w:val="lowerLetter"/>
      <w:lvlText w:val="(%1)"/>
      <w:lvlJc w:val="left"/>
      <w:pPr>
        <w:ind w:left="360" w:hanging="360"/>
      </w:pPr>
      <w:rPr>
        <w:rFonts w:ascii="Tw Cen MT Condensed" w:eastAsiaTheme="minorEastAsia" w:hAnsi="Tw Cen MT Condensed" w:cstheme="minorBidi"/>
        <w:i/>
        <w:iCs/>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nsid w:val="706F2BE7"/>
    <w:multiLevelType w:val="hybridMultilevel"/>
    <w:tmpl w:val="1226BDB2"/>
    <w:lvl w:ilvl="0" w:tplc="08090017">
      <w:start w:val="1"/>
      <w:numFmt w:val="lowerLetter"/>
      <w:lvlText w:val="%1)"/>
      <w:lvlJc w:val="left"/>
      <w:pPr>
        <w:ind w:left="720" w:hanging="360"/>
      </w:pPr>
      <w:rPr>
        <w:rFonts w:hint="default"/>
      </w:rPr>
    </w:lvl>
    <w:lvl w:ilvl="1" w:tplc="D1B4756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71255FEB"/>
    <w:multiLevelType w:val="hybridMultilevel"/>
    <w:tmpl w:val="1DF46EC0"/>
    <w:lvl w:ilvl="0" w:tplc="F2AE8540">
      <w:start w:val="2"/>
      <w:numFmt w:val="bullet"/>
      <w:lvlText w:val="•"/>
      <w:lvlJc w:val="left"/>
      <w:pPr>
        <w:ind w:left="720" w:hanging="360"/>
      </w:pPr>
      <w:rPr>
        <w:rFonts w:ascii="Tw Cen MT Condensed" w:eastAsiaTheme="minorHAnsi" w:hAnsi="Tw Cen MT Condensed" w:cs="Shonar Bang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715171D2"/>
    <w:multiLevelType w:val="hybridMultilevel"/>
    <w:tmpl w:val="00622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729168A1"/>
    <w:multiLevelType w:val="hybridMultilevel"/>
    <w:tmpl w:val="3D3214DC"/>
    <w:lvl w:ilvl="0" w:tplc="5B22C39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32E01D2"/>
    <w:multiLevelType w:val="hybridMultilevel"/>
    <w:tmpl w:val="E7346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6">
    <w:nsid w:val="73653392"/>
    <w:multiLevelType w:val="hybridMultilevel"/>
    <w:tmpl w:val="6B0AFD3E"/>
    <w:lvl w:ilvl="0" w:tplc="D5F8071A">
      <w:start w:val="1"/>
      <w:numFmt w:val="decimal"/>
      <w:lvlText w:val="%1."/>
      <w:lvlJc w:val="left"/>
      <w:pPr>
        <w:ind w:left="361" w:hanging="216"/>
      </w:pPr>
      <w:rPr>
        <w:rFonts w:hint="default"/>
        <w:w w:val="100"/>
        <w:lang w:val="en-US" w:eastAsia="en-US" w:bidi="en-US"/>
      </w:rPr>
    </w:lvl>
    <w:lvl w:ilvl="1" w:tplc="C81A424A">
      <w:numFmt w:val="bullet"/>
      <w:lvlText w:val=""/>
      <w:lvlJc w:val="left"/>
      <w:pPr>
        <w:ind w:left="2305" w:hanging="360"/>
      </w:pPr>
      <w:rPr>
        <w:rFonts w:ascii="Wingdings" w:eastAsia="Wingdings" w:hAnsi="Wingdings" w:cs="Wingdings" w:hint="default"/>
        <w:w w:val="99"/>
        <w:sz w:val="20"/>
        <w:szCs w:val="20"/>
        <w:lang w:val="en-US" w:eastAsia="en-US" w:bidi="en-US"/>
      </w:rPr>
    </w:lvl>
    <w:lvl w:ilvl="2" w:tplc="9C46AC06">
      <w:numFmt w:val="bullet"/>
      <w:lvlText w:val="•"/>
      <w:lvlJc w:val="left"/>
      <w:pPr>
        <w:ind w:left="3041" w:hanging="360"/>
      </w:pPr>
      <w:rPr>
        <w:rFonts w:hint="default"/>
        <w:lang w:val="en-US" w:eastAsia="en-US" w:bidi="en-US"/>
      </w:rPr>
    </w:lvl>
    <w:lvl w:ilvl="3" w:tplc="079C5C54">
      <w:numFmt w:val="bullet"/>
      <w:lvlText w:val="•"/>
      <w:lvlJc w:val="left"/>
      <w:pPr>
        <w:ind w:left="3782" w:hanging="360"/>
      </w:pPr>
      <w:rPr>
        <w:rFonts w:hint="default"/>
        <w:lang w:val="en-US" w:eastAsia="en-US" w:bidi="en-US"/>
      </w:rPr>
    </w:lvl>
    <w:lvl w:ilvl="4" w:tplc="7AC453D8">
      <w:numFmt w:val="bullet"/>
      <w:lvlText w:val="•"/>
      <w:lvlJc w:val="left"/>
      <w:pPr>
        <w:ind w:left="4523" w:hanging="360"/>
      </w:pPr>
      <w:rPr>
        <w:rFonts w:hint="default"/>
        <w:lang w:val="en-US" w:eastAsia="en-US" w:bidi="en-US"/>
      </w:rPr>
    </w:lvl>
    <w:lvl w:ilvl="5" w:tplc="0210615A">
      <w:numFmt w:val="bullet"/>
      <w:lvlText w:val="•"/>
      <w:lvlJc w:val="left"/>
      <w:pPr>
        <w:ind w:left="5264" w:hanging="360"/>
      </w:pPr>
      <w:rPr>
        <w:rFonts w:hint="default"/>
        <w:lang w:val="en-US" w:eastAsia="en-US" w:bidi="en-US"/>
      </w:rPr>
    </w:lvl>
    <w:lvl w:ilvl="6" w:tplc="4BD6C4FE">
      <w:numFmt w:val="bullet"/>
      <w:lvlText w:val="•"/>
      <w:lvlJc w:val="left"/>
      <w:pPr>
        <w:ind w:left="6005" w:hanging="360"/>
      </w:pPr>
      <w:rPr>
        <w:rFonts w:hint="default"/>
        <w:lang w:val="en-US" w:eastAsia="en-US" w:bidi="en-US"/>
      </w:rPr>
    </w:lvl>
    <w:lvl w:ilvl="7" w:tplc="F1F4DF2C">
      <w:numFmt w:val="bullet"/>
      <w:lvlText w:val="•"/>
      <w:lvlJc w:val="left"/>
      <w:pPr>
        <w:ind w:left="6746" w:hanging="360"/>
      </w:pPr>
      <w:rPr>
        <w:rFonts w:hint="default"/>
        <w:lang w:val="en-US" w:eastAsia="en-US" w:bidi="en-US"/>
      </w:rPr>
    </w:lvl>
    <w:lvl w:ilvl="8" w:tplc="40AC93FA">
      <w:numFmt w:val="bullet"/>
      <w:lvlText w:val="•"/>
      <w:lvlJc w:val="left"/>
      <w:pPr>
        <w:ind w:left="7487" w:hanging="360"/>
      </w:pPr>
      <w:rPr>
        <w:rFonts w:hint="default"/>
        <w:lang w:val="en-US" w:eastAsia="en-US" w:bidi="en-US"/>
      </w:rPr>
    </w:lvl>
  </w:abstractNum>
  <w:abstractNum w:abstractNumId="177">
    <w:nsid w:val="74F3501B"/>
    <w:multiLevelType w:val="hybridMultilevel"/>
    <w:tmpl w:val="A2260CF2"/>
    <w:lvl w:ilvl="0" w:tplc="973AF6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7527206A"/>
    <w:multiLevelType w:val="hybridMultilevel"/>
    <w:tmpl w:val="9F82CA38"/>
    <w:lvl w:ilvl="0" w:tplc="F2AE8540">
      <w:start w:val="2"/>
      <w:numFmt w:val="bullet"/>
      <w:lvlText w:val="•"/>
      <w:lvlJc w:val="left"/>
      <w:pPr>
        <w:ind w:left="360" w:hanging="360"/>
      </w:pPr>
      <w:rPr>
        <w:rFonts w:ascii="Tw Cen MT Condensed" w:eastAsiaTheme="minorHAnsi" w:hAnsi="Tw Cen MT Condensed" w:cs="Shonar Bangl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nsid w:val="75BA266E"/>
    <w:multiLevelType w:val="hybridMultilevel"/>
    <w:tmpl w:val="0F3260BA"/>
    <w:lvl w:ilvl="0" w:tplc="61D0074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80">
    <w:nsid w:val="75D06E04"/>
    <w:multiLevelType w:val="hybridMultilevel"/>
    <w:tmpl w:val="9A4CBF0A"/>
    <w:lvl w:ilvl="0" w:tplc="61D0074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nsid w:val="76FA35FB"/>
    <w:multiLevelType w:val="hybridMultilevel"/>
    <w:tmpl w:val="394E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73217C4"/>
    <w:multiLevelType w:val="hybridMultilevel"/>
    <w:tmpl w:val="7BCA6DC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nsid w:val="78D56745"/>
    <w:multiLevelType w:val="hybridMultilevel"/>
    <w:tmpl w:val="943AF6F8"/>
    <w:lvl w:ilvl="0" w:tplc="87D2FC32">
      <w:start w:val="1"/>
      <w:numFmt w:val="lowerLetter"/>
      <w:lvlText w:val="%1)"/>
      <w:lvlJc w:val="left"/>
      <w:pPr>
        <w:ind w:left="720" w:hanging="360"/>
      </w:pPr>
      <w:rPr>
        <w:rFonts w:ascii="Tw Cen MT Condensed" w:eastAsiaTheme="minorHAnsi" w:hAnsi="Tw Cen MT Condensed"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92376DC"/>
    <w:multiLevelType w:val="hybridMultilevel"/>
    <w:tmpl w:val="AC1C2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9771E27"/>
    <w:multiLevelType w:val="hybridMultilevel"/>
    <w:tmpl w:val="339C4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7B14070B"/>
    <w:multiLevelType w:val="hybridMultilevel"/>
    <w:tmpl w:val="E48694A4"/>
    <w:lvl w:ilvl="0" w:tplc="7B447C2A">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7B9609BC"/>
    <w:multiLevelType w:val="hybridMultilevel"/>
    <w:tmpl w:val="2EEA44AE"/>
    <w:lvl w:ilvl="0" w:tplc="388CB416">
      <w:start w:val="1"/>
      <w:numFmt w:val="lowerLetter"/>
      <w:lvlText w:val="%1)"/>
      <w:lvlJc w:val="left"/>
      <w:pPr>
        <w:ind w:left="181"/>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1" w:tplc="51349ACE">
      <w:start w:val="1"/>
      <w:numFmt w:val="lowerLetter"/>
      <w:lvlText w:val="%2"/>
      <w:lvlJc w:val="left"/>
      <w:pPr>
        <w:ind w:left="109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2" w:tplc="63AE80F0">
      <w:start w:val="1"/>
      <w:numFmt w:val="lowerRoman"/>
      <w:lvlText w:val="%3"/>
      <w:lvlJc w:val="left"/>
      <w:pPr>
        <w:ind w:left="181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3" w:tplc="DCBE0D34">
      <w:start w:val="1"/>
      <w:numFmt w:val="decimal"/>
      <w:lvlText w:val="%4"/>
      <w:lvlJc w:val="left"/>
      <w:pPr>
        <w:ind w:left="253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4" w:tplc="FB464534">
      <w:start w:val="1"/>
      <w:numFmt w:val="lowerLetter"/>
      <w:lvlText w:val="%5"/>
      <w:lvlJc w:val="left"/>
      <w:pPr>
        <w:ind w:left="325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5" w:tplc="5CE2DEC6">
      <w:start w:val="1"/>
      <w:numFmt w:val="lowerRoman"/>
      <w:lvlText w:val="%6"/>
      <w:lvlJc w:val="left"/>
      <w:pPr>
        <w:ind w:left="397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6" w:tplc="025611BA">
      <w:start w:val="1"/>
      <w:numFmt w:val="decimal"/>
      <w:lvlText w:val="%7"/>
      <w:lvlJc w:val="left"/>
      <w:pPr>
        <w:ind w:left="469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7" w:tplc="8F9E4E1E">
      <w:start w:val="1"/>
      <w:numFmt w:val="lowerLetter"/>
      <w:lvlText w:val="%8"/>
      <w:lvlJc w:val="left"/>
      <w:pPr>
        <w:ind w:left="541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lvl w:ilvl="8" w:tplc="58CABD3A">
      <w:start w:val="1"/>
      <w:numFmt w:val="lowerRoman"/>
      <w:lvlText w:val="%9"/>
      <w:lvlJc w:val="left"/>
      <w:pPr>
        <w:ind w:left="6138"/>
      </w:pPr>
      <w:rPr>
        <w:rFonts w:ascii="Tw Cen MT" w:eastAsia="Tw Cen MT" w:hAnsi="Tw Cen MT" w:cs="Tw Cen MT"/>
        <w:b w:val="0"/>
        <w:i w:val="0"/>
        <w:strike w:val="0"/>
        <w:dstrike w:val="0"/>
        <w:color w:val="000000"/>
        <w:sz w:val="22"/>
        <w:u w:val="none" w:color="000000"/>
        <w:bdr w:val="none" w:sz="0" w:space="0" w:color="auto"/>
        <w:shd w:val="clear" w:color="auto" w:fill="auto"/>
        <w:vertAlign w:val="baseline"/>
      </w:rPr>
    </w:lvl>
  </w:abstractNum>
  <w:abstractNum w:abstractNumId="188">
    <w:nsid w:val="7BF11090"/>
    <w:multiLevelType w:val="hybridMultilevel"/>
    <w:tmpl w:val="229C2722"/>
    <w:lvl w:ilvl="0" w:tplc="973AF6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nsid w:val="7C9667E2"/>
    <w:multiLevelType w:val="hybridMultilevel"/>
    <w:tmpl w:val="F6A6C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nsid w:val="7DE21660"/>
    <w:multiLevelType w:val="hybridMultilevel"/>
    <w:tmpl w:val="3A44A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nsid w:val="7E61132D"/>
    <w:multiLevelType w:val="hybridMultilevel"/>
    <w:tmpl w:val="AC6635D0"/>
    <w:lvl w:ilvl="0" w:tplc="CA0CDD98">
      <w:start w:val="1"/>
      <w:numFmt w:val="bullet"/>
      <w:lvlText w:val="•"/>
      <w:lvlJc w:val="left"/>
      <w:pPr>
        <w:ind w:left="2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049274">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7F66B56">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5901F0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A2EA3E">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7E9228">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6D4417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B22576">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D4044E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92">
    <w:nsid w:val="7E86332B"/>
    <w:multiLevelType w:val="hybridMultilevel"/>
    <w:tmpl w:val="5CE8A5F2"/>
    <w:lvl w:ilvl="0" w:tplc="A53ECFF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D2D68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2D62B8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2CE8DA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616499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58AE1A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D165C7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5E74F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2F23E1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3">
    <w:nsid w:val="7F007D97"/>
    <w:multiLevelType w:val="hybridMultilevel"/>
    <w:tmpl w:val="E034E2A6"/>
    <w:lvl w:ilvl="0" w:tplc="931AE454">
      <w:start w:val="1"/>
      <w:numFmt w:val="bullet"/>
      <w:lvlText w:val="•"/>
      <w:lvlJc w:val="left"/>
      <w:pPr>
        <w:ind w:left="720"/>
      </w:pPr>
      <w:rPr>
        <w:rFonts w:ascii="Arial" w:eastAsia="Arial" w:hAnsi="Arial" w:cs="Arial"/>
        <w:b w:val="0"/>
        <w:i w:val="0"/>
        <w:strike w:val="0"/>
        <w:dstrike w:val="0"/>
        <w:color w:val="4A4A4A"/>
        <w:sz w:val="21"/>
        <w:u w:val="none" w:color="000000"/>
        <w:bdr w:val="none" w:sz="0" w:space="0" w:color="auto"/>
        <w:shd w:val="clear" w:color="auto" w:fill="auto"/>
        <w:vertAlign w:val="baseline"/>
      </w:rPr>
    </w:lvl>
    <w:lvl w:ilvl="1" w:tplc="E6C807B6">
      <w:start w:val="1"/>
      <w:numFmt w:val="bullet"/>
      <w:lvlText w:val="o"/>
      <w:lvlJc w:val="left"/>
      <w:pPr>
        <w:ind w:left="144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2" w:tplc="4B5ECED4">
      <w:start w:val="1"/>
      <w:numFmt w:val="bullet"/>
      <w:lvlText w:val="▪"/>
      <w:lvlJc w:val="left"/>
      <w:pPr>
        <w:ind w:left="216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3" w:tplc="56404F20">
      <w:start w:val="1"/>
      <w:numFmt w:val="bullet"/>
      <w:lvlText w:val="•"/>
      <w:lvlJc w:val="left"/>
      <w:pPr>
        <w:ind w:left="2880"/>
      </w:pPr>
      <w:rPr>
        <w:rFonts w:ascii="Arial" w:eastAsia="Arial" w:hAnsi="Arial" w:cs="Arial"/>
        <w:b w:val="0"/>
        <w:i w:val="0"/>
        <w:strike w:val="0"/>
        <w:dstrike w:val="0"/>
        <w:color w:val="4A4A4A"/>
        <w:sz w:val="21"/>
        <w:u w:val="none" w:color="000000"/>
        <w:bdr w:val="none" w:sz="0" w:space="0" w:color="auto"/>
        <w:shd w:val="clear" w:color="auto" w:fill="auto"/>
        <w:vertAlign w:val="baseline"/>
      </w:rPr>
    </w:lvl>
    <w:lvl w:ilvl="4" w:tplc="E6BEA4F0">
      <w:start w:val="1"/>
      <w:numFmt w:val="bullet"/>
      <w:lvlText w:val="o"/>
      <w:lvlJc w:val="left"/>
      <w:pPr>
        <w:ind w:left="360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5" w:tplc="30F21FC8">
      <w:start w:val="1"/>
      <w:numFmt w:val="bullet"/>
      <w:lvlText w:val="▪"/>
      <w:lvlJc w:val="left"/>
      <w:pPr>
        <w:ind w:left="432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6" w:tplc="BCCE9A76">
      <w:start w:val="1"/>
      <w:numFmt w:val="bullet"/>
      <w:lvlText w:val="•"/>
      <w:lvlJc w:val="left"/>
      <w:pPr>
        <w:ind w:left="5040"/>
      </w:pPr>
      <w:rPr>
        <w:rFonts w:ascii="Arial" w:eastAsia="Arial" w:hAnsi="Arial" w:cs="Arial"/>
        <w:b w:val="0"/>
        <w:i w:val="0"/>
        <w:strike w:val="0"/>
        <w:dstrike w:val="0"/>
        <w:color w:val="4A4A4A"/>
        <w:sz w:val="21"/>
        <w:u w:val="none" w:color="000000"/>
        <w:bdr w:val="none" w:sz="0" w:space="0" w:color="auto"/>
        <w:shd w:val="clear" w:color="auto" w:fill="auto"/>
        <w:vertAlign w:val="baseline"/>
      </w:rPr>
    </w:lvl>
    <w:lvl w:ilvl="7" w:tplc="096E3834">
      <w:start w:val="1"/>
      <w:numFmt w:val="bullet"/>
      <w:lvlText w:val="o"/>
      <w:lvlJc w:val="left"/>
      <w:pPr>
        <w:ind w:left="576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lvl w:ilvl="8" w:tplc="A162C364">
      <w:start w:val="1"/>
      <w:numFmt w:val="bullet"/>
      <w:lvlText w:val="▪"/>
      <w:lvlJc w:val="left"/>
      <w:pPr>
        <w:ind w:left="6480"/>
      </w:pPr>
      <w:rPr>
        <w:rFonts w:ascii="Segoe UI Symbol" w:eastAsia="Segoe UI Symbol" w:hAnsi="Segoe UI Symbol" w:cs="Segoe UI Symbol"/>
        <w:b w:val="0"/>
        <w:i w:val="0"/>
        <w:strike w:val="0"/>
        <w:dstrike w:val="0"/>
        <w:color w:val="4A4A4A"/>
        <w:sz w:val="21"/>
        <w:u w:val="none" w:color="000000"/>
        <w:bdr w:val="none" w:sz="0" w:space="0" w:color="auto"/>
        <w:shd w:val="clear" w:color="auto" w:fill="auto"/>
        <w:vertAlign w:val="baseline"/>
      </w:rPr>
    </w:lvl>
  </w:abstractNum>
  <w:abstractNum w:abstractNumId="194">
    <w:nsid w:val="7F7871F0"/>
    <w:multiLevelType w:val="hybridMultilevel"/>
    <w:tmpl w:val="9AD0A772"/>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6"/>
  </w:num>
  <w:num w:numId="2">
    <w:abstractNumId w:val="96"/>
  </w:num>
  <w:num w:numId="3">
    <w:abstractNumId w:val="66"/>
  </w:num>
  <w:num w:numId="4">
    <w:abstractNumId w:val="143"/>
  </w:num>
  <w:num w:numId="5">
    <w:abstractNumId w:val="11"/>
  </w:num>
  <w:num w:numId="6">
    <w:abstractNumId w:val="44"/>
  </w:num>
  <w:num w:numId="7">
    <w:abstractNumId w:val="154"/>
  </w:num>
  <w:num w:numId="8">
    <w:abstractNumId w:val="184"/>
  </w:num>
  <w:num w:numId="9">
    <w:abstractNumId w:val="120"/>
  </w:num>
  <w:num w:numId="10">
    <w:abstractNumId w:val="134"/>
  </w:num>
  <w:num w:numId="11">
    <w:abstractNumId w:val="124"/>
  </w:num>
  <w:num w:numId="12">
    <w:abstractNumId w:val="5"/>
  </w:num>
  <w:num w:numId="13">
    <w:abstractNumId w:val="121"/>
  </w:num>
  <w:num w:numId="14">
    <w:abstractNumId w:val="45"/>
  </w:num>
  <w:num w:numId="15">
    <w:abstractNumId w:val="158"/>
  </w:num>
  <w:num w:numId="16">
    <w:abstractNumId w:val="119"/>
  </w:num>
  <w:num w:numId="17">
    <w:abstractNumId w:val="115"/>
  </w:num>
  <w:num w:numId="18">
    <w:abstractNumId w:val="23"/>
  </w:num>
  <w:num w:numId="19">
    <w:abstractNumId w:val="131"/>
  </w:num>
  <w:num w:numId="20">
    <w:abstractNumId w:val="34"/>
  </w:num>
  <w:num w:numId="21">
    <w:abstractNumId w:val="82"/>
  </w:num>
  <w:num w:numId="22">
    <w:abstractNumId w:val="68"/>
  </w:num>
  <w:num w:numId="23">
    <w:abstractNumId w:val="90"/>
  </w:num>
  <w:num w:numId="24">
    <w:abstractNumId w:val="171"/>
  </w:num>
  <w:num w:numId="25">
    <w:abstractNumId w:val="141"/>
  </w:num>
  <w:num w:numId="26">
    <w:abstractNumId w:val="59"/>
  </w:num>
  <w:num w:numId="27">
    <w:abstractNumId w:val="111"/>
  </w:num>
  <w:num w:numId="28">
    <w:abstractNumId w:val="52"/>
  </w:num>
  <w:num w:numId="29">
    <w:abstractNumId w:val="170"/>
  </w:num>
  <w:num w:numId="30">
    <w:abstractNumId w:val="190"/>
  </w:num>
  <w:num w:numId="31">
    <w:abstractNumId w:val="142"/>
  </w:num>
  <w:num w:numId="32">
    <w:abstractNumId w:val="169"/>
  </w:num>
  <w:num w:numId="33">
    <w:abstractNumId w:val="43"/>
  </w:num>
  <w:num w:numId="34">
    <w:abstractNumId w:val="19"/>
  </w:num>
  <w:num w:numId="35">
    <w:abstractNumId w:val="159"/>
  </w:num>
  <w:num w:numId="36">
    <w:abstractNumId w:val="177"/>
  </w:num>
  <w:num w:numId="37">
    <w:abstractNumId w:val="94"/>
  </w:num>
  <w:num w:numId="38">
    <w:abstractNumId w:val="75"/>
  </w:num>
  <w:num w:numId="39">
    <w:abstractNumId w:val="20"/>
  </w:num>
  <w:num w:numId="40">
    <w:abstractNumId w:val="172"/>
  </w:num>
  <w:num w:numId="41">
    <w:abstractNumId w:val="188"/>
  </w:num>
  <w:num w:numId="42">
    <w:abstractNumId w:val="148"/>
  </w:num>
  <w:num w:numId="43">
    <w:abstractNumId w:val="178"/>
  </w:num>
  <w:num w:numId="44">
    <w:abstractNumId w:val="98"/>
  </w:num>
  <w:num w:numId="45">
    <w:abstractNumId w:val="189"/>
  </w:num>
  <w:num w:numId="46">
    <w:abstractNumId w:val="117"/>
  </w:num>
  <w:num w:numId="47">
    <w:abstractNumId w:val="29"/>
  </w:num>
  <w:num w:numId="48">
    <w:abstractNumId w:val="80"/>
  </w:num>
  <w:num w:numId="49">
    <w:abstractNumId w:val="57"/>
  </w:num>
  <w:num w:numId="50">
    <w:abstractNumId w:val="70"/>
  </w:num>
  <w:num w:numId="51">
    <w:abstractNumId w:val="151"/>
  </w:num>
  <w:num w:numId="52">
    <w:abstractNumId w:val="80"/>
  </w:num>
  <w:num w:numId="53">
    <w:abstractNumId w:val="175"/>
  </w:num>
  <w:num w:numId="54">
    <w:abstractNumId w:val="40"/>
  </w:num>
  <w:num w:numId="55">
    <w:abstractNumId w:val="104"/>
  </w:num>
  <w:num w:numId="56">
    <w:abstractNumId w:val="42"/>
  </w:num>
  <w:num w:numId="57">
    <w:abstractNumId w:val="1"/>
  </w:num>
  <w:num w:numId="58">
    <w:abstractNumId w:val="174"/>
  </w:num>
  <w:num w:numId="59">
    <w:abstractNumId w:val="55"/>
  </w:num>
  <w:num w:numId="60">
    <w:abstractNumId w:val="13"/>
  </w:num>
  <w:num w:numId="61">
    <w:abstractNumId w:val="150"/>
  </w:num>
  <w:num w:numId="62">
    <w:abstractNumId w:val="107"/>
  </w:num>
  <w:num w:numId="63">
    <w:abstractNumId w:val="163"/>
  </w:num>
  <w:num w:numId="64">
    <w:abstractNumId w:val="36"/>
  </w:num>
  <w:num w:numId="65">
    <w:abstractNumId w:val="33"/>
  </w:num>
  <w:num w:numId="66">
    <w:abstractNumId w:val="17"/>
  </w:num>
  <w:num w:numId="67">
    <w:abstractNumId w:val="64"/>
  </w:num>
  <w:num w:numId="68">
    <w:abstractNumId w:val="24"/>
  </w:num>
  <w:num w:numId="69">
    <w:abstractNumId w:val="58"/>
  </w:num>
  <w:num w:numId="70">
    <w:abstractNumId w:val="0"/>
  </w:num>
  <w:num w:numId="71">
    <w:abstractNumId w:val="46"/>
  </w:num>
  <w:num w:numId="72">
    <w:abstractNumId w:val="126"/>
  </w:num>
  <w:num w:numId="73">
    <w:abstractNumId w:val="28"/>
  </w:num>
  <w:num w:numId="74">
    <w:abstractNumId w:val="149"/>
  </w:num>
  <w:num w:numId="75">
    <w:abstractNumId w:val="130"/>
  </w:num>
  <w:num w:numId="76">
    <w:abstractNumId w:val="173"/>
  </w:num>
  <w:num w:numId="77">
    <w:abstractNumId w:val="145"/>
  </w:num>
  <w:num w:numId="78">
    <w:abstractNumId w:val="160"/>
  </w:num>
  <w:num w:numId="79">
    <w:abstractNumId w:val="41"/>
  </w:num>
  <w:num w:numId="80">
    <w:abstractNumId w:val="2"/>
  </w:num>
  <w:num w:numId="81">
    <w:abstractNumId w:val="116"/>
  </w:num>
  <w:num w:numId="82">
    <w:abstractNumId w:val="72"/>
  </w:num>
  <w:num w:numId="83">
    <w:abstractNumId w:val="88"/>
  </w:num>
  <w:num w:numId="84">
    <w:abstractNumId w:val="87"/>
  </w:num>
  <w:num w:numId="85">
    <w:abstractNumId w:val="138"/>
  </w:num>
  <w:num w:numId="86">
    <w:abstractNumId w:val="123"/>
  </w:num>
  <w:num w:numId="87">
    <w:abstractNumId w:val="167"/>
  </w:num>
  <w:num w:numId="88">
    <w:abstractNumId w:val="22"/>
  </w:num>
  <w:num w:numId="89">
    <w:abstractNumId w:val="9"/>
  </w:num>
  <w:num w:numId="9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3"/>
  </w:num>
  <w:num w:numId="92">
    <w:abstractNumId w:val="185"/>
  </w:num>
  <w:num w:numId="93">
    <w:abstractNumId w:val="161"/>
  </w:num>
  <w:num w:numId="94">
    <w:abstractNumId w:val="114"/>
  </w:num>
  <w:num w:numId="95">
    <w:abstractNumId w:val="54"/>
  </w:num>
  <w:num w:numId="96">
    <w:abstractNumId w:val="51"/>
  </w:num>
  <w:num w:numId="97">
    <w:abstractNumId w:val="110"/>
  </w:num>
  <w:num w:numId="98">
    <w:abstractNumId w:val="78"/>
  </w:num>
  <w:num w:numId="99">
    <w:abstractNumId w:val="144"/>
  </w:num>
  <w:num w:numId="100">
    <w:abstractNumId w:val="179"/>
  </w:num>
  <w:num w:numId="101">
    <w:abstractNumId w:val="67"/>
  </w:num>
  <w:num w:numId="102">
    <w:abstractNumId w:val="76"/>
  </w:num>
  <w:num w:numId="103">
    <w:abstractNumId w:val="92"/>
  </w:num>
  <w:num w:numId="104">
    <w:abstractNumId w:val="74"/>
  </w:num>
  <w:num w:numId="105">
    <w:abstractNumId w:val="48"/>
  </w:num>
  <w:num w:numId="106">
    <w:abstractNumId w:val="108"/>
  </w:num>
  <w:num w:numId="107">
    <w:abstractNumId w:val="39"/>
  </w:num>
  <w:num w:numId="108">
    <w:abstractNumId w:val="18"/>
  </w:num>
  <w:num w:numId="109">
    <w:abstractNumId w:val="180"/>
  </w:num>
  <w:num w:numId="110">
    <w:abstractNumId w:val="133"/>
  </w:num>
  <w:num w:numId="111">
    <w:abstractNumId w:val="79"/>
  </w:num>
  <w:num w:numId="112">
    <w:abstractNumId w:val="127"/>
  </w:num>
  <w:num w:numId="113">
    <w:abstractNumId w:val="83"/>
  </w:num>
  <w:num w:numId="114">
    <w:abstractNumId w:val="63"/>
  </w:num>
  <w:num w:numId="115">
    <w:abstractNumId w:val="10"/>
  </w:num>
  <w:num w:numId="116">
    <w:abstractNumId w:val="77"/>
  </w:num>
  <w:num w:numId="117">
    <w:abstractNumId w:val="37"/>
  </w:num>
  <w:num w:numId="118">
    <w:abstractNumId w:val="109"/>
  </w:num>
  <w:num w:numId="119">
    <w:abstractNumId w:val="112"/>
  </w:num>
  <w:num w:numId="120">
    <w:abstractNumId w:val="166"/>
  </w:num>
  <w:num w:numId="121">
    <w:abstractNumId w:val="95"/>
  </w:num>
  <w:num w:numId="122">
    <w:abstractNumId w:val="69"/>
  </w:num>
  <w:num w:numId="123">
    <w:abstractNumId w:val="139"/>
  </w:num>
  <w:num w:numId="124">
    <w:abstractNumId w:val="97"/>
  </w:num>
  <w:num w:numId="125">
    <w:abstractNumId w:val="21"/>
  </w:num>
  <w:num w:numId="126">
    <w:abstractNumId w:val="165"/>
  </w:num>
  <w:num w:numId="127">
    <w:abstractNumId w:val="89"/>
  </w:num>
  <w:num w:numId="128">
    <w:abstractNumId w:val="122"/>
  </w:num>
  <w:num w:numId="129">
    <w:abstractNumId w:val="53"/>
  </w:num>
  <w:num w:numId="130">
    <w:abstractNumId w:val="73"/>
  </w:num>
  <w:num w:numId="131">
    <w:abstractNumId w:val="47"/>
  </w:num>
  <w:num w:numId="132">
    <w:abstractNumId w:val="181"/>
  </w:num>
  <w:num w:numId="133">
    <w:abstractNumId w:val="103"/>
  </w:num>
  <w:num w:numId="134">
    <w:abstractNumId w:val="156"/>
  </w:num>
  <w:num w:numId="135">
    <w:abstractNumId w:val="85"/>
  </w:num>
  <w:num w:numId="136">
    <w:abstractNumId w:val="135"/>
  </w:num>
  <w:num w:numId="137">
    <w:abstractNumId w:val="186"/>
  </w:num>
  <w:num w:numId="138">
    <w:abstractNumId w:val="105"/>
  </w:num>
  <w:num w:numId="139">
    <w:abstractNumId w:val="137"/>
  </w:num>
  <w:num w:numId="140">
    <w:abstractNumId w:val="102"/>
  </w:num>
  <w:num w:numId="141">
    <w:abstractNumId w:val="132"/>
  </w:num>
  <w:num w:numId="142">
    <w:abstractNumId w:val="25"/>
  </w:num>
  <w:num w:numId="143">
    <w:abstractNumId w:val="35"/>
  </w:num>
  <w:num w:numId="144">
    <w:abstractNumId w:val="113"/>
  </w:num>
  <w:num w:numId="145">
    <w:abstractNumId w:val="4"/>
  </w:num>
  <w:num w:numId="146">
    <w:abstractNumId w:val="164"/>
  </w:num>
  <w:num w:numId="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7"/>
  </w:num>
  <w:num w:numId="149">
    <w:abstractNumId w:val="176"/>
  </w:num>
  <w:num w:numId="150">
    <w:abstractNumId w:val="56"/>
  </w:num>
  <w:num w:numId="151">
    <w:abstractNumId w:val="49"/>
  </w:num>
  <w:num w:numId="152">
    <w:abstractNumId w:val="128"/>
  </w:num>
  <w:num w:numId="153">
    <w:abstractNumId w:val="125"/>
  </w:num>
  <w:num w:numId="154">
    <w:abstractNumId w:val="146"/>
  </w:num>
  <w:num w:numId="155">
    <w:abstractNumId w:val="61"/>
  </w:num>
  <w:num w:numId="156">
    <w:abstractNumId w:val="32"/>
  </w:num>
  <w:num w:numId="157">
    <w:abstractNumId w:val="192"/>
  </w:num>
  <w:num w:numId="158">
    <w:abstractNumId w:val="81"/>
  </w:num>
  <w:num w:numId="159">
    <w:abstractNumId w:val="38"/>
  </w:num>
  <w:num w:numId="160">
    <w:abstractNumId w:val="118"/>
  </w:num>
  <w:num w:numId="161">
    <w:abstractNumId w:val="136"/>
  </w:num>
  <w:num w:numId="162">
    <w:abstractNumId w:val="191"/>
  </w:num>
  <w:num w:numId="163">
    <w:abstractNumId w:val="155"/>
  </w:num>
  <w:num w:numId="164">
    <w:abstractNumId w:val="26"/>
  </w:num>
  <w:num w:numId="165">
    <w:abstractNumId w:val="153"/>
  </w:num>
  <w:num w:numId="166">
    <w:abstractNumId w:val="193"/>
  </w:num>
  <w:num w:numId="167">
    <w:abstractNumId w:val="187"/>
  </w:num>
  <w:num w:numId="168">
    <w:abstractNumId w:val="12"/>
  </w:num>
  <w:num w:numId="169">
    <w:abstractNumId w:val="62"/>
  </w:num>
  <w:num w:numId="170">
    <w:abstractNumId w:val="129"/>
  </w:num>
  <w:num w:numId="171">
    <w:abstractNumId w:val="27"/>
  </w:num>
  <w:num w:numId="172">
    <w:abstractNumId w:val="30"/>
  </w:num>
  <w:num w:numId="173">
    <w:abstractNumId w:val="86"/>
  </w:num>
  <w:num w:numId="174">
    <w:abstractNumId w:val="168"/>
  </w:num>
  <w:num w:numId="175">
    <w:abstractNumId w:val="15"/>
  </w:num>
  <w:num w:numId="176">
    <w:abstractNumId w:val="71"/>
  </w:num>
  <w:num w:numId="177">
    <w:abstractNumId w:val="162"/>
  </w:num>
  <w:num w:numId="178">
    <w:abstractNumId w:val="84"/>
  </w:num>
  <w:num w:numId="179">
    <w:abstractNumId w:val="14"/>
  </w:num>
  <w:num w:numId="180">
    <w:abstractNumId w:val="106"/>
  </w:num>
  <w:num w:numId="181">
    <w:abstractNumId w:val="152"/>
  </w:num>
  <w:num w:numId="182">
    <w:abstractNumId w:val="157"/>
  </w:num>
  <w:num w:numId="183">
    <w:abstractNumId w:val="60"/>
  </w:num>
  <w:num w:numId="184">
    <w:abstractNumId w:val="183"/>
  </w:num>
  <w:num w:numId="185">
    <w:abstractNumId w:val="31"/>
  </w:num>
  <w:num w:numId="186">
    <w:abstractNumId w:val="194"/>
  </w:num>
  <w:num w:numId="187">
    <w:abstractNumId w:val="182"/>
  </w:num>
  <w:num w:numId="188">
    <w:abstractNumId w:val="16"/>
  </w:num>
  <w:num w:numId="189">
    <w:abstractNumId w:val="65"/>
  </w:num>
  <w:num w:numId="190">
    <w:abstractNumId w:val="8"/>
  </w:num>
  <w:num w:numId="191">
    <w:abstractNumId w:val="100"/>
  </w:num>
  <w:num w:numId="192">
    <w:abstractNumId w:val="140"/>
  </w:num>
  <w:num w:numId="193">
    <w:abstractNumId w:val="50"/>
  </w:num>
  <w:num w:numId="194">
    <w:abstractNumId w:val="91"/>
  </w:num>
  <w:num w:numId="195">
    <w:abstractNumId w:val="7"/>
  </w:num>
  <w:num w:numId="196">
    <w:abstractNumId w:val="9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drawingGridHorizontalSpacing w:val="120"/>
  <w:displayHorizontalDrawingGridEvery w:val="2"/>
  <w:characterSpacingControl w:val="doNotCompress"/>
  <w:hdrShapeDefaults>
    <o:shapedefaults v:ext="edit" spidmax="2049">
      <o:colormru v:ext="edit" colors="#f60,#960,#96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6AD"/>
    <w:rsid w:val="00011257"/>
    <w:rsid w:val="000114CA"/>
    <w:rsid w:val="00012E4A"/>
    <w:rsid w:val="00015867"/>
    <w:rsid w:val="000171FD"/>
    <w:rsid w:val="00020900"/>
    <w:rsid w:val="000221E2"/>
    <w:rsid w:val="00023EAD"/>
    <w:rsid w:val="00024B77"/>
    <w:rsid w:val="00026A93"/>
    <w:rsid w:val="000273E2"/>
    <w:rsid w:val="00030D52"/>
    <w:rsid w:val="0003455E"/>
    <w:rsid w:val="00035432"/>
    <w:rsid w:val="00035FC9"/>
    <w:rsid w:val="0003673A"/>
    <w:rsid w:val="0004080A"/>
    <w:rsid w:val="0004179A"/>
    <w:rsid w:val="0004234F"/>
    <w:rsid w:val="0004447C"/>
    <w:rsid w:val="00053298"/>
    <w:rsid w:val="00053AB5"/>
    <w:rsid w:val="00055D9A"/>
    <w:rsid w:val="00056628"/>
    <w:rsid w:val="00057F09"/>
    <w:rsid w:val="000602F1"/>
    <w:rsid w:val="000618B2"/>
    <w:rsid w:val="00062516"/>
    <w:rsid w:val="000706B4"/>
    <w:rsid w:val="00072B13"/>
    <w:rsid w:val="000748DA"/>
    <w:rsid w:val="00076A71"/>
    <w:rsid w:val="00081C8E"/>
    <w:rsid w:val="000840F9"/>
    <w:rsid w:val="0008694D"/>
    <w:rsid w:val="00087F0E"/>
    <w:rsid w:val="00090DA6"/>
    <w:rsid w:val="00092431"/>
    <w:rsid w:val="00092BE6"/>
    <w:rsid w:val="00092E3D"/>
    <w:rsid w:val="00092E7D"/>
    <w:rsid w:val="000969FA"/>
    <w:rsid w:val="0009709F"/>
    <w:rsid w:val="000A0E9F"/>
    <w:rsid w:val="000A14FE"/>
    <w:rsid w:val="000A28F3"/>
    <w:rsid w:val="000A4C02"/>
    <w:rsid w:val="000A7987"/>
    <w:rsid w:val="000A79DF"/>
    <w:rsid w:val="000B0503"/>
    <w:rsid w:val="000B076D"/>
    <w:rsid w:val="000B0D94"/>
    <w:rsid w:val="000B0FEC"/>
    <w:rsid w:val="000B17C6"/>
    <w:rsid w:val="000B35C0"/>
    <w:rsid w:val="000B3CCB"/>
    <w:rsid w:val="000B4AB9"/>
    <w:rsid w:val="000B6315"/>
    <w:rsid w:val="000B75C8"/>
    <w:rsid w:val="000B7AD9"/>
    <w:rsid w:val="000C0727"/>
    <w:rsid w:val="000C079B"/>
    <w:rsid w:val="000C18AE"/>
    <w:rsid w:val="000C4149"/>
    <w:rsid w:val="000C4849"/>
    <w:rsid w:val="000C569E"/>
    <w:rsid w:val="000C789A"/>
    <w:rsid w:val="000D2C87"/>
    <w:rsid w:val="000D4A07"/>
    <w:rsid w:val="000D4A46"/>
    <w:rsid w:val="000D7AAB"/>
    <w:rsid w:val="000E04CC"/>
    <w:rsid w:val="000E62A8"/>
    <w:rsid w:val="000E716D"/>
    <w:rsid w:val="000E7539"/>
    <w:rsid w:val="000E7E17"/>
    <w:rsid w:val="000F15D4"/>
    <w:rsid w:val="000F27B9"/>
    <w:rsid w:val="000F34D9"/>
    <w:rsid w:val="000F4993"/>
    <w:rsid w:val="000F5ACF"/>
    <w:rsid w:val="000F6277"/>
    <w:rsid w:val="000F6837"/>
    <w:rsid w:val="00100628"/>
    <w:rsid w:val="00102214"/>
    <w:rsid w:val="001024FB"/>
    <w:rsid w:val="00102E50"/>
    <w:rsid w:val="0010551A"/>
    <w:rsid w:val="001056DA"/>
    <w:rsid w:val="00106BE7"/>
    <w:rsid w:val="00112BFE"/>
    <w:rsid w:val="001130BB"/>
    <w:rsid w:val="00113150"/>
    <w:rsid w:val="001155B8"/>
    <w:rsid w:val="0011708F"/>
    <w:rsid w:val="0012046C"/>
    <w:rsid w:val="00120846"/>
    <w:rsid w:val="0012153B"/>
    <w:rsid w:val="00123F80"/>
    <w:rsid w:val="00124C1B"/>
    <w:rsid w:val="0012633E"/>
    <w:rsid w:val="00136D2A"/>
    <w:rsid w:val="00137842"/>
    <w:rsid w:val="001424F8"/>
    <w:rsid w:val="00150024"/>
    <w:rsid w:val="001522CE"/>
    <w:rsid w:val="00155C30"/>
    <w:rsid w:val="001567F7"/>
    <w:rsid w:val="001578D8"/>
    <w:rsid w:val="0016043A"/>
    <w:rsid w:val="00163E1F"/>
    <w:rsid w:val="00166235"/>
    <w:rsid w:val="00167D2B"/>
    <w:rsid w:val="00181979"/>
    <w:rsid w:val="001820B2"/>
    <w:rsid w:val="001830AF"/>
    <w:rsid w:val="00190BB0"/>
    <w:rsid w:val="00191E4D"/>
    <w:rsid w:val="00194789"/>
    <w:rsid w:val="0019639B"/>
    <w:rsid w:val="00197764"/>
    <w:rsid w:val="001A2C6C"/>
    <w:rsid w:val="001A6838"/>
    <w:rsid w:val="001A70DB"/>
    <w:rsid w:val="001A75C7"/>
    <w:rsid w:val="001B2552"/>
    <w:rsid w:val="001B30E0"/>
    <w:rsid w:val="001B3158"/>
    <w:rsid w:val="001B437B"/>
    <w:rsid w:val="001B5BCD"/>
    <w:rsid w:val="001B6B51"/>
    <w:rsid w:val="001C238F"/>
    <w:rsid w:val="001C26DB"/>
    <w:rsid w:val="001C4B6D"/>
    <w:rsid w:val="001C5F7A"/>
    <w:rsid w:val="001C664A"/>
    <w:rsid w:val="001D0BCE"/>
    <w:rsid w:val="001D4A49"/>
    <w:rsid w:val="001D5237"/>
    <w:rsid w:val="001D7700"/>
    <w:rsid w:val="001E203D"/>
    <w:rsid w:val="001E42AC"/>
    <w:rsid w:val="001E62E8"/>
    <w:rsid w:val="001F0242"/>
    <w:rsid w:val="001F0FD8"/>
    <w:rsid w:val="001F51DF"/>
    <w:rsid w:val="001F570F"/>
    <w:rsid w:val="001F7A46"/>
    <w:rsid w:val="00200408"/>
    <w:rsid w:val="00200B14"/>
    <w:rsid w:val="00200FC7"/>
    <w:rsid w:val="00202332"/>
    <w:rsid w:val="0020435A"/>
    <w:rsid w:val="00204BE1"/>
    <w:rsid w:val="00205834"/>
    <w:rsid w:val="0020685A"/>
    <w:rsid w:val="00207292"/>
    <w:rsid w:val="002139F0"/>
    <w:rsid w:val="00214C29"/>
    <w:rsid w:val="0021591B"/>
    <w:rsid w:val="002175FB"/>
    <w:rsid w:val="00217818"/>
    <w:rsid w:val="00221158"/>
    <w:rsid w:val="00221C59"/>
    <w:rsid w:val="00221F5D"/>
    <w:rsid w:val="00224744"/>
    <w:rsid w:val="00225240"/>
    <w:rsid w:val="00226873"/>
    <w:rsid w:val="002268CE"/>
    <w:rsid w:val="00232439"/>
    <w:rsid w:val="00232E88"/>
    <w:rsid w:val="00235520"/>
    <w:rsid w:val="00240415"/>
    <w:rsid w:val="00241010"/>
    <w:rsid w:val="00243191"/>
    <w:rsid w:val="002436FF"/>
    <w:rsid w:val="00243F0E"/>
    <w:rsid w:val="002460A1"/>
    <w:rsid w:val="002464A2"/>
    <w:rsid w:val="00247290"/>
    <w:rsid w:val="0025085F"/>
    <w:rsid w:val="0025169C"/>
    <w:rsid w:val="0025292C"/>
    <w:rsid w:val="00252C30"/>
    <w:rsid w:val="00253629"/>
    <w:rsid w:val="00256125"/>
    <w:rsid w:val="0025740D"/>
    <w:rsid w:val="002625CB"/>
    <w:rsid w:val="00262FC1"/>
    <w:rsid w:val="00263BEB"/>
    <w:rsid w:val="002664EF"/>
    <w:rsid w:val="002709D8"/>
    <w:rsid w:val="002750A9"/>
    <w:rsid w:val="002750C6"/>
    <w:rsid w:val="0027534B"/>
    <w:rsid w:val="002760D6"/>
    <w:rsid w:val="00276C55"/>
    <w:rsid w:val="00277750"/>
    <w:rsid w:val="0028094D"/>
    <w:rsid w:val="00281106"/>
    <w:rsid w:val="00282F3A"/>
    <w:rsid w:val="00286661"/>
    <w:rsid w:val="00286AE1"/>
    <w:rsid w:val="002906E3"/>
    <w:rsid w:val="002909AC"/>
    <w:rsid w:val="00292850"/>
    <w:rsid w:val="002969FF"/>
    <w:rsid w:val="00296C9A"/>
    <w:rsid w:val="00297195"/>
    <w:rsid w:val="00297674"/>
    <w:rsid w:val="002A1EB7"/>
    <w:rsid w:val="002A24B9"/>
    <w:rsid w:val="002A5DF0"/>
    <w:rsid w:val="002A7396"/>
    <w:rsid w:val="002B00CA"/>
    <w:rsid w:val="002B01EC"/>
    <w:rsid w:val="002B185E"/>
    <w:rsid w:val="002B2C48"/>
    <w:rsid w:val="002B4B5A"/>
    <w:rsid w:val="002B7E20"/>
    <w:rsid w:val="002C1AEC"/>
    <w:rsid w:val="002C5B88"/>
    <w:rsid w:val="002C781C"/>
    <w:rsid w:val="002D5A26"/>
    <w:rsid w:val="002E0A78"/>
    <w:rsid w:val="002E1350"/>
    <w:rsid w:val="002E23A1"/>
    <w:rsid w:val="002E2FBA"/>
    <w:rsid w:val="002E7699"/>
    <w:rsid w:val="002F0548"/>
    <w:rsid w:val="002F2586"/>
    <w:rsid w:val="002F5320"/>
    <w:rsid w:val="002F72AB"/>
    <w:rsid w:val="002F7E3F"/>
    <w:rsid w:val="00300748"/>
    <w:rsid w:val="00301C2A"/>
    <w:rsid w:val="00305697"/>
    <w:rsid w:val="00306900"/>
    <w:rsid w:val="00306910"/>
    <w:rsid w:val="00311117"/>
    <w:rsid w:val="003131A2"/>
    <w:rsid w:val="0031439B"/>
    <w:rsid w:val="00314968"/>
    <w:rsid w:val="00320D1E"/>
    <w:rsid w:val="00321BB2"/>
    <w:rsid w:val="00322832"/>
    <w:rsid w:val="00322BCC"/>
    <w:rsid w:val="00322DC6"/>
    <w:rsid w:val="003265B9"/>
    <w:rsid w:val="00327D55"/>
    <w:rsid w:val="00330BD0"/>
    <w:rsid w:val="003315AA"/>
    <w:rsid w:val="0033206F"/>
    <w:rsid w:val="00333D00"/>
    <w:rsid w:val="003353E6"/>
    <w:rsid w:val="0033576F"/>
    <w:rsid w:val="00335F4B"/>
    <w:rsid w:val="00337DF7"/>
    <w:rsid w:val="00340A06"/>
    <w:rsid w:val="0034566F"/>
    <w:rsid w:val="00345D9F"/>
    <w:rsid w:val="00346877"/>
    <w:rsid w:val="00347E6D"/>
    <w:rsid w:val="00350E2C"/>
    <w:rsid w:val="00353A82"/>
    <w:rsid w:val="00360230"/>
    <w:rsid w:val="003612D9"/>
    <w:rsid w:val="003614AE"/>
    <w:rsid w:val="00362CF3"/>
    <w:rsid w:val="003638DE"/>
    <w:rsid w:val="0036416A"/>
    <w:rsid w:val="0036436C"/>
    <w:rsid w:val="00364E59"/>
    <w:rsid w:val="003654A8"/>
    <w:rsid w:val="00371514"/>
    <w:rsid w:val="0037164C"/>
    <w:rsid w:val="00374C3D"/>
    <w:rsid w:val="00377A0E"/>
    <w:rsid w:val="00381A4E"/>
    <w:rsid w:val="00382069"/>
    <w:rsid w:val="00382D17"/>
    <w:rsid w:val="0038565A"/>
    <w:rsid w:val="00391704"/>
    <w:rsid w:val="0039349C"/>
    <w:rsid w:val="00396457"/>
    <w:rsid w:val="003965A9"/>
    <w:rsid w:val="003971E3"/>
    <w:rsid w:val="003A0774"/>
    <w:rsid w:val="003A1890"/>
    <w:rsid w:val="003A28B5"/>
    <w:rsid w:val="003A6CBF"/>
    <w:rsid w:val="003B1084"/>
    <w:rsid w:val="003B1F9C"/>
    <w:rsid w:val="003B5919"/>
    <w:rsid w:val="003B6968"/>
    <w:rsid w:val="003C40C0"/>
    <w:rsid w:val="003C5825"/>
    <w:rsid w:val="003C6FB3"/>
    <w:rsid w:val="003C7A4A"/>
    <w:rsid w:val="003C7A65"/>
    <w:rsid w:val="003D2111"/>
    <w:rsid w:val="003D36D7"/>
    <w:rsid w:val="003D3F72"/>
    <w:rsid w:val="003D6C10"/>
    <w:rsid w:val="003E2C0C"/>
    <w:rsid w:val="003E2F79"/>
    <w:rsid w:val="003E4384"/>
    <w:rsid w:val="003E5AFB"/>
    <w:rsid w:val="003E7D26"/>
    <w:rsid w:val="003F2A7C"/>
    <w:rsid w:val="003F5D87"/>
    <w:rsid w:val="003F6848"/>
    <w:rsid w:val="003F6A4C"/>
    <w:rsid w:val="004007B6"/>
    <w:rsid w:val="00403888"/>
    <w:rsid w:val="00405FAD"/>
    <w:rsid w:val="00406F3B"/>
    <w:rsid w:val="004075B7"/>
    <w:rsid w:val="00410A9C"/>
    <w:rsid w:val="0041338E"/>
    <w:rsid w:val="00414D7A"/>
    <w:rsid w:val="00416B5B"/>
    <w:rsid w:val="00417C29"/>
    <w:rsid w:val="004202D6"/>
    <w:rsid w:val="00420733"/>
    <w:rsid w:val="00421191"/>
    <w:rsid w:val="00423FEB"/>
    <w:rsid w:val="0042505C"/>
    <w:rsid w:val="00425699"/>
    <w:rsid w:val="00425BD0"/>
    <w:rsid w:val="00427E9C"/>
    <w:rsid w:val="004330E6"/>
    <w:rsid w:val="00433659"/>
    <w:rsid w:val="00433EA3"/>
    <w:rsid w:val="004349C7"/>
    <w:rsid w:val="00434E09"/>
    <w:rsid w:val="00435C1E"/>
    <w:rsid w:val="0044272F"/>
    <w:rsid w:val="00442A1C"/>
    <w:rsid w:val="0044302B"/>
    <w:rsid w:val="004450F2"/>
    <w:rsid w:val="00445764"/>
    <w:rsid w:val="0044723F"/>
    <w:rsid w:val="00447CDC"/>
    <w:rsid w:val="00450A11"/>
    <w:rsid w:val="00451391"/>
    <w:rsid w:val="00453A9E"/>
    <w:rsid w:val="00454838"/>
    <w:rsid w:val="004559CB"/>
    <w:rsid w:val="00456578"/>
    <w:rsid w:val="004570AC"/>
    <w:rsid w:val="0046042C"/>
    <w:rsid w:val="004626CF"/>
    <w:rsid w:val="00462DA0"/>
    <w:rsid w:val="00470026"/>
    <w:rsid w:val="004707CA"/>
    <w:rsid w:val="00473707"/>
    <w:rsid w:val="004778D4"/>
    <w:rsid w:val="00477F99"/>
    <w:rsid w:val="004800AE"/>
    <w:rsid w:val="00482101"/>
    <w:rsid w:val="004826CD"/>
    <w:rsid w:val="00484B5E"/>
    <w:rsid w:val="0048574D"/>
    <w:rsid w:val="00487230"/>
    <w:rsid w:val="004906B0"/>
    <w:rsid w:val="004907C6"/>
    <w:rsid w:val="004916F8"/>
    <w:rsid w:val="00491BFA"/>
    <w:rsid w:val="004935F7"/>
    <w:rsid w:val="00495477"/>
    <w:rsid w:val="00496F79"/>
    <w:rsid w:val="004A061B"/>
    <w:rsid w:val="004A1E74"/>
    <w:rsid w:val="004A2D83"/>
    <w:rsid w:val="004A3DB4"/>
    <w:rsid w:val="004A4D13"/>
    <w:rsid w:val="004B24AC"/>
    <w:rsid w:val="004B41A9"/>
    <w:rsid w:val="004B4A24"/>
    <w:rsid w:val="004B5464"/>
    <w:rsid w:val="004B586B"/>
    <w:rsid w:val="004B5988"/>
    <w:rsid w:val="004C18F9"/>
    <w:rsid w:val="004C473D"/>
    <w:rsid w:val="004C6F02"/>
    <w:rsid w:val="004D1738"/>
    <w:rsid w:val="004D2483"/>
    <w:rsid w:val="004D379C"/>
    <w:rsid w:val="004D37F1"/>
    <w:rsid w:val="004D44EB"/>
    <w:rsid w:val="004E1030"/>
    <w:rsid w:val="004E51FD"/>
    <w:rsid w:val="004E55CC"/>
    <w:rsid w:val="004E57A6"/>
    <w:rsid w:val="004F06F3"/>
    <w:rsid w:val="004F329E"/>
    <w:rsid w:val="004F6B4F"/>
    <w:rsid w:val="004F7823"/>
    <w:rsid w:val="0050499C"/>
    <w:rsid w:val="005066A9"/>
    <w:rsid w:val="00510289"/>
    <w:rsid w:val="00510E72"/>
    <w:rsid w:val="005113FB"/>
    <w:rsid w:val="005116E2"/>
    <w:rsid w:val="00512471"/>
    <w:rsid w:val="00512D5B"/>
    <w:rsid w:val="0051306D"/>
    <w:rsid w:val="005134F2"/>
    <w:rsid w:val="005153EF"/>
    <w:rsid w:val="00515468"/>
    <w:rsid w:val="0052158F"/>
    <w:rsid w:val="00521802"/>
    <w:rsid w:val="0052239F"/>
    <w:rsid w:val="005238D5"/>
    <w:rsid w:val="00524AD3"/>
    <w:rsid w:val="00531ED0"/>
    <w:rsid w:val="00532767"/>
    <w:rsid w:val="0053399B"/>
    <w:rsid w:val="00540082"/>
    <w:rsid w:val="00540281"/>
    <w:rsid w:val="0054053F"/>
    <w:rsid w:val="00541E42"/>
    <w:rsid w:val="0054283D"/>
    <w:rsid w:val="00542C0A"/>
    <w:rsid w:val="005445D6"/>
    <w:rsid w:val="00544D1A"/>
    <w:rsid w:val="005452E6"/>
    <w:rsid w:val="00550D1C"/>
    <w:rsid w:val="005524FA"/>
    <w:rsid w:val="0055666E"/>
    <w:rsid w:val="00557F8F"/>
    <w:rsid w:val="00560086"/>
    <w:rsid w:val="00563B35"/>
    <w:rsid w:val="0056465C"/>
    <w:rsid w:val="00564878"/>
    <w:rsid w:val="005658EE"/>
    <w:rsid w:val="005675FE"/>
    <w:rsid w:val="00570098"/>
    <w:rsid w:val="00570538"/>
    <w:rsid w:val="00570F86"/>
    <w:rsid w:val="00571284"/>
    <w:rsid w:val="005716D1"/>
    <w:rsid w:val="0057283E"/>
    <w:rsid w:val="00573F82"/>
    <w:rsid w:val="00575C7C"/>
    <w:rsid w:val="00577CA4"/>
    <w:rsid w:val="0058075D"/>
    <w:rsid w:val="005828F5"/>
    <w:rsid w:val="005833E8"/>
    <w:rsid w:val="00585603"/>
    <w:rsid w:val="00586441"/>
    <w:rsid w:val="005867D7"/>
    <w:rsid w:val="00592663"/>
    <w:rsid w:val="00592ECB"/>
    <w:rsid w:val="00594F12"/>
    <w:rsid w:val="005962A6"/>
    <w:rsid w:val="00597333"/>
    <w:rsid w:val="005A39C3"/>
    <w:rsid w:val="005A3D12"/>
    <w:rsid w:val="005A48A0"/>
    <w:rsid w:val="005A5DE8"/>
    <w:rsid w:val="005A7B5C"/>
    <w:rsid w:val="005A7FFB"/>
    <w:rsid w:val="005B0033"/>
    <w:rsid w:val="005B08BC"/>
    <w:rsid w:val="005B19BA"/>
    <w:rsid w:val="005B22C4"/>
    <w:rsid w:val="005B2B75"/>
    <w:rsid w:val="005B3572"/>
    <w:rsid w:val="005B608C"/>
    <w:rsid w:val="005B6A4F"/>
    <w:rsid w:val="005B720D"/>
    <w:rsid w:val="005B7E25"/>
    <w:rsid w:val="005C2081"/>
    <w:rsid w:val="005C2F19"/>
    <w:rsid w:val="005C54E8"/>
    <w:rsid w:val="005C5D45"/>
    <w:rsid w:val="005D0163"/>
    <w:rsid w:val="005D0400"/>
    <w:rsid w:val="005D1BB0"/>
    <w:rsid w:val="005D28FF"/>
    <w:rsid w:val="005D3610"/>
    <w:rsid w:val="005D3EC9"/>
    <w:rsid w:val="005D5B2E"/>
    <w:rsid w:val="005D691C"/>
    <w:rsid w:val="005E0507"/>
    <w:rsid w:val="005E24C0"/>
    <w:rsid w:val="005F0D82"/>
    <w:rsid w:val="005F24FB"/>
    <w:rsid w:val="005F4037"/>
    <w:rsid w:val="00601B31"/>
    <w:rsid w:val="00602245"/>
    <w:rsid w:val="00602867"/>
    <w:rsid w:val="00605059"/>
    <w:rsid w:val="00605AF7"/>
    <w:rsid w:val="00605C9D"/>
    <w:rsid w:val="00606257"/>
    <w:rsid w:val="00606526"/>
    <w:rsid w:val="00612CE7"/>
    <w:rsid w:val="006135BF"/>
    <w:rsid w:val="0061486E"/>
    <w:rsid w:val="006173AD"/>
    <w:rsid w:val="006251E2"/>
    <w:rsid w:val="00626CE8"/>
    <w:rsid w:val="00627F96"/>
    <w:rsid w:val="00634250"/>
    <w:rsid w:val="006342AD"/>
    <w:rsid w:val="00637E32"/>
    <w:rsid w:val="006429A5"/>
    <w:rsid w:val="0064695C"/>
    <w:rsid w:val="00647A51"/>
    <w:rsid w:val="006504DA"/>
    <w:rsid w:val="0065298F"/>
    <w:rsid w:val="00656F06"/>
    <w:rsid w:val="006573D0"/>
    <w:rsid w:val="006573DA"/>
    <w:rsid w:val="0065798D"/>
    <w:rsid w:val="0066122B"/>
    <w:rsid w:val="00664485"/>
    <w:rsid w:val="00664A49"/>
    <w:rsid w:val="00666486"/>
    <w:rsid w:val="00666BAB"/>
    <w:rsid w:val="00666C27"/>
    <w:rsid w:val="00667225"/>
    <w:rsid w:val="0066730C"/>
    <w:rsid w:val="00670478"/>
    <w:rsid w:val="00670519"/>
    <w:rsid w:val="00671014"/>
    <w:rsid w:val="00671945"/>
    <w:rsid w:val="00672CDD"/>
    <w:rsid w:val="006730D4"/>
    <w:rsid w:val="0067323E"/>
    <w:rsid w:val="00674476"/>
    <w:rsid w:val="00674FBC"/>
    <w:rsid w:val="00675E7E"/>
    <w:rsid w:val="00680B56"/>
    <w:rsid w:val="00681484"/>
    <w:rsid w:val="006821B7"/>
    <w:rsid w:val="00682524"/>
    <w:rsid w:val="00682525"/>
    <w:rsid w:val="006856A8"/>
    <w:rsid w:val="00687F29"/>
    <w:rsid w:val="00690EEF"/>
    <w:rsid w:val="006929F2"/>
    <w:rsid w:val="00693862"/>
    <w:rsid w:val="006A0120"/>
    <w:rsid w:val="006A01E5"/>
    <w:rsid w:val="006A4DFB"/>
    <w:rsid w:val="006A52B2"/>
    <w:rsid w:val="006A7408"/>
    <w:rsid w:val="006B01D4"/>
    <w:rsid w:val="006B291A"/>
    <w:rsid w:val="006B435B"/>
    <w:rsid w:val="006B621F"/>
    <w:rsid w:val="006B66C9"/>
    <w:rsid w:val="006B6981"/>
    <w:rsid w:val="006B7FAF"/>
    <w:rsid w:val="006C014F"/>
    <w:rsid w:val="006C402D"/>
    <w:rsid w:val="006C512C"/>
    <w:rsid w:val="006C6341"/>
    <w:rsid w:val="006C66C0"/>
    <w:rsid w:val="006D544D"/>
    <w:rsid w:val="006D5A12"/>
    <w:rsid w:val="006D5C4E"/>
    <w:rsid w:val="006E0295"/>
    <w:rsid w:val="006E0577"/>
    <w:rsid w:val="006E4B89"/>
    <w:rsid w:val="006E7608"/>
    <w:rsid w:val="006F016B"/>
    <w:rsid w:val="006F099F"/>
    <w:rsid w:val="006F2358"/>
    <w:rsid w:val="006F5B01"/>
    <w:rsid w:val="006F67D3"/>
    <w:rsid w:val="00701B09"/>
    <w:rsid w:val="007059F3"/>
    <w:rsid w:val="007069B5"/>
    <w:rsid w:val="00706D31"/>
    <w:rsid w:val="00707865"/>
    <w:rsid w:val="007102E4"/>
    <w:rsid w:val="007145C8"/>
    <w:rsid w:val="00715232"/>
    <w:rsid w:val="007159D5"/>
    <w:rsid w:val="0072165C"/>
    <w:rsid w:val="00722D2C"/>
    <w:rsid w:val="007236C3"/>
    <w:rsid w:val="00724096"/>
    <w:rsid w:val="007243FC"/>
    <w:rsid w:val="007249AA"/>
    <w:rsid w:val="00724D81"/>
    <w:rsid w:val="00725172"/>
    <w:rsid w:val="007263F3"/>
    <w:rsid w:val="00730EE0"/>
    <w:rsid w:val="00735A73"/>
    <w:rsid w:val="0073724A"/>
    <w:rsid w:val="00737323"/>
    <w:rsid w:val="00737E00"/>
    <w:rsid w:val="007407B0"/>
    <w:rsid w:val="007425F7"/>
    <w:rsid w:val="007449F8"/>
    <w:rsid w:val="00745452"/>
    <w:rsid w:val="00747007"/>
    <w:rsid w:val="00747530"/>
    <w:rsid w:val="00747A03"/>
    <w:rsid w:val="00750DC7"/>
    <w:rsid w:val="007511E1"/>
    <w:rsid w:val="00751C54"/>
    <w:rsid w:val="0075221B"/>
    <w:rsid w:val="0075266C"/>
    <w:rsid w:val="00753AFF"/>
    <w:rsid w:val="00754676"/>
    <w:rsid w:val="00755EE9"/>
    <w:rsid w:val="00757099"/>
    <w:rsid w:val="00757112"/>
    <w:rsid w:val="007578A6"/>
    <w:rsid w:val="007609DC"/>
    <w:rsid w:val="00760FBA"/>
    <w:rsid w:val="00762681"/>
    <w:rsid w:val="00762F45"/>
    <w:rsid w:val="00763738"/>
    <w:rsid w:val="00765837"/>
    <w:rsid w:val="0077103C"/>
    <w:rsid w:val="00771224"/>
    <w:rsid w:val="00771295"/>
    <w:rsid w:val="00771CB6"/>
    <w:rsid w:val="00772521"/>
    <w:rsid w:val="00783C00"/>
    <w:rsid w:val="007855DE"/>
    <w:rsid w:val="00785FED"/>
    <w:rsid w:val="007866CB"/>
    <w:rsid w:val="0078672E"/>
    <w:rsid w:val="00795CB3"/>
    <w:rsid w:val="00796D26"/>
    <w:rsid w:val="007A074B"/>
    <w:rsid w:val="007A5663"/>
    <w:rsid w:val="007A64DC"/>
    <w:rsid w:val="007A7507"/>
    <w:rsid w:val="007A7ACE"/>
    <w:rsid w:val="007B19A9"/>
    <w:rsid w:val="007B1DFD"/>
    <w:rsid w:val="007B1F85"/>
    <w:rsid w:val="007B76A4"/>
    <w:rsid w:val="007B7E7E"/>
    <w:rsid w:val="007C01DD"/>
    <w:rsid w:val="007C1364"/>
    <w:rsid w:val="007C38DD"/>
    <w:rsid w:val="007C4BD1"/>
    <w:rsid w:val="007C56E0"/>
    <w:rsid w:val="007D0C10"/>
    <w:rsid w:val="007D6442"/>
    <w:rsid w:val="007D6E99"/>
    <w:rsid w:val="007D74FA"/>
    <w:rsid w:val="007E04E0"/>
    <w:rsid w:val="007E136C"/>
    <w:rsid w:val="007E4F8B"/>
    <w:rsid w:val="007E6DF7"/>
    <w:rsid w:val="007F0253"/>
    <w:rsid w:val="007F2DA2"/>
    <w:rsid w:val="007F406A"/>
    <w:rsid w:val="007F4B4F"/>
    <w:rsid w:val="007F71CB"/>
    <w:rsid w:val="007F72BB"/>
    <w:rsid w:val="00800133"/>
    <w:rsid w:val="00800152"/>
    <w:rsid w:val="00800B13"/>
    <w:rsid w:val="00800E18"/>
    <w:rsid w:val="00803CD8"/>
    <w:rsid w:val="00811180"/>
    <w:rsid w:val="00812988"/>
    <w:rsid w:val="008135A8"/>
    <w:rsid w:val="00814BE6"/>
    <w:rsid w:val="00815741"/>
    <w:rsid w:val="0081619E"/>
    <w:rsid w:val="00816E43"/>
    <w:rsid w:val="0081724E"/>
    <w:rsid w:val="008204C8"/>
    <w:rsid w:val="0082186E"/>
    <w:rsid w:val="008226D2"/>
    <w:rsid w:val="008237E4"/>
    <w:rsid w:val="008244F1"/>
    <w:rsid w:val="00826D97"/>
    <w:rsid w:val="0082723D"/>
    <w:rsid w:val="00827F84"/>
    <w:rsid w:val="00835856"/>
    <w:rsid w:val="008362D2"/>
    <w:rsid w:val="008369E0"/>
    <w:rsid w:val="00837C63"/>
    <w:rsid w:val="008414EE"/>
    <w:rsid w:val="00843EC1"/>
    <w:rsid w:val="0084764E"/>
    <w:rsid w:val="0085065B"/>
    <w:rsid w:val="0085651F"/>
    <w:rsid w:val="00856821"/>
    <w:rsid w:val="00856A17"/>
    <w:rsid w:val="00857920"/>
    <w:rsid w:val="008621B4"/>
    <w:rsid w:val="008625E5"/>
    <w:rsid w:val="00862612"/>
    <w:rsid w:val="008644B6"/>
    <w:rsid w:val="008658B2"/>
    <w:rsid w:val="008678B8"/>
    <w:rsid w:val="00872524"/>
    <w:rsid w:val="00874F62"/>
    <w:rsid w:val="00875EA5"/>
    <w:rsid w:val="00876588"/>
    <w:rsid w:val="008816A5"/>
    <w:rsid w:val="00882EAD"/>
    <w:rsid w:val="008862B7"/>
    <w:rsid w:val="008869FE"/>
    <w:rsid w:val="00887F75"/>
    <w:rsid w:val="008904FC"/>
    <w:rsid w:val="00890D9D"/>
    <w:rsid w:val="008916A7"/>
    <w:rsid w:val="00892004"/>
    <w:rsid w:val="00893A83"/>
    <w:rsid w:val="008968CC"/>
    <w:rsid w:val="008A06A9"/>
    <w:rsid w:val="008A10A8"/>
    <w:rsid w:val="008A3E19"/>
    <w:rsid w:val="008A5FBF"/>
    <w:rsid w:val="008A7088"/>
    <w:rsid w:val="008A78A4"/>
    <w:rsid w:val="008A7F7D"/>
    <w:rsid w:val="008B033F"/>
    <w:rsid w:val="008B1665"/>
    <w:rsid w:val="008B2CAD"/>
    <w:rsid w:val="008B33C7"/>
    <w:rsid w:val="008B4613"/>
    <w:rsid w:val="008C06B1"/>
    <w:rsid w:val="008C377F"/>
    <w:rsid w:val="008C3A2F"/>
    <w:rsid w:val="008C3E48"/>
    <w:rsid w:val="008C6A6C"/>
    <w:rsid w:val="008C6F25"/>
    <w:rsid w:val="008D1130"/>
    <w:rsid w:val="008D19D0"/>
    <w:rsid w:val="008D1C60"/>
    <w:rsid w:val="008D2C56"/>
    <w:rsid w:val="008D4498"/>
    <w:rsid w:val="008E433F"/>
    <w:rsid w:val="008E4638"/>
    <w:rsid w:val="008F196E"/>
    <w:rsid w:val="008F22AA"/>
    <w:rsid w:val="008F35D0"/>
    <w:rsid w:val="008F5625"/>
    <w:rsid w:val="008F5DC3"/>
    <w:rsid w:val="00900566"/>
    <w:rsid w:val="00900B6C"/>
    <w:rsid w:val="00901CCA"/>
    <w:rsid w:val="00902799"/>
    <w:rsid w:val="00903374"/>
    <w:rsid w:val="00911935"/>
    <w:rsid w:val="009128F5"/>
    <w:rsid w:val="00912AA0"/>
    <w:rsid w:val="00913C67"/>
    <w:rsid w:val="00914808"/>
    <w:rsid w:val="009156DB"/>
    <w:rsid w:val="00917870"/>
    <w:rsid w:val="009217DB"/>
    <w:rsid w:val="00921DAB"/>
    <w:rsid w:val="00922373"/>
    <w:rsid w:val="009264CE"/>
    <w:rsid w:val="009270AB"/>
    <w:rsid w:val="009277B1"/>
    <w:rsid w:val="00932413"/>
    <w:rsid w:val="00932DB8"/>
    <w:rsid w:val="009342DF"/>
    <w:rsid w:val="0094203B"/>
    <w:rsid w:val="00945EA6"/>
    <w:rsid w:val="00946E59"/>
    <w:rsid w:val="0094722B"/>
    <w:rsid w:val="0095033B"/>
    <w:rsid w:val="00951299"/>
    <w:rsid w:val="00952791"/>
    <w:rsid w:val="00960F8D"/>
    <w:rsid w:val="00963E2A"/>
    <w:rsid w:val="00965363"/>
    <w:rsid w:val="009653BF"/>
    <w:rsid w:val="00965EEF"/>
    <w:rsid w:val="00970164"/>
    <w:rsid w:val="0097196B"/>
    <w:rsid w:val="009741AA"/>
    <w:rsid w:val="00974B31"/>
    <w:rsid w:val="00975381"/>
    <w:rsid w:val="00976BED"/>
    <w:rsid w:val="0098013D"/>
    <w:rsid w:val="0098022F"/>
    <w:rsid w:val="00981658"/>
    <w:rsid w:val="009817C6"/>
    <w:rsid w:val="00981A1B"/>
    <w:rsid w:val="00982F93"/>
    <w:rsid w:val="00983190"/>
    <w:rsid w:val="009831AB"/>
    <w:rsid w:val="00984506"/>
    <w:rsid w:val="009847F8"/>
    <w:rsid w:val="00984EC8"/>
    <w:rsid w:val="009859CD"/>
    <w:rsid w:val="009903FC"/>
    <w:rsid w:val="009906CC"/>
    <w:rsid w:val="00993E18"/>
    <w:rsid w:val="0099440E"/>
    <w:rsid w:val="00996F1A"/>
    <w:rsid w:val="009975C4"/>
    <w:rsid w:val="00997EBF"/>
    <w:rsid w:val="009A0C69"/>
    <w:rsid w:val="009A0E61"/>
    <w:rsid w:val="009A1C23"/>
    <w:rsid w:val="009A2847"/>
    <w:rsid w:val="009A2A44"/>
    <w:rsid w:val="009A3247"/>
    <w:rsid w:val="009A340D"/>
    <w:rsid w:val="009B0A53"/>
    <w:rsid w:val="009B1872"/>
    <w:rsid w:val="009B1A38"/>
    <w:rsid w:val="009B314D"/>
    <w:rsid w:val="009B7803"/>
    <w:rsid w:val="009C2620"/>
    <w:rsid w:val="009C3F91"/>
    <w:rsid w:val="009C40F4"/>
    <w:rsid w:val="009C4313"/>
    <w:rsid w:val="009C47DF"/>
    <w:rsid w:val="009C4D50"/>
    <w:rsid w:val="009C54D6"/>
    <w:rsid w:val="009C775E"/>
    <w:rsid w:val="009C77C6"/>
    <w:rsid w:val="009D36E2"/>
    <w:rsid w:val="009D6B55"/>
    <w:rsid w:val="009F0DFE"/>
    <w:rsid w:val="009F0E59"/>
    <w:rsid w:val="009F0F1A"/>
    <w:rsid w:val="009F11A5"/>
    <w:rsid w:val="009F2258"/>
    <w:rsid w:val="009F285D"/>
    <w:rsid w:val="00A00D15"/>
    <w:rsid w:val="00A026C3"/>
    <w:rsid w:val="00A03C87"/>
    <w:rsid w:val="00A044C7"/>
    <w:rsid w:val="00A05F9D"/>
    <w:rsid w:val="00A073E5"/>
    <w:rsid w:val="00A10056"/>
    <w:rsid w:val="00A12DA2"/>
    <w:rsid w:val="00A2421D"/>
    <w:rsid w:val="00A2664F"/>
    <w:rsid w:val="00A32305"/>
    <w:rsid w:val="00A333A6"/>
    <w:rsid w:val="00A348D9"/>
    <w:rsid w:val="00A35883"/>
    <w:rsid w:val="00A37283"/>
    <w:rsid w:val="00A3784C"/>
    <w:rsid w:val="00A4052A"/>
    <w:rsid w:val="00A419B8"/>
    <w:rsid w:val="00A41B47"/>
    <w:rsid w:val="00A42047"/>
    <w:rsid w:val="00A4218C"/>
    <w:rsid w:val="00A42C0D"/>
    <w:rsid w:val="00A42EEE"/>
    <w:rsid w:val="00A44C13"/>
    <w:rsid w:val="00A45BD8"/>
    <w:rsid w:val="00A46860"/>
    <w:rsid w:val="00A47C3B"/>
    <w:rsid w:val="00A530FD"/>
    <w:rsid w:val="00A54810"/>
    <w:rsid w:val="00A55639"/>
    <w:rsid w:val="00A57E21"/>
    <w:rsid w:val="00A61C09"/>
    <w:rsid w:val="00A62625"/>
    <w:rsid w:val="00A63466"/>
    <w:rsid w:val="00A64F0D"/>
    <w:rsid w:val="00A65B2E"/>
    <w:rsid w:val="00A66153"/>
    <w:rsid w:val="00A67B35"/>
    <w:rsid w:val="00A67E39"/>
    <w:rsid w:val="00A712C9"/>
    <w:rsid w:val="00A8428B"/>
    <w:rsid w:val="00A84745"/>
    <w:rsid w:val="00A8506F"/>
    <w:rsid w:val="00A86C9A"/>
    <w:rsid w:val="00A871D2"/>
    <w:rsid w:val="00A91227"/>
    <w:rsid w:val="00A9187B"/>
    <w:rsid w:val="00A922ED"/>
    <w:rsid w:val="00A92C4E"/>
    <w:rsid w:val="00A931AB"/>
    <w:rsid w:val="00A94431"/>
    <w:rsid w:val="00A94BEA"/>
    <w:rsid w:val="00A951DD"/>
    <w:rsid w:val="00A95B45"/>
    <w:rsid w:val="00A97151"/>
    <w:rsid w:val="00AA1576"/>
    <w:rsid w:val="00AA3356"/>
    <w:rsid w:val="00AA35EE"/>
    <w:rsid w:val="00AA40BC"/>
    <w:rsid w:val="00AA42B8"/>
    <w:rsid w:val="00AA65DD"/>
    <w:rsid w:val="00AA6B5E"/>
    <w:rsid w:val="00AB0C18"/>
    <w:rsid w:val="00AB1047"/>
    <w:rsid w:val="00AB20EE"/>
    <w:rsid w:val="00AB27CE"/>
    <w:rsid w:val="00AB78C5"/>
    <w:rsid w:val="00AC0C28"/>
    <w:rsid w:val="00AC0E54"/>
    <w:rsid w:val="00AC1D92"/>
    <w:rsid w:val="00AC38B3"/>
    <w:rsid w:val="00AC6DDB"/>
    <w:rsid w:val="00AD07B1"/>
    <w:rsid w:val="00AD12C3"/>
    <w:rsid w:val="00AD1388"/>
    <w:rsid w:val="00AD2520"/>
    <w:rsid w:val="00AD31DC"/>
    <w:rsid w:val="00AD561C"/>
    <w:rsid w:val="00AE09CA"/>
    <w:rsid w:val="00AE1104"/>
    <w:rsid w:val="00AE1146"/>
    <w:rsid w:val="00AE188C"/>
    <w:rsid w:val="00AE40AB"/>
    <w:rsid w:val="00AE553A"/>
    <w:rsid w:val="00AE5FAF"/>
    <w:rsid w:val="00AE6893"/>
    <w:rsid w:val="00AE7359"/>
    <w:rsid w:val="00AE7684"/>
    <w:rsid w:val="00AF1F5E"/>
    <w:rsid w:val="00AF289B"/>
    <w:rsid w:val="00AF5798"/>
    <w:rsid w:val="00AF59FD"/>
    <w:rsid w:val="00AF67BF"/>
    <w:rsid w:val="00AF7925"/>
    <w:rsid w:val="00B0021D"/>
    <w:rsid w:val="00B00C8C"/>
    <w:rsid w:val="00B0232B"/>
    <w:rsid w:val="00B03570"/>
    <w:rsid w:val="00B05CDF"/>
    <w:rsid w:val="00B07827"/>
    <w:rsid w:val="00B12D84"/>
    <w:rsid w:val="00B12D9E"/>
    <w:rsid w:val="00B130F6"/>
    <w:rsid w:val="00B152EA"/>
    <w:rsid w:val="00B16A54"/>
    <w:rsid w:val="00B175D1"/>
    <w:rsid w:val="00B20ADF"/>
    <w:rsid w:val="00B22244"/>
    <w:rsid w:val="00B236D3"/>
    <w:rsid w:val="00B240D7"/>
    <w:rsid w:val="00B27E61"/>
    <w:rsid w:val="00B31B92"/>
    <w:rsid w:val="00B33143"/>
    <w:rsid w:val="00B34512"/>
    <w:rsid w:val="00B34B28"/>
    <w:rsid w:val="00B36A5C"/>
    <w:rsid w:val="00B37D04"/>
    <w:rsid w:val="00B424AE"/>
    <w:rsid w:val="00B42609"/>
    <w:rsid w:val="00B43A7E"/>
    <w:rsid w:val="00B444D7"/>
    <w:rsid w:val="00B47DC6"/>
    <w:rsid w:val="00B505F1"/>
    <w:rsid w:val="00B51D81"/>
    <w:rsid w:val="00B522B2"/>
    <w:rsid w:val="00B5377C"/>
    <w:rsid w:val="00B54B8A"/>
    <w:rsid w:val="00B56008"/>
    <w:rsid w:val="00B567CF"/>
    <w:rsid w:val="00B6234F"/>
    <w:rsid w:val="00B63A60"/>
    <w:rsid w:val="00B64471"/>
    <w:rsid w:val="00B65867"/>
    <w:rsid w:val="00B758C0"/>
    <w:rsid w:val="00B75C7B"/>
    <w:rsid w:val="00B80014"/>
    <w:rsid w:val="00B81D8F"/>
    <w:rsid w:val="00B82E08"/>
    <w:rsid w:val="00B86D99"/>
    <w:rsid w:val="00B910E5"/>
    <w:rsid w:val="00B91155"/>
    <w:rsid w:val="00B921C7"/>
    <w:rsid w:val="00B950AC"/>
    <w:rsid w:val="00BA046C"/>
    <w:rsid w:val="00BA3AE6"/>
    <w:rsid w:val="00BA6412"/>
    <w:rsid w:val="00BA6818"/>
    <w:rsid w:val="00BB3B57"/>
    <w:rsid w:val="00BB536A"/>
    <w:rsid w:val="00BB562B"/>
    <w:rsid w:val="00BB56A4"/>
    <w:rsid w:val="00BB7619"/>
    <w:rsid w:val="00BC016E"/>
    <w:rsid w:val="00BC067F"/>
    <w:rsid w:val="00BC08EA"/>
    <w:rsid w:val="00BC265D"/>
    <w:rsid w:val="00BC52F3"/>
    <w:rsid w:val="00BD06C4"/>
    <w:rsid w:val="00BD1391"/>
    <w:rsid w:val="00BD4133"/>
    <w:rsid w:val="00BD42B1"/>
    <w:rsid w:val="00BD4CE5"/>
    <w:rsid w:val="00BD7335"/>
    <w:rsid w:val="00BD7A48"/>
    <w:rsid w:val="00BE1113"/>
    <w:rsid w:val="00BE1556"/>
    <w:rsid w:val="00BE19D1"/>
    <w:rsid w:val="00BE2D05"/>
    <w:rsid w:val="00BE35CE"/>
    <w:rsid w:val="00BE3A94"/>
    <w:rsid w:val="00BE581A"/>
    <w:rsid w:val="00BE6D76"/>
    <w:rsid w:val="00BF034B"/>
    <w:rsid w:val="00BF0B77"/>
    <w:rsid w:val="00BF2942"/>
    <w:rsid w:val="00BF3271"/>
    <w:rsid w:val="00BF5EA0"/>
    <w:rsid w:val="00C01B04"/>
    <w:rsid w:val="00C0380F"/>
    <w:rsid w:val="00C05E16"/>
    <w:rsid w:val="00C06498"/>
    <w:rsid w:val="00C06595"/>
    <w:rsid w:val="00C06D83"/>
    <w:rsid w:val="00C07ED2"/>
    <w:rsid w:val="00C10EB2"/>
    <w:rsid w:val="00C11DFC"/>
    <w:rsid w:val="00C13DAE"/>
    <w:rsid w:val="00C14EB5"/>
    <w:rsid w:val="00C1651B"/>
    <w:rsid w:val="00C175DC"/>
    <w:rsid w:val="00C24854"/>
    <w:rsid w:val="00C273DA"/>
    <w:rsid w:val="00C304F7"/>
    <w:rsid w:val="00C30658"/>
    <w:rsid w:val="00C31264"/>
    <w:rsid w:val="00C328BB"/>
    <w:rsid w:val="00C32B0B"/>
    <w:rsid w:val="00C33979"/>
    <w:rsid w:val="00C339BE"/>
    <w:rsid w:val="00C34CD6"/>
    <w:rsid w:val="00C3536E"/>
    <w:rsid w:val="00C35BCB"/>
    <w:rsid w:val="00C361E5"/>
    <w:rsid w:val="00C40347"/>
    <w:rsid w:val="00C40F4F"/>
    <w:rsid w:val="00C466D3"/>
    <w:rsid w:val="00C46B5D"/>
    <w:rsid w:val="00C505CD"/>
    <w:rsid w:val="00C532FA"/>
    <w:rsid w:val="00C53A81"/>
    <w:rsid w:val="00C5660E"/>
    <w:rsid w:val="00C567DA"/>
    <w:rsid w:val="00C56C18"/>
    <w:rsid w:val="00C57F21"/>
    <w:rsid w:val="00C65E01"/>
    <w:rsid w:val="00C67417"/>
    <w:rsid w:val="00C67450"/>
    <w:rsid w:val="00C67669"/>
    <w:rsid w:val="00C714D5"/>
    <w:rsid w:val="00C71EA6"/>
    <w:rsid w:val="00C72054"/>
    <w:rsid w:val="00C72F81"/>
    <w:rsid w:val="00C73219"/>
    <w:rsid w:val="00C756D0"/>
    <w:rsid w:val="00C766D7"/>
    <w:rsid w:val="00C76861"/>
    <w:rsid w:val="00C7698E"/>
    <w:rsid w:val="00C77CD4"/>
    <w:rsid w:val="00C81E71"/>
    <w:rsid w:val="00C83725"/>
    <w:rsid w:val="00C9020E"/>
    <w:rsid w:val="00C97C3C"/>
    <w:rsid w:val="00CA2E07"/>
    <w:rsid w:val="00CA3814"/>
    <w:rsid w:val="00CA3F56"/>
    <w:rsid w:val="00CA4E1F"/>
    <w:rsid w:val="00CA531B"/>
    <w:rsid w:val="00CA542A"/>
    <w:rsid w:val="00CB1D07"/>
    <w:rsid w:val="00CB281D"/>
    <w:rsid w:val="00CB3103"/>
    <w:rsid w:val="00CB4879"/>
    <w:rsid w:val="00CB4D6E"/>
    <w:rsid w:val="00CB6067"/>
    <w:rsid w:val="00CC2814"/>
    <w:rsid w:val="00CC4095"/>
    <w:rsid w:val="00CC53C2"/>
    <w:rsid w:val="00CC78FC"/>
    <w:rsid w:val="00CD0C95"/>
    <w:rsid w:val="00CD3B42"/>
    <w:rsid w:val="00CD3B66"/>
    <w:rsid w:val="00CD43D3"/>
    <w:rsid w:val="00CE3810"/>
    <w:rsid w:val="00CE4245"/>
    <w:rsid w:val="00CE46BC"/>
    <w:rsid w:val="00CE6F8E"/>
    <w:rsid w:val="00CF37BE"/>
    <w:rsid w:val="00CF3998"/>
    <w:rsid w:val="00CF5CFB"/>
    <w:rsid w:val="00CF607D"/>
    <w:rsid w:val="00D0242E"/>
    <w:rsid w:val="00D07E32"/>
    <w:rsid w:val="00D151AA"/>
    <w:rsid w:val="00D152A6"/>
    <w:rsid w:val="00D16E2E"/>
    <w:rsid w:val="00D20077"/>
    <w:rsid w:val="00D204D2"/>
    <w:rsid w:val="00D2173E"/>
    <w:rsid w:val="00D2179C"/>
    <w:rsid w:val="00D25815"/>
    <w:rsid w:val="00D32461"/>
    <w:rsid w:val="00D32F59"/>
    <w:rsid w:val="00D335BB"/>
    <w:rsid w:val="00D3391E"/>
    <w:rsid w:val="00D3404A"/>
    <w:rsid w:val="00D37824"/>
    <w:rsid w:val="00D40E93"/>
    <w:rsid w:val="00D41368"/>
    <w:rsid w:val="00D41E91"/>
    <w:rsid w:val="00D437CE"/>
    <w:rsid w:val="00D44E1C"/>
    <w:rsid w:val="00D46351"/>
    <w:rsid w:val="00D4653E"/>
    <w:rsid w:val="00D46636"/>
    <w:rsid w:val="00D503A9"/>
    <w:rsid w:val="00D509E5"/>
    <w:rsid w:val="00D50FE2"/>
    <w:rsid w:val="00D521BB"/>
    <w:rsid w:val="00D52BCB"/>
    <w:rsid w:val="00D539B9"/>
    <w:rsid w:val="00D55B5E"/>
    <w:rsid w:val="00D560D8"/>
    <w:rsid w:val="00D5624E"/>
    <w:rsid w:val="00D56FF5"/>
    <w:rsid w:val="00D608A1"/>
    <w:rsid w:val="00D62E40"/>
    <w:rsid w:val="00D66833"/>
    <w:rsid w:val="00D67FF1"/>
    <w:rsid w:val="00D70F87"/>
    <w:rsid w:val="00D727E4"/>
    <w:rsid w:val="00D77430"/>
    <w:rsid w:val="00D81172"/>
    <w:rsid w:val="00D838C5"/>
    <w:rsid w:val="00D83A76"/>
    <w:rsid w:val="00D83BF5"/>
    <w:rsid w:val="00D84B2B"/>
    <w:rsid w:val="00D86952"/>
    <w:rsid w:val="00D91106"/>
    <w:rsid w:val="00D91C6A"/>
    <w:rsid w:val="00D9247A"/>
    <w:rsid w:val="00D932A2"/>
    <w:rsid w:val="00D935C1"/>
    <w:rsid w:val="00D9380B"/>
    <w:rsid w:val="00D9435B"/>
    <w:rsid w:val="00D96ECA"/>
    <w:rsid w:val="00DA0090"/>
    <w:rsid w:val="00DA0947"/>
    <w:rsid w:val="00DA2042"/>
    <w:rsid w:val="00DA26B3"/>
    <w:rsid w:val="00DA3997"/>
    <w:rsid w:val="00DA529C"/>
    <w:rsid w:val="00DB041D"/>
    <w:rsid w:val="00DB14D5"/>
    <w:rsid w:val="00DB32C0"/>
    <w:rsid w:val="00DB4E11"/>
    <w:rsid w:val="00DB63BB"/>
    <w:rsid w:val="00DB7761"/>
    <w:rsid w:val="00DC1C8D"/>
    <w:rsid w:val="00DC1CFF"/>
    <w:rsid w:val="00DC25C3"/>
    <w:rsid w:val="00DC3EBC"/>
    <w:rsid w:val="00DC4964"/>
    <w:rsid w:val="00DC4D52"/>
    <w:rsid w:val="00DC54C3"/>
    <w:rsid w:val="00DC58E9"/>
    <w:rsid w:val="00DC66D8"/>
    <w:rsid w:val="00DD0E3A"/>
    <w:rsid w:val="00DD1B91"/>
    <w:rsid w:val="00DD1E5F"/>
    <w:rsid w:val="00DD2A3A"/>
    <w:rsid w:val="00DD3CA0"/>
    <w:rsid w:val="00DD4281"/>
    <w:rsid w:val="00DD4502"/>
    <w:rsid w:val="00DD5141"/>
    <w:rsid w:val="00DE3AFB"/>
    <w:rsid w:val="00DE4329"/>
    <w:rsid w:val="00DF0F57"/>
    <w:rsid w:val="00DF2BEE"/>
    <w:rsid w:val="00DF6E64"/>
    <w:rsid w:val="00DF7D63"/>
    <w:rsid w:val="00E00BE3"/>
    <w:rsid w:val="00E0292D"/>
    <w:rsid w:val="00E03C3D"/>
    <w:rsid w:val="00E06258"/>
    <w:rsid w:val="00E07834"/>
    <w:rsid w:val="00E1069B"/>
    <w:rsid w:val="00E1625C"/>
    <w:rsid w:val="00E24B69"/>
    <w:rsid w:val="00E24E54"/>
    <w:rsid w:val="00E25A69"/>
    <w:rsid w:val="00E36D2B"/>
    <w:rsid w:val="00E44838"/>
    <w:rsid w:val="00E45009"/>
    <w:rsid w:val="00E454E6"/>
    <w:rsid w:val="00E5239A"/>
    <w:rsid w:val="00E53957"/>
    <w:rsid w:val="00E547A1"/>
    <w:rsid w:val="00E62B08"/>
    <w:rsid w:val="00E63152"/>
    <w:rsid w:val="00E637EF"/>
    <w:rsid w:val="00E64C3A"/>
    <w:rsid w:val="00E6540C"/>
    <w:rsid w:val="00E6692E"/>
    <w:rsid w:val="00E71EC8"/>
    <w:rsid w:val="00E72A8B"/>
    <w:rsid w:val="00E77E95"/>
    <w:rsid w:val="00E80561"/>
    <w:rsid w:val="00E80DBE"/>
    <w:rsid w:val="00E81E46"/>
    <w:rsid w:val="00E833CB"/>
    <w:rsid w:val="00E84710"/>
    <w:rsid w:val="00E853B0"/>
    <w:rsid w:val="00E858A1"/>
    <w:rsid w:val="00E8761A"/>
    <w:rsid w:val="00E9050D"/>
    <w:rsid w:val="00E90BE9"/>
    <w:rsid w:val="00E922CC"/>
    <w:rsid w:val="00E957A8"/>
    <w:rsid w:val="00EA1349"/>
    <w:rsid w:val="00EA1AC1"/>
    <w:rsid w:val="00EA3F00"/>
    <w:rsid w:val="00EA61B2"/>
    <w:rsid w:val="00EA6BDF"/>
    <w:rsid w:val="00EB55F0"/>
    <w:rsid w:val="00EB6238"/>
    <w:rsid w:val="00EB7B46"/>
    <w:rsid w:val="00EC3127"/>
    <w:rsid w:val="00ED1963"/>
    <w:rsid w:val="00ED2F4A"/>
    <w:rsid w:val="00ED345B"/>
    <w:rsid w:val="00ED6F98"/>
    <w:rsid w:val="00ED73D3"/>
    <w:rsid w:val="00ED7B4E"/>
    <w:rsid w:val="00EE1A32"/>
    <w:rsid w:val="00EE1D53"/>
    <w:rsid w:val="00EE31FB"/>
    <w:rsid w:val="00EF203F"/>
    <w:rsid w:val="00EF295B"/>
    <w:rsid w:val="00EF4362"/>
    <w:rsid w:val="00EF507A"/>
    <w:rsid w:val="00F00A23"/>
    <w:rsid w:val="00F00A89"/>
    <w:rsid w:val="00F02676"/>
    <w:rsid w:val="00F05C27"/>
    <w:rsid w:val="00F1215F"/>
    <w:rsid w:val="00F15267"/>
    <w:rsid w:val="00F15399"/>
    <w:rsid w:val="00F15BC8"/>
    <w:rsid w:val="00F15E20"/>
    <w:rsid w:val="00F2020A"/>
    <w:rsid w:val="00F225E3"/>
    <w:rsid w:val="00F246C6"/>
    <w:rsid w:val="00F25A71"/>
    <w:rsid w:val="00F2726D"/>
    <w:rsid w:val="00F27524"/>
    <w:rsid w:val="00F27BD4"/>
    <w:rsid w:val="00F308CA"/>
    <w:rsid w:val="00F30D57"/>
    <w:rsid w:val="00F31936"/>
    <w:rsid w:val="00F34A0F"/>
    <w:rsid w:val="00F404B9"/>
    <w:rsid w:val="00F40ACF"/>
    <w:rsid w:val="00F452AD"/>
    <w:rsid w:val="00F45505"/>
    <w:rsid w:val="00F47BAE"/>
    <w:rsid w:val="00F51844"/>
    <w:rsid w:val="00F535E5"/>
    <w:rsid w:val="00F53A45"/>
    <w:rsid w:val="00F53FBA"/>
    <w:rsid w:val="00F55989"/>
    <w:rsid w:val="00F60268"/>
    <w:rsid w:val="00F6110D"/>
    <w:rsid w:val="00F61C0B"/>
    <w:rsid w:val="00F644D6"/>
    <w:rsid w:val="00F65688"/>
    <w:rsid w:val="00F660F5"/>
    <w:rsid w:val="00F6754D"/>
    <w:rsid w:val="00F6764B"/>
    <w:rsid w:val="00F7058F"/>
    <w:rsid w:val="00F733FE"/>
    <w:rsid w:val="00F73727"/>
    <w:rsid w:val="00F7535E"/>
    <w:rsid w:val="00F82551"/>
    <w:rsid w:val="00F82F6F"/>
    <w:rsid w:val="00F839BF"/>
    <w:rsid w:val="00F90E3B"/>
    <w:rsid w:val="00F91CBB"/>
    <w:rsid w:val="00F9261C"/>
    <w:rsid w:val="00F97E10"/>
    <w:rsid w:val="00FA088F"/>
    <w:rsid w:val="00FA1A92"/>
    <w:rsid w:val="00FA3D89"/>
    <w:rsid w:val="00FA6809"/>
    <w:rsid w:val="00FA6DD9"/>
    <w:rsid w:val="00FB0F6F"/>
    <w:rsid w:val="00FB4347"/>
    <w:rsid w:val="00FB4665"/>
    <w:rsid w:val="00FB479D"/>
    <w:rsid w:val="00FB70F6"/>
    <w:rsid w:val="00FB7C86"/>
    <w:rsid w:val="00FC07CE"/>
    <w:rsid w:val="00FC0B00"/>
    <w:rsid w:val="00FC10F1"/>
    <w:rsid w:val="00FC49A3"/>
    <w:rsid w:val="00FC6E2C"/>
    <w:rsid w:val="00FD0E3E"/>
    <w:rsid w:val="00FE053A"/>
    <w:rsid w:val="00FE06AD"/>
    <w:rsid w:val="00FE0945"/>
    <w:rsid w:val="00FE1748"/>
    <w:rsid w:val="00FE21C6"/>
    <w:rsid w:val="00FE26DB"/>
    <w:rsid w:val="00FE3036"/>
    <w:rsid w:val="00FE3BE2"/>
    <w:rsid w:val="00FE3E01"/>
    <w:rsid w:val="00FE4C7E"/>
    <w:rsid w:val="00FE5144"/>
    <w:rsid w:val="00FF18CF"/>
    <w:rsid w:val="00FF196E"/>
    <w:rsid w:val="00FF268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0,#960,#960000"/>
    </o:shapedefaults>
    <o:shapelayout v:ext="edit">
      <o:idmap v:ext="edit" data="1"/>
    </o:shapelayout>
  </w:shapeDefaults>
  <w:decimalSymbol w:val="."/>
  <w:listSeparator w:val=","/>
  <w14:docId w14:val="79C76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Condensed" w:eastAsiaTheme="minorHAnsi" w:hAnsi="Tw Cen MT Condensed" w:cs="Shonar Bangla"/>
        <w:color w:val="000000"/>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D83"/>
  </w:style>
  <w:style w:type="paragraph" w:styleId="Heading1">
    <w:name w:val="heading 1"/>
    <w:basedOn w:val="Normal"/>
    <w:next w:val="Normal"/>
    <w:link w:val="Heading1Char"/>
    <w:uiPriority w:val="9"/>
    <w:qFormat/>
    <w:rsid w:val="00477F99"/>
    <w:pPr>
      <w:keepNext/>
      <w:keepLines/>
      <w:numPr>
        <w:numId w:val="1"/>
      </w:numPr>
      <w:spacing w:before="240" w:line="276" w:lineRule="auto"/>
      <w:outlineLvl w:val="0"/>
    </w:pPr>
    <w:rPr>
      <w:rFonts w:ascii="Times New Roman" w:eastAsiaTheme="majorEastAsia" w:hAnsi="Times New Roman" w:cstheme="majorBidi"/>
      <w:b/>
      <w:bCs/>
      <w:color w:val="auto"/>
      <w:sz w:val="22"/>
      <w:szCs w:val="28"/>
    </w:rPr>
  </w:style>
  <w:style w:type="paragraph" w:styleId="Heading2">
    <w:name w:val="heading 2"/>
    <w:basedOn w:val="Normal"/>
    <w:next w:val="Normal"/>
    <w:link w:val="Heading2Char"/>
    <w:uiPriority w:val="9"/>
    <w:unhideWhenUsed/>
    <w:qFormat/>
    <w:rsid w:val="00477F99"/>
    <w:pPr>
      <w:keepNext/>
      <w:keepLines/>
      <w:numPr>
        <w:ilvl w:val="1"/>
        <w:numId w:val="1"/>
      </w:numPr>
      <w:spacing w:before="240" w:line="276" w:lineRule="auto"/>
      <w:ind w:left="0" w:firstLine="0"/>
      <w:outlineLvl w:val="1"/>
    </w:pPr>
    <w:rPr>
      <w:rFonts w:ascii="Times New Roman" w:eastAsiaTheme="majorEastAsia" w:hAnsi="Times New Roman" w:cstheme="majorBidi"/>
      <w:b/>
      <w:bCs/>
      <w:color w:val="000000" w:themeColor="text1"/>
      <w:sz w:val="22"/>
      <w:szCs w:val="26"/>
    </w:rPr>
  </w:style>
  <w:style w:type="paragraph" w:styleId="Heading3">
    <w:name w:val="heading 3"/>
    <w:basedOn w:val="Normal"/>
    <w:next w:val="Normal"/>
    <w:link w:val="Heading3Char"/>
    <w:uiPriority w:val="1"/>
    <w:unhideWhenUsed/>
    <w:qFormat/>
    <w:rsid w:val="00477F99"/>
    <w:pPr>
      <w:keepNext/>
      <w:keepLines/>
      <w:numPr>
        <w:ilvl w:val="2"/>
        <w:numId w:val="1"/>
      </w:numPr>
      <w:spacing w:before="200" w:line="276" w:lineRule="auto"/>
      <w:outlineLvl w:val="2"/>
    </w:pPr>
    <w:rPr>
      <w:rFonts w:ascii="Times New Roman" w:eastAsiaTheme="majorEastAsia" w:hAnsi="Times New Roman" w:cstheme="majorBidi"/>
      <w:b/>
      <w:bCs/>
      <w:i/>
      <w:color w:val="auto"/>
      <w:sz w:val="22"/>
      <w:szCs w:val="22"/>
    </w:rPr>
  </w:style>
  <w:style w:type="paragraph" w:styleId="Heading4">
    <w:name w:val="heading 4"/>
    <w:basedOn w:val="Normal"/>
    <w:next w:val="Normal"/>
    <w:link w:val="Heading4Char"/>
    <w:uiPriority w:val="9"/>
    <w:unhideWhenUsed/>
    <w:qFormat/>
    <w:rsid w:val="00477F99"/>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477F99"/>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477F99"/>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477F99"/>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477F99"/>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77F99"/>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RHP Table Grid"/>
    <w:basedOn w:val="TableNormal"/>
    <w:uiPriority w:val="39"/>
    <w:rsid w:val="00FE06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87F29"/>
    <w:pPr>
      <w:autoSpaceDE w:val="0"/>
      <w:autoSpaceDN w:val="0"/>
      <w:adjustRightInd w:val="0"/>
    </w:pPr>
    <w:rPr>
      <w:rFonts w:ascii="Calibri" w:hAnsi="Calibri" w:cs="Calibri"/>
    </w:rPr>
  </w:style>
  <w:style w:type="character" w:customStyle="1" w:styleId="Heading1Char">
    <w:name w:val="Heading 1 Char"/>
    <w:basedOn w:val="DefaultParagraphFont"/>
    <w:link w:val="Heading1"/>
    <w:uiPriority w:val="9"/>
    <w:rsid w:val="00477F99"/>
    <w:rPr>
      <w:rFonts w:ascii="Times New Roman" w:eastAsiaTheme="majorEastAsia" w:hAnsi="Times New Roman" w:cstheme="majorBidi"/>
      <w:b/>
      <w:bCs/>
      <w:color w:val="auto"/>
      <w:sz w:val="22"/>
      <w:szCs w:val="28"/>
    </w:rPr>
  </w:style>
  <w:style w:type="character" w:customStyle="1" w:styleId="Heading2Char">
    <w:name w:val="Heading 2 Char"/>
    <w:basedOn w:val="DefaultParagraphFont"/>
    <w:link w:val="Heading2"/>
    <w:uiPriority w:val="9"/>
    <w:rsid w:val="00477F99"/>
    <w:rPr>
      <w:rFonts w:ascii="Times New Roman" w:eastAsiaTheme="majorEastAsia" w:hAnsi="Times New Roman" w:cstheme="majorBidi"/>
      <w:b/>
      <w:bCs/>
      <w:color w:val="000000" w:themeColor="text1"/>
      <w:sz w:val="22"/>
      <w:szCs w:val="26"/>
    </w:rPr>
  </w:style>
  <w:style w:type="character" w:customStyle="1" w:styleId="Heading3Char">
    <w:name w:val="Heading 3 Char"/>
    <w:basedOn w:val="DefaultParagraphFont"/>
    <w:link w:val="Heading3"/>
    <w:uiPriority w:val="1"/>
    <w:rsid w:val="00477F99"/>
    <w:rPr>
      <w:rFonts w:ascii="Times New Roman" w:eastAsiaTheme="majorEastAsia" w:hAnsi="Times New Roman" w:cstheme="majorBidi"/>
      <w:b/>
      <w:bCs/>
      <w:i/>
      <w:color w:val="auto"/>
      <w:sz w:val="22"/>
      <w:szCs w:val="22"/>
    </w:rPr>
  </w:style>
  <w:style w:type="character" w:customStyle="1" w:styleId="Heading4Char">
    <w:name w:val="Heading 4 Char"/>
    <w:basedOn w:val="DefaultParagraphFont"/>
    <w:link w:val="Heading4"/>
    <w:uiPriority w:val="9"/>
    <w:rsid w:val="00477F99"/>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77F99"/>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477F99"/>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477F99"/>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477F99"/>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477F99"/>
    <w:rPr>
      <w:rFonts w:asciiTheme="majorHAnsi" w:eastAsiaTheme="majorEastAsia" w:hAnsiTheme="majorHAnsi" w:cstheme="majorBidi"/>
      <w:i/>
      <w:iCs/>
      <w:color w:val="404040" w:themeColor="text1" w:themeTint="BF"/>
      <w:szCs w:val="20"/>
    </w:rPr>
  </w:style>
  <w:style w:type="paragraph" w:styleId="FootnoteText">
    <w:name w:val="footnote text"/>
    <w:aliases w:val="Footnote.Text,ft,Char Char,Char,Footnote1,Footnote2,Footnote3,Footnote4,Footnote5,Footnote6,Footnote7,Footnote8,Footnote9,Footnote10,Footnote11,Footnote21,Footnote31,Footnote41,Footnote51,Footnote61,Footnote71,Footnote81,Footnote91,fn Cha"/>
    <w:basedOn w:val="Normal"/>
    <w:link w:val="FootnoteTextChar"/>
    <w:uiPriority w:val="99"/>
    <w:unhideWhenUsed/>
    <w:qFormat/>
    <w:rsid w:val="00477F99"/>
    <w:rPr>
      <w:rFonts w:asciiTheme="minorHAnsi" w:hAnsiTheme="minorHAnsi" w:cstheme="minorBidi"/>
      <w:color w:val="auto"/>
      <w:szCs w:val="20"/>
    </w:rPr>
  </w:style>
  <w:style w:type="character" w:customStyle="1" w:styleId="FootnoteTextChar">
    <w:name w:val="Footnote Text Char"/>
    <w:aliases w:val="Footnote.Text Char,ft Char,Char Char Char,Char Char1,Footnote1 Char,Footnote2 Char,Footnote3 Char,Footnote4 Char,Footnote5 Char,Footnote6 Char,Footnote7 Char,Footnote8 Char,Footnote9 Char,Footnote10 Char,Footnote11 Char,fn Cha Char"/>
    <w:basedOn w:val="DefaultParagraphFont"/>
    <w:link w:val="FootnoteText"/>
    <w:uiPriority w:val="99"/>
    <w:rsid w:val="00477F99"/>
    <w:rPr>
      <w:rFonts w:asciiTheme="minorHAnsi" w:hAnsiTheme="minorHAnsi" w:cstheme="minorBidi"/>
      <w:color w:val="auto"/>
      <w:sz w:val="20"/>
      <w:szCs w:val="20"/>
    </w:rPr>
  </w:style>
  <w:style w:type="character" w:styleId="FootnoteReference">
    <w:name w:val="footnote reference"/>
    <w:aliases w:val="Footnotes refss,ftref,16 Point,Superscript 6 Point,Footnote Reference Number,Ref,de nota al pie,BVI fnr,Superscript 10 Point,Footnote symbol,4_G"/>
    <w:basedOn w:val="DefaultParagraphFont"/>
    <w:unhideWhenUsed/>
    <w:qFormat/>
    <w:rsid w:val="00477F99"/>
    <w:rPr>
      <w:vertAlign w:val="superscript"/>
    </w:rPr>
  </w:style>
  <w:style w:type="character" w:customStyle="1" w:styleId="tgc">
    <w:name w:val="_tgc"/>
    <w:basedOn w:val="DefaultParagraphFont"/>
    <w:rsid w:val="00477F99"/>
  </w:style>
  <w:style w:type="paragraph" w:styleId="ListParagraph">
    <w:name w:val="List Paragraph"/>
    <w:aliases w:val="References,List Paragraph1,Bullet1,Bullet-1,heading 2,List Paragraph 1"/>
    <w:basedOn w:val="Normal"/>
    <w:link w:val="ListParagraphChar"/>
    <w:uiPriority w:val="34"/>
    <w:qFormat/>
    <w:rsid w:val="00495477"/>
    <w:pPr>
      <w:spacing w:after="200" w:line="276" w:lineRule="auto"/>
      <w:ind w:left="720"/>
      <w:contextualSpacing/>
    </w:pPr>
    <w:rPr>
      <w:rFonts w:asciiTheme="minorHAnsi" w:eastAsiaTheme="minorEastAsia" w:hAnsiTheme="minorHAnsi" w:cstheme="minorBidi"/>
      <w:color w:val="auto"/>
      <w:sz w:val="22"/>
      <w:szCs w:val="22"/>
      <w:lang w:eastAsia="zh-CN"/>
    </w:rPr>
  </w:style>
  <w:style w:type="paragraph" w:styleId="BalloonText">
    <w:name w:val="Balloon Text"/>
    <w:basedOn w:val="Normal"/>
    <w:link w:val="BalloonTextChar"/>
    <w:uiPriority w:val="99"/>
    <w:semiHidden/>
    <w:unhideWhenUsed/>
    <w:rsid w:val="00495477"/>
    <w:rPr>
      <w:rFonts w:ascii="Tahoma" w:hAnsi="Tahoma" w:cs="Tahoma"/>
      <w:sz w:val="16"/>
      <w:szCs w:val="16"/>
    </w:rPr>
  </w:style>
  <w:style w:type="character" w:customStyle="1" w:styleId="BalloonTextChar">
    <w:name w:val="Balloon Text Char"/>
    <w:basedOn w:val="DefaultParagraphFont"/>
    <w:link w:val="BalloonText"/>
    <w:uiPriority w:val="99"/>
    <w:semiHidden/>
    <w:rsid w:val="00495477"/>
    <w:rPr>
      <w:rFonts w:ascii="Tahoma" w:hAnsi="Tahoma" w:cs="Tahoma"/>
      <w:sz w:val="16"/>
      <w:szCs w:val="16"/>
    </w:rPr>
  </w:style>
  <w:style w:type="paragraph" w:styleId="NoSpacing">
    <w:name w:val="No Spacing"/>
    <w:link w:val="NoSpacingChar"/>
    <w:uiPriority w:val="1"/>
    <w:qFormat/>
    <w:rsid w:val="00D41368"/>
  </w:style>
  <w:style w:type="paragraph" w:styleId="BodyText">
    <w:name w:val="Body Text"/>
    <w:basedOn w:val="Normal"/>
    <w:link w:val="BodyTextChar"/>
    <w:uiPriority w:val="1"/>
    <w:qFormat/>
    <w:rsid w:val="00722D2C"/>
    <w:pPr>
      <w:widowControl w:val="0"/>
      <w:autoSpaceDE w:val="0"/>
      <w:autoSpaceDN w:val="0"/>
      <w:adjustRightInd w:val="0"/>
      <w:spacing w:before="64"/>
      <w:ind w:left="845"/>
    </w:pPr>
    <w:rPr>
      <w:rFonts w:ascii="Arial" w:eastAsiaTheme="minorEastAsia" w:hAnsi="Arial" w:cs="Arial"/>
      <w:color w:val="auto"/>
      <w:sz w:val="19"/>
      <w:szCs w:val="19"/>
      <w:lang w:eastAsia="en-GB"/>
    </w:rPr>
  </w:style>
  <w:style w:type="character" w:customStyle="1" w:styleId="BodyTextChar">
    <w:name w:val="Body Text Char"/>
    <w:basedOn w:val="DefaultParagraphFont"/>
    <w:link w:val="BodyText"/>
    <w:uiPriority w:val="1"/>
    <w:rsid w:val="00722D2C"/>
    <w:rPr>
      <w:rFonts w:ascii="Arial" w:eastAsiaTheme="minorEastAsia" w:hAnsi="Arial" w:cs="Arial"/>
      <w:color w:val="auto"/>
      <w:sz w:val="19"/>
      <w:szCs w:val="19"/>
      <w:lang w:val="en-GB" w:eastAsia="en-GB"/>
    </w:rPr>
  </w:style>
  <w:style w:type="character" w:styleId="Strong">
    <w:name w:val="Strong"/>
    <w:basedOn w:val="DefaultParagraphFont"/>
    <w:uiPriority w:val="22"/>
    <w:qFormat/>
    <w:rsid w:val="008B1665"/>
    <w:rPr>
      <w:b/>
      <w:bCs/>
    </w:rPr>
  </w:style>
  <w:style w:type="paragraph" w:styleId="Header">
    <w:name w:val="header"/>
    <w:basedOn w:val="Normal"/>
    <w:link w:val="HeaderChar"/>
    <w:uiPriority w:val="99"/>
    <w:unhideWhenUsed/>
    <w:rsid w:val="00A712C9"/>
    <w:pPr>
      <w:tabs>
        <w:tab w:val="center" w:pos="4513"/>
        <w:tab w:val="right" w:pos="9026"/>
      </w:tabs>
    </w:pPr>
  </w:style>
  <w:style w:type="character" w:customStyle="1" w:styleId="HeaderChar">
    <w:name w:val="Header Char"/>
    <w:basedOn w:val="DefaultParagraphFont"/>
    <w:link w:val="Header"/>
    <w:uiPriority w:val="99"/>
    <w:rsid w:val="00A712C9"/>
  </w:style>
  <w:style w:type="paragraph" w:styleId="Footer">
    <w:name w:val="footer"/>
    <w:basedOn w:val="Normal"/>
    <w:link w:val="FooterChar"/>
    <w:uiPriority w:val="99"/>
    <w:unhideWhenUsed/>
    <w:rsid w:val="00A712C9"/>
    <w:pPr>
      <w:tabs>
        <w:tab w:val="center" w:pos="4513"/>
        <w:tab w:val="right" w:pos="9026"/>
      </w:tabs>
    </w:pPr>
  </w:style>
  <w:style w:type="character" w:customStyle="1" w:styleId="FooterChar">
    <w:name w:val="Footer Char"/>
    <w:basedOn w:val="DefaultParagraphFont"/>
    <w:link w:val="Footer"/>
    <w:uiPriority w:val="99"/>
    <w:rsid w:val="00A712C9"/>
  </w:style>
  <w:style w:type="character" w:styleId="Hyperlink">
    <w:name w:val="Hyperlink"/>
    <w:basedOn w:val="DefaultParagraphFont"/>
    <w:uiPriority w:val="99"/>
    <w:unhideWhenUsed/>
    <w:rsid w:val="00A94431"/>
    <w:rPr>
      <w:color w:val="0000FF" w:themeColor="hyperlink"/>
      <w:u w:val="single"/>
    </w:rPr>
  </w:style>
  <w:style w:type="character" w:customStyle="1" w:styleId="UnresolvedMention1">
    <w:name w:val="Unresolved Mention1"/>
    <w:basedOn w:val="DefaultParagraphFont"/>
    <w:uiPriority w:val="99"/>
    <w:semiHidden/>
    <w:unhideWhenUsed/>
    <w:rsid w:val="00A94431"/>
    <w:rPr>
      <w:color w:val="605E5C"/>
      <w:shd w:val="clear" w:color="auto" w:fill="E1DFDD"/>
    </w:rPr>
  </w:style>
  <w:style w:type="character" w:styleId="PlaceholderText">
    <w:name w:val="Placeholder Text"/>
    <w:basedOn w:val="DefaultParagraphFont"/>
    <w:uiPriority w:val="99"/>
    <w:semiHidden/>
    <w:rsid w:val="00277750"/>
    <w:rPr>
      <w:color w:val="808080"/>
    </w:rPr>
  </w:style>
  <w:style w:type="character" w:customStyle="1" w:styleId="ListParagraphChar">
    <w:name w:val="List Paragraph Char"/>
    <w:aliases w:val="References Char,List Paragraph1 Char,Bullet1 Char,Bullet-1 Char,heading 2 Char,List Paragraph 1 Char"/>
    <w:link w:val="ListParagraph"/>
    <w:uiPriority w:val="34"/>
    <w:locked/>
    <w:rsid w:val="00491BFA"/>
    <w:rPr>
      <w:rFonts w:asciiTheme="minorHAnsi" w:eastAsiaTheme="minorEastAsia" w:hAnsiTheme="minorHAnsi" w:cstheme="minorBidi"/>
      <w:color w:val="auto"/>
      <w:sz w:val="22"/>
      <w:szCs w:val="22"/>
      <w:lang w:val="en-GB" w:eastAsia="zh-CN"/>
    </w:rPr>
  </w:style>
  <w:style w:type="character" w:customStyle="1" w:styleId="fontstyle01">
    <w:name w:val="fontstyle01"/>
    <w:basedOn w:val="DefaultParagraphFont"/>
    <w:rsid w:val="00282F3A"/>
    <w:rPr>
      <w:rFonts w:ascii="TwCenMT-CondensedBold" w:hAnsi="TwCenMT-CondensedBold" w:hint="default"/>
      <w:b/>
      <w:bCs/>
      <w:i w:val="0"/>
      <w:iCs w:val="0"/>
      <w:color w:val="000000"/>
      <w:sz w:val="20"/>
      <w:szCs w:val="20"/>
    </w:rPr>
  </w:style>
  <w:style w:type="character" w:styleId="SubtleReference">
    <w:name w:val="Subtle Reference"/>
    <w:basedOn w:val="DefaultParagraphFont"/>
    <w:uiPriority w:val="31"/>
    <w:qFormat/>
    <w:rsid w:val="00984506"/>
    <w:rPr>
      <w:smallCaps/>
      <w:color w:val="5A5A5A" w:themeColor="text1" w:themeTint="A5"/>
    </w:rPr>
  </w:style>
  <w:style w:type="character" w:styleId="IntenseReference">
    <w:name w:val="Intense Reference"/>
    <w:basedOn w:val="DefaultParagraphFont"/>
    <w:uiPriority w:val="32"/>
    <w:qFormat/>
    <w:rsid w:val="00984506"/>
    <w:rPr>
      <w:b/>
      <w:bCs/>
      <w:smallCaps/>
      <w:color w:val="4F81BD" w:themeColor="accent1"/>
      <w:spacing w:val="5"/>
    </w:rPr>
  </w:style>
  <w:style w:type="character" w:styleId="BookTitle">
    <w:name w:val="Book Title"/>
    <w:basedOn w:val="DefaultParagraphFont"/>
    <w:uiPriority w:val="33"/>
    <w:qFormat/>
    <w:rsid w:val="00984506"/>
    <w:rPr>
      <w:b/>
      <w:bCs/>
      <w:i/>
      <w:iCs/>
      <w:spacing w:val="5"/>
    </w:rPr>
  </w:style>
  <w:style w:type="character" w:customStyle="1" w:styleId="fontstyle11">
    <w:name w:val="fontstyle11"/>
    <w:basedOn w:val="DefaultParagraphFont"/>
    <w:rsid w:val="00B16A54"/>
    <w:rPr>
      <w:rFonts w:ascii="Calibri" w:hAnsi="Calibri" w:cs="Calibri" w:hint="default"/>
      <w:b w:val="0"/>
      <w:bCs w:val="0"/>
      <w:i w:val="0"/>
      <w:iCs w:val="0"/>
      <w:color w:val="4A4A4A"/>
      <w:sz w:val="22"/>
      <w:szCs w:val="22"/>
    </w:rPr>
  </w:style>
  <w:style w:type="character" w:customStyle="1" w:styleId="apple-converted-space">
    <w:name w:val="apple-converted-space"/>
    <w:basedOn w:val="DefaultParagraphFont"/>
    <w:rsid w:val="003C5825"/>
  </w:style>
  <w:style w:type="paragraph" w:customStyle="1" w:styleId="form-control-static">
    <w:name w:val="form-control-static"/>
    <w:basedOn w:val="Normal"/>
    <w:rsid w:val="003C5825"/>
    <w:pPr>
      <w:spacing w:before="100" w:beforeAutospacing="1" w:after="100" w:afterAutospacing="1"/>
    </w:pPr>
    <w:rPr>
      <w:rFonts w:ascii="Times New Roman" w:eastAsia="Times New Roman" w:hAnsi="Times New Roman" w:cs="Times New Roman"/>
      <w:color w:val="auto"/>
      <w:sz w:val="24"/>
      <w:lang w:val="en-GB" w:eastAsia="en-GB"/>
    </w:rPr>
  </w:style>
  <w:style w:type="paragraph" w:customStyle="1" w:styleId="MText">
    <w:name w:val="M.Text"/>
    <w:basedOn w:val="Normal"/>
    <w:link w:val="MTextChar"/>
    <w:qFormat/>
    <w:rsid w:val="007F4B4F"/>
    <w:pPr>
      <w:shd w:val="clear" w:color="auto" w:fill="FFFFFF"/>
      <w:spacing w:line="276" w:lineRule="auto"/>
    </w:pPr>
    <w:rPr>
      <w:rFonts w:asciiTheme="minorHAnsi" w:eastAsia="Times New Roman" w:hAnsiTheme="minorHAnsi" w:cs="Times New Roman"/>
      <w:color w:val="4A4A4A"/>
      <w:sz w:val="21"/>
      <w:szCs w:val="21"/>
      <w:lang w:val="en-GB" w:eastAsia="en-GB"/>
    </w:rPr>
  </w:style>
  <w:style w:type="paragraph" w:customStyle="1" w:styleId="MSubHeader">
    <w:name w:val="M.Sub.Header"/>
    <w:basedOn w:val="Normal"/>
    <w:link w:val="MSubHeaderChar"/>
    <w:qFormat/>
    <w:rsid w:val="007F4B4F"/>
    <w:pPr>
      <w:shd w:val="clear" w:color="auto" w:fill="FFFFFF"/>
      <w:spacing w:line="276" w:lineRule="auto"/>
    </w:pPr>
    <w:rPr>
      <w:rFonts w:asciiTheme="minorHAnsi" w:eastAsia="Times New Roman" w:hAnsiTheme="minorHAnsi" w:cs="Times New Roman"/>
      <w:b/>
      <w:bCs/>
      <w:color w:val="4A4A4A"/>
      <w:sz w:val="21"/>
      <w:szCs w:val="21"/>
      <w:lang w:val="en-GB" w:eastAsia="en-GB"/>
    </w:rPr>
  </w:style>
  <w:style w:type="character" w:customStyle="1" w:styleId="MTextChar">
    <w:name w:val="M.Text Char"/>
    <w:basedOn w:val="DefaultParagraphFont"/>
    <w:link w:val="MText"/>
    <w:rsid w:val="007F4B4F"/>
    <w:rPr>
      <w:rFonts w:asciiTheme="minorHAnsi" w:eastAsia="Times New Roman" w:hAnsiTheme="minorHAnsi" w:cs="Times New Roman"/>
      <w:color w:val="4A4A4A"/>
      <w:sz w:val="21"/>
      <w:szCs w:val="21"/>
      <w:shd w:val="clear" w:color="auto" w:fill="FFFFFF"/>
      <w:lang w:val="en-GB" w:eastAsia="en-GB"/>
    </w:rPr>
  </w:style>
  <w:style w:type="character" w:customStyle="1" w:styleId="MSubHeaderChar">
    <w:name w:val="M.Sub.Header Char"/>
    <w:basedOn w:val="DefaultParagraphFont"/>
    <w:link w:val="MSubHeader"/>
    <w:rsid w:val="007F4B4F"/>
    <w:rPr>
      <w:rFonts w:asciiTheme="minorHAnsi" w:eastAsia="Times New Roman" w:hAnsiTheme="minorHAnsi" w:cs="Times New Roman"/>
      <w:b/>
      <w:bCs/>
      <w:color w:val="4A4A4A"/>
      <w:sz w:val="21"/>
      <w:szCs w:val="21"/>
      <w:shd w:val="clear" w:color="auto" w:fill="FFFFFF"/>
      <w:lang w:val="en-GB" w:eastAsia="en-GB"/>
    </w:rPr>
  </w:style>
  <w:style w:type="table" w:customStyle="1" w:styleId="TableGrid0">
    <w:name w:val="TableGrid"/>
    <w:rsid w:val="008362D2"/>
    <w:rPr>
      <w:rFonts w:asciiTheme="minorHAnsi" w:eastAsiaTheme="minorEastAsia" w:hAnsiTheme="minorHAnsi" w:cstheme="minorBidi"/>
      <w:color w:val="auto"/>
      <w:sz w:val="22"/>
      <w:szCs w:val="28"/>
      <w:lang w:bidi="bn-BD"/>
    </w:rPr>
    <w:tblPr>
      <w:tblCellMar>
        <w:top w:w="0" w:type="dxa"/>
        <w:left w:w="0" w:type="dxa"/>
        <w:bottom w:w="0" w:type="dxa"/>
        <w:right w:w="0" w:type="dxa"/>
      </w:tblCellMar>
    </w:tblPr>
  </w:style>
  <w:style w:type="character" w:customStyle="1" w:styleId="A19">
    <w:name w:val="A19"/>
    <w:uiPriority w:val="99"/>
    <w:rsid w:val="001155B8"/>
    <w:rPr>
      <w:rFonts w:cs="Frutiger LT Std 45 Light"/>
      <w:color w:val="000000"/>
      <w:sz w:val="16"/>
      <w:szCs w:val="16"/>
    </w:rPr>
  </w:style>
  <w:style w:type="paragraph" w:customStyle="1" w:styleId="MHeader">
    <w:name w:val="M.Header"/>
    <w:basedOn w:val="Normal"/>
    <w:link w:val="MHeaderChar"/>
    <w:qFormat/>
    <w:rsid w:val="00362CF3"/>
    <w:pPr>
      <w:pBdr>
        <w:bottom w:val="single" w:sz="12" w:space="4" w:color="DDDDDD"/>
      </w:pBdr>
      <w:shd w:val="clear" w:color="auto" w:fill="FFFFFF"/>
      <w:spacing w:line="276" w:lineRule="auto"/>
      <w:outlineLvl w:val="2"/>
    </w:pPr>
    <w:rPr>
      <w:rFonts w:asciiTheme="minorHAnsi" w:eastAsia="Times New Roman" w:hAnsiTheme="minorHAnsi" w:cs="Times New Roman"/>
      <w:color w:val="1C75BC"/>
      <w:sz w:val="36"/>
      <w:szCs w:val="36"/>
      <w:lang w:val="en-GB" w:eastAsia="en-GB"/>
    </w:rPr>
  </w:style>
  <w:style w:type="character" w:customStyle="1" w:styleId="MHeaderChar">
    <w:name w:val="M.Header Char"/>
    <w:basedOn w:val="DefaultParagraphFont"/>
    <w:link w:val="MHeader"/>
    <w:rsid w:val="00362CF3"/>
    <w:rPr>
      <w:rFonts w:asciiTheme="minorHAnsi" w:eastAsia="Times New Roman" w:hAnsiTheme="minorHAnsi" w:cs="Times New Roman"/>
      <w:color w:val="1C75BC"/>
      <w:sz w:val="36"/>
      <w:szCs w:val="36"/>
      <w:shd w:val="clear" w:color="auto" w:fill="FFFFFF"/>
      <w:lang w:val="en-GB" w:eastAsia="en-GB"/>
    </w:rPr>
  </w:style>
  <w:style w:type="paragraph" w:customStyle="1" w:styleId="footnotedescription">
    <w:name w:val="footnote description"/>
    <w:next w:val="Normal"/>
    <w:link w:val="footnotedescriptionChar"/>
    <w:hidden/>
    <w:rsid w:val="00C05E16"/>
    <w:pPr>
      <w:spacing w:after="266"/>
    </w:pPr>
    <w:rPr>
      <w:rFonts w:ascii="Cambria" w:eastAsia="Cambria" w:hAnsi="Cambria" w:cs="Cambria"/>
      <w:i/>
      <w:szCs w:val="22"/>
    </w:rPr>
  </w:style>
  <w:style w:type="character" w:customStyle="1" w:styleId="footnotedescriptionChar">
    <w:name w:val="footnote description Char"/>
    <w:link w:val="footnotedescription"/>
    <w:rsid w:val="00C05E16"/>
    <w:rPr>
      <w:rFonts w:ascii="Cambria" w:eastAsia="Cambria" w:hAnsi="Cambria" w:cs="Cambria"/>
      <w:i/>
      <w:szCs w:val="22"/>
    </w:rPr>
  </w:style>
  <w:style w:type="character" w:customStyle="1" w:styleId="footnotemark">
    <w:name w:val="footnote mark"/>
    <w:hidden/>
    <w:rsid w:val="00C05E16"/>
    <w:rPr>
      <w:rFonts w:ascii="Cambria" w:eastAsia="Cambria" w:hAnsi="Cambria" w:cs="Cambria"/>
      <w:color w:val="000000"/>
      <w:sz w:val="20"/>
      <w:vertAlign w:val="superscript"/>
    </w:rPr>
  </w:style>
  <w:style w:type="paragraph" w:customStyle="1" w:styleId="NormalNonumber">
    <w:name w:val="Normal_No_number"/>
    <w:basedOn w:val="Normal"/>
    <w:rsid w:val="00276C55"/>
    <w:pPr>
      <w:tabs>
        <w:tab w:val="left" w:pos="1247"/>
        <w:tab w:val="left" w:pos="1814"/>
        <w:tab w:val="left" w:pos="2381"/>
        <w:tab w:val="left" w:pos="2948"/>
        <w:tab w:val="left" w:pos="3515"/>
        <w:tab w:val="left" w:pos="4082"/>
      </w:tabs>
      <w:spacing w:after="120"/>
      <w:ind w:left="1247"/>
    </w:pPr>
    <w:rPr>
      <w:rFonts w:ascii="Times New Roman" w:eastAsia="Times New Roman" w:hAnsi="Times New Roman" w:cs="Times New Roman"/>
      <w:color w:val="auto"/>
      <w:szCs w:val="20"/>
      <w:lang w:val="fr-CA"/>
    </w:rPr>
  </w:style>
  <w:style w:type="table" w:customStyle="1" w:styleId="PlainTable21">
    <w:name w:val="Plain Table 21"/>
    <w:basedOn w:val="TableNormal"/>
    <w:uiPriority w:val="42"/>
    <w:rsid w:val="006C66C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F30D57"/>
    <w:pPr>
      <w:widowControl w:val="0"/>
    </w:pPr>
    <w:rPr>
      <w:rFonts w:asciiTheme="minorHAnsi" w:hAnsiTheme="minorHAnsi" w:cstheme="minorBidi"/>
      <w:color w:val="auto"/>
      <w:sz w:val="22"/>
      <w:szCs w:val="22"/>
    </w:rPr>
  </w:style>
  <w:style w:type="paragraph" w:customStyle="1" w:styleId="MGTHeader">
    <w:name w:val="M.G+T.Header"/>
    <w:basedOn w:val="Normal"/>
    <w:link w:val="MGTHeaderChar"/>
    <w:qFormat/>
    <w:rsid w:val="00F30D57"/>
    <w:pPr>
      <w:shd w:val="clear" w:color="auto" w:fill="F5F5F5"/>
      <w:spacing w:line="276" w:lineRule="auto"/>
      <w:outlineLvl w:val="4"/>
    </w:pPr>
    <w:rPr>
      <w:rFonts w:asciiTheme="minorHAnsi" w:eastAsia="Times New Roman" w:hAnsiTheme="minorHAnsi" w:cs="Times New Roman"/>
      <w:color w:val="333333"/>
      <w:sz w:val="21"/>
      <w:szCs w:val="21"/>
      <w:lang w:val="en-GB" w:eastAsia="en-GB"/>
    </w:rPr>
  </w:style>
  <w:style w:type="paragraph" w:customStyle="1" w:styleId="MIndHeader">
    <w:name w:val="M.Ind.Header"/>
    <w:basedOn w:val="Normal"/>
    <w:link w:val="MIndHeaderChar"/>
    <w:qFormat/>
    <w:rsid w:val="00F30D57"/>
    <w:pPr>
      <w:shd w:val="clear" w:color="auto" w:fill="F5F5F5"/>
      <w:spacing w:line="276" w:lineRule="auto"/>
      <w:outlineLvl w:val="1"/>
    </w:pPr>
    <w:rPr>
      <w:rFonts w:asciiTheme="minorHAnsi" w:eastAsia="Times New Roman" w:hAnsiTheme="minorHAnsi" w:cs="Times New Roman"/>
      <w:color w:val="1C75BC"/>
      <w:sz w:val="22"/>
      <w:szCs w:val="22"/>
      <w:lang w:val="en-GB" w:eastAsia="en-GB"/>
    </w:rPr>
  </w:style>
  <w:style w:type="character" w:customStyle="1" w:styleId="MGTHeaderChar">
    <w:name w:val="M.G+T.Header Char"/>
    <w:basedOn w:val="DefaultParagraphFont"/>
    <w:link w:val="MGTHeader"/>
    <w:rsid w:val="00F30D57"/>
    <w:rPr>
      <w:rFonts w:asciiTheme="minorHAnsi" w:eastAsia="Times New Roman" w:hAnsiTheme="minorHAnsi" w:cs="Times New Roman"/>
      <w:color w:val="333333"/>
      <w:sz w:val="21"/>
      <w:szCs w:val="21"/>
      <w:shd w:val="clear" w:color="auto" w:fill="F5F5F5"/>
      <w:lang w:val="en-GB" w:eastAsia="en-GB"/>
    </w:rPr>
  </w:style>
  <w:style w:type="character" w:customStyle="1" w:styleId="MIndHeaderChar">
    <w:name w:val="M.Ind.Header Char"/>
    <w:basedOn w:val="DefaultParagraphFont"/>
    <w:link w:val="MIndHeader"/>
    <w:rsid w:val="00F30D57"/>
    <w:rPr>
      <w:rFonts w:asciiTheme="minorHAnsi" w:eastAsia="Times New Roman" w:hAnsiTheme="minorHAnsi" w:cs="Times New Roman"/>
      <w:color w:val="1C75BC"/>
      <w:sz w:val="22"/>
      <w:szCs w:val="22"/>
      <w:shd w:val="clear" w:color="auto" w:fill="F5F5F5"/>
      <w:lang w:val="en-GB" w:eastAsia="en-GB"/>
    </w:rPr>
  </w:style>
  <w:style w:type="table" w:customStyle="1" w:styleId="GridTable1Light1">
    <w:name w:val="Grid Table 1 Light1"/>
    <w:basedOn w:val="TableNormal"/>
    <w:uiPriority w:val="46"/>
    <w:rsid w:val="00CC53C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99"/>
    <w:unhideWhenUsed/>
    <w:qFormat/>
    <w:rsid w:val="00445764"/>
    <w:pPr>
      <w:spacing w:after="200"/>
    </w:pPr>
    <w:rPr>
      <w:i/>
      <w:iCs/>
      <w:color w:val="1F497D" w:themeColor="text2"/>
      <w:sz w:val="18"/>
      <w:szCs w:val="18"/>
    </w:rPr>
  </w:style>
  <w:style w:type="paragraph" w:customStyle="1" w:styleId="GHTableBody">
    <w:name w:val="GH_Table Body"/>
    <w:basedOn w:val="Normal"/>
    <w:qFormat/>
    <w:rsid w:val="005D3EC9"/>
    <w:pPr>
      <w:spacing w:before="60" w:after="60"/>
    </w:pPr>
    <w:rPr>
      <w:rFonts w:ascii="Arial" w:eastAsia="MS PGothic" w:hAnsi="Arial" w:cs="Times New Roman"/>
      <w:color w:val="auto"/>
      <w:sz w:val="16"/>
      <w:lang w:val="en-GB"/>
    </w:rPr>
  </w:style>
  <w:style w:type="table" w:customStyle="1" w:styleId="GridTable5Dark-Accent31">
    <w:name w:val="Grid Table 5 Dark - Accent 31"/>
    <w:basedOn w:val="TableNormal"/>
    <w:uiPriority w:val="50"/>
    <w:rsid w:val="007C136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CommentReference">
    <w:name w:val="annotation reference"/>
    <w:basedOn w:val="DefaultParagraphFont"/>
    <w:uiPriority w:val="99"/>
    <w:semiHidden/>
    <w:unhideWhenUsed/>
    <w:rsid w:val="00081C8E"/>
    <w:rPr>
      <w:sz w:val="16"/>
      <w:szCs w:val="16"/>
    </w:rPr>
  </w:style>
  <w:style w:type="paragraph" w:styleId="CommentText">
    <w:name w:val="annotation text"/>
    <w:basedOn w:val="Normal"/>
    <w:link w:val="CommentTextChar"/>
    <w:uiPriority w:val="99"/>
    <w:semiHidden/>
    <w:unhideWhenUsed/>
    <w:rsid w:val="00081C8E"/>
    <w:pPr>
      <w:spacing w:after="200"/>
    </w:pPr>
    <w:rPr>
      <w:rFonts w:asciiTheme="minorHAnsi" w:eastAsiaTheme="minorEastAsia" w:hAnsiTheme="minorHAnsi" w:cstheme="minorBidi"/>
      <w:color w:val="auto"/>
      <w:szCs w:val="20"/>
      <w:lang w:val="en-GB" w:eastAsia="zh-CN"/>
    </w:rPr>
  </w:style>
  <w:style w:type="character" w:customStyle="1" w:styleId="CommentTextChar">
    <w:name w:val="Comment Text Char"/>
    <w:basedOn w:val="DefaultParagraphFont"/>
    <w:link w:val="CommentText"/>
    <w:uiPriority w:val="99"/>
    <w:semiHidden/>
    <w:rsid w:val="00081C8E"/>
    <w:rPr>
      <w:rFonts w:asciiTheme="minorHAnsi" w:eastAsiaTheme="minorEastAsia" w:hAnsiTheme="minorHAnsi" w:cstheme="minorBidi"/>
      <w:color w:val="auto"/>
      <w:szCs w:val="20"/>
      <w:lang w:val="en-GB" w:eastAsia="zh-CN"/>
    </w:rPr>
  </w:style>
  <w:style w:type="paragraph" w:styleId="CommentSubject">
    <w:name w:val="annotation subject"/>
    <w:basedOn w:val="CommentText"/>
    <w:next w:val="CommentText"/>
    <w:link w:val="CommentSubjectChar"/>
    <w:uiPriority w:val="99"/>
    <w:semiHidden/>
    <w:unhideWhenUsed/>
    <w:rsid w:val="00081C8E"/>
    <w:rPr>
      <w:b/>
      <w:bCs/>
    </w:rPr>
  </w:style>
  <w:style w:type="character" w:customStyle="1" w:styleId="CommentSubjectChar">
    <w:name w:val="Comment Subject Char"/>
    <w:basedOn w:val="CommentTextChar"/>
    <w:link w:val="CommentSubject"/>
    <w:uiPriority w:val="99"/>
    <w:semiHidden/>
    <w:rsid w:val="00081C8E"/>
    <w:rPr>
      <w:rFonts w:asciiTheme="minorHAnsi" w:eastAsiaTheme="minorEastAsia" w:hAnsiTheme="minorHAnsi" w:cstheme="minorBidi"/>
      <w:b/>
      <w:bCs/>
      <w:color w:val="auto"/>
      <w:szCs w:val="20"/>
      <w:lang w:val="en-GB" w:eastAsia="zh-CN"/>
    </w:rPr>
  </w:style>
  <w:style w:type="paragraph" w:styleId="EndnoteText">
    <w:name w:val="endnote text"/>
    <w:basedOn w:val="Normal"/>
    <w:link w:val="EndnoteTextChar"/>
    <w:uiPriority w:val="99"/>
    <w:semiHidden/>
    <w:unhideWhenUsed/>
    <w:rsid w:val="00081C8E"/>
    <w:rPr>
      <w:rFonts w:ascii="Calibri" w:eastAsia="Calibri" w:hAnsi="Calibri" w:cs="Times New Roman"/>
      <w:color w:val="auto"/>
      <w:szCs w:val="20"/>
      <w:lang w:val="en-GB"/>
    </w:rPr>
  </w:style>
  <w:style w:type="character" w:customStyle="1" w:styleId="EndnoteTextChar">
    <w:name w:val="Endnote Text Char"/>
    <w:basedOn w:val="DefaultParagraphFont"/>
    <w:link w:val="EndnoteText"/>
    <w:uiPriority w:val="99"/>
    <w:semiHidden/>
    <w:rsid w:val="00081C8E"/>
    <w:rPr>
      <w:rFonts w:ascii="Calibri" w:eastAsia="Calibri" w:hAnsi="Calibri" w:cs="Times New Roman"/>
      <w:color w:val="auto"/>
      <w:szCs w:val="20"/>
      <w:lang w:val="en-GB"/>
    </w:rPr>
  </w:style>
  <w:style w:type="character" w:styleId="EndnoteReference">
    <w:name w:val="endnote reference"/>
    <w:uiPriority w:val="99"/>
    <w:semiHidden/>
    <w:unhideWhenUsed/>
    <w:rsid w:val="00081C8E"/>
    <w:rPr>
      <w:vertAlign w:val="superscript"/>
    </w:rPr>
  </w:style>
  <w:style w:type="paragraph" w:customStyle="1" w:styleId="NonNumbered">
    <w:name w:val="NonNumbered"/>
    <w:basedOn w:val="Normal"/>
    <w:rsid w:val="00081C8E"/>
    <w:pPr>
      <w:spacing w:before="240" w:after="240"/>
      <w:ind w:left="1134"/>
      <w:jc w:val="both"/>
    </w:pPr>
    <w:rPr>
      <w:rFonts w:ascii="Calibri" w:eastAsia="Times New Roman" w:hAnsi="Calibri" w:cs="Times New Roman"/>
      <w:color w:val="auto"/>
      <w:sz w:val="22"/>
      <w:szCs w:val="20"/>
    </w:rPr>
  </w:style>
  <w:style w:type="character" w:styleId="FollowedHyperlink">
    <w:name w:val="FollowedHyperlink"/>
    <w:uiPriority w:val="99"/>
    <w:semiHidden/>
    <w:unhideWhenUsed/>
    <w:rsid w:val="00081C8E"/>
    <w:rPr>
      <w:color w:val="800080"/>
      <w:u w:val="single"/>
    </w:rPr>
  </w:style>
  <w:style w:type="character" w:customStyle="1" w:styleId="UnresolvedMention10">
    <w:name w:val="Unresolved Mention1"/>
    <w:uiPriority w:val="99"/>
    <w:semiHidden/>
    <w:unhideWhenUsed/>
    <w:rsid w:val="00081C8E"/>
    <w:rPr>
      <w:color w:val="605E5C"/>
      <w:shd w:val="clear" w:color="auto" w:fill="E1DFDD"/>
    </w:rPr>
  </w:style>
  <w:style w:type="paragraph" w:styleId="TOCHeading">
    <w:name w:val="TOC Heading"/>
    <w:basedOn w:val="Heading1"/>
    <w:next w:val="Normal"/>
    <w:uiPriority w:val="39"/>
    <w:unhideWhenUsed/>
    <w:qFormat/>
    <w:rsid w:val="00081C8E"/>
    <w:pPr>
      <w:numPr>
        <w:numId w:val="0"/>
      </w:numPr>
      <w:spacing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081C8E"/>
    <w:pPr>
      <w:tabs>
        <w:tab w:val="left" w:pos="440"/>
        <w:tab w:val="right" w:leader="dot" w:pos="9016"/>
      </w:tabs>
      <w:spacing w:after="100" w:line="259" w:lineRule="auto"/>
    </w:pPr>
    <w:rPr>
      <w:rFonts w:ascii="Calibri" w:eastAsia="Times New Roman" w:hAnsi="Calibri" w:cs="Times New Roman"/>
      <w:color w:val="auto"/>
      <w:sz w:val="24"/>
    </w:rPr>
  </w:style>
  <w:style w:type="paragraph" w:styleId="TOC2">
    <w:name w:val="toc 2"/>
    <w:basedOn w:val="Normal"/>
    <w:next w:val="Normal"/>
    <w:autoRedefine/>
    <w:uiPriority w:val="39"/>
    <w:unhideWhenUsed/>
    <w:rsid w:val="00081C8E"/>
    <w:pPr>
      <w:ind w:left="240"/>
    </w:pPr>
    <w:rPr>
      <w:rFonts w:ascii="Calibri" w:eastAsia="Times New Roman" w:hAnsi="Calibri" w:cs="Times New Roman"/>
      <w:color w:val="auto"/>
      <w:sz w:val="24"/>
    </w:rPr>
  </w:style>
  <w:style w:type="paragraph" w:customStyle="1" w:styleId="font5">
    <w:name w:val="font5"/>
    <w:basedOn w:val="Normal"/>
    <w:rsid w:val="00081C8E"/>
    <w:pPr>
      <w:spacing w:before="100" w:beforeAutospacing="1" w:after="100" w:afterAutospacing="1"/>
    </w:pPr>
    <w:rPr>
      <w:rFonts w:ascii="Arial Narrow" w:eastAsia="Times New Roman" w:hAnsi="Arial Narrow" w:cs="Times New Roman"/>
      <w:color w:val="auto"/>
      <w:szCs w:val="20"/>
      <w:lang w:val="en-GB" w:eastAsia="en-GB"/>
    </w:rPr>
  </w:style>
  <w:style w:type="paragraph" w:customStyle="1" w:styleId="xl67">
    <w:name w:val="xl67"/>
    <w:basedOn w:val="Normal"/>
    <w:rsid w:val="00081C8E"/>
    <w:pPr>
      <w:shd w:val="clear" w:color="000000" w:fill="FFFFFF"/>
      <w:spacing w:before="100" w:beforeAutospacing="1" w:after="100" w:afterAutospacing="1"/>
      <w:textAlignment w:val="top"/>
    </w:pPr>
    <w:rPr>
      <w:rFonts w:ascii="Calibri" w:eastAsia="Times New Roman" w:hAnsi="Calibri" w:cs="Times New Roman"/>
      <w:color w:val="auto"/>
      <w:sz w:val="24"/>
      <w:lang w:val="en-GB" w:eastAsia="en-GB"/>
    </w:rPr>
  </w:style>
  <w:style w:type="paragraph" w:customStyle="1" w:styleId="xl68">
    <w:name w:val="xl68"/>
    <w:basedOn w:val="Normal"/>
    <w:rsid w:val="00081C8E"/>
    <w:pPr>
      <w:shd w:val="clear" w:color="000000" w:fill="FFFFFF"/>
      <w:spacing w:before="100" w:beforeAutospacing="1" w:after="100" w:afterAutospacing="1"/>
      <w:textAlignment w:val="top"/>
    </w:pPr>
    <w:rPr>
      <w:rFonts w:ascii="Calibri" w:eastAsia="Times New Roman" w:hAnsi="Calibri" w:cs="Times New Roman"/>
      <w:color w:val="auto"/>
      <w:szCs w:val="20"/>
      <w:lang w:val="en-GB" w:eastAsia="en-GB"/>
    </w:rPr>
  </w:style>
  <w:style w:type="paragraph" w:customStyle="1" w:styleId="xl69">
    <w:name w:val="xl69"/>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b/>
      <w:bCs/>
      <w:color w:val="auto"/>
      <w:szCs w:val="20"/>
      <w:lang w:val="en-GB" w:eastAsia="en-GB"/>
    </w:rPr>
  </w:style>
  <w:style w:type="paragraph" w:customStyle="1" w:styleId="xl70">
    <w:name w:val="xl70"/>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71">
    <w:name w:val="xl71"/>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color w:val="auto"/>
      <w:szCs w:val="20"/>
      <w:lang w:val="en-GB" w:eastAsia="en-GB"/>
    </w:rPr>
  </w:style>
  <w:style w:type="paragraph" w:customStyle="1" w:styleId="xl72">
    <w:name w:val="xl72"/>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73">
    <w:name w:val="xl73"/>
    <w:basedOn w:val="Normal"/>
    <w:rsid w:val="00081C8E"/>
    <w:pPr>
      <w:shd w:val="clear" w:color="000000" w:fill="FFFFFF"/>
      <w:spacing w:before="100" w:beforeAutospacing="1" w:after="100" w:afterAutospacing="1"/>
      <w:jc w:val="center"/>
      <w:textAlignment w:val="top"/>
    </w:pPr>
    <w:rPr>
      <w:rFonts w:ascii="Calibri" w:eastAsia="Times New Roman" w:hAnsi="Calibri" w:cs="Times New Roman"/>
      <w:color w:val="auto"/>
      <w:sz w:val="24"/>
      <w:lang w:val="en-GB" w:eastAsia="en-GB"/>
    </w:rPr>
  </w:style>
  <w:style w:type="paragraph" w:customStyle="1" w:styleId="xl74">
    <w:name w:val="xl74"/>
    <w:basedOn w:val="Normal"/>
    <w:rsid w:val="00081C8E"/>
    <w:pP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75">
    <w:name w:val="xl75"/>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76">
    <w:name w:val="xl76"/>
    <w:basedOn w:val="Normal"/>
    <w:rsid w:val="00081C8E"/>
    <w:pPr>
      <w:pBdr>
        <w:bottom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77">
    <w:name w:val="xl77"/>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78">
    <w:name w:val="xl78"/>
    <w:basedOn w:val="Normal"/>
    <w:rsid w:val="00081C8E"/>
    <w:pPr>
      <w:pBdr>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79">
    <w:name w:val="xl79"/>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80">
    <w:name w:val="xl80"/>
    <w:basedOn w:val="Normal"/>
    <w:rsid w:val="00081C8E"/>
    <w:pP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81">
    <w:name w:val="xl81"/>
    <w:basedOn w:val="Normal"/>
    <w:rsid w:val="00081C8E"/>
    <w:pPr>
      <w:pBdr>
        <w:bottom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82">
    <w:name w:val="xl82"/>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83">
    <w:name w:val="xl83"/>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b/>
      <w:bCs/>
      <w:color w:val="auto"/>
      <w:szCs w:val="20"/>
      <w:lang w:val="en-GB" w:eastAsia="en-GB"/>
    </w:rPr>
  </w:style>
  <w:style w:type="paragraph" w:customStyle="1" w:styleId="xl84">
    <w:name w:val="xl84"/>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color w:val="auto"/>
      <w:szCs w:val="20"/>
      <w:lang w:val="en-GB" w:eastAsia="en-GB"/>
    </w:rPr>
  </w:style>
  <w:style w:type="paragraph" w:customStyle="1" w:styleId="xl85">
    <w:name w:val="xl85"/>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86">
    <w:name w:val="xl86"/>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color w:val="auto"/>
      <w:szCs w:val="20"/>
      <w:lang w:val="en-GB" w:eastAsia="en-GB"/>
    </w:rPr>
  </w:style>
  <w:style w:type="paragraph" w:customStyle="1" w:styleId="xl87">
    <w:name w:val="xl87"/>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8"/>
      <w:szCs w:val="28"/>
      <w:lang w:val="en-GB" w:eastAsia="en-GB"/>
    </w:rPr>
  </w:style>
  <w:style w:type="paragraph" w:customStyle="1" w:styleId="xl88">
    <w:name w:val="xl88"/>
    <w:basedOn w:val="Normal"/>
    <w:rsid w:val="00081C8E"/>
    <w:pPr>
      <w:pBdr>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89">
    <w:name w:val="xl89"/>
    <w:basedOn w:val="Normal"/>
    <w:rsid w:val="00081C8E"/>
    <w:pPr>
      <w:shd w:val="clear" w:color="000000" w:fill="FFFFFF"/>
      <w:spacing w:before="100" w:beforeAutospacing="1" w:after="100" w:afterAutospacing="1"/>
      <w:textAlignment w:val="center"/>
    </w:pPr>
    <w:rPr>
      <w:rFonts w:ascii="Times New Roman" w:eastAsia="Times New Roman" w:hAnsi="Times New Roman" w:cs="Times New Roman"/>
      <w:b/>
      <w:bCs/>
      <w:color w:val="auto"/>
      <w:szCs w:val="20"/>
      <w:lang w:val="en-GB" w:eastAsia="en-GB"/>
    </w:rPr>
  </w:style>
  <w:style w:type="paragraph" w:customStyle="1" w:styleId="xl90">
    <w:name w:val="xl90"/>
    <w:basedOn w:val="Normal"/>
    <w:rsid w:val="00081C8E"/>
    <w:pPr>
      <w:shd w:val="clear" w:color="000000" w:fill="FFFFFF"/>
      <w:spacing w:before="100" w:beforeAutospacing="1" w:after="100" w:afterAutospacing="1"/>
      <w:textAlignment w:val="center"/>
    </w:pPr>
    <w:rPr>
      <w:rFonts w:ascii="Times New Roman" w:eastAsia="Times New Roman" w:hAnsi="Times New Roman" w:cs="Times New Roman"/>
      <w:color w:val="auto"/>
      <w:szCs w:val="20"/>
      <w:lang w:val="en-GB" w:eastAsia="en-GB"/>
    </w:rPr>
  </w:style>
  <w:style w:type="paragraph" w:customStyle="1" w:styleId="xl91">
    <w:name w:val="xl91"/>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8"/>
      <w:szCs w:val="28"/>
      <w:lang w:val="en-GB" w:eastAsia="en-GB"/>
    </w:rPr>
  </w:style>
  <w:style w:type="paragraph" w:customStyle="1" w:styleId="xl92">
    <w:name w:val="xl92"/>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b/>
      <w:bCs/>
      <w:color w:val="auto"/>
      <w:szCs w:val="20"/>
      <w:lang w:val="en-GB" w:eastAsia="en-GB"/>
    </w:rPr>
  </w:style>
  <w:style w:type="paragraph" w:customStyle="1" w:styleId="xl93">
    <w:name w:val="xl93"/>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auto"/>
      <w:sz w:val="24"/>
      <w:lang w:val="en-GB" w:eastAsia="en-GB"/>
    </w:rPr>
  </w:style>
  <w:style w:type="paragraph" w:customStyle="1" w:styleId="xl94">
    <w:name w:val="xl94"/>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95">
    <w:name w:val="xl95"/>
    <w:basedOn w:val="Normal"/>
    <w:rsid w:val="00081C8E"/>
    <w:pPr>
      <w:shd w:val="clear" w:color="000000" w:fill="FFFFFF"/>
      <w:spacing w:before="100" w:beforeAutospacing="1" w:after="100" w:afterAutospacing="1"/>
      <w:textAlignment w:val="top"/>
    </w:pPr>
    <w:rPr>
      <w:rFonts w:ascii="Calibri" w:eastAsia="Times New Roman" w:hAnsi="Calibri" w:cs="Times New Roman"/>
      <w:color w:val="auto"/>
      <w:sz w:val="24"/>
      <w:lang w:val="en-GB" w:eastAsia="en-GB"/>
    </w:rPr>
  </w:style>
  <w:style w:type="paragraph" w:customStyle="1" w:styleId="xl96">
    <w:name w:val="xl96"/>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97">
    <w:name w:val="xl97"/>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98">
    <w:name w:val="xl98"/>
    <w:basedOn w:val="Normal"/>
    <w:rsid w:val="00081C8E"/>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Cs w:val="20"/>
      <w:lang w:val="en-GB" w:eastAsia="en-GB"/>
    </w:rPr>
  </w:style>
  <w:style w:type="paragraph" w:customStyle="1" w:styleId="xl99">
    <w:name w:val="xl99"/>
    <w:basedOn w:val="Normal"/>
    <w:rsid w:val="00081C8E"/>
    <w:pPr>
      <w:spacing w:before="100" w:beforeAutospacing="1" w:after="100" w:afterAutospacing="1"/>
      <w:textAlignment w:val="top"/>
    </w:pPr>
    <w:rPr>
      <w:rFonts w:ascii="Calibri" w:eastAsia="Times New Roman" w:hAnsi="Calibri" w:cs="Times New Roman"/>
      <w:color w:val="auto"/>
      <w:szCs w:val="20"/>
      <w:lang w:val="en-GB" w:eastAsia="en-GB"/>
    </w:rPr>
  </w:style>
  <w:style w:type="paragraph" w:customStyle="1" w:styleId="xl100">
    <w:name w:val="xl100"/>
    <w:basedOn w:val="Normal"/>
    <w:rsid w:val="00081C8E"/>
    <w:pPr>
      <w:pBdr>
        <w:top w:val="single" w:sz="4" w:space="0" w:color="auto"/>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styleId="NormalWeb">
    <w:name w:val="Normal (Web)"/>
    <w:basedOn w:val="Normal"/>
    <w:uiPriority w:val="99"/>
    <w:unhideWhenUsed/>
    <w:rsid w:val="005B08BC"/>
    <w:rPr>
      <w:rFonts w:ascii="Times New Roman" w:eastAsia="Times New Roman" w:hAnsi="Times New Roman" w:cs="Times New Roman"/>
      <w:color w:val="auto"/>
      <w:sz w:val="24"/>
    </w:rPr>
  </w:style>
  <w:style w:type="character" w:styleId="Emphasis">
    <w:name w:val="Emphasis"/>
    <w:basedOn w:val="DefaultParagraphFont"/>
    <w:uiPriority w:val="20"/>
    <w:qFormat/>
    <w:rsid w:val="00812988"/>
    <w:rPr>
      <w:i/>
      <w:iCs/>
    </w:rPr>
  </w:style>
  <w:style w:type="paragraph" w:styleId="Revision">
    <w:name w:val="Revision"/>
    <w:hidden/>
    <w:uiPriority w:val="99"/>
    <w:semiHidden/>
    <w:rsid w:val="00C13DAE"/>
    <w:rPr>
      <w:rFonts w:asciiTheme="minorHAnsi" w:hAnsiTheme="minorHAnsi" w:cstheme="minorBidi"/>
      <w:color w:val="auto"/>
      <w:sz w:val="22"/>
      <w:szCs w:val="28"/>
      <w:lang w:val="en-GB" w:bidi="bn-IN"/>
    </w:rPr>
  </w:style>
  <w:style w:type="character" w:customStyle="1" w:styleId="UnresolvedMention2">
    <w:name w:val="Unresolved Mention2"/>
    <w:basedOn w:val="DefaultParagraphFont"/>
    <w:uiPriority w:val="99"/>
    <w:semiHidden/>
    <w:unhideWhenUsed/>
    <w:rsid w:val="002750C6"/>
    <w:rPr>
      <w:color w:val="605E5C"/>
      <w:shd w:val="clear" w:color="auto" w:fill="E1DFDD"/>
    </w:rPr>
  </w:style>
  <w:style w:type="character" w:customStyle="1" w:styleId="NoSpacingChar">
    <w:name w:val="No Spacing Char"/>
    <w:basedOn w:val="DefaultParagraphFont"/>
    <w:link w:val="NoSpacing"/>
    <w:uiPriority w:val="1"/>
    <w:rsid w:val="001B437B"/>
  </w:style>
  <w:style w:type="character" w:customStyle="1" w:styleId="fontstyle31">
    <w:name w:val="fontstyle31"/>
    <w:basedOn w:val="DefaultParagraphFont"/>
    <w:rsid w:val="00A94BEA"/>
    <w:rPr>
      <w:rFonts w:ascii="MyriadPro-Regular" w:hAnsi="MyriadPro-Regular" w:hint="default"/>
      <w:b w:val="0"/>
      <w:bCs w:val="0"/>
      <w:i w:val="0"/>
      <w:iCs w:val="0"/>
      <w:color w:val="231F2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Condensed" w:eastAsiaTheme="minorHAnsi" w:hAnsi="Tw Cen MT Condensed" w:cs="Shonar Bangla"/>
        <w:color w:val="000000"/>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D83"/>
  </w:style>
  <w:style w:type="paragraph" w:styleId="Heading1">
    <w:name w:val="heading 1"/>
    <w:basedOn w:val="Normal"/>
    <w:next w:val="Normal"/>
    <w:link w:val="Heading1Char"/>
    <w:uiPriority w:val="9"/>
    <w:qFormat/>
    <w:rsid w:val="00477F99"/>
    <w:pPr>
      <w:keepNext/>
      <w:keepLines/>
      <w:numPr>
        <w:numId w:val="1"/>
      </w:numPr>
      <w:spacing w:before="240" w:line="276" w:lineRule="auto"/>
      <w:outlineLvl w:val="0"/>
    </w:pPr>
    <w:rPr>
      <w:rFonts w:ascii="Times New Roman" w:eastAsiaTheme="majorEastAsia" w:hAnsi="Times New Roman" w:cstheme="majorBidi"/>
      <w:b/>
      <w:bCs/>
      <w:color w:val="auto"/>
      <w:sz w:val="22"/>
      <w:szCs w:val="28"/>
    </w:rPr>
  </w:style>
  <w:style w:type="paragraph" w:styleId="Heading2">
    <w:name w:val="heading 2"/>
    <w:basedOn w:val="Normal"/>
    <w:next w:val="Normal"/>
    <w:link w:val="Heading2Char"/>
    <w:uiPriority w:val="9"/>
    <w:unhideWhenUsed/>
    <w:qFormat/>
    <w:rsid w:val="00477F99"/>
    <w:pPr>
      <w:keepNext/>
      <w:keepLines/>
      <w:numPr>
        <w:ilvl w:val="1"/>
        <w:numId w:val="1"/>
      </w:numPr>
      <w:spacing w:before="240" w:line="276" w:lineRule="auto"/>
      <w:ind w:left="0" w:firstLine="0"/>
      <w:outlineLvl w:val="1"/>
    </w:pPr>
    <w:rPr>
      <w:rFonts w:ascii="Times New Roman" w:eastAsiaTheme="majorEastAsia" w:hAnsi="Times New Roman" w:cstheme="majorBidi"/>
      <w:b/>
      <w:bCs/>
      <w:color w:val="000000" w:themeColor="text1"/>
      <w:sz w:val="22"/>
      <w:szCs w:val="26"/>
    </w:rPr>
  </w:style>
  <w:style w:type="paragraph" w:styleId="Heading3">
    <w:name w:val="heading 3"/>
    <w:basedOn w:val="Normal"/>
    <w:next w:val="Normal"/>
    <w:link w:val="Heading3Char"/>
    <w:uiPriority w:val="1"/>
    <w:unhideWhenUsed/>
    <w:qFormat/>
    <w:rsid w:val="00477F99"/>
    <w:pPr>
      <w:keepNext/>
      <w:keepLines/>
      <w:numPr>
        <w:ilvl w:val="2"/>
        <w:numId w:val="1"/>
      </w:numPr>
      <w:spacing w:before="200" w:line="276" w:lineRule="auto"/>
      <w:outlineLvl w:val="2"/>
    </w:pPr>
    <w:rPr>
      <w:rFonts w:ascii="Times New Roman" w:eastAsiaTheme="majorEastAsia" w:hAnsi="Times New Roman" w:cstheme="majorBidi"/>
      <w:b/>
      <w:bCs/>
      <w:i/>
      <w:color w:val="auto"/>
      <w:sz w:val="22"/>
      <w:szCs w:val="22"/>
    </w:rPr>
  </w:style>
  <w:style w:type="paragraph" w:styleId="Heading4">
    <w:name w:val="heading 4"/>
    <w:basedOn w:val="Normal"/>
    <w:next w:val="Normal"/>
    <w:link w:val="Heading4Char"/>
    <w:uiPriority w:val="9"/>
    <w:unhideWhenUsed/>
    <w:qFormat/>
    <w:rsid w:val="00477F99"/>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477F99"/>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477F99"/>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477F99"/>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477F99"/>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77F99"/>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RHP Table Grid"/>
    <w:basedOn w:val="TableNormal"/>
    <w:uiPriority w:val="39"/>
    <w:rsid w:val="00FE06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87F29"/>
    <w:pPr>
      <w:autoSpaceDE w:val="0"/>
      <w:autoSpaceDN w:val="0"/>
      <w:adjustRightInd w:val="0"/>
    </w:pPr>
    <w:rPr>
      <w:rFonts w:ascii="Calibri" w:hAnsi="Calibri" w:cs="Calibri"/>
    </w:rPr>
  </w:style>
  <w:style w:type="character" w:customStyle="1" w:styleId="Heading1Char">
    <w:name w:val="Heading 1 Char"/>
    <w:basedOn w:val="DefaultParagraphFont"/>
    <w:link w:val="Heading1"/>
    <w:uiPriority w:val="9"/>
    <w:rsid w:val="00477F99"/>
    <w:rPr>
      <w:rFonts w:ascii="Times New Roman" w:eastAsiaTheme="majorEastAsia" w:hAnsi="Times New Roman" w:cstheme="majorBidi"/>
      <w:b/>
      <w:bCs/>
      <w:color w:val="auto"/>
      <w:sz w:val="22"/>
      <w:szCs w:val="28"/>
    </w:rPr>
  </w:style>
  <w:style w:type="character" w:customStyle="1" w:styleId="Heading2Char">
    <w:name w:val="Heading 2 Char"/>
    <w:basedOn w:val="DefaultParagraphFont"/>
    <w:link w:val="Heading2"/>
    <w:uiPriority w:val="9"/>
    <w:rsid w:val="00477F99"/>
    <w:rPr>
      <w:rFonts w:ascii="Times New Roman" w:eastAsiaTheme="majorEastAsia" w:hAnsi="Times New Roman" w:cstheme="majorBidi"/>
      <w:b/>
      <w:bCs/>
      <w:color w:val="000000" w:themeColor="text1"/>
      <w:sz w:val="22"/>
      <w:szCs w:val="26"/>
    </w:rPr>
  </w:style>
  <w:style w:type="character" w:customStyle="1" w:styleId="Heading3Char">
    <w:name w:val="Heading 3 Char"/>
    <w:basedOn w:val="DefaultParagraphFont"/>
    <w:link w:val="Heading3"/>
    <w:uiPriority w:val="1"/>
    <w:rsid w:val="00477F99"/>
    <w:rPr>
      <w:rFonts w:ascii="Times New Roman" w:eastAsiaTheme="majorEastAsia" w:hAnsi="Times New Roman" w:cstheme="majorBidi"/>
      <w:b/>
      <w:bCs/>
      <w:i/>
      <w:color w:val="auto"/>
      <w:sz w:val="22"/>
      <w:szCs w:val="22"/>
    </w:rPr>
  </w:style>
  <w:style w:type="character" w:customStyle="1" w:styleId="Heading4Char">
    <w:name w:val="Heading 4 Char"/>
    <w:basedOn w:val="DefaultParagraphFont"/>
    <w:link w:val="Heading4"/>
    <w:uiPriority w:val="9"/>
    <w:rsid w:val="00477F99"/>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77F99"/>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477F99"/>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477F99"/>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477F99"/>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477F99"/>
    <w:rPr>
      <w:rFonts w:asciiTheme="majorHAnsi" w:eastAsiaTheme="majorEastAsia" w:hAnsiTheme="majorHAnsi" w:cstheme="majorBidi"/>
      <w:i/>
      <w:iCs/>
      <w:color w:val="404040" w:themeColor="text1" w:themeTint="BF"/>
      <w:szCs w:val="20"/>
    </w:rPr>
  </w:style>
  <w:style w:type="paragraph" w:styleId="FootnoteText">
    <w:name w:val="footnote text"/>
    <w:aliases w:val="Footnote.Text,ft,Char Char,Char,Footnote1,Footnote2,Footnote3,Footnote4,Footnote5,Footnote6,Footnote7,Footnote8,Footnote9,Footnote10,Footnote11,Footnote21,Footnote31,Footnote41,Footnote51,Footnote61,Footnote71,Footnote81,Footnote91,fn Cha"/>
    <w:basedOn w:val="Normal"/>
    <w:link w:val="FootnoteTextChar"/>
    <w:uiPriority w:val="99"/>
    <w:unhideWhenUsed/>
    <w:qFormat/>
    <w:rsid w:val="00477F99"/>
    <w:rPr>
      <w:rFonts w:asciiTheme="minorHAnsi" w:hAnsiTheme="minorHAnsi" w:cstheme="minorBidi"/>
      <w:color w:val="auto"/>
      <w:szCs w:val="20"/>
    </w:rPr>
  </w:style>
  <w:style w:type="character" w:customStyle="1" w:styleId="FootnoteTextChar">
    <w:name w:val="Footnote Text Char"/>
    <w:aliases w:val="Footnote.Text Char,ft Char,Char Char Char,Char Char1,Footnote1 Char,Footnote2 Char,Footnote3 Char,Footnote4 Char,Footnote5 Char,Footnote6 Char,Footnote7 Char,Footnote8 Char,Footnote9 Char,Footnote10 Char,Footnote11 Char,fn Cha Char"/>
    <w:basedOn w:val="DefaultParagraphFont"/>
    <w:link w:val="FootnoteText"/>
    <w:uiPriority w:val="99"/>
    <w:rsid w:val="00477F99"/>
    <w:rPr>
      <w:rFonts w:asciiTheme="minorHAnsi" w:hAnsiTheme="minorHAnsi" w:cstheme="minorBidi"/>
      <w:color w:val="auto"/>
      <w:sz w:val="20"/>
      <w:szCs w:val="20"/>
    </w:rPr>
  </w:style>
  <w:style w:type="character" w:styleId="FootnoteReference">
    <w:name w:val="footnote reference"/>
    <w:aliases w:val="Footnotes refss,ftref,16 Point,Superscript 6 Point,Footnote Reference Number,Ref,de nota al pie,BVI fnr,Superscript 10 Point,Footnote symbol,4_G"/>
    <w:basedOn w:val="DefaultParagraphFont"/>
    <w:unhideWhenUsed/>
    <w:qFormat/>
    <w:rsid w:val="00477F99"/>
    <w:rPr>
      <w:vertAlign w:val="superscript"/>
    </w:rPr>
  </w:style>
  <w:style w:type="character" w:customStyle="1" w:styleId="tgc">
    <w:name w:val="_tgc"/>
    <w:basedOn w:val="DefaultParagraphFont"/>
    <w:rsid w:val="00477F99"/>
  </w:style>
  <w:style w:type="paragraph" w:styleId="ListParagraph">
    <w:name w:val="List Paragraph"/>
    <w:aliases w:val="References,List Paragraph1,Bullet1,Bullet-1,heading 2,List Paragraph 1"/>
    <w:basedOn w:val="Normal"/>
    <w:link w:val="ListParagraphChar"/>
    <w:uiPriority w:val="34"/>
    <w:qFormat/>
    <w:rsid w:val="00495477"/>
    <w:pPr>
      <w:spacing w:after="200" w:line="276" w:lineRule="auto"/>
      <w:ind w:left="720"/>
      <w:contextualSpacing/>
    </w:pPr>
    <w:rPr>
      <w:rFonts w:asciiTheme="minorHAnsi" w:eastAsiaTheme="minorEastAsia" w:hAnsiTheme="minorHAnsi" w:cstheme="minorBidi"/>
      <w:color w:val="auto"/>
      <w:sz w:val="22"/>
      <w:szCs w:val="22"/>
      <w:lang w:eastAsia="zh-CN"/>
    </w:rPr>
  </w:style>
  <w:style w:type="paragraph" w:styleId="BalloonText">
    <w:name w:val="Balloon Text"/>
    <w:basedOn w:val="Normal"/>
    <w:link w:val="BalloonTextChar"/>
    <w:uiPriority w:val="99"/>
    <w:semiHidden/>
    <w:unhideWhenUsed/>
    <w:rsid w:val="00495477"/>
    <w:rPr>
      <w:rFonts w:ascii="Tahoma" w:hAnsi="Tahoma" w:cs="Tahoma"/>
      <w:sz w:val="16"/>
      <w:szCs w:val="16"/>
    </w:rPr>
  </w:style>
  <w:style w:type="character" w:customStyle="1" w:styleId="BalloonTextChar">
    <w:name w:val="Balloon Text Char"/>
    <w:basedOn w:val="DefaultParagraphFont"/>
    <w:link w:val="BalloonText"/>
    <w:uiPriority w:val="99"/>
    <w:semiHidden/>
    <w:rsid w:val="00495477"/>
    <w:rPr>
      <w:rFonts w:ascii="Tahoma" w:hAnsi="Tahoma" w:cs="Tahoma"/>
      <w:sz w:val="16"/>
      <w:szCs w:val="16"/>
    </w:rPr>
  </w:style>
  <w:style w:type="paragraph" w:styleId="NoSpacing">
    <w:name w:val="No Spacing"/>
    <w:link w:val="NoSpacingChar"/>
    <w:uiPriority w:val="1"/>
    <w:qFormat/>
    <w:rsid w:val="00D41368"/>
  </w:style>
  <w:style w:type="paragraph" w:styleId="BodyText">
    <w:name w:val="Body Text"/>
    <w:basedOn w:val="Normal"/>
    <w:link w:val="BodyTextChar"/>
    <w:uiPriority w:val="1"/>
    <w:qFormat/>
    <w:rsid w:val="00722D2C"/>
    <w:pPr>
      <w:widowControl w:val="0"/>
      <w:autoSpaceDE w:val="0"/>
      <w:autoSpaceDN w:val="0"/>
      <w:adjustRightInd w:val="0"/>
      <w:spacing w:before="64"/>
      <w:ind w:left="845"/>
    </w:pPr>
    <w:rPr>
      <w:rFonts w:ascii="Arial" w:eastAsiaTheme="minorEastAsia" w:hAnsi="Arial" w:cs="Arial"/>
      <w:color w:val="auto"/>
      <w:sz w:val="19"/>
      <w:szCs w:val="19"/>
      <w:lang w:eastAsia="en-GB"/>
    </w:rPr>
  </w:style>
  <w:style w:type="character" w:customStyle="1" w:styleId="BodyTextChar">
    <w:name w:val="Body Text Char"/>
    <w:basedOn w:val="DefaultParagraphFont"/>
    <w:link w:val="BodyText"/>
    <w:uiPriority w:val="1"/>
    <w:rsid w:val="00722D2C"/>
    <w:rPr>
      <w:rFonts w:ascii="Arial" w:eastAsiaTheme="minorEastAsia" w:hAnsi="Arial" w:cs="Arial"/>
      <w:color w:val="auto"/>
      <w:sz w:val="19"/>
      <w:szCs w:val="19"/>
      <w:lang w:val="en-GB" w:eastAsia="en-GB"/>
    </w:rPr>
  </w:style>
  <w:style w:type="character" w:styleId="Strong">
    <w:name w:val="Strong"/>
    <w:basedOn w:val="DefaultParagraphFont"/>
    <w:uiPriority w:val="22"/>
    <w:qFormat/>
    <w:rsid w:val="008B1665"/>
    <w:rPr>
      <w:b/>
      <w:bCs/>
    </w:rPr>
  </w:style>
  <w:style w:type="paragraph" w:styleId="Header">
    <w:name w:val="header"/>
    <w:basedOn w:val="Normal"/>
    <w:link w:val="HeaderChar"/>
    <w:uiPriority w:val="99"/>
    <w:unhideWhenUsed/>
    <w:rsid w:val="00A712C9"/>
    <w:pPr>
      <w:tabs>
        <w:tab w:val="center" w:pos="4513"/>
        <w:tab w:val="right" w:pos="9026"/>
      </w:tabs>
    </w:pPr>
  </w:style>
  <w:style w:type="character" w:customStyle="1" w:styleId="HeaderChar">
    <w:name w:val="Header Char"/>
    <w:basedOn w:val="DefaultParagraphFont"/>
    <w:link w:val="Header"/>
    <w:uiPriority w:val="99"/>
    <w:rsid w:val="00A712C9"/>
  </w:style>
  <w:style w:type="paragraph" w:styleId="Footer">
    <w:name w:val="footer"/>
    <w:basedOn w:val="Normal"/>
    <w:link w:val="FooterChar"/>
    <w:uiPriority w:val="99"/>
    <w:unhideWhenUsed/>
    <w:rsid w:val="00A712C9"/>
    <w:pPr>
      <w:tabs>
        <w:tab w:val="center" w:pos="4513"/>
        <w:tab w:val="right" w:pos="9026"/>
      </w:tabs>
    </w:pPr>
  </w:style>
  <w:style w:type="character" w:customStyle="1" w:styleId="FooterChar">
    <w:name w:val="Footer Char"/>
    <w:basedOn w:val="DefaultParagraphFont"/>
    <w:link w:val="Footer"/>
    <w:uiPriority w:val="99"/>
    <w:rsid w:val="00A712C9"/>
  </w:style>
  <w:style w:type="character" w:styleId="Hyperlink">
    <w:name w:val="Hyperlink"/>
    <w:basedOn w:val="DefaultParagraphFont"/>
    <w:uiPriority w:val="99"/>
    <w:unhideWhenUsed/>
    <w:rsid w:val="00A94431"/>
    <w:rPr>
      <w:color w:val="0000FF" w:themeColor="hyperlink"/>
      <w:u w:val="single"/>
    </w:rPr>
  </w:style>
  <w:style w:type="character" w:customStyle="1" w:styleId="UnresolvedMention1">
    <w:name w:val="Unresolved Mention1"/>
    <w:basedOn w:val="DefaultParagraphFont"/>
    <w:uiPriority w:val="99"/>
    <w:semiHidden/>
    <w:unhideWhenUsed/>
    <w:rsid w:val="00A94431"/>
    <w:rPr>
      <w:color w:val="605E5C"/>
      <w:shd w:val="clear" w:color="auto" w:fill="E1DFDD"/>
    </w:rPr>
  </w:style>
  <w:style w:type="character" w:styleId="PlaceholderText">
    <w:name w:val="Placeholder Text"/>
    <w:basedOn w:val="DefaultParagraphFont"/>
    <w:uiPriority w:val="99"/>
    <w:semiHidden/>
    <w:rsid w:val="00277750"/>
    <w:rPr>
      <w:color w:val="808080"/>
    </w:rPr>
  </w:style>
  <w:style w:type="character" w:customStyle="1" w:styleId="ListParagraphChar">
    <w:name w:val="List Paragraph Char"/>
    <w:aliases w:val="References Char,List Paragraph1 Char,Bullet1 Char,Bullet-1 Char,heading 2 Char,List Paragraph 1 Char"/>
    <w:link w:val="ListParagraph"/>
    <w:uiPriority w:val="34"/>
    <w:locked/>
    <w:rsid w:val="00491BFA"/>
    <w:rPr>
      <w:rFonts w:asciiTheme="minorHAnsi" w:eastAsiaTheme="minorEastAsia" w:hAnsiTheme="minorHAnsi" w:cstheme="minorBidi"/>
      <w:color w:val="auto"/>
      <w:sz w:val="22"/>
      <w:szCs w:val="22"/>
      <w:lang w:val="en-GB" w:eastAsia="zh-CN"/>
    </w:rPr>
  </w:style>
  <w:style w:type="character" w:customStyle="1" w:styleId="fontstyle01">
    <w:name w:val="fontstyle01"/>
    <w:basedOn w:val="DefaultParagraphFont"/>
    <w:rsid w:val="00282F3A"/>
    <w:rPr>
      <w:rFonts w:ascii="TwCenMT-CondensedBold" w:hAnsi="TwCenMT-CondensedBold" w:hint="default"/>
      <w:b/>
      <w:bCs/>
      <w:i w:val="0"/>
      <w:iCs w:val="0"/>
      <w:color w:val="000000"/>
      <w:sz w:val="20"/>
      <w:szCs w:val="20"/>
    </w:rPr>
  </w:style>
  <w:style w:type="character" w:styleId="SubtleReference">
    <w:name w:val="Subtle Reference"/>
    <w:basedOn w:val="DefaultParagraphFont"/>
    <w:uiPriority w:val="31"/>
    <w:qFormat/>
    <w:rsid w:val="00984506"/>
    <w:rPr>
      <w:smallCaps/>
      <w:color w:val="5A5A5A" w:themeColor="text1" w:themeTint="A5"/>
    </w:rPr>
  </w:style>
  <w:style w:type="character" w:styleId="IntenseReference">
    <w:name w:val="Intense Reference"/>
    <w:basedOn w:val="DefaultParagraphFont"/>
    <w:uiPriority w:val="32"/>
    <w:qFormat/>
    <w:rsid w:val="00984506"/>
    <w:rPr>
      <w:b/>
      <w:bCs/>
      <w:smallCaps/>
      <w:color w:val="4F81BD" w:themeColor="accent1"/>
      <w:spacing w:val="5"/>
    </w:rPr>
  </w:style>
  <w:style w:type="character" w:styleId="BookTitle">
    <w:name w:val="Book Title"/>
    <w:basedOn w:val="DefaultParagraphFont"/>
    <w:uiPriority w:val="33"/>
    <w:qFormat/>
    <w:rsid w:val="00984506"/>
    <w:rPr>
      <w:b/>
      <w:bCs/>
      <w:i/>
      <w:iCs/>
      <w:spacing w:val="5"/>
    </w:rPr>
  </w:style>
  <w:style w:type="character" w:customStyle="1" w:styleId="fontstyle11">
    <w:name w:val="fontstyle11"/>
    <w:basedOn w:val="DefaultParagraphFont"/>
    <w:rsid w:val="00B16A54"/>
    <w:rPr>
      <w:rFonts w:ascii="Calibri" w:hAnsi="Calibri" w:cs="Calibri" w:hint="default"/>
      <w:b w:val="0"/>
      <w:bCs w:val="0"/>
      <w:i w:val="0"/>
      <w:iCs w:val="0"/>
      <w:color w:val="4A4A4A"/>
      <w:sz w:val="22"/>
      <w:szCs w:val="22"/>
    </w:rPr>
  </w:style>
  <w:style w:type="character" w:customStyle="1" w:styleId="apple-converted-space">
    <w:name w:val="apple-converted-space"/>
    <w:basedOn w:val="DefaultParagraphFont"/>
    <w:rsid w:val="003C5825"/>
  </w:style>
  <w:style w:type="paragraph" w:customStyle="1" w:styleId="form-control-static">
    <w:name w:val="form-control-static"/>
    <w:basedOn w:val="Normal"/>
    <w:rsid w:val="003C5825"/>
    <w:pPr>
      <w:spacing w:before="100" w:beforeAutospacing="1" w:after="100" w:afterAutospacing="1"/>
    </w:pPr>
    <w:rPr>
      <w:rFonts w:ascii="Times New Roman" w:eastAsia="Times New Roman" w:hAnsi="Times New Roman" w:cs="Times New Roman"/>
      <w:color w:val="auto"/>
      <w:sz w:val="24"/>
      <w:lang w:val="en-GB" w:eastAsia="en-GB"/>
    </w:rPr>
  </w:style>
  <w:style w:type="paragraph" w:customStyle="1" w:styleId="MText">
    <w:name w:val="M.Text"/>
    <w:basedOn w:val="Normal"/>
    <w:link w:val="MTextChar"/>
    <w:qFormat/>
    <w:rsid w:val="007F4B4F"/>
    <w:pPr>
      <w:shd w:val="clear" w:color="auto" w:fill="FFFFFF"/>
      <w:spacing w:line="276" w:lineRule="auto"/>
    </w:pPr>
    <w:rPr>
      <w:rFonts w:asciiTheme="minorHAnsi" w:eastAsia="Times New Roman" w:hAnsiTheme="minorHAnsi" w:cs="Times New Roman"/>
      <w:color w:val="4A4A4A"/>
      <w:sz w:val="21"/>
      <w:szCs w:val="21"/>
      <w:lang w:val="en-GB" w:eastAsia="en-GB"/>
    </w:rPr>
  </w:style>
  <w:style w:type="paragraph" w:customStyle="1" w:styleId="MSubHeader">
    <w:name w:val="M.Sub.Header"/>
    <w:basedOn w:val="Normal"/>
    <w:link w:val="MSubHeaderChar"/>
    <w:qFormat/>
    <w:rsid w:val="007F4B4F"/>
    <w:pPr>
      <w:shd w:val="clear" w:color="auto" w:fill="FFFFFF"/>
      <w:spacing w:line="276" w:lineRule="auto"/>
    </w:pPr>
    <w:rPr>
      <w:rFonts w:asciiTheme="minorHAnsi" w:eastAsia="Times New Roman" w:hAnsiTheme="minorHAnsi" w:cs="Times New Roman"/>
      <w:b/>
      <w:bCs/>
      <w:color w:val="4A4A4A"/>
      <w:sz w:val="21"/>
      <w:szCs w:val="21"/>
      <w:lang w:val="en-GB" w:eastAsia="en-GB"/>
    </w:rPr>
  </w:style>
  <w:style w:type="character" w:customStyle="1" w:styleId="MTextChar">
    <w:name w:val="M.Text Char"/>
    <w:basedOn w:val="DefaultParagraphFont"/>
    <w:link w:val="MText"/>
    <w:rsid w:val="007F4B4F"/>
    <w:rPr>
      <w:rFonts w:asciiTheme="minorHAnsi" w:eastAsia="Times New Roman" w:hAnsiTheme="minorHAnsi" w:cs="Times New Roman"/>
      <w:color w:val="4A4A4A"/>
      <w:sz w:val="21"/>
      <w:szCs w:val="21"/>
      <w:shd w:val="clear" w:color="auto" w:fill="FFFFFF"/>
      <w:lang w:val="en-GB" w:eastAsia="en-GB"/>
    </w:rPr>
  </w:style>
  <w:style w:type="character" w:customStyle="1" w:styleId="MSubHeaderChar">
    <w:name w:val="M.Sub.Header Char"/>
    <w:basedOn w:val="DefaultParagraphFont"/>
    <w:link w:val="MSubHeader"/>
    <w:rsid w:val="007F4B4F"/>
    <w:rPr>
      <w:rFonts w:asciiTheme="minorHAnsi" w:eastAsia="Times New Roman" w:hAnsiTheme="minorHAnsi" w:cs="Times New Roman"/>
      <w:b/>
      <w:bCs/>
      <w:color w:val="4A4A4A"/>
      <w:sz w:val="21"/>
      <w:szCs w:val="21"/>
      <w:shd w:val="clear" w:color="auto" w:fill="FFFFFF"/>
      <w:lang w:val="en-GB" w:eastAsia="en-GB"/>
    </w:rPr>
  </w:style>
  <w:style w:type="table" w:customStyle="1" w:styleId="TableGrid0">
    <w:name w:val="TableGrid"/>
    <w:rsid w:val="008362D2"/>
    <w:rPr>
      <w:rFonts w:asciiTheme="minorHAnsi" w:eastAsiaTheme="minorEastAsia" w:hAnsiTheme="minorHAnsi" w:cstheme="minorBidi"/>
      <w:color w:val="auto"/>
      <w:sz w:val="22"/>
      <w:szCs w:val="28"/>
      <w:lang w:bidi="bn-BD"/>
    </w:rPr>
    <w:tblPr>
      <w:tblCellMar>
        <w:top w:w="0" w:type="dxa"/>
        <w:left w:w="0" w:type="dxa"/>
        <w:bottom w:w="0" w:type="dxa"/>
        <w:right w:w="0" w:type="dxa"/>
      </w:tblCellMar>
    </w:tblPr>
  </w:style>
  <w:style w:type="character" w:customStyle="1" w:styleId="A19">
    <w:name w:val="A19"/>
    <w:uiPriority w:val="99"/>
    <w:rsid w:val="001155B8"/>
    <w:rPr>
      <w:rFonts w:cs="Frutiger LT Std 45 Light"/>
      <w:color w:val="000000"/>
      <w:sz w:val="16"/>
      <w:szCs w:val="16"/>
    </w:rPr>
  </w:style>
  <w:style w:type="paragraph" w:customStyle="1" w:styleId="MHeader">
    <w:name w:val="M.Header"/>
    <w:basedOn w:val="Normal"/>
    <w:link w:val="MHeaderChar"/>
    <w:qFormat/>
    <w:rsid w:val="00362CF3"/>
    <w:pPr>
      <w:pBdr>
        <w:bottom w:val="single" w:sz="12" w:space="4" w:color="DDDDDD"/>
      </w:pBdr>
      <w:shd w:val="clear" w:color="auto" w:fill="FFFFFF"/>
      <w:spacing w:line="276" w:lineRule="auto"/>
      <w:outlineLvl w:val="2"/>
    </w:pPr>
    <w:rPr>
      <w:rFonts w:asciiTheme="minorHAnsi" w:eastAsia="Times New Roman" w:hAnsiTheme="minorHAnsi" w:cs="Times New Roman"/>
      <w:color w:val="1C75BC"/>
      <w:sz w:val="36"/>
      <w:szCs w:val="36"/>
      <w:lang w:val="en-GB" w:eastAsia="en-GB"/>
    </w:rPr>
  </w:style>
  <w:style w:type="character" w:customStyle="1" w:styleId="MHeaderChar">
    <w:name w:val="M.Header Char"/>
    <w:basedOn w:val="DefaultParagraphFont"/>
    <w:link w:val="MHeader"/>
    <w:rsid w:val="00362CF3"/>
    <w:rPr>
      <w:rFonts w:asciiTheme="minorHAnsi" w:eastAsia="Times New Roman" w:hAnsiTheme="minorHAnsi" w:cs="Times New Roman"/>
      <w:color w:val="1C75BC"/>
      <w:sz w:val="36"/>
      <w:szCs w:val="36"/>
      <w:shd w:val="clear" w:color="auto" w:fill="FFFFFF"/>
      <w:lang w:val="en-GB" w:eastAsia="en-GB"/>
    </w:rPr>
  </w:style>
  <w:style w:type="paragraph" w:customStyle="1" w:styleId="footnotedescription">
    <w:name w:val="footnote description"/>
    <w:next w:val="Normal"/>
    <w:link w:val="footnotedescriptionChar"/>
    <w:hidden/>
    <w:rsid w:val="00C05E16"/>
    <w:pPr>
      <w:spacing w:after="266"/>
    </w:pPr>
    <w:rPr>
      <w:rFonts w:ascii="Cambria" w:eastAsia="Cambria" w:hAnsi="Cambria" w:cs="Cambria"/>
      <w:i/>
      <w:szCs w:val="22"/>
    </w:rPr>
  </w:style>
  <w:style w:type="character" w:customStyle="1" w:styleId="footnotedescriptionChar">
    <w:name w:val="footnote description Char"/>
    <w:link w:val="footnotedescription"/>
    <w:rsid w:val="00C05E16"/>
    <w:rPr>
      <w:rFonts w:ascii="Cambria" w:eastAsia="Cambria" w:hAnsi="Cambria" w:cs="Cambria"/>
      <w:i/>
      <w:szCs w:val="22"/>
    </w:rPr>
  </w:style>
  <w:style w:type="character" w:customStyle="1" w:styleId="footnotemark">
    <w:name w:val="footnote mark"/>
    <w:hidden/>
    <w:rsid w:val="00C05E16"/>
    <w:rPr>
      <w:rFonts w:ascii="Cambria" w:eastAsia="Cambria" w:hAnsi="Cambria" w:cs="Cambria"/>
      <w:color w:val="000000"/>
      <w:sz w:val="20"/>
      <w:vertAlign w:val="superscript"/>
    </w:rPr>
  </w:style>
  <w:style w:type="paragraph" w:customStyle="1" w:styleId="NormalNonumber">
    <w:name w:val="Normal_No_number"/>
    <w:basedOn w:val="Normal"/>
    <w:rsid w:val="00276C55"/>
    <w:pPr>
      <w:tabs>
        <w:tab w:val="left" w:pos="1247"/>
        <w:tab w:val="left" w:pos="1814"/>
        <w:tab w:val="left" w:pos="2381"/>
        <w:tab w:val="left" w:pos="2948"/>
        <w:tab w:val="left" w:pos="3515"/>
        <w:tab w:val="left" w:pos="4082"/>
      </w:tabs>
      <w:spacing w:after="120"/>
      <w:ind w:left="1247"/>
    </w:pPr>
    <w:rPr>
      <w:rFonts w:ascii="Times New Roman" w:eastAsia="Times New Roman" w:hAnsi="Times New Roman" w:cs="Times New Roman"/>
      <w:color w:val="auto"/>
      <w:szCs w:val="20"/>
      <w:lang w:val="fr-CA"/>
    </w:rPr>
  </w:style>
  <w:style w:type="table" w:customStyle="1" w:styleId="PlainTable21">
    <w:name w:val="Plain Table 21"/>
    <w:basedOn w:val="TableNormal"/>
    <w:uiPriority w:val="42"/>
    <w:rsid w:val="006C66C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F30D57"/>
    <w:pPr>
      <w:widowControl w:val="0"/>
    </w:pPr>
    <w:rPr>
      <w:rFonts w:asciiTheme="minorHAnsi" w:hAnsiTheme="minorHAnsi" w:cstheme="minorBidi"/>
      <w:color w:val="auto"/>
      <w:sz w:val="22"/>
      <w:szCs w:val="22"/>
    </w:rPr>
  </w:style>
  <w:style w:type="paragraph" w:customStyle="1" w:styleId="MGTHeader">
    <w:name w:val="M.G+T.Header"/>
    <w:basedOn w:val="Normal"/>
    <w:link w:val="MGTHeaderChar"/>
    <w:qFormat/>
    <w:rsid w:val="00F30D57"/>
    <w:pPr>
      <w:shd w:val="clear" w:color="auto" w:fill="F5F5F5"/>
      <w:spacing w:line="276" w:lineRule="auto"/>
      <w:outlineLvl w:val="4"/>
    </w:pPr>
    <w:rPr>
      <w:rFonts w:asciiTheme="minorHAnsi" w:eastAsia="Times New Roman" w:hAnsiTheme="minorHAnsi" w:cs="Times New Roman"/>
      <w:color w:val="333333"/>
      <w:sz w:val="21"/>
      <w:szCs w:val="21"/>
      <w:lang w:val="en-GB" w:eastAsia="en-GB"/>
    </w:rPr>
  </w:style>
  <w:style w:type="paragraph" w:customStyle="1" w:styleId="MIndHeader">
    <w:name w:val="M.Ind.Header"/>
    <w:basedOn w:val="Normal"/>
    <w:link w:val="MIndHeaderChar"/>
    <w:qFormat/>
    <w:rsid w:val="00F30D57"/>
    <w:pPr>
      <w:shd w:val="clear" w:color="auto" w:fill="F5F5F5"/>
      <w:spacing w:line="276" w:lineRule="auto"/>
      <w:outlineLvl w:val="1"/>
    </w:pPr>
    <w:rPr>
      <w:rFonts w:asciiTheme="minorHAnsi" w:eastAsia="Times New Roman" w:hAnsiTheme="minorHAnsi" w:cs="Times New Roman"/>
      <w:color w:val="1C75BC"/>
      <w:sz w:val="22"/>
      <w:szCs w:val="22"/>
      <w:lang w:val="en-GB" w:eastAsia="en-GB"/>
    </w:rPr>
  </w:style>
  <w:style w:type="character" w:customStyle="1" w:styleId="MGTHeaderChar">
    <w:name w:val="M.G+T.Header Char"/>
    <w:basedOn w:val="DefaultParagraphFont"/>
    <w:link w:val="MGTHeader"/>
    <w:rsid w:val="00F30D57"/>
    <w:rPr>
      <w:rFonts w:asciiTheme="minorHAnsi" w:eastAsia="Times New Roman" w:hAnsiTheme="minorHAnsi" w:cs="Times New Roman"/>
      <w:color w:val="333333"/>
      <w:sz w:val="21"/>
      <w:szCs w:val="21"/>
      <w:shd w:val="clear" w:color="auto" w:fill="F5F5F5"/>
      <w:lang w:val="en-GB" w:eastAsia="en-GB"/>
    </w:rPr>
  </w:style>
  <w:style w:type="character" w:customStyle="1" w:styleId="MIndHeaderChar">
    <w:name w:val="M.Ind.Header Char"/>
    <w:basedOn w:val="DefaultParagraphFont"/>
    <w:link w:val="MIndHeader"/>
    <w:rsid w:val="00F30D57"/>
    <w:rPr>
      <w:rFonts w:asciiTheme="minorHAnsi" w:eastAsia="Times New Roman" w:hAnsiTheme="minorHAnsi" w:cs="Times New Roman"/>
      <w:color w:val="1C75BC"/>
      <w:sz w:val="22"/>
      <w:szCs w:val="22"/>
      <w:shd w:val="clear" w:color="auto" w:fill="F5F5F5"/>
      <w:lang w:val="en-GB" w:eastAsia="en-GB"/>
    </w:rPr>
  </w:style>
  <w:style w:type="table" w:customStyle="1" w:styleId="GridTable1Light1">
    <w:name w:val="Grid Table 1 Light1"/>
    <w:basedOn w:val="TableNormal"/>
    <w:uiPriority w:val="46"/>
    <w:rsid w:val="00CC53C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99"/>
    <w:unhideWhenUsed/>
    <w:qFormat/>
    <w:rsid w:val="00445764"/>
    <w:pPr>
      <w:spacing w:after="200"/>
    </w:pPr>
    <w:rPr>
      <w:i/>
      <w:iCs/>
      <w:color w:val="1F497D" w:themeColor="text2"/>
      <w:sz w:val="18"/>
      <w:szCs w:val="18"/>
    </w:rPr>
  </w:style>
  <w:style w:type="paragraph" w:customStyle="1" w:styleId="GHTableBody">
    <w:name w:val="GH_Table Body"/>
    <w:basedOn w:val="Normal"/>
    <w:qFormat/>
    <w:rsid w:val="005D3EC9"/>
    <w:pPr>
      <w:spacing w:before="60" w:after="60"/>
    </w:pPr>
    <w:rPr>
      <w:rFonts w:ascii="Arial" w:eastAsia="MS PGothic" w:hAnsi="Arial" w:cs="Times New Roman"/>
      <w:color w:val="auto"/>
      <w:sz w:val="16"/>
      <w:lang w:val="en-GB"/>
    </w:rPr>
  </w:style>
  <w:style w:type="table" w:customStyle="1" w:styleId="GridTable5Dark-Accent31">
    <w:name w:val="Grid Table 5 Dark - Accent 31"/>
    <w:basedOn w:val="TableNormal"/>
    <w:uiPriority w:val="50"/>
    <w:rsid w:val="007C136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CommentReference">
    <w:name w:val="annotation reference"/>
    <w:basedOn w:val="DefaultParagraphFont"/>
    <w:uiPriority w:val="99"/>
    <w:semiHidden/>
    <w:unhideWhenUsed/>
    <w:rsid w:val="00081C8E"/>
    <w:rPr>
      <w:sz w:val="16"/>
      <w:szCs w:val="16"/>
    </w:rPr>
  </w:style>
  <w:style w:type="paragraph" w:styleId="CommentText">
    <w:name w:val="annotation text"/>
    <w:basedOn w:val="Normal"/>
    <w:link w:val="CommentTextChar"/>
    <w:uiPriority w:val="99"/>
    <w:semiHidden/>
    <w:unhideWhenUsed/>
    <w:rsid w:val="00081C8E"/>
    <w:pPr>
      <w:spacing w:after="200"/>
    </w:pPr>
    <w:rPr>
      <w:rFonts w:asciiTheme="minorHAnsi" w:eastAsiaTheme="minorEastAsia" w:hAnsiTheme="minorHAnsi" w:cstheme="minorBidi"/>
      <w:color w:val="auto"/>
      <w:szCs w:val="20"/>
      <w:lang w:val="en-GB" w:eastAsia="zh-CN"/>
    </w:rPr>
  </w:style>
  <w:style w:type="character" w:customStyle="1" w:styleId="CommentTextChar">
    <w:name w:val="Comment Text Char"/>
    <w:basedOn w:val="DefaultParagraphFont"/>
    <w:link w:val="CommentText"/>
    <w:uiPriority w:val="99"/>
    <w:semiHidden/>
    <w:rsid w:val="00081C8E"/>
    <w:rPr>
      <w:rFonts w:asciiTheme="minorHAnsi" w:eastAsiaTheme="minorEastAsia" w:hAnsiTheme="minorHAnsi" w:cstheme="minorBidi"/>
      <w:color w:val="auto"/>
      <w:szCs w:val="20"/>
      <w:lang w:val="en-GB" w:eastAsia="zh-CN"/>
    </w:rPr>
  </w:style>
  <w:style w:type="paragraph" w:styleId="CommentSubject">
    <w:name w:val="annotation subject"/>
    <w:basedOn w:val="CommentText"/>
    <w:next w:val="CommentText"/>
    <w:link w:val="CommentSubjectChar"/>
    <w:uiPriority w:val="99"/>
    <w:semiHidden/>
    <w:unhideWhenUsed/>
    <w:rsid w:val="00081C8E"/>
    <w:rPr>
      <w:b/>
      <w:bCs/>
    </w:rPr>
  </w:style>
  <w:style w:type="character" w:customStyle="1" w:styleId="CommentSubjectChar">
    <w:name w:val="Comment Subject Char"/>
    <w:basedOn w:val="CommentTextChar"/>
    <w:link w:val="CommentSubject"/>
    <w:uiPriority w:val="99"/>
    <w:semiHidden/>
    <w:rsid w:val="00081C8E"/>
    <w:rPr>
      <w:rFonts w:asciiTheme="minorHAnsi" w:eastAsiaTheme="minorEastAsia" w:hAnsiTheme="minorHAnsi" w:cstheme="minorBidi"/>
      <w:b/>
      <w:bCs/>
      <w:color w:val="auto"/>
      <w:szCs w:val="20"/>
      <w:lang w:val="en-GB" w:eastAsia="zh-CN"/>
    </w:rPr>
  </w:style>
  <w:style w:type="paragraph" w:styleId="EndnoteText">
    <w:name w:val="endnote text"/>
    <w:basedOn w:val="Normal"/>
    <w:link w:val="EndnoteTextChar"/>
    <w:uiPriority w:val="99"/>
    <w:semiHidden/>
    <w:unhideWhenUsed/>
    <w:rsid w:val="00081C8E"/>
    <w:rPr>
      <w:rFonts w:ascii="Calibri" w:eastAsia="Calibri" w:hAnsi="Calibri" w:cs="Times New Roman"/>
      <w:color w:val="auto"/>
      <w:szCs w:val="20"/>
      <w:lang w:val="en-GB"/>
    </w:rPr>
  </w:style>
  <w:style w:type="character" w:customStyle="1" w:styleId="EndnoteTextChar">
    <w:name w:val="Endnote Text Char"/>
    <w:basedOn w:val="DefaultParagraphFont"/>
    <w:link w:val="EndnoteText"/>
    <w:uiPriority w:val="99"/>
    <w:semiHidden/>
    <w:rsid w:val="00081C8E"/>
    <w:rPr>
      <w:rFonts w:ascii="Calibri" w:eastAsia="Calibri" w:hAnsi="Calibri" w:cs="Times New Roman"/>
      <w:color w:val="auto"/>
      <w:szCs w:val="20"/>
      <w:lang w:val="en-GB"/>
    </w:rPr>
  </w:style>
  <w:style w:type="character" w:styleId="EndnoteReference">
    <w:name w:val="endnote reference"/>
    <w:uiPriority w:val="99"/>
    <w:semiHidden/>
    <w:unhideWhenUsed/>
    <w:rsid w:val="00081C8E"/>
    <w:rPr>
      <w:vertAlign w:val="superscript"/>
    </w:rPr>
  </w:style>
  <w:style w:type="paragraph" w:customStyle="1" w:styleId="NonNumbered">
    <w:name w:val="NonNumbered"/>
    <w:basedOn w:val="Normal"/>
    <w:rsid w:val="00081C8E"/>
    <w:pPr>
      <w:spacing w:before="240" w:after="240"/>
      <w:ind w:left="1134"/>
      <w:jc w:val="both"/>
    </w:pPr>
    <w:rPr>
      <w:rFonts w:ascii="Calibri" w:eastAsia="Times New Roman" w:hAnsi="Calibri" w:cs="Times New Roman"/>
      <w:color w:val="auto"/>
      <w:sz w:val="22"/>
      <w:szCs w:val="20"/>
    </w:rPr>
  </w:style>
  <w:style w:type="character" w:styleId="FollowedHyperlink">
    <w:name w:val="FollowedHyperlink"/>
    <w:uiPriority w:val="99"/>
    <w:semiHidden/>
    <w:unhideWhenUsed/>
    <w:rsid w:val="00081C8E"/>
    <w:rPr>
      <w:color w:val="800080"/>
      <w:u w:val="single"/>
    </w:rPr>
  </w:style>
  <w:style w:type="character" w:customStyle="1" w:styleId="UnresolvedMention10">
    <w:name w:val="Unresolved Mention1"/>
    <w:uiPriority w:val="99"/>
    <w:semiHidden/>
    <w:unhideWhenUsed/>
    <w:rsid w:val="00081C8E"/>
    <w:rPr>
      <w:color w:val="605E5C"/>
      <w:shd w:val="clear" w:color="auto" w:fill="E1DFDD"/>
    </w:rPr>
  </w:style>
  <w:style w:type="paragraph" w:styleId="TOCHeading">
    <w:name w:val="TOC Heading"/>
    <w:basedOn w:val="Heading1"/>
    <w:next w:val="Normal"/>
    <w:uiPriority w:val="39"/>
    <w:unhideWhenUsed/>
    <w:qFormat/>
    <w:rsid w:val="00081C8E"/>
    <w:pPr>
      <w:numPr>
        <w:numId w:val="0"/>
      </w:numPr>
      <w:spacing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081C8E"/>
    <w:pPr>
      <w:tabs>
        <w:tab w:val="left" w:pos="440"/>
        <w:tab w:val="right" w:leader="dot" w:pos="9016"/>
      </w:tabs>
      <w:spacing w:after="100" w:line="259" w:lineRule="auto"/>
    </w:pPr>
    <w:rPr>
      <w:rFonts w:ascii="Calibri" w:eastAsia="Times New Roman" w:hAnsi="Calibri" w:cs="Times New Roman"/>
      <w:color w:val="auto"/>
      <w:sz w:val="24"/>
    </w:rPr>
  </w:style>
  <w:style w:type="paragraph" w:styleId="TOC2">
    <w:name w:val="toc 2"/>
    <w:basedOn w:val="Normal"/>
    <w:next w:val="Normal"/>
    <w:autoRedefine/>
    <w:uiPriority w:val="39"/>
    <w:unhideWhenUsed/>
    <w:rsid w:val="00081C8E"/>
    <w:pPr>
      <w:ind w:left="240"/>
    </w:pPr>
    <w:rPr>
      <w:rFonts w:ascii="Calibri" w:eastAsia="Times New Roman" w:hAnsi="Calibri" w:cs="Times New Roman"/>
      <w:color w:val="auto"/>
      <w:sz w:val="24"/>
    </w:rPr>
  </w:style>
  <w:style w:type="paragraph" w:customStyle="1" w:styleId="font5">
    <w:name w:val="font5"/>
    <w:basedOn w:val="Normal"/>
    <w:rsid w:val="00081C8E"/>
    <w:pPr>
      <w:spacing w:before="100" w:beforeAutospacing="1" w:after="100" w:afterAutospacing="1"/>
    </w:pPr>
    <w:rPr>
      <w:rFonts w:ascii="Arial Narrow" w:eastAsia="Times New Roman" w:hAnsi="Arial Narrow" w:cs="Times New Roman"/>
      <w:color w:val="auto"/>
      <w:szCs w:val="20"/>
      <w:lang w:val="en-GB" w:eastAsia="en-GB"/>
    </w:rPr>
  </w:style>
  <w:style w:type="paragraph" w:customStyle="1" w:styleId="xl67">
    <w:name w:val="xl67"/>
    <w:basedOn w:val="Normal"/>
    <w:rsid w:val="00081C8E"/>
    <w:pPr>
      <w:shd w:val="clear" w:color="000000" w:fill="FFFFFF"/>
      <w:spacing w:before="100" w:beforeAutospacing="1" w:after="100" w:afterAutospacing="1"/>
      <w:textAlignment w:val="top"/>
    </w:pPr>
    <w:rPr>
      <w:rFonts w:ascii="Calibri" w:eastAsia="Times New Roman" w:hAnsi="Calibri" w:cs="Times New Roman"/>
      <w:color w:val="auto"/>
      <w:sz w:val="24"/>
      <w:lang w:val="en-GB" w:eastAsia="en-GB"/>
    </w:rPr>
  </w:style>
  <w:style w:type="paragraph" w:customStyle="1" w:styleId="xl68">
    <w:name w:val="xl68"/>
    <w:basedOn w:val="Normal"/>
    <w:rsid w:val="00081C8E"/>
    <w:pPr>
      <w:shd w:val="clear" w:color="000000" w:fill="FFFFFF"/>
      <w:spacing w:before="100" w:beforeAutospacing="1" w:after="100" w:afterAutospacing="1"/>
      <w:textAlignment w:val="top"/>
    </w:pPr>
    <w:rPr>
      <w:rFonts w:ascii="Calibri" w:eastAsia="Times New Roman" w:hAnsi="Calibri" w:cs="Times New Roman"/>
      <w:color w:val="auto"/>
      <w:szCs w:val="20"/>
      <w:lang w:val="en-GB" w:eastAsia="en-GB"/>
    </w:rPr>
  </w:style>
  <w:style w:type="paragraph" w:customStyle="1" w:styleId="xl69">
    <w:name w:val="xl69"/>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b/>
      <w:bCs/>
      <w:color w:val="auto"/>
      <w:szCs w:val="20"/>
      <w:lang w:val="en-GB" w:eastAsia="en-GB"/>
    </w:rPr>
  </w:style>
  <w:style w:type="paragraph" w:customStyle="1" w:styleId="xl70">
    <w:name w:val="xl70"/>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71">
    <w:name w:val="xl71"/>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color w:val="auto"/>
      <w:szCs w:val="20"/>
      <w:lang w:val="en-GB" w:eastAsia="en-GB"/>
    </w:rPr>
  </w:style>
  <w:style w:type="paragraph" w:customStyle="1" w:styleId="xl72">
    <w:name w:val="xl72"/>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73">
    <w:name w:val="xl73"/>
    <w:basedOn w:val="Normal"/>
    <w:rsid w:val="00081C8E"/>
    <w:pPr>
      <w:shd w:val="clear" w:color="000000" w:fill="FFFFFF"/>
      <w:spacing w:before="100" w:beforeAutospacing="1" w:after="100" w:afterAutospacing="1"/>
      <w:jc w:val="center"/>
      <w:textAlignment w:val="top"/>
    </w:pPr>
    <w:rPr>
      <w:rFonts w:ascii="Calibri" w:eastAsia="Times New Roman" w:hAnsi="Calibri" w:cs="Times New Roman"/>
      <w:color w:val="auto"/>
      <w:sz w:val="24"/>
      <w:lang w:val="en-GB" w:eastAsia="en-GB"/>
    </w:rPr>
  </w:style>
  <w:style w:type="paragraph" w:customStyle="1" w:styleId="xl74">
    <w:name w:val="xl74"/>
    <w:basedOn w:val="Normal"/>
    <w:rsid w:val="00081C8E"/>
    <w:pP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75">
    <w:name w:val="xl75"/>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76">
    <w:name w:val="xl76"/>
    <w:basedOn w:val="Normal"/>
    <w:rsid w:val="00081C8E"/>
    <w:pPr>
      <w:pBdr>
        <w:bottom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77">
    <w:name w:val="xl77"/>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78">
    <w:name w:val="xl78"/>
    <w:basedOn w:val="Normal"/>
    <w:rsid w:val="00081C8E"/>
    <w:pPr>
      <w:pBdr>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79">
    <w:name w:val="xl79"/>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80">
    <w:name w:val="xl80"/>
    <w:basedOn w:val="Normal"/>
    <w:rsid w:val="00081C8E"/>
    <w:pP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81">
    <w:name w:val="xl81"/>
    <w:basedOn w:val="Normal"/>
    <w:rsid w:val="00081C8E"/>
    <w:pPr>
      <w:pBdr>
        <w:bottom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color w:val="auto"/>
      <w:szCs w:val="20"/>
      <w:lang w:val="en-GB" w:eastAsia="en-GB"/>
    </w:rPr>
  </w:style>
  <w:style w:type="paragraph" w:customStyle="1" w:styleId="xl82">
    <w:name w:val="xl82"/>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83">
    <w:name w:val="xl83"/>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b/>
      <w:bCs/>
      <w:color w:val="auto"/>
      <w:szCs w:val="20"/>
      <w:lang w:val="en-GB" w:eastAsia="en-GB"/>
    </w:rPr>
  </w:style>
  <w:style w:type="paragraph" w:customStyle="1" w:styleId="xl84">
    <w:name w:val="xl84"/>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color w:val="auto"/>
      <w:szCs w:val="20"/>
      <w:lang w:val="en-GB" w:eastAsia="en-GB"/>
    </w:rPr>
  </w:style>
  <w:style w:type="paragraph" w:customStyle="1" w:styleId="xl85">
    <w:name w:val="xl85"/>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86">
    <w:name w:val="xl86"/>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color w:val="auto"/>
      <w:szCs w:val="20"/>
      <w:lang w:val="en-GB" w:eastAsia="en-GB"/>
    </w:rPr>
  </w:style>
  <w:style w:type="paragraph" w:customStyle="1" w:styleId="xl87">
    <w:name w:val="xl87"/>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8"/>
      <w:szCs w:val="28"/>
      <w:lang w:val="en-GB" w:eastAsia="en-GB"/>
    </w:rPr>
  </w:style>
  <w:style w:type="paragraph" w:customStyle="1" w:styleId="xl88">
    <w:name w:val="xl88"/>
    <w:basedOn w:val="Normal"/>
    <w:rsid w:val="00081C8E"/>
    <w:pPr>
      <w:pBdr>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customStyle="1" w:styleId="xl89">
    <w:name w:val="xl89"/>
    <w:basedOn w:val="Normal"/>
    <w:rsid w:val="00081C8E"/>
    <w:pPr>
      <w:shd w:val="clear" w:color="000000" w:fill="FFFFFF"/>
      <w:spacing w:before="100" w:beforeAutospacing="1" w:after="100" w:afterAutospacing="1"/>
      <w:textAlignment w:val="center"/>
    </w:pPr>
    <w:rPr>
      <w:rFonts w:ascii="Times New Roman" w:eastAsia="Times New Roman" w:hAnsi="Times New Roman" w:cs="Times New Roman"/>
      <w:b/>
      <w:bCs/>
      <w:color w:val="auto"/>
      <w:szCs w:val="20"/>
      <w:lang w:val="en-GB" w:eastAsia="en-GB"/>
    </w:rPr>
  </w:style>
  <w:style w:type="paragraph" w:customStyle="1" w:styleId="xl90">
    <w:name w:val="xl90"/>
    <w:basedOn w:val="Normal"/>
    <w:rsid w:val="00081C8E"/>
    <w:pPr>
      <w:shd w:val="clear" w:color="000000" w:fill="FFFFFF"/>
      <w:spacing w:before="100" w:beforeAutospacing="1" w:after="100" w:afterAutospacing="1"/>
      <w:textAlignment w:val="center"/>
    </w:pPr>
    <w:rPr>
      <w:rFonts w:ascii="Times New Roman" w:eastAsia="Times New Roman" w:hAnsi="Times New Roman" w:cs="Times New Roman"/>
      <w:color w:val="auto"/>
      <w:szCs w:val="20"/>
      <w:lang w:val="en-GB" w:eastAsia="en-GB"/>
    </w:rPr>
  </w:style>
  <w:style w:type="paragraph" w:customStyle="1" w:styleId="xl91">
    <w:name w:val="xl91"/>
    <w:basedOn w:val="Normal"/>
    <w:rsid w:val="00081C8E"/>
    <w:pP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8"/>
      <w:szCs w:val="28"/>
      <w:lang w:val="en-GB" w:eastAsia="en-GB"/>
    </w:rPr>
  </w:style>
  <w:style w:type="paragraph" w:customStyle="1" w:styleId="xl92">
    <w:name w:val="xl92"/>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b/>
      <w:bCs/>
      <w:color w:val="auto"/>
      <w:szCs w:val="20"/>
      <w:lang w:val="en-GB" w:eastAsia="en-GB"/>
    </w:rPr>
  </w:style>
  <w:style w:type="paragraph" w:customStyle="1" w:styleId="xl93">
    <w:name w:val="xl93"/>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auto"/>
      <w:sz w:val="24"/>
      <w:lang w:val="en-GB" w:eastAsia="en-GB"/>
    </w:rPr>
  </w:style>
  <w:style w:type="paragraph" w:customStyle="1" w:styleId="xl94">
    <w:name w:val="xl94"/>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95">
    <w:name w:val="xl95"/>
    <w:basedOn w:val="Normal"/>
    <w:rsid w:val="00081C8E"/>
    <w:pPr>
      <w:shd w:val="clear" w:color="000000" w:fill="FFFFFF"/>
      <w:spacing w:before="100" w:beforeAutospacing="1" w:after="100" w:afterAutospacing="1"/>
      <w:textAlignment w:val="top"/>
    </w:pPr>
    <w:rPr>
      <w:rFonts w:ascii="Calibri" w:eastAsia="Times New Roman" w:hAnsi="Calibri" w:cs="Times New Roman"/>
      <w:color w:val="auto"/>
      <w:sz w:val="24"/>
      <w:lang w:val="en-GB" w:eastAsia="en-GB"/>
    </w:rPr>
  </w:style>
  <w:style w:type="paragraph" w:customStyle="1" w:styleId="xl96">
    <w:name w:val="xl96"/>
    <w:basedOn w:val="Normal"/>
    <w:rsid w:val="00081C8E"/>
    <w:pPr>
      <w:shd w:val="clear" w:color="000000" w:fill="FFFFFF"/>
      <w:spacing w:before="100" w:beforeAutospacing="1" w:after="100" w:afterAutospacing="1"/>
      <w:textAlignment w:val="top"/>
    </w:pPr>
    <w:rPr>
      <w:rFonts w:ascii="Times New Roman" w:eastAsia="Times New Roman" w:hAnsi="Times New Roman" w:cs="Times New Roman"/>
      <w:color w:val="auto"/>
      <w:szCs w:val="20"/>
      <w:lang w:val="en-GB" w:eastAsia="en-GB"/>
    </w:rPr>
  </w:style>
  <w:style w:type="paragraph" w:customStyle="1" w:styleId="xl97">
    <w:name w:val="xl97"/>
    <w:basedOn w:val="Normal"/>
    <w:rsid w:val="00081C8E"/>
    <w:pPr>
      <w:pBdr>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4"/>
      <w:lang w:val="en-GB" w:eastAsia="en-GB"/>
    </w:rPr>
  </w:style>
  <w:style w:type="paragraph" w:customStyle="1" w:styleId="xl98">
    <w:name w:val="xl98"/>
    <w:basedOn w:val="Normal"/>
    <w:rsid w:val="00081C8E"/>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szCs w:val="20"/>
      <w:lang w:val="en-GB" w:eastAsia="en-GB"/>
    </w:rPr>
  </w:style>
  <w:style w:type="paragraph" w:customStyle="1" w:styleId="xl99">
    <w:name w:val="xl99"/>
    <w:basedOn w:val="Normal"/>
    <w:rsid w:val="00081C8E"/>
    <w:pPr>
      <w:spacing w:before="100" w:beforeAutospacing="1" w:after="100" w:afterAutospacing="1"/>
      <w:textAlignment w:val="top"/>
    </w:pPr>
    <w:rPr>
      <w:rFonts w:ascii="Calibri" w:eastAsia="Times New Roman" w:hAnsi="Calibri" w:cs="Times New Roman"/>
      <w:color w:val="auto"/>
      <w:szCs w:val="20"/>
      <w:lang w:val="en-GB" w:eastAsia="en-GB"/>
    </w:rPr>
  </w:style>
  <w:style w:type="paragraph" w:customStyle="1" w:styleId="xl100">
    <w:name w:val="xl100"/>
    <w:basedOn w:val="Normal"/>
    <w:rsid w:val="00081C8E"/>
    <w:pPr>
      <w:pBdr>
        <w:top w:val="single" w:sz="4" w:space="0" w:color="auto"/>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auto"/>
      <w:sz w:val="24"/>
      <w:lang w:val="en-GB" w:eastAsia="en-GB"/>
    </w:rPr>
  </w:style>
  <w:style w:type="paragraph" w:styleId="NormalWeb">
    <w:name w:val="Normal (Web)"/>
    <w:basedOn w:val="Normal"/>
    <w:uiPriority w:val="99"/>
    <w:unhideWhenUsed/>
    <w:rsid w:val="005B08BC"/>
    <w:rPr>
      <w:rFonts w:ascii="Times New Roman" w:eastAsia="Times New Roman" w:hAnsi="Times New Roman" w:cs="Times New Roman"/>
      <w:color w:val="auto"/>
      <w:sz w:val="24"/>
    </w:rPr>
  </w:style>
  <w:style w:type="character" w:styleId="Emphasis">
    <w:name w:val="Emphasis"/>
    <w:basedOn w:val="DefaultParagraphFont"/>
    <w:uiPriority w:val="20"/>
    <w:qFormat/>
    <w:rsid w:val="00812988"/>
    <w:rPr>
      <w:i/>
      <w:iCs/>
    </w:rPr>
  </w:style>
  <w:style w:type="paragraph" w:styleId="Revision">
    <w:name w:val="Revision"/>
    <w:hidden/>
    <w:uiPriority w:val="99"/>
    <w:semiHidden/>
    <w:rsid w:val="00C13DAE"/>
    <w:rPr>
      <w:rFonts w:asciiTheme="minorHAnsi" w:hAnsiTheme="minorHAnsi" w:cstheme="minorBidi"/>
      <w:color w:val="auto"/>
      <w:sz w:val="22"/>
      <w:szCs w:val="28"/>
      <w:lang w:val="en-GB" w:bidi="bn-IN"/>
    </w:rPr>
  </w:style>
  <w:style w:type="character" w:customStyle="1" w:styleId="UnresolvedMention2">
    <w:name w:val="Unresolved Mention2"/>
    <w:basedOn w:val="DefaultParagraphFont"/>
    <w:uiPriority w:val="99"/>
    <w:semiHidden/>
    <w:unhideWhenUsed/>
    <w:rsid w:val="002750C6"/>
    <w:rPr>
      <w:color w:val="605E5C"/>
      <w:shd w:val="clear" w:color="auto" w:fill="E1DFDD"/>
    </w:rPr>
  </w:style>
  <w:style w:type="character" w:customStyle="1" w:styleId="NoSpacingChar">
    <w:name w:val="No Spacing Char"/>
    <w:basedOn w:val="DefaultParagraphFont"/>
    <w:link w:val="NoSpacing"/>
    <w:uiPriority w:val="1"/>
    <w:rsid w:val="001B437B"/>
  </w:style>
  <w:style w:type="character" w:customStyle="1" w:styleId="fontstyle31">
    <w:name w:val="fontstyle31"/>
    <w:basedOn w:val="DefaultParagraphFont"/>
    <w:rsid w:val="00A94BEA"/>
    <w:rPr>
      <w:rFonts w:ascii="MyriadPro-Regular" w:hAnsi="MyriadPro-Regular" w:hint="default"/>
      <w:b w:val="0"/>
      <w:bCs w:val="0"/>
      <w:i w:val="0"/>
      <w:iCs w:val="0"/>
      <w:color w:val="231F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4359">
      <w:bodyDiv w:val="1"/>
      <w:marLeft w:val="0"/>
      <w:marRight w:val="0"/>
      <w:marTop w:val="0"/>
      <w:marBottom w:val="0"/>
      <w:divBdr>
        <w:top w:val="none" w:sz="0" w:space="0" w:color="auto"/>
        <w:left w:val="none" w:sz="0" w:space="0" w:color="auto"/>
        <w:bottom w:val="none" w:sz="0" w:space="0" w:color="auto"/>
        <w:right w:val="none" w:sz="0" w:space="0" w:color="auto"/>
      </w:divBdr>
    </w:div>
    <w:div w:id="31661637">
      <w:bodyDiv w:val="1"/>
      <w:marLeft w:val="0"/>
      <w:marRight w:val="0"/>
      <w:marTop w:val="0"/>
      <w:marBottom w:val="0"/>
      <w:divBdr>
        <w:top w:val="none" w:sz="0" w:space="0" w:color="auto"/>
        <w:left w:val="none" w:sz="0" w:space="0" w:color="auto"/>
        <w:bottom w:val="none" w:sz="0" w:space="0" w:color="auto"/>
        <w:right w:val="none" w:sz="0" w:space="0" w:color="auto"/>
      </w:divBdr>
    </w:div>
    <w:div w:id="83500858">
      <w:bodyDiv w:val="1"/>
      <w:marLeft w:val="0"/>
      <w:marRight w:val="0"/>
      <w:marTop w:val="0"/>
      <w:marBottom w:val="0"/>
      <w:divBdr>
        <w:top w:val="none" w:sz="0" w:space="0" w:color="auto"/>
        <w:left w:val="none" w:sz="0" w:space="0" w:color="auto"/>
        <w:bottom w:val="none" w:sz="0" w:space="0" w:color="auto"/>
        <w:right w:val="none" w:sz="0" w:space="0" w:color="auto"/>
      </w:divBdr>
    </w:div>
    <w:div w:id="160969359">
      <w:bodyDiv w:val="1"/>
      <w:marLeft w:val="0"/>
      <w:marRight w:val="0"/>
      <w:marTop w:val="0"/>
      <w:marBottom w:val="0"/>
      <w:divBdr>
        <w:top w:val="none" w:sz="0" w:space="0" w:color="auto"/>
        <w:left w:val="none" w:sz="0" w:space="0" w:color="auto"/>
        <w:bottom w:val="none" w:sz="0" w:space="0" w:color="auto"/>
        <w:right w:val="none" w:sz="0" w:space="0" w:color="auto"/>
      </w:divBdr>
    </w:div>
    <w:div w:id="199361622">
      <w:bodyDiv w:val="1"/>
      <w:marLeft w:val="0"/>
      <w:marRight w:val="0"/>
      <w:marTop w:val="0"/>
      <w:marBottom w:val="0"/>
      <w:divBdr>
        <w:top w:val="none" w:sz="0" w:space="0" w:color="auto"/>
        <w:left w:val="none" w:sz="0" w:space="0" w:color="auto"/>
        <w:bottom w:val="none" w:sz="0" w:space="0" w:color="auto"/>
        <w:right w:val="none" w:sz="0" w:space="0" w:color="auto"/>
      </w:divBdr>
    </w:div>
    <w:div w:id="227032397">
      <w:bodyDiv w:val="1"/>
      <w:marLeft w:val="0"/>
      <w:marRight w:val="0"/>
      <w:marTop w:val="0"/>
      <w:marBottom w:val="0"/>
      <w:divBdr>
        <w:top w:val="none" w:sz="0" w:space="0" w:color="auto"/>
        <w:left w:val="none" w:sz="0" w:space="0" w:color="auto"/>
        <w:bottom w:val="none" w:sz="0" w:space="0" w:color="auto"/>
        <w:right w:val="none" w:sz="0" w:space="0" w:color="auto"/>
      </w:divBdr>
    </w:div>
    <w:div w:id="251084794">
      <w:bodyDiv w:val="1"/>
      <w:marLeft w:val="0"/>
      <w:marRight w:val="0"/>
      <w:marTop w:val="0"/>
      <w:marBottom w:val="0"/>
      <w:divBdr>
        <w:top w:val="none" w:sz="0" w:space="0" w:color="auto"/>
        <w:left w:val="none" w:sz="0" w:space="0" w:color="auto"/>
        <w:bottom w:val="none" w:sz="0" w:space="0" w:color="auto"/>
        <w:right w:val="none" w:sz="0" w:space="0" w:color="auto"/>
      </w:divBdr>
    </w:div>
    <w:div w:id="259264943">
      <w:bodyDiv w:val="1"/>
      <w:marLeft w:val="0"/>
      <w:marRight w:val="0"/>
      <w:marTop w:val="0"/>
      <w:marBottom w:val="0"/>
      <w:divBdr>
        <w:top w:val="none" w:sz="0" w:space="0" w:color="auto"/>
        <w:left w:val="none" w:sz="0" w:space="0" w:color="auto"/>
        <w:bottom w:val="none" w:sz="0" w:space="0" w:color="auto"/>
        <w:right w:val="none" w:sz="0" w:space="0" w:color="auto"/>
      </w:divBdr>
    </w:div>
    <w:div w:id="267741993">
      <w:bodyDiv w:val="1"/>
      <w:marLeft w:val="0"/>
      <w:marRight w:val="0"/>
      <w:marTop w:val="0"/>
      <w:marBottom w:val="0"/>
      <w:divBdr>
        <w:top w:val="none" w:sz="0" w:space="0" w:color="auto"/>
        <w:left w:val="none" w:sz="0" w:space="0" w:color="auto"/>
        <w:bottom w:val="none" w:sz="0" w:space="0" w:color="auto"/>
        <w:right w:val="none" w:sz="0" w:space="0" w:color="auto"/>
      </w:divBdr>
    </w:div>
    <w:div w:id="340931301">
      <w:bodyDiv w:val="1"/>
      <w:marLeft w:val="0"/>
      <w:marRight w:val="0"/>
      <w:marTop w:val="0"/>
      <w:marBottom w:val="0"/>
      <w:divBdr>
        <w:top w:val="none" w:sz="0" w:space="0" w:color="auto"/>
        <w:left w:val="none" w:sz="0" w:space="0" w:color="auto"/>
        <w:bottom w:val="none" w:sz="0" w:space="0" w:color="auto"/>
        <w:right w:val="none" w:sz="0" w:space="0" w:color="auto"/>
      </w:divBdr>
    </w:div>
    <w:div w:id="365329782">
      <w:bodyDiv w:val="1"/>
      <w:marLeft w:val="0"/>
      <w:marRight w:val="0"/>
      <w:marTop w:val="0"/>
      <w:marBottom w:val="0"/>
      <w:divBdr>
        <w:top w:val="none" w:sz="0" w:space="0" w:color="auto"/>
        <w:left w:val="none" w:sz="0" w:space="0" w:color="auto"/>
        <w:bottom w:val="none" w:sz="0" w:space="0" w:color="auto"/>
        <w:right w:val="none" w:sz="0" w:space="0" w:color="auto"/>
      </w:divBdr>
    </w:div>
    <w:div w:id="382288681">
      <w:bodyDiv w:val="1"/>
      <w:marLeft w:val="0"/>
      <w:marRight w:val="0"/>
      <w:marTop w:val="0"/>
      <w:marBottom w:val="0"/>
      <w:divBdr>
        <w:top w:val="none" w:sz="0" w:space="0" w:color="auto"/>
        <w:left w:val="none" w:sz="0" w:space="0" w:color="auto"/>
        <w:bottom w:val="none" w:sz="0" w:space="0" w:color="auto"/>
        <w:right w:val="none" w:sz="0" w:space="0" w:color="auto"/>
      </w:divBdr>
    </w:div>
    <w:div w:id="399913913">
      <w:bodyDiv w:val="1"/>
      <w:marLeft w:val="0"/>
      <w:marRight w:val="0"/>
      <w:marTop w:val="0"/>
      <w:marBottom w:val="0"/>
      <w:divBdr>
        <w:top w:val="none" w:sz="0" w:space="0" w:color="auto"/>
        <w:left w:val="none" w:sz="0" w:space="0" w:color="auto"/>
        <w:bottom w:val="none" w:sz="0" w:space="0" w:color="auto"/>
        <w:right w:val="none" w:sz="0" w:space="0" w:color="auto"/>
      </w:divBdr>
    </w:div>
    <w:div w:id="407851732">
      <w:bodyDiv w:val="1"/>
      <w:marLeft w:val="0"/>
      <w:marRight w:val="0"/>
      <w:marTop w:val="0"/>
      <w:marBottom w:val="0"/>
      <w:divBdr>
        <w:top w:val="none" w:sz="0" w:space="0" w:color="auto"/>
        <w:left w:val="none" w:sz="0" w:space="0" w:color="auto"/>
        <w:bottom w:val="none" w:sz="0" w:space="0" w:color="auto"/>
        <w:right w:val="none" w:sz="0" w:space="0" w:color="auto"/>
      </w:divBdr>
    </w:div>
    <w:div w:id="423038682">
      <w:bodyDiv w:val="1"/>
      <w:marLeft w:val="0"/>
      <w:marRight w:val="0"/>
      <w:marTop w:val="0"/>
      <w:marBottom w:val="0"/>
      <w:divBdr>
        <w:top w:val="none" w:sz="0" w:space="0" w:color="auto"/>
        <w:left w:val="none" w:sz="0" w:space="0" w:color="auto"/>
        <w:bottom w:val="none" w:sz="0" w:space="0" w:color="auto"/>
        <w:right w:val="none" w:sz="0" w:space="0" w:color="auto"/>
      </w:divBdr>
    </w:div>
    <w:div w:id="427777073">
      <w:bodyDiv w:val="1"/>
      <w:marLeft w:val="0"/>
      <w:marRight w:val="0"/>
      <w:marTop w:val="0"/>
      <w:marBottom w:val="0"/>
      <w:divBdr>
        <w:top w:val="none" w:sz="0" w:space="0" w:color="auto"/>
        <w:left w:val="none" w:sz="0" w:space="0" w:color="auto"/>
        <w:bottom w:val="none" w:sz="0" w:space="0" w:color="auto"/>
        <w:right w:val="none" w:sz="0" w:space="0" w:color="auto"/>
      </w:divBdr>
    </w:div>
    <w:div w:id="444231675">
      <w:bodyDiv w:val="1"/>
      <w:marLeft w:val="0"/>
      <w:marRight w:val="0"/>
      <w:marTop w:val="0"/>
      <w:marBottom w:val="0"/>
      <w:divBdr>
        <w:top w:val="none" w:sz="0" w:space="0" w:color="auto"/>
        <w:left w:val="none" w:sz="0" w:space="0" w:color="auto"/>
        <w:bottom w:val="none" w:sz="0" w:space="0" w:color="auto"/>
        <w:right w:val="none" w:sz="0" w:space="0" w:color="auto"/>
      </w:divBdr>
    </w:div>
    <w:div w:id="447697119">
      <w:bodyDiv w:val="1"/>
      <w:marLeft w:val="0"/>
      <w:marRight w:val="0"/>
      <w:marTop w:val="0"/>
      <w:marBottom w:val="0"/>
      <w:divBdr>
        <w:top w:val="none" w:sz="0" w:space="0" w:color="auto"/>
        <w:left w:val="none" w:sz="0" w:space="0" w:color="auto"/>
        <w:bottom w:val="none" w:sz="0" w:space="0" w:color="auto"/>
        <w:right w:val="none" w:sz="0" w:space="0" w:color="auto"/>
      </w:divBdr>
    </w:div>
    <w:div w:id="460000914">
      <w:bodyDiv w:val="1"/>
      <w:marLeft w:val="0"/>
      <w:marRight w:val="0"/>
      <w:marTop w:val="0"/>
      <w:marBottom w:val="0"/>
      <w:divBdr>
        <w:top w:val="none" w:sz="0" w:space="0" w:color="auto"/>
        <w:left w:val="none" w:sz="0" w:space="0" w:color="auto"/>
        <w:bottom w:val="none" w:sz="0" w:space="0" w:color="auto"/>
        <w:right w:val="none" w:sz="0" w:space="0" w:color="auto"/>
      </w:divBdr>
    </w:div>
    <w:div w:id="467864355">
      <w:bodyDiv w:val="1"/>
      <w:marLeft w:val="0"/>
      <w:marRight w:val="0"/>
      <w:marTop w:val="0"/>
      <w:marBottom w:val="0"/>
      <w:divBdr>
        <w:top w:val="none" w:sz="0" w:space="0" w:color="auto"/>
        <w:left w:val="none" w:sz="0" w:space="0" w:color="auto"/>
        <w:bottom w:val="none" w:sz="0" w:space="0" w:color="auto"/>
        <w:right w:val="none" w:sz="0" w:space="0" w:color="auto"/>
      </w:divBdr>
    </w:div>
    <w:div w:id="495536833">
      <w:bodyDiv w:val="1"/>
      <w:marLeft w:val="0"/>
      <w:marRight w:val="0"/>
      <w:marTop w:val="0"/>
      <w:marBottom w:val="0"/>
      <w:divBdr>
        <w:top w:val="none" w:sz="0" w:space="0" w:color="auto"/>
        <w:left w:val="none" w:sz="0" w:space="0" w:color="auto"/>
        <w:bottom w:val="none" w:sz="0" w:space="0" w:color="auto"/>
        <w:right w:val="none" w:sz="0" w:space="0" w:color="auto"/>
      </w:divBdr>
    </w:div>
    <w:div w:id="506943496">
      <w:bodyDiv w:val="1"/>
      <w:marLeft w:val="0"/>
      <w:marRight w:val="0"/>
      <w:marTop w:val="0"/>
      <w:marBottom w:val="0"/>
      <w:divBdr>
        <w:top w:val="none" w:sz="0" w:space="0" w:color="auto"/>
        <w:left w:val="none" w:sz="0" w:space="0" w:color="auto"/>
        <w:bottom w:val="none" w:sz="0" w:space="0" w:color="auto"/>
        <w:right w:val="none" w:sz="0" w:space="0" w:color="auto"/>
      </w:divBdr>
    </w:div>
    <w:div w:id="515507821">
      <w:bodyDiv w:val="1"/>
      <w:marLeft w:val="0"/>
      <w:marRight w:val="0"/>
      <w:marTop w:val="0"/>
      <w:marBottom w:val="0"/>
      <w:divBdr>
        <w:top w:val="none" w:sz="0" w:space="0" w:color="auto"/>
        <w:left w:val="none" w:sz="0" w:space="0" w:color="auto"/>
        <w:bottom w:val="none" w:sz="0" w:space="0" w:color="auto"/>
        <w:right w:val="none" w:sz="0" w:space="0" w:color="auto"/>
      </w:divBdr>
    </w:div>
    <w:div w:id="528492979">
      <w:bodyDiv w:val="1"/>
      <w:marLeft w:val="0"/>
      <w:marRight w:val="0"/>
      <w:marTop w:val="0"/>
      <w:marBottom w:val="0"/>
      <w:divBdr>
        <w:top w:val="none" w:sz="0" w:space="0" w:color="auto"/>
        <w:left w:val="none" w:sz="0" w:space="0" w:color="auto"/>
        <w:bottom w:val="none" w:sz="0" w:space="0" w:color="auto"/>
        <w:right w:val="none" w:sz="0" w:space="0" w:color="auto"/>
      </w:divBdr>
    </w:div>
    <w:div w:id="551774031">
      <w:bodyDiv w:val="1"/>
      <w:marLeft w:val="0"/>
      <w:marRight w:val="0"/>
      <w:marTop w:val="0"/>
      <w:marBottom w:val="0"/>
      <w:divBdr>
        <w:top w:val="none" w:sz="0" w:space="0" w:color="auto"/>
        <w:left w:val="none" w:sz="0" w:space="0" w:color="auto"/>
        <w:bottom w:val="none" w:sz="0" w:space="0" w:color="auto"/>
        <w:right w:val="none" w:sz="0" w:space="0" w:color="auto"/>
      </w:divBdr>
    </w:div>
    <w:div w:id="553079860">
      <w:bodyDiv w:val="1"/>
      <w:marLeft w:val="0"/>
      <w:marRight w:val="0"/>
      <w:marTop w:val="0"/>
      <w:marBottom w:val="0"/>
      <w:divBdr>
        <w:top w:val="none" w:sz="0" w:space="0" w:color="auto"/>
        <w:left w:val="none" w:sz="0" w:space="0" w:color="auto"/>
        <w:bottom w:val="none" w:sz="0" w:space="0" w:color="auto"/>
        <w:right w:val="none" w:sz="0" w:space="0" w:color="auto"/>
      </w:divBdr>
    </w:div>
    <w:div w:id="563108741">
      <w:bodyDiv w:val="1"/>
      <w:marLeft w:val="0"/>
      <w:marRight w:val="0"/>
      <w:marTop w:val="0"/>
      <w:marBottom w:val="0"/>
      <w:divBdr>
        <w:top w:val="none" w:sz="0" w:space="0" w:color="auto"/>
        <w:left w:val="none" w:sz="0" w:space="0" w:color="auto"/>
        <w:bottom w:val="none" w:sz="0" w:space="0" w:color="auto"/>
        <w:right w:val="none" w:sz="0" w:space="0" w:color="auto"/>
      </w:divBdr>
    </w:div>
    <w:div w:id="563226496">
      <w:bodyDiv w:val="1"/>
      <w:marLeft w:val="0"/>
      <w:marRight w:val="0"/>
      <w:marTop w:val="0"/>
      <w:marBottom w:val="0"/>
      <w:divBdr>
        <w:top w:val="none" w:sz="0" w:space="0" w:color="auto"/>
        <w:left w:val="none" w:sz="0" w:space="0" w:color="auto"/>
        <w:bottom w:val="none" w:sz="0" w:space="0" w:color="auto"/>
        <w:right w:val="none" w:sz="0" w:space="0" w:color="auto"/>
      </w:divBdr>
    </w:div>
    <w:div w:id="573785040">
      <w:bodyDiv w:val="1"/>
      <w:marLeft w:val="0"/>
      <w:marRight w:val="0"/>
      <w:marTop w:val="0"/>
      <w:marBottom w:val="0"/>
      <w:divBdr>
        <w:top w:val="none" w:sz="0" w:space="0" w:color="auto"/>
        <w:left w:val="none" w:sz="0" w:space="0" w:color="auto"/>
        <w:bottom w:val="none" w:sz="0" w:space="0" w:color="auto"/>
        <w:right w:val="none" w:sz="0" w:space="0" w:color="auto"/>
      </w:divBdr>
    </w:div>
    <w:div w:id="582103877">
      <w:bodyDiv w:val="1"/>
      <w:marLeft w:val="0"/>
      <w:marRight w:val="0"/>
      <w:marTop w:val="0"/>
      <w:marBottom w:val="0"/>
      <w:divBdr>
        <w:top w:val="none" w:sz="0" w:space="0" w:color="auto"/>
        <w:left w:val="none" w:sz="0" w:space="0" w:color="auto"/>
        <w:bottom w:val="none" w:sz="0" w:space="0" w:color="auto"/>
        <w:right w:val="none" w:sz="0" w:space="0" w:color="auto"/>
      </w:divBdr>
    </w:div>
    <w:div w:id="618803109">
      <w:bodyDiv w:val="1"/>
      <w:marLeft w:val="0"/>
      <w:marRight w:val="0"/>
      <w:marTop w:val="0"/>
      <w:marBottom w:val="0"/>
      <w:divBdr>
        <w:top w:val="none" w:sz="0" w:space="0" w:color="auto"/>
        <w:left w:val="none" w:sz="0" w:space="0" w:color="auto"/>
        <w:bottom w:val="none" w:sz="0" w:space="0" w:color="auto"/>
        <w:right w:val="none" w:sz="0" w:space="0" w:color="auto"/>
      </w:divBdr>
    </w:div>
    <w:div w:id="650600185">
      <w:bodyDiv w:val="1"/>
      <w:marLeft w:val="0"/>
      <w:marRight w:val="0"/>
      <w:marTop w:val="0"/>
      <w:marBottom w:val="0"/>
      <w:divBdr>
        <w:top w:val="none" w:sz="0" w:space="0" w:color="auto"/>
        <w:left w:val="none" w:sz="0" w:space="0" w:color="auto"/>
        <w:bottom w:val="none" w:sz="0" w:space="0" w:color="auto"/>
        <w:right w:val="none" w:sz="0" w:space="0" w:color="auto"/>
      </w:divBdr>
    </w:div>
    <w:div w:id="676080730">
      <w:bodyDiv w:val="1"/>
      <w:marLeft w:val="0"/>
      <w:marRight w:val="0"/>
      <w:marTop w:val="0"/>
      <w:marBottom w:val="0"/>
      <w:divBdr>
        <w:top w:val="none" w:sz="0" w:space="0" w:color="auto"/>
        <w:left w:val="none" w:sz="0" w:space="0" w:color="auto"/>
        <w:bottom w:val="none" w:sz="0" w:space="0" w:color="auto"/>
        <w:right w:val="none" w:sz="0" w:space="0" w:color="auto"/>
      </w:divBdr>
    </w:div>
    <w:div w:id="686251138">
      <w:bodyDiv w:val="1"/>
      <w:marLeft w:val="0"/>
      <w:marRight w:val="0"/>
      <w:marTop w:val="0"/>
      <w:marBottom w:val="0"/>
      <w:divBdr>
        <w:top w:val="none" w:sz="0" w:space="0" w:color="auto"/>
        <w:left w:val="none" w:sz="0" w:space="0" w:color="auto"/>
        <w:bottom w:val="none" w:sz="0" w:space="0" w:color="auto"/>
        <w:right w:val="none" w:sz="0" w:space="0" w:color="auto"/>
      </w:divBdr>
    </w:div>
    <w:div w:id="689647646">
      <w:bodyDiv w:val="1"/>
      <w:marLeft w:val="0"/>
      <w:marRight w:val="0"/>
      <w:marTop w:val="0"/>
      <w:marBottom w:val="0"/>
      <w:divBdr>
        <w:top w:val="none" w:sz="0" w:space="0" w:color="auto"/>
        <w:left w:val="none" w:sz="0" w:space="0" w:color="auto"/>
        <w:bottom w:val="none" w:sz="0" w:space="0" w:color="auto"/>
        <w:right w:val="none" w:sz="0" w:space="0" w:color="auto"/>
      </w:divBdr>
    </w:div>
    <w:div w:id="700282896">
      <w:bodyDiv w:val="1"/>
      <w:marLeft w:val="0"/>
      <w:marRight w:val="0"/>
      <w:marTop w:val="0"/>
      <w:marBottom w:val="0"/>
      <w:divBdr>
        <w:top w:val="none" w:sz="0" w:space="0" w:color="auto"/>
        <w:left w:val="none" w:sz="0" w:space="0" w:color="auto"/>
        <w:bottom w:val="none" w:sz="0" w:space="0" w:color="auto"/>
        <w:right w:val="none" w:sz="0" w:space="0" w:color="auto"/>
      </w:divBdr>
    </w:div>
    <w:div w:id="735472126">
      <w:bodyDiv w:val="1"/>
      <w:marLeft w:val="0"/>
      <w:marRight w:val="0"/>
      <w:marTop w:val="0"/>
      <w:marBottom w:val="0"/>
      <w:divBdr>
        <w:top w:val="none" w:sz="0" w:space="0" w:color="auto"/>
        <w:left w:val="none" w:sz="0" w:space="0" w:color="auto"/>
        <w:bottom w:val="none" w:sz="0" w:space="0" w:color="auto"/>
        <w:right w:val="none" w:sz="0" w:space="0" w:color="auto"/>
      </w:divBdr>
    </w:div>
    <w:div w:id="772046844">
      <w:bodyDiv w:val="1"/>
      <w:marLeft w:val="0"/>
      <w:marRight w:val="0"/>
      <w:marTop w:val="0"/>
      <w:marBottom w:val="0"/>
      <w:divBdr>
        <w:top w:val="none" w:sz="0" w:space="0" w:color="auto"/>
        <w:left w:val="none" w:sz="0" w:space="0" w:color="auto"/>
        <w:bottom w:val="none" w:sz="0" w:space="0" w:color="auto"/>
        <w:right w:val="none" w:sz="0" w:space="0" w:color="auto"/>
      </w:divBdr>
    </w:div>
    <w:div w:id="782265257">
      <w:bodyDiv w:val="1"/>
      <w:marLeft w:val="0"/>
      <w:marRight w:val="0"/>
      <w:marTop w:val="0"/>
      <w:marBottom w:val="0"/>
      <w:divBdr>
        <w:top w:val="none" w:sz="0" w:space="0" w:color="auto"/>
        <w:left w:val="none" w:sz="0" w:space="0" w:color="auto"/>
        <w:bottom w:val="none" w:sz="0" w:space="0" w:color="auto"/>
        <w:right w:val="none" w:sz="0" w:space="0" w:color="auto"/>
      </w:divBdr>
    </w:div>
    <w:div w:id="800416285">
      <w:bodyDiv w:val="1"/>
      <w:marLeft w:val="0"/>
      <w:marRight w:val="0"/>
      <w:marTop w:val="0"/>
      <w:marBottom w:val="0"/>
      <w:divBdr>
        <w:top w:val="none" w:sz="0" w:space="0" w:color="auto"/>
        <w:left w:val="none" w:sz="0" w:space="0" w:color="auto"/>
        <w:bottom w:val="none" w:sz="0" w:space="0" w:color="auto"/>
        <w:right w:val="none" w:sz="0" w:space="0" w:color="auto"/>
      </w:divBdr>
    </w:div>
    <w:div w:id="817258525">
      <w:bodyDiv w:val="1"/>
      <w:marLeft w:val="0"/>
      <w:marRight w:val="0"/>
      <w:marTop w:val="0"/>
      <w:marBottom w:val="0"/>
      <w:divBdr>
        <w:top w:val="none" w:sz="0" w:space="0" w:color="auto"/>
        <w:left w:val="none" w:sz="0" w:space="0" w:color="auto"/>
        <w:bottom w:val="none" w:sz="0" w:space="0" w:color="auto"/>
        <w:right w:val="none" w:sz="0" w:space="0" w:color="auto"/>
      </w:divBdr>
    </w:div>
    <w:div w:id="845049358">
      <w:bodyDiv w:val="1"/>
      <w:marLeft w:val="0"/>
      <w:marRight w:val="0"/>
      <w:marTop w:val="0"/>
      <w:marBottom w:val="0"/>
      <w:divBdr>
        <w:top w:val="none" w:sz="0" w:space="0" w:color="auto"/>
        <w:left w:val="none" w:sz="0" w:space="0" w:color="auto"/>
        <w:bottom w:val="none" w:sz="0" w:space="0" w:color="auto"/>
        <w:right w:val="none" w:sz="0" w:space="0" w:color="auto"/>
      </w:divBdr>
    </w:div>
    <w:div w:id="878009265">
      <w:bodyDiv w:val="1"/>
      <w:marLeft w:val="0"/>
      <w:marRight w:val="0"/>
      <w:marTop w:val="0"/>
      <w:marBottom w:val="0"/>
      <w:divBdr>
        <w:top w:val="none" w:sz="0" w:space="0" w:color="auto"/>
        <w:left w:val="none" w:sz="0" w:space="0" w:color="auto"/>
        <w:bottom w:val="none" w:sz="0" w:space="0" w:color="auto"/>
        <w:right w:val="none" w:sz="0" w:space="0" w:color="auto"/>
      </w:divBdr>
    </w:div>
    <w:div w:id="896285350">
      <w:bodyDiv w:val="1"/>
      <w:marLeft w:val="0"/>
      <w:marRight w:val="0"/>
      <w:marTop w:val="0"/>
      <w:marBottom w:val="0"/>
      <w:divBdr>
        <w:top w:val="none" w:sz="0" w:space="0" w:color="auto"/>
        <w:left w:val="none" w:sz="0" w:space="0" w:color="auto"/>
        <w:bottom w:val="none" w:sz="0" w:space="0" w:color="auto"/>
        <w:right w:val="none" w:sz="0" w:space="0" w:color="auto"/>
      </w:divBdr>
    </w:div>
    <w:div w:id="896740132">
      <w:bodyDiv w:val="1"/>
      <w:marLeft w:val="0"/>
      <w:marRight w:val="0"/>
      <w:marTop w:val="0"/>
      <w:marBottom w:val="0"/>
      <w:divBdr>
        <w:top w:val="none" w:sz="0" w:space="0" w:color="auto"/>
        <w:left w:val="none" w:sz="0" w:space="0" w:color="auto"/>
        <w:bottom w:val="none" w:sz="0" w:space="0" w:color="auto"/>
        <w:right w:val="none" w:sz="0" w:space="0" w:color="auto"/>
      </w:divBdr>
    </w:div>
    <w:div w:id="902104130">
      <w:bodyDiv w:val="1"/>
      <w:marLeft w:val="0"/>
      <w:marRight w:val="0"/>
      <w:marTop w:val="0"/>
      <w:marBottom w:val="0"/>
      <w:divBdr>
        <w:top w:val="none" w:sz="0" w:space="0" w:color="auto"/>
        <w:left w:val="none" w:sz="0" w:space="0" w:color="auto"/>
        <w:bottom w:val="none" w:sz="0" w:space="0" w:color="auto"/>
        <w:right w:val="none" w:sz="0" w:space="0" w:color="auto"/>
      </w:divBdr>
    </w:div>
    <w:div w:id="919489601">
      <w:bodyDiv w:val="1"/>
      <w:marLeft w:val="0"/>
      <w:marRight w:val="0"/>
      <w:marTop w:val="0"/>
      <w:marBottom w:val="0"/>
      <w:divBdr>
        <w:top w:val="none" w:sz="0" w:space="0" w:color="auto"/>
        <w:left w:val="none" w:sz="0" w:space="0" w:color="auto"/>
        <w:bottom w:val="none" w:sz="0" w:space="0" w:color="auto"/>
        <w:right w:val="none" w:sz="0" w:space="0" w:color="auto"/>
      </w:divBdr>
    </w:div>
    <w:div w:id="959996877">
      <w:bodyDiv w:val="1"/>
      <w:marLeft w:val="0"/>
      <w:marRight w:val="0"/>
      <w:marTop w:val="0"/>
      <w:marBottom w:val="0"/>
      <w:divBdr>
        <w:top w:val="none" w:sz="0" w:space="0" w:color="auto"/>
        <w:left w:val="none" w:sz="0" w:space="0" w:color="auto"/>
        <w:bottom w:val="none" w:sz="0" w:space="0" w:color="auto"/>
        <w:right w:val="none" w:sz="0" w:space="0" w:color="auto"/>
      </w:divBdr>
    </w:div>
    <w:div w:id="961959779">
      <w:bodyDiv w:val="1"/>
      <w:marLeft w:val="0"/>
      <w:marRight w:val="0"/>
      <w:marTop w:val="0"/>
      <w:marBottom w:val="0"/>
      <w:divBdr>
        <w:top w:val="none" w:sz="0" w:space="0" w:color="auto"/>
        <w:left w:val="none" w:sz="0" w:space="0" w:color="auto"/>
        <w:bottom w:val="none" w:sz="0" w:space="0" w:color="auto"/>
        <w:right w:val="none" w:sz="0" w:space="0" w:color="auto"/>
      </w:divBdr>
    </w:div>
    <w:div w:id="978607640">
      <w:bodyDiv w:val="1"/>
      <w:marLeft w:val="0"/>
      <w:marRight w:val="0"/>
      <w:marTop w:val="0"/>
      <w:marBottom w:val="0"/>
      <w:divBdr>
        <w:top w:val="none" w:sz="0" w:space="0" w:color="auto"/>
        <w:left w:val="none" w:sz="0" w:space="0" w:color="auto"/>
        <w:bottom w:val="none" w:sz="0" w:space="0" w:color="auto"/>
        <w:right w:val="none" w:sz="0" w:space="0" w:color="auto"/>
      </w:divBdr>
    </w:div>
    <w:div w:id="981038413">
      <w:bodyDiv w:val="1"/>
      <w:marLeft w:val="0"/>
      <w:marRight w:val="0"/>
      <w:marTop w:val="0"/>
      <w:marBottom w:val="0"/>
      <w:divBdr>
        <w:top w:val="none" w:sz="0" w:space="0" w:color="auto"/>
        <w:left w:val="none" w:sz="0" w:space="0" w:color="auto"/>
        <w:bottom w:val="none" w:sz="0" w:space="0" w:color="auto"/>
        <w:right w:val="none" w:sz="0" w:space="0" w:color="auto"/>
      </w:divBdr>
    </w:div>
    <w:div w:id="988630123">
      <w:bodyDiv w:val="1"/>
      <w:marLeft w:val="0"/>
      <w:marRight w:val="0"/>
      <w:marTop w:val="0"/>
      <w:marBottom w:val="0"/>
      <w:divBdr>
        <w:top w:val="none" w:sz="0" w:space="0" w:color="auto"/>
        <w:left w:val="none" w:sz="0" w:space="0" w:color="auto"/>
        <w:bottom w:val="none" w:sz="0" w:space="0" w:color="auto"/>
        <w:right w:val="none" w:sz="0" w:space="0" w:color="auto"/>
      </w:divBdr>
    </w:div>
    <w:div w:id="1007945634">
      <w:bodyDiv w:val="1"/>
      <w:marLeft w:val="0"/>
      <w:marRight w:val="0"/>
      <w:marTop w:val="0"/>
      <w:marBottom w:val="0"/>
      <w:divBdr>
        <w:top w:val="none" w:sz="0" w:space="0" w:color="auto"/>
        <w:left w:val="none" w:sz="0" w:space="0" w:color="auto"/>
        <w:bottom w:val="none" w:sz="0" w:space="0" w:color="auto"/>
        <w:right w:val="none" w:sz="0" w:space="0" w:color="auto"/>
      </w:divBdr>
    </w:div>
    <w:div w:id="1008748398">
      <w:bodyDiv w:val="1"/>
      <w:marLeft w:val="0"/>
      <w:marRight w:val="0"/>
      <w:marTop w:val="0"/>
      <w:marBottom w:val="0"/>
      <w:divBdr>
        <w:top w:val="none" w:sz="0" w:space="0" w:color="auto"/>
        <w:left w:val="none" w:sz="0" w:space="0" w:color="auto"/>
        <w:bottom w:val="none" w:sz="0" w:space="0" w:color="auto"/>
        <w:right w:val="none" w:sz="0" w:space="0" w:color="auto"/>
      </w:divBdr>
    </w:div>
    <w:div w:id="1026642290">
      <w:bodyDiv w:val="1"/>
      <w:marLeft w:val="0"/>
      <w:marRight w:val="0"/>
      <w:marTop w:val="0"/>
      <w:marBottom w:val="0"/>
      <w:divBdr>
        <w:top w:val="none" w:sz="0" w:space="0" w:color="auto"/>
        <w:left w:val="none" w:sz="0" w:space="0" w:color="auto"/>
        <w:bottom w:val="none" w:sz="0" w:space="0" w:color="auto"/>
        <w:right w:val="none" w:sz="0" w:space="0" w:color="auto"/>
      </w:divBdr>
    </w:div>
    <w:div w:id="1030296954">
      <w:bodyDiv w:val="1"/>
      <w:marLeft w:val="0"/>
      <w:marRight w:val="0"/>
      <w:marTop w:val="0"/>
      <w:marBottom w:val="0"/>
      <w:divBdr>
        <w:top w:val="none" w:sz="0" w:space="0" w:color="auto"/>
        <w:left w:val="none" w:sz="0" w:space="0" w:color="auto"/>
        <w:bottom w:val="none" w:sz="0" w:space="0" w:color="auto"/>
        <w:right w:val="none" w:sz="0" w:space="0" w:color="auto"/>
      </w:divBdr>
    </w:div>
    <w:div w:id="1044138078">
      <w:bodyDiv w:val="1"/>
      <w:marLeft w:val="0"/>
      <w:marRight w:val="0"/>
      <w:marTop w:val="0"/>
      <w:marBottom w:val="0"/>
      <w:divBdr>
        <w:top w:val="none" w:sz="0" w:space="0" w:color="auto"/>
        <w:left w:val="none" w:sz="0" w:space="0" w:color="auto"/>
        <w:bottom w:val="none" w:sz="0" w:space="0" w:color="auto"/>
        <w:right w:val="none" w:sz="0" w:space="0" w:color="auto"/>
      </w:divBdr>
    </w:div>
    <w:div w:id="1068958040">
      <w:bodyDiv w:val="1"/>
      <w:marLeft w:val="0"/>
      <w:marRight w:val="0"/>
      <w:marTop w:val="0"/>
      <w:marBottom w:val="0"/>
      <w:divBdr>
        <w:top w:val="none" w:sz="0" w:space="0" w:color="auto"/>
        <w:left w:val="none" w:sz="0" w:space="0" w:color="auto"/>
        <w:bottom w:val="none" w:sz="0" w:space="0" w:color="auto"/>
        <w:right w:val="none" w:sz="0" w:space="0" w:color="auto"/>
      </w:divBdr>
    </w:div>
    <w:div w:id="1089623887">
      <w:bodyDiv w:val="1"/>
      <w:marLeft w:val="0"/>
      <w:marRight w:val="0"/>
      <w:marTop w:val="0"/>
      <w:marBottom w:val="0"/>
      <w:divBdr>
        <w:top w:val="none" w:sz="0" w:space="0" w:color="auto"/>
        <w:left w:val="none" w:sz="0" w:space="0" w:color="auto"/>
        <w:bottom w:val="none" w:sz="0" w:space="0" w:color="auto"/>
        <w:right w:val="none" w:sz="0" w:space="0" w:color="auto"/>
      </w:divBdr>
    </w:div>
    <w:div w:id="1147285802">
      <w:bodyDiv w:val="1"/>
      <w:marLeft w:val="0"/>
      <w:marRight w:val="0"/>
      <w:marTop w:val="0"/>
      <w:marBottom w:val="0"/>
      <w:divBdr>
        <w:top w:val="none" w:sz="0" w:space="0" w:color="auto"/>
        <w:left w:val="none" w:sz="0" w:space="0" w:color="auto"/>
        <w:bottom w:val="none" w:sz="0" w:space="0" w:color="auto"/>
        <w:right w:val="none" w:sz="0" w:space="0" w:color="auto"/>
      </w:divBdr>
    </w:div>
    <w:div w:id="1164977991">
      <w:bodyDiv w:val="1"/>
      <w:marLeft w:val="0"/>
      <w:marRight w:val="0"/>
      <w:marTop w:val="0"/>
      <w:marBottom w:val="0"/>
      <w:divBdr>
        <w:top w:val="none" w:sz="0" w:space="0" w:color="auto"/>
        <w:left w:val="none" w:sz="0" w:space="0" w:color="auto"/>
        <w:bottom w:val="none" w:sz="0" w:space="0" w:color="auto"/>
        <w:right w:val="none" w:sz="0" w:space="0" w:color="auto"/>
      </w:divBdr>
    </w:div>
    <w:div w:id="1181821743">
      <w:bodyDiv w:val="1"/>
      <w:marLeft w:val="0"/>
      <w:marRight w:val="0"/>
      <w:marTop w:val="0"/>
      <w:marBottom w:val="0"/>
      <w:divBdr>
        <w:top w:val="none" w:sz="0" w:space="0" w:color="auto"/>
        <w:left w:val="none" w:sz="0" w:space="0" w:color="auto"/>
        <w:bottom w:val="none" w:sz="0" w:space="0" w:color="auto"/>
        <w:right w:val="none" w:sz="0" w:space="0" w:color="auto"/>
      </w:divBdr>
    </w:div>
    <w:div w:id="1209103717">
      <w:bodyDiv w:val="1"/>
      <w:marLeft w:val="0"/>
      <w:marRight w:val="0"/>
      <w:marTop w:val="0"/>
      <w:marBottom w:val="0"/>
      <w:divBdr>
        <w:top w:val="none" w:sz="0" w:space="0" w:color="auto"/>
        <w:left w:val="none" w:sz="0" w:space="0" w:color="auto"/>
        <w:bottom w:val="none" w:sz="0" w:space="0" w:color="auto"/>
        <w:right w:val="none" w:sz="0" w:space="0" w:color="auto"/>
      </w:divBdr>
    </w:div>
    <w:div w:id="1223447900">
      <w:bodyDiv w:val="1"/>
      <w:marLeft w:val="0"/>
      <w:marRight w:val="0"/>
      <w:marTop w:val="0"/>
      <w:marBottom w:val="0"/>
      <w:divBdr>
        <w:top w:val="none" w:sz="0" w:space="0" w:color="auto"/>
        <w:left w:val="none" w:sz="0" w:space="0" w:color="auto"/>
        <w:bottom w:val="none" w:sz="0" w:space="0" w:color="auto"/>
        <w:right w:val="none" w:sz="0" w:space="0" w:color="auto"/>
      </w:divBdr>
    </w:div>
    <w:div w:id="1231044342">
      <w:bodyDiv w:val="1"/>
      <w:marLeft w:val="0"/>
      <w:marRight w:val="0"/>
      <w:marTop w:val="0"/>
      <w:marBottom w:val="0"/>
      <w:divBdr>
        <w:top w:val="none" w:sz="0" w:space="0" w:color="auto"/>
        <w:left w:val="none" w:sz="0" w:space="0" w:color="auto"/>
        <w:bottom w:val="none" w:sz="0" w:space="0" w:color="auto"/>
        <w:right w:val="none" w:sz="0" w:space="0" w:color="auto"/>
      </w:divBdr>
    </w:div>
    <w:div w:id="1251231556">
      <w:bodyDiv w:val="1"/>
      <w:marLeft w:val="0"/>
      <w:marRight w:val="0"/>
      <w:marTop w:val="0"/>
      <w:marBottom w:val="0"/>
      <w:divBdr>
        <w:top w:val="none" w:sz="0" w:space="0" w:color="auto"/>
        <w:left w:val="none" w:sz="0" w:space="0" w:color="auto"/>
        <w:bottom w:val="none" w:sz="0" w:space="0" w:color="auto"/>
        <w:right w:val="none" w:sz="0" w:space="0" w:color="auto"/>
      </w:divBdr>
    </w:div>
    <w:div w:id="1252590188">
      <w:bodyDiv w:val="1"/>
      <w:marLeft w:val="0"/>
      <w:marRight w:val="0"/>
      <w:marTop w:val="0"/>
      <w:marBottom w:val="0"/>
      <w:divBdr>
        <w:top w:val="none" w:sz="0" w:space="0" w:color="auto"/>
        <w:left w:val="none" w:sz="0" w:space="0" w:color="auto"/>
        <w:bottom w:val="none" w:sz="0" w:space="0" w:color="auto"/>
        <w:right w:val="none" w:sz="0" w:space="0" w:color="auto"/>
      </w:divBdr>
    </w:div>
    <w:div w:id="1277710741">
      <w:bodyDiv w:val="1"/>
      <w:marLeft w:val="0"/>
      <w:marRight w:val="0"/>
      <w:marTop w:val="0"/>
      <w:marBottom w:val="0"/>
      <w:divBdr>
        <w:top w:val="none" w:sz="0" w:space="0" w:color="auto"/>
        <w:left w:val="none" w:sz="0" w:space="0" w:color="auto"/>
        <w:bottom w:val="none" w:sz="0" w:space="0" w:color="auto"/>
        <w:right w:val="none" w:sz="0" w:space="0" w:color="auto"/>
      </w:divBdr>
    </w:div>
    <w:div w:id="1279141336">
      <w:bodyDiv w:val="1"/>
      <w:marLeft w:val="0"/>
      <w:marRight w:val="0"/>
      <w:marTop w:val="0"/>
      <w:marBottom w:val="0"/>
      <w:divBdr>
        <w:top w:val="none" w:sz="0" w:space="0" w:color="auto"/>
        <w:left w:val="none" w:sz="0" w:space="0" w:color="auto"/>
        <w:bottom w:val="none" w:sz="0" w:space="0" w:color="auto"/>
        <w:right w:val="none" w:sz="0" w:space="0" w:color="auto"/>
      </w:divBdr>
    </w:div>
    <w:div w:id="1284655269">
      <w:bodyDiv w:val="1"/>
      <w:marLeft w:val="0"/>
      <w:marRight w:val="0"/>
      <w:marTop w:val="0"/>
      <w:marBottom w:val="0"/>
      <w:divBdr>
        <w:top w:val="none" w:sz="0" w:space="0" w:color="auto"/>
        <w:left w:val="none" w:sz="0" w:space="0" w:color="auto"/>
        <w:bottom w:val="none" w:sz="0" w:space="0" w:color="auto"/>
        <w:right w:val="none" w:sz="0" w:space="0" w:color="auto"/>
      </w:divBdr>
    </w:div>
    <w:div w:id="1288244536">
      <w:bodyDiv w:val="1"/>
      <w:marLeft w:val="0"/>
      <w:marRight w:val="0"/>
      <w:marTop w:val="0"/>
      <w:marBottom w:val="0"/>
      <w:divBdr>
        <w:top w:val="none" w:sz="0" w:space="0" w:color="auto"/>
        <w:left w:val="none" w:sz="0" w:space="0" w:color="auto"/>
        <w:bottom w:val="none" w:sz="0" w:space="0" w:color="auto"/>
        <w:right w:val="none" w:sz="0" w:space="0" w:color="auto"/>
      </w:divBdr>
    </w:div>
    <w:div w:id="1298805012">
      <w:bodyDiv w:val="1"/>
      <w:marLeft w:val="0"/>
      <w:marRight w:val="0"/>
      <w:marTop w:val="0"/>
      <w:marBottom w:val="0"/>
      <w:divBdr>
        <w:top w:val="none" w:sz="0" w:space="0" w:color="auto"/>
        <w:left w:val="none" w:sz="0" w:space="0" w:color="auto"/>
        <w:bottom w:val="none" w:sz="0" w:space="0" w:color="auto"/>
        <w:right w:val="none" w:sz="0" w:space="0" w:color="auto"/>
      </w:divBdr>
    </w:div>
    <w:div w:id="1306086606">
      <w:bodyDiv w:val="1"/>
      <w:marLeft w:val="0"/>
      <w:marRight w:val="0"/>
      <w:marTop w:val="0"/>
      <w:marBottom w:val="0"/>
      <w:divBdr>
        <w:top w:val="none" w:sz="0" w:space="0" w:color="auto"/>
        <w:left w:val="none" w:sz="0" w:space="0" w:color="auto"/>
        <w:bottom w:val="none" w:sz="0" w:space="0" w:color="auto"/>
        <w:right w:val="none" w:sz="0" w:space="0" w:color="auto"/>
      </w:divBdr>
    </w:div>
    <w:div w:id="1316110482">
      <w:bodyDiv w:val="1"/>
      <w:marLeft w:val="0"/>
      <w:marRight w:val="0"/>
      <w:marTop w:val="0"/>
      <w:marBottom w:val="0"/>
      <w:divBdr>
        <w:top w:val="none" w:sz="0" w:space="0" w:color="auto"/>
        <w:left w:val="none" w:sz="0" w:space="0" w:color="auto"/>
        <w:bottom w:val="none" w:sz="0" w:space="0" w:color="auto"/>
        <w:right w:val="none" w:sz="0" w:space="0" w:color="auto"/>
      </w:divBdr>
    </w:div>
    <w:div w:id="1336611287">
      <w:bodyDiv w:val="1"/>
      <w:marLeft w:val="0"/>
      <w:marRight w:val="0"/>
      <w:marTop w:val="0"/>
      <w:marBottom w:val="0"/>
      <w:divBdr>
        <w:top w:val="none" w:sz="0" w:space="0" w:color="auto"/>
        <w:left w:val="none" w:sz="0" w:space="0" w:color="auto"/>
        <w:bottom w:val="none" w:sz="0" w:space="0" w:color="auto"/>
        <w:right w:val="none" w:sz="0" w:space="0" w:color="auto"/>
      </w:divBdr>
    </w:div>
    <w:div w:id="1363507505">
      <w:bodyDiv w:val="1"/>
      <w:marLeft w:val="0"/>
      <w:marRight w:val="0"/>
      <w:marTop w:val="0"/>
      <w:marBottom w:val="0"/>
      <w:divBdr>
        <w:top w:val="none" w:sz="0" w:space="0" w:color="auto"/>
        <w:left w:val="none" w:sz="0" w:space="0" w:color="auto"/>
        <w:bottom w:val="none" w:sz="0" w:space="0" w:color="auto"/>
        <w:right w:val="none" w:sz="0" w:space="0" w:color="auto"/>
      </w:divBdr>
    </w:div>
    <w:div w:id="1400786569">
      <w:bodyDiv w:val="1"/>
      <w:marLeft w:val="0"/>
      <w:marRight w:val="0"/>
      <w:marTop w:val="0"/>
      <w:marBottom w:val="0"/>
      <w:divBdr>
        <w:top w:val="none" w:sz="0" w:space="0" w:color="auto"/>
        <w:left w:val="none" w:sz="0" w:space="0" w:color="auto"/>
        <w:bottom w:val="none" w:sz="0" w:space="0" w:color="auto"/>
        <w:right w:val="none" w:sz="0" w:space="0" w:color="auto"/>
      </w:divBdr>
    </w:div>
    <w:div w:id="1402293444">
      <w:bodyDiv w:val="1"/>
      <w:marLeft w:val="0"/>
      <w:marRight w:val="0"/>
      <w:marTop w:val="0"/>
      <w:marBottom w:val="0"/>
      <w:divBdr>
        <w:top w:val="none" w:sz="0" w:space="0" w:color="auto"/>
        <w:left w:val="none" w:sz="0" w:space="0" w:color="auto"/>
        <w:bottom w:val="none" w:sz="0" w:space="0" w:color="auto"/>
        <w:right w:val="none" w:sz="0" w:space="0" w:color="auto"/>
      </w:divBdr>
    </w:div>
    <w:div w:id="1419250943">
      <w:bodyDiv w:val="1"/>
      <w:marLeft w:val="0"/>
      <w:marRight w:val="0"/>
      <w:marTop w:val="0"/>
      <w:marBottom w:val="0"/>
      <w:divBdr>
        <w:top w:val="none" w:sz="0" w:space="0" w:color="auto"/>
        <w:left w:val="none" w:sz="0" w:space="0" w:color="auto"/>
        <w:bottom w:val="none" w:sz="0" w:space="0" w:color="auto"/>
        <w:right w:val="none" w:sz="0" w:space="0" w:color="auto"/>
      </w:divBdr>
    </w:div>
    <w:div w:id="1419447896">
      <w:bodyDiv w:val="1"/>
      <w:marLeft w:val="0"/>
      <w:marRight w:val="0"/>
      <w:marTop w:val="0"/>
      <w:marBottom w:val="0"/>
      <w:divBdr>
        <w:top w:val="none" w:sz="0" w:space="0" w:color="auto"/>
        <w:left w:val="none" w:sz="0" w:space="0" w:color="auto"/>
        <w:bottom w:val="none" w:sz="0" w:space="0" w:color="auto"/>
        <w:right w:val="none" w:sz="0" w:space="0" w:color="auto"/>
      </w:divBdr>
    </w:div>
    <w:div w:id="1420909601">
      <w:bodyDiv w:val="1"/>
      <w:marLeft w:val="0"/>
      <w:marRight w:val="0"/>
      <w:marTop w:val="0"/>
      <w:marBottom w:val="0"/>
      <w:divBdr>
        <w:top w:val="none" w:sz="0" w:space="0" w:color="auto"/>
        <w:left w:val="none" w:sz="0" w:space="0" w:color="auto"/>
        <w:bottom w:val="none" w:sz="0" w:space="0" w:color="auto"/>
        <w:right w:val="none" w:sz="0" w:space="0" w:color="auto"/>
      </w:divBdr>
    </w:div>
    <w:div w:id="1446384655">
      <w:bodyDiv w:val="1"/>
      <w:marLeft w:val="0"/>
      <w:marRight w:val="0"/>
      <w:marTop w:val="0"/>
      <w:marBottom w:val="0"/>
      <w:divBdr>
        <w:top w:val="none" w:sz="0" w:space="0" w:color="auto"/>
        <w:left w:val="none" w:sz="0" w:space="0" w:color="auto"/>
        <w:bottom w:val="none" w:sz="0" w:space="0" w:color="auto"/>
        <w:right w:val="none" w:sz="0" w:space="0" w:color="auto"/>
      </w:divBdr>
    </w:div>
    <w:div w:id="1520776704">
      <w:bodyDiv w:val="1"/>
      <w:marLeft w:val="0"/>
      <w:marRight w:val="0"/>
      <w:marTop w:val="0"/>
      <w:marBottom w:val="0"/>
      <w:divBdr>
        <w:top w:val="none" w:sz="0" w:space="0" w:color="auto"/>
        <w:left w:val="none" w:sz="0" w:space="0" w:color="auto"/>
        <w:bottom w:val="none" w:sz="0" w:space="0" w:color="auto"/>
        <w:right w:val="none" w:sz="0" w:space="0" w:color="auto"/>
      </w:divBdr>
    </w:div>
    <w:div w:id="1521772609">
      <w:bodyDiv w:val="1"/>
      <w:marLeft w:val="0"/>
      <w:marRight w:val="0"/>
      <w:marTop w:val="0"/>
      <w:marBottom w:val="0"/>
      <w:divBdr>
        <w:top w:val="none" w:sz="0" w:space="0" w:color="auto"/>
        <w:left w:val="none" w:sz="0" w:space="0" w:color="auto"/>
        <w:bottom w:val="none" w:sz="0" w:space="0" w:color="auto"/>
        <w:right w:val="none" w:sz="0" w:space="0" w:color="auto"/>
      </w:divBdr>
    </w:div>
    <w:div w:id="1528370032">
      <w:bodyDiv w:val="1"/>
      <w:marLeft w:val="0"/>
      <w:marRight w:val="0"/>
      <w:marTop w:val="0"/>
      <w:marBottom w:val="0"/>
      <w:divBdr>
        <w:top w:val="none" w:sz="0" w:space="0" w:color="auto"/>
        <w:left w:val="none" w:sz="0" w:space="0" w:color="auto"/>
        <w:bottom w:val="none" w:sz="0" w:space="0" w:color="auto"/>
        <w:right w:val="none" w:sz="0" w:space="0" w:color="auto"/>
      </w:divBdr>
    </w:div>
    <w:div w:id="1532449822">
      <w:bodyDiv w:val="1"/>
      <w:marLeft w:val="0"/>
      <w:marRight w:val="0"/>
      <w:marTop w:val="0"/>
      <w:marBottom w:val="0"/>
      <w:divBdr>
        <w:top w:val="none" w:sz="0" w:space="0" w:color="auto"/>
        <w:left w:val="none" w:sz="0" w:space="0" w:color="auto"/>
        <w:bottom w:val="none" w:sz="0" w:space="0" w:color="auto"/>
        <w:right w:val="none" w:sz="0" w:space="0" w:color="auto"/>
      </w:divBdr>
    </w:div>
    <w:div w:id="1535343281">
      <w:bodyDiv w:val="1"/>
      <w:marLeft w:val="0"/>
      <w:marRight w:val="0"/>
      <w:marTop w:val="0"/>
      <w:marBottom w:val="0"/>
      <w:divBdr>
        <w:top w:val="none" w:sz="0" w:space="0" w:color="auto"/>
        <w:left w:val="none" w:sz="0" w:space="0" w:color="auto"/>
        <w:bottom w:val="none" w:sz="0" w:space="0" w:color="auto"/>
        <w:right w:val="none" w:sz="0" w:space="0" w:color="auto"/>
      </w:divBdr>
    </w:div>
    <w:div w:id="1638490425">
      <w:bodyDiv w:val="1"/>
      <w:marLeft w:val="0"/>
      <w:marRight w:val="0"/>
      <w:marTop w:val="0"/>
      <w:marBottom w:val="0"/>
      <w:divBdr>
        <w:top w:val="none" w:sz="0" w:space="0" w:color="auto"/>
        <w:left w:val="none" w:sz="0" w:space="0" w:color="auto"/>
        <w:bottom w:val="none" w:sz="0" w:space="0" w:color="auto"/>
        <w:right w:val="none" w:sz="0" w:space="0" w:color="auto"/>
      </w:divBdr>
    </w:div>
    <w:div w:id="1649628318">
      <w:bodyDiv w:val="1"/>
      <w:marLeft w:val="0"/>
      <w:marRight w:val="0"/>
      <w:marTop w:val="0"/>
      <w:marBottom w:val="0"/>
      <w:divBdr>
        <w:top w:val="none" w:sz="0" w:space="0" w:color="auto"/>
        <w:left w:val="none" w:sz="0" w:space="0" w:color="auto"/>
        <w:bottom w:val="none" w:sz="0" w:space="0" w:color="auto"/>
        <w:right w:val="none" w:sz="0" w:space="0" w:color="auto"/>
      </w:divBdr>
    </w:div>
    <w:div w:id="1674802146">
      <w:bodyDiv w:val="1"/>
      <w:marLeft w:val="0"/>
      <w:marRight w:val="0"/>
      <w:marTop w:val="0"/>
      <w:marBottom w:val="0"/>
      <w:divBdr>
        <w:top w:val="none" w:sz="0" w:space="0" w:color="auto"/>
        <w:left w:val="none" w:sz="0" w:space="0" w:color="auto"/>
        <w:bottom w:val="none" w:sz="0" w:space="0" w:color="auto"/>
        <w:right w:val="none" w:sz="0" w:space="0" w:color="auto"/>
      </w:divBdr>
    </w:div>
    <w:div w:id="1699967402">
      <w:bodyDiv w:val="1"/>
      <w:marLeft w:val="0"/>
      <w:marRight w:val="0"/>
      <w:marTop w:val="0"/>
      <w:marBottom w:val="0"/>
      <w:divBdr>
        <w:top w:val="none" w:sz="0" w:space="0" w:color="auto"/>
        <w:left w:val="none" w:sz="0" w:space="0" w:color="auto"/>
        <w:bottom w:val="none" w:sz="0" w:space="0" w:color="auto"/>
        <w:right w:val="none" w:sz="0" w:space="0" w:color="auto"/>
      </w:divBdr>
    </w:div>
    <w:div w:id="1706825965">
      <w:bodyDiv w:val="1"/>
      <w:marLeft w:val="0"/>
      <w:marRight w:val="0"/>
      <w:marTop w:val="0"/>
      <w:marBottom w:val="0"/>
      <w:divBdr>
        <w:top w:val="none" w:sz="0" w:space="0" w:color="auto"/>
        <w:left w:val="none" w:sz="0" w:space="0" w:color="auto"/>
        <w:bottom w:val="none" w:sz="0" w:space="0" w:color="auto"/>
        <w:right w:val="none" w:sz="0" w:space="0" w:color="auto"/>
      </w:divBdr>
    </w:div>
    <w:div w:id="1710573519">
      <w:bodyDiv w:val="1"/>
      <w:marLeft w:val="0"/>
      <w:marRight w:val="0"/>
      <w:marTop w:val="0"/>
      <w:marBottom w:val="0"/>
      <w:divBdr>
        <w:top w:val="none" w:sz="0" w:space="0" w:color="auto"/>
        <w:left w:val="none" w:sz="0" w:space="0" w:color="auto"/>
        <w:bottom w:val="none" w:sz="0" w:space="0" w:color="auto"/>
        <w:right w:val="none" w:sz="0" w:space="0" w:color="auto"/>
      </w:divBdr>
    </w:div>
    <w:div w:id="1715427773">
      <w:bodyDiv w:val="1"/>
      <w:marLeft w:val="0"/>
      <w:marRight w:val="0"/>
      <w:marTop w:val="0"/>
      <w:marBottom w:val="0"/>
      <w:divBdr>
        <w:top w:val="none" w:sz="0" w:space="0" w:color="auto"/>
        <w:left w:val="none" w:sz="0" w:space="0" w:color="auto"/>
        <w:bottom w:val="none" w:sz="0" w:space="0" w:color="auto"/>
        <w:right w:val="none" w:sz="0" w:space="0" w:color="auto"/>
      </w:divBdr>
    </w:div>
    <w:div w:id="1769111027">
      <w:bodyDiv w:val="1"/>
      <w:marLeft w:val="0"/>
      <w:marRight w:val="0"/>
      <w:marTop w:val="0"/>
      <w:marBottom w:val="0"/>
      <w:divBdr>
        <w:top w:val="none" w:sz="0" w:space="0" w:color="auto"/>
        <w:left w:val="none" w:sz="0" w:space="0" w:color="auto"/>
        <w:bottom w:val="none" w:sz="0" w:space="0" w:color="auto"/>
        <w:right w:val="none" w:sz="0" w:space="0" w:color="auto"/>
      </w:divBdr>
    </w:div>
    <w:div w:id="1836871177">
      <w:bodyDiv w:val="1"/>
      <w:marLeft w:val="0"/>
      <w:marRight w:val="0"/>
      <w:marTop w:val="0"/>
      <w:marBottom w:val="0"/>
      <w:divBdr>
        <w:top w:val="none" w:sz="0" w:space="0" w:color="auto"/>
        <w:left w:val="none" w:sz="0" w:space="0" w:color="auto"/>
        <w:bottom w:val="none" w:sz="0" w:space="0" w:color="auto"/>
        <w:right w:val="none" w:sz="0" w:space="0" w:color="auto"/>
      </w:divBdr>
    </w:div>
    <w:div w:id="1887713567">
      <w:bodyDiv w:val="1"/>
      <w:marLeft w:val="0"/>
      <w:marRight w:val="0"/>
      <w:marTop w:val="0"/>
      <w:marBottom w:val="0"/>
      <w:divBdr>
        <w:top w:val="none" w:sz="0" w:space="0" w:color="auto"/>
        <w:left w:val="none" w:sz="0" w:space="0" w:color="auto"/>
        <w:bottom w:val="none" w:sz="0" w:space="0" w:color="auto"/>
        <w:right w:val="none" w:sz="0" w:space="0" w:color="auto"/>
      </w:divBdr>
    </w:div>
    <w:div w:id="1899708867">
      <w:bodyDiv w:val="1"/>
      <w:marLeft w:val="0"/>
      <w:marRight w:val="0"/>
      <w:marTop w:val="0"/>
      <w:marBottom w:val="0"/>
      <w:divBdr>
        <w:top w:val="none" w:sz="0" w:space="0" w:color="auto"/>
        <w:left w:val="none" w:sz="0" w:space="0" w:color="auto"/>
        <w:bottom w:val="none" w:sz="0" w:space="0" w:color="auto"/>
        <w:right w:val="none" w:sz="0" w:space="0" w:color="auto"/>
      </w:divBdr>
    </w:div>
    <w:div w:id="1916695347">
      <w:bodyDiv w:val="1"/>
      <w:marLeft w:val="0"/>
      <w:marRight w:val="0"/>
      <w:marTop w:val="0"/>
      <w:marBottom w:val="0"/>
      <w:divBdr>
        <w:top w:val="none" w:sz="0" w:space="0" w:color="auto"/>
        <w:left w:val="none" w:sz="0" w:space="0" w:color="auto"/>
        <w:bottom w:val="none" w:sz="0" w:space="0" w:color="auto"/>
        <w:right w:val="none" w:sz="0" w:space="0" w:color="auto"/>
      </w:divBdr>
    </w:div>
    <w:div w:id="1927421718">
      <w:bodyDiv w:val="1"/>
      <w:marLeft w:val="0"/>
      <w:marRight w:val="0"/>
      <w:marTop w:val="0"/>
      <w:marBottom w:val="0"/>
      <w:divBdr>
        <w:top w:val="none" w:sz="0" w:space="0" w:color="auto"/>
        <w:left w:val="none" w:sz="0" w:space="0" w:color="auto"/>
        <w:bottom w:val="none" w:sz="0" w:space="0" w:color="auto"/>
        <w:right w:val="none" w:sz="0" w:space="0" w:color="auto"/>
      </w:divBdr>
    </w:div>
    <w:div w:id="1962375685">
      <w:bodyDiv w:val="1"/>
      <w:marLeft w:val="0"/>
      <w:marRight w:val="0"/>
      <w:marTop w:val="0"/>
      <w:marBottom w:val="0"/>
      <w:divBdr>
        <w:top w:val="none" w:sz="0" w:space="0" w:color="auto"/>
        <w:left w:val="none" w:sz="0" w:space="0" w:color="auto"/>
        <w:bottom w:val="none" w:sz="0" w:space="0" w:color="auto"/>
        <w:right w:val="none" w:sz="0" w:space="0" w:color="auto"/>
      </w:divBdr>
    </w:div>
    <w:div w:id="1988630687">
      <w:bodyDiv w:val="1"/>
      <w:marLeft w:val="0"/>
      <w:marRight w:val="0"/>
      <w:marTop w:val="0"/>
      <w:marBottom w:val="0"/>
      <w:divBdr>
        <w:top w:val="none" w:sz="0" w:space="0" w:color="auto"/>
        <w:left w:val="none" w:sz="0" w:space="0" w:color="auto"/>
        <w:bottom w:val="none" w:sz="0" w:space="0" w:color="auto"/>
        <w:right w:val="none" w:sz="0" w:space="0" w:color="auto"/>
      </w:divBdr>
    </w:div>
    <w:div w:id="2000428445">
      <w:bodyDiv w:val="1"/>
      <w:marLeft w:val="0"/>
      <w:marRight w:val="0"/>
      <w:marTop w:val="0"/>
      <w:marBottom w:val="0"/>
      <w:divBdr>
        <w:top w:val="none" w:sz="0" w:space="0" w:color="auto"/>
        <w:left w:val="none" w:sz="0" w:space="0" w:color="auto"/>
        <w:bottom w:val="none" w:sz="0" w:space="0" w:color="auto"/>
        <w:right w:val="none" w:sz="0" w:space="0" w:color="auto"/>
      </w:divBdr>
    </w:div>
    <w:div w:id="2088455168">
      <w:bodyDiv w:val="1"/>
      <w:marLeft w:val="0"/>
      <w:marRight w:val="0"/>
      <w:marTop w:val="0"/>
      <w:marBottom w:val="0"/>
      <w:divBdr>
        <w:top w:val="none" w:sz="0" w:space="0" w:color="auto"/>
        <w:left w:val="none" w:sz="0" w:space="0" w:color="auto"/>
        <w:bottom w:val="none" w:sz="0" w:space="0" w:color="auto"/>
        <w:right w:val="none" w:sz="0" w:space="0" w:color="auto"/>
      </w:divBdr>
    </w:div>
    <w:div w:id="2091124065">
      <w:bodyDiv w:val="1"/>
      <w:marLeft w:val="0"/>
      <w:marRight w:val="0"/>
      <w:marTop w:val="0"/>
      <w:marBottom w:val="0"/>
      <w:divBdr>
        <w:top w:val="none" w:sz="0" w:space="0" w:color="auto"/>
        <w:left w:val="none" w:sz="0" w:space="0" w:color="auto"/>
        <w:bottom w:val="none" w:sz="0" w:space="0" w:color="auto"/>
        <w:right w:val="none" w:sz="0" w:space="0" w:color="auto"/>
      </w:divBdr>
    </w:div>
    <w:div w:id="2091150983">
      <w:bodyDiv w:val="1"/>
      <w:marLeft w:val="0"/>
      <w:marRight w:val="0"/>
      <w:marTop w:val="0"/>
      <w:marBottom w:val="0"/>
      <w:divBdr>
        <w:top w:val="none" w:sz="0" w:space="0" w:color="auto"/>
        <w:left w:val="none" w:sz="0" w:space="0" w:color="auto"/>
        <w:bottom w:val="none" w:sz="0" w:space="0" w:color="auto"/>
        <w:right w:val="none" w:sz="0" w:space="0" w:color="auto"/>
      </w:divBdr>
    </w:div>
    <w:div w:id="2094814777">
      <w:bodyDiv w:val="1"/>
      <w:marLeft w:val="0"/>
      <w:marRight w:val="0"/>
      <w:marTop w:val="0"/>
      <w:marBottom w:val="0"/>
      <w:divBdr>
        <w:top w:val="none" w:sz="0" w:space="0" w:color="auto"/>
        <w:left w:val="none" w:sz="0" w:space="0" w:color="auto"/>
        <w:bottom w:val="none" w:sz="0" w:space="0" w:color="auto"/>
        <w:right w:val="none" w:sz="0" w:space="0" w:color="auto"/>
      </w:divBdr>
    </w:div>
    <w:div w:id="2101831235">
      <w:bodyDiv w:val="1"/>
      <w:marLeft w:val="0"/>
      <w:marRight w:val="0"/>
      <w:marTop w:val="0"/>
      <w:marBottom w:val="0"/>
      <w:divBdr>
        <w:top w:val="none" w:sz="0" w:space="0" w:color="auto"/>
        <w:left w:val="none" w:sz="0" w:space="0" w:color="auto"/>
        <w:bottom w:val="none" w:sz="0" w:space="0" w:color="auto"/>
        <w:right w:val="none" w:sz="0" w:space="0" w:color="auto"/>
      </w:divBdr>
    </w:div>
    <w:div w:id="2103916299">
      <w:bodyDiv w:val="1"/>
      <w:marLeft w:val="0"/>
      <w:marRight w:val="0"/>
      <w:marTop w:val="0"/>
      <w:marBottom w:val="0"/>
      <w:divBdr>
        <w:top w:val="none" w:sz="0" w:space="0" w:color="auto"/>
        <w:left w:val="none" w:sz="0" w:space="0" w:color="auto"/>
        <w:bottom w:val="none" w:sz="0" w:space="0" w:color="auto"/>
        <w:right w:val="none" w:sz="0" w:space="0" w:color="auto"/>
      </w:divBdr>
    </w:div>
    <w:div w:id="2107578346">
      <w:bodyDiv w:val="1"/>
      <w:marLeft w:val="0"/>
      <w:marRight w:val="0"/>
      <w:marTop w:val="0"/>
      <w:marBottom w:val="0"/>
      <w:divBdr>
        <w:top w:val="none" w:sz="0" w:space="0" w:color="auto"/>
        <w:left w:val="none" w:sz="0" w:space="0" w:color="auto"/>
        <w:bottom w:val="none" w:sz="0" w:space="0" w:color="auto"/>
        <w:right w:val="none" w:sz="0" w:space="0" w:color="auto"/>
      </w:divBdr>
    </w:div>
    <w:div w:id="212777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hyperlink" Target="https://wedocs.unep.org/bitstream/handle/20.500.11822/27295/ocean_SDG.pdf?sequence=1&amp;isAllowed=y" TargetMode="External"/><Relationship Id="rId21" Type="http://schemas.openxmlformats.org/officeDocument/2006/relationships/image" Target="media/image13.jpg"/><Relationship Id="rId42" Type="http://schemas.openxmlformats.org/officeDocument/2006/relationships/hyperlink" Target="http://www.oecd.org/dac/stats/purposecodessectorclassification.htm" TargetMode="External"/><Relationship Id="rId47" Type="http://schemas.openxmlformats.org/officeDocument/2006/relationships/image" Target="media/image20.jpeg"/><Relationship Id="rId63" Type="http://schemas.openxmlformats.org/officeDocument/2006/relationships/chart" Target="charts/chart19.xml"/><Relationship Id="rId68" Type="http://schemas.openxmlformats.org/officeDocument/2006/relationships/chart" Target="charts/chart21.xml"/><Relationship Id="rId84" Type="http://schemas.openxmlformats.org/officeDocument/2006/relationships/image" Target="media/image38.jpg"/><Relationship Id="rId89" Type="http://schemas.openxmlformats.org/officeDocument/2006/relationships/image" Target="media/image42.png"/><Relationship Id="rId112" Type="http://schemas.openxmlformats.org/officeDocument/2006/relationships/hyperlink" Target="https://seea.un.org/content/seea-central-framework" TargetMode="External"/><Relationship Id="rId133" Type="http://schemas.openxmlformats.org/officeDocument/2006/relationships/hyperlink" Target="https://www.oecd.org/environment/resources/Tracking-Economic-Instruments-and-Finance-for-Biodiversity.pdf" TargetMode="External"/><Relationship Id="rId138" Type="http://schemas.openxmlformats.org/officeDocument/2006/relationships/hyperlink" Target="http://www.washingtongroup-disability.com/washington-group-question-sets/short-set-of-disability-questions/" TargetMode="External"/><Relationship Id="rId154"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hyperlink" Target="http://statistics.unwto.org/content/irts2008" TargetMode="External"/><Relationship Id="rId11" Type="http://schemas.openxmlformats.org/officeDocument/2006/relationships/image" Target="media/image3.png"/><Relationship Id="rId32" Type="http://schemas.openxmlformats.org/officeDocument/2006/relationships/chart" Target="charts/chart8.xml"/><Relationship Id="rId37" Type="http://schemas.openxmlformats.org/officeDocument/2006/relationships/hyperlink" Target="http://www.oecd.org/dac/stats/officialdevelopmentassistancedefinitionandcoverage.htm" TargetMode="External"/><Relationship Id="rId53" Type="http://schemas.openxmlformats.org/officeDocument/2006/relationships/hyperlink" Target="http://www.unsceb.org/directory" TargetMode="External"/><Relationship Id="rId58" Type="http://schemas.openxmlformats.org/officeDocument/2006/relationships/image" Target="media/image25.jpeg"/><Relationship Id="rId74" Type="http://schemas.openxmlformats.org/officeDocument/2006/relationships/chart" Target="charts/chart24.xml"/><Relationship Id="rId79" Type="http://schemas.openxmlformats.org/officeDocument/2006/relationships/image" Target="media/image35.png"/><Relationship Id="rId102" Type="http://schemas.microsoft.com/office/2007/relationships/diagramDrawing" Target="diagrams/drawing1.xml"/><Relationship Id="rId123" Type="http://schemas.openxmlformats.org/officeDocument/2006/relationships/image" Target="media/image51.png"/><Relationship Id="rId128" Type="http://schemas.openxmlformats.org/officeDocument/2006/relationships/hyperlink" Target="https://www.cbd.int/nbsap/" TargetMode="External"/><Relationship Id="rId144" Type="http://schemas.openxmlformats.org/officeDocument/2006/relationships/hyperlink" Target="http://www.oecd.org/dac/stats/officialdevelopmentassistancedefinitionandcoverage.htm" TargetMode="External"/><Relationship Id="rId149" Type="http://schemas.openxmlformats.org/officeDocument/2006/relationships/hyperlink" Target="http://ppi.worldbank.org/methodology/ppi-methodology" TargetMode="External"/><Relationship Id="rId5" Type="http://schemas.openxmlformats.org/officeDocument/2006/relationships/settings" Target="settings.xml"/><Relationship Id="rId90" Type="http://schemas.openxmlformats.org/officeDocument/2006/relationships/image" Target="media/image420.png"/><Relationship Id="rId95" Type="http://schemas.openxmlformats.org/officeDocument/2006/relationships/hyperlink" Target="http://www.preventionweb.net/publications/view/51748" TargetMode="External"/><Relationship Id="rId22" Type="http://schemas.openxmlformats.org/officeDocument/2006/relationships/image" Target="media/image14.png"/><Relationship Id="rId27" Type="http://schemas.openxmlformats.org/officeDocument/2006/relationships/chart" Target="charts/chart5.xml"/><Relationship Id="rId43" Type="http://schemas.openxmlformats.org/officeDocument/2006/relationships/image" Target="media/image19.jpeg"/><Relationship Id="rId48" Type="http://schemas.openxmlformats.org/officeDocument/2006/relationships/image" Target="media/image21.emf"/><Relationship Id="rId64" Type="http://schemas.openxmlformats.org/officeDocument/2006/relationships/image" Target="media/image28.jpeg"/><Relationship Id="rId69" Type="http://schemas.openxmlformats.org/officeDocument/2006/relationships/chart" Target="charts/chart22.xml"/><Relationship Id="rId113" Type="http://schemas.openxmlformats.org/officeDocument/2006/relationships/image" Target="media/image48.jpg"/><Relationship Id="rId118" Type="http://schemas.openxmlformats.org/officeDocument/2006/relationships/hyperlink" Target="https://www.ibat-alliance.org/ibat-conservation/login" TargetMode="External"/><Relationship Id="rId134" Type="http://schemas.openxmlformats.org/officeDocument/2006/relationships/hyperlink" Target="http://www.oecd.org/dac/stats/officialdevelopmentassistancedefinitionandcoverage.htm" TargetMode="External"/><Relationship Id="rId139" Type="http://schemas.openxmlformats.org/officeDocument/2006/relationships/hyperlink" Target="https://www.ohchr.org/HRBAD" TargetMode="External"/><Relationship Id="rId80" Type="http://schemas.openxmlformats.org/officeDocument/2006/relationships/hyperlink" Target="https://unstats.un.org/unsd/energy/ires/" TargetMode="External"/><Relationship Id="rId85" Type="http://schemas.openxmlformats.org/officeDocument/2006/relationships/hyperlink" Target="https://www.ohchr.org/HRBAD" TargetMode="External"/><Relationship Id="rId150" Type="http://schemas.openxmlformats.org/officeDocument/2006/relationships/hyperlink" Target="https://unstats.un.org/unsd/demographic/standmeth/principles/M19Rev3en.pdf"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hyperlink" Target="http://www.oecd.org/dac/stats/officialdevelopmentassistancedefinitionandcoverage.htm" TargetMode="External"/><Relationship Id="rId46" Type="http://schemas.openxmlformats.org/officeDocument/2006/relationships/chart" Target="charts/chart13.xml"/><Relationship Id="rId59" Type="http://schemas.openxmlformats.org/officeDocument/2006/relationships/image" Target="media/image26.emf"/><Relationship Id="rId67" Type="http://schemas.openxmlformats.org/officeDocument/2006/relationships/chart" Target="charts/chart20.xml"/><Relationship Id="rId103" Type="http://schemas.openxmlformats.org/officeDocument/2006/relationships/hyperlink" Target="http://chm.pops.int/Portals/0/Repository/conf/UNEP-POPS-CONF-4-AppendixII.5206ab9e-ca67-42a7-afee-9d90720553c8.pdf" TargetMode="External"/><Relationship Id="rId108" Type="http://schemas.openxmlformats.org/officeDocument/2006/relationships/hyperlink" Target="http://statistics.unwto.org/content/irts2008" TargetMode="External"/><Relationship Id="rId116" Type="http://schemas.openxmlformats.org/officeDocument/2006/relationships/hyperlink" Target="https://environmentlive.unep.org/media/docs/marine_plastics/une_science_dvision_gesamp_reports.pdf" TargetMode="External"/><Relationship Id="rId124" Type="http://schemas.openxmlformats.org/officeDocument/2006/relationships/image" Target="media/image52.jpeg"/><Relationship Id="rId129" Type="http://schemas.openxmlformats.org/officeDocument/2006/relationships/hyperlink" Target="https://chm.cbd.int/search/reporting-map?filter=nr6" TargetMode="External"/><Relationship Id="rId137" Type="http://schemas.openxmlformats.org/officeDocument/2006/relationships/hyperlink" Target="http://www.washingtongroup-disability.com/washington-group-question-sets/short-set-of-disability-questions/" TargetMode="External"/><Relationship Id="rId20" Type="http://schemas.openxmlformats.org/officeDocument/2006/relationships/image" Target="media/image12.jpeg"/><Relationship Id="rId41" Type="http://schemas.openxmlformats.org/officeDocument/2006/relationships/hyperlink" Target="http://www.oecd.org/dac/stats/purposecodessectorclassification.htm" TargetMode="External"/><Relationship Id="rId54" Type="http://schemas.openxmlformats.org/officeDocument/2006/relationships/image" Target="media/image24.jpeg"/><Relationship Id="rId62" Type="http://schemas.openxmlformats.org/officeDocument/2006/relationships/chart" Target="charts/chart18.xml"/><Relationship Id="rId70" Type="http://schemas.openxmlformats.org/officeDocument/2006/relationships/image" Target="media/image31.jpeg"/><Relationship Id="rId75" Type="http://schemas.openxmlformats.org/officeDocument/2006/relationships/chart" Target="charts/chart25.xml"/><Relationship Id="rId83" Type="http://schemas.openxmlformats.org/officeDocument/2006/relationships/image" Target="media/image37.jpeg"/><Relationship Id="rId88" Type="http://schemas.openxmlformats.org/officeDocument/2006/relationships/image" Target="media/image41.png"/><Relationship Id="rId91" Type="http://schemas.openxmlformats.org/officeDocument/2006/relationships/image" Target="media/image43.png"/><Relationship Id="rId96" Type="http://schemas.openxmlformats.org/officeDocument/2006/relationships/image" Target="media/image45.jpg"/><Relationship Id="rId111" Type="http://schemas.openxmlformats.org/officeDocument/2006/relationships/hyperlink" Target="https://seea.un.org/content/seea-central-framework" TargetMode="External"/><Relationship Id="rId132" Type="http://schemas.openxmlformats.org/officeDocument/2006/relationships/hyperlink" Target="http://www.oecd.org/dac/stats/officialdevelopmentassistancedefinitionandcoverage.htm" TargetMode="External"/><Relationship Id="rId140" Type="http://schemas.openxmlformats.org/officeDocument/2006/relationships/image" Target="media/image54.jpg"/><Relationship Id="rId145" Type="http://schemas.openxmlformats.org/officeDocument/2006/relationships/hyperlink" Target="http://www.oecd.org/dac/stats/documentupload/DCDDAC(2016)3FINAL.pdf"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8.emf"/><Relationship Id="rId49" Type="http://schemas.openxmlformats.org/officeDocument/2006/relationships/image" Target="media/image22.emf"/><Relationship Id="rId57" Type="http://schemas.openxmlformats.org/officeDocument/2006/relationships/chart" Target="charts/chart16.xml"/><Relationship Id="rId106" Type="http://schemas.openxmlformats.org/officeDocument/2006/relationships/hyperlink" Target="http://statistics.unwto.org/content/irts2008" TargetMode="External"/><Relationship Id="rId114" Type="http://schemas.openxmlformats.org/officeDocument/2006/relationships/hyperlink" Target="http://www.preventionweb.net/publications/view/51748" TargetMode="External"/><Relationship Id="rId119" Type="http://schemas.openxmlformats.org/officeDocument/2006/relationships/hyperlink" Target="http://data.uis.unesco.org/)" TargetMode="External"/><Relationship Id="rId127" Type="http://schemas.openxmlformats.org/officeDocument/2006/relationships/hyperlink" Target="https://www.cbd.int/nbsap/" TargetMode="Externa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chart" Target="charts/chart11.xml"/><Relationship Id="rId52" Type="http://schemas.openxmlformats.org/officeDocument/2006/relationships/hyperlink" Target="http://www.unsceb.org/directory" TargetMode="External"/><Relationship Id="rId60" Type="http://schemas.openxmlformats.org/officeDocument/2006/relationships/image" Target="media/image27.jpeg"/><Relationship Id="rId65" Type="http://schemas.openxmlformats.org/officeDocument/2006/relationships/image" Target="media/image29.png"/><Relationship Id="rId73" Type="http://schemas.openxmlformats.org/officeDocument/2006/relationships/chart" Target="charts/chart23.xml"/><Relationship Id="rId78" Type="http://schemas.openxmlformats.org/officeDocument/2006/relationships/hyperlink" Target="http://www.fao.org/nr/water/aquastat/sets/aq-5yr-quest_eng.xls" TargetMode="External"/><Relationship Id="rId81" Type="http://schemas.openxmlformats.org/officeDocument/2006/relationships/image" Target="media/image36.jpeg"/><Relationship Id="rId86" Type="http://schemas.openxmlformats.org/officeDocument/2006/relationships/image" Target="media/image39.png"/><Relationship Id="rId94" Type="http://schemas.openxmlformats.org/officeDocument/2006/relationships/hyperlink" Target="http://whc.unesco.org/en/list/" TargetMode="External"/><Relationship Id="rId99" Type="http://schemas.openxmlformats.org/officeDocument/2006/relationships/diagramLayout" Target="diagrams/layout1.xml"/><Relationship Id="rId101" Type="http://schemas.openxmlformats.org/officeDocument/2006/relationships/diagramColors" Target="diagrams/colors1.xml"/><Relationship Id="rId122" Type="http://schemas.openxmlformats.org/officeDocument/2006/relationships/hyperlink" Target="https://www.ibat-alliance.org/ibat-conservation/login" TargetMode="External"/><Relationship Id="rId130" Type="http://schemas.openxmlformats.org/officeDocument/2006/relationships/hyperlink" Target="https://chm.cbd.int/search/reporting-map?filter=nr6" TargetMode="External"/><Relationship Id="rId135" Type="http://schemas.openxmlformats.org/officeDocument/2006/relationships/hyperlink" Target="https://www.oecd.org/environment/resources/Tracking-Economic-Instruments-and-Finance-for-Biodiversity.pdf" TargetMode="External"/><Relationship Id="rId143" Type="http://schemas.openxmlformats.org/officeDocument/2006/relationships/hyperlink" Target="https://unctad.org/en/PublicationChapters/wir2019chMethodNote_en.pdf" TargetMode="External"/><Relationship Id="rId148" Type="http://schemas.openxmlformats.org/officeDocument/2006/relationships/hyperlink" Target="http://unstats.un.org/sdgs/files/metadata-compilation/Metadata-Goal-17.pdf" TargetMode="External"/><Relationship Id="rId151" Type="http://schemas.openxmlformats.org/officeDocument/2006/relationships/hyperlink" Target="https://unstats.un.org/sdgs/files/report/2017/secretary-general-sdg-report-2017--Statistical-Annex.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oecd.org/dac/stats/purposecodessectorclassification.htm" TargetMode="External"/><Relationship Id="rId109" Type="http://schemas.openxmlformats.org/officeDocument/2006/relationships/hyperlink" Target="http://statistics.unwto.org/content/irts2008" TargetMode="External"/><Relationship Id="rId34" Type="http://schemas.openxmlformats.org/officeDocument/2006/relationships/chart" Target="charts/chart10.xml"/><Relationship Id="rId50" Type="http://schemas.openxmlformats.org/officeDocument/2006/relationships/image" Target="media/image23.emf"/><Relationship Id="rId55" Type="http://schemas.openxmlformats.org/officeDocument/2006/relationships/chart" Target="charts/chart14.xml"/><Relationship Id="rId76" Type="http://schemas.openxmlformats.org/officeDocument/2006/relationships/image" Target="media/image34.jpeg"/><Relationship Id="rId97" Type="http://schemas.openxmlformats.org/officeDocument/2006/relationships/image" Target="media/image46.png"/><Relationship Id="rId104" Type="http://schemas.openxmlformats.org/officeDocument/2006/relationships/image" Target="media/image47.emf"/><Relationship Id="rId120" Type="http://schemas.openxmlformats.org/officeDocument/2006/relationships/hyperlink" Target="http://www.fao.org/fishery/cwp/search/en" TargetMode="External"/><Relationship Id="rId125" Type="http://schemas.openxmlformats.org/officeDocument/2006/relationships/hyperlink" Target="https://www.ibat-alliance.org/ibat-conservation/login" TargetMode="External"/><Relationship Id="rId141" Type="http://schemas.openxmlformats.org/officeDocument/2006/relationships/image" Target="media/image55.emf"/><Relationship Id="rId146" Type="http://schemas.openxmlformats.org/officeDocument/2006/relationships/hyperlink" Target="http://unstats.un.org/sdgs/files/metadata-compilation/Metadata-Goal-17.pdf" TargetMode="Externa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3.jp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hyperlink" Target="http://www.oecd.org/dac/stats/purposecodessectorclassification.htm" TargetMode="External"/><Relationship Id="rId45" Type="http://schemas.openxmlformats.org/officeDocument/2006/relationships/chart" Target="charts/chart12.xml"/><Relationship Id="rId66" Type="http://schemas.openxmlformats.org/officeDocument/2006/relationships/image" Target="media/image30.jpeg"/><Relationship Id="rId87" Type="http://schemas.openxmlformats.org/officeDocument/2006/relationships/image" Target="media/image40.png"/><Relationship Id="rId110" Type="http://schemas.openxmlformats.org/officeDocument/2006/relationships/hyperlink" Target="https://seea.un.org/content/seea-central-framework" TargetMode="External"/><Relationship Id="rId115" Type="http://schemas.openxmlformats.org/officeDocument/2006/relationships/image" Target="media/image49.jpeg"/><Relationship Id="rId131" Type="http://schemas.openxmlformats.org/officeDocument/2006/relationships/hyperlink" Target="https://chm.cbd.int/search/reporting-map?filter=nr6" TargetMode="External"/><Relationship Id="rId136" Type="http://schemas.openxmlformats.org/officeDocument/2006/relationships/image" Target="media/image53.jpg"/><Relationship Id="rId61" Type="http://schemas.openxmlformats.org/officeDocument/2006/relationships/chart" Target="charts/chart17.xml"/><Relationship Id="rId82" Type="http://schemas.openxmlformats.org/officeDocument/2006/relationships/hyperlink" Target="http://www.ilo.org/ilostatfiles/Documents/description_IFL_EN.pdf" TargetMode="External"/><Relationship Id="rId152" Type="http://schemas.openxmlformats.org/officeDocument/2006/relationships/hyperlink" Target="https://unstats.un.org/unsd/demographic/products/dyb/default.htm" TargetMode="External"/><Relationship Id="rId19" Type="http://schemas.openxmlformats.org/officeDocument/2006/relationships/image" Target="media/image11.jpeg"/><Relationship Id="rId14" Type="http://schemas.openxmlformats.org/officeDocument/2006/relationships/footer" Target="footer1.xml"/><Relationship Id="rId30" Type="http://schemas.openxmlformats.org/officeDocument/2006/relationships/image" Target="media/image15.emf"/><Relationship Id="rId35" Type="http://schemas.openxmlformats.org/officeDocument/2006/relationships/image" Target="media/image17.jpeg"/><Relationship Id="rId56" Type="http://schemas.openxmlformats.org/officeDocument/2006/relationships/chart" Target="charts/chart15.xml"/><Relationship Id="rId77" Type="http://schemas.openxmlformats.org/officeDocument/2006/relationships/hyperlink" Target="http://www.fao.org/nr/water/aquastat/sets/aq-5yr-quest_eng.xls" TargetMode="External"/><Relationship Id="rId100" Type="http://schemas.openxmlformats.org/officeDocument/2006/relationships/diagramQuickStyle" Target="diagrams/quickStyle1.xml"/><Relationship Id="rId105" Type="http://schemas.openxmlformats.org/officeDocument/2006/relationships/package" Target="embeddings/Microsoft_Excel_Worksheet26.xlsx"/><Relationship Id="rId126" Type="http://schemas.openxmlformats.org/officeDocument/2006/relationships/hyperlink" Target="http://www.openforis.org/tools/collect-earth.html" TargetMode="External"/><Relationship Id="rId147" Type="http://schemas.openxmlformats.org/officeDocument/2006/relationships/hyperlink" Target="http://unstats.un.org/sdgs/files/metadata-compilation/Metadata-Goal-17.pdf" TargetMode="External"/><Relationship Id="rId8" Type="http://schemas.openxmlformats.org/officeDocument/2006/relationships/endnotes" Target="endnotes.xml"/><Relationship Id="rId51" Type="http://schemas.openxmlformats.org/officeDocument/2006/relationships/hyperlink" Target="http://www.unsceb.org/directory" TargetMode="External"/><Relationship Id="rId72" Type="http://schemas.openxmlformats.org/officeDocument/2006/relationships/image" Target="media/image33.jpeg"/><Relationship Id="rId93" Type="http://schemas.openxmlformats.org/officeDocument/2006/relationships/image" Target="media/image44.jpeg"/><Relationship Id="rId98" Type="http://schemas.openxmlformats.org/officeDocument/2006/relationships/diagramData" Target="diagrams/data1.xml"/><Relationship Id="rId121" Type="http://schemas.openxmlformats.org/officeDocument/2006/relationships/image" Target="media/image50.jpeg"/><Relationship Id="rId142" Type="http://schemas.openxmlformats.org/officeDocument/2006/relationships/image" Target="media/image56.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oecd.org/governance/legal-needs-surveys-and-access-to-justice-g2g9a36c-en.htm" TargetMode="External"/><Relationship Id="rId3" Type="http://schemas.openxmlformats.org/officeDocument/2006/relationships/hyperlink" Target="https://oceanservice.noaa.gov/facts/acidification.html" TargetMode="External"/><Relationship Id="rId7" Type="http://schemas.openxmlformats.org/officeDocument/2006/relationships/hyperlink" Target="https://www.oecd.org/governance/legal-needs-surveys-and-access-to-justice-g2g9a36c-en.htm" TargetMode="External"/><Relationship Id="rId2" Type="http://schemas.openxmlformats.org/officeDocument/2006/relationships/hyperlink" Target="http://www.ohchr.org/Documents/Issues/HRIndicators/HumanRightsStandards.pdf" TargetMode="External"/><Relationship Id="rId1" Type="http://schemas.openxmlformats.org/officeDocument/2006/relationships/hyperlink" Target="http://www.fao.org/3/CA2639EN/ca2639en.pdf" TargetMode="External"/><Relationship Id="rId6" Type="http://schemas.openxmlformats.org/officeDocument/2006/relationships/hyperlink" Target="https://www.oecd.org/governance/legal-needs-surveys-and-access-to-justice-g2g9a36c-en.htm" TargetMode="External"/><Relationship Id="rId11" Type="http://schemas.openxmlformats.org/officeDocument/2006/relationships/hyperlink" Target="http://www.ohchr.org/Documents/Issues/HRIndicators/HumanRightsStandards.pdf" TargetMode="External"/><Relationship Id="rId5" Type="http://schemas.openxmlformats.org/officeDocument/2006/relationships/hyperlink" Target="https://www.oecd.org/governance/legal-needs-surveys-and-access-to-justice-g2g9a36c-en.htm" TargetMode="External"/><Relationship Id="rId10" Type="http://schemas.openxmlformats.org/officeDocument/2006/relationships/hyperlink" Target="mailto:sdg16indicators@undp.org" TargetMode="External"/><Relationship Id="rId4" Type="http://schemas.openxmlformats.org/officeDocument/2006/relationships/hyperlink" Target="https://www.oecd.org/governance/legal-needs-surveys-and-access-to-justice-g2g9a36c-en.htm" TargetMode="External"/><Relationship Id="rId9" Type="http://schemas.openxmlformats.org/officeDocument/2006/relationships/hyperlink" Target="https://www.oecd.org/governance/legal-needs-surveys-and-access-to-justice-g2g9a36c-en.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Custodian Agencies</a:t>
            </a:r>
            <a:r>
              <a:rPr lang="en-US" baseline="0"/>
              <a:t> of SDG Indicators</a:t>
            </a:r>
            <a:endParaRPr lang="en-US"/>
          </a:p>
        </c:rich>
      </c:tx>
      <c:overlay val="0"/>
    </c:title>
    <c:autoTitleDeleted val="0"/>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Sheet1!$A$2:$A$53</c:f>
              <c:strCache>
                <c:ptCount val="52"/>
                <c:pt idx="0">
                  <c:v>WHO</c:v>
                </c:pt>
                <c:pt idx="1">
                  <c:v>UNEP</c:v>
                </c:pt>
                <c:pt idx="2">
                  <c:v>FAO</c:v>
                </c:pt>
                <c:pt idx="3">
                  <c:v>WB</c:v>
                </c:pt>
                <c:pt idx="4">
                  <c:v>OECD</c:v>
                </c:pt>
                <c:pt idx="5">
                  <c:v>UNICEF</c:v>
                </c:pt>
                <c:pt idx="6">
                  <c:v>UNODC</c:v>
                </c:pt>
                <c:pt idx="7">
                  <c:v>ILO</c:v>
                </c:pt>
                <c:pt idx="8">
                  <c:v>UNESCO-UIS</c:v>
                </c:pt>
                <c:pt idx="9">
                  <c:v>UN-Habitat</c:v>
                </c:pt>
                <c:pt idx="10">
                  <c:v>UNSD</c:v>
                </c:pt>
                <c:pt idx="11">
                  <c:v>UNCTAD</c:v>
                </c:pt>
                <c:pt idx="12">
                  <c:v>UNDRR</c:v>
                </c:pt>
                <c:pt idx="13">
                  <c:v>UN Women</c:v>
                </c:pt>
                <c:pt idx="14">
                  <c:v>UNDP</c:v>
                </c:pt>
                <c:pt idx="15">
                  <c:v>DESA</c:v>
                </c:pt>
                <c:pt idx="16">
                  <c:v>ITU</c:v>
                </c:pt>
                <c:pt idx="17">
                  <c:v>IUCN</c:v>
                </c:pt>
                <c:pt idx="18">
                  <c:v>OHCHR</c:v>
                </c:pt>
                <c:pt idx="19">
                  <c:v>UNIDO</c:v>
                </c:pt>
                <c:pt idx="20">
                  <c:v>WTO</c:v>
                </c:pt>
                <c:pt idx="21">
                  <c:v>IMF</c:v>
                </c:pt>
                <c:pt idx="22">
                  <c:v>IRENA</c:v>
                </c:pt>
                <c:pt idx="23">
                  <c:v>ITC</c:v>
                </c:pt>
                <c:pt idx="24">
                  <c:v>UNEP-WCMC</c:v>
                </c:pt>
                <c:pt idx="25">
                  <c:v>UNFCCC</c:v>
                </c:pt>
                <c:pt idx="26">
                  <c:v>UNFPA </c:v>
                </c:pt>
                <c:pt idx="27">
                  <c:v>UNISDR</c:v>
                </c:pt>
                <c:pt idx="28">
                  <c:v>IEA</c:v>
                </c:pt>
                <c:pt idx="29">
                  <c:v>PARIS21</c:v>
                </c:pt>
                <c:pt idx="30">
                  <c:v>CBD-Secretariat</c:v>
                </c:pt>
                <c:pt idx="31">
                  <c:v>CITES</c:v>
                </c:pt>
                <c:pt idx="32">
                  <c:v>IOC-UNESCO</c:v>
                </c:pt>
                <c:pt idx="33">
                  <c:v>IOM</c:v>
                </c:pt>
                <c:pt idx="34">
                  <c:v>IPU </c:v>
                </c:pt>
                <c:pt idx="35">
                  <c:v>UNESCO-UIS </c:v>
                </c:pt>
                <c:pt idx="36">
                  <c:v>UNWTO</c:v>
                </c:pt>
                <c:pt idx="37">
                  <c:v>Global Migration Group</c:v>
                </c:pt>
                <c:pt idx="38">
                  <c:v>ICAO</c:v>
                </c:pt>
                <c:pt idx="39">
                  <c:v>National Govt.</c:v>
                </c:pt>
                <c:pt idx="40">
                  <c:v>Other UN-Oceans agencies</c:v>
                </c:pt>
                <c:pt idx="41">
                  <c:v>Ramsar</c:v>
                </c:pt>
                <c:pt idx="42">
                  <c:v>SAVE THE CHILDREN</c:v>
                </c:pt>
                <c:pt idx="43">
                  <c:v>UNAIDS</c:v>
                </c:pt>
                <c:pt idx="44">
                  <c:v>UNCCD</c:v>
                </c:pt>
                <c:pt idx="45">
                  <c:v>UN-DOALOS</c:v>
                </c:pt>
                <c:pt idx="46">
                  <c:v>UNECE</c:v>
                </c:pt>
                <c:pt idx="47">
                  <c:v>UNEP-CTCN</c:v>
                </c:pt>
                <c:pt idx="48">
                  <c:v>UNESCO</c:v>
                </c:pt>
                <c:pt idx="49">
                  <c:v>UNESCO-IHP </c:v>
                </c:pt>
                <c:pt idx="50">
                  <c:v>UNHCR</c:v>
                </c:pt>
                <c:pt idx="51">
                  <c:v>UNODA </c:v>
                </c:pt>
              </c:strCache>
            </c:strRef>
          </c:cat>
          <c:val>
            <c:numRef>
              <c:f>Sheet1!$B$2:$B$53</c:f>
              <c:numCache>
                <c:formatCode>General</c:formatCode>
                <c:ptCount val="52"/>
                <c:pt idx="0">
                  <c:v>35</c:v>
                </c:pt>
                <c:pt idx="1">
                  <c:v>23</c:v>
                </c:pt>
                <c:pt idx="2">
                  <c:v>22</c:v>
                </c:pt>
                <c:pt idx="3">
                  <c:v>21</c:v>
                </c:pt>
                <c:pt idx="4">
                  <c:v>20</c:v>
                </c:pt>
                <c:pt idx="5">
                  <c:v>18</c:v>
                </c:pt>
                <c:pt idx="6">
                  <c:v>16</c:v>
                </c:pt>
                <c:pt idx="7">
                  <c:v>15</c:v>
                </c:pt>
                <c:pt idx="8">
                  <c:v>15</c:v>
                </c:pt>
                <c:pt idx="9">
                  <c:v>10</c:v>
                </c:pt>
                <c:pt idx="10">
                  <c:v>10</c:v>
                </c:pt>
                <c:pt idx="11">
                  <c:v>7</c:v>
                </c:pt>
                <c:pt idx="12">
                  <c:v>7</c:v>
                </c:pt>
                <c:pt idx="13">
                  <c:v>6</c:v>
                </c:pt>
                <c:pt idx="14">
                  <c:v>6</c:v>
                </c:pt>
                <c:pt idx="15">
                  <c:v>5</c:v>
                </c:pt>
                <c:pt idx="16">
                  <c:v>5</c:v>
                </c:pt>
                <c:pt idx="17">
                  <c:v>5</c:v>
                </c:pt>
                <c:pt idx="18">
                  <c:v>5</c:v>
                </c:pt>
                <c:pt idx="19">
                  <c:v>5</c:v>
                </c:pt>
                <c:pt idx="20">
                  <c:v>5</c:v>
                </c:pt>
                <c:pt idx="21">
                  <c:v>4</c:v>
                </c:pt>
                <c:pt idx="22">
                  <c:v>4</c:v>
                </c:pt>
                <c:pt idx="23">
                  <c:v>4</c:v>
                </c:pt>
                <c:pt idx="24">
                  <c:v>4</c:v>
                </c:pt>
                <c:pt idx="25">
                  <c:v>4</c:v>
                </c:pt>
                <c:pt idx="26">
                  <c:v>4</c:v>
                </c:pt>
                <c:pt idx="27">
                  <c:v>4</c:v>
                </c:pt>
                <c:pt idx="28">
                  <c:v>3</c:v>
                </c:pt>
                <c:pt idx="29">
                  <c:v>3</c:v>
                </c:pt>
                <c:pt idx="30">
                  <c:v>2</c:v>
                </c:pt>
                <c:pt idx="31">
                  <c:v>2</c:v>
                </c:pt>
                <c:pt idx="32">
                  <c:v>2</c:v>
                </c:pt>
                <c:pt idx="33">
                  <c:v>2</c:v>
                </c:pt>
                <c:pt idx="34">
                  <c:v>2</c:v>
                </c:pt>
                <c:pt idx="35">
                  <c:v>2</c:v>
                </c:pt>
                <c:pt idx="36">
                  <c:v>2</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numCache>
            </c:numRef>
          </c:val>
          <c:extLst xmlns:c16r2="http://schemas.microsoft.com/office/drawing/2015/06/chart">
            <c:ext xmlns:c16="http://schemas.microsoft.com/office/drawing/2014/chart" uri="{C3380CC4-5D6E-409C-BE32-E72D297353CC}">
              <c16:uniqueId val="{00000000-184A-4A8A-86CA-5EE70D9FD6FC}"/>
            </c:ext>
          </c:extLst>
        </c:ser>
        <c:dLbls>
          <c:showLegendKey val="0"/>
          <c:showVal val="0"/>
          <c:showCatName val="0"/>
          <c:showSerName val="0"/>
          <c:showPercent val="0"/>
          <c:showBubbleSize val="0"/>
        </c:dLbls>
        <c:gapWidth val="150"/>
        <c:axId val="303502464"/>
        <c:axId val="303504000"/>
      </c:barChart>
      <c:catAx>
        <c:axId val="303502464"/>
        <c:scaling>
          <c:orientation val="maxMin"/>
        </c:scaling>
        <c:delete val="0"/>
        <c:axPos val="l"/>
        <c:numFmt formatCode="General" sourceLinked="0"/>
        <c:majorTickMark val="none"/>
        <c:minorTickMark val="none"/>
        <c:tickLblPos val="nextTo"/>
        <c:txPr>
          <a:bodyPr/>
          <a:lstStyle/>
          <a:p>
            <a:pPr>
              <a:defRPr sz="800" baseline="0">
                <a:latin typeface="Tw Cen MT" pitchFamily="34" charset="0"/>
              </a:defRPr>
            </a:pPr>
            <a:endParaRPr lang="en-US"/>
          </a:p>
        </c:txPr>
        <c:crossAx val="303504000"/>
        <c:crosses val="autoZero"/>
        <c:auto val="1"/>
        <c:lblAlgn val="ctr"/>
        <c:lblOffset val="100"/>
        <c:noMultiLvlLbl val="0"/>
      </c:catAx>
      <c:valAx>
        <c:axId val="303504000"/>
        <c:scaling>
          <c:orientation val="minMax"/>
        </c:scaling>
        <c:delete val="0"/>
        <c:axPos val="t"/>
        <c:numFmt formatCode="General" sourceLinked="1"/>
        <c:majorTickMark val="out"/>
        <c:minorTickMark val="none"/>
        <c:tickLblPos val="nextTo"/>
        <c:crossAx val="30350246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Tier Classifications</a:t>
            </a:r>
          </a:p>
        </c:rich>
      </c:tx>
      <c:overlay val="0"/>
      <c:spPr>
        <a:noFill/>
        <a:ln>
          <a:noFill/>
        </a:ln>
        <a:effectLst/>
      </c:spPr>
    </c:title>
    <c:autoTitleDeleted val="0"/>
    <c:plotArea>
      <c:layout>
        <c:manualLayout>
          <c:layoutTarget val="inner"/>
          <c:xMode val="edge"/>
          <c:yMode val="edge"/>
          <c:x val="0.29907624792313803"/>
          <c:y val="0.13780597220190835"/>
          <c:w val="0.57374334802186422"/>
          <c:h val="0.83222212277526852"/>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F18-44F0-9AD5-97AD162175AC}"/>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F18-44F0-9AD5-97AD162175AC}"/>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DF18-44F0-9AD5-97AD162175AC}"/>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Tier I</c:v>
                </c:pt>
                <c:pt idx="1">
                  <c:v>Tier II</c:v>
                </c:pt>
                <c:pt idx="2">
                  <c:v>Tier III</c:v>
                </c:pt>
              </c:strCache>
            </c:strRef>
          </c:cat>
          <c:val>
            <c:numRef>
              <c:f>Sheet1!$B$2:$B$4</c:f>
              <c:numCache>
                <c:formatCode>General</c:formatCode>
                <c:ptCount val="3"/>
                <c:pt idx="0">
                  <c:v>3</c:v>
                </c:pt>
                <c:pt idx="1">
                  <c:v>7</c:v>
                </c:pt>
                <c:pt idx="2">
                  <c:v>4</c:v>
                </c:pt>
              </c:numCache>
            </c:numRef>
          </c:val>
          <c:extLst xmlns:c16r2="http://schemas.microsoft.com/office/drawing/2015/06/chart">
            <c:ext xmlns:c16="http://schemas.microsoft.com/office/drawing/2014/chart" uri="{C3380CC4-5D6E-409C-BE32-E72D297353CC}">
              <c16:uniqueId val="{00000006-DF18-44F0-9AD5-97AD162175A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Tier Classifications</a:t>
            </a:r>
          </a:p>
        </c:rich>
      </c:tx>
      <c:overlay val="0"/>
      <c:spPr>
        <a:noFill/>
        <a:ln>
          <a:noFill/>
        </a:ln>
        <a:effectLst/>
      </c:spPr>
    </c:title>
    <c:autoTitleDeleted val="0"/>
    <c:plotArea>
      <c:layout>
        <c:manualLayout>
          <c:layoutTarget val="inner"/>
          <c:xMode val="edge"/>
          <c:yMode val="edge"/>
          <c:x val="0.2837857403330587"/>
          <c:y val="0.11562675715547997"/>
          <c:w val="0.71151846792907347"/>
          <c:h val="0.85440100334279023"/>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FB3B-478C-BC7D-1AA1C8F22ACA}"/>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FB3B-478C-BC7D-1AA1C8F22ACA}"/>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FB3B-478C-BC7D-1AA1C8F22ACA}"/>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Tier I</c:v>
                </c:pt>
                <c:pt idx="1">
                  <c:v>Tier II</c:v>
                </c:pt>
                <c:pt idx="2">
                  <c:v>Tier III</c:v>
                </c:pt>
              </c:strCache>
            </c:strRef>
          </c:cat>
          <c:val>
            <c:numRef>
              <c:f>Sheet1!$B$2:$B$4</c:f>
              <c:numCache>
                <c:formatCode>General</c:formatCode>
                <c:ptCount val="3"/>
                <c:pt idx="0">
                  <c:v>7</c:v>
                </c:pt>
                <c:pt idx="1">
                  <c:v>3</c:v>
                </c:pt>
                <c:pt idx="2">
                  <c:v>3</c:v>
                </c:pt>
              </c:numCache>
            </c:numRef>
          </c:val>
          <c:extLst xmlns:c16r2="http://schemas.microsoft.com/office/drawing/2015/06/chart">
            <c:ext xmlns:c16="http://schemas.microsoft.com/office/drawing/2014/chart" uri="{C3380CC4-5D6E-409C-BE32-E72D297353CC}">
              <c16:uniqueId val="{00000006-FB3B-478C-BC7D-1AA1C8F22ACA}"/>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Data Availability in Bangladesh</a:t>
            </a:r>
          </a:p>
        </c:rich>
      </c:tx>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0844-4D07-96C7-7F0099FE5CFE}"/>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0844-4D07-96C7-7F0099FE5CFE}"/>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0844-4D07-96C7-7F0099FE5CFE}"/>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Readily Available</c:v>
                </c:pt>
                <c:pt idx="1">
                  <c:v>Partially Available</c:v>
                </c:pt>
                <c:pt idx="2">
                  <c:v>Not Available</c:v>
                </c:pt>
              </c:strCache>
            </c:strRef>
          </c:cat>
          <c:val>
            <c:numRef>
              <c:f>Sheet1!$B$2:$B$4</c:f>
              <c:numCache>
                <c:formatCode>General</c:formatCode>
                <c:ptCount val="3"/>
                <c:pt idx="0">
                  <c:v>3</c:v>
                </c:pt>
                <c:pt idx="1">
                  <c:v>5</c:v>
                </c:pt>
                <c:pt idx="2">
                  <c:v>5</c:v>
                </c:pt>
              </c:numCache>
            </c:numRef>
          </c:val>
          <c:extLst xmlns:c16r2="http://schemas.microsoft.com/office/drawing/2015/06/chart">
            <c:ext xmlns:c16="http://schemas.microsoft.com/office/drawing/2014/chart" uri="{C3380CC4-5D6E-409C-BE32-E72D297353CC}">
              <c16:uniqueId val="{00000006-0844-4D07-96C7-7F0099FE5CFE}"/>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Local Data Group</a:t>
            </a:r>
          </a:p>
        </c:rich>
      </c:tx>
      <c:layout>
        <c:manualLayout>
          <c:xMode val="edge"/>
          <c:yMode val="edge"/>
          <c:x val="0.26699143971682437"/>
          <c:y val="0"/>
        </c:manualLayout>
      </c:layout>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EAC-40E1-93AB-79ADDCC8309D}"/>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EAC-40E1-93AB-79ADDCC8309D}"/>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EAC-40E1-93AB-79ADDCC8309D}"/>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Group 1</c:v>
                </c:pt>
                <c:pt idx="1">
                  <c:v>Group 2</c:v>
                </c:pt>
                <c:pt idx="2">
                  <c:v>Group 3</c:v>
                </c:pt>
              </c:strCache>
            </c:strRef>
          </c:cat>
          <c:val>
            <c:numRef>
              <c:f>Sheet1!$B$2:$B$4</c:f>
              <c:numCache>
                <c:formatCode>General</c:formatCode>
                <c:ptCount val="3"/>
                <c:pt idx="0">
                  <c:v>3</c:v>
                </c:pt>
                <c:pt idx="1">
                  <c:v>4</c:v>
                </c:pt>
                <c:pt idx="2">
                  <c:v>6</c:v>
                </c:pt>
              </c:numCache>
            </c:numRef>
          </c:val>
          <c:extLst xmlns:c16r2="http://schemas.microsoft.com/office/drawing/2015/06/chart">
            <c:ext xmlns:c16="http://schemas.microsoft.com/office/drawing/2014/chart" uri="{C3380CC4-5D6E-409C-BE32-E72D297353CC}">
              <c16:uniqueId val="{00000006-5EAC-40E1-93AB-79ADDCC8309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Tier Classifications</a:t>
            </a:r>
          </a:p>
        </c:rich>
      </c:tx>
      <c:overlay val="0"/>
      <c:spPr>
        <a:noFill/>
        <a:ln>
          <a:noFill/>
        </a:ln>
        <a:effectLst/>
      </c:spPr>
    </c:title>
    <c:autoTitleDeleted val="0"/>
    <c:plotArea>
      <c:layout>
        <c:manualLayout>
          <c:layoutTarget val="inner"/>
          <c:xMode val="edge"/>
          <c:yMode val="edge"/>
          <c:x val="0.2837857403330587"/>
          <c:y val="0.11562675715547997"/>
          <c:w val="0.71151846792907347"/>
          <c:h val="0.85440100334279023"/>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621-4784-AEA0-8161C5CE4D91}"/>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621-4784-AEA0-8161C5CE4D91}"/>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621-4784-AEA0-8161C5CE4D91}"/>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Tier I</c:v>
                </c:pt>
                <c:pt idx="1">
                  <c:v>Tier II</c:v>
                </c:pt>
                <c:pt idx="2">
                  <c:v>Tier III</c:v>
                </c:pt>
              </c:strCache>
            </c:strRef>
          </c:cat>
          <c:val>
            <c:numRef>
              <c:f>Sheet1!$B$2:$B$4</c:f>
              <c:numCache>
                <c:formatCode>General</c:formatCode>
                <c:ptCount val="3"/>
                <c:pt idx="0">
                  <c:v>17</c:v>
                </c:pt>
                <c:pt idx="1">
                  <c:v>8</c:v>
                </c:pt>
                <c:pt idx="2">
                  <c:v>2</c:v>
                </c:pt>
              </c:numCache>
            </c:numRef>
          </c:val>
          <c:extLst xmlns:c16r2="http://schemas.microsoft.com/office/drawing/2015/06/chart">
            <c:ext xmlns:c16="http://schemas.microsoft.com/office/drawing/2014/chart" uri="{C3380CC4-5D6E-409C-BE32-E72D297353CC}">
              <c16:uniqueId val="{00000006-7621-4784-AEA0-8161C5CE4D91}"/>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Data Availability in Bangladesh</a:t>
            </a:r>
          </a:p>
        </c:rich>
      </c:tx>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9BF5-47F2-8382-9D0A3CE87B2C}"/>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9BF5-47F2-8382-9D0A3CE87B2C}"/>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9BF5-47F2-8382-9D0A3CE87B2C}"/>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Readily Available</c:v>
                </c:pt>
                <c:pt idx="1">
                  <c:v>Partially Available</c:v>
                </c:pt>
                <c:pt idx="2">
                  <c:v>Not Available</c:v>
                </c:pt>
              </c:strCache>
            </c:strRef>
          </c:cat>
          <c:val>
            <c:numRef>
              <c:f>Sheet1!$B$2:$B$4</c:f>
              <c:numCache>
                <c:formatCode>General</c:formatCode>
                <c:ptCount val="3"/>
                <c:pt idx="0">
                  <c:v>13</c:v>
                </c:pt>
                <c:pt idx="1">
                  <c:v>10</c:v>
                </c:pt>
                <c:pt idx="2">
                  <c:v>4</c:v>
                </c:pt>
              </c:numCache>
            </c:numRef>
          </c:val>
          <c:extLst xmlns:c16r2="http://schemas.microsoft.com/office/drawing/2015/06/chart">
            <c:ext xmlns:c16="http://schemas.microsoft.com/office/drawing/2014/chart" uri="{C3380CC4-5D6E-409C-BE32-E72D297353CC}">
              <c16:uniqueId val="{00000006-9BF5-47F2-8382-9D0A3CE87B2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Local Data Group</a:t>
            </a:r>
          </a:p>
        </c:rich>
      </c:tx>
      <c:layout>
        <c:manualLayout>
          <c:xMode val="edge"/>
          <c:yMode val="edge"/>
          <c:x val="0.26699143971682437"/>
          <c:y val="0"/>
        </c:manualLayout>
      </c:layout>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233-4255-AE1B-FC8341E31ECA}"/>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233-4255-AE1B-FC8341E31ECA}"/>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233-4255-AE1B-FC8341E31ECA}"/>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Group 1</c:v>
                </c:pt>
                <c:pt idx="1">
                  <c:v>Group 2</c:v>
                </c:pt>
                <c:pt idx="2">
                  <c:v>Group 3</c:v>
                </c:pt>
              </c:strCache>
            </c:strRef>
          </c:cat>
          <c:val>
            <c:numRef>
              <c:f>Sheet1!$B$2:$B$4</c:f>
              <c:numCache>
                <c:formatCode>General</c:formatCode>
                <c:ptCount val="3"/>
                <c:pt idx="0">
                  <c:v>11</c:v>
                </c:pt>
                <c:pt idx="1">
                  <c:v>9</c:v>
                </c:pt>
                <c:pt idx="2">
                  <c:v>7</c:v>
                </c:pt>
              </c:numCache>
            </c:numRef>
          </c:val>
          <c:extLst xmlns:c16r2="http://schemas.microsoft.com/office/drawing/2015/06/chart">
            <c:ext xmlns:c16="http://schemas.microsoft.com/office/drawing/2014/chart" uri="{C3380CC4-5D6E-409C-BE32-E72D297353CC}">
              <c16:uniqueId val="{00000006-5233-4255-AE1B-FC8341E31ECA}"/>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Tier Classifications</a:t>
            </a:r>
          </a:p>
        </c:rich>
      </c:tx>
      <c:overlay val="0"/>
      <c:spPr>
        <a:noFill/>
        <a:ln>
          <a:noFill/>
        </a:ln>
        <a:effectLst/>
      </c:spPr>
    </c:title>
    <c:autoTitleDeleted val="0"/>
    <c:plotArea>
      <c:layout>
        <c:manualLayout>
          <c:layoutTarget val="inner"/>
          <c:xMode val="edge"/>
          <c:yMode val="edge"/>
          <c:x val="0.2837857403330587"/>
          <c:y val="0.13226119815145093"/>
          <c:w val="0.57756597799128329"/>
          <c:h val="0.83776689682572614"/>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65C-4D63-B924-BF43C7FF2766}"/>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65C-4D63-B924-BF43C7FF2766}"/>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65C-4D63-B924-BF43C7FF2766}"/>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Tier I</c:v>
                </c:pt>
                <c:pt idx="1">
                  <c:v>Tier II</c:v>
                </c:pt>
                <c:pt idx="2">
                  <c:v>Tier III</c:v>
                </c:pt>
              </c:strCache>
            </c:strRef>
          </c:cat>
          <c:val>
            <c:numRef>
              <c:f>Sheet1!$B$2:$B$4</c:f>
              <c:numCache>
                <c:formatCode>General</c:formatCode>
                <c:ptCount val="3"/>
                <c:pt idx="0">
                  <c:v>3</c:v>
                </c:pt>
                <c:pt idx="1">
                  <c:v>7</c:v>
                </c:pt>
                <c:pt idx="2">
                  <c:v>4</c:v>
                </c:pt>
              </c:numCache>
            </c:numRef>
          </c:val>
          <c:extLst xmlns:c16r2="http://schemas.microsoft.com/office/drawing/2015/06/chart">
            <c:ext xmlns:c16="http://schemas.microsoft.com/office/drawing/2014/chart" uri="{C3380CC4-5D6E-409C-BE32-E72D297353CC}">
              <c16:uniqueId val="{00000006-565C-4D63-B924-BF43C7FF2766}"/>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Data Availability in Bangladesh</a:t>
            </a:r>
          </a:p>
        </c:rich>
      </c:tx>
      <c:overlay val="0"/>
      <c:spPr>
        <a:noFill/>
        <a:ln>
          <a:noFill/>
        </a:ln>
        <a:effectLst/>
      </c:spPr>
    </c:title>
    <c:autoTitleDeleted val="0"/>
    <c:plotArea>
      <c:layout>
        <c:manualLayout>
          <c:layoutTarget val="inner"/>
          <c:xMode val="edge"/>
          <c:yMode val="edge"/>
          <c:x val="6.3638861831973842E-2"/>
          <c:y val="0.17359393351265334"/>
          <c:w val="0.51492226654114681"/>
          <c:h val="0.82171769471744072"/>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269-4F93-9E0B-8137FB547F12}"/>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269-4F93-9E0B-8137FB547F12}"/>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269-4F93-9E0B-8137FB547F12}"/>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Readily Available</c:v>
                </c:pt>
                <c:pt idx="1">
                  <c:v>Partially Available</c:v>
                </c:pt>
                <c:pt idx="2">
                  <c:v>Not Available</c:v>
                </c:pt>
              </c:strCache>
            </c:strRef>
          </c:cat>
          <c:val>
            <c:numRef>
              <c:f>Sheet1!$B$2:$B$4</c:f>
              <c:numCache>
                <c:formatCode>General</c:formatCode>
                <c:ptCount val="3"/>
                <c:pt idx="0">
                  <c:v>1</c:v>
                </c:pt>
                <c:pt idx="1">
                  <c:v>7</c:v>
                </c:pt>
                <c:pt idx="2">
                  <c:v>3</c:v>
                </c:pt>
              </c:numCache>
            </c:numRef>
          </c:val>
          <c:extLst xmlns:c16r2="http://schemas.microsoft.com/office/drawing/2015/06/chart">
            <c:ext xmlns:c16="http://schemas.microsoft.com/office/drawing/2014/chart" uri="{C3380CC4-5D6E-409C-BE32-E72D297353CC}">
              <c16:uniqueId val="{00000006-5269-4F93-9E0B-8137FB547F12}"/>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Local Data Group</a:t>
            </a:r>
          </a:p>
        </c:rich>
      </c:tx>
      <c:overlay val="0"/>
      <c:spPr>
        <a:noFill/>
        <a:ln>
          <a:noFill/>
        </a:ln>
        <a:effectLst/>
      </c:spPr>
    </c:title>
    <c:autoTitleDeleted val="0"/>
    <c:plotArea>
      <c:layout>
        <c:manualLayout>
          <c:layoutTarget val="inner"/>
          <c:xMode val="edge"/>
          <c:yMode val="edge"/>
          <c:x val="0.2837857403330587"/>
          <c:y val="0.15444029435328069"/>
          <c:w val="0.56227545811360735"/>
          <c:h val="0.81558780062389624"/>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5FC-4C1C-BF56-9E0B7C9288FF}"/>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5FC-4C1C-BF56-9E0B7C9288FF}"/>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D5FC-4C1C-BF56-9E0B7C9288FF}"/>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Group 1</c:v>
                </c:pt>
                <c:pt idx="1">
                  <c:v>Group 2</c:v>
                </c:pt>
                <c:pt idx="2">
                  <c:v>Group 3</c:v>
                </c:pt>
              </c:strCache>
            </c:strRef>
          </c:cat>
          <c:val>
            <c:numRef>
              <c:f>Sheet1!$B$2:$B$4</c:f>
              <c:numCache>
                <c:formatCode>General</c:formatCode>
                <c:ptCount val="3"/>
                <c:pt idx="0">
                  <c:v>1</c:v>
                </c:pt>
                <c:pt idx="1">
                  <c:v>3</c:v>
                </c:pt>
                <c:pt idx="2">
                  <c:v>7</c:v>
                </c:pt>
              </c:numCache>
            </c:numRef>
          </c:val>
          <c:extLst xmlns:c16r2="http://schemas.microsoft.com/office/drawing/2015/06/chart">
            <c:ext xmlns:c16="http://schemas.microsoft.com/office/drawing/2014/chart" uri="{C3380CC4-5D6E-409C-BE32-E72D297353CC}">
              <c16:uniqueId val="{00000006-D5FC-4C1C-BF56-9E0B7C9288FF}"/>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a:t>Partners</a:t>
            </a:r>
            <a:r>
              <a:rPr lang="en-US" sz="1600" b="0" baseline="0"/>
              <a:t> of Custodian Agencies for SDG Indicators</a:t>
            </a:r>
            <a:endParaRPr lang="en-US" sz="1600" b="0"/>
          </a:p>
        </c:rich>
      </c:tx>
      <c:overlay val="0"/>
    </c:title>
    <c:autoTitleDeleted val="0"/>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Sheet1!$A$2:$A$46</c:f>
              <c:strCache>
                <c:ptCount val="45"/>
                <c:pt idx="0">
                  <c:v>UNEP</c:v>
                </c:pt>
                <c:pt idx="1">
                  <c:v>OECD</c:v>
                </c:pt>
                <c:pt idx="2">
                  <c:v>WB</c:v>
                </c:pt>
                <c:pt idx="3">
                  <c:v>UNFPA </c:v>
                </c:pt>
                <c:pt idx="4">
                  <c:v>DESA</c:v>
                </c:pt>
                <c:pt idx="5">
                  <c:v>UN Women</c:v>
                </c:pt>
                <c:pt idx="6">
                  <c:v>UNSD</c:v>
                </c:pt>
                <c:pt idx="7">
                  <c:v>UN-Habitat</c:v>
                </c:pt>
                <c:pt idx="8">
                  <c:v>UNICEF</c:v>
                </c:pt>
                <c:pt idx="9">
                  <c:v>WHO</c:v>
                </c:pt>
                <c:pt idx="10">
                  <c:v>FAO</c:v>
                </c:pt>
                <c:pt idx="11">
                  <c:v>Eurostat </c:v>
                </c:pt>
                <c:pt idx="12">
                  <c:v>IUCN</c:v>
                </c:pt>
                <c:pt idx="13">
                  <c:v>UN-Energy</c:v>
                </c:pt>
                <c:pt idx="14">
                  <c:v>UNCDF</c:v>
                </c:pt>
                <c:pt idx="15">
                  <c:v>UN-Water</c:v>
                </c:pt>
                <c:pt idx="16">
                  <c:v>ILO</c:v>
                </c:pt>
                <c:pt idx="17">
                  <c:v>Ramsar</c:v>
                </c:pt>
                <c:pt idx="18">
                  <c:v>UNDP</c:v>
                </c:pt>
                <c:pt idx="19">
                  <c:v>UNECE</c:v>
                </c:pt>
                <c:pt idx="20">
                  <c:v>UNESCO-UIS</c:v>
                </c:pt>
                <c:pt idx="21">
                  <c:v>UNODC</c:v>
                </c:pt>
                <c:pt idx="22">
                  <c:v>IEA</c:v>
                </c:pt>
                <c:pt idx="23">
                  <c:v>IOC-UNESCO</c:v>
                </c:pt>
                <c:pt idx="24">
                  <c:v>Regional Commissions</c:v>
                </c:pt>
                <c:pt idx="25">
                  <c:v>UNFCCC</c:v>
                </c:pt>
                <c:pt idx="26">
                  <c:v>UNU</c:v>
                </c:pt>
                <c:pt idx="27">
                  <c:v>ADB</c:v>
                </c:pt>
                <c:pt idx="28">
                  <c:v>CITES</c:v>
                </c:pt>
                <c:pt idx="29">
                  <c:v>Global Migration Group</c:v>
                </c:pt>
                <c:pt idx="30">
                  <c:v>IFAD</c:v>
                </c:pt>
                <c:pt idx="31">
                  <c:v>IMF</c:v>
                </c:pt>
                <c:pt idx="32">
                  <c:v>IMO</c:v>
                </c:pt>
                <c:pt idx="33">
                  <c:v>OHCHR</c:v>
                </c:pt>
                <c:pt idx="34">
                  <c:v>Other involved agencies</c:v>
                </c:pt>
                <c:pt idx="35">
                  <c:v>UNCE</c:v>
                </c:pt>
                <c:pt idx="36">
                  <c:v>UNCTAD</c:v>
                </c:pt>
                <c:pt idx="37">
                  <c:v>UNESCO-ED/PSD/ESD</c:v>
                </c:pt>
                <c:pt idx="38">
                  <c:v>UNHCR</c:v>
                </c:pt>
                <c:pt idx="39">
                  <c:v>UNIDO</c:v>
                </c:pt>
                <c:pt idx="40">
                  <c:v>UNMAS</c:v>
                </c:pt>
                <c:pt idx="41">
                  <c:v>UPU</c:v>
                </c:pt>
                <c:pt idx="42">
                  <c:v>WHO-FCTC</c:v>
                </c:pt>
                <c:pt idx="43">
                  <c:v>WMO</c:v>
                </c:pt>
                <c:pt idx="44">
                  <c:v>WTO-EIF</c:v>
                </c:pt>
              </c:strCache>
            </c:strRef>
          </c:cat>
          <c:val>
            <c:numRef>
              <c:f>Sheet1!$B$2:$B$46</c:f>
              <c:numCache>
                <c:formatCode>General</c:formatCode>
                <c:ptCount val="45"/>
                <c:pt idx="0">
                  <c:v>49</c:v>
                </c:pt>
                <c:pt idx="1">
                  <c:v>27</c:v>
                </c:pt>
                <c:pt idx="2">
                  <c:v>20</c:v>
                </c:pt>
                <c:pt idx="3">
                  <c:v>12</c:v>
                </c:pt>
                <c:pt idx="4">
                  <c:v>11</c:v>
                </c:pt>
                <c:pt idx="5">
                  <c:v>10</c:v>
                </c:pt>
                <c:pt idx="6">
                  <c:v>10</c:v>
                </c:pt>
                <c:pt idx="7">
                  <c:v>9</c:v>
                </c:pt>
                <c:pt idx="8">
                  <c:v>9</c:v>
                </c:pt>
                <c:pt idx="9">
                  <c:v>8</c:v>
                </c:pt>
                <c:pt idx="10">
                  <c:v>7</c:v>
                </c:pt>
                <c:pt idx="11">
                  <c:v>6</c:v>
                </c:pt>
                <c:pt idx="12">
                  <c:v>5</c:v>
                </c:pt>
                <c:pt idx="13">
                  <c:v>5</c:v>
                </c:pt>
                <c:pt idx="14">
                  <c:v>4</c:v>
                </c:pt>
                <c:pt idx="15">
                  <c:v>4</c:v>
                </c:pt>
                <c:pt idx="16">
                  <c:v>3</c:v>
                </c:pt>
                <c:pt idx="17">
                  <c:v>3</c:v>
                </c:pt>
                <c:pt idx="18">
                  <c:v>3</c:v>
                </c:pt>
                <c:pt idx="19">
                  <c:v>3</c:v>
                </c:pt>
                <c:pt idx="20">
                  <c:v>3</c:v>
                </c:pt>
                <c:pt idx="21">
                  <c:v>3</c:v>
                </c:pt>
                <c:pt idx="22">
                  <c:v>2</c:v>
                </c:pt>
                <c:pt idx="23">
                  <c:v>2</c:v>
                </c:pt>
                <c:pt idx="24">
                  <c:v>2</c:v>
                </c:pt>
                <c:pt idx="25">
                  <c:v>2</c:v>
                </c:pt>
                <c:pt idx="26">
                  <c:v>2</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numCache>
            </c:numRef>
          </c:val>
          <c:extLst xmlns:c16r2="http://schemas.microsoft.com/office/drawing/2015/06/chart">
            <c:ext xmlns:c16="http://schemas.microsoft.com/office/drawing/2014/chart" uri="{C3380CC4-5D6E-409C-BE32-E72D297353CC}">
              <c16:uniqueId val="{00000000-7A9C-4ADB-B04D-690BA415645C}"/>
            </c:ext>
          </c:extLst>
        </c:ser>
        <c:dLbls>
          <c:showLegendKey val="0"/>
          <c:showVal val="0"/>
          <c:showCatName val="0"/>
          <c:showSerName val="0"/>
          <c:showPercent val="0"/>
          <c:showBubbleSize val="0"/>
        </c:dLbls>
        <c:gapWidth val="150"/>
        <c:axId val="303525248"/>
        <c:axId val="303527040"/>
      </c:barChart>
      <c:catAx>
        <c:axId val="303525248"/>
        <c:scaling>
          <c:orientation val="maxMin"/>
        </c:scaling>
        <c:delete val="0"/>
        <c:axPos val="l"/>
        <c:numFmt formatCode="General" sourceLinked="0"/>
        <c:majorTickMark val="none"/>
        <c:minorTickMark val="none"/>
        <c:tickLblPos val="nextTo"/>
        <c:txPr>
          <a:bodyPr/>
          <a:lstStyle/>
          <a:p>
            <a:pPr>
              <a:defRPr sz="800" baseline="0">
                <a:latin typeface="Tw Cen MT" pitchFamily="34" charset="0"/>
              </a:defRPr>
            </a:pPr>
            <a:endParaRPr lang="en-US"/>
          </a:p>
        </c:txPr>
        <c:crossAx val="303527040"/>
        <c:crosses val="autoZero"/>
        <c:auto val="1"/>
        <c:lblAlgn val="ctr"/>
        <c:lblOffset val="100"/>
        <c:noMultiLvlLbl val="0"/>
      </c:catAx>
      <c:valAx>
        <c:axId val="303527040"/>
        <c:scaling>
          <c:orientation val="minMax"/>
        </c:scaling>
        <c:delete val="0"/>
        <c:axPos val="t"/>
        <c:numFmt formatCode="General" sourceLinked="1"/>
        <c:majorTickMark val="out"/>
        <c:minorTickMark val="none"/>
        <c:tickLblPos val="nextTo"/>
        <c:crossAx val="30352524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Tier Classifications</a:t>
            </a:r>
          </a:p>
        </c:rich>
      </c:tx>
      <c:overlay val="0"/>
      <c:spPr>
        <a:noFill/>
        <a:ln>
          <a:noFill/>
        </a:ln>
        <a:effectLst/>
      </c:spPr>
    </c:title>
    <c:autoTitleDeleted val="0"/>
    <c:plotArea>
      <c:layout>
        <c:manualLayout>
          <c:layoutTarget val="inner"/>
          <c:xMode val="edge"/>
          <c:yMode val="edge"/>
          <c:x val="0.2837857403330587"/>
          <c:y val="0.13226119815145093"/>
          <c:w val="0.57756597799128329"/>
          <c:h val="0.83776689682572614"/>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516-4430-840F-79476EDE8DC1}"/>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516-4430-840F-79476EDE8DC1}"/>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D516-4430-840F-79476EDE8DC1}"/>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Tier I</c:v>
                </c:pt>
                <c:pt idx="1">
                  <c:v>Tier II</c:v>
                </c:pt>
                <c:pt idx="2">
                  <c:v>Tier III</c:v>
                </c:pt>
              </c:strCache>
            </c:strRef>
          </c:cat>
          <c:val>
            <c:numRef>
              <c:f>Sheet1!$B$2:$B$4</c:f>
              <c:numCache>
                <c:formatCode>General</c:formatCode>
                <c:ptCount val="3"/>
                <c:pt idx="0">
                  <c:v>3</c:v>
                </c:pt>
                <c:pt idx="1">
                  <c:v>11</c:v>
                </c:pt>
                <c:pt idx="2">
                  <c:v>1</c:v>
                </c:pt>
              </c:numCache>
            </c:numRef>
          </c:val>
          <c:extLst xmlns:c16r2="http://schemas.microsoft.com/office/drawing/2015/06/chart">
            <c:ext xmlns:c16="http://schemas.microsoft.com/office/drawing/2014/chart" uri="{C3380CC4-5D6E-409C-BE32-E72D297353CC}">
              <c16:uniqueId val="{00000006-D516-4430-840F-79476EDE8DC1}"/>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Data Availability in Bangladesh</a:t>
            </a:r>
          </a:p>
        </c:rich>
      </c:tx>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409-4341-A9D5-6BFBCA78B7CB}"/>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409-4341-A9D5-6BFBCA78B7CB}"/>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409-4341-A9D5-6BFBCA78B7CB}"/>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Readily Available</c:v>
                </c:pt>
                <c:pt idx="1">
                  <c:v>Partially Available</c:v>
                </c:pt>
                <c:pt idx="2">
                  <c:v>Not Available</c:v>
                </c:pt>
              </c:strCache>
            </c:strRef>
          </c:cat>
          <c:val>
            <c:numRef>
              <c:f>Sheet1!$B$2:$B$4</c:f>
              <c:numCache>
                <c:formatCode>General</c:formatCode>
                <c:ptCount val="3"/>
                <c:pt idx="0">
                  <c:v>8</c:v>
                </c:pt>
                <c:pt idx="1">
                  <c:v>1</c:v>
                </c:pt>
                <c:pt idx="2">
                  <c:v>5</c:v>
                </c:pt>
              </c:numCache>
            </c:numRef>
          </c:val>
          <c:extLst xmlns:c16r2="http://schemas.microsoft.com/office/drawing/2015/06/chart">
            <c:ext xmlns:c16="http://schemas.microsoft.com/office/drawing/2014/chart" uri="{C3380CC4-5D6E-409C-BE32-E72D297353CC}">
              <c16:uniqueId val="{00000006-B409-4341-A9D5-6BFBCA78B7CB}"/>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Local Data Group</a:t>
            </a:r>
          </a:p>
        </c:rich>
      </c:tx>
      <c:overlay val="0"/>
      <c:spPr>
        <a:noFill/>
        <a:ln>
          <a:noFill/>
        </a:ln>
        <a:effectLst/>
      </c:spPr>
    </c:title>
    <c:autoTitleDeleted val="0"/>
    <c:plotArea>
      <c:layout>
        <c:manualLayout>
          <c:layoutTarget val="inner"/>
          <c:xMode val="edge"/>
          <c:yMode val="edge"/>
          <c:x val="0.2837857403330587"/>
          <c:y val="0.13226119815145093"/>
          <c:w val="0.57756597799128329"/>
          <c:h val="0.83776689682572614"/>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F68-4269-9DF7-AC27DEA17310}"/>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F68-4269-9DF7-AC27DEA17310}"/>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F68-4269-9DF7-AC27DEA17310}"/>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Group 1</c:v>
                </c:pt>
                <c:pt idx="1">
                  <c:v>Group 2</c:v>
                </c:pt>
                <c:pt idx="2">
                  <c:v>Group 3</c:v>
                </c:pt>
              </c:strCache>
            </c:strRef>
          </c:cat>
          <c:val>
            <c:numRef>
              <c:f>Sheet1!$B$2:$B$4</c:f>
              <c:numCache>
                <c:formatCode>General</c:formatCode>
                <c:ptCount val="3"/>
                <c:pt idx="0">
                  <c:v>8</c:v>
                </c:pt>
                <c:pt idx="1">
                  <c:v>1</c:v>
                </c:pt>
                <c:pt idx="2">
                  <c:v>5</c:v>
                </c:pt>
              </c:numCache>
            </c:numRef>
          </c:val>
          <c:extLst xmlns:c16r2="http://schemas.microsoft.com/office/drawing/2015/06/chart">
            <c:ext xmlns:c16="http://schemas.microsoft.com/office/drawing/2014/chart" uri="{C3380CC4-5D6E-409C-BE32-E72D297353CC}">
              <c16:uniqueId val="{00000006-BF68-4269-9DF7-AC27DEA17310}"/>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Tier Classifications</a:t>
            </a:r>
          </a:p>
        </c:rich>
      </c:tx>
      <c:overlay val="0"/>
      <c:spPr>
        <a:noFill/>
        <a:ln>
          <a:noFill/>
        </a:ln>
        <a:effectLst/>
      </c:spPr>
    </c:title>
    <c:autoTitleDeleted val="0"/>
    <c:plotArea>
      <c:layout>
        <c:manualLayout>
          <c:layoutTarget val="inner"/>
          <c:xMode val="edge"/>
          <c:yMode val="edge"/>
          <c:x val="0.2837857403330587"/>
          <c:y val="0.13226119815145093"/>
          <c:w val="0.57756597799128329"/>
          <c:h val="0.83776689682572614"/>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67E-40D4-A708-5FDCFFA398B1}"/>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67E-40D4-A708-5FDCFFA398B1}"/>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67E-40D4-A708-5FDCFFA398B1}"/>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Tier I</c:v>
                </c:pt>
                <c:pt idx="1">
                  <c:v>Tier II</c:v>
                </c:pt>
                <c:pt idx="2">
                  <c:v>Tier III</c:v>
                </c:pt>
              </c:strCache>
            </c:strRef>
          </c:cat>
          <c:val>
            <c:numRef>
              <c:f>Sheet1!$B$2:$B$4</c:f>
              <c:numCache>
                <c:formatCode>General</c:formatCode>
                <c:ptCount val="3"/>
                <c:pt idx="0">
                  <c:v>4</c:v>
                </c:pt>
                <c:pt idx="1">
                  <c:v>7</c:v>
                </c:pt>
                <c:pt idx="2">
                  <c:v>0</c:v>
                </c:pt>
              </c:numCache>
            </c:numRef>
          </c:val>
          <c:extLst xmlns:c16r2="http://schemas.microsoft.com/office/drawing/2015/06/chart">
            <c:ext xmlns:c16="http://schemas.microsoft.com/office/drawing/2014/chart" uri="{C3380CC4-5D6E-409C-BE32-E72D297353CC}">
              <c16:uniqueId val="{00000006-B67E-40D4-A708-5FDCFFA398B1}"/>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Data Availability in Bangladesh</a:t>
            </a:r>
          </a:p>
        </c:rich>
      </c:tx>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E29-42FA-873A-6560586AB3A2}"/>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E29-42FA-873A-6560586AB3A2}"/>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2E29-42FA-873A-6560586AB3A2}"/>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Readily Available</c:v>
                </c:pt>
                <c:pt idx="1">
                  <c:v>Partially Available</c:v>
                </c:pt>
                <c:pt idx="2">
                  <c:v>Not Available</c:v>
                </c:pt>
              </c:strCache>
            </c:strRef>
          </c:cat>
          <c:val>
            <c:numRef>
              <c:f>Sheet1!$B$2:$B$4</c:f>
              <c:numCache>
                <c:formatCode>General</c:formatCode>
                <c:ptCount val="3"/>
                <c:pt idx="0">
                  <c:v>2</c:v>
                </c:pt>
                <c:pt idx="1">
                  <c:v>2</c:v>
                </c:pt>
                <c:pt idx="2">
                  <c:v>7</c:v>
                </c:pt>
              </c:numCache>
            </c:numRef>
          </c:val>
          <c:extLst xmlns:c16r2="http://schemas.microsoft.com/office/drawing/2015/06/chart">
            <c:ext xmlns:c16="http://schemas.microsoft.com/office/drawing/2014/chart" uri="{C3380CC4-5D6E-409C-BE32-E72D297353CC}">
              <c16:uniqueId val="{00000006-2E29-42FA-873A-6560586AB3A2}"/>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Local Data Group</a:t>
            </a:r>
          </a:p>
        </c:rich>
      </c:tx>
      <c:overlay val="0"/>
      <c:spPr>
        <a:noFill/>
        <a:ln>
          <a:noFill/>
        </a:ln>
        <a:effectLst/>
      </c:spPr>
    </c:title>
    <c:autoTitleDeleted val="0"/>
    <c:plotArea>
      <c:layout>
        <c:manualLayout>
          <c:layoutTarget val="inner"/>
          <c:xMode val="edge"/>
          <c:yMode val="edge"/>
          <c:x val="0.2837857403330587"/>
          <c:y val="0.13226119815145093"/>
          <c:w val="0.57756597799128329"/>
          <c:h val="0.83776689682572614"/>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E8D-4497-AE53-7447F1A9E877}"/>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E8D-4497-AE53-7447F1A9E877}"/>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2E8D-4497-AE53-7447F1A9E877}"/>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Group 1</c:v>
                </c:pt>
                <c:pt idx="1">
                  <c:v>Group 2</c:v>
                </c:pt>
                <c:pt idx="2">
                  <c:v>Group 3</c:v>
                </c:pt>
              </c:strCache>
            </c:strRef>
          </c:cat>
          <c:val>
            <c:numRef>
              <c:f>Sheet1!$B$2:$B$4</c:f>
              <c:numCache>
                <c:formatCode>General</c:formatCode>
                <c:ptCount val="3"/>
                <c:pt idx="0">
                  <c:v>8</c:v>
                </c:pt>
                <c:pt idx="1">
                  <c:v>1</c:v>
                </c:pt>
                <c:pt idx="2">
                  <c:v>5</c:v>
                </c:pt>
              </c:numCache>
            </c:numRef>
          </c:val>
          <c:extLst xmlns:c16r2="http://schemas.microsoft.com/office/drawing/2015/06/chart">
            <c:ext xmlns:c16="http://schemas.microsoft.com/office/drawing/2014/chart" uri="{C3380CC4-5D6E-409C-BE32-E72D297353CC}">
              <c16:uniqueId val="{00000006-2E8D-4497-AE53-7447F1A9E877}"/>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100" b="0">
                <a:solidFill>
                  <a:sysClr val="windowText" lastClr="000000"/>
                </a:solidFill>
              </a:rPr>
              <a:t>Tier Classification of</a:t>
            </a:r>
            <a:r>
              <a:rPr lang="en-US" sz="1100" b="0" baseline="0">
                <a:solidFill>
                  <a:sysClr val="windowText" lastClr="000000"/>
                </a:solidFill>
              </a:rPr>
              <a:t> SDG Indicators</a:t>
            </a:r>
            <a:endParaRPr lang="en-US" sz="1100" b="0">
              <a:solidFill>
                <a:sysClr val="windowText" lastClr="000000"/>
              </a:solidFill>
            </a:endParaRPr>
          </a:p>
        </c:rich>
      </c:tx>
      <c:overlay val="0"/>
      <c:spPr>
        <a:noFill/>
        <a:ln>
          <a:noFill/>
        </a:ln>
        <a:effectLst/>
      </c:spPr>
    </c:title>
    <c:autoTitleDeleted val="0"/>
    <c:plotArea>
      <c:layout>
        <c:manualLayout>
          <c:layoutTarget val="inner"/>
          <c:xMode val="edge"/>
          <c:yMode val="edge"/>
          <c:x val="9.8764189485291018E-2"/>
          <c:y val="0.10058898887639045"/>
          <c:w val="0.65917329902882427"/>
          <c:h val="0.72849112610923639"/>
        </c:manualLayout>
      </c:layout>
      <c:doughnutChart>
        <c:varyColors val="1"/>
        <c:ser>
          <c:idx val="0"/>
          <c:order val="0"/>
          <c:tx>
            <c:strRef>
              <c:f>Sheet1!$B$1</c:f>
              <c:strCache>
                <c:ptCount val="1"/>
                <c:pt idx="0">
                  <c:v>Data</c:v>
                </c:pt>
              </c:strCache>
            </c:strRef>
          </c:tx>
          <c:spPr>
            <a:scene3d>
              <a:camera prst="orthographicFront"/>
              <a:lightRig rig="threePt" dir="t"/>
            </a:scene3d>
            <a:sp3d>
              <a:bevelT w="120650"/>
            </a:sp3d>
          </c:spPr>
          <c:explosion val="1"/>
          <c:dPt>
            <c:idx val="0"/>
            <c:bubble3D val="0"/>
            <c:spPr>
              <a:solidFill>
                <a:srgbClr val="00B050"/>
              </a:solidFill>
              <a:ln w="19050">
                <a:solidFill>
                  <a:schemeClr val="lt1"/>
                </a:solidFill>
              </a:ln>
              <a:effectLst/>
              <a:scene3d>
                <a:camera prst="orthographicFront"/>
                <a:lightRig rig="threePt" dir="t"/>
              </a:scene3d>
              <a:sp3d>
                <a:bevelT w="120650"/>
              </a:sp3d>
            </c:spPr>
            <c:extLst xmlns:c16r2="http://schemas.microsoft.com/office/drawing/2015/06/chart">
              <c:ext xmlns:c16="http://schemas.microsoft.com/office/drawing/2014/chart" uri="{C3380CC4-5D6E-409C-BE32-E72D297353CC}">
                <c16:uniqueId val="{00000001-18FB-42B0-B13B-962964CD19BA}"/>
              </c:ext>
            </c:extLst>
          </c:dPt>
          <c:dPt>
            <c:idx val="1"/>
            <c:bubble3D val="0"/>
            <c:spPr>
              <a:solidFill>
                <a:srgbClr val="FF9900"/>
              </a:solidFill>
              <a:ln w="19050">
                <a:solidFill>
                  <a:schemeClr val="lt1"/>
                </a:solidFill>
              </a:ln>
              <a:effectLst/>
              <a:scene3d>
                <a:camera prst="orthographicFront"/>
                <a:lightRig rig="threePt" dir="t"/>
              </a:scene3d>
              <a:sp3d>
                <a:bevelT w="120650"/>
              </a:sp3d>
            </c:spPr>
            <c:extLst xmlns:c16r2="http://schemas.microsoft.com/office/drawing/2015/06/chart">
              <c:ext xmlns:c16="http://schemas.microsoft.com/office/drawing/2014/chart" uri="{C3380CC4-5D6E-409C-BE32-E72D297353CC}">
                <c16:uniqueId val="{00000002-18FB-42B0-B13B-962964CD19BA}"/>
              </c:ext>
            </c:extLst>
          </c:dPt>
          <c:dPt>
            <c:idx val="2"/>
            <c:bubble3D val="0"/>
            <c:spPr>
              <a:solidFill>
                <a:srgbClr val="0070C0"/>
              </a:solidFill>
              <a:ln w="19050">
                <a:solidFill>
                  <a:schemeClr val="lt1"/>
                </a:solidFill>
              </a:ln>
              <a:effectLst/>
              <a:scene3d>
                <a:camera prst="orthographicFront"/>
                <a:lightRig rig="threePt" dir="t"/>
              </a:scene3d>
              <a:sp3d>
                <a:bevelT w="120650"/>
              </a:sp3d>
            </c:spPr>
            <c:extLst xmlns:c16r2="http://schemas.microsoft.com/office/drawing/2015/06/chart">
              <c:ext xmlns:c16="http://schemas.microsoft.com/office/drawing/2014/chart" uri="{C3380CC4-5D6E-409C-BE32-E72D297353CC}">
                <c16:uniqueId val="{00000004-18FB-42B0-B13B-962964CD19BA}"/>
              </c:ext>
            </c:extLst>
          </c:dPt>
          <c:dPt>
            <c:idx val="3"/>
            <c:bubble3D val="0"/>
            <c:spPr>
              <a:solidFill>
                <a:srgbClr val="FF0000"/>
              </a:solidFill>
              <a:ln w="19050">
                <a:solidFill>
                  <a:schemeClr val="lt1"/>
                </a:solidFill>
              </a:ln>
              <a:effectLst/>
              <a:scene3d>
                <a:camera prst="orthographicFront"/>
                <a:lightRig rig="threePt" dir="t"/>
              </a:scene3d>
              <a:sp3d>
                <a:bevelT w="120650"/>
              </a:sp3d>
            </c:spPr>
            <c:extLst xmlns:c16r2="http://schemas.microsoft.com/office/drawing/2015/06/chart">
              <c:ext xmlns:c16="http://schemas.microsoft.com/office/drawing/2014/chart" uri="{C3380CC4-5D6E-409C-BE32-E72D297353CC}">
                <c16:uniqueId val="{00000003-18FB-42B0-B13B-962964CD19BA}"/>
              </c:ext>
            </c:extLst>
          </c:dPt>
          <c:dLbls>
            <c:dLbl>
              <c:idx val="0"/>
              <c:layout>
                <c:manualLayout>
                  <c:x val="9.4907407407407329E-2"/>
                  <c:y val="4.3650793650793648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FB-42B0-B13B-962964CD19BA}"/>
                </c:ext>
              </c:extLst>
            </c:dLbl>
            <c:dLbl>
              <c:idx val="1"/>
              <c:layout>
                <c:manualLayout>
                  <c:x val="-6.0185185185185182E-2"/>
                  <c:y val="-8.3306149231346077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FB-42B0-B13B-962964CD19BA}"/>
                </c:ext>
              </c:extLst>
            </c:dLbl>
            <c:dLbl>
              <c:idx val="2"/>
              <c:layout>
                <c:manualLayout>
                  <c:x val="3.9351851851851853E-2"/>
                  <c:y val="-0.10314726284214475"/>
                </c:manualLayout>
              </c:layout>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0185185185185187E-2"/>
                      <c:h val="7.1369203849518795E-2"/>
                    </c:manualLayout>
                  </c15:layout>
                </c:ext>
                <c:ext xmlns:c16="http://schemas.microsoft.com/office/drawing/2014/chart" uri="{C3380CC4-5D6E-409C-BE32-E72D297353CC}">
                  <c16:uniqueId val="{00000004-18FB-42B0-B13B-962964CD19BA}"/>
                </c:ext>
              </c:extLst>
            </c:dLbl>
            <c:dLbl>
              <c:idx val="3"/>
              <c:layout>
                <c:manualLayout>
                  <c:x val="7.407407407407407E-2"/>
                  <c:y val="-6.3496750406199232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FB-42B0-B13B-962964CD19BA}"/>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Tier I</c:v>
                </c:pt>
                <c:pt idx="1">
                  <c:v>Tier II</c:v>
                </c:pt>
                <c:pt idx="2">
                  <c:v>Multiple Tier</c:v>
                </c:pt>
                <c:pt idx="3">
                  <c:v>TBD</c:v>
                </c:pt>
              </c:strCache>
            </c:strRef>
          </c:cat>
          <c:val>
            <c:numRef>
              <c:f>Sheet1!$B$2:$B$5</c:f>
              <c:numCache>
                <c:formatCode>General</c:formatCode>
                <c:ptCount val="4"/>
                <c:pt idx="0">
                  <c:v>115</c:v>
                </c:pt>
                <c:pt idx="1">
                  <c:v>95</c:v>
                </c:pt>
                <c:pt idx="2">
                  <c:v>2</c:v>
                </c:pt>
                <c:pt idx="3">
                  <c:v>19</c:v>
                </c:pt>
              </c:numCache>
            </c:numRef>
          </c:val>
          <c:extLst xmlns:c16r2="http://schemas.microsoft.com/office/drawing/2015/06/chart">
            <c:ext xmlns:c16="http://schemas.microsoft.com/office/drawing/2014/chart" uri="{C3380CC4-5D6E-409C-BE32-E72D297353CC}">
              <c16:uniqueId val="{00000000-18FB-42B0-B13B-962964CD19BA}"/>
            </c:ext>
          </c:extLst>
        </c:ser>
        <c:dLbls>
          <c:showLegendKey val="0"/>
          <c:showVal val="0"/>
          <c:showCatName val="0"/>
          <c:showSerName val="0"/>
          <c:showPercent val="0"/>
          <c:showBubbleSize val="0"/>
          <c:showLeaderLines val="0"/>
        </c:dLbls>
        <c:firstSliceAng val="57"/>
        <c:holeSize val="55"/>
      </c:doughnutChart>
      <c:spPr>
        <a:ln>
          <a:noFill/>
        </a:ln>
        <a:effectLst/>
        <a:scene3d>
          <a:camera prst="orthographicFront"/>
          <a:lightRig rig="threePt" dir="t"/>
        </a:scene3d>
        <a:sp3d>
          <a:bevelT h="63500"/>
        </a:sp3d>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effectLst/>
    <a:scene3d>
      <a:camera prst="orthographicFront"/>
      <a:lightRig rig="threePt" dir="t"/>
    </a:scene3d>
    <a:sp3d>
      <a:bevelT w="38100"/>
    </a:sp3d>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en-US" sz="1200" b="0" baseline="0"/>
              <a:t>Minimum Disaggregation Dimensions for Generating SDGs Data</a:t>
            </a:r>
          </a:p>
        </c:rich>
      </c:tx>
      <c:overlay val="0"/>
    </c:title>
    <c:autoTitleDeleted val="0"/>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Sheet1!$A$2:$A$50</c:f>
              <c:strCache>
                <c:ptCount val="49"/>
                <c:pt idx="0">
                  <c:v>Sex</c:v>
                </c:pt>
                <c:pt idx="1">
                  <c:v>Residence (Urban/Rural)</c:v>
                </c:pt>
                <c:pt idx="2">
                  <c:v>Age group</c:v>
                </c:pt>
                <c:pt idx="3">
                  <c:v>Income</c:v>
                </c:pt>
                <c:pt idx="4">
                  <c:v>Division</c:v>
                </c:pt>
                <c:pt idx="5">
                  <c:v>Education</c:v>
                </c:pt>
                <c:pt idx="6">
                  <c:v>Types of Disability</c:v>
                </c:pt>
                <c:pt idx="7">
                  <c:v>Wealth</c:v>
                </c:pt>
                <c:pt idx="8">
                  <c:v>Aid</c:v>
                </c:pt>
                <c:pt idx="9">
                  <c:v>Ethnicity</c:v>
                </c:pt>
                <c:pt idx="10">
                  <c:v>finance</c:v>
                </c:pt>
                <c:pt idx="11">
                  <c:v>Donor</c:v>
                </c:pt>
                <c:pt idx="12">
                  <c:v>Migration</c:v>
                </c:pt>
                <c:pt idx="13">
                  <c:v>Economic Sector</c:v>
                </c:pt>
                <c:pt idx="14">
                  <c:v>Policy Maker</c:v>
                </c:pt>
                <c:pt idx="15">
                  <c:v>Occupation</c:v>
                </c:pt>
                <c:pt idx="16">
                  <c:v>Ecosystem type</c:v>
                </c:pt>
                <c:pt idx="17">
                  <c:v>Hazard</c:v>
                </c:pt>
                <c:pt idx="18">
                  <c:v>Socio-economic status</c:v>
                </c:pt>
                <c:pt idx="19">
                  <c:v>Disease</c:v>
                </c:pt>
                <c:pt idx="20">
                  <c:v>Land</c:v>
                </c:pt>
                <c:pt idx="21">
                  <c:v>Marital status</c:v>
                </c:pt>
                <c:pt idx="22">
                  <c:v>Mother's Education</c:v>
                </c:pt>
                <c:pt idx="23">
                  <c:v>Religion</c:v>
                </c:pt>
                <c:pt idx="24">
                  <c:v>Violence</c:v>
                </c:pt>
                <c:pt idx="25">
                  <c:v>Citizenship</c:v>
                </c:pt>
                <c:pt idx="26">
                  <c:v>Community</c:v>
                </c:pt>
                <c:pt idx="27">
                  <c:v>District</c:v>
                </c:pt>
                <c:pt idx="28">
                  <c:v>Hazard Family</c:v>
                </c:pt>
                <c:pt idx="29">
                  <c:v>Water  Services</c:v>
                </c:pt>
                <c:pt idx="30">
                  <c:v>Employment</c:v>
                </c:pt>
                <c:pt idx="31">
                  <c:v>Event</c:v>
                </c:pt>
                <c:pt idx="32">
                  <c:v>Industrial Sectors </c:v>
                </c:pt>
                <c:pt idx="33">
                  <c:v>Political</c:v>
                </c:pt>
                <c:pt idx="34">
                  <c:v>Sector</c:v>
                </c:pt>
                <c:pt idx="35">
                  <c:v>Year</c:v>
                </c:pt>
                <c:pt idx="36">
                  <c:v>Asset Loss</c:v>
                </c:pt>
                <c:pt idx="37">
                  <c:v>Disaster related victim</c:v>
                </c:pt>
                <c:pt idx="38">
                  <c:v>Dispute</c:v>
                </c:pt>
                <c:pt idx="39">
                  <c:v>Household dependency ratio</c:v>
                </c:pt>
                <c:pt idx="40">
                  <c:v>Household size</c:v>
                </c:pt>
                <c:pt idx="41">
                  <c:v>Other Characteristic</c:v>
                </c:pt>
                <c:pt idx="42">
                  <c:v>Qualitative</c:v>
                </c:pt>
                <c:pt idx="43">
                  <c:v>Service Sector</c:v>
                </c:pt>
                <c:pt idx="44">
                  <c:v>tenure</c:v>
                </c:pt>
                <c:pt idx="45">
                  <c:v>Tousrism Sector</c:v>
                </c:pt>
                <c:pt idx="46">
                  <c:v>Transportaion</c:v>
                </c:pt>
                <c:pt idx="47">
                  <c:v>Violation</c:v>
                </c:pt>
                <c:pt idx="48">
                  <c:v>Work Injury Victims</c:v>
                </c:pt>
              </c:strCache>
            </c:strRef>
          </c:cat>
          <c:val>
            <c:numRef>
              <c:f>Sheet1!$B$2:$B$50</c:f>
              <c:numCache>
                <c:formatCode>General</c:formatCode>
                <c:ptCount val="49"/>
                <c:pt idx="0">
                  <c:v>102</c:v>
                </c:pt>
                <c:pt idx="1">
                  <c:v>88</c:v>
                </c:pt>
                <c:pt idx="2">
                  <c:v>75</c:v>
                </c:pt>
                <c:pt idx="3">
                  <c:v>39</c:v>
                </c:pt>
                <c:pt idx="4">
                  <c:v>34</c:v>
                </c:pt>
                <c:pt idx="5">
                  <c:v>31</c:v>
                </c:pt>
                <c:pt idx="6">
                  <c:v>22</c:v>
                </c:pt>
                <c:pt idx="7">
                  <c:v>17</c:v>
                </c:pt>
                <c:pt idx="8">
                  <c:v>15</c:v>
                </c:pt>
                <c:pt idx="9">
                  <c:v>14</c:v>
                </c:pt>
                <c:pt idx="10">
                  <c:v>14</c:v>
                </c:pt>
                <c:pt idx="11">
                  <c:v>12</c:v>
                </c:pt>
                <c:pt idx="12">
                  <c:v>12</c:v>
                </c:pt>
                <c:pt idx="13">
                  <c:v>11</c:v>
                </c:pt>
                <c:pt idx="14">
                  <c:v>8</c:v>
                </c:pt>
                <c:pt idx="15">
                  <c:v>7</c:v>
                </c:pt>
                <c:pt idx="16">
                  <c:v>6</c:v>
                </c:pt>
                <c:pt idx="17">
                  <c:v>6</c:v>
                </c:pt>
                <c:pt idx="18">
                  <c:v>5</c:v>
                </c:pt>
                <c:pt idx="19">
                  <c:v>4</c:v>
                </c:pt>
                <c:pt idx="20">
                  <c:v>4</c:v>
                </c:pt>
                <c:pt idx="21">
                  <c:v>4</c:v>
                </c:pt>
                <c:pt idx="22">
                  <c:v>4</c:v>
                </c:pt>
                <c:pt idx="23">
                  <c:v>4</c:v>
                </c:pt>
                <c:pt idx="24">
                  <c:v>4</c:v>
                </c:pt>
                <c:pt idx="25">
                  <c:v>3</c:v>
                </c:pt>
                <c:pt idx="26">
                  <c:v>3</c:v>
                </c:pt>
                <c:pt idx="27">
                  <c:v>3</c:v>
                </c:pt>
                <c:pt idx="28">
                  <c:v>3</c:v>
                </c:pt>
                <c:pt idx="29">
                  <c:v>3</c:v>
                </c:pt>
                <c:pt idx="30">
                  <c:v>2</c:v>
                </c:pt>
                <c:pt idx="31">
                  <c:v>2</c:v>
                </c:pt>
                <c:pt idx="32">
                  <c:v>2</c:v>
                </c:pt>
                <c:pt idx="33">
                  <c:v>2</c:v>
                </c:pt>
                <c:pt idx="34">
                  <c:v>2</c:v>
                </c:pt>
                <c:pt idx="35">
                  <c:v>2</c:v>
                </c:pt>
                <c:pt idx="36">
                  <c:v>1</c:v>
                </c:pt>
                <c:pt idx="37">
                  <c:v>1</c:v>
                </c:pt>
                <c:pt idx="38">
                  <c:v>1</c:v>
                </c:pt>
                <c:pt idx="39">
                  <c:v>1</c:v>
                </c:pt>
                <c:pt idx="40">
                  <c:v>1</c:v>
                </c:pt>
                <c:pt idx="41">
                  <c:v>1</c:v>
                </c:pt>
                <c:pt idx="42">
                  <c:v>1</c:v>
                </c:pt>
                <c:pt idx="43">
                  <c:v>1</c:v>
                </c:pt>
                <c:pt idx="44">
                  <c:v>1</c:v>
                </c:pt>
                <c:pt idx="45">
                  <c:v>1</c:v>
                </c:pt>
                <c:pt idx="46">
                  <c:v>1</c:v>
                </c:pt>
                <c:pt idx="47">
                  <c:v>1</c:v>
                </c:pt>
                <c:pt idx="48">
                  <c:v>1</c:v>
                </c:pt>
              </c:numCache>
            </c:numRef>
          </c:val>
          <c:extLst xmlns:c16r2="http://schemas.microsoft.com/office/drawing/2015/06/chart">
            <c:ext xmlns:c16="http://schemas.microsoft.com/office/drawing/2014/chart" uri="{C3380CC4-5D6E-409C-BE32-E72D297353CC}">
              <c16:uniqueId val="{00000000-5748-4BA7-8E47-CFB2DC1FCEFA}"/>
            </c:ext>
          </c:extLst>
        </c:ser>
        <c:dLbls>
          <c:showLegendKey val="0"/>
          <c:showVal val="0"/>
          <c:showCatName val="0"/>
          <c:showSerName val="0"/>
          <c:showPercent val="0"/>
          <c:showBubbleSize val="0"/>
        </c:dLbls>
        <c:gapWidth val="150"/>
        <c:axId val="304016384"/>
        <c:axId val="303764224"/>
      </c:barChart>
      <c:catAx>
        <c:axId val="304016384"/>
        <c:scaling>
          <c:orientation val="maxMin"/>
        </c:scaling>
        <c:delete val="0"/>
        <c:axPos val="l"/>
        <c:numFmt formatCode="General" sourceLinked="0"/>
        <c:majorTickMark val="none"/>
        <c:minorTickMark val="none"/>
        <c:tickLblPos val="nextTo"/>
        <c:txPr>
          <a:bodyPr/>
          <a:lstStyle/>
          <a:p>
            <a:pPr>
              <a:defRPr sz="800" baseline="0">
                <a:latin typeface="Tw Cen MT" pitchFamily="34" charset="0"/>
              </a:defRPr>
            </a:pPr>
            <a:endParaRPr lang="en-US"/>
          </a:p>
        </c:txPr>
        <c:crossAx val="303764224"/>
        <c:crosses val="autoZero"/>
        <c:auto val="1"/>
        <c:lblAlgn val="ctr"/>
        <c:lblOffset val="100"/>
        <c:noMultiLvlLbl val="0"/>
      </c:catAx>
      <c:valAx>
        <c:axId val="303764224"/>
        <c:scaling>
          <c:orientation val="minMax"/>
        </c:scaling>
        <c:delete val="0"/>
        <c:axPos val="t"/>
        <c:numFmt formatCode="General" sourceLinked="1"/>
        <c:majorTickMark val="out"/>
        <c:minorTickMark val="none"/>
        <c:tickLblPos val="nextTo"/>
        <c:crossAx val="3040163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b="1">
                <a:solidFill>
                  <a:sysClr val="windowText" lastClr="000000"/>
                </a:solidFill>
              </a:rPr>
              <a:t>Sources of Data</a:t>
            </a:r>
          </a:p>
        </c:rich>
      </c:tx>
      <c:layout>
        <c:manualLayout>
          <c:xMode val="edge"/>
          <c:yMode val="edge"/>
          <c:x val="0.41328600238183932"/>
          <c:y val="2.6990553306342781E-2"/>
        </c:manualLayout>
      </c:layout>
      <c:overlay val="0"/>
      <c:spPr>
        <a:noFill/>
        <a:ln>
          <a:noFill/>
        </a:ln>
        <a:effectLst/>
      </c:spPr>
    </c:title>
    <c:autoTitleDeleted val="0"/>
    <c:plotArea>
      <c:layout>
        <c:manualLayout>
          <c:layoutTarget val="inner"/>
          <c:xMode val="edge"/>
          <c:yMode val="edge"/>
          <c:x val="0.18806437599660797"/>
          <c:y val="0.15964766308973283"/>
          <c:w val="0.57917049268742293"/>
          <c:h val="0.79507894846477511"/>
        </c:manualLayout>
      </c:layout>
      <c:doughnutChart>
        <c:varyColors val="1"/>
        <c:ser>
          <c:idx val="0"/>
          <c:order val="0"/>
          <c:tx>
            <c:strRef>
              <c:f>Sheet1!$B$1</c:f>
              <c:strCache>
                <c:ptCount val="1"/>
                <c:pt idx="0">
                  <c:v>Sales</c:v>
                </c:pt>
              </c:strCache>
            </c:strRef>
          </c:tx>
          <c:dPt>
            <c:idx val="0"/>
            <c:bubble3D val="0"/>
            <c:spPr>
              <a:solidFill>
                <a:srgbClr val="FF6600"/>
              </a:solidFill>
              <a:ln w="19050">
                <a:solidFill>
                  <a:schemeClr val="lt1"/>
                </a:solidFill>
              </a:ln>
              <a:effectLst/>
            </c:spPr>
            <c:extLst xmlns:c16r2="http://schemas.microsoft.com/office/drawing/2015/06/chart">
              <c:ext xmlns:c16="http://schemas.microsoft.com/office/drawing/2014/chart" uri="{C3380CC4-5D6E-409C-BE32-E72D297353CC}">
                <c16:uniqueId val="{00000001-F320-4918-9FA5-D601B18C69AE}"/>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F320-4918-9FA5-D601B18C69A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F320-4918-9FA5-D601B18C69AE}"/>
              </c:ext>
            </c:extLst>
          </c:dPt>
          <c:dPt>
            <c:idx val="3"/>
            <c:bubble3D val="0"/>
            <c:spPr>
              <a:solidFill>
                <a:srgbClr val="33CCFF"/>
              </a:solidFill>
              <a:ln w="19050">
                <a:solidFill>
                  <a:schemeClr val="lt1"/>
                </a:solidFill>
              </a:ln>
              <a:effectLst/>
            </c:spPr>
            <c:extLst xmlns:c16r2="http://schemas.microsoft.com/office/drawing/2015/06/chart">
              <c:ext xmlns:c16="http://schemas.microsoft.com/office/drawing/2014/chart" uri="{C3380CC4-5D6E-409C-BE32-E72D297353CC}">
                <c16:uniqueId val="{00000007-F320-4918-9FA5-D601B18C69AE}"/>
              </c:ext>
            </c:extLst>
          </c:dPt>
          <c:dLbls>
            <c:dLbl>
              <c:idx val="0"/>
              <c:layout>
                <c:manualLayout>
                  <c:x val="3.0511624688757963E-3"/>
                  <c:y val="-1.7540174122074127E-2"/>
                </c:manualLayout>
              </c:layout>
              <c:spPr>
                <a:noFill/>
                <a:ln>
                  <a:no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20-4918-9FA5-D601B18C69AE}"/>
                </c:ext>
              </c:extLst>
            </c:dLbl>
            <c:dLbl>
              <c:idx val="1"/>
              <c:layout>
                <c:manualLayout>
                  <c:x val="3.5799505471431027E-3"/>
                  <c:y val="1.0148677226031137E-2"/>
                </c:manualLayout>
              </c:layout>
              <c:spPr>
                <a:noFill/>
                <a:ln>
                  <a:no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20-4918-9FA5-D601B18C69AE}"/>
                </c:ext>
              </c:extLst>
            </c:dLbl>
            <c:dLbl>
              <c:idx val="2"/>
              <c:layout>
                <c:manualLayout>
                  <c:x val="4.5279731536142578E-3"/>
                  <c:y val="-4.7352049956805777E-3"/>
                </c:manualLayout>
              </c:layout>
              <c:spPr>
                <a:noFill/>
                <a:ln>
                  <a:noFill/>
                </a:ln>
                <a:effectLst/>
                <a:scene3d>
                  <a:camera prst="orthographicFront"/>
                  <a:lightRig rig="threePt" dir="t"/>
                </a:scene3d>
                <a:sp3d>
                  <a:bevelT/>
                </a:sp3d>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0185185185185187E-2"/>
                      <c:h val="7.1369203849518795E-2"/>
                    </c:manualLayout>
                  </c15:layout>
                </c:ext>
                <c:ext xmlns:c16="http://schemas.microsoft.com/office/drawing/2014/chart" uri="{C3380CC4-5D6E-409C-BE32-E72D297353CC}">
                  <c16:uniqueId val="{00000005-F320-4918-9FA5-D601B18C69AE}"/>
                </c:ext>
              </c:extLst>
            </c:dLbl>
            <c:dLbl>
              <c:idx val="3"/>
              <c:layout>
                <c:manualLayout>
                  <c:x val="1.891720730702959E-3"/>
                  <c:y val="5.4134722303505588E-3"/>
                </c:manualLayout>
              </c:layout>
              <c:spPr>
                <a:noFill/>
                <a:ln>
                  <a:no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20-4918-9FA5-D601B18C69AE}"/>
                </c:ext>
              </c:extLst>
            </c:dLbl>
            <c:spPr>
              <a:noFill/>
              <a:ln>
                <a:no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Administrative</c:v>
                </c:pt>
                <c:pt idx="1">
                  <c:v>Survey/Census</c:v>
                </c:pt>
                <c:pt idx="2">
                  <c:v>Big Data</c:v>
                </c:pt>
                <c:pt idx="3">
                  <c:v>Combined Sources</c:v>
                </c:pt>
              </c:strCache>
            </c:strRef>
          </c:cat>
          <c:val>
            <c:numRef>
              <c:f>Sheet1!$B$2:$B$5</c:f>
              <c:numCache>
                <c:formatCode>General</c:formatCode>
                <c:ptCount val="4"/>
                <c:pt idx="0">
                  <c:v>131</c:v>
                </c:pt>
                <c:pt idx="1">
                  <c:v>81</c:v>
                </c:pt>
                <c:pt idx="2">
                  <c:v>8</c:v>
                </c:pt>
                <c:pt idx="3">
                  <c:v>27</c:v>
                </c:pt>
              </c:numCache>
            </c:numRef>
          </c:val>
          <c:extLst xmlns:c16r2="http://schemas.microsoft.com/office/drawing/2015/06/chart">
            <c:ext xmlns:c16="http://schemas.microsoft.com/office/drawing/2014/chart" uri="{C3380CC4-5D6E-409C-BE32-E72D297353CC}">
              <c16:uniqueId val="{00000008-F320-4918-9FA5-D601B18C69AE}"/>
            </c:ext>
          </c:extLst>
        </c:ser>
        <c:dLbls>
          <c:showLegendKey val="0"/>
          <c:showVal val="0"/>
          <c:showCatName val="0"/>
          <c:showSerName val="0"/>
          <c:showPercent val="0"/>
          <c:showBubbleSize val="0"/>
          <c:showLeaderLines val="1"/>
        </c:dLbls>
        <c:firstSliceAng val="78"/>
        <c:holeSize val="53"/>
      </c:doughnutChart>
      <c:spPr>
        <a:ln>
          <a:noFill/>
        </a:ln>
        <a:effectLst/>
        <a:scene3d>
          <a:camera prst="orthographicFront"/>
          <a:lightRig rig="threePt" dir="t"/>
        </a:scene3d>
        <a:sp3d>
          <a:bevelT prst="relaxedInset"/>
        </a:sp3d>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ysClr val="windowText" lastClr="000000"/>
                </a:solidFill>
                <a:latin typeface="+mn-lt"/>
                <a:ea typeface="+mn-ea"/>
                <a:cs typeface="+mn-cs"/>
              </a:defRPr>
            </a:pPr>
            <a:r>
              <a:rPr lang="en-US" sz="2000" b="1" i="0" u="none" strike="noStrike" baseline="0">
                <a:effectLst/>
              </a:rPr>
              <a:t>Local Indicator Group</a:t>
            </a:r>
            <a:endParaRPr lang="en-US" sz="2000" b="1">
              <a:solidFill>
                <a:sysClr val="windowText" lastClr="000000"/>
              </a:solidFill>
            </a:endParaRPr>
          </a:p>
        </c:rich>
      </c:tx>
      <c:overlay val="0"/>
      <c:spPr>
        <a:noFill/>
        <a:ln>
          <a:noFill/>
        </a:ln>
        <a:effectLst/>
      </c:spPr>
    </c:title>
    <c:autoTitleDeleted val="0"/>
    <c:plotArea>
      <c:layout>
        <c:manualLayout>
          <c:layoutTarget val="inner"/>
          <c:xMode val="edge"/>
          <c:yMode val="edge"/>
          <c:x val="0.16973712482830836"/>
          <c:y val="0.12823793777517947"/>
          <c:w val="0.62325613443397299"/>
          <c:h val="0.81607760746844005"/>
        </c:manualLayout>
      </c:layout>
      <c:doughnutChart>
        <c:varyColors val="1"/>
        <c:ser>
          <c:idx val="0"/>
          <c:order val="0"/>
          <c:tx>
            <c:strRef>
              <c:f>Sheet1!$B$1</c:f>
              <c:strCache>
                <c:ptCount val="1"/>
                <c:pt idx="0">
                  <c:v>Data</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18FB-42B0-B13B-962964CD19BA}"/>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2-18FB-42B0-B13B-962964CD19BA}"/>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4-18FB-42B0-B13B-962964CD19BA}"/>
              </c:ext>
            </c:extLst>
          </c:dPt>
          <c:dLbls>
            <c:dLbl>
              <c:idx val="0"/>
              <c:layout>
                <c:manualLayout>
                  <c:x val="4.0899550768588311E-3"/>
                  <c:y val="-3.0337066335385569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FB-42B0-B13B-962964CD19BA}"/>
                </c:ext>
              </c:extLst>
            </c:dLbl>
            <c:dLbl>
              <c:idx val="1"/>
              <c:layout>
                <c:manualLayout>
                  <c:x val="-2.2893304140091296E-2"/>
                  <c:y val="-1.0063637636942827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FB-42B0-B13B-962964CD19BA}"/>
                </c:ext>
              </c:extLst>
            </c:dLbl>
            <c:dLbl>
              <c:idx val="2"/>
              <c:layout>
                <c:manualLayout>
                  <c:x val="-1.4506865398301939E-2"/>
                  <c:y val="-6.2305204888831768E-3"/>
                </c:manualLayout>
              </c:layout>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0185185185185187E-2"/>
                      <c:h val="7.1369203849518795E-2"/>
                    </c:manualLayout>
                  </c15:layout>
                </c:ext>
                <c:ext xmlns:c16="http://schemas.microsoft.com/office/drawing/2014/chart" uri="{C3380CC4-5D6E-409C-BE32-E72D297353CC}">
                  <c16:uniqueId val="{00000004-18FB-42B0-B13B-962964CD19BA}"/>
                </c:ext>
              </c:extLst>
            </c:dLbl>
            <c:dLbl>
              <c:idx val="3"/>
              <c:layout>
                <c:manualLayout>
                  <c:x val="-1.7011858337442166E-2"/>
                  <c:y val="-5.9178743961352656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FB-42B0-B13B-962964CD19BA}"/>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Group 1</c:v>
                </c:pt>
                <c:pt idx="1">
                  <c:v>Group 2</c:v>
                </c:pt>
                <c:pt idx="2">
                  <c:v>Group 3</c:v>
                </c:pt>
              </c:strCache>
            </c:strRef>
          </c:cat>
          <c:val>
            <c:numRef>
              <c:f>Sheet1!$B$2:$B$4</c:f>
              <c:numCache>
                <c:formatCode>General</c:formatCode>
                <c:ptCount val="3"/>
                <c:pt idx="0">
                  <c:v>118</c:v>
                </c:pt>
                <c:pt idx="1">
                  <c:v>77</c:v>
                </c:pt>
                <c:pt idx="2">
                  <c:v>31</c:v>
                </c:pt>
              </c:numCache>
            </c:numRef>
          </c:val>
          <c:extLst xmlns:c16r2="http://schemas.microsoft.com/office/drawing/2015/06/chart">
            <c:ext xmlns:c16="http://schemas.microsoft.com/office/drawing/2014/chart" uri="{C3380CC4-5D6E-409C-BE32-E72D297353CC}">
              <c16:uniqueId val="{00000000-18FB-42B0-B13B-962964CD19BA}"/>
            </c:ext>
          </c:extLst>
        </c:ser>
        <c:dLbls>
          <c:showLegendKey val="0"/>
          <c:showVal val="0"/>
          <c:showCatName val="0"/>
          <c:showSerName val="0"/>
          <c:showPercent val="0"/>
          <c:showBubbleSize val="0"/>
          <c:showLeaderLines val="1"/>
        </c:dLbls>
        <c:firstSliceAng val="0"/>
        <c:holeSize val="50"/>
      </c:doughnutChart>
      <c:spPr>
        <a:ln>
          <a:noFill/>
        </a:ln>
        <a:effectLst/>
      </c:spPr>
    </c:plotArea>
    <c:legend>
      <c:legendPos val="r"/>
      <c:layout>
        <c:manualLayout>
          <c:xMode val="edge"/>
          <c:yMode val="edge"/>
          <c:x val="0.82346442666610564"/>
          <c:y val="0.46468170407837422"/>
          <c:w val="0.16317551989368062"/>
          <c:h val="0.1670861823467044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r>
              <a:rPr lang="en-US" sz="2000"/>
              <a:t>Frequency of data generation</a:t>
            </a:r>
          </a:p>
        </c:rich>
      </c:tx>
      <c:overlay val="0"/>
      <c:spPr>
        <a:noFill/>
        <a:ln>
          <a:noFill/>
        </a:ln>
        <a:effectLst/>
      </c:spPr>
    </c:title>
    <c:autoTitleDeleted val="0"/>
    <c:plotArea>
      <c:layout>
        <c:manualLayout>
          <c:layoutTarget val="inner"/>
          <c:xMode val="edge"/>
          <c:yMode val="edge"/>
          <c:x val="0.11120301114280581"/>
          <c:y val="0.14522807986365671"/>
          <c:w val="0.80440108174334002"/>
          <c:h val="0.72590343901114329"/>
        </c:manualLayout>
      </c:layout>
      <c:barChart>
        <c:barDir val="col"/>
        <c:grouping val="clustered"/>
        <c:varyColors val="0"/>
        <c:ser>
          <c:idx val="0"/>
          <c:order val="0"/>
          <c:tx>
            <c:strRef>
              <c:f>Sheet1!$B$1</c:f>
              <c:strCache>
                <c:ptCount val="1"/>
                <c:pt idx="0">
                  <c:v>Data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1-18FB-42B0-B13B-962964CD19BA}"/>
              </c:ext>
            </c:extLst>
          </c:dPt>
          <c:dPt>
            <c:idx val="1"/>
            <c:invertIfNegative val="0"/>
            <c:bubble3D val="0"/>
            <c:extLst xmlns:c16r2="http://schemas.microsoft.com/office/drawing/2015/06/chart">
              <c:ext xmlns:c16="http://schemas.microsoft.com/office/drawing/2014/chart" uri="{C3380CC4-5D6E-409C-BE32-E72D297353CC}">
                <c16:uniqueId val="{00000002-18FB-42B0-B13B-962964CD19BA}"/>
              </c:ext>
            </c:extLst>
          </c:dPt>
          <c:dPt>
            <c:idx val="2"/>
            <c:invertIfNegative val="0"/>
            <c:bubble3D val="0"/>
            <c:extLst xmlns:c16r2="http://schemas.microsoft.com/office/drawing/2015/06/chart">
              <c:ext xmlns:c16="http://schemas.microsoft.com/office/drawing/2014/chart" uri="{C3380CC4-5D6E-409C-BE32-E72D297353CC}">
                <c16:uniqueId val="{00000004-18FB-42B0-B13B-962964CD19BA}"/>
              </c:ext>
            </c:extLst>
          </c:dPt>
          <c:dPt>
            <c:idx val="3"/>
            <c:invertIfNegative val="0"/>
            <c:bubble3D val="0"/>
            <c:extLst xmlns:c16r2="http://schemas.microsoft.com/office/drawing/2015/06/chart">
              <c:ext xmlns:c16="http://schemas.microsoft.com/office/drawing/2014/chart" uri="{C3380CC4-5D6E-409C-BE32-E72D297353CC}">
                <c16:uniqueId val="{00000003-18FB-42B0-B13B-962964CD19BA}"/>
              </c:ext>
            </c:extLst>
          </c:dPt>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Annual</c:v>
                </c:pt>
                <c:pt idx="1">
                  <c:v>Bi-annual</c:v>
                </c:pt>
                <c:pt idx="2">
                  <c:v>Triennial</c:v>
                </c:pt>
                <c:pt idx="3">
                  <c:v>Five-yearly</c:v>
                </c:pt>
              </c:strCache>
            </c:strRef>
          </c:cat>
          <c:val>
            <c:numRef>
              <c:f>Sheet1!$B$2:$B$5</c:f>
              <c:numCache>
                <c:formatCode>General</c:formatCode>
                <c:ptCount val="4"/>
                <c:pt idx="0">
                  <c:v>125</c:v>
                </c:pt>
                <c:pt idx="1">
                  <c:v>11</c:v>
                </c:pt>
                <c:pt idx="2">
                  <c:v>92</c:v>
                </c:pt>
                <c:pt idx="3">
                  <c:v>19</c:v>
                </c:pt>
              </c:numCache>
            </c:numRef>
          </c:val>
          <c:extLst xmlns:c16r2="http://schemas.microsoft.com/office/drawing/2015/06/chart">
            <c:ext xmlns:c16="http://schemas.microsoft.com/office/drawing/2014/chart" uri="{C3380CC4-5D6E-409C-BE32-E72D297353CC}">
              <c16:uniqueId val="{00000000-18FB-42B0-B13B-962964CD19BA}"/>
            </c:ext>
          </c:extLst>
        </c:ser>
        <c:dLbls>
          <c:dLblPos val="inEnd"/>
          <c:showLegendKey val="0"/>
          <c:showVal val="1"/>
          <c:showCatName val="0"/>
          <c:showSerName val="0"/>
          <c:showPercent val="0"/>
          <c:showBubbleSize val="0"/>
        </c:dLbls>
        <c:gapWidth val="100"/>
        <c:overlap val="-24"/>
        <c:axId val="304280704"/>
        <c:axId val="304287744"/>
      </c:barChart>
      <c:catAx>
        <c:axId val="304280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304287744"/>
        <c:crosses val="autoZero"/>
        <c:auto val="1"/>
        <c:lblAlgn val="ctr"/>
        <c:lblOffset val="100"/>
        <c:noMultiLvlLbl val="0"/>
      </c:catAx>
      <c:valAx>
        <c:axId val="30428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80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accent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Data Availability in Bangladesh</a:t>
            </a:r>
          </a:p>
        </c:rich>
      </c:tx>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92E-44D3-A6E3-078061421964}"/>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92E-44D3-A6E3-078061421964}"/>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92E-44D3-A6E3-078061421964}"/>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Readily Available</c:v>
                </c:pt>
                <c:pt idx="1">
                  <c:v>Partially Available</c:v>
                </c:pt>
                <c:pt idx="2">
                  <c:v>Not Available</c:v>
                </c:pt>
              </c:strCache>
            </c:strRef>
          </c:cat>
          <c:val>
            <c:numRef>
              <c:f>Sheet1!$B$2:$B$4</c:f>
              <c:numCache>
                <c:formatCode>General</c:formatCode>
                <c:ptCount val="3"/>
                <c:pt idx="0">
                  <c:v>3</c:v>
                </c:pt>
                <c:pt idx="1">
                  <c:v>3</c:v>
                </c:pt>
                <c:pt idx="2">
                  <c:v>8</c:v>
                </c:pt>
              </c:numCache>
            </c:numRef>
          </c:val>
          <c:extLst xmlns:c16r2="http://schemas.microsoft.com/office/drawing/2015/06/chart">
            <c:ext xmlns:c16="http://schemas.microsoft.com/office/drawing/2014/chart" uri="{C3380CC4-5D6E-409C-BE32-E72D297353CC}">
              <c16:uniqueId val="{00000006-592E-44D3-A6E3-078061421964}"/>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3563366256849474"/>
          <c:y val="0.28874712420206733"/>
          <c:w val="0.34243651287010174"/>
          <c:h val="0.5584111013901039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w Cen MT" panose="020B0602020104020603" pitchFamily="34" charset="0"/>
                <a:ea typeface="+mn-ea"/>
                <a:cs typeface="+mn-cs"/>
              </a:defRPr>
            </a:pPr>
            <a:r>
              <a:rPr lang="en-US"/>
              <a:t>Local Data Group</a:t>
            </a:r>
          </a:p>
        </c:rich>
      </c:tx>
      <c:layout>
        <c:manualLayout>
          <c:xMode val="edge"/>
          <c:yMode val="edge"/>
          <c:x val="0.26699143971682437"/>
          <c:y val="0"/>
        </c:manualLayout>
      </c:layout>
      <c:overlay val="0"/>
      <c:spPr>
        <a:noFill/>
        <a:ln>
          <a:noFill/>
        </a:ln>
        <a:effectLst/>
      </c:spPr>
    </c:title>
    <c:autoTitleDeleted val="0"/>
    <c:plotArea>
      <c:layout>
        <c:manualLayout>
          <c:layoutTarget val="inner"/>
          <c:xMode val="edge"/>
          <c:yMode val="edge"/>
          <c:x val="5.6728118029614902E-2"/>
          <c:y val="0.14050856855134961"/>
          <c:w val="0.54843648383542498"/>
          <c:h val="0.79966105878964677"/>
        </c:manualLayout>
      </c:layout>
      <c:doughnutChart>
        <c:varyColors val="1"/>
        <c:ser>
          <c:idx val="0"/>
          <c:order val="0"/>
          <c:tx>
            <c:strRef>
              <c:f>Sheet1!$B$1</c:f>
              <c:strCache>
                <c:ptCount val="1"/>
                <c:pt idx="0">
                  <c:v>No. of Indicators</c:v>
                </c:pt>
              </c:strCache>
            </c:strRef>
          </c:tx>
          <c:dPt>
            <c:idx val="0"/>
            <c:bubble3D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158-4592-B5D6-75F5AA844E70}"/>
              </c:ext>
            </c:extLst>
          </c:dPt>
          <c:dPt>
            <c:idx val="1"/>
            <c:bubble3D val="0"/>
            <c:spPr>
              <a:solidFill>
                <a:srgbClr val="FFC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158-4592-B5D6-75F5AA844E70}"/>
              </c:ext>
            </c:extLst>
          </c:dPt>
          <c:dPt>
            <c:idx val="2"/>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2158-4592-B5D6-75F5AA844E70}"/>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Group 1</c:v>
                </c:pt>
                <c:pt idx="1">
                  <c:v>Group 2</c:v>
                </c:pt>
                <c:pt idx="2">
                  <c:v>Group 3</c:v>
                </c:pt>
              </c:strCache>
            </c:strRef>
          </c:cat>
          <c:val>
            <c:numRef>
              <c:f>Sheet1!$B$2:$B$4</c:f>
              <c:numCache>
                <c:formatCode>General</c:formatCode>
                <c:ptCount val="3"/>
                <c:pt idx="0">
                  <c:v>4</c:v>
                </c:pt>
                <c:pt idx="1">
                  <c:v>2</c:v>
                </c:pt>
                <c:pt idx="2">
                  <c:v>8</c:v>
                </c:pt>
              </c:numCache>
            </c:numRef>
          </c:val>
          <c:extLst xmlns:c16r2="http://schemas.microsoft.com/office/drawing/2015/06/chart">
            <c:ext xmlns:c16="http://schemas.microsoft.com/office/drawing/2014/chart" uri="{C3380CC4-5D6E-409C-BE32-E72D297353CC}">
              <c16:uniqueId val="{00000006-2158-4592-B5D6-75F5AA844E70}"/>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0000"/>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FD0771-2E08-4549-98DB-6B88170A9FFA}"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F9C779A2-A56E-446F-AFE8-A889F5AB79D3}">
      <dgm:prSet phldrT="[Text]"/>
      <dgm:spPr>
        <a:xfrm>
          <a:off x="1183895" y="205118"/>
          <a:ext cx="709330" cy="3242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Farm</a:t>
          </a:r>
        </a:p>
      </dgm:t>
    </dgm:pt>
    <dgm:pt modelId="{0B1C01ED-BD21-41DC-85D0-AE01806A50CE}" type="parTrans" cxnId="{B4B84C06-AB99-4BA1-8294-649EC8963DBF}">
      <dgm:prSet/>
      <dgm:spPr/>
      <dgm:t>
        <a:bodyPr/>
        <a:lstStyle/>
        <a:p>
          <a:endParaRPr lang="en-US"/>
        </a:p>
      </dgm:t>
    </dgm:pt>
    <dgm:pt modelId="{51E7FE11-D84E-4538-BC4C-735060C708A2}" type="sibTrans" cxnId="{B4B84C06-AB99-4BA1-8294-649EC8963DBF}">
      <dgm:prSet/>
      <dgm:spPr/>
      <dgm:t>
        <a:bodyPr/>
        <a:lstStyle/>
        <a:p>
          <a:endParaRPr lang="en-US"/>
        </a:p>
      </dgm:t>
    </dgm:pt>
    <dgm:pt modelId="{0B52FB3E-E92A-4629-B868-421898D2C8B7}">
      <dgm:prSet phldrT="[Text]"/>
      <dgm:spPr>
        <a:xfrm>
          <a:off x="2143358" y="205118"/>
          <a:ext cx="709330" cy="3242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Transport</a:t>
          </a:r>
        </a:p>
      </dgm:t>
    </dgm:pt>
    <dgm:pt modelId="{1B5A13A0-731C-43B4-8CE9-37110E2B3341}" type="parTrans" cxnId="{65989B88-F3A8-4B53-95E4-21D9FDAAA2BF}">
      <dgm:prSet/>
      <dgm:spPr/>
      <dgm:t>
        <a:bodyPr/>
        <a:lstStyle/>
        <a:p>
          <a:endParaRPr lang="en-US"/>
        </a:p>
      </dgm:t>
    </dgm:pt>
    <dgm:pt modelId="{59C73104-F72C-4788-8B2A-E5CC7F290D40}" type="sibTrans" cxnId="{65989B88-F3A8-4B53-95E4-21D9FDAAA2BF}">
      <dgm:prSet/>
      <dgm:spPr/>
      <dgm:t>
        <a:bodyPr/>
        <a:lstStyle/>
        <a:p>
          <a:endParaRPr lang="en-US"/>
        </a:p>
      </dgm:t>
    </dgm:pt>
    <dgm:pt modelId="{77A568B4-30BD-4279-A486-C71792F3065B}">
      <dgm:prSet phldrT="[Text]"/>
      <dgm:spPr>
        <a:xfrm>
          <a:off x="3102820" y="205118"/>
          <a:ext cx="709330" cy="3242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Storage</a:t>
          </a:r>
        </a:p>
      </dgm:t>
    </dgm:pt>
    <dgm:pt modelId="{72A09A65-E122-4E24-882A-99BCDF3806DF}" type="parTrans" cxnId="{8345CD3E-0553-4ABA-9F8A-D0194BAECA47}">
      <dgm:prSet/>
      <dgm:spPr/>
      <dgm:t>
        <a:bodyPr/>
        <a:lstStyle/>
        <a:p>
          <a:endParaRPr lang="en-US"/>
        </a:p>
      </dgm:t>
    </dgm:pt>
    <dgm:pt modelId="{541609B6-CFB2-4CEB-B4FC-B9ED3682E419}" type="sibTrans" cxnId="{8345CD3E-0553-4ABA-9F8A-D0194BAECA47}">
      <dgm:prSet/>
      <dgm:spPr/>
      <dgm:t>
        <a:bodyPr/>
        <a:lstStyle/>
        <a:p>
          <a:endParaRPr lang="en-US"/>
        </a:p>
      </dgm:t>
    </dgm:pt>
    <dgm:pt modelId="{E2C1E883-4351-4F7A-BA3A-351A5DB94A4F}">
      <dgm:prSet phldrT="[Text]"/>
      <dgm:spPr>
        <a:xfrm>
          <a:off x="4062283" y="205118"/>
          <a:ext cx="709330" cy="3242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Wholesale</a:t>
          </a:r>
        </a:p>
      </dgm:t>
    </dgm:pt>
    <dgm:pt modelId="{75F02CC6-72AD-4A7F-9A80-6389BBA2E7D1}" type="parTrans" cxnId="{32F555F7-F049-4EA7-80FF-2DD7FA473B3E}">
      <dgm:prSet/>
      <dgm:spPr/>
      <dgm:t>
        <a:bodyPr/>
        <a:lstStyle/>
        <a:p>
          <a:endParaRPr lang="en-US"/>
        </a:p>
      </dgm:t>
    </dgm:pt>
    <dgm:pt modelId="{AC5F4D6C-993F-4002-A358-A5E0750CACD0}" type="sibTrans" cxnId="{32F555F7-F049-4EA7-80FF-2DD7FA473B3E}">
      <dgm:prSet/>
      <dgm:spPr/>
      <dgm:t>
        <a:bodyPr/>
        <a:lstStyle/>
        <a:p>
          <a:endParaRPr lang="en-US"/>
        </a:p>
      </dgm:t>
    </dgm:pt>
    <dgm:pt modelId="{1A5B328C-E893-42EA-9B5F-D913667C9269}">
      <dgm:prSet phldrT="[Text]"/>
      <dgm:spPr>
        <a:xfrm>
          <a:off x="5021745" y="205118"/>
          <a:ext cx="709330" cy="3242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Processing</a:t>
          </a:r>
        </a:p>
      </dgm:t>
    </dgm:pt>
    <dgm:pt modelId="{470B3B04-1345-4E6C-A9A8-7E56A7FF08EE}" type="parTrans" cxnId="{23E4DB27-AB40-4E13-9463-9D73151C03F1}">
      <dgm:prSet/>
      <dgm:spPr/>
      <dgm:t>
        <a:bodyPr/>
        <a:lstStyle/>
        <a:p>
          <a:endParaRPr lang="en-US"/>
        </a:p>
      </dgm:t>
    </dgm:pt>
    <dgm:pt modelId="{F8AE0CD8-454E-4B5C-A22C-CEB411C420D1}" type="sibTrans" cxnId="{23E4DB27-AB40-4E13-9463-9D73151C03F1}">
      <dgm:prSet/>
      <dgm:spPr/>
      <dgm:t>
        <a:bodyPr/>
        <a:lstStyle/>
        <a:p>
          <a:endParaRPr lang="en-US"/>
        </a:p>
      </dgm:t>
    </dgm:pt>
    <dgm:pt modelId="{CDDEEDDE-723E-4048-BA9A-7ED3B460C4C5}" type="pres">
      <dgm:prSet presAssocID="{9AFD0771-2E08-4549-98DB-6B88170A9FFA}" presName="Name0" presStyleCnt="0">
        <dgm:presLayoutVars>
          <dgm:dir/>
          <dgm:resizeHandles val="exact"/>
        </dgm:presLayoutVars>
      </dgm:prSet>
      <dgm:spPr/>
    </dgm:pt>
    <dgm:pt modelId="{FBD0D523-DD97-4943-AABF-B449F10332B6}" type="pres">
      <dgm:prSet presAssocID="{F9C779A2-A56E-446F-AFE8-A889F5AB79D3}" presName="composite" presStyleCnt="0"/>
      <dgm:spPr/>
    </dgm:pt>
    <dgm:pt modelId="{39AB48D1-1213-48E3-8434-A7C191E103C6}" type="pres">
      <dgm:prSet presAssocID="{F9C779A2-A56E-446F-AFE8-A889F5AB79D3}" presName="bgChev" presStyleLbl="node1" presStyleIdx="0" presStyleCnt="5"/>
      <dgm:spPr>
        <a:xfrm>
          <a:off x="959896" y="124058"/>
          <a:ext cx="839996" cy="324238"/>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2F4500A-EB69-4F39-A5ED-53B09CAEBC74}" type="pres">
      <dgm:prSet presAssocID="{F9C779A2-A56E-446F-AFE8-A889F5AB79D3}" presName="txNode" presStyleLbl="fgAcc1" presStyleIdx="0" presStyleCnt="5">
        <dgm:presLayoutVars>
          <dgm:bulletEnabled val="1"/>
        </dgm:presLayoutVars>
      </dgm:prSet>
      <dgm:spPr>
        <a:prstGeom prst="roundRect">
          <a:avLst>
            <a:gd name="adj" fmla="val 10000"/>
          </a:avLst>
        </a:prstGeom>
      </dgm:spPr>
      <dgm:t>
        <a:bodyPr/>
        <a:lstStyle/>
        <a:p>
          <a:endParaRPr lang="en-US"/>
        </a:p>
      </dgm:t>
    </dgm:pt>
    <dgm:pt modelId="{2DAE3CB4-FBA0-4CEF-8FF2-D040DCE93BB4}" type="pres">
      <dgm:prSet presAssocID="{51E7FE11-D84E-4538-BC4C-735060C708A2}" presName="compositeSpace" presStyleCnt="0"/>
      <dgm:spPr/>
    </dgm:pt>
    <dgm:pt modelId="{94F68C4F-E15F-4C21-AF42-542B949B741A}" type="pres">
      <dgm:prSet presAssocID="{0B52FB3E-E92A-4629-B868-421898D2C8B7}" presName="composite" presStyleCnt="0"/>
      <dgm:spPr/>
    </dgm:pt>
    <dgm:pt modelId="{28266CF1-A0B7-479F-9409-877AE13F6A07}" type="pres">
      <dgm:prSet presAssocID="{0B52FB3E-E92A-4629-B868-421898D2C8B7}" presName="bgChev" presStyleLbl="node1" presStyleIdx="1" presStyleCnt="5"/>
      <dgm:spPr>
        <a:xfrm>
          <a:off x="1919359" y="124058"/>
          <a:ext cx="839996" cy="324238"/>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E13B31A-866E-4FB9-B658-5D8BCAE38666}" type="pres">
      <dgm:prSet presAssocID="{0B52FB3E-E92A-4629-B868-421898D2C8B7}" presName="txNode" presStyleLbl="fgAcc1" presStyleIdx="1" presStyleCnt="5">
        <dgm:presLayoutVars>
          <dgm:bulletEnabled val="1"/>
        </dgm:presLayoutVars>
      </dgm:prSet>
      <dgm:spPr>
        <a:prstGeom prst="roundRect">
          <a:avLst>
            <a:gd name="adj" fmla="val 10000"/>
          </a:avLst>
        </a:prstGeom>
      </dgm:spPr>
      <dgm:t>
        <a:bodyPr/>
        <a:lstStyle/>
        <a:p>
          <a:endParaRPr lang="en-US"/>
        </a:p>
      </dgm:t>
    </dgm:pt>
    <dgm:pt modelId="{EA9D65D0-EFB1-4C3E-A875-7A67E6DC50EE}" type="pres">
      <dgm:prSet presAssocID="{59C73104-F72C-4788-8B2A-E5CC7F290D40}" presName="compositeSpace" presStyleCnt="0"/>
      <dgm:spPr/>
    </dgm:pt>
    <dgm:pt modelId="{20774F8B-FA38-495E-9F8E-E75E00BE1AB9}" type="pres">
      <dgm:prSet presAssocID="{77A568B4-30BD-4279-A486-C71792F3065B}" presName="composite" presStyleCnt="0"/>
      <dgm:spPr/>
    </dgm:pt>
    <dgm:pt modelId="{DBB430E0-3A09-49EC-9DD2-0B8BD79CA099}" type="pres">
      <dgm:prSet presAssocID="{77A568B4-30BD-4279-A486-C71792F3065B}" presName="bgChev" presStyleLbl="node1" presStyleIdx="2" presStyleCnt="5"/>
      <dgm:spPr>
        <a:xfrm>
          <a:off x="2878821" y="124058"/>
          <a:ext cx="839996" cy="324238"/>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BE4CB4-EF2C-4839-A68A-7632A2D26E65}" type="pres">
      <dgm:prSet presAssocID="{77A568B4-30BD-4279-A486-C71792F3065B}" presName="txNode" presStyleLbl="fgAcc1" presStyleIdx="2" presStyleCnt="5">
        <dgm:presLayoutVars>
          <dgm:bulletEnabled val="1"/>
        </dgm:presLayoutVars>
      </dgm:prSet>
      <dgm:spPr>
        <a:prstGeom prst="roundRect">
          <a:avLst>
            <a:gd name="adj" fmla="val 10000"/>
          </a:avLst>
        </a:prstGeom>
      </dgm:spPr>
      <dgm:t>
        <a:bodyPr/>
        <a:lstStyle/>
        <a:p>
          <a:endParaRPr lang="en-US"/>
        </a:p>
      </dgm:t>
    </dgm:pt>
    <dgm:pt modelId="{35D9CAD9-452B-4FF8-BDA8-320BAA213C15}" type="pres">
      <dgm:prSet presAssocID="{541609B6-CFB2-4CEB-B4FC-B9ED3682E419}" presName="compositeSpace" presStyleCnt="0"/>
      <dgm:spPr/>
    </dgm:pt>
    <dgm:pt modelId="{A669093D-1582-4A12-8808-3D727018CFD1}" type="pres">
      <dgm:prSet presAssocID="{E2C1E883-4351-4F7A-BA3A-351A5DB94A4F}" presName="composite" presStyleCnt="0"/>
      <dgm:spPr/>
    </dgm:pt>
    <dgm:pt modelId="{6D2F6949-E975-4937-B2A7-ACACB6A81FC3}" type="pres">
      <dgm:prSet presAssocID="{E2C1E883-4351-4F7A-BA3A-351A5DB94A4F}" presName="bgChev" presStyleLbl="node1" presStyleIdx="3" presStyleCnt="5"/>
      <dgm:spPr>
        <a:xfrm>
          <a:off x="3838284" y="124058"/>
          <a:ext cx="839996" cy="324238"/>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7A0159-7C5D-4E16-B7D6-B387EBF6C0F8}" type="pres">
      <dgm:prSet presAssocID="{E2C1E883-4351-4F7A-BA3A-351A5DB94A4F}" presName="txNode" presStyleLbl="fgAcc1" presStyleIdx="3" presStyleCnt="5">
        <dgm:presLayoutVars>
          <dgm:bulletEnabled val="1"/>
        </dgm:presLayoutVars>
      </dgm:prSet>
      <dgm:spPr>
        <a:prstGeom prst="roundRect">
          <a:avLst>
            <a:gd name="adj" fmla="val 10000"/>
          </a:avLst>
        </a:prstGeom>
      </dgm:spPr>
      <dgm:t>
        <a:bodyPr/>
        <a:lstStyle/>
        <a:p>
          <a:endParaRPr lang="en-US"/>
        </a:p>
      </dgm:t>
    </dgm:pt>
    <dgm:pt modelId="{524C25F3-F7FF-4716-944E-D92536E736C0}" type="pres">
      <dgm:prSet presAssocID="{AC5F4D6C-993F-4002-A358-A5E0750CACD0}" presName="compositeSpace" presStyleCnt="0"/>
      <dgm:spPr/>
    </dgm:pt>
    <dgm:pt modelId="{F7F898BF-9A85-447D-B9B8-34A1B9909EA1}" type="pres">
      <dgm:prSet presAssocID="{1A5B328C-E893-42EA-9B5F-D913667C9269}" presName="composite" presStyleCnt="0"/>
      <dgm:spPr/>
    </dgm:pt>
    <dgm:pt modelId="{03E9998E-C191-419F-B10C-8307A57E519E}" type="pres">
      <dgm:prSet presAssocID="{1A5B328C-E893-42EA-9B5F-D913667C9269}" presName="bgChev" presStyleLbl="node1" presStyleIdx="4" presStyleCnt="5"/>
      <dgm:spPr>
        <a:xfrm>
          <a:off x="4797746" y="124058"/>
          <a:ext cx="839996" cy="324238"/>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6412919-D588-4A6B-A670-97523761C8E8}" type="pres">
      <dgm:prSet presAssocID="{1A5B328C-E893-42EA-9B5F-D913667C9269}" presName="txNode" presStyleLbl="fgAcc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6F93BBCA-44B3-49F2-AD80-68B1A8C961BC}" type="presOf" srcId="{0B52FB3E-E92A-4629-B868-421898D2C8B7}" destId="{4E13B31A-866E-4FB9-B658-5D8BCAE38666}" srcOrd="0" destOrd="0" presId="urn:microsoft.com/office/officeart/2005/8/layout/chevronAccent+Icon"/>
    <dgm:cxn modelId="{B4B84C06-AB99-4BA1-8294-649EC8963DBF}" srcId="{9AFD0771-2E08-4549-98DB-6B88170A9FFA}" destId="{F9C779A2-A56E-446F-AFE8-A889F5AB79D3}" srcOrd="0" destOrd="0" parTransId="{0B1C01ED-BD21-41DC-85D0-AE01806A50CE}" sibTransId="{51E7FE11-D84E-4538-BC4C-735060C708A2}"/>
    <dgm:cxn modelId="{7A587C42-914F-43CE-878B-F0D486A1BE78}" type="presOf" srcId="{1A5B328C-E893-42EA-9B5F-D913667C9269}" destId="{76412919-D588-4A6B-A670-97523761C8E8}" srcOrd="0" destOrd="0" presId="urn:microsoft.com/office/officeart/2005/8/layout/chevronAccent+Icon"/>
    <dgm:cxn modelId="{32F555F7-F049-4EA7-80FF-2DD7FA473B3E}" srcId="{9AFD0771-2E08-4549-98DB-6B88170A9FFA}" destId="{E2C1E883-4351-4F7A-BA3A-351A5DB94A4F}" srcOrd="3" destOrd="0" parTransId="{75F02CC6-72AD-4A7F-9A80-6389BBA2E7D1}" sibTransId="{AC5F4D6C-993F-4002-A358-A5E0750CACD0}"/>
    <dgm:cxn modelId="{65989B88-F3A8-4B53-95E4-21D9FDAAA2BF}" srcId="{9AFD0771-2E08-4549-98DB-6B88170A9FFA}" destId="{0B52FB3E-E92A-4629-B868-421898D2C8B7}" srcOrd="1" destOrd="0" parTransId="{1B5A13A0-731C-43B4-8CE9-37110E2B3341}" sibTransId="{59C73104-F72C-4788-8B2A-E5CC7F290D40}"/>
    <dgm:cxn modelId="{23E4DB27-AB40-4E13-9463-9D73151C03F1}" srcId="{9AFD0771-2E08-4549-98DB-6B88170A9FFA}" destId="{1A5B328C-E893-42EA-9B5F-D913667C9269}" srcOrd="4" destOrd="0" parTransId="{470B3B04-1345-4E6C-A9A8-7E56A7FF08EE}" sibTransId="{F8AE0CD8-454E-4B5C-A22C-CEB411C420D1}"/>
    <dgm:cxn modelId="{E3FF937B-B2D9-4A2B-BFA5-0CE5A1A86FB3}" type="presOf" srcId="{F9C779A2-A56E-446F-AFE8-A889F5AB79D3}" destId="{02F4500A-EB69-4F39-A5ED-53B09CAEBC74}" srcOrd="0" destOrd="0" presId="urn:microsoft.com/office/officeart/2005/8/layout/chevronAccent+Icon"/>
    <dgm:cxn modelId="{926EFC33-640E-41A4-B3C0-3DCC3D612C69}" type="presOf" srcId="{77A568B4-30BD-4279-A486-C71792F3065B}" destId="{2FBE4CB4-EF2C-4839-A68A-7632A2D26E65}" srcOrd="0" destOrd="0" presId="urn:microsoft.com/office/officeart/2005/8/layout/chevronAccent+Icon"/>
    <dgm:cxn modelId="{41A2DAA7-01DA-4B17-B70A-D579C7646921}" type="presOf" srcId="{E2C1E883-4351-4F7A-BA3A-351A5DB94A4F}" destId="{7D7A0159-7C5D-4E16-B7D6-B387EBF6C0F8}" srcOrd="0" destOrd="0" presId="urn:microsoft.com/office/officeart/2005/8/layout/chevronAccent+Icon"/>
    <dgm:cxn modelId="{9740C0D2-86E0-4119-BE38-C7CBA0C96BB8}" type="presOf" srcId="{9AFD0771-2E08-4549-98DB-6B88170A9FFA}" destId="{CDDEEDDE-723E-4048-BA9A-7ED3B460C4C5}" srcOrd="0" destOrd="0" presId="urn:microsoft.com/office/officeart/2005/8/layout/chevronAccent+Icon"/>
    <dgm:cxn modelId="{8345CD3E-0553-4ABA-9F8A-D0194BAECA47}" srcId="{9AFD0771-2E08-4549-98DB-6B88170A9FFA}" destId="{77A568B4-30BD-4279-A486-C71792F3065B}" srcOrd="2" destOrd="0" parTransId="{72A09A65-E122-4E24-882A-99BCDF3806DF}" sibTransId="{541609B6-CFB2-4CEB-B4FC-B9ED3682E419}"/>
    <dgm:cxn modelId="{2FA1C688-5B6C-49D8-93F1-0E2144174D4C}" type="presParOf" srcId="{CDDEEDDE-723E-4048-BA9A-7ED3B460C4C5}" destId="{FBD0D523-DD97-4943-AABF-B449F10332B6}" srcOrd="0" destOrd="0" presId="urn:microsoft.com/office/officeart/2005/8/layout/chevronAccent+Icon"/>
    <dgm:cxn modelId="{76A22593-4A7C-49EC-942D-E2C42E27D6CA}" type="presParOf" srcId="{FBD0D523-DD97-4943-AABF-B449F10332B6}" destId="{39AB48D1-1213-48E3-8434-A7C191E103C6}" srcOrd="0" destOrd="0" presId="urn:microsoft.com/office/officeart/2005/8/layout/chevronAccent+Icon"/>
    <dgm:cxn modelId="{1C36316F-D9AD-4B17-9CBE-99FEF6EF9D55}" type="presParOf" srcId="{FBD0D523-DD97-4943-AABF-B449F10332B6}" destId="{02F4500A-EB69-4F39-A5ED-53B09CAEBC74}" srcOrd="1" destOrd="0" presId="urn:microsoft.com/office/officeart/2005/8/layout/chevronAccent+Icon"/>
    <dgm:cxn modelId="{870AF571-6B2B-4365-99E4-881461D0ABEF}" type="presParOf" srcId="{CDDEEDDE-723E-4048-BA9A-7ED3B460C4C5}" destId="{2DAE3CB4-FBA0-4CEF-8FF2-D040DCE93BB4}" srcOrd="1" destOrd="0" presId="urn:microsoft.com/office/officeart/2005/8/layout/chevronAccent+Icon"/>
    <dgm:cxn modelId="{A8E9F872-1385-466C-8C8E-17DB24A992A7}" type="presParOf" srcId="{CDDEEDDE-723E-4048-BA9A-7ED3B460C4C5}" destId="{94F68C4F-E15F-4C21-AF42-542B949B741A}" srcOrd="2" destOrd="0" presId="urn:microsoft.com/office/officeart/2005/8/layout/chevronAccent+Icon"/>
    <dgm:cxn modelId="{2B563C73-3816-48B5-A4C3-E7DFE6FA4CC5}" type="presParOf" srcId="{94F68C4F-E15F-4C21-AF42-542B949B741A}" destId="{28266CF1-A0B7-479F-9409-877AE13F6A07}" srcOrd="0" destOrd="0" presId="urn:microsoft.com/office/officeart/2005/8/layout/chevronAccent+Icon"/>
    <dgm:cxn modelId="{B2C31BC9-8550-4361-B366-7AF44320B99D}" type="presParOf" srcId="{94F68C4F-E15F-4C21-AF42-542B949B741A}" destId="{4E13B31A-866E-4FB9-B658-5D8BCAE38666}" srcOrd="1" destOrd="0" presId="urn:microsoft.com/office/officeart/2005/8/layout/chevronAccent+Icon"/>
    <dgm:cxn modelId="{B36CEC1A-18C6-4DE1-B893-FA1E9AC22723}" type="presParOf" srcId="{CDDEEDDE-723E-4048-BA9A-7ED3B460C4C5}" destId="{EA9D65D0-EFB1-4C3E-A875-7A67E6DC50EE}" srcOrd="3" destOrd="0" presId="urn:microsoft.com/office/officeart/2005/8/layout/chevronAccent+Icon"/>
    <dgm:cxn modelId="{F5909897-F86C-40A7-9761-2ACDE13BB348}" type="presParOf" srcId="{CDDEEDDE-723E-4048-BA9A-7ED3B460C4C5}" destId="{20774F8B-FA38-495E-9F8E-E75E00BE1AB9}" srcOrd="4" destOrd="0" presId="urn:microsoft.com/office/officeart/2005/8/layout/chevronAccent+Icon"/>
    <dgm:cxn modelId="{48F8E063-E444-4D1B-A413-0CACCB270E89}" type="presParOf" srcId="{20774F8B-FA38-495E-9F8E-E75E00BE1AB9}" destId="{DBB430E0-3A09-49EC-9DD2-0B8BD79CA099}" srcOrd="0" destOrd="0" presId="urn:microsoft.com/office/officeart/2005/8/layout/chevronAccent+Icon"/>
    <dgm:cxn modelId="{85ED6B7D-C60B-4073-8E02-FA9133DBBCA0}" type="presParOf" srcId="{20774F8B-FA38-495E-9F8E-E75E00BE1AB9}" destId="{2FBE4CB4-EF2C-4839-A68A-7632A2D26E65}" srcOrd="1" destOrd="0" presId="urn:microsoft.com/office/officeart/2005/8/layout/chevronAccent+Icon"/>
    <dgm:cxn modelId="{45CA7DF9-605F-40A3-9637-0F7F75DFCFDB}" type="presParOf" srcId="{CDDEEDDE-723E-4048-BA9A-7ED3B460C4C5}" destId="{35D9CAD9-452B-4FF8-BDA8-320BAA213C15}" srcOrd="5" destOrd="0" presId="urn:microsoft.com/office/officeart/2005/8/layout/chevronAccent+Icon"/>
    <dgm:cxn modelId="{46EFBCC0-5105-42D0-ACA5-2049A42DD17A}" type="presParOf" srcId="{CDDEEDDE-723E-4048-BA9A-7ED3B460C4C5}" destId="{A669093D-1582-4A12-8808-3D727018CFD1}" srcOrd="6" destOrd="0" presId="urn:microsoft.com/office/officeart/2005/8/layout/chevronAccent+Icon"/>
    <dgm:cxn modelId="{C9108F24-1341-4C55-B663-93D59C66D70B}" type="presParOf" srcId="{A669093D-1582-4A12-8808-3D727018CFD1}" destId="{6D2F6949-E975-4937-B2A7-ACACB6A81FC3}" srcOrd="0" destOrd="0" presId="urn:microsoft.com/office/officeart/2005/8/layout/chevronAccent+Icon"/>
    <dgm:cxn modelId="{8C182A0C-52AB-4880-8EE7-799FD25E4721}" type="presParOf" srcId="{A669093D-1582-4A12-8808-3D727018CFD1}" destId="{7D7A0159-7C5D-4E16-B7D6-B387EBF6C0F8}" srcOrd="1" destOrd="0" presId="urn:microsoft.com/office/officeart/2005/8/layout/chevronAccent+Icon"/>
    <dgm:cxn modelId="{AEFCF1D2-BB35-405F-BD81-11623F407C90}" type="presParOf" srcId="{CDDEEDDE-723E-4048-BA9A-7ED3B460C4C5}" destId="{524C25F3-F7FF-4716-944E-D92536E736C0}" srcOrd="7" destOrd="0" presId="urn:microsoft.com/office/officeart/2005/8/layout/chevronAccent+Icon"/>
    <dgm:cxn modelId="{559E0747-BF17-4159-AD96-FA50D0064420}" type="presParOf" srcId="{CDDEEDDE-723E-4048-BA9A-7ED3B460C4C5}" destId="{F7F898BF-9A85-447D-B9B8-34A1B9909EA1}" srcOrd="8" destOrd="0" presId="urn:microsoft.com/office/officeart/2005/8/layout/chevronAccent+Icon"/>
    <dgm:cxn modelId="{F984C0CD-AAD7-4EF9-8D8F-D851C005E0E9}" type="presParOf" srcId="{F7F898BF-9A85-447D-B9B8-34A1B9909EA1}" destId="{03E9998E-C191-419F-B10C-8307A57E519E}" srcOrd="0" destOrd="0" presId="urn:microsoft.com/office/officeart/2005/8/layout/chevronAccent+Icon"/>
    <dgm:cxn modelId="{E66785D8-8E8C-4F21-9468-EFAFF865D152}" type="presParOf" srcId="{F7F898BF-9A85-447D-B9B8-34A1B9909EA1}" destId="{76412919-D588-4A6B-A670-97523761C8E8}" srcOrd="1" destOrd="0" presId="urn:microsoft.com/office/officeart/2005/8/layout/chevronAccent+Icon"/>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B48D1-1213-48E3-8434-A7C191E103C6}">
      <dsp:nvSpPr>
        <dsp:cNvPr id="0" name=""/>
        <dsp:cNvSpPr/>
      </dsp:nvSpPr>
      <dsp:spPr>
        <a:xfrm>
          <a:off x="458" y="204855"/>
          <a:ext cx="512981" cy="198010"/>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F4500A-EB69-4F39-A5ED-53B09CAEBC74}">
      <dsp:nvSpPr>
        <dsp:cNvPr id="0" name=""/>
        <dsp:cNvSpPr/>
      </dsp:nvSpPr>
      <dsp:spPr>
        <a:xfrm>
          <a:off x="137253" y="254358"/>
          <a:ext cx="433184" cy="1980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panose="020F0502020204030204"/>
              <a:ea typeface="+mn-ea"/>
              <a:cs typeface="+mn-cs"/>
            </a:rPr>
            <a:t>Farm</a:t>
          </a:r>
        </a:p>
      </dsp:txBody>
      <dsp:txXfrm>
        <a:off x="143053" y="260158"/>
        <a:ext cx="421584" cy="186410"/>
      </dsp:txXfrm>
    </dsp:sp>
    <dsp:sp modelId="{28266CF1-A0B7-479F-9409-877AE13F6A07}">
      <dsp:nvSpPr>
        <dsp:cNvPr id="0" name=""/>
        <dsp:cNvSpPr/>
      </dsp:nvSpPr>
      <dsp:spPr>
        <a:xfrm>
          <a:off x="586396" y="204855"/>
          <a:ext cx="512981" cy="198010"/>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13B31A-866E-4FB9-B658-5D8BCAE38666}">
      <dsp:nvSpPr>
        <dsp:cNvPr id="0" name=""/>
        <dsp:cNvSpPr/>
      </dsp:nvSpPr>
      <dsp:spPr>
        <a:xfrm>
          <a:off x="723191" y="254358"/>
          <a:ext cx="433184" cy="1980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panose="020F0502020204030204"/>
              <a:ea typeface="+mn-ea"/>
              <a:cs typeface="+mn-cs"/>
            </a:rPr>
            <a:t>Transport</a:t>
          </a:r>
        </a:p>
      </dsp:txBody>
      <dsp:txXfrm>
        <a:off x="728991" y="260158"/>
        <a:ext cx="421584" cy="186410"/>
      </dsp:txXfrm>
    </dsp:sp>
    <dsp:sp modelId="{DBB430E0-3A09-49EC-9DD2-0B8BD79CA099}">
      <dsp:nvSpPr>
        <dsp:cNvPr id="0" name=""/>
        <dsp:cNvSpPr/>
      </dsp:nvSpPr>
      <dsp:spPr>
        <a:xfrm>
          <a:off x="1172335" y="204855"/>
          <a:ext cx="512981" cy="198010"/>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BE4CB4-EF2C-4839-A68A-7632A2D26E65}">
      <dsp:nvSpPr>
        <dsp:cNvPr id="0" name=""/>
        <dsp:cNvSpPr/>
      </dsp:nvSpPr>
      <dsp:spPr>
        <a:xfrm>
          <a:off x="1309130" y="254358"/>
          <a:ext cx="433184" cy="1980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panose="020F0502020204030204"/>
              <a:ea typeface="+mn-ea"/>
              <a:cs typeface="+mn-cs"/>
            </a:rPr>
            <a:t>Storage</a:t>
          </a:r>
        </a:p>
      </dsp:txBody>
      <dsp:txXfrm>
        <a:off x="1314930" y="260158"/>
        <a:ext cx="421584" cy="186410"/>
      </dsp:txXfrm>
    </dsp:sp>
    <dsp:sp modelId="{6D2F6949-E975-4937-B2A7-ACACB6A81FC3}">
      <dsp:nvSpPr>
        <dsp:cNvPr id="0" name=""/>
        <dsp:cNvSpPr/>
      </dsp:nvSpPr>
      <dsp:spPr>
        <a:xfrm>
          <a:off x="1758273" y="204855"/>
          <a:ext cx="512981" cy="198010"/>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7A0159-7C5D-4E16-B7D6-B387EBF6C0F8}">
      <dsp:nvSpPr>
        <dsp:cNvPr id="0" name=""/>
        <dsp:cNvSpPr/>
      </dsp:nvSpPr>
      <dsp:spPr>
        <a:xfrm>
          <a:off x="1895068" y="254358"/>
          <a:ext cx="433184" cy="1980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panose="020F0502020204030204"/>
              <a:ea typeface="+mn-ea"/>
              <a:cs typeface="+mn-cs"/>
            </a:rPr>
            <a:t>Wholesale</a:t>
          </a:r>
        </a:p>
      </dsp:txBody>
      <dsp:txXfrm>
        <a:off x="1900868" y="260158"/>
        <a:ext cx="421584" cy="186410"/>
      </dsp:txXfrm>
    </dsp:sp>
    <dsp:sp modelId="{03E9998E-C191-419F-B10C-8307A57E519E}">
      <dsp:nvSpPr>
        <dsp:cNvPr id="0" name=""/>
        <dsp:cNvSpPr/>
      </dsp:nvSpPr>
      <dsp:spPr>
        <a:xfrm>
          <a:off x="2344212" y="204855"/>
          <a:ext cx="512981" cy="198010"/>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412919-D588-4A6B-A670-97523761C8E8}">
      <dsp:nvSpPr>
        <dsp:cNvPr id="0" name=""/>
        <dsp:cNvSpPr/>
      </dsp:nvSpPr>
      <dsp:spPr>
        <a:xfrm>
          <a:off x="2481007" y="254358"/>
          <a:ext cx="433184" cy="1980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panose="020F0502020204030204"/>
              <a:ea typeface="+mn-ea"/>
              <a:cs typeface="+mn-cs"/>
            </a:rPr>
            <a:t>Processing</a:t>
          </a:r>
        </a:p>
      </dsp:txBody>
      <dsp:txXfrm>
        <a:off x="2486807" y="260158"/>
        <a:ext cx="421584" cy="1864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80E57-282E-4367-92A2-1481D641C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575</Pages>
  <Words>219575</Words>
  <Characters>1251583</Characters>
  <Application>Microsoft Office Word</Application>
  <DocSecurity>0</DocSecurity>
  <Lines>10429</Lines>
  <Paragraphs>2936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PC</cp:lastModifiedBy>
  <cp:revision>3</cp:revision>
  <cp:lastPrinted>2020-06-29T08:39:00Z</cp:lastPrinted>
  <dcterms:created xsi:type="dcterms:W3CDTF">2020-07-02T07:22:00Z</dcterms:created>
  <dcterms:modified xsi:type="dcterms:W3CDTF">2020-07-02T07:34:00Z</dcterms:modified>
</cp:coreProperties>
</file>